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5C2E" w14:textId="77777777" w:rsidR="00223835" w:rsidRPr="00223835" w:rsidRDefault="00223835" w:rsidP="00DC1F46">
      <w:pPr>
        <w:tabs>
          <w:tab w:val="left" w:pos="0"/>
        </w:tabs>
        <w:spacing w:line="240" w:lineRule="auto"/>
        <w:jc w:val="center"/>
        <w:rPr>
          <w:rFonts w:eastAsia="Times New Roman"/>
          <w:b/>
        </w:rPr>
      </w:pPr>
      <w:r w:rsidRPr="00223835">
        <w:rPr>
          <w:rFonts w:eastAsia="Times New Roman"/>
          <w:b/>
        </w:rPr>
        <w:t>BEFORE THE</w:t>
      </w:r>
    </w:p>
    <w:p w14:paraId="4176187E" w14:textId="77777777" w:rsidR="00223835" w:rsidRPr="00223835" w:rsidRDefault="00223835" w:rsidP="00DC1F46">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223835">
            <w:rPr>
              <w:rFonts w:eastAsia="Times New Roman"/>
              <w:b/>
            </w:rPr>
            <w:t>PENNSYLVANIA</w:t>
          </w:r>
        </w:smartTag>
      </w:smartTag>
      <w:r w:rsidRPr="00223835">
        <w:rPr>
          <w:rFonts w:eastAsia="Times New Roman"/>
          <w:b/>
        </w:rPr>
        <w:t xml:space="preserve"> PUBLIC UTILITY COMMISSION</w:t>
      </w:r>
    </w:p>
    <w:p w14:paraId="6A96740F" w14:textId="77777777" w:rsidR="00223835" w:rsidRPr="00223835" w:rsidRDefault="00223835" w:rsidP="00DC1F46">
      <w:pPr>
        <w:tabs>
          <w:tab w:val="left" w:pos="0"/>
        </w:tabs>
        <w:spacing w:line="240" w:lineRule="auto"/>
        <w:jc w:val="both"/>
        <w:rPr>
          <w:rFonts w:eastAsia="Times New Roman"/>
          <w:b/>
        </w:rPr>
      </w:pPr>
    </w:p>
    <w:p w14:paraId="28EF5EEF" w14:textId="113C8280" w:rsidR="00223835" w:rsidRDefault="00223835" w:rsidP="00DC1F46">
      <w:pPr>
        <w:tabs>
          <w:tab w:val="left" w:pos="0"/>
        </w:tabs>
        <w:spacing w:line="240" w:lineRule="auto"/>
        <w:jc w:val="both"/>
        <w:rPr>
          <w:rFonts w:eastAsia="Times New Roman"/>
          <w:b/>
        </w:rPr>
      </w:pPr>
    </w:p>
    <w:p w14:paraId="5967153B" w14:textId="77777777" w:rsidR="00DC1F46" w:rsidRPr="00223835" w:rsidRDefault="00DC1F46" w:rsidP="00DC1F46">
      <w:pPr>
        <w:tabs>
          <w:tab w:val="left" w:pos="0"/>
        </w:tabs>
        <w:spacing w:line="240" w:lineRule="auto"/>
        <w:jc w:val="both"/>
        <w:rPr>
          <w:rFonts w:eastAsia="Times New Roman"/>
          <w:b/>
        </w:rPr>
      </w:pPr>
    </w:p>
    <w:p w14:paraId="0219B77E" w14:textId="77777777" w:rsidR="00223835" w:rsidRPr="00223835" w:rsidRDefault="00223835" w:rsidP="00DC1F46">
      <w:pPr>
        <w:tabs>
          <w:tab w:val="left" w:pos="0"/>
          <w:tab w:val="left" w:pos="1440"/>
          <w:tab w:val="left" w:pos="5040"/>
        </w:tabs>
        <w:spacing w:line="240" w:lineRule="auto"/>
        <w:jc w:val="both"/>
        <w:rPr>
          <w:rFonts w:eastAsia="Times New Roman"/>
          <w:b/>
        </w:rPr>
      </w:pPr>
      <w:r w:rsidRPr="00223835">
        <w:rPr>
          <w:rFonts w:eastAsia="Times New Roman"/>
        </w:rPr>
        <w:t xml:space="preserve">Centre Park Historic District, Inc. </w:t>
      </w:r>
      <w:r w:rsidRPr="00223835">
        <w:rPr>
          <w:rFonts w:eastAsia="Times New Roman"/>
        </w:rPr>
        <w:tab/>
        <w:t>:</w:t>
      </w:r>
    </w:p>
    <w:p w14:paraId="2FA106E2" w14:textId="77777777" w:rsidR="00223835" w:rsidRPr="00223835" w:rsidRDefault="00223835" w:rsidP="00DC1F46">
      <w:pPr>
        <w:tabs>
          <w:tab w:val="left" w:pos="0"/>
          <w:tab w:val="left" w:pos="1440"/>
        </w:tabs>
        <w:spacing w:line="240" w:lineRule="auto"/>
        <w:jc w:val="both"/>
        <w:rPr>
          <w:rFonts w:eastAsia="Times New Roman"/>
        </w:rPr>
      </w:pPr>
      <w:r w:rsidRPr="00223835">
        <w:rPr>
          <w:rFonts w:eastAsia="Times New Roman"/>
          <w:b/>
        </w:rPr>
        <w:tab/>
      </w:r>
      <w:r w:rsidRPr="00223835">
        <w:rPr>
          <w:rFonts w:eastAsia="Times New Roman"/>
          <w:b/>
        </w:rPr>
        <w:tab/>
      </w:r>
      <w:r w:rsidRPr="00223835">
        <w:rPr>
          <w:rFonts w:eastAsia="Times New Roman"/>
          <w:b/>
        </w:rPr>
        <w:tab/>
      </w:r>
      <w:r w:rsidRPr="00223835">
        <w:rPr>
          <w:rFonts w:eastAsia="Times New Roman"/>
          <w:b/>
        </w:rPr>
        <w:tab/>
      </w:r>
      <w:r w:rsidRPr="00223835">
        <w:rPr>
          <w:rFonts w:eastAsia="Times New Roman"/>
          <w:b/>
        </w:rPr>
        <w:tab/>
      </w:r>
      <w:r w:rsidRPr="00223835">
        <w:rPr>
          <w:rFonts w:eastAsia="Times New Roman"/>
          <w:b/>
        </w:rPr>
        <w:tab/>
      </w:r>
      <w:r w:rsidRPr="00223835">
        <w:rPr>
          <w:rFonts w:eastAsia="Times New Roman"/>
        </w:rPr>
        <w:t>:</w:t>
      </w:r>
    </w:p>
    <w:p w14:paraId="4F91E917" w14:textId="77777777" w:rsidR="00223835" w:rsidRPr="00223835" w:rsidRDefault="00223835" w:rsidP="00DC1F46">
      <w:pPr>
        <w:tabs>
          <w:tab w:val="left" w:pos="0"/>
          <w:tab w:val="left" w:pos="720"/>
          <w:tab w:val="left" w:pos="1440"/>
        </w:tabs>
        <w:spacing w:line="240" w:lineRule="auto"/>
        <w:jc w:val="both"/>
        <w:rPr>
          <w:rFonts w:eastAsia="Times New Roman"/>
        </w:rPr>
      </w:pPr>
      <w:r w:rsidRPr="00223835">
        <w:rPr>
          <w:rFonts w:eastAsia="Times New Roman"/>
        </w:rPr>
        <w:tab/>
        <w:t>v.</w:t>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t>:</w:t>
      </w:r>
      <w:r w:rsidRPr="00223835">
        <w:rPr>
          <w:rFonts w:eastAsia="Times New Roman"/>
          <w:b/>
        </w:rPr>
        <w:tab/>
      </w:r>
      <w:r w:rsidRPr="00223835">
        <w:rPr>
          <w:rFonts w:eastAsia="Times New Roman"/>
          <w:b/>
        </w:rPr>
        <w:tab/>
      </w:r>
      <w:r w:rsidRPr="00223835">
        <w:rPr>
          <w:rFonts w:eastAsia="Times New Roman"/>
        </w:rPr>
        <w:t>C-2015-2516051</w:t>
      </w:r>
    </w:p>
    <w:p w14:paraId="2BA7F1CC" w14:textId="77777777" w:rsidR="00223835" w:rsidRPr="00223835" w:rsidRDefault="00223835" w:rsidP="00DC1F46">
      <w:pPr>
        <w:tabs>
          <w:tab w:val="left" w:pos="0"/>
          <w:tab w:val="left" w:pos="1440"/>
        </w:tabs>
        <w:spacing w:line="240" w:lineRule="auto"/>
        <w:jc w:val="both"/>
        <w:rPr>
          <w:rFonts w:eastAsia="Times New Roman"/>
        </w:rPr>
      </w:pP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t>:</w:t>
      </w:r>
    </w:p>
    <w:p w14:paraId="64F3DBCD" w14:textId="77777777" w:rsidR="00223835" w:rsidRPr="00223835" w:rsidRDefault="00223835" w:rsidP="00DC1F46">
      <w:pPr>
        <w:tabs>
          <w:tab w:val="left" w:pos="0"/>
          <w:tab w:val="left" w:pos="1440"/>
        </w:tabs>
        <w:spacing w:line="240" w:lineRule="auto"/>
        <w:jc w:val="both"/>
        <w:rPr>
          <w:rFonts w:eastAsia="Times New Roman"/>
        </w:rPr>
      </w:pPr>
      <w:r w:rsidRPr="00223835">
        <w:rPr>
          <w:rFonts w:eastAsia="Times New Roman"/>
        </w:rPr>
        <w:t xml:space="preserve">UGI Utilities, </w:t>
      </w:r>
      <w:r w:rsidRPr="00223835">
        <w:rPr>
          <w:rFonts w:eastAsia="Times New Roman"/>
        </w:rPr>
        <w:tab/>
        <w:t>Inc. – Gas Division</w:t>
      </w:r>
      <w:r w:rsidRPr="00223835">
        <w:rPr>
          <w:rFonts w:eastAsia="Times New Roman"/>
        </w:rPr>
        <w:tab/>
      </w:r>
      <w:r w:rsidRPr="00223835">
        <w:rPr>
          <w:rFonts w:eastAsia="Times New Roman"/>
        </w:rPr>
        <w:tab/>
      </w:r>
      <w:r w:rsidRPr="00223835">
        <w:rPr>
          <w:rFonts w:eastAsia="Times New Roman"/>
        </w:rPr>
        <w:tab/>
        <w:t>:</w:t>
      </w:r>
    </w:p>
    <w:p w14:paraId="7A442641" w14:textId="77777777" w:rsidR="00223835" w:rsidRPr="00223835" w:rsidRDefault="00223835" w:rsidP="00DC1F46">
      <w:pPr>
        <w:tabs>
          <w:tab w:val="left" w:pos="0"/>
          <w:tab w:val="left" w:pos="1440"/>
          <w:tab w:val="left" w:pos="5040"/>
        </w:tabs>
        <w:spacing w:line="240" w:lineRule="auto"/>
        <w:jc w:val="both"/>
        <w:rPr>
          <w:rFonts w:eastAsia="Times New Roman"/>
        </w:rPr>
      </w:pPr>
    </w:p>
    <w:p w14:paraId="237C8333" w14:textId="77777777" w:rsidR="00223835" w:rsidRPr="00223835" w:rsidRDefault="00223835" w:rsidP="00DC1F46">
      <w:pPr>
        <w:tabs>
          <w:tab w:val="left" w:pos="0"/>
          <w:tab w:val="left" w:pos="1440"/>
          <w:tab w:val="left" w:pos="5040"/>
        </w:tabs>
        <w:spacing w:line="240" w:lineRule="auto"/>
        <w:jc w:val="both"/>
        <w:rPr>
          <w:rFonts w:eastAsia="Times New Roman"/>
        </w:rPr>
      </w:pPr>
    </w:p>
    <w:p w14:paraId="7AC21178" w14:textId="77777777" w:rsidR="00223835" w:rsidRPr="00223835" w:rsidRDefault="00223835" w:rsidP="00DC1F46">
      <w:pPr>
        <w:tabs>
          <w:tab w:val="left" w:pos="0"/>
          <w:tab w:val="left" w:pos="1440"/>
          <w:tab w:val="left" w:pos="5040"/>
        </w:tabs>
        <w:spacing w:line="240" w:lineRule="auto"/>
        <w:jc w:val="both"/>
        <w:rPr>
          <w:rFonts w:eastAsia="Times New Roman"/>
          <w:b/>
        </w:rPr>
      </w:pPr>
      <w:r w:rsidRPr="00223835">
        <w:rPr>
          <w:rFonts w:eastAsia="Times New Roman"/>
        </w:rPr>
        <w:t xml:space="preserve">City of Reading </w:t>
      </w:r>
      <w:r w:rsidRPr="00223835">
        <w:rPr>
          <w:rFonts w:eastAsia="Times New Roman"/>
        </w:rPr>
        <w:tab/>
        <w:t>:</w:t>
      </w:r>
    </w:p>
    <w:p w14:paraId="02250F8D" w14:textId="77777777" w:rsidR="00223835" w:rsidRPr="00223835" w:rsidRDefault="00223835" w:rsidP="00DC1F46">
      <w:pPr>
        <w:tabs>
          <w:tab w:val="left" w:pos="0"/>
          <w:tab w:val="left" w:pos="1440"/>
        </w:tabs>
        <w:spacing w:line="240" w:lineRule="auto"/>
        <w:jc w:val="both"/>
        <w:rPr>
          <w:rFonts w:eastAsia="Times New Roman"/>
        </w:rPr>
      </w:pPr>
      <w:r w:rsidRPr="00223835">
        <w:rPr>
          <w:rFonts w:eastAsia="Times New Roman"/>
          <w:b/>
        </w:rPr>
        <w:tab/>
      </w:r>
      <w:r w:rsidRPr="00223835">
        <w:rPr>
          <w:rFonts w:eastAsia="Times New Roman"/>
          <w:b/>
        </w:rPr>
        <w:tab/>
      </w:r>
      <w:r w:rsidRPr="00223835">
        <w:rPr>
          <w:rFonts w:eastAsia="Times New Roman"/>
          <w:b/>
        </w:rPr>
        <w:tab/>
      </w:r>
      <w:r w:rsidRPr="00223835">
        <w:rPr>
          <w:rFonts w:eastAsia="Times New Roman"/>
          <w:b/>
        </w:rPr>
        <w:tab/>
      </w:r>
      <w:r w:rsidRPr="00223835">
        <w:rPr>
          <w:rFonts w:eastAsia="Times New Roman"/>
          <w:b/>
        </w:rPr>
        <w:tab/>
      </w:r>
      <w:r w:rsidRPr="00223835">
        <w:rPr>
          <w:rFonts w:eastAsia="Times New Roman"/>
          <w:b/>
        </w:rPr>
        <w:tab/>
      </w:r>
      <w:r w:rsidRPr="00223835">
        <w:rPr>
          <w:rFonts w:eastAsia="Times New Roman"/>
        </w:rPr>
        <w:t>:</w:t>
      </w:r>
    </w:p>
    <w:p w14:paraId="62D23783" w14:textId="77777777" w:rsidR="00223835" w:rsidRPr="00223835" w:rsidRDefault="00223835" w:rsidP="00DC1F46">
      <w:pPr>
        <w:tabs>
          <w:tab w:val="left" w:pos="0"/>
          <w:tab w:val="left" w:pos="720"/>
          <w:tab w:val="left" w:pos="1440"/>
        </w:tabs>
        <w:spacing w:line="240" w:lineRule="auto"/>
        <w:jc w:val="both"/>
        <w:rPr>
          <w:rFonts w:eastAsia="Times New Roman"/>
        </w:rPr>
      </w:pPr>
      <w:r w:rsidRPr="00223835">
        <w:rPr>
          <w:rFonts w:eastAsia="Times New Roman"/>
        </w:rPr>
        <w:tab/>
        <w:t>v.</w:t>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t>:</w:t>
      </w:r>
      <w:r w:rsidRPr="00223835">
        <w:rPr>
          <w:rFonts w:eastAsia="Times New Roman"/>
          <w:b/>
        </w:rPr>
        <w:tab/>
      </w:r>
      <w:r w:rsidRPr="00223835">
        <w:rPr>
          <w:rFonts w:eastAsia="Times New Roman"/>
          <w:b/>
        </w:rPr>
        <w:tab/>
      </w:r>
      <w:r w:rsidRPr="00223835">
        <w:rPr>
          <w:rFonts w:eastAsia="Times New Roman"/>
        </w:rPr>
        <w:t>C-2016-2530475</w:t>
      </w:r>
    </w:p>
    <w:p w14:paraId="35A88BA3" w14:textId="77777777" w:rsidR="00223835" w:rsidRPr="00223835" w:rsidRDefault="00223835" w:rsidP="00DC1F46">
      <w:pPr>
        <w:tabs>
          <w:tab w:val="left" w:pos="0"/>
          <w:tab w:val="left" w:pos="1440"/>
        </w:tabs>
        <w:spacing w:line="240" w:lineRule="auto"/>
        <w:jc w:val="both"/>
        <w:rPr>
          <w:rFonts w:eastAsia="Times New Roman"/>
        </w:rPr>
      </w:pP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t>:</w:t>
      </w:r>
    </w:p>
    <w:p w14:paraId="1E01BE0A" w14:textId="77777777" w:rsidR="00223835" w:rsidRPr="00223835" w:rsidRDefault="00223835" w:rsidP="00DC1F46">
      <w:pPr>
        <w:tabs>
          <w:tab w:val="left" w:pos="0"/>
          <w:tab w:val="left" w:pos="1440"/>
        </w:tabs>
        <w:spacing w:line="240" w:lineRule="auto"/>
        <w:jc w:val="both"/>
        <w:rPr>
          <w:rFonts w:eastAsia="Times New Roman"/>
        </w:rPr>
      </w:pPr>
      <w:r w:rsidRPr="00223835">
        <w:rPr>
          <w:rFonts w:eastAsia="Times New Roman"/>
        </w:rPr>
        <w:t xml:space="preserve">UGI Utilities, </w:t>
      </w:r>
      <w:r w:rsidRPr="00223835">
        <w:rPr>
          <w:rFonts w:eastAsia="Times New Roman"/>
        </w:rPr>
        <w:tab/>
        <w:t>Inc.</w:t>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r>
      <w:r w:rsidRPr="00223835">
        <w:rPr>
          <w:rFonts w:eastAsia="Times New Roman"/>
        </w:rPr>
        <w:tab/>
        <w:t>:</w:t>
      </w:r>
    </w:p>
    <w:p w14:paraId="43E44699" w14:textId="77777777" w:rsidR="00223835" w:rsidRPr="00223835" w:rsidRDefault="00223835" w:rsidP="00DC1F46">
      <w:pPr>
        <w:tabs>
          <w:tab w:val="left" w:pos="0"/>
          <w:tab w:val="left" w:pos="1440"/>
        </w:tabs>
        <w:spacing w:line="240" w:lineRule="auto"/>
        <w:jc w:val="both"/>
        <w:rPr>
          <w:rFonts w:eastAsia="Times New Roman"/>
        </w:rPr>
      </w:pPr>
    </w:p>
    <w:p w14:paraId="562C3AB0" w14:textId="77777777" w:rsidR="00792796" w:rsidRDefault="00792796" w:rsidP="00DC1F46">
      <w:pPr>
        <w:spacing w:line="240" w:lineRule="auto"/>
      </w:pPr>
    </w:p>
    <w:p w14:paraId="79D45510" w14:textId="2EEF491E" w:rsidR="00372CC6" w:rsidRDefault="00372CC6" w:rsidP="00DC1F46">
      <w:pPr>
        <w:spacing w:line="240" w:lineRule="auto"/>
      </w:pPr>
    </w:p>
    <w:p w14:paraId="4145E53C" w14:textId="77777777" w:rsidR="00DC1F46" w:rsidRDefault="00372CC6" w:rsidP="00DC1F46">
      <w:pPr>
        <w:spacing w:line="240" w:lineRule="auto"/>
        <w:jc w:val="center"/>
        <w:rPr>
          <w:b/>
        </w:rPr>
      </w:pPr>
      <w:r w:rsidRPr="00095D91">
        <w:rPr>
          <w:b/>
        </w:rPr>
        <w:t>INTERIM ORDER</w:t>
      </w:r>
    </w:p>
    <w:p w14:paraId="26E55C6B" w14:textId="6454EDDE" w:rsidR="00372CC6" w:rsidRPr="00095D91" w:rsidRDefault="00372CC6" w:rsidP="00DC1F46">
      <w:pPr>
        <w:spacing w:line="240" w:lineRule="auto"/>
        <w:jc w:val="center"/>
        <w:rPr>
          <w:b/>
          <w:u w:val="single"/>
        </w:rPr>
      </w:pPr>
      <w:r w:rsidRPr="00DC1F46">
        <w:rPr>
          <w:b/>
          <w:u w:val="single"/>
        </w:rPr>
        <w:t>ON</w:t>
      </w:r>
      <w:r w:rsidR="00DC1F46" w:rsidRPr="00DC1F46">
        <w:rPr>
          <w:b/>
          <w:u w:val="single"/>
        </w:rPr>
        <w:t xml:space="preserve"> </w:t>
      </w:r>
      <w:r w:rsidRPr="00095D91">
        <w:rPr>
          <w:b/>
          <w:u w:val="single"/>
        </w:rPr>
        <w:t>MOTION TO REOPEN THE RECORD</w:t>
      </w:r>
    </w:p>
    <w:p w14:paraId="5406E3A1" w14:textId="275772FA" w:rsidR="00372CC6" w:rsidRDefault="00372CC6"/>
    <w:p w14:paraId="60E2B257" w14:textId="4E9AAD1B" w:rsidR="00372CC6" w:rsidRDefault="00372CC6">
      <w:r>
        <w:tab/>
      </w:r>
      <w:r>
        <w:tab/>
        <w:t>Evidentiary hearings were held in the above-captioned complaints on August 22 and August 23, 2018.</w:t>
      </w:r>
      <w:r>
        <w:rPr>
          <w:rStyle w:val="FootnoteReference"/>
        </w:rPr>
        <w:footnoteReference w:id="1"/>
      </w:r>
      <w:r>
        <w:t xml:space="preserve">  Following the receipt of the transcript, all of the parties file</w:t>
      </w:r>
      <w:r w:rsidR="00DC1F46">
        <w:t>d</w:t>
      </w:r>
      <w:r>
        <w:t xml:space="preserve"> thorough briefs in support of their positions in the dispute regarding the placement of gas meters in the City of Reading.  The record was closed on December 11, 2018, following the receipt of the last brief.</w:t>
      </w:r>
    </w:p>
    <w:p w14:paraId="69F56289" w14:textId="05D2189C" w:rsidR="00372CC6" w:rsidRDefault="00372CC6"/>
    <w:p w14:paraId="6806CF4B" w14:textId="75B0E7EB" w:rsidR="00372CC6" w:rsidRDefault="00372CC6">
      <w:r>
        <w:tab/>
      </w:r>
      <w:r>
        <w:tab/>
        <w:t>On December 28, 2018, the City of Reading filed a Motion to Reopen the Record in order to introduce copies of a notification letter from UGI which was sent to certain customers in December 2018.  UGI filed a response in opposition to the motion on January 7, 2019.</w:t>
      </w:r>
    </w:p>
    <w:p w14:paraId="1EBE287F" w14:textId="00244903" w:rsidR="00372CC6" w:rsidRDefault="00372CC6"/>
    <w:p w14:paraId="0B11A666" w14:textId="2679BACE" w:rsidR="00372CC6" w:rsidRDefault="00372CC6">
      <w:r>
        <w:tab/>
      </w:r>
      <w:r>
        <w:tab/>
        <w:t xml:space="preserve">The Commission’s procedural rules permit a presiding officer to reopen the record </w:t>
      </w:r>
      <w:r w:rsidR="00F05B68">
        <w:t xml:space="preserve">and </w:t>
      </w:r>
      <w:r>
        <w:t>permit additional evidence “for good cause shown.”</w:t>
      </w:r>
      <w:r>
        <w:rPr>
          <w:rStyle w:val="FootnoteReference"/>
        </w:rPr>
        <w:footnoteReference w:id="2"/>
      </w:r>
      <w:r>
        <w:t xml:space="preserve">  Grounds for reopening the </w:t>
      </w:r>
      <w:r>
        <w:lastRenderedPageBreak/>
        <w:t>record may include “material changes of fact or of law alleged to have occurred since the conclusion of the hearing.”</w:t>
      </w:r>
      <w:r>
        <w:rPr>
          <w:rStyle w:val="FootnoteReference"/>
        </w:rPr>
        <w:footnoteReference w:id="3"/>
      </w:r>
      <w:r w:rsidR="00493281">
        <w:t xml:space="preserve">  It is appropriate to reopen the record “if there is reason to believe that conditions of fact or of law ha</w:t>
      </w:r>
      <w:r w:rsidR="00F05B68">
        <w:t>ve</w:t>
      </w:r>
      <w:r w:rsidR="00493281">
        <w:t xml:space="preserve"> so changed as to require, or that the public interest requires, the reopening of the proceeding.”</w:t>
      </w:r>
      <w:r w:rsidR="00493281">
        <w:rPr>
          <w:rStyle w:val="FootnoteReference"/>
        </w:rPr>
        <w:footnoteReference w:id="4"/>
      </w:r>
    </w:p>
    <w:p w14:paraId="4F01E1B8" w14:textId="284BD4BD" w:rsidR="00493281" w:rsidRDefault="00493281"/>
    <w:p w14:paraId="002D2F88" w14:textId="7020E493" w:rsidR="00493281" w:rsidRDefault="00493281">
      <w:r>
        <w:tab/>
      </w:r>
      <w:r>
        <w:tab/>
        <w:t>The City seeks the admission of City of Reading Post Closing Exhibit No. 1.  The exhibit is a notification letter dated December 20, 2018</w:t>
      </w:r>
      <w:r w:rsidR="00F21375">
        <w:t xml:space="preserve">, in English and Spanish regarding the replacement of the customer service line and relocation of the gas meter.  Also attached to the letter is a list of addresses which the City represents are </w:t>
      </w:r>
      <w:r w:rsidR="00F05B68">
        <w:t xml:space="preserve">the addresses of </w:t>
      </w:r>
      <w:r w:rsidR="00F21375">
        <w:t xml:space="preserve">customers in the Heights Conservation District who received copies of the attached letter.  The City takes the position that this letter contradicts the testimony of UGI witness Christopher Brown regarding a more detailed letter which was admitted into the record as </w:t>
      </w:r>
      <w:r w:rsidR="00F05B68">
        <w:t xml:space="preserve">UGI Exhibit </w:t>
      </w:r>
      <w:r w:rsidR="00F21375">
        <w:t>CB-16.</w:t>
      </w:r>
      <w:r w:rsidR="00F21375">
        <w:rPr>
          <w:rStyle w:val="FootnoteReference"/>
        </w:rPr>
        <w:footnoteReference w:id="5"/>
      </w:r>
      <w:r w:rsidR="00F21375">
        <w:t xml:space="preserve">  It was Mr.</w:t>
      </w:r>
      <w:r w:rsidR="00DC1F46">
        <w:t> </w:t>
      </w:r>
      <w:r w:rsidR="00F21375">
        <w:t xml:space="preserve">Brown’s testimony that letters in the form of </w:t>
      </w:r>
      <w:r w:rsidR="00F05B68">
        <w:t xml:space="preserve">Exhibit </w:t>
      </w:r>
      <w:r w:rsidR="00F21375">
        <w:t>CB-16 were put into use by UGI in October 2017.</w:t>
      </w:r>
      <w:r w:rsidR="00F21375">
        <w:rPr>
          <w:rStyle w:val="FootnoteReference"/>
        </w:rPr>
        <w:footnoteReference w:id="6"/>
      </w:r>
      <w:r w:rsidR="00F21375">
        <w:t xml:space="preserve">  In the City’s view, its proposed exhibit contradicts Mr. Brown’s testimony and constitutes a material change in the facts since the conclusion of the hearing in August.</w:t>
      </w:r>
    </w:p>
    <w:p w14:paraId="7DE1C173" w14:textId="58C74CD7" w:rsidR="0067753C" w:rsidRDefault="0067753C"/>
    <w:p w14:paraId="70DBBBE1" w14:textId="329774BF" w:rsidR="0067753C" w:rsidRDefault="0067753C">
      <w:r>
        <w:tab/>
      </w:r>
      <w:r>
        <w:tab/>
        <w:t>UGI opposes the City’s motion.  UGI states that the City’s proposed exhibit is the second of two letters which a customer would receive in advance of relocating a meter.</w:t>
      </w:r>
      <w:r w:rsidR="00A77C01">
        <w:rPr>
          <w:rStyle w:val="FootnoteReference"/>
        </w:rPr>
        <w:footnoteReference w:id="7"/>
      </w:r>
      <w:r w:rsidR="00A77C01">
        <w:t xml:space="preserve">  </w:t>
      </w:r>
      <w:r w:rsidR="00F05B68">
        <w:t xml:space="preserve">The “two-letter” notification process was described by Mr. Brown in his testimony.  </w:t>
      </w:r>
      <w:r w:rsidR="00A77C01">
        <w:t>UGI explains that the City’s proposed exhibit does not constitute a material change in facts and that the City’s motion should be denied.</w:t>
      </w:r>
    </w:p>
    <w:p w14:paraId="10000445" w14:textId="6BB096D1" w:rsidR="00A77C01" w:rsidRDefault="00A77C01"/>
    <w:p w14:paraId="0F58BD98" w14:textId="1756A356" w:rsidR="00B57762" w:rsidRDefault="00A77C01">
      <w:r>
        <w:tab/>
      </w:r>
      <w:r>
        <w:tab/>
        <w:t xml:space="preserve">The City’s motion will be denied.  The content of notice letters which were sent to customers in historic districts was explored at great length during the hearing.  The City had ample opportunity to cross-examine Mr. Brown regarding UGI’s use of CB-16.  Further, the </w:t>
      </w:r>
      <w:r>
        <w:lastRenderedPageBreak/>
        <w:t xml:space="preserve">City’s proposed exhibit is virtually identical to other letters which were </w:t>
      </w:r>
      <w:r w:rsidR="00F05B68">
        <w:t>also explored at the hearing</w:t>
      </w:r>
      <w:r>
        <w:t>, including the City’s exhibit JS-10</w:t>
      </w:r>
      <w:r w:rsidR="00F05B68">
        <w:t>, which was an exhibit sponsored by the City’s witness, John Slifko</w:t>
      </w:r>
      <w:r>
        <w:t>.  Ex. JS-10 was described by Mr. Brown in response to questions by me at the hearing.</w:t>
      </w:r>
      <w:r>
        <w:rPr>
          <w:rStyle w:val="FootnoteReference"/>
        </w:rPr>
        <w:footnoteReference w:id="8"/>
      </w:r>
      <w:r w:rsidR="00DC1F46">
        <w:t xml:space="preserve"> </w:t>
      </w:r>
      <w:r>
        <w:t xml:space="preserve"> The City had an opportunity to cross-examine Mr. Brown following my questions.</w:t>
      </w:r>
      <w:r>
        <w:rPr>
          <w:rStyle w:val="FootnoteReference"/>
        </w:rPr>
        <w:footnoteReference w:id="9"/>
      </w:r>
      <w:r w:rsidR="00B57762">
        <w:t xml:space="preserve">  </w:t>
      </w:r>
      <w:r w:rsidR="00AD52AE">
        <w:t xml:space="preserve">Although the attached letter was evidently sent after the conclusion of the hearing, it does not appear to be different from other letters sent to customers by UGI.  The City had the opportunity to </w:t>
      </w:r>
      <w:r w:rsidR="00951628">
        <w:t xml:space="preserve">-- </w:t>
      </w:r>
      <w:r w:rsidR="00AD52AE">
        <w:t>and did</w:t>
      </w:r>
      <w:r w:rsidR="00951628">
        <w:t xml:space="preserve"> -- </w:t>
      </w:r>
      <w:r w:rsidR="00AD52AE">
        <w:t xml:space="preserve">cross-examine Mr. Brown on the subject of customer notification of proposed meter relocations. </w:t>
      </w:r>
    </w:p>
    <w:p w14:paraId="518C909B" w14:textId="77777777" w:rsidR="00B57762" w:rsidRDefault="00B57762"/>
    <w:p w14:paraId="7096C244" w14:textId="2656FA8B" w:rsidR="00A77C01" w:rsidRDefault="00B57762">
      <w:r>
        <w:tab/>
      </w:r>
      <w:r>
        <w:tab/>
      </w:r>
      <w:r w:rsidR="00AD52AE">
        <w:t xml:space="preserve">UGI also alleges that the City mischaracterizes UGI’s use of the proposed exhibit.  </w:t>
      </w:r>
      <w:r>
        <w:t xml:space="preserve">  </w:t>
      </w:r>
      <w:r w:rsidR="00AD52AE">
        <w:t>Therefore, f</w:t>
      </w:r>
      <w:r>
        <w:t>airness would require a hearing to be reconvened to take further testimony of Mr.</w:t>
      </w:r>
      <w:r w:rsidR="00DC1F46">
        <w:t> </w:t>
      </w:r>
      <w:r>
        <w:t>Brown to authenticate and explain</w:t>
      </w:r>
      <w:r w:rsidR="00951628">
        <w:t xml:space="preserve"> the context of</w:t>
      </w:r>
      <w:r>
        <w:t xml:space="preserve"> the proposed exhibit.  His testimony no doubt would be similar to testimony he has already offered regarding JS-10 and the process of customer notification which he has already described and been cross-examined on.</w:t>
      </w:r>
      <w:r w:rsidR="00951628">
        <w:t xml:space="preserve">  Both the exhibit and the testimony would simply duplicate evidence that is already in the record.</w:t>
      </w:r>
      <w:r w:rsidR="00951628">
        <w:rPr>
          <w:rStyle w:val="FootnoteReference"/>
        </w:rPr>
        <w:footnoteReference w:id="10"/>
      </w:r>
    </w:p>
    <w:p w14:paraId="613779FF" w14:textId="28500A6C" w:rsidR="008E5071" w:rsidRDefault="008E5071"/>
    <w:p w14:paraId="21ACA275" w14:textId="52B8A1E7" w:rsidR="008E5071" w:rsidRDefault="008E5071">
      <w:r>
        <w:tab/>
      </w:r>
      <w:r>
        <w:tab/>
        <w:t xml:space="preserve">It is worth noting that </w:t>
      </w:r>
      <w:r w:rsidR="00161791">
        <w:t xml:space="preserve">the </w:t>
      </w:r>
      <w:r w:rsidR="009C4CF6">
        <w:t xml:space="preserve">City </w:t>
      </w:r>
      <w:bookmarkStart w:id="0" w:name="_GoBack"/>
      <w:bookmarkEnd w:id="0"/>
      <w:r>
        <w:t>filed its formal complaint in February 201</w:t>
      </w:r>
      <w:r w:rsidR="006A73D4">
        <w:t>6</w:t>
      </w:r>
      <w:r>
        <w:t>.  The City was directed to catalog the meters in the City which it believed were relocated in violation of the Commission’s regulations.  Discovery continued until May 2017, and the City did not request an extension of that deadline.</w:t>
      </w:r>
      <w:r w:rsidR="00B57762">
        <w:t xml:space="preserve">  Hearings did not take place until August 2018.  The City has had ample opportunity to prepare its case.  While I recognize that the City’s current legal counsel was retained late in the proceeding and has had to make the best of the work done by the City’s prior counsel, the fact remains that the City has had its day to present evidence in support of its position.</w:t>
      </w:r>
      <w:r w:rsidR="00951628">
        <w:rPr>
          <w:rStyle w:val="FootnoteReference"/>
        </w:rPr>
        <w:footnoteReference w:id="11"/>
      </w:r>
      <w:r w:rsidR="00B57762">
        <w:t xml:space="preserve">  </w:t>
      </w:r>
    </w:p>
    <w:p w14:paraId="7162ECC2" w14:textId="7B21D0A0" w:rsidR="00C10D4F" w:rsidRDefault="00C10D4F"/>
    <w:p w14:paraId="5B4D7798" w14:textId="597C019F" w:rsidR="00C10D4F" w:rsidRDefault="00C10D4F">
      <w:r>
        <w:lastRenderedPageBreak/>
        <w:tab/>
      </w:r>
      <w:r>
        <w:tab/>
        <w:t>In sum, the City has failed to demonstrate that the public interest requires the reopening of the record to address its proposed exhibit.</w:t>
      </w:r>
      <w:r w:rsidR="00AD52AE">
        <w:t xml:space="preserve">  If the City wanted to explore notices sent by UGI after October 2017, it had the opportunity to do so</w:t>
      </w:r>
      <w:r w:rsidR="00951628">
        <w:t xml:space="preserve"> long before now</w:t>
      </w:r>
      <w:r w:rsidR="00AD52AE">
        <w:t>.  Further, it appears that the proposed exhibit is redundant of evidence which is already in the record.  It does not present substantially new facts which require the record to reopen and would only serve to needlessly lengthen an already lengthy proceeding.</w:t>
      </w:r>
    </w:p>
    <w:p w14:paraId="390CC5F2" w14:textId="3A12A5C3" w:rsidR="005B4A67" w:rsidRDefault="005B4A67"/>
    <w:p w14:paraId="786E034D" w14:textId="1BABE879" w:rsidR="005B4A67" w:rsidRDefault="005B4A67" w:rsidP="00DC1F46">
      <w:pPr>
        <w:ind w:left="720" w:firstLine="720"/>
      </w:pPr>
      <w:r>
        <w:t>THEREFORE</w:t>
      </w:r>
    </w:p>
    <w:p w14:paraId="2D022F44" w14:textId="47DC1E37" w:rsidR="005B4A67" w:rsidRDefault="005B4A67"/>
    <w:p w14:paraId="62800E01" w14:textId="213A44FA" w:rsidR="005B4A67" w:rsidRDefault="005B4A67" w:rsidP="00DC1F46">
      <w:pPr>
        <w:ind w:left="720" w:firstLine="720"/>
      </w:pPr>
      <w:r>
        <w:t>IT IS ORDERED:</w:t>
      </w:r>
    </w:p>
    <w:p w14:paraId="5374E2CA" w14:textId="462D5386" w:rsidR="005B4A67" w:rsidRDefault="005B4A67"/>
    <w:p w14:paraId="53EA03FC" w14:textId="521424CB" w:rsidR="005B4A67" w:rsidRDefault="005B4A67">
      <w:r>
        <w:tab/>
      </w:r>
      <w:r>
        <w:tab/>
        <w:t>That the motion to reopen the record in the above-captioned proceeding is denied.</w:t>
      </w:r>
    </w:p>
    <w:p w14:paraId="69D46A11" w14:textId="14F604B7" w:rsidR="00FD159E" w:rsidRDefault="00FD159E"/>
    <w:p w14:paraId="3D1FA198" w14:textId="01871824" w:rsidR="00FD159E" w:rsidRDefault="00FD159E"/>
    <w:p w14:paraId="5EBB269A" w14:textId="5E7911BC" w:rsidR="00FD159E" w:rsidRPr="00FD159E" w:rsidRDefault="00FD159E" w:rsidP="00FD159E">
      <w:pPr>
        <w:spacing w:line="240" w:lineRule="auto"/>
        <w:rPr>
          <w:rFonts w:eastAsia="Times New Roman"/>
          <w:szCs w:val="24"/>
        </w:rPr>
      </w:pPr>
      <w:bookmarkStart w:id="1" w:name="_Hlk505862083"/>
      <w:r w:rsidRPr="00FD159E">
        <w:rPr>
          <w:rFonts w:eastAsia="Times New Roman"/>
          <w:szCs w:val="24"/>
        </w:rPr>
        <w:t xml:space="preserve">Date:  </w:t>
      </w:r>
      <w:r>
        <w:rPr>
          <w:rFonts w:eastAsia="Times New Roman"/>
          <w:szCs w:val="24"/>
          <w:u w:val="single"/>
        </w:rPr>
        <w:t>January 9, 2019</w:t>
      </w:r>
      <w:r w:rsidRPr="00FD159E">
        <w:rPr>
          <w:rFonts w:eastAsia="Times New Roman"/>
          <w:szCs w:val="24"/>
        </w:rPr>
        <w:tab/>
      </w:r>
      <w:r w:rsidRPr="00FD159E">
        <w:rPr>
          <w:rFonts w:eastAsia="Times New Roman"/>
          <w:szCs w:val="24"/>
        </w:rPr>
        <w:tab/>
      </w:r>
      <w:r w:rsidRPr="00FD159E">
        <w:rPr>
          <w:rFonts w:eastAsia="Times New Roman"/>
          <w:szCs w:val="24"/>
        </w:rPr>
        <w:tab/>
      </w:r>
      <w:r w:rsidRPr="00FD159E">
        <w:rPr>
          <w:rFonts w:eastAsia="Times New Roman"/>
          <w:szCs w:val="24"/>
        </w:rPr>
        <w:tab/>
      </w:r>
      <w:r w:rsidRPr="00FD159E">
        <w:rPr>
          <w:rFonts w:eastAsia="Times New Roman"/>
          <w:szCs w:val="24"/>
          <w:u w:val="single"/>
        </w:rPr>
        <w:tab/>
      </w:r>
      <w:r w:rsidRPr="00FD159E">
        <w:rPr>
          <w:rFonts w:eastAsia="Times New Roman"/>
          <w:szCs w:val="24"/>
          <w:u w:val="single"/>
        </w:rPr>
        <w:tab/>
        <w:t>/s/</w:t>
      </w:r>
      <w:r w:rsidRPr="00FD159E">
        <w:rPr>
          <w:rFonts w:eastAsia="Times New Roman"/>
          <w:szCs w:val="24"/>
          <w:u w:val="single"/>
        </w:rPr>
        <w:tab/>
      </w:r>
      <w:r w:rsidRPr="00FD159E">
        <w:rPr>
          <w:rFonts w:eastAsia="Times New Roman"/>
          <w:szCs w:val="24"/>
          <w:u w:val="single"/>
        </w:rPr>
        <w:tab/>
      </w:r>
      <w:r w:rsidRPr="00FD159E">
        <w:rPr>
          <w:rFonts w:eastAsia="Times New Roman"/>
          <w:szCs w:val="24"/>
          <w:u w:val="single"/>
        </w:rPr>
        <w:tab/>
      </w:r>
      <w:r w:rsidRPr="00FD159E">
        <w:rPr>
          <w:rFonts w:eastAsia="Times New Roman"/>
          <w:szCs w:val="24"/>
          <w:u w:val="single"/>
        </w:rPr>
        <w:tab/>
      </w:r>
    </w:p>
    <w:p w14:paraId="4CC4D88E" w14:textId="77777777" w:rsidR="00FD159E" w:rsidRPr="00FD159E" w:rsidRDefault="00FD159E" w:rsidP="00FD159E">
      <w:pPr>
        <w:spacing w:line="240" w:lineRule="auto"/>
        <w:rPr>
          <w:rFonts w:eastAsia="Times New Roman"/>
          <w:szCs w:val="24"/>
        </w:rPr>
      </w:pPr>
      <w:r w:rsidRPr="00FD159E">
        <w:rPr>
          <w:rFonts w:eastAsia="Times New Roman"/>
          <w:szCs w:val="24"/>
        </w:rPr>
        <w:tab/>
      </w:r>
      <w:r w:rsidRPr="00FD159E">
        <w:rPr>
          <w:rFonts w:eastAsia="Times New Roman"/>
          <w:szCs w:val="24"/>
        </w:rPr>
        <w:tab/>
      </w:r>
      <w:r w:rsidRPr="00FD159E">
        <w:rPr>
          <w:rFonts w:eastAsia="Times New Roman"/>
          <w:szCs w:val="24"/>
        </w:rPr>
        <w:tab/>
      </w:r>
      <w:r w:rsidRPr="00FD159E">
        <w:rPr>
          <w:rFonts w:eastAsia="Times New Roman"/>
          <w:szCs w:val="24"/>
        </w:rPr>
        <w:tab/>
      </w:r>
      <w:r w:rsidRPr="00FD159E">
        <w:rPr>
          <w:rFonts w:eastAsia="Times New Roman"/>
          <w:szCs w:val="24"/>
        </w:rPr>
        <w:tab/>
      </w:r>
      <w:r w:rsidRPr="00FD159E">
        <w:rPr>
          <w:rFonts w:eastAsia="Times New Roman"/>
          <w:szCs w:val="24"/>
        </w:rPr>
        <w:tab/>
      </w:r>
      <w:r w:rsidRPr="00FD159E">
        <w:rPr>
          <w:rFonts w:eastAsia="Times New Roman"/>
          <w:szCs w:val="24"/>
        </w:rPr>
        <w:tab/>
        <w:t>Mary D. Long</w:t>
      </w:r>
    </w:p>
    <w:p w14:paraId="36B4AE08" w14:textId="65AA3BD3" w:rsidR="00FD159E" w:rsidRDefault="00FD159E" w:rsidP="00FD159E">
      <w:pPr>
        <w:spacing w:line="240" w:lineRule="auto"/>
        <w:rPr>
          <w:rFonts w:eastAsia="Times New Roman"/>
          <w:szCs w:val="24"/>
        </w:rPr>
      </w:pPr>
      <w:r w:rsidRPr="00FD159E">
        <w:rPr>
          <w:rFonts w:eastAsia="Times New Roman"/>
          <w:szCs w:val="24"/>
        </w:rPr>
        <w:tab/>
      </w:r>
      <w:r w:rsidRPr="00FD159E">
        <w:rPr>
          <w:rFonts w:eastAsia="Times New Roman"/>
          <w:szCs w:val="24"/>
        </w:rPr>
        <w:tab/>
      </w:r>
      <w:r w:rsidRPr="00FD159E">
        <w:rPr>
          <w:rFonts w:eastAsia="Times New Roman"/>
          <w:szCs w:val="24"/>
        </w:rPr>
        <w:tab/>
      </w:r>
      <w:r w:rsidRPr="00FD159E">
        <w:rPr>
          <w:rFonts w:eastAsia="Times New Roman"/>
          <w:szCs w:val="24"/>
        </w:rPr>
        <w:tab/>
      </w:r>
      <w:r w:rsidRPr="00FD159E">
        <w:rPr>
          <w:rFonts w:eastAsia="Times New Roman"/>
          <w:szCs w:val="24"/>
        </w:rPr>
        <w:tab/>
      </w:r>
      <w:r w:rsidRPr="00FD159E">
        <w:rPr>
          <w:rFonts w:eastAsia="Times New Roman"/>
          <w:szCs w:val="24"/>
        </w:rPr>
        <w:tab/>
      </w:r>
      <w:r w:rsidRPr="00FD159E">
        <w:rPr>
          <w:rFonts w:eastAsia="Times New Roman"/>
          <w:szCs w:val="24"/>
        </w:rPr>
        <w:tab/>
        <w:t>Administrative Law Judge</w:t>
      </w:r>
    </w:p>
    <w:p w14:paraId="200402D3" w14:textId="77777777" w:rsidR="00FD159E" w:rsidRDefault="00FD159E" w:rsidP="00FD159E">
      <w:pPr>
        <w:spacing w:line="240" w:lineRule="auto"/>
        <w:rPr>
          <w:rFonts w:eastAsia="Times New Roman"/>
          <w:szCs w:val="24"/>
        </w:rPr>
        <w:sectPr w:rsidR="00FD159E" w:rsidSect="0067753C">
          <w:footerReference w:type="default" r:id="rId8"/>
          <w:pgSz w:w="12240" w:h="15840"/>
          <w:pgMar w:top="1440" w:right="1440" w:bottom="1440" w:left="1440" w:header="720" w:footer="720" w:gutter="0"/>
          <w:cols w:space="720"/>
          <w:titlePg/>
          <w:docGrid w:linePitch="360"/>
        </w:sectPr>
      </w:pPr>
    </w:p>
    <w:p w14:paraId="0AC90FC8" w14:textId="77777777" w:rsidR="00FD159E" w:rsidRPr="00FD159E" w:rsidRDefault="00FD159E" w:rsidP="00FD159E">
      <w:pPr>
        <w:spacing w:line="240" w:lineRule="auto"/>
        <w:contextualSpacing/>
        <w:rPr>
          <w:rFonts w:ascii="Microsoft Sans Serif" w:eastAsiaTheme="minorEastAsia" w:hAnsiTheme="minorHAnsi" w:cstheme="minorBidi"/>
          <w:b/>
          <w:szCs w:val="24"/>
          <w:u w:val="single"/>
        </w:rPr>
      </w:pPr>
      <w:r w:rsidRPr="00FD159E">
        <w:rPr>
          <w:rFonts w:ascii="Microsoft Sans Serif" w:eastAsiaTheme="minorEastAsia" w:hAnsiTheme="minorHAnsi" w:cstheme="minorBidi"/>
          <w:b/>
          <w:szCs w:val="24"/>
          <w:u w:val="single"/>
        </w:rPr>
        <w:lastRenderedPageBreak/>
        <w:t xml:space="preserve">C-2015-2516051 - CENTRE PARK HISTORIC DISTRICT INC v. </w:t>
      </w:r>
      <w:proofErr w:type="spellStart"/>
      <w:r w:rsidRPr="00FD159E">
        <w:rPr>
          <w:rFonts w:ascii="Microsoft Sans Serif" w:eastAsiaTheme="minorEastAsia" w:hAnsiTheme="minorHAnsi" w:cstheme="minorBidi"/>
          <w:b/>
          <w:szCs w:val="24"/>
          <w:u w:val="single"/>
        </w:rPr>
        <w:t>UGI</w:t>
      </w:r>
      <w:proofErr w:type="spellEnd"/>
      <w:r w:rsidRPr="00FD159E">
        <w:rPr>
          <w:rFonts w:ascii="Microsoft Sans Serif" w:eastAsiaTheme="minorEastAsia" w:hAnsiTheme="minorHAnsi" w:cstheme="minorBidi"/>
          <w:b/>
          <w:szCs w:val="24"/>
          <w:u w:val="single"/>
        </w:rPr>
        <w:t xml:space="preserve"> UTILITIES INC</w:t>
      </w:r>
    </w:p>
    <w:p w14:paraId="5E6F316A" w14:textId="77777777" w:rsidR="00FD159E" w:rsidRPr="00FD159E" w:rsidRDefault="00FD159E" w:rsidP="00FD159E">
      <w:pPr>
        <w:spacing w:line="240" w:lineRule="auto"/>
        <w:contextualSpacing/>
        <w:rPr>
          <w:rFonts w:ascii="Microsoft Sans Serif" w:eastAsiaTheme="minorEastAsia" w:hAnsiTheme="minorHAnsi" w:cstheme="minorBidi"/>
          <w:b/>
          <w:szCs w:val="24"/>
          <w:u w:val="single"/>
        </w:rPr>
      </w:pPr>
    </w:p>
    <w:p w14:paraId="6AC78D77" w14:textId="77777777" w:rsidR="00FD159E" w:rsidRPr="00FD159E" w:rsidRDefault="00FD159E" w:rsidP="00FD159E">
      <w:pPr>
        <w:spacing w:line="240" w:lineRule="auto"/>
        <w:contextualSpacing/>
        <w:rPr>
          <w:rFonts w:ascii="Microsoft Sans Serif" w:eastAsiaTheme="minorEastAsia" w:hAnsiTheme="minorHAnsi" w:cstheme="minorBidi"/>
          <w:b/>
          <w:szCs w:val="24"/>
          <w:u w:val="single"/>
        </w:rPr>
      </w:pPr>
      <w:r w:rsidRPr="00FD159E">
        <w:rPr>
          <w:rFonts w:ascii="Microsoft Sans Serif" w:eastAsiaTheme="minorEastAsia" w:hAnsiTheme="minorHAnsi" w:cstheme="minorBidi"/>
          <w:b/>
          <w:szCs w:val="22"/>
          <w:u w:val="single"/>
        </w:rPr>
        <w:t xml:space="preserve">C-2016-2530475 - CITY OF READING v. </w:t>
      </w:r>
      <w:proofErr w:type="spellStart"/>
      <w:r w:rsidRPr="00FD159E">
        <w:rPr>
          <w:rFonts w:ascii="Microsoft Sans Serif" w:eastAsiaTheme="minorEastAsia" w:hAnsiTheme="minorHAnsi" w:cstheme="minorBidi"/>
          <w:b/>
          <w:szCs w:val="22"/>
          <w:u w:val="single"/>
        </w:rPr>
        <w:t>UGI</w:t>
      </w:r>
      <w:proofErr w:type="spellEnd"/>
      <w:r w:rsidRPr="00FD159E">
        <w:rPr>
          <w:rFonts w:ascii="Microsoft Sans Serif" w:eastAsiaTheme="minorEastAsia" w:hAnsiTheme="minorHAnsi" w:cstheme="minorBidi"/>
          <w:b/>
          <w:szCs w:val="22"/>
          <w:u w:val="single"/>
        </w:rPr>
        <w:t xml:space="preserve"> UTILITIES INC</w:t>
      </w:r>
      <w:r w:rsidRPr="00FD159E">
        <w:rPr>
          <w:rFonts w:ascii="Microsoft Sans Serif" w:eastAsiaTheme="minorEastAsia" w:hAnsiTheme="minorHAnsi" w:cstheme="minorBidi"/>
          <w:b/>
          <w:szCs w:val="22"/>
          <w:u w:val="single"/>
        </w:rPr>
        <w:cr/>
      </w:r>
    </w:p>
    <w:p w14:paraId="048B05E5" w14:textId="77777777" w:rsidR="00FD159E" w:rsidRPr="00FD159E" w:rsidRDefault="00FD159E" w:rsidP="00FD159E">
      <w:pPr>
        <w:spacing w:line="240" w:lineRule="auto"/>
        <w:contextualSpacing/>
        <w:rPr>
          <w:rFonts w:ascii="Microsoft Sans Serif" w:eastAsiaTheme="minorEastAsia" w:hAnsiTheme="minorHAnsi" w:cstheme="minorBidi"/>
          <w:i/>
          <w:szCs w:val="24"/>
          <w:u w:val="single"/>
        </w:rPr>
      </w:pPr>
      <w:r w:rsidRPr="00FD159E">
        <w:rPr>
          <w:rFonts w:ascii="Microsoft Sans Serif" w:eastAsiaTheme="minorEastAsia" w:hAnsiTheme="minorHAnsi" w:cstheme="minorBidi"/>
          <w:i/>
          <w:szCs w:val="24"/>
          <w:u w:val="single"/>
        </w:rPr>
        <w:t>Revised 12/11/18</w:t>
      </w:r>
    </w:p>
    <w:p w14:paraId="04F4D835" w14:textId="77777777" w:rsidR="00FD159E" w:rsidRDefault="00FD159E" w:rsidP="00FD159E">
      <w:pPr>
        <w:spacing w:line="240" w:lineRule="auto"/>
        <w:rPr>
          <w:rFonts w:eastAsia="Times New Roman"/>
          <w:szCs w:val="24"/>
        </w:rPr>
      </w:pPr>
    </w:p>
    <w:p w14:paraId="05F55263" w14:textId="2F665C6F" w:rsidR="00FD159E" w:rsidRDefault="00FD159E" w:rsidP="00FD159E">
      <w:pPr>
        <w:spacing w:line="240" w:lineRule="auto"/>
        <w:rPr>
          <w:rFonts w:eastAsia="Times New Roman"/>
          <w:szCs w:val="24"/>
        </w:rPr>
        <w:sectPr w:rsidR="00FD159E" w:rsidSect="00FD159E">
          <w:pgSz w:w="12240" w:h="15840"/>
          <w:pgMar w:top="720" w:right="720" w:bottom="720" w:left="720" w:header="720" w:footer="720" w:gutter="0"/>
          <w:cols w:space="720"/>
          <w:titlePg/>
          <w:docGrid w:linePitch="360"/>
        </w:sectPr>
      </w:pPr>
    </w:p>
    <w:p w14:paraId="5F6FF120"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SCOTT HOH ESQUIRE</w:t>
      </w:r>
    </w:p>
    <w:p w14:paraId="64823F20"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RESOLUTION LAW GROUP</w:t>
      </w:r>
    </w:p>
    <w:p w14:paraId="73BC9B0B"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d/b/a LAW OFFICES OF SCOTT HOH</w:t>
      </w:r>
    </w:p>
    <w:p w14:paraId="2594EED5"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606 NORTH 5</w:t>
      </w:r>
      <w:r w:rsidRPr="00FD159E">
        <w:rPr>
          <w:rFonts w:ascii="Microsoft Sans Serif" w:eastAsiaTheme="minorEastAsia" w:hAnsiTheme="minorHAnsi" w:cstheme="minorBidi"/>
          <w:szCs w:val="24"/>
          <w:vertAlign w:val="superscript"/>
        </w:rPr>
        <w:t>TH</w:t>
      </w:r>
      <w:r w:rsidRPr="00FD159E">
        <w:rPr>
          <w:rFonts w:ascii="Microsoft Sans Serif" w:eastAsiaTheme="minorEastAsia" w:hAnsiTheme="minorHAnsi" w:cstheme="minorBidi"/>
          <w:szCs w:val="24"/>
        </w:rPr>
        <w:t xml:space="preserve"> STREET</w:t>
      </w:r>
    </w:p>
    <w:p w14:paraId="5D9B2257"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READING PA  19601</w:t>
      </w:r>
    </w:p>
    <w:p w14:paraId="23814FF4" w14:textId="77777777" w:rsidR="00FD159E" w:rsidRPr="00FD159E" w:rsidRDefault="00FD159E" w:rsidP="00FD159E">
      <w:pPr>
        <w:spacing w:line="276" w:lineRule="auto"/>
        <w:contextualSpacing/>
        <w:rPr>
          <w:rFonts w:ascii="Microsoft Sans Serif" w:eastAsiaTheme="minorEastAsia" w:hAnsiTheme="minorHAnsi" w:cstheme="minorBidi"/>
          <w:b/>
          <w:szCs w:val="24"/>
        </w:rPr>
      </w:pPr>
      <w:r w:rsidRPr="00FD159E">
        <w:rPr>
          <w:rFonts w:ascii="Microsoft Sans Serif" w:eastAsiaTheme="minorEastAsia" w:hAnsiTheme="minorHAnsi" w:cstheme="minorBidi"/>
          <w:b/>
          <w:szCs w:val="24"/>
        </w:rPr>
        <w:t>610.374.5841</w:t>
      </w:r>
    </w:p>
    <w:p w14:paraId="32E51025" w14:textId="77777777" w:rsidR="00FD159E" w:rsidRPr="00FD159E" w:rsidRDefault="00FD159E" w:rsidP="00FD159E">
      <w:pPr>
        <w:spacing w:line="276" w:lineRule="auto"/>
        <w:contextualSpacing/>
        <w:rPr>
          <w:rFonts w:ascii="Microsoft Sans Serif" w:eastAsiaTheme="minorEastAsia" w:hAnsiTheme="minorHAnsi" w:cstheme="minorBidi"/>
          <w:i/>
          <w:szCs w:val="24"/>
        </w:rPr>
      </w:pPr>
      <w:r w:rsidRPr="00FD159E">
        <w:rPr>
          <w:rFonts w:ascii="Microsoft Sans Serif" w:eastAsiaTheme="minorEastAsia" w:hAnsiTheme="minorHAnsi" w:cstheme="minorBidi"/>
          <w:i/>
          <w:szCs w:val="24"/>
        </w:rPr>
        <w:t>Representing Centre Park Historic District, Inc.</w:t>
      </w:r>
    </w:p>
    <w:p w14:paraId="18A92061" w14:textId="77777777" w:rsidR="00FD159E" w:rsidRPr="00FD159E" w:rsidRDefault="00FD159E" w:rsidP="00FD159E">
      <w:pPr>
        <w:spacing w:line="240" w:lineRule="auto"/>
        <w:contextualSpacing/>
        <w:rPr>
          <w:rFonts w:ascii="Microsoft Sans Serif" w:eastAsiaTheme="minorEastAsia" w:hAnsiTheme="minorHAnsi" w:cstheme="minorBidi"/>
          <w:szCs w:val="24"/>
        </w:rPr>
      </w:pPr>
    </w:p>
    <w:p w14:paraId="2B4BE0E9"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RICH RAIDERS ESQUIRE</w:t>
      </w:r>
    </w:p>
    <w:p w14:paraId="190022EA"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606 NORTH 5</w:t>
      </w:r>
      <w:r w:rsidRPr="00FD159E">
        <w:rPr>
          <w:rFonts w:ascii="Microsoft Sans Serif" w:eastAsiaTheme="minorEastAsia" w:hAnsiTheme="minorHAnsi" w:cstheme="minorBidi"/>
          <w:szCs w:val="24"/>
          <w:vertAlign w:val="superscript"/>
        </w:rPr>
        <w:t>TH</w:t>
      </w:r>
      <w:r w:rsidRPr="00FD159E">
        <w:rPr>
          <w:rFonts w:ascii="Microsoft Sans Serif" w:eastAsiaTheme="minorEastAsia" w:hAnsiTheme="minorHAnsi" w:cstheme="minorBidi"/>
          <w:szCs w:val="24"/>
        </w:rPr>
        <w:t xml:space="preserve"> STREET</w:t>
      </w:r>
    </w:p>
    <w:p w14:paraId="35481D6F"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READING PA  19601</w:t>
      </w:r>
    </w:p>
    <w:p w14:paraId="2A9E0E88" w14:textId="77777777" w:rsidR="00FD159E" w:rsidRPr="00FD159E" w:rsidRDefault="00FD159E" w:rsidP="00FD159E">
      <w:pPr>
        <w:spacing w:line="276" w:lineRule="auto"/>
        <w:contextualSpacing/>
        <w:rPr>
          <w:rFonts w:ascii="Microsoft Sans Serif" w:eastAsiaTheme="minorEastAsia" w:hAnsiTheme="minorHAnsi" w:cstheme="minorBidi"/>
          <w:b/>
          <w:szCs w:val="24"/>
        </w:rPr>
      </w:pPr>
      <w:r w:rsidRPr="00FD159E">
        <w:rPr>
          <w:rFonts w:ascii="Microsoft Sans Serif" w:eastAsiaTheme="minorEastAsia" w:hAnsiTheme="minorHAnsi" w:cstheme="minorBidi"/>
          <w:b/>
          <w:szCs w:val="24"/>
        </w:rPr>
        <w:t>484.509.2715</w:t>
      </w:r>
    </w:p>
    <w:p w14:paraId="0CA03DC4" w14:textId="77777777" w:rsidR="00FD159E" w:rsidRPr="00FD159E" w:rsidRDefault="00FD159E" w:rsidP="00FD159E">
      <w:pPr>
        <w:spacing w:line="276" w:lineRule="auto"/>
        <w:contextualSpacing/>
        <w:rPr>
          <w:rFonts w:ascii="Microsoft Sans Serif" w:eastAsiaTheme="minorEastAsia" w:hAnsiTheme="minorHAnsi" w:cstheme="minorBidi"/>
          <w:i/>
          <w:szCs w:val="24"/>
        </w:rPr>
      </w:pPr>
      <w:bookmarkStart w:id="2" w:name="_Hlk532283537"/>
      <w:r w:rsidRPr="00FD159E">
        <w:rPr>
          <w:rFonts w:ascii="Microsoft Sans Serif" w:eastAsiaTheme="minorEastAsia" w:hAnsiTheme="minorHAnsi" w:cstheme="minorBidi"/>
          <w:i/>
          <w:szCs w:val="24"/>
        </w:rPr>
        <w:t>Accepts E-service</w:t>
      </w:r>
    </w:p>
    <w:bookmarkEnd w:id="2"/>
    <w:p w14:paraId="7A6E512E" w14:textId="77777777" w:rsidR="00FD159E" w:rsidRPr="00FD159E" w:rsidRDefault="00FD159E" w:rsidP="00FD159E">
      <w:pPr>
        <w:spacing w:line="276" w:lineRule="auto"/>
        <w:contextualSpacing/>
        <w:rPr>
          <w:rFonts w:ascii="Microsoft Sans Serif" w:eastAsiaTheme="minorEastAsia" w:hAnsiTheme="minorHAnsi" w:cstheme="minorBidi"/>
          <w:i/>
          <w:szCs w:val="24"/>
        </w:rPr>
      </w:pPr>
      <w:r w:rsidRPr="00FD159E">
        <w:rPr>
          <w:rFonts w:ascii="Microsoft Sans Serif" w:eastAsiaTheme="minorEastAsia" w:hAnsiTheme="minorHAnsi" w:cstheme="minorBidi"/>
          <w:i/>
          <w:szCs w:val="24"/>
        </w:rPr>
        <w:t>Representing Centre Park Historic District, Inc.</w:t>
      </w:r>
    </w:p>
    <w:p w14:paraId="752D4EC3" w14:textId="77777777" w:rsidR="00FD159E" w:rsidRPr="00FD159E" w:rsidRDefault="00FD159E" w:rsidP="00FD159E">
      <w:pPr>
        <w:spacing w:line="240" w:lineRule="auto"/>
        <w:contextualSpacing/>
        <w:rPr>
          <w:rFonts w:ascii="Microsoft Sans Serif" w:eastAsiaTheme="minorEastAsia" w:hAnsiTheme="minorHAnsi" w:cstheme="minorBidi"/>
          <w:szCs w:val="24"/>
        </w:rPr>
      </w:pPr>
    </w:p>
    <w:p w14:paraId="6633952F" w14:textId="77777777" w:rsidR="00FD159E" w:rsidRPr="00FD159E" w:rsidRDefault="00FD159E" w:rsidP="00FD159E">
      <w:pPr>
        <w:spacing w:line="240"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ELIZABETH KRAFT ESQUIRE</w:t>
      </w:r>
    </w:p>
    <w:p w14:paraId="63EF2023" w14:textId="77777777" w:rsidR="00FD159E" w:rsidRPr="00FD159E" w:rsidRDefault="00FD159E" w:rsidP="00FD159E">
      <w:pPr>
        <w:spacing w:line="240"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815 WASHINGTON STREET</w:t>
      </w:r>
    </w:p>
    <w:p w14:paraId="67B0C66A" w14:textId="77777777" w:rsidR="00FD159E" w:rsidRPr="00FD159E" w:rsidRDefault="00FD159E" w:rsidP="00FD159E">
      <w:pPr>
        <w:spacing w:line="240"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READING PA 19601</w:t>
      </w:r>
    </w:p>
    <w:p w14:paraId="03B8B956" w14:textId="77777777" w:rsidR="00FD159E" w:rsidRPr="00FD159E" w:rsidRDefault="00FD159E" w:rsidP="00FD159E">
      <w:pPr>
        <w:spacing w:line="240" w:lineRule="auto"/>
        <w:contextualSpacing/>
        <w:rPr>
          <w:rFonts w:ascii="Microsoft Sans Serif" w:eastAsiaTheme="minorEastAsia" w:hAnsiTheme="minorHAnsi" w:cstheme="minorBidi"/>
          <w:b/>
          <w:szCs w:val="24"/>
        </w:rPr>
      </w:pPr>
      <w:r w:rsidRPr="00FD159E">
        <w:rPr>
          <w:rFonts w:ascii="Microsoft Sans Serif" w:eastAsiaTheme="minorEastAsia" w:hAnsiTheme="minorHAnsi" w:cstheme="minorBidi"/>
          <w:b/>
          <w:szCs w:val="24"/>
        </w:rPr>
        <w:t>610.655.6010</w:t>
      </w:r>
    </w:p>
    <w:p w14:paraId="60AAD023" w14:textId="77777777" w:rsidR="00FD159E" w:rsidRPr="00FD159E" w:rsidRDefault="00FD159E" w:rsidP="00FD159E">
      <w:pPr>
        <w:spacing w:line="240" w:lineRule="auto"/>
        <w:contextualSpacing/>
        <w:rPr>
          <w:rFonts w:ascii="Microsoft Sans Serif" w:eastAsiaTheme="minorEastAsia" w:hAnsiTheme="minorHAnsi" w:cstheme="minorBidi"/>
          <w:i/>
          <w:szCs w:val="24"/>
        </w:rPr>
      </w:pPr>
      <w:r w:rsidRPr="00FD159E">
        <w:rPr>
          <w:rFonts w:ascii="Microsoft Sans Serif" w:eastAsiaTheme="minorEastAsia" w:hAnsiTheme="minorHAnsi" w:cstheme="minorBidi"/>
          <w:i/>
          <w:szCs w:val="24"/>
        </w:rPr>
        <w:t>Accepts E-service</w:t>
      </w:r>
    </w:p>
    <w:p w14:paraId="13FFBBE3" w14:textId="77777777" w:rsidR="00FD159E" w:rsidRPr="00FD159E" w:rsidRDefault="00FD159E" w:rsidP="00FD159E">
      <w:pPr>
        <w:spacing w:line="240" w:lineRule="auto"/>
        <w:contextualSpacing/>
        <w:rPr>
          <w:rFonts w:ascii="Microsoft Sans Serif" w:eastAsiaTheme="minorEastAsia" w:hAnsiTheme="minorHAnsi" w:cstheme="minorBidi"/>
          <w:i/>
          <w:szCs w:val="24"/>
        </w:rPr>
      </w:pPr>
      <w:r w:rsidRPr="00FD159E">
        <w:rPr>
          <w:rFonts w:ascii="Microsoft Sans Serif" w:eastAsiaTheme="minorEastAsia" w:hAnsiTheme="minorHAnsi" w:cstheme="minorBidi"/>
          <w:i/>
          <w:szCs w:val="24"/>
        </w:rPr>
        <w:t>Representing City of Reading</w:t>
      </w:r>
    </w:p>
    <w:p w14:paraId="54D7BFE4" w14:textId="77777777" w:rsidR="00FD159E" w:rsidRPr="00FD159E" w:rsidRDefault="00FD159E" w:rsidP="00FD159E">
      <w:pPr>
        <w:spacing w:line="240" w:lineRule="auto"/>
        <w:contextualSpacing/>
        <w:rPr>
          <w:rFonts w:ascii="Microsoft Sans Serif" w:eastAsiaTheme="minorEastAsia" w:hAnsiTheme="minorHAnsi" w:cstheme="minorBidi"/>
          <w:i/>
          <w:szCs w:val="24"/>
        </w:rPr>
      </w:pPr>
    </w:p>
    <w:p w14:paraId="73E97227" w14:textId="77777777" w:rsidR="00FD159E" w:rsidRPr="00FD159E" w:rsidRDefault="00FD159E" w:rsidP="00FD159E">
      <w:pPr>
        <w:spacing w:line="240"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CHARLES E THOMAS III ESQUIRE</w:t>
      </w:r>
    </w:p>
    <w:p w14:paraId="5DCD4AB0" w14:textId="77777777" w:rsidR="00FD159E" w:rsidRPr="00FD159E" w:rsidRDefault="00FD159E" w:rsidP="00FD159E">
      <w:pPr>
        <w:spacing w:line="240"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CHARLES E THOMAS JR ESQUIRE</w:t>
      </w:r>
    </w:p>
    <w:p w14:paraId="27B719FB" w14:textId="77777777" w:rsidR="00FD159E" w:rsidRPr="00FD159E" w:rsidRDefault="00FD159E" w:rsidP="00FD159E">
      <w:pPr>
        <w:spacing w:line="240"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 xml:space="preserve">THOMAS </w:t>
      </w:r>
      <w:proofErr w:type="spellStart"/>
      <w:r w:rsidRPr="00FD159E">
        <w:rPr>
          <w:rFonts w:ascii="Microsoft Sans Serif" w:eastAsiaTheme="minorEastAsia" w:hAnsiTheme="minorHAnsi" w:cstheme="minorBidi"/>
          <w:szCs w:val="24"/>
        </w:rPr>
        <w:t>NIESEN</w:t>
      </w:r>
      <w:proofErr w:type="spellEnd"/>
      <w:r w:rsidRPr="00FD159E">
        <w:rPr>
          <w:rFonts w:ascii="Microsoft Sans Serif" w:eastAsiaTheme="minorEastAsia" w:hAnsiTheme="minorHAnsi" w:cstheme="minorBidi"/>
          <w:szCs w:val="24"/>
        </w:rPr>
        <w:t xml:space="preserve"> &amp; THOMAS LLC</w:t>
      </w:r>
    </w:p>
    <w:p w14:paraId="366C7612" w14:textId="77777777" w:rsidR="00FD159E" w:rsidRPr="00FD159E" w:rsidRDefault="00FD159E" w:rsidP="00FD159E">
      <w:pPr>
        <w:spacing w:line="240"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212 LOCUST STREET SUITE 302</w:t>
      </w:r>
    </w:p>
    <w:p w14:paraId="79FA59BE" w14:textId="77777777" w:rsidR="00FD159E" w:rsidRPr="00FD159E" w:rsidRDefault="00FD159E" w:rsidP="00FD159E">
      <w:pPr>
        <w:spacing w:line="240"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HARRISBURG PA 17101</w:t>
      </w:r>
    </w:p>
    <w:p w14:paraId="1451B9A0" w14:textId="77777777" w:rsidR="00FD159E" w:rsidRPr="00FD159E" w:rsidRDefault="00FD159E" w:rsidP="00FD159E">
      <w:pPr>
        <w:spacing w:line="240" w:lineRule="auto"/>
        <w:contextualSpacing/>
        <w:rPr>
          <w:rFonts w:ascii="Microsoft Sans Serif" w:eastAsiaTheme="minorEastAsia" w:hAnsiTheme="minorHAnsi" w:cstheme="minorBidi"/>
          <w:b/>
          <w:szCs w:val="24"/>
        </w:rPr>
      </w:pPr>
      <w:r w:rsidRPr="00FD159E">
        <w:rPr>
          <w:rFonts w:ascii="Microsoft Sans Serif" w:eastAsiaTheme="minorEastAsia" w:hAnsiTheme="minorHAnsi" w:cstheme="minorBidi"/>
          <w:b/>
          <w:szCs w:val="24"/>
        </w:rPr>
        <w:t>717.255.7600</w:t>
      </w:r>
    </w:p>
    <w:p w14:paraId="1E4ADC4F" w14:textId="77777777" w:rsidR="00FD159E" w:rsidRPr="00FD159E" w:rsidRDefault="00FD159E" w:rsidP="00FD159E">
      <w:pPr>
        <w:spacing w:line="240" w:lineRule="auto"/>
        <w:contextualSpacing/>
        <w:rPr>
          <w:rFonts w:ascii="Microsoft Sans Serif" w:eastAsiaTheme="minorEastAsia" w:hAnsiTheme="minorHAnsi" w:cstheme="minorBidi"/>
          <w:i/>
          <w:szCs w:val="24"/>
        </w:rPr>
      </w:pPr>
      <w:r w:rsidRPr="00FD159E">
        <w:rPr>
          <w:rFonts w:ascii="Microsoft Sans Serif" w:eastAsiaTheme="minorEastAsia" w:hAnsiTheme="minorHAnsi" w:cstheme="minorBidi"/>
          <w:i/>
          <w:szCs w:val="24"/>
        </w:rPr>
        <w:t>Accepts E-service</w:t>
      </w:r>
    </w:p>
    <w:p w14:paraId="38F28A7B" w14:textId="77777777" w:rsidR="00FD159E" w:rsidRPr="00FD159E" w:rsidRDefault="00FD159E" w:rsidP="00FD159E">
      <w:pPr>
        <w:spacing w:line="240" w:lineRule="auto"/>
        <w:contextualSpacing/>
        <w:rPr>
          <w:rFonts w:ascii="Microsoft Sans Serif" w:eastAsiaTheme="minorEastAsia" w:hAnsiTheme="minorHAnsi" w:cstheme="minorBidi"/>
          <w:i/>
          <w:szCs w:val="24"/>
        </w:rPr>
      </w:pPr>
      <w:r w:rsidRPr="00FD159E">
        <w:rPr>
          <w:rFonts w:ascii="Microsoft Sans Serif" w:eastAsiaTheme="minorEastAsia" w:hAnsiTheme="minorHAnsi" w:cstheme="minorBidi"/>
          <w:i/>
          <w:szCs w:val="24"/>
        </w:rPr>
        <w:t>Representing City of Reading</w:t>
      </w:r>
    </w:p>
    <w:p w14:paraId="4BB76AF9" w14:textId="77777777" w:rsidR="00FD159E" w:rsidRPr="00FD159E" w:rsidRDefault="00FD159E" w:rsidP="00FD159E">
      <w:pPr>
        <w:spacing w:line="240" w:lineRule="auto"/>
        <w:contextualSpacing/>
        <w:rPr>
          <w:rFonts w:ascii="Microsoft Sans Serif" w:eastAsiaTheme="minorEastAsia" w:hAnsiTheme="minorHAnsi" w:cstheme="minorBidi"/>
          <w:szCs w:val="24"/>
        </w:rPr>
      </w:pPr>
    </w:p>
    <w:p w14:paraId="568FA793" w14:textId="77777777" w:rsidR="00FD159E" w:rsidRPr="00FD159E" w:rsidRDefault="00FD159E" w:rsidP="00FD159E">
      <w:pPr>
        <w:spacing w:line="240"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MARK C MORROW ESQUIRE</w:t>
      </w:r>
    </w:p>
    <w:p w14:paraId="601C996D"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 xml:space="preserve">DANIELLE </w:t>
      </w:r>
      <w:proofErr w:type="spellStart"/>
      <w:r w:rsidRPr="00FD159E">
        <w:rPr>
          <w:rFonts w:ascii="Microsoft Sans Serif" w:eastAsiaTheme="minorEastAsia" w:hAnsiTheme="minorHAnsi" w:cstheme="minorBidi"/>
          <w:szCs w:val="24"/>
        </w:rPr>
        <w:t>JOUENNE</w:t>
      </w:r>
      <w:proofErr w:type="spellEnd"/>
      <w:r w:rsidRPr="00FD159E">
        <w:rPr>
          <w:rFonts w:ascii="Microsoft Sans Serif" w:eastAsiaTheme="minorEastAsia" w:hAnsiTheme="minorHAnsi" w:cstheme="minorBidi"/>
          <w:szCs w:val="24"/>
        </w:rPr>
        <w:t xml:space="preserve"> ESQUIRE</w:t>
      </w:r>
    </w:p>
    <w:p w14:paraId="4436E16F" w14:textId="77777777" w:rsidR="00FD159E" w:rsidRPr="00FD159E" w:rsidRDefault="00FD159E" w:rsidP="00FD159E">
      <w:pPr>
        <w:spacing w:line="276" w:lineRule="auto"/>
        <w:contextualSpacing/>
        <w:rPr>
          <w:rFonts w:ascii="Microsoft Sans Serif" w:eastAsiaTheme="minorEastAsia" w:hAnsiTheme="minorHAnsi" w:cstheme="minorBidi"/>
          <w:szCs w:val="24"/>
        </w:rPr>
      </w:pPr>
      <w:proofErr w:type="spellStart"/>
      <w:r w:rsidRPr="00FD159E">
        <w:rPr>
          <w:rFonts w:ascii="Microsoft Sans Serif" w:eastAsiaTheme="minorEastAsia" w:hAnsiTheme="minorHAnsi" w:cstheme="minorBidi"/>
          <w:szCs w:val="24"/>
        </w:rPr>
        <w:t>UGI</w:t>
      </w:r>
      <w:proofErr w:type="spellEnd"/>
      <w:r w:rsidRPr="00FD159E">
        <w:rPr>
          <w:rFonts w:ascii="Microsoft Sans Serif" w:eastAsiaTheme="minorEastAsia" w:hAnsiTheme="minorHAnsi" w:cstheme="minorBidi"/>
          <w:szCs w:val="24"/>
        </w:rPr>
        <w:t xml:space="preserve"> UTILITIES INC</w:t>
      </w:r>
    </w:p>
    <w:p w14:paraId="08733C50"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460 NORTH GULPH ROAD</w:t>
      </w:r>
    </w:p>
    <w:p w14:paraId="47DD8C7F"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KING OF PRUSSIA PA 19406-2807</w:t>
      </w:r>
    </w:p>
    <w:p w14:paraId="1963D043" w14:textId="77777777" w:rsidR="00FD159E" w:rsidRPr="00FD159E" w:rsidRDefault="00FD159E" w:rsidP="00FD159E">
      <w:pPr>
        <w:spacing w:line="276" w:lineRule="auto"/>
        <w:contextualSpacing/>
        <w:rPr>
          <w:rFonts w:ascii="Microsoft Sans Serif" w:eastAsiaTheme="minorEastAsia" w:hAnsiTheme="minorHAnsi" w:cstheme="minorBidi"/>
          <w:b/>
          <w:szCs w:val="24"/>
        </w:rPr>
      </w:pPr>
      <w:r w:rsidRPr="00FD159E">
        <w:rPr>
          <w:rFonts w:ascii="Microsoft Sans Serif" w:eastAsiaTheme="minorEastAsia" w:hAnsiTheme="minorHAnsi" w:cstheme="minorBidi"/>
          <w:b/>
          <w:szCs w:val="24"/>
        </w:rPr>
        <w:t>610.768.3628</w:t>
      </w:r>
    </w:p>
    <w:p w14:paraId="253951F0" w14:textId="77777777" w:rsidR="00FD159E" w:rsidRPr="00FD159E" w:rsidRDefault="00FD159E" w:rsidP="00FD159E">
      <w:pPr>
        <w:spacing w:line="276" w:lineRule="auto"/>
        <w:contextualSpacing/>
        <w:rPr>
          <w:rFonts w:ascii="Microsoft Sans Serif" w:eastAsiaTheme="minorEastAsia" w:hAnsiTheme="minorHAnsi" w:cstheme="minorBidi"/>
          <w:b/>
          <w:szCs w:val="24"/>
        </w:rPr>
      </w:pPr>
      <w:r w:rsidRPr="00FD159E">
        <w:rPr>
          <w:rFonts w:ascii="Microsoft Sans Serif" w:eastAsiaTheme="minorEastAsia" w:hAnsiTheme="minorHAnsi" w:cstheme="minorBidi"/>
          <w:b/>
          <w:szCs w:val="24"/>
        </w:rPr>
        <w:t>610.992.3203</w:t>
      </w:r>
    </w:p>
    <w:p w14:paraId="2309357D" w14:textId="77777777" w:rsidR="00FD159E" w:rsidRPr="00FD159E" w:rsidRDefault="00FD159E" w:rsidP="00FD159E">
      <w:pPr>
        <w:spacing w:line="276" w:lineRule="auto"/>
        <w:contextualSpacing/>
        <w:rPr>
          <w:rFonts w:ascii="Microsoft Sans Serif" w:eastAsiaTheme="minorEastAsia" w:hAnsiTheme="minorHAnsi" w:cstheme="minorBidi"/>
          <w:i/>
          <w:szCs w:val="24"/>
        </w:rPr>
      </w:pPr>
      <w:r w:rsidRPr="00FD159E">
        <w:rPr>
          <w:rFonts w:ascii="Microsoft Sans Serif" w:eastAsiaTheme="minorEastAsia" w:hAnsiTheme="minorHAnsi" w:cstheme="minorBidi"/>
          <w:i/>
          <w:szCs w:val="24"/>
        </w:rPr>
        <w:t>Accepts E-service</w:t>
      </w:r>
    </w:p>
    <w:p w14:paraId="3355B2F6" w14:textId="77777777" w:rsidR="00FD159E" w:rsidRPr="00FD159E" w:rsidRDefault="00FD159E" w:rsidP="00FD159E">
      <w:pPr>
        <w:spacing w:line="276" w:lineRule="auto"/>
        <w:contextualSpacing/>
        <w:rPr>
          <w:rFonts w:ascii="Microsoft Sans Serif" w:eastAsiaTheme="minorEastAsia" w:hAnsiTheme="minorHAnsi" w:cstheme="minorBidi"/>
          <w:i/>
          <w:szCs w:val="24"/>
        </w:rPr>
      </w:pPr>
      <w:r w:rsidRPr="00FD159E">
        <w:rPr>
          <w:rFonts w:ascii="Microsoft Sans Serif" w:eastAsiaTheme="minorEastAsia" w:hAnsiTheme="minorHAnsi" w:cstheme="minorBidi"/>
          <w:i/>
          <w:szCs w:val="24"/>
        </w:rPr>
        <w:t xml:space="preserve">Representing </w:t>
      </w:r>
      <w:proofErr w:type="spellStart"/>
      <w:r w:rsidRPr="00FD159E">
        <w:rPr>
          <w:rFonts w:ascii="Microsoft Sans Serif" w:eastAsiaTheme="minorEastAsia" w:hAnsiTheme="minorHAnsi" w:cstheme="minorBidi"/>
          <w:i/>
          <w:szCs w:val="24"/>
        </w:rPr>
        <w:t>UGI</w:t>
      </w:r>
      <w:proofErr w:type="spellEnd"/>
      <w:r w:rsidRPr="00FD159E">
        <w:rPr>
          <w:rFonts w:ascii="Microsoft Sans Serif" w:eastAsiaTheme="minorEastAsia" w:hAnsiTheme="minorHAnsi" w:cstheme="minorBidi"/>
          <w:i/>
          <w:szCs w:val="24"/>
        </w:rPr>
        <w:t xml:space="preserve"> Utilities, Inc. </w:t>
      </w:r>
      <w:r w:rsidRPr="00FD159E">
        <w:rPr>
          <w:rFonts w:ascii="Microsoft Sans Serif" w:eastAsiaTheme="minorEastAsia" w:hAnsiTheme="minorHAnsi" w:cstheme="minorBidi"/>
          <w:i/>
          <w:szCs w:val="24"/>
        </w:rPr>
        <w:t>–</w:t>
      </w:r>
      <w:r w:rsidRPr="00FD159E">
        <w:rPr>
          <w:rFonts w:ascii="Microsoft Sans Serif" w:eastAsiaTheme="minorEastAsia" w:hAnsiTheme="minorHAnsi" w:cstheme="minorBidi"/>
          <w:i/>
          <w:szCs w:val="24"/>
        </w:rPr>
        <w:t xml:space="preserve"> Gas Division</w:t>
      </w:r>
    </w:p>
    <w:p w14:paraId="79BF43D5" w14:textId="77777777" w:rsidR="00FD159E" w:rsidRPr="00FD159E" w:rsidRDefault="00FD159E" w:rsidP="00FD159E">
      <w:pPr>
        <w:spacing w:line="276" w:lineRule="auto"/>
        <w:contextualSpacing/>
        <w:rPr>
          <w:rFonts w:ascii="Microsoft Sans Serif" w:eastAsiaTheme="minorEastAsia" w:hAnsiTheme="minorHAnsi" w:cstheme="minorBidi"/>
          <w:szCs w:val="24"/>
        </w:rPr>
      </w:pPr>
    </w:p>
    <w:p w14:paraId="399A329F" w14:textId="77777777" w:rsidR="00FD159E" w:rsidRPr="00FD159E" w:rsidRDefault="00FD159E" w:rsidP="00FD159E">
      <w:pPr>
        <w:spacing w:line="276" w:lineRule="auto"/>
        <w:contextualSpacing/>
        <w:rPr>
          <w:rFonts w:ascii="Microsoft Sans Serif" w:eastAsiaTheme="minorEastAsia" w:hAnsiTheme="minorHAnsi" w:cstheme="minorBidi"/>
          <w:szCs w:val="24"/>
        </w:rPr>
      </w:pPr>
    </w:p>
    <w:p w14:paraId="6B94DB7F" w14:textId="77777777" w:rsidR="00FD159E" w:rsidRPr="00FD159E" w:rsidRDefault="00FD159E" w:rsidP="00FD159E">
      <w:pPr>
        <w:spacing w:line="276" w:lineRule="auto"/>
        <w:contextualSpacing/>
        <w:rPr>
          <w:rFonts w:ascii="Microsoft Sans Serif" w:eastAsiaTheme="minorEastAsia" w:hAnsiTheme="minorHAnsi" w:cstheme="minorBidi"/>
          <w:szCs w:val="24"/>
        </w:rPr>
      </w:pPr>
    </w:p>
    <w:p w14:paraId="48B579E4"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DAVID B MACGREGOR ESQUIRE</w:t>
      </w:r>
    </w:p>
    <w:p w14:paraId="75120940"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POST &amp; SHELL PC</w:t>
      </w:r>
    </w:p>
    <w:p w14:paraId="4FF9CBE4"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FOUR PENN CENTER</w:t>
      </w:r>
    </w:p>
    <w:p w14:paraId="3D0FDC8B"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1600 JOHN F KENNEDY BOULEVARD</w:t>
      </w:r>
    </w:p>
    <w:p w14:paraId="248C9DDC"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PHILADELPHIA PA 19103-2808</w:t>
      </w:r>
    </w:p>
    <w:p w14:paraId="4190C0D6" w14:textId="77777777" w:rsidR="00FD159E" w:rsidRPr="00FD159E" w:rsidRDefault="00FD159E" w:rsidP="00FD159E">
      <w:pPr>
        <w:spacing w:line="276" w:lineRule="auto"/>
        <w:contextualSpacing/>
        <w:rPr>
          <w:rFonts w:ascii="Microsoft Sans Serif" w:eastAsiaTheme="minorEastAsia" w:hAnsiTheme="minorHAnsi" w:cstheme="minorBidi"/>
          <w:b/>
          <w:szCs w:val="24"/>
        </w:rPr>
      </w:pPr>
      <w:r w:rsidRPr="00FD159E">
        <w:rPr>
          <w:rFonts w:ascii="Microsoft Sans Serif" w:eastAsiaTheme="minorEastAsia" w:hAnsiTheme="minorHAnsi" w:cstheme="minorBidi"/>
          <w:b/>
          <w:szCs w:val="24"/>
        </w:rPr>
        <w:t>215.587.1197</w:t>
      </w:r>
    </w:p>
    <w:p w14:paraId="6942A942" w14:textId="77777777" w:rsidR="00FD159E" w:rsidRPr="00FD159E" w:rsidRDefault="00FD159E" w:rsidP="00FD159E">
      <w:pPr>
        <w:spacing w:line="276" w:lineRule="auto"/>
        <w:contextualSpacing/>
        <w:rPr>
          <w:rFonts w:asciiTheme="minorHAnsi" w:eastAsiaTheme="minorEastAsia" w:hAnsiTheme="minorHAnsi" w:cstheme="minorBidi"/>
          <w:sz w:val="22"/>
          <w:szCs w:val="22"/>
        </w:rPr>
      </w:pPr>
      <w:r w:rsidRPr="00FD159E">
        <w:rPr>
          <w:rFonts w:ascii="Microsoft Sans Serif" w:eastAsiaTheme="minorEastAsia" w:hAnsiTheme="minorHAnsi" w:cstheme="minorBidi"/>
          <w:i/>
          <w:szCs w:val="24"/>
        </w:rPr>
        <w:t xml:space="preserve">Representing </w:t>
      </w:r>
      <w:proofErr w:type="spellStart"/>
      <w:r w:rsidRPr="00FD159E">
        <w:rPr>
          <w:rFonts w:ascii="Microsoft Sans Serif" w:eastAsiaTheme="minorEastAsia" w:hAnsiTheme="minorHAnsi" w:cstheme="minorBidi"/>
          <w:i/>
          <w:szCs w:val="24"/>
        </w:rPr>
        <w:t>UGI</w:t>
      </w:r>
      <w:proofErr w:type="spellEnd"/>
      <w:r w:rsidRPr="00FD159E">
        <w:rPr>
          <w:rFonts w:ascii="Microsoft Sans Serif" w:eastAsiaTheme="minorEastAsia" w:hAnsiTheme="minorHAnsi" w:cstheme="minorBidi"/>
          <w:i/>
          <w:szCs w:val="24"/>
        </w:rPr>
        <w:t xml:space="preserve"> Utilities, Inc.</w:t>
      </w:r>
    </w:p>
    <w:p w14:paraId="3D6428CF" w14:textId="77777777" w:rsidR="00FD159E" w:rsidRPr="00FD159E" w:rsidRDefault="00FD159E" w:rsidP="00FD159E">
      <w:pPr>
        <w:spacing w:line="276" w:lineRule="auto"/>
        <w:contextualSpacing/>
        <w:rPr>
          <w:rFonts w:ascii="Microsoft Sans Serif" w:eastAsiaTheme="minorEastAsia" w:hAnsiTheme="minorHAnsi" w:cstheme="minorBidi"/>
          <w:szCs w:val="24"/>
        </w:rPr>
      </w:pPr>
    </w:p>
    <w:p w14:paraId="467E7340"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DEVIN T RYAN ESQUIRE</w:t>
      </w:r>
    </w:p>
    <w:p w14:paraId="7C184739"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POST &amp; SHELL PC</w:t>
      </w:r>
    </w:p>
    <w:p w14:paraId="4A7141E7"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17 NORTH SECOND STREET</w:t>
      </w:r>
    </w:p>
    <w:p w14:paraId="75FA1FD8"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12</w:t>
      </w:r>
      <w:r w:rsidRPr="00FD159E">
        <w:rPr>
          <w:rFonts w:ascii="Microsoft Sans Serif" w:eastAsiaTheme="minorEastAsia" w:hAnsiTheme="minorHAnsi" w:cstheme="minorBidi"/>
          <w:szCs w:val="24"/>
          <w:vertAlign w:val="superscript"/>
        </w:rPr>
        <w:t>TH</w:t>
      </w:r>
      <w:r w:rsidRPr="00FD159E">
        <w:rPr>
          <w:rFonts w:ascii="Microsoft Sans Serif" w:eastAsiaTheme="minorEastAsia" w:hAnsiTheme="minorHAnsi" w:cstheme="minorBidi"/>
          <w:szCs w:val="24"/>
        </w:rPr>
        <w:t xml:space="preserve"> FLOOR</w:t>
      </w:r>
    </w:p>
    <w:p w14:paraId="17A49503" w14:textId="77777777" w:rsidR="00FD159E" w:rsidRPr="00FD159E" w:rsidRDefault="00FD159E" w:rsidP="00FD159E">
      <w:pPr>
        <w:spacing w:line="276" w:lineRule="auto"/>
        <w:contextualSpacing/>
        <w:rPr>
          <w:rFonts w:ascii="Microsoft Sans Serif" w:eastAsiaTheme="minorEastAsia" w:hAnsiTheme="minorHAnsi" w:cstheme="minorBidi"/>
          <w:szCs w:val="24"/>
        </w:rPr>
      </w:pPr>
      <w:r w:rsidRPr="00FD159E">
        <w:rPr>
          <w:rFonts w:ascii="Microsoft Sans Serif" w:eastAsiaTheme="minorEastAsia" w:hAnsiTheme="minorHAnsi" w:cstheme="minorBidi"/>
          <w:szCs w:val="24"/>
        </w:rPr>
        <w:t>HARRISBURG PA 17101-1601</w:t>
      </w:r>
    </w:p>
    <w:p w14:paraId="1FF54B2A" w14:textId="77777777" w:rsidR="00FD159E" w:rsidRPr="00FD159E" w:rsidRDefault="00FD159E" w:rsidP="00FD159E">
      <w:pPr>
        <w:spacing w:line="276" w:lineRule="auto"/>
        <w:contextualSpacing/>
        <w:rPr>
          <w:rFonts w:ascii="Microsoft Sans Serif" w:eastAsiaTheme="minorEastAsia" w:hAnsiTheme="minorHAnsi" w:cstheme="minorBidi"/>
          <w:b/>
          <w:szCs w:val="24"/>
        </w:rPr>
      </w:pPr>
      <w:r w:rsidRPr="00FD159E">
        <w:rPr>
          <w:rFonts w:ascii="Microsoft Sans Serif" w:eastAsiaTheme="minorEastAsia" w:hAnsiTheme="minorHAnsi" w:cstheme="minorBidi"/>
          <w:b/>
          <w:szCs w:val="24"/>
        </w:rPr>
        <w:t>717.731.1970</w:t>
      </w:r>
    </w:p>
    <w:p w14:paraId="20515124" w14:textId="77777777" w:rsidR="00FD159E" w:rsidRPr="00FD159E" w:rsidRDefault="00FD159E" w:rsidP="00FD159E">
      <w:pPr>
        <w:spacing w:line="276" w:lineRule="auto"/>
        <w:contextualSpacing/>
        <w:rPr>
          <w:rFonts w:ascii="Microsoft Sans Serif" w:eastAsiaTheme="minorEastAsia" w:hAnsiTheme="minorHAnsi" w:cstheme="minorBidi"/>
          <w:i/>
          <w:szCs w:val="24"/>
        </w:rPr>
      </w:pPr>
      <w:r w:rsidRPr="00FD159E">
        <w:rPr>
          <w:rFonts w:ascii="Microsoft Sans Serif" w:eastAsiaTheme="minorEastAsia" w:hAnsiTheme="minorHAnsi" w:cstheme="minorBidi"/>
          <w:i/>
          <w:szCs w:val="24"/>
        </w:rPr>
        <w:t>Accepts E-service</w:t>
      </w:r>
    </w:p>
    <w:p w14:paraId="6AA2A579" w14:textId="77777777" w:rsidR="00FD159E" w:rsidRPr="00FD159E" w:rsidRDefault="00FD159E" w:rsidP="00FD159E">
      <w:pPr>
        <w:spacing w:line="276" w:lineRule="auto"/>
        <w:contextualSpacing/>
        <w:rPr>
          <w:rFonts w:asciiTheme="minorHAnsi" w:eastAsiaTheme="minorEastAsia" w:hAnsiTheme="minorHAnsi" w:cstheme="minorBidi"/>
          <w:sz w:val="22"/>
          <w:szCs w:val="22"/>
        </w:rPr>
      </w:pPr>
      <w:r w:rsidRPr="00FD159E">
        <w:rPr>
          <w:rFonts w:ascii="Microsoft Sans Serif" w:eastAsiaTheme="minorEastAsia" w:hAnsiTheme="minorHAnsi" w:cstheme="minorBidi"/>
          <w:i/>
          <w:szCs w:val="24"/>
        </w:rPr>
        <w:t xml:space="preserve">Representing </w:t>
      </w:r>
      <w:proofErr w:type="spellStart"/>
      <w:r w:rsidRPr="00FD159E">
        <w:rPr>
          <w:rFonts w:ascii="Microsoft Sans Serif" w:eastAsiaTheme="minorEastAsia" w:hAnsiTheme="minorHAnsi" w:cstheme="minorBidi"/>
          <w:i/>
          <w:szCs w:val="24"/>
        </w:rPr>
        <w:t>UGI</w:t>
      </w:r>
      <w:proofErr w:type="spellEnd"/>
      <w:r w:rsidRPr="00FD159E">
        <w:rPr>
          <w:rFonts w:ascii="Microsoft Sans Serif" w:eastAsiaTheme="minorEastAsia" w:hAnsiTheme="minorHAnsi" w:cstheme="minorBidi"/>
          <w:i/>
          <w:szCs w:val="24"/>
        </w:rPr>
        <w:t xml:space="preserve"> Utilities, Inc.</w:t>
      </w:r>
    </w:p>
    <w:p w14:paraId="7CB2F329" w14:textId="77777777" w:rsidR="00FD159E" w:rsidRPr="00FD159E" w:rsidRDefault="00FD159E" w:rsidP="00FD159E">
      <w:pPr>
        <w:spacing w:line="240" w:lineRule="auto"/>
        <w:rPr>
          <w:rFonts w:ascii="Microsoft Sans Serif" w:eastAsiaTheme="minorEastAsia" w:hAnsi="Microsoft Sans Serif" w:cs="Microsoft Sans Serif"/>
          <w:szCs w:val="24"/>
        </w:rPr>
      </w:pPr>
    </w:p>
    <w:p w14:paraId="4EC60862" w14:textId="783AE1CC" w:rsidR="00FD159E" w:rsidRPr="00FD159E" w:rsidRDefault="00FD159E" w:rsidP="00FD159E">
      <w:pPr>
        <w:spacing w:line="240" w:lineRule="auto"/>
        <w:rPr>
          <w:rFonts w:eastAsia="Times New Roman"/>
          <w:szCs w:val="24"/>
        </w:rPr>
      </w:pPr>
    </w:p>
    <w:bookmarkEnd w:id="1"/>
    <w:p w14:paraId="36B5E157" w14:textId="77777777" w:rsidR="00FD159E" w:rsidRDefault="00FD159E"/>
    <w:sectPr w:rsidR="00FD159E" w:rsidSect="00FD159E">
      <w:type w:val="continuous"/>
      <w:pgSz w:w="12240" w:h="15840"/>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16E91" w14:textId="77777777" w:rsidR="004A7654" w:rsidRDefault="004A7654" w:rsidP="00372CC6">
      <w:pPr>
        <w:spacing w:line="240" w:lineRule="auto"/>
      </w:pPr>
      <w:r>
        <w:separator/>
      </w:r>
    </w:p>
  </w:endnote>
  <w:endnote w:type="continuationSeparator" w:id="0">
    <w:p w14:paraId="47900269" w14:textId="77777777" w:rsidR="004A7654" w:rsidRDefault="004A7654" w:rsidP="00372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507587"/>
      <w:docPartObj>
        <w:docPartGallery w:val="Page Numbers (Bottom of Page)"/>
        <w:docPartUnique/>
      </w:docPartObj>
    </w:sdtPr>
    <w:sdtEndPr>
      <w:rPr>
        <w:noProof/>
      </w:rPr>
    </w:sdtEndPr>
    <w:sdtContent>
      <w:p w14:paraId="27AE6048" w14:textId="74B159C3" w:rsidR="0067753C" w:rsidRDefault="0067753C">
        <w:pPr>
          <w:pStyle w:val="Footer"/>
          <w:jc w:val="center"/>
        </w:pPr>
        <w:r w:rsidRPr="00DC1F46">
          <w:rPr>
            <w:sz w:val="20"/>
          </w:rPr>
          <w:fldChar w:fldCharType="begin"/>
        </w:r>
        <w:r w:rsidRPr="00DC1F46">
          <w:rPr>
            <w:sz w:val="20"/>
          </w:rPr>
          <w:instrText xml:space="preserve"> PAGE   \* MERGEFORMAT </w:instrText>
        </w:r>
        <w:r w:rsidRPr="00DC1F46">
          <w:rPr>
            <w:sz w:val="20"/>
          </w:rPr>
          <w:fldChar w:fldCharType="separate"/>
        </w:r>
        <w:r w:rsidRPr="00DC1F46">
          <w:rPr>
            <w:noProof/>
            <w:sz w:val="20"/>
          </w:rPr>
          <w:t>2</w:t>
        </w:r>
        <w:r w:rsidRPr="00DC1F46">
          <w:rPr>
            <w:noProof/>
            <w:sz w:val="20"/>
          </w:rPr>
          <w:fldChar w:fldCharType="end"/>
        </w:r>
      </w:p>
    </w:sdtContent>
  </w:sdt>
  <w:p w14:paraId="4F9E508E" w14:textId="77777777" w:rsidR="0067753C" w:rsidRDefault="0067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C94E7" w14:textId="77777777" w:rsidR="004A7654" w:rsidRDefault="004A7654" w:rsidP="00372CC6">
      <w:pPr>
        <w:spacing w:line="240" w:lineRule="auto"/>
      </w:pPr>
      <w:r>
        <w:separator/>
      </w:r>
    </w:p>
  </w:footnote>
  <w:footnote w:type="continuationSeparator" w:id="0">
    <w:p w14:paraId="2CC166CF" w14:textId="77777777" w:rsidR="004A7654" w:rsidRDefault="004A7654" w:rsidP="00372CC6">
      <w:pPr>
        <w:spacing w:line="240" w:lineRule="auto"/>
      </w:pPr>
      <w:r>
        <w:continuationSeparator/>
      </w:r>
    </w:p>
  </w:footnote>
  <w:footnote w:id="1">
    <w:p w14:paraId="364BE2AC" w14:textId="6294337F" w:rsidR="00372CC6" w:rsidRDefault="00372CC6" w:rsidP="00DC1F46">
      <w:pPr>
        <w:pStyle w:val="FootnoteText"/>
        <w:spacing w:after="0"/>
      </w:pPr>
      <w:r>
        <w:rPr>
          <w:rStyle w:val="FootnoteReference"/>
        </w:rPr>
        <w:footnoteRef/>
      </w:r>
      <w:r>
        <w:t xml:space="preserve">  </w:t>
      </w:r>
      <w:r>
        <w:tab/>
        <w:t xml:space="preserve">For a full rendition of the procedural history in this matter, the reader is directed to any of the many interim orders that have been issued </w:t>
      </w:r>
      <w:r w:rsidR="00F05B68">
        <w:t xml:space="preserve">previously </w:t>
      </w:r>
      <w:r>
        <w:t>in this case.</w:t>
      </w:r>
    </w:p>
    <w:p w14:paraId="6A8876E9" w14:textId="77777777" w:rsidR="00DC1F46" w:rsidRDefault="00DC1F46" w:rsidP="00DC1F46">
      <w:pPr>
        <w:pStyle w:val="FootnoteText"/>
        <w:spacing w:after="0"/>
      </w:pPr>
    </w:p>
  </w:footnote>
  <w:footnote w:id="2">
    <w:p w14:paraId="137DA32E" w14:textId="7144BCE1" w:rsidR="00372CC6" w:rsidRDefault="00372CC6" w:rsidP="00DC1F46">
      <w:pPr>
        <w:pStyle w:val="FootnoteText"/>
        <w:spacing w:after="0"/>
      </w:pPr>
      <w:r>
        <w:rPr>
          <w:rStyle w:val="FootnoteReference"/>
        </w:rPr>
        <w:footnoteRef/>
      </w:r>
      <w:r>
        <w:t xml:space="preserve">  </w:t>
      </w:r>
      <w:r>
        <w:tab/>
        <w:t xml:space="preserve">52 Pa.Code § 5.431(b).  </w:t>
      </w:r>
      <w:r w:rsidRPr="00DC1F46">
        <w:rPr>
          <w:i/>
        </w:rPr>
        <w:t>See also</w:t>
      </w:r>
      <w:r>
        <w:t xml:space="preserve"> 52 Pa.Code § 5.571,</w:t>
      </w:r>
    </w:p>
  </w:footnote>
  <w:footnote w:id="3">
    <w:p w14:paraId="44691E09" w14:textId="741F93DA" w:rsidR="00372CC6" w:rsidRDefault="00372CC6" w:rsidP="00DC1F46">
      <w:pPr>
        <w:pStyle w:val="FootnoteText"/>
        <w:spacing w:after="0"/>
      </w:pPr>
      <w:r>
        <w:rPr>
          <w:rStyle w:val="FootnoteReference"/>
        </w:rPr>
        <w:footnoteRef/>
      </w:r>
      <w:r>
        <w:t xml:space="preserve">  </w:t>
      </w:r>
      <w:r>
        <w:tab/>
        <w:t>52 Pa.Code § 5.571</w:t>
      </w:r>
      <w:r w:rsidR="00493281">
        <w:t>(b).</w:t>
      </w:r>
    </w:p>
    <w:p w14:paraId="7A781910" w14:textId="77777777" w:rsidR="00DC1F46" w:rsidRDefault="00DC1F46" w:rsidP="00DC1F46">
      <w:pPr>
        <w:pStyle w:val="FootnoteText"/>
        <w:spacing w:after="0"/>
      </w:pPr>
    </w:p>
  </w:footnote>
  <w:footnote w:id="4">
    <w:p w14:paraId="14CF6D6B" w14:textId="6C667937" w:rsidR="00493281" w:rsidRDefault="00493281" w:rsidP="00DC1F46">
      <w:pPr>
        <w:pStyle w:val="FootnoteText"/>
        <w:spacing w:after="0"/>
      </w:pPr>
      <w:r>
        <w:rPr>
          <w:rStyle w:val="FootnoteReference"/>
        </w:rPr>
        <w:footnoteRef/>
      </w:r>
      <w:r>
        <w:t xml:space="preserve">  </w:t>
      </w:r>
      <w:r>
        <w:tab/>
        <w:t>52 Pa.Code § 5.571(d).</w:t>
      </w:r>
    </w:p>
    <w:p w14:paraId="32451D4E" w14:textId="77777777" w:rsidR="00DC1F46" w:rsidRDefault="00DC1F46" w:rsidP="00DC1F46">
      <w:pPr>
        <w:pStyle w:val="FootnoteText"/>
        <w:spacing w:after="0"/>
      </w:pPr>
    </w:p>
  </w:footnote>
  <w:footnote w:id="5">
    <w:p w14:paraId="678F05AF" w14:textId="20820996" w:rsidR="00F21375" w:rsidRDefault="00F21375" w:rsidP="00DC1F46">
      <w:pPr>
        <w:pStyle w:val="FootnoteText"/>
        <w:spacing w:after="0"/>
      </w:pPr>
      <w:r>
        <w:rPr>
          <w:rStyle w:val="FootnoteReference"/>
        </w:rPr>
        <w:footnoteRef/>
      </w:r>
      <w:r>
        <w:t xml:space="preserve">  </w:t>
      </w:r>
      <w:r>
        <w:tab/>
        <w:t>N.T. 415.</w:t>
      </w:r>
    </w:p>
    <w:p w14:paraId="37B68793" w14:textId="77777777" w:rsidR="00DC1F46" w:rsidRDefault="00DC1F46" w:rsidP="00DC1F46">
      <w:pPr>
        <w:pStyle w:val="FootnoteText"/>
        <w:spacing w:after="0"/>
      </w:pPr>
    </w:p>
  </w:footnote>
  <w:footnote w:id="6">
    <w:p w14:paraId="017F8E8F" w14:textId="707BE233" w:rsidR="00F21375" w:rsidRDefault="00F21375" w:rsidP="00DC1F46">
      <w:pPr>
        <w:pStyle w:val="FootnoteText"/>
        <w:spacing w:after="0"/>
      </w:pPr>
      <w:r>
        <w:rPr>
          <w:rStyle w:val="FootnoteReference"/>
        </w:rPr>
        <w:footnoteRef/>
      </w:r>
      <w:r>
        <w:t xml:space="preserve">  </w:t>
      </w:r>
      <w:r>
        <w:tab/>
        <w:t>N.T. 344.</w:t>
      </w:r>
    </w:p>
    <w:p w14:paraId="5BA1A986" w14:textId="77777777" w:rsidR="00DC1F46" w:rsidRDefault="00DC1F46" w:rsidP="00DC1F46">
      <w:pPr>
        <w:pStyle w:val="FootnoteText"/>
        <w:spacing w:after="0"/>
      </w:pPr>
    </w:p>
  </w:footnote>
  <w:footnote w:id="7">
    <w:p w14:paraId="74448D6F" w14:textId="019652A0" w:rsidR="00A77C01" w:rsidRDefault="00A77C01" w:rsidP="00DC1F46">
      <w:pPr>
        <w:pStyle w:val="FootnoteText"/>
        <w:spacing w:after="0"/>
      </w:pPr>
      <w:r>
        <w:rPr>
          <w:rStyle w:val="FootnoteReference"/>
        </w:rPr>
        <w:footnoteRef/>
      </w:r>
      <w:r>
        <w:t xml:space="preserve">  </w:t>
      </w:r>
      <w:r>
        <w:tab/>
        <w:t xml:space="preserve">N.T. 286.  </w:t>
      </w:r>
    </w:p>
  </w:footnote>
  <w:footnote w:id="8">
    <w:p w14:paraId="6599356F" w14:textId="19B82E6F" w:rsidR="00A77C01" w:rsidRDefault="00A77C01" w:rsidP="00DC1F46">
      <w:pPr>
        <w:pStyle w:val="FootnoteText"/>
        <w:spacing w:after="0"/>
      </w:pPr>
      <w:r>
        <w:rPr>
          <w:rStyle w:val="FootnoteReference"/>
        </w:rPr>
        <w:footnoteRef/>
      </w:r>
      <w:r>
        <w:t xml:space="preserve">  </w:t>
      </w:r>
      <w:r>
        <w:tab/>
        <w:t>N.T. 307.</w:t>
      </w:r>
    </w:p>
    <w:p w14:paraId="49DA1E75" w14:textId="77777777" w:rsidR="00DC1F46" w:rsidRDefault="00DC1F46" w:rsidP="00DC1F46">
      <w:pPr>
        <w:pStyle w:val="FootnoteText"/>
        <w:spacing w:after="0"/>
      </w:pPr>
    </w:p>
  </w:footnote>
  <w:footnote w:id="9">
    <w:p w14:paraId="6EA26865" w14:textId="4FCF48F1" w:rsidR="00A77C01" w:rsidRDefault="00A77C01" w:rsidP="00DC1F46">
      <w:pPr>
        <w:pStyle w:val="FootnoteText"/>
        <w:spacing w:after="0"/>
      </w:pPr>
      <w:r>
        <w:rPr>
          <w:rStyle w:val="FootnoteReference"/>
        </w:rPr>
        <w:footnoteRef/>
      </w:r>
      <w:r>
        <w:t xml:space="preserve">  </w:t>
      </w:r>
      <w:r>
        <w:tab/>
        <w:t>N.T. 309; 426.</w:t>
      </w:r>
    </w:p>
    <w:p w14:paraId="5E2E289B" w14:textId="77777777" w:rsidR="00DC1F46" w:rsidRDefault="00DC1F46" w:rsidP="00DC1F46">
      <w:pPr>
        <w:pStyle w:val="FootnoteText"/>
        <w:spacing w:after="0"/>
      </w:pPr>
    </w:p>
  </w:footnote>
  <w:footnote w:id="10">
    <w:p w14:paraId="180A2B91" w14:textId="2BD8A118" w:rsidR="00951628" w:rsidRDefault="00951628" w:rsidP="00DC1F46">
      <w:pPr>
        <w:pStyle w:val="FootnoteText"/>
        <w:spacing w:after="0"/>
      </w:pPr>
      <w:r>
        <w:rPr>
          <w:rStyle w:val="FootnoteReference"/>
        </w:rPr>
        <w:footnoteRef/>
      </w:r>
      <w:r>
        <w:t xml:space="preserve">  </w:t>
      </w:r>
      <w:r>
        <w:tab/>
        <w:t>52 Pa.Code § 5.401(b).</w:t>
      </w:r>
    </w:p>
    <w:p w14:paraId="30A8E6F1" w14:textId="77777777" w:rsidR="00DC1F46" w:rsidRDefault="00DC1F46" w:rsidP="00DC1F46">
      <w:pPr>
        <w:pStyle w:val="FootnoteText"/>
        <w:spacing w:after="0"/>
      </w:pPr>
    </w:p>
  </w:footnote>
  <w:footnote w:id="11">
    <w:p w14:paraId="2F4DB6F1" w14:textId="0B075507" w:rsidR="00951628" w:rsidRDefault="00951628" w:rsidP="00DC1F46">
      <w:pPr>
        <w:pStyle w:val="FootnoteText"/>
        <w:spacing w:after="0"/>
      </w:pPr>
      <w:r>
        <w:rPr>
          <w:rStyle w:val="FootnoteReference"/>
        </w:rPr>
        <w:footnoteRef/>
      </w:r>
      <w:r>
        <w:t xml:space="preserve">  </w:t>
      </w:r>
      <w:r>
        <w:tab/>
        <w:t>52 Pa.Code § 5.401(b)(2)(iii).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C6"/>
    <w:rsid w:val="00004C37"/>
    <w:rsid w:val="000066B3"/>
    <w:rsid w:val="00066D87"/>
    <w:rsid w:val="00095D91"/>
    <w:rsid w:val="000E3EDE"/>
    <w:rsid w:val="00107E82"/>
    <w:rsid w:val="00161791"/>
    <w:rsid w:val="001A21B6"/>
    <w:rsid w:val="001B1CBA"/>
    <w:rsid w:val="001D2AF7"/>
    <w:rsid w:val="00207743"/>
    <w:rsid w:val="00213167"/>
    <w:rsid w:val="00223835"/>
    <w:rsid w:val="002512F9"/>
    <w:rsid w:val="00273289"/>
    <w:rsid w:val="003145FA"/>
    <w:rsid w:val="00367A41"/>
    <w:rsid w:val="00372CC6"/>
    <w:rsid w:val="00393C92"/>
    <w:rsid w:val="003A3E09"/>
    <w:rsid w:val="00417566"/>
    <w:rsid w:val="00493281"/>
    <w:rsid w:val="004A7654"/>
    <w:rsid w:val="004D523C"/>
    <w:rsid w:val="005A1C17"/>
    <w:rsid w:val="005A2ABA"/>
    <w:rsid w:val="005B4A67"/>
    <w:rsid w:val="005D180A"/>
    <w:rsid w:val="005E7B69"/>
    <w:rsid w:val="005F5A51"/>
    <w:rsid w:val="0061775F"/>
    <w:rsid w:val="0067753C"/>
    <w:rsid w:val="00696C0D"/>
    <w:rsid w:val="006A73D4"/>
    <w:rsid w:val="006C6A0D"/>
    <w:rsid w:val="006F0329"/>
    <w:rsid w:val="00700807"/>
    <w:rsid w:val="00712E58"/>
    <w:rsid w:val="007407AC"/>
    <w:rsid w:val="00755D72"/>
    <w:rsid w:val="00792796"/>
    <w:rsid w:val="00796B64"/>
    <w:rsid w:val="007E6779"/>
    <w:rsid w:val="00820B4C"/>
    <w:rsid w:val="00821011"/>
    <w:rsid w:val="0083239D"/>
    <w:rsid w:val="008529D2"/>
    <w:rsid w:val="0088105E"/>
    <w:rsid w:val="008E4361"/>
    <w:rsid w:val="008E5071"/>
    <w:rsid w:val="00917DCA"/>
    <w:rsid w:val="00951628"/>
    <w:rsid w:val="009C4CF6"/>
    <w:rsid w:val="00A47096"/>
    <w:rsid w:val="00A77C01"/>
    <w:rsid w:val="00AA2EC5"/>
    <w:rsid w:val="00AB4C73"/>
    <w:rsid w:val="00AD52AE"/>
    <w:rsid w:val="00AE6F47"/>
    <w:rsid w:val="00B017F1"/>
    <w:rsid w:val="00B57762"/>
    <w:rsid w:val="00B91E47"/>
    <w:rsid w:val="00BC6B21"/>
    <w:rsid w:val="00C10D4F"/>
    <w:rsid w:val="00C87E57"/>
    <w:rsid w:val="00CF6143"/>
    <w:rsid w:val="00DC1F46"/>
    <w:rsid w:val="00DD5C37"/>
    <w:rsid w:val="00DF35D9"/>
    <w:rsid w:val="00E4239A"/>
    <w:rsid w:val="00EB027A"/>
    <w:rsid w:val="00EC1CBA"/>
    <w:rsid w:val="00EE7801"/>
    <w:rsid w:val="00F05B68"/>
    <w:rsid w:val="00F11A19"/>
    <w:rsid w:val="00F16554"/>
    <w:rsid w:val="00F21375"/>
    <w:rsid w:val="00F544E1"/>
    <w:rsid w:val="00FD159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F862B4"/>
  <w15:chartTrackingRefBased/>
  <w15:docId w15:val="{3E1A104B-058F-4EA0-8BA4-C6CBFD6A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273289"/>
    <w:pPr>
      <w:tabs>
        <w:tab w:val="left" w:pos="72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273289"/>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372CC6"/>
    <w:rPr>
      <w:vertAlign w:val="superscript"/>
    </w:rPr>
  </w:style>
  <w:style w:type="paragraph" w:styleId="Header">
    <w:name w:val="header"/>
    <w:basedOn w:val="Normal"/>
    <w:link w:val="HeaderChar"/>
    <w:uiPriority w:val="99"/>
    <w:unhideWhenUsed/>
    <w:rsid w:val="0067753C"/>
    <w:pPr>
      <w:tabs>
        <w:tab w:val="center" w:pos="4680"/>
        <w:tab w:val="right" w:pos="9360"/>
      </w:tabs>
      <w:spacing w:line="240" w:lineRule="auto"/>
    </w:pPr>
  </w:style>
  <w:style w:type="character" w:customStyle="1" w:styleId="HeaderChar">
    <w:name w:val="Header Char"/>
    <w:basedOn w:val="DefaultParagraphFont"/>
    <w:link w:val="Header"/>
    <w:uiPriority w:val="99"/>
    <w:rsid w:val="0067753C"/>
    <w:rPr>
      <w:rFonts w:eastAsia="SimSun"/>
    </w:rPr>
  </w:style>
  <w:style w:type="paragraph" w:styleId="Footer">
    <w:name w:val="footer"/>
    <w:basedOn w:val="Normal"/>
    <w:link w:val="FooterChar"/>
    <w:uiPriority w:val="99"/>
    <w:unhideWhenUsed/>
    <w:rsid w:val="0067753C"/>
    <w:pPr>
      <w:tabs>
        <w:tab w:val="center" w:pos="4680"/>
        <w:tab w:val="right" w:pos="9360"/>
      </w:tabs>
      <w:spacing w:line="240" w:lineRule="auto"/>
    </w:pPr>
  </w:style>
  <w:style w:type="character" w:customStyle="1" w:styleId="FooterChar">
    <w:name w:val="Footer Char"/>
    <w:basedOn w:val="DefaultParagraphFont"/>
    <w:link w:val="Footer"/>
    <w:uiPriority w:val="99"/>
    <w:rsid w:val="0067753C"/>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6B7F0-13DC-4FF1-878D-BB0BF8A6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cp:lastPrinted>2019-01-09T15:56:00Z</cp:lastPrinted>
  <dcterms:created xsi:type="dcterms:W3CDTF">2019-01-09T15:59:00Z</dcterms:created>
  <dcterms:modified xsi:type="dcterms:W3CDTF">2019-01-09T16:18:00Z</dcterms:modified>
</cp:coreProperties>
</file>