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7F27D" w14:textId="77777777" w:rsidR="000B2531" w:rsidRPr="00267222" w:rsidRDefault="000B2531" w:rsidP="0095060C">
      <w:pPr>
        <w:spacing w:after="0" w:line="240" w:lineRule="auto"/>
        <w:contextualSpacing/>
        <w:jc w:val="center"/>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PENNSYLVANIA</w:t>
      </w:r>
    </w:p>
    <w:p w14:paraId="789E7714" w14:textId="77777777" w:rsidR="000B2531" w:rsidRPr="00267222" w:rsidRDefault="000B2531" w:rsidP="0095060C">
      <w:pPr>
        <w:spacing w:after="0" w:line="240" w:lineRule="auto"/>
        <w:contextualSpacing/>
        <w:jc w:val="center"/>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PUBLIC UTILITY COMMISSION</w:t>
      </w:r>
    </w:p>
    <w:p w14:paraId="724B3A04" w14:textId="77777777" w:rsidR="000B2531" w:rsidRPr="00267222" w:rsidRDefault="000B2531" w:rsidP="0095060C">
      <w:pPr>
        <w:keepNext/>
        <w:spacing w:after="0" w:line="240" w:lineRule="auto"/>
        <w:contextualSpacing/>
        <w:jc w:val="center"/>
        <w:outlineLvl w:val="6"/>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Harrisburg, PA  17105-3265</w:t>
      </w:r>
    </w:p>
    <w:p w14:paraId="7EF471B1" w14:textId="77777777" w:rsidR="000B2531" w:rsidRPr="00267222" w:rsidRDefault="000B2531" w:rsidP="0095060C">
      <w:pPr>
        <w:spacing w:after="0" w:line="240" w:lineRule="auto"/>
        <w:contextualSpacing/>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4945"/>
        <w:gridCol w:w="4405"/>
      </w:tblGrid>
      <w:tr w:rsidR="000B2531" w:rsidRPr="00267222" w14:paraId="7908CC3B" w14:textId="77777777" w:rsidTr="00641BFD">
        <w:trPr>
          <w:trHeight w:val="477"/>
        </w:trPr>
        <w:tc>
          <w:tcPr>
            <w:tcW w:w="4945" w:type="dxa"/>
            <w:vAlign w:val="center"/>
          </w:tcPr>
          <w:p w14:paraId="02BA887E" w14:textId="77777777" w:rsidR="000B2531" w:rsidRPr="00267222" w:rsidRDefault="000B2531" w:rsidP="0095060C">
            <w:pPr>
              <w:spacing w:after="0" w:line="240" w:lineRule="auto"/>
              <w:contextualSpacing/>
              <w:jc w:val="right"/>
              <w:rPr>
                <w:rFonts w:ascii="Times New Roman" w:eastAsia="Times New Roman" w:hAnsi="Times New Roman" w:cs="Times New Roman"/>
                <w:sz w:val="26"/>
                <w:szCs w:val="26"/>
              </w:rPr>
            </w:pPr>
          </w:p>
        </w:tc>
        <w:tc>
          <w:tcPr>
            <w:tcW w:w="4405" w:type="dxa"/>
            <w:vAlign w:val="center"/>
          </w:tcPr>
          <w:p w14:paraId="4913008C" w14:textId="3B5A4CA9" w:rsidR="000B2531" w:rsidRPr="00267222" w:rsidRDefault="000B2531" w:rsidP="0095060C">
            <w:pPr>
              <w:spacing w:after="0" w:line="240" w:lineRule="auto"/>
              <w:contextualSpacing/>
              <w:jc w:val="right"/>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Pub</w:t>
            </w:r>
            <w:r w:rsidR="001B5F81" w:rsidRPr="00267222">
              <w:rPr>
                <w:rFonts w:ascii="Times New Roman" w:eastAsia="Times New Roman" w:hAnsi="Times New Roman" w:cs="Times New Roman"/>
                <w:sz w:val="26"/>
                <w:szCs w:val="26"/>
              </w:rPr>
              <w:t>lic Meeting held</w:t>
            </w:r>
            <w:r w:rsidR="00442837" w:rsidRPr="00267222">
              <w:rPr>
                <w:rFonts w:ascii="Times New Roman" w:eastAsia="Times New Roman" w:hAnsi="Times New Roman" w:cs="Times New Roman"/>
                <w:sz w:val="26"/>
                <w:szCs w:val="26"/>
              </w:rPr>
              <w:t xml:space="preserve"> </w:t>
            </w:r>
            <w:r w:rsidR="0055545E">
              <w:rPr>
                <w:rFonts w:ascii="Times New Roman" w:eastAsia="Times New Roman" w:hAnsi="Times New Roman" w:cs="Times New Roman"/>
                <w:sz w:val="26"/>
                <w:szCs w:val="26"/>
              </w:rPr>
              <w:t>January 17, 2019</w:t>
            </w:r>
          </w:p>
        </w:tc>
      </w:tr>
      <w:tr w:rsidR="000B2531" w:rsidRPr="00267222" w14:paraId="6452F596" w14:textId="5A305A9F" w:rsidTr="00641BFD">
        <w:trPr>
          <w:trHeight w:val="1880"/>
        </w:trPr>
        <w:tc>
          <w:tcPr>
            <w:tcW w:w="9350" w:type="dxa"/>
            <w:gridSpan w:val="2"/>
          </w:tcPr>
          <w:p w14:paraId="69B66F11" w14:textId="198A1AD8" w:rsidR="000B2531" w:rsidRPr="00267222" w:rsidRDefault="000B2531" w:rsidP="0095060C">
            <w:pPr>
              <w:spacing w:after="0" w:line="24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Commissioners Present:</w:t>
            </w:r>
          </w:p>
          <w:p w14:paraId="21A6B923" w14:textId="77777777" w:rsidR="00142B78" w:rsidRPr="00142B78" w:rsidRDefault="00142B78" w:rsidP="00142B78">
            <w:pPr>
              <w:spacing w:after="0" w:line="240" w:lineRule="auto"/>
              <w:ind w:firstLine="720"/>
              <w:contextualSpacing/>
              <w:rPr>
                <w:rFonts w:ascii="Times New Roman" w:eastAsia="Times New Roman" w:hAnsi="Times New Roman" w:cs="Times New Roman"/>
                <w:sz w:val="26"/>
                <w:szCs w:val="26"/>
              </w:rPr>
            </w:pPr>
            <w:r w:rsidRPr="00142B78">
              <w:rPr>
                <w:rFonts w:ascii="Times New Roman" w:eastAsia="Times New Roman" w:hAnsi="Times New Roman" w:cs="Times New Roman"/>
                <w:sz w:val="26"/>
                <w:szCs w:val="26"/>
              </w:rPr>
              <w:t>Gladys M. Brown, Chairman</w:t>
            </w:r>
          </w:p>
          <w:p w14:paraId="14192612" w14:textId="1A0CB154" w:rsidR="00142B78" w:rsidRPr="00142B78" w:rsidRDefault="00142B78" w:rsidP="00142B78">
            <w:pPr>
              <w:spacing w:after="0" w:line="240" w:lineRule="auto"/>
              <w:ind w:firstLine="720"/>
              <w:contextualSpacing/>
              <w:rPr>
                <w:rFonts w:ascii="Times New Roman" w:eastAsia="Times New Roman" w:hAnsi="Times New Roman" w:cs="Times New Roman"/>
                <w:sz w:val="26"/>
                <w:szCs w:val="26"/>
              </w:rPr>
            </w:pPr>
            <w:r w:rsidRPr="00142B78">
              <w:rPr>
                <w:rFonts w:ascii="Times New Roman" w:eastAsia="Times New Roman" w:hAnsi="Times New Roman" w:cs="Times New Roman"/>
                <w:sz w:val="26"/>
                <w:szCs w:val="26"/>
              </w:rPr>
              <w:t>David W. Sweet, Vice Chairman</w:t>
            </w:r>
            <w:r w:rsidR="00D334B2">
              <w:rPr>
                <w:rFonts w:ascii="Times New Roman" w:eastAsia="Times New Roman" w:hAnsi="Times New Roman" w:cs="Times New Roman"/>
                <w:sz w:val="26"/>
                <w:szCs w:val="26"/>
              </w:rPr>
              <w:t>, Statement</w:t>
            </w:r>
          </w:p>
          <w:p w14:paraId="23D6366A" w14:textId="77777777" w:rsidR="00142B78" w:rsidRPr="00142B78" w:rsidRDefault="00142B78" w:rsidP="00142B78">
            <w:pPr>
              <w:spacing w:after="0" w:line="240" w:lineRule="auto"/>
              <w:ind w:firstLine="720"/>
              <w:contextualSpacing/>
              <w:rPr>
                <w:rFonts w:ascii="Times New Roman" w:eastAsia="Times New Roman" w:hAnsi="Times New Roman" w:cs="Times New Roman"/>
                <w:sz w:val="26"/>
                <w:szCs w:val="26"/>
              </w:rPr>
            </w:pPr>
            <w:r w:rsidRPr="00142B78">
              <w:rPr>
                <w:rFonts w:ascii="Times New Roman" w:eastAsia="Times New Roman" w:hAnsi="Times New Roman" w:cs="Times New Roman"/>
                <w:sz w:val="26"/>
                <w:szCs w:val="26"/>
              </w:rPr>
              <w:t>Norman J. Kennard</w:t>
            </w:r>
          </w:p>
          <w:p w14:paraId="6BF24AFC" w14:textId="3C6828A5" w:rsidR="00142B78" w:rsidRPr="00142B78" w:rsidRDefault="00142B78" w:rsidP="00142B78">
            <w:pPr>
              <w:spacing w:after="0" w:line="240" w:lineRule="auto"/>
              <w:ind w:firstLine="720"/>
              <w:contextualSpacing/>
              <w:rPr>
                <w:rFonts w:ascii="Times New Roman" w:eastAsia="Times New Roman" w:hAnsi="Times New Roman" w:cs="Times New Roman"/>
                <w:sz w:val="26"/>
                <w:szCs w:val="26"/>
              </w:rPr>
            </w:pPr>
            <w:r w:rsidRPr="00142B78">
              <w:rPr>
                <w:rFonts w:ascii="Times New Roman" w:eastAsia="Times New Roman" w:hAnsi="Times New Roman" w:cs="Times New Roman"/>
                <w:sz w:val="26"/>
                <w:szCs w:val="26"/>
              </w:rPr>
              <w:t>Andrew G. Place</w:t>
            </w:r>
            <w:r w:rsidR="00D334B2">
              <w:rPr>
                <w:rFonts w:ascii="Times New Roman" w:eastAsia="Times New Roman" w:hAnsi="Times New Roman" w:cs="Times New Roman"/>
                <w:sz w:val="26"/>
                <w:szCs w:val="26"/>
              </w:rPr>
              <w:t>, Statement</w:t>
            </w:r>
          </w:p>
          <w:p w14:paraId="49339484" w14:textId="77777777" w:rsidR="00142B78" w:rsidRPr="00142B78" w:rsidRDefault="00142B78" w:rsidP="00142B78">
            <w:pPr>
              <w:spacing w:after="0" w:line="240" w:lineRule="auto"/>
              <w:ind w:firstLine="720"/>
              <w:contextualSpacing/>
              <w:rPr>
                <w:rFonts w:ascii="Times New Roman" w:eastAsia="Times New Roman" w:hAnsi="Times New Roman" w:cs="Times New Roman"/>
                <w:sz w:val="26"/>
                <w:szCs w:val="26"/>
              </w:rPr>
            </w:pPr>
            <w:r w:rsidRPr="00142B78">
              <w:rPr>
                <w:rFonts w:ascii="Times New Roman" w:eastAsia="Times New Roman" w:hAnsi="Times New Roman" w:cs="Times New Roman"/>
                <w:sz w:val="26"/>
                <w:szCs w:val="26"/>
              </w:rPr>
              <w:t>John F. Coleman, Jr.</w:t>
            </w:r>
          </w:p>
          <w:p w14:paraId="41C2AC26" w14:textId="2B4137E0" w:rsidR="00513B23" w:rsidRPr="00267222" w:rsidRDefault="00513B23" w:rsidP="00C74862">
            <w:pPr>
              <w:spacing w:after="0" w:line="240" w:lineRule="auto"/>
              <w:ind w:firstLine="697"/>
              <w:contextualSpacing/>
              <w:rPr>
                <w:rFonts w:ascii="Times New Roman" w:eastAsia="Times New Roman" w:hAnsi="Times New Roman" w:cs="Times New Roman"/>
                <w:sz w:val="26"/>
                <w:szCs w:val="26"/>
              </w:rPr>
            </w:pPr>
          </w:p>
        </w:tc>
      </w:tr>
    </w:tbl>
    <w:p w14:paraId="5940E41A" w14:textId="77777777" w:rsidR="00C778CB" w:rsidRDefault="00C778CB" w:rsidP="00C778CB">
      <w:pPr>
        <w:spacing w:after="0" w:line="240" w:lineRule="auto"/>
        <w:contextualSpacing/>
        <w:jc w:val="center"/>
        <w:rPr>
          <w:rFonts w:ascii="Times New Roman" w:eastAsia="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AF7682" w14:paraId="662114C3" w14:textId="77777777" w:rsidTr="00641BFD">
        <w:tc>
          <w:tcPr>
            <w:tcW w:w="5575" w:type="dxa"/>
          </w:tcPr>
          <w:p w14:paraId="02D51380" w14:textId="1E45148C" w:rsidR="00AF7682" w:rsidRDefault="00AF7682" w:rsidP="00641BFD">
            <w:pPr>
              <w:contextualSpacing/>
              <w:rPr>
                <w:b/>
                <w:sz w:val="26"/>
                <w:szCs w:val="26"/>
              </w:rPr>
            </w:pPr>
            <w:r>
              <w:rPr>
                <w:sz w:val="26"/>
                <w:szCs w:val="26"/>
              </w:rPr>
              <w:t>Energy Affordability for Low-Income Customers</w:t>
            </w:r>
          </w:p>
        </w:tc>
        <w:tc>
          <w:tcPr>
            <w:tcW w:w="3775" w:type="dxa"/>
          </w:tcPr>
          <w:p w14:paraId="4359C681" w14:textId="01181D94" w:rsidR="00AF7682" w:rsidRDefault="00AF7682" w:rsidP="00641BFD">
            <w:pPr>
              <w:contextualSpacing/>
              <w:jc w:val="right"/>
              <w:rPr>
                <w:b/>
                <w:sz w:val="26"/>
                <w:szCs w:val="26"/>
              </w:rPr>
            </w:pPr>
            <w:r>
              <w:rPr>
                <w:sz w:val="26"/>
                <w:szCs w:val="26"/>
              </w:rPr>
              <w:t>M-2017-2587711</w:t>
            </w:r>
          </w:p>
        </w:tc>
      </w:tr>
    </w:tbl>
    <w:p w14:paraId="46D6EAE6" w14:textId="67132DD8" w:rsidR="00EA789D" w:rsidRDefault="00EA789D" w:rsidP="00C778CB">
      <w:pPr>
        <w:spacing w:after="0" w:line="240" w:lineRule="auto"/>
        <w:contextualSpacing/>
        <w:jc w:val="center"/>
        <w:rPr>
          <w:rFonts w:ascii="Times New Roman" w:eastAsia="Times New Roman" w:hAnsi="Times New Roman" w:cs="Times New Roman"/>
          <w:b/>
          <w:sz w:val="26"/>
          <w:szCs w:val="26"/>
        </w:rPr>
      </w:pPr>
    </w:p>
    <w:p w14:paraId="5DA455C7" w14:textId="750C3D5D" w:rsidR="000B2531" w:rsidRDefault="000B2531" w:rsidP="00C778CB">
      <w:pPr>
        <w:spacing w:after="0" w:line="240" w:lineRule="auto"/>
        <w:contextualSpacing/>
        <w:jc w:val="center"/>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ORDER</w:t>
      </w:r>
    </w:p>
    <w:p w14:paraId="047BAEC7" w14:textId="77777777" w:rsidR="000F552B" w:rsidRPr="00267222" w:rsidRDefault="000F552B" w:rsidP="00C778CB">
      <w:pPr>
        <w:spacing w:after="0" w:line="240" w:lineRule="auto"/>
        <w:contextualSpacing/>
        <w:jc w:val="center"/>
        <w:rPr>
          <w:rFonts w:ascii="Times New Roman" w:eastAsia="Times New Roman" w:hAnsi="Times New Roman" w:cs="Times New Roman"/>
          <w:b/>
          <w:sz w:val="26"/>
          <w:szCs w:val="26"/>
        </w:rPr>
      </w:pPr>
    </w:p>
    <w:p w14:paraId="17ECC8F5" w14:textId="77777777" w:rsidR="000B2531" w:rsidRDefault="000B2531" w:rsidP="00C778CB">
      <w:pPr>
        <w:spacing w:after="0" w:line="240" w:lineRule="auto"/>
        <w:contextualSpacing/>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BY THE COMMISSION</w:t>
      </w:r>
      <w:r w:rsidR="001D097C">
        <w:rPr>
          <w:rFonts w:ascii="Times New Roman" w:eastAsia="Times New Roman" w:hAnsi="Times New Roman" w:cs="Times New Roman"/>
          <w:b/>
          <w:sz w:val="26"/>
          <w:szCs w:val="26"/>
        </w:rPr>
        <w:t>:</w:t>
      </w:r>
    </w:p>
    <w:p w14:paraId="71E62F79" w14:textId="77777777" w:rsidR="00CE568E" w:rsidRDefault="00CE568E" w:rsidP="009A5DC3">
      <w:pPr>
        <w:spacing w:after="0" w:line="360" w:lineRule="auto"/>
        <w:contextualSpacing/>
        <w:rPr>
          <w:rFonts w:ascii="Times New Roman" w:eastAsia="Times New Roman" w:hAnsi="Times New Roman" w:cs="Times New Roman"/>
          <w:b/>
          <w:sz w:val="26"/>
          <w:szCs w:val="26"/>
        </w:rPr>
      </w:pPr>
    </w:p>
    <w:p w14:paraId="389B8CDE" w14:textId="7BD1C16F" w:rsidR="00370757" w:rsidRDefault="006A0116" w:rsidP="007B5E93">
      <w:pPr>
        <w:spacing w:after="0" w:line="360" w:lineRule="auto"/>
        <w:ind w:firstLine="720"/>
        <w:rPr>
          <w:rFonts w:ascii="Times New Roman" w:hAnsi="Times New Roman" w:cs="Times New Roman"/>
          <w:sz w:val="26"/>
          <w:szCs w:val="26"/>
        </w:rPr>
      </w:pPr>
      <w:r>
        <w:rPr>
          <w:rFonts w:ascii="Times New Roman" w:eastAsia="Times New Roman" w:hAnsi="Times New Roman" w:cs="Times New Roman"/>
          <w:sz w:val="26"/>
          <w:szCs w:val="26"/>
        </w:rPr>
        <w:t xml:space="preserve">With this </w:t>
      </w:r>
      <w:r w:rsidR="00D658EA">
        <w:rPr>
          <w:rFonts w:ascii="Times New Roman" w:eastAsia="Times New Roman" w:hAnsi="Times New Roman" w:cs="Times New Roman"/>
          <w:sz w:val="26"/>
          <w:szCs w:val="26"/>
        </w:rPr>
        <w:t xml:space="preserve">Order, </w:t>
      </w:r>
      <w:r w:rsidR="00461F15">
        <w:rPr>
          <w:rFonts w:ascii="Times New Roman" w:eastAsia="Times New Roman" w:hAnsi="Times New Roman" w:cs="Times New Roman"/>
          <w:sz w:val="26"/>
          <w:szCs w:val="26"/>
        </w:rPr>
        <w:t xml:space="preserve">the Public Utility Commission (Commission) </w:t>
      </w:r>
      <w:bookmarkStart w:id="0" w:name="_Hlk526497800"/>
      <w:r w:rsidR="00E87958">
        <w:rPr>
          <w:rFonts w:ascii="Times New Roman" w:hAnsi="Times New Roman" w:cs="Times New Roman"/>
          <w:sz w:val="26"/>
          <w:szCs w:val="26"/>
        </w:rPr>
        <w:t xml:space="preserve">hereby </w:t>
      </w:r>
      <w:r w:rsidR="00AD5480">
        <w:rPr>
          <w:rFonts w:ascii="Times New Roman" w:hAnsi="Times New Roman" w:cs="Times New Roman"/>
          <w:sz w:val="26"/>
          <w:szCs w:val="26"/>
        </w:rPr>
        <w:t xml:space="preserve">releases and </w:t>
      </w:r>
      <w:r w:rsidR="00E87958">
        <w:rPr>
          <w:rFonts w:ascii="Times New Roman" w:hAnsi="Times New Roman" w:cs="Times New Roman"/>
          <w:sz w:val="26"/>
          <w:szCs w:val="26"/>
        </w:rPr>
        <w:t xml:space="preserve">publishes </w:t>
      </w:r>
      <w:r w:rsidR="0049795F">
        <w:rPr>
          <w:rFonts w:ascii="Times New Roman" w:hAnsi="Times New Roman" w:cs="Times New Roman"/>
          <w:sz w:val="26"/>
          <w:szCs w:val="26"/>
        </w:rPr>
        <w:t xml:space="preserve">a </w:t>
      </w:r>
      <w:r w:rsidR="00E87958">
        <w:rPr>
          <w:rFonts w:ascii="Times New Roman" w:hAnsi="Times New Roman" w:cs="Times New Roman"/>
          <w:sz w:val="26"/>
          <w:szCs w:val="26"/>
        </w:rPr>
        <w:t xml:space="preserve">staff report </w:t>
      </w:r>
      <w:r w:rsidR="00965658">
        <w:rPr>
          <w:rFonts w:ascii="Times New Roman" w:hAnsi="Times New Roman" w:cs="Times New Roman"/>
          <w:sz w:val="26"/>
          <w:szCs w:val="26"/>
        </w:rPr>
        <w:t xml:space="preserve">prepared by the Commission’s Bureau of Consumer Services (BCS) and Law Bureau in compliance with the Commission Order entered on May 5, 2017, at this docket.  </w:t>
      </w:r>
      <w:r w:rsidR="00477A6E">
        <w:rPr>
          <w:rFonts w:ascii="Times New Roman" w:hAnsi="Times New Roman" w:cs="Times New Roman"/>
          <w:sz w:val="26"/>
          <w:szCs w:val="26"/>
        </w:rPr>
        <w:t xml:space="preserve">The staff report is titled </w:t>
      </w:r>
      <w:r w:rsidR="000F552B">
        <w:rPr>
          <w:rFonts w:ascii="Times New Roman" w:hAnsi="Times New Roman" w:cs="Times New Roman"/>
          <w:sz w:val="26"/>
          <w:szCs w:val="26"/>
        </w:rPr>
        <w:t>“</w:t>
      </w:r>
      <w:bookmarkStart w:id="1" w:name="_Hlk526418743"/>
      <w:r w:rsidR="000F552B" w:rsidRPr="000F552B">
        <w:rPr>
          <w:rFonts w:ascii="Times New Roman" w:hAnsi="Times New Roman" w:cs="Times New Roman"/>
          <w:i/>
          <w:sz w:val="26"/>
          <w:szCs w:val="26"/>
        </w:rPr>
        <w:t>Home Energy Affordability for Low-Income Customers in Pennsylvania</w:t>
      </w:r>
      <w:r w:rsidR="000F552B">
        <w:rPr>
          <w:rFonts w:ascii="Times New Roman" w:hAnsi="Times New Roman" w:cs="Times New Roman"/>
          <w:sz w:val="26"/>
          <w:szCs w:val="26"/>
        </w:rPr>
        <w:t>”</w:t>
      </w:r>
      <w:bookmarkEnd w:id="0"/>
      <w:bookmarkEnd w:id="1"/>
      <w:r w:rsidR="000F552B">
        <w:rPr>
          <w:rFonts w:ascii="Times New Roman" w:hAnsi="Times New Roman" w:cs="Times New Roman"/>
          <w:sz w:val="26"/>
          <w:szCs w:val="26"/>
        </w:rPr>
        <w:t xml:space="preserve"> </w:t>
      </w:r>
      <w:r w:rsidR="002B1876">
        <w:rPr>
          <w:rFonts w:ascii="Times New Roman" w:hAnsi="Times New Roman" w:cs="Times New Roman"/>
          <w:sz w:val="26"/>
          <w:szCs w:val="26"/>
        </w:rPr>
        <w:t>(Report)</w:t>
      </w:r>
      <w:r w:rsidR="00CA107E">
        <w:rPr>
          <w:rFonts w:ascii="Times New Roman" w:hAnsi="Times New Roman" w:cs="Times New Roman"/>
          <w:sz w:val="26"/>
          <w:szCs w:val="26"/>
        </w:rPr>
        <w:t xml:space="preserve">.  </w:t>
      </w:r>
      <w:r w:rsidR="00066886">
        <w:rPr>
          <w:rFonts w:ascii="Times New Roman" w:hAnsi="Times New Roman" w:cs="Times New Roman"/>
          <w:sz w:val="26"/>
          <w:szCs w:val="26"/>
        </w:rPr>
        <w:t xml:space="preserve">The </w:t>
      </w:r>
      <w:r w:rsidR="00E96D89">
        <w:rPr>
          <w:rFonts w:ascii="Times New Roman" w:hAnsi="Times New Roman" w:cs="Times New Roman"/>
          <w:sz w:val="26"/>
          <w:szCs w:val="26"/>
        </w:rPr>
        <w:t>May</w:t>
      </w:r>
      <w:r w:rsidR="004B145F">
        <w:rPr>
          <w:rFonts w:ascii="Times New Roman" w:hAnsi="Times New Roman" w:cs="Times New Roman"/>
          <w:sz w:val="26"/>
          <w:szCs w:val="26"/>
        </w:rPr>
        <w:t> </w:t>
      </w:r>
      <w:r w:rsidR="00E96D89">
        <w:rPr>
          <w:rFonts w:ascii="Times New Roman" w:hAnsi="Times New Roman" w:cs="Times New Roman"/>
          <w:sz w:val="26"/>
          <w:szCs w:val="26"/>
        </w:rPr>
        <w:t>5, 2017</w:t>
      </w:r>
      <w:r w:rsidR="000F552B">
        <w:rPr>
          <w:rFonts w:ascii="Times New Roman" w:hAnsi="Times New Roman" w:cs="Times New Roman"/>
          <w:sz w:val="26"/>
          <w:szCs w:val="26"/>
        </w:rPr>
        <w:t xml:space="preserve"> </w:t>
      </w:r>
      <w:r w:rsidR="005A57B5">
        <w:rPr>
          <w:rFonts w:ascii="Times New Roman" w:hAnsi="Times New Roman" w:cs="Times New Roman"/>
          <w:sz w:val="26"/>
          <w:szCs w:val="26"/>
        </w:rPr>
        <w:t>O</w:t>
      </w:r>
      <w:r w:rsidR="000F552B">
        <w:rPr>
          <w:rFonts w:ascii="Times New Roman" w:hAnsi="Times New Roman" w:cs="Times New Roman"/>
          <w:sz w:val="26"/>
          <w:szCs w:val="26"/>
        </w:rPr>
        <w:t xml:space="preserve">rder directed </w:t>
      </w:r>
      <w:r w:rsidR="002F701F">
        <w:rPr>
          <w:rFonts w:ascii="Times New Roman" w:hAnsi="Times New Roman" w:cs="Times New Roman"/>
          <w:sz w:val="26"/>
          <w:szCs w:val="26"/>
        </w:rPr>
        <w:t xml:space="preserve">staff </w:t>
      </w:r>
      <w:r w:rsidR="00832B3E" w:rsidRPr="00461F15">
        <w:rPr>
          <w:rFonts w:ascii="Times New Roman" w:hAnsi="Times New Roman" w:cs="Times New Roman"/>
          <w:sz w:val="26"/>
          <w:szCs w:val="26"/>
        </w:rPr>
        <w:t>to initiate a study</w:t>
      </w:r>
      <w:r w:rsidR="006D7E27">
        <w:rPr>
          <w:rStyle w:val="FootnoteReference"/>
          <w:rFonts w:ascii="Times New Roman" w:hAnsi="Times New Roman" w:cs="Times New Roman"/>
          <w:sz w:val="26"/>
          <w:szCs w:val="26"/>
        </w:rPr>
        <w:footnoteReference w:id="2"/>
      </w:r>
      <w:r w:rsidR="00832B3E" w:rsidRPr="00461F15">
        <w:rPr>
          <w:rFonts w:ascii="Times New Roman" w:hAnsi="Times New Roman" w:cs="Times New Roman"/>
          <w:sz w:val="26"/>
          <w:szCs w:val="26"/>
        </w:rPr>
        <w:t xml:space="preserve"> </w:t>
      </w:r>
      <w:r w:rsidR="00F60A36" w:rsidRPr="00461F15">
        <w:rPr>
          <w:rFonts w:ascii="Times New Roman" w:hAnsi="Times New Roman" w:cs="Times New Roman"/>
          <w:sz w:val="26"/>
          <w:szCs w:val="26"/>
        </w:rPr>
        <w:t xml:space="preserve">to </w:t>
      </w:r>
      <w:r w:rsidR="001D6C24">
        <w:rPr>
          <w:rFonts w:ascii="Times New Roman" w:hAnsi="Times New Roman" w:cs="Times New Roman"/>
          <w:sz w:val="26"/>
          <w:szCs w:val="26"/>
        </w:rPr>
        <w:t>“</w:t>
      </w:r>
      <w:r w:rsidR="008809EC" w:rsidRPr="009E6403">
        <w:rPr>
          <w:rFonts w:ascii="Times New Roman" w:hAnsi="Times New Roman" w:cs="Times New Roman"/>
          <w:sz w:val="26"/>
          <w:szCs w:val="26"/>
        </w:rPr>
        <w:t xml:space="preserve">determine what constitutes an affordable energy burden for Pennsylvania’s low-income households and, based on this analysis, whether any changes in the Commission’s </w:t>
      </w:r>
      <w:r w:rsidR="00F94740">
        <w:rPr>
          <w:rFonts w:ascii="Times New Roman" w:hAnsi="Times New Roman" w:cs="Times New Roman"/>
          <w:sz w:val="26"/>
          <w:szCs w:val="26"/>
        </w:rPr>
        <w:t>Customer Assist</w:t>
      </w:r>
      <w:r w:rsidR="002D0A47">
        <w:rPr>
          <w:rFonts w:ascii="Times New Roman" w:hAnsi="Times New Roman" w:cs="Times New Roman"/>
          <w:sz w:val="26"/>
          <w:szCs w:val="26"/>
        </w:rPr>
        <w:t>ance Program (</w:t>
      </w:r>
      <w:r w:rsidR="008809EC" w:rsidRPr="009E6403">
        <w:rPr>
          <w:rFonts w:ascii="Times New Roman" w:hAnsi="Times New Roman" w:cs="Times New Roman"/>
          <w:sz w:val="26"/>
          <w:szCs w:val="26"/>
        </w:rPr>
        <w:t>CAP</w:t>
      </w:r>
      <w:r w:rsidR="002D0A47">
        <w:rPr>
          <w:rFonts w:ascii="Times New Roman" w:hAnsi="Times New Roman" w:cs="Times New Roman"/>
          <w:sz w:val="26"/>
          <w:szCs w:val="26"/>
        </w:rPr>
        <w:t>)</w:t>
      </w:r>
      <w:r w:rsidR="008809EC" w:rsidRPr="009E6403">
        <w:rPr>
          <w:rFonts w:ascii="Times New Roman" w:hAnsi="Times New Roman" w:cs="Times New Roman"/>
          <w:sz w:val="26"/>
          <w:szCs w:val="26"/>
        </w:rPr>
        <w:t xml:space="preserve"> Policy Statement or other </w:t>
      </w:r>
      <w:r w:rsidR="008809EC" w:rsidRPr="009E6403">
        <w:rPr>
          <w:rFonts w:ascii="Times New Roman" w:hAnsi="Times New Roman" w:cs="Times New Roman"/>
          <w:sz w:val="26"/>
          <w:szCs w:val="26"/>
        </w:rPr>
        <w:lastRenderedPageBreak/>
        <w:t>Universal Service and Energy Conservation Program guidelines are necessary to bring these programs into alignment with any affordability recommendations.”</w:t>
      </w:r>
      <w:r w:rsidR="002F6977" w:rsidRPr="00461F15">
        <w:rPr>
          <w:rStyle w:val="FootnoteReference"/>
          <w:rFonts w:ascii="Times New Roman" w:hAnsi="Times New Roman" w:cs="Times New Roman"/>
          <w:sz w:val="26"/>
          <w:szCs w:val="26"/>
        </w:rPr>
        <w:footnoteReference w:id="3"/>
      </w:r>
      <w:r w:rsidR="008809EC" w:rsidRPr="009E6403">
        <w:rPr>
          <w:rFonts w:ascii="Times New Roman" w:hAnsi="Times New Roman" w:cs="Times New Roman"/>
          <w:sz w:val="26"/>
          <w:szCs w:val="26"/>
        </w:rPr>
        <w:t xml:space="preserve"> </w:t>
      </w:r>
      <w:r w:rsidR="00897F64">
        <w:rPr>
          <w:rFonts w:ascii="Times New Roman" w:hAnsi="Times New Roman" w:cs="Times New Roman"/>
          <w:sz w:val="26"/>
          <w:szCs w:val="26"/>
        </w:rPr>
        <w:t xml:space="preserve"> </w:t>
      </w:r>
      <w:r w:rsidR="00D4458B" w:rsidRPr="00461F15">
        <w:rPr>
          <w:rFonts w:ascii="Times New Roman" w:hAnsi="Times New Roman" w:cs="Times New Roman"/>
          <w:sz w:val="26"/>
          <w:szCs w:val="26"/>
        </w:rPr>
        <w:t xml:space="preserve">The </w:t>
      </w:r>
      <w:r w:rsidR="00897F64">
        <w:rPr>
          <w:rFonts w:ascii="Times New Roman" w:hAnsi="Times New Roman" w:cs="Times New Roman"/>
          <w:sz w:val="26"/>
          <w:szCs w:val="26"/>
        </w:rPr>
        <w:t xml:space="preserve">staff </w:t>
      </w:r>
      <w:r w:rsidR="00D4458B" w:rsidRPr="00461F15">
        <w:rPr>
          <w:rFonts w:ascii="Times New Roman" w:hAnsi="Times New Roman" w:cs="Times New Roman"/>
          <w:sz w:val="26"/>
          <w:szCs w:val="26"/>
        </w:rPr>
        <w:t xml:space="preserve">observations </w:t>
      </w:r>
      <w:r w:rsidR="00F56DFC">
        <w:rPr>
          <w:rFonts w:ascii="Times New Roman" w:hAnsi="Times New Roman" w:cs="Times New Roman"/>
          <w:sz w:val="26"/>
          <w:szCs w:val="26"/>
        </w:rPr>
        <w:t>in the Report</w:t>
      </w:r>
      <w:r w:rsidR="00D4458B" w:rsidRPr="00461F15">
        <w:rPr>
          <w:rFonts w:ascii="Times New Roman" w:hAnsi="Times New Roman" w:cs="Times New Roman"/>
          <w:sz w:val="26"/>
          <w:szCs w:val="26"/>
        </w:rPr>
        <w:t xml:space="preserve"> are summarized herein</w:t>
      </w:r>
      <w:r w:rsidR="00E26686">
        <w:rPr>
          <w:rFonts w:ascii="Times New Roman" w:hAnsi="Times New Roman" w:cs="Times New Roman"/>
          <w:sz w:val="26"/>
          <w:szCs w:val="26"/>
        </w:rPr>
        <w:t xml:space="preserve">.  </w:t>
      </w:r>
    </w:p>
    <w:p w14:paraId="0DC9167E" w14:textId="77777777" w:rsidR="00370757" w:rsidRDefault="00370757" w:rsidP="007B5E93">
      <w:pPr>
        <w:spacing w:after="0" w:line="360" w:lineRule="auto"/>
        <w:ind w:firstLine="720"/>
        <w:rPr>
          <w:rFonts w:ascii="Times New Roman" w:hAnsi="Times New Roman" w:cs="Times New Roman"/>
          <w:sz w:val="26"/>
          <w:szCs w:val="26"/>
        </w:rPr>
      </w:pPr>
    </w:p>
    <w:p w14:paraId="5243E2AF" w14:textId="51640D12" w:rsidR="007B5E93" w:rsidRPr="00B9325E" w:rsidRDefault="00FB60BF" w:rsidP="007B5E93">
      <w:pPr>
        <w:spacing w:after="0" w:line="360" w:lineRule="auto"/>
        <w:ind w:firstLine="720"/>
        <w:rPr>
          <w:rFonts w:ascii="Times New Roman" w:eastAsia="Times New Roman" w:hAnsi="Times New Roman" w:cs="Times New Roman"/>
          <w:sz w:val="26"/>
          <w:szCs w:val="26"/>
        </w:rPr>
      </w:pPr>
      <w:r>
        <w:rPr>
          <w:rFonts w:ascii="Times New Roman" w:hAnsi="Times New Roman" w:cs="Times New Roman"/>
          <w:sz w:val="26"/>
          <w:szCs w:val="26"/>
        </w:rPr>
        <w:t xml:space="preserve">This Order </w:t>
      </w:r>
      <w:r w:rsidR="00370757">
        <w:rPr>
          <w:rFonts w:ascii="Times New Roman" w:hAnsi="Times New Roman" w:cs="Times New Roman"/>
          <w:sz w:val="26"/>
          <w:szCs w:val="26"/>
        </w:rPr>
        <w:t xml:space="preserve">also </w:t>
      </w:r>
      <w:r>
        <w:rPr>
          <w:rFonts w:ascii="Times New Roman" w:hAnsi="Times New Roman" w:cs="Times New Roman"/>
          <w:sz w:val="26"/>
          <w:szCs w:val="26"/>
        </w:rPr>
        <w:t>schedules a</w:t>
      </w:r>
      <w:r w:rsidR="007B5E93">
        <w:rPr>
          <w:rFonts w:ascii="Times New Roman" w:eastAsia="Times New Roman" w:hAnsi="Times New Roman" w:cs="Times New Roman"/>
          <w:sz w:val="26"/>
          <w:szCs w:val="26"/>
        </w:rPr>
        <w:t xml:space="preserve"> stakeholder meeting for</w:t>
      </w:r>
      <w:r w:rsidR="00954ADB">
        <w:rPr>
          <w:rFonts w:ascii="Times New Roman" w:eastAsia="Times New Roman" w:hAnsi="Times New Roman" w:cs="Times New Roman"/>
          <w:sz w:val="26"/>
          <w:szCs w:val="26"/>
        </w:rPr>
        <w:t xml:space="preserve"> </w:t>
      </w:r>
      <w:proofErr w:type="gramStart"/>
      <w:r w:rsidR="00954ADB">
        <w:rPr>
          <w:rFonts w:ascii="Times New Roman" w:eastAsia="Times New Roman" w:hAnsi="Times New Roman" w:cs="Times New Roman"/>
          <w:sz w:val="26"/>
          <w:szCs w:val="26"/>
        </w:rPr>
        <w:t>February 6, 2019</w:t>
      </w:r>
      <w:r w:rsidR="003B247F">
        <w:rPr>
          <w:rFonts w:ascii="Times New Roman" w:eastAsia="Times New Roman" w:hAnsi="Times New Roman" w:cs="Times New Roman"/>
          <w:sz w:val="26"/>
          <w:szCs w:val="26"/>
        </w:rPr>
        <w:t>,</w:t>
      </w:r>
      <w:r w:rsidR="003B247F" w:rsidDel="00DB2799">
        <w:rPr>
          <w:rFonts w:ascii="Times New Roman" w:eastAsia="Times New Roman" w:hAnsi="Times New Roman" w:cs="Times New Roman"/>
          <w:sz w:val="26"/>
          <w:szCs w:val="26"/>
        </w:rPr>
        <w:t xml:space="preserve"> </w:t>
      </w:r>
      <w:r w:rsidR="003B247F">
        <w:rPr>
          <w:rFonts w:ascii="Times New Roman" w:eastAsia="Times New Roman" w:hAnsi="Times New Roman" w:cs="Times New Roman"/>
          <w:sz w:val="26"/>
          <w:szCs w:val="26"/>
        </w:rPr>
        <w:t>and</w:t>
      </w:r>
      <w:proofErr w:type="gramEnd"/>
      <w:r w:rsidR="003B247F">
        <w:rPr>
          <w:rFonts w:ascii="Times New Roman" w:eastAsia="Times New Roman" w:hAnsi="Times New Roman" w:cs="Times New Roman"/>
          <w:sz w:val="26"/>
          <w:szCs w:val="26"/>
        </w:rPr>
        <w:t xml:space="preserve"> </w:t>
      </w:r>
      <w:r w:rsidR="007B5E93">
        <w:rPr>
          <w:rFonts w:ascii="Times New Roman" w:eastAsia="Times New Roman" w:hAnsi="Times New Roman" w:cs="Times New Roman"/>
          <w:sz w:val="26"/>
          <w:szCs w:val="26"/>
        </w:rPr>
        <w:t xml:space="preserve">calls for supplemental information and data from the utilities.  The utilities’ supplemental information and data are to be filed and served </w:t>
      </w:r>
      <w:r w:rsidR="00681A39">
        <w:rPr>
          <w:rFonts w:ascii="Times New Roman" w:eastAsia="Times New Roman" w:hAnsi="Times New Roman" w:cs="Times New Roman"/>
          <w:sz w:val="26"/>
          <w:szCs w:val="26"/>
        </w:rPr>
        <w:t>th</w:t>
      </w:r>
      <w:r w:rsidR="002508B9">
        <w:rPr>
          <w:rFonts w:ascii="Times New Roman" w:eastAsia="Times New Roman" w:hAnsi="Times New Roman" w:cs="Times New Roman"/>
          <w:sz w:val="26"/>
          <w:szCs w:val="26"/>
        </w:rPr>
        <w:t>irty (</w:t>
      </w:r>
      <w:r w:rsidR="00AF1891">
        <w:rPr>
          <w:rFonts w:ascii="Times New Roman" w:eastAsia="Times New Roman" w:hAnsi="Times New Roman" w:cs="Times New Roman"/>
          <w:sz w:val="26"/>
          <w:szCs w:val="26"/>
        </w:rPr>
        <w:t>3</w:t>
      </w:r>
      <w:r w:rsidR="006625E5">
        <w:rPr>
          <w:rFonts w:ascii="Times New Roman" w:eastAsia="Times New Roman" w:hAnsi="Times New Roman" w:cs="Times New Roman"/>
          <w:sz w:val="26"/>
          <w:szCs w:val="26"/>
        </w:rPr>
        <w:t>0</w:t>
      </w:r>
      <w:r w:rsidR="002508B9">
        <w:rPr>
          <w:rFonts w:ascii="Times New Roman" w:eastAsia="Times New Roman" w:hAnsi="Times New Roman" w:cs="Times New Roman"/>
          <w:sz w:val="26"/>
          <w:szCs w:val="26"/>
        </w:rPr>
        <w:t>)</w:t>
      </w:r>
      <w:r w:rsidR="006625E5">
        <w:rPr>
          <w:rFonts w:ascii="Times New Roman" w:eastAsia="Times New Roman" w:hAnsi="Times New Roman" w:cs="Times New Roman"/>
          <w:sz w:val="26"/>
          <w:szCs w:val="26"/>
        </w:rPr>
        <w:t xml:space="preserve"> days from the entry date of this Order</w:t>
      </w:r>
      <w:r w:rsidR="003B2175">
        <w:rPr>
          <w:rFonts w:ascii="Times New Roman" w:eastAsia="Times New Roman" w:hAnsi="Times New Roman" w:cs="Times New Roman"/>
          <w:sz w:val="26"/>
          <w:szCs w:val="26"/>
        </w:rPr>
        <w:t xml:space="preserve">.  </w:t>
      </w:r>
      <w:r w:rsidR="00052A9C">
        <w:rPr>
          <w:rFonts w:ascii="Times New Roman" w:eastAsia="Times New Roman" w:hAnsi="Times New Roman" w:cs="Times New Roman"/>
          <w:sz w:val="26"/>
          <w:szCs w:val="26"/>
        </w:rPr>
        <w:t xml:space="preserve">Comments are due </w:t>
      </w:r>
      <w:r w:rsidR="00681A39">
        <w:rPr>
          <w:rFonts w:ascii="Times New Roman" w:eastAsia="Times New Roman" w:hAnsi="Times New Roman" w:cs="Times New Roman"/>
          <w:sz w:val="26"/>
          <w:szCs w:val="26"/>
        </w:rPr>
        <w:t>twenty (</w:t>
      </w:r>
      <w:r w:rsidR="00052A9C">
        <w:rPr>
          <w:rFonts w:ascii="Times New Roman" w:eastAsia="Times New Roman" w:hAnsi="Times New Roman" w:cs="Times New Roman"/>
          <w:sz w:val="26"/>
          <w:szCs w:val="26"/>
        </w:rPr>
        <w:t>20</w:t>
      </w:r>
      <w:r w:rsidR="00681A39">
        <w:rPr>
          <w:rFonts w:ascii="Times New Roman" w:eastAsia="Times New Roman" w:hAnsi="Times New Roman" w:cs="Times New Roman"/>
          <w:sz w:val="26"/>
          <w:szCs w:val="26"/>
        </w:rPr>
        <w:t>)</w:t>
      </w:r>
      <w:r w:rsidR="00052A9C">
        <w:rPr>
          <w:rFonts w:ascii="Times New Roman" w:eastAsia="Times New Roman" w:hAnsi="Times New Roman" w:cs="Times New Roman"/>
          <w:sz w:val="26"/>
          <w:szCs w:val="26"/>
        </w:rPr>
        <w:t xml:space="preserve"> days after the </w:t>
      </w:r>
      <w:r w:rsidR="00681A39">
        <w:rPr>
          <w:rFonts w:ascii="Times New Roman" w:eastAsia="Times New Roman" w:hAnsi="Times New Roman" w:cs="Times New Roman"/>
          <w:sz w:val="26"/>
          <w:szCs w:val="26"/>
        </w:rPr>
        <w:t xml:space="preserve">utilities’ supplemental information </w:t>
      </w:r>
      <w:r w:rsidR="00F24E0C">
        <w:rPr>
          <w:rFonts w:ascii="Times New Roman" w:eastAsia="Times New Roman" w:hAnsi="Times New Roman" w:cs="Times New Roman"/>
          <w:sz w:val="26"/>
          <w:szCs w:val="26"/>
        </w:rPr>
        <w:t xml:space="preserve">filing </w:t>
      </w:r>
      <w:r w:rsidR="00681A39">
        <w:rPr>
          <w:rFonts w:ascii="Times New Roman" w:eastAsia="Times New Roman" w:hAnsi="Times New Roman" w:cs="Times New Roman"/>
          <w:sz w:val="26"/>
          <w:szCs w:val="26"/>
        </w:rPr>
        <w:t xml:space="preserve">deadline and </w:t>
      </w:r>
      <w:r w:rsidR="007B5E93">
        <w:rPr>
          <w:rFonts w:ascii="Times New Roman" w:eastAsia="Times New Roman" w:hAnsi="Times New Roman" w:cs="Times New Roman"/>
          <w:sz w:val="26"/>
          <w:szCs w:val="26"/>
        </w:rPr>
        <w:t xml:space="preserve">reply comments are </w:t>
      </w:r>
      <w:r w:rsidR="00681A39">
        <w:rPr>
          <w:rFonts w:ascii="Times New Roman" w:eastAsia="Times New Roman" w:hAnsi="Times New Roman" w:cs="Times New Roman"/>
          <w:sz w:val="26"/>
          <w:szCs w:val="26"/>
        </w:rPr>
        <w:t>due fifteen (15) days</w:t>
      </w:r>
      <w:r w:rsidR="006625E5">
        <w:rPr>
          <w:rFonts w:ascii="Times New Roman" w:eastAsia="Times New Roman" w:hAnsi="Times New Roman" w:cs="Times New Roman"/>
          <w:sz w:val="26"/>
          <w:szCs w:val="26"/>
        </w:rPr>
        <w:t xml:space="preserve"> thereafter</w:t>
      </w:r>
      <w:r w:rsidR="007B5E93">
        <w:rPr>
          <w:rFonts w:ascii="Times New Roman" w:eastAsia="Times New Roman" w:hAnsi="Times New Roman" w:cs="Times New Roman"/>
          <w:sz w:val="26"/>
          <w:szCs w:val="26"/>
        </w:rPr>
        <w:t xml:space="preserve">.  </w:t>
      </w:r>
    </w:p>
    <w:p w14:paraId="115C3A01" w14:textId="77777777" w:rsidR="007B5E93" w:rsidRPr="00AD5480" w:rsidRDefault="007B5E93" w:rsidP="007B5E93">
      <w:pPr>
        <w:spacing w:after="0" w:line="360" w:lineRule="auto"/>
        <w:contextualSpacing/>
        <w:rPr>
          <w:rFonts w:ascii="Times New Roman" w:eastAsia="Times New Roman" w:hAnsi="Times New Roman" w:cs="Times New Roman"/>
          <w:sz w:val="26"/>
          <w:szCs w:val="26"/>
        </w:rPr>
      </w:pPr>
    </w:p>
    <w:p w14:paraId="78E0F9C8" w14:textId="3902B42D" w:rsidR="008545CF" w:rsidRDefault="00114ED7" w:rsidP="00F500E4">
      <w:pPr>
        <w:spacing w:after="0" w:line="360" w:lineRule="auto"/>
        <w:ind w:firstLine="720"/>
        <w:rPr>
          <w:rFonts w:ascii="Times New Roman" w:eastAsia="Times New Roman" w:hAnsi="Times New Roman" w:cs="Times New Roman"/>
          <w:sz w:val="26"/>
          <w:szCs w:val="26"/>
        </w:rPr>
      </w:pPr>
      <w:r>
        <w:rPr>
          <w:rFonts w:ascii="Times New Roman" w:hAnsi="Times New Roman" w:cs="Times New Roman"/>
          <w:sz w:val="26"/>
          <w:szCs w:val="26"/>
        </w:rPr>
        <w:t xml:space="preserve">The Commission </w:t>
      </w:r>
      <w:r w:rsidR="00E26686">
        <w:rPr>
          <w:rFonts w:ascii="Times New Roman" w:hAnsi="Times New Roman" w:cs="Times New Roman"/>
          <w:sz w:val="26"/>
          <w:szCs w:val="26"/>
        </w:rPr>
        <w:t xml:space="preserve">will evaluate the </w:t>
      </w:r>
      <w:r w:rsidR="00475260">
        <w:rPr>
          <w:rFonts w:ascii="Times New Roman" w:hAnsi="Times New Roman" w:cs="Times New Roman"/>
          <w:sz w:val="26"/>
          <w:szCs w:val="26"/>
        </w:rPr>
        <w:t>Report</w:t>
      </w:r>
      <w:r w:rsidR="006625E5">
        <w:rPr>
          <w:rFonts w:ascii="Times New Roman" w:hAnsi="Times New Roman" w:cs="Times New Roman"/>
          <w:sz w:val="26"/>
          <w:szCs w:val="26"/>
        </w:rPr>
        <w:t xml:space="preserve">, supplemental information provided by </w:t>
      </w:r>
      <w:r w:rsidR="002553C4">
        <w:rPr>
          <w:rFonts w:ascii="Times New Roman" w:hAnsi="Times New Roman" w:cs="Times New Roman"/>
          <w:sz w:val="26"/>
          <w:szCs w:val="26"/>
        </w:rPr>
        <w:t xml:space="preserve">the </w:t>
      </w:r>
      <w:r w:rsidR="006625E5">
        <w:rPr>
          <w:rFonts w:ascii="Times New Roman" w:hAnsi="Times New Roman" w:cs="Times New Roman"/>
          <w:sz w:val="26"/>
          <w:szCs w:val="26"/>
        </w:rPr>
        <w:t>NGDCs and EDCs, and comments to the Report</w:t>
      </w:r>
      <w:r w:rsidR="00475260">
        <w:rPr>
          <w:rFonts w:ascii="Times New Roman" w:hAnsi="Times New Roman" w:cs="Times New Roman"/>
          <w:sz w:val="26"/>
          <w:szCs w:val="26"/>
        </w:rPr>
        <w:t xml:space="preserve"> </w:t>
      </w:r>
      <w:r w:rsidR="00D22E92">
        <w:rPr>
          <w:rFonts w:ascii="Times New Roman" w:hAnsi="Times New Roman" w:cs="Times New Roman"/>
          <w:sz w:val="26"/>
          <w:szCs w:val="26"/>
        </w:rPr>
        <w:t xml:space="preserve">in conjunction with </w:t>
      </w:r>
      <w:r w:rsidR="00083B40">
        <w:rPr>
          <w:rFonts w:ascii="Times New Roman" w:hAnsi="Times New Roman" w:cs="Times New Roman"/>
          <w:sz w:val="26"/>
          <w:szCs w:val="26"/>
        </w:rPr>
        <w:t xml:space="preserve">its </w:t>
      </w:r>
      <w:r w:rsidR="00DA653C">
        <w:rPr>
          <w:rFonts w:ascii="Times New Roman" w:hAnsi="Times New Roman" w:cs="Times New Roman"/>
          <w:sz w:val="26"/>
          <w:szCs w:val="26"/>
        </w:rPr>
        <w:t xml:space="preserve">ongoing </w:t>
      </w:r>
      <w:r w:rsidR="00134ED1" w:rsidRPr="00461F15">
        <w:rPr>
          <w:rFonts w:ascii="Times New Roman" w:hAnsi="Times New Roman" w:cs="Times New Roman"/>
          <w:sz w:val="26"/>
          <w:szCs w:val="26"/>
        </w:rPr>
        <w:t xml:space="preserve">broader review of the </w:t>
      </w:r>
      <w:r w:rsidR="007B0318" w:rsidRPr="00461F15">
        <w:rPr>
          <w:rFonts w:ascii="Times New Roman" w:eastAsia="Times New Roman" w:hAnsi="Times New Roman" w:cs="Times New Roman"/>
          <w:sz w:val="26"/>
          <w:szCs w:val="26"/>
        </w:rPr>
        <w:t xml:space="preserve">effectiveness of residential </w:t>
      </w:r>
      <w:r w:rsidR="00F56DFC">
        <w:rPr>
          <w:rFonts w:ascii="Times New Roman" w:eastAsia="Times New Roman" w:hAnsi="Times New Roman" w:cs="Times New Roman"/>
          <w:sz w:val="26"/>
          <w:szCs w:val="26"/>
        </w:rPr>
        <w:t>u</w:t>
      </w:r>
      <w:r w:rsidR="007B0318" w:rsidRPr="00461F15">
        <w:rPr>
          <w:rFonts w:ascii="Times New Roman" w:hAnsi="Times New Roman" w:cs="Times New Roman"/>
          <w:sz w:val="26"/>
          <w:szCs w:val="26"/>
        </w:rPr>
        <w:t xml:space="preserve">niversal </w:t>
      </w:r>
      <w:r w:rsidR="00F56DFC">
        <w:rPr>
          <w:rFonts w:ascii="Times New Roman" w:hAnsi="Times New Roman" w:cs="Times New Roman"/>
          <w:sz w:val="26"/>
          <w:szCs w:val="26"/>
        </w:rPr>
        <w:t>s</w:t>
      </w:r>
      <w:r w:rsidR="007B0318" w:rsidRPr="00461F15">
        <w:rPr>
          <w:rFonts w:ascii="Times New Roman" w:hAnsi="Times New Roman" w:cs="Times New Roman"/>
          <w:sz w:val="26"/>
          <w:szCs w:val="26"/>
        </w:rPr>
        <w:t>ervice programs and policies</w:t>
      </w:r>
      <w:r w:rsidR="00AE2166">
        <w:rPr>
          <w:rFonts w:ascii="Times New Roman" w:hAnsi="Times New Roman" w:cs="Times New Roman"/>
          <w:sz w:val="26"/>
          <w:szCs w:val="26"/>
        </w:rPr>
        <w:t xml:space="preserve"> at </w:t>
      </w:r>
      <w:r w:rsidR="00F82D92" w:rsidRPr="00B809B9">
        <w:rPr>
          <w:rFonts w:ascii="Times New Roman" w:hAnsi="Times New Roman" w:cs="Times New Roman"/>
          <w:i/>
          <w:sz w:val="26"/>
          <w:szCs w:val="26"/>
        </w:rPr>
        <w:t>Review of Universal Service and Energy Conservation Programs</w:t>
      </w:r>
      <w:r w:rsidR="00F82D92" w:rsidRPr="00B809B9">
        <w:rPr>
          <w:rFonts w:ascii="Times New Roman" w:hAnsi="Times New Roman" w:cs="Times New Roman"/>
          <w:sz w:val="26"/>
          <w:szCs w:val="26"/>
        </w:rPr>
        <w:t xml:space="preserve">, </w:t>
      </w:r>
      <w:r w:rsidR="0090398F">
        <w:rPr>
          <w:rFonts w:ascii="Times New Roman" w:hAnsi="Times New Roman" w:cs="Times New Roman"/>
          <w:sz w:val="26"/>
          <w:szCs w:val="26"/>
        </w:rPr>
        <w:t>Docket No. </w:t>
      </w:r>
      <w:r w:rsidR="00F82D92" w:rsidRPr="00B809B9">
        <w:rPr>
          <w:rFonts w:ascii="Times New Roman" w:hAnsi="Times New Roman" w:cs="Times New Roman"/>
          <w:sz w:val="26"/>
          <w:szCs w:val="26"/>
        </w:rPr>
        <w:t>M</w:t>
      </w:r>
      <w:r w:rsidR="0090398F">
        <w:rPr>
          <w:rFonts w:ascii="Times New Roman" w:hAnsi="Times New Roman" w:cs="Times New Roman"/>
          <w:sz w:val="26"/>
          <w:szCs w:val="26"/>
        </w:rPr>
        <w:noBreakHyphen/>
      </w:r>
      <w:r w:rsidR="00F82D92" w:rsidRPr="00B809B9">
        <w:rPr>
          <w:rFonts w:ascii="Times New Roman" w:hAnsi="Times New Roman" w:cs="Times New Roman"/>
          <w:sz w:val="26"/>
          <w:szCs w:val="26"/>
        </w:rPr>
        <w:t>2017</w:t>
      </w:r>
      <w:r w:rsidR="0090398F">
        <w:rPr>
          <w:rFonts w:ascii="Times New Roman" w:hAnsi="Times New Roman" w:cs="Times New Roman"/>
          <w:sz w:val="26"/>
          <w:szCs w:val="26"/>
        </w:rPr>
        <w:noBreakHyphen/>
      </w:r>
      <w:r w:rsidR="00F82D92" w:rsidRPr="00B809B9">
        <w:rPr>
          <w:rFonts w:ascii="Times New Roman" w:hAnsi="Times New Roman" w:cs="Times New Roman"/>
          <w:sz w:val="26"/>
          <w:szCs w:val="26"/>
        </w:rPr>
        <w:t xml:space="preserve">2596907 (Order entered on May 10, 2017) (May 10, 2017 </w:t>
      </w:r>
      <w:r w:rsidR="0019221A">
        <w:rPr>
          <w:rFonts w:ascii="Times New Roman" w:hAnsi="Times New Roman" w:cs="Times New Roman"/>
          <w:sz w:val="26"/>
          <w:szCs w:val="26"/>
        </w:rPr>
        <w:t xml:space="preserve">US </w:t>
      </w:r>
      <w:r w:rsidR="00F82D92" w:rsidRPr="00B809B9">
        <w:rPr>
          <w:rFonts w:ascii="Times New Roman" w:hAnsi="Times New Roman" w:cs="Times New Roman"/>
          <w:sz w:val="26"/>
          <w:szCs w:val="26"/>
        </w:rPr>
        <w:t>Order)</w:t>
      </w:r>
      <w:r w:rsidR="00DA653C">
        <w:rPr>
          <w:rFonts w:ascii="Times New Roman" w:hAnsi="Times New Roman" w:cs="Times New Roman"/>
          <w:sz w:val="26"/>
          <w:szCs w:val="26"/>
        </w:rPr>
        <w:t xml:space="preserve"> and </w:t>
      </w:r>
      <w:r w:rsidR="00D256E3" w:rsidRPr="00B809B9">
        <w:rPr>
          <w:rFonts w:ascii="Times New Roman" w:eastAsia="Times New Roman" w:hAnsi="Times New Roman" w:cs="Times New Roman"/>
          <w:i/>
          <w:sz w:val="26"/>
          <w:szCs w:val="26"/>
        </w:rPr>
        <w:t>Initiative to Review and Revise the Existing Low-Income Usage Reduction Program (LIURP) Regulations at 52 Pa. Code §§ 58.1–58.18</w:t>
      </w:r>
      <w:r w:rsidR="009B3231">
        <w:rPr>
          <w:rFonts w:ascii="Times New Roman" w:eastAsia="Times New Roman" w:hAnsi="Times New Roman" w:cs="Times New Roman"/>
          <w:sz w:val="26"/>
          <w:szCs w:val="26"/>
        </w:rPr>
        <w:t xml:space="preserve">, </w:t>
      </w:r>
      <w:r w:rsidR="00D256E3" w:rsidRPr="00B9325E">
        <w:rPr>
          <w:rFonts w:ascii="Times New Roman" w:eastAsia="Times New Roman" w:hAnsi="Times New Roman" w:cs="Times New Roman"/>
          <w:sz w:val="26"/>
          <w:szCs w:val="26"/>
        </w:rPr>
        <w:t>Docket No.</w:t>
      </w:r>
      <w:r w:rsidR="002B01C4">
        <w:rPr>
          <w:rFonts w:ascii="Times New Roman" w:eastAsia="Times New Roman" w:hAnsi="Times New Roman" w:cs="Times New Roman"/>
          <w:sz w:val="26"/>
          <w:szCs w:val="26"/>
        </w:rPr>
        <w:t> </w:t>
      </w:r>
      <w:r w:rsidR="00D256E3" w:rsidRPr="00B9325E">
        <w:rPr>
          <w:rFonts w:ascii="Times New Roman" w:eastAsia="Times New Roman" w:hAnsi="Times New Roman" w:cs="Times New Roman"/>
          <w:sz w:val="26"/>
          <w:szCs w:val="26"/>
        </w:rPr>
        <w:t>L</w:t>
      </w:r>
      <w:r w:rsidR="00E30A45">
        <w:rPr>
          <w:rFonts w:ascii="Times New Roman" w:eastAsia="Times New Roman" w:hAnsi="Times New Roman" w:cs="Times New Roman"/>
          <w:sz w:val="26"/>
          <w:szCs w:val="26"/>
        </w:rPr>
        <w:noBreakHyphen/>
      </w:r>
      <w:r w:rsidR="00D256E3" w:rsidRPr="00B9325E">
        <w:rPr>
          <w:rFonts w:ascii="Times New Roman" w:eastAsia="Times New Roman" w:hAnsi="Times New Roman" w:cs="Times New Roman"/>
          <w:sz w:val="26"/>
          <w:szCs w:val="26"/>
        </w:rPr>
        <w:t>2016-2557886</w:t>
      </w:r>
      <w:r w:rsidR="009B3231">
        <w:rPr>
          <w:rFonts w:ascii="Times New Roman" w:eastAsia="Times New Roman" w:hAnsi="Times New Roman" w:cs="Times New Roman"/>
          <w:sz w:val="26"/>
          <w:szCs w:val="26"/>
        </w:rPr>
        <w:t xml:space="preserve"> (Secretarial Letter issued on December 16, 2</w:t>
      </w:r>
      <w:r w:rsidR="00945B9E">
        <w:rPr>
          <w:rFonts w:ascii="Times New Roman" w:eastAsia="Times New Roman" w:hAnsi="Times New Roman" w:cs="Times New Roman"/>
          <w:sz w:val="26"/>
          <w:szCs w:val="26"/>
        </w:rPr>
        <w:t>0</w:t>
      </w:r>
      <w:r w:rsidR="009B3231">
        <w:rPr>
          <w:rFonts w:ascii="Times New Roman" w:eastAsia="Times New Roman" w:hAnsi="Times New Roman" w:cs="Times New Roman"/>
          <w:sz w:val="26"/>
          <w:szCs w:val="26"/>
        </w:rPr>
        <w:t>16) (LIURP December 2016 Secretarial Letter).</w:t>
      </w:r>
      <w:r w:rsidR="00AD5480">
        <w:rPr>
          <w:rFonts w:ascii="Times New Roman" w:eastAsia="Times New Roman" w:hAnsi="Times New Roman" w:cs="Times New Roman"/>
          <w:sz w:val="26"/>
          <w:szCs w:val="26"/>
        </w:rPr>
        <w:t xml:space="preserve">  </w:t>
      </w:r>
      <w:r w:rsidR="00083B40">
        <w:rPr>
          <w:rFonts w:ascii="Times New Roman" w:eastAsia="Times New Roman" w:hAnsi="Times New Roman" w:cs="Times New Roman"/>
          <w:sz w:val="26"/>
          <w:szCs w:val="26"/>
        </w:rPr>
        <w:t xml:space="preserve">The Commission </w:t>
      </w:r>
      <w:r w:rsidR="00880983" w:rsidDel="00EC5A68">
        <w:rPr>
          <w:rFonts w:ascii="Times New Roman" w:hAnsi="Times New Roman" w:cs="Times New Roman"/>
          <w:sz w:val="26"/>
          <w:szCs w:val="26"/>
        </w:rPr>
        <w:t xml:space="preserve">will </w:t>
      </w:r>
      <w:r w:rsidR="00E876EA">
        <w:rPr>
          <w:rFonts w:ascii="Times New Roman" w:hAnsi="Times New Roman" w:cs="Times New Roman"/>
          <w:sz w:val="26"/>
          <w:szCs w:val="26"/>
        </w:rPr>
        <w:t xml:space="preserve">thereafter </w:t>
      </w:r>
      <w:r w:rsidR="00880983">
        <w:rPr>
          <w:rFonts w:ascii="Times New Roman" w:hAnsi="Times New Roman" w:cs="Times New Roman"/>
          <w:sz w:val="26"/>
          <w:szCs w:val="26"/>
        </w:rPr>
        <w:t>determine</w:t>
      </w:r>
      <w:r w:rsidR="00880983" w:rsidDel="00176041">
        <w:rPr>
          <w:rFonts w:ascii="Times New Roman" w:hAnsi="Times New Roman" w:cs="Times New Roman"/>
          <w:sz w:val="26"/>
          <w:szCs w:val="26"/>
        </w:rPr>
        <w:t xml:space="preserve"> </w:t>
      </w:r>
      <w:r w:rsidR="00880983">
        <w:rPr>
          <w:rFonts w:ascii="Times New Roman" w:hAnsi="Times New Roman" w:cs="Times New Roman"/>
          <w:sz w:val="26"/>
          <w:szCs w:val="26"/>
        </w:rPr>
        <w:t xml:space="preserve">the appropriate means for implementation of any </w:t>
      </w:r>
      <w:r w:rsidR="006625E5">
        <w:rPr>
          <w:rFonts w:ascii="Times New Roman" w:hAnsi="Times New Roman" w:cs="Times New Roman"/>
          <w:sz w:val="26"/>
          <w:szCs w:val="26"/>
        </w:rPr>
        <w:t xml:space="preserve">universal service </w:t>
      </w:r>
      <w:r w:rsidR="00880983">
        <w:rPr>
          <w:rFonts w:ascii="Times New Roman" w:hAnsi="Times New Roman" w:cs="Times New Roman"/>
          <w:sz w:val="26"/>
          <w:szCs w:val="26"/>
        </w:rPr>
        <w:t>changes predicated in whole or in part on the study or the Report regardless of whether any changes are adopted at this or other dockets.</w:t>
      </w:r>
    </w:p>
    <w:p w14:paraId="2373F2D7" w14:textId="77777777" w:rsidR="008545CF" w:rsidRDefault="008545CF" w:rsidP="00F500E4">
      <w:pPr>
        <w:spacing w:after="0" w:line="360" w:lineRule="auto"/>
        <w:ind w:firstLine="720"/>
        <w:rPr>
          <w:rFonts w:ascii="Times New Roman" w:eastAsia="Times New Roman" w:hAnsi="Times New Roman" w:cs="Times New Roman"/>
          <w:sz w:val="26"/>
          <w:szCs w:val="26"/>
        </w:rPr>
      </w:pPr>
    </w:p>
    <w:p w14:paraId="49DCCE58" w14:textId="557324F9" w:rsidR="00CE568E" w:rsidRDefault="00CE568E" w:rsidP="00323EAA">
      <w:pPr>
        <w:keepNext/>
        <w:spacing w:after="0" w:line="360" w:lineRule="auto"/>
        <w:contextualSpacing/>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BACKGROUND</w:t>
      </w:r>
    </w:p>
    <w:p w14:paraId="36E4DFCF" w14:textId="6D2A91F5" w:rsidR="00CE568E" w:rsidRPr="006D4D0E" w:rsidRDefault="00D83FF4" w:rsidP="00C70E9C">
      <w:pPr>
        <w:pStyle w:val="NoSpacing"/>
        <w:keepNext/>
        <w:spacing w:line="360" w:lineRule="auto"/>
        <w:ind w:firstLine="720"/>
        <w:contextualSpacing/>
        <w:rPr>
          <w:rFonts w:ascii="Times New Roman" w:hAnsi="Times New Roman" w:cs="Times New Roman"/>
          <w:b/>
          <w:sz w:val="26"/>
          <w:szCs w:val="26"/>
        </w:rPr>
      </w:pPr>
      <w:r>
        <w:rPr>
          <w:rFonts w:ascii="Times New Roman" w:hAnsi="Times New Roman" w:cs="Times New Roman"/>
          <w:b/>
          <w:sz w:val="26"/>
          <w:szCs w:val="26"/>
        </w:rPr>
        <w:t xml:space="preserve">Energy </w:t>
      </w:r>
      <w:r w:rsidR="00133934" w:rsidRPr="006D4D0E">
        <w:rPr>
          <w:rFonts w:ascii="Times New Roman" w:hAnsi="Times New Roman" w:cs="Times New Roman"/>
          <w:b/>
          <w:sz w:val="26"/>
          <w:szCs w:val="26"/>
        </w:rPr>
        <w:t xml:space="preserve">Assistance Programs Overseen by the Commission </w:t>
      </w:r>
    </w:p>
    <w:p w14:paraId="6482E03D" w14:textId="2F1F14C3" w:rsidR="0034015A" w:rsidRDefault="00266BDD" w:rsidP="00554EC1">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9725C">
        <w:rPr>
          <w:rFonts w:ascii="Times New Roman" w:eastAsia="Times New Roman" w:hAnsi="Times New Roman" w:cs="Times New Roman"/>
          <w:sz w:val="26"/>
          <w:szCs w:val="26"/>
        </w:rPr>
        <w:t>At the state</w:t>
      </w:r>
      <w:r w:rsidR="00517092">
        <w:rPr>
          <w:rFonts w:ascii="Times New Roman" w:eastAsia="Times New Roman" w:hAnsi="Times New Roman" w:cs="Times New Roman"/>
          <w:sz w:val="26"/>
          <w:szCs w:val="26"/>
        </w:rPr>
        <w:t xml:space="preserve"> </w:t>
      </w:r>
      <w:r w:rsidR="00F9725C">
        <w:rPr>
          <w:rFonts w:ascii="Times New Roman" w:eastAsia="Times New Roman" w:hAnsi="Times New Roman" w:cs="Times New Roman"/>
          <w:sz w:val="26"/>
          <w:szCs w:val="26"/>
        </w:rPr>
        <w:t xml:space="preserve">level, the </w:t>
      </w:r>
      <w:r w:rsidRPr="00266BDD">
        <w:rPr>
          <w:rFonts w:ascii="Times New Roman" w:eastAsia="Times New Roman" w:hAnsi="Times New Roman" w:cs="Times New Roman"/>
          <w:sz w:val="26"/>
          <w:szCs w:val="26"/>
        </w:rPr>
        <w:t xml:space="preserve">Commission and various stakeholders began to </w:t>
      </w:r>
      <w:r>
        <w:rPr>
          <w:rFonts w:ascii="Times New Roman" w:eastAsia="Times New Roman" w:hAnsi="Times New Roman" w:cs="Times New Roman"/>
          <w:sz w:val="26"/>
          <w:szCs w:val="26"/>
        </w:rPr>
        <w:t xml:space="preserve">formally </w:t>
      </w:r>
      <w:r w:rsidRPr="00266BDD">
        <w:rPr>
          <w:rFonts w:ascii="Times New Roman" w:eastAsia="Times New Roman" w:hAnsi="Times New Roman" w:cs="Times New Roman"/>
          <w:sz w:val="26"/>
          <w:szCs w:val="26"/>
        </w:rPr>
        <w:t xml:space="preserve">address low-income policies, practices, and services at least as early as 1984.  </w:t>
      </w:r>
      <w:r w:rsidRPr="00266BDD">
        <w:rPr>
          <w:rFonts w:ascii="Times New Roman" w:eastAsia="Times New Roman" w:hAnsi="Times New Roman" w:cs="Times New Roman"/>
          <w:i/>
          <w:sz w:val="26"/>
          <w:szCs w:val="26"/>
        </w:rPr>
        <w:t>See Recommendations for Dealing with Payment Troubled Customers</w:t>
      </w:r>
      <w:r w:rsidRPr="00266BDD">
        <w:rPr>
          <w:rFonts w:ascii="Times New Roman" w:eastAsia="Times New Roman" w:hAnsi="Times New Roman" w:cs="Times New Roman"/>
          <w:sz w:val="26"/>
          <w:szCs w:val="26"/>
        </w:rPr>
        <w:t>, Docket No. M</w:t>
      </w:r>
      <w:r w:rsidR="00027D06">
        <w:rPr>
          <w:rFonts w:ascii="Times New Roman" w:eastAsia="Times New Roman" w:hAnsi="Times New Roman" w:cs="Times New Roman"/>
          <w:sz w:val="26"/>
          <w:szCs w:val="26"/>
        </w:rPr>
        <w:noBreakHyphen/>
      </w:r>
      <w:r w:rsidRPr="00266BDD">
        <w:rPr>
          <w:rFonts w:ascii="Times New Roman" w:eastAsia="Times New Roman" w:hAnsi="Times New Roman" w:cs="Times New Roman"/>
          <w:sz w:val="26"/>
          <w:szCs w:val="26"/>
        </w:rPr>
        <w:t xml:space="preserve">840403.  </w:t>
      </w:r>
      <w:r w:rsidR="00CF198B">
        <w:rPr>
          <w:rFonts w:ascii="Times New Roman" w:hAnsi="Times New Roman" w:cs="Times New Roman"/>
          <w:sz w:val="26"/>
          <w:szCs w:val="26"/>
        </w:rPr>
        <w:t xml:space="preserve">In 1992, the Commission adopted </w:t>
      </w:r>
      <w:r w:rsidR="004D4717">
        <w:rPr>
          <w:rFonts w:ascii="Times New Roman" w:hAnsi="Times New Roman" w:cs="Times New Roman"/>
          <w:sz w:val="26"/>
          <w:szCs w:val="26"/>
        </w:rPr>
        <w:t xml:space="preserve">its </w:t>
      </w:r>
      <w:r w:rsidRPr="00266BDD">
        <w:rPr>
          <w:rFonts w:ascii="Times New Roman" w:eastAsia="Times New Roman" w:hAnsi="Times New Roman" w:cs="Times New Roman"/>
          <w:sz w:val="26"/>
          <w:szCs w:val="26"/>
        </w:rPr>
        <w:t>CAP Policy Statement at 52 Pa. Code</w:t>
      </w:r>
      <w:r w:rsidR="004D4717">
        <w:rPr>
          <w:rFonts w:ascii="Times New Roman" w:eastAsia="Times New Roman" w:hAnsi="Times New Roman" w:cs="Times New Roman"/>
          <w:sz w:val="26"/>
          <w:szCs w:val="26"/>
        </w:rPr>
        <w:t> </w:t>
      </w:r>
      <w:r w:rsidRPr="00266BDD">
        <w:rPr>
          <w:rFonts w:ascii="Times New Roman" w:eastAsia="Times New Roman" w:hAnsi="Times New Roman" w:cs="Times New Roman"/>
          <w:sz w:val="26"/>
          <w:szCs w:val="26"/>
        </w:rPr>
        <w:t xml:space="preserve">§§ 69.261-69.267 </w:t>
      </w:r>
      <w:r w:rsidR="00CF198B">
        <w:rPr>
          <w:rFonts w:ascii="Times New Roman" w:eastAsia="Times New Roman" w:hAnsi="Times New Roman" w:cs="Times New Roman"/>
          <w:sz w:val="26"/>
          <w:szCs w:val="26"/>
        </w:rPr>
        <w:t>that established guidelines for major electric distribution companies (EDC</w:t>
      </w:r>
      <w:r w:rsidR="007430A7">
        <w:rPr>
          <w:rFonts w:ascii="Times New Roman" w:eastAsia="Times New Roman" w:hAnsi="Times New Roman" w:cs="Times New Roman"/>
          <w:sz w:val="26"/>
          <w:szCs w:val="26"/>
        </w:rPr>
        <w:t>s</w:t>
      </w:r>
      <w:r w:rsidR="00CF198B">
        <w:rPr>
          <w:rFonts w:ascii="Times New Roman" w:eastAsia="Times New Roman" w:hAnsi="Times New Roman" w:cs="Times New Roman"/>
          <w:sz w:val="26"/>
          <w:szCs w:val="26"/>
        </w:rPr>
        <w:t xml:space="preserve">) and natural gas distribution companies (NGDCs) to voluntarily implement pilot CAPs.  </w:t>
      </w:r>
      <w:r w:rsidR="002A5A83">
        <w:rPr>
          <w:rFonts w:ascii="Times New Roman" w:eastAsia="Times New Roman" w:hAnsi="Times New Roman" w:cs="Times New Roman"/>
          <w:sz w:val="26"/>
          <w:szCs w:val="26"/>
        </w:rPr>
        <w:t>The purposes of CAP</w:t>
      </w:r>
      <w:r w:rsidR="001601C4">
        <w:rPr>
          <w:rFonts w:ascii="Times New Roman" w:eastAsia="Times New Roman" w:hAnsi="Times New Roman" w:cs="Times New Roman"/>
          <w:sz w:val="26"/>
          <w:szCs w:val="26"/>
        </w:rPr>
        <w:t>s</w:t>
      </w:r>
      <w:r w:rsidR="002A5A83">
        <w:rPr>
          <w:rFonts w:ascii="Times New Roman" w:eastAsia="Times New Roman" w:hAnsi="Times New Roman" w:cs="Times New Roman"/>
          <w:sz w:val="26"/>
          <w:szCs w:val="26"/>
        </w:rPr>
        <w:t xml:space="preserve"> are to help make utility services more affordable for </w:t>
      </w:r>
      <w:r w:rsidR="00B56BF9">
        <w:rPr>
          <w:rFonts w:ascii="Times New Roman" w:eastAsia="Times New Roman" w:hAnsi="Times New Roman" w:cs="Times New Roman"/>
          <w:sz w:val="26"/>
          <w:szCs w:val="26"/>
        </w:rPr>
        <w:t>“</w:t>
      </w:r>
      <w:r w:rsidR="002A5A83">
        <w:rPr>
          <w:rFonts w:ascii="Times New Roman" w:eastAsia="Times New Roman" w:hAnsi="Times New Roman" w:cs="Times New Roman"/>
          <w:sz w:val="26"/>
          <w:szCs w:val="26"/>
        </w:rPr>
        <w:t>low-income, payment-troubled</w:t>
      </w:r>
      <w:r w:rsidR="00B56BF9">
        <w:rPr>
          <w:rFonts w:ascii="Times New Roman" w:eastAsia="Times New Roman" w:hAnsi="Times New Roman" w:cs="Times New Roman"/>
          <w:sz w:val="26"/>
          <w:szCs w:val="26"/>
        </w:rPr>
        <w:t>”</w:t>
      </w:r>
      <w:r w:rsidR="002A5A83">
        <w:rPr>
          <w:rFonts w:ascii="Times New Roman" w:eastAsia="Times New Roman" w:hAnsi="Times New Roman" w:cs="Times New Roman"/>
          <w:sz w:val="26"/>
          <w:szCs w:val="26"/>
        </w:rPr>
        <w:t xml:space="preserve"> individuals as well as reduce the costs of a utility’s uncollectible </w:t>
      </w:r>
      <w:r w:rsidR="00B76EBF">
        <w:rPr>
          <w:rFonts w:ascii="Times New Roman" w:eastAsia="Times New Roman" w:hAnsi="Times New Roman" w:cs="Times New Roman"/>
          <w:sz w:val="26"/>
          <w:szCs w:val="26"/>
        </w:rPr>
        <w:t>balances</w:t>
      </w:r>
      <w:r w:rsidR="002A5A83">
        <w:rPr>
          <w:rFonts w:ascii="Times New Roman" w:eastAsia="Times New Roman" w:hAnsi="Times New Roman" w:cs="Times New Roman"/>
          <w:sz w:val="26"/>
          <w:szCs w:val="26"/>
        </w:rPr>
        <w:t xml:space="preserve">. </w:t>
      </w:r>
      <w:r w:rsidR="003C726F">
        <w:rPr>
          <w:rFonts w:ascii="Times New Roman" w:eastAsia="Times New Roman" w:hAnsi="Times New Roman" w:cs="Times New Roman"/>
          <w:sz w:val="26"/>
          <w:szCs w:val="26"/>
        </w:rPr>
        <w:t xml:space="preserve"> </w:t>
      </w:r>
      <w:r w:rsidR="00A64652">
        <w:rPr>
          <w:rFonts w:ascii="Times New Roman" w:eastAsia="Times New Roman" w:hAnsi="Times New Roman" w:cs="Times New Roman"/>
          <w:i/>
          <w:sz w:val="26"/>
          <w:szCs w:val="26"/>
        </w:rPr>
        <w:t xml:space="preserve">See </w:t>
      </w:r>
      <w:r w:rsidR="00432CAD">
        <w:rPr>
          <w:rFonts w:ascii="Times New Roman" w:eastAsia="Times New Roman" w:hAnsi="Times New Roman" w:cs="Times New Roman"/>
          <w:i/>
          <w:sz w:val="26"/>
          <w:szCs w:val="26"/>
        </w:rPr>
        <w:t xml:space="preserve">also </w:t>
      </w:r>
      <w:r w:rsidR="00A64652">
        <w:rPr>
          <w:rFonts w:ascii="Times New Roman" w:eastAsia="Times New Roman" w:hAnsi="Times New Roman" w:cs="Times New Roman"/>
          <w:i/>
          <w:sz w:val="26"/>
          <w:szCs w:val="26"/>
        </w:rPr>
        <w:t>Uncollectible Balances</w:t>
      </w:r>
      <w:r w:rsidR="00A64652">
        <w:rPr>
          <w:rFonts w:ascii="Times New Roman" w:eastAsia="Times New Roman" w:hAnsi="Times New Roman" w:cs="Times New Roman"/>
          <w:sz w:val="26"/>
          <w:szCs w:val="26"/>
        </w:rPr>
        <w:t xml:space="preserve">, </w:t>
      </w:r>
      <w:r w:rsidR="002A5A83">
        <w:rPr>
          <w:rFonts w:ascii="Times New Roman" w:eastAsia="Times New Roman" w:hAnsi="Times New Roman" w:cs="Times New Roman"/>
          <w:sz w:val="26"/>
          <w:szCs w:val="26"/>
        </w:rPr>
        <w:t>Docket No.</w:t>
      </w:r>
      <w:r w:rsidR="00A64652">
        <w:rPr>
          <w:rFonts w:ascii="Times New Roman" w:eastAsia="Times New Roman" w:hAnsi="Times New Roman" w:cs="Times New Roman"/>
          <w:sz w:val="26"/>
          <w:szCs w:val="26"/>
        </w:rPr>
        <w:t> </w:t>
      </w:r>
      <w:r w:rsidR="002A5A83">
        <w:rPr>
          <w:rFonts w:ascii="Times New Roman" w:eastAsia="Times New Roman" w:hAnsi="Times New Roman" w:cs="Times New Roman"/>
          <w:sz w:val="26"/>
          <w:szCs w:val="26"/>
        </w:rPr>
        <w:t>I</w:t>
      </w:r>
      <w:r w:rsidR="00A64652">
        <w:rPr>
          <w:rFonts w:ascii="Times New Roman" w:eastAsia="Times New Roman" w:hAnsi="Times New Roman" w:cs="Times New Roman"/>
          <w:sz w:val="26"/>
          <w:szCs w:val="26"/>
        </w:rPr>
        <w:noBreakHyphen/>
      </w:r>
      <w:r w:rsidR="002A5A83">
        <w:rPr>
          <w:rFonts w:ascii="Times New Roman" w:eastAsia="Times New Roman" w:hAnsi="Times New Roman" w:cs="Times New Roman"/>
          <w:sz w:val="26"/>
          <w:szCs w:val="26"/>
        </w:rPr>
        <w:t>900002</w:t>
      </w:r>
      <w:r w:rsidR="00EF7C3A" w:rsidRPr="0034015A">
        <w:rPr>
          <w:rFonts w:ascii="Times New Roman" w:eastAsia="Times New Roman" w:hAnsi="Times New Roman" w:cs="Times New Roman"/>
          <w:sz w:val="26"/>
          <w:szCs w:val="26"/>
        </w:rPr>
        <w:t xml:space="preserve">, </w:t>
      </w:r>
      <w:r w:rsidR="00EF7C3A" w:rsidRPr="004F1078">
        <w:rPr>
          <w:rFonts w:ascii="Times New Roman" w:hAnsi="Times New Roman" w:cs="Times New Roman"/>
          <w:color w:val="212121"/>
          <w:sz w:val="26"/>
          <w:szCs w:val="26"/>
        </w:rPr>
        <w:t>1990 WL 505799 (Pa.</w:t>
      </w:r>
      <w:r w:rsidR="00EE7A54">
        <w:rPr>
          <w:rFonts w:ascii="Times New Roman" w:hAnsi="Times New Roman" w:cs="Times New Roman"/>
          <w:color w:val="212121"/>
          <w:sz w:val="26"/>
          <w:szCs w:val="26"/>
        </w:rPr>
        <w:t xml:space="preserve"> </w:t>
      </w:r>
      <w:r w:rsidR="00EF7C3A" w:rsidRPr="004F1078">
        <w:rPr>
          <w:rFonts w:ascii="Times New Roman" w:hAnsi="Times New Roman" w:cs="Times New Roman"/>
          <w:color w:val="212121"/>
          <w:sz w:val="26"/>
          <w:szCs w:val="26"/>
        </w:rPr>
        <w:t>P.U.C.)</w:t>
      </w:r>
    </w:p>
    <w:p w14:paraId="604D32C1" w14:textId="77777777" w:rsidR="0034015A" w:rsidRDefault="0034015A" w:rsidP="00554EC1">
      <w:pPr>
        <w:tabs>
          <w:tab w:val="left" w:pos="720"/>
        </w:tabs>
        <w:spacing w:after="0" w:line="360" w:lineRule="auto"/>
        <w:contextualSpacing/>
        <w:rPr>
          <w:rFonts w:ascii="Times New Roman" w:eastAsia="Times New Roman" w:hAnsi="Times New Roman" w:cs="Times New Roman"/>
          <w:sz w:val="26"/>
          <w:szCs w:val="26"/>
        </w:rPr>
      </w:pPr>
    </w:p>
    <w:p w14:paraId="2E061938" w14:textId="77777777" w:rsidR="00DE01E8" w:rsidRDefault="008F7E2F" w:rsidP="00554EC1">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6211F">
        <w:rPr>
          <w:rFonts w:ascii="Times New Roman" w:hAnsi="Times New Roman" w:cs="Times New Roman"/>
          <w:sz w:val="26"/>
          <w:szCs w:val="26"/>
        </w:rPr>
        <w:t xml:space="preserve">The CAP Policy Statement guidelines were </w:t>
      </w:r>
      <w:r w:rsidR="0036211F" w:rsidRPr="009B6EEC">
        <w:rPr>
          <w:rFonts w:ascii="Times New Roman" w:hAnsi="Times New Roman" w:cs="Times New Roman"/>
          <w:sz w:val="26"/>
          <w:szCs w:val="26"/>
        </w:rPr>
        <w:t xml:space="preserve">established as a factor that, in conjunction with other universal service benefits, would encourage broad CAP participation, thereby benefiting a larger percentage of low-income households in Pennsylvania without overly burdening the non-CAP customers or the energy utilities.  </w:t>
      </w:r>
      <w:r w:rsidR="002A5A83">
        <w:rPr>
          <w:rFonts w:ascii="Times New Roman" w:eastAsia="Times New Roman" w:hAnsi="Times New Roman" w:cs="Times New Roman"/>
          <w:sz w:val="26"/>
          <w:szCs w:val="26"/>
        </w:rPr>
        <w:t>The CAP Policy Statement, which was subsequently amended, in part, in 1999, provides guidelines on the design and operation of CAPs, including establishing guidance on maximum energy burden ranges that low-income customers could be expected to pay in exchange for continued utility services</w:t>
      </w:r>
      <w:r w:rsidR="002A5A83" w:rsidRPr="00F20C90">
        <w:rPr>
          <w:rFonts w:ascii="Times New Roman" w:eastAsia="Times New Roman" w:hAnsi="Times New Roman" w:cs="Times New Roman"/>
          <w:sz w:val="26"/>
          <w:szCs w:val="26"/>
        </w:rPr>
        <w:t xml:space="preserve">.  </w:t>
      </w:r>
    </w:p>
    <w:p w14:paraId="5F868E8D" w14:textId="77777777" w:rsidR="00DE01E8" w:rsidRDefault="00DE01E8" w:rsidP="00554EC1">
      <w:pPr>
        <w:tabs>
          <w:tab w:val="left" w:pos="720"/>
        </w:tabs>
        <w:spacing w:after="0" w:line="360" w:lineRule="auto"/>
        <w:contextualSpacing/>
        <w:rPr>
          <w:rFonts w:ascii="Times New Roman" w:eastAsia="Times New Roman" w:hAnsi="Times New Roman" w:cs="Times New Roman"/>
          <w:sz w:val="26"/>
          <w:szCs w:val="26"/>
        </w:rPr>
      </w:pPr>
    </w:p>
    <w:p w14:paraId="631C52A4" w14:textId="5C1713B2" w:rsidR="00FD20F3" w:rsidRDefault="00DE01E8" w:rsidP="00554EC1">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A6309">
        <w:rPr>
          <w:rFonts w:ascii="Times New Roman" w:eastAsia="Times New Roman" w:hAnsi="Times New Roman" w:cs="Times New Roman"/>
          <w:sz w:val="26"/>
          <w:szCs w:val="26"/>
        </w:rPr>
        <w:t>T</w:t>
      </w:r>
      <w:r w:rsidR="002A5A83" w:rsidRPr="00F20C90">
        <w:rPr>
          <w:rFonts w:ascii="Times New Roman" w:eastAsia="Times New Roman" w:hAnsi="Times New Roman" w:cs="Times New Roman"/>
          <w:sz w:val="26"/>
          <w:szCs w:val="26"/>
        </w:rPr>
        <w:t xml:space="preserve">he 1992 CAP Policy Statement recommended that a CAP customer’s </w:t>
      </w:r>
      <w:r w:rsidR="00EF4B3D">
        <w:rPr>
          <w:rFonts w:ascii="Times New Roman" w:eastAsia="Times New Roman" w:hAnsi="Times New Roman" w:cs="Times New Roman"/>
          <w:sz w:val="26"/>
          <w:szCs w:val="26"/>
        </w:rPr>
        <w:t xml:space="preserve">total electric or </w:t>
      </w:r>
      <w:r w:rsidR="002A5A83" w:rsidRPr="00F20C90">
        <w:rPr>
          <w:rFonts w:ascii="Times New Roman" w:eastAsia="Times New Roman" w:hAnsi="Times New Roman" w:cs="Times New Roman"/>
          <w:sz w:val="26"/>
          <w:szCs w:val="26"/>
        </w:rPr>
        <w:t>combined gas and electric energy burden should not exceed 15%</w:t>
      </w:r>
      <w:r w:rsidR="00B15C9F">
        <w:rPr>
          <w:rFonts w:ascii="Times New Roman" w:eastAsia="Times New Roman" w:hAnsi="Times New Roman" w:cs="Times New Roman"/>
          <w:sz w:val="26"/>
          <w:szCs w:val="26"/>
        </w:rPr>
        <w:t xml:space="preserve"> </w:t>
      </w:r>
      <w:r w:rsidR="0065624D">
        <w:rPr>
          <w:rFonts w:ascii="Times New Roman" w:eastAsia="Times New Roman" w:hAnsi="Times New Roman" w:cs="Times New Roman"/>
          <w:sz w:val="26"/>
          <w:szCs w:val="26"/>
        </w:rPr>
        <w:t>for the highest low-income federal poverty income guidelines (FPIG) group</w:t>
      </w:r>
      <w:r w:rsidR="00FC5A2D">
        <w:rPr>
          <w:rFonts w:ascii="Times New Roman" w:eastAsia="Times New Roman" w:hAnsi="Times New Roman" w:cs="Times New Roman"/>
          <w:sz w:val="26"/>
          <w:szCs w:val="26"/>
        </w:rPr>
        <w:t xml:space="preserve">.  That </w:t>
      </w:r>
      <w:r w:rsidR="002A5A83" w:rsidRPr="00F20C90">
        <w:rPr>
          <w:rFonts w:ascii="Times New Roman" w:eastAsia="Times New Roman" w:hAnsi="Times New Roman" w:cs="Times New Roman"/>
          <w:sz w:val="26"/>
          <w:szCs w:val="26"/>
        </w:rPr>
        <w:t xml:space="preserve">maximum was increased to 17% in 1999.  </w:t>
      </w:r>
      <w:r w:rsidR="00882A94">
        <w:rPr>
          <w:rFonts w:ascii="Times New Roman" w:hAnsi="Times New Roman" w:cs="Times New Roman"/>
          <w:sz w:val="26"/>
          <w:szCs w:val="26"/>
        </w:rPr>
        <w:t>B</w:t>
      </w:r>
      <w:r w:rsidR="006E4312">
        <w:rPr>
          <w:rFonts w:ascii="Times New Roman" w:hAnsi="Times New Roman" w:cs="Times New Roman"/>
          <w:sz w:val="26"/>
          <w:szCs w:val="26"/>
        </w:rPr>
        <w:t xml:space="preserve">oth </w:t>
      </w:r>
      <w:r w:rsidR="00882A94">
        <w:rPr>
          <w:rFonts w:ascii="Times New Roman" w:hAnsi="Times New Roman" w:cs="Times New Roman"/>
          <w:sz w:val="26"/>
          <w:szCs w:val="26"/>
        </w:rPr>
        <w:t xml:space="preserve">the 1992 and 1999 </w:t>
      </w:r>
      <w:r w:rsidR="00794F1D">
        <w:rPr>
          <w:rFonts w:ascii="Times New Roman" w:hAnsi="Times New Roman" w:cs="Times New Roman"/>
          <w:sz w:val="26"/>
          <w:szCs w:val="26"/>
        </w:rPr>
        <w:t>energy burden guideline</w:t>
      </w:r>
      <w:r w:rsidR="0033329A" w:rsidRPr="009B6EEC">
        <w:rPr>
          <w:rFonts w:ascii="Times New Roman" w:hAnsi="Times New Roman" w:cs="Times New Roman"/>
          <w:sz w:val="26"/>
          <w:szCs w:val="26"/>
        </w:rPr>
        <w:t xml:space="preserve"> percentage</w:t>
      </w:r>
      <w:r w:rsidR="00794F1D">
        <w:rPr>
          <w:rFonts w:ascii="Times New Roman" w:hAnsi="Times New Roman" w:cs="Times New Roman"/>
          <w:sz w:val="26"/>
          <w:szCs w:val="26"/>
        </w:rPr>
        <w:t>s</w:t>
      </w:r>
      <w:r w:rsidR="0033329A" w:rsidRPr="009B6EEC">
        <w:rPr>
          <w:rFonts w:ascii="Times New Roman" w:hAnsi="Times New Roman" w:cs="Times New Roman"/>
          <w:sz w:val="26"/>
          <w:szCs w:val="26"/>
        </w:rPr>
        <w:t xml:space="preserve"> </w:t>
      </w:r>
      <w:r w:rsidR="00794F1D">
        <w:rPr>
          <w:rFonts w:ascii="Times New Roman" w:hAnsi="Times New Roman" w:cs="Times New Roman"/>
          <w:sz w:val="26"/>
          <w:szCs w:val="26"/>
        </w:rPr>
        <w:t xml:space="preserve">are </w:t>
      </w:r>
      <w:r w:rsidR="0033329A" w:rsidRPr="009B6EEC">
        <w:rPr>
          <w:rFonts w:ascii="Times New Roman" w:hAnsi="Times New Roman" w:cs="Times New Roman"/>
          <w:sz w:val="26"/>
          <w:szCs w:val="26"/>
        </w:rPr>
        <w:t xml:space="preserve">generally higher than the </w:t>
      </w:r>
      <w:r w:rsidR="002E7D7E">
        <w:rPr>
          <w:rFonts w:ascii="Times New Roman" w:hAnsi="Times New Roman" w:cs="Times New Roman"/>
          <w:sz w:val="26"/>
          <w:szCs w:val="26"/>
        </w:rPr>
        <w:t xml:space="preserve">average </w:t>
      </w:r>
      <w:r w:rsidR="0033329A" w:rsidRPr="009B6EEC">
        <w:rPr>
          <w:rFonts w:ascii="Times New Roman" w:hAnsi="Times New Roman" w:cs="Times New Roman"/>
          <w:sz w:val="26"/>
          <w:szCs w:val="26"/>
        </w:rPr>
        <w:t xml:space="preserve">energy burden of </w:t>
      </w:r>
      <w:r w:rsidR="002E7D7E">
        <w:rPr>
          <w:rFonts w:ascii="Times New Roman" w:hAnsi="Times New Roman" w:cs="Times New Roman"/>
          <w:sz w:val="26"/>
          <w:szCs w:val="26"/>
        </w:rPr>
        <w:t>all</w:t>
      </w:r>
      <w:r w:rsidR="0033329A" w:rsidRPr="009B6EEC" w:rsidDel="002E7D7E">
        <w:rPr>
          <w:rFonts w:ascii="Times New Roman" w:hAnsi="Times New Roman" w:cs="Times New Roman"/>
          <w:sz w:val="26"/>
          <w:szCs w:val="26"/>
        </w:rPr>
        <w:t xml:space="preserve"> </w:t>
      </w:r>
      <w:r w:rsidR="0033329A" w:rsidRPr="009B6EEC">
        <w:rPr>
          <w:rFonts w:ascii="Times New Roman" w:hAnsi="Times New Roman" w:cs="Times New Roman"/>
          <w:sz w:val="26"/>
          <w:szCs w:val="26"/>
        </w:rPr>
        <w:t>Pennsylvanian</w:t>
      </w:r>
      <w:r w:rsidR="002E7D7E">
        <w:rPr>
          <w:rFonts w:ascii="Times New Roman" w:hAnsi="Times New Roman" w:cs="Times New Roman"/>
          <w:sz w:val="26"/>
          <w:szCs w:val="26"/>
        </w:rPr>
        <w:t>s</w:t>
      </w:r>
      <w:r w:rsidR="000021EF">
        <w:rPr>
          <w:rFonts w:ascii="Times New Roman" w:hAnsi="Times New Roman" w:cs="Times New Roman"/>
          <w:sz w:val="26"/>
          <w:szCs w:val="26"/>
        </w:rPr>
        <w:t xml:space="preserve">.  </w:t>
      </w:r>
      <w:r w:rsidR="00161877" w:rsidRPr="00F20C90">
        <w:rPr>
          <w:rFonts w:ascii="Times New Roman" w:eastAsia="Times New Roman" w:hAnsi="Times New Roman" w:cs="Times New Roman"/>
          <w:sz w:val="26"/>
          <w:szCs w:val="26"/>
        </w:rPr>
        <w:t>T</w:t>
      </w:r>
      <w:r w:rsidR="005E3C96">
        <w:rPr>
          <w:rFonts w:ascii="Times New Roman" w:eastAsia="Times New Roman" w:hAnsi="Times New Roman" w:cs="Times New Roman"/>
          <w:sz w:val="26"/>
          <w:szCs w:val="26"/>
        </w:rPr>
        <w:t>able 1 below</w:t>
      </w:r>
      <w:r w:rsidR="00161877">
        <w:rPr>
          <w:rFonts w:ascii="Times New Roman" w:eastAsia="Times New Roman" w:hAnsi="Times New Roman" w:cs="Times New Roman"/>
          <w:sz w:val="26"/>
          <w:szCs w:val="26"/>
        </w:rPr>
        <w:t xml:space="preserve"> indicates the energy burden </w:t>
      </w:r>
      <w:r w:rsidR="002F66AA">
        <w:rPr>
          <w:rFonts w:ascii="Times New Roman" w:eastAsia="Times New Roman" w:hAnsi="Times New Roman" w:cs="Times New Roman"/>
          <w:sz w:val="26"/>
          <w:szCs w:val="26"/>
        </w:rPr>
        <w:t>ranges</w:t>
      </w:r>
      <w:r w:rsidR="00161877">
        <w:rPr>
          <w:rFonts w:ascii="Times New Roman" w:eastAsia="Times New Roman" w:hAnsi="Times New Roman" w:cs="Times New Roman"/>
          <w:sz w:val="26"/>
          <w:szCs w:val="26"/>
        </w:rPr>
        <w:t xml:space="preserve"> </w:t>
      </w:r>
      <w:r w:rsidR="00AF48EE">
        <w:rPr>
          <w:rFonts w:ascii="Times New Roman" w:eastAsia="Times New Roman" w:hAnsi="Times New Roman" w:cs="Times New Roman"/>
          <w:sz w:val="26"/>
          <w:szCs w:val="26"/>
        </w:rPr>
        <w:t xml:space="preserve">in Section 69.625 of the CAP Policy Statement </w:t>
      </w:r>
      <w:r w:rsidR="0065624D">
        <w:rPr>
          <w:rFonts w:ascii="Times New Roman" w:eastAsia="Times New Roman" w:hAnsi="Times New Roman" w:cs="Times New Roman"/>
          <w:sz w:val="26"/>
          <w:szCs w:val="26"/>
        </w:rPr>
        <w:t xml:space="preserve">for </w:t>
      </w:r>
      <w:r w:rsidR="00161877">
        <w:rPr>
          <w:rFonts w:ascii="Times New Roman" w:eastAsia="Times New Roman" w:hAnsi="Times New Roman" w:cs="Times New Roman"/>
          <w:sz w:val="26"/>
          <w:szCs w:val="26"/>
        </w:rPr>
        <w:t>the FPIG</w:t>
      </w:r>
      <w:r w:rsidR="00FC5A2D">
        <w:rPr>
          <w:rFonts w:ascii="Times New Roman" w:eastAsia="Times New Roman" w:hAnsi="Times New Roman" w:cs="Times New Roman"/>
          <w:sz w:val="26"/>
          <w:szCs w:val="26"/>
        </w:rPr>
        <w:t xml:space="preserve"> groups</w:t>
      </w:r>
      <w:r w:rsidR="00161877">
        <w:rPr>
          <w:rFonts w:ascii="Times New Roman" w:eastAsia="Times New Roman" w:hAnsi="Times New Roman" w:cs="Times New Roman"/>
          <w:sz w:val="26"/>
          <w:szCs w:val="26"/>
        </w:rPr>
        <w:t xml:space="preserve"> and the nature of energy usage in the household.  </w:t>
      </w:r>
    </w:p>
    <w:p w14:paraId="509B4FB1" w14:textId="77777777" w:rsidR="00161877" w:rsidRDefault="00161877" w:rsidP="00554EC1">
      <w:pPr>
        <w:tabs>
          <w:tab w:val="left" w:pos="720"/>
        </w:tabs>
        <w:spacing w:after="0" w:line="360" w:lineRule="auto"/>
        <w:contextualSpacing/>
        <w:rPr>
          <w:rFonts w:ascii="Times New Roman" w:eastAsia="Times New Roman" w:hAnsi="Times New Roman" w:cs="Times New Roman"/>
          <w:sz w:val="26"/>
          <w:szCs w:val="26"/>
        </w:rPr>
      </w:pPr>
    </w:p>
    <w:p w14:paraId="714D2BA3" w14:textId="0EBF00F5" w:rsidR="00161877" w:rsidRPr="00AD31DF" w:rsidRDefault="006B706E" w:rsidP="004A24CB">
      <w:pPr>
        <w:keepNext/>
        <w:spacing w:after="0" w:line="240" w:lineRule="auto"/>
        <w:contextualSpacing/>
        <w:jc w:val="center"/>
        <w:rPr>
          <w:rFonts w:ascii="Times New Roman" w:eastAsia="Times New Roman" w:hAnsi="Times New Roman" w:cs="Times New Roman"/>
          <w:color w:val="000000"/>
          <w:sz w:val="26"/>
          <w:szCs w:val="20"/>
        </w:rPr>
      </w:pPr>
      <w:r>
        <w:rPr>
          <w:rFonts w:ascii="Times New Roman" w:eastAsia="Times New Roman" w:hAnsi="Times New Roman" w:cs="Times New Roman"/>
          <w:b/>
          <w:color w:val="000000"/>
          <w:sz w:val="26"/>
          <w:szCs w:val="20"/>
        </w:rPr>
        <w:t xml:space="preserve">Table 1: </w:t>
      </w:r>
      <w:r w:rsidR="00161877" w:rsidRPr="00AD31DF">
        <w:rPr>
          <w:rFonts w:ascii="Times New Roman" w:eastAsia="Times New Roman" w:hAnsi="Times New Roman" w:cs="Times New Roman"/>
          <w:b/>
          <w:color w:val="000000"/>
          <w:sz w:val="26"/>
          <w:szCs w:val="20"/>
        </w:rPr>
        <w:t xml:space="preserve">CAP Policy Statement Maximum Energy Burden </w:t>
      </w:r>
      <w:r w:rsidR="002F66AA">
        <w:rPr>
          <w:rFonts w:ascii="Times New Roman" w:eastAsia="Times New Roman" w:hAnsi="Times New Roman" w:cs="Times New Roman"/>
          <w:b/>
          <w:color w:val="000000"/>
          <w:sz w:val="26"/>
          <w:szCs w:val="20"/>
        </w:rPr>
        <w:t>Ranges</w:t>
      </w:r>
      <w:r w:rsidR="00161877" w:rsidRPr="00AD31DF">
        <w:rPr>
          <w:rFonts w:ascii="Times New Roman" w:eastAsia="Times New Roman" w:hAnsi="Times New Roman" w:cs="Times New Roman"/>
          <w:color w:val="000000"/>
          <w:sz w:val="26"/>
          <w:szCs w:val="20"/>
          <w:vertAlign w:val="superscript"/>
        </w:rPr>
        <w:footnoteReference w:id="4"/>
      </w:r>
    </w:p>
    <w:tbl>
      <w:tblPr>
        <w:tblW w:w="8640" w:type="dxa"/>
        <w:jc w:val="center"/>
        <w:tblCellMar>
          <w:left w:w="0" w:type="dxa"/>
          <w:right w:w="0" w:type="dxa"/>
        </w:tblCellMar>
        <w:tblLook w:val="04A0" w:firstRow="1" w:lastRow="0" w:firstColumn="1" w:lastColumn="0" w:noHBand="0" w:noVBand="1"/>
      </w:tblPr>
      <w:tblGrid>
        <w:gridCol w:w="2600"/>
        <w:gridCol w:w="1980"/>
        <w:gridCol w:w="1901"/>
        <w:gridCol w:w="2159"/>
      </w:tblGrid>
      <w:tr w:rsidR="00161877" w:rsidRPr="00AD31DF" w14:paraId="0028E405" w14:textId="77777777" w:rsidTr="009C5940">
        <w:trPr>
          <w:jc w:val="center"/>
        </w:trPr>
        <w:tc>
          <w:tcPr>
            <w:tcW w:w="2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901376" w14:textId="77777777" w:rsidR="00161877" w:rsidRPr="00AD31DF" w:rsidRDefault="00161877" w:rsidP="00B82429">
            <w:pPr>
              <w:keepNext/>
              <w:spacing w:after="0" w:line="240" w:lineRule="auto"/>
              <w:contextualSpacing/>
              <w:rPr>
                <w:rFonts w:ascii="Times New Roman" w:eastAsia="Times New Roman" w:hAnsi="Times New Roman" w:cs="Times New Roman"/>
                <w:color w:val="000000"/>
                <w:sz w:val="26"/>
                <w:szCs w:val="20"/>
              </w:rPr>
            </w:pPr>
            <w:bookmarkStart w:id="2" w:name="_Hlk526502380"/>
            <w:r w:rsidRPr="00AD31DF">
              <w:rPr>
                <w:rFonts w:ascii="Times New Roman" w:eastAsia="Times New Roman" w:hAnsi="Times New Roman" w:cs="Times New Roman"/>
                <w:color w:val="000000"/>
                <w:sz w:val="26"/>
                <w:szCs w:val="20"/>
              </w:rPr>
              <w:t>Utility Service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476A77" w14:textId="1FF3EF47" w:rsidR="00161877" w:rsidRPr="00AD31DF" w:rsidRDefault="00161877" w:rsidP="00B82429">
            <w:pPr>
              <w:keepNext/>
              <w:spacing w:after="0" w:line="240" w:lineRule="auto"/>
              <w:contextualSpacing/>
              <w:jc w:val="center"/>
              <w:rPr>
                <w:rFonts w:ascii="Times New Roman" w:eastAsia="Times New Roman" w:hAnsi="Times New Roman" w:cs="Times New Roman"/>
                <w:color w:val="000000"/>
                <w:sz w:val="26"/>
                <w:szCs w:val="20"/>
              </w:rPr>
            </w:pPr>
            <w:r w:rsidRPr="00AD31DF">
              <w:rPr>
                <w:rFonts w:ascii="Times New Roman" w:eastAsia="Times New Roman" w:hAnsi="Times New Roman" w:cs="Times New Roman"/>
                <w:color w:val="000000"/>
                <w:sz w:val="26"/>
                <w:szCs w:val="20"/>
              </w:rPr>
              <w:t xml:space="preserve">0-50% </w:t>
            </w:r>
            <w:r w:rsidR="009C5940">
              <w:rPr>
                <w:rFonts w:ascii="Times New Roman" w:eastAsia="Times New Roman" w:hAnsi="Times New Roman" w:cs="Times New Roman"/>
                <w:color w:val="000000"/>
                <w:sz w:val="26"/>
                <w:szCs w:val="20"/>
              </w:rPr>
              <w:t>FPIG</w:t>
            </w:r>
          </w:p>
        </w:tc>
        <w:tc>
          <w:tcPr>
            <w:tcW w:w="19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CC0D7A" w14:textId="6C2F3D39" w:rsidR="00161877" w:rsidRPr="00AD31DF" w:rsidRDefault="00161877" w:rsidP="00B82429">
            <w:pPr>
              <w:keepNext/>
              <w:spacing w:after="0" w:line="240" w:lineRule="auto"/>
              <w:contextualSpacing/>
              <w:jc w:val="center"/>
              <w:rPr>
                <w:rFonts w:ascii="Times New Roman" w:eastAsia="Times New Roman" w:hAnsi="Times New Roman" w:cs="Times New Roman"/>
                <w:color w:val="000000"/>
                <w:sz w:val="26"/>
                <w:szCs w:val="20"/>
              </w:rPr>
            </w:pPr>
            <w:r w:rsidRPr="00AD31DF">
              <w:rPr>
                <w:rFonts w:ascii="Times New Roman" w:eastAsia="Times New Roman" w:hAnsi="Times New Roman" w:cs="Times New Roman"/>
                <w:color w:val="000000"/>
                <w:sz w:val="26"/>
                <w:szCs w:val="20"/>
              </w:rPr>
              <w:t xml:space="preserve">51-100% </w:t>
            </w:r>
            <w:r w:rsidR="009C5940">
              <w:rPr>
                <w:rFonts w:ascii="Times New Roman" w:eastAsia="Times New Roman" w:hAnsi="Times New Roman" w:cs="Times New Roman"/>
                <w:color w:val="000000"/>
                <w:sz w:val="26"/>
                <w:szCs w:val="20"/>
              </w:rPr>
              <w:t>FPIG</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2DEEA4" w14:textId="6B4CAA04" w:rsidR="00161877" w:rsidRPr="00AD31DF" w:rsidRDefault="00161877" w:rsidP="00B82429">
            <w:pPr>
              <w:keepNext/>
              <w:spacing w:after="0" w:line="240" w:lineRule="auto"/>
              <w:contextualSpacing/>
              <w:jc w:val="center"/>
              <w:rPr>
                <w:rFonts w:ascii="Times New Roman" w:eastAsia="Times New Roman" w:hAnsi="Times New Roman" w:cs="Times New Roman"/>
                <w:color w:val="000000"/>
                <w:sz w:val="26"/>
                <w:szCs w:val="20"/>
              </w:rPr>
            </w:pPr>
            <w:r w:rsidRPr="00AD31DF">
              <w:rPr>
                <w:rFonts w:ascii="Times New Roman" w:eastAsia="Times New Roman" w:hAnsi="Times New Roman" w:cs="Times New Roman"/>
                <w:color w:val="000000"/>
                <w:sz w:val="26"/>
                <w:szCs w:val="20"/>
              </w:rPr>
              <w:t xml:space="preserve">101-150% </w:t>
            </w:r>
            <w:r w:rsidR="009C5940">
              <w:rPr>
                <w:rFonts w:ascii="Times New Roman" w:eastAsia="Times New Roman" w:hAnsi="Times New Roman" w:cs="Times New Roman"/>
                <w:color w:val="000000"/>
                <w:sz w:val="26"/>
                <w:szCs w:val="20"/>
              </w:rPr>
              <w:t>FPIG</w:t>
            </w:r>
          </w:p>
        </w:tc>
      </w:tr>
      <w:tr w:rsidR="00161877" w:rsidRPr="00AD31DF" w14:paraId="3FF49553" w14:textId="77777777" w:rsidTr="009C5940">
        <w:trPr>
          <w:jc w:val="center"/>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05082" w14:textId="7DF4A7FA" w:rsidR="00161877" w:rsidRPr="00AD31DF" w:rsidRDefault="00161877" w:rsidP="004A24CB">
            <w:pPr>
              <w:keepNext/>
              <w:spacing w:after="0" w:line="240" w:lineRule="auto"/>
              <w:contextualSpacing/>
              <w:rPr>
                <w:rFonts w:ascii="Times New Roman" w:eastAsia="Times New Roman" w:hAnsi="Times New Roman" w:cs="Times New Roman"/>
                <w:color w:val="000000"/>
                <w:sz w:val="26"/>
                <w:szCs w:val="20"/>
              </w:rPr>
            </w:pPr>
            <w:r w:rsidRPr="00AD31DF">
              <w:rPr>
                <w:rFonts w:ascii="Times New Roman" w:eastAsia="Times New Roman" w:hAnsi="Times New Roman" w:cs="Times New Roman"/>
                <w:color w:val="000000"/>
                <w:sz w:val="26"/>
                <w:szCs w:val="20"/>
              </w:rPr>
              <w:t>Non-Heat</w:t>
            </w:r>
            <w:r w:rsidR="009C5940">
              <w:rPr>
                <w:rFonts w:ascii="Times New Roman" w:eastAsia="Times New Roman" w:hAnsi="Times New Roman" w:cs="Times New Roman"/>
                <w:color w:val="000000"/>
                <w:sz w:val="26"/>
                <w:szCs w:val="20"/>
              </w:rPr>
              <w:t>ing</w:t>
            </w:r>
            <w:r w:rsidRPr="00AD31DF">
              <w:rPr>
                <w:rFonts w:ascii="Times New Roman" w:eastAsia="Times New Roman" w:hAnsi="Times New Roman" w:cs="Times New Roman"/>
                <w:color w:val="000000"/>
                <w:sz w:val="26"/>
                <w:szCs w:val="20"/>
              </w:rPr>
              <w:t xml:space="preserve"> Electric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D6A03" w14:textId="77777777" w:rsidR="00161877" w:rsidRPr="00AD31DF" w:rsidRDefault="00161877" w:rsidP="00B82429">
            <w:pPr>
              <w:keepNext/>
              <w:spacing w:after="0" w:line="240" w:lineRule="auto"/>
              <w:contextualSpacing/>
              <w:jc w:val="center"/>
              <w:rPr>
                <w:rFonts w:ascii="Times New Roman" w:eastAsia="Times New Roman" w:hAnsi="Times New Roman" w:cs="Times New Roman"/>
                <w:color w:val="000000"/>
                <w:sz w:val="26"/>
                <w:szCs w:val="20"/>
              </w:rPr>
            </w:pPr>
            <w:r w:rsidRPr="00AD31DF">
              <w:rPr>
                <w:rFonts w:ascii="Times New Roman" w:eastAsia="Times New Roman" w:hAnsi="Times New Roman" w:cs="Times New Roman"/>
                <w:color w:val="000000"/>
                <w:sz w:val="26"/>
                <w:szCs w:val="20"/>
              </w:rPr>
              <w:t>2%-5%</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8D4B2" w14:textId="77777777" w:rsidR="00161877" w:rsidRPr="00AD31DF" w:rsidRDefault="00161877" w:rsidP="00B82429">
            <w:pPr>
              <w:keepNext/>
              <w:spacing w:after="0" w:line="240" w:lineRule="auto"/>
              <w:contextualSpacing/>
              <w:jc w:val="center"/>
              <w:rPr>
                <w:rFonts w:ascii="Times New Roman" w:eastAsia="Times New Roman" w:hAnsi="Times New Roman" w:cs="Times New Roman"/>
                <w:color w:val="000000"/>
                <w:sz w:val="26"/>
                <w:szCs w:val="20"/>
              </w:rPr>
            </w:pPr>
            <w:r w:rsidRPr="00AD31DF">
              <w:rPr>
                <w:rFonts w:ascii="Times New Roman" w:eastAsia="Times New Roman" w:hAnsi="Times New Roman" w:cs="Times New Roman"/>
                <w:color w:val="000000"/>
                <w:sz w:val="26"/>
                <w:szCs w:val="20"/>
              </w:rPr>
              <w:t>4%-6%</w:t>
            </w:r>
          </w:p>
        </w:tc>
        <w:tc>
          <w:tcPr>
            <w:tcW w:w="2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44A82D" w14:textId="77777777" w:rsidR="00161877" w:rsidRPr="00AD31DF" w:rsidRDefault="00161877" w:rsidP="00B82429">
            <w:pPr>
              <w:keepNext/>
              <w:spacing w:after="0" w:line="240" w:lineRule="auto"/>
              <w:contextualSpacing/>
              <w:jc w:val="center"/>
              <w:rPr>
                <w:rFonts w:ascii="Times New Roman" w:eastAsia="Times New Roman" w:hAnsi="Times New Roman" w:cs="Times New Roman"/>
                <w:color w:val="000000"/>
                <w:sz w:val="26"/>
                <w:szCs w:val="20"/>
              </w:rPr>
            </w:pPr>
            <w:r w:rsidRPr="00AD31DF">
              <w:rPr>
                <w:rFonts w:ascii="Times New Roman" w:eastAsia="Times New Roman" w:hAnsi="Times New Roman" w:cs="Times New Roman"/>
                <w:color w:val="000000"/>
                <w:sz w:val="26"/>
                <w:szCs w:val="20"/>
              </w:rPr>
              <w:t>6%-7%</w:t>
            </w:r>
          </w:p>
        </w:tc>
      </w:tr>
      <w:tr w:rsidR="00161877" w:rsidRPr="00AD31DF" w14:paraId="472B9C02" w14:textId="77777777" w:rsidTr="009C5940">
        <w:trPr>
          <w:jc w:val="center"/>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155DD" w14:textId="6FE497BE" w:rsidR="00161877" w:rsidRPr="00AD31DF" w:rsidRDefault="00161877" w:rsidP="004A24CB">
            <w:pPr>
              <w:keepNext/>
              <w:spacing w:after="0" w:line="240" w:lineRule="auto"/>
              <w:contextualSpacing/>
              <w:rPr>
                <w:rFonts w:ascii="Times New Roman" w:eastAsia="Times New Roman" w:hAnsi="Times New Roman" w:cs="Times New Roman"/>
                <w:color w:val="000000"/>
                <w:sz w:val="26"/>
                <w:szCs w:val="20"/>
              </w:rPr>
            </w:pPr>
            <w:r w:rsidRPr="00AD31DF">
              <w:rPr>
                <w:rFonts w:ascii="Times New Roman" w:eastAsia="Times New Roman" w:hAnsi="Times New Roman" w:cs="Times New Roman"/>
                <w:color w:val="000000"/>
                <w:sz w:val="26"/>
                <w:szCs w:val="20"/>
              </w:rPr>
              <w:t>Gas Heat</w:t>
            </w:r>
            <w:r w:rsidR="009C5940">
              <w:rPr>
                <w:rFonts w:ascii="Times New Roman" w:eastAsia="Times New Roman" w:hAnsi="Times New Roman" w:cs="Times New Roman"/>
                <w:color w:val="000000"/>
                <w:sz w:val="26"/>
                <w:szCs w:val="20"/>
              </w:rPr>
              <w:t>ing</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7C86B" w14:textId="77777777" w:rsidR="00161877" w:rsidRPr="00AD31DF" w:rsidRDefault="00161877" w:rsidP="00B82429">
            <w:pPr>
              <w:keepNext/>
              <w:spacing w:after="0" w:line="240" w:lineRule="auto"/>
              <w:contextualSpacing/>
              <w:jc w:val="center"/>
              <w:rPr>
                <w:rFonts w:ascii="Times New Roman" w:eastAsia="Times New Roman" w:hAnsi="Times New Roman" w:cs="Times New Roman"/>
                <w:color w:val="000000"/>
                <w:sz w:val="26"/>
                <w:szCs w:val="20"/>
              </w:rPr>
            </w:pPr>
            <w:r w:rsidRPr="00AD31DF">
              <w:rPr>
                <w:rFonts w:ascii="Times New Roman" w:eastAsia="Times New Roman" w:hAnsi="Times New Roman" w:cs="Times New Roman"/>
                <w:color w:val="000000"/>
                <w:sz w:val="26"/>
                <w:szCs w:val="20"/>
              </w:rPr>
              <w:t>5%-8%</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06F24" w14:textId="77777777" w:rsidR="00161877" w:rsidRPr="00AD31DF" w:rsidRDefault="00161877" w:rsidP="00B82429">
            <w:pPr>
              <w:keepNext/>
              <w:spacing w:after="0" w:line="240" w:lineRule="auto"/>
              <w:contextualSpacing/>
              <w:jc w:val="center"/>
              <w:rPr>
                <w:rFonts w:ascii="Times New Roman" w:eastAsia="Times New Roman" w:hAnsi="Times New Roman" w:cs="Times New Roman"/>
                <w:color w:val="000000"/>
                <w:sz w:val="26"/>
                <w:szCs w:val="20"/>
              </w:rPr>
            </w:pPr>
            <w:r w:rsidRPr="00AD31DF">
              <w:rPr>
                <w:rFonts w:ascii="Times New Roman" w:eastAsia="Times New Roman" w:hAnsi="Times New Roman" w:cs="Times New Roman"/>
                <w:color w:val="000000"/>
                <w:sz w:val="26"/>
                <w:szCs w:val="20"/>
              </w:rPr>
              <w:t>7%-10%</w:t>
            </w:r>
          </w:p>
        </w:tc>
        <w:tc>
          <w:tcPr>
            <w:tcW w:w="2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46962" w14:textId="77777777" w:rsidR="00161877" w:rsidRPr="00AD31DF" w:rsidRDefault="00161877" w:rsidP="00B82429">
            <w:pPr>
              <w:keepNext/>
              <w:spacing w:after="0" w:line="240" w:lineRule="auto"/>
              <w:contextualSpacing/>
              <w:jc w:val="center"/>
              <w:rPr>
                <w:rFonts w:ascii="Times New Roman" w:eastAsia="Times New Roman" w:hAnsi="Times New Roman" w:cs="Times New Roman"/>
                <w:color w:val="000000"/>
                <w:sz w:val="26"/>
                <w:szCs w:val="20"/>
              </w:rPr>
            </w:pPr>
            <w:r w:rsidRPr="00AD31DF">
              <w:rPr>
                <w:rFonts w:ascii="Times New Roman" w:eastAsia="Times New Roman" w:hAnsi="Times New Roman" w:cs="Times New Roman"/>
                <w:color w:val="000000"/>
                <w:sz w:val="26"/>
                <w:szCs w:val="20"/>
              </w:rPr>
              <w:t>9%-10%</w:t>
            </w:r>
          </w:p>
        </w:tc>
      </w:tr>
      <w:tr w:rsidR="00161877" w:rsidRPr="00AD31DF" w14:paraId="72B78E85" w14:textId="77777777" w:rsidTr="009C5940">
        <w:trPr>
          <w:jc w:val="center"/>
        </w:trPr>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CD689" w14:textId="39529F55" w:rsidR="00161877" w:rsidRPr="00AD31DF" w:rsidRDefault="00161877" w:rsidP="004A24CB">
            <w:pPr>
              <w:spacing w:after="0" w:line="240" w:lineRule="auto"/>
              <w:contextualSpacing/>
              <w:rPr>
                <w:rFonts w:ascii="Times New Roman" w:eastAsia="Times New Roman" w:hAnsi="Times New Roman" w:cs="Times New Roman"/>
                <w:color w:val="000000"/>
                <w:sz w:val="26"/>
                <w:szCs w:val="20"/>
              </w:rPr>
            </w:pPr>
            <w:r w:rsidRPr="00AD31DF">
              <w:rPr>
                <w:rFonts w:ascii="Times New Roman" w:eastAsia="Times New Roman" w:hAnsi="Times New Roman" w:cs="Times New Roman"/>
                <w:color w:val="000000"/>
                <w:sz w:val="26"/>
                <w:szCs w:val="20"/>
              </w:rPr>
              <w:t>Electric Heat</w:t>
            </w:r>
            <w:r w:rsidR="009C5940">
              <w:rPr>
                <w:rFonts w:ascii="Times New Roman" w:eastAsia="Times New Roman" w:hAnsi="Times New Roman" w:cs="Times New Roman"/>
                <w:color w:val="000000"/>
                <w:sz w:val="26"/>
                <w:szCs w:val="20"/>
              </w:rPr>
              <w:t>ing</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F2F7E" w14:textId="77777777" w:rsidR="00161877" w:rsidRPr="00AD31DF" w:rsidRDefault="00161877" w:rsidP="00B82429">
            <w:pPr>
              <w:keepNext/>
              <w:spacing w:after="0" w:line="240" w:lineRule="auto"/>
              <w:contextualSpacing/>
              <w:jc w:val="center"/>
              <w:rPr>
                <w:rFonts w:ascii="Times New Roman" w:eastAsia="Times New Roman" w:hAnsi="Times New Roman" w:cs="Times New Roman"/>
                <w:color w:val="000000"/>
                <w:sz w:val="26"/>
                <w:szCs w:val="20"/>
              </w:rPr>
            </w:pPr>
            <w:r w:rsidRPr="00AD31DF">
              <w:rPr>
                <w:rFonts w:ascii="Times New Roman" w:eastAsia="Times New Roman" w:hAnsi="Times New Roman" w:cs="Times New Roman"/>
                <w:color w:val="000000"/>
                <w:sz w:val="26"/>
                <w:szCs w:val="20"/>
              </w:rPr>
              <w:t>7%-13%</w:t>
            </w:r>
          </w:p>
        </w:tc>
        <w:tc>
          <w:tcPr>
            <w:tcW w:w="1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DDA00" w14:textId="77777777" w:rsidR="00161877" w:rsidRPr="00AD31DF" w:rsidRDefault="00161877" w:rsidP="00B82429">
            <w:pPr>
              <w:keepNext/>
              <w:spacing w:after="0" w:line="240" w:lineRule="auto"/>
              <w:contextualSpacing/>
              <w:jc w:val="center"/>
              <w:rPr>
                <w:rFonts w:ascii="Times New Roman" w:eastAsia="Times New Roman" w:hAnsi="Times New Roman" w:cs="Times New Roman"/>
                <w:color w:val="000000"/>
                <w:sz w:val="26"/>
                <w:szCs w:val="20"/>
              </w:rPr>
            </w:pPr>
            <w:r w:rsidRPr="00AD31DF">
              <w:rPr>
                <w:rFonts w:ascii="Times New Roman" w:eastAsia="Times New Roman" w:hAnsi="Times New Roman" w:cs="Times New Roman"/>
                <w:color w:val="000000"/>
                <w:sz w:val="26"/>
                <w:szCs w:val="20"/>
              </w:rPr>
              <w:t>11%-16%</w:t>
            </w:r>
          </w:p>
        </w:tc>
        <w:tc>
          <w:tcPr>
            <w:tcW w:w="2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11B0E" w14:textId="77777777" w:rsidR="00161877" w:rsidRPr="00AD31DF" w:rsidRDefault="00161877" w:rsidP="00B82429">
            <w:pPr>
              <w:keepNext/>
              <w:spacing w:after="0" w:line="240" w:lineRule="auto"/>
              <w:contextualSpacing/>
              <w:jc w:val="center"/>
              <w:rPr>
                <w:rFonts w:ascii="Times New Roman" w:eastAsia="Times New Roman" w:hAnsi="Times New Roman" w:cs="Times New Roman"/>
                <w:color w:val="000000"/>
                <w:sz w:val="26"/>
                <w:szCs w:val="20"/>
              </w:rPr>
            </w:pPr>
            <w:r w:rsidRPr="00AD31DF">
              <w:rPr>
                <w:rFonts w:ascii="Times New Roman" w:eastAsia="Times New Roman" w:hAnsi="Times New Roman" w:cs="Times New Roman"/>
                <w:color w:val="000000"/>
                <w:sz w:val="26"/>
                <w:szCs w:val="20"/>
              </w:rPr>
              <w:t>15%-17%</w:t>
            </w:r>
          </w:p>
        </w:tc>
      </w:tr>
      <w:bookmarkEnd w:id="2"/>
    </w:tbl>
    <w:p w14:paraId="06E38B7E" w14:textId="77777777" w:rsidR="00161877" w:rsidRPr="00AD31DF" w:rsidRDefault="00161877" w:rsidP="00554EC1">
      <w:pPr>
        <w:autoSpaceDE w:val="0"/>
        <w:autoSpaceDN w:val="0"/>
        <w:adjustRightInd w:val="0"/>
        <w:spacing w:after="0" w:line="360" w:lineRule="auto"/>
        <w:contextualSpacing/>
        <w:rPr>
          <w:rFonts w:ascii="Times New Roman" w:eastAsia="Times New Roman" w:hAnsi="Times New Roman" w:cs="Times New Roman"/>
          <w:color w:val="000000"/>
          <w:sz w:val="8"/>
          <w:szCs w:val="8"/>
        </w:rPr>
      </w:pPr>
    </w:p>
    <w:p w14:paraId="626B07F6" w14:textId="77777777" w:rsidR="00161877" w:rsidRPr="00266BDD" w:rsidRDefault="00161877" w:rsidP="00554EC1">
      <w:pPr>
        <w:tabs>
          <w:tab w:val="left" w:pos="720"/>
        </w:tabs>
        <w:spacing w:after="0" w:line="360" w:lineRule="auto"/>
        <w:contextualSpacing/>
        <w:rPr>
          <w:rFonts w:ascii="Times New Roman" w:eastAsia="Times New Roman" w:hAnsi="Times New Roman" w:cs="Times New Roman"/>
          <w:sz w:val="26"/>
          <w:szCs w:val="26"/>
        </w:rPr>
      </w:pPr>
    </w:p>
    <w:p w14:paraId="3F1D4222" w14:textId="79A8B5C5" w:rsidR="00161877" w:rsidRDefault="00FD20F3" w:rsidP="009A5DC3">
      <w:pPr>
        <w:tabs>
          <w:tab w:val="left" w:pos="720"/>
        </w:tabs>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00161877" w:rsidRPr="00161877">
        <w:rPr>
          <w:rFonts w:ascii="Times New Roman" w:eastAsia="Times New Roman" w:hAnsi="Times New Roman" w:cs="Times New Roman"/>
          <w:sz w:val="26"/>
          <w:szCs w:val="26"/>
        </w:rPr>
        <w:t>In 1997 and 1999, respectively, the Electricity Generation Customer Choice and Competition Act (Electric Competition Act), 66 Pa. C.S. §§ 2801-2812</w:t>
      </w:r>
      <w:r w:rsidR="005B5B54">
        <w:rPr>
          <w:rFonts w:ascii="Times New Roman" w:eastAsia="Times New Roman" w:hAnsi="Times New Roman" w:cs="Times New Roman"/>
          <w:sz w:val="26"/>
          <w:szCs w:val="26"/>
        </w:rPr>
        <w:t>,</w:t>
      </w:r>
      <w:r w:rsidR="00161877" w:rsidRPr="00161877">
        <w:rPr>
          <w:rFonts w:ascii="Times New Roman" w:eastAsia="Times New Roman" w:hAnsi="Times New Roman" w:cs="Times New Roman"/>
          <w:sz w:val="26"/>
          <w:szCs w:val="26"/>
        </w:rPr>
        <w:t xml:space="preserve"> and the Natural Gas Choice and Competition Act (Gas Competition Act), 66 Pa. C.S. §§ 2201-2212, were adopted.  (Collectively, Competition Acts.)  The primary purpose of the Competition Acts was to introduce competition into the retail electric and natural gas generation markets by establishing standards and procedures for the restructuring of the electric and natural gas utility industries.  The Competition Acts require the Commission to continue, at a minimum, the </w:t>
      </w:r>
      <w:r w:rsidR="00DB37C3">
        <w:rPr>
          <w:rFonts w:ascii="Times New Roman" w:eastAsia="Times New Roman" w:hAnsi="Times New Roman" w:cs="Times New Roman"/>
          <w:sz w:val="26"/>
          <w:szCs w:val="26"/>
        </w:rPr>
        <w:t xml:space="preserve">universal service and energy </w:t>
      </w:r>
      <w:r w:rsidR="00D7226F">
        <w:rPr>
          <w:rFonts w:ascii="Times New Roman" w:eastAsia="Times New Roman" w:hAnsi="Times New Roman" w:cs="Times New Roman"/>
          <w:sz w:val="26"/>
          <w:szCs w:val="26"/>
        </w:rPr>
        <w:t xml:space="preserve">affordability </w:t>
      </w:r>
      <w:r w:rsidR="00161877" w:rsidRPr="00161877">
        <w:rPr>
          <w:rFonts w:ascii="Times New Roman" w:eastAsia="Times New Roman" w:hAnsi="Times New Roman" w:cs="Times New Roman"/>
          <w:sz w:val="26"/>
          <w:szCs w:val="26"/>
        </w:rPr>
        <w:t xml:space="preserve">policies, practices, and services </w:t>
      </w:r>
      <w:r w:rsidR="00960F0F">
        <w:rPr>
          <w:rFonts w:ascii="Times New Roman" w:eastAsia="Times New Roman" w:hAnsi="Times New Roman" w:cs="Times New Roman"/>
          <w:sz w:val="26"/>
          <w:szCs w:val="26"/>
        </w:rPr>
        <w:t xml:space="preserve">affecting low-income households </w:t>
      </w:r>
      <w:r w:rsidR="00161877" w:rsidRPr="00161877">
        <w:rPr>
          <w:rFonts w:ascii="Times New Roman" w:eastAsia="Times New Roman" w:hAnsi="Times New Roman" w:cs="Times New Roman"/>
          <w:sz w:val="26"/>
          <w:szCs w:val="26"/>
        </w:rPr>
        <w:t>that were in existence as of the effective date</w:t>
      </w:r>
      <w:r w:rsidR="00D7226F">
        <w:rPr>
          <w:rFonts w:ascii="Times New Roman" w:eastAsia="Times New Roman" w:hAnsi="Times New Roman" w:cs="Times New Roman"/>
          <w:sz w:val="26"/>
          <w:szCs w:val="26"/>
        </w:rPr>
        <w:t>s</w:t>
      </w:r>
      <w:r w:rsidR="00161877" w:rsidRPr="00161877">
        <w:rPr>
          <w:rFonts w:ascii="Times New Roman" w:eastAsia="Times New Roman" w:hAnsi="Times New Roman" w:cs="Times New Roman"/>
          <w:sz w:val="26"/>
          <w:szCs w:val="26"/>
        </w:rPr>
        <w:t xml:space="preserve"> of the </w:t>
      </w:r>
      <w:r w:rsidR="007C233E">
        <w:rPr>
          <w:rFonts w:ascii="Times New Roman" w:eastAsia="Times New Roman" w:hAnsi="Times New Roman" w:cs="Times New Roman"/>
          <w:sz w:val="26"/>
          <w:szCs w:val="26"/>
        </w:rPr>
        <w:t>Competition Acts</w:t>
      </w:r>
      <w:r w:rsidR="00161877" w:rsidRPr="00161877">
        <w:rPr>
          <w:rFonts w:ascii="Times New Roman" w:eastAsia="Times New Roman" w:hAnsi="Times New Roman" w:cs="Times New Roman"/>
          <w:sz w:val="26"/>
          <w:szCs w:val="26"/>
        </w:rPr>
        <w:t>.  66</w:t>
      </w:r>
      <w:r w:rsidR="00C92F6A">
        <w:rPr>
          <w:rFonts w:ascii="Times New Roman" w:eastAsia="Times New Roman" w:hAnsi="Times New Roman" w:cs="Times New Roman"/>
          <w:sz w:val="26"/>
          <w:szCs w:val="26"/>
        </w:rPr>
        <w:t> </w:t>
      </w:r>
      <w:r w:rsidR="00161877" w:rsidRPr="00161877">
        <w:rPr>
          <w:rFonts w:ascii="Times New Roman" w:eastAsia="Times New Roman" w:hAnsi="Times New Roman" w:cs="Times New Roman"/>
          <w:sz w:val="26"/>
          <w:szCs w:val="26"/>
        </w:rPr>
        <w:t>Pa. C.S.</w:t>
      </w:r>
      <w:r w:rsidR="00E47C45">
        <w:rPr>
          <w:rFonts w:ascii="Times New Roman" w:eastAsia="Times New Roman" w:hAnsi="Times New Roman" w:cs="Times New Roman"/>
          <w:sz w:val="26"/>
          <w:szCs w:val="26"/>
        </w:rPr>
        <w:t> </w:t>
      </w:r>
      <w:r w:rsidR="00161877" w:rsidRPr="00161877">
        <w:rPr>
          <w:rFonts w:ascii="Times New Roman" w:eastAsia="Times New Roman" w:hAnsi="Times New Roman" w:cs="Times New Roman"/>
          <w:sz w:val="26"/>
          <w:szCs w:val="26"/>
        </w:rPr>
        <w:t>§§ 2203(7) and 2802(10).</w:t>
      </w:r>
    </w:p>
    <w:p w14:paraId="607EDD0E" w14:textId="77777777" w:rsidR="00F9725C" w:rsidRPr="00161877" w:rsidRDefault="00F9725C" w:rsidP="009A5DC3">
      <w:pPr>
        <w:tabs>
          <w:tab w:val="left" w:pos="720"/>
        </w:tabs>
        <w:spacing w:after="0" w:line="360" w:lineRule="auto"/>
        <w:contextualSpacing/>
        <w:rPr>
          <w:rFonts w:ascii="Times New Roman" w:eastAsia="Times New Roman" w:hAnsi="Times New Roman" w:cs="Times New Roman"/>
          <w:sz w:val="26"/>
          <w:szCs w:val="26"/>
        </w:rPr>
      </w:pPr>
    </w:p>
    <w:p w14:paraId="7DF33F98" w14:textId="6A5D78E9" w:rsidR="00CB42D5" w:rsidRDefault="00FD20F3">
      <w:pPr>
        <w:tabs>
          <w:tab w:val="left" w:pos="720"/>
          <w:tab w:val="left" w:pos="990"/>
        </w:tabs>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color w:val="0D0D0D"/>
          <w:sz w:val="26"/>
          <w:szCs w:val="26"/>
        </w:rPr>
        <w:tab/>
      </w:r>
      <w:r w:rsidRPr="00267222">
        <w:rPr>
          <w:rFonts w:ascii="Times New Roman" w:eastAsia="Times New Roman" w:hAnsi="Times New Roman" w:cs="Times New Roman"/>
          <w:sz w:val="26"/>
          <w:szCs w:val="26"/>
        </w:rPr>
        <w:t xml:space="preserve">The Competition Acts define “universal service and energy conservation” as the policies, practices, and services that help low-income customers maintain utility service. </w:t>
      </w:r>
      <w:r w:rsidR="00CB42D5">
        <w:rPr>
          <w:rFonts w:ascii="Times New Roman" w:eastAsia="Times New Roman" w:hAnsi="Times New Roman" w:cs="Times New Roman"/>
          <w:sz w:val="26"/>
          <w:szCs w:val="26"/>
        </w:rPr>
        <w:t xml:space="preserve"> </w:t>
      </w:r>
      <w:r w:rsidR="00CB42D5" w:rsidRPr="00CB42D5">
        <w:rPr>
          <w:rFonts w:ascii="Times New Roman" w:eastAsia="Times New Roman" w:hAnsi="Times New Roman" w:cs="Times New Roman"/>
          <w:sz w:val="26"/>
          <w:szCs w:val="26"/>
        </w:rPr>
        <w:t>Although the universal service provisions of the Competition Acts tie the affordability of electric and natural gas service to a customer’s ability to maintain utility service, the Competition Acts do not specifically define the term “affordable” as it relates to the provision of retail electric and natural gas services to customers.</w:t>
      </w:r>
      <w:r w:rsidR="00CB42D5" w:rsidRPr="00CB42D5">
        <w:rPr>
          <w:rFonts w:ascii="Times New Roman" w:eastAsia="Times New Roman" w:hAnsi="Times New Roman" w:cs="Times New Roman"/>
          <w:sz w:val="26"/>
          <w:szCs w:val="26"/>
          <w:vertAlign w:val="superscript"/>
        </w:rPr>
        <w:footnoteReference w:id="5"/>
      </w:r>
      <w:r w:rsidR="00CB42D5" w:rsidRPr="00CB42D5">
        <w:rPr>
          <w:rFonts w:ascii="Times New Roman" w:eastAsia="Times New Roman" w:hAnsi="Times New Roman" w:cs="Times New Roman"/>
          <w:sz w:val="26"/>
          <w:szCs w:val="26"/>
        </w:rPr>
        <w:t xml:space="preserve">  </w:t>
      </w:r>
    </w:p>
    <w:p w14:paraId="77DB9E6E" w14:textId="77777777" w:rsidR="00F20C90" w:rsidRPr="00CB42D5" w:rsidRDefault="00F20C90">
      <w:pPr>
        <w:tabs>
          <w:tab w:val="left" w:pos="720"/>
          <w:tab w:val="left" w:pos="990"/>
        </w:tabs>
        <w:spacing w:after="0" w:line="360" w:lineRule="auto"/>
        <w:contextualSpacing/>
        <w:rPr>
          <w:rFonts w:ascii="Times New Roman" w:eastAsia="Times New Roman" w:hAnsi="Times New Roman" w:cs="Times New Roman"/>
          <w:sz w:val="26"/>
          <w:szCs w:val="26"/>
        </w:rPr>
      </w:pPr>
    </w:p>
    <w:p w14:paraId="3F59D7AC" w14:textId="7A0B5DF0" w:rsidR="00CB42D5" w:rsidRDefault="00CB42D5" w:rsidP="00E93186">
      <w:pPr>
        <w:tabs>
          <w:tab w:val="left" w:pos="720"/>
          <w:tab w:val="left" w:pos="99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CB42D5">
        <w:rPr>
          <w:rFonts w:ascii="Times New Roman" w:eastAsia="Times New Roman" w:hAnsi="Times New Roman" w:cs="Times New Roman"/>
          <w:sz w:val="26"/>
          <w:szCs w:val="26"/>
        </w:rPr>
        <w:t xml:space="preserve">As a result of the Competition Acts, EDCs serving more than 60,000 residential accounts and NGDCs serving more than 100,000 residential accounts are required to develop and submit </w:t>
      </w:r>
      <w:r w:rsidR="00D126B8">
        <w:rPr>
          <w:rFonts w:ascii="Times New Roman" w:eastAsia="Times New Roman" w:hAnsi="Times New Roman" w:cs="Times New Roman"/>
          <w:sz w:val="26"/>
          <w:szCs w:val="26"/>
        </w:rPr>
        <w:t>u</w:t>
      </w:r>
      <w:r w:rsidR="00F20C90">
        <w:rPr>
          <w:rFonts w:ascii="Times New Roman" w:eastAsia="Times New Roman" w:hAnsi="Times New Roman" w:cs="Times New Roman"/>
          <w:sz w:val="26"/>
          <w:szCs w:val="26"/>
        </w:rPr>
        <w:t xml:space="preserve">niversal </w:t>
      </w:r>
      <w:r w:rsidR="00D126B8">
        <w:rPr>
          <w:rFonts w:ascii="Times New Roman" w:eastAsia="Times New Roman" w:hAnsi="Times New Roman" w:cs="Times New Roman"/>
          <w:sz w:val="26"/>
          <w:szCs w:val="26"/>
        </w:rPr>
        <w:t>s</w:t>
      </w:r>
      <w:r w:rsidR="00F20C90">
        <w:rPr>
          <w:rFonts w:ascii="Times New Roman" w:eastAsia="Times New Roman" w:hAnsi="Times New Roman" w:cs="Times New Roman"/>
          <w:sz w:val="26"/>
          <w:szCs w:val="26"/>
        </w:rPr>
        <w:t xml:space="preserve">ervice and </w:t>
      </w:r>
      <w:r w:rsidR="00D126B8">
        <w:rPr>
          <w:rFonts w:ascii="Times New Roman" w:eastAsia="Times New Roman" w:hAnsi="Times New Roman" w:cs="Times New Roman"/>
          <w:sz w:val="26"/>
          <w:szCs w:val="26"/>
        </w:rPr>
        <w:t>e</w:t>
      </w:r>
      <w:r w:rsidR="00F20C90">
        <w:rPr>
          <w:rFonts w:ascii="Times New Roman" w:eastAsia="Times New Roman" w:hAnsi="Times New Roman" w:cs="Times New Roman"/>
          <w:sz w:val="26"/>
          <w:szCs w:val="26"/>
        </w:rPr>
        <w:t xml:space="preserve">nergy </w:t>
      </w:r>
      <w:r w:rsidR="00F9052E">
        <w:rPr>
          <w:rFonts w:ascii="Times New Roman" w:eastAsia="Times New Roman" w:hAnsi="Times New Roman" w:cs="Times New Roman"/>
          <w:sz w:val="26"/>
          <w:szCs w:val="26"/>
        </w:rPr>
        <w:t>conservation</w:t>
      </w:r>
      <w:r w:rsidR="00F20C90">
        <w:rPr>
          <w:rFonts w:ascii="Times New Roman" w:eastAsia="Times New Roman" w:hAnsi="Times New Roman" w:cs="Times New Roman"/>
          <w:sz w:val="26"/>
          <w:szCs w:val="26"/>
        </w:rPr>
        <w:t xml:space="preserve"> </w:t>
      </w:r>
      <w:r w:rsidR="00D126B8">
        <w:rPr>
          <w:rFonts w:ascii="Times New Roman" w:eastAsia="Times New Roman" w:hAnsi="Times New Roman" w:cs="Times New Roman"/>
          <w:sz w:val="26"/>
          <w:szCs w:val="26"/>
        </w:rPr>
        <w:t>p</w:t>
      </w:r>
      <w:r w:rsidR="00F20C90">
        <w:rPr>
          <w:rFonts w:ascii="Times New Roman" w:eastAsia="Times New Roman" w:hAnsi="Times New Roman" w:cs="Times New Roman"/>
          <w:sz w:val="26"/>
          <w:szCs w:val="26"/>
        </w:rPr>
        <w:t>lan</w:t>
      </w:r>
      <w:r w:rsidR="00E13B30">
        <w:rPr>
          <w:rFonts w:ascii="Times New Roman" w:eastAsia="Times New Roman" w:hAnsi="Times New Roman" w:cs="Times New Roman"/>
          <w:sz w:val="26"/>
          <w:szCs w:val="26"/>
        </w:rPr>
        <w:t>s</w:t>
      </w:r>
      <w:r w:rsidR="00F20C90">
        <w:rPr>
          <w:rFonts w:ascii="Times New Roman" w:eastAsia="Times New Roman" w:hAnsi="Times New Roman" w:cs="Times New Roman"/>
          <w:sz w:val="26"/>
          <w:szCs w:val="26"/>
        </w:rPr>
        <w:t xml:space="preserve"> (U</w:t>
      </w:r>
      <w:r w:rsidRPr="00CB42D5">
        <w:rPr>
          <w:rFonts w:ascii="Times New Roman" w:eastAsia="Times New Roman" w:hAnsi="Times New Roman" w:cs="Times New Roman"/>
          <w:sz w:val="26"/>
          <w:szCs w:val="26"/>
        </w:rPr>
        <w:t>SECP</w:t>
      </w:r>
      <w:r w:rsidR="00E13B30">
        <w:rPr>
          <w:rFonts w:ascii="Times New Roman" w:eastAsia="Times New Roman" w:hAnsi="Times New Roman" w:cs="Times New Roman"/>
          <w:sz w:val="26"/>
          <w:szCs w:val="26"/>
        </w:rPr>
        <w:t>s</w:t>
      </w:r>
      <w:r w:rsidR="00F20C90">
        <w:rPr>
          <w:rFonts w:ascii="Times New Roman" w:eastAsia="Times New Roman" w:hAnsi="Times New Roman" w:cs="Times New Roman"/>
          <w:sz w:val="26"/>
          <w:szCs w:val="26"/>
        </w:rPr>
        <w:t>)</w:t>
      </w:r>
      <w:r w:rsidRPr="00CB42D5">
        <w:rPr>
          <w:rFonts w:ascii="Times New Roman" w:eastAsia="Times New Roman" w:hAnsi="Times New Roman" w:cs="Times New Roman"/>
          <w:sz w:val="26"/>
          <w:szCs w:val="26"/>
        </w:rPr>
        <w:t xml:space="preserve"> to the Commission. </w:t>
      </w:r>
      <w:r w:rsidR="00F20C90">
        <w:rPr>
          <w:rFonts w:ascii="Times New Roman" w:eastAsia="Times New Roman" w:hAnsi="Times New Roman" w:cs="Times New Roman"/>
          <w:sz w:val="26"/>
          <w:szCs w:val="26"/>
        </w:rPr>
        <w:t xml:space="preserve"> </w:t>
      </w:r>
      <w:r w:rsidR="00F20C90" w:rsidRPr="00BC6A27">
        <w:rPr>
          <w:rFonts w:ascii="Times New Roman" w:hAnsi="Times New Roman" w:cs="Times New Roman"/>
          <w:sz w:val="26"/>
          <w:szCs w:val="26"/>
        </w:rPr>
        <w:t xml:space="preserve">The </w:t>
      </w:r>
      <w:r w:rsidR="00F20C90">
        <w:rPr>
          <w:rFonts w:ascii="Times New Roman" w:hAnsi="Times New Roman" w:cs="Times New Roman"/>
          <w:sz w:val="26"/>
          <w:szCs w:val="26"/>
        </w:rPr>
        <w:t xml:space="preserve">components of a </w:t>
      </w:r>
      <w:r w:rsidR="00F20C90" w:rsidRPr="00BC6A27">
        <w:rPr>
          <w:rFonts w:ascii="Times New Roman" w:hAnsi="Times New Roman" w:cs="Times New Roman"/>
          <w:sz w:val="26"/>
          <w:szCs w:val="26"/>
        </w:rPr>
        <w:t xml:space="preserve">USECP </w:t>
      </w:r>
      <w:r w:rsidR="00E13B30">
        <w:rPr>
          <w:rFonts w:ascii="Times New Roman" w:hAnsi="Times New Roman" w:cs="Times New Roman"/>
          <w:sz w:val="26"/>
          <w:szCs w:val="26"/>
        </w:rPr>
        <w:t xml:space="preserve">are </w:t>
      </w:r>
      <w:r w:rsidR="00276670">
        <w:rPr>
          <w:rFonts w:ascii="Times New Roman" w:hAnsi="Times New Roman" w:cs="Times New Roman"/>
          <w:sz w:val="26"/>
          <w:szCs w:val="26"/>
        </w:rPr>
        <w:t xml:space="preserve">a </w:t>
      </w:r>
      <w:r w:rsidR="00F20C90" w:rsidRPr="00BC6A27">
        <w:rPr>
          <w:rFonts w:ascii="Times New Roman" w:hAnsi="Times New Roman" w:cs="Times New Roman"/>
          <w:sz w:val="26"/>
          <w:szCs w:val="26"/>
        </w:rPr>
        <w:t xml:space="preserve">CAP, </w:t>
      </w:r>
      <w:r w:rsidR="00276670">
        <w:rPr>
          <w:rFonts w:ascii="Times New Roman" w:hAnsi="Times New Roman" w:cs="Times New Roman"/>
          <w:sz w:val="26"/>
          <w:szCs w:val="26"/>
        </w:rPr>
        <w:t xml:space="preserve">a </w:t>
      </w:r>
      <w:r w:rsidR="003E75AF">
        <w:rPr>
          <w:rFonts w:ascii="Times New Roman" w:hAnsi="Times New Roman" w:cs="Times New Roman"/>
          <w:sz w:val="26"/>
          <w:szCs w:val="26"/>
        </w:rPr>
        <w:t>low-income and usage reduction program (</w:t>
      </w:r>
      <w:r w:rsidR="00F20C90" w:rsidRPr="00BC6A27">
        <w:rPr>
          <w:rFonts w:ascii="Times New Roman" w:hAnsi="Times New Roman" w:cs="Times New Roman"/>
          <w:sz w:val="26"/>
          <w:szCs w:val="26"/>
        </w:rPr>
        <w:t>LIURP</w:t>
      </w:r>
      <w:r w:rsidR="003E75AF">
        <w:rPr>
          <w:rFonts w:ascii="Times New Roman" w:hAnsi="Times New Roman" w:cs="Times New Roman"/>
          <w:sz w:val="26"/>
          <w:szCs w:val="26"/>
        </w:rPr>
        <w:t>)</w:t>
      </w:r>
      <w:r w:rsidR="00F20C90" w:rsidRPr="00BC6A27">
        <w:rPr>
          <w:rFonts w:ascii="Times New Roman" w:hAnsi="Times New Roman" w:cs="Times New Roman"/>
          <w:sz w:val="26"/>
          <w:szCs w:val="26"/>
        </w:rPr>
        <w:t xml:space="preserve">, </w:t>
      </w:r>
      <w:r w:rsidR="00276670">
        <w:rPr>
          <w:rFonts w:ascii="Times New Roman" w:hAnsi="Times New Roman" w:cs="Times New Roman"/>
          <w:sz w:val="26"/>
          <w:szCs w:val="26"/>
        </w:rPr>
        <w:t xml:space="preserve">a </w:t>
      </w:r>
      <w:r w:rsidR="00F20C90" w:rsidRPr="002A4DB6">
        <w:rPr>
          <w:rFonts w:ascii="Times New Roman" w:hAnsi="Times New Roman" w:cs="Times New Roman"/>
          <w:sz w:val="26"/>
          <w:szCs w:val="26"/>
        </w:rPr>
        <w:t xml:space="preserve">Customer Assistance Referral and Evaluation Program </w:t>
      </w:r>
      <w:r w:rsidR="00F20C90">
        <w:rPr>
          <w:rFonts w:ascii="Times New Roman" w:hAnsi="Times New Roman" w:cs="Times New Roman"/>
          <w:sz w:val="26"/>
          <w:szCs w:val="26"/>
        </w:rPr>
        <w:t>(</w:t>
      </w:r>
      <w:r w:rsidR="00F20C90" w:rsidRPr="00BC6A27">
        <w:rPr>
          <w:rFonts w:ascii="Times New Roman" w:hAnsi="Times New Roman" w:cs="Times New Roman"/>
          <w:sz w:val="26"/>
          <w:szCs w:val="26"/>
        </w:rPr>
        <w:t>CARES</w:t>
      </w:r>
      <w:r w:rsidR="00F20C90">
        <w:rPr>
          <w:rFonts w:ascii="Times New Roman" w:hAnsi="Times New Roman" w:cs="Times New Roman"/>
          <w:sz w:val="26"/>
          <w:szCs w:val="26"/>
        </w:rPr>
        <w:t>)</w:t>
      </w:r>
      <w:r w:rsidR="00F20C90" w:rsidRPr="00BC6A27">
        <w:rPr>
          <w:rFonts w:ascii="Times New Roman" w:hAnsi="Times New Roman" w:cs="Times New Roman"/>
          <w:sz w:val="26"/>
          <w:szCs w:val="26"/>
        </w:rPr>
        <w:t xml:space="preserve">, </w:t>
      </w:r>
      <w:r w:rsidR="00276670">
        <w:rPr>
          <w:rFonts w:ascii="Times New Roman" w:hAnsi="Times New Roman" w:cs="Times New Roman"/>
          <w:sz w:val="26"/>
          <w:szCs w:val="26"/>
        </w:rPr>
        <w:t xml:space="preserve">and a </w:t>
      </w:r>
      <w:r w:rsidR="00F20C90" w:rsidRPr="00BC6A27">
        <w:rPr>
          <w:rFonts w:ascii="Times New Roman" w:hAnsi="Times New Roman" w:cs="Times New Roman"/>
          <w:sz w:val="26"/>
          <w:szCs w:val="26"/>
        </w:rPr>
        <w:t>Hardship Fund</w:t>
      </w:r>
      <w:r w:rsidR="00F20C90">
        <w:rPr>
          <w:rFonts w:ascii="Times New Roman" w:hAnsi="Times New Roman" w:cs="Times New Roman"/>
          <w:sz w:val="26"/>
          <w:szCs w:val="26"/>
        </w:rPr>
        <w:t xml:space="preserve">.  </w:t>
      </w:r>
      <w:r w:rsidR="005F0A78">
        <w:rPr>
          <w:rFonts w:ascii="Times New Roman" w:hAnsi="Times New Roman" w:cs="Times New Roman"/>
          <w:sz w:val="26"/>
          <w:szCs w:val="26"/>
        </w:rPr>
        <w:t>These u</w:t>
      </w:r>
      <w:r w:rsidR="00E44FBD">
        <w:rPr>
          <w:rFonts w:ascii="Times New Roman" w:eastAsia="Times New Roman" w:hAnsi="Times New Roman" w:cs="Times New Roman"/>
          <w:sz w:val="26"/>
          <w:szCs w:val="26"/>
        </w:rPr>
        <w:t>niversal service programs are</w:t>
      </w:r>
      <w:r w:rsidRPr="00CB42D5">
        <w:rPr>
          <w:rFonts w:ascii="Times New Roman" w:eastAsia="Times New Roman" w:hAnsi="Times New Roman" w:cs="Times New Roman"/>
          <w:sz w:val="26"/>
          <w:szCs w:val="26"/>
        </w:rPr>
        <w:t xml:space="preserve"> subject to the administrative oversight of the Commission, which must ensure that the utilities administer the</w:t>
      </w:r>
      <w:r w:rsidR="00B33F5D">
        <w:rPr>
          <w:rFonts w:ascii="Times New Roman" w:eastAsia="Times New Roman" w:hAnsi="Times New Roman" w:cs="Times New Roman"/>
          <w:sz w:val="26"/>
          <w:szCs w:val="26"/>
        </w:rPr>
        <w:t>ir</w:t>
      </w:r>
      <w:r w:rsidRPr="00CB42D5">
        <w:rPr>
          <w:rFonts w:ascii="Times New Roman" w:eastAsia="Times New Roman" w:hAnsi="Times New Roman" w:cs="Times New Roman"/>
          <w:sz w:val="26"/>
          <w:szCs w:val="26"/>
        </w:rPr>
        <w:t xml:space="preserve"> programs in a cost-effective manner and that services are appropriately funded and available in each utility distribution territory.  66 Pa. C.S. §§ 2203(8) and 2804(9)</w:t>
      </w:r>
      <w:r w:rsidR="00630649">
        <w:rPr>
          <w:rFonts w:ascii="Times New Roman" w:eastAsia="Times New Roman" w:hAnsi="Times New Roman" w:cs="Times New Roman"/>
          <w:sz w:val="26"/>
          <w:szCs w:val="26"/>
        </w:rPr>
        <w:t xml:space="preserve">; 52 Pa. Code </w:t>
      </w:r>
      <w:r w:rsidR="00A76BA7">
        <w:rPr>
          <w:rFonts w:ascii="Times New Roman" w:eastAsia="Times New Roman" w:hAnsi="Times New Roman" w:cs="Times New Roman"/>
          <w:sz w:val="26"/>
          <w:szCs w:val="26"/>
        </w:rPr>
        <w:t>§§ 54.71-</w:t>
      </w:r>
      <w:r w:rsidR="00D52622">
        <w:rPr>
          <w:rFonts w:ascii="Times New Roman" w:eastAsia="Times New Roman" w:hAnsi="Times New Roman" w:cs="Times New Roman"/>
          <w:sz w:val="26"/>
          <w:szCs w:val="26"/>
        </w:rPr>
        <w:t>54.</w:t>
      </w:r>
      <w:r w:rsidR="00A76BA7">
        <w:rPr>
          <w:rFonts w:ascii="Times New Roman" w:eastAsia="Times New Roman" w:hAnsi="Times New Roman" w:cs="Times New Roman"/>
          <w:sz w:val="26"/>
          <w:szCs w:val="26"/>
        </w:rPr>
        <w:t xml:space="preserve">78 and </w:t>
      </w:r>
      <w:r w:rsidR="003466B5">
        <w:rPr>
          <w:rFonts w:ascii="Times New Roman" w:eastAsia="Times New Roman" w:hAnsi="Times New Roman" w:cs="Times New Roman"/>
          <w:sz w:val="26"/>
          <w:szCs w:val="26"/>
        </w:rPr>
        <w:t>62.1-62.8</w:t>
      </w:r>
      <w:r w:rsidRPr="00CB42D5">
        <w:rPr>
          <w:rFonts w:ascii="Times New Roman" w:eastAsia="Times New Roman" w:hAnsi="Times New Roman" w:cs="Times New Roman"/>
          <w:sz w:val="26"/>
          <w:szCs w:val="26"/>
        </w:rPr>
        <w:t xml:space="preserve">.  In the exercise of </w:t>
      </w:r>
      <w:r w:rsidR="003466B5">
        <w:rPr>
          <w:rFonts w:ascii="Times New Roman" w:eastAsia="Times New Roman" w:hAnsi="Times New Roman" w:cs="Times New Roman"/>
          <w:sz w:val="26"/>
          <w:szCs w:val="26"/>
        </w:rPr>
        <w:t xml:space="preserve">its </w:t>
      </w:r>
      <w:r w:rsidRPr="00CB42D5">
        <w:rPr>
          <w:rFonts w:ascii="Times New Roman" w:eastAsia="Times New Roman" w:hAnsi="Times New Roman" w:cs="Times New Roman"/>
          <w:sz w:val="26"/>
          <w:szCs w:val="26"/>
        </w:rPr>
        <w:t xml:space="preserve">authority, the Commission balances the interests of customers who benefit from the programs with the interests of the </w:t>
      </w:r>
      <w:r w:rsidR="00E77EA1">
        <w:rPr>
          <w:rFonts w:ascii="Times New Roman" w:eastAsia="Times New Roman" w:hAnsi="Times New Roman" w:cs="Times New Roman"/>
          <w:sz w:val="26"/>
          <w:szCs w:val="26"/>
        </w:rPr>
        <w:t xml:space="preserve">other </w:t>
      </w:r>
      <w:r w:rsidRPr="00CB42D5">
        <w:rPr>
          <w:rFonts w:ascii="Times New Roman" w:eastAsia="Times New Roman" w:hAnsi="Times New Roman" w:cs="Times New Roman"/>
          <w:sz w:val="26"/>
          <w:szCs w:val="26"/>
        </w:rPr>
        <w:t xml:space="preserve">residential customers who pay for the programs.  </w:t>
      </w:r>
      <w:r w:rsidRPr="00CB42D5">
        <w:rPr>
          <w:rFonts w:ascii="Times New Roman" w:eastAsia="Times New Roman" w:hAnsi="Times New Roman" w:cs="Times New Roman"/>
          <w:i/>
          <w:sz w:val="26"/>
          <w:szCs w:val="26"/>
        </w:rPr>
        <w:t>See</w:t>
      </w:r>
      <w:r w:rsidRPr="00CB42D5">
        <w:rPr>
          <w:rFonts w:ascii="Times New Roman" w:eastAsia="Times New Roman" w:hAnsi="Times New Roman" w:cs="Times New Roman"/>
          <w:sz w:val="26"/>
          <w:szCs w:val="26"/>
        </w:rPr>
        <w:t xml:space="preserve"> </w:t>
      </w:r>
      <w:r w:rsidRPr="00CB42D5">
        <w:rPr>
          <w:rFonts w:ascii="Times New Roman" w:eastAsia="Times New Roman" w:hAnsi="Times New Roman" w:cs="Times New Roman"/>
          <w:i/>
          <w:sz w:val="26"/>
          <w:szCs w:val="26"/>
        </w:rPr>
        <w:t>Final Investigatory Order on CAPs: Funding Levels and Cost Recovery Mechanisms</w:t>
      </w:r>
      <w:r w:rsidRPr="00CB42D5">
        <w:rPr>
          <w:rFonts w:ascii="Times New Roman" w:eastAsia="Times New Roman" w:hAnsi="Times New Roman" w:cs="Times New Roman"/>
          <w:sz w:val="26"/>
          <w:szCs w:val="26"/>
        </w:rPr>
        <w:t>, Docket No. M-00051923 (Dec. 18, 2006), (</w:t>
      </w:r>
      <w:r w:rsidRPr="00CB42D5">
        <w:rPr>
          <w:rFonts w:ascii="Times New Roman" w:eastAsia="Times New Roman" w:hAnsi="Times New Roman" w:cs="Times New Roman"/>
          <w:i/>
          <w:sz w:val="26"/>
          <w:szCs w:val="26"/>
        </w:rPr>
        <w:t>Final CAP Investigatory Order</w:t>
      </w:r>
      <w:r w:rsidRPr="00CB42D5">
        <w:rPr>
          <w:rFonts w:ascii="Times New Roman" w:eastAsia="Times New Roman" w:hAnsi="Times New Roman" w:cs="Times New Roman"/>
          <w:sz w:val="26"/>
          <w:szCs w:val="26"/>
        </w:rPr>
        <w:t xml:space="preserve">), at 6-7.  </w:t>
      </w:r>
    </w:p>
    <w:p w14:paraId="74B3C91B" w14:textId="77777777" w:rsidR="00F20C90" w:rsidRDefault="00F20C90" w:rsidP="00E93186">
      <w:pPr>
        <w:tabs>
          <w:tab w:val="left" w:pos="720"/>
          <w:tab w:val="left" w:pos="990"/>
        </w:tabs>
        <w:spacing w:after="0" w:line="360" w:lineRule="auto"/>
        <w:contextualSpacing/>
        <w:rPr>
          <w:rFonts w:ascii="Times New Roman" w:eastAsia="Times New Roman" w:hAnsi="Times New Roman" w:cs="Times New Roman"/>
          <w:sz w:val="26"/>
          <w:szCs w:val="26"/>
        </w:rPr>
      </w:pPr>
    </w:p>
    <w:p w14:paraId="219065C2" w14:textId="0F6F1552" w:rsidR="007B6691" w:rsidRPr="00110DCF" w:rsidRDefault="00C70E9C" w:rsidP="007C0ADA">
      <w:pPr>
        <w:keepNext/>
        <w:tabs>
          <w:tab w:val="left" w:pos="720"/>
          <w:tab w:val="left" w:pos="990"/>
        </w:tabs>
        <w:spacing w:after="0" w:line="360" w:lineRule="auto"/>
        <w:ind w:left="720" w:hanging="720"/>
        <w:contextualSpacing/>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00764BE9">
        <w:rPr>
          <w:rFonts w:ascii="Times New Roman" w:eastAsia="Times New Roman" w:hAnsi="Times New Roman" w:cs="Times New Roman"/>
          <w:b/>
          <w:sz w:val="26"/>
          <w:szCs w:val="26"/>
        </w:rPr>
        <w:t xml:space="preserve">Energy </w:t>
      </w:r>
      <w:r w:rsidR="00A30722" w:rsidRPr="006D4D0E">
        <w:rPr>
          <w:rFonts w:ascii="Times New Roman" w:eastAsia="Times New Roman" w:hAnsi="Times New Roman" w:cs="Times New Roman"/>
          <w:b/>
          <w:sz w:val="26"/>
          <w:szCs w:val="26"/>
        </w:rPr>
        <w:t xml:space="preserve">Assistance </w:t>
      </w:r>
      <w:r w:rsidR="007214DE">
        <w:rPr>
          <w:rFonts w:ascii="Times New Roman" w:eastAsia="Times New Roman" w:hAnsi="Times New Roman" w:cs="Times New Roman"/>
          <w:b/>
          <w:sz w:val="26"/>
          <w:szCs w:val="26"/>
        </w:rPr>
        <w:t>Overseen</w:t>
      </w:r>
      <w:r w:rsidR="007C0ADA">
        <w:rPr>
          <w:rFonts w:ascii="Times New Roman" w:eastAsia="Times New Roman" w:hAnsi="Times New Roman" w:cs="Times New Roman"/>
          <w:b/>
          <w:sz w:val="26"/>
          <w:szCs w:val="26"/>
        </w:rPr>
        <w:t xml:space="preserve"> </w:t>
      </w:r>
      <w:r w:rsidR="00A30722" w:rsidRPr="006D4D0E">
        <w:rPr>
          <w:rFonts w:ascii="Times New Roman" w:eastAsia="Times New Roman" w:hAnsi="Times New Roman" w:cs="Times New Roman"/>
          <w:b/>
          <w:sz w:val="26"/>
          <w:szCs w:val="26"/>
        </w:rPr>
        <w:t xml:space="preserve">by the </w:t>
      </w:r>
      <w:r w:rsidR="007214DE">
        <w:rPr>
          <w:rFonts w:ascii="Times New Roman" w:eastAsia="Times New Roman" w:hAnsi="Times New Roman" w:cs="Times New Roman"/>
          <w:b/>
          <w:sz w:val="26"/>
          <w:szCs w:val="26"/>
        </w:rPr>
        <w:t xml:space="preserve">Pennsylvania </w:t>
      </w:r>
      <w:r w:rsidR="00A30722" w:rsidRPr="006D4D0E">
        <w:rPr>
          <w:rFonts w:ascii="Times New Roman" w:eastAsia="Times New Roman" w:hAnsi="Times New Roman" w:cs="Times New Roman"/>
          <w:b/>
          <w:sz w:val="26"/>
          <w:szCs w:val="26"/>
        </w:rPr>
        <w:t>Department of Human Services/LIHEAP</w:t>
      </w:r>
    </w:p>
    <w:p w14:paraId="30371908" w14:textId="1140D78F" w:rsidR="00590C15" w:rsidRPr="00590C15" w:rsidRDefault="00290E3B" w:rsidP="00E93186">
      <w:pPr>
        <w:tabs>
          <w:tab w:val="left" w:pos="720"/>
          <w:tab w:val="left" w:pos="990"/>
        </w:tabs>
        <w:spacing w:after="0" w:line="360" w:lineRule="auto"/>
        <w:contextualSpacing/>
        <w:rPr>
          <w:rFonts w:ascii="Times New Roman" w:hAnsi="Times New Roman" w:cs="Times New Roman"/>
          <w:sz w:val="26"/>
          <w:szCs w:val="26"/>
        </w:rPr>
      </w:pPr>
      <w:r>
        <w:rPr>
          <w:rFonts w:ascii="Times New Roman" w:eastAsia="Times New Roman" w:hAnsi="Times New Roman" w:cs="Times New Roman"/>
          <w:sz w:val="26"/>
          <w:szCs w:val="26"/>
        </w:rPr>
        <w:tab/>
      </w:r>
      <w:r w:rsidRPr="00590C15">
        <w:rPr>
          <w:rFonts w:ascii="Times New Roman" w:eastAsia="Times New Roman" w:hAnsi="Times New Roman" w:cs="Times New Roman"/>
          <w:sz w:val="26"/>
          <w:szCs w:val="26"/>
        </w:rPr>
        <w:t>In addition to resources and assistance at the state</w:t>
      </w:r>
      <w:r w:rsidR="00140604">
        <w:rPr>
          <w:rFonts w:ascii="Times New Roman" w:eastAsia="Times New Roman" w:hAnsi="Times New Roman" w:cs="Times New Roman"/>
          <w:sz w:val="26"/>
          <w:szCs w:val="26"/>
        </w:rPr>
        <w:t xml:space="preserve"> </w:t>
      </w:r>
      <w:r w:rsidRPr="00590C15">
        <w:rPr>
          <w:rFonts w:ascii="Times New Roman" w:eastAsia="Times New Roman" w:hAnsi="Times New Roman" w:cs="Times New Roman"/>
          <w:sz w:val="26"/>
          <w:szCs w:val="26"/>
        </w:rPr>
        <w:t xml:space="preserve">level, federal assistance is </w:t>
      </w:r>
      <w:r w:rsidR="009F7F37">
        <w:rPr>
          <w:rFonts w:ascii="Times New Roman" w:eastAsia="Times New Roman" w:hAnsi="Times New Roman" w:cs="Times New Roman"/>
          <w:sz w:val="26"/>
          <w:szCs w:val="26"/>
        </w:rPr>
        <w:t xml:space="preserve">also </w:t>
      </w:r>
      <w:r w:rsidRPr="00590C15">
        <w:rPr>
          <w:rFonts w:ascii="Times New Roman" w:eastAsia="Times New Roman" w:hAnsi="Times New Roman" w:cs="Times New Roman"/>
          <w:sz w:val="26"/>
          <w:szCs w:val="26"/>
        </w:rPr>
        <w:t>available to help low-income households pay their home energy</w:t>
      </w:r>
      <w:r w:rsidRPr="00590C15">
        <w:rPr>
          <w:rFonts w:ascii="Times New Roman" w:eastAsia="Calibri" w:hAnsi="Times New Roman" w:cs="Times New Roman"/>
          <w:sz w:val="26"/>
          <w:szCs w:val="26"/>
          <w:vertAlign w:val="superscript"/>
        </w:rPr>
        <w:footnoteReference w:id="6"/>
      </w:r>
      <w:r w:rsidRPr="00590C15">
        <w:rPr>
          <w:rFonts w:ascii="Times New Roman" w:eastAsia="Times New Roman" w:hAnsi="Times New Roman" w:cs="Times New Roman"/>
          <w:sz w:val="26"/>
          <w:szCs w:val="26"/>
        </w:rPr>
        <w:t xml:space="preserve"> bills.  </w:t>
      </w:r>
      <w:r w:rsidR="00230750">
        <w:rPr>
          <w:rFonts w:ascii="Times New Roman" w:eastAsia="Times New Roman" w:hAnsi="Times New Roman" w:cs="Times New Roman"/>
          <w:sz w:val="26"/>
          <w:szCs w:val="26"/>
        </w:rPr>
        <w:t>The Low</w:t>
      </w:r>
      <w:r w:rsidR="0096757B">
        <w:rPr>
          <w:rFonts w:ascii="Times New Roman" w:eastAsia="Times New Roman" w:hAnsi="Times New Roman" w:cs="Times New Roman"/>
          <w:sz w:val="26"/>
          <w:szCs w:val="26"/>
        </w:rPr>
        <w:noBreakHyphen/>
      </w:r>
      <w:r w:rsidR="00230750">
        <w:rPr>
          <w:rFonts w:ascii="Times New Roman" w:eastAsia="Times New Roman" w:hAnsi="Times New Roman" w:cs="Times New Roman"/>
          <w:sz w:val="26"/>
          <w:szCs w:val="26"/>
        </w:rPr>
        <w:t>Income Home Energy Ass</w:t>
      </w:r>
      <w:r w:rsidR="002E0394">
        <w:rPr>
          <w:rFonts w:ascii="Times New Roman" w:eastAsia="Times New Roman" w:hAnsi="Times New Roman" w:cs="Times New Roman"/>
          <w:sz w:val="26"/>
          <w:szCs w:val="26"/>
        </w:rPr>
        <w:t>istance Program (</w:t>
      </w:r>
      <w:r w:rsidRPr="00590C15">
        <w:rPr>
          <w:rFonts w:ascii="Times New Roman" w:eastAsia="Times New Roman" w:hAnsi="Times New Roman" w:cs="Times New Roman"/>
          <w:sz w:val="26"/>
          <w:szCs w:val="26"/>
        </w:rPr>
        <w:t>LIHEAP</w:t>
      </w:r>
      <w:r w:rsidR="002E0394">
        <w:rPr>
          <w:rFonts w:ascii="Times New Roman" w:eastAsia="Times New Roman" w:hAnsi="Times New Roman" w:cs="Times New Roman"/>
          <w:sz w:val="26"/>
          <w:szCs w:val="26"/>
        </w:rPr>
        <w:t>)</w:t>
      </w:r>
      <w:r w:rsidRPr="00590C15">
        <w:rPr>
          <w:rFonts w:ascii="Times New Roman" w:eastAsia="Times New Roman" w:hAnsi="Times New Roman" w:cs="Times New Roman"/>
          <w:sz w:val="26"/>
          <w:szCs w:val="26"/>
        </w:rPr>
        <w:t xml:space="preserve"> is a federally-funded </w:t>
      </w:r>
      <w:r w:rsidR="001B75BD">
        <w:rPr>
          <w:rFonts w:ascii="Times New Roman" w:eastAsia="Times New Roman" w:hAnsi="Times New Roman" w:cs="Times New Roman"/>
          <w:sz w:val="26"/>
          <w:szCs w:val="26"/>
        </w:rPr>
        <w:t xml:space="preserve">block grant </w:t>
      </w:r>
      <w:r w:rsidR="00164487">
        <w:rPr>
          <w:rFonts w:ascii="Times New Roman" w:eastAsia="Times New Roman" w:hAnsi="Times New Roman" w:cs="Times New Roman"/>
          <w:sz w:val="26"/>
          <w:szCs w:val="26"/>
        </w:rPr>
        <w:t>program</w:t>
      </w:r>
      <w:r w:rsidR="008023C5">
        <w:rPr>
          <w:rFonts w:ascii="Times New Roman" w:eastAsia="Times New Roman" w:hAnsi="Times New Roman" w:cs="Times New Roman"/>
          <w:sz w:val="26"/>
          <w:szCs w:val="26"/>
        </w:rPr>
        <w:t>,</w:t>
      </w:r>
      <w:r w:rsidRPr="00590C15">
        <w:rPr>
          <w:rFonts w:ascii="Times New Roman" w:eastAsia="Times New Roman" w:hAnsi="Times New Roman" w:cs="Times New Roman"/>
          <w:sz w:val="26"/>
          <w:szCs w:val="26"/>
        </w:rPr>
        <w:t xml:space="preserve"> </w:t>
      </w:r>
      <w:r w:rsidR="00D9716F">
        <w:rPr>
          <w:rFonts w:ascii="Times New Roman" w:eastAsia="Times New Roman" w:hAnsi="Times New Roman" w:cs="Times New Roman"/>
          <w:sz w:val="26"/>
          <w:szCs w:val="26"/>
        </w:rPr>
        <w:t>administered by the federal Department of Health and Human Services (HHS)</w:t>
      </w:r>
      <w:r w:rsidR="008023C5">
        <w:rPr>
          <w:rFonts w:ascii="Times New Roman" w:eastAsia="Times New Roman" w:hAnsi="Times New Roman" w:cs="Times New Roman"/>
          <w:sz w:val="26"/>
          <w:szCs w:val="26"/>
        </w:rPr>
        <w:t>,</w:t>
      </w:r>
      <w:r w:rsidR="00D9716F">
        <w:rPr>
          <w:rFonts w:ascii="Times New Roman" w:eastAsia="Times New Roman" w:hAnsi="Times New Roman" w:cs="Times New Roman"/>
          <w:sz w:val="26"/>
          <w:szCs w:val="26"/>
        </w:rPr>
        <w:t xml:space="preserve"> </w:t>
      </w:r>
      <w:r w:rsidR="00A17E6B">
        <w:rPr>
          <w:rFonts w:ascii="Times New Roman" w:eastAsia="Times New Roman" w:hAnsi="Times New Roman" w:cs="Times New Roman"/>
          <w:sz w:val="26"/>
          <w:szCs w:val="26"/>
        </w:rPr>
        <w:t xml:space="preserve">designed </w:t>
      </w:r>
      <w:r w:rsidR="00A17E6B">
        <w:rPr>
          <w:rFonts w:ascii="Times New Roman" w:eastAsia="Times New Roman" w:hAnsi="Times New Roman" w:cs="Times New Roman"/>
          <w:sz w:val="26"/>
          <w:szCs w:val="26"/>
        </w:rPr>
        <w:lastRenderedPageBreak/>
        <w:t xml:space="preserve">to provide </w:t>
      </w:r>
      <w:r w:rsidRPr="00590C15">
        <w:rPr>
          <w:rFonts w:ascii="Times New Roman" w:eastAsia="Times New Roman" w:hAnsi="Times New Roman" w:cs="Times New Roman"/>
          <w:sz w:val="26"/>
          <w:szCs w:val="26"/>
        </w:rPr>
        <w:t xml:space="preserve">home energy assistance to low-income households.  </w:t>
      </w:r>
      <w:r w:rsidR="00982904">
        <w:rPr>
          <w:rFonts w:ascii="Times New Roman" w:eastAsia="Times New Roman" w:hAnsi="Times New Roman" w:cs="Times New Roman"/>
          <w:sz w:val="26"/>
          <w:szCs w:val="26"/>
        </w:rPr>
        <w:t xml:space="preserve">In </w:t>
      </w:r>
      <w:r w:rsidR="00590C15" w:rsidRPr="00590C15">
        <w:rPr>
          <w:rFonts w:ascii="Times New Roman" w:hAnsi="Times New Roman" w:cs="Times New Roman"/>
          <w:sz w:val="26"/>
          <w:szCs w:val="26"/>
        </w:rPr>
        <w:t>Pennsylvania</w:t>
      </w:r>
      <w:r w:rsidR="00982904">
        <w:rPr>
          <w:rFonts w:ascii="Times New Roman" w:hAnsi="Times New Roman" w:cs="Times New Roman"/>
          <w:sz w:val="26"/>
          <w:szCs w:val="26"/>
        </w:rPr>
        <w:t>,</w:t>
      </w:r>
      <w:r w:rsidR="00590C15" w:rsidRPr="00590C15">
        <w:rPr>
          <w:rFonts w:ascii="Times New Roman" w:hAnsi="Times New Roman" w:cs="Times New Roman"/>
          <w:sz w:val="26"/>
          <w:szCs w:val="26"/>
        </w:rPr>
        <w:t xml:space="preserve"> LIHEAP is </w:t>
      </w:r>
      <w:r w:rsidR="00974A37">
        <w:rPr>
          <w:rFonts w:ascii="Times New Roman" w:hAnsi="Times New Roman" w:cs="Times New Roman"/>
          <w:sz w:val="26"/>
          <w:szCs w:val="26"/>
        </w:rPr>
        <w:t>over</w:t>
      </w:r>
      <w:r w:rsidR="005C0E6E">
        <w:rPr>
          <w:rFonts w:ascii="Times New Roman" w:hAnsi="Times New Roman" w:cs="Times New Roman"/>
          <w:sz w:val="26"/>
          <w:szCs w:val="26"/>
        </w:rPr>
        <w:t xml:space="preserve">seen </w:t>
      </w:r>
      <w:r w:rsidR="00590C15" w:rsidRPr="00590C15">
        <w:rPr>
          <w:rFonts w:ascii="Times New Roman" w:hAnsi="Times New Roman" w:cs="Times New Roman"/>
          <w:sz w:val="26"/>
          <w:szCs w:val="26"/>
        </w:rPr>
        <w:t>by the Commonwealth’s Department of Human Services (DHS).</w:t>
      </w:r>
      <w:r w:rsidR="00590C15" w:rsidRPr="00590C15">
        <w:rPr>
          <w:rFonts w:ascii="Times New Roman" w:hAnsi="Times New Roman" w:cs="Times New Roman"/>
          <w:sz w:val="26"/>
          <w:szCs w:val="26"/>
          <w:vertAlign w:val="superscript"/>
        </w:rPr>
        <w:footnoteReference w:id="7"/>
      </w:r>
      <w:r w:rsidR="00590C15" w:rsidRPr="00590C15">
        <w:rPr>
          <w:rFonts w:ascii="Times New Roman" w:hAnsi="Times New Roman" w:cs="Times New Roman"/>
          <w:sz w:val="26"/>
          <w:szCs w:val="26"/>
        </w:rPr>
        <w:t xml:space="preserve">  LIHEAP is traditionally available in Pennsylvania to </w:t>
      </w:r>
      <w:r w:rsidR="00C17229">
        <w:rPr>
          <w:rFonts w:ascii="Times New Roman" w:hAnsi="Times New Roman" w:cs="Times New Roman"/>
          <w:sz w:val="26"/>
          <w:szCs w:val="26"/>
        </w:rPr>
        <w:t>income-</w:t>
      </w:r>
      <w:r w:rsidR="00590C15" w:rsidRPr="00590C15">
        <w:rPr>
          <w:rFonts w:ascii="Times New Roman" w:hAnsi="Times New Roman" w:cs="Times New Roman"/>
          <w:sz w:val="26"/>
          <w:szCs w:val="26"/>
        </w:rPr>
        <w:t>eligible households from November through March</w:t>
      </w:r>
      <w:r w:rsidR="00590C15">
        <w:rPr>
          <w:rFonts w:ascii="Times New Roman" w:hAnsi="Times New Roman" w:cs="Times New Roman"/>
          <w:sz w:val="26"/>
          <w:szCs w:val="26"/>
        </w:rPr>
        <w:t xml:space="preserve">.  </w:t>
      </w:r>
      <w:r w:rsidR="00590C15" w:rsidRPr="00590C15">
        <w:rPr>
          <w:rFonts w:ascii="Times New Roman" w:hAnsi="Times New Roman" w:cs="Times New Roman"/>
          <w:sz w:val="26"/>
          <w:szCs w:val="26"/>
        </w:rPr>
        <w:t xml:space="preserve">LIHEAP grants are available to help pay for jurisdictional energy costs as well as deliverable energy costs.  </w:t>
      </w:r>
      <w:r w:rsidR="00E209BF">
        <w:rPr>
          <w:rFonts w:ascii="Times New Roman" w:hAnsi="Times New Roman" w:cs="Times New Roman"/>
          <w:sz w:val="26"/>
          <w:szCs w:val="26"/>
        </w:rPr>
        <w:t xml:space="preserve">The customer elects </w:t>
      </w:r>
      <w:r w:rsidR="002571E8">
        <w:rPr>
          <w:rFonts w:ascii="Times New Roman" w:hAnsi="Times New Roman" w:cs="Times New Roman"/>
          <w:sz w:val="26"/>
          <w:szCs w:val="26"/>
        </w:rPr>
        <w:t xml:space="preserve">the </w:t>
      </w:r>
      <w:r w:rsidR="00E209BF">
        <w:rPr>
          <w:rFonts w:ascii="Times New Roman" w:hAnsi="Times New Roman" w:cs="Times New Roman"/>
          <w:sz w:val="26"/>
          <w:szCs w:val="26"/>
        </w:rPr>
        <w:t xml:space="preserve">energy source to which </w:t>
      </w:r>
      <w:r w:rsidR="002571E8">
        <w:rPr>
          <w:rFonts w:ascii="Times New Roman" w:hAnsi="Times New Roman" w:cs="Times New Roman"/>
          <w:sz w:val="26"/>
          <w:szCs w:val="26"/>
        </w:rPr>
        <w:t xml:space="preserve">the household’s </w:t>
      </w:r>
      <w:r w:rsidR="00E209BF">
        <w:rPr>
          <w:rFonts w:ascii="Times New Roman" w:hAnsi="Times New Roman" w:cs="Times New Roman"/>
          <w:sz w:val="26"/>
          <w:szCs w:val="26"/>
        </w:rPr>
        <w:t>LIHEAP grant</w:t>
      </w:r>
      <w:r w:rsidR="00C35DE5">
        <w:rPr>
          <w:rFonts w:ascii="Times New Roman" w:hAnsi="Times New Roman" w:cs="Times New Roman"/>
          <w:sz w:val="26"/>
          <w:szCs w:val="26"/>
        </w:rPr>
        <w:t>(s)</w:t>
      </w:r>
      <w:r w:rsidR="00E209BF">
        <w:rPr>
          <w:rFonts w:ascii="Times New Roman" w:hAnsi="Times New Roman" w:cs="Times New Roman"/>
          <w:sz w:val="26"/>
          <w:szCs w:val="26"/>
        </w:rPr>
        <w:t xml:space="preserve"> will be applied.  </w:t>
      </w:r>
    </w:p>
    <w:p w14:paraId="4CC80413" w14:textId="77777777" w:rsidR="00590C15" w:rsidRPr="00402673" w:rsidRDefault="00590C15" w:rsidP="00E93186">
      <w:pPr>
        <w:pStyle w:val="NoSpacing"/>
        <w:spacing w:line="360" w:lineRule="auto"/>
        <w:contextualSpacing/>
        <w:rPr>
          <w:rFonts w:ascii="Times New Roman" w:hAnsi="Times New Roman" w:cs="Times New Roman"/>
        </w:rPr>
      </w:pPr>
    </w:p>
    <w:p w14:paraId="7474D9D9" w14:textId="1CD8E3BB" w:rsidR="00590C15" w:rsidRDefault="00590C15" w:rsidP="00554EC1">
      <w:pPr>
        <w:tabs>
          <w:tab w:val="left" w:pos="720"/>
          <w:tab w:val="left" w:pos="990"/>
        </w:tabs>
        <w:spacing w:after="0" w:line="360" w:lineRule="auto"/>
        <w:contextualSpacing/>
        <w:rPr>
          <w:rFonts w:ascii="Times New Roman" w:hAnsi="Times New Roman" w:cs="Times New Roman"/>
          <w:sz w:val="26"/>
          <w:szCs w:val="26"/>
        </w:rPr>
      </w:pPr>
      <w:r w:rsidRPr="00590C15">
        <w:rPr>
          <w:rFonts w:ascii="Times New Roman" w:eastAsia="Times New Roman" w:hAnsi="Times New Roman" w:cs="Times New Roman"/>
          <w:sz w:val="26"/>
          <w:szCs w:val="26"/>
        </w:rPr>
        <w:tab/>
        <w:t>LIHEAP offers two types of grants</w:t>
      </w:r>
      <w:r>
        <w:rPr>
          <w:rFonts w:ascii="Times New Roman" w:eastAsia="Times New Roman" w:hAnsi="Times New Roman" w:cs="Times New Roman"/>
          <w:sz w:val="26"/>
          <w:szCs w:val="26"/>
        </w:rPr>
        <w:t xml:space="preserve">, </w:t>
      </w:r>
      <w:r w:rsidRPr="00590C15">
        <w:rPr>
          <w:rFonts w:ascii="Times New Roman" w:eastAsia="Times New Roman" w:hAnsi="Times New Roman" w:cs="Times New Roman"/>
          <w:sz w:val="26"/>
          <w:szCs w:val="26"/>
        </w:rPr>
        <w:t>Cash and Crisis</w:t>
      </w:r>
      <w:r>
        <w:rPr>
          <w:rFonts w:ascii="Times New Roman" w:eastAsia="Times New Roman" w:hAnsi="Times New Roman" w:cs="Times New Roman"/>
          <w:sz w:val="26"/>
          <w:szCs w:val="26"/>
        </w:rPr>
        <w:t xml:space="preserve">.  </w:t>
      </w:r>
      <w:r w:rsidRPr="00590C15">
        <w:rPr>
          <w:rFonts w:ascii="Times New Roman" w:eastAsia="Times New Roman" w:hAnsi="Times New Roman" w:cs="Times New Roman"/>
          <w:sz w:val="26"/>
          <w:szCs w:val="26"/>
        </w:rPr>
        <w:t>LIHEAP grant</w:t>
      </w:r>
      <w:r w:rsidR="00D86767">
        <w:rPr>
          <w:rFonts w:ascii="Times New Roman" w:eastAsia="Times New Roman" w:hAnsi="Times New Roman" w:cs="Times New Roman"/>
          <w:sz w:val="26"/>
          <w:szCs w:val="26"/>
        </w:rPr>
        <w:t>s</w:t>
      </w:r>
      <w:r w:rsidRPr="00590C15">
        <w:rPr>
          <w:rFonts w:ascii="Times New Roman" w:eastAsia="Times New Roman" w:hAnsi="Times New Roman" w:cs="Times New Roman"/>
          <w:sz w:val="26"/>
          <w:szCs w:val="26"/>
        </w:rPr>
        <w:t xml:space="preserve"> </w:t>
      </w:r>
      <w:r w:rsidR="00FC19D4">
        <w:rPr>
          <w:rFonts w:ascii="Times New Roman" w:eastAsia="Times New Roman" w:hAnsi="Times New Roman" w:cs="Times New Roman"/>
          <w:sz w:val="26"/>
          <w:szCs w:val="26"/>
        </w:rPr>
        <w:t xml:space="preserve">are </w:t>
      </w:r>
      <w:r w:rsidRPr="00590C15">
        <w:rPr>
          <w:rFonts w:ascii="Times New Roman" w:eastAsia="Times New Roman" w:hAnsi="Times New Roman" w:cs="Times New Roman"/>
          <w:sz w:val="26"/>
          <w:szCs w:val="26"/>
        </w:rPr>
        <w:t xml:space="preserve">available to income-eligible customers </w:t>
      </w:r>
      <w:r w:rsidR="00CE2A08">
        <w:rPr>
          <w:rFonts w:ascii="Times New Roman" w:eastAsia="Times New Roman" w:hAnsi="Times New Roman" w:cs="Times New Roman"/>
          <w:sz w:val="26"/>
          <w:szCs w:val="26"/>
        </w:rPr>
        <w:t>who</w:t>
      </w:r>
      <w:r w:rsidRPr="00590C15">
        <w:rPr>
          <w:rFonts w:ascii="Times New Roman" w:eastAsia="Times New Roman" w:hAnsi="Times New Roman" w:cs="Times New Roman"/>
          <w:sz w:val="26"/>
          <w:szCs w:val="26"/>
        </w:rPr>
        <w:t xml:space="preserve"> </w:t>
      </w:r>
      <w:r w:rsidR="00787FF3">
        <w:rPr>
          <w:rFonts w:ascii="Times New Roman" w:eastAsia="Times New Roman" w:hAnsi="Times New Roman" w:cs="Times New Roman"/>
          <w:sz w:val="26"/>
          <w:szCs w:val="26"/>
        </w:rPr>
        <w:t xml:space="preserve">are responsible for </w:t>
      </w:r>
      <w:r w:rsidRPr="00590C15">
        <w:rPr>
          <w:rFonts w:ascii="Times New Roman" w:eastAsia="Times New Roman" w:hAnsi="Times New Roman" w:cs="Times New Roman"/>
          <w:sz w:val="26"/>
          <w:szCs w:val="26"/>
        </w:rPr>
        <w:t>pay</w:t>
      </w:r>
      <w:r w:rsidR="00787FF3">
        <w:rPr>
          <w:rFonts w:ascii="Times New Roman" w:eastAsia="Times New Roman" w:hAnsi="Times New Roman" w:cs="Times New Roman"/>
          <w:sz w:val="26"/>
          <w:szCs w:val="26"/>
        </w:rPr>
        <w:t>ing</w:t>
      </w:r>
      <w:r w:rsidRPr="00590C15">
        <w:rPr>
          <w:rFonts w:ascii="Times New Roman" w:eastAsia="Times New Roman" w:hAnsi="Times New Roman" w:cs="Times New Roman"/>
          <w:sz w:val="26"/>
          <w:szCs w:val="26"/>
        </w:rPr>
        <w:t xml:space="preserve"> for their primary </w:t>
      </w:r>
      <w:r w:rsidR="0022117D">
        <w:rPr>
          <w:rFonts w:ascii="Times New Roman" w:eastAsia="Times New Roman" w:hAnsi="Times New Roman" w:cs="Times New Roman"/>
          <w:sz w:val="26"/>
          <w:szCs w:val="26"/>
        </w:rPr>
        <w:t xml:space="preserve">home </w:t>
      </w:r>
      <w:r w:rsidRPr="00590C15">
        <w:rPr>
          <w:rFonts w:ascii="Times New Roman" w:eastAsia="Times New Roman" w:hAnsi="Times New Roman" w:cs="Times New Roman"/>
          <w:sz w:val="26"/>
          <w:szCs w:val="26"/>
        </w:rPr>
        <w:t xml:space="preserve">heating costs directly to </w:t>
      </w:r>
      <w:r w:rsidR="0022117D">
        <w:rPr>
          <w:rFonts w:ascii="Times New Roman" w:eastAsia="Times New Roman" w:hAnsi="Times New Roman" w:cs="Times New Roman"/>
          <w:sz w:val="26"/>
          <w:szCs w:val="26"/>
        </w:rPr>
        <w:t>the energy</w:t>
      </w:r>
      <w:r w:rsidRPr="00590C15">
        <w:rPr>
          <w:rFonts w:ascii="Times New Roman" w:eastAsia="Times New Roman" w:hAnsi="Times New Roman" w:cs="Times New Roman"/>
          <w:sz w:val="26"/>
          <w:szCs w:val="26"/>
        </w:rPr>
        <w:t xml:space="preserve"> vendor or indirectly through rent.  </w:t>
      </w:r>
      <w:r w:rsidR="00702042">
        <w:rPr>
          <w:rFonts w:ascii="Times New Roman" w:eastAsia="Times New Roman" w:hAnsi="Times New Roman" w:cs="Times New Roman"/>
          <w:sz w:val="26"/>
          <w:szCs w:val="26"/>
        </w:rPr>
        <w:t>55 Pa. Code</w:t>
      </w:r>
      <w:r w:rsidR="001D2F73">
        <w:rPr>
          <w:rFonts w:ascii="Times New Roman" w:eastAsia="Times New Roman" w:hAnsi="Times New Roman" w:cs="Times New Roman"/>
          <w:sz w:val="26"/>
          <w:szCs w:val="26"/>
        </w:rPr>
        <w:t> </w:t>
      </w:r>
      <w:r w:rsidR="00702042">
        <w:rPr>
          <w:rFonts w:ascii="Times New Roman" w:eastAsia="Times New Roman" w:hAnsi="Times New Roman" w:cs="Times New Roman"/>
          <w:sz w:val="26"/>
          <w:szCs w:val="26"/>
        </w:rPr>
        <w:t>§</w:t>
      </w:r>
      <w:r w:rsidRPr="00590C15">
        <w:rPr>
          <w:rFonts w:ascii="Times New Roman" w:eastAsia="Times New Roman" w:hAnsi="Times New Roman" w:cs="Times New Roman"/>
          <w:sz w:val="26"/>
          <w:szCs w:val="26"/>
        </w:rPr>
        <w:t> 601.31(1-2) (1988).</w:t>
      </w:r>
      <w:r w:rsidR="00436F26" w:rsidRPr="00590C15">
        <w:rPr>
          <w:rFonts w:ascii="Times New Roman" w:hAnsi="Times New Roman" w:cs="Times New Roman"/>
          <w:sz w:val="26"/>
          <w:szCs w:val="26"/>
          <w:vertAlign w:val="superscript"/>
        </w:rPr>
        <w:footnoteReference w:id="8"/>
      </w:r>
      <w:r w:rsidRPr="00590C15">
        <w:rPr>
          <w:rFonts w:ascii="Times New Roman" w:eastAsia="Times New Roman" w:hAnsi="Times New Roman" w:cs="Times New Roman"/>
          <w:sz w:val="26"/>
          <w:szCs w:val="26"/>
        </w:rPr>
        <w:t xml:space="preserve">  The amount of </w:t>
      </w:r>
      <w:r w:rsidR="00DA3166">
        <w:rPr>
          <w:rFonts w:ascii="Times New Roman" w:eastAsia="Times New Roman" w:hAnsi="Times New Roman" w:cs="Times New Roman"/>
          <w:sz w:val="26"/>
          <w:szCs w:val="26"/>
        </w:rPr>
        <w:t>a</w:t>
      </w:r>
      <w:r w:rsidRPr="00590C15">
        <w:rPr>
          <w:rFonts w:ascii="Times New Roman" w:eastAsia="Times New Roman" w:hAnsi="Times New Roman" w:cs="Times New Roman"/>
          <w:sz w:val="26"/>
          <w:szCs w:val="26"/>
        </w:rPr>
        <w:t xml:space="preserve"> LIHEAP Cash grant is based on </w:t>
      </w:r>
      <w:r w:rsidR="007D5C61">
        <w:rPr>
          <w:rFonts w:ascii="Times New Roman" w:eastAsia="Times New Roman" w:hAnsi="Times New Roman" w:cs="Times New Roman"/>
          <w:sz w:val="26"/>
          <w:szCs w:val="26"/>
        </w:rPr>
        <w:t xml:space="preserve">a </w:t>
      </w:r>
      <w:r w:rsidRPr="00590C15">
        <w:rPr>
          <w:rFonts w:ascii="Times New Roman" w:eastAsia="Times New Roman" w:hAnsi="Times New Roman" w:cs="Times New Roman"/>
          <w:sz w:val="26"/>
          <w:szCs w:val="26"/>
        </w:rPr>
        <w:t>household’s gross income, number of occupants, county of residence, and source of heat (</w:t>
      </w:r>
      <w:r w:rsidRPr="00590C15">
        <w:rPr>
          <w:rFonts w:ascii="Times New Roman" w:eastAsia="Times New Roman" w:hAnsi="Times New Roman" w:cs="Times New Roman"/>
          <w:i/>
          <w:sz w:val="26"/>
          <w:szCs w:val="26"/>
        </w:rPr>
        <w:t>i.e.</w:t>
      </w:r>
      <w:r w:rsidRPr="00590C15">
        <w:rPr>
          <w:rFonts w:ascii="Times New Roman" w:eastAsia="Times New Roman" w:hAnsi="Times New Roman" w:cs="Times New Roman"/>
          <w:sz w:val="26"/>
          <w:szCs w:val="26"/>
        </w:rPr>
        <w:t xml:space="preserve">, electric, gas, oil, etc.).  </w:t>
      </w:r>
      <w:r w:rsidR="00813A18">
        <w:rPr>
          <w:rFonts w:ascii="Times New Roman" w:eastAsia="Times New Roman" w:hAnsi="Times New Roman" w:cs="Times New Roman"/>
          <w:sz w:val="26"/>
          <w:szCs w:val="26"/>
        </w:rPr>
        <w:t>55 Pa. Code § </w:t>
      </w:r>
      <w:r w:rsidRPr="00590C15">
        <w:rPr>
          <w:rFonts w:ascii="Times New Roman" w:eastAsia="Times New Roman" w:hAnsi="Times New Roman" w:cs="Times New Roman"/>
          <w:sz w:val="26"/>
          <w:szCs w:val="26"/>
        </w:rPr>
        <w:t>601.41 (1988).</w:t>
      </w:r>
      <w:r>
        <w:rPr>
          <w:rFonts w:ascii="Times New Roman" w:eastAsia="Times New Roman" w:hAnsi="Times New Roman" w:cs="Times New Roman"/>
          <w:sz w:val="26"/>
          <w:szCs w:val="26"/>
        </w:rPr>
        <w:t xml:space="preserve">  </w:t>
      </w:r>
      <w:r w:rsidR="00DA3166">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LIHEAP Crisis grant </w:t>
      </w:r>
      <w:r w:rsidR="00B32AAC">
        <w:rPr>
          <w:rFonts w:ascii="Times New Roman" w:hAnsi="Times New Roman" w:cs="Times New Roman"/>
          <w:sz w:val="26"/>
          <w:szCs w:val="26"/>
        </w:rPr>
        <w:t xml:space="preserve">additionally requires that the </w:t>
      </w:r>
      <w:r>
        <w:rPr>
          <w:rFonts w:ascii="Times New Roman" w:hAnsi="Times New Roman" w:cs="Times New Roman"/>
          <w:sz w:val="26"/>
          <w:szCs w:val="26"/>
        </w:rPr>
        <w:t xml:space="preserve">eligible household </w:t>
      </w:r>
      <w:r w:rsidR="00B32AAC">
        <w:rPr>
          <w:rFonts w:ascii="Times New Roman" w:hAnsi="Times New Roman" w:cs="Times New Roman"/>
          <w:sz w:val="26"/>
          <w:szCs w:val="26"/>
        </w:rPr>
        <w:t xml:space="preserve">be </w:t>
      </w:r>
      <w:r>
        <w:rPr>
          <w:rFonts w:ascii="Times New Roman" w:hAnsi="Times New Roman" w:cs="Times New Roman"/>
          <w:sz w:val="26"/>
          <w:szCs w:val="26"/>
        </w:rPr>
        <w:t>experiencing a home-heating emergency (</w:t>
      </w:r>
      <w:r w:rsidRPr="008C015D">
        <w:rPr>
          <w:rFonts w:ascii="Times New Roman" w:hAnsi="Times New Roman" w:cs="Times New Roman"/>
          <w:i/>
          <w:sz w:val="26"/>
          <w:szCs w:val="26"/>
        </w:rPr>
        <w:t>i.e.</w:t>
      </w:r>
      <w:r>
        <w:rPr>
          <w:rFonts w:ascii="Times New Roman" w:hAnsi="Times New Roman" w:cs="Times New Roman"/>
          <w:sz w:val="26"/>
          <w:szCs w:val="26"/>
        </w:rPr>
        <w:t xml:space="preserve">, currently without heat or in imminent danger of being without heat).  </w:t>
      </w:r>
      <w:r w:rsidR="003364EF">
        <w:rPr>
          <w:rFonts w:ascii="Times New Roman" w:eastAsia="Times New Roman" w:hAnsi="Times New Roman" w:cs="Times New Roman"/>
          <w:sz w:val="26"/>
          <w:szCs w:val="26"/>
        </w:rPr>
        <w:t>55 Pa. Code §</w:t>
      </w:r>
      <w:r w:rsidR="003364EF">
        <w:rPr>
          <w:rFonts w:ascii="Times New Roman" w:hAnsi="Times New Roman" w:cs="Times New Roman"/>
          <w:sz w:val="26"/>
          <w:szCs w:val="26"/>
        </w:rPr>
        <w:t> </w:t>
      </w:r>
      <w:r w:rsidRPr="00A26540">
        <w:rPr>
          <w:rFonts w:ascii="Times New Roman" w:hAnsi="Times New Roman" w:cs="Times New Roman"/>
          <w:sz w:val="26"/>
          <w:szCs w:val="26"/>
        </w:rPr>
        <w:t>601.32</w:t>
      </w:r>
      <w:r>
        <w:rPr>
          <w:rFonts w:ascii="Times New Roman" w:hAnsi="Times New Roman" w:cs="Times New Roman"/>
          <w:sz w:val="26"/>
          <w:szCs w:val="26"/>
        </w:rPr>
        <w:t>(1</w:t>
      </w:r>
      <w:r w:rsidR="00C93D20">
        <w:rPr>
          <w:rFonts w:ascii="Times New Roman" w:hAnsi="Times New Roman" w:cs="Times New Roman"/>
          <w:sz w:val="26"/>
          <w:szCs w:val="26"/>
        </w:rPr>
        <w:noBreakHyphen/>
      </w:r>
      <w:r>
        <w:rPr>
          <w:rFonts w:ascii="Times New Roman" w:hAnsi="Times New Roman" w:cs="Times New Roman"/>
          <w:sz w:val="26"/>
          <w:szCs w:val="26"/>
        </w:rPr>
        <w:t xml:space="preserve">2) (1988).  </w:t>
      </w:r>
    </w:p>
    <w:p w14:paraId="33764223" w14:textId="0D52CB8C" w:rsidR="00865673" w:rsidRDefault="00865673" w:rsidP="00E93186">
      <w:pPr>
        <w:pStyle w:val="NoSpacing"/>
        <w:spacing w:line="360" w:lineRule="auto"/>
        <w:contextualSpacing/>
        <w:rPr>
          <w:rFonts w:ascii="Times New Roman" w:hAnsi="Times New Roman" w:cs="Times New Roman"/>
          <w:sz w:val="26"/>
          <w:szCs w:val="26"/>
        </w:rPr>
      </w:pPr>
    </w:p>
    <w:p w14:paraId="6017973F" w14:textId="6802C585" w:rsidR="00DD4F1C" w:rsidRPr="00F727D6" w:rsidRDefault="00DD4F1C" w:rsidP="00E93186">
      <w:pPr>
        <w:pStyle w:val="NoSpacing"/>
        <w:spacing w:line="360" w:lineRule="auto"/>
        <w:contextualSpacing/>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 xml:space="preserve">Other Energy Assistance Programs Not </w:t>
      </w:r>
      <w:r w:rsidR="00C212A6">
        <w:rPr>
          <w:rFonts w:ascii="Times New Roman" w:hAnsi="Times New Roman" w:cs="Times New Roman"/>
          <w:b/>
          <w:sz w:val="26"/>
          <w:szCs w:val="26"/>
        </w:rPr>
        <w:t>Covered by the Report</w:t>
      </w:r>
    </w:p>
    <w:p w14:paraId="086535E0" w14:textId="1B0C49BD" w:rsidR="00C212A6" w:rsidRDefault="00C212A6" w:rsidP="00E93186">
      <w:pPr>
        <w:pStyle w:val="NoSpacing"/>
        <w:spacing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70608D">
        <w:rPr>
          <w:rFonts w:ascii="Times New Roman" w:hAnsi="Times New Roman" w:cs="Times New Roman"/>
          <w:sz w:val="26"/>
          <w:szCs w:val="26"/>
        </w:rPr>
        <w:t xml:space="preserve">NGDCs and EDCs </w:t>
      </w:r>
      <w:r w:rsidR="00B23089">
        <w:rPr>
          <w:rFonts w:ascii="Times New Roman" w:hAnsi="Times New Roman" w:cs="Times New Roman"/>
          <w:sz w:val="26"/>
          <w:szCs w:val="26"/>
        </w:rPr>
        <w:t xml:space="preserve">also provide </w:t>
      </w:r>
      <w:r w:rsidR="00214DCD">
        <w:rPr>
          <w:rFonts w:ascii="Times New Roman" w:hAnsi="Times New Roman" w:cs="Times New Roman"/>
          <w:sz w:val="26"/>
          <w:szCs w:val="26"/>
        </w:rPr>
        <w:t xml:space="preserve">other types of </w:t>
      </w:r>
      <w:r w:rsidR="0070608D">
        <w:rPr>
          <w:rFonts w:ascii="Times New Roman" w:hAnsi="Times New Roman" w:cs="Times New Roman"/>
          <w:sz w:val="26"/>
          <w:szCs w:val="26"/>
        </w:rPr>
        <w:t xml:space="preserve">low-income </w:t>
      </w:r>
      <w:r w:rsidR="003B54D1">
        <w:rPr>
          <w:rFonts w:ascii="Times New Roman" w:hAnsi="Times New Roman" w:cs="Times New Roman"/>
          <w:sz w:val="26"/>
          <w:szCs w:val="26"/>
        </w:rPr>
        <w:t>assistance, such as weatherization, referrals</w:t>
      </w:r>
      <w:r w:rsidR="00B07318">
        <w:rPr>
          <w:rFonts w:ascii="Times New Roman" w:hAnsi="Times New Roman" w:cs="Times New Roman"/>
          <w:sz w:val="26"/>
          <w:szCs w:val="26"/>
        </w:rPr>
        <w:t>, and hardship funds</w:t>
      </w:r>
      <w:r w:rsidR="006B6C66">
        <w:rPr>
          <w:rFonts w:ascii="Times New Roman" w:hAnsi="Times New Roman" w:cs="Times New Roman"/>
          <w:sz w:val="26"/>
          <w:szCs w:val="26"/>
        </w:rPr>
        <w:t xml:space="preserve"> through their USECPs</w:t>
      </w:r>
      <w:r w:rsidR="00F727D6">
        <w:rPr>
          <w:rFonts w:ascii="Times New Roman" w:hAnsi="Times New Roman" w:cs="Times New Roman"/>
          <w:sz w:val="26"/>
          <w:szCs w:val="26"/>
        </w:rPr>
        <w:t xml:space="preserve">.  This assistance </w:t>
      </w:r>
      <w:r w:rsidR="00C02972">
        <w:rPr>
          <w:rFonts w:ascii="Times New Roman" w:hAnsi="Times New Roman" w:cs="Times New Roman"/>
          <w:sz w:val="26"/>
          <w:szCs w:val="26"/>
        </w:rPr>
        <w:t xml:space="preserve">is not </w:t>
      </w:r>
      <w:r w:rsidR="006B6C66">
        <w:rPr>
          <w:rFonts w:ascii="Times New Roman" w:hAnsi="Times New Roman" w:cs="Times New Roman"/>
          <w:sz w:val="26"/>
          <w:szCs w:val="26"/>
        </w:rPr>
        <w:t xml:space="preserve">factored into the calculation of a household’s </w:t>
      </w:r>
      <w:r w:rsidR="00C02972">
        <w:rPr>
          <w:rFonts w:ascii="Times New Roman" w:hAnsi="Times New Roman" w:cs="Times New Roman"/>
          <w:sz w:val="26"/>
          <w:szCs w:val="26"/>
        </w:rPr>
        <w:t>energy burden</w:t>
      </w:r>
      <w:r w:rsidR="00B07318">
        <w:rPr>
          <w:rFonts w:ascii="Times New Roman" w:hAnsi="Times New Roman" w:cs="Times New Roman"/>
          <w:sz w:val="26"/>
          <w:szCs w:val="26"/>
        </w:rPr>
        <w:t xml:space="preserve">.  DHS and the Pennsylvania Department of Community and Economic Development </w:t>
      </w:r>
      <w:r w:rsidR="00870557">
        <w:rPr>
          <w:rFonts w:ascii="Times New Roman" w:hAnsi="Times New Roman" w:cs="Times New Roman"/>
          <w:sz w:val="26"/>
          <w:szCs w:val="26"/>
        </w:rPr>
        <w:t xml:space="preserve">(DCED) </w:t>
      </w:r>
      <w:r w:rsidR="00B07318">
        <w:rPr>
          <w:rFonts w:ascii="Times New Roman" w:hAnsi="Times New Roman" w:cs="Times New Roman"/>
          <w:sz w:val="26"/>
          <w:szCs w:val="26"/>
        </w:rPr>
        <w:t xml:space="preserve">also provide </w:t>
      </w:r>
      <w:r w:rsidR="00C02972">
        <w:rPr>
          <w:rFonts w:ascii="Times New Roman" w:hAnsi="Times New Roman" w:cs="Times New Roman"/>
          <w:sz w:val="26"/>
          <w:szCs w:val="26"/>
        </w:rPr>
        <w:t>weatherization services using LIHEAP funds.</w:t>
      </w:r>
      <w:r w:rsidR="0044432A">
        <w:rPr>
          <w:rFonts w:ascii="Times New Roman" w:hAnsi="Times New Roman" w:cs="Times New Roman"/>
          <w:sz w:val="26"/>
          <w:szCs w:val="26"/>
        </w:rPr>
        <w:t xml:space="preserve">  </w:t>
      </w:r>
    </w:p>
    <w:p w14:paraId="31C8E398" w14:textId="77777777" w:rsidR="00C212A6" w:rsidRPr="001B05BA" w:rsidRDefault="00C212A6" w:rsidP="00E93186">
      <w:pPr>
        <w:pStyle w:val="NoSpacing"/>
        <w:spacing w:line="360" w:lineRule="auto"/>
        <w:contextualSpacing/>
        <w:rPr>
          <w:rFonts w:ascii="Times New Roman" w:hAnsi="Times New Roman" w:cs="Times New Roman"/>
          <w:sz w:val="26"/>
          <w:szCs w:val="26"/>
        </w:rPr>
      </w:pPr>
    </w:p>
    <w:p w14:paraId="5C0DF7E0" w14:textId="37217C2C" w:rsidR="000F3171" w:rsidRPr="00B039CD" w:rsidRDefault="00B039CD" w:rsidP="00E93186">
      <w:pPr>
        <w:keepNext/>
        <w:spacing w:after="0" w:line="360" w:lineRule="auto"/>
        <w:contextualSpacing/>
        <w:rPr>
          <w:rFonts w:ascii="Times New Roman" w:eastAsia="Times New Roman" w:hAnsi="Times New Roman" w:cs="Times New Roman"/>
          <w:b/>
          <w:sz w:val="26"/>
          <w:szCs w:val="26"/>
        </w:rPr>
      </w:pPr>
      <w:r w:rsidRPr="00F31A9B">
        <w:rPr>
          <w:rFonts w:ascii="Times New Roman" w:hAnsi="Times New Roman" w:cs="Times New Roman"/>
          <w:b/>
          <w:caps/>
          <w:sz w:val="26"/>
          <w:szCs w:val="26"/>
        </w:rPr>
        <w:lastRenderedPageBreak/>
        <w:t xml:space="preserve">The Study </w:t>
      </w:r>
    </w:p>
    <w:p w14:paraId="3A971431" w14:textId="1FCC7C94" w:rsidR="003C27F8" w:rsidRDefault="00B06F2E" w:rsidP="003C27F8">
      <w:pPr>
        <w:pStyle w:val="ListParagraph"/>
        <w:spacing w:line="360" w:lineRule="auto"/>
        <w:ind w:left="0" w:firstLine="720"/>
        <w:rPr>
          <w:sz w:val="26"/>
          <w:szCs w:val="26"/>
        </w:rPr>
      </w:pPr>
      <w:r w:rsidRPr="00A61D47">
        <w:rPr>
          <w:sz w:val="26"/>
          <w:szCs w:val="26"/>
        </w:rPr>
        <w:t xml:space="preserve">The </w:t>
      </w:r>
      <w:r w:rsidR="005A2533" w:rsidRPr="00A61D47">
        <w:rPr>
          <w:sz w:val="26"/>
          <w:szCs w:val="26"/>
        </w:rPr>
        <w:t xml:space="preserve">purpose of the </w:t>
      </w:r>
      <w:r w:rsidR="00630444">
        <w:rPr>
          <w:sz w:val="26"/>
          <w:szCs w:val="26"/>
        </w:rPr>
        <w:t>energy burden and afford</w:t>
      </w:r>
      <w:r w:rsidR="00CF0917">
        <w:rPr>
          <w:sz w:val="26"/>
          <w:szCs w:val="26"/>
        </w:rPr>
        <w:t xml:space="preserve">ability </w:t>
      </w:r>
      <w:r w:rsidR="005A2533" w:rsidRPr="00A61D47">
        <w:rPr>
          <w:sz w:val="26"/>
          <w:szCs w:val="26"/>
        </w:rPr>
        <w:t xml:space="preserve">study </w:t>
      </w:r>
      <w:r w:rsidR="0006355F">
        <w:rPr>
          <w:sz w:val="26"/>
          <w:szCs w:val="26"/>
        </w:rPr>
        <w:t xml:space="preserve">at this docket was </w:t>
      </w:r>
      <w:r w:rsidR="005A2533" w:rsidRPr="00A61D47">
        <w:rPr>
          <w:sz w:val="26"/>
          <w:szCs w:val="26"/>
        </w:rPr>
        <w:t xml:space="preserve">to </w:t>
      </w:r>
      <w:r w:rsidR="00A61D47">
        <w:rPr>
          <w:sz w:val="26"/>
          <w:szCs w:val="26"/>
        </w:rPr>
        <w:t>“</w:t>
      </w:r>
      <w:r w:rsidR="00A61D47" w:rsidRPr="005173EF">
        <w:rPr>
          <w:sz w:val="26"/>
          <w:szCs w:val="26"/>
        </w:rPr>
        <w:t>determine what constitutes an affordable energy burden for Pennsylvania’s low-income households and, based on this analysis, whether any changes in the Commission’s CAP Policy Statement or other Universal Service and Energy Conservation Program guidelines are necessary to bring these programs into alignment with any affordability recommendations.</w:t>
      </w:r>
      <w:r w:rsidR="006B24F0">
        <w:rPr>
          <w:sz w:val="26"/>
          <w:szCs w:val="26"/>
        </w:rPr>
        <w:t>”</w:t>
      </w:r>
      <w:r w:rsidR="00A61D47" w:rsidRPr="005173EF">
        <w:rPr>
          <w:sz w:val="26"/>
          <w:szCs w:val="26"/>
        </w:rPr>
        <w:t xml:space="preserve">  </w:t>
      </w:r>
      <w:r w:rsidR="003C27F8">
        <w:rPr>
          <w:sz w:val="26"/>
          <w:szCs w:val="26"/>
        </w:rPr>
        <w:t>Given recent findings that indicate h</w:t>
      </w:r>
      <w:r w:rsidR="003C27F8">
        <w:rPr>
          <w:color w:val="000000"/>
          <w:sz w:val="26"/>
        </w:rPr>
        <w:t>ouseholds</w:t>
      </w:r>
      <w:r w:rsidR="003C27F8" w:rsidRPr="002C476D">
        <w:rPr>
          <w:color w:val="000000"/>
          <w:sz w:val="26"/>
        </w:rPr>
        <w:t xml:space="preserve"> </w:t>
      </w:r>
      <w:r w:rsidR="003C27F8">
        <w:rPr>
          <w:color w:val="000000"/>
          <w:sz w:val="26"/>
        </w:rPr>
        <w:t xml:space="preserve">in Pennsylvania that fall </w:t>
      </w:r>
      <w:r w:rsidR="003C27F8" w:rsidRPr="002C476D">
        <w:rPr>
          <w:color w:val="000000"/>
          <w:sz w:val="26"/>
        </w:rPr>
        <w:t>below 50% of the F</w:t>
      </w:r>
      <w:r w:rsidR="003C27F8">
        <w:rPr>
          <w:color w:val="000000"/>
          <w:sz w:val="26"/>
        </w:rPr>
        <w:t>PIG</w:t>
      </w:r>
      <w:r w:rsidR="003C27F8" w:rsidRPr="002C476D">
        <w:rPr>
          <w:color w:val="000000"/>
          <w:sz w:val="26"/>
        </w:rPr>
        <w:t xml:space="preserve"> </w:t>
      </w:r>
      <w:r w:rsidR="003C27F8">
        <w:rPr>
          <w:color w:val="000000"/>
          <w:sz w:val="26"/>
        </w:rPr>
        <w:t xml:space="preserve">are billed </w:t>
      </w:r>
      <w:r w:rsidR="003C27F8" w:rsidRPr="002C476D">
        <w:rPr>
          <w:color w:val="000000"/>
          <w:sz w:val="26"/>
        </w:rPr>
        <w:t xml:space="preserve">an average </w:t>
      </w:r>
      <w:r w:rsidR="003C27F8">
        <w:rPr>
          <w:color w:val="000000"/>
          <w:sz w:val="26"/>
        </w:rPr>
        <w:t xml:space="preserve">of </w:t>
      </w:r>
      <w:r w:rsidR="003C27F8" w:rsidRPr="002C476D">
        <w:rPr>
          <w:color w:val="000000"/>
          <w:sz w:val="26"/>
        </w:rPr>
        <w:t xml:space="preserve">30% of their income </w:t>
      </w:r>
      <w:r w:rsidR="003C27F8">
        <w:rPr>
          <w:color w:val="000000"/>
          <w:sz w:val="26"/>
        </w:rPr>
        <w:t>for</w:t>
      </w:r>
      <w:r w:rsidR="003C27F8" w:rsidRPr="002C476D">
        <w:rPr>
          <w:color w:val="000000"/>
          <w:sz w:val="26"/>
        </w:rPr>
        <w:t xml:space="preserve"> home energy costs</w:t>
      </w:r>
      <w:r w:rsidR="003C27F8">
        <w:rPr>
          <w:color w:val="000000"/>
          <w:sz w:val="26"/>
        </w:rPr>
        <w:t>,</w:t>
      </w:r>
      <w:r w:rsidR="003C27F8">
        <w:rPr>
          <w:rStyle w:val="FootnoteReference"/>
          <w:color w:val="000000"/>
          <w:sz w:val="26"/>
        </w:rPr>
        <w:footnoteReference w:id="9"/>
      </w:r>
      <w:r w:rsidR="003C27F8">
        <w:rPr>
          <w:color w:val="000000"/>
          <w:sz w:val="26"/>
        </w:rPr>
        <w:t xml:space="preserve"> </w:t>
      </w:r>
      <w:r w:rsidR="009D4233">
        <w:rPr>
          <w:color w:val="000000"/>
          <w:sz w:val="26"/>
        </w:rPr>
        <w:t xml:space="preserve">the </w:t>
      </w:r>
      <w:r w:rsidR="003C27F8">
        <w:rPr>
          <w:color w:val="000000"/>
          <w:sz w:val="26"/>
        </w:rPr>
        <w:t xml:space="preserve">call to study </w:t>
      </w:r>
      <w:r w:rsidR="003C27F8">
        <w:rPr>
          <w:sz w:val="26"/>
          <w:szCs w:val="26"/>
        </w:rPr>
        <w:t>the affordability of jurisdictional residential electric and natural gas services for low-income Pennsylvanians</w:t>
      </w:r>
      <w:r w:rsidR="003C27F8" w:rsidRPr="002C476D">
        <w:rPr>
          <w:color w:val="000000"/>
          <w:sz w:val="26"/>
        </w:rPr>
        <w:t xml:space="preserve"> </w:t>
      </w:r>
      <w:r w:rsidR="003C27F8">
        <w:rPr>
          <w:color w:val="000000"/>
          <w:sz w:val="26"/>
        </w:rPr>
        <w:t xml:space="preserve">and the costs of resources to assist these </w:t>
      </w:r>
      <w:r w:rsidR="00FB1033">
        <w:rPr>
          <w:color w:val="000000"/>
          <w:sz w:val="26"/>
        </w:rPr>
        <w:t>customers</w:t>
      </w:r>
      <w:r w:rsidR="003C27F8">
        <w:rPr>
          <w:color w:val="000000"/>
          <w:sz w:val="26"/>
        </w:rPr>
        <w:t xml:space="preserve"> was </w:t>
      </w:r>
      <w:r w:rsidR="00FB1033">
        <w:rPr>
          <w:color w:val="000000"/>
          <w:sz w:val="26"/>
        </w:rPr>
        <w:t xml:space="preserve">and remains </w:t>
      </w:r>
      <w:r w:rsidR="003C27F8">
        <w:rPr>
          <w:color w:val="000000"/>
          <w:sz w:val="26"/>
        </w:rPr>
        <w:t xml:space="preserve">clearly warranted.  </w:t>
      </w:r>
    </w:p>
    <w:p w14:paraId="50EE7F28" w14:textId="77777777" w:rsidR="003C27F8" w:rsidRPr="005A2533" w:rsidRDefault="003C27F8" w:rsidP="003C27F8">
      <w:pPr>
        <w:pStyle w:val="NoSpacing"/>
        <w:spacing w:line="360" w:lineRule="auto"/>
        <w:contextualSpacing/>
        <w:rPr>
          <w:rFonts w:ascii="Times New Roman" w:hAnsi="Times New Roman" w:cs="Times New Roman"/>
          <w:sz w:val="26"/>
          <w:szCs w:val="26"/>
        </w:rPr>
      </w:pPr>
    </w:p>
    <w:p w14:paraId="43056586" w14:textId="1BA80281" w:rsidR="00A433F3" w:rsidRDefault="00327E27" w:rsidP="00E93186">
      <w:pPr>
        <w:tabs>
          <w:tab w:val="left" w:pos="720"/>
          <w:tab w:val="left" w:pos="99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66C05">
        <w:rPr>
          <w:rFonts w:ascii="Times New Roman" w:eastAsia="Times New Roman" w:hAnsi="Times New Roman" w:cs="Times New Roman"/>
          <w:sz w:val="26"/>
          <w:szCs w:val="26"/>
        </w:rPr>
        <w:t>Our</w:t>
      </w:r>
      <w:r w:rsidR="008A6552">
        <w:rPr>
          <w:rFonts w:ascii="Times New Roman" w:eastAsia="Times New Roman" w:hAnsi="Times New Roman" w:cs="Times New Roman"/>
          <w:sz w:val="26"/>
          <w:szCs w:val="26"/>
        </w:rPr>
        <w:t xml:space="preserve"> October 16, </w:t>
      </w:r>
      <w:r w:rsidR="008A6552" w:rsidDel="00453F9A">
        <w:rPr>
          <w:rFonts w:ascii="Times New Roman" w:eastAsia="Times New Roman" w:hAnsi="Times New Roman" w:cs="Times New Roman"/>
          <w:sz w:val="26"/>
          <w:szCs w:val="26"/>
        </w:rPr>
        <w:t>2017</w:t>
      </w:r>
      <w:r>
        <w:rPr>
          <w:rFonts w:ascii="Times New Roman" w:eastAsia="Times New Roman" w:hAnsi="Times New Roman" w:cs="Times New Roman"/>
          <w:sz w:val="26"/>
          <w:szCs w:val="26"/>
        </w:rPr>
        <w:t xml:space="preserve"> Secretarial Letter</w:t>
      </w:r>
      <w:r w:rsidDel="00453F9A">
        <w:rPr>
          <w:rFonts w:ascii="Times New Roman" w:eastAsia="Times New Roman" w:hAnsi="Times New Roman" w:cs="Times New Roman"/>
          <w:sz w:val="26"/>
          <w:szCs w:val="26"/>
        </w:rPr>
        <w:t xml:space="preserve"> </w:t>
      </w:r>
      <w:r w:rsidR="00E705E6">
        <w:rPr>
          <w:rFonts w:ascii="Times New Roman" w:eastAsia="Times New Roman" w:hAnsi="Times New Roman" w:cs="Times New Roman"/>
          <w:sz w:val="26"/>
          <w:szCs w:val="26"/>
        </w:rPr>
        <w:t>r</w:t>
      </w:r>
      <w:r w:rsidRPr="00327E27">
        <w:rPr>
          <w:rFonts w:ascii="Times New Roman" w:eastAsia="Times New Roman" w:hAnsi="Times New Roman" w:cs="Times New Roman"/>
          <w:sz w:val="26"/>
          <w:szCs w:val="26"/>
        </w:rPr>
        <w:t>equest</w:t>
      </w:r>
      <w:r w:rsidR="008A6552">
        <w:rPr>
          <w:rFonts w:ascii="Times New Roman" w:eastAsia="Times New Roman" w:hAnsi="Times New Roman" w:cs="Times New Roman"/>
          <w:sz w:val="26"/>
          <w:szCs w:val="26"/>
        </w:rPr>
        <w:t>ed</w:t>
      </w:r>
      <w:r w:rsidRPr="00327E27">
        <w:rPr>
          <w:rFonts w:ascii="Times New Roman" w:eastAsia="Times New Roman" w:hAnsi="Times New Roman" w:cs="Times New Roman"/>
          <w:sz w:val="26"/>
          <w:szCs w:val="26"/>
        </w:rPr>
        <w:t xml:space="preserve"> </w:t>
      </w:r>
      <w:r w:rsidR="00E705E6">
        <w:rPr>
          <w:rFonts w:ascii="Times New Roman" w:eastAsia="Times New Roman" w:hAnsi="Times New Roman" w:cs="Times New Roman"/>
          <w:sz w:val="26"/>
          <w:szCs w:val="26"/>
        </w:rPr>
        <w:t>specific</w:t>
      </w:r>
      <w:r w:rsidRPr="00327E27">
        <w:rPr>
          <w:rFonts w:ascii="Times New Roman" w:eastAsia="Times New Roman" w:hAnsi="Times New Roman" w:cs="Times New Roman"/>
          <w:sz w:val="26"/>
          <w:szCs w:val="26"/>
        </w:rPr>
        <w:t xml:space="preserve"> </w:t>
      </w:r>
      <w:r w:rsidR="00761371">
        <w:rPr>
          <w:rFonts w:ascii="Times New Roman" w:eastAsia="Times New Roman" w:hAnsi="Times New Roman" w:cs="Times New Roman"/>
          <w:sz w:val="26"/>
          <w:szCs w:val="26"/>
        </w:rPr>
        <w:t xml:space="preserve">data and </w:t>
      </w:r>
      <w:r w:rsidRPr="00327E27">
        <w:rPr>
          <w:rFonts w:ascii="Times New Roman" w:eastAsia="Times New Roman" w:hAnsi="Times New Roman" w:cs="Times New Roman"/>
          <w:sz w:val="26"/>
          <w:szCs w:val="26"/>
        </w:rPr>
        <w:t xml:space="preserve">information from the eight major NGDCs </w:t>
      </w:r>
      <w:r w:rsidR="00D472E6">
        <w:rPr>
          <w:rFonts w:ascii="Times New Roman" w:eastAsia="Times New Roman" w:hAnsi="Times New Roman" w:cs="Times New Roman"/>
          <w:sz w:val="26"/>
          <w:szCs w:val="26"/>
        </w:rPr>
        <w:t xml:space="preserve">and </w:t>
      </w:r>
      <w:r w:rsidR="00D472E6" w:rsidRPr="00327E27">
        <w:rPr>
          <w:rFonts w:ascii="Times New Roman" w:eastAsia="Times New Roman" w:hAnsi="Times New Roman" w:cs="Times New Roman"/>
          <w:sz w:val="26"/>
          <w:szCs w:val="26"/>
        </w:rPr>
        <w:t xml:space="preserve">seven major EDCs </w:t>
      </w:r>
      <w:r w:rsidRPr="00327E27">
        <w:rPr>
          <w:rFonts w:ascii="Times New Roman" w:eastAsia="Times New Roman" w:hAnsi="Times New Roman" w:cs="Times New Roman"/>
          <w:sz w:val="26"/>
          <w:szCs w:val="26"/>
        </w:rPr>
        <w:t>for the years 2012</w:t>
      </w:r>
      <w:r w:rsidR="006A1D32">
        <w:rPr>
          <w:rFonts w:ascii="Times New Roman" w:eastAsia="Times New Roman" w:hAnsi="Times New Roman" w:cs="Times New Roman"/>
          <w:sz w:val="26"/>
          <w:szCs w:val="26"/>
        </w:rPr>
        <w:t xml:space="preserve"> through </w:t>
      </w:r>
      <w:r w:rsidRPr="00327E27">
        <w:rPr>
          <w:rFonts w:ascii="Times New Roman" w:eastAsia="Times New Roman" w:hAnsi="Times New Roman" w:cs="Times New Roman"/>
          <w:sz w:val="26"/>
          <w:szCs w:val="26"/>
        </w:rPr>
        <w:t>2016</w:t>
      </w:r>
      <w:r w:rsidR="00E705E6">
        <w:rPr>
          <w:rFonts w:ascii="Times New Roman" w:eastAsia="Times New Roman" w:hAnsi="Times New Roman" w:cs="Times New Roman"/>
          <w:sz w:val="26"/>
          <w:szCs w:val="26"/>
        </w:rPr>
        <w:t xml:space="preserve"> regarding</w:t>
      </w:r>
      <w:r w:rsidR="009536E4">
        <w:rPr>
          <w:rFonts w:ascii="Times New Roman" w:eastAsia="Times New Roman" w:hAnsi="Times New Roman" w:cs="Times New Roman"/>
          <w:sz w:val="26"/>
          <w:szCs w:val="26"/>
        </w:rPr>
        <w:t xml:space="preserve">, </w:t>
      </w:r>
      <w:r w:rsidR="009536E4" w:rsidRPr="009536E4">
        <w:rPr>
          <w:rFonts w:ascii="Times New Roman" w:eastAsia="Times New Roman" w:hAnsi="Times New Roman" w:cs="Times New Roman"/>
          <w:i/>
          <w:sz w:val="26"/>
          <w:szCs w:val="26"/>
        </w:rPr>
        <w:t>inter alia</w:t>
      </w:r>
      <w:r w:rsidR="009536E4">
        <w:rPr>
          <w:rFonts w:ascii="Times New Roman" w:eastAsia="Times New Roman" w:hAnsi="Times New Roman" w:cs="Times New Roman"/>
          <w:sz w:val="26"/>
          <w:szCs w:val="26"/>
        </w:rPr>
        <w:t>,</w:t>
      </w:r>
      <w:r w:rsidR="00E705E6">
        <w:rPr>
          <w:rFonts w:ascii="Times New Roman" w:eastAsia="Times New Roman" w:hAnsi="Times New Roman" w:cs="Times New Roman"/>
          <w:sz w:val="26"/>
          <w:szCs w:val="26"/>
        </w:rPr>
        <w:t xml:space="preserve"> </w:t>
      </w:r>
      <w:r w:rsidR="006A1D32">
        <w:rPr>
          <w:rFonts w:ascii="Times New Roman" w:eastAsia="Times New Roman" w:hAnsi="Times New Roman" w:cs="Times New Roman"/>
          <w:sz w:val="26"/>
          <w:szCs w:val="26"/>
        </w:rPr>
        <w:t>e</w:t>
      </w:r>
      <w:r w:rsidR="00E705E6">
        <w:rPr>
          <w:rFonts w:ascii="Times New Roman" w:eastAsia="Times New Roman" w:hAnsi="Times New Roman" w:cs="Times New Roman"/>
          <w:sz w:val="26"/>
          <w:szCs w:val="26"/>
        </w:rPr>
        <w:t xml:space="preserve">nergy </w:t>
      </w:r>
      <w:r w:rsidR="006A1D32">
        <w:rPr>
          <w:rFonts w:ascii="Times New Roman" w:eastAsia="Times New Roman" w:hAnsi="Times New Roman" w:cs="Times New Roman"/>
          <w:sz w:val="26"/>
          <w:szCs w:val="26"/>
        </w:rPr>
        <w:t>b</w:t>
      </w:r>
      <w:r w:rsidR="00E705E6">
        <w:rPr>
          <w:rFonts w:ascii="Times New Roman" w:eastAsia="Times New Roman" w:hAnsi="Times New Roman" w:cs="Times New Roman"/>
          <w:sz w:val="26"/>
          <w:szCs w:val="26"/>
        </w:rPr>
        <w:t xml:space="preserve">urdens, </w:t>
      </w:r>
      <w:r w:rsidR="006A1D32">
        <w:rPr>
          <w:rFonts w:ascii="Times New Roman" w:eastAsia="Times New Roman" w:hAnsi="Times New Roman" w:cs="Times New Roman"/>
          <w:sz w:val="26"/>
          <w:szCs w:val="26"/>
        </w:rPr>
        <w:t>CAPs,</w:t>
      </w:r>
      <w:r w:rsidR="00E705E6">
        <w:rPr>
          <w:rFonts w:ascii="Times New Roman" w:eastAsia="Times New Roman" w:hAnsi="Times New Roman" w:cs="Times New Roman"/>
          <w:sz w:val="26"/>
          <w:szCs w:val="26"/>
        </w:rPr>
        <w:t xml:space="preserve"> and </w:t>
      </w:r>
      <w:r w:rsidR="006A1D32">
        <w:rPr>
          <w:rFonts w:ascii="Times New Roman" w:eastAsia="Times New Roman" w:hAnsi="Times New Roman" w:cs="Times New Roman"/>
          <w:sz w:val="26"/>
          <w:szCs w:val="26"/>
        </w:rPr>
        <w:t>r</w:t>
      </w:r>
      <w:r w:rsidR="00E705E6">
        <w:rPr>
          <w:rFonts w:ascii="Times New Roman" w:eastAsia="Times New Roman" w:hAnsi="Times New Roman" w:cs="Times New Roman"/>
          <w:sz w:val="26"/>
          <w:szCs w:val="26"/>
        </w:rPr>
        <w:t xml:space="preserve">esidential </w:t>
      </w:r>
      <w:r w:rsidR="006A1D32">
        <w:rPr>
          <w:rFonts w:ascii="Times New Roman" w:eastAsia="Times New Roman" w:hAnsi="Times New Roman" w:cs="Times New Roman"/>
          <w:sz w:val="26"/>
          <w:szCs w:val="26"/>
        </w:rPr>
        <w:t>c</w:t>
      </w:r>
      <w:r w:rsidR="00E705E6">
        <w:rPr>
          <w:rFonts w:ascii="Times New Roman" w:eastAsia="Times New Roman" w:hAnsi="Times New Roman" w:cs="Times New Roman"/>
          <w:sz w:val="26"/>
          <w:szCs w:val="26"/>
        </w:rPr>
        <w:t xml:space="preserve">ustomer </w:t>
      </w:r>
      <w:r w:rsidR="006A1D32">
        <w:rPr>
          <w:rFonts w:ascii="Times New Roman" w:eastAsia="Times New Roman" w:hAnsi="Times New Roman" w:cs="Times New Roman"/>
          <w:sz w:val="26"/>
          <w:szCs w:val="26"/>
        </w:rPr>
        <w:t>p</w:t>
      </w:r>
      <w:r w:rsidR="00E705E6">
        <w:rPr>
          <w:rFonts w:ascii="Times New Roman" w:eastAsia="Times New Roman" w:hAnsi="Times New Roman" w:cs="Times New Roman"/>
          <w:sz w:val="26"/>
          <w:szCs w:val="26"/>
        </w:rPr>
        <w:t xml:space="preserve">ayment </w:t>
      </w:r>
      <w:r w:rsidR="006A1D32">
        <w:rPr>
          <w:rFonts w:ascii="Times New Roman" w:eastAsia="Times New Roman" w:hAnsi="Times New Roman" w:cs="Times New Roman"/>
          <w:sz w:val="26"/>
          <w:szCs w:val="26"/>
        </w:rPr>
        <w:t>p</w:t>
      </w:r>
      <w:r w:rsidR="00E705E6">
        <w:rPr>
          <w:rFonts w:ascii="Times New Roman" w:eastAsia="Times New Roman" w:hAnsi="Times New Roman" w:cs="Times New Roman"/>
          <w:sz w:val="26"/>
          <w:szCs w:val="26"/>
        </w:rPr>
        <w:t>atterns</w:t>
      </w:r>
      <w:r w:rsidR="00290E3B">
        <w:rPr>
          <w:rFonts w:ascii="Times New Roman" w:eastAsia="Times New Roman" w:hAnsi="Times New Roman" w:cs="Times New Roman"/>
          <w:sz w:val="26"/>
          <w:szCs w:val="26"/>
        </w:rPr>
        <w:t>.</w:t>
      </w:r>
      <w:r w:rsidR="00CB2DD2">
        <w:rPr>
          <w:rStyle w:val="FootnoteReference"/>
          <w:sz w:val="26"/>
          <w:szCs w:val="26"/>
        </w:rPr>
        <w:footnoteReference w:id="10"/>
      </w:r>
      <w:r w:rsidRPr="00327E27">
        <w:rPr>
          <w:rFonts w:ascii="Times New Roman" w:eastAsia="Times New Roman" w:hAnsi="Times New Roman" w:cs="Times New Roman"/>
          <w:sz w:val="26"/>
          <w:szCs w:val="26"/>
        </w:rPr>
        <w:t xml:space="preserve">  </w:t>
      </w:r>
    </w:p>
    <w:p w14:paraId="4114AD9B" w14:textId="77777777" w:rsidR="00A433F3" w:rsidRDefault="00A433F3" w:rsidP="00E93186">
      <w:pPr>
        <w:tabs>
          <w:tab w:val="left" w:pos="720"/>
          <w:tab w:val="left" w:pos="990"/>
        </w:tabs>
        <w:spacing w:after="0" w:line="360" w:lineRule="auto"/>
        <w:contextualSpacing/>
        <w:rPr>
          <w:rFonts w:ascii="Times New Roman" w:eastAsia="Times New Roman" w:hAnsi="Times New Roman" w:cs="Times New Roman"/>
          <w:sz w:val="26"/>
          <w:szCs w:val="26"/>
        </w:rPr>
      </w:pPr>
    </w:p>
    <w:p w14:paraId="6169741D" w14:textId="4D8E9C11" w:rsidR="000E7595" w:rsidRDefault="00A433F3" w:rsidP="00E93186">
      <w:pPr>
        <w:tabs>
          <w:tab w:val="left" w:pos="720"/>
          <w:tab w:val="left" w:pos="99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61371">
        <w:rPr>
          <w:rFonts w:ascii="Times New Roman" w:eastAsia="Times New Roman" w:hAnsi="Times New Roman" w:cs="Times New Roman"/>
          <w:sz w:val="26"/>
          <w:szCs w:val="26"/>
        </w:rPr>
        <w:t>The data submitted by the</w:t>
      </w:r>
      <w:r w:rsidR="00ED1D36">
        <w:rPr>
          <w:rFonts w:ascii="Times New Roman" w:eastAsia="Times New Roman" w:hAnsi="Times New Roman" w:cs="Times New Roman"/>
          <w:sz w:val="26"/>
          <w:szCs w:val="26"/>
        </w:rPr>
        <w:t xml:space="preserve"> </w:t>
      </w:r>
      <w:r w:rsidR="00D472E6">
        <w:rPr>
          <w:rFonts w:ascii="Times New Roman" w:eastAsia="Times New Roman" w:hAnsi="Times New Roman" w:cs="Times New Roman"/>
          <w:sz w:val="26"/>
          <w:szCs w:val="26"/>
        </w:rPr>
        <w:t xml:space="preserve">NGDCs </w:t>
      </w:r>
      <w:r w:rsidR="00ED1D36">
        <w:rPr>
          <w:rFonts w:ascii="Times New Roman" w:eastAsia="Times New Roman" w:hAnsi="Times New Roman" w:cs="Times New Roman"/>
          <w:sz w:val="26"/>
          <w:szCs w:val="26"/>
        </w:rPr>
        <w:t xml:space="preserve">and </w:t>
      </w:r>
      <w:r w:rsidR="00D472E6">
        <w:rPr>
          <w:rFonts w:ascii="Times New Roman" w:eastAsia="Times New Roman" w:hAnsi="Times New Roman" w:cs="Times New Roman"/>
          <w:sz w:val="26"/>
          <w:szCs w:val="26"/>
        </w:rPr>
        <w:t>the EDCs</w:t>
      </w:r>
      <w:r w:rsidR="007E2776">
        <w:rPr>
          <w:rFonts w:ascii="Times New Roman" w:eastAsia="Times New Roman" w:hAnsi="Times New Roman" w:cs="Times New Roman"/>
          <w:sz w:val="26"/>
          <w:szCs w:val="26"/>
        </w:rPr>
        <w:t xml:space="preserve">, in conjunction with </w:t>
      </w:r>
      <w:r w:rsidR="00805FFF">
        <w:rPr>
          <w:rFonts w:ascii="Times New Roman" w:eastAsia="Times New Roman" w:hAnsi="Times New Roman" w:cs="Times New Roman"/>
          <w:sz w:val="26"/>
          <w:szCs w:val="26"/>
        </w:rPr>
        <w:t xml:space="preserve">U.S. census data and </w:t>
      </w:r>
      <w:r w:rsidR="005152F7">
        <w:rPr>
          <w:rFonts w:ascii="Times New Roman" w:eastAsia="Times New Roman" w:hAnsi="Times New Roman" w:cs="Times New Roman"/>
          <w:sz w:val="26"/>
          <w:szCs w:val="26"/>
        </w:rPr>
        <w:t xml:space="preserve">data </w:t>
      </w:r>
      <w:r w:rsidR="00A63091">
        <w:rPr>
          <w:rFonts w:ascii="Times New Roman" w:eastAsia="Times New Roman" w:hAnsi="Times New Roman" w:cs="Times New Roman"/>
          <w:sz w:val="26"/>
          <w:szCs w:val="26"/>
        </w:rPr>
        <w:t xml:space="preserve">provided pursuant to </w:t>
      </w:r>
      <w:r w:rsidR="005152F7">
        <w:rPr>
          <w:rFonts w:ascii="Times New Roman" w:eastAsia="Times New Roman" w:hAnsi="Times New Roman" w:cs="Times New Roman"/>
          <w:sz w:val="26"/>
          <w:szCs w:val="26"/>
        </w:rPr>
        <w:t xml:space="preserve">universal service </w:t>
      </w:r>
      <w:r w:rsidR="009A5DC3">
        <w:rPr>
          <w:rFonts w:ascii="Times New Roman" w:eastAsia="Times New Roman" w:hAnsi="Times New Roman" w:cs="Times New Roman"/>
          <w:sz w:val="26"/>
          <w:szCs w:val="26"/>
        </w:rPr>
        <w:t>and collections reporting</w:t>
      </w:r>
      <w:r w:rsidR="005152F7">
        <w:rPr>
          <w:rFonts w:ascii="Times New Roman" w:eastAsia="Times New Roman" w:hAnsi="Times New Roman" w:cs="Times New Roman"/>
          <w:sz w:val="26"/>
          <w:szCs w:val="26"/>
        </w:rPr>
        <w:t xml:space="preserve"> (USR)</w:t>
      </w:r>
      <w:r w:rsidR="004E46EA">
        <w:rPr>
          <w:rFonts w:ascii="Times New Roman" w:eastAsia="Times New Roman" w:hAnsi="Times New Roman" w:cs="Times New Roman"/>
          <w:sz w:val="26"/>
          <w:szCs w:val="26"/>
        </w:rPr>
        <w:t xml:space="preserve"> requir</w:t>
      </w:r>
      <w:r w:rsidR="00641E97">
        <w:rPr>
          <w:rFonts w:ascii="Times New Roman" w:eastAsia="Times New Roman" w:hAnsi="Times New Roman" w:cs="Times New Roman"/>
          <w:sz w:val="26"/>
          <w:szCs w:val="26"/>
        </w:rPr>
        <w:t>e</w:t>
      </w:r>
      <w:r w:rsidR="004E46EA">
        <w:rPr>
          <w:rFonts w:ascii="Times New Roman" w:eastAsia="Times New Roman" w:hAnsi="Times New Roman" w:cs="Times New Roman"/>
          <w:sz w:val="26"/>
          <w:szCs w:val="26"/>
        </w:rPr>
        <w:t>ments</w:t>
      </w:r>
      <w:r w:rsidR="002545F1">
        <w:rPr>
          <w:rFonts w:ascii="Times New Roman" w:eastAsia="Times New Roman" w:hAnsi="Times New Roman" w:cs="Times New Roman"/>
          <w:sz w:val="26"/>
          <w:szCs w:val="26"/>
        </w:rPr>
        <w:t>,</w:t>
      </w:r>
      <w:r w:rsidR="009A5DC3">
        <w:rPr>
          <w:rStyle w:val="FootnoteReference"/>
          <w:rFonts w:ascii="Times New Roman" w:hAnsi="Times New Roman" w:cs="Times New Roman"/>
          <w:sz w:val="26"/>
          <w:szCs w:val="26"/>
        </w:rPr>
        <w:footnoteReference w:id="11"/>
      </w:r>
      <w:r w:rsidR="00761371">
        <w:rPr>
          <w:rFonts w:ascii="Times New Roman" w:eastAsia="Times New Roman" w:hAnsi="Times New Roman" w:cs="Times New Roman"/>
          <w:sz w:val="26"/>
          <w:szCs w:val="26"/>
        </w:rPr>
        <w:t xml:space="preserve"> </w:t>
      </w:r>
      <w:r w:rsidR="00641E97">
        <w:rPr>
          <w:rFonts w:ascii="Times New Roman" w:eastAsia="Times New Roman" w:hAnsi="Times New Roman" w:cs="Times New Roman"/>
          <w:sz w:val="26"/>
          <w:szCs w:val="26"/>
        </w:rPr>
        <w:t>were</w:t>
      </w:r>
      <w:r w:rsidR="00745E68">
        <w:rPr>
          <w:rFonts w:ascii="Times New Roman" w:eastAsia="Times New Roman" w:hAnsi="Times New Roman" w:cs="Times New Roman"/>
          <w:sz w:val="26"/>
          <w:szCs w:val="26"/>
        </w:rPr>
        <w:t xml:space="preserve"> analyzed and used by staff to </w:t>
      </w:r>
      <w:r w:rsidR="00037236">
        <w:rPr>
          <w:rFonts w:ascii="Times New Roman" w:eastAsia="Times New Roman" w:hAnsi="Times New Roman" w:cs="Times New Roman"/>
          <w:sz w:val="26"/>
          <w:szCs w:val="26"/>
        </w:rPr>
        <w:t xml:space="preserve">develop </w:t>
      </w:r>
      <w:r w:rsidR="00701435">
        <w:rPr>
          <w:rFonts w:ascii="Times New Roman" w:eastAsia="Times New Roman" w:hAnsi="Times New Roman" w:cs="Times New Roman"/>
          <w:sz w:val="26"/>
          <w:szCs w:val="26"/>
        </w:rPr>
        <w:t>the</w:t>
      </w:r>
      <w:r w:rsidR="00674088">
        <w:rPr>
          <w:rFonts w:ascii="Times New Roman" w:eastAsia="Times New Roman" w:hAnsi="Times New Roman" w:cs="Times New Roman"/>
          <w:sz w:val="26"/>
          <w:szCs w:val="26"/>
        </w:rPr>
        <w:t xml:space="preserve"> </w:t>
      </w:r>
      <w:r w:rsidR="009B7A37">
        <w:rPr>
          <w:rFonts w:ascii="Times New Roman" w:eastAsia="Times New Roman" w:hAnsi="Times New Roman" w:cs="Times New Roman"/>
          <w:sz w:val="26"/>
          <w:szCs w:val="26"/>
        </w:rPr>
        <w:t xml:space="preserve">staff </w:t>
      </w:r>
      <w:r w:rsidR="00963B06">
        <w:rPr>
          <w:rFonts w:ascii="Times New Roman" w:eastAsia="Times New Roman" w:hAnsi="Times New Roman" w:cs="Times New Roman"/>
          <w:sz w:val="26"/>
          <w:szCs w:val="26"/>
        </w:rPr>
        <w:t>o</w:t>
      </w:r>
      <w:r w:rsidR="00745E68">
        <w:rPr>
          <w:rFonts w:ascii="Times New Roman" w:eastAsia="Times New Roman" w:hAnsi="Times New Roman" w:cs="Times New Roman"/>
          <w:sz w:val="26"/>
          <w:szCs w:val="26"/>
        </w:rPr>
        <w:t>bservations</w:t>
      </w:r>
      <w:r w:rsidR="004C3E9F">
        <w:rPr>
          <w:rFonts w:ascii="Times New Roman" w:eastAsia="Times New Roman" w:hAnsi="Times New Roman" w:cs="Times New Roman"/>
          <w:sz w:val="26"/>
          <w:szCs w:val="26"/>
        </w:rPr>
        <w:t xml:space="preserve"> </w:t>
      </w:r>
      <w:r w:rsidR="00865673">
        <w:rPr>
          <w:rFonts w:ascii="Times New Roman" w:eastAsia="Times New Roman" w:hAnsi="Times New Roman" w:cs="Times New Roman"/>
          <w:sz w:val="26"/>
          <w:szCs w:val="26"/>
        </w:rPr>
        <w:t xml:space="preserve">elaborated </w:t>
      </w:r>
      <w:r w:rsidR="00745E68">
        <w:rPr>
          <w:rFonts w:ascii="Times New Roman" w:eastAsia="Times New Roman" w:hAnsi="Times New Roman" w:cs="Times New Roman"/>
          <w:sz w:val="26"/>
          <w:szCs w:val="26"/>
        </w:rPr>
        <w:t xml:space="preserve">in the </w:t>
      </w:r>
      <w:r w:rsidR="002545F1">
        <w:rPr>
          <w:rFonts w:ascii="Times New Roman" w:eastAsia="Times New Roman" w:hAnsi="Times New Roman" w:cs="Times New Roman"/>
          <w:sz w:val="26"/>
          <w:szCs w:val="26"/>
        </w:rPr>
        <w:t xml:space="preserve">Report </w:t>
      </w:r>
      <w:r w:rsidR="00745E68">
        <w:rPr>
          <w:rFonts w:ascii="Times New Roman" w:eastAsia="Times New Roman" w:hAnsi="Times New Roman" w:cs="Times New Roman"/>
          <w:sz w:val="26"/>
          <w:szCs w:val="26"/>
        </w:rPr>
        <w:t xml:space="preserve">and </w:t>
      </w:r>
      <w:r w:rsidR="00963B06">
        <w:rPr>
          <w:rFonts w:ascii="Times New Roman" w:eastAsia="Times New Roman" w:hAnsi="Times New Roman" w:cs="Times New Roman"/>
          <w:sz w:val="26"/>
          <w:szCs w:val="26"/>
        </w:rPr>
        <w:t xml:space="preserve">summarized </w:t>
      </w:r>
      <w:r w:rsidR="00745E68">
        <w:rPr>
          <w:rFonts w:ascii="Times New Roman" w:eastAsia="Times New Roman" w:hAnsi="Times New Roman" w:cs="Times New Roman"/>
          <w:sz w:val="26"/>
          <w:szCs w:val="26"/>
        </w:rPr>
        <w:t>below</w:t>
      </w:r>
      <w:r w:rsidR="00963B06">
        <w:rPr>
          <w:rFonts w:ascii="Times New Roman" w:eastAsia="Times New Roman" w:hAnsi="Times New Roman" w:cs="Times New Roman"/>
          <w:sz w:val="26"/>
          <w:szCs w:val="26"/>
        </w:rPr>
        <w:t xml:space="preserve">.  </w:t>
      </w:r>
      <w:bookmarkStart w:id="3" w:name="_Hlk525308493"/>
    </w:p>
    <w:p w14:paraId="732BCC73" w14:textId="77777777" w:rsidR="000E7595" w:rsidRDefault="000E7595" w:rsidP="00E93186">
      <w:pPr>
        <w:tabs>
          <w:tab w:val="left" w:pos="720"/>
          <w:tab w:val="left" w:pos="990"/>
        </w:tabs>
        <w:spacing w:after="0" w:line="360" w:lineRule="auto"/>
        <w:contextualSpacing/>
        <w:rPr>
          <w:rFonts w:ascii="Times New Roman" w:eastAsia="Times New Roman" w:hAnsi="Times New Roman" w:cs="Times New Roman"/>
          <w:sz w:val="26"/>
          <w:szCs w:val="26"/>
        </w:rPr>
      </w:pPr>
    </w:p>
    <w:p w14:paraId="6C614A57" w14:textId="6EF7B541" w:rsidR="000E7595" w:rsidRDefault="00037236" w:rsidP="00037236">
      <w:pPr>
        <w:keepNext/>
        <w:tabs>
          <w:tab w:val="left" w:pos="720"/>
          <w:tab w:val="left" w:pos="990"/>
        </w:tabs>
        <w:spacing w:after="0" w:line="360" w:lineRule="auto"/>
        <w:contextualSpacing/>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REPORT</w:t>
      </w:r>
    </w:p>
    <w:p w14:paraId="7778C5AC" w14:textId="6A513529" w:rsidR="002615FA" w:rsidRDefault="000E7595" w:rsidP="00E93186">
      <w:pPr>
        <w:tabs>
          <w:tab w:val="left" w:pos="720"/>
          <w:tab w:val="left" w:pos="99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433F3">
        <w:rPr>
          <w:rFonts w:ascii="Times New Roman" w:eastAsia="Times New Roman" w:hAnsi="Times New Roman" w:cs="Times New Roman"/>
          <w:sz w:val="26"/>
          <w:szCs w:val="26"/>
        </w:rPr>
        <w:t>Concerning the validity of the data submitted by the utilities</w:t>
      </w:r>
      <w:r w:rsidR="00EC5BE6">
        <w:rPr>
          <w:rFonts w:ascii="Times New Roman" w:eastAsia="Times New Roman" w:hAnsi="Times New Roman" w:cs="Times New Roman"/>
          <w:sz w:val="26"/>
          <w:szCs w:val="26"/>
        </w:rPr>
        <w:t>,</w:t>
      </w:r>
      <w:r w:rsidR="004A5993">
        <w:rPr>
          <w:rFonts w:ascii="Times New Roman" w:eastAsia="Times New Roman" w:hAnsi="Times New Roman" w:cs="Times New Roman"/>
          <w:sz w:val="26"/>
          <w:szCs w:val="26"/>
        </w:rPr>
        <w:t xml:space="preserve"> </w:t>
      </w:r>
      <w:r w:rsidR="00A433F3">
        <w:rPr>
          <w:rFonts w:ascii="Times New Roman" w:eastAsia="Times New Roman" w:hAnsi="Times New Roman" w:cs="Times New Roman"/>
          <w:sz w:val="26"/>
          <w:szCs w:val="26"/>
        </w:rPr>
        <w:t xml:space="preserve">staff </w:t>
      </w:r>
      <w:r w:rsidR="00CF6CE0">
        <w:rPr>
          <w:rFonts w:ascii="Times New Roman" w:eastAsia="Times New Roman" w:hAnsi="Times New Roman" w:cs="Times New Roman"/>
          <w:sz w:val="26"/>
          <w:szCs w:val="26"/>
        </w:rPr>
        <w:t xml:space="preserve">observed </w:t>
      </w:r>
      <w:r w:rsidR="002615FA">
        <w:rPr>
          <w:rFonts w:ascii="Times New Roman" w:eastAsia="Times New Roman" w:hAnsi="Times New Roman" w:cs="Times New Roman"/>
          <w:sz w:val="26"/>
          <w:szCs w:val="26"/>
        </w:rPr>
        <w:t xml:space="preserve">multiple </w:t>
      </w:r>
      <w:r w:rsidR="00A433F3">
        <w:rPr>
          <w:rFonts w:ascii="Times New Roman" w:eastAsia="Times New Roman" w:hAnsi="Times New Roman" w:cs="Times New Roman"/>
          <w:sz w:val="26"/>
          <w:szCs w:val="26"/>
        </w:rPr>
        <w:t xml:space="preserve">inconsistencies </w:t>
      </w:r>
      <w:r w:rsidR="00C328EA">
        <w:rPr>
          <w:rFonts w:ascii="Times New Roman" w:eastAsia="Times New Roman" w:hAnsi="Times New Roman" w:cs="Times New Roman"/>
          <w:sz w:val="26"/>
          <w:szCs w:val="26"/>
        </w:rPr>
        <w:t xml:space="preserve">and voids as well as </w:t>
      </w:r>
      <w:r w:rsidR="00A433F3">
        <w:rPr>
          <w:rFonts w:ascii="Times New Roman" w:eastAsia="Times New Roman" w:hAnsi="Times New Roman" w:cs="Times New Roman"/>
          <w:sz w:val="26"/>
          <w:szCs w:val="26"/>
        </w:rPr>
        <w:t xml:space="preserve">marked variability among the utilities </w:t>
      </w:r>
      <w:r w:rsidR="004A5993">
        <w:rPr>
          <w:rFonts w:ascii="Times New Roman" w:eastAsia="Times New Roman" w:hAnsi="Times New Roman" w:cs="Times New Roman"/>
          <w:sz w:val="26"/>
          <w:szCs w:val="26"/>
        </w:rPr>
        <w:t>i</w:t>
      </w:r>
      <w:r w:rsidR="00A433F3">
        <w:rPr>
          <w:rFonts w:ascii="Times New Roman" w:eastAsia="Times New Roman" w:hAnsi="Times New Roman" w:cs="Times New Roman"/>
          <w:sz w:val="26"/>
          <w:szCs w:val="26"/>
        </w:rPr>
        <w:t xml:space="preserve">n </w:t>
      </w:r>
      <w:r w:rsidR="00A433F3">
        <w:rPr>
          <w:rFonts w:ascii="Times New Roman" w:eastAsia="Times New Roman" w:hAnsi="Times New Roman" w:cs="Times New Roman"/>
          <w:sz w:val="26"/>
          <w:szCs w:val="26"/>
        </w:rPr>
        <w:lastRenderedPageBreak/>
        <w:t>how they interpreted, tracked</w:t>
      </w:r>
      <w:r w:rsidR="004A5993">
        <w:rPr>
          <w:rFonts w:ascii="Times New Roman" w:eastAsia="Times New Roman" w:hAnsi="Times New Roman" w:cs="Times New Roman"/>
          <w:sz w:val="26"/>
          <w:szCs w:val="26"/>
        </w:rPr>
        <w:t>,</w:t>
      </w:r>
      <w:r w:rsidR="00A433F3">
        <w:rPr>
          <w:rFonts w:ascii="Times New Roman" w:eastAsia="Times New Roman" w:hAnsi="Times New Roman" w:cs="Times New Roman"/>
          <w:sz w:val="26"/>
          <w:szCs w:val="26"/>
        </w:rPr>
        <w:t xml:space="preserve"> and reported information.  </w:t>
      </w:r>
      <w:r w:rsidR="008918E4">
        <w:rPr>
          <w:rFonts w:ascii="Times New Roman" w:eastAsia="Times New Roman" w:hAnsi="Times New Roman" w:cs="Times New Roman"/>
          <w:sz w:val="26"/>
          <w:szCs w:val="26"/>
        </w:rPr>
        <w:t>As a result, staff note</w:t>
      </w:r>
      <w:r w:rsidR="00EC5BE6">
        <w:rPr>
          <w:rFonts w:ascii="Times New Roman" w:eastAsia="Times New Roman" w:hAnsi="Times New Roman" w:cs="Times New Roman"/>
          <w:sz w:val="26"/>
          <w:szCs w:val="26"/>
        </w:rPr>
        <w:t>d</w:t>
      </w:r>
      <w:r w:rsidR="008918E4">
        <w:rPr>
          <w:rFonts w:ascii="Times New Roman" w:eastAsia="Times New Roman" w:hAnsi="Times New Roman" w:cs="Times New Roman"/>
          <w:sz w:val="26"/>
          <w:szCs w:val="26"/>
        </w:rPr>
        <w:t xml:space="preserve"> that future </w:t>
      </w:r>
      <w:r w:rsidR="00CF6CE0">
        <w:rPr>
          <w:rFonts w:ascii="Times New Roman" w:eastAsia="Times New Roman" w:hAnsi="Times New Roman" w:cs="Times New Roman"/>
          <w:sz w:val="26"/>
          <w:szCs w:val="26"/>
        </w:rPr>
        <w:t xml:space="preserve">evaluations </w:t>
      </w:r>
      <w:r w:rsidR="00865673">
        <w:rPr>
          <w:rFonts w:ascii="Times New Roman" w:eastAsia="Times New Roman" w:hAnsi="Times New Roman" w:cs="Times New Roman"/>
          <w:sz w:val="26"/>
          <w:szCs w:val="26"/>
        </w:rPr>
        <w:t>of the residential energy burdens f</w:t>
      </w:r>
      <w:r w:rsidR="00692FED">
        <w:rPr>
          <w:rFonts w:ascii="Times New Roman" w:eastAsia="Times New Roman" w:hAnsi="Times New Roman" w:cs="Times New Roman"/>
          <w:sz w:val="26"/>
          <w:szCs w:val="26"/>
        </w:rPr>
        <w:t>or</w:t>
      </w:r>
      <w:r w:rsidR="00865673">
        <w:rPr>
          <w:rFonts w:ascii="Times New Roman" w:eastAsia="Times New Roman" w:hAnsi="Times New Roman" w:cs="Times New Roman"/>
          <w:sz w:val="26"/>
          <w:szCs w:val="26"/>
        </w:rPr>
        <w:t xml:space="preserve"> low-income Pennsylvanians </w:t>
      </w:r>
      <w:r w:rsidR="008918E4">
        <w:rPr>
          <w:rFonts w:ascii="Times New Roman" w:eastAsia="Times New Roman" w:hAnsi="Times New Roman" w:cs="Times New Roman"/>
          <w:sz w:val="26"/>
          <w:szCs w:val="26"/>
        </w:rPr>
        <w:t xml:space="preserve">could be enhanced if </w:t>
      </w:r>
      <w:r w:rsidR="002C1AE8">
        <w:rPr>
          <w:rFonts w:ascii="Times New Roman" w:eastAsia="Times New Roman" w:hAnsi="Times New Roman" w:cs="Times New Roman"/>
          <w:sz w:val="26"/>
          <w:szCs w:val="26"/>
        </w:rPr>
        <w:t xml:space="preserve">data definitions are clarified and new </w:t>
      </w:r>
      <w:r w:rsidR="00CF6CE0">
        <w:rPr>
          <w:rFonts w:ascii="Times New Roman" w:eastAsia="Times New Roman" w:hAnsi="Times New Roman" w:cs="Times New Roman"/>
          <w:sz w:val="26"/>
          <w:szCs w:val="26"/>
        </w:rPr>
        <w:t xml:space="preserve">protocols are established that require consistent data </w:t>
      </w:r>
      <w:r w:rsidR="00692FED">
        <w:rPr>
          <w:rFonts w:ascii="Times New Roman" w:eastAsia="Times New Roman" w:hAnsi="Times New Roman" w:cs="Times New Roman"/>
          <w:sz w:val="26"/>
          <w:szCs w:val="26"/>
        </w:rPr>
        <w:t xml:space="preserve">tracking </w:t>
      </w:r>
      <w:r w:rsidR="00CF6CE0">
        <w:rPr>
          <w:rFonts w:ascii="Times New Roman" w:eastAsia="Times New Roman" w:hAnsi="Times New Roman" w:cs="Times New Roman"/>
          <w:sz w:val="26"/>
          <w:szCs w:val="26"/>
        </w:rPr>
        <w:t xml:space="preserve">and reporting among the utilities.  </w:t>
      </w:r>
      <w:bookmarkEnd w:id="3"/>
    </w:p>
    <w:p w14:paraId="45676A46" w14:textId="77777777" w:rsidR="002615FA" w:rsidRDefault="002615FA" w:rsidP="00E93186">
      <w:pPr>
        <w:tabs>
          <w:tab w:val="left" w:pos="720"/>
          <w:tab w:val="left" w:pos="990"/>
        </w:tabs>
        <w:spacing w:after="0" w:line="360" w:lineRule="auto"/>
        <w:contextualSpacing/>
        <w:rPr>
          <w:rFonts w:ascii="Times New Roman" w:eastAsia="Times New Roman" w:hAnsi="Times New Roman" w:cs="Times New Roman"/>
          <w:sz w:val="26"/>
          <w:szCs w:val="26"/>
        </w:rPr>
      </w:pPr>
    </w:p>
    <w:p w14:paraId="5154EAAD" w14:textId="04EA176D" w:rsidR="00CF6CE0" w:rsidRDefault="002615FA" w:rsidP="00E93186">
      <w:pPr>
        <w:tabs>
          <w:tab w:val="left" w:pos="720"/>
          <w:tab w:val="left" w:pos="99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65673">
        <w:rPr>
          <w:rFonts w:ascii="Times New Roman" w:eastAsia="Times New Roman" w:hAnsi="Times New Roman" w:cs="Times New Roman"/>
          <w:sz w:val="26"/>
          <w:szCs w:val="26"/>
        </w:rPr>
        <w:t xml:space="preserve">The significant </w:t>
      </w:r>
      <w:r w:rsidR="006823F7">
        <w:rPr>
          <w:rFonts w:ascii="Times New Roman" w:eastAsia="Times New Roman" w:hAnsi="Times New Roman" w:cs="Times New Roman"/>
          <w:sz w:val="26"/>
          <w:szCs w:val="26"/>
        </w:rPr>
        <w:t xml:space="preserve">staff </w:t>
      </w:r>
      <w:r w:rsidR="00B70A63">
        <w:rPr>
          <w:rFonts w:ascii="Times New Roman" w:eastAsia="Times New Roman" w:hAnsi="Times New Roman" w:cs="Times New Roman"/>
          <w:sz w:val="26"/>
          <w:szCs w:val="26"/>
        </w:rPr>
        <w:t>observations</w:t>
      </w:r>
      <w:r w:rsidR="00EC5BE6">
        <w:rPr>
          <w:rFonts w:ascii="Times New Roman" w:eastAsia="Times New Roman" w:hAnsi="Times New Roman" w:cs="Times New Roman"/>
          <w:sz w:val="26"/>
          <w:szCs w:val="26"/>
        </w:rPr>
        <w:t xml:space="preserve"> </w:t>
      </w:r>
      <w:r w:rsidR="006823F7">
        <w:rPr>
          <w:rFonts w:ascii="Times New Roman" w:eastAsia="Times New Roman" w:hAnsi="Times New Roman" w:cs="Times New Roman"/>
          <w:sz w:val="26"/>
          <w:szCs w:val="26"/>
        </w:rPr>
        <w:t>in</w:t>
      </w:r>
      <w:r w:rsidR="00865673">
        <w:rPr>
          <w:rFonts w:ascii="Times New Roman" w:eastAsia="Times New Roman" w:hAnsi="Times New Roman" w:cs="Times New Roman"/>
          <w:sz w:val="26"/>
          <w:szCs w:val="26"/>
        </w:rPr>
        <w:t xml:space="preserve"> the </w:t>
      </w:r>
      <w:r w:rsidR="00DF6A2F">
        <w:rPr>
          <w:rFonts w:ascii="Times New Roman" w:eastAsia="Times New Roman" w:hAnsi="Times New Roman" w:cs="Times New Roman"/>
          <w:sz w:val="26"/>
          <w:szCs w:val="26"/>
        </w:rPr>
        <w:t xml:space="preserve">Report </w:t>
      </w:r>
      <w:r w:rsidR="00865673">
        <w:rPr>
          <w:rFonts w:ascii="Times New Roman" w:eastAsia="Times New Roman" w:hAnsi="Times New Roman" w:cs="Times New Roman"/>
          <w:sz w:val="26"/>
          <w:szCs w:val="26"/>
        </w:rPr>
        <w:t>include the following:</w:t>
      </w:r>
    </w:p>
    <w:p w14:paraId="68A3EDA8" w14:textId="77777777" w:rsidR="008E12FA" w:rsidRPr="00DE48B0" w:rsidRDefault="008E12FA" w:rsidP="00E93186">
      <w:pPr>
        <w:tabs>
          <w:tab w:val="left" w:pos="720"/>
          <w:tab w:val="left" w:pos="990"/>
        </w:tabs>
        <w:spacing w:after="0" w:line="360" w:lineRule="auto"/>
        <w:contextualSpacing/>
        <w:rPr>
          <w:rFonts w:ascii="Times New Roman" w:eastAsia="Times New Roman" w:hAnsi="Times New Roman" w:cs="Times New Roman"/>
          <w:b/>
          <w:sz w:val="26"/>
          <w:szCs w:val="26"/>
        </w:rPr>
      </w:pPr>
    </w:p>
    <w:p w14:paraId="179736A7" w14:textId="6961604B" w:rsidR="00994038" w:rsidRPr="0059589F" w:rsidRDefault="00963B06" w:rsidP="005247E7">
      <w:pPr>
        <w:pStyle w:val="ListParagraph"/>
        <w:numPr>
          <w:ilvl w:val="0"/>
          <w:numId w:val="7"/>
        </w:numPr>
        <w:spacing w:line="360" w:lineRule="auto"/>
        <w:ind w:left="720"/>
        <w:rPr>
          <w:sz w:val="26"/>
          <w:szCs w:val="26"/>
        </w:rPr>
      </w:pPr>
      <w:r w:rsidRPr="0059589F">
        <w:rPr>
          <w:b/>
          <w:sz w:val="26"/>
          <w:szCs w:val="26"/>
        </w:rPr>
        <w:t>Energy Burden</w:t>
      </w:r>
      <w:r w:rsidR="007B4A17">
        <w:rPr>
          <w:b/>
          <w:sz w:val="26"/>
          <w:szCs w:val="26"/>
        </w:rPr>
        <w:t>s</w:t>
      </w:r>
      <w:r w:rsidRPr="0059589F">
        <w:rPr>
          <w:b/>
          <w:sz w:val="26"/>
          <w:szCs w:val="26"/>
        </w:rPr>
        <w:t xml:space="preserve"> for Gas and Electric Service: </w:t>
      </w:r>
      <w:r w:rsidR="00ED4DCB" w:rsidRPr="0059589F">
        <w:rPr>
          <w:rFonts w:eastAsia="Calibri"/>
          <w:sz w:val="26"/>
          <w:szCs w:val="26"/>
        </w:rPr>
        <w:t xml:space="preserve">Despite </w:t>
      </w:r>
      <w:r w:rsidR="00666076" w:rsidRPr="0059589F">
        <w:rPr>
          <w:rFonts w:eastAsia="Calibri"/>
          <w:sz w:val="26"/>
          <w:szCs w:val="26"/>
        </w:rPr>
        <w:t xml:space="preserve">receiving assistance, </w:t>
      </w:r>
      <w:r w:rsidR="00264E2E" w:rsidRPr="0059589F">
        <w:rPr>
          <w:rFonts w:eastAsia="Calibri"/>
          <w:sz w:val="26"/>
          <w:szCs w:val="26"/>
        </w:rPr>
        <w:t xml:space="preserve">including discounted </w:t>
      </w:r>
      <w:r w:rsidR="000F72E5" w:rsidRPr="0059589F">
        <w:rPr>
          <w:rFonts w:eastAsia="Calibri"/>
          <w:sz w:val="26"/>
          <w:szCs w:val="26"/>
        </w:rPr>
        <w:t xml:space="preserve">or reduced </w:t>
      </w:r>
      <w:r w:rsidR="00264E2E" w:rsidRPr="0059589F">
        <w:rPr>
          <w:rFonts w:eastAsia="Calibri"/>
          <w:sz w:val="26"/>
          <w:szCs w:val="26"/>
        </w:rPr>
        <w:t xml:space="preserve">payments, </w:t>
      </w:r>
      <w:r w:rsidR="00FF6C92" w:rsidRPr="0059589F">
        <w:rPr>
          <w:rFonts w:eastAsia="Calibri"/>
          <w:sz w:val="26"/>
          <w:szCs w:val="26"/>
        </w:rPr>
        <w:t>CAP customers</w:t>
      </w:r>
      <w:r w:rsidR="00666076" w:rsidRPr="0059589F">
        <w:rPr>
          <w:rFonts w:eastAsia="Calibri"/>
          <w:sz w:val="26"/>
          <w:szCs w:val="26"/>
        </w:rPr>
        <w:t xml:space="preserve"> </w:t>
      </w:r>
      <w:r w:rsidR="00147172" w:rsidRPr="0059589F">
        <w:rPr>
          <w:rFonts w:eastAsia="Calibri"/>
          <w:sz w:val="26"/>
          <w:szCs w:val="26"/>
        </w:rPr>
        <w:t xml:space="preserve">have a higher energy burden </w:t>
      </w:r>
      <w:r w:rsidR="009E4518" w:rsidRPr="0059589F">
        <w:rPr>
          <w:rFonts w:eastAsia="Calibri"/>
          <w:sz w:val="26"/>
          <w:szCs w:val="26"/>
        </w:rPr>
        <w:t xml:space="preserve">in comparison to </w:t>
      </w:r>
      <w:r w:rsidR="00147172" w:rsidRPr="0059589F">
        <w:rPr>
          <w:rFonts w:eastAsia="Calibri"/>
          <w:sz w:val="26"/>
          <w:szCs w:val="26"/>
        </w:rPr>
        <w:t>non-CAP residential customers</w:t>
      </w:r>
      <w:r w:rsidR="00537296" w:rsidRPr="0059589F">
        <w:rPr>
          <w:rFonts w:eastAsia="Calibri"/>
          <w:sz w:val="26"/>
          <w:szCs w:val="26"/>
        </w:rPr>
        <w:t xml:space="preserve">.  </w:t>
      </w:r>
      <w:r w:rsidR="000B0B7D" w:rsidRPr="0059589F">
        <w:rPr>
          <w:rFonts w:eastAsia="Calibri"/>
          <w:sz w:val="26"/>
          <w:szCs w:val="26"/>
        </w:rPr>
        <w:t xml:space="preserve">While </w:t>
      </w:r>
      <w:r w:rsidR="00BA6925" w:rsidRPr="0059589F">
        <w:rPr>
          <w:rFonts w:eastAsia="Calibri"/>
          <w:sz w:val="26"/>
          <w:szCs w:val="26"/>
        </w:rPr>
        <w:t xml:space="preserve">non-CAP </w:t>
      </w:r>
      <w:r w:rsidR="000B0B7D" w:rsidRPr="0059589F">
        <w:rPr>
          <w:rFonts w:eastAsia="Calibri"/>
          <w:sz w:val="26"/>
          <w:szCs w:val="26"/>
        </w:rPr>
        <w:t xml:space="preserve">residential customers had an average </w:t>
      </w:r>
      <w:r w:rsidR="00911266" w:rsidRPr="0059589F">
        <w:rPr>
          <w:rFonts w:eastAsia="Calibri"/>
          <w:sz w:val="26"/>
          <w:szCs w:val="26"/>
        </w:rPr>
        <w:t xml:space="preserve">combined </w:t>
      </w:r>
      <w:r w:rsidR="000B0B7D" w:rsidRPr="0059589F">
        <w:rPr>
          <w:rFonts w:eastAsia="Calibri"/>
          <w:sz w:val="26"/>
          <w:szCs w:val="26"/>
        </w:rPr>
        <w:t>energy burden of 4</w:t>
      </w:r>
      <w:r w:rsidR="0059589F" w:rsidRPr="0059589F">
        <w:rPr>
          <w:rFonts w:eastAsia="Calibri"/>
          <w:sz w:val="26"/>
          <w:szCs w:val="26"/>
        </w:rPr>
        <w:t>%</w:t>
      </w:r>
      <w:r w:rsidR="0059589F">
        <w:rPr>
          <w:rFonts w:eastAsia="Calibri"/>
          <w:sz w:val="26"/>
          <w:szCs w:val="26"/>
        </w:rPr>
        <w:t> </w:t>
      </w:r>
      <w:r w:rsidR="000B0B7D" w:rsidRPr="0059589F">
        <w:rPr>
          <w:rFonts w:eastAsia="Calibri"/>
          <w:sz w:val="26"/>
          <w:szCs w:val="26"/>
        </w:rPr>
        <w:t xml:space="preserve">for gas and electric services </w:t>
      </w:r>
      <w:r w:rsidR="00FF01F5" w:rsidRPr="0059589F">
        <w:rPr>
          <w:rFonts w:eastAsia="Calibri"/>
          <w:sz w:val="26"/>
          <w:szCs w:val="26"/>
        </w:rPr>
        <w:t xml:space="preserve">during </w:t>
      </w:r>
      <w:r w:rsidR="00432384" w:rsidRPr="0059589F">
        <w:rPr>
          <w:rFonts w:eastAsia="Calibri"/>
          <w:sz w:val="26"/>
          <w:szCs w:val="26"/>
        </w:rPr>
        <w:t xml:space="preserve">the </w:t>
      </w:r>
      <w:r w:rsidR="00FF01F5" w:rsidRPr="0059589F">
        <w:rPr>
          <w:rFonts w:eastAsia="Calibri"/>
          <w:sz w:val="26"/>
          <w:szCs w:val="26"/>
        </w:rPr>
        <w:t>2012-2016</w:t>
      </w:r>
      <w:r w:rsidR="00432384" w:rsidRPr="0059589F">
        <w:rPr>
          <w:rFonts w:eastAsia="Calibri"/>
          <w:sz w:val="26"/>
          <w:szCs w:val="26"/>
        </w:rPr>
        <w:t xml:space="preserve"> study </w:t>
      </w:r>
      <w:r w:rsidR="00FC0FC9" w:rsidRPr="0059589F">
        <w:rPr>
          <w:rFonts w:eastAsia="Calibri"/>
          <w:sz w:val="26"/>
          <w:szCs w:val="26"/>
        </w:rPr>
        <w:t>time period</w:t>
      </w:r>
      <w:r w:rsidR="00FF01F5" w:rsidRPr="0059589F">
        <w:rPr>
          <w:rFonts w:eastAsia="Calibri"/>
          <w:sz w:val="26"/>
          <w:szCs w:val="26"/>
        </w:rPr>
        <w:t>, the average energy burden</w:t>
      </w:r>
      <w:r w:rsidR="003D3036">
        <w:rPr>
          <w:rFonts w:eastAsia="Calibri"/>
          <w:sz w:val="26"/>
          <w:szCs w:val="26"/>
        </w:rPr>
        <w:t>s</w:t>
      </w:r>
      <w:r w:rsidR="00FF01F5" w:rsidRPr="0059589F">
        <w:rPr>
          <w:rFonts w:eastAsia="Calibri"/>
          <w:sz w:val="26"/>
          <w:szCs w:val="26"/>
        </w:rPr>
        <w:t xml:space="preserve"> </w:t>
      </w:r>
      <w:r w:rsidR="00D75DC4" w:rsidRPr="0059589F">
        <w:rPr>
          <w:rFonts w:eastAsia="Calibri"/>
          <w:sz w:val="26"/>
          <w:szCs w:val="26"/>
        </w:rPr>
        <w:t xml:space="preserve">were 7% to 8% </w:t>
      </w:r>
      <w:r w:rsidR="00FF01F5" w:rsidRPr="0059589F">
        <w:rPr>
          <w:rFonts w:eastAsia="Calibri"/>
          <w:sz w:val="26"/>
          <w:szCs w:val="26"/>
        </w:rPr>
        <w:t xml:space="preserve">for </w:t>
      </w:r>
      <w:r w:rsidR="00D01E16" w:rsidRPr="0059589F">
        <w:rPr>
          <w:rFonts w:eastAsia="Calibri"/>
          <w:sz w:val="26"/>
          <w:szCs w:val="26"/>
        </w:rPr>
        <w:t>NGDC CAP heating customers, 5%</w:t>
      </w:r>
      <w:r w:rsidR="0059589F">
        <w:rPr>
          <w:rFonts w:eastAsia="Calibri"/>
          <w:sz w:val="26"/>
          <w:szCs w:val="26"/>
        </w:rPr>
        <w:t> </w:t>
      </w:r>
      <w:r w:rsidR="00D01E16" w:rsidRPr="0059589F">
        <w:rPr>
          <w:rFonts w:eastAsia="Calibri"/>
          <w:sz w:val="26"/>
          <w:szCs w:val="26"/>
        </w:rPr>
        <w:t xml:space="preserve">to 6% </w:t>
      </w:r>
      <w:r w:rsidR="00E27E4D" w:rsidRPr="0059589F">
        <w:rPr>
          <w:rFonts w:eastAsia="Calibri"/>
          <w:sz w:val="26"/>
          <w:szCs w:val="26"/>
        </w:rPr>
        <w:t>for EDC non-heating CAP customers</w:t>
      </w:r>
      <w:r w:rsidR="00470F3B" w:rsidRPr="0059589F">
        <w:rPr>
          <w:rFonts w:eastAsia="Calibri"/>
          <w:sz w:val="26"/>
          <w:szCs w:val="26"/>
        </w:rPr>
        <w:t>,</w:t>
      </w:r>
      <w:r w:rsidR="00E27E4D" w:rsidRPr="0059589F">
        <w:rPr>
          <w:rFonts w:eastAsia="Calibri"/>
          <w:sz w:val="26"/>
          <w:szCs w:val="26"/>
        </w:rPr>
        <w:t xml:space="preserve"> and 8</w:t>
      </w:r>
      <w:r w:rsidR="00584817" w:rsidRPr="0059589F">
        <w:rPr>
          <w:rFonts w:eastAsia="Calibri"/>
          <w:sz w:val="26"/>
          <w:szCs w:val="26"/>
        </w:rPr>
        <w:t>%</w:t>
      </w:r>
      <w:r w:rsidR="00E27E4D" w:rsidRPr="0059589F">
        <w:rPr>
          <w:rFonts w:eastAsia="Calibri"/>
          <w:sz w:val="26"/>
          <w:szCs w:val="26"/>
        </w:rPr>
        <w:t xml:space="preserve"> to 10% for EDC CAP heating customers</w:t>
      </w:r>
      <w:r w:rsidR="00B30C06" w:rsidRPr="0059589F">
        <w:rPr>
          <w:rFonts w:eastAsia="Calibri"/>
          <w:sz w:val="26"/>
          <w:szCs w:val="26"/>
        </w:rPr>
        <w:t xml:space="preserve">.  </w:t>
      </w:r>
      <w:r w:rsidR="00554CB0" w:rsidRPr="0059589F">
        <w:rPr>
          <w:rFonts w:eastAsia="Calibri"/>
          <w:sz w:val="26"/>
          <w:szCs w:val="26"/>
        </w:rPr>
        <w:t xml:space="preserve">The study also </w:t>
      </w:r>
      <w:r w:rsidR="009823DD">
        <w:rPr>
          <w:rFonts w:eastAsia="Calibri"/>
          <w:sz w:val="26"/>
          <w:szCs w:val="26"/>
        </w:rPr>
        <w:t xml:space="preserve">revealed </w:t>
      </w:r>
      <w:r w:rsidR="00554CB0" w:rsidRPr="0059589F">
        <w:rPr>
          <w:rFonts w:eastAsia="Calibri"/>
          <w:sz w:val="26"/>
          <w:szCs w:val="26"/>
        </w:rPr>
        <w:t xml:space="preserve">that </w:t>
      </w:r>
      <w:r w:rsidR="00994038" w:rsidRPr="0059589F">
        <w:rPr>
          <w:rFonts w:eastAsia="Calibri"/>
          <w:sz w:val="26"/>
          <w:szCs w:val="26"/>
        </w:rPr>
        <w:t>CAP households in the 0</w:t>
      </w:r>
      <w:r w:rsidR="0059589F">
        <w:rPr>
          <w:rFonts w:eastAsia="Calibri"/>
          <w:sz w:val="26"/>
          <w:szCs w:val="26"/>
        </w:rPr>
        <w:noBreakHyphen/>
      </w:r>
      <w:r w:rsidR="00994038" w:rsidRPr="0059589F">
        <w:rPr>
          <w:rFonts w:eastAsia="Calibri"/>
          <w:sz w:val="26"/>
          <w:szCs w:val="26"/>
        </w:rPr>
        <w:t>50%</w:t>
      </w:r>
      <w:r w:rsidR="0059589F">
        <w:rPr>
          <w:rFonts w:eastAsia="Calibri"/>
          <w:sz w:val="26"/>
          <w:szCs w:val="26"/>
        </w:rPr>
        <w:t> </w:t>
      </w:r>
      <w:r w:rsidR="00994038" w:rsidRPr="0059589F">
        <w:rPr>
          <w:rFonts w:eastAsia="Calibri"/>
          <w:sz w:val="26"/>
          <w:szCs w:val="26"/>
        </w:rPr>
        <w:t xml:space="preserve">FPIG </w:t>
      </w:r>
      <w:r w:rsidR="00236BB0" w:rsidRPr="0059589F">
        <w:rPr>
          <w:rFonts w:eastAsia="Calibri"/>
          <w:sz w:val="26"/>
          <w:szCs w:val="26"/>
        </w:rPr>
        <w:t>level</w:t>
      </w:r>
      <w:r w:rsidR="003E1D9E" w:rsidRPr="0059589F">
        <w:rPr>
          <w:rFonts w:eastAsia="Calibri"/>
          <w:sz w:val="26"/>
          <w:szCs w:val="26"/>
        </w:rPr>
        <w:t>, regardless of heating or non-heating status and energy type, often</w:t>
      </w:r>
      <w:r w:rsidR="00994038" w:rsidRPr="0059589F">
        <w:rPr>
          <w:rFonts w:eastAsia="Calibri"/>
          <w:sz w:val="26"/>
          <w:szCs w:val="26"/>
        </w:rPr>
        <w:t xml:space="preserve"> ha</w:t>
      </w:r>
      <w:r w:rsidR="007C78FA">
        <w:rPr>
          <w:rFonts w:eastAsia="Calibri"/>
          <w:sz w:val="26"/>
          <w:szCs w:val="26"/>
        </w:rPr>
        <w:t>d</w:t>
      </w:r>
      <w:r w:rsidR="005D6811" w:rsidRPr="0059589F">
        <w:rPr>
          <w:rFonts w:eastAsia="Calibri"/>
          <w:sz w:val="26"/>
          <w:szCs w:val="26"/>
        </w:rPr>
        <w:t xml:space="preserve"> </w:t>
      </w:r>
      <w:r w:rsidR="00994038" w:rsidRPr="0059589F">
        <w:rPr>
          <w:rFonts w:eastAsia="Calibri"/>
          <w:sz w:val="26"/>
          <w:szCs w:val="26"/>
        </w:rPr>
        <w:t>energy burden</w:t>
      </w:r>
      <w:r w:rsidR="005D6811" w:rsidRPr="0059589F">
        <w:rPr>
          <w:rFonts w:eastAsia="Calibri"/>
          <w:sz w:val="26"/>
          <w:szCs w:val="26"/>
        </w:rPr>
        <w:t xml:space="preserve">s </w:t>
      </w:r>
      <w:r w:rsidR="006B18DB" w:rsidRPr="0059589F">
        <w:rPr>
          <w:rFonts w:eastAsia="Calibri"/>
          <w:sz w:val="26"/>
          <w:szCs w:val="26"/>
        </w:rPr>
        <w:t>exceeding</w:t>
      </w:r>
      <w:r w:rsidR="00994038" w:rsidRPr="0059589F">
        <w:rPr>
          <w:rFonts w:eastAsia="Calibri"/>
          <w:sz w:val="26"/>
          <w:szCs w:val="26"/>
        </w:rPr>
        <w:t xml:space="preserve"> the CAP Policy Statement guidelines</w:t>
      </w:r>
      <w:r w:rsidR="00DE23C3">
        <w:rPr>
          <w:rFonts w:eastAsia="Calibri"/>
          <w:sz w:val="26"/>
          <w:szCs w:val="26"/>
        </w:rPr>
        <w:t>.</w:t>
      </w:r>
      <w:r w:rsidR="00811594">
        <w:rPr>
          <w:rStyle w:val="FootnoteReference"/>
          <w:rFonts w:eastAsia="Calibri"/>
          <w:sz w:val="26"/>
          <w:szCs w:val="26"/>
        </w:rPr>
        <w:footnoteReference w:id="12"/>
      </w:r>
    </w:p>
    <w:p w14:paraId="0E4E67DE" w14:textId="77777777" w:rsidR="00076154" w:rsidRPr="00696859" w:rsidRDefault="00076154" w:rsidP="008E12FA">
      <w:pPr>
        <w:pStyle w:val="ListParagraph"/>
        <w:spacing w:line="360" w:lineRule="auto"/>
        <w:rPr>
          <w:sz w:val="26"/>
          <w:szCs w:val="26"/>
        </w:rPr>
      </w:pPr>
    </w:p>
    <w:p w14:paraId="1F18718C" w14:textId="21118425" w:rsidR="00994038" w:rsidRPr="00994038" w:rsidRDefault="00963B06" w:rsidP="00554EC1">
      <w:pPr>
        <w:pStyle w:val="ListParagraph"/>
        <w:numPr>
          <w:ilvl w:val="0"/>
          <w:numId w:val="2"/>
        </w:numPr>
        <w:spacing w:line="360" w:lineRule="auto"/>
        <w:rPr>
          <w:sz w:val="26"/>
          <w:szCs w:val="26"/>
        </w:rPr>
      </w:pPr>
      <w:r w:rsidRPr="00994038">
        <w:rPr>
          <w:b/>
          <w:sz w:val="26"/>
          <w:szCs w:val="26"/>
        </w:rPr>
        <w:t>Impact of LIHEAP Grants on Energy Burden</w:t>
      </w:r>
      <w:r w:rsidR="007B4A17">
        <w:rPr>
          <w:b/>
          <w:sz w:val="26"/>
          <w:szCs w:val="26"/>
        </w:rPr>
        <w:t>s</w:t>
      </w:r>
      <w:r w:rsidRPr="00994038">
        <w:rPr>
          <w:b/>
          <w:sz w:val="26"/>
          <w:szCs w:val="26"/>
        </w:rPr>
        <w:t xml:space="preserve">: </w:t>
      </w:r>
      <w:r w:rsidR="00994038" w:rsidRPr="00994038">
        <w:rPr>
          <w:sz w:val="26"/>
          <w:szCs w:val="26"/>
        </w:rPr>
        <w:t>LIHEAP</w:t>
      </w:r>
      <w:r w:rsidR="002110B9">
        <w:rPr>
          <w:sz w:val="26"/>
          <w:szCs w:val="26"/>
        </w:rPr>
        <w:t xml:space="preserve"> grants</w:t>
      </w:r>
      <w:r w:rsidR="00994038" w:rsidRPr="00994038">
        <w:rPr>
          <w:sz w:val="26"/>
          <w:szCs w:val="26"/>
        </w:rPr>
        <w:t xml:space="preserve"> ha</w:t>
      </w:r>
      <w:r w:rsidR="00420F56">
        <w:rPr>
          <w:sz w:val="26"/>
          <w:szCs w:val="26"/>
        </w:rPr>
        <w:t>d</w:t>
      </w:r>
      <w:r w:rsidR="00994038" w:rsidRPr="00994038">
        <w:rPr>
          <w:sz w:val="26"/>
          <w:szCs w:val="26"/>
        </w:rPr>
        <w:t xml:space="preserve"> a measurable impact on energy burdens for CAP customers across all FPIG levels and energy types</w:t>
      </w:r>
      <w:r w:rsidR="00067805">
        <w:rPr>
          <w:sz w:val="26"/>
          <w:szCs w:val="26"/>
        </w:rPr>
        <w:t xml:space="preserve"> during the study period</w:t>
      </w:r>
      <w:r w:rsidR="00994038" w:rsidRPr="00994038">
        <w:rPr>
          <w:sz w:val="26"/>
          <w:szCs w:val="26"/>
        </w:rPr>
        <w:t>.  CAP customers with incomes at or below 50% of the FPIG experienced energy burden decrease</w:t>
      </w:r>
      <w:r w:rsidR="002B114E">
        <w:rPr>
          <w:sz w:val="26"/>
          <w:szCs w:val="26"/>
        </w:rPr>
        <w:t>s</w:t>
      </w:r>
      <w:r w:rsidR="00994038" w:rsidRPr="00994038">
        <w:rPr>
          <w:sz w:val="26"/>
          <w:szCs w:val="26"/>
        </w:rPr>
        <w:t xml:space="preserve"> of approximately </w:t>
      </w:r>
      <w:r w:rsidR="00994038" w:rsidRPr="00994038">
        <w:rPr>
          <w:sz w:val="26"/>
          <w:szCs w:val="26"/>
        </w:rPr>
        <w:lastRenderedPageBreak/>
        <w:t>5</w:t>
      </w:r>
      <w:r w:rsidR="00575A25">
        <w:rPr>
          <w:sz w:val="26"/>
          <w:szCs w:val="26"/>
        </w:rPr>
        <w:t> </w:t>
      </w:r>
      <w:r w:rsidR="00994038" w:rsidRPr="00994038">
        <w:rPr>
          <w:sz w:val="26"/>
          <w:szCs w:val="26"/>
        </w:rPr>
        <w:t xml:space="preserve">to 6 percentage points for gas heating, </w:t>
      </w:r>
      <w:r w:rsidR="006240B4">
        <w:rPr>
          <w:sz w:val="26"/>
          <w:szCs w:val="26"/>
        </w:rPr>
        <w:t xml:space="preserve">approximately </w:t>
      </w:r>
      <w:r w:rsidR="00994038" w:rsidRPr="00994038">
        <w:rPr>
          <w:sz w:val="26"/>
          <w:szCs w:val="26"/>
        </w:rPr>
        <w:t>6 to 8 percentage points for electric non-heating, and approximately 7 to 9 percentage points for electric heating.  CAP customers with incomes between 51</w:t>
      </w:r>
      <w:r w:rsidR="00442BA4">
        <w:rPr>
          <w:sz w:val="26"/>
          <w:szCs w:val="26"/>
        </w:rPr>
        <w:t>%</w:t>
      </w:r>
      <w:r w:rsidR="00994038" w:rsidRPr="00994038">
        <w:rPr>
          <w:sz w:val="26"/>
          <w:szCs w:val="26"/>
        </w:rPr>
        <w:t xml:space="preserve"> and 100% of the FPIG experienced energy burden decrease</w:t>
      </w:r>
      <w:r w:rsidR="002B114E">
        <w:rPr>
          <w:sz w:val="26"/>
          <w:szCs w:val="26"/>
        </w:rPr>
        <w:t>s</w:t>
      </w:r>
      <w:r w:rsidR="00994038" w:rsidRPr="00994038">
        <w:rPr>
          <w:sz w:val="26"/>
          <w:szCs w:val="26"/>
        </w:rPr>
        <w:t xml:space="preserve"> of approximately 2 to 3 percentage points for gas heating and </w:t>
      </w:r>
      <w:r w:rsidR="006240B4">
        <w:rPr>
          <w:sz w:val="26"/>
          <w:szCs w:val="26"/>
        </w:rPr>
        <w:t xml:space="preserve">approximately </w:t>
      </w:r>
      <w:r w:rsidR="00994038" w:rsidRPr="00994038">
        <w:rPr>
          <w:sz w:val="26"/>
          <w:szCs w:val="26"/>
        </w:rPr>
        <w:t>3</w:t>
      </w:r>
      <w:r w:rsidR="00426A4D">
        <w:rPr>
          <w:sz w:val="26"/>
          <w:szCs w:val="26"/>
        </w:rPr>
        <w:t> </w:t>
      </w:r>
      <w:r w:rsidR="00994038" w:rsidRPr="00994038">
        <w:rPr>
          <w:sz w:val="26"/>
          <w:szCs w:val="26"/>
        </w:rPr>
        <w:t>percentage points for electric non-heating and heating.  CAP customers with incomes between 101</w:t>
      </w:r>
      <w:r w:rsidR="00442BA4">
        <w:rPr>
          <w:sz w:val="26"/>
          <w:szCs w:val="26"/>
        </w:rPr>
        <w:t>%</w:t>
      </w:r>
      <w:r w:rsidR="00994038" w:rsidRPr="00994038">
        <w:rPr>
          <w:sz w:val="26"/>
          <w:szCs w:val="26"/>
        </w:rPr>
        <w:t xml:space="preserve"> and 150% of the FPIG experienced energy burden decrease</w:t>
      </w:r>
      <w:r w:rsidR="00426A4D">
        <w:rPr>
          <w:sz w:val="26"/>
          <w:szCs w:val="26"/>
        </w:rPr>
        <w:t>s</w:t>
      </w:r>
      <w:r w:rsidR="00994038" w:rsidRPr="00994038">
        <w:rPr>
          <w:sz w:val="26"/>
          <w:szCs w:val="26"/>
        </w:rPr>
        <w:t xml:space="preserve"> of approximately 1 to 2 percentage points for gas heating, electric non-heating, and electric heating.</w:t>
      </w:r>
      <w:r w:rsidR="00713A1E">
        <w:rPr>
          <w:sz w:val="26"/>
          <w:szCs w:val="26"/>
        </w:rPr>
        <w:t xml:space="preserve">  </w:t>
      </w:r>
      <w:r w:rsidR="00713A1E" w:rsidRPr="00F779AB">
        <w:rPr>
          <w:sz w:val="26"/>
          <w:szCs w:val="26"/>
        </w:rPr>
        <w:t xml:space="preserve">Even with these decreases, however, the average energy burden for some CAP households </w:t>
      </w:r>
      <w:r w:rsidR="00442BA4">
        <w:rPr>
          <w:sz w:val="26"/>
          <w:szCs w:val="26"/>
        </w:rPr>
        <w:t>in</w:t>
      </w:r>
      <w:r w:rsidR="00713A1E" w:rsidRPr="00F779AB">
        <w:rPr>
          <w:sz w:val="26"/>
          <w:szCs w:val="26"/>
        </w:rPr>
        <w:t xml:space="preserve"> the 0</w:t>
      </w:r>
      <w:r w:rsidR="00442BA4">
        <w:rPr>
          <w:sz w:val="26"/>
          <w:szCs w:val="26"/>
        </w:rPr>
        <w:t>%</w:t>
      </w:r>
      <w:r w:rsidR="00713A1E" w:rsidRPr="00F779AB">
        <w:rPr>
          <w:sz w:val="26"/>
          <w:szCs w:val="26"/>
        </w:rPr>
        <w:t xml:space="preserve"> to 50% </w:t>
      </w:r>
      <w:r w:rsidR="0041018F">
        <w:rPr>
          <w:sz w:val="26"/>
          <w:szCs w:val="26"/>
        </w:rPr>
        <w:t xml:space="preserve">FPIG </w:t>
      </w:r>
      <w:r w:rsidR="00713A1E" w:rsidRPr="00F779AB">
        <w:rPr>
          <w:sz w:val="26"/>
          <w:szCs w:val="26"/>
        </w:rPr>
        <w:t>and 51</w:t>
      </w:r>
      <w:r w:rsidR="00442BA4">
        <w:rPr>
          <w:sz w:val="26"/>
          <w:szCs w:val="26"/>
        </w:rPr>
        <w:t>%</w:t>
      </w:r>
      <w:r w:rsidR="0041018F">
        <w:rPr>
          <w:sz w:val="26"/>
          <w:szCs w:val="26"/>
        </w:rPr>
        <w:t> </w:t>
      </w:r>
      <w:r w:rsidR="00713A1E" w:rsidRPr="00F779AB">
        <w:rPr>
          <w:sz w:val="26"/>
          <w:szCs w:val="26"/>
        </w:rPr>
        <w:t>to</w:t>
      </w:r>
      <w:r w:rsidR="0041018F">
        <w:rPr>
          <w:sz w:val="26"/>
          <w:szCs w:val="26"/>
        </w:rPr>
        <w:t> </w:t>
      </w:r>
      <w:r w:rsidR="00713A1E" w:rsidRPr="00F779AB">
        <w:rPr>
          <w:sz w:val="26"/>
          <w:szCs w:val="26"/>
        </w:rPr>
        <w:t>100% FPIG exceeded the maximum energy burden guidelines in the CAP Policy Statement.</w:t>
      </w:r>
    </w:p>
    <w:p w14:paraId="07C8C947" w14:textId="77777777" w:rsidR="00994038" w:rsidRPr="00F779AB" w:rsidRDefault="00994038" w:rsidP="004F274C">
      <w:pPr>
        <w:spacing w:after="0" w:line="360" w:lineRule="auto"/>
        <w:ind w:firstLine="720"/>
        <w:contextualSpacing/>
        <w:rPr>
          <w:rFonts w:ascii="Times New Roman" w:hAnsi="Times New Roman" w:cs="Times New Roman"/>
          <w:sz w:val="26"/>
          <w:szCs w:val="26"/>
        </w:rPr>
      </w:pPr>
    </w:p>
    <w:p w14:paraId="24C859FF" w14:textId="3CBAA4E9" w:rsidR="00533893" w:rsidRPr="005E2762" w:rsidRDefault="00C50E1F" w:rsidP="00554EC1">
      <w:pPr>
        <w:pStyle w:val="ListParagraph"/>
        <w:numPr>
          <w:ilvl w:val="0"/>
          <w:numId w:val="2"/>
        </w:numPr>
        <w:spacing w:line="360" w:lineRule="auto"/>
        <w:rPr>
          <w:rFonts w:eastAsia="Calibri"/>
          <w:sz w:val="26"/>
          <w:szCs w:val="26"/>
        </w:rPr>
      </w:pPr>
      <w:r w:rsidRPr="00533893">
        <w:rPr>
          <w:b/>
          <w:sz w:val="26"/>
          <w:szCs w:val="26"/>
        </w:rPr>
        <w:t>Pre-Program Arrearages (PPAs) and In-Program Arrears</w:t>
      </w:r>
      <w:r w:rsidR="00533893" w:rsidRPr="00533893">
        <w:rPr>
          <w:b/>
          <w:sz w:val="26"/>
          <w:szCs w:val="26"/>
        </w:rPr>
        <w:t xml:space="preserve">: </w:t>
      </w:r>
      <w:r w:rsidR="00533893" w:rsidRPr="00533893">
        <w:rPr>
          <w:rFonts w:eastAsia="Calibri"/>
          <w:sz w:val="26"/>
          <w:szCs w:val="26"/>
        </w:rPr>
        <w:t xml:space="preserve">Average PPAs and average in-program arrears for most NGDCs </w:t>
      </w:r>
      <w:r w:rsidR="00BE16E3">
        <w:rPr>
          <w:rFonts w:eastAsia="Calibri"/>
          <w:sz w:val="26"/>
          <w:szCs w:val="26"/>
        </w:rPr>
        <w:t xml:space="preserve">in 2012 to 2016 </w:t>
      </w:r>
      <w:r w:rsidR="00533893" w:rsidRPr="00533893">
        <w:rPr>
          <w:rFonts w:eastAsia="Calibri"/>
          <w:sz w:val="26"/>
          <w:szCs w:val="26"/>
        </w:rPr>
        <w:t>show</w:t>
      </w:r>
      <w:r w:rsidR="00BE16E3">
        <w:rPr>
          <w:rFonts w:eastAsia="Calibri"/>
          <w:sz w:val="26"/>
          <w:szCs w:val="26"/>
        </w:rPr>
        <w:t>ed</w:t>
      </w:r>
      <w:r w:rsidR="00533893" w:rsidRPr="00533893">
        <w:rPr>
          <w:rFonts w:eastAsia="Calibri"/>
          <w:sz w:val="26"/>
          <w:szCs w:val="26"/>
        </w:rPr>
        <w:t xml:space="preserve"> decreasing arrearage trends, perhaps due to lower natural gas costs</w:t>
      </w:r>
      <w:r w:rsidR="00594275">
        <w:rPr>
          <w:rFonts w:eastAsia="Calibri"/>
          <w:sz w:val="26"/>
          <w:szCs w:val="26"/>
        </w:rPr>
        <w:t xml:space="preserve">, </w:t>
      </w:r>
      <w:r w:rsidR="00533893" w:rsidRPr="00533893">
        <w:rPr>
          <w:rFonts w:eastAsia="Calibri"/>
          <w:sz w:val="26"/>
          <w:szCs w:val="26"/>
        </w:rPr>
        <w:t>warmer winter seasons</w:t>
      </w:r>
      <w:r w:rsidR="00594275">
        <w:rPr>
          <w:rFonts w:eastAsia="Calibri"/>
          <w:sz w:val="26"/>
          <w:szCs w:val="26"/>
        </w:rPr>
        <w:t>, and declining CAP en</w:t>
      </w:r>
      <w:r w:rsidR="00BE16E3">
        <w:rPr>
          <w:rFonts w:eastAsia="Calibri"/>
          <w:sz w:val="26"/>
          <w:szCs w:val="26"/>
        </w:rPr>
        <w:t>rollments</w:t>
      </w:r>
      <w:r w:rsidR="00533893" w:rsidRPr="00533893">
        <w:rPr>
          <w:rFonts w:eastAsia="Calibri"/>
          <w:sz w:val="26"/>
          <w:szCs w:val="26"/>
        </w:rPr>
        <w:t xml:space="preserve">.  A </w:t>
      </w:r>
      <w:r w:rsidR="00533893" w:rsidRPr="005E2762">
        <w:rPr>
          <w:rFonts w:eastAsia="Calibri"/>
          <w:sz w:val="26"/>
          <w:szCs w:val="26"/>
        </w:rPr>
        <w:t>majority of EDC CAP customers with in-program arrears carr</w:t>
      </w:r>
      <w:r w:rsidR="008A6193" w:rsidRPr="005E2762">
        <w:rPr>
          <w:rFonts w:eastAsia="Calibri"/>
          <w:sz w:val="26"/>
          <w:szCs w:val="26"/>
        </w:rPr>
        <w:t>ied</w:t>
      </w:r>
      <w:r w:rsidR="00533893" w:rsidRPr="005E2762">
        <w:rPr>
          <w:rFonts w:eastAsia="Calibri"/>
          <w:sz w:val="26"/>
          <w:szCs w:val="26"/>
        </w:rPr>
        <w:t xml:space="preserve"> a</w:t>
      </w:r>
      <w:r w:rsidR="008A6193" w:rsidRPr="005E2762">
        <w:rPr>
          <w:rFonts w:eastAsia="Calibri"/>
          <w:sz w:val="26"/>
          <w:szCs w:val="26"/>
        </w:rPr>
        <w:t>n</w:t>
      </w:r>
      <w:r w:rsidR="00533893" w:rsidRPr="005E2762">
        <w:rPr>
          <w:rFonts w:eastAsia="Calibri"/>
          <w:sz w:val="26"/>
          <w:szCs w:val="26"/>
        </w:rPr>
        <w:t xml:space="preserve"> </w:t>
      </w:r>
      <w:r w:rsidR="008A6193" w:rsidRPr="005E2762">
        <w:rPr>
          <w:rFonts w:eastAsia="Calibri"/>
          <w:sz w:val="26"/>
          <w:szCs w:val="26"/>
        </w:rPr>
        <w:t xml:space="preserve">average </w:t>
      </w:r>
      <w:r w:rsidR="00533893" w:rsidRPr="005E2762">
        <w:rPr>
          <w:rFonts w:eastAsia="Calibri"/>
          <w:sz w:val="26"/>
          <w:szCs w:val="26"/>
        </w:rPr>
        <w:t xml:space="preserve">balance of less than $200.  </w:t>
      </w:r>
      <w:r w:rsidR="009F2102" w:rsidRPr="005E2762">
        <w:rPr>
          <w:sz w:val="26"/>
          <w:szCs w:val="26"/>
        </w:rPr>
        <w:t>Utilities that required low-income customers to be “payment troubled” (</w:t>
      </w:r>
      <w:r w:rsidR="009F2102" w:rsidRPr="005E2762">
        <w:rPr>
          <w:i/>
          <w:sz w:val="26"/>
          <w:szCs w:val="26"/>
        </w:rPr>
        <w:t>e.g.</w:t>
      </w:r>
      <w:r w:rsidR="009F2102" w:rsidRPr="005E2762">
        <w:rPr>
          <w:sz w:val="26"/>
          <w:szCs w:val="26"/>
        </w:rPr>
        <w:t>, had a payment arrangement in the past 12 months) to qualify for CAPs had higher average PPA balances than CAPs that did not have this restriction.</w:t>
      </w:r>
      <w:r w:rsidR="00533893" w:rsidRPr="005E2762">
        <w:rPr>
          <w:rFonts w:eastAsia="Calibri"/>
          <w:sz w:val="26"/>
          <w:szCs w:val="26"/>
        </w:rPr>
        <w:t xml:space="preserve">  </w:t>
      </w:r>
    </w:p>
    <w:p w14:paraId="3531548B" w14:textId="77777777" w:rsidR="00963B06" w:rsidRPr="00865673" w:rsidRDefault="00963B06" w:rsidP="009A5DC3">
      <w:pPr>
        <w:pStyle w:val="ListParagraph"/>
        <w:tabs>
          <w:tab w:val="left" w:pos="720"/>
          <w:tab w:val="left" w:pos="990"/>
        </w:tabs>
        <w:spacing w:line="360" w:lineRule="auto"/>
        <w:rPr>
          <w:sz w:val="26"/>
          <w:szCs w:val="26"/>
        </w:rPr>
      </w:pPr>
    </w:p>
    <w:p w14:paraId="40852838" w14:textId="0BCBC74A" w:rsidR="00301D0E" w:rsidRPr="00301D0E" w:rsidRDefault="00301D0E" w:rsidP="006B27A9">
      <w:pPr>
        <w:pStyle w:val="ListParagraph"/>
        <w:numPr>
          <w:ilvl w:val="0"/>
          <w:numId w:val="2"/>
        </w:numPr>
        <w:spacing w:line="360" w:lineRule="auto"/>
        <w:rPr>
          <w:rFonts w:eastAsia="Calibri"/>
          <w:sz w:val="26"/>
          <w:szCs w:val="26"/>
        </w:rPr>
      </w:pPr>
      <w:r w:rsidRPr="00301D0E">
        <w:rPr>
          <w:b/>
          <w:sz w:val="26"/>
          <w:szCs w:val="26"/>
        </w:rPr>
        <w:t xml:space="preserve">Percentage of CAP Bills Paid In-Full: </w:t>
      </w:r>
      <w:r w:rsidRPr="00301D0E">
        <w:rPr>
          <w:rFonts w:eastAsia="Calibri"/>
          <w:sz w:val="26"/>
          <w:szCs w:val="26"/>
        </w:rPr>
        <w:t>Payment behavior of CAP customers d</w:t>
      </w:r>
      <w:r w:rsidR="00471F90">
        <w:rPr>
          <w:rFonts w:eastAsia="Calibri"/>
          <w:sz w:val="26"/>
          <w:szCs w:val="26"/>
        </w:rPr>
        <w:t>id</w:t>
      </w:r>
      <w:r w:rsidRPr="00301D0E">
        <w:rPr>
          <w:rFonts w:eastAsia="Calibri"/>
          <w:sz w:val="26"/>
          <w:szCs w:val="26"/>
        </w:rPr>
        <w:t xml:space="preserve"> not appear to have been strongly or definitively correlated to household income.  </w:t>
      </w:r>
      <w:r w:rsidR="00EF4F70">
        <w:rPr>
          <w:rFonts w:eastAsia="Calibri"/>
          <w:sz w:val="26"/>
          <w:szCs w:val="26"/>
        </w:rPr>
        <w:t xml:space="preserve">From 2012 through 2016, </w:t>
      </w:r>
      <w:r w:rsidRPr="00301D0E">
        <w:rPr>
          <w:rFonts w:eastAsia="Calibri"/>
          <w:sz w:val="26"/>
          <w:szCs w:val="26"/>
        </w:rPr>
        <w:t xml:space="preserve">EDCs reported </w:t>
      </w:r>
      <w:r w:rsidR="00CF756F">
        <w:rPr>
          <w:rFonts w:eastAsia="Calibri"/>
          <w:sz w:val="26"/>
          <w:szCs w:val="26"/>
        </w:rPr>
        <w:t xml:space="preserve">that </w:t>
      </w:r>
      <w:r w:rsidRPr="00301D0E">
        <w:rPr>
          <w:sz w:val="26"/>
          <w:szCs w:val="26"/>
        </w:rPr>
        <w:t xml:space="preserve">fewer CAP heating customers at the 101 to 150% FPIG level paid their bills in comparison to the percentage of bills paid by customers at the 51 to 100% FPIG level.  </w:t>
      </w:r>
      <w:r w:rsidRPr="00301D0E">
        <w:rPr>
          <w:rFonts w:eastAsia="Calibri"/>
          <w:sz w:val="26"/>
          <w:szCs w:val="26"/>
        </w:rPr>
        <w:t>This pattern may indicate that other factors beyond income had an impact on whether CAP utility bills were regularly paid in full.</w:t>
      </w:r>
    </w:p>
    <w:p w14:paraId="4F64D05F" w14:textId="77777777" w:rsidR="00327E27" w:rsidRDefault="00327E27">
      <w:pPr>
        <w:pStyle w:val="ListParagraph"/>
        <w:tabs>
          <w:tab w:val="left" w:pos="720"/>
          <w:tab w:val="left" w:pos="990"/>
        </w:tabs>
        <w:spacing w:line="360" w:lineRule="auto"/>
        <w:rPr>
          <w:sz w:val="26"/>
          <w:szCs w:val="26"/>
        </w:rPr>
      </w:pPr>
    </w:p>
    <w:p w14:paraId="699AB928" w14:textId="01837F78" w:rsidR="00301D0E" w:rsidRDefault="00301D0E" w:rsidP="006B27A9">
      <w:pPr>
        <w:pStyle w:val="ListParagraph"/>
        <w:numPr>
          <w:ilvl w:val="0"/>
          <w:numId w:val="2"/>
        </w:numPr>
        <w:spacing w:line="360" w:lineRule="auto"/>
        <w:rPr>
          <w:rFonts w:eastAsia="Calibri"/>
          <w:sz w:val="26"/>
          <w:szCs w:val="26"/>
        </w:rPr>
      </w:pPr>
      <w:r w:rsidRPr="00301D0E">
        <w:rPr>
          <w:b/>
          <w:sz w:val="26"/>
          <w:szCs w:val="26"/>
        </w:rPr>
        <w:lastRenderedPageBreak/>
        <w:t>CAP Default Exit and Termination Rates:</w:t>
      </w:r>
      <w:r w:rsidRPr="00CD18B1">
        <w:rPr>
          <w:sz w:val="26"/>
          <w:szCs w:val="26"/>
        </w:rPr>
        <w:t xml:space="preserve"> </w:t>
      </w:r>
      <w:r w:rsidR="00CD18B1" w:rsidRPr="00CD18B1">
        <w:rPr>
          <w:sz w:val="26"/>
          <w:szCs w:val="26"/>
        </w:rPr>
        <w:t xml:space="preserve">The study data revealed that </w:t>
      </w:r>
      <w:r w:rsidR="00F50A4A">
        <w:rPr>
          <w:sz w:val="26"/>
          <w:szCs w:val="26"/>
        </w:rPr>
        <w:t xml:space="preserve">the </w:t>
      </w:r>
      <w:r w:rsidR="00CD18B1" w:rsidRPr="00CD18B1">
        <w:rPr>
          <w:sz w:val="26"/>
          <w:szCs w:val="26"/>
        </w:rPr>
        <w:t>u</w:t>
      </w:r>
      <w:r w:rsidRPr="00CD18B1">
        <w:rPr>
          <w:rFonts w:eastAsia="Calibri"/>
          <w:sz w:val="26"/>
          <w:szCs w:val="26"/>
        </w:rPr>
        <w:t>t</w:t>
      </w:r>
      <w:r w:rsidRPr="00301D0E">
        <w:rPr>
          <w:rFonts w:eastAsia="Calibri"/>
          <w:sz w:val="26"/>
          <w:szCs w:val="26"/>
        </w:rPr>
        <w:t xml:space="preserve">ilities </w:t>
      </w:r>
      <w:r w:rsidR="00264FA4">
        <w:rPr>
          <w:rFonts w:eastAsia="Calibri"/>
          <w:sz w:val="26"/>
          <w:szCs w:val="26"/>
        </w:rPr>
        <w:t xml:space="preserve">did not </w:t>
      </w:r>
      <w:r w:rsidRPr="00301D0E">
        <w:rPr>
          <w:rFonts w:eastAsia="Calibri"/>
          <w:sz w:val="26"/>
          <w:szCs w:val="26"/>
        </w:rPr>
        <w:t>define</w:t>
      </w:r>
      <w:r w:rsidR="00A26D27">
        <w:rPr>
          <w:rFonts w:eastAsia="Calibri"/>
          <w:sz w:val="26"/>
          <w:szCs w:val="26"/>
        </w:rPr>
        <w:t>,</w:t>
      </w:r>
      <w:r w:rsidRPr="00301D0E">
        <w:rPr>
          <w:rFonts w:eastAsia="Calibri"/>
          <w:sz w:val="26"/>
          <w:szCs w:val="26"/>
        </w:rPr>
        <w:t xml:space="preserve"> track</w:t>
      </w:r>
      <w:r w:rsidR="00A26D27">
        <w:rPr>
          <w:rFonts w:eastAsia="Calibri"/>
          <w:sz w:val="26"/>
          <w:szCs w:val="26"/>
        </w:rPr>
        <w:t xml:space="preserve">, </w:t>
      </w:r>
      <w:r w:rsidR="00264FA4">
        <w:rPr>
          <w:rFonts w:eastAsia="Calibri"/>
          <w:sz w:val="26"/>
          <w:szCs w:val="26"/>
        </w:rPr>
        <w:t>or</w:t>
      </w:r>
      <w:r w:rsidR="00A26D27">
        <w:rPr>
          <w:rFonts w:eastAsia="Calibri"/>
          <w:sz w:val="26"/>
          <w:szCs w:val="26"/>
        </w:rPr>
        <w:t xml:space="preserve"> report</w:t>
      </w:r>
      <w:r w:rsidRPr="00301D0E">
        <w:rPr>
          <w:rFonts w:eastAsia="Calibri"/>
          <w:sz w:val="26"/>
          <w:szCs w:val="26"/>
        </w:rPr>
        <w:t xml:space="preserve"> CAP default exit and termination rates </w:t>
      </w:r>
      <w:r w:rsidR="00264FA4">
        <w:rPr>
          <w:rFonts w:eastAsia="Calibri"/>
          <w:sz w:val="26"/>
          <w:szCs w:val="26"/>
        </w:rPr>
        <w:t>uniformly</w:t>
      </w:r>
      <w:r w:rsidRPr="00301D0E">
        <w:rPr>
          <w:rFonts w:eastAsia="Calibri"/>
          <w:sz w:val="26"/>
          <w:szCs w:val="26"/>
        </w:rPr>
        <w:t xml:space="preserve">.  </w:t>
      </w:r>
      <w:r w:rsidR="004705EF">
        <w:rPr>
          <w:rFonts w:eastAsia="Calibri"/>
          <w:sz w:val="26"/>
          <w:szCs w:val="26"/>
        </w:rPr>
        <w:t>While there w</w:t>
      </w:r>
      <w:r w:rsidR="003F4649">
        <w:rPr>
          <w:rFonts w:eastAsia="Calibri"/>
          <w:sz w:val="26"/>
          <w:szCs w:val="26"/>
        </w:rPr>
        <w:t>ere</w:t>
      </w:r>
      <w:r w:rsidRPr="00301D0E" w:rsidDel="00BE457D">
        <w:rPr>
          <w:rFonts w:eastAsia="Calibri"/>
          <w:sz w:val="26"/>
          <w:szCs w:val="26"/>
        </w:rPr>
        <w:t xml:space="preserve"> </w:t>
      </w:r>
      <w:r w:rsidRPr="00301D0E">
        <w:rPr>
          <w:rFonts w:eastAsia="Calibri"/>
          <w:sz w:val="26"/>
          <w:szCs w:val="26"/>
        </w:rPr>
        <w:t>inconsistencies</w:t>
      </w:r>
      <w:r w:rsidR="00204CFD">
        <w:rPr>
          <w:rFonts w:eastAsia="Calibri"/>
          <w:sz w:val="26"/>
          <w:szCs w:val="26"/>
        </w:rPr>
        <w:t xml:space="preserve"> </w:t>
      </w:r>
      <w:r w:rsidR="003F4649">
        <w:rPr>
          <w:rFonts w:eastAsia="Calibri"/>
          <w:sz w:val="26"/>
          <w:szCs w:val="26"/>
        </w:rPr>
        <w:t xml:space="preserve">in the data </w:t>
      </w:r>
      <w:r w:rsidR="001D475C">
        <w:rPr>
          <w:rFonts w:eastAsia="Calibri"/>
          <w:sz w:val="26"/>
          <w:szCs w:val="26"/>
        </w:rPr>
        <w:t xml:space="preserve">tracking and reporting </w:t>
      </w:r>
      <w:r w:rsidR="00204CFD">
        <w:rPr>
          <w:rFonts w:eastAsia="Calibri"/>
          <w:sz w:val="26"/>
          <w:szCs w:val="26"/>
        </w:rPr>
        <w:t>among the utilities</w:t>
      </w:r>
      <w:r w:rsidR="00BE457D">
        <w:rPr>
          <w:rFonts w:eastAsia="Calibri"/>
          <w:sz w:val="26"/>
          <w:szCs w:val="26"/>
        </w:rPr>
        <w:t xml:space="preserve"> and data voids within </w:t>
      </w:r>
      <w:r w:rsidR="00D9024B">
        <w:rPr>
          <w:rFonts w:eastAsia="Calibri"/>
          <w:sz w:val="26"/>
          <w:szCs w:val="26"/>
        </w:rPr>
        <w:t xml:space="preserve">the </w:t>
      </w:r>
      <w:r w:rsidR="00BE457D">
        <w:rPr>
          <w:rFonts w:eastAsia="Calibri"/>
          <w:sz w:val="26"/>
          <w:szCs w:val="26"/>
        </w:rPr>
        <w:t>utilities for all the study elements</w:t>
      </w:r>
      <w:r w:rsidRPr="00301D0E">
        <w:rPr>
          <w:rFonts w:eastAsia="Calibri"/>
          <w:sz w:val="26"/>
          <w:szCs w:val="26"/>
        </w:rPr>
        <w:t xml:space="preserve">, </w:t>
      </w:r>
      <w:r w:rsidR="00BE457D">
        <w:rPr>
          <w:rFonts w:eastAsia="Calibri"/>
          <w:sz w:val="26"/>
          <w:szCs w:val="26"/>
        </w:rPr>
        <w:t xml:space="preserve">the inconsistencies </w:t>
      </w:r>
      <w:r w:rsidR="001D475C">
        <w:rPr>
          <w:rFonts w:eastAsia="Calibri"/>
          <w:sz w:val="26"/>
          <w:szCs w:val="26"/>
        </w:rPr>
        <w:t xml:space="preserve">and voids </w:t>
      </w:r>
      <w:r w:rsidR="008E6964">
        <w:rPr>
          <w:rFonts w:eastAsia="Calibri"/>
          <w:sz w:val="26"/>
          <w:szCs w:val="26"/>
        </w:rPr>
        <w:t xml:space="preserve">in default exit and termination rates were </w:t>
      </w:r>
      <w:r w:rsidR="00E917EB">
        <w:rPr>
          <w:rFonts w:eastAsia="Calibri"/>
          <w:sz w:val="26"/>
          <w:szCs w:val="26"/>
        </w:rPr>
        <w:t xml:space="preserve">so </w:t>
      </w:r>
      <w:r w:rsidR="000F545D">
        <w:rPr>
          <w:rFonts w:eastAsia="Calibri"/>
          <w:sz w:val="26"/>
          <w:szCs w:val="26"/>
        </w:rPr>
        <w:t xml:space="preserve">extensive that </w:t>
      </w:r>
      <w:r w:rsidRPr="00301D0E">
        <w:rPr>
          <w:rFonts w:eastAsia="Calibri"/>
          <w:sz w:val="26"/>
          <w:szCs w:val="26"/>
        </w:rPr>
        <w:t xml:space="preserve">staff could not </w:t>
      </w:r>
      <w:r w:rsidR="000F545D">
        <w:rPr>
          <w:rFonts w:eastAsia="Calibri"/>
          <w:sz w:val="26"/>
          <w:szCs w:val="26"/>
        </w:rPr>
        <w:t xml:space="preserve">make </w:t>
      </w:r>
      <w:r w:rsidR="00797125">
        <w:rPr>
          <w:rFonts w:eastAsia="Calibri"/>
          <w:sz w:val="26"/>
          <w:szCs w:val="26"/>
        </w:rPr>
        <w:t xml:space="preserve">reliable </w:t>
      </w:r>
      <w:r w:rsidR="000F545D">
        <w:rPr>
          <w:rFonts w:eastAsia="Calibri"/>
          <w:sz w:val="26"/>
          <w:szCs w:val="26"/>
        </w:rPr>
        <w:t xml:space="preserve">comparisons for </w:t>
      </w:r>
      <w:r w:rsidRPr="00301D0E">
        <w:rPr>
          <w:rFonts w:eastAsia="Calibri"/>
          <w:sz w:val="26"/>
          <w:szCs w:val="26"/>
        </w:rPr>
        <w:t xml:space="preserve">these data points or </w:t>
      </w:r>
      <w:r w:rsidR="00182FC3">
        <w:rPr>
          <w:rFonts w:eastAsia="Calibri"/>
          <w:sz w:val="26"/>
          <w:szCs w:val="26"/>
        </w:rPr>
        <w:t xml:space="preserve">develop </w:t>
      </w:r>
      <w:r w:rsidRPr="00301D0E">
        <w:rPr>
          <w:rFonts w:eastAsia="Calibri"/>
          <w:sz w:val="26"/>
          <w:szCs w:val="26"/>
        </w:rPr>
        <w:t xml:space="preserve">definitive </w:t>
      </w:r>
      <w:r w:rsidR="00204CFD">
        <w:rPr>
          <w:rFonts w:eastAsia="Calibri"/>
          <w:sz w:val="26"/>
          <w:szCs w:val="26"/>
        </w:rPr>
        <w:t xml:space="preserve">observations </w:t>
      </w:r>
      <w:r w:rsidR="00E3789F">
        <w:rPr>
          <w:rFonts w:eastAsia="Calibri"/>
          <w:sz w:val="26"/>
          <w:szCs w:val="26"/>
        </w:rPr>
        <w:t xml:space="preserve">based </w:t>
      </w:r>
      <w:r w:rsidR="00FC106F">
        <w:rPr>
          <w:rFonts w:eastAsia="Calibri"/>
          <w:sz w:val="26"/>
          <w:szCs w:val="26"/>
        </w:rPr>
        <w:t>o</w:t>
      </w:r>
      <w:r w:rsidR="00E3789F">
        <w:rPr>
          <w:rFonts w:eastAsia="Calibri"/>
          <w:sz w:val="26"/>
          <w:szCs w:val="26"/>
        </w:rPr>
        <w:t xml:space="preserve">n </w:t>
      </w:r>
      <w:r w:rsidR="00FC106F">
        <w:rPr>
          <w:rFonts w:eastAsia="Calibri"/>
          <w:sz w:val="26"/>
          <w:szCs w:val="26"/>
        </w:rPr>
        <w:t xml:space="preserve">CAP defaults or terminations </w:t>
      </w:r>
      <w:r w:rsidRPr="00301D0E">
        <w:rPr>
          <w:rFonts w:eastAsia="Calibri"/>
          <w:sz w:val="26"/>
          <w:szCs w:val="26"/>
        </w:rPr>
        <w:t>at this time.</w:t>
      </w:r>
    </w:p>
    <w:p w14:paraId="6FBE1BE7" w14:textId="77777777" w:rsidR="00301D0E" w:rsidRPr="00301D0E" w:rsidRDefault="00301D0E" w:rsidP="006F4185">
      <w:pPr>
        <w:pStyle w:val="ListParagraph"/>
        <w:spacing w:line="360" w:lineRule="auto"/>
        <w:rPr>
          <w:rFonts w:eastAsia="Calibri"/>
          <w:sz w:val="26"/>
          <w:szCs w:val="26"/>
        </w:rPr>
      </w:pPr>
    </w:p>
    <w:p w14:paraId="6B416E18" w14:textId="2D6CBBD5" w:rsidR="003171F8" w:rsidRPr="003171F8" w:rsidRDefault="00301D0E" w:rsidP="00554EC1">
      <w:pPr>
        <w:pStyle w:val="ListParagraph"/>
        <w:numPr>
          <w:ilvl w:val="0"/>
          <w:numId w:val="2"/>
        </w:numPr>
        <w:spacing w:line="360" w:lineRule="auto"/>
        <w:rPr>
          <w:rFonts w:eastAsia="Calibri"/>
          <w:sz w:val="26"/>
          <w:szCs w:val="26"/>
        </w:rPr>
      </w:pPr>
      <w:r w:rsidRPr="003171F8">
        <w:rPr>
          <w:rFonts w:eastAsia="Calibri"/>
          <w:b/>
          <w:sz w:val="26"/>
          <w:szCs w:val="26"/>
        </w:rPr>
        <w:t xml:space="preserve">Non-CAP Residential and Confirmed Low-Income </w:t>
      </w:r>
      <w:r w:rsidR="004460B1">
        <w:rPr>
          <w:rFonts w:eastAsia="Calibri"/>
          <w:b/>
          <w:sz w:val="26"/>
          <w:szCs w:val="26"/>
        </w:rPr>
        <w:t xml:space="preserve">(CLI) </w:t>
      </w:r>
      <w:r w:rsidRPr="003171F8">
        <w:rPr>
          <w:rFonts w:eastAsia="Calibri"/>
          <w:b/>
          <w:sz w:val="26"/>
          <w:szCs w:val="26"/>
        </w:rPr>
        <w:t>Customer Debt:</w:t>
      </w:r>
      <w:r w:rsidR="00BB0962">
        <w:rPr>
          <w:rFonts w:eastAsia="Calibri"/>
          <w:sz w:val="26"/>
          <w:szCs w:val="26"/>
        </w:rPr>
        <w:t xml:space="preserve"> </w:t>
      </w:r>
      <w:r w:rsidR="00CE76B9" w:rsidRPr="00940E8F">
        <w:rPr>
          <w:rFonts w:eastAsia="Calibri"/>
          <w:sz w:val="26"/>
          <w:szCs w:val="26"/>
        </w:rPr>
        <w:t xml:space="preserve">CLI customers are </w:t>
      </w:r>
      <w:r w:rsidR="00033958" w:rsidRPr="00940E8F">
        <w:rPr>
          <w:rFonts w:eastAsia="Calibri"/>
          <w:sz w:val="26"/>
          <w:szCs w:val="26"/>
        </w:rPr>
        <w:t>income-eligible for CAP but not enrolled in CAP</w:t>
      </w:r>
      <w:r w:rsidR="0094037B">
        <w:rPr>
          <w:rFonts w:eastAsia="Calibri"/>
          <w:sz w:val="26"/>
          <w:szCs w:val="26"/>
        </w:rPr>
        <w:t>; they are a subset of non</w:t>
      </w:r>
      <w:r w:rsidR="002A2272">
        <w:rPr>
          <w:rFonts w:eastAsia="Calibri"/>
          <w:sz w:val="26"/>
          <w:szCs w:val="26"/>
        </w:rPr>
        <w:t>-CAP residential customers</w:t>
      </w:r>
      <w:r w:rsidR="00033958" w:rsidRPr="00940E8F">
        <w:rPr>
          <w:rFonts w:eastAsia="Calibri"/>
          <w:sz w:val="26"/>
          <w:szCs w:val="26"/>
        </w:rPr>
        <w:t xml:space="preserve">.  </w:t>
      </w:r>
      <w:r w:rsidR="003171F8" w:rsidRPr="00033958">
        <w:rPr>
          <w:rFonts w:eastAsia="Calibri"/>
          <w:sz w:val="26"/>
          <w:szCs w:val="26"/>
        </w:rPr>
        <w:t>The</w:t>
      </w:r>
      <w:r w:rsidR="003171F8" w:rsidRPr="003171F8">
        <w:rPr>
          <w:rFonts w:eastAsia="Calibri"/>
          <w:sz w:val="26"/>
          <w:szCs w:val="26"/>
        </w:rPr>
        <w:t xml:space="preserve"> number of NGDC and EDC </w:t>
      </w:r>
      <w:r w:rsidR="002615A8">
        <w:rPr>
          <w:rFonts w:eastAsia="Calibri"/>
          <w:sz w:val="26"/>
          <w:szCs w:val="26"/>
        </w:rPr>
        <w:t>CLI</w:t>
      </w:r>
      <w:r w:rsidR="003171F8" w:rsidRPr="003171F8">
        <w:rPr>
          <w:rFonts w:eastAsia="Calibri"/>
          <w:sz w:val="26"/>
          <w:szCs w:val="26"/>
        </w:rPr>
        <w:t xml:space="preserve"> customers in debt </w:t>
      </w:r>
      <w:r w:rsidR="005A4334">
        <w:rPr>
          <w:rFonts w:eastAsia="Calibri"/>
          <w:sz w:val="26"/>
          <w:szCs w:val="26"/>
        </w:rPr>
        <w:t xml:space="preserve">to the utility </w:t>
      </w:r>
      <w:r w:rsidR="007871B4">
        <w:rPr>
          <w:rFonts w:eastAsia="Calibri"/>
          <w:sz w:val="26"/>
          <w:szCs w:val="26"/>
        </w:rPr>
        <w:t xml:space="preserve">but </w:t>
      </w:r>
      <w:r w:rsidR="003171F8" w:rsidRPr="003171F8">
        <w:rPr>
          <w:rFonts w:eastAsia="Calibri"/>
          <w:sz w:val="26"/>
          <w:szCs w:val="26"/>
        </w:rPr>
        <w:t xml:space="preserve">not on payment agreements declined from 2012 to 2016. </w:t>
      </w:r>
      <w:r w:rsidR="0030648D">
        <w:rPr>
          <w:rFonts w:eastAsia="Calibri"/>
          <w:sz w:val="26"/>
          <w:szCs w:val="26"/>
        </w:rPr>
        <w:t xml:space="preserve"> </w:t>
      </w:r>
      <w:r w:rsidR="003171F8" w:rsidRPr="003171F8">
        <w:rPr>
          <w:rFonts w:eastAsia="Calibri"/>
          <w:sz w:val="26"/>
          <w:szCs w:val="26"/>
        </w:rPr>
        <w:t xml:space="preserve">This may indicate that utilities were having greater success in either enrolling low-income customers into CAPs or establishing payment </w:t>
      </w:r>
      <w:r w:rsidR="003171F8" w:rsidRPr="00B64AE3">
        <w:rPr>
          <w:rFonts w:eastAsia="Calibri"/>
          <w:sz w:val="26"/>
          <w:szCs w:val="26"/>
        </w:rPr>
        <w:t>agreements.</w:t>
      </w:r>
      <w:r w:rsidR="004D2539" w:rsidRPr="00B64AE3">
        <w:rPr>
          <w:rStyle w:val="FootnoteReference"/>
          <w:sz w:val="26"/>
          <w:szCs w:val="26"/>
        </w:rPr>
        <w:footnoteReference w:id="13"/>
      </w:r>
      <w:r w:rsidR="003171F8" w:rsidRPr="003171F8">
        <w:rPr>
          <w:rFonts w:eastAsia="Calibri"/>
          <w:sz w:val="26"/>
          <w:szCs w:val="26"/>
        </w:rPr>
        <w:t xml:space="preserve">   </w:t>
      </w:r>
    </w:p>
    <w:p w14:paraId="48296E41" w14:textId="77777777" w:rsidR="00301D0E" w:rsidRPr="00865673" w:rsidRDefault="00301D0E" w:rsidP="004F274C">
      <w:pPr>
        <w:pStyle w:val="NoSpacing"/>
        <w:spacing w:line="360" w:lineRule="auto"/>
        <w:contextualSpacing/>
        <w:rPr>
          <w:rFonts w:ascii="Times New Roman" w:hAnsi="Times New Roman" w:cs="Times New Roman"/>
          <w:sz w:val="26"/>
          <w:szCs w:val="26"/>
        </w:rPr>
      </w:pPr>
    </w:p>
    <w:p w14:paraId="1985E7C2" w14:textId="08661619" w:rsidR="00D65E9D" w:rsidRDefault="003171F8" w:rsidP="00B86814">
      <w:pPr>
        <w:pStyle w:val="ListParagraph"/>
        <w:numPr>
          <w:ilvl w:val="0"/>
          <w:numId w:val="2"/>
        </w:numPr>
        <w:spacing w:line="360" w:lineRule="auto"/>
        <w:rPr>
          <w:sz w:val="26"/>
          <w:szCs w:val="26"/>
        </w:rPr>
      </w:pPr>
      <w:r w:rsidRPr="00D65E9D">
        <w:rPr>
          <w:b/>
          <w:sz w:val="26"/>
          <w:szCs w:val="26"/>
        </w:rPr>
        <w:t xml:space="preserve">Review of Other State Programs and Relevant Studies: </w:t>
      </w:r>
      <w:r w:rsidRPr="00D65E9D">
        <w:rPr>
          <w:sz w:val="26"/>
          <w:szCs w:val="26"/>
        </w:rPr>
        <w:t xml:space="preserve">Pennsylvania’s maximum energy burdens in the CAP Policy Statement </w:t>
      </w:r>
      <w:r w:rsidR="00C42A66" w:rsidRPr="00D65E9D">
        <w:rPr>
          <w:sz w:val="26"/>
          <w:szCs w:val="26"/>
        </w:rPr>
        <w:t>(5-17%</w:t>
      </w:r>
      <w:r w:rsidR="00411D70" w:rsidRPr="00D65E9D">
        <w:rPr>
          <w:sz w:val="26"/>
          <w:szCs w:val="26"/>
        </w:rPr>
        <w:t>,</w:t>
      </w:r>
      <w:r w:rsidR="00C42A66" w:rsidRPr="00D65E9D">
        <w:rPr>
          <w:sz w:val="26"/>
          <w:szCs w:val="26"/>
        </w:rPr>
        <w:t xml:space="preserve"> </w:t>
      </w:r>
      <w:r w:rsidR="000F0481" w:rsidRPr="00D65E9D">
        <w:rPr>
          <w:sz w:val="26"/>
          <w:szCs w:val="26"/>
        </w:rPr>
        <w:t xml:space="preserve">depending on the energy </w:t>
      </w:r>
      <w:r w:rsidR="00411D70" w:rsidRPr="00D65E9D">
        <w:rPr>
          <w:sz w:val="26"/>
          <w:szCs w:val="26"/>
        </w:rPr>
        <w:t xml:space="preserve">status, </w:t>
      </w:r>
      <w:r w:rsidR="00942A89" w:rsidRPr="00D65E9D">
        <w:rPr>
          <w:sz w:val="26"/>
          <w:szCs w:val="26"/>
        </w:rPr>
        <w:t xml:space="preserve">fuel </w:t>
      </w:r>
      <w:r w:rsidR="00411D70" w:rsidRPr="00D65E9D">
        <w:rPr>
          <w:sz w:val="26"/>
          <w:szCs w:val="26"/>
        </w:rPr>
        <w:t>source, and FPIG</w:t>
      </w:r>
      <w:r w:rsidR="00C42A66" w:rsidRPr="00D65E9D">
        <w:rPr>
          <w:sz w:val="26"/>
          <w:szCs w:val="26"/>
        </w:rPr>
        <w:t xml:space="preserve">) </w:t>
      </w:r>
      <w:r w:rsidR="00942A89" w:rsidRPr="00D65E9D">
        <w:rPr>
          <w:sz w:val="26"/>
          <w:szCs w:val="26"/>
        </w:rPr>
        <w:t>were</w:t>
      </w:r>
      <w:r w:rsidRPr="00D65E9D">
        <w:rPr>
          <w:sz w:val="26"/>
          <w:szCs w:val="26"/>
        </w:rPr>
        <w:t xml:space="preserve"> </w:t>
      </w:r>
      <w:r w:rsidR="00E31CDD" w:rsidRPr="00D65E9D">
        <w:rPr>
          <w:sz w:val="26"/>
          <w:szCs w:val="26"/>
        </w:rPr>
        <w:t xml:space="preserve">generally </w:t>
      </w:r>
      <w:r w:rsidRPr="00D65E9D">
        <w:rPr>
          <w:sz w:val="26"/>
          <w:szCs w:val="26"/>
        </w:rPr>
        <w:t xml:space="preserve">higher than maximum energy burdens </w:t>
      </w:r>
      <w:r w:rsidR="0056638D" w:rsidRPr="00D65E9D">
        <w:rPr>
          <w:sz w:val="26"/>
          <w:szCs w:val="26"/>
        </w:rPr>
        <w:t xml:space="preserve">in </w:t>
      </w:r>
      <w:r w:rsidRPr="00D65E9D">
        <w:rPr>
          <w:sz w:val="26"/>
          <w:szCs w:val="26"/>
        </w:rPr>
        <w:t>neighboring states.  Ohio’s utility payment assistance program has a maximum energy burden of 10%.</w:t>
      </w:r>
      <w:r w:rsidR="006B5155">
        <w:rPr>
          <w:rStyle w:val="FootnoteReference"/>
          <w:sz w:val="26"/>
          <w:szCs w:val="26"/>
        </w:rPr>
        <w:footnoteReference w:id="14"/>
      </w:r>
      <w:r w:rsidRPr="00D65E9D">
        <w:rPr>
          <w:sz w:val="26"/>
          <w:szCs w:val="26"/>
        </w:rPr>
        <w:t xml:space="preserve">  New Jersey’s utility payment assistance program </w:t>
      </w:r>
      <w:r w:rsidR="00DE01AD" w:rsidRPr="00D65E9D">
        <w:rPr>
          <w:sz w:val="26"/>
          <w:szCs w:val="26"/>
        </w:rPr>
        <w:t>has</w:t>
      </w:r>
      <w:r w:rsidRPr="00D65E9D">
        <w:rPr>
          <w:sz w:val="26"/>
          <w:szCs w:val="26"/>
        </w:rPr>
        <w:t xml:space="preserve"> a maximum energy burden of</w:t>
      </w:r>
      <w:r w:rsidR="009044D1" w:rsidRPr="00D65E9D">
        <w:rPr>
          <w:sz w:val="26"/>
          <w:szCs w:val="26"/>
        </w:rPr>
        <w:t> </w:t>
      </w:r>
      <w:r w:rsidRPr="00D65E9D">
        <w:rPr>
          <w:sz w:val="26"/>
          <w:szCs w:val="26"/>
        </w:rPr>
        <w:t>6%</w:t>
      </w:r>
      <w:r w:rsidR="009B2652" w:rsidRPr="00D65E9D">
        <w:rPr>
          <w:sz w:val="26"/>
          <w:szCs w:val="26"/>
        </w:rPr>
        <w:t xml:space="preserve"> for total electric and </w:t>
      </w:r>
      <w:r w:rsidR="00F5710D" w:rsidRPr="00D65E9D">
        <w:rPr>
          <w:sz w:val="26"/>
          <w:szCs w:val="26"/>
        </w:rPr>
        <w:t xml:space="preserve">for combined </w:t>
      </w:r>
      <w:r w:rsidR="00F5710D" w:rsidRPr="00D65E9D">
        <w:rPr>
          <w:sz w:val="26"/>
          <w:szCs w:val="26"/>
        </w:rPr>
        <w:lastRenderedPageBreak/>
        <w:t>gas and electric</w:t>
      </w:r>
      <w:r w:rsidR="00D65E9D">
        <w:rPr>
          <w:sz w:val="26"/>
          <w:szCs w:val="26"/>
        </w:rPr>
        <w:t>.</w:t>
      </w:r>
      <w:r w:rsidR="006B5155">
        <w:rPr>
          <w:rStyle w:val="FootnoteReference"/>
          <w:rFonts w:eastAsia="Calibri"/>
          <w:sz w:val="26"/>
          <w:szCs w:val="26"/>
        </w:rPr>
        <w:footnoteReference w:id="15"/>
      </w:r>
      <w:r w:rsidR="006B5155">
        <w:rPr>
          <w:sz w:val="26"/>
          <w:szCs w:val="26"/>
        </w:rPr>
        <w:t xml:space="preserve">  </w:t>
      </w:r>
      <w:r w:rsidR="006B5155">
        <w:rPr>
          <w:rFonts w:eastAsia="Calibri"/>
          <w:sz w:val="26"/>
          <w:szCs w:val="26"/>
        </w:rPr>
        <w:t>The maximum energy burden for New York’s payment assistance program is 6% for gas and electric service.</w:t>
      </w:r>
      <w:r w:rsidR="006B5155">
        <w:rPr>
          <w:rStyle w:val="FootnoteReference"/>
          <w:rFonts w:eastAsia="Calibri"/>
          <w:sz w:val="26"/>
          <w:szCs w:val="26"/>
        </w:rPr>
        <w:footnoteReference w:id="16"/>
      </w:r>
      <w:r w:rsidR="006B5155">
        <w:rPr>
          <w:sz w:val="26"/>
          <w:szCs w:val="26"/>
        </w:rPr>
        <w:t xml:space="preserve"> </w:t>
      </w:r>
    </w:p>
    <w:p w14:paraId="78F779A0" w14:textId="77777777" w:rsidR="00B86814" w:rsidRPr="00B6659D" w:rsidRDefault="00B86814" w:rsidP="00B6659D">
      <w:pPr>
        <w:pStyle w:val="NoSpacing"/>
        <w:spacing w:line="360" w:lineRule="auto"/>
        <w:contextualSpacing/>
        <w:rPr>
          <w:rFonts w:ascii="Times New Roman" w:hAnsi="Times New Roman" w:cs="Times New Roman"/>
          <w:sz w:val="26"/>
          <w:szCs w:val="26"/>
        </w:rPr>
      </w:pPr>
    </w:p>
    <w:p w14:paraId="3113895E" w14:textId="3D0B1B9F" w:rsidR="002B4260" w:rsidRDefault="002B4260" w:rsidP="00B86814">
      <w:pPr>
        <w:pStyle w:val="NoSpacing"/>
        <w:spacing w:line="360" w:lineRule="auto"/>
        <w:ind w:left="720"/>
        <w:contextualSpacing/>
        <w:rPr>
          <w:rFonts w:ascii="Times New Roman" w:hAnsi="Times New Roman" w:cs="Times New Roman"/>
          <w:sz w:val="26"/>
          <w:szCs w:val="26"/>
        </w:rPr>
      </w:pPr>
      <w:r>
        <w:rPr>
          <w:rFonts w:ascii="Times New Roman" w:hAnsi="Times New Roman" w:cs="Times New Roman"/>
          <w:sz w:val="26"/>
          <w:szCs w:val="26"/>
        </w:rPr>
        <w:tab/>
      </w:r>
      <w:r w:rsidR="00BE343B">
        <w:rPr>
          <w:rFonts w:ascii="Times New Roman" w:hAnsi="Times New Roman" w:cs="Times New Roman"/>
          <w:sz w:val="26"/>
          <w:szCs w:val="26"/>
        </w:rPr>
        <w:t xml:space="preserve">Staff noted that </w:t>
      </w:r>
      <w:r w:rsidR="004A3980">
        <w:rPr>
          <w:rFonts w:ascii="Times New Roman" w:hAnsi="Times New Roman" w:cs="Times New Roman"/>
          <w:sz w:val="26"/>
          <w:szCs w:val="26"/>
        </w:rPr>
        <w:t xml:space="preserve">none of </w:t>
      </w:r>
      <w:r>
        <w:rPr>
          <w:rFonts w:ascii="Times New Roman" w:hAnsi="Times New Roman" w:cs="Times New Roman"/>
          <w:sz w:val="26"/>
          <w:szCs w:val="26"/>
        </w:rPr>
        <w:t xml:space="preserve">the literature reviewed </w:t>
      </w:r>
      <w:r w:rsidR="00BE343B">
        <w:rPr>
          <w:rFonts w:ascii="Times New Roman" w:hAnsi="Times New Roman" w:cs="Times New Roman"/>
          <w:sz w:val="26"/>
          <w:szCs w:val="26"/>
        </w:rPr>
        <w:t xml:space="preserve">in preparation of the Report </w:t>
      </w:r>
      <w:r w:rsidR="004A3980">
        <w:rPr>
          <w:rFonts w:ascii="Times New Roman" w:hAnsi="Times New Roman" w:cs="Times New Roman"/>
          <w:sz w:val="26"/>
          <w:szCs w:val="26"/>
        </w:rPr>
        <w:t xml:space="preserve">revealed </w:t>
      </w:r>
      <w:r w:rsidR="002B2298">
        <w:rPr>
          <w:rFonts w:ascii="Times New Roman" w:hAnsi="Times New Roman" w:cs="Times New Roman"/>
          <w:sz w:val="26"/>
          <w:szCs w:val="26"/>
        </w:rPr>
        <w:t xml:space="preserve">a generally accepted definition of </w:t>
      </w:r>
      <w:r w:rsidR="004A3980">
        <w:rPr>
          <w:rFonts w:ascii="Times New Roman" w:hAnsi="Times New Roman" w:cs="Times New Roman"/>
          <w:sz w:val="26"/>
          <w:szCs w:val="26"/>
        </w:rPr>
        <w:t>“</w:t>
      </w:r>
      <w:r w:rsidR="002B2298">
        <w:rPr>
          <w:rFonts w:ascii="Times New Roman" w:hAnsi="Times New Roman" w:cs="Times New Roman"/>
          <w:sz w:val="26"/>
          <w:szCs w:val="26"/>
        </w:rPr>
        <w:t>energy affordability</w:t>
      </w:r>
      <w:r w:rsidR="001657D8">
        <w:rPr>
          <w:rFonts w:ascii="Times New Roman" w:hAnsi="Times New Roman" w:cs="Times New Roman"/>
          <w:sz w:val="26"/>
          <w:szCs w:val="26"/>
        </w:rPr>
        <w:t>.</w:t>
      </w:r>
      <w:r w:rsidR="004A3980">
        <w:rPr>
          <w:rFonts w:ascii="Times New Roman" w:hAnsi="Times New Roman" w:cs="Times New Roman"/>
          <w:sz w:val="26"/>
          <w:szCs w:val="26"/>
        </w:rPr>
        <w:t xml:space="preserve">”  </w:t>
      </w:r>
      <w:r w:rsidR="002923F2">
        <w:rPr>
          <w:rFonts w:ascii="Times New Roman" w:hAnsi="Times New Roman" w:cs="Times New Roman"/>
          <w:sz w:val="26"/>
          <w:szCs w:val="26"/>
        </w:rPr>
        <w:t xml:space="preserve">Staff </w:t>
      </w:r>
      <w:r w:rsidR="001657D8">
        <w:rPr>
          <w:rFonts w:ascii="Times New Roman" w:hAnsi="Times New Roman" w:cs="Times New Roman"/>
          <w:sz w:val="26"/>
          <w:szCs w:val="26"/>
        </w:rPr>
        <w:t xml:space="preserve">did not identify a </w:t>
      </w:r>
      <w:r w:rsidR="00BD7E5D">
        <w:rPr>
          <w:rFonts w:ascii="Times New Roman" w:hAnsi="Times New Roman" w:cs="Times New Roman"/>
          <w:sz w:val="26"/>
          <w:szCs w:val="26"/>
        </w:rPr>
        <w:t>predominant best</w:t>
      </w:r>
      <w:r w:rsidR="001775F3">
        <w:rPr>
          <w:rFonts w:ascii="Times New Roman" w:hAnsi="Times New Roman" w:cs="Times New Roman"/>
          <w:sz w:val="26"/>
          <w:szCs w:val="26"/>
        </w:rPr>
        <w:t xml:space="preserve"> </w:t>
      </w:r>
      <w:r w:rsidR="00BD7E5D">
        <w:rPr>
          <w:rFonts w:ascii="Times New Roman" w:hAnsi="Times New Roman" w:cs="Times New Roman"/>
          <w:sz w:val="26"/>
          <w:szCs w:val="26"/>
        </w:rPr>
        <w:t>practice</w:t>
      </w:r>
      <w:r w:rsidR="001657D8">
        <w:rPr>
          <w:rFonts w:ascii="Times New Roman" w:hAnsi="Times New Roman" w:cs="Times New Roman"/>
          <w:sz w:val="26"/>
          <w:szCs w:val="26"/>
        </w:rPr>
        <w:t xml:space="preserve"> </w:t>
      </w:r>
      <w:r w:rsidR="006A0AC5">
        <w:rPr>
          <w:rFonts w:ascii="Times New Roman" w:hAnsi="Times New Roman" w:cs="Times New Roman"/>
          <w:sz w:val="26"/>
          <w:szCs w:val="26"/>
        </w:rPr>
        <w:t xml:space="preserve">or consistent energy burden </w:t>
      </w:r>
      <w:r w:rsidR="00902E7D">
        <w:rPr>
          <w:rFonts w:ascii="Times New Roman" w:hAnsi="Times New Roman" w:cs="Times New Roman"/>
          <w:sz w:val="26"/>
          <w:szCs w:val="26"/>
        </w:rPr>
        <w:t>among the other states</w:t>
      </w:r>
      <w:r w:rsidR="00EF66B2">
        <w:rPr>
          <w:rFonts w:ascii="Times New Roman" w:hAnsi="Times New Roman" w:cs="Times New Roman"/>
          <w:sz w:val="26"/>
          <w:szCs w:val="26"/>
        </w:rPr>
        <w:t>.</w:t>
      </w:r>
    </w:p>
    <w:p w14:paraId="163F873D" w14:textId="77777777" w:rsidR="00EC51C1" w:rsidRPr="00865673" w:rsidRDefault="00EC51C1" w:rsidP="002B4260">
      <w:pPr>
        <w:pStyle w:val="NoSpacing"/>
        <w:spacing w:line="360" w:lineRule="auto"/>
        <w:ind w:left="720" w:hanging="720"/>
        <w:contextualSpacing/>
        <w:rPr>
          <w:rFonts w:ascii="Times New Roman" w:hAnsi="Times New Roman" w:cs="Times New Roman"/>
          <w:sz w:val="26"/>
          <w:szCs w:val="26"/>
        </w:rPr>
      </w:pPr>
    </w:p>
    <w:p w14:paraId="637737D8" w14:textId="6D317CE0" w:rsidR="003171F8" w:rsidRPr="003171F8" w:rsidRDefault="003171F8" w:rsidP="004F274C">
      <w:pPr>
        <w:pStyle w:val="ListParagraph"/>
        <w:numPr>
          <w:ilvl w:val="0"/>
          <w:numId w:val="2"/>
        </w:numPr>
        <w:spacing w:line="360" w:lineRule="auto"/>
        <w:rPr>
          <w:sz w:val="26"/>
          <w:szCs w:val="26"/>
        </w:rPr>
      </w:pPr>
      <w:r w:rsidRPr="003171F8">
        <w:rPr>
          <w:b/>
          <w:sz w:val="26"/>
          <w:szCs w:val="26"/>
        </w:rPr>
        <w:t>CAP Costs and Forecasts:</w:t>
      </w:r>
      <w:r w:rsidRPr="003171F8">
        <w:rPr>
          <w:b/>
          <w:i/>
          <w:sz w:val="26"/>
          <w:szCs w:val="26"/>
        </w:rPr>
        <w:t xml:space="preserve"> </w:t>
      </w:r>
      <w:r w:rsidRPr="008051AC">
        <w:rPr>
          <w:sz w:val="26"/>
          <w:szCs w:val="26"/>
        </w:rPr>
        <w:t>Based</w:t>
      </w:r>
      <w:r w:rsidRPr="003171F8">
        <w:rPr>
          <w:sz w:val="26"/>
          <w:szCs w:val="26"/>
        </w:rPr>
        <w:t xml:space="preserve"> on 2012 through 2016 average CAP bills and income levels, the total amount of additional discounts (</w:t>
      </w:r>
      <w:r w:rsidRPr="003171F8">
        <w:rPr>
          <w:i/>
          <w:sz w:val="26"/>
          <w:szCs w:val="26"/>
        </w:rPr>
        <w:t>i.e.</w:t>
      </w:r>
      <w:r w:rsidRPr="003171F8">
        <w:rPr>
          <w:sz w:val="26"/>
          <w:szCs w:val="26"/>
        </w:rPr>
        <w:t xml:space="preserve">, </w:t>
      </w:r>
      <w:r w:rsidR="00907209">
        <w:rPr>
          <w:sz w:val="26"/>
          <w:szCs w:val="26"/>
        </w:rPr>
        <w:t xml:space="preserve">increased </w:t>
      </w:r>
      <w:r w:rsidRPr="003171F8">
        <w:rPr>
          <w:sz w:val="26"/>
          <w:szCs w:val="26"/>
        </w:rPr>
        <w:t>CAP credits) that would have been needed to establish maximum energy burdens of 6%</w:t>
      </w:r>
      <w:r w:rsidR="00E83602">
        <w:rPr>
          <w:sz w:val="26"/>
          <w:szCs w:val="26"/>
        </w:rPr>
        <w:t> </w:t>
      </w:r>
      <w:r w:rsidRPr="003171F8">
        <w:rPr>
          <w:sz w:val="26"/>
          <w:szCs w:val="26"/>
        </w:rPr>
        <w:t xml:space="preserve">for gas heating, 4% for electric non-heating, and 10% for electric heating would </w:t>
      </w:r>
      <w:r w:rsidR="00BF12BF">
        <w:rPr>
          <w:sz w:val="26"/>
          <w:szCs w:val="26"/>
        </w:rPr>
        <w:t xml:space="preserve">have been </w:t>
      </w:r>
      <w:r w:rsidRPr="003171F8">
        <w:rPr>
          <w:sz w:val="26"/>
          <w:szCs w:val="26"/>
        </w:rPr>
        <w:t>approximately $102 million</w:t>
      </w:r>
      <w:r w:rsidR="00136E6B">
        <w:rPr>
          <w:sz w:val="26"/>
          <w:szCs w:val="26"/>
        </w:rPr>
        <w:t xml:space="preserve"> annually on average</w:t>
      </w:r>
      <w:r w:rsidR="00F23812">
        <w:rPr>
          <w:sz w:val="26"/>
          <w:szCs w:val="26"/>
        </w:rPr>
        <w:t xml:space="preserve">, not </w:t>
      </w:r>
      <w:r w:rsidR="00600A33">
        <w:rPr>
          <w:sz w:val="26"/>
          <w:szCs w:val="26"/>
        </w:rPr>
        <w:t>accounting for inflation</w:t>
      </w:r>
      <w:r w:rsidR="00796ADD">
        <w:rPr>
          <w:sz w:val="26"/>
          <w:szCs w:val="26"/>
        </w:rPr>
        <w:t xml:space="preserve"> or several other factors</w:t>
      </w:r>
      <w:r w:rsidR="001D4686">
        <w:rPr>
          <w:sz w:val="26"/>
          <w:szCs w:val="26"/>
        </w:rPr>
        <w:t xml:space="preserve"> or differences among the utilities</w:t>
      </w:r>
      <w:r w:rsidRPr="003171F8">
        <w:rPr>
          <w:sz w:val="26"/>
          <w:szCs w:val="26"/>
        </w:rPr>
        <w:t>.  This amount breaks down to approximately $32</w:t>
      </w:r>
      <w:r w:rsidR="00907209">
        <w:rPr>
          <w:sz w:val="26"/>
          <w:szCs w:val="26"/>
        </w:rPr>
        <w:t> </w:t>
      </w:r>
      <w:r w:rsidRPr="003171F8">
        <w:rPr>
          <w:sz w:val="26"/>
          <w:szCs w:val="26"/>
        </w:rPr>
        <w:t>million for gas heating, $62 million for electric non-heating, and $9 million for electric heating.  This additional CAP cost would have resulted in an average annual increase of $15 to non-CAP residential ratepayers’ gas and electric bills.</w:t>
      </w:r>
      <w:r w:rsidR="004357FA">
        <w:rPr>
          <w:sz w:val="26"/>
          <w:szCs w:val="26"/>
        </w:rPr>
        <w:t xml:space="preserve">  These calculations do not factor in </w:t>
      </w:r>
      <w:r w:rsidR="002A6A90">
        <w:rPr>
          <w:sz w:val="26"/>
          <w:szCs w:val="26"/>
        </w:rPr>
        <w:t>the cost of any</w:t>
      </w:r>
      <w:r w:rsidR="00FD31A7">
        <w:rPr>
          <w:sz w:val="26"/>
          <w:szCs w:val="26"/>
        </w:rPr>
        <w:t xml:space="preserve"> </w:t>
      </w:r>
      <w:r w:rsidR="00D627B5">
        <w:rPr>
          <w:sz w:val="26"/>
          <w:szCs w:val="26"/>
        </w:rPr>
        <w:t xml:space="preserve">CAP modifications </w:t>
      </w:r>
      <w:r w:rsidR="002A6A90">
        <w:rPr>
          <w:sz w:val="26"/>
          <w:szCs w:val="26"/>
        </w:rPr>
        <w:t>or any potential savings from decreased CAP credits</w:t>
      </w:r>
      <w:r w:rsidR="00FD31A7">
        <w:rPr>
          <w:sz w:val="26"/>
          <w:szCs w:val="26"/>
        </w:rPr>
        <w:t xml:space="preserve"> for </w:t>
      </w:r>
      <w:r w:rsidR="00972659">
        <w:rPr>
          <w:sz w:val="26"/>
          <w:szCs w:val="26"/>
        </w:rPr>
        <w:t xml:space="preserve">CAP customers </w:t>
      </w:r>
      <w:r w:rsidR="002A6A90">
        <w:rPr>
          <w:sz w:val="26"/>
          <w:szCs w:val="26"/>
        </w:rPr>
        <w:t>with current energy burdens</w:t>
      </w:r>
      <w:r w:rsidR="00CB179D">
        <w:rPr>
          <w:sz w:val="26"/>
          <w:szCs w:val="26"/>
        </w:rPr>
        <w:t xml:space="preserve"> less than 10%</w:t>
      </w:r>
      <w:r w:rsidR="00972659">
        <w:rPr>
          <w:sz w:val="26"/>
          <w:szCs w:val="26"/>
        </w:rPr>
        <w:t>.</w:t>
      </w:r>
      <w:r w:rsidR="004357FA">
        <w:rPr>
          <w:sz w:val="26"/>
          <w:szCs w:val="26"/>
        </w:rPr>
        <w:t xml:space="preserve"> </w:t>
      </w:r>
    </w:p>
    <w:p w14:paraId="6FA6346E" w14:textId="569E8A47" w:rsidR="003171F8" w:rsidRDefault="003171F8" w:rsidP="0093146A">
      <w:pPr>
        <w:pStyle w:val="NoSpacing"/>
        <w:spacing w:line="360" w:lineRule="auto"/>
        <w:contextualSpacing/>
        <w:rPr>
          <w:rFonts w:ascii="Times New Roman" w:hAnsi="Times New Roman" w:cs="Times New Roman"/>
          <w:sz w:val="26"/>
          <w:szCs w:val="26"/>
        </w:rPr>
      </w:pPr>
    </w:p>
    <w:p w14:paraId="0E2B04B3" w14:textId="35D31418" w:rsidR="0033329A" w:rsidRPr="00767E5B" w:rsidRDefault="00F60D86" w:rsidP="002842E9">
      <w:pPr>
        <w:pStyle w:val="NoSpacing"/>
        <w:keepNext/>
        <w:spacing w:line="360" w:lineRule="auto"/>
        <w:contextualSpacing/>
        <w:rPr>
          <w:rFonts w:ascii="Times New Roman" w:eastAsia="Calibri" w:hAnsi="Times New Roman" w:cs="Times New Roman"/>
          <w:b/>
          <w:sz w:val="26"/>
          <w:szCs w:val="26"/>
        </w:rPr>
      </w:pPr>
      <w:r w:rsidRPr="00767E5B">
        <w:rPr>
          <w:rFonts w:ascii="Times New Roman" w:hAnsi="Times New Roman" w:cs="Times New Roman"/>
          <w:b/>
          <w:sz w:val="26"/>
          <w:szCs w:val="26"/>
        </w:rPr>
        <w:lastRenderedPageBreak/>
        <w:t xml:space="preserve">REQUEST </w:t>
      </w:r>
      <w:r w:rsidR="00496071">
        <w:rPr>
          <w:rFonts w:ascii="Times New Roman" w:hAnsi="Times New Roman" w:cs="Times New Roman"/>
          <w:b/>
          <w:sz w:val="26"/>
          <w:szCs w:val="26"/>
        </w:rPr>
        <w:t xml:space="preserve">for </w:t>
      </w:r>
      <w:r w:rsidR="00514BA6">
        <w:rPr>
          <w:rFonts w:ascii="Times New Roman" w:hAnsi="Times New Roman" w:cs="Times New Roman"/>
          <w:b/>
          <w:sz w:val="26"/>
          <w:szCs w:val="26"/>
        </w:rPr>
        <w:t xml:space="preserve">SUPPLEMENTAL </w:t>
      </w:r>
      <w:r w:rsidRPr="00767E5B">
        <w:rPr>
          <w:rFonts w:ascii="Times New Roman" w:hAnsi="Times New Roman" w:cs="Times New Roman"/>
          <w:b/>
          <w:sz w:val="26"/>
          <w:szCs w:val="26"/>
        </w:rPr>
        <w:t>INFORMATION</w:t>
      </w:r>
      <w:r w:rsidR="00514BA6">
        <w:rPr>
          <w:rFonts w:ascii="Times New Roman" w:hAnsi="Times New Roman" w:cs="Times New Roman"/>
          <w:b/>
          <w:sz w:val="26"/>
          <w:szCs w:val="26"/>
        </w:rPr>
        <w:t xml:space="preserve"> </w:t>
      </w:r>
      <w:r w:rsidR="00445B6B">
        <w:rPr>
          <w:rFonts w:ascii="Times New Roman" w:hAnsi="Times New Roman" w:cs="Times New Roman"/>
          <w:b/>
          <w:sz w:val="26"/>
          <w:szCs w:val="26"/>
        </w:rPr>
        <w:t>and D</w:t>
      </w:r>
      <w:r w:rsidR="00496071">
        <w:rPr>
          <w:rFonts w:ascii="Times New Roman" w:hAnsi="Times New Roman" w:cs="Times New Roman"/>
          <w:b/>
          <w:sz w:val="26"/>
          <w:szCs w:val="26"/>
        </w:rPr>
        <w:t>ATA</w:t>
      </w:r>
    </w:p>
    <w:p w14:paraId="0B463350" w14:textId="6BF6D925" w:rsidR="009E2E1C" w:rsidRPr="006345A8" w:rsidRDefault="00005E48" w:rsidP="0086024B">
      <w:pPr>
        <w:spacing w:after="0" w:line="360" w:lineRule="auto"/>
        <w:rPr>
          <w:rFonts w:ascii="Times New Roman" w:hAnsi="Times New Roman" w:cs="Times New Roman"/>
          <w:sz w:val="26"/>
          <w:szCs w:val="26"/>
        </w:rPr>
      </w:pPr>
      <w:r>
        <w:rPr>
          <w:rFonts w:ascii="Times New Roman" w:eastAsia="Times New Roman" w:hAnsi="Times New Roman" w:cs="Times New Roman"/>
          <w:sz w:val="26"/>
          <w:szCs w:val="26"/>
        </w:rPr>
        <w:tab/>
      </w:r>
      <w:r w:rsidR="009E2E1C" w:rsidRPr="00B71661">
        <w:rPr>
          <w:rFonts w:ascii="Times New Roman" w:hAnsi="Times New Roman" w:cs="Times New Roman"/>
          <w:sz w:val="26"/>
          <w:szCs w:val="26"/>
        </w:rPr>
        <w:t xml:space="preserve">For purposes of going forward, we shall focus </w:t>
      </w:r>
      <w:r w:rsidR="0016087E">
        <w:rPr>
          <w:rFonts w:ascii="Times New Roman" w:hAnsi="Times New Roman" w:cs="Times New Roman"/>
          <w:sz w:val="26"/>
          <w:szCs w:val="26"/>
        </w:rPr>
        <w:t xml:space="preserve">initially </w:t>
      </w:r>
      <w:r w:rsidR="009E2E1C" w:rsidRPr="00B71661">
        <w:rPr>
          <w:rFonts w:ascii="Times New Roman" w:hAnsi="Times New Roman" w:cs="Times New Roman"/>
          <w:sz w:val="26"/>
          <w:szCs w:val="26"/>
        </w:rPr>
        <w:t>on determining whether the home energy affordability guidelines contained in the CAP Policy Statement are making home energy services more affordable or whether changes are warranted.</w:t>
      </w:r>
      <w:r w:rsidR="00F05DF9" w:rsidRPr="00B71661">
        <w:rPr>
          <w:rFonts w:ascii="Times New Roman" w:hAnsi="Times New Roman" w:cs="Times New Roman"/>
          <w:sz w:val="26"/>
          <w:szCs w:val="26"/>
        </w:rPr>
        <w:t xml:space="preserve">  Accordingly, we are directing the utilities to provide supplemental information and data</w:t>
      </w:r>
      <w:r w:rsidR="00210879" w:rsidRPr="00FC56B1">
        <w:rPr>
          <w:rStyle w:val="FootnoteReference"/>
          <w:rFonts w:ascii="Times New Roman" w:hAnsi="Times New Roman" w:cs="Times New Roman"/>
          <w:sz w:val="26"/>
          <w:szCs w:val="26"/>
        </w:rPr>
        <w:footnoteReference w:id="17"/>
      </w:r>
      <w:r w:rsidR="00F05DF9" w:rsidRPr="00B71661">
        <w:rPr>
          <w:rFonts w:ascii="Times New Roman" w:hAnsi="Times New Roman" w:cs="Times New Roman"/>
          <w:sz w:val="26"/>
          <w:szCs w:val="26"/>
        </w:rPr>
        <w:t xml:space="preserve"> as discussed below.</w:t>
      </w:r>
    </w:p>
    <w:p w14:paraId="5ED19982" w14:textId="7270CFED" w:rsidR="00E045C1" w:rsidRDefault="00E045C1" w:rsidP="009A5DC3">
      <w:pPr>
        <w:tabs>
          <w:tab w:val="left" w:pos="720"/>
          <w:tab w:val="left" w:pos="990"/>
        </w:tabs>
        <w:spacing w:after="0" w:line="360" w:lineRule="auto"/>
        <w:contextualSpacing/>
        <w:rPr>
          <w:rFonts w:ascii="Times New Roman" w:hAnsi="Times New Roman" w:cs="Times New Roman"/>
          <w:sz w:val="26"/>
          <w:szCs w:val="26"/>
        </w:rPr>
      </w:pPr>
    </w:p>
    <w:p w14:paraId="77E3B4F0" w14:textId="2CB16A85" w:rsidR="00A2487B" w:rsidRPr="001C43DA" w:rsidRDefault="00A955AD" w:rsidP="00F05DF9">
      <w:pPr>
        <w:pStyle w:val="ListParagraph"/>
        <w:keepNext/>
        <w:numPr>
          <w:ilvl w:val="0"/>
          <w:numId w:val="5"/>
        </w:numPr>
        <w:spacing w:line="360" w:lineRule="auto"/>
        <w:ind w:left="720"/>
        <w:rPr>
          <w:b/>
          <w:sz w:val="26"/>
          <w:szCs w:val="26"/>
        </w:rPr>
      </w:pPr>
      <w:r w:rsidRPr="001C43DA">
        <w:rPr>
          <w:b/>
          <w:sz w:val="26"/>
          <w:szCs w:val="26"/>
        </w:rPr>
        <w:t>Energy Burden</w:t>
      </w:r>
      <w:r w:rsidR="00263031">
        <w:rPr>
          <w:b/>
          <w:sz w:val="26"/>
          <w:szCs w:val="26"/>
        </w:rPr>
        <w:t>s</w:t>
      </w:r>
      <w:r w:rsidR="00A2487B" w:rsidRPr="001C43DA">
        <w:rPr>
          <w:b/>
          <w:sz w:val="26"/>
          <w:szCs w:val="26"/>
        </w:rPr>
        <w:t xml:space="preserve"> </w:t>
      </w:r>
    </w:p>
    <w:p w14:paraId="5BFC8E62" w14:textId="08DEDE93" w:rsidR="00A955AD" w:rsidRDefault="00A955AD" w:rsidP="0094389D">
      <w:pPr>
        <w:spacing w:after="0" w:line="360" w:lineRule="auto"/>
        <w:ind w:left="720" w:firstLine="720"/>
        <w:contextualSpacing/>
        <w:rPr>
          <w:rFonts w:ascii="Times New Roman" w:hAnsi="Times New Roman" w:cs="Times New Roman"/>
          <w:sz w:val="26"/>
          <w:szCs w:val="26"/>
        </w:rPr>
      </w:pPr>
      <w:r>
        <w:rPr>
          <w:rFonts w:ascii="Times New Roman" w:hAnsi="Times New Roman" w:cs="Times New Roman"/>
          <w:sz w:val="26"/>
          <w:szCs w:val="26"/>
        </w:rPr>
        <w:t>As described above,</w:t>
      </w:r>
      <w:r w:rsidDel="00112A04">
        <w:rPr>
          <w:rFonts w:ascii="Times New Roman" w:hAnsi="Times New Roman" w:cs="Times New Roman"/>
          <w:sz w:val="26"/>
          <w:szCs w:val="26"/>
        </w:rPr>
        <w:t xml:space="preserve"> </w:t>
      </w:r>
      <w:r>
        <w:rPr>
          <w:rFonts w:ascii="Times New Roman" w:hAnsi="Times New Roman" w:cs="Times New Roman"/>
          <w:sz w:val="26"/>
          <w:szCs w:val="26"/>
        </w:rPr>
        <w:t xml:space="preserve">Pennsylvania’s maximum energy burden guidelines </w:t>
      </w:r>
      <w:r w:rsidR="009B2399">
        <w:rPr>
          <w:rFonts w:ascii="Times New Roman" w:hAnsi="Times New Roman" w:cs="Times New Roman"/>
          <w:sz w:val="26"/>
          <w:szCs w:val="26"/>
        </w:rPr>
        <w:t>have been and continue to be</w:t>
      </w:r>
      <w:r>
        <w:rPr>
          <w:rFonts w:ascii="Times New Roman" w:hAnsi="Times New Roman" w:cs="Times New Roman"/>
          <w:sz w:val="26"/>
          <w:szCs w:val="26"/>
        </w:rPr>
        <w:t xml:space="preserve"> generally higher than </w:t>
      </w:r>
      <w:r w:rsidR="00314AE7">
        <w:rPr>
          <w:rFonts w:ascii="Times New Roman" w:hAnsi="Times New Roman" w:cs="Times New Roman"/>
          <w:sz w:val="26"/>
          <w:szCs w:val="26"/>
        </w:rPr>
        <w:t xml:space="preserve">in </w:t>
      </w:r>
      <w:r>
        <w:rPr>
          <w:rFonts w:ascii="Times New Roman" w:hAnsi="Times New Roman" w:cs="Times New Roman"/>
          <w:sz w:val="26"/>
          <w:szCs w:val="26"/>
        </w:rPr>
        <w:t xml:space="preserve">neighboring states.  </w:t>
      </w:r>
      <w:r w:rsidRPr="00A955AD">
        <w:rPr>
          <w:rFonts w:ascii="Times New Roman" w:hAnsi="Times New Roman" w:cs="Times New Roman"/>
          <w:sz w:val="26"/>
          <w:szCs w:val="26"/>
        </w:rPr>
        <w:t xml:space="preserve">Ohio </w:t>
      </w:r>
      <w:r w:rsidR="00AB742E">
        <w:rPr>
          <w:rFonts w:ascii="Times New Roman" w:hAnsi="Times New Roman" w:cs="Times New Roman"/>
          <w:sz w:val="26"/>
          <w:szCs w:val="26"/>
        </w:rPr>
        <w:t xml:space="preserve">specifies </w:t>
      </w:r>
      <w:r w:rsidRPr="00A955AD">
        <w:rPr>
          <w:rFonts w:ascii="Times New Roman" w:hAnsi="Times New Roman" w:cs="Times New Roman"/>
          <w:sz w:val="26"/>
          <w:szCs w:val="26"/>
        </w:rPr>
        <w:t>a maximum energy burden of 10%.  New Jersey</w:t>
      </w:r>
      <w:r w:rsidR="00AB742E">
        <w:rPr>
          <w:rFonts w:ascii="Times New Roman" w:hAnsi="Times New Roman" w:cs="Times New Roman"/>
          <w:sz w:val="26"/>
          <w:szCs w:val="26"/>
        </w:rPr>
        <w:t xml:space="preserve"> </w:t>
      </w:r>
      <w:r w:rsidR="00051039">
        <w:rPr>
          <w:rFonts w:ascii="Times New Roman" w:hAnsi="Times New Roman" w:cs="Times New Roman"/>
          <w:sz w:val="26"/>
          <w:szCs w:val="26"/>
        </w:rPr>
        <w:t xml:space="preserve">and New York </w:t>
      </w:r>
      <w:r w:rsidR="00AB742E">
        <w:rPr>
          <w:rFonts w:ascii="Times New Roman" w:hAnsi="Times New Roman" w:cs="Times New Roman"/>
          <w:sz w:val="26"/>
          <w:szCs w:val="26"/>
        </w:rPr>
        <w:t>specif</w:t>
      </w:r>
      <w:r w:rsidR="00051039">
        <w:rPr>
          <w:rFonts w:ascii="Times New Roman" w:hAnsi="Times New Roman" w:cs="Times New Roman"/>
          <w:sz w:val="26"/>
          <w:szCs w:val="26"/>
        </w:rPr>
        <w:t>y</w:t>
      </w:r>
      <w:r w:rsidR="00AB742E">
        <w:rPr>
          <w:rFonts w:ascii="Times New Roman" w:hAnsi="Times New Roman" w:cs="Times New Roman"/>
          <w:sz w:val="26"/>
          <w:szCs w:val="26"/>
        </w:rPr>
        <w:t xml:space="preserve"> </w:t>
      </w:r>
      <w:r w:rsidRPr="00A955AD">
        <w:rPr>
          <w:rFonts w:ascii="Times New Roman" w:hAnsi="Times New Roman" w:cs="Times New Roman"/>
          <w:sz w:val="26"/>
          <w:szCs w:val="26"/>
        </w:rPr>
        <w:t>a maximum energy burden of 6%.</w:t>
      </w:r>
      <w:r>
        <w:rPr>
          <w:rFonts w:ascii="Times New Roman" w:hAnsi="Times New Roman" w:cs="Times New Roman"/>
          <w:sz w:val="26"/>
          <w:szCs w:val="26"/>
        </w:rPr>
        <w:t xml:space="preserve"> </w:t>
      </w:r>
      <w:r w:rsidR="00B86814">
        <w:rPr>
          <w:rFonts w:ascii="Times New Roman" w:hAnsi="Times New Roman" w:cs="Times New Roman"/>
          <w:sz w:val="26"/>
          <w:szCs w:val="26"/>
        </w:rPr>
        <w:t xml:space="preserve"> </w:t>
      </w:r>
      <w:r w:rsidR="00214942">
        <w:rPr>
          <w:rFonts w:ascii="Times New Roman" w:hAnsi="Times New Roman" w:cs="Times New Roman"/>
          <w:sz w:val="26"/>
          <w:szCs w:val="26"/>
        </w:rPr>
        <w:t xml:space="preserve">Since Ohio is the most similar in demographics and energy use to Pennsylvania, </w:t>
      </w:r>
      <w:r w:rsidR="00A92576">
        <w:rPr>
          <w:rFonts w:ascii="Times New Roman" w:hAnsi="Times New Roman" w:cs="Times New Roman"/>
          <w:sz w:val="26"/>
          <w:szCs w:val="26"/>
        </w:rPr>
        <w:t>staff</w:t>
      </w:r>
      <w:r w:rsidR="00214942">
        <w:rPr>
          <w:rFonts w:ascii="Times New Roman" w:hAnsi="Times New Roman" w:cs="Times New Roman"/>
          <w:sz w:val="26"/>
          <w:szCs w:val="26"/>
        </w:rPr>
        <w:t xml:space="preserve"> estimated the </w:t>
      </w:r>
      <w:r w:rsidR="00A92576">
        <w:rPr>
          <w:rFonts w:ascii="Times New Roman" w:hAnsi="Times New Roman" w:cs="Times New Roman"/>
          <w:sz w:val="26"/>
          <w:szCs w:val="26"/>
        </w:rPr>
        <w:t xml:space="preserve">potential </w:t>
      </w:r>
      <w:r w:rsidR="00214942">
        <w:rPr>
          <w:rFonts w:ascii="Times New Roman" w:hAnsi="Times New Roman" w:cs="Times New Roman"/>
          <w:sz w:val="26"/>
          <w:szCs w:val="26"/>
        </w:rPr>
        <w:t xml:space="preserve">impact of establishing a 10% maximum energy burden for Pennsylvania CAPs, using </w:t>
      </w:r>
      <w:r w:rsidR="00A92576">
        <w:rPr>
          <w:rFonts w:ascii="Times New Roman" w:hAnsi="Times New Roman" w:cs="Times New Roman"/>
          <w:sz w:val="26"/>
          <w:szCs w:val="26"/>
        </w:rPr>
        <w:t xml:space="preserve">the </w:t>
      </w:r>
      <w:r w:rsidR="00214942">
        <w:rPr>
          <w:rFonts w:ascii="Times New Roman" w:hAnsi="Times New Roman" w:cs="Times New Roman"/>
          <w:sz w:val="26"/>
          <w:szCs w:val="26"/>
        </w:rPr>
        <w:t xml:space="preserve">2012 to 2016 data.  </w:t>
      </w:r>
      <w:r w:rsidR="00A13BB7">
        <w:rPr>
          <w:rFonts w:ascii="Times New Roman" w:hAnsi="Times New Roman" w:cs="Times New Roman"/>
          <w:sz w:val="26"/>
          <w:szCs w:val="26"/>
        </w:rPr>
        <w:t xml:space="preserve">The Report indicates that a </w:t>
      </w:r>
      <w:r w:rsidR="00DA0E9E">
        <w:rPr>
          <w:rFonts w:ascii="Times New Roman" w:hAnsi="Times New Roman" w:cs="Times New Roman"/>
          <w:sz w:val="26"/>
          <w:szCs w:val="26"/>
        </w:rPr>
        <w:t>per</w:t>
      </w:r>
      <w:r w:rsidR="00263E4B">
        <w:rPr>
          <w:rFonts w:ascii="Times New Roman" w:hAnsi="Times New Roman" w:cs="Times New Roman"/>
          <w:sz w:val="26"/>
          <w:szCs w:val="26"/>
        </w:rPr>
        <w:noBreakHyphen/>
      </w:r>
      <w:r w:rsidR="00A13BB7">
        <w:rPr>
          <w:rFonts w:ascii="Times New Roman" w:hAnsi="Times New Roman" w:cs="Times New Roman"/>
          <w:sz w:val="26"/>
          <w:szCs w:val="26"/>
        </w:rPr>
        <w:t xml:space="preserve">year increase could be in the range of </w:t>
      </w:r>
      <w:r w:rsidR="000F1801">
        <w:rPr>
          <w:rFonts w:ascii="Times New Roman" w:hAnsi="Times New Roman" w:cs="Times New Roman"/>
          <w:sz w:val="26"/>
          <w:szCs w:val="26"/>
        </w:rPr>
        <w:t>$</w:t>
      </w:r>
      <w:r w:rsidR="00DA0E9E">
        <w:rPr>
          <w:rFonts w:ascii="Times New Roman" w:hAnsi="Times New Roman" w:cs="Times New Roman"/>
          <w:sz w:val="26"/>
          <w:szCs w:val="26"/>
        </w:rPr>
        <w:t>102 mil</w:t>
      </w:r>
      <w:r w:rsidR="00F65EB1">
        <w:rPr>
          <w:rFonts w:ascii="Times New Roman" w:hAnsi="Times New Roman" w:cs="Times New Roman"/>
          <w:sz w:val="26"/>
          <w:szCs w:val="26"/>
        </w:rPr>
        <w:t>l</w:t>
      </w:r>
      <w:r w:rsidR="00DA0E9E">
        <w:rPr>
          <w:rFonts w:ascii="Times New Roman" w:hAnsi="Times New Roman" w:cs="Times New Roman"/>
          <w:sz w:val="26"/>
          <w:szCs w:val="26"/>
        </w:rPr>
        <w:t>ion for such a change.</w:t>
      </w:r>
      <w:r w:rsidR="00214942">
        <w:rPr>
          <w:rFonts w:ascii="Times New Roman" w:hAnsi="Times New Roman" w:cs="Times New Roman"/>
          <w:sz w:val="26"/>
          <w:szCs w:val="26"/>
        </w:rPr>
        <w:t xml:space="preserve"> </w:t>
      </w:r>
    </w:p>
    <w:p w14:paraId="6C4F4FBE" w14:textId="39B30FE7" w:rsidR="005E3099" w:rsidRDefault="005E3099" w:rsidP="00A955AD">
      <w:pPr>
        <w:spacing w:after="0" w:line="360" w:lineRule="auto"/>
        <w:ind w:left="720"/>
        <w:contextualSpacing/>
        <w:rPr>
          <w:rFonts w:ascii="Times New Roman" w:hAnsi="Times New Roman" w:cs="Times New Roman"/>
          <w:sz w:val="26"/>
          <w:szCs w:val="26"/>
        </w:rPr>
      </w:pPr>
    </w:p>
    <w:p w14:paraId="0D008D02" w14:textId="139298D6" w:rsidR="004E4DCB" w:rsidRDefault="004264E8" w:rsidP="0094389D">
      <w:pPr>
        <w:spacing w:after="0" w:line="360" w:lineRule="auto"/>
        <w:ind w:left="720" w:firstLine="720"/>
        <w:contextualSpacing/>
        <w:rPr>
          <w:rFonts w:ascii="Times New Roman" w:hAnsi="Times New Roman" w:cs="Times New Roman"/>
          <w:sz w:val="26"/>
          <w:szCs w:val="26"/>
        </w:rPr>
      </w:pPr>
      <w:r>
        <w:rPr>
          <w:rFonts w:ascii="Times New Roman" w:hAnsi="Times New Roman" w:cs="Times New Roman"/>
          <w:sz w:val="26"/>
          <w:szCs w:val="26"/>
        </w:rPr>
        <w:t xml:space="preserve">We </w:t>
      </w:r>
      <w:r w:rsidR="005E3099">
        <w:rPr>
          <w:rFonts w:ascii="Times New Roman" w:hAnsi="Times New Roman" w:cs="Times New Roman"/>
          <w:sz w:val="26"/>
          <w:szCs w:val="26"/>
        </w:rPr>
        <w:t xml:space="preserve">recognize that this estimate </w:t>
      </w:r>
      <w:r w:rsidR="005C7E8D">
        <w:rPr>
          <w:rFonts w:ascii="Times New Roman" w:hAnsi="Times New Roman" w:cs="Times New Roman"/>
          <w:sz w:val="26"/>
          <w:szCs w:val="26"/>
        </w:rPr>
        <w:t xml:space="preserve">is </w:t>
      </w:r>
      <w:r w:rsidR="00090C70">
        <w:rPr>
          <w:rFonts w:ascii="Times New Roman" w:hAnsi="Times New Roman" w:cs="Times New Roman"/>
          <w:sz w:val="26"/>
          <w:szCs w:val="26"/>
        </w:rPr>
        <w:t>4</w:t>
      </w:r>
      <w:r w:rsidR="00914F8F">
        <w:rPr>
          <w:rFonts w:ascii="Times New Roman" w:hAnsi="Times New Roman" w:cs="Times New Roman"/>
          <w:sz w:val="26"/>
          <w:szCs w:val="26"/>
        </w:rPr>
        <w:t> </w:t>
      </w:r>
      <w:r w:rsidR="00090C70">
        <w:rPr>
          <w:rFonts w:ascii="Times New Roman" w:hAnsi="Times New Roman" w:cs="Times New Roman"/>
          <w:sz w:val="26"/>
          <w:szCs w:val="26"/>
        </w:rPr>
        <w:t>percentage point high</w:t>
      </w:r>
      <w:r w:rsidR="007C0C06">
        <w:rPr>
          <w:rFonts w:ascii="Times New Roman" w:hAnsi="Times New Roman" w:cs="Times New Roman"/>
          <w:sz w:val="26"/>
          <w:szCs w:val="26"/>
        </w:rPr>
        <w:t xml:space="preserve">er than </w:t>
      </w:r>
      <w:r w:rsidR="00091D84">
        <w:rPr>
          <w:rFonts w:ascii="Times New Roman" w:hAnsi="Times New Roman" w:cs="Times New Roman"/>
          <w:sz w:val="26"/>
          <w:szCs w:val="26"/>
        </w:rPr>
        <w:t xml:space="preserve">New York’s and </w:t>
      </w:r>
      <w:r w:rsidR="007C0C06">
        <w:rPr>
          <w:rFonts w:ascii="Times New Roman" w:hAnsi="Times New Roman" w:cs="Times New Roman"/>
          <w:sz w:val="26"/>
          <w:szCs w:val="26"/>
        </w:rPr>
        <w:t>New</w:t>
      </w:r>
      <w:r w:rsidR="00091D84">
        <w:rPr>
          <w:rFonts w:ascii="Times New Roman" w:hAnsi="Times New Roman" w:cs="Times New Roman"/>
          <w:sz w:val="26"/>
          <w:szCs w:val="26"/>
        </w:rPr>
        <w:t> </w:t>
      </w:r>
      <w:r w:rsidR="007C0C06">
        <w:rPr>
          <w:rFonts w:ascii="Times New Roman" w:hAnsi="Times New Roman" w:cs="Times New Roman"/>
          <w:sz w:val="26"/>
          <w:szCs w:val="26"/>
        </w:rPr>
        <w:t>Jersey’s energy burden</w:t>
      </w:r>
      <w:r w:rsidR="00091D84">
        <w:rPr>
          <w:rFonts w:ascii="Times New Roman" w:hAnsi="Times New Roman" w:cs="Times New Roman"/>
          <w:sz w:val="26"/>
          <w:szCs w:val="26"/>
        </w:rPr>
        <w:t>s</w:t>
      </w:r>
      <w:r w:rsidR="007C0C06">
        <w:rPr>
          <w:rFonts w:ascii="Times New Roman" w:hAnsi="Times New Roman" w:cs="Times New Roman"/>
          <w:sz w:val="26"/>
          <w:szCs w:val="26"/>
        </w:rPr>
        <w:t>.</w:t>
      </w:r>
      <w:r w:rsidR="00452ABD">
        <w:rPr>
          <w:rFonts w:ascii="Times New Roman" w:hAnsi="Times New Roman" w:cs="Times New Roman"/>
          <w:sz w:val="26"/>
          <w:szCs w:val="26"/>
        </w:rPr>
        <w:t xml:space="preserve">  Further, it</w:t>
      </w:r>
      <w:r w:rsidR="001025C5">
        <w:rPr>
          <w:rFonts w:ascii="Times New Roman" w:hAnsi="Times New Roman" w:cs="Times New Roman"/>
          <w:sz w:val="26"/>
          <w:szCs w:val="26"/>
        </w:rPr>
        <w:t xml:space="preserve"> </w:t>
      </w:r>
      <w:r w:rsidR="005E3099" w:rsidRPr="005E3099">
        <w:rPr>
          <w:rFonts w:ascii="Times New Roman" w:hAnsi="Times New Roman" w:cs="Times New Roman"/>
          <w:sz w:val="26"/>
          <w:szCs w:val="26"/>
        </w:rPr>
        <w:t>does not factor in all the impacts associated with an energy burden change (</w:t>
      </w:r>
      <w:r w:rsidR="005E3099" w:rsidRPr="004264E8">
        <w:rPr>
          <w:rFonts w:ascii="Times New Roman" w:hAnsi="Times New Roman" w:cs="Times New Roman"/>
          <w:i/>
          <w:sz w:val="26"/>
          <w:szCs w:val="26"/>
        </w:rPr>
        <w:t>e.g.</w:t>
      </w:r>
      <w:r w:rsidR="005E3099" w:rsidRPr="005E3099">
        <w:rPr>
          <w:rFonts w:ascii="Times New Roman" w:hAnsi="Times New Roman" w:cs="Times New Roman"/>
          <w:sz w:val="26"/>
          <w:szCs w:val="26"/>
        </w:rPr>
        <w:t xml:space="preserve">, costs of implementing a system change).  </w:t>
      </w:r>
      <w:r w:rsidR="009A010C">
        <w:rPr>
          <w:rFonts w:ascii="Times New Roman" w:hAnsi="Times New Roman" w:cs="Times New Roman"/>
          <w:sz w:val="26"/>
          <w:szCs w:val="26"/>
        </w:rPr>
        <w:t>T</w:t>
      </w:r>
      <w:r w:rsidR="005E3099" w:rsidRPr="005E3099">
        <w:rPr>
          <w:rFonts w:ascii="Times New Roman" w:hAnsi="Times New Roman" w:cs="Times New Roman"/>
          <w:sz w:val="26"/>
          <w:szCs w:val="26"/>
        </w:rPr>
        <w:t xml:space="preserve">he </w:t>
      </w:r>
      <w:r w:rsidR="00C252F7">
        <w:rPr>
          <w:rFonts w:ascii="Times New Roman" w:hAnsi="Times New Roman" w:cs="Times New Roman"/>
          <w:sz w:val="26"/>
          <w:szCs w:val="26"/>
        </w:rPr>
        <w:t xml:space="preserve">estimate </w:t>
      </w:r>
      <w:r w:rsidR="00370643">
        <w:rPr>
          <w:rFonts w:ascii="Times New Roman" w:hAnsi="Times New Roman" w:cs="Times New Roman"/>
          <w:sz w:val="26"/>
          <w:szCs w:val="26"/>
        </w:rPr>
        <w:t xml:space="preserve">also </w:t>
      </w:r>
      <w:r w:rsidR="005E3099">
        <w:rPr>
          <w:rFonts w:ascii="Times New Roman" w:hAnsi="Times New Roman" w:cs="Times New Roman"/>
          <w:sz w:val="26"/>
          <w:szCs w:val="26"/>
        </w:rPr>
        <w:t>d</w:t>
      </w:r>
      <w:r w:rsidR="009A63C8">
        <w:rPr>
          <w:rFonts w:ascii="Times New Roman" w:hAnsi="Times New Roman" w:cs="Times New Roman"/>
          <w:sz w:val="26"/>
          <w:szCs w:val="26"/>
        </w:rPr>
        <w:t>o</w:t>
      </w:r>
      <w:r w:rsidR="00C252F7">
        <w:rPr>
          <w:rFonts w:ascii="Times New Roman" w:hAnsi="Times New Roman" w:cs="Times New Roman"/>
          <w:sz w:val="26"/>
          <w:szCs w:val="26"/>
        </w:rPr>
        <w:t>es</w:t>
      </w:r>
      <w:r w:rsidR="005E3099" w:rsidRPr="005E3099">
        <w:rPr>
          <w:rFonts w:ascii="Times New Roman" w:hAnsi="Times New Roman" w:cs="Times New Roman"/>
          <w:sz w:val="26"/>
          <w:szCs w:val="26"/>
        </w:rPr>
        <w:t xml:space="preserve"> not</w:t>
      </w:r>
      <w:r w:rsidR="005E3099">
        <w:rPr>
          <w:rFonts w:ascii="Times New Roman" w:hAnsi="Times New Roman" w:cs="Times New Roman"/>
          <w:sz w:val="26"/>
          <w:szCs w:val="26"/>
        </w:rPr>
        <w:t xml:space="preserve"> </w:t>
      </w:r>
      <w:r w:rsidR="00472522">
        <w:rPr>
          <w:rFonts w:ascii="Times New Roman" w:hAnsi="Times New Roman" w:cs="Times New Roman"/>
          <w:sz w:val="26"/>
          <w:szCs w:val="26"/>
        </w:rPr>
        <w:t>consider</w:t>
      </w:r>
      <w:r w:rsidR="005E3099">
        <w:rPr>
          <w:rFonts w:ascii="Times New Roman" w:hAnsi="Times New Roman" w:cs="Times New Roman"/>
          <w:sz w:val="26"/>
          <w:szCs w:val="26"/>
        </w:rPr>
        <w:t xml:space="preserve"> </w:t>
      </w:r>
      <w:r w:rsidR="00370643">
        <w:rPr>
          <w:rFonts w:ascii="Times New Roman" w:hAnsi="Times New Roman" w:cs="Times New Roman"/>
          <w:sz w:val="26"/>
          <w:szCs w:val="26"/>
        </w:rPr>
        <w:t xml:space="preserve">the effect of </w:t>
      </w:r>
      <w:r w:rsidR="00472522">
        <w:rPr>
          <w:rFonts w:ascii="Times New Roman" w:hAnsi="Times New Roman" w:cs="Times New Roman"/>
          <w:sz w:val="26"/>
          <w:szCs w:val="26"/>
        </w:rPr>
        <w:t>CAP credit limits</w:t>
      </w:r>
      <w:r w:rsidR="00370643">
        <w:rPr>
          <w:rFonts w:ascii="Times New Roman" w:hAnsi="Times New Roman" w:cs="Times New Roman"/>
          <w:sz w:val="26"/>
          <w:szCs w:val="26"/>
        </w:rPr>
        <w:t xml:space="preserve">, </w:t>
      </w:r>
      <w:r w:rsidR="00472522">
        <w:rPr>
          <w:rFonts w:ascii="Times New Roman" w:hAnsi="Times New Roman" w:cs="Times New Roman"/>
          <w:sz w:val="26"/>
          <w:szCs w:val="26"/>
        </w:rPr>
        <w:t xml:space="preserve">potential </w:t>
      </w:r>
      <w:r w:rsidR="005E3099" w:rsidRPr="005E3099">
        <w:rPr>
          <w:rFonts w:ascii="Times New Roman" w:hAnsi="Times New Roman" w:cs="Times New Roman"/>
          <w:sz w:val="26"/>
          <w:szCs w:val="26"/>
        </w:rPr>
        <w:t>reduction</w:t>
      </w:r>
      <w:r w:rsidR="00370643">
        <w:rPr>
          <w:rFonts w:ascii="Times New Roman" w:hAnsi="Times New Roman" w:cs="Times New Roman"/>
          <w:sz w:val="26"/>
          <w:szCs w:val="26"/>
        </w:rPr>
        <w:t>s</w:t>
      </w:r>
      <w:r w:rsidR="005E3099" w:rsidRPr="005E3099">
        <w:rPr>
          <w:rFonts w:ascii="Times New Roman" w:hAnsi="Times New Roman" w:cs="Times New Roman"/>
          <w:sz w:val="26"/>
          <w:szCs w:val="26"/>
        </w:rPr>
        <w:t xml:space="preserve"> in CAP credits resulting from increased payments from those CAP customers who currently have less than a 10% energy burden</w:t>
      </w:r>
      <w:r w:rsidR="00370643">
        <w:rPr>
          <w:rFonts w:ascii="Times New Roman" w:hAnsi="Times New Roman" w:cs="Times New Roman"/>
          <w:sz w:val="26"/>
          <w:szCs w:val="26"/>
        </w:rPr>
        <w:t>, or reductions in uncollectible costs associated with this change</w:t>
      </w:r>
      <w:r w:rsidR="005E3099" w:rsidRPr="005E3099">
        <w:rPr>
          <w:rFonts w:ascii="Times New Roman" w:hAnsi="Times New Roman" w:cs="Times New Roman"/>
          <w:sz w:val="26"/>
          <w:szCs w:val="26"/>
        </w:rPr>
        <w:t xml:space="preserve">.  </w:t>
      </w:r>
      <w:r w:rsidR="00F15920">
        <w:rPr>
          <w:rFonts w:ascii="Times New Roman" w:hAnsi="Times New Roman" w:cs="Times New Roman"/>
          <w:sz w:val="26"/>
          <w:szCs w:val="26"/>
        </w:rPr>
        <w:t xml:space="preserve">Further, </w:t>
      </w:r>
      <w:r w:rsidR="004A1D70">
        <w:rPr>
          <w:rFonts w:ascii="Times New Roman" w:hAnsi="Times New Roman" w:cs="Times New Roman"/>
          <w:sz w:val="26"/>
          <w:szCs w:val="26"/>
        </w:rPr>
        <w:t xml:space="preserve">the </w:t>
      </w:r>
      <w:r w:rsidR="00D7712B">
        <w:rPr>
          <w:rFonts w:ascii="Times New Roman" w:hAnsi="Times New Roman" w:cs="Times New Roman"/>
          <w:sz w:val="26"/>
          <w:szCs w:val="26"/>
        </w:rPr>
        <w:t>estimate</w:t>
      </w:r>
      <w:r w:rsidR="004A1D70" w:rsidDel="00D7712B">
        <w:rPr>
          <w:rFonts w:ascii="Times New Roman" w:hAnsi="Times New Roman" w:cs="Times New Roman"/>
          <w:sz w:val="26"/>
          <w:szCs w:val="26"/>
        </w:rPr>
        <w:t xml:space="preserve"> </w:t>
      </w:r>
      <w:r w:rsidR="004A1D70">
        <w:rPr>
          <w:rFonts w:ascii="Times New Roman" w:hAnsi="Times New Roman" w:cs="Times New Roman"/>
          <w:sz w:val="26"/>
          <w:szCs w:val="26"/>
        </w:rPr>
        <w:t xml:space="preserve">considers only the costs associated with a percentage of income payment.  It does </w:t>
      </w:r>
      <w:r w:rsidR="004A1D70">
        <w:rPr>
          <w:rFonts w:ascii="Times New Roman" w:hAnsi="Times New Roman" w:cs="Times New Roman"/>
          <w:sz w:val="26"/>
          <w:szCs w:val="26"/>
        </w:rPr>
        <w:lastRenderedPageBreak/>
        <w:t>not consider whether rate discount CAP</w:t>
      </w:r>
      <w:r w:rsidR="00F65EB1">
        <w:rPr>
          <w:rFonts w:ascii="Times New Roman" w:hAnsi="Times New Roman" w:cs="Times New Roman"/>
          <w:sz w:val="26"/>
          <w:szCs w:val="26"/>
        </w:rPr>
        <w:t>s</w:t>
      </w:r>
      <w:r w:rsidR="004A1D70">
        <w:rPr>
          <w:rFonts w:ascii="Times New Roman" w:hAnsi="Times New Roman" w:cs="Times New Roman"/>
          <w:sz w:val="26"/>
          <w:szCs w:val="26"/>
        </w:rPr>
        <w:t xml:space="preserve"> or CAPs that offer various payment plans would cost more or less </w:t>
      </w:r>
      <w:r w:rsidR="000706C2">
        <w:rPr>
          <w:rFonts w:ascii="Times New Roman" w:hAnsi="Times New Roman" w:cs="Times New Roman"/>
          <w:sz w:val="26"/>
          <w:szCs w:val="26"/>
        </w:rPr>
        <w:t xml:space="preserve">than a </w:t>
      </w:r>
      <w:r w:rsidR="00F51BD3">
        <w:rPr>
          <w:rFonts w:ascii="Times New Roman" w:hAnsi="Times New Roman" w:cs="Times New Roman"/>
          <w:sz w:val="26"/>
          <w:szCs w:val="26"/>
        </w:rPr>
        <w:t>10% maximum energy burden.</w:t>
      </w:r>
      <w:r w:rsidR="000D47B0">
        <w:rPr>
          <w:rFonts w:ascii="Times New Roman" w:hAnsi="Times New Roman" w:cs="Times New Roman"/>
          <w:sz w:val="26"/>
          <w:szCs w:val="26"/>
        </w:rPr>
        <w:t xml:space="preserve">  </w:t>
      </w:r>
    </w:p>
    <w:p w14:paraId="2DB70D2B" w14:textId="77777777" w:rsidR="004E4DCB" w:rsidRDefault="004E4DCB" w:rsidP="0094389D">
      <w:pPr>
        <w:spacing w:after="0" w:line="360" w:lineRule="auto"/>
        <w:ind w:left="720" w:firstLine="720"/>
        <w:contextualSpacing/>
        <w:rPr>
          <w:rFonts w:ascii="Times New Roman" w:hAnsi="Times New Roman" w:cs="Times New Roman"/>
          <w:sz w:val="26"/>
          <w:szCs w:val="26"/>
        </w:rPr>
      </w:pPr>
    </w:p>
    <w:p w14:paraId="320EB044" w14:textId="635AA69D" w:rsidR="00370643" w:rsidRDefault="000D47B0" w:rsidP="0094389D">
      <w:pPr>
        <w:spacing w:after="0" w:line="360" w:lineRule="auto"/>
        <w:ind w:left="720" w:firstLine="720"/>
        <w:contextualSpacing/>
        <w:rPr>
          <w:rFonts w:ascii="Times New Roman" w:hAnsi="Times New Roman" w:cs="Times New Roman"/>
          <w:sz w:val="26"/>
          <w:szCs w:val="26"/>
        </w:rPr>
      </w:pPr>
      <w:r>
        <w:rPr>
          <w:rFonts w:ascii="Times New Roman" w:hAnsi="Times New Roman" w:cs="Times New Roman"/>
          <w:sz w:val="26"/>
          <w:szCs w:val="26"/>
        </w:rPr>
        <w:t xml:space="preserve">If the utilities </w:t>
      </w:r>
      <w:r w:rsidR="00823178">
        <w:rPr>
          <w:rFonts w:ascii="Times New Roman" w:hAnsi="Times New Roman" w:cs="Times New Roman"/>
          <w:sz w:val="26"/>
          <w:szCs w:val="26"/>
        </w:rPr>
        <w:t xml:space="preserve">have </w:t>
      </w:r>
      <w:r>
        <w:rPr>
          <w:rFonts w:ascii="Times New Roman" w:hAnsi="Times New Roman" w:cs="Times New Roman"/>
          <w:sz w:val="26"/>
          <w:szCs w:val="26"/>
        </w:rPr>
        <w:t xml:space="preserve">different estimates </w:t>
      </w:r>
      <w:r w:rsidR="00823178">
        <w:rPr>
          <w:rFonts w:ascii="Times New Roman" w:hAnsi="Times New Roman" w:cs="Times New Roman"/>
          <w:sz w:val="26"/>
          <w:szCs w:val="26"/>
        </w:rPr>
        <w:t>of the impact of a 10% energy burden</w:t>
      </w:r>
      <w:r w:rsidR="00BA01F2">
        <w:rPr>
          <w:rStyle w:val="FootnoteReference"/>
          <w:rFonts w:ascii="Times New Roman" w:hAnsi="Times New Roman" w:cs="Times New Roman"/>
          <w:sz w:val="26"/>
          <w:szCs w:val="26"/>
        </w:rPr>
        <w:footnoteReference w:id="18"/>
      </w:r>
      <w:r w:rsidR="00823178">
        <w:rPr>
          <w:rFonts w:ascii="Times New Roman" w:hAnsi="Times New Roman" w:cs="Times New Roman"/>
          <w:sz w:val="26"/>
          <w:szCs w:val="26"/>
        </w:rPr>
        <w:t xml:space="preserve"> </w:t>
      </w:r>
      <w:r>
        <w:rPr>
          <w:rFonts w:ascii="Times New Roman" w:hAnsi="Times New Roman" w:cs="Times New Roman"/>
          <w:sz w:val="26"/>
          <w:szCs w:val="26"/>
        </w:rPr>
        <w:t xml:space="preserve">for </w:t>
      </w:r>
      <w:r w:rsidR="00367CE7">
        <w:rPr>
          <w:rFonts w:ascii="Times New Roman" w:hAnsi="Times New Roman" w:cs="Times New Roman"/>
          <w:sz w:val="26"/>
          <w:szCs w:val="26"/>
        </w:rPr>
        <w:t>2012 to 201</w:t>
      </w:r>
      <w:r w:rsidR="008D3F6E">
        <w:rPr>
          <w:rFonts w:ascii="Times New Roman" w:hAnsi="Times New Roman" w:cs="Times New Roman"/>
          <w:sz w:val="26"/>
          <w:szCs w:val="26"/>
        </w:rPr>
        <w:t xml:space="preserve">6 </w:t>
      </w:r>
      <w:r w:rsidR="00367CE7">
        <w:rPr>
          <w:rFonts w:ascii="Times New Roman" w:hAnsi="Times New Roman" w:cs="Times New Roman"/>
          <w:sz w:val="26"/>
          <w:szCs w:val="26"/>
        </w:rPr>
        <w:t>based on the data they provided</w:t>
      </w:r>
      <w:r w:rsidR="0003494A">
        <w:rPr>
          <w:rFonts w:ascii="Times New Roman" w:hAnsi="Times New Roman" w:cs="Times New Roman"/>
          <w:sz w:val="26"/>
          <w:szCs w:val="26"/>
        </w:rPr>
        <w:t xml:space="preserve"> in response to the October 16, 2017 Secretar</w:t>
      </w:r>
      <w:r w:rsidR="00990173">
        <w:rPr>
          <w:rFonts w:ascii="Times New Roman" w:hAnsi="Times New Roman" w:cs="Times New Roman"/>
          <w:sz w:val="26"/>
          <w:szCs w:val="26"/>
        </w:rPr>
        <w:t>ial Letter</w:t>
      </w:r>
      <w:r w:rsidR="00367CE7">
        <w:rPr>
          <w:rFonts w:ascii="Times New Roman" w:hAnsi="Times New Roman" w:cs="Times New Roman"/>
          <w:sz w:val="26"/>
          <w:szCs w:val="26"/>
        </w:rPr>
        <w:t xml:space="preserve">, </w:t>
      </w:r>
      <w:r w:rsidR="007F4A23">
        <w:rPr>
          <w:rFonts w:ascii="Times New Roman" w:hAnsi="Times New Roman" w:cs="Times New Roman"/>
          <w:sz w:val="26"/>
          <w:szCs w:val="26"/>
        </w:rPr>
        <w:t xml:space="preserve">or on </w:t>
      </w:r>
      <w:r w:rsidR="001C75B1">
        <w:rPr>
          <w:rFonts w:ascii="Times New Roman" w:hAnsi="Times New Roman" w:cs="Times New Roman"/>
          <w:sz w:val="26"/>
          <w:szCs w:val="26"/>
        </w:rPr>
        <w:t>corrected or updated</w:t>
      </w:r>
      <w:r w:rsidR="007F4A23">
        <w:rPr>
          <w:rFonts w:ascii="Times New Roman" w:hAnsi="Times New Roman" w:cs="Times New Roman"/>
          <w:sz w:val="26"/>
          <w:szCs w:val="26"/>
        </w:rPr>
        <w:t xml:space="preserve"> data, </w:t>
      </w:r>
      <w:r w:rsidR="00367CE7">
        <w:rPr>
          <w:rFonts w:ascii="Times New Roman" w:hAnsi="Times New Roman" w:cs="Times New Roman"/>
          <w:sz w:val="26"/>
          <w:szCs w:val="26"/>
        </w:rPr>
        <w:t xml:space="preserve">they should include </w:t>
      </w:r>
      <w:r w:rsidR="004A2D02">
        <w:rPr>
          <w:rFonts w:ascii="Times New Roman" w:hAnsi="Times New Roman" w:cs="Times New Roman"/>
          <w:sz w:val="26"/>
          <w:szCs w:val="26"/>
        </w:rPr>
        <w:t>an explanation of the differences in their comments.</w:t>
      </w:r>
    </w:p>
    <w:p w14:paraId="1D5D7BC9" w14:textId="6FE24022" w:rsidR="00A955AD" w:rsidRDefault="00A955AD" w:rsidP="00A955AD">
      <w:pPr>
        <w:spacing w:after="0" w:line="360" w:lineRule="auto"/>
        <w:ind w:left="720"/>
        <w:contextualSpacing/>
        <w:rPr>
          <w:rFonts w:ascii="Times New Roman" w:hAnsi="Times New Roman" w:cs="Times New Roman"/>
          <w:sz w:val="26"/>
          <w:szCs w:val="26"/>
        </w:rPr>
      </w:pPr>
    </w:p>
    <w:p w14:paraId="1E53104F" w14:textId="17DA9E83" w:rsidR="00C23315" w:rsidRPr="00A75208" w:rsidRDefault="00C23315" w:rsidP="00C23315">
      <w:pPr>
        <w:spacing w:after="0" w:line="360" w:lineRule="auto"/>
        <w:ind w:left="720" w:firstLine="720"/>
        <w:contextualSpacing/>
        <w:rPr>
          <w:rFonts w:ascii="Times New Roman" w:hAnsi="Times New Roman" w:cs="Times New Roman"/>
          <w:sz w:val="26"/>
          <w:szCs w:val="26"/>
        </w:rPr>
      </w:pPr>
      <w:r>
        <w:rPr>
          <w:rFonts w:ascii="Times New Roman" w:hAnsi="Times New Roman" w:cs="Times New Roman"/>
          <w:sz w:val="26"/>
          <w:szCs w:val="26"/>
        </w:rPr>
        <w:t xml:space="preserve">Accordingly, the NGDCs </w:t>
      </w:r>
      <w:r w:rsidR="00B96895">
        <w:rPr>
          <w:rFonts w:ascii="Times New Roman" w:hAnsi="Times New Roman" w:cs="Times New Roman"/>
          <w:sz w:val="26"/>
          <w:szCs w:val="26"/>
        </w:rPr>
        <w:t xml:space="preserve">and EDCs </w:t>
      </w:r>
      <w:r>
        <w:rPr>
          <w:rFonts w:ascii="Times New Roman" w:hAnsi="Times New Roman" w:cs="Times New Roman"/>
          <w:sz w:val="26"/>
          <w:szCs w:val="26"/>
        </w:rPr>
        <w:t xml:space="preserve">are directed to review the 10% energy burden projections in the Report.  If the utilities have corrected or updated data for 2012 to 2016, the revised data should be </w:t>
      </w:r>
      <w:r w:rsidR="00201C5C">
        <w:rPr>
          <w:rFonts w:ascii="Times New Roman" w:hAnsi="Times New Roman" w:cs="Times New Roman"/>
          <w:sz w:val="26"/>
          <w:szCs w:val="26"/>
        </w:rPr>
        <w:t>file</w:t>
      </w:r>
      <w:r w:rsidR="00CA56B3">
        <w:rPr>
          <w:rFonts w:ascii="Times New Roman" w:hAnsi="Times New Roman" w:cs="Times New Roman"/>
          <w:sz w:val="26"/>
          <w:szCs w:val="26"/>
        </w:rPr>
        <w:t>d</w:t>
      </w:r>
      <w:r w:rsidR="00201C5C">
        <w:rPr>
          <w:rFonts w:ascii="Times New Roman" w:hAnsi="Times New Roman" w:cs="Times New Roman"/>
          <w:sz w:val="26"/>
          <w:szCs w:val="26"/>
        </w:rPr>
        <w:t xml:space="preserve"> </w:t>
      </w:r>
      <w:r w:rsidR="00CA56B3">
        <w:rPr>
          <w:rFonts w:ascii="Times New Roman" w:hAnsi="Times New Roman" w:cs="Times New Roman"/>
          <w:sz w:val="26"/>
          <w:szCs w:val="26"/>
        </w:rPr>
        <w:t xml:space="preserve">and served </w:t>
      </w:r>
      <w:r>
        <w:rPr>
          <w:rFonts w:ascii="Times New Roman" w:hAnsi="Times New Roman" w:cs="Times New Roman"/>
          <w:sz w:val="26"/>
          <w:szCs w:val="26"/>
        </w:rPr>
        <w:t xml:space="preserve">as </w:t>
      </w:r>
      <w:r w:rsidR="009F2350">
        <w:rPr>
          <w:rFonts w:ascii="Times New Roman" w:hAnsi="Times New Roman" w:cs="Times New Roman"/>
          <w:sz w:val="26"/>
          <w:szCs w:val="26"/>
        </w:rPr>
        <w:t xml:space="preserve">part of </w:t>
      </w:r>
      <w:r w:rsidR="00113ADD">
        <w:rPr>
          <w:rFonts w:ascii="Times New Roman" w:hAnsi="Times New Roman" w:cs="Times New Roman"/>
          <w:sz w:val="26"/>
          <w:szCs w:val="26"/>
        </w:rPr>
        <w:t xml:space="preserve">its </w:t>
      </w:r>
      <w:r w:rsidR="002508B9">
        <w:rPr>
          <w:rFonts w:ascii="Times New Roman" w:hAnsi="Times New Roman" w:cs="Times New Roman"/>
          <w:sz w:val="26"/>
          <w:szCs w:val="26"/>
        </w:rPr>
        <w:t>supplemental information</w:t>
      </w:r>
      <w:r w:rsidR="00113ADD">
        <w:rPr>
          <w:rFonts w:ascii="Times New Roman" w:hAnsi="Times New Roman" w:cs="Times New Roman"/>
          <w:sz w:val="26"/>
          <w:szCs w:val="26"/>
        </w:rPr>
        <w:t xml:space="preserve"> </w:t>
      </w:r>
      <w:r w:rsidR="00CA56B3">
        <w:rPr>
          <w:rFonts w:ascii="Times New Roman" w:hAnsi="Times New Roman" w:cs="Times New Roman"/>
          <w:sz w:val="26"/>
          <w:szCs w:val="26"/>
        </w:rPr>
        <w:t xml:space="preserve">within </w:t>
      </w:r>
      <w:r w:rsidR="00AF1891">
        <w:rPr>
          <w:rFonts w:ascii="Times New Roman" w:hAnsi="Times New Roman" w:cs="Times New Roman"/>
          <w:sz w:val="26"/>
          <w:szCs w:val="26"/>
        </w:rPr>
        <w:t>3</w:t>
      </w:r>
      <w:r w:rsidR="00CA56B3">
        <w:rPr>
          <w:rFonts w:ascii="Times New Roman" w:hAnsi="Times New Roman" w:cs="Times New Roman"/>
          <w:sz w:val="26"/>
          <w:szCs w:val="26"/>
        </w:rPr>
        <w:t xml:space="preserve">0 days </w:t>
      </w:r>
      <w:r w:rsidR="00F91A78">
        <w:rPr>
          <w:rFonts w:ascii="Times New Roman" w:hAnsi="Times New Roman" w:cs="Times New Roman"/>
          <w:sz w:val="26"/>
          <w:szCs w:val="26"/>
        </w:rPr>
        <w:t>from the entry of this Order</w:t>
      </w:r>
      <w:r>
        <w:rPr>
          <w:rFonts w:ascii="Times New Roman" w:hAnsi="Times New Roman" w:cs="Times New Roman"/>
          <w:sz w:val="26"/>
          <w:szCs w:val="26"/>
        </w:rPr>
        <w:t>.</w:t>
      </w:r>
    </w:p>
    <w:p w14:paraId="489CCF0C" w14:textId="77777777" w:rsidR="00C23315" w:rsidRDefault="00C23315" w:rsidP="00A955AD">
      <w:pPr>
        <w:spacing w:after="0" w:line="360" w:lineRule="auto"/>
        <w:ind w:left="720"/>
        <w:contextualSpacing/>
        <w:rPr>
          <w:rFonts w:ascii="Times New Roman" w:hAnsi="Times New Roman" w:cs="Times New Roman"/>
          <w:sz w:val="26"/>
          <w:szCs w:val="26"/>
        </w:rPr>
      </w:pPr>
    </w:p>
    <w:p w14:paraId="432EF355" w14:textId="6E7E37DB" w:rsidR="00ED7259" w:rsidRDefault="00201C5C" w:rsidP="0018675A">
      <w:pPr>
        <w:spacing w:after="0" w:line="360" w:lineRule="auto"/>
        <w:ind w:left="720" w:firstLine="720"/>
        <w:contextualSpacing/>
        <w:rPr>
          <w:rFonts w:ascii="Times New Roman" w:hAnsi="Times New Roman" w:cs="Times New Roman"/>
          <w:sz w:val="26"/>
          <w:szCs w:val="26"/>
        </w:rPr>
      </w:pPr>
      <w:r>
        <w:rPr>
          <w:rFonts w:ascii="Times New Roman" w:hAnsi="Times New Roman" w:cs="Times New Roman"/>
          <w:sz w:val="26"/>
          <w:szCs w:val="26"/>
        </w:rPr>
        <w:t>Further, i</w:t>
      </w:r>
      <w:r w:rsidR="00A12A84">
        <w:rPr>
          <w:rFonts w:ascii="Times New Roman" w:hAnsi="Times New Roman" w:cs="Times New Roman"/>
          <w:sz w:val="26"/>
          <w:szCs w:val="26"/>
        </w:rPr>
        <w:t xml:space="preserve">n order to determine </w:t>
      </w:r>
      <w:r w:rsidR="00ED27C2">
        <w:rPr>
          <w:rFonts w:ascii="Times New Roman" w:hAnsi="Times New Roman" w:cs="Times New Roman"/>
          <w:sz w:val="26"/>
          <w:szCs w:val="26"/>
        </w:rPr>
        <w:t>all potential</w:t>
      </w:r>
      <w:r w:rsidR="00A12A84">
        <w:rPr>
          <w:rFonts w:ascii="Times New Roman" w:hAnsi="Times New Roman" w:cs="Times New Roman"/>
          <w:sz w:val="26"/>
          <w:szCs w:val="26"/>
        </w:rPr>
        <w:t xml:space="preserve"> costs </w:t>
      </w:r>
      <w:r w:rsidR="002D6266">
        <w:rPr>
          <w:rFonts w:ascii="Times New Roman" w:hAnsi="Times New Roman" w:cs="Times New Roman"/>
          <w:sz w:val="26"/>
          <w:szCs w:val="26"/>
        </w:rPr>
        <w:t xml:space="preserve">of aligning </w:t>
      </w:r>
      <w:r w:rsidR="00216276">
        <w:rPr>
          <w:rFonts w:ascii="Times New Roman" w:hAnsi="Times New Roman" w:cs="Times New Roman"/>
          <w:sz w:val="26"/>
          <w:szCs w:val="26"/>
        </w:rPr>
        <w:t>Pennsylvania maximum energy burden</w:t>
      </w:r>
      <w:r w:rsidR="00A66BA3">
        <w:rPr>
          <w:rFonts w:ascii="Times New Roman" w:hAnsi="Times New Roman" w:cs="Times New Roman"/>
          <w:sz w:val="26"/>
          <w:szCs w:val="26"/>
        </w:rPr>
        <w:t>s</w:t>
      </w:r>
      <w:r w:rsidR="00216276">
        <w:rPr>
          <w:rFonts w:ascii="Times New Roman" w:hAnsi="Times New Roman" w:cs="Times New Roman"/>
          <w:sz w:val="26"/>
          <w:szCs w:val="26"/>
        </w:rPr>
        <w:t xml:space="preserve"> </w:t>
      </w:r>
      <w:r w:rsidR="003C57DA">
        <w:rPr>
          <w:rFonts w:ascii="Times New Roman" w:hAnsi="Times New Roman" w:cs="Times New Roman"/>
          <w:sz w:val="26"/>
          <w:szCs w:val="26"/>
        </w:rPr>
        <w:t>with</w:t>
      </w:r>
      <w:r w:rsidR="00392F15">
        <w:rPr>
          <w:rFonts w:ascii="Times New Roman" w:hAnsi="Times New Roman" w:cs="Times New Roman"/>
          <w:sz w:val="26"/>
          <w:szCs w:val="26"/>
        </w:rPr>
        <w:t>, for example,</w:t>
      </w:r>
      <w:r w:rsidR="003C57DA">
        <w:rPr>
          <w:rFonts w:ascii="Times New Roman" w:hAnsi="Times New Roman" w:cs="Times New Roman"/>
          <w:sz w:val="26"/>
          <w:szCs w:val="26"/>
        </w:rPr>
        <w:t xml:space="preserve"> Ohio, </w:t>
      </w:r>
      <w:r w:rsidR="001C3D36">
        <w:rPr>
          <w:rFonts w:ascii="Times New Roman" w:hAnsi="Times New Roman" w:cs="Times New Roman"/>
          <w:sz w:val="26"/>
          <w:szCs w:val="26"/>
        </w:rPr>
        <w:t xml:space="preserve">we are </w:t>
      </w:r>
      <w:r w:rsidR="00FB1FC5">
        <w:rPr>
          <w:rFonts w:ascii="Times New Roman" w:hAnsi="Times New Roman" w:cs="Times New Roman"/>
          <w:sz w:val="26"/>
          <w:szCs w:val="26"/>
        </w:rPr>
        <w:t>direct</w:t>
      </w:r>
      <w:r w:rsidR="001C3D36">
        <w:rPr>
          <w:rFonts w:ascii="Times New Roman" w:hAnsi="Times New Roman" w:cs="Times New Roman"/>
          <w:sz w:val="26"/>
          <w:szCs w:val="26"/>
        </w:rPr>
        <w:t>ing</w:t>
      </w:r>
      <w:r w:rsidR="00FB1FC5">
        <w:rPr>
          <w:rFonts w:ascii="Times New Roman" w:hAnsi="Times New Roman" w:cs="Times New Roman"/>
          <w:sz w:val="26"/>
          <w:szCs w:val="26"/>
        </w:rPr>
        <w:t xml:space="preserve"> </w:t>
      </w:r>
      <w:r w:rsidR="00EA484B">
        <w:rPr>
          <w:rFonts w:ascii="Times New Roman" w:hAnsi="Times New Roman" w:cs="Times New Roman"/>
          <w:sz w:val="26"/>
          <w:szCs w:val="26"/>
        </w:rPr>
        <w:t xml:space="preserve">each </w:t>
      </w:r>
      <w:r w:rsidR="00A2487B" w:rsidRPr="008261CA">
        <w:rPr>
          <w:rFonts w:ascii="Times New Roman" w:hAnsi="Times New Roman" w:cs="Times New Roman"/>
          <w:sz w:val="26"/>
          <w:szCs w:val="26"/>
        </w:rPr>
        <w:t xml:space="preserve">NGDC and EDC </w:t>
      </w:r>
      <w:r w:rsidR="007B0B4E">
        <w:rPr>
          <w:rFonts w:ascii="Times New Roman" w:hAnsi="Times New Roman" w:cs="Times New Roman"/>
          <w:sz w:val="26"/>
          <w:szCs w:val="26"/>
        </w:rPr>
        <w:t xml:space="preserve">to </w:t>
      </w:r>
      <w:r w:rsidR="00A2487B" w:rsidRPr="008261CA">
        <w:rPr>
          <w:rFonts w:ascii="Times New Roman" w:hAnsi="Times New Roman" w:cs="Times New Roman"/>
          <w:sz w:val="26"/>
          <w:szCs w:val="26"/>
        </w:rPr>
        <w:t xml:space="preserve">provide a cost analysis </w:t>
      </w:r>
      <w:r w:rsidR="007B0B4E">
        <w:rPr>
          <w:rFonts w:ascii="Times New Roman" w:hAnsi="Times New Roman" w:cs="Times New Roman"/>
          <w:sz w:val="26"/>
          <w:szCs w:val="26"/>
        </w:rPr>
        <w:t>based on a 10% maximum energy burden</w:t>
      </w:r>
      <w:r w:rsidR="00A5681B">
        <w:rPr>
          <w:rFonts w:ascii="Times New Roman" w:hAnsi="Times New Roman" w:cs="Times New Roman"/>
          <w:sz w:val="26"/>
          <w:szCs w:val="26"/>
        </w:rPr>
        <w:t xml:space="preserve"> </w:t>
      </w:r>
      <w:r w:rsidR="001C3D36">
        <w:rPr>
          <w:rFonts w:ascii="Times New Roman" w:hAnsi="Times New Roman" w:cs="Times New Roman"/>
          <w:sz w:val="26"/>
          <w:szCs w:val="26"/>
        </w:rPr>
        <w:t>for 2017</w:t>
      </w:r>
      <w:r w:rsidR="009F6084">
        <w:rPr>
          <w:rFonts w:ascii="Times New Roman" w:hAnsi="Times New Roman" w:cs="Times New Roman"/>
          <w:sz w:val="26"/>
          <w:szCs w:val="26"/>
        </w:rPr>
        <w:t xml:space="preserve"> through 2021</w:t>
      </w:r>
      <w:r w:rsidR="00330B1D">
        <w:rPr>
          <w:rFonts w:ascii="Times New Roman" w:hAnsi="Times New Roman" w:cs="Times New Roman"/>
          <w:sz w:val="26"/>
          <w:szCs w:val="26"/>
        </w:rPr>
        <w:t xml:space="preserve">.  These </w:t>
      </w:r>
      <w:r w:rsidR="00ED7259">
        <w:rPr>
          <w:rFonts w:ascii="Times New Roman" w:hAnsi="Times New Roman" w:cs="Times New Roman"/>
          <w:sz w:val="26"/>
          <w:szCs w:val="26"/>
        </w:rPr>
        <w:t xml:space="preserve">forecasts and </w:t>
      </w:r>
      <w:r w:rsidR="00330B1D">
        <w:rPr>
          <w:rFonts w:ascii="Times New Roman" w:hAnsi="Times New Roman" w:cs="Times New Roman"/>
          <w:sz w:val="26"/>
          <w:szCs w:val="26"/>
        </w:rPr>
        <w:t>projections sh</w:t>
      </w:r>
      <w:r w:rsidR="00626B95">
        <w:rPr>
          <w:rFonts w:ascii="Times New Roman" w:hAnsi="Times New Roman" w:cs="Times New Roman"/>
          <w:sz w:val="26"/>
          <w:szCs w:val="26"/>
        </w:rPr>
        <w:t xml:space="preserve">ould also </w:t>
      </w:r>
      <w:r w:rsidR="00330B1D">
        <w:rPr>
          <w:rFonts w:ascii="Times New Roman" w:hAnsi="Times New Roman" w:cs="Times New Roman"/>
          <w:sz w:val="26"/>
          <w:szCs w:val="26"/>
        </w:rPr>
        <w:t xml:space="preserve">be filed </w:t>
      </w:r>
      <w:r w:rsidR="00F91A78">
        <w:rPr>
          <w:rFonts w:ascii="Times New Roman" w:hAnsi="Times New Roman" w:cs="Times New Roman"/>
          <w:sz w:val="26"/>
          <w:szCs w:val="26"/>
        </w:rPr>
        <w:t xml:space="preserve">and served </w:t>
      </w:r>
      <w:r w:rsidR="00D6777E">
        <w:rPr>
          <w:rFonts w:ascii="Times New Roman" w:hAnsi="Times New Roman" w:cs="Times New Roman"/>
          <w:sz w:val="26"/>
          <w:szCs w:val="26"/>
        </w:rPr>
        <w:t xml:space="preserve">as </w:t>
      </w:r>
      <w:r w:rsidR="00626B95">
        <w:rPr>
          <w:rFonts w:ascii="Times New Roman" w:hAnsi="Times New Roman" w:cs="Times New Roman"/>
          <w:sz w:val="26"/>
          <w:szCs w:val="26"/>
        </w:rPr>
        <w:t xml:space="preserve">part of its comments </w:t>
      </w:r>
      <w:r w:rsidR="00A5681B">
        <w:rPr>
          <w:rFonts w:ascii="Times New Roman" w:hAnsi="Times New Roman" w:cs="Times New Roman"/>
          <w:sz w:val="26"/>
          <w:szCs w:val="26"/>
        </w:rPr>
        <w:t xml:space="preserve">within </w:t>
      </w:r>
      <w:r w:rsidR="00550CE7">
        <w:rPr>
          <w:rFonts w:ascii="Times New Roman" w:hAnsi="Times New Roman" w:cs="Times New Roman"/>
          <w:sz w:val="26"/>
          <w:szCs w:val="26"/>
        </w:rPr>
        <w:t>3</w:t>
      </w:r>
      <w:r w:rsidR="00A5681B">
        <w:rPr>
          <w:rFonts w:ascii="Times New Roman" w:hAnsi="Times New Roman" w:cs="Times New Roman"/>
          <w:sz w:val="26"/>
          <w:szCs w:val="26"/>
        </w:rPr>
        <w:t>0</w:t>
      </w:r>
      <w:r w:rsidR="00956C09">
        <w:rPr>
          <w:rFonts w:ascii="Times New Roman" w:hAnsi="Times New Roman" w:cs="Times New Roman"/>
          <w:sz w:val="26"/>
          <w:szCs w:val="26"/>
        </w:rPr>
        <w:t> </w:t>
      </w:r>
      <w:r w:rsidR="00A5681B">
        <w:rPr>
          <w:rFonts w:ascii="Times New Roman" w:hAnsi="Times New Roman" w:cs="Times New Roman"/>
          <w:sz w:val="26"/>
          <w:szCs w:val="26"/>
        </w:rPr>
        <w:t xml:space="preserve">days from the </w:t>
      </w:r>
      <w:r w:rsidR="00330B1D">
        <w:rPr>
          <w:rFonts w:ascii="Times New Roman" w:hAnsi="Times New Roman" w:cs="Times New Roman"/>
          <w:sz w:val="26"/>
          <w:szCs w:val="26"/>
        </w:rPr>
        <w:t xml:space="preserve">entry </w:t>
      </w:r>
      <w:r w:rsidR="00A5681B">
        <w:rPr>
          <w:rFonts w:ascii="Times New Roman" w:hAnsi="Times New Roman" w:cs="Times New Roman"/>
          <w:sz w:val="26"/>
          <w:szCs w:val="26"/>
        </w:rPr>
        <w:t>of this Order</w:t>
      </w:r>
      <w:r w:rsidR="00A2487B">
        <w:rPr>
          <w:rFonts w:ascii="Times New Roman" w:hAnsi="Times New Roman" w:cs="Times New Roman"/>
          <w:sz w:val="26"/>
          <w:szCs w:val="26"/>
        </w:rPr>
        <w:t xml:space="preserve">.  </w:t>
      </w:r>
    </w:p>
    <w:p w14:paraId="7020F545" w14:textId="77777777" w:rsidR="00ED7259" w:rsidRDefault="00ED7259" w:rsidP="0018675A">
      <w:pPr>
        <w:spacing w:after="0" w:line="360" w:lineRule="auto"/>
        <w:ind w:left="720" w:firstLine="720"/>
        <w:contextualSpacing/>
        <w:rPr>
          <w:rFonts w:ascii="Times New Roman" w:hAnsi="Times New Roman" w:cs="Times New Roman"/>
          <w:sz w:val="26"/>
          <w:szCs w:val="26"/>
        </w:rPr>
      </w:pPr>
    </w:p>
    <w:p w14:paraId="75A154CB" w14:textId="3CDFC8A3" w:rsidR="00A2487B" w:rsidRPr="008261CA" w:rsidRDefault="00A2487B" w:rsidP="0018675A">
      <w:pPr>
        <w:spacing w:after="0" w:line="360" w:lineRule="auto"/>
        <w:ind w:left="720" w:firstLine="720"/>
        <w:contextualSpacing/>
        <w:rPr>
          <w:rFonts w:ascii="Times New Roman" w:hAnsi="Times New Roman" w:cs="Times New Roman"/>
          <w:sz w:val="26"/>
          <w:szCs w:val="26"/>
        </w:rPr>
      </w:pPr>
      <w:r>
        <w:rPr>
          <w:rFonts w:ascii="Times New Roman" w:hAnsi="Times New Roman" w:cs="Times New Roman"/>
          <w:sz w:val="26"/>
          <w:szCs w:val="26"/>
        </w:rPr>
        <w:t>Th</w:t>
      </w:r>
      <w:r w:rsidR="00B35F18">
        <w:rPr>
          <w:rFonts w:ascii="Times New Roman" w:hAnsi="Times New Roman" w:cs="Times New Roman"/>
          <w:sz w:val="26"/>
          <w:szCs w:val="26"/>
        </w:rPr>
        <w:t xml:space="preserve">ese </w:t>
      </w:r>
      <w:r w:rsidR="00D223ED">
        <w:rPr>
          <w:rFonts w:ascii="Times New Roman" w:hAnsi="Times New Roman" w:cs="Times New Roman"/>
          <w:sz w:val="26"/>
          <w:szCs w:val="26"/>
        </w:rPr>
        <w:t xml:space="preserve">projections </w:t>
      </w:r>
      <w:r w:rsidR="00B35F18">
        <w:rPr>
          <w:rFonts w:ascii="Times New Roman" w:hAnsi="Times New Roman" w:cs="Times New Roman"/>
          <w:sz w:val="26"/>
          <w:szCs w:val="26"/>
        </w:rPr>
        <w:t xml:space="preserve">and </w:t>
      </w:r>
      <w:r>
        <w:rPr>
          <w:rFonts w:ascii="Times New Roman" w:hAnsi="Times New Roman" w:cs="Times New Roman"/>
          <w:sz w:val="26"/>
          <w:szCs w:val="26"/>
        </w:rPr>
        <w:t>analys</w:t>
      </w:r>
      <w:r w:rsidR="00D223ED">
        <w:rPr>
          <w:rFonts w:ascii="Times New Roman" w:hAnsi="Times New Roman" w:cs="Times New Roman"/>
          <w:sz w:val="26"/>
          <w:szCs w:val="26"/>
        </w:rPr>
        <w:t>e</w:t>
      </w:r>
      <w:r>
        <w:rPr>
          <w:rFonts w:ascii="Times New Roman" w:hAnsi="Times New Roman" w:cs="Times New Roman"/>
          <w:sz w:val="26"/>
          <w:szCs w:val="26"/>
        </w:rPr>
        <w:t xml:space="preserve">s should include costs associated with </w:t>
      </w:r>
      <w:r w:rsidRPr="008261CA">
        <w:rPr>
          <w:rFonts w:ascii="Times New Roman" w:hAnsi="Times New Roman" w:cs="Times New Roman"/>
          <w:sz w:val="26"/>
          <w:szCs w:val="26"/>
        </w:rPr>
        <w:t>system changes</w:t>
      </w:r>
      <w:r>
        <w:rPr>
          <w:rFonts w:ascii="Times New Roman" w:hAnsi="Times New Roman" w:cs="Times New Roman"/>
          <w:sz w:val="26"/>
          <w:szCs w:val="26"/>
        </w:rPr>
        <w:t xml:space="preserve">, </w:t>
      </w:r>
      <w:r w:rsidRPr="008261CA">
        <w:rPr>
          <w:rFonts w:ascii="Times New Roman" w:hAnsi="Times New Roman" w:cs="Times New Roman"/>
          <w:sz w:val="26"/>
          <w:szCs w:val="26"/>
        </w:rPr>
        <w:t>CAP credits</w:t>
      </w:r>
      <w:r>
        <w:rPr>
          <w:rFonts w:ascii="Times New Roman" w:hAnsi="Times New Roman" w:cs="Times New Roman"/>
          <w:sz w:val="26"/>
          <w:szCs w:val="26"/>
        </w:rPr>
        <w:t xml:space="preserve">, arrearages, and any other incurred costs that would contribute to </w:t>
      </w:r>
      <w:r w:rsidR="005301CD">
        <w:rPr>
          <w:rFonts w:ascii="Times New Roman" w:hAnsi="Times New Roman" w:cs="Times New Roman"/>
          <w:sz w:val="26"/>
          <w:szCs w:val="26"/>
        </w:rPr>
        <w:t>such a change</w:t>
      </w:r>
      <w:r w:rsidRPr="008261CA">
        <w:rPr>
          <w:rFonts w:ascii="Times New Roman" w:hAnsi="Times New Roman" w:cs="Times New Roman"/>
          <w:sz w:val="26"/>
          <w:szCs w:val="26"/>
        </w:rPr>
        <w:t xml:space="preserve">.  </w:t>
      </w:r>
      <w:r w:rsidR="001B2FA3">
        <w:rPr>
          <w:rFonts w:ascii="Times New Roman" w:hAnsi="Times New Roman" w:cs="Times New Roman"/>
          <w:sz w:val="26"/>
          <w:szCs w:val="26"/>
        </w:rPr>
        <w:t>All cost c</w:t>
      </w:r>
      <w:r w:rsidRPr="008261CA">
        <w:rPr>
          <w:rFonts w:ascii="Times New Roman" w:hAnsi="Times New Roman" w:cs="Times New Roman"/>
          <w:sz w:val="26"/>
          <w:szCs w:val="26"/>
        </w:rPr>
        <w:t xml:space="preserve">alculations </w:t>
      </w:r>
      <w:r w:rsidR="001B2FA3">
        <w:rPr>
          <w:rFonts w:ascii="Times New Roman" w:hAnsi="Times New Roman" w:cs="Times New Roman"/>
          <w:sz w:val="26"/>
          <w:szCs w:val="26"/>
        </w:rPr>
        <w:t>should</w:t>
      </w:r>
      <w:r w:rsidRPr="008261CA">
        <w:rPr>
          <w:rFonts w:ascii="Times New Roman" w:hAnsi="Times New Roman" w:cs="Times New Roman"/>
          <w:sz w:val="26"/>
          <w:szCs w:val="26"/>
        </w:rPr>
        <w:t xml:space="preserve"> be </w:t>
      </w:r>
      <w:r w:rsidR="00787AB3">
        <w:rPr>
          <w:rFonts w:ascii="Times New Roman" w:hAnsi="Times New Roman" w:cs="Times New Roman"/>
          <w:sz w:val="26"/>
          <w:szCs w:val="26"/>
        </w:rPr>
        <w:t>delin</w:t>
      </w:r>
      <w:r w:rsidR="00E94FF2">
        <w:rPr>
          <w:rFonts w:ascii="Times New Roman" w:hAnsi="Times New Roman" w:cs="Times New Roman"/>
          <w:sz w:val="26"/>
          <w:szCs w:val="26"/>
        </w:rPr>
        <w:t>e</w:t>
      </w:r>
      <w:r w:rsidR="00787AB3">
        <w:rPr>
          <w:rFonts w:ascii="Times New Roman" w:hAnsi="Times New Roman" w:cs="Times New Roman"/>
          <w:sz w:val="26"/>
          <w:szCs w:val="26"/>
        </w:rPr>
        <w:t>ated</w:t>
      </w:r>
      <w:r w:rsidRPr="008261CA">
        <w:rPr>
          <w:rFonts w:ascii="Times New Roman" w:hAnsi="Times New Roman" w:cs="Times New Roman"/>
          <w:sz w:val="26"/>
          <w:szCs w:val="26"/>
        </w:rPr>
        <w:t xml:space="preserve"> so that it is clear to staff the </w:t>
      </w:r>
      <w:r w:rsidR="00E33E9A">
        <w:rPr>
          <w:rFonts w:ascii="Times New Roman" w:hAnsi="Times New Roman" w:cs="Times New Roman"/>
          <w:sz w:val="26"/>
          <w:szCs w:val="26"/>
        </w:rPr>
        <w:t>precise</w:t>
      </w:r>
      <w:r w:rsidRPr="008261CA">
        <w:rPr>
          <w:rFonts w:ascii="Times New Roman" w:hAnsi="Times New Roman" w:cs="Times New Roman"/>
          <w:sz w:val="26"/>
          <w:szCs w:val="26"/>
        </w:rPr>
        <w:t xml:space="preserve"> program costs </w:t>
      </w:r>
      <w:r w:rsidR="00D52B79">
        <w:rPr>
          <w:rFonts w:ascii="Times New Roman" w:hAnsi="Times New Roman" w:cs="Times New Roman"/>
          <w:sz w:val="26"/>
          <w:szCs w:val="26"/>
        </w:rPr>
        <w:t>at all three FPIG levels</w:t>
      </w:r>
      <w:r w:rsidR="00D52B79" w:rsidRPr="008261CA">
        <w:rPr>
          <w:rFonts w:ascii="Times New Roman" w:hAnsi="Times New Roman" w:cs="Times New Roman"/>
          <w:sz w:val="26"/>
          <w:szCs w:val="26"/>
        </w:rPr>
        <w:t xml:space="preserve"> </w:t>
      </w:r>
      <w:r w:rsidRPr="008261CA">
        <w:rPr>
          <w:rFonts w:ascii="Times New Roman" w:hAnsi="Times New Roman" w:cs="Times New Roman"/>
          <w:sz w:val="26"/>
          <w:szCs w:val="26"/>
        </w:rPr>
        <w:t xml:space="preserve">that the utility </w:t>
      </w:r>
      <w:r w:rsidR="00E33E9A">
        <w:rPr>
          <w:rFonts w:ascii="Times New Roman" w:hAnsi="Times New Roman" w:cs="Times New Roman"/>
          <w:sz w:val="26"/>
          <w:szCs w:val="26"/>
        </w:rPr>
        <w:t xml:space="preserve">estimates it </w:t>
      </w:r>
      <w:r w:rsidR="00787AB3">
        <w:rPr>
          <w:rFonts w:ascii="Times New Roman" w:hAnsi="Times New Roman" w:cs="Times New Roman"/>
          <w:sz w:val="26"/>
          <w:szCs w:val="26"/>
        </w:rPr>
        <w:t xml:space="preserve">might </w:t>
      </w:r>
      <w:r w:rsidRPr="008261CA">
        <w:rPr>
          <w:rFonts w:ascii="Times New Roman" w:hAnsi="Times New Roman" w:cs="Times New Roman"/>
          <w:sz w:val="26"/>
          <w:szCs w:val="26"/>
        </w:rPr>
        <w:t xml:space="preserve">incur if </w:t>
      </w:r>
      <w:r w:rsidR="00F02DCB">
        <w:rPr>
          <w:rFonts w:ascii="Times New Roman" w:hAnsi="Times New Roman" w:cs="Times New Roman"/>
          <w:sz w:val="26"/>
          <w:szCs w:val="26"/>
        </w:rPr>
        <w:t>a</w:t>
      </w:r>
      <w:r w:rsidRPr="008261CA">
        <w:rPr>
          <w:rFonts w:ascii="Times New Roman" w:hAnsi="Times New Roman" w:cs="Times New Roman"/>
          <w:sz w:val="26"/>
          <w:szCs w:val="26"/>
        </w:rPr>
        <w:t xml:space="preserve"> change </w:t>
      </w:r>
      <w:r w:rsidR="002B318E">
        <w:rPr>
          <w:rFonts w:ascii="Times New Roman" w:hAnsi="Times New Roman" w:cs="Times New Roman"/>
          <w:sz w:val="26"/>
          <w:szCs w:val="26"/>
        </w:rPr>
        <w:t xml:space="preserve">to a </w:t>
      </w:r>
      <w:r w:rsidR="00DB4246">
        <w:rPr>
          <w:rFonts w:ascii="Times New Roman" w:hAnsi="Times New Roman" w:cs="Times New Roman"/>
          <w:sz w:val="26"/>
          <w:szCs w:val="26"/>
        </w:rPr>
        <w:t xml:space="preserve">maximum </w:t>
      </w:r>
      <w:r w:rsidR="002B318E">
        <w:rPr>
          <w:rFonts w:ascii="Times New Roman" w:hAnsi="Times New Roman" w:cs="Times New Roman"/>
          <w:sz w:val="26"/>
          <w:szCs w:val="26"/>
        </w:rPr>
        <w:t>10%</w:t>
      </w:r>
      <w:r w:rsidR="008B669A">
        <w:rPr>
          <w:rFonts w:ascii="Times New Roman" w:hAnsi="Times New Roman" w:cs="Times New Roman"/>
          <w:sz w:val="26"/>
          <w:szCs w:val="26"/>
        </w:rPr>
        <w:t> </w:t>
      </w:r>
      <w:r w:rsidR="002B318E">
        <w:rPr>
          <w:rFonts w:ascii="Times New Roman" w:hAnsi="Times New Roman" w:cs="Times New Roman"/>
          <w:sz w:val="26"/>
          <w:szCs w:val="26"/>
        </w:rPr>
        <w:t xml:space="preserve">energy burden </w:t>
      </w:r>
      <w:r w:rsidR="008B78E7">
        <w:rPr>
          <w:rFonts w:ascii="Times New Roman" w:hAnsi="Times New Roman" w:cs="Times New Roman"/>
          <w:sz w:val="26"/>
          <w:szCs w:val="26"/>
        </w:rPr>
        <w:t xml:space="preserve">(and the costs of </w:t>
      </w:r>
      <w:r w:rsidR="002B318E">
        <w:rPr>
          <w:rFonts w:ascii="Times New Roman" w:hAnsi="Times New Roman" w:cs="Times New Roman"/>
          <w:sz w:val="26"/>
          <w:szCs w:val="26"/>
        </w:rPr>
        <w:t xml:space="preserve">a change to a percent of income plan </w:t>
      </w:r>
      <w:r w:rsidR="008B78E7">
        <w:rPr>
          <w:rFonts w:ascii="Times New Roman" w:hAnsi="Times New Roman" w:cs="Times New Roman"/>
          <w:sz w:val="26"/>
          <w:szCs w:val="26"/>
        </w:rPr>
        <w:t xml:space="preserve">if the utility is not already using a percent of income plan) </w:t>
      </w:r>
      <w:r w:rsidRPr="008261CA">
        <w:rPr>
          <w:rFonts w:ascii="Times New Roman" w:hAnsi="Times New Roman" w:cs="Times New Roman"/>
          <w:sz w:val="26"/>
          <w:szCs w:val="26"/>
        </w:rPr>
        <w:t>were to be promulgated and subsequently implemented.</w:t>
      </w:r>
      <w:r w:rsidR="00447F00" w:rsidDel="003E731E">
        <w:rPr>
          <w:rFonts w:ascii="Times New Roman" w:hAnsi="Times New Roman" w:cs="Times New Roman"/>
          <w:sz w:val="26"/>
          <w:szCs w:val="26"/>
        </w:rPr>
        <w:t xml:space="preserve">  </w:t>
      </w:r>
      <w:r w:rsidR="00011C2B">
        <w:rPr>
          <w:rFonts w:ascii="Times New Roman" w:hAnsi="Times New Roman" w:cs="Times New Roman"/>
          <w:sz w:val="26"/>
          <w:szCs w:val="26"/>
        </w:rPr>
        <w:lastRenderedPageBreak/>
        <w:t>For the projections, t</w:t>
      </w:r>
      <w:r w:rsidR="00447F00">
        <w:rPr>
          <w:rFonts w:ascii="Times New Roman" w:hAnsi="Times New Roman" w:cs="Times New Roman"/>
          <w:sz w:val="26"/>
          <w:szCs w:val="26"/>
        </w:rPr>
        <w:t xml:space="preserve">he 10% maximum </w:t>
      </w:r>
      <w:r w:rsidR="00C8524D">
        <w:rPr>
          <w:rFonts w:ascii="Times New Roman" w:hAnsi="Times New Roman" w:cs="Times New Roman"/>
          <w:sz w:val="26"/>
          <w:szCs w:val="26"/>
        </w:rPr>
        <w:t xml:space="preserve">energy burden </w:t>
      </w:r>
      <w:r w:rsidR="00447F00">
        <w:rPr>
          <w:rFonts w:ascii="Times New Roman" w:hAnsi="Times New Roman" w:cs="Times New Roman"/>
          <w:sz w:val="26"/>
          <w:szCs w:val="26"/>
        </w:rPr>
        <w:t xml:space="preserve">is </w:t>
      </w:r>
      <w:r w:rsidR="00BE0CA9">
        <w:rPr>
          <w:rFonts w:ascii="Times New Roman" w:hAnsi="Times New Roman" w:cs="Times New Roman"/>
          <w:sz w:val="26"/>
          <w:szCs w:val="26"/>
        </w:rPr>
        <w:t xml:space="preserve">to be </w:t>
      </w:r>
      <w:r w:rsidR="00447F00">
        <w:rPr>
          <w:rFonts w:ascii="Times New Roman" w:hAnsi="Times New Roman" w:cs="Times New Roman"/>
          <w:sz w:val="26"/>
          <w:szCs w:val="26"/>
        </w:rPr>
        <w:t xml:space="preserve">distributed as </w:t>
      </w:r>
      <w:r w:rsidR="00BE0CA9">
        <w:rPr>
          <w:rFonts w:ascii="Times New Roman" w:hAnsi="Times New Roman" w:cs="Times New Roman"/>
          <w:sz w:val="26"/>
          <w:szCs w:val="26"/>
        </w:rPr>
        <w:t xml:space="preserve">indicated in Table 2 </w:t>
      </w:r>
      <w:r w:rsidR="006058E7">
        <w:rPr>
          <w:rFonts w:ascii="Times New Roman" w:hAnsi="Times New Roman" w:cs="Times New Roman"/>
          <w:sz w:val="26"/>
          <w:szCs w:val="26"/>
        </w:rPr>
        <w:t>below</w:t>
      </w:r>
      <w:r w:rsidR="00447F00">
        <w:rPr>
          <w:rFonts w:ascii="Times New Roman" w:hAnsi="Times New Roman" w:cs="Times New Roman"/>
          <w:sz w:val="26"/>
          <w:szCs w:val="26"/>
        </w:rPr>
        <w:t>:</w:t>
      </w:r>
    </w:p>
    <w:p w14:paraId="493EE875" w14:textId="6EDF8267" w:rsidR="0086108A" w:rsidRDefault="0086108A" w:rsidP="00835020">
      <w:pPr>
        <w:pStyle w:val="NoSpacing"/>
        <w:spacing w:line="360" w:lineRule="auto"/>
        <w:contextualSpacing/>
        <w:rPr>
          <w:rFonts w:ascii="Times New Roman" w:eastAsia="Times New Roman" w:hAnsi="Times New Roman" w:cs="Times New Roman"/>
          <w:sz w:val="26"/>
          <w:szCs w:val="26"/>
        </w:rPr>
      </w:pPr>
    </w:p>
    <w:p w14:paraId="0F9AA248" w14:textId="238EB786" w:rsidR="006058E7" w:rsidRPr="00B527A8" w:rsidRDefault="006058E7" w:rsidP="00B527A8">
      <w:pPr>
        <w:pStyle w:val="NoSpacing"/>
        <w:contextualSpacing/>
        <w:jc w:val="center"/>
        <w:rPr>
          <w:rFonts w:ascii="Times New Roman" w:eastAsia="Times New Roman" w:hAnsi="Times New Roman" w:cs="Times New Roman"/>
          <w:b/>
          <w:sz w:val="26"/>
          <w:szCs w:val="26"/>
        </w:rPr>
      </w:pPr>
      <w:r w:rsidRPr="00B527A8">
        <w:rPr>
          <w:rFonts w:ascii="Times New Roman" w:eastAsia="Times New Roman" w:hAnsi="Times New Roman" w:cs="Times New Roman"/>
          <w:b/>
          <w:sz w:val="26"/>
          <w:szCs w:val="26"/>
        </w:rPr>
        <w:t xml:space="preserve">Table 2: </w:t>
      </w:r>
      <w:r w:rsidR="006610D8" w:rsidRPr="00B527A8">
        <w:rPr>
          <w:rFonts w:ascii="Times New Roman" w:eastAsia="Times New Roman" w:hAnsi="Times New Roman" w:cs="Times New Roman"/>
          <w:b/>
          <w:sz w:val="26"/>
          <w:szCs w:val="26"/>
        </w:rPr>
        <w:t xml:space="preserve">Energy Burdens for 10% </w:t>
      </w:r>
      <w:r w:rsidR="000024DC" w:rsidRPr="00B527A8">
        <w:rPr>
          <w:rFonts w:ascii="Times New Roman" w:eastAsia="Times New Roman" w:hAnsi="Times New Roman" w:cs="Times New Roman"/>
          <w:b/>
          <w:sz w:val="26"/>
          <w:szCs w:val="26"/>
        </w:rPr>
        <w:t>Projections</w:t>
      </w:r>
      <w:r w:rsidRPr="00B527A8">
        <w:rPr>
          <w:rFonts w:ascii="Times New Roman" w:eastAsia="Times New Roman" w:hAnsi="Times New Roman" w:cs="Times New Roman"/>
          <w:b/>
          <w:sz w:val="26"/>
          <w:szCs w:val="26"/>
        </w:rPr>
        <w:t xml:space="preserve"> </w:t>
      </w:r>
    </w:p>
    <w:tbl>
      <w:tblPr>
        <w:tblW w:w="4760" w:type="dxa"/>
        <w:jc w:val="center"/>
        <w:tblCellMar>
          <w:left w:w="0" w:type="dxa"/>
          <w:right w:w="0" w:type="dxa"/>
        </w:tblCellMar>
        <w:tblLook w:val="04A0" w:firstRow="1" w:lastRow="0" w:firstColumn="1" w:lastColumn="0" w:noHBand="0" w:noVBand="1"/>
      </w:tblPr>
      <w:tblGrid>
        <w:gridCol w:w="2330"/>
        <w:gridCol w:w="2430"/>
      </w:tblGrid>
      <w:tr w:rsidR="0086108A" w:rsidRPr="00AD31DF" w14:paraId="3D9DD8F6" w14:textId="77777777" w:rsidTr="00B527A8">
        <w:trPr>
          <w:trHeight w:val="340"/>
          <w:jc w:val="center"/>
        </w:trPr>
        <w:tc>
          <w:tcPr>
            <w:tcW w:w="2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689BF6" w14:textId="77777777" w:rsidR="0086108A" w:rsidRPr="00AD31DF" w:rsidRDefault="0086108A" w:rsidP="00011C2B">
            <w:pPr>
              <w:keepNext/>
              <w:spacing w:after="0" w:line="240" w:lineRule="auto"/>
              <w:contextualSpacing/>
              <w:rPr>
                <w:rFonts w:ascii="Times New Roman" w:eastAsia="Times New Roman" w:hAnsi="Times New Roman" w:cs="Times New Roman"/>
                <w:b/>
                <w:color w:val="000000"/>
                <w:sz w:val="26"/>
                <w:szCs w:val="20"/>
              </w:rPr>
            </w:pPr>
            <w:r w:rsidRPr="00AD31DF">
              <w:rPr>
                <w:rFonts w:ascii="Times New Roman" w:eastAsia="Times New Roman" w:hAnsi="Times New Roman" w:cs="Times New Roman"/>
                <w:b/>
                <w:color w:val="000000"/>
                <w:sz w:val="26"/>
                <w:szCs w:val="20"/>
              </w:rPr>
              <w:t>Utility Service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33DC7A" w14:textId="73C625AF" w:rsidR="0086108A" w:rsidRPr="00AD31DF" w:rsidRDefault="001F0DC3" w:rsidP="00011C2B">
            <w:pPr>
              <w:keepNext/>
              <w:spacing w:after="0" w:line="240" w:lineRule="auto"/>
              <w:contextualSpacing/>
              <w:jc w:val="center"/>
              <w:rPr>
                <w:rFonts w:ascii="Times New Roman" w:eastAsia="Times New Roman" w:hAnsi="Times New Roman" w:cs="Times New Roman"/>
                <w:b/>
                <w:color w:val="000000"/>
                <w:sz w:val="26"/>
                <w:szCs w:val="20"/>
              </w:rPr>
            </w:pPr>
            <w:r>
              <w:rPr>
                <w:rFonts w:ascii="Times New Roman" w:eastAsia="Times New Roman" w:hAnsi="Times New Roman" w:cs="Times New Roman"/>
                <w:b/>
                <w:color w:val="000000"/>
                <w:sz w:val="26"/>
                <w:szCs w:val="20"/>
              </w:rPr>
              <w:t>Energy Burden</w:t>
            </w:r>
          </w:p>
        </w:tc>
      </w:tr>
      <w:tr w:rsidR="0086108A" w:rsidRPr="00AD31DF" w14:paraId="792FE6A6" w14:textId="77777777" w:rsidTr="00B527A8">
        <w:trPr>
          <w:trHeight w:val="322"/>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92863" w14:textId="77777777" w:rsidR="0086108A" w:rsidRPr="00AD31DF" w:rsidRDefault="0086108A" w:rsidP="00011C2B">
            <w:pPr>
              <w:keepNext/>
              <w:spacing w:after="0" w:line="240" w:lineRule="auto"/>
              <w:contextualSpacing/>
              <w:rPr>
                <w:rFonts w:ascii="Times New Roman" w:eastAsia="Times New Roman" w:hAnsi="Times New Roman" w:cs="Times New Roman"/>
                <w:color w:val="000000"/>
                <w:sz w:val="26"/>
                <w:szCs w:val="20"/>
              </w:rPr>
            </w:pPr>
            <w:r w:rsidRPr="00AD31DF">
              <w:rPr>
                <w:rFonts w:ascii="Times New Roman" w:eastAsia="Times New Roman" w:hAnsi="Times New Roman" w:cs="Times New Roman"/>
                <w:color w:val="000000"/>
                <w:sz w:val="26"/>
                <w:szCs w:val="20"/>
              </w:rPr>
              <w:t xml:space="preserve">Non-Heat Electric </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F4D28" w14:textId="77777777" w:rsidR="0086108A" w:rsidRPr="00AD31DF" w:rsidRDefault="0086108A" w:rsidP="00011C2B">
            <w:pPr>
              <w:keepNext/>
              <w:spacing w:after="0" w:line="240" w:lineRule="auto"/>
              <w:contextualSpacing/>
              <w:jc w:val="center"/>
              <w:rPr>
                <w:rFonts w:ascii="Times New Roman" w:eastAsia="Times New Roman" w:hAnsi="Times New Roman" w:cs="Times New Roman"/>
                <w:color w:val="000000"/>
                <w:sz w:val="26"/>
                <w:szCs w:val="20"/>
              </w:rPr>
            </w:pPr>
            <w:r>
              <w:rPr>
                <w:rFonts w:ascii="Times New Roman" w:eastAsia="Times New Roman" w:hAnsi="Times New Roman" w:cs="Times New Roman"/>
                <w:color w:val="000000"/>
                <w:sz w:val="26"/>
                <w:szCs w:val="20"/>
              </w:rPr>
              <w:t>4%</w:t>
            </w:r>
          </w:p>
        </w:tc>
      </w:tr>
      <w:tr w:rsidR="0086108A" w:rsidRPr="00AD31DF" w14:paraId="2BEDCDCE" w14:textId="77777777" w:rsidTr="00B527A8">
        <w:trPr>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05688" w14:textId="77777777" w:rsidR="0086108A" w:rsidRPr="00AD31DF" w:rsidRDefault="0086108A" w:rsidP="00011C2B">
            <w:pPr>
              <w:keepNext/>
              <w:spacing w:after="0" w:line="240" w:lineRule="auto"/>
              <w:contextualSpacing/>
              <w:rPr>
                <w:rFonts w:ascii="Times New Roman" w:eastAsia="Times New Roman" w:hAnsi="Times New Roman" w:cs="Times New Roman"/>
                <w:color w:val="000000"/>
                <w:sz w:val="26"/>
                <w:szCs w:val="20"/>
              </w:rPr>
            </w:pPr>
            <w:r w:rsidRPr="00AD31DF">
              <w:rPr>
                <w:rFonts w:ascii="Times New Roman" w:eastAsia="Times New Roman" w:hAnsi="Times New Roman" w:cs="Times New Roman"/>
                <w:color w:val="000000"/>
                <w:sz w:val="26"/>
                <w:szCs w:val="20"/>
              </w:rPr>
              <w:t>Gas Heat</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46C5C" w14:textId="77777777" w:rsidR="0086108A" w:rsidRPr="00AD31DF" w:rsidRDefault="0086108A" w:rsidP="00011C2B">
            <w:pPr>
              <w:keepNext/>
              <w:spacing w:after="0" w:line="240" w:lineRule="auto"/>
              <w:contextualSpacing/>
              <w:jc w:val="center"/>
              <w:rPr>
                <w:rFonts w:ascii="Times New Roman" w:eastAsia="Times New Roman" w:hAnsi="Times New Roman" w:cs="Times New Roman"/>
                <w:color w:val="000000"/>
                <w:sz w:val="26"/>
                <w:szCs w:val="20"/>
              </w:rPr>
            </w:pPr>
            <w:r>
              <w:rPr>
                <w:rFonts w:ascii="Times New Roman" w:eastAsia="Times New Roman" w:hAnsi="Times New Roman" w:cs="Times New Roman"/>
                <w:color w:val="000000"/>
                <w:sz w:val="26"/>
                <w:szCs w:val="20"/>
              </w:rPr>
              <w:t>6%</w:t>
            </w:r>
          </w:p>
        </w:tc>
      </w:tr>
      <w:tr w:rsidR="0086108A" w:rsidRPr="00AD31DF" w14:paraId="3002F0AA" w14:textId="77777777" w:rsidTr="00B527A8">
        <w:trPr>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D1D25" w14:textId="77777777" w:rsidR="0086108A" w:rsidRPr="00AD31DF" w:rsidRDefault="0086108A" w:rsidP="00011C2B">
            <w:pPr>
              <w:keepNext/>
              <w:spacing w:after="0" w:line="240" w:lineRule="auto"/>
              <w:contextualSpacing/>
              <w:rPr>
                <w:rFonts w:ascii="Times New Roman" w:eastAsia="Times New Roman" w:hAnsi="Times New Roman" w:cs="Times New Roman"/>
                <w:color w:val="000000"/>
                <w:sz w:val="26"/>
                <w:szCs w:val="20"/>
              </w:rPr>
            </w:pPr>
            <w:r w:rsidRPr="00AD31DF">
              <w:rPr>
                <w:rFonts w:ascii="Times New Roman" w:eastAsia="Times New Roman" w:hAnsi="Times New Roman" w:cs="Times New Roman"/>
                <w:color w:val="000000"/>
                <w:sz w:val="26"/>
                <w:szCs w:val="20"/>
              </w:rPr>
              <w:t>Electric Heat</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3EEF4" w14:textId="77777777" w:rsidR="0086108A" w:rsidRPr="00AD31DF" w:rsidRDefault="0086108A" w:rsidP="00011C2B">
            <w:pPr>
              <w:keepNext/>
              <w:spacing w:after="0" w:line="240" w:lineRule="auto"/>
              <w:contextualSpacing/>
              <w:jc w:val="center"/>
              <w:rPr>
                <w:rFonts w:ascii="Times New Roman" w:eastAsia="Times New Roman" w:hAnsi="Times New Roman" w:cs="Times New Roman"/>
                <w:color w:val="000000"/>
                <w:sz w:val="26"/>
                <w:szCs w:val="20"/>
              </w:rPr>
            </w:pPr>
            <w:r>
              <w:rPr>
                <w:rFonts w:ascii="Times New Roman" w:eastAsia="Times New Roman" w:hAnsi="Times New Roman" w:cs="Times New Roman"/>
                <w:color w:val="000000"/>
                <w:sz w:val="26"/>
                <w:szCs w:val="20"/>
              </w:rPr>
              <w:t>10%</w:t>
            </w:r>
          </w:p>
        </w:tc>
      </w:tr>
    </w:tbl>
    <w:p w14:paraId="7BD7847E" w14:textId="77777777" w:rsidR="0086108A" w:rsidRPr="00835020" w:rsidRDefault="0086108A" w:rsidP="00835020">
      <w:pPr>
        <w:pStyle w:val="NoSpacing"/>
        <w:spacing w:line="360" w:lineRule="auto"/>
        <w:contextualSpacing/>
        <w:rPr>
          <w:rFonts w:ascii="Times New Roman" w:hAnsi="Times New Roman" w:cs="Times New Roman"/>
          <w:sz w:val="26"/>
          <w:szCs w:val="26"/>
        </w:rPr>
      </w:pPr>
    </w:p>
    <w:p w14:paraId="31822181" w14:textId="5BFCBD90" w:rsidR="00AF6722" w:rsidRDefault="009C53A3" w:rsidP="0018675A">
      <w:pPr>
        <w:pStyle w:val="NoSpacing"/>
        <w:spacing w:line="360" w:lineRule="auto"/>
        <w:ind w:left="720" w:firstLine="720"/>
        <w:contextualSpacing/>
        <w:rPr>
          <w:rFonts w:ascii="Times New Roman" w:hAnsi="Times New Roman" w:cs="Times New Roman"/>
          <w:sz w:val="26"/>
          <w:szCs w:val="26"/>
        </w:rPr>
      </w:pPr>
      <w:bookmarkStart w:id="4" w:name="_Hlk527125969"/>
      <w:r>
        <w:rPr>
          <w:rFonts w:ascii="Times New Roman" w:hAnsi="Times New Roman" w:cs="Times New Roman"/>
          <w:sz w:val="26"/>
          <w:szCs w:val="26"/>
        </w:rPr>
        <w:t xml:space="preserve">NGDCs and EDCs should also </w:t>
      </w:r>
      <w:r w:rsidR="008B354D">
        <w:rPr>
          <w:rFonts w:ascii="Times New Roman" w:hAnsi="Times New Roman" w:cs="Times New Roman"/>
          <w:sz w:val="26"/>
          <w:szCs w:val="26"/>
        </w:rPr>
        <w:t xml:space="preserve">identify potential </w:t>
      </w:r>
      <w:r w:rsidR="00E63220">
        <w:rPr>
          <w:rFonts w:ascii="Times New Roman" w:hAnsi="Times New Roman" w:cs="Times New Roman"/>
          <w:sz w:val="26"/>
          <w:szCs w:val="26"/>
        </w:rPr>
        <w:t xml:space="preserve">cost </w:t>
      </w:r>
      <w:r w:rsidR="00B52EE2">
        <w:rPr>
          <w:rFonts w:ascii="Times New Roman" w:hAnsi="Times New Roman" w:cs="Times New Roman"/>
          <w:sz w:val="26"/>
          <w:szCs w:val="26"/>
        </w:rPr>
        <w:t xml:space="preserve">decreases from </w:t>
      </w:r>
      <w:r w:rsidR="001C0FF8">
        <w:rPr>
          <w:rFonts w:ascii="Times New Roman" w:hAnsi="Times New Roman" w:cs="Times New Roman"/>
          <w:sz w:val="26"/>
          <w:szCs w:val="26"/>
        </w:rPr>
        <w:t>a c</w:t>
      </w:r>
      <w:r w:rsidR="00C8524D">
        <w:rPr>
          <w:rFonts w:ascii="Times New Roman" w:hAnsi="Times New Roman" w:cs="Times New Roman"/>
          <w:sz w:val="26"/>
          <w:szCs w:val="26"/>
        </w:rPr>
        <w:t>hange t</w:t>
      </w:r>
      <w:r w:rsidR="00F83638">
        <w:rPr>
          <w:rFonts w:ascii="Times New Roman" w:hAnsi="Times New Roman" w:cs="Times New Roman"/>
          <w:sz w:val="26"/>
          <w:szCs w:val="26"/>
        </w:rPr>
        <w:t>o the maximum energy burdens</w:t>
      </w:r>
      <w:r w:rsidR="007E2853">
        <w:rPr>
          <w:rFonts w:ascii="Times New Roman" w:hAnsi="Times New Roman" w:cs="Times New Roman"/>
          <w:sz w:val="26"/>
          <w:szCs w:val="26"/>
        </w:rPr>
        <w:t xml:space="preserve"> </w:t>
      </w:r>
      <w:r w:rsidR="006E5532">
        <w:rPr>
          <w:rFonts w:ascii="Times New Roman" w:hAnsi="Times New Roman" w:cs="Times New Roman"/>
          <w:sz w:val="26"/>
          <w:szCs w:val="26"/>
        </w:rPr>
        <w:t xml:space="preserve">identified </w:t>
      </w:r>
      <w:r w:rsidR="007E2853">
        <w:rPr>
          <w:rFonts w:ascii="Times New Roman" w:hAnsi="Times New Roman" w:cs="Times New Roman"/>
          <w:sz w:val="26"/>
          <w:szCs w:val="26"/>
        </w:rPr>
        <w:t>above</w:t>
      </w:r>
      <w:r w:rsidR="00F83638">
        <w:rPr>
          <w:rFonts w:ascii="Times New Roman" w:hAnsi="Times New Roman" w:cs="Times New Roman"/>
          <w:sz w:val="26"/>
          <w:szCs w:val="26"/>
        </w:rPr>
        <w:t xml:space="preserve">.  </w:t>
      </w:r>
      <w:r w:rsidR="00150FA7">
        <w:rPr>
          <w:rFonts w:ascii="Times New Roman" w:hAnsi="Times New Roman" w:cs="Times New Roman"/>
          <w:sz w:val="26"/>
          <w:szCs w:val="26"/>
        </w:rPr>
        <w:t xml:space="preserve">This includes </w:t>
      </w:r>
      <w:r w:rsidR="00685BA5">
        <w:rPr>
          <w:rFonts w:ascii="Times New Roman" w:hAnsi="Times New Roman" w:cs="Times New Roman"/>
          <w:sz w:val="26"/>
          <w:szCs w:val="26"/>
        </w:rPr>
        <w:t xml:space="preserve">potential </w:t>
      </w:r>
      <w:r w:rsidR="00150FA7">
        <w:rPr>
          <w:rFonts w:ascii="Times New Roman" w:hAnsi="Times New Roman" w:cs="Times New Roman"/>
          <w:sz w:val="26"/>
          <w:szCs w:val="26"/>
        </w:rPr>
        <w:t xml:space="preserve">decreases to CAP credits for customers </w:t>
      </w:r>
      <w:r w:rsidR="00735FB9">
        <w:rPr>
          <w:rFonts w:ascii="Times New Roman" w:hAnsi="Times New Roman" w:cs="Times New Roman"/>
          <w:sz w:val="26"/>
          <w:szCs w:val="26"/>
        </w:rPr>
        <w:t xml:space="preserve">who already pay </w:t>
      </w:r>
      <w:r w:rsidR="00F65F0E">
        <w:rPr>
          <w:rFonts w:ascii="Times New Roman" w:hAnsi="Times New Roman" w:cs="Times New Roman"/>
          <w:sz w:val="26"/>
          <w:szCs w:val="26"/>
        </w:rPr>
        <w:t>less</w:t>
      </w:r>
      <w:r w:rsidR="00735FB9">
        <w:rPr>
          <w:rFonts w:ascii="Times New Roman" w:hAnsi="Times New Roman" w:cs="Times New Roman"/>
          <w:sz w:val="26"/>
          <w:szCs w:val="26"/>
        </w:rPr>
        <w:t xml:space="preserve"> </w:t>
      </w:r>
      <w:r w:rsidR="0069158F">
        <w:rPr>
          <w:rFonts w:ascii="Times New Roman" w:hAnsi="Times New Roman" w:cs="Times New Roman"/>
          <w:sz w:val="26"/>
          <w:szCs w:val="26"/>
        </w:rPr>
        <w:t xml:space="preserve">than </w:t>
      </w:r>
      <w:r w:rsidR="00F65F0E">
        <w:rPr>
          <w:rFonts w:ascii="Times New Roman" w:hAnsi="Times New Roman" w:cs="Times New Roman"/>
          <w:sz w:val="26"/>
          <w:szCs w:val="26"/>
        </w:rPr>
        <w:t>these</w:t>
      </w:r>
      <w:r w:rsidR="0069158F">
        <w:rPr>
          <w:rFonts w:ascii="Times New Roman" w:hAnsi="Times New Roman" w:cs="Times New Roman"/>
          <w:sz w:val="26"/>
          <w:szCs w:val="26"/>
        </w:rPr>
        <w:t xml:space="preserve"> energy burden</w:t>
      </w:r>
      <w:r w:rsidR="00F65F0E">
        <w:rPr>
          <w:rFonts w:ascii="Times New Roman" w:hAnsi="Times New Roman" w:cs="Times New Roman"/>
          <w:sz w:val="26"/>
          <w:szCs w:val="26"/>
        </w:rPr>
        <w:t>s</w:t>
      </w:r>
      <w:r w:rsidR="00D3634E">
        <w:rPr>
          <w:rFonts w:ascii="Times New Roman" w:hAnsi="Times New Roman" w:cs="Times New Roman"/>
          <w:sz w:val="26"/>
          <w:szCs w:val="26"/>
        </w:rPr>
        <w:t xml:space="preserve">.  The utilities are also to </w:t>
      </w:r>
      <w:r w:rsidR="00547FD7">
        <w:rPr>
          <w:rFonts w:ascii="Times New Roman" w:hAnsi="Times New Roman" w:cs="Times New Roman"/>
          <w:sz w:val="26"/>
          <w:szCs w:val="26"/>
        </w:rPr>
        <w:t>i</w:t>
      </w:r>
      <w:r w:rsidR="00632E9B">
        <w:rPr>
          <w:rFonts w:ascii="Times New Roman" w:hAnsi="Times New Roman" w:cs="Times New Roman"/>
          <w:sz w:val="26"/>
          <w:szCs w:val="26"/>
        </w:rPr>
        <w:t>dentify</w:t>
      </w:r>
      <w:r w:rsidR="00547FD7">
        <w:rPr>
          <w:rFonts w:ascii="Times New Roman" w:hAnsi="Times New Roman" w:cs="Times New Roman"/>
          <w:sz w:val="26"/>
          <w:szCs w:val="26"/>
        </w:rPr>
        <w:t xml:space="preserve"> potential changes to </w:t>
      </w:r>
      <w:r w:rsidR="001C6C7D">
        <w:rPr>
          <w:rFonts w:ascii="Times New Roman" w:hAnsi="Times New Roman" w:cs="Times New Roman"/>
          <w:sz w:val="26"/>
          <w:szCs w:val="26"/>
        </w:rPr>
        <w:t xml:space="preserve">uncollectible </w:t>
      </w:r>
      <w:r w:rsidR="00C54427">
        <w:rPr>
          <w:rFonts w:ascii="Times New Roman" w:hAnsi="Times New Roman" w:cs="Times New Roman"/>
          <w:sz w:val="26"/>
          <w:szCs w:val="26"/>
        </w:rPr>
        <w:t>balances</w:t>
      </w:r>
      <w:r w:rsidR="001C6C7D">
        <w:rPr>
          <w:rFonts w:ascii="Times New Roman" w:hAnsi="Times New Roman" w:cs="Times New Roman"/>
          <w:sz w:val="26"/>
          <w:szCs w:val="26"/>
        </w:rPr>
        <w:t xml:space="preserve">. </w:t>
      </w:r>
      <w:r w:rsidR="003568A6">
        <w:rPr>
          <w:rFonts w:ascii="Times New Roman" w:hAnsi="Times New Roman" w:cs="Times New Roman"/>
          <w:sz w:val="26"/>
          <w:szCs w:val="26"/>
        </w:rPr>
        <w:t xml:space="preserve"> </w:t>
      </w:r>
    </w:p>
    <w:p w14:paraId="4952D6CF" w14:textId="77777777" w:rsidR="00AF6722" w:rsidRDefault="00AF6722" w:rsidP="00835020">
      <w:pPr>
        <w:pStyle w:val="NoSpacing"/>
        <w:spacing w:line="360" w:lineRule="auto"/>
        <w:ind w:left="720"/>
        <w:contextualSpacing/>
        <w:rPr>
          <w:rFonts w:ascii="Times New Roman" w:hAnsi="Times New Roman" w:cs="Times New Roman"/>
          <w:sz w:val="26"/>
          <w:szCs w:val="26"/>
        </w:rPr>
      </w:pPr>
    </w:p>
    <w:p w14:paraId="148DCD61" w14:textId="5B915ABD" w:rsidR="001C0FF8" w:rsidRDefault="00852971" w:rsidP="00E66CFC">
      <w:pPr>
        <w:pStyle w:val="NoSpacing"/>
        <w:spacing w:line="360" w:lineRule="auto"/>
        <w:ind w:left="720"/>
        <w:contextualSpacing/>
        <w:rPr>
          <w:rFonts w:ascii="Times New Roman" w:hAnsi="Times New Roman" w:cs="Times New Roman"/>
          <w:sz w:val="26"/>
          <w:szCs w:val="26"/>
        </w:rPr>
      </w:pPr>
      <w:r>
        <w:rPr>
          <w:rFonts w:ascii="Times New Roman" w:hAnsi="Times New Roman" w:cs="Times New Roman"/>
          <w:sz w:val="26"/>
          <w:szCs w:val="26"/>
        </w:rPr>
        <w:tab/>
      </w:r>
      <w:r w:rsidR="00B750B2">
        <w:rPr>
          <w:rFonts w:ascii="Times New Roman" w:hAnsi="Times New Roman" w:cs="Times New Roman"/>
          <w:sz w:val="26"/>
          <w:szCs w:val="26"/>
        </w:rPr>
        <w:t>For consistency</w:t>
      </w:r>
      <w:r w:rsidR="009B525F">
        <w:rPr>
          <w:rFonts w:ascii="Times New Roman" w:hAnsi="Times New Roman" w:cs="Times New Roman"/>
          <w:sz w:val="26"/>
          <w:szCs w:val="26"/>
        </w:rPr>
        <w:t xml:space="preserve"> and comparison purposes</w:t>
      </w:r>
      <w:r w:rsidR="00B750B2">
        <w:rPr>
          <w:rFonts w:ascii="Times New Roman" w:hAnsi="Times New Roman" w:cs="Times New Roman"/>
          <w:sz w:val="26"/>
          <w:szCs w:val="26"/>
        </w:rPr>
        <w:t>, cost estimates should be based on a percent</w:t>
      </w:r>
      <w:r w:rsidR="00ED1534">
        <w:rPr>
          <w:rFonts w:ascii="Times New Roman" w:hAnsi="Times New Roman" w:cs="Times New Roman"/>
          <w:sz w:val="26"/>
          <w:szCs w:val="26"/>
        </w:rPr>
        <w:t>-</w:t>
      </w:r>
      <w:r w:rsidR="00B750B2">
        <w:rPr>
          <w:rFonts w:ascii="Times New Roman" w:hAnsi="Times New Roman" w:cs="Times New Roman"/>
          <w:sz w:val="26"/>
          <w:szCs w:val="26"/>
        </w:rPr>
        <w:t>of</w:t>
      </w:r>
      <w:r w:rsidR="00ED1534">
        <w:rPr>
          <w:rFonts w:ascii="Times New Roman" w:hAnsi="Times New Roman" w:cs="Times New Roman"/>
          <w:sz w:val="26"/>
          <w:szCs w:val="26"/>
        </w:rPr>
        <w:t>-</w:t>
      </w:r>
      <w:r w:rsidR="00B750B2">
        <w:rPr>
          <w:rFonts w:ascii="Times New Roman" w:hAnsi="Times New Roman" w:cs="Times New Roman"/>
          <w:sz w:val="26"/>
          <w:szCs w:val="26"/>
        </w:rPr>
        <w:t>income</w:t>
      </w:r>
      <w:r w:rsidR="002021C0">
        <w:rPr>
          <w:rFonts w:ascii="Times New Roman" w:hAnsi="Times New Roman" w:cs="Times New Roman"/>
          <w:sz w:val="26"/>
          <w:szCs w:val="26"/>
        </w:rPr>
        <w:t xml:space="preserve">-payment </w:t>
      </w:r>
      <w:r w:rsidR="009B525F">
        <w:rPr>
          <w:rFonts w:ascii="Times New Roman" w:hAnsi="Times New Roman" w:cs="Times New Roman"/>
          <w:sz w:val="26"/>
          <w:szCs w:val="26"/>
        </w:rPr>
        <w:t xml:space="preserve">CAP model.  </w:t>
      </w:r>
      <w:r w:rsidR="00285FD0">
        <w:rPr>
          <w:rFonts w:ascii="Times New Roman" w:hAnsi="Times New Roman" w:cs="Times New Roman"/>
          <w:sz w:val="26"/>
          <w:szCs w:val="26"/>
        </w:rPr>
        <w:t xml:space="preserve">Companies may also </w:t>
      </w:r>
      <w:r w:rsidR="000355B4">
        <w:rPr>
          <w:rFonts w:ascii="Times New Roman" w:hAnsi="Times New Roman" w:cs="Times New Roman"/>
          <w:sz w:val="26"/>
          <w:szCs w:val="26"/>
        </w:rPr>
        <w:t xml:space="preserve">compare </w:t>
      </w:r>
      <w:r w:rsidR="00C52BF2">
        <w:rPr>
          <w:rFonts w:ascii="Times New Roman" w:hAnsi="Times New Roman" w:cs="Times New Roman"/>
          <w:sz w:val="26"/>
          <w:szCs w:val="26"/>
        </w:rPr>
        <w:t xml:space="preserve">whether rate discount or </w:t>
      </w:r>
      <w:r w:rsidR="00A57A3E">
        <w:rPr>
          <w:rFonts w:ascii="Times New Roman" w:hAnsi="Times New Roman" w:cs="Times New Roman"/>
          <w:sz w:val="26"/>
          <w:szCs w:val="26"/>
        </w:rPr>
        <w:t>other</w:t>
      </w:r>
      <w:r w:rsidR="007838C7">
        <w:rPr>
          <w:rFonts w:ascii="Times New Roman" w:hAnsi="Times New Roman" w:cs="Times New Roman"/>
          <w:sz w:val="26"/>
          <w:szCs w:val="26"/>
        </w:rPr>
        <w:t xml:space="preserve"> </w:t>
      </w:r>
      <w:r w:rsidR="00A57A3E">
        <w:rPr>
          <w:rFonts w:ascii="Times New Roman" w:hAnsi="Times New Roman" w:cs="Times New Roman"/>
          <w:sz w:val="26"/>
          <w:szCs w:val="26"/>
        </w:rPr>
        <w:t xml:space="preserve">CAP </w:t>
      </w:r>
      <w:r w:rsidR="007838C7">
        <w:rPr>
          <w:rFonts w:ascii="Times New Roman" w:hAnsi="Times New Roman" w:cs="Times New Roman"/>
          <w:sz w:val="26"/>
          <w:szCs w:val="26"/>
        </w:rPr>
        <w:t xml:space="preserve">payment options may be more </w:t>
      </w:r>
      <w:r w:rsidR="009B3D3A">
        <w:rPr>
          <w:rFonts w:ascii="Times New Roman" w:hAnsi="Times New Roman" w:cs="Times New Roman"/>
          <w:sz w:val="26"/>
          <w:szCs w:val="26"/>
        </w:rPr>
        <w:t xml:space="preserve">cost-effective to achieve the </w:t>
      </w:r>
      <w:r w:rsidR="003710D6">
        <w:rPr>
          <w:rFonts w:ascii="Times New Roman" w:hAnsi="Times New Roman" w:cs="Times New Roman"/>
          <w:sz w:val="26"/>
          <w:szCs w:val="26"/>
        </w:rPr>
        <w:t xml:space="preserve">maximum 10% </w:t>
      </w:r>
      <w:r w:rsidR="00CE7885">
        <w:rPr>
          <w:rFonts w:ascii="Times New Roman" w:hAnsi="Times New Roman" w:cs="Times New Roman"/>
          <w:sz w:val="26"/>
          <w:szCs w:val="26"/>
        </w:rPr>
        <w:t xml:space="preserve">energy burdens.  </w:t>
      </w:r>
    </w:p>
    <w:p w14:paraId="4B9233C8" w14:textId="78F29E1A" w:rsidR="00B22AC9" w:rsidRDefault="00B22AC9" w:rsidP="00E66CFC">
      <w:pPr>
        <w:pStyle w:val="NoSpacing"/>
        <w:spacing w:line="360" w:lineRule="auto"/>
        <w:ind w:left="720"/>
        <w:contextualSpacing/>
        <w:rPr>
          <w:rFonts w:ascii="Times New Roman" w:hAnsi="Times New Roman" w:cs="Times New Roman"/>
          <w:sz w:val="26"/>
          <w:szCs w:val="26"/>
        </w:rPr>
      </w:pPr>
    </w:p>
    <w:p w14:paraId="0EA83DCA" w14:textId="0263226E" w:rsidR="00B22AC9" w:rsidRDefault="00B22AC9" w:rsidP="00E66CFC">
      <w:pPr>
        <w:pStyle w:val="NoSpacing"/>
        <w:spacing w:line="360" w:lineRule="auto"/>
        <w:ind w:left="720"/>
        <w:contextualSpacing/>
        <w:rPr>
          <w:rFonts w:ascii="Times New Roman" w:hAnsi="Times New Roman" w:cs="Times New Roman"/>
          <w:sz w:val="26"/>
          <w:szCs w:val="26"/>
        </w:rPr>
      </w:pPr>
      <w:r>
        <w:rPr>
          <w:rFonts w:ascii="Times New Roman" w:hAnsi="Times New Roman" w:cs="Times New Roman"/>
          <w:sz w:val="26"/>
          <w:szCs w:val="26"/>
        </w:rPr>
        <w:tab/>
        <w:t xml:space="preserve">Accordingly, the utilities </w:t>
      </w:r>
      <w:r w:rsidR="00B1123A">
        <w:rPr>
          <w:rFonts w:ascii="Times New Roman" w:hAnsi="Times New Roman" w:cs="Times New Roman"/>
          <w:sz w:val="26"/>
          <w:szCs w:val="26"/>
        </w:rPr>
        <w:t>shall:</w:t>
      </w:r>
    </w:p>
    <w:p w14:paraId="4167441E" w14:textId="426D05BD" w:rsidR="00B1123A" w:rsidRPr="002C4EFC" w:rsidRDefault="00B1123A" w:rsidP="002C4EFC">
      <w:pPr>
        <w:pStyle w:val="ListParagraph"/>
        <w:numPr>
          <w:ilvl w:val="0"/>
          <w:numId w:val="5"/>
        </w:numPr>
        <w:spacing w:line="360" w:lineRule="auto"/>
        <w:rPr>
          <w:sz w:val="26"/>
          <w:szCs w:val="26"/>
        </w:rPr>
      </w:pPr>
      <w:r w:rsidRPr="002C4EFC">
        <w:rPr>
          <w:rFonts w:eastAsia="Calibri"/>
          <w:sz w:val="26"/>
          <w:szCs w:val="26"/>
        </w:rPr>
        <w:t>Provide cost forecast</w:t>
      </w:r>
      <w:r w:rsidR="002C4EFC">
        <w:rPr>
          <w:rFonts w:eastAsia="Calibri"/>
          <w:sz w:val="26"/>
          <w:szCs w:val="26"/>
        </w:rPr>
        <w:t>s</w:t>
      </w:r>
      <w:r w:rsidRPr="002C4EFC">
        <w:rPr>
          <w:rFonts w:eastAsia="Calibri"/>
          <w:sz w:val="26"/>
          <w:szCs w:val="26"/>
        </w:rPr>
        <w:t xml:space="preserve"> based on a 10% maximum energy burden for 2017 through 2021</w:t>
      </w:r>
      <w:r w:rsidRPr="002C4EFC">
        <w:rPr>
          <w:color w:val="0D0D0D"/>
          <w:sz w:val="26"/>
          <w:szCs w:val="26"/>
        </w:rPr>
        <w:t xml:space="preserve">. </w:t>
      </w:r>
      <w:r w:rsidRPr="002C4EFC">
        <w:rPr>
          <w:rFonts w:eastAsia="Calibri"/>
          <w:sz w:val="26"/>
          <w:szCs w:val="26"/>
        </w:rPr>
        <w:t xml:space="preserve"> Include costs associated with system changes, CAP credits (overall increases and decreases), PPAs and in-program arrearages, and any other incurred costs that would contribute to such a change.  Identify and take into account the cost savings from customers who would pay more under a 10% percent of income CAP.  I</w:t>
      </w:r>
      <w:r w:rsidRPr="002C4EFC">
        <w:rPr>
          <w:sz w:val="26"/>
          <w:szCs w:val="26"/>
        </w:rPr>
        <w:t>ndicate potential impact to uncollectible balances</w:t>
      </w:r>
      <w:r w:rsidR="004435D5">
        <w:rPr>
          <w:sz w:val="26"/>
          <w:szCs w:val="26"/>
        </w:rPr>
        <w:t xml:space="preserve"> and collection costs</w:t>
      </w:r>
      <w:r w:rsidRPr="002C4EFC">
        <w:rPr>
          <w:sz w:val="26"/>
          <w:szCs w:val="26"/>
        </w:rPr>
        <w:t xml:space="preserve">.  Cost estimates should be based on a percent of income CAP payment model and, if appropriate, a </w:t>
      </w:r>
      <w:r w:rsidRPr="002C4EFC">
        <w:rPr>
          <w:sz w:val="26"/>
          <w:szCs w:val="26"/>
        </w:rPr>
        <w:lastRenderedPageBreak/>
        <w:t>comparison of whether rate discount or other CAP payment options may be more cost-effective to achieve the maximum 10% energy burdens.</w:t>
      </w:r>
      <w:r w:rsidR="00B42B20">
        <w:rPr>
          <w:rStyle w:val="FootnoteReference"/>
          <w:sz w:val="26"/>
          <w:szCs w:val="26"/>
        </w:rPr>
        <w:footnoteReference w:id="19"/>
      </w:r>
    </w:p>
    <w:p w14:paraId="31AD004D" w14:textId="77777777" w:rsidR="00B1123A" w:rsidRPr="00FF4E0E" w:rsidRDefault="00B1123A" w:rsidP="00B1123A">
      <w:pPr>
        <w:spacing w:after="0" w:line="360" w:lineRule="auto"/>
        <w:ind w:left="1080"/>
        <w:contextualSpacing/>
        <w:rPr>
          <w:rFonts w:ascii="Times New Roman" w:eastAsia="Times New Roman" w:hAnsi="Times New Roman" w:cs="Times New Roman"/>
          <w:sz w:val="26"/>
          <w:szCs w:val="26"/>
        </w:rPr>
      </w:pPr>
    </w:p>
    <w:p w14:paraId="54F155CD" w14:textId="3BCFB4C3" w:rsidR="00B1123A" w:rsidRPr="002C4EFC" w:rsidRDefault="00B1123A" w:rsidP="002C4EFC">
      <w:pPr>
        <w:pStyle w:val="ListParagraph"/>
        <w:numPr>
          <w:ilvl w:val="0"/>
          <w:numId w:val="5"/>
        </w:numPr>
        <w:spacing w:line="360" w:lineRule="auto"/>
        <w:rPr>
          <w:sz w:val="26"/>
          <w:szCs w:val="26"/>
        </w:rPr>
      </w:pPr>
      <w:r w:rsidRPr="002C4EFC">
        <w:rPr>
          <w:sz w:val="26"/>
          <w:szCs w:val="26"/>
        </w:rPr>
        <w:t xml:space="preserve">Provide cost forecasts and estimates of the impact to customer assistance programs if the utility is currently using payment options other than a percent of income plan and would be required to change to a percent of income payment.  Include projections for the years 2017 through 2021 which will be separate projections from the projections required above. </w:t>
      </w:r>
    </w:p>
    <w:bookmarkEnd w:id="4"/>
    <w:p w14:paraId="6AE6D7C3" w14:textId="77777777" w:rsidR="00E10112" w:rsidRDefault="00E10112" w:rsidP="00554EC1">
      <w:pPr>
        <w:tabs>
          <w:tab w:val="left" w:pos="720"/>
          <w:tab w:val="left" w:pos="990"/>
        </w:tabs>
        <w:spacing w:after="0" w:line="360" w:lineRule="auto"/>
        <w:contextualSpacing/>
        <w:rPr>
          <w:rFonts w:ascii="Times New Roman" w:eastAsia="Times New Roman" w:hAnsi="Times New Roman" w:cs="Times New Roman"/>
          <w:sz w:val="26"/>
          <w:szCs w:val="26"/>
        </w:rPr>
      </w:pPr>
    </w:p>
    <w:p w14:paraId="284EB902" w14:textId="2E8D589D" w:rsidR="00CC0537" w:rsidRDefault="008D1BA1" w:rsidP="008B1E79">
      <w:pPr>
        <w:keepNext/>
        <w:tabs>
          <w:tab w:val="left" w:pos="720"/>
          <w:tab w:val="left" w:pos="990"/>
        </w:tabs>
        <w:spacing w:after="0" w:line="360" w:lineRule="auto"/>
        <w:ind w:left="720"/>
        <w:contextualSpacing/>
        <w:rPr>
          <w:rFonts w:ascii="Times New Roman" w:eastAsia="Times New Roman" w:hAnsi="Times New Roman" w:cs="Times New Roman"/>
          <w:sz w:val="26"/>
          <w:szCs w:val="26"/>
        </w:rPr>
      </w:pPr>
      <w:r>
        <w:rPr>
          <w:rFonts w:ascii="Times New Roman" w:eastAsia="Times New Roman" w:hAnsi="Times New Roman" w:cs="Times New Roman"/>
          <w:b/>
          <w:sz w:val="26"/>
          <w:szCs w:val="26"/>
        </w:rPr>
        <w:t>“Payment Troubled</w:t>
      </w:r>
      <w:r w:rsidR="00882E57">
        <w:rPr>
          <w:rFonts w:ascii="Times New Roman" w:eastAsia="Times New Roman" w:hAnsi="Times New Roman" w:cs="Times New Roman"/>
          <w:b/>
          <w:sz w:val="26"/>
          <w:szCs w:val="26"/>
        </w:rPr>
        <w:t xml:space="preserve">” </w:t>
      </w:r>
      <w:r w:rsidR="00247819">
        <w:rPr>
          <w:rFonts w:ascii="Times New Roman" w:eastAsia="Times New Roman" w:hAnsi="Times New Roman" w:cs="Times New Roman"/>
          <w:b/>
          <w:sz w:val="26"/>
          <w:szCs w:val="26"/>
        </w:rPr>
        <w:t>C</w:t>
      </w:r>
      <w:r w:rsidR="00792BE4">
        <w:rPr>
          <w:rFonts w:ascii="Times New Roman" w:eastAsia="Times New Roman" w:hAnsi="Times New Roman" w:cs="Times New Roman"/>
          <w:b/>
          <w:sz w:val="26"/>
          <w:szCs w:val="26"/>
        </w:rPr>
        <w:t>riteria</w:t>
      </w:r>
      <w:r w:rsidR="00882E57">
        <w:rPr>
          <w:rFonts w:ascii="Times New Roman" w:eastAsia="Times New Roman" w:hAnsi="Times New Roman" w:cs="Times New Roman"/>
          <w:b/>
          <w:sz w:val="26"/>
          <w:szCs w:val="26"/>
        </w:rPr>
        <w:t xml:space="preserve"> </w:t>
      </w:r>
      <w:r w:rsidR="001D71B4">
        <w:rPr>
          <w:rFonts w:ascii="Times New Roman" w:eastAsia="Times New Roman" w:hAnsi="Times New Roman" w:cs="Times New Roman"/>
          <w:b/>
          <w:sz w:val="26"/>
          <w:szCs w:val="26"/>
        </w:rPr>
        <w:t xml:space="preserve">and Other Limits on </w:t>
      </w:r>
      <w:r w:rsidR="00792BE4">
        <w:rPr>
          <w:rFonts w:ascii="Times New Roman" w:eastAsia="Times New Roman" w:hAnsi="Times New Roman" w:cs="Times New Roman"/>
          <w:b/>
          <w:sz w:val="26"/>
          <w:szCs w:val="26"/>
        </w:rPr>
        <w:t>CAP Eligibility</w:t>
      </w:r>
      <w:r w:rsidR="00C41370">
        <w:rPr>
          <w:rFonts w:ascii="Times New Roman" w:eastAsia="Times New Roman" w:hAnsi="Times New Roman" w:cs="Times New Roman"/>
          <w:b/>
          <w:sz w:val="26"/>
          <w:szCs w:val="26"/>
        </w:rPr>
        <w:t xml:space="preserve"> and Enrollment</w:t>
      </w:r>
      <w:r w:rsidR="00E10112" w:rsidRPr="00E10112">
        <w:rPr>
          <w:rFonts w:ascii="Times New Roman" w:eastAsia="Times New Roman" w:hAnsi="Times New Roman" w:cs="Times New Roman"/>
          <w:b/>
          <w:sz w:val="26"/>
          <w:szCs w:val="26"/>
        </w:rPr>
        <w:t>:</w:t>
      </w:r>
      <w:r w:rsidR="00E10112">
        <w:rPr>
          <w:rFonts w:ascii="Times New Roman" w:eastAsia="Times New Roman" w:hAnsi="Times New Roman" w:cs="Times New Roman"/>
          <w:sz w:val="26"/>
          <w:szCs w:val="26"/>
        </w:rPr>
        <w:t xml:space="preserve"> </w:t>
      </w:r>
    </w:p>
    <w:p w14:paraId="4D0DABFD" w14:textId="6FF23959" w:rsidR="004438EF" w:rsidRDefault="00173934" w:rsidP="00584D6B">
      <w:pPr>
        <w:tabs>
          <w:tab w:val="left" w:pos="720"/>
          <w:tab w:val="left" w:pos="1440"/>
        </w:tabs>
        <w:spacing w:after="0" w:line="360" w:lineRule="auto"/>
        <w:ind w:left="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CAP Policy Statement at </w:t>
      </w:r>
      <w:r w:rsidR="005A4E83">
        <w:rPr>
          <w:rFonts w:ascii="Times New Roman" w:eastAsia="Times New Roman" w:hAnsi="Times New Roman" w:cs="Times New Roman"/>
          <w:sz w:val="26"/>
          <w:szCs w:val="26"/>
        </w:rPr>
        <w:t>Section 69.265(4)(iii)</w:t>
      </w:r>
      <w:r w:rsidR="00E34405">
        <w:rPr>
          <w:rFonts w:ascii="Times New Roman" w:eastAsia="Times New Roman" w:hAnsi="Times New Roman" w:cs="Times New Roman"/>
          <w:sz w:val="26"/>
          <w:szCs w:val="26"/>
        </w:rPr>
        <w:t>, initially adopted in 1992,</w:t>
      </w:r>
      <w:r w:rsidR="005A4E83">
        <w:rPr>
          <w:rFonts w:ascii="Times New Roman" w:eastAsia="Times New Roman" w:hAnsi="Times New Roman" w:cs="Times New Roman"/>
          <w:sz w:val="26"/>
          <w:szCs w:val="26"/>
        </w:rPr>
        <w:t xml:space="preserve"> </w:t>
      </w:r>
      <w:r w:rsidR="009A26F8">
        <w:rPr>
          <w:rFonts w:ascii="Times New Roman" w:eastAsia="Times New Roman" w:hAnsi="Times New Roman" w:cs="Times New Roman"/>
          <w:sz w:val="26"/>
          <w:szCs w:val="26"/>
        </w:rPr>
        <w:t xml:space="preserve">and </w:t>
      </w:r>
      <w:r w:rsidR="00BE0BB7">
        <w:rPr>
          <w:rFonts w:ascii="Times New Roman" w:eastAsia="Times New Roman" w:hAnsi="Times New Roman" w:cs="Times New Roman"/>
          <w:sz w:val="26"/>
          <w:szCs w:val="26"/>
        </w:rPr>
        <w:t>the Customer Choice regulations at</w:t>
      </w:r>
      <w:r w:rsidR="00013AED">
        <w:rPr>
          <w:rFonts w:ascii="Times New Roman" w:eastAsia="Times New Roman" w:hAnsi="Times New Roman" w:cs="Times New Roman"/>
          <w:sz w:val="26"/>
          <w:szCs w:val="26"/>
        </w:rPr>
        <w:t xml:space="preserve"> Section</w:t>
      </w:r>
      <w:r w:rsidR="00413341">
        <w:rPr>
          <w:rFonts w:ascii="Times New Roman" w:eastAsia="Times New Roman" w:hAnsi="Times New Roman" w:cs="Times New Roman"/>
          <w:sz w:val="26"/>
          <w:szCs w:val="26"/>
        </w:rPr>
        <w:t>s</w:t>
      </w:r>
      <w:r w:rsidR="00013AED">
        <w:rPr>
          <w:rFonts w:ascii="Times New Roman" w:eastAsia="Times New Roman" w:hAnsi="Times New Roman" w:cs="Times New Roman"/>
          <w:sz w:val="26"/>
          <w:szCs w:val="26"/>
        </w:rPr>
        <w:t xml:space="preserve"> 54</w:t>
      </w:r>
      <w:r w:rsidR="00CA7927">
        <w:rPr>
          <w:rFonts w:ascii="Times New Roman" w:eastAsia="Times New Roman" w:hAnsi="Times New Roman" w:cs="Times New Roman"/>
          <w:sz w:val="26"/>
          <w:szCs w:val="26"/>
        </w:rPr>
        <w:t>.72</w:t>
      </w:r>
      <w:r w:rsidR="00413341">
        <w:rPr>
          <w:rFonts w:ascii="Times New Roman" w:eastAsia="Times New Roman" w:hAnsi="Times New Roman" w:cs="Times New Roman"/>
          <w:sz w:val="26"/>
          <w:szCs w:val="26"/>
        </w:rPr>
        <w:t xml:space="preserve"> </w:t>
      </w:r>
      <w:r w:rsidR="00956E14">
        <w:rPr>
          <w:rFonts w:ascii="Times New Roman" w:eastAsia="Times New Roman" w:hAnsi="Times New Roman" w:cs="Times New Roman"/>
          <w:sz w:val="26"/>
          <w:szCs w:val="26"/>
        </w:rPr>
        <w:t xml:space="preserve">(1998) </w:t>
      </w:r>
      <w:r w:rsidR="00413341">
        <w:rPr>
          <w:rFonts w:ascii="Times New Roman" w:eastAsia="Times New Roman" w:hAnsi="Times New Roman" w:cs="Times New Roman"/>
          <w:sz w:val="26"/>
          <w:szCs w:val="26"/>
        </w:rPr>
        <w:t>and 62.</w:t>
      </w:r>
      <w:r w:rsidR="00911F8B">
        <w:rPr>
          <w:rFonts w:ascii="Times New Roman" w:eastAsia="Times New Roman" w:hAnsi="Times New Roman" w:cs="Times New Roman"/>
          <w:sz w:val="26"/>
          <w:szCs w:val="26"/>
        </w:rPr>
        <w:t>2</w:t>
      </w:r>
      <w:r w:rsidR="00413341">
        <w:rPr>
          <w:rFonts w:ascii="Times New Roman" w:eastAsia="Times New Roman" w:hAnsi="Times New Roman" w:cs="Times New Roman"/>
          <w:sz w:val="26"/>
          <w:szCs w:val="26"/>
        </w:rPr>
        <w:t xml:space="preserve"> </w:t>
      </w:r>
      <w:r w:rsidR="005E4ABB">
        <w:rPr>
          <w:rFonts w:ascii="Times New Roman" w:eastAsia="Times New Roman" w:hAnsi="Times New Roman" w:cs="Times New Roman"/>
          <w:sz w:val="26"/>
          <w:szCs w:val="26"/>
        </w:rPr>
        <w:t>(200</w:t>
      </w:r>
      <w:r w:rsidR="009A26F8">
        <w:rPr>
          <w:rFonts w:ascii="Times New Roman" w:eastAsia="Times New Roman" w:hAnsi="Times New Roman" w:cs="Times New Roman"/>
          <w:sz w:val="26"/>
          <w:szCs w:val="26"/>
        </w:rPr>
        <w:t>0</w:t>
      </w:r>
      <w:r w:rsidR="005E4ABB">
        <w:rPr>
          <w:rFonts w:ascii="Times New Roman" w:eastAsia="Times New Roman" w:hAnsi="Times New Roman" w:cs="Times New Roman"/>
          <w:sz w:val="26"/>
          <w:szCs w:val="26"/>
        </w:rPr>
        <w:t xml:space="preserve">) </w:t>
      </w:r>
      <w:r w:rsidR="009B645C">
        <w:rPr>
          <w:rFonts w:ascii="Times New Roman" w:eastAsia="Times New Roman" w:hAnsi="Times New Roman" w:cs="Times New Roman"/>
          <w:sz w:val="26"/>
          <w:szCs w:val="26"/>
        </w:rPr>
        <w:t>describe eligi</w:t>
      </w:r>
      <w:r w:rsidR="00F011F9">
        <w:rPr>
          <w:rFonts w:ascii="Times New Roman" w:eastAsia="Times New Roman" w:hAnsi="Times New Roman" w:cs="Times New Roman"/>
          <w:sz w:val="26"/>
          <w:szCs w:val="26"/>
        </w:rPr>
        <w:t>bi</w:t>
      </w:r>
      <w:r w:rsidR="009B645C">
        <w:rPr>
          <w:rFonts w:ascii="Times New Roman" w:eastAsia="Times New Roman" w:hAnsi="Times New Roman" w:cs="Times New Roman"/>
          <w:sz w:val="26"/>
          <w:szCs w:val="26"/>
        </w:rPr>
        <w:t>lity for CAP enrollment as two-fold: “low</w:t>
      </w:r>
      <w:r w:rsidR="004B133A">
        <w:rPr>
          <w:rFonts w:ascii="Times New Roman" w:eastAsia="Times New Roman" w:hAnsi="Times New Roman" w:cs="Times New Roman"/>
          <w:sz w:val="26"/>
          <w:szCs w:val="26"/>
        </w:rPr>
        <w:t>-</w:t>
      </w:r>
      <w:r w:rsidR="009B645C">
        <w:rPr>
          <w:rFonts w:ascii="Times New Roman" w:eastAsia="Times New Roman" w:hAnsi="Times New Roman" w:cs="Times New Roman"/>
          <w:sz w:val="26"/>
          <w:szCs w:val="26"/>
        </w:rPr>
        <w:t>income” and “payment</w:t>
      </w:r>
      <w:r w:rsidR="004B133A">
        <w:rPr>
          <w:rFonts w:ascii="Times New Roman" w:eastAsia="Times New Roman" w:hAnsi="Times New Roman" w:cs="Times New Roman"/>
          <w:sz w:val="26"/>
          <w:szCs w:val="26"/>
        </w:rPr>
        <w:t>-</w:t>
      </w:r>
      <w:r w:rsidR="009B645C">
        <w:rPr>
          <w:rFonts w:ascii="Times New Roman" w:eastAsia="Times New Roman" w:hAnsi="Times New Roman" w:cs="Times New Roman"/>
          <w:sz w:val="26"/>
          <w:szCs w:val="26"/>
        </w:rPr>
        <w:t xml:space="preserve">troubled.” </w:t>
      </w:r>
      <w:r w:rsidR="005519A6">
        <w:rPr>
          <w:rFonts w:ascii="Times New Roman" w:eastAsia="Times New Roman" w:hAnsi="Times New Roman" w:cs="Times New Roman"/>
          <w:sz w:val="26"/>
          <w:szCs w:val="26"/>
        </w:rPr>
        <w:t xml:space="preserve"> </w:t>
      </w:r>
      <w:r w:rsidR="00AD171A">
        <w:rPr>
          <w:rFonts w:ascii="Times New Roman" w:eastAsia="Times New Roman" w:hAnsi="Times New Roman" w:cs="Times New Roman"/>
          <w:sz w:val="26"/>
          <w:szCs w:val="26"/>
        </w:rPr>
        <w:t>“</w:t>
      </w:r>
      <w:r w:rsidR="005519A6">
        <w:rPr>
          <w:rFonts w:ascii="Times New Roman" w:eastAsia="Times New Roman" w:hAnsi="Times New Roman" w:cs="Times New Roman"/>
          <w:sz w:val="26"/>
          <w:szCs w:val="26"/>
        </w:rPr>
        <w:t>Payment</w:t>
      </w:r>
      <w:r w:rsidR="004B133A">
        <w:rPr>
          <w:rFonts w:ascii="Times New Roman" w:eastAsia="Times New Roman" w:hAnsi="Times New Roman" w:cs="Times New Roman"/>
          <w:sz w:val="26"/>
          <w:szCs w:val="26"/>
        </w:rPr>
        <w:t>-</w:t>
      </w:r>
      <w:r w:rsidR="005519A6">
        <w:rPr>
          <w:rFonts w:ascii="Times New Roman" w:eastAsia="Times New Roman" w:hAnsi="Times New Roman" w:cs="Times New Roman"/>
          <w:sz w:val="26"/>
          <w:szCs w:val="26"/>
        </w:rPr>
        <w:t>troubled</w:t>
      </w:r>
      <w:r w:rsidR="00AD171A">
        <w:rPr>
          <w:rFonts w:ascii="Times New Roman" w:eastAsia="Times New Roman" w:hAnsi="Times New Roman" w:cs="Times New Roman"/>
          <w:sz w:val="26"/>
          <w:szCs w:val="26"/>
        </w:rPr>
        <w:t>”</w:t>
      </w:r>
      <w:r w:rsidR="005519A6">
        <w:rPr>
          <w:rFonts w:ascii="Times New Roman" w:eastAsia="Times New Roman" w:hAnsi="Times New Roman" w:cs="Times New Roman"/>
          <w:sz w:val="26"/>
          <w:szCs w:val="26"/>
        </w:rPr>
        <w:t xml:space="preserve"> is defined as having missed one or more payment arrangements. </w:t>
      </w:r>
      <w:r w:rsidR="00CE5609">
        <w:rPr>
          <w:rFonts w:ascii="Times New Roman" w:eastAsia="Times New Roman" w:hAnsi="Times New Roman" w:cs="Times New Roman"/>
          <w:sz w:val="26"/>
          <w:szCs w:val="26"/>
        </w:rPr>
        <w:t xml:space="preserve"> </w:t>
      </w:r>
      <w:r w:rsidR="002006BB">
        <w:rPr>
          <w:rFonts w:ascii="Times New Roman" w:eastAsia="Times New Roman" w:hAnsi="Times New Roman" w:cs="Times New Roman"/>
          <w:sz w:val="26"/>
          <w:szCs w:val="26"/>
        </w:rPr>
        <w:t>Ostensibly, CAP eligibility was originally limited in 1992 to “low-income, payment-troubled” customers to ensure that the programs would serve those customers most in need</w:t>
      </w:r>
      <w:r w:rsidR="00A903AB">
        <w:rPr>
          <w:rFonts w:ascii="Times New Roman" w:eastAsia="Times New Roman" w:hAnsi="Times New Roman" w:cs="Times New Roman"/>
          <w:sz w:val="26"/>
          <w:szCs w:val="26"/>
        </w:rPr>
        <w:t>, and</w:t>
      </w:r>
      <w:r w:rsidR="00703BBF">
        <w:rPr>
          <w:rFonts w:ascii="Times New Roman" w:eastAsia="Times New Roman" w:hAnsi="Times New Roman" w:cs="Times New Roman"/>
          <w:sz w:val="26"/>
          <w:szCs w:val="26"/>
        </w:rPr>
        <w:t xml:space="preserve"> CAPs </w:t>
      </w:r>
      <w:r w:rsidR="00FB215D">
        <w:rPr>
          <w:rFonts w:ascii="Times New Roman" w:eastAsia="Times New Roman" w:hAnsi="Times New Roman" w:cs="Times New Roman"/>
          <w:sz w:val="26"/>
          <w:szCs w:val="26"/>
        </w:rPr>
        <w:t xml:space="preserve">were </w:t>
      </w:r>
      <w:r w:rsidR="00CF0FD6">
        <w:rPr>
          <w:rFonts w:ascii="Times New Roman" w:eastAsia="Times New Roman" w:hAnsi="Times New Roman" w:cs="Times New Roman"/>
          <w:sz w:val="26"/>
          <w:szCs w:val="26"/>
        </w:rPr>
        <w:t xml:space="preserve">initially </w:t>
      </w:r>
      <w:r w:rsidR="00A37DB2">
        <w:rPr>
          <w:rFonts w:ascii="Times New Roman" w:eastAsia="Times New Roman" w:hAnsi="Times New Roman" w:cs="Times New Roman"/>
          <w:sz w:val="26"/>
          <w:szCs w:val="26"/>
        </w:rPr>
        <w:t>designed t</w:t>
      </w:r>
      <w:r w:rsidR="00FB215D">
        <w:rPr>
          <w:rFonts w:ascii="Times New Roman" w:eastAsia="Times New Roman" w:hAnsi="Times New Roman" w:cs="Times New Roman"/>
          <w:sz w:val="26"/>
          <w:szCs w:val="26"/>
        </w:rPr>
        <w:t xml:space="preserve">o </w:t>
      </w:r>
      <w:r w:rsidR="00703BBF">
        <w:rPr>
          <w:rFonts w:ascii="Times New Roman" w:eastAsia="Times New Roman" w:hAnsi="Times New Roman" w:cs="Times New Roman"/>
          <w:sz w:val="26"/>
          <w:szCs w:val="26"/>
        </w:rPr>
        <w:t xml:space="preserve">enroll </w:t>
      </w:r>
      <w:r w:rsidR="00A37DB2">
        <w:rPr>
          <w:rFonts w:ascii="Times New Roman" w:eastAsia="Times New Roman" w:hAnsi="Times New Roman" w:cs="Times New Roman"/>
          <w:sz w:val="26"/>
          <w:szCs w:val="26"/>
        </w:rPr>
        <w:t xml:space="preserve">limited numbers of </w:t>
      </w:r>
      <w:r w:rsidR="00703BBF">
        <w:rPr>
          <w:rFonts w:ascii="Times New Roman" w:eastAsia="Times New Roman" w:hAnsi="Times New Roman" w:cs="Times New Roman"/>
          <w:sz w:val="26"/>
          <w:szCs w:val="26"/>
        </w:rPr>
        <w:t>customers at th</w:t>
      </w:r>
      <w:r w:rsidR="004438EF">
        <w:rPr>
          <w:rFonts w:ascii="Times New Roman" w:eastAsia="Times New Roman" w:hAnsi="Times New Roman" w:cs="Times New Roman"/>
          <w:sz w:val="26"/>
          <w:szCs w:val="26"/>
        </w:rPr>
        <w:t>at time and for years thereafter</w:t>
      </w:r>
      <w:r w:rsidR="002006BB">
        <w:rPr>
          <w:rFonts w:ascii="Times New Roman" w:eastAsia="Times New Roman" w:hAnsi="Times New Roman" w:cs="Times New Roman"/>
          <w:sz w:val="26"/>
          <w:szCs w:val="26"/>
        </w:rPr>
        <w:t xml:space="preserve">.  </w:t>
      </w:r>
      <w:r w:rsidR="00DA57A1">
        <w:rPr>
          <w:rFonts w:ascii="Times New Roman" w:eastAsia="Times New Roman" w:hAnsi="Times New Roman" w:cs="Times New Roman"/>
          <w:sz w:val="26"/>
          <w:szCs w:val="26"/>
        </w:rPr>
        <w:t>Over the years, however, we have approved</w:t>
      </w:r>
      <w:r w:rsidR="00534E3E">
        <w:rPr>
          <w:rFonts w:ascii="Times New Roman" w:eastAsia="Times New Roman" w:hAnsi="Times New Roman" w:cs="Times New Roman"/>
          <w:sz w:val="26"/>
          <w:szCs w:val="26"/>
        </w:rPr>
        <w:t>, upon utility request,</w:t>
      </w:r>
      <w:r w:rsidR="00DA57A1">
        <w:rPr>
          <w:rFonts w:ascii="Times New Roman" w:eastAsia="Times New Roman" w:hAnsi="Times New Roman" w:cs="Times New Roman"/>
          <w:sz w:val="26"/>
          <w:szCs w:val="26"/>
        </w:rPr>
        <w:t xml:space="preserve"> a number of NGDC and EDC CAPs</w:t>
      </w:r>
      <w:r w:rsidR="00DA57A1" w:rsidDel="00534E3E">
        <w:rPr>
          <w:rFonts w:ascii="Times New Roman" w:eastAsia="Times New Roman" w:hAnsi="Times New Roman" w:cs="Times New Roman"/>
          <w:sz w:val="26"/>
          <w:szCs w:val="26"/>
        </w:rPr>
        <w:t xml:space="preserve"> </w:t>
      </w:r>
      <w:r w:rsidR="00DA57A1">
        <w:rPr>
          <w:rFonts w:ascii="Times New Roman" w:eastAsia="Times New Roman" w:hAnsi="Times New Roman" w:cs="Times New Roman"/>
          <w:sz w:val="26"/>
          <w:szCs w:val="26"/>
        </w:rPr>
        <w:t>that eliminated or modified the requirement of a missed payment arrangement as a pre-condition for enrollment.</w:t>
      </w:r>
    </w:p>
    <w:p w14:paraId="336C7B91" w14:textId="77777777" w:rsidR="004438EF" w:rsidRDefault="004438EF" w:rsidP="00584D6B">
      <w:pPr>
        <w:tabs>
          <w:tab w:val="left" w:pos="720"/>
          <w:tab w:val="left" w:pos="1440"/>
        </w:tabs>
        <w:spacing w:after="0" w:line="360" w:lineRule="auto"/>
        <w:ind w:left="720"/>
        <w:contextualSpacing/>
        <w:rPr>
          <w:rFonts w:ascii="Times New Roman" w:eastAsia="Times New Roman" w:hAnsi="Times New Roman" w:cs="Times New Roman"/>
          <w:sz w:val="26"/>
          <w:szCs w:val="26"/>
        </w:rPr>
      </w:pPr>
    </w:p>
    <w:p w14:paraId="532DCC68" w14:textId="43516FAA" w:rsidR="00217C4B" w:rsidRPr="00217C4B" w:rsidRDefault="0015187B" w:rsidP="00217C4B">
      <w:pPr>
        <w:tabs>
          <w:tab w:val="left" w:pos="720"/>
          <w:tab w:val="left" w:pos="1440"/>
        </w:tabs>
        <w:spacing w:after="0" w:line="360" w:lineRule="auto"/>
        <w:ind w:left="720"/>
        <w:contextualSpacing/>
        <w:rPr>
          <w:rFonts w:ascii="Times New Roman" w:eastAsia="Times New Roman" w:hAnsi="Times New Roman" w:cs="Times New Roman"/>
          <w:sz w:val="26"/>
          <w:szCs w:val="26"/>
        </w:rPr>
      </w:pPr>
      <w:r w:rsidDel="0060603C">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Staff notes in the Report that </w:t>
      </w:r>
      <w:r w:rsidR="00B97169">
        <w:rPr>
          <w:rFonts w:ascii="Times New Roman" w:eastAsia="Times New Roman" w:hAnsi="Times New Roman" w:cs="Times New Roman"/>
          <w:sz w:val="26"/>
          <w:szCs w:val="26"/>
        </w:rPr>
        <w:t>u</w:t>
      </w:r>
      <w:r w:rsidR="00B97169" w:rsidRPr="00B97169">
        <w:rPr>
          <w:rFonts w:ascii="Times New Roman" w:eastAsia="Times New Roman" w:hAnsi="Times New Roman" w:cs="Times New Roman"/>
          <w:sz w:val="26"/>
          <w:szCs w:val="26"/>
        </w:rPr>
        <w:t>tilities that restrict</w:t>
      </w:r>
      <w:r w:rsidR="00E91EF7">
        <w:rPr>
          <w:rFonts w:ascii="Times New Roman" w:eastAsia="Times New Roman" w:hAnsi="Times New Roman" w:cs="Times New Roman"/>
          <w:sz w:val="26"/>
          <w:szCs w:val="26"/>
        </w:rPr>
        <w:t>ed</w:t>
      </w:r>
      <w:r w:rsidR="00B97169" w:rsidRPr="00B97169">
        <w:rPr>
          <w:rFonts w:ascii="Times New Roman" w:eastAsia="Times New Roman" w:hAnsi="Times New Roman" w:cs="Times New Roman"/>
          <w:sz w:val="26"/>
          <w:szCs w:val="26"/>
        </w:rPr>
        <w:t xml:space="preserve"> </w:t>
      </w:r>
      <w:r w:rsidR="00A55C2F">
        <w:rPr>
          <w:rFonts w:ascii="Times New Roman" w:eastAsia="Times New Roman" w:hAnsi="Times New Roman" w:cs="Times New Roman"/>
          <w:sz w:val="26"/>
          <w:szCs w:val="26"/>
        </w:rPr>
        <w:t xml:space="preserve">CAP </w:t>
      </w:r>
      <w:r w:rsidR="00B97169" w:rsidRPr="00B97169">
        <w:rPr>
          <w:rFonts w:ascii="Times New Roman" w:eastAsia="Times New Roman" w:hAnsi="Times New Roman" w:cs="Times New Roman"/>
          <w:sz w:val="26"/>
          <w:szCs w:val="26"/>
        </w:rPr>
        <w:t xml:space="preserve">enrollment </w:t>
      </w:r>
      <w:r w:rsidR="00E91EF7">
        <w:rPr>
          <w:rFonts w:ascii="Times New Roman" w:eastAsia="Times New Roman" w:hAnsi="Times New Roman" w:cs="Times New Roman"/>
          <w:sz w:val="26"/>
          <w:szCs w:val="26"/>
        </w:rPr>
        <w:t>to payment</w:t>
      </w:r>
      <w:r w:rsidR="00D441C9">
        <w:rPr>
          <w:rFonts w:ascii="Times New Roman" w:eastAsia="Times New Roman" w:hAnsi="Times New Roman" w:cs="Times New Roman"/>
          <w:sz w:val="26"/>
          <w:szCs w:val="26"/>
        </w:rPr>
        <w:t>-</w:t>
      </w:r>
      <w:r w:rsidR="00E91EF7">
        <w:rPr>
          <w:rFonts w:ascii="Times New Roman" w:eastAsia="Times New Roman" w:hAnsi="Times New Roman" w:cs="Times New Roman"/>
          <w:sz w:val="26"/>
          <w:szCs w:val="26"/>
        </w:rPr>
        <w:t>troubled customers</w:t>
      </w:r>
      <w:r w:rsidR="00B97169" w:rsidRPr="00B97169">
        <w:rPr>
          <w:rFonts w:ascii="Times New Roman" w:eastAsia="Times New Roman" w:hAnsi="Times New Roman" w:cs="Times New Roman"/>
          <w:sz w:val="26"/>
          <w:szCs w:val="26"/>
        </w:rPr>
        <w:t xml:space="preserve"> had </w:t>
      </w:r>
      <w:r w:rsidR="00B97169" w:rsidRPr="00703BB7">
        <w:rPr>
          <w:rFonts w:ascii="Times New Roman" w:eastAsia="Times New Roman" w:hAnsi="Times New Roman" w:cs="Times New Roman"/>
          <w:sz w:val="26"/>
          <w:szCs w:val="26"/>
        </w:rPr>
        <w:t>higher average PPA balances than</w:t>
      </w:r>
      <w:r w:rsidR="00D441C9" w:rsidRPr="00703BB7">
        <w:rPr>
          <w:rFonts w:ascii="Times New Roman" w:eastAsia="Times New Roman" w:hAnsi="Times New Roman" w:cs="Times New Roman"/>
          <w:sz w:val="26"/>
          <w:szCs w:val="26"/>
        </w:rPr>
        <w:t xml:space="preserve"> the utilities </w:t>
      </w:r>
      <w:r w:rsidR="00247F40" w:rsidRPr="00703BB7">
        <w:rPr>
          <w:rFonts w:ascii="Times New Roman" w:eastAsia="Times New Roman" w:hAnsi="Times New Roman" w:cs="Times New Roman"/>
          <w:sz w:val="26"/>
          <w:szCs w:val="26"/>
        </w:rPr>
        <w:t xml:space="preserve">whose </w:t>
      </w:r>
      <w:r w:rsidR="00B97169" w:rsidRPr="00703BB7">
        <w:rPr>
          <w:rFonts w:ascii="Times New Roman" w:eastAsia="Times New Roman" w:hAnsi="Times New Roman" w:cs="Times New Roman"/>
          <w:sz w:val="26"/>
          <w:szCs w:val="26"/>
        </w:rPr>
        <w:t>CAPs were not s</w:t>
      </w:r>
      <w:r w:rsidR="00247F40" w:rsidRPr="00703BB7">
        <w:rPr>
          <w:rFonts w:ascii="Times New Roman" w:eastAsia="Times New Roman" w:hAnsi="Times New Roman" w:cs="Times New Roman"/>
          <w:sz w:val="26"/>
          <w:szCs w:val="26"/>
        </w:rPr>
        <w:t>o</w:t>
      </w:r>
      <w:r w:rsidR="00B97169" w:rsidRPr="00703BB7">
        <w:rPr>
          <w:rFonts w:ascii="Times New Roman" w:eastAsia="Times New Roman" w:hAnsi="Times New Roman" w:cs="Times New Roman"/>
          <w:sz w:val="26"/>
          <w:szCs w:val="26"/>
        </w:rPr>
        <w:t xml:space="preserve"> restrict</w:t>
      </w:r>
      <w:r w:rsidR="00247F40" w:rsidRPr="00703BB7">
        <w:rPr>
          <w:rFonts w:ascii="Times New Roman" w:eastAsia="Times New Roman" w:hAnsi="Times New Roman" w:cs="Times New Roman"/>
          <w:sz w:val="26"/>
          <w:szCs w:val="26"/>
        </w:rPr>
        <w:t>ed</w:t>
      </w:r>
      <w:r w:rsidR="00B97169" w:rsidRPr="00703BB7">
        <w:rPr>
          <w:rFonts w:ascii="Times New Roman" w:eastAsia="Times New Roman" w:hAnsi="Times New Roman" w:cs="Times New Roman"/>
          <w:sz w:val="26"/>
          <w:szCs w:val="26"/>
        </w:rPr>
        <w:t>.</w:t>
      </w:r>
      <w:r w:rsidR="00E13A6F" w:rsidRPr="00703BB7">
        <w:rPr>
          <w:rFonts w:ascii="Times New Roman" w:eastAsia="Times New Roman" w:hAnsi="Times New Roman" w:cs="Times New Roman"/>
          <w:sz w:val="26"/>
          <w:szCs w:val="26"/>
        </w:rPr>
        <w:t xml:space="preserve">  Report at </w:t>
      </w:r>
      <w:r w:rsidR="00B31293" w:rsidRPr="00703BB7">
        <w:rPr>
          <w:rFonts w:ascii="Times New Roman" w:eastAsia="Times New Roman" w:hAnsi="Times New Roman" w:cs="Times New Roman"/>
          <w:sz w:val="26"/>
          <w:szCs w:val="26"/>
        </w:rPr>
        <w:t>51</w:t>
      </w:r>
      <w:r w:rsidR="00E13A6F" w:rsidRPr="00703BB7">
        <w:rPr>
          <w:rFonts w:ascii="Times New Roman" w:eastAsia="Times New Roman" w:hAnsi="Times New Roman" w:cs="Times New Roman"/>
          <w:sz w:val="26"/>
          <w:szCs w:val="26"/>
        </w:rPr>
        <w:t>.</w:t>
      </w:r>
      <w:r w:rsidR="00596BA9" w:rsidRPr="00703BB7">
        <w:rPr>
          <w:rFonts w:ascii="Times New Roman" w:eastAsia="Times New Roman" w:hAnsi="Times New Roman" w:cs="Times New Roman"/>
          <w:sz w:val="26"/>
          <w:szCs w:val="26"/>
        </w:rPr>
        <w:t xml:space="preserve">  </w:t>
      </w:r>
      <w:r w:rsidR="00205A7D" w:rsidRPr="00703BB7">
        <w:rPr>
          <w:rFonts w:ascii="Times New Roman" w:eastAsia="Times New Roman" w:hAnsi="Times New Roman" w:cs="Times New Roman"/>
          <w:sz w:val="26"/>
          <w:szCs w:val="26"/>
        </w:rPr>
        <w:t>Further, c</w:t>
      </w:r>
      <w:r w:rsidR="00596BA9" w:rsidRPr="00703BB7">
        <w:rPr>
          <w:rFonts w:ascii="Times New Roman" w:eastAsia="Times New Roman" w:hAnsi="Times New Roman" w:cs="Times New Roman"/>
          <w:sz w:val="26"/>
          <w:szCs w:val="26"/>
        </w:rPr>
        <w:t>ustomers</w:t>
      </w:r>
      <w:r w:rsidR="006F6BCE">
        <w:rPr>
          <w:rFonts w:ascii="Times New Roman" w:eastAsia="Times New Roman" w:hAnsi="Times New Roman" w:cs="Times New Roman"/>
          <w:sz w:val="26"/>
          <w:szCs w:val="26"/>
        </w:rPr>
        <w:t xml:space="preserve"> </w:t>
      </w:r>
      <w:r w:rsidR="00EE69D6">
        <w:rPr>
          <w:rFonts w:ascii="Times New Roman" w:eastAsia="Times New Roman" w:hAnsi="Times New Roman" w:cs="Times New Roman"/>
          <w:sz w:val="26"/>
          <w:szCs w:val="26"/>
        </w:rPr>
        <w:t xml:space="preserve">who enroll </w:t>
      </w:r>
      <w:r w:rsidR="00EE69D6">
        <w:rPr>
          <w:rFonts w:ascii="Times New Roman" w:eastAsia="Times New Roman" w:hAnsi="Times New Roman" w:cs="Times New Roman"/>
          <w:sz w:val="26"/>
          <w:szCs w:val="26"/>
        </w:rPr>
        <w:lastRenderedPageBreak/>
        <w:t>in payment assistance programs with</w:t>
      </w:r>
      <w:r w:rsidR="006F6BCE">
        <w:rPr>
          <w:rFonts w:ascii="Times New Roman" w:eastAsia="Times New Roman" w:hAnsi="Times New Roman" w:cs="Times New Roman"/>
          <w:sz w:val="26"/>
          <w:szCs w:val="26"/>
        </w:rPr>
        <w:t xml:space="preserve"> higher </w:t>
      </w:r>
      <w:r w:rsidR="00FF3D9D">
        <w:rPr>
          <w:rFonts w:ascii="Times New Roman" w:eastAsia="Times New Roman" w:hAnsi="Times New Roman" w:cs="Times New Roman"/>
          <w:sz w:val="26"/>
          <w:szCs w:val="26"/>
        </w:rPr>
        <w:t xml:space="preserve">PPA </w:t>
      </w:r>
      <w:r w:rsidR="006F6BCE">
        <w:rPr>
          <w:rFonts w:ascii="Times New Roman" w:eastAsia="Times New Roman" w:hAnsi="Times New Roman" w:cs="Times New Roman"/>
          <w:sz w:val="26"/>
          <w:szCs w:val="26"/>
        </w:rPr>
        <w:t xml:space="preserve">balances have </w:t>
      </w:r>
      <w:r w:rsidR="002F6A56">
        <w:rPr>
          <w:rFonts w:ascii="Times New Roman" w:eastAsia="Times New Roman" w:hAnsi="Times New Roman" w:cs="Times New Roman"/>
          <w:sz w:val="26"/>
          <w:szCs w:val="26"/>
        </w:rPr>
        <w:t xml:space="preserve">been found to be less </w:t>
      </w:r>
      <w:r w:rsidR="003B747A">
        <w:rPr>
          <w:rFonts w:ascii="Times New Roman" w:eastAsia="Times New Roman" w:hAnsi="Times New Roman" w:cs="Times New Roman"/>
          <w:sz w:val="26"/>
          <w:szCs w:val="26"/>
        </w:rPr>
        <w:t>successful</w:t>
      </w:r>
      <w:r w:rsidR="00457A08">
        <w:rPr>
          <w:rFonts w:ascii="Times New Roman" w:eastAsia="Times New Roman" w:hAnsi="Times New Roman" w:cs="Times New Roman"/>
          <w:sz w:val="26"/>
          <w:szCs w:val="26"/>
        </w:rPr>
        <w:t xml:space="preserve"> than customers who enroll </w:t>
      </w:r>
      <w:r w:rsidR="00FF3D9D">
        <w:rPr>
          <w:rFonts w:ascii="Times New Roman" w:eastAsia="Times New Roman" w:hAnsi="Times New Roman" w:cs="Times New Roman"/>
          <w:sz w:val="26"/>
          <w:szCs w:val="26"/>
        </w:rPr>
        <w:t>before amassing high PPA</w:t>
      </w:r>
      <w:r w:rsidR="00342786">
        <w:rPr>
          <w:rFonts w:ascii="Times New Roman" w:eastAsia="Times New Roman" w:hAnsi="Times New Roman" w:cs="Times New Roman"/>
          <w:sz w:val="26"/>
          <w:szCs w:val="26"/>
        </w:rPr>
        <w:t xml:space="preserve"> balances</w:t>
      </w:r>
      <w:r w:rsidR="008C298B">
        <w:rPr>
          <w:rFonts w:ascii="Times New Roman" w:eastAsia="Times New Roman" w:hAnsi="Times New Roman" w:cs="Times New Roman"/>
          <w:sz w:val="26"/>
          <w:szCs w:val="26"/>
        </w:rPr>
        <w:t>.</w:t>
      </w:r>
      <w:r w:rsidR="00500A16" w:rsidRPr="003D5356">
        <w:rPr>
          <w:rStyle w:val="FootnoteReference"/>
          <w:rFonts w:ascii="Times New Roman" w:hAnsi="Times New Roman" w:cs="Times New Roman"/>
          <w:sz w:val="26"/>
          <w:szCs w:val="26"/>
        </w:rPr>
        <w:footnoteReference w:id="20"/>
      </w:r>
      <w:r w:rsidR="008C298B">
        <w:rPr>
          <w:rFonts w:ascii="Times New Roman" w:eastAsia="Times New Roman" w:hAnsi="Times New Roman" w:cs="Times New Roman"/>
          <w:sz w:val="26"/>
          <w:szCs w:val="26"/>
        </w:rPr>
        <w:t xml:space="preserve">  </w:t>
      </w:r>
      <w:r w:rsidR="0060603C">
        <w:rPr>
          <w:rFonts w:ascii="Times New Roman" w:eastAsia="Times New Roman" w:hAnsi="Times New Roman" w:cs="Times New Roman"/>
          <w:sz w:val="26"/>
          <w:szCs w:val="26"/>
        </w:rPr>
        <w:t xml:space="preserve">This </w:t>
      </w:r>
      <w:r w:rsidR="00506889">
        <w:rPr>
          <w:rFonts w:ascii="Times New Roman" w:eastAsia="Times New Roman" w:hAnsi="Times New Roman" w:cs="Times New Roman"/>
          <w:sz w:val="26"/>
          <w:szCs w:val="26"/>
        </w:rPr>
        <w:t xml:space="preserve">underscores our concern that low-income customers may develop poor payment habits before they meet the definition of “payment-troubled” and are finally permitted to enroll in </w:t>
      </w:r>
      <w:r w:rsidR="004054C0">
        <w:rPr>
          <w:rFonts w:ascii="Times New Roman" w:eastAsia="Times New Roman" w:hAnsi="Times New Roman" w:cs="Times New Roman"/>
          <w:sz w:val="26"/>
          <w:szCs w:val="26"/>
        </w:rPr>
        <w:t xml:space="preserve">a </w:t>
      </w:r>
      <w:r w:rsidR="00506889">
        <w:rPr>
          <w:rFonts w:ascii="Times New Roman" w:eastAsia="Times New Roman" w:hAnsi="Times New Roman" w:cs="Times New Roman"/>
          <w:sz w:val="26"/>
          <w:szCs w:val="26"/>
        </w:rPr>
        <w:t xml:space="preserve">CAP.  </w:t>
      </w:r>
    </w:p>
    <w:p w14:paraId="062189BB" w14:textId="77777777" w:rsidR="0033714A" w:rsidRDefault="0033714A" w:rsidP="00506889">
      <w:pPr>
        <w:tabs>
          <w:tab w:val="left" w:pos="720"/>
          <w:tab w:val="left" w:pos="1440"/>
        </w:tabs>
        <w:spacing w:after="0" w:line="360" w:lineRule="auto"/>
        <w:ind w:left="720"/>
        <w:contextualSpacing/>
        <w:rPr>
          <w:rFonts w:ascii="Times New Roman" w:eastAsia="Times New Roman" w:hAnsi="Times New Roman" w:cs="Times New Roman"/>
          <w:sz w:val="26"/>
          <w:szCs w:val="26"/>
        </w:rPr>
      </w:pPr>
    </w:p>
    <w:p w14:paraId="50409056" w14:textId="33128F09" w:rsidR="0033714A" w:rsidRDefault="0017377D" w:rsidP="00506889">
      <w:pPr>
        <w:tabs>
          <w:tab w:val="left" w:pos="720"/>
          <w:tab w:val="left" w:pos="1440"/>
        </w:tabs>
        <w:spacing w:after="0" w:line="360" w:lineRule="auto"/>
        <w:ind w:left="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F277A">
        <w:rPr>
          <w:rFonts w:ascii="Times New Roman" w:eastAsia="Times New Roman" w:hAnsi="Times New Roman" w:cs="Times New Roman"/>
          <w:sz w:val="26"/>
          <w:szCs w:val="26"/>
        </w:rPr>
        <w:t>Eliminating the “payment</w:t>
      </w:r>
      <w:r w:rsidR="00C131B6">
        <w:rPr>
          <w:rFonts w:ascii="Times New Roman" w:eastAsia="Times New Roman" w:hAnsi="Times New Roman" w:cs="Times New Roman"/>
          <w:sz w:val="26"/>
          <w:szCs w:val="26"/>
        </w:rPr>
        <w:t>-</w:t>
      </w:r>
      <w:r w:rsidR="00CF277A">
        <w:rPr>
          <w:rFonts w:ascii="Times New Roman" w:eastAsia="Times New Roman" w:hAnsi="Times New Roman" w:cs="Times New Roman"/>
          <w:sz w:val="26"/>
          <w:szCs w:val="26"/>
        </w:rPr>
        <w:t xml:space="preserve">troubled” requirement </w:t>
      </w:r>
      <w:r w:rsidR="0098405B">
        <w:rPr>
          <w:rFonts w:ascii="Times New Roman" w:eastAsia="Times New Roman" w:hAnsi="Times New Roman" w:cs="Times New Roman"/>
          <w:sz w:val="26"/>
          <w:szCs w:val="26"/>
        </w:rPr>
        <w:t>for</w:t>
      </w:r>
      <w:r w:rsidR="00A745BE">
        <w:rPr>
          <w:rFonts w:ascii="Times New Roman" w:eastAsia="Times New Roman" w:hAnsi="Times New Roman" w:cs="Times New Roman"/>
          <w:sz w:val="26"/>
          <w:szCs w:val="26"/>
        </w:rPr>
        <w:t xml:space="preserve"> CAP enrollment </w:t>
      </w:r>
      <w:r w:rsidR="00B76A23">
        <w:rPr>
          <w:rFonts w:ascii="Times New Roman" w:eastAsia="Times New Roman" w:hAnsi="Times New Roman" w:cs="Times New Roman"/>
          <w:sz w:val="26"/>
          <w:szCs w:val="26"/>
        </w:rPr>
        <w:t xml:space="preserve">would require amending </w:t>
      </w:r>
      <w:r w:rsidR="00264A86">
        <w:rPr>
          <w:rFonts w:ascii="Times New Roman" w:eastAsia="Times New Roman" w:hAnsi="Times New Roman" w:cs="Times New Roman"/>
          <w:sz w:val="26"/>
          <w:szCs w:val="26"/>
        </w:rPr>
        <w:t xml:space="preserve">or waiving portions of </w:t>
      </w:r>
      <w:r w:rsidR="00B76A23">
        <w:rPr>
          <w:rFonts w:ascii="Times New Roman" w:eastAsia="Times New Roman" w:hAnsi="Times New Roman" w:cs="Times New Roman"/>
          <w:sz w:val="26"/>
          <w:szCs w:val="26"/>
        </w:rPr>
        <w:t xml:space="preserve">the CAP Policy Statement.  </w:t>
      </w:r>
      <w:r w:rsidR="00094E41">
        <w:rPr>
          <w:rFonts w:ascii="Times New Roman" w:eastAsia="Times New Roman" w:hAnsi="Times New Roman" w:cs="Times New Roman"/>
          <w:sz w:val="26"/>
          <w:szCs w:val="26"/>
        </w:rPr>
        <w:t xml:space="preserve">Prior to </w:t>
      </w:r>
      <w:r w:rsidR="00303140">
        <w:rPr>
          <w:rFonts w:ascii="Times New Roman" w:eastAsia="Times New Roman" w:hAnsi="Times New Roman" w:cs="Times New Roman"/>
          <w:sz w:val="26"/>
          <w:szCs w:val="26"/>
        </w:rPr>
        <w:t xml:space="preserve">considering </w:t>
      </w:r>
      <w:r w:rsidR="003A3290">
        <w:rPr>
          <w:rFonts w:ascii="Times New Roman" w:eastAsia="Times New Roman" w:hAnsi="Times New Roman" w:cs="Times New Roman"/>
          <w:sz w:val="26"/>
          <w:szCs w:val="26"/>
        </w:rPr>
        <w:t xml:space="preserve">such </w:t>
      </w:r>
      <w:r w:rsidR="00303140">
        <w:rPr>
          <w:rFonts w:ascii="Times New Roman" w:eastAsia="Times New Roman" w:hAnsi="Times New Roman" w:cs="Times New Roman"/>
          <w:sz w:val="26"/>
          <w:szCs w:val="26"/>
        </w:rPr>
        <w:t>change</w:t>
      </w:r>
      <w:r w:rsidR="004F6D08">
        <w:rPr>
          <w:rFonts w:ascii="Times New Roman" w:eastAsia="Times New Roman" w:hAnsi="Times New Roman" w:cs="Times New Roman"/>
          <w:sz w:val="26"/>
          <w:szCs w:val="26"/>
        </w:rPr>
        <w:t>s</w:t>
      </w:r>
      <w:r w:rsidR="00303140">
        <w:rPr>
          <w:rFonts w:ascii="Times New Roman" w:eastAsia="Times New Roman" w:hAnsi="Times New Roman" w:cs="Times New Roman"/>
          <w:sz w:val="26"/>
          <w:szCs w:val="26"/>
        </w:rPr>
        <w:t xml:space="preserve">, we </w:t>
      </w:r>
      <w:r w:rsidR="00C825EE">
        <w:rPr>
          <w:rFonts w:ascii="Times New Roman" w:eastAsia="Times New Roman" w:hAnsi="Times New Roman" w:cs="Times New Roman"/>
          <w:sz w:val="26"/>
          <w:szCs w:val="26"/>
        </w:rPr>
        <w:t xml:space="preserve">deem it appropriate to consider the </w:t>
      </w:r>
      <w:r w:rsidR="007E4C2F">
        <w:rPr>
          <w:rFonts w:ascii="Times New Roman" w:eastAsia="Times New Roman" w:hAnsi="Times New Roman" w:cs="Times New Roman"/>
          <w:sz w:val="26"/>
          <w:szCs w:val="26"/>
        </w:rPr>
        <w:t>potential impacts</w:t>
      </w:r>
      <w:r w:rsidR="00C765F5">
        <w:rPr>
          <w:rFonts w:ascii="Times New Roman" w:eastAsia="Times New Roman" w:hAnsi="Times New Roman" w:cs="Times New Roman"/>
          <w:sz w:val="26"/>
          <w:szCs w:val="26"/>
        </w:rPr>
        <w:t>.</w:t>
      </w:r>
      <w:r w:rsidR="007E4C2F" w:rsidDel="00C765F5">
        <w:rPr>
          <w:rFonts w:ascii="Times New Roman" w:eastAsia="Times New Roman" w:hAnsi="Times New Roman" w:cs="Times New Roman"/>
          <w:sz w:val="26"/>
          <w:szCs w:val="26"/>
        </w:rPr>
        <w:t xml:space="preserve"> </w:t>
      </w:r>
    </w:p>
    <w:p w14:paraId="1F079104" w14:textId="77777777" w:rsidR="00506889" w:rsidRDefault="00506889" w:rsidP="00506889">
      <w:pPr>
        <w:tabs>
          <w:tab w:val="left" w:pos="720"/>
          <w:tab w:val="left" w:pos="990"/>
          <w:tab w:val="left" w:pos="1440"/>
        </w:tabs>
        <w:spacing w:after="0" w:line="360" w:lineRule="auto"/>
        <w:ind w:left="720"/>
        <w:contextualSpacing/>
        <w:rPr>
          <w:rFonts w:ascii="Times New Roman" w:eastAsia="Times New Roman" w:hAnsi="Times New Roman" w:cs="Times New Roman"/>
          <w:sz w:val="26"/>
          <w:szCs w:val="26"/>
        </w:rPr>
      </w:pPr>
    </w:p>
    <w:p w14:paraId="7999240E" w14:textId="25C952CF" w:rsidR="00073ACB" w:rsidRDefault="0029088A" w:rsidP="00CD518F">
      <w:pPr>
        <w:tabs>
          <w:tab w:val="left" w:pos="720"/>
          <w:tab w:val="left" w:pos="1440"/>
        </w:tabs>
        <w:spacing w:after="0" w:line="360" w:lineRule="auto"/>
        <w:ind w:left="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bookmarkStart w:id="5" w:name="_Hlk527126786"/>
      <w:r w:rsidR="00627915">
        <w:rPr>
          <w:rFonts w:ascii="Times New Roman" w:eastAsia="Times New Roman" w:hAnsi="Times New Roman" w:cs="Times New Roman"/>
          <w:sz w:val="26"/>
          <w:szCs w:val="26"/>
        </w:rPr>
        <w:t>Accordingly, t</w:t>
      </w:r>
      <w:r w:rsidR="00DF012B">
        <w:rPr>
          <w:rFonts w:ascii="Times New Roman" w:eastAsia="Times New Roman" w:hAnsi="Times New Roman" w:cs="Times New Roman"/>
          <w:sz w:val="26"/>
          <w:szCs w:val="26"/>
        </w:rPr>
        <w:t>h</w:t>
      </w:r>
      <w:r w:rsidR="009750D3">
        <w:rPr>
          <w:rFonts w:ascii="Times New Roman" w:eastAsia="Times New Roman" w:hAnsi="Times New Roman" w:cs="Times New Roman"/>
          <w:sz w:val="26"/>
          <w:szCs w:val="26"/>
        </w:rPr>
        <w:t xml:space="preserve">ose </w:t>
      </w:r>
      <w:r w:rsidR="00DF012B">
        <w:rPr>
          <w:rFonts w:ascii="Times New Roman" w:eastAsia="Times New Roman" w:hAnsi="Times New Roman" w:cs="Times New Roman"/>
          <w:sz w:val="26"/>
          <w:szCs w:val="26"/>
        </w:rPr>
        <w:t xml:space="preserve">utilities </w:t>
      </w:r>
      <w:r w:rsidR="009750D3">
        <w:rPr>
          <w:rFonts w:ascii="Times New Roman" w:eastAsia="Times New Roman" w:hAnsi="Times New Roman" w:cs="Times New Roman"/>
          <w:sz w:val="26"/>
          <w:szCs w:val="26"/>
        </w:rPr>
        <w:t xml:space="preserve">that currently require low-income customers to be </w:t>
      </w:r>
      <w:r w:rsidR="003A6135">
        <w:rPr>
          <w:rFonts w:ascii="Times New Roman" w:eastAsia="Times New Roman" w:hAnsi="Times New Roman" w:cs="Times New Roman"/>
          <w:sz w:val="26"/>
          <w:szCs w:val="26"/>
        </w:rPr>
        <w:t>payment</w:t>
      </w:r>
      <w:r w:rsidR="00C131B6">
        <w:rPr>
          <w:rFonts w:ascii="Times New Roman" w:eastAsia="Times New Roman" w:hAnsi="Times New Roman" w:cs="Times New Roman"/>
          <w:sz w:val="26"/>
          <w:szCs w:val="26"/>
        </w:rPr>
        <w:t>-</w:t>
      </w:r>
      <w:r w:rsidR="003A6135">
        <w:rPr>
          <w:rFonts w:ascii="Times New Roman" w:eastAsia="Times New Roman" w:hAnsi="Times New Roman" w:cs="Times New Roman"/>
          <w:sz w:val="26"/>
          <w:szCs w:val="26"/>
        </w:rPr>
        <w:t xml:space="preserve">troubled </w:t>
      </w:r>
      <w:r w:rsidR="00C131B6">
        <w:rPr>
          <w:rFonts w:ascii="Times New Roman" w:eastAsia="Times New Roman" w:hAnsi="Times New Roman" w:cs="Times New Roman"/>
          <w:sz w:val="26"/>
          <w:szCs w:val="26"/>
        </w:rPr>
        <w:t>to qualify for its CAP</w:t>
      </w:r>
      <w:r w:rsidR="00AF30B6">
        <w:rPr>
          <w:rFonts w:ascii="Times New Roman" w:eastAsia="Times New Roman" w:hAnsi="Times New Roman" w:cs="Times New Roman"/>
          <w:sz w:val="26"/>
          <w:szCs w:val="26"/>
        </w:rPr>
        <w:t>s</w:t>
      </w:r>
      <w:r w:rsidR="001842BA">
        <w:rPr>
          <w:rFonts w:ascii="Times New Roman" w:eastAsia="Times New Roman" w:hAnsi="Times New Roman" w:cs="Times New Roman"/>
          <w:sz w:val="26"/>
          <w:szCs w:val="26"/>
        </w:rPr>
        <w:t xml:space="preserve"> shall </w:t>
      </w:r>
      <w:r w:rsidR="00EC7AAE">
        <w:rPr>
          <w:rFonts w:ascii="Times New Roman" w:eastAsia="Times New Roman" w:hAnsi="Times New Roman" w:cs="Times New Roman"/>
          <w:sz w:val="26"/>
          <w:szCs w:val="26"/>
        </w:rPr>
        <w:t xml:space="preserve">provide </w:t>
      </w:r>
      <w:r w:rsidR="002745B0">
        <w:rPr>
          <w:rFonts w:ascii="Times New Roman" w:eastAsia="Times New Roman" w:hAnsi="Times New Roman" w:cs="Times New Roman"/>
          <w:sz w:val="26"/>
          <w:szCs w:val="26"/>
        </w:rPr>
        <w:t xml:space="preserve">known data and </w:t>
      </w:r>
      <w:r w:rsidR="00F419AB">
        <w:rPr>
          <w:rFonts w:ascii="Times New Roman" w:eastAsia="Times New Roman" w:hAnsi="Times New Roman" w:cs="Times New Roman"/>
          <w:sz w:val="26"/>
          <w:szCs w:val="26"/>
        </w:rPr>
        <w:t>estimat</w:t>
      </w:r>
      <w:r w:rsidR="00E229C7">
        <w:rPr>
          <w:rFonts w:ascii="Times New Roman" w:eastAsia="Times New Roman" w:hAnsi="Times New Roman" w:cs="Times New Roman"/>
          <w:sz w:val="26"/>
          <w:szCs w:val="26"/>
        </w:rPr>
        <w:t xml:space="preserve">es of the </w:t>
      </w:r>
      <w:r w:rsidR="00F419AB">
        <w:rPr>
          <w:rFonts w:ascii="Times New Roman" w:eastAsia="Times New Roman" w:hAnsi="Times New Roman" w:cs="Times New Roman"/>
          <w:sz w:val="26"/>
          <w:szCs w:val="26"/>
        </w:rPr>
        <w:t>impact</w:t>
      </w:r>
      <w:r w:rsidR="001842BA">
        <w:rPr>
          <w:rFonts w:ascii="Times New Roman" w:eastAsia="Times New Roman" w:hAnsi="Times New Roman" w:cs="Times New Roman"/>
          <w:sz w:val="26"/>
          <w:szCs w:val="26"/>
        </w:rPr>
        <w:t xml:space="preserve"> to their programs </w:t>
      </w:r>
      <w:r w:rsidR="009D7F6C">
        <w:rPr>
          <w:rFonts w:ascii="Times New Roman" w:eastAsia="Times New Roman" w:hAnsi="Times New Roman" w:cs="Times New Roman"/>
          <w:sz w:val="26"/>
          <w:szCs w:val="26"/>
        </w:rPr>
        <w:t>(</w:t>
      </w:r>
      <w:r w:rsidR="009D7F6C" w:rsidRPr="007D480D">
        <w:rPr>
          <w:rFonts w:ascii="Times New Roman" w:eastAsia="Times New Roman" w:hAnsi="Times New Roman" w:cs="Times New Roman"/>
          <w:i/>
          <w:sz w:val="26"/>
          <w:szCs w:val="26"/>
        </w:rPr>
        <w:t>e.g.</w:t>
      </w:r>
      <w:r w:rsidR="009D7F6C">
        <w:rPr>
          <w:rFonts w:ascii="Times New Roman" w:eastAsia="Times New Roman" w:hAnsi="Times New Roman" w:cs="Times New Roman"/>
          <w:sz w:val="26"/>
          <w:szCs w:val="26"/>
        </w:rPr>
        <w:t xml:space="preserve">, </w:t>
      </w:r>
      <w:r w:rsidR="007D480D">
        <w:rPr>
          <w:rFonts w:ascii="Times New Roman" w:eastAsia="Times New Roman" w:hAnsi="Times New Roman" w:cs="Times New Roman"/>
          <w:sz w:val="26"/>
          <w:szCs w:val="26"/>
        </w:rPr>
        <w:t>CAP enrollments and costs)</w:t>
      </w:r>
      <w:r w:rsidR="001842BA">
        <w:rPr>
          <w:rFonts w:ascii="Times New Roman" w:eastAsia="Times New Roman" w:hAnsi="Times New Roman" w:cs="Times New Roman"/>
          <w:sz w:val="26"/>
          <w:szCs w:val="26"/>
        </w:rPr>
        <w:t xml:space="preserve"> if </w:t>
      </w:r>
      <w:r w:rsidR="00194F63">
        <w:rPr>
          <w:rFonts w:ascii="Times New Roman" w:eastAsia="Times New Roman" w:hAnsi="Times New Roman" w:cs="Times New Roman"/>
          <w:sz w:val="26"/>
          <w:szCs w:val="26"/>
        </w:rPr>
        <w:t xml:space="preserve">this </w:t>
      </w:r>
      <w:r w:rsidR="00B142DE">
        <w:rPr>
          <w:rFonts w:ascii="Times New Roman" w:eastAsia="Times New Roman" w:hAnsi="Times New Roman" w:cs="Times New Roman"/>
          <w:sz w:val="26"/>
          <w:szCs w:val="26"/>
        </w:rPr>
        <w:t xml:space="preserve">restriction </w:t>
      </w:r>
      <w:r w:rsidR="00194F63">
        <w:rPr>
          <w:rFonts w:ascii="Times New Roman" w:eastAsia="Times New Roman" w:hAnsi="Times New Roman" w:cs="Times New Roman"/>
          <w:sz w:val="26"/>
          <w:szCs w:val="26"/>
        </w:rPr>
        <w:t>is</w:t>
      </w:r>
      <w:r w:rsidR="000C5443">
        <w:rPr>
          <w:rFonts w:ascii="Times New Roman" w:eastAsia="Times New Roman" w:hAnsi="Times New Roman" w:cs="Times New Roman"/>
          <w:sz w:val="26"/>
          <w:szCs w:val="26"/>
        </w:rPr>
        <w:t xml:space="preserve"> eliminated.</w:t>
      </w:r>
      <w:r w:rsidR="00152BBF">
        <w:rPr>
          <w:rFonts w:ascii="Times New Roman" w:eastAsia="Times New Roman" w:hAnsi="Times New Roman" w:cs="Times New Roman"/>
          <w:sz w:val="26"/>
          <w:szCs w:val="26"/>
        </w:rPr>
        <w:t xml:space="preserve">  </w:t>
      </w:r>
      <w:r w:rsidR="000C5443">
        <w:rPr>
          <w:rFonts w:ascii="Times New Roman" w:eastAsia="Times New Roman" w:hAnsi="Times New Roman" w:cs="Times New Roman"/>
          <w:sz w:val="26"/>
          <w:szCs w:val="26"/>
        </w:rPr>
        <w:t>Th</w:t>
      </w:r>
      <w:r w:rsidR="009908AE">
        <w:rPr>
          <w:rFonts w:ascii="Times New Roman" w:eastAsia="Times New Roman" w:hAnsi="Times New Roman" w:cs="Times New Roman"/>
          <w:sz w:val="26"/>
          <w:szCs w:val="26"/>
        </w:rPr>
        <w:t>is informa</w:t>
      </w:r>
      <w:r w:rsidR="00F1599B">
        <w:rPr>
          <w:rFonts w:ascii="Times New Roman" w:eastAsia="Times New Roman" w:hAnsi="Times New Roman" w:cs="Times New Roman"/>
          <w:sz w:val="26"/>
          <w:szCs w:val="26"/>
        </w:rPr>
        <w:t>t</w:t>
      </w:r>
      <w:r w:rsidR="009908AE">
        <w:rPr>
          <w:rFonts w:ascii="Times New Roman" w:eastAsia="Times New Roman" w:hAnsi="Times New Roman" w:cs="Times New Roman"/>
          <w:sz w:val="26"/>
          <w:szCs w:val="26"/>
        </w:rPr>
        <w:t>ion</w:t>
      </w:r>
      <w:r w:rsidR="00C90DF3">
        <w:rPr>
          <w:rFonts w:ascii="Times New Roman" w:eastAsia="Times New Roman" w:hAnsi="Times New Roman" w:cs="Times New Roman"/>
          <w:sz w:val="26"/>
          <w:szCs w:val="26"/>
        </w:rPr>
        <w:t xml:space="preserve"> </w:t>
      </w:r>
      <w:r w:rsidR="00F1599B">
        <w:rPr>
          <w:rFonts w:ascii="Times New Roman" w:eastAsia="Times New Roman" w:hAnsi="Times New Roman" w:cs="Times New Roman"/>
          <w:sz w:val="26"/>
          <w:szCs w:val="26"/>
        </w:rPr>
        <w:t>shall</w:t>
      </w:r>
      <w:r w:rsidR="009D52F7" w:rsidDel="00F1599B">
        <w:rPr>
          <w:rFonts w:ascii="Times New Roman" w:eastAsia="Times New Roman" w:hAnsi="Times New Roman" w:cs="Times New Roman"/>
          <w:sz w:val="26"/>
          <w:szCs w:val="26"/>
        </w:rPr>
        <w:t xml:space="preserve"> </w:t>
      </w:r>
      <w:r w:rsidR="009D52F7">
        <w:rPr>
          <w:rFonts w:ascii="Times New Roman" w:eastAsia="Times New Roman" w:hAnsi="Times New Roman" w:cs="Times New Roman"/>
          <w:sz w:val="26"/>
          <w:szCs w:val="26"/>
        </w:rPr>
        <w:t xml:space="preserve">be </w:t>
      </w:r>
      <w:r w:rsidR="008324CD">
        <w:rPr>
          <w:rFonts w:ascii="Times New Roman" w:eastAsia="Times New Roman" w:hAnsi="Times New Roman" w:cs="Times New Roman"/>
          <w:sz w:val="26"/>
          <w:szCs w:val="26"/>
        </w:rPr>
        <w:t xml:space="preserve">for 2017 through 2021 </w:t>
      </w:r>
      <w:r w:rsidR="00B90AF2">
        <w:rPr>
          <w:rFonts w:ascii="Times New Roman" w:eastAsia="Times New Roman" w:hAnsi="Times New Roman" w:cs="Times New Roman"/>
          <w:sz w:val="26"/>
          <w:szCs w:val="26"/>
        </w:rPr>
        <w:t xml:space="preserve">and will be </w:t>
      </w:r>
      <w:r w:rsidR="009D52F7">
        <w:rPr>
          <w:rFonts w:ascii="Times New Roman" w:eastAsia="Times New Roman" w:hAnsi="Times New Roman" w:cs="Times New Roman"/>
          <w:sz w:val="26"/>
          <w:szCs w:val="26"/>
        </w:rPr>
        <w:t xml:space="preserve">separate enrollment cost </w:t>
      </w:r>
      <w:r w:rsidR="00E80B1A">
        <w:rPr>
          <w:rFonts w:ascii="Times New Roman" w:eastAsia="Times New Roman" w:hAnsi="Times New Roman" w:cs="Times New Roman"/>
          <w:sz w:val="26"/>
          <w:szCs w:val="26"/>
        </w:rPr>
        <w:t xml:space="preserve">data and </w:t>
      </w:r>
      <w:r w:rsidR="009D52F7">
        <w:rPr>
          <w:rFonts w:ascii="Times New Roman" w:eastAsia="Times New Roman" w:hAnsi="Times New Roman" w:cs="Times New Roman"/>
          <w:sz w:val="26"/>
          <w:szCs w:val="26"/>
        </w:rPr>
        <w:t xml:space="preserve">forecasts </w:t>
      </w:r>
      <w:r w:rsidR="000C5443">
        <w:rPr>
          <w:rFonts w:ascii="Times New Roman" w:eastAsia="Times New Roman" w:hAnsi="Times New Roman" w:cs="Times New Roman"/>
          <w:sz w:val="26"/>
          <w:szCs w:val="26"/>
        </w:rPr>
        <w:t>from the 10% projection</w:t>
      </w:r>
      <w:r w:rsidR="00B90AF2">
        <w:rPr>
          <w:rFonts w:ascii="Times New Roman" w:eastAsia="Times New Roman" w:hAnsi="Times New Roman" w:cs="Times New Roman"/>
          <w:sz w:val="26"/>
          <w:szCs w:val="26"/>
        </w:rPr>
        <w:t>s</w:t>
      </w:r>
      <w:r w:rsidR="005B5AEB">
        <w:rPr>
          <w:rFonts w:ascii="Times New Roman" w:eastAsia="Times New Roman" w:hAnsi="Times New Roman" w:cs="Times New Roman"/>
          <w:sz w:val="26"/>
          <w:szCs w:val="26"/>
        </w:rPr>
        <w:t xml:space="preserve"> </w:t>
      </w:r>
      <w:r w:rsidR="000C5443">
        <w:rPr>
          <w:rFonts w:ascii="Times New Roman" w:eastAsia="Times New Roman" w:hAnsi="Times New Roman" w:cs="Times New Roman"/>
          <w:sz w:val="26"/>
          <w:szCs w:val="26"/>
        </w:rPr>
        <w:t xml:space="preserve">directed above.  </w:t>
      </w:r>
      <w:r w:rsidR="00085F40">
        <w:rPr>
          <w:rFonts w:ascii="Times New Roman" w:hAnsi="Times New Roman" w:cs="Times New Roman"/>
          <w:sz w:val="26"/>
          <w:szCs w:val="26"/>
        </w:rPr>
        <w:t xml:space="preserve">These </w:t>
      </w:r>
      <w:r w:rsidR="00C353A2">
        <w:rPr>
          <w:rFonts w:ascii="Times New Roman" w:hAnsi="Times New Roman" w:cs="Times New Roman"/>
          <w:sz w:val="26"/>
          <w:szCs w:val="26"/>
        </w:rPr>
        <w:t>impact</w:t>
      </w:r>
      <w:r w:rsidR="00085F40">
        <w:rPr>
          <w:rFonts w:ascii="Times New Roman" w:hAnsi="Times New Roman" w:cs="Times New Roman"/>
          <w:sz w:val="26"/>
          <w:szCs w:val="26"/>
        </w:rPr>
        <w:t xml:space="preserve"> projections should be filed and served as part of </w:t>
      </w:r>
      <w:r w:rsidR="00A21868">
        <w:rPr>
          <w:rFonts w:ascii="Times New Roman" w:hAnsi="Times New Roman" w:cs="Times New Roman"/>
          <w:sz w:val="26"/>
          <w:szCs w:val="26"/>
        </w:rPr>
        <w:t xml:space="preserve">each utility’s </w:t>
      </w:r>
      <w:r w:rsidR="006E395B">
        <w:rPr>
          <w:rFonts w:ascii="Times New Roman" w:hAnsi="Times New Roman" w:cs="Times New Roman"/>
          <w:sz w:val="26"/>
          <w:szCs w:val="26"/>
        </w:rPr>
        <w:t>supplemental information</w:t>
      </w:r>
      <w:r w:rsidR="00A21868">
        <w:rPr>
          <w:rFonts w:ascii="Times New Roman" w:hAnsi="Times New Roman" w:cs="Times New Roman"/>
          <w:sz w:val="26"/>
          <w:szCs w:val="26"/>
        </w:rPr>
        <w:t xml:space="preserve"> (</w:t>
      </w:r>
      <w:r w:rsidR="00A21868" w:rsidRPr="00A21868">
        <w:rPr>
          <w:rFonts w:ascii="Times New Roman" w:hAnsi="Times New Roman" w:cs="Times New Roman"/>
          <w:i/>
          <w:sz w:val="26"/>
          <w:szCs w:val="26"/>
        </w:rPr>
        <w:t>i.e.</w:t>
      </w:r>
      <w:r w:rsidR="00A21868">
        <w:rPr>
          <w:rFonts w:ascii="Times New Roman" w:hAnsi="Times New Roman" w:cs="Times New Roman"/>
          <w:sz w:val="26"/>
          <w:szCs w:val="26"/>
        </w:rPr>
        <w:t xml:space="preserve">, within </w:t>
      </w:r>
      <w:r w:rsidR="00550CE7">
        <w:rPr>
          <w:rFonts w:ascii="Times New Roman" w:hAnsi="Times New Roman" w:cs="Times New Roman"/>
          <w:sz w:val="26"/>
          <w:szCs w:val="26"/>
        </w:rPr>
        <w:t>3</w:t>
      </w:r>
      <w:r w:rsidR="00A21868">
        <w:rPr>
          <w:rFonts w:ascii="Times New Roman" w:hAnsi="Times New Roman" w:cs="Times New Roman"/>
          <w:sz w:val="26"/>
          <w:szCs w:val="26"/>
        </w:rPr>
        <w:t>0 days from the entry of this Order).</w:t>
      </w:r>
    </w:p>
    <w:p w14:paraId="51A32FD0" w14:textId="77777777" w:rsidR="00EC4D1E" w:rsidRDefault="00EC4D1E" w:rsidP="00CD518F">
      <w:pPr>
        <w:tabs>
          <w:tab w:val="left" w:pos="720"/>
          <w:tab w:val="left" w:pos="1440"/>
        </w:tabs>
        <w:spacing w:after="0" w:line="360" w:lineRule="auto"/>
        <w:ind w:left="720"/>
        <w:contextualSpacing/>
        <w:rPr>
          <w:rFonts w:ascii="Times New Roman" w:eastAsia="Times New Roman" w:hAnsi="Times New Roman" w:cs="Times New Roman"/>
          <w:sz w:val="26"/>
          <w:szCs w:val="26"/>
        </w:rPr>
      </w:pPr>
    </w:p>
    <w:bookmarkEnd w:id="5"/>
    <w:p w14:paraId="0BE433C5" w14:textId="66B7DB8A" w:rsidR="00EC4D1E" w:rsidRDefault="00EC4D1E" w:rsidP="00EC4D1E">
      <w:pPr>
        <w:keepNext/>
        <w:tabs>
          <w:tab w:val="left" w:pos="720"/>
          <w:tab w:val="left" w:pos="990"/>
        </w:tabs>
        <w:spacing w:after="0" w:line="360" w:lineRule="auto"/>
        <w:ind w:left="720"/>
        <w:contextualSpacing/>
        <w:rPr>
          <w:rFonts w:ascii="Times New Roman" w:eastAsia="Times New Roman" w:hAnsi="Times New Roman" w:cs="Times New Roman"/>
          <w:sz w:val="26"/>
          <w:szCs w:val="26"/>
        </w:rPr>
      </w:pPr>
      <w:r>
        <w:rPr>
          <w:rFonts w:ascii="Times New Roman" w:eastAsia="Times New Roman" w:hAnsi="Times New Roman" w:cs="Times New Roman"/>
          <w:b/>
          <w:sz w:val="26"/>
          <w:szCs w:val="26"/>
        </w:rPr>
        <w:t>Zero-Income Considerations</w:t>
      </w:r>
      <w:r w:rsidRPr="00E10112">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w:t>
      </w:r>
    </w:p>
    <w:p w14:paraId="511F808E" w14:textId="1E6A869D" w:rsidR="00EF1711" w:rsidRDefault="00EC4D1E" w:rsidP="00317A92">
      <w:pPr>
        <w:tabs>
          <w:tab w:val="left" w:pos="1440"/>
        </w:tabs>
        <w:spacing w:after="0" w:line="360" w:lineRule="auto"/>
        <w:ind w:left="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643BA">
        <w:rPr>
          <w:rFonts w:ascii="Times New Roman" w:eastAsia="Times New Roman" w:hAnsi="Times New Roman" w:cs="Times New Roman"/>
          <w:sz w:val="26"/>
          <w:szCs w:val="26"/>
        </w:rPr>
        <w:t>We noted a</w:t>
      </w:r>
      <w:r w:rsidR="00187FB2">
        <w:rPr>
          <w:rFonts w:ascii="Times New Roman" w:eastAsia="Times New Roman" w:hAnsi="Times New Roman" w:cs="Times New Roman"/>
          <w:sz w:val="26"/>
          <w:szCs w:val="26"/>
        </w:rPr>
        <w:t xml:space="preserve"> degree of inconsistency </w:t>
      </w:r>
      <w:r w:rsidR="001404BE">
        <w:rPr>
          <w:rFonts w:ascii="Times New Roman" w:eastAsia="Times New Roman" w:hAnsi="Times New Roman" w:cs="Times New Roman"/>
          <w:sz w:val="26"/>
          <w:szCs w:val="26"/>
        </w:rPr>
        <w:t xml:space="preserve">among the utilities </w:t>
      </w:r>
      <w:r w:rsidR="00187FB2">
        <w:rPr>
          <w:rFonts w:ascii="Times New Roman" w:eastAsia="Times New Roman" w:hAnsi="Times New Roman" w:cs="Times New Roman"/>
          <w:sz w:val="26"/>
          <w:szCs w:val="26"/>
        </w:rPr>
        <w:t>in how the</w:t>
      </w:r>
      <w:r w:rsidR="001404BE">
        <w:rPr>
          <w:rFonts w:ascii="Times New Roman" w:eastAsia="Times New Roman" w:hAnsi="Times New Roman" w:cs="Times New Roman"/>
          <w:sz w:val="26"/>
          <w:szCs w:val="26"/>
        </w:rPr>
        <w:t>y</w:t>
      </w:r>
      <w:r w:rsidR="00187FB2">
        <w:rPr>
          <w:rFonts w:ascii="Times New Roman" w:eastAsia="Times New Roman" w:hAnsi="Times New Roman" w:cs="Times New Roman"/>
          <w:sz w:val="26"/>
          <w:szCs w:val="26"/>
        </w:rPr>
        <w:t xml:space="preserve"> tracked and reported information regarding CAP households that </w:t>
      </w:r>
      <w:r w:rsidR="001404BE">
        <w:rPr>
          <w:rFonts w:ascii="Times New Roman" w:eastAsia="Times New Roman" w:hAnsi="Times New Roman" w:cs="Times New Roman"/>
          <w:sz w:val="26"/>
          <w:szCs w:val="26"/>
        </w:rPr>
        <w:t xml:space="preserve">claimed zero income.  </w:t>
      </w:r>
      <w:r w:rsidR="0051499A">
        <w:rPr>
          <w:rFonts w:ascii="Times New Roman" w:eastAsia="Times New Roman" w:hAnsi="Times New Roman" w:cs="Times New Roman"/>
          <w:sz w:val="26"/>
          <w:szCs w:val="26"/>
        </w:rPr>
        <w:t>In some cases</w:t>
      </w:r>
      <w:r w:rsidR="004F655B">
        <w:rPr>
          <w:rFonts w:ascii="Times New Roman" w:eastAsia="Times New Roman" w:hAnsi="Times New Roman" w:cs="Times New Roman"/>
          <w:sz w:val="26"/>
          <w:szCs w:val="26"/>
        </w:rPr>
        <w:t>,</w:t>
      </w:r>
      <w:r w:rsidR="0051499A">
        <w:rPr>
          <w:rFonts w:ascii="Times New Roman" w:eastAsia="Times New Roman" w:hAnsi="Times New Roman" w:cs="Times New Roman"/>
          <w:sz w:val="26"/>
          <w:szCs w:val="26"/>
        </w:rPr>
        <w:t xml:space="preserve"> we could not tell if zero-income households were included in the responses to the October 16, </w:t>
      </w:r>
      <w:r w:rsidR="000A4FF1">
        <w:rPr>
          <w:rFonts w:ascii="Times New Roman" w:eastAsia="Times New Roman" w:hAnsi="Times New Roman" w:cs="Times New Roman"/>
          <w:sz w:val="26"/>
          <w:szCs w:val="26"/>
        </w:rPr>
        <w:t xml:space="preserve">2017 </w:t>
      </w:r>
      <w:r w:rsidR="0051499A">
        <w:rPr>
          <w:rFonts w:ascii="Times New Roman" w:eastAsia="Times New Roman" w:hAnsi="Times New Roman" w:cs="Times New Roman"/>
          <w:sz w:val="26"/>
          <w:szCs w:val="26"/>
        </w:rPr>
        <w:t>Secretarial Letter.</w:t>
      </w:r>
    </w:p>
    <w:p w14:paraId="645EBA1E" w14:textId="77777777" w:rsidR="001C6EA4" w:rsidRDefault="001C6EA4" w:rsidP="00317A92">
      <w:pPr>
        <w:tabs>
          <w:tab w:val="left" w:pos="1440"/>
        </w:tabs>
        <w:spacing w:after="0" w:line="360" w:lineRule="auto"/>
        <w:ind w:left="720"/>
        <w:contextualSpacing/>
        <w:rPr>
          <w:rFonts w:ascii="Times New Roman" w:eastAsia="Times New Roman" w:hAnsi="Times New Roman" w:cs="Times New Roman"/>
          <w:sz w:val="26"/>
          <w:szCs w:val="26"/>
        </w:rPr>
      </w:pPr>
    </w:p>
    <w:p w14:paraId="0CB0075B" w14:textId="38C474A3" w:rsidR="001C6EA4" w:rsidRDefault="00E75478" w:rsidP="00317A92">
      <w:pPr>
        <w:tabs>
          <w:tab w:val="left" w:pos="1440"/>
        </w:tabs>
        <w:spacing w:after="0" w:line="360" w:lineRule="auto"/>
        <w:ind w:left="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9540C">
        <w:rPr>
          <w:rFonts w:ascii="Times New Roman" w:eastAsia="Times New Roman" w:hAnsi="Times New Roman" w:cs="Times New Roman"/>
          <w:sz w:val="26"/>
          <w:szCs w:val="26"/>
        </w:rPr>
        <w:t xml:space="preserve">As households reporting zero income </w:t>
      </w:r>
      <w:r w:rsidR="00A8035C">
        <w:rPr>
          <w:rFonts w:ascii="Times New Roman" w:eastAsia="Times New Roman" w:hAnsi="Times New Roman" w:cs="Times New Roman"/>
          <w:sz w:val="26"/>
          <w:szCs w:val="26"/>
        </w:rPr>
        <w:t>can measurably impact the average energy burden levels for</w:t>
      </w:r>
      <w:r w:rsidR="004A5CED">
        <w:rPr>
          <w:rFonts w:ascii="Times New Roman" w:eastAsia="Times New Roman" w:hAnsi="Times New Roman" w:cs="Times New Roman"/>
          <w:sz w:val="26"/>
          <w:szCs w:val="26"/>
        </w:rPr>
        <w:t xml:space="preserve"> the 0-50% FPIG level, </w:t>
      </w:r>
      <w:r w:rsidR="00B118D7">
        <w:rPr>
          <w:rFonts w:ascii="Times New Roman" w:eastAsia="Times New Roman" w:hAnsi="Times New Roman" w:cs="Times New Roman"/>
          <w:sz w:val="26"/>
          <w:szCs w:val="26"/>
        </w:rPr>
        <w:t xml:space="preserve">it is important to </w:t>
      </w:r>
      <w:r w:rsidR="00396C12">
        <w:rPr>
          <w:rFonts w:ascii="Times New Roman" w:eastAsia="Times New Roman" w:hAnsi="Times New Roman" w:cs="Times New Roman"/>
          <w:sz w:val="26"/>
          <w:szCs w:val="26"/>
        </w:rPr>
        <w:t xml:space="preserve">quantify </w:t>
      </w:r>
      <w:r w:rsidR="00B118D7">
        <w:rPr>
          <w:rFonts w:ascii="Times New Roman" w:eastAsia="Times New Roman" w:hAnsi="Times New Roman" w:cs="Times New Roman"/>
          <w:sz w:val="26"/>
          <w:szCs w:val="26"/>
        </w:rPr>
        <w:t>them separately.</w:t>
      </w:r>
    </w:p>
    <w:p w14:paraId="78F310E6" w14:textId="77777777" w:rsidR="008C57AF" w:rsidRDefault="008C57AF" w:rsidP="00317A92">
      <w:pPr>
        <w:tabs>
          <w:tab w:val="left" w:pos="1440"/>
        </w:tabs>
        <w:spacing w:after="0" w:line="360" w:lineRule="auto"/>
        <w:ind w:left="720"/>
        <w:contextualSpacing/>
        <w:rPr>
          <w:rFonts w:ascii="Times New Roman" w:eastAsia="Times New Roman" w:hAnsi="Times New Roman" w:cs="Times New Roman"/>
          <w:sz w:val="26"/>
          <w:szCs w:val="26"/>
        </w:rPr>
      </w:pPr>
    </w:p>
    <w:p w14:paraId="3899AD34" w14:textId="70AF1E94" w:rsidR="00B57309" w:rsidRDefault="008C57AF" w:rsidP="00317A92">
      <w:pPr>
        <w:tabs>
          <w:tab w:val="left" w:pos="1440"/>
        </w:tabs>
        <w:spacing w:after="0" w:line="360" w:lineRule="auto"/>
        <w:ind w:left="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Accordingly, the utilities are directed to provide</w:t>
      </w:r>
      <w:r w:rsidR="008B6C8E">
        <w:rPr>
          <w:rFonts w:ascii="Times New Roman" w:eastAsia="Times New Roman" w:hAnsi="Times New Roman" w:cs="Times New Roman"/>
          <w:sz w:val="26"/>
          <w:szCs w:val="26"/>
        </w:rPr>
        <w:t xml:space="preserve"> monthly customer tallies for all customers </w:t>
      </w:r>
      <w:r w:rsidR="000837EA">
        <w:rPr>
          <w:rFonts w:ascii="Times New Roman" w:eastAsia="Times New Roman" w:hAnsi="Times New Roman" w:cs="Times New Roman"/>
          <w:sz w:val="26"/>
          <w:szCs w:val="26"/>
        </w:rPr>
        <w:t xml:space="preserve">who claimed </w:t>
      </w:r>
      <w:r w:rsidR="008B6C8E">
        <w:rPr>
          <w:rFonts w:ascii="Times New Roman" w:eastAsia="Times New Roman" w:hAnsi="Times New Roman" w:cs="Times New Roman"/>
          <w:sz w:val="26"/>
          <w:szCs w:val="26"/>
        </w:rPr>
        <w:t>zero income</w:t>
      </w:r>
      <w:r w:rsidR="00176A01">
        <w:rPr>
          <w:rFonts w:ascii="Times New Roman" w:eastAsia="Times New Roman" w:hAnsi="Times New Roman" w:cs="Times New Roman"/>
          <w:sz w:val="26"/>
          <w:szCs w:val="26"/>
        </w:rPr>
        <w:t xml:space="preserve"> for 2016</w:t>
      </w:r>
      <w:r w:rsidR="00382E23">
        <w:rPr>
          <w:rFonts w:ascii="Times New Roman" w:eastAsia="Times New Roman" w:hAnsi="Times New Roman" w:cs="Times New Roman"/>
          <w:sz w:val="26"/>
          <w:szCs w:val="26"/>
        </w:rPr>
        <w:t xml:space="preserve"> and</w:t>
      </w:r>
      <w:r w:rsidR="00176A01">
        <w:rPr>
          <w:rFonts w:ascii="Times New Roman" w:eastAsia="Times New Roman" w:hAnsi="Times New Roman" w:cs="Times New Roman"/>
          <w:sz w:val="26"/>
          <w:szCs w:val="26"/>
        </w:rPr>
        <w:t xml:space="preserve"> 2017, </w:t>
      </w:r>
      <w:r w:rsidR="007A114A">
        <w:rPr>
          <w:rFonts w:ascii="Times New Roman" w:eastAsia="Times New Roman" w:hAnsi="Times New Roman" w:cs="Times New Roman"/>
          <w:sz w:val="26"/>
          <w:szCs w:val="26"/>
        </w:rPr>
        <w:t xml:space="preserve">broken out </w:t>
      </w:r>
      <w:r w:rsidR="00E53A81">
        <w:rPr>
          <w:rFonts w:ascii="Times New Roman" w:eastAsia="Times New Roman" w:hAnsi="Times New Roman" w:cs="Times New Roman"/>
          <w:sz w:val="26"/>
          <w:szCs w:val="26"/>
        </w:rPr>
        <w:t>by heating type</w:t>
      </w:r>
      <w:r w:rsidR="006F0E61">
        <w:rPr>
          <w:rFonts w:ascii="Times New Roman" w:eastAsia="Times New Roman" w:hAnsi="Times New Roman" w:cs="Times New Roman"/>
          <w:sz w:val="26"/>
          <w:szCs w:val="26"/>
        </w:rPr>
        <w:t xml:space="preserve"> </w:t>
      </w:r>
      <w:r w:rsidR="00E53A81">
        <w:rPr>
          <w:rFonts w:ascii="Times New Roman" w:eastAsia="Times New Roman" w:hAnsi="Times New Roman" w:cs="Times New Roman"/>
          <w:sz w:val="26"/>
          <w:szCs w:val="26"/>
        </w:rPr>
        <w:t>(</w:t>
      </w:r>
      <w:r w:rsidR="007A114A">
        <w:rPr>
          <w:rFonts w:ascii="Times New Roman" w:eastAsia="Times New Roman" w:hAnsi="Times New Roman" w:cs="Times New Roman"/>
          <w:sz w:val="26"/>
          <w:szCs w:val="26"/>
        </w:rPr>
        <w:t>heating or non-heating</w:t>
      </w:r>
      <w:r w:rsidR="00E53A81">
        <w:rPr>
          <w:rFonts w:ascii="Times New Roman" w:eastAsia="Times New Roman" w:hAnsi="Times New Roman" w:cs="Times New Roman"/>
          <w:sz w:val="26"/>
          <w:szCs w:val="26"/>
        </w:rPr>
        <w:t>), if possible</w:t>
      </w:r>
      <w:r w:rsidR="006D0BA4">
        <w:rPr>
          <w:rFonts w:ascii="Times New Roman" w:eastAsia="Times New Roman" w:hAnsi="Times New Roman" w:cs="Times New Roman"/>
          <w:sz w:val="26"/>
          <w:szCs w:val="26"/>
        </w:rPr>
        <w:t xml:space="preserve">.  </w:t>
      </w:r>
      <w:r w:rsidR="00B57309">
        <w:rPr>
          <w:rFonts w:ascii="Times New Roman" w:hAnsi="Times New Roman" w:cs="Times New Roman"/>
          <w:sz w:val="26"/>
          <w:szCs w:val="26"/>
        </w:rPr>
        <w:t xml:space="preserve">The zero-income information should be filed and served as part of each utility’s </w:t>
      </w:r>
      <w:r w:rsidR="00433BE2">
        <w:rPr>
          <w:rFonts w:ascii="Times New Roman" w:hAnsi="Times New Roman" w:cs="Times New Roman"/>
          <w:sz w:val="26"/>
          <w:szCs w:val="26"/>
        </w:rPr>
        <w:t>supplemental information</w:t>
      </w:r>
      <w:r w:rsidR="00686DB9">
        <w:rPr>
          <w:rFonts w:ascii="Times New Roman" w:hAnsi="Times New Roman" w:cs="Times New Roman"/>
          <w:sz w:val="26"/>
          <w:szCs w:val="26"/>
        </w:rPr>
        <w:t xml:space="preserve"> (</w:t>
      </w:r>
      <w:r w:rsidR="00686DB9" w:rsidRPr="00A21868">
        <w:rPr>
          <w:rFonts w:ascii="Times New Roman" w:hAnsi="Times New Roman" w:cs="Times New Roman"/>
          <w:i/>
          <w:sz w:val="26"/>
          <w:szCs w:val="26"/>
        </w:rPr>
        <w:t>i.e.</w:t>
      </w:r>
      <w:r w:rsidR="00686DB9">
        <w:rPr>
          <w:rFonts w:ascii="Times New Roman" w:hAnsi="Times New Roman" w:cs="Times New Roman"/>
          <w:sz w:val="26"/>
          <w:szCs w:val="26"/>
        </w:rPr>
        <w:t xml:space="preserve">, </w:t>
      </w:r>
      <w:r w:rsidR="00B57309">
        <w:rPr>
          <w:rFonts w:ascii="Times New Roman" w:hAnsi="Times New Roman" w:cs="Times New Roman"/>
          <w:sz w:val="26"/>
          <w:szCs w:val="26"/>
        </w:rPr>
        <w:t xml:space="preserve">within </w:t>
      </w:r>
      <w:r w:rsidR="00D745C3">
        <w:rPr>
          <w:rFonts w:ascii="Times New Roman" w:hAnsi="Times New Roman" w:cs="Times New Roman"/>
          <w:sz w:val="26"/>
          <w:szCs w:val="26"/>
        </w:rPr>
        <w:t>3</w:t>
      </w:r>
      <w:r w:rsidR="00B57309">
        <w:rPr>
          <w:rFonts w:ascii="Times New Roman" w:hAnsi="Times New Roman" w:cs="Times New Roman"/>
          <w:sz w:val="26"/>
          <w:szCs w:val="26"/>
        </w:rPr>
        <w:t>0 days from the entry of this Order</w:t>
      </w:r>
      <w:r w:rsidR="00686DB9">
        <w:rPr>
          <w:rFonts w:ascii="Times New Roman" w:hAnsi="Times New Roman" w:cs="Times New Roman"/>
          <w:sz w:val="26"/>
          <w:szCs w:val="26"/>
        </w:rPr>
        <w:t>)</w:t>
      </w:r>
      <w:r w:rsidR="00B57309">
        <w:rPr>
          <w:rFonts w:ascii="Times New Roman" w:hAnsi="Times New Roman" w:cs="Times New Roman"/>
          <w:sz w:val="26"/>
          <w:szCs w:val="26"/>
        </w:rPr>
        <w:t>.</w:t>
      </w:r>
    </w:p>
    <w:p w14:paraId="7A42A206" w14:textId="77777777" w:rsidR="00B57309" w:rsidRDefault="00B57309" w:rsidP="00317A92">
      <w:pPr>
        <w:tabs>
          <w:tab w:val="left" w:pos="1440"/>
        </w:tabs>
        <w:spacing w:after="0" w:line="360" w:lineRule="auto"/>
        <w:ind w:left="720"/>
        <w:contextualSpacing/>
        <w:rPr>
          <w:rFonts w:ascii="Times New Roman" w:eastAsia="Times New Roman" w:hAnsi="Times New Roman" w:cs="Times New Roman"/>
          <w:sz w:val="26"/>
          <w:szCs w:val="26"/>
        </w:rPr>
      </w:pPr>
    </w:p>
    <w:p w14:paraId="7515B98A" w14:textId="4CB0F399" w:rsidR="00317A92" w:rsidRDefault="000837EA" w:rsidP="00317A92">
      <w:pPr>
        <w:tabs>
          <w:tab w:val="left" w:pos="1440"/>
        </w:tabs>
        <w:spacing w:after="0" w:line="360" w:lineRule="auto"/>
        <w:ind w:left="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71186">
        <w:rPr>
          <w:rFonts w:ascii="Times New Roman" w:eastAsia="Times New Roman" w:hAnsi="Times New Roman" w:cs="Times New Roman"/>
          <w:sz w:val="26"/>
          <w:szCs w:val="26"/>
        </w:rPr>
        <w:t>Zero-income information</w:t>
      </w:r>
      <w:r w:rsidR="008B3625">
        <w:rPr>
          <w:rFonts w:ascii="Times New Roman" w:eastAsia="Times New Roman" w:hAnsi="Times New Roman" w:cs="Times New Roman"/>
          <w:sz w:val="26"/>
          <w:szCs w:val="26"/>
        </w:rPr>
        <w:t xml:space="preserve"> should </w:t>
      </w:r>
      <w:r w:rsidR="00316482">
        <w:rPr>
          <w:rFonts w:ascii="Times New Roman" w:eastAsia="Times New Roman" w:hAnsi="Times New Roman" w:cs="Times New Roman"/>
          <w:sz w:val="26"/>
          <w:szCs w:val="26"/>
        </w:rPr>
        <w:t xml:space="preserve">also </w:t>
      </w:r>
      <w:r w:rsidR="008B3625">
        <w:rPr>
          <w:rFonts w:ascii="Times New Roman" w:eastAsia="Times New Roman" w:hAnsi="Times New Roman" w:cs="Times New Roman"/>
          <w:sz w:val="26"/>
          <w:szCs w:val="26"/>
        </w:rPr>
        <w:t xml:space="preserve">be provided </w:t>
      </w:r>
      <w:r w:rsidR="00621DE5">
        <w:rPr>
          <w:rFonts w:ascii="Times New Roman" w:eastAsia="Times New Roman" w:hAnsi="Times New Roman" w:cs="Times New Roman"/>
          <w:sz w:val="26"/>
          <w:szCs w:val="26"/>
        </w:rPr>
        <w:t>in</w:t>
      </w:r>
      <w:r w:rsidR="008B3625">
        <w:rPr>
          <w:rFonts w:ascii="Times New Roman" w:eastAsia="Times New Roman" w:hAnsi="Times New Roman" w:cs="Times New Roman"/>
          <w:sz w:val="26"/>
          <w:szCs w:val="26"/>
        </w:rPr>
        <w:t xml:space="preserve"> a separate spreadsheet </w:t>
      </w:r>
      <w:r w:rsidR="0079595E">
        <w:rPr>
          <w:rFonts w:ascii="Times New Roman" w:eastAsia="Times New Roman" w:hAnsi="Times New Roman" w:cs="Times New Roman"/>
          <w:sz w:val="26"/>
          <w:szCs w:val="26"/>
        </w:rPr>
        <w:t xml:space="preserve">as part of the </w:t>
      </w:r>
      <w:r w:rsidR="00583537">
        <w:rPr>
          <w:rFonts w:ascii="Times New Roman" w:eastAsia="Times New Roman" w:hAnsi="Times New Roman" w:cs="Times New Roman"/>
          <w:sz w:val="26"/>
          <w:szCs w:val="26"/>
        </w:rPr>
        <w:t xml:space="preserve">utilities’ </w:t>
      </w:r>
      <w:r w:rsidR="00E53A81">
        <w:rPr>
          <w:rFonts w:ascii="Times New Roman" w:eastAsia="Times New Roman" w:hAnsi="Times New Roman" w:cs="Times New Roman"/>
          <w:sz w:val="26"/>
          <w:szCs w:val="26"/>
        </w:rPr>
        <w:t>2018</w:t>
      </w:r>
      <w:r w:rsidR="008B3625">
        <w:rPr>
          <w:rFonts w:ascii="Times New Roman" w:eastAsia="Times New Roman" w:hAnsi="Times New Roman" w:cs="Times New Roman"/>
          <w:sz w:val="26"/>
          <w:szCs w:val="26"/>
        </w:rPr>
        <w:t xml:space="preserve"> USR</w:t>
      </w:r>
      <w:r w:rsidR="00E53A81">
        <w:rPr>
          <w:rFonts w:ascii="Times New Roman" w:eastAsia="Times New Roman" w:hAnsi="Times New Roman" w:cs="Times New Roman"/>
          <w:sz w:val="26"/>
          <w:szCs w:val="26"/>
        </w:rPr>
        <w:t xml:space="preserve"> submission</w:t>
      </w:r>
      <w:r w:rsidR="006F0E61">
        <w:rPr>
          <w:rFonts w:ascii="Times New Roman" w:eastAsia="Times New Roman" w:hAnsi="Times New Roman" w:cs="Times New Roman"/>
          <w:sz w:val="26"/>
          <w:szCs w:val="26"/>
        </w:rPr>
        <w:t>s</w:t>
      </w:r>
      <w:r w:rsidR="00D50AD3">
        <w:rPr>
          <w:rFonts w:ascii="Times New Roman" w:eastAsia="Times New Roman" w:hAnsi="Times New Roman" w:cs="Times New Roman"/>
          <w:sz w:val="26"/>
          <w:szCs w:val="26"/>
        </w:rPr>
        <w:t>, due by April 2019</w:t>
      </w:r>
      <w:r w:rsidR="008B3625">
        <w:rPr>
          <w:rFonts w:ascii="Times New Roman" w:eastAsia="Times New Roman" w:hAnsi="Times New Roman" w:cs="Times New Roman"/>
          <w:sz w:val="26"/>
          <w:szCs w:val="26"/>
        </w:rPr>
        <w:t>.</w:t>
      </w:r>
      <w:r w:rsidR="007A114A">
        <w:rPr>
          <w:rFonts w:ascii="Times New Roman" w:eastAsia="Times New Roman" w:hAnsi="Times New Roman" w:cs="Times New Roman"/>
          <w:sz w:val="26"/>
          <w:szCs w:val="26"/>
        </w:rPr>
        <w:t xml:space="preserve"> </w:t>
      </w:r>
    </w:p>
    <w:p w14:paraId="25918FA5" w14:textId="77777777" w:rsidR="00954D28" w:rsidRDefault="00954D28" w:rsidP="00EC4D1E">
      <w:pPr>
        <w:tabs>
          <w:tab w:val="left" w:pos="1440"/>
        </w:tabs>
        <w:spacing w:after="0" w:line="360" w:lineRule="auto"/>
        <w:contextualSpacing/>
        <w:rPr>
          <w:rFonts w:ascii="Times New Roman" w:eastAsia="Times New Roman" w:hAnsi="Times New Roman" w:cs="Times New Roman"/>
          <w:sz w:val="26"/>
          <w:szCs w:val="26"/>
        </w:rPr>
      </w:pPr>
    </w:p>
    <w:p w14:paraId="3F2E1FEF" w14:textId="07604D90" w:rsidR="007205B4" w:rsidRDefault="00930F1E" w:rsidP="00623D82">
      <w:pPr>
        <w:tabs>
          <w:tab w:val="left" w:pos="1440"/>
        </w:tabs>
        <w:spacing w:after="0" w:line="360" w:lineRule="auto"/>
        <w:contextualSpacing/>
        <w:rPr>
          <w:rFonts w:ascii="Times New Roman" w:eastAsia="Times New Roman" w:hAnsi="Times New Roman" w:cs="Times New Roman"/>
          <w:b/>
          <w:sz w:val="26"/>
          <w:szCs w:val="26"/>
        </w:rPr>
      </w:pPr>
      <w:r w:rsidRPr="00623D82">
        <w:rPr>
          <w:rFonts w:ascii="Times New Roman" w:eastAsia="Times New Roman" w:hAnsi="Times New Roman" w:cs="Times New Roman"/>
          <w:b/>
          <w:sz w:val="26"/>
          <w:szCs w:val="26"/>
        </w:rPr>
        <w:t>STAKEHOLDER MEETING</w:t>
      </w:r>
      <w:r w:rsidR="001B4D9D">
        <w:rPr>
          <w:rFonts w:ascii="Times New Roman" w:eastAsia="Times New Roman" w:hAnsi="Times New Roman" w:cs="Times New Roman"/>
          <w:b/>
          <w:sz w:val="26"/>
          <w:szCs w:val="26"/>
        </w:rPr>
        <w:t xml:space="preserve"> and </w:t>
      </w:r>
      <w:r w:rsidR="002E7FF2">
        <w:rPr>
          <w:rFonts w:ascii="Times New Roman" w:eastAsia="Times New Roman" w:hAnsi="Times New Roman" w:cs="Times New Roman"/>
          <w:b/>
          <w:sz w:val="26"/>
          <w:szCs w:val="26"/>
        </w:rPr>
        <w:t xml:space="preserve">USR </w:t>
      </w:r>
      <w:r w:rsidR="001B4D9D">
        <w:rPr>
          <w:rFonts w:ascii="Times New Roman" w:eastAsia="Times New Roman" w:hAnsi="Times New Roman" w:cs="Times New Roman"/>
          <w:b/>
          <w:sz w:val="26"/>
          <w:szCs w:val="26"/>
        </w:rPr>
        <w:t>WORKING GROUP</w:t>
      </w:r>
    </w:p>
    <w:p w14:paraId="7BEF06EB" w14:textId="4CC203F3" w:rsidR="000C459B" w:rsidRPr="00867E6E" w:rsidRDefault="000C459B" w:rsidP="00680402">
      <w:pPr>
        <w:pStyle w:val="ListParagraph"/>
        <w:keepNext/>
        <w:numPr>
          <w:ilvl w:val="0"/>
          <w:numId w:val="5"/>
        </w:numPr>
        <w:spacing w:line="360" w:lineRule="auto"/>
        <w:ind w:left="720"/>
        <w:rPr>
          <w:sz w:val="26"/>
          <w:szCs w:val="26"/>
        </w:rPr>
      </w:pPr>
      <w:r w:rsidRPr="002E7FF2">
        <w:rPr>
          <w:b/>
          <w:sz w:val="26"/>
          <w:szCs w:val="26"/>
        </w:rPr>
        <w:t>Stakeholder Meeting</w:t>
      </w:r>
    </w:p>
    <w:p w14:paraId="2146F370" w14:textId="2F4CE563" w:rsidR="001B4D9D" w:rsidRDefault="000C459B" w:rsidP="00F548D0">
      <w:pPr>
        <w:pStyle w:val="NoSpacing"/>
        <w:tabs>
          <w:tab w:val="left" w:pos="720"/>
        </w:tabs>
        <w:spacing w:line="360" w:lineRule="auto"/>
        <w:ind w:left="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B4D9D">
        <w:rPr>
          <w:rFonts w:ascii="Times New Roman" w:eastAsia="Times New Roman" w:hAnsi="Times New Roman" w:cs="Times New Roman"/>
          <w:sz w:val="26"/>
          <w:szCs w:val="26"/>
        </w:rPr>
        <w:t xml:space="preserve">Staff will convene a stakeholder meeting on </w:t>
      </w:r>
      <w:r w:rsidR="00967212">
        <w:rPr>
          <w:rFonts w:ascii="Times New Roman" w:eastAsia="Times New Roman" w:hAnsi="Times New Roman" w:cs="Times New Roman"/>
          <w:sz w:val="26"/>
          <w:szCs w:val="26"/>
        </w:rPr>
        <w:t>February 6, 2019</w:t>
      </w:r>
      <w:r w:rsidR="001B4D9D">
        <w:rPr>
          <w:rFonts w:ascii="Times New Roman" w:eastAsia="Times New Roman" w:hAnsi="Times New Roman" w:cs="Times New Roman"/>
          <w:sz w:val="26"/>
          <w:szCs w:val="26"/>
        </w:rPr>
        <w:t xml:space="preserve">, at the Commission office in Harrisburg, Pennsylvania, to allow discussion among the stakeholders and staff prior to the due date for comments.  </w:t>
      </w:r>
    </w:p>
    <w:p w14:paraId="1D9A0BA8" w14:textId="5A9DAE5A" w:rsidR="00A35E30" w:rsidRPr="00867E6E" w:rsidRDefault="00A35E30" w:rsidP="00867E6E">
      <w:pPr>
        <w:tabs>
          <w:tab w:val="left" w:pos="1440"/>
        </w:tabs>
        <w:spacing w:after="0" w:line="360" w:lineRule="auto"/>
        <w:ind w:left="1440" w:hanging="1440"/>
        <w:contextualSpacing/>
        <w:rPr>
          <w:rFonts w:ascii="Times New Roman" w:eastAsia="Times New Roman" w:hAnsi="Times New Roman" w:cs="Times New Roman"/>
          <w:sz w:val="26"/>
          <w:szCs w:val="26"/>
        </w:rPr>
      </w:pPr>
    </w:p>
    <w:p w14:paraId="1D3958BA" w14:textId="77777777" w:rsidR="00F3105A" w:rsidRPr="009273EA" w:rsidRDefault="00F3105A" w:rsidP="00F3105A">
      <w:pPr>
        <w:pStyle w:val="ListParagraph"/>
        <w:keepNext/>
        <w:numPr>
          <w:ilvl w:val="0"/>
          <w:numId w:val="5"/>
        </w:numPr>
        <w:spacing w:line="360" w:lineRule="auto"/>
        <w:ind w:left="720"/>
        <w:rPr>
          <w:sz w:val="26"/>
          <w:szCs w:val="26"/>
        </w:rPr>
      </w:pPr>
      <w:r w:rsidRPr="009273EA">
        <w:rPr>
          <w:b/>
          <w:sz w:val="26"/>
          <w:szCs w:val="26"/>
        </w:rPr>
        <w:t>Working Group to Standardize USR Protocols for Data Definitions, Tracking, and Reporting</w:t>
      </w:r>
      <w:r w:rsidRPr="009273EA">
        <w:rPr>
          <w:sz w:val="26"/>
          <w:szCs w:val="26"/>
        </w:rPr>
        <w:t xml:space="preserve">: </w:t>
      </w:r>
    </w:p>
    <w:p w14:paraId="3C0DA5A5" w14:textId="77777777" w:rsidR="00F3105A" w:rsidRDefault="00F3105A" w:rsidP="00F3105A">
      <w:pPr>
        <w:spacing w:after="0" w:line="360" w:lineRule="auto"/>
        <w:ind w:left="720"/>
        <w:rPr>
          <w:rFonts w:ascii="Times New Roman" w:hAnsi="Times New Roman" w:cs="Times New Roman"/>
          <w:sz w:val="26"/>
          <w:szCs w:val="26"/>
        </w:rPr>
      </w:pPr>
      <w:r>
        <w:rPr>
          <w:rFonts w:ascii="Times New Roman" w:hAnsi="Times New Roman" w:cs="Times New Roman"/>
          <w:sz w:val="26"/>
          <w:szCs w:val="26"/>
        </w:rPr>
        <w:tab/>
      </w:r>
      <w:r>
        <w:rPr>
          <w:rFonts w:ascii="Times New Roman" w:eastAsia="Times New Roman" w:hAnsi="Times New Roman" w:cs="Times New Roman"/>
          <w:sz w:val="26"/>
          <w:szCs w:val="26"/>
        </w:rPr>
        <w:t xml:space="preserve">Integrity and consistency of data is critical for an accurate and thorough assessment of CAPs.  Throughout the study, </w:t>
      </w:r>
      <w:r>
        <w:rPr>
          <w:rFonts w:ascii="Times New Roman" w:hAnsi="Times New Roman" w:cs="Times New Roman"/>
          <w:sz w:val="26"/>
          <w:szCs w:val="26"/>
        </w:rPr>
        <w:t>staff identified inconsistencies</w:t>
      </w:r>
      <w:r w:rsidRPr="00516929">
        <w:rPr>
          <w:rFonts w:ascii="Times New Roman" w:hAnsi="Times New Roman" w:cs="Times New Roman"/>
          <w:sz w:val="26"/>
          <w:szCs w:val="26"/>
        </w:rPr>
        <w:t xml:space="preserve"> </w:t>
      </w:r>
      <w:r>
        <w:rPr>
          <w:rFonts w:ascii="Times New Roman" w:hAnsi="Times New Roman" w:cs="Times New Roman"/>
          <w:sz w:val="26"/>
          <w:szCs w:val="26"/>
        </w:rPr>
        <w:t xml:space="preserve">and limitations </w:t>
      </w:r>
      <w:r w:rsidRPr="00516929">
        <w:rPr>
          <w:rFonts w:ascii="Times New Roman" w:hAnsi="Times New Roman" w:cs="Times New Roman"/>
          <w:sz w:val="26"/>
          <w:szCs w:val="26"/>
        </w:rPr>
        <w:t xml:space="preserve">in the </w:t>
      </w:r>
      <w:r>
        <w:rPr>
          <w:rFonts w:ascii="Times New Roman" w:hAnsi="Times New Roman" w:cs="Times New Roman"/>
          <w:sz w:val="26"/>
          <w:szCs w:val="26"/>
        </w:rPr>
        <w:t xml:space="preserve">reported </w:t>
      </w:r>
      <w:r w:rsidRPr="00516929">
        <w:rPr>
          <w:rFonts w:ascii="Times New Roman" w:hAnsi="Times New Roman" w:cs="Times New Roman"/>
          <w:sz w:val="26"/>
          <w:szCs w:val="26"/>
        </w:rPr>
        <w:t>data</w:t>
      </w:r>
      <w:r>
        <w:rPr>
          <w:rFonts w:ascii="Times New Roman" w:hAnsi="Times New Roman" w:cs="Times New Roman"/>
          <w:sz w:val="26"/>
          <w:szCs w:val="26"/>
        </w:rPr>
        <w:t xml:space="preserve"> that impacted the analysis, for several reasons:</w:t>
      </w:r>
    </w:p>
    <w:p w14:paraId="72988F1E" w14:textId="77777777" w:rsidR="00F3105A" w:rsidRDefault="00F3105A" w:rsidP="00F3105A">
      <w:pPr>
        <w:spacing w:after="0" w:line="360" w:lineRule="auto"/>
        <w:rPr>
          <w:rFonts w:ascii="Times New Roman" w:hAnsi="Times New Roman" w:cs="Times New Roman"/>
          <w:sz w:val="26"/>
          <w:szCs w:val="26"/>
        </w:rPr>
      </w:pPr>
    </w:p>
    <w:p w14:paraId="61B76C7B" w14:textId="77777777" w:rsidR="00F3105A" w:rsidRDefault="00F3105A" w:rsidP="00F3105A">
      <w:pPr>
        <w:pStyle w:val="ListParagraph"/>
        <w:numPr>
          <w:ilvl w:val="1"/>
          <w:numId w:val="16"/>
        </w:numPr>
        <w:spacing w:line="360" w:lineRule="auto"/>
        <w:rPr>
          <w:sz w:val="26"/>
          <w:szCs w:val="26"/>
        </w:rPr>
      </w:pPr>
      <w:r>
        <w:rPr>
          <w:sz w:val="26"/>
          <w:szCs w:val="26"/>
        </w:rPr>
        <w:t>Incomplete data in the utilities’ replies to the October 16, 2017 Secretarial Letter.</w:t>
      </w:r>
    </w:p>
    <w:p w14:paraId="54C98AD1" w14:textId="77777777" w:rsidR="00F3105A" w:rsidRDefault="00F3105A" w:rsidP="00F3105A">
      <w:pPr>
        <w:pStyle w:val="ListParagraph"/>
        <w:numPr>
          <w:ilvl w:val="1"/>
          <w:numId w:val="16"/>
        </w:numPr>
        <w:spacing w:line="360" w:lineRule="auto"/>
        <w:rPr>
          <w:sz w:val="26"/>
          <w:szCs w:val="26"/>
        </w:rPr>
      </w:pPr>
      <w:r>
        <w:rPr>
          <w:sz w:val="26"/>
          <w:szCs w:val="26"/>
        </w:rPr>
        <w:lastRenderedPageBreak/>
        <w:t>Data have been inconsistently tracked and reported by the utilities, and thus results cannot be compared among the utilities.</w:t>
      </w:r>
    </w:p>
    <w:p w14:paraId="52DF4F7D" w14:textId="77777777" w:rsidR="00F3105A" w:rsidRDefault="00F3105A" w:rsidP="00F3105A">
      <w:pPr>
        <w:pStyle w:val="ListParagraph"/>
        <w:numPr>
          <w:ilvl w:val="1"/>
          <w:numId w:val="16"/>
        </w:numPr>
        <w:spacing w:line="360" w:lineRule="auto"/>
        <w:rPr>
          <w:sz w:val="26"/>
          <w:szCs w:val="26"/>
        </w:rPr>
      </w:pPr>
      <w:r>
        <w:rPr>
          <w:sz w:val="26"/>
          <w:szCs w:val="26"/>
        </w:rPr>
        <w:t>CAPs vary considerably from utility to utility.</w:t>
      </w:r>
    </w:p>
    <w:p w14:paraId="5BF946E6" w14:textId="77777777" w:rsidR="00F3105A" w:rsidRDefault="00F3105A" w:rsidP="00F3105A">
      <w:pPr>
        <w:pStyle w:val="ListParagraph"/>
        <w:numPr>
          <w:ilvl w:val="1"/>
          <w:numId w:val="16"/>
        </w:numPr>
        <w:spacing w:line="360" w:lineRule="auto"/>
        <w:rPr>
          <w:sz w:val="26"/>
          <w:szCs w:val="26"/>
        </w:rPr>
      </w:pPr>
      <w:r>
        <w:rPr>
          <w:sz w:val="26"/>
          <w:szCs w:val="26"/>
        </w:rPr>
        <w:t xml:space="preserve">CAPs have changed over the time frame of the study, and thus year-to-year comparisons for a given utility are skewed. </w:t>
      </w:r>
    </w:p>
    <w:p w14:paraId="0521D341" w14:textId="77777777" w:rsidR="00F3105A" w:rsidRDefault="00F3105A" w:rsidP="00F3105A">
      <w:pPr>
        <w:pStyle w:val="ListParagraph"/>
        <w:numPr>
          <w:ilvl w:val="1"/>
          <w:numId w:val="16"/>
        </w:numPr>
        <w:spacing w:line="360" w:lineRule="auto"/>
        <w:rPr>
          <w:sz w:val="26"/>
          <w:szCs w:val="26"/>
        </w:rPr>
      </w:pPr>
      <w:r>
        <w:rPr>
          <w:sz w:val="26"/>
          <w:szCs w:val="26"/>
        </w:rPr>
        <w:t>Other policies and procedures vary from utility to utility and have changed over time for individual utilities.</w:t>
      </w:r>
    </w:p>
    <w:p w14:paraId="7DB21517" w14:textId="77777777" w:rsidR="00F3105A" w:rsidRDefault="00F3105A" w:rsidP="00F3105A">
      <w:pPr>
        <w:pStyle w:val="ListParagraph"/>
        <w:numPr>
          <w:ilvl w:val="1"/>
          <w:numId w:val="16"/>
        </w:numPr>
        <w:spacing w:line="360" w:lineRule="auto"/>
        <w:rPr>
          <w:sz w:val="26"/>
          <w:szCs w:val="26"/>
        </w:rPr>
      </w:pPr>
      <w:r>
        <w:rPr>
          <w:sz w:val="26"/>
          <w:szCs w:val="26"/>
        </w:rPr>
        <w:t xml:space="preserve">Mergers and acquisitions have resulted in customer base changes. </w:t>
      </w:r>
    </w:p>
    <w:p w14:paraId="33E00134" w14:textId="77777777" w:rsidR="00F3105A" w:rsidRDefault="00F3105A" w:rsidP="00F3105A">
      <w:pPr>
        <w:pStyle w:val="ListParagraph"/>
        <w:numPr>
          <w:ilvl w:val="1"/>
          <w:numId w:val="16"/>
        </w:numPr>
        <w:spacing w:line="360" w:lineRule="auto"/>
        <w:rPr>
          <w:sz w:val="26"/>
          <w:szCs w:val="26"/>
        </w:rPr>
      </w:pPr>
      <w:r>
        <w:rPr>
          <w:sz w:val="26"/>
          <w:szCs w:val="26"/>
        </w:rPr>
        <w:t>Much of the reported data is in the form of an arithmetic mean, and thus the impact of energy burdens on individuals is masked.</w:t>
      </w:r>
    </w:p>
    <w:p w14:paraId="339AE675" w14:textId="77777777" w:rsidR="00F3105A" w:rsidRDefault="00F3105A" w:rsidP="00F3105A">
      <w:pPr>
        <w:pStyle w:val="ListParagraph"/>
        <w:numPr>
          <w:ilvl w:val="1"/>
          <w:numId w:val="16"/>
        </w:numPr>
        <w:spacing w:line="360" w:lineRule="auto"/>
        <w:rPr>
          <w:sz w:val="26"/>
          <w:szCs w:val="26"/>
        </w:rPr>
      </w:pPr>
      <w:r>
        <w:rPr>
          <w:sz w:val="26"/>
          <w:szCs w:val="26"/>
        </w:rPr>
        <w:t>Additional factors may have influenced the results and should be measured and analyzed before recommendations are proposed.</w:t>
      </w:r>
    </w:p>
    <w:p w14:paraId="5887E3AE" w14:textId="77777777" w:rsidR="00F3105A" w:rsidRPr="00182F66" w:rsidRDefault="00F3105A" w:rsidP="00F3105A">
      <w:pPr>
        <w:pStyle w:val="ListParagraph"/>
        <w:spacing w:line="360" w:lineRule="auto"/>
        <w:ind w:left="1440"/>
        <w:rPr>
          <w:sz w:val="26"/>
          <w:szCs w:val="26"/>
        </w:rPr>
      </w:pPr>
    </w:p>
    <w:p w14:paraId="7036677E" w14:textId="62031319" w:rsidR="00F3105A" w:rsidRDefault="00F3105A" w:rsidP="00621DE5">
      <w:pPr>
        <w:spacing w:after="0" w:line="360" w:lineRule="auto"/>
        <w:ind w:firstLine="720"/>
        <w:contextualSpacing/>
        <w:rPr>
          <w:rFonts w:ascii="Times New Roman" w:hAnsi="Times New Roman" w:cs="Times New Roman"/>
          <w:sz w:val="26"/>
          <w:szCs w:val="26"/>
        </w:rPr>
      </w:pPr>
      <w:r>
        <w:rPr>
          <w:rFonts w:ascii="Times New Roman" w:eastAsia="Times New Roman" w:hAnsi="Times New Roman" w:cs="Times New Roman"/>
          <w:sz w:val="26"/>
          <w:szCs w:val="26"/>
        </w:rPr>
        <w:t xml:space="preserve">We recognize the need to standardize data gathering and reporting among the </w:t>
      </w:r>
      <w:r w:rsidR="00E63F35">
        <w:rPr>
          <w:rFonts w:ascii="Times New Roman" w:eastAsia="Times New Roman" w:hAnsi="Times New Roman" w:cs="Times New Roman"/>
          <w:sz w:val="26"/>
          <w:szCs w:val="26"/>
        </w:rPr>
        <w:t>NG</w:t>
      </w:r>
      <w:r>
        <w:rPr>
          <w:rFonts w:ascii="Times New Roman" w:eastAsia="Times New Roman" w:hAnsi="Times New Roman" w:cs="Times New Roman"/>
          <w:sz w:val="26"/>
          <w:szCs w:val="26"/>
        </w:rPr>
        <w:t xml:space="preserve">DCs and </w:t>
      </w:r>
      <w:r w:rsidR="00E63F35">
        <w:rPr>
          <w:rFonts w:ascii="Times New Roman" w:eastAsia="Times New Roman" w:hAnsi="Times New Roman" w:cs="Times New Roman"/>
          <w:sz w:val="26"/>
          <w:szCs w:val="26"/>
        </w:rPr>
        <w:t>EDCs</w:t>
      </w:r>
      <w:r>
        <w:rPr>
          <w:rFonts w:ascii="Times New Roman" w:eastAsia="Times New Roman" w:hAnsi="Times New Roman" w:cs="Times New Roman"/>
          <w:sz w:val="26"/>
          <w:szCs w:val="26"/>
        </w:rPr>
        <w:t>, to establish standard definitions for terms, to track and report data consistently (</w:t>
      </w:r>
      <w:r w:rsidRPr="001E32B5">
        <w:rPr>
          <w:rFonts w:ascii="Times New Roman" w:eastAsia="Times New Roman" w:hAnsi="Times New Roman" w:cs="Times New Roman"/>
          <w:i/>
          <w:sz w:val="26"/>
          <w:szCs w:val="26"/>
        </w:rPr>
        <w:t>e.g.</w:t>
      </w:r>
      <w:r>
        <w:rPr>
          <w:rFonts w:ascii="Times New Roman" w:eastAsia="Times New Roman" w:hAnsi="Times New Roman" w:cs="Times New Roman"/>
          <w:sz w:val="26"/>
          <w:szCs w:val="26"/>
        </w:rPr>
        <w:t>, income verification/confirmed low income).  The Report also emphasizes a need for utilities to track and report additional data elements to enhance the Commission’s evaluation of CAPs.</w:t>
      </w:r>
      <w:r>
        <w:rPr>
          <w:rStyle w:val="FootnoteReference"/>
          <w:rFonts w:ascii="Times New Roman" w:eastAsia="Times New Roman" w:hAnsi="Times New Roman" w:cs="Times New Roman"/>
          <w:sz w:val="26"/>
          <w:szCs w:val="26"/>
        </w:rPr>
        <w:footnoteReference w:id="21"/>
      </w: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To evaluate and compare the various CAP models in Pennsylvania, it is essential that utilities provide consistent data </w:t>
      </w:r>
      <w:r w:rsidRPr="000354CA">
        <w:rPr>
          <w:rFonts w:ascii="Times New Roman" w:hAnsi="Times New Roman" w:cs="Times New Roman"/>
          <w:sz w:val="26"/>
          <w:szCs w:val="26"/>
        </w:rPr>
        <w:t>that can be compared across income levels</w:t>
      </w:r>
      <w:r>
        <w:rPr>
          <w:rFonts w:ascii="Times New Roman" w:hAnsi="Times New Roman" w:cs="Times New Roman"/>
          <w:sz w:val="26"/>
          <w:szCs w:val="26"/>
        </w:rPr>
        <w:t xml:space="preserve"> and</w:t>
      </w:r>
      <w:r w:rsidRPr="000354CA">
        <w:rPr>
          <w:rFonts w:ascii="Times New Roman" w:hAnsi="Times New Roman" w:cs="Times New Roman"/>
          <w:sz w:val="26"/>
          <w:szCs w:val="26"/>
        </w:rPr>
        <w:t xml:space="preserve"> </w:t>
      </w:r>
      <w:r>
        <w:rPr>
          <w:rFonts w:ascii="Times New Roman" w:hAnsi="Times New Roman" w:cs="Times New Roman"/>
          <w:sz w:val="26"/>
          <w:szCs w:val="26"/>
        </w:rPr>
        <w:t>heating types</w:t>
      </w:r>
      <w:r w:rsidRPr="000354CA">
        <w:rPr>
          <w:rFonts w:ascii="Times New Roman" w:hAnsi="Times New Roman" w:cs="Times New Roman"/>
          <w:sz w:val="26"/>
          <w:szCs w:val="26"/>
        </w:rPr>
        <w:t xml:space="preserve">, and </w:t>
      </w:r>
      <w:r>
        <w:rPr>
          <w:rFonts w:ascii="Times New Roman" w:hAnsi="Times New Roman" w:cs="Times New Roman"/>
          <w:sz w:val="26"/>
          <w:szCs w:val="26"/>
        </w:rPr>
        <w:t>among</w:t>
      </w:r>
      <w:r w:rsidRPr="000354CA">
        <w:rPr>
          <w:rFonts w:ascii="Times New Roman" w:hAnsi="Times New Roman" w:cs="Times New Roman"/>
          <w:sz w:val="26"/>
          <w:szCs w:val="26"/>
        </w:rPr>
        <w:t xml:space="preserve"> </w:t>
      </w:r>
      <w:r>
        <w:rPr>
          <w:rFonts w:ascii="Times New Roman" w:hAnsi="Times New Roman" w:cs="Times New Roman"/>
          <w:sz w:val="26"/>
          <w:szCs w:val="26"/>
        </w:rPr>
        <w:t>utilities</w:t>
      </w:r>
      <w:r w:rsidRPr="000354CA">
        <w:rPr>
          <w:rFonts w:ascii="Times New Roman" w:hAnsi="Times New Roman" w:cs="Times New Roman"/>
          <w:sz w:val="26"/>
          <w:szCs w:val="26"/>
        </w:rPr>
        <w:t>.</w:t>
      </w:r>
      <w:r>
        <w:rPr>
          <w:rFonts w:ascii="Times New Roman" w:hAnsi="Times New Roman" w:cs="Times New Roman"/>
          <w:sz w:val="26"/>
          <w:szCs w:val="26"/>
        </w:rPr>
        <w:t xml:space="preserve">  </w:t>
      </w:r>
    </w:p>
    <w:p w14:paraId="722D5271" w14:textId="77777777" w:rsidR="00F3105A" w:rsidRDefault="00F3105A" w:rsidP="00621DE5">
      <w:pPr>
        <w:spacing w:after="0" w:line="360" w:lineRule="auto"/>
        <w:ind w:firstLine="720"/>
        <w:contextualSpacing/>
        <w:rPr>
          <w:rFonts w:ascii="Times New Roman" w:hAnsi="Times New Roman" w:cs="Times New Roman"/>
          <w:sz w:val="26"/>
          <w:szCs w:val="26"/>
        </w:rPr>
      </w:pPr>
    </w:p>
    <w:p w14:paraId="4FC0BB0D" w14:textId="1C9F690C" w:rsidR="00F3105A" w:rsidRDefault="00F3105A" w:rsidP="00621DE5">
      <w:pPr>
        <w:spacing w:after="0" w:line="360" w:lineRule="auto"/>
        <w:ind w:firstLine="720"/>
        <w:contextualSpacing/>
        <w:rPr>
          <w:rFonts w:ascii="Times New Roman" w:hAnsi="Times New Roman" w:cs="Times New Roman"/>
          <w:sz w:val="26"/>
          <w:szCs w:val="26"/>
        </w:rPr>
      </w:pPr>
      <w:r w:rsidRPr="001D71B4">
        <w:rPr>
          <w:rFonts w:ascii="Times New Roman" w:hAnsi="Times New Roman" w:cs="Times New Roman"/>
          <w:sz w:val="26"/>
          <w:szCs w:val="26"/>
        </w:rPr>
        <w:t>Accordingly, we are directing BCS, with the assistance of the Law Bureau, to establish a USR Working Group to recommend</w:t>
      </w:r>
      <w:r>
        <w:rPr>
          <w:rFonts w:ascii="Times New Roman" w:hAnsi="Times New Roman" w:cs="Times New Roman"/>
          <w:sz w:val="26"/>
          <w:szCs w:val="26"/>
        </w:rPr>
        <w:t xml:space="preserve">, </w:t>
      </w:r>
      <w:r w:rsidRPr="00984169">
        <w:rPr>
          <w:rFonts w:ascii="Times New Roman" w:hAnsi="Times New Roman" w:cs="Times New Roman"/>
          <w:i/>
          <w:sz w:val="26"/>
          <w:szCs w:val="26"/>
        </w:rPr>
        <w:t>inter alia</w:t>
      </w:r>
      <w:r>
        <w:rPr>
          <w:rFonts w:ascii="Times New Roman" w:hAnsi="Times New Roman" w:cs="Times New Roman"/>
          <w:sz w:val="26"/>
          <w:szCs w:val="26"/>
        </w:rPr>
        <w:t>,</w:t>
      </w:r>
      <w:r w:rsidRPr="001D71B4">
        <w:rPr>
          <w:rFonts w:ascii="Times New Roman" w:hAnsi="Times New Roman" w:cs="Times New Roman"/>
          <w:sz w:val="26"/>
          <w:szCs w:val="26"/>
        </w:rPr>
        <w:t xml:space="preserve"> standardized and clarified USR data definitions and to propose how the data should be tracked and reported.  The USR Working Group shall also recommend definitions for additional data elements, such </w:t>
      </w:r>
      <w:r w:rsidRPr="001D71B4">
        <w:rPr>
          <w:rFonts w:ascii="Times New Roman" w:hAnsi="Times New Roman" w:cs="Times New Roman"/>
          <w:sz w:val="26"/>
          <w:szCs w:val="26"/>
        </w:rPr>
        <w:lastRenderedPageBreak/>
        <w:t>as “CAP terminations” and “defaults” that should be included in future annual reporting.</w:t>
      </w:r>
      <w:r>
        <w:rPr>
          <w:rFonts w:ascii="Times New Roman" w:hAnsi="Times New Roman" w:cs="Times New Roman"/>
          <w:sz w:val="26"/>
          <w:szCs w:val="26"/>
        </w:rPr>
        <w:t xml:space="preserve">  </w:t>
      </w:r>
      <w:r w:rsidRPr="001D71B4">
        <w:rPr>
          <w:rFonts w:ascii="Times New Roman" w:hAnsi="Times New Roman" w:cs="Times New Roman"/>
          <w:sz w:val="26"/>
          <w:szCs w:val="26"/>
        </w:rPr>
        <w:t xml:space="preserve">The first meeting of this USR Working Group shall be held no later than </w:t>
      </w:r>
      <w:r w:rsidR="00741A3D">
        <w:rPr>
          <w:rFonts w:ascii="Times New Roman" w:hAnsi="Times New Roman" w:cs="Times New Roman"/>
          <w:sz w:val="26"/>
          <w:szCs w:val="26"/>
        </w:rPr>
        <w:t>July</w:t>
      </w:r>
      <w:r w:rsidR="00F83AEA" w:rsidRPr="001D71B4">
        <w:rPr>
          <w:rFonts w:ascii="Times New Roman" w:hAnsi="Times New Roman" w:cs="Times New Roman"/>
          <w:sz w:val="26"/>
          <w:szCs w:val="26"/>
        </w:rPr>
        <w:t xml:space="preserve"> </w:t>
      </w:r>
      <w:r w:rsidRPr="001D71B4">
        <w:rPr>
          <w:rFonts w:ascii="Times New Roman" w:hAnsi="Times New Roman" w:cs="Times New Roman"/>
          <w:sz w:val="26"/>
          <w:szCs w:val="26"/>
        </w:rPr>
        <w:t xml:space="preserve">31, 2019, and the USR Working Group will conclude its work no later than </w:t>
      </w:r>
      <w:r w:rsidR="00741A3D">
        <w:rPr>
          <w:rFonts w:ascii="Times New Roman" w:hAnsi="Times New Roman" w:cs="Times New Roman"/>
          <w:sz w:val="26"/>
          <w:szCs w:val="26"/>
        </w:rPr>
        <w:t>December</w:t>
      </w:r>
      <w:r w:rsidR="007653DE" w:rsidRPr="001D71B4">
        <w:rPr>
          <w:rFonts w:ascii="Times New Roman" w:hAnsi="Times New Roman" w:cs="Times New Roman"/>
          <w:sz w:val="26"/>
          <w:szCs w:val="26"/>
        </w:rPr>
        <w:t xml:space="preserve"> </w:t>
      </w:r>
      <w:r w:rsidRPr="001D71B4">
        <w:rPr>
          <w:rFonts w:ascii="Times New Roman" w:hAnsi="Times New Roman" w:cs="Times New Roman"/>
          <w:sz w:val="26"/>
          <w:szCs w:val="26"/>
        </w:rPr>
        <w:t>3</w:t>
      </w:r>
      <w:r w:rsidR="00741A3D">
        <w:rPr>
          <w:rFonts w:ascii="Times New Roman" w:hAnsi="Times New Roman" w:cs="Times New Roman"/>
          <w:sz w:val="26"/>
          <w:szCs w:val="26"/>
        </w:rPr>
        <w:t>1</w:t>
      </w:r>
      <w:r w:rsidRPr="001D71B4">
        <w:rPr>
          <w:rFonts w:ascii="Times New Roman" w:hAnsi="Times New Roman" w:cs="Times New Roman"/>
          <w:sz w:val="26"/>
          <w:szCs w:val="26"/>
        </w:rPr>
        <w:t xml:space="preserve">, 2019.  Participation in this USR Working Group </w:t>
      </w:r>
      <w:r>
        <w:rPr>
          <w:rFonts w:ascii="Times New Roman" w:hAnsi="Times New Roman" w:cs="Times New Roman"/>
          <w:sz w:val="26"/>
          <w:szCs w:val="26"/>
        </w:rPr>
        <w:t xml:space="preserve">at this docket </w:t>
      </w:r>
      <w:r w:rsidRPr="001D71B4">
        <w:rPr>
          <w:rFonts w:ascii="Times New Roman" w:hAnsi="Times New Roman" w:cs="Times New Roman"/>
          <w:sz w:val="26"/>
          <w:szCs w:val="26"/>
        </w:rPr>
        <w:t xml:space="preserve">is open to interested stakeholders.  Staff shall submit a consensus/non-consensus report and recommendation to the Commission by </w:t>
      </w:r>
      <w:r w:rsidR="00E01CC2">
        <w:rPr>
          <w:rFonts w:ascii="Times New Roman" w:hAnsi="Times New Roman" w:cs="Times New Roman"/>
          <w:sz w:val="26"/>
          <w:szCs w:val="26"/>
        </w:rPr>
        <w:t>January</w:t>
      </w:r>
      <w:r w:rsidR="002E7239" w:rsidRPr="001D71B4">
        <w:rPr>
          <w:rFonts w:ascii="Times New Roman" w:hAnsi="Times New Roman" w:cs="Times New Roman"/>
          <w:sz w:val="26"/>
          <w:szCs w:val="26"/>
        </w:rPr>
        <w:t> </w:t>
      </w:r>
      <w:r w:rsidRPr="001D71B4">
        <w:rPr>
          <w:rFonts w:ascii="Times New Roman" w:hAnsi="Times New Roman" w:cs="Times New Roman"/>
          <w:sz w:val="26"/>
          <w:szCs w:val="26"/>
        </w:rPr>
        <w:t>3</w:t>
      </w:r>
      <w:r w:rsidR="002E7239">
        <w:rPr>
          <w:rFonts w:ascii="Times New Roman" w:hAnsi="Times New Roman" w:cs="Times New Roman"/>
          <w:sz w:val="26"/>
          <w:szCs w:val="26"/>
        </w:rPr>
        <w:t>0</w:t>
      </w:r>
      <w:r w:rsidRPr="001D71B4">
        <w:rPr>
          <w:rFonts w:ascii="Times New Roman" w:hAnsi="Times New Roman" w:cs="Times New Roman"/>
          <w:sz w:val="26"/>
          <w:szCs w:val="26"/>
        </w:rPr>
        <w:t>, 20</w:t>
      </w:r>
      <w:r w:rsidR="00E01CC2">
        <w:rPr>
          <w:rFonts w:ascii="Times New Roman" w:hAnsi="Times New Roman" w:cs="Times New Roman"/>
          <w:sz w:val="26"/>
          <w:szCs w:val="26"/>
        </w:rPr>
        <w:t>20</w:t>
      </w:r>
      <w:r w:rsidRPr="001D71B4">
        <w:rPr>
          <w:rFonts w:ascii="Times New Roman" w:hAnsi="Times New Roman" w:cs="Times New Roman"/>
          <w:sz w:val="26"/>
          <w:szCs w:val="26"/>
        </w:rPr>
        <w:t>.</w:t>
      </w:r>
      <w:r>
        <w:rPr>
          <w:rFonts w:ascii="Times New Roman" w:hAnsi="Times New Roman" w:cs="Times New Roman"/>
          <w:sz w:val="26"/>
          <w:szCs w:val="26"/>
        </w:rPr>
        <w:t xml:space="preserve">  </w:t>
      </w:r>
    </w:p>
    <w:p w14:paraId="261506CE" w14:textId="77777777" w:rsidR="007205B4" w:rsidRDefault="007205B4" w:rsidP="00621DE5">
      <w:pPr>
        <w:tabs>
          <w:tab w:val="left" w:pos="1440"/>
        </w:tabs>
        <w:spacing w:after="0" w:line="360" w:lineRule="auto"/>
        <w:contextualSpacing/>
        <w:rPr>
          <w:rFonts w:ascii="Times New Roman" w:eastAsia="Times New Roman" w:hAnsi="Times New Roman" w:cs="Times New Roman"/>
          <w:sz w:val="26"/>
          <w:szCs w:val="26"/>
        </w:rPr>
      </w:pPr>
    </w:p>
    <w:p w14:paraId="520BCA7A" w14:textId="62F4B040" w:rsidR="000B4F97" w:rsidRDefault="00D71EE2" w:rsidP="00C96180">
      <w:pPr>
        <w:pStyle w:val="NoSpacing"/>
        <w:keepNext/>
        <w:spacing w:line="360" w:lineRule="auto"/>
        <w:contextualSpacing/>
        <w:rPr>
          <w:rFonts w:ascii="Times New Roman" w:eastAsia="Times New Roman" w:hAnsi="Times New Roman" w:cs="Times New Roman"/>
          <w:b/>
          <w:sz w:val="26"/>
          <w:szCs w:val="26"/>
          <w:u w:val="single"/>
        </w:rPr>
      </w:pPr>
      <w:r w:rsidRPr="00267222">
        <w:rPr>
          <w:rFonts w:ascii="Times New Roman" w:eastAsia="Times New Roman" w:hAnsi="Times New Roman" w:cs="Times New Roman"/>
          <w:b/>
          <w:sz w:val="26"/>
          <w:szCs w:val="26"/>
          <w:u w:val="single"/>
        </w:rPr>
        <w:t xml:space="preserve">CONCLUSION </w:t>
      </w:r>
    </w:p>
    <w:p w14:paraId="6A9123AA" w14:textId="77777777" w:rsidR="0006137D" w:rsidRDefault="0006137D" w:rsidP="00C96180">
      <w:pPr>
        <w:pStyle w:val="NoSpacing"/>
        <w:keepNext/>
        <w:spacing w:line="360" w:lineRule="auto"/>
        <w:contextualSpacing/>
        <w:rPr>
          <w:rFonts w:ascii="Times New Roman" w:eastAsia="Times New Roman" w:hAnsi="Times New Roman" w:cs="Times New Roman"/>
          <w:b/>
          <w:sz w:val="26"/>
          <w:szCs w:val="26"/>
          <w:u w:val="single"/>
        </w:rPr>
      </w:pPr>
    </w:p>
    <w:p w14:paraId="55BFE3F7" w14:textId="77777777" w:rsidR="00E920CB" w:rsidRDefault="00F17D85" w:rsidP="00627915">
      <w:pPr>
        <w:spacing w:after="0" w:line="360" w:lineRule="auto"/>
        <w:ind w:firstLine="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This Order sets forth the </w:t>
      </w:r>
      <w:r w:rsidR="00B6031D">
        <w:rPr>
          <w:rFonts w:ascii="Times New Roman" w:eastAsia="Times New Roman" w:hAnsi="Times New Roman" w:cs="Times New Roman"/>
          <w:sz w:val="26"/>
          <w:szCs w:val="26"/>
        </w:rPr>
        <w:t xml:space="preserve">results of our energy burden study as detailed in the </w:t>
      </w:r>
      <w:r w:rsidR="00A4624A">
        <w:rPr>
          <w:rFonts w:ascii="Times New Roman" w:eastAsia="Times New Roman" w:hAnsi="Times New Roman" w:cs="Times New Roman"/>
          <w:sz w:val="26"/>
          <w:szCs w:val="26"/>
        </w:rPr>
        <w:t>Staff Report</w:t>
      </w:r>
      <w:r w:rsidR="006521AD">
        <w:rPr>
          <w:rFonts w:ascii="Times New Roman" w:eastAsia="Times New Roman" w:hAnsi="Times New Roman" w:cs="Times New Roman"/>
          <w:sz w:val="26"/>
          <w:szCs w:val="26"/>
        </w:rPr>
        <w:t xml:space="preserve"> and</w:t>
      </w:r>
      <w:r w:rsidR="00874896">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calls for comments from stakeholders</w:t>
      </w:r>
      <w:r w:rsidR="00962478">
        <w:rPr>
          <w:rFonts w:ascii="Times New Roman" w:eastAsia="Times New Roman" w:hAnsi="Times New Roman" w:cs="Times New Roman"/>
          <w:sz w:val="26"/>
          <w:szCs w:val="26"/>
        </w:rPr>
        <w:t xml:space="preserve"> on points addressed in this Order </w:t>
      </w:r>
      <w:r w:rsidR="00970A8E">
        <w:rPr>
          <w:rFonts w:ascii="Times New Roman" w:eastAsia="Times New Roman" w:hAnsi="Times New Roman" w:cs="Times New Roman"/>
          <w:sz w:val="26"/>
          <w:szCs w:val="26"/>
        </w:rPr>
        <w:t>and in the Report</w:t>
      </w:r>
      <w:r w:rsidRPr="00267222">
        <w:rPr>
          <w:rFonts w:ascii="Times New Roman" w:eastAsia="Times New Roman" w:hAnsi="Times New Roman" w:cs="Times New Roman"/>
          <w:sz w:val="26"/>
          <w:szCs w:val="26"/>
        </w:rPr>
        <w:t>.</w:t>
      </w:r>
      <w:r w:rsidR="003904C9">
        <w:rPr>
          <w:rFonts w:ascii="Times New Roman" w:eastAsia="Times New Roman" w:hAnsi="Times New Roman" w:cs="Times New Roman"/>
          <w:sz w:val="26"/>
          <w:szCs w:val="26"/>
        </w:rPr>
        <w:t xml:space="preserve">  </w:t>
      </w:r>
    </w:p>
    <w:p w14:paraId="40DD993A" w14:textId="77777777" w:rsidR="00E920CB" w:rsidRDefault="00E920CB" w:rsidP="00627915">
      <w:pPr>
        <w:spacing w:after="0" w:line="360" w:lineRule="auto"/>
        <w:ind w:firstLine="720"/>
        <w:contextualSpacing/>
        <w:rPr>
          <w:rFonts w:ascii="Times New Roman" w:eastAsia="Times New Roman" w:hAnsi="Times New Roman" w:cs="Times New Roman"/>
          <w:sz w:val="26"/>
          <w:szCs w:val="26"/>
        </w:rPr>
      </w:pPr>
    </w:p>
    <w:p w14:paraId="3886064A" w14:textId="1239EA22" w:rsidR="00627915" w:rsidRPr="00627915" w:rsidRDefault="003904C9" w:rsidP="00627915">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970A8E">
        <w:rPr>
          <w:rFonts w:ascii="Times New Roman" w:eastAsia="Times New Roman" w:hAnsi="Times New Roman" w:cs="Times New Roman"/>
          <w:sz w:val="26"/>
          <w:szCs w:val="26"/>
        </w:rPr>
        <w:t xml:space="preserve">he NGDCs </w:t>
      </w:r>
      <w:r w:rsidR="00681935">
        <w:rPr>
          <w:rFonts w:ascii="Times New Roman" w:eastAsia="Times New Roman" w:hAnsi="Times New Roman" w:cs="Times New Roman"/>
          <w:sz w:val="26"/>
          <w:szCs w:val="26"/>
        </w:rPr>
        <w:t xml:space="preserve">and EDCs </w:t>
      </w:r>
      <w:r w:rsidR="00BD1B67">
        <w:rPr>
          <w:rFonts w:ascii="Times New Roman" w:eastAsia="Times New Roman" w:hAnsi="Times New Roman" w:cs="Times New Roman"/>
          <w:sz w:val="26"/>
          <w:szCs w:val="26"/>
        </w:rPr>
        <w:t xml:space="preserve">covered in the Report are directed to </w:t>
      </w:r>
      <w:r w:rsidR="00F17D85" w:rsidRPr="00267222">
        <w:rPr>
          <w:rFonts w:ascii="Times New Roman" w:eastAsia="Times New Roman" w:hAnsi="Times New Roman" w:cs="Times New Roman"/>
          <w:sz w:val="26"/>
          <w:szCs w:val="26"/>
        </w:rPr>
        <w:t xml:space="preserve">address the following points in their </w:t>
      </w:r>
      <w:r w:rsidR="00BD1B67">
        <w:rPr>
          <w:rFonts w:ascii="Times New Roman" w:eastAsia="Times New Roman" w:hAnsi="Times New Roman" w:cs="Times New Roman"/>
          <w:sz w:val="26"/>
          <w:szCs w:val="26"/>
        </w:rPr>
        <w:t xml:space="preserve">comments and </w:t>
      </w:r>
      <w:r w:rsidR="00E920CB">
        <w:rPr>
          <w:rFonts w:ascii="Times New Roman" w:eastAsia="Times New Roman" w:hAnsi="Times New Roman" w:cs="Times New Roman"/>
          <w:sz w:val="26"/>
          <w:szCs w:val="26"/>
        </w:rPr>
        <w:t xml:space="preserve">provide </w:t>
      </w:r>
      <w:r w:rsidR="00F17D85" w:rsidRPr="00267222">
        <w:rPr>
          <w:rFonts w:ascii="Times New Roman" w:eastAsia="Times New Roman" w:hAnsi="Times New Roman" w:cs="Times New Roman"/>
          <w:sz w:val="26"/>
          <w:szCs w:val="26"/>
        </w:rPr>
        <w:t xml:space="preserve">supplemental information </w:t>
      </w:r>
      <w:r w:rsidR="00833302">
        <w:rPr>
          <w:rFonts w:ascii="Times New Roman" w:eastAsia="Times New Roman" w:hAnsi="Times New Roman" w:cs="Times New Roman"/>
          <w:sz w:val="26"/>
          <w:szCs w:val="26"/>
        </w:rPr>
        <w:t>and data</w:t>
      </w:r>
      <w:r w:rsidR="003B31A0">
        <w:rPr>
          <w:rFonts w:ascii="Times New Roman" w:eastAsia="Times New Roman" w:hAnsi="Times New Roman" w:cs="Times New Roman"/>
          <w:sz w:val="26"/>
          <w:szCs w:val="26"/>
        </w:rPr>
        <w:t>,</w:t>
      </w:r>
      <w:r w:rsidR="00833302">
        <w:rPr>
          <w:rFonts w:ascii="Times New Roman" w:eastAsia="Times New Roman" w:hAnsi="Times New Roman" w:cs="Times New Roman"/>
          <w:sz w:val="26"/>
          <w:szCs w:val="26"/>
        </w:rPr>
        <w:t xml:space="preserve"> </w:t>
      </w:r>
      <w:r w:rsidR="00F17D85" w:rsidRPr="00267222">
        <w:rPr>
          <w:rFonts w:ascii="Times New Roman" w:eastAsia="Times New Roman" w:hAnsi="Times New Roman" w:cs="Times New Roman"/>
          <w:sz w:val="26"/>
          <w:szCs w:val="26"/>
        </w:rPr>
        <w:t>consistent with the discussion and directions herein</w:t>
      </w:r>
      <w:r w:rsidR="00950740">
        <w:rPr>
          <w:rFonts w:ascii="Times New Roman" w:eastAsia="Times New Roman" w:hAnsi="Times New Roman" w:cs="Times New Roman"/>
          <w:sz w:val="26"/>
          <w:szCs w:val="26"/>
        </w:rPr>
        <w:t>.</w:t>
      </w:r>
      <w:r w:rsidR="00F17D85" w:rsidRPr="00267222">
        <w:rPr>
          <w:rFonts w:ascii="Times New Roman" w:eastAsia="Times New Roman" w:hAnsi="Times New Roman" w:cs="Times New Roman"/>
          <w:sz w:val="26"/>
          <w:szCs w:val="26"/>
        </w:rPr>
        <w:t xml:space="preserve">  </w:t>
      </w:r>
      <w:r w:rsidR="00CB2A6B">
        <w:rPr>
          <w:rFonts w:ascii="Times New Roman" w:eastAsia="Times New Roman" w:hAnsi="Times New Roman" w:cs="Times New Roman"/>
          <w:sz w:val="26"/>
          <w:szCs w:val="26"/>
        </w:rPr>
        <w:t xml:space="preserve">The utilities need to provide the methodologies for </w:t>
      </w:r>
      <w:r w:rsidR="001662CA">
        <w:rPr>
          <w:rFonts w:ascii="Times New Roman" w:eastAsia="Times New Roman" w:hAnsi="Times New Roman" w:cs="Times New Roman"/>
          <w:sz w:val="26"/>
          <w:szCs w:val="26"/>
        </w:rPr>
        <w:t>their forecasts and projections.</w:t>
      </w:r>
    </w:p>
    <w:p w14:paraId="4BFB42AE" w14:textId="77777777" w:rsidR="00ED4C44" w:rsidRDefault="00ED4C44" w:rsidP="00F17D85">
      <w:pPr>
        <w:spacing w:after="0" w:line="360" w:lineRule="auto"/>
        <w:ind w:firstLine="720"/>
        <w:contextualSpacing/>
        <w:rPr>
          <w:rFonts w:ascii="Times New Roman" w:eastAsia="Times New Roman" w:hAnsi="Times New Roman" w:cs="Times New Roman"/>
          <w:sz w:val="26"/>
          <w:szCs w:val="26"/>
        </w:rPr>
      </w:pPr>
    </w:p>
    <w:p w14:paraId="21DF30D8" w14:textId="77777777" w:rsidR="007720AA" w:rsidRPr="00FF4E0E" w:rsidRDefault="007720AA" w:rsidP="007720AA">
      <w:pPr>
        <w:numPr>
          <w:ilvl w:val="0"/>
          <w:numId w:val="9"/>
        </w:numPr>
        <w:spacing w:after="0" w:line="360" w:lineRule="auto"/>
        <w:contextualSpacing/>
        <w:rPr>
          <w:rFonts w:ascii="Times New Roman" w:eastAsia="Times New Roman" w:hAnsi="Times New Roman" w:cs="Times New Roman"/>
          <w:sz w:val="26"/>
          <w:szCs w:val="26"/>
        </w:rPr>
      </w:pPr>
      <w:r>
        <w:rPr>
          <w:rFonts w:ascii="Times New Roman" w:hAnsi="Times New Roman" w:cs="Times New Roman"/>
          <w:sz w:val="26"/>
          <w:szCs w:val="26"/>
        </w:rPr>
        <w:t>Review the 10% energy burden projections in the Report.  If the utilities have corrected or updated data for 2012 to 2016, the revised data should be provided as supplemental information.</w:t>
      </w:r>
    </w:p>
    <w:p w14:paraId="0A618445" w14:textId="77777777" w:rsidR="007720AA" w:rsidRDefault="007720AA" w:rsidP="007720AA">
      <w:pPr>
        <w:spacing w:after="0" w:line="360" w:lineRule="auto"/>
        <w:ind w:left="720"/>
        <w:contextualSpacing/>
        <w:rPr>
          <w:rFonts w:ascii="Times New Roman" w:eastAsia="Times New Roman" w:hAnsi="Times New Roman" w:cs="Times New Roman"/>
          <w:sz w:val="26"/>
          <w:szCs w:val="26"/>
        </w:rPr>
      </w:pPr>
    </w:p>
    <w:p w14:paraId="0C2BF390" w14:textId="0F4A5D7A" w:rsidR="00985CD6" w:rsidRPr="00FF4E0E" w:rsidRDefault="00C30A26" w:rsidP="00D10507">
      <w:pPr>
        <w:numPr>
          <w:ilvl w:val="0"/>
          <w:numId w:val="9"/>
        </w:numPr>
        <w:spacing w:after="0" w:line="360" w:lineRule="auto"/>
        <w:contextualSpacing/>
        <w:rPr>
          <w:rFonts w:ascii="Times New Roman" w:eastAsia="Times New Roman" w:hAnsi="Times New Roman" w:cs="Times New Roman"/>
          <w:sz w:val="26"/>
          <w:szCs w:val="26"/>
        </w:rPr>
      </w:pPr>
      <w:r w:rsidRPr="00C30A26">
        <w:rPr>
          <w:rFonts w:ascii="Times New Roman" w:eastAsia="Calibri" w:hAnsi="Times New Roman" w:cs="Times New Roman"/>
          <w:sz w:val="26"/>
          <w:szCs w:val="26"/>
        </w:rPr>
        <w:t xml:space="preserve">Provide cost </w:t>
      </w:r>
      <w:r w:rsidR="00476A9B">
        <w:rPr>
          <w:rFonts w:ascii="Times New Roman" w:eastAsia="Calibri" w:hAnsi="Times New Roman" w:cs="Times New Roman"/>
          <w:sz w:val="26"/>
          <w:szCs w:val="26"/>
        </w:rPr>
        <w:t>forecast</w:t>
      </w:r>
      <w:r w:rsidR="00183EB2">
        <w:rPr>
          <w:rFonts w:ascii="Times New Roman" w:eastAsia="Calibri" w:hAnsi="Times New Roman" w:cs="Times New Roman"/>
          <w:sz w:val="26"/>
          <w:szCs w:val="26"/>
        </w:rPr>
        <w:t>s</w:t>
      </w:r>
      <w:r w:rsidR="00476A9B">
        <w:rPr>
          <w:rFonts w:ascii="Times New Roman" w:eastAsia="Calibri" w:hAnsi="Times New Roman" w:cs="Times New Roman"/>
          <w:sz w:val="26"/>
          <w:szCs w:val="26"/>
        </w:rPr>
        <w:t xml:space="preserve"> </w:t>
      </w:r>
      <w:r w:rsidRPr="00C30A26">
        <w:rPr>
          <w:rFonts w:ascii="Times New Roman" w:eastAsia="Calibri" w:hAnsi="Times New Roman" w:cs="Times New Roman"/>
          <w:sz w:val="26"/>
          <w:szCs w:val="26"/>
        </w:rPr>
        <w:t>based on a 10% maximum energy burden for 201</w:t>
      </w:r>
      <w:r w:rsidR="0039285B">
        <w:rPr>
          <w:rFonts w:ascii="Times New Roman" w:eastAsia="Calibri" w:hAnsi="Times New Roman" w:cs="Times New Roman"/>
          <w:sz w:val="26"/>
          <w:szCs w:val="26"/>
        </w:rPr>
        <w:t>7</w:t>
      </w:r>
      <w:r w:rsidRPr="00C30A26">
        <w:rPr>
          <w:rFonts w:ascii="Times New Roman" w:eastAsia="Calibri" w:hAnsi="Times New Roman" w:cs="Times New Roman"/>
          <w:sz w:val="26"/>
          <w:szCs w:val="26"/>
        </w:rPr>
        <w:t xml:space="preserve"> </w:t>
      </w:r>
      <w:r w:rsidR="00AF1F41">
        <w:rPr>
          <w:rFonts w:ascii="Times New Roman" w:eastAsia="Calibri" w:hAnsi="Times New Roman" w:cs="Times New Roman"/>
          <w:sz w:val="26"/>
          <w:szCs w:val="26"/>
        </w:rPr>
        <w:t>through 2021</w:t>
      </w:r>
      <w:r w:rsidRPr="00C30A26">
        <w:rPr>
          <w:rFonts w:ascii="Times New Roman" w:eastAsia="Times New Roman" w:hAnsi="Times New Roman" w:cs="Times New Roman"/>
          <w:color w:val="0D0D0D"/>
          <w:sz w:val="26"/>
          <w:szCs w:val="26"/>
        </w:rPr>
        <w:t xml:space="preserve">. </w:t>
      </w:r>
      <w:r w:rsidRPr="00C30A26">
        <w:rPr>
          <w:rFonts w:ascii="Times New Roman" w:eastAsia="Calibri" w:hAnsi="Times New Roman" w:cs="Times New Roman"/>
          <w:sz w:val="26"/>
          <w:szCs w:val="26"/>
        </w:rPr>
        <w:t xml:space="preserve"> Include costs associated with system changes, CAP credits</w:t>
      </w:r>
      <w:r w:rsidR="002534E0">
        <w:rPr>
          <w:rFonts w:ascii="Times New Roman" w:eastAsia="Calibri" w:hAnsi="Times New Roman" w:cs="Times New Roman"/>
          <w:sz w:val="26"/>
          <w:szCs w:val="26"/>
        </w:rPr>
        <w:t xml:space="preserve"> (overall increases and decreases)</w:t>
      </w:r>
      <w:r w:rsidRPr="00C30A26">
        <w:rPr>
          <w:rFonts w:ascii="Times New Roman" w:eastAsia="Calibri" w:hAnsi="Times New Roman" w:cs="Times New Roman"/>
          <w:sz w:val="26"/>
          <w:szCs w:val="26"/>
        </w:rPr>
        <w:t xml:space="preserve">, </w:t>
      </w:r>
      <w:r w:rsidR="001662CA">
        <w:rPr>
          <w:rFonts w:ascii="Times New Roman" w:eastAsia="Calibri" w:hAnsi="Times New Roman" w:cs="Times New Roman"/>
          <w:sz w:val="26"/>
          <w:szCs w:val="26"/>
        </w:rPr>
        <w:t>PPAs and in</w:t>
      </w:r>
      <w:r w:rsidR="00DB0670">
        <w:rPr>
          <w:rFonts w:ascii="Times New Roman" w:eastAsia="Calibri" w:hAnsi="Times New Roman" w:cs="Times New Roman"/>
          <w:sz w:val="26"/>
          <w:szCs w:val="26"/>
        </w:rPr>
        <w:t xml:space="preserve">-program </w:t>
      </w:r>
      <w:r w:rsidRPr="00C30A26">
        <w:rPr>
          <w:rFonts w:ascii="Times New Roman" w:eastAsia="Calibri" w:hAnsi="Times New Roman" w:cs="Times New Roman"/>
          <w:sz w:val="26"/>
          <w:szCs w:val="26"/>
        </w:rPr>
        <w:t xml:space="preserve">arrearages, and any other incurred costs that would contribute to such a change. </w:t>
      </w:r>
      <w:r w:rsidR="00DD1FA4">
        <w:rPr>
          <w:rFonts w:ascii="Times New Roman" w:eastAsia="Calibri" w:hAnsi="Times New Roman" w:cs="Times New Roman"/>
          <w:sz w:val="26"/>
          <w:szCs w:val="26"/>
        </w:rPr>
        <w:t xml:space="preserve"> </w:t>
      </w:r>
      <w:r w:rsidR="00992901">
        <w:rPr>
          <w:rFonts w:ascii="Times New Roman" w:eastAsia="Calibri" w:hAnsi="Times New Roman" w:cs="Times New Roman"/>
          <w:sz w:val="26"/>
          <w:szCs w:val="26"/>
        </w:rPr>
        <w:t>Ide</w:t>
      </w:r>
      <w:r w:rsidR="009B3DC1">
        <w:rPr>
          <w:rFonts w:ascii="Times New Roman" w:eastAsia="Calibri" w:hAnsi="Times New Roman" w:cs="Times New Roman"/>
          <w:sz w:val="26"/>
          <w:szCs w:val="26"/>
        </w:rPr>
        <w:t>n</w:t>
      </w:r>
      <w:r w:rsidR="00992901">
        <w:rPr>
          <w:rFonts w:ascii="Times New Roman" w:eastAsia="Calibri" w:hAnsi="Times New Roman" w:cs="Times New Roman"/>
          <w:sz w:val="26"/>
          <w:szCs w:val="26"/>
        </w:rPr>
        <w:t>tif</w:t>
      </w:r>
      <w:r w:rsidR="009B3DC1">
        <w:rPr>
          <w:rFonts w:ascii="Times New Roman" w:eastAsia="Calibri" w:hAnsi="Times New Roman" w:cs="Times New Roman"/>
          <w:sz w:val="26"/>
          <w:szCs w:val="26"/>
        </w:rPr>
        <w:t>y and t</w:t>
      </w:r>
      <w:r w:rsidR="005D1D46">
        <w:rPr>
          <w:rFonts w:ascii="Times New Roman" w:eastAsia="Calibri" w:hAnsi="Times New Roman" w:cs="Times New Roman"/>
          <w:sz w:val="26"/>
          <w:szCs w:val="26"/>
        </w:rPr>
        <w:t xml:space="preserve">ake into account the </w:t>
      </w:r>
      <w:r w:rsidR="009170F0">
        <w:rPr>
          <w:rFonts w:ascii="Times New Roman" w:eastAsia="Calibri" w:hAnsi="Times New Roman" w:cs="Times New Roman"/>
          <w:sz w:val="26"/>
          <w:szCs w:val="26"/>
        </w:rPr>
        <w:t xml:space="preserve">cost savings from </w:t>
      </w:r>
      <w:r w:rsidR="005D1D46">
        <w:rPr>
          <w:rFonts w:ascii="Times New Roman" w:eastAsia="Calibri" w:hAnsi="Times New Roman" w:cs="Times New Roman"/>
          <w:sz w:val="26"/>
          <w:szCs w:val="26"/>
        </w:rPr>
        <w:t xml:space="preserve">customers who would pay more under a 10% percent of income CAP.  </w:t>
      </w:r>
      <w:r w:rsidR="00715048">
        <w:rPr>
          <w:rFonts w:ascii="Times New Roman" w:eastAsia="Calibri" w:hAnsi="Times New Roman" w:cs="Times New Roman"/>
          <w:sz w:val="26"/>
          <w:szCs w:val="26"/>
        </w:rPr>
        <w:t>I</w:t>
      </w:r>
      <w:r w:rsidR="00715048">
        <w:rPr>
          <w:rFonts w:ascii="Times New Roman" w:hAnsi="Times New Roman" w:cs="Times New Roman"/>
          <w:sz w:val="26"/>
          <w:szCs w:val="26"/>
        </w:rPr>
        <w:t xml:space="preserve">ndicate potential </w:t>
      </w:r>
      <w:r w:rsidR="00DB0670">
        <w:rPr>
          <w:rFonts w:ascii="Times New Roman" w:hAnsi="Times New Roman" w:cs="Times New Roman"/>
          <w:sz w:val="26"/>
          <w:szCs w:val="26"/>
        </w:rPr>
        <w:t xml:space="preserve">impact </w:t>
      </w:r>
      <w:r w:rsidR="00715048">
        <w:rPr>
          <w:rFonts w:ascii="Times New Roman" w:hAnsi="Times New Roman" w:cs="Times New Roman"/>
          <w:sz w:val="26"/>
          <w:szCs w:val="26"/>
        </w:rPr>
        <w:t>to uncollectible balances</w:t>
      </w:r>
      <w:r w:rsidR="00565315">
        <w:rPr>
          <w:rFonts w:ascii="Times New Roman" w:hAnsi="Times New Roman" w:cs="Times New Roman"/>
          <w:sz w:val="26"/>
          <w:szCs w:val="26"/>
        </w:rPr>
        <w:t xml:space="preserve"> and collection costs</w:t>
      </w:r>
      <w:r w:rsidR="00715048">
        <w:rPr>
          <w:rFonts w:ascii="Times New Roman" w:hAnsi="Times New Roman" w:cs="Times New Roman"/>
          <w:sz w:val="26"/>
          <w:szCs w:val="26"/>
        </w:rPr>
        <w:t>.</w:t>
      </w:r>
      <w:r w:rsidR="00695F95">
        <w:rPr>
          <w:rFonts w:ascii="Times New Roman" w:hAnsi="Times New Roman" w:cs="Times New Roman"/>
          <w:sz w:val="26"/>
          <w:szCs w:val="26"/>
        </w:rPr>
        <w:t xml:space="preserve">  </w:t>
      </w:r>
      <w:r w:rsidR="00663AEC" w:rsidRPr="004A7699">
        <w:rPr>
          <w:rFonts w:ascii="Times New Roman" w:eastAsia="Times New Roman" w:hAnsi="Times New Roman" w:cs="Times New Roman"/>
          <w:sz w:val="26"/>
          <w:szCs w:val="26"/>
        </w:rPr>
        <w:t>Cost estimates should be based on a percent of income CAP payment model</w:t>
      </w:r>
      <w:r w:rsidR="009803BF">
        <w:rPr>
          <w:rFonts w:ascii="Times New Roman" w:eastAsia="Times New Roman" w:hAnsi="Times New Roman" w:cs="Times New Roman"/>
          <w:sz w:val="26"/>
          <w:szCs w:val="26"/>
        </w:rPr>
        <w:t>.</w:t>
      </w:r>
      <w:r w:rsidR="00663AEC">
        <w:rPr>
          <w:rFonts w:ascii="Times New Roman" w:eastAsia="Times New Roman" w:hAnsi="Times New Roman" w:cs="Times New Roman"/>
          <w:sz w:val="26"/>
          <w:szCs w:val="26"/>
        </w:rPr>
        <w:t xml:space="preserve"> </w:t>
      </w:r>
      <w:r w:rsidR="009803BF">
        <w:rPr>
          <w:rFonts w:ascii="Times New Roman" w:eastAsia="Times New Roman" w:hAnsi="Times New Roman" w:cs="Times New Roman"/>
          <w:sz w:val="26"/>
          <w:szCs w:val="26"/>
        </w:rPr>
        <w:t xml:space="preserve"> </w:t>
      </w:r>
      <w:r w:rsidR="009803BF">
        <w:rPr>
          <w:rFonts w:ascii="Times New Roman" w:hAnsi="Times New Roman" w:cs="Times New Roman"/>
          <w:sz w:val="26"/>
          <w:szCs w:val="26"/>
        </w:rPr>
        <w:lastRenderedPageBreak/>
        <w:t>Companies may also compare whether rate discount or other CAP payment options may be more cost-effective to achieve the maximum 10% energy burdens.</w:t>
      </w:r>
    </w:p>
    <w:p w14:paraId="5E6A4684" w14:textId="77777777" w:rsidR="00985CD6" w:rsidRPr="00FF4E0E" w:rsidRDefault="00985CD6" w:rsidP="00FF4E0E">
      <w:pPr>
        <w:spacing w:after="0" w:line="360" w:lineRule="auto"/>
        <w:ind w:left="720"/>
        <w:contextualSpacing/>
        <w:rPr>
          <w:rFonts w:ascii="Times New Roman" w:eastAsia="Times New Roman" w:hAnsi="Times New Roman" w:cs="Times New Roman"/>
          <w:sz w:val="26"/>
          <w:szCs w:val="26"/>
        </w:rPr>
      </w:pPr>
    </w:p>
    <w:p w14:paraId="6C72B356" w14:textId="759798A2" w:rsidR="00E902F1" w:rsidRPr="00E902F1" w:rsidRDefault="00EE517C" w:rsidP="00E902F1">
      <w:pPr>
        <w:numPr>
          <w:ilvl w:val="0"/>
          <w:numId w:val="9"/>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If applicable, p</w:t>
      </w:r>
      <w:r w:rsidR="00F36988" w:rsidRPr="004D4CC0">
        <w:rPr>
          <w:rFonts w:ascii="Times New Roman" w:eastAsia="Times New Roman" w:hAnsi="Times New Roman" w:cs="Times New Roman"/>
          <w:sz w:val="26"/>
          <w:szCs w:val="26"/>
        </w:rPr>
        <w:t>rovide</w:t>
      </w:r>
      <w:r w:rsidR="00F154C8">
        <w:rPr>
          <w:rFonts w:ascii="Times New Roman" w:eastAsia="Times New Roman" w:hAnsi="Times New Roman" w:cs="Times New Roman"/>
          <w:sz w:val="26"/>
          <w:szCs w:val="26"/>
        </w:rPr>
        <w:t xml:space="preserve"> known data and estimates</w:t>
      </w:r>
      <w:r w:rsidR="00F36988" w:rsidRPr="004D4CC0">
        <w:rPr>
          <w:rFonts w:ascii="Times New Roman" w:eastAsia="Times New Roman" w:hAnsi="Times New Roman" w:cs="Times New Roman"/>
          <w:sz w:val="26"/>
          <w:szCs w:val="26"/>
        </w:rPr>
        <w:t xml:space="preserve"> of the impact </w:t>
      </w:r>
      <w:r w:rsidR="005B35D6">
        <w:rPr>
          <w:rFonts w:ascii="Times New Roman" w:eastAsia="Times New Roman" w:hAnsi="Times New Roman" w:cs="Times New Roman"/>
          <w:sz w:val="26"/>
          <w:szCs w:val="26"/>
        </w:rPr>
        <w:t xml:space="preserve">on </w:t>
      </w:r>
      <w:r w:rsidR="00D0519E">
        <w:rPr>
          <w:rFonts w:ascii="Times New Roman" w:eastAsia="Times New Roman" w:hAnsi="Times New Roman" w:cs="Times New Roman"/>
          <w:sz w:val="26"/>
          <w:szCs w:val="26"/>
        </w:rPr>
        <w:t xml:space="preserve">CAP </w:t>
      </w:r>
      <w:r w:rsidR="005B35D6">
        <w:rPr>
          <w:rFonts w:ascii="Times New Roman" w:eastAsia="Times New Roman" w:hAnsi="Times New Roman" w:cs="Times New Roman"/>
          <w:sz w:val="26"/>
          <w:szCs w:val="26"/>
        </w:rPr>
        <w:t xml:space="preserve">enrollments and </w:t>
      </w:r>
      <w:r w:rsidR="00D0519E">
        <w:rPr>
          <w:rFonts w:ascii="Times New Roman" w:eastAsia="Times New Roman" w:hAnsi="Times New Roman" w:cs="Times New Roman"/>
          <w:sz w:val="26"/>
          <w:szCs w:val="26"/>
        </w:rPr>
        <w:t xml:space="preserve">costs </w:t>
      </w:r>
      <w:r w:rsidR="00F154C8" w:rsidRPr="004D4CC0">
        <w:rPr>
          <w:rFonts w:ascii="Times New Roman" w:eastAsia="Times New Roman" w:hAnsi="Times New Roman" w:cs="Times New Roman"/>
          <w:sz w:val="26"/>
          <w:szCs w:val="26"/>
        </w:rPr>
        <w:t xml:space="preserve">for the years 2017 </w:t>
      </w:r>
      <w:r w:rsidR="00F154C8">
        <w:rPr>
          <w:rFonts w:ascii="Times New Roman" w:eastAsia="Times New Roman" w:hAnsi="Times New Roman" w:cs="Times New Roman"/>
          <w:sz w:val="26"/>
          <w:szCs w:val="26"/>
        </w:rPr>
        <w:t xml:space="preserve">through 2021 </w:t>
      </w:r>
      <w:r w:rsidR="00F36988" w:rsidRPr="004D4CC0">
        <w:rPr>
          <w:rFonts w:ascii="Times New Roman" w:eastAsia="Times New Roman" w:hAnsi="Times New Roman" w:cs="Times New Roman"/>
          <w:sz w:val="26"/>
          <w:szCs w:val="26"/>
        </w:rPr>
        <w:t xml:space="preserve">if </w:t>
      </w:r>
      <w:r w:rsidR="00875F52">
        <w:rPr>
          <w:rFonts w:ascii="Times New Roman" w:eastAsia="Times New Roman" w:hAnsi="Times New Roman" w:cs="Times New Roman"/>
          <w:sz w:val="26"/>
          <w:szCs w:val="26"/>
        </w:rPr>
        <w:t>the requirement that</w:t>
      </w:r>
      <w:r w:rsidR="00AE127B">
        <w:rPr>
          <w:rFonts w:ascii="Times New Roman" w:eastAsia="Times New Roman" w:hAnsi="Times New Roman" w:cs="Times New Roman"/>
          <w:sz w:val="26"/>
          <w:szCs w:val="26"/>
        </w:rPr>
        <w:t xml:space="preserve"> low-income customers must be payment-troubled to enroll in CAPs is</w:t>
      </w:r>
      <w:r w:rsidR="00F36988" w:rsidRPr="004D4CC0">
        <w:rPr>
          <w:rFonts w:ascii="Times New Roman" w:eastAsia="Times New Roman" w:hAnsi="Times New Roman" w:cs="Times New Roman"/>
          <w:sz w:val="26"/>
          <w:szCs w:val="26"/>
        </w:rPr>
        <w:t xml:space="preserve"> eliminated</w:t>
      </w:r>
      <w:r w:rsidR="007F06CE">
        <w:rPr>
          <w:rFonts w:ascii="Times New Roman" w:eastAsia="Times New Roman" w:hAnsi="Times New Roman" w:cs="Times New Roman"/>
          <w:sz w:val="26"/>
          <w:szCs w:val="26"/>
        </w:rPr>
        <w:t>.</w:t>
      </w:r>
      <w:r w:rsidR="007219FD">
        <w:rPr>
          <w:rFonts w:ascii="Times New Roman" w:eastAsia="Times New Roman" w:hAnsi="Times New Roman" w:cs="Times New Roman"/>
          <w:sz w:val="26"/>
          <w:szCs w:val="26"/>
        </w:rPr>
        <w:t xml:space="preserve">  Th</w:t>
      </w:r>
      <w:r w:rsidR="00067140">
        <w:rPr>
          <w:rFonts w:ascii="Times New Roman" w:eastAsia="Times New Roman" w:hAnsi="Times New Roman" w:cs="Times New Roman"/>
          <w:sz w:val="26"/>
          <w:szCs w:val="26"/>
        </w:rPr>
        <w:t>ese</w:t>
      </w:r>
      <w:r w:rsidR="007219FD">
        <w:rPr>
          <w:rFonts w:ascii="Times New Roman" w:eastAsia="Times New Roman" w:hAnsi="Times New Roman" w:cs="Times New Roman"/>
          <w:sz w:val="26"/>
          <w:szCs w:val="26"/>
        </w:rPr>
        <w:t xml:space="preserve"> </w:t>
      </w:r>
      <w:r w:rsidR="00F36988" w:rsidRPr="004D4CC0">
        <w:rPr>
          <w:rFonts w:ascii="Times New Roman" w:eastAsia="Times New Roman" w:hAnsi="Times New Roman" w:cs="Times New Roman"/>
          <w:sz w:val="26"/>
          <w:szCs w:val="26"/>
        </w:rPr>
        <w:t xml:space="preserve">will be separate </w:t>
      </w:r>
      <w:r w:rsidR="002A3C84">
        <w:rPr>
          <w:rFonts w:ascii="Times New Roman" w:eastAsia="Times New Roman" w:hAnsi="Times New Roman" w:cs="Times New Roman"/>
          <w:sz w:val="26"/>
          <w:szCs w:val="26"/>
        </w:rPr>
        <w:t xml:space="preserve">enrollment and cost </w:t>
      </w:r>
      <w:r w:rsidR="000423CD">
        <w:rPr>
          <w:rFonts w:ascii="Times New Roman" w:eastAsia="Times New Roman" w:hAnsi="Times New Roman" w:cs="Times New Roman"/>
          <w:sz w:val="26"/>
          <w:szCs w:val="26"/>
        </w:rPr>
        <w:t>forecast</w:t>
      </w:r>
      <w:r w:rsidR="00067140">
        <w:rPr>
          <w:rFonts w:ascii="Times New Roman" w:eastAsia="Times New Roman" w:hAnsi="Times New Roman" w:cs="Times New Roman"/>
          <w:sz w:val="26"/>
          <w:szCs w:val="26"/>
        </w:rPr>
        <w:t>s</w:t>
      </w:r>
      <w:r w:rsidR="00963D40">
        <w:rPr>
          <w:rFonts w:ascii="Times New Roman" w:eastAsia="Times New Roman" w:hAnsi="Times New Roman" w:cs="Times New Roman"/>
          <w:sz w:val="26"/>
          <w:szCs w:val="26"/>
        </w:rPr>
        <w:t>, in addition to</w:t>
      </w:r>
      <w:r w:rsidR="00F36988" w:rsidRPr="004D4CC0">
        <w:rPr>
          <w:rFonts w:ascii="Times New Roman" w:eastAsia="Times New Roman" w:hAnsi="Times New Roman" w:cs="Times New Roman"/>
          <w:sz w:val="26"/>
          <w:szCs w:val="26"/>
        </w:rPr>
        <w:t xml:space="preserve"> the 10% projection</w:t>
      </w:r>
      <w:r w:rsidR="00067140">
        <w:rPr>
          <w:rFonts w:ascii="Times New Roman" w:eastAsia="Times New Roman" w:hAnsi="Times New Roman" w:cs="Times New Roman"/>
          <w:sz w:val="26"/>
          <w:szCs w:val="26"/>
        </w:rPr>
        <w:t>s</w:t>
      </w:r>
      <w:r w:rsidR="00F36988" w:rsidRPr="004D4CC0">
        <w:rPr>
          <w:rFonts w:ascii="Times New Roman" w:eastAsia="Times New Roman" w:hAnsi="Times New Roman" w:cs="Times New Roman"/>
          <w:sz w:val="26"/>
          <w:szCs w:val="26"/>
        </w:rPr>
        <w:t xml:space="preserve"> for the years 2017</w:t>
      </w:r>
      <w:r w:rsidR="000169FE">
        <w:rPr>
          <w:rFonts w:ascii="Times New Roman" w:eastAsia="Times New Roman" w:hAnsi="Times New Roman" w:cs="Times New Roman"/>
          <w:sz w:val="26"/>
          <w:szCs w:val="26"/>
        </w:rPr>
        <w:t xml:space="preserve"> through 2021</w:t>
      </w:r>
      <w:r w:rsidR="002A3C84">
        <w:rPr>
          <w:rFonts w:ascii="Times New Roman" w:eastAsia="Times New Roman" w:hAnsi="Times New Roman" w:cs="Times New Roman"/>
          <w:sz w:val="26"/>
          <w:szCs w:val="26"/>
        </w:rPr>
        <w:t xml:space="preserve"> requested above</w:t>
      </w:r>
      <w:r w:rsidR="00B61435">
        <w:rPr>
          <w:rFonts w:ascii="Times New Roman" w:eastAsia="Times New Roman" w:hAnsi="Times New Roman" w:cs="Times New Roman"/>
          <w:sz w:val="26"/>
          <w:szCs w:val="26"/>
        </w:rPr>
        <w:t>.</w:t>
      </w:r>
    </w:p>
    <w:p w14:paraId="224E51E7" w14:textId="77777777" w:rsidR="007B260D" w:rsidRDefault="007B260D" w:rsidP="00C07736">
      <w:pPr>
        <w:pStyle w:val="ListParagraph"/>
        <w:rPr>
          <w:sz w:val="26"/>
          <w:szCs w:val="26"/>
        </w:rPr>
      </w:pPr>
    </w:p>
    <w:p w14:paraId="3C18E678" w14:textId="788E74AA" w:rsidR="007B260D" w:rsidRPr="009803BF" w:rsidRDefault="007B260D" w:rsidP="009803BF">
      <w:pPr>
        <w:numPr>
          <w:ilvl w:val="0"/>
          <w:numId w:val="9"/>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Provide</w:t>
      </w:r>
      <w:r w:rsidR="006B1452">
        <w:rPr>
          <w:rFonts w:ascii="Times New Roman" w:eastAsia="Times New Roman" w:hAnsi="Times New Roman" w:cs="Times New Roman"/>
          <w:sz w:val="26"/>
          <w:szCs w:val="26"/>
        </w:rPr>
        <w:t xml:space="preserve"> monthly customer tallies for all CAP customers claiming zero income</w:t>
      </w:r>
      <w:r w:rsidR="00F26C44">
        <w:rPr>
          <w:rFonts w:ascii="Times New Roman" w:eastAsia="Times New Roman" w:hAnsi="Times New Roman" w:cs="Times New Roman"/>
          <w:sz w:val="26"/>
          <w:szCs w:val="26"/>
        </w:rPr>
        <w:t xml:space="preserve"> in</w:t>
      </w:r>
      <w:r w:rsidR="00476DE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2016</w:t>
      </w:r>
      <w:r w:rsidR="00D0519E">
        <w:rPr>
          <w:rFonts w:ascii="Times New Roman" w:eastAsia="Times New Roman" w:hAnsi="Times New Roman" w:cs="Times New Roman"/>
          <w:sz w:val="26"/>
          <w:szCs w:val="26"/>
        </w:rPr>
        <w:t xml:space="preserve"> and</w:t>
      </w:r>
      <w:r>
        <w:rPr>
          <w:rFonts w:ascii="Times New Roman" w:eastAsia="Times New Roman" w:hAnsi="Times New Roman" w:cs="Times New Roman"/>
          <w:sz w:val="26"/>
          <w:szCs w:val="26"/>
        </w:rPr>
        <w:t xml:space="preserve"> 2017</w:t>
      </w:r>
      <w:r w:rsidDel="00F26C4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broken out </w:t>
      </w:r>
      <w:r w:rsidR="00F26C44">
        <w:rPr>
          <w:rFonts w:ascii="Times New Roman" w:eastAsia="Times New Roman" w:hAnsi="Times New Roman" w:cs="Times New Roman"/>
          <w:sz w:val="26"/>
          <w:szCs w:val="26"/>
        </w:rPr>
        <w:t>by heating type</w:t>
      </w:r>
      <w:r w:rsidR="00CA6DF3">
        <w:rPr>
          <w:rFonts w:ascii="Times New Roman" w:eastAsia="Times New Roman" w:hAnsi="Times New Roman" w:cs="Times New Roman"/>
          <w:sz w:val="26"/>
          <w:szCs w:val="26"/>
        </w:rPr>
        <w:t xml:space="preserve">, if possible.  This information should also be provided </w:t>
      </w:r>
      <w:r w:rsidR="00F92B8A">
        <w:rPr>
          <w:rFonts w:ascii="Times New Roman" w:eastAsia="Times New Roman" w:hAnsi="Times New Roman" w:cs="Times New Roman"/>
          <w:sz w:val="26"/>
          <w:szCs w:val="26"/>
        </w:rPr>
        <w:t xml:space="preserve">as part of </w:t>
      </w:r>
      <w:r w:rsidR="00F43991">
        <w:rPr>
          <w:rFonts w:ascii="Times New Roman" w:eastAsia="Times New Roman" w:hAnsi="Times New Roman" w:cs="Times New Roman"/>
          <w:sz w:val="26"/>
          <w:szCs w:val="26"/>
        </w:rPr>
        <w:t>each utility’s</w:t>
      </w:r>
      <w:r w:rsidR="00F92B8A">
        <w:rPr>
          <w:rFonts w:ascii="Times New Roman" w:eastAsia="Times New Roman" w:hAnsi="Times New Roman" w:cs="Times New Roman"/>
          <w:sz w:val="26"/>
          <w:szCs w:val="26"/>
        </w:rPr>
        <w:t xml:space="preserve"> </w:t>
      </w:r>
      <w:r w:rsidR="00F43991">
        <w:rPr>
          <w:rFonts w:ascii="Times New Roman" w:eastAsia="Times New Roman" w:hAnsi="Times New Roman" w:cs="Times New Roman"/>
          <w:sz w:val="26"/>
          <w:szCs w:val="26"/>
        </w:rPr>
        <w:t>2018 Universal Service Reporting</w:t>
      </w:r>
      <w:r w:rsidR="00986F1C">
        <w:rPr>
          <w:rFonts w:ascii="Times New Roman" w:eastAsia="Times New Roman" w:hAnsi="Times New Roman" w:cs="Times New Roman"/>
          <w:sz w:val="26"/>
          <w:szCs w:val="26"/>
        </w:rPr>
        <w:t xml:space="preserve"> in a separa</w:t>
      </w:r>
      <w:r w:rsidR="00AC1E0C">
        <w:rPr>
          <w:rFonts w:ascii="Times New Roman" w:eastAsia="Times New Roman" w:hAnsi="Times New Roman" w:cs="Times New Roman"/>
          <w:sz w:val="26"/>
          <w:szCs w:val="26"/>
        </w:rPr>
        <w:t>te spreadsheet.</w:t>
      </w:r>
    </w:p>
    <w:p w14:paraId="676F9AA9" w14:textId="77777777" w:rsidR="00776065" w:rsidRDefault="00776065" w:rsidP="00CA650E">
      <w:pPr>
        <w:pStyle w:val="NoSpacing"/>
        <w:tabs>
          <w:tab w:val="left" w:pos="720"/>
        </w:tabs>
        <w:spacing w:line="360" w:lineRule="auto"/>
        <w:contextualSpacing/>
        <w:rPr>
          <w:rFonts w:ascii="Times New Roman" w:eastAsia="Times New Roman" w:hAnsi="Times New Roman" w:cs="Times New Roman"/>
          <w:sz w:val="26"/>
          <w:szCs w:val="26"/>
        </w:rPr>
      </w:pPr>
    </w:p>
    <w:p w14:paraId="43A506E5" w14:textId="6DD68BFD" w:rsidR="009561BA" w:rsidRDefault="009561BA" w:rsidP="00CA650E">
      <w:pPr>
        <w:pStyle w:val="NoSpacing"/>
        <w:tabs>
          <w:tab w:val="left" w:pos="720"/>
        </w:tabs>
        <w:spacing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Staff will convene a stakeholder meeting on </w:t>
      </w:r>
      <w:r w:rsidR="00AC1E0C">
        <w:rPr>
          <w:rFonts w:ascii="Times New Roman" w:eastAsia="Times New Roman" w:hAnsi="Times New Roman" w:cs="Times New Roman"/>
          <w:sz w:val="26"/>
          <w:szCs w:val="26"/>
        </w:rPr>
        <w:t>February 6, 2019</w:t>
      </w:r>
      <w:r w:rsidR="00325CF3">
        <w:rPr>
          <w:rFonts w:ascii="Times New Roman" w:eastAsia="Times New Roman" w:hAnsi="Times New Roman" w:cs="Times New Roman"/>
          <w:sz w:val="26"/>
          <w:szCs w:val="26"/>
        </w:rPr>
        <w:t xml:space="preserve">, at the Commission office in Harrisburg, Pennsylvania, </w:t>
      </w:r>
      <w:r>
        <w:rPr>
          <w:rFonts w:ascii="Times New Roman" w:eastAsia="Times New Roman" w:hAnsi="Times New Roman" w:cs="Times New Roman"/>
          <w:sz w:val="26"/>
          <w:szCs w:val="26"/>
        </w:rPr>
        <w:t xml:space="preserve">to </w:t>
      </w:r>
      <w:r w:rsidR="00EB3341">
        <w:rPr>
          <w:rFonts w:ascii="Times New Roman" w:eastAsia="Times New Roman" w:hAnsi="Times New Roman" w:cs="Times New Roman"/>
          <w:sz w:val="26"/>
          <w:szCs w:val="26"/>
        </w:rPr>
        <w:t xml:space="preserve">allow discussion among the stakeholders and staff prior to the due date for comments.  </w:t>
      </w:r>
    </w:p>
    <w:p w14:paraId="2260969A" w14:textId="77777777" w:rsidR="009561BA" w:rsidRPr="007D6AF3" w:rsidRDefault="009561BA" w:rsidP="007D6AF3">
      <w:pPr>
        <w:pStyle w:val="NoSpacing"/>
        <w:spacing w:line="360" w:lineRule="auto"/>
        <w:contextualSpacing/>
        <w:rPr>
          <w:rFonts w:ascii="Times New Roman" w:eastAsia="Times New Roman" w:hAnsi="Times New Roman" w:cs="Times New Roman"/>
          <w:sz w:val="26"/>
          <w:szCs w:val="26"/>
        </w:rPr>
      </w:pPr>
    </w:p>
    <w:p w14:paraId="548F8350" w14:textId="5CF22518" w:rsidR="000B4F97" w:rsidRPr="007D6AF3" w:rsidRDefault="003C0A4D" w:rsidP="007D6AF3">
      <w:pPr>
        <w:pStyle w:val="NoSpacing"/>
        <w:spacing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26B50" w:rsidRPr="00426B50">
        <w:rPr>
          <w:rFonts w:ascii="Times New Roman" w:eastAsia="Times New Roman" w:hAnsi="Times New Roman" w:cs="Times New Roman"/>
          <w:sz w:val="26"/>
          <w:szCs w:val="26"/>
        </w:rPr>
        <w:t>N</w:t>
      </w:r>
      <w:r w:rsidR="00426B50">
        <w:rPr>
          <w:rFonts w:ascii="Times New Roman" w:eastAsia="Times New Roman" w:hAnsi="Times New Roman" w:cs="Times New Roman"/>
          <w:sz w:val="26"/>
          <w:szCs w:val="26"/>
        </w:rPr>
        <w:t>GDC and EDC</w:t>
      </w:r>
      <w:r w:rsidR="00426B50" w:rsidRPr="00426B50">
        <w:rPr>
          <w:rFonts w:ascii="Times New Roman" w:eastAsia="Times New Roman" w:hAnsi="Times New Roman" w:cs="Times New Roman"/>
          <w:sz w:val="26"/>
          <w:szCs w:val="26"/>
        </w:rPr>
        <w:t xml:space="preserve"> supplemental information must be filed and served on or before </w:t>
      </w:r>
      <w:r w:rsidR="00426B50">
        <w:rPr>
          <w:rFonts w:ascii="Times New Roman" w:eastAsia="Times New Roman" w:hAnsi="Times New Roman" w:cs="Times New Roman"/>
          <w:sz w:val="26"/>
          <w:szCs w:val="26"/>
        </w:rPr>
        <w:t>th</w:t>
      </w:r>
      <w:r w:rsidR="00903145">
        <w:rPr>
          <w:rFonts w:ascii="Times New Roman" w:eastAsia="Times New Roman" w:hAnsi="Times New Roman" w:cs="Times New Roman"/>
          <w:sz w:val="26"/>
          <w:szCs w:val="26"/>
        </w:rPr>
        <w:t>irty</w:t>
      </w:r>
      <w:r w:rsidR="00426B50" w:rsidRPr="00426B50">
        <w:rPr>
          <w:rFonts w:ascii="Times New Roman" w:eastAsia="Times New Roman" w:hAnsi="Times New Roman" w:cs="Times New Roman"/>
          <w:sz w:val="26"/>
          <w:szCs w:val="26"/>
        </w:rPr>
        <w:t xml:space="preserve"> (</w:t>
      </w:r>
      <w:r w:rsidR="00903145">
        <w:rPr>
          <w:rFonts w:ascii="Times New Roman" w:eastAsia="Times New Roman" w:hAnsi="Times New Roman" w:cs="Times New Roman"/>
          <w:sz w:val="26"/>
          <w:szCs w:val="26"/>
        </w:rPr>
        <w:t>3</w:t>
      </w:r>
      <w:r w:rsidR="00426B50" w:rsidRPr="00426B50">
        <w:rPr>
          <w:rFonts w:ascii="Times New Roman" w:eastAsia="Times New Roman" w:hAnsi="Times New Roman" w:cs="Times New Roman"/>
          <w:sz w:val="26"/>
          <w:szCs w:val="26"/>
        </w:rPr>
        <w:t xml:space="preserve">0) days after the entry of this Order.  Comments are due twenty (20) days after </w:t>
      </w:r>
      <w:r w:rsidR="00903145">
        <w:rPr>
          <w:rFonts w:ascii="Times New Roman" w:eastAsia="Times New Roman" w:hAnsi="Times New Roman" w:cs="Times New Roman"/>
          <w:sz w:val="26"/>
          <w:szCs w:val="26"/>
        </w:rPr>
        <w:t>the utilities’</w:t>
      </w:r>
      <w:r w:rsidR="00426B50" w:rsidRPr="00426B50">
        <w:rPr>
          <w:rFonts w:ascii="Times New Roman" w:eastAsia="Times New Roman" w:hAnsi="Times New Roman" w:cs="Times New Roman"/>
          <w:sz w:val="26"/>
          <w:szCs w:val="26"/>
        </w:rPr>
        <w:t xml:space="preserve"> supplemental information filing deadline</w:t>
      </w:r>
      <w:r w:rsidR="00504AF9">
        <w:rPr>
          <w:rFonts w:ascii="Times New Roman" w:eastAsia="Times New Roman" w:hAnsi="Times New Roman" w:cs="Times New Roman"/>
          <w:sz w:val="26"/>
          <w:szCs w:val="26"/>
        </w:rPr>
        <w:t xml:space="preserve"> </w:t>
      </w:r>
      <w:r w:rsidR="00426B50" w:rsidRPr="00426B50">
        <w:rPr>
          <w:rFonts w:ascii="Times New Roman" w:eastAsia="Times New Roman" w:hAnsi="Times New Roman" w:cs="Times New Roman"/>
          <w:sz w:val="26"/>
          <w:szCs w:val="26"/>
        </w:rPr>
        <w:t>and reply comments are due fifteen (15) days thereafter.</w:t>
      </w:r>
      <w:r>
        <w:rPr>
          <w:rFonts w:ascii="Times New Roman" w:eastAsia="Times New Roman" w:hAnsi="Times New Roman" w:cs="Times New Roman"/>
          <w:sz w:val="26"/>
          <w:szCs w:val="26"/>
        </w:rPr>
        <w:t xml:space="preserve">  </w:t>
      </w:r>
    </w:p>
    <w:p w14:paraId="20AD6F1A" w14:textId="77777777" w:rsidR="000B4F97" w:rsidRPr="007D6AF3" w:rsidRDefault="000B4F97" w:rsidP="007D6AF3">
      <w:pPr>
        <w:pStyle w:val="NoSpacing"/>
        <w:spacing w:line="360" w:lineRule="auto"/>
        <w:contextualSpacing/>
        <w:rPr>
          <w:rFonts w:ascii="Times New Roman" w:eastAsia="Times New Roman" w:hAnsi="Times New Roman" w:cs="Times New Roman"/>
          <w:sz w:val="26"/>
          <w:szCs w:val="26"/>
        </w:rPr>
      </w:pPr>
    </w:p>
    <w:p w14:paraId="32BA6E4D" w14:textId="3F251704" w:rsidR="00E56428" w:rsidRDefault="00E56428" w:rsidP="00545CEE">
      <w:pPr>
        <w:pStyle w:val="NoSpacing"/>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Staff will convene a </w:t>
      </w:r>
      <w:r w:rsidR="00BD4761">
        <w:rPr>
          <w:rFonts w:ascii="Times New Roman" w:eastAsia="Times New Roman" w:hAnsi="Times New Roman" w:cs="Times New Roman"/>
          <w:sz w:val="26"/>
          <w:szCs w:val="26"/>
        </w:rPr>
        <w:t xml:space="preserve">USR Working Group by </w:t>
      </w:r>
      <w:r w:rsidR="005F6C64">
        <w:rPr>
          <w:rFonts w:ascii="Times New Roman" w:eastAsia="Times New Roman" w:hAnsi="Times New Roman" w:cs="Times New Roman"/>
          <w:sz w:val="26"/>
          <w:szCs w:val="26"/>
        </w:rPr>
        <w:t>July</w:t>
      </w:r>
      <w:r w:rsidR="00A35523">
        <w:rPr>
          <w:rFonts w:ascii="Times New Roman" w:eastAsia="Times New Roman" w:hAnsi="Times New Roman" w:cs="Times New Roman"/>
          <w:sz w:val="26"/>
          <w:szCs w:val="26"/>
        </w:rPr>
        <w:t xml:space="preserve"> </w:t>
      </w:r>
      <w:r w:rsidR="00BD4761">
        <w:rPr>
          <w:rFonts w:ascii="Times New Roman" w:eastAsia="Times New Roman" w:hAnsi="Times New Roman" w:cs="Times New Roman"/>
          <w:sz w:val="26"/>
          <w:szCs w:val="26"/>
        </w:rPr>
        <w:t xml:space="preserve">31, 2019, and </w:t>
      </w:r>
      <w:r w:rsidR="00545CEE">
        <w:rPr>
          <w:rFonts w:ascii="Times New Roman" w:eastAsia="Times New Roman" w:hAnsi="Times New Roman" w:cs="Times New Roman"/>
          <w:sz w:val="26"/>
          <w:szCs w:val="26"/>
        </w:rPr>
        <w:t>submit</w:t>
      </w:r>
      <w:r w:rsidR="00C81BBC">
        <w:rPr>
          <w:rFonts w:ascii="Times New Roman" w:eastAsia="Times New Roman" w:hAnsi="Times New Roman" w:cs="Times New Roman"/>
          <w:sz w:val="26"/>
          <w:szCs w:val="26"/>
        </w:rPr>
        <w:t>,</w:t>
      </w:r>
      <w:r w:rsidR="00545CEE">
        <w:rPr>
          <w:rFonts w:ascii="Times New Roman" w:eastAsia="Times New Roman" w:hAnsi="Times New Roman" w:cs="Times New Roman"/>
          <w:sz w:val="26"/>
          <w:szCs w:val="26"/>
        </w:rPr>
        <w:t xml:space="preserve"> for our review</w:t>
      </w:r>
      <w:r w:rsidR="00C81BBC">
        <w:rPr>
          <w:rFonts w:ascii="Times New Roman" w:eastAsia="Times New Roman" w:hAnsi="Times New Roman" w:cs="Times New Roman"/>
          <w:sz w:val="26"/>
          <w:szCs w:val="26"/>
        </w:rPr>
        <w:t>,</w:t>
      </w:r>
      <w:r w:rsidR="00545CEE">
        <w:rPr>
          <w:rFonts w:ascii="Times New Roman" w:eastAsia="Times New Roman" w:hAnsi="Times New Roman" w:cs="Times New Roman"/>
          <w:sz w:val="26"/>
          <w:szCs w:val="26"/>
        </w:rPr>
        <w:t xml:space="preserve"> a consensus/</w:t>
      </w:r>
      <w:r w:rsidR="004369EE">
        <w:rPr>
          <w:rFonts w:ascii="Times New Roman" w:eastAsia="Times New Roman" w:hAnsi="Times New Roman" w:cs="Times New Roman"/>
          <w:sz w:val="26"/>
          <w:szCs w:val="26"/>
        </w:rPr>
        <w:t>non-consensus</w:t>
      </w:r>
      <w:r w:rsidR="00545CEE">
        <w:rPr>
          <w:rFonts w:ascii="Times New Roman" w:eastAsia="Times New Roman" w:hAnsi="Times New Roman" w:cs="Times New Roman"/>
          <w:sz w:val="26"/>
          <w:szCs w:val="26"/>
        </w:rPr>
        <w:t xml:space="preserve"> document by</w:t>
      </w:r>
      <w:r w:rsidR="00746988">
        <w:rPr>
          <w:rFonts w:ascii="Times New Roman" w:eastAsia="Times New Roman" w:hAnsi="Times New Roman" w:cs="Times New Roman"/>
          <w:sz w:val="26"/>
          <w:szCs w:val="26"/>
        </w:rPr>
        <w:t xml:space="preserve"> January 31</w:t>
      </w:r>
      <w:r w:rsidR="00545CEE">
        <w:rPr>
          <w:rFonts w:ascii="Times New Roman" w:eastAsia="Times New Roman" w:hAnsi="Times New Roman" w:cs="Times New Roman"/>
          <w:sz w:val="26"/>
          <w:szCs w:val="26"/>
        </w:rPr>
        <w:t>, 20</w:t>
      </w:r>
      <w:r w:rsidR="00746988">
        <w:rPr>
          <w:rFonts w:ascii="Times New Roman" w:eastAsia="Times New Roman" w:hAnsi="Times New Roman" w:cs="Times New Roman"/>
          <w:sz w:val="26"/>
          <w:szCs w:val="26"/>
        </w:rPr>
        <w:t>20</w:t>
      </w:r>
      <w:r w:rsidR="00545CEE">
        <w:rPr>
          <w:rFonts w:ascii="Times New Roman" w:eastAsia="Times New Roman" w:hAnsi="Times New Roman" w:cs="Times New Roman"/>
          <w:sz w:val="26"/>
          <w:szCs w:val="26"/>
        </w:rPr>
        <w:t xml:space="preserve">.  </w:t>
      </w:r>
      <w:r w:rsidR="0018614B">
        <w:rPr>
          <w:rFonts w:ascii="Times New Roman" w:eastAsia="Times New Roman" w:hAnsi="Times New Roman" w:cs="Times New Roman"/>
          <w:color w:val="0D0D0D"/>
          <w:sz w:val="26"/>
          <w:szCs w:val="26"/>
        </w:rPr>
        <w:t>NGDCs and the EDCs shall p</w:t>
      </w:r>
      <w:r w:rsidR="0018614B" w:rsidRPr="00057993">
        <w:rPr>
          <w:rFonts w:ascii="Times New Roman" w:eastAsia="Times New Roman" w:hAnsi="Times New Roman" w:cs="Times New Roman"/>
          <w:color w:val="0D0D0D"/>
          <w:sz w:val="26"/>
          <w:szCs w:val="26"/>
        </w:rPr>
        <w:t xml:space="preserve">articipate in </w:t>
      </w:r>
      <w:r w:rsidR="0018614B">
        <w:rPr>
          <w:rFonts w:ascii="Times New Roman" w:eastAsia="Times New Roman" w:hAnsi="Times New Roman" w:cs="Times New Roman"/>
          <w:color w:val="0D0D0D"/>
          <w:sz w:val="26"/>
          <w:szCs w:val="26"/>
        </w:rPr>
        <w:t xml:space="preserve">the USR </w:t>
      </w:r>
      <w:r w:rsidR="0018614B" w:rsidRPr="00057993">
        <w:rPr>
          <w:rFonts w:ascii="Times New Roman" w:eastAsia="Times New Roman" w:hAnsi="Times New Roman" w:cs="Times New Roman"/>
          <w:color w:val="0D0D0D"/>
          <w:sz w:val="26"/>
          <w:szCs w:val="26"/>
        </w:rPr>
        <w:t>working group</w:t>
      </w:r>
      <w:r w:rsidR="0018614B">
        <w:rPr>
          <w:rFonts w:ascii="Times New Roman" w:eastAsia="Times New Roman" w:hAnsi="Times New Roman" w:cs="Times New Roman"/>
          <w:color w:val="0D0D0D"/>
          <w:sz w:val="26"/>
          <w:szCs w:val="26"/>
        </w:rPr>
        <w:t>.  Other stakeholders may participate.</w:t>
      </w:r>
    </w:p>
    <w:p w14:paraId="35265205" w14:textId="77777777" w:rsidR="00E56428" w:rsidRPr="007D6AF3" w:rsidRDefault="00E56428" w:rsidP="00E56428">
      <w:pPr>
        <w:pStyle w:val="NoSpacing"/>
        <w:spacing w:line="360" w:lineRule="auto"/>
        <w:contextualSpacing/>
        <w:rPr>
          <w:rFonts w:ascii="Times New Roman" w:eastAsia="Times New Roman" w:hAnsi="Times New Roman" w:cs="Times New Roman"/>
          <w:sz w:val="26"/>
          <w:szCs w:val="26"/>
        </w:rPr>
      </w:pPr>
    </w:p>
    <w:p w14:paraId="388C0685" w14:textId="66710535" w:rsidR="000B4F97" w:rsidRPr="007D6AF3" w:rsidRDefault="00F022F2" w:rsidP="007D6AF3">
      <w:pPr>
        <w:pStyle w:val="NoSpacing"/>
        <w:spacing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26B55">
        <w:rPr>
          <w:rFonts w:ascii="Times New Roman" w:hAnsi="Times New Roman" w:cs="Times New Roman"/>
          <w:sz w:val="26"/>
          <w:szCs w:val="26"/>
        </w:rPr>
        <w:t xml:space="preserve">We note that the staff observations are subject to revision, addition, or deletion, prior to any potential finalization.  We will determine the appropriate means for </w:t>
      </w:r>
      <w:r w:rsidR="00226B55">
        <w:rPr>
          <w:rFonts w:ascii="Times New Roman" w:hAnsi="Times New Roman" w:cs="Times New Roman"/>
          <w:sz w:val="26"/>
          <w:szCs w:val="26"/>
        </w:rPr>
        <w:lastRenderedPageBreak/>
        <w:t xml:space="preserve">implementation of any changes predicated in whole or in part on the study or the Report regardless of whether any </w:t>
      </w:r>
      <w:r w:rsidR="00710986">
        <w:rPr>
          <w:rFonts w:ascii="Times New Roman" w:hAnsi="Times New Roman" w:cs="Times New Roman"/>
          <w:sz w:val="26"/>
          <w:szCs w:val="26"/>
        </w:rPr>
        <w:t xml:space="preserve">such </w:t>
      </w:r>
      <w:r w:rsidR="00226B55">
        <w:rPr>
          <w:rFonts w:ascii="Times New Roman" w:hAnsi="Times New Roman" w:cs="Times New Roman"/>
          <w:sz w:val="26"/>
          <w:szCs w:val="26"/>
        </w:rPr>
        <w:t xml:space="preserve">changes are adopted at this or other dockets.  </w:t>
      </w:r>
    </w:p>
    <w:p w14:paraId="6EE3007E" w14:textId="77777777" w:rsidR="000B4F97" w:rsidRPr="007D6AF3" w:rsidRDefault="000B4F97" w:rsidP="007D6AF3">
      <w:pPr>
        <w:pStyle w:val="NoSpacing"/>
        <w:spacing w:line="360" w:lineRule="auto"/>
        <w:contextualSpacing/>
        <w:rPr>
          <w:rFonts w:ascii="Times New Roman" w:eastAsia="Times New Roman" w:hAnsi="Times New Roman" w:cs="Times New Roman"/>
          <w:sz w:val="26"/>
          <w:szCs w:val="26"/>
        </w:rPr>
      </w:pPr>
    </w:p>
    <w:p w14:paraId="1596DC5C" w14:textId="77777777" w:rsidR="000B4F97" w:rsidRDefault="000B2531" w:rsidP="002B5959">
      <w:pPr>
        <w:pStyle w:val="NoSpacing"/>
        <w:keepNext/>
        <w:spacing w:line="360" w:lineRule="auto"/>
        <w:contextualSpacing/>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IT IS ORDERED:</w:t>
      </w:r>
    </w:p>
    <w:p w14:paraId="57906F31" w14:textId="77777777" w:rsidR="000B4F97" w:rsidRPr="000677BE" w:rsidRDefault="000B4F97" w:rsidP="002B5959">
      <w:pPr>
        <w:pStyle w:val="NoSpacing"/>
        <w:keepNext/>
        <w:spacing w:line="360" w:lineRule="auto"/>
        <w:contextualSpacing/>
        <w:rPr>
          <w:rFonts w:ascii="Times New Roman" w:hAnsi="Times New Roman" w:cs="Times New Roman"/>
          <w:sz w:val="26"/>
          <w:szCs w:val="26"/>
        </w:rPr>
      </w:pPr>
    </w:p>
    <w:p w14:paraId="1059E157" w14:textId="52C47A04" w:rsidR="00CB2321" w:rsidRDefault="0042550D" w:rsidP="003155DF">
      <w:pPr>
        <w:pStyle w:val="NoSpacing"/>
        <w:numPr>
          <w:ilvl w:val="0"/>
          <w:numId w:val="6"/>
        </w:numPr>
        <w:spacing w:line="360" w:lineRule="auto"/>
        <w:ind w:left="0" w:firstLine="720"/>
        <w:contextualSpacing/>
        <w:rPr>
          <w:rFonts w:ascii="Times New Roman" w:hAnsi="Times New Roman" w:cs="Times New Roman"/>
          <w:sz w:val="26"/>
          <w:szCs w:val="26"/>
        </w:rPr>
      </w:pPr>
      <w:r>
        <w:rPr>
          <w:rFonts w:ascii="Times New Roman" w:hAnsi="Times New Roman" w:cs="Times New Roman"/>
          <w:sz w:val="26"/>
          <w:szCs w:val="26"/>
        </w:rPr>
        <w:t xml:space="preserve">That the Commission </w:t>
      </w:r>
      <w:r w:rsidR="00CB2321">
        <w:rPr>
          <w:rFonts w:ascii="Times New Roman" w:hAnsi="Times New Roman" w:cs="Times New Roman"/>
          <w:sz w:val="26"/>
          <w:szCs w:val="26"/>
        </w:rPr>
        <w:t xml:space="preserve">hereby </w:t>
      </w:r>
      <w:r>
        <w:rPr>
          <w:rFonts w:ascii="Times New Roman" w:hAnsi="Times New Roman" w:cs="Times New Roman"/>
          <w:sz w:val="26"/>
          <w:szCs w:val="26"/>
        </w:rPr>
        <w:t>release</w:t>
      </w:r>
      <w:r w:rsidR="00CB2321">
        <w:rPr>
          <w:rFonts w:ascii="Times New Roman" w:hAnsi="Times New Roman" w:cs="Times New Roman"/>
          <w:sz w:val="26"/>
          <w:szCs w:val="26"/>
        </w:rPr>
        <w:t>s</w:t>
      </w:r>
      <w:r>
        <w:rPr>
          <w:rFonts w:ascii="Times New Roman" w:hAnsi="Times New Roman" w:cs="Times New Roman"/>
          <w:sz w:val="26"/>
          <w:szCs w:val="26"/>
        </w:rPr>
        <w:t xml:space="preserve"> the</w:t>
      </w:r>
      <w:r w:rsidR="00CB2321">
        <w:rPr>
          <w:rFonts w:ascii="Times New Roman" w:hAnsi="Times New Roman" w:cs="Times New Roman"/>
          <w:sz w:val="26"/>
          <w:szCs w:val="26"/>
        </w:rPr>
        <w:t xml:space="preserve"> staff </w:t>
      </w:r>
      <w:r w:rsidR="007D0FEC">
        <w:rPr>
          <w:rFonts w:ascii="Times New Roman" w:hAnsi="Times New Roman" w:cs="Times New Roman"/>
          <w:sz w:val="26"/>
          <w:szCs w:val="26"/>
        </w:rPr>
        <w:t>R</w:t>
      </w:r>
      <w:r w:rsidR="00CB2321">
        <w:rPr>
          <w:rFonts w:ascii="Times New Roman" w:hAnsi="Times New Roman" w:cs="Times New Roman"/>
          <w:sz w:val="26"/>
          <w:szCs w:val="26"/>
        </w:rPr>
        <w:t>eport</w:t>
      </w:r>
      <w:r>
        <w:rPr>
          <w:rFonts w:ascii="Times New Roman" w:hAnsi="Times New Roman" w:cs="Times New Roman"/>
          <w:sz w:val="26"/>
          <w:szCs w:val="26"/>
        </w:rPr>
        <w:t xml:space="preserve"> </w:t>
      </w:r>
      <w:r w:rsidR="007D0FEC">
        <w:rPr>
          <w:rFonts w:ascii="Times New Roman" w:hAnsi="Times New Roman" w:cs="Times New Roman"/>
          <w:sz w:val="26"/>
          <w:szCs w:val="26"/>
        </w:rPr>
        <w:t>“</w:t>
      </w:r>
      <w:r w:rsidR="009B14A9" w:rsidRPr="000F552B">
        <w:rPr>
          <w:rFonts w:ascii="Times New Roman" w:hAnsi="Times New Roman" w:cs="Times New Roman"/>
          <w:i/>
          <w:sz w:val="26"/>
          <w:szCs w:val="26"/>
        </w:rPr>
        <w:t>Home Energy Affordability for Low-Income Customers in Pennsylvania</w:t>
      </w:r>
      <w:r w:rsidR="00CB2321">
        <w:rPr>
          <w:rFonts w:ascii="Times New Roman" w:hAnsi="Times New Roman" w:cs="Times New Roman"/>
          <w:sz w:val="26"/>
          <w:szCs w:val="26"/>
        </w:rPr>
        <w:t>.</w:t>
      </w:r>
      <w:r w:rsidR="007D0FEC">
        <w:rPr>
          <w:rFonts w:ascii="Times New Roman" w:hAnsi="Times New Roman" w:cs="Times New Roman"/>
          <w:sz w:val="26"/>
          <w:szCs w:val="26"/>
        </w:rPr>
        <w:t>”</w:t>
      </w:r>
    </w:p>
    <w:p w14:paraId="663EF67A" w14:textId="77777777" w:rsidR="000E2AAA" w:rsidRDefault="000E2AAA" w:rsidP="003155DF">
      <w:pPr>
        <w:pStyle w:val="NoSpacing"/>
        <w:spacing w:line="360" w:lineRule="auto"/>
        <w:ind w:firstLine="720"/>
        <w:contextualSpacing/>
        <w:rPr>
          <w:rFonts w:ascii="Times New Roman" w:hAnsi="Times New Roman" w:cs="Times New Roman"/>
          <w:sz w:val="26"/>
          <w:szCs w:val="26"/>
        </w:rPr>
      </w:pPr>
    </w:p>
    <w:p w14:paraId="668F53E0" w14:textId="4689214D" w:rsidR="0042550D" w:rsidRDefault="00052C27" w:rsidP="003155DF">
      <w:pPr>
        <w:pStyle w:val="NoSpacing"/>
        <w:numPr>
          <w:ilvl w:val="0"/>
          <w:numId w:val="6"/>
        </w:numPr>
        <w:spacing w:line="360" w:lineRule="auto"/>
        <w:ind w:left="0" w:firstLine="720"/>
        <w:contextualSpacing/>
        <w:rPr>
          <w:rFonts w:ascii="Times New Roman" w:hAnsi="Times New Roman" w:cs="Times New Roman"/>
          <w:sz w:val="26"/>
          <w:szCs w:val="26"/>
        </w:rPr>
      </w:pPr>
      <w:r w:rsidRPr="00050D93">
        <w:rPr>
          <w:rFonts w:ascii="Times New Roman" w:eastAsia="Times New Roman" w:hAnsi="Times New Roman" w:cs="Times New Roman"/>
          <w:sz w:val="26"/>
          <w:szCs w:val="26"/>
        </w:rPr>
        <w:t xml:space="preserve">That the </w:t>
      </w:r>
      <w:r>
        <w:rPr>
          <w:rFonts w:ascii="Times New Roman" w:eastAsia="Times New Roman" w:hAnsi="Times New Roman" w:cs="Times New Roman"/>
          <w:sz w:val="26"/>
          <w:szCs w:val="26"/>
        </w:rPr>
        <w:t>Law Bureau shall deposit notice</w:t>
      </w:r>
      <w:r>
        <w:rPr>
          <w:rFonts w:ascii="Times New Roman" w:hAnsi="Times New Roman" w:cs="Times New Roman"/>
          <w:sz w:val="26"/>
          <w:szCs w:val="26"/>
        </w:rPr>
        <w:t xml:space="preserve"> of this Order and the Report </w:t>
      </w:r>
      <w:r w:rsidRPr="00050D93">
        <w:rPr>
          <w:rFonts w:ascii="Times New Roman" w:eastAsia="Times New Roman" w:hAnsi="Times New Roman" w:cs="Times New Roman"/>
          <w:sz w:val="26"/>
          <w:szCs w:val="26"/>
        </w:rPr>
        <w:t xml:space="preserve">with the Legislative Reference Bureau to </w:t>
      </w:r>
      <w:r>
        <w:rPr>
          <w:rFonts w:ascii="Times New Roman" w:hAnsi="Times New Roman" w:cs="Times New Roman"/>
          <w:sz w:val="26"/>
          <w:szCs w:val="26"/>
        </w:rPr>
        <w:t xml:space="preserve">be published in the </w:t>
      </w:r>
      <w:r w:rsidRPr="00BA1A33">
        <w:rPr>
          <w:rFonts w:ascii="Times New Roman" w:hAnsi="Times New Roman" w:cs="Times New Roman"/>
          <w:i/>
          <w:sz w:val="26"/>
          <w:szCs w:val="26"/>
        </w:rPr>
        <w:t>Pennsylvania Bulletin</w:t>
      </w:r>
      <w:r>
        <w:rPr>
          <w:rFonts w:ascii="Times New Roman" w:hAnsi="Times New Roman" w:cs="Times New Roman"/>
          <w:sz w:val="26"/>
          <w:szCs w:val="26"/>
        </w:rPr>
        <w:t>.</w:t>
      </w:r>
    </w:p>
    <w:p w14:paraId="7BB56411" w14:textId="77777777" w:rsidR="000E2AAA" w:rsidRDefault="000E2AAA" w:rsidP="003155DF">
      <w:pPr>
        <w:pStyle w:val="ListParagraph"/>
        <w:ind w:left="0" w:firstLine="720"/>
        <w:rPr>
          <w:sz w:val="26"/>
          <w:szCs w:val="26"/>
        </w:rPr>
      </w:pPr>
    </w:p>
    <w:p w14:paraId="3477EF01" w14:textId="5B33CFD4" w:rsidR="003C64B4" w:rsidRDefault="003574BF" w:rsidP="009771ED">
      <w:pPr>
        <w:pStyle w:val="NoSpacing"/>
        <w:numPr>
          <w:ilvl w:val="0"/>
          <w:numId w:val="6"/>
        </w:numPr>
        <w:spacing w:line="360" w:lineRule="auto"/>
        <w:ind w:left="0" w:firstLine="720"/>
        <w:contextualSpacing/>
        <w:rPr>
          <w:rFonts w:ascii="Times New Roman" w:hAnsi="Times New Roman" w:cs="Times New Roman"/>
          <w:sz w:val="26"/>
          <w:szCs w:val="26"/>
        </w:rPr>
      </w:pPr>
      <w:r w:rsidRPr="0077652A">
        <w:rPr>
          <w:rFonts w:ascii="Times New Roman" w:hAnsi="Times New Roman"/>
          <w:sz w:val="26"/>
          <w:szCs w:val="26"/>
        </w:rPr>
        <w:t>That this Order be served on the following entities:</w:t>
      </w:r>
      <w:r w:rsidR="009771ED">
        <w:rPr>
          <w:rFonts w:ascii="Times New Roman" w:hAnsi="Times New Roman" w:cs="Times New Roman"/>
          <w:sz w:val="26"/>
          <w:szCs w:val="26"/>
        </w:rPr>
        <w:t xml:space="preserve"> </w:t>
      </w:r>
    </w:p>
    <w:p w14:paraId="683248AD" w14:textId="77777777" w:rsidR="003C64B4" w:rsidRDefault="003C64B4" w:rsidP="003C64B4">
      <w:pPr>
        <w:pStyle w:val="NoSpacing"/>
        <w:spacing w:line="360" w:lineRule="auto"/>
        <w:ind w:left="720"/>
        <w:contextualSpacing/>
        <w:rPr>
          <w:rFonts w:ascii="Times New Roman" w:hAnsi="Times New Roman" w:cs="Times New Roman"/>
          <w:sz w:val="26"/>
          <w:szCs w:val="26"/>
        </w:rPr>
      </w:pPr>
    </w:p>
    <w:p w14:paraId="6664F7B7" w14:textId="53224553" w:rsidR="002211DD" w:rsidRPr="003350B5" w:rsidRDefault="002211DD" w:rsidP="002211DD">
      <w:pPr>
        <w:pStyle w:val="NoSpacing"/>
        <w:numPr>
          <w:ilvl w:val="1"/>
          <w:numId w:val="6"/>
        </w:numPr>
        <w:spacing w:line="360" w:lineRule="auto"/>
        <w:contextualSpacing/>
        <w:rPr>
          <w:rFonts w:ascii="Times New Roman" w:hAnsi="Times New Roman" w:cs="Times New Roman"/>
          <w:sz w:val="26"/>
          <w:szCs w:val="26"/>
        </w:rPr>
      </w:pPr>
      <w:r w:rsidRPr="003350B5">
        <w:rPr>
          <w:rFonts w:ascii="Times New Roman" w:hAnsi="Times New Roman" w:cs="Times New Roman"/>
          <w:b/>
          <w:sz w:val="26"/>
          <w:szCs w:val="26"/>
          <w:u w:val="single"/>
        </w:rPr>
        <w:t>Natural Gas</w:t>
      </w:r>
      <w:r w:rsidR="004D2CE1">
        <w:rPr>
          <w:rFonts w:ascii="Times New Roman" w:hAnsi="Times New Roman" w:cs="Times New Roman"/>
          <w:b/>
          <w:sz w:val="26"/>
          <w:szCs w:val="26"/>
          <w:u w:val="single"/>
        </w:rPr>
        <w:t xml:space="preserve"> Distribution Companies</w:t>
      </w:r>
      <w:r w:rsidRPr="003350B5">
        <w:rPr>
          <w:rFonts w:ascii="Times New Roman" w:hAnsi="Times New Roman" w:cs="Times New Roman"/>
          <w:sz w:val="26"/>
          <w:szCs w:val="26"/>
        </w:rPr>
        <w:t xml:space="preserve">: Columbia Gas of Pennsylvania, PECO Energy Co., National Fuel Gas Distribution Corp., Peoples Natural Gas Co., Peoples-Equitable Division, Philadelphia Gas Works, </w:t>
      </w:r>
      <w:r>
        <w:rPr>
          <w:rFonts w:ascii="Times New Roman" w:hAnsi="Times New Roman" w:cs="Times New Roman"/>
          <w:sz w:val="26"/>
          <w:szCs w:val="26"/>
        </w:rPr>
        <w:t xml:space="preserve">and </w:t>
      </w:r>
      <w:r w:rsidRPr="003350B5">
        <w:rPr>
          <w:rFonts w:ascii="Times New Roman" w:hAnsi="Times New Roman" w:cs="Times New Roman"/>
          <w:sz w:val="26"/>
          <w:szCs w:val="26"/>
        </w:rPr>
        <w:t>UGI Utilities</w:t>
      </w:r>
      <w:r>
        <w:rPr>
          <w:rFonts w:ascii="Times New Roman" w:hAnsi="Times New Roman" w:cs="Times New Roman"/>
          <w:sz w:val="26"/>
          <w:szCs w:val="26"/>
        </w:rPr>
        <w:t>,</w:t>
      </w:r>
      <w:r w:rsidRPr="003350B5">
        <w:rPr>
          <w:rFonts w:ascii="Times New Roman" w:hAnsi="Times New Roman" w:cs="Times New Roman"/>
          <w:sz w:val="26"/>
          <w:szCs w:val="26"/>
        </w:rPr>
        <w:t xml:space="preserve"> Inc. </w:t>
      </w:r>
    </w:p>
    <w:p w14:paraId="65D8A701" w14:textId="77777777" w:rsidR="0053653A" w:rsidRDefault="002211DD" w:rsidP="002211DD">
      <w:pPr>
        <w:pStyle w:val="NoSpacing"/>
        <w:numPr>
          <w:ilvl w:val="1"/>
          <w:numId w:val="6"/>
        </w:numPr>
        <w:spacing w:line="360" w:lineRule="auto"/>
        <w:contextualSpacing/>
        <w:rPr>
          <w:rFonts w:ascii="Times New Roman" w:hAnsi="Times New Roman" w:cs="Times New Roman"/>
          <w:sz w:val="26"/>
          <w:szCs w:val="26"/>
        </w:rPr>
      </w:pPr>
      <w:r w:rsidRPr="003350B5">
        <w:rPr>
          <w:rFonts w:ascii="Times New Roman" w:hAnsi="Times New Roman" w:cs="Times New Roman"/>
          <w:b/>
          <w:sz w:val="26"/>
          <w:szCs w:val="26"/>
          <w:u w:val="single"/>
        </w:rPr>
        <w:t>Electric</w:t>
      </w:r>
      <w:r w:rsidR="004D2CE1">
        <w:rPr>
          <w:rFonts w:ascii="Times New Roman" w:hAnsi="Times New Roman" w:cs="Times New Roman"/>
          <w:b/>
          <w:sz w:val="26"/>
          <w:szCs w:val="26"/>
          <w:u w:val="single"/>
        </w:rPr>
        <w:t xml:space="preserve"> Distribution Companies</w:t>
      </w:r>
      <w:r w:rsidRPr="003350B5">
        <w:rPr>
          <w:rFonts w:ascii="Times New Roman" w:hAnsi="Times New Roman" w:cs="Times New Roman"/>
          <w:sz w:val="26"/>
          <w:szCs w:val="26"/>
        </w:rPr>
        <w:t>: Duquesne Light Co., Metropolitan Edison Co., PECO Energy Co., Pennsylvania Electric Co., Pennsylvania Power Co., PPL Electric Utilities Inc., and West Penn Power Co.</w:t>
      </w:r>
    </w:p>
    <w:p w14:paraId="27A1982E" w14:textId="15DC2674" w:rsidR="00204BA5" w:rsidRPr="00ED17E7" w:rsidRDefault="00C422F0" w:rsidP="00ED17E7">
      <w:pPr>
        <w:pStyle w:val="NoSpacing"/>
        <w:numPr>
          <w:ilvl w:val="1"/>
          <w:numId w:val="6"/>
        </w:numPr>
        <w:spacing w:line="360" w:lineRule="auto"/>
        <w:contextualSpacing/>
        <w:rPr>
          <w:rFonts w:ascii="Times New Roman" w:hAnsi="Times New Roman" w:cs="Times New Roman"/>
          <w:sz w:val="26"/>
          <w:szCs w:val="26"/>
        </w:rPr>
      </w:pPr>
      <w:r>
        <w:rPr>
          <w:rFonts w:ascii="Times New Roman" w:hAnsi="Times New Roman" w:cs="Times New Roman"/>
          <w:b/>
          <w:sz w:val="26"/>
          <w:szCs w:val="26"/>
          <w:u w:val="single"/>
        </w:rPr>
        <w:t>Other Parties of Record</w:t>
      </w:r>
      <w:r w:rsidR="0053653A" w:rsidRPr="003350B5">
        <w:rPr>
          <w:rFonts w:ascii="Times New Roman" w:hAnsi="Times New Roman" w:cs="Times New Roman"/>
          <w:sz w:val="26"/>
          <w:szCs w:val="26"/>
        </w:rPr>
        <w:t xml:space="preserve">: </w:t>
      </w:r>
      <w:r>
        <w:rPr>
          <w:rFonts w:ascii="Times New Roman" w:hAnsi="Times New Roman"/>
          <w:sz w:val="26"/>
          <w:szCs w:val="26"/>
        </w:rPr>
        <w:t>T</w:t>
      </w:r>
      <w:r w:rsidR="00327C0D" w:rsidRPr="0077652A">
        <w:rPr>
          <w:rFonts w:ascii="Times New Roman" w:hAnsi="Times New Roman"/>
          <w:sz w:val="26"/>
          <w:szCs w:val="26"/>
        </w:rPr>
        <w:t>he Commission’s Bureau of Investigation and Enforcement; Office of Consumer Advocate; Office of Small</w:t>
      </w:r>
      <w:r w:rsidR="00327C0D" w:rsidRPr="00536CA1">
        <w:rPr>
          <w:rFonts w:ascii="Times New Roman" w:hAnsi="Times New Roman"/>
          <w:sz w:val="26"/>
        </w:rPr>
        <w:t xml:space="preserve"> Business Advocate; Industrial Energy Consumers of Pennsylvania</w:t>
      </w:r>
      <w:r w:rsidR="00327C0D">
        <w:rPr>
          <w:rFonts w:ascii="Times New Roman" w:hAnsi="Times New Roman"/>
          <w:sz w:val="26"/>
        </w:rPr>
        <w:t>;</w:t>
      </w:r>
      <w:r w:rsidR="00327C0D" w:rsidRPr="00536CA1">
        <w:rPr>
          <w:rFonts w:ascii="Times New Roman" w:hAnsi="Times New Roman"/>
          <w:sz w:val="26"/>
        </w:rPr>
        <w:t xml:space="preserve"> Met-Ed Industrial Users Group</w:t>
      </w:r>
      <w:r w:rsidR="00327C0D">
        <w:rPr>
          <w:rFonts w:ascii="Times New Roman" w:hAnsi="Times New Roman"/>
          <w:sz w:val="26"/>
        </w:rPr>
        <w:t>;</w:t>
      </w:r>
      <w:r w:rsidR="00327C0D" w:rsidRPr="00536CA1">
        <w:rPr>
          <w:rFonts w:ascii="Times New Roman" w:hAnsi="Times New Roman"/>
          <w:sz w:val="26"/>
        </w:rPr>
        <w:t xml:space="preserve"> </w:t>
      </w:r>
      <w:proofErr w:type="spellStart"/>
      <w:r w:rsidR="00327C0D" w:rsidRPr="00536CA1">
        <w:rPr>
          <w:rFonts w:ascii="Times New Roman" w:hAnsi="Times New Roman"/>
          <w:sz w:val="26"/>
        </w:rPr>
        <w:t>Penelec</w:t>
      </w:r>
      <w:proofErr w:type="spellEnd"/>
      <w:r w:rsidR="00327C0D" w:rsidRPr="00536CA1">
        <w:rPr>
          <w:rFonts w:ascii="Times New Roman" w:hAnsi="Times New Roman"/>
          <w:sz w:val="26"/>
        </w:rPr>
        <w:t xml:space="preserve"> Industrial Customer Alliance</w:t>
      </w:r>
      <w:r w:rsidR="00327C0D">
        <w:rPr>
          <w:rFonts w:ascii="Times New Roman" w:hAnsi="Times New Roman"/>
          <w:sz w:val="26"/>
        </w:rPr>
        <w:t>;</w:t>
      </w:r>
      <w:r w:rsidR="00327C0D" w:rsidRPr="00536CA1">
        <w:rPr>
          <w:rFonts w:ascii="Times New Roman" w:hAnsi="Times New Roman"/>
          <w:sz w:val="26"/>
        </w:rPr>
        <w:t xml:space="preserve"> Penn Power Users Group</w:t>
      </w:r>
      <w:r w:rsidR="00327C0D">
        <w:rPr>
          <w:rFonts w:ascii="Times New Roman" w:hAnsi="Times New Roman"/>
          <w:sz w:val="26"/>
        </w:rPr>
        <w:t>;</w:t>
      </w:r>
      <w:r w:rsidR="00327C0D" w:rsidRPr="00536CA1">
        <w:rPr>
          <w:rFonts w:ascii="Times New Roman" w:hAnsi="Times New Roman"/>
          <w:sz w:val="26"/>
        </w:rPr>
        <w:t xml:space="preserve"> Philadelphia Area Industrial Users Group</w:t>
      </w:r>
      <w:r w:rsidR="00327C0D">
        <w:rPr>
          <w:rFonts w:ascii="Times New Roman" w:hAnsi="Times New Roman"/>
          <w:sz w:val="26"/>
        </w:rPr>
        <w:t>;</w:t>
      </w:r>
      <w:r w:rsidR="00327C0D" w:rsidRPr="00536CA1">
        <w:rPr>
          <w:rFonts w:ascii="Times New Roman" w:hAnsi="Times New Roman"/>
          <w:sz w:val="26"/>
        </w:rPr>
        <w:t xml:space="preserve"> PP&amp;L Industrial Customer Alliance</w:t>
      </w:r>
      <w:r w:rsidR="00327C0D">
        <w:rPr>
          <w:rFonts w:ascii="Times New Roman" w:hAnsi="Times New Roman"/>
          <w:sz w:val="26"/>
        </w:rPr>
        <w:t>;</w:t>
      </w:r>
      <w:r w:rsidR="00327C0D" w:rsidRPr="00536CA1">
        <w:rPr>
          <w:rFonts w:ascii="Times New Roman" w:hAnsi="Times New Roman"/>
          <w:sz w:val="26"/>
        </w:rPr>
        <w:t xml:space="preserve"> West Penn Power Industrial Intervenors; Pennsylvania Utility Law Project; the Coalition for Affordable Utility Services and Energy Efficiency in Pennsylvania; Energy Association of Pennsylvania; Dollar Energy Fund; Community Legal Services; Community Action </w:t>
      </w:r>
      <w:r w:rsidR="00327C0D" w:rsidRPr="00536CA1">
        <w:rPr>
          <w:rFonts w:ascii="Times New Roman" w:hAnsi="Times New Roman"/>
          <w:sz w:val="26"/>
        </w:rPr>
        <w:lastRenderedPageBreak/>
        <w:t xml:space="preserve">Association of Pennsylvania; Tenant Union Representative Network; Commission on Economic Opportunity; Action Alliance of Senior Citizens of Greater Philadelphia; Pennsylvania Department of Community and Economic Development; </w:t>
      </w:r>
      <w:r w:rsidR="00237F33" w:rsidRPr="00237F33">
        <w:rPr>
          <w:rFonts w:ascii="Times New Roman" w:hAnsi="Times New Roman"/>
          <w:sz w:val="26"/>
        </w:rPr>
        <w:t>Utility Emergency Service Fund</w:t>
      </w:r>
      <w:r w:rsidR="00327C0D">
        <w:rPr>
          <w:rFonts w:ascii="Times New Roman" w:hAnsi="Times New Roman"/>
          <w:sz w:val="26"/>
        </w:rPr>
        <w:t xml:space="preserve">; </w:t>
      </w:r>
      <w:r w:rsidR="00327C0D" w:rsidRPr="007C4101">
        <w:rPr>
          <w:rFonts w:ascii="Times New Roman" w:hAnsi="Times New Roman"/>
          <w:sz w:val="26"/>
        </w:rPr>
        <w:t>Philadelphia Housing Authority</w:t>
      </w:r>
      <w:r w:rsidR="00327C0D">
        <w:rPr>
          <w:rFonts w:ascii="Times New Roman" w:hAnsi="Times New Roman"/>
          <w:sz w:val="26"/>
        </w:rPr>
        <w:t xml:space="preserve">; </w:t>
      </w:r>
      <w:r w:rsidR="0092074A">
        <w:rPr>
          <w:rFonts w:ascii="Times New Roman" w:hAnsi="Times New Roman"/>
          <w:sz w:val="26"/>
        </w:rPr>
        <w:t xml:space="preserve">and </w:t>
      </w:r>
      <w:r w:rsidR="00327C0D">
        <w:rPr>
          <w:rFonts w:ascii="Times New Roman" w:hAnsi="Times New Roman"/>
          <w:sz w:val="26"/>
        </w:rPr>
        <w:t xml:space="preserve">the </w:t>
      </w:r>
      <w:r w:rsidR="00327C0D" w:rsidRPr="00536CA1">
        <w:rPr>
          <w:rFonts w:ascii="Times New Roman" w:hAnsi="Times New Roman"/>
          <w:sz w:val="26"/>
        </w:rPr>
        <w:t>Pennsylvania Department of Human Services</w:t>
      </w:r>
      <w:r w:rsidR="0092074A">
        <w:rPr>
          <w:rFonts w:ascii="Times New Roman" w:hAnsi="Times New Roman"/>
          <w:sz w:val="26"/>
        </w:rPr>
        <w:t>.</w:t>
      </w:r>
      <w:r w:rsidR="00ED17E7">
        <w:rPr>
          <w:rFonts w:ascii="Times New Roman" w:hAnsi="Times New Roman" w:cs="Times New Roman"/>
          <w:sz w:val="26"/>
          <w:szCs w:val="26"/>
        </w:rPr>
        <w:t xml:space="preserve">  Any parties to </w:t>
      </w:r>
      <w:r w:rsidR="00ED17E7">
        <w:rPr>
          <w:rFonts w:ascii="Times New Roman" w:hAnsi="Times New Roman"/>
          <w:sz w:val="26"/>
        </w:rPr>
        <w:t>Docket No. M</w:t>
      </w:r>
      <w:r w:rsidR="00ED17E7">
        <w:rPr>
          <w:rFonts w:ascii="Times New Roman" w:hAnsi="Times New Roman"/>
          <w:sz w:val="26"/>
        </w:rPr>
        <w:noBreakHyphen/>
        <w:t>2017</w:t>
      </w:r>
      <w:r w:rsidR="00ED17E7">
        <w:rPr>
          <w:rFonts w:ascii="Times New Roman" w:hAnsi="Times New Roman"/>
          <w:sz w:val="26"/>
        </w:rPr>
        <w:noBreakHyphen/>
        <w:t>2596907 not listed above.</w:t>
      </w:r>
    </w:p>
    <w:p w14:paraId="5261F2B4" w14:textId="77777777" w:rsidR="0058079F" w:rsidRPr="0092074A" w:rsidRDefault="0058079F" w:rsidP="0058079F">
      <w:pPr>
        <w:pStyle w:val="NoSpacing"/>
        <w:spacing w:line="360" w:lineRule="auto"/>
        <w:ind w:left="720"/>
        <w:contextualSpacing/>
        <w:rPr>
          <w:rFonts w:ascii="Times New Roman" w:hAnsi="Times New Roman" w:cs="Times New Roman"/>
          <w:sz w:val="26"/>
          <w:szCs w:val="26"/>
        </w:rPr>
      </w:pPr>
    </w:p>
    <w:p w14:paraId="522D95D5" w14:textId="1B717805" w:rsidR="00654AD4" w:rsidRPr="009771ED" w:rsidRDefault="0092074A" w:rsidP="009771ED">
      <w:pPr>
        <w:pStyle w:val="NoSpacing"/>
        <w:numPr>
          <w:ilvl w:val="0"/>
          <w:numId w:val="6"/>
        </w:numPr>
        <w:spacing w:line="360" w:lineRule="auto"/>
        <w:ind w:left="0" w:firstLine="720"/>
        <w:contextualSpacing/>
        <w:rPr>
          <w:rFonts w:ascii="Times New Roman" w:hAnsi="Times New Roman" w:cs="Times New Roman"/>
          <w:sz w:val="26"/>
          <w:szCs w:val="26"/>
        </w:rPr>
      </w:pPr>
      <w:r>
        <w:rPr>
          <w:rFonts w:ascii="Times New Roman" w:hAnsi="Times New Roman"/>
          <w:sz w:val="26"/>
        </w:rPr>
        <w:t xml:space="preserve">That a copy of this Order </w:t>
      </w:r>
      <w:r w:rsidR="00DF215A">
        <w:rPr>
          <w:rFonts w:ascii="Times New Roman" w:hAnsi="Times New Roman"/>
          <w:sz w:val="26"/>
        </w:rPr>
        <w:t xml:space="preserve">and the </w:t>
      </w:r>
      <w:r w:rsidR="00C35BE8">
        <w:rPr>
          <w:rFonts w:ascii="Times New Roman" w:hAnsi="Times New Roman"/>
          <w:sz w:val="26"/>
        </w:rPr>
        <w:t xml:space="preserve">Report </w:t>
      </w:r>
      <w:r>
        <w:rPr>
          <w:rFonts w:ascii="Times New Roman" w:hAnsi="Times New Roman"/>
          <w:sz w:val="26"/>
        </w:rPr>
        <w:t xml:space="preserve">be placed in </w:t>
      </w:r>
      <w:r w:rsidRPr="00B21351">
        <w:rPr>
          <w:rFonts w:ascii="Times New Roman" w:hAnsi="Times New Roman"/>
          <w:i/>
          <w:sz w:val="26"/>
        </w:rPr>
        <w:t>Universal Service</w:t>
      </w:r>
      <w:r>
        <w:rPr>
          <w:rFonts w:ascii="Times New Roman" w:hAnsi="Times New Roman"/>
          <w:sz w:val="26"/>
        </w:rPr>
        <w:t>, Docket No. M</w:t>
      </w:r>
      <w:r>
        <w:rPr>
          <w:rFonts w:ascii="Times New Roman" w:hAnsi="Times New Roman"/>
          <w:sz w:val="26"/>
        </w:rPr>
        <w:noBreakHyphen/>
        <w:t>2017</w:t>
      </w:r>
      <w:r>
        <w:rPr>
          <w:rFonts w:ascii="Times New Roman" w:hAnsi="Times New Roman"/>
          <w:sz w:val="26"/>
        </w:rPr>
        <w:noBreakHyphen/>
        <w:t>2596907.</w:t>
      </w:r>
      <w:r w:rsidR="003E6761">
        <w:rPr>
          <w:rFonts w:ascii="Times New Roman" w:hAnsi="Times New Roman"/>
          <w:sz w:val="26"/>
        </w:rPr>
        <w:t xml:space="preserve"> </w:t>
      </w:r>
      <w:r w:rsidR="000438DD" w:rsidRPr="009771ED">
        <w:rPr>
          <w:rFonts w:ascii="Times New Roman" w:hAnsi="Times New Roman" w:cs="Times New Roman"/>
          <w:sz w:val="26"/>
          <w:szCs w:val="26"/>
        </w:rPr>
        <w:t xml:space="preserve"> </w:t>
      </w:r>
    </w:p>
    <w:p w14:paraId="667B1E66" w14:textId="77777777" w:rsidR="000E2AAA" w:rsidRPr="003350B5" w:rsidRDefault="000E2AAA" w:rsidP="002A00CD">
      <w:pPr>
        <w:pStyle w:val="NoSpacing"/>
        <w:spacing w:line="360" w:lineRule="auto"/>
        <w:ind w:left="1440"/>
        <w:contextualSpacing/>
        <w:rPr>
          <w:rFonts w:ascii="Times New Roman" w:hAnsi="Times New Roman" w:cs="Times New Roman"/>
          <w:sz w:val="26"/>
          <w:szCs w:val="26"/>
        </w:rPr>
      </w:pPr>
    </w:p>
    <w:p w14:paraId="197A70E4" w14:textId="7D4FF4E9" w:rsidR="00010998" w:rsidRDefault="00654AD4" w:rsidP="00CC0786">
      <w:pPr>
        <w:pStyle w:val="NoSpacing"/>
        <w:numPr>
          <w:ilvl w:val="0"/>
          <w:numId w:val="6"/>
        </w:numPr>
        <w:spacing w:line="360" w:lineRule="auto"/>
        <w:ind w:left="0" w:firstLine="720"/>
        <w:contextualSpacing/>
        <w:rPr>
          <w:rFonts w:ascii="Times New Roman" w:hAnsi="Times New Roman" w:cs="Times New Roman"/>
          <w:sz w:val="26"/>
          <w:szCs w:val="26"/>
        </w:rPr>
      </w:pPr>
      <w:r>
        <w:rPr>
          <w:rFonts w:ascii="Times New Roman" w:hAnsi="Times New Roman" w:cs="Times New Roman"/>
          <w:sz w:val="26"/>
          <w:szCs w:val="26"/>
        </w:rPr>
        <w:t xml:space="preserve">That the </w:t>
      </w:r>
      <w:r w:rsidR="0075768B">
        <w:rPr>
          <w:rFonts w:ascii="Times New Roman" w:hAnsi="Times New Roman" w:cs="Times New Roman"/>
          <w:sz w:val="26"/>
          <w:szCs w:val="26"/>
        </w:rPr>
        <w:t xml:space="preserve">natural gas distribution companies </w:t>
      </w:r>
      <w:r w:rsidR="00ED028B">
        <w:rPr>
          <w:rFonts w:ascii="Times New Roman" w:hAnsi="Times New Roman" w:cs="Times New Roman"/>
          <w:sz w:val="26"/>
          <w:szCs w:val="26"/>
        </w:rPr>
        <w:t xml:space="preserve">and </w:t>
      </w:r>
      <w:r w:rsidR="00DF7640">
        <w:rPr>
          <w:rFonts w:ascii="Times New Roman" w:hAnsi="Times New Roman" w:cs="Times New Roman"/>
          <w:sz w:val="26"/>
          <w:szCs w:val="26"/>
        </w:rPr>
        <w:t xml:space="preserve">the electric distribution companies </w:t>
      </w:r>
      <w:r w:rsidR="006C04A3">
        <w:rPr>
          <w:rFonts w:ascii="Times New Roman" w:hAnsi="Times New Roman" w:cs="Times New Roman"/>
          <w:sz w:val="26"/>
          <w:szCs w:val="26"/>
        </w:rPr>
        <w:t>listed in Ordering Paragraph No.</w:t>
      </w:r>
      <w:r w:rsidR="00701671">
        <w:rPr>
          <w:rFonts w:ascii="Times New Roman" w:hAnsi="Times New Roman" w:cs="Times New Roman"/>
          <w:sz w:val="26"/>
          <w:szCs w:val="26"/>
        </w:rPr>
        <w:t xml:space="preserve"> </w:t>
      </w:r>
      <w:r w:rsidR="006C04A3">
        <w:rPr>
          <w:rFonts w:ascii="Times New Roman" w:hAnsi="Times New Roman" w:cs="Times New Roman"/>
          <w:sz w:val="26"/>
          <w:szCs w:val="26"/>
        </w:rPr>
        <w:t xml:space="preserve">3 shall file and </w:t>
      </w:r>
      <w:r w:rsidR="00B81518">
        <w:rPr>
          <w:rFonts w:ascii="Times New Roman" w:hAnsi="Times New Roman" w:cs="Times New Roman"/>
          <w:sz w:val="26"/>
          <w:szCs w:val="26"/>
        </w:rPr>
        <w:t xml:space="preserve">serve the </w:t>
      </w:r>
      <w:r w:rsidR="00B81518" w:rsidRPr="000B4F97">
        <w:rPr>
          <w:rFonts w:ascii="Times New Roman" w:hAnsi="Times New Roman" w:cs="Times New Roman"/>
          <w:sz w:val="26"/>
          <w:szCs w:val="26"/>
        </w:rPr>
        <w:t xml:space="preserve">following </w:t>
      </w:r>
      <w:r w:rsidR="009E3777">
        <w:rPr>
          <w:rFonts w:ascii="Times New Roman" w:hAnsi="Times New Roman" w:cs="Times New Roman"/>
          <w:sz w:val="26"/>
          <w:szCs w:val="26"/>
        </w:rPr>
        <w:t xml:space="preserve">supplemental information and </w:t>
      </w:r>
      <w:r w:rsidR="00B81518" w:rsidRPr="000B4F97">
        <w:rPr>
          <w:rFonts w:ascii="Times New Roman" w:hAnsi="Times New Roman" w:cs="Times New Roman"/>
          <w:sz w:val="26"/>
          <w:szCs w:val="26"/>
        </w:rPr>
        <w:t xml:space="preserve">data within </w:t>
      </w:r>
      <w:r w:rsidR="008E31FD">
        <w:rPr>
          <w:rFonts w:ascii="Times New Roman" w:hAnsi="Times New Roman" w:cs="Times New Roman"/>
          <w:sz w:val="26"/>
          <w:szCs w:val="26"/>
        </w:rPr>
        <w:t>thirty</w:t>
      </w:r>
      <w:r w:rsidR="00B81518" w:rsidRPr="000B4F97">
        <w:rPr>
          <w:rFonts w:ascii="Times New Roman" w:hAnsi="Times New Roman" w:cs="Times New Roman"/>
          <w:sz w:val="26"/>
          <w:szCs w:val="26"/>
        </w:rPr>
        <w:t xml:space="preserve"> (</w:t>
      </w:r>
      <w:r w:rsidR="008E31FD">
        <w:rPr>
          <w:rFonts w:ascii="Times New Roman" w:hAnsi="Times New Roman" w:cs="Times New Roman"/>
          <w:sz w:val="26"/>
          <w:szCs w:val="26"/>
        </w:rPr>
        <w:t>3</w:t>
      </w:r>
      <w:r w:rsidR="00B81518" w:rsidRPr="000B4F97">
        <w:rPr>
          <w:rFonts w:ascii="Times New Roman" w:hAnsi="Times New Roman" w:cs="Times New Roman"/>
          <w:sz w:val="26"/>
          <w:szCs w:val="26"/>
        </w:rPr>
        <w:t>0) days of the entry date of this Order</w:t>
      </w:r>
      <w:r w:rsidR="00215772">
        <w:rPr>
          <w:rFonts w:ascii="Times New Roman" w:hAnsi="Times New Roman" w:cs="Times New Roman"/>
          <w:sz w:val="26"/>
          <w:szCs w:val="26"/>
        </w:rPr>
        <w:t>:</w:t>
      </w:r>
      <w:r w:rsidR="00323D79">
        <w:rPr>
          <w:rFonts w:ascii="Times New Roman" w:hAnsi="Times New Roman" w:cs="Times New Roman"/>
          <w:sz w:val="26"/>
          <w:szCs w:val="26"/>
        </w:rPr>
        <w:br/>
      </w:r>
    </w:p>
    <w:p w14:paraId="0B0DA0F9" w14:textId="310D0313" w:rsidR="00A02212" w:rsidRPr="00FF4E0E" w:rsidRDefault="00A02212" w:rsidP="00A02212">
      <w:pPr>
        <w:numPr>
          <w:ilvl w:val="0"/>
          <w:numId w:val="20"/>
        </w:numPr>
        <w:spacing w:after="0" w:line="360" w:lineRule="auto"/>
        <w:ind w:left="1440"/>
        <w:contextualSpacing/>
        <w:rPr>
          <w:rFonts w:ascii="Times New Roman" w:eastAsia="Times New Roman" w:hAnsi="Times New Roman" w:cs="Times New Roman"/>
          <w:sz w:val="26"/>
          <w:szCs w:val="26"/>
        </w:rPr>
      </w:pPr>
      <w:r>
        <w:rPr>
          <w:rFonts w:ascii="Times New Roman" w:hAnsi="Times New Roman" w:cs="Times New Roman"/>
          <w:sz w:val="26"/>
          <w:szCs w:val="26"/>
        </w:rPr>
        <w:t>Review the 10% energy burden projections in the Report.  If the utilities have corrected or updated data for 2012 to 2016</w:t>
      </w:r>
      <w:r w:rsidR="00933162">
        <w:rPr>
          <w:rFonts w:ascii="Times New Roman" w:hAnsi="Times New Roman" w:cs="Times New Roman"/>
          <w:sz w:val="26"/>
          <w:szCs w:val="26"/>
        </w:rPr>
        <w:t xml:space="preserve"> relative to th</w:t>
      </w:r>
      <w:r w:rsidR="001C77B5">
        <w:rPr>
          <w:rFonts w:ascii="Times New Roman" w:hAnsi="Times New Roman" w:cs="Times New Roman"/>
          <w:sz w:val="26"/>
          <w:szCs w:val="26"/>
        </w:rPr>
        <w:t>ese</w:t>
      </w:r>
      <w:r w:rsidR="00933162">
        <w:rPr>
          <w:rFonts w:ascii="Times New Roman" w:hAnsi="Times New Roman" w:cs="Times New Roman"/>
          <w:sz w:val="26"/>
          <w:szCs w:val="26"/>
        </w:rPr>
        <w:t xml:space="preserve"> projection</w:t>
      </w:r>
      <w:r w:rsidR="001C77B5">
        <w:rPr>
          <w:rFonts w:ascii="Times New Roman" w:hAnsi="Times New Roman" w:cs="Times New Roman"/>
          <w:sz w:val="26"/>
          <w:szCs w:val="26"/>
        </w:rPr>
        <w:t>s</w:t>
      </w:r>
      <w:r>
        <w:rPr>
          <w:rFonts w:ascii="Times New Roman" w:hAnsi="Times New Roman" w:cs="Times New Roman"/>
          <w:sz w:val="26"/>
          <w:szCs w:val="26"/>
        </w:rPr>
        <w:t xml:space="preserve">, the revised data should be provided as </w:t>
      </w:r>
      <w:r w:rsidR="001C77B5">
        <w:rPr>
          <w:rFonts w:ascii="Times New Roman" w:hAnsi="Times New Roman" w:cs="Times New Roman"/>
          <w:sz w:val="26"/>
          <w:szCs w:val="26"/>
        </w:rPr>
        <w:t xml:space="preserve">part of its </w:t>
      </w:r>
      <w:r>
        <w:rPr>
          <w:rFonts w:ascii="Times New Roman" w:hAnsi="Times New Roman" w:cs="Times New Roman"/>
          <w:sz w:val="26"/>
          <w:szCs w:val="26"/>
        </w:rPr>
        <w:t>supplemental information</w:t>
      </w:r>
      <w:r w:rsidR="001C77B5">
        <w:rPr>
          <w:rFonts w:ascii="Times New Roman" w:hAnsi="Times New Roman" w:cs="Times New Roman"/>
          <w:sz w:val="26"/>
          <w:szCs w:val="26"/>
        </w:rPr>
        <w:t xml:space="preserve"> filing</w:t>
      </w:r>
      <w:r>
        <w:rPr>
          <w:rFonts w:ascii="Times New Roman" w:hAnsi="Times New Roman" w:cs="Times New Roman"/>
          <w:sz w:val="26"/>
          <w:szCs w:val="26"/>
        </w:rPr>
        <w:t>.</w:t>
      </w:r>
    </w:p>
    <w:p w14:paraId="24E51420" w14:textId="77777777" w:rsidR="00A02212" w:rsidRDefault="00A02212" w:rsidP="00A02212">
      <w:pPr>
        <w:spacing w:after="0" w:line="360" w:lineRule="auto"/>
        <w:ind w:left="1080"/>
        <w:contextualSpacing/>
        <w:rPr>
          <w:rFonts w:ascii="Times New Roman" w:eastAsia="Times New Roman" w:hAnsi="Times New Roman" w:cs="Times New Roman"/>
          <w:sz w:val="26"/>
          <w:szCs w:val="26"/>
        </w:rPr>
      </w:pPr>
    </w:p>
    <w:p w14:paraId="141A1825" w14:textId="5E4AB8D9" w:rsidR="00FD79D1" w:rsidRPr="00FF4E0E" w:rsidRDefault="00FD79D1" w:rsidP="00864019">
      <w:pPr>
        <w:numPr>
          <w:ilvl w:val="0"/>
          <w:numId w:val="20"/>
        </w:numPr>
        <w:spacing w:after="0" w:line="360" w:lineRule="auto"/>
        <w:ind w:left="1440"/>
        <w:contextualSpacing/>
        <w:rPr>
          <w:rFonts w:ascii="Times New Roman" w:eastAsia="Times New Roman" w:hAnsi="Times New Roman" w:cs="Times New Roman"/>
          <w:sz w:val="26"/>
          <w:szCs w:val="26"/>
        </w:rPr>
      </w:pPr>
      <w:r w:rsidRPr="00C30A26">
        <w:rPr>
          <w:rFonts w:ascii="Times New Roman" w:eastAsia="Calibri" w:hAnsi="Times New Roman" w:cs="Times New Roman"/>
          <w:sz w:val="26"/>
          <w:szCs w:val="26"/>
        </w:rPr>
        <w:t xml:space="preserve">Provide a cost </w:t>
      </w:r>
      <w:r>
        <w:rPr>
          <w:rFonts w:ascii="Times New Roman" w:eastAsia="Calibri" w:hAnsi="Times New Roman" w:cs="Times New Roman"/>
          <w:sz w:val="26"/>
          <w:szCs w:val="26"/>
        </w:rPr>
        <w:t xml:space="preserve">forecast </w:t>
      </w:r>
      <w:r w:rsidRPr="00C30A26">
        <w:rPr>
          <w:rFonts w:ascii="Times New Roman" w:eastAsia="Calibri" w:hAnsi="Times New Roman" w:cs="Times New Roman"/>
          <w:sz w:val="26"/>
          <w:szCs w:val="26"/>
        </w:rPr>
        <w:t>based on a 10% maximum energy burden for the years 201</w:t>
      </w:r>
      <w:r>
        <w:rPr>
          <w:rFonts w:ascii="Times New Roman" w:eastAsia="Calibri" w:hAnsi="Times New Roman" w:cs="Times New Roman"/>
          <w:sz w:val="26"/>
          <w:szCs w:val="26"/>
        </w:rPr>
        <w:t>7</w:t>
      </w:r>
      <w:r w:rsidRPr="00C30A26">
        <w:rPr>
          <w:rFonts w:ascii="Times New Roman" w:eastAsia="Calibri" w:hAnsi="Times New Roman" w:cs="Times New Roman"/>
          <w:sz w:val="26"/>
          <w:szCs w:val="26"/>
        </w:rPr>
        <w:t xml:space="preserve"> </w:t>
      </w:r>
      <w:r>
        <w:rPr>
          <w:rFonts w:ascii="Times New Roman" w:eastAsia="Calibri" w:hAnsi="Times New Roman" w:cs="Times New Roman"/>
          <w:sz w:val="26"/>
          <w:szCs w:val="26"/>
        </w:rPr>
        <w:t>through 2021</w:t>
      </w:r>
      <w:r w:rsidRPr="00C30A26">
        <w:rPr>
          <w:rFonts w:ascii="Times New Roman" w:eastAsia="Times New Roman" w:hAnsi="Times New Roman" w:cs="Times New Roman"/>
          <w:color w:val="0D0D0D"/>
          <w:sz w:val="26"/>
          <w:szCs w:val="26"/>
        </w:rPr>
        <w:t xml:space="preserve">. </w:t>
      </w:r>
      <w:r w:rsidRPr="00C30A26">
        <w:rPr>
          <w:rFonts w:ascii="Times New Roman" w:eastAsia="Calibri" w:hAnsi="Times New Roman" w:cs="Times New Roman"/>
          <w:sz w:val="26"/>
          <w:szCs w:val="26"/>
        </w:rPr>
        <w:t xml:space="preserve"> Include costs associated with system changes, CAP credits</w:t>
      </w:r>
      <w:r>
        <w:rPr>
          <w:rFonts w:ascii="Times New Roman" w:eastAsia="Calibri" w:hAnsi="Times New Roman" w:cs="Times New Roman"/>
          <w:sz w:val="26"/>
          <w:szCs w:val="26"/>
        </w:rPr>
        <w:t xml:space="preserve"> (overall increases and decreases)</w:t>
      </w:r>
      <w:r w:rsidRPr="00C30A2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PPAs and in-program </w:t>
      </w:r>
      <w:r w:rsidRPr="00C30A26">
        <w:rPr>
          <w:rFonts w:ascii="Times New Roman" w:eastAsia="Calibri" w:hAnsi="Times New Roman" w:cs="Times New Roman"/>
          <w:sz w:val="26"/>
          <w:szCs w:val="26"/>
        </w:rPr>
        <w:t xml:space="preserve">arrearages, and any other incurred costs that would contribute to such a change. </w:t>
      </w:r>
      <w:r>
        <w:rPr>
          <w:rFonts w:ascii="Times New Roman" w:eastAsia="Calibri" w:hAnsi="Times New Roman" w:cs="Times New Roman"/>
          <w:sz w:val="26"/>
          <w:szCs w:val="26"/>
        </w:rPr>
        <w:t xml:space="preserve"> Identify and take into account the cost savings from customers who would pay more under a 10% percent of income CAP.  I</w:t>
      </w:r>
      <w:r>
        <w:rPr>
          <w:rFonts w:ascii="Times New Roman" w:hAnsi="Times New Roman" w:cs="Times New Roman"/>
          <w:sz w:val="26"/>
          <w:szCs w:val="26"/>
        </w:rPr>
        <w:t>ndicate potential impact to uncollectible balances</w:t>
      </w:r>
      <w:r w:rsidR="00195C11">
        <w:rPr>
          <w:rFonts w:ascii="Times New Roman" w:hAnsi="Times New Roman" w:cs="Times New Roman"/>
          <w:sz w:val="26"/>
          <w:szCs w:val="26"/>
        </w:rPr>
        <w:t xml:space="preserve"> and collection costs</w:t>
      </w:r>
      <w:r>
        <w:rPr>
          <w:rFonts w:ascii="Times New Roman" w:hAnsi="Times New Roman" w:cs="Times New Roman"/>
          <w:sz w:val="26"/>
          <w:szCs w:val="26"/>
        </w:rPr>
        <w:t xml:space="preserve">.  </w:t>
      </w:r>
      <w:r w:rsidRPr="004A7699">
        <w:rPr>
          <w:rFonts w:ascii="Times New Roman" w:eastAsia="Times New Roman" w:hAnsi="Times New Roman" w:cs="Times New Roman"/>
          <w:sz w:val="26"/>
          <w:szCs w:val="26"/>
        </w:rPr>
        <w:t>Cost estimates should be based on a percent of income CAP payment model</w:t>
      </w:r>
      <w:r w:rsidR="00C844F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C844FC">
        <w:rPr>
          <w:rFonts w:ascii="Times New Roman" w:eastAsia="Times New Roman" w:hAnsi="Times New Roman" w:cs="Times New Roman"/>
          <w:sz w:val="26"/>
          <w:szCs w:val="26"/>
        </w:rPr>
        <w:t xml:space="preserve"> </w:t>
      </w:r>
      <w:r w:rsidR="00C844FC">
        <w:rPr>
          <w:rFonts w:ascii="Times New Roman" w:hAnsi="Times New Roman" w:cs="Times New Roman"/>
          <w:sz w:val="26"/>
          <w:szCs w:val="26"/>
        </w:rPr>
        <w:t xml:space="preserve">Companies may also compare whether rate discount or other CAP payment </w:t>
      </w:r>
      <w:r w:rsidR="00C844FC">
        <w:rPr>
          <w:rFonts w:ascii="Times New Roman" w:hAnsi="Times New Roman" w:cs="Times New Roman"/>
          <w:sz w:val="26"/>
          <w:szCs w:val="26"/>
        </w:rPr>
        <w:lastRenderedPageBreak/>
        <w:t>options may be more cost-effective to achieve the maximum 10% energy burdens.</w:t>
      </w:r>
    </w:p>
    <w:p w14:paraId="481D035B" w14:textId="77777777" w:rsidR="00FD79D1" w:rsidRPr="00FF4E0E" w:rsidRDefault="00FD79D1" w:rsidP="00864019">
      <w:pPr>
        <w:spacing w:after="0" w:line="360" w:lineRule="auto"/>
        <w:ind w:left="1080"/>
        <w:contextualSpacing/>
        <w:rPr>
          <w:rFonts w:ascii="Times New Roman" w:eastAsia="Times New Roman" w:hAnsi="Times New Roman" w:cs="Times New Roman"/>
          <w:sz w:val="26"/>
          <w:szCs w:val="26"/>
        </w:rPr>
      </w:pPr>
    </w:p>
    <w:p w14:paraId="2C0E7AAD" w14:textId="271A8366" w:rsidR="002B52E3" w:rsidRPr="002B52E3" w:rsidRDefault="00FD79D1" w:rsidP="002B52E3">
      <w:pPr>
        <w:numPr>
          <w:ilvl w:val="0"/>
          <w:numId w:val="20"/>
        </w:numPr>
        <w:spacing w:after="0" w:line="360" w:lineRule="auto"/>
        <w:ind w:left="144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w:t>
      </w:r>
      <w:r w:rsidRPr="004D4CC0">
        <w:rPr>
          <w:rFonts w:ascii="Times New Roman" w:eastAsia="Times New Roman" w:hAnsi="Times New Roman" w:cs="Times New Roman"/>
          <w:sz w:val="26"/>
          <w:szCs w:val="26"/>
        </w:rPr>
        <w:t xml:space="preserve">rovide estimates of the impact </w:t>
      </w:r>
      <w:r>
        <w:rPr>
          <w:rFonts w:ascii="Times New Roman" w:eastAsia="Times New Roman" w:hAnsi="Times New Roman" w:cs="Times New Roman"/>
          <w:sz w:val="26"/>
          <w:szCs w:val="26"/>
        </w:rPr>
        <w:t xml:space="preserve">on enrollments and to customer assistance </w:t>
      </w:r>
      <w:r w:rsidRPr="004D4CC0">
        <w:rPr>
          <w:rFonts w:ascii="Times New Roman" w:eastAsia="Times New Roman" w:hAnsi="Times New Roman" w:cs="Times New Roman"/>
          <w:sz w:val="26"/>
          <w:szCs w:val="26"/>
        </w:rPr>
        <w:t>program</w:t>
      </w:r>
      <w:r>
        <w:rPr>
          <w:rFonts w:ascii="Times New Roman" w:eastAsia="Times New Roman" w:hAnsi="Times New Roman" w:cs="Times New Roman"/>
          <w:sz w:val="26"/>
          <w:szCs w:val="26"/>
        </w:rPr>
        <w:t xml:space="preserve"> cost</w:t>
      </w:r>
      <w:r w:rsidRPr="004D4CC0">
        <w:rPr>
          <w:rFonts w:ascii="Times New Roman" w:eastAsia="Times New Roman" w:hAnsi="Times New Roman" w:cs="Times New Roman"/>
          <w:sz w:val="26"/>
          <w:szCs w:val="26"/>
        </w:rPr>
        <w:t xml:space="preserve">s if restrictions other than </w:t>
      </w:r>
      <w:r>
        <w:rPr>
          <w:rFonts w:ascii="Times New Roman" w:eastAsia="Times New Roman" w:hAnsi="Times New Roman" w:cs="Times New Roman"/>
          <w:sz w:val="26"/>
          <w:szCs w:val="26"/>
        </w:rPr>
        <w:t>“</w:t>
      </w:r>
      <w:r w:rsidRPr="004D4CC0">
        <w:rPr>
          <w:rFonts w:ascii="Times New Roman" w:eastAsia="Times New Roman" w:hAnsi="Times New Roman" w:cs="Times New Roman"/>
          <w:sz w:val="26"/>
          <w:szCs w:val="26"/>
        </w:rPr>
        <w:t>low income</w:t>
      </w:r>
      <w:r>
        <w:rPr>
          <w:rFonts w:ascii="Times New Roman" w:eastAsia="Times New Roman" w:hAnsi="Times New Roman" w:cs="Times New Roman"/>
          <w:sz w:val="26"/>
          <w:szCs w:val="26"/>
        </w:rPr>
        <w:t>”</w:t>
      </w:r>
      <w:r w:rsidRPr="004D4CC0">
        <w:rPr>
          <w:rFonts w:ascii="Times New Roman" w:eastAsia="Times New Roman" w:hAnsi="Times New Roman" w:cs="Times New Roman"/>
          <w:sz w:val="26"/>
          <w:szCs w:val="26"/>
        </w:rPr>
        <w:t xml:space="preserve"> are eliminated</w:t>
      </w:r>
      <w:r>
        <w:rPr>
          <w:rFonts w:ascii="Times New Roman" w:eastAsia="Times New Roman" w:hAnsi="Times New Roman" w:cs="Times New Roman"/>
          <w:sz w:val="26"/>
          <w:szCs w:val="26"/>
        </w:rPr>
        <w:t xml:space="preserve"> </w:t>
      </w:r>
      <w:r w:rsidRPr="004D4CC0">
        <w:rPr>
          <w:rFonts w:ascii="Times New Roman" w:eastAsia="Times New Roman" w:hAnsi="Times New Roman" w:cs="Times New Roman"/>
          <w:sz w:val="26"/>
          <w:szCs w:val="26"/>
        </w:rPr>
        <w:t xml:space="preserve">for the years 2017 </w:t>
      </w:r>
      <w:r>
        <w:rPr>
          <w:rFonts w:ascii="Times New Roman" w:eastAsia="Times New Roman" w:hAnsi="Times New Roman" w:cs="Times New Roman"/>
          <w:sz w:val="26"/>
          <w:szCs w:val="26"/>
        </w:rPr>
        <w:t xml:space="preserve">through 2021.  These </w:t>
      </w:r>
      <w:r w:rsidRPr="004D4CC0">
        <w:rPr>
          <w:rFonts w:ascii="Times New Roman" w:eastAsia="Times New Roman" w:hAnsi="Times New Roman" w:cs="Times New Roman"/>
          <w:sz w:val="26"/>
          <w:szCs w:val="26"/>
        </w:rPr>
        <w:t xml:space="preserve">will be separate </w:t>
      </w:r>
      <w:r>
        <w:rPr>
          <w:rFonts w:ascii="Times New Roman" w:eastAsia="Times New Roman" w:hAnsi="Times New Roman" w:cs="Times New Roman"/>
          <w:sz w:val="26"/>
          <w:szCs w:val="26"/>
        </w:rPr>
        <w:t xml:space="preserve">enrollment and cost forecasts </w:t>
      </w:r>
      <w:r w:rsidRPr="004D4CC0">
        <w:rPr>
          <w:rFonts w:ascii="Times New Roman" w:eastAsia="Times New Roman" w:hAnsi="Times New Roman" w:cs="Times New Roman"/>
          <w:sz w:val="26"/>
          <w:szCs w:val="26"/>
        </w:rPr>
        <w:t>from the 10% projection</w:t>
      </w:r>
      <w:r>
        <w:rPr>
          <w:rFonts w:ascii="Times New Roman" w:eastAsia="Times New Roman" w:hAnsi="Times New Roman" w:cs="Times New Roman"/>
          <w:sz w:val="26"/>
          <w:szCs w:val="26"/>
        </w:rPr>
        <w:t>s</w:t>
      </w:r>
      <w:r w:rsidRPr="004D4CC0">
        <w:rPr>
          <w:rFonts w:ascii="Times New Roman" w:eastAsia="Times New Roman" w:hAnsi="Times New Roman" w:cs="Times New Roman"/>
          <w:sz w:val="26"/>
          <w:szCs w:val="26"/>
        </w:rPr>
        <w:t xml:space="preserve"> for the years 2017</w:t>
      </w:r>
      <w:r>
        <w:rPr>
          <w:rFonts w:ascii="Times New Roman" w:eastAsia="Times New Roman" w:hAnsi="Times New Roman" w:cs="Times New Roman"/>
          <w:sz w:val="26"/>
          <w:szCs w:val="26"/>
        </w:rPr>
        <w:t xml:space="preserve"> through 2021 requested above.</w:t>
      </w:r>
    </w:p>
    <w:p w14:paraId="6F8268C1" w14:textId="77777777" w:rsidR="00C07736" w:rsidRDefault="00C07736" w:rsidP="0079256E">
      <w:pPr>
        <w:pStyle w:val="ListParagraph"/>
        <w:rPr>
          <w:sz w:val="26"/>
          <w:szCs w:val="26"/>
        </w:rPr>
      </w:pPr>
    </w:p>
    <w:p w14:paraId="78F9ABFF" w14:textId="45269564" w:rsidR="00C07736" w:rsidRPr="009803BF" w:rsidRDefault="00C07736" w:rsidP="0079256E">
      <w:pPr>
        <w:numPr>
          <w:ilvl w:val="0"/>
          <w:numId w:val="20"/>
        </w:numPr>
        <w:spacing w:after="0" w:line="360" w:lineRule="auto"/>
        <w:ind w:left="144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Provide</w:t>
      </w:r>
      <w:r w:rsidR="00F47EDD">
        <w:rPr>
          <w:rFonts w:ascii="Times New Roman" w:eastAsia="Times New Roman" w:hAnsi="Times New Roman" w:cs="Times New Roman"/>
          <w:sz w:val="26"/>
          <w:szCs w:val="26"/>
        </w:rPr>
        <w:t xml:space="preserve"> monthly customer tallies for all CAP customers claiming zero income in 2016 and 2017, broken out by heating type, if possible.  </w:t>
      </w:r>
    </w:p>
    <w:p w14:paraId="0B958EF4" w14:textId="77777777" w:rsidR="00632E9B" w:rsidRPr="00632E9B" w:rsidRDefault="00632E9B" w:rsidP="00632E9B">
      <w:pPr>
        <w:spacing w:after="0" w:line="360" w:lineRule="auto"/>
        <w:contextualSpacing/>
        <w:rPr>
          <w:rFonts w:ascii="Times New Roman" w:eastAsia="Times New Roman" w:hAnsi="Times New Roman" w:cs="Times New Roman"/>
          <w:sz w:val="26"/>
          <w:szCs w:val="26"/>
        </w:rPr>
      </w:pPr>
    </w:p>
    <w:p w14:paraId="6F541793" w14:textId="6FDEF808" w:rsidR="009E3777" w:rsidRDefault="00BA6C43" w:rsidP="00632E9B">
      <w:pPr>
        <w:pStyle w:val="NoSpacing"/>
        <w:numPr>
          <w:ilvl w:val="0"/>
          <w:numId w:val="6"/>
        </w:numPr>
        <w:spacing w:line="360" w:lineRule="auto"/>
        <w:ind w:left="0" w:firstLine="720"/>
        <w:contextualSpacing/>
        <w:rPr>
          <w:rFonts w:ascii="Times New Roman" w:hAnsi="Times New Roman" w:cs="Times New Roman"/>
          <w:sz w:val="26"/>
          <w:szCs w:val="26"/>
        </w:rPr>
      </w:pPr>
      <w:r>
        <w:rPr>
          <w:rFonts w:ascii="Times New Roman" w:hAnsi="Times New Roman" w:cs="Times New Roman"/>
          <w:sz w:val="26"/>
          <w:szCs w:val="26"/>
        </w:rPr>
        <w:t xml:space="preserve">That </w:t>
      </w:r>
      <w:r w:rsidR="00B02A87">
        <w:rPr>
          <w:rFonts w:ascii="Times New Roman" w:hAnsi="Times New Roman" w:cs="Times New Roman"/>
          <w:sz w:val="26"/>
          <w:szCs w:val="26"/>
        </w:rPr>
        <w:t xml:space="preserve">staff in the Bureau of Consumer Services and the Law Bureau shall convene a </w:t>
      </w:r>
      <w:r w:rsidR="00F37826">
        <w:rPr>
          <w:rFonts w:ascii="Times New Roman" w:hAnsi="Times New Roman" w:cs="Times New Roman"/>
          <w:sz w:val="26"/>
          <w:szCs w:val="26"/>
        </w:rPr>
        <w:t xml:space="preserve">stakeholder meeting on </w:t>
      </w:r>
      <w:r w:rsidR="00D240A0">
        <w:rPr>
          <w:rFonts w:ascii="Times New Roman" w:hAnsi="Times New Roman" w:cs="Times New Roman"/>
          <w:sz w:val="26"/>
          <w:szCs w:val="26"/>
        </w:rPr>
        <w:t xml:space="preserve">February 6, </w:t>
      </w:r>
      <w:r w:rsidR="003D3196">
        <w:rPr>
          <w:rFonts w:ascii="Times New Roman" w:hAnsi="Times New Roman" w:cs="Times New Roman"/>
          <w:sz w:val="26"/>
          <w:szCs w:val="26"/>
        </w:rPr>
        <w:t>2019</w:t>
      </w:r>
      <w:r w:rsidR="00F37826">
        <w:rPr>
          <w:rFonts w:ascii="Times New Roman" w:hAnsi="Times New Roman" w:cs="Times New Roman"/>
          <w:sz w:val="26"/>
          <w:szCs w:val="26"/>
        </w:rPr>
        <w:t xml:space="preserve">, to </w:t>
      </w:r>
      <w:r w:rsidR="002B5959">
        <w:rPr>
          <w:rFonts w:ascii="Times New Roman" w:hAnsi="Times New Roman" w:cs="Times New Roman"/>
          <w:sz w:val="26"/>
          <w:szCs w:val="26"/>
        </w:rPr>
        <w:t xml:space="preserve">discuss the Report and </w:t>
      </w:r>
      <w:r w:rsidR="00F37826">
        <w:rPr>
          <w:rFonts w:ascii="Times New Roman" w:hAnsi="Times New Roman" w:cs="Times New Roman"/>
          <w:sz w:val="26"/>
          <w:szCs w:val="26"/>
        </w:rPr>
        <w:t>clarify any questions regarding the supplement information required pursuant to this Order</w:t>
      </w:r>
      <w:r w:rsidR="007222EC">
        <w:rPr>
          <w:rFonts w:ascii="Times New Roman" w:hAnsi="Times New Roman" w:cs="Times New Roman"/>
          <w:sz w:val="26"/>
          <w:szCs w:val="26"/>
        </w:rPr>
        <w:t xml:space="preserve"> before the supplemental information and comments are due</w:t>
      </w:r>
      <w:r w:rsidR="00F37826">
        <w:rPr>
          <w:rFonts w:ascii="Times New Roman" w:hAnsi="Times New Roman" w:cs="Times New Roman"/>
          <w:sz w:val="26"/>
          <w:szCs w:val="26"/>
        </w:rPr>
        <w:t>.</w:t>
      </w:r>
    </w:p>
    <w:p w14:paraId="5EE4DDE8" w14:textId="5FAFB80D" w:rsidR="00856BFF" w:rsidRDefault="00856BFF" w:rsidP="00856BFF">
      <w:pPr>
        <w:pStyle w:val="NoSpacing"/>
        <w:spacing w:line="360" w:lineRule="auto"/>
        <w:contextualSpacing/>
        <w:rPr>
          <w:rFonts w:ascii="Times New Roman" w:hAnsi="Times New Roman" w:cs="Times New Roman"/>
          <w:sz w:val="26"/>
          <w:szCs w:val="26"/>
        </w:rPr>
      </w:pPr>
    </w:p>
    <w:p w14:paraId="7334B9B0" w14:textId="776AE3CD" w:rsidR="00856BFF" w:rsidRPr="00057993" w:rsidRDefault="00856BFF" w:rsidP="00856BFF">
      <w:pPr>
        <w:pStyle w:val="NoSpacing"/>
        <w:numPr>
          <w:ilvl w:val="0"/>
          <w:numId w:val="6"/>
        </w:numPr>
        <w:spacing w:line="360" w:lineRule="auto"/>
        <w:ind w:left="0" w:firstLine="720"/>
        <w:contextualSpacing/>
        <w:rPr>
          <w:rFonts w:ascii="Times New Roman" w:hAnsi="Times New Roman" w:cs="Times New Roman"/>
          <w:sz w:val="26"/>
          <w:szCs w:val="26"/>
        </w:rPr>
      </w:pPr>
      <w:r>
        <w:rPr>
          <w:rFonts w:ascii="Times New Roman" w:hAnsi="Times New Roman" w:cs="Times New Roman"/>
          <w:sz w:val="26"/>
          <w:szCs w:val="26"/>
        </w:rPr>
        <w:t xml:space="preserve">That staff in the Bureau of Consumer Services and the Law Bureau shall convene a </w:t>
      </w:r>
      <w:r>
        <w:rPr>
          <w:rFonts w:ascii="Times New Roman" w:eastAsia="Times New Roman" w:hAnsi="Times New Roman" w:cs="Times New Roman"/>
          <w:color w:val="0D0D0D"/>
          <w:sz w:val="26"/>
          <w:szCs w:val="26"/>
        </w:rPr>
        <w:t xml:space="preserve">universal service reporting working group to, </w:t>
      </w:r>
      <w:r w:rsidRPr="00CB6933">
        <w:rPr>
          <w:rFonts w:ascii="Times New Roman" w:eastAsia="Times New Roman" w:hAnsi="Times New Roman" w:cs="Times New Roman"/>
          <w:i/>
          <w:color w:val="0D0D0D"/>
          <w:sz w:val="26"/>
          <w:szCs w:val="26"/>
        </w:rPr>
        <w:t>inter alia</w:t>
      </w:r>
      <w:r>
        <w:rPr>
          <w:rFonts w:ascii="Times New Roman" w:eastAsia="Times New Roman" w:hAnsi="Times New Roman" w:cs="Times New Roman"/>
          <w:color w:val="0D0D0D"/>
          <w:sz w:val="26"/>
          <w:szCs w:val="26"/>
        </w:rPr>
        <w:t xml:space="preserve">, standardize </w:t>
      </w:r>
      <w:r w:rsidR="00571E1D">
        <w:rPr>
          <w:rFonts w:ascii="Times New Roman" w:eastAsia="Times New Roman" w:hAnsi="Times New Roman" w:cs="Times New Roman"/>
          <w:color w:val="0D0D0D"/>
          <w:sz w:val="26"/>
          <w:szCs w:val="26"/>
        </w:rPr>
        <w:t xml:space="preserve">universal service reporting </w:t>
      </w:r>
      <w:r>
        <w:rPr>
          <w:rFonts w:ascii="Times New Roman" w:eastAsia="Times New Roman" w:hAnsi="Times New Roman" w:cs="Times New Roman"/>
          <w:color w:val="0D0D0D"/>
          <w:sz w:val="26"/>
          <w:szCs w:val="26"/>
        </w:rPr>
        <w:t>protocols for data definitions, tracking, and reporting</w:t>
      </w:r>
      <w:r w:rsidR="00622852">
        <w:rPr>
          <w:rFonts w:ascii="Times New Roman" w:eastAsia="Times New Roman" w:hAnsi="Times New Roman" w:cs="Times New Roman"/>
          <w:color w:val="0D0D0D"/>
          <w:sz w:val="26"/>
          <w:szCs w:val="26"/>
        </w:rPr>
        <w:t>,</w:t>
      </w:r>
      <w:r w:rsidR="00571E1D">
        <w:rPr>
          <w:rFonts w:ascii="Times New Roman" w:eastAsia="Times New Roman" w:hAnsi="Times New Roman" w:cs="Times New Roman"/>
          <w:color w:val="0D0D0D"/>
          <w:sz w:val="26"/>
          <w:szCs w:val="26"/>
        </w:rPr>
        <w:t xml:space="preserve"> prior to </w:t>
      </w:r>
      <w:r w:rsidR="007E5EA6">
        <w:rPr>
          <w:rFonts w:ascii="Times New Roman" w:eastAsia="Times New Roman" w:hAnsi="Times New Roman" w:cs="Times New Roman"/>
          <w:color w:val="0D0D0D"/>
          <w:sz w:val="26"/>
          <w:szCs w:val="26"/>
        </w:rPr>
        <w:t>July</w:t>
      </w:r>
      <w:r w:rsidR="007E5EA6" w:rsidRPr="007C4101">
        <w:rPr>
          <w:rFonts w:ascii="Times New Roman" w:eastAsia="Times New Roman" w:hAnsi="Times New Roman" w:cs="Times New Roman"/>
          <w:color w:val="0D0D0D"/>
          <w:sz w:val="26"/>
          <w:szCs w:val="26"/>
        </w:rPr>
        <w:t xml:space="preserve"> </w:t>
      </w:r>
      <w:r w:rsidR="00571E1D" w:rsidRPr="007C4101">
        <w:rPr>
          <w:rFonts w:ascii="Times New Roman" w:eastAsia="Times New Roman" w:hAnsi="Times New Roman" w:cs="Times New Roman"/>
          <w:color w:val="0D0D0D"/>
          <w:sz w:val="26"/>
          <w:szCs w:val="26"/>
        </w:rPr>
        <w:t>31, 2019</w:t>
      </w:r>
      <w:r w:rsidR="00571E1D">
        <w:rPr>
          <w:rFonts w:ascii="Times New Roman" w:eastAsia="Times New Roman" w:hAnsi="Times New Roman" w:cs="Times New Roman"/>
          <w:color w:val="0D0D0D"/>
          <w:sz w:val="26"/>
          <w:szCs w:val="26"/>
        </w:rPr>
        <w:t xml:space="preserve">, </w:t>
      </w:r>
      <w:r w:rsidR="001173A7" w:rsidRPr="001D71B4">
        <w:rPr>
          <w:rFonts w:ascii="Times New Roman" w:hAnsi="Times New Roman" w:cs="Times New Roman"/>
          <w:sz w:val="26"/>
          <w:szCs w:val="26"/>
        </w:rPr>
        <w:t xml:space="preserve">conclude its work no later than </w:t>
      </w:r>
      <w:r w:rsidR="001173A7">
        <w:rPr>
          <w:rFonts w:ascii="Times New Roman" w:hAnsi="Times New Roman" w:cs="Times New Roman"/>
          <w:sz w:val="26"/>
          <w:szCs w:val="26"/>
        </w:rPr>
        <w:t>December</w:t>
      </w:r>
      <w:r w:rsidR="001173A7" w:rsidRPr="001D71B4">
        <w:rPr>
          <w:rFonts w:ascii="Times New Roman" w:hAnsi="Times New Roman" w:cs="Times New Roman"/>
          <w:sz w:val="26"/>
          <w:szCs w:val="26"/>
        </w:rPr>
        <w:t xml:space="preserve"> 3</w:t>
      </w:r>
      <w:r w:rsidR="001173A7">
        <w:rPr>
          <w:rFonts w:ascii="Times New Roman" w:hAnsi="Times New Roman" w:cs="Times New Roman"/>
          <w:sz w:val="26"/>
          <w:szCs w:val="26"/>
        </w:rPr>
        <w:t>1</w:t>
      </w:r>
      <w:r w:rsidR="001173A7" w:rsidRPr="001D71B4">
        <w:rPr>
          <w:rFonts w:ascii="Times New Roman" w:hAnsi="Times New Roman" w:cs="Times New Roman"/>
          <w:sz w:val="26"/>
          <w:szCs w:val="26"/>
        </w:rPr>
        <w:t>, 2019</w:t>
      </w:r>
      <w:r w:rsidR="001173A7">
        <w:rPr>
          <w:rFonts w:ascii="Times New Roman" w:hAnsi="Times New Roman" w:cs="Times New Roman"/>
          <w:sz w:val="26"/>
          <w:szCs w:val="26"/>
        </w:rPr>
        <w:t xml:space="preserve">, </w:t>
      </w:r>
      <w:r w:rsidR="00571E1D">
        <w:rPr>
          <w:rFonts w:ascii="Times New Roman" w:eastAsia="Times New Roman" w:hAnsi="Times New Roman" w:cs="Times New Roman"/>
          <w:color w:val="0D0D0D"/>
          <w:sz w:val="26"/>
          <w:szCs w:val="26"/>
        </w:rPr>
        <w:t xml:space="preserve">and </w:t>
      </w:r>
      <w:r w:rsidR="00571E1D" w:rsidRPr="007C4101">
        <w:rPr>
          <w:rFonts w:ascii="Times New Roman" w:eastAsia="Times New Roman" w:hAnsi="Times New Roman" w:cs="Times New Roman"/>
          <w:color w:val="0D0D0D"/>
          <w:sz w:val="26"/>
          <w:szCs w:val="26"/>
        </w:rPr>
        <w:t>prov</w:t>
      </w:r>
      <w:r w:rsidR="00622852">
        <w:rPr>
          <w:rFonts w:ascii="Times New Roman" w:eastAsia="Times New Roman" w:hAnsi="Times New Roman" w:cs="Times New Roman"/>
          <w:color w:val="0D0D0D"/>
          <w:sz w:val="26"/>
          <w:szCs w:val="26"/>
        </w:rPr>
        <w:t>i</w:t>
      </w:r>
      <w:r w:rsidR="00571E1D" w:rsidRPr="007C4101">
        <w:rPr>
          <w:rFonts w:ascii="Times New Roman" w:eastAsia="Times New Roman" w:hAnsi="Times New Roman" w:cs="Times New Roman"/>
          <w:color w:val="0D0D0D"/>
          <w:sz w:val="26"/>
          <w:szCs w:val="26"/>
        </w:rPr>
        <w:t>d</w:t>
      </w:r>
      <w:r w:rsidR="00622852">
        <w:rPr>
          <w:rFonts w:ascii="Times New Roman" w:eastAsia="Times New Roman" w:hAnsi="Times New Roman" w:cs="Times New Roman"/>
          <w:color w:val="0D0D0D"/>
          <w:sz w:val="26"/>
          <w:szCs w:val="26"/>
        </w:rPr>
        <w:t>e</w:t>
      </w:r>
      <w:r w:rsidR="00571E1D">
        <w:rPr>
          <w:rFonts w:ascii="Times New Roman" w:eastAsia="Times New Roman" w:hAnsi="Times New Roman" w:cs="Times New Roman"/>
          <w:color w:val="0D0D0D"/>
          <w:sz w:val="26"/>
          <w:szCs w:val="26"/>
        </w:rPr>
        <w:t xml:space="preserve"> a consensus/non-consensus report to the Commission prior to </w:t>
      </w:r>
      <w:r w:rsidR="007E5EA6">
        <w:rPr>
          <w:rFonts w:ascii="Times New Roman" w:eastAsia="Times New Roman" w:hAnsi="Times New Roman" w:cs="Times New Roman"/>
          <w:color w:val="0D0D0D"/>
          <w:sz w:val="26"/>
          <w:szCs w:val="26"/>
        </w:rPr>
        <w:t>January</w:t>
      </w:r>
      <w:r w:rsidR="00652BAB">
        <w:rPr>
          <w:rFonts w:ascii="Times New Roman" w:eastAsia="Times New Roman" w:hAnsi="Times New Roman" w:cs="Times New Roman"/>
          <w:color w:val="0D0D0D"/>
          <w:sz w:val="26"/>
          <w:szCs w:val="26"/>
        </w:rPr>
        <w:t> </w:t>
      </w:r>
      <w:r w:rsidR="00571E1D">
        <w:rPr>
          <w:rFonts w:ascii="Times New Roman" w:eastAsia="Times New Roman" w:hAnsi="Times New Roman" w:cs="Times New Roman"/>
          <w:color w:val="0D0D0D"/>
          <w:sz w:val="26"/>
          <w:szCs w:val="26"/>
        </w:rPr>
        <w:t>3</w:t>
      </w:r>
      <w:r w:rsidR="000D4914">
        <w:rPr>
          <w:rFonts w:ascii="Times New Roman" w:eastAsia="Times New Roman" w:hAnsi="Times New Roman" w:cs="Times New Roman"/>
          <w:color w:val="0D0D0D"/>
          <w:sz w:val="26"/>
          <w:szCs w:val="26"/>
        </w:rPr>
        <w:t>1</w:t>
      </w:r>
      <w:r w:rsidR="00571E1D">
        <w:rPr>
          <w:rFonts w:ascii="Times New Roman" w:eastAsia="Times New Roman" w:hAnsi="Times New Roman" w:cs="Times New Roman"/>
          <w:color w:val="0D0D0D"/>
          <w:sz w:val="26"/>
          <w:szCs w:val="26"/>
        </w:rPr>
        <w:t>, 20</w:t>
      </w:r>
      <w:r w:rsidR="000D4914">
        <w:rPr>
          <w:rFonts w:ascii="Times New Roman" w:eastAsia="Times New Roman" w:hAnsi="Times New Roman" w:cs="Times New Roman"/>
          <w:color w:val="0D0D0D"/>
          <w:sz w:val="26"/>
          <w:szCs w:val="26"/>
        </w:rPr>
        <w:t>20</w:t>
      </w:r>
      <w:r w:rsidR="00571E1D">
        <w:rPr>
          <w:rFonts w:ascii="Times New Roman" w:eastAsia="Times New Roman" w:hAnsi="Times New Roman" w:cs="Times New Roman"/>
          <w:color w:val="0D0D0D"/>
          <w:sz w:val="26"/>
          <w:szCs w:val="26"/>
        </w:rPr>
        <w:t>.</w:t>
      </w:r>
    </w:p>
    <w:p w14:paraId="4CC115E8" w14:textId="28A9DBA5" w:rsidR="009E3777" w:rsidRPr="00057993" w:rsidRDefault="009E3777" w:rsidP="00D25C97">
      <w:pPr>
        <w:pStyle w:val="ListParagraph"/>
        <w:spacing w:line="360" w:lineRule="auto"/>
        <w:ind w:left="0" w:firstLine="720"/>
        <w:rPr>
          <w:sz w:val="26"/>
          <w:szCs w:val="26"/>
        </w:rPr>
      </w:pPr>
    </w:p>
    <w:p w14:paraId="55BE4585" w14:textId="1C328BA0" w:rsidR="00057993" w:rsidRPr="00057993" w:rsidRDefault="008F27A6" w:rsidP="00057993">
      <w:pPr>
        <w:pStyle w:val="NoSpacing"/>
        <w:numPr>
          <w:ilvl w:val="0"/>
          <w:numId w:val="6"/>
        </w:numPr>
        <w:spacing w:line="360" w:lineRule="auto"/>
        <w:ind w:left="0" w:firstLine="720"/>
        <w:contextualSpacing/>
        <w:rPr>
          <w:rFonts w:ascii="Times New Roman" w:hAnsi="Times New Roman" w:cs="Times New Roman"/>
          <w:sz w:val="26"/>
          <w:szCs w:val="26"/>
        </w:rPr>
      </w:pPr>
      <w:r>
        <w:rPr>
          <w:rFonts w:ascii="Times New Roman" w:eastAsia="Times New Roman" w:hAnsi="Times New Roman" w:cs="Times New Roman"/>
          <w:color w:val="0D0D0D"/>
          <w:sz w:val="26"/>
          <w:szCs w:val="26"/>
        </w:rPr>
        <w:t xml:space="preserve">That </w:t>
      </w:r>
      <w:bookmarkStart w:id="6" w:name="_Hlk535245593"/>
      <w:r>
        <w:rPr>
          <w:rFonts w:ascii="Times New Roman" w:eastAsia="Times New Roman" w:hAnsi="Times New Roman" w:cs="Times New Roman"/>
          <w:color w:val="0D0D0D"/>
          <w:sz w:val="26"/>
          <w:szCs w:val="26"/>
        </w:rPr>
        <w:t xml:space="preserve">the </w:t>
      </w:r>
      <w:r w:rsidR="00AB31C9">
        <w:rPr>
          <w:rFonts w:ascii="Times New Roman" w:eastAsia="Times New Roman" w:hAnsi="Times New Roman" w:cs="Times New Roman"/>
          <w:color w:val="0D0D0D"/>
          <w:sz w:val="26"/>
          <w:szCs w:val="26"/>
        </w:rPr>
        <w:t>natural gas distribution companies and the electric distribution companies</w:t>
      </w:r>
      <w:bookmarkEnd w:id="6"/>
      <w:r w:rsidR="00AB31C9">
        <w:rPr>
          <w:rFonts w:ascii="Times New Roman" w:eastAsia="Times New Roman" w:hAnsi="Times New Roman" w:cs="Times New Roman"/>
          <w:color w:val="0D0D0D"/>
          <w:sz w:val="26"/>
          <w:szCs w:val="26"/>
        </w:rPr>
        <w:t xml:space="preserve"> listed in Ordering Paragraph No. 3 ab</w:t>
      </w:r>
      <w:r w:rsidR="00CB4DD8">
        <w:rPr>
          <w:rFonts w:ascii="Times New Roman" w:eastAsia="Times New Roman" w:hAnsi="Times New Roman" w:cs="Times New Roman"/>
          <w:color w:val="0D0D0D"/>
          <w:sz w:val="26"/>
          <w:szCs w:val="26"/>
        </w:rPr>
        <w:t>ove shall p</w:t>
      </w:r>
      <w:r w:rsidR="00057993" w:rsidRPr="00057993">
        <w:rPr>
          <w:rFonts w:ascii="Times New Roman" w:eastAsia="Times New Roman" w:hAnsi="Times New Roman" w:cs="Times New Roman"/>
          <w:color w:val="0D0D0D"/>
          <w:sz w:val="26"/>
          <w:szCs w:val="26"/>
        </w:rPr>
        <w:t xml:space="preserve">articipate in a universal service reporting working group to, </w:t>
      </w:r>
      <w:r w:rsidR="00057993" w:rsidRPr="00057993">
        <w:rPr>
          <w:rFonts w:ascii="Times New Roman" w:eastAsia="Times New Roman" w:hAnsi="Times New Roman" w:cs="Times New Roman"/>
          <w:i/>
          <w:color w:val="0D0D0D"/>
          <w:sz w:val="26"/>
          <w:szCs w:val="26"/>
        </w:rPr>
        <w:t>inter alia</w:t>
      </w:r>
      <w:r w:rsidR="00057993" w:rsidRPr="00057993">
        <w:rPr>
          <w:rFonts w:ascii="Times New Roman" w:eastAsia="Times New Roman" w:hAnsi="Times New Roman" w:cs="Times New Roman"/>
          <w:color w:val="0D0D0D"/>
          <w:sz w:val="26"/>
          <w:szCs w:val="26"/>
        </w:rPr>
        <w:t>, standardize universal service reporting protocols for data definitions, tracking, and reporting</w:t>
      </w:r>
      <w:r w:rsidR="00057993" w:rsidRPr="00057993">
        <w:rPr>
          <w:rFonts w:ascii="Times New Roman" w:eastAsia="Times New Roman" w:hAnsi="Times New Roman" w:cs="Times New Roman"/>
          <w:sz w:val="26"/>
          <w:szCs w:val="26"/>
        </w:rPr>
        <w:t>.</w:t>
      </w:r>
    </w:p>
    <w:p w14:paraId="7F7DEA9C" w14:textId="77777777" w:rsidR="00057993" w:rsidRPr="00057993" w:rsidRDefault="00057993" w:rsidP="00057993">
      <w:pPr>
        <w:spacing w:after="0" w:line="360" w:lineRule="auto"/>
        <w:ind w:left="1080"/>
        <w:contextualSpacing/>
        <w:rPr>
          <w:rFonts w:ascii="Times New Roman" w:eastAsia="Times New Roman" w:hAnsi="Times New Roman" w:cs="Times New Roman"/>
          <w:sz w:val="26"/>
          <w:szCs w:val="26"/>
        </w:rPr>
      </w:pPr>
    </w:p>
    <w:p w14:paraId="5372F203" w14:textId="5668C556" w:rsidR="00A711ED" w:rsidRDefault="00C422F0" w:rsidP="009705A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9</w:t>
      </w:r>
      <w:r w:rsidR="00A711ED" w:rsidRPr="00050D93">
        <w:rPr>
          <w:rFonts w:ascii="Times New Roman" w:eastAsia="Times New Roman" w:hAnsi="Times New Roman" w:cs="Times New Roman"/>
          <w:sz w:val="26"/>
          <w:szCs w:val="26"/>
        </w:rPr>
        <w:t>.</w:t>
      </w:r>
      <w:r w:rsidR="00A711ED" w:rsidRPr="00050D93">
        <w:rPr>
          <w:rFonts w:ascii="Times New Roman" w:eastAsia="Times New Roman" w:hAnsi="Times New Roman" w:cs="Times New Roman"/>
          <w:sz w:val="26"/>
          <w:szCs w:val="26"/>
        </w:rPr>
        <w:tab/>
        <w:t xml:space="preserve">That the contact person regarding </w:t>
      </w:r>
      <w:r w:rsidR="00A711ED">
        <w:rPr>
          <w:rFonts w:ascii="Times New Roman" w:eastAsia="Times New Roman" w:hAnsi="Times New Roman" w:cs="Times New Roman"/>
          <w:sz w:val="26"/>
          <w:szCs w:val="26"/>
        </w:rPr>
        <w:t xml:space="preserve">policy </w:t>
      </w:r>
      <w:r w:rsidR="00703D77">
        <w:rPr>
          <w:rFonts w:ascii="Times New Roman" w:eastAsia="Times New Roman" w:hAnsi="Times New Roman" w:cs="Times New Roman"/>
          <w:sz w:val="26"/>
          <w:szCs w:val="26"/>
        </w:rPr>
        <w:t xml:space="preserve">and technical </w:t>
      </w:r>
      <w:r w:rsidR="00A711ED" w:rsidRPr="00050D93">
        <w:rPr>
          <w:rFonts w:ascii="Times New Roman" w:eastAsia="Times New Roman" w:hAnsi="Times New Roman" w:cs="Times New Roman"/>
          <w:sz w:val="26"/>
          <w:szCs w:val="26"/>
        </w:rPr>
        <w:t xml:space="preserve">issues for this </w:t>
      </w:r>
      <w:r w:rsidR="00A711ED">
        <w:rPr>
          <w:rFonts w:ascii="Times New Roman" w:eastAsia="Times New Roman" w:hAnsi="Times New Roman" w:cs="Times New Roman"/>
          <w:sz w:val="26"/>
          <w:szCs w:val="26"/>
        </w:rPr>
        <w:t xml:space="preserve">proceeding is </w:t>
      </w:r>
      <w:r w:rsidR="009A6532">
        <w:rPr>
          <w:rFonts w:ascii="Times New Roman" w:eastAsia="Times New Roman" w:hAnsi="Times New Roman" w:cs="Times New Roman"/>
          <w:sz w:val="26"/>
          <w:szCs w:val="26"/>
        </w:rPr>
        <w:t>Joseph Magee, Bureau of Consumer Services</w:t>
      </w:r>
      <w:r w:rsidR="005C2902">
        <w:rPr>
          <w:rFonts w:ascii="Times New Roman" w:eastAsia="Times New Roman" w:hAnsi="Times New Roman" w:cs="Times New Roman"/>
          <w:sz w:val="26"/>
          <w:szCs w:val="26"/>
        </w:rPr>
        <w:t xml:space="preserve">, </w:t>
      </w:r>
      <w:hyperlink r:id="rId8" w:history="1">
        <w:r w:rsidR="005C2902" w:rsidRPr="001B1B67">
          <w:rPr>
            <w:rStyle w:val="Hyperlink"/>
            <w:rFonts w:ascii="Times New Roman" w:eastAsia="Times New Roman" w:hAnsi="Times New Roman" w:cs="Times New Roman"/>
            <w:sz w:val="26"/>
            <w:szCs w:val="26"/>
          </w:rPr>
          <w:t>jmagee@pa.gov</w:t>
        </w:r>
      </w:hyperlink>
      <w:r w:rsidR="005C2902">
        <w:rPr>
          <w:rFonts w:ascii="Times New Roman" w:eastAsia="Times New Roman" w:hAnsi="Times New Roman" w:cs="Times New Roman"/>
          <w:sz w:val="26"/>
          <w:szCs w:val="26"/>
        </w:rPr>
        <w:t xml:space="preserve">.  The </w:t>
      </w:r>
      <w:r w:rsidR="00703D77" w:rsidRPr="00050D93">
        <w:rPr>
          <w:rFonts w:ascii="Times New Roman" w:eastAsia="Times New Roman" w:hAnsi="Times New Roman" w:cs="Times New Roman"/>
          <w:sz w:val="26"/>
          <w:szCs w:val="26"/>
        </w:rPr>
        <w:t xml:space="preserve">contact person regarding </w:t>
      </w:r>
      <w:r w:rsidR="00153403">
        <w:rPr>
          <w:rFonts w:ascii="Times New Roman" w:eastAsia="Times New Roman" w:hAnsi="Times New Roman" w:cs="Times New Roman"/>
          <w:sz w:val="26"/>
          <w:szCs w:val="26"/>
        </w:rPr>
        <w:t xml:space="preserve">legal </w:t>
      </w:r>
      <w:r w:rsidR="00703D77" w:rsidRPr="00050D93">
        <w:rPr>
          <w:rFonts w:ascii="Times New Roman" w:eastAsia="Times New Roman" w:hAnsi="Times New Roman" w:cs="Times New Roman"/>
          <w:sz w:val="26"/>
          <w:szCs w:val="26"/>
        </w:rPr>
        <w:t xml:space="preserve">issues for this </w:t>
      </w:r>
      <w:r w:rsidR="00703D77">
        <w:rPr>
          <w:rFonts w:ascii="Times New Roman" w:eastAsia="Times New Roman" w:hAnsi="Times New Roman" w:cs="Times New Roman"/>
          <w:sz w:val="26"/>
          <w:szCs w:val="26"/>
        </w:rPr>
        <w:t>proceeding is</w:t>
      </w:r>
      <w:r w:rsidR="009A6532">
        <w:rPr>
          <w:rFonts w:ascii="Times New Roman" w:eastAsia="Times New Roman" w:hAnsi="Times New Roman" w:cs="Times New Roman"/>
          <w:sz w:val="26"/>
          <w:szCs w:val="26"/>
        </w:rPr>
        <w:t xml:space="preserve"> </w:t>
      </w:r>
      <w:r w:rsidR="00A711ED" w:rsidRPr="00050D93">
        <w:rPr>
          <w:rFonts w:ascii="Times New Roman" w:eastAsia="Times New Roman" w:hAnsi="Times New Roman" w:cs="Times New Roman"/>
          <w:sz w:val="26"/>
          <w:szCs w:val="26"/>
        </w:rPr>
        <w:t xml:space="preserve">rulemaking is Assistant Counsel Louise Fink Smith, Law Bureau, </w:t>
      </w:r>
      <w:hyperlink r:id="rId9" w:history="1">
        <w:r w:rsidR="00A711ED" w:rsidRPr="00050D93">
          <w:rPr>
            <w:rFonts w:ascii="Times New Roman" w:eastAsia="Times New Roman" w:hAnsi="Times New Roman" w:cs="Times New Roman"/>
            <w:color w:val="0000FF"/>
            <w:sz w:val="26"/>
            <w:szCs w:val="26"/>
            <w:u w:val="single"/>
          </w:rPr>
          <w:t>finksmith@pa.gov</w:t>
        </w:r>
      </w:hyperlink>
      <w:r w:rsidR="00A711ED" w:rsidRPr="00050D93">
        <w:rPr>
          <w:rFonts w:ascii="Times New Roman" w:eastAsia="Times New Roman" w:hAnsi="Times New Roman" w:cs="Times New Roman"/>
          <w:sz w:val="26"/>
          <w:szCs w:val="26"/>
        </w:rPr>
        <w:t>.</w:t>
      </w:r>
    </w:p>
    <w:p w14:paraId="431473C2" w14:textId="02A9BCC3" w:rsidR="00976954" w:rsidRDefault="00976954" w:rsidP="009705A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44BB2BCD" w14:textId="69D552CB" w:rsidR="00976954" w:rsidRPr="003A40AF" w:rsidRDefault="002A45F8" w:rsidP="002A45F8">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Pr>
          <w:rFonts w:ascii="Times New Roman" w:eastAsia="Times New Roman" w:hAnsi="Times New Roman" w:cs="Times New Roman"/>
          <w:sz w:val="26"/>
          <w:szCs w:val="26"/>
        </w:rPr>
        <w:tab/>
      </w:r>
      <w:r w:rsidR="003A40AF">
        <w:rPr>
          <w:rFonts w:ascii="Times New Roman" w:eastAsia="Times New Roman" w:hAnsi="Times New Roman" w:cs="Times New Roman"/>
          <w:sz w:val="26"/>
          <w:szCs w:val="26"/>
        </w:rPr>
        <w:t xml:space="preserve">That </w:t>
      </w:r>
      <w:r w:rsidR="003A40AF">
        <w:rPr>
          <w:rFonts w:ascii="Times New Roman" w:eastAsia="Times New Roman" w:hAnsi="Times New Roman" w:cs="Times New Roman"/>
          <w:color w:val="0D0D0D"/>
          <w:sz w:val="26"/>
          <w:szCs w:val="26"/>
        </w:rPr>
        <w:t>the natural gas distribution companies and the electric distribution companies</w:t>
      </w:r>
      <w:r w:rsidR="003A40AF">
        <w:rPr>
          <w:rFonts w:ascii="Times New Roman" w:eastAsia="Times New Roman" w:hAnsi="Times New Roman" w:cs="Times New Roman"/>
          <w:sz w:val="26"/>
          <w:szCs w:val="26"/>
        </w:rPr>
        <w:t xml:space="preserve"> </w:t>
      </w:r>
      <w:r w:rsidR="00364382">
        <w:rPr>
          <w:rFonts w:ascii="Times New Roman" w:eastAsia="Times New Roman" w:hAnsi="Times New Roman" w:cs="Times New Roman"/>
          <w:color w:val="0D0D0D"/>
          <w:sz w:val="26"/>
          <w:szCs w:val="26"/>
        </w:rPr>
        <w:t xml:space="preserve">listed in Ordering Paragraph No. 3 </w:t>
      </w:r>
      <w:r w:rsidR="003A40AF">
        <w:rPr>
          <w:rFonts w:ascii="Times New Roman" w:eastAsia="Times New Roman" w:hAnsi="Times New Roman" w:cs="Times New Roman"/>
          <w:sz w:val="26"/>
          <w:szCs w:val="26"/>
        </w:rPr>
        <w:t xml:space="preserve">shall file and serve the supplemental information requested herein within </w:t>
      </w:r>
      <w:r w:rsidR="00364382">
        <w:rPr>
          <w:rFonts w:ascii="Times New Roman" w:eastAsia="Times New Roman" w:hAnsi="Times New Roman" w:cs="Times New Roman"/>
          <w:sz w:val="26"/>
          <w:szCs w:val="26"/>
        </w:rPr>
        <w:t>thirty</w:t>
      </w:r>
      <w:r w:rsidR="003A40AF">
        <w:rPr>
          <w:rFonts w:ascii="Times New Roman" w:eastAsia="Times New Roman" w:hAnsi="Times New Roman" w:cs="Times New Roman"/>
          <w:sz w:val="26"/>
          <w:szCs w:val="26"/>
        </w:rPr>
        <w:t xml:space="preserve"> (</w:t>
      </w:r>
      <w:r w:rsidR="00364382">
        <w:rPr>
          <w:rFonts w:ascii="Times New Roman" w:eastAsia="Times New Roman" w:hAnsi="Times New Roman" w:cs="Times New Roman"/>
          <w:sz w:val="26"/>
          <w:szCs w:val="26"/>
        </w:rPr>
        <w:t>3</w:t>
      </w:r>
      <w:r w:rsidR="003A40AF">
        <w:rPr>
          <w:rFonts w:ascii="Times New Roman" w:eastAsia="Times New Roman" w:hAnsi="Times New Roman" w:cs="Times New Roman"/>
          <w:sz w:val="26"/>
          <w:szCs w:val="26"/>
        </w:rPr>
        <w:t>0) days of the entry of this order:</w:t>
      </w:r>
    </w:p>
    <w:p w14:paraId="7BBB50ED" w14:textId="77777777" w:rsidR="00A711ED" w:rsidRDefault="00A711ED" w:rsidP="00A711ED">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2BC138B1" w14:textId="5A7C8E90" w:rsidR="00914342" w:rsidRDefault="002A45F8" w:rsidP="007F5145">
      <w:pPr>
        <w:pStyle w:val="ListParagraph"/>
        <w:spacing w:line="360" w:lineRule="auto"/>
        <w:ind w:left="0" w:firstLine="720"/>
        <w:rPr>
          <w:sz w:val="26"/>
          <w:szCs w:val="26"/>
        </w:rPr>
      </w:pPr>
      <w:r>
        <w:rPr>
          <w:sz w:val="26"/>
          <w:szCs w:val="26"/>
        </w:rPr>
        <w:t>11</w:t>
      </w:r>
      <w:r w:rsidR="00914342">
        <w:rPr>
          <w:sz w:val="26"/>
          <w:szCs w:val="26"/>
        </w:rPr>
        <w:t>.</w:t>
      </w:r>
      <w:r w:rsidR="00914342">
        <w:rPr>
          <w:sz w:val="26"/>
          <w:szCs w:val="26"/>
        </w:rPr>
        <w:tab/>
        <w:t xml:space="preserve">That interested parties may submit written comments at this docket, within </w:t>
      </w:r>
      <w:r w:rsidR="00F45ADF">
        <w:rPr>
          <w:sz w:val="26"/>
          <w:szCs w:val="26"/>
        </w:rPr>
        <w:t>twenty (2</w:t>
      </w:r>
      <w:r w:rsidR="002B5959">
        <w:rPr>
          <w:sz w:val="26"/>
          <w:szCs w:val="26"/>
        </w:rPr>
        <w:t>0</w:t>
      </w:r>
      <w:r w:rsidR="00F45ADF">
        <w:rPr>
          <w:sz w:val="26"/>
          <w:szCs w:val="26"/>
        </w:rPr>
        <w:t>)</w:t>
      </w:r>
      <w:r w:rsidR="00914342">
        <w:rPr>
          <w:sz w:val="26"/>
          <w:szCs w:val="26"/>
        </w:rPr>
        <w:t xml:space="preserve"> days </w:t>
      </w:r>
      <w:r w:rsidR="001B5120">
        <w:rPr>
          <w:sz w:val="26"/>
          <w:szCs w:val="26"/>
        </w:rPr>
        <w:t xml:space="preserve">after the filing deadline for the </w:t>
      </w:r>
      <w:r w:rsidR="00172CC3">
        <w:rPr>
          <w:sz w:val="26"/>
          <w:szCs w:val="26"/>
        </w:rPr>
        <w:t xml:space="preserve">utilities’ </w:t>
      </w:r>
      <w:r w:rsidR="001B5120">
        <w:rPr>
          <w:sz w:val="26"/>
          <w:szCs w:val="26"/>
        </w:rPr>
        <w:t>supplemental information</w:t>
      </w:r>
      <w:r w:rsidR="00914342">
        <w:rPr>
          <w:sz w:val="26"/>
          <w:szCs w:val="26"/>
        </w:rPr>
        <w:t xml:space="preserve">. </w:t>
      </w:r>
      <w:r w:rsidR="00854308">
        <w:rPr>
          <w:sz w:val="26"/>
          <w:szCs w:val="26"/>
        </w:rPr>
        <w:t xml:space="preserve"> Reply comments will be due </w:t>
      </w:r>
      <w:r w:rsidR="00172CC3">
        <w:rPr>
          <w:sz w:val="26"/>
          <w:szCs w:val="26"/>
        </w:rPr>
        <w:t>fifteen (</w:t>
      </w:r>
      <w:r w:rsidR="002B5959">
        <w:rPr>
          <w:sz w:val="26"/>
          <w:szCs w:val="26"/>
        </w:rPr>
        <w:t>1</w:t>
      </w:r>
      <w:r w:rsidR="00172CC3">
        <w:rPr>
          <w:sz w:val="26"/>
          <w:szCs w:val="26"/>
        </w:rPr>
        <w:t>5)</w:t>
      </w:r>
      <w:r w:rsidR="002B5959">
        <w:rPr>
          <w:sz w:val="26"/>
          <w:szCs w:val="26"/>
        </w:rPr>
        <w:t xml:space="preserve"> days thereafter</w:t>
      </w:r>
      <w:r w:rsidR="00854308">
        <w:rPr>
          <w:sz w:val="26"/>
          <w:szCs w:val="26"/>
        </w:rPr>
        <w:t>.</w:t>
      </w:r>
    </w:p>
    <w:p w14:paraId="2EA8B43F" w14:textId="77777777" w:rsidR="00914342" w:rsidRDefault="00914342" w:rsidP="00D25C97">
      <w:pPr>
        <w:pStyle w:val="ListParagraph"/>
        <w:spacing w:line="360" w:lineRule="auto"/>
        <w:ind w:left="0" w:firstLine="720"/>
        <w:rPr>
          <w:sz w:val="26"/>
          <w:szCs w:val="26"/>
        </w:rPr>
      </w:pPr>
    </w:p>
    <w:p w14:paraId="5E523C48" w14:textId="4E2A2D08" w:rsidR="007E39F5" w:rsidRPr="004524C4" w:rsidRDefault="002A45F8" w:rsidP="002A45F8">
      <w:pPr>
        <w:pStyle w:val="ListParagraph"/>
        <w:overflowPunct w:val="0"/>
        <w:autoSpaceDE w:val="0"/>
        <w:autoSpaceDN w:val="0"/>
        <w:adjustRightInd w:val="0"/>
        <w:spacing w:line="360" w:lineRule="auto"/>
        <w:ind w:left="0" w:firstLine="720"/>
        <w:textAlignment w:val="baseline"/>
        <w:rPr>
          <w:sz w:val="26"/>
          <w:szCs w:val="26"/>
        </w:rPr>
      </w:pPr>
      <w:r>
        <w:rPr>
          <w:sz w:val="26"/>
          <w:szCs w:val="26"/>
        </w:rPr>
        <w:t>12.</w:t>
      </w:r>
      <w:r>
        <w:rPr>
          <w:sz w:val="26"/>
          <w:szCs w:val="26"/>
        </w:rPr>
        <w:tab/>
      </w:r>
      <w:r w:rsidR="00B84371" w:rsidRPr="004524C4">
        <w:rPr>
          <w:sz w:val="26"/>
          <w:szCs w:val="26"/>
        </w:rPr>
        <w:t xml:space="preserve">That </w:t>
      </w:r>
      <w:r w:rsidR="001613E9">
        <w:rPr>
          <w:sz w:val="26"/>
          <w:szCs w:val="26"/>
        </w:rPr>
        <w:t>supplemental information</w:t>
      </w:r>
      <w:r w:rsidR="001613E9" w:rsidRPr="001613E9">
        <w:rPr>
          <w:sz w:val="26"/>
          <w:szCs w:val="26"/>
        </w:rPr>
        <w:t>, comments, and reply comments</w:t>
      </w:r>
      <w:r w:rsidR="00B84371" w:rsidRPr="004524C4">
        <w:rPr>
          <w:sz w:val="26"/>
          <w:szCs w:val="26"/>
        </w:rPr>
        <w:t xml:space="preserve"> may be e-filed consistent with the Commission’s e-filing instructions at:  </w:t>
      </w:r>
      <w:hyperlink r:id="rId10" w:history="1">
        <w:r w:rsidR="00B84371" w:rsidRPr="004524C4">
          <w:rPr>
            <w:rStyle w:val="Hyperlink"/>
            <w:sz w:val="26"/>
            <w:szCs w:val="26"/>
          </w:rPr>
          <w:t>http://www.puc.pa.gov/efiling/default.aspx</w:t>
        </w:r>
      </w:hyperlink>
      <w:r w:rsidR="00B84371" w:rsidRPr="004524C4">
        <w:rPr>
          <w:sz w:val="26"/>
          <w:szCs w:val="26"/>
        </w:rPr>
        <w:t>.</w:t>
      </w:r>
      <w:r w:rsidR="00F04D6A" w:rsidRPr="004524C4">
        <w:rPr>
          <w:sz w:val="26"/>
          <w:szCs w:val="26"/>
        </w:rPr>
        <w:t xml:space="preserve">  If filling hard cop</w:t>
      </w:r>
      <w:r w:rsidR="0047796A">
        <w:rPr>
          <w:sz w:val="26"/>
          <w:szCs w:val="26"/>
        </w:rPr>
        <w:t>ies</w:t>
      </w:r>
      <w:r w:rsidR="00F04D6A" w:rsidRPr="004524C4">
        <w:rPr>
          <w:sz w:val="26"/>
          <w:szCs w:val="26"/>
        </w:rPr>
        <w:t xml:space="preserve">, </w:t>
      </w:r>
      <w:r w:rsidR="007E39F5" w:rsidRPr="004524C4">
        <w:rPr>
          <w:sz w:val="26"/>
          <w:szCs w:val="26"/>
        </w:rPr>
        <w:t xml:space="preserve">an original copy </w:t>
      </w:r>
      <w:r w:rsidR="00E85D88" w:rsidRPr="004524C4">
        <w:rPr>
          <w:sz w:val="26"/>
          <w:szCs w:val="26"/>
        </w:rPr>
        <w:t xml:space="preserve">is to be filed with </w:t>
      </w:r>
      <w:r w:rsidR="007E39F5" w:rsidRPr="004524C4">
        <w:rPr>
          <w:sz w:val="26"/>
          <w:szCs w:val="26"/>
        </w:rPr>
        <w:t xml:space="preserve">the Pennsylvania Public Utility Commission, Attn: Secretary, P.O. Box 3265, Harrisburg, PA 17105-3265.  </w:t>
      </w:r>
    </w:p>
    <w:p w14:paraId="13DF8654" w14:textId="77777777" w:rsidR="007E39F5" w:rsidRPr="00A76F8F" w:rsidRDefault="007E39F5" w:rsidP="007E39F5">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14:paraId="0130F4C6" w14:textId="243EAA2C" w:rsidR="007E39F5" w:rsidRPr="0077652A" w:rsidRDefault="004524C4" w:rsidP="00460ACD">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r w:rsidRPr="0077652A">
        <w:rPr>
          <w:rFonts w:ascii="Times New Roman" w:eastAsia="Times New Roman" w:hAnsi="Times New Roman" w:cs="Times New Roman"/>
          <w:sz w:val="26"/>
          <w:szCs w:val="26"/>
        </w:rPr>
        <w:t>1</w:t>
      </w:r>
      <w:r w:rsidR="002A45F8">
        <w:rPr>
          <w:rFonts w:ascii="Times New Roman" w:eastAsia="Times New Roman" w:hAnsi="Times New Roman" w:cs="Times New Roman"/>
          <w:sz w:val="26"/>
          <w:szCs w:val="26"/>
        </w:rPr>
        <w:t>3</w:t>
      </w:r>
      <w:r w:rsidR="007E39F5" w:rsidRPr="0077652A">
        <w:rPr>
          <w:rFonts w:ascii="Times New Roman" w:eastAsia="Times New Roman" w:hAnsi="Times New Roman" w:cs="Times New Roman"/>
          <w:sz w:val="26"/>
          <w:szCs w:val="26"/>
        </w:rPr>
        <w:t>.</w:t>
      </w:r>
      <w:r w:rsidR="007E39F5" w:rsidRPr="0077652A">
        <w:rPr>
          <w:rFonts w:ascii="Times New Roman" w:eastAsia="Times New Roman" w:hAnsi="Times New Roman" w:cs="Times New Roman"/>
          <w:sz w:val="26"/>
          <w:szCs w:val="26"/>
        </w:rPr>
        <w:tab/>
      </w:r>
      <w:r w:rsidR="00DD51AC" w:rsidRPr="0077652A">
        <w:rPr>
          <w:rFonts w:ascii="Times New Roman" w:eastAsia="Times New Roman" w:hAnsi="Times New Roman" w:cs="Times New Roman"/>
          <w:sz w:val="26"/>
          <w:szCs w:val="26"/>
        </w:rPr>
        <w:t>That e</w:t>
      </w:r>
      <w:r w:rsidR="007E39F5" w:rsidRPr="0077652A">
        <w:rPr>
          <w:rFonts w:ascii="Times New Roman" w:eastAsia="Times New Roman" w:hAnsi="Times New Roman" w:cs="Times New Roman"/>
          <w:sz w:val="26"/>
          <w:szCs w:val="26"/>
        </w:rPr>
        <w:t xml:space="preserve">lectronic copies in Microsoft Word-compatible </w:t>
      </w:r>
      <w:r w:rsidR="00E91028">
        <w:rPr>
          <w:rFonts w:ascii="Times New Roman" w:eastAsia="Times New Roman" w:hAnsi="Times New Roman" w:cs="Times New Roman"/>
          <w:sz w:val="26"/>
          <w:szCs w:val="26"/>
        </w:rPr>
        <w:t xml:space="preserve">or </w:t>
      </w:r>
      <w:r w:rsidR="007F5307">
        <w:rPr>
          <w:rFonts w:ascii="Times New Roman" w:eastAsia="Times New Roman" w:hAnsi="Times New Roman" w:cs="Times New Roman"/>
          <w:sz w:val="26"/>
          <w:szCs w:val="26"/>
        </w:rPr>
        <w:t xml:space="preserve">Microsoft </w:t>
      </w:r>
      <w:r w:rsidR="00E91028">
        <w:rPr>
          <w:rFonts w:ascii="Times New Roman" w:eastAsia="Times New Roman" w:hAnsi="Times New Roman" w:cs="Times New Roman"/>
          <w:sz w:val="26"/>
          <w:szCs w:val="26"/>
        </w:rPr>
        <w:t xml:space="preserve">Excel-compatible </w:t>
      </w:r>
      <w:r w:rsidR="007E39F5" w:rsidRPr="0077652A">
        <w:rPr>
          <w:rFonts w:ascii="Times New Roman" w:eastAsia="Times New Roman" w:hAnsi="Times New Roman" w:cs="Times New Roman"/>
          <w:sz w:val="26"/>
          <w:szCs w:val="26"/>
        </w:rPr>
        <w:t xml:space="preserve">format of all filings </w:t>
      </w:r>
      <w:r w:rsidR="00DD51AC" w:rsidRPr="0077652A">
        <w:rPr>
          <w:rFonts w:ascii="Times New Roman" w:eastAsia="Times New Roman" w:hAnsi="Times New Roman" w:cs="Times New Roman"/>
          <w:sz w:val="26"/>
          <w:szCs w:val="26"/>
        </w:rPr>
        <w:t xml:space="preserve">at this docket </w:t>
      </w:r>
      <w:r w:rsidR="007E39F5" w:rsidRPr="0077652A">
        <w:rPr>
          <w:rFonts w:ascii="Times New Roman" w:eastAsia="Times New Roman" w:hAnsi="Times New Roman" w:cs="Times New Roman"/>
          <w:sz w:val="26"/>
          <w:szCs w:val="26"/>
        </w:rPr>
        <w:t xml:space="preserve">shall be provided via email to </w:t>
      </w:r>
      <w:r w:rsidR="00DD51AC" w:rsidRPr="0077652A">
        <w:rPr>
          <w:rFonts w:ascii="Times New Roman" w:eastAsia="Times New Roman" w:hAnsi="Times New Roman" w:cs="Times New Roman"/>
          <w:sz w:val="26"/>
          <w:szCs w:val="26"/>
        </w:rPr>
        <w:t>the contact persons: Joseph Magee and Louise</w:t>
      </w:r>
      <w:r w:rsidR="00E91BA1">
        <w:rPr>
          <w:rFonts w:ascii="Times New Roman" w:eastAsia="Times New Roman" w:hAnsi="Times New Roman" w:cs="Times New Roman"/>
          <w:sz w:val="26"/>
          <w:szCs w:val="26"/>
        </w:rPr>
        <w:t> </w:t>
      </w:r>
      <w:r w:rsidR="00DD51AC" w:rsidRPr="0077652A">
        <w:rPr>
          <w:rFonts w:ascii="Times New Roman" w:eastAsia="Times New Roman" w:hAnsi="Times New Roman" w:cs="Times New Roman"/>
          <w:sz w:val="26"/>
          <w:szCs w:val="26"/>
        </w:rPr>
        <w:t>Fink Smith</w:t>
      </w:r>
      <w:r w:rsidR="007E39F5" w:rsidRPr="0077652A">
        <w:rPr>
          <w:rFonts w:ascii="Times New Roman" w:hAnsi="Times New Roman" w:cs="Times New Roman"/>
          <w:sz w:val="26"/>
          <w:szCs w:val="26"/>
        </w:rPr>
        <w:t>.</w:t>
      </w:r>
    </w:p>
    <w:p w14:paraId="3CD0CD4A" w14:textId="7479DE47" w:rsidR="00FB19BB" w:rsidRPr="00A32DEA" w:rsidRDefault="00B25B87" w:rsidP="00A32DEA">
      <w:pPr>
        <w:pStyle w:val="ListParagraph"/>
        <w:spacing w:line="360" w:lineRule="auto"/>
        <w:ind w:left="0" w:firstLine="720"/>
        <w:rPr>
          <w:sz w:val="26"/>
          <w:szCs w:val="26"/>
        </w:rPr>
      </w:pPr>
      <w:r w:rsidRPr="0077652A">
        <w:rPr>
          <w:sz w:val="26"/>
          <w:szCs w:val="26"/>
        </w:rPr>
        <w:t xml:space="preserve"> </w:t>
      </w:r>
    </w:p>
    <w:p w14:paraId="33712B85" w14:textId="00324292" w:rsidR="00A93F73" w:rsidRDefault="00E91BA1" w:rsidP="004B4FE6">
      <w:pPr>
        <w:spacing w:after="0" w:line="360" w:lineRule="auto"/>
        <w:ind w:firstLine="720"/>
        <w:contextualSpacing/>
        <w:rPr>
          <w:rFonts w:ascii="Times New Roman" w:hAnsi="Times New Roman"/>
          <w:sz w:val="26"/>
        </w:rPr>
      </w:pPr>
      <w:r>
        <w:rPr>
          <w:rFonts w:ascii="Times New Roman" w:hAnsi="Times New Roman"/>
          <w:sz w:val="26"/>
        </w:rPr>
        <w:t>1</w:t>
      </w:r>
      <w:r w:rsidR="00A32DEA">
        <w:rPr>
          <w:rFonts w:ascii="Times New Roman" w:hAnsi="Times New Roman"/>
          <w:sz w:val="26"/>
        </w:rPr>
        <w:t>4</w:t>
      </w:r>
      <w:r w:rsidR="00A520BC">
        <w:rPr>
          <w:rFonts w:ascii="Times New Roman" w:hAnsi="Times New Roman"/>
          <w:sz w:val="26"/>
        </w:rPr>
        <w:t>.</w:t>
      </w:r>
      <w:r w:rsidR="008E29C2">
        <w:rPr>
          <w:rFonts w:ascii="Times New Roman" w:hAnsi="Times New Roman"/>
          <w:sz w:val="26"/>
        </w:rPr>
        <w:tab/>
        <w:t xml:space="preserve">That </w:t>
      </w:r>
      <w:r w:rsidR="00B946B6">
        <w:rPr>
          <w:rFonts w:ascii="Times New Roman" w:hAnsi="Times New Roman"/>
          <w:sz w:val="26"/>
        </w:rPr>
        <w:t xml:space="preserve">this staff </w:t>
      </w:r>
      <w:r w:rsidR="008E29C2">
        <w:rPr>
          <w:rFonts w:ascii="Times New Roman" w:hAnsi="Times New Roman"/>
          <w:sz w:val="26"/>
        </w:rPr>
        <w:t>R</w:t>
      </w:r>
      <w:r w:rsidR="008E29C2" w:rsidRPr="00D57AF3">
        <w:rPr>
          <w:rFonts w:ascii="Times New Roman" w:hAnsi="Times New Roman" w:cs="Times New Roman"/>
          <w:sz w:val="26"/>
          <w:szCs w:val="26"/>
        </w:rPr>
        <w:t xml:space="preserve">eport </w:t>
      </w:r>
      <w:r w:rsidR="008E29C2">
        <w:rPr>
          <w:rFonts w:ascii="Times New Roman" w:hAnsi="Times New Roman" w:cs="Times New Roman"/>
          <w:sz w:val="26"/>
          <w:szCs w:val="26"/>
        </w:rPr>
        <w:t xml:space="preserve">is a staff work product.  It is not binding on the Commission, and it </w:t>
      </w:r>
      <w:r w:rsidR="008E29C2" w:rsidRPr="00D57AF3">
        <w:rPr>
          <w:rFonts w:ascii="Times New Roman" w:hAnsi="Times New Roman" w:cs="Times New Roman"/>
          <w:sz w:val="26"/>
          <w:szCs w:val="26"/>
        </w:rPr>
        <w:t>makes no recommendations for changes to the CAP Policy Statement or other universal service policies</w:t>
      </w:r>
      <w:r w:rsidR="008E29C2">
        <w:rPr>
          <w:rFonts w:ascii="Times New Roman" w:hAnsi="Times New Roman" w:cs="Times New Roman"/>
          <w:sz w:val="26"/>
          <w:szCs w:val="26"/>
        </w:rPr>
        <w:t xml:space="preserve"> or </w:t>
      </w:r>
      <w:r w:rsidR="008E29C2" w:rsidRPr="00D57AF3">
        <w:rPr>
          <w:rFonts w:ascii="Times New Roman" w:hAnsi="Times New Roman" w:cs="Times New Roman"/>
          <w:sz w:val="26"/>
          <w:szCs w:val="26"/>
        </w:rPr>
        <w:t xml:space="preserve">regulations.  </w:t>
      </w:r>
      <w:r w:rsidR="008E29C2">
        <w:rPr>
          <w:rFonts w:ascii="Times New Roman" w:hAnsi="Times New Roman" w:cs="Times New Roman"/>
          <w:sz w:val="26"/>
          <w:szCs w:val="26"/>
        </w:rPr>
        <w:t>T</w:t>
      </w:r>
      <w:r w:rsidR="008E29C2" w:rsidRPr="00D57AF3">
        <w:rPr>
          <w:rFonts w:ascii="Times New Roman" w:hAnsi="Times New Roman" w:cs="Times New Roman"/>
          <w:sz w:val="26"/>
          <w:szCs w:val="26"/>
        </w:rPr>
        <w:t xml:space="preserve">his staff </w:t>
      </w:r>
      <w:r w:rsidR="00B946B6">
        <w:rPr>
          <w:rFonts w:ascii="Times New Roman" w:hAnsi="Times New Roman" w:cs="Times New Roman"/>
          <w:sz w:val="26"/>
          <w:szCs w:val="26"/>
        </w:rPr>
        <w:t>R</w:t>
      </w:r>
      <w:r w:rsidR="008E29C2" w:rsidRPr="00D57AF3">
        <w:rPr>
          <w:rFonts w:ascii="Times New Roman" w:hAnsi="Times New Roman" w:cs="Times New Roman"/>
          <w:sz w:val="26"/>
          <w:szCs w:val="26"/>
        </w:rPr>
        <w:t xml:space="preserve">eport </w:t>
      </w:r>
      <w:r w:rsidR="008E29C2">
        <w:rPr>
          <w:rFonts w:ascii="Times New Roman" w:hAnsi="Times New Roman" w:cs="Times New Roman"/>
          <w:sz w:val="26"/>
          <w:szCs w:val="26"/>
        </w:rPr>
        <w:t xml:space="preserve">is not </w:t>
      </w:r>
      <w:r w:rsidR="008E29C2" w:rsidRPr="00D57AF3">
        <w:rPr>
          <w:rFonts w:ascii="Times New Roman" w:hAnsi="Times New Roman" w:cs="Times New Roman"/>
          <w:sz w:val="26"/>
          <w:szCs w:val="26"/>
        </w:rPr>
        <w:t xml:space="preserve">indicative of how the Commission may decide to act on </w:t>
      </w:r>
      <w:r w:rsidR="008E29C2">
        <w:rPr>
          <w:rFonts w:ascii="Times New Roman" w:hAnsi="Times New Roman" w:cs="Times New Roman"/>
          <w:sz w:val="26"/>
          <w:szCs w:val="26"/>
        </w:rPr>
        <w:t xml:space="preserve">universal service </w:t>
      </w:r>
      <w:r w:rsidR="008E29C2" w:rsidRPr="00D57AF3">
        <w:rPr>
          <w:rFonts w:ascii="Times New Roman" w:hAnsi="Times New Roman" w:cs="Times New Roman"/>
          <w:sz w:val="26"/>
          <w:szCs w:val="26"/>
        </w:rPr>
        <w:t>matter</w:t>
      </w:r>
      <w:r w:rsidR="008E29C2">
        <w:rPr>
          <w:rFonts w:ascii="Times New Roman" w:hAnsi="Times New Roman" w:cs="Times New Roman"/>
          <w:sz w:val="26"/>
          <w:szCs w:val="26"/>
        </w:rPr>
        <w:t>s</w:t>
      </w:r>
      <w:r w:rsidR="008E29C2" w:rsidRPr="00D57AF3">
        <w:rPr>
          <w:rFonts w:ascii="Times New Roman" w:hAnsi="Times New Roman" w:cs="Times New Roman"/>
          <w:sz w:val="26"/>
          <w:szCs w:val="26"/>
        </w:rPr>
        <w:t xml:space="preserve"> in this or other dockets. </w:t>
      </w:r>
      <w:r w:rsidR="008E29C2">
        <w:rPr>
          <w:rFonts w:ascii="Times New Roman" w:hAnsi="Times New Roman" w:cs="Times New Roman"/>
          <w:sz w:val="26"/>
          <w:szCs w:val="26"/>
        </w:rPr>
        <w:t xml:space="preserve"> </w:t>
      </w:r>
      <w:r w:rsidR="008E29C2" w:rsidRPr="00D57AF3">
        <w:rPr>
          <w:rFonts w:ascii="Times New Roman" w:hAnsi="Times New Roman" w:cs="Times New Roman"/>
          <w:sz w:val="26"/>
          <w:szCs w:val="26"/>
        </w:rPr>
        <w:t>The legal, policy, and procedural issues raised in this matter remain under Commission review and may be factored into a subsequent order at this or other dockets.</w:t>
      </w:r>
    </w:p>
    <w:p w14:paraId="1DB806C6" w14:textId="77777777" w:rsidR="004B4FE6" w:rsidRDefault="004B4FE6" w:rsidP="004B4FE6">
      <w:pPr>
        <w:spacing w:after="0" w:line="360" w:lineRule="auto"/>
        <w:ind w:firstLine="720"/>
        <w:contextualSpacing/>
        <w:rPr>
          <w:rFonts w:ascii="Times New Roman" w:hAnsi="Times New Roman"/>
          <w:sz w:val="26"/>
        </w:rPr>
      </w:pPr>
    </w:p>
    <w:p w14:paraId="2A5239D5" w14:textId="5F685112" w:rsidR="004B4FE6" w:rsidRPr="00F55AA5" w:rsidRDefault="004B4FE6" w:rsidP="00F55AA5">
      <w:pPr>
        <w:keepNext/>
        <w:spacing w:after="0" w:line="360" w:lineRule="auto"/>
        <w:ind w:firstLine="720"/>
        <w:contextualSpacing/>
        <w:rPr>
          <w:rFonts w:ascii="Times New Roman" w:hAnsi="Times New Roman"/>
          <w:sz w:val="26"/>
        </w:rPr>
      </w:pPr>
      <w:r>
        <w:rPr>
          <w:rFonts w:ascii="Times New Roman" w:hAnsi="Times New Roman"/>
          <w:sz w:val="26"/>
        </w:rPr>
        <w:t>1</w:t>
      </w:r>
      <w:r w:rsidR="00875CAB">
        <w:rPr>
          <w:rFonts w:ascii="Times New Roman" w:hAnsi="Times New Roman"/>
          <w:sz w:val="26"/>
        </w:rPr>
        <w:t>5</w:t>
      </w:r>
      <w:r>
        <w:rPr>
          <w:rFonts w:ascii="Times New Roman" w:hAnsi="Times New Roman"/>
          <w:sz w:val="26"/>
        </w:rPr>
        <w:t>.</w:t>
      </w:r>
      <w:r>
        <w:rPr>
          <w:rFonts w:ascii="Times New Roman" w:hAnsi="Times New Roman"/>
          <w:sz w:val="26"/>
        </w:rPr>
        <w:tab/>
      </w:r>
      <w:r w:rsidR="00904976">
        <w:rPr>
          <w:rFonts w:ascii="Times New Roman" w:hAnsi="Times New Roman" w:cs="Times New Roman"/>
          <w:sz w:val="26"/>
          <w:szCs w:val="26"/>
        </w:rPr>
        <w:t xml:space="preserve">That the natural gas distribution companies and the electric distribution companies listed in Ordering Paragraph No. 3 shall </w:t>
      </w:r>
      <w:r w:rsidR="0003183A">
        <w:rPr>
          <w:rFonts w:ascii="Times New Roman" w:hAnsi="Times New Roman" w:cs="Times New Roman"/>
          <w:sz w:val="26"/>
          <w:szCs w:val="26"/>
        </w:rPr>
        <w:t>p</w:t>
      </w:r>
      <w:r w:rsidR="00C21904">
        <w:rPr>
          <w:rFonts w:ascii="Times New Roman" w:eastAsia="Times New Roman" w:hAnsi="Times New Roman" w:cs="Times New Roman"/>
          <w:sz w:val="26"/>
          <w:szCs w:val="26"/>
        </w:rPr>
        <w:t>rovide monthly customer tallies for</w:t>
      </w:r>
      <w:r w:rsidR="00B40169">
        <w:rPr>
          <w:rFonts w:ascii="Times New Roman" w:eastAsia="Times New Roman" w:hAnsi="Times New Roman" w:cs="Times New Roman"/>
          <w:sz w:val="26"/>
          <w:szCs w:val="26"/>
        </w:rPr>
        <w:t xml:space="preserve"> </w:t>
      </w:r>
      <w:r w:rsidR="00C21904">
        <w:rPr>
          <w:rFonts w:ascii="Times New Roman" w:eastAsia="Times New Roman" w:hAnsi="Times New Roman" w:cs="Times New Roman"/>
          <w:sz w:val="26"/>
          <w:szCs w:val="26"/>
        </w:rPr>
        <w:t>all CAP customers claiming zero income, broken out by heating type, if possible</w:t>
      </w:r>
      <w:r w:rsidR="0003183A">
        <w:rPr>
          <w:rFonts w:ascii="Times New Roman" w:eastAsia="Times New Roman" w:hAnsi="Times New Roman" w:cs="Times New Roman"/>
          <w:sz w:val="26"/>
          <w:szCs w:val="26"/>
        </w:rPr>
        <w:t>,</w:t>
      </w:r>
      <w:r w:rsidR="00C21904">
        <w:rPr>
          <w:rFonts w:ascii="Times New Roman" w:eastAsia="Times New Roman" w:hAnsi="Times New Roman" w:cs="Times New Roman"/>
          <w:sz w:val="26"/>
          <w:szCs w:val="26"/>
        </w:rPr>
        <w:t xml:space="preserve"> as part of each utility’s 2018 Universal Service Reporting in a separate spreadsheet</w:t>
      </w:r>
      <w:r w:rsidR="00F55AA5">
        <w:rPr>
          <w:rFonts w:ascii="Times New Roman" w:eastAsia="Times New Roman" w:hAnsi="Times New Roman" w:cs="Times New Roman"/>
          <w:sz w:val="26"/>
          <w:szCs w:val="26"/>
        </w:rPr>
        <w:t>.</w:t>
      </w:r>
    </w:p>
    <w:p w14:paraId="68507412" w14:textId="77777777" w:rsidR="00CD4DE0" w:rsidRDefault="00CD4DE0" w:rsidP="00CC0786">
      <w:pPr>
        <w:keepNext/>
        <w:spacing w:after="0" w:line="360" w:lineRule="auto"/>
        <w:ind w:firstLine="720"/>
        <w:contextualSpacing/>
        <w:rPr>
          <w:rFonts w:ascii="Times New Roman" w:hAnsi="Times New Roman"/>
          <w:sz w:val="26"/>
        </w:rPr>
      </w:pPr>
    </w:p>
    <w:p w14:paraId="5089D956" w14:textId="47FB8F09" w:rsidR="000B2531" w:rsidRPr="00267222" w:rsidRDefault="00D334B2" w:rsidP="00CC0786">
      <w:pPr>
        <w:keepNext/>
        <w:keepLines/>
        <w:spacing w:after="0" w:line="240" w:lineRule="auto"/>
        <w:ind w:left="2880" w:firstLine="720"/>
        <w:contextualSpacing/>
        <w:rPr>
          <w:rFonts w:ascii="Times New Roman" w:eastAsia="Times New Roman" w:hAnsi="Times New Roman" w:cs="Times New Roman"/>
          <w:b/>
          <w:sz w:val="26"/>
          <w:szCs w:val="26"/>
        </w:rPr>
      </w:pPr>
      <w:r w:rsidRPr="009F01BA">
        <w:rPr>
          <w:b/>
          <w:noProof/>
          <w:sz w:val="20"/>
          <w:szCs w:val="20"/>
        </w:rPr>
        <w:drawing>
          <wp:anchor distT="0" distB="0" distL="114300" distR="114300" simplePos="0" relativeHeight="251659264" behindDoc="1" locked="0" layoutInCell="1" allowOverlap="1" wp14:anchorId="3F38C158" wp14:editId="19502A7C">
            <wp:simplePos x="0" y="0"/>
            <wp:positionH relativeFrom="column">
              <wp:posOffset>2428875</wp:posOffset>
            </wp:positionH>
            <wp:positionV relativeFrom="paragraph">
              <wp:posOffset>83820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0B2531" w:rsidRPr="00267222">
        <w:rPr>
          <w:rFonts w:ascii="Times New Roman" w:eastAsia="Times New Roman" w:hAnsi="Times New Roman" w:cs="Times New Roman"/>
          <w:sz w:val="26"/>
          <w:szCs w:val="26"/>
        </w:rPr>
        <w:tab/>
      </w:r>
      <w:r w:rsidR="000B2531" w:rsidRPr="00267222">
        <w:rPr>
          <w:rFonts w:ascii="Times New Roman" w:eastAsia="Times New Roman" w:hAnsi="Times New Roman" w:cs="Times New Roman"/>
          <w:b/>
          <w:sz w:val="26"/>
          <w:szCs w:val="26"/>
        </w:rPr>
        <w:t>BY THE COMMISSION,</w:t>
      </w:r>
    </w:p>
    <w:p w14:paraId="5363990C" w14:textId="7E4C1597" w:rsidR="00C02105" w:rsidRPr="00267222" w:rsidRDefault="00C02105" w:rsidP="00FF06AE">
      <w:pPr>
        <w:keepNext/>
        <w:keepLines/>
        <w:spacing w:after="0" w:line="240" w:lineRule="auto"/>
        <w:contextualSpacing/>
      </w:pPr>
    </w:p>
    <w:p w14:paraId="2EF35546" w14:textId="0F54EC57" w:rsidR="000B2531" w:rsidRDefault="000B2531" w:rsidP="000B1267">
      <w:pPr>
        <w:keepNext/>
        <w:keepLines/>
        <w:spacing w:after="0" w:line="240" w:lineRule="auto"/>
        <w:contextualSpacing/>
        <w:rPr>
          <w:rFonts w:ascii="Times New Roman" w:eastAsia="Times New Roman" w:hAnsi="Times New Roman" w:cs="Times New Roman"/>
          <w:sz w:val="26"/>
          <w:szCs w:val="26"/>
        </w:rPr>
      </w:pPr>
    </w:p>
    <w:p w14:paraId="3E94E7BA" w14:textId="77777777" w:rsidR="00687216" w:rsidRPr="00267222" w:rsidRDefault="00687216" w:rsidP="000B1267">
      <w:pPr>
        <w:keepNext/>
        <w:keepLines/>
        <w:spacing w:after="0" w:line="240" w:lineRule="auto"/>
        <w:contextualSpacing/>
        <w:rPr>
          <w:rFonts w:ascii="Times New Roman" w:eastAsia="Times New Roman" w:hAnsi="Times New Roman" w:cs="Times New Roman"/>
          <w:sz w:val="26"/>
          <w:szCs w:val="26"/>
        </w:rPr>
      </w:pPr>
    </w:p>
    <w:p w14:paraId="481B3832" w14:textId="77777777" w:rsidR="000B2531" w:rsidRPr="00267222" w:rsidRDefault="000B2531" w:rsidP="00F20311">
      <w:pPr>
        <w:keepNext/>
        <w:keepLines/>
        <w:spacing w:after="0" w:line="24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t>Rosemary Chiavetta</w:t>
      </w:r>
    </w:p>
    <w:p w14:paraId="5747A0DE" w14:textId="77777777" w:rsidR="000B2531" w:rsidRPr="00267222" w:rsidRDefault="000B2531" w:rsidP="00B21351">
      <w:pPr>
        <w:keepNext/>
        <w:keepLines/>
        <w:spacing w:after="0" w:line="24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t>Secretary</w:t>
      </w:r>
    </w:p>
    <w:p w14:paraId="71F34228" w14:textId="77777777" w:rsidR="000B2531" w:rsidRPr="00267222" w:rsidRDefault="000B2531" w:rsidP="00B21351">
      <w:pPr>
        <w:keepNext/>
        <w:keepLines/>
        <w:spacing w:after="0" w:line="360" w:lineRule="auto"/>
        <w:contextualSpacing/>
        <w:rPr>
          <w:rFonts w:ascii="Times New Roman" w:eastAsia="Times New Roman" w:hAnsi="Times New Roman" w:cs="Times New Roman"/>
          <w:sz w:val="26"/>
          <w:szCs w:val="26"/>
        </w:rPr>
      </w:pPr>
    </w:p>
    <w:p w14:paraId="1C3DECBF" w14:textId="77777777" w:rsidR="000B2531" w:rsidRPr="00267222" w:rsidRDefault="000B2531" w:rsidP="00B21351">
      <w:pPr>
        <w:keepNext/>
        <w:keepLines/>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(SEAL)</w:t>
      </w:r>
    </w:p>
    <w:p w14:paraId="0EB02ABD" w14:textId="63092AF2" w:rsidR="000B2531" w:rsidRPr="00267222" w:rsidRDefault="000B2531" w:rsidP="00B21351">
      <w:pPr>
        <w:keepNext/>
        <w:keepLines/>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ORDER ADOPTED:</w:t>
      </w:r>
      <w:r w:rsidR="00687DDD" w:rsidRPr="00267222">
        <w:rPr>
          <w:rFonts w:ascii="Times New Roman" w:eastAsia="Times New Roman" w:hAnsi="Times New Roman" w:cs="Times New Roman"/>
          <w:sz w:val="26"/>
          <w:szCs w:val="26"/>
        </w:rPr>
        <w:t xml:space="preserve"> </w:t>
      </w:r>
      <w:r w:rsidR="00442837" w:rsidRPr="00267222">
        <w:rPr>
          <w:rFonts w:ascii="Times New Roman" w:eastAsia="Times New Roman" w:hAnsi="Times New Roman" w:cs="Times New Roman"/>
          <w:sz w:val="26"/>
          <w:szCs w:val="26"/>
        </w:rPr>
        <w:t xml:space="preserve"> </w:t>
      </w:r>
      <w:r w:rsidR="00996ECA">
        <w:rPr>
          <w:rFonts w:ascii="Times New Roman" w:eastAsia="Times New Roman" w:hAnsi="Times New Roman" w:cs="Times New Roman"/>
          <w:sz w:val="26"/>
          <w:szCs w:val="26"/>
        </w:rPr>
        <w:t>January 17, 2019</w:t>
      </w:r>
    </w:p>
    <w:p w14:paraId="176455DA" w14:textId="33955656" w:rsidR="000B2531" w:rsidRPr="000B2531" w:rsidRDefault="001B5F81" w:rsidP="00B21351">
      <w:pPr>
        <w:keepNext/>
        <w:keepLines/>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ORDER ENTERED:</w:t>
      </w:r>
      <w:r w:rsidR="00C02105">
        <w:rPr>
          <w:rFonts w:ascii="Times New Roman" w:eastAsia="Times New Roman" w:hAnsi="Times New Roman" w:cs="Times New Roman"/>
          <w:sz w:val="26"/>
          <w:szCs w:val="26"/>
        </w:rPr>
        <w:t xml:space="preserve">  </w:t>
      </w:r>
      <w:r w:rsidR="00D334B2">
        <w:rPr>
          <w:rFonts w:ascii="Times New Roman" w:eastAsia="Times New Roman" w:hAnsi="Times New Roman" w:cs="Times New Roman"/>
          <w:sz w:val="26"/>
          <w:szCs w:val="26"/>
        </w:rPr>
        <w:t>January 17, 2019</w:t>
      </w:r>
      <w:bookmarkStart w:id="7" w:name="_GoBack"/>
      <w:bookmarkEnd w:id="7"/>
    </w:p>
    <w:p w14:paraId="7F3E40B7" w14:textId="77777777" w:rsidR="002F357B" w:rsidRPr="000B2531" w:rsidRDefault="002F357B" w:rsidP="00B21351">
      <w:pPr>
        <w:keepLines/>
        <w:spacing w:after="0" w:line="360" w:lineRule="auto"/>
        <w:contextualSpacing/>
      </w:pPr>
    </w:p>
    <w:sectPr w:rsidR="002F357B" w:rsidRPr="000B2531" w:rsidSect="00CF68E8">
      <w:footerReference w:type="even" r:id="rId12"/>
      <w:footerReference w:type="defaul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FACA6" w14:textId="77777777" w:rsidR="005904B0" w:rsidRDefault="005904B0" w:rsidP="000B2531">
      <w:pPr>
        <w:spacing w:after="0" w:line="240" w:lineRule="auto"/>
      </w:pPr>
      <w:r>
        <w:separator/>
      </w:r>
    </w:p>
  </w:endnote>
  <w:endnote w:type="continuationSeparator" w:id="0">
    <w:p w14:paraId="0A8D47BC" w14:textId="77777777" w:rsidR="005904B0" w:rsidRDefault="005904B0" w:rsidP="000B2531">
      <w:pPr>
        <w:spacing w:after="0" w:line="240" w:lineRule="auto"/>
      </w:pPr>
      <w:r>
        <w:continuationSeparator/>
      </w:r>
    </w:p>
  </w:endnote>
  <w:endnote w:type="continuationNotice" w:id="1">
    <w:p w14:paraId="19BFFC3E" w14:textId="77777777" w:rsidR="005904B0" w:rsidRDefault="005904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1478" w14:textId="77777777" w:rsidR="0020794E" w:rsidRDefault="002079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367F278" w14:textId="77777777" w:rsidR="0020794E" w:rsidRDefault="00207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60E2" w14:textId="113C3B05" w:rsidR="0020794E" w:rsidRDefault="002079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728E8954" w14:textId="77777777" w:rsidR="0020794E" w:rsidRDefault="0020794E" w:rsidP="00130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25052"/>
      <w:docPartObj>
        <w:docPartGallery w:val="Page Numbers (Bottom of Page)"/>
        <w:docPartUnique/>
      </w:docPartObj>
    </w:sdtPr>
    <w:sdtEndPr>
      <w:rPr>
        <w:noProof/>
      </w:rPr>
    </w:sdtEndPr>
    <w:sdtContent>
      <w:p w14:paraId="20231D7F" w14:textId="7DCC4B03" w:rsidR="0020794E" w:rsidRDefault="0020794E">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14:paraId="7E2F43A3" w14:textId="77777777" w:rsidR="0020794E" w:rsidRDefault="0020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9F79E" w14:textId="77777777" w:rsidR="005904B0" w:rsidRDefault="005904B0" w:rsidP="000B2531">
      <w:pPr>
        <w:spacing w:after="0" w:line="240" w:lineRule="auto"/>
      </w:pPr>
      <w:r>
        <w:separator/>
      </w:r>
    </w:p>
  </w:footnote>
  <w:footnote w:type="continuationSeparator" w:id="0">
    <w:p w14:paraId="10DED524" w14:textId="77777777" w:rsidR="005904B0" w:rsidRDefault="005904B0" w:rsidP="000B2531">
      <w:pPr>
        <w:spacing w:after="0" w:line="240" w:lineRule="auto"/>
      </w:pPr>
      <w:r>
        <w:continuationSeparator/>
      </w:r>
    </w:p>
  </w:footnote>
  <w:footnote w:type="continuationNotice" w:id="1">
    <w:p w14:paraId="50358ED5" w14:textId="77777777" w:rsidR="005904B0" w:rsidRDefault="005904B0">
      <w:pPr>
        <w:spacing w:after="0" w:line="240" w:lineRule="auto"/>
      </w:pPr>
    </w:p>
  </w:footnote>
  <w:footnote w:id="2">
    <w:p w14:paraId="3C1367F0" w14:textId="0981EA34" w:rsidR="00FF31EB" w:rsidRPr="00F77434" w:rsidRDefault="006D7E27" w:rsidP="00FF31EB">
      <w:pPr>
        <w:pStyle w:val="FootnoteText"/>
        <w:rPr>
          <w:sz w:val="24"/>
          <w:szCs w:val="24"/>
        </w:rPr>
      </w:pPr>
      <w:r w:rsidRPr="003473A0">
        <w:rPr>
          <w:rStyle w:val="FootnoteReference"/>
          <w:sz w:val="24"/>
          <w:szCs w:val="24"/>
        </w:rPr>
        <w:footnoteRef/>
      </w:r>
      <w:r w:rsidRPr="003473A0">
        <w:rPr>
          <w:sz w:val="24"/>
          <w:szCs w:val="24"/>
        </w:rPr>
        <w:t xml:space="preserve">  By Secretarial Letter dated </w:t>
      </w:r>
      <w:r w:rsidR="000C0A0C">
        <w:rPr>
          <w:sz w:val="24"/>
          <w:szCs w:val="24"/>
        </w:rPr>
        <w:t xml:space="preserve">October 16, 2017, </w:t>
      </w:r>
      <w:r w:rsidR="001A7DE8">
        <w:rPr>
          <w:sz w:val="24"/>
          <w:szCs w:val="24"/>
        </w:rPr>
        <w:t xml:space="preserve">at this docket, </w:t>
      </w:r>
      <w:r w:rsidR="005012C3">
        <w:rPr>
          <w:sz w:val="24"/>
          <w:szCs w:val="24"/>
        </w:rPr>
        <w:t xml:space="preserve">the following </w:t>
      </w:r>
      <w:r w:rsidR="00EE0FB2">
        <w:rPr>
          <w:sz w:val="24"/>
          <w:szCs w:val="24"/>
        </w:rPr>
        <w:t xml:space="preserve">energy utilities were directed to </w:t>
      </w:r>
      <w:r w:rsidR="00525AC3">
        <w:rPr>
          <w:sz w:val="24"/>
          <w:szCs w:val="24"/>
        </w:rPr>
        <w:t xml:space="preserve">respond to a survey </w:t>
      </w:r>
      <w:r w:rsidR="00277400">
        <w:rPr>
          <w:sz w:val="24"/>
          <w:szCs w:val="24"/>
        </w:rPr>
        <w:t>regarding energy burdens, CAPs, and residential customer payment patterns</w:t>
      </w:r>
      <w:r w:rsidR="00AB5CC2">
        <w:rPr>
          <w:sz w:val="24"/>
          <w:szCs w:val="24"/>
        </w:rPr>
        <w:t xml:space="preserve"> for 2012 through 2016</w:t>
      </w:r>
      <w:r w:rsidR="00AC463A">
        <w:rPr>
          <w:sz w:val="24"/>
          <w:szCs w:val="24"/>
        </w:rPr>
        <w:t>, upon which the study would be based</w:t>
      </w:r>
      <w:r w:rsidR="00AB5CC2">
        <w:rPr>
          <w:sz w:val="24"/>
          <w:szCs w:val="24"/>
        </w:rPr>
        <w:t>.</w:t>
      </w:r>
      <w:r w:rsidR="00FF31EB">
        <w:rPr>
          <w:sz w:val="24"/>
          <w:szCs w:val="24"/>
        </w:rPr>
        <w:t xml:space="preserve">  </w:t>
      </w:r>
    </w:p>
    <w:p w14:paraId="13BDA398" w14:textId="407C2885" w:rsidR="00AC5352" w:rsidRDefault="00FF31EB" w:rsidP="00E8642F">
      <w:pPr>
        <w:pStyle w:val="FootnoteText"/>
        <w:ind w:left="360" w:hanging="360"/>
        <w:rPr>
          <w:sz w:val="24"/>
          <w:szCs w:val="24"/>
        </w:rPr>
      </w:pPr>
      <w:r w:rsidRPr="00CF1C77">
        <w:rPr>
          <w:b/>
          <w:sz w:val="24"/>
          <w:szCs w:val="24"/>
        </w:rPr>
        <w:tab/>
      </w:r>
      <w:r w:rsidRPr="00F77434">
        <w:rPr>
          <w:b/>
          <w:sz w:val="24"/>
          <w:szCs w:val="24"/>
          <w:u w:val="single"/>
        </w:rPr>
        <w:t>Natural Gas</w:t>
      </w:r>
      <w:r w:rsidRPr="00F77434">
        <w:rPr>
          <w:sz w:val="24"/>
          <w:szCs w:val="24"/>
        </w:rPr>
        <w:t xml:space="preserve">: Columbia Gas of Pennsylvania (Columbia), PECO Energy Co. (PECO Gas), National Fuel Gas Distribution Corp. (NFG), Peoples Natural Gas Co. (Peoples), Peoples-Equitable Division (Peoples Equitable), Philadelphia Gas Works (PGW), </w:t>
      </w:r>
      <w:r w:rsidR="00BC12C9">
        <w:rPr>
          <w:sz w:val="24"/>
          <w:szCs w:val="24"/>
        </w:rPr>
        <w:t xml:space="preserve">and </w:t>
      </w:r>
      <w:r w:rsidRPr="00F77434">
        <w:rPr>
          <w:sz w:val="24"/>
          <w:szCs w:val="24"/>
        </w:rPr>
        <w:t>UGI Utilities</w:t>
      </w:r>
      <w:r w:rsidR="00BC12C9">
        <w:rPr>
          <w:sz w:val="24"/>
          <w:szCs w:val="24"/>
        </w:rPr>
        <w:t xml:space="preserve">, </w:t>
      </w:r>
      <w:r w:rsidRPr="00F77434">
        <w:rPr>
          <w:sz w:val="24"/>
          <w:szCs w:val="24"/>
        </w:rPr>
        <w:t>Inc</w:t>
      </w:r>
      <w:r w:rsidR="003970C4" w:rsidRPr="003970C4">
        <w:rPr>
          <w:sz w:val="24"/>
          <w:szCs w:val="24"/>
        </w:rPr>
        <w:t xml:space="preserve"> (UGI Utilities Inc.– Gas</w:t>
      </w:r>
      <w:r w:rsidR="00123DEA">
        <w:rPr>
          <w:sz w:val="24"/>
          <w:szCs w:val="24"/>
        </w:rPr>
        <w:t xml:space="preserve"> </w:t>
      </w:r>
      <w:r w:rsidR="00D85755">
        <w:rPr>
          <w:sz w:val="24"/>
          <w:szCs w:val="24"/>
        </w:rPr>
        <w:t>[UGI Gas]</w:t>
      </w:r>
      <w:r w:rsidR="003970C4" w:rsidRPr="003970C4">
        <w:rPr>
          <w:sz w:val="24"/>
          <w:szCs w:val="24"/>
        </w:rPr>
        <w:t>, and UGI Penn Natural Gas</w:t>
      </w:r>
      <w:r w:rsidR="00D85755">
        <w:rPr>
          <w:sz w:val="24"/>
          <w:szCs w:val="24"/>
        </w:rPr>
        <w:t xml:space="preserve"> [UGI PNG]</w:t>
      </w:r>
      <w:r w:rsidR="003970C4" w:rsidRPr="003970C4">
        <w:rPr>
          <w:sz w:val="24"/>
          <w:szCs w:val="24"/>
        </w:rPr>
        <w:t>)</w:t>
      </w:r>
      <w:r w:rsidRPr="003970C4">
        <w:rPr>
          <w:sz w:val="24"/>
          <w:szCs w:val="24"/>
        </w:rPr>
        <w:t xml:space="preserve">.  </w:t>
      </w:r>
    </w:p>
    <w:p w14:paraId="66CE37FA" w14:textId="2D23391B" w:rsidR="006D7E27" w:rsidRPr="003473A0" w:rsidRDefault="00AC5352" w:rsidP="00AC5352">
      <w:pPr>
        <w:pStyle w:val="FootnoteText"/>
        <w:ind w:left="360" w:hanging="360"/>
        <w:rPr>
          <w:sz w:val="24"/>
          <w:szCs w:val="24"/>
        </w:rPr>
      </w:pPr>
      <w:r w:rsidRPr="00D71E6F">
        <w:rPr>
          <w:b/>
          <w:sz w:val="24"/>
          <w:szCs w:val="24"/>
        </w:rPr>
        <w:tab/>
      </w:r>
      <w:r w:rsidRPr="00F77434">
        <w:rPr>
          <w:b/>
          <w:sz w:val="24"/>
          <w:szCs w:val="24"/>
          <w:u w:val="single"/>
        </w:rPr>
        <w:t>Electric</w:t>
      </w:r>
      <w:r w:rsidRPr="00F77434">
        <w:rPr>
          <w:sz w:val="24"/>
          <w:szCs w:val="24"/>
        </w:rPr>
        <w:t>: Duquesne Light Co. (Duquesne), Metropolitan Edison Co. (Met-Ed), PECO Energy Co. (PECO Electric), Pennsylvania Electric Co. (Penelec), Pennsylvania Power Co. (Penn Power), PPL Electric Utilities Inc. (PPL), and West Penn Power Co. (West Penn).</w:t>
      </w:r>
    </w:p>
  </w:footnote>
  <w:footnote w:id="3">
    <w:p w14:paraId="546FE00D" w14:textId="07C41BC0" w:rsidR="002F6977" w:rsidRPr="003473A0" w:rsidRDefault="002F6977" w:rsidP="002F6977">
      <w:pPr>
        <w:pStyle w:val="FootnoteText"/>
        <w:rPr>
          <w:sz w:val="24"/>
          <w:szCs w:val="24"/>
        </w:rPr>
      </w:pPr>
      <w:r w:rsidRPr="003473A0">
        <w:rPr>
          <w:rStyle w:val="FootnoteReference"/>
          <w:sz w:val="24"/>
          <w:szCs w:val="24"/>
        </w:rPr>
        <w:footnoteRef/>
      </w:r>
      <w:r w:rsidRPr="003473A0">
        <w:rPr>
          <w:sz w:val="24"/>
          <w:szCs w:val="24"/>
        </w:rPr>
        <w:t xml:space="preserve">  </w:t>
      </w:r>
      <w:r w:rsidR="00E876EA">
        <w:rPr>
          <w:sz w:val="24"/>
          <w:szCs w:val="24"/>
        </w:rPr>
        <w:t>“</w:t>
      </w:r>
      <w:r w:rsidRPr="003473A0">
        <w:rPr>
          <w:sz w:val="24"/>
          <w:szCs w:val="24"/>
        </w:rPr>
        <w:t>Energy burden</w:t>
      </w:r>
      <w:r w:rsidR="00E876EA">
        <w:rPr>
          <w:sz w:val="24"/>
          <w:szCs w:val="24"/>
        </w:rPr>
        <w:t>”</w:t>
      </w:r>
      <w:r w:rsidRPr="003473A0">
        <w:rPr>
          <w:sz w:val="24"/>
          <w:szCs w:val="24"/>
        </w:rPr>
        <w:t xml:space="preserve"> refers to the percentage of household income that is dedicated to paying utility bills.  </w:t>
      </w:r>
      <w:r w:rsidRPr="003473A0">
        <w:rPr>
          <w:i/>
          <w:sz w:val="24"/>
          <w:szCs w:val="24"/>
        </w:rPr>
        <w:t xml:space="preserve">Duquesne Light Company USECP for 2017-2019 </w:t>
      </w:r>
      <w:r w:rsidRPr="003473A0">
        <w:rPr>
          <w:sz w:val="24"/>
          <w:szCs w:val="24"/>
        </w:rPr>
        <w:t>(</w:t>
      </w:r>
      <w:r w:rsidRPr="003473A0">
        <w:rPr>
          <w:i/>
          <w:sz w:val="24"/>
          <w:szCs w:val="24"/>
        </w:rPr>
        <w:t>Duquesne USECP Order</w:t>
      </w:r>
      <w:r w:rsidRPr="003473A0">
        <w:rPr>
          <w:sz w:val="24"/>
          <w:szCs w:val="24"/>
        </w:rPr>
        <w:t>), Docket No. M-2016-2534323 (Order entered March 23, 2017), at 28.</w:t>
      </w:r>
    </w:p>
  </w:footnote>
  <w:footnote w:id="4">
    <w:p w14:paraId="5FE9FAE7" w14:textId="6BC25CAC" w:rsidR="00161877" w:rsidRPr="005345D3" w:rsidRDefault="00161877" w:rsidP="00F062C4">
      <w:pPr>
        <w:spacing w:after="0" w:line="240" w:lineRule="auto"/>
        <w:rPr>
          <w:rFonts w:ascii="Times New Roman" w:hAnsi="Times New Roman" w:cs="Times New Roman"/>
          <w:sz w:val="24"/>
          <w:szCs w:val="24"/>
        </w:rPr>
      </w:pPr>
      <w:r w:rsidRPr="005345D3">
        <w:rPr>
          <w:rStyle w:val="FootnoteReference"/>
          <w:rFonts w:ascii="Times New Roman" w:hAnsi="Times New Roman" w:cs="Times New Roman"/>
          <w:sz w:val="24"/>
          <w:szCs w:val="24"/>
        </w:rPr>
        <w:footnoteRef/>
      </w:r>
      <w:r w:rsidRPr="005345D3">
        <w:rPr>
          <w:rFonts w:ascii="Times New Roman" w:hAnsi="Times New Roman" w:cs="Times New Roman"/>
          <w:sz w:val="24"/>
          <w:szCs w:val="24"/>
        </w:rPr>
        <w:t xml:space="preserve"> </w:t>
      </w:r>
      <w:r w:rsidR="009C5940" w:rsidRPr="005345D3">
        <w:rPr>
          <w:rFonts w:ascii="Times New Roman" w:hAnsi="Times New Roman" w:cs="Times New Roman"/>
          <w:sz w:val="24"/>
          <w:szCs w:val="24"/>
        </w:rPr>
        <w:t xml:space="preserve"> </w:t>
      </w:r>
      <w:r w:rsidRPr="005345D3">
        <w:rPr>
          <w:rFonts w:ascii="Times New Roman" w:hAnsi="Times New Roman" w:cs="Times New Roman"/>
          <w:sz w:val="24"/>
          <w:szCs w:val="24"/>
        </w:rPr>
        <w:t>52 Pa. Code § 69.265(2)(</w:t>
      </w:r>
      <w:proofErr w:type="spellStart"/>
      <w:proofErr w:type="gramStart"/>
      <w:r w:rsidRPr="005345D3">
        <w:rPr>
          <w:rFonts w:ascii="Times New Roman" w:hAnsi="Times New Roman" w:cs="Times New Roman"/>
          <w:sz w:val="24"/>
          <w:szCs w:val="24"/>
        </w:rPr>
        <w:t>i</w:t>
      </w:r>
      <w:proofErr w:type="spellEnd"/>
      <w:r w:rsidRPr="005345D3">
        <w:rPr>
          <w:rFonts w:ascii="Times New Roman" w:hAnsi="Times New Roman" w:cs="Times New Roman"/>
          <w:sz w:val="24"/>
          <w:szCs w:val="24"/>
        </w:rPr>
        <w:t>)(</w:t>
      </w:r>
      <w:proofErr w:type="gramEnd"/>
      <w:r w:rsidRPr="005345D3">
        <w:rPr>
          <w:rFonts w:ascii="Times New Roman" w:hAnsi="Times New Roman" w:cs="Times New Roman"/>
          <w:sz w:val="24"/>
          <w:szCs w:val="24"/>
        </w:rPr>
        <w:t>A-C).</w:t>
      </w:r>
    </w:p>
  </w:footnote>
  <w:footnote w:id="5">
    <w:p w14:paraId="2E4B4DA8" w14:textId="77777777" w:rsidR="00CB42D5" w:rsidRPr="006F2E38" w:rsidRDefault="00CB42D5" w:rsidP="00F062C4">
      <w:pPr>
        <w:spacing w:after="0" w:line="240" w:lineRule="auto"/>
        <w:rPr>
          <w:rFonts w:ascii="Times New Roman" w:hAnsi="Times New Roman" w:cs="Times New Roman"/>
          <w:sz w:val="24"/>
          <w:szCs w:val="24"/>
        </w:rPr>
      </w:pPr>
      <w:r w:rsidRPr="006F2E38">
        <w:rPr>
          <w:rStyle w:val="FootnoteReference"/>
          <w:rFonts w:ascii="Times New Roman" w:hAnsi="Times New Roman" w:cs="Times New Roman"/>
          <w:sz w:val="24"/>
          <w:szCs w:val="24"/>
        </w:rPr>
        <w:footnoteRef/>
      </w:r>
      <w:r w:rsidRPr="006F2E38">
        <w:rPr>
          <w:rFonts w:ascii="Times New Roman" w:hAnsi="Times New Roman" w:cs="Times New Roman"/>
          <w:sz w:val="24"/>
          <w:szCs w:val="24"/>
        </w:rPr>
        <w:t xml:space="preserve">  </w:t>
      </w:r>
      <w:r w:rsidRPr="006F2E38">
        <w:rPr>
          <w:rFonts w:ascii="Times New Roman" w:eastAsia="Times New Roman" w:hAnsi="Times New Roman" w:cs="Times New Roman"/>
          <w:bCs/>
          <w:sz w:val="24"/>
          <w:szCs w:val="24"/>
        </w:rPr>
        <w:t>Section 2202 defines “universal service and energy conservation” as the “[p]</w:t>
      </w:r>
      <w:proofErr w:type="spellStart"/>
      <w:r w:rsidRPr="006F2E38">
        <w:rPr>
          <w:rFonts w:ascii="Times New Roman" w:eastAsia="Times New Roman" w:hAnsi="Times New Roman" w:cs="Times New Roman"/>
          <w:sz w:val="24"/>
          <w:szCs w:val="24"/>
        </w:rPr>
        <w:t>olicies</w:t>
      </w:r>
      <w:proofErr w:type="spellEnd"/>
      <w:r w:rsidRPr="006F2E38">
        <w:rPr>
          <w:rFonts w:ascii="Times New Roman" w:eastAsia="Times New Roman" w:hAnsi="Times New Roman" w:cs="Times New Roman"/>
          <w:sz w:val="24"/>
          <w:szCs w:val="24"/>
        </w:rPr>
        <w:t>, practices and services that help residential low-income retail gas customers and other residential retail gas customers experiencing temporary emergencies, as defined by the [C]</w:t>
      </w:r>
      <w:proofErr w:type="spellStart"/>
      <w:r w:rsidRPr="006F2E38">
        <w:rPr>
          <w:rFonts w:ascii="Times New Roman" w:eastAsia="Times New Roman" w:hAnsi="Times New Roman" w:cs="Times New Roman"/>
          <w:sz w:val="24"/>
          <w:szCs w:val="24"/>
        </w:rPr>
        <w:t>ommission</w:t>
      </w:r>
      <w:proofErr w:type="spellEnd"/>
      <w:r w:rsidRPr="006F2E38">
        <w:rPr>
          <w:rFonts w:ascii="Times New Roman" w:eastAsia="Times New Roman" w:hAnsi="Times New Roman" w:cs="Times New Roman"/>
          <w:sz w:val="24"/>
          <w:szCs w:val="24"/>
        </w:rPr>
        <w:t xml:space="preserve">, to maintain natural gas supply and distribution services. </w:t>
      </w:r>
      <w:r w:rsidRPr="00646621">
        <w:rPr>
          <w:rFonts w:ascii="Times New Roman" w:eastAsia="Times New Roman" w:hAnsi="Times New Roman" w:cs="Times New Roman"/>
          <w:sz w:val="24"/>
          <w:szCs w:val="24"/>
        </w:rPr>
        <w:t xml:space="preserve"> The term includes retail gas </w:t>
      </w:r>
      <w:r w:rsidRPr="006F2E38">
        <w:rPr>
          <w:rFonts w:ascii="Times New Roman" w:eastAsia="Times New Roman" w:hAnsi="Times New Roman" w:cs="Times New Roman"/>
          <w:sz w:val="24"/>
          <w:szCs w:val="24"/>
        </w:rPr>
        <w:t>[CAPs], termination of service protections and consumer protection policies and services that help residential low-income customers and other residential customers experiencing temporary emergencies to reduce or manage energy consumption in a cost-effective manner, such as [LIURPs] and consumer education.”</w:t>
      </w:r>
      <w:r>
        <w:rPr>
          <w:rFonts w:ascii="Times New Roman" w:eastAsia="Times New Roman" w:hAnsi="Times New Roman" w:cs="Times New Roman"/>
          <w:sz w:val="24"/>
          <w:szCs w:val="24"/>
        </w:rPr>
        <w:t xml:space="preserve">  </w:t>
      </w:r>
      <w:r w:rsidRPr="006F2E38">
        <w:rPr>
          <w:rFonts w:ascii="Times New Roman" w:hAnsi="Times New Roman" w:cs="Times New Roman"/>
          <w:bCs/>
          <w:sz w:val="24"/>
          <w:szCs w:val="24"/>
        </w:rPr>
        <w:t>Section 2803 defines universal service and energy conservation as the “[p]</w:t>
      </w:r>
      <w:proofErr w:type="spellStart"/>
      <w:r w:rsidRPr="006F2E38">
        <w:rPr>
          <w:rFonts w:ascii="Times New Roman" w:hAnsi="Times New Roman" w:cs="Times New Roman"/>
          <w:sz w:val="24"/>
          <w:szCs w:val="24"/>
        </w:rPr>
        <w:t>olicies</w:t>
      </w:r>
      <w:proofErr w:type="spellEnd"/>
      <w:r w:rsidRPr="006F2E38">
        <w:rPr>
          <w:rFonts w:ascii="Times New Roman" w:hAnsi="Times New Roman" w:cs="Times New Roman"/>
          <w:sz w:val="24"/>
          <w:szCs w:val="24"/>
        </w:rPr>
        <w:t>, protections and services that help low-income customers to maintain electric service.  The term includes [CAPs], termination of service protection and policies and services that help low-income customers to reduce or manage energy consumption in a cost-effective manner, such as [LIURPs]</w:t>
      </w:r>
      <w:r w:rsidRPr="009B69A0">
        <w:rPr>
          <w:rFonts w:ascii="Times New Roman" w:hAnsi="Times New Roman" w:cs="Times New Roman"/>
          <w:sz w:val="24"/>
          <w:szCs w:val="24"/>
        </w:rPr>
        <w:t xml:space="preserve">, application of renewable resources and consumer education.” </w:t>
      </w:r>
    </w:p>
  </w:footnote>
  <w:footnote w:id="6">
    <w:p w14:paraId="19EEE26D" w14:textId="77777777" w:rsidR="00290E3B" w:rsidRPr="0009454A" w:rsidRDefault="00290E3B" w:rsidP="00290E3B">
      <w:pPr>
        <w:pStyle w:val="FootnoteText"/>
        <w:rPr>
          <w:sz w:val="24"/>
          <w:szCs w:val="24"/>
        </w:rPr>
      </w:pPr>
      <w:r w:rsidRPr="0009454A">
        <w:rPr>
          <w:rStyle w:val="FootnoteReference"/>
          <w:sz w:val="24"/>
          <w:szCs w:val="24"/>
        </w:rPr>
        <w:footnoteRef/>
      </w:r>
      <w:r w:rsidRPr="0009454A">
        <w:rPr>
          <w:sz w:val="24"/>
          <w:szCs w:val="24"/>
        </w:rPr>
        <w:t xml:space="preserve">  “Home energy” means a source of heating or cooling in residential dwellings.  42 U.S.C. §</w:t>
      </w:r>
      <w:r>
        <w:rPr>
          <w:sz w:val="24"/>
          <w:szCs w:val="24"/>
        </w:rPr>
        <w:t> </w:t>
      </w:r>
      <w:r w:rsidRPr="0009454A">
        <w:rPr>
          <w:sz w:val="24"/>
          <w:szCs w:val="24"/>
        </w:rPr>
        <w:t>8622(6)</w:t>
      </w:r>
      <w:r>
        <w:rPr>
          <w:sz w:val="24"/>
          <w:szCs w:val="24"/>
        </w:rPr>
        <w:t>.</w:t>
      </w:r>
    </w:p>
  </w:footnote>
  <w:footnote w:id="7">
    <w:p w14:paraId="7C713281" w14:textId="77777777" w:rsidR="00590C15" w:rsidRPr="00613F13" w:rsidRDefault="00590C15" w:rsidP="00590C15">
      <w:pPr>
        <w:pStyle w:val="FootnoteText"/>
        <w:rPr>
          <w:sz w:val="24"/>
          <w:szCs w:val="24"/>
        </w:rPr>
      </w:pPr>
      <w:r w:rsidRPr="00613F13">
        <w:rPr>
          <w:rStyle w:val="FootnoteReference"/>
          <w:sz w:val="24"/>
          <w:szCs w:val="24"/>
        </w:rPr>
        <w:footnoteRef/>
      </w:r>
      <w:r w:rsidRPr="00613F13">
        <w:rPr>
          <w:sz w:val="24"/>
          <w:szCs w:val="24"/>
        </w:rPr>
        <w:t xml:space="preserve"> </w:t>
      </w:r>
      <w:r>
        <w:rPr>
          <w:sz w:val="24"/>
          <w:szCs w:val="24"/>
        </w:rPr>
        <w:t xml:space="preserve"> </w:t>
      </w:r>
      <w:r w:rsidRPr="00613F13">
        <w:rPr>
          <w:sz w:val="24"/>
          <w:szCs w:val="24"/>
        </w:rPr>
        <w:t xml:space="preserve">Formerly the Department of </w:t>
      </w:r>
      <w:r>
        <w:rPr>
          <w:sz w:val="24"/>
          <w:szCs w:val="24"/>
        </w:rPr>
        <w:t xml:space="preserve">Public </w:t>
      </w:r>
      <w:r w:rsidRPr="00613F13">
        <w:rPr>
          <w:sz w:val="24"/>
          <w:szCs w:val="24"/>
        </w:rPr>
        <w:t>Welfare</w:t>
      </w:r>
      <w:r>
        <w:rPr>
          <w:sz w:val="24"/>
          <w:szCs w:val="24"/>
        </w:rPr>
        <w:t>.</w:t>
      </w:r>
    </w:p>
  </w:footnote>
  <w:footnote w:id="8">
    <w:p w14:paraId="530C341C" w14:textId="265EDED6" w:rsidR="00436F26" w:rsidRPr="00E16423" w:rsidRDefault="00436F26" w:rsidP="00436F26">
      <w:pPr>
        <w:pStyle w:val="FootnoteText"/>
        <w:rPr>
          <w:sz w:val="24"/>
          <w:szCs w:val="24"/>
        </w:rPr>
      </w:pPr>
      <w:r w:rsidRPr="00E16423">
        <w:rPr>
          <w:rStyle w:val="FootnoteReference"/>
          <w:sz w:val="24"/>
          <w:szCs w:val="24"/>
        </w:rPr>
        <w:footnoteRef/>
      </w:r>
      <w:r w:rsidRPr="00E16423">
        <w:rPr>
          <w:sz w:val="24"/>
          <w:szCs w:val="24"/>
        </w:rPr>
        <w:t xml:space="preserve">  </w:t>
      </w:r>
      <w:r w:rsidR="00A46718">
        <w:rPr>
          <w:sz w:val="24"/>
          <w:szCs w:val="24"/>
        </w:rPr>
        <w:t>The LIHEAP State Plan was codif</w:t>
      </w:r>
      <w:r w:rsidR="001F13E0">
        <w:rPr>
          <w:sz w:val="24"/>
          <w:szCs w:val="24"/>
        </w:rPr>
        <w:t>i</w:t>
      </w:r>
      <w:r w:rsidR="00A46718">
        <w:rPr>
          <w:sz w:val="24"/>
          <w:szCs w:val="24"/>
        </w:rPr>
        <w:t xml:space="preserve">ed </w:t>
      </w:r>
      <w:r w:rsidR="001F13E0">
        <w:rPr>
          <w:sz w:val="24"/>
          <w:szCs w:val="24"/>
        </w:rPr>
        <w:t>in 1988 in Chapter 601 of Title 55 of the Pennsylvania Code</w:t>
      </w:r>
      <w:r w:rsidR="001F13E0" w:rsidRPr="00E16423">
        <w:rPr>
          <w:sz w:val="24"/>
          <w:szCs w:val="24"/>
        </w:rPr>
        <w:t xml:space="preserve">.  </w:t>
      </w:r>
      <w:r>
        <w:rPr>
          <w:sz w:val="24"/>
          <w:szCs w:val="24"/>
        </w:rPr>
        <w:t>DHS</w:t>
      </w:r>
      <w:r w:rsidRPr="00E16423">
        <w:rPr>
          <w:sz w:val="24"/>
          <w:szCs w:val="24"/>
        </w:rPr>
        <w:t xml:space="preserve"> changes </w:t>
      </w:r>
      <w:r w:rsidR="009A690B">
        <w:rPr>
          <w:sz w:val="24"/>
          <w:szCs w:val="24"/>
        </w:rPr>
        <w:t xml:space="preserve">some </w:t>
      </w:r>
      <w:r>
        <w:rPr>
          <w:sz w:val="24"/>
          <w:szCs w:val="24"/>
        </w:rPr>
        <w:t xml:space="preserve">aspects of the </w:t>
      </w:r>
      <w:r w:rsidRPr="00E16423">
        <w:rPr>
          <w:sz w:val="24"/>
          <w:szCs w:val="24"/>
        </w:rPr>
        <w:t>LIHEAP State Plan</w:t>
      </w:r>
      <w:r>
        <w:rPr>
          <w:sz w:val="24"/>
          <w:szCs w:val="24"/>
        </w:rPr>
        <w:t xml:space="preserve"> </w:t>
      </w:r>
      <w:r w:rsidRPr="00E16423">
        <w:rPr>
          <w:sz w:val="24"/>
          <w:szCs w:val="24"/>
        </w:rPr>
        <w:t xml:space="preserve">yearly.  Citations </w:t>
      </w:r>
      <w:r w:rsidR="00D073EF">
        <w:rPr>
          <w:sz w:val="24"/>
          <w:szCs w:val="24"/>
        </w:rPr>
        <w:t xml:space="preserve">herein </w:t>
      </w:r>
      <w:r w:rsidRPr="00E16423">
        <w:rPr>
          <w:sz w:val="24"/>
          <w:szCs w:val="24"/>
        </w:rPr>
        <w:t xml:space="preserve">to Title 55 </w:t>
      </w:r>
      <w:r>
        <w:rPr>
          <w:sz w:val="24"/>
          <w:szCs w:val="24"/>
        </w:rPr>
        <w:t xml:space="preserve">of the Pennsylvania Code </w:t>
      </w:r>
      <w:r w:rsidRPr="00E16423">
        <w:rPr>
          <w:sz w:val="24"/>
          <w:szCs w:val="24"/>
        </w:rPr>
        <w:t xml:space="preserve">will only be to sections that </w:t>
      </w:r>
      <w:r>
        <w:rPr>
          <w:sz w:val="24"/>
          <w:szCs w:val="24"/>
        </w:rPr>
        <w:t xml:space="preserve">have </w:t>
      </w:r>
      <w:r w:rsidRPr="00E16423">
        <w:rPr>
          <w:sz w:val="24"/>
          <w:szCs w:val="24"/>
        </w:rPr>
        <w:t>not change</w:t>
      </w:r>
      <w:r>
        <w:rPr>
          <w:sz w:val="24"/>
          <w:szCs w:val="24"/>
        </w:rPr>
        <w:t>d</w:t>
      </w:r>
      <w:r w:rsidRPr="00E16423">
        <w:rPr>
          <w:sz w:val="24"/>
          <w:szCs w:val="24"/>
        </w:rPr>
        <w:t xml:space="preserve"> over the time frame of the study.</w:t>
      </w:r>
      <w:r w:rsidR="007D5436">
        <w:rPr>
          <w:sz w:val="24"/>
          <w:szCs w:val="24"/>
        </w:rPr>
        <w:t xml:space="preserve">  Citations to changed provisions will be to the </w:t>
      </w:r>
      <w:r w:rsidR="0021461A">
        <w:rPr>
          <w:sz w:val="24"/>
          <w:szCs w:val="24"/>
        </w:rPr>
        <w:t xml:space="preserve">provisions of the specific </w:t>
      </w:r>
      <w:r w:rsidR="00220D63">
        <w:rPr>
          <w:sz w:val="24"/>
          <w:szCs w:val="24"/>
        </w:rPr>
        <w:t xml:space="preserve">yearly </w:t>
      </w:r>
      <w:r w:rsidR="00E57F5A">
        <w:rPr>
          <w:sz w:val="24"/>
          <w:szCs w:val="24"/>
        </w:rPr>
        <w:t>state plan effective relative to the reference.</w:t>
      </w:r>
    </w:p>
  </w:footnote>
  <w:footnote w:id="9">
    <w:p w14:paraId="6890F5D3" w14:textId="77777777" w:rsidR="003C27F8" w:rsidRPr="007920AF" w:rsidRDefault="003C27F8" w:rsidP="003C27F8">
      <w:pPr>
        <w:pStyle w:val="FootnoteText"/>
        <w:rPr>
          <w:sz w:val="24"/>
          <w:szCs w:val="24"/>
        </w:rPr>
      </w:pPr>
      <w:r w:rsidRPr="007920AF">
        <w:rPr>
          <w:rStyle w:val="FootnoteReference"/>
          <w:sz w:val="24"/>
          <w:szCs w:val="24"/>
        </w:rPr>
        <w:footnoteRef/>
      </w:r>
      <w:r w:rsidRPr="007920AF">
        <w:rPr>
          <w:sz w:val="24"/>
          <w:szCs w:val="24"/>
        </w:rPr>
        <w:t xml:space="preserve">  </w:t>
      </w:r>
      <w:r w:rsidRPr="007920AF">
        <w:rPr>
          <w:color w:val="000000"/>
          <w:sz w:val="24"/>
          <w:szCs w:val="24"/>
        </w:rPr>
        <w:t>Fisher, Sheehan</w:t>
      </w:r>
      <w:r>
        <w:rPr>
          <w:color w:val="000000"/>
          <w:sz w:val="24"/>
          <w:szCs w:val="24"/>
        </w:rPr>
        <w:t>,</w:t>
      </w:r>
      <w:r w:rsidRPr="007920AF">
        <w:rPr>
          <w:color w:val="000000"/>
          <w:sz w:val="24"/>
          <w:szCs w:val="24"/>
        </w:rPr>
        <w:t xml:space="preserve"> &amp; Colton</w:t>
      </w:r>
      <w:r>
        <w:rPr>
          <w:color w:val="000000"/>
          <w:sz w:val="24"/>
          <w:szCs w:val="24"/>
        </w:rPr>
        <w:t>.</w:t>
      </w:r>
      <w:r w:rsidRPr="007920AF">
        <w:rPr>
          <w:color w:val="000000"/>
          <w:sz w:val="24"/>
          <w:szCs w:val="24"/>
        </w:rPr>
        <w:t xml:space="preserve"> </w:t>
      </w:r>
      <w:r>
        <w:rPr>
          <w:color w:val="000000"/>
          <w:sz w:val="24"/>
          <w:szCs w:val="24"/>
        </w:rPr>
        <w:t xml:space="preserve"> </w:t>
      </w:r>
      <w:r w:rsidRPr="007920AF">
        <w:rPr>
          <w:i/>
          <w:color w:val="000000"/>
          <w:sz w:val="24"/>
          <w:szCs w:val="24"/>
        </w:rPr>
        <w:t xml:space="preserve">The Home Energy Affordability Gap 2015: Pennsylvania </w:t>
      </w:r>
      <w:r w:rsidRPr="007920AF">
        <w:rPr>
          <w:color w:val="000000"/>
          <w:sz w:val="24"/>
          <w:szCs w:val="24"/>
        </w:rPr>
        <w:t>(Public Finance and General Economics, 2</w:t>
      </w:r>
      <w:r w:rsidRPr="007920AF">
        <w:rPr>
          <w:color w:val="000000"/>
          <w:sz w:val="24"/>
          <w:szCs w:val="24"/>
          <w:vertAlign w:val="superscript"/>
        </w:rPr>
        <w:t>nd</w:t>
      </w:r>
      <w:r w:rsidRPr="007920AF">
        <w:rPr>
          <w:color w:val="000000"/>
          <w:sz w:val="24"/>
          <w:szCs w:val="24"/>
        </w:rPr>
        <w:t xml:space="preserve"> Ser. 2016), at 1.</w:t>
      </w:r>
    </w:p>
  </w:footnote>
  <w:footnote w:id="10">
    <w:p w14:paraId="58B26E00" w14:textId="5C89B889" w:rsidR="00C564F7" w:rsidRDefault="00CB2DD2" w:rsidP="006D4D0E">
      <w:pPr>
        <w:pStyle w:val="FootnoteText"/>
        <w:rPr>
          <w:sz w:val="24"/>
          <w:szCs w:val="24"/>
        </w:rPr>
      </w:pPr>
      <w:r w:rsidRPr="00F77434">
        <w:rPr>
          <w:rStyle w:val="FootnoteReference"/>
          <w:sz w:val="24"/>
          <w:szCs w:val="24"/>
        </w:rPr>
        <w:footnoteRef/>
      </w:r>
      <w:r w:rsidRPr="00F77434">
        <w:rPr>
          <w:sz w:val="24"/>
          <w:szCs w:val="24"/>
        </w:rPr>
        <w:t xml:space="preserve"> </w:t>
      </w:r>
      <w:r>
        <w:rPr>
          <w:sz w:val="24"/>
          <w:szCs w:val="24"/>
        </w:rPr>
        <w:t xml:space="preserve"> </w:t>
      </w:r>
      <w:r w:rsidR="00C564F7" w:rsidRPr="00D21409">
        <w:rPr>
          <w:sz w:val="24"/>
          <w:szCs w:val="24"/>
        </w:rPr>
        <w:t>NGDCs: C</w:t>
      </w:r>
      <w:r w:rsidR="00C564F7" w:rsidRPr="00F77434">
        <w:rPr>
          <w:sz w:val="24"/>
          <w:szCs w:val="24"/>
        </w:rPr>
        <w:t>olumbia, PECO Gas, NFG, Peoples, Peoples Equitable, PGW</w:t>
      </w:r>
      <w:r w:rsidR="00C06702">
        <w:rPr>
          <w:sz w:val="24"/>
          <w:szCs w:val="24"/>
        </w:rPr>
        <w:t>,</w:t>
      </w:r>
      <w:r w:rsidR="00C564F7" w:rsidRPr="00F77434">
        <w:rPr>
          <w:sz w:val="24"/>
          <w:szCs w:val="24"/>
        </w:rPr>
        <w:t xml:space="preserve"> UGI Gas</w:t>
      </w:r>
      <w:r w:rsidR="00C564F7">
        <w:rPr>
          <w:sz w:val="24"/>
          <w:szCs w:val="24"/>
        </w:rPr>
        <w:t>,</w:t>
      </w:r>
      <w:r w:rsidR="00C564F7" w:rsidRPr="00F77434">
        <w:rPr>
          <w:sz w:val="24"/>
          <w:szCs w:val="24"/>
        </w:rPr>
        <w:t xml:space="preserve"> and UGI PNG.  </w:t>
      </w:r>
    </w:p>
    <w:p w14:paraId="3ADC30F3" w14:textId="7E568828" w:rsidR="00CB2DD2" w:rsidRDefault="00696C03" w:rsidP="006D4D0E">
      <w:pPr>
        <w:pStyle w:val="FootnoteText"/>
      </w:pPr>
      <w:r w:rsidRPr="00D21409">
        <w:rPr>
          <w:sz w:val="24"/>
          <w:szCs w:val="24"/>
        </w:rPr>
        <w:t>EDCs</w:t>
      </w:r>
      <w:r w:rsidR="00CB2DD2" w:rsidRPr="00D21409">
        <w:rPr>
          <w:sz w:val="24"/>
          <w:szCs w:val="24"/>
        </w:rPr>
        <w:t>:</w:t>
      </w:r>
      <w:r w:rsidR="00CB2DD2" w:rsidRPr="00F77434">
        <w:rPr>
          <w:sz w:val="24"/>
          <w:szCs w:val="24"/>
        </w:rPr>
        <w:t xml:space="preserve"> Duquesne, Met-Ed, PECO Electric, Penelec, Penn Power, PPL, and West Penn. </w:t>
      </w:r>
      <w:r w:rsidR="00291A0D">
        <w:rPr>
          <w:sz w:val="24"/>
          <w:szCs w:val="24"/>
        </w:rPr>
        <w:t xml:space="preserve"> </w:t>
      </w:r>
    </w:p>
  </w:footnote>
  <w:footnote w:id="11">
    <w:p w14:paraId="75996F37" w14:textId="5AF21AD7" w:rsidR="009A5DC3" w:rsidRPr="000C1260" w:rsidRDefault="009A5DC3" w:rsidP="009A5DC3">
      <w:pPr>
        <w:pStyle w:val="FootnoteText"/>
        <w:rPr>
          <w:sz w:val="24"/>
          <w:szCs w:val="24"/>
        </w:rPr>
      </w:pPr>
      <w:r w:rsidRPr="000C1260">
        <w:rPr>
          <w:rStyle w:val="FootnoteReference"/>
          <w:sz w:val="24"/>
          <w:szCs w:val="24"/>
        </w:rPr>
        <w:footnoteRef/>
      </w:r>
      <w:r w:rsidRPr="000C1260">
        <w:rPr>
          <w:sz w:val="24"/>
          <w:szCs w:val="24"/>
        </w:rPr>
        <w:t xml:space="preserve">  </w:t>
      </w:r>
      <w:r w:rsidR="00650419">
        <w:rPr>
          <w:sz w:val="24"/>
          <w:szCs w:val="24"/>
        </w:rPr>
        <w:t xml:space="preserve">USR Requirements, </w:t>
      </w:r>
      <w:r w:rsidRPr="000C1260">
        <w:rPr>
          <w:sz w:val="24"/>
          <w:szCs w:val="24"/>
        </w:rPr>
        <w:t xml:space="preserve">52 Pa. Code §§ </w:t>
      </w:r>
      <w:r w:rsidR="003E6D12" w:rsidRPr="000C1260">
        <w:rPr>
          <w:sz w:val="24"/>
          <w:szCs w:val="24"/>
        </w:rPr>
        <w:t>62.1-62.8 (gas)</w:t>
      </w:r>
      <w:r w:rsidR="003E6D12">
        <w:rPr>
          <w:sz w:val="24"/>
          <w:szCs w:val="24"/>
        </w:rPr>
        <w:t xml:space="preserve"> and </w:t>
      </w:r>
      <w:r w:rsidRPr="000C1260">
        <w:rPr>
          <w:sz w:val="24"/>
          <w:szCs w:val="24"/>
        </w:rPr>
        <w:t>54.71-54.78 (electric)</w:t>
      </w:r>
      <w:r w:rsidR="003E6D12">
        <w:rPr>
          <w:sz w:val="24"/>
          <w:szCs w:val="24"/>
        </w:rPr>
        <w:t>.</w:t>
      </w:r>
    </w:p>
  </w:footnote>
  <w:footnote w:id="12">
    <w:p w14:paraId="3B27D18B" w14:textId="761997E9" w:rsidR="00811594" w:rsidRPr="00BC0DE4" w:rsidRDefault="00811594">
      <w:pPr>
        <w:pStyle w:val="FootnoteText"/>
        <w:rPr>
          <w:sz w:val="24"/>
          <w:szCs w:val="24"/>
        </w:rPr>
      </w:pPr>
      <w:r w:rsidRPr="007570C2">
        <w:rPr>
          <w:rStyle w:val="FootnoteReference"/>
          <w:sz w:val="24"/>
          <w:szCs w:val="24"/>
        </w:rPr>
        <w:footnoteRef/>
      </w:r>
      <w:r w:rsidRPr="00BC0DE4">
        <w:rPr>
          <w:sz w:val="24"/>
          <w:szCs w:val="24"/>
        </w:rPr>
        <w:t xml:space="preserve">  Our preliminary take-away from the energy burden levels identified in this study is that there may be under-subsidization for some CAP customers and over-subsidization for others.  </w:t>
      </w:r>
      <w:r w:rsidR="00381CFA">
        <w:rPr>
          <w:sz w:val="24"/>
          <w:szCs w:val="24"/>
        </w:rPr>
        <w:t>This could indicate CAP p</w:t>
      </w:r>
      <w:r w:rsidR="00381CFA" w:rsidRPr="00381CFA">
        <w:rPr>
          <w:sz w:val="24"/>
          <w:szCs w:val="24"/>
        </w:rPr>
        <w:t xml:space="preserve">ayment targets may need to be lowered or raised depending on the </w:t>
      </w:r>
      <w:r w:rsidR="00414E7B">
        <w:rPr>
          <w:sz w:val="24"/>
          <w:szCs w:val="24"/>
        </w:rPr>
        <w:t>FPIG level</w:t>
      </w:r>
      <w:r w:rsidR="00381CFA" w:rsidRPr="00381CFA">
        <w:rPr>
          <w:sz w:val="24"/>
          <w:szCs w:val="24"/>
        </w:rPr>
        <w:t xml:space="preserve"> and the utility.</w:t>
      </w:r>
      <w:r w:rsidR="00414E7B">
        <w:rPr>
          <w:sz w:val="24"/>
          <w:szCs w:val="24"/>
        </w:rPr>
        <w:t xml:space="preserve">  </w:t>
      </w:r>
      <w:r w:rsidRPr="00BC0DE4">
        <w:rPr>
          <w:sz w:val="24"/>
          <w:szCs w:val="24"/>
        </w:rPr>
        <w:t xml:space="preserve">However, the energy burden data </w:t>
      </w:r>
      <w:r w:rsidR="004B55AB">
        <w:rPr>
          <w:sz w:val="24"/>
          <w:szCs w:val="24"/>
        </w:rPr>
        <w:t xml:space="preserve">examined </w:t>
      </w:r>
      <w:r w:rsidRPr="00BC0DE4">
        <w:rPr>
          <w:sz w:val="24"/>
          <w:szCs w:val="24"/>
        </w:rPr>
        <w:t>do</w:t>
      </w:r>
      <w:r w:rsidR="00EB4AF8">
        <w:rPr>
          <w:sz w:val="24"/>
          <w:szCs w:val="24"/>
        </w:rPr>
        <w:t>es</w:t>
      </w:r>
      <w:r w:rsidRPr="00BC0DE4">
        <w:rPr>
          <w:sz w:val="24"/>
          <w:szCs w:val="24"/>
        </w:rPr>
        <w:t xml:space="preserve"> not provide a clear picture on this point.  Customers with incomes below 50% of the FPIG may have minimal or zero income.  These customers may have high energy burdens because they pay the minimum bill, not because they are necessarily under-subsidized.  Likewise, CAP customers with energy burden levels below the utility or Commission policy limits may not be receiving subsidized bills at all; they may instead be paying their full (budget) bill each month.</w:t>
      </w:r>
      <w:r w:rsidR="00EB4AF8">
        <w:rPr>
          <w:sz w:val="24"/>
          <w:szCs w:val="24"/>
        </w:rPr>
        <w:t xml:space="preserve">  This issue should be examined as </w:t>
      </w:r>
      <w:r w:rsidR="00BC0DE4">
        <w:rPr>
          <w:sz w:val="24"/>
          <w:szCs w:val="24"/>
        </w:rPr>
        <w:t>part of future universal service proceedings.</w:t>
      </w:r>
    </w:p>
  </w:footnote>
  <w:footnote w:id="13">
    <w:p w14:paraId="7E91A8F5" w14:textId="77777777" w:rsidR="004D2539" w:rsidRPr="001934D0" w:rsidRDefault="004D2539" w:rsidP="004D2539">
      <w:pPr>
        <w:pStyle w:val="FootnoteText"/>
        <w:rPr>
          <w:sz w:val="24"/>
          <w:szCs w:val="24"/>
        </w:rPr>
      </w:pPr>
      <w:r w:rsidRPr="001934D0">
        <w:rPr>
          <w:rStyle w:val="FootnoteReference"/>
          <w:sz w:val="24"/>
          <w:szCs w:val="24"/>
        </w:rPr>
        <w:footnoteRef/>
      </w:r>
      <w:r w:rsidRPr="001934D0">
        <w:rPr>
          <w:sz w:val="24"/>
          <w:szCs w:val="24"/>
        </w:rPr>
        <w:t xml:space="preserve">  However, these assumptions cannot be confirmed from available data.</w:t>
      </w:r>
    </w:p>
  </w:footnote>
  <w:footnote w:id="14">
    <w:p w14:paraId="4F6A643B" w14:textId="7D39A862" w:rsidR="006B5155" w:rsidRPr="006B5155" w:rsidRDefault="006B5155">
      <w:pPr>
        <w:pStyle w:val="FootnoteText"/>
        <w:rPr>
          <w:sz w:val="24"/>
          <w:szCs w:val="24"/>
        </w:rPr>
      </w:pPr>
      <w:r w:rsidRPr="006B5155">
        <w:rPr>
          <w:rStyle w:val="FootnoteReference"/>
          <w:sz w:val="24"/>
          <w:szCs w:val="24"/>
        </w:rPr>
        <w:footnoteRef/>
      </w:r>
      <w:r w:rsidRPr="006B5155">
        <w:rPr>
          <w:sz w:val="24"/>
          <w:szCs w:val="24"/>
        </w:rPr>
        <w:t xml:space="preserve">  </w:t>
      </w:r>
      <w:hyperlink r:id="rId1" w:history="1">
        <w:r w:rsidRPr="006B5155">
          <w:rPr>
            <w:rStyle w:val="Hyperlink"/>
            <w:sz w:val="24"/>
            <w:szCs w:val="24"/>
          </w:rPr>
          <w:t>https://www.puco.ohio.gov/be-informed/consumer-topics/energy-assistance-programs-help-with-paying-your-utility-bills/</w:t>
        </w:r>
      </w:hyperlink>
      <w:r w:rsidRPr="006B5155">
        <w:rPr>
          <w:sz w:val="24"/>
          <w:szCs w:val="24"/>
        </w:rPr>
        <w:t xml:space="preserve"> </w:t>
      </w:r>
    </w:p>
  </w:footnote>
  <w:footnote w:id="15">
    <w:p w14:paraId="609EE223" w14:textId="77777777" w:rsidR="006B5155" w:rsidRPr="007F177F" w:rsidRDefault="006B5155" w:rsidP="006B5155">
      <w:pPr>
        <w:pStyle w:val="FootnoteText"/>
        <w:rPr>
          <w:sz w:val="24"/>
          <w:szCs w:val="24"/>
        </w:rPr>
      </w:pPr>
      <w:r w:rsidRPr="007F177F">
        <w:rPr>
          <w:rStyle w:val="FootnoteReference"/>
          <w:sz w:val="24"/>
          <w:szCs w:val="24"/>
        </w:rPr>
        <w:footnoteRef/>
      </w:r>
      <w:r w:rsidRPr="007F177F">
        <w:rPr>
          <w:sz w:val="24"/>
          <w:szCs w:val="24"/>
        </w:rPr>
        <w:t xml:space="preserve">  New Jersey requires USF customers to pay 3% for natural gas service, 3% for electric non-heating, and 6% for electric heating.  The discount provided to customers is based on the difference between their annual utility bill (after LIHEAP is applied) and required percentage of household income.</w:t>
      </w:r>
      <w:r>
        <w:rPr>
          <w:sz w:val="24"/>
          <w:szCs w:val="24"/>
        </w:rPr>
        <w:t xml:space="preserve">  </w:t>
      </w:r>
      <w:hyperlink r:id="rId2" w:anchor="q1" w:history="1">
        <w:r w:rsidRPr="007F177F">
          <w:rPr>
            <w:rStyle w:val="Hyperlink"/>
            <w:sz w:val="24"/>
            <w:szCs w:val="24"/>
          </w:rPr>
          <w:t>https://www.state.nj.us/dca/divisions/dhcr/faq/usf.html#q1</w:t>
        </w:r>
      </w:hyperlink>
      <w:r w:rsidRPr="007F177F">
        <w:rPr>
          <w:sz w:val="24"/>
          <w:szCs w:val="24"/>
        </w:rPr>
        <w:t xml:space="preserve"> </w:t>
      </w:r>
    </w:p>
  </w:footnote>
  <w:footnote w:id="16">
    <w:p w14:paraId="7DDE7314" w14:textId="0C34D85D" w:rsidR="006B5155" w:rsidRPr="007F177F" w:rsidRDefault="006B5155" w:rsidP="006B5155">
      <w:pPr>
        <w:pStyle w:val="FootnoteText"/>
        <w:rPr>
          <w:sz w:val="24"/>
          <w:szCs w:val="24"/>
        </w:rPr>
      </w:pPr>
      <w:r w:rsidRPr="007F177F">
        <w:rPr>
          <w:rStyle w:val="FootnoteReference"/>
          <w:sz w:val="24"/>
          <w:szCs w:val="24"/>
        </w:rPr>
        <w:footnoteRef/>
      </w:r>
      <w:r w:rsidRPr="007F177F">
        <w:rPr>
          <w:sz w:val="24"/>
          <w:szCs w:val="24"/>
        </w:rPr>
        <w:t xml:space="preserve">  </w:t>
      </w:r>
      <w:r w:rsidRPr="004F1D12">
        <w:rPr>
          <w:i/>
          <w:iCs/>
          <w:sz w:val="24"/>
          <w:szCs w:val="24"/>
        </w:rPr>
        <w:t>See</w:t>
      </w:r>
      <w:r w:rsidRPr="007F177F">
        <w:rPr>
          <w:sz w:val="24"/>
          <w:szCs w:val="24"/>
        </w:rPr>
        <w:t xml:space="preserve"> New York Public Service Commission’s </w:t>
      </w:r>
      <w:r w:rsidRPr="004F1D12">
        <w:rPr>
          <w:i/>
          <w:iCs/>
          <w:sz w:val="24"/>
          <w:szCs w:val="24"/>
        </w:rPr>
        <w:t>Order Adopting Low Income Program Modifications and Directing Utility Filings</w:t>
      </w:r>
      <w:r>
        <w:rPr>
          <w:sz w:val="24"/>
          <w:szCs w:val="24"/>
        </w:rPr>
        <w:t xml:space="preserve"> at 3, </w:t>
      </w:r>
      <w:r w:rsidRPr="007F177F">
        <w:rPr>
          <w:sz w:val="24"/>
          <w:szCs w:val="24"/>
        </w:rPr>
        <w:t>Case 14-M-0565 (</w:t>
      </w:r>
      <w:r>
        <w:rPr>
          <w:sz w:val="24"/>
          <w:szCs w:val="24"/>
        </w:rPr>
        <w:t>e</w:t>
      </w:r>
      <w:r w:rsidRPr="007F177F">
        <w:rPr>
          <w:sz w:val="24"/>
          <w:szCs w:val="24"/>
        </w:rPr>
        <w:t>ffective May 20, 2016).</w:t>
      </w:r>
      <w:r>
        <w:rPr>
          <w:sz w:val="24"/>
          <w:szCs w:val="24"/>
        </w:rPr>
        <w:t xml:space="preserve">  NOTE: New York also limited the budget for each utility’s payment assistance program to 2% of revenues for sales to end-use customers.  These costs are recovered from all ratepayer classes.  May 20 </w:t>
      </w:r>
      <w:r w:rsidR="003A358D">
        <w:rPr>
          <w:sz w:val="24"/>
          <w:szCs w:val="24"/>
        </w:rPr>
        <w:t xml:space="preserve">NY </w:t>
      </w:r>
      <w:r>
        <w:rPr>
          <w:sz w:val="24"/>
          <w:szCs w:val="24"/>
        </w:rPr>
        <w:t xml:space="preserve">Order at 3-4.  </w:t>
      </w:r>
    </w:p>
  </w:footnote>
  <w:footnote w:id="17">
    <w:p w14:paraId="77F55088" w14:textId="77777777" w:rsidR="00210879" w:rsidRPr="002436AF" w:rsidRDefault="00210879" w:rsidP="00210879">
      <w:pPr>
        <w:pStyle w:val="FootnoteText"/>
        <w:rPr>
          <w:sz w:val="24"/>
          <w:szCs w:val="24"/>
        </w:rPr>
      </w:pPr>
      <w:r w:rsidRPr="002436AF">
        <w:rPr>
          <w:rStyle w:val="FootnoteReference"/>
          <w:sz w:val="24"/>
          <w:szCs w:val="24"/>
        </w:rPr>
        <w:footnoteRef/>
      </w:r>
      <w:r w:rsidRPr="002436AF">
        <w:rPr>
          <w:sz w:val="24"/>
          <w:szCs w:val="24"/>
        </w:rPr>
        <w:t xml:space="preserve">  </w:t>
      </w:r>
      <w:r w:rsidRPr="009944D3">
        <w:rPr>
          <w:sz w:val="24"/>
          <w:szCs w:val="24"/>
        </w:rPr>
        <w:t xml:space="preserve">Utilities should provide all CAP customer data by </w:t>
      </w:r>
      <w:r>
        <w:rPr>
          <w:sz w:val="24"/>
          <w:szCs w:val="24"/>
        </w:rPr>
        <w:t>FPIG</w:t>
      </w:r>
      <w:r w:rsidRPr="009944D3">
        <w:rPr>
          <w:sz w:val="24"/>
          <w:szCs w:val="24"/>
        </w:rPr>
        <w:t xml:space="preserve"> level (</w:t>
      </w:r>
      <w:r w:rsidRPr="00CC0305">
        <w:rPr>
          <w:i/>
          <w:sz w:val="24"/>
          <w:szCs w:val="24"/>
        </w:rPr>
        <w:t>i.e.</w:t>
      </w:r>
      <w:r w:rsidRPr="009944D3">
        <w:rPr>
          <w:sz w:val="24"/>
          <w:szCs w:val="24"/>
        </w:rPr>
        <w:t>, 0-50%, 51-100%, and 101</w:t>
      </w:r>
      <w:r>
        <w:rPr>
          <w:sz w:val="24"/>
          <w:szCs w:val="24"/>
        </w:rPr>
        <w:noBreakHyphen/>
      </w:r>
      <w:r w:rsidRPr="009944D3">
        <w:rPr>
          <w:sz w:val="24"/>
          <w:szCs w:val="24"/>
        </w:rPr>
        <w:t>150% of FPIG) and heating type (</w:t>
      </w:r>
      <w:r w:rsidRPr="0058167D">
        <w:rPr>
          <w:i/>
          <w:sz w:val="24"/>
          <w:szCs w:val="24"/>
        </w:rPr>
        <w:t>i.e</w:t>
      </w:r>
      <w:r w:rsidRPr="00CC0305">
        <w:rPr>
          <w:sz w:val="24"/>
          <w:szCs w:val="24"/>
        </w:rPr>
        <w:t>.</w:t>
      </w:r>
      <w:r w:rsidRPr="009944D3">
        <w:rPr>
          <w:sz w:val="24"/>
          <w:szCs w:val="24"/>
        </w:rPr>
        <w:t>, non-heating and heating).</w:t>
      </w:r>
      <w:r>
        <w:rPr>
          <w:sz w:val="24"/>
          <w:szCs w:val="24"/>
        </w:rPr>
        <w:t xml:space="preserve">  Additionally, it is essential to track and report zero-income customer data separately.</w:t>
      </w:r>
    </w:p>
  </w:footnote>
  <w:footnote w:id="18">
    <w:p w14:paraId="7F6B37D6" w14:textId="58A4D700" w:rsidR="00BA01F2" w:rsidRPr="009061A9" w:rsidRDefault="00BA01F2">
      <w:pPr>
        <w:pStyle w:val="FootnoteText"/>
        <w:rPr>
          <w:sz w:val="24"/>
          <w:szCs w:val="24"/>
        </w:rPr>
      </w:pPr>
      <w:r w:rsidRPr="009061A9">
        <w:rPr>
          <w:rStyle w:val="FootnoteReference"/>
          <w:sz w:val="24"/>
          <w:szCs w:val="24"/>
        </w:rPr>
        <w:footnoteRef/>
      </w:r>
      <w:r w:rsidRPr="009061A9">
        <w:rPr>
          <w:sz w:val="24"/>
          <w:szCs w:val="24"/>
        </w:rPr>
        <w:t xml:space="preserve">  </w:t>
      </w:r>
      <w:r w:rsidR="00E05D03" w:rsidRPr="009061A9">
        <w:rPr>
          <w:sz w:val="24"/>
          <w:szCs w:val="24"/>
        </w:rPr>
        <w:t>NGDCs should use 6%</w:t>
      </w:r>
      <w:r w:rsidR="00EA0ED2">
        <w:rPr>
          <w:sz w:val="24"/>
          <w:szCs w:val="24"/>
        </w:rPr>
        <w:t xml:space="preserve"> for gas heating</w:t>
      </w:r>
      <w:r w:rsidR="000901C8">
        <w:rPr>
          <w:sz w:val="24"/>
          <w:szCs w:val="24"/>
        </w:rPr>
        <w:t>,</w:t>
      </w:r>
      <w:r w:rsidR="00E05D03" w:rsidRPr="009061A9">
        <w:rPr>
          <w:sz w:val="24"/>
          <w:szCs w:val="24"/>
        </w:rPr>
        <w:t xml:space="preserve"> and </w:t>
      </w:r>
      <w:r w:rsidR="000901C8">
        <w:rPr>
          <w:sz w:val="24"/>
          <w:szCs w:val="24"/>
        </w:rPr>
        <w:t xml:space="preserve">EDCs </w:t>
      </w:r>
      <w:r w:rsidR="0011414D" w:rsidRPr="009061A9">
        <w:rPr>
          <w:sz w:val="24"/>
          <w:szCs w:val="24"/>
        </w:rPr>
        <w:t>should use 4%</w:t>
      </w:r>
      <w:r w:rsidR="0011414D">
        <w:rPr>
          <w:sz w:val="24"/>
          <w:szCs w:val="24"/>
        </w:rPr>
        <w:t xml:space="preserve"> for</w:t>
      </w:r>
      <w:r w:rsidR="000901C8">
        <w:rPr>
          <w:sz w:val="24"/>
          <w:szCs w:val="24"/>
        </w:rPr>
        <w:t xml:space="preserve"> </w:t>
      </w:r>
      <w:r w:rsidR="0011414D">
        <w:rPr>
          <w:sz w:val="24"/>
          <w:szCs w:val="24"/>
        </w:rPr>
        <w:t xml:space="preserve">electric </w:t>
      </w:r>
      <w:r w:rsidR="00E05D03" w:rsidRPr="009061A9">
        <w:rPr>
          <w:sz w:val="24"/>
          <w:szCs w:val="24"/>
        </w:rPr>
        <w:t>non-heating</w:t>
      </w:r>
      <w:r w:rsidR="0011414D">
        <w:rPr>
          <w:sz w:val="24"/>
          <w:szCs w:val="24"/>
        </w:rPr>
        <w:t xml:space="preserve"> and 10% for</w:t>
      </w:r>
      <w:r w:rsidR="00E05D03" w:rsidRPr="009061A9">
        <w:rPr>
          <w:sz w:val="24"/>
          <w:szCs w:val="24"/>
        </w:rPr>
        <w:t xml:space="preserve"> electric</w:t>
      </w:r>
      <w:r w:rsidR="00F570D3">
        <w:rPr>
          <w:sz w:val="24"/>
          <w:szCs w:val="24"/>
        </w:rPr>
        <w:t xml:space="preserve"> </w:t>
      </w:r>
      <w:r w:rsidR="0011414D">
        <w:rPr>
          <w:sz w:val="24"/>
          <w:szCs w:val="24"/>
        </w:rPr>
        <w:t>heating</w:t>
      </w:r>
      <w:r w:rsidR="009061A9" w:rsidRPr="009061A9">
        <w:rPr>
          <w:sz w:val="24"/>
          <w:szCs w:val="24"/>
        </w:rPr>
        <w:t>.</w:t>
      </w:r>
    </w:p>
  </w:footnote>
  <w:footnote w:id="19">
    <w:p w14:paraId="6B820AD6" w14:textId="63E67FE4" w:rsidR="00B42B20" w:rsidRPr="00017619" w:rsidRDefault="00B42B20">
      <w:pPr>
        <w:pStyle w:val="FootnoteText"/>
        <w:rPr>
          <w:sz w:val="24"/>
          <w:szCs w:val="24"/>
        </w:rPr>
      </w:pPr>
      <w:r w:rsidRPr="00017619">
        <w:rPr>
          <w:rStyle w:val="FootnoteReference"/>
          <w:sz w:val="24"/>
          <w:szCs w:val="24"/>
        </w:rPr>
        <w:footnoteRef/>
      </w:r>
      <w:r w:rsidRPr="00017619">
        <w:rPr>
          <w:sz w:val="24"/>
          <w:szCs w:val="24"/>
        </w:rPr>
        <w:t xml:space="preserve">  </w:t>
      </w:r>
      <w:r w:rsidR="00090172" w:rsidRPr="00017619">
        <w:rPr>
          <w:sz w:val="24"/>
          <w:szCs w:val="24"/>
        </w:rPr>
        <w:t xml:space="preserve">In these calculations, the utilities should be mindful </w:t>
      </w:r>
      <w:r w:rsidR="00CF453F" w:rsidRPr="00017619">
        <w:rPr>
          <w:sz w:val="24"/>
          <w:szCs w:val="24"/>
        </w:rPr>
        <w:t xml:space="preserve">of situations when </w:t>
      </w:r>
      <w:r w:rsidR="00FC3997" w:rsidRPr="00017619">
        <w:rPr>
          <w:sz w:val="24"/>
          <w:szCs w:val="24"/>
        </w:rPr>
        <w:t xml:space="preserve">a maximum energy burden </w:t>
      </w:r>
      <w:r w:rsidR="00FC3997">
        <w:rPr>
          <w:sz w:val="24"/>
          <w:szCs w:val="24"/>
        </w:rPr>
        <w:t xml:space="preserve">would be </w:t>
      </w:r>
      <w:r w:rsidR="00064894">
        <w:rPr>
          <w:sz w:val="24"/>
          <w:szCs w:val="24"/>
        </w:rPr>
        <w:t xml:space="preserve">greater than </w:t>
      </w:r>
      <w:r w:rsidR="00CF453F" w:rsidRPr="00017619">
        <w:rPr>
          <w:sz w:val="24"/>
          <w:szCs w:val="24"/>
        </w:rPr>
        <w:t xml:space="preserve">the </w:t>
      </w:r>
      <w:r w:rsidR="00064894">
        <w:rPr>
          <w:sz w:val="24"/>
          <w:szCs w:val="24"/>
        </w:rPr>
        <w:t xml:space="preserve">seasonally normalized </w:t>
      </w:r>
      <w:r w:rsidR="00571C1B" w:rsidRPr="00017619">
        <w:rPr>
          <w:sz w:val="24"/>
          <w:szCs w:val="24"/>
        </w:rPr>
        <w:t>tariff rate or budget bill</w:t>
      </w:r>
      <w:r w:rsidR="00BC13E8" w:rsidRPr="00017619">
        <w:rPr>
          <w:sz w:val="24"/>
          <w:szCs w:val="24"/>
        </w:rPr>
        <w:t>ing</w:t>
      </w:r>
      <w:r w:rsidR="00E04D25" w:rsidRPr="00017619">
        <w:rPr>
          <w:sz w:val="24"/>
          <w:szCs w:val="24"/>
        </w:rPr>
        <w:t>.</w:t>
      </w:r>
    </w:p>
  </w:footnote>
  <w:footnote w:id="20">
    <w:p w14:paraId="0E04202B" w14:textId="77777777" w:rsidR="00500A16" w:rsidRPr="00CA39B2" w:rsidRDefault="00500A16" w:rsidP="00500A16">
      <w:pPr>
        <w:pStyle w:val="FootnoteText"/>
        <w:rPr>
          <w:sz w:val="24"/>
          <w:szCs w:val="24"/>
        </w:rPr>
      </w:pPr>
      <w:r w:rsidRPr="00276DF5">
        <w:rPr>
          <w:rStyle w:val="FootnoteReference"/>
          <w:sz w:val="24"/>
          <w:szCs w:val="24"/>
        </w:rPr>
        <w:footnoteRef/>
      </w:r>
      <w:r w:rsidRPr="00276DF5">
        <w:rPr>
          <w:sz w:val="24"/>
          <w:szCs w:val="24"/>
        </w:rPr>
        <w:t xml:space="preserve">  </w:t>
      </w:r>
      <w:r w:rsidRPr="00762A98">
        <w:rPr>
          <w:i/>
          <w:sz w:val="24"/>
          <w:szCs w:val="24"/>
        </w:rPr>
        <w:t>Pathways to Success in Low-Income Energy Assistance Payment Programs: The Differential Effects of Customer Characteristics and Program Design on Payment Rates</w:t>
      </w:r>
      <w:r w:rsidRPr="00762A98">
        <w:rPr>
          <w:sz w:val="24"/>
          <w:szCs w:val="24"/>
        </w:rPr>
        <w:t xml:space="preserve"> at 8-9.  Megan</w:t>
      </w:r>
      <w:r>
        <w:rPr>
          <w:sz w:val="24"/>
          <w:szCs w:val="24"/>
        </w:rPr>
        <w:t> </w:t>
      </w:r>
      <w:r w:rsidRPr="00762A98">
        <w:rPr>
          <w:sz w:val="24"/>
          <w:szCs w:val="24"/>
        </w:rPr>
        <w:t xml:space="preserve">Campbell, Opinion Dynamics (2013).  </w:t>
      </w:r>
      <w:hyperlink r:id="rId3" w:history="1">
        <w:r w:rsidRPr="00762A98">
          <w:rPr>
            <w:rStyle w:val="Hyperlink"/>
            <w:sz w:val="24"/>
            <w:szCs w:val="24"/>
          </w:rPr>
          <w:t>http://www.opiniondynamics.com/wp-content/uploads/2013/08/Pathways-to-Success-in-Low-Income-Energy-Assistance-Payment-Programs1.pdf</w:t>
        </w:r>
      </w:hyperlink>
      <w:r w:rsidR="00D83497">
        <w:rPr>
          <w:rStyle w:val="Hyperlink"/>
          <w:sz w:val="24"/>
          <w:szCs w:val="24"/>
        </w:rPr>
        <w:t xml:space="preserve"> </w:t>
      </w:r>
    </w:p>
  </w:footnote>
  <w:footnote w:id="21">
    <w:p w14:paraId="1006CB29" w14:textId="77777777" w:rsidR="00F3105A" w:rsidRPr="009944D3" w:rsidRDefault="00F3105A" w:rsidP="00F3105A">
      <w:pPr>
        <w:pStyle w:val="FootnoteText"/>
        <w:rPr>
          <w:sz w:val="24"/>
          <w:szCs w:val="24"/>
        </w:rPr>
      </w:pPr>
      <w:r w:rsidRPr="009944D3">
        <w:rPr>
          <w:rStyle w:val="FootnoteReference"/>
          <w:sz w:val="24"/>
          <w:szCs w:val="24"/>
        </w:rPr>
        <w:footnoteRef/>
      </w:r>
      <w:r>
        <w:rPr>
          <w:sz w:val="24"/>
          <w:szCs w:val="24"/>
        </w:rPr>
        <w:t xml:space="preserve"> </w:t>
      </w:r>
      <w:r w:rsidRPr="009944D3">
        <w:rPr>
          <w:sz w:val="24"/>
          <w:szCs w:val="24"/>
        </w:rPr>
        <w:t xml:space="preserve"> For example, the </w:t>
      </w:r>
      <w:r>
        <w:rPr>
          <w:sz w:val="24"/>
          <w:szCs w:val="24"/>
        </w:rPr>
        <w:t xml:space="preserve">Report </w:t>
      </w:r>
      <w:r w:rsidRPr="009944D3">
        <w:rPr>
          <w:sz w:val="24"/>
          <w:szCs w:val="24"/>
        </w:rPr>
        <w:t xml:space="preserve">makes clear </w:t>
      </w:r>
      <w:r>
        <w:rPr>
          <w:sz w:val="24"/>
          <w:szCs w:val="24"/>
        </w:rPr>
        <w:t xml:space="preserve">that </w:t>
      </w:r>
      <w:r w:rsidRPr="009944D3">
        <w:rPr>
          <w:sz w:val="24"/>
          <w:szCs w:val="24"/>
        </w:rPr>
        <w:t xml:space="preserve">there is a need </w:t>
      </w:r>
      <w:r>
        <w:rPr>
          <w:sz w:val="24"/>
          <w:szCs w:val="24"/>
        </w:rPr>
        <w:t xml:space="preserve">for utilities </w:t>
      </w:r>
      <w:r w:rsidRPr="009944D3">
        <w:rPr>
          <w:sz w:val="24"/>
          <w:szCs w:val="24"/>
        </w:rPr>
        <w:t>to consistently identify the number of CAP customers whose utility service was terminated</w:t>
      </w:r>
      <w:r>
        <w:rPr>
          <w:sz w:val="24"/>
          <w:szCs w:val="24"/>
        </w:rPr>
        <w:t>, regardless of whether service was terminated while they were in the CAP or whether they were removed from CAP and then terminated</w:t>
      </w:r>
      <w:r w:rsidRPr="009944D3">
        <w:rPr>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023"/>
    <w:multiLevelType w:val="hybridMultilevel"/>
    <w:tmpl w:val="BC906C1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3432"/>
    <w:multiLevelType w:val="hybridMultilevel"/>
    <w:tmpl w:val="19400D22"/>
    <w:lvl w:ilvl="0" w:tplc="E974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75874"/>
    <w:multiLevelType w:val="hybridMultilevel"/>
    <w:tmpl w:val="5D2009D6"/>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D3454"/>
    <w:multiLevelType w:val="singleLevel"/>
    <w:tmpl w:val="74186126"/>
    <w:lvl w:ilvl="0">
      <w:start w:val="1"/>
      <w:numFmt w:val="decimal"/>
      <w:lvlText w:val="%1."/>
      <w:lvlJc w:val="left"/>
      <w:pPr>
        <w:tabs>
          <w:tab w:val="num" w:pos="2160"/>
        </w:tabs>
        <w:ind w:left="2160" w:hanging="720"/>
      </w:pPr>
      <w:rPr>
        <w:rFonts w:hint="default"/>
      </w:rPr>
    </w:lvl>
  </w:abstractNum>
  <w:abstractNum w:abstractNumId="4" w15:restartNumberingAfterBreak="0">
    <w:nsid w:val="1450655C"/>
    <w:multiLevelType w:val="hybridMultilevel"/>
    <w:tmpl w:val="9D6499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C02597"/>
    <w:multiLevelType w:val="hybridMultilevel"/>
    <w:tmpl w:val="3CB41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5661C1"/>
    <w:multiLevelType w:val="multilevel"/>
    <w:tmpl w:val="82102338"/>
    <w:styleLink w:val="Style1"/>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442C0D97"/>
    <w:multiLevelType w:val="hybridMultilevel"/>
    <w:tmpl w:val="FF248ECE"/>
    <w:lvl w:ilvl="0" w:tplc="2F0C3E86">
      <w:start w:val="1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448575AA"/>
    <w:multiLevelType w:val="hybridMultilevel"/>
    <w:tmpl w:val="98B8300C"/>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30E87"/>
    <w:multiLevelType w:val="hybridMultilevel"/>
    <w:tmpl w:val="0BB228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615E7"/>
    <w:multiLevelType w:val="hybridMultilevel"/>
    <w:tmpl w:val="7E585E48"/>
    <w:lvl w:ilvl="0" w:tplc="70002680">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BF36CE3"/>
    <w:multiLevelType w:val="hybridMultilevel"/>
    <w:tmpl w:val="7E1EBD5E"/>
    <w:lvl w:ilvl="0" w:tplc="A2D2F37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96359A"/>
    <w:multiLevelType w:val="hybridMultilevel"/>
    <w:tmpl w:val="03820436"/>
    <w:lvl w:ilvl="0" w:tplc="D2C2E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D4577"/>
    <w:multiLevelType w:val="hybridMultilevel"/>
    <w:tmpl w:val="59267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ED2E6C"/>
    <w:multiLevelType w:val="hybridMultilevel"/>
    <w:tmpl w:val="42F8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808F1"/>
    <w:multiLevelType w:val="hybridMultilevel"/>
    <w:tmpl w:val="4BC89BDA"/>
    <w:lvl w:ilvl="0" w:tplc="2688895A">
      <w:start w:val="1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FDE148D"/>
    <w:multiLevelType w:val="hybridMultilevel"/>
    <w:tmpl w:val="3E246078"/>
    <w:lvl w:ilvl="0" w:tplc="3910663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44438"/>
    <w:multiLevelType w:val="hybridMultilevel"/>
    <w:tmpl w:val="BE487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D774AB"/>
    <w:multiLevelType w:val="hybridMultilevel"/>
    <w:tmpl w:val="49CA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11507"/>
    <w:multiLevelType w:val="hybridMultilevel"/>
    <w:tmpl w:val="D3D2A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95C67"/>
    <w:multiLevelType w:val="hybridMultilevel"/>
    <w:tmpl w:val="8C44B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EF6788"/>
    <w:multiLevelType w:val="hybridMultilevel"/>
    <w:tmpl w:val="2FEAA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C2689"/>
    <w:multiLevelType w:val="hybridMultilevel"/>
    <w:tmpl w:val="96829A9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30230"/>
    <w:multiLevelType w:val="hybridMultilevel"/>
    <w:tmpl w:val="4E8483DE"/>
    <w:lvl w:ilvl="0" w:tplc="A3403C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77CB2"/>
    <w:multiLevelType w:val="hybridMultilevel"/>
    <w:tmpl w:val="07FA4910"/>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19"/>
  </w:num>
  <w:num w:numId="5">
    <w:abstractNumId w:val="20"/>
  </w:num>
  <w:num w:numId="6">
    <w:abstractNumId w:val="12"/>
  </w:num>
  <w:num w:numId="7">
    <w:abstractNumId w:val="17"/>
  </w:num>
  <w:num w:numId="8">
    <w:abstractNumId w:val="0"/>
  </w:num>
  <w:num w:numId="9">
    <w:abstractNumId w:val="21"/>
  </w:num>
  <w:num w:numId="10">
    <w:abstractNumId w:val="22"/>
  </w:num>
  <w:num w:numId="11">
    <w:abstractNumId w:val="24"/>
  </w:num>
  <w:num w:numId="12">
    <w:abstractNumId w:val="23"/>
  </w:num>
  <w:num w:numId="13">
    <w:abstractNumId w:val="11"/>
  </w:num>
  <w:num w:numId="14">
    <w:abstractNumId w:val="10"/>
  </w:num>
  <w:num w:numId="15">
    <w:abstractNumId w:val="7"/>
  </w:num>
  <w:num w:numId="16">
    <w:abstractNumId w:val="9"/>
  </w:num>
  <w:num w:numId="17">
    <w:abstractNumId w:val="3"/>
  </w:num>
  <w:num w:numId="18">
    <w:abstractNumId w:val="5"/>
  </w:num>
  <w:num w:numId="19">
    <w:abstractNumId w:val="2"/>
  </w:num>
  <w:num w:numId="20">
    <w:abstractNumId w:val="8"/>
  </w:num>
  <w:num w:numId="21">
    <w:abstractNumId w:val="16"/>
  </w:num>
  <w:num w:numId="22">
    <w:abstractNumId w:val="15"/>
  </w:num>
  <w:num w:numId="23">
    <w:abstractNumId w:val="18"/>
  </w:num>
  <w:num w:numId="24">
    <w:abstractNumId w:val="13"/>
  </w:num>
  <w:num w:numId="2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A259F8BE-42EC-4676-AF00-C99E29FE2A23}"/>
  </w:docVars>
  <w:rsids>
    <w:rsidRoot w:val="000B2531"/>
    <w:rsid w:val="00000178"/>
    <w:rsid w:val="000004C4"/>
    <w:rsid w:val="00000862"/>
    <w:rsid w:val="0000114A"/>
    <w:rsid w:val="00001594"/>
    <w:rsid w:val="000021EF"/>
    <w:rsid w:val="000024DC"/>
    <w:rsid w:val="0000277B"/>
    <w:rsid w:val="00002F5D"/>
    <w:rsid w:val="00003476"/>
    <w:rsid w:val="0000397F"/>
    <w:rsid w:val="00003F9C"/>
    <w:rsid w:val="000045E4"/>
    <w:rsid w:val="00004955"/>
    <w:rsid w:val="00005160"/>
    <w:rsid w:val="0000580A"/>
    <w:rsid w:val="00005D82"/>
    <w:rsid w:val="00005E48"/>
    <w:rsid w:val="00006908"/>
    <w:rsid w:val="00006948"/>
    <w:rsid w:val="00006FB6"/>
    <w:rsid w:val="000070B1"/>
    <w:rsid w:val="000071E2"/>
    <w:rsid w:val="00007E0E"/>
    <w:rsid w:val="00007EB0"/>
    <w:rsid w:val="000104EB"/>
    <w:rsid w:val="000108D9"/>
    <w:rsid w:val="00010928"/>
    <w:rsid w:val="00010998"/>
    <w:rsid w:val="00010A1A"/>
    <w:rsid w:val="00010BB5"/>
    <w:rsid w:val="00010F92"/>
    <w:rsid w:val="00010FA2"/>
    <w:rsid w:val="000113D1"/>
    <w:rsid w:val="00011717"/>
    <w:rsid w:val="00011C2B"/>
    <w:rsid w:val="00011C95"/>
    <w:rsid w:val="0001230B"/>
    <w:rsid w:val="00012383"/>
    <w:rsid w:val="00013AED"/>
    <w:rsid w:val="00014D84"/>
    <w:rsid w:val="00015204"/>
    <w:rsid w:val="0001523E"/>
    <w:rsid w:val="000153A2"/>
    <w:rsid w:val="00015AF0"/>
    <w:rsid w:val="000163DA"/>
    <w:rsid w:val="000169FE"/>
    <w:rsid w:val="00016DCA"/>
    <w:rsid w:val="00017619"/>
    <w:rsid w:val="000176B7"/>
    <w:rsid w:val="00017A04"/>
    <w:rsid w:val="00017A14"/>
    <w:rsid w:val="00020176"/>
    <w:rsid w:val="00020263"/>
    <w:rsid w:val="00020557"/>
    <w:rsid w:val="0002111E"/>
    <w:rsid w:val="000211B8"/>
    <w:rsid w:val="00021224"/>
    <w:rsid w:val="000226FB"/>
    <w:rsid w:val="00022E0B"/>
    <w:rsid w:val="000239B4"/>
    <w:rsid w:val="00024C30"/>
    <w:rsid w:val="00024CB6"/>
    <w:rsid w:val="00024EB1"/>
    <w:rsid w:val="0002508A"/>
    <w:rsid w:val="00025190"/>
    <w:rsid w:val="00025554"/>
    <w:rsid w:val="00025917"/>
    <w:rsid w:val="00026254"/>
    <w:rsid w:val="000271EE"/>
    <w:rsid w:val="000277EE"/>
    <w:rsid w:val="00027A40"/>
    <w:rsid w:val="00027BA8"/>
    <w:rsid w:val="00027D06"/>
    <w:rsid w:val="00030355"/>
    <w:rsid w:val="00030425"/>
    <w:rsid w:val="00030718"/>
    <w:rsid w:val="0003183A"/>
    <w:rsid w:val="00031BA4"/>
    <w:rsid w:val="000321A4"/>
    <w:rsid w:val="000323BC"/>
    <w:rsid w:val="0003254D"/>
    <w:rsid w:val="00032EAF"/>
    <w:rsid w:val="00033069"/>
    <w:rsid w:val="00033123"/>
    <w:rsid w:val="00033958"/>
    <w:rsid w:val="000347AE"/>
    <w:rsid w:val="0003494A"/>
    <w:rsid w:val="000355B4"/>
    <w:rsid w:val="00035990"/>
    <w:rsid w:val="000359B2"/>
    <w:rsid w:val="00035E04"/>
    <w:rsid w:val="00035FA4"/>
    <w:rsid w:val="00036210"/>
    <w:rsid w:val="00036775"/>
    <w:rsid w:val="00036D28"/>
    <w:rsid w:val="00036F28"/>
    <w:rsid w:val="00037236"/>
    <w:rsid w:val="0004009B"/>
    <w:rsid w:val="000402D9"/>
    <w:rsid w:val="000404D1"/>
    <w:rsid w:val="0004055D"/>
    <w:rsid w:val="00040741"/>
    <w:rsid w:val="000407CE"/>
    <w:rsid w:val="00040B32"/>
    <w:rsid w:val="00040E88"/>
    <w:rsid w:val="00041076"/>
    <w:rsid w:val="000412B6"/>
    <w:rsid w:val="000413E8"/>
    <w:rsid w:val="00041F96"/>
    <w:rsid w:val="00042149"/>
    <w:rsid w:val="00042382"/>
    <w:rsid w:val="000423CD"/>
    <w:rsid w:val="00042840"/>
    <w:rsid w:val="0004345F"/>
    <w:rsid w:val="00043800"/>
    <w:rsid w:val="000438DD"/>
    <w:rsid w:val="00043A75"/>
    <w:rsid w:val="00044622"/>
    <w:rsid w:val="00044E9E"/>
    <w:rsid w:val="00045008"/>
    <w:rsid w:val="00045210"/>
    <w:rsid w:val="00046268"/>
    <w:rsid w:val="00046843"/>
    <w:rsid w:val="00046983"/>
    <w:rsid w:val="000469F9"/>
    <w:rsid w:val="00046A7A"/>
    <w:rsid w:val="00046ACF"/>
    <w:rsid w:val="0004713C"/>
    <w:rsid w:val="000473B4"/>
    <w:rsid w:val="00047476"/>
    <w:rsid w:val="000500C7"/>
    <w:rsid w:val="000501D9"/>
    <w:rsid w:val="0005072E"/>
    <w:rsid w:val="00050A94"/>
    <w:rsid w:val="00050B80"/>
    <w:rsid w:val="00050BE1"/>
    <w:rsid w:val="00051039"/>
    <w:rsid w:val="000510DC"/>
    <w:rsid w:val="00051291"/>
    <w:rsid w:val="000512FA"/>
    <w:rsid w:val="00051ED0"/>
    <w:rsid w:val="0005216C"/>
    <w:rsid w:val="00052A9C"/>
    <w:rsid w:val="00052B42"/>
    <w:rsid w:val="00052C27"/>
    <w:rsid w:val="00052DAE"/>
    <w:rsid w:val="00052EF7"/>
    <w:rsid w:val="000535A1"/>
    <w:rsid w:val="000536B0"/>
    <w:rsid w:val="00053AA1"/>
    <w:rsid w:val="00053DD8"/>
    <w:rsid w:val="000547BC"/>
    <w:rsid w:val="00054AF7"/>
    <w:rsid w:val="0005524C"/>
    <w:rsid w:val="00055BFA"/>
    <w:rsid w:val="0005672F"/>
    <w:rsid w:val="00057498"/>
    <w:rsid w:val="00057668"/>
    <w:rsid w:val="0005787E"/>
    <w:rsid w:val="00057993"/>
    <w:rsid w:val="00057BA6"/>
    <w:rsid w:val="000604A3"/>
    <w:rsid w:val="000606E6"/>
    <w:rsid w:val="00060B5D"/>
    <w:rsid w:val="00060F12"/>
    <w:rsid w:val="0006137D"/>
    <w:rsid w:val="000613F2"/>
    <w:rsid w:val="00061563"/>
    <w:rsid w:val="00062792"/>
    <w:rsid w:val="000628B6"/>
    <w:rsid w:val="0006331E"/>
    <w:rsid w:val="0006355F"/>
    <w:rsid w:val="00063618"/>
    <w:rsid w:val="00063A7D"/>
    <w:rsid w:val="00063B35"/>
    <w:rsid w:val="00063F32"/>
    <w:rsid w:val="00064038"/>
    <w:rsid w:val="00064894"/>
    <w:rsid w:val="00064E81"/>
    <w:rsid w:val="0006502F"/>
    <w:rsid w:val="00065826"/>
    <w:rsid w:val="00065CE0"/>
    <w:rsid w:val="00066886"/>
    <w:rsid w:val="00066F0E"/>
    <w:rsid w:val="000670D1"/>
    <w:rsid w:val="00067140"/>
    <w:rsid w:val="0006725B"/>
    <w:rsid w:val="000677BE"/>
    <w:rsid w:val="00067805"/>
    <w:rsid w:val="00070178"/>
    <w:rsid w:val="0007044C"/>
    <w:rsid w:val="000706C2"/>
    <w:rsid w:val="00070B43"/>
    <w:rsid w:val="00071DEF"/>
    <w:rsid w:val="000723EB"/>
    <w:rsid w:val="0007254A"/>
    <w:rsid w:val="000728FE"/>
    <w:rsid w:val="00072B42"/>
    <w:rsid w:val="00072D6F"/>
    <w:rsid w:val="00072DED"/>
    <w:rsid w:val="00073464"/>
    <w:rsid w:val="00073ACB"/>
    <w:rsid w:val="00073BB0"/>
    <w:rsid w:val="00075333"/>
    <w:rsid w:val="000759B4"/>
    <w:rsid w:val="000759C4"/>
    <w:rsid w:val="00075DA5"/>
    <w:rsid w:val="000760C8"/>
    <w:rsid w:val="00076154"/>
    <w:rsid w:val="00076E63"/>
    <w:rsid w:val="00077411"/>
    <w:rsid w:val="00080D2A"/>
    <w:rsid w:val="00081200"/>
    <w:rsid w:val="0008188F"/>
    <w:rsid w:val="00081A3D"/>
    <w:rsid w:val="00081DF6"/>
    <w:rsid w:val="00082528"/>
    <w:rsid w:val="000829BB"/>
    <w:rsid w:val="000837BF"/>
    <w:rsid w:val="000837EA"/>
    <w:rsid w:val="00083B40"/>
    <w:rsid w:val="000840FF"/>
    <w:rsid w:val="0008451B"/>
    <w:rsid w:val="00084AB1"/>
    <w:rsid w:val="00085424"/>
    <w:rsid w:val="00085B52"/>
    <w:rsid w:val="00085D4A"/>
    <w:rsid w:val="00085F23"/>
    <w:rsid w:val="00085F40"/>
    <w:rsid w:val="0008663F"/>
    <w:rsid w:val="000867CE"/>
    <w:rsid w:val="000868A4"/>
    <w:rsid w:val="000876D4"/>
    <w:rsid w:val="00090172"/>
    <w:rsid w:val="000901C8"/>
    <w:rsid w:val="00090C70"/>
    <w:rsid w:val="00091662"/>
    <w:rsid w:val="000916AF"/>
    <w:rsid w:val="00091A66"/>
    <w:rsid w:val="00091D84"/>
    <w:rsid w:val="00091FB4"/>
    <w:rsid w:val="00092633"/>
    <w:rsid w:val="00092873"/>
    <w:rsid w:val="000929BE"/>
    <w:rsid w:val="00093028"/>
    <w:rsid w:val="000930A6"/>
    <w:rsid w:val="000933E1"/>
    <w:rsid w:val="00093555"/>
    <w:rsid w:val="00093BFF"/>
    <w:rsid w:val="00093E82"/>
    <w:rsid w:val="00093EF9"/>
    <w:rsid w:val="00094628"/>
    <w:rsid w:val="00094CFB"/>
    <w:rsid w:val="00094E41"/>
    <w:rsid w:val="000950AA"/>
    <w:rsid w:val="00095212"/>
    <w:rsid w:val="000956E5"/>
    <w:rsid w:val="000962F6"/>
    <w:rsid w:val="000968A0"/>
    <w:rsid w:val="00096920"/>
    <w:rsid w:val="00096C1A"/>
    <w:rsid w:val="00096E80"/>
    <w:rsid w:val="000971A0"/>
    <w:rsid w:val="00097CAE"/>
    <w:rsid w:val="00097F4D"/>
    <w:rsid w:val="000A063B"/>
    <w:rsid w:val="000A13D0"/>
    <w:rsid w:val="000A198A"/>
    <w:rsid w:val="000A1BC6"/>
    <w:rsid w:val="000A2008"/>
    <w:rsid w:val="000A2357"/>
    <w:rsid w:val="000A35DF"/>
    <w:rsid w:val="000A3923"/>
    <w:rsid w:val="000A3BD1"/>
    <w:rsid w:val="000A4669"/>
    <w:rsid w:val="000A478B"/>
    <w:rsid w:val="000A4FF1"/>
    <w:rsid w:val="000A5334"/>
    <w:rsid w:val="000A539C"/>
    <w:rsid w:val="000A54F6"/>
    <w:rsid w:val="000A5550"/>
    <w:rsid w:val="000A5E38"/>
    <w:rsid w:val="000A5E4A"/>
    <w:rsid w:val="000A6DC3"/>
    <w:rsid w:val="000A7332"/>
    <w:rsid w:val="000A7367"/>
    <w:rsid w:val="000A77C7"/>
    <w:rsid w:val="000A79B9"/>
    <w:rsid w:val="000A7BD9"/>
    <w:rsid w:val="000B0945"/>
    <w:rsid w:val="000B0B57"/>
    <w:rsid w:val="000B0B7D"/>
    <w:rsid w:val="000B0D44"/>
    <w:rsid w:val="000B0D73"/>
    <w:rsid w:val="000B1267"/>
    <w:rsid w:val="000B17EE"/>
    <w:rsid w:val="000B17F6"/>
    <w:rsid w:val="000B2531"/>
    <w:rsid w:val="000B268F"/>
    <w:rsid w:val="000B370D"/>
    <w:rsid w:val="000B39DA"/>
    <w:rsid w:val="000B4287"/>
    <w:rsid w:val="000B4964"/>
    <w:rsid w:val="000B4A55"/>
    <w:rsid w:val="000B4D73"/>
    <w:rsid w:val="000B4F97"/>
    <w:rsid w:val="000B5337"/>
    <w:rsid w:val="000B55A9"/>
    <w:rsid w:val="000B64C5"/>
    <w:rsid w:val="000B669D"/>
    <w:rsid w:val="000B69A6"/>
    <w:rsid w:val="000B6E2F"/>
    <w:rsid w:val="000B726C"/>
    <w:rsid w:val="000B794C"/>
    <w:rsid w:val="000B7A6C"/>
    <w:rsid w:val="000B7BA3"/>
    <w:rsid w:val="000B7E5A"/>
    <w:rsid w:val="000C0270"/>
    <w:rsid w:val="000C03D1"/>
    <w:rsid w:val="000C04F7"/>
    <w:rsid w:val="000C0A0C"/>
    <w:rsid w:val="000C0A12"/>
    <w:rsid w:val="000C0F4C"/>
    <w:rsid w:val="000C14C1"/>
    <w:rsid w:val="000C1922"/>
    <w:rsid w:val="000C19AF"/>
    <w:rsid w:val="000C1DB6"/>
    <w:rsid w:val="000C2506"/>
    <w:rsid w:val="000C2E7D"/>
    <w:rsid w:val="000C3429"/>
    <w:rsid w:val="000C3607"/>
    <w:rsid w:val="000C3A75"/>
    <w:rsid w:val="000C4129"/>
    <w:rsid w:val="000C44A8"/>
    <w:rsid w:val="000C459B"/>
    <w:rsid w:val="000C46FC"/>
    <w:rsid w:val="000C4E4D"/>
    <w:rsid w:val="000C4EEA"/>
    <w:rsid w:val="000C5443"/>
    <w:rsid w:val="000C5B59"/>
    <w:rsid w:val="000C667F"/>
    <w:rsid w:val="000C68FA"/>
    <w:rsid w:val="000C72D2"/>
    <w:rsid w:val="000C7800"/>
    <w:rsid w:val="000D03E5"/>
    <w:rsid w:val="000D0884"/>
    <w:rsid w:val="000D1AB6"/>
    <w:rsid w:val="000D1AC1"/>
    <w:rsid w:val="000D232D"/>
    <w:rsid w:val="000D32A1"/>
    <w:rsid w:val="000D3CE1"/>
    <w:rsid w:val="000D3F1B"/>
    <w:rsid w:val="000D3FD4"/>
    <w:rsid w:val="000D44C0"/>
    <w:rsid w:val="000D45BB"/>
    <w:rsid w:val="000D47B0"/>
    <w:rsid w:val="000D4914"/>
    <w:rsid w:val="000D5258"/>
    <w:rsid w:val="000D58A8"/>
    <w:rsid w:val="000D597E"/>
    <w:rsid w:val="000D6116"/>
    <w:rsid w:val="000D6541"/>
    <w:rsid w:val="000D67C0"/>
    <w:rsid w:val="000D6E30"/>
    <w:rsid w:val="000D7245"/>
    <w:rsid w:val="000D74C4"/>
    <w:rsid w:val="000D74D3"/>
    <w:rsid w:val="000D7722"/>
    <w:rsid w:val="000D7AD3"/>
    <w:rsid w:val="000D7C89"/>
    <w:rsid w:val="000D7EF7"/>
    <w:rsid w:val="000D7FF1"/>
    <w:rsid w:val="000E0192"/>
    <w:rsid w:val="000E01B8"/>
    <w:rsid w:val="000E0A3E"/>
    <w:rsid w:val="000E11A1"/>
    <w:rsid w:val="000E14B3"/>
    <w:rsid w:val="000E160E"/>
    <w:rsid w:val="000E1AE7"/>
    <w:rsid w:val="000E1BCF"/>
    <w:rsid w:val="000E1DFD"/>
    <w:rsid w:val="000E25C1"/>
    <w:rsid w:val="000E2AAA"/>
    <w:rsid w:val="000E319B"/>
    <w:rsid w:val="000E372E"/>
    <w:rsid w:val="000E3810"/>
    <w:rsid w:val="000E3C29"/>
    <w:rsid w:val="000E3CD3"/>
    <w:rsid w:val="000E3F6A"/>
    <w:rsid w:val="000E4332"/>
    <w:rsid w:val="000E438A"/>
    <w:rsid w:val="000E4927"/>
    <w:rsid w:val="000E4D94"/>
    <w:rsid w:val="000E5261"/>
    <w:rsid w:val="000E52A3"/>
    <w:rsid w:val="000E539A"/>
    <w:rsid w:val="000E54DB"/>
    <w:rsid w:val="000E5FCD"/>
    <w:rsid w:val="000E6CDA"/>
    <w:rsid w:val="000E7595"/>
    <w:rsid w:val="000E78A3"/>
    <w:rsid w:val="000E78D6"/>
    <w:rsid w:val="000F0481"/>
    <w:rsid w:val="000F08FE"/>
    <w:rsid w:val="000F10CE"/>
    <w:rsid w:val="000F16A8"/>
    <w:rsid w:val="000F1801"/>
    <w:rsid w:val="000F1DBE"/>
    <w:rsid w:val="000F22D8"/>
    <w:rsid w:val="000F2770"/>
    <w:rsid w:val="000F3171"/>
    <w:rsid w:val="000F31A8"/>
    <w:rsid w:val="000F3912"/>
    <w:rsid w:val="000F3DA7"/>
    <w:rsid w:val="000F493D"/>
    <w:rsid w:val="000F4D25"/>
    <w:rsid w:val="000F545D"/>
    <w:rsid w:val="000F54FA"/>
    <w:rsid w:val="000F552B"/>
    <w:rsid w:val="000F5563"/>
    <w:rsid w:val="000F5E30"/>
    <w:rsid w:val="000F5E9B"/>
    <w:rsid w:val="000F6FF7"/>
    <w:rsid w:val="000F72E5"/>
    <w:rsid w:val="000F7402"/>
    <w:rsid w:val="000F764B"/>
    <w:rsid w:val="00100530"/>
    <w:rsid w:val="001005E1"/>
    <w:rsid w:val="00100E2F"/>
    <w:rsid w:val="0010179B"/>
    <w:rsid w:val="00101A7D"/>
    <w:rsid w:val="00101EB9"/>
    <w:rsid w:val="001023A1"/>
    <w:rsid w:val="001025C5"/>
    <w:rsid w:val="001027DB"/>
    <w:rsid w:val="00102DB5"/>
    <w:rsid w:val="0010337F"/>
    <w:rsid w:val="001034CB"/>
    <w:rsid w:val="00103CA5"/>
    <w:rsid w:val="00103CCE"/>
    <w:rsid w:val="00104060"/>
    <w:rsid w:val="0010436A"/>
    <w:rsid w:val="0010465F"/>
    <w:rsid w:val="00104675"/>
    <w:rsid w:val="00105181"/>
    <w:rsid w:val="00105571"/>
    <w:rsid w:val="00105925"/>
    <w:rsid w:val="00105CC7"/>
    <w:rsid w:val="00105DB5"/>
    <w:rsid w:val="00105E07"/>
    <w:rsid w:val="00106438"/>
    <w:rsid w:val="001067E5"/>
    <w:rsid w:val="00106F79"/>
    <w:rsid w:val="001070AA"/>
    <w:rsid w:val="0010750A"/>
    <w:rsid w:val="00107724"/>
    <w:rsid w:val="00107756"/>
    <w:rsid w:val="00107E9F"/>
    <w:rsid w:val="00107ED7"/>
    <w:rsid w:val="00110CCA"/>
    <w:rsid w:val="00110DCF"/>
    <w:rsid w:val="00110DE2"/>
    <w:rsid w:val="00111128"/>
    <w:rsid w:val="0011131B"/>
    <w:rsid w:val="00112A04"/>
    <w:rsid w:val="00112F7C"/>
    <w:rsid w:val="00113ADD"/>
    <w:rsid w:val="0011414D"/>
    <w:rsid w:val="00114E40"/>
    <w:rsid w:val="00114ED7"/>
    <w:rsid w:val="00114EF0"/>
    <w:rsid w:val="0011576E"/>
    <w:rsid w:val="00115CFF"/>
    <w:rsid w:val="00115DF7"/>
    <w:rsid w:val="00116166"/>
    <w:rsid w:val="001167E9"/>
    <w:rsid w:val="0011688F"/>
    <w:rsid w:val="001168F6"/>
    <w:rsid w:val="00116E15"/>
    <w:rsid w:val="0011712F"/>
    <w:rsid w:val="001173A7"/>
    <w:rsid w:val="0011744E"/>
    <w:rsid w:val="00117842"/>
    <w:rsid w:val="00117AF4"/>
    <w:rsid w:val="00117B14"/>
    <w:rsid w:val="00117F33"/>
    <w:rsid w:val="00120CD6"/>
    <w:rsid w:val="00121008"/>
    <w:rsid w:val="0012109F"/>
    <w:rsid w:val="00121254"/>
    <w:rsid w:val="00121349"/>
    <w:rsid w:val="00121391"/>
    <w:rsid w:val="00121AE5"/>
    <w:rsid w:val="00121FBF"/>
    <w:rsid w:val="001236BD"/>
    <w:rsid w:val="001238DE"/>
    <w:rsid w:val="00123905"/>
    <w:rsid w:val="00123DEA"/>
    <w:rsid w:val="00124A8E"/>
    <w:rsid w:val="00124BE6"/>
    <w:rsid w:val="00124E49"/>
    <w:rsid w:val="001252D7"/>
    <w:rsid w:val="001253BA"/>
    <w:rsid w:val="001255E1"/>
    <w:rsid w:val="00125603"/>
    <w:rsid w:val="0012607B"/>
    <w:rsid w:val="00126495"/>
    <w:rsid w:val="001266F4"/>
    <w:rsid w:val="00126DCE"/>
    <w:rsid w:val="00127832"/>
    <w:rsid w:val="0012788E"/>
    <w:rsid w:val="00127985"/>
    <w:rsid w:val="00127DB7"/>
    <w:rsid w:val="0013063D"/>
    <w:rsid w:val="001306F5"/>
    <w:rsid w:val="001318B5"/>
    <w:rsid w:val="00131A83"/>
    <w:rsid w:val="00131B17"/>
    <w:rsid w:val="00131CA1"/>
    <w:rsid w:val="00131E27"/>
    <w:rsid w:val="00133136"/>
    <w:rsid w:val="0013329B"/>
    <w:rsid w:val="001336A8"/>
    <w:rsid w:val="00133865"/>
    <w:rsid w:val="00133934"/>
    <w:rsid w:val="001339D9"/>
    <w:rsid w:val="00133A87"/>
    <w:rsid w:val="00133B69"/>
    <w:rsid w:val="00133D53"/>
    <w:rsid w:val="00133E4B"/>
    <w:rsid w:val="00133FCD"/>
    <w:rsid w:val="001343A7"/>
    <w:rsid w:val="00134ED1"/>
    <w:rsid w:val="001352CC"/>
    <w:rsid w:val="00135894"/>
    <w:rsid w:val="00135CA6"/>
    <w:rsid w:val="00135E3D"/>
    <w:rsid w:val="00135FEB"/>
    <w:rsid w:val="0013622A"/>
    <w:rsid w:val="0013626F"/>
    <w:rsid w:val="0013634A"/>
    <w:rsid w:val="00136E6B"/>
    <w:rsid w:val="001373B6"/>
    <w:rsid w:val="0014049F"/>
    <w:rsid w:val="001404BE"/>
    <w:rsid w:val="00140604"/>
    <w:rsid w:val="001409D1"/>
    <w:rsid w:val="00141168"/>
    <w:rsid w:val="00141D7F"/>
    <w:rsid w:val="00141DED"/>
    <w:rsid w:val="00142300"/>
    <w:rsid w:val="00142B78"/>
    <w:rsid w:val="0014361D"/>
    <w:rsid w:val="00144702"/>
    <w:rsid w:val="00144B4F"/>
    <w:rsid w:val="00144ED4"/>
    <w:rsid w:val="00144F35"/>
    <w:rsid w:val="00145076"/>
    <w:rsid w:val="00145090"/>
    <w:rsid w:val="00146391"/>
    <w:rsid w:val="001464A2"/>
    <w:rsid w:val="00146584"/>
    <w:rsid w:val="001466A4"/>
    <w:rsid w:val="00146995"/>
    <w:rsid w:val="00147172"/>
    <w:rsid w:val="00147732"/>
    <w:rsid w:val="00147B3F"/>
    <w:rsid w:val="00147D1B"/>
    <w:rsid w:val="00147E22"/>
    <w:rsid w:val="001502DF"/>
    <w:rsid w:val="001509E4"/>
    <w:rsid w:val="00150BD0"/>
    <w:rsid w:val="00150DD0"/>
    <w:rsid w:val="00150FA7"/>
    <w:rsid w:val="001513D4"/>
    <w:rsid w:val="00151402"/>
    <w:rsid w:val="0015174E"/>
    <w:rsid w:val="0015187B"/>
    <w:rsid w:val="00151E77"/>
    <w:rsid w:val="00152BBF"/>
    <w:rsid w:val="00153344"/>
    <w:rsid w:val="00153394"/>
    <w:rsid w:val="00153403"/>
    <w:rsid w:val="001544A2"/>
    <w:rsid w:val="00154EB3"/>
    <w:rsid w:val="00155AAC"/>
    <w:rsid w:val="001561D7"/>
    <w:rsid w:val="001567B6"/>
    <w:rsid w:val="00156804"/>
    <w:rsid w:val="00156839"/>
    <w:rsid w:val="00157399"/>
    <w:rsid w:val="00157842"/>
    <w:rsid w:val="00157A69"/>
    <w:rsid w:val="00157DCA"/>
    <w:rsid w:val="001601C4"/>
    <w:rsid w:val="00160796"/>
    <w:rsid w:val="0016087E"/>
    <w:rsid w:val="00160C29"/>
    <w:rsid w:val="001610D7"/>
    <w:rsid w:val="001613E9"/>
    <w:rsid w:val="00161483"/>
    <w:rsid w:val="00161877"/>
    <w:rsid w:val="00161B44"/>
    <w:rsid w:val="00161E19"/>
    <w:rsid w:val="001623BD"/>
    <w:rsid w:val="001632DB"/>
    <w:rsid w:val="0016355F"/>
    <w:rsid w:val="00164487"/>
    <w:rsid w:val="001645DB"/>
    <w:rsid w:val="001657D8"/>
    <w:rsid w:val="001661D3"/>
    <w:rsid w:val="001662CA"/>
    <w:rsid w:val="00166A56"/>
    <w:rsid w:val="00166BD2"/>
    <w:rsid w:val="00166C14"/>
    <w:rsid w:val="00167124"/>
    <w:rsid w:val="0017105E"/>
    <w:rsid w:val="00171252"/>
    <w:rsid w:val="00171392"/>
    <w:rsid w:val="00172386"/>
    <w:rsid w:val="0017268F"/>
    <w:rsid w:val="001727AE"/>
    <w:rsid w:val="001727EC"/>
    <w:rsid w:val="00172CC3"/>
    <w:rsid w:val="001731B2"/>
    <w:rsid w:val="001731EA"/>
    <w:rsid w:val="0017377D"/>
    <w:rsid w:val="00173840"/>
    <w:rsid w:val="00173934"/>
    <w:rsid w:val="00173FD3"/>
    <w:rsid w:val="001741C6"/>
    <w:rsid w:val="001744A4"/>
    <w:rsid w:val="00174C5B"/>
    <w:rsid w:val="00175E78"/>
    <w:rsid w:val="00175F32"/>
    <w:rsid w:val="00176041"/>
    <w:rsid w:val="001762CA"/>
    <w:rsid w:val="0017647C"/>
    <w:rsid w:val="0017685D"/>
    <w:rsid w:val="0017694C"/>
    <w:rsid w:val="00176A01"/>
    <w:rsid w:val="00176A7D"/>
    <w:rsid w:val="00176C8F"/>
    <w:rsid w:val="001775F3"/>
    <w:rsid w:val="00177767"/>
    <w:rsid w:val="0018043E"/>
    <w:rsid w:val="00181335"/>
    <w:rsid w:val="0018147B"/>
    <w:rsid w:val="001816C5"/>
    <w:rsid w:val="00181C8F"/>
    <w:rsid w:val="001825CA"/>
    <w:rsid w:val="001826A1"/>
    <w:rsid w:val="00182B82"/>
    <w:rsid w:val="00182F66"/>
    <w:rsid w:val="00182FC3"/>
    <w:rsid w:val="00183622"/>
    <w:rsid w:val="0018385F"/>
    <w:rsid w:val="00183BB9"/>
    <w:rsid w:val="00183EB2"/>
    <w:rsid w:val="001842BA"/>
    <w:rsid w:val="001846D2"/>
    <w:rsid w:val="00184C1A"/>
    <w:rsid w:val="001851CA"/>
    <w:rsid w:val="001856A4"/>
    <w:rsid w:val="00186017"/>
    <w:rsid w:val="0018614B"/>
    <w:rsid w:val="00186234"/>
    <w:rsid w:val="00186661"/>
    <w:rsid w:val="0018675A"/>
    <w:rsid w:val="00186D5E"/>
    <w:rsid w:val="00186EEC"/>
    <w:rsid w:val="00187995"/>
    <w:rsid w:val="00187A46"/>
    <w:rsid w:val="00187FB2"/>
    <w:rsid w:val="001908ED"/>
    <w:rsid w:val="00190B34"/>
    <w:rsid w:val="00190C6B"/>
    <w:rsid w:val="00191195"/>
    <w:rsid w:val="001917EC"/>
    <w:rsid w:val="00191F57"/>
    <w:rsid w:val="00191FAF"/>
    <w:rsid w:val="0019221A"/>
    <w:rsid w:val="00192CA3"/>
    <w:rsid w:val="00192DFF"/>
    <w:rsid w:val="001930E2"/>
    <w:rsid w:val="00193183"/>
    <w:rsid w:val="001931AC"/>
    <w:rsid w:val="0019383A"/>
    <w:rsid w:val="0019383B"/>
    <w:rsid w:val="001938AF"/>
    <w:rsid w:val="0019424B"/>
    <w:rsid w:val="0019494D"/>
    <w:rsid w:val="00194E23"/>
    <w:rsid w:val="00194F63"/>
    <w:rsid w:val="0019542E"/>
    <w:rsid w:val="00195ADA"/>
    <w:rsid w:val="00195C11"/>
    <w:rsid w:val="0019643E"/>
    <w:rsid w:val="001970A6"/>
    <w:rsid w:val="0019727B"/>
    <w:rsid w:val="001972ED"/>
    <w:rsid w:val="001A026C"/>
    <w:rsid w:val="001A034B"/>
    <w:rsid w:val="001A06A9"/>
    <w:rsid w:val="001A0E90"/>
    <w:rsid w:val="001A1A7D"/>
    <w:rsid w:val="001A1F08"/>
    <w:rsid w:val="001A244B"/>
    <w:rsid w:val="001A25C7"/>
    <w:rsid w:val="001A3055"/>
    <w:rsid w:val="001A3300"/>
    <w:rsid w:val="001A35FC"/>
    <w:rsid w:val="001A3610"/>
    <w:rsid w:val="001A362C"/>
    <w:rsid w:val="001A372E"/>
    <w:rsid w:val="001A39C8"/>
    <w:rsid w:val="001A3BDB"/>
    <w:rsid w:val="001A3BEE"/>
    <w:rsid w:val="001A3C5B"/>
    <w:rsid w:val="001A3CFB"/>
    <w:rsid w:val="001A3D0B"/>
    <w:rsid w:val="001A3FE4"/>
    <w:rsid w:val="001A45FB"/>
    <w:rsid w:val="001A4DBA"/>
    <w:rsid w:val="001A52B8"/>
    <w:rsid w:val="001A53A4"/>
    <w:rsid w:val="001A53AF"/>
    <w:rsid w:val="001A53C3"/>
    <w:rsid w:val="001A5474"/>
    <w:rsid w:val="001A5518"/>
    <w:rsid w:val="001A56BB"/>
    <w:rsid w:val="001A62F5"/>
    <w:rsid w:val="001A6309"/>
    <w:rsid w:val="001A6C5D"/>
    <w:rsid w:val="001A6DCD"/>
    <w:rsid w:val="001A7281"/>
    <w:rsid w:val="001A797C"/>
    <w:rsid w:val="001A7A05"/>
    <w:rsid w:val="001A7C0C"/>
    <w:rsid w:val="001A7D51"/>
    <w:rsid w:val="001A7DE8"/>
    <w:rsid w:val="001B0050"/>
    <w:rsid w:val="001B05BA"/>
    <w:rsid w:val="001B0C58"/>
    <w:rsid w:val="001B1300"/>
    <w:rsid w:val="001B14C3"/>
    <w:rsid w:val="001B1977"/>
    <w:rsid w:val="001B1AE5"/>
    <w:rsid w:val="001B1FB3"/>
    <w:rsid w:val="001B2484"/>
    <w:rsid w:val="001B24B7"/>
    <w:rsid w:val="001B2E8E"/>
    <w:rsid w:val="001B2FA3"/>
    <w:rsid w:val="001B35E4"/>
    <w:rsid w:val="001B4D9D"/>
    <w:rsid w:val="001B4E09"/>
    <w:rsid w:val="001B5120"/>
    <w:rsid w:val="001B52FC"/>
    <w:rsid w:val="001B55C0"/>
    <w:rsid w:val="001B5F5D"/>
    <w:rsid w:val="001B5F81"/>
    <w:rsid w:val="001B60E3"/>
    <w:rsid w:val="001B6C3C"/>
    <w:rsid w:val="001B7297"/>
    <w:rsid w:val="001B72B6"/>
    <w:rsid w:val="001B733E"/>
    <w:rsid w:val="001B751F"/>
    <w:rsid w:val="001B75BD"/>
    <w:rsid w:val="001B7819"/>
    <w:rsid w:val="001B789C"/>
    <w:rsid w:val="001B7BB3"/>
    <w:rsid w:val="001B7C4A"/>
    <w:rsid w:val="001B7DA2"/>
    <w:rsid w:val="001B7DB7"/>
    <w:rsid w:val="001C0C17"/>
    <w:rsid w:val="001C0F22"/>
    <w:rsid w:val="001C0FBD"/>
    <w:rsid w:val="001C0FD9"/>
    <w:rsid w:val="001C0FF8"/>
    <w:rsid w:val="001C1554"/>
    <w:rsid w:val="001C1605"/>
    <w:rsid w:val="001C16EB"/>
    <w:rsid w:val="001C1A86"/>
    <w:rsid w:val="001C2731"/>
    <w:rsid w:val="001C32EC"/>
    <w:rsid w:val="001C32F3"/>
    <w:rsid w:val="001C3D36"/>
    <w:rsid w:val="001C41A3"/>
    <w:rsid w:val="001C43DA"/>
    <w:rsid w:val="001C4D75"/>
    <w:rsid w:val="001C4E60"/>
    <w:rsid w:val="001C4F2E"/>
    <w:rsid w:val="001C4F3C"/>
    <w:rsid w:val="001C4F9A"/>
    <w:rsid w:val="001C5089"/>
    <w:rsid w:val="001C5292"/>
    <w:rsid w:val="001C5C54"/>
    <w:rsid w:val="001C6132"/>
    <w:rsid w:val="001C61C0"/>
    <w:rsid w:val="001C68DF"/>
    <w:rsid w:val="001C6C7D"/>
    <w:rsid w:val="001C6EA4"/>
    <w:rsid w:val="001C7590"/>
    <w:rsid w:val="001C75B1"/>
    <w:rsid w:val="001C75BE"/>
    <w:rsid w:val="001C77B5"/>
    <w:rsid w:val="001C7A3C"/>
    <w:rsid w:val="001D0177"/>
    <w:rsid w:val="001D0634"/>
    <w:rsid w:val="001D0803"/>
    <w:rsid w:val="001D0868"/>
    <w:rsid w:val="001D097C"/>
    <w:rsid w:val="001D1654"/>
    <w:rsid w:val="001D1EBE"/>
    <w:rsid w:val="001D25F6"/>
    <w:rsid w:val="001D262B"/>
    <w:rsid w:val="001D27E0"/>
    <w:rsid w:val="001D292B"/>
    <w:rsid w:val="001D2EE1"/>
    <w:rsid w:val="001D2F73"/>
    <w:rsid w:val="001D30B0"/>
    <w:rsid w:val="001D4686"/>
    <w:rsid w:val="001D4706"/>
    <w:rsid w:val="001D475C"/>
    <w:rsid w:val="001D4A98"/>
    <w:rsid w:val="001D520B"/>
    <w:rsid w:val="001D527A"/>
    <w:rsid w:val="001D5443"/>
    <w:rsid w:val="001D5553"/>
    <w:rsid w:val="001D5BCD"/>
    <w:rsid w:val="001D62A6"/>
    <w:rsid w:val="001D68A3"/>
    <w:rsid w:val="001D6C24"/>
    <w:rsid w:val="001D71B4"/>
    <w:rsid w:val="001D73CF"/>
    <w:rsid w:val="001D7909"/>
    <w:rsid w:val="001D7BDC"/>
    <w:rsid w:val="001D7C73"/>
    <w:rsid w:val="001D7EA8"/>
    <w:rsid w:val="001D7FEF"/>
    <w:rsid w:val="001E0748"/>
    <w:rsid w:val="001E08D3"/>
    <w:rsid w:val="001E09F5"/>
    <w:rsid w:val="001E16AB"/>
    <w:rsid w:val="001E1B04"/>
    <w:rsid w:val="001E1CE9"/>
    <w:rsid w:val="001E1D26"/>
    <w:rsid w:val="001E1F37"/>
    <w:rsid w:val="001E2327"/>
    <w:rsid w:val="001E262B"/>
    <w:rsid w:val="001E28A0"/>
    <w:rsid w:val="001E325B"/>
    <w:rsid w:val="001E3819"/>
    <w:rsid w:val="001E3F64"/>
    <w:rsid w:val="001E444D"/>
    <w:rsid w:val="001E497B"/>
    <w:rsid w:val="001E4B19"/>
    <w:rsid w:val="001E4BC1"/>
    <w:rsid w:val="001E4C5E"/>
    <w:rsid w:val="001E50CB"/>
    <w:rsid w:val="001E5330"/>
    <w:rsid w:val="001E544C"/>
    <w:rsid w:val="001E57E1"/>
    <w:rsid w:val="001E58FC"/>
    <w:rsid w:val="001E5934"/>
    <w:rsid w:val="001E5D4A"/>
    <w:rsid w:val="001E6C0D"/>
    <w:rsid w:val="001E70F1"/>
    <w:rsid w:val="001E7E99"/>
    <w:rsid w:val="001F005A"/>
    <w:rsid w:val="001F08AD"/>
    <w:rsid w:val="001F0C01"/>
    <w:rsid w:val="001F0DC3"/>
    <w:rsid w:val="001F0FBF"/>
    <w:rsid w:val="001F138B"/>
    <w:rsid w:val="001F13E0"/>
    <w:rsid w:val="001F14FD"/>
    <w:rsid w:val="001F18A2"/>
    <w:rsid w:val="001F2451"/>
    <w:rsid w:val="001F2574"/>
    <w:rsid w:val="001F2951"/>
    <w:rsid w:val="001F296B"/>
    <w:rsid w:val="001F2BE1"/>
    <w:rsid w:val="001F2D97"/>
    <w:rsid w:val="001F321E"/>
    <w:rsid w:val="001F344C"/>
    <w:rsid w:val="001F3450"/>
    <w:rsid w:val="001F3698"/>
    <w:rsid w:val="001F3C40"/>
    <w:rsid w:val="001F3DF7"/>
    <w:rsid w:val="001F41AF"/>
    <w:rsid w:val="001F4259"/>
    <w:rsid w:val="001F432F"/>
    <w:rsid w:val="001F4A6E"/>
    <w:rsid w:val="001F4E6A"/>
    <w:rsid w:val="001F53A3"/>
    <w:rsid w:val="001F56B9"/>
    <w:rsid w:val="001F56C8"/>
    <w:rsid w:val="001F59E2"/>
    <w:rsid w:val="001F622C"/>
    <w:rsid w:val="001F62D7"/>
    <w:rsid w:val="001F6791"/>
    <w:rsid w:val="001F68D7"/>
    <w:rsid w:val="001F6963"/>
    <w:rsid w:val="001F6D1F"/>
    <w:rsid w:val="001F7013"/>
    <w:rsid w:val="001F738A"/>
    <w:rsid w:val="00200340"/>
    <w:rsid w:val="00200683"/>
    <w:rsid w:val="002006BB"/>
    <w:rsid w:val="002011FD"/>
    <w:rsid w:val="002015DF"/>
    <w:rsid w:val="002017A1"/>
    <w:rsid w:val="002017BE"/>
    <w:rsid w:val="00201C5C"/>
    <w:rsid w:val="00201F1D"/>
    <w:rsid w:val="002021C0"/>
    <w:rsid w:val="002024BD"/>
    <w:rsid w:val="00202966"/>
    <w:rsid w:val="002032D2"/>
    <w:rsid w:val="00203802"/>
    <w:rsid w:val="00203A31"/>
    <w:rsid w:val="00203AAB"/>
    <w:rsid w:val="002041B4"/>
    <w:rsid w:val="002045DA"/>
    <w:rsid w:val="00204BA5"/>
    <w:rsid w:val="00204C5B"/>
    <w:rsid w:val="00204CFD"/>
    <w:rsid w:val="00204EF3"/>
    <w:rsid w:val="00205088"/>
    <w:rsid w:val="00205544"/>
    <w:rsid w:val="00205695"/>
    <w:rsid w:val="00205984"/>
    <w:rsid w:val="00205A7D"/>
    <w:rsid w:val="00205EEA"/>
    <w:rsid w:val="00205FB9"/>
    <w:rsid w:val="00206C98"/>
    <w:rsid w:val="00206FD2"/>
    <w:rsid w:val="0020794E"/>
    <w:rsid w:val="00207BF3"/>
    <w:rsid w:val="00207F42"/>
    <w:rsid w:val="0021012C"/>
    <w:rsid w:val="00210879"/>
    <w:rsid w:val="00210A54"/>
    <w:rsid w:val="00210A9D"/>
    <w:rsid w:val="00210F0A"/>
    <w:rsid w:val="002110AA"/>
    <w:rsid w:val="002110B9"/>
    <w:rsid w:val="00212623"/>
    <w:rsid w:val="00212B71"/>
    <w:rsid w:val="002134E6"/>
    <w:rsid w:val="002136B3"/>
    <w:rsid w:val="00213C96"/>
    <w:rsid w:val="00213D07"/>
    <w:rsid w:val="00213EE7"/>
    <w:rsid w:val="002141D2"/>
    <w:rsid w:val="00214322"/>
    <w:rsid w:val="0021461A"/>
    <w:rsid w:val="00214942"/>
    <w:rsid w:val="00214DCD"/>
    <w:rsid w:val="00214FB5"/>
    <w:rsid w:val="00215772"/>
    <w:rsid w:val="00215830"/>
    <w:rsid w:val="00216276"/>
    <w:rsid w:val="002162D4"/>
    <w:rsid w:val="00216486"/>
    <w:rsid w:val="00216793"/>
    <w:rsid w:val="00216EDD"/>
    <w:rsid w:val="00217276"/>
    <w:rsid w:val="0021776E"/>
    <w:rsid w:val="00217C4B"/>
    <w:rsid w:val="00220196"/>
    <w:rsid w:val="00220CFF"/>
    <w:rsid w:val="00220D63"/>
    <w:rsid w:val="0022117D"/>
    <w:rsid w:val="002211DD"/>
    <w:rsid w:val="00221648"/>
    <w:rsid w:val="002216D8"/>
    <w:rsid w:val="00221AE0"/>
    <w:rsid w:val="00221D42"/>
    <w:rsid w:val="00221D43"/>
    <w:rsid w:val="00221DC2"/>
    <w:rsid w:val="002220A1"/>
    <w:rsid w:val="00222E15"/>
    <w:rsid w:val="00222E6E"/>
    <w:rsid w:val="00223154"/>
    <w:rsid w:val="00224476"/>
    <w:rsid w:val="002245C1"/>
    <w:rsid w:val="00224CFD"/>
    <w:rsid w:val="00224EC4"/>
    <w:rsid w:val="0022528B"/>
    <w:rsid w:val="002254DD"/>
    <w:rsid w:val="00225A4C"/>
    <w:rsid w:val="00225A8B"/>
    <w:rsid w:val="00225F5C"/>
    <w:rsid w:val="0022647B"/>
    <w:rsid w:val="00226693"/>
    <w:rsid w:val="00226925"/>
    <w:rsid w:val="00226B55"/>
    <w:rsid w:val="00226CA6"/>
    <w:rsid w:val="002272F0"/>
    <w:rsid w:val="00227AD4"/>
    <w:rsid w:val="002301DD"/>
    <w:rsid w:val="002302CE"/>
    <w:rsid w:val="002303A3"/>
    <w:rsid w:val="002303C4"/>
    <w:rsid w:val="00230750"/>
    <w:rsid w:val="002307F2"/>
    <w:rsid w:val="002308CB"/>
    <w:rsid w:val="00230CBF"/>
    <w:rsid w:val="00230E19"/>
    <w:rsid w:val="00230F68"/>
    <w:rsid w:val="002310DE"/>
    <w:rsid w:val="0023198B"/>
    <w:rsid w:val="00232782"/>
    <w:rsid w:val="002338CE"/>
    <w:rsid w:val="00233CAC"/>
    <w:rsid w:val="002345E9"/>
    <w:rsid w:val="002350E9"/>
    <w:rsid w:val="002364E6"/>
    <w:rsid w:val="0023675D"/>
    <w:rsid w:val="002369B0"/>
    <w:rsid w:val="00236BB0"/>
    <w:rsid w:val="0023761D"/>
    <w:rsid w:val="00237D5B"/>
    <w:rsid w:val="00237F33"/>
    <w:rsid w:val="00240157"/>
    <w:rsid w:val="00240737"/>
    <w:rsid w:val="002407B9"/>
    <w:rsid w:val="00240898"/>
    <w:rsid w:val="002408A9"/>
    <w:rsid w:val="00241864"/>
    <w:rsid w:val="00241920"/>
    <w:rsid w:val="00241BEF"/>
    <w:rsid w:val="00242378"/>
    <w:rsid w:val="00242741"/>
    <w:rsid w:val="00242751"/>
    <w:rsid w:val="00242858"/>
    <w:rsid w:val="002432A3"/>
    <w:rsid w:val="002436AF"/>
    <w:rsid w:val="00243A60"/>
    <w:rsid w:val="00243C4D"/>
    <w:rsid w:val="00243F9B"/>
    <w:rsid w:val="00244691"/>
    <w:rsid w:val="00244E50"/>
    <w:rsid w:val="00244F8D"/>
    <w:rsid w:val="00245A25"/>
    <w:rsid w:val="0024614E"/>
    <w:rsid w:val="00246156"/>
    <w:rsid w:val="00246F9E"/>
    <w:rsid w:val="002470F1"/>
    <w:rsid w:val="002471B7"/>
    <w:rsid w:val="002471DF"/>
    <w:rsid w:val="002475F8"/>
    <w:rsid w:val="00247819"/>
    <w:rsid w:val="002478DB"/>
    <w:rsid w:val="00247D29"/>
    <w:rsid w:val="00247E82"/>
    <w:rsid w:val="00247F40"/>
    <w:rsid w:val="002500E8"/>
    <w:rsid w:val="0025016F"/>
    <w:rsid w:val="002508B9"/>
    <w:rsid w:val="00250BB4"/>
    <w:rsid w:val="0025154C"/>
    <w:rsid w:val="00251CA0"/>
    <w:rsid w:val="0025214A"/>
    <w:rsid w:val="002522C8"/>
    <w:rsid w:val="00252614"/>
    <w:rsid w:val="00252E35"/>
    <w:rsid w:val="00252F0C"/>
    <w:rsid w:val="002534E0"/>
    <w:rsid w:val="00253C8C"/>
    <w:rsid w:val="00254366"/>
    <w:rsid w:val="002545F1"/>
    <w:rsid w:val="002548D3"/>
    <w:rsid w:val="00254B63"/>
    <w:rsid w:val="002553C4"/>
    <w:rsid w:val="002556F9"/>
    <w:rsid w:val="00255B42"/>
    <w:rsid w:val="00256A14"/>
    <w:rsid w:val="00256C2A"/>
    <w:rsid w:val="00256C2F"/>
    <w:rsid w:val="002570DC"/>
    <w:rsid w:val="002571E8"/>
    <w:rsid w:val="002574A2"/>
    <w:rsid w:val="002574AD"/>
    <w:rsid w:val="0025759F"/>
    <w:rsid w:val="0025770F"/>
    <w:rsid w:val="00260346"/>
    <w:rsid w:val="00260691"/>
    <w:rsid w:val="002615A8"/>
    <w:rsid w:val="002615C7"/>
    <w:rsid w:val="002615FA"/>
    <w:rsid w:val="00261879"/>
    <w:rsid w:val="00261CB9"/>
    <w:rsid w:val="002620ED"/>
    <w:rsid w:val="00262485"/>
    <w:rsid w:val="002624FE"/>
    <w:rsid w:val="002625F8"/>
    <w:rsid w:val="00262B42"/>
    <w:rsid w:val="00262C48"/>
    <w:rsid w:val="00262FCD"/>
    <w:rsid w:val="00263031"/>
    <w:rsid w:val="00263051"/>
    <w:rsid w:val="002631B7"/>
    <w:rsid w:val="00263C92"/>
    <w:rsid w:val="00263DB5"/>
    <w:rsid w:val="00263E4B"/>
    <w:rsid w:val="0026415F"/>
    <w:rsid w:val="0026437C"/>
    <w:rsid w:val="00264A86"/>
    <w:rsid w:val="00264E2E"/>
    <w:rsid w:val="00264E89"/>
    <w:rsid w:val="00264FA4"/>
    <w:rsid w:val="0026506F"/>
    <w:rsid w:val="0026514B"/>
    <w:rsid w:val="00265813"/>
    <w:rsid w:val="00265B96"/>
    <w:rsid w:val="00265FA6"/>
    <w:rsid w:val="00266282"/>
    <w:rsid w:val="0026688A"/>
    <w:rsid w:val="00266A33"/>
    <w:rsid w:val="00266BDD"/>
    <w:rsid w:val="00266CF3"/>
    <w:rsid w:val="00267222"/>
    <w:rsid w:val="00267B1D"/>
    <w:rsid w:val="00270CE6"/>
    <w:rsid w:val="002710D6"/>
    <w:rsid w:val="00271936"/>
    <w:rsid w:val="002719BE"/>
    <w:rsid w:val="00272010"/>
    <w:rsid w:val="00273703"/>
    <w:rsid w:val="00273E93"/>
    <w:rsid w:val="00273F73"/>
    <w:rsid w:val="0027457F"/>
    <w:rsid w:val="002745B0"/>
    <w:rsid w:val="00274EE2"/>
    <w:rsid w:val="0027532B"/>
    <w:rsid w:val="00275405"/>
    <w:rsid w:val="00275445"/>
    <w:rsid w:val="002757AF"/>
    <w:rsid w:val="00275B0E"/>
    <w:rsid w:val="00276670"/>
    <w:rsid w:val="00276955"/>
    <w:rsid w:val="00276B1E"/>
    <w:rsid w:val="00276CBB"/>
    <w:rsid w:val="00277341"/>
    <w:rsid w:val="00277400"/>
    <w:rsid w:val="00277AA8"/>
    <w:rsid w:val="002804C7"/>
    <w:rsid w:val="00280815"/>
    <w:rsid w:val="002814C0"/>
    <w:rsid w:val="002814E7"/>
    <w:rsid w:val="002842E9"/>
    <w:rsid w:val="00284444"/>
    <w:rsid w:val="00284549"/>
    <w:rsid w:val="002849E3"/>
    <w:rsid w:val="00284E08"/>
    <w:rsid w:val="002854FA"/>
    <w:rsid w:val="00285FD0"/>
    <w:rsid w:val="002863EC"/>
    <w:rsid w:val="0028696C"/>
    <w:rsid w:val="002869E0"/>
    <w:rsid w:val="00286D3C"/>
    <w:rsid w:val="0028741A"/>
    <w:rsid w:val="0028742A"/>
    <w:rsid w:val="00287BC3"/>
    <w:rsid w:val="00287C2B"/>
    <w:rsid w:val="0029088A"/>
    <w:rsid w:val="00290E3B"/>
    <w:rsid w:val="00290E44"/>
    <w:rsid w:val="00291333"/>
    <w:rsid w:val="002914EC"/>
    <w:rsid w:val="002915F9"/>
    <w:rsid w:val="002919D3"/>
    <w:rsid w:val="00291A0D"/>
    <w:rsid w:val="00291ED7"/>
    <w:rsid w:val="002923F2"/>
    <w:rsid w:val="00292A08"/>
    <w:rsid w:val="00293262"/>
    <w:rsid w:val="00293455"/>
    <w:rsid w:val="002948D7"/>
    <w:rsid w:val="0029565E"/>
    <w:rsid w:val="00295923"/>
    <w:rsid w:val="00295A6C"/>
    <w:rsid w:val="00295A9B"/>
    <w:rsid w:val="00295F0E"/>
    <w:rsid w:val="00295F8F"/>
    <w:rsid w:val="0029634D"/>
    <w:rsid w:val="002964E6"/>
    <w:rsid w:val="00296519"/>
    <w:rsid w:val="00296B66"/>
    <w:rsid w:val="00296E21"/>
    <w:rsid w:val="0029776B"/>
    <w:rsid w:val="002A00CD"/>
    <w:rsid w:val="002A0214"/>
    <w:rsid w:val="002A0B2F"/>
    <w:rsid w:val="002A1840"/>
    <w:rsid w:val="002A1ADA"/>
    <w:rsid w:val="002A1D0C"/>
    <w:rsid w:val="002A2272"/>
    <w:rsid w:val="002A22E6"/>
    <w:rsid w:val="002A2479"/>
    <w:rsid w:val="002A29F7"/>
    <w:rsid w:val="002A2C67"/>
    <w:rsid w:val="002A38B0"/>
    <w:rsid w:val="002A3C84"/>
    <w:rsid w:val="002A4325"/>
    <w:rsid w:val="002A4480"/>
    <w:rsid w:val="002A45F8"/>
    <w:rsid w:val="002A4678"/>
    <w:rsid w:val="002A4787"/>
    <w:rsid w:val="002A4A7B"/>
    <w:rsid w:val="002A4A93"/>
    <w:rsid w:val="002A4EBD"/>
    <w:rsid w:val="002A5A83"/>
    <w:rsid w:val="002A5DBB"/>
    <w:rsid w:val="002A665F"/>
    <w:rsid w:val="002A6A90"/>
    <w:rsid w:val="002A6CDC"/>
    <w:rsid w:val="002A6CDD"/>
    <w:rsid w:val="002A6EA4"/>
    <w:rsid w:val="002A774A"/>
    <w:rsid w:val="002A77A8"/>
    <w:rsid w:val="002A7F85"/>
    <w:rsid w:val="002B00B6"/>
    <w:rsid w:val="002B01C4"/>
    <w:rsid w:val="002B03EA"/>
    <w:rsid w:val="002B0552"/>
    <w:rsid w:val="002B0621"/>
    <w:rsid w:val="002B0934"/>
    <w:rsid w:val="002B09C4"/>
    <w:rsid w:val="002B114E"/>
    <w:rsid w:val="002B125D"/>
    <w:rsid w:val="002B16DD"/>
    <w:rsid w:val="002B1876"/>
    <w:rsid w:val="002B1B37"/>
    <w:rsid w:val="002B1BAF"/>
    <w:rsid w:val="002B2020"/>
    <w:rsid w:val="002B2067"/>
    <w:rsid w:val="002B2298"/>
    <w:rsid w:val="002B27CD"/>
    <w:rsid w:val="002B2F5D"/>
    <w:rsid w:val="002B318E"/>
    <w:rsid w:val="002B4260"/>
    <w:rsid w:val="002B4F7A"/>
    <w:rsid w:val="002B52E3"/>
    <w:rsid w:val="002B541D"/>
    <w:rsid w:val="002B54E2"/>
    <w:rsid w:val="002B564F"/>
    <w:rsid w:val="002B56DC"/>
    <w:rsid w:val="002B583E"/>
    <w:rsid w:val="002B5959"/>
    <w:rsid w:val="002B5D4A"/>
    <w:rsid w:val="002B5E3F"/>
    <w:rsid w:val="002B606A"/>
    <w:rsid w:val="002B68C5"/>
    <w:rsid w:val="002B6A54"/>
    <w:rsid w:val="002B703B"/>
    <w:rsid w:val="002B781E"/>
    <w:rsid w:val="002B7E86"/>
    <w:rsid w:val="002C0C06"/>
    <w:rsid w:val="002C143A"/>
    <w:rsid w:val="002C15B3"/>
    <w:rsid w:val="002C15D2"/>
    <w:rsid w:val="002C1928"/>
    <w:rsid w:val="002C1AE8"/>
    <w:rsid w:val="002C1D19"/>
    <w:rsid w:val="002C21F9"/>
    <w:rsid w:val="002C2448"/>
    <w:rsid w:val="002C2875"/>
    <w:rsid w:val="002C3196"/>
    <w:rsid w:val="002C3F0C"/>
    <w:rsid w:val="002C4B78"/>
    <w:rsid w:val="002C4EFC"/>
    <w:rsid w:val="002C5744"/>
    <w:rsid w:val="002C581A"/>
    <w:rsid w:val="002C5902"/>
    <w:rsid w:val="002C5A5A"/>
    <w:rsid w:val="002C5E6A"/>
    <w:rsid w:val="002C5ECF"/>
    <w:rsid w:val="002C6487"/>
    <w:rsid w:val="002C70B0"/>
    <w:rsid w:val="002C7FCF"/>
    <w:rsid w:val="002C7FEA"/>
    <w:rsid w:val="002D09F0"/>
    <w:rsid w:val="002D0A47"/>
    <w:rsid w:val="002D0BF9"/>
    <w:rsid w:val="002D14FF"/>
    <w:rsid w:val="002D1CB7"/>
    <w:rsid w:val="002D1E54"/>
    <w:rsid w:val="002D21E8"/>
    <w:rsid w:val="002D2806"/>
    <w:rsid w:val="002D29FA"/>
    <w:rsid w:val="002D2A5C"/>
    <w:rsid w:val="002D2DD0"/>
    <w:rsid w:val="002D4A29"/>
    <w:rsid w:val="002D4F1A"/>
    <w:rsid w:val="002D509D"/>
    <w:rsid w:val="002D5155"/>
    <w:rsid w:val="002D5379"/>
    <w:rsid w:val="002D5A91"/>
    <w:rsid w:val="002D60AE"/>
    <w:rsid w:val="002D6266"/>
    <w:rsid w:val="002D6491"/>
    <w:rsid w:val="002D68C6"/>
    <w:rsid w:val="002D69D7"/>
    <w:rsid w:val="002D6F92"/>
    <w:rsid w:val="002D721B"/>
    <w:rsid w:val="002E0291"/>
    <w:rsid w:val="002E0346"/>
    <w:rsid w:val="002E0394"/>
    <w:rsid w:val="002E0599"/>
    <w:rsid w:val="002E0BD7"/>
    <w:rsid w:val="002E0C32"/>
    <w:rsid w:val="002E0FDE"/>
    <w:rsid w:val="002E108F"/>
    <w:rsid w:val="002E11D5"/>
    <w:rsid w:val="002E138A"/>
    <w:rsid w:val="002E1852"/>
    <w:rsid w:val="002E1898"/>
    <w:rsid w:val="002E2401"/>
    <w:rsid w:val="002E2638"/>
    <w:rsid w:val="002E349E"/>
    <w:rsid w:val="002E372F"/>
    <w:rsid w:val="002E37F9"/>
    <w:rsid w:val="002E3AD5"/>
    <w:rsid w:val="002E449D"/>
    <w:rsid w:val="002E4A8D"/>
    <w:rsid w:val="002E4B2B"/>
    <w:rsid w:val="002E513C"/>
    <w:rsid w:val="002E536A"/>
    <w:rsid w:val="002E537B"/>
    <w:rsid w:val="002E593D"/>
    <w:rsid w:val="002E59BA"/>
    <w:rsid w:val="002E6438"/>
    <w:rsid w:val="002E6AFC"/>
    <w:rsid w:val="002E6B39"/>
    <w:rsid w:val="002E6B7C"/>
    <w:rsid w:val="002E6D95"/>
    <w:rsid w:val="002E7239"/>
    <w:rsid w:val="002E7381"/>
    <w:rsid w:val="002E74E6"/>
    <w:rsid w:val="002E7934"/>
    <w:rsid w:val="002E7C76"/>
    <w:rsid w:val="002E7D7E"/>
    <w:rsid w:val="002E7FF2"/>
    <w:rsid w:val="002F028E"/>
    <w:rsid w:val="002F09A4"/>
    <w:rsid w:val="002F1819"/>
    <w:rsid w:val="002F18DB"/>
    <w:rsid w:val="002F2204"/>
    <w:rsid w:val="002F319F"/>
    <w:rsid w:val="002F357B"/>
    <w:rsid w:val="002F39BF"/>
    <w:rsid w:val="002F3AD8"/>
    <w:rsid w:val="002F3D1A"/>
    <w:rsid w:val="002F3E52"/>
    <w:rsid w:val="002F41A8"/>
    <w:rsid w:val="002F536F"/>
    <w:rsid w:val="002F5C2D"/>
    <w:rsid w:val="002F5CBC"/>
    <w:rsid w:val="002F5E5A"/>
    <w:rsid w:val="002F6059"/>
    <w:rsid w:val="002F6131"/>
    <w:rsid w:val="002F628F"/>
    <w:rsid w:val="002F66AA"/>
    <w:rsid w:val="002F6977"/>
    <w:rsid w:val="002F6A56"/>
    <w:rsid w:val="002F701F"/>
    <w:rsid w:val="002F74D1"/>
    <w:rsid w:val="002F777D"/>
    <w:rsid w:val="002F7E7B"/>
    <w:rsid w:val="003000FD"/>
    <w:rsid w:val="003001C5"/>
    <w:rsid w:val="0030090A"/>
    <w:rsid w:val="00300AA0"/>
    <w:rsid w:val="00300F48"/>
    <w:rsid w:val="00301115"/>
    <w:rsid w:val="003012DB"/>
    <w:rsid w:val="003018E6"/>
    <w:rsid w:val="00301B80"/>
    <w:rsid w:val="00301D0E"/>
    <w:rsid w:val="003023A5"/>
    <w:rsid w:val="00302D41"/>
    <w:rsid w:val="00303140"/>
    <w:rsid w:val="00304297"/>
    <w:rsid w:val="00304A3F"/>
    <w:rsid w:val="00304CE9"/>
    <w:rsid w:val="003052FF"/>
    <w:rsid w:val="00305496"/>
    <w:rsid w:val="0030576A"/>
    <w:rsid w:val="00305959"/>
    <w:rsid w:val="0030598A"/>
    <w:rsid w:val="00305C3C"/>
    <w:rsid w:val="00305E6C"/>
    <w:rsid w:val="0030648D"/>
    <w:rsid w:val="00306BCA"/>
    <w:rsid w:val="0030703F"/>
    <w:rsid w:val="0030773B"/>
    <w:rsid w:val="00307884"/>
    <w:rsid w:val="00310603"/>
    <w:rsid w:val="003106FA"/>
    <w:rsid w:val="00310A63"/>
    <w:rsid w:val="00310D59"/>
    <w:rsid w:val="00310DB1"/>
    <w:rsid w:val="003110BD"/>
    <w:rsid w:val="00311CD2"/>
    <w:rsid w:val="00311D3F"/>
    <w:rsid w:val="003120FA"/>
    <w:rsid w:val="00312554"/>
    <w:rsid w:val="003129FF"/>
    <w:rsid w:val="003130F8"/>
    <w:rsid w:val="00313C0F"/>
    <w:rsid w:val="00313EE3"/>
    <w:rsid w:val="0031468B"/>
    <w:rsid w:val="00314A48"/>
    <w:rsid w:val="00314AE7"/>
    <w:rsid w:val="00314DA6"/>
    <w:rsid w:val="003152A5"/>
    <w:rsid w:val="003155DF"/>
    <w:rsid w:val="00315A4A"/>
    <w:rsid w:val="00315C54"/>
    <w:rsid w:val="003160BF"/>
    <w:rsid w:val="00316482"/>
    <w:rsid w:val="0031699C"/>
    <w:rsid w:val="00316B85"/>
    <w:rsid w:val="00316DDC"/>
    <w:rsid w:val="00316DFF"/>
    <w:rsid w:val="003170A8"/>
    <w:rsid w:val="003171F8"/>
    <w:rsid w:val="003178A1"/>
    <w:rsid w:val="00317A92"/>
    <w:rsid w:val="00317D06"/>
    <w:rsid w:val="00317ED1"/>
    <w:rsid w:val="003206F9"/>
    <w:rsid w:val="00320AD4"/>
    <w:rsid w:val="00321BBC"/>
    <w:rsid w:val="00322635"/>
    <w:rsid w:val="00322AE0"/>
    <w:rsid w:val="00322BBC"/>
    <w:rsid w:val="00323B81"/>
    <w:rsid w:val="00323C08"/>
    <w:rsid w:val="00323D79"/>
    <w:rsid w:val="00323EAA"/>
    <w:rsid w:val="003244AB"/>
    <w:rsid w:val="00324657"/>
    <w:rsid w:val="00324867"/>
    <w:rsid w:val="003249F0"/>
    <w:rsid w:val="00324AB1"/>
    <w:rsid w:val="00324BE7"/>
    <w:rsid w:val="00324E3F"/>
    <w:rsid w:val="00325131"/>
    <w:rsid w:val="00325AD5"/>
    <w:rsid w:val="00325CF3"/>
    <w:rsid w:val="003261A7"/>
    <w:rsid w:val="0032653F"/>
    <w:rsid w:val="00326E02"/>
    <w:rsid w:val="00327C0D"/>
    <w:rsid w:val="00327E27"/>
    <w:rsid w:val="0033012B"/>
    <w:rsid w:val="00330352"/>
    <w:rsid w:val="003304CE"/>
    <w:rsid w:val="0033077C"/>
    <w:rsid w:val="00330B1D"/>
    <w:rsid w:val="00330C55"/>
    <w:rsid w:val="00330CC1"/>
    <w:rsid w:val="00331C9E"/>
    <w:rsid w:val="00332390"/>
    <w:rsid w:val="003323A0"/>
    <w:rsid w:val="0033284A"/>
    <w:rsid w:val="00332916"/>
    <w:rsid w:val="0033329A"/>
    <w:rsid w:val="0033353C"/>
    <w:rsid w:val="0033401A"/>
    <w:rsid w:val="00334F27"/>
    <w:rsid w:val="003350B5"/>
    <w:rsid w:val="00335345"/>
    <w:rsid w:val="003354EA"/>
    <w:rsid w:val="00335596"/>
    <w:rsid w:val="00335ACE"/>
    <w:rsid w:val="00335DD5"/>
    <w:rsid w:val="003364EF"/>
    <w:rsid w:val="0033714A"/>
    <w:rsid w:val="0033746B"/>
    <w:rsid w:val="00337741"/>
    <w:rsid w:val="003377CA"/>
    <w:rsid w:val="0034015A"/>
    <w:rsid w:val="00340877"/>
    <w:rsid w:val="00340B6C"/>
    <w:rsid w:val="00340F4B"/>
    <w:rsid w:val="00341222"/>
    <w:rsid w:val="003412B5"/>
    <w:rsid w:val="003412C9"/>
    <w:rsid w:val="00341ACD"/>
    <w:rsid w:val="00341F90"/>
    <w:rsid w:val="00342786"/>
    <w:rsid w:val="00342B7F"/>
    <w:rsid w:val="00343124"/>
    <w:rsid w:val="003438B8"/>
    <w:rsid w:val="00343A7D"/>
    <w:rsid w:val="00343B63"/>
    <w:rsid w:val="00343E16"/>
    <w:rsid w:val="00343F95"/>
    <w:rsid w:val="00344FF1"/>
    <w:rsid w:val="00345B55"/>
    <w:rsid w:val="00345FE1"/>
    <w:rsid w:val="003466B5"/>
    <w:rsid w:val="00346DD6"/>
    <w:rsid w:val="00346F45"/>
    <w:rsid w:val="003472F0"/>
    <w:rsid w:val="003473A0"/>
    <w:rsid w:val="003473D4"/>
    <w:rsid w:val="00347A93"/>
    <w:rsid w:val="00350764"/>
    <w:rsid w:val="0035084F"/>
    <w:rsid w:val="00351171"/>
    <w:rsid w:val="00351982"/>
    <w:rsid w:val="0035214E"/>
    <w:rsid w:val="003521A2"/>
    <w:rsid w:val="00352607"/>
    <w:rsid w:val="00352AF0"/>
    <w:rsid w:val="00352BEC"/>
    <w:rsid w:val="003534C6"/>
    <w:rsid w:val="00353CF7"/>
    <w:rsid w:val="00353D05"/>
    <w:rsid w:val="00353EF5"/>
    <w:rsid w:val="00353F56"/>
    <w:rsid w:val="0035401A"/>
    <w:rsid w:val="003545EA"/>
    <w:rsid w:val="00354704"/>
    <w:rsid w:val="00355E03"/>
    <w:rsid w:val="003565C4"/>
    <w:rsid w:val="003568A6"/>
    <w:rsid w:val="003571A2"/>
    <w:rsid w:val="003574BF"/>
    <w:rsid w:val="003601CD"/>
    <w:rsid w:val="00360D0F"/>
    <w:rsid w:val="00360D2C"/>
    <w:rsid w:val="00360F1E"/>
    <w:rsid w:val="00361875"/>
    <w:rsid w:val="00361FA1"/>
    <w:rsid w:val="0036211F"/>
    <w:rsid w:val="003624D5"/>
    <w:rsid w:val="00362BD6"/>
    <w:rsid w:val="00362E7E"/>
    <w:rsid w:val="00363642"/>
    <w:rsid w:val="0036367F"/>
    <w:rsid w:val="0036380C"/>
    <w:rsid w:val="00363978"/>
    <w:rsid w:val="0036406C"/>
    <w:rsid w:val="003642D6"/>
    <w:rsid w:val="00364382"/>
    <w:rsid w:val="003643A1"/>
    <w:rsid w:val="003648B6"/>
    <w:rsid w:val="00364E36"/>
    <w:rsid w:val="00364EF4"/>
    <w:rsid w:val="003653DC"/>
    <w:rsid w:val="003656CF"/>
    <w:rsid w:val="0036658F"/>
    <w:rsid w:val="00366D75"/>
    <w:rsid w:val="00366DF3"/>
    <w:rsid w:val="00367395"/>
    <w:rsid w:val="00367CE7"/>
    <w:rsid w:val="00370643"/>
    <w:rsid w:val="00370696"/>
    <w:rsid w:val="00370757"/>
    <w:rsid w:val="00370CE2"/>
    <w:rsid w:val="003710D6"/>
    <w:rsid w:val="00371707"/>
    <w:rsid w:val="00371AC5"/>
    <w:rsid w:val="0037215F"/>
    <w:rsid w:val="00372A99"/>
    <w:rsid w:val="0037307E"/>
    <w:rsid w:val="003736A1"/>
    <w:rsid w:val="00373930"/>
    <w:rsid w:val="0037399A"/>
    <w:rsid w:val="00374545"/>
    <w:rsid w:val="00374703"/>
    <w:rsid w:val="003749C0"/>
    <w:rsid w:val="0037502D"/>
    <w:rsid w:val="00375631"/>
    <w:rsid w:val="0037570E"/>
    <w:rsid w:val="0037580C"/>
    <w:rsid w:val="003758F0"/>
    <w:rsid w:val="00375A05"/>
    <w:rsid w:val="00375AFE"/>
    <w:rsid w:val="00375D94"/>
    <w:rsid w:val="00376105"/>
    <w:rsid w:val="00376713"/>
    <w:rsid w:val="00376745"/>
    <w:rsid w:val="00376F39"/>
    <w:rsid w:val="00377236"/>
    <w:rsid w:val="00377275"/>
    <w:rsid w:val="003773B5"/>
    <w:rsid w:val="003802AE"/>
    <w:rsid w:val="00380D15"/>
    <w:rsid w:val="00381CB7"/>
    <w:rsid w:val="00381CDD"/>
    <w:rsid w:val="00381CFA"/>
    <w:rsid w:val="003829E3"/>
    <w:rsid w:val="00382E23"/>
    <w:rsid w:val="00383608"/>
    <w:rsid w:val="003837BB"/>
    <w:rsid w:val="003844CA"/>
    <w:rsid w:val="003845F2"/>
    <w:rsid w:val="00384721"/>
    <w:rsid w:val="00384ABF"/>
    <w:rsid w:val="003854AA"/>
    <w:rsid w:val="0038564A"/>
    <w:rsid w:val="00385D62"/>
    <w:rsid w:val="003861ED"/>
    <w:rsid w:val="00386820"/>
    <w:rsid w:val="00387016"/>
    <w:rsid w:val="003870B9"/>
    <w:rsid w:val="00387E7C"/>
    <w:rsid w:val="003904C9"/>
    <w:rsid w:val="00391332"/>
    <w:rsid w:val="0039160E"/>
    <w:rsid w:val="00391635"/>
    <w:rsid w:val="0039180B"/>
    <w:rsid w:val="00392132"/>
    <w:rsid w:val="003921ED"/>
    <w:rsid w:val="0039285B"/>
    <w:rsid w:val="00392E9C"/>
    <w:rsid w:val="00392F15"/>
    <w:rsid w:val="00393125"/>
    <w:rsid w:val="003931A5"/>
    <w:rsid w:val="00393885"/>
    <w:rsid w:val="003943BC"/>
    <w:rsid w:val="00394493"/>
    <w:rsid w:val="0039554B"/>
    <w:rsid w:val="00395CCD"/>
    <w:rsid w:val="00396902"/>
    <w:rsid w:val="00396AC7"/>
    <w:rsid w:val="00396BD0"/>
    <w:rsid w:val="00396C12"/>
    <w:rsid w:val="00396DC9"/>
    <w:rsid w:val="0039705D"/>
    <w:rsid w:val="003970C4"/>
    <w:rsid w:val="00397269"/>
    <w:rsid w:val="003976E5"/>
    <w:rsid w:val="003978A6"/>
    <w:rsid w:val="003A030E"/>
    <w:rsid w:val="003A05B9"/>
    <w:rsid w:val="003A0910"/>
    <w:rsid w:val="003A0998"/>
    <w:rsid w:val="003A2197"/>
    <w:rsid w:val="003A23E7"/>
    <w:rsid w:val="003A25AD"/>
    <w:rsid w:val="003A3037"/>
    <w:rsid w:val="003A3290"/>
    <w:rsid w:val="003A358D"/>
    <w:rsid w:val="003A369D"/>
    <w:rsid w:val="003A40AF"/>
    <w:rsid w:val="003A43B9"/>
    <w:rsid w:val="003A46E3"/>
    <w:rsid w:val="003A55AC"/>
    <w:rsid w:val="003A6135"/>
    <w:rsid w:val="003A649F"/>
    <w:rsid w:val="003A6626"/>
    <w:rsid w:val="003A7626"/>
    <w:rsid w:val="003A79FB"/>
    <w:rsid w:val="003A7B56"/>
    <w:rsid w:val="003B030A"/>
    <w:rsid w:val="003B0378"/>
    <w:rsid w:val="003B0543"/>
    <w:rsid w:val="003B07A7"/>
    <w:rsid w:val="003B0BD2"/>
    <w:rsid w:val="003B19A8"/>
    <w:rsid w:val="003B1BC7"/>
    <w:rsid w:val="003B1C65"/>
    <w:rsid w:val="003B209B"/>
    <w:rsid w:val="003B2175"/>
    <w:rsid w:val="003B2318"/>
    <w:rsid w:val="003B247F"/>
    <w:rsid w:val="003B2E17"/>
    <w:rsid w:val="003B31A0"/>
    <w:rsid w:val="003B3343"/>
    <w:rsid w:val="003B3697"/>
    <w:rsid w:val="003B54D1"/>
    <w:rsid w:val="003B554A"/>
    <w:rsid w:val="003B624D"/>
    <w:rsid w:val="003B665C"/>
    <w:rsid w:val="003B72D3"/>
    <w:rsid w:val="003B747A"/>
    <w:rsid w:val="003B780F"/>
    <w:rsid w:val="003B7834"/>
    <w:rsid w:val="003C0196"/>
    <w:rsid w:val="003C0A4D"/>
    <w:rsid w:val="003C0F94"/>
    <w:rsid w:val="003C1192"/>
    <w:rsid w:val="003C150E"/>
    <w:rsid w:val="003C1B68"/>
    <w:rsid w:val="003C1DED"/>
    <w:rsid w:val="003C24E4"/>
    <w:rsid w:val="003C27F8"/>
    <w:rsid w:val="003C2F54"/>
    <w:rsid w:val="003C2FB1"/>
    <w:rsid w:val="003C37AF"/>
    <w:rsid w:val="003C37B4"/>
    <w:rsid w:val="003C3DAE"/>
    <w:rsid w:val="003C42D6"/>
    <w:rsid w:val="003C4534"/>
    <w:rsid w:val="003C457C"/>
    <w:rsid w:val="003C46A2"/>
    <w:rsid w:val="003C55C4"/>
    <w:rsid w:val="003C57DA"/>
    <w:rsid w:val="003C5B6C"/>
    <w:rsid w:val="003C5C10"/>
    <w:rsid w:val="003C5EB7"/>
    <w:rsid w:val="003C627B"/>
    <w:rsid w:val="003C64B4"/>
    <w:rsid w:val="003C64BE"/>
    <w:rsid w:val="003C6666"/>
    <w:rsid w:val="003C71CA"/>
    <w:rsid w:val="003C726F"/>
    <w:rsid w:val="003C72D7"/>
    <w:rsid w:val="003C755F"/>
    <w:rsid w:val="003C78AC"/>
    <w:rsid w:val="003C7A0A"/>
    <w:rsid w:val="003C7C87"/>
    <w:rsid w:val="003D03D7"/>
    <w:rsid w:val="003D1562"/>
    <w:rsid w:val="003D23FB"/>
    <w:rsid w:val="003D2907"/>
    <w:rsid w:val="003D299F"/>
    <w:rsid w:val="003D2E00"/>
    <w:rsid w:val="003D3036"/>
    <w:rsid w:val="003D30BF"/>
    <w:rsid w:val="003D3196"/>
    <w:rsid w:val="003D3506"/>
    <w:rsid w:val="003D4702"/>
    <w:rsid w:val="003D4947"/>
    <w:rsid w:val="003D5235"/>
    <w:rsid w:val="003D5677"/>
    <w:rsid w:val="003D5C98"/>
    <w:rsid w:val="003D5FB6"/>
    <w:rsid w:val="003D67F0"/>
    <w:rsid w:val="003D6CD8"/>
    <w:rsid w:val="003D7259"/>
    <w:rsid w:val="003D73B0"/>
    <w:rsid w:val="003D7421"/>
    <w:rsid w:val="003D7E30"/>
    <w:rsid w:val="003E010A"/>
    <w:rsid w:val="003E014C"/>
    <w:rsid w:val="003E025F"/>
    <w:rsid w:val="003E02E5"/>
    <w:rsid w:val="003E045F"/>
    <w:rsid w:val="003E0576"/>
    <w:rsid w:val="003E1D7C"/>
    <w:rsid w:val="003E1D9E"/>
    <w:rsid w:val="003E267D"/>
    <w:rsid w:val="003E2734"/>
    <w:rsid w:val="003E282D"/>
    <w:rsid w:val="003E2C3F"/>
    <w:rsid w:val="003E2F3F"/>
    <w:rsid w:val="003E3634"/>
    <w:rsid w:val="003E37B7"/>
    <w:rsid w:val="003E3F49"/>
    <w:rsid w:val="003E4172"/>
    <w:rsid w:val="003E4603"/>
    <w:rsid w:val="003E4C0F"/>
    <w:rsid w:val="003E4ED1"/>
    <w:rsid w:val="003E50DE"/>
    <w:rsid w:val="003E54CF"/>
    <w:rsid w:val="003E5A73"/>
    <w:rsid w:val="003E6113"/>
    <w:rsid w:val="003E611A"/>
    <w:rsid w:val="003E65E9"/>
    <w:rsid w:val="003E65EB"/>
    <w:rsid w:val="003E6761"/>
    <w:rsid w:val="003E68EF"/>
    <w:rsid w:val="003E6974"/>
    <w:rsid w:val="003E6B73"/>
    <w:rsid w:val="003E6D12"/>
    <w:rsid w:val="003E731E"/>
    <w:rsid w:val="003E7347"/>
    <w:rsid w:val="003E75A2"/>
    <w:rsid w:val="003E75AF"/>
    <w:rsid w:val="003E7604"/>
    <w:rsid w:val="003E761D"/>
    <w:rsid w:val="003E77C9"/>
    <w:rsid w:val="003E7A12"/>
    <w:rsid w:val="003F0DAD"/>
    <w:rsid w:val="003F1C43"/>
    <w:rsid w:val="003F1F66"/>
    <w:rsid w:val="003F23EE"/>
    <w:rsid w:val="003F291C"/>
    <w:rsid w:val="003F29E1"/>
    <w:rsid w:val="003F2AB0"/>
    <w:rsid w:val="003F3442"/>
    <w:rsid w:val="003F3A39"/>
    <w:rsid w:val="003F3D32"/>
    <w:rsid w:val="003F43B1"/>
    <w:rsid w:val="003F4649"/>
    <w:rsid w:val="003F5254"/>
    <w:rsid w:val="003F5363"/>
    <w:rsid w:val="003F5841"/>
    <w:rsid w:val="003F58BF"/>
    <w:rsid w:val="003F59BE"/>
    <w:rsid w:val="003F5A70"/>
    <w:rsid w:val="003F6B23"/>
    <w:rsid w:val="003F772A"/>
    <w:rsid w:val="003F77FA"/>
    <w:rsid w:val="003F7A5B"/>
    <w:rsid w:val="003F7B08"/>
    <w:rsid w:val="003F7F62"/>
    <w:rsid w:val="00400004"/>
    <w:rsid w:val="0040023B"/>
    <w:rsid w:val="00400C48"/>
    <w:rsid w:val="00400E26"/>
    <w:rsid w:val="00400EB6"/>
    <w:rsid w:val="00401DF8"/>
    <w:rsid w:val="00401EAB"/>
    <w:rsid w:val="00402525"/>
    <w:rsid w:val="00402673"/>
    <w:rsid w:val="00402B1F"/>
    <w:rsid w:val="00402CAE"/>
    <w:rsid w:val="00402EDB"/>
    <w:rsid w:val="00403260"/>
    <w:rsid w:val="00403AB0"/>
    <w:rsid w:val="00403AD5"/>
    <w:rsid w:val="00403D33"/>
    <w:rsid w:val="00404924"/>
    <w:rsid w:val="004054C0"/>
    <w:rsid w:val="0040593A"/>
    <w:rsid w:val="0040656B"/>
    <w:rsid w:val="0040667E"/>
    <w:rsid w:val="00406B26"/>
    <w:rsid w:val="00406B4F"/>
    <w:rsid w:val="00406E76"/>
    <w:rsid w:val="00406EF7"/>
    <w:rsid w:val="00407191"/>
    <w:rsid w:val="004077C4"/>
    <w:rsid w:val="00407D6D"/>
    <w:rsid w:val="0041018F"/>
    <w:rsid w:val="0041039D"/>
    <w:rsid w:val="00411D70"/>
    <w:rsid w:val="00411EB8"/>
    <w:rsid w:val="00412E4F"/>
    <w:rsid w:val="00413341"/>
    <w:rsid w:val="00413C27"/>
    <w:rsid w:val="004143E6"/>
    <w:rsid w:val="004146C4"/>
    <w:rsid w:val="00414B43"/>
    <w:rsid w:val="00414C6B"/>
    <w:rsid w:val="00414E7B"/>
    <w:rsid w:val="00415313"/>
    <w:rsid w:val="004154F1"/>
    <w:rsid w:val="0041602C"/>
    <w:rsid w:val="0041614B"/>
    <w:rsid w:val="004164FC"/>
    <w:rsid w:val="00416596"/>
    <w:rsid w:val="00416620"/>
    <w:rsid w:val="00416A12"/>
    <w:rsid w:val="00416BEB"/>
    <w:rsid w:val="0041756A"/>
    <w:rsid w:val="00417D5D"/>
    <w:rsid w:val="00417FFD"/>
    <w:rsid w:val="00420370"/>
    <w:rsid w:val="00420F56"/>
    <w:rsid w:val="00422380"/>
    <w:rsid w:val="004233DE"/>
    <w:rsid w:val="004240AD"/>
    <w:rsid w:val="0042509A"/>
    <w:rsid w:val="0042550D"/>
    <w:rsid w:val="00425569"/>
    <w:rsid w:val="004255E5"/>
    <w:rsid w:val="00425604"/>
    <w:rsid w:val="00426034"/>
    <w:rsid w:val="004263B4"/>
    <w:rsid w:val="00426478"/>
    <w:rsid w:val="004264E8"/>
    <w:rsid w:val="00426A4D"/>
    <w:rsid w:val="00426B50"/>
    <w:rsid w:val="0042750C"/>
    <w:rsid w:val="00427C1E"/>
    <w:rsid w:val="00427C81"/>
    <w:rsid w:val="00427CB8"/>
    <w:rsid w:val="0043071F"/>
    <w:rsid w:val="00430AA3"/>
    <w:rsid w:val="00431729"/>
    <w:rsid w:val="00432384"/>
    <w:rsid w:val="00432A85"/>
    <w:rsid w:val="00432CAD"/>
    <w:rsid w:val="00432CE5"/>
    <w:rsid w:val="004330B3"/>
    <w:rsid w:val="00433219"/>
    <w:rsid w:val="00433470"/>
    <w:rsid w:val="004335EE"/>
    <w:rsid w:val="004337F4"/>
    <w:rsid w:val="00433BE2"/>
    <w:rsid w:val="004341DD"/>
    <w:rsid w:val="004347FF"/>
    <w:rsid w:val="00434815"/>
    <w:rsid w:val="00434922"/>
    <w:rsid w:val="00435042"/>
    <w:rsid w:val="00435399"/>
    <w:rsid w:val="004357FA"/>
    <w:rsid w:val="004358BF"/>
    <w:rsid w:val="004369EE"/>
    <w:rsid w:val="00436C0D"/>
    <w:rsid w:val="00436F26"/>
    <w:rsid w:val="004376EE"/>
    <w:rsid w:val="00437C60"/>
    <w:rsid w:val="00440B32"/>
    <w:rsid w:val="004412DF"/>
    <w:rsid w:val="0044155C"/>
    <w:rsid w:val="00442090"/>
    <w:rsid w:val="0044214C"/>
    <w:rsid w:val="00442837"/>
    <w:rsid w:val="00442B55"/>
    <w:rsid w:val="00442BA4"/>
    <w:rsid w:val="00443182"/>
    <w:rsid w:val="00443266"/>
    <w:rsid w:val="004435D5"/>
    <w:rsid w:val="004438EF"/>
    <w:rsid w:val="00443EE5"/>
    <w:rsid w:val="004442A7"/>
    <w:rsid w:val="0044432A"/>
    <w:rsid w:val="004445D4"/>
    <w:rsid w:val="004446A5"/>
    <w:rsid w:val="004447BF"/>
    <w:rsid w:val="00444B04"/>
    <w:rsid w:val="00444C2D"/>
    <w:rsid w:val="00444D0A"/>
    <w:rsid w:val="004452AC"/>
    <w:rsid w:val="004457DA"/>
    <w:rsid w:val="004458FF"/>
    <w:rsid w:val="00445A65"/>
    <w:rsid w:val="00445B6B"/>
    <w:rsid w:val="00445BF9"/>
    <w:rsid w:val="004460B1"/>
    <w:rsid w:val="004460DA"/>
    <w:rsid w:val="00446163"/>
    <w:rsid w:val="004463FF"/>
    <w:rsid w:val="0044677D"/>
    <w:rsid w:val="00446A86"/>
    <w:rsid w:val="00446B33"/>
    <w:rsid w:val="00446B7F"/>
    <w:rsid w:val="004471C7"/>
    <w:rsid w:val="004475C0"/>
    <w:rsid w:val="004478C3"/>
    <w:rsid w:val="004478E5"/>
    <w:rsid w:val="00447F00"/>
    <w:rsid w:val="0045002E"/>
    <w:rsid w:val="00450504"/>
    <w:rsid w:val="00450598"/>
    <w:rsid w:val="00450D31"/>
    <w:rsid w:val="004513BD"/>
    <w:rsid w:val="00451B74"/>
    <w:rsid w:val="004524C4"/>
    <w:rsid w:val="0045270B"/>
    <w:rsid w:val="0045273C"/>
    <w:rsid w:val="00452A68"/>
    <w:rsid w:val="00452ABD"/>
    <w:rsid w:val="004533B9"/>
    <w:rsid w:val="004536F0"/>
    <w:rsid w:val="0045376A"/>
    <w:rsid w:val="00453AD7"/>
    <w:rsid w:val="00453F9A"/>
    <w:rsid w:val="00454007"/>
    <w:rsid w:val="0045474F"/>
    <w:rsid w:val="004547AA"/>
    <w:rsid w:val="00454C45"/>
    <w:rsid w:val="00454D21"/>
    <w:rsid w:val="00454FD4"/>
    <w:rsid w:val="00455D6B"/>
    <w:rsid w:val="00455E91"/>
    <w:rsid w:val="00456158"/>
    <w:rsid w:val="004567EF"/>
    <w:rsid w:val="004570C2"/>
    <w:rsid w:val="00457597"/>
    <w:rsid w:val="00457A08"/>
    <w:rsid w:val="00457A7E"/>
    <w:rsid w:val="00460ACD"/>
    <w:rsid w:val="00460B21"/>
    <w:rsid w:val="00461357"/>
    <w:rsid w:val="00461AC4"/>
    <w:rsid w:val="00461AD6"/>
    <w:rsid w:val="00461BFA"/>
    <w:rsid w:val="00461E08"/>
    <w:rsid w:val="00461F15"/>
    <w:rsid w:val="004623AF"/>
    <w:rsid w:val="004623B0"/>
    <w:rsid w:val="004623D0"/>
    <w:rsid w:val="0046240C"/>
    <w:rsid w:val="00463201"/>
    <w:rsid w:val="004632FD"/>
    <w:rsid w:val="00463E4A"/>
    <w:rsid w:val="004643A1"/>
    <w:rsid w:val="00464745"/>
    <w:rsid w:val="0046592B"/>
    <w:rsid w:val="00465A0B"/>
    <w:rsid w:val="00466539"/>
    <w:rsid w:val="00467115"/>
    <w:rsid w:val="004672C0"/>
    <w:rsid w:val="00467DC1"/>
    <w:rsid w:val="00470088"/>
    <w:rsid w:val="004701D5"/>
    <w:rsid w:val="004702DC"/>
    <w:rsid w:val="004704A8"/>
    <w:rsid w:val="004705EF"/>
    <w:rsid w:val="0047065A"/>
    <w:rsid w:val="00470BAF"/>
    <w:rsid w:val="00470C01"/>
    <w:rsid w:val="00470F3B"/>
    <w:rsid w:val="00471265"/>
    <w:rsid w:val="004712C2"/>
    <w:rsid w:val="004719EA"/>
    <w:rsid w:val="00471E71"/>
    <w:rsid w:val="00471F90"/>
    <w:rsid w:val="00472522"/>
    <w:rsid w:val="004726A8"/>
    <w:rsid w:val="00472A21"/>
    <w:rsid w:val="00472BF6"/>
    <w:rsid w:val="004730DE"/>
    <w:rsid w:val="004731EE"/>
    <w:rsid w:val="00473294"/>
    <w:rsid w:val="00473D74"/>
    <w:rsid w:val="00473F11"/>
    <w:rsid w:val="00474033"/>
    <w:rsid w:val="00474116"/>
    <w:rsid w:val="00474518"/>
    <w:rsid w:val="00474C8B"/>
    <w:rsid w:val="00475260"/>
    <w:rsid w:val="004758EA"/>
    <w:rsid w:val="00475BEF"/>
    <w:rsid w:val="0047621E"/>
    <w:rsid w:val="004767E2"/>
    <w:rsid w:val="00476877"/>
    <w:rsid w:val="0047698C"/>
    <w:rsid w:val="00476A63"/>
    <w:rsid w:val="00476A9B"/>
    <w:rsid w:val="00476DE7"/>
    <w:rsid w:val="0047790E"/>
    <w:rsid w:val="0047796A"/>
    <w:rsid w:val="00477A6E"/>
    <w:rsid w:val="00477A85"/>
    <w:rsid w:val="00477AFE"/>
    <w:rsid w:val="00480871"/>
    <w:rsid w:val="00480D51"/>
    <w:rsid w:val="0048117C"/>
    <w:rsid w:val="0048211E"/>
    <w:rsid w:val="00482E4A"/>
    <w:rsid w:val="00482FD4"/>
    <w:rsid w:val="00482FE2"/>
    <w:rsid w:val="00483463"/>
    <w:rsid w:val="0048382B"/>
    <w:rsid w:val="00483DFC"/>
    <w:rsid w:val="0048445C"/>
    <w:rsid w:val="00484511"/>
    <w:rsid w:val="00484F77"/>
    <w:rsid w:val="00485112"/>
    <w:rsid w:val="0048527F"/>
    <w:rsid w:val="004855A9"/>
    <w:rsid w:val="00486CCD"/>
    <w:rsid w:val="00486E4F"/>
    <w:rsid w:val="00486E7A"/>
    <w:rsid w:val="00486F1A"/>
    <w:rsid w:val="00486F68"/>
    <w:rsid w:val="00486F89"/>
    <w:rsid w:val="0048707D"/>
    <w:rsid w:val="0048731E"/>
    <w:rsid w:val="00487AA9"/>
    <w:rsid w:val="00490209"/>
    <w:rsid w:val="004903C2"/>
    <w:rsid w:val="00490711"/>
    <w:rsid w:val="00490882"/>
    <w:rsid w:val="00490996"/>
    <w:rsid w:val="004909C9"/>
    <w:rsid w:val="00490A24"/>
    <w:rsid w:val="00490A49"/>
    <w:rsid w:val="00490D62"/>
    <w:rsid w:val="004911E7"/>
    <w:rsid w:val="004914D0"/>
    <w:rsid w:val="00491743"/>
    <w:rsid w:val="00491A6D"/>
    <w:rsid w:val="00491AF0"/>
    <w:rsid w:val="00491BAC"/>
    <w:rsid w:val="00492398"/>
    <w:rsid w:val="00492644"/>
    <w:rsid w:val="00492ADD"/>
    <w:rsid w:val="00493925"/>
    <w:rsid w:val="00493957"/>
    <w:rsid w:val="00493F8E"/>
    <w:rsid w:val="00494B45"/>
    <w:rsid w:val="00494C21"/>
    <w:rsid w:val="00494E3D"/>
    <w:rsid w:val="0049570D"/>
    <w:rsid w:val="00495790"/>
    <w:rsid w:val="004957F8"/>
    <w:rsid w:val="00495BE2"/>
    <w:rsid w:val="00495CEA"/>
    <w:rsid w:val="00496071"/>
    <w:rsid w:val="004960A2"/>
    <w:rsid w:val="00496547"/>
    <w:rsid w:val="004968C9"/>
    <w:rsid w:val="00496D1B"/>
    <w:rsid w:val="00497262"/>
    <w:rsid w:val="004973C8"/>
    <w:rsid w:val="00497791"/>
    <w:rsid w:val="0049795F"/>
    <w:rsid w:val="00497BFE"/>
    <w:rsid w:val="00497E1A"/>
    <w:rsid w:val="004A061F"/>
    <w:rsid w:val="004A0CA0"/>
    <w:rsid w:val="004A0CC4"/>
    <w:rsid w:val="004A1365"/>
    <w:rsid w:val="004A17D8"/>
    <w:rsid w:val="004A1D70"/>
    <w:rsid w:val="004A1F29"/>
    <w:rsid w:val="004A24CB"/>
    <w:rsid w:val="004A2D02"/>
    <w:rsid w:val="004A3980"/>
    <w:rsid w:val="004A45AC"/>
    <w:rsid w:val="004A4654"/>
    <w:rsid w:val="004A4983"/>
    <w:rsid w:val="004A574C"/>
    <w:rsid w:val="004A5993"/>
    <w:rsid w:val="004A5B70"/>
    <w:rsid w:val="004A5BAA"/>
    <w:rsid w:val="004A5CED"/>
    <w:rsid w:val="004A60CD"/>
    <w:rsid w:val="004A651F"/>
    <w:rsid w:val="004A7C39"/>
    <w:rsid w:val="004B056E"/>
    <w:rsid w:val="004B05D7"/>
    <w:rsid w:val="004B076B"/>
    <w:rsid w:val="004B11C7"/>
    <w:rsid w:val="004B133A"/>
    <w:rsid w:val="004B145F"/>
    <w:rsid w:val="004B1C9F"/>
    <w:rsid w:val="004B28B5"/>
    <w:rsid w:val="004B296D"/>
    <w:rsid w:val="004B299A"/>
    <w:rsid w:val="004B2DC4"/>
    <w:rsid w:val="004B2E35"/>
    <w:rsid w:val="004B2FD5"/>
    <w:rsid w:val="004B321F"/>
    <w:rsid w:val="004B376D"/>
    <w:rsid w:val="004B37B3"/>
    <w:rsid w:val="004B38BE"/>
    <w:rsid w:val="004B392D"/>
    <w:rsid w:val="004B3AC8"/>
    <w:rsid w:val="004B3AE2"/>
    <w:rsid w:val="004B3B50"/>
    <w:rsid w:val="004B3BC9"/>
    <w:rsid w:val="004B3C2E"/>
    <w:rsid w:val="004B3EA7"/>
    <w:rsid w:val="004B3FAF"/>
    <w:rsid w:val="004B42E3"/>
    <w:rsid w:val="004B4D0D"/>
    <w:rsid w:val="004B4FE6"/>
    <w:rsid w:val="004B55AB"/>
    <w:rsid w:val="004B5661"/>
    <w:rsid w:val="004B579D"/>
    <w:rsid w:val="004B6D00"/>
    <w:rsid w:val="004B7173"/>
    <w:rsid w:val="004B7CA2"/>
    <w:rsid w:val="004C00D9"/>
    <w:rsid w:val="004C0487"/>
    <w:rsid w:val="004C0F94"/>
    <w:rsid w:val="004C11C6"/>
    <w:rsid w:val="004C16F0"/>
    <w:rsid w:val="004C17E4"/>
    <w:rsid w:val="004C22EA"/>
    <w:rsid w:val="004C2878"/>
    <w:rsid w:val="004C357A"/>
    <w:rsid w:val="004C3904"/>
    <w:rsid w:val="004C3A88"/>
    <w:rsid w:val="004C3E9F"/>
    <w:rsid w:val="004C4816"/>
    <w:rsid w:val="004C4F8F"/>
    <w:rsid w:val="004C505C"/>
    <w:rsid w:val="004C58DD"/>
    <w:rsid w:val="004C5972"/>
    <w:rsid w:val="004C5BA0"/>
    <w:rsid w:val="004C5BDE"/>
    <w:rsid w:val="004C6367"/>
    <w:rsid w:val="004C6648"/>
    <w:rsid w:val="004C685B"/>
    <w:rsid w:val="004C6B8D"/>
    <w:rsid w:val="004C72FB"/>
    <w:rsid w:val="004C7B7D"/>
    <w:rsid w:val="004D053A"/>
    <w:rsid w:val="004D08E0"/>
    <w:rsid w:val="004D146A"/>
    <w:rsid w:val="004D18EE"/>
    <w:rsid w:val="004D1BE6"/>
    <w:rsid w:val="004D2494"/>
    <w:rsid w:val="004D2539"/>
    <w:rsid w:val="004D257D"/>
    <w:rsid w:val="004D2738"/>
    <w:rsid w:val="004D2750"/>
    <w:rsid w:val="004D2825"/>
    <w:rsid w:val="004D2BB8"/>
    <w:rsid w:val="004D2C9C"/>
    <w:rsid w:val="004D2CE1"/>
    <w:rsid w:val="004D2D13"/>
    <w:rsid w:val="004D34CD"/>
    <w:rsid w:val="004D3C50"/>
    <w:rsid w:val="004D3F29"/>
    <w:rsid w:val="004D4150"/>
    <w:rsid w:val="004D41A4"/>
    <w:rsid w:val="004D4377"/>
    <w:rsid w:val="004D4717"/>
    <w:rsid w:val="004D4AC4"/>
    <w:rsid w:val="004D556E"/>
    <w:rsid w:val="004D59A2"/>
    <w:rsid w:val="004D5B7C"/>
    <w:rsid w:val="004D5BFE"/>
    <w:rsid w:val="004D5EB7"/>
    <w:rsid w:val="004D5F99"/>
    <w:rsid w:val="004D6120"/>
    <w:rsid w:val="004D6B2C"/>
    <w:rsid w:val="004D724E"/>
    <w:rsid w:val="004D72F8"/>
    <w:rsid w:val="004D76CF"/>
    <w:rsid w:val="004E0D05"/>
    <w:rsid w:val="004E128A"/>
    <w:rsid w:val="004E160F"/>
    <w:rsid w:val="004E164B"/>
    <w:rsid w:val="004E170D"/>
    <w:rsid w:val="004E23BE"/>
    <w:rsid w:val="004E2974"/>
    <w:rsid w:val="004E2E2A"/>
    <w:rsid w:val="004E3300"/>
    <w:rsid w:val="004E34FA"/>
    <w:rsid w:val="004E364F"/>
    <w:rsid w:val="004E4053"/>
    <w:rsid w:val="004E46EA"/>
    <w:rsid w:val="004E4CEE"/>
    <w:rsid w:val="004E4DCB"/>
    <w:rsid w:val="004E530E"/>
    <w:rsid w:val="004E5B96"/>
    <w:rsid w:val="004E6B4D"/>
    <w:rsid w:val="004E747B"/>
    <w:rsid w:val="004E7485"/>
    <w:rsid w:val="004F0361"/>
    <w:rsid w:val="004F04FB"/>
    <w:rsid w:val="004F0505"/>
    <w:rsid w:val="004F0C6A"/>
    <w:rsid w:val="004F1078"/>
    <w:rsid w:val="004F10C8"/>
    <w:rsid w:val="004F232B"/>
    <w:rsid w:val="004F274C"/>
    <w:rsid w:val="004F2D2E"/>
    <w:rsid w:val="004F2D33"/>
    <w:rsid w:val="004F2F35"/>
    <w:rsid w:val="004F310E"/>
    <w:rsid w:val="004F346C"/>
    <w:rsid w:val="004F3571"/>
    <w:rsid w:val="004F3F0B"/>
    <w:rsid w:val="004F40CB"/>
    <w:rsid w:val="004F432E"/>
    <w:rsid w:val="004F4D32"/>
    <w:rsid w:val="004F4DE8"/>
    <w:rsid w:val="004F577C"/>
    <w:rsid w:val="004F57C2"/>
    <w:rsid w:val="004F5972"/>
    <w:rsid w:val="004F5DCB"/>
    <w:rsid w:val="004F63E2"/>
    <w:rsid w:val="004F6471"/>
    <w:rsid w:val="004F655B"/>
    <w:rsid w:val="004F668F"/>
    <w:rsid w:val="004F6894"/>
    <w:rsid w:val="004F6A3D"/>
    <w:rsid w:val="004F6D08"/>
    <w:rsid w:val="004F6FDA"/>
    <w:rsid w:val="004F70FB"/>
    <w:rsid w:val="004F72B5"/>
    <w:rsid w:val="004F7DB5"/>
    <w:rsid w:val="004F7F5A"/>
    <w:rsid w:val="0050000D"/>
    <w:rsid w:val="0050034B"/>
    <w:rsid w:val="0050039E"/>
    <w:rsid w:val="00500A16"/>
    <w:rsid w:val="00500B8B"/>
    <w:rsid w:val="00500D36"/>
    <w:rsid w:val="005012C3"/>
    <w:rsid w:val="00501966"/>
    <w:rsid w:val="00501BB1"/>
    <w:rsid w:val="00501CB6"/>
    <w:rsid w:val="00502B07"/>
    <w:rsid w:val="0050364F"/>
    <w:rsid w:val="00503777"/>
    <w:rsid w:val="005041AA"/>
    <w:rsid w:val="00504AF9"/>
    <w:rsid w:val="00504CE6"/>
    <w:rsid w:val="00504FF7"/>
    <w:rsid w:val="00505665"/>
    <w:rsid w:val="005059FD"/>
    <w:rsid w:val="00505A14"/>
    <w:rsid w:val="00505CF3"/>
    <w:rsid w:val="005064F5"/>
    <w:rsid w:val="005067D7"/>
    <w:rsid w:val="00506889"/>
    <w:rsid w:val="0050736C"/>
    <w:rsid w:val="00507B0A"/>
    <w:rsid w:val="00510211"/>
    <w:rsid w:val="0051039B"/>
    <w:rsid w:val="00511027"/>
    <w:rsid w:val="00511440"/>
    <w:rsid w:val="00511495"/>
    <w:rsid w:val="00511755"/>
    <w:rsid w:val="00511C5E"/>
    <w:rsid w:val="00511DCB"/>
    <w:rsid w:val="00511E5A"/>
    <w:rsid w:val="0051266D"/>
    <w:rsid w:val="005127C8"/>
    <w:rsid w:val="005128F9"/>
    <w:rsid w:val="00512C00"/>
    <w:rsid w:val="00512EF5"/>
    <w:rsid w:val="00513B23"/>
    <w:rsid w:val="005145E5"/>
    <w:rsid w:val="00514732"/>
    <w:rsid w:val="0051499A"/>
    <w:rsid w:val="00514BA6"/>
    <w:rsid w:val="00514FF4"/>
    <w:rsid w:val="005150BE"/>
    <w:rsid w:val="005152F7"/>
    <w:rsid w:val="00515529"/>
    <w:rsid w:val="00515A78"/>
    <w:rsid w:val="00515DEA"/>
    <w:rsid w:val="00516850"/>
    <w:rsid w:val="00516DAF"/>
    <w:rsid w:val="00517044"/>
    <w:rsid w:val="00517092"/>
    <w:rsid w:val="005173EF"/>
    <w:rsid w:val="00517726"/>
    <w:rsid w:val="0051783B"/>
    <w:rsid w:val="00517CCC"/>
    <w:rsid w:val="00520250"/>
    <w:rsid w:val="00520545"/>
    <w:rsid w:val="00520B6C"/>
    <w:rsid w:val="00520E1A"/>
    <w:rsid w:val="0052166F"/>
    <w:rsid w:val="00521C87"/>
    <w:rsid w:val="005223A0"/>
    <w:rsid w:val="00522BEC"/>
    <w:rsid w:val="00522E24"/>
    <w:rsid w:val="005244F8"/>
    <w:rsid w:val="005246C9"/>
    <w:rsid w:val="00524788"/>
    <w:rsid w:val="005247E7"/>
    <w:rsid w:val="00524918"/>
    <w:rsid w:val="005252F6"/>
    <w:rsid w:val="00525980"/>
    <w:rsid w:val="00525AC3"/>
    <w:rsid w:val="00525E3B"/>
    <w:rsid w:val="005264D8"/>
    <w:rsid w:val="00526899"/>
    <w:rsid w:val="0052689B"/>
    <w:rsid w:val="00526A08"/>
    <w:rsid w:val="005275F5"/>
    <w:rsid w:val="00527844"/>
    <w:rsid w:val="005301BA"/>
    <w:rsid w:val="005301CD"/>
    <w:rsid w:val="00531334"/>
    <w:rsid w:val="0053245D"/>
    <w:rsid w:val="005324C7"/>
    <w:rsid w:val="00532D6C"/>
    <w:rsid w:val="00533174"/>
    <w:rsid w:val="005334BF"/>
    <w:rsid w:val="00533893"/>
    <w:rsid w:val="00533DD6"/>
    <w:rsid w:val="00533E16"/>
    <w:rsid w:val="00534160"/>
    <w:rsid w:val="005345D3"/>
    <w:rsid w:val="005348C1"/>
    <w:rsid w:val="00534D19"/>
    <w:rsid w:val="00534DE5"/>
    <w:rsid w:val="00534E3E"/>
    <w:rsid w:val="00535054"/>
    <w:rsid w:val="005352BD"/>
    <w:rsid w:val="0053583A"/>
    <w:rsid w:val="00535C37"/>
    <w:rsid w:val="00535E74"/>
    <w:rsid w:val="00536140"/>
    <w:rsid w:val="005362D8"/>
    <w:rsid w:val="0053653A"/>
    <w:rsid w:val="00536775"/>
    <w:rsid w:val="00536876"/>
    <w:rsid w:val="005369E3"/>
    <w:rsid w:val="00536BEE"/>
    <w:rsid w:val="005370E8"/>
    <w:rsid w:val="005371E8"/>
    <w:rsid w:val="00537296"/>
    <w:rsid w:val="0053734A"/>
    <w:rsid w:val="00537B47"/>
    <w:rsid w:val="00537C39"/>
    <w:rsid w:val="005402AD"/>
    <w:rsid w:val="00540490"/>
    <w:rsid w:val="0054067E"/>
    <w:rsid w:val="00540770"/>
    <w:rsid w:val="00540B24"/>
    <w:rsid w:val="00541708"/>
    <w:rsid w:val="00541F16"/>
    <w:rsid w:val="00542336"/>
    <w:rsid w:val="00542365"/>
    <w:rsid w:val="00542883"/>
    <w:rsid w:val="00542B4C"/>
    <w:rsid w:val="00542D1C"/>
    <w:rsid w:val="00542FAE"/>
    <w:rsid w:val="005436FC"/>
    <w:rsid w:val="00543D43"/>
    <w:rsid w:val="00544238"/>
    <w:rsid w:val="005446FB"/>
    <w:rsid w:val="005451B5"/>
    <w:rsid w:val="005454F2"/>
    <w:rsid w:val="00545618"/>
    <w:rsid w:val="00545A8C"/>
    <w:rsid w:val="00545B09"/>
    <w:rsid w:val="00545CEE"/>
    <w:rsid w:val="00545D9D"/>
    <w:rsid w:val="005460A9"/>
    <w:rsid w:val="005461A6"/>
    <w:rsid w:val="00546F9E"/>
    <w:rsid w:val="00547146"/>
    <w:rsid w:val="005472F9"/>
    <w:rsid w:val="00547B9C"/>
    <w:rsid w:val="00547F27"/>
    <w:rsid w:val="00547FD7"/>
    <w:rsid w:val="0055095E"/>
    <w:rsid w:val="00550B62"/>
    <w:rsid w:val="00550CE7"/>
    <w:rsid w:val="00550E5C"/>
    <w:rsid w:val="00551147"/>
    <w:rsid w:val="005519A6"/>
    <w:rsid w:val="005526FB"/>
    <w:rsid w:val="00552A89"/>
    <w:rsid w:val="00553889"/>
    <w:rsid w:val="00553D60"/>
    <w:rsid w:val="00553ED7"/>
    <w:rsid w:val="005543DC"/>
    <w:rsid w:val="00554CB0"/>
    <w:rsid w:val="00554EC1"/>
    <w:rsid w:val="0055520A"/>
    <w:rsid w:val="00555297"/>
    <w:rsid w:val="0055545E"/>
    <w:rsid w:val="005557A6"/>
    <w:rsid w:val="00555CD9"/>
    <w:rsid w:val="0055619C"/>
    <w:rsid w:val="005562A5"/>
    <w:rsid w:val="005563C3"/>
    <w:rsid w:val="005564F9"/>
    <w:rsid w:val="0055654B"/>
    <w:rsid w:val="00556776"/>
    <w:rsid w:val="0055685C"/>
    <w:rsid w:val="00556A34"/>
    <w:rsid w:val="00556C8A"/>
    <w:rsid w:val="00556F9D"/>
    <w:rsid w:val="00557688"/>
    <w:rsid w:val="00557B52"/>
    <w:rsid w:val="00557C18"/>
    <w:rsid w:val="00557C4F"/>
    <w:rsid w:val="00557D4E"/>
    <w:rsid w:val="00557E14"/>
    <w:rsid w:val="00560D2C"/>
    <w:rsid w:val="0056103A"/>
    <w:rsid w:val="00561B12"/>
    <w:rsid w:val="00561C17"/>
    <w:rsid w:val="00561D46"/>
    <w:rsid w:val="00562DDC"/>
    <w:rsid w:val="00563453"/>
    <w:rsid w:val="005634EE"/>
    <w:rsid w:val="0056371E"/>
    <w:rsid w:val="00563D1D"/>
    <w:rsid w:val="0056451D"/>
    <w:rsid w:val="00564B17"/>
    <w:rsid w:val="00564D67"/>
    <w:rsid w:val="00565315"/>
    <w:rsid w:val="00565789"/>
    <w:rsid w:val="00565CB6"/>
    <w:rsid w:val="0056638D"/>
    <w:rsid w:val="00566B16"/>
    <w:rsid w:val="00566C15"/>
    <w:rsid w:val="00566DC6"/>
    <w:rsid w:val="00567101"/>
    <w:rsid w:val="00567310"/>
    <w:rsid w:val="0056749D"/>
    <w:rsid w:val="00567542"/>
    <w:rsid w:val="005677B6"/>
    <w:rsid w:val="005677EF"/>
    <w:rsid w:val="00567823"/>
    <w:rsid w:val="0056796C"/>
    <w:rsid w:val="005703FB"/>
    <w:rsid w:val="00570430"/>
    <w:rsid w:val="005704E3"/>
    <w:rsid w:val="00570D68"/>
    <w:rsid w:val="00570EFA"/>
    <w:rsid w:val="0057103B"/>
    <w:rsid w:val="005711FB"/>
    <w:rsid w:val="0057174F"/>
    <w:rsid w:val="0057189F"/>
    <w:rsid w:val="00571B75"/>
    <w:rsid w:val="00571C1B"/>
    <w:rsid w:val="00571E1D"/>
    <w:rsid w:val="00572127"/>
    <w:rsid w:val="00572612"/>
    <w:rsid w:val="005729DF"/>
    <w:rsid w:val="00572DFE"/>
    <w:rsid w:val="00573032"/>
    <w:rsid w:val="0057364D"/>
    <w:rsid w:val="0057395A"/>
    <w:rsid w:val="00573A0F"/>
    <w:rsid w:val="005741D5"/>
    <w:rsid w:val="005745EF"/>
    <w:rsid w:val="00574AD7"/>
    <w:rsid w:val="005750FF"/>
    <w:rsid w:val="005751E8"/>
    <w:rsid w:val="00575A25"/>
    <w:rsid w:val="005769B0"/>
    <w:rsid w:val="00576E7C"/>
    <w:rsid w:val="005774A3"/>
    <w:rsid w:val="0058079F"/>
    <w:rsid w:val="005808AC"/>
    <w:rsid w:val="00580E50"/>
    <w:rsid w:val="00580F61"/>
    <w:rsid w:val="0058167D"/>
    <w:rsid w:val="0058199E"/>
    <w:rsid w:val="00581A26"/>
    <w:rsid w:val="00581EC7"/>
    <w:rsid w:val="00582084"/>
    <w:rsid w:val="00582404"/>
    <w:rsid w:val="0058244B"/>
    <w:rsid w:val="00582B2A"/>
    <w:rsid w:val="005833AF"/>
    <w:rsid w:val="00583537"/>
    <w:rsid w:val="00583B00"/>
    <w:rsid w:val="00584817"/>
    <w:rsid w:val="00584D6B"/>
    <w:rsid w:val="005853EA"/>
    <w:rsid w:val="00585947"/>
    <w:rsid w:val="00585ED6"/>
    <w:rsid w:val="005863BD"/>
    <w:rsid w:val="005867EF"/>
    <w:rsid w:val="00586A82"/>
    <w:rsid w:val="005870F5"/>
    <w:rsid w:val="0058711A"/>
    <w:rsid w:val="00587477"/>
    <w:rsid w:val="005875AC"/>
    <w:rsid w:val="00587E15"/>
    <w:rsid w:val="005900A0"/>
    <w:rsid w:val="005904B0"/>
    <w:rsid w:val="00590B7A"/>
    <w:rsid w:val="00590C15"/>
    <w:rsid w:val="005910D9"/>
    <w:rsid w:val="00591107"/>
    <w:rsid w:val="0059127C"/>
    <w:rsid w:val="005914D9"/>
    <w:rsid w:val="005916FE"/>
    <w:rsid w:val="0059242F"/>
    <w:rsid w:val="00592D1F"/>
    <w:rsid w:val="0059354A"/>
    <w:rsid w:val="005939CC"/>
    <w:rsid w:val="00594275"/>
    <w:rsid w:val="00594922"/>
    <w:rsid w:val="0059496A"/>
    <w:rsid w:val="00594C41"/>
    <w:rsid w:val="00594CAB"/>
    <w:rsid w:val="0059589F"/>
    <w:rsid w:val="00595B58"/>
    <w:rsid w:val="00595C88"/>
    <w:rsid w:val="00596121"/>
    <w:rsid w:val="00596193"/>
    <w:rsid w:val="0059670F"/>
    <w:rsid w:val="0059680A"/>
    <w:rsid w:val="00596BA9"/>
    <w:rsid w:val="00596CCC"/>
    <w:rsid w:val="00597A68"/>
    <w:rsid w:val="005A0256"/>
    <w:rsid w:val="005A08E0"/>
    <w:rsid w:val="005A0EC2"/>
    <w:rsid w:val="005A1466"/>
    <w:rsid w:val="005A1779"/>
    <w:rsid w:val="005A17E7"/>
    <w:rsid w:val="005A1846"/>
    <w:rsid w:val="005A1C98"/>
    <w:rsid w:val="005A1E2E"/>
    <w:rsid w:val="005A2533"/>
    <w:rsid w:val="005A3549"/>
    <w:rsid w:val="005A3804"/>
    <w:rsid w:val="005A4334"/>
    <w:rsid w:val="005A4680"/>
    <w:rsid w:val="005A4A6B"/>
    <w:rsid w:val="005A4E83"/>
    <w:rsid w:val="005A556D"/>
    <w:rsid w:val="005A57B5"/>
    <w:rsid w:val="005A5BA2"/>
    <w:rsid w:val="005A5DB2"/>
    <w:rsid w:val="005A69A5"/>
    <w:rsid w:val="005A6C7A"/>
    <w:rsid w:val="005A6EA7"/>
    <w:rsid w:val="005A7237"/>
    <w:rsid w:val="005A7277"/>
    <w:rsid w:val="005A7C0E"/>
    <w:rsid w:val="005A7D05"/>
    <w:rsid w:val="005A7EB6"/>
    <w:rsid w:val="005B026B"/>
    <w:rsid w:val="005B0849"/>
    <w:rsid w:val="005B0AD3"/>
    <w:rsid w:val="005B0BD7"/>
    <w:rsid w:val="005B0E97"/>
    <w:rsid w:val="005B1D7E"/>
    <w:rsid w:val="005B24F2"/>
    <w:rsid w:val="005B2634"/>
    <w:rsid w:val="005B28F7"/>
    <w:rsid w:val="005B2E1B"/>
    <w:rsid w:val="005B2F70"/>
    <w:rsid w:val="005B3267"/>
    <w:rsid w:val="005B35D6"/>
    <w:rsid w:val="005B3BAB"/>
    <w:rsid w:val="005B45BF"/>
    <w:rsid w:val="005B58F8"/>
    <w:rsid w:val="005B5AEB"/>
    <w:rsid w:val="005B5B54"/>
    <w:rsid w:val="005B6436"/>
    <w:rsid w:val="005B64DE"/>
    <w:rsid w:val="005B6958"/>
    <w:rsid w:val="005B6C02"/>
    <w:rsid w:val="005B71B2"/>
    <w:rsid w:val="005B7D8D"/>
    <w:rsid w:val="005B7EEB"/>
    <w:rsid w:val="005C0E6E"/>
    <w:rsid w:val="005C11A1"/>
    <w:rsid w:val="005C15E8"/>
    <w:rsid w:val="005C1CD4"/>
    <w:rsid w:val="005C25EC"/>
    <w:rsid w:val="005C2902"/>
    <w:rsid w:val="005C2BBA"/>
    <w:rsid w:val="005C2D92"/>
    <w:rsid w:val="005C32F3"/>
    <w:rsid w:val="005C3A04"/>
    <w:rsid w:val="005C3FC8"/>
    <w:rsid w:val="005C44A5"/>
    <w:rsid w:val="005C4B56"/>
    <w:rsid w:val="005C4E4C"/>
    <w:rsid w:val="005C4F73"/>
    <w:rsid w:val="005C7147"/>
    <w:rsid w:val="005C7304"/>
    <w:rsid w:val="005C79E0"/>
    <w:rsid w:val="005C7E8D"/>
    <w:rsid w:val="005D0054"/>
    <w:rsid w:val="005D0069"/>
    <w:rsid w:val="005D0324"/>
    <w:rsid w:val="005D0763"/>
    <w:rsid w:val="005D14C4"/>
    <w:rsid w:val="005D1B7A"/>
    <w:rsid w:val="005D1D46"/>
    <w:rsid w:val="005D21BD"/>
    <w:rsid w:val="005D232D"/>
    <w:rsid w:val="005D260F"/>
    <w:rsid w:val="005D2C02"/>
    <w:rsid w:val="005D39DE"/>
    <w:rsid w:val="005D3E82"/>
    <w:rsid w:val="005D5C2C"/>
    <w:rsid w:val="005D5E31"/>
    <w:rsid w:val="005D640C"/>
    <w:rsid w:val="005D6811"/>
    <w:rsid w:val="005D6A25"/>
    <w:rsid w:val="005D77FC"/>
    <w:rsid w:val="005D7E99"/>
    <w:rsid w:val="005E02D5"/>
    <w:rsid w:val="005E0412"/>
    <w:rsid w:val="005E25C3"/>
    <w:rsid w:val="005E26C7"/>
    <w:rsid w:val="005E2762"/>
    <w:rsid w:val="005E3099"/>
    <w:rsid w:val="005E3C96"/>
    <w:rsid w:val="005E4104"/>
    <w:rsid w:val="005E4643"/>
    <w:rsid w:val="005E4ABB"/>
    <w:rsid w:val="005E54D9"/>
    <w:rsid w:val="005E5628"/>
    <w:rsid w:val="005E5BF7"/>
    <w:rsid w:val="005E79B4"/>
    <w:rsid w:val="005E7AC7"/>
    <w:rsid w:val="005F03B4"/>
    <w:rsid w:val="005F05DB"/>
    <w:rsid w:val="005F0A78"/>
    <w:rsid w:val="005F0DE6"/>
    <w:rsid w:val="005F0E75"/>
    <w:rsid w:val="005F15BA"/>
    <w:rsid w:val="005F1816"/>
    <w:rsid w:val="005F2DFB"/>
    <w:rsid w:val="005F3F18"/>
    <w:rsid w:val="005F3F41"/>
    <w:rsid w:val="005F4208"/>
    <w:rsid w:val="005F4227"/>
    <w:rsid w:val="005F499C"/>
    <w:rsid w:val="005F4D28"/>
    <w:rsid w:val="005F5867"/>
    <w:rsid w:val="005F6215"/>
    <w:rsid w:val="005F63F8"/>
    <w:rsid w:val="005F6571"/>
    <w:rsid w:val="005F6AE9"/>
    <w:rsid w:val="005F6C64"/>
    <w:rsid w:val="005F7162"/>
    <w:rsid w:val="005F73B3"/>
    <w:rsid w:val="005F7591"/>
    <w:rsid w:val="005F78E5"/>
    <w:rsid w:val="005F7D30"/>
    <w:rsid w:val="005F7F6A"/>
    <w:rsid w:val="0060000D"/>
    <w:rsid w:val="00600460"/>
    <w:rsid w:val="00600748"/>
    <w:rsid w:val="00600A33"/>
    <w:rsid w:val="00600D2A"/>
    <w:rsid w:val="00600DD4"/>
    <w:rsid w:val="0060141B"/>
    <w:rsid w:val="0060170C"/>
    <w:rsid w:val="006019D0"/>
    <w:rsid w:val="00601BBC"/>
    <w:rsid w:val="00602F37"/>
    <w:rsid w:val="006038BD"/>
    <w:rsid w:val="006042B7"/>
    <w:rsid w:val="0060451B"/>
    <w:rsid w:val="00604766"/>
    <w:rsid w:val="006052F0"/>
    <w:rsid w:val="006054D0"/>
    <w:rsid w:val="006058E7"/>
    <w:rsid w:val="00605BFB"/>
    <w:rsid w:val="00605ECA"/>
    <w:rsid w:val="0060603C"/>
    <w:rsid w:val="0060639D"/>
    <w:rsid w:val="00606564"/>
    <w:rsid w:val="006067E6"/>
    <w:rsid w:val="00606E08"/>
    <w:rsid w:val="00607903"/>
    <w:rsid w:val="00607BC8"/>
    <w:rsid w:val="00607CFD"/>
    <w:rsid w:val="00607D6B"/>
    <w:rsid w:val="006101C9"/>
    <w:rsid w:val="0061051F"/>
    <w:rsid w:val="0061096D"/>
    <w:rsid w:val="00610BAA"/>
    <w:rsid w:val="00610EDD"/>
    <w:rsid w:val="00610F40"/>
    <w:rsid w:val="00611166"/>
    <w:rsid w:val="00611560"/>
    <w:rsid w:val="00611837"/>
    <w:rsid w:val="00612347"/>
    <w:rsid w:val="00612367"/>
    <w:rsid w:val="00612709"/>
    <w:rsid w:val="00612DC1"/>
    <w:rsid w:val="00612EC5"/>
    <w:rsid w:val="00613423"/>
    <w:rsid w:val="00613686"/>
    <w:rsid w:val="0061384B"/>
    <w:rsid w:val="00613DCC"/>
    <w:rsid w:val="006141F1"/>
    <w:rsid w:val="00614345"/>
    <w:rsid w:val="00614620"/>
    <w:rsid w:val="006148B5"/>
    <w:rsid w:val="006148C5"/>
    <w:rsid w:val="0061511B"/>
    <w:rsid w:val="0061531B"/>
    <w:rsid w:val="006154BB"/>
    <w:rsid w:val="006166DB"/>
    <w:rsid w:val="00616D35"/>
    <w:rsid w:val="00617563"/>
    <w:rsid w:val="0061771D"/>
    <w:rsid w:val="00617E5A"/>
    <w:rsid w:val="00620842"/>
    <w:rsid w:val="006209AA"/>
    <w:rsid w:val="00620B35"/>
    <w:rsid w:val="006216EA"/>
    <w:rsid w:val="00621AA9"/>
    <w:rsid w:val="00621C80"/>
    <w:rsid w:val="00621DE5"/>
    <w:rsid w:val="00622182"/>
    <w:rsid w:val="00622852"/>
    <w:rsid w:val="00622B2F"/>
    <w:rsid w:val="006232B0"/>
    <w:rsid w:val="0062399B"/>
    <w:rsid w:val="00623CD5"/>
    <w:rsid w:val="00623D82"/>
    <w:rsid w:val="00623EEC"/>
    <w:rsid w:val="006240B4"/>
    <w:rsid w:val="00624269"/>
    <w:rsid w:val="006245D5"/>
    <w:rsid w:val="006245E8"/>
    <w:rsid w:val="00624606"/>
    <w:rsid w:val="00624610"/>
    <w:rsid w:val="00624DE4"/>
    <w:rsid w:val="00625E1C"/>
    <w:rsid w:val="00626B95"/>
    <w:rsid w:val="00627915"/>
    <w:rsid w:val="0062797B"/>
    <w:rsid w:val="00627A44"/>
    <w:rsid w:val="00627B18"/>
    <w:rsid w:val="00627CB0"/>
    <w:rsid w:val="00627CD1"/>
    <w:rsid w:val="0063001A"/>
    <w:rsid w:val="00630223"/>
    <w:rsid w:val="00630444"/>
    <w:rsid w:val="00630649"/>
    <w:rsid w:val="0063066E"/>
    <w:rsid w:val="00630F64"/>
    <w:rsid w:val="00631737"/>
    <w:rsid w:val="0063179E"/>
    <w:rsid w:val="006317EE"/>
    <w:rsid w:val="006322FF"/>
    <w:rsid w:val="00632E9B"/>
    <w:rsid w:val="00633384"/>
    <w:rsid w:val="00633C90"/>
    <w:rsid w:val="00633EF4"/>
    <w:rsid w:val="00633FD7"/>
    <w:rsid w:val="006345A8"/>
    <w:rsid w:val="0063464A"/>
    <w:rsid w:val="0063505E"/>
    <w:rsid w:val="006353C7"/>
    <w:rsid w:val="0063560C"/>
    <w:rsid w:val="00635735"/>
    <w:rsid w:val="00635BC4"/>
    <w:rsid w:val="006378A0"/>
    <w:rsid w:val="00640267"/>
    <w:rsid w:val="00640288"/>
    <w:rsid w:val="00640427"/>
    <w:rsid w:val="00640B4D"/>
    <w:rsid w:val="006417D8"/>
    <w:rsid w:val="00641BFD"/>
    <w:rsid w:val="00641E97"/>
    <w:rsid w:val="006423EA"/>
    <w:rsid w:val="0064274E"/>
    <w:rsid w:val="0064278D"/>
    <w:rsid w:val="006427AA"/>
    <w:rsid w:val="00642936"/>
    <w:rsid w:val="00643379"/>
    <w:rsid w:val="00643C22"/>
    <w:rsid w:val="00644525"/>
    <w:rsid w:val="00644994"/>
    <w:rsid w:val="006451C1"/>
    <w:rsid w:val="00645382"/>
    <w:rsid w:val="00646404"/>
    <w:rsid w:val="00646C88"/>
    <w:rsid w:val="00646F5D"/>
    <w:rsid w:val="00647145"/>
    <w:rsid w:val="00647389"/>
    <w:rsid w:val="0064749B"/>
    <w:rsid w:val="0064767A"/>
    <w:rsid w:val="00647B6A"/>
    <w:rsid w:val="00647B6D"/>
    <w:rsid w:val="00647E23"/>
    <w:rsid w:val="006501E6"/>
    <w:rsid w:val="006502A3"/>
    <w:rsid w:val="006502EF"/>
    <w:rsid w:val="00650381"/>
    <w:rsid w:val="00650419"/>
    <w:rsid w:val="00650DA8"/>
    <w:rsid w:val="006513A7"/>
    <w:rsid w:val="006513BD"/>
    <w:rsid w:val="00651401"/>
    <w:rsid w:val="0065156E"/>
    <w:rsid w:val="006518F7"/>
    <w:rsid w:val="006521AD"/>
    <w:rsid w:val="006522FD"/>
    <w:rsid w:val="00652BAB"/>
    <w:rsid w:val="00652EEA"/>
    <w:rsid w:val="00653916"/>
    <w:rsid w:val="00653F83"/>
    <w:rsid w:val="0065417F"/>
    <w:rsid w:val="00654630"/>
    <w:rsid w:val="006548FE"/>
    <w:rsid w:val="00654AD4"/>
    <w:rsid w:val="00655647"/>
    <w:rsid w:val="0065624D"/>
    <w:rsid w:val="00657734"/>
    <w:rsid w:val="00657EFF"/>
    <w:rsid w:val="00660224"/>
    <w:rsid w:val="0066037B"/>
    <w:rsid w:val="00660BF1"/>
    <w:rsid w:val="00660C45"/>
    <w:rsid w:val="006610D8"/>
    <w:rsid w:val="00661B57"/>
    <w:rsid w:val="006625E5"/>
    <w:rsid w:val="00662A6C"/>
    <w:rsid w:val="006639F7"/>
    <w:rsid w:val="00663AEC"/>
    <w:rsid w:val="00664202"/>
    <w:rsid w:val="00664990"/>
    <w:rsid w:val="00664B28"/>
    <w:rsid w:val="00664D60"/>
    <w:rsid w:val="00664FD1"/>
    <w:rsid w:val="0066501A"/>
    <w:rsid w:val="0066598F"/>
    <w:rsid w:val="00665E95"/>
    <w:rsid w:val="00666076"/>
    <w:rsid w:val="006665DB"/>
    <w:rsid w:val="00666708"/>
    <w:rsid w:val="00666EE2"/>
    <w:rsid w:val="006671E2"/>
    <w:rsid w:val="00667953"/>
    <w:rsid w:val="00667E93"/>
    <w:rsid w:val="0067031C"/>
    <w:rsid w:val="0067055D"/>
    <w:rsid w:val="0067056D"/>
    <w:rsid w:val="006706FB"/>
    <w:rsid w:val="0067071C"/>
    <w:rsid w:val="00670776"/>
    <w:rsid w:val="006715DB"/>
    <w:rsid w:val="00671602"/>
    <w:rsid w:val="006719A1"/>
    <w:rsid w:val="00671B7E"/>
    <w:rsid w:val="0067232B"/>
    <w:rsid w:val="00672583"/>
    <w:rsid w:val="00672FCF"/>
    <w:rsid w:val="00673477"/>
    <w:rsid w:val="00673EE7"/>
    <w:rsid w:val="00673FC7"/>
    <w:rsid w:val="00674088"/>
    <w:rsid w:val="0067410D"/>
    <w:rsid w:val="00674170"/>
    <w:rsid w:val="006741D5"/>
    <w:rsid w:val="00675099"/>
    <w:rsid w:val="00675147"/>
    <w:rsid w:val="006751EF"/>
    <w:rsid w:val="00675BBD"/>
    <w:rsid w:val="00675E85"/>
    <w:rsid w:val="00676698"/>
    <w:rsid w:val="00676974"/>
    <w:rsid w:val="00677008"/>
    <w:rsid w:val="0067727A"/>
    <w:rsid w:val="00677863"/>
    <w:rsid w:val="00677CF2"/>
    <w:rsid w:val="00677DCF"/>
    <w:rsid w:val="00680402"/>
    <w:rsid w:val="00680A4F"/>
    <w:rsid w:val="00680B92"/>
    <w:rsid w:val="00680CB5"/>
    <w:rsid w:val="00680D35"/>
    <w:rsid w:val="0068112B"/>
    <w:rsid w:val="00681935"/>
    <w:rsid w:val="00681A39"/>
    <w:rsid w:val="00681A7F"/>
    <w:rsid w:val="006823F7"/>
    <w:rsid w:val="006824F9"/>
    <w:rsid w:val="00682935"/>
    <w:rsid w:val="00682977"/>
    <w:rsid w:val="006829DD"/>
    <w:rsid w:val="00682F70"/>
    <w:rsid w:val="00683462"/>
    <w:rsid w:val="006838A2"/>
    <w:rsid w:val="00683B75"/>
    <w:rsid w:val="00683F71"/>
    <w:rsid w:val="00684634"/>
    <w:rsid w:val="00684B4B"/>
    <w:rsid w:val="006852A0"/>
    <w:rsid w:val="0068531C"/>
    <w:rsid w:val="00685B31"/>
    <w:rsid w:val="00685BA5"/>
    <w:rsid w:val="00685BAF"/>
    <w:rsid w:val="00686018"/>
    <w:rsid w:val="006860D9"/>
    <w:rsid w:val="006862F3"/>
    <w:rsid w:val="006865CB"/>
    <w:rsid w:val="00686971"/>
    <w:rsid w:val="00686C46"/>
    <w:rsid w:val="00686DB9"/>
    <w:rsid w:val="0068707C"/>
    <w:rsid w:val="00687216"/>
    <w:rsid w:val="00687981"/>
    <w:rsid w:val="00687DDD"/>
    <w:rsid w:val="00690589"/>
    <w:rsid w:val="006906F1"/>
    <w:rsid w:val="0069158F"/>
    <w:rsid w:val="006918CF"/>
    <w:rsid w:val="00691956"/>
    <w:rsid w:val="006927E7"/>
    <w:rsid w:val="00692FD1"/>
    <w:rsid w:val="00692FED"/>
    <w:rsid w:val="0069336C"/>
    <w:rsid w:val="00693798"/>
    <w:rsid w:val="00693D5C"/>
    <w:rsid w:val="00693DF3"/>
    <w:rsid w:val="00694205"/>
    <w:rsid w:val="00694839"/>
    <w:rsid w:val="00694996"/>
    <w:rsid w:val="00694E08"/>
    <w:rsid w:val="00694F90"/>
    <w:rsid w:val="0069593E"/>
    <w:rsid w:val="00695F95"/>
    <w:rsid w:val="006965FF"/>
    <w:rsid w:val="00696859"/>
    <w:rsid w:val="006969F5"/>
    <w:rsid w:val="00696C03"/>
    <w:rsid w:val="00696C1A"/>
    <w:rsid w:val="00696F5C"/>
    <w:rsid w:val="006979BF"/>
    <w:rsid w:val="00697D93"/>
    <w:rsid w:val="00697EFD"/>
    <w:rsid w:val="006A00F4"/>
    <w:rsid w:val="006A0116"/>
    <w:rsid w:val="006A0AC5"/>
    <w:rsid w:val="006A1864"/>
    <w:rsid w:val="006A1C55"/>
    <w:rsid w:val="006A1D32"/>
    <w:rsid w:val="006A1DAB"/>
    <w:rsid w:val="006A201E"/>
    <w:rsid w:val="006A2C84"/>
    <w:rsid w:val="006A3298"/>
    <w:rsid w:val="006A34C1"/>
    <w:rsid w:val="006A355E"/>
    <w:rsid w:val="006A498C"/>
    <w:rsid w:val="006A5278"/>
    <w:rsid w:val="006A52EC"/>
    <w:rsid w:val="006A54C6"/>
    <w:rsid w:val="006A68B9"/>
    <w:rsid w:val="006A68C3"/>
    <w:rsid w:val="006A70D9"/>
    <w:rsid w:val="006A7108"/>
    <w:rsid w:val="006A7591"/>
    <w:rsid w:val="006A7A24"/>
    <w:rsid w:val="006A7B42"/>
    <w:rsid w:val="006B0714"/>
    <w:rsid w:val="006B0F87"/>
    <w:rsid w:val="006B133F"/>
    <w:rsid w:val="006B1452"/>
    <w:rsid w:val="006B18DB"/>
    <w:rsid w:val="006B1CD5"/>
    <w:rsid w:val="006B24F0"/>
    <w:rsid w:val="006B2604"/>
    <w:rsid w:val="006B2713"/>
    <w:rsid w:val="006B2765"/>
    <w:rsid w:val="006B27A9"/>
    <w:rsid w:val="006B2C00"/>
    <w:rsid w:val="006B320C"/>
    <w:rsid w:val="006B3A31"/>
    <w:rsid w:val="006B3A37"/>
    <w:rsid w:val="006B400F"/>
    <w:rsid w:val="006B4AF8"/>
    <w:rsid w:val="006B4DC3"/>
    <w:rsid w:val="006B4FD2"/>
    <w:rsid w:val="006B5155"/>
    <w:rsid w:val="006B557B"/>
    <w:rsid w:val="006B5747"/>
    <w:rsid w:val="006B5BCE"/>
    <w:rsid w:val="006B5DE6"/>
    <w:rsid w:val="006B63B0"/>
    <w:rsid w:val="006B658C"/>
    <w:rsid w:val="006B6C66"/>
    <w:rsid w:val="006B706E"/>
    <w:rsid w:val="006B7196"/>
    <w:rsid w:val="006B7336"/>
    <w:rsid w:val="006B783B"/>
    <w:rsid w:val="006B7A0F"/>
    <w:rsid w:val="006B7DFF"/>
    <w:rsid w:val="006B7E5B"/>
    <w:rsid w:val="006C0125"/>
    <w:rsid w:val="006C048E"/>
    <w:rsid w:val="006C04A3"/>
    <w:rsid w:val="006C0858"/>
    <w:rsid w:val="006C0D56"/>
    <w:rsid w:val="006C12DC"/>
    <w:rsid w:val="006C1384"/>
    <w:rsid w:val="006C15D8"/>
    <w:rsid w:val="006C2305"/>
    <w:rsid w:val="006C335E"/>
    <w:rsid w:val="006C39AD"/>
    <w:rsid w:val="006C41E1"/>
    <w:rsid w:val="006C4789"/>
    <w:rsid w:val="006C4AD8"/>
    <w:rsid w:val="006C5C95"/>
    <w:rsid w:val="006C5E06"/>
    <w:rsid w:val="006C5F93"/>
    <w:rsid w:val="006C610C"/>
    <w:rsid w:val="006C64CE"/>
    <w:rsid w:val="006C6615"/>
    <w:rsid w:val="006C6B3F"/>
    <w:rsid w:val="006C72A0"/>
    <w:rsid w:val="006C792D"/>
    <w:rsid w:val="006C7FDD"/>
    <w:rsid w:val="006D0869"/>
    <w:rsid w:val="006D0BA4"/>
    <w:rsid w:val="006D124F"/>
    <w:rsid w:val="006D1375"/>
    <w:rsid w:val="006D137D"/>
    <w:rsid w:val="006D1438"/>
    <w:rsid w:val="006D184A"/>
    <w:rsid w:val="006D1E9E"/>
    <w:rsid w:val="006D20EA"/>
    <w:rsid w:val="006D20EE"/>
    <w:rsid w:val="006D2120"/>
    <w:rsid w:val="006D21B2"/>
    <w:rsid w:val="006D252E"/>
    <w:rsid w:val="006D274D"/>
    <w:rsid w:val="006D2C6C"/>
    <w:rsid w:val="006D30F7"/>
    <w:rsid w:val="006D3964"/>
    <w:rsid w:val="006D3EB6"/>
    <w:rsid w:val="006D4403"/>
    <w:rsid w:val="006D4D0E"/>
    <w:rsid w:val="006D4D12"/>
    <w:rsid w:val="006D5143"/>
    <w:rsid w:val="006D5729"/>
    <w:rsid w:val="006D5DFD"/>
    <w:rsid w:val="006D5F54"/>
    <w:rsid w:val="006D5FFE"/>
    <w:rsid w:val="006D66D0"/>
    <w:rsid w:val="006D6749"/>
    <w:rsid w:val="006D700F"/>
    <w:rsid w:val="006D741C"/>
    <w:rsid w:val="006D79B6"/>
    <w:rsid w:val="006D7E27"/>
    <w:rsid w:val="006E0B73"/>
    <w:rsid w:val="006E0F30"/>
    <w:rsid w:val="006E188F"/>
    <w:rsid w:val="006E1924"/>
    <w:rsid w:val="006E1C75"/>
    <w:rsid w:val="006E247F"/>
    <w:rsid w:val="006E35FF"/>
    <w:rsid w:val="006E3682"/>
    <w:rsid w:val="006E395B"/>
    <w:rsid w:val="006E4312"/>
    <w:rsid w:val="006E44D5"/>
    <w:rsid w:val="006E526C"/>
    <w:rsid w:val="006E5532"/>
    <w:rsid w:val="006E5AFB"/>
    <w:rsid w:val="006E6D6B"/>
    <w:rsid w:val="006E75EE"/>
    <w:rsid w:val="006E774F"/>
    <w:rsid w:val="006F01CC"/>
    <w:rsid w:val="006F0C2A"/>
    <w:rsid w:val="006F0E61"/>
    <w:rsid w:val="006F120D"/>
    <w:rsid w:val="006F13D5"/>
    <w:rsid w:val="006F19D4"/>
    <w:rsid w:val="006F1D7F"/>
    <w:rsid w:val="006F2002"/>
    <w:rsid w:val="006F2B2D"/>
    <w:rsid w:val="006F2B9E"/>
    <w:rsid w:val="006F329E"/>
    <w:rsid w:val="006F38CA"/>
    <w:rsid w:val="006F39A0"/>
    <w:rsid w:val="006F3A79"/>
    <w:rsid w:val="006F4185"/>
    <w:rsid w:val="006F4235"/>
    <w:rsid w:val="006F48C1"/>
    <w:rsid w:val="006F58A3"/>
    <w:rsid w:val="006F5C77"/>
    <w:rsid w:val="006F5E4F"/>
    <w:rsid w:val="006F5E6A"/>
    <w:rsid w:val="006F6288"/>
    <w:rsid w:val="006F69AB"/>
    <w:rsid w:val="006F6BCE"/>
    <w:rsid w:val="006F70AE"/>
    <w:rsid w:val="006F7ED1"/>
    <w:rsid w:val="006F7F70"/>
    <w:rsid w:val="00700AD8"/>
    <w:rsid w:val="00700F52"/>
    <w:rsid w:val="007012AA"/>
    <w:rsid w:val="00701435"/>
    <w:rsid w:val="00701671"/>
    <w:rsid w:val="00702042"/>
    <w:rsid w:val="00702BBB"/>
    <w:rsid w:val="00702D7E"/>
    <w:rsid w:val="00703A44"/>
    <w:rsid w:val="00703BB7"/>
    <w:rsid w:val="00703BBF"/>
    <w:rsid w:val="00703BC5"/>
    <w:rsid w:val="00703D77"/>
    <w:rsid w:val="00704024"/>
    <w:rsid w:val="007040D3"/>
    <w:rsid w:val="00704A93"/>
    <w:rsid w:val="00704CCA"/>
    <w:rsid w:val="00705BD6"/>
    <w:rsid w:val="00705FF4"/>
    <w:rsid w:val="0070608D"/>
    <w:rsid w:val="00707451"/>
    <w:rsid w:val="00707C1F"/>
    <w:rsid w:val="00707FA6"/>
    <w:rsid w:val="007104D6"/>
    <w:rsid w:val="00710986"/>
    <w:rsid w:val="00711308"/>
    <w:rsid w:val="007115BB"/>
    <w:rsid w:val="00711977"/>
    <w:rsid w:val="007119F0"/>
    <w:rsid w:val="00711DB1"/>
    <w:rsid w:val="007121D5"/>
    <w:rsid w:val="007133BF"/>
    <w:rsid w:val="007137A4"/>
    <w:rsid w:val="0071383B"/>
    <w:rsid w:val="00713A1E"/>
    <w:rsid w:val="007140A1"/>
    <w:rsid w:val="00714B70"/>
    <w:rsid w:val="00715048"/>
    <w:rsid w:val="007152EA"/>
    <w:rsid w:val="007152FF"/>
    <w:rsid w:val="00715339"/>
    <w:rsid w:val="007157FE"/>
    <w:rsid w:val="00716086"/>
    <w:rsid w:val="007160E7"/>
    <w:rsid w:val="00716583"/>
    <w:rsid w:val="00716650"/>
    <w:rsid w:val="00716995"/>
    <w:rsid w:val="00716A77"/>
    <w:rsid w:val="007170C5"/>
    <w:rsid w:val="007201E5"/>
    <w:rsid w:val="007205B4"/>
    <w:rsid w:val="00720F1C"/>
    <w:rsid w:val="007213BE"/>
    <w:rsid w:val="007214DE"/>
    <w:rsid w:val="007219FD"/>
    <w:rsid w:val="00721E0A"/>
    <w:rsid w:val="007222EC"/>
    <w:rsid w:val="00722B2A"/>
    <w:rsid w:val="00722BCB"/>
    <w:rsid w:val="00723054"/>
    <w:rsid w:val="007238B4"/>
    <w:rsid w:val="007239C9"/>
    <w:rsid w:val="00723A3B"/>
    <w:rsid w:val="00723C4E"/>
    <w:rsid w:val="00724B4C"/>
    <w:rsid w:val="00724CA2"/>
    <w:rsid w:val="00724E11"/>
    <w:rsid w:val="007252A7"/>
    <w:rsid w:val="007252CA"/>
    <w:rsid w:val="00725BD0"/>
    <w:rsid w:val="00725D86"/>
    <w:rsid w:val="007261FC"/>
    <w:rsid w:val="00726604"/>
    <w:rsid w:val="007271AB"/>
    <w:rsid w:val="007277AD"/>
    <w:rsid w:val="00727E4E"/>
    <w:rsid w:val="00730181"/>
    <w:rsid w:val="007304BB"/>
    <w:rsid w:val="00730CA4"/>
    <w:rsid w:val="00730EC2"/>
    <w:rsid w:val="00731DC5"/>
    <w:rsid w:val="007329B0"/>
    <w:rsid w:val="00732EA8"/>
    <w:rsid w:val="00733374"/>
    <w:rsid w:val="00733692"/>
    <w:rsid w:val="007337DB"/>
    <w:rsid w:val="00733DE3"/>
    <w:rsid w:val="0073416D"/>
    <w:rsid w:val="007343B2"/>
    <w:rsid w:val="0073462A"/>
    <w:rsid w:val="007349C0"/>
    <w:rsid w:val="00735A69"/>
    <w:rsid w:val="00735FB9"/>
    <w:rsid w:val="00736557"/>
    <w:rsid w:val="00736990"/>
    <w:rsid w:val="00736C59"/>
    <w:rsid w:val="00737545"/>
    <w:rsid w:val="00737C51"/>
    <w:rsid w:val="00737D49"/>
    <w:rsid w:val="0074042D"/>
    <w:rsid w:val="00741668"/>
    <w:rsid w:val="00741A3D"/>
    <w:rsid w:val="007420B7"/>
    <w:rsid w:val="00742C40"/>
    <w:rsid w:val="007430A0"/>
    <w:rsid w:val="007430A7"/>
    <w:rsid w:val="0074366C"/>
    <w:rsid w:val="00744657"/>
    <w:rsid w:val="00745024"/>
    <w:rsid w:val="00745308"/>
    <w:rsid w:val="00745512"/>
    <w:rsid w:val="00745525"/>
    <w:rsid w:val="007455DF"/>
    <w:rsid w:val="00745796"/>
    <w:rsid w:val="007458D4"/>
    <w:rsid w:val="00745E68"/>
    <w:rsid w:val="00745FA5"/>
    <w:rsid w:val="00746988"/>
    <w:rsid w:val="0074699F"/>
    <w:rsid w:val="00747433"/>
    <w:rsid w:val="0074756D"/>
    <w:rsid w:val="00747F39"/>
    <w:rsid w:val="00750521"/>
    <w:rsid w:val="007506DC"/>
    <w:rsid w:val="0075076C"/>
    <w:rsid w:val="00751233"/>
    <w:rsid w:val="007514C2"/>
    <w:rsid w:val="007515B8"/>
    <w:rsid w:val="007525AB"/>
    <w:rsid w:val="007531AF"/>
    <w:rsid w:val="007532AC"/>
    <w:rsid w:val="007535C4"/>
    <w:rsid w:val="00753EE3"/>
    <w:rsid w:val="00754484"/>
    <w:rsid w:val="00754700"/>
    <w:rsid w:val="00754861"/>
    <w:rsid w:val="00754B54"/>
    <w:rsid w:val="0075643B"/>
    <w:rsid w:val="00756AD1"/>
    <w:rsid w:val="00756CC0"/>
    <w:rsid w:val="00756FC3"/>
    <w:rsid w:val="007570C2"/>
    <w:rsid w:val="007573F1"/>
    <w:rsid w:val="0075768B"/>
    <w:rsid w:val="00757CEE"/>
    <w:rsid w:val="00757DC9"/>
    <w:rsid w:val="00757F7A"/>
    <w:rsid w:val="00760083"/>
    <w:rsid w:val="00760103"/>
    <w:rsid w:val="00760E14"/>
    <w:rsid w:val="00760EC3"/>
    <w:rsid w:val="00761371"/>
    <w:rsid w:val="007618C1"/>
    <w:rsid w:val="00761A28"/>
    <w:rsid w:val="007620EB"/>
    <w:rsid w:val="0076232F"/>
    <w:rsid w:val="007624ED"/>
    <w:rsid w:val="00763680"/>
    <w:rsid w:val="00763ACB"/>
    <w:rsid w:val="00763F85"/>
    <w:rsid w:val="007643BA"/>
    <w:rsid w:val="00764845"/>
    <w:rsid w:val="00764A07"/>
    <w:rsid w:val="00764BE9"/>
    <w:rsid w:val="00764D9B"/>
    <w:rsid w:val="007653DE"/>
    <w:rsid w:val="007655FA"/>
    <w:rsid w:val="00765743"/>
    <w:rsid w:val="007658C1"/>
    <w:rsid w:val="0076598B"/>
    <w:rsid w:val="00766DDA"/>
    <w:rsid w:val="00767B44"/>
    <w:rsid w:val="00767C41"/>
    <w:rsid w:val="00767CD7"/>
    <w:rsid w:val="00767E5B"/>
    <w:rsid w:val="00770F17"/>
    <w:rsid w:val="00771079"/>
    <w:rsid w:val="007713A4"/>
    <w:rsid w:val="00771D7D"/>
    <w:rsid w:val="00771F2C"/>
    <w:rsid w:val="007720AA"/>
    <w:rsid w:val="00772BA4"/>
    <w:rsid w:val="00772E38"/>
    <w:rsid w:val="007736D6"/>
    <w:rsid w:val="00773742"/>
    <w:rsid w:val="00773DF2"/>
    <w:rsid w:val="00774799"/>
    <w:rsid w:val="007748EA"/>
    <w:rsid w:val="00774C64"/>
    <w:rsid w:val="00775877"/>
    <w:rsid w:val="00775CEE"/>
    <w:rsid w:val="00775E4F"/>
    <w:rsid w:val="00775EEF"/>
    <w:rsid w:val="00776065"/>
    <w:rsid w:val="0077629B"/>
    <w:rsid w:val="00776514"/>
    <w:rsid w:val="0077652A"/>
    <w:rsid w:val="00776CC8"/>
    <w:rsid w:val="00776E27"/>
    <w:rsid w:val="007778BA"/>
    <w:rsid w:val="00777AB3"/>
    <w:rsid w:val="00777B94"/>
    <w:rsid w:val="00777FD9"/>
    <w:rsid w:val="007802AB"/>
    <w:rsid w:val="00780BED"/>
    <w:rsid w:val="00781186"/>
    <w:rsid w:val="00781E8E"/>
    <w:rsid w:val="0078222A"/>
    <w:rsid w:val="007836AF"/>
    <w:rsid w:val="007838C7"/>
    <w:rsid w:val="00783931"/>
    <w:rsid w:val="00783CB0"/>
    <w:rsid w:val="007849DE"/>
    <w:rsid w:val="00784F35"/>
    <w:rsid w:val="00785089"/>
    <w:rsid w:val="0078597A"/>
    <w:rsid w:val="00786580"/>
    <w:rsid w:val="00786634"/>
    <w:rsid w:val="00786CC6"/>
    <w:rsid w:val="00786E17"/>
    <w:rsid w:val="007871B4"/>
    <w:rsid w:val="007876DB"/>
    <w:rsid w:val="007877EE"/>
    <w:rsid w:val="00787A2F"/>
    <w:rsid w:val="00787AB3"/>
    <w:rsid w:val="00787F93"/>
    <w:rsid w:val="00787FF3"/>
    <w:rsid w:val="007902BF"/>
    <w:rsid w:val="00790D0A"/>
    <w:rsid w:val="00790F30"/>
    <w:rsid w:val="0079104C"/>
    <w:rsid w:val="0079171C"/>
    <w:rsid w:val="00792194"/>
    <w:rsid w:val="00792324"/>
    <w:rsid w:val="0079256E"/>
    <w:rsid w:val="0079268C"/>
    <w:rsid w:val="0079274D"/>
    <w:rsid w:val="00792BE4"/>
    <w:rsid w:val="00793317"/>
    <w:rsid w:val="0079336C"/>
    <w:rsid w:val="00793741"/>
    <w:rsid w:val="00793751"/>
    <w:rsid w:val="0079393E"/>
    <w:rsid w:val="00793C9C"/>
    <w:rsid w:val="00793D13"/>
    <w:rsid w:val="0079423A"/>
    <w:rsid w:val="00794552"/>
    <w:rsid w:val="00794EEB"/>
    <w:rsid w:val="00794F1D"/>
    <w:rsid w:val="00794F6B"/>
    <w:rsid w:val="007956AC"/>
    <w:rsid w:val="00795784"/>
    <w:rsid w:val="007957A7"/>
    <w:rsid w:val="0079583E"/>
    <w:rsid w:val="0079595E"/>
    <w:rsid w:val="00795CE1"/>
    <w:rsid w:val="00796231"/>
    <w:rsid w:val="00796ADD"/>
    <w:rsid w:val="00796D19"/>
    <w:rsid w:val="00797125"/>
    <w:rsid w:val="007972F4"/>
    <w:rsid w:val="00797B17"/>
    <w:rsid w:val="00797D36"/>
    <w:rsid w:val="007A0595"/>
    <w:rsid w:val="007A114A"/>
    <w:rsid w:val="007A139F"/>
    <w:rsid w:val="007A156F"/>
    <w:rsid w:val="007A2075"/>
    <w:rsid w:val="007A21E3"/>
    <w:rsid w:val="007A231F"/>
    <w:rsid w:val="007A2437"/>
    <w:rsid w:val="007A25E0"/>
    <w:rsid w:val="007A2E8C"/>
    <w:rsid w:val="007A3891"/>
    <w:rsid w:val="007A3F2E"/>
    <w:rsid w:val="007A441D"/>
    <w:rsid w:val="007A5321"/>
    <w:rsid w:val="007A55C8"/>
    <w:rsid w:val="007A58CB"/>
    <w:rsid w:val="007A5AEB"/>
    <w:rsid w:val="007A6362"/>
    <w:rsid w:val="007A7308"/>
    <w:rsid w:val="007A7CCA"/>
    <w:rsid w:val="007B0318"/>
    <w:rsid w:val="007B03E4"/>
    <w:rsid w:val="007B0AAD"/>
    <w:rsid w:val="007B0AB2"/>
    <w:rsid w:val="007B0B4E"/>
    <w:rsid w:val="007B0C9E"/>
    <w:rsid w:val="007B0CA3"/>
    <w:rsid w:val="007B0F4D"/>
    <w:rsid w:val="007B116C"/>
    <w:rsid w:val="007B12A0"/>
    <w:rsid w:val="007B145E"/>
    <w:rsid w:val="007B2382"/>
    <w:rsid w:val="007B260D"/>
    <w:rsid w:val="007B271B"/>
    <w:rsid w:val="007B2DED"/>
    <w:rsid w:val="007B384C"/>
    <w:rsid w:val="007B4061"/>
    <w:rsid w:val="007B42EB"/>
    <w:rsid w:val="007B45B4"/>
    <w:rsid w:val="007B4A17"/>
    <w:rsid w:val="007B52CC"/>
    <w:rsid w:val="007B5E93"/>
    <w:rsid w:val="007B6691"/>
    <w:rsid w:val="007B67C5"/>
    <w:rsid w:val="007B7255"/>
    <w:rsid w:val="007B735A"/>
    <w:rsid w:val="007C021C"/>
    <w:rsid w:val="007C06E4"/>
    <w:rsid w:val="007C0ADA"/>
    <w:rsid w:val="007C0C06"/>
    <w:rsid w:val="007C104E"/>
    <w:rsid w:val="007C1320"/>
    <w:rsid w:val="007C16B1"/>
    <w:rsid w:val="007C171E"/>
    <w:rsid w:val="007C1818"/>
    <w:rsid w:val="007C1DE4"/>
    <w:rsid w:val="007C1E39"/>
    <w:rsid w:val="007C233E"/>
    <w:rsid w:val="007C31C3"/>
    <w:rsid w:val="007C36AA"/>
    <w:rsid w:val="007C4101"/>
    <w:rsid w:val="007C4313"/>
    <w:rsid w:val="007C44ED"/>
    <w:rsid w:val="007C4CB8"/>
    <w:rsid w:val="007C5630"/>
    <w:rsid w:val="007C6072"/>
    <w:rsid w:val="007C61C8"/>
    <w:rsid w:val="007C6203"/>
    <w:rsid w:val="007C6A55"/>
    <w:rsid w:val="007C6E4A"/>
    <w:rsid w:val="007C776D"/>
    <w:rsid w:val="007C78FA"/>
    <w:rsid w:val="007C79C4"/>
    <w:rsid w:val="007C7D8F"/>
    <w:rsid w:val="007D0046"/>
    <w:rsid w:val="007D054D"/>
    <w:rsid w:val="007D0DE0"/>
    <w:rsid w:val="007D0FEC"/>
    <w:rsid w:val="007D125C"/>
    <w:rsid w:val="007D158A"/>
    <w:rsid w:val="007D160F"/>
    <w:rsid w:val="007D18B6"/>
    <w:rsid w:val="007D1DC2"/>
    <w:rsid w:val="007D278A"/>
    <w:rsid w:val="007D2F74"/>
    <w:rsid w:val="007D3F01"/>
    <w:rsid w:val="007D463E"/>
    <w:rsid w:val="007D480D"/>
    <w:rsid w:val="007D4E98"/>
    <w:rsid w:val="007D5436"/>
    <w:rsid w:val="007D5C61"/>
    <w:rsid w:val="007D5D27"/>
    <w:rsid w:val="007D5E5F"/>
    <w:rsid w:val="007D6301"/>
    <w:rsid w:val="007D6822"/>
    <w:rsid w:val="007D6AF3"/>
    <w:rsid w:val="007D6D2B"/>
    <w:rsid w:val="007D6F0B"/>
    <w:rsid w:val="007D74F6"/>
    <w:rsid w:val="007D7A57"/>
    <w:rsid w:val="007D7BB9"/>
    <w:rsid w:val="007D7CED"/>
    <w:rsid w:val="007E02CA"/>
    <w:rsid w:val="007E178D"/>
    <w:rsid w:val="007E17D5"/>
    <w:rsid w:val="007E2326"/>
    <w:rsid w:val="007E2776"/>
    <w:rsid w:val="007E27A2"/>
    <w:rsid w:val="007E2853"/>
    <w:rsid w:val="007E2854"/>
    <w:rsid w:val="007E3373"/>
    <w:rsid w:val="007E39F5"/>
    <w:rsid w:val="007E3DF8"/>
    <w:rsid w:val="007E47C4"/>
    <w:rsid w:val="007E4BF1"/>
    <w:rsid w:val="007E4C2F"/>
    <w:rsid w:val="007E4F8F"/>
    <w:rsid w:val="007E5045"/>
    <w:rsid w:val="007E51E1"/>
    <w:rsid w:val="007E5224"/>
    <w:rsid w:val="007E52FE"/>
    <w:rsid w:val="007E532E"/>
    <w:rsid w:val="007E5C8A"/>
    <w:rsid w:val="007E5E1D"/>
    <w:rsid w:val="007E5EA6"/>
    <w:rsid w:val="007E6B9C"/>
    <w:rsid w:val="007E769C"/>
    <w:rsid w:val="007F0494"/>
    <w:rsid w:val="007F06CE"/>
    <w:rsid w:val="007F09BE"/>
    <w:rsid w:val="007F09C6"/>
    <w:rsid w:val="007F1009"/>
    <w:rsid w:val="007F1167"/>
    <w:rsid w:val="007F1BA1"/>
    <w:rsid w:val="007F1EC4"/>
    <w:rsid w:val="007F244A"/>
    <w:rsid w:val="007F24C1"/>
    <w:rsid w:val="007F254F"/>
    <w:rsid w:val="007F471E"/>
    <w:rsid w:val="007F4A23"/>
    <w:rsid w:val="007F5145"/>
    <w:rsid w:val="007F5209"/>
    <w:rsid w:val="007F524D"/>
    <w:rsid w:val="007F5307"/>
    <w:rsid w:val="007F6536"/>
    <w:rsid w:val="007F67F5"/>
    <w:rsid w:val="007F76B9"/>
    <w:rsid w:val="00800211"/>
    <w:rsid w:val="008007A4"/>
    <w:rsid w:val="00800EA1"/>
    <w:rsid w:val="00801246"/>
    <w:rsid w:val="008014B6"/>
    <w:rsid w:val="008019AC"/>
    <w:rsid w:val="008023C5"/>
    <w:rsid w:val="00802818"/>
    <w:rsid w:val="00802A35"/>
    <w:rsid w:val="00802AA1"/>
    <w:rsid w:val="00802FD3"/>
    <w:rsid w:val="0080305C"/>
    <w:rsid w:val="0080309D"/>
    <w:rsid w:val="008036AB"/>
    <w:rsid w:val="00803783"/>
    <w:rsid w:val="00803843"/>
    <w:rsid w:val="00803C2C"/>
    <w:rsid w:val="00804320"/>
    <w:rsid w:val="00804880"/>
    <w:rsid w:val="008048E9"/>
    <w:rsid w:val="00804B5E"/>
    <w:rsid w:val="00804B64"/>
    <w:rsid w:val="00804E79"/>
    <w:rsid w:val="00804EE2"/>
    <w:rsid w:val="008051AC"/>
    <w:rsid w:val="00805341"/>
    <w:rsid w:val="008056A1"/>
    <w:rsid w:val="008057A4"/>
    <w:rsid w:val="00805FFF"/>
    <w:rsid w:val="008060D8"/>
    <w:rsid w:val="008065CF"/>
    <w:rsid w:val="0080677E"/>
    <w:rsid w:val="00806789"/>
    <w:rsid w:val="008068BE"/>
    <w:rsid w:val="0080691A"/>
    <w:rsid w:val="00807F78"/>
    <w:rsid w:val="008107CE"/>
    <w:rsid w:val="00810919"/>
    <w:rsid w:val="00810A2B"/>
    <w:rsid w:val="00810AA0"/>
    <w:rsid w:val="00810C87"/>
    <w:rsid w:val="00811551"/>
    <w:rsid w:val="00811594"/>
    <w:rsid w:val="00811D24"/>
    <w:rsid w:val="00812A01"/>
    <w:rsid w:val="00812A29"/>
    <w:rsid w:val="008130FC"/>
    <w:rsid w:val="008137F1"/>
    <w:rsid w:val="0081381B"/>
    <w:rsid w:val="00813A18"/>
    <w:rsid w:val="00813B1F"/>
    <w:rsid w:val="00814B73"/>
    <w:rsid w:val="008156FD"/>
    <w:rsid w:val="00815C21"/>
    <w:rsid w:val="0081647F"/>
    <w:rsid w:val="008164CC"/>
    <w:rsid w:val="008166EA"/>
    <w:rsid w:val="00816DEC"/>
    <w:rsid w:val="008170EE"/>
    <w:rsid w:val="00817564"/>
    <w:rsid w:val="008175EB"/>
    <w:rsid w:val="008177D8"/>
    <w:rsid w:val="00820164"/>
    <w:rsid w:val="0082039B"/>
    <w:rsid w:val="00820561"/>
    <w:rsid w:val="00820C71"/>
    <w:rsid w:val="00821389"/>
    <w:rsid w:val="00821A26"/>
    <w:rsid w:val="00821DEB"/>
    <w:rsid w:val="008227ED"/>
    <w:rsid w:val="00822819"/>
    <w:rsid w:val="00822941"/>
    <w:rsid w:val="00822BCD"/>
    <w:rsid w:val="00822F49"/>
    <w:rsid w:val="00823178"/>
    <w:rsid w:val="00823993"/>
    <w:rsid w:val="00823B7E"/>
    <w:rsid w:val="00824140"/>
    <w:rsid w:val="00824C88"/>
    <w:rsid w:val="00824D13"/>
    <w:rsid w:val="00824D2E"/>
    <w:rsid w:val="008255BB"/>
    <w:rsid w:val="008256A7"/>
    <w:rsid w:val="008268A3"/>
    <w:rsid w:val="00830764"/>
    <w:rsid w:val="0083095F"/>
    <w:rsid w:val="00830B92"/>
    <w:rsid w:val="00830BD6"/>
    <w:rsid w:val="00830FEB"/>
    <w:rsid w:val="00831585"/>
    <w:rsid w:val="00831839"/>
    <w:rsid w:val="00831B2F"/>
    <w:rsid w:val="00831D0D"/>
    <w:rsid w:val="00832352"/>
    <w:rsid w:val="008324A8"/>
    <w:rsid w:val="008324CD"/>
    <w:rsid w:val="00832B3E"/>
    <w:rsid w:val="00832CE3"/>
    <w:rsid w:val="00833302"/>
    <w:rsid w:val="008336F1"/>
    <w:rsid w:val="00833B54"/>
    <w:rsid w:val="00833F74"/>
    <w:rsid w:val="0083471D"/>
    <w:rsid w:val="008347FD"/>
    <w:rsid w:val="00835020"/>
    <w:rsid w:val="008351AF"/>
    <w:rsid w:val="0083534C"/>
    <w:rsid w:val="00835F1D"/>
    <w:rsid w:val="00836150"/>
    <w:rsid w:val="00836378"/>
    <w:rsid w:val="00836A5C"/>
    <w:rsid w:val="00836B13"/>
    <w:rsid w:val="00836BF9"/>
    <w:rsid w:val="008374F6"/>
    <w:rsid w:val="00837F04"/>
    <w:rsid w:val="0084088D"/>
    <w:rsid w:val="0084103A"/>
    <w:rsid w:val="00841385"/>
    <w:rsid w:val="0084140F"/>
    <w:rsid w:val="0084166A"/>
    <w:rsid w:val="0084187A"/>
    <w:rsid w:val="008418D6"/>
    <w:rsid w:val="00841D00"/>
    <w:rsid w:val="00842284"/>
    <w:rsid w:val="00842311"/>
    <w:rsid w:val="008423F7"/>
    <w:rsid w:val="0084281B"/>
    <w:rsid w:val="0084292F"/>
    <w:rsid w:val="008430DB"/>
    <w:rsid w:val="00844033"/>
    <w:rsid w:val="00844133"/>
    <w:rsid w:val="008447B8"/>
    <w:rsid w:val="00844804"/>
    <w:rsid w:val="00844854"/>
    <w:rsid w:val="00844D22"/>
    <w:rsid w:val="008455F6"/>
    <w:rsid w:val="00845660"/>
    <w:rsid w:val="0084569C"/>
    <w:rsid w:val="00845713"/>
    <w:rsid w:val="00845AB5"/>
    <w:rsid w:val="008463A2"/>
    <w:rsid w:val="008464C8"/>
    <w:rsid w:val="008464CD"/>
    <w:rsid w:val="00846886"/>
    <w:rsid w:val="00846CBD"/>
    <w:rsid w:val="00846D9D"/>
    <w:rsid w:val="00846DA8"/>
    <w:rsid w:val="0084775A"/>
    <w:rsid w:val="00847F83"/>
    <w:rsid w:val="0085065E"/>
    <w:rsid w:val="00850A57"/>
    <w:rsid w:val="00850C6E"/>
    <w:rsid w:val="008516A7"/>
    <w:rsid w:val="00851B6E"/>
    <w:rsid w:val="00851B86"/>
    <w:rsid w:val="00851D4F"/>
    <w:rsid w:val="00851E80"/>
    <w:rsid w:val="00851E84"/>
    <w:rsid w:val="00852971"/>
    <w:rsid w:val="00853C91"/>
    <w:rsid w:val="00854308"/>
    <w:rsid w:val="008545CF"/>
    <w:rsid w:val="008551C8"/>
    <w:rsid w:val="00855214"/>
    <w:rsid w:val="008557B6"/>
    <w:rsid w:val="0085582D"/>
    <w:rsid w:val="00855FFC"/>
    <w:rsid w:val="00856196"/>
    <w:rsid w:val="008565BE"/>
    <w:rsid w:val="00856BFF"/>
    <w:rsid w:val="00856C04"/>
    <w:rsid w:val="00856E4C"/>
    <w:rsid w:val="0085722C"/>
    <w:rsid w:val="00857243"/>
    <w:rsid w:val="0085735B"/>
    <w:rsid w:val="00857A0A"/>
    <w:rsid w:val="00857D86"/>
    <w:rsid w:val="0086013C"/>
    <w:rsid w:val="0086024B"/>
    <w:rsid w:val="0086108A"/>
    <w:rsid w:val="008610C1"/>
    <w:rsid w:val="00862527"/>
    <w:rsid w:val="00862536"/>
    <w:rsid w:val="0086287D"/>
    <w:rsid w:val="00862BCE"/>
    <w:rsid w:val="00864019"/>
    <w:rsid w:val="008645FC"/>
    <w:rsid w:val="00864728"/>
    <w:rsid w:val="00865673"/>
    <w:rsid w:val="0086604A"/>
    <w:rsid w:val="008669A1"/>
    <w:rsid w:val="008671FE"/>
    <w:rsid w:val="008673C4"/>
    <w:rsid w:val="008676CE"/>
    <w:rsid w:val="008678BD"/>
    <w:rsid w:val="00867B6C"/>
    <w:rsid w:val="00867D27"/>
    <w:rsid w:val="00867E6E"/>
    <w:rsid w:val="0087006E"/>
    <w:rsid w:val="00870344"/>
    <w:rsid w:val="00870557"/>
    <w:rsid w:val="00870CEA"/>
    <w:rsid w:val="00870F9E"/>
    <w:rsid w:val="008711E9"/>
    <w:rsid w:val="00871B65"/>
    <w:rsid w:val="00871EEF"/>
    <w:rsid w:val="008721F7"/>
    <w:rsid w:val="00872316"/>
    <w:rsid w:val="008725E3"/>
    <w:rsid w:val="00872B1A"/>
    <w:rsid w:val="00872CB0"/>
    <w:rsid w:val="00873132"/>
    <w:rsid w:val="008735DC"/>
    <w:rsid w:val="00873E28"/>
    <w:rsid w:val="00873E93"/>
    <w:rsid w:val="00874365"/>
    <w:rsid w:val="00874389"/>
    <w:rsid w:val="008743F5"/>
    <w:rsid w:val="008745A3"/>
    <w:rsid w:val="00874896"/>
    <w:rsid w:val="00874A46"/>
    <w:rsid w:val="00874C12"/>
    <w:rsid w:val="00874DA9"/>
    <w:rsid w:val="008750CE"/>
    <w:rsid w:val="00875202"/>
    <w:rsid w:val="00875CAB"/>
    <w:rsid w:val="00875E39"/>
    <w:rsid w:val="00875F52"/>
    <w:rsid w:val="00876C84"/>
    <w:rsid w:val="00876F09"/>
    <w:rsid w:val="00876F1A"/>
    <w:rsid w:val="00876F69"/>
    <w:rsid w:val="00877DA1"/>
    <w:rsid w:val="0088000E"/>
    <w:rsid w:val="00880209"/>
    <w:rsid w:val="00880485"/>
    <w:rsid w:val="00880567"/>
    <w:rsid w:val="00880983"/>
    <w:rsid w:val="008809EC"/>
    <w:rsid w:val="008818AE"/>
    <w:rsid w:val="00882077"/>
    <w:rsid w:val="00882A94"/>
    <w:rsid w:val="00882E57"/>
    <w:rsid w:val="00883F54"/>
    <w:rsid w:val="008840EC"/>
    <w:rsid w:val="0088448A"/>
    <w:rsid w:val="008845B7"/>
    <w:rsid w:val="00884D42"/>
    <w:rsid w:val="00885149"/>
    <w:rsid w:val="00886FB3"/>
    <w:rsid w:val="008875D7"/>
    <w:rsid w:val="00890101"/>
    <w:rsid w:val="00890350"/>
    <w:rsid w:val="008905FF"/>
    <w:rsid w:val="00890914"/>
    <w:rsid w:val="00890E81"/>
    <w:rsid w:val="008918E4"/>
    <w:rsid w:val="008919FB"/>
    <w:rsid w:val="00891E2C"/>
    <w:rsid w:val="00892FA4"/>
    <w:rsid w:val="00893BD6"/>
    <w:rsid w:val="008940E4"/>
    <w:rsid w:val="008942F9"/>
    <w:rsid w:val="00894361"/>
    <w:rsid w:val="00894BF2"/>
    <w:rsid w:val="00894E12"/>
    <w:rsid w:val="00894EE8"/>
    <w:rsid w:val="00894F6F"/>
    <w:rsid w:val="00895144"/>
    <w:rsid w:val="00895AB9"/>
    <w:rsid w:val="00895D53"/>
    <w:rsid w:val="008962FB"/>
    <w:rsid w:val="00896447"/>
    <w:rsid w:val="00896463"/>
    <w:rsid w:val="00896565"/>
    <w:rsid w:val="0089690D"/>
    <w:rsid w:val="00896DD1"/>
    <w:rsid w:val="00896E97"/>
    <w:rsid w:val="0089742A"/>
    <w:rsid w:val="008977DA"/>
    <w:rsid w:val="0089782F"/>
    <w:rsid w:val="00897F64"/>
    <w:rsid w:val="008A040A"/>
    <w:rsid w:val="008A0850"/>
    <w:rsid w:val="008A09D7"/>
    <w:rsid w:val="008A0B7C"/>
    <w:rsid w:val="008A0B9C"/>
    <w:rsid w:val="008A0D2A"/>
    <w:rsid w:val="008A0D6A"/>
    <w:rsid w:val="008A1220"/>
    <w:rsid w:val="008A133B"/>
    <w:rsid w:val="008A139A"/>
    <w:rsid w:val="008A222D"/>
    <w:rsid w:val="008A2B86"/>
    <w:rsid w:val="008A2F52"/>
    <w:rsid w:val="008A3BD7"/>
    <w:rsid w:val="008A41D4"/>
    <w:rsid w:val="008A43CC"/>
    <w:rsid w:val="008A46E8"/>
    <w:rsid w:val="008A4F6C"/>
    <w:rsid w:val="008A5239"/>
    <w:rsid w:val="008A5298"/>
    <w:rsid w:val="008A55E7"/>
    <w:rsid w:val="008A58C6"/>
    <w:rsid w:val="008A5934"/>
    <w:rsid w:val="008A5C43"/>
    <w:rsid w:val="008A5F7D"/>
    <w:rsid w:val="008A6193"/>
    <w:rsid w:val="008A6552"/>
    <w:rsid w:val="008A6BF4"/>
    <w:rsid w:val="008A6D10"/>
    <w:rsid w:val="008A6E43"/>
    <w:rsid w:val="008A73F1"/>
    <w:rsid w:val="008A7716"/>
    <w:rsid w:val="008A7F8B"/>
    <w:rsid w:val="008B0166"/>
    <w:rsid w:val="008B034B"/>
    <w:rsid w:val="008B04B6"/>
    <w:rsid w:val="008B0A02"/>
    <w:rsid w:val="008B0DA1"/>
    <w:rsid w:val="008B0DFF"/>
    <w:rsid w:val="008B0E11"/>
    <w:rsid w:val="008B1253"/>
    <w:rsid w:val="008B1349"/>
    <w:rsid w:val="008B1350"/>
    <w:rsid w:val="008B176A"/>
    <w:rsid w:val="008B1E79"/>
    <w:rsid w:val="008B2197"/>
    <w:rsid w:val="008B23F0"/>
    <w:rsid w:val="008B24AB"/>
    <w:rsid w:val="008B28F9"/>
    <w:rsid w:val="008B2B14"/>
    <w:rsid w:val="008B30D5"/>
    <w:rsid w:val="008B3474"/>
    <w:rsid w:val="008B3524"/>
    <w:rsid w:val="008B354D"/>
    <w:rsid w:val="008B3625"/>
    <w:rsid w:val="008B3E7C"/>
    <w:rsid w:val="008B4152"/>
    <w:rsid w:val="008B4C4A"/>
    <w:rsid w:val="008B4D0C"/>
    <w:rsid w:val="008B4EA4"/>
    <w:rsid w:val="008B550E"/>
    <w:rsid w:val="008B5960"/>
    <w:rsid w:val="008B5A69"/>
    <w:rsid w:val="008B61BC"/>
    <w:rsid w:val="008B669A"/>
    <w:rsid w:val="008B66BB"/>
    <w:rsid w:val="008B6954"/>
    <w:rsid w:val="008B6C8E"/>
    <w:rsid w:val="008B6EF7"/>
    <w:rsid w:val="008B7035"/>
    <w:rsid w:val="008B78E7"/>
    <w:rsid w:val="008B7AA3"/>
    <w:rsid w:val="008C009B"/>
    <w:rsid w:val="008C02B2"/>
    <w:rsid w:val="008C0AFC"/>
    <w:rsid w:val="008C1BF9"/>
    <w:rsid w:val="008C1EEF"/>
    <w:rsid w:val="008C2013"/>
    <w:rsid w:val="008C2541"/>
    <w:rsid w:val="008C298B"/>
    <w:rsid w:val="008C2DFD"/>
    <w:rsid w:val="008C31A4"/>
    <w:rsid w:val="008C348A"/>
    <w:rsid w:val="008C34EB"/>
    <w:rsid w:val="008C3828"/>
    <w:rsid w:val="008C3E11"/>
    <w:rsid w:val="008C55A6"/>
    <w:rsid w:val="008C577E"/>
    <w:rsid w:val="008C57AF"/>
    <w:rsid w:val="008C5867"/>
    <w:rsid w:val="008C591B"/>
    <w:rsid w:val="008C6134"/>
    <w:rsid w:val="008C6E31"/>
    <w:rsid w:val="008C6E54"/>
    <w:rsid w:val="008C6E7D"/>
    <w:rsid w:val="008C6FBF"/>
    <w:rsid w:val="008D000C"/>
    <w:rsid w:val="008D006A"/>
    <w:rsid w:val="008D15E0"/>
    <w:rsid w:val="008D1BA1"/>
    <w:rsid w:val="008D242B"/>
    <w:rsid w:val="008D2E51"/>
    <w:rsid w:val="008D3F6E"/>
    <w:rsid w:val="008D3FD8"/>
    <w:rsid w:val="008D4AAD"/>
    <w:rsid w:val="008D4C69"/>
    <w:rsid w:val="008D5924"/>
    <w:rsid w:val="008D6838"/>
    <w:rsid w:val="008D6985"/>
    <w:rsid w:val="008D6CDA"/>
    <w:rsid w:val="008D71EA"/>
    <w:rsid w:val="008D726B"/>
    <w:rsid w:val="008D7EC5"/>
    <w:rsid w:val="008E0104"/>
    <w:rsid w:val="008E12FA"/>
    <w:rsid w:val="008E1303"/>
    <w:rsid w:val="008E1399"/>
    <w:rsid w:val="008E13A0"/>
    <w:rsid w:val="008E1CA4"/>
    <w:rsid w:val="008E233C"/>
    <w:rsid w:val="008E2365"/>
    <w:rsid w:val="008E29C2"/>
    <w:rsid w:val="008E2B54"/>
    <w:rsid w:val="008E2BBD"/>
    <w:rsid w:val="008E2F90"/>
    <w:rsid w:val="008E30BD"/>
    <w:rsid w:val="008E30DA"/>
    <w:rsid w:val="008E31FC"/>
    <w:rsid w:val="008E31FD"/>
    <w:rsid w:val="008E3400"/>
    <w:rsid w:val="008E3654"/>
    <w:rsid w:val="008E3796"/>
    <w:rsid w:val="008E4929"/>
    <w:rsid w:val="008E4F68"/>
    <w:rsid w:val="008E523E"/>
    <w:rsid w:val="008E56C5"/>
    <w:rsid w:val="008E5835"/>
    <w:rsid w:val="008E6187"/>
    <w:rsid w:val="008E654F"/>
    <w:rsid w:val="008E6696"/>
    <w:rsid w:val="008E6964"/>
    <w:rsid w:val="008E69C8"/>
    <w:rsid w:val="008E766F"/>
    <w:rsid w:val="008E76AD"/>
    <w:rsid w:val="008E79E6"/>
    <w:rsid w:val="008E7AEF"/>
    <w:rsid w:val="008E7AF8"/>
    <w:rsid w:val="008E7E06"/>
    <w:rsid w:val="008F0501"/>
    <w:rsid w:val="008F0547"/>
    <w:rsid w:val="008F084E"/>
    <w:rsid w:val="008F0920"/>
    <w:rsid w:val="008F0C85"/>
    <w:rsid w:val="008F0DAA"/>
    <w:rsid w:val="008F0F2E"/>
    <w:rsid w:val="008F0F8A"/>
    <w:rsid w:val="008F14FA"/>
    <w:rsid w:val="008F162F"/>
    <w:rsid w:val="008F186F"/>
    <w:rsid w:val="008F1A30"/>
    <w:rsid w:val="008F2494"/>
    <w:rsid w:val="008F27A6"/>
    <w:rsid w:val="008F290A"/>
    <w:rsid w:val="008F2987"/>
    <w:rsid w:val="008F2CD5"/>
    <w:rsid w:val="008F2F39"/>
    <w:rsid w:val="008F3B81"/>
    <w:rsid w:val="008F4B9F"/>
    <w:rsid w:val="008F5119"/>
    <w:rsid w:val="008F5699"/>
    <w:rsid w:val="008F59C0"/>
    <w:rsid w:val="008F5D78"/>
    <w:rsid w:val="008F64EC"/>
    <w:rsid w:val="008F666C"/>
    <w:rsid w:val="008F716D"/>
    <w:rsid w:val="008F7723"/>
    <w:rsid w:val="008F7B25"/>
    <w:rsid w:val="008F7E2F"/>
    <w:rsid w:val="008F7FC4"/>
    <w:rsid w:val="00900405"/>
    <w:rsid w:val="0090069D"/>
    <w:rsid w:val="0090089A"/>
    <w:rsid w:val="00900980"/>
    <w:rsid w:val="00901262"/>
    <w:rsid w:val="009012F1"/>
    <w:rsid w:val="0090144C"/>
    <w:rsid w:val="0090173F"/>
    <w:rsid w:val="00901A68"/>
    <w:rsid w:val="00901AC7"/>
    <w:rsid w:val="00901AF0"/>
    <w:rsid w:val="00901B2D"/>
    <w:rsid w:val="00901DC6"/>
    <w:rsid w:val="009029E0"/>
    <w:rsid w:val="00902BC9"/>
    <w:rsid w:val="00902E7D"/>
    <w:rsid w:val="00903145"/>
    <w:rsid w:val="009034E0"/>
    <w:rsid w:val="0090398F"/>
    <w:rsid w:val="00903B85"/>
    <w:rsid w:val="00904415"/>
    <w:rsid w:val="009044D1"/>
    <w:rsid w:val="009045DF"/>
    <w:rsid w:val="00904976"/>
    <w:rsid w:val="0090532A"/>
    <w:rsid w:val="00905512"/>
    <w:rsid w:val="00905525"/>
    <w:rsid w:val="0090585B"/>
    <w:rsid w:val="009058C9"/>
    <w:rsid w:val="00905DDB"/>
    <w:rsid w:val="009061A9"/>
    <w:rsid w:val="00906B0D"/>
    <w:rsid w:val="00907209"/>
    <w:rsid w:val="00907547"/>
    <w:rsid w:val="009076C0"/>
    <w:rsid w:val="009077C0"/>
    <w:rsid w:val="0091056C"/>
    <w:rsid w:val="00910BAC"/>
    <w:rsid w:val="00910FF6"/>
    <w:rsid w:val="00911266"/>
    <w:rsid w:val="0091185D"/>
    <w:rsid w:val="00911B2A"/>
    <w:rsid w:val="00911CB5"/>
    <w:rsid w:val="00911D59"/>
    <w:rsid w:val="00911F8B"/>
    <w:rsid w:val="0091204A"/>
    <w:rsid w:val="00912705"/>
    <w:rsid w:val="00913415"/>
    <w:rsid w:val="00914342"/>
    <w:rsid w:val="00914F8F"/>
    <w:rsid w:val="00915259"/>
    <w:rsid w:val="0091533E"/>
    <w:rsid w:val="00916374"/>
    <w:rsid w:val="009168B3"/>
    <w:rsid w:val="00916A53"/>
    <w:rsid w:val="00916B14"/>
    <w:rsid w:val="00916B2A"/>
    <w:rsid w:val="00916C02"/>
    <w:rsid w:val="009170F0"/>
    <w:rsid w:val="009172A4"/>
    <w:rsid w:val="00917A44"/>
    <w:rsid w:val="00917BAE"/>
    <w:rsid w:val="0092074A"/>
    <w:rsid w:val="00920EF5"/>
    <w:rsid w:val="00921062"/>
    <w:rsid w:val="009218AA"/>
    <w:rsid w:val="00921B00"/>
    <w:rsid w:val="00921D40"/>
    <w:rsid w:val="009222A2"/>
    <w:rsid w:val="009225CF"/>
    <w:rsid w:val="00922682"/>
    <w:rsid w:val="00922F60"/>
    <w:rsid w:val="009232A0"/>
    <w:rsid w:val="009235EF"/>
    <w:rsid w:val="00923E4E"/>
    <w:rsid w:val="0092456E"/>
    <w:rsid w:val="009248B8"/>
    <w:rsid w:val="009249CA"/>
    <w:rsid w:val="00924B6F"/>
    <w:rsid w:val="00924F9C"/>
    <w:rsid w:val="0092553A"/>
    <w:rsid w:val="00925EB3"/>
    <w:rsid w:val="0092604B"/>
    <w:rsid w:val="009261F7"/>
    <w:rsid w:val="009270AD"/>
    <w:rsid w:val="009273EA"/>
    <w:rsid w:val="00927663"/>
    <w:rsid w:val="00927A4F"/>
    <w:rsid w:val="00927D03"/>
    <w:rsid w:val="0093040B"/>
    <w:rsid w:val="00930604"/>
    <w:rsid w:val="00930CE5"/>
    <w:rsid w:val="00930F1E"/>
    <w:rsid w:val="009311CD"/>
    <w:rsid w:val="0093146A"/>
    <w:rsid w:val="0093164D"/>
    <w:rsid w:val="00931765"/>
    <w:rsid w:val="00931AC1"/>
    <w:rsid w:val="00931B0C"/>
    <w:rsid w:val="009322B0"/>
    <w:rsid w:val="00932421"/>
    <w:rsid w:val="00932534"/>
    <w:rsid w:val="00932E45"/>
    <w:rsid w:val="00933162"/>
    <w:rsid w:val="009335F4"/>
    <w:rsid w:val="00934527"/>
    <w:rsid w:val="00934FBB"/>
    <w:rsid w:val="00935396"/>
    <w:rsid w:val="00935C5F"/>
    <w:rsid w:val="00935F6C"/>
    <w:rsid w:val="00936362"/>
    <w:rsid w:val="0093644F"/>
    <w:rsid w:val="00936A8E"/>
    <w:rsid w:val="00936EB1"/>
    <w:rsid w:val="009371A5"/>
    <w:rsid w:val="00937751"/>
    <w:rsid w:val="0094006C"/>
    <w:rsid w:val="009401C5"/>
    <w:rsid w:val="0094037B"/>
    <w:rsid w:val="00940E8F"/>
    <w:rsid w:val="009418C1"/>
    <w:rsid w:val="00941C0C"/>
    <w:rsid w:val="0094215E"/>
    <w:rsid w:val="009423A1"/>
    <w:rsid w:val="0094290F"/>
    <w:rsid w:val="00942A89"/>
    <w:rsid w:val="00942CC7"/>
    <w:rsid w:val="00943105"/>
    <w:rsid w:val="0094389D"/>
    <w:rsid w:val="00943B94"/>
    <w:rsid w:val="00943C65"/>
    <w:rsid w:val="00943F1D"/>
    <w:rsid w:val="0094400A"/>
    <w:rsid w:val="0094427F"/>
    <w:rsid w:val="00944A18"/>
    <w:rsid w:val="00945A5E"/>
    <w:rsid w:val="00945B9E"/>
    <w:rsid w:val="0094676D"/>
    <w:rsid w:val="00946B7E"/>
    <w:rsid w:val="00946D92"/>
    <w:rsid w:val="00946E4D"/>
    <w:rsid w:val="00947145"/>
    <w:rsid w:val="00947188"/>
    <w:rsid w:val="00947E9E"/>
    <w:rsid w:val="00947F4C"/>
    <w:rsid w:val="0095060C"/>
    <w:rsid w:val="0095072E"/>
    <w:rsid w:val="00950740"/>
    <w:rsid w:val="00950802"/>
    <w:rsid w:val="0095095B"/>
    <w:rsid w:val="00950DF5"/>
    <w:rsid w:val="00950EA4"/>
    <w:rsid w:val="00951ED8"/>
    <w:rsid w:val="0095200C"/>
    <w:rsid w:val="0095206C"/>
    <w:rsid w:val="00952691"/>
    <w:rsid w:val="00952735"/>
    <w:rsid w:val="00952B77"/>
    <w:rsid w:val="00952BFA"/>
    <w:rsid w:val="009534CC"/>
    <w:rsid w:val="00953688"/>
    <w:rsid w:val="009536E4"/>
    <w:rsid w:val="00953A04"/>
    <w:rsid w:val="00953BA6"/>
    <w:rsid w:val="00953CBC"/>
    <w:rsid w:val="00954ADB"/>
    <w:rsid w:val="00954D28"/>
    <w:rsid w:val="00954FB2"/>
    <w:rsid w:val="00955DF0"/>
    <w:rsid w:val="009561BA"/>
    <w:rsid w:val="00956706"/>
    <w:rsid w:val="00956A48"/>
    <w:rsid w:val="00956BBD"/>
    <w:rsid w:val="00956C09"/>
    <w:rsid w:val="00956E14"/>
    <w:rsid w:val="009571A3"/>
    <w:rsid w:val="00957345"/>
    <w:rsid w:val="00957BDF"/>
    <w:rsid w:val="00957E07"/>
    <w:rsid w:val="00960CF7"/>
    <w:rsid w:val="00960F0F"/>
    <w:rsid w:val="009610F5"/>
    <w:rsid w:val="00961363"/>
    <w:rsid w:val="0096149E"/>
    <w:rsid w:val="0096162B"/>
    <w:rsid w:val="00961631"/>
    <w:rsid w:val="00961691"/>
    <w:rsid w:val="009617DA"/>
    <w:rsid w:val="009617F5"/>
    <w:rsid w:val="00961E2C"/>
    <w:rsid w:val="00962247"/>
    <w:rsid w:val="00962478"/>
    <w:rsid w:val="00963A6B"/>
    <w:rsid w:val="00963B06"/>
    <w:rsid w:val="00963D40"/>
    <w:rsid w:val="00963D4C"/>
    <w:rsid w:val="00963E8B"/>
    <w:rsid w:val="00964719"/>
    <w:rsid w:val="009649EE"/>
    <w:rsid w:val="00964C69"/>
    <w:rsid w:val="00964F97"/>
    <w:rsid w:val="0096521D"/>
    <w:rsid w:val="00965381"/>
    <w:rsid w:val="00965528"/>
    <w:rsid w:val="00965658"/>
    <w:rsid w:val="00965D85"/>
    <w:rsid w:val="00965ED3"/>
    <w:rsid w:val="009663A4"/>
    <w:rsid w:val="00966ED4"/>
    <w:rsid w:val="00967212"/>
    <w:rsid w:val="00967468"/>
    <w:rsid w:val="00967483"/>
    <w:rsid w:val="0096757B"/>
    <w:rsid w:val="009679BE"/>
    <w:rsid w:val="009700C9"/>
    <w:rsid w:val="00970222"/>
    <w:rsid w:val="009705A2"/>
    <w:rsid w:val="00970A8E"/>
    <w:rsid w:val="00970CF6"/>
    <w:rsid w:val="0097114C"/>
    <w:rsid w:val="009719AB"/>
    <w:rsid w:val="00971BB9"/>
    <w:rsid w:val="00972659"/>
    <w:rsid w:val="00972673"/>
    <w:rsid w:val="0097268B"/>
    <w:rsid w:val="00972CA7"/>
    <w:rsid w:val="0097356A"/>
    <w:rsid w:val="0097396C"/>
    <w:rsid w:val="00973AA1"/>
    <w:rsid w:val="00973DDB"/>
    <w:rsid w:val="009740C4"/>
    <w:rsid w:val="00974957"/>
    <w:rsid w:val="00974A37"/>
    <w:rsid w:val="00974A85"/>
    <w:rsid w:val="009750D3"/>
    <w:rsid w:val="00975AA8"/>
    <w:rsid w:val="0097600A"/>
    <w:rsid w:val="00976954"/>
    <w:rsid w:val="009771ED"/>
    <w:rsid w:val="0097728E"/>
    <w:rsid w:val="009773D6"/>
    <w:rsid w:val="0097780C"/>
    <w:rsid w:val="00977C86"/>
    <w:rsid w:val="00977F1D"/>
    <w:rsid w:val="00980072"/>
    <w:rsid w:val="009803BF"/>
    <w:rsid w:val="0098049E"/>
    <w:rsid w:val="009807A0"/>
    <w:rsid w:val="009808A8"/>
    <w:rsid w:val="00980DB8"/>
    <w:rsid w:val="00981367"/>
    <w:rsid w:val="00981972"/>
    <w:rsid w:val="00982118"/>
    <w:rsid w:val="009822D4"/>
    <w:rsid w:val="009823DD"/>
    <w:rsid w:val="0098258D"/>
    <w:rsid w:val="00982904"/>
    <w:rsid w:val="00982CDD"/>
    <w:rsid w:val="00982EC5"/>
    <w:rsid w:val="00983023"/>
    <w:rsid w:val="00983499"/>
    <w:rsid w:val="00983A52"/>
    <w:rsid w:val="00983CA4"/>
    <w:rsid w:val="00983D88"/>
    <w:rsid w:val="0098405B"/>
    <w:rsid w:val="00984169"/>
    <w:rsid w:val="00984596"/>
    <w:rsid w:val="00984E55"/>
    <w:rsid w:val="009851E3"/>
    <w:rsid w:val="009858C4"/>
    <w:rsid w:val="00985CD6"/>
    <w:rsid w:val="00986477"/>
    <w:rsid w:val="00986855"/>
    <w:rsid w:val="00986F1C"/>
    <w:rsid w:val="009879CF"/>
    <w:rsid w:val="00987E09"/>
    <w:rsid w:val="00990173"/>
    <w:rsid w:val="00990215"/>
    <w:rsid w:val="00990273"/>
    <w:rsid w:val="009908AE"/>
    <w:rsid w:val="00990B0D"/>
    <w:rsid w:val="00990CA5"/>
    <w:rsid w:val="00991338"/>
    <w:rsid w:val="009916C7"/>
    <w:rsid w:val="00991A63"/>
    <w:rsid w:val="00991B2E"/>
    <w:rsid w:val="00991F6E"/>
    <w:rsid w:val="00991FD4"/>
    <w:rsid w:val="0099236C"/>
    <w:rsid w:val="00992797"/>
    <w:rsid w:val="0099286B"/>
    <w:rsid w:val="00992901"/>
    <w:rsid w:val="00993F4B"/>
    <w:rsid w:val="00994038"/>
    <w:rsid w:val="009944D3"/>
    <w:rsid w:val="00994F29"/>
    <w:rsid w:val="00995076"/>
    <w:rsid w:val="0099526B"/>
    <w:rsid w:val="0099558F"/>
    <w:rsid w:val="009955C5"/>
    <w:rsid w:val="009959CF"/>
    <w:rsid w:val="00995D7F"/>
    <w:rsid w:val="00995E6C"/>
    <w:rsid w:val="009960DC"/>
    <w:rsid w:val="00996359"/>
    <w:rsid w:val="009963AE"/>
    <w:rsid w:val="0099686F"/>
    <w:rsid w:val="0099687F"/>
    <w:rsid w:val="00996ECA"/>
    <w:rsid w:val="00997B3F"/>
    <w:rsid w:val="00997D77"/>
    <w:rsid w:val="00997E08"/>
    <w:rsid w:val="009A0035"/>
    <w:rsid w:val="009A010C"/>
    <w:rsid w:val="009A0250"/>
    <w:rsid w:val="009A02A2"/>
    <w:rsid w:val="009A046E"/>
    <w:rsid w:val="009A048A"/>
    <w:rsid w:val="009A0C5E"/>
    <w:rsid w:val="009A0DD9"/>
    <w:rsid w:val="009A0E07"/>
    <w:rsid w:val="009A1CE5"/>
    <w:rsid w:val="009A26F8"/>
    <w:rsid w:val="009A2E45"/>
    <w:rsid w:val="009A2EF7"/>
    <w:rsid w:val="009A340F"/>
    <w:rsid w:val="009A350C"/>
    <w:rsid w:val="009A3EDE"/>
    <w:rsid w:val="009A408C"/>
    <w:rsid w:val="009A4091"/>
    <w:rsid w:val="009A44C3"/>
    <w:rsid w:val="009A4766"/>
    <w:rsid w:val="009A4AD0"/>
    <w:rsid w:val="009A4F74"/>
    <w:rsid w:val="009A5C24"/>
    <w:rsid w:val="009A5DC3"/>
    <w:rsid w:val="009A61BA"/>
    <w:rsid w:val="009A63C8"/>
    <w:rsid w:val="009A6532"/>
    <w:rsid w:val="009A6652"/>
    <w:rsid w:val="009A690B"/>
    <w:rsid w:val="009A699D"/>
    <w:rsid w:val="009A7AA5"/>
    <w:rsid w:val="009A7E54"/>
    <w:rsid w:val="009B04A6"/>
    <w:rsid w:val="009B075D"/>
    <w:rsid w:val="009B0F2A"/>
    <w:rsid w:val="009B12FC"/>
    <w:rsid w:val="009B14A9"/>
    <w:rsid w:val="009B1717"/>
    <w:rsid w:val="009B1C95"/>
    <w:rsid w:val="009B2155"/>
    <w:rsid w:val="009B2399"/>
    <w:rsid w:val="009B2652"/>
    <w:rsid w:val="009B3231"/>
    <w:rsid w:val="009B329F"/>
    <w:rsid w:val="009B3512"/>
    <w:rsid w:val="009B3D3A"/>
    <w:rsid w:val="009B3D44"/>
    <w:rsid w:val="009B3DC1"/>
    <w:rsid w:val="009B3E47"/>
    <w:rsid w:val="009B4C54"/>
    <w:rsid w:val="009B525F"/>
    <w:rsid w:val="009B5284"/>
    <w:rsid w:val="009B55A4"/>
    <w:rsid w:val="009B56C4"/>
    <w:rsid w:val="009B58FB"/>
    <w:rsid w:val="009B61E2"/>
    <w:rsid w:val="009B645C"/>
    <w:rsid w:val="009B66C3"/>
    <w:rsid w:val="009B69A0"/>
    <w:rsid w:val="009B6E7D"/>
    <w:rsid w:val="009B6F3B"/>
    <w:rsid w:val="009B6F5C"/>
    <w:rsid w:val="009B6F84"/>
    <w:rsid w:val="009B7470"/>
    <w:rsid w:val="009B7A37"/>
    <w:rsid w:val="009B7E9E"/>
    <w:rsid w:val="009C0FF6"/>
    <w:rsid w:val="009C11BF"/>
    <w:rsid w:val="009C121C"/>
    <w:rsid w:val="009C138D"/>
    <w:rsid w:val="009C202B"/>
    <w:rsid w:val="009C2607"/>
    <w:rsid w:val="009C2936"/>
    <w:rsid w:val="009C297B"/>
    <w:rsid w:val="009C2D99"/>
    <w:rsid w:val="009C375F"/>
    <w:rsid w:val="009C49EF"/>
    <w:rsid w:val="009C4C9A"/>
    <w:rsid w:val="009C53A3"/>
    <w:rsid w:val="009C5910"/>
    <w:rsid w:val="009C5940"/>
    <w:rsid w:val="009C5B2F"/>
    <w:rsid w:val="009C6A1E"/>
    <w:rsid w:val="009C6AB1"/>
    <w:rsid w:val="009C6E63"/>
    <w:rsid w:val="009C6ECD"/>
    <w:rsid w:val="009C7037"/>
    <w:rsid w:val="009C748F"/>
    <w:rsid w:val="009D014B"/>
    <w:rsid w:val="009D069B"/>
    <w:rsid w:val="009D095F"/>
    <w:rsid w:val="009D0B46"/>
    <w:rsid w:val="009D0D33"/>
    <w:rsid w:val="009D17E2"/>
    <w:rsid w:val="009D17E3"/>
    <w:rsid w:val="009D1C61"/>
    <w:rsid w:val="009D2674"/>
    <w:rsid w:val="009D2A04"/>
    <w:rsid w:val="009D2DB1"/>
    <w:rsid w:val="009D2E2B"/>
    <w:rsid w:val="009D2E5A"/>
    <w:rsid w:val="009D374B"/>
    <w:rsid w:val="009D38A1"/>
    <w:rsid w:val="009D4233"/>
    <w:rsid w:val="009D4342"/>
    <w:rsid w:val="009D444F"/>
    <w:rsid w:val="009D44AE"/>
    <w:rsid w:val="009D527E"/>
    <w:rsid w:val="009D52F7"/>
    <w:rsid w:val="009D5343"/>
    <w:rsid w:val="009D5D76"/>
    <w:rsid w:val="009D6732"/>
    <w:rsid w:val="009D6BE5"/>
    <w:rsid w:val="009D6C64"/>
    <w:rsid w:val="009D6CAA"/>
    <w:rsid w:val="009D7CED"/>
    <w:rsid w:val="009D7F6C"/>
    <w:rsid w:val="009E07FC"/>
    <w:rsid w:val="009E11B5"/>
    <w:rsid w:val="009E19F9"/>
    <w:rsid w:val="009E1B2E"/>
    <w:rsid w:val="009E2919"/>
    <w:rsid w:val="009E2B31"/>
    <w:rsid w:val="009E2CAA"/>
    <w:rsid w:val="009E2D5D"/>
    <w:rsid w:val="009E2E1C"/>
    <w:rsid w:val="009E2E38"/>
    <w:rsid w:val="009E2FEB"/>
    <w:rsid w:val="009E3777"/>
    <w:rsid w:val="009E3936"/>
    <w:rsid w:val="009E3DCE"/>
    <w:rsid w:val="009E4213"/>
    <w:rsid w:val="009E4518"/>
    <w:rsid w:val="009E4D23"/>
    <w:rsid w:val="009E4F85"/>
    <w:rsid w:val="009E52C9"/>
    <w:rsid w:val="009E53AE"/>
    <w:rsid w:val="009E6403"/>
    <w:rsid w:val="009E651D"/>
    <w:rsid w:val="009E6D12"/>
    <w:rsid w:val="009E749E"/>
    <w:rsid w:val="009E797E"/>
    <w:rsid w:val="009E7ACD"/>
    <w:rsid w:val="009F005F"/>
    <w:rsid w:val="009F01A6"/>
    <w:rsid w:val="009F0392"/>
    <w:rsid w:val="009F0626"/>
    <w:rsid w:val="009F107D"/>
    <w:rsid w:val="009F1111"/>
    <w:rsid w:val="009F1F6C"/>
    <w:rsid w:val="009F2102"/>
    <w:rsid w:val="009F2350"/>
    <w:rsid w:val="009F2677"/>
    <w:rsid w:val="009F2685"/>
    <w:rsid w:val="009F2895"/>
    <w:rsid w:val="009F2CB6"/>
    <w:rsid w:val="009F3196"/>
    <w:rsid w:val="009F3475"/>
    <w:rsid w:val="009F35F6"/>
    <w:rsid w:val="009F3CD6"/>
    <w:rsid w:val="009F3EB5"/>
    <w:rsid w:val="009F3EEE"/>
    <w:rsid w:val="009F47AC"/>
    <w:rsid w:val="009F4A73"/>
    <w:rsid w:val="009F5386"/>
    <w:rsid w:val="009F5616"/>
    <w:rsid w:val="009F5905"/>
    <w:rsid w:val="009F5BAE"/>
    <w:rsid w:val="009F5BDA"/>
    <w:rsid w:val="009F5E67"/>
    <w:rsid w:val="009F6084"/>
    <w:rsid w:val="009F6E35"/>
    <w:rsid w:val="009F719D"/>
    <w:rsid w:val="009F73A1"/>
    <w:rsid w:val="009F7F37"/>
    <w:rsid w:val="00A002E0"/>
    <w:rsid w:val="00A006BF"/>
    <w:rsid w:val="00A008E2"/>
    <w:rsid w:val="00A01190"/>
    <w:rsid w:val="00A014D0"/>
    <w:rsid w:val="00A01776"/>
    <w:rsid w:val="00A02212"/>
    <w:rsid w:val="00A0271E"/>
    <w:rsid w:val="00A031EE"/>
    <w:rsid w:val="00A0350C"/>
    <w:rsid w:val="00A03687"/>
    <w:rsid w:val="00A04035"/>
    <w:rsid w:val="00A041BC"/>
    <w:rsid w:val="00A05414"/>
    <w:rsid w:val="00A05F23"/>
    <w:rsid w:val="00A061D1"/>
    <w:rsid w:val="00A067A2"/>
    <w:rsid w:val="00A06C0E"/>
    <w:rsid w:val="00A06DDC"/>
    <w:rsid w:val="00A06E59"/>
    <w:rsid w:val="00A06F7C"/>
    <w:rsid w:val="00A07978"/>
    <w:rsid w:val="00A07FB8"/>
    <w:rsid w:val="00A07FD3"/>
    <w:rsid w:val="00A10450"/>
    <w:rsid w:val="00A10740"/>
    <w:rsid w:val="00A10D53"/>
    <w:rsid w:val="00A111CA"/>
    <w:rsid w:val="00A11814"/>
    <w:rsid w:val="00A12A84"/>
    <w:rsid w:val="00A12CF1"/>
    <w:rsid w:val="00A12DAD"/>
    <w:rsid w:val="00A12E28"/>
    <w:rsid w:val="00A13171"/>
    <w:rsid w:val="00A1362C"/>
    <w:rsid w:val="00A13BB7"/>
    <w:rsid w:val="00A13FAE"/>
    <w:rsid w:val="00A14093"/>
    <w:rsid w:val="00A14335"/>
    <w:rsid w:val="00A143C6"/>
    <w:rsid w:val="00A14413"/>
    <w:rsid w:val="00A14ACE"/>
    <w:rsid w:val="00A14B8F"/>
    <w:rsid w:val="00A14E0F"/>
    <w:rsid w:val="00A152F3"/>
    <w:rsid w:val="00A16046"/>
    <w:rsid w:val="00A163AB"/>
    <w:rsid w:val="00A16662"/>
    <w:rsid w:val="00A16937"/>
    <w:rsid w:val="00A16B98"/>
    <w:rsid w:val="00A16C09"/>
    <w:rsid w:val="00A17196"/>
    <w:rsid w:val="00A17D2C"/>
    <w:rsid w:val="00A17E6B"/>
    <w:rsid w:val="00A2027D"/>
    <w:rsid w:val="00A20E08"/>
    <w:rsid w:val="00A20E51"/>
    <w:rsid w:val="00A20F23"/>
    <w:rsid w:val="00A21868"/>
    <w:rsid w:val="00A21C1C"/>
    <w:rsid w:val="00A223A4"/>
    <w:rsid w:val="00A22968"/>
    <w:rsid w:val="00A233CF"/>
    <w:rsid w:val="00A236C6"/>
    <w:rsid w:val="00A2427C"/>
    <w:rsid w:val="00A2470C"/>
    <w:rsid w:val="00A2487B"/>
    <w:rsid w:val="00A252AE"/>
    <w:rsid w:val="00A25515"/>
    <w:rsid w:val="00A25949"/>
    <w:rsid w:val="00A259B1"/>
    <w:rsid w:val="00A25A89"/>
    <w:rsid w:val="00A25C85"/>
    <w:rsid w:val="00A2628D"/>
    <w:rsid w:val="00A26381"/>
    <w:rsid w:val="00A26399"/>
    <w:rsid w:val="00A266BB"/>
    <w:rsid w:val="00A26BC7"/>
    <w:rsid w:val="00A26D27"/>
    <w:rsid w:val="00A277CC"/>
    <w:rsid w:val="00A2794D"/>
    <w:rsid w:val="00A27A4C"/>
    <w:rsid w:val="00A30004"/>
    <w:rsid w:val="00A30722"/>
    <w:rsid w:val="00A3185A"/>
    <w:rsid w:val="00A32079"/>
    <w:rsid w:val="00A327D5"/>
    <w:rsid w:val="00A32CE3"/>
    <w:rsid w:val="00A32DEA"/>
    <w:rsid w:val="00A33DF5"/>
    <w:rsid w:val="00A343D3"/>
    <w:rsid w:val="00A3441E"/>
    <w:rsid w:val="00A34D4C"/>
    <w:rsid w:val="00A35523"/>
    <w:rsid w:val="00A3573E"/>
    <w:rsid w:val="00A35E30"/>
    <w:rsid w:val="00A3612B"/>
    <w:rsid w:val="00A365EB"/>
    <w:rsid w:val="00A3661C"/>
    <w:rsid w:val="00A36A23"/>
    <w:rsid w:val="00A36A9F"/>
    <w:rsid w:val="00A374C9"/>
    <w:rsid w:val="00A376EA"/>
    <w:rsid w:val="00A37D21"/>
    <w:rsid w:val="00A37D5E"/>
    <w:rsid w:val="00A37D65"/>
    <w:rsid w:val="00A37DB2"/>
    <w:rsid w:val="00A37E6F"/>
    <w:rsid w:val="00A4031C"/>
    <w:rsid w:val="00A4052B"/>
    <w:rsid w:val="00A40AD9"/>
    <w:rsid w:val="00A40FC1"/>
    <w:rsid w:val="00A411F6"/>
    <w:rsid w:val="00A41405"/>
    <w:rsid w:val="00A416DE"/>
    <w:rsid w:val="00A41C2E"/>
    <w:rsid w:val="00A424A1"/>
    <w:rsid w:val="00A424B4"/>
    <w:rsid w:val="00A42790"/>
    <w:rsid w:val="00A433F3"/>
    <w:rsid w:val="00A434C5"/>
    <w:rsid w:val="00A4455C"/>
    <w:rsid w:val="00A449CC"/>
    <w:rsid w:val="00A454EC"/>
    <w:rsid w:val="00A4565A"/>
    <w:rsid w:val="00A4624A"/>
    <w:rsid w:val="00A4658C"/>
    <w:rsid w:val="00A465DE"/>
    <w:rsid w:val="00A46718"/>
    <w:rsid w:val="00A46F82"/>
    <w:rsid w:val="00A470C8"/>
    <w:rsid w:val="00A47572"/>
    <w:rsid w:val="00A476A9"/>
    <w:rsid w:val="00A4790F"/>
    <w:rsid w:val="00A50BE8"/>
    <w:rsid w:val="00A515CB"/>
    <w:rsid w:val="00A520BC"/>
    <w:rsid w:val="00A528B0"/>
    <w:rsid w:val="00A52965"/>
    <w:rsid w:val="00A531D2"/>
    <w:rsid w:val="00A532B5"/>
    <w:rsid w:val="00A533B6"/>
    <w:rsid w:val="00A5416B"/>
    <w:rsid w:val="00A549E6"/>
    <w:rsid w:val="00A55193"/>
    <w:rsid w:val="00A556DB"/>
    <w:rsid w:val="00A5575C"/>
    <w:rsid w:val="00A55B08"/>
    <w:rsid w:val="00A55C2F"/>
    <w:rsid w:val="00A562A3"/>
    <w:rsid w:val="00A562AB"/>
    <w:rsid w:val="00A5632D"/>
    <w:rsid w:val="00A56496"/>
    <w:rsid w:val="00A5681B"/>
    <w:rsid w:val="00A56C1C"/>
    <w:rsid w:val="00A57621"/>
    <w:rsid w:val="00A577F9"/>
    <w:rsid w:val="00A5785B"/>
    <w:rsid w:val="00A57A3E"/>
    <w:rsid w:val="00A57A98"/>
    <w:rsid w:val="00A6032C"/>
    <w:rsid w:val="00A6049D"/>
    <w:rsid w:val="00A60654"/>
    <w:rsid w:val="00A60751"/>
    <w:rsid w:val="00A609C8"/>
    <w:rsid w:val="00A60C12"/>
    <w:rsid w:val="00A60E2D"/>
    <w:rsid w:val="00A61482"/>
    <w:rsid w:val="00A61A32"/>
    <w:rsid w:val="00A61D47"/>
    <w:rsid w:val="00A620F1"/>
    <w:rsid w:val="00A62CA7"/>
    <w:rsid w:val="00A6305E"/>
    <w:rsid w:val="00A63091"/>
    <w:rsid w:val="00A63375"/>
    <w:rsid w:val="00A638C7"/>
    <w:rsid w:val="00A64652"/>
    <w:rsid w:val="00A6480E"/>
    <w:rsid w:val="00A64921"/>
    <w:rsid w:val="00A64BAC"/>
    <w:rsid w:val="00A64EBC"/>
    <w:rsid w:val="00A65714"/>
    <w:rsid w:val="00A6590B"/>
    <w:rsid w:val="00A65D0F"/>
    <w:rsid w:val="00A65E81"/>
    <w:rsid w:val="00A6669B"/>
    <w:rsid w:val="00A66BA3"/>
    <w:rsid w:val="00A67174"/>
    <w:rsid w:val="00A675F3"/>
    <w:rsid w:val="00A676A1"/>
    <w:rsid w:val="00A67781"/>
    <w:rsid w:val="00A700D2"/>
    <w:rsid w:val="00A7016B"/>
    <w:rsid w:val="00A705CF"/>
    <w:rsid w:val="00A70C81"/>
    <w:rsid w:val="00A70E9D"/>
    <w:rsid w:val="00A70F07"/>
    <w:rsid w:val="00A7116B"/>
    <w:rsid w:val="00A71184"/>
    <w:rsid w:val="00A711ED"/>
    <w:rsid w:val="00A71539"/>
    <w:rsid w:val="00A71B66"/>
    <w:rsid w:val="00A71F9C"/>
    <w:rsid w:val="00A731AF"/>
    <w:rsid w:val="00A73399"/>
    <w:rsid w:val="00A7380F"/>
    <w:rsid w:val="00A739E2"/>
    <w:rsid w:val="00A73EAA"/>
    <w:rsid w:val="00A745BE"/>
    <w:rsid w:val="00A74CF6"/>
    <w:rsid w:val="00A74D2E"/>
    <w:rsid w:val="00A74F1E"/>
    <w:rsid w:val="00A75208"/>
    <w:rsid w:val="00A75513"/>
    <w:rsid w:val="00A76BA7"/>
    <w:rsid w:val="00A772D5"/>
    <w:rsid w:val="00A775C1"/>
    <w:rsid w:val="00A775EB"/>
    <w:rsid w:val="00A77C55"/>
    <w:rsid w:val="00A77D9C"/>
    <w:rsid w:val="00A77E2B"/>
    <w:rsid w:val="00A8016E"/>
    <w:rsid w:val="00A8035C"/>
    <w:rsid w:val="00A8042A"/>
    <w:rsid w:val="00A806DB"/>
    <w:rsid w:val="00A80FE3"/>
    <w:rsid w:val="00A8136D"/>
    <w:rsid w:val="00A817D0"/>
    <w:rsid w:val="00A81E32"/>
    <w:rsid w:val="00A82C23"/>
    <w:rsid w:val="00A82FD7"/>
    <w:rsid w:val="00A83049"/>
    <w:rsid w:val="00A8362F"/>
    <w:rsid w:val="00A83952"/>
    <w:rsid w:val="00A83C3F"/>
    <w:rsid w:val="00A84155"/>
    <w:rsid w:val="00A84722"/>
    <w:rsid w:val="00A84D60"/>
    <w:rsid w:val="00A85144"/>
    <w:rsid w:val="00A854DB"/>
    <w:rsid w:val="00A85DB4"/>
    <w:rsid w:val="00A85E42"/>
    <w:rsid w:val="00A85FF4"/>
    <w:rsid w:val="00A868BF"/>
    <w:rsid w:val="00A8697B"/>
    <w:rsid w:val="00A8710C"/>
    <w:rsid w:val="00A879F9"/>
    <w:rsid w:val="00A87AB2"/>
    <w:rsid w:val="00A903AB"/>
    <w:rsid w:val="00A906F6"/>
    <w:rsid w:val="00A90A79"/>
    <w:rsid w:val="00A90D5F"/>
    <w:rsid w:val="00A91070"/>
    <w:rsid w:val="00A9153B"/>
    <w:rsid w:val="00A915F0"/>
    <w:rsid w:val="00A92385"/>
    <w:rsid w:val="00A92562"/>
    <w:rsid w:val="00A92576"/>
    <w:rsid w:val="00A93376"/>
    <w:rsid w:val="00A93B13"/>
    <w:rsid w:val="00A93F73"/>
    <w:rsid w:val="00A94605"/>
    <w:rsid w:val="00A95082"/>
    <w:rsid w:val="00A955AD"/>
    <w:rsid w:val="00A9620B"/>
    <w:rsid w:val="00A96EEE"/>
    <w:rsid w:val="00A976D3"/>
    <w:rsid w:val="00A97BA0"/>
    <w:rsid w:val="00A97C2A"/>
    <w:rsid w:val="00A97F35"/>
    <w:rsid w:val="00A97F3E"/>
    <w:rsid w:val="00AA023E"/>
    <w:rsid w:val="00AA03DD"/>
    <w:rsid w:val="00AA09EA"/>
    <w:rsid w:val="00AA1DE7"/>
    <w:rsid w:val="00AA22DA"/>
    <w:rsid w:val="00AA2380"/>
    <w:rsid w:val="00AA283E"/>
    <w:rsid w:val="00AA345F"/>
    <w:rsid w:val="00AA3576"/>
    <w:rsid w:val="00AA39D9"/>
    <w:rsid w:val="00AA3A2E"/>
    <w:rsid w:val="00AA3D44"/>
    <w:rsid w:val="00AA3E49"/>
    <w:rsid w:val="00AA454E"/>
    <w:rsid w:val="00AA45E8"/>
    <w:rsid w:val="00AA4850"/>
    <w:rsid w:val="00AA49EC"/>
    <w:rsid w:val="00AA5A2E"/>
    <w:rsid w:val="00AA5CA5"/>
    <w:rsid w:val="00AA5E10"/>
    <w:rsid w:val="00AA5ECD"/>
    <w:rsid w:val="00AA5FE6"/>
    <w:rsid w:val="00AA6073"/>
    <w:rsid w:val="00AA626A"/>
    <w:rsid w:val="00AA6D77"/>
    <w:rsid w:val="00AA7972"/>
    <w:rsid w:val="00AA7FFE"/>
    <w:rsid w:val="00AB0088"/>
    <w:rsid w:val="00AB0E07"/>
    <w:rsid w:val="00AB0E0A"/>
    <w:rsid w:val="00AB1032"/>
    <w:rsid w:val="00AB103B"/>
    <w:rsid w:val="00AB16F7"/>
    <w:rsid w:val="00AB1755"/>
    <w:rsid w:val="00AB1984"/>
    <w:rsid w:val="00AB231D"/>
    <w:rsid w:val="00AB242C"/>
    <w:rsid w:val="00AB2721"/>
    <w:rsid w:val="00AB2823"/>
    <w:rsid w:val="00AB2E06"/>
    <w:rsid w:val="00AB306F"/>
    <w:rsid w:val="00AB31C9"/>
    <w:rsid w:val="00AB32C2"/>
    <w:rsid w:val="00AB3314"/>
    <w:rsid w:val="00AB4968"/>
    <w:rsid w:val="00AB537E"/>
    <w:rsid w:val="00AB55F7"/>
    <w:rsid w:val="00AB5693"/>
    <w:rsid w:val="00AB5709"/>
    <w:rsid w:val="00AB57CC"/>
    <w:rsid w:val="00AB59E3"/>
    <w:rsid w:val="00AB5CC2"/>
    <w:rsid w:val="00AB5D88"/>
    <w:rsid w:val="00AB6942"/>
    <w:rsid w:val="00AB69D0"/>
    <w:rsid w:val="00AB6E7E"/>
    <w:rsid w:val="00AB705D"/>
    <w:rsid w:val="00AB7140"/>
    <w:rsid w:val="00AB7331"/>
    <w:rsid w:val="00AB742E"/>
    <w:rsid w:val="00AC008D"/>
    <w:rsid w:val="00AC0157"/>
    <w:rsid w:val="00AC0271"/>
    <w:rsid w:val="00AC0A28"/>
    <w:rsid w:val="00AC18FE"/>
    <w:rsid w:val="00AC1E0C"/>
    <w:rsid w:val="00AC2863"/>
    <w:rsid w:val="00AC293B"/>
    <w:rsid w:val="00AC2DD3"/>
    <w:rsid w:val="00AC31DB"/>
    <w:rsid w:val="00AC35B0"/>
    <w:rsid w:val="00AC42EB"/>
    <w:rsid w:val="00AC463A"/>
    <w:rsid w:val="00AC4885"/>
    <w:rsid w:val="00AC4B63"/>
    <w:rsid w:val="00AC5352"/>
    <w:rsid w:val="00AC5804"/>
    <w:rsid w:val="00AC5BCD"/>
    <w:rsid w:val="00AC60D1"/>
    <w:rsid w:val="00AC628F"/>
    <w:rsid w:val="00AC63CC"/>
    <w:rsid w:val="00AC64DC"/>
    <w:rsid w:val="00AC6FE1"/>
    <w:rsid w:val="00AC7006"/>
    <w:rsid w:val="00AC712D"/>
    <w:rsid w:val="00AC75E8"/>
    <w:rsid w:val="00AC7AF7"/>
    <w:rsid w:val="00AD0112"/>
    <w:rsid w:val="00AD01D1"/>
    <w:rsid w:val="00AD03BE"/>
    <w:rsid w:val="00AD171A"/>
    <w:rsid w:val="00AD17D6"/>
    <w:rsid w:val="00AD17FB"/>
    <w:rsid w:val="00AD1CB5"/>
    <w:rsid w:val="00AD1E8D"/>
    <w:rsid w:val="00AD31DF"/>
    <w:rsid w:val="00AD41D8"/>
    <w:rsid w:val="00AD45CA"/>
    <w:rsid w:val="00AD52C5"/>
    <w:rsid w:val="00AD5480"/>
    <w:rsid w:val="00AD5C7F"/>
    <w:rsid w:val="00AD6CC3"/>
    <w:rsid w:val="00AD7194"/>
    <w:rsid w:val="00AD7696"/>
    <w:rsid w:val="00AD77BB"/>
    <w:rsid w:val="00AD7D2F"/>
    <w:rsid w:val="00AE0D50"/>
    <w:rsid w:val="00AE1080"/>
    <w:rsid w:val="00AE127B"/>
    <w:rsid w:val="00AE17EB"/>
    <w:rsid w:val="00AE1DE8"/>
    <w:rsid w:val="00AE20B1"/>
    <w:rsid w:val="00AE2166"/>
    <w:rsid w:val="00AE21FD"/>
    <w:rsid w:val="00AE2459"/>
    <w:rsid w:val="00AE2F7B"/>
    <w:rsid w:val="00AE3534"/>
    <w:rsid w:val="00AE3968"/>
    <w:rsid w:val="00AE39FD"/>
    <w:rsid w:val="00AE40FD"/>
    <w:rsid w:val="00AE47E8"/>
    <w:rsid w:val="00AE5893"/>
    <w:rsid w:val="00AE5B53"/>
    <w:rsid w:val="00AE5F8C"/>
    <w:rsid w:val="00AE61A4"/>
    <w:rsid w:val="00AE6390"/>
    <w:rsid w:val="00AE6CC9"/>
    <w:rsid w:val="00AE6E76"/>
    <w:rsid w:val="00AE78F8"/>
    <w:rsid w:val="00AF00A0"/>
    <w:rsid w:val="00AF01D8"/>
    <w:rsid w:val="00AF0DE3"/>
    <w:rsid w:val="00AF120C"/>
    <w:rsid w:val="00AF1527"/>
    <w:rsid w:val="00AF1891"/>
    <w:rsid w:val="00AF1F06"/>
    <w:rsid w:val="00AF1F41"/>
    <w:rsid w:val="00AF3078"/>
    <w:rsid w:val="00AF30B6"/>
    <w:rsid w:val="00AF3251"/>
    <w:rsid w:val="00AF3358"/>
    <w:rsid w:val="00AF37A8"/>
    <w:rsid w:val="00AF3ADB"/>
    <w:rsid w:val="00AF3ED4"/>
    <w:rsid w:val="00AF42CF"/>
    <w:rsid w:val="00AF4618"/>
    <w:rsid w:val="00AF4842"/>
    <w:rsid w:val="00AF48C0"/>
    <w:rsid w:val="00AF48EE"/>
    <w:rsid w:val="00AF4B93"/>
    <w:rsid w:val="00AF4F17"/>
    <w:rsid w:val="00AF55B3"/>
    <w:rsid w:val="00AF57B3"/>
    <w:rsid w:val="00AF6161"/>
    <w:rsid w:val="00AF63BC"/>
    <w:rsid w:val="00AF6722"/>
    <w:rsid w:val="00AF6905"/>
    <w:rsid w:val="00AF6BDC"/>
    <w:rsid w:val="00AF6E95"/>
    <w:rsid w:val="00AF6EED"/>
    <w:rsid w:val="00AF7682"/>
    <w:rsid w:val="00AF782C"/>
    <w:rsid w:val="00AF7F47"/>
    <w:rsid w:val="00B001B3"/>
    <w:rsid w:val="00B00242"/>
    <w:rsid w:val="00B00BA5"/>
    <w:rsid w:val="00B01321"/>
    <w:rsid w:val="00B01601"/>
    <w:rsid w:val="00B01EF1"/>
    <w:rsid w:val="00B025DA"/>
    <w:rsid w:val="00B0269E"/>
    <w:rsid w:val="00B027A6"/>
    <w:rsid w:val="00B027AA"/>
    <w:rsid w:val="00B029E0"/>
    <w:rsid w:val="00B02A87"/>
    <w:rsid w:val="00B02B67"/>
    <w:rsid w:val="00B02E88"/>
    <w:rsid w:val="00B030E0"/>
    <w:rsid w:val="00B033DF"/>
    <w:rsid w:val="00B038CA"/>
    <w:rsid w:val="00B039CD"/>
    <w:rsid w:val="00B03DDC"/>
    <w:rsid w:val="00B04670"/>
    <w:rsid w:val="00B0494B"/>
    <w:rsid w:val="00B04D53"/>
    <w:rsid w:val="00B04FC1"/>
    <w:rsid w:val="00B055EC"/>
    <w:rsid w:val="00B05CFA"/>
    <w:rsid w:val="00B0660D"/>
    <w:rsid w:val="00B066BA"/>
    <w:rsid w:val="00B06CE6"/>
    <w:rsid w:val="00B06F2E"/>
    <w:rsid w:val="00B071CF"/>
    <w:rsid w:val="00B07257"/>
    <w:rsid w:val="00B07318"/>
    <w:rsid w:val="00B07740"/>
    <w:rsid w:val="00B0792A"/>
    <w:rsid w:val="00B07DB2"/>
    <w:rsid w:val="00B104B7"/>
    <w:rsid w:val="00B106BD"/>
    <w:rsid w:val="00B10A65"/>
    <w:rsid w:val="00B10B71"/>
    <w:rsid w:val="00B10D41"/>
    <w:rsid w:val="00B110A9"/>
    <w:rsid w:val="00B11180"/>
    <w:rsid w:val="00B11207"/>
    <w:rsid w:val="00B1123A"/>
    <w:rsid w:val="00B11253"/>
    <w:rsid w:val="00B1158E"/>
    <w:rsid w:val="00B118D7"/>
    <w:rsid w:val="00B119B6"/>
    <w:rsid w:val="00B11F30"/>
    <w:rsid w:val="00B12248"/>
    <w:rsid w:val="00B123C6"/>
    <w:rsid w:val="00B124EA"/>
    <w:rsid w:val="00B12B72"/>
    <w:rsid w:val="00B12E3E"/>
    <w:rsid w:val="00B13291"/>
    <w:rsid w:val="00B1346F"/>
    <w:rsid w:val="00B13BEE"/>
    <w:rsid w:val="00B13ED0"/>
    <w:rsid w:val="00B13F8D"/>
    <w:rsid w:val="00B140CE"/>
    <w:rsid w:val="00B142DE"/>
    <w:rsid w:val="00B144BC"/>
    <w:rsid w:val="00B14CEF"/>
    <w:rsid w:val="00B14E79"/>
    <w:rsid w:val="00B152B0"/>
    <w:rsid w:val="00B15C28"/>
    <w:rsid w:val="00B15C9F"/>
    <w:rsid w:val="00B15D61"/>
    <w:rsid w:val="00B16C16"/>
    <w:rsid w:val="00B1727D"/>
    <w:rsid w:val="00B1734F"/>
    <w:rsid w:val="00B2031A"/>
    <w:rsid w:val="00B2048F"/>
    <w:rsid w:val="00B20688"/>
    <w:rsid w:val="00B20E57"/>
    <w:rsid w:val="00B20F47"/>
    <w:rsid w:val="00B2101B"/>
    <w:rsid w:val="00B21351"/>
    <w:rsid w:val="00B216F8"/>
    <w:rsid w:val="00B217A5"/>
    <w:rsid w:val="00B217C7"/>
    <w:rsid w:val="00B21A55"/>
    <w:rsid w:val="00B22ABF"/>
    <w:rsid w:val="00B22AC9"/>
    <w:rsid w:val="00B22F03"/>
    <w:rsid w:val="00B23089"/>
    <w:rsid w:val="00B23376"/>
    <w:rsid w:val="00B235CB"/>
    <w:rsid w:val="00B23F60"/>
    <w:rsid w:val="00B24188"/>
    <w:rsid w:val="00B241CB"/>
    <w:rsid w:val="00B24413"/>
    <w:rsid w:val="00B24E3B"/>
    <w:rsid w:val="00B255D9"/>
    <w:rsid w:val="00B25B87"/>
    <w:rsid w:val="00B26541"/>
    <w:rsid w:val="00B26E56"/>
    <w:rsid w:val="00B2749D"/>
    <w:rsid w:val="00B30233"/>
    <w:rsid w:val="00B305FB"/>
    <w:rsid w:val="00B30C06"/>
    <w:rsid w:val="00B30D89"/>
    <w:rsid w:val="00B3101B"/>
    <w:rsid w:val="00B31155"/>
    <w:rsid w:val="00B31293"/>
    <w:rsid w:val="00B31B48"/>
    <w:rsid w:val="00B3238D"/>
    <w:rsid w:val="00B3244E"/>
    <w:rsid w:val="00B32AAC"/>
    <w:rsid w:val="00B33054"/>
    <w:rsid w:val="00B3327D"/>
    <w:rsid w:val="00B33F5D"/>
    <w:rsid w:val="00B342FD"/>
    <w:rsid w:val="00B3433B"/>
    <w:rsid w:val="00B35855"/>
    <w:rsid w:val="00B35A7A"/>
    <w:rsid w:val="00B35B1A"/>
    <w:rsid w:val="00B35F18"/>
    <w:rsid w:val="00B36EB9"/>
    <w:rsid w:val="00B37579"/>
    <w:rsid w:val="00B375A9"/>
    <w:rsid w:val="00B40169"/>
    <w:rsid w:val="00B402E3"/>
    <w:rsid w:val="00B40780"/>
    <w:rsid w:val="00B40D13"/>
    <w:rsid w:val="00B41085"/>
    <w:rsid w:val="00B410BE"/>
    <w:rsid w:val="00B41B43"/>
    <w:rsid w:val="00B41C8F"/>
    <w:rsid w:val="00B41DFA"/>
    <w:rsid w:val="00B4205A"/>
    <w:rsid w:val="00B420A7"/>
    <w:rsid w:val="00B428C2"/>
    <w:rsid w:val="00B429E4"/>
    <w:rsid w:val="00B42B20"/>
    <w:rsid w:val="00B42B43"/>
    <w:rsid w:val="00B42CB4"/>
    <w:rsid w:val="00B43408"/>
    <w:rsid w:val="00B434FE"/>
    <w:rsid w:val="00B43899"/>
    <w:rsid w:val="00B43A1A"/>
    <w:rsid w:val="00B443C4"/>
    <w:rsid w:val="00B44454"/>
    <w:rsid w:val="00B44ACB"/>
    <w:rsid w:val="00B45375"/>
    <w:rsid w:val="00B46072"/>
    <w:rsid w:val="00B46112"/>
    <w:rsid w:val="00B46515"/>
    <w:rsid w:val="00B46675"/>
    <w:rsid w:val="00B46679"/>
    <w:rsid w:val="00B472AA"/>
    <w:rsid w:val="00B47407"/>
    <w:rsid w:val="00B479EE"/>
    <w:rsid w:val="00B47AE7"/>
    <w:rsid w:val="00B47DAF"/>
    <w:rsid w:val="00B47F0B"/>
    <w:rsid w:val="00B50593"/>
    <w:rsid w:val="00B50699"/>
    <w:rsid w:val="00B507D8"/>
    <w:rsid w:val="00B50A5C"/>
    <w:rsid w:val="00B50B9B"/>
    <w:rsid w:val="00B50CF0"/>
    <w:rsid w:val="00B50FE2"/>
    <w:rsid w:val="00B519CA"/>
    <w:rsid w:val="00B51A3F"/>
    <w:rsid w:val="00B51BC1"/>
    <w:rsid w:val="00B51F96"/>
    <w:rsid w:val="00B520C9"/>
    <w:rsid w:val="00B521FC"/>
    <w:rsid w:val="00B5226A"/>
    <w:rsid w:val="00B52785"/>
    <w:rsid w:val="00B527A8"/>
    <w:rsid w:val="00B52D69"/>
    <w:rsid w:val="00B52EE2"/>
    <w:rsid w:val="00B534CF"/>
    <w:rsid w:val="00B54238"/>
    <w:rsid w:val="00B5440C"/>
    <w:rsid w:val="00B54481"/>
    <w:rsid w:val="00B54D09"/>
    <w:rsid w:val="00B54F0B"/>
    <w:rsid w:val="00B5535E"/>
    <w:rsid w:val="00B55553"/>
    <w:rsid w:val="00B55A00"/>
    <w:rsid w:val="00B55AFB"/>
    <w:rsid w:val="00B55EBB"/>
    <w:rsid w:val="00B55FA2"/>
    <w:rsid w:val="00B56765"/>
    <w:rsid w:val="00B56784"/>
    <w:rsid w:val="00B56813"/>
    <w:rsid w:val="00B56BF9"/>
    <w:rsid w:val="00B56FF8"/>
    <w:rsid w:val="00B571A9"/>
    <w:rsid w:val="00B57309"/>
    <w:rsid w:val="00B57CEB"/>
    <w:rsid w:val="00B6031D"/>
    <w:rsid w:val="00B60D87"/>
    <w:rsid w:val="00B60E62"/>
    <w:rsid w:val="00B61435"/>
    <w:rsid w:val="00B61B36"/>
    <w:rsid w:val="00B61DF7"/>
    <w:rsid w:val="00B62222"/>
    <w:rsid w:val="00B62EF4"/>
    <w:rsid w:val="00B63811"/>
    <w:rsid w:val="00B63961"/>
    <w:rsid w:val="00B6405C"/>
    <w:rsid w:val="00B649E9"/>
    <w:rsid w:val="00B64AE3"/>
    <w:rsid w:val="00B64BBE"/>
    <w:rsid w:val="00B64C07"/>
    <w:rsid w:val="00B64C58"/>
    <w:rsid w:val="00B64FC6"/>
    <w:rsid w:val="00B6553E"/>
    <w:rsid w:val="00B6593A"/>
    <w:rsid w:val="00B659F1"/>
    <w:rsid w:val="00B65A18"/>
    <w:rsid w:val="00B664A1"/>
    <w:rsid w:val="00B6659D"/>
    <w:rsid w:val="00B66709"/>
    <w:rsid w:val="00B66A08"/>
    <w:rsid w:val="00B66AD7"/>
    <w:rsid w:val="00B67CC4"/>
    <w:rsid w:val="00B67D30"/>
    <w:rsid w:val="00B7056F"/>
    <w:rsid w:val="00B706A0"/>
    <w:rsid w:val="00B70839"/>
    <w:rsid w:val="00B70955"/>
    <w:rsid w:val="00B70A63"/>
    <w:rsid w:val="00B71661"/>
    <w:rsid w:val="00B71A7B"/>
    <w:rsid w:val="00B71A9D"/>
    <w:rsid w:val="00B721A4"/>
    <w:rsid w:val="00B723E9"/>
    <w:rsid w:val="00B72522"/>
    <w:rsid w:val="00B72BB5"/>
    <w:rsid w:val="00B7380E"/>
    <w:rsid w:val="00B73D7D"/>
    <w:rsid w:val="00B73FC8"/>
    <w:rsid w:val="00B74C38"/>
    <w:rsid w:val="00B74E32"/>
    <w:rsid w:val="00B750B2"/>
    <w:rsid w:val="00B75252"/>
    <w:rsid w:val="00B757A6"/>
    <w:rsid w:val="00B75EF3"/>
    <w:rsid w:val="00B760E2"/>
    <w:rsid w:val="00B764AA"/>
    <w:rsid w:val="00B76821"/>
    <w:rsid w:val="00B76A23"/>
    <w:rsid w:val="00B76ADD"/>
    <w:rsid w:val="00B76D16"/>
    <w:rsid w:val="00B76DE2"/>
    <w:rsid w:val="00B76EBF"/>
    <w:rsid w:val="00B775E3"/>
    <w:rsid w:val="00B77692"/>
    <w:rsid w:val="00B7797C"/>
    <w:rsid w:val="00B77E94"/>
    <w:rsid w:val="00B801A6"/>
    <w:rsid w:val="00B80236"/>
    <w:rsid w:val="00B80648"/>
    <w:rsid w:val="00B809B9"/>
    <w:rsid w:val="00B809BD"/>
    <w:rsid w:val="00B81059"/>
    <w:rsid w:val="00B812E0"/>
    <w:rsid w:val="00B81518"/>
    <w:rsid w:val="00B81867"/>
    <w:rsid w:val="00B81979"/>
    <w:rsid w:val="00B81AF8"/>
    <w:rsid w:val="00B8233F"/>
    <w:rsid w:val="00B82371"/>
    <w:rsid w:val="00B82409"/>
    <w:rsid w:val="00B82423"/>
    <w:rsid w:val="00B82429"/>
    <w:rsid w:val="00B82770"/>
    <w:rsid w:val="00B82CFC"/>
    <w:rsid w:val="00B830D7"/>
    <w:rsid w:val="00B8326B"/>
    <w:rsid w:val="00B837E2"/>
    <w:rsid w:val="00B84345"/>
    <w:rsid w:val="00B8434E"/>
    <w:rsid w:val="00B84371"/>
    <w:rsid w:val="00B845D7"/>
    <w:rsid w:val="00B850D6"/>
    <w:rsid w:val="00B853B7"/>
    <w:rsid w:val="00B859B7"/>
    <w:rsid w:val="00B85A83"/>
    <w:rsid w:val="00B85B13"/>
    <w:rsid w:val="00B85D6E"/>
    <w:rsid w:val="00B85D92"/>
    <w:rsid w:val="00B86618"/>
    <w:rsid w:val="00B86814"/>
    <w:rsid w:val="00B86C98"/>
    <w:rsid w:val="00B86CE2"/>
    <w:rsid w:val="00B86F9D"/>
    <w:rsid w:val="00B875D7"/>
    <w:rsid w:val="00B87C2B"/>
    <w:rsid w:val="00B87E05"/>
    <w:rsid w:val="00B87F3C"/>
    <w:rsid w:val="00B9083E"/>
    <w:rsid w:val="00B9087B"/>
    <w:rsid w:val="00B90AF2"/>
    <w:rsid w:val="00B90CB7"/>
    <w:rsid w:val="00B9220D"/>
    <w:rsid w:val="00B92306"/>
    <w:rsid w:val="00B92391"/>
    <w:rsid w:val="00B9274C"/>
    <w:rsid w:val="00B931AE"/>
    <w:rsid w:val="00B93549"/>
    <w:rsid w:val="00B9364D"/>
    <w:rsid w:val="00B93808"/>
    <w:rsid w:val="00B938F8"/>
    <w:rsid w:val="00B94098"/>
    <w:rsid w:val="00B946B6"/>
    <w:rsid w:val="00B94E23"/>
    <w:rsid w:val="00B94E68"/>
    <w:rsid w:val="00B94EA6"/>
    <w:rsid w:val="00B95964"/>
    <w:rsid w:val="00B95A84"/>
    <w:rsid w:val="00B95E67"/>
    <w:rsid w:val="00B9653E"/>
    <w:rsid w:val="00B96895"/>
    <w:rsid w:val="00B969C4"/>
    <w:rsid w:val="00B96C1F"/>
    <w:rsid w:val="00B97169"/>
    <w:rsid w:val="00B97D7E"/>
    <w:rsid w:val="00BA00C2"/>
    <w:rsid w:val="00BA01F2"/>
    <w:rsid w:val="00BA0A8E"/>
    <w:rsid w:val="00BA0E35"/>
    <w:rsid w:val="00BA0E7B"/>
    <w:rsid w:val="00BA10D0"/>
    <w:rsid w:val="00BA1A33"/>
    <w:rsid w:val="00BA1DA8"/>
    <w:rsid w:val="00BA1F2D"/>
    <w:rsid w:val="00BA2EE5"/>
    <w:rsid w:val="00BA3605"/>
    <w:rsid w:val="00BA4CBA"/>
    <w:rsid w:val="00BA4CC2"/>
    <w:rsid w:val="00BA50B4"/>
    <w:rsid w:val="00BA519F"/>
    <w:rsid w:val="00BA67CF"/>
    <w:rsid w:val="00BA6925"/>
    <w:rsid w:val="00BA6C43"/>
    <w:rsid w:val="00BA6D04"/>
    <w:rsid w:val="00BA6E3F"/>
    <w:rsid w:val="00BA6F80"/>
    <w:rsid w:val="00BA7137"/>
    <w:rsid w:val="00BA767A"/>
    <w:rsid w:val="00BB0826"/>
    <w:rsid w:val="00BB0896"/>
    <w:rsid w:val="00BB0962"/>
    <w:rsid w:val="00BB1251"/>
    <w:rsid w:val="00BB177C"/>
    <w:rsid w:val="00BB1949"/>
    <w:rsid w:val="00BB1A97"/>
    <w:rsid w:val="00BB2213"/>
    <w:rsid w:val="00BB2E21"/>
    <w:rsid w:val="00BB3166"/>
    <w:rsid w:val="00BB3C9E"/>
    <w:rsid w:val="00BB4D4F"/>
    <w:rsid w:val="00BB4E03"/>
    <w:rsid w:val="00BB5289"/>
    <w:rsid w:val="00BB52CA"/>
    <w:rsid w:val="00BB5402"/>
    <w:rsid w:val="00BB5A27"/>
    <w:rsid w:val="00BB6D46"/>
    <w:rsid w:val="00BB71CE"/>
    <w:rsid w:val="00BB774B"/>
    <w:rsid w:val="00BC03BA"/>
    <w:rsid w:val="00BC097D"/>
    <w:rsid w:val="00BC0DE4"/>
    <w:rsid w:val="00BC0F6A"/>
    <w:rsid w:val="00BC1040"/>
    <w:rsid w:val="00BC1042"/>
    <w:rsid w:val="00BC12C9"/>
    <w:rsid w:val="00BC13E8"/>
    <w:rsid w:val="00BC1646"/>
    <w:rsid w:val="00BC1829"/>
    <w:rsid w:val="00BC19DC"/>
    <w:rsid w:val="00BC1B06"/>
    <w:rsid w:val="00BC22FA"/>
    <w:rsid w:val="00BC242E"/>
    <w:rsid w:val="00BC26E7"/>
    <w:rsid w:val="00BC28B9"/>
    <w:rsid w:val="00BC3C5B"/>
    <w:rsid w:val="00BC3DCC"/>
    <w:rsid w:val="00BC5308"/>
    <w:rsid w:val="00BC53A9"/>
    <w:rsid w:val="00BC565F"/>
    <w:rsid w:val="00BC733D"/>
    <w:rsid w:val="00BC75A8"/>
    <w:rsid w:val="00BC788F"/>
    <w:rsid w:val="00BD028F"/>
    <w:rsid w:val="00BD08B7"/>
    <w:rsid w:val="00BD0B06"/>
    <w:rsid w:val="00BD1302"/>
    <w:rsid w:val="00BD1B67"/>
    <w:rsid w:val="00BD1D81"/>
    <w:rsid w:val="00BD22CD"/>
    <w:rsid w:val="00BD255C"/>
    <w:rsid w:val="00BD26F2"/>
    <w:rsid w:val="00BD3141"/>
    <w:rsid w:val="00BD34AA"/>
    <w:rsid w:val="00BD44A6"/>
    <w:rsid w:val="00BD4761"/>
    <w:rsid w:val="00BD4894"/>
    <w:rsid w:val="00BD4A66"/>
    <w:rsid w:val="00BD4D5B"/>
    <w:rsid w:val="00BD5830"/>
    <w:rsid w:val="00BD5860"/>
    <w:rsid w:val="00BD5EEF"/>
    <w:rsid w:val="00BD60EC"/>
    <w:rsid w:val="00BD62F3"/>
    <w:rsid w:val="00BD6FB6"/>
    <w:rsid w:val="00BD731B"/>
    <w:rsid w:val="00BD73C7"/>
    <w:rsid w:val="00BD7539"/>
    <w:rsid w:val="00BD7E5D"/>
    <w:rsid w:val="00BE01B1"/>
    <w:rsid w:val="00BE0226"/>
    <w:rsid w:val="00BE04AD"/>
    <w:rsid w:val="00BE0551"/>
    <w:rsid w:val="00BE08B3"/>
    <w:rsid w:val="00BE0BB7"/>
    <w:rsid w:val="00BE0CA9"/>
    <w:rsid w:val="00BE0EC9"/>
    <w:rsid w:val="00BE16E3"/>
    <w:rsid w:val="00BE184D"/>
    <w:rsid w:val="00BE1887"/>
    <w:rsid w:val="00BE1B8C"/>
    <w:rsid w:val="00BE214B"/>
    <w:rsid w:val="00BE21B4"/>
    <w:rsid w:val="00BE21C0"/>
    <w:rsid w:val="00BE21E5"/>
    <w:rsid w:val="00BE2D95"/>
    <w:rsid w:val="00BE343B"/>
    <w:rsid w:val="00BE35D4"/>
    <w:rsid w:val="00BE3EF5"/>
    <w:rsid w:val="00BE455C"/>
    <w:rsid w:val="00BE457D"/>
    <w:rsid w:val="00BE46EB"/>
    <w:rsid w:val="00BE51ED"/>
    <w:rsid w:val="00BE535A"/>
    <w:rsid w:val="00BE539D"/>
    <w:rsid w:val="00BE5D45"/>
    <w:rsid w:val="00BE5E75"/>
    <w:rsid w:val="00BE63ED"/>
    <w:rsid w:val="00BE6460"/>
    <w:rsid w:val="00BE7719"/>
    <w:rsid w:val="00BE7B7E"/>
    <w:rsid w:val="00BE7CE8"/>
    <w:rsid w:val="00BF05F2"/>
    <w:rsid w:val="00BF0678"/>
    <w:rsid w:val="00BF07A4"/>
    <w:rsid w:val="00BF0CAC"/>
    <w:rsid w:val="00BF0CE7"/>
    <w:rsid w:val="00BF0F87"/>
    <w:rsid w:val="00BF109E"/>
    <w:rsid w:val="00BF10D4"/>
    <w:rsid w:val="00BF12BF"/>
    <w:rsid w:val="00BF1483"/>
    <w:rsid w:val="00BF2A24"/>
    <w:rsid w:val="00BF2B89"/>
    <w:rsid w:val="00BF3764"/>
    <w:rsid w:val="00BF3850"/>
    <w:rsid w:val="00BF53EF"/>
    <w:rsid w:val="00BF58BF"/>
    <w:rsid w:val="00BF5930"/>
    <w:rsid w:val="00BF5B0A"/>
    <w:rsid w:val="00BF5B1B"/>
    <w:rsid w:val="00BF5D3E"/>
    <w:rsid w:val="00BF600D"/>
    <w:rsid w:val="00BF682F"/>
    <w:rsid w:val="00BF68B7"/>
    <w:rsid w:val="00BF6D16"/>
    <w:rsid w:val="00BF6DC2"/>
    <w:rsid w:val="00BF7009"/>
    <w:rsid w:val="00BF7CD9"/>
    <w:rsid w:val="00BF7FC6"/>
    <w:rsid w:val="00C00103"/>
    <w:rsid w:val="00C00495"/>
    <w:rsid w:val="00C008B4"/>
    <w:rsid w:val="00C00989"/>
    <w:rsid w:val="00C00A4D"/>
    <w:rsid w:val="00C01454"/>
    <w:rsid w:val="00C015B2"/>
    <w:rsid w:val="00C017B9"/>
    <w:rsid w:val="00C01E69"/>
    <w:rsid w:val="00C02105"/>
    <w:rsid w:val="00C02155"/>
    <w:rsid w:val="00C0219E"/>
    <w:rsid w:val="00C02972"/>
    <w:rsid w:val="00C03033"/>
    <w:rsid w:val="00C03302"/>
    <w:rsid w:val="00C03B7D"/>
    <w:rsid w:val="00C046E1"/>
    <w:rsid w:val="00C04C00"/>
    <w:rsid w:val="00C04D7D"/>
    <w:rsid w:val="00C04FE4"/>
    <w:rsid w:val="00C0514C"/>
    <w:rsid w:val="00C0565B"/>
    <w:rsid w:val="00C057DE"/>
    <w:rsid w:val="00C05A97"/>
    <w:rsid w:val="00C05ACB"/>
    <w:rsid w:val="00C05B27"/>
    <w:rsid w:val="00C05CDD"/>
    <w:rsid w:val="00C061AF"/>
    <w:rsid w:val="00C06702"/>
    <w:rsid w:val="00C069F7"/>
    <w:rsid w:val="00C06BCB"/>
    <w:rsid w:val="00C07736"/>
    <w:rsid w:val="00C07B65"/>
    <w:rsid w:val="00C07EAD"/>
    <w:rsid w:val="00C07EF2"/>
    <w:rsid w:val="00C106A3"/>
    <w:rsid w:val="00C10B2F"/>
    <w:rsid w:val="00C10BF7"/>
    <w:rsid w:val="00C110E8"/>
    <w:rsid w:val="00C1124B"/>
    <w:rsid w:val="00C11704"/>
    <w:rsid w:val="00C1177A"/>
    <w:rsid w:val="00C118F2"/>
    <w:rsid w:val="00C118F6"/>
    <w:rsid w:val="00C11944"/>
    <w:rsid w:val="00C11E40"/>
    <w:rsid w:val="00C1282B"/>
    <w:rsid w:val="00C131B6"/>
    <w:rsid w:val="00C13569"/>
    <w:rsid w:val="00C14011"/>
    <w:rsid w:val="00C14D7D"/>
    <w:rsid w:val="00C14F6B"/>
    <w:rsid w:val="00C1605A"/>
    <w:rsid w:val="00C16302"/>
    <w:rsid w:val="00C1632A"/>
    <w:rsid w:val="00C166DC"/>
    <w:rsid w:val="00C16AA3"/>
    <w:rsid w:val="00C16EDF"/>
    <w:rsid w:val="00C17229"/>
    <w:rsid w:val="00C1731A"/>
    <w:rsid w:val="00C20D04"/>
    <w:rsid w:val="00C20D4C"/>
    <w:rsid w:val="00C20F24"/>
    <w:rsid w:val="00C212A6"/>
    <w:rsid w:val="00C21904"/>
    <w:rsid w:val="00C223E9"/>
    <w:rsid w:val="00C2255D"/>
    <w:rsid w:val="00C22F72"/>
    <w:rsid w:val="00C23315"/>
    <w:rsid w:val="00C234F8"/>
    <w:rsid w:val="00C244D1"/>
    <w:rsid w:val="00C248E2"/>
    <w:rsid w:val="00C252F7"/>
    <w:rsid w:val="00C25D1F"/>
    <w:rsid w:val="00C25F05"/>
    <w:rsid w:val="00C2612C"/>
    <w:rsid w:val="00C261B4"/>
    <w:rsid w:val="00C26F2C"/>
    <w:rsid w:val="00C2728B"/>
    <w:rsid w:val="00C27691"/>
    <w:rsid w:val="00C3036E"/>
    <w:rsid w:val="00C30373"/>
    <w:rsid w:val="00C303E4"/>
    <w:rsid w:val="00C3041C"/>
    <w:rsid w:val="00C30A26"/>
    <w:rsid w:val="00C30C51"/>
    <w:rsid w:val="00C30F44"/>
    <w:rsid w:val="00C3120D"/>
    <w:rsid w:val="00C314B0"/>
    <w:rsid w:val="00C31F84"/>
    <w:rsid w:val="00C320A0"/>
    <w:rsid w:val="00C3272C"/>
    <w:rsid w:val="00C328EA"/>
    <w:rsid w:val="00C32E34"/>
    <w:rsid w:val="00C32F38"/>
    <w:rsid w:val="00C33314"/>
    <w:rsid w:val="00C339CB"/>
    <w:rsid w:val="00C33A0B"/>
    <w:rsid w:val="00C33B09"/>
    <w:rsid w:val="00C33C63"/>
    <w:rsid w:val="00C33E8D"/>
    <w:rsid w:val="00C33F0A"/>
    <w:rsid w:val="00C34794"/>
    <w:rsid w:val="00C350C8"/>
    <w:rsid w:val="00C3539E"/>
    <w:rsid w:val="00C353A2"/>
    <w:rsid w:val="00C355BD"/>
    <w:rsid w:val="00C35BE8"/>
    <w:rsid w:val="00C35DE5"/>
    <w:rsid w:val="00C361ED"/>
    <w:rsid w:val="00C373B2"/>
    <w:rsid w:val="00C37981"/>
    <w:rsid w:val="00C37B0B"/>
    <w:rsid w:val="00C37B78"/>
    <w:rsid w:val="00C40825"/>
    <w:rsid w:val="00C41179"/>
    <w:rsid w:val="00C41370"/>
    <w:rsid w:val="00C4156A"/>
    <w:rsid w:val="00C41B3E"/>
    <w:rsid w:val="00C422F0"/>
    <w:rsid w:val="00C42A66"/>
    <w:rsid w:val="00C42AF1"/>
    <w:rsid w:val="00C43434"/>
    <w:rsid w:val="00C437A5"/>
    <w:rsid w:val="00C43C31"/>
    <w:rsid w:val="00C44368"/>
    <w:rsid w:val="00C44912"/>
    <w:rsid w:val="00C450F6"/>
    <w:rsid w:val="00C4516F"/>
    <w:rsid w:val="00C456AC"/>
    <w:rsid w:val="00C457D1"/>
    <w:rsid w:val="00C45A38"/>
    <w:rsid w:val="00C4626E"/>
    <w:rsid w:val="00C465BF"/>
    <w:rsid w:val="00C46FB5"/>
    <w:rsid w:val="00C4786F"/>
    <w:rsid w:val="00C50605"/>
    <w:rsid w:val="00C50672"/>
    <w:rsid w:val="00C50E1F"/>
    <w:rsid w:val="00C50E94"/>
    <w:rsid w:val="00C51203"/>
    <w:rsid w:val="00C51573"/>
    <w:rsid w:val="00C5191B"/>
    <w:rsid w:val="00C51D2B"/>
    <w:rsid w:val="00C5297B"/>
    <w:rsid w:val="00C52A0A"/>
    <w:rsid w:val="00C52BF2"/>
    <w:rsid w:val="00C53906"/>
    <w:rsid w:val="00C54027"/>
    <w:rsid w:val="00C5412D"/>
    <w:rsid w:val="00C54427"/>
    <w:rsid w:val="00C5443F"/>
    <w:rsid w:val="00C546E0"/>
    <w:rsid w:val="00C553F6"/>
    <w:rsid w:val="00C55B27"/>
    <w:rsid w:val="00C55CF1"/>
    <w:rsid w:val="00C564F7"/>
    <w:rsid w:val="00C56751"/>
    <w:rsid w:val="00C5691B"/>
    <w:rsid w:val="00C60670"/>
    <w:rsid w:val="00C606CB"/>
    <w:rsid w:val="00C609EA"/>
    <w:rsid w:val="00C61434"/>
    <w:rsid w:val="00C61F77"/>
    <w:rsid w:val="00C626CD"/>
    <w:rsid w:val="00C63255"/>
    <w:rsid w:val="00C6448D"/>
    <w:rsid w:val="00C64A91"/>
    <w:rsid w:val="00C65F83"/>
    <w:rsid w:val="00C663DB"/>
    <w:rsid w:val="00C667AE"/>
    <w:rsid w:val="00C66CE7"/>
    <w:rsid w:val="00C67406"/>
    <w:rsid w:val="00C67687"/>
    <w:rsid w:val="00C67E9E"/>
    <w:rsid w:val="00C70175"/>
    <w:rsid w:val="00C70229"/>
    <w:rsid w:val="00C7023D"/>
    <w:rsid w:val="00C70566"/>
    <w:rsid w:val="00C70606"/>
    <w:rsid w:val="00C70A3C"/>
    <w:rsid w:val="00C70E9C"/>
    <w:rsid w:val="00C714F6"/>
    <w:rsid w:val="00C716AA"/>
    <w:rsid w:val="00C7241E"/>
    <w:rsid w:val="00C72624"/>
    <w:rsid w:val="00C727F8"/>
    <w:rsid w:val="00C72E1B"/>
    <w:rsid w:val="00C73C1C"/>
    <w:rsid w:val="00C73F68"/>
    <w:rsid w:val="00C741C6"/>
    <w:rsid w:val="00C74770"/>
    <w:rsid w:val="00C74862"/>
    <w:rsid w:val="00C748B9"/>
    <w:rsid w:val="00C749D0"/>
    <w:rsid w:val="00C74E6E"/>
    <w:rsid w:val="00C759FD"/>
    <w:rsid w:val="00C761E9"/>
    <w:rsid w:val="00C7625B"/>
    <w:rsid w:val="00C7659A"/>
    <w:rsid w:val="00C765F5"/>
    <w:rsid w:val="00C7693F"/>
    <w:rsid w:val="00C76F00"/>
    <w:rsid w:val="00C772EE"/>
    <w:rsid w:val="00C777AB"/>
    <w:rsid w:val="00C778CB"/>
    <w:rsid w:val="00C77BEC"/>
    <w:rsid w:val="00C801C7"/>
    <w:rsid w:val="00C8031C"/>
    <w:rsid w:val="00C80B55"/>
    <w:rsid w:val="00C811BA"/>
    <w:rsid w:val="00C8174C"/>
    <w:rsid w:val="00C81819"/>
    <w:rsid w:val="00C8186E"/>
    <w:rsid w:val="00C81BBC"/>
    <w:rsid w:val="00C82082"/>
    <w:rsid w:val="00C820A7"/>
    <w:rsid w:val="00C8213C"/>
    <w:rsid w:val="00C82239"/>
    <w:rsid w:val="00C825EE"/>
    <w:rsid w:val="00C82D0F"/>
    <w:rsid w:val="00C833B5"/>
    <w:rsid w:val="00C8353E"/>
    <w:rsid w:val="00C837CA"/>
    <w:rsid w:val="00C83856"/>
    <w:rsid w:val="00C83968"/>
    <w:rsid w:val="00C839C2"/>
    <w:rsid w:val="00C84003"/>
    <w:rsid w:val="00C8423C"/>
    <w:rsid w:val="00C84463"/>
    <w:rsid w:val="00C844FC"/>
    <w:rsid w:val="00C84C0E"/>
    <w:rsid w:val="00C84E5C"/>
    <w:rsid w:val="00C85158"/>
    <w:rsid w:val="00C8524D"/>
    <w:rsid w:val="00C8531E"/>
    <w:rsid w:val="00C85FF2"/>
    <w:rsid w:val="00C86234"/>
    <w:rsid w:val="00C86BED"/>
    <w:rsid w:val="00C86C8D"/>
    <w:rsid w:val="00C87888"/>
    <w:rsid w:val="00C87AAF"/>
    <w:rsid w:val="00C87AFE"/>
    <w:rsid w:val="00C87BA1"/>
    <w:rsid w:val="00C87F3D"/>
    <w:rsid w:val="00C9002B"/>
    <w:rsid w:val="00C9004C"/>
    <w:rsid w:val="00C9073E"/>
    <w:rsid w:val="00C9082D"/>
    <w:rsid w:val="00C908CF"/>
    <w:rsid w:val="00C90DF3"/>
    <w:rsid w:val="00C91292"/>
    <w:rsid w:val="00C912DB"/>
    <w:rsid w:val="00C91A30"/>
    <w:rsid w:val="00C91AA2"/>
    <w:rsid w:val="00C92527"/>
    <w:rsid w:val="00C92726"/>
    <w:rsid w:val="00C9295F"/>
    <w:rsid w:val="00C92CC0"/>
    <w:rsid w:val="00C92F6A"/>
    <w:rsid w:val="00C935D7"/>
    <w:rsid w:val="00C93D20"/>
    <w:rsid w:val="00C9544A"/>
    <w:rsid w:val="00C95582"/>
    <w:rsid w:val="00C9572A"/>
    <w:rsid w:val="00C95A7A"/>
    <w:rsid w:val="00C95B3A"/>
    <w:rsid w:val="00C95EDB"/>
    <w:rsid w:val="00C96180"/>
    <w:rsid w:val="00C97F07"/>
    <w:rsid w:val="00CA0573"/>
    <w:rsid w:val="00CA0785"/>
    <w:rsid w:val="00CA07D6"/>
    <w:rsid w:val="00CA0987"/>
    <w:rsid w:val="00CA0C97"/>
    <w:rsid w:val="00CA0EA2"/>
    <w:rsid w:val="00CA107E"/>
    <w:rsid w:val="00CA10F3"/>
    <w:rsid w:val="00CA140C"/>
    <w:rsid w:val="00CA1F11"/>
    <w:rsid w:val="00CA2811"/>
    <w:rsid w:val="00CA3514"/>
    <w:rsid w:val="00CA36AF"/>
    <w:rsid w:val="00CA3717"/>
    <w:rsid w:val="00CA3892"/>
    <w:rsid w:val="00CA43FB"/>
    <w:rsid w:val="00CA4731"/>
    <w:rsid w:val="00CA4E38"/>
    <w:rsid w:val="00CA501E"/>
    <w:rsid w:val="00CA56B3"/>
    <w:rsid w:val="00CA58C8"/>
    <w:rsid w:val="00CA5AC1"/>
    <w:rsid w:val="00CA5F8C"/>
    <w:rsid w:val="00CA650E"/>
    <w:rsid w:val="00CA6DF3"/>
    <w:rsid w:val="00CA704F"/>
    <w:rsid w:val="00CA70CB"/>
    <w:rsid w:val="00CA7683"/>
    <w:rsid w:val="00CA7927"/>
    <w:rsid w:val="00CB0048"/>
    <w:rsid w:val="00CB0271"/>
    <w:rsid w:val="00CB033C"/>
    <w:rsid w:val="00CB08AB"/>
    <w:rsid w:val="00CB1101"/>
    <w:rsid w:val="00CB1139"/>
    <w:rsid w:val="00CB179D"/>
    <w:rsid w:val="00CB2210"/>
    <w:rsid w:val="00CB2321"/>
    <w:rsid w:val="00CB281A"/>
    <w:rsid w:val="00CB2A6B"/>
    <w:rsid w:val="00CB2DD2"/>
    <w:rsid w:val="00CB34BC"/>
    <w:rsid w:val="00CB3638"/>
    <w:rsid w:val="00CB37FB"/>
    <w:rsid w:val="00CB3DC7"/>
    <w:rsid w:val="00CB42D5"/>
    <w:rsid w:val="00CB43FE"/>
    <w:rsid w:val="00CB465D"/>
    <w:rsid w:val="00CB489C"/>
    <w:rsid w:val="00CB4A55"/>
    <w:rsid w:val="00CB4B8C"/>
    <w:rsid w:val="00CB4D64"/>
    <w:rsid w:val="00CB4DD8"/>
    <w:rsid w:val="00CB5257"/>
    <w:rsid w:val="00CB52CE"/>
    <w:rsid w:val="00CB5966"/>
    <w:rsid w:val="00CB5CF0"/>
    <w:rsid w:val="00CB5E53"/>
    <w:rsid w:val="00CB6146"/>
    <w:rsid w:val="00CB6221"/>
    <w:rsid w:val="00CB636D"/>
    <w:rsid w:val="00CB6933"/>
    <w:rsid w:val="00CB6D55"/>
    <w:rsid w:val="00CB76D6"/>
    <w:rsid w:val="00CB7706"/>
    <w:rsid w:val="00CB7851"/>
    <w:rsid w:val="00CB78B0"/>
    <w:rsid w:val="00CC0053"/>
    <w:rsid w:val="00CC0181"/>
    <w:rsid w:val="00CC0305"/>
    <w:rsid w:val="00CC03EB"/>
    <w:rsid w:val="00CC0537"/>
    <w:rsid w:val="00CC05D8"/>
    <w:rsid w:val="00CC0786"/>
    <w:rsid w:val="00CC07D7"/>
    <w:rsid w:val="00CC0CDE"/>
    <w:rsid w:val="00CC0F91"/>
    <w:rsid w:val="00CC1718"/>
    <w:rsid w:val="00CC185E"/>
    <w:rsid w:val="00CC1E21"/>
    <w:rsid w:val="00CC3A0C"/>
    <w:rsid w:val="00CC4100"/>
    <w:rsid w:val="00CC42D1"/>
    <w:rsid w:val="00CC42ED"/>
    <w:rsid w:val="00CC4D46"/>
    <w:rsid w:val="00CC4DF0"/>
    <w:rsid w:val="00CC577A"/>
    <w:rsid w:val="00CC5AB6"/>
    <w:rsid w:val="00CC65C5"/>
    <w:rsid w:val="00CC6AFA"/>
    <w:rsid w:val="00CC6D91"/>
    <w:rsid w:val="00CC773E"/>
    <w:rsid w:val="00CC7AD4"/>
    <w:rsid w:val="00CC7C4F"/>
    <w:rsid w:val="00CC7CD0"/>
    <w:rsid w:val="00CC7DC0"/>
    <w:rsid w:val="00CC7EFD"/>
    <w:rsid w:val="00CD029B"/>
    <w:rsid w:val="00CD0A5D"/>
    <w:rsid w:val="00CD0B22"/>
    <w:rsid w:val="00CD1547"/>
    <w:rsid w:val="00CD1892"/>
    <w:rsid w:val="00CD18B1"/>
    <w:rsid w:val="00CD2177"/>
    <w:rsid w:val="00CD21FD"/>
    <w:rsid w:val="00CD22E8"/>
    <w:rsid w:val="00CD25CC"/>
    <w:rsid w:val="00CD3355"/>
    <w:rsid w:val="00CD351F"/>
    <w:rsid w:val="00CD3811"/>
    <w:rsid w:val="00CD3DA7"/>
    <w:rsid w:val="00CD4428"/>
    <w:rsid w:val="00CD4BE5"/>
    <w:rsid w:val="00CD4DE0"/>
    <w:rsid w:val="00CD4FB5"/>
    <w:rsid w:val="00CD518F"/>
    <w:rsid w:val="00CD5249"/>
    <w:rsid w:val="00CD58D8"/>
    <w:rsid w:val="00CD63B4"/>
    <w:rsid w:val="00CD6D6F"/>
    <w:rsid w:val="00CD797D"/>
    <w:rsid w:val="00CE0145"/>
    <w:rsid w:val="00CE1388"/>
    <w:rsid w:val="00CE2028"/>
    <w:rsid w:val="00CE2323"/>
    <w:rsid w:val="00CE2A08"/>
    <w:rsid w:val="00CE2ACC"/>
    <w:rsid w:val="00CE39EA"/>
    <w:rsid w:val="00CE3D38"/>
    <w:rsid w:val="00CE416A"/>
    <w:rsid w:val="00CE45DD"/>
    <w:rsid w:val="00CE5599"/>
    <w:rsid w:val="00CE5609"/>
    <w:rsid w:val="00CE568E"/>
    <w:rsid w:val="00CE5942"/>
    <w:rsid w:val="00CE62E9"/>
    <w:rsid w:val="00CE6544"/>
    <w:rsid w:val="00CE654E"/>
    <w:rsid w:val="00CE7230"/>
    <w:rsid w:val="00CE726F"/>
    <w:rsid w:val="00CE748C"/>
    <w:rsid w:val="00CE76B9"/>
    <w:rsid w:val="00CE7813"/>
    <w:rsid w:val="00CE7885"/>
    <w:rsid w:val="00CF014F"/>
    <w:rsid w:val="00CF0241"/>
    <w:rsid w:val="00CF0917"/>
    <w:rsid w:val="00CF0D3E"/>
    <w:rsid w:val="00CF0FD6"/>
    <w:rsid w:val="00CF1002"/>
    <w:rsid w:val="00CF10EB"/>
    <w:rsid w:val="00CF14D8"/>
    <w:rsid w:val="00CF198B"/>
    <w:rsid w:val="00CF1CAE"/>
    <w:rsid w:val="00CF1CD5"/>
    <w:rsid w:val="00CF277A"/>
    <w:rsid w:val="00CF2B37"/>
    <w:rsid w:val="00CF32BB"/>
    <w:rsid w:val="00CF3BCB"/>
    <w:rsid w:val="00CF4185"/>
    <w:rsid w:val="00CF453F"/>
    <w:rsid w:val="00CF516A"/>
    <w:rsid w:val="00CF58C9"/>
    <w:rsid w:val="00CF5A43"/>
    <w:rsid w:val="00CF6153"/>
    <w:rsid w:val="00CF652D"/>
    <w:rsid w:val="00CF67DE"/>
    <w:rsid w:val="00CF68E8"/>
    <w:rsid w:val="00CF6B07"/>
    <w:rsid w:val="00CF6CE0"/>
    <w:rsid w:val="00CF6D95"/>
    <w:rsid w:val="00CF746F"/>
    <w:rsid w:val="00CF756F"/>
    <w:rsid w:val="00CF76E4"/>
    <w:rsid w:val="00CF79C5"/>
    <w:rsid w:val="00CF7BF7"/>
    <w:rsid w:val="00CF7CFF"/>
    <w:rsid w:val="00D00205"/>
    <w:rsid w:val="00D0023E"/>
    <w:rsid w:val="00D006AC"/>
    <w:rsid w:val="00D00716"/>
    <w:rsid w:val="00D009CC"/>
    <w:rsid w:val="00D00B2D"/>
    <w:rsid w:val="00D014A5"/>
    <w:rsid w:val="00D01E16"/>
    <w:rsid w:val="00D023EE"/>
    <w:rsid w:val="00D02E6D"/>
    <w:rsid w:val="00D030D8"/>
    <w:rsid w:val="00D0336B"/>
    <w:rsid w:val="00D036AC"/>
    <w:rsid w:val="00D038CE"/>
    <w:rsid w:val="00D040CD"/>
    <w:rsid w:val="00D0463E"/>
    <w:rsid w:val="00D0519E"/>
    <w:rsid w:val="00D052E6"/>
    <w:rsid w:val="00D05457"/>
    <w:rsid w:val="00D0620C"/>
    <w:rsid w:val="00D0626E"/>
    <w:rsid w:val="00D06E0B"/>
    <w:rsid w:val="00D0710F"/>
    <w:rsid w:val="00D073EF"/>
    <w:rsid w:val="00D07566"/>
    <w:rsid w:val="00D07AFD"/>
    <w:rsid w:val="00D07D2D"/>
    <w:rsid w:val="00D07D75"/>
    <w:rsid w:val="00D1018B"/>
    <w:rsid w:val="00D10409"/>
    <w:rsid w:val="00D10507"/>
    <w:rsid w:val="00D10783"/>
    <w:rsid w:val="00D107CC"/>
    <w:rsid w:val="00D1179A"/>
    <w:rsid w:val="00D11AE9"/>
    <w:rsid w:val="00D11CF5"/>
    <w:rsid w:val="00D11E65"/>
    <w:rsid w:val="00D122C9"/>
    <w:rsid w:val="00D126B8"/>
    <w:rsid w:val="00D132A3"/>
    <w:rsid w:val="00D135B0"/>
    <w:rsid w:val="00D136BC"/>
    <w:rsid w:val="00D141CC"/>
    <w:rsid w:val="00D14F8D"/>
    <w:rsid w:val="00D15234"/>
    <w:rsid w:val="00D15A00"/>
    <w:rsid w:val="00D16434"/>
    <w:rsid w:val="00D16BB5"/>
    <w:rsid w:val="00D1768A"/>
    <w:rsid w:val="00D17714"/>
    <w:rsid w:val="00D179DA"/>
    <w:rsid w:val="00D201E8"/>
    <w:rsid w:val="00D20269"/>
    <w:rsid w:val="00D21328"/>
    <w:rsid w:val="00D21409"/>
    <w:rsid w:val="00D22059"/>
    <w:rsid w:val="00D223ED"/>
    <w:rsid w:val="00D227A0"/>
    <w:rsid w:val="00D229C2"/>
    <w:rsid w:val="00D22C9E"/>
    <w:rsid w:val="00D22E4C"/>
    <w:rsid w:val="00D22E92"/>
    <w:rsid w:val="00D2365E"/>
    <w:rsid w:val="00D23732"/>
    <w:rsid w:val="00D23B48"/>
    <w:rsid w:val="00D240A0"/>
    <w:rsid w:val="00D24168"/>
    <w:rsid w:val="00D2554A"/>
    <w:rsid w:val="00D256E3"/>
    <w:rsid w:val="00D25A47"/>
    <w:rsid w:val="00D25BDB"/>
    <w:rsid w:val="00D25C97"/>
    <w:rsid w:val="00D26343"/>
    <w:rsid w:val="00D26345"/>
    <w:rsid w:val="00D266DE"/>
    <w:rsid w:val="00D26DC3"/>
    <w:rsid w:val="00D27AC9"/>
    <w:rsid w:val="00D308FA"/>
    <w:rsid w:val="00D30993"/>
    <w:rsid w:val="00D32E68"/>
    <w:rsid w:val="00D332C8"/>
    <w:rsid w:val="00D334B2"/>
    <w:rsid w:val="00D33A1E"/>
    <w:rsid w:val="00D33C3F"/>
    <w:rsid w:val="00D341B3"/>
    <w:rsid w:val="00D34EAE"/>
    <w:rsid w:val="00D350CB"/>
    <w:rsid w:val="00D351F3"/>
    <w:rsid w:val="00D35488"/>
    <w:rsid w:val="00D3552E"/>
    <w:rsid w:val="00D35841"/>
    <w:rsid w:val="00D3634E"/>
    <w:rsid w:val="00D36381"/>
    <w:rsid w:val="00D365DD"/>
    <w:rsid w:val="00D379B5"/>
    <w:rsid w:val="00D37AC2"/>
    <w:rsid w:val="00D37DE5"/>
    <w:rsid w:val="00D40249"/>
    <w:rsid w:val="00D40444"/>
    <w:rsid w:val="00D40B5D"/>
    <w:rsid w:val="00D41669"/>
    <w:rsid w:val="00D41672"/>
    <w:rsid w:val="00D417C5"/>
    <w:rsid w:val="00D41E6B"/>
    <w:rsid w:val="00D41F80"/>
    <w:rsid w:val="00D42188"/>
    <w:rsid w:val="00D4223B"/>
    <w:rsid w:val="00D43120"/>
    <w:rsid w:val="00D43406"/>
    <w:rsid w:val="00D43890"/>
    <w:rsid w:val="00D43C34"/>
    <w:rsid w:val="00D43F60"/>
    <w:rsid w:val="00D441C9"/>
    <w:rsid w:val="00D4458B"/>
    <w:rsid w:val="00D446E4"/>
    <w:rsid w:val="00D44DE6"/>
    <w:rsid w:val="00D45A29"/>
    <w:rsid w:val="00D45D5D"/>
    <w:rsid w:val="00D46573"/>
    <w:rsid w:val="00D46818"/>
    <w:rsid w:val="00D46E68"/>
    <w:rsid w:val="00D46FA5"/>
    <w:rsid w:val="00D472E6"/>
    <w:rsid w:val="00D475D9"/>
    <w:rsid w:val="00D50142"/>
    <w:rsid w:val="00D5041D"/>
    <w:rsid w:val="00D50658"/>
    <w:rsid w:val="00D50AD3"/>
    <w:rsid w:val="00D50CE5"/>
    <w:rsid w:val="00D51176"/>
    <w:rsid w:val="00D51744"/>
    <w:rsid w:val="00D51B77"/>
    <w:rsid w:val="00D51D30"/>
    <w:rsid w:val="00D52126"/>
    <w:rsid w:val="00D5238E"/>
    <w:rsid w:val="00D523C8"/>
    <w:rsid w:val="00D524DC"/>
    <w:rsid w:val="00D52600"/>
    <w:rsid w:val="00D52622"/>
    <w:rsid w:val="00D52B79"/>
    <w:rsid w:val="00D53A89"/>
    <w:rsid w:val="00D53B1A"/>
    <w:rsid w:val="00D53BD7"/>
    <w:rsid w:val="00D53E0B"/>
    <w:rsid w:val="00D540CE"/>
    <w:rsid w:val="00D5425F"/>
    <w:rsid w:val="00D542AC"/>
    <w:rsid w:val="00D543CD"/>
    <w:rsid w:val="00D54A35"/>
    <w:rsid w:val="00D54F67"/>
    <w:rsid w:val="00D55385"/>
    <w:rsid w:val="00D562AF"/>
    <w:rsid w:val="00D563E0"/>
    <w:rsid w:val="00D56680"/>
    <w:rsid w:val="00D5672E"/>
    <w:rsid w:val="00D567B9"/>
    <w:rsid w:val="00D56C56"/>
    <w:rsid w:val="00D56DDA"/>
    <w:rsid w:val="00D57202"/>
    <w:rsid w:val="00D57B74"/>
    <w:rsid w:val="00D57B97"/>
    <w:rsid w:val="00D60072"/>
    <w:rsid w:val="00D609FF"/>
    <w:rsid w:val="00D61268"/>
    <w:rsid w:val="00D6176A"/>
    <w:rsid w:val="00D61945"/>
    <w:rsid w:val="00D62726"/>
    <w:rsid w:val="00D627B5"/>
    <w:rsid w:val="00D629CC"/>
    <w:rsid w:val="00D62D8D"/>
    <w:rsid w:val="00D62DA3"/>
    <w:rsid w:val="00D62F28"/>
    <w:rsid w:val="00D631D1"/>
    <w:rsid w:val="00D63770"/>
    <w:rsid w:val="00D63830"/>
    <w:rsid w:val="00D642EC"/>
    <w:rsid w:val="00D645ED"/>
    <w:rsid w:val="00D6466A"/>
    <w:rsid w:val="00D6580C"/>
    <w:rsid w:val="00D658EA"/>
    <w:rsid w:val="00D659B3"/>
    <w:rsid w:val="00D65E9D"/>
    <w:rsid w:val="00D65FA0"/>
    <w:rsid w:val="00D6610D"/>
    <w:rsid w:val="00D6777E"/>
    <w:rsid w:val="00D702F7"/>
    <w:rsid w:val="00D71615"/>
    <w:rsid w:val="00D71B12"/>
    <w:rsid w:val="00D71E6F"/>
    <w:rsid w:val="00D71EE2"/>
    <w:rsid w:val="00D71F1C"/>
    <w:rsid w:val="00D72250"/>
    <w:rsid w:val="00D7226F"/>
    <w:rsid w:val="00D726C4"/>
    <w:rsid w:val="00D72759"/>
    <w:rsid w:val="00D72961"/>
    <w:rsid w:val="00D7300C"/>
    <w:rsid w:val="00D7351E"/>
    <w:rsid w:val="00D736F3"/>
    <w:rsid w:val="00D737BD"/>
    <w:rsid w:val="00D74211"/>
    <w:rsid w:val="00D74222"/>
    <w:rsid w:val="00D7439B"/>
    <w:rsid w:val="00D74455"/>
    <w:rsid w:val="00D745C3"/>
    <w:rsid w:val="00D74A9F"/>
    <w:rsid w:val="00D74CE8"/>
    <w:rsid w:val="00D754A3"/>
    <w:rsid w:val="00D7583B"/>
    <w:rsid w:val="00D758EB"/>
    <w:rsid w:val="00D75CC9"/>
    <w:rsid w:val="00D75DC4"/>
    <w:rsid w:val="00D75EE0"/>
    <w:rsid w:val="00D7712B"/>
    <w:rsid w:val="00D777CA"/>
    <w:rsid w:val="00D77903"/>
    <w:rsid w:val="00D77B6E"/>
    <w:rsid w:val="00D77F41"/>
    <w:rsid w:val="00D810AC"/>
    <w:rsid w:val="00D8132C"/>
    <w:rsid w:val="00D81D9D"/>
    <w:rsid w:val="00D823E0"/>
    <w:rsid w:val="00D82E7F"/>
    <w:rsid w:val="00D8340B"/>
    <w:rsid w:val="00D83497"/>
    <w:rsid w:val="00D834F5"/>
    <w:rsid w:val="00D8364E"/>
    <w:rsid w:val="00D83AFB"/>
    <w:rsid w:val="00D83FF4"/>
    <w:rsid w:val="00D844F8"/>
    <w:rsid w:val="00D84C5E"/>
    <w:rsid w:val="00D84EC1"/>
    <w:rsid w:val="00D84F6D"/>
    <w:rsid w:val="00D84F8A"/>
    <w:rsid w:val="00D855E1"/>
    <w:rsid w:val="00D85755"/>
    <w:rsid w:val="00D85FF4"/>
    <w:rsid w:val="00D86023"/>
    <w:rsid w:val="00D864CD"/>
    <w:rsid w:val="00D86767"/>
    <w:rsid w:val="00D8682C"/>
    <w:rsid w:val="00D86BC8"/>
    <w:rsid w:val="00D9024B"/>
    <w:rsid w:val="00D90325"/>
    <w:rsid w:val="00D906E7"/>
    <w:rsid w:val="00D909C1"/>
    <w:rsid w:val="00D90D93"/>
    <w:rsid w:val="00D90E9B"/>
    <w:rsid w:val="00D918AC"/>
    <w:rsid w:val="00D91966"/>
    <w:rsid w:val="00D9198C"/>
    <w:rsid w:val="00D920E0"/>
    <w:rsid w:val="00D92125"/>
    <w:rsid w:val="00D930F6"/>
    <w:rsid w:val="00D93121"/>
    <w:rsid w:val="00D941EC"/>
    <w:rsid w:val="00D9446F"/>
    <w:rsid w:val="00D94E2C"/>
    <w:rsid w:val="00D953EB"/>
    <w:rsid w:val="00D9540C"/>
    <w:rsid w:val="00D954F0"/>
    <w:rsid w:val="00D957C4"/>
    <w:rsid w:val="00D96B9E"/>
    <w:rsid w:val="00D96C2D"/>
    <w:rsid w:val="00D96F17"/>
    <w:rsid w:val="00D96FD4"/>
    <w:rsid w:val="00D9716F"/>
    <w:rsid w:val="00D975ED"/>
    <w:rsid w:val="00D979B3"/>
    <w:rsid w:val="00D97AE9"/>
    <w:rsid w:val="00D97DC6"/>
    <w:rsid w:val="00DA0A0E"/>
    <w:rsid w:val="00DA0CF1"/>
    <w:rsid w:val="00DA0E73"/>
    <w:rsid w:val="00DA0E9E"/>
    <w:rsid w:val="00DA0F19"/>
    <w:rsid w:val="00DA135C"/>
    <w:rsid w:val="00DA16FF"/>
    <w:rsid w:val="00DA1EAA"/>
    <w:rsid w:val="00DA1F0C"/>
    <w:rsid w:val="00DA1F4F"/>
    <w:rsid w:val="00DA2002"/>
    <w:rsid w:val="00DA28C6"/>
    <w:rsid w:val="00DA29C8"/>
    <w:rsid w:val="00DA3166"/>
    <w:rsid w:val="00DA326C"/>
    <w:rsid w:val="00DA34B9"/>
    <w:rsid w:val="00DA3835"/>
    <w:rsid w:val="00DA443D"/>
    <w:rsid w:val="00DA48E6"/>
    <w:rsid w:val="00DA4C10"/>
    <w:rsid w:val="00DA4CA6"/>
    <w:rsid w:val="00DA5374"/>
    <w:rsid w:val="00DA5501"/>
    <w:rsid w:val="00DA55B0"/>
    <w:rsid w:val="00DA56EF"/>
    <w:rsid w:val="00DA57A1"/>
    <w:rsid w:val="00DA653C"/>
    <w:rsid w:val="00DA66C9"/>
    <w:rsid w:val="00DA6AF9"/>
    <w:rsid w:val="00DA6BD7"/>
    <w:rsid w:val="00DA6CDA"/>
    <w:rsid w:val="00DA6D3C"/>
    <w:rsid w:val="00DA6EF1"/>
    <w:rsid w:val="00DA6F29"/>
    <w:rsid w:val="00DA72CB"/>
    <w:rsid w:val="00DA78EF"/>
    <w:rsid w:val="00DB03D4"/>
    <w:rsid w:val="00DB04E8"/>
    <w:rsid w:val="00DB0670"/>
    <w:rsid w:val="00DB12B1"/>
    <w:rsid w:val="00DB19FF"/>
    <w:rsid w:val="00DB2018"/>
    <w:rsid w:val="00DB2153"/>
    <w:rsid w:val="00DB21D4"/>
    <w:rsid w:val="00DB2799"/>
    <w:rsid w:val="00DB3370"/>
    <w:rsid w:val="00DB3761"/>
    <w:rsid w:val="00DB37C3"/>
    <w:rsid w:val="00DB4246"/>
    <w:rsid w:val="00DB44B9"/>
    <w:rsid w:val="00DB4D1A"/>
    <w:rsid w:val="00DB5139"/>
    <w:rsid w:val="00DB51C5"/>
    <w:rsid w:val="00DB53B3"/>
    <w:rsid w:val="00DB5420"/>
    <w:rsid w:val="00DB5AC7"/>
    <w:rsid w:val="00DB5CF1"/>
    <w:rsid w:val="00DB6160"/>
    <w:rsid w:val="00DB6BC9"/>
    <w:rsid w:val="00DB6EDB"/>
    <w:rsid w:val="00DB6FF1"/>
    <w:rsid w:val="00DB7684"/>
    <w:rsid w:val="00DB7BCE"/>
    <w:rsid w:val="00DC0123"/>
    <w:rsid w:val="00DC02B5"/>
    <w:rsid w:val="00DC059B"/>
    <w:rsid w:val="00DC11F1"/>
    <w:rsid w:val="00DC18EE"/>
    <w:rsid w:val="00DC313C"/>
    <w:rsid w:val="00DC347B"/>
    <w:rsid w:val="00DC39BF"/>
    <w:rsid w:val="00DC3E62"/>
    <w:rsid w:val="00DC4499"/>
    <w:rsid w:val="00DC4B18"/>
    <w:rsid w:val="00DC4F65"/>
    <w:rsid w:val="00DC5294"/>
    <w:rsid w:val="00DC53C8"/>
    <w:rsid w:val="00DC5679"/>
    <w:rsid w:val="00DC5A1E"/>
    <w:rsid w:val="00DC6199"/>
    <w:rsid w:val="00DC6DBF"/>
    <w:rsid w:val="00DC72BC"/>
    <w:rsid w:val="00DC745F"/>
    <w:rsid w:val="00DC778D"/>
    <w:rsid w:val="00DD000D"/>
    <w:rsid w:val="00DD049E"/>
    <w:rsid w:val="00DD0765"/>
    <w:rsid w:val="00DD182D"/>
    <w:rsid w:val="00DD1FA4"/>
    <w:rsid w:val="00DD231C"/>
    <w:rsid w:val="00DD233C"/>
    <w:rsid w:val="00DD28CF"/>
    <w:rsid w:val="00DD3151"/>
    <w:rsid w:val="00DD34F6"/>
    <w:rsid w:val="00DD35AC"/>
    <w:rsid w:val="00DD4095"/>
    <w:rsid w:val="00DD4286"/>
    <w:rsid w:val="00DD4529"/>
    <w:rsid w:val="00DD49E1"/>
    <w:rsid w:val="00DD4F1C"/>
    <w:rsid w:val="00DD51AC"/>
    <w:rsid w:val="00DD53B3"/>
    <w:rsid w:val="00DD6368"/>
    <w:rsid w:val="00DD6F94"/>
    <w:rsid w:val="00DD7001"/>
    <w:rsid w:val="00DD73CB"/>
    <w:rsid w:val="00DD7524"/>
    <w:rsid w:val="00DD77E6"/>
    <w:rsid w:val="00DD787C"/>
    <w:rsid w:val="00DD7BE4"/>
    <w:rsid w:val="00DD7FC0"/>
    <w:rsid w:val="00DE006B"/>
    <w:rsid w:val="00DE01AD"/>
    <w:rsid w:val="00DE01E8"/>
    <w:rsid w:val="00DE0348"/>
    <w:rsid w:val="00DE05B3"/>
    <w:rsid w:val="00DE0637"/>
    <w:rsid w:val="00DE08D3"/>
    <w:rsid w:val="00DE0B90"/>
    <w:rsid w:val="00DE0EED"/>
    <w:rsid w:val="00DE12D4"/>
    <w:rsid w:val="00DE12DC"/>
    <w:rsid w:val="00DE13F3"/>
    <w:rsid w:val="00DE16B9"/>
    <w:rsid w:val="00DE1844"/>
    <w:rsid w:val="00DE19EC"/>
    <w:rsid w:val="00DE23C3"/>
    <w:rsid w:val="00DE251F"/>
    <w:rsid w:val="00DE2527"/>
    <w:rsid w:val="00DE269D"/>
    <w:rsid w:val="00DE2B2B"/>
    <w:rsid w:val="00DE2F98"/>
    <w:rsid w:val="00DE342C"/>
    <w:rsid w:val="00DE363D"/>
    <w:rsid w:val="00DE47A8"/>
    <w:rsid w:val="00DE48B0"/>
    <w:rsid w:val="00DE4BBA"/>
    <w:rsid w:val="00DE4DBE"/>
    <w:rsid w:val="00DE53E2"/>
    <w:rsid w:val="00DE588E"/>
    <w:rsid w:val="00DE62BF"/>
    <w:rsid w:val="00DE62D0"/>
    <w:rsid w:val="00DE6A10"/>
    <w:rsid w:val="00DE6BBD"/>
    <w:rsid w:val="00DE6E18"/>
    <w:rsid w:val="00DE74C3"/>
    <w:rsid w:val="00DE7B56"/>
    <w:rsid w:val="00DE7D41"/>
    <w:rsid w:val="00DE7E74"/>
    <w:rsid w:val="00DF012B"/>
    <w:rsid w:val="00DF1288"/>
    <w:rsid w:val="00DF1C3F"/>
    <w:rsid w:val="00DF1D5C"/>
    <w:rsid w:val="00DF1DF8"/>
    <w:rsid w:val="00DF1F65"/>
    <w:rsid w:val="00DF215A"/>
    <w:rsid w:val="00DF231B"/>
    <w:rsid w:val="00DF2586"/>
    <w:rsid w:val="00DF2E3B"/>
    <w:rsid w:val="00DF2FF6"/>
    <w:rsid w:val="00DF3478"/>
    <w:rsid w:val="00DF373C"/>
    <w:rsid w:val="00DF3740"/>
    <w:rsid w:val="00DF4397"/>
    <w:rsid w:val="00DF4457"/>
    <w:rsid w:val="00DF468A"/>
    <w:rsid w:val="00DF4733"/>
    <w:rsid w:val="00DF4BAC"/>
    <w:rsid w:val="00DF4BBF"/>
    <w:rsid w:val="00DF4EB9"/>
    <w:rsid w:val="00DF555D"/>
    <w:rsid w:val="00DF59A5"/>
    <w:rsid w:val="00DF650B"/>
    <w:rsid w:val="00DF6A2F"/>
    <w:rsid w:val="00DF6DE4"/>
    <w:rsid w:val="00DF6F2D"/>
    <w:rsid w:val="00DF7262"/>
    <w:rsid w:val="00DF7596"/>
    <w:rsid w:val="00DF7640"/>
    <w:rsid w:val="00DF7A20"/>
    <w:rsid w:val="00DF7BF7"/>
    <w:rsid w:val="00DF7C33"/>
    <w:rsid w:val="00DF7D6D"/>
    <w:rsid w:val="00DF7F19"/>
    <w:rsid w:val="00E0049E"/>
    <w:rsid w:val="00E005F9"/>
    <w:rsid w:val="00E01423"/>
    <w:rsid w:val="00E014C9"/>
    <w:rsid w:val="00E014EF"/>
    <w:rsid w:val="00E016C7"/>
    <w:rsid w:val="00E01C60"/>
    <w:rsid w:val="00E01CC2"/>
    <w:rsid w:val="00E0254F"/>
    <w:rsid w:val="00E02DAD"/>
    <w:rsid w:val="00E0345C"/>
    <w:rsid w:val="00E0360C"/>
    <w:rsid w:val="00E03A61"/>
    <w:rsid w:val="00E03C9E"/>
    <w:rsid w:val="00E045C1"/>
    <w:rsid w:val="00E0483D"/>
    <w:rsid w:val="00E0498D"/>
    <w:rsid w:val="00E04A8F"/>
    <w:rsid w:val="00E04D25"/>
    <w:rsid w:val="00E05B88"/>
    <w:rsid w:val="00E05D03"/>
    <w:rsid w:val="00E0614A"/>
    <w:rsid w:val="00E06567"/>
    <w:rsid w:val="00E0682C"/>
    <w:rsid w:val="00E0695A"/>
    <w:rsid w:val="00E06A61"/>
    <w:rsid w:val="00E07818"/>
    <w:rsid w:val="00E079B5"/>
    <w:rsid w:val="00E07CA3"/>
    <w:rsid w:val="00E07D8C"/>
    <w:rsid w:val="00E07D91"/>
    <w:rsid w:val="00E10112"/>
    <w:rsid w:val="00E10599"/>
    <w:rsid w:val="00E105B3"/>
    <w:rsid w:val="00E107D0"/>
    <w:rsid w:val="00E1093C"/>
    <w:rsid w:val="00E10E4C"/>
    <w:rsid w:val="00E111D3"/>
    <w:rsid w:val="00E11288"/>
    <w:rsid w:val="00E1186C"/>
    <w:rsid w:val="00E11D34"/>
    <w:rsid w:val="00E1236F"/>
    <w:rsid w:val="00E129C1"/>
    <w:rsid w:val="00E12C98"/>
    <w:rsid w:val="00E13602"/>
    <w:rsid w:val="00E13A6F"/>
    <w:rsid w:val="00E13AC4"/>
    <w:rsid w:val="00E13B30"/>
    <w:rsid w:val="00E13F08"/>
    <w:rsid w:val="00E14013"/>
    <w:rsid w:val="00E14182"/>
    <w:rsid w:val="00E14318"/>
    <w:rsid w:val="00E14663"/>
    <w:rsid w:val="00E147F1"/>
    <w:rsid w:val="00E149AE"/>
    <w:rsid w:val="00E14B99"/>
    <w:rsid w:val="00E14BDD"/>
    <w:rsid w:val="00E14D28"/>
    <w:rsid w:val="00E161C3"/>
    <w:rsid w:val="00E1654B"/>
    <w:rsid w:val="00E16691"/>
    <w:rsid w:val="00E168E5"/>
    <w:rsid w:val="00E1697D"/>
    <w:rsid w:val="00E16DDB"/>
    <w:rsid w:val="00E16DF6"/>
    <w:rsid w:val="00E17077"/>
    <w:rsid w:val="00E17594"/>
    <w:rsid w:val="00E20779"/>
    <w:rsid w:val="00E2088E"/>
    <w:rsid w:val="00E209BF"/>
    <w:rsid w:val="00E20F3C"/>
    <w:rsid w:val="00E2211D"/>
    <w:rsid w:val="00E2249F"/>
    <w:rsid w:val="00E224A0"/>
    <w:rsid w:val="00E228BF"/>
    <w:rsid w:val="00E229B7"/>
    <w:rsid w:val="00E229C7"/>
    <w:rsid w:val="00E22C66"/>
    <w:rsid w:val="00E233AB"/>
    <w:rsid w:val="00E23E49"/>
    <w:rsid w:val="00E24298"/>
    <w:rsid w:val="00E242C4"/>
    <w:rsid w:val="00E24702"/>
    <w:rsid w:val="00E24C20"/>
    <w:rsid w:val="00E24F61"/>
    <w:rsid w:val="00E2524D"/>
    <w:rsid w:val="00E2555D"/>
    <w:rsid w:val="00E255EA"/>
    <w:rsid w:val="00E25DC0"/>
    <w:rsid w:val="00E264FD"/>
    <w:rsid w:val="00E26686"/>
    <w:rsid w:val="00E27E4D"/>
    <w:rsid w:val="00E27F93"/>
    <w:rsid w:val="00E30693"/>
    <w:rsid w:val="00E30A45"/>
    <w:rsid w:val="00E30C4B"/>
    <w:rsid w:val="00E3142C"/>
    <w:rsid w:val="00E31CDD"/>
    <w:rsid w:val="00E31DED"/>
    <w:rsid w:val="00E32451"/>
    <w:rsid w:val="00E326D4"/>
    <w:rsid w:val="00E3278E"/>
    <w:rsid w:val="00E329EE"/>
    <w:rsid w:val="00E32C21"/>
    <w:rsid w:val="00E33202"/>
    <w:rsid w:val="00E33DC7"/>
    <w:rsid w:val="00E33E9A"/>
    <w:rsid w:val="00E33F7A"/>
    <w:rsid w:val="00E3425D"/>
    <w:rsid w:val="00E34288"/>
    <w:rsid w:val="00E34316"/>
    <w:rsid w:val="00E34405"/>
    <w:rsid w:val="00E3442D"/>
    <w:rsid w:val="00E34D0E"/>
    <w:rsid w:val="00E34DB6"/>
    <w:rsid w:val="00E351AB"/>
    <w:rsid w:val="00E36AEB"/>
    <w:rsid w:val="00E36CFF"/>
    <w:rsid w:val="00E36EEE"/>
    <w:rsid w:val="00E377E1"/>
    <w:rsid w:val="00E3789F"/>
    <w:rsid w:val="00E37C33"/>
    <w:rsid w:val="00E37E6C"/>
    <w:rsid w:val="00E40E62"/>
    <w:rsid w:val="00E40F99"/>
    <w:rsid w:val="00E41154"/>
    <w:rsid w:val="00E415FE"/>
    <w:rsid w:val="00E41865"/>
    <w:rsid w:val="00E41F92"/>
    <w:rsid w:val="00E426C3"/>
    <w:rsid w:val="00E42B72"/>
    <w:rsid w:val="00E4302D"/>
    <w:rsid w:val="00E43128"/>
    <w:rsid w:val="00E434D6"/>
    <w:rsid w:val="00E43C28"/>
    <w:rsid w:val="00E43CAA"/>
    <w:rsid w:val="00E445B9"/>
    <w:rsid w:val="00E445CE"/>
    <w:rsid w:val="00E44FBD"/>
    <w:rsid w:val="00E453A5"/>
    <w:rsid w:val="00E45AD3"/>
    <w:rsid w:val="00E46121"/>
    <w:rsid w:val="00E465F5"/>
    <w:rsid w:val="00E46B02"/>
    <w:rsid w:val="00E4712D"/>
    <w:rsid w:val="00E47C45"/>
    <w:rsid w:val="00E50287"/>
    <w:rsid w:val="00E504D3"/>
    <w:rsid w:val="00E5051C"/>
    <w:rsid w:val="00E506EE"/>
    <w:rsid w:val="00E509A4"/>
    <w:rsid w:val="00E50EB1"/>
    <w:rsid w:val="00E50F2E"/>
    <w:rsid w:val="00E51171"/>
    <w:rsid w:val="00E51BC9"/>
    <w:rsid w:val="00E526F0"/>
    <w:rsid w:val="00E52D35"/>
    <w:rsid w:val="00E52F9B"/>
    <w:rsid w:val="00E5328C"/>
    <w:rsid w:val="00E53A81"/>
    <w:rsid w:val="00E53CEE"/>
    <w:rsid w:val="00E53DCC"/>
    <w:rsid w:val="00E54CDB"/>
    <w:rsid w:val="00E54E7D"/>
    <w:rsid w:val="00E5500C"/>
    <w:rsid w:val="00E55B28"/>
    <w:rsid w:val="00E55CE8"/>
    <w:rsid w:val="00E56428"/>
    <w:rsid w:val="00E56C8A"/>
    <w:rsid w:val="00E57CB1"/>
    <w:rsid w:val="00E57EEC"/>
    <w:rsid w:val="00E57F5A"/>
    <w:rsid w:val="00E60001"/>
    <w:rsid w:val="00E608D5"/>
    <w:rsid w:val="00E6109C"/>
    <w:rsid w:val="00E616DB"/>
    <w:rsid w:val="00E618D8"/>
    <w:rsid w:val="00E6264B"/>
    <w:rsid w:val="00E62AA4"/>
    <w:rsid w:val="00E62F76"/>
    <w:rsid w:val="00E63220"/>
    <w:rsid w:val="00E6362D"/>
    <w:rsid w:val="00E63F35"/>
    <w:rsid w:val="00E64BC6"/>
    <w:rsid w:val="00E65654"/>
    <w:rsid w:val="00E65B4A"/>
    <w:rsid w:val="00E65D73"/>
    <w:rsid w:val="00E6608D"/>
    <w:rsid w:val="00E6667C"/>
    <w:rsid w:val="00E66BC3"/>
    <w:rsid w:val="00E66C3B"/>
    <w:rsid w:val="00E66CFC"/>
    <w:rsid w:val="00E673CE"/>
    <w:rsid w:val="00E67BE4"/>
    <w:rsid w:val="00E701A9"/>
    <w:rsid w:val="00E705E6"/>
    <w:rsid w:val="00E70659"/>
    <w:rsid w:val="00E70A10"/>
    <w:rsid w:val="00E70ECE"/>
    <w:rsid w:val="00E71186"/>
    <w:rsid w:val="00E716C4"/>
    <w:rsid w:val="00E717AF"/>
    <w:rsid w:val="00E7195C"/>
    <w:rsid w:val="00E7298F"/>
    <w:rsid w:val="00E72A62"/>
    <w:rsid w:val="00E72F9F"/>
    <w:rsid w:val="00E73657"/>
    <w:rsid w:val="00E73904"/>
    <w:rsid w:val="00E73940"/>
    <w:rsid w:val="00E73ADC"/>
    <w:rsid w:val="00E73BEF"/>
    <w:rsid w:val="00E73C5C"/>
    <w:rsid w:val="00E73F95"/>
    <w:rsid w:val="00E740BD"/>
    <w:rsid w:val="00E74895"/>
    <w:rsid w:val="00E7544C"/>
    <w:rsid w:val="00E75478"/>
    <w:rsid w:val="00E75D7C"/>
    <w:rsid w:val="00E767E8"/>
    <w:rsid w:val="00E76D4A"/>
    <w:rsid w:val="00E76E72"/>
    <w:rsid w:val="00E771F8"/>
    <w:rsid w:val="00E772DD"/>
    <w:rsid w:val="00E777E3"/>
    <w:rsid w:val="00E77ABE"/>
    <w:rsid w:val="00E77EA1"/>
    <w:rsid w:val="00E805A5"/>
    <w:rsid w:val="00E80B1A"/>
    <w:rsid w:val="00E814E7"/>
    <w:rsid w:val="00E8218D"/>
    <w:rsid w:val="00E82414"/>
    <w:rsid w:val="00E8302D"/>
    <w:rsid w:val="00E83133"/>
    <w:rsid w:val="00E833FD"/>
    <w:rsid w:val="00E83602"/>
    <w:rsid w:val="00E83D59"/>
    <w:rsid w:val="00E8411A"/>
    <w:rsid w:val="00E84564"/>
    <w:rsid w:val="00E84832"/>
    <w:rsid w:val="00E84B13"/>
    <w:rsid w:val="00E84D49"/>
    <w:rsid w:val="00E85373"/>
    <w:rsid w:val="00E8584A"/>
    <w:rsid w:val="00E85D88"/>
    <w:rsid w:val="00E8642F"/>
    <w:rsid w:val="00E86905"/>
    <w:rsid w:val="00E869C1"/>
    <w:rsid w:val="00E86BD9"/>
    <w:rsid w:val="00E86BDB"/>
    <w:rsid w:val="00E87120"/>
    <w:rsid w:val="00E872BA"/>
    <w:rsid w:val="00E876EA"/>
    <w:rsid w:val="00E87958"/>
    <w:rsid w:val="00E902F1"/>
    <w:rsid w:val="00E90539"/>
    <w:rsid w:val="00E908D4"/>
    <w:rsid w:val="00E90ED2"/>
    <w:rsid w:val="00E91028"/>
    <w:rsid w:val="00E9155F"/>
    <w:rsid w:val="00E917EB"/>
    <w:rsid w:val="00E91BA1"/>
    <w:rsid w:val="00E91EF7"/>
    <w:rsid w:val="00E920CB"/>
    <w:rsid w:val="00E92A85"/>
    <w:rsid w:val="00E93186"/>
    <w:rsid w:val="00E93AB3"/>
    <w:rsid w:val="00E93FCE"/>
    <w:rsid w:val="00E94504"/>
    <w:rsid w:val="00E948BE"/>
    <w:rsid w:val="00E94A2B"/>
    <w:rsid w:val="00E94AE8"/>
    <w:rsid w:val="00E94F7E"/>
    <w:rsid w:val="00E94FF2"/>
    <w:rsid w:val="00E9552C"/>
    <w:rsid w:val="00E95F8B"/>
    <w:rsid w:val="00E9611E"/>
    <w:rsid w:val="00E962AD"/>
    <w:rsid w:val="00E96566"/>
    <w:rsid w:val="00E96D89"/>
    <w:rsid w:val="00E97019"/>
    <w:rsid w:val="00E97C4D"/>
    <w:rsid w:val="00E97D31"/>
    <w:rsid w:val="00E97E7B"/>
    <w:rsid w:val="00EA0056"/>
    <w:rsid w:val="00EA030E"/>
    <w:rsid w:val="00EA0E6F"/>
    <w:rsid w:val="00EA0ED2"/>
    <w:rsid w:val="00EA0EE4"/>
    <w:rsid w:val="00EA0FDF"/>
    <w:rsid w:val="00EA1652"/>
    <w:rsid w:val="00EA2EB6"/>
    <w:rsid w:val="00EA3692"/>
    <w:rsid w:val="00EA371F"/>
    <w:rsid w:val="00EA3D82"/>
    <w:rsid w:val="00EA484B"/>
    <w:rsid w:val="00EA4C2F"/>
    <w:rsid w:val="00EA4F4B"/>
    <w:rsid w:val="00EA564E"/>
    <w:rsid w:val="00EA657B"/>
    <w:rsid w:val="00EA6E1B"/>
    <w:rsid w:val="00EA6FE5"/>
    <w:rsid w:val="00EA7317"/>
    <w:rsid w:val="00EA7751"/>
    <w:rsid w:val="00EA77F0"/>
    <w:rsid w:val="00EA789D"/>
    <w:rsid w:val="00EA7B26"/>
    <w:rsid w:val="00EB03FC"/>
    <w:rsid w:val="00EB08C3"/>
    <w:rsid w:val="00EB1247"/>
    <w:rsid w:val="00EB1872"/>
    <w:rsid w:val="00EB330D"/>
    <w:rsid w:val="00EB3341"/>
    <w:rsid w:val="00EB3B19"/>
    <w:rsid w:val="00EB3D55"/>
    <w:rsid w:val="00EB4211"/>
    <w:rsid w:val="00EB4317"/>
    <w:rsid w:val="00EB4AF8"/>
    <w:rsid w:val="00EB4B34"/>
    <w:rsid w:val="00EB4F6E"/>
    <w:rsid w:val="00EB57D5"/>
    <w:rsid w:val="00EB61D4"/>
    <w:rsid w:val="00EB6340"/>
    <w:rsid w:val="00EB64B2"/>
    <w:rsid w:val="00EB695D"/>
    <w:rsid w:val="00EB6AC2"/>
    <w:rsid w:val="00EB6D66"/>
    <w:rsid w:val="00EB6DE2"/>
    <w:rsid w:val="00EB6E71"/>
    <w:rsid w:val="00EB7126"/>
    <w:rsid w:val="00EB742A"/>
    <w:rsid w:val="00EB750F"/>
    <w:rsid w:val="00EB79E2"/>
    <w:rsid w:val="00EB7B32"/>
    <w:rsid w:val="00EC091E"/>
    <w:rsid w:val="00EC10B4"/>
    <w:rsid w:val="00EC12D6"/>
    <w:rsid w:val="00EC1400"/>
    <w:rsid w:val="00EC169E"/>
    <w:rsid w:val="00EC1EF2"/>
    <w:rsid w:val="00EC20BC"/>
    <w:rsid w:val="00EC2D2F"/>
    <w:rsid w:val="00EC31ED"/>
    <w:rsid w:val="00EC3C58"/>
    <w:rsid w:val="00EC3DB5"/>
    <w:rsid w:val="00EC3FF1"/>
    <w:rsid w:val="00EC41DD"/>
    <w:rsid w:val="00EC43E4"/>
    <w:rsid w:val="00EC4738"/>
    <w:rsid w:val="00EC4D1E"/>
    <w:rsid w:val="00EC4D3D"/>
    <w:rsid w:val="00EC51C1"/>
    <w:rsid w:val="00EC557C"/>
    <w:rsid w:val="00EC567D"/>
    <w:rsid w:val="00EC5837"/>
    <w:rsid w:val="00EC5858"/>
    <w:rsid w:val="00EC5A68"/>
    <w:rsid w:val="00EC5BE6"/>
    <w:rsid w:val="00EC60AE"/>
    <w:rsid w:val="00EC6641"/>
    <w:rsid w:val="00EC768D"/>
    <w:rsid w:val="00EC7AAE"/>
    <w:rsid w:val="00EC7FC9"/>
    <w:rsid w:val="00ED028B"/>
    <w:rsid w:val="00ED0B46"/>
    <w:rsid w:val="00ED0FF7"/>
    <w:rsid w:val="00ED1232"/>
    <w:rsid w:val="00ED1534"/>
    <w:rsid w:val="00ED16D3"/>
    <w:rsid w:val="00ED17E7"/>
    <w:rsid w:val="00ED1D36"/>
    <w:rsid w:val="00ED23C6"/>
    <w:rsid w:val="00ED27C2"/>
    <w:rsid w:val="00ED3948"/>
    <w:rsid w:val="00ED467E"/>
    <w:rsid w:val="00ED4972"/>
    <w:rsid w:val="00ED4C44"/>
    <w:rsid w:val="00ED4DCB"/>
    <w:rsid w:val="00ED685D"/>
    <w:rsid w:val="00ED7259"/>
    <w:rsid w:val="00ED72A3"/>
    <w:rsid w:val="00ED7677"/>
    <w:rsid w:val="00ED774C"/>
    <w:rsid w:val="00ED776A"/>
    <w:rsid w:val="00EE0BF5"/>
    <w:rsid w:val="00EE0FB2"/>
    <w:rsid w:val="00EE1A1A"/>
    <w:rsid w:val="00EE1D27"/>
    <w:rsid w:val="00EE1E32"/>
    <w:rsid w:val="00EE2089"/>
    <w:rsid w:val="00EE2371"/>
    <w:rsid w:val="00EE2661"/>
    <w:rsid w:val="00EE2BB1"/>
    <w:rsid w:val="00EE2C71"/>
    <w:rsid w:val="00EE3018"/>
    <w:rsid w:val="00EE324C"/>
    <w:rsid w:val="00EE37E6"/>
    <w:rsid w:val="00EE3BAE"/>
    <w:rsid w:val="00EE3ED8"/>
    <w:rsid w:val="00EE5160"/>
    <w:rsid w:val="00EE517C"/>
    <w:rsid w:val="00EE5491"/>
    <w:rsid w:val="00EE6359"/>
    <w:rsid w:val="00EE67A6"/>
    <w:rsid w:val="00EE68D0"/>
    <w:rsid w:val="00EE6933"/>
    <w:rsid w:val="00EE69D6"/>
    <w:rsid w:val="00EE6BDF"/>
    <w:rsid w:val="00EE6D12"/>
    <w:rsid w:val="00EE71E4"/>
    <w:rsid w:val="00EE78D9"/>
    <w:rsid w:val="00EE7A54"/>
    <w:rsid w:val="00EE7D71"/>
    <w:rsid w:val="00EF00BB"/>
    <w:rsid w:val="00EF01DC"/>
    <w:rsid w:val="00EF0443"/>
    <w:rsid w:val="00EF0782"/>
    <w:rsid w:val="00EF151F"/>
    <w:rsid w:val="00EF1690"/>
    <w:rsid w:val="00EF1711"/>
    <w:rsid w:val="00EF183D"/>
    <w:rsid w:val="00EF2352"/>
    <w:rsid w:val="00EF2380"/>
    <w:rsid w:val="00EF2AA5"/>
    <w:rsid w:val="00EF2D3F"/>
    <w:rsid w:val="00EF2E93"/>
    <w:rsid w:val="00EF42A4"/>
    <w:rsid w:val="00EF4A8A"/>
    <w:rsid w:val="00EF4B3D"/>
    <w:rsid w:val="00EF4F70"/>
    <w:rsid w:val="00EF52BA"/>
    <w:rsid w:val="00EF6069"/>
    <w:rsid w:val="00EF66A6"/>
    <w:rsid w:val="00EF66B2"/>
    <w:rsid w:val="00EF6899"/>
    <w:rsid w:val="00EF6BFA"/>
    <w:rsid w:val="00EF6DF6"/>
    <w:rsid w:val="00EF72CF"/>
    <w:rsid w:val="00EF7566"/>
    <w:rsid w:val="00EF77B6"/>
    <w:rsid w:val="00EF78D1"/>
    <w:rsid w:val="00EF7C3A"/>
    <w:rsid w:val="00EF7CFC"/>
    <w:rsid w:val="00EF7DD8"/>
    <w:rsid w:val="00F00658"/>
    <w:rsid w:val="00F008D1"/>
    <w:rsid w:val="00F00F2A"/>
    <w:rsid w:val="00F00FA3"/>
    <w:rsid w:val="00F01121"/>
    <w:rsid w:val="00F011F9"/>
    <w:rsid w:val="00F01391"/>
    <w:rsid w:val="00F022F2"/>
    <w:rsid w:val="00F025B4"/>
    <w:rsid w:val="00F027F2"/>
    <w:rsid w:val="00F02DCB"/>
    <w:rsid w:val="00F030D1"/>
    <w:rsid w:val="00F03457"/>
    <w:rsid w:val="00F035D0"/>
    <w:rsid w:val="00F03673"/>
    <w:rsid w:val="00F0382B"/>
    <w:rsid w:val="00F0491B"/>
    <w:rsid w:val="00F04C58"/>
    <w:rsid w:val="00F04D6A"/>
    <w:rsid w:val="00F0527C"/>
    <w:rsid w:val="00F05DF9"/>
    <w:rsid w:val="00F062C4"/>
    <w:rsid w:val="00F0740D"/>
    <w:rsid w:val="00F10A2C"/>
    <w:rsid w:val="00F10F6B"/>
    <w:rsid w:val="00F115F0"/>
    <w:rsid w:val="00F12C35"/>
    <w:rsid w:val="00F12FD2"/>
    <w:rsid w:val="00F1305E"/>
    <w:rsid w:val="00F13D20"/>
    <w:rsid w:val="00F14132"/>
    <w:rsid w:val="00F145C3"/>
    <w:rsid w:val="00F14E7F"/>
    <w:rsid w:val="00F154C8"/>
    <w:rsid w:val="00F154DD"/>
    <w:rsid w:val="00F155FE"/>
    <w:rsid w:val="00F15920"/>
    <w:rsid w:val="00F1599B"/>
    <w:rsid w:val="00F1659D"/>
    <w:rsid w:val="00F167E9"/>
    <w:rsid w:val="00F16BBF"/>
    <w:rsid w:val="00F16BEF"/>
    <w:rsid w:val="00F171CA"/>
    <w:rsid w:val="00F175A0"/>
    <w:rsid w:val="00F1770B"/>
    <w:rsid w:val="00F17758"/>
    <w:rsid w:val="00F17D85"/>
    <w:rsid w:val="00F20311"/>
    <w:rsid w:val="00F207E5"/>
    <w:rsid w:val="00F20C90"/>
    <w:rsid w:val="00F20E5D"/>
    <w:rsid w:val="00F20EF4"/>
    <w:rsid w:val="00F21651"/>
    <w:rsid w:val="00F21923"/>
    <w:rsid w:val="00F228C3"/>
    <w:rsid w:val="00F237ED"/>
    <w:rsid w:val="00F23812"/>
    <w:rsid w:val="00F23BBA"/>
    <w:rsid w:val="00F23F11"/>
    <w:rsid w:val="00F241FC"/>
    <w:rsid w:val="00F24E0C"/>
    <w:rsid w:val="00F251DC"/>
    <w:rsid w:val="00F25F85"/>
    <w:rsid w:val="00F263DE"/>
    <w:rsid w:val="00F2665B"/>
    <w:rsid w:val="00F26732"/>
    <w:rsid w:val="00F26C44"/>
    <w:rsid w:val="00F26D22"/>
    <w:rsid w:val="00F27062"/>
    <w:rsid w:val="00F27157"/>
    <w:rsid w:val="00F27447"/>
    <w:rsid w:val="00F30066"/>
    <w:rsid w:val="00F30241"/>
    <w:rsid w:val="00F304B7"/>
    <w:rsid w:val="00F3105A"/>
    <w:rsid w:val="00F3156D"/>
    <w:rsid w:val="00F31A9B"/>
    <w:rsid w:val="00F31BD5"/>
    <w:rsid w:val="00F32015"/>
    <w:rsid w:val="00F320C3"/>
    <w:rsid w:val="00F32ACB"/>
    <w:rsid w:val="00F33093"/>
    <w:rsid w:val="00F33938"/>
    <w:rsid w:val="00F346FA"/>
    <w:rsid w:val="00F35016"/>
    <w:rsid w:val="00F350F9"/>
    <w:rsid w:val="00F3528E"/>
    <w:rsid w:val="00F35F45"/>
    <w:rsid w:val="00F35FC8"/>
    <w:rsid w:val="00F36370"/>
    <w:rsid w:val="00F3637C"/>
    <w:rsid w:val="00F365B2"/>
    <w:rsid w:val="00F367C7"/>
    <w:rsid w:val="00F36988"/>
    <w:rsid w:val="00F3703A"/>
    <w:rsid w:val="00F37153"/>
    <w:rsid w:val="00F37826"/>
    <w:rsid w:val="00F37D4E"/>
    <w:rsid w:val="00F4022B"/>
    <w:rsid w:val="00F4032A"/>
    <w:rsid w:val="00F40857"/>
    <w:rsid w:val="00F40992"/>
    <w:rsid w:val="00F40B32"/>
    <w:rsid w:val="00F41113"/>
    <w:rsid w:val="00F4142B"/>
    <w:rsid w:val="00F41689"/>
    <w:rsid w:val="00F418F0"/>
    <w:rsid w:val="00F419AB"/>
    <w:rsid w:val="00F41AE0"/>
    <w:rsid w:val="00F42050"/>
    <w:rsid w:val="00F423A2"/>
    <w:rsid w:val="00F423B0"/>
    <w:rsid w:val="00F4244A"/>
    <w:rsid w:val="00F42778"/>
    <w:rsid w:val="00F42BDF"/>
    <w:rsid w:val="00F42DE1"/>
    <w:rsid w:val="00F42DEF"/>
    <w:rsid w:val="00F43289"/>
    <w:rsid w:val="00F43991"/>
    <w:rsid w:val="00F43994"/>
    <w:rsid w:val="00F43EDD"/>
    <w:rsid w:val="00F441B6"/>
    <w:rsid w:val="00F447D8"/>
    <w:rsid w:val="00F44B70"/>
    <w:rsid w:val="00F44F3C"/>
    <w:rsid w:val="00F4511F"/>
    <w:rsid w:val="00F45403"/>
    <w:rsid w:val="00F457EF"/>
    <w:rsid w:val="00F45ADF"/>
    <w:rsid w:val="00F4747B"/>
    <w:rsid w:val="00F47BFE"/>
    <w:rsid w:val="00F47EDD"/>
    <w:rsid w:val="00F500E4"/>
    <w:rsid w:val="00F5011C"/>
    <w:rsid w:val="00F5014D"/>
    <w:rsid w:val="00F501FA"/>
    <w:rsid w:val="00F5059D"/>
    <w:rsid w:val="00F50A4A"/>
    <w:rsid w:val="00F50ABC"/>
    <w:rsid w:val="00F50B52"/>
    <w:rsid w:val="00F50B7A"/>
    <w:rsid w:val="00F50DEC"/>
    <w:rsid w:val="00F50F69"/>
    <w:rsid w:val="00F51469"/>
    <w:rsid w:val="00F5148A"/>
    <w:rsid w:val="00F51584"/>
    <w:rsid w:val="00F516F5"/>
    <w:rsid w:val="00F51BD3"/>
    <w:rsid w:val="00F51D80"/>
    <w:rsid w:val="00F522ED"/>
    <w:rsid w:val="00F52776"/>
    <w:rsid w:val="00F52B5C"/>
    <w:rsid w:val="00F52DAF"/>
    <w:rsid w:val="00F53058"/>
    <w:rsid w:val="00F530FF"/>
    <w:rsid w:val="00F53225"/>
    <w:rsid w:val="00F5348C"/>
    <w:rsid w:val="00F53528"/>
    <w:rsid w:val="00F548D0"/>
    <w:rsid w:val="00F5494E"/>
    <w:rsid w:val="00F55AA5"/>
    <w:rsid w:val="00F56354"/>
    <w:rsid w:val="00F565F4"/>
    <w:rsid w:val="00F56DFC"/>
    <w:rsid w:val="00F570D3"/>
    <w:rsid w:val="00F5710D"/>
    <w:rsid w:val="00F577F3"/>
    <w:rsid w:val="00F57885"/>
    <w:rsid w:val="00F57AA6"/>
    <w:rsid w:val="00F60A36"/>
    <w:rsid w:val="00F60C56"/>
    <w:rsid w:val="00F60D86"/>
    <w:rsid w:val="00F60EB2"/>
    <w:rsid w:val="00F610B9"/>
    <w:rsid w:val="00F612BB"/>
    <w:rsid w:val="00F616C7"/>
    <w:rsid w:val="00F616E2"/>
    <w:rsid w:val="00F61CBA"/>
    <w:rsid w:val="00F6202A"/>
    <w:rsid w:val="00F620AA"/>
    <w:rsid w:val="00F62802"/>
    <w:rsid w:val="00F634B9"/>
    <w:rsid w:val="00F643DA"/>
    <w:rsid w:val="00F64585"/>
    <w:rsid w:val="00F6464E"/>
    <w:rsid w:val="00F64870"/>
    <w:rsid w:val="00F650DD"/>
    <w:rsid w:val="00F65507"/>
    <w:rsid w:val="00F65EB1"/>
    <w:rsid w:val="00F65F0E"/>
    <w:rsid w:val="00F6601E"/>
    <w:rsid w:val="00F66C05"/>
    <w:rsid w:val="00F66EE8"/>
    <w:rsid w:val="00F66F2A"/>
    <w:rsid w:val="00F671EF"/>
    <w:rsid w:val="00F70859"/>
    <w:rsid w:val="00F70AD1"/>
    <w:rsid w:val="00F70B5E"/>
    <w:rsid w:val="00F71439"/>
    <w:rsid w:val="00F71562"/>
    <w:rsid w:val="00F7166A"/>
    <w:rsid w:val="00F71967"/>
    <w:rsid w:val="00F71E80"/>
    <w:rsid w:val="00F727D6"/>
    <w:rsid w:val="00F728C0"/>
    <w:rsid w:val="00F72BD5"/>
    <w:rsid w:val="00F72BF0"/>
    <w:rsid w:val="00F72F27"/>
    <w:rsid w:val="00F72F7B"/>
    <w:rsid w:val="00F73D46"/>
    <w:rsid w:val="00F73D61"/>
    <w:rsid w:val="00F7433B"/>
    <w:rsid w:val="00F745EE"/>
    <w:rsid w:val="00F7564F"/>
    <w:rsid w:val="00F7566C"/>
    <w:rsid w:val="00F7582E"/>
    <w:rsid w:val="00F75948"/>
    <w:rsid w:val="00F75B95"/>
    <w:rsid w:val="00F75F18"/>
    <w:rsid w:val="00F76608"/>
    <w:rsid w:val="00F7688B"/>
    <w:rsid w:val="00F7694B"/>
    <w:rsid w:val="00F76BAF"/>
    <w:rsid w:val="00F76E36"/>
    <w:rsid w:val="00F76E53"/>
    <w:rsid w:val="00F770DE"/>
    <w:rsid w:val="00F77399"/>
    <w:rsid w:val="00F77434"/>
    <w:rsid w:val="00F77444"/>
    <w:rsid w:val="00F775E5"/>
    <w:rsid w:val="00F77A3E"/>
    <w:rsid w:val="00F77D29"/>
    <w:rsid w:val="00F77DE2"/>
    <w:rsid w:val="00F80685"/>
    <w:rsid w:val="00F80A54"/>
    <w:rsid w:val="00F8133B"/>
    <w:rsid w:val="00F81B3F"/>
    <w:rsid w:val="00F81D9C"/>
    <w:rsid w:val="00F82A4D"/>
    <w:rsid w:val="00F82B02"/>
    <w:rsid w:val="00F82D92"/>
    <w:rsid w:val="00F82D9E"/>
    <w:rsid w:val="00F83638"/>
    <w:rsid w:val="00F83725"/>
    <w:rsid w:val="00F838AA"/>
    <w:rsid w:val="00F83AEA"/>
    <w:rsid w:val="00F83C45"/>
    <w:rsid w:val="00F84964"/>
    <w:rsid w:val="00F84ED3"/>
    <w:rsid w:val="00F85F6E"/>
    <w:rsid w:val="00F86120"/>
    <w:rsid w:val="00F86CFB"/>
    <w:rsid w:val="00F86E65"/>
    <w:rsid w:val="00F87098"/>
    <w:rsid w:val="00F87130"/>
    <w:rsid w:val="00F874C0"/>
    <w:rsid w:val="00F874EC"/>
    <w:rsid w:val="00F878E2"/>
    <w:rsid w:val="00F8792E"/>
    <w:rsid w:val="00F903E3"/>
    <w:rsid w:val="00F9052E"/>
    <w:rsid w:val="00F9057E"/>
    <w:rsid w:val="00F90C94"/>
    <w:rsid w:val="00F90E86"/>
    <w:rsid w:val="00F90F21"/>
    <w:rsid w:val="00F9161F"/>
    <w:rsid w:val="00F9182E"/>
    <w:rsid w:val="00F91A22"/>
    <w:rsid w:val="00F91A78"/>
    <w:rsid w:val="00F92B8A"/>
    <w:rsid w:val="00F936A2"/>
    <w:rsid w:val="00F93BA6"/>
    <w:rsid w:val="00F94740"/>
    <w:rsid w:val="00F94A62"/>
    <w:rsid w:val="00F95147"/>
    <w:rsid w:val="00F953D4"/>
    <w:rsid w:val="00F9574A"/>
    <w:rsid w:val="00F95BFE"/>
    <w:rsid w:val="00F961D6"/>
    <w:rsid w:val="00F9639E"/>
    <w:rsid w:val="00F963E6"/>
    <w:rsid w:val="00F9664A"/>
    <w:rsid w:val="00F966AE"/>
    <w:rsid w:val="00F96D29"/>
    <w:rsid w:val="00F96ECC"/>
    <w:rsid w:val="00F9725C"/>
    <w:rsid w:val="00F972C7"/>
    <w:rsid w:val="00FA0B7F"/>
    <w:rsid w:val="00FA0E65"/>
    <w:rsid w:val="00FA18AF"/>
    <w:rsid w:val="00FA220A"/>
    <w:rsid w:val="00FA279D"/>
    <w:rsid w:val="00FA2ACA"/>
    <w:rsid w:val="00FA2C0A"/>
    <w:rsid w:val="00FA30FA"/>
    <w:rsid w:val="00FA3FF1"/>
    <w:rsid w:val="00FA48B6"/>
    <w:rsid w:val="00FA4ABE"/>
    <w:rsid w:val="00FA4C5A"/>
    <w:rsid w:val="00FA556D"/>
    <w:rsid w:val="00FA5A25"/>
    <w:rsid w:val="00FA5C72"/>
    <w:rsid w:val="00FA5D49"/>
    <w:rsid w:val="00FA6342"/>
    <w:rsid w:val="00FA6C7D"/>
    <w:rsid w:val="00FA713B"/>
    <w:rsid w:val="00FA72A7"/>
    <w:rsid w:val="00FA7886"/>
    <w:rsid w:val="00FB015E"/>
    <w:rsid w:val="00FB0D2F"/>
    <w:rsid w:val="00FB1033"/>
    <w:rsid w:val="00FB1221"/>
    <w:rsid w:val="00FB12B1"/>
    <w:rsid w:val="00FB19BB"/>
    <w:rsid w:val="00FB1D80"/>
    <w:rsid w:val="00FB1FC5"/>
    <w:rsid w:val="00FB215D"/>
    <w:rsid w:val="00FB2489"/>
    <w:rsid w:val="00FB24C0"/>
    <w:rsid w:val="00FB277C"/>
    <w:rsid w:val="00FB27EB"/>
    <w:rsid w:val="00FB29CA"/>
    <w:rsid w:val="00FB2C46"/>
    <w:rsid w:val="00FB30EE"/>
    <w:rsid w:val="00FB34CF"/>
    <w:rsid w:val="00FB35FB"/>
    <w:rsid w:val="00FB38BC"/>
    <w:rsid w:val="00FB4272"/>
    <w:rsid w:val="00FB4461"/>
    <w:rsid w:val="00FB4BE6"/>
    <w:rsid w:val="00FB4DB0"/>
    <w:rsid w:val="00FB5BEB"/>
    <w:rsid w:val="00FB5CFE"/>
    <w:rsid w:val="00FB5E38"/>
    <w:rsid w:val="00FB60BF"/>
    <w:rsid w:val="00FB6755"/>
    <w:rsid w:val="00FB68AC"/>
    <w:rsid w:val="00FB6B3E"/>
    <w:rsid w:val="00FB70C0"/>
    <w:rsid w:val="00FB71D7"/>
    <w:rsid w:val="00FB76B3"/>
    <w:rsid w:val="00FB7D5E"/>
    <w:rsid w:val="00FB7F83"/>
    <w:rsid w:val="00FC03FE"/>
    <w:rsid w:val="00FC0BA6"/>
    <w:rsid w:val="00FC0FC9"/>
    <w:rsid w:val="00FC106F"/>
    <w:rsid w:val="00FC16B6"/>
    <w:rsid w:val="00FC1989"/>
    <w:rsid w:val="00FC19D4"/>
    <w:rsid w:val="00FC1D5C"/>
    <w:rsid w:val="00FC2691"/>
    <w:rsid w:val="00FC364B"/>
    <w:rsid w:val="00FC37C5"/>
    <w:rsid w:val="00FC3997"/>
    <w:rsid w:val="00FC42C3"/>
    <w:rsid w:val="00FC4573"/>
    <w:rsid w:val="00FC4CA8"/>
    <w:rsid w:val="00FC5051"/>
    <w:rsid w:val="00FC5369"/>
    <w:rsid w:val="00FC56B1"/>
    <w:rsid w:val="00FC5A2D"/>
    <w:rsid w:val="00FC5BDD"/>
    <w:rsid w:val="00FC6486"/>
    <w:rsid w:val="00FC6FD6"/>
    <w:rsid w:val="00FC730D"/>
    <w:rsid w:val="00FC7634"/>
    <w:rsid w:val="00FC7912"/>
    <w:rsid w:val="00FC7C5F"/>
    <w:rsid w:val="00FC7F22"/>
    <w:rsid w:val="00FD09BE"/>
    <w:rsid w:val="00FD1612"/>
    <w:rsid w:val="00FD19CD"/>
    <w:rsid w:val="00FD20F3"/>
    <w:rsid w:val="00FD216E"/>
    <w:rsid w:val="00FD3032"/>
    <w:rsid w:val="00FD31A7"/>
    <w:rsid w:val="00FD3CA2"/>
    <w:rsid w:val="00FD3E8A"/>
    <w:rsid w:val="00FD3E94"/>
    <w:rsid w:val="00FD4326"/>
    <w:rsid w:val="00FD4826"/>
    <w:rsid w:val="00FD4A2E"/>
    <w:rsid w:val="00FD53BF"/>
    <w:rsid w:val="00FD5812"/>
    <w:rsid w:val="00FD6980"/>
    <w:rsid w:val="00FD6CAA"/>
    <w:rsid w:val="00FD71E4"/>
    <w:rsid w:val="00FD79D1"/>
    <w:rsid w:val="00FD7BD2"/>
    <w:rsid w:val="00FD7D8B"/>
    <w:rsid w:val="00FD7E9A"/>
    <w:rsid w:val="00FE078D"/>
    <w:rsid w:val="00FE136D"/>
    <w:rsid w:val="00FE1A90"/>
    <w:rsid w:val="00FE1D67"/>
    <w:rsid w:val="00FE1D97"/>
    <w:rsid w:val="00FE2307"/>
    <w:rsid w:val="00FE294D"/>
    <w:rsid w:val="00FE32CE"/>
    <w:rsid w:val="00FE3AA8"/>
    <w:rsid w:val="00FE3D8F"/>
    <w:rsid w:val="00FE3ECA"/>
    <w:rsid w:val="00FE487A"/>
    <w:rsid w:val="00FE5446"/>
    <w:rsid w:val="00FE5BA1"/>
    <w:rsid w:val="00FE65FB"/>
    <w:rsid w:val="00FE6666"/>
    <w:rsid w:val="00FE6A76"/>
    <w:rsid w:val="00FE7AF5"/>
    <w:rsid w:val="00FF01F5"/>
    <w:rsid w:val="00FF06AE"/>
    <w:rsid w:val="00FF077A"/>
    <w:rsid w:val="00FF0AEB"/>
    <w:rsid w:val="00FF1D37"/>
    <w:rsid w:val="00FF31EB"/>
    <w:rsid w:val="00FF352A"/>
    <w:rsid w:val="00FF3D9D"/>
    <w:rsid w:val="00FF3FC8"/>
    <w:rsid w:val="00FF44B0"/>
    <w:rsid w:val="00FF4A57"/>
    <w:rsid w:val="00FF4E0E"/>
    <w:rsid w:val="00FF54B1"/>
    <w:rsid w:val="00FF5A7D"/>
    <w:rsid w:val="00FF5CFB"/>
    <w:rsid w:val="00FF6B32"/>
    <w:rsid w:val="00FF6C92"/>
    <w:rsid w:val="00FF6E5D"/>
    <w:rsid w:val="00F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4E54"/>
  <w15:docId w15:val="{8A47C12F-0671-422C-91F4-7B149CFC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B2531"/>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0B2531"/>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0B2531"/>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0B2531"/>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0B2531"/>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semiHidden/>
    <w:unhideWhenUsed/>
    <w:qFormat/>
    <w:rsid w:val="000B2531"/>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0B2531"/>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531"/>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0B2531"/>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0B253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B2531"/>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0B2531"/>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B2531"/>
    <w:rPr>
      <w:rFonts w:ascii="Calibri" w:eastAsia="Times New Roman" w:hAnsi="Calibri" w:cs="Times New Roman"/>
      <w:b/>
      <w:bCs/>
    </w:rPr>
  </w:style>
  <w:style w:type="character" w:customStyle="1" w:styleId="Heading7Char">
    <w:name w:val="Heading 7 Char"/>
    <w:basedOn w:val="DefaultParagraphFont"/>
    <w:link w:val="Heading7"/>
    <w:rsid w:val="000B2531"/>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0B2531"/>
  </w:style>
  <w:style w:type="paragraph" w:styleId="BodyText">
    <w:name w:val="Body Text"/>
    <w:basedOn w:val="Normal"/>
    <w:link w:val="BodyTextChar"/>
    <w:rsid w:val="000B2531"/>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0B2531"/>
    <w:rPr>
      <w:rFonts w:ascii="Times New Roman" w:eastAsia="Times New Roman" w:hAnsi="Times New Roman" w:cs="Times New Roman"/>
      <w:sz w:val="26"/>
      <w:szCs w:val="20"/>
    </w:rPr>
  </w:style>
  <w:style w:type="character" w:styleId="Hyperlink">
    <w:name w:val="Hyperlink"/>
    <w:basedOn w:val="DefaultParagraphFont"/>
    <w:rsid w:val="000B2531"/>
    <w:rPr>
      <w:color w:val="0000FF"/>
      <w:u w:val="single"/>
    </w:rPr>
  </w:style>
  <w:style w:type="paragraph" w:styleId="Footer">
    <w:name w:val="footer"/>
    <w:basedOn w:val="Normal"/>
    <w:link w:val="FooterChar"/>
    <w:uiPriority w:val="99"/>
    <w:rsid w:val="000B2531"/>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uiPriority w:val="99"/>
    <w:rsid w:val="000B2531"/>
    <w:rPr>
      <w:rFonts w:ascii="Times New Roman" w:eastAsia="Times New Roman" w:hAnsi="Times New Roman" w:cs="Times New Roman"/>
      <w:sz w:val="26"/>
      <w:szCs w:val="20"/>
    </w:rPr>
  </w:style>
  <w:style w:type="character" w:styleId="PageNumber">
    <w:name w:val="page number"/>
    <w:basedOn w:val="DefaultParagraphFont"/>
    <w:rsid w:val="000B2531"/>
  </w:style>
  <w:style w:type="paragraph" w:styleId="BodyTextIndent">
    <w:name w:val="Body Text Indent"/>
    <w:basedOn w:val="Normal"/>
    <w:link w:val="BodyTextIndentChar"/>
    <w:rsid w:val="000B2531"/>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0B2531"/>
    <w:rPr>
      <w:rFonts w:ascii="Times New Roman" w:eastAsia="Times New Roman" w:hAnsi="Times New Roman" w:cs="Times New Roman"/>
      <w:sz w:val="26"/>
      <w:szCs w:val="20"/>
    </w:rPr>
  </w:style>
  <w:style w:type="paragraph" w:styleId="BodyTextIndent2">
    <w:name w:val="Body Text Indent 2"/>
    <w:basedOn w:val="Normal"/>
    <w:link w:val="BodyTextIndent2Char"/>
    <w:rsid w:val="000B2531"/>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0B2531"/>
    <w:rPr>
      <w:rFonts w:ascii="Times New Roman" w:eastAsia="Times New Roman" w:hAnsi="Times New Roman" w:cs="Times New Roman"/>
      <w:b/>
      <w:sz w:val="24"/>
      <w:szCs w:val="20"/>
    </w:rPr>
  </w:style>
  <w:style w:type="character" w:styleId="Strong">
    <w:name w:val="Strong"/>
    <w:basedOn w:val="DefaultParagraphFont"/>
    <w:qFormat/>
    <w:rsid w:val="000B2531"/>
    <w:rPr>
      <w:b/>
      <w:bCs/>
    </w:rPr>
  </w:style>
  <w:style w:type="table" w:styleId="TableGrid">
    <w:name w:val="Table Grid"/>
    <w:basedOn w:val="TableNormal"/>
    <w:uiPriority w:val="59"/>
    <w:rsid w:val="000B25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B253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B2531"/>
    <w:rPr>
      <w:rFonts w:ascii="Tahoma" w:eastAsia="Times New Roman" w:hAnsi="Tahoma" w:cs="Tahoma"/>
      <w:sz w:val="16"/>
      <w:szCs w:val="16"/>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uiPriority w:val="99"/>
    <w:rsid w:val="000B25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uiPriority w:val="99"/>
    <w:rsid w:val="000B2531"/>
    <w:rPr>
      <w:rFonts w:ascii="Times New Roman" w:eastAsia="Times New Roman" w:hAnsi="Times New Roman" w:cs="Times New Roman"/>
      <w:sz w:val="20"/>
      <w:szCs w:val="20"/>
    </w:rPr>
  </w:style>
  <w:style w:type="character" w:styleId="FootnoteReference">
    <w:name w:val="footnote reference"/>
    <w:aliases w:val="o,fr,footnote text"/>
    <w:basedOn w:val="DefaultParagraphFont"/>
    <w:uiPriority w:val="99"/>
    <w:qFormat/>
    <w:rsid w:val="000B2531"/>
    <w:rPr>
      <w:vertAlign w:val="superscript"/>
    </w:rPr>
  </w:style>
  <w:style w:type="character" w:styleId="Emphasis">
    <w:name w:val="Emphasis"/>
    <w:basedOn w:val="DefaultParagraphFont"/>
    <w:qFormat/>
    <w:rsid w:val="000B2531"/>
    <w:rPr>
      <w:i/>
      <w:iCs/>
    </w:rPr>
  </w:style>
  <w:style w:type="paragraph" w:styleId="Header">
    <w:name w:val="header"/>
    <w:basedOn w:val="Normal"/>
    <w:link w:val="HeaderChar"/>
    <w:rsid w:val="000B25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B2531"/>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0B2531"/>
    <w:rPr>
      <w:sz w:val="16"/>
      <w:szCs w:val="16"/>
    </w:rPr>
  </w:style>
  <w:style w:type="paragraph" w:styleId="CommentText">
    <w:name w:val="annotation text"/>
    <w:basedOn w:val="Normal"/>
    <w:link w:val="CommentTextChar"/>
    <w:uiPriority w:val="99"/>
    <w:rsid w:val="000B253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B25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B2531"/>
    <w:rPr>
      <w:b/>
      <w:bCs/>
    </w:rPr>
  </w:style>
  <w:style w:type="character" w:customStyle="1" w:styleId="CommentSubjectChar">
    <w:name w:val="Comment Subject Char"/>
    <w:basedOn w:val="CommentTextChar"/>
    <w:link w:val="CommentSubject"/>
    <w:rsid w:val="000B2531"/>
    <w:rPr>
      <w:rFonts w:ascii="Times New Roman" w:eastAsia="Times New Roman" w:hAnsi="Times New Roman" w:cs="Times New Roman"/>
      <w:b/>
      <w:bCs/>
      <w:sz w:val="20"/>
      <w:szCs w:val="20"/>
    </w:rPr>
  </w:style>
  <w:style w:type="paragraph" w:styleId="ListParagraph">
    <w:name w:val="List Paragraph"/>
    <w:basedOn w:val="Normal"/>
    <w:uiPriority w:val="34"/>
    <w:qFormat/>
    <w:rsid w:val="000B253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B2531"/>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2F3AD8"/>
    <w:pPr>
      <w:spacing w:after="0" w:line="240" w:lineRule="auto"/>
    </w:pPr>
    <w:rPr>
      <w:rFonts w:ascii="Calibri" w:eastAsia="Times New Roman" w:hAnsi="Calibri" w:cs="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uiPriority w:val="1"/>
    <w:qFormat/>
    <w:rsid w:val="00E51BC9"/>
    <w:pPr>
      <w:spacing w:after="0" w:line="240" w:lineRule="auto"/>
    </w:pPr>
  </w:style>
  <w:style w:type="paragraph" w:styleId="Revision">
    <w:name w:val="Revision"/>
    <w:hidden/>
    <w:uiPriority w:val="99"/>
    <w:semiHidden/>
    <w:rsid w:val="004F432E"/>
    <w:pPr>
      <w:spacing w:after="0" w:line="240" w:lineRule="auto"/>
    </w:pPr>
  </w:style>
  <w:style w:type="numbering" w:customStyle="1" w:styleId="Style1">
    <w:name w:val="Style1"/>
    <w:uiPriority w:val="99"/>
    <w:rsid w:val="00246156"/>
    <w:pPr>
      <w:numPr>
        <w:numId w:val="1"/>
      </w:numPr>
    </w:pPr>
  </w:style>
  <w:style w:type="character" w:customStyle="1" w:styleId="NoSpacingChar">
    <w:name w:val="No Spacing Char"/>
    <w:basedOn w:val="DefaultParagraphFont"/>
    <w:link w:val="NoSpacing"/>
    <w:uiPriority w:val="1"/>
    <w:rsid w:val="00DC059B"/>
  </w:style>
  <w:style w:type="character" w:customStyle="1" w:styleId="UnresolvedMention1">
    <w:name w:val="Unresolved Mention1"/>
    <w:basedOn w:val="DefaultParagraphFont"/>
    <w:uiPriority w:val="99"/>
    <w:semiHidden/>
    <w:unhideWhenUsed/>
    <w:rsid w:val="008336F1"/>
    <w:rPr>
      <w:color w:val="808080"/>
      <w:shd w:val="clear" w:color="auto" w:fill="E6E6E6"/>
    </w:rPr>
  </w:style>
  <w:style w:type="character" w:styleId="UnresolvedMention">
    <w:name w:val="Unresolved Mention"/>
    <w:basedOn w:val="DefaultParagraphFont"/>
    <w:uiPriority w:val="99"/>
    <w:semiHidden/>
    <w:unhideWhenUsed/>
    <w:rsid w:val="005C2902"/>
    <w:rPr>
      <w:color w:val="605E5C"/>
      <w:shd w:val="clear" w:color="auto" w:fill="E1DFDD"/>
    </w:rPr>
  </w:style>
  <w:style w:type="paragraph" w:styleId="TOC8">
    <w:name w:val="toc 8"/>
    <w:basedOn w:val="Normal"/>
    <w:next w:val="Normal"/>
    <w:semiHidden/>
    <w:rsid w:val="00114E40"/>
    <w:pPr>
      <w:tabs>
        <w:tab w:val="right" w:pos="9360"/>
      </w:tabs>
      <w:suppressAutoHyphens/>
      <w:spacing w:after="0" w:line="240" w:lineRule="auto"/>
      <w:ind w:left="720" w:hanging="720"/>
    </w:pPr>
    <w:rPr>
      <w:rFonts w:ascii="Courier" w:eastAsia="Times New Roman" w:hAnsi="Courier" w:cs="Times New Roman"/>
      <w:sz w:val="24"/>
      <w:szCs w:val="20"/>
    </w:rPr>
  </w:style>
  <w:style w:type="character" w:customStyle="1" w:styleId="FootnoteTextCharChar1Char1">
    <w:name w:val="Footnote Text Char Char1 Char1"/>
    <w:aliases w:val="Footnote Text Char1 Char Char Char1,Footnote Text Char Char1 Char Char Char1,Footnote Text Char2 Char Char1 Char Char Char1,Footnote Text Char1 Char Char Char Char Char1 Char1"/>
    <w:basedOn w:val="DefaultParagraphFont"/>
    <w:uiPriority w:val="99"/>
    <w:rsid w:val="004D25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8150">
      <w:bodyDiv w:val="1"/>
      <w:marLeft w:val="0"/>
      <w:marRight w:val="0"/>
      <w:marTop w:val="0"/>
      <w:marBottom w:val="0"/>
      <w:divBdr>
        <w:top w:val="none" w:sz="0" w:space="0" w:color="auto"/>
        <w:left w:val="none" w:sz="0" w:space="0" w:color="auto"/>
        <w:bottom w:val="none" w:sz="0" w:space="0" w:color="auto"/>
        <w:right w:val="none" w:sz="0" w:space="0" w:color="auto"/>
      </w:divBdr>
      <w:divsChild>
        <w:div w:id="1000890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072">
      <w:bodyDiv w:val="1"/>
      <w:marLeft w:val="0"/>
      <w:marRight w:val="0"/>
      <w:marTop w:val="0"/>
      <w:marBottom w:val="0"/>
      <w:divBdr>
        <w:top w:val="none" w:sz="0" w:space="0" w:color="auto"/>
        <w:left w:val="none" w:sz="0" w:space="0" w:color="auto"/>
        <w:bottom w:val="none" w:sz="0" w:space="0" w:color="auto"/>
        <w:right w:val="none" w:sz="0" w:space="0" w:color="auto"/>
      </w:divBdr>
    </w:div>
    <w:div w:id="1078598742">
      <w:bodyDiv w:val="1"/>
      <w:marLeft w:val="0"/>
      <w:marRight w:val="0"/>
      <w:marTop w:val="0"/>
      <w:marBottom w:val="0"/>
      <w:divBdr>
        <w:top w:val="none" w:sz="0" w:space="0" w:color="auto"/>
        <w:left w:val="none" w:sz="0" w:space="0" w:color="auto"/>
        <w:bottom w:val="none" w:sz="0" w:space="0" w:color="auto"/>
        <w:right w:val="none" w:sz="0" w:space="0" w:color="auto"/>
      </w:divBdr>
    </w:div>
    <w:div w:id="1098788599">
      <w:bodyDiv w:val="1"/>
      <w:marLeft w:val="0"/>
      <w:marRight w:val="0"/>
      <w:marTop w:val="0"/>
      <w:marBottom w:val="0"/>
      <w:divBdr>
        <w:top w:val="none" w:sz="0" w:space="0" w:color="auto"/>
        <w:left w:val="none" w:sz="0" w:space="0" w:color="auto"/>
        <w:bottom w:val="none" w:sz="0" w:space="0" w:color="auto"/>
        <w:right w:val="none" w:sz="0" w:space="0" w:color="auto"/>
      </w:divBdr>
    </w:div>
    <w:div w:id="17426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gee@p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efault.aspx" TargetMode="External"/><Relationship Id="rId4" Type="http://schemas.openxmlformats.org/officeDocument/2006/relationships/settings" Target="settings.xml"/><Relationship Id="rId9" Type="http://schemas.openxmlformats.org/officeDocument/2006/relationships/hyperlink" Target="mailto:finksmith@pa.go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opiniondynamics.com/wp-content/uploads/2013/08/Pathways-to-Success-in-Low-Income-Energy-Assistance-Payment-Programs1.pdf" TargetMode="External"/><Relationship Id="rId2" Type="http://schemas.openxmlformats.org/officeDocument/2006/relationships/hyperlink" Target="https://www.state.nj.us/dca/divisions/dhcr/faq/usf.html" TargetMode="External"/><Relationship Id="rId1" Type="http://schemas.openxmlformats.org/officeDocument/2006/relationships/hyperlink" Target="https://www.puco.ohio.gov/be-informed/consumer-topics/energy-assistance-programs-help-with-paying-your-utility-b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A6494-F979-4617-B809-C1F4A5AE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5721</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Tate, Michele</dc:creator>
  <cp:lastModifiedBy>Sheffer, Ryan</cp:lastModifiedBy>
  <cp:revision>4</cp:revision>
  <cp:lastPrinted>2018-10-15T21:01:00Z</cp:lastPrinted>
  <dcterms:created xsi:type="dcterms:W3CDTF">2019-01-16T19:38:00Z</dcterms:created>
  <dcterms:modified xsi:type="dcterms:W3CDTF">2019-01-17T13:48:00Z</dcterms:modified>
</cp:coreProperties>
</file>