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C3A4D3" w14:textId="77777777" w:rsidR="00222A0A" w:rsidRDefault="00222A0A" w:rsidP="00385B95">
      <w:pPr>
        <w:widowControl/>
        <w:tabs>
          <w:tab w:val="center" w:pos="4680"/>
        </w:tabs>
        <w:jc w:val="center"/>
        <w:rPr>
          <w:b/>
          <w:sz w:val="26"/>
          <w:szCs w:val="26"/>
        </w:rPr>
      </w:pPr>
      <w:r>
        <w:rPr>
          <w:b/>
          <w:sz w:val="26"/>
          <w:szCs w:val="26"/>
        </w:rPr>
        <w:t>PENNSYLVANIA</w:t>
      </w:r>
    </w:p>
    <w:p w14:paraId="6E97278A" w14:textId="77777777" w:rsidR="00222A0A" w:rsidRDefault="00222A0A" w:rsidP="00B316FA">
      <w:pPr>
        <w:widowControl/>
        <w:tabs>
          <w:tab w:val="center" w:pos="4680"/>
        </w:tabs>
        <w:jc w:val="center"/>
        <w:rPr>
          <w:sz w:val="26"/>
          <w:szCs w:val="26"/>
        </w:rPr>
      </w:pPr>
      <w:r>
        <w:rPr>
          <w:b/>
          <w:sz w:val="26"/>
          <w:szCs w:val="26"/>
        </w:rPr>
        <w:t>PUBLIC UTILITY COMMISSION</w:t>
      </w:r>
    </w:p>
    <w:p w14:paraId="37D4C0C2" w14:textId="77777777" w:rsidR="00222A0A" w:rsidRDefault="00222A0A" w:rsidP="00B316FA">
      <w:pPr>
        <w:widowControl/>
        <w:tabs>
          <w:tab w:val="center" w:pos="4680"/>
        </w:tabs>
        <w:jc w:val="center"/>
        <w:rPr>
          <w:sz w:val="26"/>
          <w:szCs w:val="26"/>
        </w:rPr>
      </w:pPr>
      <w:r>
        <w:rPr>
          <w:b/>
          <w:sz w:val="26"/>
          <w:szCs w:val="26"/>
        </w:rPr>
        <w:t>Harrisburg, PA 17105-3265</w:t>
      </w:r>
    </w:p>
    <w:p w14:paraId="77F3B468" w14:textId="77777777" w:rsidR="00222A0A" w:rsidRDefault="00222A0A" w:rsidP="00B316FA">
      <w:pPr>
        <w:widowControl/>
        <w:rPr>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1"/>
        <w:gridCol w:w="4539"/>
      </w:tblGrid>
      <w:tr w:rsidR="00222A0A" w14:paraId="438976D3" w14:textId="77777777" w:rsidTr="00222A0A">
        <w:tc>
          <w:tcPr>
            <w:tcW w:w="4878" w:type="dxa"/>
          </w:tcPr>
          <w:p w14:paraId="5B5CE321" w14:textId="77777777" w:rsidR="00222A0A" w:rsidRDefault="00222A0A" w:rsidP="00B316FA">
            <w:pPr>
              <w:widowControl/>
              <w:rPr>
                <w:sz w:val="26"/>
                <w:szCs w:val="26"/>
              </w:rPr>
            </w:pPr>
          </w:p>
        </w:tc>
        <w:tc>
          <w:tcPr>
            <w:tcW w:w="4608" w:type="dxa"/>
            <w:hideMark/>
          </w:tcPr>
          <w:p w14:paraId="158251D1" w14:textId="77777777" w:rsidR="00222A0A" w:rsidRDefault="009A35B4" w:rsidP="00B316FA">
            <w:pPr>
              <w:widowControl/>
              <w:jc w:val="right"/>
              <w:rPr>
                <w:sz w:val="26"/>
                <w:szCs w:val="26"/>
              </w:rPr>
            </w:pPr>
            <w:r>
              <w:rPr>
                <w:sz w:val="26"/>
                <w:szCs w:val="26"/>
              </w:rPr>
              <w:t xml:space="preserve">Public Meeting held </w:t>
            </w:r>
            <w:r w:rsidR="0091667E">
              <w:rPr>
                <w:sz w:val="26"/>
                <w:szCs w:val="26"/>
              </w:rPr>
              <w:t>January 17</w:t>
            </w:r>
            <w:r w:rsidR="003710CA">
              <w:rPr>
                <w:sz w:val="26"/>
                <w:szCs w:val="26"/>
              </w:rPr>
              <w:t>, 201</w:t>
            </w:r>
            <w:r w:rsidR="0091667E">
              <w:rPr>
                <w:sz w:val="26"/>
                <w:szCs w:val="26"/>
              </w:rPr>
              <w:t>9</w:t>
            </w:r>
          </w:p>
        </w:tc>
      </w:tr>
      <w:tr w:rsidR="00222A0A" w14:paraId="5B5E0EF4" w14:textId="77777777" w:rsidTr="00204746">
        <w:trPr>
          <w:trHeight w:val="2457"/>
        </w:trPr>
        <w:tc>
          <w:tcPr>
            <w:tcW w:w="4878" w:type="dxa"/>
          </w:tcPr>
          <w:p w14:paraId="0BA04377" w14:textId="77777777" w:rsidR="00222A0A" w:rsidRDefault="00222A0A" w:rsidP="00B316FA">
            <w:pPr>
              <w:widowControl/>
              <w:rPr>
                <w:sz w:val="26"/>
                <w:szCs w:val="26"/>
              </w:rPr>
            </w:pPr>
          </w:p>
          <w:p w14:paraId="1E48D24C" w14:textId="77777777" w:rsidR="00222A0A" w:rsidRDefault="00222A0A" w:rsidP="00B316FA">
            <w:pPr>
              <w:widowControl/>
              <w:rPr>
                <w:sz w:val="26"/>
                <w:szCs w:val="26"/>
              </w:rPr>
            </w:pPr>
            <w:r>
              <w:rPr>
                <w:sz w:val="26"/>
                <w:szCs w:val="26"/>
              </w:rPr>
              <w:t>Commissioners Present:</w:t>
            </w:r>
          </w:p>
          <w:p w14:paraId="6AB86B93" w14:textId="77777777" w:rsidR="00222A0A" w:rsidRDefault="00222A0A" w:rsidP="00B316FA">
            <w:pPr>
              <w:widowControl/>
              <w:rPr>
                <w:sz w:val="26"/>
                <w:szCs w:val="26"/>
              </w:rPr>
            </w:pPr>
          </w:p>
          <w:p w14:paraId="4003C88F" w14:textId="77777777" w:rsidR="00BA1869" w:rsidRPr="002262C4" w:rsidRDefault="00BA1869" w:rsidP="00B316FA">
            <w:pPr>
              <w:widowControl/>
              <w:tabs>
                <w:tab w:val="left" w:pos="-720"/>
              </w:tabs>
              <w:ind w:left="720"/>
              <w:rPr>
                <w:sz w:val="26"/>
                <w:szCs w:val="26"/>
              </w:rPr>
            </w:pPr>
            <w:r w:rsidRPr="002262C4">
              <w:rPr>
                <w:sz w:val="26"/>
                <w:szCs w:val="26"/>
              </w:rPr>
              <w:t>Gladys M. Brown, Chairman</w:t>
            </w:r>
          </w:p>
          <w:p w14:paraId="6C31EDD6" w14:textId="77777777" w:rsidR="00BA1869" w:rsidRDefault="009C35A1" w:rsidP="009C35A1">
            <w:pPr>
              <w:widowControl/>
              <w:tabs>
                <w:tab w:val="left" w:pos="-720"/>
              </w:tabs>
              <w:ind w:left="720"/>
              <w:rPr>
                <w:sz w:val="26"/>
                <w:szCs w:val="26"/>
              </w:rPr>
            </w:pPr>
            <w:r>
              <w:rPr>
                <w:sz w:val="26"/>
                <w:szCs w:val="26"/>
              </w:rPr>
              <w:t>David W. Sweet</w:t>
            </w:r>
            <w:r w:rsidR="00BA1869" w:rsidRPr="002262C4">
              <w:rPr>
                <w:sz w:val="26"/>
                <w:szCs w:val="26"/>
              </w:rPr>
              <w:t>, Vice Chairman</w:t>
            </w:r>
          </w:p>
          <w:p w14:paraId="527E2D6B" w14:textId="77777777" w:rsidR="00BA1869" w:rsidRDefault="00BA1869" w:rsidP="00B316FA">
            <w:pPr>
              <w:widowControl/>
              <w:tabs>
                <w:tab w:val="left" w:pos="-720"/>
              </w:tabs>
              <w:ind w:left="720"/>
              <w:rPr>
                <w:sz w:val="26"/>
                <w:szCs w:val="26"/>
              </w:rPr>
            </w:pPr>
            <w:r w:rsidRPr="00D44DB2">
              <w:rPr>
                <w:sz w:val="26"/>
                <w:szCs w:val="26"/>
              </w:rPr>
              <w:t>Norman J. Kennard</w:t>
            </w:r>
          </w:p>
          <w:p w14:paraId="4DA13351" w14:textId="77777777" w:rsidR="009C35A1" w:rsidRPr="00D44DB2" w:rsidRDefault="009C35A1" w:rsidP="00B316FA">
            <w:pPr>
              <w:widowControl/>
              <w:tabs>
                <w:tab w:val="left" w:pos="-720"/>
              </w:tabs>
              <w:ind w:left="720"/>
              <w:rPr>
                <w:sz w:val="26"/>
                <w:szCs w:val="26"/>
              </w:rPr>
            </w:pPr>
            <w:r w:rsidRPr="002262C4">
              <w:rPr>
                <w:sz w:val="26"/>
                <w:szCs w:val="26"/>
              </w:rPr>
              <w:t>Andrew G. Place</w:t>
            </w:r>
          </w:p>
          <w:p w14:paraId="3C3A9546" w14:textId="77777777" w:rsidR="00222A0A" w:rsidRDefault="00BA1869" w:rsidP="00B316FA">
            <w:pPr>
              <w:widowControl/>
              <w:tabs>
                <w:tab w:val="left" w:pos="-720"/>
              </w:tabs>
              <w:ind w:left="720"/>
              <w:rPr>
                <w:sz w:val="26"/>
                <w:szCs w:val="26"/>
              </w:rPr>
            </w:pPr>
            <w:r w:rsidRPr="002262C4">
              <w:rPr>
                <w:sz w:val="26"/>
                <w:szCs w:val="26"/>
              </w:rPr>
              <w:t xml:space="preserve">John F. Coleman, Jr. </w:t>
            </w:r>
          </w:p>
        </w:tc>
        <w:tc>
          <w:tcPr>
            <w:tcW w:w="4608" w:type="dxa"/>
          </w:tcPr>
          <w:p w14:paraId="2E7D7905" w14:textId="77777777" w:rsidR="00222A0A" w:rsidRDefault="00222A0A" w:rsidP="00B316FA">
            <w:pPr>
              <w:widowControl/>
              <w:jc w:val="right"/>
              <w:rPr>
                <w:sz w:val="26"/>
                <w:szCs w:val="26"/>
              </w:rPr>
            </w:pPr>
          </w:p>
          <w:p w14:paraId="1E987F73" w14:textId="77777777" w:rsidR="00222A0A" w:rsidRDefault="00222A0A" w:rsidP="00B316FA">
            <w:pPr>
              <w:widowControl/>
              <w:jc w:val="right"/>
              <w:rPr>
                <w:sz w:val="26"/>
                <w:szCs w:val="26"/>
              </w:rPr>
            </w:pPr>
          </w:p>
        </w:tc>
      </w:tr>
      <w:tr w:rsidR="00222A0A" w14:paraId="270B99F3" w14:textId="77777777" w:rsidTr="00204746">
        <w:trPr>
          <w:trHeight w:val="675"/>
        </w:trPr>
        <w:tc>
          <w:tcPr>
            <w:tcW w:w="4878" w:type="dxa"/>
          </w:tcPr>
          <w:p w14:paraId="42709EFA" w14:textId="77777777" w:rsidR="00506EF3" w:rsidRDefault="00506EF3" w:rsidP="00B316FA">
            <w:pPr>
              <w:widowControl/>
              <w:rPr>
                <w:sz w:val="26"/>
                <w:szCs w:val="26"/>
              </w:rPr>
            </w:pPr>
          </w:p>
          <w:p w14:paraId="758FABB8" w14:textId="77777777" w:rsidR="00222A0A" w:rsidRDefault="005424BE" w:rsidP="00B316FA">
            <w:pPr>
              <w:widowControl/>
              <w:rPr>
                <w:sz w:val="26"/>
                <w:szCs w:val="26"/>
              </w:rPr>
            </w:pPr>
            <w:r>
              <w:rPr>
                <w:sz w:val="26"/>
                <w:szCs w:val="26"/>
              </w:rPr>
              <w:t>Glen DeHaven</w:t>
            </w:r>
          </w:p>
          <w:p w14:paraId="23BB95F3" w14:textId="77777777" w:rsidR="00B316FA" w:rsidRDefault="00B316FA" w:rsidP="00B316FA">
            <w:pPr>
              <w:widowControl/>
              <w:rPr>
                <w:sz w:val="26"/>
                <w:szCs w:val="26"/>
              </w:rPr>
            </w:pPr>
          </w:p>
        </w:tc>
        <w:tc>
          <w:tcPr>
            <w:tcW w:w="4608" w:type="dxa"/>
            <w:hideMark/>
          </w:tcPr>
          <w:p w14:paraId="6E745887" w14:textId="77777777" w:rsidR="00506EF3" w:rsidRDefault="00506EF3" w:rsidP="00B316FA">
            <w:pPr>
              <w:widowControl/>
              <w:jc w:val="right"/>
              <w:rPr>
                <w:sz w:val="26"/>
                <w:szCs w:val="26"/>
              </w:rPr>
            </w:pPr>
          </w:p>
          <w:p w14:paraId="0075174D" w14:textId="77777777" w:rsidR="00222A0A" w:rsidRDefault="005424BE" w:rsidP="00B316FA">
            <w:pPr>
              <w:widowControl/>
              <w:jc w:val="right"/>
              <w:rPr>
                <w:sz w:val="26"/>
                <w:szCs w:val="26"/>
              </w:rPr>
            </w:pPr>
            <w:r>
              <w:rPr>
                <w:sz w:val="26"/>
                <w:szCs w:val="26"/>
              </w:rPr>
              <w:t>C</w:t>
            </w:r>
            <w:r w:rsidR="007E3865">
              <w:rPr>
                <w:sz w:val="26"/>
                <w:szCs w:val="26"/>
              </w:rPr>
              <w:t>-2017-25</w:t>
            </w:r>
            <w:r>
              <w:rPr>
                <w:sz w:val="26"/>
                <w:szCs w:val="26"/>
              </w:rPr>
              <w:t>85680</w:t>
            </w:r>
          </w:p>
        </w:tc>
      </w:tr>
      <w:tr w:rsidR="00222A0A" w14:paraId="5ECB722F" w14:textId="77777777" w:rsidTr="00222A0A">
        <w:tc>
          <w:tcPr>
            <w:tcW w:w="4878" w:type="dxa"/>
          </w:tcPr>
          <w:p w14:paraId="031DC2DE" w14:textId="77777777" w:rsidR="00222A0A" w:rsidRDefault="00222A0A" w:rsidP="00B316FA">
            <w:pPr>
              <w:widowControl/>
              <w:ind w:firstLine="720"/>
              <w:rPr>
                <w:sz w:val="26"/>
                <w:szCs w:val="26"/>
              </w:rPr>
            </w:pPr>
            <w:r>
              <w:rPr>
                <w:sz w:val="26"/>
                <w:szCs w:val="26"/>
              </w:rPr>
              <w:t>v.</w:t>
            </w:r>
          </w:p>
          <w:p w14:paraId="27C9777C" w14:textId="77777777" w:rsidR="00B316FA" w:rsidRDefault="00B316FA" w:rsidP="00B316FA">
            <w:pPr>
              <w:widowControl/>
              <w:ind w:firstLine="720"/>
              <w:rPr>
                <w:sz w:val="26"/>
                <w:szCs w:val="26"/>
              </w:rPr>
            </w:pPr>
          </w:p>
        </w:tc>
        <w:tc>
          <w:tcPr>
            <w:tcW w:w="4608" w:type="dxa"/>
          </w:tcPr>
          <w:p w14:paraId="76F98E0D" w14:textId="77777777" w:rsidR="00222A0A" w:rsidRDefault="00222A0A" w:rsidP="00B316FA">
            <w:pPr>
              <w:widowControl/>
              <w:rPr>
                <w:sz w:val="26"/>
                <w:szCs w:val="26"/>
              </w:rPr>
            </w:pPr>
          </w:p>
        </w:tc>
      </w:tr>
      <w:tr w:rsidR="00222A0A" w14:paraId="38A12FA3" w14:textId="77777777" w:rsidTr="00204746">
        <w:trPr>
          <w:trHeight w:val="432"/>
        </w:trPr>
        <w:tc>
          <w:tcPr>
            <w:tcW w:w="4878" w:type="dxa"/>
          </w:tcPr>
          <w:p w14:paraId="3DE8550F" w14:textId="77777777" w:rsidR="00222A0A" w:rsidRDefault="007E3865" w:rsidP="00B316FA">
            <w:pPr>
              <w:widowControl/>
              <w:rPr>
                <w:sz w:val="26"/>
                <w:szCs w:val="26"/>
              </w:rPr>
            </w:pPr>
            <w:r>
              <w:rPr>
                <w:sz w:val="26"/>
                <w:szCs w:val="26"/>
              </w:rPr>
              <w:t>PECO Energy Company</w:t>
            </w:r>
          </w:p>
        </w:tc>
        <w:tc>
          <w:tcPr>
            <w:tcW w:w="4608" w:type="dxa"/>
          </w:tcPr>
          <w:p w14:paraId="1513EE14" w14:textId="77777777" w:rsidR="00222A0A" w:rsidRDefault="00222A0A" w:rsidP="00B316FA">
            <w:pPr>
              <w:widowControl/>
              <w:rPr>
                <w:sz w:val="26"/>
                <w:szCs w:val="26"/>
              </w:rPr>
            </w:pPr>
          </w:p>
        </w:tc>
      </w:tr>
    </w:tbl>
    <w:p w14:paraId="1AAD46CD" w14:textId="77777777" w:rsidR="00222A0A" w:rsidRDefault="00222A0A" w:rsidP="00B316FA">
      <w:pPr>
        <w:widowControl/>
        <w:rPr>
          <w:sz w:val="26"/>
          <w:szCs w:val="26"/>
        </w:rPr>
      </w:pPr>
    </w:p>
    <w:p w14:paraId="0481DE00" w14:textId="77777777" w:rsidR="00B316FA" w:rsidRDefault="00B316FA" w:rsidP="00B316FA">
      <w:pPr>
        <w:widowControl/>
        <w:rPr>
          <w:sz w:val="26"/>
          <w:szCs w:val="26"/>
        </w:rPr>
      </w:pPr>
    </w:p>
    <w:p w14:paraId="052E49F8" w14:textId="77777777" w:rsidR="00222A0A" w:rsidRDefault="00222A0A" w:rsidP="00B316FA">
      <w:pPr>
        <w:widowControl/>
        <w:jc w:val="center"/>
        <w:rPr>
          <w:b/>
          <w:sz w:val="26"/>
          <w:szCs w:val="26"/>
        </w:rPr>
      </w:pPr>
      <w:r>
        <w:rPr>
          <w:b/>
          <w:sz w:val="26"/>
          <w:szCs w:val="26"/>
        </w:rPr>
        <w:t>OPINION AND ORDER</w:t>
      </w:r>
    </w:p>
    <w:p w14:paraId="5BD869C3" w14:textId="77777777" w:rsidR="00222A0A" w:rsidRDefault="00222A0A" w:rsidP="00B316FA">
      <w:pPr>
        <w:widowControl/>
        <w:rPr>
          <w:sz w:val="26"/>
          <w:szCs w:val="26"/>
        </w:rPr>
      </w:pPr>
    </w:p>
    <w:p w14:paraId="185E404C" w14:textId="77777777" w:rsidR="00B316FA" w:rsidRDefault="00B316FA" w:rsidP="00B316FA">
      <w:pPr>
        <w:widowControl/>
        <w:spacing w:line="360" w:lineRule="auto"/>
        <w:rPr>
          <w:b/>
          <w:sz w:val="26"/>
          <w:szCs w:val="26"/>
        </w:rPr>
      </w:pPr>
    </w:p>
    <w:p w14:paraId="72D57102" w14:textId="77777777" w:rsidR="00222A0A" w:rsidRDefault="00222A0A" w:rsidP="00B316FA">
      <w:pPr>
        <w:widowControl/>
        <w:spacing w:line="360" w:lineRule="auto"/>
        <w:rPr>
          <w:b/>
          <w:sz w:val="26"/>
          <w:szCs w:val="26"/>
        </w:rPr>
      </w:pPr>
      <w:r>
        <w:rPr>
          <w:b/>
          <w:sz w:val="26"/>
          <w:szCs w:val="26"/>
        </w:rPr>
        <w:t>BY THE COMMISSION:</w:t>
      </w:r>
    </w:p>
    <w:p w14:paraId="015D4BEC" w14:textId="77777777" w:rsidR="00222A0A" w:rsidRDefault="00222A0A" w:rsidP="00B316FA">
      <w:pPr>
        <w:widowControl/>
        <w:spacing w:line="360" w:lineRule="auto"/>
        <w:rPr>
          <w:b/>
          <w:sz w:val="26"/>
          <w:szCs w:val="26"/>
        </w:rPr>
      </w:pPr>
    </w:p>
    <w:p w14:paraId="73364950" w14:textId="5D8B28B5" w:rsidR="00CA43A5" w:rsidRDefault="00CA43A5" w:rsidP="00B316FA">
      <w:pPr>
        <w:widowControl/>
        <w:spacing w:line="360" w:lineRule="auto"/>
        <w:ind w:firstLine="1440"/>
        <w:rPr>
          <w:sz w:val="26"/>
          <w:szCs w:val="26"/>
        </w:rPr>
      </w:pPr>
      <w:r w:rsidRPr="00CA43A5">
        <w:rPr>
          <w:sz w:val="26"/>
          <w:szCs w:val="26"/>
        </w:rPr>
        <w:t xml:space="preserve">Before the Pennsylvania Public Utility Commission (Commission) for consideration and disposition </w:t>
      </w:r>
      <w:r w:rsidR="00671E4C">
        <w:rPr>
          <w:color w:val="000000"/>
          <w:sz w:val="26"/>
        </w:rPr>
        <w:t>are the Exceptions (Exceptions) of</w:t>
      </w:r>
      <w:r w:rsidR="00222A0A">
        <w:rPr>
          <w:color w:val="000000"/>
          <w:sz w:val="26"/>
        </w:rPr>
        <w:t xml:space="preserve"> </w:t>
      </w:r>
      <w:r w:rsidR="0091667E">
        <w:rPr>
          <w:color w:val="000000"/>
          <w:sz w:val="26"/>
        </w:rPr>
        <w:t xml:space="preserve">PECO Energy Company </w:t>
      </w:r>
      <w:r w:rsidR="00360635">
        <w:rPr>
          <w:color w:val="000000"/>
          <w:sz w:val="26"/>
        </w:rPr>
        <w:t xml:space="preserve">(PECO or the Respondent) </w:t>
      </w:r>
      <w:r w:rsidR="00671E4C">
        <w:rPr>
          <w:color w:val="000000"/>
          <w:sz w:val="26"/>
        </w:rPr>
        <w:t xml:space="preserve">filed on </w:t>
      </w:r>
      <w:r w:rsidR="00360635">
        <w:rPr>
          <w:color w:val="000000"/>
          <w:sz w:val="26"/>
        </w:rPr>
        <w:t>September 25, 2018</w:t>
      </w:r>
      <w:r w:rsidR="00671E4C">
        <w:rPr>
          <w:color w:val="000000"/>
          <w:sz w:val="26"/>
        </w:rPr>
        <w:t xml:space="preserve">, to the Initial Decision </w:t>
      </w:r>
      <w:r w:rsidR="00360635">
        <w:rPr>
          <w:color w:val="000000"/>
          <w:sz w:val="26"/>
        </w:rPr>
        <w:t xml:space="preserve">on Remand </w:t>
      </w:r>
      <w:r w:rsidR="00671E4C">
        <w:rPr>
          <w:color w:val="000000"/>
          <w:sz w:val="26"/>
        </w:rPr>
        <w:t>(</w:t>
      </w:r>
      <w:r w:rsidR="007E3865">
        <w:rPr>
          <w:color w:val="000000"/>
          <w:sz w:val="26"/>
        </w:rPr>
        <w:t xml:space="preserve">Initial Decision </w:t>
      </w:r>
      <w:r w:rsidR="00971CA0">
        <w:rPr>
          <w:color w:val="000000"/>
          <w:sz w:val="26"/>
        </w:rPr>
        <w:t xml:space="preserve">on Remand </w:t>
      </w:r>
      <w:r w:rsidR="007E3865">
        <w:rPr>
          <w:color w:val="000000"/>
          <w:sz w:val="26"/>
        </w:rPr>
        <w:t xml:space="preserve">or </w:t>
      </w:r>
      <w:r w:rsidR="00671E4C">
        <w:rPr>
          <w:color w:val="000000"/>
          <w:sz w:val="26"/>
        </w:rPr>
        <w:t>I.D.</w:t>
      </w:r>
      <w:r w:rsidR="00360635">
        <w:rPr>
          <w:color w:val="000000"/>
          <w:sz w:val="26"/>
        </w:rPr>
        <w:t>R.</w:t>
      </w:r>
      <w:r w:rsidR="00671E4C">
        <w:rPr>
          <w:color w:val="000000"/>
          <w:sz w:val="26"/>
        </w:rPr>
        <w:t xml:space="preserve">) of </w:t>
      </w:r>
      <w:r w:rsidR="00C374D9">
        <w:rPr>
          <w:color w:val="000000"/>
          <w:sz w:val="26"/>
        </w:rPr>
        <w:t xml:space="preserve">Administrative Law Judge (ALJ) </w:t>
      </w:r>
      <w:r w:rsidR="005C7DF2">
        <w:rPr>
          <w:color w:val="000000"/>
          <w:sz w:val="26"/>
        </w:rPr>
        <w:t>Joel</w:t>
      </w:r>
      <w:r w:rsidR="00E87917">
        <w:rPr>
          <w:color w:val="000000"/>
          <w:sz w:val="26"/>
        </w:rPr>
        <w:t> </w:t>
      </w:r>
      <w:r w:rsidR="005C7DF2">
        <w:rPr>
          <w:color w:val="000000"/>
          <w:sz w:val="26"/>
        </w:rPr>
        <w:t>H. Cheskis</w:t>
      </w:r>
      <w:r w:rsidR="00222A0A">
        <w:rPr>
          <w:color w:val="000000"/>
          <w:sz w:val="26"/>
        </w:rPr>
        <w:t>,</w:t>
      </w:r>
      <w:r w:rsidR="00671E4C">
        <w:rPr>
          <w:color w:val="000000"/>
          <w:sz w:val="26"/>
        </w:rPr>
        <w:t xml:space="preserve"> which was </w:t>
      </w:r>
      <w:r w:rsidR="00CA5F3F">
        <w:rPr>
          <w:color w:val="000000"/>
          <w:sz w:val="26"/>
        </w:rPr>
        <w:t xml:space="preserve">served </w:t>
      </w:r>
      <w:r w:rsidR="00671E4C">
        <w:rPr>
          <w:color w:val="000000"/>
          <w:sz w:val="26"/>
        </w:rPr>
        <w:t xml:space="preserve">on </w:t>
      </w:r>
      <w:r w:rsidR="00360635">
        <w:rPr>
          <w:color w:val="000000"/>
          <w:sz w:val="26"/>
        </w:rPr>
        <w:t>September 7, 2018</w:t>
      </w:r>
      <w:r w:rsidR="00222A0A">
        <w:rPr>
          <w:color w:val="000000"/>
          <w:sz w:val="26"/>
        </w:rPr>
        <w:t xml:space="preserve">, </w:t>
      </w:r>
      <w:r w:rsidR="00671E4C">
        <w:rPr>
          <w:color w:val="000000"/>
          <w:sz w:val="26"/>
        </w:rPr>
        <w:t>in</w:t>
      </w:r>
      <w:r w:rsidR="00222A0A">
        <w:rPr>
          <w:color w:val="000000"/>
          <w:sz w:val="26"/>
        </w:rPr>
        <w:t xml:space="preserve"> the above-captioned proceeding</w:t>
      </w:r>
      <w:r w:rsidR="007B531E">
        <w:rPr>
          <w:color w:val="000000"/>
          <w:sz w:val="26"/>
        </w:rPr>
        <w:t xml:space="preserve">.  </w:t>
      </w:r>
      <w:r w:rsidR="00360635">
        <w:rPr>
          <w:color w:val="000000"/>
          <w:sz w:val="26"/>
        </w:rPr>
        <w:t xml:space="preserve">Mr. Glen DeHaven (the Complainant) did not </w:t>
      </w:r>
      <w:r w:rsidR="0009240C">
        <w:rPr>
          <w:color w:val="000000"/>
          <w:sz w:val="26"/>
        </w:rPr>
        <w:t xml:space="preserve">file Replies to Exceptions.  </w:t>
      </w:r>
      <w:bookmarkStart w:id="0" w:name="_Hlk505939723"/>
      <w:r w:rsidR="0009240C">
        <w:rPr>
          <w:sz w:val="26"/>
          <w:szCs w:val="26"/>
        </w:rPr>
        <w:t>For the reasons discusse</w:t>
      </w:r>
      <w:r w:rsidR="0009240C" w:rsidRPr="0009240C">
        <w:rPr>
          <w:sz w:val="26"/>
          <w:szCs w:val="26"/>
        </w:rPr>
        <w:t xml:space="preserve">d below, we </w:t>
      </w:r>
      <w:r w:rsidR="00411378">
        <w:rPr>
          <w:sz w:val="26"/>
          <w:szCs w:val="26"/>
        </w:rPr>
        <w:t>shall</w:t>
      </w:r>
      <w:r w:rsidR="00AF151A">
        <w:rPr>
          <w:sz w:val="26"/>
          <w:szCs w:val="26"/>
        </w:rPr>
        <w:t xml:space="preserve"> grant</w:t>
      </w:r>
      <w:r w:rsidR="0009240C" w:rsidRPr="0009240C">
        <w:rPr>
          <w:sz w:val="26"/>
          <w:szCs w:val="26"/>
        </w:rPr>
        <w:t xml:space="preserve"> </w:t>
      </w:r>
      <w:r w:rsidR="00E87917">
        <w:rPr>
          <w:sz w:val="26"/>
          <w:szCs w:val="26"/>
        </w:rPr>
        <w:t xml:space="preserve">PECO’s </w:t>
      </w:r>
      <w:r w:rsidR="0009240C" w:rsidRPr="0009240C">
        <w:rPr>
          <w:sz w:val="26"/>
          <w:szCs w:val="26"/>
        </w:rPr>
        <w:t>Exceptions</w:t>
      </w:r>
      <w:r w:rsidR="00E87917">
        <w:rPr>
          <w:sz w:val="26"/>
          <w:szCs w:val="26"/>
        </w:rPr>
        <w:t>,</w:t>
      </w:r>
      <w:r w:rsidR="00360635">
        <w:rPr>
          <w:sz w:val="26"/>
          <w:szCs w:val="26"/>
        </w:rPr>
        <w:t xml:space="preserve"> </w:t>
      </w:r>
      <w:r w:rsidR="00AF151A">
        <w:rPr>
          <w:sz w:val="26"/>
          <w:szCs w:val="26"/>
        </w:rPr>
        <w:t>reverse</w:t>
      </w:r>
      <w:r w:rsidR="0009240C">
        <w:rPr>
          <w:sz w:val="26"/>
          <w:szCs w:val="26"/>
        </w:rPr>
        <w:t xml:space="preserve"> the Initial Decision</w:t>
      </w:r>
      <w:r w:rsidR="00360635">
        <w:rPr>
          <w:sz w:val="26"/>
          <w:szCs w:val="26"/>
        </w:rPr>
        <w:t xml:space="preserve"> on Remand</w:t>
      </w:r>
      <w:r w:rsidR="0009240C">
        <w:rPr>
          <w:sz w:val="26"/>
          <w:szCs w:val="26"/>
        </w:rPr>
        <w:t xml:space="preserve"> and</w:t>
      </w:r>
      <w:r w:rsidR="00360635">
        <w:rPr>
          <w:sz w:val="26"/>
          <w:szCs w:val="26"/>
        </w:rPr>
        <w:t xml:space="preserve"> </w:t>
      </w:r>
      <w:r w:rsidR="00AF151A">
        <w:rPr>
          <w:sz w:val="26"/>
          <w:szCs w:val="26"/>
        </w:rPr>
        <w:t>dismiss t</w:t>
      </w:r>
      <w:r w:rsidR="00360635">
        <w:rPr>
          <w:sz w:val="26"/>
          <w:szCs w:val="26"/>
        </w:rPr>
        <w:t xml:space="preserve">he </w:t>
      </w:r>
      <w:r w:rsidR="00F86AB0">
        <w:rPr>
          <w:sz w:val="26"/>
          <w:szCs w:val="26"/>
        </w:rPr>
        <w:t>F</w:t>
      </w:r>
      <w:r w:rsidR="00360635">
        <w:rPr>
          <w:sz w:val="26"/>
          <w:szCs w:val="26"/>
        </w:rPr>
        <w:t xml:space="preserve">ormal </w:t>
      </w:r>
      <w:r w:rsidR="00F86AB0">
        <w:rPr>
          <w:sz w:val="26"/>
          <w:szCs w:val="26"/>
        </w:rPr>
        <w:t>C</w:t>
      </w:r>
      <w:r w:rsidR="00360635">
        <w:rPr>
          <w:sz w:val="26"/>
          <w:szCs w:val="26"/>
        </w:rPr>
        <w:t xml:space="preserve">omplaint </w:t>
      </w:r>
      <w:r w:rsidR="00E87917">
        <w:rPr>
          <w:sz w:val="26"/>
          <w:szCs w:val="26"/>
        </w:rPr>
        <w:t xml:space="preserve">(Complaint) </w:t>
      </w:r>
      <w:r w:rsidR="00360635">
        <w:rPr>
          <w:sz w:val="26"/>
          <w:szCs w:val="26"/>
        </w:rPr>
        <w:t>filed by Mr.</w:t>
      </w:r>
      <w:r w:rsidR="00E87917">
        <w:rPr>
          <w:sz w:val="26"/>
          <w:szCs w:val="26"/>
        </w:rPr>
        <w:t> </w:t>
      </w:r>
      <w:r w:rsidR="00360635">
        <w:rPr>
          <w:sz w:val="26"/>
          <w:szCs w:val="26"/>
        </w:rPr>
        <w:t xml:space="preserve">DeHaven, </w:t>
      </w:r>
      <w:r w:rsidR="0009240C">
        <w:rPr>
          <w:sz w:val="26"/>
          <w:szCs w:val="26"/>
        </w:rPr>
        <w:t>consistent with this Opinion and Order.</w:t>
      </w:r>
      <w:bookmarkEnd w:id="0"/>
    </w:p>
    <w:p w14:paraId="04A78531" w14:textId="77777777" w:rsidR="003E0FD0" w:rsidRDefault="003E0FD0" w:rsidP="00385B95">
      <w:pPr>
        <w:widowControl/>
        <w:spacing w:line="360" w:lineRule="auto"/>
        <w:jc w:val="center"/>
        <w:rPr>
          <w:rFonts w:ascii="Arial" w:hAnsi="Arial" w:cs="Arial"/>
          <w:color w:val="212121"/>
          <w:sz w:val="21"/>
          <w:szCs w:val="21"/>
        </w:rPr>
      </w:pPr>
      <w:bookmarkStart w:id="1" w:name="OLE_LINK1"/>
      <w:bookmarkStart w:id="2" w:name="OLE_LINK2"/>
    </w:p>
    <w:p w14:paraId="29AD62DF" w14:textId="77777777" w:rsidR="00CA43A5" w:rsidRPr="00CA43A5" w:rsidRDefault="00CA43A5" w:rsidP="00DD6F68">
      <w:pPr>
        <w:keepNext/>
        <w:keepLines/>
        <w:widowControl/>
        <w:spacing w:line="360" w:lineRule="auto"/>
        <w:jc w:val="center"/>
        <w:rPr>
          <w:b/>
          <w:sz w:val="26"/>
          <w:szCs w:val="26"/>
        </w:rPr>
      </w:pPr>
      <w:r w:rsidRPr="00CA43A5">
        <w:rPr>
          <w:b/>
          <w:sz w:val="26"/>
          <w:szCs w:val="26"/>
        </w:rPr>
        <w:lastRenderedPageBreak/>
        <w:t>History of the Proceeding</w:t>
      </w:r>
    </w:p>
    <w:bookmarkEnd w:id="1"/>
    <w:bookmarkEnd w:id="2"/>
    <w:p w14:paraId="7BB6D615" w14:textId="77777777" w:rsidR="007B531E" w:rsidRDefault="007B531E" w:rsidP="00194FEC">
      <w:pPr>
        <w:keepNext/>
        <w:keepLines/>
        <w:widowControl/>
        <w:spacing w:line="360" w:lineRule="auto"/>
        <w:ind w:firstLine="1440"/>
        <w:rPr>
          <w:color w:val="212121"/>
          <w:sz w:val="26"/>
          <w:szCs w:val="26"/>
        </w:rPr>
      </w:pPr>
    </w:p>
    <w:p w14:paraId="303FD200" w14:textId="2D4B6229" w:rsidR="008156B4" w:rsidRPr="004107BC" w:rsidRDefault="007E3865" w:rsidP="004107BC">
      <w:pPr>
        <w:pStyle w:val="Default"/>
        <w:spacing w:line="360" w:lineRule="auto"/>
        <w:ind w:firstLine="1440"/>
        <w:rPr>
          <w:sz w:val="26"/>
          <w:szCs w:val="26"/>
        </w:rPr>
      </w:pPr>
      <w:r w:rsidRPr="004107BC">
        <w:rPr>
          <w:sz w:val="26"/>
          <w:szCs w:val="26"/>
        </w:rPr>
        <w:t xml:space="preserve">On </w:t>
      </w:r>
      <w:r w:rsidR="007C1D80" w:rsidRPr="004107BC">
        <w:rPr>
          <w:sz w:val="26"/>
          <w:szCs w:val="26"/>
        </w:rPr>
        <w:t>January 11,</w:t>
      </w:r>
      <w:r w:rsidRPr="004107BC">
        <w:rPr>
          <w:sz w:val="26"/>
          <w:szCs w:val="26"/>
        </w:rPr>
        <w:t xml:space="preserve"> 2017, the Complainant filed a </w:t>
      </w:r>
      <w:r w:rsidR="00B5240F" w:rsidRPr="004107BC">
        <w:rPr>
          <w:sz w:val="26"/>
          <w:szCs w:val="26"/>
        </w:rPr>
        <w:t>F</w:t>
      </w:r>
      <w:r w:rsidRPr="004107BC">
        <w:rPr>
          <w:sz w:val="26"/>
          <w:szCs w:val="26"/>
        </w:rPr>
        <w:t xml:space="preserve">ormal </w:t>
      </w:r>
      <w:r w:rsidR="00B5240F" w:rsidRPr="004107BC">
        <w:rPr>
          <w:sz w:val="26"/>
          <w:szCs w:val="26"/>
        </w:rPr>
        <w:t>C</w:t>
      </w:r>
      <w:r w:rsidRPr="004107BC">
        <w:rPr>
          <w:sz w:val="26"/>
          <w:szCs w:val="26"/>
        </w:rPr>
        <w:t>omplaint (Complaint) with the Commission against PECO</w:t>
      </w:r>
      <w:r w:rsidR="00692043" w:rsidRPr="004107BC">
        <w:rPr>
          <w:sz w:val="26"/>
          <w:szCs w:val="26"/>
        </w:rPr>
        <w:t xml:space="preserve">, disputing charges on the Complainant’s bill related to </w:t>
      </w:r>
      <w:r w:rsidR="003020E8" w:rsidRPr="004107BC">
        <w:rPr>
          <w:sz w:val="26"/>
          <w:szCs w:val="26"/>
        </w:rPr>
        <w:t xml:space="preserve">a </w:t>
      </w:r>
      <w:r w:rsidR="00692043" w:rsidRPr="004107BC">
        <w:rPr>
          <w:sz w:val="26"/>
          <w:szCs w:val="26"/>
        </w:rPr>
        <w:t>foreign load</w:t>
      </w:r>
      <w:r w:rsidRPr="004107BC">
        <w:rPr>
          <w:sz w:val="26"/>
          <w:szCs w:val="26"/>
        </w:rPr>
        <w:t xml:space="preserve">. </w:t>
      </w:r>
      <w:r w:rsidR="00692043" w:rsidRPr="004107BC">
        <w:rPr>
          <w:sz w:val="26"/>
          <w:szCs w:val="26"/>
        </w:rPr>
        <w:t xml:space="preserve"> </w:t>
      </w:r>
      <w:r w:rsidR="008F2567">
        <w:rPr>
          <w:sz w:val="26"/>
          <w:szCs w:val="26"/>
        </w:rPr>
        <w:t>I.D.R.</w:t>
      </w:r>
      <w:r w:rsidR="007C1D80" w:rsidRPr="004107BC">
        <w:rPr>
          <w:sz w:val="26"/>
          <w:szCs w:val="26"/>
        </w:rPr>
        <w:t xml:space="preserve"> at 1.</w:t>
      </w:r>
      <w:r w:rsidR="008D3BA3">
        <w:rPr>
          <w:sz w:val="26"/>
          <w:szCs w:val="26"/>
        </w:rPr>
        <w:t xml:space="preserve">  In his C</w:t>
      </w:r>
      <w:r w:rsidR="00F459A6" w:rsidRPr="004107BC">
        <w:rPr>
          <w:sz w:val="26"/>
          <w:szCs w:val="26"/>
        </w:rPr>
        <w:t xml:space="preserve">omplaint, Mr. DeHaven averred that PECO billed him for $1,800 of electric usage that was accrued by his tenants because foreign load was found at the service address. </w:t>
      </w:r>
      <w:r w:rsidR="008D3BA3">
        <w:rPr>
          <w:sz w:val="26"/>
          <w:szCs w:val="26"/>
        </w:rPr>
        <w:t xml:space="preserve"> </w:t>
      </w:r>
      <w:r w:rsidR="00F459A6" w:rsidRPr="004107BC">
        <w:rPr>
          <w:sz w:val="26"/>
          <w:szCs w:val="26"/>
        </w:rPr>
        <w:t>Mr. DeHaven added that he is not responsible for the bill because</w:t>
      </w:r>
      <w:r w:rsidR="000E621F" w:rsidRPr="004107BC">
        <w:rPr>
          <w:sz w:val="26"/>
          <w:szCs w:val="26"/>
        </w:rPr>
        <w:t xml:space="preserve"> electric usage is part of the lease and the disputed usage is associated with a barn, a low voltage dog containment system and a small koi pond. </w:t>
      </w:r>
      <w:r w:rsidR="008D3BA3">
        <w:rPr>
          <w:sz w:val="26"/>
          <w:szCs w:val="26"/>
        </w:rPr>
        <w:t xml:space="preserve"> </w:t>
      </w:r>
      <w:r w:rsidR="000E621F" w:rsidRPr="004107BC">
        <w:rPr>
          <w:sz w:val="26"/>
          <w:szCs w:val="26"/>
        </w:rPr>
        <w:t xml:space="preserve">This usage, according to Mr. DeHaven, amounts to approximately $50 per month. </w:t>
      </w:r>
      <w:r w:rsidR="008D3BA3">
        <w:rPr>
          <w:sz w:val="26"/>
          <w:szCs w:val="26"/>
        </w:rPr>
        <w:t xml:space="preserve"> </w:t>
      </w:r>
      <w:r w:rsidR="000E621F" w:rsidRPr="004107BC">
        <w:rPr>
          <w:sz w:val="26"/>
          <w:szCs w:val="26"/>
        </w:rPr>
        <w:t xml:space="preserve">Mr. DeHaven requested a thorough investigation regarding how the tenants’ usage can be assigned to the landlord’s account. </w:t>
      </w:r>
      <w:r w:rsidR="008D3BA3">
        <w:rPr>
          <w:sz w:val="26"/>
          <w:szCs w:val="26"/>
        </w:rPr>
        <w:t xml:space="preserve"> </w:t>
      </w:r>
      <w:r w:rsidR="000E621F" w:rsidRPr="004107BC">
        <w:rPr>
          <w:sz w:val="26"/>
          <w:szCs w:val="26"/>
        </w:rPr>
        <w:t xml:space="preserve">Mr. DeHaven attached various documents to his </w:t>
      </w:r>
      <w:r w:rsidR="00F86AB0">
        <w:rPr>
          <w:sz w:val="26"/>
          <w:szCs w:val="26"/>
        </w:rPr>
        <w:t>C</w:t>
      </w:r>
      <w:r w:rsidR="000E621F" w:rsidRPr="004107BC">
        <w:rPr>
          <w:sz w:val="26"/>
          <w:szCs w:val="26"/>
        </w:rPr>
        <w:t xml:space="preserve">omplaint in support of his position that he is not responsible for the foreign load.  </w:t>
      </w:r>
      <w:r w:rsidR="008F2567">
        <w:rPr>
          <w:sz w:val="26"/>
          <w:szCs w:val="26"/>
        </w:rPr>
        <w:t>I.D.R.</w:t>
      </w:r>
      <w:r w:rsidR="000E621F" w:rsidRPr="004107BC">
        <w:rPr>
          <w:sz w:val="26"/>
          <w:szCs w:val="26"/>
        </w:rPr>
        <w:t xml:space="preserve"> at 1-2.</w:t>
      </w:r>
    </w:p>
    <w:p w14:paraId="1B6812E8" w14:textId="77777777" w:rsidR="007E3865" w:rsidRPr="004107BC" w:rsidRDefault="007E3865" w:rsidP="004107BC">
      <w:pPr>
        <w:widowControl/>
        <w:spacing w:line="360" w:lineRule="auto"/>
        <w:ind w:firstLine="1440"/>
        <w:rPr>
          <w:sz w:val="26"/>
          <w:szCs w:val="26"/>
        </w:rPr>
      </w:pPr>
    </w:p>
    <w:p w14:paraId="02AA1E02" w14:textId="7EF95A12" w:rsidR="000E621F" w:rsidRPr="004107BC" w:rsidRDefault="000E621F" w:rsidP="004107BC">
      <w:pPr>
        <w:pStyle w:val="Default"/>
        <w:spacing w:line="360" w:lineRule="auto"/>
        <w:ind w:firstLine="1440"/>
        <w:rPr>
          <w:sz w:val="26"/>
          <w:szCs w:val="26"/>
        </w:rPr>
      </w:pPr>
      <w:r w:rsidRPr="004107BC">
        <w:rPr>
          <w:sz w:val="26"/>
          <w:szCs w:val="26"/>
        </w:rPr>
        <w:t>On F</w:t>
      </w:r>
      <w:r w:rsidR="008D3BA3">
        <w:rPr>
          <w:sz w:val="26"/>
          <w:szCs w:val="26"/>
        </w:rPr>
        <w:t>ebruary 3, 2017, PECO filed an Answer to Mr. DeHaven’s C</w:t>
      </w:r>
      <w:r w:rsidRPr="004107BC">
        <w:rPr>
          <w:sz w:val="26"/>
          <w:szCs w:val="26"/>
        </w:rPr>
        <w:t xml:space="preserve">omplaint. </w:t>
      </w:r>
      <w:r w:rsidR="008D3BA3">
        <w:rPr>
          <w:sz w:val="26"/>
          <w:szCs w:val="26"/>
        </w:rPr>
        <w:t xml:space="preserve"> In its A</w:t>
      </w:r>
      <w:r w:rsidRPr="004107BC">
        <w:rPr>
          <w:sz w:val="26"/>
          <w:szCs w:val="26"/>
        </w:rPr>
        <w:t xml:space="preserve">nswer, PECO affirmed or denied the various averments Mr. DeHaven made in his </w:t>
      </w:r>
      <w:r w:rsidR="00F86AB0">
        <w:rPr>
          <w:sz w:val="26"/>
          <w:szCs w:val="26"/>
        </w:rPr>
        <w:t>C</w:t>
      </w:r>
      <w:r w:rsidRPr="004107BC">
        <w:rPr>
          <w:sz w:val="26"/>
          <w:szCs w:val="26"/>
        </w:rPr>
        <w:t xml:space="preserve">omplaint. </w:t>
      </w:r>
      <w:r w:rsidR="008D3BA3">
        <w:rPr>
          <w:sz w:val="26"/>
          <w:szCs w:val="26"/>
        </w:rPr>
        <w:t xml:space="preserve"> </w:t>
      </w:r>
      <w:r w:rsidRPr="004107BC">
        <w:rPr>
          <w:sz w:val="26"/>
          <w:szCs w:val="26"/>
        </w:rPr>
        <w:t xml:space="preserve">In particular, PECO stated that Mr. DeHaven’s tenants complained of high bills and possible foreign wiring at the service address. </w:t>
      </w:r>
      <w:r w:rsidR="008D3BA3">
        <w:rPr>
          <w:sz w:val="26"/>
          <w:szCs w:val="26"/>
        </w:rPr>
        <w:t xml:space="preserve"> </w:t>
      </w:r>
      <w:r w:rsidRPr="004107BC">
        <w:rPr>
          <w:sz w:val="26"/>
          <w:szCs w:val="26"/>
        </w:rPr>
        <w:t xml:space="preserve">As a result, a PECO technician visited the property and found foreign wiring in a rear barn, fish pond and trough heater connected to the tenants’ meter. </w:t>
      </w:r>
      <w:r w:rsidR="008D3BA3">
        <w:rPr>
          <w:sz w:val="26"/>
          <w:szCs w:val="26"/>
        </w:rPr>
        <w:t xml:space="preserve"> </w:t>
      </w:r>
      <w:r w:rsidR="00E87917">
        <w:rPr>
          <w:sz w:val="26"/>
          <w:szCs w:val="26"/>
        </w:rPr>
        <w:t>PECO then transferred t</w:t>
      </w:r>
      <w:r w:rsidRPr="004107BC">
        <w:rPr>
          <w:sz w:val="26"/>
          <w:szCs w:val="26"/>
        </w:rPr>
        <w:t xml:space="preserve">he tenants’ balance of $1,893.52 to Mr. DeHaven’s account. </w:t>
      </w:r>
      <w:r w:rsidR="008D3BA3">
        <w:rPr>
          <w:sz w:val="26"/>
          <w:szCs w:val="26"/>
        </w:rPr>
        <w:t xml:space="preserve"> </w:t>
      </w:r>
      <w:r w:rsidRPr="004107BC">
        <w:rPr>
          <w:sz w:val="26"/>
          <w:szCs w:val="26"/>
        </w:rPr>
        <w:t>PECO provi</w:t>
      </w:r>
      <w:r w:rsidR="008D3BA3">
        <w:rPr>
          <w:sz w:val="26"/>
          <w:szCs w:val="26"/>
        </w:rPr>
        <w:t>ded several attachments to its A</w:t>
      </w:r>
      <w:r w:rsidRPr="004107BC">
        <w:rPr>
          <w:sz w:val="26"/>
          <w:szCs w:val="26"/>
        </w:rPr>
        <w:t>nswer a</w:t>
      </w:r>
      <w:r w:rsidR="008D3BA3">
        <w:rPr>
          <w:sz w:val="26"/>
          <w:szCs w:val="26"/>
        </w:rPr>
        <w:t xml:space="preserve">nd </w:t>
      </w:r>
      <w:r w:rsidR="00E87917">
        <w:rPr>
          <w:sz w:val="26"/>
          <w:szCs w:val="26"/>
        </w:rPr>
        <w:t xml:space="preserve">requested </w:t>
      </w:r>
      <w:r w:rsidR="008D3BA3">
        <w:rPr>
          <w:sz w:val="26"/>
          <w:szCs w:val="26"/>
        </w:rPr>
        <w:t>that the C</w:t>
      </w:r>
      <w:r w:rsidRPr="004107BC">
        <w:rPr>
          <w:sz w:val="26"/>
          <w:szCs w:val="26"/>
        </w:rPr>
        <w:t>omplaint be dismissed.</w:t>
      </w:r>
      <w:r w:rsidR="002767DE">
        <w:rPr>
          <w:sz w:val="26"/>
          <w:szCs w:val="26"/>
        </w:rPr>
        <w:t xml:space="preserve"> </w:t>
      </w:r>
      <w:r w:rsidRPr="004107BC">
        <w:rPr>
          <w:sz w:val="26"/>
          <w:szCs w:val="26"/>
        </w:rPr>
        <w:t xml:space="preserve"> </w:t>
      </w:r>
      <w:r w:rsidR="008F2567">
        <w:rPr>
          <w:sz w:val="26"/>
          <w:szCs w:val="26"/>
        </w:rPr>
        <w:t>I.D.R.</w:t>
      </w:r>
      <w:r w:rsidR="00E125BC" w:rsidRPr="004107BC">
        <w:rPr>
          <w:sz w:val="26"/>
          <w:szCs w:val="26"/>
        </w:rPr>
        <w:t xml:space="preserve"> at 2.</w:t>
      </w:r>
    </w:p>
    <w:p w14:paraId="534DF064" w14:textId="77777777" w:rsidR="000E621F" w:rsidRPr="004107BC" w:rsidRDefault="000E621F" w:rsidP="004107BC">
      <w:pPr>
        <w:pStyle w:val="Default"/>
        <w:spacing w:line="360" w:lineRule="auto"/>
        <w:ind w:firstLine="1440"/>
        <w:rPr>
          <w:sz w:val="26"/>
          <w:szCs w:val="26"/>
        </w:rPr>
      </w:pPr>
    </w:p>
    <w:p w14:paraId="700C18F9" w14:textId="26D7BB0B" w:rsidR="000E621F" w:rsidRPr="004107BC" w:rsidRDefault="000E621F" w:rsidP="004107BC">
      <w:pPr>
        <w:pStyle w:val="Default"/>
        <w:spacing w:line="360" w:lineRule="auto"/>
        <w:ind w:firstLine="1440"/>
        <w:rPr>
          <w:sz w:val="26"/>
          <w:szCs w:val="26"/>
        </w:rPr>
      </w:pPr>
      <w:r w:rsidRPr="004107BC">
        <w:rPr>
          <w:sz w:val="26"/>
          <w:szCs w:val="26"/>
        </w:rPr>
        <w:t>Also</w:t>
      </w:r>
      <w:r w:rsidR="00CA5F3F">
        <w:rPr>
          <w:sz w:val="26"/>
          <w:szCs w:val="26"/>
        </w:rPr>
        <w:t>,</w:t>
      </w:r>
      <w:r w:rsidRPr="004107BC">
        <w:rPr>
          <w:sz w:val="26"/>
          <w:szCs w:val="26"/>
        </w:rPr>
        <w:t xml:space="preserve"> on </w:t>
      </w:r>
      <w:r w:rsidR="008D3BA3">
        <w:rPr>
          <w:sz w:val="26"/>
          <w:szCs w:val="26"/>
        </w:rPr>
        <w:t>February 3, 2017, PECO filed a P</w:t>
      </w:r>
      <w:r w:rsidRPr="004107BC">
        <w:rPr>
          <w:sz w:val="26"/>
          <w:szCs w:val="26"/>
        </w:rPr>
        <w:t xml:space="preserve">reliminary </w:t>
      </w:r>
      <w:r w:rsidR="008D3BA3">
        <w:rPr>
          <w:sz w:val="26"/>
          <w:szCs w:val="26"/>
        </w:rPr>
        <w:t>O</w:t>
      </w:r>
      <w:r w:rsidRPr="004107BC">
        <w:rPr>
          <w:sz w:val="26"/>
          <w:szCs w:val="26"/>
        </w:rPr>
        <w:t xml:space="preserve">bjection in response to Mr. DeHaven’s </w:t>
      </w:r>
      <w:r w:rsidR="008D3BA3">
        <w:rPr>
          <w:sz w:val="26"/>
          <w:szCs w:val="26"/>
        </w:rPr>
        <w:t>C</w:t>
      </w:r>
      <w:r w:rsidRPr="004107BC">
        <w:rPr>
          <w:sz w:val="26"/>
          <w:szCs w:val="26"/>
        </w:rPr>
        <w:t xml:space="preserve">omplaint. </w:t>
      </w:r>
      <w:r w:rsidR="008D3BA3">
        <w:rPr>
          <w:sz w:val="26"/>
          <w:szCs w:val="26"/>
        </w:rPr>
        <w:t xml:space="preserve"> In the P</w:t>
      </w:r>
      <w:r w:rsidRPr="004107BC">
        <w:rPr>
          <w:sz w:val="26"/>
          <w:szCs w:val="26"/>
        </w:rPr>
        <w:t xml:space="preserve">reliminary </w:t>
      </w:r>
      <w:r w:rsidR="008D3BA3">
        <w:rPr>
          <w:sz w:val="26"/>
          <w:szCs w:val="26"/>
        </w:rPr>
        <w:t>O</w:t>
      </w:r>
      <w:r w:rsidRPr="004107BC">
        <w:rPr>
          <w:sz w:val="26"/>
          <w:szCs w:val="26"/>
        </w:rPr>
        <w:t xml:space="preserve">bjection, which was accompanied by a </w:t>
      </w:r>
      <w:r w:rsidR="008D3BA3">
        <w:rPr>
          <w:sz w:val="26"/>
          <w:szCs w:val="26"/>
        </w:rPr>
        <w:t>Notice to P</w:t>
      </w:r>
      <w:r w:rsidRPr="004107BC">
        <w:rPr>
          <w:sz w:val="26"/>
          <w:szCs w:val="26"/>
        </w:rPr>
        <w:t xml:space="preserve">lead, PECO argued that the Commission found that a landlord must pay the utility for any account balance, including arrearages, once a foreign load or wiring has been found. </w:t>
      </w:r>
      <w:r w:rsidR="008D3BA3">
        <w:rPr>
          <w:sz w:val="26"/>
          <w:szCs w:val="26"/>
        </w:rPr>
        <w:t xml:space="preserve"> </w:t>
      </w:r>
      <w:r w:rsidRPr="004107BC">
        <w:rPr>
          <w:sz w:val="26"/>
          <w:szCs w:val="26"/>
        </w:rPr>
        <w:t xml:space="preserve">PECO added that once the foreign load is corrected by the landlord and </w:t>
      </w:r>
      <w:r w:rsidRPr="004107BC">
        <w:rPr>
          <w:sz w:val="26"/>
          <w:szCs w:val="26"/>
        </w:rPr>
        <w:lastRenderedPageBreak/>
        <w:t>verified by the utility, the utility will place the account back in the name of the tenant</w:t>
      </w:r>
      <w:r w:rsidR="002613FE">
        <w:rPr>
          <w:sz w:val="26"/>
          <w:szCs w:val="26"/>
        </w:rPr>
        <w:t xml:space="preserve">.  Furthermore, </w:t>
      </w:r>
      <w:r w:rsidRPr="004107BC">
        <w:rPr>
          <w:sz w:val="26"/>
          <w:szCs w:val="26"/>
        </w:rPr>
        <w:t xml:space="preserve">the arrearage, if any, will remain the landlord’s responsibility </w:t>
      </w:r>
      <w:r w:rsidR="002613FE">
        <w:rPr>
          <w:sz w:val="26"/>
          <w:szCs w:val="26"/>
        </w:rPr>
        <w:t xml:space="preserve">and </w:t>
      </w:r>
      <w:r w:rsidRPr="004107BC">
        <w:rPr>
          <w:sz w:val="26"/>
          <w:szCs w:val="26"/>
        </w:rPr>
        <w:t xml:space="preserve">any dispute regarding the financial responsibility of the parties </w:t>
      </w:r>
      <w:r w:rsidR="002D478A">
        <w:rPr>
          <w:sz w:val="26"/>
          <w:szCs w:val="26"/>
        </w:rPr>
        <w:t>would be</w:t>
      </w:r>
      <w:r w:rsidRPr="004107BC">
        <w:rPr>
          <w:sz w:val="26"/>
          <w:szCs w:val="26"/>
        </w:rPr>
        <w:t xml:space="preserve"> a matter to be resolved in the Court of Common Pleas, not the Commission. </w:t>
      </w:r>
      <w:r w:rsidR="008D3BA3">
        <w:rPr>
          <w:sz w:val="26"/>
          <w:szCs w:val="26"/>
        </w:rPr>
        <w:t xml:space="preserve"> </w:t>
      </w:r>
      <w:r w:rsidRPr="004107BC">
        <w:rPr>
          <w:sz w:val="26"/>
          <w:szCs w:val="26"/>
        </w:rPr>
        <w:t>PECO provided significant legal argument in support of its p</w:t>
      </w:r>
      <w:r w:rsidR="008D3BA3">
        <w:rPr>
          <w:sz w:val="26"/>
          <w:szCs w:val="26"/>
        </w:rPr>
        <w:t>osition and concluded that the C</w:t>
      </w:r>
      <w:r w:rsidRPr="004107BC">
        <w:rPr>
          <w:sz w:val="26"/>
          <w:szCs w:val="26"/>
        </w:rPr>
        <w:t xml:space="preserve">omplaint should be dismissed as a matter of law because it relates to a dispute about the assignment of financial responsibility for a foreign load in a building owned by the complainant. </w:t>
      </w:r>
      <w:r w:rsidR="008D3BA3">
        <w:rPr>
          <w:sz w:val="26"/>
          <w:szCs w:val="26"/>
        </w:rPr>
        <w:t xml:space="preserve"> </w:t>
      </w:r>
      <w:r w:rsidRPr="004107BC">
        <w:rPr>
          <w:sz w:val="26"/>
          <w:szCs w:val="26"/>
        </w:rPr>
        <w:t xml:space="preserve">PECO attached a copy of </w:t>
      </w:r>
      <w:r w:rsidR="008D3BA3">
        <w:rPr>
          <w:sz w:val="26"/>
          <w:szCs w:val="26"/>
        </w:rPr>
        <w:t>Mr. DeHaven’s complaint to its P</w:t>
      </w:r>
      <w:r w:rsidRPr="004107BC">
        <w:rPr>
          <w:sz w:val="26"/>
          <w:szCs w:val="26"/>
        </w:rPr>
        <w:t xml:space="preserve">reliminary </w:t>
      </w:r>
      <w:r w:rsidR="008D3BA3">
        <w:rPr>
          <w:sz w:val="26"/>
          <w:szCs w:val="26"/>
        </w:rPr>
        <w:t>O</w:t>
      </w:r>
      <w:r w:rsidRPr="004107BC">
        <w:rPr>
          <w:sz w:val="26"/>
          <w:szCs w:val="26"/>
        </w:rPr>
        <w:t xml:space="preserve">bjection in support of its position that the </w:t>
      </w:r>
      <w:r w:rsidR="00F86AB0">
        <w:rPr>
          <w:sz w:val="26"/>
          <w:szCs w:val="26"/>
        </w:rPr>
        <w:t>C</w:t>
      </w:r>
      <w:r w:rsidRPr="004107BC">
        <w:rPr>
          <w:sz w:val="26"/>
          <w:szCs w:val="26"/>
        </w:rPr>
        <w:t xml:space="preserve">omplaint should be dismissed.  </w:t>
      </w:r>
      <w:r w:rsidR="008F2567">
        <w:rPr>
          <w:sz w:val="26"/>
          <w:szCs w:val="26"/>
        </w:rPr>
        <w:t>I.D.R.</w:t>
      </w:r>
      <w:r w:rsidRPr="004107BC">
        <w:rPr>
          <w:sz w:val="26"/>
          <w:szCs w:val="26"/>
        </w:rPr>
        <w:t xml:space="preserve"> at 2-3.</w:t>
      </w:r>
    </w:p>
    <w:p w14:paraId="1B2707D6" w14:textId="77777777" w:rsidR="000E621F" w:rsidRDefault="000E621F" w:rsidP="00385B95">
      <w:pPr>
        <w:pStyle w:val="Default"/>
        <w:spacing w:line="360" w:lineRule="auto"/>
        <w:ind w:firstLine="1440"/>
        <w:rPr>
          <w:sz w:val="26"/>
          <w:szCs w:val="26"/>
        </w:rPr>
      </w:pPr>
    </w:p>
    <w:p w14:paraId="43646E7D" w14:textId="77777777" w:rsidR="009B7971" w:rsidRPr="004107BC" w:rsidRDefault="007C1D80" w:rsidP="004107BC">
      <w:pPr>
        <w:pStyle w:val="Default"/>
        <w:spacing w:line="360" w:lineRule="auto"/>
        <w:ind w:firstLine="1440"/>
        <w:rPr>
          <w:sz w:val="26"/>
          <w:szCs w:val="26"/>
        </w:rPr>
      </w:pPr>
      <w:r>
        <w:rPr>
          <w:sz w:val="26"/>
          <w:szCs w:val="26"/>
        </w:rPr>
        <w:t xml:space="preserve">On </w:t>
      </w:r>
      <w:r w:rsidRPr="004107BC">
        <w:rPr>
          <w:sz w:val="26"/>
          <w:szCs w:val="26"/>
        </w:rPr>
        <w:t>February 7, 2017, the Complainant wro</w:t>
      </w:r>
      <w:r w:rsidR="008D3BA3">
        <w:rPr>
          <w:sz w:val="26"/>
          <w:szCs w:val="26"/>
        </w:rPr>
        <w:t>te on a copy of the Notice to P</w:t>
      </w:r>
      <w:r w:rsidRPr="004107BC">
        <w:rPr>
          <w:sz w:val="26"/>
          <w:szCs w:val="26"/>
        </w:rPr>
        <w:t>lead that accompanied PECO’s Preliminary Objection that he denie</w:t>
      </w:r>
      <w:r w:rsidR="008D3BA3">
        <w:rPr>
          <w:sz w:val="26"/>
          <w:szCs w:val="26"/>
        </w:rPr>
        <w:t>d PECO’s Preliminary Objection</w:t>
      </w:r>
      <w:r w:rsidRPr="004107BC">
        <w:rPr>
          <w:sz w:val="26"/>
          <w:szCs w:val="26"/>
        </w:rPr>
        <w:t>.</w:t>
      </w:r>
      <w:r w:rsidR="003020E8" w:rsidRPr="004107BC">
        <w:rPr>
          <w:sz w:val="26"/>
          <w:szCs w:val="26"/>
        </w:rPr>
        <w:t xml:space="preserve">  </w:t>
      </w:r>
      <w:r w:rsidR="008F2567">
        <w:rPr>
          <w:sz w:val="26"/>
          <w:szCs w:val="26"/>
        </w:rPr>
        <w:t>I.D.R.</w:t>
      </w:r>
      <w:r w:rsidR="000E621F" w:rsidRPr="004107BC">
        <w:rPr>
          <w:sz w:val="26"/>
          <w:szCs w:val="26"/>
        </w:rPr>
        <w:t xml:space="preserve"> at 3</w:t>
      </w:r>
      <w:r w:rsidR="00E125BC" w:rsidRPr="004107BC">
        <w:rPr>
          <w:sz w:val="26"/>
          <w:szCs w:val="26"/>
        </w:rPr>
        <w:t>.</w:t>
      </w:r>
    </w:p>
    <w:p w14:paraId="7EEF91C4" w14:textId="77777777" w:rsidR="009B7971" w:rsidRPr="004107BC" w:rsidRDefault="009B7971" w:rsidP="004107BC">
      <w:pPr>
        <w:pStyle w:val="Default"/>
        <w:spacing w:line="360" w:lineRule="auto"/>
        <w:ind w:firstLine="1440"/>
        <w:rPr>
          <w:sz w:val="26"/>
          <w:szCs w:val="26"/>
        </w:rPr>
      </w:pPr>
    </w:p>
    <w:p w14:paraId="47B7FCAC" w14:textId="173C2242" w:rsidR="0006170A" w:rsidRDefault="009B7971" w:rsidP="004107BC">
      <w:pPr>
        <w:pStyle w:val="Default"/>
        <w:spacing w:line="360" w:lineRule="auto"/>
        <w:ind w:firstLine="1440"/>
        <w:rPr>
          <w:sz w:val="26"/>
          <w:szCs w:val="26"/>
        </w:rPr>
      </w:pPr>
      <w:r w:rsidRPr="004107BC">
        <w:rPr>
          <w:sz w:val="26"/>
          <w:szCs w:val="26"/>
        </w:rPr>
        <w:t xml:space="preserve">By notice dated </w:t>
      </w:r>
      <w:r w:rsidR="007C1D80" w:rsidRPr="004107BC">
        <w:rPr>
          <w:sz w:val="26"/>
          <w:szCs w:val="26"/>
        </w:rPr>
        <w:t>March 29</w:t>
      </w:r>
      <w:r w:rsidRPr="004107BC">
        <w:rPr>
          <w:sz w:val="26"/>
          <w:szCs w:val="26"/>
        </w:rPr>
        <w:t xml:space="preserve">, 2017, the Commission </w:t>
      </w:r>
      <w:r w:rsidR="000E621F" w:rsidRPr="004107BC">
        <w:rPr>
          <w:sz w:val="26"/>
          <w:szCs w:val="26"/>
        </w:rPr>
        <w:t>informed</w:t>
      </w:r>
      <w:r w:rsidRPr="004107BC">
        <w:rPr>
          <w:sz w:val="26"/>
          <w:szCs w:val="26"/>
        </w:rPr>
        <w:t xml:space="preserve"> the </w:t>
      </w:r>
      <w:r w:rsidR="005D4E9F" w:rsidRPr="004107BC">
        <w:rPr>
          <w:sz w:val="26"/>
          <w:szCs w:val="26"/>
        </w:rPr>
        <w:t>P</w:t>
      </w:r>
      <w:r w:rsidRPr="004107BC">
        <w:rPr>
          <w:sz w:val="26"/>
          <w:szCs w:val="26"/>
        </w:rPr>
        <w:t xml:space="preserve">arties that it had assigned the case to </w:t>
      </w:r>
      <w:r w:rsidR="005C7DF2" w:rsidRPr="004107BC">
        <w:rPr>
          <w:sz w:val="26"/>
          <w:szCs w:val="26"/>
        </w:rPr>
        <w:t>ALJ Cheskis</w:t>
      </w:r>
      <w:r w:rsidRPr="004107BC">
        <w:rPr>
          <w:sz w:val="26"/>
          <w:szCs w:val="26"/>
        </w:rPr>
        <w:t xml:space="preserve"> as motion judge. </w:t>
      </w:r>
      <w:r w:rsidR="00E125BC" w:rsidRPr="004107BC">
        <w:rPr>
          <w:sz w:val="26"/>
          <w:szCs w:val="26"/>
        </w:rPr>
        <w:t xml:space="preserve"> </w:t>
      </w:r>
      <w:r w:rsidR="008F2567">
        <w:rPr>
          <w:sz w:val="26"/>
          <w:szCs w:val="26"/>
        </w:rPr>
        <w:t>I.D.R.</w:t>
      </w:r>
      <w:r w:rsidR="004C6A8E" w:rsidRPr="004107BC">
        <w:rPr>
          <w:sz w:val="26"/>
          <w:szCs w:val="26"/>
        </w:rPr>
        <w:t xml:space="preserve"> at 3.</w:t>
      </w:r>
    </w:p>
    <w:p w14:paraId="78651EAF" w14:textId="77777777" w:rsidR="0006170A" w:rsidRDefault="0006170A" w:rsidP="004107BC">
      <w:pPr>
        <w:pStyle w:val="Default"/>
        <w:spacing w:line="360" w:lineRule="auto"/>
        <w:ind w:firstLine="1440"/>
        <w:rPr>
          <w:sz w:val="26"/>
          <w:szCs w:val="26"/>
        </w:rPr>
      </w:pPr>
    </w:p>
    <w:p w14:paraId="5A57155C" w14:textId="64080048" w:rsidR="003020E8" w:rsidRPr="004107BC" w:rsidRDefault="000E621F" w:rsidP="004107BC">
      <w:pPr>
        <w:pStyle w:val="Default"/>
        <w:spacing w:line="360" w:lineRule="auto"/>
        <w:ind w:firstLine="1440"/>
        <w:rPr>
          <w:sz w:val="26"/>
          <w:szCs w:val="26"/>
        </w:rPr>
      </w:pPr>
      <w:r w:rsidRPr="004107BC">
        <w:rPr>
          <w:sz w:val="26"/>
          <w:szCs w:val="26"/>
        </w:rPr>
        <w:t xml:space="preserve">By Initial Decision issued </w:t>
      </w:r>
      <w:r w:rsidR="007C1D80" w:rsidRPr="004107BC">
        <w:rPr>
          <w:sz w:val="26"/>
          <w:szCs w:val="26"/>
        </w:rPr>
        <w:t>April 27</w:t>
      </w:r>
      <w:r w:rsidR="009B7971" w:rsidRPr="004107BC">
        <w:rPr>
          <w:sz w:val="26"/>
          <w:szCs w:val="26"/>
        </w:rPr>
        <w:t>, 2017</w:t>
      </w:r>
      <w:r w:rsidR="0006170A">
        <w:rPr>
          <w:sz w:val="26"/>
          <w:szCs w:val="26"/>
        </w:rPr>
        <w:t xml:space="preserve"> (</w:t>
      </w:r>
      <w:r w:rsidR="0006170A" w:rsidRPr="0006170A">
        <w:rPr>
          <w:i/>
          <w:sz w:val="26"/>
          <w:szCs w:val="26"/>
        </w:rPr>
        <w:t>April 2017 Initial Decision</w:t>
      </w:r>
      <w:r w:rsidR="0006170A">
        <w:rPr>
          <w:sz w:val="26"/>
          <w:szCs w:val="26"/>
        </w:rPr>
        <w:t>)</w:t>
      </w:r>
      <w:r w:rsidR="009B7971" w:rsidRPr="004107BC">
        <w:rPr>
          <w:sz w:val="26"/>
          <w:szCs w:val="26"/>
        </w:rPr>
        <w:t xml:space="preserve">, </w:t>
      </w:r>
      <w:r w:rsidR="00AA027B">
        <w:rPr>
          <w:sz w:val="26"/>
          <w:szCs w:val="26"/>
        </w:rPr>
        <w:t xml:space="preserve">the </w:t>
      </w:r>
      <w:r w:rsidR="005C7DF2" w:rsidRPr="004107BC">
        <w:rPr>
          <w:sz w:val="26"/>
          <w:szCs w:val="26"/>
        </w:rPr>
        <w:t xml:space="preserve">ALJ </w:t>
      </w:r>
      <w:r w:rsidR="007C1D80" w:rsidRPr="004107BC">
        <w:rPr>
          <w:sz w:val="26"/>
          <w:szCs w:val="26"/>
        </w:rPr>
        <w:t xml:space="preserve">granted </w:t>
      </w:r>
      <w:r w:rsidRPr="004107BC">
        <w:rPr>
          <w:sz w:val="26"/>
          <w:szCs w:val="26"/>
        </w:rPr>
        <w:t>PECO’s</w:t>
      </w:r>
      <w:r w:rsidR="009B7971" w:rsidRPr="004107BC">
        <w:rPr>
          <w:sz w:val="26"/>
          <w:szCs w:val="26"/>
        </w:rPr>
        <w:t xml:space="preserve"> Preliminary Objections</w:t>
      </w:r>
      <w:r w:rsidR="008D3BA3">
        <w:rPr>
          <w:sz w:val="26"/>
          <w:szCs w:val="26"/>
        </w:rPr>
        <w:t xml:space="preserve"> and denied </w:t>
      </w:r>
      <w:r w:rsidR="004C6A8E" w:rsidRPr="004107BC">
        <w:rPr>
          <w:sz w:val="26"/>
          <w:szCs w:val="26"/>
        </w:rPr>
        <w:t>the Complaint.</w:t>
      </w:r>
      <w:r w:rsidRPr="004107BC">
        <w:rPr>
          <w:sz w:val="26"/>
          <w:szCs w:val="26"/>
        </w:rPr>
        <w:t xml:space="preserve">  </w:t>
      </w:r>
      <w:r w:rsidR="008F2567">
        <w:rPr>
          <w:sz w:val="26"/>
          <w:szCs w:val="26"/>
        </w:rPr>
        <w:t>I.D.R.</w:t>
      </w:r>
      <w:r w:rsidRPr="004107BC">
        <w:rPr>
          <w:sz w:val="26"/>
          <w:szCs w:val="26"/>
        </w:rPr>
        <w:t xml:space="preserve"> at 3.</w:t>
      </w:r>
    </w:p>
    <w:p w14:paraId="59DB58F1" w14:textId="77777777" w:rsidR="003020E8" w:rsidRPr="004107BC" w:rsidRDefault="003020E8" w:rsidP="004107BC">
      <w:pPr>
        <w:pStyle w:val="Default"/>
        <w:spacing w:line="360" w:lineRule="auto"/>
        <w:ind w:firstLine="1440"/>
        <w:rPr>
          <w:sz w:val="26"/>
          <w:szCs w:val="26"/>
        </w:rPr>
      </w:pPr>
    </w:p>
    <w:p w14:paraId="4EEFEC51" w14:textId="115CDF57" w:rsidR="009B7971" w:rsidRPr="004107BC" w:rsidRDefault="000E621F" w:rsidP="004107BC">
      <w:pPr>
        <w:pStyle w:val="Default"/>
        <w:spacing w:line="360" w:lineRule="auto"/>
        <w:ind w:firstLine="1440"/>
        <w:rPr>
          <w:sz w:val="26"/>
          <w:szCs w:val="26"/>
        </w:rPr>
      </w:pPr>
      <w:r w:rsidRPr="004107BC">
        <w:rPr>
          <w:sz w:val="26"/>
          <w:szCs w:val="26"/>
        </w:rPr>
        <w:t>On May 12</w:t>
      </w:r>
      <w:r w:rsidR="003020E8" w:rsidRPr="004107BC">
        <w:rPr>
          <w:sz w:val="26"/>
          <w:szCs w:val="26"/>
        </w:rPr>
        <w:t xml:space="preserve">, 2017, the Complainant filed Exceptions to the Initial Decision of </w:t>
      </w:r>
      <w:r w:rsidR="00AA027B">
        <w:rPr>
          <w:sz w:val="26"/>
          <w:szCs w:val="26"/>
        </w:rPr>
        <w:t xml:space="preserve">the </w:t>
      </w:r>
      <w:r w:rsidR="005C7DF2" w:rsidRPr="004107BC">
        <w:rPr>
          <w:sz w:val="26"/>
          <w:szCs w:val="26"/>
        </w:rPr>
        <w:t>ALJ</w:t>
      </w:r>
      <w:r w:rsidR="003020E8" w:rsidRPr="004107BC">
        <w:rPr>
          <w:sz w:val="26"/>
          <w:szCs w:val="26"/>
        </w:rPr>
        <w:t xml:space="preserve">.  On </w:t>
      </w:r>
      <w:r w:rsidR="007C1D80" w:rsidRPr="004107BC">
        <w:rPr>
          <w:sz w:val="26"/>
          <w:szCs w:val="26"/>
        </w:rPr>
        <w:t>May 18</w:t>
      </w:r>
      <w:r w:rsidR="003020E8" w:rsidRPr="004107BC">
        <w:rPr>
          <w:sz w:val="26"/>
          <w:szCs w:val="26"/>
        </w:rPr>
        <w:t xml:space="preserve">, 2017, </w:t>
      </w:r>
      <w:r w:rsidR="008D3BA3">
        <w:rPr>
          <w:sz w:val="26"/>
          <w:szCs w:val="26"/>
        </w:rPr>
        <w:t xml:space="preserve">PECO </w:t>
      </w:r>
      <w:r w:rsidR="003020E8" w:rsidRPr="004107BC">
        <w:rPr>
          <w:sz w:val="26"/>
          <w:szCs w:val="26"/>
        </w:rPr>
        <w:t>filed Replies to Exceptions.</w:t>
      </w:r>
      <w:r w:rsidRPr="004107BC">
        <w:rPr>
          <w:sz w:val="26"/>
          <w:szCs w:val="26"/>
        </w:rPr>
        <w:t xml:space="preserve">  </w:t>
      </w:r>
      <w:r w:rsidR="008F2567">
        <w:rPr>
          <w:sz w:val="26"/>
          <w:szCs w:val="26"/>
        </w:rPr>
        <w:t>I.D.R.</w:t>
      </w:r>
      <w:r w:rsidRPr="004107BC">
        <w:rPr>
          <w:sz w:val="26"/>
          <w:szCs w:val="26"/>
        </w:rPr>
        <w:t xml:space="preserve"> at 3.</w:t>
      </w:r>
    </w:p>
    <w:p w14:paraId="6549C64D" w14:textId="77777777" w:rsidR="000E621F" w:rsidRPr="004107BC" w:rsidRDefault="000E621F" w:rsidP="004107BC">
      <w:pPr>
        <w:pStyle w:val="Default"/>
        <w:spacing w:line="360" w:lineRule="auto"/>
        <w:ind w:firstLine="1440"/>
        <w:rPr>
          <w:sz w:val="26"/>
          <w:szCs w:val="26"/>
        </w:rPr>
      </w:pPr>
    </w:p>
    <w:p w14:paraId="53A82380" w14:textId="59E5D5BA" w:rsidR="004C7926" w:rsidRDefault="000E621F" w:rsidP="004C7926">
      <w:pPr>
        <w:widowControl/>
        <w:autoSpaceDE w:val="0"/>
        <w:autoSpaceDN w:val="0"/>
        <w:adjustRightInd w:val="0"/>
        <w:spacing w:line="360" w:lineRule="auto"/>
        <w:ind w:firstLine="1440"/>
        <w:rPr>
          <w:rFonts w:eastAsiaTheme="minorHAnsi"/>
          <w:color w:val="000000"/>
          <w:sz w:val="26"/>
          <w:szCs w:val="26"/>
        </w:rPr>
      </w:pPr>
      <w:r w:rsidRPr="000E621F">
        <w:rPr>
          <w:rFonts w:eastAsiaTheme="minorHAnsi"/>
          <w:color w:val="000000"/>
          <w:sz w:val="26"/>
          <w:szCs w:val="26"/>
        </w:rPr>
        <w:t xml:space="preserve">On March 23, 2018, the Commission entered an Opinion and Order </w:t>
      </w:r>
      <w:r w:rsidR="002D478A">
        <w:rPr>
          <w:rFonts w:eastAsiaTheme="minorHAnsi"/>
          <w:color w:val="000000"/>
          <w:sz w:val="26"/>
          <w:szCs w:val="26"/>
        </w:rPr>
        <w:t>at</w:t>
      </w:r>
      <w:r w:rsidR="00F8328B">
        <w:rPr>
          <w:rFonts w:eastAsiaTheme="minorHAnsi"/>
          <w:color w:val="000000"/>
          <w:sz w:val="26"/>
          <w:szCs w:val="26"/>
        </w:rPr>
        <w:t xml:space="preserve"> this docket </w:t>
      </w:r>
      <w:r w:rsidR="0006170A">
        <w:rPr>
          <w:rFonts w:eastAsiaTheme="minorHAnsi"/>
          <w:color w:val="000000"/>
          <w:sz w:val="26"/>
          <w:szCs w:val="26"/>
        </w:rPr>
        <w:t>(</w:t>
      </w:r>
      <w:r w:rsidR="0006170A" w:rsidRPr="0006170A">
        <w:rPr>
          <w:rFonts w:eastAsiaTheme="minorHAnsi"/>
          <w:i/>
          <w:color w:val="000000"/>
          <w:sz w:val="26"/>
          <w:szCs w:val="26"/>
        </w:rPr>
        <w:t>March 2018 Order</w:t>
      </w:r>
      <w:r w:rsidR="005951F1">
        <w:rPr>
          <w:rFonts w:eastAsiaTheme="minorHAnsi"/>
          <w:i/>
          <w:color w:val="000000"/>
          <w:sz w:val="26"/>
          <w:szCs w:val="26"/>
        </w:rPr>
        <w:t xml:space="preserve"> </w:t>
      </w:r>
      <w:r w:rsidR="005951F1" w:rsidRPr="005951F1">
        <w:rPr>
          <w:rFonts w:eastAsiaTheme="minorHAnsi"/>
          <w:color w:val="000000"/>
          <w:sz w:val="26"/>
          <w:szCs w:val="26"/>
        </w:rPr>
        <w:t xml:space="preserve">or </w:t>
      </w:r>
      <w:r w:rsidR="005951F1" w:rsidRPr="005951F1">
        <w:rPr>
          <w:rFonts w:eastAsiaTheme="minorHAnsi"/>
          <w:i/>
          <w:color w:val="000000"/>
          <w:sz w:val="26"/>
          <w:szCs w:val="26"/>
        </w:rPr>
        <w:t>Order</w:t>
      </w:r>
      <w:r w:rsidR="0006170A">
        <w:rPr>
          <w:rFonts w:eastAsiaTheme="minorHAnsi"/>
          <w:color w:val="000000"/>
          <w:sz w:val="26"/>
          <w:szCs w:val="26"/>
        </w:rPr>
        <w:t xml:space="preserve">) </w:t>
      </w:r>
      <w:r w:rsidR="002D478A">
        <w:rPr>
          <w:rFonts w:eastAsiaTheme="minorHAnsi"/>
          <w:color w:val="000000"/>
          <w:sz w:val="26"/>
          <w:szCs w:val="26"/>
        </w:rPr>
        <w:t xml:space="preserve">in which it </w:t>
      </w:r>
      <w:r w:rsidRPr="000E621F">
        <w:rPr>
          <w:rFonts w:eastAsiaTheme="minorHAnsi"/>
          <w:color w:val="000000"/>
          <w:sz w:val="26"/>
          <w:szCs w:val="26"/>
        </w:rPr>
        <w:t>grant</w:t>
      </w:r>
      <w:r w:rsidR="002D478A">
        <w:rPr>
          <w:rFonts w:eastAsiaTheme="minorHAnsi"/>
          <w:color w:val="000000"/>
          <w:sz w:val="26"/>
          <w:szCs w:val="26"/>
        </w:rPr>
        <w:t>ed</w:t>
      </w:r>
      <w:r w:rsidR="005D52F4">
        <w:rPr>
          <w:rFonts w:eastAsiaTheme="minorHAnsi"/>
          <w:color w:val="000000"/>
          <w:sz w:val="26"/>
          <w:szCs w:val="26"/>
        </w:rPr>
        <w:t xml:space="preserve"> Mr. DeHaven’s Exceptions</w:t>
      </w:r>
      <w:r w:rsidR="002D478A">
        <w:rPr>
          <w:rFonts w:eastAsiaTheme="minorHAnsi"/>
          <w:color w:val="000000"/>
          <w:sz w:val="26"/>
          <w:szCs w:val="26"/>
        </w:rPr>
        <w:t>,</w:t>
      </w:r>
      <w:r w:rsidRPr="000E621F">
        <w:rPr>
          <w:rFonts w:eastAsiaTheme="minorHAnsi"/>
          <w:color w:val="000000"/>
          <w:sz w:val="26"/>
          <w:szCs w:val="26"/>
        </w:rPr>
        <w:t xml:space="preserve"> in part</w:t>
      </w:r>
      <w:r w:rsidR="002D478A">
        <w:rPr>
          <w:rFonts w:eastAsiaTheme="minorHAnsi"/>
          <w:color w:val="000000"/>
          <w:sz w:val="26"/>
          <w:szCs w:val="26"/>
        </w:rPr>
        <w:t>,</w:t>
      </w:r>
      <w:r w:rsidRPr="000E621F">
        <w:rPr>
          <w:rFonts w:eastAsiaTheme="minorHAnsi"/>
          <w:color w:val="000000"/>
          <w:sz w:val="26"/>
          <w:szCs w:val="26"/>
        </w:rPr>
        <w:t xml:space="preserve"> and</w:t>
      </w:r>
      <w:r w:rsidRPr="004107BC">
        <w:rPr>
          <w:rFonts w:eastAsiaTheme="minorHAnsi"/>
          <w:color w:val="000000"/>
          <w:sz w:val="26"/>
          <w:szCs w:val="26"/>
        </w:rPr>
        <w:t xml:space="preserve"> denying </w:t>
      </w:r>
      <w:r w:rsidR="005D52F4">
        <w:rPr>
          <w:rFonts w:eastAsiaTheme="minorHAnsi"/>
          <w:color w:val="000000"/>
          <w:sz w:val="26"/>
          <w:szCs w:val="26"/>
        </w:rPr>
        <w:t xml:space="preserve">them, </w:t>
      </w:r>
      <w:r w:rsidRPr="004107BC">
        <w:rPr>
          <w:rFonts w:eastAsiaTheme="minorHAnsi"/>
          <w:color w:val="000000"/>
          <w:sz w:val="26"/>
          <w:szCs w:val="26"/>
        </w:rPr>
        <w:t>in part</w:t>
      </w:r>
      <w:r w:rsidR="005D52F4">
        <w:rPr>
          <w:rFonts w:eastAsiaTheme="minorHAnsi"/>
          <w:color w:val="000000"/>
          <w:sz w:val="26"/>
          <w:szCs w:val="26"/>
        </w:rPr>
        <w:t>,</w:t>
      </w:r>
      <w:r w:rsidRPr="000E621F">
        <w:rPr>
          <w:rFonts w:eastAsiaTheme="minorHAnsi"/>
          <w:color w:val="000000"/>
          <w:sz w:val="26"/>
          <w:szCs w:val="26"/>
        </w:rPr>
        <w:t xml:space="preserve"> and adopt</w:t>
      </w:r>
      <w:r w:rsidR="005D52F4">
        <w:rPr>
          <w:rFonts w:eastAsiaTheme="minorHAnsi"/>
          <w:color w:val="000000"/>
          <w:sz w:val="26"/>
          <w:szCs w:val="26"/>
        </w:rPr>
        <w:t>ed</w:t>
      </w:r>
      <w:r w:rsidR="00966A7C">
        <w:rPr>
          <w:rFonts w:eastAsiaTheme="minorHAnsi"/>
          <w:color w:val="000000"/>
          <w:sz w:val="26"/>
          <w:szCs w:val="26"/>
        </w:rPr>
        <w:t xml:space="preserve"> the </w:t>
      </w:r>
      <w:r w:rsidR="00966A7C" w:rsidRPr="0006170A">
        <w:rPr>
          <w:rFonts w:eastAsiaTheme="minorHAnsi"/>
          <w:i/>
          <w:color w:val="000000"/>
          <w:sz w:val="26"/>
          <w:szCs w:val="26"/>
        </w:rPr>
        <w:t>April 2017 Initial Decision</w:t>
      </w:r>
      <w:r w:rsidR="005D52F4">
        <w:rPr>
          <w:rFonts w:eastAsiaTheme="minorHAnsi"/>
          <w:color w:val="000000"/>
          <w:sz w:val="26"/>
          <w:szCs w:val="26"/>
        </w:rPr>
        <w:t>,</w:t>
      </w:r>
      <w:r w:rsidRPr="000E621F">
        <w:rPr>
          <w:rFonts w:eastAsiaTheme="minorHAnsi"/>
          <w:color w:val="000000"/>
          <w:sz w:val="26"/>
          <w:szCs w:val="26"/>
        </w:rPr>
        <w:t xml:space="preserve"> in part</w:t>
      </w:r>
      <w:r w:rsidR="00966A7C">
        <w:rPr>
          <w:rFonts w:eastAsiaTheme="minorHAnsi"/>
          <w:color w:val="000000"/>
          <w:sz w:val="26"/>
          <w:szCs w:val="26"/>
        </w:rPr>
        <w:t>,</w:t>
      </w:r>
      <w:r w:rsidRPr="000E621F">
        <w:rPr>
          <w:rFonts w:eastAsiaTheme="minorHAnsi"/>
          <w:color w:val="000000"/>
          <w:sz w:val="26"/>
          <w:szCs w:val="26"/>
        </w:rPr>
        <w:t xml:space="preserve"> and revers</w:t>
      </w:r>
      <w:r w:rsidR="00966A7C">
        <w:rPr>
          <w:rFonts w:eastAsiaTheme="minorHAnsi"/>
          <w:color w:val="000000"/>
          <w:sz w:val="26"/>
          <w:szCs w:val="26"/>
        </w:rPr>
        <w:t xml:space="preserve">ed it, </w:t>
      </w:r>
      <w:r w:rsidRPr="000E621F">
        <w:rPr>
          <w:rFonts w:eastAsiaTheme="minorHAnsi"/>
          <w:color w:val="000000"/>
          <w:sz w:val="26"/>
          <w:szCs w:val="26"/>
        </w:rPr>
        <w:t>in part</w:t>
      </w:r>
      <w:r w:rsidR="00966A7C">
        <w:rPr>
          <w:rFonts w:eastAsiaTheme="minorHAnsi"/>
          <w:color w:val="000000"/>
          <w:sz w:val="26"/>
          <w:szCs w:val="26"/>
        </w:rPr>
        <w:t>.</w:t>
      </w:r>
      <w:r w:rsidRPr="000E621F">
        <w:rPr>
          <w:rFonts w:eastAsiaTheme="minorHAnsi"/>
          <w:color w:val="000000"/>
          <w:sz w:val="26"/>
          <w:szCs w:val="26"/>
        </w:rPr>
        <w:t xml:space="preserve"> </w:t>
      </w:r>
      <w:r w:rsidR="0006170A">
        <w:rPr>
          <w:rFonts w:eastAsiaTheme="minorHAnsi"/>
          <w:color w:val="000000"/>
          <w:sz w:val="26"/>
          <w:szCs w:val="26"/>
        </w:rPr>
        <w:t xml:space="preserve"> </w:t>
      </w:r>
      <w:r w:rsidRPr="000E621F">
        <w:rPr>
          <w:rFonts w:eastAsiaTheme="minorHAnsi"/>
          <w:color w:val="000000"/>
          <w:sz w:val="26"/>
          <w:szCs w:val="26"/>
        </w:rPr>
        <w:t xml:space="preserve">The Commission then remanded the proceeding to the Office of Administrative Law Judge for a hearing and fact finding consistent with the </w:t>
      </w:r>
      <w:r w:rsidR="005951F1" w:rsidRPr="005951F1">
        <w:rPr>
          <w:rFonts w:eastAsiaTheme="minorHAnsi"/>
          <w:i/>
          <w:color w:val="000000"/>
          <w:sz w:val="26"/>
          <w:szCs w:val="26"/>
        </w:rPr>
        <w:t>O</w:t>
      </w:r>
      <w:r w:rsidRPr="005951F1">
        <w:rPr>
          <w:rFonts w:eastAsiaTheme="minorHAnsi"/>
          <w:i/>
          <w:color w:val="000000"/>
          <w:sz w:val="26"/>
          <w:szCs w:val="26"/>
        </w:rPr>
        <w:t>rder</w:t>
      </w:r>
      <w:r w:rsidRPr="000E621F">
        <w:rPr>
          <w:rFonts w:eastAsiaTheme="minorHAnsi"/>
          <w:color w:val="000000"/>
          <w:sz w:val="26"/>
          <w:szCs w:val="26"/>
        </w:rPr>
        <w:t>, as discussed further below.</w:t>
      </w:r>
      <w:r w:rsidRPr="004107BC">
        <w:rPr>
          <w:rFonts w:eastAsiaTheme="minorHAnsi"/>
          <w:color w:val="000000"/>
          <w:sz w:val="26"/>
          <w:szCs w:val="26"/>
        </w:rPr>
        <w:t xml:space="preserve">  </w:t>
      </w:r>
      <w:r w:rsidR="008F2567">
        <w:rPr>
          <w:rFonts w:eastAsiaTheme="minorHAnsi"/>
          <w:color w:val="000000"/>
          <w:sz w:val="26"/>
          <w:szCs w:val="26"/>
        </w:rPr>
        <w:t>I.D.R.</w:t>
      </w:r>
      <w:r w:rsidRPr="004107BC">
        <w:rPr>
          <w:rFonts w:eastAsiaTheme="minorHAnsi"/>
          <w:color w:val="000000"/>
          <w:sz w:val="26"/>
          <w:szCs w:val="26"/>
        </w:rPr>
        <w:t xml:space="preserve"> at 3.</w:t>
      </w:r>
    </w:p>
    <w:p w14:paraId="0D53C040" w14:textId="77777777" w:rsidR="004C7926" w:rsidRDefault="004C7926" w:rsidP="004C7926">
      <w:pPr>
        <w:widowControl/>
        <w:autoSpaceDE w:val="0"/>
        <w:autoSpaceDN w:val="0"/>
        <w:adjustRightInd w:val="0"/>
        <w:spacing w:line="360" w:lineRule="auto"/>
        <w:ind w:firstLine="1440"/>
        <w:rPr>
          <w:rFonts w:eastAsiaTheme="minorHAnsi"/>
          <w:color w:val="000000"/>
          <w:sz w:val="26"/>
          <w:szCs w:val="26"/>
        </w:rPr>
      </w:pPr>
    </w:p>
    <w:p w14:paraId="6F96FB1C" w14:textId="47C2088F" w:rsidR="001904D5" w:rsidRPr="004107BC" w:rsidRDefault="001904D5" w:rsidP="001904D5">
      <w:pPr>
        <w:pStyle w:val="Default"/>
        <w:spacing w:line="360" w:lineRule="auto"/>
        <w:ind w:firstLine="1440"/>
        <w:rPr>
          <w:sz w:val="26"/>
          <w:szCs w:val="26"/>
        </w:rPr>
      </w:pPr>
      <w:r>
        <w:rPr>
          <w:sz w:val="26"/>
          <w:szCs w:val="26"/>
        </w:rPr>
        <w:t>O</w:t>
      </w:r>
      <w:r w:rsidRPr="004107BC">
        <w:rPr>
          <w:sz w:val="26"/>
          <w:szCs w:val="26"/>
        </w:rPr>
        <w:t xml:space="preserve">n March 27, 2018, a call-in telephone hearing notice was </w:t>
      </w:r>
      <w:r w:rsidR="00CA5F3F">
        <w:rPr>
          <w:sz w:val="26"/>
          <w:szCs w:val="26"/>
        </w:rPr>
        <w:t>served</w:t>
      </w:r>
      <w:r w:rsidRPr="004107BC">
        <w:rPr>
          <w:sz w:val="26"/>
          <w:szCs w:val="26"/>
        </w:rPr>
        <w:t xml:space="preserve"> </w:t>
      </w:r>
      <w:r w:rsidR="00966A7C">
        <w:rPr>
          <w:sz w:val="26"/>
          <w:szCs w:val="26"/>
        </w:rPr>
        <w:t xml:space="preserve">that </w:t>
      </w:r>
      <w:r w:rsidRPr="004107BC">
        <w:rPr>
          <w:sz w:val="26"/>
          <w:szCs w:val="26"/>
        </w:rPr>
        <w:t>establish</w:t>
      </w:r>
      <w:r w:rsidR="00966A7C">
        <w:rPr>
          <w:sz w:val="26"/>
          <w:szCs w:val="26"/>
        </w:rPr>
        <w:t>ed</w:t>
      </w:r>
      <w:r w:rsidRPr="004107BC">
        <w:rPr>
          <w:sz w:val="26"/>
          <w:szCs w:val="26"/>
        </w:rPr>
        <w:t xml:space="preserve"> an initial call-in telephonic hearing for Wednesday, May 23, 2018</w:t>
      </w:r>
      <w:r w:rsidR="00966A7C">
        <w:rPr>
          <w:sz w:val="26"/>
          <w:szCs w:val="26"/>
        </w:rPr>
        <w:t>,</w:t>
      </w:r>
      <w:r w:rsidRPr="004107BC">
        <w:rPr>
          <w:sz w:val="26"/>
          <w:szCs w:val="26"/>
        </w:rPr>
        <w:t xml:space="preserve"> and assign</w:t>
      </w:r>
      <w:r w:rsidR="00966A7C">
        <w:rPr>
          <w:sz w:val="26"/>
          <w:szCs w:val="26"/>
        </w:rPr>
        <w:t>ed</w:t>
      </w:r>
      <w:r w:rsidRPr="004107BC">
        <w:rPr>
          <w:sz w:val="26"/>
          <w:szCs w:val="26"/>
        </w:rPr>
        <w:t xml:space="preserve"> ALJ Cheskis as the Presiding Officer.  A prehearing order dated April 12, 2018 was</w:t>
      </w:r>
      <w:r w:rsidR="00CA5F3F">
        <w:rPr>
          <w:sz w:val="26"/>
          <w:szCs w:val="26"/>
        </w:rPr>
        <w:t xml:space="preserve"> served</w:t>
      </w:r>
      <w:r w:rsidRPr="004107BC">
        <w:rPr>
          <w:sz w:val="26"/>
          <w:szCs w:val="26"/>
        </w:rPr>
        <w:t xml:space="preserve"> </w:t>
      </w:r>
      <w:r w:rsidR="008870D8">
        <w:rPr>
          <w:sz w:val="26"/>
          <w:szCs w:val="26"/>
        </w:rPr>
        <w:t xml:space="preserve">that </w:t>
      </w:r>
      <w:r w:rsidRPr="004107BC">
        <w:rPr>
          <w:sz w:val="26"/>
          <w:szCs w:val="26"/>
        </w:rPr>
        <w:t>set forth various rules that would govern the hearing.  I.D. at 3.</w:t>
      </w:r>
    </w:p>
    <w:p w14:paraId="568C3ED0" w14:textId="77777777" w:rsidR="001904D5" w:rsidRDefault="001904D5" w:rsidP="004C7926">
      <w:pPr>
        <w:widowControl/>
        <w:autoSpaceDE w:val="0"/>
        <w:autoSpaceDN w:val="0"/>
        <w:adjustRightInd w:val="0"/>
        <w:spacing w:line="360" w:lineRule="auto"/>
        <w:ind w:firstLine="1440"/>
        <w:rPr>
          <w:sz w:val="26"/>
          <w:szCs w:val="26"/>
        </w:rPr>
      </w:pPr>
    </w:p>
    <w:p w14:paraId="2C63E2AE" w14:textId="6170E31A" w:rsidR="000E621F" w:rsidRPr="008D3BA3" w:rsidRDefault="009B48B0" w:rsidP="004C7926">
      <w:pPr>
        <w:widowControl/>
        <w:autoSpaceDE w:val="0"/>
        <w:autoSpaceDN w:val="0"/>
        <w:adjustRightInd w:val="0"/>
        <w:spacing w:line="360" w:lineRule="auto"/>
        <w:ind w:firstLine="1440"/>
        <w:rPr>
          <w:sz w:val="26"/>
          <w:szCs w:val="26"/>
        </w:rPr>
      </w:pPr>
      <w:r>
        <w:rPr>
          <w:sz w:val="26"/>
          <w:szCs w:val="26"/>
        </w:rPr>
        <w:t>On May 23, 2018, th</w:t>
      </w:r>
      <w:r w:rsidRPr="004107BC">
        <w:rPr>
          <w:sz w:val="26"/>
          <w:szCs w:val="26"/>
        </w:rPr>
        <w:t xml:space="preserve">e </w:t>
      </w:r>
      <w:r w:rsidR="00F8328B">
        <w:rPr>
          <w:sz w:val="26"/>
          <w:szCs w:val="26"/>
        </w:rPr>
        <w:t xml:space="preserve">telephonic </w:t>
      </w:r>
      <w:r w:rsidRPr="004107BC">
        <w:rPr>
          <w:sz w:val="26"/>
          <w:szCs w:val="26"/>
        </w:rPr>
        <w:t xml:space="preserve">hearing convened </w:t>
      </w:r>
      <w:r w:rsidR="000E621F" w:rsidRPr="004107BC">
        <w:rPr>
          <w:sz w:val="26"/>
          <w:szCs w:val="26"/>
        </w:rPr>
        <w:t xml:space="preserve">as scheduled. </w:t>
      </w:r>
      <w:r w:rsidR="00F8328B">
        <w:rPr>
          <w:sz w:val="26"/>
          <w:szCs w:val="26"/>
        </w:rPr>
        <w:t xml:space="preserve"> </w:t>
      </w:r>
      <w:r w:rsidR="000E621F" w:rsidRPr="004107BC">
        <w:rPr>
          <w:sz w:val="26"/>
          <w:szCs w:val="26"/>
        </w:rPr>
        <w:t xml:space="preserve">Mr. DeHaven appeared </w:t>
      </w:r>
      <w:r w:rsidR="000E621F" w:rsidRPr="008D3BA3">
        <w:rPr>
          <w:i/>
          <w:sz w:val="26"/>
          <w:szCs w:val="26"/>
        </w:rPr>
        <w:t>pro se</w:t>
      </w:r>
      <w:r w:rsidR="000E621F" w:rsidRPr="004107BC">
        <w:rPr>
          <w:sz w:val="26"/>
          <w:szCs w:val="26"/>
        </w:rPr>
        <w:t xml:space="preserve"> and presented oral testimony. </w:t>
      </w:r>
      <w:r w:rsidR="008D3BA3">
        <w:rPr>
          <w:sz w:val="26"/>
          <w:szCs w:val="26"/>
        </w:rPr>
        <w:t xml:space="preserve"> </w:t>
      </w:r>
      <w:r w:rsidR="00F86AB0">
        <w:rPr>
          <w:sz w:val="26"/>
          <w:szCs w:val="26"/>
        </w:rPr>
        <w:t>Counsel for PECO</w:t>
      </w:r>
      <w:r w:rsidR="000E621F" w:rsidRPr="004107BC">
        <w:rPr>
          <w:sz w:val="26"/>
          <w:szCs w:val="26"/>
        </w:rPr>
        <w:t xml:space="preserve"> appeared and presented one witness who sponsored four exhibits that were admitted into the record. </w:t>
      </w:r>
      <w:r w:rsidR="005951F1">
        <w:rPr>
          <w:sz w:val="26"/>
          <w:szCs w:val="26"/>
        </w:rPr>
        <w:t xml:space="preserve"> </w:t>
      </w:r>
      <w:r w:rsidR="000E621F" w:rsidRPr="004107BC">
        <w:rPr>
          <w:sz w:val="26"/>
          <w:szCs w:val="26"/>
        </w:rPr>
        <w:t xml:space="preserve">A transcript of </w:t>
      </w:r>
      <w:r w:rsidR="00F86AB0">
        <w:rPr>
          <w:sz w:val="26"/>
          <w:szCs w:val="26"/>
        </w:rPr>
        <w:t>forty-five</w:t>
      </w:r>
      <w:r w:rsidR="00F86AB0" w:rsidRPr="004107BC">
        <w:rPr>
          <w:sz w:val="26"/>
          <w:szCs w:val="26"/>
        </w:rPr>
        <w:t xml:space="preserve"> </w:t>
      </w:r>
      <w:r w:rsidR="000E621F" w:rsidRPr="004107BC">
        <w:rPr>
          <w:sz w:val="26"/>
          <w:szCs w:val="26"/>
        </w:rPr>
        <w:t xml:space="preserve">pages was created.  </w:t>
      </w:r>
      <w:r w:rsidR="008F2567">
        <w:rPr>
          <w:sz w:val="26"/>
          <w:szCs w:val="26"/>
        </w:rPr>
        <w:t>I.D.R.</w:t>
      </w:r>
      <w:r w:rsidR="000E621F" w:rsidRPr="004107BC">
        <w:rPr>
          <w:sz w:val="26"/>
          <w:szCs w:val="26"/>
        </w:rPr>
        <w:t xml:space="preserve"> at 3-4.  The record in this case closed on June 18, </w:t>
      </w:r>
      <w:r w:rsidR="000E621F" w:rsidRPr="008D3BA3">
        <w:rPr>
          <w:sz w:val="26"/>
          <w:szCs w:val="26"/>
        </w:rPr>
        <w:t>2018</w:t>
      </w:r>
      <w:r w:rsidR="00F86AB0">
        <w:rPr>
          <w:sz w:val="26"/>
          <w:szCs w:val="26"/>
        </w:rPr>
        <w:t>,</w:t>
      </w:r>
      <w:r w:rsidR="000E621F" w:rsidRPr="008D3BA3">
        <w:rPr>
          <w:sz w:val="26"/>
          <w:szCs w:val="26"/>
        </w:rPr>
        <w:t xml:space="preserve"> when the transcript was </w:t>
      </w:r>
      <w:r w:rsidR="00CA5F3F">
        <w:rPr>
          <w:sz w:val="26"/>
          <w:szCs w:val="26"/>
        </w:rPr>
        <w:t>filed with</w:t>
      </w:r>
      <w:r w:rsidR="000E621F" w:rsidRPr="008D3BA3">
        <w:rPr>
          <w:sz w:val="26"/>
          <w:szCs w:val="26"/>
        </w:rPr>
        <w:t xml:space="preserve"> the Commission.  </w:t>
      </w:r>
      <w:r w:rsidR="008F2567" w:rsidRPr="008D3BA3">
        <w:rPr>
          <w:sz w:val="26"/>
          <w:szCs w:val="26"/>
        </w:rPr>
        <w:t>I.D.R.</w:t>
      </w:r>
      <w:r w:rsidR="008D3BA3" w:rsidRPr="008D3BA3">
        <w:rPr>
          <w:sz w:val="26"/>
          <w:szCs w:val="26"/>
        </w:rPr>
        <w:t xml:space="preserve"> at 4.</w:t>
      </w:r>
    </w:p>
    <w:p w14:paraId="0EFBFAC4" w14:textId="77777777" w:rsidR="008D3BA3" w:rsidRPr="008D3BA3" w:rsidRDefault="008D3BA3" w:rsidP="008D3BA3">
      <w:pPr>
        <w:pStyle w:val="Default"/>
        <w:spacing w:line="360" w:lineRule="auto"/>
        <w:ind w:firstLine="1440"/>
        <w:rPr>
          <w:color w:val="auto"/>
          <w:sz w:val="26"/>
          <w:szCs w:val="26"/>
        </w:rPr>
      </w:pPr>
    </w:p>
    <w:p w14:paraId="73CFE49A" w14:textId="54143802" w:rsidR="000E621F" w:rsidRPr="008D3BA3" w:rsidRDefault="000E621F" w:rsidP="004107BC">
      <w:pPr>
        <w:pStyle w:val="Default"/>
        <w:spacing w:line="360" w:lineRule="auto"/>
        <w:ind w:firstLine="1440"/>
        <w:rPr>
          <w:color w:val="auto"/>
          <w:sz w:val="26"/>
          <w:szCs w:val="26"/>
        </w:rPr>
      </w:pPr>
      <w:r w:rsidRPr="008D3BA3">
        <w:rPr>
          <w:color w:val="auto"/>
          <w:sz w:val="26"/>
          <w:szCs w:val="26"/>
        </w:rPr>
        <w:t xml:space="preserve">On September 7, 2018, </w:t>
      </w:r>
      <w:r w:rsidR="00CA5F3F">
        <w:rPr>
          <w:color w:val="auto"/>
          <w:sz w:val="26"/>
          <w:szCs w:val="26"/>
        </w:rPr>
        <w:t xml:space="preserve">the Commission served </w:t>
      </w:r>
      <w:r w:rsidR="00AA027B">
        <w:rPr>
          <w:color w:val="auto"/>
          <w:sz w:val="26"/>
          <w:szCs w:val="26"/>
        </w:rPr>
        <w:t xml:space="preserve">the </w:t>
      </w:r>
      <w:r w:rsidR="004107BC" w:rsidRPr="008D3BA3">
        <w:rPr>
          <w:color w:val="auto"/>
          <w:sz w:val="26"/>
          <w:szCs w:val="26"/>
        </w:rPr>
        <w:t>ALJ</w:t>
      </w:r>
      <w:r w:rsidR="00AA027B">
        <w:rPr>
          <w:color w:val="auto"/>
          <w:sz w:val="26"/>
          <w:szCs w:val="26"/>
        </w:rPr>
        <w:t>’s</w:t>
      </w:r>
      <w:r w:rsidRPr="008D3BA3">
        <w:rPr>
          <w:color w:val="auto"/>
          <w:sz w:val="26"/>
          <w:szCs w:val="26"/>
        </w:rPr>
        <w:t xml:space="preserve"> Initial Decision on Remand </w:t>
      </w:r>
      <w:r w:rsidR="004107BC" w:rsidRPr="008D3BA3">
        <w:rPr>
          <w:color w:val="auto"/>
          <w:sz w:val="26"/>
          <w:szCs w:val="26"/>
        </w:rPr>
        <w:t xml:space="preserve">which sustained Mr. DeHaven’s </w:t>
      </w:r>
      <w:r w:rsidR="008D3BA3" w:rsidRPr="008D3BA3">
        <w:rPr>
          <w:color w:val="auto"/>
          <w:sz w:val="26"/>
          <w:szCs w:val="26"/>
        </w:rPr>
        <w:t>C</w:t>
      </w:r>
      <w:r w:rsidR="004107BC" w:rsidRPr="008D3BA3">
        <w:rPr>
          <w:color w:val="auto"/>
          <w:sz w:val="26"/>
          <w:szCs w:val="26"/>
        </w:rPr>
        <w:t xml:space="preserve">omplaint </w:t>
      </w:r>
      <w:r w:rsidRPr="008D3BA3">
        <w:rPr>
          <w:color w:val="auto"/>
          <w:sz w:val="26"/>
          <w:szCs w:val="26"/>
        </w:rPr>
        <w:t xml:space="preserve">and </w:t>
      </w:r>
      <w:r w:rsidR="004107BC" w:rsidRPr="008D3BA3">
        <w:rPr>
          <w:color w:val="auto"/>
          <w:sz w:val="26"/>
          <w:szCs w:val="26"/>
        </w:rPr>
        <w:t xml:space="preserve">directed </w:t>
      </w:r>
      <w:r w:rsidRPr="008D3BA3">
        <w:rPr>
          <w:color w:val="auto"/>
          <w:sz w:val="26"/>
          <w:szCs w:val="26"/>
        </w:rPr>
        <w:t>PECO</w:t>
      </w:r>
      <w:r w:rsidR="004107BC" w:rsidRPr="008D3BA3">
        <w:rPr>
          <w:color w:val="auto"/>
          <w:sz w:val="26"/>
          <w:szCs w:val="26"/>
        </w:rPr>
        <w:t xml:space="preserve"> </w:t>
      </w:r>
      <w:r w:rsidRPr="008D3BA3">
        <w:rPr>
          <w:color w:val="auto"/>
          <w:sz w:val="26"/>
          <w:szCs w:val="26"/>
        </w:rPr>
        <w:t>to credit Mr.</w:t>
      </w:r>
      <w:r w:rsidR="008870D8">
        <w:rPr>
          <w:color w:val="auto"/>
          <w:sz w:val="26"/>
          <w:szCs w:val="26"/>
        </w:rPr>
        <w:t> </w:t>
      </w:r>
      <w:r w:rsidRPr="008D3BA3">
        <w:rPr>
          <w:color w:val="auto"/>
          <w:sz w:val="26"/>
          <w:szCs w:val="26"/>
        </w:rPr>
        <w:t>DeHaven’s account</w:t>
      </w:r>
      <w:r w:rsidR="004107BC" w:rsidRPr="008D3BA3">
        <w:rPr>
          <w:color w:val="auto"/>
          <w:sz w:val="26"/>
          <w:szCs w:val="26"/>
        </w:rPr>
        <w:t xml:space="preserve"> in the amount of</w:t>
      </w:r>
      <w:r w:rsidRPr="008D3BA3">
        <w:rPr>
          <w:color w:val="auto"/>
          <w:sz w:val="26"/>
          <w:szCs w:val="26"/>
        </w:rPr>
        <w:t xml:space="preserve"> $1,602.80.</w:t>
      </w:r>
    </w:p>
    <w:p w14:paraId="0981D904" w14:textId="77777777" w:rsidR="004107BC" w:rsidRPr="008D3BA3" w:rsidRDefault="004107BC" w:rsidP="004107BC">
      <w:pPr>
        <w:pStyle w:val="Default"/>
        <w:spacing w:line="360" w:lineRule="auto"/>
        <w:ind w:firstLine="1440"/>
        <w:rPr>
          <w:color w:val="auto"/>
          <w:sz w:val="26"/>
          <w:szCs w:val="26"/>
        </w:rPr>
      </w:pPr>
    </w:p>
    <w:p w14:paraId="556F25AD" w14:textId="27386CB9" w:rsidR="00EA0680" w:rsidRPr="008D3BA3" w:rsidRDefault="004107BC" w:rsidP="004107BC">
      <w:pPr>
        <w:widowControl/>
        <w:spacing w:line="360" w:lineRule="auto"/>
        <w:ind w:firstLine="1440"/>
        <w:rPr>
          <w:sz w:val="26"/>
          <w:szCs w:val="26"/>
        </w:rPr>
      </w:pPr>
      <w:r w:rsidRPr="008D3BA3">
        <w:rPr>
          <w:sz w:val="26"/>
          <w:szCs w:val="26"/>
        </w:rPr>
        <w:t>On September 25, 2018, PECO filed Exceptions to the Initial Decision on Remand.  Mr. DeHaven has not filed Replies to Exceptions.</w:t>
      </w:r>
    </w:p>
    <w:p w14:paraId="240532AB" w14:textId="77777777" w:rsidR="004107BC" w:rsidRDefault="004107BC" w:rsidP="00385B95">
      <w:pPr>
        <w:widowControl/>
        <w:spacing w:line="360" w:lineRule="auto"/>
        <w:ind w:firstLine="1440"/>
        <w:rPr>
          <w:color w:val="212121"/>
          <w:sz w:val="26"/>
          <w:szCs w:val="26"/>
        </w:rPr>
      </w:pPr>
    </w:p>
    <w:p w14:paraId="76759545" w14:textId="77777777" w:rsidR="00CA43A5" w:rsidRDefault="00CA43A5" w:rsidP="00B316FA">
      <w:pPr>
        <w:keepNext/>
        <w:keepLines/>
        <w:widowControl/>
        <w:spacing w:line="360" w:lineRule="auto"/>
        <w:jc w:val="center"/>
        <w:rPr>
          <w:b/>
          <w:sz w:val="26"/>
          <w:szCs w:val="26"/>
        </w:rPr>
      </w:pPr>
      <w:r w:rsidRPr="00CA43A5">
        <w:rPr>
          <w:b/>
          <w:sz w:val="26"/>
          <w:szCs w:val="26"/>
        </w:rPr>
        <w:t>Discussion</w:t>
      </w:r>
    </w:p>
    <w:p w14:paraId="17EC7F64" w14:textId="77777777" w:rsidR="009B7971" w:rsidRDefault="009B7971" w:rsidP="00B316FA">
      <w:pPr>
        <w:keepNext/>
        <w:keepLines/>
        <w:widowControl/>
        <w:spacing w:line="360" w:lineRule="auto"/>
        <w:ind w:firstLine="1440"/>
        <w:rPr>
          <w:sz w:val="26"/>
          <w:szCs w:val="26"/>
        </w:rPr>
      </w:pPr>
    </w:p>
    <w:p w14:paraId="66DFD49A" w14:textId="77777777" w:rsidR="009B7971" w:rsidRDefault="009B7971" w:rsidP="00385B95">
      <w:pPr>
        <w:widowControl/>
        <w:spacing w:line="360" w:lineRule="auto"/>
        <w:ind w:firstLine="1440"/>
        <w:rPr>
          <w:sz w:val="26"/>
          <w:szCs w:val="26"/>
        </w:rPr>
      </w:pPr>
      <w:r>
        <w:rPr>
          <w:sz w:val="26"/>
          <w:szCs w:val="26"/>
        </w:rPr>
        <w:t>As a preliminary matter, we note that we are</w:t>
      </w:r>
      <w:r w:rsidRPr="002A6750">
        <w:rPr>
          <w:sz w:val="26"/>
          <w:szCs w:val="26"/>
        </w:rPr>
        <w:t xml:space="preserve"> not required to consider expressly or at length each contention or argument raised by the parties.  </w:t>
      </w:r>
      <w:hyperlink r:id="rId8" w:history="1">
        <w:r w:rsidRPr="002A6750">
          <w:rPr>
            <w:rStyle w:val="Emphasis"/>
            <w:color w:val="000000"/>
            <w:sz w:val="26"/>
            <w:szCs w:val="26"/>
          </w:rPr>
          <w:t xml:space="preserve">Consolidated Rail Corp. v. Pa. PUC, </w:t>
        </w:r>
        <w:r w:rsidRPr="002A6750">
          <w:rPr>
            <w:rStyle w:val="Hyperlink"/>
            <w:color w:val="000000"/>
            <w:sz w:val="26"/>
            <w:szCs w:val="26"/>
            <w:u w:val="none"/>
          </w:rPr>
          <w:t>625 A.2d 741 (Pa. Cmwlth. 1993);</w:t>
        </w:r>
      </w:hyperlink>
      <w:r w:rsidRPr="002A6750">
        <w:rPr>
          <w:color w:val="000000"/>
          <w:sz w:val="26"/>
          <w:szCs w:val="26"/>
        </w:rPr>
        <w:t xml:space="preserve"> </w:t>
      </w:r>
      <w:r w:rsidRPr="002A6750">
        <w:rPr>
          <w:i/>
          <w:color w:val="000000"/>
          <w:sz w:val="26"/>
          <w:szCs w:val="26"/>
        </w:rPr>
        <w:t xml:space="preserve">also </w:t>
      </w:r>
      <w:r w:rsidRPr="002A6750">
        <w:rPr>
          <w:rStyle w:val="Emphasis"/>
          <w:color w:val="000000"/>
          <w:sz w:val="26"/>
          <w:szCs w:val="26"/>
        </w:rPr>
        <w:t xml:space="preserve">see, generally, </w:t>
      </w:r>
      <w:hyperlink r:id="rId9" w:history="1">
        <w:r w:rsidRPr="002A6750">
          <w:rPr>
            <w:rStyle w:val="Emphasis"/>
            <w:color w:val="000000"/>
            <w:sz w:val="26"/>
            <w:szCs w:val="26"/>
          </w:rPr>
          <w:t>University of Pennsylvania v. Pa. PUC</w:t>
        </w:r>
        <w:r w:rsidRPr="002A6750">
          <w:rPr>
            <w:rStyle w:val="Hyperlink"/>
            <w:color w:val="000000"/>
            <w:sz w:val="26"/>
            <w:szCs w:val="26"/>
            <w:u w:val="none"/>
          </w:rPr>
          <w:t>, 485 A.2d 1217 (Pa. Cmwlth. 1984).</w:t>
        </w:r>
      </w:hyperlink>
      <w:r>
        <w:rPr>
          <w:rStyle w:val="Hyperlink"/>
          <w:color w:val="000000"/>
          <w:sz w:val="26"/>
          <w:szCs w:val="26"/>
          <w:u w:val="none"/>
        </w:rPr>
        <w:t xml:space="preserve">  Therefore,</w:t>
      </w:r>
      <w:r w:rsidRPr="002A6750">
        <w:rPr>
          <w:sz w:val="26"/>
          <w:szCs w:val="26"/>
        </w:rPr>
        <w:t xml:space="preserve"> </w:t>
      </w:r>
      <w:r>
        <w:rPr>
          <w:sz w:val="26"/>
          <w:szCs w:val="26"/>
        </w:rPr>
        <w:t>a</w:t>
      </w:r>
      <w:r w:rsidRPr="002A6750">
        <w:rPr>
          <w:sz w:val="26"/>
          <w:szCs w:val="26"/>
        </w:rPr>
        <w:t xml:space="preserve">ny issue that </w:t>
      </w:r>
      <w:r>
        <w:rPr>
          <w:sz w:val="26"/>
          <w:szCs w:val="26"/>
        </w:rPr>
        <w:t>the Commission</w:t>
      </w:r>
      <w:r w:rsidRPr="002A6750">
        <w:rPr>
          <w:sz w:val="26"/>
          <w:szCs w:val="26"/>
        </w:rPr>
        <w:t xml:space="preserve"> do</w:t>
      </w:r>
      <w:r>
        <w:rPr>
          <w:sz w:val="26"/>
          <w:szCs w:val="26"/>
        </w:rPr>
        <w:t>es</w:t>
      </w:r>
      <w:r w:rsidRPr="002A6750">
        <w:rPr>
          <w:sz w:val="26"/>
          <w:szCs w:val="26"/>
        </w:rPr>
        <w:t xml:space="preserve"> not specifically</w:t>
      </w:r>
      <w:r>
        <w:rPr>
          <w:sz w:val="26"/>
          <w:szCs w:val="26"/>
        </w:rPr>
        <w:t xml:space="preserve"> address or</w:t>
      </w:r>
      <w:r w:rsidRPr="002A6750">
        <w:rPr>
          <w:sz w:val="26"/>
          <w:szCs w:val="26"/>
        </w:rPr>
        <w:t xml:space="preserve"> delineate </w:t>
      </w:r>
      <w:r>
        <w:rPr>
          <w:sz w:val="26"/>
          <w:szCs w:val="26"/>
        </w:rPr>
        <w:t xml:space="preserve">in its decision </w:t>
      </w:r>
      <w:r w:rsidRPr="002A6750">
        <w:rPr>
          <w:sz w:val="26"/>
          <w:szCs w:val="26"/>
        </w:rPr>
        <w:t>shall be deemed to have been duly considered and denied without further discussion.</w:t>
      </w:r>
    </w:p>
    <w:p w14:paraId="33EBF768" w14:textId="77777777" w:rsidR="00037078" w:rsidRDefault="00037078" w:rsidP="00385B95">
      <w:pPr>
        <w:widowControl/>
        <w:spacing w:line="360" w:lineRule="auto"/>
        <w:ind w:firstLine="1440"/>
        <w:rPr>
          <w:sz w:val="26"/>
          <w:szCs w:val="26"/>
        </w:rPr>
      </w:pPr>
    </w:p>
    <w:p w14:paraId="7E7F13FD" w14:textId="77777777" w:rsidR="00523F5A" w:rsidRDefault="00523F5A" w:rsidP="00386FFE">
      <w:pPr>
        <w:keepNext/>
        <w:widowControl/>
        <w:spacing w:line="360" w:lineRule="auto"/>
        <w:rPr>
          <w:sz w:val="26"/>
          <w:szCs w:val="26"/>
        </w:rPr>
      </w:pPr>
      <w:r>
        <w:rPr>
          <w:b/>
          <w:sz w:val="26"/>
          <w:szCs w:val="26"/>
        </w:rPr>
        <w:lastRenderedPageBreak/>
        <w:t>Legal Standard</w:t>
      </w:r>
      <w:r w:rsidR="00037078">
        <w:rPr>
          <w:b/>
          <w:sz w:val="26"/>
          <w:szCs w:val="26"/>
        </w:rPr>
        <w:t>s</w:t>
      </w:r>
    </w:p>
    <w:p w14:paraId="6C2ECE7D" w14:textId="77777777" w:rsidR="000E621F" w:rsidRDefault="000E621F" w:rsidP="00386FFE">
      <w:pPr>
        <w:keepNext/>
        <w:widowControl/>
        <w:spacing w:line="360" w:lineRule="auto"/>
        <w:rPr>
          <w:sz w:val="26"/>
          <w:szCs w:val="26"/>
        </w:rPr>
      </w:pPr>
    </w:p>
    <w:p w14:paraId="5AB47BBB" w14:textId="77777777" w:rsidR="000E621F" w:rsidRDefault="000E621F" w:rsidP="000E621F">
      <w:pPr>
        <w:spacing w:line="360" w:lineRule="auto"/>
        <w:ind w:firstLine="1440"/>
        <w:rPr>
          <w:sz w:val="26"/>
          <w:szCs w:val="26"/>
        </w:rPr>
      </w:pPr>
      <w:r w:rsidRPr="00AE0D2B">
        <w:rPr>
          <w:sz w:val="26"/>
          <w:szCs w:val="26"/>
        </w:rPr>
        <w:t>As the pro</w:t>
      </w:r>
      <w:r>
        <w:rPr>
          <w:sz w:val="26"/>
          <w:szCs w:val="26"/>
        </w:rPr>
        <w:t>ponent of a rule or order, the Complainant</w:t>
      </w:r>
      <w:r w:rsidRPr="00AE0D2B">
        <w:rPr>
          <w:sz w:val="26"/>
          <w:szCs w:val="26"/>
        </w:rPr>
        <w:t xml:space="preserve"> bears the burden of proof pursuant to Section 332(a) of the </w:t>
      </w:r>
      <w:r w:rsidR="00F86AB0">
        <w:rPr>
          <w:sz w:val="26"/>
          <w:szCs w:val="26"/>
        </w:rPr>
        <w:t xml:space="preserve">Public Utility </w:t>
      </w:r>
      <w:r w:rsidRPr="00AE0D2B">
        <w:rPr>
          <w:sz w:val="26"/>
          <w:szCs w:val="26"/>
        </w:rPr>
        <w:t>Code</w:t>
      </w:r>
      <w:r w:rsidR="00F86AB0">
        <w:rPr>
          <w:sz w:val="26"/>
          <w:szCs w:val="26"/>
        </w:rPr>
        <w:t xml:space="preserve"> (Code)</w:t>
      </w:r>
      <w:r w:rsidRPr="00AE0D2B">
        <w:rPr>
          <w:sz w:val="26"/>
          <w:szCs w:val="26"/>
        </w:rPr>
        <w:t>.  66 Pa. C.S. § 332(a).  To establish a sufficient case and sa</w:t>
      </w:r>
      <w:r>
        <w:rPr>
          <w:sz w:val="26"/>
          <w:szCs w:val="26"/>
        </w:rPr>
        <w:t>tisfy the burden of proof, the C</w:t>
      </w:r>
      <w:r w:rsidRPr="00AE0D2B">
        <w:rPr>
          <w:sz w:val="26"/>
          <w:szCs w:val="26"/>
        </w:rPr>
        <w:t>omp</w:t>
      </w:r>
      <w:r>
        <w:rPr>
          <w:sz w:val="26"/>
          <w:szCs w:val="26"/>
        </w:rPr>
        <w:t>lainant must show that the r</w:t>
      </w:r>
      <w:r w:rsidRPr="00AE0D2B">
        <w:rPr>
          <w:sz w:val="26"/>
          <w:szCs w:val="26"/>
        </w:rPr>
        <w:t>espondent is responsible or accountable fo</w:t>
      </w:r>
      <w:r>
        <w:rPr>
          <w:sz w:val="26"/>
          <w:szCs w:val="26"/>
        </w:rPr>
        <w:t>r the problem described in the C</w:t>
      </w:r>
      <w:r w:rsidRPr="00AE0D2B">
        <w:rPr>
          <w:sz w:val="26"/>
          <w:szCs w:val="26"/>
        </w:rPr>
        <w:t xml:space="preserve">omplaint.  </w:t>
      </w:r>
      <w:r w:rsidRPr="00AE0D2B">
        <w:rPr>
          <w:i/>
          <w:sz w:val="26"/>
          <w:szCs w:val="26"/>
        </w:rPr>
        <w:t>Patterson v. The Bell Telephone Company of Pennsylvania</w:t>
      </w:r>
      <w:r w:rsidRPr="00AE0D2B">
        <w:rPr>
          <w:sz w:val="26"/>
          <w:szCs w:val="26"/>
        </w:rPr>
        <w:t xml:space="preserve">, 72 Pa. P.U.C. 196 (1990).  Such a showing must be by a </w:t>
      </w:r>
      <w:r>
        <w:rPr>
          <w:sz w:val="26"/>
          <w:szCs w:val="26"/>
        </w:rPr>
        <w:t>“</w:t>
      </w:r>
      <w:r w:rsidRPr="00AE0D2B">
        <w:rPr>
          <w:sz w:val="26"/>
          <w:szCs w:val="26"/>
        </w:rPr>
        <w:t>preponderance of the evidence.</w:t>
      </w:r>
      <w:r>
        <w:rPr>
          <w:sz w:val="26"/>
          <w:szCs w:val="26"/>
        </w:rPr>
        <w:t>”</w:t>
      </w:r>
      <w:r w:rsidRPr="00AE0D2B">
        <w:rPr>
          <w:sz w:val="26"/>
          <w:szCs w:val="26"/>
        </w:rPr>
        <w:t xml:space="preserve">  </w:t>
      </w:r>
      <w:r w:rsidRPr="00AE0D2B">
        <w:rPr>
          <w:i/>
          <w:iCs/>
          <w:sz w:val="26"/>
          <w:szCs w:val="26"/>
        </w:rPr>
        <w:t>Samuel J. Lansberry, Inc. v. Pa. PUC</w:t>
      </w:r>
      <w:r w:rsidRPr="00AE0D2B">
        <w:rPr>
          <w:sz w:val="26"/>
          <w:szCs w:val="26"/>
        </w:rPr>
        <w:t xml:space="preserve">, 578 A.2d 600 (Pa. Cmwlth. 1990), </w:t>
      </w:r>
      <w:r w:rsidRPr="00AE0D2B">
        <w:rPr>
          <w:i/>
          <w:sz w:val="26"/>
          <w:szCs w:val="26"/>
        </w:rPr>
        <w:t>alloc. denied,</w:t>
      </w:r>
      <w:r w:rsidRPr="00AE0D2B">
        <w:rPr>
          <w:sz w:val="26"/>
          <w:szCs w:val="26"/>
        </w:rPr>
        <w:t xml:space="preserve"> 529 Pa. 654, 602 A.2d 863 (1992).  </w:t>
      </w:r>
      <w:r w:rsidRPr="00D42BF6">
        <w:rPr>
          <w:sz w:val="26"/>
          <w:szCs w:val="26"/>
        </w:rPr>
        <w:t xml:space="preserve">To establish a fact or claim by a preponderance of the evidence means to offer the greater weight of the evidence, or evidence that outweighs, or is more convincing than, by even the smallest amount, the probative value of the evidence presented by the other party.  </w:t>
      </w:r>
      <w:r w:rsidRPr="00D42BF6">
        <w:rPr>
          <w:i/>
          <w:sz w:val="26"/>
          <w:szCs w:val="26"/>
        </w:rPr>
        <w:t xml:space="preserve">See </w:t>
      </w:r>
      <w:r w:rsidRPr="00D42BF6">
        <w:rPr>
          <w:i/>
          <w:iCs/>
          <w:sz w:val="26"/>
          <w:szCs w:val="26"/>
        </w:rPr>
        <w:t>Se-Ling Hosiery, Inc. v. Margulies,</w:t>
      </w:r>
      <w:r w:rsidRPr="00D42BF6">
        <w:rPr>
          <w:sz w:val="26"/>
          <w:szCs w:val="26"/>
        </w:rPr>
        <w:t xml:space="preserve"> 364 Pa. 45, 48-49, 70 A.2d 854, 855 (1950).</w:t>
      </w:r>
    </w:p>
    <w:p w14:paraId="58FBAB8B" w14:textId="77777777" w:rsidR="000E621F" w:rsidRDefault="000E621F" w:rsidP="000E621F">
      <w:pPr>
        <w:spacing w:line="360" w:lineRule="auto"/>
        <w:rPr>
          <w:sz w:val="26"/>
          <w:szCs w:val="26"/>
        </w:rPr>
      </w:pPr>
    </w:p>
    <w:p w14:paraId="49F0E1F1" w14:textId="77777777" w:rsidR="000E621F" w:rsidRDefault="000E621F" w:rsidP="000E621F">
      <w:pPr>
        <w:spacing w:line="360" w:lineRule="auto"/>
        <w:ind w:firstLine="1440"/>
        <w:rPr>
          <w:sz w:val="26"/>
          <w:szCs w:val="26"/>
        </w:rPr>
      </w:pPr>
      <w:r>
        <w:rPr>
          <w:sz w:val="26"/>
          <w:szCs w:val="26"/>
        </w:rPr>
        <w:t>Adjudications by the</w:t>
      </w:r>
      <w:r w:rsidRPr="001D1950">
        <w:rPr>
          <w:sz w:val="26"/>
          <w:szCs w:val="26"/>
        </w:rPr>
        <w:t xml:space="preserve"> Commission must be supported by substantial evidence in the record.  2 Pa.C.S. § 704.  </w:t>
      </w:r>
      <w:r w:rsidRPr="00C53381">
        <w:rPr>
          <w:sz w:val="26"/>
          <w:szCs w:val="26"/>
        </w:rPr>
        <w:t xml:space="preserve">Substantial evidence is such relevant evidence that a reasonable mind might accept as adequate to support a conclusion.  </w:t>
      </w:r>
      <w:r w:rsidRPr="00C53381">
        <w:rPr>
          <w:i/>
          <w:sz w:val="26"/>
          <w:szCs w:val="26"/>
        </w:rPr>
        <w:t>Consolidated Edison Company of New York v. National Labor Relations Board</w:t>
      </w:r>
      <w:r w:rsidRPr="00C53381">
        <w:rPr>
          <w:sz w:val="26"/>
          <w:szCs w:val="26"/>
        </w:rPr>
        <w:t xml:space="preserve">, 305 U.S. 197, 229, 59 S.Ct. 206, 217.  More is required than a mere trace of evidence or a suspicion of the existence of a fact sought to be established.  </w:t>
      </w:r>
      <w:r w:rsidRPr="00C53381">
        <w:rPr>
          <w:i/>
          <w:sz w:val="26"/>
          <w:szCs w:val="26"/>
        </w:rPr>
        <w:t xml:space="preserve">Norfolk &amp; Western Ry. Co. v. Pa. PUC, </w:t>
      </w:r>
      <w:r w:rsidRPr="00C53381">
        <w:rPr>
          <w:sz w:val="26"/>
          <w:szCs w:val="26"/>
        </w:rPr>
        <w:t>489 Pa. 109, 413 A.2d 1037 (1980)</w:t>
      </w:r>
      <w:r>
        <w:rPr>
          <w:sz w:val="26"/>
          <w:szCs w:val="26"/>
        </w:rPr>
        <w:t>.</w:t>
      </w:r>
    </w:p>
    <w:p w14:paraId="3918AA5A" w14:textId="77777777" w:rsidR="00DC436E" w:rsidRDefault="00DC436E" w:rsidP="000E621F">
      <w:pPr>
        <w:widowControl/>
        <w:spacing w:line="360" w:lineRule="auto"/>
        <w:rPr>
          <w:sz w:val="26"/>
          <w:szCs w:val="26"/>
        </w:rPr>
      </w:pPr>
    </w:p>
    <w:p w14:paraId="024C0355" w14:textId="77777777" w:rsidR="00386FFE" w:rsidRPr="001904D5" w:rsidRDefault="00386FFE" w:rsidP="00385B95">
      <w:pPr>
        <w:keepNext/>
        <w:widowControl/>
        <w:spacing w:line="360" w:lineRule="auto"/>
        <w:rPr>
          <w:b/>
          <w:sz w:val="26"/>
          <w:szCs w:val="26"/>
        </w:rPr>
      </w:pPr>
      <w:r w:rsidRPr="001904D5">
        <w:rPr>
          <w:b/>
          <w:sz w:val="26"/>
          <w:szCs w:val="26"/>
        </w:rPr>
        <w:t>March 2018 Order</w:t>
      </w:r>
    </w:p>
    <w:p w14:paraId="3928960B" w14:textId="77777777" w:rsidR="00386FFE" w:rsidRDefault="00386FFE" w:rsidP="00385B95">
      <w:pPr>
        <w:keepNext/>
        <w:widowControl/>
        <w:spacing w:line="360" w:lineRule="auto"/>
        <w:rPr>
          <w:b/>
          <w:sz w:val="26"/>
          <w:szCs w:val="26"/>
        </w:rPr>
      </w:pPr>
    </w:p>
    <w:p w14:paraId="6510E662" w14:textId="014003BB" w:rsidR="009B42A5" w:rsidRDefault="0006170A" w:rsidP="009B42A5">
      <w:pPr>
        <w:widowControl/>
        <w:spacing w:line="360" w:lineRule="auto"/>
        <w:ind w:firstLine="1440"/>
        <w:rPr>
          <w:sz w:val="26"/>
          <w:szCs w:val="26"/>
        </w:rPr>
      </w:pPr>
      <w:r>
        <w:rPr>
          <w:sz w:val="26"/>
          <w:szCs w:val="26"/>
        </w:rPr>
        <w:t>As noted above,</w:t>
      </w:r>
      <w:r w:rsidR="00E83DF4" w:rsidRPr="00E83DF4">
        <w:rPr>
          <w:sz w:val="26"/>
          <w:szCs w:val="26"/>
        </w:rPr>
        <w:t xml:space="preserve"> </w:t>
      </w:r>
      <w:r w:rsidR="00E83DF4">
        <w:rPr>
          <w:sz w:val="26"/>
          <w:szCs w:val="26"/>
        </w:rPr>
        <w:t xml:space="preserve">the </w:t>
      </w:r>
      <w:r w:rsidR="00E83DF4" w:rsidRPr="0006170A">
        <w:rPr>
          <w:i/>
          <w:sz w:val="26"/>
          <w:szCs w:val="26"/>
        </w:rPr>
        <w:t>April 2017 Initial Decision</w:t>
      </w:r>
      <w:r w:rsidR="00E83DF4" w:rsidRPr="00386FFE">
        <w:rPr>
          <w:sz w:val="26"/>
          <w:szCs w:val="26"/>
        </w:rPr>
        <w:t xml:space="preserve"> grant</w:t>
      </w:r>
      <w:r w:rsidR="00E83DF4">
        <w:rPr>
          <w:sz w:val="26"/>
          <w:szCs w:val="26"/>
        </w:rPr>
        <w:t>ed PECO’s Preliminary O</w:t>
      </w:r>
      <w:r w:rsidR="00E83DF4" w:rsidRPr="00386FFE">
        <w:rPr>
          <w:sz w:val="26"/>
          <w:szCs w:val="26"/>
        </w:rPr>
        <w:t>bjections and d</w:t>
      </w:r>
      <w:r w:rsidR="009B42A5">
        <w:rPr>
          <w:sz w:val="26"/>
          <w:szCs w:val="26"/>
        </w:rPr>
        <w:t xml:space="preserve">enied </w:t>
      </w:r>
      <w:r w:rsidR="00E83DF4">
        <w:rPr>
          <w:sz w:val="26"/>
          <w:szCs w:val="26"/>
        </w:rPr>
        <w:t>Mr. DeHaven’s C</w:t>
      </w:r>
      <w:r w:rsidR="00E83DF4" w:rsidRPr="00386FFE">
        <w:rPr>
          <w:sz w:val="26"/>
          <w:szCs w:val="26"/>
        </w:rPr>
        <w:t>ompla</w:t>
      </w:r>
      <w:r w:rsidR="00E83DF4">
        <w:rPr>
          <w:sz w:val="26"/>
          <w:szCs w:val="26"/>
        </w:rPr>
        <w:t xml:space="preserve">int without </w:t>
      </w:r>
      <w:r w:rsidR="009B42A5">
        <w:rPr>
          <w:sz w:val="26"/>
          <w:szCs w:val="26"/>
        </w:rPr>
        <w:t xml:space="preserve">a </w:t>
      </w:r>
      <w:r w:rsidR="00E83DF4">
        <w:rPr>
          <w:sz w:val="26"/>
          <w:szCs w:val="26"/>
        </w:rPr>
        <w:t>hearing</w:t>
      </w:r>
      <w:r w:rsidR="00E83DF4" w:rsidRPr="00386FFE">
        <w:rPr>
          <w:sz w:val="26"/>
          <w:szCs w:val="26"/>
        </w:rPr>
        <w:t>.</w:t>
      </w:r>
    </w:p>
    <w:p w14:paraId="54632BE5" w14:textId="77777777" w:rsidR="009B42A5" w:rsidRDefault="009B42A5" w:rsidP="009B42A5">
      <w:pPr>
        <w:widowControl/>
        <w:spacing w:line="360" w:lineRule="auto"/>
        <w:ind w:firstLine="1440"/>
        <w:rPr>
          <w:sz w:val="26"/>
          <w:szCs w:val="26"/>
        </w:rPr>
      </w:pPr>
    </w:p>
    <w:p w14:paraId="7B97D86A" w14:textId="0FDBD429" w:rsidR="009B42A5" w:rsidRPr="009B42A5" w:rsidRDefault="009B42A5" w:rsidP="009B42A5">
      <w:pPr>
        <w:widowControl/>
        <w:spacing w:line="360" w:lineRule="auto"/>
        <w:ind w:firstLine="1440"/>
        <w:rPr>
          <w:sz w:val="26"/>
          <w:szCs w:val="26"/>
        </w:rPr>
      </w:pPr>
      <w:r>
        <w:rPr>
          <w:sz w:val="26"/>
          <w:szCs w:val="26"/>
        </w:rPr>
        <w:lastRenderedPageBreak/>
        <w:t xml:space="preserve">The </w:t>
      </w:r>
      <w:r w:rsidRPr="009B42A5">
        <w:rPr>
          <w:i/>
          <w:sz w:val="26"/>
          <w:szCs w:val="26"/>
        </w:rPr>
        <w:t>March 2018 Order</w:t>
      </w:r>
      <w:r>
        <w:rPr>
          <w:sz w:val="26"/>
          <w:szCs w:val="26"/>
        </w:rPr>
        <w:t xml:space="preserve"> adopted, in part, the </w:t>
      </w:r>
      <w:r w:rsidRPr="009B42A5">
        <w:rPr>
          <w:i/>
          <w:sz w:val="26"/>
          <w:szCs w:val="26"/>
        </w:rPr>
        <w:t>April 2017 Initial Decision</w:t>
      </w:r>
      <w:r>
        <w:rPr>
          <w:sz w:val="26"/>
          <w:szCs w:val="26"/>
        </w:rPr>
        <w:t xml:space="preserve">, specifically with regard to the ALJ’s denial of the Complaint regarding the Complainant’s claim that he should not be responsible for the tenant’s balance because the tenant agreed to be responsible for all utility charges to the premises under the lease agreement.  We stated that it is well-settled </w:t>
      </w:r>
      <w:r w:rsidR="00D239FB">
        <w:rPr>
          <w:sz w:val="26"/>
          <w:szCs w:val="26"/>
        </w:rPr>
        <w:t xml:space="preserve">law </w:t>
      </w:r>
      <w:r>
        <w:rPr>
          <w:sz w:val="26"/>
          <w:szCs w:val="26"/>
        </w:rPr>
        <w:t>that the Commission has no jurisdiction over lease agreement disputes between landlords and tenants, and</w:t>
      </w:r>
      <w:r w:rsidR="005951F1">
        <w:rPr>
          <w:sz w:val="26"/>
          <w:szCs w:val="26"/>
        </w:rPr>
        <w:t xml:space="preserve"> therefore any such dispute </w:t>
      </w:r>
      <w:r>
        <w:rPr>
          <w:sz w:val="26"/>
          <w:szCs w:val="26"/>
        </w:rPr>
        <w:t>b</w:t>
      </w:r>
      <w:r w:rsidR="00BE547B">
        <w:rPr>
          <w:sz w:val="26"/>
          <w:szCs w:val="26"/>
        </w:rPr>
        <w:t>etween Mr. DeHaven and his tenant</w:t>
      </w:r>
      <w:r w:rsidR="00F8328B">
        <w:rPr>
          <w:sz w:val="26"/>
          <w:szCs w:val="26"/>
        </w:rPr>
        <w:t xml:space="preserve"> was</w:t>
      </w:r>
      <w:r w:rsidR="005951F1">
        <w:rPr>
          <w:sz w:val="26"/>
          <w:szCs w:val="26"/>
        </w:rPr>
        <w:t xml:space="preserve"> </w:t>
      </w:r>
      <w:r>
        <w:rPr>
          <w:sz w:val="26"/>
          <w:szCs w:val="26"/>
        </w:rPr>
        <w:t>to be resolved in a</w:t>
      </w:r>
      <w:r w:rsidR="005951F1">
        <w:rPr>
          <w:sz w:val="26"/>
          <w:szCs w:val="26"/>
        </w:rPr>
        <w:t>n appropriate</w:t>
      </w:r>
      <w:r>
        <w:rPr>
          <w:sz w:val="26"/>
          <w:szCs w:val="26"/>
        </w:rPr>
        <w:t xml:space="preserve"> court of jurisdiction.  </w:t>
      </w:r>
      <w:r w:rsidRPr="009B42A5">
        <w:rPr>
          <w:i/>
          <w:sz w:val="26"/>
          <w:szCs w:val="26"/>
        </w:rPr>
        <w:t>March 2018 Order</w:t>
      </w:r>
      <w:r>
        <w:rPr>
          <w:sz w:val="26"/>
          <w:szCs w:val="26"/>
        </w:rPr>
        <w:t xml:space="preserve"> at 15-16 (citing</w:t>
      </w:r>
      <w:r>
        <w:rPr>
          <w:i/>
          <w:sz w:val="26"/>
          <w:szCs w:val="26"/>
        </w:rPr>
        <w:t xml:space="preserve"> Ace Check Cashing, Inc. v. Philadelphia Gas Works</w:t>
      </w:r>
      <w:r>
        <w:rPr>
          <w:sz w:val="26"/>
          <w:szCs w:val="26"/>
        </w:rPr>
        <w:t>, Docket No. C-2008-2056428 (Order entered May 21, 2010)</w:t>
      </w:r>
      <w:r w:rsidR="004B49EA">
        <w:rPr>
          <w:sz w:val="26"/>
          <w:szCs w:val="26"/>
        </w:rPr>
        <w:t xml:space="preserve">; </w:t>
      </w:r>
      <w:r>
        <w:rPr>
          <w:i/>
          <w:sz w:val="26"/>
          <w:szCs w:val="26"/>
        </w:rPr>
        <w:t>Afshari v. PPL Electric Utilities Corp</w:t>
      </w:r>
      <w:r>
        <w:rPr>
          <w:sz w:val="26"/>
          <w:szCs w:val="26"/>
        </w:rPr>
        <w:t>., Docket No. C</w:t>
      </w:r>
      <w:r>
        <w:rPr>
          <w:sz w:val="26"/>
          <w:szCs w:val="26"/>
        </w:rPr>
        <w:noBreakHyphen/>
        <w:t>20055547 (Order entered April 9, 2008)).</w:t>
      </w:r>
    </w:p>
    <w:p w14:paraId="0B564DC0" w14:textId="77777777" w:rsidR="00E0755E" w:rsidRDefault="00E0755E" w:rsidP="00386FFE">
      <w:pPr>
        <w:widowControl/>
        <w:spacing w:line="360" w:lineRule="auto"/>
        <w:ind w:firstLine="1440"/>
        <w:rPr>
          <w:sz w:val="26"/>
          <w:szCs w:val="26"/>
        </w:rPr>
      </w:pPr>
    </w:p>
    <w:p w14:paraId="08F18051" w14:textId="34B47549" w:rsidR="00386FFE" w:rsidRPr="00386FFE" w:rsidRDefault="00F8328B" w:rsidP="009B42A5">
      <w:pPr>
        <w:widowControl/>
        <w:spacing w:line="360" w:lineRule="auto"/>
        <w:ind w:firstLine="1440"/>
        <w:rPr>
          <w:sz w:val="26"/>
          <w:szCs w:val="26"/>
        </w:rPr>
      </w:pPr>
      <w:r>
        <w:rPr>
          <w:sz w:val="26"/>
          <w:szCs w:val="26"/>
        </w:rPr>
        <w:t>T</w:t>
      </w:r>
      <w:r w:rsidR="00E83DF4">
        <w:rPr>
          <w:sz w:val="26"/>
          <w:szCs w:val="26"/>
        </w:rPr>
        <w:t>he</w:t>
      </w:r>
      <w:r w:rsidR="00386FFE">
        <w:rPr>
          <w:sz w:val="26"/>
          <w:szCs w:val="26"/>
        </w:rPr>
        <w:t xml:space="preserve"> </w:t>
      </w:r>
      <w:r w:rsidR="0006170A" w:rsidRPr="0006170A">
        <w:rPr>
          <w:i/>
          <w:sz w:val="26"/>
          <w:szCs w:val="26"/>
        </w:rPr>
        <w:t>March 2018 Order</w:t>
      </w:r>
      <w:r w:rsidR="0006170A">
        <w:rPr>
          <w:sz w:val="26"/>
          <w:szCs w:val="26"/>
        </w:rPr>
        <w:t xml:space="preserve"> </w:t>
      </w:r>
      <w:r w:rsidR="009B42A5">
        <w:rPr>
          <w:sz w:val="26"/>
          <w:szCs w:val="26"/>
        </w:rPr>
        <w:t xml:space="preserve">also </w:t>
      </w:r>
      <w:r w:rsidR="00386FFE">
        <w:rPr>
          <w:sz w:val="26"/>
          <w:szCs w:val="26"/>
        </w:rPr>
        <w:t>reversed</w:t>
      </w:r>
      <w:r w:rsidR="0006170A">
        <w:rPr>
          <w:sz w:val="26"/>
          <w:szCs w:val="26"/>
        </w:rPr>
        <w:t>, in part,</w:t>
      </w:r>
      <w:r w:rsidR="00386FFE">
        <w:rPr>
          <w:sz w:val="26"/>
          <w:szCs w:val="26"/>
        </w:rPr>
        <w:t xml:space="preserve"> the</w:t>
      </w:r>
      <w:r w:rsidR="0006170A">
        <w:rPr>
          <w:sz w:val="26"/>
          <w:szCs w:val="26"/>
        </w:rPr>
        <w:t xml:space="preserve"> </w:t>
      </w:r>
      <w:r w:rsidR="0006170A" w:rsidRPr="0006170A">
        <w:rPr>
          <w:i/>
          <w:sz w:val="26"/>
          <w:szCs w:val="26"/>
        </w:rPr>
        <w:t>April 2017</w:t>
      </w:r>
      <w:r w:rsidR="00386FFE" w:rsidRPr="0006170A">
        <w:rPr>
          <w:i/>
          <w:sz w:val="26"/>
          <w:szCs w:val="26"/>
        </w:rPr>
        <w:t xml:space="preserve"> Initial Decision</w:t>
      </w:r>
      <w:r w:rsidR="00386FFE">
        <w:rPr>
          <w:sz w:val="26"/>
          <w:szCs w:val="26"/>
        </w:rPr>
        <w:t xml:space="preserve"> </w:t>
      </w:r>
      <w:r w:rsidR="00386FFE" w:rsidRPr="00386FFE">
        <w:rPr>
          <w:sz w:val="26"/>
          <w:szCs w:val="26"/>
        </w:rPr>
        <w:t xml:space="preserve">and remanded the matter for hearing and fact finding. </w:t>
      </w:r>
      <w:r w:rsidR="00386FFE">
        <w:rPr>
          <w:sz w:val="26"/>
          <w:szCs w:val="26"/>
        </w:rPr>
        <w:t xml:space="preserve"> </w:t>
      </w:r>
      <w:r w:rsidR="009B42A5">
        <w:rPr>
          <w:sz w:val="26"/>
          <w:szCs w:val="26"/>
        </w:rPr>
        <w:t>In doing so, w</w:t>
      </w:r>
      <w:r w:rsidR="0006170A">
        <w:rPr>
          <w:sz w:val="26"/>
          <w:szCs w:val="26"/>
        </w:rPr>
        <w:t>e stated that Mr. DeHaven’s E</w:t>
      </w:r>
      <w:r w:rsidR="00386FFE" w:rsidRPr="00386FFE">
        <w:rPr>
          <w:sz w:val="26"/>
          <w:szCs w:val="26"/>
        </w:rPr>
        <w:t>xception “raises, for the first time in this proceeding, an issue about a balance being transferred from the tenants’ previous service address,” an issue which “involves the standard utility practice of transferring c</w:t>
      </w:r>
      <w:r w:rsidR="004C7926">
        <w:rPr>
          <w:sz w:val="26"/>
          <w:szCs w:val="26"/>
        </w:rPr>
        <w:t xml:space="preserve">ustomer account balances when a </w:t>
      </w:r>
      <w:r w:rsidR="00386FFE" w:rsidRPr="00386FFE">
        <w:rPr>
          <w:sz w:val="26"/>
          <w:szCs w:val="26"/>
        </w:rPr>
        <w:t xml:space="preserve">customer changes residences.” </w:t>
      </w:r>
      <w:r w:rsidR="00386FFE" w:rsidRPr="00386FFE">
        <w:rPr>
          <w:i/>
          <w:sz w:val="26"/>
          <w:szCs w:val="26"/>
        </w:rPr>
        <w:t>March 2018 Order</w:t>
      </w:r>
      <w:r w:rsidR="00386FFE" w:rsidRPr="00386FFE">
        <w:rPr>
          <w:sz w:val="26"/>
          <w:szCs w:val="26"/>
        </w:rPr>
        <w:t xml:space="preserve"> at 16. </w:t>
      </w:r>
      <w:r w:rsidR="0006170A">
        <w:rPr>
          <w:sz w:val="26"/>
          <w:szCs w:val="26"/>
        </w:rPr>
        <w:t xml:space="preserve"> </w:t>
      </w:r>
      <w:r w:rsidR="00386FFE" w:rsidRPr="00386FFE">
        <w:rPr>
          <w:sz w:val="26"/>
          <w:szCs w:val="26"/>
        </w:rPr>
        <w:t xml:space="preserve">In discussing Section 1529.1 of the </w:t>
      </w:r>
      <w:r w:rsidR="0023201B">
        <w:rPr>
          <w:sz w:val="26"/>
          <w:szCs w:val="26"/>
        </w:rPr>
        <w:t>Code regarding foreign load</w:t>
      </w:r>
      <w:r w:rsidR="00386FFE" w:rsidRPr="00386FFE">
        <w:rPr>
          <w:sz w:val="26"/>
          <w:szCs w:val="26"/>
        </w:rPr>
        <w:t xml:space="preserve">, </w:t>
      </w:r>
      <w:r w:rsidR="0006170A">
        <w:rPr>
          <w:sz w:val="26"/>
          <w:szCs w:val="26"/>
        </w:rPr>
        <w:t>we</w:t>
      </w:r>
      <w:r w:rsidR="00386FFE" w:rsidRPr="00386FFE">
        <w:rPr>
          <w:sz w:val="26"/>
          <w:szCs w:val="26"/>
        </w:rPr>
        <w:t xml:space="preserve"> noted that subsection (b) provides: “an affected public utility shall forthwith list </w:t>
      </w:r>
      <w:r w:rsidR="00386FFE" w:rsidRPr="00386FFE">
        <w:rPr>
          <w:i/>
          <w:iCs/>
          <w:sz w:val="26"/>
          <w:szCs w:val="26"/>
        </w:rPr>
        <w:t xml:space="preserve">the account for the premises in question </w:t>
      </w:r>
      <w:r w:rsidR="00386FFE" w:rsidRPr="00386FFE">
        <w:rPr>
          <w:sz w:val="26"/>
          <w:szCs w:val="26"/>
        </w:rPr>
        <w:t xml:space="preserve">in the name of the owner, and the owner shall thereafter be responsible for the payment </w:t>
      </w:r>
      <w:r w:rsidR="00386FFE" w:rsidRPr="00386FFE">
        <w:rPr>
          <w:i/>
          <w:iCs/>
          <w:sz w:val="26"/>
          <w:szCs w:val="26"/>
        </w:rPr>
        <w:t>for the utility services rendered thereunto</w:t>
      </w:r>
      <w:r w:rsidR="00386FFE" w:rsidRPr="00386FFE">
        <w:rPr>
          <w:sz w:val="26"/>
          <w:szCs w:val="26"/>
        </w:rPr>
        <w:t xml:space="preserve">.” </w:t>
      </w:r>
      <w:r w:rsidR="00386FFE" w:rsidRPr="00386FFE">
        <w:rPr>
          <w:i/>
          <w:sz w:val="26"/>
          <w:szCs w:val="26"/>
        </w:rPr>
        <w:t>Id</w:t>
      </w:r>
      <w:r w:rsidR="00386FFE" w:rsidRPr="00386FFE">
        <w:rPr>
          <w:sz w:val="26"/>
          <w:szCs w:val="26"/>
        </w:rPr>
        <w:t>. at 17 (emphasis supplied).</w:t>
      </w:r>
    </w:p>
    <w:p w14:paraId="33D4546E" w14:textId="77777777" w:rsidR="004B49EA" w:rsidRPr="00386FFE" w:rsidRDefault="004B49EA" w:rsidP="00D239FB">
      <w:pPr>
        <w:widowControl/>
        <w:spacing w:line="360" w:lineRule="auto"/>
        <w:rPr>
          <w:sz w:val="26"/>
          <w:szCs w:val="26"/>
        </w:rPr>
      </w:pPr>
    </w:p>
    <w:p w14:paraId="73B7D1DB" w14:textId="7F66D759" w:rsidR="00386FFE" w:rsidRDefault="004B49EA" w:rsidP="004B49EA">
      <w:pPr>
        <w:keepNext/>
        <w:widowControl/>
        <w:autoSpaceDE w:val="0"/>
        <w:autoSpaceDN w:val="0"/>
        <w:adjustRightInd w:val="0"/>
        <w:spacing w:line="360" w:lineRule="auto"/>
        <w:ind w:firstLine="1440"/>
        <w:rPr>
          <w:rFonts w:eastAsiaTheme="minorHAnsi"/>
          <w:color w:val="000000"/>
          <w:sz w:val="26"/>
          <w:szCs w:val="26"/>
        </w:rPr>
      </w:pPr>
      <w:r>
        <w:rPr>
          <w:rFonts w:eastAsiaTheme="minorHAnsi"/>
          <w:color w:val="000000"/>
          <w:sz w:val="26"/>
          <w:szCs w:val="26"/>
        </w:rPr>
        <w:t>We added</w:t>
      </w:r>
      <w:r w:rsidR="001E3A41">
        <w:rPr>
          <w:rFonts w:eastAsiaTheme="minorHAnsi"/>
          <w:color w:val="000000"/>
          <w:sz w:val="26"/>
          <w:szCs w:val="26"/>
        </w:rPr>
        <w:t xml:space="preserve"> as follows</w:t>
      </w:r>
      <w:r w:rsidR="00386FFE" w:rsidRPr="00386FFE">
        <w:rPr>
          <w:rFonts w:eastAsiaTheme="minorHAnsi"/>
          <w:color w:val="000000"/>
          <w:sz w:val="26"/>
          <w:szCs w:val="26"/>
        </w:rPr>
        <w:t>:</w:t>
      </w:r>
    </w:p>
    <w:p w14:paraId="6DFAACDA" w14:textId="77777777" w:rsidR="00386FFE" w:rsidRPr="00386FFE" w:rsidRDefault="00386FFE" w:rsidP="004B49EA">
      <w:pPr>
        <w:keepNext/>
        <w:widowControl/>
        <w:autoSpaceDE w:val="0"/>
        <w:autoSpaceDN w:val="0"/>
        <w:adjustRightInd w:val="0"/>
        <w:ind w:firstLine="1440"/>
        <w:rPr>
          <w:rFonts w:eastAsiaTheme="minorHAnsi"/>
          <w:color w:val="000000"/>
          <w:sz w:val="26"/>
          <w:szCs w:val="26"/>
        </w:rPr>
      </w:pPr>
    </w:p>
    <w:p w14:paraId="44C60F6C" w14:textId="5C4D3B08" w:rsidR="00386FFE" w:rsidRPr="00386FFE" w:rsidRDefault="00386FFE" w:rsidP="00386FFE">
      <w:pPr>
        <w:pStyle w:val="Default"/>
        <w:ind w:left="1440" w:right="1440"/>
        <w:rPr>
          <w:sz w:val="26"/>
          <w:szCs w:val="26"/>
        </w:rPr>
      </w:pPr>
      <w:r w:rsidRPr="00386FFE">
        <w:rPr>
          <w:sz w:val="26"/>
          <w:szCs w:val="26"/>
        </w:rPr>
        <w:t>“</w:t>
      </w:r>
      <w:r w:rsidRPr="00386FFE">
        <w:rPr>
          <w:i/>
          <w:iCs/>
          <w:sz w:val="26"/>
          <w:szCs w:val="26"/>
        </w:rPr>
        <w:t>[T]he account for the premises in question</w:t>
      </w:r>
      <w:r w:rsidRPr="00386FFE">
        <w:rPr>
          <w:sz w:val="26"/>
          <w:szCs w:val="26"/>
        </w:rPr>
        <w:t>” clearly refers to the account for the premises where the foreign load is discovered. “</w:t>
      </w:r>
      <w:r w:rsidRPr="00386FFE">
        <w:rPr>
          <w:i/>
          <w:iCs/>
          <w:sz w:val="26"/>
          <w:szCs w:val="26"/>
        </w:rPr>
        <w:t>[F]or the utility services rendered thereunto</w:t>
      </w:r>
      <w:r w:rsidRPr="00386FFE">
        <w:rPr>
          <w:sz w:val="26"/>
          <w:szCs w:val="26"/>
        </w:rPr>
        <w:t>” clearly makes the landlord responsible for payment for utility services rendered to the account for the premises where the foreign load is discovered.</w:t>
      </w:r>
      <w:r w:rsidR="002767DE">
        <w:rPr>
          <w:sz w:val="26"/>
          <w:szCs w:val="26"/>
        </w:rPr>
        <w:t xml:space="preserve"> </w:t>
      </w:r>
      <w:r w:rsidRPr="00386FFE">
        <w:rPr>
          <w:sz w:val="26"/>
          <w:szCs w:val="26"/>
        </w:rPr>
        <w:t xml:space="preserve"> This phrase makes the landlord </w:t>
      </w:r>
      <w:r w:rsidRPr="00386FFE">
        <w:rPr>
          <w:sz w:val="26"/>
          <w:szCs w:val="26"/>
        </w:rPr>
        <w:lastRenderedPageBreak/>
        <w:t xml:space="preserve">responsible for the payment for utility services rendered to the foreign load-affected premises. Thus, to hold the landlord responsible for payment for utility services rendered to </w:t>
      </w:r>
      <w:r w:rsidRPr="00386FFE">
        <w:rPr>
          <w:i/>
          <w:iCs/>
          <w:sz w:val="26"/>
          <w:szCs w:val="26"/>
        </w:rPr>
        <w:t xml:space="preserve">another </w:t>
      </w:r>
      <w:r w:rsidRPr="00386FFE">
        <w:rPr>
          <w:sz w:val="26"/>
          <w:szCs w:val="26"/>
        </w:rPr>
        <w:t>premise would appear to contravene the plain language of Subsection (b). 1 Pa. C.S. § 1921(b).</w:t>
      </w:r>
    </w:p>
    <w:p w14:paraId="7D4A6F2F" w14:textId="77777777" w:rsidR="00386FFE" w:rsidRPr="00386FFE" w:rsidRDefault="00386FFE" w:rsidP="00386FFE">
      <w:pPr>
        <w:pStyle w:val="Default"/>
        <w:ind w:left="1440" w:right="1440"/>
        <w:rPr>
          <w:sz w:val="26"/>
          <w:szCs w:val="26"/>
        </w:rPr>
      </w:pPr>
    </w:p>
    <w:p w14:paraId="2B984CD2" w14:textId="39763C0D" w:rsidR="00386FFE" w:rsidRPr="00386FFE" w:rsidRDefault="00386FFE" w:rsidP="00386FFE">
      <w:pPr>
        <w:widowControl/>
        <w:autoSpaceDE w:val="0"/>
        <w:autoSpaceDN w:val="0"/>
        <w:adjustRightInd w:val="0"/>
        <w:ind w:left="1440" w:right="1440"/>
        <w:rPr>
          <w:rFonts w:eastAsiaTheme="minorHAnsi"/>
          <w:color w:val="000000"/>
          <w:sz w:val="26"/>
          <w:szCs w:val="26"/>
        </w:rPr>
      </w:pPr>
      <w:r w:rsidRPr="00386FFE">
        <w:rPr>
          <w:rFonts w:eastAsiaTheme="minorHAnsi"/>
          <w:color w:val="000000"/>
          <w:sz w:val="26"/>
          <w:szCs w:val="26"/>
        </w:rPr>
        <w:t>Moreover, logic dictates that a tenant’s prior debt associated with utility usage at another premise is usage which is wholly unrelated to the landlord’s property, usage which was not at all affected by the electric wiring of the landlord’s property, and therefore, usage for which the landlord bears no responsibility. To hold the property owner financially responsible for the tenant’s balance from another service address leads to an inequitable result in that it: (1) is overly punitive for the property owner because it would make the owner financially responsible for prior debts of the tenant incurred at another service address; and (2) creates a windfall for the tenant by relieving the tenant of prior debts incurred by the tenant at another service address. Such an illogical and inequitable result is unreasonable, and the Legislature is presumed not to have intended an unreasonable result in its enactment of a statute. 1 Pa. C.S. § 1922(1).</w:t>
      </w:r>
    </w:p>
    <w:p w14:paraId="0CC7D9C0" w14:textId="77777777" w:rsidR="00386FFE" w:rsidRPr="00386FFE" w:rsidRDefault="00386FFE" w:rsidP="00386FFE">
      <w:pPr>
        <w:widowControl/>
        <w:autoSpaceDE w:val="0"/>
        <w:autoSpaceDN w:val="0"/>
        <w:adjustRightInd w:val="0"/>
        <w:ind w:left="1440" w:right="1440"/>
        <w:rPr>
          <w:rFonts w:eastAsiaTheme="minorHAnsi"/>
          <w:color w:val="000000"/>
          <w:sz w:val="26"/>
          <w:szCs w:val="26"/>
        </w:rPr>
      </w:pPr>
    </w:p>
    <w:p w14:paraId="69F95CD6" w14:textId="77777777" w:rsidR="00386FFE" w:rsidRPr="00386FFE" w:rsidRDefault="00386FFE" w:rsidP="00386FFE">
      <w:pPr>
        <w:widowControl/>
        <w:ind w:left="1440" w:right="1440"/>
        <w:rPr>
          <w:sz w:val="26"/>
          <w:szCs w:val="26"/>
        </w:rPr>
      </w:pPr>
      <w:r w:rsidRPr="00386FFE">
        <w:rPr>
          <w:rFonts w:eastAsiaTheme="minorHAnsi"/>
          <w:color w:val="000000"/>
          <w:sz w:val="26"/>
          <w:szCs w:val="26"/>
        </w:rPr>
        <w:t xml:space="preserve">Therefore, the reasonable statutory construction of Section 1529.1(b) is the one that makes the landlord responsible for payment of the current balance and arrearages </w:t>
      </w:r>
      <w:r w:rsidRPr="00386FFE">
        <w:rPr>
          <w:rFonts w:eastAsiaTheme="minorHAnsi"/>
          <w:i/>
          <w:iCs/>
          <w:color w:val="000000"/>
          <w:sz w:val="26"/>
          <w:szCs w:val="26"/>
        </w:rPr>
        <w:t xml:space="preserve">only </w:t>
      </w:r>
      <w:r w:rsidRPr="00386FFE">
        <w:rPr>
          <w:rFonts w:eastAsiaTheme="minorHAnsi"/>
          <w:color w:val="000000"/>
          <w:sz w:val="26"/>
          <w:szCs w:val="26"/>
        </w:rPr>
        <w:t>for utility services rendered to the foreign load-affected premises, but not for utility services rendered to the tenant at a former address.</w:t>
      </w:r>
    </w:p>
    <w:p w14:paraId="1E6B5F87" w14:textId="77777777" w:rsidR="00386FFE" w:rsidRDefault="00386FFE" w:rsidP="002767DE">
      <w:pPr>
        <w:widowControl/>
        <w:rPr>
          <w:sz w:val="26"/>
          <w:szCs w:val="26"/>
        </w:rPr>
      </w:pPr>
    </w:p>
    <w:p w14:paraId="09A4AEBC" w14:textId="77777777" w:rsidR="002767DE" w:rsidRDefault="002767DE" w:rsidP="00386FFE">
      <w:pPr>
        <w:widowControl/>
        <w:spacing w:line="360" w:lineRule="auto"/>
        <w:rPr>
          <w:i/>
          <w:sz w:val="26"/>
          <w:szCs w:val="26"/>
        </w:rPr>
      </w:pPr>
    </w:p>
    <w:p w14:paraId="183C7318" w14:textId="34A71A32" w:rsidR="0006170A" w:rsidRDefault="00386FFE" w:rsidP="00386FFE">
      <w:pPr>
        <w:widowControl/>
        <w:spacing w:line="360" w:lineRule="auto"/>
        <w:rPr>
          <w:sz w:val="26"/>
          <w:szCs w:val="26"/>
        </w:rPr>
      </w:pPr>
      <w:r w:rsidRPr="00386FFE">
        <w:rPr>
          <w:i/>
          <w:sz w:val="26"/>
          <w:szCs w:val="26"/>
        </w:rPr>
        <w:t>Id</w:t>
      </w:r>
      <w:r w:rsidRPr="00386FFE">
        <w:rPr>
          <w:sz w:val="26"/>
          <w:szCs w:val="26"/>
        </w:rPr>
        <w:t>. at 18 (emphasis in original).</w:t>
      </w:r>
    </w:p>
    <w:p w14:paraId="62182A45" w14:textId="77777777" w:rsidR="0006170A" w:rsidRDefault="0006170A" w:rsidP="00386FFE">
      <w:pPr>
        <w:widowControl/>
        <w:spacing w:line="360" w:lineRule="auto"/>
        <w:rPr>
          <w:sz w:val="26"/>
          <w:szCs w:val="26"/>
        </w:rPr>
      </w:pPr>
    </w:p>
    <w:p w14:paraId="541A8F01" w14:textId="4CEBC97E" w:rsidR="0006170A" w:rsidRDefault="0006170A" w:rsidP="0006170A">
      <w:pPr>
        <w:widowControl/>
        <w:spacing w:line="360" w:lineRule="auto"/>
        <w:ind w:firstLine="1440"/>
        <w:rPr>
          <w:sz w:val="26"/>
          <w:szCs w:val="26"/>
        </w:rPr>
      </w:pPr>
      <w:r>
        <w:rPr>
          <w:sz w:val="26"/>
          <w:szCs w:val="26"/>
        </w:rPr>
        <w:t>Based on the foregoing, we</w:t>
      </w:r>
      <w:r w:rsidR="00386FFE" w:rsidRPr="00386FFE">
        <w:rPr>
          <w:sz w:val="26"/>
          <w:szCs w:val="26"/>
        </w:rPr>
        <w:t xml:space="preserve"> concluded: “When the utility lists the foreign load-affected account in the name of the property owner in accordance with Subsection (b), it should only include the current balance and any arrearage accrued since the tenant established service at the foreign load-affected premises.” </w:t>
      </w:r>
      <w:r w:rsidR="004B49EA">
        <w:rPr>
          <w:sz w:val="26"/>
          <w:szCs w:val="26"/>
        </w:rPr>
        <w:t xml:space="preserve"> </w:t>
      </w:r>
      <w:r w:rsidR="00386FFE" w:rsidRPr="00386FFE">
        <w:rPr>
          <w:i/>
          <w:sz w:val="26"/>
          <w:szCs w:val="26"/>
        </w:rPr>
        <w:t>Id</w:t>
      </w:r>
      <w:r w:rsidR="00386FFE" w:rsidRPr="00386FFE">
        <w:rPr>
          <w:sz w:val="26"/>
          <w:szCs w:val="26"/>
        </w:rPr>
        <w:t>. at 21.</w:t>
      </w:r>
    </w:p>
    <w:p w14:paraId="19ECEF75" w14:textId="77777777" w:rsidR="0006170A" w:rsidRDefault="0006170A" w:rsidP="00386FFE">
      <w:pPr>
        <w:widowControl/>
        <w:spacing w:line="360" w:lineRule="auto"/>
        <w:rPr>
          <w:sz w:val="26"/>
          <w:szCs w:val="26"/>
        </w:rPr>
      </w:pPr>
    </w:p>
    <w:p w14:paraId="31AB2A08" w14:textId="1CCAE695" w:rsidR="00386FFE" w:rsidRPr="0006170A" w:rsidRDefault="0006170A" w:rsidP="0006170A">
      <w:pPr>
        <w:widowControl/>
        <w:spacing w:line="360" w:lineRule="auto"/>
        <w:ind w:firstLine="1440"/>
        <w:rPr>
          <w:sz w:val="26"/>
          <w:szCs w:val="26"/>
        </w:rPr>
      </w:pPr>
      <w:r>
        <w:rPr>
          <w:sz w:val="26"/>
          <w:szCs w:val="26"/>
        </w:rPr>
        <w:lastRenderedPageBreak/>
        <w:t>As a result of our legal conclusion, we determined that</w:t>
      </w:r>
      <w:r w:rsidR="00386FFE" w:rsidRPr="00386FFE">
        <w:rPr>
          <w:sz w:val="26"/>
          <w:szCs w:val="26"/>
        </w:rPr>
        <w:t xml:space="preserve"> “a hearing is required for fact finding regarding the amount of the tenants’ arrearage not related to the Complainant’s property.” </w:t>
      </w:r>
      <w:r w:rsidR="0023201B">
        <w:rPr>
          <w:sz w:val="26"/>
          <w:szCs w:val="26"/>
        </w:rPr>
        <w:t xml:space="preserve"> </w:t>
      </w:r>
      <w:r w:rsidR="00386FFE" w:rsidRPr="00386FFE">
        <w:rPr>
          <w:i/>
          <w:sz w:val="26"/>
          <w:szCs w:val="26"/>
        </w:rPr>
        <w:t>Id</w:t>
      </w:r>
      <w:r w:rsidR="00386FFE" w:rsidRPr="00386FFE">
        <w:rPr>
          <w:sz w:val="26"/>
          <w:szCs w:val="26"/>
        </w:rPr>
        <w:t>. at 24.</w:t>
      </w:r>
      <w:r>
        <w:rPr>
          <w:sz w:val="26"/>
          <w:szCs w:val="26"/>
        </w:rPr>
        <w:t xml:space="preserve">  We, therefore, remand</w:t>
      </w:r>
      <w:r w:rsidR="00E02E3F">
        <w:rPr>
          <w:sz w:val="26"/>
          <w:szCs w:val="26"/>
        </w:rPr>
        <w:t>ed</w:t>
      </w:r>
      <w:r>
        <w:rPr>
          <w:sz w:val="26"/>
          <w:szCs w:val="26"/>
        </w:rPr>
        <w:t xml:space="preserve"> for a hearing and fact finding on </w:t>
      </w:r>
      <w:r w:rsidRPr="0006170A">
        <w:rPr>
          <w:sz w:val="26"/>
          <w:szCs w:val="26"/>
        </w:rPr>
        <w:t xml:space="preserve">the </w:t>
      </w:r>
      <w:r w:rsidR="00E02E3F">
        <w:rPr>
          <w:sz w:val="26"/>
          <w:szCs w:val="26"/>
        </w:rPr>
        <w:t xml:space="preserve">appropriate </w:t>
      </w:r>
      <w:r w:rsidRPr="0006170A">
        <w:rPr>
          <w:sz w:val="26"/>
          <w:szCs w:val="26"/>
        </w:rPr>
        <w:t>amount</w:t>
      </w:r>
      <w:r w:rsidR="00D1528A">
        <w:rPr>
          <w:sz w:val="26"/>
          <w:szCs w:val="26"/>
        </w:rPr>
        <w:t xml:space="preserve"> to be transferred</w:t>
      </w:r>
      <w:r w:rsidRPr="0006170A">
        <w:rPr>
          <w:sz w:val="26"/>
          <w:szCs w:val="26"/>
        </w:rPr>
        <w:t xml:space="preserve"> from </w:t>
      </w:r>
      <w:r w:rsidR="005951F1">
        <w:rPr>
          <w:sz w:val="26"/>
          <w:szCs w:val="26"/>
        </w:rPr>
        <w:t>the</w:t>
      </w:r>
      <w:r w:rsidRPr="0006170A">
        <w:rPr>
          <w:sz w:val="26"/>
          <w:szCs w:val="26"/>
        </w:rPr>
        <w:t xml:space="preserve"> tenant’</w:t>
      </w:r>
      <w:r>
        <w:rPr>
          <w:sz w:val="26"/>
          <w:szCs w:val="26"/>
        </w:rPr>
        <w:t>s</w:t>
      </w:r>
      <w:r w:rsidRPr="0006170A">
        <w:rPr>
          <w:sz w:val="26"/>
          <w:szCs w:val="26"/>
        </w:rPr>
        <w:t xml:space="preserve"> account to Mr.</w:t>
      </w:r>
      <w:r w:rsidR="008870D8">
        <w:rPr>
          <w:sz w:val="26"/>
          <w:szCs w:val="26"/>
        </w:rPr>
        <w:t> </w:t>
      </w:r>
      <w:r w:rsidRPr="0006170A">
        <w:rPr>
          <w:sz w:val="26"/>
          <w:szCs w:val="26"/>
        </w:rPr>
        <w:t xml:space="preserve">DeHaven’s account as a result of </w:t>
      </w:r>
      <w:r w:rsidR="00D1528A">
        <w:rPr>
          <w:sz w:val="26"/>
          <w:szCs w:val="26"/>
        </w:rPr>
        <w:t xml:space="preserve">PECO’s </w:t>
      </w:r>
      <w:r w:rsidRPr="0006170A">
        <w:rPr>
          <w:sz w:val="26"/>
          <w:szCs w:val="26"/>
        </w:rPr>
        <w:t xml:space="preserve">finding of </w:t>
      </w:r>
      <w:r w:rsidR="00D1528A">
        <w:rPr>
          <w:sz w:val="26"/>
          <w:szCs w:val="26"/>
        </w:rPr>
        <w:t xml:space="preserve">a </w:t>
      </w:r>
      <w:r w:rsidRPr="0006170A">
        <w:rPr>
          <w:sz w:val="26"/>
          <w:szCs w:val="26"/>
        </w:rPr>
        <w:t>fore</w:t>
      </w:r>
      <w:r w:rsidR="005951F1">
        <w:rPr>
          <w:sz w:val="26"/>
          <w:szCs w:val="26"/>
        </w:rPr>
        <w:t>ign load at the premises</w:t>
      </w:r>
      <w:r w:rsidR="00D1528A">
        <w:rPr>
          <w:sz w:val="26"/>
          <w:szCs w:val="26"/>
        </w:rPr>
        <w:t>.</w:t>
      </w:r>
    </w:p>
    <w:p w14:paraId="0E78362C" w14:textId="77777777" w:rsidR="00386FFE" w:rsidRPr="00386FFE" w:rsidRDefault="00386FFE" w:rsidP="00385B95">
      <w:pPr>
        <w:keepNext/>
        <w:widowControl/>
        <w:spacing w:line="360" w:lineRule="auto"/>
        <w:rPr>
          <w:sz w:val="26"/>
          <w:szCs w:val="26"/>
        </w:rPr>
      </w:pPr>
    </w:p>
    <w:p w14:paraId="34C2F17A" w14:textId="77777777" w:rsidR="00006F35" w:rsidRDefault="00C0632B" w:rsidP="00385B95">
      <w:pPr>
        <w:keepNext/>
        <w:widowControl/>
        <w:spacing w:line="360" w:lineRule="auto"/>
        <w:rPr>
          <w:b/>
          <w:sz w:val="26"/>
          <w:szCs w:val="26"/>
        </w:rPr>
      </w:pPr>
      <w:r>
        <w:rPr>
          <w:b/>
          <w:sz w:val="26"/>
          <w:szCs w:val="26"/>
        </w:rPr>
        <w:t>ALJ’s</w:t>
      </w:r>
      <w:r w:rsidR="00006F35">
        <w:rPr>
          <w:b/>
          <w:sz w:val="26"/>
          <w:szCs w:val="26"/>
        </w:rPr>
        <w:t xml:space="preserve"> </w:t>
      </w:r>
      <w:r w:rsidR="007B531E">
        <w:rPr>
          <w:b/>
          <w:sz w:val="26"/>
          <w:szCs w:val="26"/>
        </w:rPr>
        <w:t>Initial Decision</w:t>
      </w:r>
      <w:r w:rsidR="00606F31">
        <w:rPr>
          <w:b/>
          <w:sz w:val="26"/>
          <w:szCs w:val="26"/>
        </w:rPr>
        <w:t xml:space="preserve"> on Remand</w:t>
      </w:r>
    </w:p>
    <w:p w14:paraId="35B6B7B4" w14:textId="77777777" w:rsidR="007B531E" w:rsidRDefault="007B531E" w:rsidP="00385B95">
      <w:pPr>
        <w:keepNext/>
        <w:widowControl/>
        <w:spacing w:line="360" w:lineRule="auto"/>
        <w:ind w:firstLine="1440"/>
        <w:rPr>
          <w:sz w:val="26"/>
          <w:szCs w:val="26"/>
        </w:rPr>
      </w:pPr>
    </w:p>
    <w:p w14:paraId="3DB23AD3" w14:textId="77777777" w:rsidR="007B531E" w:rsidRDefault="0068222E" w:rsidP="00385B95">
      <w:pPr>
        <w:widowControl/>
        <w:spacing w:line="360" w:lineRule="auto"/>
        <w:ind w:firstLine="1440"/>
        <w:rPr>
          <w:sz w:val="26"/>
          <w:szCs w:val="26"/>
        </w:rPr>
      </w:pPr>
      <w:r>
        <w:rPr>
          <w:sz w:val="26"/>
          <w:szCs w:val="26"/>
        </w:rPr>
        <w:t>The ALJ</w:t>
      </w:r>
      <w:r w:rsidR="00C0632B" w:rsidRPr="00CD27A2">
        <w:rPr>
          <w:sz w:val="26"/>
          <w:szCs w:val="26"/>
        </w:rPr>
        <w:t xml:space="preserve"> </w:t>
      </w:r>
      <w:r w:rsidR="007B531E" w:rsidRPr="00CD27A2">
        <w:rPr>
          <w:sz w:val="26"/>
          <w:szCs w:val="26"/>
        </w:rPr>
        <w:t>made</w:t>
      </w:r>
      <w:r w:rsidR="00D457EC" w:rsidRPr="00CD27A2">
        <w:rPr>
          <w:sz w:val="26"/>
          <w:szCs w:val="26"/>
        </w:rPr>
        <w:t xml:space="preserve"> </w:t>
      </w:r>
      <w:r w:rsidR="004107BC">
        <w:rPr>
          <w:sz w:val="26"/>
          <w:szCs w:val="26"/>
        </w:rPr>
        <w:t>twenty</w:t>
      </w:r>
      <w:r w:rsidR="00D457EC" w:rsidRPr="00CD27A2">
        <w:rPr>
          <w:sz w:val="26"/>
          <w:szCs w:val="26"/>
        </w:rPr>
        <w:t xml:space="preserve"> </w:t>
      </w:r>
      <w:r w:rsidR="007B531E" w:rsidRPr="00CD27A2">
        <w:rPr>
          <w:sz w:val="26"/>
          <w:szCs w:val="26"/>
        </w:rPr>
        <w:t>Findings of Fact and reached</w:t>
      </w:r>
      <w:r w:rsidR="007C1D80">
        <w:rPr>
          <w:sz w:val="26"/>
          <w:szCs w:val="26"/>
        </w:rPr>
        <w:t xml:space="preserve"> t</w:t>
      </w:r>
      <w:r w:rsidR="004107BC">
        <w:rPr>
          <w:sz w:val="26"/>
          <w:szCs w:val="26"/>
        </w:rPr>
        <w:t>en</w:t>
      </w:r>
      <w:r w:rsidR="001F479F">
        <w:rPr>
          <w:sz w:val="26"/>
          <w:szCs w:val="26"/>
        </w:rPr>
        <w:t xml:space="preserve"> </w:t>
      </w:r>
      <w:r w:rsidR="007B531E" w:rsidRPr="00CD27A2">
        <w:rPr>
          <w:sz w:val="26"/>
          <w:szCs w:val="26"/>
        </w:rPr>
        <w:t xml:space="preserve">Conclusions of Law.  </w:t>
      </w:r>
      <w:r w:rsidR="00CD27A2" w:rsidRPr="00CD27A2">
        <w:rPr>
          <w:i/>
          <w:sz w:val="26"/>
          <w:szCs w:val="26"/>
        </w:rPr>
        <w:t>See</w:t>
      </w:r>
      <w:r w:rsidR="004107BC">
        <w:rPr>
          <w:sz w:val="26"/>
          <w:szCs w:val="26"/>
        </w:rPr>
        <w:t xml:space="preserve"> </w:t>
      </w:r>
      <w:r w:rsidR="008F2567">
        <w:rPr>
          <w:sz w:val="26"/>
          <w:szCs w:val="26"/>
        </w:rPr>
        <w:t>I.D.R.</w:t>
      </w:r>
      <w:r w:rsidR="004107BC">
        <w:rPr>
          <w:sz w:val="26"/>
          <w:szCs w:val="26"/>
        </w:rPr>
        <w:t xml:space="preserve"> at 4-6</w:t>
      </w:r>
      <w:r w:rsidR="00CD27A2">
        <w:rPr>
          <w:sz w:val="26"/>
          <w:szCs w:val="26"/>
        </w:rPr>
        <w:t xml:space="preserve">; </w:t>
      </w:r>
      <w:r w:rsidR="004107BC">
        <w:rPr>
          <w:sz w:val="26"/>
          <w:szCs w:val="26"/>
        </w:rPr>
        <w:t>11</w:t>
      </w:r>
      <w:r w:rsidR="004D7108">
        <w:rPr>
          <w:sz w:val="26"/>
          <w:szCs w:val="26"/>
        </w:rPr>
        <w:t>-1</w:t>
      </w:r>
      <w:r w:rsidR="004107BC">
        <w:rPr>
          <w:sz w:val="26"/>
          <w:szCs w:val="26"/>
        </w:rPr>
        <w:t>3</w:t>
      </w:r>
      <w:r w:rsidR="00600F38" w:rsidRPr="00CD27A2">
        <w:rPr>
          <w:sz w:val="26"/>
          <w:szCs w:val="26"/>
        </w:rPr>
        <w:t xml:space="preserve">. </w:t>
      </w:r>
      <w:r w:rsidR="00CD27A2">
        <w:rPr>
          <w:sz w:val="26"/>
          <w:szCs w:val="26"/>
        </w:rPr>
        <w:t xml:space="preserve"> </w:t>
      </w:r>
      <w:r w:rsidR="007B531E" w:rsidRPr="00CD27A2">
        <w:rPr>
          <w:sz w:val="26"/>
          <w:szCs w:val="26"/>
        </w:rPr>
        <w:t>The</w:t>
      </w:r>
      <w:r w:rsidR="007B531E" w:rsidRPr="00CA43A5">
        <w:rPr>
          <w:sz w:val="26"/>
          <w:szCs w:val="26"/>
        </w:rPr>
        <w:t xml:space="preserve"> Findings of Fact and Conclusions of Law are </w:t>
      </w:r>
      <w:r w:rsidR="007B531E" w:rsidRPr="00662FE0">
        <w:rPr>
          <w:sz w:val="26"/>
          <w:szCs w:val="26"/>
        </w:rPr>
        <w:t>incorporated herein by reference and are adopted without comment unless they are either expressly or by necessary implication rejected or modified by this Opinion and Order.</w:t>
      </w:r>
    </w:p>
    <w:p w14:paraId="79878099" w14:textId="77777777" w:rsidR="00F37CB2" w:rsidRDefault="00F37CB2" w:rsidP="00385B95">
      <w:pPr>
        <w:widowControl/>
        <w:spacing w:line="360" w:lineRule="auto"/>
        <w:ind w:firstLine="1440"/>
        <w:rPr>
          <w:sz w:val="26"/>
          <w:szCs w:val="26"/>
        </w:rPr>
      </w:pPr>
    </w:p>
    <w:p w14:paraId="5E5D6684" w14:textId="4E3988A8" w:rsidR="00A44A20" w:rsidRPr="001825CB" w:rsidRDefault="00386FFE" w:rsidP="001825CB">
      <w:pPr>
        <w:widowControl/>
        <w:spacing w:line="360" w:lineRule="auto"/>
        <w:ind w:firstLine="1440"/>
        <w:rPr>
          <w:sz w:val="26"/>
          <w:szCs w:val="26"/>
        </w:rPr>
      </w:pPr>
      <w:r w:rsidRPr="0006170A">
        <w:rPr>
          <w:sz w:val="26"/>
          <w:szCs w:val="26"/>
        </w:rPr>
        <w:t xml:space="preserve">The ALJ stated that in light of the </w:t>
      </w:r>
      <w:r w:rsidRPr="0006170A">
        <w:rPr>
          <w:i/>
          <w:sz w:val="26"/>
          <w:szCs w:val="26"/>
        </w:rPr>
        <w:t>March 2018 Order</w:t>
      </w:r>
      <w:r w:rsidRPr="0006170A">
        <w:rPr>
          <w:sz w:val="26"/>
          <w:szCs w:val="26"/>
        </w:rPr>
        <w:t>, the only issue to be addressed on remand is how</w:t>
      </w:r>
      <w:r w:rsidR="0006170A">
        <w:rPr>
          <w:sz w:val="26"/>
          <w:szCs w:val="26"/>
        </w:rPr>
        <w:t xml:space="preserve"> much from </w:t>
      </w:r>
      <w:r w:rsidR="00575217">
        <w:rPr>
          <w:sz w:val="26"/>
          <w:szCs w:val="26"/>
        </w:rPr>
        <w:t>the</w:t>
      </w:r>
      <w:r w:rsidR="0006170A">
        <w:rPr>
          <w:sz w:val="26"/>
          <w:szCs w:val="26"/>
        </w:rPr>
        <w:t xml:space="preserve"> tenant</w:t>
      </w:r>
      <w:r w:rsidRPr="0006170A">
        <w:rPr>
          <w:sz w:val="26"/>
          <w:szCs w:val="26"/>
        </w:rPr>
        <w:t>’</w:t>
      </w:r>
      <w:r w:rsidR="0006170A">
        <w:rPr>
          <w:sz w:val="26"/>
          <w:szCs w:val="26"/>
        </w:rPr>
        <w:t>s</w:t>
      </w:r>
      <w:r w:rsidRPr="0006170A">
        <w:rPr>
          <w:sz w:val="26"/>
          <w:szCs w:val="26"/>
        </w:rPr>
        <w:t xml:space="preserve"> account should be transferred</w:t>
      </w:r>
      <w:r w:rsidRPr="001825CB">
        <w:rPr>
          <w:sz w:val="26"/>
          <w:szCs w:val="26"/>
        </w:rPr>
        <w:t xml:space="preserve"> to Mr.</w:t>
      </w:r>
      <w:r w:rsidR="008870D8">
        <w:rPr>
          <w:sz w:val="26"/>
          <w:szCs w:val="26"/>
        </w:rPr>
        <w:t> </w:t>
      </w:r>
      <w:r w:rsidRPr="001825CB">
        <w:rPr>
          <w:sz w:val="26"/>
          <w:szCs w:val="26"/>
        </w:rPr>
        <w:t xml:space="preserve">DeHaven’s account as a result of the finding of foreign load at the service address.  </w:t>
      </w:r>
      <w:r w:rsidR="008F2567">
        <w:rPr>
          <w:sz w:val="26"/>
          <w:szCs w:val="26"/>
        </w:rPr>
        <w:t>I.D.R.</w:t>
      </w:r>
      <w:r w:rsidRPr="001825CB">
        <w:rPr>
          <w:sz w:val="26"/>
          <w:szCs w:val="26"/>
        </w:rPr>
        <w:t xml:space="preserve"> at 8.</w:t>
      </w:r>
    </w:p>
    <w:p w14:paraId="4032B663" w14:textId="77777777" w:rsidR="00E02E3F" w:rsidRPr="001825CB" w:rsidRDefault="00E02E3F" w:rsidP="001825CB">
      <w:pPr>
        <w:widowControl/>
        <w:spacing w:line="360" w:lineRule="auto"/>
        <w:ind w:firstLine="1440"/>
        <w:rPr>
          <w:sz w:val="26"/>
          <w:szCs w:val="26"/>
        </w:rPr>
      </w:pPr>
    </w:p>
    <w:p w14:paraId="748BC509" w14:textId="2168654C" w:rsidR="005703F0" w:rsidRPr="00DD6F68" w:rsidRDefault="005703F0" w:rsidP="001825CB">
      <w:pPr>
        <w:widowControl/>
        <w:autoSpaceDE w:val="0"/>
        <w:autoSpaceDN w:val="0"/>
        <w:adjustRightInd w:val="0"/>
        <w:spacing w:line="360" w:lineRule="auto"/>
        <w:ind w:firstLine="1440"/>
        <w:rPr>
          <w:sz w:val="26"/>
          <w:szCs w:val="26"/>
        </w:rPr>
      </w:pPr>
      <w:r w:rsidRPr="00DD6F68">
        <w:rPr>
          <w:sz w:val="26"/>
          <w:szCs w:val="26"/>
        </w:rPr>
        <w:t xml:space="preserve">The ALJ explained that Mr. DeHaven averred in his Complaint that the amount </w:t>
      </w:r>
      <w:r w:rsidR="008870D8">
        <w:rPr>
          <w:sz w:val="26"/>
          <w:szCs w:val="26"/>
        </w:rPr>
        <w:t>at</w:t>
      </w:r>
      <w:r w:rsidRPr="00DD6F68">
        <w:rPr>
          <w:sz w:val="26"/>
          <w:szCs w:val="26"/>
        </w:rPr>
        <w:t xml:space="preserve"> issue was $1,800.  During the hearing, in his oral testimony in response to questioning by the ALJ, </w:t>
      </w:r>
      <w:r w:rsidR="00575217">
        <w:rPr>
          <w:sz w:val="26"/>
          <w:szCs w:val="26"/>
        </w:rPr>
        <w:t>Mr. DeHaven</w:t>
      </w:r>
      <w:r w:rsidRPr="00DD6F68">
        <w:rPr>
          <w:sz w:val="26"/>
          <w:szCs w:val="26"/>
        </w:rPr>
        <w:t xml:space="preserve"> indicated that he believed the tenant had $1,600 in electric charges from a prior account at a different service address that was improperly transferred to him as a result of the finding of a foreign load at the premises owned by the Complainant.  </w:t>
      </w:r>
      <w:r w:rsidR="008F2567">
        <w:rPr>
          <w:sz w:val="26"/>
          <w:szCs w:val="26"/>
        </w:rPr>
        <w:t>I.D.R.</w:t>
      </w:r>
      <w:r w:rsidRPr="00DD6F68">
        <w:rPr>
          <w:sz w:val="26"/>
          <w:szCs w:val="26"/>
        </w:rPr>
        <w:t xml:space="preserve"> at 9 (citing Tr. at 12-13).</w:t>
      </w:r>
    </w:p>
    <w:p w14:paraId="3112D8A4" w14:textId="77777777" w:rsidR="005703F0" w:rsidRDefault="005703F0" w:rsidP="001825CB">
      <w:pPr>
        <w:widowControl/>
        <w:autoSpaceDE w:val="0"/>
        <w:autoSpaceDN w:val="0"/>
        <w:adjustRightInd w:val="0"/>
        <w:spacing w:line="360" w:lineRule="auto"/>
        <w:ind w:firstLine="1440"/>
        <w:rPr>
          <w:sz w:val="23"/>
          <w:szCs w:val="23"/>
        </w:rPr>
      </w:pPr>
    </w:p>
    <w:p w14:paraId="3B0DD47C" w14:textId="2ED6E4C3" w:rsidR="00E02E3F" w:rsidRPr="001825CB" w:rsidRDefault="00606F31" w:rsidP="00D47AC0">
      <w:pPr>
        <w:widowControl/>
        <w:autoSpaceDE w:val="0"/>
        <w:autoSpaceDN w:val="0"/>
        <w:adjustRightInd w:val="0"/>
        <w:spacing w:line="360" w:lineRule="auto"/>
        <w:ind w:firstLine="1440"/>
        <w:rPr>
          <w:rFonts w:eastAsiaTheme="minorHAnsi"/>
          <w:color w:val="000000"/>
          <w:sz w:val="26"/>
          <w:szCs w:val="26"/>
        </w:rPr>
      </w:pPr>
      <w:r w:rsidRPr="001825CB">
        <w:rPr>
          <w:rFonts w:eastAsiaTheme="minorHAnsi"/>
          <w:color w:val="000000"/>
          <w:sz w:val="26"/>
          <w:szCs w:val="26"/>
        </w:rPr>
        <w:t>Based on the testimony of PECO’s witness, Ms. Leung,</w:t>
      </w:r>
      <w:r>
        <w:rPr>
          <w:rFonts w:eastAsiaTheme="minorHAnsi"/>
          <w:color w:val="000000"/>
          <w:sz w:val="26"/>
          <w:szCs w:val="26"/>
        </w:rPr>
        <w:t xml:space="preserve"> t</w:t>
      </w:r>
      <w:r w:rsidR="00D47AC0" w:rsidRPr="001825CB">
        <w:rPr>
          <w:rFonts w:eastAsiaTheme="minorHAnsi"/>
          <w:color w:val="000000"/>
          <w:sz w:val="26"/>
          <w:szCs w:val="26"/>
        </w:rPr>
        <w:t xml:space="preserve">he ALJ concluded that substantial record evidence in this proceeding demonstrates that $1,602.80 was transferred to </w:t>
      </w:r>
      <w:r w:rsidR="00D47AC0">
        <w:rPr>
          <w:rFonts w:eastAsiaTheme="minorHAnsi"/>
          <w:color w:val="000000"/>
          <w:sz w:val="26"/>
          <w:szCs w:val="26"/>
        </w:rPr>
        <w:t xml:space="preserve">the tenant’s </w:t>
      </w:r>
      <w:r w:rsidR="00D47AC0" w:rsidRPr="001825CB">
        <w:rPr>
          <w:rFonts w:eastAsiaTheme="minorHAnsi"/>
          <w:color w:val="000000"/>
          <w:sz w:val="26"/>
          <w:szCs w:val="26"/>
        </w:rPr>
        <w:t xml:space="preserve">account at Mr. DeHaven’s premises from </w:t>
      </w:r>
      <w:r w:rsidR="00D47AC0">
        <w:rPr>
          <w:rFonts w:eastAsiaTheme="minorHAnsi"/>
          <w:color w:val="000000"/>
          <w:sz w:val="26"/>
          <w:szCs w:val="26"/>
        </w:rPr>
        <w:t>the tenant’s prior</w:t>
      </w:r>
      <w:r w:rsidR="00D47AC0" w:rsidRPr="001825CB">
        <w:rPr>
          <w:rFonts w:eastAsiaTheme="minorHAnsi"/>
          <w:color w:val="000000"/>
          <w:sz w:val="26"/>
          <w:szCs w:val="26"/>
        </w:rPr>
        <w:t xml:space="preserve"> account at a different premise and</w:t>
      </w:r>
      <w:r w:rsidR="008870D8">
        <w:rPr>
          <w:rFonts w:eastAsiaTheme="minorHAnsi"/>
          <w:color w:val="000000"/>
          <w:sz w:val="26"/>
          <w:szCs w:val="26"/>
        </w:rPr>
        <w:t>,</w:t>
      </w:r>
      <w:r w:rsidR="00D47AC0" w:rsidRPr="001825CB">
        <w:rPr>
          <w:rFonts w:eastAsiaTheme="minorHAnsi"/>
          <w:color w:val="000000"/>
          <w:sz w:val="26"/>
          <w:szCs w:val="26"/>
        </w:rPr>
        <w:t xml:space="preserve"> therefore</w:t>
      </w:r>
      <w:r w:rsidR="008870D8">
        <w:rPr>
          <w:rFonts w:eastAsiaTheme="minorHAnsi"/>
          <w:color w:val="000000"/>
          <w:sz w:val="26"/>
          <w:szCs w:val="26"/>
        </w:rPr>
        <w:t>,</w:t>
      </w:r>
      <w:r w:rsidR="00D47AC0" w:rsidRPr="001825CB">
        <w:rPr>
          <w:rFonts w:eastAsiaTheme="minorHAnsi"/>
          <w:color w:val="000000"/>
          <w:sz w:val="26"/>
          <w:szCs w:val="26"/>
        </w:rPr>
        <w:t xml:space="preserve"> did not accrue at </w:t>
      </w:r>
      <w:r w:rsidR="00D47AC0">
        <w:rPr>
          <w:rFonts w:eastAsiaTheme="minorHAnsi"/>
          <w:color w:val="000000"/>
          <w:sz w:val="26"/>
          <w:szCs w:val="26"/>
        </w:rPr>
        <w:t xml:space="preserve">the premise owned by </w:t>
      </w:r>
      <w:r w:rsidR="00D47AC0" w:rsidRPr="001825CB">
        <w:rPr>
          <w:rFonts w:eastAsiaTheme="minorHAnsi"/>
          <w:color w:val="000000"/>
          <w:sz w:val="26"/>
          <w:szCs w:val="26"/>
        </w:rPr>
        <w:t xml:space="preserve">Mr. </w:t>
      </w:r>
      <w:r w:rsidR="00D47AC0" w:rsidRPr="001825CB">
        <w:rPr>
          <w:rFonts w:eastAsiaTheme="minorHAnsi"/>
          <w:color w:val="000000"/>
          <w:sz w:val="26"/>
          <w:szCs w:val="26"/>
        </w:rPr>
        <w:lastRenderedPageBreak/>
        <w:t xml:space="preserve">DeHaven.  </w:t>
      </w:r>
      <w:r w:rsidR="00D47AC0">
        <w:rPr>
          <w:rFonts w:eastAsiaTheme="minorHAnsi"/>
          <w:color w:val="000000"/>
          <w:sz w:val="26"/>
          <w:szCs w:val="26"/>
        </w:rPr>
        <w:t>I.D.R. at 9</w:t>
      </w:r>
      <w:r>
        <w:rPr>
          <w:rFonts w:eastAsiaTheme="minorHAnsi"/>
          <w:color w:val="000000"/>
          <w:sz w:val="26"/>
          <w:szCs w:val="26"/>
        </w:rPr>
        <w:t>-10</w:t>
      </w:r>
      <w:r w:rsidR="00D47AC0">
        <w:rPr>
          <w:rFonts w:eastAsiaTheme="minorHAnsi"/>
          <w:color w:val="000000"/>
          <w:sz w:val="26"/>
          <w:szCs w:val="26"/>
        </w:rPr>
        <w:t xml:space="preserve">.  </w:t>
      </w:r>
      <w:r w:rsidR="00E02E3F" w:rsidRPr="001825CB">
        <w:rPr>
          <w:rFonts w:eastAsiaTheme="minorHAnsi"/>
          <w:color w:val="000000"/>
          <w:sz w:val="26"/>
          <w:szCs w:val="26"/>
        </w:rPr>
        <w:t xml:space="preserve">The ALJ </w:t>
      </w:r>
      <w:r>
        <w:rPr>
          <w:rFonts w:eastAsiaTheme="minorHAnsi"/>
          <w:color w:val="000000"/>
          <w:sz w:val="26"/>
          <w:szCs w:val="26"/>
        </w:rPr>
        <w:t>concluded</w:t>
      </w:r>
      <w:r w:rsidR="00E02E3F" w:rsidRPr="001825CB">
        <w:rPr>
          <w:rFonts w:eastAsiaTheme="minorHAnsi"/>
          <w:color w:val="000000"/>
          <w:sz w:val="26"/>
          <w:szCs w:val="26"/>
        </w:rPr>
        <w:t xml:space="preserve"> that</w:t>
      </w:r>
      <w:r>
        <w:rPr>
          <w:rFonts w:eastAsiaTheme="minorHAnsi"/>
          <w:color w:val="000000"/>
          <w:sz w:val="26"/>
          <w:szCs w:val="26"/>
        </w:rPr>
        <w:t>,</w:t>
      </w:r>
      <w:r w:rsidRPr="00606F31">
        <w:rPr>
          <w:rFonts w:eastAsiaTheme="minorHAnsi"/>
          <w:color w:val="000000"/>
          <w:sz w:val="26"/>
          <w:szCs w:val="26"/>
        </w:rPr>
        <w:t xml:space="preserve"> </w:t>
      </w:r>
      <w:r w:rsidRPr="001825CB">
        <w:rPr>
          <w:rFonts w:eastAsiaTheme="minorHAnsi"/>
          <w:color w:val="000000"/>
          <w:sz w:val="26"/>
          <w:szCs w:val="26"/>
        </w:rPr>
        <w:t xml:space="preserve">pursuant to the </w:t>
      </w:r>
      <w:r w:rsidRPr="001825CB">
        <w:rPr>
          <w:rFonts w:eastAsiaTheme="minorHAnsi"/>
          <w:i/>
          <w:color w:val="000000"/>
          <w:sz w:val="26"/>
          <w:szCs w:val="26"/>
        </w:rPr>
        <w:t>March 2018</w:t>
      </w:r>
      <w:r w:rsidRPr="00606F31">
        <w:rPr>
          <w:rFonts w:eastAsiaTheme="minorHAnsi"/>
          <w:i/>
          <w:color w:val="000000"/>
          <w:sz w:val="26"/>
          <w:szCs w:val="26"/>
        </w:rPr>
        <w:t xml:space="preserve"> Order</w:t>
      </w:r>
      <w:r>
        <w:rPr>
          <w:rFonts w:eastAsiaTheme="minorHAnsi"/>
          <w:color w:val="000000"/>
          <w:sz w:val="26"/>
          <w:szCs w:val="26"/>
        </w:rPr>
        <w:t>,</w:t>
      </w:r>
      <w:r w:rsidRPr="001825CB">
        <w:rPr>
          <w:rFonts w:eastAsiaTheme="minorHAnsi"/>
          <w:color w:val="000000"/>
          <w:sz w:val="26"/>
          <w:szCs w:val="26"/>
        </w:rPr>
        <w:t xml:space="preserve"> </w:t>
      </w:r>
      <w:r w:rsidR="00E02E3F" w:rsidRPr="001825CB">
        <w:rPr>
          <w:rFonts w:eastAsiaTheme="minorHAnsi"/>
          <w:color w:val="000000"/>
          <w:sz w:val="26"/>
          <w:szCs w:val="26"/>
        </w:rPr>
        <w:t xml:space="preserve">Mr. DeHaven should not be billed for </w:t>
      </w:r>
      <w:r w:rsidR="00C47EB5">
        <w:rPr>
          <w:rFonts w:eastAsiaTheme="minorHAnsi"/>
          <w:color w:val="000000"/>
          <w:sz w:val="26"/>
          <w:szCs w:val="26"/>
        </w:rPr>
        <w:t xml:space="preserve">the </w:t>
      </w:r>
      <w:r w:rsidR="00C47EB5" w:rsidRPr="001825CB">
        <w:rPr>
          <w:rFonts w:eastAsiaTheme="minorHAnsi"/>
          <w:color w:val="000000"/>
          <w:sz w:val="26"/>
          <w:szCs w:val="26"/>
        </w:rPr>
        <w:t xml:space="preserve">$1,602.80 </w:t>
      </w:r>
      <w:r w:rsidR="00E02E3F" w:rsidRPr="001825CB">
        <w:rPr>
          <w:rFonts w:eastAsiaTheme="minorHAnsi"/>
          <w:color w:val="000000"/>
          <w:sz w:val="26"/>
          <w:szCs w:val="26"/>
        </w:rPr>
        <w:t>as a result</w:t>
      </w:r>
      <w:r>
        <w:rPr>
          <w:rFonts w:eastAsiaTheme="minorHAnsi"/>
          <w:color w:val="000000"/>
          <w:sz w:val="26"/>
          <w:szCs w:val="26"/>
        </w:rPr>
        <w:t xml:space="preserve"> of the finding of foreign load.</w:t>
      </w:r>
      <w:r w:rsidR="00E02E3F" w:rsidRPr="001825CB">
        <w:rPr>
          <w:rFonts w:eastAsiaTheme="minorHAnsi"/>
          <w:color w:val="000000"/>
          <w:sz w:val="26"/>
          <w:szCs w:val="26"/>
        </w:rPr>
        <w:t xml:space="preserve"> </w:t>
      </w:r>
      <w:r>
        <w:rPr>
          <w:rFonts w:eastAsiaTheme="minorHAnsi"/>
          <w:color w:val="000000"/>
          <w:sz w:val="26"/>
          <w:szCs w:val="26"/>
        </w:rPr>
        <w:t xml:space="preserve"> </w:t>
      </w:r>
      <w:r w:rsidR="008F2567">
        <w:rPr>
          <w:rFonts w:eastAsiaTheme="minorHAnsi"/>
          <w:color w:val="000000"/>
          <w:sz w:val="26"/>
          <w:szCs w:val="26"/>
        </w:rPr>
        <w:t>I.D.R.</w:t>
      </w:r>
      <w:r w:rsidR="00E02E3F" w:rsidRPr="001825CB">
        <w:rPr>
          <w:rFonts w:eastAsiaTheme="minorHAnsi"/>
          <w:color w:val="000000"/>
          <w:sz w:val="26"/>
          <w:szCs w:val="26"/>
        </w:rPr>
        <w:t xml:space="preserve"> at 9.</w:t>
      </w:r>
    </w:p>
    <w:p w14:paraId="1C9D68C6" w14:textId="77777777" w:rsidR="00E02E3F" w:rsidRPr="001825CB" w:rsidRDefault="00E02E3F" w:rsidP="001825CB">
      <w:pPr>
        <w:widowControl/>
        <w:autoSpaceDE w:val="0"/>
        <w:autoSpaceDN w:val="0"/>
        <w:adjustRightInd w:val="0"/>
        <w:spacing w:line="360" w:lineRule="auto"/>
        <w:ind w:firstLine="1440"/>
        <w:rPr>
          <w:rFonts w:eastAsiaTheme="minorHAnsi"/>
          <w:color w:val="000000"/>
          <w:sz w:val="26"/>
          <w:szCs w:val="26"/>
        </w:rPr>
      </w:pPr>
    </w:p>
    <w:p w14:paraId="5DC93198" w14:textId="0FE7AFA6" w:rsidR="001825CB" w:rsidRPr="001825CB" w:rsidRDefault="00E02E3F" w:rsidP="001825CB">
      <w:pPr>
        <w:widowControl/>
        <w:autoSpaceDE w:val="0"/>
        <w:autoSpaceDN w:val="0"/>
        <w:adjustRightInd w:val="0"/>
        <w:spacing w:line="360" w:lineRule="auto"/>
        <w:ind w:firstLine="1440"/>
        <w:rPr>
          <w:sz w:val="26"/>
          <w:szCs w:val="26"/>
        </w:rPr>
      </w:pPr>
      <w:r w:rsidRPr="001825CB">
        <w:rPr>
          <w:rFonts w:eastAsiaTheme="minorHAnsi"/>
          <w:color w:val="000000"/>
          <w:sz w:val="26"/>
          <w:szCs w:val="26"/>
        </w:rPr>
        <w:t xml:space="preserve">The ALJ </w:t>
      </w:r>
      <w:r w:rsidR="000E5166">
        <w:rPr>
          <w:rFonts w:eastAsiaTheme="minorHAnsi"/>
          <w:color w:val="000000"/>
          <w:sz w:val="26"/>
          <w:szCs w:val="26"/>
        </w:rPr>
        <w:t>further</w:t>
      </w:r>
      <w:r w:rsidRPr="001825CB">
        <w:rPr>
          <w:rFonts w:eastAsiaTheme="minorHAnsi"/>
          <w:color w:val="000000"/>
          <w:sz w:val="26"/>
          <w:szCs w:val="26"/>
        </w:rPr>
        <w:t xml:space="preserve"> reviewed the testimony of Ms. Leung regarding PECO’s payment posting practices in accordance with 52 Pa. Code § 56.24, which requires utilities to apply partial payments to the oldest balance first prior to applying it to the current balance due.  </w:t>
      </w:r>
      <w:r w:rsidR="008F2567">
        <w:rPr>
          <w:rFonts w:eastAsiaTheme="minorHAnsi"/>
          <w:color w:val="000000"/>
          <w:sz w:val="26"/>
          <w:szCs w:val="26"/>
        </w:rPr>
        <w:t>I.D.R.</w:t>
      </w:r>
      <w:r w:rsidRPr="001825CB">
        <w:rPr>
          <w:rFonts w:eastAsiaTheme="minorHAnsi"/>
          <w:color w:val="000000"/>
          <w:sz w:val="26"/>
          <w:szCs w:val="26"/>
        </w:rPr>
        <w:t xml:space="preserve"> at 10.  </w:t>
      </w:r>
      <w:r w:rsidR="00D47AC0">
        <w:rPr>
          <w:rFonts w:eastAsiaTheme="minorHAnsi"/>
          <w:color w:val="000000"/>
          <w:sz w:val="26"/>
          <w:szCs w:val="26"/>
        </w:rPr>
        <w:t xml:space="preserve">The ALJ explained that </w:t>
      </w:r>
      <w:r w:rsidR="000E5166">
        <w:rPr>
          <w:rFonts w:eastAsiaTheme="minorHAnsi"/>
          <w:color w:val="000000"/>
          <w:sz w:val="26"/>
          <w:szCs w:val="26"/>
        </w:rPr>
        <w:t>Ms. Leung testified that w</w:t>
      </w:r>
      <w:r w:rsidRPr="001825CB">
        <w:rPr>
          <w:sz w:val="26"/>
          <w:szCs w:val="26"/>
        </w:rPr>
        <w:t>ith regard to the $1,893.52 transferred to Mr. DeHaven</w:t>
      </w:r>
      <w:r w:rsidR="00446A5C">
        <w:rPr>
          <w:sz w:val="26"/>
          <w:szCs w:val="26"/>
        </w:rPr>
        <w:t>, such amount</w:t>
      </w:r>
      <w:r w:rsidR="0068222E">
        <w:rPr>
          <w:sz w:val="26"/>
          <w:szCs w:val="26"/>
        </w:rPr>
        <w:t xml:space="preserve"> is</w:t>
      </w:r>
      <w:r w:rsidRPr="001825CB">
        <w:rPr>
          <w:sz w:val="26"/>
          <w:szCs w:val="26"/>
        </w:rPr>
        <w:t xml:space="preserve"> comprised of electric service charges that were billed to Mr. DeHaven’s tenant’s account from March 10, </w:t>
      </w:r>
      <w:r w:rsidR="00446A5C">
        <w:rPr>
          <w:sz w:val="26"/>
          <w:szCs w:val="26"/>
        </w:rPr>
        <w:t xml:space="preserve">2016 through January 4, 2017.  </w:t>
      </w:r>
      <w:r w:rsidRPr="001825CB">
        <w:rPr>
          <w:sz w:val="26"/>
          <w:szCs w:val="26"/>
        </w:rPr>
        <w:t xml:space="preserve">Ms. Leung testified that the payments that </w:t>
      </w:r>
      <w:r w:rsidR="00446A5C">
        <w:rPr>
          <w:sz w:val="26"/>
          <w:szCs w:val="26"/>
        </w:rPr>
        <w:t xml:space="preserve">the tenant </w:t>
      </w:r>
      <w:r w:rsidRPr="001825CB">
        <w:rPr>
          <w:sz w:val="26"/>
          <w:szCs w:val="26"/>
        </w:rPr>
        <w:t xml:space="preserve">made during that time “were not applied for charges on her current account, because she had an older arrearage on the account, which is where her payments were applied for.”  </w:t>
      </w:r>
      <w:r w:rsidR="008F2567">
        <w:rPr>
          <w:sz w:val="26"/>
          <w:szCs w:val="26"/>
        </w:rPr>
        <w:t>I.D.R.</w:t>
      </w:r>
      <w:r w:rsidRPr="001825CB">
        <w:rPr>
          <w:sz w:val="26"/>
          <w:szCs w:val="26"/>
        </w:rPr>
        <w:t xml:space="preserve"> at 10 (citing Tr. 29-30).  </w:t>
      </w:r>
      <w:r w:rsidR="000E5166">
        <w:rPr>
          <w:sz w:val="26"/>
          <w:szCs w:val="26"/>
        </w:rPr>
        <w:t>However, the ALJ concluded that t</w:t>
      </w:r>
      <w:r w:rsidRPr="001825CB">
        <w:rPr>
          <w:sz w:val="26"/>
          <w:szCs w:val="26"/>
        </w:rPr>
        <w:t>his fact does not change the fact that the tenant accrued $1,602.80 at an address different from the service addressed owned by Mr. DeHaven.</w:t>
      </w:r>
    </w:p>
    <w:p w14:paraId="0A8080DE" w14:textId="77777777" w:rsidR="001825CB" w:rsidRPr="001825CB" w:rsidRDefault="001825CB" w:rsidP="001825CB">
      <w:pPr>
        <w:widowControl/>
        <w:autoSpaceDE w:val="0"/>
        <w:autoSpaceDN w:val="0"/>
        <w:adjustRightInd w:val="0"/>
        <w:spacing w:line="360" w:lineRule="auto"/>
        <w:ind w:firstLine="1440"/>
        <w:rPr>
          <w:sz w:val="26"/>
          <w:szCs w:val="26"/>
        </w:rPr>
      </w:pPr>
    </w:p>
    <w:p w14:paraId="7EDC86A8" w14:textId="77777777" w:rsidR="00C47EB5" w:rsidRDefault="00E02E3F" w:rsidP="001825CB">
      <w:pPr>
        <w:widowControl/>
        <w:autoSpaceDE w:val="0"/>
        <w:autoSpaceDN w:val="0"/>
        <w:adjustRightInd w:val="0"/>
        <w:spacing w:line="360" w:lineRule="auto"/>
        <w:ind w:firstLine="1440"/>
        <w:rPr>
          <w:sz w:val="26"/>
          <w:szCs w:val="26"/>
        </w:rPr>
      </w:pPr>
      <w:r w:rsidRPr="001825CB">
        <w:rPr>
          <w:sz w:val="26"/>
          <w:szCs w:val="26"/>
        </w:rPr>
        <w:t xml:space="preserve">The ALJ </w:t>
      </w:r>
      <w:r w:rsidR="003916A5">
        <w:rPr>
          <w:sz w:val="26"/>
          <w:szCs w:val="26"/>
        </w:rPr>
        <w:t>added</w:t>
      </w:r>
      <w:r w:rsidR="00C47EB5">
        <w:rPr>
          <w:sz w:val="26"/>
          <w:szCs w:val="26"/>
        </w:rPr>
        <w:t>:</w:t>
      </w:r>
    </w:p>
    <w:p w14:paraId="6D26DC35" w14:textId="77777777" w:rsidR="00C47EB5" w:rsidRDefault="00C47EB5" w:rsidP="001825CB">
      <w:pPr>
        <w:widowControl/>
        <w:autoSpaceDE w:val="0"/>
        <w:autoSpaceDN w:val="0"/>
        <w:adjustRightInd w:val="0"/>
        <w:spacing w:line="360" w:lineRule="auto"/>
        <w:ind w:firstLine="1440"/>
        <w:rPr>
          <w:sz w:val="26"/>
          <w:szCs w:val="26"/>
        </w:rPr>
      </w:pPr>
    </w:p>
    <w:p w14:paraId="06DABCCB" w14:textId="24D00310" w:rsidR="00C47EB5" w:rsidRDefault="00C47EB5" w:rsidP="00C47EB5">
      <w:pPr>
        <w:widowControl/>
        <w:autoSpaceDE w:val="0"/>
        <w:autoSpaceDN w:val="0"/>
        <w:adjustRightInd w:val="0"/>
        <w:ind w:left="1440" w:right="1440"/>
        <w:rPr>
          <w:sz w:val="26"/>
          <w:szCs w:val="26"/>
        </w:rPr>
      </w:pPr>
      <w:r w:rsidRPr="00C47EB5">
        <w:rPr>
          <w:sz w:val="26"/>
          <w:szCs w:val="26"/>
        </w:rPr>
        <w:t>T</w:t>
      </w:r>
      <w:r w:rsidR="00E02E3F" w:rsidRPr="00C47EB5">
        <w:rPr>
          <w:sz w:val="26"/>
          <w:szCs w:val="26"/>
        </w:rPr>
        <w:t xml:space="preserve">o allow PECO to apply payments to </w:t>
      </w:r>
      <w:r w:rsidRPr="00C47EB5">
        <w:rPr>
          <w:sz w:val="26"/>
          <w:szCs w:val="26"/>
        </w:rPr>
        <w:t>[</w:t>
      </w:r>
      <w:r w:rsidR="00E02E3F" w:rsidRPr="00C47EB5">
        <w:rPr>
          <w:sz w:val="26"/>
          <w:szCs w:val="26"/>
        </w:rPr>
        <w:t>the tenant’s</w:t>
      </w:r>
      <w:r w:rsidRPr="00C47EB5">
        <w:rPr>
          <w:sz w:val="26"/>
          <w:szCs w:val="26"/>
        </w:rPr>
        <w:t>]</w:t>
      </w:r>
      <w:r w:rsidR="00E02E3F" w:rsidRPr="00C47EB5">
        <w:rPr>
          <w:sz w:val="26"/>
          <w:szCs w:val="26"/>
        </w:rPr>
        <w:t xml:space="preserve"> prior account </w:t>
      </w:r>
      <w:r w:rsidRPr="00C47EB5">
        <w:rPr>
          <w:sz w:val="26"/>
          <w:szCs w:val="26"/>
        </w:rPr>
        <w:t xml:space="preserve">that [the tenant] made </w:t>
      </w:r>
      <w:r w:rsidR="00E02E3F" w:rsidRPr="00C47EB5">
        <w:rPr>
          <w:sz w:val="26"/>
          <w:szCs w:val="26"/>
        </w:rPr>
        <w:t xml:space="preserve">while living at the service address, and then transfer that total amount to Mr. DeHaven when foreign load is found, would make Mr. DeHaven responsible for more of the amount remaining of the tenant’s bill at the time the foreign load was found then he otherwise should be under the </w:t>
      </w:r>
      <w:r w:rsidR="00E02E3F" w:rsidRPr="00C47EB5">
        <w:rPr>
          <w:i/>
          <w:sz w:val="26"/>
          <w:szCs w:val="26"/>
        </w:rPr>
        <w:t>March 2018 Order</w:t>
      </w:r>
      <w:r w:rsidR="00E02E3F" w:rsidRPr="00C47EB5">
        <w:rPr>
          <w:sz w:val="26"/>
          <w:szCs w:val="26"/>
        </w:rPr>
        <w:t>.</w:t>
      </w:r>
    </w:p>
    <w:p w14:paraId="10895BA4" w14:textId="77777777" w:rsidR="00C47EB5" w:rsidRDefault="00C47EB5" w:rsidP="00C47EB5">
      <w:pPr>
        <w:widowControl/>
        <w:autoSpaceDE w:val="0"/>
        <w:autoSpaceDN w:val="0"/>
        <w:adjustRightInd w:val="0"/>
        <w:spacing w:line="360" w:lineRule="auto"/>
        <w:rPr>
          <w:sz w:val="26"/>
          <w:szCs w:val="26"/>
        </w:rPr>
      </w:pPr>
    </w:p>
    <w:p w14:paraId="008D5648" w14:textId="69063CAD" w:rsidR="0068222E" w:rsidRPr="00A6626E" w:rsidRDefault="00C47EB5" w:rsidP="00A6626E">
      <w:pPr>
        <w:widowControl/>
        <w:autoSpaceDE w:val="0"/>
        <w:autoSpaceDN w:val="0"/>
        <w:adjustRightInd w:val="0"/>
        <w:ind w:left="1440" w:right="1440"/>
        <w:rPr>
          <w:sz w:val="26"/>
          <w:szCs w:val="26"/>
        </w:rPr>
      </w:pPr>
      <w:r>
        <w:rPr>
          <w:sz w:val="26"/>
          <w:szCs w:val="26"/>
        </w:rPr>
        <w:t>T</w:t>
      </w:r>
      <w:r w:rsidR="001825CB" w:rsidRPr="001825CB">
        <w:rPr>
          <w:sz w:val="26"/>
          <w:szCs w:val="26"/>
        </w:rPr>
        <w:t xml:space="preserve">o do </w:t>
      </w:r>
      <w:r w:rsidR="001825CB" w:rsidRPr="005703F0">
        <w:rPr>
          <w:sz w:val="26"/>
          <w:szCs w:val="26"/>
        </w:rPr>
        <w:t>so</w:t>
      </w:r>
      <w:r>
        <w:rPr>
          <w:sz w:val="26"/>
          <w:szCs w:val="26"/>
        </w:rPr>
        <w:t xml:space="preserve"> </w:t>
      </w:r>
      <w:r w:rsidR="00D239FB">
        <w:rPr>
          <w:sz w:val="26"/>
          <w:szCs w:val="26"/>
        </w:rPr>
        <w:t>“is overly punitive for [</w:t>
      </w:r>
      <w:r w:rsidR="005703F0" w:rsidRPr="005703F0">
        <w:rPr>
          <w:sz w:val="26"/>
          <w:szCs w:val="26"/>
        </w:rPr>
        <w:t>Mr. DeHaven</w:t>
      </w:r>
      <w:r w:rsidR="00D239FB">
        <w:rPr>
          <w:sz w:val="26"/>
          <w:szCs w:val="26"/>
        </w:rPr>
        <w:t>] because it would make [him]</w:t>
      </w:r>
      <w:r w:rsidR="005703F0" w:rsidRPr="005703F0">
        <w:rPr>
          <w:sz w:val="26"/>
          <w:szCs w:val="26"/>
        </w:rPr>
        <w:t xml:space="preserve"> financially responsible for prior </w:t>
      </w:r>
      <w:r w:rsidR="005703F0" w:rsidRPr="00D52583">
        <w:rPr>
          <w:sz w:val="26"/>
          <w:szCs w:val="26"/>
        </w:rPr>
        <w:t xml:space="preserve">debts of the tenant incurred at </w:t>
      </w:r>
      <w:r w:rsidR="005703F0" w:rsidRPr="005A2BED">
        <w:rPr>
          <w:sz w:val="26"/>
          <w:szCs w:val="26"/>
        </w:rPr>
        <w:t>another service address; and … creates a windfall for the tenant by relieving the tenant of prior debts incurred by the tenant at another service address. Such an illogical and inequi</w:t>
      </w:r>
      <w:r w:rsidRPr="005A2BED">
        <w:rPr>
          <w:sz w:val="26"/>
          <w:szCs w:val="26"/>
        </w:rPr>
        <w:t>table result is unreasonable.”</w:t>
      </w:r>
      <w:r w:rsidR="00A6626E">
        <w:rPr>
          <w:sz w:val="26"/>
          <w:szCs w:val="26"/>
        </w:rPr>
        <w:t xml:space="preserve">  </w:t>
      </w:r>
      <w:r w:rsidR="005703F0" w:rsidRPr="005A2BED">
        <w:rPr>
          <w:rFonts w:eastAsiaTheme="minorHAnsi"/>
          <w:color w:val="000000"/>
          <w:sz w:val="26"/>
          <w:szCs w:val="26"/>
        </w:rPr>
        <w:t xml:space="preserve">PECO’s </w:t>
      </w:r>
      <w:r w:rsidR="005703F0" w:rsidRPr="005A2BED">
        <w:rPr>
          <w:rFonts w:eastAsiaTheme="minorHAnsi"/>
          <w:color w:val="000000"/>
          <w:sz w:val="26"/>
          <w:szCs w:val="26"/>
        </w:rPr>
        <w:lastRenderedPageBreak/>
        <w:t xml:space="preserve">decision to apply payments made to </w:t>
      </w:r>
      <w:r w:rsidR="0068222E" w:rsidRPr="005A2BED">
        <w:rPr>
          <w:rFonts w:eastAsiaTheme="minorHAnsi"/>
          <w:color w:val="000000"/>
          <w:sz w:val="26"/>
          <w:szCs w:val="26"/>
        </w:rPr>
        <w:t>[</w:t>
      </w:r>
      <w:r w:rsidR="005703F0" w:rsidRPr="005A2BED">
        <w:rPr>
          <w:rFonts w:eastAsiaTheme="minorHAnsi"/>
          <w:color w:val="000000"/>
          <w:sz w:val="26"/>
          <w:szCs w:val="26"/>
        </w:rPr>
        <w:t>the tenant’s</w:t>
      </w:r>
      <w:r w:rsidR="0068222E" w:rsidRPr="005A2BED">
        <w:rPr>
          <w:rFonts w:eastAsiaTheme="minorHAnsi"/>
          <w:color w:val="000000"/>
          <w:sz w:val="26"/>
          <w:szCs w:val="26"/>
        </w:rPr>
        <w:t>]</w:t>
      </w:r>
      <w:r w:rsidR="005703F0" w:rsidRPr="005A2BED">
        <w:rPr>
          <w:rFonts w:eastAsiaTheme="minorHAnsi"/>
          <w:color w:val="000000"/>
          <w:sz w:val="26"/>
          <w:szCs w:val="26"/>
        </w:rPr>
        <w:t xml:space="preserve"> past arrearage does not change how much </w:t>
      </w:r>
      <w:r w:rsidR="0068222E" w:rsidRPr="005A2BED">
        <w:rPr>
          <w:rFonts w:eastAsiaTheme="minorHAnsi"/>
          <w:color w:val="000000"/>
          <w:sz w:val="26"/>
          <w:szCs w:val="26"/>
        </w:rPr>
        <w:t>[</w:t>
      </w:r>
      <w:r w:rsidR="005703F0" w:rsidRPr="005A2BED">
        <w:rPr>
          <w:rFonts w:eastAsiaTheme="minorHAnsi"/>
          <w:color w:val="000000"/>
          <w:sz w:val="26"/>
          <w:szCs w:val="26"/>
        </w:rPr>
        <w:t>the tenant</w:t>
      </w:r>
      <w:r w:rsidR="0068222E" w:rsidRPr="005A2BED">
        <w:rPr>
          <w:rFonts w:eastAsiaTheme="minorHAnsi"/>
          <w:color w:val="000000"/>
          <w:sz w:val="26"/>
          <w:szCs w:val="26"/>
        </w:rPr>
        <w:t>]</w:t>
      </w:r>
      <w:r w:rsidR="005703F0" w:rsidRPr="005A2BED">
        <w:rPr>
          <w:rFonts w:eastAsiaTheme="minorHAnsi"/>
          <w:color w:val="000000"/>
          <w:sz w:val="26"/>
          <w:szCs w:val="26"/>
        </w:rPr>
        <w:t xml:space="preserve"> accrued while living at the service address and how much accrued at the prior service address. The $1,602.80 that accrued by </w:t>
      </w:r>
      <w:r w:rsidR="0068222E" w:rsidRPr="005A2BED">
        <w:rPr>
          <w:rFonts w:eastAsiaTheme="minorHAnsi"/>
          <w:color w:val="000000"/>
          <w:sz w:val="26"/>
          <w:szCs w:val="26"/>
        </w:rPr>
        <w:t>[</w:t>
      </w:r>
      <w:r w:rsidR="005703F0" w:rsidRPr="005A2BED">
        <w:rPr>
          <w:rFonts w:eastAsiaTheme="minorHAnsi"/>
          <w:color w:val="000000"/>
          <w:sz w:val="26"/>
          <w:szCs w:val="26"/>
        </w:rPr>
        <w:t>the tenant</w:t>
      </w:r>
      <w:r w:rsidR="0068222E" w:rsidRPr="005A2BED">
        <w:rPr>
          <w:rFonts w:eastAsiaTheme="minorHAnsi"/>
          <w:color w:val="000000"/>
          <w:sz w:val="26"/>
          <w:szCs w:val="26"/>
        </w:rPr>
        <w:t>]</w:t>
      </w:r>
      <w:r w:rsidR="005703F0" w:rsidRPr="005A2BED">
        <w:rPr>
          <w:rFonts w:eastAsiaTheme="minorHAnsi"/>
          <w:color w:val="000000"/>
          <w:sz w:val="26"/>
          <w:szCs w:val="26"/>
        </w:rPr>
        <w:t xml:space="preserve"> at her prior address and transferred to her new account at the service address should not be transferred to Mr. DeHaven’s account as a result of the finding of foreign load under the </w:t>
      </w:r>
      <w:r w:rsidR="005703F0" w:rsidRPr="005A2BED">
        <w:rPr>
          <w:rFonts w:eastAsiaTheme="minorHAnsi"/>
          <w:i/>
          <w:color w:val="000000"/>
          <w:sz w:val="26"/>
          <w:szCs w:val="26"/>
        </w:rPr>
        <w:t>March</w:t>
      </w:r>
      <w:r w:rsidR="00D52583" w:rsidRPr="005A2BED">
        <w:rPr>
          <w:rFonts w:eastAsiaTheme="minorHAnsi"/>
          <w:i/>
          <w:color w:val="000000"/>
          <w:sz w:val="26"/>
          <w:szCs w:val="26"/>
        </w:rPr>
        <w:t xml:space="preserve"> </w:t>
      </w:r>
      <w:r w:rsidR="005703F0" w:rsidRPr="005A2BED">
        <w:rPr>
          <w:rFonts w:eastAsiaTheme="minorHAnsi"/>
          <w:i/>
          <w:color w:val="000000"/>
          <w:sz w:val="26"/>
          <w:szCs w:val="26"/>
        </w:rPr>
        <w:t>2018 Order</w:t>
      </w:r>
      <w:r w:rsidR="005703F0" w:rsidRPr="005A2BED">
        <w:rPr>
          <w:rFonts w:eastAsiaTheme="minorHAnsi"/>
          <w:color w:val="000000"/>
          <w:sz w:val="26"/>
          <w:szCs w:val="26"/>
        </w:rPr>
        <w:t>.</w:t>
      </w:r>
    </w:p>
    <w:p w14:paraId="4933C85F" w14:textId="0D383CC3" w:rsidR="0068222E" w:rsidRDefault="0068222E" w:rsidP="002767DE">
      <w:pPr>
        <w:widowControl/>
        <w:autoSpaceDE w:val="0"/>
        <w:autoSpaceDN w:val="0"/>
        <w:adjustRightInd w:val="0"/>
        <w:rPr>
          <w:rFonts w:eastAsiaTheme="minorHAnsi"/>
          <w:color w:val="000000"/>
          <w:sz w:val="26"/>
          <w:szCs w:val="26"/>
        </w:rPr>
      </w:pPr>
    </w:p>
    <w:p w14:paraId="417FCAD3" w14:textId="77777777" w:rsidR="002767DE" w:rsidRPr="005A2BED" w:rsidRDefault="002767DE" w:rsidP="002767DE">
      <w:pPr>
        <w:widowControl/>
        <w:autoSpaceDE w:val="0"/>
        <w:autoSpaceDN w:val="0"/>
        <w:adjustRightInd w:val="0"/>
        <w:rPr>
          <w:rFonts w:eastAsiaTheme="minorHAnsi"/>
          <w:color w:val="000000"/>
          <w:sz w:val="26"/>
          <w:szCs w:val="26"/>
        </w:rPr>
      </w:pPr>
    </w:p>
    <w:p w14:paraId="629AB18A" w14:textId="77777777" w:rsidR="00A6626E" w:rsidRPr="005A2BED" w:rsidRDefault="00A6626E" w:rsidP="00A6626E">
      <w:pPr>
        <w:widowControl/>
        <w:autoSpaceDE w:val="0"/>
        <w:autoSpaceDN w:val="0"/>
        <w:adjustRightInd w:val="0"/>
        <w:spacing w:line="360" w:lineRule="auto"/>
        <w:rPr>
          <w:sz w:val="26"/>
          <w:szCs w:val="26"/>
        </w:rPr>
      </w:pPr>
      <w:r w:rsidRPr="005A2BED">
        <w:rPr>
          <w:sz w:val="26"/>
          <w:szCs w:val="26"/>
        </w:rPr>
        <w:t xml:space="preserve">I.D.R. at 11 (citing </w:t>
      </w:r>
      <w:r w:rsidRPr="005A2BED">
        <w:rPr>
          <w:i/>
          <w:sz w:val="26"/>
          <w:szCs w:val="26"/>
        </w:rPr>
        <w:t>March 2018 Order</w:t>
      </w:r>
      <w:r w:rsidRPr="005A2BED">
        <w:rPr>
          <w:sz w:val="26"/>
          <w:szCs w:val="26"/>
        </w:rPr>
        <w:t xml:space="preserve"> at 18).</w:t>
      </w:r>
    </w:p>
    <w:p w14:paraId="6399D5F2" w14:textId="77777777" w:rsidR="00D52583" w:rsidRPr="005A2BED" w:rsidRDefault="00D52583" w:rsidP="003E1276">
      <w:pPr>
        <w:widowControl/>
        <w:autoSpaceDE w:val="0"/>
        <w:autoSpaceDN w:val="0"/>
        <w:adjustRightInd w:val="0"/>
        <w:spacing w:line="360" w:lineRule="auto"/>
        <w:ind w:firstLine="1440"/>
        <w:rPr>
          <w:rFonts w:eastAsiaTheme="minorHAnsi"/>
          <w:color w:val="000000"/>
          <w:sz w:val="26"/>
          <w:szCs w:val="26"/>
        </w:rPr>
      </w:pPr>
    </w:p>
    <w:p w14:paraId="1FB18473" w14:textId="77777777" w:rsidR="0068222E" w:rsidRPr="005A2BED" w:rsidRDefault="00D52583" w:rsidP="003E1276">
      <w:pPr>
        <w:widowControl/>
        <w:autoSpaceDE w:val="0"/>
        <w:autoSpaceDN w:val="0"/>
        <w:adjustRightInd w:val="0"/>
        <w:spacing w:line="360" w:lineRule="auto"/>
        <w:ind w:firstLine="1440"/>
        <w:rPr>
          <w:rFonts w:eastAsiaTheme="minorHAnsi"/>
          <w:color w:val="000000"/>
          <w:sz w:val="26"/>
          <w:szCs w:val="26"/>
        </w:rPr>
      </w:pPr>
      <w:r w:rsidRPr="005A2BED">
        <w:rPr>
          <w:rFonts w:eastAsiaTheme="minorHAnsi"/>
          <w:color w:val="000000"/>
          <w:sz w:val="26"/>
          <w:szCs w:val="26"/>
        </w:rPr>
        <w:t>The ALJ explained that</w:t>
      </w:r>
      <w:r w:rsidR="005703F0" w:rsidRPr="005A2BED">
        <w:rPr>
          <w:rFonts w:eastAsiaTheme="minorHAnsi"/>
          <w:color w:val="000000"/>
          <w:sz w:val="26"/>
          <w:szCs w:val="26"/>
        </w:rPr>
        <w:t xml:space="preserve"> Ms. Leung also provided significant testimony regarding late payment charges on </w:t>
      </w:r>
      <w:r w:rsidRPr="005A2BED">
        <w:rPr>
          <w:rFonts w:eastAsiaTheme="minorHAnsi"/>
          <w:color w:val="000000"/>
          <w:sz w:val="26"/>
          <w:szCs w:val="26"/>
        </w:rPr>
        <w:t xml:space="preserve">the tenant’s </w:t>
      </w:r>
      <w:r w:rsidR="005703F0" w:rsidRPr="005A2BED">
        <w:rPr>
          <w:rFonts w:eastAsiaTheme="minorHAnsi"/>
          <w:color w:val="000000"/>
          <w:sz w:val="26"/>
          <w:szCs w:val="26"/>
        </w:rPr>
        <w:t xml:space="preserve">account, as well as issues related to </w:t>
      </w:r>
      <w:r w:rsidRPr="005A2BED">
        <w:rPr>
          <w:rFonts w:eastAsiaTheme="minorHAnsi"/>
          <w:color w:val="000000"/>
          <w:sz w:val="26"/>
          <w:szCs w:val="26"/>
        </w:rPr>
        <w:t xml:space="preserve">the tenant’s </w:t>
      </w:r>
      <w:r w:rsidR="005703F0" w:rsidRPr="005A2BED">
        <w:rPr>
          <w:rFonts w:eastAsiaTheme="minorHAnsi"/>
          <w:color w:val="000000"/>
          <w:sz w:val="26"/>
          <w:szCs w:val="26"/>
        </w:rPr>
        <w:t xml:space="preserve">enrollment in PECO’s customer assistance program (CAP). </w:t>
      </w:r>
      <w:r w:rsidR="0068222E" w:rsidRPr="005A2BED">
        <w:rPr>
          <w:rFonts w:eastAsiaTheme="minorHAnsi"/>
          <w:color w:val="000000"/>
          <w:sz w:val="26"/>
          <w:szCs w:val="26"/>
        </w:rPr>
        <w:t xml:space="preserve"> According to the ALJ:</w:t>
      </w:r>
    </w:p>
    <w:p w14:paraId="7832F9F4" w14:textId="77777777" w:rsidR="0068222E" w:rsidRPr="005A2BED" w:rsidRDefault="0068222E" w:rsidP="0068222E">
      <w:pPr>
        <w:widowControl/>
        <w:autoSpaceDE w:val="0"/>
        <w:autoSpaceDN w:val="0"/>
        <w:adjustRightInd w:val="0"/>
        <w:spacing w:line="360" w:lineRule="auto"/>
        <w:rPr>
          <w:rFonts w:eastAsiaTheme="minorHAnsi"/>
          <w:color w:val="000000"/>
          <w:sz w:val="26"/>
          <w:szCs w:val="26"/>
        </w:rPr>
      </w:pPr>
    </w:p>
    <w:p w14:paraId="1F664CDB" w14:textId="134DB167" w:rsidR="0068222E" w:rsidRDefault="0068222E" w:rsidP="00311C63">
      <w:pPr>
        <w:widowControl/>
        <w:autoSpaceDE w:val="0"/>
        <w:autoSpaceDN w:val="0"/>
        <w:adjustRightInd w:val="0"/>
        <w:ind w:left="1440" w:right="1440"/>
        <w:rPr>
          <w:rFonts w:eastAsiaTheme="minorHAnsi"/>
          <w:color w:val="000000"/>
          <w:sz w:val="26"/>
          <w:szCs w:val="26"/>
        </w:rPr>
      </w:pPr>
      <w:r w:rsidRPr="005A2BED">
        <w:rPr>
          <w:rFonts w:eastAsiaTheme="minorHAnsi"/>
          <w:color w:val="000000"/>
          <w:sz w:val="26"/>
          <w:szCs w:val="26"/>
        </w:rPr>
        <w:t>T</w:t>
      </w:r>
      <w:r w:rsidR="005703F0" w:rsidRPr="005A2BED">
        <w:rPr>
          <w:rFonts w:eastAsiaTheme="minorHAnsi"/>
          <w:color w:val="000000"/>
          <w:sz w:val="26"/>
          <w:szCs w:val="26"/>
        </w:rPr>
        <w:t xml:space="preserve">hese other issues related to </w:t>
      </w:r>
      <w:r w:rsidR="00D52583" w:rsidRPr="005A2BED">
        <w:rPr>
          <w:rFonts w:eastAsiaTheme="minorHAnsi"/>
          <w:color w:val="000000"/>
          <w:sz w:val="26"/>
          <w:szCs w:val="26"/>
        </w:rPr>
        <w:t xml:space="preserve">the tenant’s </w:t>
      </w:r>
      <w:r w:rsidR="005703F0" w:rsidRPr="005A2BED">
        <w:rPr>
          <w:rFonts w:eastAsiaTheme="minorHAnsi"/>
          <w:color w:val="000000"/>
          <w:sz w:val="26"/>
          <w:szCs w:val="26"/>
        </w:rPr>
        <w:t xml:space="preserve">account are also irrelevant to determining “the amount of the tenants’ arrearage not related to the Complainant’s property.” All these charges accrued while </w:t>
      </w:r>
      <w:r w:rsidR="00D52583" w:rsidRPr="005A2BED">
        <w:rPr>
          <w:rFonts w:eastAsiaTheme="minorHAnsi"/>
          <w:color w:val="000000"/>
          <w:sz w:val="26"/>
          <w:szCs w:val="26"/>
        </w:rPr>
        <w:t>the tenant</w:t>
      </w:r>
      <w:r w:rsidR="005703F0" w:rsidRPr="005A2BED">
        <w:rPr>
          <w:rFonts w:eastAsiaTheme="minorHAnsi"/>
          <w:color w:val="000000"/>
          <w:sz w:val="26"/>
          <w:szCs w:val="26"/>
        </w:rPr>
        <w:t xml:space="preserve"> was living at the service address.</w:t>
      </w:r>
    </w:p>
    <w:p w14:paraId="438882DC" w14:textId="269B84A7" w:rsidR="002A722B" w:rsidRDefault="002A722B" w:rsidP="00311C63">
      <w:pPr>
        <w:widowControl/>
        <w:autoSpaceDE w:val="0"/>
        <w:autoSpaceDN w:val="0"/>
        <w:adjustRightInd w:val="0"/>
        <w:ind w:left="1440" w:right="1440"/>
        <w:rPr>
          <w:rFonts w:eastAsiaTheme="minorHAnsi"/>
          <w:color w:val="000000"/>
          <w:sz w:val="26"/>
          <w:szCs w:val="26"/>
        </w:rPr>
      </w:pPr>
    </w:p>
    <w:p w14:paraId="373CB20A" w14:textId="77777777" w:rsidR="002A722B" w:rsidRPr="005A2BED" w:rsidRDefault="002A722B" w:rsidP="00311C63">
      <w:pPr>
        <w:widowControl/>
        <w:autoSpaceDE w:val="0"/>
        <w:autoSpaceDN w:val="0"/>
        <w:adjustRightInd w:val="0"/>
        <w:ind w:left="1440" w:right="1440"/>
        <w:rPr>
          <w:rFonts w:eastAsiaTheme="minorHAnsi"/>
          <w:color w:val="000000"/>
          <w:sz w:val="26"/>
          <w:szCs w:val="26"/>
        </w:rPr>
      </w:pPr>
    </w:p>
    <w:p w14:paraId="329F412E" w14:textId="3C6B44C0" w:rsidR="0068222E" w:rsidRPr="005A2BED" w:rsidRDefault="008F2567" w:rsidP="0068222E">
      <w:pPr>
        <w:widowControl/>
        <w:autoSpaceDE w:val="0"/>
        <w:autoSpaceDN w:val="0"/>
        <w:adjustRightInd w:val="0"/>
        <w:spacing w:line="360" w:lineRule="auto"/>
        <w:rPr>
          <w:rFonts w:eastAsiaTheme="minorHAnsi"/>
          <w:color w:val="000000"/>
          <w:sz w:val="26"/>
          <w:szCs w:val="26"/>
        </w:rPr>
      </w:pPr>
      <w:r w:rsidRPr="005A2BED">
        <w:rPr>
          <w:rFonts w:eastAsiaTheme="minorHAnsi"/>
          <w:color w:val="000000"/>
          <w:sz w:val="26"/>
          <w:szCs w:val="26"/>
        </w:rPr>
        <w:t>I.D.R.</w:t>
      </w:r>
      <w:r w:rsidR="0068222E" w:rsidRPr="005A2BED">
        <w:rPr>
          <w:rFonts w:eastAsiaTheme="minorHAnsi"/>
          <w:color w:val="000000"/>
          <w:sz w:val="26"/>
          <w:szCs w:val="26"/>
        </w:rPr>
        <w:t xml:space="preserve"> at 11.</w:t>
      </w:r>
    </w:p>
    <w:p w14:paraId="22945076" w14:textId="77777777" w:rsidR="0068222E" w:rsidRPr="005A2BED" w:rsidRDefault="0068222E" w:rsidP="0068222E">
      <w:pPr>
        <w:widowControl/>
        <w:autoSpaceDE w:val="0"/>
        <w:autoSpaceDN w:val="0"/>
        <w:adjustRightInd w:val="0"/>
        <w:spacing w:line="360" w:lineRule="auto"/>
        <w:rPr>
          <w:rFonts w:eastAsiaTheme="minorHAnsi"/>
          <w:color w:val="000000"/>
          <w:sz w:val="26"/>
          <w:szCs w:val="26"/>
        </w:rPr>
      </w:pPr>
    </w:p>
    <w:p w14:paraId="2EDF9509" w14:textId="15E80333" w:rsidR="0068222E" w:rsidRPr="005A2BED" w:rsidRDefault="00D52583" w:rsidP="0068222E">
      <w:pPr>
        <w:widowControl/>
        <w:autoSpaceDE w:val="0"/>
        <w:autoSpaceDN w:val="0"/>
        <w:adjustRightInd w:val="0"/>
        <w:spacing w:line="360" w:lineRule="auto"/>
        <w:ind w:firstLine="1440"/>
        <w:rPr>
          <w:rFonts w:eastAsiaTheme="minorHAnsi"/>
          <w:color w:val="000000"/>
          <w:sz w:val="26"/>
          <w:szCs w:val="26"/>
        </w:rPr>
      </w:pPr>
      <w:r w:rsidRPr="005A2BED">
        <w:rPr>
          <w:rFonts w:eastAsiaTheme="minorHAnsi"/>
          <w:color w:val="000000"/>
          <w:sz w:val="26"/>
          <w:szCs w:val="26"/>
        </w:rPr>
        <w:t xml:space="preserve">The ALJ </w:t>
      </w:r>
      <w:r w:rsidR="0068222E" w:rsidRPr="005A2BED">
        <w:rPr>
          <w:rFonts w:eastAsiaTheme="minorHAnsi"/>
          <w:color w:val="000000"/>
          <w:sz w:val="26"/>
          <w:szCs w:val="26"/>
        </w:rPr>
        <w:t>concluded</w:t>
      </w:r>
      <w:r w:rsidRPr="005A2BED">
        <w:rPr>
          <w:rFonts w:eastAsiaTheme="minorHAnsi"/>
          <w:color w:val="000000"/>
          <w:sz w:val="26"/>
          <w:szCs w:val="26"/>
        </w:rPr>
        <w:t xml:space="preserve"> that </w:t>
      </w:r>
      <w:r w:rsidR="0068222E" w:rsidRPr="005A2BED">
        <w:rPr>
          <w:rFonts w:eastAsiaTheme="minorHAnsi"/>
          <w:color w:val="000000"/>
          <w:sz w:val="26"/>
          <w:szCs w:val="26"/>
        </w:rPr>
        <w:t>“[t]</w:t>
      </w:r>
      <w:r w:rsidRPr="005A2BED">
        <w:rPr>
          <w:rFonts w:eastAsiaTheme="minorHAnsi"/>
          <w:color w:val="000000"/>
          <w:sz w:val="26"/>
          <w:szCs w:val="26"/>
        </w:rPr>
        <w:t xml:space="preserve">he usage and other charges and payments the tenant accrued while living at the service address </w:t>
      </w:r>
      <w:r w:rsidRPr="00DE1E42">
        <w:rPr>
          <w:rFonts w:eastAsiaTheme="minorHAnsi"/>
          <w:i/>
          <w:color w:val="000000"/>
          <w:sz w:val="26"/>
          <w:szCs w:val="26"/>
        </w:rPr>
        <w:t>are irrelevant</w:t>
      </w:r>
      <w:r w:rsidRPr="005A2BED">
        <w:rPr>
          <w:rFonts w:eastAsiaTheme="minorHAnsi"/>
          <w:color w:val="000000"/>
          <w:sz w:val="26"/>
          <w:szCs w:val="26"/>
        </w:rPr>
        <w:t xml:space="preserve"> to this proceeding.</w:t>
      </w:r>
      <w:r w:rsidR="0068222E" w:rsidRPr="005A2BED">
        <w:rPr>
          <w:rFonts w:eastAsiaTheme="minorHAnsi"/>
          <w:color w:val="000000"/>
          <w:sz w:val="26"/>
          <w:szCs w:val="26"/>
        </w:rPr>
        <w:t xml:space="preserve">”  </w:t>
      </w:r>
      <w:r w:rsidR="008F2567" w:rsidRPr="005A2BED">
        <w:rPr>
          <w:rFonts w:eastAsiaTheme="minorHAnsi"/>
          <w:color w:val="000000"/>
          <w:sz w:val="26"/>
          <w:szCs w:val="26"/>
        </w:rPr>
        <w:t>I.D.R.</w:t>
      </w:r>
      <w:r w:rsidR="0068222E" w:rsidRPr="005A2BED">
        <w:rPr>
          <w:rFonts w:eastAsiaTheme="minorHAnsi"/>
          <w:color w:val="000000"/>
          <w:sz w:val="26"/>
          <w:szCs w:val="26"/>
        </w:rPr>
        <w:t xml:space="preserve"> at 11</w:t>
      </w:r>
      <w:r w:rsidR="00DE1E42">
        <w:rPr>
          <w:rFonts w:eastAsiaTheme="minorHAnsi"/>
          <w:color w:val="000000"/>
          <w:sz w:val="26"/>
          <w:szCs w:val="26"/>
        </w:rPr>
        <w:t xml:space="preserve"> (emphasis added)</w:t>
      </w:r>
      <w:r w:rsidR="0068222E" w:rsidRPr="005A2BED">
        <w:rPr>
          <w:rFonts w:eastAsiaTheme="minorHAnsi"/>
          <w:color w:val="000000"/>
          <w:sz w:val="26"/>
          <w:szCs w:val="26"/>
        </w:rPr>
        <w:t>.</w:t>
      </w:r>
    </w:p>
    <w:p w14:paraId="52654FC3" w14:textId="77777777" w:rsidR="0068222E" w:rsidRPr="005A2BED" w:rsidRDefault="0068222E" w:rsidP="0068222E">
      <w:pPr>
        <w:widowControl/>
        <w:autoSpaceDE w:val="0"/>
        <w:autoSpaceDN w:val="0"/>
        <w:adjustRightInd w:val="0"/>
        <w:spacing w:line="360" w:lineRule="auto"/>
        <w:ind w:firstLine="1440"/>
        <w:rPr>
          <w:rFonts w:eastAsiaTheme="minorHAnsi"/>
          <w:color w:val="000000"/>
          <w:sz w:val="26"/>
          <w:szCs w:val="26"/>
        </w:rPr>
      </w:pPr>
    </w:p>
    <w:p w14:paraId="13B1CF59" w14:textId="00CF66FD" w:rsidR="00D52583" w:rsidRPr="00D52583" w:rsidRDefault="003916A5" w:rsidP="0068222E">
      <w:pPr>
        <w:widowControl/>
        <w:autoSpaceDE w:val="0"/>
        <w:autoSpaceDN w:val="0"/>
        <w:adjustRightInd w:val="0"/>
        <w:spacing w:line="360" w:lineRule="auto"/>
        <w:ind w:firstLine="1440"/>
        <w:rPr>
          <w:rFonts w:eastAsiaTheme="minorHAnsi"/>
          <w:color w:val="000000"/>
          <w:sz w:val="26"/>
          <w:szCs w:val="26"/>
        </w:rPr>
      </w:pPr>
      <w:r>
        <w:rPr>
          <w:rFonts w:eastAsiaTheme="minorHAnsi"/>
          <w:color w:val="000000"/>
          <w:sz w:val="26"/>
          <w:szCs w:val="26"/>
        </w:rPr>
        <w:t>Based on the foregoing reasoning and conclusions</w:t>
      </w:r>
      <w:r w:rsidR="005703F0" w:rsidRPr="00D52583">
        <w:rPr>
          <w:rFonts w:eastAsiaTheme="minorHAnsi"/>
          <w:color w:val="000000"/>
          <w:sz w:val="26"/>
          <w:szCs w:val="26"/>
        </w:rPr>
        <w:t>,</w:t>
      </w:r>
      <w:r w:rsidR="00D52583" w:rsidRPr="00D52583">
        <w:rPr>
          <w:rFonts w:eastAsiaTheme="minorHAnsi"/>
          <w:color w:val="000000"/>
          <w:sz w:val="26"/>
          <w:szCs w:val="26"/>
        </w:rPr>
        <w:t xml:space="preserve"> the ALJ </w:t>
      </w:r>
      <w:r w:rsidR="0068222E">
        <w:rPr>
          <w:rFonts w:eastAsiaTheme="minorHAnsi"/>
          <w:color w:val="000000"/>
          <w:sz w:val="26"/>
          <w:szCs w:val="26"/>
        </w:rPr>
        <w:t xml:space="preserve">sustained the Complaint and </w:t>
      </w:r>
      <w:r w:rsidR="00D52583" w:rsidRPr="00D52583">
        <w:rPr>
          <w:rFonts w:eastAsiaTheme="minorHAnsi"/>
          <w:color w:val="000000"/>
          <w:sz w:val="26"/>
          <w:szCs w:val="26"/>
        </w:rPr>
        <w:t xml:space="preserve">directed PECO </w:t>
      </w:r>
      <w:r w:rsidR="005703F0" w:rsidRPr="00D52583">
        <w:rPr>
          <w:rFonts w:eastAsiaTheme="minorHAnsi"/>
          <w:color w:val="000000"/>
          <w:sz w:val="26"/>
          <w:szCs w:val="26"/>
        </w:rPr>
        <w:t xml:space="preserve">to credit Mr. DeHaven $1,602.80. </w:t>
      </w:r>
      <w:r w:rsidR="00D52583" w:rsidRPr="00D52583">
        <w:rPr>
          <w:rFonts w:eastAsiaTheme="minorHAnsi"/>
          <w:color w:val="000000"/>
          <w:sz w:val="26"/>
          <w:szCs w:val="26"/>
        </w:rPr>
        <w:t xml:space="preserve"> </w:t>
      </w:r>
      <w:r w:rsidR="008F2567">
        <w:rPr>
          <w:rFonts w:eastAsiaTheme="minorHAnsi"/>
          <w:color w:val="000000"/>
          <w:sz w:val="26"/>
          <w:szCs w:val="26"/>
        </w:rPr>
        <w:t>I.D.R.</w:t>
      </w:r>
      <w:r w:rsidR="00D52583" w:rsidRPr="00D52583">
        <w:rPr>
          <w:rFonts w:eastAsiaTheme="minorHAnsi"/>
          <w:color w:val="000000"/>
          <w:sz w:val="26"/>
          <w:szCs w:val="26"/>
        </w:rPr>
        <w:t xml:space="preserve"> at 11</w:t>
      </w:r>
      <w:r w:rsidR="0068222E">
        <w:rPr>
          <w:rFonts w:eastAsiaTheme="minorHAnsi"/>
          <w:color w:val="000000"/>
          <w:sz w:val="26"/>
          <w:szCs w:val="26"/>
        </w:rPr>
        <w:t>-12</w:t>
      </w:r>
      <w:r w:rsidR="00D52583" w:rsidRPr="00D52583">
        <w:rPr>
          <w:rFonts w:eastAsiaTheme="minorHAnsi"/>
          <w:color w:val="000000"/>
          <w:sz w:val="26"/>
          <w:szCs w:val="26"/>
        </w:rPr>
        <w:t>.</w:t>
      </w:r>
    </w:p>
    <w:p w14:paraId="276C4534" w14:textId="77777777" w:rsidR="00D104F0" w:rsidRPr="001825CB" w:rsidRDefault="00D104F0" w:rsidP="00D52583">
      <w:pPr>
        <w:pStyle w:val="Default"/>
        <w:spacing w:line="360" w:lineRule="auto"/>
        <w:rPr>
          <w:sz w:val="26"/>
          <w:szCs w:val="26"/>
        </w:rPr>
      </w:pPr>
    </w:p>
    <w:p w14:paraId="7FA79462" w14:textId="2FAEB8E0" w:rsidR="00CA43A5" w:rsidRPr="001825CB" w:rsidRDefault="00E34567" w:rsidP="00DD6F68">
      <w:pPr>
        <w:keepNext/>
        <w:keepLines/>
        <w:widowControl/>
        <w:spacing w:line="360" w:lineRule="auto"/>
        <w:rPr>
          <w:b/>
          <w:sz w:val="26"/>
          <w:szCs w:val="26"/>
        </w:rPr>
      </w:pPr>
      <w:r w:rsidRPr="001825CB">
        <w:rPr>
          <w:b/>
          <w:sz w:val="26"/>
          <w:szCs w:val="26"/>
        </w:rPr>
        <w:lastRenderedPageBreak/>
        <w:t>Exceptions</w:t>
      </w:r>
    </w:p>
    <w:p w14:paraId="5AF47227" w14:textId="77777777" w:rsidR="00D457EC" w:rsidRPr="001825CB" w:rsidRDefault="00D457EC" w:rsidP="001825CB">
      <w:pPr>
        <w:keepNext/>
        <w:keepLines/>
        <w:widowControl/>
        <w:spacing w:line="360" w:lineRule="auto"/>
        <w:ind w:firstLine="1440"/>
        <w:rPr>
          <w:b/>
          <w:sz w:val="26"/>
          <w:szCs w:val="26"/>
        </w:rPr>
      </w:pPr>
    </w:p>
    <w:p w14:paraId="6ECC3A6D" w14:textId="0A3E7D5E" w:rsidR="000643D1" w:rsidRDefault="004107BC" w:rsidP="001825CB">
      <w:pPr>
        <w:widowControl/>
        <w:spacing w:line="360" w:lineRule="auto"/>
        <w:ind w:firstLine="1440"/>
        <w:rPr>
          <w:sz w:val="26"/>
          <w:szCs w:val="26"/>
        </w:rPr>
      </w:pPr>
      <w:r>
        <w:rPr>
          <w:sz w:val="26"/>
          <w:szCs w:val="26"/>
        </w:rPr>
        <w:t>PECO</w:t>
      </w:r>
      <w:r w:rsidR="002B0B9E">
        <w:rPr>
          <w:sz w:val="26"/>
          <w:szCs w:val="26"/>
        </w:rPr>
        <w:t xml:space="preserve"> filed six pages of Exceptions to the Initial Decision</w:t>
      </w:r>
      <w:r w:rsidR="00852814">
        <w:rPr>
          <w:sz w:val="26"/>
          <w:szCs w:val="26"/>
        </w:rPr>
        <w:t xml:space="preserve"> on Remand</w:t>
      </w:r>
      <w:r w:rsidR="002B0B9E">
        <w:rPr>
          <w:sz w:val="26"/>
          <w:szCs w:val="26"/>
        </w:rPr>
        <w:t xml:space="preserve">.  In summary, PECO submits </w:t>
      </w:r>
      <w:r w:rsidR="009E69B2">
        <w:rPr>
          <w:sz w:val="26"/>
          <w:szCs w:val="26"/>
        </w:rPr>
        <w:t xml:space="preserve">that </w:t>
      </w:r>
      <w:r w:rsidR="002B0B9E">
        <w:rPr>
          <w:sz w:val="26"/>
          <w:szCs w:val="26"/>
        </w:rPr>
        <w:t xml:space="preserve">the Initial Decision </w:t>
      </w:r>
      <w:r w:rsidR="009810D4">
        <w:rPr>
          <w:sz w:val="26"/>
          <w:szCs w:val="26"/>
        </w:rPr>
        <w:t xml:space="preserve">on Remand </w:t>
      </w:r>
      <w:r w:rsidR="001D7025">
        <w:rPr>
          <w:sz w:val="26"/>
          <w:szCs w:val="26"/>
        </w:rPr>
        <w:t xml:space="preserve">is inconsistent with the provisions set forth in 52 Pa. Code § 56.24.  Exc. at 2.  PECO also submits that the Initial Decision is erroneous because PECO did not transfer any portion of the tenant’s former address balance to Mr. DeHaven – those arrearages were almost satisfied with the $986.69 payments made by the tenant.  </w:t>
      </w:r>
      <w:r w:rsidR="00D47AC0">
        <w:rPr>
          <w:sz w:val="26"/>
          <w:szCs w:val="26"/>
        </w:rPr>
        <w:t xml:space="preserve">Exc. at 5.  </w:t>
      </w:r>
      <w:r w:rsidR="001D7025">
        <w:rPr>
          <w:sz w:val="26"/>
          <w:szCs w:val="26"/>
        </w:rPr>
        <w:t>PECO asserts that the only amount Mr.</w:t>
      </w:r>
      <w:r w:rsidR="009810D4">
        <w:rPr>
          <w:sz w:val="26"/>
          <w:szCs w:val="26"/>
        </w:rPr>
        <w:t> </w:t>
      </w:r>
      <w:r w:rsidR="001D7025">
        <w:rPr>
          <w:sz w:val="26"/>
          <w:szCs w:val="26"/>
        </w:rPr>
        <w:t>DeHaven is being responsible for is the amount of electric usage charges the tenant incurred at Mr. DeHaven’s rental property where foreign wiring was found.  PECO explains that all of the charges bill</w:t>
      </w:r>
      <w:r w:rsidR="009E69B2">
        <w:rPr>
          <w:sz w:val="26"/>
          <w:szCs w:val="26"/>
        </w:rPr>
        <w:t>ed</w:t>
      </w:r>
      <w:r w:rsidR="001D7025">
        <w:rPr>
          <w:sz w:val="26"/>
          <w:szCs w:val="26"/>
        </w:rPr>
        <w:t xml:space="preserve"> to Mr. DeHaven are attributable to usage at his property during the period of foreign wiring.  Exc. at 5.  PECO requests that the Commission concl</w:t>
      </w:r>
      <w:r w:rsidR="009E69B2">
        <w:rPr>
          <w:sz w:val="26"/>
          <w:szCs w:val="26"/>
        </w:rPr>
        <w:t>ude</w:t>
      </w:r>
      <w:r w:rsidR="001D7025">
        <w:rPr>
          <w:sz w:val="26"/>
          <w:szCs w:val="26"/>
        </w:rPr>
        <w:t xml:space="preserve"> that PECO properly applied the tenant’s payments pursuant to 52 Pa. Code § 56.24 and correctly transferred $1,893.52 in electric usage charges consistent with the requirements set forth under 66 Pa. C.S § 1529.1(b).  Exc. at 6.  PECO respectfully requests that the Commission overturn the holding in the Initial Decision and to enter an Order in this proceeding that denies the</w:t>
      </w:r>
      <w:r w:rsidR="005C2C8B">
        <w:rPr>
          <w:sz w:val="26"/>
          <w:szCs w:val="26"/>
        </w:rPr>
        <w:t xml:space="preserve"> Complaint it its entirety.  Exc</w:t>
      </w:r>
      <w:r w:rsidR="001D7025">
        <w:rPr>
          <w:sz w:val="26"/>
          <w:szCs w:val="26"/>
        </w:rPr>
        <w:t>. at 3, 6.</w:t>
      </w:r>
    </w:p>
    <w:p w14:paraId="2BEA55E5" w14:textId="77777777" w:rsidR="004D50F5" w:rsidRPr="007B531E" w:rsidRDefault="004D50F5" w:rsidP="00385B95">
      <w:pPr>
        <w:widowControl/>
        <w:spacing w:line="360" w:lineRule="auto"/>
        <w:ind w:firstLine="1440"/>
        <w:rPr>
          <w:sz w:val="26"/>
          <w:szCs w:val="26"/>
        </w:rPr>
      </w:pPr>
    </w:p>
    <w:p w14:paraId="57EDF40D" w14:textId="77777777" w:rsidR="00006F35" w:rsidRPr="007B531E" w:rsidRDefault="00006F35" w:rsidP="00385B95">
      <w:pPr>
        <w:keepNext/>
        <w:keepLines/>
        <w:widowControl/>
        <w:spacing w:line="360" w:lineRule="auto"/>
        <w:rPr>
          <w:b/>
          <w:sz w:val="26"/>
          <w:szCs w:val="26"/>
        </w:rPr>
      </w:pPr>
      <w:r w:rsidRPr="000643D1">
        <w:rPr>
          <w:b/>
          <w:sz w:val="26"/>
          <w:szCs w:val="26"/>
        </w:rPr>
        <w:t>Disposition</w:t>
      </w:r>
    </w:p>
    <w:p w14:paraId="5EB889F6" w14:textId="77777777" w:rsidR="00006F35" w:rsidRPr="007B531E" w:rsidRDefault="00006F35" w:rsidP="00385B95">
      <w:pPr>
        <w:keepNext/>
        <w:keepLines/>
        <w:widowControl/>
        <w:spacing w:line="360" w:lineRule="auto"/>
        <w:rPr>
          <w:b/>
          <w:sz w:val="26"/>
          <w:szCs w:val="26"/>
        </w:rPr>
      </w:pPr>
    </w:p>
    <w:p w14:paraId="68918A24" w14:textId="77777777" w:rsidR="00D52583" w:rsidRDefault="003E1276" w:rsidP="00AE1E99">
      <w:pPr>
        <w:widowControl/>
        <w:spacing w:line="360" w:lineRule="auto"/>
        <w:ind w:firstLine="1440"/>
        <w:contextualSpacing/>
        <w:rPr>
          <w:sz w:val="26"/>
          <w:szCs w:val="26"/>
        </w:rPr>
      </w:pPr>
      <w:bookmarkStart w:id="3" w:name="_Hlk505940544"/>
      <w:r>
        <w:rPr>
          <w:sz w:val="26"/>
          <w:szCs w:val="26"/>
        </w:rPr>
        <w:t xml:space="preserve">We </w:t>
      </w:r>
      <w:r w:rsidR="001D7025">
        <w:rPr>
          <w:sz w:val="26"/>
          <w:szCs w:val="26"/>
        </w:rPr>
        <w:t xml:space="preserve">shall </w:t>
      </w:r>
      <w:r>
        <w:rPr>
          <w:sz w:val="26"/>
          <w:szCs w:val="26"/>
        </w:rPr>
        <w:t>grant PECO’s Exceptions</w:t>
      </w:r>
      <w:r w:rsidR="001D7025">
        <w:rPr>
          <w:sz w:val="26"/>
          <w:szCs w:val="26"/>
        </w:rPr>
        <w:t xml:space="preserve">, </w:t>
      </w:r>
      <w:r w:rsidR="009E69B2">
        <w:rPr>
          <w:sz w:val="26"/>
          <w:szCs w:val="26"/>
        </w:rPr>
        <w:t>reverse</w:t>
      </w:r>
      <w:r w:rsidR="001D7025">
        <w:rPr>
          <w:sz w:val="26"/>
          <w:szCs w:val="26"/>
        </w:rPr>
        <w:t xml:space="preserve"> the Initial Decision and deny the Complaint in its entirety.</w:t>
      </w:r>
    </w:p>
    <w:p w14:paraId="326D76DF" w14:textId="77777777" w:rsidR="00D52583" w:rsidRDefault="00D52583" w:rsidP="00AE1E99">
      <w:pPr>
        <w:widowControl/>
        <w:spacing w:line="360" w:lineRule="auto"/>
        <w:ind w:firstLine="1440"/>
        <w:contextualSpacing/>
        <w:rPr>
          <w:sz w:val="26"/>
          <w:szCs w:val="26"/>
        </w:rPr>
      </w:pPr>
    </w:p>
    <w:p w14:paraId="2C762327" w14:textId="402DC351" w:rsidR="00040670" w:rsidRDefault="00B036DC" w:rsidP="00B036DC">
      <w:pPr>
        <w:widowControl/>
        <w:spacing w:line="360" w:lineRule="auto"/>
        <w:ind w:firstLine="1440"/>
        <w:contextualSpacing/>
        <w:rPr>
          <w:rFonts w:eastAsiaTheme="minorHAnsi"/>
          <w:color w:val="000000"/>
          <w:sz w:val="26"/>
          <w:szCs w:val="26"/>
        </w:rPr>
      </w:pPr>
      <w:r>
        <w:rPr>
          <w:rFonts w:eastAsiaTheme="minorHAnsi"/>
          <w:color w:val="000000"/>
          <w:sz w:val="26"/>
          <w:szCs w:val="26"/>
        </w:rPr>
        <w:t xml:space="preserve">In the </w:t>
      </w:r>
      <w:r w:rsidRPr="00B036DC">
        <w:rPr>
          <w:rFonts w:eastAsiaTheme="minorHAnsi"/>
          <w:i/>
          <w:color w:val="000000"/>
          <w:sz w:val="26"/>
          <w:szCs w:val="26"/>
        </w:rPr>
        <w:t>March 2018 Order</w:t>
      </w:r>
      <w:r>
        <w:rPr>
          <w:rFonts w:eastAsiaTheme="minorHAnsi"/>
          <w:color w:val="000000"/>
          <w:sz w:val="26"/>
          <w:szCs w:val="26"/>
        </w:rPr>
        <w:t>, we</w:t>
      </w:r>
      <w:r w:rsidR="0068222E" w:rsidRPr="0068222E">
        <w:rPr>
          <w:rFonts w:eastAsiaTheme="minorHAnsi"/>
          <w:color w:val="000000"/>
          <w:sz w:val="26"/>
          <w:szCs w:val="26"/>
        </w:rPr>
        <w:t xml:space="preserve"> </w:t>
      </w:r>
      <w:r w:rsidR="0068222E">
        <w:rPr>
          <w:rFonts w:eastAsiaTheme="minorHAnsi"/>
          <w:color w:val="000000"/>
          <w:sz w:val="26"/>
          <w:szCs w:val="26"/>
        </w:rPr>
        <w:t xml:space="preserve">recognized that Mr. DeHaven, a </w:t>
      </w:r>
      <w:r w:rsidR="0068222E" w:rsidRPr="0068222E">
        <w:rPr>
          <w:rFonts w:eastAsiaTheme="minorHAnsi"/>
          <w:i/>
          <w:color w:val="000000"/>
          <w:sz w:val="26"/>
          <w:szCs w:val="26"/>
        </w:rPr>
        <w:t>pro se</w:t>
      </w:r>
      <w:r w:rsidR="0068222E">
        <w:rPr>
          <w:rFonts w:eastAsiaTheme="minorHAnsi"/>
          <w:color w:val="000000"/>
          <w:sz w:val="26"/>
          <w:szCs w:val="26"/>
        </w:rPr>
        <w:t xml:space="preserve"> complainant, </w:t>
      </w:r>
      <w:r w:rsidR="00044904">
        <w:rPr>
          <w:rFonts w:eastAsiaTheme="minorHAnsi"/>
          <w:color w:val="000000"/>
          <w:sz w:val="26"/>
          <w:szCs w:val="26"/>
        </w:rPr>
        <w:t xml:space="preserve">raised </w:t>
      </w:r>
      <w:r w:rsidR="0068222E">
        <w:rPr>
          <w:rFonts w:eastAsiaTheme="minorHAnsi"/>
          <w:color w:val="000000"/>
          <w:sz w:val="26"/>
          <w:szCs w:val="26"/>
        </w:rPr>
        <w:t xml:space="preserve">an issue in his Exceptions that he did not </w:t>
      </w:r>
      <w:r w:rsidR="00044904">
        <w:rPr>
          <w:rFonts w:eastAsiaTheme="minorHAnsi"/>
          <w:color w:val="000000"/>
          <w:sz w:val="26"/>
          <w:szCs w:val="26"/>
        </w:rPr>
        <w:t>articulate</w:t>
      </w:r>
      <w:r w:rsidR="0068222E">
        <w:rPr>
          <w:rFonts w:eastAsiaTheme="minorHAnsi"/>
          <w:color w:val="000000"/>
          <w:sz w:val="26"/>
          <w:szCs w:val="26"/>
        </w:rPr>
        <w:t xml:space="preserve"> in his underlying Complaint</w:t>
      </w:r>
      <w:r>
        <w:rPr>
          <w:rFonts w:eastAsiaTheme="minorHAnsi"/>
          <w:color w:val="000000"/>
          <w:sz w:val="26"/>
          <w:szCs w:val="26"/>
        </w:rPr>
        <w:t xml:space="preserve"> </w:t>
      </w:r>
      <w:r w:rsidR="0068222E">
        <w:rPr>
          <w:rFonts w:eastAsiaTheme="minorHAnsi"/>
          <w:color w:val="000000"/>
          <w:sz w:val="26"/>
          <w:szCs w:val="26"/>
        </w:rPr>
        <w:t>or his response t</w:t>
      </w:r>
      <w:r w:rsidR="00040670">
        <w:rPr>
          <w:rFonts w:eastAsiaTheme="minorHAnsi"/>
          <w:color w:val="000000"/>
          <w:sz w:val="26"/>
          <w:szCs w:val="26"/>
        </w:rPr>
        <w:t>o PECO’s Preliminary Objection.  The issue was whether PECO</w:t>
      </w:r>
      <w:r w:rsidR="00AA0978">
        <w:rPr>
          <w:rFonts w:eastAsiaTheme="minorHAnsi"/>
          <w:color w:val="000000"/>
          <w:sz w:val="26"/>
          <w:szCs w:val="26"/>
        </w:rPr>
        <w:t xml:space="preserve"> </w:t>
      </w:r>
      <w:r w:rsidR="00D47AC0">
        <w:rPr>
          <w:rFonts w:eastAsiaTheme="minorHAnsi"/>
          <w:color w:val="000000"/>
          <w:sz w:val="26"/>
          <w:szCs w:val="26"/>
        </w:rPr>
        <w:t xml:space="preserve">had </w:t>
      </w:r>
      <w:r w:rsidR="0068222E">
        <w:rPr>
          <w:rFonts w:eastAsiaTheme="minorHAnsi"/>
          <w:color w:val="000000"/>
          <w:sz w:val="26"/>
          <w:szCs w:val="26"/>
        </w:rPr>
        <w:t xml:space="preserve">transferred </w:t>
      </w:r>
      <w:r w:rsidR="009810D4">
        <w:rPr>
          <w:rFonts w:eastAsiaTheme="minorHAnsi"/>
          <w:color w:val="000000"/>
          <w:sz w:val="26"/>
          <w:szCs w:val="26"/>
        </w:rPr>
        <w:t xml:space="preserve">an amount for electric usage related to the tenant’s prior service address </w:t>
      </w:r>
      <w:r w:rsidR="0068222E">
        <w:rPr>
          <w:rFonts w:eastAsiaTheme="minorHAnsi"/>
          <w:color w:val="000000"/>
          <w:sz w:val="26"/>
          <w:szCs w:val="26"/>
        </w:rPr>
        <w:t xml:space="preserve">from the tenant’s account to </w:t>
      </w:r>
      <w:r w:rsidR="00040670">
        <w:rPr>
          <w:rFonts w:eastAsiaTheme="minorHAnsi"/>
          <w:color w:val="000000"/>
          <w:sz w:val="26"/>
          <w:szCs w:val="26"/>
        </w:rPr>
        <w:t>Mr. DeHaven’s</w:t>
      </w:r>
      <w:r w:rsidR="0068222E">
        <w:rPr>
          <w:rFonts w:eastAsiaTheme="minorHAnsi"/>
          <w:color w:val="000000"/>
          <w:sz w:val="26"/>
          <w:szCs w:val="26"/>
        </w:rPr>
        <w:t xml:space="preserve"> account</w:t>
      </w:r>
      <w:r w:rsidR="00AA0978">
        <w:rPr>
          <w:rFonts w:eastAsiaTheme="minorHAnsi"/>
          <w:color w:val="000000"/>
          <w:sz w:val="26"/>
          <w:szCs w:val="26"/>
        </w:rPr>
        <w:t xml:space="preserve"> as a result of finding a foreign load on the tenant’s account</w:t>
      </w:r>
      <w:r w:rsidR="00040670">
        <w:rPr>
          <w:rFonts w:eastAsiaTheme="minorHAnsi"/>
          <w:color w:val="000000"/>
          <w:sz w:val="26"/>
          <w:szCs w:val="26"/>
        </w:rPr>
        <w:t xml:space="preserve">.  </w:t>
      </w:r>
      <w:r w:rsidR="00D47AC0">
        <w:rPr>
          <w:rFonts w:eastAsiaTheme="minorHAnsi"/>
          <w:color w:val="000000"/>
          <w:sz w:val="26"/>
          <w:szCs w:val="26"/>
        </w:rPr>
        <w:t xml:space="preserve">In analyzing the issue, we reached the legal </w:t>
      </w:r>
      <w:r w:rsidR="00D47AC0">
        <w:rPr>
          <w:rFonts w:eastAsiaTheme="minorHAnsi"/>
          <w:color w:val="000000"/>
          <w:sz w:val="26"/>
          <w:szCs w:val="26"/>
        </w:rPr>
        <w:lastRenderedPageBreak/>
        <w:t xml:space="preserve">conclusion that Section 1529.1 of the Code does not permit a utility to transfer amounts accumulated by a tenant at a prior service address to the property owner of the tenant’s current service address when a foreign load is discovered at the current service address.  </w:t>
      </w:r>
      <w:r w:rsidR="009E69B2">
        <w:rPr>
          <w:rFonts w:eastAsiaTheme="minorHAnsi"/>
          <w:color w:val="000000"/>
          <w:sz w:val="26"/>
          <w:szCs w:val="26"/>
        </w:rPr>
        <w:t>Given the pre-trial status of the proceeding at that time, w</w:t>
      </w:r>
      <w:r w:rsidR="00040670">
        <w:rPr>
          <w:rFonts w:eastAsiaTheme="minorHAnsi"/>
          <w:color w:val="000000"/>
          <w:sz w:val="26"/>
          <w:szCs w:val="26"/>
        </w:rPr>
        <w:t xml:space="preserve">e determined that the appropriate course was to </w:t>
      </w:r>
      <w:r w:rsidR="00222E71">
        <w:rPr>
          <w:rFonts w:eastAsiaTheme="minorHAnsi"/>
          <w:color w:val="000000"/>
          <w:sz w:val="26"/>
          <w:szCs w:val="26"/>
        </w:rPr>
        <w:t>set</w:t>
      </w:r>
      <w:r w:rsidR="001938F5">
        <w:rPr>
          <w:rFonts w:eastAsiaTheme="minorHAnsi"/>
          <w:color w:val="000000"/>
          <w:sz w:val="26"/>
          <w:szCs w:val="26"/>
        </w:rPr>
        <w:t xml:space="preserve"> the matter for </w:t>
      </w:r>
      <w:r w:rsidR="0079684B">
        <w:rPr>
          <w:rFonts w:eastAsiaTheme="minorHAnsi"/>
          <w:color w:val="000000"/>
          <w:sz w:val="26"/>
          <w:szCs w:val="26"/>
        </w:rPr>
        <w:t xml:space="preserve">a </w:t>
      </w:r>
      <w:r w:rsidR="00040670">
        <w:rPr>
          <w:rFonts w:eastAsiaTheme="minorHAnsi"/>
          <w:color w:val="000000"/>
          <w:sz w:val="26"/>
          <w:szCs w:val="26"/>
        </w:rPr>
        <w:t xml:space="preserve">hearing and fact finding </w:t>
      </w:r>
      <w:r w:rsidR="00222E71">
        <w:rPr>
          <w:rFonts w:eastAsiaTheme="minorHAnsi"/>
          <w:color w:val="000000"/>
          <w:sz w:val="26"/>
          <w:szCs w:val="26"/>
        </w:rPr>
        <w:t>on</w:t>
      </w:r>
      <w:r w:rsidR="00040670">
        <w:rPr>
          <w:rFonts w:eastAsiaTheme="minorHAnsi"/>
          <w:color w:val="000000"/>
          <w:sz w:val="26"/>
          <w:szCs w:val="26"/>
        </w:rPr>
        <w:t xml:space="preserve"> the issue.</w:t>
      </w:r>
    </w:p>
    <w:p w14:paraId="4B2F5659" w14:textId="77777777" w:rsidR="00040670" w:rsidRDefault="00040670" w:rsidP="00B036DC">
      <w:pPr>
        <w:widowControl/>
        <w:spacing w:line="360" w:lineRule="auto"/>
        <w:ind w:firstLine="1440"/>
        <w:contextualSpacing/>
        <w:rPr>
          <w:rFonts w:eastAsiaTheme="minorHAnsi"/>
          <w:color w:val="000000"/>
          <w:sz w:val="26"/>
          <w:szCs w:val="26"/>
        </w:rPr>
      </w:pPr>
    </w:p>
    <w:p w14:paraId="72108399" w14:textId="76B41FBF" w:rsidR="00040670" w:rsidRDefault="00A679EC" w:rsidP="00DE1E42">
      <w:pPr>
        <w:widowControl/>
        <w:spacing w:line="360" w:lineRule="auto"/>
        <w:ind w:firstLine="1440"/>
        <w:contextualSpacing/>
        <w:rPr>
          <w:rFonts w:eastAsiaTheme="minorHAnsi"/>
          <w:color w:val="000000"/>
          <w:sz w:val="26"/>
          <w:szCs w:val="26"/>
        </w:rPr>
      </w:pPr>
      <w:r>
        <w:rPr>
          <w:rFonts w:eastAsiaTheme="minorHAnsi"/>
          <w:color w:val="000000"/>
          <w:sz w:val="26"/>
          <w:szCs w:val="26"/>
        </w:rPr>
        <w:t>Relevant to th</w:t>
      </w:r>
      <w:r w:rsidR="00A158AD">
        <w:rPr>
          <w:rFonts w:eastAsiaTheme="minorHAnsi"/>
          <w:color w:val="000000"/>
          <w:sz w:val="26"/>
          <w:szCs w:val="26"/>
        </w:rPr>
        <w:t>e remanded</w:t>
      </w:r>
      <w:r>
        <w:rPr>
          <w:rFonts w:eastAsiaTheme="minorHAnsi"/>
          <w:color w:val="000000"/>
          <w:sz w:val="26"/>
          <w:szCs w:val="26"/>
        </w:rPr>
        <w:t xml:space="preserve"> issue are t</w:t>
      </w:r>
      <w:r w:rsidRPr="00D52583">
        <w:rPr>
          <w:rFonts w:eastAsiaTheme="minorHAnsi"/>
          <w:color w:val="000000"/>
          <w:sz w:val="26"/>
          <w:szCs w:val="26"/>
        </w:rPr>
        <w:t>he</w:t>
      </w:r>
      <w:r>
        <w:rPr>
          <w:rFonts w:eastAsiaTheme="minorHAnsi"/>
          <w:color w:val="000000"/>
          <w:sz w:val="26"/>
          <w:szCs w:val="26"/>
        </w:rPr>
        <w:t xml:space="preserve"> following</w:t>
      </w:r>
      <w:r w:rsidR="00CE4D70">
        <w:rPr>
          <w:rFonts w:eastAsiaTheme="minorHAnsi"/>
          <w:color w:val="000000"/>
          <w:sz w:val="26"/>
          <w:szCs w:val="26"/>
        </w:rPr>
        <w:t xml:space="preserve"> facts</w:t>
      </w:r>
      <w:r w:rsidR="001B4762">
        <w:rPr>
          <w:rFonts w:eastAsiaTheme="minorHAnsi"/>
          <w:color w:val="000000"/>
          <w:sz w:val="26"/>
          <w:szCs w:val="26"/>
        </w:rPr>
        <w:t xml:space="preserve">: </w:t>
      </w:r>
      <w:r w:rsidR="00285EB4">
        <w:rPr>
          <w:rFonts w:eastAsiaTheme="minorHAnsi"/>
          <w:color w:val="000000"/>
          <w:sz w:val="26"/>
          <w:szCs w:val="26"/>
        </w:rPr>
        <w:t>(1) the date PECO discovered the foreign wiring on the tenant’s account at the Complainant’s rental property; (2</w:t>
      </w:r>
      <w:r>
        <w:rPr>
          <w:rFonts w:eastAsiaTheme="minorHAnsi"/>
          <w:color w:val="000000"/>
          <w:sz w:val="26"/>
          <w:szCs w:val="26"/>
        </w:rPr>
        <w:t>)</w:t>
      </w:r>
      <w:r w:rsidR="001B4762">
        <w:rPr>
          <w:rFonts w:eastAsiaTheme="minorHAnsi"/>
          <w:color w:val="000000"/>
          <w:sz w:val="26"/>
          <w:szCs w:val="26"/>
        </w:rPr>
        <w:t xml:space="preserve"> </w:t>
      </w:r>
      <w:r>
        <w:rPr>
          <w:rFonts w:eastAsiaTheme="minorHAnsi"/>
          <w:color w:val="000000"/>
          <w:sz w:val="26"/>
          <w:szCs w:val="26"/>
        </w:rPr>
        <w:t xml:space="preserve">the date the tenant’s account at the Complainant’s rental property </w:t>
      </w:r>
      <w:r w:rsidR="00285EB4">
        <w:rPr>
          <w:rFonts w:eastAsiaTheme="minorHAnsi"/>
          <w:color w:val="000000"/>
          <w:sz w:val="26"/>
          <w:szCs w:val="26"/>
        </w:rPr>
        <w:t xml:space="preserve">was established </w:t>
      </w:r>
      <w:r>
        <w:rPr>
          <w:rFonts w:eastAsiaTheme="minorHAnsi"/>
          <w:color w:val="000000"/>
          <w:sz w:val="26"/>
          <w:szCs w:val="26"/>
        </w:rPr>
        <w:t>and the date PECO transferred the tenant’s balance to the</w:t>
      </w:r>
      <w:r w:rsidR="00285EB4">
        <w:rPr>
          <w:rFonts w:eastAsiaTheme="minorHAnsi"/>
          <w:color w:val="000000"/>
          <w:sz w:val="26"/>
          <w:szCs w:val="26"/>
        </w:rPr>
        <w:t xml:space="preserve"> Complainant;</w:t>
      </w:r>
      <w:r w:rsidR="00285EB4" w:rsidRPr="00285EB4">
        <w:rPr>
          <w:rFonts w:eastAsiaTheme="minorHAnsi"/>
          <w:color w:val="000000"/>
          <w:sz w:val="26"/>
          <w:szCs w:val="26"/>
        </w:rPr>
        <w:t xml:space="preserve"> </w:t>
      </w:r>
      <w:r w:rsidR="00285EB4">
        <w:rPr>
          <w:rFonts w:eastAsiaTheme="minorHAnsi"/>
          <w:color w:val="000000"/>
          <w:sz w:val="26"/>
          <w:szCs w:val="26"/>
        </w:rPr>
        <w:t>(3)</w:t>
      </w:r>
      <w:r w:rsidR="00AA0978">
        <w:rPr>
          <w:rFonts w:eastAsiaTheme="minorHAnsi"/>
          <w:color w:val="000000"/>
          <w:sz w:val="26"/>
          <w:szCs w:val="26"/>
        </w:rPr>
        <w:t> </w:t>
      </w:r>
      <w:r w:rsidR="00285EB4">
        <w:rPr>
          <w:rFonts w:eastAsiaTheme="minorHAnsi"/>
          <w:color w:val="000000"/>
          <w:sz w:val="26"/>
          <w:szCs w:val="26"/>
        </w:rPr>
        <w:t>the amount transferred</w:t>
      </w:r>
      <w:r w:rsidR="00DE1E42">
        <w:rPr>
          <w:rFonts w:eastAsiaTheme="minorHAnsi"/>
          <w:color w:val="000000"/>
          <w:sz w:val="26"/>
          <w:szCs w:val="26"/>
        </w:rPr>
        <w:t xml:space="preserve"> to the tenant’s account</w:t>
      </w:r>
      <w:r w:rsidR="00285EB4">
        <w:rPr>
          <w:rFonts w:eastAsiaTheme="minorHAnsi"/>
          <w:color w:val="000000"/>
          <w:sz w:val="26"/>
          <w:szCs w:val="26"/>
        </w:rPr>
        <w:t xml:space="preserve"> from the tenant’s prior service address; (4) t</w:t>
      </w:r>
      <w:r w:rsidR="001B4762">
        <w:rPr>
          <w:rFonts w:eastAsiaTheme="minorHAnsi"/>
          <w:color w:val="000000"/>
          <w:sz w:val="26"/>
          <w:szCs w:val="26"/>
        </w:rPr>
        <w:t>he</w:t>
      </w:r>
      <w:r w:rsidR="00640DFE" w:rsidRPr="00D52583">
        <w:rPr>
          <w:rFonts w:eastAsiaTheme="minorHAnsi"/>
          <w:color w:val="000000"/>
          <w:sz w:val="26"/>
          <w:szCs w:val="26"/>
        </w:rPr>
        <w:t xml:space="preserve"> usage and other charges </w:t>
      </w:r>
      <w:r w:rsidR="00640DFE">
        <w:rPr>
          <w:rFonts w:eastAsiaTheme="minorHAnsi"/>
          <w:color w:val="000000"/>
          <w:sz w:val="26"/>
          <w:szCs w:val="26"/>
        </w:rPr>
        <w:t xml:space="preserve">that </w:t>
      </w:r>
      <w:r w:rsidR="00640DFE" w:rsidRPr="00D52583">
        <w:rPr>
          <w:rFonts w:eastAsiaTheme="minorHAnsi"/>
          <w:color w:val="000000"/>
          <w:sz w:val="26"/>
          <w:szCs w:val="26"/>
        </w:rPr>
        <w:t xml:space="preserve">accrued </w:t>
      </w:r>
      <w:r w:rsidR="00640DFE">
        <w:rPr>
          <w:rFonts w:eastAsiaTheme="minorHAnsi"/>
          <w:color w:val="000000"/>
          <w:sz w:val="26"/>
          <w:szCs w:val="26"/>
        </w:rPr>
        <w:t>to the tenant’s account</w:t>
      </w:r>
      <w:r>
        <w:rPr>
          <w:rFonts w:eastAsiaTheme="minorHAnsi"/>
          <w:color w:val="000000"/>
          <w:sz w:val="26"/>
          <w:szCs w:val="26"/>
        </w:rPr>
        <w:t xml:space="preserve"> during the period the tenant resided at the Complainant’s rental property</w:t>
      </w:r>
      <w:r w:rsidRPr="00A679EC">
        <w:rPr>
          <w:rFonts w:eastAsiaTheme="minorHAnsi"/>
          <w:color w:val="000000"/>
          <w:sz w:val="26"/>
          <w:szCs w:val="26"/>
        </w:rPr>
        <w:t xml:space="preserve"> </w:t>
      </w:r>
      <w:r>
        <w:rPr>
          <w:rFonts w:eastAsiaTheme="minorHAnsi"/>
          <w:color w:val="000000"/>
          <w:sz w:val="26"/>
          <w:szCs w:val="26"/>
        </w:rPr>
        <w:t>and the foreign wiring existed</w:t>
      </w:r>
      <w:r w:rsidR="001B4762">
        <w:rPr>
          <w:rFonts w:eastAsiaTheme="minorHAnsi"/>
          <w:color w:val="000000"/>
          <w:sz w:val="26"/>
          <w:szCs w:val="26"/>
        </w:rPr>
        <w:t>; (</w:t>
      </w:r>
      <w:r w:rsidR="00285EB4">
        <w:rPr>
          <w:rFonts w:eastAsiaTheme="minorHAnsi"/>
          <w:color w:val="000000"/>
          <w:sz w:val="26"/>
          <w:szCs w:val="26"/>
        </w:rPr>
        <w:t>5</w:t>
      </w:r>
      <w:r w:rsidR="001B4762">
        <w:rPr>
          <w:rFonts w:eastAsiaTheme="minorHAnsi"/>
          <w:color w:val="000000"/>
          <w:sz w:val="26"/>
          <w:szCs w:val="26"/>
        </w:rPr>
        <w:t>)</w:t>
      </w:r>
      <w:r w:rsidR="00AA0978">
        <w:rPr>
          <w:rFonts w:eastAsiaTheme="minorHAnsi"/>
          <w:color w:val="000000"/>
          <w:sz w:val="26"/>
          <w:szCs w:val="26"/>
        </w:rPr>
        <w:t> </w:t>
      </w:r>
      <w:r w:rsidR="00640DFE">
        <w:rPr>
          <w:rFonts w:eastAsiaTheme="minorHAnsi"/>
          <w:color w:val="000000"/>
          <w:sz w:val="26"/>
          <w:szCs w:val="26"/>
        </w:rPr>
        <w:t>the payments made by the tenant on the account</w:t>
      </w:r>
      <w:r>
        <w:rPr>
          <w:rFonts w:eastAsiaTheme="minorHAnsi"/>
          <w:color w:val="000000"/>
          <w:sz w:val="26"/>
          <w:szCs w:val="26"/>
        </w:rPr>
        <w:t xml:space="preserve"> during the period the tenant resided at the Complainant’s rental property</w:t>
      </w:r>
      <w:r w:rsidRPr="00A679EC">
        <w:rPr>
          <w:rFonts w:eastAsiaTheme="minorHAnsi"/>
          <w:color w:val="000000"/>
          <w:sz w:val="26"/>
          <w:szCs w:val="26"/>
        </w:rPr>
        <w:t xml:space="preserve"> </w:t>
      </w:r>
      <w:r>
        <w:rPr>
          <w:rFonts w:eastAsiaTheme="minorHAnsi"/>
          <w:color w:val="000000"/>
          <w:sz w:val="26"/>
          <w:szCs w:val="26"/>
        </w:rPr>
        <w:t>and the foreign wiring existed</w:t>
      </w:r>
      <w:r w:rsidR="001B4762">
        <w:rPr>
          <w:rFonts w:eastAsiaTheme="minorHAnsi"/>
          <w:color w:val="000000"/>
          <w:sz w:val="26"/>
          <w:szCs w:val="26"/>
        </w:rPr>
        <w:t xml:space="preserve">; </w:t>
      </w:r>
      <w:r w:rsidR="00640DFE">
        <w:rPr>
          <w:rFonts w:eastAsiaTheme="minorHAnsi"/>
          <w:color w:val="000000"/>
          <w:sz w:val="26"/>
          <w:szCs w:val="26"/>
        </w:rPr>
        <w:t>and</w:t>
      </w:r>
      <w:r>
        <w:rPr>
          <w:rFonts w:eastAsiaTheme="minorHAnsi"/>
          <w:color w:val="000000"/>
          <w:sz w:val="26"/>
          <w:szCs w:val="26"/>
        </w:rPr>
        <w:t xml:space="preserve"> (</w:t>
      </w:r>
      <w:r w:rsidR="00285EB4">
        <w:rPr>
          <w:rFonts w:eastAsiaTheme="minorHAnsi"/>
          <w:color w:val="000000"/>
          <w:sz w:val="26"/>
          <w:szCs w:val="26"/>
        </w:rPr>
        <w:t>6</w:t>
      </w:r>
      <w:r w:rsidR="001B4762">
        <w:rPr>
          <w:rFonts w:eastAsiaTheme="minorHAnsi"/>
          <w:color w:val="000000"/>
          <w:sz w:val="26"/>
          <w:szCs w:val="26"/>
        </w:rPr>
        <w:t>) the manner in which</w:t>
      </w:r>
      <w:r w:rsidR="00640DFE">
        <w:rPr>
          <w:rFonts w:eastAsiaTheme="minorHAnsi"/>
          <w:color w:val="000000"/>
          <w:sz w:val="26"/>
          <w:szCs w:val="26"/>
        </w:rPr>
        <w:t xml:space="preserve"> PECO applied such payments</w:t>
      </w:r>
      <w:r w:rsidR="001B4762">
        <w:rPr>
          <w:rFonts w:eastAsiaTheme="minorHAnsi"/>
          <w:color w:val="000000"/>
          <w:sz w:val="26"/>
          <w:szCs w:val="26"/>
        </w:rPr>
        <w:t xml:space="preserve"> to the tenant’s account</w:t>
      </w:r>
      <w:r w:rsidR="00640DFE">
        <w:rPr>
          <w:rFonts w:eastAsiaTheme="minorHAnsi"/>
          <w:color w:val="000000"/>
          <w:sz w:val="26"/>
          <w:szCs w:val="26"/>
        </w:rPr>
        <w:t xml:space="preserve">.  </w:t>
      </w:r>
      <w:r w:rsidR="00676A4B">
        <w:rPr>
          <w:rFonts w:eastAsiaTheme="minorHAnsi"/>
          <w:color w:val="000000"/>
          <w:sz w:val="26"/>
          <w:szCs w:val="26"/>
        </w:rPr>
        <w:t xml:space="preserve"> </w:t>
      </w:r>
      <w:r>
        <w:rPr>
          <w:rFonts w:eastAsiaTheme="minorHAnsi"/>
          <w:color w:val="000000"/>
          <w:sz w:val="26"/>
          <w:szCs w:val="26"/>
        </w:rPr>
        <w:t>At the hearing, PECO presented substantial eviden</w:t>
      </w:r>
      <w:r w:rsidR="00CE4D70">
        <w:rPr>
          <w:rFonts w:eastAsiaTheme="minorHAnsi"/>
          <w:color w:val="000000"/>
          <w:sz w:val="26"/>
          <w:szCs w:val="26"/>
        </w:rPr>
        <w:t>ce to support findings of fact i</w:t>
      </w:r>
      <w:r>
        <w:rPr>
          <w:rFonts w:eastAsiaTheme="minorHAnsi"/>
          <w:color w:val="000000"/>
          <w:sz w:val="26"/>
          <w:szCs w:val="26"/>
        </w:rPr>
        <w:t>n each of the foregoing</w:t>
      </w:r>
      <w:r w:rsidR="00CE4D70">
        <w:rPr>
          <w:rFonts w:eastAsiaTheme="minorHAnsi"/>
          <w:color w:val="000000"/>
          <w:sz w:val="26"/>
          <w:szCs w:val="26"/>
        </w:rPr>
        <w:t xml:space="preserve"> categories</w:t>
      </w:r>
      <w:r>
        <w:rPr>
          <w:rFonts w:eastAsiaTheme="minorHAnsi"/>
          <w:color w:val="000000"/>
          <w:sz w:val="26"/>
          <w:szCs w:val="26"/>
        </w:rPr>
        <w:t>, which we discuss below.</w:t>
      </w:r>
    </w:p>
    <w:p w14:paraId="7E957AAA" w14:textId="77777777" w:rsidR="00040670" w:rsidRDefault="00040670" w:rsidP="00040670">
      <w:pPr>
        <w:widowControl/>
        <w:spacing w:line="360" w:lineRule="auto"/>
        <w:ind w:firstLine="1440"/>
        <w:contextualSpacing/>
        <w:rPr>
          <w:rFonts w:eastAsiaTheme="minorHAnsi"/>
          <w:color w:val="000000"/>
          <w:sz w:val="26"/>
          <w:szCs w:val="26"/>
        </w:rPr>
      </w:pPr>
    </w:p>
    <w:p w14:paraId="478FD626" w14:textId="0449A274" w:rsidR="00A64BA4" w:rsidRDefault="00A64BA4" w:rsidP="00A64BA4">
      <w:pPr>
        <w:widowControl/>
        <w:spacing w:line="360" w:lineRule="auto"/>
        <w:ind w:firstLine="1440"/>
        <w:contextualSpacing/>
        <w:rPr>
          <w:sz w:val="26"/>
          <w:szCs w:val="26"/>
        </w:rPr>
      </w:pPr>
      <w:r>
        <w:rPr>
          <w:sz w:val="26"/>
          <w:szCs w:val="26"/>
        </w:rPr>
        <w:t>The tenant</w:t>
      </w:r>
      <w:r w:rsidR="00DE1E42">
        <w:rPr>
          <w:sz w:val="26"/>
          <w:szCs w:val="26"/>
        </w:rPr>
        <w:t xml:space="preserve">’s account </w:t>
      </w:r>
      <w:r w:rsidR="00280D97">
        <w:rPr>
          <w:sz w:val="26"/>
          <w:szCs w:val="26"/>
        </w:rPr>
        <w:t xml:space="preserve">at the Complainant’s rental property </w:t>
      </w:r>
      <w:r w:rsidR="00DE1E42">
        <w:rPr>
          <w:sz w:val="26"/>
          <w:szCs w:val="26"/>
        </w:rPr>
        <w:t>was established March 11, 2016, and the tenant</w:t>
      </w:r>
      <w:r>
        <w:rPr>
          <w:sz w:val="26"/>
          <w:szCs w:val="26"/>
        </w:rPr>
        <w:t xml:space="preserve"> received electric service </w:t>
      </w:r>
      <w:r w:rsidR="00280D97">
        <w:rPr>
          <w:sz w:val="26"/>
          <w:szCs w:val="26"/>
        </w:rPr>
        <w:t xml:space="preserve">at that address </w:t>
      </w:r>
      <w:r>
        <w:rPr>
          <w:sz w:val="26"/>
          <w:szCs w:val="26"/>
        </w:rPr>
        <w:t xml:space="preserve">from PECO over a ten-month period, </w:t>
      </w:r>
      <w:r w:rsidR="00DE1E42">
        <w:rPr>
          <w:sz w:val="26"/>
          <w:szCs w:val="26"/>
        </w:rPr>
        <w:t>ending</w:t>
      </w:r>
      <w:r>
        <w:rPr>
          <w:sz w:val="26"/>
          <w:szCs w:val="26"/>
        </w:rPr>
        <w:t xml:space="preserve"> January 6, 2017.  FOF No. 11; Tr. at 18; PECO Exh. 1</w:t>
      </w:r>
      <w:r w:rsidR="00311C63">
        <w:rPr>
          <w:sz w:val="26"/>
          <w:szCs w:val="26"/>
        </w:rPr>
        <w:t>.</w:t>
      </w:r>
    </w:p>
    <w:p w14:paraId="74175C86" w14:textId="77777777" w:rsidR="00A64BA4" w:rsidRDefault="00A64BA4" w:rsidP="00C8481A">
      <w:pPr>
        <w:widowControl/>
        <w:spacing w:line="360" w:lineRule="auto"/>
        <w:ind w:firstLine="1440"/>
        <w:contextualSpacing/>
        <w:rPr>
          <w:sz w:val="26"/>
          <w:szCs w:val="26"/>
        </w:rPr>
      </w:pPr>
    </w:p>
    <w:p w14:paraId="3F457006" w14:textId="73427BD4" w:rsidR="00167BEB" w:rsidRDefault="00167BEB" w:rsidP="00C8481A">
      <w:pPr>
        <w:widowControl/>
        <w:spacing w:line="360" w:lineRule="auto"/>
        <w:ind w:firstLine="1440"/>
        <w:contextualSpacing/>
        <w:rPr>
          <w:sz w:val="26"/>
          <w:szCs w:val="26"/>
        </w:rPr>
      </w:pPr>
      <w:r>
        <w:rPr>
          <w:sz w:val="26"/>
          <w:szCs w:val="26"/>
        </w:rPr>
        <w:t xml:space="preserve">On January 4, 2017, </w:t>
      </w:r>
      <w:r w:rsidR="001173A0">
        <w:rPr>
          <w:sz w:val="26"/>
          <w:szCs w:val="26"/>
        </w:rPr>
        <w:t xml:space="preserve">in response to the tenant’s complaint, PECO completed a field investigation and </w:t>
      </w:r>
      <w:r>
        <w:rPr>
          <w:sz w:val="26"/>
          <w:szCs w:val="26"/>
        </w:rPr>
        <w:t xml:space="preserve">found foreign wiring on </w:t>
      </w:r>
      <w:r w:rsidR="00A64BA4">
        <w:rPr>
          <w:sz w:val="26"/>
          <w:szCs w:val="26"/>
        </w:rPr>
        <w:t xml:space="preserve">the </w:t>
      </w:r>
      <w:r>
        <w:rPr>
          <w:sz w:val="26"/>
          <w:szCs w:val="26"/>
        </w:rPr>
        <w:t>tenant’s account.  FOF No</w:t>
      </w:r>
      <w:r w:rsidR="001173A0">
        <w:rPr>
          <w:sz w:val="26"/>
          <w:szCs w:val="26"/>
        </w:rPr>
        <w:t>s</w:t>
      </w:r>
      <w:r>
        <w:rPr>
          <w:sz w:val="26"/>
          <w:szCs w:val="26"/>
        </w:rPr>
        <w:t xml:space="preserve">. </w:t>
      </w:r>
      <w:r w:rsidR="001173A0">
        <w:rPr>
          <w:sz w:val="26"/>
          <w:szCs w:val="26"/>
        </w:rPr>
        <w:t>6</w:t>
      </w:r>
      <w:r w:rsidR="009460FE">
        <w:rPr>
          <w:sz w:val="26"/>
          <w:szCs w:val="26"/>
        </w:rPr>
        <w:t xml:space="preserve">, 9, </w:t>
      </w:r>
      <w:r>
        <w:rPr>
          <w:sz w:val="26"/>
          <w:szCs w:val="26"/>
        </w:rPr>
        <w:t xml:space="preserve">16; Tr. at </w:t>
      </w:r>
      <w:r w:rsidR="001173A0">
        <w:rPr>
          <w:sz w:val="26"/>
          <w:szCs w:val="26"/>
        </w:rPr>
        <w:t>9,</w:t>
      </w:r>
      <w:r w:rsidR="009460FE">
        <w:rPr>
          <w:sz w:val="26"/>
          <w:szCs w:val="26"/>
        </w:rPr>
        <w:t xml:space="preserve"> 16,</w:t>
      </w:r>
      <w:r w:rsidR="001173A0">
        <w:rPr>
          <w:sz w:val="26"/>
          <w:szCs w:val="26"/>
        </w:rPr>
        <w:t xml:space="preserve"> </w:t>
      </w:r>
      <w:r>
        <w:rPr>
          <w:sz w:val="26"/>
          <w:szCs w:val="26"/>
        </w:rPr>
        <w:t xml:space="preserve">20. </w:t>
      </w:r>
      <w:r w:rsidR="001173A0">
        <w:rPr>
          <w:sz w:val="26"/>
          <w:szCs w:val="26"/>
        </w:rPr>
        <w:t xml:space="preserve"> </w:t>
      </w:r>
      <w:r w:rsidR="00DE1E42">
        <w:rPr>
          <w:sz w:val="26"/>
          <w:szCs w:val="26"/>
        </w:rPr>
        <w:t>O</w:t>
      </w:r>
      <w:r>
        <w:rPr>
          <w:sz w:val="26"/>
          <w:szCs w:val="26"/>
        </w:rPr>
        <w:t xml:space="preserve">n January 6, 2017, PECO transferred the </w:t>
      </w:r>
      <w:r w:rsidR="00280D97">
        <w:rPr>
          <w:sz w:val="26"/>
          <w:szCs w:val="26"/>
        </w:rPr>
        <w:t xml:space="preserve">existing </w:t>
      </w:r>
      <w:r>
        <w:rPr>
          <w:sz w:val="26"/>
          <w:szCs w:val="26"/>
        </w:rPr>
        <w:t>balance of $1,893.52</w:t>
      </w:r>
      <w:r w:rsidR="00280D97">
        <w:rPr>
          <w:sz w:val="26"/>
          <w:szCs w:val="26"/>
        </w:rPr>
        <w:t>,</w:t>
      </w:r>
      <w:r>
        <w:rPr>
          <w:sz w:val="26"/>
          <w:szCs w:val="26"/>
        </w:rPr>
        <w:t xml:space="preserve"> </w:t>
      </w:r>
      <w:r w:rsidR="00280D97">
        <w:rPr>
          <w:sz w:val="26"/>
          <w:szCs w:val="26"/>
        </w:rPr>
        <w:t xml:space="preserve">that had accrued over the ten-month period while at the service </w:t>
      </w:r>
      <w:r w:rsidR="00311C63">
        <w:rPr>
          <w:sz w:val="26"/>
          <w:szCs w:val="26"/>
        </w:rPr>
        <w:t>address,</w:t>
      </w:r>
      <w:r w:rsidR="00280D97">
        <w:rPr>
          <w:sz w:val="26"/>
          <w:szCs w:val="26"/>
        </w:rPr>
        <w:t xml:space="preserve"> </w:t>
      </w:r>
      <w:r>
        <w:rPr>
          <w:sz w:val="26"/>
          <w:szCs w:val="26"/>
        </w:rPr>
        <w:t xml:space="preserve">from the tenant’s account to </w:t>
      </w:r>
      <w:r w:rsidR="00A64BA4">
        <w:rPr>
          <w:sz w:val="26"/>
          <w:szCs w:val="26"/>
        </w:rPr>
        <w:t>the Complainant’s</w:t>
      </w:r>
      <w:r w:rsidR="009460FE">
        <w:rPr>
          <w:sz w:val="26"/>
          <w:szCs w:val="26"/>
        </w:rPr>
        <w:t xml:space="preserve"> account.  FOF Nos. </w:t>
      </w:r>
      <w:r>
        <w:rPr>
          <w:sz w:val="26"/>
          <w:szCs w:val="26"/>
        </w:rPr>
        <w:t xml:space="preserve">10, </w:t>
      </w:r>
      <w:r w:rsidR="009460FE">
        <w:rPr>
          <w:sz w:val="26"/>
          <w:szCs w:val="26"/>
        </w:rPr>
        <w:t>17; Tr. at 17, 21-23, 25; PECO Exh. 1; PECO Exh. 2.</w:t>
      </w:r>
    </w:p>
    <w:p w14:paraId="65E76D05" w14:textId="77777777" w:rsidR="00167BEB" w:rsidRDefault="00167BEB" w:rsidP="00C8481A">
      <w:pPr>
        <w:widowControl/>
        <w:spacing w:line="360" w:lineRule="auto"/>
        <w:ind w:firstLine="1440"/>
        <w:contextualSpacing/>
        <w:rPr>
          <w:sz w:val="26"/>
          <w:szCs w:val="26"/>
        </w:rPr>
      </w:pPr>
    </w:p>
    <w:p w14:paraId="7A4E46A8" w14:textId="745421CF" w:rsidR="00AF0A9B" w:rsidRDefault="00167BEB" w:rsidP="00C8481A">
      <w:pPr>
        <w:widowControl/>
        <w:spacing w:line="360" w:lineRule="auto"/>
        <w:ind w:firstLine="1440"/>
        <w:contextualSpacing/>
        <w:rPr>
          <w:sz w:val="26"/>
          <w:szCs w:val="26"/>
        </w:rPr>
      </w:pPr>
      <w:r>
        <w:rPr>
          <w:sz w:val="26"/>
          <w:szCs w:val="26"/>
        </w:rPr>
        <w:t>When the tenant</w:t>
      </w:r>
      <w:r w:rsidR="00A64BA4">
        <w:rPr>
          <w:sz w:val="26"/>
          <w:szCs w:val="26"/>
        </w:rPr>
        <w:t>’s account was</w:t>
      </w:r>
      <w:r>
        <w:rPr>
          <w:sz w:val="26"/>
          <w:szCs w:val="26"/>
        </w:rPr>
        <w:t xml:space="preserve"> established </w:t>
      </w:r>
      <w:r w:rsidR="00A64BA4">
        <w:rPr>
          <w:sz w:val="26"/>
          <w:szCs w:val="26"/>
        </w:rPr>
        <w:t xml:space="preserve">at the rental property </w:t>
      </w:r>
      <w:r>
        <w:rPr>
          <w:sz w:val="26"/>
          <w:szCs w:val="26"/>
        </w:rPr>
        <w:t>in March</w:t>
      </w:r>
      <w:r w:rsidR="00AA0978">
        <w:rPr>
          <w:sz w:val="26"/>
          <w:szCs w:val="26"/>
        </w:rPr>
        <w:t> </w:t>
      </w:r>
      <w:r>
        <w:rPr>
          <w:sz w:val="26"/>
          <w:szCs w:val="26"/>
        </w:rPr>
        <w:t xml:space="preserve">2016, </w:t>
      </w:r>
      <w:r w:rsidR="00AF0A9B">
        <w:rPr>
          <w:sz w:val="26"/>
          <w:szCs w:val="26"/>
        </w:rPr>
        <w:t>PECO transferred the tenant’s</w:t>
      </w:r>
      <w:r w:rsidR="001173A0">
        <w:rPr>
          <w:sz w:val="26"/>
          <w:szCs w:val="26"/>
        </w:rPr>
        <w:t xml:space="preserve"> outstanding</w:t>
      </w:r>
      <w:r w:rsidR="00AF0A9B">
        <w:rPr>
          <w:sz w:val="26"/>
          <w:szCs w:val="26"/>
        </w:rPr>
        <w:t xml:space="preserve"> account</w:t>
      </w:r>
      <w:r w:rsidR="002F0B05">
        <w:rPr>
          <w:sz w:val="26"/>
          <w:szCs w:val="26"/>
        </w:rPr>
        <w:t xml:space="preserve"> balance, in the amount of</w:t>
      </w:r>
      <w:r w:rsidR="00AF0A9B">
        <w:rPr>
          <w:sz w:val="26"/>
          <w:szCs w:val="26"/>
        </w:rPr>
        <w:t xml:space="preserve"> </w:t>
      </w:r>
      <w:r w:rsidR="002F0B05">
        <w:rPr>
          <w:sz w:val="26"/>
          <w:szCs w:val="26"/>
        </w:rPr>
        <w:t xml:space="preserve">$1,602.80, from the tenant’s prior </w:t>
      </w:r>
      <w:r w:rsidR="00AF0A9B">
        <w:rPr>
          <w:sz w:val="26"/>
          <w:szCs w:val="26"/>
        </w:rPr>
        <w:t>service address</w:t>
      </w:r>
      <w:r w:rsidR="00A64BA4">
        <w:rPr>
          <w:sz w:val="26"/>
          <w:szCs w:val="26"/>
        </w:rPr>
        <w:t xml:space="preserve"> in accordance with 52 Pa. Code §</w:t>
      </w:r>
      <w:r w:rsidR="00280D97">
        <w:rPr>
          <w:sz w:val="26"/>
          <w:szCs w:val="26"/>
        </w:rPr>
        <w:t> </w:t>
      </w:r>
      <w:r w:rsidR="00A64BA4">
        <w:rPr>
          <w:sz w:val="26"/>
          <w:szCs w:val="26"/>
        </w:rPr>
        <w:t>56.35</w:t>
      </w:r>
      <w:r w:rsidR="00AF0A9B">
        <w:rPr>
          <w:sz w:val="26"/>
          <w:szCs w:val="26"/>
        </w:rPr>
        <w:t>.  FOF No. 12; Tr. at 18-19, 28-29, 33; PECO Exh. 1.</w:t>
      </w:r>
    </w:p>
    <w:p w14:paraId="27F9A62D" w14:textId="77777777" w:rsidR="00AF0A9B" w:rsidRDefault="00AF0A9B" w:rsidP="00C8481A">
      <w:pPr>
        <w:widowControl/>
        <w:spacing w:line="360" w:lineRule="auto"/>
        <w:ind w:firstLine="1440"/>
        <w:contextualSpacing/>
        <w:rPr>
          <w:sz w:val="26"/>
          <w:szCs w:val="26"/>
        </w:rPr>
      </w:pPr>
    </w:p>
    <w:p w14:paraId="2F68CBAA" w14:textId="130C8923" w:rsidR="00B30303" w:rsidRDefault="002F0B05" w:rsidP="00C8481A">
      <w:pPr>
        <w:widowControl/>
        <w:spacing w:line="360" w:lineRule="auto"/>
        <w:ind w:firstLine="1440"/>
        <w:contextualSpacing/>
        <w:rPr>
          <w:sz w:val="26"/>
          <w:szCs w:val="26"/>
        </w:rPr>
      </w:pPr>
      <w:r>
        <w:rPr>
          <w:sz w:val="26"/>
          <w:szCs w:val="26"/>
        </w:rPr>
        <w:t>As shown in Table 1,</w:t>
      </w:r>
      <w:r w:rsidR="00AF0A9B">
        <w:rPr>
          <w:sz w:val="26"/>
          <w:szCs w:val="26"/>
        </w:rPr>
        <w:t xml:space="preserve"> </w:t>
      </w:r>
      <w:r w:rsidR="00167BEB">
        <w:rPr>
          <w:sz w:val="26"/>
          <w:szCs w:val="26"/>
        </w:rPr>
        <w:t xml:space="preserve">while residing </w:t>
      </w:r>
      <w:r w:rsidR="00AF0A9B">
        <w:rPr>
          <w:sz w:val="26"/>
          <w:szCs w:val="26"/>
        </w:rPr>
        <w:t xml:space="preserve">at the service address </w:t>
      </w:r>
      <w:r w:rsidR="00DE1E42">
        <w:rPr>
          <w:sz w:val="26"/>
          <w:szCs w:val="26"/>
        </w:rPr>
        <w:t>over the ten-month period between</w:t>
      </w:r>
      <w:r w:rsidR="00AF0A9B">
        <w:rPr>
          <w:sz w:val="26"/>
          <w:szCs w:val="26"/>
        </w:rPr>
        <w:t xml:space="preserve"> March 2016 to January 2</w:t>
      </w:r>
      <w:r w:rsidR="00B30303">
        <w:rPr>
          <w:sz w:val="26"/>
          <w:szCs w:val="26"/>
        </w:rPr>
        <w:t xml:space="preserve">017, </w:t>
      </w:r>
      <w:r>
        <w:rPr>
          <w:sz w:val="26"/>
          <w:szCs w:val="26"/>
        </w:rPr>
        <w:t>the tenant made a total of five payments on the account</w:t>
      </w:r>
      <w:r w:rsidR="00AF1289">
        <w:rPr>
          <w:sz w:val="26"/>
          <w:szCs w:val="26"/>
        </w:rPr>
        <w:t xml:space="preserve">, </w:t>
      </w:r>
      <w:r w:rsidR="00B30303">
        <w:rPr>
          <w:sz w:val="26"/>
          <w:szCs w:val="26"/>
        </w:rPr>
        <w:t>totaling $986.69.  FOF Nos. 15, 18; Tr. at 20, 24; PECO Exh.</w:t>
      </w:r>
      <w:r w:rsidR="00AA0978">
        <w:rPr>
          <w:sz w:val="26"/>
          <w:szCs w:val="26"/>
        </w:rPr>
        <w:t> </w:t>
      </w:r>
      <w:r w:rsidR="00B30303">
        <w:rPr>
          <w:sz w:val="26"/>
          <w:szCs w:val="26"/>
        </w:rPr>
        <w:t>1.</w:t>
      </w:r>
    </w:p>
    <w:p w14:paraId="31944B45" w14:textId="77777777" w:rsidR="00B30303" w:rsidRDefault="00B30303" w:rsidP="00311C63">
      <w:pPr>
        <w:keepNext/>
        <w:keepLines/>
        <w:widowControl/>
        <w:spacing w:line="360" w:lineRule="auto"/>
        <w:contextualSpacing/>
        <w:jc w:val="center"/>
        <w:rPr>
          <w:sz w:val="26"/>
          <w:szCs w:val="26"/>
        </w:rPr>
      </w:pPr>
      <w:r>
        <w:rPr>
          <w:sz w:val="26"/>
          <w:szCs w:val="26"/>
        </w:rPr>
        <w:t>Table 1</w:t>
      </w:r>
    </w:p>
    <w:tbl>
      <w:tblPr>
        <w:tblW w:w="6295" w:type="dxa"/>
        <w:jc w:val="center"/>
        <w:tblCellMar>
          <w:top w:w="15" w:type="dxa"/>
          <w:bottom w:w="15" w:type="dxa"/>
        </w:tblCellMar>
        <w:tblLook w:val="04A0" w:firstRow="1" w:lastRow="0" w:firstColumn="1" w:lastColumn="0" w:noHBand="0" w:noVBand="1"/>
      </w:tblPr>
      <w:tblGrid>
        <w:gridCol w:w="1340"/>
        <w:gridCol w:w="2885"/>
        <w:gridCol w:w="2070"/>
      </w:tblGrid>
      <w:tr w:rsidR="00B30303" w:rsidRPr="00B30303" w14:paraId="3D2BBB43" w14:textId="77777777" w:rsidTr="001938F5">
        <w:trPr>
          <w:trHeight w:val="900"/>
          <w:jc w:val="center"/>
        </w:trPr>
        <w:tc>
          <w:tcPr>
            <w:tcW w:w="6295" w:type="dxa"/>
            <w:gridSpan w:val="3"/>
            <w:tcBorders>
              <w:top w:val="single" w:sz="4" w:space="0" w:color="auto"/>
              <w:left w:val="single" w:sz="4" w:space="0" w:color="auto"/>
              <w:bottom w:val="single" w:sz="4" w:space="0" w:color="auto"/>
              <w:right w:val="single" w:sz="4" w:space="0" w:color="auto"/>
            </w:tcBorders>
            <w:vAlign w:val="bottom"/>
            <w:hideMark/>
          </w:tcPr>
          <w:p w14:paraId="211852C3" w14:textId="77777777" w:rsidR="00B30303" w:rsidRPr="00B30303" w:rsidRDefault="00B30303" w:rsidP="00311C63">
            <w:pPr>
              <w:keepNext/>
              <w:keepLines/>
              <w:widowControl/>
              <w:jc w:val="center"/>
              <w:rPr>
                <w:color w:val="000000"/>
                <w:sz w:val="26"/>
                <w:szCs w:val="26"/>
              </w:rPr>
            </w:pPr>
            <w:r>
              <w:rPr>
                <w:color w:val="000000"/>
                <w:sz w:val="26"/>
                <w:szCs w:val="26"/>
              </w:rPr>
              <w:t xml:space="preserve">Tenant </w:t>
            </w:r>
            <w:r w:rsidR="00A64BA4">
              <w:rPr>
                <w:color w:val="000000"/>
                <w:sz w:val="26"/>
                <w:szCs w:val="26"/>
              </w:rPr>
              <w:t xml:space="preserve">Payments Made </w:t>
            </w:r>
            <w:r w:rsidR="00A64BA4">
              <w:rPr>
                <w:rFonts w:eastAsiaTheme="minorHAnsi"/>
                <w:color w:val="000000"/>
                <w:sz w:val="26"/>
                <w:szCs w:val="26"/>
              </w:rPr>
              <w:t>During the Period the Tenant Resided at the Complainant’s Rental Property</w:t>
            </w:r>
            <w:r w:rsidR="00A64BA4" w:rsidRPr="00A679EC">
              <w:rPr>
                <w:rFonts w:eastAsiaTheme="minorHAnsi"/>
                <w:color w:val="000000"/>
                <w:sz w:val="26"/>
                <w:szCs w:val="26"/>
              </w:rPr>
              <w:t xml:space="preserve"> </w:t>
            </w:r>
            <w:r w:rsidR="00A64BA4">
              <w:rPr>
                <w:rFonts w:eastAsiaTheme="minorHAnsi"/>
                <w:color w:val="000000"/>
                <w:sz w:val="26"/>
                <w:szCs w:val="26"/>
              </w:rPr>
              <w:t>and the Foreign Wiring Existed on Tenant’s Account</w:t>
            </w:r>
          </w:p>
        </w:tc>
      </w:tr>
      <w:tr w:rsidR="00B30303" w:rsidRPr="00B30303" w14:paraId="6776442E" w14:textId="77777777" w:rsidTr="001938F5">
        <w:trPr>
          <w:trHeight w:val="660"/>
          <w:jc w:val="center"/>
        </w:trPr>
        <w:tc>
          <w:tcPr>
            <w:tcW w:w="1340" w:type="dxa"/>
            <w:tcBorders>
              <w:top w:val="nil"/>
              <w:left w:val="single" w:sz="4" w:space="0" w:color="auto"/>
              <w:bottom w:val="single" w:sz="4" w:space="0" w:color="auto"/>
              <w:right w:val="single" w:sz="4" w:space="0" w:color="auto"/>
            </w:tcBorders>
            <w:vAlign w:val="bottom"/>
            <w:hideMark/>
          </w:tcPr>
          <w:p w14:paraId="51BBCA90" w14:textId="77777777" w:rsidR="00B30303" w:rsidRPr="00B30303" w:rsidRDefault="00B30303" w:rsidP="00A64BA4">
            <w:pPr>
              <w:keepNext/>
              <w:widowControl/>
              <w:rPr>
                <w:color w:val="000000"/>
                <w:sz w:val="26"/>
                <w:szCs w:val="26"/>
              </w:rPr>
            </w:pPr>
            <w:r w:rsidRPr="00B30303">
              <w:rPr>
                <w:color w:val="000000"/>
                <w:sz w:val="26"/>
                <w:szCs w:val="26"/>
              </w:rPr>
              <w:t>Amount</w:t>
            </w:r>
          </w:p>
        </w:tc>
        <w:tc>
          <w:tcPr>
            <w:tcW w:w="2885" w:type="dxa"/>
            <w:tcBorders>
              <w:top w:val="nil"/>
              <w:left w:val="single" w:sz="4" w:space="0" w:color="auto"/>
              <w:bottom w:val="single" w:sz="4" w:space="0" w:color="auto"/>
              <w:right w:val="single" w:sz="4" w:space="0" w:color="auto"/>
            </w:tcBorders>
            <w:vAlign w:val="bottom"/>
            <w:hideMark/>
          </w:tcPr>
          <w:p w14:paraId="2C56CC42" w14:textId="77777777" w:rsidR="00B30303" w:rsidRPr="00B30303" w:rsidRDefault="00B30303" w:rsidP="00A64BA4">
            <w:pPr>
              <w:keepNext/>
              <w:widowControl/>
              <w:rPr>
                <w:color w:val="000000"/>
                <w:sz w:val="26"/>
                <w:szCs w:val="26"/>
              </w:rPr>
            </w:pPr>
            <w:r w:rsidRPr="00B30303">
              <w:rPr>
                <w:color w:val="000000"/>
                <w:sz w:val="26"/>
                <w:szCs w:val="26"/>
              </w:rPr>
              <w:t>Date</w:t>
            </w:r>
          </w:p>
        </w:tc>
        <w:tc>
          <w:tcPr>
            <w:tcW w:w="2070" w:type="dxa"/>
            <w:tcBorders>
              <w:top w:val="nil"/>
              <w:left w:val="single" w:sz="4" w:space="0" w:color="auto"/>
              <w:bottom w:val="single" w:sz="4" w:space="0" w:color="auto"/>
              <w:right w:val="single" w:sz="4" w:space="0" w:color="auto"/>
            </w:tcBorders>
            <w:noWrap/>
            <w:vAlign w:val="bottom"/>
            <w:hideMark/>
          </w:tcPr>
          <w:p w14:paraId="18E6C091" w14:textId="77777777" w:rsidR="00B30303" w:rsidRPr="00B30303" w:rsidRDefault="00B30303" w:rsidP="00A64BA4">
            <w:pPr>
              <w:keepNext/>
              <w:widowControl/>
              <w:rPr>
                <w:color w:val="000000"/>
                <w:sz w:val="26"/>
                <w:szCs w:val="26"/>
              </w:rPr>
            </w:pPr>
            <w:r w:rsidRPr="00B30303">
              <w:rPr>
                <w:color w:val="000000"/>
                <w:sz w:val="26"/>
                <w:szCs w:val="26"/>
              </w:rPr>
              <w:t>Type</w:t>
            </w:r>
          </w:p>
        </w:tc>
      </w:tr>
      <w:tr w:rsidR="00B30303" w:rsidRPr="00B30303" w14:paraId="41790406" w14:textId="77777777" w:rsidTr="001938F5">
        <w:trPr>
          <w:trHeight w:val="660"/>
          <w:jc w:val="center"/>
        </w:trPr>
        <w:tc>
          <w:tcPr>
            <w:tcW w:w="1340" w:type="dxa"/>
            <w:tcBorders>
              <w:top w:val="single" w:sz="4" w:space="0" w:color="auto"/>
              <w:left w:val="single" w:sz="4" w:space="0" w:color="auto"/>
              <w:bottom w:val="single" w:sz="4" w:space="0" w:color="auto"/>
              <w:right w:val="single" w:sz="4" w:space="0" w:color="auto"/>
            </w:tcBorders>
            <w:noWrap/>
            <w:vAlign w:val="bottom"/>
            <w:hideMark/>
          </w:tcPr>
          <w:p w14:paraId="3F2279D2" w14:textId="77777777" w:rsidR="00B30303" w:rsidRPr="00B30303" w:rsidRDefault="00B30303" w:rsidP="00A64BA4">
            <w:pPr>
              <w:keepNext/>
              <w:widowControl/>
              <w:jc w:val="right"/>
              <w:rPr>
                <w:color w:val="000000"/>
                <w:sz w:val="26"/>
                <w:szCs w:val="26"/>
              </w:rPr>
            </w:pPr>
            <w:r w:rsidRPr="00B30303">
              <w:rPr>
                <w:color w:val="000000"/>
                <w:sz w:val="26"/>
                <w:szCs w:val="26"/>
              </w:rPr>
              <w:t>$6.00</w:t>
            </w:r>
          </w:p>
        </w:tc>
        <w:tc>
          <w:tcPr>
            <w:tcW w:w="2885" w:type="dxa"/>
            <w:tcBorders>
              <w:top w:val="single" w:sz="4" w:space="0" w:color="auto"/>
              <w:left w:val="single" w:sz="4" w:space="0" w:color="auto"/>
              <w:bottom w:val="single" w:sz="4" w:space="0" w:color="auto"/>
              <w:right w:val="single" w:sz="4" w:space="0" w:color="auto"/>
            </w:tcBorders>
            <w:noWrap/>
            <w:vAlign w:val="bottom"/>
            <w:hideMark/>
          </w:tcPr>
          <w:p w14:paraId="28A8305A" w14:textId="77777777" w:rsidR="00B30303" w:rsidRPr="00B30303" w:rsidRDefault="00B30303" w:rsidP="00A64BA4">
            <w:pPr>
              <w:keepNext/>
              <w:widowControl/>
              <w:rPr>
                <w:color w:val="000000"/>
                <w:sz w:val="26"/>
                <w:szCs w:val="26"/>
              </w:rPr>
            </w:pPr>
            <w:r w:rsidRPr="00B30303">
              <w:rPr>
                <w:color w:val="000000"/>
                <w:sz w:val="26"/>
                <w:szCs w:val="26"/>
              </w:rPr>
              <w:t>Payment 5/3/16</w:t>
            </w:r>
          </w:p>
        </w:tc>
        <w:tc>
          <w:tcPr>
            <w:tcW w:w="2070" w:type="dxa"/>
            <w:tcBorders>
              <w:top w:val="single" w:sz="4" w:space="0" w:color="auto"/>
              <w:left w:val="single" w:sz="4" w:space="0" w:color="auto"/>
              <w:bottom w:val="single" w:sz="4" w:space="0" w:color="auto"/>
              <w:right w:val="single" w:sz="4" w:space="0" w:color="auto"/>
            </w:tcBorders>
            <w:noWrap/>
            <w:vAlign w:val="bottom"/>
            <w:hideMark/>
          </w:tcPr>
          <w:p w14:paraId="5753B5F9" w14:textId="77777777" w:rsidR="00B30303" w:rsidRPr="00B30303" w:rsidRDefault="00B30303" w:rsidP="00A64BA4">
            <w:pPr>
              <w:keepNext/>
              <w:widowControl/>
              <w:rPr>
                <w:color w:val="000000"/>
                <w:sz w:val="26"/>
                <w:szCs w:val="26"/>
              </w:rPr>
            </w:pPr>
            <w:r w:rsidRPr="00B30303">
              <w:rPr>
                <w:color w:val="000000"/>
                <w:sz w:val="26"/>
                <w:szCs w:val="26"/>
              </w:rPr>
              <w:t>Partial payment</w:t>
            </w:r>
          </w:p>
        </w:tc>
      </w:tr>
      <w:tr w:rsidR="00B30303" w:rsidRPr="00B30303" w14:paraId="758D9B83" w14:textId="77777777" w:rsidTr="001938F5">
        <w:trPr>
          <w:trHeight w:val="330"/>
          <w:jc w:val="center"/>
        </w:trPr>
        <w:tc>
          <w:tcPr>
            <w:tcW w:w="1340" w:type="dxa"/>
            <w:tcBorders>
              <w:top w:val="single" w:sz="4" w:space="0" w:color="auto"/>
              <w:left w:val="single" w:sz="4" w:space="0" w:color="auto"/>
              <w:bottom w:val="single" w:sz="4" w:space="0" w:color="auto"/>
              <w:right w:val="single" w:sz="4" w:space="0" w:color="auto"/>
            </w:tcBorders>
            <w:noWrap/>
            <w:vAlign w:val="bottom"/>
            <w:hideMark/>
          </w:tcPr>
          <w:p w14:paraId="5A9C299A" w14:textId="77777777" w:rsidR="00B30303" w:rsidRPr="00B30303" w:rsidRDefault="00B30303" w:rsidP="00A64BA4">
            <w:pPr>
              <w:keepNext/>
              <w:widowControl/>
              <w:jc w:val="right"/>
              <w:rPr>
                <w:color w:val="000000"/>
                <w:sz w:val="26"/>
                <w:szCs w:val="26"/>
              </w:rPr>
            </w:pPr>
            <w:r w:rsidRPr="00B30303">
              <w:rPr>
                <w:color w:val="000000"/>
                <w:sz w:val="26"/>
                <w:szCs w:val="26"/>
              </w:rPr>
              <w:t>$175.00</w:t>
            </w:r>
          </w:p>
        </w:tc>
        <w:tc>
          <w:tcPr>
            <w:tcW w:w="2885" w:type="dxa"/>
            <w:tcBorders>
              <w:top w:val="single" w:sz="4" w:space="0" w:color="auto"/>
              <w:left w:val="single" w:sz="4" w:space="0" w:color="auto"/>
              <w:bottom w:val="single" w:sz="4" w:space="0" w:color="auto"/>
              <w:right w:val="single" w:sz="4" w:space="0" w:color="auto"/>
            </w:tcBorders>
            <w:noWrap/>
            <w:vAlign w:val="bottom"/>
            <w:hideMark/>
          </w:tcPr>
          <w:p w14:paraId="33F4E777" w14:textId="77777777" w:rsidR="00B30303" w:rsidRPr="00B30303" w:rsidRDefault="00B30303" w:rsidP="00A64BA4">
            <w:pPr>
              <w:keepNext/>
              <w:widowControl/>
              <w:rPr>
                <w:color w:val="000000"/>
                <w:sz w:val="26"/>
                <w:szCs w:val="26"/>
              </w:rPr>
            </w:pPr>
            <w:r w:rsidRPr="00B30303">
              <w:rPr>
                <w:color w:val="000000"/>
                <w:sz w:val="26"/>
                <w:szCs w:val="26"/>
              </w:rPr>
              <w:t>Payment 5/11/16</w:t>
            </w:r>
          </w:p>
        </w:tc>
        <w:tc>
          <w:tcPr>
            <w:tcW w:w="2070" w:type="dxa"/>
            <w:tcBorders>
              <w:top w:val="single" w:sz="4" w:space="0" w:color="auto"/>
              <w:left w:val="single" w:sz="4" w:space="0" w:color="auto"/>
              <w:bottom w:val="single" w:sz="4" w:space="0" w:color="auto"/>
              <w:right w:val="single" w:sz="4" w:space="0" w:color="auto"/>
            </w:tcBorders>
            <w:noWrap/>
            <w:vAlign w:val="bottom"/>
            <w:hideMark/>
          </w:tcPr>
          <w:p w14:paraId="556096FF" w14:textId="77777777" w:rsidR="00B30303" w:rsidRPr="00B30303" w:rsidRDefault="00B30303" w:rsidP="00A64BA4">
            <w:pPr>
              <w:keepNext/>
              <w:widowControl/>
              <w:rPr>
                <w:color w:val="000000"/>
                <w:sz w:val="26"/>
                <w:szCs w:val="26"/>
              </w:rPr>
            </w:pPr>
            <w:r w:rsidRPr="00B30303">
              <w:rPr>
                <w:color w:val="000000"/>
                <w:sz w:val="26"/>
                <w:szCs w:val="26"/>
              </w:rPr>
              <w:t>Partial payment</w:t>
            </w:r>
          </w:p>
        </w:tc>
      </w:tr>
      <w:tr w:rsidR="00B30303" w:rsidRPr="00B30303" w14:paraId="0ACB1882" w14:textId="77777777" w:rsidTr="001938F5">
        <w:trPr>
          <w:trHeight w:val="330"/>
          <w:jc w:val="center"/>
        </w:trPr>
        <w:tc>
          <w:tcPr>
            <w:tcW w:w="1340" w:type="dxa"/>
            <w:tcBorders>
              <w:top w:val="single" w:sz="4" w:space="0" w:color="auto"/>
              <w:left w:val="single" w:sz="4" w:space="0" w:color="auto"/>
              <w:bottom w:val="single" w:sz="4" w:space="0" w:color="auto"/>
              <w:right w:val="single" w:sz="4" w:space="0" w:color="auto"/>
            </w:tcBorders>
            <w:noWrap/>
            <w:vAlign w:val="bottom"/>
            <w:hideMark/>
          </w:tcPr>
          <w:p w14:paraId="5493D97D" w14:textId="77777777" w:rsidR="00B30303" w:rsidRPr="00B30303" w:rsidRDefault="00B30303" w:rsidP="00A64BA4">
            <w:pPr>
              <w:keepNext/>
              <w:widowControl/>
              <w:jc w:val="right"/>
              <w:rPr>
                <w:color w:val="000000"/>
                <w:sz w:val="26"/>
                <w:szCs w:val="26"/>
              </w:rPr>
            </w:pPr>
            <w:r w:rsidRPr="00B30303">
              <w:rPr>
                <w:color w:val="000000"/>
                <w:sz w:val="26"/>
                <w:szCs w:val="26"/>
              </w:rPr>
              <w:t>$137.00</w:t>
            </w:r>
          </w:p>
        </w:tc>
        <w:tc>
          <w:tcPr>
            <w:tcW w:w="2885" w:type="dxa"/>
            <w:tcBorders>
              <w:top w:val="single" w:sz="4" w:space="0" w:color="auto"/>
              <w:left w:val="single" w:sz="4" w:space="0" w:color="auto"/>
              <w:bottom w:val="single" w:sz="4" w:space="0" w:color="auto"/>
              <w:right w:val="single" w:sz="4" w:space="0" w:color="auto"/>
            </w:tcBorders>
            <w:noWrap/>
            <w:vAlign w:val="bottom"/>
            <w:hideMark/>
          </w:tcPr>
          <w:p w14:paraId="470B75A3" w14:textId="77777777" w:rsidR="00B30303" w:rsidRPr="00B30303" w:rsidRDefault="00B30303" w:rsidP="00A64BA4">
            <w:pPr>
              <w:keepNext/>
              <w:widowControl/>
              <w:rPr>
                <w:color w:val="000000"/>
                <w:sz w:val="26"/>
                <w:szCs w:val="26"/>
              </w:rPr>
            </w:pPr>
            <w:r w:rsidRPr="00B30303">
              <w:rPr>
                <w:color w:val="000000"/>
                <w:sz w:val="26"/>
                <w:szCs w:val="26"/>
              </w:rPr>
              <w:t>Payment 6/1/16</w:t>
            </w:r>
          </w:p>
        </w:tc>
        <w:tc>
          <w:tcPr>
            <w:tcW w:w="2070" w:type="dxa"/>
            <w:tcBorders>
              <w:top w:val="single" w:sz="4" w:space="0" w:color="auto"/>
              <w:left w:val="single" w:sz="4" w:space="0" w:color="auto"/>
              <w:bottom w:val="single" w:sz="4" w:space="0" w:color="auto"/>
              <w:right w:val="single" w:sz="4" w:space="0" w:color="auto"/>
            </w:tcBorders>
            <w:noWrap/>
            <w:vAlign w:val="bottom"/>
            <w:hideMark/>
          </w:tcPr>
          <w:p w14:paraId="1DACD744" w14:textId="77777777" w:rsidR="00B30303" w:rsidRPr="00B30303" w:rsidRDefault="00B30303" w:rsidP="00A64BA4">
            <w:pPr>
              <w:keepNext/>
              <w:widowControl/>
              <w:rPr>
                <w:color w:val="000000"/>
                <w:sz w:val="26"/>
                <w:szCs w:val="26"/>
              </w:rPr>
            </w:pPr>
            <w:r w:rsidRPr="00B30303">
              <w:rPr>
                <w:color w:val="000000"/>
                <w:sz w:val="26"/>
                <w:szCs w:val="26"/>
              </w:rPr>
              <w:t>Partial payment</w:t>
            </w:r>
          </w:p>
        </w:tc>
      </w:tr>
      <w:tr w:rsidR="00B30303" w:rsidRPr="00B30303" w14:paraId="29D67FFA" w14:textId="77777777" w:rsidTr="001938F5">
        <w:trPr>
          <w:trHeight w:val="660"/>
          <w:jc w:val="center"/>
        </w:trPr>
        <w:tc>
          <w:tcPr>
            <w:tcW w:w="1340" w:type="dxa"/>
            <w:tcBorders>
              <w:top w:val="single" w:sz="4" w:space="0" w:color="auto"/>
              <w:left w:val="single" w:sz="4" w:space="0" w:color="auto"/>
              <w:bottom w:val="single" w:sz="4" w:space="0" w:color="auto"/>
              <w:right w:val="single" w:sz="4" w:space="0" w:color="auto"/>
            </w:tcBorders>
            <w:noWrap/>
            <w:vAlign w:val="bottom"/>
            <w:hideMark/>
          </w:tcPr>
          <w:p w14:paraId="2C77EDAC" w14:textId="77777777" w:rsidR="00B30303" w:rsidRPr="00B30303" w:rsidRDefault="00B30303" w:rsidP="00A64BA4">
            <w:pPr>
              <w:keepNext/>
              <w:widowControl/>
              <w:jc w:val="right"/>
              <w:rPr>
                <w:color w:val="000000"/>
                <w:sz w:val="26"/>
                <w:szCs w:val="26"/>
              </w:rPr>
            </w:pPr>
            <w:r w:rsidRPr="00B30303">
              <w:rPr>
                <w:color w:val="000000"/>
                <w:sz w:val="26"/>
                <w:szCs w:val="26"/>
              </w:rPr>
              <w:t>$200.00</w:t>
            </w:r>
          </w:p>
        </w:tc>
        <w:tc>
          <w:tcPr>
            <w:tcW w:w="2885" w:type="dxa"/>
            <w:tcBorders>
              <w:top w:val="single" w:sz="4" w:space="0" w:color="auto"/>
              <w:left w:val="single" w:sz="4" w:space="0" w:color="auto"/>
              <w:bottom w:val="single" w:sz="4" w:space="0" w:color="auto"/>
              <w:right w:val="single" w:sz="4" w:space="0" w:color="auto"/>
            </w:tcBorders>
            <w:noWrap/>
            <w:vAlign w:val="bottom"/>
            <w:hideMark/>
          </w:tcPr>
          <w:p w14:paraId="0FE5AD0A" w14:textId="77777777" w:rsidR="00B30303" w:rsidRPr="00B30303" w:rsidRDefault="00B30303" w:rsidP="00A64BA4">
            <w:pPr>
              <w:keepNext/>
              <w:widowControl/>
              <w:rPr>
                <w:color w:val="000000"/>
                <w:sz w:val="26"/>
                <w:szCs w:val="26"/>
              </w:rPr>
            </w:pPr>
            <w:r w:rsidRPr="00B30303">
              <w:rPr>
                <w:color w:val="000000"/>
                <w:sz w:val="26"/>
                <w:szCs w:val="26"/>
              </w:rPr>
              <w:t>Payment 7/22/16</w:t>
            </w:r>
          </w:p>
        </w:tc>
        <w:tc>
          <w:tcPr>
            <w:tcW w:w="2070" w:type="dxa"/>
            <w:tcBorders>
              <w:top w:val="single" w:sz="4" w:space="0" w:color="auto"/>
              <w:left w:val="single" w:sz="4" w:space="0" w:color="auto"/>
              <w:bottom w:val="single" w:sz="4" w:space="0" w:color="auto"/>
              <w:right w:val="single" w:sz="4" w:space="0" w:color="auto"/>
            </w:tcBorders>
            <w:noWrap/>
            <w:vAlign w:val="bottom"/>
            <w:hideMark/>
          </w:tcPr>
          <w:p w14:paraId="792C0C08" w14:textId="77777777" w:rsidR="00B30303" w:rsidRPr="00B30303" w:rsidRDefault="00B30303" w:rsidP="00A64BA4">
            <w:pPr>
              <w:keepNext/>
              <w:widowControl/>
              <w:rPr>
                <w:color w:val="000000"/>
                <w:sz w:val="26"/>
                <w:szCs w:val="26"/>
              </w:rPr>
            </w:pPr>
            <w:r w:rsidRPr="00B30303">
              <w:rPr>
                <w:color w:val="000000"/>
                <w:sz w:val="26"/>
                <w:szCs w:val="26"/>
              </w:rPr>
              <w:t>Partial payment</w:t>
            </w:r>
          </w:p>
        </w:tc>
      </w:tr>
      <w:tr w:rsidR="00B30303" w:rsidRPr="00B30303" w14:paraId="75F5C838" w14:textId="77777777" w:rsidTr="001938F5">
        <w:trPr>
          <w:trHeight w:val="330"/>
          <w:jc w:val="center"/>
        </w:trPr>
        <w:tc>
          <w:tcPr>
            <w:tcW w:w="1340" w:type="dxa"/>
            <w:tcBorders>
              <w:top w:val="single" w:sz="4" w:space="0" w:color="auto"/>
              <w:left w:val="single" w:sz="4" w:space="0" w:color="auto"/>
              <w:bottom w:val="single" w:sz="4" w:space="0" w:color="auto"/>
              <w:right w:val="single" w:sz="4" w:space="0" w:color="auto"/>
            </w:tcBorders>
            <w:noWrap/>
            <w:vAlign w:val="bottom"/>
            <w:hideMark/>
          </w:tcPr>
          <w:p w14:paraId="24F8510B" w14:textId="77777777" w:rsidR="00B30303" w:rsidRPr="00B30303" w:rsidRDefault="00B30303" w:rsidP="00A64BA4">
            <w:pPr>
              <w:keepNext/>
              <w:widowControl/>
              <w:jc w:val="right"/>
              <w:rPr>
                <w:color w:val="000000"/>
                <w:sz w:val="26"/>
                <w:szCs w:val="26"/>
              </w:rPr>
            </w:pPr>
            <w:r w:rsidRPr="00B30303">
              <w:rPr>
                <w:color w:val="000000"/>
                <w:sz w:val="26"/>
                <w:szCs w:val="26"/>
              </w:rPr>
              <w:t>$339.81</w:t>
            </w:r>
          </w:p>
        </w:tc>
        <w:tc>
          <w:tcPr>
            <w:tcW w:w="2885" w:type="dxa"/>
            <w:tcBorders>
              <w:top w:val="single" w:sz="4" w:space="0" w:color="auto"/>
              <w:left w:val="single" w:sz="4" w:space="0" w:color="auto"/>
              <w:bottom w:val="single" w:sz="4" w:space="0" w:color="auto"/>
              <w:right w:val="single" w:sz="4" w:space="0" w:color="auto"/>
            </w:tcBorders>
            <w:noWrap/>
            <w:vAlign w:val="bottom"/>
            <w:hideMark/>
          </w:tcPr>
          <w:p w14:paraId="6549E7D0" w14:textId="77777777" w:rsidR="00B30303" w:rsidRPr="00B30303" w:rsidRDefault="00B30303" w:rsidP="00A64BA4">
            <w:pPr>
              <w:keepNext/>
              <w:widowControl/>
              <w:rPr>
                <w:color w:val="000000"/>
                <w:sz w:val="26"/>
                <w:szCs w:val="26"/>
              </w:rPr>
            </w:pPr>
            <w:r w:rsidRPr="00B30303">
              <w:rPr>
                <w:color w:val="000000"/>
                <w:sz w:val="26"/>
                <w:szCs w:val="26"/>
              </w:rPr>
              <w:t>Payment 9/14/16</w:t>
            </w:r>
          </w:p>
        </w:tc>
        <w:tc>
          <w:tcPr>
            <w:tcW w:w="2070" w:type="dxa"/>
            <w:tcBorders>
              <w:top w:val="single" w:sz="4" w:space="0" w:color="auto"/>
              <w:left w:val="single" w:sz="4" w:space="0" w:color="auto"/>
              <w:bottom w:val="single" w:sz="4" w:space="0" w:color="auto"/>
              <w:right w:val="single" w:sz="4" w:space="0" w:color="auto"/>
            </w:tcBorders>
            <w:noWrap/>
            <w:vAlign w:val="bottom"/>
            <w:hideMark/>
          </w:tcPr>
          <w:p w14:paraId="5F4F0814" w14:textId="77777777" w:rsidR="00B30303" w:rsidRPr="00B30303" w:rsidRDefault="00B30303" w:rsidP="00A64BA4">
            <w:pPr>
              <w:keepNext/>
              <w:widowControl/>
              <w:rPr>
                <w:color w:val="000000"/>
                <w:sz w:val="26"/>
                <w:szCs w:val="26"/>
              </w:rPr>
            </w:pPr>
            <w:r w:rsidRPr="00B30303">
              <w:rPr>
                <w:color w:val="000000"/>
                <w:sz w:val="26"/>
                <w:szCs w:val="26"/>
              </w:rPr>
              <w:t>Partial payment</w:t>
            </w:r>
          </w:p>
        </w:tc>
      </w:tr>
      <w:tr w:rsidR="00B30303" w:rsidRPr="00B30303" w14:paraId="6B82088E" w14:textId="77777777" w:rsidTr="001938F5">
        <w:trPr>
          <w:trHeight w:val="330"/>
          <w:jc w:val="center"/>
        </w:trPr>
        <w:tc>
          <w:tcPr>
            <w:tcW w:w="1340" w:type="dxa"/>
            <w:tcBorders>
              <w:top w:val="single" w:sz="4" w:space="0" w:color="auto"/>
              <w:left w:val="single" w:sz="4" w:space="0" w:color="auto"/>
              <w:bottom w:val="single" w:sz="4" w:space="0" w:color="auto"/>
              <w:right w:val="single" w:sz="4" w:space="0" w:color="auto"/>
            </w:tcBorders>
            <w:noWrap/>
            <w:vAlign w:val="bottom"/>
            <w:hideMark/>
          </w:tcPr>
          <w:p w14:paraId="710F0E31" w14:textId="77777777" w:rsidR="00B30303" w:rsidRPr="00B30303" w:rsidRDefault="00B30303" w:rsidP="00A64BA4">
            <w:pPr>
              <w:keepNext/>
              <w:widowControl/>
              <w:jc w:val="right"/>
              <w:rPr>
                <w:color w:val="000000"/>
                <w:sz w:val="26"/>
                <w:szCs w:val="26"/>
                <w:u w:val="single"/>
              </w:rPr>
            </w:pPr>
            <w:r w:rsidRPr="00B30303">
              <w:rPr>
                <w:color w:val="000000"/>
                <w:sz w:val="26"/>
                <w:szCs w:val="26"/>
                <w:u w:val="single"/>
              </w:rPr>
              <w:t>$128.88</w:t>
            </w:r>
          </w:p>
        </w:tc>
        <w:tc>
          <w:tcPr>
            <w:tcW w:w="2885" w:type="dxa"/>
            <w:tcBorders>
              <w:top w:val="single" w:sz="4" w:space="0" w:color="auto"/>
              <w:left w:val="single" w:sz="4" w:space="0" w:color="auto"/>
              <w:bottom w:val="single" w:sz="4" w:space="0" w:color="auto"/>
              <w:right w:val="single" w:sz="4" w:space="0" w:color="auto"/>
            </w:tcBorders>
            <w:noWrap/>
            <w:vAlign w:val="bottom"/>
            <w:hideMark/>
          </w:tcPr>
          <w:p w14:paraId="69A065C2" w14:textId="77777777" w:rsidR="00B30303" w:rsidRPr="00B30303" w:rsidRDefault="00B30303" w:rsidP="00A64BA4">
            <w:pPr>
              <w:keepNext/>
              <w:widowControl/>
              <w:rPr>
                <w:color w:val="000000"/>
                <w:sz w:val="26"/>
                <w:szCs w:val="26"/>
              </w:rPr>
            </w:pPr>
            <w:r w:rsidRPr="00B30303">
              <w:rPr>
                <w:color w:val="000000"/>
                <w:sz w:val="26"/>
                <w:szCs w:val="26"/>
              </w:rPr>
              <w:t>Payment 10/18/16</w:t>
            </w:r>
          </w:p>
        </w:tc>
        <w:tc>
          <w:tcPr>
            <w:tcW w:w="2070" w:type="dxa"/>
            <w:tcBorders>
              <w:top w:val="single" w:sz="4" w:space="0" w:color="auto"/>
              <w:left w:val="single" w:sz="4" w:space="0" w:color="auto"/>
              <w:bottom w:val="single" w:sz="4" w:space="0" w:color="auto"/>
              <w:right w:val="single" w:sz="4" w:space="0" w:color="auto"/>
            </w:tcBorders>
            <w:noWrap/>
            <w:vAlign w:val="bottom"/>
            <w:hideMark/>
          </w:tcPr>
          <w:p w14:paraId="496CBC56" w14:textId="77777777" w:rsidR="00B30303" w:rsidRPr="00B30303" w:rsidRDefault="00B30303" w:rsidP="00A64BA4">
            <w:pPr>
              <w:keepNext/>
              <w:widowControl/>
              <w:rPr>
                <w:color w:val="000000"/>
                <w:sz w:val="26"/>
                <w:szCs w:val="26"/>
              </w:rPr>
            </w:pPr>
            <w:r w:rsidRPr="00B30303">
              <w:rPr>
                <w:color w:val="000000"/>
                <w:sz w:val="26"/>
                <w:szCs w:val="26"/>
              </w:rPr>
              <w:t>Partial payment</w:t>
            </w:r>
          </w:p>
        </w:tc>
      </w:tr>
      <w:tr w:rsidR="00B30303" w:rsidRPr="00B30303" w14:paraId="1C289219" w14:textId="77777777" w:rsidTr="001938F5">
        <w:trPr>
          <w:trHeight w:val="330"/>
          <w:jc w:val="center"/>
        </w:trPr>
        <w:tc>
          <w:tcPr>
            <w:tcW w:w="1340" w:type="dxa"/>
            <w:tcBorders>
              <w:top w:val="single" w:sz="4" w:space="0" w:color="auto"/>
              <w:left w:val="single" w:sz="4" w:space="0" w:color="auto"/>
              <w:bottom w:val="single" w:sz="4" w:space="0" w:color="auto"/>
              <w:right w:val="single" w:sz="4" w:space="0" w:color="auto"/>
            </w:tcBorders>
            <w:noWrap/>
            <w:vAlign w:val="bottom"/>
            <w:hideMark/>
          </w:tcPr>
          <w:p w14:paraId="768F1D34" w14:textId="77777777" w:rsidR="00B30303" w:rsidRPr="009460FE" w:rsidRDefault="00B30303" w:rsidP="00A64BA4">
            <w:pPr>
              <w:keepNext/>
              <w:widowControl/>
              <w:jc w:val="right"/>
              <w:rPr>
                <w:b/>
                <w:color w:val="000000"/>
                <w:sz w:val="26"/>
                <w:szCs w:val="26"/>
                <w:u w:val="double"/>
              </w:rPr>
            </w:pPr>
            <w:r w:rsidRPr="009460FE">
              <w:rPr>
                <w:b/>
                <w:color w:val="000000"/>
                <w:sz w:val="26"/>
                <w:szCs w:val="26"/>
                <w:u w:val="double"/>
              </w:rPr>
              <w:t>$986.69</w:t>
            </w:r>
          </w:p>
        </w:tc>
        <w:tc>
          <w:tcPr>
            <w:tcW w:w="2885" w:type="dxa"/>
            <w:tcBorders>
              <w:top w:val="single" w:sz="4" w:space="0" w:color="auto"/>
              <w:left w:val="single" w:sz="4" w:space="0" w:color="auto"/>
              <w:bottom w:val="single" w:sz="4" w:space="0" w:color="auto"/>
              <w:right w:val="single" w:sz="4" w:space="0" w:color="auto"/>
            </w:tcBorders>
            <w:noWrap/>
            <w:vAlign w:val="bottom"/>
            <w:hideMark/>
          </w:tcPr>
          <w:p w14:paraId="6B604A33" w14:textId="5BBB5433" w:rsidR="00B30303" w:rsidRPr="009460FE" w:rsidRDefault="00B30303" w:rsidP="00A64BA4">
            <w:pPr>
              <w:keepNext/>
              <w:widowControl/>
              <w:rPr>
                <w:b/>
                <w:color w:val="000000"/>
                <w:sz w:val="26"/>
                <w:szCs w:val="26"/>
                <w:u w:val="double"/>
              </w:rPr>
            </w:pPr>
            <w:r w:rsidRPr="009460FE">
              <w:rPr>
                <w:b/>
                <w:color w:val="000000"/>
                <w:sz w:val="26"/>
                <w:szCs w:val="26"/>
                <w:u w:val="double"/>
              </w:rPr>
              <w:t>Total</w:t>
            </w:r>
            <w:r w:rsidR="001938F5">
              <w:rPr>
                <w:b/>
                <w:color w:val="000000"/>
                <w:sz w:val="26"/>
                <w:szCs w:val="26"/>
                <w:u w:val="double"/>
              </w:rPr>
              <w:t xml:space="preserve"> Payment Amount</w:t>
            </w:r>
          </w:p>
        </w:tc>
        <w:tc>
          <w:tcPr>
            <w:tcW w:w="2070" w:type="dxa"/>
            <w:tcBorders>
              <w:top w:val="single" w:sz="4" w:space="0" w:color="auto"/>
              <w:left w:val="single" w:sz="4" w:space="0" w:color="auto"/>
              <w:bottom w:val="single" w:sz="4" w:space="0" w:color="auto"/>
              <w:right w:val="single" w:sz="4" w:space="0" w:color="auto"/>
            </w:tcBorders>
            <w:noWrap/>
            <w:vAlign w:val="bottom"/>
            <w:hideMark/>
          </w:tcPr>
          <w:p w14:paraId="680B7F89" w14:textId="77777777" w:rsidR="00B30303" w:rsidRPr="00B30303" w:rsidRDefault="00B30303" w:rsidP="00A64BA4">
            <w:pPr>
              <w:keepNext/>
              <w:widowControl/>
              <w:rPr>
                <w:color w:val="000000"/>
                <w:sz w:val="26"/>
                <w:szCs w:val="26"/>
                <w:u w:val="single"/>
              </w:rPr>
            </w:pPr>
          </w:p>
        </w:tc>
      </w:tr>
      <w:tr w:rsidR="00B30303" w:rsidRPr="00B30303" w14:paraId="155AC47B" w14:textId="77777777" w:rsidTr="001938F5">
        <w:trPr>
          <w:trHeight w:val="330"/>
          <w:jc w:val="center"/>
        </w:trPr>
        <w:tc>
          <w:tcPr>
            <w:tcW w:w="1340" w:type="dxa"/>
            <w:tcBorders>
              <w:top w:val="single" w:sz="4" w:space="0" w:color="auto"/>
              <w:left w:val="single" w:sz="4" w:space="0" w:color="auto"/>
              <w:bottom w:val="single" w:sz="4" w:space="0" w:color="auto"/>
              <w:right w:val="single" w:sz="4" w:space="0" w:color="auto"/>
            </w:tcBorders>
            <w:noWrap/>
            <w:vAlign w:val="bottom"/>
            <w:hideMark/>
          </w:tcPr>
          <w:p w14:paraId="5B798F10" w14:textId="77777777" w:rsidR="00B30303" w:rsidRPr="00B30303" w:rsidRDefault="00B30303" w:rsidP="00A64BA4">
            <w:pPr>
              <w:keepNext/>
              <w:widowControl/>
            </w:pPr>
          </w:p>
        </w:tc>
        <w:tc>
          <w:tcPr>
            <w:tcW w:w="2885" w:type="dxa"/>
            <w:tcBorders>
              <w:top w:val="single" w:sz="4" w:space="0" w:color="auto"/>
              <w:left w:val="single" w:sz="4" w:space="0" w:color="auto"/>
              <w:bottom w:val="single" w:sz="4" w:space="0" w:color="auto"/>
              <w:right w:val="single" w:sz="4" w:space="0" w:color="auto"/>
            </w:tcBorders>
            <w:noWrap/>
            <w:vAlign w:val="bottom"/>
            <w:hideMark/>
          </w:tcPr>
          <w:p w14:paraId="61724BAD" w14:textId="77777777" w:rsidR="00B30303" w:rsidRPr="00B30303" w:rsidRDefault="00B30303" w:rsidP="00A64BA4">
            <w:pPr>
              <w:keepNext/>
              <w:widowControl/>
              <w:jc w:val="right"/>
            </w:pPr>
          </w:p>
        </w:tc>
        <w:tc>
          <w:tcPr>
            <w:tcW w:w="2070" w:type="dxa"/>
            <w:tcBorders>
              <w:top w:val="single" w:sz="4" w:space="0" w:color="auto"/>
              <w:left w:val="single" w:sz="4" w:space="0" w:color="auto"/>
              <w:bottom w:val="single" w:sz="4" w:space="0" w:color="auto"/>
              <w:right w:val="single" w:sz="4" w:space="0" w:color="auto"/>
            </w:tcBorders>
            <w:noWrap/>
            <w:vAlign w:val="bottom"/>
            <w:hideMark/>
          </w:tcPr>
          <w:p w14:paraId="78CE1724" w14:textId="77777777" w:rsidR="00B30303" w:rsidRPr="00B30303" w:rsidRDefault="00B30303" w:rsidP="00A64BA4">
            <w:pPr>
              <w:keepNext/>
              <w:widowControl/>
            </w:pPr>
          </w:p>
        </w:tc>
      </w:tr>
      <w:tr w:rsidR="00B30303" w:rsidRPr="00B30303" w14:paraId="172CB728" w14:textId="77777777" w:rsidTr="001938F5">
        <w:trPr>
          <w:trHeight w:val="330"/>
          <w:jc w:val="center"/>
        </w:trPr>
        <w:tc>
          <w:tcPr>
            <w:tcW w:w="6295" w:type="dxa"/>
            <w:gridSpan w:val="3"/>
            <w:tcBorders>
              <w:top w:val="single" w:sz="4" w:space="0" w:color="auto"/>
              <w:left w:val="single" w:sz="4" w:space="0" w:color="auto"/>
              <w:bottom w:val="single" w:sz="4" w:space="0" w:color="auto"/>
              <w:right w:val="single" w:sz="4" w:space="0" w:color="auto"/>
            </w:tcBorders>
            <w:noWrap/>
            <w:vAlign w:val="bottom"/>
            <w:hideMark/>
          </w:tcPr>
          <w:p w14:paraId="563054A9" w14:textId="77777777" w:rsidR="00B30303" w:rsidRPr="00B30303" w:rsidRDefault="00B30303" w:rsidP="00A64BA4">
            <w:pPr>
              <w:keepNext/>
              <w:widowControl/>
              <w:rPr>
                <w:color w:val="000000"/>
                <w:sz w:val="26"/>
                <w:szCs w:val="26"/>
              </w:rPr>
            </w:pPr>
            <w:r w:rsidRPr="00B30303">
              <w:rPr>
                <w:color w:val="000000"/>
                <w:sz w:val="26"/>
                <w:szCs w:val="26"/>
              </w:rPr>
              <w:t>Source: PECO Exhibit 1; Tr. at 19-20.</w:t>
            </w:r>
          </w:p>
        </w:tc>
      </w:tr>
    </w:tbl>
    <w:p w14:paraId="7ABE046B" w14:textId="66BC7FC5" w:rsidR="00E72887" w:rsidRDefault="00E72887" w:rsidP="00E72887">
      <w:pPr>
        <w:widowControl/>
        <w:ind w:firstLine="1440"/>
        <w:contextualSpacing/>
        <w:rPr>
          <w:sz w:val="26"/>
          <w:szCs w:val="26"/>
        </w:rPr>
      </w:pPr>
    </w:p>
    <w:p w14:paraId="687E8EFE" w14:textId="77777777" w:rsidR="00E72887" w:rsidRDefault="00E72887" w:rsidP="00E72887">
      <w:pPr>
        <w:widowControl/>
        <w:ind w:firstLine="1440"/>
        <w:contextualSpacing/>
        <w:rPr>
          <w:sz w:val="26"/>
          <w:szCs w:val="26"/>
        </w:rPr>
      </w:pPr>
    </w:p>
    <w:p w14:paraId="7643AE58" w14:textId="2D06D8F5" w:rsidR="00AD3AD6" w:rsidRDefault="00B30303" w:rsidP="00E72887">
      <w:pPr>
        <w:pStyle w:val="BodyTextIndent"/>
      </w:pPr>
      <w:r>
        <w:t>Each of the tenant’s payments did not cover the full balance owed PECO</w:t>
      </w:r>
      <w:r w:rsidR="00A64BA4">
        <w:t xml:space="preserve"> in the monthly bill</w:t>
      </w:r>
      <w:r>
        <w:t xml:space="preserve">.  </w:t>
      </w:r>
      <w:r w:rsidR="00167BEB">
        <w:t xml:space="preserve">As a result, </w:t>
      </w:r>
      <w:r>
        <w:t xml:space="preserve">PECO </w:t>
      </w:r>
      <w:r w:rsidR="00AD3AD6">
        <w:t xml:space="preserve">properly </w:t>
      </w:r>
      <w:r>
        <w:t xml:space="preserve">applied each of the tenant’s partial payments first to the tenant’s balance due for prior service in accordance with Section </w:t>
      </w:r>
      <w:r>
        <w:lastRenderedPageBreak/>
        <w:t>56.24 of our Regulations, 52 Pa. Code § 56.24.  FOF Nos. 13-14; Tr. at 19, 33; PECO Exh. 1.</w:t>
      </w:r>
    </w:p>
    <w:p w14:paraId="1D8451CB" w14:textId="77777777" w:rsidR="00AD3AD6" w:rsidRDefault="00AD3AD6" w:rsidP="00C8481A">
      <w:pPr>
        <w:widowControl/>
        <w:spacing w:line="360" w:lineRule="auto"/>
        <w:ind w:firstLine="1440"/>
        <w:contextualSpacing/>
        <w:rPr>
          <w:sz w:val="26"/>
          <w:szCs w:val="26"/>
        </w:rPr>
      </w:pPr>
    </w:p>
    <w:p w14:paraId="78429AE8" w14:textId="12D242D3" w:rsidR="00AD3AD6" w:rsidRDefault="00A64BA4" w:rsidP="00C8481A">
      <w:pPr>
        <w:widowControl/>
        <w:spacing w:line="360" w:lineRule="auto"/>
        <w:ind w:firstLine="1440"/>
        <w:contextualSpacing/>
        <w:rPr>
          <w:sz w:val="26"/>
          <w:szCs w:val="26"/>
        </w:rPr>
      </w:pPr>
      <w:r>
        <w:rPr>
          <w:sz w:val="26"/>
          <w:szCs w:val="26"/>
        </w:rPr>
        <w:t>As shown in Table 2</w:t>
      </w:r>
      <w:r w:rsidR="00AD3AD6">
        <w:rPr>
          <w:sz w:val="26"/>
          <w:szCs w:val="26"/>
        </w:rPr>
        <w:t>, after applying t</w:t>
      </w:r>
      <w:r w:rsidR="00B30303">
        <w:rPr>
          <w:sz w:val="26"/>
          <w:szCs w:val="26"/>
        </w:rPr>
        <w:t>he $986.</w:t>
      </w:r>
      <w:r w:rsidR="00AD3AD6">
        <w:rPr>
          <w:sz w:val="26"/>
          <w:szCs w:val="26"/>
        </w:rPr>
        <w:t>69</w:t>
      </w:r>
      <w:r w:rsidR="00DE1E42">
        <w:rPr>
          <w:sz w:val="26"/>
          <w:szCs w:val="26"/>
        </w:rPr>
        <w:t xml:space="preserve"> in total payments</w:t>
      </w:r>
      <w:r w:rsidR="00AD3AD6">
        <w:rPr>
          <w:sz w:val="26"/>
          <w:szCs w:val="26"/>
        </w:rPr>
        <w:t xml:space="preserve"> to the tenant’s prior balance of $1</w:t>
      </w:r>
      <w:r w:rsidR="00280D97">
        <w:rPr>
          <w:sz w:val="26"/>
          <w:szCs w:val="26"/>
        </w:rPr>
        <w:t>,</w:t>
      </w:r>
      <w:r w:rsidR="00AD3AD6">
        <w:rPr>
          <w:sz w:val="26"/>
          <w:szCs w:val="26"/>
        </w:rPr>
        <w:t xml:space="preserve">602.80, a balance in the amount of $622.11 </w:t>
      </w:r>
      <w:r w:rsidR="00AF1289">
        <w:rPr>
          <w:sz w:val="26"/>
          <w:szCs w:val="26"/>
        </w:rPr>
        <w:t>remained</w:t>
      </w:r>
      <w:r w:rsidR="00AD3AD6">
        <w:rPr>
          <w:sz w:val="26"/>
          <w:szCs w:val="26"/>
        </w:rPr>
        <w:t xml:space="preserve"> on the account </w:t>
      </w:r>
      <w:r w:rsidR="00AF1289">
        <w:rPr>
          <w:sz w:val="26"/>
          <w:szCs w:val="26"/>
        </w:rPr>
        <w:t>related to</w:t>
      </w:r>
      <w:r w:rsidR="00AD3AD6">
        <w:rPr>
          <w:sz w:val="26"/>
          <w:szCs w:val="26"/>
        </w:rPr>
        <w:t xml:space="preserve"> the tenant’s prior service address.  PECO Exh. 1</w:t>
      </w:r>
    </w:p>
    <w:p w14:paraId="2E3D9F08" w14:textId="77777777" w:rsidR="00167BEB" w:rsidRDefault="00167BEB" w:rsidP="00B036DC">
      <w:pPr>
        <w:widowControl/>
        <w:spacing w:line="360" w:lineRule="auto"/>
        <w:contextualSpacing/>
        <w:rPr>
          <w:sz w:val="26"/>
          <w:szCs w:val="26"/>
        </w:rPr>
      </w:pPr>
    </w:p>
    <w:p w14:paraId="0D0ACD5A" w14:textId="77777777" w:rsidR="00AD3AD6" w:rsidRDefault="00AD3AD6" w:rsidP="00A64BA4">
      <w:pPr>
        <w:keepNext/>
        <w:widowControl/>
        <w:spacing w:line="360" w:lineRule="auto"/>
        <w:contextualSpacing/>
        <w:jc w:val="center"/>
        <w:rPr>
          <w:sz w:val="26"/>
          <w:szCs w:val="26"/>
        </w:rPr>
      </w:pPr>
      <w:r>
        <w:rPr>
          <w:sz w:val="26"/>
          <w:szCs w:val="26"/>
        </w:rPr>
        <w:t>Table 2</w:t>
      </w:r>
    </w:p>
    <w:tbl>
      <w:tblPr>
        <w:tblW w:w="8905" w:type="dxa"/>
        <w:jc w:val="center"/>
        <w:tblCellMar>
          <w:top w:w="15" w:type="dxa"/>
          <w:bottom w:w="15" w:type="dxa"/>
        </w:tblCellMar>
        <w:tblLook w:val="04A0" w:firstRow="1" w:lastRow="0" w:firstColumn="1" w:lastColumn="0" w:noHBand="0" w:noVBand="1"/>
      </w:tblPr>
      <w:tblGrid>
        <w:gridCol w:w="1280"/>
        <w:gridCol w:w="7625"/>
      </w:tblGrid>
      <w:tr w:rsidR="00AD3AD6" w:rsidRPr="00AD3AD6" w14:paraId="4E937BEB" w14:textId="77777777" w:rsidTr="009460FE">
        <w:trPr>
          <w:trHeight w:val="330"/>
          <w:jc w:val="center"/>
        </w:trPr>
        <w:tc>
          <w:tcPr>
            <w:tcW w:w="1280" w:type="dxa"/>
            <w:tcBorders>
              <w:top w:val="single" w:sz="4" w:space="0" w:color="auto"/>
              <w:left w:val="single" w:sz="4" w:space="0" w:color="auto"/>
              <w:bottom w:val="single" w:sz="4" w:space="0" w:color="auto"/>
              <w:right w:val="single" w:sz="4" w:space="0" w:color="auto"/>
            </w:tcBorders>
            <w:noWrap/>
            <w:vAlign w:val="bottom"/>
            <w:hideMark/>
          </w:tcPr>
          <w:p w14:paraId="7274A832" w14:textId="77777777" w:rsidR="00AD3AD6" w:rsidRPr="00AD3AD6" w:rsidRDefault="00AD3AD6" w:rsidP="00A64BA4">
            <w:pPr>
              <w:keepNext/>
              <w:widowControl/>
              <w:rPr>
                <w:color w:val="000000"/>
                <w:sz w:val="26"/>
                <w:szCs w:val="26"/>
              </w:rPr>
            </w:pPr>
            <w:r w:rsidRPr="00AD3AD6">
              <w:rPr>
                <w:color w:val="000000"/>
                <w:sz w:val="26"/>
                <w:szCs w:val="26"/>
              </w:rPr>
              <w:t>Amount</w:t>
            </w:r>
          </w:p>
        </w:tc>
        <w:tc>
          <w:tcPr>
            <w:tcW w:w="7625" w:type="dxa"/>
            <w:tcBorders>
              <w:top w:val="single" w:sz="4" w:space="0" w:color="auto"/>
              <w:left w:val="nil"/>
              <w:bottom w:val="single" w:sz="4" w:space="0" w:color="auto"/>
              <w:right w:val="single" w:sz="4" w:space="0" w:color="auto"/>
            </w:tcBorders>
            <w:noWrap/>
            <w:vAlign w:val="bottom"/>
            <w:hideMark/>
          </w:tcPr>
          <w:p w14:paraId="00657057" w14:textId="77777777" w:rsidR="00AD3AD6" w:rsidRPr="00AD3AD6" w:rsidRDefault="00AD3AD6" w:rsidP="00A64BA4">
            <w:pPr>
              <w:keepNext/>
              <w:widowControl/>
              <w:rPr>
                <w:color w:val="000000"/>
                <w:sz w:val="26"/>
                <w:szCs w:val="26"/>
              </w:rPr>
            </w:pPr>
            <w:r w:rsidRPr="00AD3AD6">
              <w:rPr>
                <w:color w:val="000000"/>
                <w:sz w:val="26"/>
                <w:szCs w:val="26"/>
              </w:rPr>
              <w:t>Description</w:t>
            </w:r>
          </w:p>
        </w:tc>
      </w:tr>
      <w:tr w:rsidR="00AD3AD6" w:rsidRPr="00AD3AD6" w14:paraId="7FC3B453" w14:textId="77777777" w:rsidTr="009460FE">
        <w:trPr>
          <w:trHeight w:val="660"/>
          <w:jc w:val="center"/>
        </w:trPr>
        <w:tc>
          <w:tcPr>
            <w:tcW w:w="1280" w:type="dxa"/>
            <w:tcBorders>
              <w:top w:val="single" w:sz="4" w:space="0" w:color="auto"/>
              <w:left w:val="single" w:sz="4" w:space="0" w:color="auto"/>
              <w:bottom w:val="single" w:sz="4" w:space="0" w:color="auto"/>
              <w:right w:val="nil"/>
            </w:tcBorders>
            <w:noWrap/>
            <w:vAlign w:val="bottom"/>
            <w:hideMark/>
          </w:tcPr>
          <w:p w14:paraId="0B05B6B3" w14:textId="77777777" w:rsidR="00AD3AD6" w:rsidRPr="00AD3AD6" w:rsidRDefault="00AD3AD6" w:rsidP="00A64BA4">
            <w:pPr>
              <w:keepNext/>
              <w:widowControl/>
              <w:jc w:val="right"/>
              <w:rPr>
                <w:color w:val="000000"/>
                <w:sz w:val="26"/>
                <w:szCs w:val="26"/>
              </w:rPr>
            </w:pPr>
            <w:r w:rsidRPr="00AD3AD6">
              <w:rPr>
                <w:color w:val="000000"/>
                <w:sz w:val="26"/>
                <w:szCs w:val="26"/>
              </w:rPr>
              <w:t>$1,602.80</w:t>
            </w:r>
          </w:p>
        </w:tc>
        <w:tc>
          <w:tcPr>
            <w:tcW w:w="7625" w:type="dxa"/>
            <w:tcBorders>
              <w:top w:val="single" w:sz="4" w:space="0" w:color="auto"/>
              <w:left w:val="single" w:sz="4" w:space="0" w:color="auto"/>
              <w:bottom w:val="single" w:sz="4" w:space="0" w:color="auto"/>
              <w:right w:val="single" w:sz="4" w:space="0" w:color="auto"/>
            </w:tcBorders>
            <w:vAlign w:val="bottom"/>
            <w:hideMark/>
          </w:tcPr>
          <w:p w14:paraId="753EA819" w14:textId="77777777" w:rsidR="00AD3AD6" w:rsidRPr="00AD3AD6" w:rsidRDefault="00AD3AD6" w:rsidP="00A64BA4">
            <w:pPr>
              <w:keepNext/>
              <w:widowControl/>
              <w:rPr>
                <w:color w:val="000000"/>
                <w:sz w:val="26"/>
                <w:szCs w:val="26"/>
              </w:rPr>
            </w:pPr>
            <w:r w:rsidRPr="00AD3AD6">
              <w:rPr>
                <w:color w:val="000000"/>
                <w:sz w:val="26"/>
                <w:szCs w:val="26"/>
              </w:rPr>
              <w:t>Transferred Balance from Tenant's Prior Service Address per 52 Pa. Code § 56.35</w:t>
            </w:r>
          </w:p>
        </w:tc>
      </w:tr>
      <w:tr w:rsidR="00AD3AD6" w:rsidRPr="00AD3AD6" w14:paraId="10009862" w14:textId="77777777" w:rsidTr="009460FE">
        <w:trPr>
          <w:trHeight w:val="732"/>
          <w:jc w:val="center"/>
        </w:trPr>
        <w:tc>
          <w:tcPr>
            <w:tcW w:w="1280" w:type="dxa"/>
            <w:tcBorders>
              <w:top w:val="single" w:sz="4" w:space="0" w:color="auto"/>
              <w:left w:val="single" w:sz="4" w:space="0" w:color="auto"/>
              <w:bottom w:val="single" w:sz="4" w:space="0" w:color="auto"/>
              <w:right w:val="nil"/>
            </w:tcBorders>
            <w:noWrap/>
            <w:vAlign w:val="bottom"/>
            <w:hideMark/>
          </w:tcPr>
          <w:p w14:paraId="11E9CE10" w14:textId="77777777" w:rsidR="00AD3AD6" w:rsidRPr="00AD3AD6" w:rsidRDefault="00AD3AD6" w:rsidP="00A64BA4">
            <w:pPr>
              <w:keepNext/>
              <w:widowControl/>
              <w:jc w:val="right"/>
              <w:rPr>
                <w:color w:val="000000"/>
                <w:sz w:val="26"/>
                <w:szCs w:val="26"/>
                <w:u w:val="single"/>
              </w:rPr>
            </w:pPr>
            <w:r w:rsidRPr="00AD3AD6">
              <w:rPr>
                <w:color w:val="000000"/>
                <w:sz w:val="26"/>
                <w:szCs w:val="26"/>
                <w:u w:val="single"/>
              </w:rPr>
              <w:t>-$986.69</w:t>
            </w:r>
          </w:p>
        </w:tc>
        <w:tc>
          <w:tcPr>
            <w:tcW w:w="7625" w:type="dxa"/>
            <w:tcBorders>
              <w:top w:val="single" w:sz="4" w:space="0" w:color="auto"/>
              <w:left w:val="single" w:sz="4" w:space="0" w:color="auto"/>
              <w:bottom w:val="single" w:sz="4" w:space="0" w:color="auto"/>
              <w:right w:val="single" w:sz="4" w:space="0" w:color="auto"/>
            </w:tcBorders>
            <w:vAlign w:val="bottom"/>
            <w:hideMark/>
          </w:tcPr>
          <w:p w14:paraId="519303AB" w14:textId="77777777" w:rsidR="00AD3AD6" w:rsidRPr="00AD3AD6" w:rsidRDefault="00AD3AD6" w:rsidP="00A64BA4">
            <w:pPr>
              <w:keepNext/>
              <w:widowControl/>
              <w:rPr>
                <w:color w:val="000000"/>
                <w:sz w:val="26"/>
                <w:szCs w:val="26"/>
              </w:rPr>
            </w:pPr>
            <w:r w:rsidRPr="00AD3AD6">
              <w:rPr>
                <w:color w:val="000000"/>
                <w:sz w:val="26"/>
                <w:szCs w:val="26"/>
              </w:rPr>
              <w:t>Less Tenant's Payments Made While Renting from Complainant as applied to Tenant's Account per 52 Pa. Code § 56.24</w:t>
            </w:r>
          </w:p>
        </w:tc>
      </w:tr>
      <w:tr w:rsidR="00AD3AD6" w:rsidRPr="00AD3AD6" w14:paraId="60B5447B" w14:textId="77777777" w:rsidTr="009460FE">
        <w:trPr>
          <w:trHeight w:val="330"/>
          <w:jc w:val="center"/>
        </w:trPr>
        <w:tc>
          <w:tcPr>
            <w:tcW w:w="1280" w:type="dxa"/>
            <w:tcBorders>
              <w:top w:val="single" w:sz="4" w:space="0" w:color="auto"/>
              <w:left w:val="single" w:sz="4" w:space="0" w:color="auto"/>
              <w:bottom w:val="single" w:sz="4" w:space="0" w:color="auto"/>
              <w:right w:val="nil"/>
            </w:tcBorders>
            <w:noWrap/>
            <w:vAlign w:val="bottom"/>
            <w:hideMark/>
          </w:tcPr>
          <w:p w14:paraId="01E2923D" w14:textId="77777777" w:rsidR="00AD3AD6" w:rsidRPr="00AD3AD6" w:rsidRDefault="00AD3AD6" w:rsidP="00A64BA4">
            <w:pPr>
              <w:keepNext/>
              <w:widowControl/>
              <w:jc w:val="right"/>
              <w:rPr>
                <w:color w:val="000000"/>
                <w:sz w:val="26"/>
                <w:szCs w:val="26"/>
                <w:u w:val="double"/>
              </w:rPr>
            </w:pPr>
            <w:r w:rsidRPr="00AD3AD6">
              <w:rPr>
                <w:color w:val="000000"/>
                <w:sz w:val="26"/>
                <w:szCs w:val="26"/>
                <w:u w:val="double"/>
              </w:rPr>
              <w:t>$616.11</w:t>
            </w:r>
          </w:p>
        </w:tc>
        <w:tc>
          <w:tcPr>
            <w:tcW w:w="7625" w:type="dxa"/>
            <w:tcBorders>
              <w:top w:val="single" w:sz="4" w:space="0" w:color="auto"/>
              <w:left w:val="single" w:sz="4" w:space="0" w:color="auto"/>
              <w:bottom w:val="single" w:sz="4" w:space="0" w:color="auto"/>
              <w:right w:val="single" w:sz="4" w:space="0" w:color="auto"/>
            </w:tcBorders>
            <w:noWrap/>
            <w:vAlign w:val="bottom"/>
            <w:hideMark/>
          </w:tcPr>
          <w:p w14:paraId="6C10EF32" w14:textId="77777777" w:rsidR="00AD3AD6" w:rsidRPr="00AD3AD6" w:rsidRDefault="00AD3AD6" w:rsidP="00A64BA4">
            <w:pPr>
              <w:keepNext/>
              <w:widowControl/>
              <w:rPr>
                <w:color w:val="000000"/>
                <w:sz w:val="26"/>
                <w:szCs w:val="26"/>
              </w:rPr>
            </w:pPr>
            <w:r w:rsidRPr="00AD3AD6">
              <w:rPr>
                <w:color w:val="000000"/>
                <w:sz w:val="26"/>
                <w:szCs w:val="26"/>
              </w:rPr>
              <w:t>Remaining Balance from Tenant's Prior Service Address</w:t>
            </w:r>
          </w:p>
        </w:tc>
      </w:tr>
      <w:tr w:rsidR="00AD3AD6" w:rsidRPr="00AD3AD6" w14:paraId="60EE5BFE" w14:textId="77777777" w:rsidTr="009460FE">
        <w:trPr>
          <w:trHeight w:val="330"/>
          <w:jc w:val="center"/>
        </w:trPr>
        <w:tc>
          <w:tcPr>
            <w:tcW w:w="1280" w:type="dxa"/>
            <w:tcBorders>
              <w:top w:val="single" w:sz="4" w:space="0" w:color="auto"/>
              <w:left w:val="single" w:sz="4" w:space="0" w:color="auto"/>
              <w:bottom w:val="single" w:sz="4" w:space="0" w:color="auto"/>
              <w:right w:val="nil"/>
            </w:tcBorders>
            <w:noWrap/>
            <w:vAlign w:val="bottom"/>
            <w:hideMark/>
          </w:tcPr>
          <w:p w14:paraId="25110212" w14:textId="77777777" w:rsidR="00AD3AD6" w:rsidRPr="00AD3AD6" w:rsidRDefault="00AD3AD6" w:rsidP="00A64BA4">
            <w:pPr>
              <w:keepNext/>
              <w:widowControl/>
              <w:jc w:val="right"/>
              <w:rPr>
                <w:color w:val="000000"/>
                <w:sz w:val="26"/>
                <w:szCs w:val="26"/>
                <w:u w:val="single"/>
              </w:rPr>
            </w:pPr>
            <w:r w:rsidRPr="00AD3AD6">
              <w:rPr>
                <w:color w:val="000000"/>
                <w:sz w:val="26"/>
                <w:szCs w:val="26"/>
                <w:u w:val="single"/>
              </w:rPr>
              <w:t>$6.00</w:t>
            </w:r>
          </w:p>
        </w:tc>
        <w:tc>
          <w:tcPr>
            <w:tcW w:w="7625" w:type="dxa"/>
            <w:tcBorders>
              <w:top w:val="single" w:sz="4" w:space="0" w:color="auto"/>
              <w:left w:val="single" w:sz="4" w:space="0" w:color="auto"/>
              <w:bottom w:val="single" w:sz="4" w:space="0" w:color="auto"/>
              <w:right w:val="single" w:sz="4" w:space="0" w:color="auto"/>
            </w:tcBorders>
            <w:noWrap/>
            <w:vAlign w:val="bottom"/>
            <w:hideMark/>
          </w:tcPr>
          <w:p w14:paraId="188928C9" w14:textId="77777777" w:rsidR="00AD3AD6" w:rsidRPr="00AD3AD6" w:rsidRDefault="00AD3AD6" w:rsidP="00A64BA4">
            <w:pPr>
              <w:keepNext/>
              <w:widowControl/>
              <w:rPr>
                <w:color w:val="000000"/>
                <w:sz w:val="26"/>
                <w:szCs w:val="26"/>
              </w:rPr>
            </w:pPr>
            <w:r>
              <w:rPr>
                <w:color w:val="000000"/>
                <w:sz w:val="26"/>
                <w:szCs w:val="26"/>
              </w:rPr>
              <w:t xml:space="preserve">Plus </w:t>
            </w:r>
            <w:r w:rsidRPr="00AD3AD6">
              <w:rPr>
                <w:color w:val="000000"/>
                <w:sz w:val="26"/>
                <w:szCs w:val="26"/>
              </w:rPr>
              <w:t>Connect Charge (Tr. 25)</w:t>
            </w:r>
          </w:p>
        </w:tc>
      </w:tr>
      <w:tr w:rsidR="00AD3AD6" w:rsidRPr="00AD3AD6" w14:paraId="3E2B7C23" w14:textId="77777777" w:rsidTr="001938F5">
        <w:trPr>
          <w:trHeight w:val="660"/>
          <w:jc w:val="center"/>
        </w:trPr>
        <w:tc>
          <w:tcPr>
            <w:tcW w:w="1280" w:type="dxa"/>
            <w:tcBorders>
              <w:top w:val="single" w:sz="4" w:space="0" w:color="auto"/>
              <w:left w:val="single" w:sz="4" w:space="0" w:color="auto"/>
              <w:bottom w:val="single" w:sz="4" w:space="0" w:color="auto"/>
              <w:right w:val="single" w:sz="4" w:space="0" w:color="auto"/>
            </w:tcBorders>
            <w:noWrap/>
            <w:vAlign w:val="bottom"/>
            <w:hideMark/>
          </w:tcPr>
          <w:p w14:paraId="334C0939" w14:textId="77777777" w:rsidR="00AD3AD6" w:rsidRPr="009460FE" w:rsidRDefault="00AD3AD6" w:rsidP="00A64BA4">
            <w:pPr>
              <w:keepNext/>
              <w:widowControl/>
              <w:jc w:val="right"/>
              <w:rPr>
                <w:b/>
                <w:color w:val="000000"/>
                <w:sz w:val="26"/>
                <w:szCs w:val="26"/>
                <w:u w:val="double"/>
              </w:rPr>
            </w:pPr>
            <w:r w:rsidRPr="009460FE">
              <w:rPr>
                <w:b/>
                <w:color w:val="000000"/>
                <w:sz w:val="26"/>
                <w:szCs w:val="26"/>
                <w:u w:val="double"/>
              </w:rPr>
              <w:t>622.11</w:t>
            </w:r>
          </w:p>
        </w:tc>
        <w:tc>
          <w:tcPr>
            <w:tcW w:w="7625" w:type="dxa"/>
            <w:tcBorders>
              <w:top w:val="single" w:sz="4" w:space="0" w:color="auto"/>
              <w:left w:val="single" w:sz="4" w:space="0" w:color="auto"/>
              <w:bottom w:val="single" w:sz="4" w:space="0" w:color="auto"/>
              <w:right w:val="single" w:sz="4" w:space="0" w:color="auto"/>
            </w:tcBorders>
            <w:vAlign w:val="bottom"/>
            <w:hideMark/>
          </w:tcPr>
          <w:p w14:paraId="070AA368" w14:textId="4B4CEF2C" w:rsidR="00AD3AD6" w:rsidRPr="009460FE" w:rsidRDefault="00AD3AD6" w:rsidP="00A64BA4">
            <w:pPr>
              <w:keepNext/>
              <w:widowControl/>
              <w:rPr>
                <w:b/>
                <w:color w:val="000000"/>
                <w:sz w:val="26"/>
                <w:szCs w:val="26"/>
              </w:rPr>
            </w:pPr>
            <w:r w:rsidRPr="00311C63">
              <w:rPr>
                <w:b/>
                <w:color w:val="000000"/>
                <w:sz w:val="26"/>
                <w:szCs w:val="26"/>
              </w:rPr>
              <w:t xml:space="preserve">Amount </w:t>
            </w:r>
            <w:r w:rsidR="00B70105" w:rsidRPr="00311C63">
              <w:rPr>
                <w:b/>
                <w:color w:val="000000"/>
                <w:sz w:val="26"/>
                <w:szCs w:val="26"/>
              </w:rPr>
              <w:t xml:space="preserve">Due </w:t>
            </w:r>
            <w:r w:rsidR="00311C63" w:rsidRPr="00311C63">
              <w:rPr>
                <w:b/>
                <w:color w:val="000000"/>
                <w:sz w:val="26"/>
                <w:szCs w:val="26"/>
              </w:rPr>
              <w:t>from</w:t>
            </w:r>
            <w:r w:rsidR="00B70105" w:rsidRPr="00311C63">
              <w:rPr>
                <w:b/>
                <w:color w:val="000000"/>
                <w:sz w:val="26"/>
                <w:szCs w:val="26"/>
              </w:rPr>
              <w:t xml:space="preserve"> Tenant for Electric Service Rendered to Tenant’s Prior Service Address</w:t>
            </w:r>
          </w:p>
        </w:tc>
      </w:tr>
      <w:tr w:rsidR="00AD3AD6" w:rsidRPr="00AD3AD6" w14:paraId="0DCA3AB6" w14:textId="77777777" w:rsidTr="001938F5">
        <w:trPr>
          <w:trHeight w:val="330"/>
          <w:jc w:val="center"/>
        </w:trPr>
        <w:tc>
          <w:tcPr>
            <w:tcW w:w="8905" w:type="dxa"/>
            <w:gridSpan w:val="2"/>
            <w:tcBorders>
              <w:top w:val="single" w:sz="4" w:space="0" w:color="auto"/>
              <w:left w:val="single" w:sz="4" w:space="0" w:color="auto"/>
              <w:bottom w:val="single" w:sz="4" w:space="0" w:color="auto"/>
              <w:right w:val="single" w:sz="4" w:space="0" w:color="auto"/>
            </w:tcBorders>
            <w:noWrap/>
            <w:vAlign w:val="bottom"/>
            <w:hideMark/>
          </w:tcPr>
          <w:p w14:paraId="25461CC3" w14:textId="77777777" w:rsidR="00AD3AD6" w:rsidRPr="00AD3AD6" w:rsidRDefault="00AD3AD6" w:rsidP="00A64BA4">
            <w:pPr>
              <w:keepNext/>
              <w:widowControl/>
              <w:rPr>
                <w:color w:val="000000"/>
                <w:sz w:val="26"/>
                <w:szCs w:val="26"/>
              </w:rPr>
            </w:pPr>
            <w:r w:rsidRPr="00AD3AD6">
              <w:rPr>
                <w:color w:val="000000"/>
                <w:sz w:val="26"/>
                <w:szCs w:val="26"/>
              </w:rPr>
              <w:t>Source: PECO Exhibit 1</w:t>
            </w:r>
          </w:p>
        </w:tc>
      </w:tr>
    </w:tbl>
    <w:p w14:paraId="223B11BD" w14:textId="100AF792" w:rsidR="00AD3AD6" w:rsidRDefault="00AD3AD6" w:rsidP="00E72887">
      <w:pPr>
        <w:keepNext/>
        <w:widowControl/>
        <w:contextualSpacing/>
        <w:rPr>
          <w:sz w:val="26"/>
          <w:szCs w:val="26"/>
        </w:rPr>
      </w:pPr>
    </w:p>
    <w:p w14:paraId="0FC85E81" w14:textId="77777777" w:rsidR="00E72887" w:rsidRDefault="00E72887" w:rsidP="00E72887">
      <w:pPr>
        <w:keepNext/>
        <w:widowControl/>
        <w:contextualSpacing/>
        <w:rPr>
          <w:sz w:val="26"/>
          <w:szCs w:val="26"/>
        </w:rPr>
      </w:pPr>
    </w:p>
    <w:p w14:paraId="4F244D49" w14:textId="4CEB2DE3" w:rsidR="007F3548" w:rsidRDefault="007F3548" w:rsidP="00B7221F">
      <w:pPr>
        <w:widowControl/>
        <w:spacing w:line="360" w:lineRule="auto"/>
        <w:ind w:firstLine="1440"/>
        <w:contextualSpacing/>
        <w:rPr>
          <w:sz w:val="26"/>
          <w:szCs w:val="26"/>
        </w:rPr>
      </w:pPr>
      <w:r>
        <w:rPr>
          <w:sz w:val="26"/>
          <w:szCs w:val="26"/>
        </w:rPr>
        <w:t xml:space="preserve">As shown in Table 3, </w:t>
      </w:r>
      <w:r w:rsidR="00D52583">
        <w:rPr>
          <w:sz w:val="26"/>
          <w:szCs w:val="26"/>
        </w:rPr>
        <w:t>the tenant incurred</w:t>
      </w:r>
      <w:r w:rsidR="00DD6F68">
        <w:rPr>
          <w:sz w:val="26"/>
          <w:szCs w:val="26"/>
        </w:rPr>
        <w:t xml:space="preserve"> a new balance of $1,893</w:t>
      </w:r>
      <w:r w:rsidR="002A543E">
        <w:rPr>
          <w:sz w:val="26"/>
          <w:szCs w:val="26"/>
        </w:rPr>
        <w:t>.5</w:t>
      </w:r>
      <w:r w:rsidR="00DD6F68">
        <w:rPr>
          <w:sz w:val="26"/>
          <w:szCs w:val="26"/>
        </w:rPr>
        <w:t xml:space="preserve">2 for electric </w:t>
      </w:r>
      <w:r>
        <w:rPr>
          <w:sz w:val="26"/>
          <w:szCs w:val="26"/>
        </w:rPr>
        <w:t xml:space="preserve">usage </w:t>
      </w:r>
      <w:r w:rsidR="00DD6F68">
        <w:rPr>
          <w:sz w:val="26"/>
          <w:szCs w:val="26"/>
        </w:rPr>
        <w:t xml:space="preserve">during her ten-month residence at the </w:t>
      </w:r>
      <w:r w:rsidR="00A64BA4">
        <w:rPr>
          <w:sz w:val="26"/>
          <w:szCs w:val="26"/>
        </w:rPr>
        <w:t>Complainant’s rental property</w:t>
      </w:r>
      <w:r w:rsidR="00DD6F68">
        <w:rPr>
          <w:sz w:val="26"/>
          <w:szCs w:val="26"/>
        </w:rPr>
        <w:t xml:space="preserve">.  </w:t>
      </w:r>
      <w:r>
        <w:rPr>
          <w:sz w:val="26"/>
          <w:szCs w:val="26"/>
        </w:rPr>
        <w:t xml:space="preserve">Exc. at 2; </w:t>
      </w:r>
      <w:r w:rsidR="00DD6F68">
        <w:rPr>
          <w:sz w:val="26"/>
          <w:szCs w:val="26"/>
        </w:rPr>
        <w:t>Tr. at 21, 23; PECO Exh. 1.</w:t>
      </w:r>
    </w:p>
    <w:p w14:paraId="3EB5CA41" w14:textId="77777777" w:rsidR="00C8481A" w:rsidRDefault="00C8481A" w:rsidP="005703F0">
      <w:pPr>
        <w:widowControl/>
        <w:spacing w:line="360" w:lineRule="auto"/>
        <w:contextualSpacing/>
        <w:rPr>
          <w:sz w:val="26"/>
          <w:szCs w:val="26"/>
        </w:rPr>
      </w:pPr>
    </w:p>
    <w:p w14:paraId="5F1CE632" w14:textId="77777777" w:rsidR="007F3548" w:rsidRPr="007F3548" w:rsidRDefault="007F3548" w:rsidP="000C4266">
      <w:pPr>
        <w:pStyle w:val="Heading1"/>
      </w:pPr>
      <w:r w:rsidRPr="007F3548">
        <w:lastRenderedPageBreak/>
        <w:t>Table 3</w:t>
      </w:r>
    </w:p>
    <w:tbl>
      <w:tblPr>
        <w:tblW w:w="8005" w:type="dxa"/>
        <w:jc w:val="center"/>
        <w:tblCellMar>
          <w:top w:w="15" w:type="dxa"/>
          <w:bottom w:w="15" w:type="dxa"/>
        </w:tblCellMar>
        <w:tblLook w:val="04A0" w:firstRow="1" w:lastRow="0" w:firstColumn="1" w:lastColumn="0" w:noHBand="0" w:noVBand="1"/>
      </w:tblPr>
      <w:tblGrid>
        <w:gridCol w:w="1256"/>
        <w:gridCol w:w="6749"/>
      </w:tblGrid>
      <w:tr w:rsidR="007F3548" w:rsidRPr="007F3548" w14:paraId="149ABF0E" w14:textId="77777777" w:rsidTr="009460FE">
        <w:trPr>
          <w:trHeight w:val="900"/>
          <w:jc w:val="center"/>
        </w:trPr>
        <w:tc>
          <w:tcPr>
            <w:tcW w:w="8005" w:type="dxa"/>
            <w:gridSpan w:val="2"/>
            <w:tcBorders>
              <w:top w:val="single" w:sz="4" w:space="0" w:color="auto"/>
              <w:left w:val="single" w:sz="4" w:space="0" w:color="auto"/>
              <w:bottom w:val="single" w:sz="4" w:space="0" w:color="auto"/>
              <w:right w:val="single" w:sz="4" w:space="0" w:color="auto"/>
            </w:tcBorders>
            <w:vAlign w:val="bottom"/>
            <w:hideMark/>
          </w:tcPr>
          <w:p w14:paraId="72B7EA0C" w14:textId="77777777" w:rsidR="007F3548" w:rsidRPr="007F3548" w:rsidRDefault="007F3548" w:rsidP="00E72887">
            <w:pPr>
              <w:keepNext/>
              <w:keepLines/>
              <w:widowControl/>
              <w:jc w:val="center"/>
              <w:rPr>
                <w:color w:val="000000"/>
                <w:sz w:val="26"/>
                <w:szCs w:val="26"/>
              </w:rPr>
            </w:pPr>
            <w:r w:rsidRPr="007F3548">
              <w:rPr>
                <w:color w:val="000000"/>
                <w:sz w:val="26"/>
                <w:szCs w:val="26"/>
              </w:rPr>
              <w:t>Tenant's Balance Accrued While Renting at the Complainant's Property</w:t>
            </w:r>
          </w:p>
        </w:tc>
      </w:tr>
      <w:tr w:rsidR="007F3548" w:rsidRPr="007F3548" w14:paraId="048EEA72" w14:textId="77777777" w:rsidTr="009460FE">
        <w:trPr>
          <w:trHeight w:val="660"/>
          <w:jc w:val="center"/>
        </w:trPr>
        <w:tc>
          <w:tcPr>
            <w:tcW w:w="1256" w:type="dxa"/>
            <w:tcBorders>
              <w:top w:val="single" w:sz="4" w:space="0" w:color="auto"/>
              <w:left w:val="single" w:sz="4" w:space="0" w:color="auto"/>
              <w:bottom w:val="single" w:sz="4" w:space="0" w:color="auto"/>
              <w:right w:val="single" w:sz="4" w:space="0" w:color="auto"/>
            </w:tcBorders>
            <w:noWrap/>
            <w:vAlign w:val="bottom"/>
            <w:hideMark/>
          </w:tcPr>
          <w:p w14:paraId="0FA036C2" w14:textId="77777777" w:rsidR="007F3548" w:rsidRPr="007F3548" w:rsidRDefault="007F3548" w:rsidP="00E72887">
            <w:pPr>
              <w:keepNext/>
              <w:keepLines/>
              <w:widowControl/>
              <w:jc w:val="right"/>
              <w:rPr>
                <w:color w:val="000000"/>
                <w:sz w:val="26"/>
                <w:szCs w:val="26"/>
              </w:rPr>
            </w:pPr>
            <w:r w:rsidRPr="007F3548">
              <w:rPr>
                <w:color w:val="000000"/>
                <w:sz w:val="26"/>
                <w:szCs w:val="26"/>
              </w:rPr>
              <w:t>$165.38</w:t>
            </w:r>
          </w:p>
        </w:tc>
        <w:tc>
          <w:tcPr>
            <w:tcW w:w="6749" w:type="dxa"/>
            <w:tcBorders>
              <w:top w:val="single" w:sz="4" w:space="0" w:color="auto"/>
              <w:left w:val="nil"/>
              <w:bottom w:val="single" w:sz="4" w:space="0" w:color="auto"/>
              <w:right w:val="single" w:sz="4" w:space="0" w:color="auto"/>
            </w:tcBorders>
            <w:noWrap/>
            <w:vAlign w:val="bottom"/>
            <w:hideMark/>
          </w:tcPr>
          <w:p w14:paraId="10616C93" w14:textId="77777777" w:rsidR="007F3548" w:rsidRPr="007F3548" w:rsidRDefault="007F3548" w:rsidP="00E72887">
            <w:pPr>
              <w:keepNext/>
              <w:keepLines/>
              <w:widowControl/>
              <w:rPr>
                <w:color w:val="000000"/>
                <w:sz w:val="26"/>
                <w:szCs w:val="26"/>
              </w:rPr>
            </w:pPr>
            <w:r w:rsidRPr="007F3548">
              <w:rPr>
                <w:color w:val="000000"/>
                <w:sz w:val="26"/>
                <w:szCs w:val="26"/>
              </w:rPr>
              <w:t>Usage for Billing Period 3/10/16 - 4/9/16</w:t>
            </w:r>
          </w:p>
        </w:tc>
      </w:tr>
      <w:tr w:rsidR="007F3548" w:rsidRPr="007F3548" w14:paraId="01CED46A" w14:textId="77777777" w:rsidTr="009460FE">
        <w:trPr>
          <w:trHeight w:val="660"/>
          <w:jc w:val="center"/>
        </w:trPr>
        <w:tc>
          <w:tcPr>
            <w:tcW w:w="1256" w:type="dxa"/>
            <w:tcBorders>
              <w:top w:val="single" w:sz="4" w:space="0" w:color="auto"/>
              <w:left w:val="single" w:sz="4" w:space="0" w:color="auto"/>
              <w:bottom w:val="single" w:sz="4" w:space="0" w:color="auto"/>
              <w:right w:val="single" w:sz="4" w:space="0" w:color="auto"/>
            </w:tcBorders>
            <w:noWrap/>
            <w:vAlign w:val="bottom"/>
            <w:hideMark/>
          </w:tcPr>
          <w:p w14:paraId="79C4BCE0" w14:textId="77777777" w:rsidR="007F3548" w:rsidRPr="007F3548" w:rsidRDefault="007F3548" w:rsidP="00E72887">
            <w:pPr>
              <w:keepNext/>
              <w:keepLines/>
              <w:widowControl/>
              <w:jc w:val="right"/>
              <w:rPr>
                <w:color w:val="000000"/>
                <w:sz w:val="26"/>
                <w:szCs w:val="26"/>
              </w:rPr>
            </w:pPr>
            <w:r w:rsidRPr="007F3548">
              <w:rPr>
                <w:color w:val="000000"/>
                <w:sz w:val="26"/>
                <w:szCs w:val="26"/>
              </w:rPr>
              <w:t>$136.99</w:t>
            </w:r>
          </w:p>
        </w:tc>
        <w:tc>
          <w:tcPr>
            <w:tcW w:w="6749" w:type="dxa"/>
            <w:tcBorders>
              <w:top w:val="single" w:sz="4" w:space="0" w:color="auto"/>
              <w:left w:val="nil"/>
              <w:bottom w:val="single" w:sz="4" w:space="0" w:color="auto"/>
              <w:right w:val="single" w:sz="4" w:space="0" w:color="auto"/>
            </w:tcBorders>
            <w:noWrap/>
            <w:vAlign w:val="bottom"/>
            <w:hideMark/>
          </w:tcPr>
          <w:p w14:paraId="0B8ED6B0" w14:textId="77777777" w:rsidR="007F3548" w:rsidRPr="007F3548" w:rsidRDefault="007F3548" w:rsidP="00E72887">
            <w:pPr>
              <w:keepNext/>
              <w:keepLines/>
              <w:widowControl/>
              <w:rPr>
                <w:color w:val="000000"/>
                <w:sz w:val="26"/>
                <w:szCs w:val="26"/>
              </w:rPr>
            </w:pPr>
            <w:r w:rsidRPr="007F3548">
              <w:rPr>
                <w:color w:val="000000"/>
                <w:sz w:val="26"/>
                <w:szCs w:val="26"/>
              </w:rPr>
              <w:t>Usage for Billing Period 4/9/16 - 5/5/16</w:t>
            </w:r>
          </w:p>
        </w:tc>
      </w:tr>
      <w:tr w:rsidR="007F3548" w:rsidRPr="007F3548" w14:paraId="091CC1CA" w14:textId="77777777" w:rsidTr="009460FE">
        <w:trPr>
          <w:trHeight w:val="330"/>
          <w:jc w:val="center"/>
        </w:trPr>
        <w:tc>
          <w:tcPr>
            <w:tcW w:w="1256" w:type="dxa"/>
            <w:tcBorders>
              <w:top w:val="single" w:sz="4" w:space="0" w:color="auto"/>
              <w:left w:val="single" w:sz="4" w:space="0" w:color="auto"/>
              <w:bottom w:val="single" w:sz="4" w:space="0" w:color="auto"/>
              <w:right w:val="single" w:sz="4" w:space="0" w:color="auto"/>
            </w:tcBorders>
            <w:noWrap/>
            <w:vAlign w:val="bottom"/>
            <w:hideMark/>
          </w:tcPr>
          <w:p w14:paraId="76B79C01" w14:textId="77777777" w:rsidR="007F3548" w:rsidRPr="007F3548" w:rsidRDefault="007F3548" w:rsidP="00E72887">
            <w:pPr>
              <w:keepNext/>
              <w:keepLines/>
              <w:widowControl/>
              <w:jc w:val="right"/>
              <w:rPr>
                <w:color w:val="000000"/>
                <w:sz w:val="26"/>
                <w:szCs w:val="26"/>
              </w:rPr>
            </w:pPr>
            <w:r w:rsidRPr="007F3548">
              <w:rPr>
                <w:color w:val="000000"/>
                <w:sz w:val="26"/>
                <w:szCs w:val="26"/>
              </w:rPr>
              <w:t>$26.03</w:t>
            </w:r>
          </w:p>
        </w:tc>
        <w:tc>
          <w:tcPr>
            <w:tcW w:w="6749" w:type="dxa"/>
            <w:tcBorders>
              <w:top w:val="single" w:sz="4" w:space="0" w:color="auto"/>
              <w:left w:val="nil"/>
              <w:bottom w:val="single" w:sz="4" w:space="0" w:color="auto"/>
              <w:right w:val="single" w:sz="4" w:space="0" w:color="auto"/>
            </w:tcBorders>
            <w:noWrap/>
            <w:vAlign w:val="bottom"/>
            <w:hideMark/>
          </w:tcPr>
          <w:p w14:paraId="7CE8C6BA" w14:textId="77777777" w:rsidR="007F3548" w:rsidRPr="007F3548" w:rsidRDefault="007F3548" w:rsidP="00E72887">
            <w:pPr>
              <w:keepNext/>
              <w:keepLines/>
              <w:widowControl/>
              <w:rPr>
                <w:color w:val="000000"/>
                <w:sz w:val="26"/>
                <w:szCs w:val="26"/>
              </w:rPr>
            </w:pPr>
            <w:r w:rsidRPr="007F3548">
              <w:rPr>
                <w:color w:val="000000"/>
                <w:sz w:val="26"/>
                <w:szCs w:val="26"/>
              </w:rPr>
              <w:t>Late Payment Charge</w:t>
            </w:r>
          </w:p>
        </w:tc>
      </w:tr>
      <w:tr w:rsidR="007F3548" w:rsidRPr="007F3548" w14:paraId="454639EA" w14:textId="77777777" w:rsidTr="009460FE">
        <w:trPr>
          <w:trHeight w:val="330"/>
          <w:jc w:val="center"/>
        </w:trPr>
        <w:tc>
          <w:tcPr>
            <w:tcW w:w="1256" w:type="dxa"/>
            <w:tcBorders>
              <w:top w:val="single" w:sz="4" w:space="0" w:color="auto"/>
              <w:left w:val="single" w:sz="4" w:space="0" w:color="auto"/>
              <w:bottom w:val="single" w:sz="4" w:space="0" w:color="auto"/>
              <w:right w:val="single" w:sz="4" w:space="0" w:color="auto"/>
            </w:tcBorders>
            <w:noWrap/>
            <w:vAlign w:val="bottom"/>
            <w:hideMark/>
          </w:tcPr>
          <w:p w14:paraId="2F430B5F" w14:textId="77777777" w:rsidR="007F3548" w:rsidRPr="007F3548" w:rsidRDefault="007F3548" w:rsidP="00E72887">
            <w:pPr>
              <w:keepNext/>
              <w:keepLines/>
              <w:widowControl/>
              <w:jc w:val="right"/>
              <w:rPr>
                <w:color w:val="000000"/>
                <w:sz w:val="26"/>
                <w:szCs w:val="26"/>
              </w:rPr>
            </w:pPr>
            <w:r w:rsidRPr="007F3548">
              <w:rPr>
                <w:color w:val="000000"/>
                <w:sz w:val="26"/>
                <w:szCs w:val="26"/>
              </w:rPr>
              <w:t>$188.97</w:t>
            </w:r>
          </w:p>
        </w:tc>
        <w:tc>
          <w:tcPr>
            <w:tcW w:w="6749" w:type="dxa"/>
            <w:tcBorders>
              <w:top w:val="single" w:sz="4" w:space="0" w:color="auto"/>
              <w:left w:val="nil"/>
              <w:bottom w:val="single" w:sz="4" w:space="0" w:color="auto"/>
              <w:right w:val="single" w:sz="4" w:space="0" w:color="auto"/>
            </w:tcBorders>
            <w:noWrap/>
            <w:vAlign w:val="bottom"/>
            <w:hideMark/>
          </w:tcPr>
          <w:p w14:paraId="3A17FCB3" w14:textId="77777777" w:rsidR="007F3548" w:rsidRPr="007F3548" w:rsidRDefault="007F3548" w:rsidP="00E72887">
            <w:pPr>
              <w:keepNext/>
              <w:keepLines/>
              <w:widowControl/>
              <w:rPr>
                <w:color w:val="000000"/>
                <w:sz w:val="26"/>
                <w:szCs w:val="26"/>
              </w:rPr>
            </w:pPr>
            <w:r w:rsidRPr="007F3548">
              <w:rPr>
                <w:color w:val="000000"/>
                <w:sz w:val="26"/>
                <w:szCs w:val="26"/>
              </w:rPr>
              <w:t>Usage for Billing Period 5/5/16 - 6/6/16</w:t>
            </w:r>
          </w:p>
        </w:tc>
      </w:tr>
      <w:tr w:rsidR="007F3548" w:rsidRPr="007F3548" w14:paraId="02202AC7" w14:textId="77777777" w:rsidTr="009460FE">
        <w:trPr>
          <w:trHeight w:val="660"/>
          <w:jc w:val="center"/>
        </w:trPr>
        <w:tc>
          <w:tcPr>
            <w:tcW w:w="1256" w:type="dxa"/>
            <w:tcBorders>
              <w:top w:val="single" w:sz="4" w:space="0" w:color="auto"/>
              <w:left w:val="single" w:sz="4" w:space="0" w:color="auto"/>
              <w:bottom w:val="single" w:sz="4" w:space="0" w:color="auto"/>
              <w:right w:val="single" w:sz="4" w:space="0" w:color="auto"/>
            </w:tcBorders>
            <w:noWrap/>
            <w:vAlign w:val="bottom"/>
            <w:hideMark/>
          </w:tcPr>
          <w:p w14:paraId="3228AC83" w14:textId="77777777" w:rsidR="007F3548" w:rsidRPr="007F3548" w:rsidRDefault="007F3548" w:rsidP="00E72887">
            <w:pPr>
              <w:keepNext/>
              <w:keepLines/>
              <w:widowControl/>
              <w:jc w:val="right"/>
              <w:rPr>
                <w:color w:val="000000"/>
                <w:sz w:val="26"/>
                <w:szCs w:val="26"/>
              </w:rPr>
            </w:pPr>
            <w:r w:rsidRPr="007F3548">
              <w:rPr>
                <w:color w:val="000000"/>
                <w:sz w:val="26"/>
                <w:szCs w:val="26"/>
              </w:rPr>
              <w:t>$209.66</w:t>
            </w:r>
          </w:p>
        </w:tc>
        <w:tc>
          <w:tcPr>
            <w:tcW w:w="6749" w:type="dxa"/>
            <w:tcBorders>
              <w:top w:val="single" w:sz="4" w:space="0" w:color="auto"/>
              <w:left w:val="nil"/>
              <w:bottom w:val="single" w:sz="4" w:space="0" w:color="auto"/>
              <w:right w:val="single" w:sz="4" w:space="0" w:color="auto"/>
            </w:tcBorders>
            <w:noWrap/>
            <w:vAlign w:val="bottom"/>
            <w:hideMark/>
          </w:tcPr>
          <w:p w14:paraId="5D6EE3A5" w14:textId="77777777" w:rsidR="007F3548" w:rsidRPr="007F3548" w:rsidRDefault="007F3548" w:rsidP="00E72887">
            <w:pPr>
              <w:keepNext/>
              <w:keepLines/>
              <w:widowControl/>
              <w:rPr>
                <w:color w:val="000000"/>
                <w:sz w:val="26"/>
                <w:szCs w:val="26"/>
              </w:rPr>
            </w:pPr>
            <w:r w:rsidRPr="007F3548">
              <w:rPr>
                <w:color w:val="000000"/>
                <w:sz w:val="26"/>
                <w:szCs w:val="26"/>
              </w:rPr>
              <w:t>Usage for Billing Period 6/6/16 - 7/6/16</w:t>
            </w:r>
          </w:p>
        </w:tc>
      </w:tr>
      <w:tr w:rsidR="007F3548" w:rsidRPr="007F3548" w14:paraId="2C5B8F18" w14:textId="77777777" w:rsidTr="009460FE">
        <w:trPr>
          <w:trHeight w:val="330"/>
          <w:jc w:val="center"/>
        </w:trPr>
        <w:tc>
          <w:tcPr>
            <w:tcW w:w="1256" w:type="dxa"/>
            <w:tcBorders>
              <w:top w:val="single" w:sz="4" w:space="0" w:color="auto"/>
              <w:left w:val="single" w:sz="4" w:space="0" w:color="auto"/>
              <w:bottom w:val="single" w:sz="4" w:space="0" w:color="auto"/>
              <w:right w:val="single" w:sz="4" w:space="0" w:color="auto"/>
            </w:tcBorders>
            <w:noWrap/>
            <w:vAlign w:val="bottom"/>
            <w:hideMark/>
          </w:tcPr>
          <w:p w14:paraId="2715D51C" w14:textId="77777777" w:rsidR="007F3548" w:rsidRPr="007F3548" w:rsidRDefault="007F3548" w:rsidP="00E72887">
            <w:pPr>
              <w:keepNext/>
              <w:keepLines/>
              <w:widowControl/>
              <w:jc w:val="right"/>
              <w:rPr>
                <w:color w:val="000000"/>
                <w:sz w:val="26"/>
                <w:szCs w:val="26"/>
              </w:rPr>
            </w:pPr>
            <w:r w:rsidRPr="007F3548">
              <w:rPr>
                <w:color w:val="000000"/>
                <w:sz w:val="26"/>
                <w:szCs w:val="26"/>
              </w:rPr>
              <w:t>$0.02</w:t>
            </w:r>
          </w:p>
        </w:tc>
        <w:tc>
          <w:tcPr>
            <w:tcW w:w="6749" w:type="dxa"/>
            <w:tcBorders>
              <w:top w:val="single" w:sz="4" w:space="0" w:color="auto"/>
              <w:left w:val="nil"/>
              <w:bottom w:val="single" w:sz="4" w:space="0" w:color="auto"/>
              <w:right w:val="single" w:sz="4" w:space="0" w:color="auto"/>
            </w:tcBorders>
            <w:noWrap/>
            <w:vAlign w:val="bottom"/>
            <w:hideMark/>
          </w:tcPr>
          <w:p w14:paraId="0B9D4B39" w14:textId="77777777" w:rsidR="007F3548" w:rsidRPr="007F3548" w:rsidRDefault="007F3548" w:rsidP="00E72887">
            <w:pPr>
              <w:keepNext/>
              <w:keepLines/>
              <w:widowControl/>
              <w:rPr>
                <w:color w:val="000000"/>
                <w:sz w:val="26"/>
                <w:szCs w:val="26"/>
              </w:rPr>
            </w:pPr>
            <w:r w:rsidRPr="007F3548">
              <w:rPr>
                <w:color w:val="000000"/>
                <w:sz w:val="26"/>
                <w:szCs w:val="26"/>
              </w:rPr>
              <w:t>Late Payment Charge</w:t>
            </w:r>
          </w:p>
        </w:tc>
      </w:tr>
      <w:tr w:rsidR="007F3548" w:rsidRPr="007F3548" w14:paraId="23BF45FB" w14:textId="77777777" w:rsidTr="009460FE">
        <w:trPr>
          <w:trHeight w:val="660"/>
          <w:jc w:val="center"/>
        </w:trPr>
        <w:tc>
          <w:tcPr>
            <w:tcW w:w="1256" w:type="dxa"/>
            <w:tcBorders>
              <w:top w:val="single" w:sz="4" w:space="0" w:color="auto"/>
              <w:left w:val="single" w:sz="4" w:space="0" w:color="auto"/>
              <w:bottom w:val="single" w:sz="4" w:space="0" w:color="auto"/>
              <w:right w:val="single" w:sz="4" w:space="0" w:color="auto"/>
            </w:tcBorders>
            <w:noWrap/>
            <w:vAlign w:val="bottom"/>
            <w:hideMark/>
          </w:tcPr>
          <w:p w14:paraId="4F8D46D6" w14:textId="77777777" w:rsidR="007F3548" w:rsidRPr="007F3548" w:rsidRDefault="007F3548" w:rsidP="00E72887">
            <w:pPr>
              <w:keepNext/>
              <w:keepLines/>
              <w:widowControl/>
              <w:jc w:val="right"/>
              <w:rPr>
                <w:color w:val="000000"/>
                <w:sz w:val="26"/>
                <w:szCs w:val="26"/>
              </w:rPr>
            </w:pPr>
            <w:r w:rsidRPr="007F3548">
              <w:rPr>
                <w:color w:val="000000"/>
                <w:sz w:val="26"/>
                <w:szCs w:val="26"/>
              </w:rPr>
              <w:t>$278.16</w:t>
            </w:r>
          </w:p>
        </w:tc>
        <w:tc>
          <w:tcPr>
            <w:tcW w:w="6749" w:type="dxa"/>
            <w:tcBorders>
              <w:top w:val="single" w:sz="4" w:space="0" w:color="auto"/>
              <w:left w:val="nil"/>
              <w:bottom w:val="single" w:sz="4" w:space="0" w:color="auto"/>
              <w:right w:val="single" w:sz="4" w:space="0" w:color="auto"/>
            </w:tcBorders>
            <w:noWrap/>
            <w:vAlign w:val="bottom"/>
            <w:hideMark/>
          </w:tcPr>
          <w:p w14:paraId="79E365A4" w14:textId="77777777" w:rsidR="007F3548" w:rsidRPr="007F3548" w:rsidRDefault="007F3548" w:rsidP="00E72887">
            <w:pPr>
              <w:keepNext/>
              <w:keepLines/>
              <w:widowControl/>
              <w:rPr>
                <w:color w:val="000000"/>
                <w:sz w:val="26"/>
                <w:szCs w:val="26"/>
              </w:rPr>
            </w:pPr>
            <w:r w:rsidRPr="007F3548">
              <w:rPr>
                <w:color w:val="000000"/>
                <w:sz w:val="26"/>
                <w:szCs w:val="26"/>
              </w:rPr>
              <w:t>Usage for Billing Period 7/6/16 - 8/4/16</w:t>
            </w:r>
          </w:p>
        </w:tc>
      </w:tr>
      <w:tr w:rsidR="007F3548" w:rsidRPr="007F3548" w14:paraId="2A8940CB" w14:textId="77777777" w:rsidTr="009460FE">
        <w:trPr>
          <w:trHeight w:val="990"/>
          <w:jc w:val="center"/>
        </w:trPr>
        <w:tc>
          <w:tcPr>
            <w:tcW w:w="1256" w:type="dxa"/>
            <w:tcBorders>
              <w:top w:val="single" w:sz="4" w:space="0" w:color="auto"/>
              <w:left w:val="single" w:sz="4" w:space="0" w:color="auto"/>
              <w:bottom w:val="single" w:sz="4" w:space="0" w:color="auto"/>
              <w:right w:val="single" w:sz="4" w:space="0" w:color="auto"/>
            </w:tcBorders>
            <w:noWrap/>
            <w:vAlign w:val="bottom"/>
            <w:hideMark/>
          </w:tcPr>
          <w:p w14:paraId="7BEC7C55" w14:textId="77777777" w:rsidR="007F3548" w:rsidRPr="007F3548" w:rsidRDefault="007F3548" w:rsidP="00E72887">
            <w:pPr>
              <w:keepNext/>
              <w:keepLines/>
              <w:widowControl/>
              <w:jc w:val="right"/>
              <w:rPr>
                <w:color w:val="000000"/>
                <w:sz w:val="26"/>
                <w:szCs w:val="26"/>
              </w:rPr>
            </w:pPr>
            <w:r w:rsidRPr="007F3548">
              <w:rPr>
                <w:color w:val="000000"/>
                <w:sz w:val="26"/>
                <w:szCs w:val="26"/>
              </w:rPr>
              <w:t>$4.19</w:t>
            </w:r>
          </w:p>
        </w:tc>
        <w:tc>
          <w:tcPr>
            <w:tcW w:w="6749" w:type="dxa"/>
            <w:tcBorders>
              <w:top w:val="single" w:sz="4" w:space="0" w:color="auto"/>
              <w:left w:val="nil"/>
              <w:bottom w:val="single" w:sz="4" w:space="0" w:color="auto"/>
              <w:right w:val="single" w:sz="4" w:space="0" w:color="auto"/>
            </w:tcBorders>
            <w:noWrap/>
            <w:vAlign w:val="bottom"/>
            <w:hideMark/>
          </w:tcPr>
          <w:p w14:paraId="3A6AB407" w14:textId="77777777" w:rsidR="007F3548" w:rsidRPr="007F3548" w:rsidRDefault="007F3548" w:rsidP="00E72887">
            <w:pPr>
              <w:keepNext/>
              <w:keepLines/>
              <w:widowControl/>
              <w:rPr>
                <w:color w:val="000000"/>
                <w:sz w:val="26"/>
                <w:szCs w:val="26"/>
              </w:rPr>
            </w:pPr>
            <w:r w:rsidRPr="007F3548">
              <w:rPr>
                <w:color w:val="000000"/>
                <w:sz w:val="26"/>
                <w:szCs w:val="26"/>
              </w:rPr>
              <w:t>Late Payment Charge</w:t>
            </w:r>
          </w:p>
        </w:tc>
      </w:tr>
      <w:tr w:rsidR="007F3548" w:rsidRPr="007F3548" w14:paraId="2D9625A3" w14:textId="77777777" w:rsidTr="009460FE">
        <w:trPr>
          <w:trHeight w:val="330"/>
          <w:jc w:val="center"/>
        </w:trPr>
        <w:tc>
          <w:tcPr>
            <w:tcW w:w="1256" w:type="dxa"/>
            <w:tcBorders>
              <w:top w:val="single" w:sz="4" w:space="0" w:color="auto"/>
              <w:left w:val="single" w:sz="4" w:space="0" w:color="auto"/>
              <w:bottom w:val="single" w:sz="4" w:space="0" w:color="auto"/>
              <w:right w:val="single" w:sz="4" w:space="0" w:color="auto"/>
            </w:tcBorders>
            <w:noWrap/>
            <w:vAlign w:val="bottom"/>
            <w:hideMark/>
          </w:tcPr>
          <w:p w14:paraId="6E8773D3" w14:textId="77777777" w:rsidR="007F3548" w:rsidRPr="007F3548" w:rsidRDefault="007F3548" w:rsidP="00E72887">
            <w:pPr>
              <w:keepNext/>
              <w:keepLines/>
              <w:widowControl/>
              <w:jc w:val="right"/>
              <w:rPr>
                <w:color w:val="000000"/>
                <w:sz w:val="26"/>
                <w:szCs w:val="26"/>
              </w:rPr>
            </w:pPr>
            <w:r w:rsidRPr="007F3548">
              <w:rPr>
                <w:color w:val="000000"/>
                <w:sz w:val="26"/>
                <w:szCs w:val="26"/>
              </w:rPr>
              <w:t>$283.45</w:t>
            </w:r>
          </w:p>
        </w:tc>
        <w:tc>
          <w:tcPr>
            <w:tcW w:w="6749" w:type="dxa"/>
            <w:tcBorders>
              <w:top w:val="single" w:sz="4" w:space="0" w:color="auto"/>
              <w:left w:val="nil"/>
              <w:bottom w:val="single" w:sz="4" w:space="0" w:color="auto"/>
              <w:right w:val="single" w:sz="4" w:space="0" w:color="auto"/>
            </w:tcBorders>
            <w:noWrap/>
            <w:vAlign w:val="bottom"/>
            <w:hideMark/>
          </w:tcPr>
          <w:p w14:paraId="5D735BD0" w14:textId="77777777" w:rsidR="007F3548" w:rsidRPr="007F3548" w:rsidRDefault="007F3548" w:rsidP="00E72887">
            <w:pPr>
              <w:keepNext/>
              <w:keepLines/>
              <w:widowControl/>
              <w:rPr>
                <w:color w:val="000000"/>
                <w:sz w:val="26"/>
                <w:szCs w:val="26"/>
              </w:rPr>
            </w:pPr>
            <w:r w:rsidRPr="007F3548">
              <w:rPr>
                <w:color w:val="000000"/>
                <w:sz w:val="26"/>
                <w:szCs w:val="26"/>
              </w:rPr>
              <w:t>Usage for Billing Period 8/4/16 - 9/2/16</w:t>
            </w:r>
          </w:p>
        </w:tc>
      </w:tr>
      <w:tr w:rsidR="007F3548" w:rsidRPr="007F3548" w14:paraId="15812853" w14:textId="77777777" w:rsidTr="009460FE">
        <w:trPr>
          <w:trHeight w:val="330"/>
          <w:jc w:val="center"/>
        </w:trPr>
        <w:tc>
          <w:tcPr>
            <w:tcW w:w="1256" w:type="dxa"/>
            <w:tcBorders>
              <w:top w:val="single" w:sz="4" w:space="0" w:color="auto"/>
              <w:left w:val="single" w:sz="4" w:space="0" w:color="auto"/>
              <w:bottom w:val="single" w:sz="4" w:space="0" w:color="auto"/>
              <w:right w:val="single" w:sz="4" w:space="0" w:color="auto"/>
            </w:tcBorders>
            <w:noWrap/>
            <w:vAlign w:val="bottom"/>
            <w:hideMark/>
          </w:tcPr>
          <w:p w14:paraId="742EA758" w14:textId="77777777" w:rsidR="007F3548" w:rsidRPr="007F3548" w:rsidRDefault="007F3548" w:rsidP="00E72887">
            <w:pPr>
              <w:keepNext/>
              <w:keepLines/>
              <w:widowControl/>
              <w:jc w:val="right"/>
              <w:rPr>
                <w:color w:val="000000"/>
                <w:sz w:val="26"/>
                <w:szCs w:val="26"/>
              </w:rPr>
            </w:pPr>
            <w:r w:rsidRPr="007F3548">
              <w:rPr>
                <w:color w:val="000000"/>
                <w:sz w:val="26"/>
                <w:szCs w:val="26"/>
              </w:rPr>
              <w:t>$3.35</w:t>
            </w:r>
          </w:p>
        </w:tc>
        <w:tc>
          <w:tcPr>
            <w:tcW w:w="6749" w:type="dxa"/>
            <w:tcBorders>
              <w:top w:val="single" w:sz="4" w:space="0" w:color="auto"/>
              <w:left w:val="nil"/>
              <w:bottom w:val="single" w:sz="4" w:space="0" w:color="auto"/>
              <w:right w:val="single" w:sz="4" w:space="0" w:color="auto"/>
            </w:tcBorders>
            <w:noWrap/>
            <w:vAlign w:val="bottom"/>
            <w:hideMark/>
          </w:tcPr>
          <w:p w14:paraId="3CD6BF99" w14:textId="77777777" w:rsidR="007F3548" w:rsidRPr="007F3548" w:rsidRDefault="007F3548" w:rsidP="00E72887">
            <w:pPr>
              <w:keepNext/>
              <w:keepLines/>
              <w:widowControl/>
              <w:rPr>
                <w:color w:val="000000"/>
                <w:sz w:val="26"/>
                <w:szCs w:val="26"/>
              </w:rPr>
            </w:pPr>
            <w:r w:rsidRPr="007F3548">
              <w:rPr>
                <w:color w:val="000000"/>
                <w:sz w:val="26"/>
                <w:szCs w:val="26"/>
              </w:rPr>
              <w:t>Late Payment Charge</w:t>
            </w:r>
          </w:p>
        </w:tc>
      </w:tr>
      <w:tr w:rsidR="007F3548" w:rsidRPr="007F3548" w14:paraId="5582AA08" w14:textId="77777777" w:rsidTr="009460FE">
        <w:trPr>
          <w:trHeight w:val="660"/>
          <w:jc w:val="center"/>
        </w:trPr>
        <w:tc>
          <w:tcPr>
            <w:tcW w:w="1256" w:type="dxa"/>
            <w:tcBorders>
              <w:top w:val="single" w:sz="4" w:space="0" w:color="auto"/>
              <w:left w:val="single" w:sz="4" w:space="0" w:color="auto"/>
              <w:bottom w:val="single" w:sz="4" w:space="0" w:color="auto"/>
              <w:right w:val="single" w:sz="4" w:space="0" w:color="auto"/>
            </w:tcBorders>
            <w:noWrap/>
            <w:vAlign w:val="bottom"/>
            <w:hideMark/>
          </w:tcPr>
          <w:p w14:paraId="16F4C688" w14:textId="77777777" w:rsidR="007F3548" w:rsidRPr="007F3548" w:rsidRDefault="007F3548" w:rsidP="00E72887">
            <w:pPr>
              <w:keepNext/>
              <w:keepLines/>
              <w:widowControl/>
              <w:jc w:val="right"/>
              <w:rPr>
                <w:color w:val="000000"/>
                <w:sz w:val="26"/>
                <w:szCs w:val="26"/>
              </w:rPr>
            </w:pPr>
            <w:r w:rsidRPr="007F3548">
              <w:rPr>
                <w:color w:val="000000"/>
                <w:sz w:val="26"/>
                <w:szCs w:val="26"/>
              </w:rPr>
              <w:t>$212.18</w:t>
            </w:r>
          </w:p>
        </w:tc>
        <w:tc>
          <w:tcPr>
            <w:tcW w:w="6749" w:type="dxa"/>
            <w:tcBorders>
              <w:top w:val="single" w:sz="4" w:space="0" w:color="auto"/>
              <w:left w:val="nil"/>
              <w:bottom w:val="single" w:sz="4" w:space="0" w:color="auto"/>
              <w:right w:val="single" w:sz="4" w:space="0" w:color="auto"/>
            </w:tcBorders>
            <w:noWrap/>
            <w:vAlign w:val="bottom"/>
            <w:hideMark/>
          </w:tcPr>
          <w:p w14:paraId="477102BB" w14:textId="77777777" w:rsidR="007F3548" w:rsidRPr="007F3548" w:rsidRDefault="007F3548" w:rsidP="00E72887">
            <w:pPr>
              <w:keepNext/>
              <w:keepLines/>
              <w:widowControl/>
              <w:rPr>
                <w:color w:val="000000"/>
                <w:sz w:val="26"/>
                <w:szCs w:val="26"/>
              </w:rPr>
            </w:pPr>
            <w:r w:rsidRPr="007F3548">
              <w:rPr>
                <w:color w:val="000000"/>
                <w:sz w:val="26"/>
                <w:szCs w:val="26"/>
              </w:rPr>
              <w:t>Usage for Billing Period 9/2/16 - 10/4/16</w:t>
            </w:r>
          </w:p>
        </w:tc>
      </w:tr>
      <w:tr w:rsidR="007F3548" w:rsidRPr="007F3548" w14:paraId="5BBEE877" w14:textId="77777777" w:rsidTr="009460FE">
        <w:trPr>
          <w:trHeight w:val="330"/>
          <w:jc w:val="center"/>
        </w:trPr>
        <w:tc>
          <w:tcPr>
            <w:tcW w:w="1256" w:type="dxa"/>
            <w:tcBorders>
              <w:top w:val="single" w:sz="4" w:space="0" w:color="auto"/>
              <w:left w:val="single" w:sz="4" w:space="0" w:color="auto"/>
              <w:bottom w:val="single" w:sz="4" w:space="0" w:color="auto"/>
              <w:right w:val="single" w:sz="4" w:space="0" w:color="auto"/>
            </w:tcBorders>
            <w:noWrap/>
            <w:vAlign w:val="bottom"/>
            <w:hideMark/>
          </w:tcPr>
          <w:p w14:paraId="10C1D68B" w14:textId="77777777" w:rsidR="007F3548" w:rsidRPr="007F3548" w:rsidRDefault="007F3548" w:rsidP="00E72887">
            <w:pPr>
              <w:keepNext/>
              <w:keepLines/>
              <w:widowControl/>
              <w:jc w:val="right"/>
              <w:rPr>
                <w:color w:val="000000"/>
                <w:sz w:val="26"/>
                <w:szCs w:val="26"/>
              </w:rPr>
            </w:pPr>
            <w:r w:rsidRPr="007F3548">
              <w:rPr>
                <w:color w:val="000000"/>
                <w:sz w:val="26"/>
                <w:szCs w:val="26"/>
              </w:rPr>
              <w:t>$70.64</w:t>
            </w:r>
          </w:p>
        </w:tc>
        <w:tc>
          <w:tcPr>
            <w:tcW w:w="6749" w:type="dxa"/>
            <w:tcBorders>
              <w:top w:val="single" w:sz="4" w:space="0" w:color="auto"/>
              <w:left w:val="nil"/>
              <w:bottom w:val="single" w:sz="4" w:space="0" w:color="auto"/>
              <w:right w:val="single" w:sz="4" w:space="0" w:color="auto"/>
            </w:tcBorders>
            <w:noWrap/>
            <w:vAlign w:val="bottom"/>
            <w:hideMark/>
          </w:tcPr>
          <w:p w14:paraId="7750399B" w14:textId="77777777" w:rsidR="007F3548" w:rsidRPr="007F3548" w:rsidRDefault="007F3548" w:rsidP="00E72887">
            <w:pPr>
              <w:keepNext/>
              <w:keepLines/>
              <w:widowControl/>
              <w:rPr>
                <w:color w:val="000000"/>
                <w:sz w:val="26"/>
                <w:szCs w:val="26"/>
              </w:rPr>
            </w:pPr>
            <w:r w:rsidRPr="007F3548">
              <w:rPr>
                <w:color w:val="000000"/>
                <w:sz w:val="26"/>
                <w:szCs w:val="26"/>
              </w:rPr>
              <w:t>Usage for Billing Period 10/4/16 - 11/2/16</w:t>
            </w:r>
          </w:p>
        </w:tc>
      </w:tr>
      <w:tr w:rsidR="007F3548" w:rsidRPr="007F3548" w14:paraId="114037FE" w14:textId="77777777" w:rsidTr="009460FE">
        <w:trPr>
          <w:trHeight w:val="330"/>
          <w:jc w:val="center"/>
        </w:trPr>
        <w:tc>
          <w:tcPr>
            <w:tcW w:w="1256" w:type="dxa"/>
            <w:tcBorders>
              <w:top w:val="single" w:sz="4" w:space="0" w:color="auto"/>
              <w:left w:val="single" w:sz="4" w:space="0" w:color="auto"/>
              <w:bottom w:val="single" w:sz="4" w:space="0" w:color="auto"/>
              <w:right w:val="single" w:sz="4" w:space="0" w:color="auto"/>
            </w:tcBorders>
            <w:noWrap/>
            <w:vAlign w:val="bottom"/>
            <w:hideMark/>
          </w:tcPr>
          <w:p w14:paraId="45E9127E" w14:textId="77777777" w:rsidR="007F3548" w:rsidRPr="007F3548" w:rsidRDefault="007F3548" w:rsidP="00E72887">
            <w:pPr>
              <w:keepNext/>
              <w:keepLines/>
              <w:widowControl/>
              <w:jc w:val="right"/>
              <w:rPr>
                <w:color w:val="000000"/>
                <w:sz w:val="26"/>
                <w:szCs w:val="26"/>
              </w:rPr>
            </w:pPr>
            <w:r w:rsidRPr="007F3548">
              <w:rPr>
                <w:color w:val="000000"/>
                <w:sz w:val="26"/>
                <w:szCs w:val="26"/>
              </w:rPr>
              <w:t>$155.70</w:t>
            </w:r>
          </w:p>
        </w:tc>
        <w:tc>
          <w:tcPr>
            <w:tcW w:w="6749" w:type="dxa"/>
            <w:tcBorders>
              <w:top w:val="single" w:sz="4" w:space="0" w:color="auto"/>
              <w:left w:val="nil"/>
              <w:bottom w:val="single" w:sz="4" w:space="0" w:color="auto"/>
              <w:right w:val="single" w:sz="4" w:space="0" w:color="auto"/>
            </w:tcBorders>
            <w:noWrap/>
            <w:vAlign w:val="bottom"/>
            <w:hideMark/>
          </w:tcPr>
          <w:p w14:paraId="19774FE1" w14:textId="77777777" w:rsidR="007F3548" w:rsidRPr="007F3548" w:rsidRDefault="007F3548" w:rsidP="00E72887">
            <w:pPr>
              <w:keepNext/>
              <w:keepLines/>
              <w:widowControl/>
              <w:rPr>
                <w:color w:val="000000"/>
                <w:sz w:val="26"/>
                <w:szCs w:val="26"/>
              </w:rPr>
            </w:pPr>
            <w:r w:rsidRPr="007F3548">
              <w:rPr>
                <w:color w:val="000000"/>
                <w:sz w:val="26"/>
                <w:szCs w:val="26"/>
              </w:rPr>
              <w:t>Usage for Billing Period 11/2/16 - 12/5/16</w:t>
            </w:r>
          </w:p>
        </w:tc>
      </w:tr>
      <w:tr w:rsidR="007F3548" w:rsidRPr="007F3548" w14:paraId="2DE9906D" w14:textId="77777777" w:rsidTr="009460FE">
        <w:trPr>
          <w:trHeight w:val="330"/>
          <w:jc w:val="center"/>
        </w:trPr>
        <w:tc>
          <w:tcPr>
            <w:tcW w:w="1256" w:type="dxa"/>
            <w:tcBorders>
              <w:top w:val="single" w:sz="4" w:space="0" w:color="auto"/>
              <w:left w:val="single" w:sz="4" w:space="0" w:color="auto"/>
              <w:bottom w:val="single" w:sz="4" w:space="0" w:color="auto"/>
              <w:right w:val="single" w:sz="4" w:space="0" w:color="auto"/>
            </w:tcBorders>
            <w:noWrap/>
            <w:vAlign w:val="bottom"/>
            <w:hideMark/>
          </w:tcPr>
          <w:p w14:paraId="67B0C92A" w14:textId="77777777" w:rsidR="007F3548" w:rsidRPr="007F3548" w:rsidRDefault="007F3548" w:rsidP="00E72887">
            <w:pPr>
              <w:keepNext/>
              <w:keepLines/>
              <w:widowControl/>
              <w:jc w:val="right"/>
              <w:rPr>
                <w:color w:val="000000"/>
                <w:sz w:val="26"/>
                <w:szCs w:val="26"/>
                <w:u w:val="single"/>
              </w:rPr>
            </w:pPr>
            <w:r w:rsidRPr="007F3548">
              <w:rPr>
                <w:color w:val="000000"/>
                <w:sz w:val="26"/>
                <w:szCs w:val="26"/>
                <w:u w:val="single"/>
              </w:rPr>
              <w:t>$192.39</w:t>
            </w:r>
          </w:p>
        </w:tc>
        <w:tc>
          <w:tcPr>
            <w:tcW w:w="6749" w:type="dxa"/>
            <w:tcBorders>
              <w:top w:val="single" w:sz="4" w:space="0" w:color="auto"/>
              <w:left w:val="nil"/>
              <w:bottom w:val="single" w:sz="4" w:space="0" w:color="auto"/>
              <w:right w:val="single" w:sz="4" w:space="0" w:color="auto"/>
            </w:tcBorders>
            <w:noWrap/>
            <w:vAlign w:val="bottom"/>
            <w:hideMark/>
          </w:tcPr>
          <w:p w14:paraId="04222B73" w14:textId="33DB9475" w:rsidR="007F3548" w:rsidRPr="007F3548" w:rsidRDefault="007F3548" w:rsidP="00E72887">
            <w:pPr>
              <w:keepNext/>
              <w:keepLines/>
              <w:widowControl/>
              <w:rPr>
                <w:color w:val="000000"/>
                <w:sz w:val="26"/>
                <w:szCs w:val="26"/>
              </w:rPr>
            </w:pPr>
            <w:r w:rsidRPr="007F3548">
              <w:rPr>
                <w:color w:val="000000"/>
                <w:sz w:val="26"/>
                <w:szCs w:val="26"/>
              </w:rPr>
              <w:t>Usage for Bil</w:t>
            </w:r>
            <w:r w:rsidR="00AA027B">
              <w:rPr>
                <w:color w:val="000000"/>
                <w:sz w:val="26"/>
                <w:szCs w:val="26"/>
              </w:rPr>
              <w:t>l</w:t>
            </w:r>
            <w:r w:rsidRPr="007F3548">
              <w:rPr>
                <w:color w:val="000000"/>
                <w:sz w:val="26"/>
                <w:szCs w:val="26"/>
              </w:rPr>
              <w:t>ing Period 12/5/16 - 1/4/17</w:t>
            </w:r>
          </w:p>
        </w:tc>
      </w:tr>
      <w:tr w:rsidR="007F3548" w:rsidRPr="007F3548" w14:paraId="5E17E0E6" w14:textId="77777777" w:rsidTr="009460FE">
        <w:trPr>
          <w:trHeight w:val="990"/>
          <w:jc w:val="center"/>
        </w:trPr>
        <w:tc>
          <w:tcPr>
            <w:tcW w:w="1256" w:type="dxa"/>
            <w:tcBorders>
              <w:top w:val="single" w:sz="4" w:space="0" w:color="auto"/>
              <w:left w:val="single" w:sz="4" w:space="0" w:color="auto"/>
              <w:bottom w:val="single" w:sz="4" w:space="0" w:color="auto"/>
              <w:right w:val="single" w:sz="4" w:space="0" w:color="auto"/>
            </w:tcBorders>
            <w:noWrap/>
            <w:vAlign w:val="bottom"/>
            <w:hideMark/>
          </w:tcPr>
          <w:p w14:paraId="74568188" w14:textId="77777777" w:rsidR="007F3548" w:rsidRPr="007F3548" w:rsidRDefault="007F3548" w:rsidP="00E72887">
            <w:pPr>
              <w:keepNext/>
              <w:keepLines/>
              <w:widowControl/>
              <w:jc w:val="right"/>
              <w:rPr>
                <w:color w:val="000000"/>
                <w:sz w:val="26"/>
                <w:szCs w:val="26"/>
                <w:u w:val="double"/>
              </w:rPr>
            </w:pPr>
            <w:r w:rsidRPr="007F3548">
              <w:rPr>
                <w:color w:val="000000"/>
                <w:sz w:val="26"/>
                <w:szCs w:val="26"/>
                <w:u w:val="double"/>
              </w:rPr>
              <w:t>$1,927.11</w:t>
            </w:r>
          </w:p>
        </w:tc>
        <w:tc>
          <w:tcPr>
            <w:tcW w:w="6749" w:type="dxa"/>
            <w:tcBorders>
              <w:top w:val="single" w:sz="4" w:space="0" w:color="auto"/>
              <w:left w:val="nil"/>
              <w:bottom w:val="single" w:sz="4" w:space="0" w:color="auto"/>
              <w:right w:val="single" w:sz="4" w:space="0" w:color="auto"/>
            </w:tcBorders>
            <w:vAlign w:val="bottom"/>
            <w:hideMark/>
          </w:tcPr>
          <w:p w14:paraId="35B439BD" w14:textId="77777777" w:rsidR="007F3548" w:rsidRPr="007F3548" w:rsidRDefault="007F3548" w:rsidP="00E72887">
            <w:pPr>
              <w:keepNext/>
              <w:keepLines/>
              <w:widowControl/>
              <w:rPr>
                <w:color w:val="000000"/>
                <w:sz w:val="26"/>
                <w:szCs w:val="26"/>
              </w:rPr>
            </w:pPr>
            <w:r w:rsidRPr="007F3548">
              <w:rPr>
                <w:color w:val="000000"/>
                <w:sz w:val="26"/>
                <w:szCs w:val="26"/>
              </w:rPr>
              <w:t>Total Charges Accrued to Tenant's Account at Complainant's Rental Property During Period When Foreign Wiring Condition Existed</w:t>
            </w:r>
          </w:p>
        </w:tc>
      </w:tr>
      <w:tr w:rsidR="007F3548" w:rsidRPr="007F3548" w14:paraId="16EE217B" w14:textId="77777777" w:rsidTr="009460FE">
        <w:trPr>
          <w:trHeight w:val="660"/>
          <w:jc w:val="center"/>
        </w:trPr>
        <w:tc>
          <w:tcPr>
            <w:tcW w:w="1256" w:type="dxa"/>
            <w:tcBorders>
              <w:top w:val="single" w:sz="4" w:space="0" w:color="auto"/>
              <w:left w:val="single" w:sz="4" w:space="0" w:color="auto"/>
              <w:bottom w:val="single" w:sz="4" w:space="0" w:color="auto"/>
              <w:right w:val="single" w:sz="4" w:space="0" w:color="auto"/>
            </w:tcBorders>
            <w:noWrap/>
            <w:vAlign w:val="bottom"/>
            <w:hideMark/>
          </w:tcPr>
          <w:p w14:paraId="551BBE35" w14:textId="77777777" w:rsidR="007F3548" w:rsidRPr="007F3548" w:rsidRDefault="007F3548" w:rsidP="00E72887">
            <w:pPr>
              <w:keepNext/>
              <w:keepLines/>
              <w:widowControl/>
              <w:jc w:val="right"/>
              <w:rPr>
                <w:color w:val="000000"/>
                <w:sz w:val="26"/>
                <w:szCs w:val="26"/>
              </w:rPr>
            </w:pPr>
            <w:r w:rsidRPr="007F3548">
              <w:rPr>
                <w:color w:val="000000"/>
                <w:sz w:val="26"/>
                <w:szCs w:val="26"/>
              </w:rPr>
              <w:t>-$33.59</w:t>
            </w:r>
          </w:p>
        </w:tc>
        <w:tc>
          <w:tcPr>
            <w:tcW w:w="6749" w:type="dxa"/>
            <w:tcBorders>
              <w:top w:val="single" w:sz="4" w:space="0" w:color="auto"/>
              <w:left w:val="nil"/>
              <w:bottom w:val="single" w:sz="4" w:space="0" w:color="auto"/>
              <w:right w:val="single" w:sz="4" w:space="0" w:color="auto"/>
            </w:tcBorders>
            <w:vAlign w:val="bottom"/>
            <w:hideMark/>
          </w:tcPr>
          <w:p w14:paraId="245CCB40" w14:textId="72BB9F83" w:rsidR="007F3548" w:rsidRPr="007F3548" w:rsidRDefault="007F3548" w:rsidP="00E72887">
            <w:pPr>
              <w:keepNext/>
              <w:keepLines/>
              <w:widowControl/>
              <w:rPr>
                <w:color w:val="000000"/>
                <w:sz w:val="26"/>
                <w:szCs w:val="26"/>
              </w:rPr>
            </w:pPr>
            <w:r w:rsidRPr="007F3548">
              <w:rPr>
                <w:color w:val="000000"/>
                <w:sz w:val="26"/>
                <w:szCs w:val="26"/>
              </w:rPr>
              <w:t xml:space="preserve">Less </w:t>
            </w:r>
            <w:r w:rsidR="00B70105" w:rsidRPr="00311C63">
              <w:rPr>
                <w:color w:val="000000"/>
                <w:sz w:val="26"/>
                <w:szCs w:val="26"/>
              </w:rPr>
              <w:t>Cancelled</w:t>
            </w:r>
            <w:r w:rsidR="00B70105">
              <w:rPr>
                <w:color w:val="000000"/>
                <w:sz w:val="26"/>
                <w:szCs w:val="26"/>
              </w:rPr>
              <w:t xml:space="preserve"> </w:t>
            </w:r>
            <w:r w:rsidRPr="007F3548">
              <w:rPr>
                <w:color w:val="000000"/>
                <w:sz w:val="26"/>
                <w:szCs w:val="26"/>
              </w:rPr>
              <w:t>Late Payment Charges ($26.03 + $0.02 + $4.19 +$3.35)</w:t>
            </w:r>
          </w:p>
        </w:tc>
      </w:tr>
      <w:tr w:rsidR="007F3548" w:rsidRPr="007F3548" w14:paraId="123A0C83" w14:textId="77777777" w:rsidTr="009460FE">
        <w:trPr>
          <w:trHeight w:val="1320"/>
          <w:jc w:val="center"/>
        </w:trPr>
        <w:tc>
          <w:tcPr>
            <w:tcW w:w="1256" w:type="dxa"/>
            <w:tcBorders>
              <w:top w:val="single" w:sz="4" w:space="0" w:color="auto"/>
              <w:left w:val="single" w:sz="4" w:space="0" w:color="auto"/>
              <w:bottom w:val="single" w:sz="4" w:space="0" w:color="auto"/>
              <w:right w:val="single" w:sz="4" w:space="0" w:color="auto"/>
            </w:tcBorders>
            <w:noWrap/>
            <w:vAlign w:val="bottom"/>
            <w:hideMark/>
          </w:tcPr>
          <w:p w14:paraId="48872D3F" w14:textId="77777777" w:rsidR="007F3548" w:rsidRPr="009460FE" w:rsidRDefault="007F3548" w:rsidP="00E72887">
            <w:pPr>
              <w:keepNext/>
              <w:keepLines/>
              <w:widowControl/>
              <w:jc w:val="right"/>
              <w:rPr>
                <w:b/>
                <w:color w:val="000000"/>
                <w:sz w:val="26"/>
                <w:szCs w:val="26"/>
                <w:u w:val="double"/>
              </w:rPr>
            </w:pPr>
            <w:r w:rsidRPr="009460FE">
              <w:rPr>
                <w:b/>
                <w:color w:val="000000"/>
                <w:sz w:val="26"/>
                <w:szCs w:val="26"/>
                <w:u w:val="double"/>
              </w:rPr>
              <w:t>$1,893.52</w:t>
            </w:r>
          </w:p>
        </w:tc>
        <w:tc>
          <w:tcPr>
            <w:tcW w:w="6749" w:type="dxa"/>
            <w:tcBorders>
              <w:top w:val="single" w:sz="4" w:space="0" w:color="auto"/>
              <w:left w:val="nil"/>
              <w:bottom w:val="single" w:sz="4" w:space="0" w:color="auto"/>
              <w:right w:val="single" w:sz="4" w:space="0" w:color="auto"/>
            </w:tcBorders>
            <w:vAlign w:val="bottom"/>
            <w:hideMark/>
          </w:tcPr>
          <w:p w14:paraId="04DFA142" w14:textId="77777777" w:rsidR="007F3548" w:rsidRPr="009460FE" w:rsidRDefault="007F3548" w:rsidP="00E72887">
            <w:pPr>
              <w:keepNext/>
              <w:keepLines/>
              <w:widowControl/>
              <w:rPr>
                <w:b/>
                <w:color w:val="000000"/>
                <w:sz w:val="26"/>
                <w:szCs w:val="26"/>
              </w:rPr>
            </w:pPr>
            <w:r w:rsidRPr="009460FE">
              <w:rPr>
                <w:b/>
                <w:color w:val="000000"/>
                <w:sz w:val="26"/>
                <w:szCs w:val="26"/>
              </w:rPr>
              <w:t xml:space="preserve">Total Usage Charges Accrued to Tenant's Account at Complainant's Rental Property </w:t>
            </w:r>
          </w:p>
        </w:tc>
      </w:tr>
      <w:tr w:rsidR="007F3548" w:rsidRPr="007F3548" w14:paraId="7F4D0C5E" w14:textId="77777777" w:rsidTr="009460FE">
        <w:trPr>
          <w:trHeight w:val="330"/>
          <w:jc w:val="center"/>
        </w:trPr>
        <w:tc>
          <w:tcPr>
            <w:tcW w:w="1256" w:type="dxa"/>
            <w:tcBorders>
              <w:top w:val="single" w:sz="4" w:space="0" w:color="auto"/>
              <w:left w:val="single" w:sz="4" w:space="0" w:color="auto"/>
              <w:bottom w:val="single" w:sz="4" w:space="0" w:color="auto"/>
              <w:right w:val="single" w:sz="4" w:space="0" w:color="auto"/>
            </w:tcBorders>
            <w:noWrap/>
            <w:vAlign w:val="bottom"/>
            <w:hideMark/>
          </w:tcPr>
          <w:p w14:paraId="57FEC585" w14:textId="77777777" w:rsidR="007F3548" w:rsidRPr="007F3548" w:rsidRDefault="007F3548" w:rsidP="00E72887">
            <w:pPr>
              <w:keepNext/>
              <w:keepLines/>
              <w:widowControl/>
              <w:rPr>
                <w:color w:val="000000"/>
                <w:sz w:val="26"/>
                <w:szCs w:val="26"/>
              </w:rPr>
            </w:pPr>
          </w:p>
        </w:tc>
        <w:tc>
          <w:tcPr>
            <w:tcW w:w="6749" w:type="dxa"/>
            <w:tcBorders>
              <w:top w:val="single" w:sz="4" w:space="0" w:color="auto"/>
              <w:left w:val="single" w:sz="4" w:space="0" w:color="auto"/>
              <w:bottom w:val="single" w:sz="4" w:space="0" w:color="auto"/>
              <w:right w:val="single" w:sz="4" w:space="0" w:color="auto"/>
            </w:tcBorders>
            <w:noWrap/>
            <w:vAlign w:val="bottom"/>
            <w:hideMark/>
          </w:tcPr>
          <w:p w14:paraId="63EC678A" w14:textId="77777777" w:rsidR="007F3548" w:rsidRPr="007F3548" w:rsidRDefault="007F3548" w:rsidP="00E72887">
            <w:pPr>
              <w:keepNext/>
              <w:keepLines/>
              <w:widowControl/>
            </w:pPr>
          </w:p>
        </w:tc>
      </w:tr>
      <w:tr w:rsidR="007F3548" w:rsidRPr="007F3548" w14:paraId="44A66063" w14:textId="77777777" w:rsidTr="009460FE">
        <w:trPr>
          <w:trHeight w:val="330"/>
          <w:jc w:val="center"/>
        </w:trPr>
        <w:tc>
          <w:tcPr>
            <w:tcW w:w="8005" w:type="dxa"/>
            <w:gridSpan w:val="2"/>
            <w:tcBorders>
              <w:top w:val="single" w:sz="4" w:space="0" w:color="auto"/>
              <w:left w:val="single" w:sz="4" w:space="0" w:color="auto"/>
              <w:bottom w:val="single" w:sz="4" w:space="0" w:color="auto"/>
              <w:right w:val="single" w:sz="4" w:space="0" w:color="auto"/>
            </w:tcBorders>
            <w:noWrap/>
            <w:vAlign w:val="bottom"/>
            <w:hideMark/>
          </w:tcPr>
          <w:p w14:paraId="49E0804A" w14:textId="77777777" w:rsidR="007F3548" w:rsidRPr="007F3548" w:rsidRDefault="007F3548" w:rsidP="00E72887">
            <w:pPr>
              <w:keepNext/>
              <w:keepLines/>
              <w:widowControl/>
              <w:rPr>
                <w:color w:val="000000"/>
                <w:sz w:val="26"/>
                <w:szCs w:val="26"/>
              </w:rPr>
            </w:pPr>
            <w:r w:rsidRPr="007F3548">
              <w:rPr>
                <w:color w:val="000000"/>
                <w:sz w:val="26"/>
                <w:szCs w:val="26"/>
              </w:rPr>
              <w:t>Source:  PECO Exhibit 1; Tr. at 21-23.</w:t>
            </w:r>
          </w:p>
        </w:tc>
      </w:tr>
    </w:tbl>
    <w:p w14:paraId="3DCC9713" w14:textId="77777777" w:rsidR="00167BEB" w:rsidRDefault="00167BEB" w:rsidP="00E72887">
      <w:pPr>
        <w:keepNext/>
        <w:keepLines/>
        <w:widowControl/>
        <w:spacing w:line="360" w:lineRule="auto"/>
        <w:contextualSpacing/>
        <w:rPr>
          <w:sz w:val="26"/>
          <w:szCs w:val="26"/>
        </w:rPr>
      </w:pPr>
    </w:p>
    <w:p w14:paraId="6CCC76F6" w14:textId="1DE5F5D3" w:rsidR="00167BEB" w:rsidRDefault="00DD6F68" w:rsidP="00C8481A">
      <w:pPr>
        <w:widowControl/>
        <w:spacing w:line="360" w:lineRule="auto"/>
        <w:ind w:firstLine="1440"/>
        <w:contextualSpacing/>
        <w:rPr>
          <w:sz w:val="26"/>
          <w:szCs w:val="26"/>
        </w:rPr>
      </w:pPr>
      <w:r>
        <w:rPr>
          <w:sz w:val="26"/>
          <w:szCs w:val="26"/>
        </w:rPr>
        <w:t>Because PECO applied</w:t>
      </w:r>
      <w:r w:rsidR="008030A5">
        <w:rPr>
          <w:sz w:val="26"/>
          <w:szCs w:val="26"/>
        </w:rPr>
        <w:t xml:space="preserve"> </w:t>
      </w:r>
      <w:r>
        <w:rPr>
          <w:sz w:val="26"/>
          <w:szCs w:val="26"/>
        </w:rPr>
        <w:t xml:space="preserve">the tenant’s payments </w:t>
      </w:r>
      <w:r w:rsidR="00877090">
        <w:rPr>
          <w:sz w:val="26"/>
          <w:szCs w:val="26"/>
        </w:rPr>
        <w:t xml:space="preserve">of $986.69 </w:t>
      </w:r>
      <w:r w:rsidR="00C8481A">
        <w:rPr>
          <w:sz w:val="26"/>
          <w:szCs w:val="26"/>
        </w:rPr>
        <w:t>first to the tenant’s</w:t>
      </w:r>
      <w:r>
        <w:rPr>
          <w:sz w:val="26"/>
          <w:szCs w:val="26"/>
        </w:rPr>
        <w:t xml:space="preserve"> older outstanding balance from her prior address</w:t>
      </w:r>
      <w:r w:rsidR="008030A5">
        <w:rPr>
          <w:sz w:val="26"/>
          <w:szCs w:val="26"/>
        </w:rPr>
        <w:t xml:space="preserve"> in accordance with 52 Pa. Code § 56.24,</w:t>
      </w:r>
      <w:r w:rsidR="007F3548">
        <w:rPr>
          <w:sz w:val="26"/>
          <w:szCs w:val="26"/>
        </w:rPr>
        <w:t xml:space="preserve"> zero payments </w:t>
      </w:r>
      <w:r>
        <w:rPr>
          <w:sz w:val="26"/>
          <w:szCs w:val="26"/>
        </w:rPr>
        <w:t>were applied to offset the service provide</w:t>
      </w:r>
      <w:r w:rsidR="00C8481A">
        <w:rPr>
          <w:sz w:val="26"/>
          <w:szCs w:val="26"/>
        </w:rPr>
        <w:t>d</w:t>
      </w:r>
      <w:r>
        <w:rPr>
          <w:sz w:val="26"/>
          <w:szCs w:val="26"/>
        </w:rPr>
        <w:t xml:space="preserve"> to </w:t>
      </w:r>
      <w:r w:rsidR="007F3548">
        <w:rPr>
          <w:sz w:val="26"/>
          <w:szCs w:val="26"/>
        </w:rPr>
        <w:t>the tenant</w:t>
      </w:r>
      <w:r>
        <w:rPr>
          <w:sz w:val="26"/>
          <w:szCs w:val="26"/>
        </w:rPr>
        <w:t xml:space="preserve"> at Mr. DeHaven’s premises.  </w:t>
      </w:r>
      <w:r w:rsidR="007F3548">
        <w:rPr>
          <w:sz w:val="26"/>
          <w:szCs w:val="26"/>
        </w:rPr>
        <w:t xml:space="preserve">Exc. at 2; </w:t>
      </w:r>
      <w:r>
        <w:rPr>
          <w:sz w:val="26"/>
          <w:szCs w:val="26"/>
        </w:rPr>
        <w:t>Tr. at 19, 30; PECO Exh. 1.</w:t>
      </w:r>
    </w:p>
    <w:p w14:paraId="7AFCAB02" w14:textId="77777777" w:rsidR="00167BEB" w:rsidRDefault="00167BEB" w:rsidP="00C8481A">
      <w:pPr>
        <w:widowControl/>
        <w:spacing w:line="360" w:lineRule="auto"/>
        <w:ind w:firstLine="1440"/>
        <w:contextualSpacing/>
        <w:rPr>
          <w:sz w:val="26"/>
          <w:szCs w:val="26"/>
        </w:rPr>
      </w:pPr>
    </w:p>
    <w:p w14:paraId="4A395E71" w14:textId="20853842" w:rsidR="00C8481A" w:rsidRDefault="00C8481A" w:rsidP="00C8481A">
      <w:pPr>
        <w:widowControl/>
        <w:spacing w:line="360" w:lineRule="auto"/>
        <w:ind w:firstLine="1440"/>
        <w:contextualSpacing/>
        <w:rPr>
          <w:sz w:val="26"/>
          <w:szCs w:val="26"/>
        </w:rPr>
      </w:pPr>
      <w:r>
        <w:rPr>
          <w:sz w:val="26"/>
          <w:szCs w:val="26"/>
        </w:rPr>
        <w:t>In January 2017,</w:t>
      </w:r>
      <w:r w:rsidR="00167BEB">
        <w:rPr>
          <w:sz w:val="26"/>
          <w:szCs w:val="26"/>
        </w:rPr>
        <w:t xml:space="preserve"> </w:t>
      </w:r>
      <w:r>
        <w:rPr>
          <w:sz w:val="26"/>
          <w:szCs w:val="26"/>
        </w:rPr>
        <w:t>when</w:t>
      </w:r>
      <w:r w:rsidR="00167BEB">
        <w:rPr>
          <w:sz w:val="26"/>
          <w:szCs w:val="26"/>
        </w:rPr>
        <w:t xml:space="preserve"> PECO discovered the foreign wiring</w:t>
      </w:r>
      <w:r>
        <w:rPr>
          <w:sz w:val="26"/>
          <w:szCs w:val="26"/>
        </w:rPr>
        <w:t xml:space="preserve"> at the service address,</w:t>
      </w:r>
      <w:r w:rsidR="00167BEB">
        <w:rPr>
          <w:sz w:val="26"/>
          <w:szCs w:val="26"/>
        </w:rPr>
        <w:t xml:space="preserve"> </w:t>
      </w:r>
      <w:r>
        <w:rPr>
          <w:sz w:val="26"/>
          <w:szCs w:val="26"/>
        </w:rPr>
        <w:t xml:space="preserve">the total balance on the tenant’s account </w:t>
      </w:r>
      <w:r w:rsidR="00167BEB">
        <w:rPr>
          <w:sz w:val="26"/>
          <w:szCs w:val="26"/>
        </w:rPr>
        <w:t xml:space="preserve">was in the amount of $2,549.22.  </w:t>
      </w:r>
      <w:r>
        <w:rPr>
          <w:sz w:val="26"/>
          <w:szCs w:val="26"/>
        </w:rPr>
        <w:t>When PECO transferred the</w:t>
      </w:r>
      <w:r w:rsidR="00311C63">
        <w:rPr>
          <w:sz w:val="26"/>
          <w:szCs w:val="26"/>
        </w:rPr>
        <w:t xml:space="preserve"> account balance to Mr. DeHaven, it transferred the</w:t>
      </w:r>
      <w:r>
        <w:rPr>
          <w:sz w:val="26"/>
          <w:szCs w:val="26"/>
        </w:rPr>
        <w:t xml:space="preserve"> </w:t>
      </w:r>
      <w:r w:rsidRPr="001825CB">
        <w:rPr>
          <w:sz w:val="26"/>
          <w:szCs w:val="26"/>
        </w:rPr>
        <w:t>$1,893.52</w:t>
      </w:r>
      <w:r>
        <w:rPr>
          <w:sz w:val="26"/>
          <w:szCs w:val="26"/>
        </w:rPr>
        <w:t xml:space="preserve"> </w:t>
      </w:r>
      <w:r w:rsidR="00311C63">
        <w:rPr>
          <w:sz w:val="26"/>
          <w:szCs w:val="26"/>
        </w:rPr>
        <w:t xml:space="preserve">usage </w:t>
      </w:r>
      <w:r>
        <w:rPr>
          <w:sz w:val="26"/>
          <w:szCs w:val="26"/>
        </w:rPr>
        <w:t xml:space="preserve">balance </w:t>
      </w:r>
      <w:r w:rsidR="00311C63">
        <w:rPr>
          <w:sz w:val="26"/>
          <w:szCs w:val="26"/>
        </w:rPr>
        <w:t xml:space="preserve">that accumulated over the ten-month period at the Complainant’s rental property and </w:t>
      </w:r>
      <w:r w:rsidR="00990476">
        <w:rPr>
          <w:sz w:val="26"/>
          <w:szCs w:val="26"/>
        </w:rPr>
        <w:t xml:space="preserve">excluded </w:t>
      </w:r>
      <w:r w:rsidR="00280D97">
        <w:rPr>
          <w:sz w:val="26"/>
          <w:szCs w:val="26"/>
        </w:rPr>
        <w:t>the</w:t>
      </w:r>
      <w:r>
        <w:rPr>
          <w:sz w:val="26"/>
          <w:szCs w:val="26"/>
        </w:rPr>
        <w:t xml:space="preserve"> $622.11</w:t>
      </w:r>
      <w:r w:rsidR="001938F5">
        <w:rPr>
          <w:sz w:val="26"/>
          <w:szCs w:val="26"/>
        </w:rPr>
        <w:t xml:space="preserve"> balance</w:t>
      </w:r>
      <w:r w:rsidR="00990476">
        <w:rPr>
          <w:sz w:val="26"/>
          <w:szCs w:val="26"/>
        </w:rPr>
        <w:t xml:space="preserve"> </w:t>
      </w:r>
      <w:r w:rsidR="00280D97">
        <w:rPr>
          <w:sz w:val="26"/>
          <w:szCs w:val="26"/>
        </w:rPr>
        <w:t xml:space="preserve">from the </w:t>
      </w:r>
      <w:r>
        <w:rPr>
          <w:sz w:val="26"/>
          <w:szCs w:val="26"/>
        </w:rPr>
        <w:t xml:space="preserve">tenant’s prior </w:t>
      </w:r>
      <w:r w:rsidR="0036108F">
        <w:rPr>
          <w:sz w:val="26"/>
          <w:szCs w:val="26"/>
        </w:rPr>
        <w:t xml:space="preserve">service </w:t>
      </w:r>
      <w:r w:rsidR="00FF0A3D">
        <w:rPr>
          <w:sz w:val="26"/>
          <w:szCs w:val="26"/>
        </w:rPr>
        <w:t>address.  PECO Exh. 1; Tr. at 23-2</w:t>
      </w:r>
      <w:r w:rsidR="00280D97">
        <w:rPr>
          <w:sz w:val="26"/>
          <w:szCs w:val="26"/>
        </w:rPr>
        <w:t>5</w:t>
      </w:r>
      <w:r w:rsidR="00FF0A3D">
        <w:rPr>
          <w:sz w:val="26"/>
          <w:szCs w:val="26"/>
        </w:rPr>
        <w:t>.</w:t>
      </w:r>
      <w:r w:rsidR="009C35A1">
        <w:rPr>
          <w:sz w:val="26"/>
          <w:szCs w:val="26"/>
        </w:rPr>
        <w:t xml:space="preserve"> </w:t>
      </w:r>
      <w:r w:rsidR="00FF0A3D">
        <w:rPr>
          <w:sz w:val="26"/>
          <w:szCs w:val="26"/>
        </w:rPr>
        <w:t xml:space="preserve"> </w:t>
      </w:r>
      <w:r w:rsidR="009C35A1">
        <w:rPr>
          <w:sz w:val="26"/>
          <w:szCs w:val="26"/>
        </w:rPr>
        <w:t>PECO</w:t>
      </w:r>
      <w:r w:rsidR="002A543E">
        <w:rPr>
          <w:sz w:val="26"/>
          <w:szCs w:val="26"/>
        </w:rPr>
        <w:t xml:space="preserve"> also</w:t>
      </w:r>
      <w:r w:rsidR="009C35A1">
        <w:rPr>
          <w:sz w:val="26"/>
          <w:szCs w:val="26"/>
        </w:rPr>
        <w:t xml:space="preserve"> cancelled the </w:t>
      </w:r>
      <w:r w:rsidR="00FF0A3D">
        <w:rPr>
          <w:sz w:val="26"/>
          <w:szCs w:val="26"/>
        </w:rPr>
        <w:t xml:space="preserve">tenant’s </w:t>
      </w:r>
      <w:r w:rsidR="009C35A1">
        <w:rPr>
          <w:sz w:val="26"/>
          <w:szCs w:val="26"/>
        </w:rPr>
        <w:t>late</w:t>
      </w:r>
      <w:r w:rsidR="002A543E">
        <w:rPr>
          <w:sz w:val="26"/>
          <w:szCs w:val="26"/>
        </w:rPr>
        <w:t xml:space="preserve"> payment charges</w:t>
      </w:r>
      <w:r w:rsidR="00280D97">
        <w:rPr>
          <w:sz w:val="26"/>
          <w:szCs w:val="26"/>
        </w:rPr>
        <w:t xml:space="preserve"> of $33.59 that were incurred while the tenant resided at Complainant’s rental property.</w:t>
      </w:r>
      <w:r w:rsidR="009C35A1">
        <w:rPr>
          <w:sz w:val="26"/>
          <w:szCs w:val="26"/>
        </w:rPr>
        <w:t xml:space="preserve">  Tr. at 24.</w:t>
      </w:r>
    </w:p>
    <w:p w14:paraId="15E8F27D" w14:textId="77777777" w:rsidR="00167BEB" w:rsidRDefault="00167BEB" w:rsidP="00C8481A">
      <w:pPr>
        <w:widowControl/>
        <w:spacing w:line="360" w:lineRule="auto"/>
        <w:ind w:firstLine="1440"/>
        <w:contextualSpacing/>
        <w:rPr>
          <w:sz w:val="26"/>
          <w:szCs w:val="26"/>
        </w:rPr>
      </w:pPr>
    </w:p>
    <w:p w14:paraId="24AB6C4B" w14:textId="1BC84801" w:rsidR="00C15132" w:rsidRPr="00C8481A" w:rsidRDefault="00AF0A9B" w:rsidP="00C8481A">
      <w:pPr>
        <w:widowControl/>
        <w:spacing w:line="360" w:lineRule="auto"/>
        <w:ind w:firstLine="1440"/>
        <w:contextualSpacing/>
        <w:rPr>
          <w:rFonts w:eastAsiaTheme="minorHAnsi"/>
        </w:rPr>
      </w:pPr>
      <w:r>
        <w:rPr>
          <w:rFonts w:eastAsiaTheme="minorHAnsi"/>
          <w:color w:val="000000"/>
          <w:sz w:val="26"/>
          <w:szCs w:val="26"/>
        </w:rPr>
        <w:t xml:space="preserve">Based on the foregoing, we find that substantial record evidence </w:t>
      </w:r>
      <w:r w:rsidR="00E41680">
        <w:rPr>
          <w:rFonts w:eastAsiaTheme="minorHAnsi"/>
          <w:color w:val="000000"/>
          <w:sz w:val="26"/>
          <w:szCs w:val="26"/>
        </w:rPr>
        <w:t>shows</w:t>
      </w:r>
      <w:r>
        <w:rPr>
          <w:rFonts w:eastAsiaTheme="minorHAnsi"/>
          <w:color w:val="000000"/>
          <w:sz w:val="26"/>
          <w:szCs w:val="26"/>
        </w:rPr>
        <w:t xml:space="preserve"> that PECO did not transfer any portion of the tenant’s prior service address balance to Mr.</w:t>
      </w:r>
      <w:r w:rsidR="008030A5">
        <w:rPr>
          <w:rFonts w:eastAsiaTheme="minorHAnsi"/>
          <w:color w:val="000000"/>
          <w:sz w:val="26"/>
          <w:szCs w:val="26"/>
        </w:rPr>
        <w:t> </w:t>
      </w:r>
      <w:r>
        <w:rPr>
          <w:rFonts w:eastAsiaTheme="minorHAnsi"/>
          <w:color w:val="000000"/>
          <w:sz w:val="26"/>
          <w:szCs w:val="26"/>
        </w:rPr>
        <w:t xml:space="preserve">DeHaven.  Substantial record evidence demonstrates that the $1,893.52 amount that PECO </w:t>
      </w:r>
      <w:r w:rsidR="00877090">
        <w:rPr>
          <w:rFonts w:eastAsiaTheme="minorHAnsi"/>
          <w:color w:val="000000"/>
          <w:sz w:val="26"/>
          <w:szCs w:val="26"/>
        </w:rPr>
        <w:t xml:space="preserve">transferred to Mr. DeHaven </w:t>
      </w:r>
      <w:r w:rsidR="00664E8C">
        <w:rPr>
          <w:rFonts w:eastAsiaTheme="minorHAnsi"/>
          <w:color w:val="000000"/>
          <w:sz w:val="26"/>
          <w:szCs w:val="26"/>
        </w:rPr>
        <w:t xml:space="preserve">represents </w:t>
      </w:r>
      <w:r>
        <w:rPr>
          <w:rFonts w:eastAsiaTheme="minorHAnsi"/>
          <w:color w:val="000000"/>
          <w:sz w:val="26"/>
          <w:szCs w:val="26"/>
        </w:rPr>
        <w:t>the amount of electric usage charges that the tenant incurred while residing at Mr. DeHaven’s rental property when a for</w:t>
      </w:r>
      <w:r w:rsidR="00C8481A">
        <w:rPr>
          <w:rFonts w:eastAsiaTheme="minorHAnsi"/>
          <w:color w:val="000000"/>
          <w:sz w:val="26"/>
          <w:szCs w:val="26"/>
        </w:rPr>
        <w:t>eign wiring condition existed</w:t>
      </w:r>
      <w:r w:rsidR="00664E8C">
        <w:rPr>
          <w:rFonts w:eastAsiaTheme="minorHAnsi"/>
          <w:color w:val="000000"/>
          <w:sz w:val="26"/>
          <w:szCs w:val="26"/>
        </w:rPr>
        <w:t xml:space="preserve">.  </w:t>
      </w:r>
      <w:r w:rsidR="00542D0D">
        <w:rPr>
          <w:rFonts w:eastAsiaTheme="minorHAnsi"/>
          <w:color w:val="000000"/>
          <w:sz w:val="26"/>
          <w:szCs w:val="26"/>
        </w:rPr>
        <w:t>We conclude that</w:t>
      </w:r>
      <w:r w:rsidR="00F8328B">
        <w:rPr>
          <w:rFonts w:eastAsiaTheme="minorHAnsi"/>
          <w:color w:val="000000"/>
          <w:sz w:val="26"/>
          <w:szCs w:val="26"/>
        </w:rPr>
        <w:t xml:space="preserve"> </w:t>
      </w:r>
      <w:r w:rsidR="00664E8C">
        <w:rPr>
          <w:rFonts w:eastAsiaTheme="minorHAnsi"/>
          <w:color w:val="000000"/>
          <w:sz w:val="26"/>
          <w:szCs w:val="26"/>
        </w:rPr>
        <w:t xml:space="preserve">PECO’s actions </w:t>
      </w:r>
      <w:r w:rsidR="00D47AC0">
        <w:rPr>
          <w:rFonts w:eastAsiaTheme="minorHAnsi"/>
          <w:color w:val="000000"/>
          <w:sz w:val="26"/>
          <w:szCs w:val="26"/>
        </w:rPr>
        <w:t>involving the tenant’s account and the Complainant’s account are</w:t>
      </w:r>
      <w:r w:rsidR="00C8481A">
        <w:rPr>
          <w:rFonts w:eastAsiaTheme="minorHAnsi"/>
          <w:color w:val="000000"/>
          <w:sz w:val="26"/>
          <w:szCs w:val="26"/>
        </w:rPr>
        <w:t xml:space="preserve"> consistent with the requirements of 66 Pa. C.</w:t>
      </w:r>
      <w:r w:rsidR="00C8481A" w:rsidRPr="00C8481A">
        <w:rPr>
          <w:rFonts w:eastAsiaTheme="minorHAnsi"/>
          <w:color w:val="000000"/>
          <w:sz w:val="26"/>
          <w:szCs w:val="26"/>
        </w:rPr>
        <w:t xml:space="preserve">S. § </w:t>
      </w:r>
      <w:r w:rsidR="00C8481A" w:rsidRPr="00C8481A">
        <w:rPr>
          <w:rFonts w:eastAsiaTheme="minorHAnsi"/>
          <w:sz w:val="26"/>
          <w:szCs w:val="26"/>
        </w:rPr>
        <w:t>1529.1(b)</w:t>
      </w:r>
      <w:r w:rsidR="00D47AC0">
        <w:rPr>
          <w:rFonts w:eastAsiaTheme="minorHAnsi"/>
          <w:sz w:val="26"/>
          <w:szCs w:val="26"/>
        </w:rPr>
        <w:t xml:space="preserve"> and 52 Pa. Code § 56.24.</w:t>
      </w:r>
    </w:p>
    <w:p w14:paraId="5F664CA4" w14:textId="77777777" w:rsidR="007F3548" w:rsidRDefault="007F3548" w:rsidP="005703F0">
      <w:pPr>
        <w:widowControl/>
        <w:spacing w:line="360" w:lineRule="auto"/>
        <w:contextualSpacing/>
        <w:rPr>
          <w:sz w:val="26"/>
          <w:szCs w:val="26"/>
        </w:rPr>
      </w:pPr>
    </w:p>
    <w:p w14:paraId="72970FC9" w14:textId="2C4A5B26" w:rsidR="00A6626E" w:rsidRDefault="00E45F0C" w:rsidP="00102C7C">
      <w:pPr>
        <w:widowControl/>
        <w:spacing w:line="360" w:lineRule="auto"/>
        <w:ind w:firstLine="1440"/>
        <w:contextualSpacing/>
        <w:rPr>
          <w:rFonts w:eastAsiaTheme="minorHAnsi"/>
          <w:color w:val="000000"/>
          <w:sz w:val="26"/>
          <w:szCs w:val="26"/>
        </w:rPr>
      </w:pPr>
      <w:r>
        <w:rPr>
          <w:rFonts w:eastAsiaTheme="minorHAnsi"/>
          <w:color w:val="000000"/>
          <w:sz w:val="26"/>
          <w:szCs w:val="26"/>
        </w:rPr>
        <w:t xml:space="preserve">In applying the </w:t>
      </w:r>
      <w:r w:rsidRPr="00E45F0C">
        <w:rPr>
          <w:rFonts w:eastAsiaTheme="minorHAnsi"/>
          <w:i/>
          <w:color w:val="000000"/>
          <w:sz w:val="26"/>
          <w:szCs w:val="26"/>
        </w:rPr>
        <w:t>March 2018 Order</w:t>
      </w:r>
      <w:r>
        <w:rPr>
          <w:rFonts w:eastAsiaTheme="minorHAnsi"/>
          <w:color w:val="000000"/>
          <w:sz w:val="26"/>
          <w:szCs w:val="26"/>
        </w:rPr>
        <w:t>, t</w:t>
      </w:r>
      <w:r w:rsidR="00640DFE">
        <w:rPr>
          <w:rFonts w:eastAsiaTheme="minorHAnsi"/>
          <w:color w:val="000000"/>
          <w:sz w:val="26"/>
          <w:szCs w:val="26"/>
        </w:rPr>
        <w:t>he Initial Decision</w:t>
      </w:r>
      <w:r w:rsidR="0013345A">
        <w:rPr>
          <w:rFonts w:eastAsiaTheme="minorHAnsi"/>
          <w:color w:val="000000"/>
          <w:sz w:val="26"/>
          <w:szCs w:val="26"/>
        </w:rPr>
        <w:t xml:space="preserve"> </w:t>
      </w:r>
      <w:r w:rsidR="008030A5">
        <w:rPr>
          <w:rFonts w:eastAsiaTheme="minorHAnsi"/>
          <w:color w:val="000000"/>
          <w:sz w:val="26"/>
          <w:szCs w:val="26"/>
        </w:rPr>
        <w:t xml:space="preserve">on Remand </w:t>
      </w:r>
      <w:r w:rsidR="00AC55D7">
        <w:rPr>
          <w:rFonts w:eastAsiaTheme="minorHAnsi"/>
          <w:color w:val="000000"/>
          <w:sz w:val="26"/>
          <w:szCs w:val="26"/>
        </w:rPr>
        <w:t>stated</w:t>
      </w:r>
      <w:r w:rsidR="00640DFE">
        <w:rPr>
          <w:rFonts w:eastAsiaTheme="minorHAnsi"/>
          <w:color w:val="000000"/>
          <w:sz w:val="26"/>
          <w:szCs w:val="26"/>
        </w:rPr>
        <w:t>:</w:t>
      </w:r>
    </w:p>
    <w:p w14:paraId="2845748D" w14:textId="77777777" w:rsidR="00A6626E" w:rsidRDefault="00A6626E" w:rsidP="00102C7C">
      <w:pPr>
        <w:widowControl/>
        <w:spacing w:line="360" w:lineRule="auto"/>
        <w:ind w:firstLine="1440"/>
        <w:contextualSpacing/>
        <w:rPr>
          <w:rFonts w:eastAsiaTheme="minorHAnsi"/>
          <w:color w:val="000000"/>
          <w:sz w:val="26"/>
          <w:szCs w:val="26"/>
        </w:rPr>
      </w:pPr>
    </w:p>
    <w:p w14:paraId="0B9519AC" w14:textId="37786718" w:rsidR="00A6626E" w:rsidRDefault="00640DFE" w:rsidP="00A6626E">
      <w:pPr>
        <w:widowControl/>
        <w:ind w:left="1440" w:right="1440"/>
        <w:contextualSpacing/>
        <w:rPr>
          <w:sz w:val="26"/>
          <w:szCs w:val="26"/>
        </w:rPr>
      </w:pPr>
      <w:r>
        <w:rPr>
          <w:rFonts w:eastAsiaTheme="minorHAnsi"/>
          <w:color w:val="000000"/>
          <w:sz w:val="26"/>
          <w:szCs w:val="26"/>
        </w:rPr>
        <w:t>To allow</w:t>
      </w:r>
      <w:r w:rsidRPr="001825CB">
        <w:rPr>
          <w:sz w:val="26"/>
          <w:szCs w:val="26"/>
        </w:rPr>
        <w:t xml:space="preserve"> PECO to apply payments to </w:t>
      </w:r>
      <w:r>
        <w:rPr>
          <w:sz w:val="26"/>
          <w:szCs w:val="26"/>
        </w:rPr>
        <w:t>[</w:t>
      </w:r>
      <w:r w:rsidRPr="001825CB">
        <w:rPr>
          <w:sz w:val="26"/>
          <w:szCs w:val="26"/>
        </w:rPr>
        <w:t>the tenant’s</w:t>
      </w:r>
      <w:r>
        <w:rPr>
          <w:sz w:val="26"/>
          <w:szCs w:val="26"/>
        </w:rPr>
        <w:t>]</w:t>
      </w:r>
      <w:r w:rsidRPr="001825CB">
        <w:rPr>
          <w:sz w:val="26"/>
          <w:szCs w:val="26"/>
        </w:rPr>
        <w:t xml:space="preserve"> prior account </w:t>
      </w:r>
      <w:r>
        <w:rPr>
          <w:sz w:val="26"/>
          <w:szCs w:val="26"/>
        </w:rPr>
        <w:t xml:space="preserve">that [the tenant] made </w:t>
      </w:r>
      <w:r w:rsidRPr="001825CB">
        <w:rPr>
          <w:sz w:val="26"/>
          <w:szCs w:val="26"/>
        </w:rPr>
        <w:t xml:space="preserve">while living at the service address, and then transfer that total amount to Mr. DeHaven when foreign load is found, would make Mr. DeHaven responsible for more of the amount remaining of the tenant’s </w:t>
      </w:r>
      <w:r w:rsidRPr="001825CB">
        <w:rPr>
          <w:sz w:val="26"/>
          <w:szCs w:val="26"/>
        </w:rPr>
        <w:lastRenderedPageBreak/>
        <w:t xml:space="preserve">bill at the time the foreign load was found then he otherwise should be under the </w:t>
      </w:r>
      <w:r>
        <w:rPr>
          <w:sz w:val="26"/>
          <w:szCs w:val="26"/>
        </w:rPr>
        <w:t>[</w:t>
      </w:r>
      <w:r w:rsidRPr="001825CB">
        <w:rPr>
          <w:i/>
          <w:sz w:val="26"/>
          <w:szCs w:val="26"/>
        </w:rPr>
        <w:t>March 2018</w:t>
      </w:r>
      <w:r>
        <w:rPr>
          <w:i/>
          <w:sz w:val="26"/>
          <w:szCs w:val="26"/>
        </w:rPr>
        <w:t>]</w:t>
      </w:r>
      <w:r w:rsidRPr="001825CB">
        <w:rPr>
          <w:i/>
          <w:sz w:val="26"/>
          <w:szCs w:val="26"/>
        </w:rPr>
        <w:t xml:space="preserve"> Order</w:t>
      </w:r>
      <w:r w:rsidRPr="001825CB">
        <w:rPr>
          <w:sz w:val="26"/>
          <w:szCs w:val="26"/>
        </w:rPr>
        <w:t>.</w:t>
      </w:r>
      <w:r w:rsidR="00A6626E">
        <w:rPr>
          <w:sz w:val="26"/>
          <w:szCs w:val="26"/>
        </w:rPr>
        <w:t xml:space="preserve">  T</w:t>
      </w:r>
      <w:r w:rsidR="00A6626E" w:rsidRPr="001825CB">
        <w:rPr>
          <w:sz w:val="26"/>
          <w:szCs w:val="26"/>
        </w:rPr>
        <w:t xml:space="preserve">o do </w:t>
      </w:r>
      <w:r w:rsidR="00A6626E" w:rsidRPr="005703F0">
        <w:rPr>
          <w:sz w:val="26"/>
          <w:szCs w:val="26"/>
        </w:rPr>
        <w:t>so</w:t>
      </w:r>
      <w:r w:rsidR="00A6626E">
        <w:rPr>
          <w:sz w:val="26"/>
          <w:szCs w:val="26"/>
        </w:rPr>
        <w:t xml:space="preserve"> “is overly punitive for [</w:t>
      </w:r>
      <w:r w:rsidR="00A6626E" w:rsidRPr="005703F0">
        <w:rPr>
          <w:sz w:val="26"/>
          <w:szCs w:val="26"/>
        </w:rPr>
        <w:t>Mr. DeHaven</w:t>
      </w:r>
      <w:r w:rsidR="00A6626E">
        <w:rPr>
          <w:sz w:val="26"/>
          <w:szCs w:val="26"/>
        </w:rPr>
        <w:t>] because it would make [him]</w:t>
      </w:r>
      <w:r w:rsidR="00A6626E" w:rsidRPr="005703F0">
        <w:rPr>
          <w:sz w:val="26"/>
          <w:szCs w:val="26"/>
        </w:rPr>
        <w:t xml:space="preserve"> financially responsible for prior </w:t>
      </w:r>
      <w:r w:rsidR="00A6626E" w:rsidRPr="00D52583">
        <w:rPr>
          <w:sz w:val="26"/>
          <w:szCs w:val="26"/>
        </w:rPr>
        <w:t xml:space="preserve">debts of the tenant incurred at </w:t>
      </w:r>
      <w:r w:rsidR="00A6626E" w:rsidRPr="005A2BED">
        <w:rPr>
          <w:sz w:val="26"/>
          <w:szCs w:val="26"/>
        </w:rPr>
        <w:t>another service address</w:t>
      </w:r>
      <w:r w:rsidR="000C73EF" w:rsidRPr="005A2BED">
        <w:rPr>
          <w:sz w:val="26"/>
          <w:szCs w:val="26"/>
        </w:rPr>
        <w:t xml:space="preserve">; and </w:t>
      </w:r>
      <w:r w:rsidR="005F43D1">
        <w:rPr>
          <w:sz w:val="26"/>
          <w:szCs w:val="26"/>
        </w:rPr>
        <w:t xml:space="preserve">. . . </w:t>
      </w:r>
      <w:r w:rsidR="000C73EF" w:rsidRPr="005A2BED">
        <w:rPr>
          <w:sz w:val="26"/>
          <w:szCs w:val="26"/>
        </w:rPr>
        <w:t>creates a windfall for the tenant by relieving the tenant of prior debts incurred by the tenant at another service address.</w:t>
      </w:r>
    </w:p>
    <w:p w14:paraId="720683CB" w14:textId="77777777" w:rsidR="00A6626E" w:rsidRDefault="00A6626E" w:rsidP="000C4266">
      <w:pPr>
        <w:keepNext/>
        <w:keepLines/>
        <w:widowControl/>
        <w:contextualSpacing/>
        <w:rPr>
          <w:sz w:val="26"/>
          <w:szCs w:val="26"/>
        </w:rPr>
      </w:pPr>
    </w:p>
    <w:p w14:paraId="239A1105" w14:textId="77777777" w:rsidR="000C4266" w:rsidRDefault="000C4266" w:rsidP="00A6626E">
      <w:pPr>
        <w:widowControl/>
        <w:spacing w:line="360" w:lineRule="auto"/>
        <w:contextualSpacing/>
        <w:rPr>
          <w:sz w:val="26"/>
          <w:szCs w:val="26"/>
        </w:rPr>
      </w:pPr>
    </w:p>
    <w:p w14:paraId="7EFAF84E" w14:textId="55EA966F" w:rsidR="00640DFE" w:rsidRDefault="00640DFE" w:rsidP="000C4266">
      <w:pPr>
        <w:pStyle w:val="BodyText"/>
      </w:pPr>
      <w:r>
        <w:t xml:space="preserve">I.D.R. at 11.  </w:t>
      </w:r>
      <w:r w:rsidR="0013345A">
        <w:t>We respectfully disagree</w:t>
      </w:r>
      <w:r w:rsidR="0036108F">
        <w:t xml:space="preserve">.  </w:t>
      </w:r>
      <w:r w:rsidR="00102C7C">
        <w:t xml:space="preserve">When foreign wiring is involved, </w:t>
      </w:r>
      <w:r w:rsidR="000C73EF">
        <w:t xml:space="preserve">we have not been presented with any argument as to why </w:t>
      </w:r>
      <w:r w:rsidR="00877090">
        <w:t xml:space="preserve">Section 1529.1(b) must be read </w:t>
      </w:r>
      <w:r w:rsidR="00102C7C">
        <w:t>in a manner that</w:t>
      </w:r>
      <w:r w:rsidR="000C73EF">
        <w:t xml:space="preserve"> does not</w:t>
      </w:r>
      <w:r w:rsidR="00102C7C">
        <w:t xml:space="preserve"> give effect to the plain language of </w:t>
      </w:r>
      <w:r w:rsidR="00877090">
        <w:t>52 Pa. Code § 56.24</w:t>
      </w:r>
      <w:r w:rsidR="00102C7C">
        <w:t xml:space="preserve">, </w:t>
      </w:r>
      <w:r>
        <w:t>which provides:</w:t>
      </w:r>
    </w:p>
    <w:p w14:paraId="7D14C863" w14:textId="77777777" w:rsidR="00640DFE" w:rsidRPr="00AE1E99" w:rsidRDefault="00640DFE" w:rsidP="00640DFE">
      <w:pPr>
        <w:widowControl/>
        <w:spacing w:line="360" w:lineRule="auto"/>
        <w:contextualSpacing/>
        <w:rPr>
          <w:sz w:val="26"/>
          <w:szCs w:val="26"/>
        </w:rPr>
      </w:pPr>
    </w:p>
    <w:p w14:paraId="21586824" w14:textId="77777777" w:rsidR="00640DFE" w:rsidRPr="00AE1E99" w:rsidRDefault="00640DFE" w:rsidP="00640DFE">
      <w:pPr>
        <w:widowControl/>
        <w:ind w:left="1440" w:right="1440"/>
        <w:contextualSpacing/>
        <w:rPr>
          <w:sz w:val="26"/>
          <w:szCs w:val="26"/>
        </w:rPr>
      </w:pPr>
      <w:r w:rsidRPr="00AE1E99">
        <w:rPr>
          <w:sz w:val="26"/>
          <w:szCs w:val="26"/>
        </w:rPr>
        <w:t>In the absence of written instructions, a disputed bill or a payment agreement, payments received by a public utility which are insufficient to pay a balance due both for prior service and for service billed during the current billing period shall first be applied to the balance due for prior service.</w:t>
      </w:r>
    </w:p>
    <w:p w14:paraId="579FEF63" w14:textId="77777777" w:rsidR="00640DFE" w:rsidRDefault="00640DFE" w:rsidP="000C4266">
      <w:pPr>
        <w:widowControl/>
        <w:contextualSpacing/>
        <w:rPr>
          <w:rFonts w:eastAsiaTheme="minorHAnsi"/>
          <w:color w:val="000000"/>
          <w:sz w:val="26"/>
          <w:szCs w:val="26"/>
        </w:rPr>
      </w:pPr>
    </w:p>
    <w:p w14:paraId="54A98575" w14:textId="77777777" w:rsidR="000C4266" w:rsidRDefault="000C4266" w:rsidP="00D36B48">
      <w:pPr>
        <w:widowControl/>
        <w:spacing w:line="360" w:lineRule="auto"/>
        <w:contextualSpacing/>
        <w:rPr>
          <w:sz w:val="26"/>
          <w:szCs w:val="26"/>
        </w:rPr>
      </w:pPr>
    </w:p>
    <w:p w14:paraId="2DAF9FA7" w14:textId="057EA179" w:rsidR="00500AFD" w:rsidRDefault="00640DFE" w:rsidP="00D36B48">
      <w:pPr>
        <w:widowControl/>
        <w:spacing w:line="360" w:lineRule="auto"/>
        <w:contextualSpacing/>
        <w:rPr>
          <w:sz w:val="26"/>
          <w:szCs w:val="26"/>
        </w:rPr>
      </w:pPr>
      <w:r>
        <w:rPr>
          <w:sz w:val="26"/>
          <w:szCs w:val="26"/>
        </w:rPr>
        <w:t xml:space="preserve">52 Pa. Code § 56.24.  </w:t>
      </w:r>
      <w:r w:rsidR="0013345A">
        <w:rPr>
          <w:sz w:val="26"/>
          <w:szCs w:val="26"/>
        </w:rPr>
        <w:t>O</w:t>
      </w:r>
      <w:r w:rsidR="00F8328B">
        <w:rPr>
          <w:sz w:val="26"/>
          <w:szCs w:val="26"/>
        </w:rPr>
        <w:t xml:space="preserve">ur </w:t>
      </w:r>
      <w:r w:rsidR="00D13919">
        <w:rPr>
          <w:sz w:val="26"/>
          <w:szCs w:val="26"/>
        </w:rPr>
        <w:t>analysis above</w:t>
      </w:r>
      <w:r w:rsidR="00F8328B">
        <w:rPr>
          <w:sz w:val="26"/>
          <w:szCs w:val="26"/>
        </w:rPr>
        <w:t xml:space="preserve"> </w:t>
      </w:r>
      <w:r w:rsidR="00D36B48">
        <w:rPr>
          <w:sz w:val="26"/>
          <w:szCs w:val="26"/>
        </w:rPr>
        <w:t xml:space="preserve">considers PECO’s actions in a manner that </w:t>
      </w:r>
      <w:r w:rsidR="00A6626E">
        <w:rPr>
          <w:sz w:val="26"/>
          <w:szCs w:val="26"/>
        </w:rPr>
        <w:t xml:space="preserve">is consistent with </w:t>
      </w:r>
      <w:r w:rsidR="00AC55D7">
        <w:rPr>
          <w:sz w:val="26"/>
          <w:szCs w:val="26"/>
        </w:rPr>
        <w:t xml:space="preserve">both </w:t>
      </w:r>
      <w:r w:rsidR="00D36B48">
        <w:rPr>
          <w:sz w:val="26"/>
          <w:szCs w:val="26"/>
        </w:rPr>
        <w:t>the requirements</w:t>
      </w:r>
      <w:r w:rsidR="00102C7C">
        <w:rPr>
          <w:sz w:val="26"/>
          <w:szCs w:val="26"/>
        </w:rPr>
        <w:t xml:space="preserve"> of</w:t>
      </w:r>
      <w:r w:rsidR="00D36B48">
        <w:rPr>
          <w:sz w:val="26"/>
          <w:szCs w:val="26"/>
        </w:rPr>
        <w:t xml:space="preserve"> </w:t>
      </w:r>
      <w:r w:rsidR="000C73EF">
        <w:rPr>
          <w:sz w:val="26"/>
          <w:szCs w:val="26"/>
        </w:rPr>
        <w:t>66 Pa. C.S. § 1529.1(b)</w:t>
      </w:r>
      <w:r w:rsidR="00D36B48">
        <w:rPr>
          <w:sz w:val="26"/>
          <w:szCs w:val="26"/>
        </w:rPr>
        <w:t xml:space="preserve"> </w:t>
      </w:r>
      <w:r w:rsidR="00102C7C">
        <w:rPr>
          <w:sz w:val="26"/>
          <w:szCs w:val="26"/>
        </w:rPr>
        <w:t>and</w:t>
      </w:r>
      <w:r>
        <w:rPr>
          <w:sz w:val="26"/>
          <w:szCs w:val="26"/>
        </w:rPr>
        <w:t xml:space="preserve"> </w:t>
      </w:r>
      <w:r w:rsidR="000C73EF">
        <w:rPr>
          <w:sz w:val="26"/>
          <w:szCs w:val="26"/>
        </w:rPr>
        <w:t>52 Pa. Code</w:t>
      </w:r>
      <w:r w:rsidR="00311C63">
        <w:rPr>
          <w:sz w:val="26"/>
          <w:szCs w:val="26"/>
        </w:rPr>
        <w:t xml:space="preserve"> </w:t>
      </w:r>
      <w:r w:rsidR="000C73EF">
        <w:rPr>
          <w:sz w:val="26"/>
          <w:szCs w:val="26"/>
        </w:rPr>
        <w:t>§</w:t>
      </w:r>
      <w:r w:rsidR="008030A5">
        <w:rPr>
          <w:sz w:val="26"/>
          <w:szCs w:val="26"/>
        </w:rPr>
        <w:t> </w:t>
      </w:r>
      <w:r>
        <w:rPr>
          <w:sz w:val="26"/>
          <w:szCs w:val="26"/>
        </w:rPr>
        <w:t>56.24.</w:t>
      </w:r>
      <w:r w:rsidR="001B4762">
        <w:rPr>
          <w:sz w:val="26"/>
          <w:szCs w:val="26"/>
        </w:rPr>
        <w:t xml:space="preserve">  </w:t>
      </w:r>
      <w:r w:rsidR="003A3561">
        <w:rPr>
          <w:sz w:val="26"/>
          <w:szCs w:val="26"/>
        </w:rPr>
        <w:t>For</w:t>
      </w:r>
      <w:r w:rsidR="00102C7C">
        <w:rPr>
          <w:sz w:val="26"/>
          <w:szCs w:val="26"/>
        </w:rPr>
        <w:t xml:space="preserve"> illustrat</w:t>
      </w:r>
      <w:r w:rsidR="003A3561">
        <w:rPr>
          <w:sz w:val="26"/>
          <w:szCs w:val="26"/>
        </w:rPr>
        <w:t>ion</w:t>
      </w:r>
      <w:r w:rsidR="00102C7C">
        <w:rPr>
          <w:sz w:val="26"/>
          <w:szCs w:val="26"/>
        </w:rPr>
        <w:t xml:space="preserve">, </w:t>
      </w:r>
      <w:r w:rsidR="00CB1024">
        <w:rPr>
          <w:sz w:val="26"/>
          <w:szCs w:val="26"/>
        </w:rPr>
        <w:t xml:space="preserve">had the record shown </w:t>
      </w:r>
      <w:r w:rsidR="00174605">
        <w:rPr>
          <w:sz w:val="26"/>
          <w:szCs w:val="26"/>
        </w:rPr>
        <w:t xml:space="preserve">that </w:t>
      </w:r>
      <w:r w:rsidR="001B4762">
        <w:rPr>
          <w:sz w:val="26"/>
          <w:szCs w:val="26"/>
        </w:rPr>
        <w:t>PECO transferred</w:t>
      </w:r>
      <w:r w:rsidR="00664E8C">
        <w:rPr>
          <w:sz w:val="26"/>
          <w:szCs w:val="26"/>
        </w:rPr>
        <w:t xml:space="preserve"> to Mr. DeHaven</w:t>
      </w:r>
      <w:r w:rsidR="001B4762">
        <w:rPr>
          <w:sz w:val="26"/>
          <w:szCs w:val="26"/>
        </w:rPr>
        <w:t xml:space="preserve"> the $622.11 balance</w:t>
      </w:r>
      <w:r w:rsidR="007F3548" w:rsidRPr="007F3548">
        <w:rPr>
          <w:sz w:val="26"/>
          <w:szCs w:val="26"/>
        </w:rPr>
        <w:t xml:space="preserve"> </w:t>
      </w:r>
      <w:r w:rsidR="00982451">
        <w:rPr>
          <w:sz w:val="26"/>
          <w:szCs w:val="26"/>
        </w:rPr>
        <w:t>remaining from</w:t>
      </w:r>
      <w:r w:rsidR="007F3548">
        <w:rPr>
          <w:sz w:val="26"/>
          <w:szCs w:val="26"/>
        </w:rPr>
        <w:t xml:space="preserve"> </w:t>
      </w:r>
      <w:r w:rsidR="00D36B48">
        <w:rPr>
          <w:sz w:val="26"/>
          <w:szCs w:val="26"/>
        </w:rPr>
        <w:t>the tenant’s</w:t>
      </w:r>
      <w:r w:rsidR="00174605">
        <w:rPr>
          <w:sz w:val="26"/>
          <w:szCs w:val="26"/>
        </w:rPr>
        <w:t xml:space="preserve"> prior service</w:t>
      </w:r>
      <w:r w:rsidR="00664E8C">
        <w:rPr>
          <w:sz w:val="26"/>
          <w:szCs w:val="26"/>
        </w:rPr>
        <w:t xml:space="preserve"> </w:t>
      </w:r>
      <w:r w:rsidR="00102C7C">
        <w:rPr>
          <w:sz w:val="26"/>
          <w:szCs w:val="26"/>
        </w:rPr>
        <w:t xml:space="preserve">address </w:t>
      </w:r>
      <w:r w:rsidR="00174605">
        <w:rPr>
          <w:sz w:val="26"/>
          <w:szCs w:val="26"/>
        </w:rPr>
        <w:t>– then</w:t>
      </w:r>
      <w:r w:rsidR="00102C7C">
        <w:rPr>
          <w:sz w:val="26"/>
          <w:szCs w:val="26"/>
        </w:rPr>
        <w:t>,</w:t>
      </w:r>
      <w:r w:rsidR="00174605">
        <w:rPr>
          <w:sz w:val="26"/>
          <w:szCs w:val="26"/>
        </w:rPr>
        <w:t xml:space="preserve"> </w:t>
      </w:r>
      <w:r w:rsidR="00280D97">
        <w:rPr>
          <w:sz w:val="26"/>
          <w:szCs w:val="26"/>
        </w:rPr>
        <w:t xml:space="preserve">that </w:t>
      </w:r>
      <w:r w:rsidR="00174605">
        <w:rPr>
          <w:sz w:val="26"/>
          <w:szCs w:val="26"/>
        </w:rPr>
        <w:t xml:space="preserve">would </w:t>
      </w:r>
      <w:r w:rsidR="00CE4D70">
        <w:rPr>
          <w:sz w:val="26"/>
          <w:szCs w:val="26"/>
        </w:rPr>
        <w:t>mean</w:t>
      </w:r>
      <w:r w:rsidR="005A2BED">
        <w:rPr>
          <w:sz w:val="26"/>
          <w:szCs w:val="26"/>
        </w:rPr>
        <w:t xml:space="preserve"> an “overly punitive” result for Mr. DeHave</w:t>
      </w:r>
      <w:r w:rsidR="00664E8C">
        <w:rPr>
          <w:sz w:val="26"/>
          <w:szCs w:val="26"/>
        </w:rPr>
        <w:t>n</w:t>
      </w:r>
      <w:r w:rsidR="009A39E7">
        <w:rPr>
          <w:sz w:val="26"/>
          <w:szCs w:val="26"/>
        </w:rPr>
        <w:t xml:space="preserve"> and </w:t>
      </w:r>
      <w:r w:rsidR="00694EB5">
        <w:rPr>
          <w:sz w:val="26"/>
          <w:szCs w:val="26"/>
        </w:rPr>
        <w:t xml:space="preserve">a </w:t>
      </w:r>
      <w:r w:rsidR="009A39E7">
        <w:rPr>
          <w:sz w:val="26"/>
          <w:szCs w:val="26"/>
        </w:rPr>
        <w:t>“windfall” for the tenant</w:t>
      </w:r>
      <w:r w:rsidR="00664E8C">
        <w:rPr>
          <w:sz w:val="26"/>
          <w:szCs w:val="26"/>
        </w:rPr>
        <w:t xml:space="preserve">, which, as we stated in the </w:t>
      </w:r>
      <w:r w:rsidR="00664E8C" w:rsidRPr="00664E8C">
        <w:rPr>
          <w:i/>
          <w:sz w:val="26"/>
          <w:szCs w:val="26"/>
        </w:rPr>
        <w:t>March 2018 Order</w:t>
      </w:r>
      <w:r w:rsidR="00664E8C">
        <w:rPr>
          <w:sz w:val="26"/>
          <w:szCs w:val="26"/>
        </w:rPr>
        <w:t xml:space="preserve">, is not </w:t>
      </w:r>
      <w:r w:rsidR="006659F3">
        <w:rPr>
          <w:sz w:val="26"/>
          <w:szCs w:val="26"/>
        </w:rPr>
        <w:t>permitted under</w:t>
      </w:r>
      <w:r w:rsidR="00664E8C">
        <w:rPr>
          <w:sz w:val="26"/>
          <w:szCs w:val="26"/>
        </w:rPr>
        <w:t xml:space="preserve"> Section 1529.1(b)</w:t>
      </w:r>
      <w:r w:rsidR="005A2BED">
        <w:rPr>
          <w:sz w:val="26"/>
          <w:szCs w:val="26"/>
        </w:rPr>
        <w:t>.  However,</w:t>
      </w:r>
      <w:r w:rsidR="00174605">
        <w:rPr>
          <w:sz w:val="26"/>
          <w:szCs w:val="26"/>
        </w:rPr>
        <w:t xml:space="preserve"> th</w:t>
      </w:r>
      <w:r w:rsidR="00CE4D70">
        <w:rPr>
          <w:sz w:val="26"/>
          <w:szCs w:val="26"/>
        </w:rPr>
        <w:t xml:space="preserve">is is </w:t>
      </w:r>
      <w:r w:rsidR="00CE4D70" w:rsidRPr="00CE4D70">
        <w:rPr>
          <w:sz w:val="26"/>
          <w:szCs w:val="26"/>
        </w:rPr>
        <w:t>not</w:t>
      </w:r>
      <w:r w:rsidR="00CE4D70">
        <w:rPr>
          <w:sz w:val="26"/>
          <w:szCs w:val="26"/>
        </w:rPr>
        <w:t xml:space="preserve"> </w:t>
      </w:r>
      <w:r w:rsidR="00A6626E">
        <w:rPr>
          <w:sz w:val="26"/>
          <w:szCs w:val="26"/>
        </w:rPr>
        <w:t>a</w:t>
      </w:r>
      <w:r w:rsidR="00664E8C">
        <w:rPr>
          <w:sz w:val="26"/>
          <w:szCs w:val="26"/>
        </w:rPr>
        <w:t xml:space="preserve"> fact in</w:t>
      </w:r>
      <w:r w:rsidR="00CB1024">
        <w:rPr>
          <w:sz w:val="26"/>
          <w:szCs w:val="26"/>
        </w:rPr>
        <w:t xml:space="preserve"> this case. </w:t>
      </w:r>
      <w:r w:rsidR="00664E8C">
        <w:rPr>
          <w:sz w:val="26"/>
          <w:szCs w:val="26"/>
        </w:rPr>
        <w:t xml:space="preserve"> </w:t>
      </w:r>
      <w:r w:rsidR="00E45F0C">
        <w:rPr>
          <w:sz w:val="26"/>
          <w:szCs w:val="26"/>
        </w:rPr>
        <w:t>On the contrary, t</w:t>
      </w:r>
      <w:r w:rsidR="00174605">
        <w:rPr>
          <w:sz w:val="26"/>
          <w:szCs w:val="26"/>
        </w:rPr>
        <w:t>he</w:t>
      </w:r>
      <w:r w:rsidR="00102C7C">
        <w:rPr>
          <w:sz w:val="26"/>
          <w:szCs w:val="26"/>
        </w:rPr>
        <w:t xml:space="preserve"> record </w:t>
      </w:r>
      <w:r w:rsidR="00982451">
        <w:rPr>
          <w:sz w:val="26"/>
          <w:szCs w:val="26"/>
        </w:rPr>
        <w:t xml:space="preserve">clearly </w:t>
      </w:r>
      <w:r w:rsidR="00E45F0C">
        <w:rPr>
          <w:sz w:val="26"/>
          <w:szCs w:val="26"/>
        </w:rPr>
        <w:t>demonstrates,</w:t>
      </w:r>
      <w:r w:rsidR="006659F3">
        <w:rPr>
          <w:sz w:val="26"/>
          <w:szCs w:val="26"/>
        </w:rPr>
        <w:t xml:space="preserve"> as discussed extensively above, </w:t>
      </w:r>
      <w:r w:rsidR="00D36B48">
        <w:rPr>
          <w:sz w:val="26"/>
          <w:szCs w:val="26"/>
        </w:rPr>
        <w:t xml:space="preserve">that PECO continues to </w:t>
      </w:r>
      <w:r w:rsidR="00E45F0C">
        <w:rPr>
          <w:sz w:val="26"/>
          <w:szCs w:val="26"/>
        </w:rPr>
        <w:t>hold</w:t>
      </w:r>
      <w:r w:rsidR="00174605">
        <w:rPr>
          <w:sz w:val="26"/>
          <w:szCs w:val="26"/>
        </w:rPr>
        <w:t xml:space="preserve"> the tenant responsible for t</w:t>
      </w:r>
      <w:r w:rsidR="00D36B48">
        <w:rPr>
          <w:sz w:val="26"/>
          <w:szCs w:val="26"/>
        </w:rPr>
        <w:t>he $622.11</w:t>
      </w:r>
      <w:r w:rsidR="002A543E">
        <w:rPr>
          <w:sz w:val="26"/>
          <w:szCs w:val="26"/>
        </w:rPr>
        <w:t xml:space="preserve"> </w:t>
      </w:r>
      <w:r w:rsidR="00102C7C">
        <w:rPr>
          <w:sz w:val="26"/>
          <w:szCs w:val="26"/>
        </w:rPr>
        <w:t xml:space="preserve">balance </w:t>
      </w:r>
      <w:r w:rsidR="000C73EF">
        <w:rPr>
          <w:sz w:val="26"/>
          <w:szCs w:val="26"/>
        </w:rPr>
        <w:t xml:space="preserve">remaining </w:t>
      </w:r>
      <w:r w:rsidR="00D36B48">
        <w:rPr>
          <w:sz w:val="26"/>
          <w:szCs w:val="26"/>
        </w:rPr>
        <w:t xml:space="preserve">from her </w:t>
      </w:r>
      <w:r w:rsidR="00174605">
        <w:rPr>
          <w:sz w:val="26"/>
          <w:szCs w:val="26"/>
        </w:rPr>
        <w:t>prior service address</w:t>
      </w:r>
      <w:r w:rsidR="00D36B48">
        <w:rPr>
          <w:sz w:val="26"/>
          <w:szCs w:val="26"/>
        </w:rPr>
        <w:t xml:space="preserve"> </w:t>
      </w:r>
      <w:r w:rsidR="009A39E7">
        <w:rPr>
          <w:sz w:val="26"/>
          <w:szCs w:val="26"/>
        </w:rPr>
        <w:t>and holds</w:t>
      </w:r>
      <w:r w:rsidR="00102C7C">
        <w:rPr>
          <w:sz w:val="26"/>
          <w:szCs w:val="26"/>
        </w:rPr>
        <w:t xml:space="preserve"> the </w:t>
      </w:r>
      <w:r w:rsidR="00A6626E">
        <w:rPr>
          <w:sz w:val="26"/>
          <w:szCs w:val="26"/>
        </w:rPr>
        <w:t>Complainant</w:t>
      </w:r>
      <w:r w:rsidR="00102C7C">
        <w:rPr>
          <w:sz w:val="26"/>
          <w:szCs w:val="26"/>
        </w:rPr>
        <w:t xml:space="preserve"> responsible for the $1,893.52 balance</w:t>
      </w:r>
      <w:r w:rsidR="00D36B48">
        <w:rPr>
          <w:sz w:val="26"/>
          <w:szCs w:val="26"/>
        </w:rPr>
        <w:t xml:space="preserve"> for</w:t>
      </w:r>
      <w:r w:rsidR="00982451">
        <w:rPr>
          <w:sz w:val="26"/>
          <w:szCs w:val="26"/>
        </w:rPr>
        <w:t xml:space="preserve"> </w:t>
      </w:r>
      <w:r w:rsidR="00D36B48">
        <w:rPr>
          <w:sz w:val="26"/>
          <w:szCs w:val="26"/>
        </w:rPr>
        <w:t xml:space="preserve">electric service </w:t>
      </w:r>
      <w:r w:rsidR="00982451">
        <w:rPr>
          <w:sz w:val="26"/>
          <w:szCs w:val="26"/>
        </w:rPr>
        <w:t>to the tenant’s account</w:t>
      </w:r>
      <w:r w:rsidR="00102C7C">
        <w:rPr>
          <w:sz w:val="26"/>
          <w:szCs w:val="26"/>
        </w:rPr>
        <w:t xml:space="preserve"> at the</w:t>
      </w:r>
      <w:r w:rsidR="00A6626E">
        <w:rPr>
          <w:sz w:val="26"/>
          <w:szCs w:val="26"/>
        </w:rPr>
        <w:t xml:space="preserve"> Complainant’s</w:t>
      </w:r>
      <w:r w:rsidR="00102C7C">
        <w:rPr>
          <w:sz w:val="26"/>
          <w:szCs w:val="26"/>
        </w:rPr>
        <w:t xml:space="preserve"> rental property</w:t>
      </w:r>
      <w:r w:rsidR="00174605">
        <w:rPr>
          <w:sz w:val="26"/>
          <w:szCs w:val="26"/>
        </w:rPr>
        <w:t>.</w:t>
      </w:r>
    </w:p>
    <w:p w14:paraId="458C98B8" w14:textId="77777777" w:rsidR="00E45F0C" w:rsidRDefault="00E45F0C" w:rsidP="00500AFD">
      <w:pPr>
        <w:widowControl/>
        <w:spacing w:line="360" w:lineRule="auto"/>
        <w:contextualSpacing/>
        <w:rPr>
          <w:sz w:val="26"/>
          <w:szCs w:val="26"/>
        </w:rPr>
      </w:pPr>
    </w:p>
    <w:p w14:paraId="3DCB9686" w14:textId="61EEC24E" w:rsidR="00E45F0C" w:rsidRDefault="00E45F0C" w:rsidP="00E45F0C">
      <w:pPr>
        <w:widowControl/>
        <w:spacing w:line="360" w:lineRule="auto"/>
        <w:ind w:firstLine="1440"/>
        <w:contextualSpacing/>
        <w:rPr>
          <w:sz w:val="26"/>
          <w:szCs w:val="26"/>
        </w:rPr>
      </w:pPr>
      <w:r>
        <w:rPr>
          <w:sz w:val="26"/>
          <w:szCs w:val="26"/>
        </w:rPr>
        <w:lastRenderedPageBreak/>
        <w:t xml:space="preserve">We are reminded here that the </w:t>
      </w:r>
      <w:r w:rsidR="009A39E7" w:rsidRPr="00CE4D70">
        <w:rPr>
          <w:sz w:val="26"/>
          <w:szCs w:val="26"/>
        </w:rPr>
        <w:t xml:space="preserve">policy behind Section 1529.1 of the Code is to protect residential tenants from the loss of utility service because another customer has service terminated by the utility.  </w:t>
      </w:r>
      <w:r w:rsidR="009A39E7" w:rsidRPr="00CE4D70">
        <w:rPr>
          <w:i/>
          <w:sz w:val="26"/>
          <w:szCs w:val="26"/>
        </w:rPr>
        <w:t>See Elizabeth</w:t>
      </w:r>
      <w:r w:rsidR="009A39E7" w:rsidRPr="00CE4D70">
        <w:rPr>
          <w:sz w:val="26"/>
          <w:szCs w:val="26"/>
        </w:rPr>
        <w:t xml:space="preserve"> </w:t>
      </w:r>
      <w:r w:rsidR="009A39E7" w:rsidRPr="00CE4D70">
        <w:rPr>
          <w:i/>
          <w:sz w:val="26"/>
          <w:szCs w:val="26"/>
        </w:rPr>
        <w:t>Santos v. Metropolitan Edison Company</w:t>
      </w:r>
      <w:r w:rsidR="009A39E7" w:rsidRPr="00CE4D70">
        <w:rPr>
          <w:sz w:val="26"/>
          <w:szCs w:val="26"/>
        </w:rPr>
        <w:t>, Docket No. C-00967757 (Order entered August 7, 1997).</w:t>
      </w:r>
      <w:r w:rsidR="009A39E7">
        <w:rPr>
          <w:sz w:val="26"/>
          <w:szCs w:val="26"/>
        </w:rPr>
        <w:t xml:space="preserve">  The </w:t>
      </w:r>
      <w:r>
        <w:rPr>
          <w:sz w:val="26"/>
          <w:szCs w:val="26"/>
        </w:rPr>
        <w:t xml:space="preserve">policy </w:t>
      </w:r>
      <w:r w:rsidR="009A39E7">
        <w:rPr>
          <w:sz w:val="26"/>
          <w:szCs w:val="26"/>
        </w:rPr>
        <w:t xml:space="preserve">also </w:t>
      </w:r>
      <w:r>
        <w:rPr>
          <w:sz w:val="26"/>
          <w:szCs w:val="26"/>
        </w:rPr>
        <w:t xml:space="preserve">recognizes </w:t>
      </w:r>
      <w:r w:rsidRPr="00AF706D">
        <w:rPr>
          <w:sz w:val="26"/>
          <w:szCs w:val="26"/>
        </w:rPr>
        <w:t>that the property owner is in a better position than the tenant to know about</w:t>
      </w:r>
      <w:r w:rsidR="00694EB5">
        <w:rPr>
          <w:sz w:val="26"/>
          <w:szCs w:val="26"/>
        </w:rPr>
        <w:t>,</w:t>
      </w:r>
      <w:r w:rsidRPr="00AF706D">
        <w:rPr>
          <w:sz w:val="26"/>
          <w:szCs w:val="26"/>
        </w:rPr>
        <w:t xml:space="preserve"> and correct</w:t>
      </w:r>
      <w:r w:rsidR="00694EB5">
        <w:rPr>
          <w:sz w:val="26"/>
          <w:szCs w:val="26"/>
        </w:rPr>
        <w:t>,</w:t>
      </w:r>
      <w:r w:rsidRPr="00AF706D">
        <w:rPr>
          <w:sz w:val="26"/>
          <w:szCs w:val="26"/>
        </w:rPr>
        <w:t xml:space="preserve"> the foreign load.  </w:t>
      </w:r>
      <w:r w:rsidRPr="00AF706D">
        <w:rPr>
          <w:i/>
          <w:sz w:val="26"/>
          <w:szCs w:val="26"/>
        </w:rPr>
        <w:t xml:space="preserve">See </w:t>
      </w:r>
      <w:r w:rsidRPr="00687B34">
        <w:rPr>
          <w:i/>
          <w:iCs/>
          <w:sz w:val="26"/>
          <w:szCs w:val="26"/>
        </w:rPr>
        <w:t>Albright v. UGI Penn Natural Gas Co., Inc.,</w:t>
      </w:r>
      <w:r w:rsidRPr="00687B34">
        <w:rPr>
          <w:sz w:val="26"/>
          <w:szCs w:val="26"/>
        </w:rPr>
        <w:t xml:space="preserve"> Docket No. F-2009-2139408 (Initial Decision Issued September 29, 2010)</w:t>
      </w:r>
      <w:r>
        <w:rPr>
          <w:iCs/>
          <w:sz w:val="26"/>
          <w:szCs w:val="26"/>
        </w:rPr>
        <w:t xml:space="preserve">.  </w:t>
      </w:r>
      <w:r>
        <w:rPr>
          <w:sz w:val="26"/>
          <w:szCs w:val="26"/>
        </w:rPr>
        <w:t>Th</w:t>
      </w:r>
      <w:r w:rsidR="009A39E7">
        <w:rPr>
          <w:sz w:val="26"/>
          <w:szCs w:val="26"/>
        </w:rPr>
        <w:t xml:space="preserve">e </w:t>
      </w:r>
      <w:r>
        <w:rPr>
          <w:sz w:val="26"/>
          <w:szCs w:val="26"/>
        </w:rPr>
        <w:t>operation</w:t>
      </w:r>
      <w:r w:rsidRPr="00744E80">
        <w:rPr>
          <w:sz w:val="26"/>
          <w:szCs w:val="26"/>
        </w:rPr>
        <w:t xml:space="preserve"> of Section 1529.1</w:t>
      </w:r>
      <w:r w:rsidR="009A39E7">
        <w:rPr>
          <w:sz w:val="26"/>
          <w:szCs w:val="26"/>
        </w:rPr>
        <w:t xml:space="preserve">, while punitive in nature, </w:t>
      </w:r>
      <w:r w:rsidRPr="00744E80">
        <w:rPr>
          <w:sz w:val="26"/>
          <w:szCs w:val="26"/>
        </w:rPr>
        <w:t>provides</w:t>
      </w:r>
      <w:r w:rsidR="009A39E7">
        <w:rPr>
          <w:sz w:val="26"/>
          <w:szCs w:val="26"/>
        </w:rPr>
        <w:t xml:space="preserve"> motivation</w:t>
      </w:r>
      <w:r w:rsidRPr="00744E80">
        <w:rPr>
          <w:sz w:val="26"/>
          <w:szCs w:val="26"/>
        </w:rPr>
        <w:t xml:space="preserve"> for the </w:t>
      </w:r>
      <w:r>
        <w:rPr>
          <w:sz w:val="26"/>
          <w:szCs w:val="26"/>
        </w:rPr>
        <w:t>owner</w:t>
      </w:r>
      <w:r w:rsidRPr="00744E80">
        <w:rPr>
          <w:sz w:val="26"/>
          <w:szCs w:val="26"/>
        </w:rPr>
        <w:t xml:space="preserve"> to correct the foreign load situation resulting from the wiring, plum</w:t>
      </w:r>
      <w:r>
        <w:rPr>
          <w:sz w:val="26"/>
          <w:szCs w:val="26"/>
        </w:rPr>
        <w:t>b</w:t>
      </w:r>
      <w:r w:rsidRPr="00744E80">
        <w:rPr>
          <w:sz w:val="26"/>
          <w:szCs w:val="26"/>
        </w:rPr>
        <w:t xml:space="preserve">ing or piping for which the </w:t>
      </w:r>
      <w:r>
        <w:rPr>
          <w:sz w:val="26"/>
          <w:szCs w:val="26"/>
        </w:rPr>
        <w:t>owner</w:t>
      </w:r>
      <w:r w:rsidRPr="00744E80">
        <w:rPr>
          <w:sz w:val="26"/>
          <w:szCs w:val="26"/>
        </w:rPr>
        <w:t xml:space="preserve"> is responsible.  </w:t>
      </w:r>
      <w:r w:rsidRPr="00AF706D">
        <w:rPr>
          <w:i/>
          <w:sz w:val="26"/>
          <w:szCs w:val="26"/>
        </w:rPr>
        <w:t>See</w:t>
      </w:r>
      <w:r w:rsidRPr="00AF706D">
        <w:rPr>
          <w:sz w:val="26"/>
          <w:szCs w:val="26"/>
        </w:rPr>
        <w:t xml:space="preserve"> </w:t>
      </w:r>
      <w:r w:rsidRPr="00B848E9">
        <w:rPr>
          <w:i/>
          <w:sz w:val="26"/>
          <w:szCs w:val="26"/>
        </w:rPr>
        <w:t>Ace</w:t>
      </w:r>
      <w:r w:rsidRPr="00744E80">
        <w:rPr>
          <w:i/>
          <w:sz w:val="26"/>
          <w:szCs w:val="26"/>
        </w:rPr>
        <w:t xml:space="preserve"> Check Cashing, Inc. v. Philadelphia Gas Works</w:t>
      </w:r>
      <w:r w:rsidRPr="00744E80">
        <w:rPr>
          <w:sz w:val="26"/>
          <w:szCs w:val="26"/>
        </w:rPr>
        <w:t>, Docket No. C-</w:t>
      </w:r>
      <w:r w:rsidR="00694EB5">
        <w:rPr>
          <w:sz w:val="26"/>
          <w:szCs w:val="26"/>
        </w:rPr>
        <w:t> </w:t>
      </w:r>
      <w:r w:rsidRPr="00744E80">
        <w:rPr>
          <w:sz w:val="26"/>
          <w:szCs w:val="26"/>
        </w:rPr>
        <w:t>2008-2056428 (Order entered May 21, 2010)</w:t>
      </w:r>
      <w:r w:rsidRPr="00AF706D">
        <w:rPr>
          <w:sz w:val="26"/>
          <w:szCs w:val="26"/>
        </w:rPr>
        <w:t>.</w:t>
      </w:r>
    </w:p>
    <w:p w14:paraId="465A57B0" w14:textId="77777777" w:rsidR="00500AFD" w:rsidRDefault="00500AFD" w:rsidP="00500AFD">
      <w:pPr>
        <w:widowControl/>
        <w:spacing w:line="360" w:lineRule="auto"/>
        <w:contextualSpacing/>
        <w:rPr>
          <w:sz w:val="26"/>
          <w:szCs w:val="26"/>
        </w:rPr>
      </w:pPr>
    </w:p>
    <w:p w14:paraId="12E2DFF2" w14:textId="41FA5267" w:rsidR="00DD6F68" w:rsidRDefault="00CB1024" w:rsidP="00500AFD">
      <w:pPr>
        <w:widowControl/>
        <w:spacing w:line="360" w:lineRule="auto"/>
        <w:ind w:firstLine="1440"/>
        <w:contextualSpacing/>
        <w:rPr>
          <w:sz w:val="26"/>
          <w:szCs w:val="26"/>
        </w:rPr>
      </w:pPr>
      <w:r>
        <w:rPr>
          <w:sz w:val="26"/>
        </w:rPr>
        <w:t xml:space="preserve">The Complainant failed to </w:t>
      </w:r>
      <w:r w:rsidR="005A2BED">
        <w:rPr>
          <w:sz w:val="26"/>
        </w:rPr>
        <w:t>sustain his burden of pro</w:t>
      </w:r>
      <w:r w:rsidR="0074514A">
        <w:rPr>
          <w:sz w:val="26"/>
        </w:rPr>
        <w:t xml:space="preserve">of in showing </w:t>
      </w:r>
      <w:r w:rsidR="005A2BED">
        <w:rPr>
          <w:sz w:val="26"/>
        </w:rPr>
        <w:t>that PECO</w:t>
      </w:r>
      <w:r>
        <w:rPr>
          <w:sz w:val="26"/>
        </w:rPr>
        <w:t xml:space="preserve"> violated </w:t>
      </w:r>
      <w:r w:rsidR="00500AFD">
        <w:rPr>
          <w:sz w:val="26"/>
        </w:rPr>
        <w:t>any provision of the Public Utility Code</w:t>
      </w:r>
      <w:r>
        <w:rPr>
          <w:sz w:val="26"/>
        </w:rPr>
        <w:t>,</w:t>
      </w:r>
      <w:r w:rsidR="0074514A">
        <w:rPr>
          <w:sz w:val="26"/>
        </w:rPr>
        <w:t xml:space="preserve"> the</w:t>
      </w:r>
      <w:r w:rsidR="00500AFD">
        <w:rPr>
          <w:sz w:val="26"/>
        </w:rPr>
        <w:t xml:space="preserve"> Commission</w:t>
      </w:r>
      <w:r w:rsidR="0074514A">
        <w:rPr>
          <w:sz w:val="26"/>
        </w:rPr>
        <w:t>’s</w:t>
      </w:r>
      <w:r w:rsidR="00500AFD">
        <w:rPr>
          <w:sz w:val="26"/>
        </w:rPr>
        <w:t xml:space="preserve"> R</w:t>
      </w:r>
      <w:r>
        <w:rPr>
          <w:sz w:val="26"/>
        </w:rPr>
        <w:t>egulation</w:t>
      </w:r>
      <w:r w:rsidR="0074514A">
        <w:rPr>
          <w:sz w:val="26"/>
        </w:rPr>
        <w:t>s</w:t>
      </w:r>
      <w:r>
        <w:rPr>
          <w:sz w:val="26"/>
        </w:rPr>
        <w:t xml:space="preserve"> or </w:t>
      </w:r>
      <w:r w:rsidR="0074514A">
        <w:rPr>
          <w:sz w:val="26"/>
        </w:rPr>
        <w:t xml:space="preserve">a </w:t>
      </w:r>
      <w:r w:rsidRPr="005A2BED">
        <w:rPr>
          <w:sz w:val="26"/>
          <w:szCs w:val="26"/>
        </w:rPr>
        <w:t>Commission order.</w:t>
      </w:r>
      <w:r w:rsidR="005A2BED" w:rsidRPr="005A2BED">
        <w:rPr>
          <w:sz w:val="26"/>
          <w:szCs w:val="26"/>
        </w:rPr>
        <w:t xml:space="preserve">  Moreover, we</w:t>
      </w:r>
      <w:r w:rsidR="00FD74D3" w:rsidRPr="005A2BED">
        <w:rPr>
          <w:rFonts w:eastAsiaTheme="minorHAnsi"/>
          <w:color w:val="000000"/>
          <w:sz w:val="26"/>
          <w:szCs w:val="26"/>
        </w:rPr>
        <w:t xml:space="preserve"> find</w:t>
      </w:r>
      <w:r w:rsidR="005A2BED" w:rsidRPr="005A2BED">
        <w:rPr>
          <w:rFonts w:eastAsiaTheme="minorHAnsi"/>
          <w:color w:val="000000"/>
          <w:sz w:val="26"/>
          <w:szCs w:val="26"/>
        </w:rPr>
        <w:t>, based on substantial record evidence,</w:t>
      </w:r>
      <w:r w:rsidR="00FD74D3" w:rsidRPr="005A2BED">
        <w:rPr>
          <w:rFonts w:eastAsiaTheme="minorHAnsi"/>
          <w:color w:val="000000"/>
          <w:sz w:val="26"/>
          <w:szCs w:val="26"/>
        </w:rPr>
        <w:t xml:space="preserve"> that PECO properly transferred the $1,893.52 amount to Mr. DeHaven</w:t>
      </w:r>
      <w:r w:rsidR="005A2BED" w:rsidRPr="005A2BED">
        <w:rPr>
          <w:rFonts w:eastAsiaTheme="minorHAnsi"/>
          <w:color w:val="000000"/>
          <w:sz w:val="26"/>
          <w:szCs w:val="26"/>
        </w:rPr>
        <w:t xml:space="preserve"> in accordance with 66 Pa. C.S. §</w:t>
      </w:r>
      <w:r w:rsidR="005A2BED" w:rsidRPr="005A2BED">
        <w:rPr>
          <w:rFonts w:eastAsiaTheme="minorHAnsi"/>
          <w:sz w:val="26"/>
          <w:szCs w:val="26"/>
        </w:rPr>
        <w:t>1529.1(b)</w:t>
      </w:r>
      <w:r w:rsidR="005A2BED" w:rsidRPr="005A2BED">
        <w:rPr>
          <w:rFonts w:eastAsiaTheme="minorHAnsi"/>
          <w:color w:val="000000"/>
          <w:sz w:val="26"/>
          <w:szCs w:val="26"/>
        </w:rPr>
        <w:t xml:space="preserve">.  </w:t>
      </w:r>
      <w:r w:rsidR="0079684B">
        <w:rPr>
          <w:rFonts w:eastAsiaTheme="minorHAnsi"/>
          <w:color w:val="000000"/>
          <w:sz w:val="26"/>
          <w:szCs w:val="26"/>
        </w:rPr>
        <w:t xml:space="preserve">PECO is properly holding </w:t>
      </w:r>
      <w:r w:rsidR="005A2BED" w:rsidRPr="005A2BED">
        <w:rPr>
          <w:rFonts w:eastAsiaTheme="minorHAnsi"/>
          <w:color w:val="000000"/>
          <w:sz w:val="26"/>
          <w:szCs w:val="26"/>
        </w:rPr>
        <w:t>Mr. DeHaven responsible</w:t>
      </w:r>
      <w:r w:rsidR="0079684B">
        <w:rPr>
          <w:rFonts w:eastAsiaTheme="minorHAnsi"/>
          <w:color w:val="000000"/>
          <w:sz w:val="26"/>
          <w:szCs w:val="26"/>
        </w:rPr>
        <w:t xml:space="preserve"> </w:t>
      </w:r>
      <w:r w:rsidR="005A2BED" w:rsidRPr="005A2BED">
        <w:rPr>
          <w:rFonts w:eastAsiaTheme="minorHAnsi"/>
          <w:color w:val="000000"/>
          <w:sz w:val="26"/>
          <w:szCs w:val="26"/>
        </w:rPr>
        <w:t>for the $1,893.52</w:t>
      </w:r>
      <w:r w:rsidR="005A2BED">
        <w:rPr>
          <w:rFonts w:eastAsiaTheme="minorHAnsi"/>
          <w:color w:val="000000"/>
          <w:sz w:val="26"/>
          <w:szCs w:val="26"/>
        </w:rPr>
        <w:t xml:space="preserve"> balance</w:t>
      </w:r>
      <w:r w:rsidR="005A2BED" w:rsidRPr="005A2BED">
        <w:rPr>
          <w:rFonts w:eastAsiaTheme="minorHAnsi"/>
          <w:color w:val="000000"/>
          <w:sz w:val="26"/>
          <w:szCs w:val="26"/>
        </w:rPr>
        <w:t>,</w:t>
      </w:r>
      <w:r w:rsidR="00FD74D3" w:rsidRPr="005A2BED">
        <w:rPr>
          <w:rFonts w:eastAsiaTheme="minorHAnsi"/>
          <w:color w:val="000000"/>
          <w:sz w:val="26"/>
          <w:szCs w:val="26"/>
        </w:rPr>
        <w:t xml:space="preserve"> which represents the amount of electric usage charges incurred by </w:t>
      </w:r>
      <w:r w:rsidR="005A2BED" w:rsidRPr="005A2BED">
        <w:rPr>
          <w:rFonts w:eastAsiaTheme="minorHAnsi"/>
          <w:color w:val="000000"/>
          <w:sz w:val="26"/>
          <w:szCs w:val="26"/>
        </w:rPr>
        <w:t>Mr. DeHaven’s</w:t>
      </w:r>
      <w:r w:rsidR="00FD74D3" w:rsidRPr="005A2BED">
        <w:rPr>
          <w:rFonts w:eastAsiaTheme="minorHAnsi"/>
          <w:color w:val="000000"/>
          <w:sz w:val="26"/>
          <w:szCs w:val="26"/>
        </w:rPr>
        <w:t xml:space="preserve"> tenant </w:t>
      </w:r>
      <w:r w:rsidR="005A2BED">
        <w:rPr>
          <w:rFonts w:eastAsiaTheme="minorHAnsi"/>
          <w:color w:val="000000"/>
          <w:sz w:val="26"/>
          <w:szCs w:val="26"/>
        </w:rPr>
        <w:t>at the</w:t>
      </w:r>
      <w:r w:rsidR="006659F3">
        <w:rPr>
          <w:rFonts w:eastAsiaTheme="minorHAnsi"/>
          <w:color w:val="000000"/>
          <w:sz w:val="26"/>
          <w:szCs w:val="26"/>
        </w:rPr>
        <w:t xml:space="preserve"> property</w:t>
      </w:r>
      <w:r w:rsidR="005A2BED">
        <w:rPr>
          <w:rFonts w:eastAsiaTheme="minorHAnsi"/>
          <w:color w:val="000000"/>
          <w:sz w:val="26"/>
          <w:szCs w:val="26"/>
        </w:rPr>
        <w:t xml:space="preserve"> address </w:t>
      </w:r>
      <w:r w:rsidR="006659F3">
        <w:rPr>
          <w:rFonts w:eastAsiaTheme="minorHAnsi"/>
          <w:color w:val="000000"/>
          <w:sz w:val="26"/>
          <w:szCs w:val="26"/>
        </w:rPr>
        <w:t xml:space="preserve">owned by Mr. DeHaven </w:t>
      </w:r>
      <w:r w:rsidR="00FD74D3" w:rsidRPr="005A2BED">
        <w:rPr>
          <w:rFonts w:eastAsiaTheme="minorHAnsi"/>
          <w:color w:val="000000"/>
          <w:sz w:val="26"/>
          <w:szCs w:val="26"/>
        </w:rPr>
        <w:t>during a period when a foreign wiring condition existed.</w:t>
      </w:r>
      <w:r w:rsidR="005A2BED">
        <w:rPr>
          <w:rFonts w:eastAsiaTheme="minorHAnsi"/>
          <w:color w:val="000000"/>
          <w:sz w:val="26"/>
          <w:szCs w:val="26"/>
        </w:rPr>
        <w:t xml:space="preserve">  Therefore, we shall d</w:t>
      </w:r>
      <w:r w:rsidR="00500AFD">
        <w:rPr>
          <w:rFonts w:eastAsiaTheme="minorHAnsi"/>
          <w:color w:val="000000"/>
          <w:sz w:val="26"/>
          <w:szCs w:val="26"/>
        </w:rPr>
        <w:t>eny</w:t>
      </w:r>
      <w:r w:rsidR="005A2BED">
        <w:rPr>
          <w:rFonts w:eastAsiaTheme="minorHAnsi"/>
          <w:color w:val="000000"/>
          <w:sz w:val="26"/>
          <w:szCs w:val="26"/>
        </w:rPr>
        <w:t xml:space="preserve"> the Complaint.</w:t>
      </w:r>
    </w:p>
    <w:p w14:paraId="24B5F4B2" w14:textId="77777777" w:rsidR="00101BB7" w:rsidRPr="00400A98" w:rsidRDefault="00101BB7" w:rsidP="00385B95">
      <w:pPr>
        <w:pStyle w:val="Default"/>
        <w:spacing w:line="360" w:lineRule="auto"/>
        <w:ind w:firstLine="1440"/>
        <w:rPr>
          <w:sz w:val="26"/>
          <w:szCs w:val="26"/>
        </w:rPr>
      </w:pPr>
    </w:p>
    <w:bookmarkEnd w:id="3"/>
    <w:p w14:paraId="737929D3" w14:textId="77777777" w:rsidR="00CA43A5" w:rsidRPr="00CA43A5" w:rsidRDefault="00CA43A5" w:rsidP="00385B95">
      <w:pPr>
        <w:keepNext/>
        <w:keepLines/>
        <w:widowControl/>
        <w:spacing w:line="360" w:lineRule="auto"/>
        <w:jc w:val="center"/>
        <w:rPr>
          <w:b/>
          <w:sz w:val="26"/>
          <w:szCs w:val="26"/>
        </w:rPr>
      </w:pPr>
      <w:r w:rsidRPr="00CA43A5">
        <w:rPr>
          <w:b/>
          <w:sz w:val="26"/>
          <w:szCs w:val="26"/>
        </w:rPr>
        <w:t>Conclusion</w:t>
      </w:r>
    </w:p>
    <w:p w14:paraId="0A4689B4" w14:textId="77777777" w:rsidR="00CA43A5" w:rsidRPr="00CA43A5" w:rsidRDefault="00CA43A5" w:rsidP="00385B95">
      <w:pPr>
        <w:keepNext/>
        <w:keepLines/>
        <w:widowControl/>
        <w:spacing w:line="360" w:lineRule="auto"/>
        <w:ind w:firstLine="1440"/>
        <w:rPr>
          <w:sz w:val="26"/>
          <w:szCs w:val="26"/>
        </w:rPr>
      </w:pPr>
    </w:p>
    <w:p w14:paraId="4F1D7038" w14:textId="40405C7E" w:rsidR="00CA43A5" w:rsidRDefault="00882228" w:rsidP="00385B95">
      <w:pPr>
        <w:widowControl/>
        <w:spacing w:line="360" w:lineRule="auto"/>
        <w:ind w:firstLine="1440"/>
        <w:rPr>
          <w:b/>
          <w:sz w:val="26"/>
          <w:szCs w:val="26"/>
        </w:rPr>
      </w:pPr>
      <w:r w:rsidRPr="00CA43A5">
        <w:rPr>
          <w:sz w:val="26"/>
          <w:szCs w:val="26"/>
        </w:rPr>
        <w:t xml:space="preserve">Based upon </w:t>
      </w:r>
      <w:r>
        <w:rPr>
          <w:sz w:val="26"/>
          <w:szCs w:val="26"/>
        </w:rPr>
        <w:t>our review of the record and the applicable law</w:t>
      </w:r>
      <w:r w:rsidRPr="00CA43A5">
        <w:rPr>
          <w:sz w:val="26"/>
          <w:szCs w:val="26"/>
        </w:rPr>
        <w:t xml:space="preserve">, </w:t>
      </w:r>
      <w:r w:rsidR="004107BC" w:rsidRPr="0009240C">
        <w:rPr>
          <w:sz w:val="26"/>
          <w:szCs w:val="26"/>
        </w:rPr>
        <w:t xml:space="preserve">we </w:t>
      </w:r>
      <w:r w:rsidR="004107BC">
        <w:rPr>
          <w:sz w:val="26"/>
          <w:szCs w:val="26"/>
        </w:rPr>
        <w:t>shall grant</w:t>
      </w:r>
      <w:r w:rsidR="004107BC" w:rsidRPr="0009240C">
        <w:rPr>
          <w:sz w:val="26"/>
          <w:szCs w:val="26"/>
        </w:rPr>
        <w:t xml:space="preserve"> the Exceptions</w:t>
      </w:r>
      <w:r w:rsidR="004107BC">
        <w:rPr>
          <w:sz w:val="26"/>
          <w:szCs w:val="26"/>
        </w:rPr>
        <w:t xml:space="preserve"> of PECO, reverse the Initial Decision on Remand and dismiss </w:t>
      </w:r>
      <w:r w:rsidR="001E3820">
        <w:rPr>
          <w:sz w:val="26"/>
          <w:szCs w:val="26"/>
        </w:rPr>
        <w:t xml:space="preserve">Mr. DeHaven’s </w:t>
      </w:r>
      <w:r w:rsidR="005F43D1">
        <w:rPr>
          <w:sz w:val="26"/>
          <w:szCs w:val="26"/>
        </w:rPr>
        <w:t>C</w:t>
      </w:r>
      <w:r w:rsidR="004107BC">
        <w:rPr>
          <w:sz w:val="26"/>
          <w:szCs w:val="26"/>
        </w:rPr>
        <w:t>omplaint, consistent with this Opinion and Order</w:t>
      </w:r>
      <w:r w:rsidR="00CA43A5" w:rsidRPr="00CA43A5">
        <w:rPr>
          <w:sz w:val="26"/>
          <w:szCs w:val="26"/>
        </w:rPr>
        <w:t xml:space="preserve">; </w:t>
      </w:r>
      <w:r w:rsidR="00CA43A5" w:rsidRPr="00CA43A5">
        <w:rPr>
          <w:b/>
          <w:sz w:val="26"/>
          <w:szCs w:val="26"/>
        </w:rPr>
        <w:t>THEREFORE,</w:t>
      </w:r>
    </w:p>
    <w:p w14:paraId="3766E62B" w14:textId="77777777" w:rsidR="009757A1" w:rsidRPr="00CA43A5" w:rsidRDefault="009757A1" w:rsidP="00385B95">
      <w:pPr>
        <w:widowControl/>
        <w:spacing w:line="360" w:lineRule="auto"/>
        <w:ind w:firstLine="1440"/>
        <w:rPr>
          <w:sz w:val="26"/>
          <w:szCs w:val="26"/>
        </w:rPr>
      </w:pPr>
    </w:p>
    <w:p w14:paraId="0198C097" w14:textId="77777777" w:rsidR="00CA43A5" w:rsidRDefault="00CA43A5" w:rsidP="000C4266">
      <w:pPr>
        <w:keepNext/>
        <w:keepLines/>
        <w:widowControl/>
        <w:ind w:firstLine="1440"/>
        <w:rPr>
          <w:b/>
          <w:sz w:val="26"/>
          <w:szCs w:val="26"/>
        </w:rPr>
      </w:pPr>
      <w:r w:rsidRPr="00CA43A5">
        <w:rPr>
          <w:b/>
          <w:sz w:val="26"/>
          <w:szCs w:val="26"/>
        </w:rPr>
        <w:lastRenderedPageBreak/>
        <w:t>IT IS ORDERED:</w:t>
      </w:r>
    </w:p>
    <w:p w14:paraId="5C210079" w14:textId="77777777" w:rsidR="00600F38" w:rsidRPr="00CA43A5" w:rsidRDefault="00600F38" w:rsidP="000C4266">
      <w:pPr>
        <w:keepNext/>
        <w:keepLines/>
        <w:widowControl/>
        <w:ind w:firstLine="1440"/>
        <w:rPr>
          <w:b/>
          <w:sz w:val="26"/>
          <w:szCs w:val="26"/>
        </w:rPr>
      </w:pPr>
    </w:p>
    <w:p w14:paraId="791C14D2" w14:textId="77777777" w:rsidR="00CA43A5" w:rsidRPr="00CA43A5" w:rsidRDefault="00CA43A5" w:rsidP="000C4266">
      <w:pPr>
        <w:keepNext/>
        <w:keepLines/>
        <w:widowControl/>
        <w:rPr>
          <w:sz w:val="26"/>
          <w:szCs w:val="26"/>
        </w:rPr>
      </w:pPr>
    </w:p>
    <w:p w14:paraId="4557B30D" w14:textId="076A2C73" w:rsidR="009155F7" w:rsidRPr="00915E9B" w:rsidRDefault="009155F7" w:rsidP="000C4266">
      <w:pPr>
        <w:keepNext/>
        <w:keepLines/>
        <w:widowControl/>
        <w:numPr>
          <w:ilvl w:val="0"/>
          <w:numId w:val="1"/>
        </w:numPr>
        <w:tabs>
          <w:tab w:val="clear" w:pos="2160"/>
          <w:tab w:val="num" w:pos="0"/>
        </w:tabs>
        <w:spacing w:line="360" w:lineRule="auto"/>
        <w:ind w:left="0" w:firstLine="1440"/>
        <w:rPr>
          <w:sz w:val="26"/>
          <w:szCs w:val="26"/>
        </w:rPr>
      </w:pPr>
      <w:r>
        <w:rPr>
          <w:sz w:val="26"/>
          <w:szCs w:val="26"/>
        </w:rPr>
        <w:t xml:space="preserve">That the </w:t>
      </w:r>
      <w:r w:rsidR="00915E9B">
        <w:rPr>
          <w:sz w:val="26"/>
          <w:szCs w:val="26"/>
        </w:rPr>
        <w:t xml:space="preserve">Exceptions filed by </w:t>
      </w:r>
      <w:r w:rsidR="004107BC">
        <w:rPr>
          <w:sz w:val="26"/>
          <w:szCs w:val="26"/>
        </w:rPr>
        <w:t>PECO Energy Company on September</w:t>
      </w:r>
      <w:r w:rsidR="001E3820">
        <w:rPr>
          <w:sz w:val="26"/>
          <w:szCs w:val="26"/>
        </w:rPr>
        <w:t> </w:t>
      </w:r>
      <w:r w:rsidR="004107BC">
        <w:rPr>
          <w:sz w:val="26"/>
          <w:szCs w:val="26"/>
        </w:rPr>
        <w:t xml:space="preserve">25, 2018, </w:t>
      </w:r>
      <w:r w:rsidR="001E3820">
        <w:rPr>
          <w:sz w:val="26"/>
          <w:szCs w:val="26"/>
        </w:rPr>
        <w:t>to</w:t>
      </w:r>
      <w:r w:rsidR="001E3820" w:rsidRPr="001E3820">
        <w:rPr>
          <w:sz w:val="26"/>
          <w:szCs w:val="26"/>
        </w:rPr>
        <w:t xml:space="preserve"> </w:t>
      </w:r>
      <w:r w:rsidR="001E3820">
        <w:rPr>
          <w:sz w:val="26"/>
          <w:szCs w:val="26"/>
        </w:rPr>
        <w:t>the Initial Decision of Administrative Law Judge Joel H. Cheskis, that was issued on September 7, 2018, a</w:t>
      </w:r>
      <w:r w:rsidR="0031297C">
        <w:rPr>
          <w:sz w:val="26"/>
          <w:szCs w:val="26"/>
        </w:rPr>
        <w:t>t</w:t>
      </w:r>
      <w:r w:rsidR="00915E9B">
        <w:rPr>
          <w:sz w:val="26"/>
          <w:szCs w:val="26"/>
        </w:rPr>
        <w:t xml:space="preserve"> </w:t>
      </w:r>
      <w:r w:rsidR="008E0657">
        <w:rPr>
          <w:sz w:val="26"/>
          <w:szCs w:val="26"/>
        </w:rPr>
        <w:t>Docket No. C-2017-2585680</w:t>
      </w:r>
      <w:r w:rsidR="00915E9B">
        <w:rPr>
          <w:sz w:val="26"/>
          <w:szCs w:val="26"/>
        </w:rPr>
        <w:t>,</w:t>
      </w:r>
      <w:r w:rsidR="00EB2CFF">
        <w:rPr>
          <w:sz w:val="26"/>
          <w:szCs w:val="26"/>
        </w:rPr>
        <w:t xml:space="preserve"> </w:t>
      </w:r>
      <w:bookmarkStart w:id="4" w:name="_Hlk505940926"/>
      <w:r w:rsidR="00915E9B">
        <w:rPr>
          <w:color w:val="000000"/>
          <w:sz w:val="26"/>
        </w:rPr>
        <w:t>are</w:t>
      </w:r>
      <w:r w:rsidR="002A076D">
        <w:rPr>
          <w:color w:val="000000"/>
          <w:sz w:val="26"/>
        </w:rPr>
        <w:t xml:space="preserve"> </w:t>
      </w:r>
      <w:r w:rsidR="004107BC">
        <w:rPr>
          <w:color w:val="000000"/>
          <w:sz w:val="26"/>
        </w:rPr>
        <w:t>granted.</w:t>
      </w:r>
      <w:bookmarkEnd w:id="4"/>
    </w:p>
    <w:p w14:paraId="507CCFD1" w14:textId="77777777" w:rsidR="00915E9B" w:rsidRDefault="00915E9B" w:rsidP="00385B95">
      <w:pPr>
        <w:widowControl/>
        <w:spacing w:line="360" w:lineRule="auto"/>
        <w:ind w:left="1440"/>
        <w:rPr>
          <w:sz w:val="26"/>
          <w:szCs w:val="26"/>
        </w:rPr>
      </w:pPr>
    </w:p>
    <w:p w14:paraId="5F3D5373" w14:textId="77777777" w:rsidR="00915E9B" w:rsidRDefault="00CA43A5" w:rsidP="00385B95">
      <w:pPr>
        <w:widowControl/>
        <w:numPr>
          <w:ilvl w:val="0"/>
          <w:numId w:val="1"/>
        </w:numPr>
        <w:tabs>
          <w:tab w:val="clear" w:pos="2160"/>
          <w:tab w:val="num" w:pos="0"/>
        </w:tabs>
        <w:spacing w:line="360" w:lineRule="auto"/>
        <w:ind w:left="0" w:firstLine="1440"/>
        <w:rPr>
          <w:sz w:val="26"/>
          <w:szCs w:val="26"/>
        </w:rPr>
      </w:pPr>
      <w:r w:rsidRPr="00CA43A5">
        <w:rPr>
          <w:sz w:val="26"/>
          <w:szCs w:val="26"/>
        </w:rPr>
        <w:t xml:space="preserve">That </w:t>
      </w:r>
      <w:r w:rsidR="00915E9B">
        <w:rPr>
          <w:sz w:val="26"/>
          <w:szCs w:val="26"/>
        </w:rPr>
        <w:t xml:space="preserve">the Initial Decision of Administrative Law Judge </w:t>
      </w:r>
      <w:r w:rsidR="00423F21">
        <w:rPr>
          <w:sz w:val="26"/>
          <w:szCs w:val="26"/>
        </w:rPr>
        <w:t>Joel</w:t>
      </w:r>
      <w:r w:rsidR="00692837">
        <w:rPr>
          <w:sz w:val="26"/>
          <w:szCs w:val="26"/>
        </w:rPr>
        <w:t> </w:t>
      </w:r>
      <w:r w:rsidR="00423F21">
        <w:rPr>
          <w:sz w:val="26"/>
          <w:szCs w:val="26"/>
        </w:rPr>
        <w:t>H</w:t>
      </w:r>
      <w:r w:rsidR="00915E9B">
        <w:rPr>
          <w:sz w:val="26"/>
          <w:szCs w:val="26"/>
        </w:rPr>
        <w:t>.</w:t>
      </w:r>
      <w:r w:rsidR="00692837">
        <w:rPr>
          <w:sz w:val="26"/>
          <w:szCs w:val="26"/>
        </w:rPr>
        <w:t> </w:t>
      </w:r>
      <w:r w:rsidR="00423F21">
        <w:rPr>
          <w:sz w:val="26"/>
          <w:szCs w:val="26"/>
        </w:rPr>
        <w:t>Cheskis</w:t>
      </w:r>
      <w:r w:rsidR="00915E9B">
        <w:rPr>
          <w:sz w:val="26"/>
          <w:szCs w:val="26"/>
        </w:rPr>
        <w:t xml:space="preserve">, issued on </w:t>
      </w:r>
      <w:r w:rsidR="004107BC">
        <w:rPr>
          <w:sz w:val="26"/>
          <w:szCs w:val="26"/>
        </w:rPr>
        <w:t>September 7</w:t>
      </w:r>
      <w:r w:rsidR="00915E9B">
        <w:rPr>
          <w:sz w:val="26"/>
          <w:szCs w:val="26"/>
        </w:rPr>
        <w:t>, 201</w:t>
      </w:r>
      <w:r w:rsidR="004107BC">
        <w:rPr>
          <w:sz w:val="26"/>
          <w:szCs w:val="26"/>
        </w:rPr>
        <w:t>8</w:t>
      </w:r>
      <w:r w:rsidR="00915E9B">
        <w:rPr>
          <w:sz w:val="26"/>
          <w:szCs w:val="26"/>
        </w:rPr>
        <w:t xml:space="preserve">, </w:t>
      </w:r>
      <w:r w:rsidR="0031297C">
        <w:rPr>
          <w:sz w:val="26"/>
          <w:szCs w:val="26"/>
        </w:rPr>
        <w:t>at</w:t>
      </w:r>
      <w:r w:rsidR="00915E9B">
        <w:rPr>
          <w:sz w:val="26"/>
          <w:szCs w:val="26"/>
        </w:rPr>
        <w:t xml:space="preserve"> </w:t>
      </w:r>
      <w:r w:rsidR="008E0657">
        <w:rPr>
          <w:sz w:val="26"/>
          <w:szCs w:val="26"/>
        </w:rPr>
        <w:t>Docket No. C-2017-2585680</w:t>
      </w:r>
      <w:r w:rsidR="00915E9B">
        <w:rPr>
          <w:sz w:val="26"/>
          <w:szCs w:val="26"/>
        </w:rPr>
        <w:t xml:space="preserve">, </w:t>
      </w:r>
      <w:r w:rsidR="00882228">
        <w:rPr>
          <w:sz w:val="26"/>
          <w:szCs w:val="26"/>
        </w:rPr>
        <w:t xml:space="preserve">is </w:t>
      </w:r>
      <w:r w:rsidR="00AF0A9B">
        <w:rPr>
          <w:sz w:val="26"/>
          <w:szCs w:val="26"/>
        </w:rPr>
        <w:t>reversed</w:t>
      </w:r>
      <w:r w:rsidR="00882228">
        <w:rPr>
          <w:sz w:val="26"/>
          <w:szCs w:val="26"/>
        </w:rPr>
        <w:t>, consistent with this Opinion and Order.</w:t>
      </w:r>
    </w:p>
    <w:p w14:paraId="4EB74A67" w14:textId="77777777" w:rsidR="00915E9B" w:rsidRPr="00882228" w:rsidRDefault="00915E9B" w:rsidP="00385B95">
      <w:pPr>
        <w:widowControl/>
        <w:rPr>
          <w:sz w:val="26"/>
          <w:szCs w:val="26"/>
        </w:rPr>
      </w:pPr>
    </w:p>
    <w:p w14:paraId="68AE3346" w14:textId="77777777" w:rsidR="00CA43A5" w:rsidRDefault="00915E9B" w:rsidP="00385B95">
      <w:pPr>
        <w:widowControl/>
        <w:numPr>
          <w:ilvl w:val="0"/>
          <w:numId w:val="1"/>
        </w:numPr>
        <w:tabs>
          <w:tab w:val="clear" w:pos="2160"/>
          <w:tab w:val="num" w:pos="0"/>
        </w:tabs>
        <w:spacing w:line="360" w:lineRule="auto"/>
        <w:ind w:left="0" w:firstLine="1440"/>
        <w:rPr>
          <w:sz w:val="26"/>
          <w:szCs w:val="26"/>
        </w:rPr>
      </w:pPr>
      <w:r>
        <w:rPr>
          <w:sz w:val="26"/>
          <w:szCs w:val="26"/>
        </w:rPr>
        <w:t xml:space="preserve">That the </w:t>
      </w:r>
      <w:r w:rsidR="00AC68EA">
        <w:rPr>
          <w:sz w:val="26"/>
          <w:szCs w:val="26"/>
        </w:rPr>
        <w:t xml:space="preserve">Formal </w:t>
      </w:r>
      <w:r>
        <w:rPr>
          <w:sz w:val="26"/>
          <w:szCs w:val="26"/>
        </w:rPr>
        <w:t xml:space="preserve">Complaint filed by </w:t>
      </w:r>
      <w:r w:rsidR="00B73991">
        <w:rPr>
          <w:sz w:val="26"/>
          <w:szCs w:val="26"/>
        </w:rPr>
        <w:t>Glen DeHaven</w:t>
      </w:r>
      <w:r w:rsidR="00AC68EA">
        <w:rPr>
          <w:sz w:val="26"/>
          <w:szCs w:val="26"/>
        </w:rPr>
        <w:t xml:space="preserve"> against PECO Energy Company at Docket No. C-2017-2585680</w:t>
      </w:r>
      <w:r>
        <w:rPr>
          <w:sz w:val="26"/>
          <w:szCs w:val="26"/>
        </w:rPr>
        <w:t xml:space="preserve">, on </w:t>
      </w:r>
      <w:r w:rsidR="00B73991">
        <w:rPr>
          <w:sz w:val="26"/>
          <w:szCs w:val="26"/>
        </w:rPr>
        <w:t>January 11</w:t>
      </w:r>
      <w:r>
        <w:rPr>
          <w:sz w:val="26"/>
          <w:szCs w:val="26"/>
        </w:rPr>
        <w:t xml:space="preserve">, 2017, </w:t>
      </w:r>
      <w:r w:rsidR="00882228">
        <w:rPr>
          <w:sz w:val="26"/>
          <w:szCs w:val="26"/>
        </w:rPr>
        <w:t xml:space="preserve">is </w:t>
      </w:r>
      <w:r w:rsidR="004107BC">
        <w:rPr>
          <w:sz w:val="26"/>
          <w:szCs w:val="26"/>
        </w:rPr>
        <w:t>dismissed</w:t>
      </w:r>
      <w:r w:rsidR="00882228">
        <w:rPr>
          <w:sz w:val="26"/>
          <w:szCs w:val="26"/>
        </w:rPr>
        <w:t>, consistent with this Opinion and Order.</w:t>
      </w:r>
    </w:p>
    <w:p w14:paraId="7DF1E6CF" w14:textId="77777777" w:rsidR="00B6217A" w:rsidRDefault="00B6217A" w:rsidP="00B6217A">
      <w:pPr>
        <w:pStyle w:val="ListParagraph"/>
        <w:rPr>
          <w:sz w:val="26"/>
          <w:szCs w:val="26"/>
        </w:rPr>
      </w:pPr>
    </w:p>
    <w:p w14:paraId="44307FFF" w14:textId="78DEF6E6" w:rsidR="00B6217A" w:rsidRDefault="00B6217A" w:rsidP="00385B95">
      <w:pPr>
        <w:widowControl/>
        <w:numPr>
          <w:ilvl w:val="0"/>
          <w:numId w:val="1"/>
        </w:numPr>
        <w:tabs>
          <w:tab w:val="clear" w:pos="2160"/>
          <w:tab w:val="num" w:pos="0"/>
        </w:tabs>
        <w:spacing w:line="360" w:lineRule="auto"/>
        <w:ind w:left="0" w:firstLine="1440"/>
        <w:rPr>
          <w:sz w:val="26"/>
          <w:szCs w:val="26"/>
        </w:rPr>
      </w:pPr>
      <w:r>
        <w:rPr>
          <w:sz w:val="26"/>
          <w:szCs w:val="26"/>
        </w:rPr>
        <w:t xml:space="preserve">That, in accordance with 66 Pa. </w:t>
      </w:r>
      <w:r w:rsidRPr="00B6217A">
        <w:rPr>
          <w:sz w:val="26"/>
          <w:szCs w:val="26"/>
        </w:rPr>
        <w:t xml:space="preserve">C.S. §1529.1(b), </w:t>
      </w:r>
      <w:r w:rsidR="001904D5">
        <w:rPr>
          <w:sz w:val="26"/>
          <w:szCs w:val="26"/>
        </w:rPr>
        <w:t xml:space="preserve">PECO Energy Company must hold </w:t>
      </w:r>
      <w:r w:rsidRPr="00B6217A">
        <w:rPr>
          <w:sz w:val="26"/>
          <w:szCs w:val="26"/>
        </w:rPr>
        <w:t>Glen</w:t>
      </w:r>
      <w:r>
        <w:rPr>
          <w:sz w:val="26"/>
          <w:szCs w:val="26"/>
        </w:rPr>
        <w:t xml:space="preserve"> DeHaven responsible for the $1,893.52 arising from service at this rental property during a period when a foreign wiring condition existed at his rental property.</w:t>
      </w:r>
    </w:p>
    <w:p w14:paraId="13AB2997" w14:textId="77777777" w:rsidR="00600F38" w:rsidRPr="004772C2" w:rsidRDefault="00600F38" w:rsidP="00385B95">
      <w:pPr>
        <w:widowControl/>
        <w:rPr>
          <w:sz w:val="26"/>
          <w:szCs w:val="26"/>
        </w:rPr>
      </w:pPr>
    </w:p>
    <w:p w14:paraId="28673211" w14:textId="7C3D2ECD" w:rsidR="00882228" w:rsidRPr="00630395" w:rsidRDefault="00882228" w:rsidP="00385B95">
      <w:pPr>
        <w:keepNext/>
        <w:keepLines/>
        <w:widowControl/>
        <w:numPr>
          <w:ilvl w:val="0"/>
          <w:numId w:val="1"/>
        </w:numPr>
        <w:tabs>
          <w:tab w:val="clear" w:pos="2160"/>
          <w:tab w:val="num" w:pos="0"/>
        </w:tabs>
        <w:spacing w:line="360" w:lineRule="auto"/>
        <w:ind w:left="0" w:firstLine="1440"/>
        <w:contextualSpacing/>
        <w:rPr>
          <w:sz w:val="26"/>
          <w:szCs w:val="26"/>
        </w:rPr>
      </w:pPr>
      <w:r>
        <w:rPr>
          <w:sz w:val="26"/>
          <w:szCs w:val="26"/>
        </w:rPr>
        <w:t xml:space="preserve">That </w:t>
      </w:r>
      <w:r w:rsidR="004107BC">
        <w:rPr>
          <w:sz w:val="26"/>
          <w:szCs w:val="26"/>
        </w:rPr>
        <w:t>this docket shall be marked closed.</w:t>
      </w:r>
    </w:p>
    <w:p w14:paraId="19F87019" w14:textId="77777777" w:rsidR="00CA43A5" w:rsidRDefault="00CA43A5" w:rsidP="00385B95">
      <w:pPr>
        <w:keepNext/>
        <w:keepLines/>
        <w:widowControl/>
        <w:rPr>
          <w:sz w:val="26"/>
          <w:szCs w:val="26"/>
        </w:rPr>
      </w:pPr>
    </w:p>
    <w:p w14:paraId="6AF13237" w14:textId="01F6DDF4" w:rsidR="00CA43A5" w:rsidRPr="00CA43A5" w:rsidRDefault="00F32983" w:rsidP="00385B95">
      <w:pPr>
        <w:keepNext/>
        <w:keepLines/>
        <w:widowControl/>
        <w:tabs>
          <w:tab w:val="left" w:pos="-720"/>
        </w:tabs>
        <w:ind w:firstLine="5040"/>
        <w:rPr>
          <w:sz w:val="26"/>
          <w:szCs w:val="26"/>
        </w:rPr>
      </w:pPr>
      <w:bookmarkStart w:id="5" w:name="_GoBack"/>
      <w:r w:rsidRPr="009F01BA">
        <w:rPr>
          <w:b/>
          <w:noProof/>
        </w:rPr>
        <w:drawing>
          <wp:anchor distT="0" distB="0" distL="114300" distR="114300" simplePos="0" relativeHeight="251659264" behindDoc="1" locked="0" layoutInCell="1" allowOverlap="1" wp14:anchorId="183E2E10" wp14:editId="4B9F06C9">
            <wp:simplePos x="0" y="0"/>
            <wp:positionH relativeFrom="column">
              <wp:posOffset>2981325</wp:posOffset>
            </wp:positionH>
            <wp:positionV relativeFrom="paragraph">
              <wp:posOffset>140335</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5"/>
      <w:r w:rsidR="00CA43A5" w:rsidRPr="00CA43A5">
        <w:rPr>
          <w:b/>
          <w:sz w:val="26"/>
          <w:szCs w:val="26"/>
        </w:rPr>
        <w:t>BY THE COMMISSION,</w:t>
      </w:r>
    </w:p>
    <w:p w14:paraId="42205E98" w14:textId="1051E438" w:rsidR="00CA43A5" w:rsidRDefault="00CA43A5" w:rsidP="00385B95">
      <w:pPr>
        <w:keepNext/>
        <w:keepLines/>
        <w:widowControl/>
        <w:tabs>
          <w:tab w:val="left" w:pos="-720"/>
        </w:tabs>
        <w:rPr>
          <w:sz w:val="26"/>
          <w:szCs w:val="26"/>
        </w:rPr>
      </w:pPr>
    </w:p>
    <w:p w14:paraId="6FDB87B0" w14:textId="5D0F0C2B" w:rsidR="001E3820" w:rsidRDefault="001E3820" w:rsidP="00385B95">
      <w:pPr>
        <w:keepNext/>
        <w:keepLines/>
        <w:widowControl/>
        <w:tabs>
          <w:tab w:val="left" w:pos="-720"/>
        </w:tabs>
        <w:rPr>
          <w:sz w:val="26"/>
          <w:szCs w:val="26"/>
        </w:rPr>
      </w:pPr>
    </w:p>
    <w:p w14:paraId="6CD69635" w14:textId="0C6E63C9" w:rsidR="001E3820" w:rsidRPr="00CA43A5" w:rsidRDefault="001E3820" w:rsidP="00385B95">
      <w:pPr>
        <w:keepNext/>
        <w:keepLines/>
        <w:widowControl/>
        <w:tabs>
          <w:tab w:val="left" w:pos="-720"/>
        </w:tabs>
        <w:rPr>
          <w:sz w:val="26"/>
          <w:szCs w:val="26"/>
        </w:rPr>
      </w:pPr>
    </w:p>
    <w:p w14:paraId="6ED9B55F" w14:textId="77777777" w:rsidR="00CA43A5" w:rsidRDefault="00CA43A5" w:rsidP="00385B95">
      <w:pPr>
        <w:keepNext/>
        <w:keepLines/>
        <w:widowControl/>
        <w:tabs>
          <w:tab w:val="left" w:pos="-720"/>
        </w:tabs>
        <w:rPr>
          <w:sz w:val="26"/>
          <w:szCs w:val="26"/>
        </w:rPr>
      </w:pPr>
    </w:p>
    <w:p w14:paraId="4D0F4C9B" w14:textId="77777777" w:rsidR="00CA43A5" w:rsidRPr="00CA43A5" w:rsidRDefault="00564565" w:rsidP="00385B95">
      <w:pPr>
        <w:keepNext/>
        <w:keepLines/>
        <w:widowControl/>
        <w:tabs>
          <w:tab w:val="left" w:pos="-720"/>
        </w:tabs>
        <w:ind w:firstLine="5040"/>
        <w:rPr>
          <w:b/>
          <w:sz w:val="26"/>
          <w:szCs w:val="26"/>
        </w:rPr>
      </w:pPr>
      <w:r>
        <w:rPr>
          <w:sz w:val="26"/>
          <w:szCs w:val="26"/>
        </w:rPr>
        <w:t>Rosemary Chiavetta</w:t>
      </w:r>
    </w:p>
    <w:p w14:paraId="5EFAA6C8" w14:textId="7F4D6D94" w:rsidR="00CA43A5" w:rsidRDefault="00CA43A5" w:rsidP="00385B95">
      <w:pPr>
        <w:keepNext/>
        <w:keepLines/>
        <w:widowControl/>
        <w:tabs>
          <w:tab w:val="left" w:pos="-720"/>
        </w:tabs>
        <w:ind w:firstLine="5040"/>
        <w:rPr>
          <w:sz w:val="26"/>
          <w:szCs w:val="26"/>
        </w:rPr>
      </w:pPr>
      <w:r w:rsidRPr="00CA43A5">
        <w:rPr>
          <w:sz w:val="26"/>
          <w:szCs w:val="26"/>
        </w:rPr>
        <w:t>Secretary</w:t>
      </w:r>
    </w:p>
    <w:p w14:paraId="5871D08F" w14:textId="77777777" w:rsidR="001E3820" w:rsidRPr="00CA43A5" w:rsidRDefault="001E3820" w:rsidP="00385B95">
      <w:pPr>
        <w:keepNext/>
        <w:keepLines/>
        <w:widowControl/>
        <w:tabs>
          <w:tab w:val="left" w:pos="-720"/>
        </w:tabs>
        <w:ind w:firstLine="5040"/>
        <w:rPr>
          <w:sz w:val="26"/>
          <w:szCs w:val="26"/>
        </w:rPr>
      </w:pPr>
    </w:p>
    <w:p w14:paraId="50DD23A4" w14:textId="77777777" w:rsidR="00CA43A5" w:rsidRPr="00CA43A5" w:rsidRDefault="00CA43A5" w:rsidP="00385B95">
      <w:pPr>
        <w:keepNext/>
        <w:keepLines/>
        <w:widowControl/>
        <w:tabs>
          <w:tab w:val="left" w:pos="-720"/>
        </w:tabs>
        <w:rPr>
          <w:sz w:val="26"/>
          <w:szCs w:val="26"/>
        </w:rPr>
      </w:pPr>
      <w:r w:rsidRPr="00CA43A5">
        <w:rPr>
          <w:sz w:val="26"/>
          <w:szCs w:val="26"/>
        </w:rPr>
        <w:t>(SEAL)</w:t>
      </w:r>
    </w:p>
    <w:p w14:paraId="4EAD3460" w14:textId="77777777" w:rsidR="00CA43A5" w:rsidRPr="00CA43A5" w:rsidRDefault="00CA43A5" w:rsidP="00385B95">
      <w:pPr>
        <w:keepNext/>
        <w:keepLines/>
        <w:widowControl/>
        <w:tabs>
          <w:tab w:val="left" w:pos="-720"/>
        </w:tabs>
        <w:rPr>
          <w:sz w:val="26"/>
          <w:szCs w:val="26"/>
        </w:rPr>
      </w:pPr>
    </w:p>
    <w:p w14:paraId="65BF32FF" w14:textId="77777777" w:rsidR="00CA43A5" w:rsidRPr="00CA43A5" w:rsidRDefault="00CA43A5" w:rsidP="00385B95">
      <w:pPr>
        <w:keepNext/>
        <w:keepLines/>
        <w:widowControl/>
        <w:tabs>
          <w:tab w:val="left" w:pos="-720"/>
        </w:tabs>
        <w:rPr>
          <w:sz w:val="26"/>
          <w:szCs w:val="26"/>
        </w:rPr>
      </w:pPr>
      <w:r w:rsidRPr="00CA43A5">
        <w:rPr>
          <w:sz w:val="26"/>
          <w:szCs w:val="26"/>
        </w:rPr>
        <w:t xml:space="preserve">ORDER ADOPTED: </w:t>
      </w:r>
      <w:r w:rsidR="00F17AB3">
        <w:rPr>
          <w:sz w:val="26"/>
          <w:szCs w:val="26"/>
        </w:rPr>
        <w:t xml:space="preserve"> </w:t>
      </w:r>
      <w:r w:rsidR="004107BC">
        <w:rPr>
          <w:sz w:val="26"/>
          <w:szCs w:val="26"/>
        </w:rPr>
        <w:t>January 17, 2019</w:t>
      </w:r>
    </w:p>
    <w:p w14:paraId="73143E98" w14:textId="77777777" w:rsidR="00DD166C" w:rsidRDefault="00DD166C" w:rsidP="00385B95">
      <w:pPr>
        <w:keepNext/>
        <w:keepLines/>
        <w:widowControl/>
        <w:tabs>
          <w:tab w:val="left" w:pos="-720"/>
        </w:tabs>
        <w:rPr>
          <w:sz w:val="26"/>
          <w:szCs w:val="26"/>
        </w:rPr>
      </w:pPr>
    </w:p>
    <w:p w14:paraId="6AB244E1" w14:textId="0E9646E0" w:rsidR="00344804" w:rsidRPr="00CA43A5" w:rsidRDefault="002A076D" w:rsidP="00385B95">
      <w:pPr>
        <w:keepNext/>
        <w:keepLines/>
        <w:widowControl/>
        <w:tabs>
          <w:tab w:val="left" w:pos="-720"/>
        </w:tabs>
        <w:rPr>
          <w:sz w:val="26"/>
          <w:szCs w:val="26"/>
        </w:rPr>
      </w:pPr>
      <w:r>
        <w:rPr>
          <w:sz w:val="26"/>
          <w:szCs w:val="26"/>
        </w:rPr>
        <w:t>ORDER ENTERED:</w:t>
      </w:r>
      <w:r w:rsidR="00F32983">
        <w:rPr>
          <w:sz w:val="26"/>
          <w:szCs w:val="26"/>
        </w:rPr>
        <w:t xml:space="preserve">  January 17, 2019</w:t>
      </w:r>
    </w:p>
    <w:sectPr w:rsidR="00344804" w:rsidRPr="00CA43A5" w:rsidSect="00360CBC">
      <w:footerReference w:type="defaul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DF754B" w14:textId="77777777" w:rsidR="00E66AD5" w:rsidRDefault="00E66AD5" w:rsidP="00360CBC">
      <w:r>
        <w:separator/>
      </w:r>
    </w:p>
  </w:endnote>
  <w:endnote w:type="continuationSeparator" w:id="0">
    <w:p w14:paraId="27886C50" w14:textId="77777777" w:rsidR="00E66AD5" w:rsidRDefault="00E66AD5" w:rsidP="00360C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37760473"/>
      <w:docPartObj>
        <w:docPartGallery w:val="Page Numbers (Bottom of Page)"/>
        <w:docPartUnique/>
      </w:docPartObj>
    </w:sdtPr>
    <w:sdtEndPr>
      <w:rPr>
        <w:noProof/>
        <w:sz w:val="24"/>
        <w:szCs w:val="24"/>
      </w:rPr>
    </w:sdtEndPr>
    <w:sdtContent>
      <w:p w14:paraId="5CFD24A9" w14:textId="19D05664" w:rsidR="00DE1E42" w:rsidRPr="00360CBC" w:rsidRDefault="00DE1E42">
        <w:pPr>
          <w:pStyle w:val="Footer"/>
          <w:jc w:val="center"/>
          <w:rPr>
            <w:sz w:val="24"/>
            <w:szCs w:val="24"/>
          </w:rPr>
        </w:pPr>
        <w:r w:rsidRPr="00360CBC">
          <w:rPr>
            <w:sz w:val="24"/>
            <w:szCs w:val="24"/>
          </w:rPr>
          <w:fldChar w:fldCharType="begin"/>
        </w:r>
        <w:r w:rsidRPr="00360CBC">
          <w:rPr>
            <w:sz w:val="24"/>
            <w:szCs w:val="24"/>
          </w:rPr>
          <w:instrText xml:space="preserve"> PAGE   \* MERGEFORMAT </w:instrText>
        </w:r>
        <w:r w:rsidRPr="00360CBC">
          <w:rPr>
            <w:sz w:val="24"/>
            <w:szCs w:val="24"/>
          </w:rPr>
          <w:fldChar w:fldCharType="separate"/>
        </w:r>
        <w:r w:rsidR="0079684B">
          <w:rPr>
            <w:noProof/>
            <w:sz w:val="24"/>
            <w:szCs w:val="24"/>
          </w:rPr>
          <w:t>18</w:t>
        </w:r>
        <w:r w:rsidRPr="00360CBC">
          <w:rPr>
            <w:noProof/>
            <w:sz w:val="24"/>
            <w:szCs w:val="24"/>
          </w:rPr>
          <w:fldChar w:fldCharType="end"/>
        </w:r>
      </w:p>
    </w:sdtContent>
  </w:sdt>
  <w:p w14:paraId="767453F6" w14:textId="77777777" w:rsidR="00DE1E42" w:rsidRDefault="00DE1E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63BBC2" w14:textId="77777777" w:rsidR="00E66AD5" w:rsidRDefault="00E66AD5" w:rsidP="00360CBC">
      <w:r>
        <w:separator/>
      </w:r>
    </w:p>
  </w:footnote>
  <w:footnote w:type="continuationSeparator" w:id="0">
    <w:p w14:paraId="4302E9B7" w14:textId="77777777" w:rsidR="00E66AD5" w:rsidRDefault="00E66AD5" w:rsidP="00360C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C93AA2"/>
    <w:multiLevelType w:val="hybridMultilevel"/>
    <w:tmpl w:val="C7522CF8"/>
    <w:lvl w:ilvl="0" w:tplc="76E0F17C">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15:restartNumberingAfterBreak="0">
    <w:nsid w:val="4A1F43E9"/>
    <w:multiLevelType w:val="hybridMultilevel"/>
    <w:tmpl w:val="F97CCA16"/>
    <w:lvl w:ilvl="0" w:tplc="2392237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17EC"/>
    <w:rsid w:val="00000D47"/>
    <w:rsid w:val="00001662"/>
    <w:rsid w:val="000017A1"/>
    <w:rsid w:val="00001FC8"/>
    <w:rsid w:val="00006685"/>
    <w:rsid w:val="00006F35"/>
    <w:rsid w:val="00015150"/>
    <w:rsid w:val="00016D57"/>
    <w:rsid w:val="00017852"/>
    <w:rsid w:val="00021E46"/>
    <w:rsid w:val="00022B74"/>
    <w:rsid w:val="00023FC9"/>
    <w:rsid w:val="0002524C"/>
    <w:rsid w:val="00025F3F"/>
    <w:rsid w:val="00026CD2"/>
    <w:rsid w:val="00032343"/>
    <w:rsid w:val="0003360E"/>
    <w:rsid w:val="00037078"/>
    <w:rsid w:val="00040670"/>
    <w:rsid w:val="00040A8E"/>
    <w:rsid w:val="00040AEA"/>
    <w:rsid w:val="00044904"/>
    <w:rsid w:val="00045096"/>
    <w:rsid w:val="00046C52"/>
    <w:rsid w:val="00047874"/>
    <w:rsid w:val="00047F4A"/>
    <w:rsid w:val="000523D1"/>
    <w:rsid w:val="00052B8F"/>
    <w:rsid w:val="00053B93"/>
    <w:rsid w:val="00054612"/>
    <w:rsid w:val="0005572E"/>
    <w:rsid w:val="00056286"/>
    <w:rsid w:val="000612FD"/>
    <w:rsid w:val="0006170A"/>
    <w:rsid w:val="00064081"/>
    <w:rsid w:val="000642AA"/>
    <w:rsid w:val="000643D1"/>
    <w:rsid w:val="000649EC"/>
    <w:rsid w:val="00066EE5"/>
    <w:rsid w:val="00067260"/>
    <w:rsid w:val="000706FF"/>
    <w:rsid w:val="00072808"/>
    <w:rsid w:val="00076F35"/>
    <w:rsid w:val="00084573"/>
    <w:rsid w:val="00084AF9"/>
    <w:rsid w:val="00085E41"/>
    <w:rsid w:val="000918D4"/>
    <w:rsid w:val="0009240C"/>
    <w:rsid w:val="00092D9D"/>
    <w:rsid w:val="00093164"/>
    <w:rsid w:val="00095135"/>
    <w:rsid w:val="0009612D"/>
    <w:rsid w:val="00097504"/>
    <w:rsid w:val="000A365D"/>
    <w:rsid w:val="000B1A2F"/>
    <w:rsid w:val="000B216D"/>
    <w:rsid w:val="000B2755"/>
    <w:rsid w:val="000B4EAE"/>
    <w:rsid w:val="000B5238"/>
    <w:rsid w:val="000B607A"/>
    <w:rsid w:val="000B6B15"/>
    <w:rsid w:val="000B71CF"/>
    <w:rsid w:val="000B730E"/>
    <w:rsid w:val="000C1FD3"/>
    <w:rsid w:val="000C2650"/>
    <w:rsid w:val="000C2AE3"/>
    <w:rsid w:val="000C4266"/>
    <w:rsid w:val="000C709A"/>
    <w:rsid w:val="000C73EF"/>
    <w:rsid w:val="000D7BD8"/>
    <w:rsid w:val="000D7EA6"/>
    <w:rsid w:val="000E4C0C"/>
    <w:rsid w:val="000E5166"/>
    <w:rsid w:val="000E621F"/>
    <w:rsid w:val="000F179E"/>
    <w:rsid w:val="000F1B79"/>
    <w:rsid w:val="000F38FF"/>
    <w:rsid w:val="000F4307"/>
    <w:rsid w:val="0010158F"/>
    <w:rsid w:val="00101BB7"/>
    <w:rsid w:val="00101F51"/>
    <w:rsid w:val="001026CA"/>
    <w:rsid w:val="00102C7C"/>
    <w:rsid w:val="00104D9B"/>
    <w:rsid w:val="00115B94"/>
    <w:rsid w:val="001170B5"/>
    <w:rsid w:val="001173A0"/>
    <w:rsid w:val="00117CB2"/>
    <w:rsid w:val="00120B39"/>
    <w:rsid w:val="001238E5"/>
    <w:rsid w:val="00123A2E"/>
    <w:rsid w:val="00124071"/>
    <w:rsid w:val="00124341"/>
    <w:rsid w:val="001251BB"/>
    <w:rsid w:val="001267D4"/>
    <w:rsid w:val="0013345A"/>
    <w:rsid w:val="00135972"/>
    <w:rsid w:val="001360FC"/>
    <w:rsid w:val="001447A0"/>
    <w:rsid w:val="0014497F"/>
    <w:rsid w:val="00146DDD"/>
    <w:rsid w:val="00146E58"/>
    <w:rsid w:val="00147145"/>
    <w:rsid w:val="00150096"/>
    <w:rsid w:val="001508E4"/>
    <w:rsid w:val="0015380A"/>
    <w:rsid w:val="00153EB0"/>
    <w:rsid w:val="00154CB6"/>
    <w:rsid w:val="00156711"/>
    <w:rsid w:val="00163F7E"/>
    <w:rsid w:val="00164DA4"/>
    <w:rsid w:val="00166298"/>
    <w:rsid w:val="001663C8"/>
    <w:rsid w:val="00167BEB"/>
    <w:rsid w:val="00170779"/>
    <w:rsid w:val="00174605"/>
    <w:rsid w:val="00174D3D"/>
    <w:rsid w:val="00180925"/>
    <w:rsid w:val="001813A2"/>
    <w:rsid w:val="001813A7"/>
    <w:rsid w:val="00182478"/>
    <w:rsid w:val="001825CB"/>
    <w:rsid w:val="00186A97"/>
    <w:rsid w:val="001904D5"/>
    <w:rsid w:val="001938F5"/>
    <w:rsid w:val="00194D93"/>
    <w:rsid w:val="00194FEC"/>
    <w:rsid w:val="0019530E"/>
    <w:rsid w:val="00195F2E"/>
    <w:rsid w:val="0019757B"/>
    <w:rsid w:val="001A001C"/>
    <w:rsid w:val="001A34F3"/>
    <w:rsid w:val="001A4567"/>
    <w:rsid w:val="001B1DB4"/>
    <w:rsid w:val="001B361F"/>
    <w:rsid w:val="001B36CE"/>
    <w:rsid w:val="001B3D8C"/>
    <w:rsid w:val="001B4762"/>
    <w:rsid w:val="001B60B5"/>
    <w:rsid w:val="001B787F"/>
    <w:rsid w:val="001C2501"/>
    <w:rsid w:val="001C25EC"/>
    <w:rsid w:val="001C4978"/>
    <w:rsid w:val="001C4B1E"/>
    <w:rsid w:val="001D030D"/>
    <w:rsid w:val="001D0ED2"/>
    <w:rsid w:val="001D7025"/>
    <w:rsid w:val="001E0B61"/>
    <w:rsid w:val="001E1276"/>
    <w:rsid w:val="001E1FFD"/>
    <w:rsid w:val="001E3820"/>
    <w:rsid w:val="001E3A41"/>
    <w:rsid w:val="001F2651"/>
    <w:rsid w:val="001F285E"/>
    <w:rsid w:val="001F36AB"/>
    <w:rsid w:val="001F479F"/>
    <w:rsid w:val="001F50C9"/>
    <w:rsid w:val="002010A0"/>
    <w:rsid w:val="00202524"/>
    <w:rsid w:val="00202A35"/>
    <w:rsid w:val="00204746"/>
    <w:rsid w:val="0020559A"/>
    <w:rsid w:val="0020746B"/>
    <w:rsid w:val="00210736"/>
    <w:rsid w:val="00210F81"/>
    <w:rsid w:val="00211622"/>
    <w:rsid w:val="00211782"/>
    <w:rsid w:val="00214B3E"/>
    <w:rsid w:val="002160AF"/>
    <w:rsid w:val="00217370"/>
    <w:rsid w:val="00222A0A"/>
    <w:rsid w:val="00222E71"/>
    <w:rsid w:val="002247E4"/>
    <w:rsid w:val="0022698E"/>
    <w:rsid w:val="00227912"/>
    <w:rsid w:val="002311EE"/>
    <w:rsid w:val="0023201B"/>
    <w:rsid w:val="00235673"/>
    <w:rsid w:val="002370F5"/>
    <w:rsid w:val="00240ACA"/>
    <w:rsid w:val="00240D7B"/>
    <w:rsid w:val="00241299"/>
    <w:rsid w:val="00245225"/>
    <w:rsid w:val="00254F1E"/>
    <w:rsid w:val="00255462"/>
    <w:rsid w:val="00260957"/>
    <w:rsid w:val="002613FE"/>
    <w:rsid w:val="00264646"/>
    <w:rsid w:val="0027026D"/>
    <w:rsid w:val="0027232D"/>
    <w:rsid w:val="00274D0F"/>
    <w:rsid w:val="0027604B"/>
    <w:rsid w:val="002767DE"/>
    <w:rsid w:val="00276E8C"/>
    <w:rsid w:val="00277500"/>
    <w:rsid w:val="00280D97"/>
    <w:rsid w:val="00281A5F"/>
    <w:rsid w:val="00285EB4"/>
    <w:rsid w:val="00285F1E"/>
    <w:rsid w:val="0028706C"/>
    <w:rsid w:val="002918AC"/>
    <w:rsid w:val="00291F68"/>
    <w:rsid w:val="00293A97"/>
    <w:rsid w:val="00295CBB"/>
    <w:rsid w:val="002A060A"/>
    <w:rsid w:val="002A076D"/>
    <w:rsid w:val="002A084D"/>
    <w:rsid w:val="002A0B1A"/>
    <w:rsid w:val="002A23A7"/>
    <w:rsid w:val="002A4450"/>
    <w:rsid w:val="002A543E"/>
    <w:rsid w:val="002A6750"/>
    <w:rsid w:val="002A722B"/>
    <w:rsid w:val="002B030B"/>
    <w:rsid w:val="002B0B9E"/>
    <w:rsid w:val="002B0E10"/>
    <w:rsid w:val="002B2296"/>
    <w:rsid w:val="002B4407"/>
    <w:rsid w:val="002B67B7"/>
    <w:rsid w:val="002C0429"/>
    <w:rsid w:val="002C19E4"/>
    <w:rsid w:val="002C34E3"/>
    <w:rsid w:val="002C6CC4"/>
    <w:rsid w:val="002D13C4"/>
    <w:rsid w:val="002D275E"/>
    <w:rsid w:val="002D478A"/>
    <w:rsid w:val="002D6357"/>
    <w:rsid w:val="002D66BC"/>
    <w:rsid w:val="002D6C96"/>
    <w:rsid w:val="002D73F0"/>
    <w:rsid w:val="002D7584"/>
    <w:rsid w:val="002D7DA3"/>
    <w:rsid w:val="002E0C6D"/>
    <w:rsid w:val="002E25AE"/>
    <w:rsid w:val="002E3026"/>
    <w:rsid w:val="002E3999"/>
    <w:rsid w:val="002E3F06"/>
    <w:rsid w:val="002E4D7F"/>
    <w:rsid w:val="002E6FFA"/>
    <w:rsid w:val="002E7F8F"/>
    <w:rsid w:val="002F0B05"/>
    <w:rsid w:val="002F3F04"/>
    <w:rsid w:val="002F41BA"/>
    <w:rsid w:val="003018AA"/>
    <w:rsid w:val="003020E8"/>
    <w:rsid w:val="00303591"/>
    <w:rsid w:val="00303B99"/>
    <w:rsid w:val="003063AB"/>
    <w:rsid w:val="0030714F"/>
    <w:rsid w:val="003073E2"/>
    <w:rsid w:val="003075F3"/>
    <w:rsid w:val="00307DDF"/>
    <w:rsid w:val="00310242"/>
    <w:rsid w:val="00311539"/>
    <w:rsid w:val="00311C63"/>
    <w:rsid w:val="0031297C"/>
    <w:rsid w:val="00314A43"/>
    <w:rsid w:val="00314E33"/>
    <w:rsid w:val="003153F3"/>
    <w:rsid w:val="0031694F"/>
    <w:rsid w:val="0032041A"/>
    <w:rsid w:val="00321208"/>
    <w:rsid w:val="00322040"/>
    <w:rsid w:val="003240B8"/>
    <w:rsid w:val="00325422"/>
    <w:rsid w:val="00326F4F"/>
    <w:rsid w:val="00332146"/>
    <w:rsid w:val="00333FDA"/>
    <w:rsid w:val="003340DE"/>
    <w:rsid w:val="00334558"/>
    <w:rsid w:val="00340D19"/>
    <w:rsid w:val="00344804"/>
    <w:rsid w:val="003518C8"/>
    <w:rsid w:val="0035254C"/>
    <w:rsid w:val="003533B5"/>
    <w:rsid w:val="00354C7D"/>
    <w:rsid w:val="00360635"/>
    <w:rsid w:val="00360CBC"/>
    <w:rsid w:val="0036108F"/>
    <w:rsid w:val="003622CA"/>
    <w:rsid w:val="00363030"/>
    <w:rsid w:val="00364304"/>
    <w:rsid w:val="0036462C"/>
    <w:rsid w:val="00364A42"/>
    <w:rsid w:val="00365422"/>
    <w:rsid w:val="003664C1"/>
    <w:rsid w:val="003710CA"/>
    <w:rsid w:val="003735ED"/>
    <w:rsid w:val="003755FB"/>
    <w:rsid w:val="0037577C"/>
    <w:rsid w:val="00385502"/>
    <w:rsid w:val="00385B95"/>
    <w:rsid w:val="00386FFE"/>
    <w:rsid w:val="003916A5"/>
    <w:rsid w:val="00391A43"/>
    <w:rsid w:val="00391E8D"/>
    <w:rsid w:val="003A1C60"/>
    <w:rsid w:val="003A2E75"/>
    <w:rsid w:val="003A3561"/>
    <w:rsid w:val="003A3D9F"/>
    <w:rsid w:val="003A5628"/>
    <w:rsid w:val="003A696D"/>
    <w:rsid w:val="003B0611"/>
    <w:rsid w:val="003B078F"/>
    <w:rsid w:val="003B42D9"/>
    <w:rsid w:val="003B7D5A"/>
    <w:rsid w:val="003C1000"/>
    <w:rsid w:val="003C3140"/>
    <w:rsid w:val="003C3E02"/>
    <w:rsid w:val="003C3FE8"/>
    <w:rsid w:val="003C6621"/>
    <w:rsid w:val="003C73F9"/>
    <w:rsid w:val="003D0B21"/>
    <w:rsid w:val="003D5F07"/>
    <w:rsid w:val="003D6AB5"/>
    <w:rsid w:val="003E0FD0"/>
    <w:rsid w:val="003E1276"/>
    <w:rsid w:val="003E3FF5"/>
    <w:rsid w:val="003E5354"/>
    <w:rsid w:val="003E58FB"/>
    <w:rsid w:val="003F3F79"/>
    <w:rsid w:val="003F51F4"/>
    <w:rsid w:val="003F52C6"/>
    <w:rsid w:val="003F558E"/>
    <w:rsid w:val="0040173E"/>
    <w:rsid w:val="00403D6E"/>
    <w:rsid w:val="00407AC0"/>
    <w:rsid w:val="004107BC"/>
    <w:rsid w:val="00411317"/>
    <w:rsid w:val="00411378"/>
    <w:rsid w:val="00412E30"/>
    <w:rsid w:val="004170AF"/>
    <w:rsid w:val="00423F21"/>
    <w:rsid w:val="00425D4B"/>
    <w:rsid w:val="00432AE7"/>
    <w:rsid w:val="00432BB7"/>
    <w:rsid w:val="004331E9"/>
    <w:rsid w:val="00433E8D"/>
    <w:rsid w:val="0043585D"/>
    <w:rsid w:val="0043592C"/>
    <w:rsid w:val="004411B9"/>
    <w:rsid w:val="00441207"/>
    <w:rsid w:val="004422CA"/>
    <w:rsid w:val="00442B6C"/>
    <w:rsid w:val="00443807"/>
    <w:rsid w:val="004462F7"/>
    <w:rsid w:val="00446A5C"/>
    <w:rsid w:val="00451679"/>
    <w:rsid w:val="004554B1"/>
    <w:rsid w:val="00457195"/>
    <w:rsid w:val="0046019D"/>
    <w:rsid w:val="0046093B"/>
    <w:rsid w:val="00461287"/>
    <w:rsid w:val="00464536"/>
    <w:rsid w:val="0046514E"/>
    <w:rsid w:val="0046610B"/>
    <w:rsid w:val="0046623C"/>
    <w:rsid w:val="00467739"/>
    <w:rsid w:val="00470D0C"/>
    <w:rsid w:val="00474E22"/>
    <w:rsid w:val="0047608F"/>
    <w:rsid w:val="00476554"/>
    <w:rsid w:val="004772C2"/>
    <w:rsid w:val="004813D4"/>
    <w:rsid w:val="00482174"/>
    <w:rsid w:val="00490877"/>
    <w:rsid w:val="00491D91"/>
    <w:rsid w:val="004924F1"/>
    <w:rsid w:val="00493102"/>
    <w:rsid w:val="0049580C"/>
    <w:rsid w:val="00497494"/>
    <w:rsid w:val="00497545"/>
    <w:rsid w:val="0049768F"/>
    <w:rsid w:val="004A04E5"/>
    <w:rsid w:val="004A1495"/>
    <w:rsid w:val="004A2165"/>
    <w:rsid w:val="004A2F3E"/>
    <w:rsid w:val="004A50D7"/>
    <w:rsid w:val="004A5E8B"/>
    <w:rsid w:val="004A5F74"/>
    <w:rsid w:val="004B1052"/>
    <w:rsid w:val="004B2332"/>
    <w:rsid w:val="004B49EA"/>
    <w:rsid w:val="004B558E"/>
    <w:rsid w:val="004B5B79"/>
    <w:rsid w:val="004B6B14"/>
    <w:rsid w:val="004C6A8E"/>
    <w:rsid w:val="004C7926"/>
    <w:rsid w:val="004D2DC9"/>
    <w:rsid w:val="004D50F5"/>
    <w:rsid w:val="004D7108"/>
    <w:rsid w:val="004E0A65"/>
    <w:rsid w:val="004E47EC"/>
    <w:rsid w:val="004E514F"/>
    <w:rsid w:val="004E54C9"/>
    <w:rsid w:val="004E737F"/>
    <w:rsid w:val="004F03DE"/>
    <w:rsid w:val="004F22DA"/>
    <w:rsid w:val="004F5D96"/>
    <w:rsid w:val="004F759B"/>
    <w:rsid w:val="00500AFD"/>
    <w:rsid w:val="00502165"/>
    <w:rsid w:val="00502267"/>
    <w:rsid w:val="00504834"/>
    <w:rsid w:val="00504C7A"/>
    <w:rsid w:val="00505AEE"/>
    <w:rsid w:val="0050632E"/>
    <w:rsid w:val="00506B92"/>
    <w:rsid w:val="00506EF3"/>
    <w:rsid w:val="0050752D"/>
    <w:rsid w:val="005102B3"/>
    <w:rsid w:val="00510D54"/>
    <w:rsid w:val="00511A26"/>
    <w:rsid w:val="00511EF3"/>
    <w:rsid w:val="00514507"/>
    <w:rsid w:val="00521350"/>
    <w:rsid w:val="00523F5A"/>
    <w:rsid w:val="0052563E"/>
    <w:rsid w:val="00532610"/>
    <w:rsid w:val="005351B9"/>
    <w:rsid w:val="00535813"/>
    <w:rsid w:val="00536011"/>
    <w:rsid w:val="00536361"/>
    <w:rsid w:val="005424BE"/>
    <w:rsid w:val="00542D0D"/>
    <w:rsid w:val="0055038D"/>
    <w:rsid w:val="00550B79"/>
    <w:rsid w:val="0055150B"/>
    <w:rsid w:val="0055171B"/>
    <w:rsid w:val="0055287E"/>
    <w:rsid w:val="005532F9"/>
    <w:rsid w:val="0055440B"/>
    <w:rsid w:val="0055708D"/>
    <w:rsid w:val="0056074E"/>
    <w:rsid w:val="00561CA6"/>
    <w:rsid w:val="005637B7"/>
    <w:rsid w:val="00564237"/>
    <w:rsid w:val="00564565"/>
    <w:rsid w:val="005647BE"/>
    <w:rsid w:val="00566299"/>
    <w:rsid w:val="005669C3"/>
    <w:rsid w:val="0056781C"/>
    <w:rsid w:val="005703F0"/>
    <w:rsid w:val="005725F6"/>
    <w:rsid w:val="00575217"/>
    <w:rsid w:val="005839BD"/>
    <w:rsid w:val="00586817"/>
    <w:rsid w:val="00586D92"/>
    <w:rsid w:val="00587507"/>
    <w:rsid w:val="00593403"/>
    <w:rsid w:val="005951F1"/>
    <w:rsid w:val="00596A0B"/>
    <w:rsid w:val="00596E05"/>
    <w:rsid w:val="00596F85"/>
    <w:rsid w:val="005970FA"/>
    <w:rsid w:val="00597EF4"/>
    <w:rsid w:val="005A0176"/>
    <w:rsid w:val="005A088E"/>
    <w:rsid w:val="005A2298"/>
    <w:rsid w:val="005A28C1"/>
    <w:rsid w:val="005A2BED"/>
    <w:rsid w:val="005A69FA"/>
    <w:rsid w:val="005A72FC"/>
    <w:rsid w:val="005B0388"/>
    <w:rsid w:val="005B109A"/>
    <w:rsid w:val="005C2C8B"/>
    <w:rsid w:val="005C2FD5"/>
    <w:rsid w:val="005C339A"/>
    <w:rsid w:val="005C5378"/>
    <w:rsid w:val="005C7DF2"/>
    <w:rsid w:val="005D09DD"/>
    <w:rsid w:val="005D2AB9"/>
    <w:rsid w:val="005D2DC5"/>
    <w:rsid w:val="005D34E2"/>
    <w:rsid w:val="005D496E"/>
    <w:rsid w:val="005D4E9F"/>
    <w:rsid w:val="005D52F4"/>
    <w:rsid w:val="005D7C20"/>
    <w:rsid w:val="005E6316"/>
    <w:rsid w:val="005E6960"/>
    <w:rsid w:val="005E7EB8"/>
    <w:rsid w:val="005F0E5B"/>
    <w:rsid w:val="005F18D6"/>
    <w:rsid w:val="005F2866"/>
    <w:rsid w:val="005F43D1"/>
    <w:rsid w:val="005F6219"/>
    <w:rsid w:val="006006A0"/>
    <w:rsid w:val="006008CC"/>
    <w:rsid w:val="00600F38"/>
    <w:rsid w:val="00603024"/>
    <w:rsid w:val="00606F31"/>
    <w:rsid w:val="006116E3"/>
    <w:rsid w:val="00624400"/>
    <w:rsid w:val="00624E51"/>
    <w:rsid w:val="00626162"/>
    <w:rsid w:val="00630395"/>
    <w:rsid w:val="00634719"/>
    <w:rsid w:val="0063697D"/>
    <w:rsid w:val="00640DFE"/>
    <w:rsid w:val="006468E3"/>
    <w:rsid w:val="006503E8"/>
    <w:rsid w:val="00651167"/>
    <w:rsid w:val="0065390D"/>
    <w:rsid w:val="00654A4A"/>
    <w:rsid w:val="0065545A"/>
    <w:rsid w:val="00662FE0"/>
    <w:rsid w:val="00664E8C"/>
    <w:rsid w:val="006659F3"/>
    <w:rsid w:val="006661CF"/>
    <w:rsid w:val="006672BC"/>
    <w:rsid w:val="00670BFD"/>
    <w:rsid w:val="00671D9F"/>
    <w:rsid w:val="00671E4C"/>
    <w:rsid w:val="006730AF"/>
    <w:rsid w:val="00674295"/>
    <w:rsid w:val="00676A4B"/>
    <w:rsid w:val="0068064B"/>
    <w:rsid w:val="006818A8"/>
    <w:rsid w:val="00681A51"/>
    <w:rsid w:val="0068222E"/>
    <w:rsid w:val="00682469"/>
    <w:rsid w:val="006824C2"/>
    <w:rsid w:val="00683D97"/>
    <w:rsid w:val="00684FCA"/>
    <w:rsid w:val="00686B5C"/>
    <w:rsid w:val="006875C8"/>
    <w:rsid w:val="00692043"/>
    <w:rsid w:val="00692837"/>
    <w:rsid w:val="00692C4F"/>
    <w:rsid w:val="00694EB5"/>
    <w:rsid w:val="006965C5"/>
    <w:rsid w:val="00696997"/>
    <w:rsid w:val="006A0C4A"/>
    <w:rsid w:val="006A3DC1"/>
    <w:rsid w:val="006A4D8A"/>
    <w:rsid w:val="006A6ED8"/>
    <w:rsid w:val="006A758C"/>
    <w:rsid w:val="006B4E9F"/>
    <w:rsid w:val="006C1EEC"/>
    <w:rsid w:val="006C2B8C"/>
    <w:rsid w:val="006C3FEA"/>
    <w:rsid w:val="006C69E7"/>
    <w:rsid w:val="006D10AE"/>
    <w:rsid w:val="006D2208"/>
    <w:rsid w:val="006D29F2"/>
    <w:rsid w:val="006D4039"/>
    <w:rsid w:val="006D7200"/>
    <w:rsid w:val="006D7CA2"/>
    <w:rsid w:val="006E065B"/>
    <w:rsid w:val="006E09D3"/>
    <w:rsid w:val="006E1E6C"/>
    <w:rsid w:val="006E2C54"/>
    <w:rsid w:val="006E5505"/>
    <w:rsid w:val="006F240A"/>
    <w:rsid w:val="006F2FB3"/>
    <w:rsid w:val="006F531B"/>
    <w:rsid w:val="006F62BC"/>
    <w:rsid w:val="006F6C96"/>
    <w:rsid w:val="006F703A"/>
    <w:rsid w:val="00702493"/>
    <w:rsid w:val="0070425D"/>
    <w:rsid w:val="00704C4A"/>
    <w:rsid w:val="00714F3B"/>
    <w:rsid w:val="007166F7"/>
    <w:rsid w:val="00716AEF"/>
    <w:rsid w:val="00717076"/>
    <w:rsid w:val="00717296"/>
    <w:rsid w:val="00717464"/>
    <w:rsid w:val="00727370"/>
    <w:rsid w:val="0073296B"/>
    <w:rsid w:val="00733D5F"/>
    <w:rsid w:val="00735D9E"/>
    <w:rsid w:val="00737CFB"/>
    <w:rsid w:val="0074109C"/>
    <w:rsid w:val="00742335"/>
    <w:rsid w:val="00742842"/>
    <w:rsid w:val="0074514A"/>
    <w:rsid w:val="00747214"/>
    <w:rsid w:val="00753376"/>
    <w:rsid w:val="007543B0"/>
    <w:rsid w:val="007568A9"/>
    <w:rsid w:val="00761514"/>
    <w:rsid w:val="00763CE7"/>
    <w:rsid w:val="00771561"/>
    <w:rsid w:val="00772177"/>
    <w:rsid w:val="00773A09"/>
    <w:rsid w:val="00775C65"/>
    <w:rsid w:val="0077639A"/>
    <w:rsid w:val="00780803"/>
    <w:rsid w:val="0078100C"/>
    <w:rsid w:val="0078157F"/>
    <w:rsid w:val="007815CE"/>
    <w:rsid w:val="0078426F"/>
    <w:rsid w:val="00786E6C"/>
    <w:rsid w:val="00786F48"/>
    <w:rsid w:val="0078772C"/>
    <w:rsid w:val="007878E4"/>
    <w:rsid w:val="00790745"/>
    <w:rsid w:val="007908B2"/>
    <w:rsid w:val="00791EDE"/>
    <w:rsid w:val="00795639"/>
    <w:rsid w:val="00795EEB"/>
    <w:rsid w:val="007963BD"/>
    <w:rsid w:val="0079684B"/>
    <w:rsid w:val="007A4783"/>
    <w:rsid w:val="007A5191"/>
    <w:rsid w:val="007B0500"/>
    <w:rsid w:val="007B111B"/>
    <w:rsid w:val="007B1542"/>
    <w:rsid w:val="007B3AE8"/>
    <w:rsid w:val="007B4418"/>
    <w:rsid w:val="007B531E"/>
    <w:rsid w:val="007B5F62"/>
    <w:rsid w:val="007B66B3"/>
    <w:rsid w:val="007B7077"/>
    <w:rsid w:val="007B78B9"/>
    <w:rsid w:val="007B7BDF"/>
    <w:rsid w:val="007C1D80"/>
    <w:rsid w:val="007C3003"/>
    <w:rsid w:val="007C3701"/>
    <w:rsid w:val="007C3766"/>
    <w:rsid w:val="007C463F"/>
    <w:rsid w:val="007C5A2F"/>
    <w:rsid w:val="007C6B60"/>
    <w:rsid w:val="007C6F85"/>
    <w:rsid w:val="007D2936"/>
    <w:rsid w:val="007D3AA0"/>
    <w:rsid w:val="007D3FE2"/>
    <w:rsid w:val="007D5690"/>
    <w:rsid w:val="007D69FA"/>
    <w:rsid w:val="007E1600"/>
    <w:rsid w:val="007E2DE8"/>
    <w:rsid w:val="007E3865"/>
    <w:rsid w:val="007E50C1"/>
    <w:rsid w:val="007F21C8"/>
    <w:rsid w:val="007F3548"/>
    <w:rsid w:val="007F6215"/>
    <w:rsid w:val="00801340"/>
    <w:rsid w:val="008022AA"/>
    <w:rsid w:val="008030A5"/>
    <w:rsid w:val="00805326"/>
    <w:rsid w:val="00810603"/>
    <w:rsid w:val="00813FF5"/>
    <w:rsid w:val="00814283"/>
    <w:rsid w:val="008156B4"/>
    <w:rsid w:val="00817AC5"/>
    <w:rsid w:val="00820209"/>
    <w:rsid w:val="00820F35"/>
    <w:rsid w:val="00820FEC"/>
    <w:rsid w:val="008231AD"/>
    <w:rsid w:val="0082393D"/>
    <w:rsid w:val="0083324D"/>
    <w:rsid w:val="00841733"/>
    <w:rsid w:val="00844D38"/>
    <w:rsid w:val="00844D85"/>
    <w:rsid w:val="00850661"/>
    <w:rsid w:val="008524BE"/>
    <w:rsid w:val="00852814"/>
    <w:rsid w:val="00853BC2"/>
    <w:rsid w:val="00854278"/>
    <w:rsid w:val="00856063"/>
    <w:rsid w:val="00857172"/>
    <w:rsid w:val="0086236A"/>
    <w:rsid w:val="0087035A"/>
    <w:rsid w:val="0087347D"/>
    <w:rsid w:val="00877090"/>
    <w:rsid w:val="00882228"/>
    <w:rsid w:val="00882DAD"/>
    <w:rsid w:val="00883430"/>
    <w:rsid w:val="00883B25"/>
    <w:rsid w:val="00885263"/>
    <w:rsid w:val="008870D8"/>
    <w:rsid w:val="00890FA8"/>
    <w:rsid w:val="00892DA5"/>
    <w:rsid w:val="008949B1"/>
    <w:rsid w:val="0089713E"/>
    <w:rsid w:val="008A10F3"/>
    <w:rsid w:val="008A5C0F"/>
    <w:rsid w:val="008A5C2F"/>
    <w:rsid w:val="008B1596"/>
    <w:rsid w:val="008C09C4"/>
    <w:rsid w:val="008C1D09"/>
    <w:rsid w:val="008C1F44"/>
    <w:rsid w:val="008C254D"/>
    <w:rsid w:val="008C646F"/>
    <w:rsid w:val="008D2C8D"/>
    <w:rsid w:val="008D3BA3"/>
    <w:rsid w:val="008E0657"/>
    <w:rsid w:val="008E0751"/>
    <w:rsid w:val="008E3E4B"/>
    <w:rsid w:val="008E4EF9"/>
    <w:rsid w:val="008E6DFC"/>
    <w:rsid w:val="008E7710"/>
    <w:rsid w:val="008E7C43"/>
    <w:rsid w:val="008F2567"/>
    <w:rsid w:val="00900635"/>
    <w:rsid w:val="00900D4D"/>
    <w:rsid w:val="00901C67"/>
    <w:rsid w:val="00903F34"/>
    <w:rsid w:val="00905108"/>
    <w:rsid w:val="00905C0A"/>
    <w:rsid w:val="00906390"/>
    <w:rsid w:val="00910412"/>
    <w:rsid w:val="009122F8"/>
    <w:rsid w:val="00915520"/>
    <w:rsid w:val="009155F7"/>
    <w:rsid w:val="00915E9B"/>
    <w:rsid w:val="0091667E"/>
    <w:rsid w:val="00921131"/>
    <w:rsid w:val="00921E9B"/>
    <w:rsid w:val="009247F5"/>
    <w:rsid w:val="00926AB2"/>
    <w:rsid w:val="0093143A"/>
    <w:rsid w:val="009339FF"/>
    <w:rsid w:val="00934643"/>
    <w:rsid w:val="00934C28"/>
    <w:rsid w:val="009407FE"/>
    <w:rsid w:val="00942436"/>
    <w:rsid w:val="00944EAE"/>
    <w:rsid w:val="009460FE"/>
    <w:rsid w:val="00957603"/>
    <w:rsid w:val="00957A1D"/>
    <w:rsid w:val="00957BC0"/>
    <w:rsid w:val="0096487B"/>
    <w:rsid w:val="00966169"/>
    <w:rsid w:val="00966A7C"/>
    <w:rsid w:val="00971CA0"/>
    <w:rsid w:val="00973FC9"/>
    <w:rsid w:val="009757A1"/>
    <w:rsid w:val="009757D1"/>
    <w:rsid w:val="00976016"/>
    <w:rsid w:val="00980754"/>
    <w:rsid w:val="009810D4"/>
    <w:rsid w:val="00981535"/>
    <w:rsid w:val="00982451"/>
    <w:rsid w:val="009825C8"/>
    <w:rsid w:val="0098409F"/>
    <w:rsid w:val="00985537"/>
    <w:rsid w:val="00990476"/>
    <w:rsid w:val="00991698"/>
    <w:rsid w:val="00991C17"/>
    <w:rsid w:val="00992D1E"/>
    <w:rsid w:val="00993F3E"/>
    <w:rsid w:val="00996128"/>
    <w:rsid w:val="00997EB2"/>
    <w:rsid w:val="00997EBE"/>
    <w:rsid w:val="009A06F5"/>
    <w:rsid w:val="009A0788"/>
    <w:rsid w:val="009A0E92"/>
    <w:rsid w:val="009A17EC"/>
    <w:rsid w:val="009A35B4"/>
    <w:rsid w:val="009A39E7"/>
    <w:rsid w:val="009B03DF"/>
    <w:rsid w:val="009B42A5"/>
    <w:rsid w:val="009B48B0"/>
    <w:rsid w:val="009B53B9"/>
    <w:rsid w:val="009B6AF0"/>
    <w:rsid w:val="009B7971"/>
    <w:rsid w:val="009C292D"/>
    <w:rsid w:val="009C35A1"/>
    <w:rsid w:val="009C4870"/>
    <w:rsid w:val="009C5F0C"/>
    <w:rsid w:val="009C67C0"/>
    <w:rsid w:val="009D1035"/>
    <w:rsid w:val="009D13D0"/>
    <w:rsid w:val="009D2068"/>
    <w:rsid w:val="009D558C"/>
    <w:rsid w:val="009D7753"/>
    <w:rsid w:val="009D7D33"/>
    <w:rsid w:val="009E3AD8"/>
    <w:rsid w:val="009E4DD4"/>
    <w:rsid w:val="009E4E3F"/>
    <w:rsid w:val="009E698B"/>
    <w:rsid w:val="009E69B2"/>
    <w:rsid w:val="009F0D75"/>
    <w:rsid w:val="009F1547"/>
    <w:rsid w:val="009F4ABA"/>
    <w:rsid w:val="00A0551D"/>
    <w:rsid w:val="00A066AE"/>
    <w:rsid w:val="00A10DD9"/>
    <w:rsid w:val="00A11BB5"/>
    <w:rsid w:val="00A12C6B"/>
    <w:rsid w:val="00A14117"/>
    <w:rsid w:val="00A149FA"/>
    <w:rsid w:val="00A158AD"/>
    <w:rsid w:val="00A17DF0"/>
    <w:rsid w:val="00A20F78"/>
    <w:rsid w:val="00A218F1"/>
    <w:rsid w:val="00A2464B"/>
    <w:rsid w:val="00A25342"/>
    <w:rsid w:val="00A27DEE"/>
    <w:rsid w:val="00A31B93"/>
    <w:rsid w:val="00A3588B"/>
    <w:rsid w:val="00A375EF"/>
    <w:rsid w:val="00A42C3E"/>
    <w:rsid w:val="00A44A20"/>
    <w:rsid w:val="00A51367"/>
    <w:rsid w:val="00A528C2"/>
    <w:rsid w:val="00A5383D"/>
    <w:rsid w:val="00A54AFD"/>
    <w:rsid w:val="00A54E69"/>
    <w:rsid w:val="00A55132"/>
    <w:rsid w:val="00A61B06"/>
    <w:rsid w:val="00A62113"/>
    <w:rsid w:val="00A64BA4"/>
    <w:rsid w:val="00A6626E"/>
    <w:rsid w:val="00A66FF6"/>
    <w:rsid w:val="00A6759C"/>
    <w:rsid w:val="00A67923"/>
    <w:rsid w:val="00A679EC"/>
    <w:rsid w:val="00A713ED"/>
    <w:rsid w:val="00A714B8"/>
    <w:rsid w:val="00A74901"/>
    <w:rsid w:val="00A75733"/>
    <w:rsid w:val="00A76308"/>
    <w:rsid w:val="00A77C08"/>
    <w:rsid w:val="00A81527"/>
    <w:rsid w:val="00A82058"/>
    <w:rsid w:val="00A82B2D"/>
    <w:rsid w:val="00A8489D"/>
    <w:rsid w:val="00A84AE7"/>
    <w:rsid w:val="00A85F89"/>
    <w:rsid w:val="00A869B0"/>
    <w:rsid w:val="00A9289F"/>
    <w:rsid w:val="00A92C1D"/>
    <w:rsid w:val="00AA027B"/>
    <w:rsid w:val="00AA0978"/>
    <w:rsid w:val="00AA0C77"/>
    <w:rsid w:val="00AA1AD6"/>
    <w:rsid w:val="00AA1D27"/>
    <w:rsid w:val="00AA204C"/>
    <w:rsid w:val="00AA2D57"/>
    <w:rsid w:val="00AA3941"/>
    <w:rsid w:val="00AA56D0"/>
    <w:rsid w:val="00AA6734"/>
    <w:rsid w:val="00AA7DEA"/>
    <w:rsid w:val="00AB0C9F"/>
    <w:rsid w:val="00AB143A"/>
    <w:rsid w:val="00AB36DC"/>
    <w:rsid w:val="00AB4C24"/>
    <w:rsid w:val="00AC003C"/>
    <w:rsid w:val="00AC0103"/>
    <w:rsid w:val="00AC1019"/>
    <w:rsid w:val="00AC1404"/>
    <w:rsid w:val="00AC55D7"/>
    <w:rsid w:val="00AC68EA"/>
    <w:rsid w:val="00AC7B32"/>
    <w:rsid w:val="00AD039F"/>
    <w:rsid w:val="00AD3902"/>
    <w:rsid w:val="00AD3AD6"/>
    <w:rsid w:val="00AD6010"/>
    <w:rsid w:val="00AE1E99"/>
    <w:rsid w:val="00AE33FF"/>
    <w:rsid w:val="00AE5C93"/>
    <w:rsid w:val="00AE66B3"/>
    <w:rsid w:val="00AF06D5"/>
    <w:rsid w:val="00AF09DD"/>
    <w:rsid w:val="00AF0A9B"/>
    <w:rsid w:val="00AF1289"/>
    <w:rsid w:val="00AF151A"/>
    <w:rsid w:val="00AF3342"/>
    <w:rsid w:val="00AF706D"/>
    <w:rsid w:val="00AF73E6"/>
    <w:rsid w:val="00AF76B6"/>
    <w:rsid w:val="00B02655"/>
    <w:rsid w:val="00B036DC"/>
    <w:rsid w:val="00B04BC6"/>
    <w:rsid w:val="00B05102"/>
    <w:rsid w:val="00B153F9"/>
    <w:rsid w:val="00B16A34"/>
    <w:rsid w:val="00B17780"/>
    <w:rsid w:val="00B24833"/>
    <w:rsid w:val="00B25453"/>
    <w:rsid w:val="00B2558C"/>
    <w:rsid w:val="00B27FAB"/>
    <w:rsid w:val="00B30303"/>
    <w:rsid w:val="00B316FA"/>
    <w:rsid w:val="00B31B9C"/>
    <w:rsid w:val="00B322B3"/>
    <w:rsid w:val="00B33DF8"/>
    <w:rsid w:val="00B3462F"/>
    <w:rsid w:val="00B34D6C"/>
    <w:rsid w:val="00B41C3E"/>
    <w:rsid w:val="00B46CCD"/>
    <w:rsid w:val="00B5240F"/>
    <w:rsid w:val="00B5544F"/>
    <w:rsid w:val="00B55E5D"/>
    <w:rsid w:val="00B57324"/>
    <w:rsid w:val="00B60A36"/>
    <w:rsid w:val="00B6217A"/>
    <w:rsid w:val="00B65308"/>
    <w:rsid w:val="00B6616A"/>
    <w:rsid w:val="00B663B2"/>
    <w:rsid w:val="00B66867"/>
    <w:rsid w:val="00B66994"/>
    <w:rsid w:val="00B67D1E"/>
    <w:rsid w:val="00B70105"/>
    <w:rsid w:val="00B71AFB"/>
    <w:rsid w:val="00B71F3A"/>
    <w:rsid w:val="00B7221F"/>
    <w:rsid w:val="00B73991"/>
    <w:rsid w:val="00B73C97"/>
    <w:rsid w:val="00B76340"/>
    <w:rsid w:val="00B76843"/>
    <w:rsid w:val="00B80C43"/>
    <w:rsid w:val="00B80D00"/>
    <w:rsid w:val="00B82400"/>
    <w:rsid w:val="00B8436D"/>
    <w:rsid w:val="00B84B23"/>
    <w:rsid w:val="00B87649"/>
    <w:rsid w:val="00B922B9"/>
    <w:rsid w:val="00B93821"/>
    <w:rsid w:val="00B93DC1"/>
    <w:rsid w:val="00B94786"/>
    <w:rsid w:val="00BA1869"/>
    <w:rsid w:val="00BA78B6"/>
    <w:rsid w:val="00BB1BEC"/>
    <w:rsid w:val="00BB26AD"/>
    <w:rsid w:val="00BB79BD"/>
    <w:rsid w:val="00BC7208"/>
    <w:rsid w:val="00BD0B48"/>
    <w:rsid w:val="00BD2A0A"/>
    <w:rsid w:val="00BD5D0F"/>
    <w:rsid w:val="00BD7C68"/>
    <w:rsid w:val="00BE1CBC"/>
    <w:rsid w:val="00BE1D12"/>
    <w:rsid w:val="00BE29DC"/>
    <w:rsid w:val="00BE4D74"/>
    <w:rsid w:val="00BE547B"/>
    <w:rsid w:val="00BF272C"/>
    <w:rsid w:val="00BF4B81"/>
    <w:rsid w:val="00BF5C85"/>
    <w:rsid w:val="00BF697A"/>
    <w:rsid w:val="00BF6ADB"/>
    <w:rsid w:val="00C00DE0"/>
    <w:rsid w:val="00C03776"/>
    <w:rsid w:val="00C0632B"/>
    <w:rsid w:val="00C10A50"/>
    <w:rsid w:val="00C13821"/>
    <w:rsid w:val="00C14051"/>
    <w:rsid w:val="00C14FB9"/>
    <w:rsid w:val="00C15132"/>
    <w:rsid w:val="00C15F73"/>
    <w:rsid w:val="00C17381"/>
    <w:rsid w:val="00C17614"/>
    <w:rsid w:val="00C2037B"/>
    <w:rsid w:val="00C203E5"/>
    <w:rsid w:val="00C22FF7"/>
    <w:rsid w:val="00C23C69"/>
    <w:rsid w:val="00C25A57"/>
    <w:rsid w:val="00C27F76"/>
    <w:rsid w:val="00C30DA4"/>
    <w:rsid w:val="00C30FAA"/>
    <w:rsid w:val="00C32E7D"/>
    <w:rsid w:val="00C36D97"/>
    <w:rsid w:val="00C374D9"/>
    <w:rsid w:val="00C42094"/>
    <w:rsid w:val="00C424CD"/>
    <w:rsid w:val="00C44719"/>
    <w:rsid w:val="00C45082"/>
    <w:rsid w:val="00C47708"/>
    <w:rsid w:val="00C47EB5"/>
    <w:rsid w:val="00C50108"/>
    <w:rsid w:val="00C508E2"/>
    <w:rsid w:val="00C57410"/>
    <w:rsid w:val="00C63819"/>
    <w:rsid w:val="00C654F2"/>
    <w:rsid w:val="00C6572C"/>
    <w:rsid w:val="00C70CFF"/>
    <w:rsid w:val="00C71584"/>
    <w:rsid w:val="00C74593"/>
    <w:rsid w:val="00C75655"/>
    <w:rsid w:val="00C80CD2"/>
    <w:rsid w:val="00C837C3"/>
    <w:rsid w:val="00C84497"/>
    <w:rsid w:val="00C8481A"/>
    <w:rsid w:val="00C868F6"/>
    <w:rsid w:val="00C87858"/>
    <w:rsid w:val="00C9137C"/>
    <w:rsid w:val="00C91644"/>
    <w:rsid w:val="00C9186A"/>
    <w:rsid w:val="00C93C34"/>
    <w:rsid w:val="00C9552C"/>
    <w:rsid w:val="00C9650A"/>
    <w:rsid w:val="00C9663B"/>
    <w:rsid w:val="00CA43A5"/>
    <w:rsid w:val="00CA44F0"/>
    <w:rsid w:val="00CA5F3F"/>
    <w:rsid w:val="00CA67EA"/>
    <w:rsid w:val="00CA7C0B"/>
    <w:rsid w:val="00CB1024"/>
    <w:rsid w:val="00CB5D61"/>
    <w:rsid w:val="00CB6E2B"/>
    <w:rsid w:val="00CB6FF7"/>
    <w:rsid w:val="00CB7302"/>
    <w:rsid w:val="00CC1E9F"/>
    <w:rsid w:val="00CC5896"/>
    <w:rsid w:val="00CD27A2"/>
    <w:rsid w:val="00CE0C35"/>
    <w:rsid w:val="00CE3810"/>
    <w:rsid w:val="00CE4D70"/>
    <w:rsid w:val="00CE52B4"/>
    <w:rsid w:val="00CE53B2"/>
    <w:rsid w:val="00CE5842"/>
    <w:rsid w:val="00CE5DCD"/>
    <w:rsid w:val="00CE701C"/>
    <w:rsid w:val="00CE7599"/>
    <w:rsid w:val="00CF21C4"/>
    <w:rsid w:val="00CF4053"/>
    <w:rsid w:val="00CF414A"/>
    <w:rsid w:val="00CF4FF0"/>
    <w:rsid w:val="00CF5B47"/>
    <w:rsid w:val="00D021C6"/>
    <w:rsid w:val="00D03B11"/>
    <w:rsid w:val="00D05B49"/>
    <w:rsid w:val="00D104F0"/>
    <w:rsid w:val="00D104F9"/>
    <w:rsid w:val="00D13919"/>
    <w:rsid w:val="00D14323"/>
    <w:rsid w:val="00D1528A"/>
    <w:rsid w:val="00D16008"/>
    <w:rsid w:val="00D166D4"/>
    <w:rsid w:val="00D1748D"/>
    <w:rsid w:val="00D239FB"/>
    <w:rsid w:val="00D23ABE"/>
    <w:rsid w:val="00D30254"/>
    <w:rsid w:val="00D33768"/>
    <w:rsid w:val="00D33D87"/>
    <w:rsid w:val="00D35077"/>
    <w:rsid w:val="00D35A6E"/>
    <w:rsid w:val="00D36B48"/>
    <w:rsid w:val="00D408A8"/>
    <w:rsid w:val="00D43184"/>
    <w:rsid w:val="00D457EC"/>
    <w:rsid w:val="00D46771"/>
    <w:rsid w:val="00D46DAE"/>
    <w:rsid w:val="00D47AC0"/>
    <w:rsid w:val="00D51C8F"/>
    <w:rsid w:val="00D5204B"/>
    <w:rsid w:val="00D52583"/>
    <w:rsid w:val="00D54C10"/>
    <w:rsid w:val="00D55191"/>
    <w:rsid w:val="00D55CD0"/>
    <w:rsid w:val="00D57544"/>
    <w:rsid w:val="00D57740"/>
    <w:rsid w:val="00D57829"/>
    <w:rsid w:val="00D57973"/>
    <w:rsid w:val="00D60CE2"/>
    <w:rsid w:val="00D612EC"/>
    <w:rsid w:val="00D6153E"/>
    <w:rsid w:val="00D623C4"/>
    <w:rsid w:val="00D64E74"/>
    <w:rsid w:val="00D65853"/>
    <w:rsid w:val="00D70CC9"/>
    <w:rsid w:val="00D722DF"/>
    <w:rsid w:val="00D73351"/>
    <w:rsid w:val="00D73405"/>
    <w:rsid w:val="00D8205B"/>
    <w:rsid w:val="00D84675"/>
    <w:rsid w:val="00D84F0D"/>
    <w:rsid w:val="00D8526A"/>
    <w:rsid w:val="00D86252"/>
    <w:rsid w:val="00D917F3"/>
    <w:rsid w:val="00D937F3"/>
    <w:rsid w:val="00D97BAA"/>
    <w:rsid w:val="00DA24F5"/>
    <w:rsid w:val="00DA3AF3"/>
    <w:rsid w:val="00DA4F9E"/>
    <w:rsid w:val="00DA5455"/>
    <w:rsid w:val="00DA5C2B"/>
    <w:rsid w:val="00DB112E"/>
    <w:rsid w:val="00DB5EFB"/>
    <w:rsid w:val="00DB6EF1"/>
    <w:rsid w:val="00DC19BB"/>
    <w:rsid w:val="00DC436E"/>
    <w:rsid w:val="00DC559C"/>
    <w:rsid w:val="00DC6404"/>
    <w:rsid w:val="00DD166C"/>
    <w:rsid w:val="00DD6F68"/>
    <w:rsid w:val="00DD7FDF"/>
    <w:rsid w:val="00DE1703"/>
    <w:rsid w:val="00DE177B"/>
    <w:rsid w:val="00DE1E42"/>
    <w:rsid w:val="00DE25AC"/>
    <w:rsid w:val="00DF0811"/>
    <w:rsid w:val="00DF25F2"/>
    <w:rsid w:val="00DF2B78"/>
    <w:rsid w:val="00DF568D"/>
    <w:rsid w:val="00DF57FE"/>
    <w:rsid w:val="00E00CCB"/>
    <w:rsid w:val="00E01BC3"/>
    <w:rsid w:val="00E028FD"/>
    <w:rsid w:val="00E02C82"/>
    <w:rsid w:val="00E02E3F"/>
    <w:rsid w:val="00E042C7"/>
    <w:rsid w:val="00E0755E"/>
    <w:rsid w:val="00E0781A"/>
    <w:rsid w:val="00E11475"/>
    <w:rsid w:val="00E11995"/>
    <w:rsid w:val="00E125BC"/>
    <w:rsid w:val="00E14335"/>
    <w:rsid w:val="00E16F37"/>
    <w:rsid w:val="00E175A7"/>
    <w:rsid w:val="00E20168"/>
    <w:rsid w:val="00E20740"/>
    <w:rsid w:val="00E20E92"/>
    <w:rsid w:val="00E245DA"/>
    <w:rsid w:val="00E24645"/>
    <w:rsid w:val="00E251FF"/>
    <w:rsid w:val="00E26115"/>
    <w:rsid w:val="00E26597"/>
    <w:rsid w:val="00E317DD"/>
    <w:rsid w:val="00E31BCB"/>
    <w:rsid w:val="00E31E79"/>
    <w:rsid w:val="00E32963"/>
    <w:rsid w:val="00E337BC"/>
    <w:rsid w:val="00E34567"/>
    <w:rsid w:val="00E350CD"/>
    <w:rsid w:val="00E35BA4"/>
    <w:rsid w:val="00E372A9"/>
    <w:rsid w:val="00E37BCB"/>
    <w:rsid w:val="00E4001B"/>
    <w:rsid w:val="00E41680"/>
    <w:rsid w:val="00E45982"/>
    <w:rsid w:val="00E45F0C"/>
    <w:rsid w:val="00E4734A"/>
    <w:rsid w:val="00E51FDE"/>
    <w:rsid w:val="00E534B2"/>
    <w:rsid w:val="00E541D5"/>
    <w:rsid w:val="00E56621"/>
    <w:rsid w:val="00E56B66"/>
    <w:rsid w:val="00E579AF"/>
    <w:rsid w:val="00E64D14"/>
    <w:rsid w:val="00E66AD5"/>
    <w:rsid w:val="00E67752"/>
    <w:rsid w:val="00E700B5"/>
    <w:rsid w:val="00E705B7"/>
    <w:rsid w:val="00E7086E"/>
    <w:rsid w:val="00E70ECC"/>
    <w:rsid w:val="00E71A89"/>
    <w:rsid w:val="00E72887"/>
    <w:rsid w:val="00E74F6B"/>
    <w:rsid w:val="00E76C27"/>
    <w:rsid w:val="00E77197"/>
    <w:rsid w:val="00E8024F"/>
    <w:rsid w:val="00E81B1A"/>
    <w:rsid w:val="00E83DF4"/>
    <w:rsid w:val="00E84FB3"/>
    <w:rsid w:val="00E87037"/>
    <w:rsid w:val="00E87917"/>
    <w:rsid w:val="00E942C3"/>
    <w:rsid w:val="00E94CF8"/>
    <w:rsid w:val="00EA00CA"/>
    <w:rsid w:val="00EA0680"/>
    <w:rsid w:val="00EA0F03"/>
    <w:rsid w:val="00EA1EF9"/>
    <w:rsid w:val="00EA2147"/>
    <w:rsid w:val="00EA2A07"/>
    <w:rsid w:val="00EA2CA0"/>
    <w:rsid w:val="00EA597A"/>
    <w:rsid w:val="00EA7237"/>
    <w:rsid w:val="00EB055B"/>
    <w:rsid w:val="00EB112A"/>
    <w:rsid w:val="00EB2CFF"/>
    <w:rsid w:val="00EC1212"/>
    <w:rsid w:val="00EC1D3D"/>
    <w:rsid w:val="00EC3331"/>
    <w:rsid w:val="00EC677E"/>
    <w:rsid w:val="00EC7444"/>
    <w:rsid w:val="00EC7E67"/>
    <w:rsid w:val="00ED22C1"/>
    <w:rsid w:val="00ED4816"/>
    <w:rsid w:val="00ED5B5C"/>
    <w:rsid w:val="00ED70BD"/>
    <w:rsid w:val="00EE0B3E"/>
    <w:rsid w:val="00EE139D"/>
    <w:rsid w:val="00EE1AD7"/>
    <w:rsid w:val="00EE37BB"/>
    <w:rsid w:val="00EE67A7"/>
    <w:rsid w:val="00EF330E"/>
    <w:rsid w:val="00EF4099"/>
    <w:rsid w:val="00EF6BDC"/>
    <w:rsid w:val="00F01C4C"/>
    <w:rsid w:val="00F02786"/>
    <w:rsid w:val="00F04269"/>
    <w:rsid w:val="00F0434F"/>
    <w:rsid w:val="00F058BC"/>
    <w:rsid w:val="00F0670F"/>
    <w:rsid w:val="00F07FA6"/>
    <w:rsid w:val="00F11BB3"/>
    <w:rsid w:val="00F11D22"/>
    <w:rsid w:val="00F13036"/>
    <w:rsid w:val="00F14300"/>
    <w:rsid w:val="00F17AB3"/>
    <w:rsid w:val="00F21D1A"/>
    <w:rsid w:val="00F22865"/>
    <w:rsid w:val="00F24442"/>
    <w:rsid w:val="00F24D75"/>
    <w:rsid w:val="00F261E3"/>
    <w:rsid w:val="00F273D4"/>
    <w:rsid w:val="00F304BA"/>
    <w:rsid w:val="00F32983"/>
    <w:rsid w:val="00F34B2F"/>
    <w:rsid w:val="00F34F33"/>
    <w:rsid w:val="00F350F6"/>
    <w:rsid w:val="00F36D1F"/>
    <w:rsid w:val="00F36FBC"/>
    <w:rsid w:val="00F3769E"/>
    <w:rsid w:val="00F37CB2"/>
    <w:rsid w:val="00F40F06"/>
    <w:rsid w:val="00F42669"/>
    <w:rsid w:val="00F459A6"/>
    <w:rsid w:val="00F4749B"/>
    <w:rsid w:val="00F50D24"/>
    <w:rsid w:val="00F514FB"/>
    <w:rsid w:val="00F5204C"/>
    <w:rsid w:val="00F547F3"/>
    <w:rsid w:val="00F56CE9"/>
    <w:rsid w:val="00F60F4E"/>
    <w:rsid w:val="00F61151"/>
    <w:rsid w:val="00F64ECE"/>
    <w:rsid w:val="00F67B6E"/>
    <w:rsid w:val="00F74C2E"/>
    <w:rsid w:val="00F77765"/>
    <w:rsid w:val="00F77EC3"/>
    <w:rsid w:val="00F80ADB"/>
    <w:rsid w:val="00F82FDB"/>
    <w:rsid w:val="00F8328B"/>
    <w:rsid w:val="00F85E98"/>
    <w:rsid w:val="00F86AB0"/>
    <w:rsid w:val="00F909D7"/>
    <w:rsid w:val="00F93F01"/>
    <w:rsid w:val="00FA7C8B"/>
    <w:rsid w:val="00FB0249"/>
    <w:rsid w:val="00FB13A8"/>
    <w:rsid w:val="00FB793A"/>
    <w:rsid w:val="00FC3B09"/>
    <w:rsid w:val="00FC5724"/>
    <w:rsid w:val="00FC5915"/>
    <w:rsid w:val="00FC5D6D"/>
    <w:rsid w:val="00FD39A8"/>
    <w:rsid w:val="00FD6657"/>
    <w:rsid w:val="00FD74D3"/>
    <w:rsid w:val="00FE0819"/>
    <w:rsid w:val="00FF0A3D"/>
    <w:rsid w:val="00FF194B"/>
    <w:rsid w:val="00FF1A54"/>
    <w:rsid w:val="00FF3F7F"/>
    <w:rsid w:val="00FF714E"/>
    <w:rsid w:val="00FF7D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0F06EE"/>
  <w15:docId w15:val="{7CF36715-2FB2-4DC9-BDBF-6318D8B4B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A17EC"/>
    <w:pPr>
      <w:widowControl w:val="0"/>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0C4266"/>
    <w:pPr>
      <w:keepNext/>
      <w:keepLines/>
      <w:widowControl/>
      <w:spacing w:line="360" w:lineRule="auto"/>
      <w:contextualSpacing/>
      <w:jc w:val="center"/>
      <w:outlineLvl w:val="0"/>
    </w:pPr>
    <w:rPr>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A17E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otnoteReference">
    <w:name w:val="footnote reference"/>
    <w:aliases w:val="o,fr,Style 6,Style 20,Appel note de bas de p,Style 8,Style 7,Style 3,Style 17,Style 19"/>
    <w:basedOn w:val="DefaultParagraphFont"/>
    <w:uiPriority w:val="99"/>
    <w:rsid w:val="00671E4C"/>
    <w:rPr>
      <w:vertAlign w:val="superscript"/>
    </w:rPr>
  </w:style>
  <w:style w:type="character" w:styleId="Hyperlink">
    <w:name w:val="Hyperlink"/>
    <w:basedOn w:val="DefaultParagraphFont"/>
    <w:rsid w:val="00154CB6"/>
    <w:rPr>
      <w:color w:val="0000FF"/>
      <w:u w:val="single"/>
    </w:rPr>
  </w:style>
  <w:style w:type="character" w:customStyle="1" w:styleId="term1">
    <w:name w:val="term1"/>
    <w:basedOn w:val="DefaultParagraphFont"/>
    <w:rsid w:val="00154CB6"/>
    <w:rPr>
      <w:b/>
      <w:bCs/>
    </w:rPr>
  </w:style>
  <w:style w:type="character" w:styleId="Emphasis">
    <w:name w:val="Emphasis"/>
    <w:basedOn w:val="DefaultParagraphFont"/>
    <w:qFormat/>
    <w:rsid w:val="00214B3E"/>
    <w:rPr>
      <w:i/>
      <w:iCs/>
    </w:rPr>
  </w:style>
  <w:style w:type="paragraph" w:styleId="BalloonText">
    <w:name w:val="Balloon Text"/>
    <w:basedOn w:val="Normal"/>
    <w:link w:val="BalloonTextChar"/>
    <w:uiPriority w:val="99"/>
    <w:semiHidden/>
    <w:unhideWhenUsed/>
    <w:rsid w:val="0043592C"/>
    <w:rPr>
      <w:rFonts w:ascii="Tahoma" w:hAnsi="Tahoma" w:cs="Tahoma"/>
      <w:sz w:val="16"/>
      <w:szCs w:val="16"/>
    </w:rPr>
  </w:style>
  <w:style w:type="character" w:customStyle="1" w:styleId="BalloonTextChar">
    <w:name w:val="Balloon Text Char"/>
    <w:basedOn w:val="DefaultParagraphFont"/>
    <w:link w:val="BalloonText"/>
    <w:uiPriority w:val="99"/>
    <w:semiHidden/>
    <w:rsid w:val="0043592C"/>
    <w:rPr>
      <w:rFonts w:ascii="Tahoma" w:eastAsia="Times New Roman" w:hAnsi="Tahoma" w:cs="Tahoma"/>
      <w:sz w:val="16"/>
      <w:szCs w:val="16"/>
    </w:rPr>
  </w:style>
  <w:style w:type="paragraph" w:styleId="ListParagraph">
    <w:name w:val="List Paragraph"/>
    <w:basedOn w:val="Normal"/>
    <w:uiPriority w:val="34"/>
    <w:qFormat/>
    <w:rsid w:val="00B17780"/>
    <w:pPr>
      <w:ind w:left="720"/>
      <w:contextualSpacing/>
    </w:pPr>
  </w:style>
  <w:style w:type="paragraph" w:styleId="Header">
    <w:name w:val="header"/>
    <w:basedOn w:val="Normal"/>
    <w:link w:val="HeaderChar"/>
    <w:uiPriority w:val="99"/>
    <w:unhideWhenUsed/>
    <w:rsid w:val="00360CBC"/>
    <w:pPr>
      <w:tabs>
        <w:tab w:val="center" w:pos="4680"/>
        <w:tab w:val="right" w:pos="9360"/>
      </w:tabs>
    </w:pPr>
  </w:style>
  <w:style w:type="character" w:customStyle="1" w:styleId="HeaderChar">
    <w:name w:val="Header Char"/>
    <w:basedOn w:val="DefaultParagraphFont"/>
    <w:link w:val="Header"/>
    <w:uiPriority w:val="99"/>
    <w:rsid w:val="00360CBC"/>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360CBC"/>
    <w:pPr>
      <w:tabs>
        <w:tab w:val="center" w:pos="4680"/>
        <w:tab w:val="right" w:pos="9360"/>
      </w:tabs>
    </w:pPr>
  </w:style>
  <w:style w:type="character" w:customStyle="1" w:styleId="FooterChar">
    <w:name w:val="Footer Char"/>
    <w:basedOn w:val="DefaultParagraphFont"/>
    <w:link w:val="Footer"/>
    <w:uiPriority w:val="99"/>
    <w:rsid w:val="00360CBC"/>
    <w:rPr>
      <w:rFonts w:ascii="Times New Roman" w:eastAsia="Times New Roman" w:hAnsi="Times New Roman" w:cs="Times New Roman"/>
      <w:sz w:val="20"/>
      <w:szCs w:val="20"/>
    </w:rPr>
  </w:style>
  <w:style w:type="paragraph" w:styleId="FootnoteText">
    <w:name w:val="footnote text"/>
    <w:basedOn w:val="Normal"/>
    <w:link w:val="FootnoteTextChar"/>
    <w:uiPriority w:val="99"/>
    <w:unhideWhenUsed/>
    <w:rsid w:val="00A3588B"/>
  </w:style>
  <w:style w:type="character" w:customStyle="1" w:styleId="FootnoteTextChar">
    <w:name w:val="Footnote Text Char"/>
    <w:basedOn w:val="DefaultParagraphFont"/>
    <w:link w:val="FootnoteText"/>
    <w:uiPriority w:val="99"/>
    <w:rsid w:val="00A3588B"/>
    <w:rPr>
      <w:rFonts w:ascii="Times New Roman" w:eastAsia="Times New Roman" w:hAnsi="Times New Roman" w:cs="Times New Roman"/>
      <w:sz w:val="20"/>
      <w:szCs w:val="20"/>
    </w:rPr>
  </w:style>
  <w:style w:type="paragraph" w:styleId="BlockText">
    <w:name w:val="Block Text"/>
    <w:basedOn w:val="Normal"/>
    <w:rsid w:val="00E8024F"/>
    <w:pPr>
      <w:tabs>
        <w:tab w:val="left" w:pos="-720"/>
      </w:tabs>
      <w:spacing w:line="360" w:lineRule="auto"/>
      <w:ind w:left="1440" w:right="2160"/>
    </w:pPr>
    <w:rPr>
      <w:sz w:val="26"/>
    </w:rPr>
  </w:style>
  <w:style w:type="paragraph" w:customStyle="1" w:styleId="Default">
    <w:name w:val="Default"/>
    <w:rsid w:val="007E3865"/>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F86AB0"/>
    <w:rPr>
      <w:sz w:val="16"/>
      <w:szCs w:val="16"/>
    </w:rPr>
  </w:style>
  <w:style w:type="paragraph" w:styleId="CommentText">
    <w:name w:val="annotation text"/>
    <w:basedOn w:val="Normal"/>
    <w:link w:val="CommentTextChar"/>
    <w:uiPriority w:val="99"/>
    <w:semiHidden/>
    <w:unhideWhenUsed/>
    <w:rsid w:val="00F86AB0"/>
  </w:style>
  <w:style w:type="character" w:customStyle="1" w:styleId="CommentTextChar">
    <w:name w:val="Comment Text Char"/>
    <w:basedOn w:val="DefaultParagraphFont"/>
    <w:link w:val="CommentText"/>
    <w:uiPriority w:val="99"/>
    <w:semiHidden/>
    <w:rsid w:val="00F86AB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86AB0"/>
    <w:rPr>
      <w:b/>
      <w:bCs/>
    </w:rPr>
  </w:style>
  <w:style w:type="character" w:customStyle="1" w:styleId="CommentSubjectChar">
    <w:name w:val="Comment Subject Char"/>
    <w:basedOn w:val="CommentTextChar"/>
    <w:link w:val="CommentSubject"/>
    <w:uiPriority w:val="99"/>
    <w:semiHidden/>
    <w:rsid w:val="00F86AB0"/>
    <w:rPr>
      <w:rFonts w:ascii="Times New Roman" w:eastAsia="Times New Roman" w:hAnsi="Times New Roman" w:cs="Times New Roman"/>
      <w:b/>
      <w:bCs/>
      <w:sz w:val="20"/>
      <w:szCs w:val="20"/>
    </w:rPr>
  </w:style>
  <w:style w:type="paragraph" w:styleId="BodyTextIndent">
    <w:name w:val="Body Text Indent"/>
    <w:basedOn w:val="Normal"/>
    <w:link w:val="BodyTextIndentChar"/>
    <w:uiPriority w:val="99"/>
    <w:unhideWhenUsed/>
    <w:rsid w:val="00E72887"/>
    <w:pPr>
      <w:widowControl/>
      <w:spacing w:line="360" w:lineRule="auto"/>
      <w:ind w:firstLine="1440"/>
      <w:contextualSpacing/>
    </w:pPr>
    <w:rPr>
      <w:sz w:val="26"/>
      <w:szCs w:val="26"/>
    </w:rPr>
  </w:style>
  <w:style w:type="character" w:customStyle="1" w:styleId="BodyTextIndentChar">
    <w:name w:val="Body Text Indent Char"/>
    <w:basedOn w:val="DefaultParagraphFont"/>
    <w:link w:val="BodyTextIndent"/>
    <w:uiPriority w:val="99"/>
    <w:rsid w:val="00E72887"/>
    <w:rPr>
      <w:rFonts w:ascii="Times New Roman" w:eastAsia="Times New Roman" w:hAnsi="Times New Roman" w:cs="Times New Roman"/>
      <w:sz w:val="26"/>
      <w:szCs w:val="26"/>
    </w:rPr>
  </w:style>
  <w:style w:type="character" w:customStyle="1" w:styleId="Heading1Char">
    <w:name w:val="Heading 1 Char"/>
    <w:basedOn w:val="DefaultParagraphFont"/>
    <w:link w:val="Heading1"/>
    <w:uiPriority w:val="9"/>
    <w:rsid w:val="000C4266"/>
    <w:rPr>
      <w:rFonts w:ascii="Times New Roman" w:eastAsia="Times New Roman" w:hAnsi="Times New Roman" w:cs="Times New Roman"/>
      <w:sz w:val="26"/>
      <w:szCs w:val="26"/>
    </w:rPr>
  </w:style>
  <w:style w:type="paragraph" w:styleId="BodyText">
    <w:name w:val="Body Text"/>
    <w:basedOn w:val="Normal"/>
    <w:link w:val="BodyTextChar"/>
    <w:uiPriority w:val="99"/>
    <w:unhideWhenUsed/>
    <w:rsid w:val="000C4266"/>
    <w:pPr>
      <w:widowControl/>
      <w:spacing w:line="360" w:lineRule="auto"/>
      <w:contextualSpacing/>
    </w:pPr>
    <w:rPr>
      <w:sz w:val="26"/>
      <w:szCs w:val="26"/>
    </w:rPr>
  </w:style>
  <w:style w:type="character" w:customStyle="1" w:styleId="BodyTextChar">
    <w:name w:val="Body Text Char"/>
    <w:basedOn w:val="DefaultParagraphFont"/>
    <w:link w:val="BodyText"/>
    <w:uiPriority w:val="99"/>
    <w:rsid w:val="000C4266"/>
    <w:rPr>
      <w:rFonts w:ascii="Times New Roman" w:eastAsia="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961872">
      <w:bodyDiv w:val="1"/>
      <w:marLeft w:val="0"/>
      <w:marRight w:val="0"/>
      <w:marTop w:val="0"/>
      <w:marBottom w:val="0"/>
      <w:divBdr>
        <w:top w:val="none" w:sz="0" w:space="0" w:color="auto"/>
        <w:left w:val="none" w:sz="0" w:space="0" w:color="auto"/>
        <w:bottom w:val="none" w:sz="0" w:space="0" w:color="auto"/>
        <w:right w:val="none" w:sz="0" w:space="0" w:color="auto"/>
      </w:divBdr>
    </w:div>
    <w:div w:id="352611933">
      <w:bodyDiv w:val="1"/>
      <w:marLeft w:val="0"/>
      <w:marRight w:val="0"/>
      <w:marTop w:val="0"/>
      <w:marBottom w:val="0"/>
      <w:divBdr>
        <w:top w:val="none" w:sz="0" w:space="0" w:color="auto"/>
        <w:left w:val="none" w:sz="0" w:space="0" w:color="auto"/>
        <w:bottom w:val="none" w:sz="0" w:space="0" w:color="auto"/>
        <w:right w:val="none" w:sz="0" w:space="0" w:color="auto"/>
      </w:divBdr>
    </w:div>
    <w:div w:id="363018570">
      <w:bodyDiv w:val="1"/>
      <w:marLeft w:val="0"/>
      <w:marRight w:val="0"/>
      <w:marTop w:val="0"/>
      <w:marBottom w:val="0"/>
      <w:divBdr>
        <w:top w:val="none" w:sz="0" w:space="0" w:color="auto"/>
        <w:left w:val="none" w:sz="0" w:space="0" w:color="auto"/>
        <w:bottom w:val="none" w:sz="0" w:space="0" w:color="auto"/>
        <w:right w:val="none" w:sz="0" w:space="0" w:color="auto"/>
      </w:divBdr>
    </w:div>
    <w:div w:id="583732107">
      <w:bodyDiv w:val="1"/>
      <w:marLeft w:val="0"/>
      <w:marRight w:val="0"/>
      <w:marTop w:val="0"/>
      <w:marBottom w:val="0"/>
      <w:divBdr>
        <w:top w:val="none" w:sz="0" w:space="0" w:color="auto"/>
        <w:left w:val="none" w:sz="0" w:space="0" w:color="auto"/>
        <w:bottom w:val="none" w:sz="0" w:space="0" w:color="auto"/>
        <w:right w:val="none" w:sz="0" w:space="0" w:color="auto"/>
      </w:divBdr>
    </w:div>
    <w:div w:id="697513619">
      <w:bodyDiv w:val="1"/>
      <w:marLeft w:val="0"/>
      <w:marRight w:val="0"/>
      <w:marTop w:val="0"/>
      <w:marBottom w:val="0"/>
      <w:divBdr>
        <w:top w:val="none" w:sz="0" w:space="0" w:color="auto"/>
        <w:left w:val="none" w:sz="0" w:space="0" w:color="auto"/>
        <w:bottom w:val="none" w:sz="0" w:space="0" w:color="auto"/>
        <w:right w:val="none" w:sz="0" w:space="0" w:color="auto"/>
      </w:divBdr>
      <w:divsChild>
        <w:div w:id="1920210590">
          <w:marLeft w:val="0"/>
          <w:marRight w:val="0"/>
          <w:marTop w:val="0"/>
          <w:marBottom w:val="0"/>
          <w:divBdr>
            <w:top w:val="none" w:sz="0" w:space="0" w:color="auto"/>
            <w:left w:val="single" w:sz="6" w:space="0" w:color="BBBBBB"/>
            <w:bottom w:val="single" w:sz="6" w:space="0" w:color="BBBBBB"/>
            <w:right w:val="single" w:sz="6" w:space="0" w:color="BBBBBB"/>
          </w:divBdr>
          <w:divsChild>
            <w:div w:id="1881821683">
              <w:marLeft w:val="0"/>
              <w:marRight w:val="0"/>
              <w:marTop w:val="0"/>
              <w:marBottom w:val="0"/>
              <w:divBdr>
                <w:top w:val="none" w:sz="0" w:space="0" w:color="auto"/>
                <w:left w:val="none" w:sz="0" w:space="0" w:color="auto"/>
                <w:bottom w:val="none" w:sz="0" w:space="0" w:color="auto"/>
                <w:right w:val="none" w:sz="0" w:space="0" w:color="auto"/>
              </w:divBdr>
              <w:divsChild>
                <w:div w:id="1371612716">
                  <w:marLeft w:val="0"/>
                  <w:marRight w:val="0"/>
                  <w:marTop w:val="75"/>
                  <w:marBottom w:val="0"/>
                  <w:divBdr>
                    <w:top w:val="none" w:sz="0" w:space="0" w:color="auto"/>
                    <w:left w:val="none" w:sz="0" w:space="0" w:color="auto"/>
                    <w:bottom w:val="none" w:sz="0" w:space="0" w:color="auto"/>
                    <w:right w:val="none" w:sz="0" w:space="0" w:color="auto"/>
                  </w:divBdr>
                  <w:divsChild>
                    <w:div w:id="596643816">
                      <w:marLeft w:val="0"/>
                      <w:marRight w:val="0"/>
                      <w:marTop w:val="0"/>
                      <w:marBottom w:val="0"/>
                      <w:divBdr>
                        <w:top w:val="none" w:sz="0" w:space="0" w:color="auto"/>
                        <w:left w:val="none" w:sz="0" w:space="0" w:color="auto"/>
                        <w:bottom w:val="none" w:sz="0" w:space="0" w:color="auto"/>
                        <w:right w:val="none" w:sz="0" w:space="0" w:color="auto"/>
                      </w:divBdr>
                      <w:divsChild>
                        <w:div w:id="1870795348">
                          <w:marLeft w:val="0"/>
                          <w:marRight w:val="0"/>
                          <w:marTop w:val="0"/>
                          <w:marBottom w:val="0"/>
                          <w:divBdr>
                            <w:top w:val="none" w:sz="0" w:space="0" w:color="auto"/>
                            <w:left w:val="none" w:sz="0" w:space="0" w:color="auto"/>
                            <w:bottom w:val="none" w:sz="0" w:space="0" w:color="auto"/>
                            <w:right w:val="none" w:sz="0" w:space="0" w:color="auto"/>
                          </w:divBdr>
                          <w:divsChild>
                            <w:div w:id="2113359500">
                              <w:marLeft w:val="0"/>
                              <w:marRight w:val="0"/>
                              <w:marTop w:val="0"/>
                              <w:marBottom w:val="0"/>
                              <w:divBdr>
                                <w:top w:val="none" w:sz="0" w:space="0" w:color="auto"/>
                                <w:left w:val="none" w:sz="0" w:space="0" w:color="auto"/>
                                <w:bottom w:val="none" w:sz="0" w:space="0" w:color="auto"/>
                                <w:right w:val="none" w:sz="0" w:space="0" w:color="auto"/>
                              </w:divBdr>
                              <w:divsChild>
                                <w:div w:id="766658952">
                                  <w:marLeft w:val="0"/>
                                  <w:marRight w:val="0"/>
                                  <w:marTop w:val="0"/>
                                  <w:marBottom w:val="0"/>
                                  <w:divBdr>
                                    <w:top w:val="none" w:sz="0" w:space="0" w:color="auto"/>
                                    <w:left w:val="none" w:sz="0" w:space="0" w:color="auto"/>
                                    <w:bottom w:val="none" w:sz="0" w:space="0" w:color="auto"/>
                                    <w:right w:val="none" w:sz="0" w:space="0" w:color="auto"/>
                                  </w:divBdr>
                                  <w:divsChild>
                                    <w:div w:id="235092423">
                                      <w:marLeft w:val="0"/>
                                      <w:marRight w:val="0"/>
                                      <w:marTop w:val="0"/>
                                      <w:marBottom w:val="0"/>
                                      <w:divBdr>
                                        <w:top w:val="none" w:sz="0" w:space="0" w:color="auto"/>
                                        <w:left w:val="none" w:sz="0" w:space="0" w:color="auto"/>
                                        <w:bottom w:val="none" w:sz="0" w:space="0" w:color="auto"/>
                                        <w:right w:val="none" w:sz="0" w:space="0" w:color="auto"/>
                                      </w:divBdr>
                                      <w:divsChild>
                                        <w:div w:id="1543009425">
                                          <w:marLeft w:val="1200"/>
                                          <w:marRight w:val="1200"/>
                                          <w:marTop w:val="0"/>
                                          <w:marBottom w:val="0"/>
                                          <w:divBdr>
                                            <w:top w:val="none" w:sz="0" w:space="0" w:color="auto"/>
                                            <w:left w:val="none" w:sz="0" w:space="0" w:color="auto"/>
                                            <w:bottom w:val="none" w:sz="0" w:space="0" w:color="auto"/>
                                            <w:right w:val="none" w:sz="0" w:space="0" w:color="auto"/>
                                          </w:divBdr>
                                          <w:divsChild>
                                            <w:div w:id="683826365">
                                              <w:marLeft w:val="0"/>
                                              <w:marRight w:val="0"/>
                                              <w:marTop w:val="0"/>
                                              <w:marBottom w:val="0"/>
                                              <w:divBdr>
                                                <w:top w:val="none" w:sz="0" w:space="0" w:color="auto"/>
                                                <w:left w:val="none" w:sz="0" w:space="0" w:color="auto"/>
                                                <w:bottom w:val="none" w:sz="0" w:space="0" w:color="auto"/>
                                                <w:right w:val="none" w:sz="0" w:space="0" w:color="auto"/>
                                              </w:divBdr>
                                              <w:divsChild>
                                                <w:div w:id="31273515">
                                                  <w:marLeft w:val="0"/>
                                                  <w:marRight w:val="0"/>
                                                  <w:marTop w:val="240"/>
                                                  <w:marBottom w:val="0"/>
                                                  <w:divBdr>
                                                    <w:top w:val="none" w:sz="0" w:space="0" w:color="auto"/>
                                                    <w:left w:val="none" w:sz="0" w:space="0" w:color="auto"/>
                                                    <w:bottom w:val="none" w:sz="0" w:space="0" w:color="auto"/>
                                                    <w:right w:val="none" w:sz="0" w:space="0" w:color="auto"/>
                                                  </w:divBdr>
                                                  <w:divsChild>
                                                    <w:div w:id="1739204367">
                                                      <w:marLeft w:val="0"/>
                                                      <w:marRight w:val="0"/>
                                                      <w:marTop w:val="0"/>
                                                      <w:marBottom w:val="0"/>
                                                      <w:divBdr>
                                                        <w:top w:val="none" w:sz="0" w:space="0" w:color="auto"/>
                                                        <w:left w:val="none" w:sz="0" w:space="0" w:color="auto"/>
                                                        <w:bottom w:val="none" w:sz="0" w:space="0" w:color="auto"/>
                                                        <w:right w:val="none" w:sz="0" w:space="0" w:color="auto"/>
                                                      </w:divBdr>
                                                      <w:divsChild>
                                                        <w:div w:id="1327512573">
                                                          <w:marLeft w:val="1275"/>
                                                          <w:marRight w:val="0"/>
                                                          <w:marTop w:val="0"/>
                                                          <w:marBottom w:val="0"/>
                                                          <w:divBdr>
                                                            <w:top w:val="none" w:sz="0" w:space="0" w:color="auto"/>
                                                            <w:left w:val="none" w:sz="0" w:space="0" w:color="auto"/>
                                                            <w:bottom w:val="none" w:sz="0" w:space="0" w:color="auto"/>
                                                            <w:right w:val="none" w:sz="0" w:space="0" w:color="auto"/>
                                                          </w:divBdr>
                                                          <w:divsChild>
                                                            <w:div w:id="993799400">
                                                              <w:marLeft w:val="0"/>
                                                              <w:marRight w:val="0"/>
                                                              <w:marTop w:val="0"/>
                                                              <w:marBottom w:val="0"/>
                                                              <w:divBdr>
                                                                <w:top w:val="none" w:sz="0" w:space="0" w:color="auto"/>
                                                                <w:left w:val="none" w:sz="0" w:space="0" w:color="auto"/>
                                                                <w:bottom w:val="none" w:sz="0" w:space="0" w:color="auto"/>
                                                                <w:right w:val="none" w:sz="0" w:space="0" w:color="auto"/>
                                                              </w:divBdr>
                                                              <w:divsChild>
                                                                <w:div w:id="1212494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277055214">
      <w:bodyDiv w:val="1"/>
      <w:marLeft w:val="0"/>
      <w:marRight w:val="0"/>
      <w:marTop w:val="0"/>
      <w:marBottom w:val="0"/>
      <w:divBdr>
        <w:top w:val="none" w:sz="0" w:space="0" w:color="auto"/>
        <w:left w:val="none" w:sz="0" w:space="0" w:color="auto"/>
        <w:bottom w:val="none" w:sz="0" w:space="0" w:color="auto"/>
        <w:right w:val="none" w:sz="0" w:space="0" w:color="auto"/>
      </w:divBdr>
    </w:div>
    <w:div w:id="1467771329">
      <w:bodyDiv w:val="1"/>
      <w:marLeft w:val="0"/>
      <w:marRight w:val="0"/>
      <w:marTop w:val="0"/>
      <w:marBottom w:val="0"/>
      <w:divBdr>
        <w:top w:val="none" w:sz="0" w:space="0" w:color="auto"/>
        <w:left w:val="none" w:sz="0" w:space="0" w:color="auto"/>
        <w:bottom w:val="none" w:sz="0" w:space="0" w:color="auto"/>
        <w:right w:val="none" w:sz="0" w:space="0" w:color="auto"/>
      </w:divBdr>
    </w:div>
    <w:div w:id="1545217665">
      <w:bodyDiv w:val="1"/>
      <w:marLeft w:val="0"/>
      <w:marRight w:val="0"/>
      <w:marTop w:val="0"/>
      <w:marBottom w:val="0"/>
      <w:divBdr>
        <w:top w:val="none" w:sz="0" w:space="0" w:color="auto"/>
        <w:left w:val="none" w:sz="0" w:space="0" w:color="auto"/>
        <w:bottom w:val="none" w:sz="0" w:space="0" w:color="auto"/>
        <w:right w:val="none" w:sz="0" w:space="0" w:color="auto"/>
      </w:divBdr>
      <w:divsChild>
        <w:div w:id="231813236">
          <w:marLeft w:val="0"/>
          <w:marRight w:val="0"/>
          <w:marTop w:val="0"/>
          <w:marBottom w:val="0"/>
          <w:divBdr>
            <w:top w:val="none" w:sz="0" w:space="0" w:color="auto"/>
            <w:left w:val="single" w:sz="6" w:space="0" w:color="BBBBBB"/>
            <w:bottom w:val="single" w:sz="6" w:space="0" w:color="BBBBBB"/>
            <w:right w:val="single" w:sz="6" w:space="0" w:color="BBBBBB"/>
          </w:divBdr>
          <w:divsChild>
            <w:div w:id="473638825">
              <w:marLeft w:val="0"/>
              <w:marRight w:val="0"/>
              <w:marTop w:val="0"/>
              <w:marBottom w:val="0"/>
              <w:divBdr>
                <w:top w:val="none" w:sz="0" w:space="0" w:color="auto"/>
                <w:left w:val="none" w:sz="0" w:space="0" w:color="auto"/>
                <w:bottom w:val="none" w:sz="0" w:space="0" w:color="auto"/>
                <w:right w:val="none" w:sz="0" w:space="0" w:color="auto"/>
              </w:divBdr>
              <w:divsChild>
                <w:div w:id="750737865">
                  <w:marLeft w:val="0"/>
                  <w:marRight w:val="0"/>
                  <w:marTop w:val="75"/>
                  <w:marBottom w:val="0"/>
                  <w:divBdr>
                    <w:top w:val="none" w:sz="0" w:space="0" w:color="auto"/>
                    <w:left w:val="none" w:sz="0" w:space="0" w:color="auto"/>
                    <w:bottom w:val="none" w:sz="0" w:space="0" w:color="auto"/>
                    <w:right w:val="none" w:sz="0" w:space="0" w:color="auto"/>
                  </w:divBdr>
                  <w:divsChild>
                    <w:div w:id="169107547">
                      <w:marLeft w:val="0"/>
                      <w:marRight w:val="0"/>
                      <w:marTop w:val="0"/>
                      <w:marBottom w:val="0"/>
                      <w:divBdr>
                        <w:top w:val="none" w:sz="0" w:space="0" w:color="auto"/>
                        <w:left w:val="none" w:sz="0" w:space="0" w:color="auto"/>
                        <w:bottom w:val="none" w:sz="0" w:space="0" w:color="auto"/>
                        <w:right w:val="none" w:sz="0" w:space="0" w:color="auto"/>
                      </w:divBdr>
                      <w:divsChild>
                        <w:div w:id="1735737122">
                          <w:marLeft w:val="0"/>
                          <w:marRight w:val="0"/>
                          <w:marTop w:val="0"/>
                          <w:marBottom w:val="0"/>
                          <w:divBdr>
                            <w:top w:val="none" w:sz="0" w:space="0" w:color="auto"/>
                            <w:left w:val="none" w:sz="0" w:space="0" w:color="auto"/>
                            <w:bottom w:val="none" w:sz="0" w:space="0" w:color="auto"/>
                            <w:right w:val="none" w:sz="0" w:space="0" w:color="auto"/>
                          </w:divBdr>
                          <w:divsChild>
                            <w:div w:id="1097601481">
                              <w:marLeft w:val="0"/>
                              <w:marRight w:val="0"/>
                              <w:marTop w:val="0"/>
                              <w:marBottom w:val="0"/>
                              <w:divBdr>
                                <w:top w:val="none" w:sz="0" w:space="0" w:color="auto"/>
                                <w:left w:val="none" w:sz="0" w:space="0" w:color="auto"/>
                                <w:bottom w:val="none" w:sz="0" w:space="0" w:color="auto"/>
                                <w:right w:val="none" w:sz="0" w:space="0" w:color="auto"/>
                              </w:divBdr>
                              <w:divsChild>
                                <w:div w:id="575165908">
                                  <w:marLeft w:val="0"/>
                                  <w:marRight w:val="0"/>
                                  <w:marTop w:val="0"/>
                                  <w:marBottom w:val="0"/>
                                  <w:divBdr>
                                    <w:top w:val="none" w:sz="0" w:space="0" w:color="auto"/>
                                    <w:left w:val="none" w:sz="0" w:space="0" w:color="auto"/>
                                    <w:bottom w:val="none" w:sz="0" w:space="0" w:color="auto"/>
                                    <w:right w:val="none" w:sz="0" w:space="0" w:color="auto"/>
                                  </w:divBdr>
                                  <w:divsChild>
                                    <w:div w:id="1761483639">
                                      <w:marLeft w:val="0"/>
                                      <w:marRight w:val="0"/>
                                      <w:marTop w:val="0"/>
                                      <w:marBottom w:val="0"/>
                                      <w:divBdr>
                                        <w:top w:val="none" w:sz="0" w:space="0" w:color="auto"/>
                                        <w:left w:val="none" w:sz="0" w:space="0" w:color="auto"/>
                                        <w:bottom w:val="none" w:sz="0" w:space="0" w:color="auto"/>
                                        <w:right w:val="none" w:sz="0" w:space="0" w:color="auto"/>
                                      </w:divBdr>
                                      <w:divsChild>
                                        <w:div w:id="1391271020">
                                          <w:marLeft w:val="1200"/>
                                          <w:marRight w:val="1200"/>
                                          <w:marTop w:val="0"/>
                                          <w:marBottom w:val="0"/>
                                          <w:divBdr>
                                            <w:top w:val="none" w:sz="0" w:space="0" w:color="auto"/>
                                            <w:left w:val="none" w:sz="0" w:space="0" w:color="auto"/>
                                            <w:bottom w:val="none" w:sz="0" w:space="0" w:color="auto"/>
                                            <w:right w:val="none" w:sz="0" w:space="0" w:color="auto"/>
                                          </w:divBdr>
                                          <w:divsChild>
                                            <w:div w:id="1677922654">
                                              <w:marLeft w:val="0"/>
                                              <w:marRight w:val="0"/>
                                              <w:marTop w:val="0"/>
                                              <w:marBottom w:val="0"/>
                                              <w:divBdr>
                                                <w:top w:val="none" w:sz="0" w:space="0" w:color="auto"/>
                                                <w:left w:val="none" w:sz="0" w:space="0" w:color="auto"/>
                                                <w:bottom w:val="none" w:sz="0" w:space="0" w:color="auto"/>
                                                <w:right w:val="none" w:sz="0" w:space="0" w:color="auto"/>
                                              </w:divBdr>
                                              <w:divsChild>
                                                <w:div w:id="1076198234">
                                                  <w:marLeft w:val="0"/>
                                                  <w:marRight w:val="0"/>
                                                  <w:marTop w:val="240"/>
                                                  <w:marBottom w:val="0"/>
                                                  <w:divBdr>
                                                    <w:top w:val="none" w:sz="0" w:space="0" w:color="auto"/>
                                                    <w:left w:val="none" w:sz="0" w:space="0" w:color="auto"/>
                                                    <w:bottom w:val="none" w:sz="0" w:space="0" w:color="auto"/>
                                                    <w:right w:val="none" w:sz="0" w:space="0" w:color="auto"/>
                                                  </w:divBdr>
                                                  <w:divsChild>
                                                    <w:div w:id="1004169038">
                                                      <w:marLeft w:val="0"/>
                                                      <w:marRight w:val="0"/>
                                                      <w:marTop w:val="0"/>
                                                      <w:marBottom w:val="0"/>
                                                      <w:divBdr>
                                                        <w:top w:val="none" w:sz="0" w:space="0" w:color="auto"/>
                                                        <w:left w:val="none" w:sz="0" w:space="0" w:color="auto"/>
                                                        <w:bottom w:val="none" w:sz="0" w:space="0" w:color="auto"/>
                                                        <w:right w:val="none" w:sz="0" w:space="0" w:color="auto"/>
                                                      </w:divBdr>
                                                      <w:divsChild>
                                                        <w:div w:id="801655057">
                                                          <w:marLeft w:val="1275"/>
                                                          <w:marRight w:val="0"/>
                                                          <w:marTop w:val="0"/>
                                                          <w:marBottom w:val="0"/>
                                                          <w:divBdr>
                                                            <w:top w:val="none" w:sz="0" w:space="0" w:color="auto"/>
                                                            <w:left w:val="none" w:sz="0" w:space="0" w:color="auto"/>
                                                            <w:bottom w:val="none" w:sz="0" w:space="0" w:color="auto"/>
                                                            <w:right w:val="none" w:sz="0" w:space="0" w:color="auto"/>
                                                          </w:divBdr>
                                                          <w:divsChild>
                                                            <w:div w:id="693920796">
                                                              <w:marLeft w:val="0"/>
                                                              <w:marRight w:val="0"/>
                                                              <w:marTop w:val="0"/>
                                                              <w:marBottom w:val="0"/>
                                                              <w:divBdr>
                                                                <w:top w:val="none" w:sz="0" w:space="0" w:color="auto"/>
                                                                <w:left w:val="none" w:sz="0" w:space="0" w:color="auto"/>
                                                                <w:bottom w:val="none" w:sz="0" w:space="0" w:color="auto"/>
                                                                <w:right w:val="none" w:sz="0" w:space="0" w:color="auto"/>
                                                              </w:divBdr>
                                                              <w:divsChild>
                                                                <w:div w:id="2126348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720981083">
      <w:bodyDiv w:val="1"/>
      <w:marLeft w:val="0"/>
      <w:marRight w:val="0"/>
      <w:marTop w:val="0"/>
      <w:marBottom w:val="0"/>
      <w:divBdr>
        <w:top w:val="none" w:sz="0" w:space="0" w:color="auto"/>
        <w:left w:val="none" w:sz="0" w:space="0" w:color="auto"/>
        <w:bottom w:val="none" w:sz="0" w:space="0" w:color="auto"/>
        <w:right w:val="none" w:sz="0" w:space="0" w:color="auto"/>
      </w:divBdr>
    </w:div>
    <w:div w:id="1781604078">
      <w:bodyDiv w:val="1"/>
      <w:marLeft w:val="0"/>
      <w:marRight w:val="0"/>
      <w:marTop w:val="0"/>
      <w:marBottom w:val="0"/>
      <w:divBdr>
        <w:top w:val="none" w:sz="0" w:space="0" w:color="auto"/>
        <w:left w:val="none" w:sz="0" w:space="0" w:color="auto"/>
        <w:bottom w:val="none" w:sz="0" w:space="0" w:color="auto"/>
        <w:right w:val="none" w:sz="0" w:space="0" w:color="auto"/>
      </w:divBdr>
    </w:div>
    <w:div w:id="1805345320">
      <w:bodyDiv w:val="1"/>
      <w:marLeft w:val="0"/>
      <w:marRight w:val="0"/>
      <w:marTop w:val="0"/>
      <w:marBottom w:val="0"/>
      <w:divBdr>
        <w:top w:val="none" w:sz="0" w:space="0" w:color="auto"/>
        <w:left w:val="none" w:sz="0" w:space="0" w:color="auto"/>
        <w:bottom w:val="none" w:sz="0" w:space="0" w:color="auto"/>
        <w:right w:val="none" w:sz="0" w:space="0" w:color="auto"/>
      </w:divBdr>
    </w:div>
    <w:div w:id="1998997367">
      <w:bodyDiv w:val="1"/>
      <w:marLeft w:val="0"/>
      <w:marRight w:val="0"/>
      <w:marTop w:val="0"/>
      <w:marBottom w:val="0"/>
      <w:divBdr>
        <w:top w:val="none" w:sz="0" w:space="0" w:color="auto"/>
        <w:left w:val="none" w:sz="0" w:space="0" w:color="auto"/>
        <w:bottom w:val="none" w:sz="0" w:space="0" w:color="auto"/>
        <w:right w:val="none" w:sz="0" w:space="0" w:color="auto"/>
      </w:divBdr>
    </w:div>
    <w:div w:id="2113744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research\buttonTFLink?_m=69761b6202cb4178e2a6e6fe02f5751b&amp;_xfercite=%3ccite%20cc=%22USA%22%3e%3c!%5bCDATA%5b2000%20Pa.%20PUC%20LEXIS%2067%20%5d%5d%3e%3c\cite%3e&amp;_butType=3&amp;_butStat=242&amp;_butNum=5&amp;_butInline=1&amp;_butinfo=%3ccite%20cc=%22USA%22%3e%3c!%5bCDATA%5b625%20A.2d%20741%5d%5d%3e%3c\cite%3e&amp;_fmtstr=FULL&amp;docnum=5&amp;_startdoc=1&amp;_startchk=1&amp;wchp=dGLSzS-lSlbz&amp;_md5=ad2b02d95c2a9216e83b92a3570d4785"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file://C:\research\buttonTFLink?_m=69761b6202cb4178e2a6e6fe02f5751b&amp;_xfercite=%3ccite%20cc=%22USA%22%3e%3c!%5bCDATA%5b2000%20Pa.%20PUC%20LEXIS%2067%20%5d%5d%3e%3c\cite%3e&amp;_butType=3&amp;_butStat=242&amp;_butNum=6&amp;_butInline=1&amp;_butinfo=%3ccite%20cc=%22USA%22%3e%3c!%5bCDATA%5b485%20A.2d%201217%5d%5d%3e%3c\cite%3e&amp;_fmtstr=FULL&amp;docnum=5&amp;_startdoc=1&amp;_startchk=1&amp;wchp=dGLSzS-lSlbz&amp;_md5=9b1cc8319afd12440738bb82d74455e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70262B-32CF-48E3-8911-978F48D7BE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4780</Words>
  <Characters>27250</Characters>
  <Application>Microsoft Office Word</Application>
  <DocSecurity>0</DocSecurity>
  <Lines>227</Lines>
  <Paragraphs>63</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31967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jnase</dc:creator>
  <cp:lastModifiedBy>Sheffer, Ryan</cp:lastModifiedBy>
  <cp:revision>3</cp:revision>
  <cp:lastPrinted>2018-12-27T12:55:00Z</cp:lastPrinted>
  <dcterms:created xsi:type="dcterms:W3CDTF">2019-01-08T14:44:00Z</dcterms:created>
  <dcterms:modified xsi:type="dcterms:W3CDTF">2019-01-17T15:06:00Z</dcterms:modified>
</cp:coreProperties>
</file>