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217D303D" w14:textId="55B032D2" w:rsidR="00D11B24" w:rsidRPr="00A43481" w:rsidRDefault="005335D0" w:rsidP="00BF2E85">
      <w:pPr>
        <w:jc w:val="center"/>
        <w:rPr>
          <w:szCs w:val="24"/>
        </w:rPr>
      </w:pPr>
      <w:r>
        <w:rPr>
          <w:szCs w:val="24"/>
        </w:rPr>
        <w:t>January 22, 2019</w:t>
      </w:r>
    </w:p>
    <w:p w14:paraId="5AB04816" w14:textId="7051BE44" w:rsidR="004376E3" w:rsidRPr="00A43481" w:rsidRDefault="00D11B24" w:rsidP="00D11B24">
      <w:pPr>
        <w:tabs>
          <w:tab w:val="left" w:pos="984"/>
        </w:tabs>
        <w:jc w:val="right"/>
        <w:rPr>
          <w:szCs w:val="24"/>
        </w:rPr>
      </w:pPr>
      <w:r w:rsidRPr="00A43481">
        <w:rPr>
          <w:szCs w:val="24"/>
        </w:rPr>
        <w:tab/>
      </w:r>
      <w:r w:rsidR="004376E3" w:rsidRPr="00A43481">
        <w:rPr>
          <w:szCs w:val="24"/>
        </w:rPr>
        <w:t xml:space="preserve">Docket No. </w:t>
      </w:r>
      <w:bookmarkStart w:id="0" w:name="_Hlk535502122"/>
      <w:bookmarkStart w:id="1" w:name="_Hlk535496863"/>
      <w:r w:rsidR="002A44FB" w:rsidRPr="00A43481">
        <w:rPr>
          <w:szCs w:val="24"/>
        </w:rPr>
        <w:t>R-2019-3006886</w:t>
      </w:r>
      <w:bookmarkEnd w:id="0"/>
      <w:r w:rsidR="002A44FB" w:rsidRPr="00A43481">
        <w:rPr>
          <w:szCs w:val="24"/>
        </w:rPr>
        <w:t xml:space="preserve"> </w:t>
      </w:r>
      <w:bookmarkEnd w:id="1"/>
      <w:r w:rsidR="002E5260" w:rsidRPr="00A43481">
        <w:rPr>
          <w:szCs w:val="24"/>
        </w:rPr>
        <w:fldChar w:fldCharType="begin">
          <w:ffData>
            <w:name w:val="Text15"/>
            <w:enabled/>
            <w:calcOnExit w:val="0"/>
            <w:textInput/>
          </w:ffData>
        </w:fldChar>
      </w:r>
      <w:r w:rsidR="004376E3" w:rsidRPr="00A43481">
        <w:rPr>
          <w:szCs w:val="24"/>
        </w:rPr>
        <w:instrText xml:space="preserve"> FORMTEXT </w:instrText>
      </w:r>
      <w:r w:rsidR="00205DD2">
        <w:rPr>
          <w:szCs w:val="24"/>
        </w:rPr>
      </w:r>
      <w:r w:rsidR="00205DD2">
        <w:rPr>
          <w:szCs w:val="24"/>
        </w:rPr>
        <w:fldChar w:fldCharType="separate"/>
      </w:r>
      <w:r w:rsidR="002E5260" w:rsidRPr="00A43481">
        <w:rPr>
          <w:szCs w:val="24"/>
        </w:rPr>
        <w:fldChar w:fldCharType="end"/>
      </w:r>
    </w:p>
    <w:p w14:paraId="37CA491D" w14:textId="41E5465F" w:rsidR="004376E3" w:rsidRPr="00A43481" w:rsidRDefault="004376E3" w:rsidP="00D11B24">
      <w:pPr>
        <w:pStyle w:val="BodyText"/>
        <w:jc w:val="right"/>
      </w:pPr>
      <w:r w:rsidRPr="00A43481">
        <w:rPr>
          <w:szCs w:val="24"/>
        </w:rPr>
        <w:t xml:space="preserve">                                                                           </w:t>
      </w:r>
      <w:r w:rsidRPr="00A43481">
        <w:t xml:space="preserve">Utility Code: </w:t>
      </w:r>
      <w:r w:rsidR="002A44FB" w:rsidRPr="00A43481">
        <w:t>310828</w:t>
      </w:r>
    </w:p>
    <w:p w14:paraId="1204F4B1" w14:textId="77777777" w:rsidR="002A44FB" w:rsidRPr="00A43481" w:rsidRDefault="002A44FB" w:rsidP="002A44FB">
      <w:pPr>
        <w:ind w:left="-90" w:firstLine="90"/>
        <w:jc w:val="both"/>
        <w:rPr>
          <w:caps/>
          <w:szCs w:val="24"/>
        </w:rPr>
      </w:pPr>
      <w:r w:rsidRPr="00A43481">
        <w:rPr>
          <w:caps/>
          <w:szCs w:val="24"/>
        </w:rPr>
        <w:t>MICHAEL A GRUIN</w:t>
      </w:r>
    </w:p>
    <w:p w14:paraId="632BF647" w14:textId="77777777" w:rsidR="002A44FB" w:rsidRPr="00A43481" w:rsidRDefault="002A44FB" w:rsidP="002A44FB">
      <w:pPr>
        <w:ind w:left="-90" w:firstLine="90"/>
        <w:jc w:val="both"/>
        <w:rPr>
          <w:caps/>
          <w:szCs w:val="24"/>
        </w:rPr>
      </w:pPr>
      <w:r w:rsidRPr="00A43481">
        <w:rPr>
          <w:caps/>
          <w:szCs w:val="24"/>
        </w:rPr>
        <w:t>STEVENS &amp; LEE</w:t>
      </w:r>
    </w:p>
    <w:p w14:paraId="2893E2AD" w14:textId="77777777" w:rsidR="002A44FB" w:rsidRPr="00A43481" w:rsidRDefault="002A44FB" w:rsidP="002A44FB">
      <w:pPr>
        <w:ind w:left="-90" w:firstLine="90"/>
        <w:jc w:val="both"/>
        <w:rPr>
          <w:caps/>
          <w:szCs w:val="24"/>
        </w:rPr>
      </w:pPr>
      <w:r w:rsidRPr="00A43481">
        <w:rPr>
          <w:caps/>
          <w:szCs w:val="24"/>
        </w:rPr>
        <w:t>17 N 2ND ST FL 16</w:t>
      </w:r>
    </w:p>
    <w:p w14:paraId="3F69F817" w14:textId="23135D83" w:rsidR="004376E3" w:rsidRPr="00A43481" w:rsidRDefault="002A44FB" w:rsidP="002A44FB">
      <w:pPr>
        <w:ind w:left="-90" w:firstLine="90"/>
        <w:jc w:val="both"/>
        <w:rPr>
          <w:caps/>
          <w:szCs w:val="24"/>
        </w:rPr>
      </w:pPr>
      <w:r w:rsidRPr="00A43481">
        <w:rPr>
          <w:caps/>
          <w:szCs w:val="24"/>
        </w:rPr>
        <w:t>HARRISBURG PA 17101-1647</w:t>
      </w:r>
    </w:p>
    <w:p w14:paraId="0FE0185D" w14:textId="77777777" w:rsidR="002A44FB" w:rsidRPr="00A43481" w:rsidRDefault="002A44FB" w:rsidP="002A44FB">
      <w:pPr>
        <w:ind w:left="-90" w:firstLine="90"/>
        <w:jc w:val="both"/>
        <w:rPr>
          <w:szCs w:val="24"/>
        </w:rPr>
      </w:pPr>
    </w:p>
    <w:p w14:paraId="58CD5ECB" w14:textId="77777777" w:rsidR="001D772E" w:rsidRDefault="004376E3" w:rsidP="002A44FB">
      <w:pPr>
        <w:ind w:left="1440" w:hanging="720"/>
        <w:rPr>
          <w:szCs w:val="24"/>
        </w:rPr>
      </w:pPr>
      <w:r w:rsidRPr="00A43481">
        <w:rPr>
          <w:szCs w:val="24"/>
        </w:rPr>
        <w:t>Re:</w:t>
      </w:r>
      <w:r w:rsidRPr="00A43481">
        <w:rPr>
          <w:szCs w:val="24"/>
        </w:rPr>
        <w:tab/>
      </w:r>
      <w:proofErr w:type="spellStart"/>
      <w:r w:rsidR="002A44FB" w:rsidRPr="00A43481">
        <w:rPr>
          <w:szCs w:val="24"/>
        </w:rPr>
        <w:t>FiberNet</w:t>
      </w:r>
      <w:proofErr w:type="spellEnd"/>
      <w:r w:rsidR="002A44FB" w:rsidRPr="00A43481">
        <w:rPr>
          <w:szCs w:val="24"/>
        </w:rPr>
        <w:t xml:space="preserve"> Telecommunications of PA, LLC </w:t>
      </w:r>
    </w:p>
    <w:p w14:paraId="5F5F6850" w14:textId="0825C95B" w:rsidR="00BF2E85" w:rsidRPr="00A43481" w:rsidRDefault="002A44FB" w:rsidP="001D772E">
      <w:pPr>
        <w:ind w:left="1440"/>
        <w:rPr>
          <w:szCs w:val="24"/>
        </w:rPr>
      </w:pPr>
      <w:r w:rsidRPr="00A43481">
        <w:rPr>
          <w:szCs w:val="24"/>
        </w:rPr>
        <w:t xml:space="preserve">Name Change to </w:t>
      </w:r>
      <w:proofErr w:type="spellStart"/>
      <w:r w:rsidRPr="00A43481">
        <w:rPr>
          <w:szCs w:val="24"/>
        </w:rPr>
        <w:t>FiberNet</w:t>
      </w:r>
      <w:proofErr w:type="spellEnd"/>
      <w:r w:rsidRPr="00A43481">
        <w:rPr>
          <w:szCs w:val="24"/>
        </w:rPr>
        <w:t xml:space="preserve"> Telecommunications of PA, LLC d/b/a</w:t>
      </w:r>
      <w:r w:rsidR="00C6460A" w:rsidRPr="00A43481">
        <w:rPr>
          <w:szCs w:val="24"/>
        </w:rPr>
        <w:t xml:space="preserve"> </w:t>
      </w:r>
      <w:proofErr w:type="spellStart"/>
      <w:r w:rsidR="00C6460A" w:rsidRPr="00A43481">
        <w:rPr>
          <w:szCs w:val="24"/>
        </w:rPr>
        <w:t>Segra</w:t>
      </w:r>
      <w:proofErr w:type="spellEnd"/>
      <w:r w:rsidR="001D772E">
        <w:rPr>
          <w:szCs w:val="24"/>
        </w:rPr>
        <w:t xml:space="preserve"> (Company)</w:t>
      </w:r>
    </w:p>
    <w:p w14:paraId="5BEC7BBA" w14:textId="0AAB2246" w:rsidR="004376E3" w:rsidRPr="00A43481" w:rsidRDefault="00BF2E85" w:rsidP="00C6460A">
      <w:pPr>
        <w:ind w:left="1440" w:hanging="720"/>
        <w:jc w:val="both"/>
        <w:rPr>
          <w:szCs w:val="24"/>
        </w:rPr>
      </w:pPr>
      <w:r w:rsidRPr="00A43481">
        <w:rPr>
          <w:szCs w:val="24"/>
        </w:rPr>
        <w:tab/>
      </w:r>
    </w:p>
    <w:p w14:paraId="1A537ED1" w14:textId="5A712877" w:rsidR="004376E3" w:rsidRPr="00A43481" w:rsidRDefault="004376E3" w:rsidP="00D11B24">
      <w:pPr>
        <w:rPr>
          <w:szCs w:val="24"/>
        </w:rPr>
      </w:pPr>
      <w:r w:rsidRPr="00A43481">
        <w:rPr>
          <w:szCs w:val="24"/>
        </w:rPr>
        <w:t>Dear M</w:t>
      </w:r>
      <w:r w:rsidR="002A44FB" w:rsidRPr="00A43481">
        <w:rPr>
          <w:szCs w:val="24"/>
        </w:rPr>
        <w:t>r. Gruin</w:t>
      </w:r>
      <w:r w:rsidRPr="00A43481">
        <w:rPr>
          <w:szCs w:val="24"/>
        </w:rPr>
        <w:t>:</w:t>
      </w:r>
    </w:p>
    <w:p w14:paraId="1034CF27" w14:textId="77777777" w:rsidR="00D11B24" w:rsidRPr="00A43481" w:rsidRDefault="00D11B24" w:rsidP="00D11B24">
      <w:pPr>
        <w:rPr>
          <w:szCs w:val="24"/>
        </w:rPr>
      </w:pPr>
    </w:p>
    <w:p w14:paraId="54FBB99F" w14:textId="77777777" w:rsidR="00734009" w:rsidRPr="00A43481" w:rsidRDefault="00734009" w:rsidP="00D11B24">
      <w:pPr>
        <w:pStyle w:val="BodyText"/>
        <w:ind w:firstLine="720"/>
        <w:rPr>
          <w:szCs w:val="24"/>
        </w:rPr>
      </w:pPr>
      <w:r w:rsidRPr="00A43481">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580CFA47" w14:textId="77777777" w:rsidR="00272D3C" w:rsidRPr="00A43481" w:rsidRDefault="00272D3C" w:rsidP="00D11B24">
      <w:pPr>
        <w:pStyle w:val="BodyText"/>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529"/>
        <w:gridCol w:w="4151"/>
        <w:gridCol w:w="1482"/>
        <w:gridCol w:w="1382"/>
      </w:tblGrid>
      <w:tr w:rsidR="00A43481" w:rsidRPr="00A43481" w14:paraId="1CD17A3F" w14:textId="77777777" w:rsidTr="00292BDC">
        <w:trPr>
          <w:tblHeader/>
          <w:jc w:val="center"/>
        </w:trPr>
        <w:tc>
          <w:tcPr>
            <w:tcW w:w="758" w:type="pct"/>
          </w:tcPr>
          <w:p w14:paraId="04EA56C1" w14:textId="77777777" w:rsidR="009575BA" w:rsidRPr="00A43481" w:rsidRDefault="009575BA" w:rsidP="00D11B24">
            <w:pPr>
              <w:pStyle w:val="BodyText"/>
              <w:jc w:val="center"/>
              <w:rPr>
                <w:b/>
                <w:szCs w:val="24"/>
              </w:rPr>
            </w:pPr>
            <w:bookmarkStart w:id="2" w:name="_Hlk535502164"/>
            <w:r w:rsidRPr="00A43481">
              <w:rPr>
                <w:b/>
                <w:szCs w:val="24"/>
              </w:rPr>
              <w:t xml:space="preserve">Supplement </w:t>
            </w:r>
          </w:p>
        </w:tc>
        <w:tc>
          <w:tcPr>
            <w:tcW w:w="759" w:type="pct"/>
          </w:tcPr>
          <w:p w14:paraId="2D0EDF3D" w14:textId="77777777" w:rsidR="00145849" w:rsidRPr="00A43481" w:rsidRDefault="009575BA" w:rsidP="00D11B24">
            <w:pPr>
              <w:pStyle w:val="BodyText"/>
              <w:jc w:val="center"/>
              <w:rPr>
                <w:b/>
                <w:szCs w:val="24"/>
              </w:rPr>
            </w:pPr>
            <w:r w:rsidRPr="00A43481">
              <w:rPr>
                <w:b/>
                <w:szCs w:val="24"/>
              </w:rPr>
              <w:t xml:space="preserve">Tariff </w:t>
            </w:r>
          </w:p>
        </w:tc>
        <w:tc>
          <w:tcPr>
            <w:tcW w:w="2061" w:type="pct"/>
          </w:tcPr>
          <w:p w14:paraId="2E96F8AF" w14:textId="77777777" w:rsidR="009575BA" w:rsidRPr="00A43481" w:rsidRDefault="009575BA" w:rsidP="00D11B24">
            <w:pPr>
              <w:pStyle w:val="BodyText"/>
              <w:jc w:val="center"/>
              <w:rPr>
                <w:b/>
                <w:szCs w:val="24"/>
              </w:rPr>
            </w:pPr>
            <w:r w:rsidRPr="00A43481">
              <w:rPr>
                <w:b/>
                <w:szCs w:val="24"/>
              </w:rPr>
              <w:t>Description</w:t>
            </w:r>
          </w:p>
        </w:tc>
        <w:tc>
          <w:tcPr>
            <w:tcW w:w="736" w:type="pct"/>
          </w:tcPr>
          <w:p w14:paraId="70CF1D06" w14:textId="77777777" w:rsidR="009575BA" w:rsidRPr="00A43481" w:rsidRDefault="009575BA" w:rsidP="00D11B24">
            <w:pPr>
              <w:pStyle w:val="BodyText"/>
              <w:jc w:val="center"/>
              <w:rPr>
                <w:b/>
                <w:szCs w:val="24"/>
              </w:rPr>
            </w:pPr>
            <w:r w:rsidRPr="00A43481">
              <w:rPr>
                <w:b/>
                <w:szCs w:val="24"/>
              </w:rPr>
              <w:t>Filed</w:t>
            </w:r>
          </w:p>
        </w:tc>
        <w:tc>
          <w:tcPr>
            <w:tcW w:w="686" w:type="pct"/>
          </w:tcPr>
          <w:p w14:paraId="54996C02" w14:textId="77777777" w:rsidR="009575BA" w:rsidRPr="00A43481" w:rsidRDefault="009575BA" w:rsidP="00D11B24">
            <w:pPr>
              <w:pStyle w:val="BodyText"/>
              <w:jc w:val="center"/>
              <w:rPr>
                <w:b/>
                <w:szCs w:val="24"/>
              </w:rPr>
            </w:pPr>
            <w:r w:rsidRPr="00A43481">
              <w:rPr>
                <w:b/>
                <w:szCs w:val="24"/>
              </w:rPr>
              <w:t>Effective</w:t>
            </w:r>
          </w:p>
        </w:tc>
      </w:tr>
      <w:tr w:rsidR="00A43481" w:rsidRPr="00A43481" w14:paraId="4B4DA937" w14:textId="77777777" w:rsidTr="00292BDC">
        <w:trPr>
          <w:jc w:val="center"/>
        </w:trPr>
        <w:tc>
          <w:tcPr>
            <w:tcW w:w="758" w:type="pct"/>
          </w:tcPr>
          <w:p w14:paraId="2B4B7D7B" w14:textId="0ED02B7B" w:rsidR="009575BA" w:rsidRPr="00A43481" w:rsidRDefault="00ED0D39" w:rsidP="00D11B24">
            <w:pPr>
              <w:pStyle w:val="BodyText"/>
              <w:jc w:val="center"/>
              <w:rPr>
                <w:szCs w:val="24"/>
              </w:rPr>
            </w:pPr>
            <w:r w:rsidRPr="00A43481">
              <w:rPr>
                <w:szCs w:val="24"/>
              </w:rPr>
              <w:t>7</w:t>
            </w:r>
          </w:p>
        </w:tc>
        <w:tc>
          <w:tcPr>
            <w:tcW w:w="759" w:type="pct"/>
          </w:tcPr>
          <w:p w14:paraId="0A19B32D" w14:textId="6A104FBE" w:rsidR="009575BA" w:rsidRPr="00A43481" w:rsidRDefault="00ED0D39" w:rsidP="00D11B24">
            <w:pPr>
              <w:pStyle w:val="BodyText"/>
              <w:jc w:val="center"/>
              <w:rPr>
                <w:szCs w:val="24"/>
              </w:rPr>
            </w:pPr>
            <w:r w:rsidRPr="00A43481">
              <w:rPr>
                <w:szCs w:val="24"/>
              </w:rPr>
              <w:t>2</w:t>
            </w:r>
          </w:p>
        </w:tc>
        <w:tc>
          <w:tcPr>
            <w:tcW w:w="2061" w:type="pct"/>
          </w:tcPr>
          <w:p w14:paraId="16FB7082" w14:textId="2B85B354" w:rsidR="009575BA" w:rsidRPr="00A43481" w:rsidRDefault="00225417" w:rsidP="00D11B24">
            <w:pPr>
              <w:pStyle w:val="BodyText"/>
              <w:rPr>
                <w:szCs w:val="24"/>
              </w:rPr>
            </w:pPr>
            <w:r w:rsidRPr="00A43481">
              <w:rPr>
                <w:szCs w:val="24"/>
              </w:rPr>
              <w:t>CLEC t</w:t>
            </w:r>
            <w:r w:rsidR="00C6460A" w:rsidRPr="00A43481">
              <w:rPr>
                <w:szCs w:val="24"/>
              </w:rPr>
              <w:t xml:space="preserve">ariff revised to reflect </w:t>
            </w:r>
            <w:r w:rsidR="00292BDC" w:rsidRPr="00A43481">
              <w:rPr>
                <w:szCs w:val="24"/>
              </w:rPr>
              <w:t xml:space="preserve">name </w:t>
            </w:r>
            <w:r w:rsidR="00C6460A" w:rsidRPr="00A43481">
              <w:rPr>
                <w:szCs w:val="24"/>
              </w:rPr>
              <w:t xml:space="preserve">change </w:t>
            </w:r>
            <w:r w:rsidR="00ED0D39" w:rsidRPr="00A43481">
              <w:rPr>
                <w:szCs w:val="24"/>
              </w:rPr>
              <w:t xml:space="preserve">to </w:t>
            </w:r>
            <w:proofErr w:type="spellStart"/>
            <w:r w:rsidR="00ED0D39" w:rsidRPr="00A43481">
              <w:rPr>
                <w:szCs w:val="24"/>
              </w:rPr>
              <w:t>FiberNet</w:t>
            </w:r>
            <w:proofErr w:type="spellEnd"/>
            <w:r w:rsidR="00ED0D39" w:rsidRPr="00A43481">
              <w:rPr>
                <w:szCs w:val="24"/>
              </w:rPr>
              <w:t xml:space="preserve"> Telecommunications of PA, LLC</w:t>
            </w:r>
            <w:r w:rsidR="00C6460A" w:rsidRPr="00A43481">
              <w:rPr>
                <w:szCs w:val="24"/>
              </w:rPr>
              <w:t xml:space="preserve"> d/b/a </w:t>
            </w:r>
            <w:proofErr w:type="spellStart"/>
            <w:r w:rsidR="00C6460A" w:rsidRPr="00A43481">
              <w:rPr>
                <w:szCs w:val="24"/>
              </w:rPr>
              <w:t>Segra</w:t>
            </w:r>
            <w:proofErr w:type="spellEnd"/>
            <w:r w:rsidR="00292BDC" w:rsidRPr="00A43481">
              <w:rPr>
                <w:szCs w:val="24"/>
              </w:rPr>
              <w:t>.</w:t>
            </w:r>
          </w:p>
        </w:tc>
        <w:tc>
          <w:tcPr>
            <w:tcW w:w="736" w:type="pct"/>
          </w:tcPr>
          <w:p w14:paraId="4717F6AE" w14:textId="2F930841" w:rsidR="009575BA" w:rsidRPr="00A43481" w:rsidRDefault="001D772E" w:rsidP="00D11B24">
            <w:pPr>
              <w:pStyle w:val="BodyText"/>
              <w:jc w:val="center"/>
              <w:rPr>
                <w:szCs w:val="24"/>
              </w:rPr>
            </w:pPr>
            <w:r>
              <w:rPr>
                <w:szCs w:val="24"/>
              </w:rPr>
              <w:t>0</w:t>
            </w:r>
            <w:r w:rsidR="00C6460A" w:rsidRPr="00A43481">
              <w:rPr>
                <w:szCs w:val="24"/>
              </w:rPr>
              <w:t>1/</w:t>
            </w:r>
            <w:r>
              <w:rPr>
                <w:szCs w:val="24"/>
              </w:rPr>
              <w:t>0</w:t>
            </w:r>
            <w:r w:rsidR="00C6460A" w:rsidRPr="00A43481">
              <w:rPr>
                <w:szCs w:val="24"/>
              </w:rPr>
              <w:t>2/2019</w:t>
            </w:r>
          </w:p>
        </w:tc>
        <w:tc>
          <w:tcPr>
            <w:tcW w:w="686" w:type="pct"/>
          </w:tcPr>
          <w:p w14:paraId="7D5F47AD" w14:textId="36B064C7" w:rsidR="009575BA" w:rsidRPr="00A43481" w:rsidRDefault="001D772E" w:rsidP="00D11B24">
            <w:pPr>
              <w:pStyle w:val="BodyText"/>
              <w:jc w:val="center"/>
              <w:rPr>
                <w:szCs w:val="24"/>
              </w:rPr>
            </w:pPr>
            <w:r>
              <w:rPr>
                <w:szCs w:val="24"/>
              </w:rPr>
              <w:t>0</w:t>
            </w:r>
            <w:r w:rsidR="00C6460A" w:rsidRPr="00A43481">
              <w:rPr>
                <w:szCs w:val="24"/>
              </w:rPr>
              <w:t>1/10/2019</w:t>
            </w:r>
          </w:p>
        </w:tc>
      </w:tr>
      <w:tr w:rsidR="00A43481" w:rsidRPr="00A43481" w14:paraId="34893B03" w14:textId="77777777" w:rsidTr="00292BDC">
        <w:trPr>
          <w:jc w:val="center"/>
        </w:trPr>
        <w:tc>
          <w:tcPr>
            <w:tcW w:w="758" w:type="pct"/>
          </w:tcPr>
          <w:p w14:paraId="3463EBBA" w14:textId="31CCF0D7" w:rsidR="00292BDC" w:rsidRPr="00A43481" w:rsidRDefault="00292BDC" w:rsidP="00292BDC">
            <w:pPr>
              <w:pStyle w:val="BodyText"/>
              <w:jc w:val="center"/>
              <w:rPr>
                <w:szCs w:val="24"/>
              </w:rPr>
            </w:pPr>
            <w:r w:rsidRPr="00A43481">
              <w:rPr>
                <w:szCs w:val="24"/>
              </w:rPr>
              <w:t>1</w:t>
            </w:r>
          </w:p>
        </w:tc>
        <w:tc>
          <w:tcPr>
            <w:tcW w:w="759" w:type="pct"/>
          </w:tcPr>
          <w:p w14:paraId="78571ACE" w14:textId="1E402D6B" w:rsidR="00292BDC" w:rsidRPr="00A43481" w:rsidRDefault="00292BDC" w:rsidP="00292BDC">
            <w:pPr>
              <w:pStyle w:val="BodyText"/>
              <w:jc w:val="center"/>
              <w:rPr>
                <w:szCs w:val="24"/>
              </w:rPr>
            </w:pPr>
            <w:r w:rsidRPr="00A43481">
              <w:rPr>
                <w:szCs w:val="24"/>
              </w:rPr>
              <w:t>3</w:t>
            </w:r>
          </w:p>
        </w:tc>
        <w:tc>
          <w:tcPr>
            <w:tcW w:w="2061" w:type="pct"/>
          </w:tcPr>
          <w:p w14:paraId="40AC41AE" w14:textId="433D6DD7" w:rsidR="00292BDC" w:rsidRPr="00A43481" w:rsidRDefault="00292BDC" w:rsidP="00292BDC">
            <w:pPr>
              <w:pStyle w:val="BodyText"/>
              <w:rPr>
                <w:szCs w:val="24"/>
              </w:rPr>
            </w:pPr>
            <w:r w:rsidRPr="00A43481">
              <w:rPr>
                <w:szCs w:val="24"/>
              </w:rPr>
              <w:t xml:space="preserve">CAP tariff revised to reflect name change to </w:t>
            </w:r>
            <w:proofErr w:type="spellStart"/>
            <w:r w:rsidRPr="00A43481">
              <w:rPr>
                <w:szCs w:val="24"/>
              </w:rPr>
              <w:t>FiberNet</w:t>
            </w:r>
            <w:proofErr w:type="spellEnd"/>
            <w:r w:rsidRPr="00A43481">
              <w:rPr>
                <w:szCs w:val="24"/>
              </w:rPr>
              <w:t xml:space="preserve"> Telecommunications of PA, LLC d/b/a </w:t>
            </w:r>
            <w:proofErr w:type="spellStart"/>
            <w:r w:rsidRPr="00A43481">
              <w:rPr>
                <w:szCs w:val="24"/>
              </w:rPr>
              <w:t>Segra</w:t>
            </w:r>
            <w:proofErr w:type="spellEnd"/>
            <w:r w:rsidRPr="00A43481">
              <w:rPr>
                <w:szCs w:val="24"/>
              </w:rPr>
              <w:t>.</w:t>
            </w:r>
          </w:p>
        </w:tc>
        <w:tc>
          <w:tcPr>
            <w:tcW w:w="736" w:type="pct"/>
          </w:tcPr>
          <w:p w14:paraId="2B6078F8" w14:textId="048AD691" w:rsidR="00292BDC" w:rsidRPr="00A43481" w:rsidRDefault="001D772E" w:rsidP="00292BDC">
            <w:pPr>
              <w:pStyle w:val="BodyText"/>
              <w:jc w:val="center"/>
              <w:rPr>
                <w:szCs w:val="24"/>
              </w:rPr>
            </w:pPr>
            <w:r>
              <w:rPr>
                <w:szCs w:val="24"/>
              </w:rPr>
              <w:t>0</w:t>
            </w:r>
            <w:r w:rsidR="00292BDC" w:rsidRPr="00A43481">
              <w:rPr>
                <w:szCs w:val="24"/>
              </w:rPr>
              <w:t>1/</w:t>
            </w:r>
            <w:r>
              <w:rPr>
                <w:szCs w:val="24"/>
              </w:rPr>
              <w:t>0</w:t>
            </w:r>
            <w:r w:rsidR="00292BDC" w:rsidRPr="00A43481">
              <w:rPr>
                <w:szCs w:val="24"/>
              </w:rPr>
              <w:t>2/2019</w:t>
            </w:r>
          </w:p>
        </w:tc>
        <w:tc>
          <w:tcPr>
            <w:tcW w:w="686" w:type="pct"/>
          </w:tcPr>
          <w:p w14:paraId="2F0D83E2" w14:textId="281704DB" w:rsidR="00292BDC" w:rsidRPr="00A43481" w:rsidRDefault="001D772E" w:rsidP="00292BDC">
            <w:pPr>
              <w:pStyle w:val="BodyText"/>
              <w:jc w:val="center"/>
              <w:rPr>
                <w:szCs w:val="24"/>
              </w:rPr>
            </w:pPr>
            <w:r>
              <w:rPr>
                <w:szCs w:val="24"/>
              </w:rPr>
              <w:t>0</w:t>
            </w:r>
            <w:r w:rsidR="00292BDC" w:rsidRPr="00A43481">
              <w:rPr>
                <w:szCs w:val="24"/>
              </w:rPr>
              <w:t>1/10/2019</w:t>
            </w:r>
          </w:p>
        </w:tc>
      </w:tr>
      <w:tr w:rsidR="00292BDC" w:rsidRPr="00A43481" w14:paraId="44CA792E" w14:textId="77777777" w:rsidTr="00292BDC">
        <w:trPr>
          <w:jc w:val="center"/>
        </w:trPr>
        <w:tc>
          <w:tcPr>
            <w:tcW w:w="758" w:type="pct"/>
          </w:tcPr>
          <w:p w14:paraId="6F01FB16" w14:textId="77501C24" w:rsidR="00292BDC" w:rsidRPr="00A43481" w:rsidRDefault="00292BDC" w:rsidP="00292BDC">
            <w:pPr>
              <w:pStyle w:val="BodyText"/>
              <w:jc w:val="center"/>
              <w:rPr>
                <w:szCs w:val="24"/>
              </w:rPr>
            </w:pPr>
            <w:r w:rsidRPr="00A43481">
              <w:rPr>
                <w:szCs w:val="24"/>
              </w:rPr>
              <w:t>9</w:t>
            </w:r>
          </w:p>
        </w:tc>
        <w:tc>
          <w:tcPr>
            <w:tcW w:w="759" w:type="pct"/>
          </w:tcPr>
          <w:p w14:paraId="3A0A7666" w14:textId="57549B78" w:rsidR="00292BDC" w:rsidRPr="00A43481" w:rsidRDefault="00292BDC" w:rsidP="00292BDC">
            <w:pPr>
              <w:pStyle w:val="BodyText"/>
              <w:jc w:val="center"/>
              <w:rPr>
                <w:szCs w:val="24"/>
              </w:rPr>
            </w:pPr>
            <w:r w:rsidRPr="00A43481">
              <w:rPr>
                <w:szCs w:val="24"/>
              </w:rPr>
              <w:t>4</w:t>
            </w:r>
          </w:p>
        </w:tc>
        <w:tc>
          <w:tcPr>
            <w:tcW w:w="2061" w:type="pct"/>
          </w:tcPr>
          <w:p w14:paraId="2CC4DEA1" w14:textId="77777777" w:rsidR="00292BDC" w:rsidRPr="00A43481" w:rsidRDefault="00292BDC" w:rsidP="00292BDC">
            <w:pPr>
              <w:pStyle w:val="BodyText"/>
              <w:rPr>
                <w:szCs w:val="24"/>
              </w:rPr>
            </w:pPr>
            <w:r w:rsidRPr="00A43481">
              <w:rPr>
                <w:szCs w:val="24"/>
              </w:rPr>
              <w:t xml:space="preserve">Switched Access tariff revised to reflect name change to </w:t>
            </w:r>
            <w:proofErr w:type="spellStart"/>
            <w:r w:rsidRPr="00A43481">
              <w:rPr>
                <w:szCs w:val="24"/>
              </w:rPr>
              <w:t>FiberNet</w:t>
            </w:r>
            <w:proofErr w:type="spellEnd"/>
            <w:r w:rsidRPr="00A43481">
              <w:rPr>
                <w:szCs w:val="24"/>
              </w:rPr>
              <w:t xml:space="preserve"> Telecommunications of PA, LLC </w:t>
            </w:r>
          </w:p>
          <w:p w14:paraId="3E6D0730" w14:textId="212BEA36" w:rsidR="00292BDC" w:rsidRPr="00A43481" w:rsidRDefault="00292BDC" w:rsidP="00292BDC">
            <w:pPr>
              <w:pStyle w:val="BodyText"/>
              <w:rPr>
                <w:szCs w:val="24"/>
              </w:rPr>
            </w:pPr>
            <w:r w:rsidRPr="00A43481">
              <w:rPr>
                <w:szCs w:val="24"/>
              </w:rPr>
              <w:t xml:space="preserve">d/b/a </w:t>
            </w:r>
            <w:proofErr w:type="spellStart"/>
            <w:r w:rsidRPr="00A43481">
              <w:rPr>
                <w:szCs w:val="24"/>
              </w:rPr>
              <w:t>Segra</w:t>
            </w:r>
            <w:proofErr w:type="spellEnd"/>
            <w:r w:rsidRPr="00A43481">
              <w:rPr>
                <w:szCs w:val="24"/>
              </w:rPr>
              <w:t>.</w:t>
            </w:r>
          </w:p>
        </w:tc>
        <w:tc>
          <w:tcPr>
            <w:tcW w:w="736" w:type="pct"/>
          </w:tcPr>
          <w:p w14:paraId="77B997FF" w14:textId="60AFA04D" w:rsidR="00292BDC" w:rsidRPr="00A43481" w:rsidRDefault="001D772E" w:rsidP="00292BDC">
            <w:pPr>
              <w:pStyle w:val="BodyText"/>
              <w:jc w:val="center"/>
              <w:rPr>
                <w:szCs w:val="24"/>
              </w:rPr>
            </w:pPr>
            <w:r>
              <w:rPr>
                <w:szCs w:val="24"/>
              </w:rPr>
              <w:t>0</w:t>
            </w:r>
            <w:r w:rsidR="00292BDC" w:rsidRPr="00A43481">
              <w:rPr>
                <w:szCs w:val="24"/>
              </w:rPr>
              <w:t>1/</w:t>
            </w:r>
            <w:r>
              <w:rPr>
                <w:szCs w:val="24"/>
              </w:rPr>
              <w:t>0</w:t>
            </w:r>
            <w:r w:rsidR="00292BDC" w:rsidRPr="00A43481">
              <w:rPr>
                <w:szCs w:val="24"/>
              </w:rPr>
              <w:t>2/2019</w:t>
            </w:r>
          </w:p>
        </w:tc>
        <w:tc>
          <w:tcPr>
            <w:tcW w:w="686" w:type="pct"/>
          </w:tcPr>
          <w:p w14:paraId="2609107E" w14:textId="162201E1" w:rsidR="00292BDC" w:rsidRPr="00A43481" w:rsidRDefault="001D772E" w:rsidP="00292BDC">
            <w:pPr>
              <w:pStyle w:val="BodyText"/>
              <w:jc w:val="center"/>
              <w:rPr>
                <w:szCs w:val="24"/>
              </w:rPr>
            </w:pPr>
            <w:r>
              <w:rPr>
                <w:szCs w:val="24"/>
              </w:rPr>
              <w:t>0</w:t>
            </w:r>
            <w:r w:rsidR="00292BDC" w:rsidRPr="00A43481">
              <w:rPr>
                <w:szCs w:val="24"/>
              </w:rPr>
              <w:t>1/10/2019</w:t>
            </w:r>
          </w:p>
        </w:tc>
      </w:tr>
      <w:bookmarkEnd w:id="2"/>
    </w:tbl>
    <w:p w14:paraId="7D617613" w14:textId="77777777" w:rsidR="00BF2E85" w:rsidRPr="00A43481" w:rsidRDefault="00BF2E85" w:rsidP="00D11B24">
      <w:pPr>
        <w:pStyle w:val="BodyText"/>
        <w:rPr>
          <w:szCs w:val="24"/>
        </w:rPr>
      </w:pPr>
    </w:p>
    <w:p w14:paraId="14D7FCF0" w14:textId="66C8D4B1" w:rsidR="009575BA" w:rsidRDefault="009575BA" w:rsidP="00D11B24">
      <w:pPr>
        <w:pStyle w:val="BodyText"/>
        <w:rPr>
          <w:b/>
          <w:szCs w:val="24"/>
        </w:rPr>
      </w:pPr>
      <w:r w:rsidRPr="00A43481">
        <w:rPr>
          <w:szCs w:val="24"/>
        </w:rPr>
        <w:tab/>
      </w:r>
      <w:r w:rsidRPr="00A43481">
        <w:rPr>
          <w:b/>
          <w:szCs w:val="24"/>
        </w:rPr>
        <w:t xml:space="preserve">Further, please be advised that Commission Staff makes no determination whether the Company’s switched access rates </w:t>
      </w:r>
      <w:proofErr w:type="gramStart"/>
      <w:r w:rsidRPr="00A43481">
        <w:rPr>
          <w:b/>
          <w:szCs w:val="24"/>
        </w:rPr>
        <w:t>are in compliance with</w:t>
      </w:r>
      <w:proofErr w:type="gramEnd"/>
      <w:r w:rsidRPr="00A43481">
        <w:rPr>
          <w:b/>
          <w:szCs w:val="24"/>
        </w:rPr>
        <w:t xml:space="preserve"> Act 183, P.L. 1398 (66 Pa. C.S. § 3017(c)). </w:t>
      </w:r>
    </w:p>
    <w:p w14:paraId="41948841" w14:textId="7A3C0C69" w:rsidR="00816C63" w:rsidRPr="00816C63" w:rsidRDefault="00816C63" w:rsidP="00D11B24">
      <w:pPr>
        <w:pStyle w:val="BodyText"/>
        <w:rPr>
          <w:szCs w:val="24"/>
        </w:rPr>
      </w:pPr>
    </w:p>
    <w:p w14:paraId="4F60D10B" w14:textId="1A88890B" w:rsidR="00816C63" w:rsidRPr="00816C63" w:rsidRDefault="00816C63" w:rsidP="00816C63">
      <w:pPr>
        <w:pStyle w:val="BodyText"/>
        <w:rPr>
          <w:szCs w:val="24"/>
        </w:rPr>
      </w:pPr>
      <w:r w:rsidRPr="00816C63">
        <w:rPr>
          <w:szCs w:val="24"/>
        </w:rPr>
        <w:tab/>
        <w:t xml:space="preserve">Enclosed is a new Certificate of Public Convenience for </w:t>
      </w:r>
      <w:proofErr w:type="spellStart"/>
      <w:r w:rsidRPr="00816C63">
        <w:rPr>
          <w:szCs w:val="24"/>
        </w:rPr>
        <w:t>FiberNet</w:t>
      </w:r>
      <w:proofErr w:type="spellEnd"/>
      <w:r w:rsidRPr="00816C63">
        <w:rPr>
          <w:szCs w:val="24"/>
        </w:rPr>
        <w:t xml:space="preserve"> Telecommunications of PA, LLC d/b/a </w:t>
      </w:r>
      <w:proofErr w:type="spellStart"/>
      <w:r w:rsidRPr="00816C63">
        <w:rPr>
          <w:szCs w:val="24"/>
        </w:rPr>
        <w:t>Segra</w:t>
      </w:r>
      <w:proofErr w:type="spellEnd"/>
      <w:r w:rsidRPr="00816C63">
        <w:rPr>
          <w:szCs w:val="24"/>
        </w:rPr>
        <w:t xml:space="preserve"> reflecting the new name and its effective date.  This new </w:t>
      </w:r>
      <w:r w:rsidR="001D772E">
        <w:rPr>
          <w:szCs w:val="24"/>
        </w:rPr>
        <w:t>C</w:t>
      </w:r>
      <w:r w:rsidRPr="00816C63">
        <w:rPr>
          <w:szCs w:val="24"/>
        </w:rPr>
        <w:t>ertificate is intended to link the Company to all other Certificates of Public Convenience</w:t>
      </w:r>
      <w:r w:rsidR="006C364E">
        <w:rPr>
          <w:rStyle w:val="FootnoteReference"/>
          <w:szCs w:val="24"/>
        </w:rPr>
        <w:footnoteReference w:id="1"/>
      </w:r>
      <w:r w:rsidRPr="00816C63">
        <w:rPr>
          <w:szCs w:val="24"/>
        </w:rPr>
        <w:t xml:space="preserve"> the Company may have received under the same utility code.</w:t>
      </w:r>
    </w:p>
    <w:p w14:paraId="3D0F35D8" w14:textId="77777777" w:rsidR="009575BA" w:rsidRPr="00A43481" w:rsidRDefault="009575BA" w:rsidP="00D11B24">
      <w:pPr>
        <w:pStyle w:val="BodyText"/>
        <w:rPr>
          <w:b/>
          <w:szCs w:val="24"/>
        </w:rPr>
      </w:pPr>
    </w:p>
    <w:p w14:paraId="1CCE9C3B" w14:textId="77777777" w:rsidR="001D772E" w:rsidRDefault="001D772E" w:rsidP="00804A09">
      <w:pPr>
        <w:autoSpaceDE w:val="0"/>
        <w:autoSpaceDN w:val="0"/>
        <w:adjustRightInd w:val="0"/>
        <w:ind w:firstLine="720"/>
        <w:rPr>
          <w:rStyle w:val="Strong"/>
          <w:rFonts w:eastAsia="Batang"/>
          <w:b w:val="0"/>
        </w:rPr>
      </w:pPr>
    </w:p>
    <w:p w14:paraId="32531E41" w14:textId="77777777" w:rsidR="001D772E" w:rsidRDefault="001D772E" w:rsidP="00804A09">
      <w:pPr>
        <w:autoSpaceDE w:val="0"/>
        <w:autoSpaceDN w:val="0"/>
        <w:adjustRightInd w:val="0"/>
        <w:ind w:firstLine="720"/>
        <w:rPr>
          <w:rStyle w:val="Strong"/>
          <w:rFonts w:eastAsia="Batang"/>
          <w:b w:val="0"/>
        </w:rPr>
      </w:pPr>
    </w:p>
    <w:p w14:paraId="20608A68" w14:textId="3D4C472B" w:rsidR="003346A0" w:rsidRDefault="009575BA" w:rsidP="00804A09">
      <w:pPr>
        <w:autoSpaceDE w:val="0"/>
        <w:autoSpaceDN w:val="0"/>
        <w:adjustRightInd w:val="0"/>
        <w:ind w:firstLine="720"/>
        <w:rPr>
          <w:rFonts w:cs="Courier New"/>
          <w:b/>
          <w:szCs w:val="24"/>
        </w:rPr>
      </w:pPr>
      <w:r w:rsidRPr="00A43481">
        <w:rPr>
          <w:rStyle w:val="Strong"/>
          <w:rFonts w:eastAsia="Batang"/>
          <w:b w:val="0"/>
        </w:rPr>
        <w:t xml:space="preserve">In accord with Docket No. M-00981052 and our Secretarial Letters issued September 28, 2000, and November 30, 2001, a Pennsylvania telecommunications carrier is required to maintain its most </w:t>
      </w:r>
      <w:r w:rsidR="00BF2E85" w:rsidRPr="00A43481">
        <w:rPr>
          <w:rStyle w:val="Strong"/>
          <w:b w:val="0"/>
        </w:rPr>
        <w:t>current Commission-</w:t>
      </w:r>
      <w:r w:rsidRPr="00A43481">
        <w:rPr>
          <w:rStyle w:val="Strong"/>
          <w:b w:val="0"/>
        </w:rPr>
        <w:t xml:space="preserve">approved tariff and any pending tariff supplements </w:t>
      </w:r>
      <w:r w:rsidRPr="00A43481">
        <w:rPr>
          <w:rStyle w:val="Strong"/>
          <w:rFonts w:eastAsia="Batang"/>
          <w:b w:val="0"/>
        </w:rPr>
        <w:t xml:space="preserve">on its website with a link to the Commission’s website.  However, staff was unable to access the Company’s </w:t>
      </w:r>
      <w:r w:rsidR="00BF2E85" w:rsidRPr="00A43481">
        <w:rPr>
          <w:rStyle w:val="Strong"/>
          <w:rFonts w:eastAsia="Batang"/>
          <w:b w:val="0"/>
        </w:rPr>
        <w:t>current tariff</w:t>
      </w:r>
      <w:r w:rsidR="00A43481" w:rsidRPr="00A43481">
        <w:rPr>
          <w:rStyle w:val="Strong"/>
          <w:rFonts w:eastAsia="Batang"/>
          <w:b w:val="0"/>
        </w:rPr>
        <w:t xml:space="preserve">s </w:t>
      </w:r>
      <w:r w:rsidRPr="00A43481">
        <w:rPr>
          <w:rStyle w:val="Strong"/>
          <w:rFonts w:eastAsia="Batang"/>
          <w:b w:val="0"/>
        </w:rPr>
        <w:t xml:space="preserve">online. </w:t>
      </w:r>
      <w:r w:rsidRPr="00A43481">
        <w:rPr>
          <w:b/>
          <w:bCs/>
        </w:rPr>
        <w:t xml:space="preserve"> </w:t>
      </w:r>
      <w:r w:rsidRPr="00A43481">
        <w:rPr>
          <w:rFonts w:cs="Courier New"/>
          <w:b/>
          <w:szCs w:val="24"/>
        </w:rPr>
        <w:t xml:space="preserve">Therefore, within 10 days of the date of this letter, the Company is directed to update </w:t>
      </w:r>
      <w:r w:rsidR="003346A0">
        <w:rPr>
          <w:rFonts w:cs="Courier New"/>
          <w:b/>
          <w:szCs w:val="24"/>
        </w:rPr>
        <w:t xml:space="preserve">all </w:t>
      </w:r>
      <w:r w:rsidRPr="00A43481">
        <w:rPr>
          <w:rFonts w:cs="Courier New"/>
          <w:b/>
          <w:szCs w:val="24"/>
        </w:rPr>
        <w:t>its online tariffs</w:t>
      </w:r>
      <w:r w:rsidR="003E73AC" w:rsidRPr="00A43481">
        <w:rPr>
          <w:rFonts w:cs="Courier New"/>
          <w:b/>
          <w:szCs w:val="24"/>
        </w:rPr>
        <w:t xml:space="preserve"> and </w:t>
      </w:r>
      <w:r w:rsidR="00EE79EB" w:rsidRPr="00A43481">
        <w:rPr>
          <w:rFonts w:cs="Courier New"/>
          <w:b/>
          <w:szCs w:val="24"/>
        </w:rPr>
        <w:t xml:space="preserve">provide confirmation to Commission staff listed below. </w:t>
      </w:r>
    </w:p>
    <w:p w14:paraId="65C9796C" w14:textId="77777777" w:rsidR="009575BA" w:rsidRPr="00A43481" w:rsidRDefault="009575BA" w:rsidP="00D11B24">
      <w:pPr>
        <w:autoSpaceDE w:val="0"/>
        <w:autoSpaceDN w:val="0"/>
        <w:adjustRightInd w:val="0"/>
        <w:ind w:firstLine="720"/>
        <w:rPr>
          <w:rFonts w:cs="Courier New"/>
          <w:szCs w:val="24"/>
        </w:rPr>
      </w:pPr>
    </w:p>
    <w:p w14:paraId="2B7E0BA5" w14:textId="13D12D3A" w:rsidR="00202B5C" w:rsidRPr="00202B5C" w:rsidRDefault="00202B5C" w:rsidP="00202B5C">
      <w:pPr>
        <w:ind w:firstLine="720"/>
        <w:rPr>
          <w:szCs w:val="24"/>
        </w:rPr>
      </w:pPr>
      <w:r w:rsidRPr="00A43481">
        <w:rPr>
          <w:szCs w:val="24"/>
        </w:rPr>
        <w:t>If you are dissatisfied with the resolution of this matter, you may, as set forth in 52 Pa. Code §</w:t>
      </w:r>
      <w:r w:rsidR="00F72D90" w:rsidRPr="00A43481">
        <w:rPr>
          <w:szCs w:val="24"/>
        </w:rPr>
        <w:t> </w:t>
      </w:r>
      <w:r w:rsidRPr="00A43481">
        <w:rPr>
          <w:szCs w:val="24"/>
        </w:rPr>
        <w:t>5.44, file a petition with the Commission within 20 days of</w:t>
      </w:r>
      <w:r w:rsidRPr="00202B5C">
        <w:rPr>
          <w:szCs w:val="24"/>
        </w:rPr>
        <w:t xml:space="preserve"> the date of this letter.  If you have any questions in this matter, please contact Mark Lum, Telco Section, Bureau of Technical Utility Services at (717) 783-6185 or </w:t>
      </w:r>
      <w:hyperlink r:id="rId8" w:history="1">
        <w:r w:rsidRPr="00202B5C">
          <w:rPr>
            <w:rStyle w:val="Hyperlink"/>
            <w:szCs w:val="24"/>
          </w:rPr>
          <w:t>mlum@pa.gov</w:t>
        </w:r>
      </w:hyperlink>
      <w:r w:rsidRPr="00202B5C">
        <w:rPr>
          <w:szCs w:val="24"/>
        </w:rPr>
        <w:t xml:space="preserve">.    </w:t>
      </w:r>
    </w:p>
    <w:p w14:paraId="39A414F5" w14:textId="02CB28D1" w:rsidR="009575BA" w:rsidRPr="00E9717D" w:rsidRDefault="009575BA" w:rsidP="00D11B24">
      <w:pPr>
        <w:rPr>
          <w:szCs w:val="24"/>
        </w:rPr>
      </w:pPr>
    </w:p>
    <w:p w14:paraId="66C4C076" w14:textId="204D1ED4" w:rsidR="009575BA" w:rsidRPr="00E9717D" w:rsidRDefault="005335D0" w:rsidP="00D11B24">
      <w:pPr>
        <w:rPr>
          <w:szCs w:val="24"/>
        </w:rPr>
      </w:pPr>
      <w:r>
        <w:rPr>
          <w:noProof/>
        </w:rPr>
        <w:drawing>
          <wp:anchor distT="0" distB="0" distL="114300" distR="114300" simplePos="0" relativeHeight="251660288" behindDoc="1" locked="0" layoutInCell="1" allowOverlap="1" wp14:anchorId="5087A836" wp14:editId="026B8930">
            <wp:simplePos x="0" y="0"/>
            <wp:positionH relativeFrom="column">
              <wp:posOffset>2686050</wp:posOffset>
            </wp:positionH>
            <wp:positionV relativeFrom="paragraph">
              <wp:posOffset>46990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25185752" w14:textId="77777777" w:rsidR="009575BA" w:rsidRDefault="009575BA" w:rsidP="00D11B24">
      <w:pPr>
        <w:rPr>
          <w:szCs w:val="24"/>
        </w:rPr>
      </w:pPr>
    </w:p>
    <w:p w14:paraId="31DAA035" w14:textId="77777777" w:rsidR="009575BA" w:rsidRPr="00E9717D" w:rsidRDefault="009575BA" w:rsidP="00D11B24">
      <w:pPr>
        <w:rPr>
          <w:szCs w:val="24"/>
        </w:rPr>
      </w:pPr>
      <w:bookmarkStart w:id="3" w:name="_GoBack"/>
      <w:bookmarkEnd w:id="3"/>
    </w:p>
    <w:p w14:paraId="2B40ECAB" w14:textId="77777777" w:rsidR="009575BA" w:rsidRPr="00E9717D" w:rsidRDefault="009575BA" w:rsidP="00D11B24">
      <w:pPr>
        <w:rPr>
          <w:szCs w:val="24"/>
        </w:rPr>
      </w:pPr>
    </w:p>
    <w:p w14:paraId="74C426AC"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240C8A6C"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1027277B" w14:textId="77777777" w:rsidR="009575BA" w:rsidRPr="00E9717D" w:rsidRDefault="009575BA" w:rsidP="00D11B24">
      <w:pPr>
        <w:rPr>
          <w:szCs w:val="24"/>
        </w:rPr>
      </w:pPr>
    </w:p>
    <w:p w14:paraId="49224FC8"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445B8B0A" w14:textId="77777777" w:rsidR="00A24641" w:rsidRPr="002E699B" w:rsidRDefault="00A24641" w:rsidP="00D11B24">
      <w:pPr>
        <w:rPr>
          <w:color w:val="FF00FF"/>
          <w:szCs w:val="24"/>
        </w:rPr>
      </w:pPr>
    </w:p>
    <w:sectPr w:rsidR="00A24641" w:rsidRPr="002E699B"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8A816" w14:textId="77777777" w:rsidR="00205DD2" w:rsidRDefault="00205DD2">
      <w:r>
        <w:separator/>
      </w:r>
    </w:p>
  </w:endnote>
  <w:endnote w:type="continuationSeparator" w:id="0">
    <w:p w14:paraId="51F94AFC" w14:textId="77777777" w:rsidR="00205DD2" w:rsidRDefault="0020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CCA16" w14:textId="77777777" w:rsidR="00205DD2" w:rsidRDefault="00205DD2">
      <w:r>
        <w:separator/>
      </w:r>
    </w:p>
  </w:footnote>
  <w:footnote w:type="continuationSeparator" w:id="0">
    <w:p w14:paraId="66D84DE9" w14:textId="77777777" w:rsidR="00205DD2" w:rsidRDefault="00205DD2">
      <w:r>
        <w:continuationSeparator/>
      </w:r>
    </w:p>
  </w:footnote>
  <w:footnote w:id="1">
    <w:p w14:paraId="5AAF0BF0" w14:textId="431FF819" w:rsidR="006C364E" w:rsidRPr="001D772E" w:rsidRDefault="006C364E" w:rsidP="006C364E">
      <w:pPr>
        <w:pStyle w:val="FootnoteText"/>
        <w:rPr>
          <w:sz w:val="20"/>
        </w:rPr>
      </w:pPr>
      <w:r w:rsidRPr="001D772E">
        <w:rPr>
          <w:rStyle w:val="FootnoteReference"/>
          <w:sz w:val="20"/>
        </w:rPr>
        <w:footnoteRef/>
      </w:r>
      <w:r w:rsidRPr="001D772E">
        <w:rPr>
          <w:sz w:val="20"/>
        </w:rPr>
        <w:t xml:space="preserve"> On January 14, 2019, at Docket No. R-2019-3007109, the Company officially filed a letter with the Secretary’s Bureau requesting to detariff its interexchange carrier</w:t>
      </w:r>
      <w:r w:rsidR="00987C2A" w:rsidRPr="001D772E">
        <w:rPr>
          <w:sz w:val="20"/>
        </w:rPr>
        <w:t xml:space="preserve"> reseller</w:t>
      </w:r>
      <w:r w:rsidRPr="001D772E">
        <w:rPr>
          <w:sz w:val="20"/>
        </w:rPr>
        <w:t xml:space="preserve"> (</w:t>
      </w:r>
      <w:r w:rsidR="00987C2A" w:rsidRPr="001D772E">
        <w:rPr>
          <w:sz w:val="20"/>
        </w:rPr>
        <w:t>IXC-R</w:t>
      </w:r>
      <w:r w:rsidRPr="001D772E">
        <w:rPr>
          <w:sz w:val="20"/>
        </w:rPr>
        <w:t>) authority</w:t>
      </w:r>
      <w:r w:rsidR="00A31222" w:rsidRPr="001D772E">
        <w:rPr>
          <w:sz w:val="20"/>
        </w:rPr>
        <w:t xml:space="preserve">, thereby </w:t>
      </w:r>
      <w:r w:rsidR="005D7A5A" w:rsidRPr="001D772E">
        <w:rPr>
          <w:sz w:val="20"/>
        </w:rPr>
        <w:t xml:space="preserve">withdrawing </w:t>
      </w:r>
      <w:r w:rsidR="00A31222" w:rsidRPr="001D772E">
        <w:rPr>
          <w:sz w:val="20"/>
        </w:rPr>
        <w:t>IXC-R Tariff No. 1,</w:t>
      </w:r>
      <w:r w:rsidRPr="001D772E">
        <w:rPr>
          <w:sz w:val="20"/>
        </w:rPr>
        <w:t xml:space="preserve"> pursuant to 66 Pa. C.S. § 3018(b)(2). </w:t>
      </w:r>
    </w:p>
    <w:p w14:paraId="2F7F830F" w14:textId="545C0F63" w:rsidR="006C364E" w:rsidRDefault="006C364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6663"/>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D772E"/>
    <w:rsid w:val="001F4A76"/>
    <w:rsid w:val="00202B5C"/>
    <w:rsid w:val="00205DD2"/>
    <w:rsid w:val="00212299"/>
    <w:rsid w:val="00225417"/>
    <w:rsid w:val="00227576"/>
    <w:rsid w:val="002311CC"/>
    <w:rsid w:val="00231244"/>
    <w:rsid w:val="00244511"/>
    <w:rsid w:val="00256182"/>
    <w:rsid w:val="00263066"/>
    <w:rsid w:val="00266BF8"/>
    <w:rsid w:val="00266EA9"/>
    <w:rsid w:val="00272D3C"/>
    <w:rsid w:val="00292BDC"/>
    <w:rsid w:val="00294B4B"/>
    <w:rsid w:val="002A44FB"/>
    <w:rsid w:val="002B1776"/>
    <w:rsid w:val="002D043D"/>
    <w:rsid w:val="002E5260"/>
    <w:rsid w:val="002E699B"/>
    <w:rsid w:val="002F1221"/>
    <w:rsid w:val="002F2CF3"/>
    <w:rsid w:val="00303F21"/>
    <w:rsid w:val="003107D6"/>
    <w:rsid w:val="0031378E"/>
    <w:rsid w:val="003212C6"/>
    <w:rsid w:val="00323D97"/>
    <w:rsid w:val="00331BA5"/>
    <w:rsid w:val="003346A0"/>
    <w:rsid w:val="0033489B"/>
    <w:rsid w:val="00334DE7"/>
    <w:rsid w:val="0034777A"/>
    <w:rsid w:val="00352AFA"/>
    <w:rsid w:val="00383829"/>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9221D"/>
    <w:rsid w:val="004A6903"/>
    <w:rsid w:val="004B3F1D"/>
    <w:rsid w:val="004B6F33"/>
    <w:rsid w:val="004B7A87"/>
    <w:rsid w:val="004C4A7F"/>
    <w:rsid w:val="004D2C06"/>
    <w:rsid w:val="004E0233"/>
    <w:rsid w:val="00515CB8"/>
    <w:rsid w:val="00522057"/>
    <w:rsid w:val="00527E1A"/>
    <w:rsid w:val="00531804"/>
    <w:rsid w:val="005335D0"/>
    <w:rsid w:val="00533855"/>
    <w:rsid w:val="00541572"/>
    <w:rsid w:val="0054596A"/>
    <w:rsid w:val="0054688F"/>
    <w:rsid w:val="005519DE"/>
    <w:rsid w:val="005548F3"/>
    <w:rsid w:val="005553DC"/>
    <w:rsid w:val="00571CC5"/>
    <w:rsid w:val="00574515"/>
    <w:rsid w:val="00574F8B"/>
    <w:rsid w:val="005758E5"/>
    <w:rsid w:val="00583A30"/>
    <w:rsid w:val="0058733C"/>
    <w:rsid w:val="00597EC1"/>
    <w:rsid w:val="005A5337"/>
    <w:rsid w:val="005A7E07"/>
    <w:rsid w:val="005D0EA3"/>
    <w:rsid w:val="005D298F"/>
    <w:rsid w:val="005D669C"/>
    <w:rsid w:val="005D7A5A"/>
    <w:rsid w:val="005F3F27"/>
    <w:rsid w:val="00600756"/>
    <w:rsid w:val="006011EB"/>
    <w:rsid w:val="00621754"/>
    <w:rsid w:val="006238FB"/>
    <w:rsid w:val="00633EEA"/>
    <w:rsid w:val="00635A69"/>
    <w:rsid w:val="00636D4C"/>
    <w:rsid w:val="006504C9"/>
    <w:rsid w:val="00651853"/>
    <w:rsid w:val="0065332E"/>
    <w:rsid w:val="0065384C"/>
    <w:rsid w:val="00654399"/>
    <w:rsid w:val="00657116"/>
    <w:rsid w:val="00663517"/>
    <w:rsid w:val="006721A8"/>
    <w:rsid w:val="00674304"/>
    <w:rsid w:val="0067692B"/>
    <w:rsid w:val="00677C9A"/>
    <w:rsid w:val="006901A9"/>
    <w:rsid w:val="006A0190"/>
    <w:rsid w:val="006A19DE"/>
    <w:rsid w:val="006B1842"/>
    <w:rsid w:val="006C364E"/>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04A09"/>
    <w:rsid w:val="008159FD"/>
    <w:rsid w:val="00816C63"/>
    <w:rsid w:val="00833958"/>
    <w:rsid w:val="00834BEC"/>
    <w:rsid w:val="00841BD1"/>
    <w:rsid w:val="00854BEB"/>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27437"/>
    <w:rsid w:val="009417CD"/>
    <w:rsid w:val="0095390B"/>
    <w:rsid w:val="00955C6D"/>
    <w:rsid w:val="009575BA"/>
    <w:rsid w:val="00960081"/>
    <w:rsid w:val="009612BE"/>
    <w:rsid w:val="00961A05"/>
    <w:rsid w:val="009847E8"/>
    <w:rsid w:val="009877CD"/>
    <w:rsid w:val="00987C2A"/>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31222"/>
    <w:rsid w:val="00A43481"/>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6460A"/>
    <w:rsid w:val="00C70A0F"/>
    <w:rsid w:val="00C7770C"/>
    <w:rsid w:val="00C80C48"/>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758"/>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0D39"/>
    <w:rsid w:val="00ED78C6"/>
    <w:rsid w:val="00EE0DB3"/>
    <w:rsid w:val="00EE2764"/>
    <w:rsid w:val="00EE3DC3"/>
    <w:rsid w:val="00EE5D1E"/>
    <w:rsid w:val="00EE79EB"/>
    <w:rsid w:val="00EF21CF"/>
    <w:rsid w:val="00EF3697"/>
    <w:rsid w:val="00EF6B14"/>
    <w:rsid w:val="00EF7CCD"/>
    <w:rsid w:val="00F007AF"/>
    <w:rsid w:val="00F040F7"/>
    <w:rsid w:val="00F10C7F"/>
    <w:rsid w:val="00F11F75"/>
    <w:rsid w:val="00F12B60"/>
    <w:rsid w:val="00F20234"/>
    <w:rsid w:val="00F25353"/>
    <w:rsid w:val="00F3436F"/>
    <w:rsid w:val="00F408CF"/>
    <w:rsid w:val="00F50CBC"/>
    <w:rsid w:val="00F5135F"/>
    <w:rsid w:val="00F5665E"/>
    <w:rsid w:val="00F61260"/>
    <w:rsid w:val="00F66539"/>
    <w:rsid w:val="00F721B6"/>
    <w:rsid w:val="00F72D90"/>
    <w:rsid w:val="00F7367E"/>
    <w:rsid w:val="00F743A5"/>
    <w:rsid w:val="00F851EF"/>
    <w:rsid w:val="00F93B8B"/>
    <w:rsid w:val="00F94022"/>
    <w:rsid w:val="00F94C75"/>
    <w:rsid w:val="00FB1170"/>
    <w:rsid w:val="00FB3F71"/>
    <w:rsid w:val="00FC56E0"/>
    <w:rsid w:val="00FD03EF"/>
    <w:rsid w:val="00FD3036"/>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202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89826-76F8-4556-A51A-A0D71274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3121</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11</cp:revision>
  <cp:lastPrinted>2009-09-29T14:30:00Z</cp:lastPrinted>
  <dcterms:created xsi:type="dcterms:W3CDTF">2019-01-17T19:00:00Z</dcterms:created>
  <dcterms:modified xsi:type="dcterms:W3CDTF">2019-01-22T12:36:00Z</dcterms:modified>
</cp:coreProperties>
</file>