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501C8" w14:textId="77777777" w:rsidR="00DC73A2" w:rsidRPr="00DC73A2" w:rsidRDefault="00DC73A2" w:rsidP="00DC73A2">
      <w:pPr>
        <w:tabs>
          <w:tab w:val="left" w:pos="0"/>
        </w:tabs>
        <w:spacing w:line="233" w:lineRule="auto"/>
        <w:jc w:val="center"/>
        <w:rPr>
          <w:rFonts w:eastAsia="Times New Roman"/>
          <w:b/>
        </w:rPr>
      </w:pPr>
      <w:r w:rsidRPr="00DC73A2">
        <w:rPr>
          <w:rFonts w:eastAsia="Times New Roman"/>
          <w:b/>
        </w:rPr>
        <w:t>BEFORE THE</w:t>
      </w:r>
    </w:p>
    <w:p w14:paraId="7BC22BF8" w14:textId="77777777" w:rsidR="00DC73A2" w:rsidRPr="00DC73A2" w:rsidRDefault="00DC73A2" w:rsidP="00DC73A2">
      <w:pPr>
        <w:tabs>
          <w:tab w:val="left" w:pos="0"/>
          <w:tab w:val="left" w:pos="1440"/>
        </w:tabs>
        <w:spacing w:line="233" w:lineRule="auto"/>
        <w:jc w:val="center"/>
        <w:rPr>
          <w:rFonts w:eastAsia="Times New Roman"/>
          <w:b/>
        </w:rPr>
      </w:pPr>
      <w:r w:rsidRPr="00DC73A2">
        <w:rPr>
          <w:rFonts w:eastAsia="Times New Roman"/>
          <w:b/>
        </w:rPr>
        <w:t>PENNSYLVANIA PUBLIC UTILITY COMMISSION</w:t>
      </w:r>
    </w:p>
    <w:p w14:paraId="631DD2E3" w14:textId="77777777" w:rsidR="00DC73A2" w:rsidRPr="00DC73A2" w:rsidRDefault="00DC73A2" w:rsidP="00DC73A2">
      <w:pPr>
        <w:tabs>
          <w:tab w:val="left" w:pos="0"/>
          <w:tab w:val="left" w:pos="1440"/>
        </w:tabs>
        <w:spacing w:line="233" w:lineRule="auto"/>
        <w:jc w:val="both"/>
        <w:rPr>
          <w:rFonts w:eastAsia="Times New Roman"/>
          <w:b/>
        </w:rPr>
      </w:pPr>
    </w:p>
    <w:p w14:paraId="0A3029CE" w14:textId="77777777" w:rsidR="00DC73A2" w:rsidRPr="00DC73A2" w:rsidRDefault="00DC73A2" w:rsidP="00DC73A2">
      <w:pPr>
        <w:tabs>
          <w:tab w:val="left" w:pos="0"/>
          <w:tab w:val="left" w:pos="1440"/>
        </w:tabs>
        <w:spacing w:line="233" w:lineRule="auto"/>
        <w:jc w:val="both"/>
        <w:rPr>
          <w:rFonts w:eastAsia="Times New Roman"/>
          <w:b/>
        </w:rPr>
      </w:pPr>
    </w:p>
    <w:p w14:paraId="74C0876B" w14:textId="77777777" w:rsidR="00DC73A2" w:rsidRPr="00DC73A2" w:rsidRDefault="00DC73A2" w:rsidP="00DC73A2">
      <w:pPr>
        <w:tabs>
          <w:tab w:val="left" w:pos="0"/>
          <w:tab w:val="left" w:pos="1440"/>
        </w:tabs>
        <w:spacing w:line="233" w:lineRule="auto"/>
        <w:jc w:val="both"/>
        <w:rPr>
          <w:rFonts w:eastAsia="Times New Roman"/>
          <w:b/>
        </w:rPr>
      </w:pPr>
    </w:p>
    <w:p w14:paraId="19180DEF" w14:textId="22E5D3F9" w:rsidR="00DC73A2" w:rsidRPr="00DC73A2" w:rsidRDefault="00DC73A2" w:rsidP="00DC73A2">
      <w:pPr>
        <w:tabs>
          <w:tab w:val="left" w:pos="0"/>
          <w:tab w:val="left" w:pos="1440"/>
        </w:tabs>
        <w:spacing w:line="233" w:lineRule="auto"/>
        <w:jc w:val="both"/>
        <w:rPr>
          <w:rFonts w:eastAsia="Times New Roman"/>
          <w:b/>
        </w:rPr>
      </w:pPr>
      <w:r>
        <w:rPr>
          <w:rFonts w:eastAsia="Times New Roman"/>
        </w:rPr>
        <w:t>George Kuh</w:t>
      </w:r>
      <w:r w:rsidR="00FD3FCD">
        <w:rPr>
          <w:rFonts w:eastAsia="Times New Roman"/>
        </w:rPr>
        <w:t>n</w:t>
      </w:r>
      <w:r>
        <w:rPr>
          <w:rFonts w:eastAsia="Times New Roman"/>
        </w:rPr>
        <w:t>s</w:t>
      </w:r>
      <w:r w:rsidRPr="00DC73A2">
        <w:rPr>
          <w:rFonts w:eastAsia="Times New Roman"/>
        </w:rPr>
        <w:t xml:space="preserve"> </w:t>
      </w:r>
      <w:r w:rsidRPr="00DC73A2">
        <w:rPr>
          <w:rFonts w:eastAsia="Times New Roman"/>
        </w:rPr>
        <w:tab/>
      </w:r>
      <w:r w:rsidRPr="00DC73A2">
        <w:rPr>
          <w:rFonts w:eastAsia="Times New Roman"/>
        </w:rPr>
        <w:tab/>
      </w:r>
      <w:r w:rsidRPr="00DC73A2">
        <w:rPr>
          <w:rFonts w:eastAsia="Times New Roman"/>
        </w:rPr>
        <w:tab/>
      </w:r>
      <w:r w:rsidRPr="00DC73A2">
        <w:rPr>
          <w:rFonts w:eastAsia="Times New Roman"/>
        </w:rPr>
        <w:tab/>
      </w:r>
      <w:r w:rsidRPr="00DC73A2">
        <w:rPr>
          <w:rFonts w:eastAsia="Times New Roman"/>
        </w:rPr>
        <w:tab/>
        <w:t>:</w:t>
      </w:r>
    </w:p>
    <w:p w14:paraId="4ADB3941" w14:textId="77777777" w:rsidR="00DC73A2" w:rsidRPr="00DC73A2" w:rsidRDefault="00DC73A2" w:rsidP="00DC73A2">
      <w:pPr>
        <w:tabs>
          <w:tab w:val="left" w:pos="0"/>
          <w:tab w:val="left" w:pos="1440"/>
        </w:tabs>
        <w:spacing w:line="233" w:lineRule="auto"/>
        <w:jc w:val="both"/>
        <w:rPr>
          <w:rFonts w:eastAsia="Times New Roman"/>
        </w:rPr>
      </w:pPr>
      <w:r w:rsidRPr="00DC73A2">
        <w:rPr>
          <w:rFonts w:eastAsia="Times New Roman"/>
          <w:b/>
        </w:rPr>
        <w:tab/>
      </w:r>
      <w:r w:rsidRPr="00DC73A2">
        <w:rPr>
          <w:rFonts w:eastAsia="Times New Roman"/>
          <w:b/>
        </w:rPr>
        <w:tab/>
      </w:r>
      <w:r w:rsidRPr="00DC73A2">
        <w:rPr>
          <w:rFonts w:eastAsia="Times New Roman"/>
          <w:b/>
        </w:rPr>
        <w:tab/>
      </w:r>
      <w:r w:rsidRPr="00DC73A2">
        <w:rPr>
          <w:rFonts w:eastAsia="Times New Roman"/>
          <w:b/>
        </w:rPr>
        <w:tab/>
      </w:r>
      <w:r w:rsidRPr="00DC73A2">
        <w:rPr>
          <w:rFonts w:eastAsia="Times New Roman"/>
          <w:b/>
        </w:rPr>
        <w:tab/>
      </w:r>
      <w:r w:rsidRPr="00DC73A2">
        <w:rPr>
          <w:rFonts w:eastAsia="Times New Roman"/>
          <w:b/>
        </w:rPr>
        <w:tab/>
      </w:r>
      <w:r w:rsidRPr="00DC73A2">
        <w:rPr>
          <w:rFonts w:eastAsia="Times New Roman"/>
        </w:rPr>
        <w:t>:</w:t>
      </w:r>
    </w:p>
    <w:p w14:paraId="57304BA1" w14:textId="221BC3F4" w:rsidR="00DC73A2" w:rsidRPr="00DC73A2" w:rsidRDefault="00DC73A2" w:rsidP="00DC73A2">
      <w:pPr>
        <w:tabs>
          <w:tab w:val="left" w:pos="0"/>
          <w:tab w:val="left" w:pos="720"/>
        </w:tabs>
        <w:spacing w:line="233" w:lineRule="auto"/>
        <w:jc w:val="both"/>
        <w:rPr>
          <w:rFonts w:eastAsia="Times New Roman"/>
        </w:rPr>
      </w:pPr>
      <w:r w:rsidRPr="00DC73A2">
        <w:rPr>
          <w:rFonts w:eastAsia="Times New Roman"/>
        </w:rPr>
        <w:tab/>
        <w:t>v.</w:t>
      </w:r>
      <w:r w:rsidRPr="00DC73A2">
        <w:rPr>
          <w:rFonts w:eastAsia="Times New Roman"/>
        </w:rPr>
        <w:tab/>
      </w:r>
      <w:r w:rsidRPr="00DC73A2">
        <w:rPr>
          <w:rFonts w:eastAsia="Times New Roman"/>
        </w:rPr>
        <w:tab/>
      </w:r>
      <w:r w:rsidRPr="00DC73A2">
        <w:rPr>
          <w:rFonts w:eastAsia="Times New Roman"/>
        </w:rPr>
        <w:tab/>
      </w:r>
      <w:r w:rsidRPr="00DC73A2">
        <w:rPr>
          <w:rFonts w:eastAsia="Times New Roman"/>
        </w:rPr>
        <w:tab/>
      </w:r>
      <w:r w:rsidRPr="00DC73A2">
        <w:rPr>
          <w:rFonts w:eastAsia="Times New Roman"/>
        </w:rPr>
        <w:tab/>
      </w:r>
      <w:r w:rsidRPr="00DC73A2">
        <w:rPr>
          <w:rFonts w:eastAsia="Times New Roman"/>
        </w:rPr>
        <w:tab/>
        <w:t>:</w:t>
      </w:r>
      <w:r w:rsidRPr="00DC73A2">
        <w:rPr>
          <w:rFonts w:eastAsia="Times New Roman"/>
          <w:b/>
        </w:rPr>
        <w:tab/>
      </w:r>
      <w:r w:rsidRPr="00DC73A2">
        <w:rPr>
          <w:rFonts w:eastAsia="Times New Roman"/>
          <w:b/>
        </w:rPr>
        <w:tab/>
      </w:r>
      <w:r w:rsidRPr="00DC73A2">
        <w:rPr>
          <w:rFonts w:eastAsia="Times New Roman"/>
        </w:rPr>
        <w:t>C-</w:t>
      </w:r>
      <w:r>
        <w:rPr>
          <w:rFonts w:eastAsia="Times New Roman"/>
        </w:rPr>
        <w:t>2018-3006122</w:t>
      </w:r>
    </w:p>
    <w:p w14:paraId="72D2313B" w14:textId="77777777" w:rsidR="00DC73A2" w:rsidRPr="00DC73A2" w:rsidRDefault="00DC73A2" w:rsidP="00DC73A2">
      <w:pPr>
        <w:tabs>
          <w:tab w:val="left" w:pos="0"/>
          <w:tab w:val="left" w:pos="1440"/>
        </w:tabs>
        <w:spacing w:line="233" w:lineRule="auto"/>
        <w:jc w:val="both"/>
        <w:rPr>
          <w:rFonts w:eastAsia="Times New Roman"/>
        </w:rPr>
      </w:pPr>
      <w:r w:rsidRPr="00DC73A2">
        <w:rPr>
          <w:rFonts w:eastAsia="Times New Roman"/>
        </w:rPr>
        <w:tab/>
      </w:r>
      <w:r w:rsidRPr="00DC73A2">
        <w:rPr>
          <w:rFonts w:eastAsia="Times New Roman"/>
        </w:rPr>
        <w:tab/>
      </w:r>
      <w:r w:rsidRPr="00DC73A2">
        <w:rPr>
          <w:rFonts w:eastAsia="Times New Roman"/>
        </w:rPr>
        <w:tab/>
      </w:r>
      <w:r w:rsidRPr="00DC73A2">
        <w:rPr>
          <w:rFonts w:eastAsia="Times New Roman"/>
        </w:rPr>
        <w:tab/>
      </w:r>
      <w:r w:rsidRPr="00DC73A2">
        <w:rPr>
          <w:rFonts w:eastAsia="Times New Roman"/>
        </w:rPr>
        <w:tab/>
      </w:r>
      <w:r w:rsidRPr="00DC73A2">
        <w:rPr>
          <w:rFonts w:eastAsia="Times New Roman"/>
        </w:rPr>
        <w:tab/>
        <w:t>:</w:t>
      </w:r>
    </w:p>
    <w:p w14:paraId="04B7AB29" w14:textId="77777777" w:rsidR="00DC73A2" w:rsidRPr="00DC73A2" w:rsidRDefault="00DC73A2" w:rsidP="00DC73A2">
      <w:pPr>
        <w:tabs>
          <w:tab w:val="left" w:pos="0"/>
          <w:tab w:val="left" w:pos="1440"/>
        </w:tabs>
        <w:spacing w:line="233" w:lineRule="auto"/>
        <w:jc w:val="both"/>
        <w:rPr>
          <w:rFonts w:eastAsia="Times New Roman"/>
        </w:rPr>
      </w:pPr>
      <w:r w:rsidRPr="00DC73A2">
        <w:rPr>
          <w:rFonts w:eastAsia="Times New Roman"/>
        </w:rPr>
        <w:t>West Penn Power Company</w:t>
      </w:r>
      <w:r w:rsidRPr="00DC73A2">
        <w:rPr>
          <w:rFonts w:eastAsia="Times New Roman"/>
        </w:rPr>
        <w:tab/>
      </w:r>
      <w:r w:rsidRPr="00DC73A2">
        <w:rPr>
          <w:rFonts w:eastAsia="Times New Roman"/>
        </w:rPr>
        <w:tab/>
      </w:r>
      <w:r w:rsidRPr="00DC73A2">
        <w:rPr>
          <w:rFonts w:eastAsia="Times New Roman"/>
        </w:rPr>
        <w:tab/>
      </w:r>
      <w:r w:rsidRPr="00DC73A2">
        <w:rPr>
          <w:rFonts w:eastAsia="Times New Roman"/>
        </w:rPr>
        <w:tab/>
        <w:t>:</w:t>
      </w:r>
    </w:p>
    <w:p w14:paraId="152DE7CA" w14:textId="77777777" w:rsidR="00DC73A2" w:rsidRPr="00DC73A2" w:rsidRDefault="00DC73A2" w:rsidP="00DC73A2">
      <w:pPr>
        <w:tabs>
          <w:tab w:val="left" w:pos="0"/>
          <w:tab w:val="left" w:pos="1440"/>
        </w:tabs>
        <w:spacing w:line="233" w:lineRule="auto"/>
        <w:jc w:val="both"/>
        <w:rPr>
          <w:rFonts w:eastAsia="Times New Roman"/>
        </w:rPr>
      </w:pPr>
    </w:p>
    <w:p w14:paraId="1D21E416" w14:textId="77777777" w:rsidR="00DC73A2" w:rsidRPr="00DC73A2" w:rsidRDefault="00DC73A2" w:rsidP="00DC73A2">
      <w:pPr>
        <w:tabs>
          <w:tab w:val="left" w:pos="0"/>
          <w:tab w:val="left" w:pos="1440"/>
        </w:tabs>
        <w:spacing w:line="233" w:lineRule="auto"/>
        <w:jc w:val="both"/>
        <w:rPr>
          <w:rFonts w:eastAsia="Times New Roman"/>
        </w:rPr>
      </w:pPr>
    </w:p>
    <w:p w14:paraId="3837E035" w14:textId="77777777" w:rsidR="00DC73A2" w:rsidRPr="00DC73A2" w:rsidRDefault="00DC73A2" w:rsidP="00DC73A2">
      <w:pPr>
        <w:tabs>
          <w:tab w:val="left" w:pos="1440"/>
        </w:tabs>
        <w:rPr>
          <w:rFonts w:eastAsia="Times New Roman"/>
        </w:rPr>
      </w:pPr>
    </w:p>
    <w:p w14:paraId="5CEFF242" w14:textId="77777777" w:rsidR="004449F5" w:rsidRDefault="00D15A4D" w:rsidP="00D63E33">
      <w:pPr>
        <w:spacing w:line="240" w:lineRule="auto"/>
        <w:jc w:val="center"/>
        <w:rPr>
          <w:b/>
        </w:rPr>
      </w:pPr>
      <w:r w:rsidRPr="00D63E33">
        <w:rPr>
          <w:b/>
        </w:rPr>
        <w:t>INTERIM ORDER</w:t>
      </w:r>
    </w:p>
    <w:p w14:paraId="4DCC4065" w14:textId="23B7CAE8" w:rsidR="00DC73A2" w:rsidRDefault="00D15A4D" w:rsidP="00D63E33">
      <w:pPr>
        <w:spacing w:line="240" w:lineRule="auto"/>
        <w:jc w:val="center"/>
        <w:rPr>
          <w:b/>
        </w:rPr>
      </w:pPr>
      <w:r w:rsidRPr="00D63E33">
        <w:rPr>
          <w:b/>
        </w:rPr>
        <w:t xml:space="preserve">DISMISSING PRELIMINARY OBJECTIONS </w:t>
      </w:r>
    </w:p>
    <w:p w14:paraId="1957A6A7" w14:textId="3E37C939" w:rsidR="00D15A4D" w:rsidRPr="00D63E33" w:rsidRDefault="00D15A4D" w:rsidP="00D63E33">
      <w:pPr>
        <w:spacing w:line="240" w:lineRule="auto"/>
        <w:jc w:val="center"/>
        <w:rPr>
          <w:u w:val="single"/>
        </w:rPr>
      </w:pPr>
      <w:r w:rsidRPr="00DC73A2">
        <w:rPr>
          <w:b/>
          <w:u w:val="single"/>
        </w:rPr>
        <w:t>AND</w:t>
      </w:r>
      <w:r w:rsidR="00DC73A2" w:rsidRPr="00DC73A2">
        <w:rPr>
          <w:b/>
          <w:u w:val="single"/>
        </w:rPr>
        <w:t xml:space="preserve"> </w:t>
      </w:r>
      <w:r w:rsidRPr="00DC73A2">
        <w:rPr>
          <w:b/>
          <w:u w:val="single"/>
        </w:rPr>
        <w:t>R</w:t>
      </w:r>
      <w:r w:rsidRPr="00D63E33">
        <w:rPr>
          <w:b/>
          <w:u w:val="single"/>
        </w:rPr>
        <w:t>EFERRING COMPLAINT FOR MEDIATION REVIEW</w:t>
      </w:r>
    </w:p>
    <w:p w14:paraId="55248758" w14:textId="7569291C" w:rsidR="00D15A4D" w:rsidRDefault="00D15A4D"/>
    <w:p w14:paraId="5E5B17D2" w14:textId="61CDBF04" w:rsidR="00D15A4D" w:rsidRDefault="00D15A4D">
      <w:r>
        <w:tab/>
      </w:r>
      <w:r>
        <w:tab/>
        <w:t>On November 13, 2018, George Kuhns</w:t>
      </w:r>
      <w:r w:rsidR="004D0E0F">
        <w:t xml:space="preserve"> (Complainant)</w:t>
      </w:r>
      <w:r>
        <w:t xml:space="preserve"> filed a formal complaint against West Penn Power Company alleging that </w:t>
      </w:r>
      <w:r w:rsidR="004D0E0F">
        <w:t>West Penn Power installed a utility line on his property without a right-of-way.</w:t>
      </w:r>
    </w:p>
    <w:p w14:paraId="2D25DF36" w14:textId="20F0DD88" w:rsidR="004D0E0F" w:rsidRDefault="004D0E0F"/>
    <w:p w14:paraId="4F60B1C6" w14:textId="41753DD1" w:rsidR="00450B8D" w:rsidRDefault="004D0E0F">
      <w:r>
        <w:tab/>
      </w:r>
      <w:r>
        <w:tab/>
        <w:t>On December 11, 2018, West Penn Power filed an answer which denied the material allegations of the complaint.  West Penn also filed preliminary objections seeking dismissal of the complaint.  Specifically</w:t>
      </w:r>
      <w:r w:rsidR="004449F5">
        <w:t>,</w:t>
      </w:r>
      <w:r>
        <w:t xml:space="preserve"> West Penn Power takes the position that the dispute </w:t>
      </w:r>
      <w:r w:rsidR="00CD1422">
        <w:t>involves</w:t>
      </w:r>
      <w:r>
        <w:t xml:space="preserve"> property rights over which the Commission lacks jurisdiction.</w:t>
      </w:r>
    </w:p>
    <w:p w14:paraId="237A8418" w14:textId="2E2A5DCB" w:rsidR="00D63E33" w:rsidRDefault="00D63E33"/>
    <w:p w14:paraId="2A5CFCC1" w14:textId="03041A8F" w:rsidR="00D63E33" w:rsidRDefault="00D63E33">
      <w:r>
        <w:tab/>
      </w:r>
      <w:r>
        <w:tab/>
        <w:t>By notice dated January 22, 2019, this motion was assigned to me for disposition.  The Complainant has not filed a response to West Penn’s preliminary objections, therefore the motion is ripe for disposition.</w:t>
      </w:r>
    </w:p>
    <w:p w14:paraId="0F3772A1" w14:textId="5D353831" w:rsidR="00450B8D" w:rsidRDefault="00450B8D"/>
    <w:p w14:paraId="09D6CE48" w14:textId="77777777" w:rsidR="00450B8D" w:rsidRDefault="00450B8D" w:rsidP="00450B8D">
      <w:r w:rsidRPr="008F71D0">
        <w:tab/>
        <w:t xml:space="preserve">The grounds for preliminary objection are limited: </w:t>
      </w:r>
    </w:p>
    <w:p w14:paraId="10B44313" w14:textId="77777777" w:rsidR="00450B8D" w:rsidRPr="008F71D0" w:rsidRDefault="00450B8D" w:rsidP="00450B8D"/>
    <w:p w14:paraId="6E7DFC1A" w14:textId="77777777" w:rsidR="00450B8D" w:rsidRDefault="00450B8D" w:rsidP="00450B8D">
      <w:pPr>
        <w:spacing w:line="240" w:lineRule="auto"/>
        <w:ind w:left="1440" w:right="1440"/>
        <w:rPr>
          <w:iCs/>
        </w:rPr>
      </w:pPr>
      <w:r w:rsidRPr="008F71D0">
        <w:rPr>
          <w:iCs/>
        </w:rPr>
        <w:t xml:space="preserve"> (1)</w:t>
      </w:r>
      <w:r w:rsidRPr="008F71D0">
        <w:rPr>
          <w:iCs/>
        </w:rPr>
        <w:tab/>
        <w:t>Lack of Commission jurisdiction or improper service of the pleading initiating the proceeding.</w:t>
      </w:r>
    </w:p>
    <w:p w14:paraId="723D673B" w14:textId="77777777" w:rsidR="00450B8D" w:rsidRPr="008F71D0" w:rsidRDefault="00450B8D" w:rsidP="00450B8D">
      <w:pPr>
        <w:spacing w:line="240" w:lineRule="auto"/>
        <w:ind w:left="1440" w:right="1440"/>
        <w:rPr>
          <w:iCs/>
        </w:rPr>
      </w:pPr>
    </w:p>
    <w:p w14:paraId="38AE30F4" w14:textId="77777777" w:rsidR="00450B8D" w:rsidRDefault="00450B8D" w:rsidP="00450B8D">
      <w:pPr>
        <w:spacing w:line="240" w:lineRule="auto"/>
        <w:ind w:left="1440" w:right="1440"/>
        <w:rPr>
          <w:iCs/>
        </w:rPr>
      </w:pPr>
      <w:r w:rsidRPr="008F71D0">
        <w:rPr>
          <w:iCs/>
        </w:rPr>
        <w:t>(2)</w:t>
      </w:r>
      <w:r w:rsidRPr="008F71D0">
        <w:rPr>
          <w:iCs/>
        </w:rPr>
        <w:tab/>
        <w:t>Failure of a pleading to conform to this chapter or the inclusion of scandalous or impertinent matter.</w:t>
      </w:r>
    </w:p>
    <w:p w14:paraId="0D98D77C" w14:textId="77777777" w:rsidR="00450B8D" w:rsidRPr="008F71D0" w:rsidRDefault="00450B8D" w:rsidP="00450B8D">
      <w:pPr>
        <w:spacing w:line="240" w:lineRule="auto"/>
        <w:ind w:left="1440" w:right="1440"/>
        <w:rPr>
          <w:iCs/>
        </w:rPr>
      </w:pPr>
    </w:p>
    <w:p w14:paraId="3B8F7787" w14:textId="77777777" w:rsidR="00450B8D" w:rsidRDefault="00450B8D" w:rsidP="00450B8D">
      <w:pPr>
        <w:spacing w:line="240" w:lineRule="auto"/>
        <w:ind w:left="1440" w:right="1440"/>
        <w:rPr>
          <w:iCs/>
        </w:rPr>
      </w:pPr>
      <w:r w:rsidRPr="008F71D0">
        <w:rPr>
          <w:iCs/>
        </w:rPr>
        <w:lastRenderedPageBreak/>
        <w:t>(3)</w:t>
      </w:r>
      <w:r w:rsidRPr="008F71D0">
        <w:rPr>
          <w:iCs/>
        </w:rPr>
        <w:tab/>
        <w:t>Insufficient specificity of a pleading.</w:t>
      </w:r>
    </w:p>
    <w:p w14:paraId="09E95AD3" w14:textId="77777777" w:rsidR="00450B8D" w:rsidRPr="008F71D0" w:rsidRDefault="00450B8D" w:rsidP="00450B8D">
      <w:pPr>
        <w:spacing w:line="240" w:lineRule="auto"/>
        <w:ind w:left="1440" w:right="1440"/>
        <w:rPr>
          <w:iCs/>
        </w:rPr>
      </w:pPr>
    </w:p>
    <w:p w14:paraId="584E0FE4" w14:textId="77777777" w:rsidR="00450B8D" w:rsidRDefault="00450B8D" w:rsidP="00450B8D">
      <w:pPr>
        <w:spacing w:line="240" w:lineRule="auto"/>
        <w:ind w:left="1440" w:right="1440"/>
        <w:rPr>
          <w:iCs/>
        </w:rPr>
      </w:pPr>
      <w:r w:rsidRPr="008F71D0">
        <w:rPr>
          <w:iCs/>
        </w:rPr>
        <w:t>(4)</w:t>
      </w:r>
      <w:r w:rsidRPr="008F71D0">
        <w:rPr>
          <w:iCs/>
        </w:rPr>
        <w:tab/>
        <w:t>Legal insufficiency of a pleading.</w:t>
      </w:r>
    </w:p>
    <w:p w14:paraId="45C4835B" w14:textId="77777777" w:rsidR="00450B8D" w:rsidRPr="008F71D0" w:rsidRDefault="00450B8D" w:rsidP="00450B8D">
      <w:pPr>
        <w:spacing w:line="240" w:lineRule="auto"/>
        <w:ind w:left="1440" w:right="1440"/>
        <w:rPr>
          <w:iCs/>
        </w:rPr>
      </w:pPr>
    </w:p>
    <w:p w14:paraId="1EF0189F" w14:textId="77777777" w:rsidR="00450B8D" w:rsidRDefault="00450B8D" w:rsidP="00450B8D">
      <w:pPr>
        <w:spacing w:line="240" w:lineRule="auto"/>
        <w:ind w:left="1440" w:right="1440"/>
        <w:rPr>
          <w:iCs/>
        </w:rPr>
      </w:pPr>
      <w:r w:rsidRPr="008F71D0">
        <w:rPr>
          <w:iCs/>
        </w:rPr>
        <w:t>(5)</w:t>
      </w:r>
      <w:r w:rsidRPr="008F71D0">
        <w:rPr>
          <w:iCs/>
        </w:rPr>
        <w:tab/>
        <w:t>Lack of capacity to sue, nonjoinder of a necessary party or misjoinder of a cause of action.</w:t>
      </w:r>
    </w:p>
    <w:p w14:paraId="7BED4813" w14:textId="77777777" w:rsidR="00450B8D" w:rsidRPr="008F71D0" w:rsidRDefault="00450B8D" w:rsidP="00450B8D">
      <w:pPr>
        <w:spacing w:line="240" w:lineRule="auto"/>
        <w:ind w:left="1440" w:right="1440"/>
        <w:rPr>
          <w:iCs/>
        </w:rPr>
      </w:pPr>
    </w:p>
    <w:p w14:paraId="58F30992" w14:textId="77777777" w:rsidR="00450B8D" w:rsidRDefault="00450B8D" w:rsidP="00450B8D">
      <w:pPr>
        <w:spacing w:line="240" w:lineRule="auto"/>
        <w:ind w:left="1440" w:right="1440"/>
        <w:rPr>
          <w:iCs/>
        </w:rPr>
      </w:pPr>
      <w:r w:rsidRPr="008F71D0">
        <w:rPr>
          <w:iCs/>
        </w:rPr>
        <w:t>(6)</w:t>
      </w:r>
      <w:r w:rsidRPr="008F71D0">
        <w:rPr>
          <w:iCs/>
        </w:rPr>
        <w:tab/>
        <w:t>Pendency of a prior proceeding or agreement for alternative dispute resolution.</w:t>
      </w:r>
    </w:p>
    <w:p w14:paraId="7EC30BDD" w14:textId="77777777" w:rsidR="00450B8D" w:rsidRPr="008F71D0" w:rsidRDefault="00450B8D" w:rsidP="00450B8D">
      <w:pPr>
        <w:spacing w:line="240" w:lineRule="auto"/>
        <w:ind w:left="1440" w:right="1440"/>
        <w:rPr>
          <w:iCs/>
        </w:rPr>
      </w:pPr>
    </w:p>
    <w:p w14:paraId="1BAB17B8" w14:textId="77777777" w:rsidR="00450B8D" w:rsidRDefault="00450B8D" w:rsidP="00450B8D">
      <w:pPr>
        <w:spacing w:line="240" w:lineRule="auto"/>
        <w:ind w:left="1440" w:right="1440"/>
      </w:pPr>
      <w:r w:rsidRPr="008F71D0">
        <w:t xml:space="preserve">(7) </w:t>
      </w:r>
      <w:r w:rsidRPr="008F71D0">
        <w:tab/>
        <w:t>Standing of a party to participate in the proceeding.</w:t>
      </w:r>
      <w:r>
        <w:rPr>
          <w:rStyle w:val="FootnoteReference"/>
        </w:rPr>
        <w:footnoteReference w:id="1"/>
      </w:r>
    </w:p>
    <w:p w14:paraId="0DB9C031" w14:textId="77777777" w:rsidR="00450B8D" w:rsidRPr="008F71D0" w:rsidRDefault="00450B8D" w:rsidP="00450B8D">
      <w:pPr>
        <w:ind w:left="1440" w:right="1440"/>
      </w:pPr>
    </w:p>
    <w:p w14:paraId="2A0EE32E" w14:textId="22244C12" w:rsidR="00450B8D" w:rsidRDefault="00450B8D" w:rsidP="00450B8D">
      <w:r>
        <w:tab/>
      </w:r>
      <w:r>
        <w:tab/>
      </w:r>
      <w:r w:rsidRPr="008F71D0">
        <w:t>Preliminary objection practice before the Commission is similar to Pennsylvania civil practice respecting preliminary objections.</w:t>
      </w:r>
      <w:r w:rsidRPr="008F71D0">
        <w:rPr>
          <w:vertAlign w:val="superscript"/>
        </w:rPr>
        <w:footnoteReference w:id="2"/>
      </w:r>
      <w:r w:rsidRPr="008F71D0">
        <w:t xml:space="preserve">  In deciding the preliminary objections, the Commission must determine whether, based on well-pleaded factual averments of the petitioners, recovery or relief is possible.</w:t>
      </w:r>
      <w:r w:rsidRPr="008F71D0">
        <w:rPr>
          <w:vertAlign w:val="superscript"/>
        </w:rPr>
        <w:footnoteReference w:id="3"/>
      </w:r>
      <w:r w:rsidRPr="008F71D0">
        <w:t xml:space="preserve">  Any doubt must be resolved in favor of the non-moving party by refusing to sustain the preliminary objections.</w:t>
      </w:r>
      <w:r w:rsidRPr="008F71D0">
        <w:rPr>
          <w:vertAlign w:val="superscript"/>
        </w:rPr>
        <w:footnoteReference w:id="4"/>
      </w:r>
      <w:r w:rsidRPr="008F71D0">
        <w:t xml:space="preserve">  All of the non-moving party’s averments in the complaint must be viewed as true for purposes of deciding the preliminary objections.</w:t>
      </w:r>
      <w:r w:rsidRPr="008F71D0">
        <w:rPr>
          <w:vertAlign w:val="superscript"/>
        </w:rPr>
        <w:footnoteReference w:id="5"/>
      </w:r>
      <w:r w:rsidRPr="008F71D0">
        <w:t xml:space="preserve">  Only those facts specifically admitted may be considered against the non-moving party.</w:t>
      </w:r>
      <w:r w:rsidRPr="008F71D0">
        <w:rPr>
          <w:vertAlign w:val="superscript"/>
        </w:rPr>
        <w:footnoteReference w:id="6"/>
      </w:r>
      <w:r w:rsidR="00F947D9">
        <w:t xml:space="preserve"> </w:t>
      </w:r>
      <w:r w:rsidRPr="008F71D0">
        <w:t xml:space="preserve"> A preliminary objection which seeks dismissal of a pleading will only be granted where relief is clearly warranted and free from doubt.</w:t>
      </w:r>
      <w:r w:rsidRPr="008F71D0">
        <w:rPr>
          <w:vertAlign w:val="superscript"/>
        </w:rPr>
        <w:footnoteReference w:id="7"/>
      </w:r>
    </w:p>
    <w:p w14:paraId="59E4306C" w14:textId="222285D0" w:rsidR="004D0E0F" w:rsidRDefault="004D0E0F" w:rsidP="00450B8D"/>
    <w:p w14:paraId="21744997" w14:textId="3AA8F0E0" w:rsidR="004D0E0F" w:rsidRDefault="004D0E0F" w:rsidP="00450B8D">
      <w:r>
        <w:lastRenderedPageBreak/>
        <w:tab/>
      </w:r>
      <w:r>
        <w:tab/>
        <w:t>West Penn Power alleges that the issues raised in the complaint are outside the scope of the Commission’s jurisdiction.  Specifically, West Penn states that the claims raised by the Complainant involve the interpretation of West Penn’s right-of-way.</w:t>
      </w:r>
    </w:p>
    <w:p w14:paraId="182E2B36" w14:textId="77777777" w:rsidR="00450B8D" w:rsidRDefault="00450B8D" w:rsidP="00450B8D"/>
    <w:p w14:paraId="3E3C85BE" w14:textId="64970382" w:rsidR="00450B8D" w:rsidRDefault="00450B8D" w:rsidP="00450B8D">
      <w:r>
        <w:tab/>
      </w:r>
      <w:r>
        <w:tab/>
      </w:r>
      <w:r w:rsidRPr="00940F66">
        <w:t>In every case coming before it, the Commission must decide initially whether it has jurisdiction over the parties and the subject matter of this dispute.  As a creature of legislation, the Commission possesses only the authority that the General Assembly has specifically granted to it in the Public Utility Code.  That is, the Commission has only the powers expressly conferred or necessarily implied by its enabling statute.</w:t>
      </w:r>
      <w:r w:rsidRPr="00940F66">
        <w:rPr>
          <w:vertAlign w:val="superscript"/>
        </w:rPr>
        <w:footnoteReference w:id="8"/>
      </w:r>
      <w:r w:rsidRPr="00940F66">
        <w:t xml:space="preserve">  The Commission must act within and cannot exceed its jurisdiction.</w:t>
      </w:r>
      <w:r w:rsidRPr="00940F66">
        <w:rPr>
          <w:vertAlign w:val="superscript"/>
        </w:rPr>
        <w:footnoteReference w:id="9"/>
      </w:r>
      <w:r w:rsidRPr="00940F66">
        <w:t xml:space="preserve">  Jurisdiction may not be conferred by the parties where none exists.</w:t>
      </w:r>
      <w:r w:rsidRPr="00940F66">
        <w:rPr>
          <w:vertAlign w:val="superscript"/>
        </w:rPr>
        <w:footnoteReference w:id="10"/>
      </w:r>
      <w:r w:rsidRPr="00940F66">
        <w:t xml:space="preserve">  Indeed, subject matter jurisdiction is a prerequisite to the exercise of the power to decide a controversy.</w:t>
      </w:r>
      <w:r w:rsidRPr="00940F66">
        <w:rPr>
          <w:vertAlign w:val="superscript"/>
        </w:rPr>
        <w:footnoteReference w:id="11"/>
      </w:r>
      <w:r w:rsidRPr="00940F66">
        <w:t xml:space="preserve">  </w:t>
      </w:r>
    </w:p>
    <w:p w14:paraId="106E75A9" w14:textId="78A4894A" w:rsidR="00450B8D" w:rsidRDefault="00450B8D" w:rsidP="00450B8D"/>
    <w:p w14:paraId="5B33E53A" w14:textId="1F8B5A3D" w:rsidR="00450B8D" w:rsidRDefault="00450B8D" w:rsidP="00450B8D">
      <w:r>
        <w:tab/>
      </w:r>
      <w:r>
        <w:tab/>
        <w:t>Generally, the</w:t>
      </w:r>
      <w:r w:rsidRPr="00450B8D">
        <w:t xml:space="preserve"> Commission’s jurisdiction does not include interpretation of an easement</w:t>
      </w:r>
      <w:r w:rsidR="00CD1422">
        <w:t xml:space="preserve"> or right-of-way</w:t>
      </w:r>
      <w:r w:rsidRPr="00450B8D">
        <w:t>, but the Commission has jurisdiction to review the acts of a regulated utility to determine whether its actions in dealing with the landowner and in maintaining the right-of-way crossing the landowner’s property are consistent with the provision of adequate, efficient, safe, and reasonable service under Section 1501 of the Code.</w:t>
      </w:r>
      <w:r w:rsidR="00357E31">
        <w:rPr>
          <w:rStyle w:val="FootnoteReference"/>
        </w:rPr>
        <w:footnoteReference w:id="12"/>
      </w:r>
      <w:r w:rsidRPr="00450B8D">
        <w:t xml:space="preserve">  </w:t>
      </w:r>
      <w:r w:rsidR="00357E31">
        <w:t>Further</w:t>
      </w:r>
      <w:r w:rsidRPr="00450B8D">
        <w:t xml:space="preserve">, the Commission has held that a </w:t>
      </w:r>
      <w:r w:rsidR="00357E31">
        <w:t>c</w:t>
      </w:r>
      <w:r w:rsidRPr="00450B8D">
        <w:t xml:space="preserve">omplaint alleges a violation of Section 1501 of the Code, over which the Commission does have jurisdiction, if the </w:t>
      </w:r>
      <w:r w:rsidR="00357E31">
        <w:t>c</w:t>
      </w:r>
      <w:r w:rsidRPr="00450B8D">
        <w:t>omplaint alleges that a utility installed facilities in the absence of an easement or other document providing authority to do so.</w:t>
      </w:r>
      <w:r>
        <w:rPr>
          <w:rStyle w:val="FootnoteReference"/>
        </w:rPr>
        <w:footnoteReference w:id="13"/>
      </w:r>
      <w:r w:rsidRPr="00450B8D">
        <w:t xml:space="preserve">  </w:t>
      </w:r>
    </w:p>
    <w:p w14:paraId="7DF2ED70" w14:textId="029F9AF6" w:rsidR="00357E31" w:rsidRDefault="00357E31" w:rsidP="00450B8D">
      <w:r>
        <w:lastRenderedPageBreak/>
        <w:tab/>
      </w:r>
      <w:r>
        <w:tab/>
        <w:t xml:space="preserve">In this complaint, the Complainant not only alleges that West Penn Power installed facilities where it does not have a right-of-way, but also that it damaged his property and that the company’s customer service representatives failed to return his phone calls.  Each of these claims, if proven, may constitute a violation of Section 1501 of the Code.  </w:t>
      </w:r>
      <w:r w:rsidR="004D0E0F">
        <w:t>Although West Penn in its answer and preliminary objection states that it holds an appropriate right-of-way, the existence of these rights is a fact in dispute.  Only the facts alleged in the complaint are considered in ruling on preliminary objections.  The facts raised by West Penn in its answer or</w:t>
      </w:r>
      <w:r w:rsidR="00D63E33">
        <w:t xml:space="preserve"> in its preliminary objections are not properly considered at this juncture.  </w:t>
      </w:r>
      <w:r>
        <w:t>Therefore, it is not appropriate to dismiss the complaint</w:t>
      </w:r>
      <w:r w:rsidR="00D63E33">
        <w:t xml:space="preserve"> at this time</w:t>
      </w:r>
      <w:r>
        <w:t>.</w:t>
      </w:r>
      <w:r w:rsidR="004D0E0F">
        <w:t xml:space="preserve">  </w:t>
      </w:r>
    </w:p>
    <w:p w14:paraId="39816637" w14:textId="343B12CA" w:rsidR="003E021C" w:rsidRDefault="003E021C" w:rsidP="00450B8D"/>
    <w:p w14:paraId="73238E96" w14:textId="535D791E" w:rsidR="003E021C" w:rsidRDefault="003E021C" w:rsidP="003E021C">
      <w:pPr>
        <w:rPr>
          <w:spacing w:val="-3"/>
          <w:szCs w:val="24"/>
        </w:rPr>
      </w:pPr>
      <w:r>
        <w:rPr>
          <w:szCs w:val="24"/>
        </w:rPr>
        <w:tab/>
      </w:r>
      <w:r>
        <w:rPr>
          <w:szCs w:val="24"/>
        </w:rPr>
        <w:tab/>
      </w:r>
      <w:r w:rsidRPr="007E6AB2">
        <w:rPr>
          <w:spacing w:val="-3"/>
          <w:szCs w:val="24"/>
        </w:rPr>
        <w:t>It is the policy of the Commission to encourage settlements.  52 Pa.Code § 5.231.  Also, it is 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w:t>
      </w:r>
      <w:r>
        <w:rPr>
          <w:spacing w:val="-3"/>
          <w:szCs w:val="24"/>
        </w:rPr>
        <w:t xml:space="preserve">  Mediation is an informal process where the parties can discuss a full range of settlement options beyond those which can be ordered by the Commission in the formal adjudication process.</w:t>
      </w:r>
    </w:p>
    <w:p w14:paraId="3622005C" w14:textId="77777777" w:rsidR="003E021C" w:rsidRDefault="003E021C" w:rsidP="003E021C">
      <w:pPr>
        <w:rPr>
          <w:spacing w:val="-3"/>
          <w:szCs w:val="24"/>
        </w:rPr>
      </w:pPr>
    </w:p>
    <w:p w14:paraId="5174AA9A" w14:textId="02150C8E" w:rsidR="003E021C" w:rsidRDefault="003E021C" w:rsidP="003E021C">
      <w:pPr>
        <w:rPr>
          <w:spacing w:val="-3"/>
          <w:szCs w:val="24"/>
        </w:rPr>
      </w:pPr>
      <w:r>
        <w:rPr>
          <w:spacing w:val="-3"/>
          <w:szCs w:val="24"/>
        </w:rPr>
        <w:tab/>
      </w:r>
      <w:r>
        <w:rPr>
          <w:spacing w:val="-3"/>
          <w:szCs w:val="24"/>
        </w:rPr>
        <w:tab/>
        <w:t xml:space="preserve">West Penn Power has requested mediation review of this complaint in an effort to resolve the dispute informally.  I agree that this case appears to be appropriate for mediation.  Accordingly, the case will be referred to the Commission’s Mediation Unit for mediation review.  </w:t>
      </w:r>
    </w:p>
    <w:p w14:paraId="7C8F4C7E" w14:textId="77777777" w:rsidR="00CD1422" w:rsidRDefault="00CD1422" w:rsidP="003E021C">
      <w:pPr>
        <w:rPr>
          <w:szCs w:val="24"/>
          <w:u w:val="single"/>
        </w:rPr>
      </w:pPr>
    </w:p>
    <w:p w14:paraId="1556F49C" w14:textId="77777777" w:rsidR="00D274DE" w:rsidRDefault="00D274DE" w:rsidP="00D274DE">
      <w:pPr>
        <w:ind w:left="720" w:firstLine="720"/>
      </w:pPr>
      <w:r>
        <w:t>THEREFORE,</w:t>
      </w:r>
    </w:p>
    <w:p w14:paraId="43F2C27D" w14:textId="77777777" w:rsidR="00D274DE" w:rsidRDefault="00D274DE" w:rsidP="00D274DE"/>
    <w:p w14:paraId="531C20A2" w14:textId="77777777" w:rsidR="00D274DE" w:rsidRDefault="00D274DE" w:rsidP="00D274DE">
      <w:r>
        <w:tab/>
      </w:r>
      <w:r>
        <w:tab/>
        <w:t>IT IS ORDERED:</w:t>
      </w:r>
    </w:p>
    <w:p w14:paraId="791CBDEA" w14:textId="77777777" w:rsidR="00D274DE" w:rsidRDefault="00D274DE" w:rsidP="00D274DE"/>
    <w:p w14:paraId="5EAEBCC2" w14:textId="23377AF6" w:rsidR="00D274DE" w:rsidRDefault="00D274DE" w:rsidP="00D274DE">
      <w:r>
        <w:tab/>
      </w:r>
      <w:r>
        <w:tab/>
        <w:t>1.</w:t>
      </w:r>
      <w:r>
        <w:tab/>
        <w:t>That the preliminary objections of West Penn Power Company are dismissed.</w:t>
      </w:r>
    </w:p>
    <w:p w14:paraId="708C36F7" w14:textId="77777777" w:rsidR="00D274DE" w:rsidRDefault="00D274DE" w:rsidP="00D274DE"/>
    <w:p w14:paraId="4E258F6D" w14:textId="77777777" w:rsidR="00D274DE" w:rsidRPr="00D921AE" w:rsidRDefault="00D274DE" w:rsidP="00D274DE">
      <w:pPr>
        <w:rPr>
          <w:spacing w:val="-3"/>
          <w:szCs w:val="24"/>
        </w:rPr>
      </w:pPr>
      <w:r>
        <w:lastRenderedPageBreak/>
        <w:tab/>
      </w:r>
      <w:r>
        <w:tab/>
        <w:t>2.</w:t>
      </w:r>
      <w:r>
        <w:tab/>
      </w:r>
      <w:r w:rsidRPr="00D921AE">
        <w:rPr>
          <w:spacing w:val="-3"/>
          <w:szCs w:val="24"/>
        </w:rPr>
        <w:t xml:space="preserve">That the </w:t>
      </w:r>
      <w:r>
        <w:rPr>
          <w:spacing w:val="-3"/>
          <w:szCs w:val="24"/>
        </w:rPr>
        <w:t xml:space="preserve">case </w:t>
      </w:r>
      <w:r w:rsidRPr="00D921AE">
        <w:rPr>
          <w:spacing w:val="-3"/>
          <w:szCs w:val="24"/>
        </w:rPr>
        <w:t>be and is hereby referred to the Commission’s Mediation Unit for the Commission’s mediation review process.</w:t>
      </w:r>
    </w:p>
    <w:p w14:paraId="11FC1F71" w14:textId="77777777" w:rsidR="00D274DE" w:rsidRPr="00D921AE" w:rsidRDefault="00D274DE" w:rsidP="00D274DE">
      <w:pPr>
        <w:ind w:firstLine="1440"/>
        <w:rPr>
          <w:spacing w:val="-3"/>
          <w:szCs w:val="24"/>
        </w:rPr>
      </w:pPr>
    </w:p>
    <w:p w14:paraId="104EF989" w14:textId="77777777" w:rsidR="00D274DE" w:rsidRDefault="00D274DE" w:rsidP="00D274DE">
      <w:pPr>
        <w:tabs>
          <w:tab w:val="left" w:pos="1440"/>
          <w:tab w:val="left" w:pos="2160"/>
          <w:tab w:val="left" w:pos="2880"/>
        </w:tabs>
        <w:jc w:val="both"/>
        <w:rPr>
          <w:spacing w:val="-3"/>
          <w:szCs w:val="24"/>
        </w:rPr>
      </w:pPr>
      <w:r w:rsidRPr="00D921AE">
        <w:rPr>
          <w:spacing w:val="-3"/>
          <w:szCs w:val="24"/>
        </w:rPr>
        <w:tab/>
      </w:r>
      <w:r>
        <w:rPr>
          <w:spacing w:val="-3"/>
          <w:szCs w:val="24"/>
        </w:rPr>
        <w:t>3</w:t>
      </w:r>
      <w:r w:rsidRPr="00D921AE">
        <w:rPr>
          <w:spacing w:val="-3"/>
          <w:szCs w:val="24"/>
        </w:rPr>
        <w:t>.</w:t>
      </w:r>
      <w:r w:rsidRPr="00D921AE">
        <w:rPr>
          <w:spacing w:val="-3"/>
          <w:szCs w:val="24"/>
        </w:rPr>
        <w:tab/>
      </w:r>
      <w:r>
        <w:rPr>
          <w:spacing w:val="-3"/>
          <w:szCs w:val="24"/>
        </w:rPr>
        <w:t>That i</w:t>
      </w:r>
      <w:r w:rsidRPr="00D921AE">
        <w:rPr>
          <w:spacing w:val="-3"/>
          <w:szCs w:val="24"/>
        </w:rPr>
        <w:t xml:space="preserve">n the event the parties are unable to resolve this matter with the assistance of the mediator, the case shall be </w:t>
      </w:r>
      <w:r>
        <w:rPr>
          <w:spacing w:val="-3"/>
          <w:szCs w:val="24"/>
        </w:rPr>
        <w:t>scheduled for a formal hearing before the undersigned presiding officer.</w:t>
      </w:r>
    </w:p>
    <w:p w14:paraId="40C7BB2F" w14:textId="77777777" w:rsidR="00D274DE" w:rsidRDefault="00D274DE" w:rsidP="00D274DE">
      <w:pPr>
        <w:tabs>
          <w:tab w:val="left" w:pos="1440"/>
          <w:tab w:val="left" w:pos="2160"/>
          <w:tab w:val="left" w:pos="2880"/>
        </w:tabs>
        <w:jc w:val="both"/>
        <w:rPr>
          <w:spacing w:val="-3"/>
          <w:szCs w:val="24"/>
        </w:rPr>
      </w:pPr>
    </w:p>
    <w:p w14:paraId="4964DFAD" w14:textId="77777777" w:rsidR="00D274DE" w:rsidRDefault="00D274DE" w:rsidP="00D274DE">
      <w:pPr>
        <w:tabs>
          <w:tab w:val="left" w:pos="1440"/>
          <w:tab w:val="left" w:pos="2160"/>
          <w:tab w:val="left" w:pos="2880"/>
        </w:tabs>
        <w:jc w:val="both"/>
        <w:rPr>
          <w:spacing w:val="-3"/>
          <w:szCs w:val="24"/>
        </w:rPr>
      </w:pPr>
    </w:p>
    <w:p w14:paraId="3DE5D560" w14:textId="25F1B668" w:rsidR="00D274DE" w:rsidRPr="00D934FB" w:rsidRDefault="00D274DE" w:rsidP="00D274DE">
      <w:pPr>
        <w:spacing w:line="240" w:lineRule="auto"/>
        <w:rPr>
          <w:rFonts w:eastAsia="Times New Roman"/>
          <w:szCs w:val="24"/>
        </w:rPr>
      </w:pPr>
      <w:r w:rsidRPr="00D934FB">
        <w:rPr>
          <w:rFonts w:eastAsia="Times New Roman"/>
          <w:szCs w:val="24"/>
        </w:rPr>
        <w:t xml:space="preserve">Date:  </w:t>
      </w:r>
      <w:r>
        <w:rPr>
          <w:rFonts w:eastAsia="Times New Roman"/>
          <w:szCs w:val="24"/>
          <w:u w:val="single"/>
        </w:rPr>
        <w:t xml:space="preserve">January </w:t>
      </w:r>
      <w:r w:rsidR="00D30C1A">
        <w:rPr>
          <w:rFonts w:eastAsia="Times New Roman"/>
          <w:szCs w:val="24"/>
          <w:u w:val="single"/>
        </w:rPr>
        <w:t>28</w:t>
      </w:r>
      <w:r w:rsidRPr="00D934FB">
        <w:rPr>
          <w:rFonts w:eastAsia="Times New Roman"/>
          <w:szCs w:val="24"/>
          <w:u w:val="single"/>
        </w:rPr>
        <w:t>, 201</w:t>
      </w:r>
      <w:r>
        <w:rPr>
          <w:rFonts w:eastAsia="Times New Roman"/>
          <w:szCs w:val="24"/>
          <w:u w:val="single"/>
        </w:rPr>
        <w:t>9</w:t>
      </w:r>
      <w:r w:rsidRPr="00D934FB">
        <w:rPr>
          <w:rFonts w:eastAsia="Times New Roman"/>
          <w:szCs w:val="24"/>
        </w:rPr>
        <w:tab/>
      </w:r>
      <w:r>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u w:val="single"/>
        </w:rPr>
        <w:tab/>
      </w:r>
      <w:r w:rsidRPr="00D934FB">
        <w:rPr>
          <w:rFonts w:eastAsia="Times New Roman"/>
          <w:szCs w:val="24"/>
          <w:u w:val="single"/>
        </w:rPr>
        <w:tab/>
        <w:t>/s/</w:t>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p>
    <w:p w14:paraId="3537A26F" w14:textId="77777777" w:rsidR="00D274DE" w:rsidRPr="00D934FB" w:rsidRDefault="00D274DE" w:rsidP="00D274DE">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Mary D. Long</w:t>
      </w:r>
    </w:p>
    <w:p w14:paraId="325F5F02" w14:textId="77777777" w:rsidR="00D274DE" w:rsidRPr="00D934FB" w:rsidRDefault="00D274DE" w:rsidP="00D274DE">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Administrative Law Judge</w:t>
      </w:r>
    </w:p>
    <w:p w14:paraId="594C9BCF" w14:textId="77777777" w:rsidR="003E021C" w:rsidRDefault="003E021C" w:rsidP="00450B8D"/>
    <w:p w14:paraId="019D341B" w14:textId="06E48E29" w:rsidR="00357E31" w:rsidRDefault="00357E31" w:rsidP="00450B8D"/>
    <w:p w14:paraId="092E5DAB" w14:textId="36BA3670" w:rsidR="00357E31" w:rsidRDefault="00357E31" w:rsidP="00450B8D">
      <w:r>
        <w:tab/>
      </w:r>
      <w:r>
        <w:tab/>
      </w:r>
    </w:p>
    <w:p w14:paraId="123E4DC4" w14:textId="77777777" w:rsidR="00831F88" w:rsidRDefault="00831F88">
      <w:pPr>
        <w:sectPr w:rsidR="00831F88" w:rsidSect="00831F88">
          <w:footerReference w:type="default" r:id="rId7"/>
          <w:pgSz w:w="12240" w:h="15840"/>
          <w:pgMar w:top="1440" w:right="1440" w:bottom="1440" w:left="1440" w:header="720" w:footer="720" w:gutter="0"/>
          <w:cols w:space="720"/>
          <w:titlePg/>
          <w:docGrid w:linePitch="360"/>
        </w:sectPr>
      </w:pPr>
    </w:p>
    <w:p w14:paraId="7B3A206E" w14:textId="77777777" w:rsidR="00831F88" w:rsidRPr="00831F88" w:rsidRDefault="00831F88" w:rsidP="00831F88">
      <w:pPr>
        <w:spacing w:after="160" w:line="259" w:lineRule="auto"/>
        <w:rPr>
          <w:rFonts w:ascii="Calibri" w:eastAsia="Times New Roman" w:hAnsi="Calibri"/>
          <w:sz w:val="22"/>
          <w:szCs w:val="22"/>
        </w:rPr>
      </w:pPr>
      <w:r w:rsidRPr="00831F88">
        <w:rPr>
          <w:rFonts w:ascii="Microsoft Sans Serif" w:eastAsia="Microsoft Sans Serif" w:hAnsi="Microsoft Sans Serif" w:cs="Microsoft Sans Serif"/>
          <w:b/>
          <w:szCs w:val="22"/>
          <w:u w:val="single"/>
        </w:rPr>
        <w:lastRenderedPageBreak/>
        <w:t>C-2018-3006122 - GEORGE KUHNS v. WEST PENN POWER COMPANY</w:t>
      </w:r>
      <w:r w:rsidRPr="00831F88">
        <w:rPr>
          <w:rFonts w:ascii="Microsoft Sans Serif" w:eastAsia="Microsoft Sans Serif" w:hAnsi="Microsoft Sans Serif" w:cs="Microsoft Sans Serif"/>
          <w:b/>
          <w:szCs w:val="22"/>
          <w:u w:val="single"/>
        </w:rPr>
        <w:cr/>
      </w:r>
      <w:r w:rsidRPr="00831F88">
        <w:rPr>
          <w:rFonts w:ascii="Microsoft Sans Serif" w:eastAsia="Microsoft Sans Serif" w:hAnsi="Microsoft Sans Serif" w:cs="Microsoft Sans Serif"/>
          <w:b/>
          <w:szCs w:val="22"/>
          <w:u w:val="single"/>
        </w:rPr>
        <w:cr/>
      </w:r>
      <w:bookmarkStart w:id="1" w:name="_Hlk535910181"/>
      <w:r w:rsidRPr="00831F88">
        <w:rPr>
          <w:rFonts w:ascii="Microsoft Sans Serif" w:eastAsia="Microsoft Sans Serif" w:hAnsi="Microsoft Sans Serif" w:cs="Microsoft Sans Serif"/>
          <w:szCs w:val="22"/>
        </w:rPr>
        <w:t>GEORGE KUHNS</w:t>
      </w:r>
      <w:r w:rsidRPr="00831F88">
        <w:rPr>
          <w:rFonts w:ascii="Microsoft Sans Serif" w:eastAsia="Microsoft Sans Serif" w:hAnsi="Microsoft Sans Serif" w:cs="Microsoft Sans Serif"/>
          <w:szCs w:val="22"/>
        </w:rPr>
        <w:cr/>
        <w:t>2208 ROUTE 31</w:t>
      </w:r>
      <w:r w:rsidRPr="00831F88">
        <w:rPr>
          <w:rFonts w:ascii="Microsoft Sans Serif" w:eastAsia="Microsoft Sans Serif" w:hAnsi="Microsoft Sans Serif" w:cs="Microsoft Sans Serif"/>
          <w:szCs w:val="22"/>
        </w:rPr>
        <w:cr/>
        <w:t>MT PLEASANT PA  15666</w:t>
      </w:r>
      <w:r w:rsidRPr="00831F88">
        <w:rPr>
          <w:rFonts w:ascii="Microsoft Sans Serif" w:eastAsia="Microsoft Sans Serif" w:hAnsi="Microsoft Sans Serif" w:cs="Microsoft Sans Serif"/>
          <w:szCs w:val="22"/>
        </w:rPr>
        <w:cr/>
      </w:r>
      <w:bookmarkEnd w:id="1"/>
      <w:r w:rsidRPr="00831F88">
        <w:rPr>
          <w:rFonts w:ascii="Microsoft Sans Serif" w:eastAsia="Microsoft Sans Serif" w:hAnsi="Microsoft Sans Serif" w:cs="Microsoft Sans Serif"/>
          <w:b/>
          <w:szCs w:val="22"/>
        </w:rPr>
        <w:t>724.547.5998</w:t>
      </w:r>
      <w:r w:rsidRPr="00831F88">
        <w:rPr>
          <w:rFonts w:ascii="Microsoft Sans Serif" w:eastAsia="Microsoft Sans Serif" w:hAnsi="Microsoft Sans Serif" w:cs="Microsoft Sans Serif"/>
          <w:b/>
          <w:szCs w:val="22"/>
        </w:rPr>
        <w:cr/>
      </w:r>
      <w:r w:rsidRPr="00831F88">
        <w:rPr>
          <w:rFonts w:ascii="Microsoft Sans Serif" w:eastAsia="Microsoft Sans Serif" w:hAnsi="Microsoft Sans Serif" w:cs="Microsoft Sans Serif"/>
          <w:szCs w:val="22"/>
        </w:rPr>
        <w:cr/>
        <w:t>MARGARET A MORRIS ESQUIRE</w:t>
      </w:r>
      <w:r w:rsidRPr="00831F88">
        <w:rPr>
          <w:rFonts w:ascii="Microsoft Sans Serif" w:eastAsia="Microsoft Sans Serif" w:hAnsi="Microsoft Sans Serif" w:cs="Microsoft Sans Serif"/>
          <w:szCs w:val="22"/>
        </w:rPr>
        <w:cr/>
      </w:r>
      <w:proofErr w:type="spellStart"/>
      <w:r w:rsidRPr="00831F88">
        <w:rPr>
          <w:rFonts w:ascii="Microsoft Sans Serif" w:eastAsia="Microsoft Sans Serif" w:hAnsi="Microsoft Sans Serif" w:cs="Microsoft Sans Serif"/>
          <w:szCs w:val="22"/>
        </w:rPr>
        <w:t>REGER</w:t>
      </w:r>
      <w:proofErr w:type="spellEnd"/>
      <w:r w:rsidRPr="00831F88">
        <w:rPr>
          <w:rFonts w:ascii="Microsoft Sans Serif" w:eastAsia="Microsoft Sans Serif" w:hAnsi="Microsoft Sans Serif" w:cs="Microsoft Sans Serif"/>
          <w:szCs w:val="22"/>
        </w:rPr>
        <w:t xml:space="preserve"> RIZZO &amp; </w:t>
      </w:r>
      <w:proofErr w:type="spellStart"/>
      <w:r w:rsidRPr="00831F88">
        <w:rPr>
          <w:rFonts w:ascii="Microsoft Sans Serif" w:eastAsia="Microsoft Sans Serif" w:hAnsi="Microsoft Sans Serif" w:cs="Microsoft Sans Serif"/>
          <w:szCs w:val="22"/>
        </w:rPr>
        <w:t>DARNALL</w:t>
      </w:r>
      <w:proofErr w:type="spellEnd"/>
      <w:r w:rsidRPr="00831F88">
        <w:rPr>
          <w:rFonts w:ascii="Microsoft Sans Serif" w:eastAsia="Microsoft Sans Serif" w:hAnsi="Microsoft Sans Serif" w:cs="Microsoft Sans Serif"/>
          <w:szCs w:val="22"/>
        </w:rPr>
        <w:cr/>
        <w:t>2929 ARCH STREET 13TH FLOOR</w:t>
      </w:r>
      <w:r w:rsidRPr="00831F88">
        <w:rPr>
          <w:rFonts w:ascii="Microsoft Sans Serif" w:eastAsia="Microsoft Sans Serif" w:hAnsi="Microsoft Sans Serif" w:cs="Microsoft Sans Serif"/>
          <w:szCs w:val="22"/>
        </w:rPr>
        <w:cr/>
        <w:t>PHILADELPHIA PA  19104</w:t>
      </w:r>
      <w:r w:rsidRPr="00831F88">
        <w:rPr>
          <w:rFonts w:ascii="Microsoft Sans Serif" w:eastAsia="Microsoft Sans Serif" w:hAnsi="Microsoft Sans Serif" w:cs="Microsoft Sans Serif"/>
          <w:szCs w:val="22"/>
        </w:rPr>
        <w:cr/>
      </w:r>
      <w:r w:rsidRPr="00831F88">
        <w:rPr>
          <w:rFonts w:ascii="Microsoft Sans Serif" w:eastAsia="Microsoft Sans Serif" w:hAnsi="Microsoft Sans Serif" w:cs="Microsoft Sans Serif"/>
          <w:b/>
          <w:szCs w:val="22"/>
        </w:rPr>
        <w:t>215.495.6524</w:t>
      </w:r>
      <w:r w:rsidRPr="00831F88">
        <w:rPr>
          <w:rFonts w:ascii="Microsoft Sans Serif" w:eastAsia="Microsoft Sans Serif" w:hAnsi="Microsoft Sans Serif" w:cs="Microsoft Sans Serif"/>
          <w:b/>
          <w:szCs w:val="22"/>
        </w:rPr>
        <w:cr/>
      </w:r>
      <w:r w:rsidRPr="00831F88">
        <w:rPr>
          <w:rFonts w:ascii="Microsoft Sans Serif" w:eastAsia="Microsoft Sans Serif" w:hAnsi="Microsoft Sans Serif" w:cs="Microsoft Sans Serif"/>
          <w:b/>
          <w:i/>
          <w:szCs w:val="22"/>
          <w:u w:val="single"/>
        </w:rPr>
        <w:t>ACCEPTS E-SERVICE</w:t>
      </w:r>
    </w:p>
    <w:p w14:paraId="5DB9A85C" w14:textId="2F0FF532" w:rsidR="00450B8D" w:rsidRDefault="00450B8D"/>
    <w:sectPr w:rsidR="00450B8D" w:rsidSect="00831F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DCA32" w14:textId="77777777" w:rsidR="001B1E21" w:rsidRDefault="001B1E21" w:rsidP="00450B8D">
      <w:pPr>
        <w:spacing w:line="240" w:lineRule="auto"/>
      </w:pPr>
      <w:r>
        <w:separator/>
      </w:r>
    </w:p>
  </w:endnote>
  <w:endnote w:type="continuationSeparator" w:id="0">
    <w:p w14:paraId="041A3102" w14:textId="77777777" w:rsidR="001B1E21" w:rsidRDefault="001B1E21" w:rsidP="00450B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3024697"/>
      <w:docPartObj>
        <w:docPartGallery w:val="Page Numbers (Bottom of Page)"/>
        <w:docPartUnique/>
      </w:docPartObj>
    </w:sdtPr>
    <w:sdtEndPr>
      <w:rPr>
        <w:noProof/>
      </w:rPr>
    </w:sdtEndPr>
    <w:sdtContent>
      <w:p w14:paraId="05395836" w14:textId="1DD87740" w:rsidR="00831F88" w:rsidRDefault="00831F88">
        <w:pPr>
          <w:pStyle w:val="Footer"/>
          <w:jc w:val="center"/>
        </w:pPr>
        <w:r w:rsidRPr="00831F88">
          <w:rPr>
            <w:sz w:val="20"/>
          </w:rPr>
          <w:fldChar w:fldCharType="begin"/>
        </w:r>
        <w:r w:rsidRPr="00831F88">
          <w:rPr>
            <w:sz w:val="20"/>
          </w:rPr>
          <w:instrText xml:space="preserve"> PAGE   \* MERGEFORMAT </w:instrText>
        </w:r>
        <w:r w:rsidRPr="00831F88">
          <w:rPr>
            <w:sz w:val="20"/>
          </w:rPr>
          <w:fldChar w:fldCharType="separate"/>
        </w:r>
        <w:r w:rsidRPr="00831F88">
          <w:rPr>
            <w:noProof/>
            <w:sz w:val="20"/>
          </w:rPr>
          <w:t>2</w:t>
        </w:r>
        <w:r w:rsidRPr="00831F88">
          <w:rPr>
            <w:noProof/>
            <w:sz w:val="20"/>
          </w:rPr>
          <w:fldChar w:fldCharType="end"/>
        </w:r>
      </w:p>
    </w:sdtContent>
  </w:sdt>
  <w:p w14:paraId="1A5B103E" w14:textId="77777777" w:rsidR="00831F88" w:rsidRDefault="00831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C323C" w14:textId="77777777" w:rsidR="001B1E21" w:rsidRDefault="001B1E21" w:rsidP="00450B8D">
      <w:pPr>
        <w:spacing w:line="240" w:lineRule="auto"/>
      </w:pPr>
      <w:r>
        <w:separator/>
      </w:r>
    </w:p>
  </w:footnote>
  <w:footnote w:type="continuationSeparator" w:id="0">
    <w:p w14:paraId="7134FA17" w14:textId="77777777" w:rsidR="001B1E21" w:rsidRDefault="001B1E21" w:rsidP="00450B8D">
      <w:pPr>
        <w:spacing w:line="240" w:lineRule="auto"/>
      </w:pPr>
      <w:r>
        <w:continuationSeparator/>
      </w:r>
    </w:p>
  </w:footnote>
  <w:footnote w:id="1">
    <w:p w14:paraId="32E39CAC" w14:textId="2D45ED67" w:rsidR="00450B8D" w:rsidRDefault="00450B8D" w:rsidP="00FD1168">
      <w:pPr>
        <w:pStyle w:val="FootnoteText"/>
        <w:tabs>
          <w:tab w:val="clear" w:pos="1440"/>
        </w:tabs>
        <w:jc w:val="left"/>
      </w:pPr>
      <w:r>
        <w:rPr>
          <w:rStyle w:val="FootnoteReference"/>
        </w:rPr>
        <w:footnoteRef/>
      </w:r>
      <w:r w:rsidR="00F947D9">
        <w:t xml:space="preserve"> </w:t>
      </w:r>
      <w:r w:rsidR="00F947D9">
        <w:tab/>
      </w:r>
      <w:r>
        <w:t>52 Pa.Code § 5.101(a).</w:t>
      </w:r>
    </w:p>
    <w:p w14:paraId="6EB14DCD" w14:textId="77777777" w:rsidR="00FD1168" w:rsidRDefault="00FD1168" w:rsidP="00FD1168">
      <w:pPr>
        <w:pStyle w:val="FootnoteText"/>
        <w:tabs>
          <w:tab w:val="clear" w:pos="1440"/>
        </w:tabs>
        <w:jc w:val="left"/>
      </w:pPr>
    </w:p>
  </w:footnote>
  <w:footnote w:id="2">
    <w:p w14:paraId="60FE335F" w14:textId="230292F5" w:rsidR="00450B8D" w:rsidRDefault="00450B8D" w:rsidP="00FD1168">
      <w:pPr>
        <w:pStyle w:val="FootnoteText"/>
        <w:tabs>
          <w:tab w:val="clear" w:pos="1440"/>
        </w:tabs>
        <w:jc w:val="left"/>
      </w:pPr>
      <w:r>
        <w:rPr>
          <w:rStyle w:val="FootnoteReference"/>
        </w:rPr>
        <w:footnoteRef/>
      </w:r>
      <w:r>
        <w:t xml:space="preserve"> </w:t>
      </w:r>
      <w:r w:rsidR="00F947D9">
        <w:tab/>
      </w:r>
      <w:r w:rsidRPr="000E2B4C">
        <w:rPr>
          <w:i/>
        </w:rPr>
        <w:t>Equitable Small Transportation Intervenors v. Equitable Gas Company</w:t>
      </w:r>
      <w:r>
        <w:t xml:space="preserve">, 1994 Pa. PUC LEXIS 69, Docket No. C-00935435 (July 18, 1994).  </w:t>
      </w:r>
    </w:p>
    <w:p w14:paraId="34CC809E" w14:textId="77777777" w:rsidR="00FD1168" w:rsidRDefault="00FD1168" w:rsidP="00FD1168">
      <w:pPr>
        <w:pStyle w:val="FootnoteText"/>
        <w:tabs>
          <w:tab w:val="clear" w:pos="1440"/>
        </w:tabs>
        <w:jc w:val="left"/>
      </w:pPr>
    </w:p>
  </w:footnote>
  <w:footnote w:id="3">
    <w:p w14:paraId="1305A8E5" w14:textId="246F0F68" w:rsidR="00450B8D" w:rsidRDefault="00450B8D" w:rsidP="00FD1168">
      <w:pPr>
        <w:pStyle w:val="FootnoteText"/>
        <w:tabs>
          <w:tab w:val="clear" w:pos="1440"/>
        </w:tabs>
        <w:jc w:val="left"/>
      </w:pPr>
      <w:r>
        <w:rPr>
          <w:rStyle w:val="FootnoteReference"/>
        </w:rPr>
        <w:footnoteRef/>
      </w:r>
      <w:r>
        <w:t xml:space="preserve"> </w:t>
      </w:r>
      <w:r>
        <w:tab/>
      </w:r>
      <w:r>
        <w:rPr>
          <w:i/>
        </w:rPr>
        <w:t>Dept. of Auditor General v. SERS</w:t>
      </w:r>
      <w:r w:rsidRPr="00AB2BD8">
        <w:t>,</w:t>
      </w:r>
      <w:r>
        <w:t xml:space="preserve"> 836 A.2d 1053, 1064 (Pa.Cmwlth. 2003); </w:t>
      </w:r>
      <w:r w:rsidRPr="00B908F9">
        <w:rPr>
          <w:i/>
        </w:rPr>
        <w:t>P.J.S. v. Pa. State Ethics Comm’n</w:t>
      </w:r>
      <w:r>
        <w:t>, 669 A.2d 1105 (Pa.Cmwlth. 1996).</w:t>
      </w:r>
      <w:bookmarkStart w:id="0" w:name="_GoBack"/>
      <w:bookmarkEnd w:id="0"/>
    </w:p>
    <w:p w14:paraId="53AED2BC" w14:textId="77777777" w:rsidR="00FD1168" w:rsidRDefault="00FD1168" w:rsidP="00FD1168">
      <w:pPr>
        <w:pStyle w:val="FootnoteText"/>
        <w:tabs>
          <w:tab w:val="clear" w:pos="1440"/>
        </w:tabs>
        <w:jc w:val="left"/>
      </w:pPr>
    </w:p>
  </w:footnote>
  <w:footnote w:id="4">
    <w:p w14:paraId="04C52DE6" w14:textId="77777777" w:rsidR="00FD1168" w:rsidRDefault="00450B8D" w:rsidP="00FD1168">
      <w:pPr>
        <w:pStyle w:val="FootnoteText"/>
        <w:tabs>
          <w:tab w:val="clear" w:pos="1440"/>
        </w:tabs>
        <w:jc w:val="left"/>
      </w:pPr>
      <w:r>
        <w:rPr>
          <w:rStyle w:val="FootnoteReference"/>
        </w:rPr>
        <w:footnoteRef/>
      </w:r>
      <w:r>
        <w:t xml:space="preserve"> </w:t>
      </w:r>
      <w:r>
        <w:tab/>
      </w:r>
      <w:r w:rsidRPr="00B908F9">
        <w:rPr>
          <w:i/>
        </w:rPr>
        <w:t>Boyd v. Ward</w:t>
      </w:r>
      <w:r>
        <w:t>, 802 A.2d 705 (Pa.Cmwlth. 2002).</w:t>
      </w:r>
    </w:p>
    <w:p w14:paraId="5B2D0373" w14:textId="74D75AD9" w:rsidR="00450B8D" w:rsidRDefault="00450B8D" w:rsidP="00FD1168">
      <w:pPr>
        <w:pStyle w:val="FootnoteText"/>
        <w:tabs>
          <w:tab w:val="clear" w:pos="1440"/>
        </w:tabs>
        <w:jc w:val="left"/>
      </w:pPr>
      <w:r>
        <w:t xml:space="preserve">  </w:t>
      </w:r>
    </w:p>
  </w:footnote>
  <w:footnote w:id="5">
    <w:p w14:paraId="68EA3DB3" w14:textId="1B7E75CC" w:rsidR="00450B8D" w:rsidRDefault="00450B8D" w:rsidP="00FD1168">
      <w:pPr>
        <w:pStyle w:val="FootnoteText"/>
        <w:tabs>
          <w:tab w:val="clear" w:pos="1440"/>
        </w:tabs>
        <w:jc w:val="left"/>
      </w:pPr>
      <w:r>
        <w:rPr>
          <w:rStyle w:val="FootnoteReference"/>
        </w:rPr>
        <w:footnoteRef/>
      </w:r>
      <w:r>
        <w:t xml:space="preserve">  </w:t>
      </w:r>
      <w:r>
        <w:tab/>
      </w:r>
      <w:r w:rsidRPr="00D30C1A">
        <w:rPr>
          <w:i/>
        </w:rPr>
        <w:t>County of Allegheny v. Commw</w:t>
      </w:r>
      <w:proofErr w:type="gramStart"/>
      <w:r w:rsidRPr="00D30C1A">
        <w:rPr>
          <w:i/>
        </w:rPr>
        <w:t xml:space="preserve">. </w:t>
      </w:r>
      <w:proofErr w:type="gramEnd"/>
      <w:r w:rsidRPr="00D30C1A">
        <w:rPr>
          <w:i/>
        </w:rPr>
        <w:t>of Pa</w:t>
      </w:r>
      <w:r>
        <w:t xml:space="preserve">., 490 A.2d 402 (Pa. 1985); </w:t>
      </w:r>
      <w:r w:rsidRPr="00D30C1A">
        <w:rPr>
          <w:i/>
        </w:rPr>
        <w:t>Pennsylvania State Lodge, Fraternal Order of Police v. Dept. of Conservation and Natural Resources</w:t>
      </w:r>
      <w:r>
        <w:t>, 909 A.2d 413 (Pa.Cmwlth</w:t>
      </w:r>
      <w:proofErr w:type="gramStart"/>
      <w:r>
        <w:t xml:space="preserve">. </w:t>
      </w:r>
      <w:proofErr w:type="gramEnd"/>
      <w:r>
        <w:t xml:space="preserve">2006), </w:t>
      </w:r>
      <w:r w:rsidRPr="000F30CA">
        <w:rPr>
          <w:i/>
        </w:rPr>
        <w:t>aff’d per curi</w:t>
      </w:r>
      <w:r w:rsidR="00945434" w:rsidRPr="000F30CA">
        <w:rPr>
          <w:i/>
        </w:rPr>
        <w:t>a</w:t>
      </w:r>
      <w:r w:rsidRPr="000F30CA">
        <w:rPr>
          <w:i/>
        </w:rPr>
        <w:t>m</w:t>
      </w:r>
      <w:r>
        <w:t xml:space="preserve">,  924 A.2d 1203 (Pa. 2007); </w:t>
      </w:r>
      <w:r w:rsidRPr="00FD1168">
        <w:rPr>
          <w:i/>
        </w:rPr>
        <w:t>see also</w:t>
      </w:r>
      <w:r w:rsidRPr="00AD6EF1">
        <w:t xml:space="preserve"> </w:t>
      </w:r>
      <w:r w:rsidRPr="00D30C1A">
        <w:rPr>
          <w:i/>
        </w:rPr>
        <w:t>Glod v. PECO Energy Company</w:t>
      </w:r>
      <w:r>
        <w:t>,  Docket No. C-2012-2305158 (Interim Order dated July 2, 2012).</w:t>
      </w:r>
    </w:p>
    <w:p w14:paraId="5D79D126" w14:textId="77777777" w:rsidR="00FD1168" w:rsidRPr="00B62C0F" w:rsidRDefault="00FD1168" w:rsidP="00FD1168">
      <w:pPr>
        <w:pStyle w:val="FootnoteText"/>
        <w:tabs>
          <w:tab w:val="clear" w:pos="1440"/>
        </w:tabs>
        <w:jc w:val="left"/>
      </w:pPr>
    </w:p>
  </w:footnote>
  <w:footnote w:id="6">
    <w:p w14:paraId="76C0893A" w14:textId="77777777" w:rsidR="00FD1168" w:rsidRDefault="00450B8D" w:rsidP="00FD1168">
      <w:pPr>
        <w:pStyle w:val="FootnoteText"/>
        <w:tabs>
          <w:tab w:val="clear" w:pos="1440"/>
        </w:tabs>
        <w:jc w:val="left"/>
      </w:pPr>
      <w:r>
        <w:rPr>
          <w:rStyle w:val="FootnoteReference"/>
        </w:rPr>
        <w:footnoteRef/>
      </w:r>
      <w:r>
        <w:t xml:space="preserve"> </w:t>
      </w:r>
      <w:r>
        <w:tab/>
      </w:r>
      <w:r w:rsidRPr="00D30C1A">
        <w:rPr>
          <w:i/>
        </w:rPr>
        <w:t>Ridge v. State Employees’ Retirement Board</w:t>
      </w:r>
      <w:r>
        <w:t>, 690 A.2d 1312 (Pa.Cmwlth</w:t>
      </w:r>
      <w:proofErr w:type="gramStart"/>
      <w:r>
        <w:t xml:space="preserve">. </w:t>
      </w:r>
      <w:proofErr w:type="gramEnd"/>
      <w:r>
        <w:t>1997).</w:t>
      </w:r>
    </w:p>
    <w:p w14:paraId="7D4DDD95" w14:textId="255987EE" w:rsidR="00450B8D" w:rsidRDefault="00450B8D" w:rsidP="00FD1168">
      <w:pPr>
        <w:pStyle w:val="FootnoteText"/>
        <w:tabs>
          <w:tab w:val="clear" w:pos="1440"/>
        </w:tabs>
        <w:jc w:val="left"/>
      </w:pPr>
      <w:r>
        <w:t xml:space="preserve"> </w:t>
      </w:r>
    </w:p>
  </w:footnote>
  <w:footnote w:id="7">
    <w:p w14:paraId="2F3A8A00" w14:textId="77777777" w:rsidR="00450B8D" w:rsidRPr="00297F80" w:rsidRDefault="00450B8D" w:rsidP="00FD1168">
      <w:pPr>
        <w:pStyle w:val="FootnoteText"/>
        <w:tabs>
          <w:tab w:val="clear" w:pos="1440"/>
        </w:tabs>
        <w:jc w:val="left"/>
      </w:pPr>
      <w:r>
        <w:rPr>
          <w:rStyle w:val="FootnoteReference"/>
        </w:rPr>
        <w:footnoteRef/>
      </w:r>
      <w:r>
        <w:t xml:space="preserve">  </w:t>
      </w:r>
      <w:r>
        <w:tab/>
      </w:r>
      <w:r w:rsidRPr="00945434">
        <w:rPr>
          <w:i/>
        </w:rPr>
        <w:t>Interstate Traveller Services, Inc. v. Pa. Department of Environmental Resources</w:t>
      </w:r>
      <w:r>
        <w:t xml:space="preserve">, 406 A.2d 1020 (Pa. 1979); </w:t>
      </w:r>
      <w:r w:rsidRPr="00AD6EF1">
        <w:t>Application of K&amp;F Medical Transport</w:t>
      </w:r>
      <w:r>
        <w:t>, LLC, PUC Docket No. A-2008-2020353 (Initial Decision dated April 25, 2008).</w:t>
      </w:r>
    </w:p>
  </w:footnote>
  <w:footnote w:id="8">
    <w:p w14:paraId="73CCF8FD" w14:textId="49020EFF" w:rsidR="00450B8D" w:rsidRDefault="00450B8D" w:rsidP="00FD1168">
      <w:pPr>
        <w:pStyle w:val="FootnoteText"/>
        <w:tabs>
          <w:tab w:val="clear" w:pos="1440"/>
        </w:tabs>
        <w:jc w:val="left"/>
        <w:rPr>
          <w:rStyle w:val="Hyperlink"/>
          <w:color w:val="auto"/>
        </w:rPr>
      </w:pPr>
      <w:r>
        <w:rPr>
          <w:rStyle w:val="FootnoteReference"/>
        </w:rPr>
        <w:footnoteRef/>
      </w:r>
      <w:r>
        <w:t xml:space="preserve"> </w:t>
      </w:r>
      <w:r>
        <w:tab/>
      </w:r>
      <w:r w:rsidRPr="00FD1168">
        <w:rPr>
          <w:i/>
        </w:rPr>
        <w:t>Feingold v. Bell of Pa</w:t>
      </w:r>
      <w:r w:rsidR="00FD1168" w:rsidRPr="00FD1168">
        <w:rPr>
          <w:i/>
        </w:rPr>
        <w:t>.</w:t>
      </w:r>
      <w:r w:rsidRPr="00353293">
        <w:t>, 383 A.2d 791 (</w:t>
      </w:r>
      <w:r>
        <w:t xml:space="preserve">Pa. </w:t>
      </w:r>
      <w:r w:rsidRPr="00353293">
        <w:t xml:space="preserve">1977); </w:t>
      </w:r>
      <w:r w:rsidRPr="00AC5EC1">
        <w:t>Allegheny County Port Authority v. Pa. P.U.C.</w:t>
      </w:r>
      <w:r w:rsidRPr="00353293">
        <w:t>, 237 A.2d 602 (</w:t>
      </w:r>
      <w:r>
        <w:t xml:space="preserve">Pa. </w:t>
      </w:r>
      <w:r w:rsidRPr="00353293">
        <w:t>1967).</w:t>
      </w:r>
      <w:r>
        <w:t xml:space="preserve">  </w:t>
      </w:r>
      <w:r w:rsidRPr="00FD1168">
        <w:rPr>
          <w:i/>
        </w:rPr>
        <w:t>See also</w:t>
      </w:r>
      <w:r>
        <w:rPr>
          <w:rFonts w:ascii="Verdana" w:hAnsi="Verdana"/>
          <w:iCs/>
          <w:color w:val="333333"/>
        </w:rPr>
        <w:t xml:space="preserve"> </w:t>
      </w:r>
      <w:hyperlink r:id="rId1" w:history="1">
        <w:r w:rsidRPr="00940F66">
          <w:rPr>
            <w:rStyle w:val="Hyperlink"/>
            <w:i/>
            <w:iCs/>
            <w:color w:val="auto"/>
          </w:rPr>
          <w:t>Department of Environmental Resources v. Butler County Mushroom Farm</w:t>
        </w:r>
        <w:r w:rsidRPr="00940F66">
          <w:rPr>
            <w:rStyle w:val="Hyperlink"/>
            <w:color w:val="auto"/>
          </w:rPr>
          <w:t>, 454 A.2d 1, 4 (Pa. 1982),</w:t>
        </w:r>
      </w:hyperlink>
      <w:r w:rsidRPr="00940F66">
        <w:t xml:space="preserve"> and </w:t>
      </w:r>
      <w:hyperlink r:id="rId2" w:history="1">
        <w:r w:rsidRPr="00940F66">
          <w:rPr>
            <w:rStyle w:val="Hyperlink"/>
            <w:i/>
            <w:iCs/>
            <w:color w:val="auto"/>
          </w:rPr>
          <w:t>Pequea Township v. Department of Environmental Protection</w:t>
        </w:r>
        <w:r w:rsidRPr="00940F66">
          <w:rPr>
            <w:rStyle w:val="Hyperlink"/>
            <w:color w:val="auto"/>
          </w:rPr>
          <w:t>, 716 A.2d 678, 686 (Pa.Cmwlth. 1998).</w:t>
        </w:r>
      </w:hyperlink>
    </w:p>
    <w:p w14:paraId="6F061E15" w14:textId="77777777" w:rsidR="00FD1168" w:rsidRPr="00940F66" w:rsidRDefault="00FD1168" w:rsidP="00FD1168">
      <w:pPr>
        <w:pStyle w:val="FootnoteText"/>
        <w:tabs>
          <w:tab w:val="clear" w:pos="1440"/>
        </w:tabs>
        <w:jc w:val="left"/>
      </w:pPr>
    </w:p>
  </w:footnote>
  <w:footnote w:id="9">
    <w:p w14:paraId="1978FDB2" w14:textId="2209E8ED" w:rsidR="00450B8D" w:rsidRDefault="00450B8D" w:rsidP="00FD1168">
      <w:pPr>
        <w:pStyle w:val="FootnoteText"/>
        <w:tabs>
          <w:tab w:val="clear" w:pos="1440"/>
        </w:tabs>
        <w:jc w:val="left"/>
      </w:pPr>
      <w:r>
        <w:rPr>
          <w:rStyle w:val="FootnoteReference"/>
        </w:rPr>
        <w:footnoteRef/>
      </w:r>
      <w:r>
        <w:t xml:space="preserve"> </w:t>
      </w:r>
      <w:r>
        <w:tab/>
      </w:r>
      <w:r w:rsidRPr="00AC5EC1">
        <w:rPr>
          <w:i/>
        </w:rPr>
        <w:t>City of Pittsburgh v. Pa. P.U.C</w:t>
      </w:r>
      <w:r w:rsidRPr="00AC5EC1">
        <w:t>.</w:t>
      </w:r>
      <w:r>
        <w:t>,</w:t>
      </w:r>
      <w:r w:rsidRPr="00353293">
        <w:t xml:space="preserve"> 43 A.2d 348 (</w:t>
      </w:r>
      <w:r>
        <w:t>Pa.Cmwlth</w:t>
      </w:r>
      <w:proofErr w:type="gramStart"/>
      <w:r>
        <w:t xml:space="preserve">. </w:t>
      </w:r>
      <w:proofErr w:type="gramEnd"/>
      <w:r w:rsidRPr="00353293">
        <w:t>1945).</w:t>
      </w:r>
    </w:p>
    <w:p w14:paraId="7139947A" w14:textId="77777777" w:rsidR="00FD1168" w:rsidRDefault="00FD1168" w:rsidP="00FD1168">
      <w:pPr>
        <w:pStyle w:val="FootnoteText"/>
        <w:tabs>
          <w:tab w:val="clear" w:pos="1440"/>
        </w:tabs>
        <w:jc w:val="left"/>
      </w:pPr>
    </w:p>
  </w:footnote>
  <w:footnote w:id="10">
    <w:p w14:paraId="51A94BD6" w14:textId="58BCF67A" w:rsidR="00450B8D" w:rsidRDefault="00450B8D" w:rsidP="00FD1168">
      <w:pPr>
        <w:pStyle w:val="FootnoteText"/>
        <w:tabs>
          <w:tab w:val="clear" w:pos="1440"/>
        </w:tabs>
        <w:jc w:val="left"/>
      </w:pPr>
      <w:r>
        <w:rPr>
          <w:rStyle w:val="FootnoteReference"/>
        </w:rPr>
        <w:footnoteRef/>
      </w:r>
      <w:r>
        <w:t xml:space="preserve"> </w:t>
      </w:r>
      <w:r>
        <w:tab/>
      </w:r>
      <w:r w:rsidRPr="00AC5EC1">
        <w:rPr>
          <w:i/>
        </w:rPr>
        <w:t>Roberts v. Matorano</w:t>
      </w:r>
      <w:r w:rsidRPr="00353293">
        <w:t>, 235 A.2d 602 (</w:t>
      </w:r>
      <w:r>
        <w:t xml:space="preserve">Pa. </w:t>
      </w:r>
      <w:r w:rsidRPr="00353293">
        <w:t>1967).</w:t>
      </w:r>
    </w:p>
    <w:p w14:paraId="6448810E" w14:textId="77777777" w:rsidR="00FD1168" w:rsidRDefault="00FD1168" w:rsidP="00FD1168">
      <w:pPr>
        <w:pStyle w:val="FootnoteText"/>
        <w:tabs>
          <w:tab w:val="clear" w:pos="1440"/>
        </w:tabs>
        <w:jc w:val="left"/>
      </w:pPr>
    </w:p>
  </w:footnote>
  <w:footnote w:id="11">
    <w:p w14:paraId="66CF3718" w14:textId="304368C1" w:rsidR="00450B8D" w:rsidRDefault="00450B8D" w:rsidP="00FD1168">
      <w:pPr>
        <w:pStyle w:val="FootnoteText"/>
        <w:tabs>
          <w:tab w:val="clear" w:pos="1440"/>
        </w:tabs>
        <w:jc w:val="left"/>
      </w:pPr>
      <w:r>
        <w:rPr>
          <w:rStyle w:val="FootnoteReference"/>
        </w:rPr>
        <w:footnoteRef/>
      </w:r>
      <w:r>
        <w:t xml:space="preserve"> </w:t>
      </w:r>
      <w:r>
        <w:tab/>
      </w:r>
      <w:r w:rsidRPr="00AC5EC1">
        <w:rPr>
          <w:i/>
        </w:rPr>
        <w:t>Hughes v. Pa. State Police</w:t>
      </w:r>
      <w:r w:rsidRPr="00353293">
        <w:t>, 619 A.2d 390 (</w:t>
      </w:r>
      <w:r>
        <w:t>Pa.Cmwlth</w:t>
      </w:r>
      <w:proofErr w:type="gramStart"/>
      <w:r>
        <w:t xml:space="preserve">. </w:t>
      </w:r>
      <w:proofErr w:type="gramEnd"/>
      <w:r w:rsidRPr="00353293">
        <w:t xml:space="preserve">1992), </w:t>
      </w:r>
      <w:r w:rsidRPr="00353293">
        <w:rPr>
          <w:i/>
        </w:rPr>
        <w:t xml:space="preserve">alloc. den., </w:t>
      </w:r>
      <w:r w:rsidRPr="00353293">
        <w:t>637 A.2d 293 (1993).</w:t>
      </w:r>
    </w:p>
    <w:p w14:paraId="251686D6" w14:textId="77777777" w:rsidR="00FD1168" w:rsidRDefault="00FD1168" w:rsidP="00FD1168">
      <w:pPr>
        <w:pStyle w:val="FootnoteText"/>
        <w:tabs>
          <w:tab w:val="clear" w:pos="1440"/>
        </w:tabs>
        <w:jc w:val="left"/>
      </w:pPr>
    </w:p>
  </w:footnote>
  <w:footnote w:id="12">
    <w:p w14:paraId="09C1B703" w14:textId="280676CF" w:rsidR="00357E31" w:rsidRDefault="00357E31" w:rsidP="00FD1168">
      <w:pPr>
        <w:pStyle w:val="FootnoteText"/>
        <w:tabs>
          <w:tab w:val="clear" w:pos="1440"/>
        </w:tabs>
        <w:jc w:val="left"/>
      </w:pPr>
      <w:r>
        <w:rPr>
          <w:rStyle w:val="FootnoteReference"/>
        </w:rPr>
        <w:footnoteRef/>
      </w:r>
      <w:r>
        <w:t xml:space="preserve"> </w:t>
      </w:r>
      <w:r w:rsidR="003E021C">
        <w:tab/>
      </w:r>
      <w:r>
        <w:rPr>
          <w:i/>
        </w:rPr>
        <w:t>Bernardi v. West Penn Power,</w:t>
      </w:r>
      <w:r>
        <w:t xml:space="preserve"> Docket </w:t>
      </w:r>
      <w:r w:rsidR="00FD1168">
        <w:t xml:space="preserve">No. </w:t>
      </w:r>
      <w:r>
        <w:t>C-2014-2453852 (Opinion and Order entered May 5, 2016)</w:t>
      </w:r>
      <w:r w:rsidRPr="00450B8D">
        <w:t>(</w:t>
      </w:r>
      <w:r w:rsidRPr="00357E31">
        <w:rPr>
          <w:i/>
        </w:rPr>
        <w:t>citing</w:t>
      </w:r>
      <w:r w:rsidRPr="00450B8D">
        <w:t xml:space="preserve"> 66 Pa.C.S. § 1501</w:t>
      </w:r>
      <w:r>
        <w:t>).</w:t>
      </w:r>
    </w:p>
    <w:p w14:paraId="1B08A178" w14:textId="77777777" w:rsidR="00FD1168" w:rsidRDefault="00FD1168" w:rsidP="00FD1168">
      <w:pPr>
        <w:pStyle w:val="FootnoteText"/>
        <w:tabs>
          <w:tab w:val="clear" w:pos="1440"/>
        </w:tabs>
        <w:jc w:val="left"/>
      </w:pPr>
    </w:p>
  </w:footnote>
  <w:footnote w:id="13">
    <w:p w14:paraId="4C08C4EC" w14:textId="5448EC7D" w:rsidR="00450B8D" w:rsidRDefault="00450B8D" w:rsidP="00FD1168">
      <w:pPr>
        <w:pStyle w:val="FootnoteText"/>
        <w:tabs>
          <w:tab w:val="clear" w:pos="1440"/>
        </w:tabs>
        <w:jc w:val="left"/>
      </w:pPr>
      <w:r>
        <w:rPr>
          <w:rStyle w:val="FootnoteReference"/>
        </w:rPr>
        <w:footnoteRef/>
      </w:r>
      <w:r>
        <w:t xml:space="preserve">  </w:t>
      </w:r>
      <w:r>
        <w:tab/>
      </w:r>
      <w:r w:rsidRPr="00450B8D">
        <w:rPr>
          <w:i/>
        </w:rPr>
        <w:t>Wilson v. Columbia Gas of Pennsylvania, Inc</w:t>
      </w:r>
      <w:r>
        <w:t xml:space="preserve">., Docket </w:t>
      </w:r>
      <w:r w:rsidR="00621C88">
        <w:t>No.</w:t>
      </w:r>
      <w:r>
        <w:t>C-2013-2367375 (Opinion and Order entered December 19, 2013)(</w:t>
      </w:r>
      <w:r>
        <w:rPr>
          <w:i/>
        </w:rPr>
        <w:t>citing</w:t>
      </w:r>
      <w:r>
        <w:t xml:space="preserve">  </w:t>
      </w:r>
      <w:r w:rsidRPr="00450B8D">
        <w:rPr>
          <w:i/>
        </w:rPr>
        <w:t>Veahman v. Duquesne Light Company</w:t>
      </w:r>
      <w:r w:rsidRPr="00450B8D">
        <w:t>, C-2009-2093363 (Order entered December 7, 2009)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8D"/>
    <w:rsid w:val="00004C37"/>
    <w:rsid w:val="000066B3"/>
    <w:rsid w:val="00066D87"/>
    <w:rsid w:val="000E3EDE"/>
    <w:rsid w:val="000F30CA"/>
    <w:rsid w:val="00107E82"/>
    <w:rsid w:val="001A21B6"/>
    <w:rsid w:val="001B1CBA"/>
    <w:rsid w:val="001B1E21"/>
    <w:rsid w:val="001D2AF7"/>
    <w:rsid w:val="00207743"/>
    <w:rsid w:val="00213167"/>
    <w:rsid w:val="002512F9"/>
    <w:rsid w:val="003145FA"/>
    <w:rsid w:val="00357E31"/>
    <w:rsid w:val="00367A41"/>
    <w:rsid w:val="00393C92"/>
    <w:rsid w:val="003A3E09"/>
    <w:rsid w:val="003E021C"/>
    <w:rsid w:val="00417566"/>
    <w:rsid w:val="004449F5"/>
    <w:rsid w:val="00450B8D"/>
    <w:rsid w:val="004D0E0F"/>
    <w:rsid w:val="004D523C"/>
    <w:rsid w:val="005A0E29"/>
    <w:rsid w:val="005A1C17"/>
    <w:rsid w:val="005A2ABA"/>
    <w:rsid w:val="005D180A"/>
    <w:rsid w:val="005E7B69"/>
    <w:rsid w:val="0061775F"/>
    <w:rsid w:val="00621C88"/>
    <w:rsid w:val="00665A26"/>
    <w:rsid w:val="00696C0D"/>
    <w:rsid w:val="006C6A0D"/>
    <w:rsid w:val="006F0329"/>
    <w:rsid w:val="00700807"/>
    <w:rsid w:val="00712E58"/>
    <w:rsid w:val="007407AC"/>
    <w:rsid w:val="00755D72"/>
    <w:rsid w:val="00792796"/>
    <w:rsid w:val="00796B64"/>
    <w:rsid w:val="007E6779"/>
    <w:rsid w:val="00820B4C"/>
    <w:rsid w:val="00824E25"/>
    <w:rsid w:val="00831F88"/>
    <w:rsid w:val="0083239D"/>
    <w:rsid w:val="008529D2"/>
    <w:rsid w:val="0088105E"/>
    <w:rsid w:val="00917DCA"/>
    <w:rsid w:val="00945434"/>
    <w:rsid w:val="00972968"/>
    <w:rsid w:val="00A47096"/>
    <w:rsid w:val="00AA2EC5"/>
    <w:rsid w:val="00AB4C73"/>
    <w:rsid w:val="00AE6F47"/>
    <w:rsid w:val="00B91E47"/>
    <w:rsid w:val="00BC232E"/>
    <w:rsid w:val="00BC6B21"/>
    <w:rsid w:val="00C87E57"/>
    <w:rsid w:val="00CD1422"/>
    <w:rsid w:val="00CF6143"/>
    <w:rsid w:val="00D15A4D"/>
    <w:rsid w:val="00D274DE"/>
    <w:rsid w:val="00D30C1A"/>
    <w:rsid w:val="00D63E33"/>
    <w:rsid w:val="00DC73A2"/>
    <w:rsid w:val="00DD5C37"/>
    <w:rsid w:val="00DF35D9"/>
    <w:rsid w:val="00E17D08"/>
    <w:rsid w:val="00E4239A"/>
    <w:rsid w:val="00E83564"/>
    <w:rsid w:val="00EB027A"/>
    <w:rsid w:val="00EC1CBA"/>
    <w:rsid w:val="00EE7801"/>
    <w:rsid w:val="00F11A19"/>
    <w:rsid w:val="00F16554"/>
    <w:rsid w:val="00F544E1"/>
    <w:rsid w:val="00F947D9"/>
    <w:rsid w:val="00FD1168"/>
    <w:rsid w:val="00FD3FCD"/>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00D8"/>
  <w15:chartTrackingRefBased/>
  <w15:docId w15:val="{90159D6C-3F32-49EA-B07A-E9A35C0A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B8D"/>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FD1168"/>
    <w:pPr>
      <w:tabs>
        <w:tab w:val="left" w:pos="1440"/>
      </w:tabs>
      <w:spacing w:line="240" w:lineRule="auto"/>
      <w:jc w:val="both"/>
    </w:pPr>
    <w:rPr>
      <w:rFonts w:eastAsia="Times New Roman"/>
      <w:sz w:val="20"/>
    </w:rPr>
  </w:style>
  <w:style w:type="character" w:customStyle="1" w:styleId="FootnoteTextChar">
    <w:name w:val="Footnote Text Char"/>
    <w:basedOn w:val="DefaultParagraphFont"/>
    <w:link w:val="FootnoteText"/>
    <w:semiHidden/>
    <w:rsid w:val="00FD1168"/>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450B8D"/>
    <w:rPr>
      <w:vertAlign w:val="superscript"/>
    </w:rPr>
  </w:style>
  <w:style w:type="character" w:styleId="Hyperlink">
    <w:name w:val="Hyperlink"/>
    <w:basedOn w:val="DefaultParagraphFont"/>
    <w:uiPriority w:val="99"/>
    <w:semiHidden/>
    <w:unhideWhenUsed/>
    <w:rsid w:val="00450B8D"/>
    <w:rPr>
      <w:strike w:val="0"/>
      <w:dstrike w:val="0"/>
      <w:color w:val="004B91"/>
      <w:u w:val="none"/>
      <w:effect w:val="none"/>
    </w:rPr>
  </w:style>
  <w:style w:type="paragraph" w:styleId="Header">
    <w:name w:val="header"/>
    <w:basedOn w:val="Normal"/>
    <w:link w:val="HeaderChar"/>
    <w:uiPriority w:val="99"/>
    <w:unhideWhenUsed/>
    <w:rsid w:val="00831F88"/>
    <w:pPr>
      <w:tabs>
        <w:tab w:val="center" w:pos="4680"/>
        <w:tab w:val="right" w:pos="9360"/>
      </w:tabs>
      <w:spacing w:line="240" w:lineRule="auto"/>
    </w:pPr>
  </w:style>
  <w:style w:type="character" w:customStyle="1" w:styleId="HeaderChar">
    <w:name w:val="Header Char"/>
    <w:basedOn w:val="DefaultParagraphFont"/>
    <w:link w:val="Header"/>
    <w:uiPriority w:val="99"/>
    <w:rsid w:val="00831F88"/>
    <w:rPr>
      <w:rFonts w:eastAsia="SimSun"/>
    </w:rPr>
  </w:style>
  <w:style w:type="paragraph" w:styleId="Footer">
    <w:name w:val="footer"/>
    <w:basedOn w:val="Normal"/>
    <w:link w:val="FooterChar"/>
    <w:uiPriority w:val="99"/>
    <w:unhideWhenUsed/>
    <w:rsid w:val="00831F88"/>
    <w:pPr>
      <w:tabs>
        <w:tab w:val="center" w:pos="4680"/>
        <w:tab w:val="right" w:pos="9360"/>
      </w:tabs>
      <w:spacing w:line="240" w:lineRule="auto"/>
    </w:pPr>
  </w:style>
  <w:style w:type="character" w:customStyle="1" w:styleId="FooterChar">
    <w:name w:val="Footer Char"/>
    <w:basedOn w:val="DefaultParagraphFont"/>
    <w:link w:val="Footer"/>
    <w:uiPriority w:val="99"/>
    <w:rsid w:val="00831F88"/>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xis.com/research/buttonTFLink?_m=fb36d71eaa374be644e353b4fbc1863f&amp;_xfercite=%3ccite%20cc%3d%22USA%22%3e%3c%21%5bCDATA%5b2001%20E.H.B.%20542%5d%5d%3e%3c%2fcite%3e&amp;_butType=3&amp;_butStat=2&amp;_butNum=8&amp;_butInline=1&amp;_butinfo=%3ccite%20cc%3d%22USA%22%3e%3c%21%5bCDATA%5b716%20A.2d%20678%2cat%20686%5d%5d%3e%3c%2fcite%3e&amp;_fmtstr=FULL&amp;docnum=6&amp;_startdoc=1&amp;wchp=dGLbVzS-zSkAW&amp;_md5=9fa7b1747ae10b93392092855f589b7b" TargetMode="External"/><Relationship Id="rId1" Type="http://schemas.openxmlformats.org/officeDocument/2006/relationships/hyperlink" Target="https://www.lexis.com/research/buttonTFLink?_m=fb36d71eaa374be644e353b4fbc1863f&amp;_xfercite=%3ccite%20cc%3d%22USA%22%3e%3c%21%5bCDATA%5b2001%20E.H.B.%20542%5d%5d%3e%3c%2fcite%3e&amp;_butType=3&amp;_butStat=2&amp;_butNum=7&amp;_butInline=1&amp;_butinfo=%3ccite%20cc%3d%22USA%22%3e%3c%21%5bCDATA%5b454%20A.2d%201%2cat%204%5d%5d%3e%3c%2fcite%3e&amp;_fmtstr=FULL&amp;docnum=6&amp;_startdoc=1&amp;wchp=dGLbVzS-zSkAW&amp;_md5=e20f6886d0323b5ad633b815ecc72d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5</cp:revision>
  <cp:lastPrinted>2019-01-28T17:26:00Z</cp:lastPrinted>
  <dcterms:created xsi:type="dcterms:W3CDTF">2019-01-28T16:14:00Z</dcterms:created>
  <dcterms:modified xsi:type="dcterms:W3CDTF">2019-01-28T17:26:00Z</dcterms:modified>
</cp:coreProperties>
</file>