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DDCDC" w14:textId="77777777" w:rsidR="008038A1" w:rsidRPr="008038A1" w:rsidRDefault="008038A1" w:rsidP="008038A1">
      <w:pPr>
        <w:jc w:val="center"/>
        <w:rPr>
          <w:b/>
        </w:rPr>
      </w:pPr>
      <w:r w:rsidRPr="008038A1">
        <w:rPr>
          <w:b/>
        </w:rPr>
        <w:t>BEFORE THE</w:t>
      </w:r>
    </w:p>
    <w:p w14:paraId="17AED2D2" w14:textId="77777777" w:rsidR="008038A1" w:rsidRPr="008038A1" w:rsidRDefault="008038A1" w:rsidP="008038A1">
      <w:pPr>
        <w:jc w:val="center"/>
      </w:pPr>
      <w:r w:rsidRPr="008038A1">
        <w:rPr>
          <w:b/>
        </w:rPr>
        <w:t>PENNSYLVANIA</w:t>
      </w:r>
      <w:r w:rsidR="004256D5">
        <w:rPr>
          <w:b/>
        </w:rPr>
        <w:t xml:space="preserve"> PUBLIC UTILITY COMMI</w:t>
      </w:r>
      <w:r w:rsidRPr="008038A1">
        <w:rPr>
          <w:b/>
        </w:rPr>
        <w:t>SSION</w:t>
      </w:r>
    </w:p>
    <w:p w14:paraId="28DA6F2C" w14:textId="77777777" w:rsidR="008038A1" w:rsidRPr="008038A1" w:rsidRDefault="008038A1" w:rsidP="008038A1"/>
    <w:p w14:paraId="5EE7BD41" w14:textId="77777777" w:rsidR="008038A1" w:rsidRPr="008038A1" w:rsidRDefault="008038A1" w:rsidP="008038A1"/>
    <w:p w14:paraId="7B545162" w14:textId="77777777" w:rsidR="00CD309F" w:rsidRDefault="00CD309F" w:rsidP="008038A1"/>
    <w:p w14:paraId="6CC31695" w14:textId="77777777" w:rsidR="00CD7D5D" w:rsidRPr="00EA1625" w:rsidRDefault="003945E9" w:rsidP="00CD7D5D">
      <w:r>
        <w:t>Chet and Michele Duffy</w:t>
      </w:r>
      <w:r w:rsidR="00CD7D5D" w:rsidRPr="00EA1625">
        <w:tab/>
      </w:r>
      <w:r w:rsidR="00CD7D5D" w:rsidRPr="00EA1625">
        <w:tab/>
      </w:r>
      <w:r w:rsidR="00CD7D5D" w:rsidRPr="00EA1625">
        <w:tab/>
      </w:r>
      <w:r w:rsidR="00CD7D5D" w:rsidRPr="00EA1625">
        <w:tab/>
        <w:t>:</w:t>
      </w:r>
      <w:r w:rsidR="00CD7D5D" w:rsidRPr="00EA1625">
        <w:tab/>
      </w:r>
    </w:p>
    <w:p w14:paraId="1346473F" w14:textId="77777777" w:rsidR="00CD7D5D" w:rsidRPr="00EA1625" w:rsidRDefault="00CD7D5D" w:rsidP="00CD7D5D">
      <w:r w:rsidRPr="00EA1625">
        <w:tab/>
      </w:r>
      <w:r w:rsidRPr="00EA1625">
        <w:tab/>
      </w:r>
      <w:r w:rsidRPr="00EA1625">
        <w:tab/>
      </w:r>
      <w:r w:rsidRPr="00EA1625">
        <w:tab/>
      </w:r>
      <w:r w:rsidRPr="00EA1625">
        <w:tab/>
      </w:r>
      <w:r w:rsidRPr="00EA1625">
        <w:tab/>
      </w:r>
      <w:r w:rsidRPr="00EA1625">
        <w:tab/>
        <w:t>:</w:t>
      </w:r>
    </w:p>
    <w:p w14:paraId="0A27EBC5" w14:textId="77777777" w:rsidR="00CD7D5D" w:rsidRPr="00EA1625" w:rsidRDefault="00CD7D5D" w:rsidP="00CD7D5D">
      <w:pPr>
        <w:numPr>
          <w:ilvl w:val="0"/>
          <w:numId w:val="1"/>
        </w:numPr>
        <w:ind w:hanging="4320"/>
      </w:pPr>
      <w:r w:rsidRPr="00EA1625">
        <w:t>:</w:t>
      </w:r>
      <w:r w:rsidRPr="00EA1625">
        <w:tab/>
      </w:r>
      <w:r w:rsidRPr="00EA1625">
        <w:tab/>
      </w:r>
      <w:r w:rsidR="003945E9">
        <w:t>C-2018-3004871</w:t>
      </w:r>
    </w:p>
    <w:p w14:paraId="388C9AAA" w14:textId="77777777" w:rsidR="00CD7D5D" w:rsidRPr="00EA1625" w:rsidRDefault="00CD7D5D" w:rsidP="00CD7D5D">
      <w:pPr>
        <w:ind w:left="5040"/>
      </w:pPr>
      <w:r w:rsidRPr="00EA1625">
        <w:t>:</w:t>
      </w:r>
    </w:p>
    <w:p w14:paraId="05164B25" w14:textId="77777777" w:rsidR="00CD7D5D" w:rsidRPr="00EA1625" w:rsidRDefault="003945E9" w:rsidP="00CD7D5D">
      <w:r>
        <w:t>Pennsylvania Power Company</w:t>
      </w:r>
      <w:r w:rsidR="00CD7D5D">
        <w:tab/>
      </w:r>
      <w:r w:rsidR="00CD7D5D" w:rsidRPr="00EA1625">
        <w:t xml:space="preserve"> </w:t>
      </w:r>
      <w:r w:rsidR="00CD7D5D" w:rsidRPr="00EA1625">
        <w:tab/>
      </w:r>
      <w:r w:rsidR="00CD7D5D" w:rsidRPr="00EA1625">
        <w:tab/>
        <w:t>:</w:t>
      </w:r>
    </w:p>
    <w:p w14:paraId="434D86AF" w14:textId="77777777" w:rsidR="00CD7D5D" w:rsidRDefault="00CD7D5D" w:rsidP="00CD7D5D"/>
    <w:p w14:paraId="1034C2EA" w14:textId="77777777" w:rsidR="00CD7D5D" w:rsidRPr="00EA1625" w:rsidRDefault="00CD7D5D" w:rsidP="00CD7D5D"/>
    <w:p w14:paraId="53264E98" w14:textId="77777777" w:rsidR="008409AA" w:rsidRDefault="008409AA" w:rsidP="008038A1"/>
    <w:p w14:paraId="7FA1F0E9" w14:textId="74090D2E" w:rsidR="008038A1" w:rsidRPr="006462F1" w:rsidRDefault="00C21913" w:rsidP="008038A1">
      <w:pPr>
        <w:jc w:val="center"/>
        <w:rPr>
          <w:b/>
          <w:u w:val="single"/>
        </w:rPr>
      </w:pPr>
      <w:r>
        <w:rPr>
          <w:b/>
          <w:u w:val="single"/>
        </w:rPr>
        <w:t>FOURTH</w:t>
      </w:r>
      <w:r w:rsidR="008038A1" w:rsidRPr="006462F1">
        <w:rPr>
          <w:b/>
          <w:u w:val="single"/>
        </w:rPr>
        <w:t xml:space="preserve"> INTERIM ORDER</w:t>
      </w:r>
    </w:p>
    <w:p w14:paraId="21DDA9CE" w14:textId="77777777" w:rsidR="00A13B37" w:rsidRDefault="00A13B37" w:rsidP="006462F1">
      <w:pPr>
        <w:jc w:val="center"/>
      </w:pPr>
      <w:r>
        <w:t xml:space="preserve">Judicial Notice of Facts </w:t>
      </w:r>
    </w:p>
    <w:p w14:paraId="47EB6CC4" w14:textId="77777777" w:rsidR="00A13B37" w:rsidRDefault="00A13B37" w:rsidP="006462F1">
      <w:pPr>
        <w:jc w:val="center"/>
      </w:pPr>
      <w:r>
        <w:t xml:space="preserve">from Prior Proceeding </w:t>
      </w:r>
    </w:p>
    <w:p w14:paraId="3B1E1F1D" w14:textId="4FC80818" w:rsidR="004D6600" w:rsidRDefault="00A13B37" w:rsidP="006462F1">
      <w:pPr>
        <w:jc w:val="center"/>
      </w:pPr>
      <w:r>
        <w:t xml:space="preserve">and </w:t>
      </w:r>
    </w:p>
    <w:p w14:paraId="45E83A34" w14:textId="77777777" w:rsidR="004D6600" w:rsidRDefault="004D6600" w:rsidP="006462F1">
      <w:pPr>
        <w:jc w:val="center"/>
      </w:pPr>
      <w:r>
        <w:t xml:space="preserve">Installation of Internal Meter </w:t>
      </w:r>
    </w:p>
    <w:p w14:paraId="02A416BB" w14:textId="0D9C72AE" w:rsidR="008038A1" w:rsidRDefault="004D6600" w:rsidP="006462F1">
      <w:pPr>
        <w:jc w:val="center"/>
      </w:pPr>
      <w:r>
        <w:t>at Service Address</w:t>
      </w:r>
    </w:p>
    <w:p w14:paraId="6C08AF9D" w14:textId="77777777" w:rsidR="00CD309F" w:rsidRDefault="00CD309F" w:rsidP="008038A1"/>
    <w:p w14:paraId="24461645" w14:textId="77777777" w:rsidR="00CD7D5D" w:rsidRPr="00EA1625" w:rsidRDefault="00CD7D5D" w:rsidP="00CD7D5D">
      <w:pPr>
        <w:rPr>
          <w:u w:val="single"/>
        </w:rPr>
      </w:pPr>
    </w:p>
    <w:p w14:paraId="2FD125C4" w14:textId="77777777" w:rsidR="003945E9" w:rsidRDefault="00CD7D5D" w:rsidP="00CD7D5D">
      <w:pPr>
        <w:spacing w:line="360" w:lineRule="auto"/>
      </w:pPr>
      <w:r w:rsidRPr="00EA1625">
        <w:tab/>
      </w:r>
      <w:r w:rsidRPr="00EA1625">
        <w:tab/>
      </w:r>
      <w:r w:rsidR="00921A9D">
        <w:t xml:space="preserve">On </w:t>
      </w:r>
      <w:r w:rsidR="003945E9">
        <w:t>September 19, 2018</w:t>
      </w:r>
      <w:r w:rsidR="00B73735">
        <w:t xml:space="preserve">, </w:t>
      </w:r>
      <w:r w:rsidR="003945E9">
        <w:t>Chet and Michele Duffy</w:t>
      </w:r>
      <w:r w:rsidRPr="00EA1625">
        <w:t xml:space="preserve"> </w:t>
      </w:r>
      <w:r w:rsidR="00B73735">
        <w:t>(</w:t>
      </w:r>
      <w:r>
        <w:t>Complainant</w:t>
      </w:r>
      <w:r w:rsidR="003945E9">
        <w:t>s</w:t>
      </w:r>
      <w:r>
        <w:t xml:space="preserve">) </w:t>
      </w:r>
      <w:r w:rsidRPr="00EA1625">
        <w:t xml:space="preserve">filed a formal complaint with the Pennsylvania Public </w:t>
      </w:r>
      <w:r w:rsidR="00B73735">
        <w:t>Utility Commission (Commission</w:t>
      </w:r>
      <w:r w:rsidRPr="00EA1625">
        <w:t xml:space="preserve">) against </w:t>
      </w:r>
      <w:r w:rsidR="003945E9">
        <w:t>Pennsylvania Power</w:t>
      </w:r>
      <w:r w:rsidR="00921A9D">
        <w:t xml:space="preserve"> Company</w:t>
      </w:r>
      <w:r w:rsidRPr="00EA1625">
        <w:t xml:space="preserve"> (</w:t>
      </w:r>
      <w:r w:rsidR="00B73735">
        <w:t>P</w:t>
      </w:r>
      <w:r w:rsidR="003945E9">
        <w:t>enn Power</w:t>
      </w:r>
      <w:r w:rsidR="00B73735">
        <w:t xml:space="preserve"> </w:t>
      </w:r>
      <w:r w:rsidRPr="00EA1625">
        <w:t xml:space="preserve">or </w:t>
      </w:r>
      <w:r>
        <w:t>Respondent</w:t>
      </w:r>
      <w:r w:rsidRPr="00EA1625">
        <w:t xml:space="preserve">) alleging </w:t>
      </w:r>
      <w:r w:rsidR="003945E9">
        <w:t>Penn Power was threatening to shut off electric service, had incorrect charges on the billing statements, specifically from December to April every year from 2008 to present, and alleging a reliability, safety or quality problem with the electric service</w:t>
      </w:r>
      <w:r w:rsidR="00921A9D">
        <w:t xml:space="preserve">.  </w:t>
      </w:r>
      <w:r w:rsidRPr="00EA1625">
        <w:t xml:space="preserve"> </w:t>
      </w:r>
    </w:p>
    <w:p w14:paraId="05A29BBC" w14:textId="77777777" w:rsidR="003945E9" w:rsidRDefault="003945E9" w:rsidP="00CD7D5D">
      <w:pPr>
        <w:spacing w:line="360" w:lineRule="auto"/>
      </w:pPr>
    </w:p>
    <w:p w14:paraId="4A3D325E" w14:textId="77777777" w:rsidR="00CD7D5D" w:rsidRDefault="003945E9" w:rsidP="003945E9">
      <w:pPr>
        <w:spacing w:line="360" w:lineRule="auto"/>
        <w:ind w:firstLine="1440"/>
      </w:pPr>
      <w:r>
        <w:t>On October 15, 2018, Penn Power</w:t>
      </w:r>
      <w:r w:rsidR="00CD7D5D" w:rsidRPr="00EA1625">
        <w:t xml:space="preserve"> filed an answer </w:t>
      </w:r>
      <w:r>
        <w:t>and new matter which admitted a termination notice was sent on August 26, 2018 due to a delinquent amount of $2,286.42, but generally denied all allegations</w:t>
      </w:r>
      <w:r w:rsidR="00CD7D5D" w:rsidRPr="00EA1625">
        <w:t>.</w:t>
      </w:r>
      <w:r>
        <w:t xml:space="preserve">  In New Matter, Penn Power alleged Complainants should be precluded from re-litigating issues previously dismissed against them by the Commission in 2008.  Penn Power also alleged Complainants should be barred from disputing any billed consumption prior to September 2015, pursuant to 66 </w:t>
      </w:r>
      <w:proofErr w:type="spellStart"/>
      <w:r>
        <w:t>Pa.C.S.A</w:t>
      </w:r>
      <w:proofErr w:type="spellEnd"/>
      <w:r>
        <w:t>. § 3314(a).</w:t>
      </w:r>
    </w:p>
    <w:p w14:paraId="08ED077C" w14:textId="77777777" w:rsidR="00D61537" w:rsidRDefault="00D61537" w:rsidP="00D61537">
      <w:pPr>
        <w:spacing w:line="360" w:lineRule="auto"/>
        <w:ind w:firstLine="1440"/>
      </w:pPr>
    </w:p>
    <w:p w14:paraId="0844CF68" w14:textId="790DB12F" w:rsidR="00D61537" w:rsidRDefault="00D61537" w:rsidP="00D61537">
      <w:pPr>
        <w:spacing w:line="360" w:lineRule="auto"/>
        <w:ind w:firstLine="1440"/>
      </w:pPr>
      <w:r>
        <w:t>On January 3, 2019, the Office of Administrative Law Judge issued a hearing notice which notified the parties the initial telephonic hearing was scheduled for Thursday, January 24, 2019 at 10:00 a.m.</w:t>
      </w:r>
    </w:p>
    <w:p w14:paraId="3C0C0581" w14:textId="77777777" w:rsidR="00B61BCC" w:rsidRDefault="00E712AB" w:rsidP="00B64A68">
      <w:pPr>
        <w:spacing w:line="360" w:lineRule="auto"/>
        <w:ind w:firstLine="1440"/>
      </w:pPr>
      <w:r>
        <w:lastRenderedPageBreak/>
        <w:t xml:space="preserve">On January 24, 2019, the presiding officer convened the initial telephonic hearing as scheduled.  Complainants, Chet and Michele Duffy, were present and represented themselves.  Penn Power was represented by Margaret A. Morris, Esq.  </w:t>
      </w:r>
      <w:r w:rsidR="00B64A68">
        <w:t xml:space="preserve">Complainants presented the testimony of Michael Kohl, a Field Supervisor with Kohl Heating Services, who testified under oath concerning the installation of two heating pumps in April 2013.  </w:t>
      </w:r>
    </w:p>
    <w:p w14:paraId="791BB89C" w14:textId="77777777" w:rsidR="00B61BCC" w:rsidRDefault="00B61BCC" w:rsidP="00B64A68">
      <w:pPr>
        <w:spacing w:line="360" w:lineRule="auto"/>
        <w:ind w:firstLine="1440"/>
      </w:pPr>
    </w:p>
    <w:p w14:paraId="3BD62065" w14:textId="343BE70D" w:rsidR="00B64A68" w:rsidRDefault="00B64A68" w:rsidP="00B64A68">
      <w:pPr>
        <w:spacing w:line="360" w:lineRule="auto"/>
        <w:ind w:firstLine="1440"/>
      </w:pPr>
      <w:r>
        <w:t xml:space="preserve">After Mr. Kohl was released from testifying, the presiding officer orally advised the parties that a continuance would be issued for approximately three months in order to provide Complainants </w:t>
      </w:r>
      <w:r w:rsidR="00B61BCC">
        <w:t>the</w:t>
      </w:r>
      <w:r>
        <w:t xml:space="preserve"> time in which to install an internal meter at the service address, </w:t>
      </w:r>
      <w:r w:rsidR="00B61BCC">
        <w:t xml:space="preserve">engage in discussion </w:t>
      </w:r>
      <w:r>
        <w:t xml:space="preserve">with Penn Power about stipulating to uncontested facts, and discuss a payment arrangement and demand billing.  </w:t>
      </w:r>
    </w:p>
    <w:p w14:paraId="093CC412" w14:textId="77777777" w:rsidR="00B64A68" w:rsidRDefault="00B64A68" w:rsidP="00B64A68">
      <w:pPr>
        <w:spacing w:line="360" w:lineRule="auto"/>
        <w:ind w:firstLine="1440"/>
      </w:pPr>
    </w:p>
    <w:p w14:paraId="13326BBB" w14:textId="7ED30DC0" w:rsidR="00B61BCC" w:rsidRDefault="00B64A68" w:rsidP="00B64A68">
      <w:pPr>
        <w:spacing w:line="360" w:lineRule="auto"/>
        <w:ind w:firstLine="1440"/>
      </w:pPr>
      <w:r>
        <w:t xml:space="preserve">The presiding officer directed the parties to engage in discussions and produce a written stipulation of facts, which </w:t>
      </w:r>
      <w:r w:rsidR="00B61BCC">
        <w:t>should be filed with the Secretary’s Bureau and a copy provided to</w:t>
      </w:r>
      <w:r>
        <w:t xml:space="preserve"> the presiding officer.  </w:t>
      </w:r>
      <w:r w:rsidR="00B61BCC">
        <w:t xml:space="preserve">The presiding officer indicated her intention to take judicial notice of the “Findings of Fact” in the Initial Decision at Docket No. C-2008-2063047 (attached hereto as Appendix A) and in the “Background” section of the Commission’s Opinion and Order entered August 20, 2008 at Docket No. C-2008-2063047 (attached hereto as Appendix B).  Both parties were asked if there was any objection to the presiding officer taking judicial notice, and both parties indicated no objection.  </w:t>
      </w:r>
    </w:p>
    <w:p w14:paraId="2770E91C" w14:textId="77777777" w:rsidR="00B61BCC" w:rsidRDefault="00B61BCC" w:rsidP="00B64A68">
      <w:pPr>
        <w:spacing w:line="360" w:lineRule="auto"/>
        <w:ind w:firstLine="1440"/>
      </w:pPr>
    </w:p>
    <w:p w14:paraId="17DF17FA" w14:textId="105BA90C" w:rsidR="00546C4E" w:rsidRDefault="00B64A68" w:rsidP="00B64A68">
      <w:pPr>
        <w:spacing w:line="360" w:lineRule="auto"/>
        <w:ind w:firstLine="1440"/>
      </w:pPr>
      <w:r>
        <w:t xml:space="preserve">In addition, the presiding officer indicated Complainants should arrange to install an internal meter </w:t>
      </w:r>
      <w:r w:rsidR="00A13B37">
        <w:t xml:space="preserve">at their cost which meter Penn Power will accept as an appropriate installation provided the factory (pre-install) test is done at a certified lab.  Complainants will advise Penn Power when the technician plans to do the installation and Penn Power will arrange for the appropriate Penn Power field personnel to be present to observe during the installation of the internal meter.  </w:t>
      </w:r>
    </w:p>
    <w:p w14:paraId="6A042442" w14:textId="3BEFF7CE" w:rsidR="00A13B37" w:rsidRDefault="00A13B37" w:rsidP="00B64A68">
      <w:pPr>
        <w:spacing w:line="360" w:lineRule="auto"/>
        <w:ind w:firstLine="1440"/>
      </w:pPr>
    </w:p>
    <w:p w14:paraId="00026F09" w14:textId="30144CE3" w:rsidR="00A13B37" w:rsidRDefault="00A13B37" w:rsidP="00B64A68">
      <w:pPr>
        <w:spacing w:line="360" w:lineRule="auto"/>
        <w:ind w:firstLine="1440"/>
      </w:pPr>
      <w:r>
        <w:t>The presiding officer directed the parties to engage in discussions concer</w:t>
      </w:r>
      <w:bookmarkStart w:id="0" w:name="_GoBack"/>
      <w:bookmarkEnd w:id="0"/>
      <w:r>
        <w:t>ning whether Penn Power and Complainants can enter into a payment arrangement</w:t>
      </w:r>
      <w:r w:rsidR="00B61BCC">
        <w:t>, a</w:t>
      </w:r>
      <w:r w:rsidR="00333401">
        <w:t xml:space="preserve">nd both parties indicated a willingness to talk about the need for and details of a payment arrangement </w:t>
      </w:r>
      <w:r>
        <w:t xml:space="preserve">with each </w:t>
      </w:r>
      <w:r>
        <w:lastRenderedPageBreak/>
        <w:t xml:space="preserve">other.  </w:t>
      </w:r>
      <w:r w:rsidR="00333401">
        <w:t xml:space="preserve">Lastly, the presiding officer requested </w:t>
      </w:r>
      <w:r>
        <w:t xml:space="preserve">Penn Power discuss with Complainants their billing over the last four years (from September 2014), particularly as it concerns demand billing.  </w:t>
      </w:r>
    </w:p>
    <w:p w14:paraId="7E5489F4" w14:textId="77777777" w:rsidR="00CD7D5D" w:rsidRDefault="00CD7D5D" w:rsidP="00304E24">
      <w:pPr>
        <w:spacing w:line="360" w:lineRule="auto"/>
        <w:ind w:firstLine="1440"/>
      </w:pPr>
    </w:p>
    <w:p w14:paraId="0C3D553F" w14:textId="77777777" w:rsidR="00304E24" w:rsidRPr="00A23DD3" w:rsidRDefault="00304E24" w:rsidP="00304E24">
      <w:pPr>
        <w:spacing w:line="360" w:lineRule="auto"/>
        <w:ind w:firstLine="1440"/>
      </w:pPr>
      <w:r w:rsidRPr="00A23DD3">
        <w:t>THEREFORE,</w:t>
      </w:r>
    </w:p>
    <w:p w14:paraId="27FC1240" w14:textId="77777777" w:rsidR="00304E24" w:rsidRPr="00A23DD3" w:rsidRDefault="00304E24" w:rsidP="00304E24">
      <w:pPr>
        <w:spacing w:line="360" w:lineRule="auto"/>
      </w:pPr>
    </w:p>
    <w:p w14:paraId="0C54FC37" w14:textId="77777777" w:rsidR="00304E24" w:rsidRPr="00A23DD3" w:rsidRDefault="00304E24" w:rsidP="00304E24">
      <w:pPr>
        <w:spacing w:line="360" w:lineRule="auto"/>
      </w:pPr>
      <w:r w:rsidRPr="00A23DD3">
        <w:tab/>
      </w:r>
      <w:r w:rsidRPr="00A23DD3">
        <w:tab/>
        <w:t>IT IS ORDERED:</w:t>
      </w:r>
    </w:p>
    <w:p w14:paraId="335C9117" w14:textId="77777777" w:rsidR="00304E24" w:rsidRPr="00A23DD3" w:rsidRDefault="00304E24" w:rsidP="00304E24">
      <w:pPr>
        <w:spacing w:line="360" w:lineRule="auto"/>
      </w:pPr>
    </w:p>
    <w:p w14:paraId="0136E14C" w14:textId="2F3765F7" w:rsidR="00304E24" w:rsidRDefault="00304E24" w:rsidP="00304E24">
      <w:pPr>
        <w:spacing w:line="360" w:lineRule="auto"/>
      </w:pPr>
      <w:r w:rsidRPr="00A23DD3">
        <w:tab/>
      </w:r>
      <w:r w:rsidRPr="00A23DD3">
        <w:tab/>
      </w:r>
      <w:r w:rsidR="00A13B37">
        <w:t xml:space="preserve">1. </w:t>
      </w:r>
      <w:r w:rsidR="00A13B37">
        <w:tab/>
      </w:r>
      <w:r w:rsidRPr="00A23DD3">
        <w:t>That</w:t>
      </w:r>
      <w:r w:rsidR="00A13B37">
        <w:t xml:space="preserve"> </w:t>
      </w:r>
      <w:r w:rsidR="00B61BCC">
        <w:t>a further</w:t>
      </w:r>
      <w:r w:rsidR="00F41A56">
        <w:t xml:space="preserve"> telephonic hearing </w:t>
      </w:r>
      <w:r w:rsidR="00B61BCC">
        <w:t xml:space="preserve">will be scheduled in </w:t>
      </w:r>
      <w:proofErr w:type="gramStart"/>
      <w:r w:rsidR="00B61BCC">
        <w:t>April,</w:t>
      </w:r>
      <w:proofErr w:type="gramEnd"/>
      <w:r w:rsidR="00B61BCC">
        <w:t xml:space="preserve"> 2019</w:t>
      </w:r>
      <w:r w:rsidR="000A2A68">
        <w:t>.</w:t>
      </w:r>
    </w:p>
    <w:p w14:paraId="08BD8FBB" w14:textId="6B3FBC71" w:rsidR="00F41A56" w:rsidRDefault="00F41A56" w:rsidP="00304E24">
      <w:pPr>
        <w:spacing w:line="360" w:lineRule="auto"/>
      </w:pPr>
    </w:p>
    <w:p w14:paraId="072D2E25" w14:textId="0D91186C" w:rsidR="00F41A56" w:rsidRDefault="00F41A56" w:rsidP="00304E24">
      <w:pPr>
        <w:spacing w:line="360" w:lineRule="auto"/>
      </w:pPr>
      <w:r>
        <w:tab/>
      </w:r>
      <w:r>
        <w:tab/>
        <w:t xml:space="preserve">2. </w:t>
      </w:r>
      <w:r>
        <w:tab/>
        <w:t xml:space="preserve">That Complainants are to arrange to </w:t>
      </w:r>
      <w:r w:rsidR="00B61BCC">
        <w:t>purchase</w:t>
      </w:r>
      <w:r>
        <w:t xml:space="preserve"> an internal meter, </w:t>
      </w:r>
      <w:r w:rsidR="00B61BCC">
        <w:t xml:space="preserve">which has been </w:t>
      </w:r>
      <w:r>
        <w:t xml:space="preserve">pretested as accurate </w:t>
      </w:r>
      <w:r w:rsidR="00B61BCC">
        <w:t>by</w:t>
      </w:r>
      <w:r>
        <w:t xml:space="preserve"> a lab certified to conduct such testing,</w:t>
      </w:r>
      <w:r w:rsidR="00B61BCC">
        <w:t xml:space="preserve"> and have that meter</w:t>
      </w:r>
      <w:r>
        <w:t xml:space="preserve"> installed by a licensed professional at the service address.  Complainants are to advise counsel for Respondent about the date and time when the internal meter will be installed</w:t>
      </w:r>
      <w:r w:rsidR="00B61BCC">
        <w:t>,</w:t>
      </w:r>
      <w:r>
        <w:t xml:space="preserve"> and Respondent will arrange for </w:t>
      </w:r>
      <w:r w:rsidR="00B61BCC">
        <w:t>the</w:t>
      </w:r>
      <w:r>
        <w:t xml:space="preserve"> appropriate field personnel to be present to observe the installation.  </w:t>
      </w:r>
    </w:p>
    <w:p w14:paraId="0729CA6A" w14:textId="6946FDC0" w:rsidR="00F41A56" w:rsidRDefault="00F41A56" w:rsidP="00304E24">
      <w:pPr>
        <w:spacing w:line="360" w:lineRule="auto"/>
      </w:pPr>
    </w:p>
    <w:p w14:paraId="6381A642" w14:textId="19A399FC" w:rsidR="00F41A56" w:rsidRDefault="00F41A56" w:rsidP="00304E24">
      <w:pPr>
        <w:spacing w:line="360" w:lineRule="auto"/>
      </w:pPr>
      <w:r>
        <w:tab/>
      </w:r>
      <w:r>
        <w:tab/>
        <w:t xml:space="preserve">3. </w:t>
      </w:r>
      <w:r>
        <w:tab/>
        <w:t xml:space="preserve">That Complainants and Respondent are to engage in discussions and list all the facts which the parties stipulate are true and uncontested.  Respondent will file a written list of those stipulated facts with the Secretary’s Bureau and </w:t>
      </w:r>
      <w:r w:rsidR="00B61BCC">
        <w:t xml:space="preserve">provide a hard </w:t>
      </w:r>
      <w:r>
        <w:t xml:space="preserve">copy </w:t>
      </w:r>
      <w:r w:rsidR="00B61BCC">
        <w:t xml:space="preserve">to </w:t>
      </w:r>
      <w:r>
        <w:t>the presiding officer</w:t>
      </w:r>
      <w:r w:rsidR="00FE713A">
        <w:t xml:space="preserve"> and Complainants</w:t>
      </w:r>
      <w:r>
        <w:t xml:space="preserve">, on or before </w:t>
      </w:r>
      <w:r w:rsidRPr="00F41A56">
        <w:rPr>
          <w:b/>
        </w:rPr>
        <w:t>Friday, March 22, 2019</w:t>
      </w:r>
      <w:r>
        <w:t>.</w:t>
      </w:r>
    </w:p>
    <w:p w14:paraId="72C681D8" w14:textId="44702F75" w:rsidR="00FE713A" w:rsidRDefault="00FE713A" w:rsidP="00304E24">
      <w:pPr>
        <w:spacing w:line="360" w:lineRule="auto"/>
      </w:pPr>
    </w:p>
    <w:p w14:paraId="1ED97C3D" w14:textId="644AF0C2" w:rsidR="00FE713A" w:rsidRPr="00A23DD3" w:rsidRDefault="00FE713A" w:rsidP="00304E24">
      <w:pPr>
        <w:spacing w:line="360" w:lineRule="auto"/>
      </w:pPr>
      <w:r>
        <w:tab/>
      </w:r>
      <w:r>
        <w:tab/>
        <w:t xml:space="preserve">4. </w:t>
      </w:r>
      <w:r>
        <w:tab/>
        <w:t xml:space="preserve">That on or before </w:t>
      </w:r>
      <w:r w:rsidRPr="00FE713A">
        <w:rPr>
          <w:b/>
        </w:rPr>
        <w:t>Friday, March 22, 2019</w:t>
      </w:r>
      <w:r>
        <w:t>, Respondent shall file with the Secretary’s Bureau</w:t>
      </w:r>
      <w:r w:rsidR="00333401">
        <w:t>,</w:t>
      </w:r>
      <w:r>
        <w:t xml:space="preserve"> and </w:t>
      </w:r>
      <w:r w:rsidR="00B61BCC">
        <w:t>provide a hard copy to</w:t>
      </w:r>
      <w:r>
        <w:t xml:space="preserve"> the presiding officer and Complainants</w:t>
      </w:r>
      <w:r w:rsidR="00333401">
        <w:t>, any and</w:t>
      </w:r>
      <w:r>
        <w:t xml:space="preserve"> all applicable tariff provisions concerning the application of Demand Billing on </w:t>
      </w:r>
      <w:r w:rsidR="00333401">
        <w:t xml:space="preserve">any type of </w:t>
      </w:r>
      <w:r>
        <w:t>residential accounts.</w:t>
      </w:r>
    </w:p>
    <w:p w14:paraId="2D425A29" w14:textId="77777777" w:rsidR="00FE713A" w:rsidRDefault="00FE713A" w:rsidP="00FE713A">
      <w:pPr>
        <w:spacing w:line="360" w:lineRule="auto"/>
      </w:pPr>
    </w:p>
    <w:p w14:paraId="6589B3A7" w14:textId="1F01E263" w:rsidR="00FE713A" w:rsidRDefault="00FE713A" w:rsidP="00FE713A">
      <w:pPr>
        <w:spacing w:line="360" w:lineRule="auto"/>
      </w:pPr>
      <w:r>
        <w:tab/>
      </w:r>
      <w:r>
        <w:tab/>
        <w:t xml:space="preserve">5. </w:t>
      </w:r>
      <w:r>
        <w:tab/>
        <w:t xml:space="preserve">That on or before </w:t>
      </w:r>
      <w:r w:rsidRPr="00FE713A">
        <w:rPr>
          <w:b/>
        </w:rPr>
        <w:t>Monday, April 1, 2019</w:t>
      </w:r>
      <w:r>
        <w:t xml:space="preserve">, Complainants will </w:t>
      </w:r>
      <w:r w:rsidR="00B61BCC">
        <w:t xml:space="preserve">indicate </w:t>
      </w:r>
      <w:r w:rsidR="00333401">
        <w:t xml:space="preserve">in writing to the presiding officer </w:t>
      </w:r>
      <w:r w:rsidR="00B61BCC">
        <w:t xml:space="preserve">if they propose to admit into the hearing record </w:t>
      </w:r>
      <w:r>
        <w:t>any diagnostic tests or opinions rendered by a professional qualified by training, certification and/or experience to render an opinion</w:t>
      </w:r>
      <w:r w:rsidR="00B61BCC">
        <w:t xml:space="preserve"> about the results obtained from the internal meter</w:t>
      </w:r>
      <w:r>
        <w:t>.</w:t>
      </w:r>
      <w:r w:rsidR="00B61BCC">
        <w:t xml:space="preserve">  If Complainants propose to admit either the professional’s opinion and/or the test results, Complainants will arrange to have the professional available as a witness at the further hearing.</w:t>
      </w:r>
    </w:p>
    <w:p w14:paraId="62448CC6" w14:textId="70F003F6" w:rsidR="00FE713A" w:rsidRDefault="00FE713A" w:rsidP="00FE713A">
      <w:pPr>
        <w:spacing w:line="360" w:lineRule="auto"/>
      </w:pPr>
      <w:r>
        <w:lastRenderedPageBreak/>
        <w:tab/>
      </w:r>
      <w:r>
        <w:tab/>
        <w:t xml:space="preserve">6. </w:t>
      </w:r>
      <w:r>
        <w:tab/>
        <w:t xml:space="preserve">That the presiding officer takes judicial notice, pursuant to 52 </w:t>
      </w:r>
      <w:proofErr w:type="spellStart"/>
      <w:r>
        <w:t>Pa.Code</w:t>
      </w:r>
      <w:proofErr w:type="spellEnd"/>
      <w:r>
        <w:t xml:space="preserve"> §</w:t>
      </w:r>
      <w:r w:rsidR="00AB1437">
        <w:t> </w:t>
      </w:r>
      <w:r>
        <w:t xml:space="preserve">5.408, of the “Findings of Fact” as outlined in the Initial Decision at Docket No. C-2008-2063047 (attached hereto as Appendix A) and in the “Background” section of the Commission’s Opinion and Order entered August 20, 2008 at Docket No. C-2008-2063047 (attached in pertinent part hereto as Appendix B).  </w:t>
      </w:r>
    </w:p>
    <w:p w14:paraId="5609EF4A" w14:textId="77777777" w:rsidR="00304E24" w:rsidRDefault="00304E24" w:rsidP="00304E24">
      <w:pPr>
        <w:spacing w:line="360" w:lineRule="auto"/>
      </w:pPr>
    </w:p>
    <w:p w14:paraId="562DD900" w14:textId="77777777" w:rsidR="00304E24" w:rsidRDefault="00304E24" w:rsidP="00304E24">
      <w:pPr>
        <w:spacing w:line="360" w:lineRule="auto"/>
      </w:pPr>
    </w:p>
    <w:p w14:paraId="37EABD27" w14:textId="77777777" w:rsidR="00304E24" w:rsidRPr="00A23DD3" w:rsidRDefault="00304E24" w:rsidP="00304E24">
      <w:pPr>
        <w:spacing w:line="360" w:lineRule="auto"/>
      </w:pPr>
    </w:p>
    <w:p w14:paraId="43674714" w14:textId="7D39B56D" w:rsidR="006F3F66" w:rsidRPr="00A23DD3" w:rsidRDefault="00304E24" w:rsidP="006F3F66">
      <w:r w:rsidRPr="00A23DD3">
        <w:t xml:space="preserve">Date: </w:t>
      </w:r>
      <w:r w:rsidR="00AD6AE7">
        <w:t xml:space="preserve"> </w:t>
      </w:r>
      <w:r w:rsidR="0096415E">
        <w:rPr>
          <w:u w:val="single"/>
        </w:rPr>
        <w:t xml:space="preserve">January </w:t>
      </w:r>
      <w:r w:rsidR="00B61BCC">
        <w:rPr>
          <w:u w:val="single"/>
        </w:rPr>
        <w:t>30</w:t>
      </w:r>
      <w:r w:rsidR="0096415E">
        <w:rPr>
          <w:u w:val="single"/>
        </w:rPr>
        <w:t>, 2019</w:t>
      </w:r>
      <w:r>
        <w:tab/>
      </w:r>
      <w:r w:rsidRPr="00A23DD3">
        <w:tab/>
      </w:r>
      <w:r w:rsidR="00921A9D">
        <w:tab/>
      </w:r>
      <w:r w:rsidRPr="00A23DD3">
        <w:tab/>
      </w:r>
      <w:r w:rsidRPr="00A23DD3">
        <w:rPr>
          <w:u w:val="single"/>
        </w:rPr>
        <w:tab/>
      </w:r>
      <w:r w:rsidRPr="00A23DD3">
        <w:rPr>
          <w:u w:val="single"/>
        </w:rPr>
        <w:tab/>
      </w:r>
      <w:r w:rsidRPr="00A23DD3">
        <w:rPr>
          <w:u w:val="single"/>
        </w:rPr>
        <w:tab/>
      </w:r>
      <w:r w:rsidR="006F3F66" w:rsidRPr="00A23DD3">
        <w:rPr>
          <w:u w:val="single"/>
        </w:rPr>
        <w:tab/>
      </w:r>
      <w:r w:rsidR="006F3F66" w:rsidRPr="00A23DD3">
        <w:rPr>
          <w:u w:val="single"/>
        </w:rPr>
        <w:tab/>
      </w:r>
      <w:r w:rsidR="006F3F66" w:rsidRPr="00A23DD3">
        <w:rPr>
          <w:u w:val="single"/>
        </w:rPr>
        <w:tab/>
      </w:r>
    </w:p>
    <w:p w14:paraId="6C1E8FCC" w14:textId="77777777" w:rsidR="00304E24" w:rsidRPr="00A23DD3" w:rsidRDefault="00304E24" w:rsidP="00304E24">
      <w:r w:rsidRPr="00A23DD3">
        <w:tab/>
      </w:r>
      <w:r w:rsidRPr="00A23DD3">
        <w:tab/>
      </w:r>
      <w:r w:rsidRPr="00A23DD3">
        <w:tab/>
      </w:r>
      <w:r w:rsidRPr="00A23DD3">
        <w:tab/>
      </w:r>
      <w:r w:rsidRPr="00A23DD3">
        <w:tab/>
      </w:r>
      <w:r w:rsidRPr="00A23DD3">
        <w:tab/>
      </w:r>
      <w:r w:rsidRPr="00A23DD3">
        <w:tab/>
        <w:t>Katrina L. Dunderdale</w:t>
      </w:r>
    </w:p>
    <w:p w14:paraId="6B7F7487" w14:textId="77777777" w:rsidR="00304E24" w:rsidRPr="00A23DD3" w:rsidRDefault="00304E24" w:rsidP="00304E24">
      <w:r w:rsidRPr="00A23DD3">
        <w:tab/>
      </w:r>
      <w:r w:rsidRPr="00A23DD3">
        <w:tab/>
      </w:r>
      <w:r w:rsidRPr="00A23DD3">
        <w:tab/>
      </w:r>
      <w:r w:rsidRPr="00A23DD3">
        <w:tab/>
      </w:r>
      <w:r w:rsidRPr="00A23DD3">
        <w:tab/>
      </w:r>
      <w:r w:rsidRPr="00A23DD3">
        <w:tab/>
      </w:r>
      <w:r w:rsidRPr="00A23DD3">
        <w:tab/>
        <w:t>Administrative Law Judge</w:t>
      </w:r>
    </w:p>
    <w:p w14:paraId="13A63CC8" w14:textId="77777777" w:rsidR="006F3F66" w:rsidRDefault="006F3F66">
      <w:r>
        <w:br w:type="page"/>
      </w:r>
    </w:p>
    <w:p w14:paraId="6B76811F" w14:textId="77777777" w:rsidR="006F3F66" w:rsidRDefault="006F3F66" w:rsidP="006F3F66">
      <w:pPr>
        <w:rPr>
          <w:rFonts w:ascii="Microsoft Sans Serif" w:eastAsia="Microsoft Sans Serif" w:hAnsi="Microsoft Sans Serif" w:cs="Microsoft Sans Serif"/>
          <w:b/>
          <w:u w:val="single"/>
        </w:rPr>
        <w:sectPr w:rsidR="006F3F66" w:rsidSect="00031BA6">
          <w:footerReference w:type="default" r:id="rId7"/>
          <w:footerReference w:type="first" r:id="rId8"/>
          <w:pgSz w:w="12240" w:h="15840" w:code="1"/>
          <w:pgMar w:top="1440" w:right="1440" w:bottom="1440" w:left="1440" w:header="1440" w:footer="720" w:gutter="0"/>
          <w:cols w:space="720"/>
          <w:titlePg/>
          <w:docGrid w:linePitch="360"/>
        </w:sectPr>
      </w:pPr>
    </w:p>
    <w:p w14:paraId="3C447281" w14:textId="77777777" w:rsidR="006F3F66" w:rsidRDefault="006F3F66" w:rsidP="006F3F6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 xml:space="preserve">C-2018-3004871 – Chet and Michele Duffy v. Pennsylvania Power Company  </w:t>
      </w:r>
    </w:p>
    <w:p w14:paraId="28E99C9A" w14:textId="77777777" w:rsidR="006F3F66" w:rsidRDefault="006F3F66" w:rsidP="006F3F66">
      <w:pPr>
        <w:rPr>
          <w:rFonts w:ascii="Microsoft Sans Serif" w:eastAsia="Microsoft Sans Serif" w:hAnsi="Microsoft Sans Serif" w:cs="Microsoft Sans Serif"/>
        </w:rPr>
      </w:pPr>
    </w:p>
    <w:p w14:paraId="25297C57"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CHET AND MICHELE DUFFY</w:t>
      </w:r>
    </w:p>
    <w:p w14:paraId="4393D884"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PO BOX 295</w:t>
      </w:r>
    </w:p>
    <w:p w14:paraId="19E621AA"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135 LIBERTY ROAD</w:t>
      </w:r>
    </w:p>
    <w:p w14:paraId="2CA624D7"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HARMONY PA  16037</w:t>
      </w:r>
    </w:p>
    <w:p w14:paraId="7CE01AC7"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b/>
        </w:rPr>
        <w:t>724.452.1285</w:t>
      </w:r>
    </w:p>
    <w:p w14:paraId="3C7039DB" w14:textId="77777777" w:rsidR="006F3F66" w:rsidRDefault="006F3F66" w:rsidP="006F3F66">
      <w:pPr>
        <w:rPr>
          <w:rFonts w:ascii="Microsoft Sans Serif" w:eastAsia="Microsoft Sans Serif" w:hAnsi="Microsoft Sans Serif" w:cs="Microsoft Sans Serif"/>
        </w:rPr>
      </w:pPr>
    </w:p>
    <w:p w14:paraId="38686040"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MARGARET A MORRIS ESQUIRE</w:t>
      </w:r>
    </w:p>
    <w:p w14:paraId="17413AFD"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REGER RIZZO &amp; DARNALL</w:t>
      </w:r>
    </w:p>
    <w:p w14:paraId="3C80B72E"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2929 ARCH STREET 13TH FLOOR</w:t>
      </w:r>
    </w:p>
    <w:p w14:paraId="31002D30"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19104</w:t>
      </w:r>
    </w:p>
    <w:p w14:paraId="6ED25D3B" w14:textId="77777777" w:rsidR="006F3F66" w:rsidRDefault="006F3F66" w:rsidP="006F3F66">
      <w:pPr>
        <w:rPr>
          <w:rFonts w:ascii="Microsoft Sans Serif" w:eastAsia="Microsoft Sans Serif" w:hAnsi="Microsoft Sans Serif" w:cs="Microsoft Sans Serif"/>
          <w:b/>
        </w:rPr>
      </w:pPr>
      <w:r>
        <w:rPr>
          <w:rFonts w:ascii="Microsoft Sans Serif" w:eastAsia="Microsoft Sans Serif" w:hAnsi="Microsoft Sans Serif" w:cs="Microsoft Sans Serif"/>
          <w:b/>
        </w:rPr>
        <w:t>215.495.6524</w:t>
      </w:r>
    </w:p>
    <w:p w14:paraId="174F95A0" w14:textId="77777777" w:rsidR="006F3F66" w:rsidRDefault="006F3F66" w:rsidP="006F3F66">
      <w:pPr>
        <w:rPr>
          <w:rFonts w:ascii="Calibri" w:hAnsi="Calibri"/>
        </w:rPr>
      </w:pPr>
      <w:r>
        <w:rPr>
          <w:rFonts w:ascii="Microsoft Sans Serif" w:eastAsia="Microsoft Sans Serif" w:hAnsi="Microsoft Sans Serif" w:cs="Microsoft Sans Serif"/>
          <w:b/>
          <w:i/>
          <w:u w:val="single"/>
        </w:rPr>
        <w:t>ACCEPTS E-SERVICE</w:t>
      </w:r>
    </w:p>
    <w:p w14:paraId="632BD1E5" w14:textId="77777777" w:rsidR="006F3F66" w:rsidRDefault="006F3F66" w:rsidP="006F3F66"/>
    <w:p w14:paraId="232035EE" w14:textId="1D9F2DCF" w:rsidR="003D5091" w:rsidRDefault="003D5091">
      <w:r>
        <w:br w:type="page"/>
      </w:r>
    </w:p>
    <w:p w14:paraId="2BA110E9" w14:textId="77777777" w:rsidR="00640ECF" w:rsidRDefault="00640ECF" w:rsidP="00871706">
      <w:pPr>
        <w:jc w:val="center"/>
        <w:rPr>
          <w:b/>
          <w:u w:val="single"/>
        </w:rPr>
        <w:sectPr w:rsidR="00640ECF" w:rsidSect="00AC1C2D">
          <w:pgSz w:w="12240" w:h="15840" w:code="1"/>
          <w:pgMar w:top="1440" w:right="1440" w:bottom="1440" w:left="1440" w:header="1440" w:footer="720" w:gutter="0"/>
          <w:pgNumType w:start="1"/>
          <w:cols w:space="720"/>
          <w:titlePg/>
          <w:docGrid w:linePitch="360"/>
        </w:sectPr>
      </w:pPr>
    </w:p>
    <w:p w14:paraId="7EAD2980" w14:textId="39C73DF7" w:rsidR="00687BAF" w:rsidRDefault="003D5091" w:rsidP="00871706">
      <w:pPr>
        <w:jc w:val="center"/>
        <w:rPr>
          <w:b/>
          <w:u w:val="single"/>
        </w:rPr>
      </w:pPr>
      <w:r w:rsidRPr="00871706">
        <w:rPr>
          <w:b/>
          <w:u w:val="single"/>
        </w:rPr>
        <w:lastRenderedPageBreak/>
        <w:t>Appendix A</w:t>
      </w:r>
    </w:p>
    <w:p w14:paraId="2E5D5DDE" w14:textId="4EE6E0F8" w:rsidR="00F24294" w:rsidRDefault="00F24294" w:rsidP="00871706">
      <w:pPr>
        <w:jc w:val="center"/>
        <w:rPr>
          <w:b/>
          <w:u w:val="single"/>
        </w:rPr>
      </w:pPr>
    </w:p>
    <w:p w14:paraId="6F5C9A87" w14:textId="77777777" w:rsidR="00F24294" w:rsidRPr="00FB448C" w:rsidRDefault="00F24294" w:rsidP="00F24294">
      <w:pPr>
        <w:jc w:val="center"/>
        <w:rPr>
          <w:b/>
        </w:rPr>
      </w:pPr>
      <w:r w:rsidRPr="00FB448C">
        <w:rPr>
          <w:b/>
        </w:rPr>
        <w:t>BEFORE THE</w:t>
      </w:r>
    </w:p>
    <w:p w14:paraId="4EA12766" w14:textId="77777777" w:rsidR="00F24294" w:rsidRPr="00FB448C" w:rsidRDefault="00F24294" w:rsidP="00F24294">
      <w:pPr>
        <w:jc w:val="center"/>
        <w:rPr>
          <w:b/>
        </w:rPr>
      </w:pPr>
      <w:r w:rsidRPr="00FB448C">
        <w:rPr>
          <w:b/>
        </w:rPr>
        <w:t>PENNSYLVANIA PUBLIC UTILITY COMMISSION</w:t>
      </w:r>
    </w:p>
    <w:p w14:paraId="177165B9" w14:textId="77777777" w:rsidR="00F24294" w:rsidRPr="00FB448C" w:rsidRDefault="00F24294" w:rsidP="00F24294">
      <w:pPr>
        <w:jc w:val="center"/>
      </w:pPr>
    </w:p>
    <w:p w14:paraId="745832BC" w14:textId="77777777" w:rsidR="00F24294" w:rsidRPr="00FB448C" w:rsidRDefault="00F24294" w:rsidP="00F24294">
      <w:pPr>
        <w:jc w:val="center"/>
      </w:pPr>
    </w:p>
    <w:p w14:paraId="769F4FE7" w14:textId="77777777" w:rsidR="00F24294" w:rsidRPr="00FB448C" w:rsidRDefault="00F24294" w:rsidP="00F24294"/>
    <w:p w14:paraId="58C949A0" w14:textId="77777777" w:rsidR="00F24294" w:rsidRPr="00FB448C" w:rsidRDefault="00F24294" w:rsidP="00F24294">
      <w:r w:rsidRPr="00FB448C">
        <w:t>Chet and Michele Duffy</w:t>
      </w:r>
      <w:r w:rsidRPr="00FB448C">
        <w:tab/>
      </w:r>
      <w:r w:rsidRPr="00FB448C">
        <w:tab/>
      </w:r>
      <w:r w:rsidRPr="00FB448C">
        <w:tab/>
      </w:r>
      <w:r w:rsidRPr="00FB448C">
        <w:tab/>
        <w:t>:</w:t>
      </w:r>
    </w:p>
    <w:p w14:paraId="3D1A70F1" w14:textId="77777777" w:rsidR="00F24294" w:rsidRPr="00FB448C" w:rsidRDefault="00F24294" w:rsidP="00F24294">
      <w:r w:rsidRPr="00FB448C">
        <w:tab/>
      </w:r>
      <w:r w:rsidRPr="00FB448C">
        <w:tab/>
      </w:r>
      <w:r w:rsidRPr="00FB448C">
        <w:tab/>
      </w:r>
      <w:r w:rsidRPr="00FB448C">
        <w:tab/>
      </w:r>
      <w:r w:rsidRPr="00FB448C">
        <w:tab/>
      </w:r>
      <w:r w:rsidRPr="00FB448C">
        <w:tab/>
      </w:r>
      <w:r w:rsidRPr="00FB448C">
        <w:tab/>
        <w:t>:</w:t>
      </w:r>
    </w:p>
    <w:p w14:paraId="3A6BA405" w14:textId="77777777" w:rsidR="00F24294" w:rsidRPr="00FB448C" w:rsidRDefault="00F24294" w:rsidP="00F24294">
      <w:r w:rsidRPr="00FB448C">
        <w:tab/>
        <w:t>v.</w:t>
      </w:r>
      <w:r w:rsidRPr="00FB448C">
        <w:tab/>
      </w:r>
      <w:r w:rsidRPr="00FB448C">
        <w:tab/>
      </w:r>
      <w:r w:rsidRPr="00FB448C">
        <w:tab/>
      </w:r>
      <w:r w:rsidRPr="00FB448C">
        <w:tab/>
      </w:r>
      <w:r w:rsidRPr="00FB448C">
        <w:tab/>
      </w:r>
      <w:r w:rsidRPr="00FB448C">
        <w:tab/>
        <w:t>:</w:t>
      </w:r>
      <w:r w:rsidRPr="00FB448C">
        <w:tab/>
      </w:r>
      <w:r w:rsidRPr="00FB448C">
        <w:tab/>
        <w:t>C-2008-2063047</w:t>
      </w:r>
    </w:p>
    <w:p w14:paraId="4E801ED2" w14:textId="77777777" w:rsidR="00F24294" w:rsidRPr="00FB448C" w:rsidRDefault="00F24294" w:rsidP="00F24294">
      <w:pPr>
        <w:ind w:left="4320" w:firstLine="720"/>
      </w:pPr>
      <w:r w:rsidRPr="00FB448C">
        <w:t>:</w:t>
      </w:r>
    </w:p>
    <w:p w14:paraId="242B3150" w14:textId="77777777" w:rsidR="00F24294" w:rsidRPr="00FB448C" w:rsidRDefault="00F24294" w:rsidP="00F24294">
      <w:r w:rsidRPr="00FB448C">
        <w:t>Pennsylvania Power Company</w:t>
      </w:r>
      <w:r w:rsidRPr="00FB448C">
        <w:tab/>
      </w:r>
      <w:r w:rsidRPr="00FB448C">
        <w:tab/>
      </w:r>
      <w:r w:rsidRPr="00FB448C">
        <w:tab/>
        <w:t>:</w:t>
      </w:r>
    </w:p>
    <w:p w14:paraId="280F876E" w14:textId="77777777" w:rsidR="00F24294" w:rsidRPr="00FB448C" w:rsidRDefault="00F24294" w:rsidP="00F24294"/>
    <w:p w14:paraId="76CB57BB" w14:textId="77777777" w:rsidR="00F24294" w:rsidRPr="00FB448C" w:rsidRDefault="00F24294" w:rsidP="00F24294"/>
    <w:p w14:paraId="71F199CA" w14:textId="77777777" w:rsidR="00F24294" w:rsidRPr="00FB448C" w:rsidRDefault="00F24294" w:rsidP="00F24294"/>
    <w:p w14:paraId="61AE3F03" w14:textId="71BF5C63" w:rsidR="00F24294" w:rsidRDefault="00F24294" w:rsidP="00F24294">
      <w:pPr>
        <w:jc w:val="center"/>
        <w:rPr>
          <w:b/>
          <w:u w:val="single"/>
        </w:rPr>
      </w:pPr>
      <w:r w:rsidRPr="00F24294">
        <w:rPr>
          <w:b/>
          <w:u w:val="single"/>
        </w:rPr>
        <w:t>INITIAL DECISION</w:t>
      </w:r>
    </w:p>
    <w:p w14:paraId="554841CB" w14:textId="77777777" w:rsidR="00F24294" w:rsidRPr="00F24294" w:rsidRDefault="00F24294" w:rsidP="00F24294">
      <w:pPr>
        <w:jc w:val="center"/>
        <w:rPr>
          <w:b/>
          <w:u w:val="single"/>
        </w:rPr>
      </w:pPr>
    </w:p>
    <w:p w14:paraId="74B44F2C" w14:textId="77777777" w:rsidR="00F24294" w:rsidRPr="00FB448C" w:rsidRDefault="00F24294" w:rsidP="00F24294">
      <w:pPr>
        <w:jc w:val="center"/>
        <w:rPr>
          <w:u w:val="single"/>
        </w:rPr>
      </w:pPr>
    </w:p>
    <w:p w14:paraId="444E3934" w14:textId="77777777" w:rsidR="00F24294" w:rsidRPr="00FB448C" w:rsidRDefault="00F24294" w:rsidP="00F24294">
      <w:pPr>
        <w:jc w:val="center"/>
      </w:pPr>
      <w:r w:rsidRPr="00FB448C">
        <w:t>Before</w:t>
      </w:r>
    </w:p>
    <w:p w14:paraId="07F5613A" w14:textId="77777777" w:rsidR="00F24294" w:rsidRPr="00FB448C" w:rsidRDefault="00F24294" w:rsidP="00F24294">
      <w:pPr>
        <w:jc w:val="center"/>
      </w:pPr>
      <w:r w:rsidRPr="00FB448C">
        <w:t>Katrina L. Dunderdale</w:t>
      </w:r>
    </w:p>
    <w:p w14:paraId="6B9F9FAC" w14:textId="77777777" w:rsidR="00F24294" w:rsidRPr="00FB448C" w:rsidRDefault="00F24294" w:rsidP="00F24294">
      <w:pPr>
        <w:jc w:val="center"/>
      </w:pPr>
      <w:r w:rsidRPr="00FB448C">
        <w:t>Administrative Law Judge</w:t>
      </w:r>
    </w:p>
    <w:p w14:paraId="65BD6CC3" w14:textId="77777777" w:rsidR="00F24294" w:rsidRPr="00FB448C" w:rsidRDefault="00F24294" w:rsidP="00F24294">
      <w:pPr>
        <w:jc w:val="center"/>
      </w:pPr>
    </w:p>
    <w:p w14:paraId="2F02689B" w14:textId="77777777" w:rsidR="00F24294" w:rsidRPr="00FB448C" w:rsidRDefault="00F24294" w:rsidP="00F24294">
      <w:pPr>
        <w:jc w:val="center"/>
      </w:pPr>
    </w:p>
    <w:p w14:paraId="17B7E7AA" w14:textId="77BC506F" w:rsidR="00F24294" w:rsidRPr="00F24294" w:rsidRDefault="00F24294" w:rsidP="00F24294">
      <w:pPr>
        <w:spacing w:line="360" w:lineRule="auto"/>
        <w:jc w:val="center"/>
        <w:rPr>
          <w:u w:val="single"/>
        </w:rPr>
      </w:pPr>
      <w:r w:rsidRPr="00F24294">
        <w:rPr>
          <w:u w:val="single"/>
        </w:rPr>
        <w:t>HISTORY OF THE PROCEEDING</w:t>
      </w:r>
    </w:p>
    <w:p w14:paraId="053F1B29" w14:textId="77777777" w:rsidR="00F24294" w:rsidRPr="00FB448C" w:rsidRDefault="00F24294" w:rsidP="00F24294">
      <w:pPr>
        <w:spacing w:line="360" w:lineRule="auto"/>
        <w:ind w:firstLine="1440"/>
      </w:pPr>
    </w:p>
    <w:p w14:paraId="6101A26C" w14:textId="77777777" w:rsidR="00F24294" w:rsidRPr="00FB448C" w:rsidRDefault="00F24294" w:rsidP="00F24294">
      <w:pPr>
        <w:spacing w:line="360" w:lineRule="auto"/>
        <w:ind w:firstLine="1440"/>
      </w:pPr>
      <w:r w:rsidRPr="00FB448C">
        <w:t>On September 8, 2008, Chet and Michele Duffy (“Complainants”) filed a formal complaint against Pennsylvania Power Company (“Respondent” or “Penn Power”) alleging an unexplained drastic increase in usage charges and billing over-charges concerning Complainants’ residential account with Respondent since the transformer was replaced in 2007.  On October 6, 2008, Respondent filed an Answer to Complaint and New Matter with the Commission.</w:t>
      </w:r>
    </w:p>
    <w:p w14:paraId="16C101B9" w14:textId="77777777" w:rsidR="00F24294" w:rsidRPr="00FB448C" w:rsidRDefault="00F24294" w:rsidP="00F24294">
      <w:pPr>
        <w:spacing w:line="360" w:lineRule="auto"/>
        <w:ind w:firstLine="1440"/>
      </w:pPr>
    </w:p>
    <w:p w14:paraId="056BCCAF" w14:textId="77777777" w:rsidR="00F24294" w:rsidRPr="00FB448C" w:rsidRDefault="00F24294" w:rsidP="00F24294">
      <w:pPr>
        <w:spacing w:line="360" w:lineRule="auto"/>
        <w:ind w:firstLine="1440"/>
      </w:pPr>
      <w:r w:rsidRPr="00FB448C">
        <w:t>On April 1, 2009, the Commission issued a Hearing Notice scheduling this matter for an initial telephonic hearing on Tuesday, May 5, 2009 in the Commission’s offices in the Pittsburgh State Office Building.  On April 8, 2009, the undersigned issued a Prehearing Order to the parties directing the parties on various preliminary matters.</w:t>
      </w:r>
    </w:p>
    <w:p w14:paraId="13980B13" w14:textId="77777777" w:rsidR="00F24294" w:rsidRPr="00FB448C" w:rsidRDefault="00F24294" w:rsidP="00F24294">
      <w:pPr>
        <w:spacing w:line="360" w:lineRule="auto"/>
        <w:ind w:firstLine="1440"/>
      </w:pPr>
    </w:p>
    <w:p w14:paraId="4AEDA5E7" w14:textId="07DF4CBA" w:rsidR="00F24294" w:rsidRPr="00FB448C" w:rsidRDefault="00F24294" w:rsidP="00F24294">
      <w:pPr>
        <w:spacing w:line="360" w:lineRule="auto"/>
        <w:ind w:firstLine="1440"/>
      </w:pPr>
      <w:r w:rsidRPr="00FB448C">
        <w:t>On April 28, 2009, Respondent submitted a request via electronic mail for a continuance on the grounds Respondent’s witnesses and key personnel were unavailable on May</w:t>
      </w:r>
      <w:r w:rsidR="005119CE">
        <w:t> </w:t>
      </w:r>
      <w:r w:rsidRPr="00FB448C">
        <w:t xml:space="preserve">5, 2009.  Complainants responded on the same date via electronic mail and indicated they </w:t>
      </w:r>
      <w:r w:rsidRPr="00FB448C">
        <w:lastRenderedPageBreak/>
        <w:t>had no objection to a continuance.  On April 29, 2009, Respondent filed a written Motion for Continuance with the Secretary’s Bureau.  On April 30, 2009, the presiding officer granted the request for a continuance and cancelled the hearing scheduled on May 5, 2009.</w:t>
      </w:r>
    </w:p>
    <w:p w14:paraId="1A026C22" w14:textId="77777777" w:rsidR="00F24294" w:rsidRPr="00FB448C" w:rsidRDefault="00F24294" w:rsidP="00F24294">
      <w:pPr>
        <w:spacing w:line="360" w:lineRule="auto"/>
      </w:pPr>
    </w:p>
    <w:p w14:paraId="69FB0654" w14:textId="77777777" w:rsidR="00F24294" w:rsidRPr="00FB448C" w:rsidRDefault="00F24294" w:rsidP="00F24294">
      <w:pPr>
        <w:tabs>
          <w:tab w:val="left" w:pos="2160"/>
        </w:tabs>
        <w:spacing w:line="360" w:lineRule="auto"/>
        <w:ind w:firstLine="1440"/>
      </w:pPr>
      <w:r w:rsidRPr="00FB448C">
        <w:t xml:space="preserve">On April 30, 2009, the Office of Administrative Law Judge scheduled an initial telephonic hearing for May 27, 2009.  On that date, the presiding officer convened the parties by telephone from the Commission’s offices in the Pittsburgh State Office Building and conducted the hearing.  Complainants appeared at the hearing </w:t>
      </w:r>
      <w:r w:rsidRPr="00FB448C">
        <w:rPr>
          <w:i/>
        </w:rPr>
        <w:t>pro se</w:t>
      </w:r>
      <w:r w:rsidRPr="00FB448C">
        <w:t xml:space="preserve">, and Michael A. </w:t>
      </w:r>
      <w:proofErr w:type="spellStart"/>
      <w:r w:rsidRPr="00FB448C">
        <w:t>Gruin</w:t>
      </w:r>
      <w:proofErr w:type="spellEnd"/>
      <w:r w:rsidRPr="00FB448C">
        <w:t>, Esquire, represented Pennsylvania Power Company.  Complainants submitted twenty (20) proposed exhibits prior to the hearing but moved to admit eight (8) exhibits.  Of those eight exhibits, five (5) exhibits were admitted (having been marked as Duffy Exhibits 8, 10, 18, 18A and 19).  Those exhibits were not appropriately marked, however, the presiding officer granted Complainants additional time after the hearing within which to provide appropriately-labeled copies of the exhibits discussed and admitted at the hearing.  On May 29, 2009, Complainants provided the exhibits as ordered.  Respondent offered nine (9) exhibits which were admitted as Penn Power Exhibits 1 through 9.</w:t>
      </w:r>
    </w:p>
    <w:p w14:paraId="5E2EA446" w14:textId="77777777" w:rsidR="00F24294" w:rsidRPr="00FB448C" w:rsidRDefault="00F24294" w:rsidP="00F24294">
      <w:pPr>
        <w:tabs>
          <w:tab w:val="left" w:pos="2160"/>
        </w:tabs>
        <w:spacing w:line="360" w:lineRule="auto"/>
        <w:ind w:firstLine="1440"/>
      </w:pPr>
    </w:p>
    <w:p w14:paraId="3E60F084" w14:textId="77777777" w:rsidR="00F24294" w:rsidRPr="00FB448C" w:rsidRDefault="00F24294" w:rsidP="00F24294">
      <w:pPr>
        <w:tabs>
          <w:tab w:val="left" w:pos="2160"/>
        </w:tabs>
        <w:spacing w:line="360" w:lineRule="auto"/>
        <w:ind w:firstLine="1440"/>
      </w:pPr>
      <w:r w:rsidRPr="00FB448C">
        <w:t xml:space="preserve">On May 29, 2009, the presiding officer issued the Third Interim Order which directed Respondent to complete a grounds check/foreign load check at Complainants’ residence, do an appliance/equipment consumption analysis at Complainants’ residence consistent with business standards and protocols available through the Electrical Power Research Institute (EPRI) within thirty days, and provide Complainants with an additional twenty day period within which to object to the submission of the reports and analysis, if there were objections.  </w:t>
      </w:r>
    </w:p>
    <w:p w14:paraId="27F7BEB0" w14:textId="77777777" w:rsidR="00F24294" w:rsidRPr="00FB448C" w:rsidRDefault="00F24294" w:rsidP="00F24294">
      <w:pPr>
        <w:tabs>
          <w:tab w:val="left" w:pos="2160"/>
        </w:tabs>
        <w:spacing w:line="360" w:lineRule="auto"/>
        <w:ind w:firstLine="1440"/>
      </w:pPr>
    </w:p>
    <w:p w14:paraId="665B2B65" w14:textId="77777777" w:rsidR="00F24294" w:rsidRPr="00FB448C" w:rsidRDefault="00F24294" w:rsidP="00F24294">
      <w:pPr>
        <w:tabs>
          <w:tab w:val="left" w:pos="2160"/>
        </w:tabs>
        <w:spacing w:line="360" w:lineRule="auto"/>
        <w:ind w:firstLine="1440"/>
      </w:pPr>
      <w:r w:rsidRPr="00FB448C">
        <w:t>On June 18, 2009, the presiding officer received the transcript from the initial telephonic hearing on May 27, 2009, said transcript consisting of two-hundred-five (205) pages.</w:t>
      </w:r>
    </w:p>
    <w:p w14:paraId="529CAA24" w14:textId="77777777" w:rsidR="00F24294" w:rsidRPr="00FB448C" w:rsidRDefault="00F24294" w:rsidP="00F24294">
      <w:pPr>
        <w:tabs>
          <w:tab w:val="left" w:pos="2160"/>
        </w:tabs>
        <w:spacing w:line="360" w:lineRule="auto"/>
        <w:ind w:firstLine="1440"/>
      </w:pPr>
    </w:p>
    <w:p w14:paraId="5F3808DC" w14:textId="77777777" w:rsidR="00F24294" w:rsidRPr="00FB448C" w:rsidRDefault="00F24294" w:rsidP="00F24294">
      <w:pPr>
        <w:tabs>
          <w:tab w:val="left" w:pos="2160"/>
        </w:tabs>
        <w:spacing w:line="360" w:lineRule="auto"/>
        <w:ind w:firstLine="1440"/>
      </w:pPr>
      <w:r w:rsidRPr="00FB448C">
        <w:t xml:space="preserve">On June 26, 2009, Respondent submitted a Foreign Load/Grounding Test Report and a Consumption Audit Report pursuant to the May 29, 2009 Interim Order.  On July 11, 2009, Complainants submitted a response to the two Reports and submitted nine (9) previously unmarked or submitted documents.  </w:t>
      </w:r>
    </w:p>
    <w:p w14:paraId="60F79CCB" w14:textId="7812EF7A" w:rsidR="00F24294" w:rsidRPr="00FB448C" w:rsidRDefault="00F24294" w:rsidP="00F24294">
      <w:pPr>
        <w:tabs>
          <w:tab w:val="left" w:pos="2160"/>
        </w:tabs>
        <w:spacing w:line="360" w:lineRule="auto"/>
        <w:ind w:firstLine="1440"/>
      </w:pPr>
      <w:r w:rsidRPr="00FB448C">
        <w:lastRenderedPageBreak/>
        <w:t>On July 17, 2009, the presiding officer issued the Briefing Order which directed the parties to file briefs on or before August 7, 2009 and reply briefs, if any, on or before August</w:t>
      </w:r>
      <w:r w:rsidR="004D204C">
        <w:t> </w:t>
      </w:r>
      <w:r w:rsidRPr="00FB448C">
        <w:t xml:space="preserve">14, 2009.  Complainants filed a Main Brief on August 6, 2009 and a response to Respondent’s Main Brief on August 14, 2009.  Respondent filed a Main Brief on August 6, 2009 and a Reply Brief on August 13, 2009.  </w:t>
      </w:r>
    </w:p>
    <w:p w14:paraId="16470DB0" w14:textId="77777777" w:rsidR="00F24294" w:rsidRPr="00FB448C" w:rsidRDefault="00F24294" w:rsidP="00F24294">
      <w:pPr>
        <w:tabs>
          <w:tab w:val="left" w:pos="2160"/>
        </w:tabs>
        <w:spacing w:line="360" w:lineRule="auto"/>
        <w:ind w:firstLine="1440"/>
      </w:pPr>
    </w:p>
    <w:p w14:paraId="3EE4C8AB" w14:textId="77777777" w:rsidR="00F24294" w:rsidRPr="00FB448C" w:rsidRDefault="00F24294" w:rsidP="00F24294">
      <w:pPr>
        <w:tabs>
          <w:tab w:val="left" w:pos="2160"/>
        </w:tabs>
        <w:spacing w:line="360" w:lineRule="auto"/>
        <w:ind w:firstLine="1440"/>
      </w:pPr>
      <w:r w:rsidRPr="00FB448C">
        <w:t xml:space="preserve">On August 18, 2009, the undersigned closed the hearing record by issuing the Interim Order Closing the Hearing Record.  </w:t>
      </w:r>
    </w:p>
    <w:p w14:paraId="69F316A5" w14:textId="77777777" w:rsidR="00F24294" w:rsidRPr="00FB448C" w:rsidRDefault="00F24294" w:rsidP="00F24294">
      <w:pPr>
        <w:tabs>
          <w:tab w:val="left" w:pos="2160"/>
        </w:tabs>
        <w:spacing w:line="360" w:lineRule="auto"/>
        <w:ind w:firstLine="1440"/>
      </w:pPr>
    </w:p>
    <w:p w14:paraId="2DB89F92" w14:textId="77777777" w:rsidR="00F24294" w:rsidRPr="00FB448C" w:rsidRDefault="00F24294" w:rsidP="00F24294">
      <w:pPr>
        <w:tabs>
          <w:tab w:val="left" w:pos="2160"/>
        </w:tabs>
        <w:spacing w:line="360" w:lineRule="auto"/>
        <w:ind w:firstLine="1440"/>
      </w:pPr>
      <w:r w:rsidRPr="00FB448C">
        <w:t>On December 7, 2009, the presiding officer re-opened the record for the purpose of admitting two reports, prepared as a result of the presiding officer’s May 29, 2009 Interim Order, and granted the parties twenty days in which to indicate if an additional hearing was needed in order to cross-examine the preparers of the reports and/or to present any rebuttal witness concerning the subject of the reports.</w:t>
      </w:r>
    </w:p>
    <w:p w14:paraId="1ECE5F89" w14:textId="77777777" w:rsidR="00F24294" w:rsidRPr="00FB448C" w:rsidRDefault="00F24294" w:rsidP="00F24294">
      <w:pPr>
        <w:tabs>
          <w:tab w:val="left" w:pos="2160"/>
        </w:tabs>
        <w:spacing w:line="360" w:lineRule="auto"/>
        <w:ind w:firstLine="1440"/>
      </w:pPr>
    </w:p>
    <w:p w14:paraId="6E33C6C9" w14:textId="77777777" w:rsidR="00F24294" w:rsidRPr="00FB448C" w:rsidRDefault="00F24294" w:rsidP="00F24294">
      <w:pPr>
        <w:tabs>
          <w:tab w:val="left" w:pos="2160"/>
        </w:tabs>
        <w:spacing w:line="360" w:lineRule="auto"/>
        <w:ind w:firstLine="1440"/>
      </w:pPr>
      <w:r w:rsidRPr="00FB448C">
        <w:t>On December 26, 2009, Complainants requested an additional hearing on this matter in order to admit as evidence a two-page cover letter dated July 11, 2009 with supporting documentation plus an Energy Consumption Audit dated June 16, 2009; and on January 13, 2010, Respondent requested an opportunity to submit additional Account Summary documentation.</w:t>
      </w:r>
    </w:p>
    <w:p w14:paraId="535DF9D1" w14:textId="77777777" w:rsidR="00F24294" w:rsidRPr="00FB448C" w:rsidRDefault="00F24294" w:rsidP="00F24294">
      <w:pPr>
        <w:tabs>
          <w:tab w:val="left" w:pos="2160"/>
        </w:tabs>
        <w:spacing w:line="360" w:lineRule="auto"/>
        <w:ind w:firstLine="1440"/>
      </w:pPr>
    </w:p>
    <w:p w14:paraId="574596E0" w14:textId="77777777" w:rsidR="00F24294" w:rsidRPr="00FB448C" w:rsidRDefault="00F24294" w:rsidP="00F24294">
      <w:pPr>
        <w:tabs>
          <w:tab w:val="left" w:pos="2160"/>
        </w:tabs>
        <w:spacing w:line="360" w:lineRule="auto"/>
        <w:ind w:firstLine="1440"/>
      </w:pPr>
      <w:r w:rsidRPr="00FB448C">
        <w:t>Thereafter, on January 15, 2010, the presiding officer issued the Sixth Interim Order which ordered a Subsequent Telephonic Hearing would be scheduled at which time Respondent was to make available the two preparers of the two reports and Complainants were to make available the preparer or preparers of Complainants’ Response.</w:t>
      </w:r>
    </w:p>
    <w:p w14:paraId="23B9E1F3" w14:textId="77777777" w:rsidR="00F24294" w:rsidRPr="00FB448C" w:rsidRDefault="00F24294" w:rsidP="00F24294">
      <w:pPr>
        <w:tabs>
          <w:tab w:val="left" w:pos="2160"/>
        </w:tabs>
        <w:spacing w:line="360" w:lineRule="auto"/>
        <w:ind w:firstLine="1440"/>
      </w:pPr>
    </w:p>
    <w:p w14:paraId="2D1DE133" w14:textId="77777777" w:rsidR="00F24294" w:rsidRPr="00FB448C" w:rsidRDefault="00F24294" w:rsidP="00F24294">
      <w:pPr>
        <w:tabs>
          <w:tab w:val="left" w:pos="2160"/>
        </w:tabs>
        <w:spacing w:line="360" w:lineRule="auto"/>
        <w:ind w:firstLine="1440"/>
      </w:pPr>
      <w:r w:rsidRPr="00FB448C">
        <w:t>On January 28, 2010, the Office of Administrative Law Judge scheduled the matter for a Further Telephonic Hearing on March 11, 2010 at 10:00 a.m.  Both parties requested the matter be rescheduled and, on February 26, 2010, the Office of Administrative Law Judge scheduled the matter for a Further Telephonic Hearing on April 19, 2010 at 10:00 a.m.</w:t>
      </w:r>
    </w:p>
    <w:p w14:paraId="6E5524A9" w14:textId="77777777" w:rsidR="00F24294" w:rsidRPr="00FB448C" w:rsidRDefault="00F24294" w:rsidP="00F24294">
      <w:pPr>
        <w:tabs>
          <w:tab w:val="left" w:pos="2160"/>
        </w:tabs>
        <w:spacing w:line="360" w:lineRule="auto"/>
        <w:ind w:firstLine="1440"/>
      </w:pPr>
    </w:p>
    <w:p w14:paraId="536C5E01" w14:textId="77777777" w:rsidR="00F24294" w:rsidRPr="00FB448C" w:rsidRDefault="00F24294" w:rsidP="00F24294">
      <w:pPr>
        <w:tabs>
          <w:tab w:val="left" w:pos="2160"/>
        </w:tabs>
        <w:spacing w:line="360" w:lineRule="auto"/>
        <w:ind w:firstLine="1440"/>
      </w:pPr>
      <w:r w:rsidRPr="00FB448C">
        <w:lastRenderedPageBreak/>
        <w:t xml:space="preserve">On April 19, 2010, the presiding officer convened the parties by telephone from the Commission’s offices in the Piatt Place Building, Pittsburgh, Pennsylvania, and conducted the hearing.  Complainants appeared at the hearing </w:t>
      </w:r>
      <w:r w:rsidRPr="00FB448C">
        <w:rPr>
          <w:i/>
        </w:rPr>
        <w:t>pro se</w:t>
      </w:r>
      <w:r w:rsidRPr="00FB448C">
        <w:t xml:space="preserve">, and Michael A. </w:t>
      </w:r>
      <w:proofErr w:type="spellStart"/>
      <w:r w:rsidRPr="00FB448C">
        <w:t>Gruin</w:t>
      </w:r>
      <w:proofErr w:type="spellEnd"/>
      <w:r w:rsidRPr="00FB448C">
        <w:t>, Esquire, represented Pennsylvania Power Company.  Complainants submitted and moved to admit one (1) exhibit, which exhibit was admitted as Complainants Exhibit 10.  Respondent offered two (2) exhibits which were admitted as Penn Power Exhibits 10 through 11.</w:t>
      </w:r>
    </w:p>
    <w:p w14:paraId="7F5F3AE1" w14:textId="77777777" w:rsidR="00F24294" w:rsidRPr="00FB448C" w:rsidRDefault="00F24294" w:rsidP="00F24294">
      <w:pPr>
        <w:tabs>
          <w:tab w:val="left" w:pos="2160"/>
        </w:tabs>
        <w:spacing w:line="360" w:lineRule="auto"/>
        <w:ind w:firstLine="1440"/>
      </w:pPr>
    </w:p>
    <w:p w14:paraId="0362C6DF" w14:textId="77777777" w:rsidR="00F24294" w:rsidRPr="00FB448C" w:rsidRDefault="00F24294" w:rsidP="00F24294">
      <w:pPr>
        <w:tabs>
          <w:tab w:val="left" w:pos="2160"/>
        </w:tabs>
        <w:spacing w:line="360" w:lineRule="auto"/>
        <w:ind w:firstLine="1440"/>
      </w:pPr>
      <w:r w:rsidRPr="00FB448C">
        <w:t>On May 19, 2010, the presiding officer received the transcript, consisting of seventy-eight (78) pages, from the April 19, 2010 hearing.  The parties indicated on the record their preference to forego briefs and, therefore, on May 21, 2010 the presiding officer closed the record.</w:t>
      </w:r>
    </w:p>
    <w:p w14:paraId="7F7419AC" w14:textId="77777777" w:rsidR="00F24294" w:rsidRPr="00FB448C" w:rsidRDefault="00F24294" w:rsidP="00F24294">
      <w:pPr>
        <w:spacing w:line="360" w:lineRule="auto"/>
      </w:pPr>
    </w:p>
    <w:p w14:paraId="2409D253" w14:textId="77777777" w:rsidR="00F24294" w:rsidRPr="00FB448C" w:rsidRDefault="00F24294" w:rsidP="00F24294">
      <w:pPr>
        <w:spacing w:line="360" w:lineRule="auto"/>
        <w:jc w:val="center"/>
      </w:pPr>
      <w:r w:rsidRPr="00FB448C">
        <w:rPr>
          <w:u w:val="single"/>
        </w:rPr>
        <w:t>FINDINGS OF FACT</w:t>
      </w:r>
    </w:p>
    <w:p w14:paraId="27D670ED" w14:textId="77777777" w:rsidR="00F24294" w:rsidRPr="00FB448C" w:rsidRDefault="00F24294" w:rsidP="00F24294">
      <w:pPr>
        <w:spacing w:line="360" w:lineRule="auto"/>
      </w:pPr>
    </w:p>
    <w:p w14:paraId="68B70578" w14:textId="77777777" w:rsidR="00F24294" w:rsidRPr="00FB448C" w:rsidRDefault="00F24294" w:rsidP="00F24294">
      <w:pPr>
        <w:spacing w:line="360" w:lineRule="auto"/>
      </w:pPr>
      <w:r w:rsidRPr="00FB448C">
        <w:tab/>
      </w:r>
      <w:r w:rsidRPr="00FB448C">
        <w:tab/>
        <w:t>1.</w:t>
      </w:r>
      <w:r w:rsidRPr="00FB448C">
        <w:tab/>
        <w:t xml:space="preserve">Complainants Chester “Chet” and Michele Duffy reside at 135 Liberty Road, Harmony, Butler County, Pennsylvania, along with their </w:t>
      </w:r>
      <w:proofErr w:type="gramStart"/>
      <w:r w:rsidRPr="00FB448C">
        <w:t>twelve year old</w:t>
      </w:r>
      <w:proofErr w:type="gramEnd"/>
      <w:r w:rsidRPr="00FB448C">
        <w:t xml:space="preserve"> son, and where they receive electric utility service from Respondent.  Tr. 12, 16, 75.</w:t>
      </w:r>
    </w:p>
    <w:p w14:paraId="5059B079" w14:textId="77777777" w:rsidR="00F24294" w:rsidRPr="00FB448C" w:rsidRDefault="00F24294" w:rsidP="00F24294">
      <w:pPr>
        <w:spacing w:line="360" w:lineRule="auto"/>
      </w:pPr>
    </w:p>
    <w:p w14:paraId="1BD3F0AB" w14:textId="77777777" w:rsidR="00F24294" w:rsidRPr="00FB448C" w:rsidRDefault="00F24294" w:rsidP="00F24294">
      <w:pPr>
        <w:spacing w:line="360" w:lineRule="auto"/>
      </w:pPr>
      <w:r w:rsidRPr="00FB448C">
        <w:tab/>
      </w:r>
      <w:r w:rsidRPr="00FB448C">
        <w:tab/>
        <w:t>2.</w:t>
      </w:r>
      <w:r w:rsidRPr="00FB448C">
        <w:tab/>
        <w:t>Respondent is the electricity distribution company currently providing electric service to Complainants at their residence.  Tr. 16.</w:t>
      </w:r>
    </w:p>
    <w:p w14:paraId="2CC49A60" w14:textId="77777777" w:rsidR="00F24294" w:rsidRPr="00FB448C" w:rsidRDefault="00F24294" w:rsidP="00F24294">
      <w:pPr>
        <w:spacing w:line="360" w:lineRule="auto"/>
      </w:pPr>
    </w:p>
    <w:p w14:paraId="0D632EF1" w14:textId="77777777" w:rsidR="00F24294" w:rsidRPr="00FB448C" w:rsidRDefault="00F24294" w:rsidP="00F24294">
      <w:pPr>
        <w:spacing w:line="360" w:lineRule="auto"/>
      </w:pPr>
      <w:r w:rsidRPr="00FB448C">
        <w:tab/>
      </w:r>
      <w:r w:rsidRPr="00FB448C">
        <w:tab/>
        <w:t>3.</w:t>
      </w:r>
      <w:r w:rsidRPr="00FB448C">
        <w:tab/>
        <w:t>In the summer of 2007, Complainants inquired with Respondent’s personnel concerning whether an additional electric service line should be installed to the property because Complainants added new electrical equipment to the residence.  Tr. 137, 140.</w:t>
      </w:r>
    </w:p>
    <w:p w14:paraId="310C93C4" w14:textId="77777777" w:rsidR="00F24294" w:rsidRPr="00FB448C" w:rsidRDefault="00F24294" w:rsidP="00F24294">
      <w:pPr>
        <w:spacing w:line="360" w:lineRule="auto"/>
      </w:pPr>
    </w:p>
    <w:p w14:paraId="4A8D933B" w14:textId="77777777" w:rsidR="00F24294" w:rsidRPr="00FB448C" w:rsidRDefault="00F24294" w:rsidP="00F24294">
      <w:pPr>
        <w:spacing w:line="360" w:lineRule="auto"/>
      </w:pPr>
      <w:r w:rsidRPr="00FB448C">
        <w:tab/>
      </w:r>
      <w:r w:rsidRPr="00FB448C">
        <w:tab/>
        <w:t>4.</w:t>
      </w:r>
      <w:r w:rsidRPr="00FB448C">
        <w:tab/>
        <w:t xml:space="preserve">As a result of Complainants’ inquiry in the summer of 2007, Respondent’s personnel replaced the then-current 25 kilowatt </w:t>
      </w:r>
      <w:proofErr w:type="spellStart"/>
      <w:r w:rsidRPr="00FB448C">
        <w:t>padmounted</w:t>
      </w:r>
      <w:proofErr w:type="spellEnd"/>
      <w:r w:rsidRPr="00FB448C">
        <w:t xml:space="preserve"> transformer with a 100 kilowatt </w:t>
      </w:r>
      <w:proofErr w:type="spellStart"/>
      <w:r w:rsidRPr="00FB448C">
        <w:t>padmounted</w:t>
      </w:r>
      <w:proofErr w:type="spellEnd"/>
      <w:r w:rsidRPr="00FB448C">
        <w:t xml:space="preserve"> transformer in August 2007 and verified the transformer worked properly.  Tr. 25, 26, 141-143, 237.</w:t>
      </w:r>
    </w:p>
    <w:p w14:paraId="34560DC9" w14:textId="77777777" w:rsidR="00F24294" w:rsidRPr="00FB448C" w:rsidRDefault="00F24294" w:rsidP="00F24294">
      <w:pPr>
        <w:spacing w:line="360" w:lineRule="auto"/>
      </w:pPr>
    </w:p>
    <w:p w14:paraId="645B9935" w14:textId="77777777" w:rsidR="00F24294" w:rsidRPr="00FB448C" w:rsidRDefault="00F24294" w:rsidP="00F24294">
      <w:pPr>
        <w:spacing w:line="360" w:lineRule="auto"/>
      </w:pPr>
      <w:r w:rsidRPr="00FB448C">
        <w:lastRenderedPageBreak/>
        <w:tab/>
      </w:r>
      <w:r w:rsidRPr="00FB448C">
        <w:tab/>
        <w:t>5.</w:t>
      </w:r>
      <w:r w:rsidRPr="00FB448C">
        <w:tab/>
        <w:t>A transformer functions to “step down” or reduce the voltage entering the residence from the high voltage flowing through the line to the lower voltage needed in the home.  Consumers are then billed based on the amount of lower voltage level electricity that enters the home.  Tr. 142, 143.</w:t>
      </w:r>
    </w:p>
    <w:p w14:paraId="29116125" w14:textId="77777777" w:rsidR="00F24294" w:rsidRPr="00FB448C" w:rsidRDefault="00F24294" w:rsidP="00F24294">
      <w:pPr>
        <w:spacing w:line="360" w:lineRule="auto"/>
      </w:pPr>
    </w:p>
    <w:p w14:paraId="1AC88895" w14:textId="77777777" w:rsidR="00F24294" w:rsidRPr="00FB448C" w:rsidRDefault="00F24294" w:rsidP="00F24294">
      <w:pPr>
        <w:spacing w:line="360" w:lineRule="auto"/>
      </w:pPr>
      <w:r w:rsidRPr="00FB448C">
        <w:tab/>
      </w:r>
      <w:r w:rsidRPr="00FB448C">
        <w:tab/>
        <w:t>6.</w:t>
      </w:r>
      <w:r w:rsidRPr="00FB448C">
        <w:tab/>
        <w:t>Shortly thereafter, from December 2007 to March 2009, Complainants noted the recorded monthly consumption on their electrical bills increased by 47 to 54 percent.  Tr. 25, 32; Complainants’ Exhibit 18A.</w:t>
      </w:r>
    </w:p>
    <w:p w14:paraId="1A2C8231" w14:textId="77777777" w:rsidR="00F24294" w:rsidRPr="00FB448C" w:rsidRDefault="00F24294" w:rsidP="00F24294">
      <w:pPr>
        <w:spacing w:line="360" w:lineRule="auto"/>
      </w:pPr>
    </w:p>
    <w:p w14:paraId="388B3EE9" w14:textId="77777777" w:rsidR="00F24294" w:rsidRPr="00FB448C" w:rsidRDefault="00F24294" w:rsidP="00F24294">
      <w:pPr>
        <w:spacing w:line="360" w:lineRule="auto"/>
      </w:pPr>
      <w:r w:rsidRPr="00FB448C">
        <w:tab/>
      </w:r>
      <w:r w:rsidRPr="00FB448C">
        <w:tab/>
        <w:t>7.</w:t>
      </w:r>
      <w:r w:rsidRPr="00FB448C">
        <w:tab/>
        <w:t>Complainants reside in a 4000 square foot home which is serviced by two electric heating/cooling systems, two electric water heaters, and two central air conditioning units.  Tr. 63, 64, 163; Complainants’ Exhibit 18.</w:t>
      </w:r>
    </w:p>
    <w:p w14:paraId="50F93175" w14:textId="77777777" w:rsidR="00F24294" w:rsidRPr="00FB448C" w:rsidRDefault="00F24294" w:rsidP="00F24294">
      <w:pPr>
        <w:spacing w:line="360" w:lineRule="auto"/>
      </w:pPr>
    </w:p>
    <w:p w14:paraId="02EB33EB" w14:textId="77777777" w:rsidR="00F24294" w:rsidRPr="00FB448C" w:rsidRDefault="00F24294" w:rsidP="00F24294">
      <w:pPr>
        <w:spacing w:line="360" w:lineRule="auto"/>
      </w:pPr>
      <w:r w:rsidRPr="00FB448C">
        <w:tab/>
      </w:r>
      <w:r w:rsidRPr="00FB448C">
        <w:tab/>
        <w:t>8.</w:t>
      </w:r>
      <w:r w:rsidRPr="00FB448C">
        <w:tab/>
        <w:t>The heat pumps used by Complainants to heat and cool their residence are original and were installed during construction of the residence in 1992.  Tr. 231, 234, 238-247; Penn Power Exhibit 11.</w:t>
      </w:r>
    </w:p>
    <w:p w14:paraId="14336CC1" w14:textId="77777777" w:rsidR="00F24294" w:rsidRPr="00FB448C" w:rsidRDefault="00F24294" w:rsidP="00F24294">
      <w:pPr>
        <w:spacing w:line="360" w:lineRule="auto"/>
      </w:pPr>
    </w:p>
    <w:p w14:paraId="13DFEC4E" w14:textId="77777777" w:rsidR="00F24294" w:rsidRPr="00FB448C" w:rsidRDefault="00F24294" w:rsidP="00F24294">
      <w:pPr>
        <w:spacing w:line="360" w:lineRule="auto"/>
      </w:pPr>
      <w:r w:rsidRPr="00FB448C">
        <w:tab/>
      </w:r>
      <w:r w:rsidRPr="00FB448C">
        <w:tab/>
        <w:t>9.</w:t>
      </w:r>
      <w:r w:rsidRPr="00FB448C">
        <w:tab/>
        <w:t>Complainants own and use a 3600 square foot pole barn structure constructed of metal with concrete flooring.  The barn is heated by circulating hot water under the concrete floor, which water comes from a separate 80-gallon hot water tank that uses electricity to heat the water.  In addition, Complainants use a kerosene-fired heater with an electric blower during cold weather.  Tr. 64, 65, 92, 97, 163; Complainants’ Exhibit 18.</w:t>
      </w:r>
    </w:p>
    <w:p w14:paraId="10791BB2" w14:textId="77777777" w:rsidR="00F24294" w:rsidRPr="00FB448C" w:rsidRDefault="00F24294" w:rsidP="00F24294">
      <w:pPr>
        <w:spacing w:line="360" w:lineRule="auto"/>
      </w:pPr>
    </w:p>
    <w:p w14:paraId="1128275A" w14:textId="77777777" w:rsidR="00F24294" w:rsidRPr="00FB448C" w:rsidRDefault="00F24294" w:rsidP="00F24294">
      <w:pPr>
        <w:spacing w:line="360" w:lineRule="auto"/>
      </w:pPr>
      <w:r w:rsidRPr="00FB448C">
        <w:tab/>
      </w:r>
      <w:r w:rsidRPr="00FB448C">
        <w:tab/>
        <w:t>10.</w:t>
      </w:r>
      <w:r w:rsidRPr="00FB448C">
        <w:tab/>
        <w:t xml:space="preserve">The barn’s heated concrete floor, which Complainants </w:t>
      </w:r>
      <w:proofErr w:type="gramStart"/>
      <w:r w:rsidRPr="00FB448C">
        <w:t>installed</w:t>
      </w:r>
      <w:proofErr w:type="gramEnd"/>
      <w:r w:rsidRPr="00FB448C">
        <w:t xml:space="preserve"> and which requires electricity to heat the water used to warm the floor, works best when allowed to operate continuously (“24/7”) and to maintain the heated floor temperature over a long period of time.  Tr. 163-164.</w:t>
      </w:r>
    </w:p>
    <w:p w14:paraId="4C7A5733" w14:textId="77777777" w:rsidR="00F24294" w:rsidRPr="00FB448C" w:rsidRDefault="00F24294" w:rsidP="00F24294">
      <w:pPr>
        <w:spacing w:line="360" w:lineRule="auto"/>
      </w:pPr>
    </w:p>
    <w:p w14:paraId="0C701F84" w14:textId="77777777" w:rsidR="00F24294" w:rsidRPr="00FB448C" w:rsidRDefault="00F24294" w:rsidP="00F24294">
      <w:pPr>
        <w:spacing w:line="360" w:lineRule="auto"/>
      </w:pPr>
      <w:r w:rsidRPr="00FB448C">
        <w:tab/>
      </w:r>
      <w:r w:rsidRPr="00FB448C">
        <w:tab/>
        <w:t>11.</w:t>
      </w:r>
      <w:r w:rsidRPr="00FB448C">
        <w:tab/>
        <w:t>The barn’s in-floor heating system, if allowed to operate continuously, would account for 3200 kilowatt hours of consumed electricity monthly.  Tr. 164-166.</w:t>
      </w:r>
    </w:p>
    <w:p w14:paraId="4475B237" w14:textId="77777777" w:rsidR="00F24294" w:rsidRPr="00FB448C" w:rsidRDefault="00F24294" w:rsidP="00F24294">
      <w:pPr>
        <w:spacing w:line="360" w:lineRule="auto"/>
      </w:pPr>
    </w:p>
    <w:p w14:paraId="7242C8B6" w14:textId="77777777" w:rsidR="00F24294" w:rsidRPr="00FB448C" w:rsidRDefault="00F24294" w:rsidP="00F24294">
      <w:pPr>
        <w:spacing w:line="360" w:lineRule="auto"/>
      </w:pPr>
      <w:r w:rsidRPr="00FB448C">
        <w:lastRenderedPageBreak/>
        <w:tab/>
      </w:r>
      <w:r w:rsidRPr="00FB448C">
        <w:tab/>
        <w:t>12.</w:t>
      </w:r>
      <w:r w:rsidRPr="00FB448C">
        <w:tab/>
        <w:t>Complainants installed t</w:t>
      </w:r>
      <w:r>
        <w:t>he heating system</w:t>
      </w:r>
      <w:r w:rsidRPr="00FB448C">
        <w:t xml:space="preserve"> in the barn in 2001 but in 2007 started using the barn during the winter months after having installed insulation</w:t>
      </w:r>
      <w:r>
        <w:t xml:space="preserve">, </w:t>
      </w:r>
      <w:r w:rsidRPr="00FB448C">
        <w:t>knotty pine paneling on the walls</w:t>
      </w:r>
      <w:r>
        <w:t>, and furnishings</w:t>
      </w:r>
      <w:r w:rsidRPr="00FB448C">
        <w:t>.  Tr. 65, 94.</w:t>
      </w:r>
    </w:p>
    <w:p w14:paraId="071ADB11" w14:textId="77777777" w:rsidR="00F24294" w:rsidRPr="00FB448C" w:rsidRDefault="00F24294" w:rsidP="00F24294">
      <w:pPr>
        <w:spacing w:line="360" w:lineRule="auto"/>
      </w:pPr>
    </w:p>
    <w:p w14:paraId="2C52D2D9" w14:textId="77777777" w:rsidR="00F24294" w:rsidRPr="00FB448C" w:rsidRDefault="00F24294" w:rsidP="00F24294">
      <w:pPr>
        <w:spacing w:line="360" w:lineRule="auto"/>
      </w:pPr>
      <w:r w:rsidRPr="00FB448C">
        <w:tab/>
      </w:r>
      <w:r w:rsidRPr="00FB448C">
        <w:tab/>
        <w:t>13.</w:t>
      </w:r>
      <w:r w:rsidRPr="00FB448C">
        <w:tab/>
        <w:t>Complainants’ testimony, that the installation of hot water heat in the floor, insulation and wood paneling on the barn’s walls and ceiling were for aesthetic reasons mainly, was not accepted as credible.  Tr. 94, 98.</w:t>
      </w:r>
    </w:p>
    <w:p w14:paraId="006FA71A" w14:textId="77777777" w:rsidR="00F24294" w:rsidRPr="00FB448C" w:rsidRDefault="00F24294" w:rsidP="00F24294">
      <w:pPr>
        <w:spacing w:line="360" w:lineRule="auto"/>
      </w:pPr>
    </w:p>
    <w:p w14:paraId="566A42DF" w14:textId="77777777" w:rsidR="00F24294" w:rsidRPr="00FB448C" w:rsidRDefault="00F24294" w:rsidP="00F24294">
      <w:pPr>
        <w:spacing w:line="360" w:lineRule="auto"/>
      </w:pPr>
      <w:r w:rsidRPr="00FB448C">
        <w:tab/>
      </w:r>
      <w:r w:rsidRPr="00FB448C">
        <w:tab/>
        <w:t>14.</w:t>
      </w:r>
      <w:r w:rsidRPr="00FB448C">
        <w:tab/>
        <w:t>Complainants’ testimony, that the barn space is used only for storage, for their son to ride his bike during the winter, and for their son to play with his train set, lacked credibility.  Tr. 94, 99.</w:t>
      </w:r>
    </w:p>
    <w:p w14:paraId="45944838" w14:textId="77777777" w:rsidR="00F24294" w:rsidRPr="00FB448C" w:rsidRDefault="00F24294" w:rsidP="00F24294">
      <w:pPr>
        <w:spacing w:line="360" w:lineRule="auto"/>
      </w:pPr>
    </w:p>
    <w:p w14:paraId="64A35E2A" w14:textId="77777777" w:rsidR="00F24294" w:rsidRPr="00FB448C" w:rsidRDefault="00F24294" w:rsidP="00F24294">
      <w:pPr>
        <w:spacing w:line="360" w:lineRule="auto"/>
      </w:pPr>
      <w:r w:rsidRPr="00FB448C">
        <w:tab/>
      </w:r>
      <w:r w:rsidRPr="00FB448C">
        <w:tab/>
        <w:t>15.</w:t>
      </w:r>
      <w:r w:rsidRPr="00FB448C">
        <w:tab/>
        <w:t>Complainants’ testimony, that the barn is heated rarely because Complainants rarely stay out in the barn for an extended time period, lacked credibility.  Tr. 102, 103.</w:t>
      </w:r>
    </w:p>
    <w:p w14:paraId="6A605895" w14:textId="77777777" w:rsidR="00F24294" w:rsidRPr="00FB448C" w:rsidRDefault="00F24294" w:rsidP="00F24294">
      <w:pPr>
        <w:spacing w:line="360" w:lineRule="auto"/>
      </w:pPr>
    </w:p>
    <w:p w14:paraId="0D33387B" w14:textId="77777777" w:rsidR="00F24294" w:rsidRPr="00FB448C" w:rsidRDefault="00F24294" w:rsidP="00F24294">
      <w:pPr>
        <w:spacing w:line="360" w:lineRule="auto"/>
      </w:pPr>
      <w:r w:rsidRPr="00FB448C">
        <w:tab/>
      </w:r>
      <w:r w:rsidRPr="00FB448C">
        <w:tab/>
        <w:t>16.</w:t>
      </w:r>
      <w:r w:rsidRPr="00FB448C">
        <w:tab/>
        <w:t>In addition to the electrical devices noted in Findings #7 and #9, the residence uses electricity for the electric pumps in the in-ground pool and Jacuzzi, five television sets including three flat screen sets, one refrigerator, three small refrigerators, one freezer, one microwave, one dishwasher, one disposal, one cook-top stove, one washer, one dryer, one outdoor waterfall, one desktop computer, two laptop computers, and two printers.  Tr. 69, 70, 90, 91, 95; Complainants’ Exhibit 18.</w:t>
      </w:r>
    </w:p>
    <w:p w14:paraId="010A6CD4" w14:textId="77777777" w:rsidR="00F24294" w:rsidRPr="00FB448C" w:rsidRDefault="00F24294" w:rsidP="00F24294">
      <w:pPr>
        <w:spacing w:line="360" w:lineRule="auto"/>
      </w:pPr>
    </w:p>
    <w:p w14:paraId="07FD9F97" w14:textId="77777777" w:rsidR="00F24294" w:rsidRPr="00FB448C" w:rsidRDefault="00F24294" w:rsidP="00F24294">
      <w:pPr>
        <w:spacing w:line="360" w:lineRule="auto"/>
      </w:pPr>
      <w:r w:rsidRPr="00FB448C">
        <w:tab/>
      </w:r>
      <w:r w:rsidRPr="00FB448C">
        <w:tab/>
        <w:t>17.</w:t>
      </w:r>
      <w:r w:rsidRPr="00FB448C">
        <w:tab/>
        <w:t>Respondent removed Complainants’ electric meter on April 28, 2008 and replaced it with a new, previously-tested meter.  Upon removal, Complainants’ previous meter was tested and verified as accurate.  Tr. 147, 148; Penn Power Exhibit 1.</w:t>
      </w:r>
    </w:p>
    <w:p w14:paraId="27E01B88" w14:textId="77777777" w:rsidR="00F24294" w:rsidRPr="00FB448C" w:rsidRDefault="00F24294" w:rsidP="00F24294">
      <w:pPr>
        <w:spacing w:line="360" w:lineRule="auto"/>
      </w:pPr>
    </w:p>
    <w:p w14:paraId="5B8CEDCF" w14:textId="77777777" w:rsidR="00F24294" w:rsidRPr="00FB448C" w:rsidRDefault="00F24294" w:rsidP="00F24294">
      <w:pPr>
        <w:spacing w:line="360" w:lineRule="auto"/>
      </w:pPr>
      <w:r w:rsidRPr="00FB448C">
        <w:tab/>
      </w:r>
      <w:r w:rsidRPr="00FB448C">
        <w:tab/>
        <w:t>18.</w:t>
      </w:r>
      <w:r w:rsidRPr="00FB448C">
        <w:tab/>
        <w:t>In June 2008 and again in February 2009, Respondent installed socket recorders in the meter socket and under the billing meter.  The socket recorder monitored voltage, amperage power quality and consumption for one-week periods each time, which recorders verified good voltage was entering the home.  Tr. 136, 137, 143, 147.</w:t>
      </w:r>
    </w:p>
    <w:p w14:paraId="488C05A3" w14:textId="77777777" w:rsidR="00F24294" w:rsidRPr="00FB448C" w:rsidRDefault="00F24294" w:rsidP="00F24294">
      <w:pPr>
        <w:spacing w:line="360" w:lineRule="auto"/>
      </w:pPr>
      <w:r w:rsidRPr="00FB448C">
        <w:lastRenderedPageBreak/>
        <w:tab/>
      </w:r>
      <w:r w:rsidRPr="00FB448C">
        <w:tab/>
        <w:t>19.</w:t>
      </w:r>
      <w:r w:rsidRPr="00FB448C">
        <w:tab/>
        <w:t xml:space="preserve">From June 18, 2008 to June 25, 2008, Respondent’s socket recorder showed average voltage and </w:t>
      </w:r>
      <w:proofErr w:type="gramStart"/>
      <w:r w:rsidRPr="00FB448C">
        <w:t>1485 kilowatt</w:t>
      </w:r>
      <w:proofErr w:type="gramEnd"/>
      <w:r w:rsidRPr="00FB448C">
        <w:t xml:space="preserve"> hour usage which, when projected for average monthly usage, would result in an average usage of 6506 kilowatt hours monthly.  Tr. 150, 151, 155; Penn Power Exhibits 2 &amp; 3.</w:t>
      </w:r>
    </w:p>
    <w:p w14:paraId="3EC121DF" w14:textId="77777777" w:rsidR="00F24294" w:rsidRPr="00FB448C" w:rsidRDefault="00F24294" w:rsidP="00F24294">
      <w:pPr>
        <w:spacing w:line="360" w:lineRule="auto"/>
      </w:pPr>
    </w:p>
    <w:p w14:paraId="123D31D2" w14:textId="77777777" w:rsidR="00F24294" w:rsidRPr="00FB448C" w:rsidRDefault="00F24294" w:rsidP="00F24294">
      <w:pPr>
        <w:spacing w:line="360" w:lineRule="auto"/>
      </w:pPr>
      <w:r w:rsidRPr="00FB448C">
        <w:tab/>
      </w:r>
      <w:r w:rsidRPr="00FB448C">
        <w:tab/>
        <w:t>20.</w:t>
      </w:r>
      <w:r w:rsidRPr="00FB448C">
        <w:tab/>
        <w:t xml:space="preserve">During the June 2008 test, Respondent’s socket recorder noted a “two sag </w:t>
      </w:r>
      <w:proofErr w:type="gramStart"/>
      <w:r w:rsidRPr="00FB448C">
        <w:t>event</w:t>
      </w:r>
      <w:proofErr w:type="gramEnd"/>
      <w:r w:rsidRPr="00FB448C">
        <w:t xml:space="preserve">” at Complainants’ residence, when the voltage momentarily drops below 115 volts and creates a small </w:t>
      </w:r>
      <w:proofErr w:type="spellStart"/>
      <w:r w:rsidRPr="00FB448C">
        <w:t>affect</w:t>
      </w:r>
      <w:proofErr w:type="spellEnd"/>
      <w:r w:rsidRPr="00FB448C">
        <w:t xml:space="preserve"> on kilowatt hours by reducing the recorded kilowatt consumption.  Tr. 184, 185; Penn Power Exhibit 2.</w:t>
      </w:r>
    </w:p>
    <w:p w14:paraId="50ACF58B" w14:textId="77777777" w:rsidR="00F24294" w:rsidRPr="00FB448C" w:rsidRDefault="00F24294" w:rsidP="00F24294">
      <w:pPr>
        <w:spacing w:line="360" w:lineRule="auto"/>
      </w:pPr>
    </w:p>
    <w:p w14:paraId="1654AE70" w14:textId="77777777" w:rsidR="00F24294" w:rsidRPr="00FB448C" w:rsidRDefault="00F24294" w:rsidP="00F24294">
      <w:pPr>
        <w:spacing w:line="360" w:lineRule="auto"/>
      </w:pPr>
      <w:r w:rsidRPr="00FB448C">
        <w:tab/>
      </w:r>
      <w:r w:rsidRPr="00FB448C">
        <w:tab/>
        <w:t>21.</w:t>
      </w:r>
      <w:r w:rsidRPr="00FB448C">
        <w:tab/>
        <w:t xml:space="preserve">The 30-minute delay, between when Respondent’s technician read the billing meter and when he removed the socket recorder after the February 2009 test, is the reason why Respondent’s technician recorded a </w:t>
      </w:r>
      <w:proofErr w:type="gramStart"/>
      <w:r w:rsidRPr="00FB448C">
        <w:t>15 kilowatt</w:t>
      </w:r>
      <w:proofErr w:type="gramEnd"/>
      <w:r w:rsidRPr="00FB448C">
        <w:t xml:space="preserve"> hour discrepancy between what the socket recorder tested (3374 kilowatt hour usage) and what the billing meter billed (3389 kilowatt hour usage).  Tr. 148, 149; Penn Power Exhibit 2.</w:t>
      </w:r>
    </w:p>
    <w:p w14:paraId="49B4C977" w14:textId="77777777" w:rsidR="00F24294" w:rsidRPr="00FB448C" w:rsidRDefault="00F24294" w:rsidP="00F24294">
      <w:pPr>
        <w:spacing w:line="360" w:lineRule="auto"/>
      </w:pPr>
    </w:p>
    <w:p w14:paraId="37A1BEB6" w14:textId="77777777" w:rsidR="00F24294" w:rsidRPr="00FB448C" w:rsidRDefault="00F24294" w:rsidP="00F24294">
      <w:pPr>
        <w:spacing w:line="360" w:lineRule="auto"/>
      </w:pPr>
      <w:r w:rsidRPr="00FB448C">
        <w:tab/>
      </w:r>
      <w:r w:rsidRPr="00FB448C">
        <w:tab/>
        <w:t>22.</w:t>
      </w:r>
      <w:r w:rsidRPr="00FB448C">
        <w:tab/>
        <w:t>The February 2009 test showed average voltage and the kilowatt hour usage, when projected for average monthly usage, would result in an average usage of 14,672 kilowatt hours monthly.  (Tr. 149, 150, 154; Penn Power Exhibits 2 &amp; 5).</w:t>
      </w:r>
    </w:p>
    <w:p w14:paraId="531E15D9" w14:textId="77777777" w:rsidR="00F24294" w:rsidRPr="00FB448C" w:rsidRDefault="00F24294" w:rsidP="00F24294">
      <w:pPr>
        <w:spacing w:line="360" w:lineRule="auto"/>
      </w:pPr>
    </w:p>
    <w:p w14:paraId="4438F57B" w14:textId="77777777" w:rsidR="00F24294" w:rsidRPr="00FB448C" w:rsidRDefault="00F24294" w:rsidP="00F24294">
      <w:pPr>
        <w:spacing w:line="360" w:lineRule="auto"/>
      </w:pPr>
      <w:r w:rsidRPr="00FB448C">
        <w:tab/>
      </w:r>
      <w:r w:rsidRPr="00FB448C">
        <w:tab/>
        <w:t>23.</w:t>
      </w:r>
      <w:r w:rsidRPr="00FB448C">
        <w:tab/>
        <w:t xml:space="preserve">During the February 2009 test, Respondent’s recorder noted a “three hundred sag </w:t>
      </w:r>
      <w:proofErr w:type="gramStart"/>
      <w:r w:rsidRPr="00FB448C">
        <w:t>event</w:t>
      </w:r>
      <w:proofErr w:type="gramEnd"/>
      <w:r w:rsidRPr="00FB448C">
        <w:t xml:space="preserve">” at Complainants’ residence when the voltage momentarily dropped below 115 volts and created a small </w:t>
      </w:r>
      <w:proofErr w:type="spellStart"/>
      <w:r w:rsidRPr="00FB448C">
        <w:t>affect</w:t>
      </w:r>
      <w:proofErr w:type="spellEnd"/>
      <w:r w:rsidRPr="00FB448C">
        <w:t xml:space="preserve"> on kilowatt hours by reducing the recorded kilowatt consumption.  Tr. 184-186, 201; Penn Power Exhibit 2.</w:t>
      </w:r>
    </w:p>
    <w:p w14:paraId="582E4CBE" w14:textId="77777777" w:rsidR="00F24294" w:rsidRPr="00FB448C" w:rsidRDefault="00F24294" w:rsidP="00F24294">
      <w:pPr>
        <w:spacing w:line="360" w:lineRule="auto"/>
      </w:pPr>
    </w:p>
    <w:p w14:paraId="034305CB" w14:textId="77777777" w:rsidR="00F24294" w:rsidRPr="00FB448C" w:rsidRDefault="00F24294" w:rsidP="00F24294">
      <w:pPr>
        <w:spacing w:line="360" w:lineRule="auto"/>
      </w:pPr>
      <w:r w:rsidRPr="00FB448C">
        <w:tab/>
      </w:r>
      <w:r w:rsidRPr="00FB448C">
        <w:tab/>
        <w:t>24.</w:t>
      </w:r>
      <w:r w:rsidRPr="00FB448C">
        <w:tab/>
        <w:t>In February 2009, Complainants hired a consultant who performed a ground test on the electrical devices in the residence.  Tr. 22.</w:t>
      </w:r>
    </w:p>
    <w:p w14:paraId="3D41FE62" w14:textId="77777777" w:rsidR="00F24294" w:rsidRPr="00FB448C" w:rsidRDefault="00F24294" w:rsidP="00F24294">
      <w:pPr>
        <w:spacing w:line="360" w:lineRule="auto"/>
      </w:pPr>
    </w:p>
    <w:p w14:paraId="27C8D3F1" w14:textId="77777777" w:rsidR="00F24294" w:rsidRPr="00FB448C" w:rsidRDefault="00F24294" w:rsidP="00F24294">
      <w:pPr>
        <w:spacing w:line="360" w:lineRule="auto"/>
      </w:pPr>
      <w:r w:rsidRPr="00FB448C">
        <w:tab/>
      </w:r>
      <w:r w:rsidRPr="00FB448C">
        <w:tab/>
        <w:t>25.</w:t>
      </w:r>
      <w:r w:rsidRPr="00FB448C">
        <w:tab/>
        <w:t xml:space="preserve">Complainants turn down the heat thermostat to 68 degrees if they leave the residence in the winter for any extended </w:t>
      </w:r>
      <w:proofErr w:type="gramStart"/>
      <w:r w:rsidRPr="00FB448C">
        <w:t>period of time</w:t>
      </w:r>
      <w:proofErr w:type="gramEnd"/>
      <w:r w:rsidRPr="00FB448C">
        <w:t>.  Tr. 25.</w:t>
      </w:r>
    </w:p>
    <w:p w14:paraId="5E7782F7" w14:textId="77777777" w:rsidR="00F24294" w:rsidRPr="00FB448C" w:rsidRDefault="00F24294" w:rsidP="00F24294">
      <w:pPr>
        <w:spacing w:line="360" w:lineRule="auto"/>
      </w:pPr>
    </w:p>
    <w:p w14:paraId="29E82356" w14:textId="77777777" w:rsidR="00F24294" w:rsidRPr="00FB448C" w:rsidRDefault="00F24294" w:rsidP="00F24294">
      <w:pPr>
        <w:spacing w:line="360" w:lineRule="auto"/>
        <w:ind w:firstLine="1440"/>
      </w:pPr>
      <w:r w:rsidRPr="00FB448C">
        <w:lastRenderedPageBreak/>
        <w:t>26.</w:t>
      </w:r>
      <w:r w:rsidRPr="00FB448C">
        <w:tab/>
        <w:t xml:space="preserve">Complainants contracted with an electrical inspector who measured actual consumption of each electrical appliance and equipment based on </w:t>
      </w:r>
      <w:proofErr w:type="gramStart"/>
      <w:r w:rsidRPr="00FB448C">
        <w:t>amperage, but</w:t>
      </w:r>
      <w:proofErr w:type="gramEnd"/>
      <w:r w:rsidRPr="00FB448C">
        <w:t xml:space="preserve"> did not measure actual kilowatt hour consumption or possible kilowatt consumption.  Tr. 70; Complainants Exhibits 18A &amp; 19.</w:t>
      </w:r>
    </w:p>
    <w:p w14:paraId="49A05968" w14:textId="77777777" w:rsidR="00F24294" w:rsidRPr="00FB448C" w:rsidRDefault="00F24294" w:rsidP="00F24294">
      <w:pPr>
        <w:spacing w:line="360" w:lineRule="auto"/>
      </w:pPr>
    </w:p>
    <w:p w14:paraId="2792C958" w14:textId="77777777" w:rsidR="00F24294" w:rsidRPr="00FB448C" w:rsidRDefault="00F24294" w:rsidP="00F24294">
      <w:pPr>
        <w:spacing w:line="360" w:lineRule="auto"/>
      </w:pPr>
      <w:r w:rsidRPr="00FB448C">
        <w:tab/>
      </w:r>
      <w:r w:rsidRPr="00FB448C">
        <w:tab/>
        <w:t>27.</w:t>
      </w:r>
      <w:r w:rsidRPr="00FB448C">
        <w:tab/>
        <w:t xml:space="preserve">Complainants contracted the services of an energy conservation company, Frontier Energy, which looked at power quality conditions to determine if there were any issues in Complainants’ home that would contribute to higher electric </w:t>
      </w:r>
      <w:proofErr w:type="gramStart"/>
      <w:r w:rsidRPr="00FB448C">
        <w:t>bills, and</w:t>
      </w:r>
      <w:proofErr w:type="gramEnd"/>
      <w:r w:rsidRPr="00FB448C">
        <w:t xml:space="preserve"> did a weather </w:t>
      </w:r>
      <w:proofErr w:type="spellStart"/>
      <w:r w:rsidRPr="00FB448C">
        <w:t>numerization</w:t>
      </w:r>
      <w:proofErr w:type="spellEnd"/>
      <w:r w:rsidRPr="00FB448C">
        <w:t xml:space="preserve"> report.  All findings were normal and did not indicate high usage.  Tr. 22, 23, 110, 111, 116; Complainants Exhibit18 and 18A.</w:t>
      </w:r>
    </w:p>
    <w:p w14:paraId="4542F149" w14:textId="77777777" w:rsidR="00F24294" w:rsidRPr="00FB448C" w:rsidRDefault="00F24294" w:rsidP="00F24294">
      <w:pPr>
        <w:spacing w:line="360" w:lineRule="auto"/>
      </w:pPr>
    </w:p>
    <w:p w14:paraId="342F5FD4" w14:textId="77777777" w:rsidR="00F24294" w:rsidRPr="00FB448C" w:rsidRDefault="00F24294" w:rsidP="00F24294">
      <w:pPr>
        <w:spacing w:line="360" w:lineRule="auto"/>
      </w:pPr>
      <w:r w:rsidRPr="00FB448C">
        <w:tab/>
      </w:r>
      <w:r w:rsidRPr="00FB448C">
        <w:tab/>
        <w:t>28.</w:t>
      </w:r>
      <w:r w:rsidRPr="00FB448C">
        <w:tab/>
        <w:t>Respondent conducted a Foreign Load/Grounding Test and a Consumption Audit on June 16, 2009.  Tr. 213, 214, 222; Penn Power Exhibits 10 and 11.</w:t>
      </w:r>
    </w:p>
    <w:p w14:paraId="187C077C" w14:textId="77777777" w:rsidR="00F24294" w:rsidRPr="00FB448C" w:rsidRDefault="00F24294" w:rsidP="00F24294">
      <w:pPr>
        <w:spacing w:line="360" w:lineRule="auto"/>
      </w:pPr>
    </w:p>
    <w:p w14:paraId="6937CDC0" w14:textId="77777777" w:rsidR="00F24294" w:rsidRPr="00FB448C" w:rsidRDefault="00F24294" w:rsidP="00F24294">
      <w:pPr>
        <w:spacing w:line="360" w:lineRule="auto"/>
      </w:pPr>
      <w:r w:rsidRPr="00FB448C">
        <w:tab/>
      </w:r>
      <w:r w:rsidRPr="00FB448C">
        <w:tab/>
        <w:t>29.</w:t>
      </w:r>
      <w:r w:rsidRPr="00FB448C">
        <w:tab/>
        <w:t xml:space="preserve">Respondent tested one (1) 100 </w:t>
      </w:r>
      <w:proofErr w:type="spellStart"/>
      <w:r w:rsidRPr="00FB448C">
        <w:t>kv</w:t>
      </w:r>
      <w:proofErr w:type="spellEnd"/>
      <w:r w:rsidRPr="00FB448C">
        <w:t xml:space="preserve"> transformer and tested all connections but did not run any ground test on the wires from the transformer to the residence or from the pole to the transformer on June 16, 2009.  Tr. 218, 219.</w:t>
      </w:r>
    </w:p>
    <w:p w14:paraId="1CDD3750" w14:textId="77777777" w:rsidR="00F24294" w:rsidRPr="00FB448C" w:rsidRDefault="00F24294" w:rsidP="00F24294">
      <w:pPr>
        <w:spacing w:line="360" w:lineRule="auto"/>
      </w:pPr>
    </w:p>
    <w:p w14:paraId="6D9FB580" w14:textId="77777777" w:rsidR="00F24294" w:rsidRPr="00FB448C" w:rsidRDefault="00F24294" w:rsidP="00F24294">
      <w:pPr>
        <w:spacing w:line="360" w:lineRule="auto"/>
      </w:pPr>
      <w:r w:rsidRPr="00FB448C">
        <w:tab/>
      </w:r>
      <w:r w:rsidRPr="00FB448C">
        <w:tab/>
        <w:t>30.</w:t>
      </w:r>
      <w:r w:rsidRPr="00FB448C">
        <w:tab/>
        <w:t>Respondent’s service wire from the transformer to Complainants’ house is a 4/0 aluminum triplex wire and from the pole to the transformer is a No. 2 aluminum single phase.  Tr. 219.</w:t>
      </w:r>
    </w:p>
    <w:p w14:paraId="2302ED9B" w14:textId="77777777" w:rsidR="00F24294" w:rsidRPr="00FB448C" w:rsidRDefault="00F24294" w:rsidP="00F24294">
      <w:pPr>
        <w:spacing w:line="360" w:lineRule="auto"/>
      </w:pPr>
    </w:p>
    <w:p w14:paraId="426221C2" w14:textId="77777777" w:rsidR="00F24294" w:rsidRPr="00FB448C" w:rsidRDefault="00F24294" w:rsidP="00F24294">
      <w:pPr>
        <w:spacing w:line="360" w:lineRule="auto"/>
      </w:pPr>
      <w:r w:rsidRPr="00FB448C">
        <w:tab/>
      </w:r>
      <w:r w:rsidRPr="00FB448C">
        <w:tab/>
        <w:t>31.</w:t>
      </w:r>
      <w:r w:rsidRPr="00FB448C">
        <w:tab/>
        <w:t>Respondent conducted the Consumption Audit on June 16, 2009 by walking through the residence, marking down the electrical appliances and lighting located in the house, and listing any item that would cause extra consumption.  After leaving the residence, Respondent referred to tables of average consumption for various appliances and equipment and, using average hours used numbers, arrived at a number that indicated the average electricity consumption for each item.  Tr. 223.</w:t>
      </w:r>
    </w:p>
    <w:p w14:paraId="49B5F022" w14:textId="77777777" w:rsidR="00F24294" w:rsidRPr="00FB448C" w:rsidRDefault="00F24294" w:rsidP="00F24294">
      <w:pPr>
        <w:spacing w:line="360" w:lineRule="auto"/>
      </w:pPr>
    </w:p>
    <w:p w14:paraId="63CA2E54" w14:textId="406233DF" w:rsidR="00F24294" w:rsidRDefault="00F24294" w:rsidP="00761427">
      <w:pPr>
        <w:spacing w:line="360" w:lineRule="auto"/>
      </w:pPr>
      <w:r w:rsidRPr="00FB448C">
        <w:br w:type="page"/>
      </w:r>
      <w:r w:rsidRPr="00FB448C">
        <w:lastRenderedPageBreak/>
        <w:tab/>
      </w:r>
      <w:r w:rsidRPr="00FB448C">
        <w:tab/>
        <w:t>32.</w:t>
      </w:r>
      <w:r w:rsidRPr="00FB448C">
        <w:tab/>
        <w:t>Respondent’s Consumption Audit notes:</w:t>
      </w:r>
    </w:p>
    <w:p w14:paraId="126CD405" w14:textId="77777777" w:rsidR="00761427" w:rsidRPr="00FB448C" w:rsidRDefault="00761427" w:rsidP="00F24294"/>
    <w:p w14:paraId="5E602E85" w14:textId="77777777" w:rsidR="00F24294" w:rsidRPr="00FB448C" w:rsidRDefault="00F24294" w:rsidP="00F24294">
      <w:pPr>
        <w:ind w:left="1440" w:right="720"/>
        <w:jc w:val="both"/>
      </w:pPr>
      <w:r w:rsidRPr="00FB448C">
        <w:t xml:space="preserve">Based on my review, and a review of the company’s notes of conversations with Mr. Duffy, it is highly likely that the 2 heat pump units in the Duffy house are undersized for the heating needs of the house.  When heat pump units are undersized, it forces the units to rely much more heavily on the resistance heat coils in the indoor part of the heat pump system to maintain the required temperature.  Since resistance heat is about 50% less efficient than the heat pump, heavy reliance on resistance heat will greatly increase the amount of electricity that the heating system consumes.  A properly sized heating system will use much less electricity.  </w:t>
      </w:r>
    </w:p>
    <w:p w14:paraId="2AE594A3" w14:textId="77777777" w:rsidR="00F24294" w:rsidRPr="00FB448C" w:rsidRDefault="00F24294" w:rsidP="00666E01">
      <w:pPr>
        <w:spacing w:line="360" w:lineRule="auto"/>
      </w:pPr>
    </w:p>
    <w:p w14:paraId="4483EF68" w14:textId="77777777" w:rsidR="00F24294" w:rsidRPr="00FB448C" w:rsidRDefault="00F24294" w:rsidP="00F24294">
      <w:r w:rsidRPr="00FB448C">
        <w:t>Penn Power Exhibit 11.</w:t>
      </w:r>
    </w:p>
    <w:p w14:paraId="1484397B" w14:textId="77777777" w:rsidR="00F24294" w:rsidRPr="00FB448C" w:rsidRDefault="00F24294" w:rsidP="00666E01">
      <w:pPr>
        <w:spacing w:line="360" w:lineRule="auto"/>
      </w:pPr>
    </w:p>
    <w:p w14:paraId="2F9DEF36" w14:textId="77777777" w:rsidR="00F24294" w:rsidRPr="00FB448C" w:rsidRDefault="00F24294" w:rsidP="00666E01">
      <w:pPr>
        <w:spacing w:line="360" w:lineRule="auto"/>
        <w:jc w:val="center"/>
      </w:pPr>
      <w:r w:rsidRPr="00FB448C">
        <w:rPr>
          <w:u w:val="single"/>
        </w:rPr>
        <w:t>DISCUSSION</w:t>
      </w:r>
    </w:p>
    <w:p w14:paraId="58EEC80D" w14:textId="77777777" w:rsidR="00F24294" w:rsidRPr="00FB448C" w:rsidRDefault="00F24294" w:rsidP="00666E01">
      <w:pPr>
        <w:spacing w:line="360" w:lineRule="auto"/>
        <w:jc w:val="center"/>
      </w:pPr>
    </w:p>
    <w:p w14:paraId="5B7D87F7" w14:textId="77777777" w:rsidR="00F24294" w:rsidRPr="00FB448C" w:rsidRDefault="00F24294" w:rsidP="00761427">
      <w:pPr>
        <w:tabs>
          <w:tab w:val="left" w:pos="-1440"/>
          <w:tab w:val="left" w:pos="-720"/>
        </w:tabs>
        <w:suppressAutoHyphens/>
        <w:spacing w:line="360" w:lineRule="auto"/>
        <w:rPr>
          <w:spacing w:val="-3"/>
        </w:rPr>
      </w:pPr>
      <w:r w:rsidRPr="00FB448C">
        <w:tab/>
      </w:r>
      <w:r w:rsidRPr="00FB448C">
        <w:tab/>
        <w:t xml:space="preserve">In this matter, Complainants allege Respondent utility over-billed them after replacing a transformer servicing Complainants’ property, resulting in recorded kilowatt hour usage more than 47 to 54 percent greater than the usage recorded from 1992 to 2007.  </w:t>
      </w:r>
      <w:r w:rsidRPr="00FB448C">
        <w:rPr>
          <w:spacing w:val="-3"/>
        </w:rPr>
        <w:t xml:space="preserve">Complainants aver the cause of the huge increases in the consumption recorded by Respondent’s meter is related to the new transformer installed in 2007 by Respondent.  Complainants believe power quality issues are one reason why the consumption </w:t>
      </w:r>
      <w:proofErr w:type="gramStart"/>
      <w:r w:rsidRPr="00FB448C">
        <w:rPr>
          <w:spacing w:val="-3"/>
        </w:rPr>
        <w:t>increased</w:t>
      </w:r>
      <w:proofErr w:type="gramEnd"/>
      <w:r w:rsidRPr="00FB448C">
        <w:rPr>
          <w:spacing w:val="-3"/>
        </w:rPr>
        <w:t xml:space="preserve"> and they want the transformer replaced with the same one used previously.  </w:t>
      </w:r>
      <w:r w:rsidRPr="00FB448C">
        <w:t xml:space="preserve">Complainants request Respondent remove the new transformer and replace it with </w:t>
      </w:r>
      <w:r>
        <w:t>the previous lower kilowatt unit</w:t>
      </w:r>
      <w:r w:rsidRPr="00FB448C">
        <w:t xml:space="preserve">, install a demand meter and credit their account for the overcharges.  </w:t>
      </w:r>
    </w:p>
    <w:p w14:paraId="79D6087C" w14:textId="77777777" w:rsidR="00F24294" w:rsidRPr="00FB448C" w:rsidRDefault="00F24294" w:rsidP="00761427">
      <w:pPr>
        <w:tabs>
          <w:tab w:val="left" w:pos="-1440"/>
          <w:tab w:val="left" w:pos="-720"/>
        </w:tabs>
        <w:suppressAutoHyphens/>
        <w:spacing w:line="360" w:lineRule="auto"/>
      </w:pPr>
    </w:p>
    <w:p w14:paraId="2310839F" w14:textId="77777777" w:rsidR="00F24294" w:rsidRPr="00FB448C" w:rsidRDefault="00F24294" w:rsidP="00761427">
      <w:pPr>
        <w:tabs>
          <w:tab w:val="left" w:pos="-1440"/>
          <w:tab w:val="left" w:pos="-720"/>
        </w:tabs>
        <w:suppressAutoHyphens/>
        <w:spacing w:line="360" w:lineRule="auto"/>
        <w:rPr>
          <w:spacing w:val="-3"/>
        </w:rPr>
      </w:pPr>
      <w:r w:rsidRPr="00FB448C">
        <w:rPr>
          <w:spacing w:val="-3"/>
        </w:rPr>
        <w:tab/>
      </w:r>
      <w:r w:rsidRPr="00FB448C">
        <w:rPr>
          <w:spacing w:val="-3"/>
        </w:rPr>
        <w:tab/>
        <w:t>Complainants moved to admit eight (8) exhibits (Complainants Exhibits 8, 10, 13, 14, 15, 18, 18A and 19) of which five (Exhibits 8, 10, 18, 18A and 19) were admitted without objection.  Exhibits 13, 14, and 15 were marked but not admitted after Respondent object</w:t>
      </w:r>
      <w:r>
        <w:rPr>
          <w:spacing w:val="-3"/>
        </w:rPr>
        <w:t>ed</w:t>
      </w:r>
      <w:r w:rsidRPr="00FB448C">
        <w:rPr>
          <w:spacing w:val="-3"/>
        </w:rPr>
        <w:t xml:space="preserve"> the exhibits occurred during and</w:t>
      </w:r>
      <w:r>
        <w:rPr>
          <w:spacing w:val="-3"/>
        </w:rPr>
        <w:t>/or</w:t>
      </w:r>
      <w:r w:rsidRPr="00FB448C">
        <w:rPr>
          <w:spacing w:val="-3"/>
        </w:rPr>
        <w:t xml:space="preserve"> referred to matters during the mediation process which are subject to confidentiality restrictions.  Due to a discrepancy in the pre-hearing numbering of the exhibits, Complainants were granted leave to submit their complete list of exhibits via overnight mail on the day following the hearing.  </w:t>
      </w:r>
    </w:p>
    <w:p w14:paraId="4B9626EE" w14:textId="77777777" w:rsidR="00F24294" w:rsidRPr="00FB448C" w:rsidRDefault="00F24294" w:rsidP="00761427">
      <w:pPr>
        <w:tabs>
          <w:tab w:val="left" w:pos="-1440"/>
          <w:tab w:val="left" w:pos="-720"/>
        </w:tabs>
        <w:suppressAutoHyphens/>
        <w:spacing w:line="360" w:lineRule="auto"/>
        <w:rPr>
          <w:spacing w:val="-3"/>
        </w:rPr>
      </w:pPr>
    </w:p>
    <w:p w14:paraId="5A604CD4" w14:textId="77777777" w:rsidR="00F24294" w:rsidRPr="00FB448C" w:rsidRDefault="00F24294" w:rsidP="00761427">
      <w:pPr>
        <w:tabs>
          <w:tab w:val="left" w:pos="-1440"/>
          <w:tab w:val="left" w:pos="-720"/>
        </w:tabs>
        <w:suppressAutoHyphens/>
        <w:spacing w:line="360" w:lineRule="auto"/>
        <w:rPr>
          <w:spacing w:val="-3"/>
        </w:rPr>
      </w:pPr>
      <w:r w:rsidRPr="00FB448C">
        <w:rPr>
          <w:spacing w:val="-3"/>
        </w:rPr>
        <w:lastRenderedPageBreak/>
        <w:tab/>
      </w:r>
      <w:r w:rsidRPr="00FB448C">
        <w:rPr>
          <w:spacing w:val="-3"/>
        </w:rPr>
        <w:tab/>
        <w:t>Complainants request the Commission order Respondent to install a meter which can be easily read and monitored daily.  Complainants want to verify for themselves that the recorded consumption has risen sharply as a direct result of an increase in their own consumption.  In addition, Complainants request a dual meter and to have Respondent re-install the transformer which it removed in August 2007.</w:t>
      </w:r>
    </w:p>
    <w:p w14:paraId="3B704F16" w14:textId="77777777" w:rsidR="00F24294" w:rsidRPr="00FB448C" w:rsidRDefault="00F24294" w:rsidP="00761427">
      <w:pPr>
        <w:tabs>
          <w:tab w:val="left" w:pos="-1440"/>
          <w:tab w:val="left" w:pos="-720"/>
        </w:tabs>
        <w:suppressAutoHyphens/>
        <w:spacing w:line="360" w:lineRule="auto"/>
        <w:rPr>
          <w:spacing w:val="-3"/>
        </w:rPr>
      </w:pPr>
    </w:p>
    <w:p w14:paraId="5E96D250" w14:textId="77777777" w:rsidR="00F24294" w:rsidRPr="00FB448C" w:rsidRDefault="00F24294" w:rsidP="00761427">
      <w:pPr>
        <w:tabs>
          <w:tab w:val="left" w:pos="-1440"/>
          <w:tab w:val="left" w:pos="-720"/>
        </w:tabs>
        <w:suppressAutoHyphens/>
        <w:spacing w:line="360" w:lineRule="auto"/>
        <w:rPr>
          <w:spacing w:val="-3"/>
        </w:rPr>
      </w:pPr>
      <w:r w:rsidRPr="00FB448C">
        <w:rPr>
          <w:spacing w:val="-3"/>
        </w:rPr>
        <w:tab/>
      </w:r>
      <w:r w:rsidRPr="00FB448C">
        <w:rPr>
          <w:spacing w:val="-3"/>
        </w:rPr>
        <w:tab/>
        <w:t xml:space="preserve">Respondent’s witnesses testified how it made various attempts to determine the cause of Complainants’ high bills.    </w:t>
      </w:r>
      <w:r w:rsidRPr="00FB448C">
        <w:t xml:space="preserve">Since Complainants first alleged over-charges, Respondent responded to their concerns by reviewing utility company records and visiting Complainants’ property on multiple occasions to conduct transformer voltage readings, to replace the analog meter with a digital meter, and to perform recording tests on Complainants’ meter.  </w:t>
      </w:r>
      <w:r w:rsidRPr="00FB448C">
        <w:rPr>
          <w:spacing w:val="-3"/>
        </w:rPr>
        <w:t xml:space="preserve">Respondent avers it correctly billed Complainants for their electrical consumption which consumption was accurately reported on Complainants’ meter.  Respondent submitted </w:t>
      </w:r>
      <w:r>
        <w:rPr>
          <w:spacing w:val="-3"/>
        </w:rPr>
        <w:t>eleven</w:t>
      </w:r>
      <w:r w:rsidRPr="00FB448C">
        <w:rPr>
          <w:spacing w:val="-3"/>
        </w:rPr>
        <w:t xml:space="preserve"> (</w:t>
      </w:r>
      <w:r>
        <w:rPr>
          <w:spacing w:val="-3"/>
        </w:rPr>
        <w:t>11</w:t>
      </w:r>
      <w:r w:rsidRPr="00FB448C">
        <w:rPr>
          <w:spacing w:val="-3"/>
        </w:rPr>
        <w:t xml:space="preserve">) exhibits.  All identified exhibits were admitted as Penn Power Exhibits 1 through and including 11 and were admitted without objection except Exhibits 3, 5, 6, 10 and 11, which were admitted over objections.  </w:t>
      </w:r>
    </w:p>
    <w:p w14:paraId="5B0F204D" w14:textId="77777777" w:rsidR="00F24294" w:rsidRPr="00FB448C" w:rsidRDefault="00F24294" w:rsidP="00761427">
      <w:pPr>
        <w:tabs>
          <w:tab w:val="left" w:pos="-1440"/>
          <w:tab w:val="left" w:pos="-720"/>
        </w:tabs>
        <w:suppressAutoHyphens/>
        <w:spacing w:line="360" w:lineRule="auto"/>
      </w:pPr>
    </w:p>
    <w:p w14:paraId="6E57109F" w14:textId="77777777" w:rsidR="00F24294" w:rsidRPr="00FB448C" w:rsidRDefault="00F24294" w:rsidP="00761427">
      <w:pPr>
        <w:tabs>
          <w:tab w:val="left" w:pos="-1440"/>
          <w:tab w:val="left" w:pos="-720"/>
        </w:tabs>
        <w:suppressAutoHyphens/>
        <w:spacing w:line="360" w:lineRule="auto"/>
      </w:pPr>
      <w:r w:rsidRPr="00FB448C">
        <w:rPr>
          <w:u w:val="single"/>
        </w:rPr>
        <w:t>Conclusion</w:t>
      </w:r>
    </w:p>
    <w:p w14:paraId="1D259E1F" w14:textId="77777777" w:rsidR="00F24294" w:rsidRDefault="00F24294" w:rsidP="00761427">
      <w:pPr>
        <w:tabs>
          <w:tab w:val="left" w:pos="-1440"/>
          <w:tab w:val="left" w:pos="-720"/>
        </w:tabs>
        <w:suppressAutoHyphens/>
        <w:spacing w:line="360" w:lineRule="auto"/>
      </w:pPr>
    </w:p>
    <w:p w14:paraId="472FD691" w14:textId="77777777" w:rsidR="00F24294" w:rsidRPr="00FB448C" w:rsidRDefault="00F24294" w:rsidP="00761427">
      <w:pPr>
        <w:tabs>
          <w:tab w:val="left" w:pos="-1440"/>
          <w:tab w:val="left" w:pos="-720"/>
        </w:tabs>
        <w:suppressAutoHyphens/>
        <w:spacing w:line="360" w:lineRule="auto"/>
        <w:rPr>
          <w:spacing w:val="-3"/>
        </w:rPr>
      </w:pPr>
      <w:r w:rsidRPr="00FB448C">
        <w:tab/>
      </w:r>
      <w:r w:rsidRPr="00FB448C">
        <w:tab/>
        <w:t>As the party seeking the intervention from this Commission, Complainants bear the burden of proving Respondent violated provisions of the Public Utility Code or the Public Utility Commission’s regulations in some fashion.</w:t>
      </w:r>
      <w:r w:rsidRPr="00FB448C">
        <w:rPr>
          <w:rStyle w:val="FootnoteReference"/>
        </w:rPr>
        <w:footnoteReference w:id="1"/>
      </w:r>
      <w:r w:rsidRPr="00FB448C">
        <w:t xml:space="preserve">  </w:t>
      </w:r>
      <w:r w:rsidRPr="00FB448C">
        <w:rPr>
          <w:spacing w:val="-3"/>
        </w:rPr>
        <w:t>To establish a sufficient case and satisfy the burden of proof, Complainants must show the public utility is responsible or accountable for the problem described in the Complaint.</w:t>
      </w:r>
      <w:r w:rsidRPr="00FB448C">
        <w:rPr>
          <w:rStyle w:val="FootnoteReference"/>
          <w:spacing w:val="-3"/>
        </w:rPr>
        <w:footnoteReference w:id="2"/>
      </w:r>
      <w:r w:rsidRPr="00FB448C">
        <w:rPr>
          <w:spacing w:val="-3"/>
        </w:rPr>
        <w:t xml:space="preserve">  Such a showing must be by a preponderance of the evidence</w:t>
      </w:r>
      <w:r w:rsidRPr="00FB448C">
        <w:rPr>
          <w:rStyle w:val="FootnoteReference"/>
          <w:spacing w:val="-3"/>
        </w:rPr>
        <w:footnoteReference w:id="3"/>
      </w:r>
      <w:r w:rsidRPr="00FB448C">
        <w:rPr>
          <w:spacing w:val="-3"/>
        </w:rPr>
        <w:t>.  Complainants can meet that burden if they present evidence more convincing, by even the smallest amount, than that evidence presented by Respondent.</w:t>
      </w:r>
      <w:r w:rsidRPr="00FB448C">
        <w:rPr>
          <w:rStyle w:val="FootnoteReference"/>
          <w:spacing w:val="-3"/>
        </w:rPr>
        <w:footnoteReference w:id="4"/>
      </w:r>
      <w:r w:rsidRPr="00FB448C">
        <w:rPr>
          <w:spacing w:val="-3"/>
        </w:rPr>
        <w:t xml:space="preserve">  </w:t>
      </w:r>
    </w:p>
    <w:p w14:paraId="11474136" w14:textId="77777777" w:rsidR="00F24294" w:rsidRPr="00C1597F" w:rsidRDefault="00F24294" w:rsidP="00761427">
      <w:pPr>
        <w:tabs>
          <w:tab w:val="left" w:pos="-1440"/>
          <w:tab w:val="left" w:pos="-720"/>
        </w:tabs>
        <w:suppressAutoHyphens/>
        <w:spacing w:line="360" w:lineRule="auto"/>
      </w:pPr>
      <w:r>
        <w:lastRenderedPageBreak/>
        <w:tab/>
      </w:r>
      <w:r>
        <w:tab/>
        <w:t xml:space="preserve">In </w:t>
      </w:r>
      <w:r>
        <w:rPr>
          <w:u w:val="single"/>
        </w:rPr>
        <w:t>Waldron v Philadelphia Electric Company</w:t>
      </w:r>
      <w:r>
        <w:t xml:space="preserve">, 54 Pa. P.U.C. 98 (1980), the Commission outlined the general dynamics for the burden of proof in a case involving a high bill dispute.  The Commission held certain factors must be considered </w:t>
      </w:r>
      <w:proofErr w:type="gramStart"/>
      <w:r>
        <w:t>in order for</w:t>
      </w:r>
      <w:proofErr w:type="gramEnd"/>
      <w:r>
        <w:t xml:space="preserve"> a complainant to establish a </w:t>
      </w:r>
      <w:r>
        <w:rPr>
          <w:i/>
        </w:rPr>
        <w:t xml:space="preserve">prima </w:t>
      </w:r>
      <w:r w:rsidRPr="00994613">
        <w:rPr>
          <w:i/>
        </w:rPr>
        <w:t>facie</w:t>
      </w:r>
      <w:r>
        <w:t xml:space="preserve"> case </w:t>
      </w:r>
      <w:r w:rsidRPr="00994613">
        <w:t>whenever</w:t>
      </w:r>
      <w:r>
        <w:t xml:space="preserve"> claiming unusually high bills.  The accuracy of a meter is an important factor to resolve a billing </w:t>
      </w:r>
      <w:proofErr w:type="gramStart"/>
      <w:r>
        <w:t>dispute</w:t>
      </w:r>
      <w:proofErr w:type="gramEnd"/>
      <w:r>
        <w:t xml:space="preserve"> but it is not the sole criterion.  A complainant may establish a </w:t>
      </w:r>
      <w:r>
        <w:rPr>
          <w:i/>
        </w:rPr>
        <w:t xml:space="preserve">prima facie </w:t>
      </w:r>
      <w:r>
        <w:t xml:space="preserve">case by showing (1) the disputed bill was abnormally high when compared to prior usage patterns; and (2) the ratepayer’s pattern of usage had not changed.  When looking at these criteria, important considerations include the billing history of the account, any change in the number of occupants residing in the household, the potential for energy utilization, and any other relevant facts or circumstances that come to light during the proceeding.  </w:t>
      </w:r>
      <w:proofErr w:type="spellStart"/>
      <w:r>
        <w:rPr>
          <w:u w:val="single"/>
        </w:rPr>
        <w:t>Replogle</w:t>
      </w:r>
      <w:proofErr w:type="spellEnd"/>
      <w:r>
        <w:rPr>
          <w:u w:val="single"/>
        </w:rPr>
        <w:t xml:space="preserve"> v. Pennsylvania Electric Company</w:t>
      </w:r>
      <w:r>
        <w:t xml:space="preserve">, 54 Pa. P.U.C. 528 (1980).  In this way, a complainant may prove entitlement to relief by wholly circumstantial evidence, rather than direct evidence of some utility misfeasance.  </w:t>
      </w:r>
      <w:proofErr w:type="spellStart"/>
      <w:r>
        <w:rPr>
          <w:u w:val="single"/>
        </w:rPr>
        <w:t>Milkie</w:t>
      </w:r>
      <w:proofErr w:type="spellEnd"/>
      <w:r>
        <w:rPr>
          <w:u w:val="single"/>
        </w:rPr>
        <w:t xml:space="preserve"> v. Pa. P.U.C.</w:t>
      </w:r>
      <w:r>
        <w:t xml:space="preserve">, 768 A.2d 1217 (Pa. </w:t>
      </w:r>
      <w:proofErr w:type="spellStart"/>
      <w:r>
        <w:t>Commw</w:t>
      </w:r>
      <w:proofErr w:type="spellEnd"/>
      <w:r>
        <w:t>. 2001).</w:t>
      </w:r>
    </w:p>
    <w:p w14:paraId="759D617F" w14:textId="77777777" w:rsidR="00F24294" w:rsidRPr="00FB448C" w:rsidRDefault="00F24294" w:rsidP="00761427">
      <w:pPr>
        <w:tabs>
          <w:tab w:val="left" w:pos="-1440"/>
          <w:tab w:val="left" w:pos="-720"/>
        </w:tabs>
        <w:suppressAutoHyphens/>
        <w:spacing w:line="360" w:lineRule="auto"/>
      </w:pPr>
    </w:p>
    <w:p w14:paraId="31B23DC6" w14:textId="77777777" w:rsidR="00F24294" w:rsidRPr="00FB448C" w:rsidRDefault="00F24294" w:rsidP="00761427">
      <w:pPr>
        <w:tabs>
          <w:tab w:val="left" w:pos="-1440"/>
          <w:tab w:val="left" w:pos="-720"/>
        </w:tabs>
        <w:suppressAutoHyphens/>
        <w:spacing w:line="360" w:lineRule="auto"/>
      </w:pPr>
      <w:r w:rsidRPr="00FB448C">
        <w:t xml:space="preserve">  </w:t>
      </w:r>
      <w:r w:rsidRPr="00FB448C">
        <w:tab/>
      </w:r>
      <w:r w:rsidRPr="00FB448C">
        <w:tab/>
      </w:r>
      <w:r>
        <w:t xml:space="preserve">Application of these criteria to the present case reveals Complainants have not carried the burden of proving they are entitled to relief.  </w:t>
      </w:r>
      <w:r w:rsidRPr="00FB448C">
        <w:t>The presiding officer finds the increased consumption, noted in December 2007 and afterwards, resulted because Complainants increased their use of the barn, which was constructed years earlier but was altered with internal paneling and furnishing</w:t>
      </w:r>
      <w:r>
        <w:t>s</w:t>
      </w:r>
      <w:r w:rsidRPr="00FB448C">
        <w:t xml:space="preserve"> in 2007.  With the advent of colder weather, Complainants increased their use of the hot water-heated concrete floor in the barn.  Complainants’ testimonies – that the barn’s use was incidental and infrequent, that the heated floor was turned on periodically and for short periods only – are not accepted as credible.  The testimony provided by the utility’s witness that these heated concrete floors work best if allowed to remain on for extended periods was accepted as credible and persuasive.  </w:t>
      </w:r>
      <w:proofErr w:type="gramStart"/>
      <w:r w:rsidRPr="00FB448C">
        <w:t>Specifically</w:t>
      </w:r>
      <w:proofErr w:type="gramEnd"/>
      <w:r w:rsidRPr="00FB448C">
        <w:t xml:space="preserve"> unreasonable is the assumption and contention of Complainants that they rarely and sporadically used the barn in the winter months despite spending considerable time and money first to install a heating system in the 3600 square foot barn, and then to insulate, install wood paneling and furnish the space with furniture used for lounging.</w:t>
      </w:r>
    </w:p>
    <w:p w14:paraId="1DF8997E" w14:textId="77777777" w:rsidR="00F24294" w:rsidRPr="00FB448C" w:rsidRDefault="00F24294" w:rsidP="00761427">
      <w:pPr>
        <w:tabs>
          <w:tab w:val="left" w:pos="-1440"/>
          <w:tab w:val="left" w:pos="-720"/>
        </w:tabs>
        <w:suppressAutoHyphens/>
        <w:spacing w:line="360" w:lineRule="auto"/>
      </w:pPr>
    </w:p>
    <w:p w14:paraId="652531F7" w14:textId="77777777" w:rsidR="00F24294" w:rsidRPr="00FB448C" w:rsidRDefault="00F24294" w:rsidP="00761427">
      <w:pPr>
        <w:tabs>
          <w:tab w:val="left" w:pos="-1440"/>
          <w:tab w:val="left" w:pos="-720"/>
        </w:tabs>
        <w:suppressAutoHyphens/>
        <w:spacing w:line="360" w:lineRule="auto"/>
      </w:pPr>
      <w:r w:rsidRPr="00FB448C">
        <w:lastRenderedPageBreak/>
        <w:tab/>
      </w:r>
      <w:r w:rsidRPr="00FB448C">
        <w:tab/>
        <w:t xml:space="preserve">In addition, Complainants reside in a large residence with numerous electronically operated apparatus.  For that reason, after the hearing the presiding officer ordered the utility company to provide a Foreign Load/Grounding Report (“Foreign Load Report”) and a Consumption Audit Report (“Consumption Report”).  The parties cooperated with each other in order to provide the presiding officer with the additional information.  </w:t>
      </w:r>
    </w:p>
    <w:p w14:paraId="5EFABD9A" w14:textId="77777777" w:rsidR="00F24294" w:rsidRPr="00FB448C" w:rsidRDefault="00F24294" w:rsidP="00761427">
      <w:pPr>
        <w:tabs>
          <w:tab w:val="left" w:pos="-1440"/>
          <w:tab w:val="left" w:pos="-720"/>
        </w:tabs>
        <w:suppressAutoHyphens/>
        <w:spacing w:line="360" w:lineRule="auto"/>
      </w:pPr>
    </w:p>
    <w:p w14:paraId="544893DC" w14:textId="77777777" w:rsidR="00F24294" w:rsidRPr="00FB448C" w:rsidRDefault="00F24294" w:rsidP="00761427">
      <w:pPr>
        <w:tabs>
          <w:tab w:val="left" w:pos="-1440"/>
          <w:tab w:val="left" w:pos="-720"/>
        </w:tabs>
        <w:suppressAutoHyphens/>
        <w:spacing w:line="360" w:lineRule="auto"/>
      </w:pPr>
      <w:r w:rsidRPr="00FB448C">
        <w:tab/>
      </w:r>
      <w:r w:rsidRPr="00FB448C">
        <w:tab/>
        <w:t xml:space="preserve">The utility’s engineer conducted the Foreign Load test on June 16, 2009.  The engineer inspected and tested the </w:t>
      </w:r>
      <w:proofErr w:type="spellStart"/>
      <w:r w:rsidRPr="00FB448C">
        <w:t>padmount</w:t>
      </w:r>
      <w:proofErr w:type="spellEnd"/>
      <w:r w:rsidRPr="00FB448C">
        <w:t xml:space="preserve"> transformer serving the Duffy property and found no evidence of grounding problems with the transformer.  The transformer serves only the Duffy property and the engineer confirmed there was no foreign load problem with the transformer.  The engineer relied on data he collected in June 2008 and February 2009 using the meter socket recorders to opine no ground problems exist on the Duffy property.  Thereafter, the engineer generated a report which the utility submitted to the presiding officer, with a copy to Complainants, on June 26, 2009. </w:t>
      </w:r>
    </w:p>
    <w:p w14:paraId="7F5D53BB" w14:textId="77777777" w:rsidR="00F24294" w:rsidRPr="00FB448C" w:rsidRDefault="00F24294" w:rsidP="00761427">
      <w:pPr>
        <w:tabs>
          <w:tab w:val="left" w:pos="-1440"/>
          <w:tab w:val="left" w:pos="-720"/>
        </w:tabs>
        <w:suppressAutoHyphens/>
        <w:spacing w:line="360" w:lineRule="auto"/>
      </w:pPr>
    </w:p>
    <w:p w14:paraId="3A6233F4" w14:textId="77777777" w:rsidR="00F24294" w:rsidRPr="00FB448C" w:rsidRDefault="00F24294" w:rsidP="00761427">
      <w:pPr>
        <w:tabs>
          <w:tab w:val="left" w:pos="-1440"/>
          <w:tab w:val="left" w:pos="-720"/>
        </w:tabs>
        <w:suppressAutoHyphens/>
        <w:spacing w:line="360" w:lineRule="auto"/>
      </w:pPr>
      <w:r w:rsidRPr="00FB448C">
        <w:tab/>
      </w:r>
      <w:r w:rsidRPr="00FB448C">
        <w:tab/>
        <w:t>Another utility employee conducted a consumption audit and analysis on June 16, 2009, with the cooperation of Complainants.  The employee followed the guidelines set forth by the Electric Power Research Institute (EPRI)</w:t>
      </w:r>
      <w:r w:rsidRPr="00FB448C">
        <w:rPr>
          <w:rStyle w:val="FootnoteReference"/>
        </w:rPr>
        <w:footnoteReference w:id="5"/>
      </w:r>
      <w:r w:rsidRPr="00FB448C">
        <w:t xml:space="preserve">.  He catalogued each appliance and device using electricity on the Duffy property, estimated the total monthly hours of use for each device and identified its wattage.  Using that information, he calculated the estimated monthly kilowatt-hour usage for each appliance and device by multiplying the wattage times the estimated total monthly hours of use.  He also generated separate winter and summer estimates due to seasonal differences in the Duffy’s use of various appliances or devices.  The employee estimated Complainants’ summer consumption averaged 7,324 kWh per month and winter consumption averaged 15,628 kWh per month.  Thereafter, the employee generated a report which the utility submitted to the presiding officer, with a copy to Complainants, on June 26, 2009.  </w:t>
      </w:r>
    </w:p>
    <w:p w14:paraId="646FFDC4" w14:textId="77777777" w:rsidR="00F24294" w:rsidRPr="00FB448C" w:rsidRDefault="00F24294" w:rsidP="00761427">
      <w:pPr>
        <w:tabs>
          <w:tab w:val="left" w:pos="-1440"/>
          <w:tab w:val="left" w:pos="-720"/>
        </w:tabs>
        <w:suppressAutoHyphens/>
        <w:spacing w:line="360" w:lineRule="auto"/>
      </w:pPr>
    </w:p>
    <w:p w14:paraId="37673826" w14:textId="77777777" w:rsidR="00F24294" w:rsidRPr="00FB448C" w:rsidRDefault="00F24294" w:rsidP="00761427">
      <w:pPr>
        <w:tabs>
          <w:tab w:val="left" w:pos="-1440"/>
          <w:tab w:val="left" w:pos="-720"/>
        </w:tabs>
        <w:suppressAutoHyphens/>
        <w:spacing w:line="360" w:lineRule="auto"/>
      </w:pPr>
      <w:r w:rsidRPr="00FB448C">
        <w:tab/>
      </w:r>
      <w:r w:rsidRPr="00FB448C">
        <w:tab/>
        <w:t xml:space="preserve">These reports reveal the electronically-operated appliances and devices in Complainants’ home and surrounding property can consume, or draw down, the same level of </w:t>
      </w:r>
      <w:r w:rsidRPr="00FB448C">
        <w:lastRenderedPageBreak/>
        <w:t xml:space="preserve">electricity recorded by Respondent’s meter.  When estimated for average usage, the energy draw from the appliances and devices adds up to amounts </w:t>
      </w:r>
      <w:proofErr w:type="gramStart"/>
      <w:r w:rsidRPr="00FB448C">
        <w:t>actually recorded</w:t>
      </w:r>
      <w:proofErr w:type="gramEnd"/>
      <w:r w:rsidRPr="00FB448C">
        <w:t xml:space="preserve"> by the electric meter on Complainants’ property.  It is the opinion of the presiding officer the two, later-ordered tests confirm what the earlier-submitted evidence showed: Respondent’s electric meter accurately recorded the electricity consumed by Complainants.  </w:t>
      </w:r>
    </w:p>
    <w:p w14:paraId="0DE1CB85" w14:textId="77777777" w:rsidR="00F24294" w:rsidRPr="00FB448C" w:rsidRDefault="00F24294" w:rsidP="00761427">
      <w:pPr>
        <w:tabs>
          <w:tab w:val="left" w:pos="-1440"/>
          <w:tab w:val="left" w:pos="-720"/>
        </w:tabs>
        <w:suppressAutoHyphens/>
        <w:spacing w:line="360" w:lineRule="auto"/>
      </w:pPr>
    </w:p>
    <w:p w14:paraId="2A496C42" w14:textId="77777777" w:rsidR="00F24294" w:rsidRPr="00FB448C" w:rsidRDefault="00F24294" w:rsidP="00761427">
      <w:pPr>
        <w:tabs>
          <w:tab w:val="left" w:pos="-1440"/>
          <w:tab w:val="left" w:pos="-720"/>
        </w:tabs>
        <w:suppressAutoHyphens/>
        <w:spacing w:line="360" w:lineRule="auto"/>
      </w:pPr>
      <w:r w:rsidRPr="00FB448C">
        <w:tab/>
      </w:r>
      <w:r w:rsidRPr="00FB448C">
        <w:tab/>
        <w:t xml:space="preserve">It is specifically the opinion of the presiding officer that the use of the barn, with its hot water-heated floor, increased dramatically in November and December of 2007.  Complainants’ allegation the transformer or power surges caused the meter to record inaccurately is not supported by the testimony or exhibits offered by both Complainants and Respondent.  Furthermore, if Complainants’ allegation was correct, then an increase should have been seen prior to December of 2007.  The sudden increase in December 2007 coincides with the winter months when Complainants used the barn with greater frequency.  </w:t>
      </w:r>
    </w:p>
    <w:p w14:paraId="5DCAE9A1" w14:textId="77777777" w:rsidR="00F24294" w:rsidRPr="00FB448C" w:rsidRDefault="00F24294" w:rsidP="00761427">
      <w:pPr>
        <w:tabs>
          <w:tab w:val="left" w:pos="-1440"/>
          <w:tab w:val="left" w:pos="-720"/>
        </w:tabs>
        <w:suppressAutoHyphens/>
        <w:spacing w:line="360" w:lineRule="auto"/>
      </w:pPr>
    </w:p>
    <w:p w14:paraId="4C71B488" w14:textId="77777777" w:rsidR="00F24294" w:rsidRPr="00FB448C" w:rsidRDefault="00F24294" w:rsidP="00761427">
      <w:pPr>
        <w:tabs>
          <w:tab w:val="left" w:pos="-1440"/>
          <w:tab w:val="left" w:pos="-720"/>
        </w:tabs>
        <w:suppressAutoHyphens/>
        <w:spacing w:line="360" w:lineRule="auto"/>
      </w:pPr>
      <w:r w:rsidRPr="00FB448C">
        <w:tab/>
      </w:r>
      <w:r w:rsidRPr="00FB448C">
        <w:tab/>
        <w:t xml:space="preserve">In addition, Complainants’ contention, that they absent the premises almost every weekend during the winter months, was accepted as credible but would not result in a marked reduction in electricity consumption as averred by Complainants.  Complainants testified, and it was accepted as credible, that when they would leave the residence on the </w:t>
      </w:r>
      <w:proofErr w:type="gramStart"/>
      <w:r w:rsidRPr="00FB448C">
        <w:t>weekend</w:t>
      </w:r>
      <w:proofErr w:type="gramEnd"/>
      <w:r w:rsidRPr="00FB448C">
        <w:t xml:space="preserve"> they would set the thermostat down to 68 degrees.  This relatively high temperature setting while the residence sat vacant supports Respondent’s argument that Complainants use a large capacity of electricity when they are present in the residence and on the property.  </w:t>
      </w:r>
    </w:p>
    <w:p w14:paraId="4127A697" w14:textId="77777777" w:rsidR="00F24294" w:rsidRPr="00FB448C" w:rsidRDefault="00F24294" w:rsidP="00761427">
      <w:pPr>
        <w:tabs>
          <w:tab w:val="left" w:pos="-1440"/>
          <w:tab w:val="left" w:pos="-720"/>
        </w:tabs>
        <w:suppressAutoHyphens/>
        <w:spacing w:line="360" w:lineRule="auto"/>
      </w:pPr>
    </w:p>
    <w:p w14:paraId="292EB8E3" w14:textId="77777777" w:rsidR="00F24294" w:rsidRPr="00FB448C" w:rsidRDefault="00F24294" w:rsidP="00761427">
      <w:pPr>
        <w:tabs>
          <w:tab w:val="left" w:pos="-1440"/>
          <w:tab w:val="left" w:pos="-720"/>
        </w:tabs>
        <w:suppressAutoHyphens/>
        <w:spacing w:line="360" w:lineRule="auto"/>
      </w:pPr>
      <w:r w:rsidRPr="00FB448C">
        <w:tab/>
      </w:r>
      <w:r w:rsidRPr="00FB448C">
        <w:tab/>
        <w:t xml:space="preserve">Complainants objected to the later-submitted reports and disagreed with the estimated usage per month and with the consumption values used by the utility.  Complainants cite to the Energy Guide issued by the federal government and argue those values are more accurate.  However, when the presiding officer compared the estimates obtained and used by the utility in its reports with the federal Energy Guide estimates provided by Complainants with their objections, the federal estimates were in line with the utility’s estimates.  </w:t>
      </w:r>
      <w:proofErr w:type="gramStart"/>
      <w:r w:rsidRPr="00FB448C">
        <w:t>Specifically</w:t>
      </w:r>
      <w:proofErr w:type="gramEnd"/>
      <w:r w:rsidRPr="00FB448C">
        <w:t xml:space="preserve"> noteworthy about the utility’s reports is that the utility </w:t>
      </w:r>
      <w:r w:rsidRPr="00FB448C">
        <w:rPr>
          <w:u w:val="single"/>
        </w:rPr>
        <w:t>estimated</w:t>
      </w:r>
      <w:r w:rsidRPr="00FB448C">
        <w:t xml:space="preserve"> usage instead of determining how much energy </w:t>
      </w:r>
      <w:r w:rsidRPr="00FB448C">
        <w:rPr>
          <w:u w:val="single"/>
        </w:rPr>
        <w:t>potentially</w:t>
      </w:r>
      <w:r w:rsidRPr="00FB448C">
        <w:t xml:space="preserve"> would be consumed if the electrical items in Complainants’ home were used continuously.  In addition, it is specifically the opinion of the presiding officer that </w:t>
      </w:r>
      <w:r w:rsidRPr="00FB448C">
        <w:lastRenderedPageBreak/>
        <w:t xml:space="preserve">Complainants’ electrical consumption was greater than Complainants admitted and greater than average.  </w:t>
      </w:r>
    </w:p>
    <w:p w14:paraId="0077A1A1" w14:textId="77777777" w:rsidR="00F24294" w:rsidRPr="00FB448C" w:rsidRDefault="00F24294" w:rsidP="00761427">
      <w:pPr>
        <w:tabs>
          <w:tab w:val="left" w:pos="-1440"/>
          <w:tab w:val="left" w:pos="-720"/>
        </w:tabs>
        <w:suppressAutoHyphens/>
        <w:spacing w:line="360" w:lineRule="auto"/>
      </w:pPr>
    </w:p>
    <w:p w14:paraId="088043B5" w14:textId="77777777" w:rsidR="00F24294" w:rsidRDefault="00F24294" w:rsidP="00761427">
      <w:pPr>
        <w:tabs>
          <w:tab w:val="left" w:pos="-1440"/>
          <w:tab w:val="left" w:pos="-720"/>
        </w:tabs>
        <w:suppressAutoHyphens/>
        <w:spacing w:line="360" w:lineRule="auto"/>
      </w:pPr>
      <w:r w:rsidRPr="00FB448C">
        <w:tab/>
      </w:r>
      <w:r w:rsidRPr="00FB448C">
        <w:tab/>
      </w:r>
      <w:proofErr w:type="gramStart"/>
      <w:r w:rsidRPr="00FB448C">
        <w:t>All of</w:t>
      </w:r>
      <w:proofErr w:type="gramEnd"/>
      <w:r w:rsidRPr="00FB448C">
        <w:t xml:space="preserve"> the facts, when taken together, lead the presiding officer to conclude that (1) Complainants consume the level of energy recorded by Respondent’s meter and (2) Complainants failed to meet their burden of proving Respondent failed to comply with the regulations.  </w:t>
      </w:r>
    </w:p>
    <w:p w14:paraId="3BB21C4B" w14:textId="77777777" w:rsidR="00F24294" w:rsidRDefault="00F24294" w:rsidP="00761427">
      <w:pPr>
        <w:tabs>
          <w:tab w:val="left" w:pos="-1440"/>
          <w:tab w:val="left" w:pos="-720"/>
        </w:tabs>
        <w:suppressAutoHyphens/>
        <w:spacing w:line="360" w:lineRule="auto"/>
      </w:pPr>
    </w:p>
    <w:p w14:paraId="3AF44EAA" w14:textId="77777777" w:rsidR="00F24294" w:rsidRDefault="00F24294" w:rsidP="00761427">
      <w:pPr>
        <w:tabs>
          <w:tab w:val="left" w:pos="-1440"/>
          <w:tab w:val="left" w:pos="-720"/>
        </w:tabs>
        <w:suppressAutoHyphens/>
        <w:spacing w:line="360" w:lineRule="auto"/>
      </w:pPr>
      <w:r>
        <w:tab/>
      </w:r>
      <w:r>
        <w:tab/>
      </w:r>
      <w:r w:rsidRPr="00FB448C">
        <w:rPr>
          <w:bCs/>
          <w:iCs/>
          <w:color w:val="000000"/>
        </w:rPr>
        <w:t>Complainants did not show, by a preponderance of the evidence, Respondent</w:t>
      </w:r>
      <w:r w:rsidRPr="00FB448C">
        <w:t xml:space="preserve"> failed to act properly when Complainants reported concerns about “over-consumption” and improper meter readings.  Complainants also failed to show that Respondent’s actions or equipment caused power surges or caused Complainants’ meter to “over-report” consumption.  To the contrary, Complainants’ evidence and testimonies, in conjunction with the evidence presented by the utility, showed that any problems with power quality, the transformer, the voltage or “spikes” noted by Complainants’ meter resulted in Complainants being </w:t>
      </w:r>
      <w:r w:rsidRPr="00FB448C">
        <w:rPr>
          <w:u w:val="single"/>
        </w:rPr>
        <w:t>under</w:t>
      </w:r>
      <w:r w:rsidRPr="00FB448C">
        <w:t>-charged for electricity consumed, and was not the cause of the marked increase in consumption which became obvious in December 2007.</w:t>
      </w:r>
    </w:p>
    <w:p w14:paraId="497A90A5" w14:textId="77777777" w:rsidR="00F24294" w:rsidRDefault="00F24294" w:rsidP="00761427">
      <w:pPr>
        <w:tabs>
          <w:tab w:val="left" w:pos="-1440"/>
          <w:tab w:val="left" w:pos="-720"/>
        </w:tabs>
        <w:suppressAutoHyphens/>
        <w:spacing w:line="360" w:lineRule="auto"/>
      </w:pPr>
    </w:p>
    <w:p w14:paraId="7E0BEF51" w14:textId="77777777" w:rsidR="00F24294" w:rsidRPr="00FB448C" w:rsidRDefault="00F24294" w:rsidP="00761427">
      <w:pPr>
        <w:tabs>
          <w:tab w:val="left" w:pos="-1440"/>
          <w:tab w:val="left" w:pos="-720"/>
        </w:tabs>
        <w:suppressAutoHyphens/>
        <w:spacing w:line="360" w:lineRule="auto"/>
        <w:rPr>
          <w:bCs/>
          <w:iCs/>
          <w:color w:val="000000"/>
        </w:rPr>
      </w:pPr>
      <w:r>
        <w:tab/>
      </w:r>
      <w:r>
        <w:tab/>
      </w:r>
      <w:r w:rsidRPr="00FB448C">
        <w:t>Accordingly, Complainants’ complaint is dismissed in the paragraphs below.</w:t>
      </w:r>
    </w:p>
    <w:p w14:paraId="301D2DBC" w14:textId="2ADC0205" w:rsidR="00F24294" w:rsidRDefault="00F24294" w:rsidP="00FB3375">
      <w:pPr>
        <w:spacing w:line="360" w:lineRule="auto"/>
      </w:pPr>
    </w:p>
    <w:p w14:paraId="55463EAD" w14:textId="113A0279" w:rsidR="00FB3375" w:rsidRPr="00FB3375" w:rsidRDefault="00FB3375" w:rsidP="00FB3375">
      <w:pPr>
        <w:jc w:val="center"/>
        <w:rPr>
          <w:u w:val="single"/>
        </w:rPr>
      </w:pPr>
      <w:r w:rsidRPr="00FB3375">
        <w:rPr>
          <w:u w:val="single"/>
        </w:rPr>
        <w:t>CONCLUSIONS OF LAW</w:t>
      </w:r>
    </w:p>
    <w:p w14:paraId="797D9D24" w14:textId="63026F54" w:rsidR="00FB3375" w:rsidRDefault="00FB3375" w:rsidP="00F24294"/>
    <w:p w14:paraId="6F75D017" w14:textId="77777777" w:rsidR="00FB3375" w:rsidRPr="00FB448C" w:rsidRDefault="00FB3375" w:rsidP="00F24294"/>
    <w:p w14:paraId="6A704BCD" w14:textId="77777777" w:rsidR="00F24294" w:rsidRPr="00FB448C" w:rsidRDefault="00F24294" w:rsidP="00FB3375">
      <w:pPr>
        <w:numPr>
          <w:ilvl w:val="0"/>
          <w:numId w:val="2"/>
        </w:numPr>
        <w:tabs>
          <w:tab w:val="clear" w:pos="1440"/>
          <w:tab w:val="num" w:pos="2160"/>
        </w:tabs>
        <w:spacing w:line="360" w:lineRule="auto"/>
        <w:ind w:left="0" w:firstLine="1440"/>
      </w:pPr>
      <w:r w:rsidRPr="00FB448C">
        <w:t>This Commission has jurisdiction over the parties to and subject matter of this case.  66 Pa. C.S. §701.</w:t>
      </w:r>
    </w:p>
    <w:p w14:paraId="7118F4C0" w14:textId="77777777" w:rsidR="00F24294" w:rsidRPr="00FB448C" w:rsidRDefault="00F24294" w:rsidP="00FB3375">
      <w:pPr>
        <w:spacing w:line="360" w:lineRule="auto"/>
      </w:pPr>
    </w:p>
    <w:p w14:paraId="65725E90" w14:textId="77777777" w:rsidR="00F24294" w:rsidRPr="00FB448C" w:rsidRDefault="00F24294" w:rsidP="00FB3375">
      <w:pPr>
        <w:numPr>
          <w:ilvl w:val="0"/>
          <w:numId w:val="2"/>
        </w:numPr>
        <w:tabs>
          <w:tab w:val="clear" w:pos="1440"/>
          <w:tab w:val="left" w:pos="0"/>
        </w:tabs>
        <w:spacing w:line="360" w:lineRule="auto"/>
        <w:ind w:left="0" w:firstLine="1440"/>
      </w:pPr>
      <w:r w:rsidRPr="00FB448C">
        <w:t>Complainants carry the burden of proving Respondent is not providing reasonable and adequate service.  66 Pa. C.S.A. §332(a).</w:t>
      </w:r>
    </w:p>
    <w:p w14:paraId="6FA29B0B" w14:textId="77777777" w:rsidR="00F24294" w:rsidRPr="00FB448C" w:rsidRDefault="00F24294" w:rsidP="00FB3375">
      <w:pPr>
        <w:tabs>
          <w:tab w:val="left" w:pos="0"/>
        </w:tabs>
        <w:spacing w:line="360" w:lineRule="auto"/>
      </w:pPr>
    </w:p>
    <w:p w14:paraId="4C22E1F1" w14:textId="77777777" w:rsidR="00F24294" w:rsidRPr="00FB448C" w:rsidRDefault="00F24294" w:rsidP="00FB3375">
      <w:pPr>
        <w:tabs>
          <w:tab w:val="left" w:pos="0"/>
        </w:tabs>
        <w:spacing w:line="360" w:lineRule="auto"/>
      </w:pPr>
      <w:r w:rsidRPr="00FB448C">
        <w:tab/>
      </w:r>
      <w:r w:rsidRPr="00FB448C">
        <w:tab/>
        <w:t>3.</w:t>
      </w:r>
      <w:r w:rsidRPr="00FB448C">
        <w:tab/>
        <w:t xml:space="preserve">Complainants failed to prove Respondent did not provide reasonable and adequate service and therefore they are </w:t>
      </w:r>
      <w:r>
        <w:t xml:space="preserve">not </w:t>
      </w:r>
      <w:r w:rsidRPr="00FB448C">
        <w:t>entitled to the relief they seek from the Commission.  66 Pa. C.S.A. §332(a).</w:t>
      </w:r>
    </w:p>
    <w:p w14:paraId="7142B895" w14:textId="17B10952" w:rsidR="00F24294" w:rsidRPr="00FB448C" w:rsidRDefault="00F24294" w:rsidP="004F78EB">
      <w:pPr>
        <w:tabs>
          <w:tab w:val="left" w:pos="0"/>
        </w:tabs>
        <w:spacing w:line="360" w:lineRule="auto"/>
        <w:jc w:val="center"/>
        <w:rPr>
          <w:u w:val="single"/>
        </w:rPr>
      </w:pPr>
      <w:r w:rsidRPr="00FB448C">
        <w:rPr>
          <w:u w:val="single"/>
        </w:rPr>
        <w:lastRenderedPageBreak/>
        <w:t>ORDER</w:t>
      </w:r>
    </w:p>
    <w:p w14:paraId="27B02AC2" w14:textId="77777777" w:rsidR="00F24294" w:rsidRPr="00FB448C" w:rsidRDefault="00F24294" w:rsidP="00F24294">
      <w:pPr>
        <w:tabs>
          <w:tab w:val="left" w:pos="0"/>
        </w:tabs>
        <w:jc w:val="center"/>
        <w:rPr>
          <w:u w:val="single"/>
        </w:rPr>
      </w:pPr>
    </w:p>
    <w:p w14:paraId="2C652D6B" w14:textId="283E321A" w:rsidR="00F24294" w:rsidRDefault="00F24294" w:rsidP="00F24294">
      <w:pPr>
        <w:ind w:left="720"/>
      </w:pPr>
    </w:p>
    <w:p w14:paraId="7514CC82" w14:textId="77777777" w:rsidR="004F78EB" w:rsidRPr="00FB448C" w:rsidRDefault="004F78EB" w:rsidP="00F24294">
      <w:pPr>
        <w:ind w:left="720"/>
      </w:pPr>
    </w:p>
    <w:p w14:paraId="408C2CA6" w14:textId="319C8B7E" w:rsidR="00F24294" w:rsidRDefault="00F24294" w:rsidP="00F24294">
      <w:pPr>
        <w:ind w:left="720" w:firstLine="720"/>
      </w:pPr>
      <w:r w:rsidRPr="00FB448C">
        <w:t>THEREFORE,</w:t>
      </w:r>
    </w:p>
    <w:p w14:paraId="5DA022EF" w14:textId="77777777" w:rsidR="00FB3375" w:rsidRPr="00FB448C" w:rsidRDefault="00FB3375" w:rsidP="00F24294">
      <w:pPr>
        <w:ind w:left="720" w:firstLine="720"/>
      </w:pPr>
    </w:p>
    <w:p w14:paraId="5C99C0C8" w14:textId="77777777" w:rsidR="00F24294" w:rsidRPr="00FB448C" w:rsidRDefault="00F24294" w:rsidP="00F24294">
      <w:pPr>
        <w:ind w:left="720"/>
      </w:pPr>
    </w:p>
    <w:p w14:paraId="1185A8C1" w14:textId="63691392" w:rsidR="00F24294" w:rsidRDefault="00F24294" w:rsidP="00F24294">
      <w:pPr>
        <w:ind w:left="720" w:firstLine="720"/>
      </w:pPr>
      <w:r w:rsidRPr="00FB448C">
        <w:t>IT IS ORDERED:</w:t>
      </w:r>
    </w:p>
    <w:p w14:paraId="5120C5B1" w14:textId="77777777" w:rsidR="00FB3375" w:rsidRPr="00FB448C" w:rsidRDefault="00FB3375" w:rsidP="00F24294">
      <w:pPr>
        <w:ind w:left="720" w:firstLine="720"/>
      </w:pPr>
    </w:p>
    <w:p w14:paraId="4FA79D66" w14:textId="77777777" w:rsidR="00F24294" w:rsidRPr="00FB448C" w:rsidRDefault="00F24294" w:rsidP="00F24294">
      <w:pPr>
        <w:ind w:left="720"/>
      </w:pPr>
    </w:p>
    <w:p w14:paraId="6C4E2F1D" w14:textId="77777777" w:rsidR="00F24294" w:rsidRPr="00FB448C" w:rsidRDefault="00F24294" w:rsidP="00F24294">
      <w:pPr>
        <w:pStyle w:val="BodyText"/>
        <w:tabs>
          <w:tab w:val="left" w:pos="180"/>
        </w:tabs>
        <w:jc w:val="left"/>
        <w:rPr>
          <w:sz w:val="24"/>
          <w:szCs w:val="24"/>
        </w:rPr>
      </w:pPr>
      <w:r w:rsidRPr="00FB448C">
        <w:rPr>
          <w:sz w:val="24"/>
          <w:szCs w:val="24"/>
        </w:rPr>
        <w:tab/>
      </w:r>
      <w:r w:rsidRPr="00FB448C">
        <w:rPr>
          <w:sz w:val="24"/>
          <w:szCs w:val="24"/>
        </w:rPr>
        <w:tab/>
      </w:r>
      <w:r w:rsidRPr="00FB448C">
        <w:rPr>
          <w:sz w:val="24"/>
          <w:szCs w:val="24"/>
        </w:rPr>
        <w:tab/>
        <w:t xml:space="preserve">That the complaint of </w:t>
      </w:r>
      <w:r w:rsidRPr="00FB448C">
        <w:rPr>
          <w:sz w:val="24"/>
          <w:szCs w:val="24"/>
          <w:u w:val="single"/>
        </w:rPr>
        <w:t>Chet and Michele Duffy versus Pennsylvania Power Company</w:t>
      </w:r>
      <w:r w:rsidRPr="00FB448C">
        <w:rPr>
          <w:sz w:val="24"/>
          <w:szCs w:val="24"/>
        </w:rPr>
        <w:t xml:space="preserve"> at Docket No. C</w:t>
      </w:r>
      <w:r w:rsidRPr="00FB448C">
        <w:rPr>
          <w:sz w:val="24"/>
          <w:szCs w:val="24"/>
        </w:rPr>
        <w:noBreakHyphen/>
        <w:t>2008-2063047 is hereby dismissed.</w:t>
      </w:r>
    </w:p>
    <w:p w14:paraId="0E725C4E" w14:textId="77777777" w:rsidR="00F24294" w:rsidRPr="00FB448C" w:rsidRDefault="00F24294" w:rsidP="00F24294"/>
    <w:p w14:paraId="544BDE0C" w14:textId="4937878D" w:rsidR="00F24294" w:rsidRDefault="00F24294" w:rsidP="00F24294"/>
    <w:p w14:paraId="72581665" w14:textId="3860094B" w:rsidR="001B7D2C" w:rsidRDefault="001B7D2C" w:rsidP="00F24294"/>
    <w:p w14:paraId="7D9257A9" w14:textId="77777777" w:rsidR="00F24294" w:rsidRPr="00FB448C" w:rsidRDefault="00F24294" w:rsidP="00F24294">
      <w:pPr>
        <w:rPr>
          <w:u w:val="single"/>
        </w:rPr>
      </w:pPr>
      <w:r w:rsidRPr="00FB448C">
        <w:t xml:space="preserve">Date:  </w:t>
      </w:r>
      <w:r>
        <w:rPr>
          <w:u w:val="single"/>
        </w:rPr>
        <w:t>May 25</w:t>
      </w:r>
      <w:r w:rsidRPr="00FB448C">
        <w:rPr>
          <w:u w:val="single"/>
        </w:rPr>
        <w:t>, 2010</w:t>
      </w:r>
      <w:r w:rsidRPr="00FB3375">
        <w:tab/>
      </w:r>
      <w:r w:rsidRPr="00FB448C">
        <w:tab/>
      </w:r>
      <w:r w:rsidRPr="00FB448C">
        <w:tab/>
      </w:r>
      <w:r w:rsidRPr="00FB448C">
        <w:tab/>
      </w:r>
      <w:r w:rsidRPr="00FB448C">
        <w:tab/>
      </w:r>
      <w:r w:rsidRPr="00FB448C">
        <w:tab/>
      </w:r>
      <w:r w:rsidRPr="00FB448C">
        <w:rPr>
          <w:u w:val="single"/>
        </w:rPr>
        <w:t xml:space="preserve">                                                       </w:t>
      </w:r>
      <w:r w:rsidRPr="00FB448C">
        <w:tab/>
      </w:r>
      <w:r w:rsidRPr="00FB448C">
        <w:tab/>
      </w:r>
      <w:r w:rsidRPr="00FB448C">
        <w:tab/>
      </w:r>
      <w:r w:rsidRPr="00FB448C">
        <w:tab/>
      </w:r>
      <w:r w:rsidRPr="00FB448C">
        <w:tab/>
      </w:r>
      <w:r w:rsidRPr="00FB448C">
        <w:tab/>
      </w:r>
      <w:r w:rsidRPr="00FB448C">
        <w:tab/>
      </w:r>
      <w:r w:rsidRPr="00FB448C">
        <w:tab/>
      </w:r>
      <w:r w:rsidRPr="00FB448C">
        <w:tab/>
        <w:t>Katrina L. Dunderdale</w:t>
      </w:r>
    </w:p>
    <w:p w14:paraId="7239DE69" w14:textId="77777777" w:rsidR="00F24294" w:rsidRPr="00FB448C" w:rsidRDefault="00F24294" w:rsidP="00F24294">
      <w:r w:rsidRPr="00FB448C">
        <w:tab/>
      </w:r>
      <w:r w:rsidRPr="00FB448C">
        <w:tab/>
      </w:r>
      <w:r w:rsidRPr="00FB448C">
        <w:tab/>
      </w:r>
      <w:r w:rsidRPr="00FB448C">
        <w:tab/>
      </w:r>
      <w:r w:rsidRPr="00FB448C">
        <w:tab/>
      </w:r>
      <w:r w:rsidRPr="00FB448C">
        <w:tab/>
      </w:r>
      <w:r w:rsidRPr="00FB448C">
        <w:tab/>
      </w:r>
      <w:r w:rsidRPr="00FB448C">
        <w:tab/>
        <w:t>Administrative Law Judge</w:t>
      </w:r>
    </w:p>
    <w:p w14:paraId="31165144" w14:textId="77777777" w:rsidR="00F24294" w:rsidRPr="00FB448C" w:rsidRDefault="00F24294" w:rsidP="00F24294"/>
    <w:p w14:paraId="0A516356" w14:textId="77777777" w:rsidR="00F24294" w:rsidRPr="00871706" w:rsidRDefault="00F24294" w:rsidP="00871706">
      <w:pPr>
        <w:jc w:val="center"/>
        <w:rPr>
          <w:b/>
          <w:u w:val="single"/>
        </w:rPr>
      </w:pPr>
    </w:p>
    <w:p w14:paraId="35F02298" w14:textId="6B0837E5" w:rsidR="003D5091" w:rsidRDefault="003D5091" w:rsidP="00304E24"/>
    <w:p w14:paraId="3A027AB4" w14:textId="76043B62" w:rsidR="00EA7B73" w:rsidRDefault="00871706" w:rsidP="00F24294">
      <w:pPr>
        <w:jc w:val="center"/>
      </w:pPr>
      <w:r>
        <w:br w:type="page"/>
      </w:r>
    </w:p>
    <w:p w14:paraId="1138E148" w14:textId="77777777" w:rsidR="004F78EB" w:rsidRDefault="004F78EB" w:rsidP="0038220E">
      <w:pPr>
        <w:jc w:val="center"/>
        <w:rPr>
          <w:b/>
          <w:u w:val="single"/>
        </w:rPr>
        <w:sectPr w:rsidR="004F78EB" w:rsidSect="00930ADD">
          <w:pgSz w:w="12240" w:h="15840" w:code="1"/>
          <w:pgMar w:top="1440" w:right="1440" w:bottom="1440" w:left="1440" w:header="1440" w:footer="720" w:gutter="0"/>
          <w:pgNumType w:start="1"/>
          <w:cols w:space="720"/>
          <w:titlePg/>
          <w:docGrid w:linePitch="360"/>
        </w:sectPr>
      </w:pPr>
    </w:p>
    <w:p w14:paraId="5783A3BD" w14:textId="376DFABC" w:rsidR="00871706" w:rsidRPr="00871706" w:rsidRDefault="00871706" w:rsidP="0038220E">
      <w:pPr>
        <w:jc w:val="center"/>
        <w:rPr>
          <w:b/>
          <w:u w:val="single"/>
        </w:rPr>
      </w:pPr>
      <w:r w:rsidRPr="00871706">
        <w:rPr>
          <w:b/>
          <w:u w:val="single"/>
        </w:rPr>
        <w:lastRenderedPageBreak/>
        <w:t>Appendix B</w:t>
      </w:r>
    </w:p>
    <w:p w14:paraId="321E3B6F" w14:textId="4CDADB5A" w:rsidR="00CA3AC8" w:rsidRDefault="00CA3AC8" w:rsidP="00304E24"/>
    <w:p w14:paraId="71E488A3" w14:textId="77777777" w:rsidR="00CA3AC8" w:rsidRPr="002A5D4B" w:rsidRDefault="00CA3AC8" w:rsidP="00CA3AC8">
      <w:pPr>
        <w:jc w:val="center"/>
        <w:rPr>
          <w:b/>
          <w:sz w:val="26"/>
          <w:szCs w:val="26"/>
        </w:rPr>
      </w:pPr>
      <w:r w:rsidRPr="002A5D4B">
        <w:rPr>
          <w:b/>
          <w:sz w:val="26"/>
          <w:szCs w:val="26"/>
        </w:rPr>
        <w:t>PENNSYLVANIA</w:t>
      </w:r>
    </w:p>
    <w:p w14:paraId="675AC621" w14:textId="77777777" w:rsidR="00CA3AC8" w:rsidRPr="002A5D4B" w:rsidRDefault="00CA3AC8" w:rsidP="00CA3AC8">
      <w:pPr>
        <w:jc w:val="center"/>
        <w:rPr>
          <w:b/>
          <w:sz w:val="26"/>
          <w:szCs w:val="26"/>
        </w:rPr>
      </w:pPr>
      <w:r w:rsidRPr="002A5D4B">
        <w:rPr>
          <w:b/>
          <w:sz w:val="26"/>
          <w:szCs w:val="26"/>
        </w:rPr>
        <w:t>PUBLIC UTILITY COMMISSION</w:t>
      </w:r>
    </w:p>
    <w:p w14:paraId="206FD601" w14:textId="77777777" w:rsidR="00CA3AC8" w:rsidRDefault="00CA3AC8" w:rsidP="00CA3AC8">
      <w:pPr>
        <w:jc w:val="center"/>
        <w:rPr>
          <w:b/>
          <w:sz w:val="26"/>
          <w:szCs w:val="26"/>
        </w:rPr>
      </w:pPr>
      <w:smartTag w:uri="urn:schemas-microsoft-com:office:smarttags" w:element="country-region">
        <w:r w:rsidRPr="002A5D4B">
          <w:rPr>
            <w:b/>
            <w:sz w:val="26"/>
            <w:szCs w:val="26"/>
          </w:rPr>
          <w:t>Harrisburg</w:t>
        </w:r>
      </w:smartTag>
      <w:r w:rsidRPr="002A5D4B">
        <w:rPr>
          <w:b/>
          <w:sz w:val="26"/>
          <w:szCs w:val="26"/>
        </w:rPr>
        <w:t xml:space="preserve">, </w:t>
      </w:r>
      <w:smartTag w:uri="urn:schemas-microsoft-com:office:smarttags" w:element="Street">
        <w:r w:rsidRPr="002A5D4B">
          <w:rPr>
            <w:b/>
            <w:sz w:val="26"/>
            <w:szCs w:val="26"/>
          </w:rPr>
          <w:t>PA</w:t>
        </w:r>
      </w:smartTag>
      <w:r w:rsidRPr="002A5D4B">
        <w:rPr>
          <w:b/>
          <w:sz w:val="26"/>
          <w:szCs w:val="26"/>
        </w:rPr>
        <w:t xml:space="preserve"> 17105-3265</w:t>
      </w:r>
    </w:p>
    <w:p w14:paraId="7D719B0F" w14:textId="77777777" w:rsidR="00CA3AC8" w:rsidRPr="00BA66A4" w:rsidRDefault="00CA3AC8" w:rsidP="00CA3AC8">
      <w:pPr>
        <w:rPr>
          <w:sz w:val="26"/>
          <w:szCs w:val="26"/>
        </w:rPr>
      </w:pPr>
    </w:p>
    <w:p w14:paraId="0A567F38" w14:textId="77777777" w:rsidR="00CA3AC8" w:rsidRPr="002A5D4B" w:rsidRDefault="00CA3AC8" w:rsidP="00CA3AC8">
      <w:pPr>
        <w:jc w:val="right"/>
        <w:rPr>
          <w:sz w:val="26"/>
          <w:szCs w:val="26"/>
        </w:rPr>
      </w:pPr>
      <w:r>
        <w:rPr>
          <w:sz w:val="26"/>
          <w:szCs w:val="26"/>
        </w:rPr>
        <w:t>P</w:t>
      </w:r>
      <w:r w:rsidRPr="002A5D4B">
        <w:rPr>
          <w:sz w:val="26"/>
          <w:szCs w:val="26"/>
        </w:rPr>
        <w:t xml:space="preserve">ublic Meeting held </w:t>
      </w:r>
      <w:r>
        <w:rPr>
          <w:sz w:val="26"/>
          <w:szCs w:val="26"/>
        </w:rPr>
        <w:t>August 18,</w:t>
      </w:r>
      <w:r w:rsidRPr="00B01CA9">
        <w:rPr>
          <w:kern w:val="1"/>
          <w:sz w:val="26"/>
          <w:szCs w:val="26"/>
        </w:rPr>
        <w:t xml:space="preserve"> 20</w:t>
      </w:r>
      <w:r>
        <w:rPr>
          <w:kern w:val="1"/>
          <w:sz w:val="26"/>
          <w:szCs w:val="26"/>
        </w:rPr>
        <w:t>10</w:t>
      </w:r>
    </w:p>
    <w:p w14:paraId="335B490F" w14:textId="77777777" w:rsidR="00CA3AC8" w:rsidRPr="002A5D4B" w:rsidRDefault="00CA3AC8" w:rsidP="00CA3AC8">
      <w:pPr>
        <w:rPr>
          <w:sz w:val="26"/>
          <w:szCs w:val="26"/>
        </w:rPr>
      </w:pPr>
    </w:p>
    <w:p w14:paraId="500E8363" w14:textId="77777777" w:rsidR="00CA3AC8" w:rsidRPr="002A5D4B" w:rsidRDefault="00CA3AC8" w:rsidP="00CA3AC8">
      <w:pPr>
        <w:rPr>
          <w:sz w:val="26"/>
          <w:szCs w:val="26"/>
        </w:rPr>
      </w:pPr>
      <w:r w:rsidRPr="002A5D4B">
        <w:rPr>
          <w:sz w:val="26"/>
          <w:szCs w:val="26"/>
        </w:rPr>
        <w:t>Commissioners Present:</w:t>
      </w:r>
    </w:p>
    <w:p w14:paraId="57D35CFB" w14:textId="77777777" w:rsidR="00CA3AC8" w:rsidRPr="002A5D4B" w:rsidRDefault="00CA3AC8" w:rsidP="00CA3AC8">
      <w:pPr>
        <w:rPr>
          <w:sz w:val="26"/>
          <w:szCs w:val="26"/>
        </w:rPr>
      </w:pPr>
    </w:p>
    <w:p w14:paraId="62A2F83A" w14:textId="77777777" w:rsidR="00CA3AC8" w:rsidRPr="002A5D4B" w:rsidRDefault="00CA3AC8" w:rsidP="00CA3AC8">
      <w:pPr>
        <w:rPr>
          <w:sz w:val="26"/>
          <w:szCs w:val="26"/>
        </w:rPr>
      </w:pPr>
      <w:r>
        <w:rPr>
          <w:sz w:val="26"/>
          <w:szCs w:val="26"/>
        </w:rPr>
        <w:tab/>
        <w:t>James H. Cawley</w:t>
      </w:r>
      <w:r w:rsidRPr="002A5D4B">
        <w:rPr>
          <w:sz w:val="26"/>
          <w:szCs w:val="26"/>
        </w:rPr>
        <w:t>, Chairman</w:t>
      </w:r>
    </w:p>
    <w:p w14:paraId="2119AA41" w14:textId="77777777" w:rsidR="00CA3AC8" w:rsidRDefault="00CA3AC8" w:rsidP="00CA3AC8">
      <w:pPr>
        <w:rPr>
          <w:sz w:val="26"/>
          <w:szCs w:val="26"/>
        </w:rPr>
      </w:pPr>
      <w:r>
        <w:rPr>
          <w:sz w:val="26"/>
          <w:szCs w:val="26"/>
        </w:rPr>
        <w:tab/>
        <w:t>Tyrone J. Christy</w:t>
      </w:r>
      <w:r w:rsidRPr="002A5D4B">
        <w:rPr>
          <w:sz w:val="26"/>
          <w:szCs w:val="26"/>
        </w:rPr>
        <w:t>, Vice Chairman</w:t>
      </w:r>
    </w:p>
    <w:p w14:paraId="70A549A4" w14:textId="77777777" w:rsidR="00CA3AC8" w:rsidRPr="002A5D4B" w:rsidRDefault="00CA3AC8" w:rsidP="00CA3AC8">
      <w:pPr>
        <w:rPr>
          <w:sz w:val="26"/>
          <w:szCs w:val="26"/>
        </w:rPr>
      </w:pPr>
      <w:r>
        <w:rPr>
          <w:sz w:val="26"/>
          <w:szCs w:val="26"/>
        </w:rPr>
        <w:tab/>
        <w:t>John F. Coleman, Jr., Statement</w:t>
      </w:r>
    </w:p>
    <w:p w14:paraId="1007041A" w14:textId="77777777" w:rsidR="00CA3AC8" w:rsidRPr="002A5D4B" w:rsidRDefault="00CA3AC8" w:rsidP="00CA3AC8">
      <w:pPr>
        <w:rPr>
          <w:sz w:val="26"/>
          <w:szCs w:val="26"/>
        </w:rPr>
      </w:pPr>
      <w:r w:rsidRPr="002A5D4B">
        <w:rPr>
          <w:sz w:val="26"/>
          <w:szCs w:val="26"/>
        </w:rPr>
        <w:tab/>
      </w:r>
      <w:r>
        <w:rPr>
          <w:sz w:val="26"/>
          <w:szCs w:val="26"/>
        </w:rPr>
        <w:t>Wayne E. Gardner</w:t>
      </w:r>
    </w:p>
    <w:p w14:paraId="78352618" w14:textId="77777777" w:rsidR="00CA3AC8" w:rsidRDefault="00CA3AC8" w:rsidP="00CA3AC8">
      <w:pPr>
        <w:rPr>
          <w:sz w:val="26"/>
          <w:szCs w:val="26"/>
        </w:rPr>
      </w:pPr>
      <w:r w:rsidRPr="002A5D4B">
        <w:rPr>
          <w:sz w:val="26"/>
          <w:szCs w:val="26"/>
        </w:rPr>
        <w:tab/>
      </w:r>
      <w:r>
        <w:rPr>
          <w:sz w:val="26"/>
          <w:szCs w:val="26"/>
        </w:rPr>
        <w:t xml:space="preserve">Robert F. </w:t>
      </w:r>
      <w:proofErr w:type="spellStart"/>
      <w:r>
        <w:rPr>
          <w:sz w:val="26"/>
          <w:szCs w:val="26"/>
        </w:rPr>
        <w:t>Powelson</w:t>
      </w:r>
      <w:proofErr w:type="spellEnd"/>
    </w:p>
    <w:p w14:paraId="2A035FF4" w14:textId="77777777" w:rsidR="00CA3AC8" w:rsidRDefault="00CA3AC8" w:rsidP="00CA3AC8"/>
    <w:p w14:paraId="5E84E995" w14:textId="77777777" w:rsidR="00CA3AC8" w:rsidRDefault="00CA3AC8" w:rsidP="00CA3AC8"/>
    <w:p w14:paraId="2C01E015" w14:textId="2518EFFC" w:rsidR="00CA3AC8" w:rsidRPr="006C64C8" w:rsidRDefault="00CA3AC8" w:rsidP="00CA3AC8">
      <w:pPr>
        <w:tabs>
          <w:tab w:val="left" w:pos="-720"/>
          <w:tab w:val="left" w:pos="0"/>
        </w:tabs>
        <w:suppressAutoHyphens/>
        <w:rPr>
          <w:sz w:val="26"/>
          <w:szCs w:val="26"/>
        </w:rPr>
      </w:pPr>
      <w:r>
        <w:rPr>
          <w:sz w:val="26"/>
          <w:szCs w:val="26"/>
        </w:rPr>
        <w:t>Chet and Michele Duffy</w:t>
      </w:r>
      <w:r>
        <w:rPr>
          <w:sz w:val="26"/>
          <w:szCs w:val="26"/>
        </w:rPr>
        <w:tab/>
      </w:r>
      <w:r>
        <w:rPr>
          <w:sz w:val="26"/>
          <w:szCs w:val="26"/>
        </w:rPr>
        <w:tab/>
      </w:r>
      <w:r>
        <w:rPr>
          <w:sz w:val="26"/>
          <w:szCs w:val="26"/>
        </w:rPr>
        <w:tab/>
      </w:r>
      <w:r>
        <w:rPr>
          <w:sz w:val="26"/>
          <w:szCs w:val="26"/>
        </w:rPr>
        <w:tab/>
      </w:r>
      <w:r w:rsidRPr="006C64C8">
        <w:rPr>
          <w:sz w:val="26"/>
          <w:szCs w:val="26"/>
        </w:rPr>
        <w:tab/>
      </w:r>
      <w:r w:rsidR="005D7F94">
        <w:rPr>
          <w:sz w:val="26"/>
          <w:szCs w:val="26"/>
        </w:rPr>
        <w:tab/>
      </w:r>
      <w:r>
        <w:rPr>
          <w:sz w:val="26"/>
          <w:szCs w:val="26"/>
        </w:rPr>
        <w:t>C-2008-2063047</w:t>
      </w:r>
    </w:p>
    <w:p w14:paraId="5EFE4F22" w14:textId="77777777" w:rsidR="00CA3AC8" w:rsidRDefault="00CA3AC8" w:rsidP="00CA3AC8">
      <w:pPr>
        <w:tabs>
          <w:tab w:val="left" w:pos="-720"/>
          <w:tab w:val="left" w:pos="0"/>
        </w:tabs>
        <w:suppressAutoHyphens/>
        <w:rPr>
          <w:sz w:val="26"/>
          <w:szCs w:val="26"/>
        </w:rPr>
      </w:pPr>
    </w:p>
    <w:p w14:paraId="5D2EAC75" w14:textId="77777777" w:rsidR="00CA3AC8" w:rsidRPr="006C64C8" w:rsidRDefault="00CA3AC8" w:rsidP="00CA3AC8">
      <w:pPr>
        <w:tabs>
          <w:tab w:val="left" w:pos="-720"/>
          <w:tab w:val="left" w:pos="0"/>
        </w:tabs>
        <w:suppressAutoHyphens/>
        <w:rPr>
          <w:sz w:val="26"/>
          <w:szCs w:val="26"/>
        </w:rPr>
      </w:pPr>
      <w:r>
        <w:rPr>
          <w:sz w:val="26"/>
          <w:szCs w:val="26"/>
        </w:rPr>
        <w:t xml:space="preserve">                 v.</w:t>
      </w:r>
    </w:p>
    <w:p w14:paraId="629AEDED" w14:textId="77777777" w:rsidR="00CA3AC8" w:rsidRDefault="00CA3AC8" w:rsidP="00CA3AC8">
      <w:pPr>
        <w:tabs>
          <w:tab w:val="left" w:pos="-720"/>
          <w:tab w:val="left" w:pos="0"/>
        </w:tabs>
        <w:suppressAutoHyphens/>
        <w:rPr>
          <w:sz w:val="26"/>
          <w:szCs w:val="26"/>
        </w:rPr>
      </w:pPr>
    </w:p>
    <w:p w14:paraId="6CA68CBD" w14:textId="77777777" w:rsidR="00CA3AC8" w:rsidRPr="006C64C8" w:rsidRDefault="00CA3AC8" w:rsidP="00CA3AC8">
      <w:pPr>
        <w:tabs>
          <w:tab w:val="left" w:pos="-720"/>
          <w:tab w:val="left" w:pos="0"/>
        </w:tabs>
        <w:suppressAutoHyphens/>
        <w:rPr>
          <w:sz w:val="26"/>
          <w:szCs w:val="26"/>
        </w:rPr>
      </w:pPr>
      <w:r>
        <w:rPr>
          <w:sz w:val="26"/>
          <w:szCs w:val="26"/>
        </w:rPr>
        <w:t>Penn Power Company</w:t>
      </w:r>
      <w:r w:rsidRPr="006C64C8">
        <w:rPr>
          <w:sz w:val="26"/>
          <w:szCs w:val="26"/>
        </w:rPr>
        <w:tab/>
      </w:r>
      <w:r w:rsidRPr="006C64C8">
        <w:rPr>
          <w:sz w:val="26"/>
          <w:szCs w:val="26"/>
        </w:rPr>
        <w:tab/>
      </w:r>
      <w:r w:rsidRPr="006C64C8">
        <w:rPr>
          <w:sz w:val="26"/>
          <w:szCs w:val="26"/>
        </w:rPr>
        <w:tab/>
      </w:r>
      <w:r w:rsidRPr="006C64C8">
        <w:rPr>
          <w:sz w:val="26"/>
          <w:szCs w:val="26"/>
        </w:rPr>
        <w:tab/>
      </w:r>
    </w:p>
    <w:p w14:paraId="4C72213A" w14:textId="77777777" w:rsidR="00CA3AC8" w:rsidRDefault="00CA3AC8" w:rsidP="00CA3AC8">
      <w:pPr>
        <w:rPr>
          <w:sz w:val="26"/>
          <w:szCs w:val="26"/>
        </w:rPr>
      </w:pPr>
    </w:p>
    <w:p w14:paraId="51717D92" w14:textId="77777777" w:rsidR="00CA3AC8" w:rsidRDefault="00CA3AC8" w:rsidP="00CA3AC8">
      <w:pPr>
        <w:rPr>
          <w:sz w:val="26"/>
          <w:szCs w:val="26"/>
        </w:rPr>
      </w:pPr>
    </w:p>
    <w:p w14:paraId="09EB192B" w14:textId="77777777" w:rsidR="00CA3AC8" w:rsidRPr="00624B80" w:rsidRDefault="00CA3AC8" w:rsidP="00CA3AC8">
      <w:pPr>
        <w:tabs>
          <w:tab w:val="left" w:pos="-720"/>
        </w:tabs>
        <w:suppressAutoHyphens/>
        <w:rPr>
          <w:sz w:val="26"/>
        </w:rPr>
      </w:pPr>
    </w:p>
    <w:p w14:paraId="1B3132E8" w14:textId="77777777" w:rsidR="00CA3AC8" w:rsidRPr="00624B80" w:rsidRDefault="00CA3AC8" w:rsidP="00CA3AC8">
      <w:pPr>
        <w:tabs>
          <w:tab w:val="center" w:pos="4680"/>
        </w:tabs>
        <w:suppressAutoHyphens/>
        <w:jc w:val="center"/>
        <w:rPr>
          <w:b/>
          <w:sz w:val="26"/>
        </w:rPr>
      </w:pPr>
      <w:r w:rsidRPr="00624B80">
        <w:rPr>
          <w:b/>
          <w:sz w:val="26"/>
        </w:rPr>
        <w:t xml:space="preserve">OPINION </w:t>
      </w:r>
      <w:smartTag w:uri="urn:schemas-microsoft-com:office:smarttags" w:element="address">
        <w:r w:rsidRPr="00624B80">
          <w:rPr>
            <w:b/>
            <w:sz w:val="26"/>
          </w:rPr>
          <w:t>AND</w:t>
        </w:r>
      </w:smartTag>
      <w:r w:rsidRPr="00624B80">
        <w:rPr>
          <w:b/>
          <w:sz w:val="26"/>
        </w:rPr>
        <w:t xml:space="preserve"> ORDER</w:t>
      </w:r>
    </w:p>
    <w:p w14:paraId="497AAF2B" w14:textId="77777777" w:rsidR="00CA3AC8" w:rsidRPr="00624B80" w:rsidRDefault="00CA3AC8" w:rsidP="00CA3AC8">
      <w:pPr>
        <w:tabs>
          <w:tab w:val="left" w:pos="-720"/>
        </w:tabs>
        <w:suppressAutoHyphens/>
        <w:spacing w:line="360" w:lineRule="auto"/>
        <w:rPr>
          <w:b/>
          <w:sz w:val="26"/>
        </w:rPr>
      </w:pPr>
    </w:p>
    <w:p w14:paraId="029EEA01" w14:textId="77777777" w:rsidR="00CA3AC8" w:rsidRPr="00624B80" w:rsidRDefault="00CA3AC8" w:rsidP="00CA3AC8">
      <w:pPr>
        <w:tabs>
          <w:tab w:val="left" w:pos="-720"/>
        </w:tabs>
        <w:suppressAutoHyphens/>
        <w:spacing w:line="360" w:lineRule="auto"/>
        <w:rPr>
          <w:sz w:val="26"/>
        </w:rPr>
      </w:pPr>
      <w:r w:rsidRPr="00624B80">
        <w:rPr>
          <w:b/>
          <w:sz w:val="26"/>
        </w:rPr>
        <w:t>BY THE COMMISSION:</w:t>
      </w:r>
    </w:p>
    <w:p w14:paraId="2583D2A0" w14:textId="77777777" w:rsidR="00CA3AC8" w:rsidRPr="00585188" w:rsidRDefault="00CA3AC8" w:rsidP="00CA3AC8">
      <w:pPr>
        <w:rPr>
          <w:sz w:val="26"/>
          <w:szCs w:val="26"/>
        </w:rPr>
      </w:pPr>
    </w:p>
    <w:p w14:paraId="4D3408B0" w14:textId="77777777" w:rsidR="00CA3AC8" w:rsidRDefault="00CA3AC8" w:rsidP="00CA3AC8">
      <w:pPr>
        <w:spacing w:line="360" w:lineRule="auto"/>
        <w:rPr>
          <w:sz w:val="26"/>
          <w:szCs w:val="26"/>
        </w:rPr>
      </w:pPr>
      <w:r>
        <w:rPr>
          <w:sz w:val="26"/>
          <w:szCs w:val="26"/>
        </w:rPr>
        <w:tab/>
      </w:r>
      <w:r>
        <w:rPr>
          <w:sz w:val="26"/>
          <w:szCs w:val="26"/>
        </w:rPr>
        <w:tab/>
      </w:r>
      <w:r w:rsidRPr="00585188">
        <w:rPr>
          <w:sz w:val="26"/>
          <w:szCs w:val="26"/>
        </w:rPr>
        <w:t xml:space="preserve">Before the </w:t>
      </w:r>
      <w:r>
        <w:rPr>
          <w:sz w:val="26"/>
          <w:szCs w:val="26"/>
        </w:rPr>
        <w:t>Pennsylvania Public Utility Commission (</w:t>
      </w:r>
      <w:r w:rsidRPr="00585188">
        <w:rPr>
          <w:sz w:val="26"/>
          <w:szCs w:val="26"/>
        </w:rPr>
        <w:t>Commission</w:t>
      </w:r>
      <w:r>
        <w:rPr>
          <w:sz w:val="26"/>
          <w:szCs w:val="26"/>
        </w:rPr>
        <w:t>)</w:t>
      </w:r>
      <w:r w:rsidRPr="00585188">
        <w:rPr>
          <w:sz w:val="26"/>
          <w:szCs w:val="26"/>
        </w:rPr>
        <w:t xml:space="preserve"> for consideration </w:t>
      </w:r>
      <w:r>
        <w:rPr>
          <w:sz w:val="26"/>
          <w:szCs w:val="26"/>
        </w:rPr>
        <w:t xml:space="preserve">and disposition </w:t>
      </w:r>
      <w:r w:rsidRPr="00585188">
        <w:rPr>
          <w:sz w:val="26"/>
          <w:szCs w:val="26"/>
        </w:rPr>
        <w:t>are the Exceptions</w:t>
      </w:r>
      <w:r>
        <w:rPr>
          <w:sz w:val="26"/>
          <w:szCs w:val="26"/>
        </w:rPr>
        <w:t xml:space="preserve"> </w:t>
      </w:r>
      <w:r w:rsidRPr="00585188">
        <w:rPr>
          <w:sz w:val="26"/>
          <w:szCs w:val="26"/>
        </w:rPr>
        <w:t xml:space="preserve">of </w:t>
      </w:r>
      <w:r>
        <w:rPr>
          <w:sz w:val="26"/>
          <w:szCs w:val="26"/>
        </w:rPr>
        <w:t xml:space="preserve">Chet and Michele Duffy (the Complainants), which were filed on July 8, </w:t>
      </w:r>
      <w:r w:rsidRPr="00585188">
        <w:rPr>
          <w:sz w:val="26"/>
          <w:szCs w:val="26"/>
        </w:rPr>
        <w:t>20</w:t>
      </w:r>
      <w:r>
        <w:rPr>
          <w:sz w:val="26"/>
          <w:szCs w:val="26"/>
        </w:rPr>
        <w:t>10</w:t>
      </w:r>
      <w:r w:rsidRPr="00585188">
        <w:rPr>
          <w:sz w:val="26"/>
          <w:szCs w:val="26"/>
        </w:rPr>
        <w:t>,</w:t>
      </w:r>
      <w:r>
        <w:rPr>
          <w:sz w:val="26"/>
          <w:szCs w:val="26"/>
        </w:rPr>
        <w:t xml:space="preserve"> </w:t>
      </w:r>
      <w:r w:rsidRPr="00585188">
        <w:rPr>
          <w:sz w:val="26"/>
          <w:szCs w:val="26"/>
        </w:rPr>
        <w:t xml:space="preserve">to the Initial Decision </w:t>
      </w:r>
      <w:r>
        <w:rPr>
          <w:sz w:val="26"/>
          <w:szCs w:val="26"/>
        </w:rPr>
        <w:t xml:space="preserve">(I.D.) </w:t>
      </w:r>
      <w:r w:rsidRPr="00585188">
        <w:rPr>
          <w:sz w:val="26"/>
          <w:szCs w:val="26"/>
        </w:rPr>
        <w:t>of</w:t>
      </w:r>
      <w:r>
        <w:rPr>
          <w:sz w:val="26"/>
          <w:szCs w:val="26"/>
        </w:rPr>
        <w:t xml:space="preserve"> Administrative Law Judge (ALJ) Katrina L. Dunderdale,</w:t>
      </w:r>
      <w:r w:rsidRPr="00585188">
        <w:rPr>
          <w:sz w:val="26"/>
          <w:szCs w:val="26"/>
        </w:rPr>
        <w:t xml:space="preserve"> </w:t>
      </w:r>
      <w:r>
        <w:rPr>
          <w:sz w:val="26"/>
          <w:szCs w:val="26"/>
        </w:rPr>
        <w:t xml:space="preserve">which was issued on </w:t>
      </w:r>
      <w:r w:rsidRPr="00585188">
        <w:rPr>
          <w:sz w:val="26"/>
          <w:szCs w:val="26"/>
        </w:rPr>
        <w:t>issued</w:t>
      </w:r>
      <w:r>
        <w:rPr>
          <w:sz w:val="26"/>
          <w:szCs w:val="26"/>
        </w:rPr>
        <w:t xml:space="preserve"> June 17, 2010.  Reply Exceptions were filed on July 19, 2010, by Pennsylvania Power Company (Penn Power).</w:t>
      </w:r>
    </w:p>
    <w:p w14:paraId="603E1A22" w14:textId="77777777" w:rsidR="00CA3AC8" w:rsidRDefault="00CA3AC8" w:rsidP="00CA3AC8">
      <w:pPr>
        <w:spacing w:line="360" w:lineRule="auto"/>
        <w:rPr>
          <w:sz w:val="26"/>
          <w:szCs w:val="26"/>
        </w:rPr>
      </w:pPr>
    </w:p>
    <w:p w14:paraId="497D6E28" w14:textId="77777777" w:rsidR="00CA3AC8" w:rsidRPr="00A37EAD" w:rsidRDefault="00CA3AC8" w:rsidP="00CA3AC8">
      <w:pPr>
        <w:spacing w:line="360" w:lineRule="auto"/>
        <w:rPr>
          <w:sz w:val="26"/>
          <w:szCs w:val="26"/>
        </w:rPr>
      </w:pPr>
    </w:p>
    <w:p w14:paraId="6BF7CC45" w14:textId="77777777" w:rsidR="00CA3AC8" w:rsidRPr="00A66535" w:rsidRDefault="00CA3AC8" w:rsidP="00CA3AC8">
      <w:pPr>
        <w:keepNext/>
        <w:spacing w:line="360" w:lineRule="auto"/>
        <w:jc w:val="center"/>
        <w:rPr>
          <w:b/>
          <w:sz w:val="26"/>
          <w:szCs w:val="26"/>
        </w:rPr>
      </w:pPr>
      <w:r w:rsidRPr="00A66535">
        <w:rPr>
          <w:b/>
          <w:sz w:val="26"/>
          <w:szCs w:val="26"/>
        </w:rPr>
        <w:lastRenderedPageBreak/>
        <w:t>History of the Proceeding</w:t>
      </w:r>
    </w:p>
    <w:p w14:paraId="1C6467CF" w14:textId="77777777" w:rsidR="00CA3AC8" w:rsidRDefault="00CA3AC8" w:rsidP="00CA3AC8">
      <w:pPr>
        <w:keepNext/>
        <w:tabs>
          <w:tab w:val="left" w:pos="-1440"/>
          <w:tab w:val="left" w:pos="-720"/>
        </w:tabs>
        <w:suppressAutoHyphens/>
        <w:spacing w:line="360" w:lineRule="auto"/>
        <w:rPr>
          <w:b/>
          <w:sz w:val="26"/>
          <w:szCs w:val="26"/>
          <w:u w:val="single"/>
        </w:rPr>
      </w:pPr>
    </w:p>
    <w:p w14:paraId="52EF23AD" w14:textId="77777777" w:rsidR="00CA3AC8" w:rsidRDefault="00CA3AC8" w:rsidP="00CA3AC8">
      <w:pPr>
        <w:tabs>
          <w:tab w:val="left" w:pos="-1440"/>
          <w:tab w:val="left" w:pos="-720"/>
        </w:tabs>
        <w:suppressAutoHyphens/>
        <w:spacing w:line="360" w:lineRule="auto"/>
        <w:rPr>
          <w:spacing w:val="-3"/>
          <w:sz w:val="26"/>
          <w:szCs w:val="26"/>
        </w:rPr>
      </w:pPr>
      <w:r>
        <w:rPr>
          <w:sz w:val="26"/>
          <w:szCs w:val="26"/>
        </w:rPr>
        <w:tab/>
      </w:r>
      <w:r>
        <w:rPr>
          <w:sz w:val="26"/>
          <w:szCs w:val="26"/>
        </w:rPr>
        <w:tab/>
      </w:r>
      <w:r w:rsidRPr="00E62C20">
        <w:rPr>
          <w:spacing w:val="-3"/>
          <w:sz w:val="26"/>
          <w:szCs w:val="26"/>
        </w:rPr>
        <w:t xml:space="preserve">On </w:t>
      </w:r>
      <w:r>
        <w:rPr>
          <w:spacing w:val="-3"/>
          <w:sz w:val="26"/>
          <w:szCs w:val="26"/>
        </w:rPr>
        <w:t>September</w:t>
      </w:r>
      <w:r w:rsidRPr="00E62C20">
        <w:rPr>
          <w:spacing w:val="-3"/>
          <w:sz w:val="26"/>
          <w:szCs w:val="26"/>
        </w:rPr>
        <w:t xml:space="preserve"> </w:t>
      </w:r>
      <w:r>
        <w:rPr>
          <w:spacing w:val="-3"/>
          <w:sz w:val="26"/>
          <w:szCs w:val="26"/>
        </w:rPr>
        <w:t>8</w:t>
      </w:r>
      <w:r w:rsidRPr="00E62C20">
        <w:rPr>
          <w:spacing w:val="-3"/>
          <w:sz w:val="26"/>
          <w:szCs w:val="26"/>
        </w:rPr>
        <w:t>, 200</w:t>
      </w:r>
      <w:r>
        <w:rPr>
          <w:spacing w:val="-3"/>
          <w:sz w:val="26"/>
          <w:szCs w:val="26"/>
        </w:rPr>
        <w:t>8</w:t>
      </w:r>
      <w:r w:rsidRPr="00E62C20">
        <w:rPr>
          <w:spacing w:val="-3"/>
          <w:sz w:val="26"/>
          <w:szCs w:val="26"/>
        </w:rPr>
        <w:t xml:space="preserve">, </w:t>
      </w:r>
      <w:r>
        <w:rPr>
          <w:spacing w:val="-3"/>
          <w:sz w:val="26"/>
          <w:szCs w:val="26"/>
        </w:rPr>
        <w:t xml:space="preserve">the Complainants </w:t>
      </w:r>
      <w:r w:rsidRPr="00E62C20">
        <w:rPr>
          <w:spacing w:val="-3"/>
          <w:sz w:val="26"/>
          <w:szCs w:val="26"/>
        </w:rPr>
        <w:t xml:space="preserve">filed a </w:t>
      </w:r>
      <w:r>
        <w:rPr>
          <w:spacing w:val="-3"/>
          <w:sz w:val="26"/>
          <w:szCs w:val="26"/>
        </w:rPr>
        <w:t>F</w:t>
      </w:r>
      <w:r w:rsidRPr="00E62C20">
        <w:rPr>
          <w:spacing w:val="-3"/>
          <w:sz w:val="26"/>
          <w:szCs w:val="26"/>
        </w:rPr>
        <w:t xml:space="preserve">ormal Complaint (Complaint) with the Commission against </w:t>
      </w:r>
      <w:r>
        <w:rPr>
          <w:spacing w:val="-3"/>
          <w:sz w:val="26"/>
          <w:szCs w:val="26"/>
        </w:rPr>
        <w:t>Penn Power</w:t>
      </w:r>
      <w:r w:rsidRPr="00E62C20">
        <w:rPr>
          <w:spacing w:val="-3"/>
          <w:sz w:val="26"/>
          <w:szCs w:val="26"/>
        </w:rPr>
        <w:t>, alleg</w:t>
      </w:r>
      <w:r>
        <w:rPr>
          <w:spacing w:val="-3"/>
          <w:sz w:val="26"/>
          <w:szCs w:val="26"/>
        </w:rPr>
        <w:t>ing</w:t>
      </w:r>
      <w:r w:rsidRPr="00E62C20">
        <w:rPr>
          <w:spacing w:val="-3"/>
          <w:sz w:val="26"/>
          <w:szCs w:val="26"/>
        </w:rPr>
        <w:t xml:space="preserve"> </w:t>
      </w:r>
      <w:r>
        <w:rPr>
          <w:spacing w:val="-3"/>
          <w:sz w:val="26"/>
          <w:szCs w:val="26"/>
        </w:rPr>
        <w:t>an unexplained drastic increase in usage charges and billing over-charges on the Complainant’s residential account with Penn Power that started in 2007 when Penn Power replaced a transformer.  On October 6, 2008, Penn Power filed an Answer to Complaint and a New Matter with the Commission.  I.D. at 1.</w:t>
      </w:r>
    </w:p>
    <w:p w14:paraId="3B387585" w14:textId="77777777" w:rsidR="00CA3AC8" w:rsidRDefault="00CA3AC8" w:rsidP="00CA3AC8">
      <w:pPr>
        <w:tabs>
          <w:tab w:val="left" w:pos="-1440"/>
          <w:tab w:val="left" w:pos="-720"/>
        </w:tabs>
        <w:suppressAutoHyphens/>
        <w:spacing w:line="360" w:lineRule="auto"/>
        <w:rPr>
          <w:spacing w:val="-3"/>
          <w:sz w:val="26"/>
          <w:szCs w:val="26"/>
        </w:rPr>
      </w:pPr>
    </w:p>
    <w:p w14:paraId="000148B6" w14:textId="77777777" w:rsidR="00CA3AC8" w:rsidRDefault="00CA3AC8" w:rsidP="00CA3AC8">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At the hearing, which was held on May 27, 2009, the Complainants appeared </w:t>
      </w:r>
      <w:r>
        <w:rPr>
          <w:i/>
          <w:spacing w:val="-3"/>
          <w:sz w:val="26"/>
          <w:szCs w:val="26"/>
        </w:rPr>
        <w:t>pro se</w:t>
      </w:r>
      <w:r>
        <w:rPr>
          <w:spacing w:val="-3"/>
          <w:sz w:val="26"/>
          <w:szCs w:val="26"/>
        </w:rPr>
        <w:t xml:space="preserve"> and introduced eight exhibits, five of which were admitted into the record.  Penn Power was represented by counsel who introduced nine exhibits which were admitted into the record.  I.D. at 2.</w:t>
      </w:r>
    </w:p>
    <w:p w14:paraId="4C4F15FB" w14:textId="77777777" w:rsidR="00CA3AC8" w:rsidRDefault="00CA3AC8" w:rsidP="00CA3AC8">
      <w:pPr>
        <w:tabs>
          <w:tab w:val="left" w:pos="-1440"/>
          <w:tab w:val="left" w:pos="-720"/>
        </w:tabs>
        <w:suppressAutoHyphens/>
        <w:spacing w:line="360" w:lineRule="auto"/>
        <w:rPr>
          <w:spacing w:val="-3"/>
          <w:sz w:val="26"/>
          <w:szCs w:val="26"/>
        </w:rPr>
      </w:pPr>
    </w:p>
    <w:p w14:paraId="110B09F1" w14:textId="77777777" w:rsidR="00CA3AC8" w:rsidRDefault="00CA3AC8" w:rsidP="00CA3AC8">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On May 29, 2009, the ALJ issued a Third Interim Order that directed Penn Power: (1) to complete a grounds check/foreign load check at the Complainants’ residence; (2) to conduct an appliance/equipment consumption analysis at Complainant’s residence consistent with business standards and protocols available through the Electrical Power Research Institute (EPRI) within thirty days; and (3) to provide the Complainants with an additional twenty-day period within which to object to the submission of the reports and analysis.  I.D. at 2.</w:t>
      </w:r>
    </w:p>
    <w:p w14:paraId="6F891606" w14:textId="77777777" w:rsidR="00CA3AC8" w:rsidRDefault="00CA3AC8" w:rsidP="00CA3AC8">
      <w:pPr>
        <w:tabs>
          <w:tab w:val="left" w:pos="-1440"/>
          <w:tab w:val="left" w:pos="-720"/>
        </w:tabs>
        <w:suppressAutoHyphens/>
        <w:spacing w:line="360" w:lineRule="auto"/>
        <w:rPr>
          <w:spacing w:val="-3"/>
          <w:sz w:val="26"/>
          <w:szCs w:val="26"/>
        </w:rPr>
      </w:pPr>
    </w:p>
    <w:p w14:paraId="791EDC36" w14:textId="77777777" w:rsidR="00CA3AC8" w:rsidRDefault="00CA3AC8" w:rsidP="00CA3AC8">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On June 26, 2009, Penn Power submitted a Foreign Load/Grounding Test Report and a Consumption Audit Report.  On July 11, 2009, the Complainants submitted a response to the two Reports and nine previously unmarked or submitted documents.  I.D. at 2.</w:t>
      </w:r>
    </w:p>
    <w:p w14:paraId="2FF30385" w14:textId="77777777" w:rsidR="00CA3AC8" w:rsidRDefault="00CA3AC8" w:rsidP="00CA3AC8">
      <w:pPr>
        <w:tabs>
          <w:tab w:val="left" w:pos="-1440"/>
          <w:tab w:val="left" w:pos="-720"/>
        </w:tabs>
        <w:suppressAutoHyphens/>
        <w:spacing w:line="360" w:lineRule="auto"/>
        <w:rPr>
          <w:spacing w:val="-3"/>
          <w:sz w:val="26"/>
          <w:szCs w:val="26"/>
        </w:rPr>
      </w:pPr>
    </w:p>
    <w:p w14:paraId="18DAE18E" w14:textId="77777777" w:rsidR="00CA3AC8" w:rsidRDefault="00CA3AC8" w:rsidP="00CA3AC8">
      <w:pPr>
        <w:tabs>
          <w:tab w:val="left" w:pos="-1440"/>
          <w:tab w:val="left" w:pos="-720"/>
        </w:tabs>
        <w:suppressAutoHyphens/>
        <w:spacing w:line="360" w:lineRule="auto"/>
        <w:rPr>
          <w:spacing w:val="-3"/>
          <w:sz w:val="26"/>
          <w:szCs w:val="26"/>
        </w:rPr>
      </w:pPr>
      <w:r>
        <w:rPr>
          <w:spacing w:val="-3"/>
          <w:sz w:val="26"/>
          <w:szCs w:val="26"/>
        </w:rPr>
        <w:lastRenderedPageBreak/>
        <w:tab/>
      </w:r>
      <w:r>
        <w:rPr>
          <w:spacing w:val="-3"/>
          <w:sz w:val="26"/>
          <w:szCs w:val="26"/>
        </w:rPr>
        <w:tab/>
        <w:t>Penn Power and the Complainants each filed Main Briefs on August 6, 2009.  Reply Briefs were filed by Penn Power and the Complainants on August 13 and 14, 2009, respectively.  The record was closed on August 18, 2009.  I.D. at 3.</w:t>
      </w:r>
    </w:p>
    <w:p w14:paraId="200BCF11" w14:textId="77777777" w:rsidR="00CA3AC8" w:rsidRDefault="00CA3AC8" w:rsidP="00CA3AC8">
      <w:pPr>
        <w:tabs>
          <w:tab w:val="left" w:pos="-1440"/>
          <w:tab w:val="left" w:pos="-720"/>
        </w:tabs>
        <w:suppressAutoHyphens/>
        <w:spacing w:line="360" w:lineRule="auto"/>
        <w:rPr>
          <w:spacing w:val="-3"/>
          <w:sz w:val="26"/>
          <w:szCs w:val="26"/>
        </w:rPr>
      </w:pPr>
    </w:p>
    <w:p w14:paraId="001387C9" w14:textId="77777777" w:rsidR="00CA3AC8" w:rsidRDefault="00CA3AC8" w:rsidP="00CA3AC8">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On December 7, 2009, the  ALJ re-opened the record for the purpose of admitting the two reports that Penn Power was directed to prepare as a result of the ALJ’s May 29, 2009 Interim Order.  On December 26, 2009, the Complainants requested an additional hearing on this matter in order to admit into evidence a two-page cover letter, dated July 11, 2009, with supporting documentation plus an Energy Consumption Audit dated June 16, 2009.  On January 13, 2010, Penn Power requested an opportunity to submit additional Account Summary documentation.  I.D. at 3.</w:t>
      </w:r>
    </w:p>
    <w:p w14:paraId="084CDDE0" w14:textId="77777777" w:rsidR="00CA3AC8" w:rsidRDefault="00CA3AC8" w:rsidP="00CA3AC8">
      <w:pPr>
        <w:tabs>
          <w:tab w:val="left" w:pos="-1440"/>
          <w:tab w:val="left" w:pos="-720"/>
        </w:tabs>
        <w:suppressAutoHyphens/>
        <w:spacing w:line="360" w:lineRule="auto"/>
        <w:rPr>
          <w:spacing w:val="-3"/>
          <w:sz w:val="26"/>
          <w:szCs w:val="26"/>
        </w:rPr>
      </w:pPr>
    </w:p>
    <w:p w14:paraId="07E8822B" w14:textId="77777777" w:rsidR="00CA3AC8" w:rsidRDefault="00CA3AC8" w:rsidP="00CA3AC8">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A Further Telephonic Hearing was held on April 19, 2010, at which the Complainants appeared </w:t>
      </w:r>
      <w:r>
        <w:rPr>
          <w:i/>
          <w:spacing w:val="-3"/>
          <w:sz w:val="26"/>
          <w:szCs w:val="26"/>
        </w:rPr>
        <w:t xml:space="preserve">pro se </w:t>
      </w:r>
      <w:r>
        <w:rPr>
          <w:spacing w:val="-3"/>
          <w:sz w:val="26"/>
          <w:szCs w:val="26"/>
        </w:rPr>
        <w:t xml:space="preserve">and submitted one exhibit, which was admitted into the record.  </w:t>
      </w:r>
      <w:r>
        <w:rPr>
          <w:i/>
          <w:spacing w:val="-3"/>
          <w:sz w:val="26"/>
          <w:szCs w:val="26"/>
        </w:rPr>
        <w:t xml:space="preserve"> </w:t>
      </w:r>
      <w:r>
        <w:rPr>
          <w:spacing w:val="-3"/>
          <w:sz w:val="26"/>
          <w:szCs w:val="26"/>
        </w:rPr>
        <w:t>Penn Power was represented by an attorney who offered two exhibits, which were admitted into the record.  On May 21, 2010, the record was closed.  I.D. at 4.</w:t>
      </w:r>
    </w:p>
    <w:p w14:paraId="7DD657B2" w14:textId="77777777" w:rsidR="00CA3AC8" w:rsidRDefault="00CA3AC8" w:rsidP="00CA3AC8">
      <w:pPr>
        <w:tabs>
          <w:tab w:val="left" w:pos="-1440"/>
          <w:tab w:val="left" w:pos="-720"/>
        </w:tabs>
        <w:suppressAutoHyphens/>
        <w:spacing w:line="360" w:lineRule="auto"/>
        <w:rPr>
          <w:spacing w:val="-3"/>
          <w:sz w:val="26"/>
          <w:szCs w:val="26"/>
        </w:rPr>
      </w:pPr>
    </w:p>
    <w:p w14:paraId="22EF3887" w14:textId="77777777" w:rsidR="00CA3AC8" w:rsidRPr="004D2E75" w:rsidRDefault="00CA3AC8" w:rsidP="00CA3AC8">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As noted, the ALJ </w:t>
      </w:r>
      <w:proofErr w:type="spellStart"/>
      <w:r>
        <w:rPr>
          <w:spacing w:val="-3"/>
          <w:sz w:val="26"/>
          <w:szCs w:val="26"/>
        </w:rPr>
        <w:t>Dunderdale’s</w:t>
      </w:r>
      <w:proofErr w:type="spellEnd"/>
      <w:r>
        <w:rPr>
          <w:spacing w:val="-3"/>
          <w:sz w:val="26"/>
          <w:szCs w:val="26"/>
        </w:rPr>
        <w:t xml:space="preserve"> Initial Decision was issued on June 17, 2010, to which Exceptions were filed by the Complainants on July 8, 2010.  Reply Exceptions were filed by Penn Power on July 19, 2010.</w:t>
      </w:r>
    </w:p>
    <w:p w14:paraId="4E5853DB" w14:textId="77777777" w:rsidR="00CA3AC8" w:rsidRDefault="00CA3AC8" w:rsidP="00CA3AC8">
      <w:pPr>
        <w:tabs>
          <w:tab w:val="left" w:pos="-1440"/>
          <w:tab w:val="left" w:pos="-720"/>
        </w:tabs>
        <w:suppressAutoHyphens/>
        <w:spacing w:line="360" w:lineRule="auto"/>
        <w:rPr>
          <w:spacing w:val="-3"/>
          <w:sz w:val="26"/>
          <w:szCs w:val="26"/>
        </w:rPr>
      </w:pPr>
    </w:p>
    <w:p w14:paraId="2D95D6F8" w14:textId="77777777" w:rsidR="00CA3AC8" w:rsidRDefault="00CA3AC8" w:rsidP="00CA3AC8">
      <w:pPr>
        <w:tabs>
          <w:tab w:val="left" w:pos="-1440"/>
          <w:tab w:val="left" w:pos="-720"/>
        </w:tabs>
        <w:suppressAutoHyphens/>
        <w:spacing w:line="360" w:lineRule="auto"/>
        <w:jc w:val="center"/>
        <w:rPr>
          <w:b/>
          <w:spacing w:val="-3"/>
          <w:sz w:val="26"/>
          <w:szCs w:val="26"/>
        </w:rPr>
      </w:pPr>
      <w:r>
        <w:rPr>
          <w:b/>
          <w:spacing w:val="-3"/>
          <w:sz w:val="26"/>
          <w:szCs w:val="26"/>
        </w:rPr>
        <w:t>Background</w:t>
      </w:r>
    </w:p>
    <w:p w14:paraId="6864BCD6" w14:textId="77777777" w:rsidR="00CA3AC8" w:rsidRDefault="00CA3AC8" w:rsidP="00CA3AC8">
      <w:pPr>
        <w:tabs>
          <w:tab w:val="left" w:pos="-1440"/>
          <w:tab w:val="left" w:pos="-720"/>
        </w:tabs>
        <w:suppressAutoHyphens/>
        <w:spacing w:line="360" w:lineRule="auto"/>
        <w:jc w:val="center"/>
        <w:rPr>
          <w:b/>
          <w:spacing w:val="-3"/>
          <w:sz w:val="26"/>
          <w:szCs w:val="26"/>
        </w:rPr>
      </w:pPr>
    </w:p>
    <w:p w14:paraId="7BAD4849" w14:textId="77777777" w:rsidR="00CA3AC8" w:rsidRDefault="00CA3AC8" w:rsidP="00CA3AC8">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In the summer of 2007, the Complainants inquired with Penn Power whether an additional electric service line should be installed because the Complainants added electrical equipment to their residence.  In August 2007, Penn Power replaced the existing twenty-five kilowatt pad-mounted transformer at the Complainant’s residence with a 100 kilowatt pad-mounted transformer.  Penn Power verified that the new transformer worked properly.  Tr. at 25, 26, 137, 140-143, 237.</w:t>
      </w:r>
    </w:p>
    <w:p w14:paraId="435F6F8E" w14:textId="77777777" w:rsidR="00CA3AC8" w:rsidRDefault="00CA3AC8" w:rsidP="00CA3AC8">
      <w:pPr>
        <w:tabs>
          <w:tab w:val="left" w:pos="-1440"/>
          <w:tab w:val="left" w:pos="-720"/>
        </w:tabs>
        <w:suppressAutoHyphens/>
        <w:spacing w:line="360" w:lineRule="auto"/>
        <w:rPr>
          <w:spacing w:val="-3"/>
          <w:sz w:val="26"/>
          <w:szCs w:val="26"/>
        </w:rPr>
      </w:pPr>
      <w:r>
        <w:rPr>
          <w:spacing w:val="-3"/>
          <w:sz w:val="26"/>
          <w:szCs w:val="26"/>
        </w:rPr>
        <w:lastRenderedPageBreak/>
        <w:tab/>
      </w:r>
      <w:r>
        <w:rPr>
          <w:spacing w:val="-3"/>
          <w:sz w:val="26"/>
          <w:szCs w:val="26"/>
        </w:rPr>
        <w:tab/>
        <w:t>From December 2007 to March 2009, the Complainants’ electrical bills indicated that their monthly consumption increased by forty-seven to fifty-four percent in their 4,000 square foot home, which is serviced by two electric heating/cooling systems, two electric water heaters, and two central air conditioning units.  Tr. at 25, 32, 63, 64, 163.</w:t>
      </w:r>
    </w:p>
    <w:p w14:paraId="3F477699" w14:textId="77777777" w:rsidR="00CA3AC8" w:rsidRDefault="00CA3AC8" w:rsidP="00CA3AC8">
      <w:pPr>
        <w:tabs>
          <w:tab w:val="left" w:pos="-1440"/>
          <w:tab w:val="left" w:pos="-720"/>
        </w:tabs>
        <w:suppressAutoHyphens/>
        <w:spacing w:line="360" w:lineRule="auto"/>
        <w:rPr>
          <w:spacing w:val="-3"/>
          <w:sz w:val="26"/>
          <w:szCs w:val="26"/>
        </w:rPr>
      </w:pPr>
    </w:p>
    <w:p w14:paraId="339DA785" w14:textId="77777777" w:rsidR="00CA3AC8" w:rsidRDefault="00CA3AC8" w:rsidP="00CA3AC8">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In addition to their home, the Complainants own and use a 3,600 square foot pole barn constructed of metal with concrete flooring.  The barn is heated by circulating hot water under the concrete floor that is heated by electricity.  The heating system in the barn was installed in 2001.  In 2007, the Complainants started using the barn during the winter months after having installed insulation, knotty pine paneling on the walls, and furnishings.  Tr. at 64, 65, 92, 94, 97, 163.</w:t>
      </w:r>
    </w:p>
    <w:p w14:paraId="42306E49" w14:textId="77777777" w:rsidR="00CA3AC8" w:rsidRDefault="00CA3AC8" w:rsidP="00CA3AC8">
      <w:pPr>
        <w:tabs>
          <w:tab w:val="left" w:pos="-1440"/>
          <w:tab w:val="left" w:pos="-720"/>
        </w:tabs>
        <w:suppressAutoHyphens/>
        <w:spacing w:line="360" w:lineRule="auto"/>
        <w:rPr>
          <w:spacing w:val="-3"/>
          <w:sz w:val="26"/>
          <w:szCs w:val="26"/>
        </w:rPr>
      </w:pPr>
    </w:p>
    <w:p w14:paraId="5703BF9C" w14:textId="77777777" w:rsidR="00CA3AC8" w:rsidRDefault="00CA3AC8" w:rsidP="00CA3AC8">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Additionally, the Complainants use electricity at their residence for electric pumps in the in-ground pool and Jacuzzi, five television sets, including three flat screen sets, one refrigerator, three small refrigerators, one freezer, one microwave, one dishwasher, one garbage disposal, one cook-top stove, one washer, one dryer, one outdoor waterfall, one desktop computer, two laptop computers, and two printers.  Tr. at 69, 70, 90, 91, 95; Complainants’ Exhibit 18.</w:t>
      </w:r>
    </w:p>
    <w:p w14:paraId="45DA9C63" w14:textId="77777777" w:rsidR="00CA3AC8" w:rsidRDefault="00CA3AC8" w:rsidP="00CA3AC8">
      <w:pPr>
        <w:tabs>
          <w:tab w:val="left" w:pos="-1440"/>
          <w:tab w:val="left" w:pos="-720"/>
        </w:tabs>
        <w:suppressAutoHyphens/>
        <w:spacing w:line="360" w:lineRule="auto"/>
        <w:rPr>
          <w:spacing w:val="-3"/>
          <w:sz w:val="26"/>
          <w:szCs w:val="26"/>
        </w:rPr>
      </w:pPr>
    </w:p>
    <w:p w14:paraId="6EAE5E33" w14:textId="77777777" w:rsidR="00CA3AC8" w:rsidRDefault="00CA3AC8" w:rsidP="00CA3AC8">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On April 28, 2008, Penn Power removed the Complainant’s electric meter and replaced it with a new, previously-tested meter.  Upon removal, the Complainants’ previous meter was tested and verified as accurate.  Tr. 147, 148; Penn Power Exhibit 1.</w:t>
      </w:r>
    </w:p>
    <w:p w14:paraId="3260BB5F" w14:textId="77777777" w:rsidR="00CA3AC8" w:rsidRDefault="00CA3AC8" w:rsidP="00CA3AC8">
      <w:pPr>
        <w:tabs>
          <w:tab w:val="left" w:pos="-1440"/>
          <w:tab w:val="left" w:pos="-720"/>
        </w:tabs>
        <w:suppressAutoHyphens/>
        <w:spacing w:line="360" w:lineRule="auto"/>
        <w:rPr>
          <w:spacing w:val="-3"/>
          <w:sz w:val="26"/>
          <w:szCs w:val="26"/>
        </w:rPr>
      </w:pPr>
    </w:p>
    <w:p w14:paraId="4400F444" w14:textId="77777777" w:rsidR="00CA3AC8" w:rsidRDefault="00CA3AC8" w:rsidP="00CA3AC8">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In June 2008, and again in February 2009, Penn Power installed socket recorders to monitor voltage, amperage power quality and consumption for one-week periods.  The socket recorders verified that good voltage was entering the Complainants’ home.  Tr. at 136, 137, 143, 147.</w:t>
      </w:r>
    </w:p>
    <w:p w14:paraId="73A7BCDA" w14:textId="77777777" w:rsidR="00CA3AC8" w:rsidRDefault="00CA3AC8" w:rsidP="00CA3AC8">
      <w:pPr>
        <w:tabs>
          <w:tab w:val="left" w:pos="-1440"/>
          <w:tab w:val="left" w:pos="-720"/>
        </w:tabs>
        <w:suppressAutoHyphens/>
        <w:spacing w:line="360" w:lineRule="auto"/>
        <w:rPr>
          <w:spacing w:val="-3"/>
          <w:sz w:val="26"/>
          <w:szCs w:val="26"/>
        </w:rPr>
      </w:pPr>
    </w:p>
    <w:p w14:paraId="0504E378" w14:textId="77777777" w:rsidR="00CA3AC8" w:rsidRDefault="00CA3AC8" w:rsidP="00CA3AC8">
      <w:pPr>
        <w:tabs>
          <w:tab w:val="left" w:pos="-1440"/>
          <w:tab w:val="left" w:pos="-720"/>
        </w:tabs>
        <w:suppressAutoHyphens/>
        <w:spacing w:line="360" w:lineRule="auto"/>
        <w:rPr>
          <w:spacing w:val="-3"/>
          <w:sz w:val="26"/>
          <w:szCs w:val="26"/>
        </w:rPr>
      </w:pPr>
      <w:r>
        <w:rPr>
          <w:spacing w:val="-3"/>
          <w:sz w:val="26"/>
          <w:szCs w:val="26"/>
        </w:rPr>
        <w:lastRenderedPageBreak/>
        <w:tab/>
      </w:r>
      <w:r>
        <w:rPr>
          <w:spacing w:val="-3"/>
          <w:sz w:val="26"/>
          <w:szCs w:val="26"/>
        </w:rPr>
        <w:tab/>
        <w:t>For the week of June 18 -25, 2008, Penn Power’s socket recorder showed average voltage and 1,485 kilowatt hour usage which, when projected for average monthly usage, would result in an average usage of 6,506 kilowatt hours monthly.  Tr. at 150, 151, 155; Penn Power Exhibits 2&amp; 3.</w:t>
      </w:r>
    </w:p>
    <w:p w14:paraId="27973834" w14:textId="77777777" w:rsidR="00CA3AC8" w:rsidRDefault="00CA3AC8" w:rsidP="00CA3AC8">
      <w:pPr>
        <w:tabs>
          <w:tab w:val="left" w:pos="-1440"/>
          <w:tab w:val="left" w:pos="-720"/>
        </w:tabs>
        <w:suppressAutoHyphens/>
        <w:spacing w:line="360" w:lineRule="auto"/>
        <w:rPr>
          <w:spacing w:val="-3"/>
          <w:sz w:val="26"/>
          <w:szCs w:val="26"/>
        </w:rPr>
      </w:pPr>
    </w:p>
    <w:p w14:paraId="6F53F2E9" w14:textId="77777777" w:rsidR="00CA3AC8" w:rsidRDefault="00CA3AC8" w:rsidP="00CA3AC8">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The February 2009 test showed average voltage and kilowatt hour usage that, when projected for average monthly usage, would result in an average monthly of 14,672 kilowatt hours.  Tr. at 149, 150, 154; Penn Power Exhibits 2&amp; 5.</w:t>
      </w:r>
    </w:p>
    <w:p w14:paraId="029AD48D" w14:textId="77777777" w:rsidR="00CA3AC8" w:rsidRDefault="00CA3AC8" w:rsidP="00CA3AC8">
      <w:pPr>
        <w:tabs>
          <w:tab w:val="left" w:pos="-1440"/>
          <w:tab w:val="left" w:pos="-720"/>
        </w:tabs>
        <w:suppressAutoHyphens/>
        <w:spacing w:line="360" w:lineRule="auto"/>
        <w:rPr>
          <w:spacing w:val="-3"/>
          <w:sz w:val="26"/>
          <w:szCs w:val="26"/>
        </w:rPr>
      </w:pPr>
    </w:p>
    <w:p w14:paraId="08D8DB1A" w14:textId="77777777" w:rsidR="00CA3AC8" w:rsidRDefault="00CA3AC8" w:rsidP="00CA3AC8">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The Complainants contracted the services of an energy conservation company, Frontier Energy, which reviewed power quality conditions to determine if there were any issues in their home that would contribute to higher electric bills.  Penn Power also prepared a weather </w:t>
      </w:r>
      <w:proofErr w:type="spellStart"/>
      <w:r>
        <w:rPr>
          <w:spacing w:val="-3"/>
          <w:sz w:val="26"/>
          <w:szCs w:val="26"/>
        </w:rPr>
        <w:t>numerization</w:t>
      </w:r>
      <w:proofErr w:type="spellEnd"/>
      <w:r>
        <w:rPr>
          <w:spacing w:val="-3"/>
          <w:sz w:val="26"/>
          <w:szCs w:val="26"/>
        </w:rPr>
        <w:t xml:space="preserve"> report.  The findings did not indicate high usage.  Tr. at 22, 23, 110, 111, 116; Complainants’ Exhibits 18 and 18A.</w:t>
      </w:r>
    </w:p>
    <w:p w14:paraId="025A1891" w14:textId="77777777" w:rsidR="00CA3AC8" w:rsidRDefault="00CA3AC8" w:rsidP="00CA3AC8">
      <w:pPr>
        <w:tabs>
          <w:tab w:val="left" w:pos="-1440"/>
          <w:tab w:val="left" w:pos="-720"/>
        </w:tabs>
        <w:suppressAutoHyphens/>
        <w:spacing w:line="360" w:lineRule="auto"/>
        <w:rPr>
          <w:spacing w:val="-3"/>
          <w:sz w:val="26"/>
          <w:szCs w:val="26"/>
        </w:rPr>
      </w:pPr>
    </w:p>
    <w:p w14:paraId="556D2BE9" w14:textId="77777777" w:rsidR="00CA3AC8" w:rsidRDefault="00CA3AC8" w:rsidP="00CA3AC8">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On June 16, 2009, Penn Power conducted a Consumption Audit.  Based on that Consumption Audit, Penn Power calculated the average electricity consumption for the Complainant’s residence.  Penn Power’s Consumption Audit noted that it is highly likely that the Complainants’ two heat pump units are undersized, therefore forcing the units to rely much more heavily on the resistance heat coils in the indoor part of the heat pump system to maintain the required temperature.  Also, it was noted that, since resistance heat is about fifty percent less efficient than the heat pump, heavy reliance on resistance heat would greatly increase the amount of electricity that the heating system consumes.  Finally, the Consumption Audit noted that a properly sized heating system would use much less electricity.  Penn Power Exhibit 11. </w:t>
      </w:r>
    </w:p>
    <w:p w14:paraId="583A71E6" w14:textId="77777777" w:rsidR="00CA3AC8" w:rsidRDefault="00CA3AC8" w:rsidP="00CA3AC8">
      <w:pPr>
        <w:tabs>
          <w:tab w:val="left" w:pos="-1440"/>
          <w:tab w:val="left" w:pos="-720"/>
        </w:tabs>
        <w:suppressAutoHyphens/>
        <w:spacing w:line="360" w:lineRule="auto"/>
        <w:rPr>
          <w:spacing w:val="-3"/>
          <w:sz w:val="26"/>
          <w:szCs w:val="26"/>
        </w:rPr>
      </w:pPr>
    </w:p>
    <w:p w14:paraId="55306FDA" w14:textId="77777777" w:rsidR="00CA3AC8" w:rsidRDefault="00CA3AC8" w:rsidP="00CA3AC8">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In her Initial Decision, ALJ Dunderdale concluded that the Complainants consumed the level of energy recorded by Penn Power’s meter.  The ALJ also concluded that the Complainants did not show, by a preponderance of the evidence, that Penn Power </w:t>
      </w:r>
      <w:r>
        <w:rPr>
          <w:spacing w:val="-3"/>
          <w:sz w:val="26"/>
          <w:szCs w:val="26"/>
        </w:rPr>
        <w:lastRenderedPageBreak/>
        <w:t>failed to act properly when the Complainants reported concerns about “over-consumption” and improper meter readings.  Finally, the ALJ concluded that the Complainants failed to show that Penn Power’s actions or equipment caused power surges or caused the Complainants’ meter to over-report consumption.</w:t>
      </w:r>
    </w:p>
    <w:p w14:paraId="3E3FDC3B" w14:textId="77777777" w:rsidR="00CA3AC8" w:rsidRDefault="00CA3AC8" w:rsidP="00CA3AC8">
      <w:pPr>
        <w:tabs>
          <w:tab w:val="left" w:pos="-1440"/>
          <w:tab w:val="left" w:pos="-720"/>
        </w:tabs>
        <w:suppressAutoHyphens/>
        <w:spacing w:line="360" w:lineRule="auto"/>
        <w:rPr>
          <w:spacing w:val="-3"/>
          <w:sz w:val="26"/>
          <w:szCs w:val="26"/>
        </w:rPr>
      </w:pPr>
    </w:p>
    <w:p w14:paraId="32F09BB3" w14:textId="77777777" w:rsidR="00CA3AC8" w:rsidRPr="00A66535" w:rsidRDefault="00CA3AC8" w:rsidP="00CA3AC8">
      <w:pPr>
        <w:suppressAutoHyphens/>
        <w:spacing w:line="360" w:lineRule="auto"/>
        <w:jc w:val="center"/>
        <w:rPr>
          <w:b/>
          <w:spacing w:val="-3"/>
          <w:sz w:val="26"/>
          <w:szCs w:val="26"/>
        </w:rPr>
      </w:pPr>
      <w:r w:rsidRPr="00A66535">
        <w:rPr>
          <w:b/>
          <w:spacing w:val="-3"/>
          <w:sz w:val="26"/>
          <w:szCs w:val="26"/>
        </w:rPr>
        <w:t>Discussion</w:t>
      </w:r>
    </w:p>
    <w:p w14:paraId="5391FAD1" w14:textId="77777777" w:rsidR="00CA3AC8" w:rsidRDefault="00CA3AC8" w:rsidP="00CA3AC8">
      <w:pPr>
        <w:suppressAutoHyphens/>
        <w:spacing w:line="360" w:lineRule="auto"/>
        <w:jc w:val="center"/>
        <w:rPr>
          <w:b/>
          <w:spacing w:val="-3"/>
          <w:sz w:val="26"/>
          <w:szCs w:val="26"/>
          <w:u w:val="single"/>
        </w:rPr>
      </w:pPr>
    </w:p>
    <w:p w14:paraId="22500722" w14:textId="77777777" w:rsidR="00CA3AC8" w:rsidRPr="0048137B" w:rsidRDefault="00CA3AC8" w:rsidP="00CA3AC8">
      <w:pPr>
        <w:spacing w:line="360" w:lineRule="auto"/>
        <w:ind w:firstLine="1440"/>
        <w:rPr>
          <w:rFonts w:ascii="Times New (W1)" w:hAnsi="Times New (W1)"/>
          <w:sz w:val="26"/>
          <w:szCs w:val="26"/>
        </w:rPr>
      </w:pPr>
      <w:r w:rsidRPr="0066037B">
        <w:rPr>
          <w:rFonts w:ascii="Times New (W1)" w:hAnsi="Times New (W1)"/>
          <w:sz w:val="26"/>
          <w:szCs w:val="26"/>
        </w:rPr>
        <w:t>As the proponent of a rule or order, the Complainant in this proceeding bear</w:t>
      </w:r>
      <w:r>
        <w:rPr>
          <w:rFonts w:ascii="Times New (W1)" w:hAnsi="Times New (W1)"/>
          <w:sz w:val="26"/>
          <w:szCs w:val="26"/>
        </w:rPr>
        <w:t>s</w:t>
      </w:r>
      <w:r w:rsidRPr="0066037B">
        <w:rPr>
          <w:rFonts w:ascii="Times New (W1)" w:hAnsi="Times New (W1)"/>
          <w:sz w:val="26"/>
          <w:szCs w:val="26"/>
        </w:rPr>
        <w:t xml:space="preserve"> the burden of proof pursuant to Section 332(a) of the Public Utility Code (Code)</w:t>
      </w:r>
      <w:r>
        <w:rPr>
          <w:rFonts w:ascii="Times New (W1)" w:hAnsi="Times New (W1)"/>
          <w:sz w:val="26"/>
          <w:szCs w:val="26"/>
        </w:rPr>
        <w:t>,</w:t>
      </w:r>
      <w:r w:rsidRPr="0066037B">
        <w:rPr>
          <w:rFonts w:ascii="Times New (W1)" w:hAnsi="Times New (W1)"/>
          <w:sz w:val="26"/>
          <w:szCs w:val="26"/>
        </w:rPr>
        <w:t xml:space="preserve">  66 Pa.</w:t>
      </w:r>
      <w:r>
        <w:rPr>
          <w:rFonts w:ascii="Times New (W1)" w:hAnsi="Times New (W1)"/>
          <w:sz w:val="26"/>
          <w:szCs w:val="26"/>
        </w:rPr>
        <w:t xml:space="preserve"> C.S. § 332(a), which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credible.”</w:t>
      </w:r>
      <w:r w:rsidRPr="0066037B">
        <w:rPr>
          <w:rFonts w:ascii="Times New (W1)" w:hAnsi="Times New (W1)"/>
          <w:sz w:val="26"/>
          <w:szCs w:val="26"/>
        </w:rPr>
        <w:t xml:space="preserve">  </w:t>
      </w:r>
      <w:r w:rsidRPr="0066037B">
        <w:rPr>
          <w:rFonts w:ascii="Times New (W1)" w:hAnsi="Times New (W1)"/>
          <w:i/>
          <w:iCs/>
          <w:sz w:val="26"/>
          <w:szCs w:val="26"/>
        </w:rPr>
        <w:t xml:space="preserve">Samuel J. </w:t>
      </w:r>
      <w:proofErr w:type="spellStart"/>
      <w:r w:rsidRPr="0066037B">
        <w:rPr>
          <w:rFonts w:ascii="Times New (W1)" w:hAnsi="Times New (W1)"/>
          <w:i/>
          <w:iCs/>
          <w:sz w:val="26"/>
          <w:szCs w:val="26"/>
        </w:rPr>
        <w:t>Lansberry</w:t>
      </w:r>
      <w:proofErr w:type="spellEnd"/>
      <w:r w:rsidRPr="0066037B">
        <w:rPr>
          <w:rFonts w:ascii="Times New (W1)" w:hAnsi="Times New (W1)"/>
          <w:i/>
          <w:iCs/>
          <w:sz w:val="26"/>
          <w:szCs w:val="26"/>
        </w:rPr>
        <w:t xml:space="preserve">, Inc. v. </w:t>
      </w:r>
      <w:r>
        <w:rPr>
          <w:rFonts w:ascii="Times New (W1)" w:hAnsi="Times New (W1)"/>
          <w:i/>
          <w:iCs/>
          <w:sz w:val="26"/>
          <w:szCs w:val="26"/>
        </w:rPr>
        <w:t xml:space="preserve">Pa. PUC, </w:t>
      </w:r>
      <w:r w:rsidRPr="0066037B">
        <w:rPr>
          <w:rFonts w:ascii="Times New (W1)" w:hAnsi="Times New (W1)"/>
          <w:sz w:val="26"/>
          <w:szCs w:val="26"/>
        </w:rPr>
        <w:t>578 A.2d 600</w:t>
      </w:r>
      <w:r>
        <w:rPr>
          <w:rFonts w:ascii="Times New (W1)" w:hAnsi="Times New (W1)"/>
          <w:sz w:val="26"/>
          <w:szCs w:val="26"/>
        </w:rPr>
        <w:t xml:space="preserve"> (Pa. </w:t>
      </w:r>
      <w:proofErr w:type="spellStart"/>
      <w:r>
        <w:rPr>
          <w:rFonts w:ascii="Times New (W1)" w:hAnsi="Times New (W1)"/>
          <w:sz w:val="26"/>
          <w:szCs w:val="26"/>
        </w:rPr>
        <w:t>Cmwlth</w:t>
      </w:r>
      <w:proofErr w:type="spellEnd"/>
      <w:r>
        <w:rPr>
          <w:rFonts w:ascii="Times New (W1)" w:hAnsi="Times New (W1)"/>
          <w:sz w:val="26"/>
          <w:szCs w:val="26"/>
        </w:rPr>
        <w:t xml:space="preserve">. 1990), </w:t>
      </w:r>
      <w:proofErr w:type="spellStart"/>
      <w:r>
        <w:rPr>
          <w:rFonts w:ascii="Times New (W1)" w:hAnsi="Times New (W1)"/>
          <w:i/>
          <w:sz w:val="26"/>
          <w:szCs w:val="26"/>
        </w:rPr>
        <w:t>alloc</w:t>
      </w:r>
      <w:proofErr w:type="spellEnd"/>
      <w:r>
        <w:rPr>
          <w:rFonts w:ascii="Times New (W1)" w:hAnsi="Times New (W1)"/>
          <w:i/>
          <w:sz w:val="26"/>
          <w:szCs w:val="26"/>
        </w:rPr>
        <w:t>. denied</w:t>
      </w:r>
      <w:r>
        <w:rPr>
          <w:rFonts w:ascii="Times New (W1)" w:hAnsi="Times New (W1)"/>
          <w:sz w:val="26"/>
          <w:szCs w:val="26"/>
        </w:rPr>
        <w:t xml:space="preserve">, 529 Pa. 654, 602 A.2d 863 (1992). </w:t>
      </w:r>
    </w:p>
    <w:p w14:paraId="732E69B5" w14:textId="77777777" w:rsidR="00CA3AC8" w:rsidRDefault="00CA3AC8" w:rsidP="00CA3AC8">
      <w:pPr>
        <w:spacing w:line="360" w:lineRule="auto"/>
        <w:ind w:firstLine="1440"/>
        <w:rPr>
          <w:rFonts w:ascii="Times New (W1)" w:hAnsi="Times New (W1)"/>
          <w:sz w:val="26"/>
          <w:szCs w:val="26"/>
        </w:rPr>
      </w:pPr>
    </w:p>
    <w:p w14:paraId="569A3419" w14:textId="77777777" w:rsidR="00CA3AC8" w:rsidRDefault="00CA3AC8" w:rsidP="00CA3AC8">
      <w:pPr>
        <w:spacing w:line="360" w:lineRule="auto"/>
        <w:ind w:firstLine="1440"/>
        <w:rPr>
          <w:rFonts w:ascii="Times New (W1)" w:hAnsi="Times New (W1)"/>
          <w:sz w:val="26"/>
        </w:rPr>
      </w:pPr>
      <w:r>
        <w:rPr>
          <w:rFonts w:ascii="Times New (W1)" w:hAnsi="Times New (W1)"/>
          <w:sz w:val="26"/>
        </w:rPr>
        <w:t>The ALJ made thirty two Findings of Fact and reached three Conclusions of Law.  The Findings of Fact and Conclusions of Law are incorporated herein by reference and are adopted without comment unless they are either expressly or by necessary implication rejected or modified by this Opinion and Order.</w:t>
      </w:r>
    </w:p>
    <w:p w14:paraId="74CD79EC" w14:textId="77777777" w:rsidR="00CA3AC8" w:rsidRDefault="00CA3AC8" w:rsidP="00CA3AC8">
      <w:pPr>
        <w:tabs>
          <w:tab w:val="left" w:pos="-1440"/>
          <w:tab w:val="left" w:pos="-720"/>
        </w:tabs>
        <w:suppressAutoHyphens/>
        <w:spacing w:line="360" w:lineRule="auto"/>
        <w:rPr>
          <w:spacing w:val="-3"/>
          <w:sz w:val="26"/>
          <w:szCs w:val="26"/>
        </w:rPr>
      </w:pPr>
    </w:p>
    <w:p w14:paraId="09CB4095" w14:textId="77777777" w:rsidR="00CA3AC8" w:rsidRDefault="00CA3AC8" w:rsidP="00CA3AC8">
      <w:pPr>
        <w:spacing w:line="360" w:lineRule="auto"/>
        <w:ind w:firstLine="1440"/>
        <w:rPr>
          <w:rFonts w:ascii="Times New (W1)" w:hAnsi="Times New (W1)"/>
          <w:sz w:val="26"/>
        </w:rPr>
      </w:pPr>
      <w:r w:rsidRPr="0066037B">
        <w:rPr>
          <w:rFonts w:ascii="Times New (W1)" w:hAnsi="Times New (W1)"/>
          <w:sz w:val="26"/>
        </w:rPr>
        <w:t xml:space="preserve">Before addressing the Exceptions, it is noted that any issue or Exception that we do not specifically </w:t>
      </w:r>
      <w:r>
        <w:rPr>
          <w:rFonts w:ascii="Times New (W1)" w:hAnsi="Times New (W1)"/>
          <w:sz w:val="26"/>
        </w:rPr>
        <w:t>discuss</w:t>
      </w:r>
      <w:r w:rsidRPr="0066037B">
        <w:rPr>
          <w:rFonts w:ascii="Times New (W1)" w:hAnsi="Times New (W1)"/>
          <w:sz w:val="26"/>
        </w:rPr>
        <w:t xml:space="preserve"> shall be deemed to have been duly considered and denied without further discussion.  The Commission is not required to consider expressly or at length each contention or argument raised by the parties. </w:t>
      </w:r>
      <w:r w:rsidRPr="0066037B">
        <w:rPr>
          <w:rFonts w:ascii="Times New (W1)" w:hAnsi="Times New (W1)"/>
          <w:i/>
          <w:sz w:val="26"/>
        </w:rPr>
        <w:t xml:space="preserve"> Consolidated Rail Corp. v. </w:t>
      </w:r>
      <w:smartTag w:uri="urn:schemas-microsoft-com:office:smarttags" w:element="Street">
        <w:r w:rsidRPr="0066037B">
          <w:rPr>
            <w:rFonts w:ascii="Times New (W1)" w:hAnsi="Times New (W1)"/>
            <w:i/>
            <w:sz w:val="26"/>
          </w:rPr>
          <w:t>Pennsylvania</w:t>
        </w:r>
      </w:smartTag>
      <w:r w:rsidRPr="0066037B">
        <w:rPr>
          <w:rFonts w:ascii="Times New (W1)" w:hAnsi="Times New (W1)"/>
          <w:i/>
          <w:sz w:val="26"/>
        </w:rPr>
        <w:t xml:space="preserve"> Public Utility Commission</w:t>
      </w:r>
      <w:r w:rsidRPr="0066037B">
        <w:rPr>
          <w:rFonts w:ascii="Times New (W1)" w:hAnsi="Times New (W1)"/>
          <w:sz w:val="26"/>
        </w:rPr>
        <w:t>, 625 A.2d 741 (</w:t>
      </w:r>
      <w:smartTag w:uri="urn:schemas-microsoft-com:office:smarttags" w:element="Street">
        <w:smartTag w:uri="urn:schemas-microsoft-com:office:smarttags" w:element="place">
          <w:r w:rsidRPr="0066037B">
            <w:rPr>
              <w:rFonts w:ascii="Times New (W1)" w:hAnsi="Times New (W1)"/>
              <w:sz w:val="26"/>
            </w:rPr>
            <w:t>Pa.</w:t>
          </w:r>
        </w:smartTag>
      </w:smartTag>
      <w:r>
        <w:rPr>
          <w:rFonts w:ascii="Times New (W1)" w:hAnsi="Times New (W1)"/>
          <w:sz w:val="26"/>
        </w:rPr>
        <w:t xml:space="preserve"> </w:t>
      </w:r>
      <w:proofErr w:type="spellStart"/>
      <w:r>
        <w:rPr>
          <w:rFonts w:ascii="Times New (W1)" w:hAnsi="Times New (W1)"/>
          <w:sz w:val="26"/>
        </w:rPr>
        <w:t>Cmwlth</w:t>
      </w:r>
      <w:proofErr w:type="spellEnd"/>
      <w:r>
        <w:rPr>
          <w:rFonts w:ascii="Times New (W1)" w:hAnsi="Times New (W1)"/>
          <w:sz w:val="26"/>
        </w:rPr>
        <w:t>. 1993).</w:t>
      </w:r>
    </w:p>
    <w:p w14:paraId="557952B1" w14:textId="77777777" w:rsidR="00CA3AC8" w:rsidRDefault="00CA3AC8" w:rsidP="00CA3AC8">
      <w:pPr>
        <w:tabs>
          <w:tab w:val="left" w:pos="-720"/>
        </w:tabs>
        <w:suppressAutoHyphens/>
        <w:ind w:right="1440"/>
        <w:rPr>
          <w:rFonts w:ascii="Times New (W1)" w:hAnsi="Times New (W1)"/>
          <w:sz w:val="26"/>
        </w:rPr>
      </w:pPr>
    </w:p>
    <w:p w14:paraId="2A6643D8" w14:textId="77777777" w:rsidR="00CA3AC8" w:rsidRDefault="00CA3AC8" w:rsidP="00CA3AC8">
      <w:pPr>
        <w:tabs>
          <w:tab w:val="left" w:pos="-720"/>
        </w:tabs>
        <w:suppressAutoHyphens/>
        <w:spacing w:line="360" w:lineRule="auto"/>
        <w:rPr>
          <w:rFonts w:ascii="Times New (W1)" w:hAnsi="Times New (W1)"/>
          <w:sz w:val="26"/>
        </w:rPr>
      </w:pPr>
      <w:r>
        <w:rPr>
          <w:rFonts w:ascii="Times New (W1)" w:hAnsi="Times New (W1)"/>
          <w:sz w:val="26"/>
        </w:rPr>
        <w:tab/>
      </w:r>
      <w:r>
        <w:rPr>
          <w:rFonts w:ascii="Times New (W1)" w:hAnsi="Times New (W1)"/>
          <w:sz w:val="26"/>
        </w:rPr>
        <w:tab/>
        <w:t xml:space="preserve">In their Exceptions, the Complainants submit that the Initial Decision is riddled with bias and personal opinion.  The Complainants argue that the ALJ showed </w:t>
      </w:r>
      <w:r>
        <w:rPr>
          <w:rFonts w:ascii="Times New (W1)" w:hAnsi="Times New (W1)"/>
          <w:sz w:val="26"/>
        </w:rPr>
        <w:lastRenderedPageBreak/>
        <w:t>bias towards Penn Power by not allowing all of the Complainants’ evidence into the record.  Exc. at 2-3.</w:t>
      </w:r>
    </w:p>
    <w:p w14:paraId="30456C64" w14:textId="77777777" w:rsidR="00CA3AC8" w:rsidRDefault="00CA3AC8" w:rsidP="00CA3AC8">
      <w:pPr>
        <w:tabs>
          <w:tab w:val="left" w:pos="-720"/>
        </w:tabs>
        <w:suppressAutoHyphens/>
        <w:spacing w:line="360" w:lineRule="auto"/>
        <w:rPr>
          <w:rFonts w:ascii="Times New (W1)" w:hAnsi="Times New (W1)"/>
          <w:sz w:val="26"/>
        </w:rPr>
      </w:pPr>
    </w:p>
    <w:p w14:paraId="725C17A2" w14:textId="77777777" w:rsidR="00CA3AC8" w:rsidRDefault="00CA3AC8" w:rsidP="00CA3AC8">
      <w:pPr>
        <w:tabs>
          <w:tab w:val="left" w:pos="-720"/>
        </w:tabs>
        <w:suppressAutoHyphens/>
        <w:spacing w:line="360" w:lineRule="auto"/>
        <w:rPr>
          <w:rFonts w:ascii="Times New (W1)" w:hAnsi="Times New (W1)"/>
          <w:sz w:val="26"/>
        </w:rPr>
      </w:pPr>
      <w:r>
        <w:rPr>
          <w:rFonts w:ascii="Times New (W1)" w:hAnsi="Times New (W1)"/>
          <w:sz w:val="26"/>
        </w:rPr>
        <w:tab/>
      </w:r>
      <w:r>
        <w:rPr>
          <w:rFonts w:ascii="Times New (W1)" w:hAnsi="Times New (W1)"/>
          <w:sz w:val="26"/>
        </w:rPr>
        <w:tab/>
        <w:t>The Complainants aver that the fact that Penn Power claimed the transformer worked properly does not explain why the Complainants’ consumption went up by forty-seven to fifty-four percent when none of the Complainants’ electrical components changed.  The Complainants submit that if there is a problem with the sizing of the heating and cooling system, Penn Power should be responsible since a former Penn Power employee sized the heating and cooling system.  The Complainants believe that the Initial Decision neglected to mention that the Complainants testified as to the on-going maintenance and service of their heating and cooling systems.  The Complainants further argue that, if their barn’s power use was a concern, the ALJ should have ordered Penn Power to put a meter on the barn and turn all the power on or off to determine the power usage.  Exc. at 3, 4.</w:t>
      </w:r>
    </w:p>
    <w:p w14:paraId="5203A3DA" w14:textId="77777777" w:rsidR="00CA3AC8" w:rsidRDefault="00CA3AC8" w:rsidP="00CA3AC8">
      <w:pPr>
        <w:tabs>
          <w:tab w:val="left" w:pos="-720"/>
        </w:tabs>
        <w:suppressAutoHyphens/>
        <w:spacing w:line="360" w:lineRule="auto"/>
        <w:rPr>
          <w:rFonts w:ascii="Times New (W1)" w:hAnsi="Times New (W1)"/>
          <w:sz w:val="26"/>
        </w:rPr>
      </w:pPr>
    </w:p>
    <w:p w14:paraId="70B1C1BA" w14:textId="77777777" w:rsidR="00CA3AC8" w:rsidRDefault="00CA3AC8" w:rsidP="00CA3AC8">
      <w:pPr>
        <w:tabs>
          <w:tab w:val="left" w:pos="-720"/>
        </w:tabs>
        <w:suppressAutoHyphens/>
        <w:spacing w:line="360" w:lineRule="auto"/>
        <w:rPr>
          <w:rFonts w:ascii="Times New (W1)" w:hAnsi="Times New (W1)"/>
          <w:sz w:val="26"/>
        </w:rPr>
      </w:pPr>
      <w:r>
        <w:rPr>
          <w:rFonts w:ascii="Times New (W1)" w:hAnsi="Times New (W1)"/>
          <w:sz w:val="26"/>
        </w:rPr>
        <w:tab/>
      </w:r>
      <w:r>
        <w:rPr>
          <w:rFonts w:ascii="Times New (W1)" w:hAnsi="Times New (W1)"/>
          <w:sz w:val="26"/>
        </w:rPr>
        <w:tab/>
        <w:t xml:space="preserve">The Complainants submit in their Exceptions that they have continuously used the barn since it was built in 2001, and they opine that the ALJ mischaracterized how and when the barn is utilized.  In addition, the Duffy’s suggest that it is unreasonable for the ALJ to claim they lacked credibility since the hearings were telephonic and the ALJ could not look at them.  Exc. at 5. </w:t>
      </w:r>
    </w:p>
    <w:p w14:paraId="6E61ED1C" w14:textId="77777777" w:rsidR="00CA3AC8" w:rsidRDefault="00CA3AC8" w:rsidP="00CA3AC8">
      <w:pPr>
        <w:tabs>
          <w:tab w:val="left" w:pos="-720"/>
        </w:tabs>
        <w:suppressAutoHyphens/>
        <w:spacing w:line="360" w:lineRule="auto"/>
        <w:ind w:right="1440"/>
        <w:rPr>
          <w:rFonts w:ascii="Times New (W1)" w:hAnsi="Times New (W1)"/>
          <w:sz w:val="26"/>
        </w:rPr>
      </w:pPr>
    </w:p>
    <w:p w14:paraId="3DD244C8" w14:textId="77777777" w:rsidR="00CA3AC8" w:rsidRDefault="00CA3AC8" w:rsidP="00CA3AC8">
      <w:pPr>
        <w:tabs>
          <w:tab w:val="left" w:pos="-720"/>
        </w:tabs>
        <w:suppressAutoHyphens/>
        <w:spacing w:line="360" w:lineRule="auto"/>
        <w:rPr>
          <w:rFonts w:ascii="Times New (W1)" w:hAnsi="Times New (W1)"/>
          <w:sz w:val="26"/>
        </w:rPr>
      </w:pPr>
      <w:r>
        <w:rPr>
          <w:rFonts w:ascii="Times New (W1)" w:hAnsi="Times New (W1)"/>
          <w:sz w:val="26"/>
        </w:rPr>
        <w:tab/>
      </w:r>
      <w:r>
        <w:rPr>
          <w:rFonts w:ascii="Times New (W1)" w:hAnsi="Times New (W1)"/>
          <w:sz w:val="26"/>
        </w:rPr>
        <w:tab/>
        <w:t>The Complainants argue that Penn Power’s compilation of their usage was improper and unscientific since Penn Power based that usage on only seven days’ worth of socket recorder readings.  The Complainants aver that the usage document that was ordered by the court after the hearings started should be thrown out since that document was generated by Penn Power rather than an independent engineering company. The Complainants argue that Penn Power reported hundreds of electrical sag events but the ALJ found no problem with this issue.  Exc. at 5, 6.</w:t>
      </w:r>
    </w:p>
    <w:p w14:paraId="46A57F01" w14:textId="77777777" w:rsidR="00CA3AC8" w:rsidRDefault="00CA3AC8" w:rsidP="00CA3AC8">
      <w:pPr>
        <w:tabs>
          <w:tab w:val="left" w:pos="-720"/>
        </w:tabs>
        <w:suppressAutoHyphens/>
        <w:spacing w:line="360" w:lineRule="auto"/>
        <w:rPr>
          <w:rFonts w:ascii="Times New (W1)" w:hAnsi="Times New (W1)"/>
          <w:sz w:val="26"/>
        </w:rPr>
      </w:pPr>
    </w:p>
    <w:p w14:paraId="560614BD" w14:textId="77777777" w:rsidR="00CA3AC8" w:rsidRDefault="00CA3AC8" w:rsidP="00CA3AC8">
      <w:pPr>
        <w:tabs>
          <w:tab w:val="left" w:pos="-720"/>
        </w:tabs>
        <w:suppressAutoHyphens/>
        <w:spacing w:line="360" w:lineRule="auto"/>
        <w:rPr>
          <w:rFonts w:ascii="Times New (W1)" w:hAnsi="Times New (W1)"/>
          <w:sz w:val="26"/>
        </w:rPr>
      </w:pPr>
      <w:r>
        <w:rPr>
          <w:rFonts w:ascii="Times New (W1)" w:hAnsi="Times New (W1)"/>
          <w:sz w:val="26"/>
        </w:rPr>
        <w:lastRenderedPageBreak/>
        <w:tab/>
      </w:r>
      <w:r>
        <w:rPr>
          <w:rFonts w:ascii="Times New (W1)" w:hAnsi="Times New (W1)"/>
          <w:sz w:val="26"/>
        </w:rPr>
        <w:tab/>
        <w:t>The Complainants point out that neither Penn Power nor the court noticed a broken ground wire at the base of the pole where power is provided to the transformer on the Duffy property.  Exc. at 7.</w:t>
      </w:r>
    </w:p>
    <w:p w14:paraId="42568C86" w14:textId="77777777" w:rsidR="00CA3AC8" w:rsidRDefault="00CA3AC8" w:rsidP="00CA3AC8">
      <w:pPr>
        <w:tabs>
          <w:tab w:val="left" w:pos="-720"/>
        </w:tabs>
        <w:suppressAutoHyphens/>
        <w:spacing w:line="360" w:lineRule="auto"/>
        <w:rPr>
          <w:rFonts w:ascii="Times New (W1)" w:hAnsi="Times New (W1)"/>
          <w:sz w:val="26"/>
        </w:rPr>
      </w:pPr>
    </w:p>
    <w:p w14:paraId="0D59BFCF" w14:textId="77777777" w:rsidR="00CA3AC8" w:rsidRDefault="00CA3AC8" w:rsidP="00CA3AC8">
      <w:pPr>
        <w:tabs>
          <w:tab w:val="left" w:pos="-720"/>
        </w:tabs>
        <w:suppressAutoHyphens/>
        <w:spacing w:line="360" w:lineRule="auto"/>
        <w:rPr>
          <w:rFonts w:ascii="Times New (W1)" w:hAnsi="Times New (W1)"/>
          <w:sz w:val="26"/>
        </w:rPr>
      </w:pPr>
      <w:r>
        <w:rPr>
          <w:rFonts w:ascii="Times New (W1)" w:hAnsi="Times New (W1)"/>
          <w:sz w:val="26"/>
        </w:rPr>
        <w:tab/>
      </w:r>
      <w:r>
        <w:rPr>
          <w:rFonts w:ascii="Times New (W1)" w:hAnsi="Times New (W1)"/>
          <w:sz w:val="26"/>
        </w:rPr>
        <w:tab/>
        <w:t>The Complainants contend that it is unreasonable that a homeowner has to prove that a power company is in violation of rules and regulations that are written by the Commission when the homeowner has no knowledge of those rules and regulations.  Finally, the Complainants disagree with ALJ’s conclusion that the Complainants did not provide a preponderance of evidence. Exc. at 9, 12.</w:t>
      </w:r>
    </w:p>
    <w:p w14:paraId="4720147B" w14:textId="77777777" w:rsidR="00CA3AC8" w:rsidRDefault="00CA3AC8" w:rsidP="00CA3AC8">
      <w:pPr>
        <w:tabs>
          <w:tab w:val="left" w:pos="-720"/>
        </w:tabs>
        <w:suppressAutoHyphens/>
        <w:spacing w:line="360" w:lineRule="auto"/>
        <w:rPr>
          <w:rFonts w:ascii="Times New (W1)" w:hAnsi="Times New (W1)"/>
          <w:sz w:val="26"/>
        </w:rPr>
      </w:pPr>
    </w:p>
    <w:p w14:paraId="34BE99F0" w14:textId="77777777" w:rsidR="00CA3AC8" w:rsidRDefault="00CA3AC8" w:rsidP="00CA3AC8">
      <w:pPr>
        <w:tabs>
          <w:tab w:val="left" w:pos="-720"/>
        </w:tabs>
        <w:suppressAutoHyphens/>
        <w:spacing w:line="360" w:lineRule="auto"/>
        <w:rPr>
          <w:rFonts w:ascii="Times New (W1)" w:hAnsi="Times New (W1)"/>
          <w:sz w:val="26"/>
        </w:rPr>
      </w:pPr>
      <w:r>
        <w:rPr>
          <w:rFonts w:ascii="Times New (W1)" w:hAnsi="Times New (W1)"/>
          <w:sz w:val="26"/>
        </w:rPr>
        <w:tab/>
      </w:r>
      <w:r>
        <w:rPr>
          <w:rFonts w:ascii="Times New (W1)" w:hAnsi="Times New (W1)"/>
          <w:sz w:val="26"/>
        </w:rPr>
        <w:tab/>
        <w:t>Penn Power avers that the ALJ properly dismissed the Complaint.  Penn Power submits that the Commission should not be duped by the Complainants’ attempt via their lengthy exceptions to distort the evidentiary record in this proceeding through a series of mischaracterizations of the evidence and criticisms of the Initial Decision that are not substantiated by the record.  R. Exc. at 1.</w:t>
      </w:r>
    </w:p>
    <w:p w14:paraId="0F244B35" w14:textId="77777777" w:rsidR="00CA3AC8" w:rsidRDefault="00CA3AC8" w:rsidP="00CA3AC8">
      <w:pPr>
        <w:tabs>
          <w:tab w:val="left" w:pos="-720"/>
        </w:tabs>
        <w:suppressAutoHyphens/>
        <w:spacing w:line="360" w:lineRule="auto"/>
        <w:rPr>
          <w:rFonts w:ascii="Times New (W1)" w:hAnsi="Times New (W1)"/>
          <w:sz w:val="26"/>
        </w:rPr>
      </w:pPr>
    </w:p>
    <w:p w14:paraId="7E65DA83" w14:textId="77777777" w:rsidR="00CA3AC8" w:rsidRDefault="00CA3AC8" w:rsidP="00CA3AC8">
      <w:pPr>
        <w:tabs>
          <w:tab w:val="left" w:pos="-720"/>
        </w:tabs>
        <w:suppressAutoHyphens/>
        <w:spacing w:line="360" w:lineRule="auto"/>
        <w:rPr>
          <w:rFonts w:ascii="Times New (W1)" w:hAnsi="Times New (W1)"/>
          <w:sz w:val="26"/>
        </w:rPr>
      </w:pPr>
      <w:r>
        <w:rPr>
          <w:rFonts w:ascii="Times New (W1)" w:hAnsi="Times New (W1)"/>
          <w:sz w:val="26"/>
        </w:rPr>
        <w:tab/>
      </w:r>
      <w:r>
        <w:rPr>
          <w:rFonts w:ascii="Times New (W1)" w:hAnsi="Times New (W1)"/>
          <w:sz w:val="26"/>
        </w:rPr>
        <w:tab/>
        <w:t>Penn Power points out that the Complainants imply that their right to due process was denied because the hearing in this matter was telephonic and because they were unable to admit certain documentary evidence into the record.  Penn Power notes that the Complainants could have requested an in-person hearing but they did not.  Also, with regard to the evidentiary issue, Penn Power submits that the ALJ has the authority to determine whether certain evidence is irrelevant, immaterial, or inadmissible.  R. Exc. at 2.</w:t>
      </w:r>
    </w:p>
    <w:p w14:paraId="247CBE84" w14:textId="77777777" w:rsidR="00CA3AC8" w:rsidRDefault="00CA3AC8" w:rsidP="00CA3AC8">
      <w:pPr>
        <w:tabs>
          <w:tab w:val="left" w:pos="-720"/>
        </w:tabs>
        <w:suppressAutoHyphens/>
        <w:spacing w:line="360" w:lineRule="auto"/>
        <w:rPr>
          <w:rFonts w:ascii="Times New (W1)" w:hAnsi="Times New (W1)"/>
          <w:sz w:val="26"/>
        </w:rPr>
      </w:pPr>
    </w:p>
    <w:p w14:paraId="60A58938" w14:textId="77777777" w:rsidR="00CA3AC8" w:rsidRDefault="00CA3AC8" w:rsidP="00CA3AC8">
      <w:pPr>
        <w:tabs>
          <w:tab w:val="left" w:pos="-720"/>
        </w:tabs>
        <w:suppressAutoHyphens/>
        <w:spacing w:line="360" w:lineRule="auto"/>
        <w:rPr>
          <w:rFonts w:ascii="Times New (W1)" w:hAnsi="Times New (W1)"/>
          <w:sz w:val="26"/>
        </w:rPr>
      </w:pPr>
      <w:r>
        <w:rPr>
          <w:rFonts w:ascii="Times New (W1)" w:hAnsi="Times New (W1)"/>
          <w:sz w:val="26"/>
        </w:rPr>
        <w:tab/>
      </w:r>
      <w:r>
        <w:rPr>
          <w:rFonts w:ascii="Times New (W1)" w:hAnsi="Times New (W1)"/>
          <w:sz w:val="26"/>
        </w:rPr>
        <w:tab/>
        <w:t>Penn Power points out that the Complainants allege that the Initial Decision was riddled with “bias” and “personal opinion,” yet they fail to cite to any specific examples.  Penn Power submits that no such bias or personal opinion exists.  R. Exc. at 3.</w:t>
      </w:r>
    </w:p>
    <w:p w14:paraId="498E1D2F" w14:textId="77777777" w:rsidR="00CA3AC8" w:rsidRDefault="00CA3AC8" w:rsidP="00CA3AC8">
      <w:pPr>
        <w:tabs>
          <w:tab w:val="left" w:pos="-720"/>
        </w:tabs>
        <w:suppressAutoHyphens/>
        <w:spacing w:line="360" w:lineRule="auto"/>
        <w:rPr>
          <w:rFonts w:ascii="Times New (W1)" w:hAnsi="Times New (W1)"/>
          <w:sz w:val="26"/>
        </w:rPr>
      </w:pPr>
    </w:p>
    <w:p w14:paraId="6C0266DE" w14:textId="77777777" w:rsidR="00CA3AC8" w:rsidRDefault="00CA3AC8" w:rsidP="00CA3AC8">
      <w:pPr>
        <w:tabs>
          <w:tab w:val="left" w:pos="-720"/>
        </w:tabs>
        <w:suppressAutoHyphens/>
        <w:spacing w:line="360" w:lineRule="auto"/>
        <w:rPr>
          <w:rFonts w:ascii="Times New (W1)" w:hAnsi="Times New (W1)"/>
          <w:sz w:val="26"/>
        </w:rPr>
      </w:pPr>
      <w:r>
        <w:rPr>
          <w:rFonts w:ascii="Times New (W1)" w:hAnsi="Times New (W1)"/>
          <w:sz w:val="26"/>
        </w:rPr>
        <w:lastRenderedPageBreak/>
        <w:tab/>
      </w:r>
      <w:r>
        <w:rPr>
          <w:rFonts w:ascii="Times New (W1)" w:hAnsi="Times New (W1)"/>
          <w:sz w:val="26"/>
        </w:rPr>
        <w:tab/>
        <w:t>Penn Power submits that the record is replete with substantial and credible evidence that the Complainants’ increased usage, post-2007, was due to the Complainants’ increased use of their barn and its water-heated concrete floor and their use of a large residence with numerous electronically-operated apparatus.  Penn Power points out that the record evidence also showed that the Complainants’ electric meter accurately recorded the electricity consumed by the Complainants.  In addition, Penn Power asserts that the Consumption Audit Report showed that the Complainants had the potential for the usage that was registering on the meter.  Evidence was also provided that there was no foreign load or grounding problems with the transformer serving the Complainants.  R. Exc. at 4.</w:t>
      </w:r>
    </w:p>
    <w:p w14:paraId="333147D6" w14:textId="77777777" w:rsidR="00CA3AC8" w:rsidRDefault="00CA3AC8" w:rsidP="00CA3AC8">
      <w:pPr>
        <w:tabs>
          <w:tab w:val="left" w:pos="-720"/>
        </w:tabs>
        <w:suppressAutoHyphens/>
        <w:spacing w:line="360" w:lineRule="auto"/>
        <w:rPr>
          <w:rFonts w:ascii="Times New (W1)" w:hAnsi="Times New (W1)"/>
          <w:sz w:val="26"/>
        </w:rPr>
      </w:pPr>
    </w:p>
    <w:p w14:paraId="049DB9E2" w14:textId="77777777" w:rsidR="00CA3AC8" w:rsidRDefault="00CA3AC8" w:rsidP="00CA3AC8">
      <w:pPr>
        <w:tabs>
          <w:tab w:val="left" w:pos="-720"/>
        </w:tabs>
        <w:suppressAutoHyphens/>
        <w:spacing w:line="360" w:lineRule="auto"/>
        <w:rPr>
          <w:rFonts w:ascii="Times New (W1)" w:hAnsi="Times New (W1)"/>
          <w:sz w:val="26"/>
        </w:rPr>
      </w:pPr>
      <w:r>
        <w:rPr>
          <w:rFonts w:ascii="Times New (W1)" w:hAnsi="Times New (W1)"/>
          <w:sz w:val="26"/>
        </w:rPr>
        <w:tab/>
      </w:r>
      <w:r>
        <w:rPr>
          <w:rFonts w:ascii="Times New (W1)" w:hAnsi="Times New (W1)"/>
          <w:sz w:val="26"/>
        </w:rPr>
        <w:tab/>
        <w:t xml:space="preserve">Penn Power agrees with the ALJ’s conclusion that the Complainants’ testimony about the frequency with which they used the barn, post 2007, and their barn heat was not credible.  Also, Penn Power agrees with the ALJ’s reasoning that the Complainants would not have gone to such lengths to insulate and furnish their barn if they did not intend to use it more often.  Penn Power points out that the increase in the Complainants’ usage in December 2007 coincided with the winter months when the Complainants used their barn and barn heat with more frequency.  R. Exc. at 5.  </w:t>
      </w:r>
    </w:p>
    <w:p w14:paraId="31F0BE1D" w14:textId="77777777" w:rsidR="00CA3AC8" w:rsidRDefault="00CA3AC8" w:rsidP="00CA3AC8">
      <w:pPr>
        <w:tabs>
          <w:tab w:val="left" w:pos="-720"/>
        </w:tabs>
        <w:suppressAutoHyphens/>
        <w:spacing w:line="360" w:lineRule="auto"/>
        <w:ind w:right="1440"/>
        <w:rPr>
          <w:rFonts w:ascii="Times New (W1)" w:hAnsi="Times New (W1)"/>
          <w:sz w:val="26"/>
        </w:rPr>
      </w:pPr>
    </w:p>
    <w:p w14:paraId="7BBA1C0C" w14:textId="77777777" w:rsidR="00CA3AC8" w:rsidRDefault="00CA3AC8" w:rsidP="00CA3AC8">
      <w:pPr>
        <w:tabs>
          <w:tab w:val="left" w:pos="-720"/>
        </w:tabs>
        <w:suppressAutoHyphens/>
        <w:spacing w:line="360" w:lineRule="auto"/>
        <w:rPr>
          <w:rFonts w:ascii="Times New (W1)" w:hAnsi="Times New (W1)"/>
          <w:sz w:val="26"/>
        </w:rPr>
      </w:pPr>
      <w:r>
        <w:rPr>
          <w:rFonts w:ascii="Times New (W1)" w:hAnsi="Times New (W1)"/>
          <w:sz w:val="26"/>
        </w:rPr>
        <w:tab/>
      </w:r>
      <w:r>
        <w:rPr>
          <w:rFonts w:ascii="Times New (W1)" w:hAnsi="Times New (W1)"/>
          <w:sz w:val="26"/>
        </w:rPr>
        <w:tab/>
        <w:t>Penn Power disagrees with the Complainants’ characterization that the Consumption Audit Report ordered by the ALJ to be provided by Penn Power is biased.  Penn Power points out that the Complainants omitted the fact that the report followed the guidelines of the Electric Power Research Institute, an independent non-profit institute.  Penn Power contends that the report was prepared in accordance with industry guidelines and that it is clearly credible.  R. Exc. at 6, 7.</w:t>
      </w:r>
    </w:p>
    <w:p w14:paraId="2DD2FD6F" w14:textId="77777777" w:rsidR="00CA3AC8" w:rsidRDefault="00CA3AC8" w:rsidP="00CA3AC8">
      <w:pPr>
        <w:tabs>
          <w:tab w:val="left" w:pos="-720"/>
        </w:tabs>
        <w:suppressAutoHyphens/>
        <w:spacing w:line="360" w:lineRule="auto"/>
        <w:rPr>
          <w:rFonts w:ascii="Times New (W1)" w:hAnsi="Times New (W1)"/>
          <w:sz w:val="26"/>
        </w:rPr>
      </w:pPr>
    </w:p>
    <w:p w14:paraId="12515595" w14:textId="77777777" w:rsidR="00CA3AC8" w:rsidRDefault="00CA3AC8" w:rsidP="00CA3AC8">
      <w:pPr>
        <w:tabs>
          <w:tab w:val="left" w:pos="-720"/>
        </w:tabs>
        <w:suppressAutoHyphens/>
        <w:spacing w:line="360" w:lineRule="auto"/>
        <w:rPr>
          <w:rFonts w:ascii="Times New (W1)" w:hAnsi="Times New (W1)"/>
          <w:sz w:val="26"/>
        </w:rPr>
      </w:pPr>
      <w:r>
        <w:rPr>
          <w:rFonts w:ascii="Times New (W1)" w:hAnsi="Times New (W1)"/>
          <w:sz w:val="26"/>
        </w:rPr>
        <w:tab/>
      </w:r>
      <w:r>
        <w:rPr>
          <w:rFonts w:ascii="Times New (W1)" w:hAnsi="Times New (W1)"/>
          <w:sz w:val="26"/>
        </w:rPr>
        <w:tab/>
        <w:t xml:space="preserve">Finally, in its Reply Exceptions, Penn Power avers that the Complainants claim that their power supply is inadequate as a result of “hundreds” of sag events, is erroneous and inaccurate.  Penn Power purports that during the June 2008 and February </w:t>
      </w:r>
      <w:r>
        <w:rPr>
          <w:rFonts w:ascii="Times New (W1)" w:hAnsi="Times New (W1)"/>
          <w:sz w:val="26"/>
        </w:rPr>
        <w:lastRenderedPageBreak/>
        <w:t xml:space="preserve">2009 test period, two sag events resulting in a momentary dip in voltage were recorded, not hundreds, as claimed by Complainant.  R. Exc. at 7.   </w:t>
      </w:r>
    </w:p>
    <w:p w14:paraId="554CE8D4" w14:textId="77777777" w:rsidR="00CA3AC8" w:rsidRPr="0086670E" w:rsidRDefault="00CA3AC8" w:rsidP="00CA3AC8">
      <w:pPr>
        <w:tabs>
          <w:tab w:val="left" w:pos="-720"/>
        </w:tabs>
        <w:suppressAutoHyphens/>
        <w:spacing w:line="360" w:lineRule="auto"/>
        <w:ind w:right="1440"/>
        <w:rPr>
          <w:sz w:val="26"/>
          <w:szCs w:val="26"/>
        </w:rPr>
      </w:pPr>
    </w:p>
    <w:p w14:paraId="028CF399" w14:textId="77777777" w:rsidR="00CA3AC8" w:rsidRDefault="00CA3AC8" w:rsidP="00CA3AC8">
      <w:pPr>
        <w:spacing w:line="360" w:lineRule="auto"/>
        <w:ind w:firstLine="1440"/>
        <w:rPr>
          <w:color w:val="000000"/>
          <w:sz w:val="26"/>
          <w:szCs w:val="26"/>
        </w:rPr>
      </w:pPr>
      <w:r>
        <w:rPr>
          <w:color w:val="000000"/>
          <w:sz w:val="26"/>
          <w:szCs w:val="26"/>
        </w:rPr>
        <w:t>We agree with ALJ Dunderdale that the Complainants failed to carry their burden of proof with regard to the claims stated in their Complaint.  The record evidence suggests that the Complainants increased consumption, f</w:t>
      </w:r>
      <w:r>
        <w:rPr>
          <w:spacing w:val="-3"/>
          <w:sz w:val="26"/>
          <w:szCs w:val="26"/>
        </w:rPr>
        <w:t xml:space="preserve">rom December 2007 to March 2009, is more than likely due to an increased use of </w:t>
      </w:r>
      <w:r>
        <w:rPr>
          <w:color w:val="000000"/>
          <w:sz w:val="26"/>
          <w:szCs w:val="26"/>
        </w:rPr>
        <w:t>their 3,600 square foot barn.  Although the Complainants testified that their use of the barn was infrequent, it stands to reason that in 2007 they would not have gone to the expense of insulating, paneling and furnishing it if they did not intend to use it more often.  The Complainants’ testimony that the heated floor in the barn was turned on periodically and only for short periods of time does not appear credible since, as testified by a utility witness, heated concrete floors work best if allowed to remain on for extended periods of time.</w:t>
      </w:r>
    </w:p>
    <w:p w14:paraId="7469DB3E" w14:textId="77777777" w:rsidR="00CA3AC8" w:rsidRPr="00A415EC" w:rsidRDefault="00CA3AC8" w:rsidP="00CA3AC8">
      <w:pPr>
        <w:spacing w:line="360" w:lineRule="auto"/>
        <w:ind w:firstLine="1440"/>
        <w:rPr>
          <w:color w:val="000000"/>
          <w:sz w:val="26"/>
          <w:szCs w:val="26"/>
        </w:rPr>
      </w:pPr>
    </w:p>
    <w:p w14:paraId="1C0CCF3E" w14:textId="77777777" w:rsidR="00CA3AC8" w:rsidRDefault="00CA3AC8" w:rsidP="00CA3AC8">
      <w:pPr>
        <w:spacing w:line="360" w:lineRule="auto"/>
        <w:ind w:firstLine="1440"/>
        <w:rPr>
          <w:color w:val="000000"/>
          <w:sz w:val="26"/>
          <w:szCs w:val="26"/>
        </w:rPr>
      </w:pPr>
      <w:r>
        <w:rPr>
          <w:color w:val="000000"/>
          <w:sz w:val="26"/>
          <w:szCs w:val="26"/>
        </w:rPr>
        <w:t>The Complainants’ contention that the replacement of their transformer caused their increased consumption is not convincing.  The Foreign Load test, which the ALJ ordered to be done by Penn Power, confirmed that there were no foreign load problems with the Complainants’ new transformer.  Also, based on data collected in June 2008 and February 2009, using the meter socket recorders, the engineer that collected the data indicated that no ground problems exist on the Duffy property.  These test results suggest there was no problem with the new transformer and that good voltage was entering the Complainants’ residence.</w:t>
      </w:r>
    </w:p>
    <w:p w14:paraId="32772F5A" w14:textId="77777777" w:rsidR="00CA3AC8" w:rsidRDefault="00CA3AC8" w:rsidP="00CA3AC8">
      <w:pPr>
        <w:spacing w:line="360" w:lineRule="auto"/>
        <w:ind w:firstLine="1440"/>
        <w:rPr>
          <w:color w:val="000000"/>
          <w:sz w:val="26"/>
          <w:szCs w:val="26"/>
        </w:rPr>
      </w:pPr>
    </w:p>
    <w:p w14:paraId="21606185" w14:textId="77777777" w:rsidR="00CA3AC8" w:rsidRDefault="00CA3AC8" w:rsidP="00CA3AC8">
      <w:pPr>
        <w:spacing w:line="360" w:lineRule="auto"/>
        <w:ind w:firstLine="1440"/>
        <w:rPr>
          <w:color w:val="000000"/>
          <w:sz w:val="26"/>
          <w:szCs w:val="26"/>
        </w:rPr>
      </w:pPr>
      <w:r>
        <w:rPr>
          <w:color w:val="000000"/>
          <w:sz w:val="26"/>
          <w:szCs w:val="26"/>
        </w:rPr>
        <w:t xml:space="preserve">Further record evidence indicating that the Complainants’ increased consumption was actual is shown in the Consumption Audit Report ordered by the ALJ.  Each appliance/apparatus that used electricity in the Complainants’ residence was catalogued to determine the estimated monthly kilowatt-hour usage.  It was determined that the estimated usage of all the devices in the Complainants residence added up to amounts comparable to the Complainants’ actual usage.  In addition, the Complainants’ </w:t>
      </w:r>
      <w:r>
        <w:rPr>
          <w:color w:val="000000"/>
          <w:sz w:val="26"/>
          <w:szCs w:val="26"/>
        </w:rPr>
        <w:lastRenderedPageBreak/>
        <w:t>meter was tested o</w:t>
      </w:r>
      <w:r>
        <w:rPr>
          <w:spacing w:val="-3"/>
          <w:sz w:val="26"/>
          <w:szCs w:val="26"/>
        </w:rPr>
        <w:t xml:space="preserve">n April 28, 2008, and found to be accurate.  </w:t>
      </w:r>
      <w:r>
        <w:rPr>
          <w:color w:val="000000"/>
          <w:sz w:val="26"/>
          <w:szCs w:val="26"/>
        </w:rPr>
        <w:t xml:space="preserve">Therefore, we shall deny the Duffy’s Exceptions and dismiss the Complaint for the above-stated reasons. </w:t>
      </w:r>
    </w:p>
    <w:p w14:paraId="0989EC48" w14:textId="77777777" w:rsidR="00CA3AC8" w:rsidRPr="004B22DD" w:rsidRDefault="00CA3AC8" w:rsidP="00CA3AC8">
      <w:pPr>
        <w:spacing w:line="360" w:lineRule="auto"/>
        <w:rPr>
          <w:color w:val="000000"/>
          <w:sz w:val="26"/>
          <w:szCs w:val="26"/>
        </w:rPr>
      </w:pPr>
    </w:p>
    <w:p w14:paraId="0B3A4C25" w14:textId="77777777" w:rsidR="00CA3AC8" w:rsidRPr="0004699B" w:rsidRDefault="00CA3AC8" w:rsidP="00CA3AC8">
      <w:pPr>
        <w:spacing w:line="360" w:lineRule="auto"/>
        <w:jc w:val="center"/>
        <w:rPr>
          <w:sz w:val="26"/>
          <w:szCs w:val="26"/>
        </w:rPr>
      </w:pPr>
      <w:r w:rsidRPr="0004699B">
        <w:rPr>
          <w:b/>
          <w:sz w:val="26"/>
          <w:szCs w:val="26"/>
        </w:rPr>
        <w:t>Conclusion</w:t>
      </w:r>
    </w:p>
    <w:p w14:paraId="5687CD94" w14:textId="77777777" w:rsidR="00CA3AC8" w:rsidRPr="001C7049" w:rsidRDefault="00CA3AC8" w:rsidP="00CA3AC8">
      <w:pPr>
        <w:spacing w:line="360" w:lineRule="auto"/>
        <w:ind w:firstLine="1440"/>
        <w:rPr>
          <w:spacing w:val="-3"/>
          <w:sz w:val="26"/>
          <w:szCs w:val="26"/>
        </w:rPr>
      </w:pPr>
    </w:p>
    <w:p w14:paraId="32E69210" w14:textId="77777777" w:rsidR="00CA3AC8" w:rsidRDefault="00CA3AC8" w:rsidP="00CA3AC8">
      <w:pPr>
        <w:spacing w:line="360" w:lineRule="auto"/>
        <w:ind w:firstLine="1440"/>
        <w:rPr>
          <w:sz w:val="26"/>
          <w:szCs w:val="26"/>
        </w:rPr>
      </w:pPr>
      <w:r>
        <w:rPr>
          <w:spacing w:val="-3"/>
          <w:sz w:val="26"/>
          <w:szCs w:val="26"/>
        </w:rPr>
        <w:t xml:space="preserve">Based on the above discussion, we shall deny the Complainants’ Exceptions and adopt ALJ </w:t>
      </w:r>
      <w:proofErr w:type="spellStart"/>
      <w:r>
        <w:rPr>
          <w:spacing w:val="-3"/>
          <w:sz w:val="26"/>
          <w:szCs w:val="26"/>
        </w:rPr>
        <w:t>Dunderdale’s</w:t>
      </w:r>
      <w:proofErr w:type="spellEnd"/>
      <w:r>
        <w:rPr>
          <w:spacing w:val="-3"/>
          <w:sz w:val="26"/>
          <w:szCs w:val="26"/>
        </w:rPr>
        <w:t xml:space="preserve"> Initial Decision which dismisses the Complaint;  </w:t>
      </w:r>
      <w:r w:rsidRPr="001C7049">
        <w:rPr>
          <w:b/>
          <w:sz w:val="26"/>
          <w:szCs w:val="26"/>
        </w:rPr>
        <w:t>THEREFORE</w:t>
      </w:r>
      <w:r w:rsidRPr="001C7049">
        <w:rPr>
          <w:sz w:val="26"/>
          <w:szCs w:val="26"/>
        </w:rPr>
        <w:t>,</w:t>
      </w:r>
    </w:p>
    <w:p w14:paraId="527E4DD9" w14:textId="77777777" w:rsidR="00CA3AC8" w:rsidRDefault="00CA3AC8" w:rsidP="00CA3AC8">
      <w:pPr>
        <w:spacing w:line="360" w:lineRule="auto"/>
        <w:rPr>
          <w:sz w:val="26"/>
          <w:szCs w:val="26"/>
        </w:rPr>
      </w:pPr>
    </w:p>
    <w:p w14:paraId="527D5619" w14:textId="77777777" w:rsidR="00CA3AC8" w:rsidRDefault="00CA3AC8" w:rsidP="00CA3AC8">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14:paraId="2D5CD5E0" w14:textId="77777777" w:rsidR="00CA3AC8" w:rsidRDefault="00CA3AC8" w:rsidP="00CA3AC8">
      <w:pPr>
        <w:spacing w:line="360" w:lineRule="auto"/>
        <w:rPr>
          <w:b/>
          <w:sz w:val="26"/>
          <w:szCs w:val="26"/>
        </w:rPr>
      </w:pPr>
    </w:p>
    <w:p w14:paraId="5D85AF37" w14:textId="77777777" w:rsidR="00CA3AC8" w:rsidRDefault="00CA3AC8" w:rsidP="00CA3AC8">
      <w:pPr>
        <w:spacing w:line="360" w:lineRule="auto"/>
        <w:rPr>
          <w:sz w:val="26"/>
          <w:szCs w:val="26"/>
        </w:rPr>
      </w:pPr>
      <w:r>
        <w:rPr>
          <w:b/>
          <w:sz w:val="26"/>
          <w:szCs w:val="26"/>
        </w:rPr>
        <w:tab/>
      </w:r>
      <w:r>
        <w:rPr>
          <w:sz w:val="26"/>
          <w:szCs w:val="26"/>
        </w:rPr>
        <w:tab/>
        <w:t>1.</w:t>
      </w:r>
      <w:r>
        <w:rPr>
          <w:sz w:val="26"/>
          <w:szCs w:val="26"/>
        </w:rPr>
        <w:tab/>
        <w:t>That the Exceptions of Chet and Michele Duffy are denied, consistent with this Opinion and Order.</w:t>
      </w:r>
    </w:p>
    <w:p w14:paraId="6C9FBDB3" w14:textId="77777777" w:rsidR="00CA3AC8" w:rsidRDefault="00CA3AC8" w:rsidP="00CA3AC8">
      <w:pPr>
        <w:spacing w:line="360" w:lineRule="auto"/>
        <w:rPr>
          <w:b/>
          <w:sz w:val="26"/>
          <w:szCs w:val="26"/>
        </w:rPr>
      </w:pPr>
    </w:p>
    <w:p w14:paraId="473D6B5F" w14:textId="77777777" w:rsidR="00CA3AC8" w:rsidRDefault="00CA3AC8" w:rsidP="00CA3AC8">
      <w:pPr>
        <w:spacing w:line="360" w:lineRule="auto"/>
        <w:rPr>
          <w:sz w:val="26"/>
          <w:szCs w:val="26"/>
        </w:rPr>
      </w:pPr>
      <w:r>
        <w:rPr>
          <w:sz w:val="26"/>
          <w:szCs w:val="26"/>
        </w:rPr>
        <w:tab/>
      </w:r>
      <w:r>
        <w:rPr>
          <w:sz w:val="26"/>
          <w:szCs w:val="26"/>
        </w:rPr>
        <w:tab/>
        <w:t>2.</w:t>
      </w:r>
      <w:r>
        <w:rPr>
          <w:sz w:val="26"/>
          <w:szCs w:val="26"/>
        </w:rPr>
        <w:tab/>
        <w:t>That the Initial Decision of Administrative Law Judge Katrina L. Dunderdale is adopted consistent with this Opinion and Order.</w:t>
      </w:r>
    </w:p>
    <w:p w14:paraId="1A4CF25B" w14:textId="77777777" w:rsidR="00CA3AC8" w:rsidRDefault="00CA3AC8" w:rsidP="00CA3AC8">
      <w:pPr>
        <w:spacing w:line="360" w:lineRule="auto"/>
        <w:rPr>
          <w:sz w:val="26"/>
          <w:szCs w:val="26"/>
        </w:rPr>
      </w:pPr>
    </w:p>
    <w:p w14:paraId="14FA548B" w14:textId="77777777" w:rsidR="00CA3AC8" w:rsidRDefault="00CA3AC8" w:rsidP="00CA3AC8">
      <w:pPr>
        <w:spacing w:line="360" w:lineRule="auto"/>
        <w:rPr>
          <w:sz w:val="26"/>
          <w:szCs w:val="26"/>
        </w:rPr>
      </w:pPr>
      <w:r>
        <w:rPr>
          <w:sz w:val="26"/>
          <w:szCs w:val="26"/>
        </w:rPr>
        <w:tab/>
      </w:r>
      <w:r>
        <w:rPr>
          <w:sz w:val="26"/>
          <w:szCs w:val="26"/>
        </w:rPr>
        <w:tab/>
        <w:t>3.</w:t>
      </w:r>
      <w:r>
        <w:rPr>
          <w:sz w:val="26"/>
          <w:szCs w:val="26"/>
        </w:rPr>
        <w:tab/>
        <w:t xml:space="preserve">That the Formal Complaint of Chet and Michele Duffy v. Pennsylvania Power Company at Docket Number C-2008-2063047 is dismissed for the failure to satisfy the burden of proof. </w:t>
      </w:r>
    </w:p>
    <w:p w14:paraId="628A16E9" w14:textId="77777777" w:rsidR="00CA3AC8" w:rsidRDefault="00CA3AC8" w:rsidP="00CA3AC8">
      <w:pPr>
        <w:spacing w:line="360" w:lineRule="auto"/>
        <w:rPr>
          <w:sz w:val="26"/>
          <w:szCs w:val="26"/>
        </w:rPr>
      </w:pPr>
    </w:p>
    <w:p w14:paraId="669DCE3F" w14:textId="77777777" w:rsidR="00CA3AC8" w:rsidRPr="00F466B0" w:rsidRDefault="00CA3AC8" w:rsidP="00CA3AC8">
      <w:pPr>
        <w:spacing w:line="360" w:lineRule="auto"/>
        <w:rPr>
          <w:sz w:val="26"/>
          <w:szCs w:val="26"/>
        </w:rPr>
      </w:pPr>
      <w:r>
        <w:rPr>
          <w:sz w:val="26"/>
          <w:szCs w:val="26"/>
        </w:rPr>
        <w:br w:type="page"/>
      </w:r>
      <w:r>
        <w:rPr>
          <w:sz w:val="26"/>
          <w:szCs w:val="26"/>
        </w:rPr>
        <w:lastRenderedPageBreak/>
        <w:tab/>
      </w:r>
      <w:r>
        <w:rPr>
          <w:sz w:val="26"/>
          <w:szCs w:val="26"/>
        </w:rPr>
        <w:tab/>
        <w:t>4.</w:t>
      </w:r>
      <w:r>
        <w:rPr>
          <w:sz w:val="26"/>
          <w:szCs w:val="26"/>
        </w:rPr>
        <w:tab/>
        <w:t xml:space="preserve">That the record at Docket Number C-2008-2063047 be marked closed. </w:t>
      </w:r>
    </w:p>
    <w:p w14:paraId="4EFE2C6A" w14:textId="6D01F76E" w:rsidR="00CA3AC8" w:rsidRDefault="00CA3AC8" w:rsidP="00CA3AC8">
      <w:pPr>
        <w:spacing w:line="360" w:lineRule="auto"/>
        <w:rPr>
          <w:sz w:val="26"/>
          <w:szCs w:val="26"/>
        </w:rPr>
      </w:pPr>
      <w:r>
        <w:rPr>
          <w:noProof/>
          <w:sz w:val="26"/>
          <w:szCs w:val="26"/>
        </w:rPr>
        <w:drawing>
          <wp:anchor distT="0" distB="0" distL="114300" distR="114300" simplePos="0" relativeHeight="251659264" behindDoc="1" locked="0" layoutInCell="1" allowOverlap="1" wp14:anchorId="2FA1EBEC" wp14:editId="3712F306">
            <wp:simplePos x="0" y="0"/>
            <wp:positionH relativeFrom="column">
              <wp:posOffset>3029585</wp:posOffset>
            </wp:positionH>
            <wp:positionV relativeFrom="paragraph">
              <wp:posOffset>273050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FABD12" w14:textId="77777777" w:rsidR="00CA3AC8" w:rsidRPr="000D6043" w:rsidRDefault="00CA3AC8" w:rsidP="00CA3AC8">
      <w:pPr>
        <w:spacing w:line="360" w:lineRule="auto"/>
        <w:rPr>
          <w:b/>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b/>
          <w:sz w:val="26"/>
          <w:szCs w:val="26"/>
        </w:rPr>
        <w:t>BY THE COMMISSION,</w:t>
      </w:r>
    </w:p>
    <w:p w14:paraId="393417DB" w14:textId="77777777" w:rsidR="00CA3AC8" w:rsidRDefault="00CA3AC8" w:rsidP="00CA3AC8">
      <w:pPr>
        <w:rPr>
          <w:sz w:val="26"/>
          <w:szCs w:val="26"/>
        </w:rPr>
      </w:pPr>
    </w:p>
    <w:p w14:paraId="1E840EDE" w14:textId="77777777" w:rsidR="00CA3AC8" w:rsidRDefault="00CA3AC8" w:rsidP="00CA3AC8">
      <w:pPr>
        <w:rPr>
          <w:sz w:val="26"/>
          <w:szCs w:val="26"/>
        </w:rPr>
      </w:pPr>
    </w:p>
    <w:p w14:paraId="4B3B1A1D" w14:textId="77777777" w:rsidR="00CA3AC8" w:rsidRPr="000D6043" w:rsidRDefault="00CA3AC8" w:rsidP="00CA3AC8">
      <w:pPr>
        <w:rPr>
          <w:sz w:val="26"/>
          <w:szCs w:val="26"/>
        </w:rPr>
      </w:pPr>
    </w:p>
    <w:p w14:paraId="35659E9B" w14:textId="77777777" w:rsidR="00CA3AC8" w:rsidRPr="000D6043" w:rsidRDefault="00CA3AC8" w:rsidP="00CA3AC8">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Pr>
          <w:sz w:val="26"/>
          <w:szCs w:val="26"/>
        </w:rPr>
        <w:t>Rosemary Chiavetta</w:t>
      </w:r>
    </w:p>
    <w:p w14:paraId="16827282" w14:textId="77777777" w:rsidR="00CA3AC8" w:rsidRPr="001B2BFB" w:rsidRDefault="00CA3AC8" w:rsidP="00CA3AC8">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14:paraId="256FA2AB" w14:textId="77777777" w:rsidR="00CA3AC8" w:rsidRDefault="00CA3AC8" w:rsidP="00CA3AC8">
      <w:pPr>
        <w:tabs>
          <w:tab w:val="left" w:pos="-720"/>
        </w:tabs>
        <w:suppressAutoHyphens/>
        <w:rPr>
          <w:sz w:val="26"/>
          <w:szCs w:val="26"/>
        </w:rPr>
      </w:pPr>
    </w:p>
    <w:p w14:paraId="46C051DD" w14:textId="77777777" w:rsidR="00CA3AC8" w:rsidRDefault="00CA3AC8" w:rsidP="00CA3AC8">
      <w:pPr>
        <w:tabs>
          <w:tab w:val="left" w:pos="-720"/>
        </w:tabs>
        <w:suppressAutoHyphens/>
        <w:rPr>
          <w:sz w:val="26"/>
          <w:szCs w:val="26"/>
        </w:rPr>
      </w:pPr>
    </w:p>
    <w:p w14:paraId="5B1159A9" w14:textId="77777777" w:rsidR="00CA3AC8" w:rsidRPr="00AD292A" w:rsidRDefault="00CA3AC8" w:rsidP="00CA3AC8">
      <w:pPr>
        <w:tabs>
          <w:tab w:val="left" w:pos="-720"/>
        </w:tabs>
        <w:suppressAutoHyphens/>
        <w:rPr>
          <w:sz w:val="26"/>
          <w:szCs w:val="26"/>
        </w:rPr>
      </w:pPr>
      <w:r w:rsidRPr="00AD292A">
        <w:rPr>
          <w:sz w:val="26"/>
          <w:szCs w:val="26"/>
        </w:rPr>
        <w:t>(SEAL)</w:t>
      </w:r>
    </w:p>
    <w:p w14:paraId="43A98215" w14:textId="77777777" w:rsidR="00CA3AC8" w:rsidRPr="001B2BFB" w:rsidRDefault="00CA3AC8" w:rsidP="00CA3AC8">
      <w:pPr>
        <w:tabs>
          <w:tab w:val="left" w:pos="-720"/>
        </w:tabs>
        <w:suppressAutoHyphens/>
        <w:rPr>
          <w:sz w:val="26"/>
          <w:szCs w:val="26"/>
        </w:rPr>
      </w:pPr>
    </w:p>
    <w:p w14:paraId="58F049BA" w14:textId="77777777" w:rsidR="00CA3AC8" w:rsidRDefault="00CA3AC8" w:rsidP="00CA3AC8">
      <w:pPr>
        <w:tabs>
          <w:tab w:val="left" w:pos="-720"/>
        </w:tabs>
        <w:suppressAutoHyphens/>
        <w:rPr>
          <w:sz w:val="26"/>
          <w:szCs w:val="26"/>
        </w:rPr>
      </w:pPr>
      <w:r w:rsidRPr="00AD292A">
        <w:rPr>
          <w:sz w:val="26"/>
          <w:szCs w:val="26"/>
        </w:rPr>
        <w:t>ORDER ADOPTED:</w:t>
      </w:r>
      <w:r w:rsidRPr="001B2BFB">
        <w:rPr>
          <w:sz w:val="26"/>
          <w:szCs w:val="26"/>
        </w:rPr>
        <w:t xml:space="preserve"> </w:t>
      </w:r>
      <w:r>
        <w:rPr>
          <w:sz w:val="26"/>
          <w:szCs w:val="26"/>
        </w:rPr>
        <w:t>August 18, 2010</w:t>
      </w:r>
    </w:p>
    <w:p w14:paraId="15494634" w14:textId="77777777" w:rsidR="00CA3AC8" w:rsidRPr="001B2BFB" w:rsidRDefault="00CA3AC8" w:rsidP="00CA3AC8">
      <w:pPr>
        <w:tabs>
          <w:tab w:val="left" w:pos="-720"/>
        </w:tabs>
        <w:suppressAutoHyphens/>
        <w:rPr>
          <w:sz w:val="26"/>
          <w:szCs w:val="26"/>
        </w:rPr>
      </w:pPr>
    </w:p>
    <w:p w14:paraId="3717065E" w14:textId="77777777" w:rsidR="00CA3AC8" w:rsidRDefault="00CA3AC8" w:rsidP="00CA3AC8">
      <w:pPr>
        <w:pStyle w:val="BodyText"/>
        <w:spacing w:line="240" w:lineRule="auto"/>
      </w:pPr>
      <w:r w:rsidRPr="00AD292A">
        <w:t>ORDER ENTERED</w:t>
      </w:r>
      <w:r>
        <w:t>: August 20, 2010</w:t>
      </w:r>
    </w:p>
    <w:p w14:paraId="031DF739" w14:textId="77777777" w:rsidR="00CA3AC8" w:rsidRDefault="00CA3AC8" w:rsidP="00304E24"/>
    <w:p w14:paraId="13D65171" w14:textId="77777777" w:rsidR="00871706" w:rsidRPr="00687BAF" w:rsidRDefault="00871706" w:rsidP="00304E24"/>
    <w:sectPr w:rsidR="00871706" w:rsidRPr="00687BAF" w:rsidSect="00930ADD">
      <w:pgSz w:w="12240" w:h="15840" w:code="1"/>
      <w:pgMar w:top="1440" w:right="1440" w:bottom="1440" w:left="1440" w:header="14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3E6DB" w14:textId="77777777" w:rsidR="00B667A6" w:rsidRDefault="00B667A6" w:rsidP="00A00277">
      <w:r>
        <w:separator/>
      </w:r>
    </w:p>
  </w:endnote>
  <w:endnote w:type="continuationSeparator" w:id="0">
    <w:p w14:paraId="54F03212" w14:textId="77777777" w:rsidR="00B667A6" w:rsidRDefault="00B667A6" w:rsidP="00A0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W1)">
    <w:altName w:val="Times New Roman"/>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229909"/>
      <w:docPartObj>
        <w:docPartGallery w:val="Page Numbers (Bottom of Page)"/>
        <w:docPartUnique/>
      </w:docPartObj>
    </w:sdtPr>
    <w:sdtEndPr>
      <w:rPr>
        <w:noProof/>
      </w:rPr>
    </w:sdtEndPr>
    <w:sdtContent>
      <w:p w14:paraId="2A3C3103" w14:textId="77777777" w:rsidR="00A00277" w:rsidRDefault="00A00277">
        <w:pPr>
          <w:pStyle w:val="Footer"/>
          <w:jc w:val="center"/>
        </w:pPr>
        <w:r>
          <w:fldChar w:fldCharType="begin"/>
        </w:r>
        <w:r>
          <w:instrText xml:space="preserve"> PAGE   \* MERGEFORMAT </w:instrText>
        </w:r>
        <w:r>
          <w:fldChar w:fldCharType="separate"/>
        </w:r>
        <w:r w:rsidR="0024540B">
          <w:rPr>
            <w:noProof/>
          </w:rPr>
          <w:t>2</w:t>
        </w:r>
        <w:r>
          <w:rPr>
            <w:noProof/>
          </w:rPr>
          <w:fldChar w:fldCharType="end"/>
        </w:r>
      </w:p>
    </w:sdtContent>
  </w:sdt>
  <w:p w14:paraId="6230FD74" w14:textId="77777777" w:rsidR="00A00277" w:rsidRDefault="00A00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3582C" w14:textId="369DF686" w:rsidR="00640ECF" w:rsidRDefault="00640ECF">
    <w:pPr>
      <w:pStyle w:val="Footer"/>
      <w:jc w:val="center"/>
    </w:pPr>
  </w:p>
  <w:p w14:paraId="164CA42F" w14:textId="77777777" w:rsidR="00640ECF" w:rsidRDefault="00640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13824" w14:textId="77777777" w:rsidR="00B667A6" w:rsidRDefault="00B667A6" w:rsidP="00A00277">
      <w:r>
        <w:separator/>
      </w:r>
    </w:p>
  </w:footnote>
  <w:footnote w:type="continuationSeparator" w:id="0">
    <w:p w14:paraId="700F29B3" w14:textId="77777777" w:rsidR="00B667A6" w:rsidRDefault="00B667A6" w:rsidP="00A00277">
      <w:r>
        <w:continuationSeparator/>
      </w:r>
    </w:p>
  </w:footnote>
  <w:footnote w:id="1">
    <w:p w14:paraId="40385F91" w14:textId="77777777" w:rsidR="00F24294" w:rsidRDefault="00F24294" w:rsidP="00F24294">
      <w:pPr>
        <w:pStyle w:val="FootnoteText"/>
        <w:ind w:firstLine="720"/>
      </w:pPr>
      <w:r>
        <w:rPr>
          <w:rStyle w:val="FootnoteReference"/>
        </w:rPr>
        <w:footnoteRef/>
      </w:r>
      <w:r>
        <w:t xml:space="preserve"> </w:t>
      </w:r>
      <w:r>
        <w:tab/>
      </w:r>
      <w:r w:rsidRPr="00EC0D25">
        <w:t>Section 332(a) of the Public Utility Code, 66 Pa. C.S. §332(a).</w:t>
      </w:r>
    </w:p>
    <w:p w14:paraId="4DB70A8D" w14:textId="77777777" w:rsidR="00F24294" w:rsidRPr="00EC0D25" w:rsidRDefault="00F24294" w:rsidP="00F24294">
      <w:pPr>
        <w:pStyle w:val="FootnoteText"/>
        <w:ind w:firstLine="720"/>
      </w:pPr>
    </w:p>
  </w:footnote>
  <w:footnote w:id="2">
    <w:p w14:paraId="021CAB01" w14:textId="77777777" w:rsidR="00F24294" w:rsidRDefault="00F24294" w:rsidP="00F24294">
      <w:pPr>
        <w:pStyle w:val="FootnoteText"/>
        <w:ind w:firstLine="720"/>
      </w:pPr>
      <w:r>
        <w:rPr>
          <w:rStyle w:val="FootnoteReference"/>
        </w:rPr>
        <w:footnoteRef/>
      </w:r>
      <w:r>
        <w:t xml:space="preserve"> </w:t>
      </w:r>
      <w:r>
        <w:tab/>
      </w:r>
      <w:r w:rsidRPr="0058651A">
        <w:rPr>
          <w:spacing w:val="-3"/>
          <w:u w:val="single"/>
        </w:rPr>
        <w:t>Patterson v. Bell Telephone Company of Pennsylvania</w:t>
      </w:r>
      <w:r w:rsidRPr="0058651A">
        <w:rPr>
          <w:spacing w:val="-3"/>
        </w:rPr>
        <w:t xml:space="preserve">, 72 PA PUC 196 (1990), </w:t>
      </w:r>
      <w:r w:rsidRPr="0058651A">
        <w:rPr>
          <w:spacing w:val="-3"/>
          <w:u w:val="single"/>
        </w:rPr>
        <w:t>Feinstein v. Philadelphia Suburban Water Company</w:t>
      </w:r>
      <w:r w:rsidRPr="0058651A">
        <w:rPr>
          <w:spacing w:val="-3"/>
        </w:rPr>
        <w:t>, 50 PA PUC 300 (1976).</w:t>
      </w:r>
      <w:r w:rsidRPr="00D27E1B">
        <w:rPr>
          <w:spacing w:val="-3"/>
          <w:sz w:val="24"/>
          <w:szCs w:val="24"/>
        </w:rPr>
        <w:t xml:space="preserve">  </w:t>
      </w:r>
    </w:p>
  </w:footnote>
  <w:footnote w:id="3">
    <w:p w14:paraId="20D8E86F" w14:textId="77777777" w:rsidR="00F24294" w:rsidRDefault="00F24294" w:rsidP="00F24294">
      <w:pPr>
        <w:pStyle w:val="FootnoteText"/>
        <w:ind w:firstLine="720"/>
      </w:pPr>
    </w:p>
    <w:p w14:paraId="3C599E1A" w14:textId="77777777" w:rsidR="00F24294" w:rsidRDefault="00F24294" w:rsidP="00F24294">
      <w:pPr>
        <w:pStyle w:val="FootnoteText"/>
        <w:ind w:firstLine="720"/>
        <w:rPr>
          <w:spacing w:val="-3"/>
        </w:rPr>
      </w:pPr>
      <w:r>
        <w:rPr>
          <w:rStyle w:val="FootnoteReference"/>
        </w:rPr>
        <w:footnoteRef/>
      </w:r>
      <w:r>
        <w:t xml:space="preserve"> </w:t>
      </w:r>
      <w:r>
        <w:tab/>
      </w:r>
      <w:r w:rsidRPr="00EC0D25">
        <w:rPr>
          <w:spacing w:val="-3"/>
          <w:u w:val="single"/>
        </w:rPr>
        <w:t xml:space="preserve">Samuel J. </w:t>
      </w:r>
      <w:r w:rsidRPr="00EC0D25">
        <w:rPr>
          <w:spacing w:val="-3"/>
          <w:u w:val="single"/>
        </w:rPr>
        <w:t>Lansberry, Inc. v. Pa. Public Utility Comm’n</w:t>
      </w:r>
      <w:r w:rsidRPr="00EC0D25">
        <w:rPr>
          <w:spacing w:val="-3"/>
        </w:rPr>
        <w:t xml:space="preserve">, 134 </w:t>
      </w:r>
      <w:r w:rsidRPr="00EC0D25">
        <w:rPr>
          <w:spacing w:val="-3"/>
        </w:rPr>
        <w:t xml:space="preserve">Pa.Commw. 218; 221-222, 578 A.2d 600; 602 (1990), </w:t>
      </w:r>
      <w:r w:rsidRPr="00EC0D25">
        <w:rPr>
          <w:i/>
          <w:iCs/>
          <w:spacing w:val="-3"/>
        </w:rPr>
        <w:t>alloc. den</w:t>
      </w:r>
      <w:r w:rsidRPr="00EC0D25">
        <w:rPr>
          <w:spacing w:val="-3"/>
        </w:rPr>
        <w:t>. in 602 A.2d 863 (1992)</w:t>
      </w:r>
      <w:r>
        <w:rPr>
          <w:spacing w:val="-3"/>
        </w:rPr>
        <w:t>.</w:t>
      </w:r>
    </w:p>
    <w:p w14:paraId="551329A1" w14:textId="77777777" w:rsidR="00F24294" w:rsidRPr="00EC0D25" w:rsidRDefault="00F24294" w:rsidP="00F24294">
      <w:pPr>
        <w:pStyle w:val="FootnoteText"/>
        <w:ind w:firstLine="720"/>
      </w:pPr>
    </w:p>
  </w:footnote>
  <w:footnote w:id="4">
    <w:p w14:paraId="5B30EBB0" w14:textId="77777777" w:rsidR="00F24294" w:rsidRPr="00A964A8" w:rsidRDefault="00F24294" w:rsidP="00F24294">
      <w:pPr>
        <w:tabs>
          <w:tab w:val="left" w:pos="-1440"/>
          <w:tab w:val="left" w:pos="-720"/>
        </w:tabs>
        <w:suppressAutoHyphens/>
      </w:pPr>
      <w:r>
        <w:tab/>
      </w:r>
      <w:r>
        <w:rPr>
          <w:rStyle w:val="FootnoteReference"/>
        </w:rPr>
        <w:footnoteRef/>
      </w:r>
      <w:r>
        <w:t xml:space="preserve"> </w:t>
      </w:r>
      <w:r>
        <w:tab/>
      </w:r>
      <w:r w:rsidRPr="009828D3">
        <w:rPr>
          <w:spacing w:val="-3"/>
          <w:sz w:val="20"/>
          <w:u w:val="single"/>
        </w:rPr>
        <w:t>Se-Ling Hosiery v. Margulies</w:t>
      </w:r>
      <w:r w:rsidRPr="009828D3">
        <w:rPr>
          <w:spacing w:val="-3"/>
          <w:sz w:val="20"/>
        </w:rPr>
        <w:t xml:space="preserve">, 364 Pa. 45, 70 A.2d 854 (1950).  </w:t>
      </w:r>
    </w:p>
  </w:footnote>
  <w:footnote w:id="5">
    <w:p w14:paraId="7ECEB5D8" w14:textId="77777777" w:rsidR="00F24294" w:rsidRDefault="00F24294" w:rsidP="00F24294">
      <w:pPr>
        <w:pStyle w:val="FootnoteText"/>
        <w:ind w:firstLine="720"/>
      </w:pPr>
      <w:r>
        <w:rPr>
          <w:rStyle w:val="FootnoteReference"/>
        </w:rPr>
        <w:footnoteRef/>
      </w:r>
      <w:r>
        <w:t xml:space="preserve"> </w:t>
      </w:r>
      <w:r>
        <w:tab/>
        <w:t>EPRI, an independent non-profit, conducts electricity-related research and provides the results to others.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6EF75055"/>
    <w:multiLevelType w:val="singleLevel"/>
    <w:tmpl w:val="3244E540"/>
    <w:lvl w:ilvl="0">
      <w:start w:val="1"/>
      <w:numFmt w:val="decimal"/>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29232656"/>
  </w:docVars>
  <w:rsids>
    <w:rsidRoot w:val="001A517C"/>
    <w:rsid w:val="0001444C"/>
    <w:rsid w:val="00022664"/>
    <w:rsid w:val="00024AA5"/>
    <w:rsid w:val="00031BA6"/>
    <w:rsid w:val="000404B5"/>
    <w:rsid w:val="00040EAD"/>
    <w:rsid w:val="00042860"/>
    <w:rsid w:val="0005471E"/>
    <w:rsid w:val="00063DD1"/>
    <w:rsid w:val="000759F4"/>
    <w:rsid w:val="00087CC5"/>
    <w:rsid w:val="000A2A68"/>
    <w:rsid w:val="000C1A6B"/>
    <w:rsid w:val="000C269C"/>
    <w:rsid w:val="000C3F8A"/>
    <w:rsid w:val="000C71B2"/>
    <w:rsid w:val="000D0A84"/>
    <w:rsid w:val="000E6C36"/>
    <w:rsid w:val="000F0D26"/>
    <w:rsid w:val="00110EA9"/>
    <w:rsid w:val="0011200F"/>
    <w:rsid w:val="001163B8"/>
    <w:rsid w:val="001336B2"/>
    <w:rsid w:val="001534FA"/>
    <w:rsid w:val="00185280"/>
    <w:rsid w:val="00192F81"/>
    <w:rsid w:val="00197FE7"/>
    <w:rsid w:val="001A517C"/>
    <w:rsid w:val="001B37F9"/>
    <w:rsid w:val="001B389A"/>
    <w:rsid w:val="001B7D2C"/>
    <w:rsid w:val="001C20D1"/>
    <w:rsid w:val="001E1DD2"/>
    <w:rsid w:val="001E6948"/>
    <w:rsid w:val="001F5E84"/>
    <w:rsid w:val="00202271"/>
    <w:rsid w:val="0020691C"/>
    <w:rsid w:val="002107F3"/>
    <w:rsid w:val="00212F85"/>
    <w:rsid w:val="0021472B"/>
    <w:rsid w:val="00216054"/>
    <w:rsid w:val="0022623F"/>
    <w:rsid w:val="002270C7"/>
    <w:rsid w:val="00234986"/>
    <w:rsid w:val="002404BD"/>
    <w:rsid w:val="0024258E"/>
    <w:rsid w:val="0024540B"/>
    <w:rsid w:val="00254AC4"/>
    <w:rsid w:val="002569D2"/>
    <w:rsid w:val="00276514"/>
    <w:rsid w:val="00282F10"/>
    <w:rsid w:val="00286E18"/>
    <w:rsid w:val="002A08AE"/>
    <w:rsid w:val="002A3713"/>
    <w:rsid w:val="002B080D"/>
    <w:rsid w:val="002B43C8"/>
    <w:rsid w:val="002C0A83"/>
    <w:rsid w:val="002C5195"/>
    <w:rsid w:val="002C6736"/>
    <w:rsid w:val="00304E24"/>
    <w:rsid w:val="003105EB"/>
    <w:rsid w:val="0031093F"/>
    <w:rsid w:val="0032184B"/>
    <w:rsid w:val="00323CE9"/>
    <w:rsid w:val="00333401"/>
    <w:rsid w:val="0036055F"/>
    <w:rsid w:val="00375FC7"/>
    <w:rsid w:val="0038220E"/>
    <w:rsid w:val="00386EC2"/>
    <w:rsid w:val="003914A1"/>
    <w:rsid w:val="003945E9"/>
    <w:rsid w:val="003A065F"/>
    <w:rsid w:val="003A51FD"/>
    <w:rsid w:val="003A7731"/>
    <w:rsid w:val="003B5554"/>
    <w:rsid w:val="003C49C9"/>
    <w:rsid w:val="003D38F7"/>
    <w:rsid w:val="003D5091"/>
    <w:rsid w:val="003E6611"/>
    <w:rsid w:val="003F347A"/>
    <w:rsid w:val="003F42D7"/>
    <w:rsid w:val="003F69C5"/>
    <w:rsid w:val="00411154"/>
    <w:rsid w:val="00417A48"/>
    <w:rsid w:val="004256D5"/>
    <w:rsid w:val="00427446"/>
    <w:rsid w:val="00435A1B"/>
    <w:rsid w:val="00441E8C"/>
    <w:rsid w:val="004628D7"/>
    <w:rsid w:val="00466EEB"/>
    <w:rsid w:val="00473140"/>
    <w:rsid w:val="004A0D2F"/>
    <w:rsid w:val="004A6F1C"/>
    <w:rsid w:val="004B1125"/>
    <w:rsid w:val="004B58A0"/>
    <w:rsid w:val="004C1ADF"/>
    <w:rsid w:val="004C6ACC"/>
    <w:rsid w:val="004D1AF6"/>
    <w:rsid w:val="004D204C"/>
    <w:rsid w:val="004D26B3"/>
    <w:rsid w:val="004D3CF4"/>
    <w:rsid w:val="004D5571"/>
    <w:rsid w:val="004D6600"/>
    <w:rsid w:val="004D6A84"/>
    <w:rsid w:val="004E2DEE"/>
    <w:rsid w:val="004E56E5"/>
    <w:rsid w:val="004F52CA"/>
    <w:rsid w:val="004F78EB"/>
    <w:rsid w:val="00501290"/>
    <w:rsid w:val="00503B65"/>
    <w:rsid w:val="005055FD"/>
    <w:rsid w:val="00507D92"/>
    <w:rsid w:val="00510BCD"/>
    <w:rsid w:val="005119CE"/>
    <w:rsid w:val="00513A0D"/>
    <w:rsid w:val="00526125"/>
    <w:rsid w:val="0052693F"/>
    <w:rsid w:val="005319D7"/>
    <w:rsid w:val="00546C4E"/>
    <w:rsid w:val="00546F57"/>
    <w:rsid w:val="00565303"/>
    <w:rsid w:val="00570C98"/>
    <w:rsid w:val="005724EC"/>
    <w:rsid w:val="005756F9"/>
    <w:rsid w:val="00575B38"/>
    <w:rsid w:val="005773BD"/>
    <w:rsid w:val="00590615"/>
    <w:rsid w:val="00595C07"/>
    <w:rsid w:val="005B1864"/>
    <w:rsid w:val="005B2C81"/>
    <w:rsid w:val="005C5138"/>
    <w:rsid w:val="005D141F"/>
    <w:rsid w:val="005D7F94"/>
    <w:rsid w:val="005E071E"/>
    <w:rsid w:val="005E4F30"/>
    <w:rsid w:val="005E6C7E"/>
    <w:rsid w:val="0060255E"/>
    <w:rsid w:val="00622936"/>
    <w:rsid w:val="006252C4"/>
    <w:rsid w:val="00636172"/>
    <w:rsid w:val="00640ECF"/>
    <w:rsid w:val="006462F1"/>
    <w:rsid w:val="00654A5B"/>
    <w:rsid w:val="0065509C"/>
    <w:rsid w:val="00655C3E"/>
    <w:rsid w:val="00661B4E"/>
    <w:rsid w:val="00666E01"/>
    <w:rsid w:val="0067028C"/>
    <w:rsid w:val="0067080A"/>
    <w:rsid w:val="00670B1B"/>
    <w:rsid w:val="006734EC"/>
    <w:rsid w:val="00676400"/>
    <w:rsid w:val="0068098C"/>
    <w:rsid w:val="00687BAF"/>
    <w:rsid w:val="006B690F"/>
    <w:rsid w:val="006C245B"/>
    <w:rsid w:val="006C7836"/>
    <w:rsid w:val="006C7BA0"/>
    <w:rsid w:val="006D7BCF"/>
    <w:rsid w:val="006E02AF"/>
    <w:rsid w:val="006E7CD0"/>
    <w:rsid w:val="006F08AE"/>
    <w:rsid w:val="006F3F66"/>
    <w:rsid w:val="007000FB"/>
    <w:rsid w:val="00712843"/>
    <w:rsid w:val="00735001"/>
    <w:rsid w:val="00747A6F"/>
    <w:rsid w:val="00752308"/>
    <w:rsid w:val="00761427"/>
    <w:rsid w:val="00781BAD"/>
    <w:rsid w:val="00796F08"/>
    <w:rsid w:val="007A4181"/>
    <w:rsid w:val="007B430A"/>
    <w:rsid w:val="007D2137"/>
    <w:rsid w:val="007D67D1"/>
    <w:rsid w:val="007E2A88"/>
    <w:rsid w:val="007F7074"/>
    <w:rsid w:val="00800D72"/>
    <w:rsid w:val="008038A1"/>
    <w:rsid w:val="008046A7"/>
    <w:rsid w:val="008102ED"/>
    <w:rsid w:val="0082072C"/>
    <w:rsid w:val="008211B6"/>
    <w:rsid w:val="008215F2"/>
    <w:rsid w:val="008363BD"/>
    <w:rsid w:val="008409AA"/>
    <w:rsid w:val="008433EA"/>
    <w:rsid w:val="00853982"/>
    <w:rsid w:val="00871706"/>
    <w:rsid w:val="00872C2C"/>
    <w:rsid w:val="00872E70"/>
    <w:rsid w:val="00875888"/>
    <w:rsid w:val="00877335"/>
    <w:rsid w:val="00881A7C"/>
    <w:rsid w:val="0089104A"/>
    <w:rsid w:val="00893DD3"/>
    <w:rsid w:val="00895B38"/>
    <w:rsid w:val="008A53F1"/>
    <w:rsid w:val="008C6CD3"/>
    <w:rsid w:val="008C7AAE"/>
    <w:rsid w:val="008D25CC"/>
    <w:rsid w:val="009044B7"/>
    <w:rsid w:val="009045A3"/>
    <w:rsid w:val="00907FC9"/>
    <w:rsid w:val="00910CCC"/>
    <w:rsid w:val="00921A9D"/>
    <w:rsid w:val="00921DA9"/>
    <w:rsid w:val="00930ADD"/>
    <w:rsid w:val="0093792A"/>
    <w:rsid w:val="0094137F"/>
    <w:rsid w:val="00941BFF"/>
    <w:rsid w:val="00942B3C"/>
    <w:rsid w:val="00950B54"/>
    <w:rsid w:val="00951BC4"/>
    <w:rsid w:val="0096415E"/>
    <w:rsid w:val="00980566"/>
    <w:rsid w:val="00986732"/>
    <w:rsid w:val="00986ECD"/>
    <w:rsid w:val="009903E3"/>
    <w:rsid w:val="0099176B"/>
    <w:rsid w:val="0099459B"/>
    <w:rsid w:val="009A3D45"/>
    <w:rsid w:val="009E170D"/>
    <w:rsid w:val="009E49E6"/>
    <w:rsid w:val="009F4617"/>
    <w:rsid w:val="009F7767"/>
    <w:rsid w:val="00A00277"/>
    <w:rsid w:val="00A13B37"/>
    <w:rsid w:val="00A2414B"/>
    <w:rsid w:val="00A24C4F"/>
    <w:rsid w:val="00A30AC1"/>
    <w:rsid w:val="00A312B8"/>
    <w:rsid w:val="00A32C82"/>
    <w:rsid w:val="00A442C3"/>
    <w:rsid w:val="00A640D9"/>
    <w:rsid w:val="00A9399F"/>
    <w:rsid w:val="00AA1CCA"/>
    <w:rsid w:val="00AB1437"/>
    <w:rsid w:val="00AB693F"/>
    <w:rsid w:val="00AB6FFD"/>
    <w:rsid w:val="00AC1C2D"/>
    <w:rsid w:val="00AC4760"/>
    <w:rsid w:val="00AD6AE7"/>
    <w:rsid w:val="00AE3450"/>
    <w:rsid w:val="00B02864"/>
    <w:rsid w:val="00B150FA"/>
    <w:rsid w:val="00B21B7C"/>
    <w:rsid w:val="00B50794"/>
    <w:rsid w:val="00B61BCC"/>
    <w:rsid w:val="00B64A68"/>
    <w:rsid w:val="00B667A6"/>
    <w:rsid w:val="00B73735"/>
    <w:rsid w:val="00B81D8F"/>
    <w:rsid w:val="00B83C4A"/>
    <w:rsid w:val="00BA3333"/>
    <w:rsid w:val="00BA36B3"/>
    <w:rsid w:val="00BC346D"/>
    <w:rsid w:val="00BC3D16"/>
    <w:rsid w:val="00BF0827"/>
    <w:rsid w:val="00BF3093"/>
    <w:rsid w:val="00C11AAF"/>
    <w:rsid w:val="00C124E6"/>
    <w:rsid w:val="00C13F83"/>
    <w:rsid w:val="00C21913"/>
    <w:rsid w:val="00C43BC6"/>
    <w:rsid w:val="00C4789A"/>
    <w:rsid w:val="00C91662"/>
    <w:rsid w:val="00C93740"/>
    <w:rsid w:val="00CA3AC8"/>
    <w:rsid w:val="00CB7B6B"/>
    <w:rsid w:val="00CC3F2D"/>
    <w:rsid w:val="00CC7A70"/>
    <w:rsid w:val="00CD1FD4"/>
    <w:rsid w:val="00CD309F"/>
    <w:rsid w:val="00CD7D5D"/>
    <w:rsid w:val="00CE116F"/>
    <w:rsid w:val="00CE2FD5"/>
    <w:rsid w:val="00CF35E9"/>
    <w:rsid w:val="00CF7D41"/>
    <w:rsid w:val="00D1088E"/>
    <w:rsid w:val="00D167BB"/>
    <w:rsid w:val="00D3255C"/>
    <w:rsid w:val="00D356CF"/>
    <w:rsid w:val="00D4206A"/>
    <w:rsid w:val="00D42C2A"/>
    <w:rsid w:val="00D432F9"/>
    <w:rsid w:val="00D61537"/>
    <w:rsid w:val="00D639FD"/>
    <w:rsid w:val="00D67F2F"/>
    <w:rsid w:val="00D75E47"/>
    <w:rsid w:val="00D807D1"/>
    <w:rsid w:val="00D87340"/>
    <w:rsid w:val="00DA06FC"/>
    <w:rsid w:val="00DE5630"/>
    <w:rsid w:val="00DF0520"/>
    <w:rsid w:val="00DF0EC6"/>
    <w:rsid w:val="00DF6272"/>
    <w:rsid w:val="00DF6DBF"/>
    <w:rsid w:val="00E06582"/>
    <w:rsid w:val="00E077DB"/>
    <w:rsid w:val="00E125AF"/>
    <w:rsid w:val="00E1342A"/>
    <w:rsid w:val="00E36C6E"/>
    <w:rsid w:val="00E43A15"/>
    <w:rsid w:val="00E52101"/>
    <w:rsid w:val="00E53C53"/>
    <w:rsid w:val="00E56ADF"/>
    <w:rsid w:val="00E6714F"/>
    <w:rsid w:val="00E712AB"/>
    <w:rsid w:val="00E73276"/>
    <w:rsid w:val="00E76ACE"/>
    <w:rsid w:val="00E861DA"/>
    <w:rsid w:val="00E904E5"/>
    <w:rsid w:val="00EA7B73"/>
    <w:rsid w:val="00EB2FB3"/>
    <w:rsid w:val="00EB4B99"/>
    <w:rsid w:val="00ED55A2"/>
    <w:rsid w:val="00EE5CDA"/>
    <w:rsid w:val="00EF4F0C"/>
    <w:rsid w:val="00F0033E"/>
    <w:rsid w:val="00F02A7A"/>
    <w:rsid w:val="00F04F29"/>
    <w:rsid w:val="00F24294"/>
    <w:rsid w:val="00F31ACC"/>
    <w:rsid w:val="00F35C78"/>
    <w:rsid w:val="00F37163"/>
    <w:rsid w:val="00F41A56"/>
    <w:rsid w:val="00F464A6"/>
    <w:rsid w:val="00F73E58"/>
    <w:rsid w:val="00F75473"/>
    <w:rsid w:val="00F94D55"/>
    <w:rsid w:val="00FB1797"/>
    <w:rsid w:val="00FB285A"/>
    <w:rsid w:val="00FB3375"/>
    <w:rsid w:val="00FE3202"/>
    <w:rsid w:val="00FE3976"/>
    <w:rsid w:val="00FE4DF9"/>
    <w:rsid w:val="00FE713A"/>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ountry-region"/>
  <w:shapeDefaults>
    <o:shapedefaults v:ext="edit" spidmax="1026"/>
    <o:shapelayout v:ext="edit">
      <o:idmap v:ext="edit" data="1"/>
    </o:shapelayout>
  </w:shapeDefaults>
  <w:decimalSymbol w:val="."/>
  <w:listSeparator w:val=","/>
  <w14:docId w14:val="39D98BC9"/>
  <w15:docId w15:val="{1E25D263-AE8B-41FF-B131-26DEDCD1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8A1"/>
    <w:rPr>
      <w:sz w:val="24"/>
      <w:szCs w:val="24"/>
    </w:rPr>
  </w:style>
  <w:style w:type="paragraph" w:styleId="Heading1">
    <w:name w:val="heading 1"/>
    <w:basedOn w:val="Normal"/>
    <w:next w:val="Normal"/>
    <w:link w:val="Heading1Char"/>
    <w:qFormat/>
    <w:rsid w:val="00F04F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9E170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 w:type="character" w:customStyle="1" w:styleId="Heading4Char">
    <w:name w:val="Heading 4 Char"/>
    <w:basedOn w:val="DefaultParagraphFont"/>
    <w:link w:val="Heading4"/>
    <w:uiPriority w:val="9"/>
    <w:rsid w:val="009E170D"/>
    <w:rPr>
      <w:b/>
      <w:bCs/>
      <w:sz w:val="24"/>
      <w:szCs w:val="24"/>
    </w:rPr>
  </w:style>
  <w:style w:type="paragraph" w:styleId="NormalWeb">
    <w:name w:val="Normal (Web)"/>
    <w:basedOn w:val="Normal"/>
    <w:uiPriority w:val="99"/>
    <w:semiHidden/>
    <w:unhideWhenUsed/>
    <w:rsid w:val="009E170D"/>
    <w:pPr>
      <w:spacing w:before="100" w:beforeAutospacing="1" w:after="100" w:afterAutospacing="1"/>
    </w:pPr>
  </w:style>
  <w:style w:type="character" w:customStyle="1" w:styleId="Heading1Char">
    <w:name w:val="Heading 1 Char"/>
    <w:basedOn w:val="DefaultParagraphFont"/>
    <w:link w:val="Heading1"/>
    <w:rsid w:val="00F04F29"/>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F04F29"/>
    <w:pPr>
      <w:spacing w:line="360" w:lineRule="auto"/>
      <w:jc w:val="both"/>
    </w:pPr>
    <w:rPr>
      <w:rFonts w:eastAsia="SimSun"/>
      <w:sz w:val="26"/>
      <w:szCs w:val="20"/>
    </w:rPr>
  </w:style>
  <w:style w:type="character" w:customStyle="1" w:styleId="BodyTextChar">
    <w:name w:val="Body Text Char"/>
    <w:basedOn w:val="DefaultParagraphFont"/>
    <w:link w:val="BodyText"/>
    <w:rsid w:val="00F04F29"/>
    <w:rPr>
      <w:rFonts w:eastAsia="SimSun"/>
      <w:sz w:val="26"/>
    </w:rPr>
  </w:style>
  <w:style w:type="paragraph" w:styleId="FootnoteText">
    <w:name w:val="footnote text"/>
    <w:basedOn w:val="Normal"/>
    <w:link w:val="FootnoteTextChar"/>
    <w:semiHidden/>
    <w:rsid w:val="00F04F29"/>
    <w:rPr>
      <w:sz w:val="20"/>
      <w:szCs w:val="20"/>
    </w:rPr>
  </w:style>
  <w:style w:type="character" w:customStyle="1" w:styleId="FootnoteTextChar">
    <w:name w:val="Footnote Text Char"/>
    <w:basedOn w:val="DefaultParagraphFont"/>
    <w:link w:val="FootnoteText"/>
    <w:semiHidden/>
    <w:rsid w:val="00F04F29"/>
  </w:style>
  <w:style w:type="character" w:styleId="FootnoteReference">
    <w:name w:val="footnote reference"/>
    <w:basedOn w:val="DefaultParagraphFont"/>
    <w:semiHidden/>
    <w:rsid w:val="00F04F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471166">
      <w:bodyDiv w:val="1"/>
      <w:marLeft w:val="0"/>
      <w:marRight w:val="0"/>
      <w:marTop w:val="0"/>
      <w:marBottom w:val="0"/>
      <w:divBdr>
        <w:top w:val="none" w:sz="0" w:space="0" w:color="auto"/>
        <w:left w:val="none" w:sz="0" w:space="0" w:color="auto"/>
        <w:bottom w:val="none" w:sz="0" w:space="0" w:color="auto"/>
        <w:right w:val="none" w:sz="0" w:space="0" w:color="auto"/>
      </w:divBdr>
      <w:divsChild>
        <w:div w:id="1995601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32</Pages>
  <Words>8128</Words>
  <Characters>44828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Oldynski, Sandra</cp:lastModifiedBy>
  <cp:revision>42</cp:revision>
  <cp:lastPrinted>2019-01-30T18:15:00Z</cp:lastPrinted>
  <dcterms:created xsi:type="dcterms:W3CDTF">2019-01-30T17:31:00Z</dcterms:created>
  <dcterms:modified xsi:type="dcterms:W3CDTF">2019-01-30T18:56:00Z</dcterms:modified>
</cp:coreProperties>
</file>