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B89F" w14:textId="77777777" w:rsidR="00623871" w:rsidRPr="00623871" w:rsidRDefault="00623871" w:rsidP="00A10EE3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BEFORE THE</w:t>
      </w:r>
    </w:p>
    <w:p w14:paraId="00C7774B" w14:textId="77777777" w:rsidR="00623871" w:rsidRPr="00623871" w:rsidRDefault="00623871" w:rsidP="00623871">
      <w:pPr>
        <w:tabs>
          <w:tab w:val="left" w:pos="360"/>
        </w:tabs>
        <w:spacing w:line="240" w:lineRule="auto"/>
        <w:jc w:val="center"/>
        <w:rPr>
          <w:b/>
        </w:rPr>
      </w:pPr>
      <w:r w:rsidRPr="00623871">
        <w:rPr>
          <w:b/>
        </w:rPr>
        <w:t>PENNSYLVANIA PUBLIC UTILITY COMMISSION</w:t>
      </w:r>
    </w:p>
    <w:p w14:paraId="7F382F51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297C23AD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1A715C6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09F35409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>HFT Holdings</w:t>
      </w:r>
      <w:r w:rsidR="009A1DFD">
        <w:t>,</w:t>
      </w:r>
      <w:r w:rsidRPr="00623871">
        <w:t xml:space="preserve"> Inc. c/o Stephen Feltovich</w:t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  <w:t>C-2018-3005529</w:t>
      </w:r>
    </w:p>
    <w:p w14:paraId="56EB849B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  <w:t>C-2018-3005532</w:t>
      </w:r>
    </w:p>
    <w:p w14:paraId="244B1603" w14:textId="77777777" w:rsidR="00623871" w:rsidRPr="00623871" w:rsidRDefault="00623871" w:rsidP="00623871">
      <w:pPr>
        <w:tabs>
          <w:tab w:val="left" w:pos="360"/>
          <w:tab w:val="left" w:pos="720"/>
        </w:tabs>
        <w:spacing w:line="240" w:lineRule="auto"/>
        <w:jc w:val="both"/>
      </w:pPr>
      <w:r w:rsidRPr="00623871">
        <w:tab/>
      </w:r>
      <w:r w:rsidRPr="00623871">
        <w:tab/>
        <w:t>v.</w:t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6F98338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  <w:r w:rsidRPr="00623871">
        <w:tab/>
      </w:r>
      <w:r w:rsidRPr="00623871">
        <w:tab/>
      </w:r>
    </w:p>
    <w:p w14:paraId="3CFE867C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  <w:r w:rsidRPr="00623871">
        <w:t>Duquesne Light Company</w:t>
      </w:r>
      <w:r w:rsidRPr="00623871">
        <w:tab/>
      </w:r>
      <w:r w:rsidRPr="00623871">
        <w:tab/>
      </w:r>
      <w:r w:rsidRPr="00623871">
        <w:tab/>
      </w:r>
      <w:r w:rsidRPr="00623871">
        <w:tab/>
        <w:t>:</w:t>
      </w:r>
    </w:p>
    <w:p w14:paraId="0B7A0A02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</w:pPr>
    </w:p>
    <w:p w14:paraId="63DEA2BA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6F1595A8" w14:textId="77777777" w:rsidR="00623871" w:rsidRPr="00623871" w:rsidRDefault="00623871" w:rsidP="00623871">
      <w:pPr>
        <w:tabs>
          <w:tab w:val="left" w:pos="360"/>
        </w:tabs>
        <w:spacing w:line="240" w:lineRule="auto"/>
        <w:jc w:val="both"/>
        <w:rPr>
          <w:b/>
        </w:rPr>
      </w:pPr>
    </w:p>
    <w:p w14:paraId="2A1B30F0" w14:textId="77777777" w:rsidR="00623871" w:rsidRDefault="00774AED" w:rsidP="0056406E">
      <w:pPr>
        <w:spacing w:line="240" w:lineRule="auto"/>
        <w:jc w:val="center"/>
        <w:rPr>
          <w:b/>
        </w:rPr>
      </w:pPr>
      <w:r w:rsidRPr="0056406E">
        <w:rPr>
          <w:b/>
        </w:rPr>
        <w:t>INTERIM ORDER</w:t>
      </w:r>
    </w:p>
    <w:p w14:paraId="70313808" w14:textId="2B838FA3" w:rsidR="00774AED" w:rsidRPr="007930B8" w:rsidRDefault="00DC7CAA" w:rsidP="0056406E">
      <w:pPr>
        <w:spacing w:line="240" w:lineRule="auto"/>
        <w:jc w:val="center"/>
        <w:rPr>
          <w:u w:val="single"/>
        </w:rPr>
      </w:pPr>
      <w:r w:rsidRPr="007930B8">
        <w:rPr>
          <w:b/>
          <w:u w:val="single"/>
        </w:rPr>
        <w:t>SCHEDULING FURTHER PROCEEDINGS</w:t>
      </w:r>
    </w:p>
    <w:p w14:paraId="2B3F8ABC" w14:textId="77777777" w:rsidR="00774AED" w:rsidRDefault="00774AED" w:rsidP="00623871">
      <w:pPr>
        <w:jc w:val="center"/>
      </w:pPr>
    </w:p>
    <w:p w14:paraId="3FBA23A4" w14:textId="77777777" w:rsidR="00774AED" w:rsidRDefault="00774AED">
      <w:r>
        <w:tab/>
      </w:r>
      <w:r>
        <w:tab/>
        <w:t xml:space="preserve">On October 19, 2018, HFT Holdings, Inc. </w:t>
      </w:r>
      <w:r w:rsidR="00AE018F">
        <w:t xml:space="preserve">(Complainant) </w:t>
      </w:r>
      <w:r>
        <w:t>filed two formal complaints against Duquesne Light Company, alleging incorrect charges on the bills for two commercial properties</w:t>
      </w:r>
      <w:r w:rsidR="00BD34B2">
        <w:t>, known as Manor Oak I (C-2018-3005529</w:t>
      </w:r>
      <w:r w:rsidR="00B028EF">
        <w:t>)</w:t>
      </w:r>
      <w:r w:rsidR="00BD34B2">
        <w:t xml:space="preserve"> and Manor Oak II</w:t>
      </w:r>
      <w:r w:rsidR="00B028EF">
        <w:t xml:space="preserve"> (C-2018-3005532)</w:t>
      </w:r>
      <w:r>
        <w:t>.  As relief the</w:t>
      </w:r>
      <w:r w:rsidR="00AE018F">
        <w:t xml:space="preserve"> Complainant wants, among other things, the bills recalculated and </w:t>
      </w:r>
      <w:r w:rsidR="00AC5DE4">
        <w:t xml:space="preserve">a </w:t>
      </w:r>
      <w:r w:rsidR="00AE018F">
        <w:t>refund issued for the amount overpaid.  On November 8, 2018, Duquesne Light filed an answer and new matter, preliminary objections and a motion to consolidate</w:t>
      </w:r>
      <w:r w:rsidR="00AE018F">
        <w:rPr>
          <w:rStyle w:val="FootnoteReference"/>
        </w:rPr>
        <w:footnoteReference w:id="1"/>
      </w:r>
      <w:r w:rsidR="00AE018F">
        <w:t xml:space="preserve"> for each complaint.</w:t>
      </w:r>
    </w:p>
    <w:p w14:paraId="62F62025" w14:textId="77777777" w:rsidR="00771BA0" w:rsidRDefault="00771BA0"/>
    <w:p w14:paraId="173C15EB" w14:textId="539BE568" w:rsidR="00771BA0" w:rsidRDefault="00771BA0">
      <w:r>
        <w:tab/>
      </w:r>
      <w:r>
        <w:tab/>
        <w:t>On December 14, 2018, the Complainant filed a response to the motion to consolidate</w:t>
      </w:r>
      <w:r w:rsidR="0071608E">
        <w:t xml:space="preserve"> and a reply to new matter.</w:t>
      </w:r>
    </w:p>
    <w:p w14:paraId="1EBCAF29" w14:textId="47986C58" w:rsidR="005D69F6" w:rsidRDefault="005D69F6"/>
    <w:p w14:paraId="3D814B81" w14:textId="623AE805" w:rsidR="005D69F6" w:rsidRDefault="005D69F6">
      <w:r>
        <w:tab/>
      </w:r>
      <w:r>
        <w:tab/>
        <w:t xml:space="preserve">By hearing notice dated December 14, 2018, this matter was assigned to me and scheduled for a telephonic evidentiary hearing on January 29, 2019.  A prehearing order was served on </w:t>
      </w:r>
      <w:r w:rsidR="00E54510">
        <w:t>December 17, 2018.</w:t>
      </w:r>
    </w:p>
    <w:p w14:paraId="7721901D" w14:textId="77777777" w:rsidR="000A3812" w:rsidRDefault="000A3812"/>
    <w:p w14:paraId="0D685519" w14:textId="6349AA69" w:rsidR="00DD5AC4" w:rsidRDefault="00DD5AC4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On January 18, 2019, the Complainant filed a request to convert the hearing to a prehearing conference, noting that the parties have scheduled a settlement conference for January</w:t>
      </w:r>
      <w:r w:rsidR="00D749FC">
        <w:rPr>
          <w:rFonts w:eastAsia="Times New Roman"/>
        </w:rPr>
        <w:t> </w:t>
      </w:r>
      <w:r>
        <w:rPr>
          <w:rFonts w:eastAsia="Times New Roman"/>
        </w:rPr>
        <w:t xml:space="preserve">28, 2019.  By email dated January 22, 2019, Duquesne Light did not object to the </w:t>
      </w:r>
      <w:r>
        <w:rPr>
          <w:rFonts w:eastAsia="Times New Roman"/>
        </w:rPr>
        <w:lastRenderedPageBreak/>
        <w:t>conversion of the hearing to a prehearing conference.</w:t>
      </w:r>
      <w:r w:rsidR="00D02AA5">
        <w:rPr>
          <w:rFonts w:eastAsia="Times New Roman"/>
        </w:rPr>
        <w:t xml:space="preserve">  By interim order dated January 23, 2019, Complainant’s request was granted.</w:t>
      </w:r>
    </w:p>
    <w:p w14:paraId="17106E07" w14:textId="6C59BC03" w:rsidR="00D02AA5" w:rsidRDefault="00D02AA5" w:rsidP="0087450F">
      <w:pPr>
        <w:tabs>
          <w:tab w:val="left" w:pos="1440"/>
        </w:tabs>
        <w:rPr>
          <w:rFonts w:eastAsia="Times New Roman"/>
        </w:rPr>
      </w:pPr>
    </w:p>
    <w:p w14:paraId="498EA524" w14:textId="2DF33C3E" w:rsidR="00D02AA5" w:rsidRDefault="00D02AA5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The January 29, 2019 prehearing conference convened as scheduled.</w:t>
      </w:r>
      <w:r w:rsidR="007F7F47">
        <w:rPr>
          <w:rFonts w:eastAsia="Times New Roman"/>
        </w:rPr>
        <w:t xml:space="preserve">  Craig E.</w:t>
      </w:r>
      <w:r w:rsidR="00E55C1C">
        <w:rPr>
          <w:rFonts w:eastAsia="Times New Roman"/>
        </w:rPr>
        <w:t> </w:t>
      </w:r>
      <w:r w:rsidR="007F7F47">
        <w:rPr>
          <w:rFonts w:eastAsia="Times New Roman"/>
        </w:rPr>
        <w:t>Maravich, Esquire and Emily M. Farah, Esquire appeared on behalf of their respective clients.  The parties reported that they had held a settlement conference on January 28, 2019.  They were unable to reach an agreement to settle the complaints, but they were able to agree on a litigation schedule which is set forth below.</w:t>
      </w:r>
    </w:p>
    <w:p w14:paraId="379CBCFC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130AE0B3" w14:textId="77777777" w:rsidR="003871BD" w:rsidRDefault="00623871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="003871BD">
        <w:rPr>
          <w:rFonts w:eastAsia="Times New Roman"/>
        </w:rPr>
        <w:t>THEREFORE,</w:t>
      </w:r>
    </w:p>
    <w:p w14:paraId="235ADBA4" w14:textId="77777777" w:rsidR="00D02BC5" w:rsidRDefault="00D02BC5" w:rsidP="0087450F">
      <w:pPr>
        <w:tabs>
          <w:tab w:val="left" w:pos="1440"/>
        </w:tabs>
        <w:rPr>
          <w:rFonts w:eastAsia="Times New Roman"/>
        </w:rPr>
      </w:pPr>
    </w:p>
    <w:p w14:paraId="6FA8E749" w14:textId="77777777" w:rsidR="003871BD" w:rsidRDefault="00623871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 w:rsidR="003871BD">
        <w:rPr>
          <w:rFonts w:eastAsia="Times New Roman"/>
        </w:rPr>
        <w:t>IT IS ORDERED:</w:t>
      </w:r>
    </w:p>
    <w:p w14:paraId="3DBDCB03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</w:p>
    <w:p w14:paraId="352216B8" w14:textId="4979B7E0" w:rsidR="003871BD" w:rsidRDefault="003871BD" w:rsidP="0087450F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1.</w:t>
      </w:r>
      <w:r>
        <w:rPr>
          <w:rFonts w:eastAsia="Times New Roman"/>
        </w:rPr>
        <w:tab/>
      </w:r>
      <w:r w:rsidR="007F7F47">
        <w:rPr>
          <w:rFonts w:eastAsia="Times New Roman"/>
        </w:rPr>
        <w:t xml:space="preserve">That an in-person evidentiary hearing shall be held on </w:t>
      </w:r>
      <w:r w:rsidR="007F7F47" w:rsidRPr="003078FE">
        <w:rPr>
          <w:rFonts w:eastAsia="Times New Roman"/>
          <w:b/>
        </w:rPr>
        <w:t>March 19, 2019</w:t>
      </w:r>
      <w:r w:rsidR="007F7F47">
        <w:rPr>
          <w:rFonts w:eastAsia="Times New Roman"/>
        </w:rPr>
        <w:t xml:space="preserve"> in Pittsburgh.  The hearing shall begin promptly at </w:t>
      </w:r>
      <w:r w:rsidR="007F7F47" w:rsidRPr="00614480">
        <w:rPr>
          <w:rFonts w:eastAsia="Times New Roman"/>
          <w:b/>
        </w:rPr>
        <w:t>10:00 a.m</w:t>
      </w:r>
      <w:r w:rsidR="007F7F47">
        <w:rPr>
          <w:rFonts w:eastAsia="Times New Roman"/>
        </w:rPr>
        <w:t xml:space="preserve">.  Counsel is expected to be prepared to proceed.  </w:t>
      </w:r>
      <w:r w:rsidR="001018C8" w:rsidRPr="001018C8">
        <w:rPr>
          <w:rFonts w:eastAsia="Times New Roman"/>
          <w:b/>
          <w:u w:val="single"/>
        </w:rPr>
        <w:t>Failure to appear and be ready to proceed on time may result in dismissal of the complaints</w:t>
      </w:r>
      <w:r w:rsidRPr="001018C8">
        <w:rPr>
          <w:rFonts w:eastAsia="Times New Roman"/>
          <w:b/>
          <w:u w:val="single"/>
        </w:rPr>
        <w:t>.</w:t>
      </w:r>
    </w:p>
    <w:p w14:paraId="77CE6882" w14:textId="77777777" w:rsidR="003871BD" w:rsidRDefault="003871BD" w:rsidP="0087450F">
      <w:pPr>
        <w:tabs>
          <w:tab w:val="left" w:pos="1440"/>
        </w:tabs>
        <w:rPr>
          <w:rFonts w:eastAsia="Times New Roman"/>
        </w:rPr>
      </w:pPr>
      <w:bookmarkStart w:id="0" w:name="_GoBack"/>
    </w:p>
    <w:p w14:paraId="448C30FF" w14:textId="5EB9629B" w:rsidR="003871BD" w:rsidRDefault="003871BD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2.</w:t>
      </w:r>
      <w:r>
        <w:rPr>
          <w:rFonts w:eastAsia="Times New Roman"/>
        </w:rPr>
        <w:tab/>
        <w:t xml:space="preserve">That </w:t>
      </w:r>
      <w:r w:rsidR="003078FE">
        <w:rPr>
          <w:rFonts w:eastAsia="Times New Roman"/>
        </w:rPr>
        <w:t>the following briefing schedule is established:</w:t>
      </w:r>
    </w:p>
    <w:p w14:paraId="0908BD36" w14:textId="4CD59EF4" w:rsidR="003078FE" w:rsidRDefault="003078FE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a.</w:t>
      </w:r>
      <w:r>
        <w:rPr>
          <w:rFonts w:eastAsia="Times New Roman"/>
        </w:rPr>
        <w:tab/>
        <w:t>Main briefs shall be filed on or before April 30, 2019.</w:t>
      </w:r>
    </w:p>
    <w:p w14:paraId="3B52F5A2" w14:textId="3A3FCE62" w:rsidR="003078FE" w:rsidRDefault="003078FE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b.</w:t>
      </w:r>
      <w:r>
        <w:rPr>
          <w:rFonts w:eastAsia="Times New Roman"/>
        </w:rPr>
        <w:tab/>
        <w:t>Reply briefs shall be filed on or before May 14, 2019.</w:t>
      </w:r>
    </w:p>
    <w:p w14:paraId="3CDD53FA" w14:textId="5139F247" w:rsidR="003078FE" w:rsidRDefault="003078FE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>More detailed briefing instructions will be provided at the close of the hearing on March 19, 2019.</w:t>
      </w:r>
    </w:p>
    <w:bookmarkEnd w:id="0"/>
    <w:p w14:paraId="07FB2D88" w14:textId="4A0E7FB7" w:rsidR="00DD5AC4" w:rsidRDefault="00DD5AC4" w:rsidP="00623871">
      <w:pPr>
        <w:tabs>
          <w:tab w:val="left" w:pos="1440"/>
        </w:tabs>
        <w:rPr>
          <w:rFonts w:eastAsia="Times New Roman"/>
        </w:rPr>
      </w:pPr>
    </w:p>
    <w:p w14:paraId="294669FF" w14:textId="2F240A01" w:rsidR="00DD5AC4" w:rsidRDefault="00DD5AC4" w:rsidP="00623871">
      <w:pPr>
        <w:tabs>
          <w:tab w:val="left" w:pos="1440"/>
        </w:tabs>
        <w:rPr>
          <w:rFonts w:eastAsia="Times New Roman"/>
        </w:rPr>
      </w:pPr>
      <w:r>
        <w:rPr>
          <w:rFonts w:eastAsia="Times New Roman"/>
        </w:rPr>
        <w:tab/>
        <w:t>3.</w:t>
      </w:r>
      <w:r>
        <w:rPr>
          <w:rFonts w:eastAsia="Times New Roman"/>
        </w:rPr>
        <w:tab/>
        <w:t>That all other provisions of the prehearing order dated December 17, 2018 remain in effect</w:t>
      </w:r>
      <w:r w:rsidR="003078FE">
        <w:rPr>
          <w:rFonts w:eastAsia="Times New Roman"/>
        </w:rPr>
        <w:t>, including instructions related to the presentation of documents or exhibits</w:t>
      </w:r>
      <w:r>
        <w:rPr>
          <w:rFonts w:eastAsia="Times New Roman"/>
        </w:rPr>
        <w:t>.</w:t>
      </w:r>
    </w:p>
    <w:p w14:paraId="51408485" w14:textId="00D08599" w:rsidR="00623871" w:rsidRPr="00623871" w:rsidRDefault="00623871" w:rsidP="00623871">
      <w:pPr>
        <w:rPr>
          <w:rFonts w:eastAsia="Times New Roman"/>
          <w:szCs w:val="24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" w:name="_Hlk505862083"/>
      <w:r w:rsidRPr="00623871">
        <w:rPr>
          <w:rFonts w:eastAsia="Times New Roman"/>
          <w:szCs w:val="24"/>
        </w:rPr>
        <w:t xml:space="preserve">Date:  </w:t>
      </w:r>
      <w:r w:rsidR="00A631AC">
        <w:rPr>
          <w:rFonts w:eastAsia="Times New Roman"/>
          <w:szCs w:val="24"/>
          <w:u w:val="single"/>
        </w:rPr>
        <w:t xml:space="preserve">January </w:t>
      </w:r>
      <w:r w:rsidR="001400B0">
        <w:rPr>
          <w:rFonts w:eastAsia="Times New Roman"/>
          <w:szCs w:val="24"/>
          <w:u w:val="single"/>
        </w:rPr>
        <w:t>31</w:t>
      </w:r>
      <w:r w:rsidR="00A631AC">
        <w:rPr>
          <w:rFonts w:eastAsia="Times New Roman"/>
          <w:szCs w:val="24"/>
          <w:u w:val="single"/>
        </w:rPr>
        <w:t>, 2019</w:t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  <w:t>/s/</w:t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  <w:r w:rsidRPr="00623871">
        <w:rPr>
          <w:rFonts w:eastAsia="Times New Roman"/>
          <w:szCs w:val="24"/>
          <w:u w:val="single"/>
        </w:rPr>
        <w:tab/>
      </w:r>
    </w:p>
    <w:p w14:paraId="3328D302" w14:textId="77777777" w:rsidR="00623871" w:rsidRPr="00623871" w:rsidRDefault="00623871" w:rsidP="00623871">
      <w:pPr>
        <w:spacing w:line="240" w:lineRule="auto"/>
        <w:rPr>
          <w:rFonts w:eastAsia="Times New Roman"/>
          <w:szCs w:val="24"/>
        </w:rPr>
      </w:pP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  <w:t>Mary D. Long</w:t>
      </w:r>
    </w:p>
    <w:p w14:paraId="1F75F8EF" w14:textId="5AA1E791" w:rsidR="00623871" w:rsidRDefault="00623871" w:rsidP="001400B0">
      <w:pPr>
        <w:spacing w:line="240" w:lineRule="auto"/>
        <w:rPr>
          <w:rFonts w:eastAsia="Times New Roman"/>
        </w:rPr>
      </w:pP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</w:r>
      <w:r w:rsidRPr="00623871">
        <w:rPr>
          <w:rFonts w:eastAsia="Times New Roman"/>
          <w:szCs w:val="24"/>
        </w:rPr>
        <w:tab/>
        <w:t>Administrative Law Judge</w:t>
      </w:r>
      <w:bookmarkEnd w:id="1"/>
    </w:p>
    <w:p w14:paraId="0BDBB63B" w14:textId="77777777" w:rsidR="0087450F" w:rsidRDefault="0087450F" w:rsidP="0087450F">
      <w:pPr>
        <w:tabs>
          <w:tab w:val="left" w:pos="1440"/>
        </w:tabs>
        <w:rPr>
          <w:rFonts w:eastAsia="Times New Roman"/>
        </w:rPr>
      </w:pPr>
    </w:p>
    <w:p w14:paraId="06EA9AE7" w14:textId="77777777" w:rsidR="00065255" w:rsidRDefault="00065255" w:rsidP="0087450F">
      <w:pPr>
        <w:tabs>
          <w:tab w:val="left" w:pos="1440"/>
        </w:tabs>
        <w:rPr>
          <w:rFonts w:eastAsia="Times New Roman"/>
        </w:rPr>
        <w:sectPr w:rsidR="00065255" w:rsidSect="009325AE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9FB9F6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C-2018-3005529, C-2018-3005532 - HFT HOLDINGS INC C/O STEPHEN FELTOVICH v. DUQUESNE LIGHT COMPANY</w:t>
      </w:r>
    </w:p>
    <w:p w14:paraId="151DE4E5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36E2CF7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i/>
          <w:szCs w:val="22"/>
        </w:rPr>
      </w:pPr>
      <w:bookmarkStart w:id="2" w:name="_Hlk532541474"/>
      <w:r w:rsidRPr="00C9355B">
        <w:rPr>
          <w:rFonts w:ascii="Microsoft Sans Serif" w:eastAsia="Microsoft Sans Serif" w:hAnsi="Microsoft Sans Serif" w:cs="Microsoft Sans Serif"/>
          <w:i/>
          <w:szCs w:val="22"/>
        </w:rPr>
        <w:t>Revised 1/22/19</w:t>
      </w:r>
    </w:p>
    <w:p w14:paraId="363D59B3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6AA70995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*CRAIG E MARAVICH ESQUIRE</w:t>
      </w:r>
    </w:p>
    <w:p w14:paraId="2527860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BRAD SOMMER ESQUIRE</w:t>
      </w:r>
    </w:p>
    <w:bookmarkEnd w:id="2"/>
    <w:p w14:paraId="784C84EA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szCs w:val="24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SOMMER LAW GROUP</w:t>
      </w:r>
      <w:r w:rsidRPr="00C9355B">
        <w:rPr>
          <w:rFonts w:ascii="Calibri" w:eastAsia="Times New Roman" w:hAnsi="Calibri"/>
          <w:szCs w:val="24"/>
        </w:rPr>
        <w:t xml:space="preserve"> </w:t>
      </w:r>
    </w:p>
    <w:p w14:paraId="2A93F9D3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caps/>
          <w:szCs w:val="24"/>
        </w:rPr>
      </w:pPr>
      <w:r w:rsidRPr="00C9355B">
        <w:rPr>
          <w:rFonts w:ascii="Microsoft Sans Serif" w:eastAsia="Microsoft Sans Serif" w:hAnsi="Microsoft Sans Serif" w:cs="Microsoft Sans Serif"/>
          <w:caps/>
          <w:szCs w:val="22"/>
        </w:rPr>
        <w:t>6 Market Square</w:t>
      </w:r>
      <w:r w:rsidRPr="00C9355B">
        <w:rPr>
          <w:rFonts w:ascii="Calibri" w:eastAsia="Times New Roman" w:hAnsi="Calibri"/>
          <w:caps/>
          <w:szCs w:val="24"/>
        </w:rPr>
        <w:t xml:space="preserve"> </w:t>
      </w:r>
    </w:p>
    <w:p w14:paraId="09E3CE06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szCs w:val="24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15222</w:t>
      </w:r>
      <w:r w:rsidRPr="00C9355B">
        <w:rPr>
          <w:rFonts w:ascii="Calibri" w:eastAsia="Times New Roman" w:hAnsi="Calibri"/>
          <w:szCs w:val="24"/>
        </w:rPr>
        <w:t xml:space="preserve"> </w:t>
      </w:r>
    </w:p>
    <w:p w14:paraId="036382C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412.471.1266</w:t>
      </w:r>
    </w:p>
    <w:p w14:paraId="1B9C50BA" w14:textId="77777777" w:rsidR="00C9355B" w:rsidRPr="00C9355B" w:rsidRDefault="00C9355B" w:rsidP="00C9355B">
      <w:pPr>
        <w:spacing w:line="240" w:lineRule="auto"/>
        <w:rPr>
          <w:rFonts w:eastAsia="Times New Roman"/>
          <w:sz w:val="20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*ACCEPTS E-SERVICE</w:t>
      </w:r>
    </w:p>
    <w:p w14:paraId="56D1B9E6" w14:textId="77777777" w:rsidR="00C9355B" w:rsidRPr="00C9355B" w:rsidRDefault="00C9355B" w:rsidP="00C9355B">
      <w:pPr>
        <w:spacing w:line="240" w:lineRule="auto"/>
        <w:rPr>
          <w:rFonts w:ascii="Calibri" w:eastAsia="Times New Roman" w:hAnsi="Calibri"/>
          <w:b/>
          <w:szCs w:val="24"/>
        </w:rPr>
      </w:pPr>
      <w:r w:rsidRPr="00C9355B">
        <w:rPr>
          <w:rFonts w:ascii="Calibri" w:eastAsia="Times New Roman" w:hAnsi="Calibri"/>
          <w:b/>
          <w:szCs w:val="24"/>
        </w:rPr>
        <w:t xml:space="preserve"> </w:t>
      </w:r>
    </w:p>
    <w:p w14:paraId="09A595F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bookmarkStart w:id="3" w:name="_Hlk532541448"/>
      <w:r w:rsidRPr="00C9355B">
        <w:rPr>
          <w:rFonts w:ascii="Microsoft Sans Serif" w:eastAsia="Microsoft Sans Serif" w:hAnsi="Microsoft Sans Serif" w:cs="Microsoft Sans Serif"/>
          <w:szCs w:val="22"/>
        </w:rPr>
        <w:t>STEPHEN FELTOVICH</w:t>
      </w:r>
    </w:p>
    <w:p w14:paraId="307658AE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HFT HOLDINGS INC</w:t>
      </w:r>
    </w:p>
    <w:p w14:paraId="4734D70A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 xml:space="preserve">MANOR OAK 2 </w:t>
      </w:r>
    </w:p>
    <w:p w14:paraId="512A6D94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1910 COCHRAN RD</w:t>
      </w:r>
    </w:p>
    <w:p w14:paraId="63BAA386" w14:textId="5ED42CA1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15220</w:t>
      </w:r>
    </w:p>
    <w:bookmarkEnd w:id="3"/>
    <w:p w14:paraId="0A2046F1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412.721.2655</w:t>
      </w:r>
    </w:p>
    <w:p w14:paraId="134E3750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</w:p>
    <w:p w14:paraId="3AACAE89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 xml:space="preserve">EMILY M FARAH </w:t>
      </w:r>
      <w:r w:rsidRPr="00C9355B">
        <w:rPr>
          <w:rFonts w:ascii="Microsoft Sans Serif" w:eastAsia="Microsoft Sans Serif" w:hAnsi="Microsoft Sans Serif" w:cs="Microsoft Sans Serif"/>
          <w:caps/>
          <w:szCs w:val="22"/>
        </w:rPr>
        <w:t>Esquire</w:t>
      </w:r>
    </w:p>
    <w:p w14:paraId="0DB099A3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DUQUESNE LIGHT COMPANY</w:t>
      </w:r>
    </w:p>
    <w:p w14:paraId="4B02A9DA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caps/>
          <w:szCs w:val="22"/>
        </w:rPr>
      </w:pPr>
      <w:r w:rsidRPr="00C9355B">
        <w:rPr>
          <w:rFonts w:ascii="Microsoft Sans Serif" w:eastAsia="Microsoft Sans Serif" w:hAnsi="Microsoft Sans Serif" w:cs="Microsoft Sans Serif"/>
          <w:caps/>
          <w:szCs w:val="22"/>
        </w:rPr>
        <w:t>411 Seventh Avenue</w:t>
      </w:r>
    </w:p>
    <w:p w14:paraId="403AED68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szCs w:val="22"/>
        </w:rPr>
        <w:t>PITTSBURGH PA  15219</w:t>
      </w:r>
    </w:p>
    <w:p w14:paraId="2FB2871F" w14:textId="77777777" w:rsidR="00C9355B" w:rsidRPr="00C9355B" w:rsidRDefault="00C9355B" w:rsidP="00C9355B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C9355B">
        <w:rPr>
          <w:rFonts w:ascii="Microsoft Sans Serif" w:eastAsia="Microsoft Sans Serif" w:hAnsi="Microsoft Sans Serif" w:cs="Microsoft Sans Serif"/>
          <w:b/>
          <w:szCs w:val="22"/>
        </w:rPr>
        <w:t>412.393.6431</w:t>
      </w:r>
    </w:p>
    <w:p w14:paraId="6EF69004" w14:textId="77777777" w:rsidR="00C9355B" w:rsidRPr="00C9355B" w:rsidRDefault="00C9355B" w:rsidP="00C9355B">
      <w:pPr>
        <w:spacing w:line="240" w:lineRule="auto"/>
        <w:rPr>
          <w:rFonts w:eastAsia="Times New Roman"/>
          <w:sz w:val="20"/>
          <w:szCs w:val="22"/>
        </w:rPr>
      </w:pPr>
      <w:bookmarkStart w:id="4" w:name="_Hlk535934710"/>
      <w:r w:rsidRPr="00C9355B">
        <w:rPr>
          <w:rFonts w:ascii="Microsoft Sans Serif" w:eastAsia="Microsoft Sans Serif" w:hAnsi="Microsoft Sans Serif" w:cs="Microsoft Sans Serif"/>
          <w:b/>
          <w:i/>
          <w:szCs w:val="22"/>
          <w:u w:val="single"/>
        </w:rPr>
        <w:t>ACCEPTS E-SERVICE</w:t>
      </w:r>
    </w:p>
    <w:bookmarkEnd w:id="4"/>
    <w:p w14:paraId="03FFEEE8" w14:textId="77777777" w:rsidR="00C9355B" w:rsidRPr="00C9355B" w:rsidRDefault="00C9355B" w:rsidP="00C9355B">
      <w:pPr>
        <w:spacing w:line="240" w:lineRule="auto"/>
        <w:rPr>
          <w:rFonts w:ascii="Microsoft Sans Serif" w:eastAsia="Times New Roman" w:hAnsi="Microsoft Sans Serif" w:cs="Microsoft Sans Serif"/>
          <w:szCs w:val="22"/>
        </w:rPr>
      </w:pPr>
    </w:p>
    <w:p w14:paraId="5E1EE277" w14:textId="77777777" w:rsidR="00065255" w:rsidRPr="00065255" w:rsidRDefault="00065255" w:rsidP="00065255">
      <w:pPr>
        <w:spacing w:line="240" w:lineRule="auto"/>
        <w:rPr>
          <w:rFonts w:ascii="Microsoft Sans Serif" w:eastAsia="Times New Roman" w:hAnsi="Microsoft Sans Serif" w:cs="Microsoft Sans Serif"/>
          <w:szCs w:val="22"/>
        </w:rPr>
      </w:pPr>
    </w:p>
    <w:p w14:paraId="61E2D5F5" w14:textId="77777777" w:rsidR="0087450F" w:rsidRPr="0087450F" w:rsidRDefault="0087450F" w:rsidP="0087450F">
      <w:pPr>
        <w:tabs>
          <w:tab w:val="left" w:pos="1440"/>
        </w:tabs>
        <w:rPr>
          <w:rFonts w:eastAsia="Times New Roman"/>
        </w:rPr>
      </w:pPr>
    </w:p>
    <w:p w14:paraId="5636F2F7" w14:textId="77777777" w:rsidR="000A3812" w:rsidRDefault="000A3812"/>
    <w:sectPr w:rsidR="000A3812" w:rsidSect="009325A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61675" w14:textId="77777777" w:rsidR="00016E1F" w:rsidRDefault="00016E1F" w:rsidP="00AE018F">
      <w:pPr>
        <w:spacing w:line="240" w:lineRule="auto"/>
      </w:pPr>
      <w:r>
        <w:separator/>
      </w:r>
    </w:p>
  </w:endnote>
  <w:endnote w:type="continuationSeparator" w:id="0">
    <w:p w14:paraId="2445281C" w14:textId="77777777" w:rsidR="00016E1F" w:rsidRDefault="00016E1F" w:rsidP="00AE0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490573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EB3A646" w14:textId="77777777" w:rsidR="009325AE" w:rsidRPr="005E3F0A" w:rsidRDefault="009325AE">
        <w:pPr>
          <w:pStyle w:val="Footer"/>
          <w:jc w:val="center"/>
          <w:rPr>
            <w:sz w:val="20"/>
          </w:rPr>
        </w:pPr>
        <w:r w:rsidRPr="005E3F0A">
          <w:rPr>
            <w:sz w:val="20"/>
          </w:rPr>
          <w:fldChar w:fldCharType="begin"/>
        </w:r>
        <w:r w:rsidRPr="005E3F0A">
          <w:rPr>
            <w:sz w:val="20"/>
          </w:rPr>
          <w:instrText xml:space="preserve"> PAGE   \* MERGEFORMAT </w:instrText>
        </w:r>
        <w:r w:rsidRPr="005E3F0A">
          <w:rPr>
            <w:sz w:val="20"/>
          </w:rPr>
          <w:fldChar w:fldCharType="separate"/>
        </w:r>
        <w:r w:rsidRPr="005E3F0A">
          <w:rPr>
            <w:noProof/>
            <w:sz w:val="20"/>
          </w:rPr>
          <w:t>2</w:t>
        </w:r>
        <w:r w:rsidRPr="005E3F0A">
          <w:rPr>
            <w:noProof/>
            <w:sz w:val="20"/>
          </w:rPr>
          <w:fldChar w:fldCharType="end"/>
        </w:r>
      </w:p>
    </w:sdtContent>
  </w:sdt>
  <w:p w14:paraId="2CFEBB86" w14:textId="77777777" w:rsidR="009325AE" w:rsidRDefault="00932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87FA4" w14:textId="77777777" w:rsidR="00016E1F" w:rsidRDefault="00016E1F" w:rsidP="00AE018F">
      <w:pPr>
        <w:spacing w:line="240" w:lineRule="auto"/>
      </w:pPr>
      <w:r>
        <w:separator/>
      </w:r>
    </w:p>
  </w:footnote>
  <w:footnote w:type="continuationSeparator" w:id="0">
    <w:p w14:paraId="4F5668EB" w14:textId="77777777" w:rsidR="00016E1F" w:rsidRDefault="00016E1F" w:rsidP="00AE018F">
      <w:pPr>
        <w:spacing w:line="240" w:lineRule="auto"/>
      </w:pPr>
      <w:r>
        <w:continuationSeparator/>
      </w:r>
    </w:p>
  </w:footnote>
  <w:footnote w:id="1">
    <w:p w14:paraId="6FAC6A2B" w14:textId="77777777" w:rsidR="00AE018F" w:rsidRDefault="00AE018F" w:rsidP="00E55C1C">
      <w:pPr>
        <w:pStyle w:val="FootnoteText"/>
      </w:pPr>
      <w:r>
        <w:rPr>
          <w:rStyle w:val="FootnoteReference"/>
        </w:rPr>
        <w:footnoteRef/>
      </w:r>
      <w:r w:rsidR="00623871">
        <w:t xml:space="preserve"> </w:t>
      </w:r>
      <w:r w:rsidR="00623871">
        <w:tab/>
      </w:r>
      <w:r>
        <w:t>On December 3, 2018, Duquesne Light filed a redacted copy of the motion to consolidate which redacted the account numbers associated with each commercial property.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D"/>
    <w:rsid w:val="00004C37"/>
    <w:rsid w:val="00006308"/>
    <w:rsid w:val="000066B3"/>
    <w:rsid w:val="00016E1F"/>
    <w:rsid w:val="000274C9"/>
    <w:rsid w:val="00065255"/>
    <w:rsid w:val="00066D87"/>
    <w:rsid w:val="000A31D2"/>
    <w:rsid w:val="000A3812"/>
    <w:rsid w:val="000E3EDE"/>
    <w:rsid w:val="001018C8"/>
    <w:rsid w:val="001064B5"/>
    <w:rsid w:val="00107E82"/>
    <w:rsid w:val="001400B0"/>
    <w:rsid w:val="001937B4"/>
    <w:rsid w:val="001A21B6"/>
    <w:rsid w:val="001B1CBA"/>
    <w:rsid w:val="001D2AF7"/>
    <w:rsid w:val="001D68E8"/>
    <w:rsid w:val="00207743"/>
    <w:rsid w:val="00213167"/>
    <w:rsid w:val="002512F9"/>
    <w:rsid w:val="003078FE"/>
    <w:rsid w:val="003145FA"/>
    <w:rsid w:val="00367A41"/>
    <w:rsid w:val="00381E9E"/>
    <w:rsid w:val="003871BD"/>
    <w:rsid w:val="00393C92"/>
    <w:rsid w:val="003A3E09"/>
    <w:rsid w:val="003E0A7C"/>
    <w:rsid w:val="00417566"/>
    <w:rsid w:val="00465A5A"/>
    <w:rsid w:val="004D523C"/>
    <w:rsid w:val="00541EB3"/>
    <w:rsid w:val="005608DA"/>
    <w:rsid w:val="005627DA"/>
    <w:rsid w:val="0056406E"/>
    <w:rsid w:val="005A1C17"/>
    <w:rsid w:val="005A2ABA"/>
    <w:rsid w:val="005D180A"/>
    <w:rsid w:val="005D69F6"/>
    <w:rsid w:val="005E3F0A"/>
    <w:rsid w:val="005E7B69"/>
    <w:rsid w:val="00614480"/>
    <w:rsid w:val="00615682"/>
    <w:rsid w:val="0061775F"/>
    <w:rsid w:val="00623871"/>
    <w:rsid w:val="0065093B"/>
    <w:rsid w:val="00696C0D"/>
    <w:rsid w:val="006A489F"/>
    <w:rsid w:val="006C6A0D"/>
    <w:rsid w:val="006F0329"/>
    <w:rsid w:val="00700807"/>
    <w:rsid w:val="00712E58"/>
    <w:rsid w:val="0071608E"/>
    <w:rsid w:val="007407AC"/>
    <w:rsid w:val="00752F0E"/>
    <w:rsid w:val="00755D72"/>
    <w:rsid w:val="00771BA0"/>
    <w:rsid w:val="00774AED"/>
    <w:rsid w:val="00792796"/>
    <w:rsid w:val="007930B8"/>
    <w:rsid w:val="00796B64"/>
    <w:rsid w:val="007E6779"/>
    <w:rsid w:val="007F7F47"/>
    <w:rsid w:val="00817CBD"/>
    <w:rsid w:val="00820B4C"/>
    <w:rsid w:val="0083239D"/>
    <w:rsid w:val="008529D2"/>
    <w:rsid w:val="0086044F"/>
    <w:rsid w:val="0087450F"/>
    <w:rsid w:val="0088105E"/>
    <w:rsid w:val="00917DCA"/>
    <w:rsid w:val="009325AE"/>
    <w:rsid w:val="009A1DFD"/>
    <w:rsid w:val="00A10EE3"/>
    <w:rsid w:val="00A47096"/>
    <w:rsid w:val="00A631AC"/>
    <w:rsid w:val="00AA2EC5"/>
    <w:rsid w:val="00AB4C73"/>
    <w:rsid w:val="00AC5DE4"/>
    <w:rsid w:val="00AE018F"/>
    <w:rsid w:val="00AE6F47"/>
    <w:rsid w:val="00B028EF"/>
    <w:rsid w:val="00B91E47"/>
    <w:rsid w:val="00BA3EE5"/>
    <w:rsid w:val="00BC6B21"/>
    <w:rsid w:val="00BD34B2"/>
    <w:rsid w:val="00C77D19"/>
    <w:rsid w:val="00C87E57"/>
    <w:rsid w:val="00C9355B"/>
    <w:rsid w:val="00CF6143"/>
    <w:rsid w:val="00D02AA5"/>
    <w:rsid w:val="00D02BC5"/>
    <w:rsid w:val="00D749FC"/>
    <w:rsid w:val="00DA0CC0"/>
    <w:rsid w:val="00DC7CAA"/>
    <w:rsid w:val="00DD5AC4"/>
    <w:rsid w:val="00DD5C37"/>
    <w:rsid w:val="00DE54F8"/>
    <w:rsid w:val="00DF35D9"/>
    <w:rsid w:val="00E4239A"/>
    <w:rsid w:val="00E54510"/>
    <w:rsid w:val="00E55C1C"/>
    <w:rsid w:val="00E9329E"/>
    <w:rsid w:val="00EB027A"/>
    <w:rsid w:val="00EC1CBA"/>
    <w:rsid w:val="00ED2CC9"/>
    <w:rsid w:val="00EE7801"/>
    <w:rsid w:val="00F11A19"/>
    <w:rsid w:val="00F16554"/>
    <w:rsid w:val="00F544E1"/>
    <w:rsid w:val="00F810CB"/>
    <w:rsid w:val="00F834B0"/>
    <w:rsid w:val="00FD5C10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7308"/>
  <w15:chartTrackingRefBased/>
  <w15:docId w15:val="{8A12E871-E352-4940-A38C-E6965C76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E55C1C"/>
    <w:pPr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E55C1C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AE01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25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AE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9325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AE"/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E4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3</cp:revision>
  <cp:lastPrinted>2018-12-18T18:44:00Z</cp:lastPrinted>
  <dcterms:created xsi:type="dcterms:W3CDTF">2019-01-31T15:09:00Z</dcterms:created>
  <dcterms:modified xsi:type="dcterms:W3CDTF">2019-01-31T15:31:00Z</dcterms:modified>
</cp:coreProperties>
</file>