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833" w:rsidRPr="003F7EE6" w:rsidRDefault="00F44833" w:rsidP="00AA4A8B">
      <w:pPr>
        <w:pStyle w:val="Title"/>
      </w:pPr>
      <w:r w:rsidRPr="003F7EE6">
        <w:t>PENNSYLVANIA</w:t>
      </w:r>
    </w:p>
    <w:p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Harrisburg, PA 17105-3265</w:t>
      </w:r>
    </w:p>
    <w:p w:rsidR="00F44833" w:rsidRPr="003F7EE6"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rsidR="00F44833" w:rsidRPr="008B2E92" w:rsidRDefault="00F44833" w:rsidP="00F44833">
      <w:pPr>
        <w:tabs>
          <w:tab w:val="left" w:pos="-720"/>
        </w:tabs>
        <w:suppressAutoHyphens/>
        <w:spacing w:after="0" w:line="240" w:lineRule="auto"/>
        <w:jc w:val="right"/>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Public Meeting held</w:t>
      </w:r>
      <w:r w:rsidR="0019339A" w:rsidRPr="008B2E92">
        <w:rPr>
          <w:rFonts w:ascii="Times New Roman" w:eastAsia="Times New Roman" w:hAnsi="Times New Roman" w:cs="Times New Roman"/>
          <w:sz w:val="26"/>
          <w:szCs w:val="26"/>
        </w:rPr>
        <w:t xml:space="preserve"> </w:t>
      </w:r>
      <w:r w:rsidR="009E0132">
        <w:rPr>
          <w:rFonts w:ascii="Times New Roman" w:eastAsia="Times New Roman" w:hAnsi="Times New Roman" w:cs="Times New Roman"/>
          <w:sz w:val="26"/>
          <w:szCs w:val="26"/>
        </w:rPr>
        <w:t xml:space="preserve">February </w:t>
      </w:r>
      <w:r w:rsidR="00212C77">
        <w:rPr>
          <w:rFonts w:ascii="Times New Roman" w:eastAsia="Times New Roman" w:hAnsi="Times New Roman" w:cs="Times New Roman"/>
          <w:sz w:val="26"/>
          <w:szCs w:val="26"/>
        </w:rPr>
        <w:t>7</w:t>
      </w:r>
      <w:r w:rsidR="006A328C" w:rsidRPr="008B2E92">
        <w:rPr>
          <w:rFonts w:ascii="Times New Roman" w:eastAsia="Times New Roman" w:hAnsi="Times New Roman" w:cs="Times New Roman"/>
          <w:sz w:val="26"/>
          <w:szCs w:val="26"/>
        </w:rPr>
        <w:t>, 20</w:t>
      </w:r>
      <w:r w:rsidR="00212C77">
        <w:rPr>
          <w:rFonts w:ascii="Times New Roman" w:eastAsia="Times New Roman" w:hAnsi="Times New Roman" w:cs="Times New Roman"/>
          <w:sz w:val="26"/>
          <w:szCs w:val="26"/>
        </w:rPr>
        <w:t>19</w:t>
      </w: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 xml:space="preserve">Commissioners Present: </w:t>
      </w: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000C58A3" w:rsidRPr="008B2E92">
        <w:rPr>
          <w:rFonts w:ascii="Times New Roman" w:eastAsia="Times New Roman" w:hAnsi="Times New Roman" w:cs="Times New Roman"/>
          <w:sz w:val="26"/>
          <w:szCs w:val="26"/>
        </w:rPr>
        <w:t>Gladys M. Brown</w:t>
      </w:r>
      <w:r w:rsidRPr="008B2E92">
        <w:rPr>
          <w:rFonts w:ascii="Times New Roman" w:eastAsia="Times New Roman" w:hAnsi="Times New Roman" w:cs="Times New Roman"/>
          <w:sz w:val="26"/>
          <w:szCs w:val="26"/>
        </w:rPr>
        <w:t>, Chairman</w:t>
      </w: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00212C77">
        <w:rPr>
          <w:rFonts w:ascii="Times New Roman" w:eastAsia="Times New Roman" w:hAnsi="Times New Roman" w:cs="Times New Roman"/>
          <w:sz w:val="26"/>
          <w:szCs w:val="26"/>
        </w:rPr>
        <w:t>David W. Sweet</w:t>
      </w:r>
      <w:r w:rsidRPr="008B2E92">
        <w:rPr>
          <w:rFonts w:ascii="Times New Roman" w:eastAsia="Times New Roman" w:hAnsi="Times New Roman" w:cs="Times New Roman"/>
          <w:sz w:val="26"/>
          <w:szCs w:val="26"/>
        </w:rPr>
        <w:t>, Vice Chairman</w:t>
      </w:r>
    </w:p>
    <w:p w:rsidR="006A328C"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006A328C" w:rsidRPr="008B2E92">
        <w:rPr>
          <w:rFonts w:ascii="Times New Roman" w:eastAsia="Times New Roman" w:hAnsi="Times New Roman" w:cs="Times New Roman"/>
          <w:sz w:val="26"/>
          <w:szCs w:val="26"/>
        </w:rPr>
        <w:t>Norman J. Kennard</w:t>
      </w:r>
    </w:p>
    <w:p w:rsidR="006A328C" w:rsidRPr="008B2E92" w:rsidRDefault="006A328C"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00212C77">
        <w:rPr>
          <w:rFonts w:ascii="Times New Roman" w:eastAsia="Times New Roman" w:hAnsi="Times New Roman" w:cs="Times New Roman"/>
          <w:sz w:val="26"/>
          <w:szCs w:val="26"/>
        </w:rPr>
        <w:t>Andrew G. Place</w:t>
      </w:r>
    </w:p>
    <w:p w:rsidR="00D662B2" w:rsidRPr="008B2E92" w:rsidRDefault="006A328C" w:rsidP="00F44833">
      <w:pPr>
        <w:tabs>
          <w:tab w:val="left" w:pos="-720"/>
        </w:tabs>
        <w:suppressAutoHyphens/>
        <w:spacing w:after="0" w:line="24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00D662B2" w:rsidRPr="008B2E92">
        <w:rPr>
          <w:rFonts w:ascii="Times New Roman" w:eastAsia="Times New Roman" w:hAnsi="Times New Roman" w:cs="Times New Roman"/>
          <w:sz w:val="26"/>
          <w:szCs w:val="26"/>
        </w:rPr>
        <w:t>John F. Coleman, Jr.</w:t>
      </w:r>
    </w:p>
    <w:p w:rsidR="000C58A3" w:rsidRPr="008B2E92" w:rsidRDefault="000C58A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rsidR="00F44833" w:rsidRPr="008B2E92" w:rsidRDefault="00F44833" w:rsidP="00F44833">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8B2E92" w:rsidRPr="008B2E92" w:rsidTr="00E509B9">
        <w:tc>
          <w:tcPr>
            <w:tcW w:w="5238" w:type="dxa"/>
          </w:tcPr>
          <w:p w:rsidR="00351AEB" w:rsidRDefault="003E3352"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Bernice Wallace </w:t>
            </w:r>
            <w:r w:rsidR="00F44833" w:rsidRPr="008B2E92">
              <w:rPr>
                <w:rFonts w:ascii="Times New Roman" w:eastAsia="Times New Roman" w:hAnsi="Times New Roman" w:cs="Times New Roman"/>
                <w:sz w:val="26"/>
                <w:szCs w:val="26"/>
              </w:rPr>
              <w:tab/>
            </w:r>
            <w:r w:rsidR="00F44833" w:rsidRPr="008B2E92">
              <w:rPr>
                <w:rFonts w:ascii="Times New Roman" w:eastAsia="Times New Roman" w:hAnsi="Times New Roman" w:cs="Times New Roman"/>
                <w:sz w:val="26"/>
                <w:szCs w:val="26"/>
              </w:rPr>
              <w:tab/>
            </w:r>
          </w:p>
          <w:p w:rsidR="00351AEB" w:rsidRDefault="00351AEB" w:rsidP="00D662B2">
            <w:pPr>
              <w:spacing w:after="0" w:line="240" w:lineRule="auto"/>
              <w:rPr>
                <w:rFonts w:ascii="Times New Roman" w:eastAsia="Times New Roman" w:hAnsi="Times New Roman" w:cs="Times New Roman"/>
                <w:sz w:val="26"/>
                <w:szCs w:val="26"/>
              </w:rPr>
            </w:pPr>
          </w:p>
          <w:p w:rsidR="00F44833" w:rsidRPr="008B2E92" w:rsidRDefault="00F44833" w:rsidP="00675198">
            <w:pPr>
              <w:spacing w:after="0" w:line="240" w:lineRule="auto"/>
              <w:ind w:firstLine="705"/>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v.</w:t>
            </w:r>
          </w:p>
          <w:p w:rsidR="00F44833" w:rsidRPr="008B2E92" w:rsidRDefault="00F44833" w:rsidP="00D662B2">
            <w:pPr>
              <w:spacing w:after="0" w:line="240" w:lineRule="auto"/>
              <w:rPr>
                <w:rFonts w:ascii="Times New Roman" w:eastAsia="Times New Roman" w:hAnsi="Times New Roman" w:cs="Times New Roman"/>
                <w:sz w:val="26"/>
                <w:szCs w:val="26"/>
              </w:rPr>
            </w:pPr>
          </w:p>
          <w:p w:rsidR="00F44833" w:rsidRPr="008B2E92" w:rsidRDefault="003E3352"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PECO Energy Company</w:t>
            </w:r>
          </w:p>
          <w:p w:rsidR="00F44833" w:rsidRPr="008B2E92" w:rsidRDefault="00F44833" w:rsidP="00D662B2">
            <w:pPr>
              <w:spacing w:after="0" w:line="240" w:lineRule="auto"/>
              <w:rPr>
                <w:rFonts w:ascii="Times New Roman" w:eastAsia="Times New Roman" w:hAnsi="Times New Roman" w:cs="Times New Roman"/>
                <w:sz w:val="26"/>
                <w:szCs w:val="26"/>
              </w:rPr>
            </w:pPr>
          </w:p>
        </w:tc>
        <w:tc>
          <w:tcPr>
            <w:tcW w:w="1080" w:type="dxa"/>
          </w:tcPr>
          <w:p w:rsidR="00F44833" w:rsidRPr="008B2E92" w:rsidRDefault="00F44833" w:rsidP="00D662B2">
            <w:pPr>
              <w:suppressAutoHyphens/>
              <w:spacing w:after="0" w:line="240" w:lineRule="auto"/>
              <w:rPr>
                <w:rFonts w:ascii="Times New Roman" w:eastAsia="Times New Roman" w:hAnsi="Times New Roman" w:cs="Times New Roman"/>
                <w:sz w:val="26"/>
                <w:szCs w:val="26"/>
              </w:rPr>
            </w:pPr>
          </w:p>
        </w:tc>
        <w:tc>
          <w:tcPr>
            <w:tcW w:w="3510" w:type="dxa"/>
          </w:tcPr>
          <w:p w:rsidR="00F44833" w:rsidRPr="008B2E92" w:rsidRDefault="00F44833" w:rsidP="00675198">
            <w:pPr>
              <w:pStyle w:val="Heading5"/>
            </w:pPr>
            <w:r w:rsidRPr="008B2E92">
              <w:t xml:space="preserve"> </w:t>
            </w:r>
            <w:r w:rsidR="00E509B9" w:rsidRPr="008B2E92">
              <w:t xml:space="preserve">   </w:t>
            </w:r>
            <w:r w:rsidRPr="008B2E92">
              <w:t xml:space="preserve"> </w:t>
            </w:r>
            <w:r w:rsidR="00E509B9" w:rsidRPr="008B2E92">
              <w:t xml:space="preserve">  </w:t>
            </w:r>
            <w:r w:rsidR="003E3352">
              <w:t>C-2016-2552460</w:t>
            </w:r>
          </w:p>
          <w:p w:rsidR="00F44833" w:rsidRPr="008B2E92" w:rsidRDefault="00F44833" w:rsidP="00D662B2">
            <w:pPr>
              <w:suppressAutoHyphens/>
              <w:spacing w:after="0" w:line="240" w:lineRule="auto"/>
              <w:rPr>
                <w:rFonts w:ascii="Times New Roman" w:eastAsia="Times New Roman" w:hAnsi="Times New Roman" w:cs="Times New Roman"/>
                <w:sz w:val="26"/>
                <w:szCs w:val="26"/>
              </w:rPr>
            </w:pPr>
          </w:p>
        </w:tc>
      </w:tr>
    </w:tbl>
    <w:p w:rsidR="00F44833" w:rsidRPr="008B2E92" w:rsidRDefault="00F44833" w:rsidP="00F44833">
      <w:pPr>
        <w:keepNext/>
        <w:tabs>
          <w:tab w:val="center" w:pos="4680"/>
        </w:tabs>
        <w:suppressAutoHyphens/>
        <w:spacing w:after="0" w:line="360" w:lineRule="auto"/>
        <w:outlineLvl w:val="0"/>
        <w:rPr>
          <w:rFonts w:ascii="CG Times" w:eastAsia="Times New Roman" w:hAnsi="CG Times" w:cs="Times New Roman"/>
          <w:b/>
          <w:sz w:val="26"/>
          <w:szCs w:val="20"/>
        </w:rPr>
      </w:pPr>
      <w:r w:rsidRPr="008B2E92">
        <w:rPr>
          <w:rFonts w:ascii="CG Times" w:eastAsia="Times New Roman" w:hAnsi="CG Times" w:cs="Times New Roman"/>
          <w:b/>
          <w:sz w:val="26"/>
          <w:szCs w:val="20"/>
        </w:rPr>
        <w:tab/>
      </w:r>
    </w:p>
    <w:p w:rsidR="00557CA1" w:rsidRDefault="00557CA1" w:rsidP="00F44833">
      <w:pPr>
        <w:keepNext/>
        <w:tabs>
          <w:tab w:val="center" w:pos="4680"/>
        </w:tabs>
        <w:suppressAutoHyphens/>
        <w:spacing w:after="0" w:line="360" w:lineRule="auto"/>
        <w:outlineLvl w:val="0"/>
        <w:rPr>
          <w:rFonts w:ascii="CG Times" w:eastAsia="Times New Roman" w:hAnsi="CG Times" w:cs="Times New Roman"/>
          <w:b/>
          <w:sz w:val="26"/>
          <w:szCs w:val="20"/>
        </w:rPr>
      </w:pPr>
    </w:p>
    <w:p w:rsidR="00F44833" w:rsidRPr="008B2E92"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8B2E92">
        <w:rPr>
          <w:rFonts w:ascii="Times New Roman" w:eastAsia="Times New Roman" w:hAnsi="Times New Roman" w:cs="Times New Roman"/>
          <w:b/>
          <w:caps/>
          <w:sz w:val="26"/>
          <w:szCs w:val="20"/>
        </w:rPr>
        <w:t>Opinion and Order</w:t>
      </w:r>
    </w:p>
    <w:p w:rsidR="00F44833"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rsidR="003445D0" w:rsidRPr="008B2E92" w:rsidRDefault="003445D0" w:rsidP="00F44833">
      <w:pPr>
        <w:tabs>
          <w:tab w:val="left" w:pos="-720"/>
        </w:tabs>
        <w:suppressAutoHyphens/>
        <w:spacing w:after="0" w:line="360" w:lineRule="auto"/>
        <w:rPr>
          <w:rFonts w:ascii="Times New Roman" w:eastAsia="Times New Roman" w:hAnsi="Times New Roman" w:cs="Times New Roman"/>
          <w:b/>
          <w:sz w:val="26"/>
          <w:szCs w:val="26"/>
        </w:rPr>
      </w:pPr>
    </w:p>
    <w:p w:rsidR="00F44833" w:rsidRPr="008B2E92"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8B2E92">
        <w:rPr>
          <w:rFonts w:ascii="Times New Roman" w:eastAsia="Times New Roman" w:hAnsi="Times New Roman" w:cs="Times New Roman"/>
          <w:b/>
          <w:sz w:val="26"/>
          <w:szCs w:val="26"/>
        </w:rPr>
        <w:t>BY THE COMMISSION:</w:t>
      </w:r>
    </w:p>
    <w:p w:rsidR="00F44833" w:rsidRPr="008B2E92" w:rsidRDefault="00F44833" w:rsidP="00F44833">
      <w:pPr>
        <w:tabs>
          <w:tab w:val="left" w:pos="-720"/>
        </w:tabs>
        <w:suppressAutoHyphens/>
        <w:spacing w:after="0" w:line="360" w:lineRule="auto"/>
        <w:rPr>
          <w:rFonts w:ascii="Times New Roman" w:eastAsia="Times New Roman" w:hAnsi="Times New Roman" w:cs="Times New Roman"/>
          <w:sz w:val="26"/>
          <w:szCs w:val="26"/>
        </w:rPr>
      </w:pPr>
    </w:p>
    <w:p w:rsidR="00A53B32"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Pr="008B2E92">
        <w:rPr>
          <w:rFonts w:ascii="Times New Roman" w:eastAsia="Times New Roman" w:hAnsi="Times New Roman" w:cs="Times New Roman"/>
          <w:sz w:val="26"/>
          <w:szCs w:val="26"/>
        </w:rPr>
        <w:tab/>
        <w:t xml:space="preserve">Before the Pennsylvania Public Utility Commission (Commission) for consideration and disposition </w:t>
      </w:r>
      <w:r w:rsidR="003E3352">
        <w:rPr>
          <w:rFonts w:ascii="Times New Roman" w:eastAsia="Times New Roman" w:hAnsi="Times New Roman" w:cs="Times New Roman"/>
          <w:sz w:val="26"/>
          <w:szCs w:val="26"/>
        </w:rPr>
        <w:t>is</w:t>
      </w:r>
      <w:r w:rsidRPr="008B2E92">
        <w:rPr>
          <w:rFonts w:ascii="Times New Roman" w:eastAsia="Times New Roman" w:hAnsi="Times New Roman" w:cs="Times New Roman"/>
          <w:sz w:val="26"/>
          <w:szCs w:val="26"/>
        </w:rPr>
        <w:t xml:space="preserve"> </w:t>
      </w:r>
      <w:r w:rsidR="003E3352">
        <w:rPr>
          <w:rFonts w:ascii="Times New Roman" w:eastAsia="Times New Roman" w:hAnsi="Times New Roman" w:cs="Times New Roman"/>
          <w:sz w:val="26"/>
          <w:szCs w:val="26"/>
        </w:rPr>
        <w:t>the Exception of Bernice Wallace (Complainant or Ms. Wallace) filed on November 20, 2017, to the Initial Decision (</w:t>
      </w:r>
      <w:r w:rsidR="00412E52">
        <w:rPr>
          <w:rFonts w:ascii="Times New Roman" w:eastAsia="Times New Roman" w:hAnsi="Times New Roman" w:cs="Times New Roman"/>
          <w:sz w:val="26"/>
          <w:szCs w:val="26"/>
        </w:rPr>
        <w:t>I.</w:t>
      </w:r>
      <w:r w:rsidR="003E3352">
        <w:rPr>
          <w:rFonts w:ascii="Times New Roman" w:eastAsia="Times New Roman" w:hAnsi="Times New Roman" w:cs="Times New Roman"/>
          <w:sz w:val="26"/>
          <w:szCs w:val="26"/>
        </w:rPr>
        <w:t xml:space="preserve">D.) of Administrative Law Judge (ALJ) Eranda Vero, </w:t>
      </w:r>
      <w:r w:rsidR="009E0132">
        <w:rPr>
          <w:rFonts w:ascii="Times New Roman" w:eastAsia="Times New Roman" w:hAnsi="Times New Roman" w:cs="Times New Roman"/>
          <w:sz w:val="26"/>
          <w:szCs w:val="26"/>
        </w:rPr>
        <w:t xml:space="preserve">which was </w:t>
      </w:r>
      <w:r w:rsidR="003E3352">
        <w:rPr>
          <w:rFonts w:ascii="Times New Roman" w:eastAsia="Times New Roman" w:hAnsi="Times New Roman" w:cs="Times New Roman"/>
          <w:sz w:val="26"/>
          <w:szCs w:val="26"/>
        </w:rPr>
        <w:t xml:space="preserve">served on October 31, 2017, relative to the above -captioned proceeding.  PECO Energy Company (PECO or Respondent) filed </w:t>
      </w:r>
      <w:r w:rsidR="00BC58CB">
        <w:rPr>
          <w:rFonts w:ascii="Times New Roman" w:eastAsia="Times New Roman" w:hAnsi="Times New Roman" w:cs="Times New Roman"/>
          <w:sz w:val="26"/>
          <w:szCs w:val="26"/>
        </w:rPr>
        <w:t xml:space="preserve">its </w:t>
      </w:r>
      <w:r w:rsidR="003E3352">
        <w:rPr>
          <w:rFonts w:ascii="Times New Roman" w:eastAsia="Times New Roman" w:hAnsi="Times New Roman" w:cs="Times New Roman"/>
          <w:sz w:val="26"/>
          <w:szCs w:val="26"/>
        </w:rPr>
        <w:lastRenderedPageBreak/>
        <w:t>Repl</w:t>
      </w:r>
      <w:r w:rsidR="00BC58CB">
        <w:rPr>
          <w:rFonts w:ascii="Times New Roman" w:eastAsia="Times New Roman" w:hAnsi="Times New Roman" w:cs="Times New Roman"/>
          <w:sz w:val="26"/>
          <w:szCs w:val="26"/>
        </w:rPr>
        <w:t>y</w:t>
      </w:r>
      <w:r w:rsidR="003E3352">
        <w:rPr>
          <w:rFonts w:ascii="Times New Roman" w:eastAsia="Times New Roman" w:hAnsi="Times New Roman" w:cs="Times New Roman"/>
          <w:sz w:val="26"/>
          <w:szCs w:val="26"/>
        </w:rPr>
        <w:t xml:space="preserve"> to Exception on December 1, 2017.  For the reasons stated below, we shall deny </w:t>
      </w:r>
      <w:r w:rsidR="00412E52">
        <w:rPr>
          <w:rFonts w:ascii="Times New Roman" w:eastAsia="Times New Roman" w:hAnsi="Times New Roman" w:cs="Times New Roman"/>
          <w:sz w:val="26"/>
          <w:szCs w:val="26"/>
        </w:rPr>
        <w:t>the Complainant’s Exception.</w:t>
      </w:r>
    </w:p>
    <w:p w:rsidR="00412E52" w:rsidRPr="008B2E92" w:rsidRDefault="00412E52" w:rsidP="00F44833">
      <w:pPr>
        <w:tabs>
          <w:tab w:val="left" w:pos="-720"/>
        </w:tabs>
        <w:suppressAutoHyphens/>
        <w:spacing w:after="0" w:line="360" w:lineRule="auto"/>
        <w:rPr>
          <w:rFonts w:ascii="Times New Roman" w:eastAsia="Times New Roman" w:hAnsi="Times New Roman" w:cs="Times New Roman"/>
          <w:sz w:val="26"/>
          <w:szCs w:val="26"/>
        </w:rPr>
      </w:pPr>
    </w:p>
    <w:p w:rsidR="00F44833" w:rsidRPr="00680A6C" w:rsidRDefault="00A30ECF" w:rsidP="00463F20">
      <w:pPr>
        <w:pStyle w:val="Heading3"/>
        <w:ind w:firstLine="0"/>
      </w:pPr>
      <w:r w:rsidRPr="00680A6C">
        <w:t xml:space="preserve">History of the </w:t>
      </w:r>
      <w:r w:rsidR="0076203D" w:rsidRPr="00680A6C">
        <w:t>Proceeding</w:t>
      </w:r>
    </w:p>
    <w:p w:rsidR="00F44833" w:rsidRPr="00680A6C" w:rsidRDefault="00F44833" w:rsidP="00680A6C">
      <w:pPr>
        <w:tabs>
          <w:tab w:val="center" w:pos="0"/>
        </w:tabs>
        <w:suppressAutoHyphens/>
        <w:spacing w:after="0" w:line="360" w:lineRule="auto"/>
        <w:rPr>
          <w:rFonts w:ascii="Times New Roman" w:eastAsia="Times New Roman" w:hAnsi="Times New Roman" w:cs="Times New Roman"/>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 xml:space="preserve">On June 20, 2016, Mrs. Wallace filed </w:t>
      </w:r>
      <w:r w:rsidR="000016E8">
        <w:rPr>
          <w:rFonts w:ascii="Times New Roman" w:eastAsia="Times New Roman" w:hAnsi="Times New Roman"/>
          <w:color w:val="000000"/>
          <w:sz w:val="26"/>
          <w:szCs w:val="26"/>
        </w:rPr>
        <w:t xml:space="preserve">a </w:t>
      </w:r>
      <w:r w:rsidR="00597658">
        <w:rPr>
          <w:rFonts w:ascii="Times New Roman" w:eastAsia="Times New Roman" w:hAnsi="Times New Roman"/>
          <w:color w:val="000000"/>
          <w:sz w:val="26"/>
          <w:szCs w:val="26"/>
        </w:rPr>
        <w:t>F</w:t>
      </w:r>
      <w:r w:rsidR="000016E8">
        <w:rPr>
          <w:rFonts w:ascii="Times New Roman" w:eastAsia="Times New Roman" w:hAnsi="Times New Roman"/>
          <w:color w:val="000000"/>
          <w:sz w:val="26"/>
          <w:szCs w:val="26"/>
        </w:rPr>
        <w:t xml:space="preserve">ormal </w:t>
      </w:r>
      <w:r w:rsidR="00597658">
        <w:rPr>
          <w:rFonts w:ascii="Times New Roman" w:eastAsia="Times New Roman" w:hAnsi="Times New Roman"/>
          <w:color w:val="000000"/>
          <w:sz w:val="26"/>
          <w:szCs w:val="26"/>
        </w:rPr>
        <w:t>C</w:t>
      </w:r>
      <w:r w:rsidR="000016E8">
        <w:rPr>
          <w:rFonts w:ascii="Times New Roman" w:eastAsia="Times New Roman" w:hAnsi="Times New Roman"/>
          <w:color w:val="000000"/>
          <w:sz w:val="26"/>
          <w:szCs w:val="26"/>
        </w:rPr>
        <w:t>omplaint (</w:t>
      </w:r>
      <w:r w:rsidRPr="00680A6C">
        <w:rPr>
          <w:rFonts w:ascii="Times New Roman" w:eastAsia="Times New Roman" w:hAnsi="Times New Roman"/>
          <w:color w:val="000000"/>
          <w:sz w:val="26"/>
          <w:szCs w:val="26"/>
        </w:rPr>
        <w:t xml:space="preserve">Complaint) against PECO Energy Company (PECO or Respondent) with the Pennsylvania Public Utility Commission (Commission). </w:t>
      </w:r>
      <w:r w:rsidR="007A7E23">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In the Complaint, Mrs.</w:t>
      </w:r>
      <w:r w:rsidR="001A0E08">
        <w:rPr>
          <w:rFonts w:ascii="Times New Roman" w:eastAsia="Times New Roman" w:hAnsi="Times New Roman"/>
          <w:color w:val="000000"/>
          <w:sz w:val="26"/>
          <w:szCs w:val="26"/>
        </w:rPr>
        <w:t> </w:t>
      </w:r>
      <w:r w:rsidRPr="00680A6C">
        <w:rPr>
          <w:rFonts w:ascii="Times New Roman" w:eastAsia="Times New Roman" w:hAnsi="Times New Roman"/>
          <w:color w:val="000000"/>
          <w:sz w:val="26"/>
          <w:szCs w:val="26"/>
        </w:rPr>
        <w:t xml:space="preserve">Wallace averred that the utility is threatening to shut off her service and that she is unable to pay her electricity bills to PECO. </w:t>
      </w:r>
      <w:r w:rsidR="00680A6C" w:rsidRP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As relief, the Complainant requested a payment arrangement.</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On July 6, 2016, PECO filed an Answer denying all material allegations of fact and conclusions of law in the Complaint.</w:t>
      </w:r>
      <w:r w:rsidR="00674FDA" w:rsidRP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 xml:space="preserve">By Hearing Notice dated July 11, 2016, a hearing was scheduled for Tuesday, August 30, 2016, at 9:30 a.m., and the matter was assigned to </w:t>
      </w:r>
      <w:r w:rsidR="00857DDA">
        <w:rPr>
          <w:rFonts w:ascii="Times New Roman" w:eastAsia="Times New Roman" w:hAnsi="Times New Roman"/>
          <w:color w:val="000000"/>
          <w:sz w:val="26"/>
          <w:szCs w:val="26"/>
        </w:rPr>
        <w:t>ALJ Vero.</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 xml:space="preserve">The morning before the scheduled hearing, Shawane L. Lee, Esq., counsel for PECO, informed </w:t>
      </w:r>
      <w:r w:rsidR="00857DDA">
        <w:rPr>
          <w:rFonts w:ascii="Times New Roman" w:eastAsia="Times New Roman" w:hAnsi="Times New Roman"/>
          <w:color w:val="000000"/>
          <w:sz w:val="26"/>
          <w:szCs w:val="26"/>
        </w:rPr>
        <w:t xml:space="preserve">the ALJ </w:t>
      </w:r>
      <w:r w:rsidRPr="00680A6C">
        <w:rPr>
          <w:rFonts w:ascii="Times New Roman" w:eastAsia="Times New Roman" w:hAnsi="Times New Roman"/>
          <w:color w:val="000000"/>
          <w:sz w:val="26"/>
          <w:szCs w:val="26"/>
        </w:rPr>
        <w:t xml:space="preserve">that the Complainant had filed a Chapter 7 bankruptcy petition in federal court. </w:t>
      </w:r>
      <w:r w:rsid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 xml:space="preserve">Ms. Lee explained that on August 16, 2016, Mrs. Wallace filed a Motion to Dismiss the bankruptcy petition. </w:t>
      </w:r>
      <w:r w:rsid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While the bankruptcy judge had not ruled on Mrs. Wallace’s Motion as of August 16, 2016, Ms. Lee believed the ruling to be forthcoming in the near future and requested that the matter be stayed pending the resolution of the bankruptcy petition.</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By Order dated August 31, 2016,</w:t>
      </w:r>
      <w:r w:rsidR="00630DF6">
        <w:rPr>
          <w:rFonts w:ascii="Times New Roman" w:eastAsia="Times New Roman" w:hAnsi="Times New Roman"/>
          <w:color w:val="000000"/>
          <w:sz w:val="26"/>
          <w:szCs w:val="26"/>
        </w:rPr>
        <w:t xml:space="preserve"> the ALJ</w:t>
      </w:r>
      <w:r w:rsidRPr="00680A6C">
        <w:rPr>
          <w:rFonts w:ascii="Times New Roman" w:eastAsia="Times New Roman" w:hAnsi="Times New Roman"/>
          <w:color w:val="000000"/>
          <w:sz w:val="26"/>
          <w:szCs w:val="26"/>
        </w:rPr>
        <w:t xml:space="preserve"> granted PECO’s request and stayed the proceedings at Docket No. C-2016-2552460 pending resolution of the Complainant’s bankruptcy petition. </w:t>
      </w:r>
      <w:r w:rsidR="00680A6C">
        <w:rPr>
          <w:rFonts w:ascii="Times New Roman" w:eastAsia="Times New Roman" w:hAnsi="Times New Roman"/>
          <w:color w:val="000000"/>
          <w:sz w:val="26"/>
          <w:szCs w:val="26"/>
        </w:rPr>
        <w:t xml:space="preserve"> </w:t>
      </w:r>
      <w:r w:rsidR="00BE087C">
        <w:rPr>
          <w:rFonts w:ascii="Times New Roman" w:eastAsia="Times New Roman" w:hAnsi="Times New Roman"/>
          <w:color w:val="000000"/>
          <w:sz w:val="26"/>
          <w:szCs w:val="26"/>
        </w:rPr>
        <w:t>Consequently, t</w:t>
      </w:r>
      <w:r w:rsidRPr="00680A6C">
        <w:rPr>
          <w:rFonts w:ascii="Times New Roman" w:eastAsia="Times New Roman" w:hAnsi="Times New Roman"/>
          <w:color w:val="000000"/>
          <w:sz w:val="26"/>
          <w:szCs w:val="26"/>
        </w:rPr>
        <w:t xml:space="preserve">he hearing scheduled for August 30, 2016, was cancelled and the </w:t>
      </w:r>
      <w:r w:rsidR="00BE087C">
        <w:rPr>
          <w:rFonts w:ascii="Times New Roman" w:eastAsia="Times New Roman" w:hAnsi="Times New Roman"/>
          <w:color w:val="000000"/>
          <w:sz w:val="26"/>
          <w:szCs w:val="26"/>
        </w:rPr>
        <w:t>P</w:t>
      </w:r>
      <w:r w:rsidRPr="00680A6C">
        <w:rPr>
          <w:rFonts w:ascii="Times New Roman" w:eastAsia="Times New Roman" w:hAnsi="Times New Roman"/>
          <w:color w:val="000000"/>
          <w:sz w:val="26"/>
          <w:szCs w:val="26"/>
        </w:rPr>
        <w:t xml:space="preserve">arties were instructed to file a status report with the Commission at this Docket, with a copy to </w:t>
      </w:r>
      <w:r w:rsidR="00BE087C">
        <w:rPr>
          <w:rFonts w:ascii="Times New Roman" w:eastAsia="Times New Roman" w:hAnsi="Times New Roman"/>
          <w:color w:val="000000"/>
          <w:sz w:val="26"/>
          <w:szCs w:val="26"/>
        </w:rPr>
        <w:t xml:space="preserve">the ALJ </w:t>
      </w:r>
      <w:r w:rsidRPr="00680A6C">
        <w:rPr>
          <w:rFonts w:ascii="Times New Roman" w:eastAsia="Times New Roman" w:hAnsi="Times New Roman"/>
          <w:color w:val="000000"/>
          <w:sz w:val="26"/>
          <w:szCs w:val="26"/>
        </w:rPr>
        <w:t xml:space="preserve">and the opposing party, within sixty </w:t>
      </w:r>
      <w:r w:rsidRPr="00680A6C">
        <w:rPr>
          <w:rFonts w:ascii="Times New Roman" w:eastAsia="Times New Roman" w:hAnsi="Times New Roman"/>
          <w:color w:val="000000"/>
          <w:sz w:val="26"/>
          <w:szCs w:val="26"/>
        </w:rPr>
        <w:lastRenderedPageBreak/>
        <w:t>days of the date of the Order, and every sixty days thereafter, until the bankruptcy proceeding was concluded.</w:t>
      </w:r>
    </w:p>
    <w:p w:rsidR="00BE087C" w:rsidRPr="00680A6C" w:rsidRDefault="00BE087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 xml:space="preserve">By correspondence dated February 2, 2017, </w:t>
      </w:r>
      <w:r w:rsidR="00D44349">
        <w:rPr>
          <w:rFonts w:ascii="Times New Roman" w:eastAsia="Times New Roman" w:hAnsi="Times New Roman"/>
          <w:color w:val="000000"/>
          <w:sz w:val="26"/>
          <w:szCs w:val="26"/>
        </w:rPr>
        <w:t xml:space="preserve">the </w:t>
      </w:r>
      <w:r w:rsidRPr="00680A6C">
        <w:rPr>
          <w:rFonts w:ascii="Times New Roman" w:eastAsia="Times New Roman" w:hAnsi="Times New Roman"/>
          <w:color w:val="000000"/>
          <w:sz w:val="26"/>
          <w:szCs w:val="26"/>
        </w:rPr>
        <w:t xml:space="preserve">Respondent’s counsel informed </w:t>
      </w:r>
      <w:r w:rsidR="00C737C0">
        <w:rPr>
          <w:rFonts w:ascii="Times New Roman" w:eastAsia="Times New Roman" w:hAnsi="Times New Roman"/>
          <w:color w:val="000000"/>
          <w:sz w:val="26"/>
          <w:szCs w:val="26"/>
        </w:rPr>
        <w:t xml:space="preserve">the ALJ </w:t>
      </w:r>
      <w:r w:rsidRPr="00680A6C">
        <w:rPr>
          <w:rFonts w:ascii="Times New Roman" w:eastAsia="Times New Roman" w:hAnsi="Times New Roman"/>
          <w:color w:val="000000"/>
          <w:sz w:val="26"/>
          <w:szCs w:val="26"/>
        </w:rPr>
        <w:t>that Mrs. Wallace’s bankruptcy case was dismissed on September 28, 2016, and the case was closed on October 6, 2016.</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On February 3, 2017,</w:t>
      </w:r>
      <w:r w:rsidR="00C737C0">
        <w:rPr>
          <w:rFonts w:ascii="Times New Roman" w:eastAsia="Times New Roman" w:hAnsi="Times New Roman"/>
          <w:color w:val="000000"/>
          <w:sz w:val="26"/>
          <w:szCs w:val="26"/>
        </w:rPr>
        <w:t xml:space="preserve"> ALJ Vero</w:t>
      </w:r>
      <w:r w:rsidRPr="00680A6C">
        <w:rPr>
          <w:rFonts w:ascii="Times New Roman" w:eastAsia="Times New Roman" w:hAnsi="Times New Roman"/>
          <w:color w:val="000000"/>
          <w:sz w:val="26"/>
          <w:szCs w:val="26"/>
        </w:rPr>
        <w:t xml:space="preserve"> issued an Order lifting the stay of proceedings and setting the case for a hearing.</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By Hearing Cancellation/Reschedule Notice dated February 3, 2017, a hearing was scheduled for Wednesday, March 22, 2017, at 10:00 a.m.</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680A6C">
      <w:pPr>
        <w:spacing w:after="0" w:line="360" w:lineRule="auto"/>
        <w:ind w:firstLine="1440"/>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A Prehearing Order was issued on February 21, 2017, reminding the parties of the date and time of the scheduled hearing, informing them of the procedures applicable to this proceeding, and directing the submission of documents prior to the hearing.</w:t>
      </w:r>
    </w:p>
    <w:p w:rsidR="00680A6C" w:rsidRPr="00680A6C" w:rsidRDefault="00680A6C" w:rsidP="00680A6C">
      <w:pPr>
        <w:spacing w:after="0" w:line="360" w:lineRule="auto"/>
        <w:ind w:firstLine="1440"/>
        <w:textAlignment w:val="baseline"/>
        <w:rPr>
          <w:rFonts w:eastAsia="Times New Roman"/>
          <w:color w:val="000000"/>
          <w:sz w:val="26"/>
          <w:szCs w:val="26"/>
        </w:rPr>
      </w:pPr>
    </w:p>
    <w:p w:rsidR="00412E52" w:rsidRDefault="00412E52" w:rsidP="00E60E4B">
      <w:pPr>
        <w:spacing w:after="0" w:line="360" w:lineRule="auto"/>
        <w:ind w:firstLine="1368"/>
        <w:textAlignment w:val="baseline"/>
        <w:rPr>
          <w:rFonts w:ascii="Times New Roman" w:eastAsia="Times New Roman" w:hAnsi="Times New Roman"/>
          <w:color w:val="000000"/>
          <w:sz w:val="26"/>
          <w:szCs w:val="26"/>
        </w:rPr>
      </w:pPr>
      <w:r w:rsidRPr="00680A6C">
        <w:rPr>
          <w:rFonts w:ascii="Times New Roman" w:eastAsia="Times New Roman" w:hAnsi="Times New Roman"/>
          <w:color w:val="000000"/>
          <w:sz w:val="26"/>
          <w:szCs w:val="26"/>
        </w:rPr>
        <w:t xml:space="preserve">The initial hearing convened as scheduled on March 22, 2017. The Complainant appeared </w:t>
      </w:r>
      <w:r w:rsidRPr="00680A6C">
        <w:rPr>
          <w:rFonts w:ascii="Times New Roman" w:eastAsia="Times New Roman" w:hAnsi="Times New Roman"/>
          <w:i/>
          <w:color w:val="000000"/>
          <w:sz w:val="26"/>
          <w:szCs w:val="26"/>
        </w:rPr>
        <w:t xml:space="preserve">pro se </w:t>
      </w:r>
      <w:r w:rsidRPr="00680A6C">
        <w:rPr>
          <w:rFonts w:ascii="Times New Roman" w:eastAsia="Times New Roman" w:hAnsi="Times New Roman"/>
          <w:color w:val="000000"/>
          <w:sz w:val="26"/>
          <w:szCs w:val="26"/>
        </w:rPr>
        <w:t xml:space="preserve">via telephone and testified in support of the Complaint. </w:t>
      </w:r>
      <w:r w:rsid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 xml:space="preserve">The Complainant’s husband, Kevin Wallace, appeared at the hearing in person and also testified in support of the Complaint. Shawane Lee, Esq. represented the Respondent, and presented the testimony of Anna Mae Migliaccio, who is a customer review officer in charge of investigating formal and informal complaints filed against PECO. </w:t>
      </w:r>
      <w:r w:rsidR="00680A6C">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The Respondent sponsored six exhibits which were admitted into the record.</w:t>
      </w:r>
      <w:r w:rsidR="00E60E4B">
        <w:rPr>
          <w:rFonts w:ascii="Times New Roman" w:eastAsia="Times New Roman" w:hAnsi="Times New Roman"/>
          <w:color w:val="000000"/>
          <w:sz w:val="26"/>
          <w:szCs w:val="26"/>
        </w:rPr>
        <w:t xml:space="preserve">  </w:t>
      </w:r>
      <w:r w:rsidRPr="00680A6C">
        <w:rPr>
          <w:rFonts w:ascii="Times New Roman" w:eastAsia="Times New Roman" w:hAnsi="Times New Roman"/>
          <w:color w:val="000000"/>
          <w:sz w:val="26"/>
          <w:szCs w:val="26"/>
        </w:rPr>
        <w:t>The record in this matter closed on April 22, 2017.</w:t>
      </w:r>
    </w:p>
    <w:p w:rsidR="00680A6C" w:rsidRDefault="00680A6C" w:rsidP="00680A6C">
      <w:pPr>
        <w:spacing w:after="0" w:line="360" w:lineRule="auto"/>
        <w:ind w:left="648" w:firstLine="720"/>
        <w:textAlignment w:val="baseline"/>
        <w:rPr>
          <w:rFonts w:eastAsia="Times New Roman"/>
          <w:color w:val="000000"/>
          <w:sz w:val="24"/>
        </w:rPr>
      </w:pPr>
    </w:p>
    <w:p w:rsidR="00680A6C" w:rsidRDefault="00CA355E" w:rsidP="00CA355E">
      <w:pPr>
        <w:spacing w:after="0" w:line="360" w:lineRule="auto"/>
        <w:ind w:firstLine="1368"/>
        <w:textAlignment w:val="baseline"/>
        <w:rPr>
          <w:rFonts w:ascii="Times New Roman" w:eastAsia="Times New Roman" w:hAnsi="Times New Roman" w:cs="Times New Roman"/>
          <w:color w:val="000000"/>
          <w:sz w:val="26"/>
          <w:szCs w:val="26"/>
        </w:rPr>
      </w:pPr>
      <w:r w:rsidRPr="00CA355E">
        <w:rPr>
          <w:rFonts w:ascii="Times New Roman" w:eastAsia="Times New Roman" w:hAnsi="Times New Roman" w:cs="Times New Roman"/>
          <w:color w:val="000000"/>
          <w:sz w:val="26"/>
          <w:szCs w:val="26"/>
        </w:rPr>
        <w:lastRenderedPageBreak/>
        <w:t xml:space="preserve">In her Initial Decision, served on </w:t>
      </w:r>
      <w:r>
        <w:rPr>
          <w:rFonts w:ascii="Times New Roman" w:eastAsia="Times New Roman" w:hAnsi="Times New Roman" w:cs="Times New Roman"/>
          <w:color w:val="000000"/>
          <w:sz w:val="26"/>
          <w:szCs w:val="26"/>
        </w:rPr>
        <w:t>October 31, 2017, the ALJ denied Ms. Wallace’s Complaint because she failed to carry the burden of proof that she qualifies for a subsequent Commission-issued payment arrangement.</w:t>
      </w:r>
      <w:r w:rsidR="00BC58CB">
        <w:rPr>
          <w:rFonts w:ascii="Times New Roman" w:eastAsia="Times New Roman" w:hAnsi="Times New Roman" w:cs="Times New Roman"/>
          <w:color w:val="000000"/>
          <w:sz w:val="26"/>
          <w:szCs w:val="26"/>
        </w:rPr>
        <w:t xml:space="preserve">  </w:t>
      </w:r>
    </w:p>
    <w:p w:rsidR="00D44349" w:rsidRDefault="00D44349" w:rsidP="00CA355E">
      <w:pPr>
        <w:spacing w:after="0" w:line="360" w:lineRule="auto"/>
        <w:ind w:firstLine="1368"/>
        <w:textAlignment w:val="baseline"/>
        <w:rPr>
          <w:rFonts w:ascii="Times New Roman" w:eastAsia="Times New Roman" w:hAnsi="Times New Roman" w:cs="Times New Roman"/>
          <w:color w:val="000000"/>
          <w:sz w:val="26"/>
          <w:szCs w:val="26"/>
        </w:rPr>
      </w:pPr>
    </w:p>
    <w:p w:rsidR="00CA355E" w:rsidRPr="00CA355E" w:rsidRDefault="00CA355E" w:rsidP="00CA355E">
      <w:pPr>
        <w:spacing w:after="0" w:line="360" w:lineRule="auto"/>
        <w:ind w:firstLine="1368"/>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As indicated above, the Complainant filed </w:t>
      </w:r>
      <w:r w:rsidR="00BC58CB">
        <w:rPr>
          <w:rFonts w:ascii="Times New Roman" w:eastAsia="Times New Roman" w:hAnsi="Times New Roman" w:cs="Times New Roman"/>
          <w:color w:val="000000"/>
          <w:sz w:val="26"/>
          <w:szCs w:val="26"/>
        </w:rPr>
        <w:t xml:space="preserve">an </w:t>
      </w:r>
      <w:r>
        <w:rPr>
          <w:rFonts w:ascii="Times New Roman" w:eastAsia="Times New Roman" w:hAnsi="Times New Roman" w:cs="Times New Roman"/>
          <w:color w:val="000000"/>
          <w:sz w:val="26"/>
          <w:szCs w:val="26"/>
        </w:rPr>
        <w:t xml:space="preserve">Exception on November 20, 2019.  </w:t>
      </w:r>
      <w:r w:rsidR="00D44349">
        <w:rPr>
          <w:rFonts w:ascii="Times New Roman" w:eastAsia="Times New Roman" w:hAnsi="Times New Roman" w:cs="Times New Roman"/>
          <w:color w:val="000000"/>
          <w:sz w:val="26"/>
          <w:szCs w:val="26"/>
        </w:rPr>
        <w:t xml:space="preserve">The </w:t>
      </w:r>
      <w:r>
        <w:rPr>
          <w:rFonts w:ascii="Times New Roman" w:eastAsia="Times New Roman" w:hAnsi="Times New Roman" w:cs="Times New Roman"/>
          <w:color w:val="000000"/>
          <w:sz w:val="26"/>
          <w:szCs w:val="26"/>
        </w:rPr>
        <w:t xml:space="preserve">Respondent filed </w:t>
      </w:r>
      <w:r w:rsidR="00BC58CB">
        <w:rPr>
          <w:rFonts w:ascii="Times New Roman" w:eastAsia="Times New Roman" w:hAnsi="Times New Roman" w:cs="Times New Roman"/>
          <w:color w:val="000000"/>
          <w:sz w:val="26"/>
          <w:szCs w:val="26"/>
        </w:rPr>
        <w:t xml:space="preserve">its </w:t>
      </w:r>
      <w:r>
        <w:rPr>
          <w:rFonts w:ascii="Times New Roman" w:eastAsia="Times New Roman" w:hAnsi="Times New Roman" w:cs="Times New Roman"/>
          <w:color w:val="000000"/>
          <w:sz w:val="26"/>
          <w:szCs w:val="26"/>
        </w:rPr>
        <w:t>Repl</w:t>
      </w:r>
      <w:r w:rsidR="00BC58CB">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z w:val="26"/>
          <w:szCs w:val="26"/>
        </w:rPr>
        <w:t xml:space="preserve"> to Exception on December 1, 2017.</w:t>
      </w:r>
    </w:p>
    <w:p w:rsidR="00B25360" w:rsidRPr="008B2E92" w:rsidRDefault="00B25360" w:rsidP="00F44833">
      <w:pPr>
        <w:tabs>
          <w:tab w:val="center" w:pos="0"/>
        </w:tabs>
        <w:suppressAutoHyphens/>
        <w:spacing w:after="0" w:line="360" w:lineRule="auto"/>
        <w:rPr>
          <w:rFonts w:ascii="Times New Roman" w:eastAsia="Times New Roman" w:hAnsi="Times New Roman" w:cs="Times New Roman"/>
          <w:sz w:val="26"/>
          <w:szCs w:val="26"/>
        </w:rPr>
      </w:pPr>
    </w:p>
    <w:p w:rsidR="00026DFB" w:rsidRPr="008B2E92" w:rsidRDefault="00680A6C" w:rsidP="00026DFB">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Discussion</w:t>
      </w:r>
    </w:p>
    <w:p w:rsidR="002B62FB" w:rsidRDefault="002B62FB" w:rsidP="002B62FB">
      <w:pPr>
        <w:keepNext/>
        <w:keepLines/>
        <w:spacing w:after="0" w:line="360" w:lineRule="auto"/>
        <w:rPr>
          <w:rFonts w:ascii="Times New Roman" w:eastAsia="Calibri" w:hAnsi="Times New Roman" w:cs="Times New Roman"/>
          <w:b/>
          <w:sz w:val="26"/>
          <w:szCs w:val="26"/>
        </w:rPr>
      </w:pPr>
    </w:p>
    <w:p w:rsidR="002B62FB" w:rsidRPr="002B62FB" w:rsidRDefault="002B62FB" w:rsidP="002B62FB">
      <w:pPr>
        <w:keepNext/>
        <w:keepLines/>
        <w:spacing w:after="0" w:line="360" w:lineRule="auto"/>
        <w:rPr>
          <w:rFonts w:ascii="Times New Roman" w:eastAsia="Calibri" w:hAnsi="Times New Roman" w:cs="Times New Roman"/>
          <w:sz w:val="26"/>
          <w:szCs w:val="26"/>
        </w:rPr>
      </w:pPr>
      <w:r w:rsidRPr="002B62FB">
        <w:rPr>
          <w:rFonts w:ascii="Times New Roman" w:eastAsia="Calibri" w:hAnsi="Times New Roman" w:cs="Times New Roman"/>
          <w:b/>
          <w:sz w:val="26"/>
          <w:szCs w:val="26"/>
        </w:rPr>
        <w:t>Legal Standards</w:t>
      </w:r>
    </w:p>
    <w:p w:rsidR="002B62FB" w:rsidRPr="002B62FB" w:rsidRDefault="002B62FB" w:rsidP="002B62FB">
      <w:pPr>
        <w:keepNext/>
        <w:keepLines/>
        <w:spacing w:after="0" w:line="360" w:lineRule="auto"/>
        <w:rPr>
          <w:rFonts w:ascii="Times New Roman" w:eastAsia="Calibri" w:hAnsi="Times New Roman" w:cs="Times New Roman"/>
          <w:sz w:val="26"/>
          <w:szCs w:val="26"/>
        </w:rPr>
      </w:pPr>
    </w:p>
    <w:p w:rsidR="002B62FB" w:rsidRPr="002B62FB" w:rsidRDefault="002B62FB" w:rsidP="002B62FB">
      <w:pPr>
        <w:spacing w:after="0" w:line="360" w:lineRule="auto"/>
        <w:ind w:firstLine="1440"/>
        <w:rPr>
          <w:rFonts w:ascii="Times New Roman" w:eastAsia="Calibri" w:hAnsi="Times New Roman" w:cs="Times New Roman"/>
          <w:sz w:val="26"/>
          <w:szCs w:val="26"/>
        </w:rPr>
      </w:pPr>
      <w:r w:rsidRPr="002B62FB">
        <w:rPr>
          <w:rFonts w:ascii="Times New Roman" w:eastAsia="Calibri" w:hAnsi="Times New Roman" w:cs="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utility, </w:t>
      </w:r>
      <w:r w:rsidR="00E67CF1">
        <w:rPr>
          <w:rFonts w:ascii="Times New Roman" w:eastAsia="Calibri" w:hAnsi="Times New Roman" w:cs="Times New Roman"/>
          <w:sz w:val="26"/>
          <w:szCs w:val="26"/>
        </w:rPr>
        <w:t>PECO</w:t>
      </w:r>
      <w:r w:rsidRPr="002B62FB">
        <w:rPr>
          <w:rFonts w:ascii="Times New Roman" w:eastAsia="Calibri" w:hAnsi="Times New Roman" w:cs="Times New Roman"/>
          <w:sz w:val="26"/>
          <w:szCs w:val="26"/>
        </w:rPr>
        <w:t xml:space="preserve">, is responsible or accountable for the problem described in the Complaint.  </w:t>
      </w:r>
      <w:r w:rsidRPr="002B62FB">
        <w:rPr>
          <w:rFonts w:ascii="Times New Roman" w:eastAsia="Calibri" w:hAnsi="Times New Roman" w:cs="Times New Roman"/>
          <w:i/>
          <w:sz w:val="26"/>
          <w:szCs w:val="26"/>
        </w:rPr>
        <w:t>Patterson v. The Bell Telephone Company of Pennsylvania</w:t>
      </w:r>
      <w:r w:rsidRPr="002B62FB">
        <w:rPr>
          <w:rFonts w:ascii="Times New Roman" w:eastAsia="Calibri" w:hAnsi="Times New Roman" w:cs="Times New Roman"/>
          <w:sz w:val="26"/>
          <w:szCs w:val="26"/>
        </w:rPr>
        <w:t xml:space="preserve">, 72 Pa. P.U.C. 196 (1990).  Such a showing must be by a preponderance of the evidence.  </w:t>
      </w:r>
      <w:r w:rsidRPr="002B62FB">
        <w:rPr>
          <w:rFonts w:ascii="Times New Roman" w:eastAsia="Calibri" w:hAnsi="Times New Roman" w:cs="Times New Roman"/>
          <w:i/>
          <w:iCs/>
          <w:sz w:val="26"/>
          <w:szCs w:val="26"/>
        </w:rPr>
        <w:t>Samuel J. Lansberry, Inc. v. Pa. P</w:t>
      </w:r>
      <w:r w:rsidR="00F112FD">
        <w:rPr>
          <w:rFonts w:ascii="Times New Roman" w:eastAsia="Calibri" w:hAnsi="Times New Roman" w:cs="Times New Roman"/>
          <w:i/>
          <w:iCs/>
          <w:sz w:val="26"/>
          <w:szCs w:val="26"/>
        </w:rPr>
        <w:t xml:space="preserve">ublic </w:t>
      </w:r>
      <w:r w:rsidRPr="002B62FB">
        <w:rPr>
          <w:rFonts w:ascii="Times New Roman" w:eastAsia="Calibri" w:hAnsi="Times New Roman" w:cs="Times New Roman"/>
          <w:i/>
          <w:iCs/>
          <w:sz w:val="26"/>
          <w:szCs w:val="26"/>
        </w:rPr>
        <w:t>U</w:t>
      </w:r>
      <w:r w:rsidR="00F112FD">
        <w:rPr>
          <w:rFonts w:ascii="Times New Roman" w:eastAsia="Calibri" w:hAnsi="Times New Roman" w:cs="Times New Roman"/>
          <w:i/>
          <w:iCs/>
          <w:sz w:val="26"/>
          <w:szCs w:val="26"/>
        </w:rPr>
        <w:t xml:space="preserve">til. </w:t>
      </w:r>
      <w:r w:rsidRPr="002B62FB">
        <w:rPr>
          <w:rFonts w:ascii="Times New Roman" w:eastAsia="Calibri" w:hAnsi="Times New Roman" w:cs="Times New Roman"/>
          <w:i/>
          <w:iCs/>
          <w:sz w:val="26"/>
          <w:szCs w:val="26"/>
        </w:rPr>
        <w:t>C</w:t>
      </w:r>
      <w:r w:rsidR="00F112FD">
        <w:rPr>
          <w:rFonts w:ascii="Times New Roman" w:eastAsia="Calibri" w:hAnsi="Times New Roman" w:cs="Times New Roman"/>
          <w:i/>
          <w:iCs/>
          <w:sz w:val="26"/>
          <w:szCs w:val="26"/>
        </w:rPr>
        <w:t>omm’n</w:t>
      </w:r>
      <w:r w:rsidRPr="002B62FB">
        <w:rPr>
          <w:rFonts w:ascii="Times New Roman" w:eastAsia="Calibri" w:hAnsi="Times New Roman" w:cs="Times New Roman"/>
          <w:sz w:val="26"/>
          <w:szCs w:val="26"/>
        </w:rPr>
        <w:t xml:space="preserve">, 578 A.2d 600 (Pa. Cmwlth. 1990), </w:t>
      </w:r>
      <w:r w:rsidRPr="002B62FB">
        <w:rPr>
          <w:rFonts w:ascii="Times New Roman" w:eastAsia="Calibri" w:hAnsi="Times New Roman" w:cs="Times New Roman"/>
          <w:i/>
          <w:sz w:val="26"/>
          <w:szCs w:val="26"/>
        </w:rPr>
        <w:t>alloc. denied,</w:t>
      </w:r>
      <w:r w:rsidRPr="002B62FB">
        <w:rPr>
          <w:rFonts w:ascii="Times New Roman" w:eastAsia="Calibri" w:hAnsi="Times New Roman" w:cs="Times New Roman"/>
          <w:sz w:val="26"/>
          <w:szCs w:val="26"/>
        </w:rPr>
        <w:t xml:space="preserve"> 529 Pa. 654, 602 A.2d 863 (1992).  That is, the Complainant’s evidence must be more convincing, by even the smallest amount, than that presented by the respondent.  </w:t>
      </w:r>
      <w:r w:rsidRPr="002B62FB">
        <w:rPr>
          <w:rFonts w:ascii="Times New Roman" w:eastAsia="Calibri" w:hAnsi="Times New Roman" w:cs="Times New Roman"/>
          <w:i/>
          <w:sz w:val="26"/>
          <w:szCs w:val="26"/>
        </w:rPr>
        <w:t>Se-Ling Hosiery, Inc. v. Margulies</w:t>
      </w:r>
      <w:r w:rsidRPr="002B62FB">
        <w:rPr>
          <w:rFonts w:ascii="Times New Roman" w:eastAsia="Calibri" w:hAnsi="Times New Roman" w:cs="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B62FB">
        <w:rPr>
          <w:rFonts w:ascii="Times New Roman" w:eastAsia="Calibri" w:hAnsi="Times New Roman" w:cs="Times New Roman"/>
          <w:i/>
          <w:sz w:val="26"/>
          <w:szCs w:val="26"/>
        </w:rPr>
        <w:t>Norfolk &amp; Western Ry. Co. v. Pa. P</w:t>
      </w:r>
      <w:r w:rsidR="00F112FD">
        <w:rPr>
          <w:rFonts w:ascii="Times New Roman" w:eastAsia="Calibri" w:hAnsi="Times New Roman" w:cs="Times New Roman"/>
          <w:i/>
          <w:sz w:val="26"/>
          <w:szCs w:val="26"/>
        </w:rPr>
        <w:t xml:space="preserve">ublic </w:t>
      </w:r>
      <w:r w:rsidRPr="002B62FB">
        <w:rPr>
          <w:rFonts w:ascii="Times New Roman" w:eastAsia="Calibri" w:hAnsi="Times New Roman" w:cs="Times New Roman"/>
          <w:i/>
          <w:sz w:val="26"/>
          <w:szCs w:val="26"/>
        </w:rPr>
        <w:t>U</w:t>
      </w:r>
      <w:r w:rsidR="00F112FD">
        <w:rPr>
          <w:rFonts w:ascii="Times New Roman" w:eastAsia="Calibri" w:hAnsi="Times New Roman" w:cs="Times New Roman"/>
          <w:i/>
          <w:sz w:val="26"/>
          <w:szCs w:val="26"/>
        </w:rPr>
        <w:t xml:space="preserve">til. </w:t>
      </w:r>
      <w:r w:rsidRPr="002B62FB">
        <w:rPr>
          <w:rFonts w:ascii="Times New Roman" w:eastAsia="Calibri" w:hAnsi="Times New Roman" w:cs="Times New Roman"/>
          <w:i/>
          <w:sz w:val="26"/>
          <w:szCs w:val="26"/>
        </w:rPr>
        <w:t>C</w:t>
      </w:r>
      <w:r w:rsidR="00F112FD">
        <w:rPr>
          <w:rFonts w:ascii="Times New Roman" w:eastAsia="Calibri" w:hAnsi="Times New Roman" w:cs="Times New Roman"/>
          <w:i/>
          <w:sz w:val="26"/>
          <w:szCs w:val="26"/>
        </w:rPr>
        <w:t>omm’n</w:t>
      </w:r>
      <w:r w:rsidRPr="002B62FB">
        <w:rPr>
          <w:rFonts w:ascii="Times New Roman" w:eastAsia="Calibri" w:hAnsi="Times New Roman" w:cs="Times New Roman"/>
          <w:i/>
          <w:sz w:val="26"/>
          <w:szCs w:val="26"/>
        </w:rPr>
        <w:t xml:space="preserve">, </w:t>
      </w:r>
      <w:r w:rsidRPr="002B62FB">
        <w:rPr>
          <w:rFonts w:ascii="Times New Roman" w:eastAsia="Calibri" w:hAnsi="Times New Roman" w:cs="Times New Roman"/>
          <w:sz w:val="26"/>
          <w:szCs w:val="26"/>
        </w:rPr>
        <w:t>489 Pa. 109, 413 A.2d 1037 (1980).</w:t>
      </w:r>
    </w:p>
    <w:p w:rsidR="002B62FB" w:rsidRPr="002B62FB" w:rsidRDefault="002B62FB" w:rsidP="002B62FB">
      <w:pPr>
        <w:spacing w:after="0" w:line="360" w:lineRule="auto"/>
        <w:ind w:firstLine="720"/>
        <w:rPr>
          <w:rFonts w:ascii="Times New Roman" w:eastAsia="Calibri" w:hAnsi="Times New Roman" w:cs="Times New Roman"/>
          <w:sz w:val="26"/>
          <w:szCs w:val="26"/>
        </w:rPr>
      </w:pPr>
    </w:p>
    <w:p w:rsidR="002B62FB" w:rsidRPr="002B62FB" w:rsidRDefault="002B62FB" w:rsidP="002B62FB">
      <w:pPr>
        <w:autoSpaceDE w:val="0"/>
        <w:autoSpaceDN w:val="0"/>
        <w:adjustRightInd w:val="0"/>
        <w:spacing w:after="0" w:line="360" w:lineRule="auto"/>
        <w:ind w:firstLine="1440"/>
        <w:rPr>
          <w:rFonts w:ascii="Times New Roman" w:eastAsia="Calibri" w:hAnsi="Times New Roman" w:cs="Times New Roman"/>
          <w:sz w:val="26"/>
          <w:szCs w:val="24"/>
        </w:rPr>
      </w:pPr>
      <w:r w:rsidRPr="002B62FB">
        <w:rPr>
          <w:rFonts w:ascii="Times New Roman" w:eastAsia="Calibri" w:hAnsi="Times New Roman" w:cs="Times New Roman"/>
          <w:sz w:val="26"/>
          <w:szCs w:val="24"/>
        </w:rPr>
        <w:t xml:space="preserve">Upon the presentation by a complainant of evidence sufficient to initially satisfy the burden of proof, the burden of going forward with the evidence, sometimes called the burden of persuasion, to rebut the evidence of the complainant shifts to the </w:t>
      </w:r>
      <w:r w:rsidRPr="002B62FB">
        <w:rPr>
          <w:rFonts w:ascii="Times New Roman" w:eastAsia="Calibri" w:hAnsi="Times New Roman" w:cs="Times New Roman"/>
          <w:sz w:val="26"/>
          <w:szCs w:val="24"/>
        </w:rPr>
        <w:lastRenderedPageBreak/>
        <w:t xml:space="preserve">respondent.  If the evidence presented by the respondent is of co-equal value or “weight,” the burden of proof has not been satisfied.  The complainant now has to provide some additional evidence to rebut that of the respondent. </w:t>
      </w:r>
      <w:r w:rsidRPr="002B62FB">
        <w:rPr>
          <w:rFonts w:ascii="Times New Roman" w:eastAsia="Calibri" w:hAnsi="Times New Roman" w:cs="Times New Roman"/>
          <w:iCs/>
          <w:sz w:val="26"/>
          <w:szCs w:val="24"/>
        </w:rPr>
        <w:t xml:space="preserve"> </w:t>
      </w:r>
      <w:hyperlink r:id="rId8" w:history="1">
        <w:r w:rsidRPr="00F112FD">
          <w:rPr>
            <w:rFonts w:ascii="Times New Roman" w:eastAsia="Calibri" w:hAnsi="Times New Roman" w:cs="Times New Roman"/>
            <w:i/>
            <w:iCs/>
            <w:sz w:val="26"/>
            <w:szCs w:val="24"/>
          </w:rPr>
          <w:t>Burleson v. Pa. P</w:t>
        </w:r>
        <w:r w:rsidR="00F112FD">
          <w:rPr>
            <w:rFonts w:ascii="Times New Roman" w:eastAsia="Calibri" w:hAnsi="Times New Roman" w:cs="Times New Roman"/>
            <w:i/>
            <w:iCs/>
            <w:sz w:val="26"/>
            <w:szCs w:val="24"/>
          </w:rPr>
          <w:t xml:space="preserve">ublic </w:t>
        </w:r>
        <w:r w:rsidRPr="00F112FD">
          <w:rPr>
            <w:rFonts w:ascii="Times New Roman" w:eastAsia="Calibri" w:hAnsi="Times New Roman" w:cs="Times New Roman"/>
            <w:i/>
            <w:iCs/>
            <w:sz w:val="26"/>
            <w:szCs w:val="24"/>
          </w:rPr>
          <w:t>U</w:t>
        </w:r>
        <w:r w:rsidR="00F112FD">
          <w:rPr>
            <w:rFonts w:ascii="Times New Roman" w:eastAsia="Calibri" w:hAnsi="Times New Roman" w:cs="Times New Roman"/>
            <w:i/>
            <w:iCs/>
            <w:sz w:val="26"/>
            <w:szCs w:val="24"/>
          </w:rPr>
          <w:t xml:space="preserve">til. </w:t>
        </w:r>
        <w:r w:rsidRPr="00F112FD">
          <w:rPr>
            <w:rFonts w:ascii="Times New Roman" w:eastAsia="Calibri" w:hAnsi="Times New Roman" w:cs="Times New Roman"/>
            <w:i/>
            <w:iCs/>
            <w:sz w:val="26"/>
            <w:szCs w:val="24"/>
          </w:rPr>
          <w:t>C</w:t>
        </w:r>
        <w:r w:rsidR="00F112FD">
          <w:rPr>
            <w:rFonts w:ascii="Times New Roman" w:eastAsia="Calibri" w:hAnsi="Times New Roman" w:cs="Times New Roman"/>
            <w:i/>
            <w:iCs/>
            <w:sz w:val="26"/>
            <w:szCs w:val="24"/>
          </w:rPr>
          <w:t>omm’n</w:t>
        </w:r>
        <w:r w:rsidRPr="00F112FD">
          <w:rPr>
            <w:rFonts w:ascii="Times New Roman" w:eastAsia="Calibri" w:hAnsi="Times New Roman" w:cs="Times New Roman"/>
            <w:i/>
            <w:iCs/>
            <w:sz w:val="26"/>
            <w:szCs w:val="24"/>
          </w:rPr>
          <w:t>,</w:t>
        </w:r>
        <w:r w:rsidRPr="00F112FD">
          <w:rPr>
            <w:rFonts w:ascii="Times New Roman" w:eastAsia="Calibri" w:hAnsi="Times New Roman" w:cs="Times New Roman"/>
            <w:iCs/>
            <w:sz w:val="26"/>
            <w:szCs w:val="24"/>
          </w:rPr>
          <w:t xml:space="preserve"> 443 A.2d 1373 (Pa. Cmwlth. 1982), </w:t>
        </w:r>
        <w:r w:rsidRPr="00F112FD">
          <w:rPr>
            <w:rFonts w:ascii="Times New Roman" w:eastAsia="Calibri" w:hAnsi="Times New Roman" w:cs="Times New Roman"/>
            <w:i/>
            <w:iCs/>
            <w:sz w:val="26"/>
            <w:szCs w:val="24"/>
          </w:rPr>
          <w:t>aff’d,</w:t>
        </w:r>
        <w:r w:rsidRPr="00F112FD">
          <w:rPr>
            <w:rFonts w:ascii="Times New Roman" w:eastAsia="Calibri" w:hAnsi="Times New Roman" w:cs="Times New Roman"/>
            <w:iCs/>
            <w:sz w:val="26"/>
            <w:szCs w:val="24"/>
          </w:rPr>
          <w:t xml:space="preserve"> 501 Pa. 433, 461 A.2d 1234 (1983).</w:t>
        </w:r>
      </w:hyperlink>
      <w:r w:rsidRPr="00F112FD">
        <w:rPr>
          <w:rFonts w:ascii="Times New Roman" w:eastAsia="Calibri" w:hAnsi="Times New Roman" w:cs="Times New Roman"/>
          <w:iCs/>
          <w:sz w:val="26"/>
          <w:szCs w:val="24"/>
        </w:rPr>
        <w:t xml:space="preserve">  </w:t>
      </w:r>
      <w:r w:rsidRPr="002B62FB">
        <w:rPr>
          <w:rFonts w:ascii="Times New Roman" w:eastAsia="Calibri" w:hAnsi="Times New Roman" w:cs="Times New Roman"/>
          <w:sz w:val="26"/>
          <w:szCs w:val="24"/>
        </w:rPr>
        <w:t xml:space="preserve">While the burden of persuasion may </w:t>
      </w:r>
      <w:r w:rsidRPr="00F112FD">
        <w:rPr>
          <w:rFonts w:ascii="Times New Roman" w:eastAsia="Calibri" w:hAnsi="Times New Roman" w:cs="Times New Roman"/>
          <w:bCs/>
          <w:sz w:val="26"/>
          <w:szCs w:val="24"/>
        </w:rPr>
        <w:t>shift</w:t>
      </w:r>
      <w:r w:rsidRPr="002B62FB">
        <w:rPr>
          <w:rFonts w:ascii="Times New Roman" w:eastAsia="Calibri" w:hAnsi="Times New Roman" w:cs="Times New Roman"/>
          <w:sz w:val="26"/>
          <w:szCs w:val="24"/>
        </w:rPr>
        <w:t xml:space="preserve"> back and forth during a proceeding, the </w:t>
      </w:r>
      <w:r w:rsidRPr="00F112FD">
        <w:rPr>
          <w:rFonts w:ascii="Times New Roman" w:eastAsia="Calibri" w:hAnsi="Times New Roman" w:cs="Times New Roman"/>
          <w:bCs/>
          <w:sz w:val="26"/>
          <w:szCs w:val="24"/>
        </w:rPr>
        <w:t>burden of proof</w:t>
      </w:r>
      <w:r w:rsidRPr="002B62FB">
        <w:rPr>
          <w:rFonts w:ascii="Times New Roman" w:eastAsia="Calibri" w:hAnsi="Times New Roman" w:cs="Times New Roman"/>
          <w:sz w:val="26"/>
          <w:szCs w:val="24"/>
        </w:rPr>
        <w:t xml:space="preserve"> never </w:t>
      </w:r>
      <w:r w:rsidRPr="00F112FD">
        <w:rPr>
          <w:rFonts w:ascii="Times New Roman" w:eastAsia="Calibri" w:hAnsi="Times New Roman" w:cs="Times New Roman"/>
          <w:bCs/>
          <w:sz w:val="26"/>
          <w:szCs w:val="24"/>
        </w:rPr>
        <w:t>shifts.  The burden of proof</w:t>
      </w:r>
      <w:r w:rsidRPr="002B62FB">
        <w:rPr>
          <w:rFonts w:ascii="Times New Roman" w:eastAsia="Calibri" w:hAnsi="Times New Roman" w:cs="Times New Roman"/>
          <w:sz w:val="26"/>
          <w:szCs w:val="24"/>
        </w:rPr>
        <w:t xml:space="preserve"> always remains on the party seeking affirmative relief from the Commission.  </w:t>
      </w:r>
      <w:r w:rsidRPr="002B62FB">
        <w:rPr>
          <w:rFonts w:ascii="Times New Roman" w:eastAsia="Calibri" w:hAnsi="Times New Roman" w:cs="Times New Roman"/>
          <w:i/>
          <w:sz w:val="26"/>
          <w:szCs w:val="24"/>
        </w:rPr>
        <w:t>Milkie v. Pa. P</w:t>
      </w:r>
      <w:r w:rsidR="00F112FD">
        <w:rPr>
          <w:rFonts w:ascii="Times New Roman" w:eastAsia="Calibri" w:hAnsi="Times New Roman" w:cs="Times New Roman"/>
          <w:i/>
          <w:sz w:val="26"/>
          <w:szCs w:val="24"/>
        </w:rPr>
        <w:t xml:space="preserve">ublic </w:t>
      </w:r>
      <w:r w:rsidRPr="002B62FB">
        <w:rPr>
          <w:rFonts w:ascii="Times New Roman" w:eastAsia="Calibri" w:hAnsi="Times New Roman" w:cs="Times New Roman"/>
          <w:i/>
          <w:sz w:val="26"/>
          <w:szCs w:val="24"/>
        </w:rPr>
        <w:t>U</w:t>
      </w:r>
      <w:r w:rsidR="00F112FD">
        <w:rPr>
          <w:rFonts w:ascii="Times New Roman" w:eastAsia="Calibri" w:hAnsi="Times New Roman" w:cs="Times New Roman"/>
          <w:i/>
          <w:sz w:val="26"/>
          <w:szCs w:val="24"/>
        </w:rPr>
        <w:t xml:space="preserve">til. </w:t>
      </w:r>
      <w:r w:rsidRPr="002B62FB">
        <w:rPr>
          <w:rFonts w:ascii="Times New Roman" w:eastAsia="Calibri" w:hAnsi="Times New Roman" w:cs="Times New Roman"/>
          <w:i/>
          <w:sz w:val="26"/>
          <w:szCs w:val="24"/>
        </w:rPr>
        <w:t>C</w:t>
      </w:r>
      <w:r w:rsidR="00F112FD">
        <w:rPr>
          <w:rFonts w:ascii="Times New Roman" w:eastAsia="Calibri" w:hAnsi="Times New Roman" w:cs="Times New Roman"/>
          <w:i/>
          <w:sz w:val="26"/>
          <w:szCs w:val="24"/>
        </w:rPr>
        <w:t>omm’n</w:t>
      </w:r>
      <w:r w:rsidRPr="002B62FB">
        <w:rPr>
          <w:rFonts w:ascii="Times New Roman" w:eastAsia="Calibri" w:hAnsi="Times New Roman" w:cs="Times New Roman"/>
          <w:i/>
          <w:sz w:val="26"/>
          <w:szCs w:val="24"/>
        </w:rPr>
        <w:t xml:space="preserve">, </w:t>
      </w:r>
      <w:r w:rsidRPr="002B62FB">
        <w:rPr>
          <w:rFonts w:ascii="Times New Roman" w:eastAsia="Calibri" w:hAnsi="Times New Roman" w:cs="Times New Roman"/>
          <w:sz w:val="26"/>
          <w:szCs w:val="24"/>
        </w:rPr>
        <w:t>768 A.2d 1217 (Pa. Cmwlth. 2001).</w:t>
      </w:r>
    </w:p>
    <w:p w:rsidR="002B62FB" w:rsidRPr="002B62FB" w:rsidRDefault="002B62FB" w:rsidP="002B62FB">
      <w:pPr>
        <w:autoSpaceDE w:val="0"/>
        <w:autoSpaceDN w:val="0"/>
        <w:adjustRightInd w:val="0"/>
        <w:spacing w:after="0" w:line="360" w:lineRule="auto"/>
        <w:ind w:firstLine="1440"/>
        <w:rPr>
          <w:rFonts w:ascii="Times New Roman" w:eastAsia="Calibri" w:hAnsi="Times New Roman" w:cs="Times New Roman"/>
          <w:sz w:val="26"/>
          <w:szCs w:val="24"/>
        </w:rPr>
      </w:pPr>
    </w:p>
    <w:p w:rsidR="002B62FB" w:rsidRDefault="002B62FB" w:rsidP="002B62FB">
      <w:pPr>
        <w:keepNext/>
        <w:keepLines/>
        <w:spacing w:after="0" w:line="360" w:lineRule="auto"/>
        <w:rPr>
          <w:rFonts w:ascii="Times New Roman" w:eastAsia="Calibri" w:hAnsi="Times New Roman" w:cs="Times New Roman"/>
          <w:b/>
          <w:sz w:val="26"/>
          <w:szCs w:val="26"/>
        </w:rPr>
      </w:pPr>
      <w:r w:rsidRPr="002B62FB">
        <w:rPr>
          <w:rFonts w:ascii="Times New Roman" w:eastAsia="Calibri" w:hAnsi="Times New Roman" w:cs="Times New Roman"/>
          <w:b/>
          <w:sz w:val="26"/>
          <w:szCs w:val="26"/>
        </w:rPr>
        <w:t>ALJ’s Initial Decision</w:t>
      </w:r>
    </w:p>
    <w:p w:rsidR="002666F7" w:rsidRPr="002B62FB" w:rsidRDefault="002666F7" w:rsidP="002B62FB">
      <w:pPr>
        <w:keepNext/>
        <w:keepLines/>
        <w:spacing w:after="0" w:line="360" w:lineRule="auto"/>
        <w:rPr>
          <w:rFonts w:ascii="Times New Roman" w:eastAsia="Calibri" w:hAnsi="Times New Roman" w:cs="Times New Roman"/>
          <w:b/>
          <w:sz w:val="26"/>
          <w:szCs w:val="26"/>
        </w:rPr>
      </w:pPr>
    </w:p>
    <w:p w:rsidR="002666F7" w:rsidRDefault="002666F7" w:rsidP="003618D0">
      <w:pPr>
        <w:pStyle w:val="BodyTextIndent"/>
        <w:spacing w:after="0"/>
        <w:rPr>
          <w:color w:val="auto"/>
        </w:rPr>
      </w:pPr>
      <w:r>
        <w:rPr>
          <w:color w:val="auto"/>
        </w:rPr>
        <w:t>In her Initial Decision, ALJ Vero made eleven Findings of Fact and reached five Conclusions of Law.  I.D. at 3-4; 7-8.  The Findings of Fact and Conclusions of Law are incorporated herein by reference and are adopted without comment unless they are either expressly or by necessary implication rejected or modified by this Opinion and Order.</w:t>
      </w:r>
    </w:p>
    <w:p w:rsidR="002666F7" w:rsidRDefault="002666F7" w:rsidP="003618D0">
      <w:pPr>
        <w:pStyle w:val="BodyTextIndent"/>
        <w:spacing w:after="0"/>
        <w:rPr>
          <w:color w:val="auto"/>
        </w:rPr>
      </w:pPr>
    </w:p>
    <w:p w:rsidR="005F3E7E" w:rsidRDefault="00A93875" w:rsidP="003618D0">
      <w:pPr>
        <w:pStyle w:val="BodyTextIndent"/>
        <w:spacing w:after="0"/>
        <w:rPr>
          <w:color w:val="auto"/>
        </w:rPr>
      </w:pPr>
      <w:r>
        <w:rPr>
          <w:color w:val="auto"/>
        </w:rPr>
        <w:t xml:space="preserve">The ALJ determined that Ms. Wallace failed to prove that she could receive a second Commission-issued payment arrangement.  The ALJ noted that on August 24, 2012, the Complainant filed an informal Complaint with the Bureau of Consumer Services </w:t>
      </w:r>
      <w:r w:rsidR="005B16F2">
        <w:rPr>
          <w:color w:val="auto"/>
        </w:rPr>
        <w:t>(BCS)</w:t>
      </w:r>
      <w:r w:rsidR="005F3E7E">
        <w:rPr>
          <w:color w:val="auto"/>
        </w:rPr>
        <w:t>.  I.D. at 6.  On August 29, 2012, BCS issued a decision on in which it found that the Complainant was Level 1 income customer with a household income of $2,774 per month for household of two adults and two children.  I.D. at 6.  The BCS established payment arrangement required the Complainant to pay a special budget amount of $144 per month, consisting of the regular budget amount of $126 per month plus $18 towards the arrears.  I.D. at 6; PECO Exhibit 6.</w:t>
      </w:r>
    </w:p>
    <w:p w:rsidR="008D6FCC" w:rsidRDefault="008D6FCC" w:rsidP="003618D0">
      <w:pPr>
        <w:pStyle w:val="BodyTextIndent"/>
        <w:spacing w:after="0"/>
        <w:rPr>
          <w:color w:val="auto"/>
        </w:rPr>
      </w:pPr>
    </w:p>
    <w:p w:rsidR="005F3E7E" w:rsidRDefault="005F3E7E" w:rsidP="00FF751D">
      <w:pPr>
        <w:pStyle w:val="BodyTextIndent"/>
        <w:keepNext/>
        <w:keepLines/>
        <w:spacing w:after="0"/>
        <w:rPr>
          <w:color w:val="auto"/>
        </w:rPr>
      </w:pPr>
      <w:r>
        <w:rPr>
          <w:color w:val="auto"/>
        </w:rPr>
        <w:lastRenderedPageBreak/>
        <w:t>On July 8, 2013, the Complainant defaulted on this Commission-issued payment arrangement.  I.D. at 6; Tr. 15, 18; PECO Exhibit 3.  The Complainant’s outstanding balance as of the date of the hearing was $4,762.53.  I.D. at 6; Tr. 17; PECO Exhibit 7.</w:t>
      </w:r>
    </w:p>
    <w:p w:rsidR="005F3E7E" w:rsidRDefault="005F3E7E" w:rsidP="003618D0">
      <w:pPr>
        <w:pStyle w:val="BodyTextIndent"/>
        <w:spacing w:after="0"/>
        <w:rPr>
          <w:color w:val="auto"/>
        </w:rPr>
      </w:pPr>
    </w:p>
    <w:p w:rsidR="00AC4239" w:rsidRPr="00AC4239" w:rsidRDefault="00AC4239" w:rsidP="00084BE4">
      <w:pPr>
        <w:pStyle w:val="BodyTextIndent"/>
        <w:keepNext/>
        <w:keepLines/>
        <w:spacing w:after="0"/>
        <w:ind w:firstLine="0"/>
        <w:rPr>
          <w:b/>
          <w:color w:val="auto"/>
        </w:rPr>
      </w:pPr>
      <w:r w:rsidRPr="00AC4239">
        <w:rPr>
          <w:b/>
          <w:color w:val="auto"/>
        </w:rPr>
        <w:t>Exception</w:t>
      </w:r>
    </w:p>
    <w:p w:rsidR="00AC4239" w:rsidRDefault="00AC4239" w:rsidP="00084BE4">
      <w:pPr>
        <w:pStyle w:val="BodyTextIndent"/>
        <w:keepNext/>
        <w:keepLines/>
        <w:spacing w:after="0"/>
        <w:ind w:firstLine="0"/>
        <w:rPr>
          <w:color w:val="auto"/>
        </w:rPr>
      </w:pPr>
    </w:p>
    <w:p w:rsidR="005E4CC4" w:rsidRDefault="00B016B3" w:rsidP="00AC4239">
      <w:pPr>
        <w:pStyle w:val="BodyTextIndent"/>
        <w:spacing w:after="0"/>
        <w:rPr>
          <w:color w:val="auto"/>
        </w:rPr>
      </w:pPr>
      <w:r>
        <w:rPr>
          <w:color w:val="auto"/>
        </w:rPr>
        <w:t xml:space="preserve">On </w:t>
      </w:r>
      <w:r w:rsidR="005E4CC4">
        <w:rPr>
          <w:color w:val="auto"/>
        </w:rPr>
        <w:t>November 20, 2017, Ms. Wallace filed one Exception in which she inquired why the payment arrangement</w:t>
      </w:r>
      <w:r w:rsidR="00D86AB5">
        <w:rPr>
          <w:color w:val="auto"/>
        </w:rPr>
        <w:t xml:space="preserve"> which </w:t>
      </w:r>
      <w:r w:rsidR="00FF751D">
        <w:rPr>
          <w:color w:val="auto"/>
        </w:rPr>
        <w:t xml:space="preserve">had been agreed upon </w:t>
      </w:r>
      <w:r w:rsidR="00D86AB5">
        <w:rPr>
          <w:color w:val="auto"/>
        </w:rPr>
        <w:t xml:space="preserve">to settle the Complaint </w:t>
      </w:r>
      <w:r w:rsidR="00FF751D">
        <w:rPr>
          <w:color w:val="auto"/>
        </w:rPr>
        <w:t xml:space="preserve">by </w:t>
      </w:r>
      <w:r w:rsidR="005E4CC4">
        <w:rPr>
          <w:color w:val="auto"/>
        </w:rPr>
        <w:t>all the parties</w:t>
      </w:r>
      <w:r w:rsidR="00FF751D">
        <w:rPr>
          <w:color w:val="auto"/>
        </w:rPr>
        <w:t xml:space="preserve"> and the ALJ</w:t>
      </w:r>
      <w:r w:rsidR="005E4CC4">
        <w:rPr>
          <w:color w:val="auto"/>
        </w:rPr>
        <w:t xml:space="preserve"> was not being honored.</w:t>
      </w:r>
    </w:p>
    <w:p w:rsidR="005E4CC4" w:rsidRDefault="005E4CC4" w:rsidP="00AC4239">
      <w:pPr>
        <w:pStyle w:val="BodyTextIndent"/>
        <w:spacing w:after="0"/>
        <w:rPr>
          <w:color w:val="auto"/>
        </w:rPr>
      </w:pPr>
    </w:p>
    <w:p w:rsidR="004A27A5" w:rsidRDefault="005E4CC4" w:rsidP="00E67CF1">
      <w:pPr>
        <w:pStyle w:val="BodyTextIndent"/>
        <w:spacing w:after="0"/>
        <w:rPr>
          <w:color w:val="auto"/>
        </w:rPr>
      </w:pPr>
      <w:r>
        <w:rPr>
          <w:color w:val="auto"/>
        </w:rPr>
        <w:t xml:space="preserve">On December 1, 2017, PECO filed a Reply to Exception.  PECO alleges that </w:t>
      </w:r>
      <w:r w:rsidR="00181A5C">
        <w:rPr>
          <w:color w:val="auto"/>
        </w:rPr>
        <w:t xml:space="preserve">ALJ’s Vero Initial Decision should be upheld and </w:t>
      </w:r>
      <w:r>
        <w:rPr>
          <w:color w:val="auto"/>
        </w:rPr>
        <w:t xml:space="preserve">the Complainant’s Exception should be denied </w:t>
      </w:r>
      <w:r w:rsidR="00181A5C">
        <w:rPr>
          <w:color w:val="auto"/>
        </w:rPr>
        <w:t xml:space="preserve">for several reasons.  First, </w:t>
      </w:r>
      <w:r>
        <w:rPr>
          <w:color w:val="auto"/>
        </w:rPr>
        <w:t xml:space="preserve">the Complainant offered no documents as proof that there was a payment agreement.  </w:t>
      </w:r>
      <w:r w:rsidR="00181A5C">
        <w:rPr>
          <w:color w:val="auto"/>
        </w:rPr>
        <w:t>Second,</w:t>
      </w:r>
      <w:r>
        <w:rPr>
          <w:color w:val="auto"/>
        </w:rPr>
        <w:t xml:space="preserve"> there is nothing in the he</w:t>
      </w:r>
      <w:r w:rsidR="00181A5C">
        <w:rPr>
          <w:color w:val="auto"/>
        </w:rPr>
        <w:t>a</w:t>
      </w:r>
      <w:r>
        <w:rPr>
          <w:color w:val="auto"/>
        </w:rPr>
        <w:t xml:space="preserve">ring transcript to reflect any conversation or settlement discussions </w:t>
      </w:r>
      <w:r w:rsidR="00181A5C">
        <w:rPr>
          <w:color w:val="auto"/>
        </w:rPr>
        <w:t xml:space="preserve">let alone a payment agreement.  Third, </w:t>
      </w:r>
      <w:r>
        <w:rPr>
          <w:color w:val="auto"/>
        </w:rPr>
        <w:t>the Complainant defaulted on two previous company</w:t>
      </w:r>
      <w:r w:rsidR="00365979">
        <w:rPr>
          <w:color w:val="auto"/>
        </w:rPr>
        <w:t>-</w:t>
      </w:r>
      <w:r>
        <w:rPr>
          <w:color w:val="auto"/>
        </w:rPr>
        <w:t>issued payment agreements</w:t>
      </w:r>
      <w:r w:rsidR="00B95F35">
        <w:rPr>
          <w:color w:val="auto"/>
        </w:rPr>
        <w:t xml:space="preserve">. </w:t>
      </w:r>
      <w:r w:rsidR="00181A5C">
        <w:rPr>
          <w:color w:val="auto"/>
        </w:rPr>
        <w:t xml:space="preserve"> </w:t>
      </w:r>
      <w:r w:rsidR="00181A5C" w:rsidRPr="00181A5C">
        <w:rPr>
          <w:i/>
          <w:color w:val="auto"/>
        </w:rPr>
        <w:t>See</w:t>
      </w:r>
      <w:r w:rsidRPr="00181A5C">
        <w:rPr>
          <w:i/>
          <w:color w:val="auto"/>
        </w:rPr>
        <w:t xml:space="preserve"> </w:t>
      </w:r>
      <w:r w:rsidRPr="00365979">
        <w:rPr>
          <w:color w:val="auto"/>
        </w:rPr>
        <w:t>P</w:t>
      </w:r>
      <w:r>
        <w:rPr>
          <w:color w:val="auto"/>
        </w:rPr>
        <w:t>ECO Ex. 3</w:t>
      </w:r>
      <w:r w:rsidR="00181A5C">
        <w:rPr>
          <w:color w:val="auto"/>
        </w:rPr>
        <w:t xml:space="preserve">.  </w:t>
      </w:r>
      <w:r w:rsidR="00F90A2D">
        <w:rPr>
          <w:color w:val="auto"/>
        </w:rPr>
        <w:t>Fourth, t</w:t>
      </w:r>
      <w:r w:rsidR="00181A5C">
        <w:rPr>
          <w:color w:val="auto"/>
        </w:rPr>
        <w:t>he Complainant also defaulted on a prior Commission payment agreement on July 8, 2013</w:t>
      </w:r>
      <w:r w:rsidR="009E23AB">
        <w:rPr>
          <w:color w:val="auto"/>
        </w:rPr>
        <w:t>.</w:t>
      </w:r>
      <w:r>
        <w:rPr>
          <w:color w:val="auto"/>
        </w:rPr>
        <w:t xml:space="preserve"> </w:t>
      </w:r>
      <w:r w:rsidR="00181A5C">
        <w:rPr>
          <w:color w:val="auto"/>
        </w:rPr>
        <w:t xml:space="preserve"> </w:t>
      </w:r>
      <w:r w:rsidR="00F90A2D">
        <w:rPr>
          <w:color w:val="auto"/>
        </w:rPr>
        <w:t>F</w:t>
      </w:r>
      <w:r w:rsidR="00E67CF1">
        <w:rPr>
          <w:color w:val="auto"/>
        </w:rPr>
        <w:t>ifth</w:t>
      </w:r>
      <w:r w:rsidR="00F90A2D">
        <w:rPr>
          <w:color w:val="auto"/>
        </w:rPr>
        <w:t xml:space="preserve">, </w:t>
      </w:r>
      <w:r w:rsidR="00181A5C">
        <w:rPr>
          <w:color w:val="auto"/>
        </w:rPr>
        <w:t>the Complainant does not qualify for another payment agreement because she has not experienced a decrease income but rather an increase in household income.</w:t>
      </w:r>
      <w:r w:rsidR="00181A5C">
        <w:rPr>
          <w:rStyle w:val="FootnoteReference"/>
          <w:color w:val="auto"/>
        </w:rPr>
        <w:footnoteReference w:id="1"/>
      </w:r>
      <w:r w:rsidR="00181A5C">
        <w:rPr>
          <w:color w:val="auto"/>
        </w:rPr>
        <w:t xml:space="preserve">  F</w:t>
      </w:r>
      <w:r w:rsidR="00E67CF1">
        <w:rPr>
          <w:color w:val="auto"/>
        </w:rPr>
        <w:t xml:space="preserve">inally, </w:t>
      </w:r>
      <w:r w:rsidR="00181A5C">
        <w:rPr>
          <w:color w:val="auto"/>
        </w:rPr>
        <w:t>the Complainant had no significant change in circumstance</w:t>
      </w:r>
      <w:r w:rsidR="00E67CF1">
        <w:rPr>
          <w:color w:val="auto"/>
        </w:rPr>
        <w:t xml:space="preserve"> and therefore the Commission cannot provide another Commiss</w:t>
      </w:r>
      <w:r w:rsidR="009E0132">
        <w:rPr>
          <w:color w:val="auto"/>
        </w:rPr>
        <w:t>i</w:t>
      </w:r>
      <w:r w:rsidR="00E67CF1">
        <w:rPr>
          <w:color w:val="auto"/>
        </w:rPr>
        <w:t>on issued payment arrangement.</w:t>
      </w:r>
    </w:p>
    <w:p w:rsidR="00463F20" w:rsidRPr="008B2E92" w:rsidRDefault="00463F20" w:rsidP="00E67CF1">
      <w:pPr>
        <w:pStyle w:val="BodyTextIndent"/>
        <w:spacing w:after="0"/>
      </w:pPr>
    </w:p>
    <w:p w:rsidR="00F44833" w:rsidRPr="008B2E92" w:rsidRDefault="00463F20" w:rsidP="00463F20">
      <w:pPr>
        <w:keepNext/>
        <w:tabs>
          <w:tab w:val="center" w:pos="720"/>
        </w:tabs>
        <w:suppressAutoHyphen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Disposition</w:t>
      </w:r>
    </w:p>
    <w:p w:rsidR="00F44833" w:rsidRPr="008B2E92" w:rsidRDefault="00F44833" w:rsidP="00F44833">
      <w:pPr>
        <w:keepNext/>
        <w:tabs>
          <w:tab w:val="center" w:pos="720"/>
        </w:tabs>
        <w:suppressAutoHyphens/>
        <w:spacing w:after="0" w:line="360" w:lineRule="auto"/>
        <w:rPr>
          <w:rFonts w:ascii="Times New Roman" w:eastAsia="Times New Roman" w:hAnsi="Times New Roman" w:cs="Times New Roman"/>
          <w:sz w:val="26"/>
          <w:szCs w:val="26"/>
        </w:rPr>
      </w:pPr>
    </w:p>
    <w:p w:rsidR="00F44833" w:rsidRDefault="00F44833" w:rsidP="00F44833">
      <w:pPr>
        <w:tabs>
          <w:tab w:val="center" w:pos="720"/>
        </w:tabs>
        <w:suppressAutoHyphens/>
        <w:spacing w:after="0" w:line="36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Pr="008B2E92">
        <w:rPr>
          <w:rFonts w:ascii="Times New Roman" w:eastAsia="Times New Roman" w:hAnsi="Times New Roman" w:cs="Times New Roman"/>
          <w:sz w:val="26"/>
          <w:szCs w:val="26"/>
        </w:rPr>
        <w:tab/>
      </w:r>
      <w:r w:rsidR="007F5F5A">
        <w:rPr>
          <w:rFonts w:ascii="Times New Roman" w:eastAsia="Times New Roman" w:hAnsi="Times New Roman" w:cs="Times New Roman"/>
          <w:sz w:val="26"/>
          <w:szCs w:val="26"/>
        </w:rPr>
        <w:t xml:space="preserve">Based on our review and analysis of the evidence of record, we </w:t>
      </w:r>
      <w:r w:rsidR="00EA2252">
        <w:rPr>
          <w:rFonts w:ascii="Times New Roman" w:eastAsia="Times New Roman" w:hAnsi="Times New Roman" w:cs="Times New Roman"/>
          <w:sz w:val="26"/>
          <w:szCs w:val="26"/>
        </w:rPr>
        <w:t>concur</w:t>
      </w:r>
      <w:r w:rsidR="007F5F5A">
        <w:rPr>
          <w:rFonts w:ascii="Times New Roman" w:eastAsia="Times New Roman" w:hAnsi="Times New Roman" w:cs="Times New Roman"/>
          <w:sz w:val="26"/>
          <w:szCs w:val="26"/>
        </w:rPr>
        <w:t xml:space="preserve"> with the ALJ’s Initial Decision and conclude that the Complainant’s Exception lacks merit.  We find that P</w:t>
      </w:r>
      <w:r w:rsidR="00735C36">
        <w:rPr>
          <w:rFonts w:ascii="Times New Roman" w:eastAsia="Times New Roman" w:hAnsi="Times New Roman" w:cs="Times New Roman"/>
          <w:sz w:val="26"/>
          <w:szCs w:val="26"/>
        </w:rPr>
        <w:t>E</w:t>
      </w:r>
      <w:r w:rsidR="007F5F5A">
        <w:rPr>
          <w:rFonts w:ascii="Times New Roman" w:eastAsia="Times New Roman" w:hAnsi="Times New Roman" w:cs="Times New Roman"/>
          <w:sz w:val="26"/>
          <w:szCs w:val="26"/>
        </w:rPr>
        <w:t>CO has demonstrated adequately that the Complainant ha</w:t>
      </w:r>
      <w:r w:rsidR="006D016B">
        <w:rPr>
          <w:rFonts w:ascii="Times New Roman" w:eastAsia="Times New Roman" w:hAnsi="Times New Roman" w:cs="Times New Roman"/>
          <w:sz w:val="26"/>
          <w:szCs w:val="26"/>
        </w:rPr>
        <w:t>d</w:t>
      </w:r>
      <w:r w:rsidR="007F5F5A">
        <w:rPr>
          <w:rFonts w:ascii="Times New Roman" w:eastAsia="Times New Roman" w:hAnsi="Times New Roman" w:cs="Times New Roman"/>
          <w:sz w:val="26"/>
          <w:szCs w:val="26"/>
        </w:rPr>
        <w:t xml:space="preserve"> a history of defaulting on two prior company</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issued payment agreements and one Commission</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issued payment agreement</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 xml:space="preserve"> and </w:t>
      </w:r>
      <w:r w:rsidR="006D016B">
        <w:rPr>
          <w:rFonts w:ascii="Times New Roman" w:eastAsia="Times New Roman" w:hAnsi="Times New Roman" w:cs="Times New Roman"/>
          <w:sz w:val="26"/>
          <w:szCs w:val="26"/>
        </w:rPr>
        <w:t xml:space="preserve">she </w:t>
      </w:r>
      <w:r w:rsidR="007F5F5A">
        <w:rPr>
          <w:rFonts w:ascii="Times New Roman" w:eastAsia="Times New Roman" w:hAnsi="Times New Roman" w:cs="Times New Roman"/>
          <w:sz w:val="26"/>
          <w:szCs w:val="26"/>
        </w:rPr>
        <w:t xml:space="preserve">has failed to satisfy her burden of proof that she qualifies for </w:t>
      </w:r>
      <w:r w:rsidR="006D016B">
        <w:rPr>
          <w:rFonts w:ascii="Times New Roman" w:eastAsia="Times New Roman" w:hAnsi="Times New Roman" w:cs="Times New Roman"/>
          <w:sz w:val="26"/>
          <w:szCs w:val="26"/>
        </w:rPr>
        <w:t xml:space="preserve">a second </w:t>
      </w:r>
      <w:r w:rsidR="007F5F5A">
        <w:rPr>
          <w:rFonts w:ascii="Times New Roman" w:eastAsia="Times New Roman" w:hAnsi="Times New Roman" w:cs="Times New Roman"/>
          <w:sz w:val="26"/>
          <w:szCs w:val="26"/>
        </w:rPr>
        <w:t>Commission</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issue</w:t>
      </w:r>
      <w:r w:rsidR="006D016B">
        <w:rPr>
          <w:rFonts w:ascii="Times New Roman" w:eastAsia="Times New Roman" w:hAnsi="Times New Roman" w:cs="Times New Roman"/>
          <w:sz w:val="26"/>
          <w:szCs w:val="26"/>
        </w:rPr>
        <w:t>d</w:t>
      </w:r>
      <w:r w:rsidR="007F5F5A">
        <w:rPr>
          <w:rFonts w:ascii="Times New Roman" w:eastAsia="Times New Roman" w:hAnsi="Times New Roman" w:cs="Times New Roman"/>
          <w:sz w:val="26"/>
          <w:szCs w:val="26"/>
        </w:rPr>
        <w:t xml:space="preserve"> payment agreement.  As the evidence of record illustrates, the Complainant has a history of defaulting on payment agreements whether they were company</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issued or Commission</w:t>
      </w:r>
      <w:r w:rsidR="006D016B">
        <w:rPr>
          <w:rFonts w:ascii="Times New Roman" w:eastAsia="Times New Roman" w:hAnsi="Times New Roman" w:cs="Times New Roman"/>
          <w:sz w:val="26"/>
          <w:szCs w:val="26"/>
        </w:rPr>
        <w:t>-</w:t>
      </w:r>
      <w:r w:rsidR="007F5F5A">
        <w:rPr>
          <w:rFonts w:ascii="Times New Roman" w:eastAsia="Times New Roman" w:hAnsi="Times New Roman" w:cs="Times New Roman"/>
          <w:sz w:val="26"/>
          <w:szCs w:val="26"/>
        </w:rPr>
        <w:t xml:space="preserve">issued.  We further find that the evidence of record </w:t>
      </w:r>
      <w:r w:rsidR="00C66BFF">
        <w:rPr>
          <w:rFonts w:ascii="Times New Roman" w:eastAsia="Times New Roman" w:hAnsi="Times New Roman" w:cs="Times New Roman"/>
          <w:sz w:val="26"/>
          <w:szCs w:val="26"/>
        </w:rPr>
        <w:t xml:space="preserve">demonstrates that the Complainant does not qualify for a second Commission payment agreement under Section 1405(d) of the Code, 66 Pa. Code § 1405(d) </w:t>
      </w:r>
      <w:r w:rsidR="006D016B">
        <w:rPr>
          <w:rFonts w:ascii="Times New Roman" w:eastAsia="Times New Roman" w:hAnsi="Times New Roman" w:cs="Times New Roman"/>
          <w:sz w:val="26"/>
          <w:szCs w:val="26"/>
        </w:rPr>
        <w:t xml:space="preserve">because </w:t>
      </w:r>
      <w:r w:rsidR="00C66BFF">
        <w:rPr>
          <w:rFonts w:ascii="Times New Roman" w:eastAsia="Times New Roman" w:hAnsi="Times New Roman" w:cs="Times New Roman"/>
          <w:sz w:val="26"/>
          <w:szCs w:val="26"/>
        </w:rPr>
        <w:t xml:space="preserve">she has experienced an increase in the gross household income.  </w:t>
      </w:r>
      <w:r w:rsidR="0078372B">
        <w:rPr>
          <w:rFonts w:ascii="Times New Roman" w:eastAsia="Times New Roman" w:hAnsi="Times New Roman" w:cs="Times New Roman"/>
          <w:sz w:val="26"/>
          <w:szCs w:val="26"/>
        </w:rPr>
        <w:t>T</w:t>
      </w:r>
      <w:r w:rsidR="00C66BFF">
        <w:rPr>
          <w:rFonts w:ascii="Times New Roman" w:eastAsia="Times New Roman" w:hAnsi="Times New Roman" w:cs="Times New Roman"/>
          <w:sz w:val="26"/>
          <w:szCs w:val="26"/>
        </w:rPr>
        <w:t xml:space="preserve">he evidence of record </w:t>
      </w:r>
      <w:r w:rsidR="0078372B">
        <w:rPr>
          <w:rFonts w:ascii="Times New Roman" w:eastAsia="Times New Roman" w:hAnsi="Times New Roman" w:cs="Times New Roman"/>
          <w:sz w:val="26"/>
          <w:szCs w:val="26"/>
        </w:rPr>
        <w:t xml:space="preserve">also </w:t>
      </w:r>
      <w:r w:rsidR="00C66BFF">
        <w:rPr>
          <w:rFonts w:ascii="Times New Roman" w:eastAsia="Times New Roman" w:hAnsi="Times New Roman" w:cs="Times New Roman"/>
          <w:sz w:val="26"/>
          <w:szCs w:val="26"/>
        </w:rPr>
        <w:t xml:space="preserve">demonstrates that the Complainant had no significant change in circumstances to warrant reinstating a payment agreement under Sections 1403 and 1405(e).  66 Pa. Code §§ 1403, 1405(e).  For all of these reasons, we agree with the ALJ that the Complainant failed to meet her burden of proof that </w:t>
      </w:r>
      <w:r w:rsidR="0078372B">
        <w:rPr>
          <w:rFonts w:ascii="Times New Roman" w:eastAsia="Times New Roman" w:hAnsi="Times New Roman" w:cs="Times New Roman"/>
          <w:sz w:val="26"/>
          <w:szCs w:val="26"/>
        </w:rPr>
        <w:t xml:space="preserve">she should be granted </w:t>
      </w:r>
      <w:r w:rsidR="00C66BFF">
        <w:rPr>
          <w:rFonts w:ascii="Times New Roman" w:eastAsia="Times New Roman" w:hAnsi="Times New Roman" w:cs="Times New Roman"/>
          <w:sz w:val="26"/>
          <w:szCs w:val="26"/>
        </w:rPr>
        <w:t>a second payment arrangement.</w:t>
      </w:r>
    </w:p>
    <w:p w:rsidR="00C66BFF" w:rsidRDefault="00C66BFF" w:rsidP="00F44833">
      <w:pPr>
        <w:tabs>
          <w:tab w:val="center" w:pos="720"/>
        </w:tabs>
        <w:suppressAutoHyphens/>
        <w:spacing w:after="0" w:line="360" w:lineRule="auto"/>
        <w:rPr>
          <w:rFonts w:ascii="Times New Roman" w:eastAsia="Times New Roman" w:hAnsi="Times New Roman" w:cs="Times New Roman"/>
          <w:sz w:val="26"/>
          <w:szCs w:val="26"/>
        </w:rPr>
      </w:pPr>
    </w:p>
    <w:p w:rsidR="00C66BFF" w:rsidRPr="008B2E92" w:rsidRDefault="00C66BFF" w:rsidP="00F44833">
      <w:pPr>
        <w:tabs>
          <w:tab w:val="center" w:pos="72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Accordingly, we shall deny the Complainant’s Exception and adopt the ALJ’s Initial Decision that dismisses the Complaint for failure by the Complainant to carry her burden of proving that </w:t>
      </w:r>
      <w:r w:rsidR="00BB4644">
        <w:rPr>
          <w:rFonts w:ascii="Times New Roman" w:eastAsia="Times New Roman" w:hAnsi="Times New Roman" w:cs="Times New Roman"/>
          <w:sz w:val="26"/>
          <w:szCs w:val="26"/>
        </w:rPr>
        <w:t>the Commission should provide her with a second Commission payment agreement.</w:t>
      </w:r>
    </w:p>
    <w:p w:rsidR="00F44833" w:rsidRPr="008B2E92" w:rsidRDefault="00F44833" w:rsidP="00F44833">
      <w:pPr>
        <w:spacing w:after="0" w:line="360" w:lineRule="auto"/>
        <w:rPr>
          <w:rFonts w:ascii="Times New Roman" w:eastAsia="Times New Roman" w:hAnsi="Times New Roman" w:cs="Times New Roman"/>
          <w:sz w:val="26"/>
          <w:szCs w:val="26"/>
        </w:rPr>
      </w:pPr>
    </w:p>
    <w:p w:rsidR="00F44833" w:rsidRPr="008B2E92" w:rsidRDefault="00F44833" w:rsidP="00F44833">
      <w:pPr>
        <w:keepNext/>
        <w:spacing w:after="0" w:line="360" w:lineRule="auto"/>
        <w:ind w:left="720" w:hanging="720"/>
        <w:jc w:val="center"/>
        <w:rPr>
          <w:rFonts w:ascii="Times New Roman" w:eastAsia="Times New Roman" w:hAnsi="Times New Roman" w:cs="Times New Roman"/>
          <w:b/>
          <w:sz w:val="26"/>
          <w:szCs w:val="26"/>
        </w:rPr>
      </w:pPr>
      <w:r w:rsidRPr="008B2E92">
        <w:rPr>
          <w:rFonts w:ascii="Times New Roman" w:eastAsia="Times New Roman" w:hAnsi="Times New Roman" w:cs="Times New Roman"/>
          <w:b/>
          <w:sz w:val="26"/>
          <w:szCs w:val="26"/>
        </w:rPr>
        <w:t>Conclusion</w:t>
      </w:r>
    </w:p>
    <w:p w:rsidR="00F44833" w:rsidRPr="008B2E92" w:rsidRDefault="00F44833" w:rsidP="00F44833">
      <w:pPr>
        <w:keepNext/>
        <w:spacing w:after="0" w:line="360" w:lineRule="auto"/>
        <w:rPr>
          <w:rFonts w:ascii="Times New Roman" w:eastAsia="Times New Roman" w:hAnsi="Times New Roman" w:cs="Times New Roman"/>
          <w:sz w:val="26"/>
          <w:szCs w:val="26"/>
        </w:rPr>
      </w:pPr>
    </w:p>
    <w:p w:rsidR="00F44833" w:rsidRPr="008B2E92" w:rsidRDefault="00BB4644" w:rsidP="00F44833">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Based on the above discussion, we shall deny the Complainant’s Exception and adopt the ALJ’s Initial Decision, which denies the Complaint;</w:t>
      </w:r>
      <w:r w:rsidR="00F44833" w:rsidRPr="008B2E92">
        <w:rPr>
          <w:rFonts w:ascii="Times New Roman" w:eastAsia="Times New Roman" w:hAnsi="Times New Roman" w:cs="Times New Roman"/>
          <w:sz w:val="26"/>
          <w:szCs w:val="26"/>
        </w:rPr>
        <w:t xml:space="preserve"> </w:t>
      </w:r>
      <w:r w:rsidR="00F44833" w:rsidRPr="008B2E92">
        <w:rPr>
          <w:rFonts w:ascii="Times New Roman" w:eastAsia="Times New Roman" w:hAnsi="Times New Roman" w:cs="Times New Roman"/>
          <w:b/>
          <w:sz w:val="26"/>
          <w:szCs w:val="26"/>
        </w:rPr>
        <w:t>THEREFORE,</w:t>
      </w:r>
    </w:p>
    <w:p w:rsidR="00F44833" w:rsidRPr="008B2E92" w:rsidRDefault="00F44833" w:rsidP="00BB18C6">
      <w:pPr>
        <w:widowControl w:val="0"/>
        <w:tabs>
          <w:tab w:val="left" w:pos="-720"/>
        </w:tabs>
        <w:suppressAutoHyphens/>
        <w:spacing w:after="0" w:line="360" w:lineRule="auto"/>
        <w:rPr>
          <w:rFonts w:ascii="Times New Roman" w:eastAsia="Times New Roman" w:hAnsi="Times New Roman" w:cs="Times New Roman"/>
          <w:sz w:val="26"/>
          <w:szCs w:val="26"/>
        </w:rPr>
      </w:pPr>
    </w:p>
    <w:p w:rsidR="00F44833" w:rsidRPr="008B2E92" w:rsidRDefault="003A0187" w:rsidP="00F71CFA">
      <w:pPr>
        <w:keepNext/>
        <w:keepLines/>
        <w:spacing w:after="0" w:line="360" w:lineRule="auto"/>
        <w:rPr>
          <w:rFonts w:ascii="Times New Roman" w:eastAsia="Times New Roman" w:hAnsi="Times New Roman" w:cs="Times New Roman"/>
          <w:b/>
          <w:sz w:val="26"/>
          <w:szCs w:val="26"/>
        </w:rPr>
      </w:pPr>
      <w:r w:rsidRPr="008B2E92">
        <w:rPr>
          <w:rFonts w:ascii="Times New Roman" w:eastAsia="Times New Roman" w:hAnsi="Times New Roman" w:cs="Times New Roman"/>
          <w:b/>
          <w:sz w:val="26"/>
          <w:szCs w:val="26"/>
        </w:rPr>
        <w:lastRenderedPageBreak/>
        <w:tab/>
      </w:r>
      <w:r w:rsidRPr="008B2E92">
        <w:rPr>
          <w:rFonts w:ascii="Times New Roman" w:eastAsia="Times New Roman" w:hAnsi="Times New Roman" w:cs="Times New Roman"/>
          <w:b/>
          <w:sz w:val="26"/>
          <w:szCs w:val="26"/>
        </w:rPr>
        <w:tab/>
      </w:r>
      <w:r w:rsidR="00F44833" w:rsidRPr="008B2E92">
        <w:rPr>
          <w:rFonts w:ascii="Times New Roman" w:eastAsia="Times New Roman" w:hAnsi="Times New Roman" w:cs="Times New Roman"/>
          <w:b/>
          <w:sz w:val="26"/>
          <w:szCs w:val="26"/>
        </w:rPr>
        <w:t>IT IS ORDERED:</w:t>
      </w:r>
    </w:p>
    <w:p w:rsidR="00F44833" w:rsidRPr="008B2E92" w:rsidRDefault="00F44833" w:rsidP="00F71CFA">
      <w:pPr>
        <w:keepNext/>
        <w:keepLines/>
        <w:spacing w:after="0" w:line="360" w:lineRule="auto"/>
        <w:rPr>
          <w:rFonts w:ascii="Times New Roman" w:eastAsia="Times New Roman" w:hAnsi="Times New Roman" w:cs="Times New Roman"/>
          <w:sz w:val="26"/>
          <w:szCs w:val="26"/>
        </w:rPr>
      </w:pPr>
    </w:p>
    <w:p w:rsidR="00F44833" w:rsidRPr="008B2E92" w:rsidRDefault="00F44833" w:rsidP="00F71CFA">
      <w:pPr>
        <w:keepNext/>
        <w:keepLines/>
        <w:spacing w:after="0" w:line="36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Pr="008B2E92">
        <w:rPr>
          <w:rFonts w:ascii="Times New Roman" w:eastAsia="Times New Roman" w:hAnsi="Times New Roman" w:cs="Times New Roman"/>
          <w:sz w:val="26"/>
          <w:szCs w:val="26"/>
        </w:rPr>
        <w:tab/>
        <w:t>1.</w:t>
      </w:r>
      <w:r w:rsidRPr="008B2E92">
        <w:rPr>
          <w:rFonts w:ascii="Times New Roman" w:eastAsia="Times New Roman" w:hAnsi="Times New Roman" w:cs="Times New Roman"/>
          <w:sz w:val="26"/>
          <w:szCs w:val="26"/>
        </w:rPr>
        <w:tab/>
        <w:t xml:space="preserve">That </w:t>
      </w:r>
      <w:r w:rsidR="00BB4644">
        <w:rPr>
          <w:rFonts w:ascii="Times New Roman" w:eastAsia="Times New Roman" w:hAnsi="Times New Roman" w:cs="Times New Roman"/>
          <w:sz w:val="26"/>
          <w:szCs w:val="26"/>
        </w:rPr>
        <w:t xml:space="preserve">the Exception of Bernice Wallace </w:t>
      </w:r>
      <w:r w:rsidR="0078372B">
        <w:rPr>
          <w:rFonts w:ascii="Times New Roman" w:eastAsia="Times New Roman" w:hAnsi="Times New Roman" w:cs="Times New Roman"/>
          <w:sz w:val="26"/>
          <w:szCs w:val="26"/>
        </w:rPr>
        <w:t xml:space="preserve">that was </w:t>
      </w:r>
      <w:r w:rsidR="009E0132">
        <w:rPr>
          <w:rFonts w:ascii="Times New Roman" w:eastAsia="Times New Roman" w:hAnsi="Times New Roman" w:cs="Times New Roman"/>
          <w:sz w:val="26"/>
          <w:szCs w:val="26"/>
        </w:rPr>
        <w:t>filed on November</w:t>
      </w:r>
      <w:r w:rsidR="0078372B">
        <w:rPr>
          <w:rFonts w:ascii="Times New Roman" w:eastAsia="Times New Roman" w:hAnsi="Times New Roman" w:cs="Times New Roman"/>
          <w:sz w:val="26"/>
          <w:szCs w:val="26"/>
        </w:rPr>
        <w:t> </w:t>
      </w:r>
      <w:r w:rsidR="009E0132">
        <w:rPr>
          <w:rFonts w:ascii="Times New Roman" w:eastAsia="Times New Roman" w:hAnsi="Times New Roman" w:cs="Times New Roman"/>
          <w:sz w:val="26"/>
          <w:szCs w:val="26"/>
        </w:rPr>
        <w:t>20, 2017, to the Initial Decision of Administrative Law Judge Eranda Vero</w:t>
      </w:r>
      <w:r w:rsidR="00597658">
        <w:rPr>
          <w:rFonts w:ascii="Times New Roman" w:eastAsia="Times New Roman" w:hAnsi="Times New Roman" w:cs="Times New Roman"/>
          <w:sz w:val="26"/>
          <w:szCs w:val="26"/>
        </w:rPr>
        <w:t xml:space="preserve"> </w:t>
      </w:r>
      <w:r w:rsidR="009E0132">
        <w:rPr>
          <w:rFonts w:ascii="Times New Roman" w:eastAsia="Times New Roman" w:hAnsi="Times New Roman" w:cs="Times New Roman"/>
          <w:sz w:val="26"/>
          <w:szCs w:val="26"/>
        </w:rPr>
        <w:t>is denied, consistent with this Opinion and Order.</w:t>
      </w:r>
    </w:p>
    <w:p w:rsidR="00F44833" w:rsidRPr="008B2E92" w:rsidRDefault="00F44833" w:rsidP="00F44833">
      <w:pPr>
        <w:spacing w:after="0" w:line="360" w:lineRule="auto"/>
        <w:rPr>
          <w:rFonts w:ascii="Times New Roman" w:eastAsia="Times New Roman" w:hAnsi="Times New Roman" w:cs="Times New Roman"/>
          <w:sz w:val="26"/>
          <w:szCs w:val="26"/>
        </w:rPr>
      </w:pPr>
    </w:p>
    <w:p w:rsidR="00F44833" w:rsidRDefault="00F44833" w:rsidP="00F44833">
      <w:pPr>
        <w:spacing w:after="0" w:line="360" w:lineRule="auto"/>
        <w:rPr>
          <w:rFonts w:ascii="Times New Roman" w:eastAsia="Times New Roman" w:hAnsi="Times New Roman" w:cs="Times New Roman"/>
          <w:sz w:val="26"/>
          <w:szCs w:val="26"/>
        </w:rPr>
      </w:pPr>
      <w:r w:rsidRPr="008B2E92">
        <w:rPr>
          <w:rFonts w:ascii="Times New Roman" w:eastAsia="Times New Roman" w:hAnsi="Times New Roman" w:cs="Times New Roman"/>
          <w:sz w:val="26"/>
          <w:szCs w:val="26"/>
        </w:rPr>
        <w:tab/>
      </w:r>
      <w:r w:rsidRPr="008B2E92">
        <w:rPr>
          <w:rFonts w:ascii="Times New Roman" w:eastAsia="Times New Roman" w:hAnsi="Times New Roman" w:cs="Times New Roman"/>
          <w:sz w:val="26"/>
          <w:szCs w:val="26"/>
        </w:rPr>
        <w:tab/>
        <w:t>2.</w:t>
      </w:r>
      <w:r w:rsidRPr="008B2E92">
        <w:rPr>
          <w:rFonts w:ascii="Times New Roman" w:eastAsia="Times New Roman" w:hAnsi="Times New Roman" w:cs="Times New Roman"/>
          <w:sz w:val="26"/>
          <w:szCs w:val="26"/>
        </w:rPr>
        <w:tab/>
        <w:t xml:space="preserve">That </w:t>
      </w:r>
      <w:r w:rsidR="009E0132">
        <w:rPr>
          <w:rFonts w:ascii="Times New Roman" w:eastAsia="Times New Roman" w:hAnsi="Times New Roman" w:cs="Times New Roman"/>
          <w:sz w:val="26"/>
          <w:szCs w:val="26"/>
        </w:rPr>
        <w:t>the Initial Decision of Administrative Law Judge Eranda Vero</w:t>
      </w:r>
      <w:r w:rsidR="00597658" w:rsidRPr="00597658">
        <w:rPr>
          <w:rFonts w:ascii="Times New Roman" w:eastAsia="Times New Roman" w:hAnsi="Times New Roman" w:cs="Times New Roman"/>
          <w:sz w:val="26"/>
          <w:szCs w:val="26"/>
        </w:rPr>
        <w:t xml:space="preserve"> </w:t>
      </w:r>
      <w:r w:rsidR="00597658">
        <w:rPr>
          <w:rFonts w:ascii="Times New Roman" w:eastAsia="Times New Roman" w:hAnsi="Times New Roman" w:cs="Times New Roman"/>
          <w:sz w:val="26"/>
          <w:szCs w:val="26"/>
        </w:rPr>
        <w:t xml:space="preserve">that was issued on October 31, 2017, </w:t>
      </w:r>
      <w:r w:rsidR="009E0132">
        <w:rPr>
          <w:rFonts w:ascii="Times New Roman" w:eastAsia="Times New Roman" w:hAnsi="Times New Roman" w:cs="Times New Roman"/>
          <w:sz w:val="26"/>
          <w:szCs w:val="26"/>
        </w:rPr>
        <w:t>is adopted, consistent with th</w:t>
      </w:r>
      <w:r w:rsidR="00597658">
        <w:rPr>
          <w:rFonts w:ascii="Times New Roman" w:eastAsia="Times New Roman" w:hAnsi="Times New Roman" w:cs="Times New Roman"/>
          <w:sz w:val="26"/>
          <w:szCs w:val="26"/>
        </w:rPr>
        <w:t>is</w:t>
      </w:r>
      <w:r w:rsidR="009E0132">
        <w:rPr>
          <w:rFonts w:ascii="Times New Roman" w:eastAsia="Times New Roman" w:hAnsi="Times New Roman" w:cs="Times New Roman"/>
          <w:sz w:val="26"/>
          <w:szCs w:val="26"/>
        </w:rPr>
        <w:t xml:space="preserve"> Opinion and Order.</w:t>
      </w:r>
    </w:p>
    <w:p w:rsidR="009E0132" w:rsidRPr="008B2E92" w:rsidRDefault="009E0132" w:rsidP="00F44833">
      <w:pPr>
        <w:spacing w:after="0" w:line="360" w:lineRule="auto"/>
        <w:rPr>
          <w:rFonts w:ascii="Times New Roman" w:eastAsia="Times New Roman" w:hAnsi="Times New Roman" w:cs="Times New Roman"/>
          <w:sz w:val="26"/>
          <w:szCs w:val="26"/>
        </w:rPr>
      </w:pPr>
    </w:p>
    <w:p w:rsidR="009E0132" w:rsidRDefault="00F44833" w:rsidP="009E0132">
      <w:pPr>
        <w:spacing w:line="360" w:lineRule="auto"/>
        <w:rPr>
          <w:rFonts w:ascii="Times New Roman" w:hAnsi="Times New Roman" w:cs="Times New Roman"/>
          <w:sz w:val="26"/>
          <w:szCs w:val="26"/>
        </w:rPr>
      </w:pPr>
      <w:r w:rsidRPr="008B2E92">
        <w:rPr>
          <w:rFonts w:ascii="Times New Roman" w:eastAsia="Times New Roman" w:hAnsi="Times New Roman" w:cs="Times New Roman"/>
          <w:sz w:val="26"/>
          <w:szCs w:val="26"/>
        </w:rPr>
        <w:tab/>
      </w:r>
      <w:r w:rsidRPr="008B2E92">
        <w:rPr>
          <w:rFonts w:ascii="Times New Roman" w:eastAsia="Times New Roman" w:hAnsi="Times New Roman" w:cs="Times New Roman"/>
          <w:sz w:val="26"/>
          <w:szCs w:val="26"/>
        </w:rPr>
        <w:tab/>
      </w:r>
      <w:r w:rsidR="00E61E82" w:rsidRPr="008B2E92">
        <w:rPr>
          <w:rFonts w:ascii="Times New Roman" w:hAnsi="Times New Roman" w:cs="Times New Roman"/>
          <w:sz w:val="26"/>
          <w:szCs w:val="26"/>
        </w:rPr>
        <w:t>3.</w:t>
      </w:r>
      <w:r w:rsidR="00E54A4C" w:rsidRPr="008B2E92">
        <w:rPr>
          <w:rFonts w:ascii="Times New Roman" w:hAnsi="Times New Roman" w:cs="Times New Roman"/>
          <w:sz w:val="26"/>
          <w:szCs w:val="26"/>
        </w:rPr>
        <w:tab/>
      </w:r>
      <w:r w:rsidR="00E61E82" w:rsidRPr="008B2E92">
        <w:rPr>
          <w:rFonts w:ascii="Times New Roman" w:hAnsi="Times New Roman" w:cs="Times New Roman"/>
          <w:sz w:val="26"/>
          <w:szCs w:val="26"/>
        </w:rPr>
        <w:t xml:space="preserve">That </w:t>
      </w:r>
      <w:r w:rsidR="009E0132">
        <w:rPr>
          <w:rFonts w:ascii="Times New Roman" w:hAnsi="Times New Roman" w:cs="Times New Roman"/>
          <w:sz w:val="26"/>
          <w:szCs w:val="26"/>
        </w:rPr>
        <w:t xml:space="preserve">the Formal Complaint filed by Bernice Wallace </w:t>
      </w:r>
      <w:r w:rsidR="00084BE4">
        <w:rPr>
          <w:rFonts w:ascii="Times New Roman" w:hAnsi="Times New Roman" w:cs="Times New Roman"/>
          <w:sz w:val="26"/>
          <w:szCs w:val="26"/>
        </w:rPr>
        <w:t xml:space="preserve">on June 20, 2016, </w:t>
      </w:r>
      <w:r w:rsidR="009E0132">
        <w:rPr>
          <w:rFonts w:ascii="Times New Roman" w:hAnsi="Times New Roman" w:cs="Times New Roman"/>
          <w:sz w:val="26"/>
          <w:szCs w:val="26"/>
        </w:rPr>
        <w:t>at Dock</w:t>
      </w:r>
      <w:r w:rsidR="00955F4A">
        <w:rPr>
          <w:rFonts w:ascii="Times New Roman" w:hAnsi="Times New Roman" w:cs="Times New Roman"/>
          <w:sz w:val="26"/>
          <w:szCs w:val="26"/>
        </w:rPr>
        <w:t>e</w:t>
      </w:r>
      <w:r w:rsidR="009E0132">
        <w:rPr>
          <w:rFonts w:ascii="Times New Roman" w:hAnsi="Times New Roman" w:cs="Times New Roman"/>
          <w:sz w:val="26"/>
          <w:szCs w:val="26"/>
        </w:rPr>
        <w:t>t Number C-2016-2552460</w:t>
      </w:r>
      <w:r w:rsidR="00084BE4">
        <w:rPr>
          <w:rFonts w:ascii="Times New Roman" w:hAnsi="Times New Roman" w:cs="Times New Roman"/>
          <w:sz w:val="26"/>
          <w:szCs w:val="26"/>
        </w:rPr>
        <w:t>,</w:t>
      </w:r>
      <w:r w:rsidR="009E0132">
        <w:rPr>
          <w:rFonts w:ascii="Times New Roman" w:hAnsi="Times New Roman" w:cs="Times New Roman"/>
          <w:sz w:val="26"/>
          <w:szCs w:val="26"/>
        </w:rPr>
        <w:t xml:space="preserve"> against PECO Energy Company is dismissed.</w:t>
      </w:r>
    </w:p>
    <w:p w:rsidR="00084BE4" w:rsidRDefault="00084BE4" w:rsidP="009E0132">
      <w:pPr>
        <w:spacing w:line="360" w:lineRule="auto"/>
        <w:rPr>
          <w:rFonts w:ascii="Times New Roman" w:hAnsi="Times New Roman" w:cs="Times New Roman"/>
          <w:sz w:val="26"/>
          <w:szCs w:val="26"/>
        </w:rPr>
      </w:pPr>
    </w:p>
    <w:p w:rsidR="00084BE4" w:rsidRDefault="00084BE4" w:rsidP="009E0132">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4.</w:t>
      </w:r>
      <w:r>
        <w:rPr>
          <w:rFonts w:ascii="Times New Roman" w:hAnsi="Times New Roman" w:cs="Times New Roman"/>
          <w:sz w:val="26"/>
          <w:szCs w:val="26"/>
        </w:rPr>
        <w:tab/>
        <w:t>That this this proceeding be marked closed.</w:t>
      </w:r>
    </w:p>
    <w:p w:rsidR="00F44833" w:rsidRPr="008B2E92" w:rsidRDefault="00F44833" w:rsidP="009E0132">
      <w:pPr>
        <w:spacing w:line="360" w:lineRule="auto"/>
        <w:rPr>
          <w:rFonts w:ascii="Times New Roman" w:eastAsia="Times New Roman" w:hAnsi="Times New Roman" w:cs="Times New Roman"/>
          <w:sz w:val="26"/>
          <w:szCs w:val="26"/>
        </w:rPr>
      </w:pPr>
    </w:p>
    <w:p w:rsidR="00F44833" w:rsidRPr="003F7EE6" w:rsidRDefault="00CE3145" w:rsidP="00225967">
      <w:pPr>
        <w:keepNext/>
        <w:keepLines/>
        <w:spacing w:after="0" w:line="240" w:lineRule="auto"/>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49699ACF" wp14:editId="7364E4D1">
            <wp:simplePos x="0" y="0"/>
            <wp:positionH relativeFrom="column">
              <wp:posOffset>3219450</wp:posOffset>
            </wp:positionH>
            <wp:positionV relativeFrom="paragraph">
              <wp:posOffset>179070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b/>
          <w:sz w:val="26"/>
          <w:szCs w:val="26"/>
        </w:rPr>
        <w:t>BY THE COMMISSION,</w:t>
      </w:r>
    </w:p>
    <w:p w:rsidR="00F44833" w:rsidRPr="003F7EE6" w:rsidRDefault="00F44833" w:rsidP="00225967">
      <w:pPr>
        <w:keepNext/>
        <w:keepLines/>
        <w:spacing w:after="0" w:line="240" w:lineRule="auto"/>
        <w:rPr>
          <w:rFonts w:ascii="Times New Roman" w:eastAsia="Times New Roman" w:hAnsi="Times New Roman" w:cs="Times New Roman"/>
          <w:sz w:val="26"/>
          <w:szCs w:val="26"/>
        </w:rPr>
      </w:pPr>
    </w:p>
    <w:p w:rsidR="00F44833" w:rsidRDefault="00F44833" w:rsidP="00225967">
      <w:pPr>
        <w:keepNext/>
        <w:keepLines/>
        <w:spacing w:after="0" w:line="240" w:lineRule="auto"/>
        <w:rPr>
          <w:rFonts w:ascii="Times New Roman" w:eastAsia="Times New Roman" w:hAnsi="Times New Roman" w:cs="Times New Roman"/>
          <w:sz w:val="26"/>
          <w:szCs w:val="26"/>
        </w:rPr>
      </w:pPr>
    </w:p>
    <w:p w:rsidR="001C170B" w:rsidRPr="003F7EE6" w:rsidRDefault="001C170B" w:rsidP="00225967">
      <w:pPr>
        <w:keepNext/>
        <w:keepLines/>
        <w:spacing w:after="0" w:line="240" w:lineRule="auto"/>
        <w:rPr>
          <w:rFonts w:ascii="Times New Roman" w:eastAsia="Times New Roman" w:hAnsi="Times New Roman" w:cs="Times New Roman"/>
          <w:sz w:val="26"/>
          <w:szCs w:val="26"/>
        </w:rPr>
      </w:pPr>
    </w:p>
    <w:p w:rsidR="00F44833" w:rsidRPr="003F7EE6" w:rsidRDefault="00F44833" w:rsidP="00225967">
      <w:pPr>
        <w:keepNext/>
        <w:keepLines/>
        <w:spacing w:after="0" w:line="240" w:lineRule="auto"/>
        <w:rPr>
          <w:rFonts w:ascii="Times New Roman" w:eastAsia="Times New Roman" w:hAnsi="Times New Roman" w:cs="Times New Roman"/>
          <w:sz w:val="26"/>
          <w:szCs w:val="26"/>
        </w:rPr>
      </w:pPr>
    </w:p>
    <w:p w:rsidR="00F44833" w:rsidRPr="003F7EE6" w:rsidRDefault="00F44833" w:rsidP="00225967">
      <w:pPr>
        <w:keepNext/>
        <w:keepLine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Rosemary Chiavetta</w:t>
      </w:r>
    </w:p>
    <w:p w:rsidR="00F44833" w:rsidRPr="003F7EE6" w:rsidRDefault="00F44833" w:rsidP="00225967">
      <w:pPr>
        <w:keepNext/>
        <w:keepLine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Secretary</w:t>
      </w:r>
    </w:p>
    <w:p w:rsidR="009B7DAA" w:rsidRDefault="009B7DAA" w:rsidP="00225967">
      <w:pPr>
        <w:keepNext/>
        <w:keepLines/>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F44833" w:rsidP="00225967">
      <w:pPr>
        <w:keepNext/>
        <w:keepLines/>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rsidR="00F44833" w:rsidRPr="003F7EE6" w:rsidRDefault="00F44833" w:rsidP="00225967">
      <w:pPr>
        <w:keepNext/>
        <w:keepLines/>
        <w:tabs>
          <w:tab w:val="left" w:pos="-720"/>
        </w:tabs>
        <w:suppressAutoHyphens/>
        <w:spacing w:after="0" w:line="240" w:lineRule="auto"/>
        <w:rPr>
          <w:rFonts w:ascii="Times New Roman" w:eastAsia="Times New Roman" w:hAnsi="Times New Roman" w:cs="Times New Roman"/>
          <w:sz w:val="26"/>
          <w:szCs w:val="26"/>
        </w:rPr>
      </w:pPr>
    </w:p>
    <w:p w:rsidR="00F44833" w:rsidRPr="003F7EE6" w:rsidRDefault="0092538B" w:rsidP="00225967">
      <w:pPr>
        <w:keepNext/>
        <w:keepLines/>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ORDER ADOPTED:  </w:t>
      </w:r>
      <w:r w:rsidR="009E0132">
        <w:rPr>
          <w:rFonts w:ascii="Times New Roman" w:eastAsia="Times New Roman" w:hAnsi="Times New Roman" w:cs="Times New Roman"/>
          <w:sz w:val="26"/>
          <w:szCs w:val="26"/>
        </w:rPr>
        <w:t>February 7</w:t>
      </w:r>
      <w:r w:rsidR="000621ED">
        <w:rPr>
          <w:rFonts w:ascii="Times New Roman" w:eastAsia="Times New Roman" w:hAnsi="Times New Roman" w:cs="Times New Roman"/>
          <w:sz w:val="26"/>
          <w:szCs w:val="26"/>
        </w:rPr>
        <w:t>, 2019</w:t>
      </w:r>
    </w:p>
    <w:p w:rsidR="00984785" w:rsidRDefault="00984785" w:rsidP="00225967">
      <w:pPr>
        <w:keepNext/>
        <w:keepLines/>
        <w:spacing w:after="0" w:line="240" w:lineRule="auto"/>
        <w:rPr>
          <w:rFonts w:ascii="Times New Roman" w:eastAsia="Times New Roman" w:hAnsi="Times New Roman" w:cs="Times New Roman"/>
          <w:sz w:val="26"/>
          <w:szCs w:val="20"/>
        </w:rPr>
      </w:pPr>
    </w:p>
    <w:p w:rsidR="001576FF" w:rsidRDefault="00F44833" w:rsidP="003E675E">
      <w:pPr>
        <w:keepNext/>
        <w:keepLines/>
        <w:spacing w:after="0" w:line="240" w:lineRule="auto"/>
      </w:pPr>
      <w:r w:rsidRPr="003F7EE6">
        <w:rPr>
          <w:rFonts w:ascii="Times New Roman" w:eastAsia="Times New Roman" w:hAnsi="Times New Roman" w:cs="Times New Roman"/>
          <w:sz w:val="26"/>
          <w:szCs w:val="20"/>
        </w:rPr>
        <w:t>ORDER ENTERED:</w:t>
      </w:r>
      <w:r w:rsidR="0092538B">
        <w:rPr>
          <w:rFonts w:ascii="Times New Roman" w:eastAsia="Times New Roman" w:hAnsi="Times New Roman" w:cs="Times New Roman"/>
          <w:sz w:val="26"/>
          <w:szCs w:val="20"/>
        </w:rPr>
        <w:t xml:space="preserve"> </w:t>
      </w:r>
      <w:r w:rsidR="0096069B">
        <w:rPr>
          <w:rFonts w:ascii="Times New Roman" w:eastAsia="Times New Roman" w:hAnsi="Times New Roman" w:cs="Times New Roman"/>
          <w:sz w:val="26"/>
          <w:szCs w:val="20"/>
        </w:rPr>
        <w:t xml:space="preserve"> </w:t>
      </w:r>
      <w:r w:rsidR="00CE3145">
        <w:rPr>
          <w:rFonts w:ascii="Times New Roman" w:eastAsia="Times New Roman" w:hAnsi="Times New Roman" w:cs="Times New Roman"/>
          <w:sz w:val="26"/>
          <w:szCs w:val="20"/>
        </w:rPr>
        <w:t>February 7, 2019</w:t>
      </w:r>
      <w:bookmarkStart w:id="0" w:name="_GoBack"/>
      <w:bookmarkEnd w:id="0"/>
    </w:p>
    <w:sectPr w:rsidR="001576FF" w:rsidSect="00F85F7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887" w:rsidRDefault="00972887" w:rsidP="00F44833">
      <w:pPr>
        <w:spacing w:after="0" w:line="240" w:lineRule="auto"/>
      </w:pPr>
      <w:r>
        <w:separator/>
      </w:r>
    </w:p>
  </w:endnote>
  <w:endnote w:type="continuationSeparator" w:id="0">
    <w:p w:rsidR="00972887" w:rsidRDefault="00972887"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E9" w:rsidRDefault="00307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772166"/>
      <w:docPartObj>
        <w:docPartGallery w:val="Page Numbers (Bottom of Page)"/>
        <w:docPartUnique/>
      </w:docPartObj>
    </w:sdtPr>
    <w:sdtEndPr>
      <w:rPr>
        <w:rFonts w:ascii="Times New Roman" w:hAnsi="Times New Roman" w:cs="Times New Roman"/>
        <w:noProof/>
        <w:sz w:val="26"/>
        <w:szCs w:val="26"/>
      </w:rPr>
    </w:sdtEndPr>
    <w:sdtContent>
      <w:p w:rsidR="003077E9" w:rsidRPr="00AE4F0D" w:rsidRDefault="003077E9">
        <w:pPr>
          <w:pStyle w:val="Footer"/>
          <w:jc w:val="center"/>
          <w:rPr>
            <w:rFonts w:ascii="Times New Roman" w:hAnsi="Times New Roman" w:cs="Times New Roman"/>
            <w:sz w:val="26"/>
            <w:szCs w:val="26"/>
          </w:rPr>
        </w:pPr>
        <w:r w:rsidRPr="00AE4F0D">
          <w:rPr>
            <w:rFonts w:ascii="Times New Roman" w:hAnsi="Times New Roman" w:cs="Times New Roman"/>
            <w:sz w:val="26"/>
            <w:szCs w:val="26"/>
          </w:rPr>
          <w:fldChar w:fldCharType="begin"/>
        </w:r>
        <w:r w:rsidRPr="00AE4F0D">
          <w:rPr>
            <w:rFonts w:ascii="Times New Roman" w:hAnsi="Times New Roman" w:cs="Times New Roman"/>
            <w:sz w:val="26"/>
            <w:szCs w:val="26"/>
          </w:rPr>
          <w:instrText xml:space="preserve"> PAGE   \* MERGEFORMAT </w:instrText>
        </w:r>
        <w:r w:rsidRPr="00AE4F0D">
          <w:rPr>
            <w:rFonts w:ascii="Times New Roman" w:hAnsi="Times New Roman" w:cs="Times New Roman"/>
            <w:sz w:val="26"/>
            <w:szCs w:val="26"/>
          </w:rPr>
          <w:fldChar w:fldCharType="separate"/>
        </w:r>
        <w:r w:rsidRPr="00AE4F0D">
          <w:rPr>
            <w:rFonts w:ascii="Times New Roman" w:hAnsi="Times New Roman" w:cs="Times New Roman"/>
            <w:noProof/>
            <w:sz w:val="26"/>
            <w:szCs w:val="26"/>
          </w:rPr>
          <w:t>2</w:t>
        </w:r>
        <w:r w:rsidRPr="00AE4F0D">
          <w:rPr>
            <w:rFonts w:ascii="Times New Roman" w:hAnsi="Times New Roman" w:cs="Times New Roman"/>
            <w:noProof/>
            <w:sz w:val="26"/>
            <w:szCs w:val="26"/>
          </w:rPr>
          <w:fldChar w:fldCharType="end"/>
        </w:r>
      </w:p>
    </w:sdtContent>
  </w:sdt>
  <w:p w:rsidR="00AF7DAD" w:rsidRDefault="00AF7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496671"/>
      <w:docPartObj>
        <w:docPartGallery w:val="Page Numbers (Bottom of Page)"/>
        <w:docPartUnique/>
      </w:docPartObj>
    </w:sdtPr>
    <w:sdtEndPr>
      <w:rPr>
        <w:noProof/>
      </w:rPr>
    </w:sdtEndPr>
    <w:sdtContent>
      <w:p w:rsidR="003077E9" w:rsidRDefault="00972887">
        <w:pPr>
          <w:pStyle w:val="Footer"/>
          <w:jc w:val="center"/>
        </w:pPr>
      </w:p>
    </w:sdtContent>
  </w:sdt>
  <w:p w:rsidR="00F85F77" w:rsidRDefault="00F85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887" w:rsidRDefault="00972887" w:rsidP="00F44833">
      <w:pPr>
        <w:spacing w:after="0" w:line="240" w:lineRule="auto"/>
      </w:pPr>
      <w:r>
        <w:separator/>
      </w:r>
    </w:p>
  </w:footnote>
  <w:footnote w:type="continuationSeparator" w:id="0">
    <w:p w:rsidR="00972887" w:rsidRDefault="00972887" w:rsidP="00F44833">
      <w:pPr>
        <w:spacing w:after="0" w:line="240" w:lineRule="auto"/>
      </w:pPr>
      <w:r>
        <w:continuationSeparator/>
      </w:r>
    </w:p>
  </w:footnote>
  <w:footnote w:id="1">
    <w:p w:rsidR="00181A5C" w:rsidRDefault="00181A5C" w:rsidP="0082281A">
      <w:pPr>
        <w:pStyle w:val="FootnoteText"/>
        <w:ind w:firstLine="720"/>
      </w:pPr>
      <w:r w:rsidRPr="0082281A">
        <w:rPr>
          <w:rStyle w:val="FootnoteReference"/>
          <w:rFonts w:ascii="Times New Roman" w:hAnsi="Times New Roman" w:cs="Times New Roman"/>
          <w:sz w:val="26"/>
          <w:szCs w:val="26"/>
        </w:rPr>
        <w:footnoteRef/>
      </w:r>
      <w:r w:rsidR="0082281A" w:rsidRPr="0082281A">
        <w:rPr>
          <w:rFonts w:ascii="Times New Roman" w:hAnsi="Times New Roman" w:cs="Times New Roman"/>
          <w:sz w:val="26"/>
          <w:szCs w:val="26"/>
        </w:rPr>
        <w:tab/>
      </w:r>
      <w:r w:rsidR="00B95F35">
        <w:rPr>
          <w:rFonts w:ascii="Times New Roman" w:hAnsi="Times New Roman" w:cs="Times New Roman"/>
          <w:sz w:val="26"/>
          <w:szCs w:val="26"/>
        </w:rPr>
        <w:t xml:space="preserve">The Complainant </w:t>
      </w:r>
      <w:r w:rsidRPr="0082281A">
        <w:rPr>
          <w:rFonts w:ascii="Times New Roman" w:hAnsi="Times New Roman" w:cs="Times New Roman"/>
          <w:sz w:val="26"/>
          <w:szCs w:val="26"/>
        </w:rPr>
        <w:t>went from a Level 2</w:t>
      </w:r>
      <w:r w:rsidR="00B95F35">
        <w:rPr>
          <w:rFonts w:ascii="Times New Roman" w:hAnsi="Times New Roman" w:cs="Times New Roman"/>
          <w:sz w:val="26"/>
          <w:szCs w:val="26"/>
        </w:rPr>
        <w:t>,</w:t>
      </w:r>
      <w:r w:rsidRPr="0082281A">
        <w:rPr>
          <w:rFonts w:ascii="Times New Roman" w:hAnsi="Times New Roman" w:cs="Times New Roman"/>
          <w:sz w:val="26"/>
          <w:szCs w:val="26"/>
        </w:rPr>
        <w:t xml:space="preserve"> with a gross household income of $2,774 per month for a household of two adults and two children</w:t>
      </w:r>
      <w:r w:rsidR="001753CB">
        <w:rPr>
          <w:rFonts w:ascii="Times New Roman" w:hAnsi="Times New Roman" w:cs="Times New Roman"/>
          <w:sz w:val="26"/>
          <w:szCs w:val="26"/>
        </w:rPr>
        <w:t xml:space="preserve"> in 2013</w:t>
      </w:r>
      <w:r w:rsidR="00B95F35">
        <w:rPr>
          <w:rFonts w:ascii="Times New Roman" w:hAnsi="Times New Roman" w:cs="Times New Roman"/>
          <w:sz w:val="26"/>
          <w:szCs w:val="26"/>
        </w:rPr>
        <w:t>,</w:t>
      </w:r>
      <w:r w:rsidR="001753CB">
        <w:rPr>
          <w:rFonts w:ascii="Times New Roman" w:hAnsi="Times New Roman" w:cs="Times New Roman"/>
          <w:sz w:val="26"/>
          <w:szCs w:val="26"/>
        </w:rPr>
        <w:t xml:space="preserve"> </w:t>
      </w:r>
      <w:r w:rsidRPr="0082281A">
        <w:rPr>
          <w:rFonts w:ascii="Times New Roman" w:hAnsi="Times New Roman" w:cs="Times New Roman"/>
          <w:sz w:val="26"/>
          <w:szCs w:val="26"/>
        </w:rPr>
        <w:t>to a Level 4</w:t>
      </w:r>
      <w:r w:rsidR="008D6425">
        <w:rPr>
          <w:rFonts w:ascii="Times New Roman" w:hAnsi="Times New Roman" w:cs="Times New Roman"/>
          <w:sz w:val="26"/>
          <w:szCs w:val="26"/>
        </w:rPr>
        <w:t>,</w:t>
      </w:r>
      <w:r w:rsidRPr="0082281A">
        <w:rPr>
          <w:rFonts w:ascii="Times New Roman" w:hAnsi="Times New Roman" w:cs="Times New Roman"/>
          <w:sz w:val="26"/>
          <w:szCs w:val="26"/>
        </w:rPr>
        <w:t xml:space="preserve"> with a gross household income of </w:t>
      </w:r>
      <w:r w:rsidR="0082281A" w:rsidRPr="0082281A">
        <w:rPr>
          <w:rFonts w:ascii="Times New Roman" w:hAnsi="Times New Roman" w:cs="Times New Roman"/>
          <w:sz w:val="26"/>
          <w:szCs w:val="26"/>
        </w:rPr>
        <w:t>$11,261.18 for a household of three adults (the two parents and a twenty -year old child) and one child aged 17 years old</w:t>
      </w:r>
      <w:r w:rsidR="0082281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E9" w:rsidRDefault="003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E9" w:rsidRDefault="00307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E9" w:rsidRDefault="003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C7FD"/>
    <w:multiLevelType w:val="singleLevel"/>
    <w:tmpl w:val="46EBAF40"/>
    <w:lvl w:ilvl="0">
      <w:start w:val="39"/>
      <w:numFmt w:val="decimal"/>
      <w:lvlText w:val="%1."/>
      <w:lvlJc w:val="left"/>
      <w:pPr>
        <w:tabs>
          <w:tab w:val="num" w:pos="1512"/>
        </w:tabs>
        <w:ind w:left="72" w:firstLine="576"/>
      </w:pPr>
      <w:rPr>
        <w:snapToGrid/>
        <w:sz w:val="24"/>
        <w:szCs w:val="24"/>
      </w:rPr>
    </w:lvl>
  </w:abstractNum>
  <w:abstractNum w:abstractNumId="1" w15:restartNumberingAfterBreak="0">
    <w:nsid w:val="013CC704"/>
    <w:multiLevelType w:val="singleLevel"/>
    <w:tmpl w:val="7BE2728A"/>
    <w:lvl w:ilvl="0">
      <w:start w:val="1"/>
      <w:numFmt w:val="decimal"/>
      <w:lvlText w:val="%1."/>
      <w:lvlJc w:val="left"/>
      <w:pPr>
        <w:tabs>
          <w:tab w:val="num" w:pos="3600"/>
        </w:tabs>
        <w:ind w:left="2232" w:firstLine="720"/>
      </w:pPr>
      <w:rPr>
        <w:snapToGrid/>
        <w:sz w:val="24"/>
        <w:szCs w:val="24"/>
      </w:rPr>
    </w:lvl>
  </w:abstractNum>
  <w:abstractNum w:abstractNumId="2" w15:restartNumberingAfterBreak="0">
    <w:nsid w:val="0154A216"/>
    <w:multiLevelType w:val="singleLevel"/>
    <w:tmpl w:val="4D06C74A"/>
    <w:lvl w:ilvl="0">
      <w:start w:val="16"/>
      <w:numFmt w:val="decimal"/>
      <w:lvlText w:val="%1."/>
      <w:lvlJc w:val="left"/>
      <w:pPr>
        <w:tabs>
          <w:tab w:val="num" w:pos="1440"/>
        </w:tabs>
        <w:ind w:left="72" w:firstLine="576"/>
      </w:pPr>
      <w:rPr>
        <w:snapToGrid/>
        <w:spacing w:val="3"/>
        <w:sz w:val="24"/>
        <w:szCs w:val="24"/>
      </w:rPr>
    </w:lvl>
  </w:abstractNum>
  <w:abstractNum w:abstractNumId="3" w15:restartNumberingAfterBreak="0">
    <w:nsid w:val="0177A7C3"/>
    <w:multiLevelType w:val="singleLevel"/>
    <w:tmpl w:val="4BAF035E"/>
    <w:lvl w:ilvl="0">
      <w:start w:val="3"/>
      <w:numFmt w:val="decimal"/>
      <w:lvlText w:val="%1."/>
      <w:lvlJc w:val="left"/>
      <w:pPr>
        <w:tabs>
          <w:tab w:val="num" w:pos="1440"/>
        </w:tabs>
        <w:ind w:left="72" w:firstLine="720"/>
      </w:pPr>
      <w:rPr>
        <w:snapToGrid/>
        <w:sz w:val="24"/>
        <w:szCs w:val="24"/>
      </w:rPr>
    </w:lvl>
  </w:abstractNum>
  <w:abstractNum w:abstractNumId="4" w15:restartNumberingAfterBreak="0">
    <w:nsid w:val="01D232DC"/>
    <w:multiLevelType w:val="singleLevel"/>
    <w:tmpl w:val="60CD295B"/>
    <w:lvl w:ilvl="0">
      <w:start w:val="1"/>
      <w:numFmt w:val="upperLetter"/>
      <w:lvlText w:val="%1."/>
      <w:lvlJc w:val="left"/>
      <w:pPr>
        <w:tabs>
          <w:tab w:val="num" w:pos="1584"/>
        </w:tabs>
        <w:ind w:firstLine="720"/>
      </w:pPr>
      <w:rPr>
        <w:snapToGrid/>
        <w:spacing w:val="-1"/>
        <w:sz w:val="25"/>
        <w:szCs w:val="25"/>
      </w:rPr>
    </w:lvl>
  </w:abstractNum>
  <w:abstractNum w:abstractNumId="5" w15:restartNumberingAfterBreak="0">
    <w:nsid w:val="02F9D10C"/>
    <w:multiLevelType w:val="singleLevel"/>
    <w:tmpl w:val="12E8FD06"/>
    <w:lvl w:ilvl="0">
      <w:start w:val="7"/>
      <w:numFmt w:val="decimal"/>
      <w:lvlText w:val="%1."/>
      <w:lvlJc w:val="left"/>
      <w:pPr>
        <w:tabs>
          <w:tab w:val="num" w:pos="1440"/>
        </w:tabs>
        <w:ind w:left="72" w:firstLine="504"/>
      </w:pPr>
      <w:rPr>
        <w:snapToGrid/>
        <w:sz w:val="24"/>
        <w:szCs w:val="24"/>
      </w:rPr>
    </w:lvl>
  </w:abstractNum>
  <w:abstractNum w:abstractNumId="6" w15:restartNumberingAfterBreak="0">
    <w:nsid w:val="030F43E6"/>
    <w:multiLevelType w:val="singleLevel"/>
    <w:tmpl w:val="548CE320"/>
    <w:lvl w:ilvl="0">
      <w:start w:val="2"/>
      <w:numFmt w:val="decimal"/>
      <w:lvlText w:val="%1."/>
      <w:lvlJc w:val="left"/>
      <w:pPr>
        <w:tabs>
          <w:tab w:val="num" w:pos="2088"/>
        </w:tabs>
        <w:ind w:left="720" w:firstLine="648"/>
      </w:pPr>
      <w:rPr>
        <w:snapToGrid/>
        <w:sz w:val="24"/>
        <w:szCs w:val="24"/>
      </w:rPr>
    </w:lvl>
  </w:abstractNum>
  <w:abstractNum w:abstractNumId="7" w15:restartNumberingAfterBreak="0">
    <w:nsid w:val="0313CFBE"/>
    <w:multiLevelType w:val="singleLevel"/>
    <w:tmpl w:val="79458B5D"/>
    <w:lvl w:ilvl="0">
      <w:start w:val="1"/>
      <w:numFmt w:val="lowerRoman"/>
      <w:lvlText w:val="%1."/>
      <w:lvlJc w:val="left"/>
      <w:pPr>
        <w:tabs>
          <w:tab w:val="num" w:pos="2232"/>
        </w:tabs>
        <w:ind w:left="864" w:firstLine="720"/>
      </w:pPr>
      <w:rPr>
        <w:snapToGrid/>
        <w:spacing w:val="4"/>
        <w:sz w:val="24"/>
        <w:szCs w:val="24"/>
      </w:rPr>
    </w:lvl>
  </w:abstractNum>
  <w:abstractNum w:abstractNumId="8" w15:restartNumberingAfterBreak="0">
    <w:nsid w:val="045A939C"/>
    <w:multiLevelType w:val="singleLevel"/>
    <w:tmpl w:val="5C60160D"/>
    <w:lvl w:ilvl="0">
      <w:start w:val="33"/>
      <w:numFmt w:val="decimal"/>
      <w:lvlText w:val="%1."/>
      <w:lvlJc w:val="left"/>
      <w:pPr>
        <w:tabs>
          <w:tab w:val="num" w:pos="1440"/>
        </w:tabs>
        <w:ind w:left="72" w:firstLine="504"/>
      </w:pPr>
      <w:rPr>
        <w:snapToGrid/>
        <w:sz w:val="24"/>
        <w:szCs w:val="24"/>
      </w:rPr>
    </w:lvl>
  </w:abstractNum>
  <w:abstractNum w:abstractNumId="9" w15:restartNumberingAfterBreak="0">
    <w:nsid w:val="04652772"/>
    <w:multiLevelType w:val="singleLevel"/>
    <w:tmpl w:val="609B5813"/>
    <w:lvl w:ilvl="0">
      <w:start w:val="2"/>
      <w:numFmt w:val="lowerRoman"/>
      <w:lvlText w:val="%1."/>
      <w:lvlJc w:val="left"/>
      <w:pPr>
        <w:tabs>
          <w:tab w:val="num" w:pos="2232"/>
        </w:tabs>
        <w:ind w:left="864" w:firstLine="720"/>
      </w:pPr>
      <w:rPr>
        <w:snapToGrid/>
        <w:sz w:val="24"/>
        <w:szCs w:val="24"/>
      </w:rPr>
    </w:lvl>
  </w:abstractNum>
  <w:abstractNum w:abstractNumId="10" w15:restartNumberingAfterBreak="0">
    <w:nsid w:val="048BD34E"/>
    <w:multiLevelType w:val="singleLevel"/>
    <w:tmpl w:val="72F0477A"/>
    <w:lvl w:ilvl="0">
      <w:start w:val="1"/>
      <w:numFmt w:val="decimal"/>
      <w:lvlText w:val="%1."/>
      <w:lvlJc w:val="left"/>
      <w:pPr>
        <w:tabs>
          <w:tab w:val="num" w:pos="1440"/>
        </w:tabs>
        <w:ind w:firstLine="792"/>
      </w:pPr>
      <w:rPr>
        <w:snapToGrid/>
        <w:sz w:val="24"/>
        <w:szCs w:val="24"/>
      </w:rPr>
    </w:lvl>
  </w:abstractNum>
  <w:abstractNum w:abstractNumId="11" w15:restartNumberingAfterBreak="0">
    <w:nsid w:val="04C8FC53"/>
    <w:multiLevelType w:val="singleLevel"/>
    <w:tmpl w:val="00BCEF5B"/>
    <w:lvl w:ilvl="0">
      <w:start w:val="31"/>
      <w:numFmt w:val="decimal"/>
      <w:lvlText w:val="%1."/>
      <w:lvlJc w:val="left"/>
      <w:pPr>
        <w:tabs>
          <w:tab w:val="num" w:pos="1440"/>
        </w:tabs>
        <w:ind w:left="72" w:firstLine="504"/>
      </w:pPr>
      <w:rPr>
        <w:snapToGrid/>
        <w:sz w:val="24"/>
        <w:szCs w:val="24"/>
      </w:rPr>
    </w:lvl>
  </w:abstractNum>
  <w:abstractNum w:abstractNumId="12" w15:restartNumberingAfterBreak="0">
    <w:nsid w:val="04CC3CEA"/>
    <w:multiLevelType w:val="multilevel"/>
    <w:tmpl w:val="FB5810DE"/>
    <w:lvl w:ilvl="0">
      <w:start w:val="1"/>
      <w:numFmt w:val="lowerRoman"/>
      <w:lvlText w:val="%1."/>
      <w:lvlJc w:val="left"/>
      <w:pPr>
        <w:tabs>
          <w:tab w:val="left" w:pos="774"/>
        </w:tabs>
        <w:ind w:left="990"/>
      </w:pPr>
      <w:rPr>
        <w:rFonts w:ascii="Times New Roman" w:eastAsia="Times New Roman" w:hAnsi="Times New Roman"/>
        <w:b w:val="0"/>
        <w:strike w:val="0"/>
        <w:color w:val="000000"/>
        <w:spacing w:val="-5"/>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72D899"/>
    <w:multiLevelType w:val="singleLevel"/>
    <w:tmpl w:val="645AEA7D"/>
    <w:lvl w:ilvl="0">
      <w:start w:val="26"/>
      <w:numFmt w:val="decimal"/>
      <w:lvlText w:val="%1."/>
      <w:lvlJc w:val="left"/>
      <w:pPr>
        <w:tabs>
          <w:tab w:val="num" w:pos="1440"/>
        </w:tabs>
        <w:ind w:left="72" w:firstLine="504"/>
      </w:pPr>
      <w:rPr>
        <w:snapToGrid/>
        <w:spacing w:val="3"/>
        <w:sz w:val="24"/>
        <w:szCs w:val="24"/>
      </w:rPr>
    </w:lvl>
  </w:abstractNum>
  <w:abstractNum w:abstractNumId="14" w15:restartNumberingAfterBreak="0">
    <w:nsid w:val="05D46AC6"/>
    <w:multiLevelType w:val="singleLevel"/>
    <w:tmpl w:val="4D191C1E"/>
    <w:lvl w:ilvl="0">
      <w:start w:val="12"/>
      <w:numFmt w:val="decimal"/>
      <w:lvlText w:val="%1."/>
      <w:lvlJc w:val="left"/>
      <w:pPr>
        <w:tabs>
          <w:tab w:val="num" w:pos="1440"/>
        </w:tabs>
        <w:ind w:firstLine="648"/>
      </w:pPr>
      <w:rPr>
        <w:snapToGrid/>
        <w:sz w:val="24"/>
        <w:szCs w:val="24"/>
      </w:rPr>
    </w:lvl>
  </w:abstractNum>
  <w:abstractNum w:abstractNumId="15" w15:restartNumberingAfterBreak="0">
    <w:nsid w:val="060F9BE9"/>
    <w:multiLevelType w:val="singleLevel"/>
    <w:tmpl w:val="770D3A45"/>
    <w:lvl w:ilvl="0">
      <w:start w:val="1"/>
      <w:numFmt w:val="decimal"/>
      <w:lvlText w:val="%1."/>
      <w:lvlJc w:val="left"/>
      <w:pPr>
        <w:tabs>
          <w:tab w:val="num" w:pos="2088"/>
        </w:tabs>
        <w:ind w:left="720" w:firstLine="648"/>
      </w:pPr>
      <w:rPr>
        <w:snapToGrid/>
        <w:sz w:val="24"/>
        <w:szCs w:val="24"/>
      </w:rPr>
    </w:lvl>
  </w:abstractNum>
  <w:abstractNum w:abstractNumId="16" w15:restartNumberingAfterBreak="0">
    <w:nsid w:val="0668C895"/>
    <w:multiLevelType w:val="singleLevel"/>
    <w:tmpl w:val="7F6B9F8B"/>
    <w:lvl w:ilvl="0">
      <w:start w:val="2"/>
      <w:numFmt w:val="decimal"/>
      <w:lvlText w:val="%1."/>
      <w:lvlJc w:val="left"/>
      <w:pPr>
        <w:tabs>
          <w:tab w:val="num" w:pos="2952"/>
        </w:tabs>
        <w:ind w:left="1584" w:firstLine="648"/>
      </w:pPr>
      <w:rPr>
        <w:snapToGrid/>
        <w:sz w:val="24"/>
        <w:szCs w:val="24"/>
      </w:rPr>
    </w:lvl>
  </w:abstractNum>
  <w:abstractNum w:abstractNumId="17" w15:restartNumberingAfterBreak="0">
    <w:nsid w:val="06841475"/>
    <w:multiLevelType w:val="singleLevel"/>
    <w:tmpl w:val="6D21BF06"/>
    <w:lvl w:ilvl="0">
      <w:start w:val="36"/>
      <w:numFmt w:val="decimal"/>
      <w:lvlText w:val="%1."/>
      <w:lvlJc w:val="left"/>
      <w:pPr>
        <w:tabs>
          <w:tab w:val="num" w:pos="1440"/>
        </w:tabs>
        <w:ind w:left="72" w:firstLine="504"/>
      </w:pPr>
      <w:rPr>
        <w:snapToGrid/>
        <w:sz w:val="24"/>
        <w:szCs w:val="24"/>
      </w:rPr>
    </w:lvl>
  </w:abstractNum>
  <w:abstractNum w:abstractNumId="18" w15:restartNumberingAfterBreak="0">
    <w:nsid w:val="06E01003"/>
    <w:multiLevelType w:val="singleLevel"/>
    <w:tmpl w:val="758A3513"/>
    <w:lvl w:ilvl="0">
      <w:start w:val="21"/>
      <w:numFmt w:val="decimal"/>
      <w:lvlText w:val="%1."/>
      <w:lvlJc w:val="left"/>
      <w:pPr>
        <w:tabs>
          <w:tab w:val="num" w:pos="1440"/>
        </w:tabs>
        <w:ind w:left="72" w:firstLine="504"/>
      </w:pPr>
      <w:rPr>
        <w:snapToGrid/>
        <w:sz w:val="25"/>
        <w:szCs w:val="25"/>
      </w:rPr>
    </w:lvl>
  </w:abstractNum>
  <w:abstractNum w:abstractNumId="19" w15:restartNumberingAfterBreak="0">
    <w:nsid w:val="0794E055"/>
    <w:multiLevelType w:val="singleLevel"/>
    <w:tmpl w:val="10B17E69"/>
    <w:lvl w:ilvl="0">
      <w:start w:val="1"/>
      <w:numFmt w:val="decimal"/>
      <w:lvlText w:val="%1."/>
      <w:lvlJc w:val="left"/>
      <w:pPr>
        <w:tabs>
          <w:tab w:val="num" w:pos="1512"/>
        </w:tabs>
        <w:ind w:left="144" w:firstLine="720"/>
      </w:pPr>
      <w:rPr>
        <w:snapToGrid/>
        <w:sz w:val="24"/>
        <w:szCs w:val="24"/>
      </w:rPr>
    </w:lvl>
  </w:abstractNum>
  <w:abstractNum w:abstractNumId="20" w15:restartNumberingAfterBreak="0">
    <w:nsid w:val="22A00EA7"/>
    <w:multiLevelType w:val="multilevel"/>
    <w:tmpl w:val="8EB678F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FE1174C"/>
    <w:multiLevelType w:val="hybridMultilevel"/>
    <w:tmpl w:val="59661226"/>
    <w:lvl w:ilvl="0" w:tplc="7E4ED650">
      <w:start w:val="1"/>
      <w:numFmt w:val="decimal"/>
      <w:lvlText w:val="(%1)"/>
      <w:lvlJc w:val="left"/>
      <w:pPr>
        <w:ind w:left="1872" w:hanging="360"/>
      </w:pPr>
      <w:rPr>
        <w:rFonts w:ascii="Times New Roman" w:hAnsi="Times New Roman"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33DF3D2C"/>
    <w:multiLevelType w:val="multilevel"/>
    <w:tmpl w:val="04CC64C0"/>
    <w:lvl w:ilvl="0">
      <w:start w:val="1"/>
      <w:numFmt w:val="lowerRoman"/>
      <w:lvlText w:val="%1."/>
      <w:lvlJc w:val="left"/>
      <w:pPr>
        <w:tabs>
          <w:tab w:val="left" w:pos="1008"/>
        </w:tabs>
        <w:ind w:left="108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F37C1B"/>
    <w:multiLevelType w:val="hybridMultilevel"/>
    <w:tmpl w:val="98C8C83A"/>
    <w:lvl w:ilvl="0" w:tplc="6F407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D79F7"/>
    <w:multiLevelType w:val="multilevel"/>
    <w:tmpl w:val="B1CE9A04"/>
    <w:lvl w:ilvl="0">
      <w:start w:val="22"/>
      <w:numFmt w:val="decimal"/>
      <w:lvlText w:val="%1."/>
      <w:lvlJc w:val="left"/>
      <w:pPr>
        <w:tabs>
          <w:tab w:val="left" w:pos="720"/>
        </w:tabs>
        <w:ind w:left="720"/>
      </w:pPr>
      <w:rPr>
        <w:rFonts w:ascii="Times New Roman" w:eastAsia="Times New Roman" w:hAnsi="Times New Roman"/>
        <w:b/>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D918FD"/>
    <w:multiLevelType w:val="hybridMultilevel"/>
    <w:tmpl w:val="2FBA55E0"/>
    <w:lvl w:ilvl="0" w:tplc="3064E296">
      <w:start w:val="1"/>
      <w:numFmt w:val="lowerLetter"/>
      <w:lvlText w:val="%1."/>
      <w:lvlJc w:val="left"/>
      <w:pPr>
        <w:ind w:left="2157" w:hanging="645"/>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15:restartNumberingAfterBreak="0">
    <w:nsid w:val="5AC867A8"/>
    <w:multiLevelType w:val="multilevel"/>
    <w:tmpl w:val="A4DCF7E2"/>
    <w:lvl w:ilvl="0">
      <w:start w:val="2"/>
      <w:numFmt w:val="decimal"/>
      <w:lvlText w:val="%1."/>
      <w:lvlJc w:val="left"/>
      <w:pPr>
        <w:tabs>
          <w:tab w:val="left" w:pos="1350"/>
        </w:tabs>
        <w:ind w:left="1350"/>
      </w:pPr>
      <w:rPr>
        <w:rFonts w:ascii="Times New Roman" w:eastAsia="Times New Roman" w:hAnsi="Times New Roman"/>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79633E"/>
    <w:multiLevelType w:val="multilevel"/>
    <w:tmpl w:val="028E6ECE"/>
    <w:lvl w:ilvl="0">
      <w:start w:val="19"/>
      <w:numFmt w:val="decimal"/>
      <w:lvlText w:val="%1."/>
      <w:lvlJc w:val="left"/>
      <w:pPr>
        <w:tabs>
          <w:tab w:val="left" w:pos="720"/>
        </w:tabs>
        <w:ind w:left="720"/>
      </w:pPr>
      <w:rPr>
        <w:rFonts w:ascii="Times New Roman" w:eastAsia="Times New Roman" w:hAnsi="Times New Roman"/>
        <w:b/>
        <w:strike w:val="0"/>
        <w:color w:val="000000"/>
        <w:spacing w:val="-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4"/>
  </w:num>
  <w:num w:numId="3">
    <w:abstractNumId w:val="23"/>
  </w:num>
  <w:num w:numId="4">
    <w:abstractNumId w:val="27"/>
  </w:num>
  <w:num w:numId="5">
    <w:abstractNumId w:val="20"/>
  </w:num>
  <w:num w:numId="6">
    <w:abstractNumId w:val="10"/>
  </w:num>
  <w:num w:numId="7">
    <w:abstractNumId w:val="3"/>
  </w:num>
  <w:num w:numId="8">
    <w:abstractNumId w:val="5"/>
  </w:num>
  <w:num w:numId="9">
    <w:abstractNumId w:val="14"/>
  </w:num>
  <w:num w:numId="10">
    <w:abstractNumId w:val="2"/>
  </w:num>
  <w:num w:numId="11">
    <w:abstractNumId w:val="18"/>
  </w:num>
  <w:num w:numId="12">
    <w:abstractNumId w:val="4"/>
  </w:num>
  <w:num w:numId="13">
    <w:abstractNumId w:val="13"/>
  </w:num>
  <w:num w:numId="14">
    <w:abstractNumId w:val="11"/>
  </w:num>
  <w:num w:numId="15">
    <w:abstractNumId w:val="9"/>
  </w:num>
  <w:num w:numId="16">
    <w:abstractNumId w:val="6"/>
  </w:num>
  <w:num w:numId="17">
    <w:abstractNumId w:val="15"/>
  </w:num>
  <w:num w:numId="18">
    <w:abstractNumId w:val="8"/>
  </w:num>
  <w:num w:numId="19">
    <w:abstractNumId w:val="17"/>
  </w:num>
  <w:num w:numId="20">
    <w:abstractNumId w:val="0"/>
  </w:num>
  <w:num w:numId="21">
    <w:abstractNumId w:val="19"/>
  </w:num>
  <w:num w:numId="22">
    <w:abstractNumId w:val="7"/>
  </w:num>
  <w:num w:numId="23">
    <w:abstractNumId w:val="16"/>
  </w:num>
  <w:num w:numId="24">
    <w:abstractNumId w:val="16"/>
    <w:lvlOverride w:ilvl="0">
      <w:lvl w:ilvl="0">
        <w:numFmt w:val="decimal"/>
        <w:lvlText w:val="%1."/>
        <w:lvlJc w:val="left"/>
        <w:pPr>
          <w:tabs>
            <w:tab w:val="num" w:pos="2952"/>
          </w:tabs>
          <w:ind w:left="3888" w:hanging="1656"/>
        </w:pPr>
        <w:rPr>
          <w:snapToGrid/>
          <w:spacing w:val="4"/>
          <w:sz w:val="24"/>
          <w:szCs w:val="24"/>
        </w:rPr>
      </w:lvl>
    </w:lvlOverride>
  </w:num>
  <w:num w:numId="25">
    <w:abstractNumId w:val="1"/>
  </w:num>
  <w:num w:numId="26">
    <w:abstractNumId w:val="12"/>
  </w:num>
  <w:num w:numId="27">
    <w:abstractNumId w:val="26"/>
  </w:num>
  <w:num w:numId="28">
    <w:abstractNumId w:val="28"/>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3"/>
    <w:rsid w:val="000016E8"/>
    <w:rsid w:val="00012676"/>
    <w:rsid w:val="000162A3"/>
    <w:rsid w:val="0002071A"/>
    <w:rsid w:val="00022F8B"/>
    <w:rsid w:val="00026DFB"/>
    <w:rsid w:val="0003212C"/>
    <w:rsid w:val="00050C2B"/>
    <w:rsid w:val="000518DA"/>
    <w:rsid w:val="0005787B"/>
    <w:rsid w:val="000618DE"/>
    <w:rsid w:val="000621ED"/>
    <w:rsid w:val="00063ABF"/>
    <w:rsid w:val="00064AE3"/>
    <w:rsid w:val="00065759"/>
    <w:rsid w:val="00066E0A"/>
    <w:rsid w:val="000719B8"/>
    <w:rsid w:val="00072EB3"/>
    <w:rsid w:val="000747C7"/>
    <w:rsid w:val="00083168"/>
    <w:rsid w:val="00084BE4"/>
    <w:rsid w:val="000909B8"/>
    <w:rsid w:val="00097E1B"/>
    <w:rsid w:val="00097F92"/>
    <w:rsid w:val="000A1056"/>
    <w:rsid w:val="000B12D6"/>
    <w:rsid w:val="000B2F24"/>
    <w:rsid w:val="000B4512"/>
    <w:rsid w:val="000B6FB1"/>
    <w:rsid w:val="000B7092"/>
    <w:rsid w:val="000C560A"/>
    <w:rsid w:val="000C58A3"/>
    <w:rsid w:val="000D1C34"/>
    <w:rsid w:val="000D3751"/>
    <w:rsid w:val="000E1629"/>
    <w:rsid w:val="000E4C28"/>
    <w:rsid w:val="000F1617"/>
    <w:rsid w:val="000F4869"/>
    <w:rsid w:val="000F5FD3"/>
    <w:rsid w:val="000F724D"/>
    <w:rsid w:val="000F75AA"/>
    <w:rsid w:val="000F7D7F"/>
    <w:rsid w:val="00104238"/>
    <w:rsid w:val="00116C5A"/>
    <w:rsid w:val="00117D2F"/>
    <w:rsid w:val="00117DE8"/>
    <w:rsid w:val="00117EB7"/>
    <w:rsid w:val="0012385F"/>
    <w:rsid w:val="00150F2C"/>
    <w:rsid w:val="00155497"/>
    <w:rsid w:val="00155EBC"/>
    <w:rsid w:val="001576FF"/>
    <w:rsid w:val="00163671"/>
    <w:rsid w:val="00164743"/>
    <w:rsid w:val="0016598D"/>
    <w:rsid w:val="00166644"/>
    <w:rsid w:val="0017126E"/>
    <w:rsid w:val="0017188E"/>
    <w:rsid w:val="001753CB"/>
    <w:rsid w:val="00181A5C"/>
    <w:rsid w:val="00183096"/>
    <w:rsid w:val="00192D4B"/>
    <w:rsid w:val="0019339A"/>
    <w:rsid w:val="001A0E08"/>
    <w:rsid w:val="001A146F"/>
    <w:rsid w:val="001A22EC"/>
    <w:rsid w:val="001A3B12"/>
    <w:rsid w:val="001A79FC"/>
    <w:rsid w:val="001B1531"/>
    <w:rsid w:val="001B7ED7"/>
    <w:rsid w:val="001B7F9A"/>
    <w:rsid w:val="001C170B"/>
    <w:rsid w:val="001C2E2F"/>
    <w:rsid w:val="001C3672"/>
    <w:rsid w:val="001D54AA"/>
    <w:rsid w:val="001E375E"/>
    <w:rsid w:val="001E6A64"/>
    <w:rsid w:val="001F010B"/>
    <w:rsid w:val="001F2CED"/>
    <w:rsid w:val="001F5C60"/>
    <w:rsid w:val="00202E5A"/>
    <w:rsid w:val="002067D3"/>
    <w:rsid w:val="0021289D"/>
    <w:rsid w:val="00212C77"/>
    <w:rsid w:val="00213B86"/>
    <w:rsid w:val="00220BEC"/>
    <w:rsid w:val="00225967"/>
    <w:rsid w:val="00225A89"/>
    <w:rsid w:val="00235DE8"/>
    <w:rsid w:val="00236B21"/>
    <w:rsid w:val="00237B07"/>
    <w:rsid w:val="0024091D"/>
    <w:rsid w:val="002556F8"/>
    <w:rsid w:val="002571C4"/>
    <w:rsid w:val="00257C69"/>
    <w:rsid w:val="0026290B"/>
    <w:rsid w:val="002666F7"/>
    <w:rsid w:val="00280341"/>
    <w:rsid w:val="0028657F"/>
    <w:rsid w:val="00292C09"/>
    <w:rsid w:val="00293A46"/>
    <w:rsid w:val="002A5362"/>
    <w:rsid w:val="002A70C8"/>
    <w:rsid w:val="002B5ADA"/>
    <w:rsid w:val="002B62FB"/>
    <w:rsid w:val="002D0A6C"/>
    <w:rsid w:val="002D18D3"/>
    <w:rsid w:val="002E3FD9"/>
    <w:rsid w:val="002F0FD3"/>
    <w:rsid w:val="002F30C8"/>
    <w:rsid w:val="003010DB"/>
    <w:rsid w:val="0030247B"/>
    <w:rsid w:val="00306D6E"/>
    <w:rsid w:val="003077E9"/>
    <w:rsid w:val="00307AA2"/>
    <w:rsid w:val="003275FD"/>
    <w:rsid w:val="0033686A"/>
    <w:rsid w:val="003410E6"/>
    <w:rsid w:val="0034308F"/>
    <w:rsid w:val="00343FA4"/>
    <w:rsid w:val="003445D0"/>
    <w:rsid w:val="00351AEB"/>
    <w:rsid w:val="003618D0"/>
    <w:rsid w:val="00364E47"/>
    <w:rsid w:val="00365979"/>
    <w:rsid w:val="003712B4"/>
    <w:rsid w:val="00373B67"/>
    <w:rsid w:val="00382C0B"/>
    <w:rsid w:val="00395EF4"/>
    <w:rsid w:val="00397E0D"/>
    <w:rsid w:val="003A0187"/>
    <w:rsid w:val="003B1A2C"/>
    <w:rsid w:val="003B5FBA"/>
    <w:rsid w:val="003B77E0"/>
    <w:rsid w:val="003B7A7D"/>
    <w:rsid w:val="003C7DCF"/>
    <w:rsid w:val="003E3352"/>
    <w:rsid w:val="003E443E"/>
    <w:rsid w:val="003E5773"/>
    <w:rsid w:val="003E675E"/>
    <w:rsid w:val="003E6BD2"/>
    <w:rsid w:val="003E7BF1"/>
    <w:rsid w:val="00412E52"/>
    <w:rsid w:val="00414D40"/>
    <w:rsid w:val="00423811"/>
    <w:rsid w:val="00431978"/>
    <w:rsid w:val="00431E4E"/>
    <w:rsid w:val="004334B2"/>
    <w:rsid w:val="0043552E"/>
    <w:rsid w:val="00435780"/>
    <w:rsid w:val="00441E2C"/>
    <w:rsid w:val="00442940"/>
    <w:rsid w:val="004534AC"/>
    <w:rsid w:val="0046012D"/>
    <w:rsid w:val="00460C59"/>
    <w:rsid w:val="00463F20"/>
    <w:rsid w:val="00464B89"/>
    <w:rsid w:val="00471306"/>
    <w:rsid w:val="004817BA"/>
    <w:rsid w:val="00491A18"/>
    <w:rsid w:val="004928D5"/>
    <w:rsid w:val="00492EC6"/>
    <w:rsid w:val="00494814"/>
    <w:rsid w:val="004A27A5"/>
    <w:rsid w:val="004B73DB"/>
    <w:rsid w:val="004B75A2"/>
    <w:rsid w:val="004C34D6"/>
    <w:rsid w:val="004C5260"/>
    <w:rsid w:val="004D066C"/>
    <w:rsid w:val="004D5491"/>
    <w:rsid w:val="004E389C"/>
    <w:rsid w:val="004E488E"/>
    <w:rsid w:val="004E6E4A"/>
    <w:rsid w:val="004F2670"/>
    <w:rsid w:val="004F32D3"/>
    <w:rsid w:val="004F3CD1"/>
    <w:rsid w:val="004F6A89"/>
    <w:rsid w:val="00501F5C"/>
    <w:rsid w:val="005032C0"/>
    <w:rsid w:val="005036E7"/>
    <w:rsid w:val="0052768C"/>
    <w:rsid w:val="005315BE"/>
    <w:rsid w:val="00533C13"/>
    <w:rsid w:val="00545294"/>
    <w:rsid w:val="005500AC"/>
    <w:rsid w:val="005501A8"/>
    <w:rsid w:val="00553556"/>
    <w:rsid w:val="00557652"/>
    <w:rsid w:val="00557CA1"/>
    <w:rsid w:val="005770E0"/>
    <w:rsid w:val="00580B9C"/>
    <w:rsid w:val="00581785"/>
    <w:rsid w:val="005911A7"/>
    <w:rsid w:val="005951FC"/>
    <w:rsid w:val="005967B0"/>
    <w:rsid w:val="00597658"/>
    <w:rsid w:val="0059789A"/>
    <w:rsid w:val="005A0F6A"/>
    <w:rsid w:val="005A2D7F"/>
    <w:rsid w:val="005A31E2"/>
    <w:rsid w:val="005B16F2"/>
    <w:rsid w:val="005B4C4F"/>
    <w:rsid w:val="005C0FF7"/>
    <w:rsid w:val="005C2355"/>
    <w:rsid w:val="005C3240"/>
    <w:rsid w:val="005D1229"/>
    <w:rsid w:val="005D7DA8"/>
    <w:rsid w:val="005E00EA"/>
    <w:rsid w:val="005E4CC4"/>
    <w:rsid w:val="005F1063"/>
    <w:rsid w:val="005F3E7E"/>
    <w:rsid w:val="005F3FA1"/>
    <w:rsid w:val="006028C8"/>
    <w:rsid w:val="00605BEA"/>
    <w:rsid w:val="00612948"/>
    <w:rsid w:val="00613899"/>
    <w:rsid w:val="00622DDC"/>
    <w:rsid w:val="00630DF6"/>
    <w:rsid w:val="00640E8D"/>
    <w:rsid w:val="00641D9F"/>
    <w:rsid w:val="0064795D"/>
    <w:rsid w:val="0065459D"/>
    <w:rsid w:val="006643D3"/>
    <w:rsid w:val="006658FF"/>
    <w:rsid w:val="00674FDA"/>
    <w:rsid w:val="00675198"/>
    <w:rsid w:val="00677E39"/>
    <w:rsid w:val="00680A6C"/>
    <w:rsid w:val="006919A6"/>
    <w:rsid w:val="006919BB"/>
    <w:rsid w:val="00697E31"/>
    <w:rsid w:val="006A328C"/>
    <w:rsid w:val="006A42DA"/>
    <w:rsid w:val="006B537D"/>
    <w:rsid w:val="006B5462"/>
    <w:rsid w:val="006B6011"/>
    <w:rsid w:val="006B6BD2"/>
    <w:rsid w:val="006C0634"/>
    <w:rsid w:val="006D016B"/>
    <w:rsid w:val="006D70F0"/>
    <w:rsid w:val="006D740F"/>
    <w:rsid w:val="006E07A3"/>
    <w:rsid w:val="006E3713"/>
    <w:rsid w:val="006E672F"/>
    <w:rsid w:val="006F13AD"/>
    <w:rsid w:val="006F19BE"/>
    <w:rsid w:val="006F700A"/>
    <w:rsid w:val="00704F16"/>
    <w:rsid w:val="00706786"/>
    <w:rsid w:val="007226E1"/>
    <w:rsid w:val="007324A7"/>
    <w:rsid w:val="00734F80"/>
    <w:rsid w:val="0073537F"/>
    <w:rsid w:val="00735C36"/>
    <w:rsid w:val="007411D2"/>
    <w:rsid w:val="007461FC"/>
    <w:rsid w:val="007479D6"/>
    <w:rsid w:val="00751C21"/>
    <w:rsid w:val="00752ACF"/>
    <w:rsid w:val="0075468E"/>
    <w:rsid w:val="0076203D"/>
    <w:rsid w:val="00762BDE"/>
    <w:rsid w:val="00764ACC"/>
    <w:rsid w:val="00764B6A"/>
    <w:rsid w:val="00770EC3"/>
    <w:rsid w:val="007768D5"/>
    <w:rsid w:val="0078372B"/>
    <w:rsid w:val="007837C8"/>
    <w:rsid w:val="00785EA3"/>
    <w:rsid w:val="007A1E32"/>
    <w:rsid w:val="007A3DFA"/>
    <w:rsid w:val="007A5930"/>
    <w:rsid w:val="007A747D"/>
    <w:rsid w:val="007A7E23"/>
    <w:rsid w:val="007B1EDF"/>
    <w:rsid w:val="007B5831"/>
    <w:rsid w:val="007D443C"/>
    <w:rsid w:val="007D5189"/>
    <w:rsid w:val="007E27F0"/>
    <w:rsid w:val="007E3E00"/>
    <w:rsid w:val="007E42DC"/>
    <w:rsid w:val="007E477E"/>
    <w:rsid w:val="007F2C07"/>
    <w:rsid w:val="007F5F2E"/>
    <w:rsid w:val="007F5F5A"/>
    <w:rsid w:val="00814A67"/>
    <w:rsid w:val="00815A8C"/>
    <w:rsid w:val="0082281A"/>
    <w:rsid w:val="008459D9"/>
    <w:rsid w:val="00851BF8"/>
    <w:rsid w:val="00853EED"/>
    <w:rsid w:val="00857DDA"/>
    <w:rsid w:val="00860A43"/>
    <w:rsid w:val="00860F3C"/>
    <w:rsid w:val="00861585"/>
    <w:rsid w:val="0086350E"/>
    <w:rsid w:val="00866103"/>
    <w:rsid w:val="00874EB4"/>
    <w:rsid w:val="0088001E"/>
    <w:rsid w:val="00890B07"/>
    <w:rsid w:val="00895BF7"/>
    <w:rsid w:val="008A061B"/>
    <w:rsid w:val="008A409C"/>
    <w:rsid w:val="008A70D0"/>
    <w:rsid w:val="008B20DC"/>
    <w:rsid w:val="008B2E92"/>
    <w:rsid w:val="008B3966"/>
    <w:rsid w:val="008B3EED"/>
    <w:rsid w:val="008C2B2E"/>
    <w:rsid w:val="008C42E5"/>
    <w:rsid w:val="008C7E25"/>
    <w:rsid w:val="008D0423"/>
    <w:rsid w:val="008D08B4"/>
    <w:rsid w:val="008D4C27"/>
    <w:rsid w:val="008D6425"/>
    <w:rsid w:val="008D6FCC"/>
    <w:rsid w:val="008D7AB8"/>
    <w:rsid w:val="008E7885"/>
    <w:rsid w:val="008F2C2A"/>
    <w:rsid w:val="00900E51"/>
    <w:rsid w:val="00903502"/>
    <w:rsid w:val="00904B50"/>
    <w:rsid w:val="00904C66"/>
    <w:rsid w:val="00912034"/>
    <w:rsid w:val="0091374D"/>
    <w:rsid w:val="0092538B"/>
    <w:rsid w:val="00934700"/>
    <w:rsid w:val="00936061"/>
    <w:rsid w:val="00936209"/>
    <w:rsid w:val="009367C0"/>
    <w:rsid w:val="009417DE"/>
    <w:rsid w:val="00953514"/>
    <w:rsid w:val="00955F4A"/>
    <w:rsid w:val="0096069B"/>
    <w:rsid w:val="00970A0C"/>
    <w:rsid w:val="009720BA"/>
    <w:rsid w:val="00972887"/>
    <w:rsid w:val="009747BB"/>
    <w:rsid w:val="00975062"/>
    <w:rsid w:val="00980DEB"/>
    <w:rsid w:val="00981A9F"/>
    <w:rsid w:val="00982FCE"/>
    <w:rsid w:val="00984785"/>
    <w:rsid w:val="00987633"/>
    <w:rsid w:val="00990353"/>
    <w:rsid w:val="009A0884"/>
    <w:rsid w:val="009A0BA3"/>
    <w:rsid w:val="009A0CAA"/>
    <w:rsid w:val="009A11CA"/>
    <w:rsid w:val="009B5BCC"/>
    <w:rsid w:val="009B7DAA"/>
    <w:rsid w:val="009C12EF"/>
    <w:rsid w:val="009C428B"/>
    <w:rsid w:val="009C64F0"/>
    <w:rsid w:val="009C752E"/>
    <w:rsid w:val="009D4F9C"/>
    <w:rsid w:val="009E0132"/>
    <w:rsid w:val="009E23AB"/>
    <w:rsid w:val="009E2B12"/>
    <w:rsid w:val="009E6332"/>
    <w:rsid w:val="009E7C5B"/>
    <w:rsid w:val="00A036F0"/>
    <w:rsid w:val="00A10FCA"/>
    <w:rsid w:val="00A112FE"/>
    <w:rsid w:val="00A12FFE"/>
    <w:rsid w:val="00A16FCF"/>
    <w:rsid w:val="00A20E2E"/>
    <w:rsid w:val="00A22A5B"/>
    <w:rsid w:val="00A30ECF"/>
    <w:rsid w:val="00A4025E"/>
    <w:rsid w:val="00A43AE0"/>
    <w:rsid w:val="00A50502"/>
    <w:rsid w:val="00A53B32"/>
    <w:rsid w:val="00A61E56"/>
    <w:rsid w:val="00A67ABD"/>
    <w:rsid w:val="00A85C9E"/>
    <w:rsid w:val="00A86A92"/>
    <w:rsid w:val="00A91A7B"/>
    <w:rsid w:val="00A92DEC"/>
    <w:rsid w:val="00A93875"/>
    <w:rsid w:val="00A94DC2"/>
    <w:rsid w:val="00AA4A8B"/>
    <w:rsid w:val="00AA623F"/>
    <w:rsid w:val="00AA717A"/>
    <w:rsid w:val="00AB242C"/>
    <w:rsid w:val="00AB3E5B"/>
    <w:rsid w:val="00AB45D6"/>
    <w:rsid w:val="00AC112B"/>
    <w:rsid w:val="00AC4239"/>
    <w:rsid w:val="00AC4357"/>
    <w:rsid w:val="00AC49A7"/>
    <w:rsid w:val="00AC4A12"/>
    <w:rsid w:val="00AD0A8B"/>
    <w:rsid w:val="00AD227D"/>
    <w:rsid w:val="00AE1EC8"/>
    <w:rsid w:val="00AE2509"/>
    <w:rsid w:val="00AE31D8"/>
    <w:rsid w:val="00AE4F0D"/>
    <w:rsid w:val="00AF005F"/>
    <w:rsid w:val="00AF087E"/>
    <w:rsid w:val="00AF0B18"/>
    <w:rsid w:val="00AF3939"/>
    <w:rsid w:val="00AF6242"/>
    <w:rsid w:val="00AF7DAD"/>
    <w:rsid w:val="00B016B3"/>
    <w:rsid w:val="00B07D48"/>
    <w:rsid w:val="00B07EBC"/>
    <w:rsid w:val="00B07F7F"/>
    <w:rsid w:val="00B25360"/>
    <w:rsid w:val="00B37173"/>
    <w:rsid w:val="00B37B38"/>
    <w:rsid w:val="00B40E0E"/>
    <w:rsid w:val="00B46CB9"/>
    <w:rsid w:val="00B713E3"/>
    <w:rsid w:val="00B7399E"/>
    <w:rsid w:val="00B815F4"/>
    <w:rsid w:val="00B8214E"/>
    <w:rsid w:val="00B849C3"/>
    <w:rsid w:val="00B84B4D"/>
    <w:rsid w:val="00B84F22"/>
    <w:rsid w:val="00B95F35"/>
    <w:rsid w:val="00B963A7"/>
    <w:rsid w:val="00BA1547"/>
    <w:rsid w:val="00BB18C6"/>
    <w:rsid w:val="00BB1AB9"/>
    <w:rsid w:val="00BB4644"/>
    <w:rsid w:val="00BB508E"/>
    <w:rsid w:val="00BC2211"/>
    <w:rsid w:val="00BC3539"/>
    <w:rsid w:val="00BC58CB"/>
    <w:rsid w:val="00BD63D4"/>
    <w:rsid w:val="00BD66E3"/>
    <w:rsid w:val="00BE087C"/>
    <w:rsid w:val="00BE25D1"/>
    <w:rsid w:val="00BE42BA"/>
    <w:rsid w:val="00BF2DA7"/>
    <w:rsid w:val="00C15C41"/>
    <w:rsid w:val="00C20945"/>
    <w:rsid w:val="00C220F1"/>
    <w:rsid w:val="00C47093"/>
    <w:rsid w:val="00C55265"/>
    <w:rsid w:val="00C61760"/>
    <w:rsid w:val="00C66BFF"/>
    <w:rsid w:val="00C737C0"/>
    <w:rsid w:val="00C772A7"/>
    <w:rsid w:val="00C77EE0"/>
    <w:rsid w:val="00C8159D"/>
    <w:rsid w:val="00C850E7"/>
    <w:rsid w:val="00CA355E"/>
    <w:rsid w:val="00CA55E5"/>
    <w:rsid w:val="00CB2DBF"/>
    <w:rsid w:val="00CB3381"/>
    <w:rsid w:val="00CB4761"/>
    <w:rsid w:val="00CB5240"/>
    <w:rsid w:val="00CC1D7E"/>
    <w:rsid w:val="00CC5879"/>
    <w:rsid w:val="00CC67FC"/>
    <w:rsid w:val="00CC71F8"/>
    <w:rsid w:val="00CD10FC"/>
    <w:rsid w:val="00CD2320"/>
    <w:rsid w:val="00CD57FC"/>
    <w:rsid w:val="00CE25F8"/>
    <w:rsid w:val="00CE3145"/>
    <w:rsid w:val="00CF6CB5"/>
    <w:rsid w:val="00D06A31"/>
    <w:rsid w:val="00D11D66"/>
    <w:rsid w:val="00D26E87"/>
    <w:rsid w:val="00D26F33"/>
    <w:rsid w:val="00D31E0C"/>
    <w:rsid w:val="00D35D47"/>
    <w:rsid w:val="00D36857"/>
    <w:rsid w:val="00D44349"/>
    <w:rsid w:val="00D4554C"/>
    <w:rsid w:val="00D4779F"/>
    <w:rsid w:val="00D559F9"/>
    <w:rsid w:val="00D55E91"/>
    <w:rsid w:val="00D62598"/>
    <w:rsid w:val="00D662B2"/>
    <w:rsid w:val="00D704F1"/>
    <w:rsid w:val="00D72132"/>
    <w:rsid w:val="00D766ED"/>
    <w:rsid w:val="00D834AF"/>
    <w:rsid w:val="00D85270"/>
    <w:rsid w:val="00D86AB5"/>
    <w:rsid w:val="00DA1714"/>
    <w:rsid w:val="00DA1AC1"/>
    <w:rsid w:val="00DA4D7D"/>
    <w:rsid w:val="00DA7BC9"/>
    <w:rsid w:val="00DB007F"/>
    <w:rsid w:val="00DB31CE"/>
    <w:rsid w:val="00DB60AB"/>
    <w:rsid w:val="00DB6DD2"/>
    <w:rsid w:val="00DC1007"/>
    <w:rsid w:val="00DC26C1"/>
    <w:rsid w:val="00DD04DD"/>
    <w:rsid w:val="00DD09D9"/>
    <w:rsid w:val="00DD40D9"/>
    <w:rsid w:val="00DD62AF"/>
    <w:rsid w:val="00DE278D"/>
    <w:rsid w:val="00DE33EE"/>
    <w:rsid w:val="00DE401F"/>
    <w:rsid w:val="00DE677B"/>
    <w:rsid w:val="00DF48D9"/>
    <w:rsid w:val="00E02A78"/>
    <w:rsid w:val="00E04527"/>
    <w:rsid w:val="00E12332"/>
    <w:rsid w:val="00E21236"/>
    <w:rsid w:val="00E2291D"/>
    <w:rsid w:val="00E26E53"/>
    <w:rsid w:val="00E2771E"/>
    <w:rsid w:val="00E27B4B"/>
    <w:rsid w:val="00E357FA"/>
    <w:rsid w:val="00E37778"/>
    <w:rsid w:val="00E37CF7"/>
    <w:rsid w:val="00E466BB"/>
    <w:rsid w:val="00E509B9"/>
    <w:rsid w:val="00E521F2"/>
    <w:rsid w:val="00E54A4C"/>
    <w:rsid w:val="00E60E4B"/>
    <w:rsid w:val="00E61E82"/>
    <w:rsid w:val="00E62727"/>
    <w:rsid w:val="00E6459D"/>
    <w:rsid w:val="00E670E1"/>
    <w:rsid w:val="00E67CF1"/>
    <w:rsid w:val="00E730EB"/>
    <w:rsid w:val="00E75387"/>
    <w:rsid w:val="00E75A27"/>
    <w:rsid w:val="00E83D8F"/>
    <w:rsid w:val="00E83FEA"/>
    <w:rsid w:val="00E84C47"/>
    <w:rsid w:val="00E86FB4"/>
    <w:rsid w:val="00E933E8"/>
    <w:rsid w:val="00E94105"/>
    <w:rsid w:val="00E95F0A"/>
    <w:rsid w:val="00EA110B"/>
    <w:rsid w:val="00EA2252"/>
    <w:rsid w:val="00EA733B"/>
    <w:rsid w:val="00EB27F0"/>
    <w:rsid w:val="00EB5AC8"/>
    <w:rsid w:val="00EC1018"/>
    <w:rsid w:val="00EC1E65"/>
    <w:rsid w:val="00ED2472"/>
    <w:rsid w:val="00ED691C"/>
    <w:rsid w:val="00EE394B"/>
    <w:rsid w:val="00EE45C2"/>
    <w:rsid w:val="00EF085C"/>
    <w:rsid w:val="00EF4651"/>
    <w:rsid w:val="00F019AE"/>
    <w:rsid w:val="00F112FD"/>
    <w:rsid w:val="00F17A9A"/>
    <w:rsid w:val="00F17CC3"/>
    <w:rsid w:val="00F2342F"/>
    <w:rsid w:val="00F32C4E"/>
    <w:rsid w:val="00F34BD8"/>
    <w:rsid w:val="00F40C64"/>
    <w:rsid w:val="00F44833"/>
    <w:rsid w:val="00F53CEB"/>
    <w:rsid w:val="00F5569E"/>
    <w:rsid w:val="00F56907"/>
    <w:rsid w:val="00F57DC4"/>
    <w:rsid w:val="00F66E97"/>
    <w:rsid w:val="00F7018B"/>
    <w:rsid w:val="00F71CFA"/>
    <w:rsid w:val="00F74861"/>
    <w:rsid w:val="00F75F95"/>
    <w:rsid w:val="00F77210"/>
    <w:rsid w:val="00F80CA7"/>
    <w:rsid w:val="00F82325"/>
    <w:rsid w:val="00F83F8E"/>
    <w:rsid w:val="00F85F77"/>
    <w:rsid w:val="00F8641C"/>
    <w:rsid w:val="00F90A2D"/>
    <w:rsid w:val="00F91EA5"/>
    <w:rsid w:val="00F93823"/>
    <w:rsid w:val="00FA0A72"/>
    <w:rsid w:val="00FA4894"/>
    <w:rsid w:val="00FB1D5A"/>
    <w:rsid w:val="00FC0802"/>
    <w:rsid w:val="00FC143A"/>
    <w:rsid w:val="00FC3B9A"/>
    <w:rsid w:val="00FC67A1"/>
    <w:rsid w:val="00FC773F"/>
    <w:rsid w:val="00FC7D95"/>
    <w:rsid w:val="00FD28E5"/>
    <w:rsid w:val="00FE0A2D"/>
    <w:rsid w:val="00FE33BD"/>
    <w:rsid w:val="00FE515C"/>
    <w:rsid w:val="00FE73E1"/>
    <w:rsid w:val="00FF636D"/>
    <w:rsid w:val="00FF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ADB2"/>
  <w15:docId w15:val="{F9BD79E1-B7ED-4820-B17A-10513728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833"/>
  </w:style>
  <w:style w:type="paragraph" w:styleId="Heading1">
    <w:name w:val="heading 1"/>
    <w:basedOn w:val="Normal"/>
    <w:next w:val="Normal"/>
    <w:link w:val="Heading1Char"/>
    <w:uiPriority w:val="9"/>
    <w:qFormat/>
    <w:rsid w:val="00EE394B"/>
    <w:pPr>
      <w:keepNext/>
      <w:spacing w:line="360" w:lineRule="auto"/>
      <w:ind w:firstLine="1440"/>
      <w:jc w:val="center"/>
      <w:outlineLvl w:val="0"/>
    </w:pPr>
    <w:rPr>
      <w:rFonts w:ascii="Times New Roman" w:hAnsi="Times New Roman" w:cs="Times New Roman"/>
      <w:color w:val="212121"/>
      <w:sz w:val="26"/>
      <w:szCs w:val="26"/>
    </w:rPr>
  </w:style>
  <w:style w:type="paragraph" w:styleId="Heading2">
    <w:name w:val="heading 2"/>
    <w:basedOn w:val="Normal"/>
    <w:next w:val="Normal"/>
    <w:link w:val="Heading2Char"/>
    <w:uiPriority w:val="9"/>
    <w:unhideWhenUsed/>
    <w:qFormat/>
    <w:rsid w:val="00DD04DD"/>
    <w:pPr>
      <w:keepNext/>
      <w:tabs>
        <w:tab w:val="left" w:pos="2160"/>
      </w:tabs>
      <w:spacing w:after="0" w:line="360" w:lineRule="auto"/>
      <w:ind w:right="72"/>
      <w:textAlignment w:val="baseline"/>
      <w:outlineLvl w:val="1"/>
    </w:pPr>
    <w:rPr>
      <w:rFonts w:ascii="Times New Roman" w:eastAsia="Times New Roman" w:hAnsi="Times New Roman" w:cs="Times New Roman"/>
      <w:color w:val="000000"/>
      <w:sz w:val="26"/>
      <w:szCs w:val="26"/>
    </w:rPr>
  </w:style>
  <w:style w:type="paragraph" w:styleId="Heading3">
    <w:name w:val="heading 3"/>
    <w:basedOn w:val="Normal"/>
    <w:next w:val="Normal"/>
    <w:link w:val="Heading3Char"/>
    <w:uiPriority w:val="9"/>
    <w:unhideWhenUsed/>
    <w:qFormat/>
    <w:rsid w:val="00680A6C"/>
    <w:pPr>
      <w:keepNext/>
      <w:tabs>
        <w:tab w:val="left" w:pos="-720"/>
      </w:tabs>
      <w:suppressAutoHyphens/>
      <w:spacing w:after="0" w:line="360" w:lineRule="auto"/>
      <w:ind w:hanging="1440"/>
      <w:jc w:val="center"/>
      <w:outlineLvl w:val="2"/>
    </w:pPr>
    <w:rPr>
      <w:rFonts w:ascii="Times New Roman" w:eastAsia="Times New Roman" w:hAnsi="Times New Roman" w:cs="Times New Roman"/>
      <w:b/>
      <w:sz w:val="26"/>
      <w:szCs w:val="26"/>
    </w:rPr>
  </w:style>
  <w:style w:type="paragraph" w:styleId="Heading4">
    <w:name w:val="heading 4"/>
    <w:basedOn w:val="Normal"/>
    <w:next w:val="Normal"/>
    <w:link w:val="Heading4Char"/>
    <w:uiPriority w:val="9"/>
    <w:unhideWhenUsed/>
    <w:qFormat/>
    <w:rsid w:val="00680A6C"/>
    <w:pPr>
      <w:keepNext/>
      <w:tabs>
        <w:tab w:val="center" w:pos="0"/>
      </w:tabs>
      <w:suppressAutoHyphens/>
      <w:spacing w:after="0" w:line="360" w:lineRule="auto"/>
      <w:outlineLvl w:val="3"/>
    </w:pPr>
    <w:rPr>
      <w:rFonts w:ascii="Times New Roman" w:eastAsia="Times New Roman" w:hAnsi="Times New Roman" w:cs="Times New Roman"/>
      <w:b/>
      <w:sz w:val="26"/>
      <w:szCs w:val="26"/>
    </w:rPr>
  </w:style>
  <w:style w:type="paragraph" w:styleId="Heading5">
    <w:name w:val="heading 5"/>
    <w:basedOn w:val="Normal"/>
    <w:next w:val="Normal"/>
    <w:link w:val="Heading5Char"/>
    <w:uiPriority w:val="9"/>
    <w:unhideWhenUsed/>
    <w:qFormat/>
    <w:rsid w:val="00675198"/>
    <w:pPr>
      <w:keepNext/>
      <w:suppressAutoHyphens/>
      <w:spacing w:after="0" w:line="240" w:lineRule="auto"/>
      <w:ind w:right="450"/>
      <w:jc w:val="right"/>
      <w:outlineLvl w:val="4"/>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48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4833"/>
    <w:rPr>
      <w:sz w:val="20"/>
      <w:szCs w:val="20"/>
    </w:rPr>
  </w:style>
  <w:style w:type="character" w:styleId="FootnoteReference">
    <w:name w:val="footnote reference"/>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CommentReference">
    <w:name w:val="annotation reference"/>
    <w:basedOn w:val="DefaultParagraphFont"/>
    <w:uiPriority w:val="99"/>
    <w:semiHidden/>
    <w:unhideWhenUsed/>
    <w:rsid w:val="0002071A"/>
    <w:rPr>
      <w:sz w:val="16"/>
      <w:szCs w:val="16"/>
    </w:rPr>
  </w:style>
  <w:style w:type="paragraph" w:styleId="CommentText">
    <w:name w:val="annotation text"/>
    <w:basedOn w:val="Normal"/>
    <w:link w:val="CommentTextChar"/>
    <w:uiPriority w:val="99"/>
    <w:semiHidden/>
    <w:unhideWhenUsed/>
    <w:rsid w:val="0002071A"/>
    <w:pPr>
      <w:spacing w:line="240" w:lineRule="auto"/>
    </w:pPr>
    <w:rPr>
      <w:sz w:val="20"/>
      <w:szCs w:val="20"/>
    </w:rPr>
  </w:style>
  <w:style w:type="character" w:customStyle="1" w:styleId="CommentTextChar">
    <w:name w:val="Comment Text Char"/>
    <w:basedOn w:val="DefaultParagraphFont"/>
    <w:link w:val="CommentText"/>
    <w:uiPriority w:val="99"/>
    <w:semiHidden/>
    <w:rsid w:val="0002071A"/>
    <w:rPr>
      <w:sz w:val="20"/>
      <w:szCs w:val="20"/>
    </w:rPr>
  </w:style>
  <w:style w:type="paragraph" w:styleId="CommentSubject">
    <w:name w:val="annotation subject"/>
    <w:basedOn w:val="CommentText"/>
    <w:next w:val="CommentText"/>
    <w:link w:val="CommentSubjectChar"/>
    <w:uiPriority w:val="99"/>
    <w:semiHidden/>
    <w:unhideWhenUsed/>
    <w:rsid w:val="0002071A"/>
    <w:rPr>
      <w:b/>
      <w:bCs/>
    </w:rPr>
  </w:style>
  <w:style w:type="character" w:customStyle="1" w:styleId="CommentSubjectChar">
    <w:name w:val="Comment Subject Char"/>
    <w:basedOn w:val="CommentTextChar"/>
    <w:link w:val="CommentSubject"/>
    <w:uiPriority w:val="99"/>
    <w:semiHidden/>
    <w:rsid w:val="0002071A"/>
    <w:rPr>
      <w:b/>
      <w:bCs/>
      <w:sz w:val="20"/>
      <w:szCs w:val="20"/>
    </w:rPr>
  </w:style>
  <w:style w:type="paragraph" w:styleId="ListParagraph">
    <w:name w:val="List Paragraph"/>
    <w:basedOn w:val="Normal"/>
    <w:uiPriority w:val="34"/>
    <w:qFormat/>
    <w:rsid w:val="004F6A89"/>
    <w:pPr>
      <w:ind w:left="720"/>
      <w:contextualSpacing/>
    </w:pPr>
  </w:style>
  <w:style w:type="paragraph" w:styleId="BodyTextIndent">
    <w:name w:val="Body Text Indent"/>
    <w:basedOn w:val="Normal"/>
    <w:link w:val="BodyTextIndentChar"/>
    <w:uiPriority w:val="99"/>
    <w:unhideWhenUsed/>
    <w:rsid w:val="00EE394B"/>
    <w:pPr>
      <w:spacing w:line="360" w:lineRule="auto"/>
      <w:ind w:firstLine="1440"/>
    </w:pPr>
    <w:rPr>
      <w:rFonts w:ascii="Times New Roman" w:hAnsi="Times New Roman" w:cs="Times New Roman"/>
      <w:color w:val="212121"/>
      <w:sz w:val="26"/>
      <w:szCs w:val="26"/>
    </w:rPr>
  </w:style>
  <w:style w:type="character" w:customStyle="1" w:styleId="BodyTextIndentChar">
    <w:name w:val="Body Text Indent Char"/>
    <w:basedOn w:val="DefaultParagraphFont"/>
    <w:link w:val="BodyTextIndent"/>
    <w:uiPriority w:val="99"/>
    <w:rsid w:val="00EE394B"/>
    <w:rPr>
      <w:rFonts w:ascii="Times New Roman" w:hAnsi="Times New Roman" w:cs="Times New Roman"/>
      <w:color w:val="212121"/>
      <w:sz w:val="26"/>
      <w:szCs w:val="26"/>
    </w:rPr>
  </w:style>
  <w:style w:type="character" w:customStyle="1" w:styleId="Heading1Char">
    <w:name w:val="Heading 1 Char"/>
    <w:basedOn w:val="DefaultParagraphFont"/>
    <w:link w:val="Heading1"/>
    <w:uiPriority w:val="9"/>
    <w:rsid w:val="00EE394B"/>
    <w:rPr>
      <w:rFonts w:ascii="Times New Roman" w:hAnsi="Times New Roman" w:cs="Times New Roman"/>
      <w:color w:val="212121"/>
      <w:sz w:val="26"/>
      <w:szCs w:val="26"/>
    </w:rPr>
  </w:style>
  <w:style w:type="paragraph" w:styleId="BlockText">
    <w:name w:val="Block Text"/>
    <w:basedOn w:val="Normal"/>
    <w:uiPriority w:val="99"/>
    <w:unhideWhenUsed/>
    <w:rsid w:val="007F5F2E"/>
    <w:pPr>
      <w:spacing w:line="588" w:lineRule="exact"/>
      <w:ind w:left="2160" w:right="72"/>
      <w:textAlignment w:val="baseline"/>
    </w:pPr>
    <w:rPr>
      <w:rFonts w:ascii="Times New Roman" w:eastAsia="Times New Roman" w:hAnsi="Times New Roman"/>
      <w:color w:val="000000"/>
      <w:sz w:val="25"/>
    </w:rPr>
  </w:style>
  <w:style w:type="paragraph" w:styleId="BodyTextIndent2">
    <w:name w:val="Body Text Indent 2"/>
    <w:basedOn w:val="Normal"/>
    <w:link w:val="BodyTextIndent2Char"/>
    <w:uiPriority w:val="99"/>
    <w:unhideWhenUsed/>
    <w:rsid w:val="007F5F2E"/>
    <w:pPr>
      <w:spacing w:after="0" w:line="240" w:lineRule="auto"/>
      <w:ind w:left="2970"/>
      <w:textAlignment w:val="baseline"/>
    </w:pPr>
    <w:rPr>
      <w:rFonts w:ascii="Times New Roman" w:eastAsia="Times New Roman" w:hAnsi="Times New Roman"/>
      <w:color w:val="000000"/>
      <w:sz w:val="25"/>
    </w:rPr>
  </w:style>
  <w:style w:type="character" w:customStyle="1" w:styleId="BodyTextIndent2Char">
    <w:name w:val="Body Text Indent 2 Char"/>
    <w:basedOn w:val="DefaultParagraphFont"/>
    <w:link w:val="BodyTextIndent2"/>
    <w:uiPriority w:val="99"/>
    <w:rsid w:val="007F5F2E"/>
    <w:rPr>
      <w:rFonts w:ascii="Times New Roman" w:eastAsia="Times New Roman" w:hAnsi="Times New Roman"/>
      <w:color w:val="000000"/>
      <w:sz w:val="25"/>
    </w:rPr>
  </w:style>
  <w:style w:type="paragraph" w:styleId="BodyTextIndent3">
    <w:name w:val="Body Text Indent 3"/>
    <w:basedOn w:val="Normal"/>
    <w:link w:val="BodyTextIndent3Char"/>
    <w:uiPriority w:val="99"/>
    <w:unhideWhenUsed/>
    <w:rsid w:val="007F5F2E"/>
    <w:pPr>
      <w:tabs>
        <w:tab w:val="left" w:pos="1368"/>
      </w:tabs>
      <w:spacing w:after="0" w:line="240" w:lineRule="auto"/>
      <w:ind w:left="2160" w:hanging="720"/>
      <w:jc w:val="both"/>
      <w:textAlignment w:val="baseline"/>
    </w:pPr>
    <w:rPr>
      <w:rFonts w:ascii="Times New Roman" w:eastAsia="Times New Roman" w:hAnsi="Times New Roman"/>
      <w:color w:val="000000"/>
      <w:sz w:val="25"/>
    </w:rPr>
  </w:style>
  <w:style w:type="character" w:customStyle="1" w:styleId="BodyTextIndent3Char">
    <w:name w:val="Body Text Indent 3 Char"/>
    <w:basedOn w:val="DefaultParagraphFont"/>
    <w:link w:val="BodyTextIndent3"/>
    <w:uiPriority w:val="99"/>
    <w:rsid w:val="007F5F2E"/>
    <w:rPr>
      <w:rFonts w:ascii="Times New Roman" w:eastAsia="Times New Roman" w:hAnsi="Times New Roman"/>
      <w:color w:val="000000"/>
      <w:sz w:val="25"/>
    </w:rPr>
  </w:style>
  <w:style w:type="paragraph" w:styleId="BodyText">
    <w:name w:val="Body Text"/>
    <w:basedOn w:val="Normal"/>
    <w:link w:val="BodyTextChar"/>
    <w:uiPriority w:val="99"/>
    <w:unhideWhenUsed/>
    <w:rsid w:val="004A27A5"/>
    <w:pPr>
      <w:spacing w:after="0" w:line="360" w:lineRule="auto"/>
    </w:pPr>
    <w:rPr>
      <w:rFonts w:ascii="Times New Roman" w:hAnsi="Times New Roman" w:cs="Times New Roman"/>
      <w:color w:val="212121"/>
      <w:sz w:val="26"/>
      <w:szCs w:val="26"/>
    </w:rPr>
  </w:style>
  <w:style w:type="character" w:customStyle="1" w:styleId="BodyTextChar">
    <w:name w:val="Body Text Char"/>
    <w:basedOn w:val="DefaultParagraphFont"/>
    <w:link w:val="BodyText"/>
    <w:uiPriority w:val="99"/>
    <w:rsid w:val="004A27A5"/>
    <w:rPr>
      <w:rFonts w:ascii="Times New Roman" w:hAnsi="Times New Roman" w:cs="Times New Roman"/>
      <w:color w:val="212121"/>
      <w:sz w:val="26"/>
      <w:szCs w:val="26"/>
    </w:rPr>
  </w:style>
  <w:style w:type="paragraph" w:styleId="Title">
    <w:name w:val="Title"/>
    <w:basedOn w:val="Normal"/>
    <w:next w:val="Normal"/>
    <w:link w:val="TitleChar"/>
    <w:uiPriority w:val="10"/>
    <w:qFormat/>
    <w:rsid w:val="00AA4A8B"/>
    <w:pPr>
      <w:tabs>
        <w:tab w:val="center" w:pos="4680"/>
      </w:tabs>
      <w:suppressAutoHyphens/>
      <w:spacing w:after="0" w:line="240" w:lineRule="auto"/>
      <w:jc w:val="center"/>
    </w:pPr>
    <w:rPr>
      <w:rFonts w:ascii="Times New Roman" w:eastAsia="Times New Roman" w:hAnsi="Times New Roman" w:cs="Times New Roman"/>
      <w:b/>
      <w:spacing w:val="-3"/>
      <w:sz w:val="26"/>
      <w:szCs w:val="26"/>
    </w:rPr>
  </w:style>
  <w:style w:type="character" w:customStyle="1" w:styleId="TitleChar">
    <w:name w:val="Title Char"/>
    <w:basedOn w:val="DefaultParagraphFont"/>
    <w:link w:val="Title"/>
    <w:uiPriority w:val="10"/>
    <w:rsid w:val="00AA4A8B"/>
    <w:rPr>
      <w:rFonts w:ascii="Times New Roman" w:eastAsia="Times New Roman" w:hAnsi="Times New Roman" w:cs="Times New Roman"/>
      <w:b/>
      <w:spacing w:val="-3"/>
      <w:sz w:val="26"/>
      <w:szCs w:val="26"/>
    </w:rPr>
  </w:style>
  <w:style w:type="paragraph" w:styleId="BodyText2">
    <w:name w:val="Body Text 2"/>
    <w:basedOn w:val="Normal"/>
    <w:link w:val="BodyText2Char"/>
    <w:uiPriority w:val="99"/>
    <w:unhideWhenUsed/>
    <w:rsid w:val="00B37173"/>
    <w:pPr>
      <w:tabs>
        <w:tab w:val="left" w:pos="1512"/>
      </w:tabs>
      <w:spacing w:before="601" w:after="0" w:line="592" w:lineRule="exact"/>
      <w:ind w:right="72"/>
      <w:textAlignment w:val="baseline"/>
    </w:pPr>
    <w:rPr>
      <w:rFonts w:ascii="Times New Roman" w:eastAsia="Times New Roman" w:hAnsi="Times New Roman"/>
      <w:b/>
      <w:color w:val="000000"/>
      <w:sz w:val="25"/>
    </w:rPr>
  </w:style>
  <w:style w:type="character" w:customStyle="1" w:styleId="BodyText2Char">
    <w:name w:val="Body Text 2 Char"/>
    <w:basedOn w:val="DefaultParagraphFont"/>
    <w:link w:val="BodyText2"/>
    <w:uiPriority w:val="99"/>
    <w:rsid w:val="00B37173"/>
    <w:rPr>
      <w:rFonts w:ascii="Times New Roman" w:eastAsia="Times New Roman" w:hAnsi="Times New Roman"/>
      <w:b/>
      <w:color w:val="000000"/>
      <w:sz w:val="25"/>
    </w:rPr>
  </w:style>
  <w:style w:type="character" w:customStyle="1" w:styleId="Heading2Char">
    <w:name w:val="Heading 2 Char"/>
    <w:basedOn w:val="DefaultParagraphFont"/>
    <w:link w:val="Heading2"/>
    <w:uiPriority w:val="9"/>
    <w:rsid w:val="00DD04DD"/>
    <w:rPr>
      <w:rFonts w:ascii="Times New Roman" w:eastAsia="Times New Roman" w:hAnsi="Times New Roman" w:cs="Times New Roman"/>
      <w:color w:val="000000"/>
      <w:sz w:val="26"/>
      <w:szCs w:val="26"/>
    </w:rPr>
  </w:style>
  <w:style w:type="character" w:customStyle="1" w:styleId="Heading3Char">
    <w:name w:val="Heading 3 Char"/>
    <w:basedOn w:val="DefaultParagraphFont"/>
    <w:link w:val="Heading3"/>
    <w:uiPriority w:val="9"/>
    <w:rsid w:val="00680A6C"/>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680A6C"/>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67519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9D3A-B3A2-45B3-894F-120EB638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Capper, Thomas</dc:creator>
  <cp:lastModifiedBy>Wagner, Nathan R</cp:lastModifiedBy>
  <cp:revision>3</cp:revision>
  <cp:lastPrinted>2019-01-09T16:17:00Z</cp:lastPrinted>
  <dcterms:created xsi:type="dcterms:W3CDTF">2019-02-04T20:45:00Z</dcterms:created>
  <dcterms:modified xsi:type="dcterms:W3CDTF">2019-02-07T12:39:00Z</dcterms:modified>
</cp:coreProperties>
</file>