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68105" w14:textId="77777777" w:rsidR="00530BFE" w:rsidRDefault="00530BFE" w:rsidP="00236CF7">
      <w:pPr>
        <w:spacing w:line="240" w:lineRule="auto"/>
        <w:rPr>
          <w:b/>
        </w:rPr>
      </w:pPr>
      <w:r>
        <w:rPr>
          <w:b/>
        </w:rPr>
        <w:t>BEFORE THE</w:t>
      </w:r>
    </w:p>
    <w:p w14:paraId="55007980" w14:textId="77777777" w:rsidR="00530BFE" w:rsidRDefault="00530BFE" w:rsidP="00236CF7">
      <w:pPr>
        <w:spacing w:line="240" w:lineRule="auto"/>
        <w:rPr>
          <w:b/>
        </w:rPr>
      </w:pPr>
      <w:r>
        <w:rPr>
          <w:b/>
        </w:rPr>
        <w:t>PENNSYLVANIA PUBLIC UTILITY COMMISSION</w:t>
      </w:r>
    </w:p>
    <w:p w14:paraId="0E4217CB" w14:textId="77777777" w:rsidR="00530BFE" w:rsidRPr="00236CF7" w:rsidRDefault="00530BFE" w:rsidP="00236CF7">
      <w:pPr>
        <w:spacing w:line="240" w:lineRule="auto"/>
        <w:jc w:val="both"/>
      </w:pPr>
    </w:p>
    <w:p w14:paraId="189776A1" w14:textId="77777777" w:rsidR="00530BFE" w:rsidRPr="00236CF7" w:rsidRDefault="00530BFE" w:rsidP="00236CF7">
      <w:pPr>
        <w:spacing w:line="240" w:lineRule="auto"/>
        <w:jc w:val="both"/>
      </w:pPr>
    </w:p>
    <w:p w14:paraId="05AEB497" w14:textId="77777777" w:rsidR="00530BFE" w:rsidRPr="00236CF7" w:rsidRDefault="00530BFE" w:rsidP="00236CF7">
      <w:pPr>
        <w:spacing w:line="240" w:lineRule="auto"/>
        <w:jc w:val="both"/>
      </w:pPr>
    </w:p>
    <w:p w14:paraId="1A52BDE1" w14:textId="65EE09AC" w:rsidR="00530BFE" w:rsidRDefault="003D5779" w:rsidP="00236CF7">
      <w:pPr>
        <w:spacing w:line="240" w:lineRule="auto"/>
        <w:jc w:val="left"/>
      </w:pPr>
      <w:r>
        <w:t>Office of Consumer Advocate</w:t>
      </w:r>
      <w:r w:rsidR="00530BFE">
        <w:tab/>
      </w:r>
      <w:r w:rsidR="00530BFE">
        <w:tab/>
      </w:r>
      <w:r w:rsidR="00530BFE">
        <w:tab/>
        <w:t>:</w:t>
      </w:r>
    </w:p>
    <w:p w14:paraId="734B1CFA" w14:textId="7E10D539" w:rsidR="00530BFE" w:rsidRDefault="00530BFE" w:rsidP="00236CF7">
      <w:pPr>
        <w:spacing w:line="240" w:lineRule="auto"/>
        <w:jc w:val="left"/>
      </w:pPr>
      <w:r>
        <w:tab/>
      </w:r>
      <w:r>
        <w:tab/>
      </w:r>
      <w:r>
        <w:tab/>
      </w:r>
      <w:r>
        <w:tab/>
      </w:r>
      <w:r>
        <w:tab/>
      </w:r>
      <w:r>
        <w:tab/>
      </w:r>
      <w:r>
        <w:tab/>
        <w:t>:</w:t>
      </w:r>
      <w:r w:rsidR="003D5779">
        <w:tab/>
      </w:r>
      <w:r w:rsidR="003D5779">
        <w:tab/>
        <w:t>M-2018-3005860</w:t>
      </w:r>
    </w:p>
    <w:p w14:paraId="23A3A486" w14:textId="5DCA5CAB" w:rsidR="00530BFE" w:rsidRDefault="00530BFE" w:rsidP="00236CF7">
      <w:pPr>
        <w:spacing w:line="240" w:lineRule="auto"/>
        <w:jc w:val="left"/>
      </w:pPr>
      <w:r>
        <w:tab/>
        <w:t>v.</w:t>
      </w:r>
      <w:r>
        <w:tab/>
      </w:r>
      <w:r>
        <w:tab/>
      </w:r>
      <w:r>
        <w:tab/>
      </w:r>
      <w:r>
        <w:tab/>
      </w:r>
      <w:r>
        <w:tab/>
      </w:r>
      <w:r>
        <w:tab/>
        <w:t>:</w:t>
      </w:r>
      <w:r>
        <w:tab/>
      </w:r>
      <w:r>
        <w:tab/>
        <w:t>C-</w:t>
      </w:r>
      <w:r w:rsidR="003D5779">
        <w:t>2018-3006242</w:t>
      </w:r>
    </w:p>
    <w:p w14:paraId="57EB6C57" w14:textId="77777777" w:rsidR="00530BFE" w:rsidRDefault="00530BFE" w:rsidP="00236CF7">
      <w:pPr>
        <w:spacing w:line="240" w:lineRule="auto"/>
        <w:jc w:val="left"/>
      </w:pPr>
      <w:r>
        <w:tab/>
      </w:r>
      <w:r>
        <w:tab/>
      </w:r>
      <w:r>
        <w:tab/>
      </w:r>
      <w:r>
        <w:tab/>
      </w:r>
      <w:r>
        <w:tab/>
      </w:r>
      <w:r>
        <w:tab/>
      </w:r>
      <w:r>
        <w:tab/>
        <w:t>:</w:t>
      </w:r>
    </w:p>
    <w:p w14:paraId="7DA82044" w14:textId="45C966E8" w:rsidR="00530BFE" w:rsidRDefault="003D5779" w:rsidP="00236CF7">
      <w:pPr>
        <w:spacing w:line="240" w:lineRule="auto"/>
        <w:jc w:val="left"/>
      </w:pPr>
      <w:r>
        <w:t>PECO Energy Company</w:t>
      </w:r>
      <w:r w:rsidR="00530BFE">
        <w:tab/>
      </w:r>
      <w:r w:rsidR="00530BFE">
        <w:tab/>
      </w:r>
      <w:r w:rsidR="00530BFE">
        <w:tab/>
      </w:r>
      <w:r w:rsidR="00530BFE">
        <w:tab/>
        <w:t>:</w:t>
      </w:r>
    </w:p>
    <w:p w14:paraId="35EAC8AA" w14:textId="77777777" w:rsidR="00530BFE" w:rsidRDefault="00530BFE" w:rsidP="00236CF7">
      <w:pPr>
        <w:spacing w:line="240" w:lineRule="auto"/>
        <w:jc w:val="left"/>
      </w:pPr>
    </w:p>
    <w:p w14:paraId="0B20F442" w14:textId="3A619593" w:rsidR="00530BFE" w:rsidRDefault="00530BFE" w:rsidP="00236CF7">
      <w:pPr>
        <w:spacing w:line="240" w:lineRule="auto"/>
        <w:jc w:val="left"/>
      </w:pPr>
    </w:p>
    <w:p w14:paraId="4CB400F8" w14:textId="77777777" w:rsidR="00236CF7" w:rsidRDefault="00236CF7" w:rsidP="00236CF7">
      <w:pPr>
        <w:spacing w:line="240" w:lineRule="auto"/>
        <w:jc w:val="left"/>
      </w:pPr>
    </w:p>
    <w:p w14:paraId="0A473AEE" w14:textId="45B9B3F0" w:rsidR="00530BFE" w:rsidRDefault="00530BFE" w:rsidP="00236CF7">
      <w:pPr>
        <w:spacing w:line="240" w:lineRule="auto"/>
        <w:rPr>
          <w:b/>
          <w:u w:val="single"/>
        </w:rPr>
      </w:pPr>
      <w:r>
        <w:rPr>
          <w:b/>
          <w:u w:val="single"/>
        </w:rPr>
        <w:t xml:space="preserve">ORDER DENYING </w:t>
      </w:r>
      <w:r w:rsidR="003D5779">
        <w:rPr>
          <w:b/>
          <w:u w:val="single"/>
        </w:rPr>
        <w:t>PECO ENERGY COMPANY’S</w:t>
      </w:r>
      <w:r>
        <w:rPr>
          <w:b/>
          <w:u w:val="single"/>
        </w:rPr>
        <w:t xml:space="preserve"> PRELIMINARY OBJECTION </w:t>
      </w:r>
    </w:p>
    <w:p w14:paraId="69AC83B7" w14:textId="77777777" w:rsidR="00530BFE" w:rsidRPr="00236CF7" w:rsidRDefault="00530BFE" w:rsidP="00236CF7"/>
    <w:p w14:paraId="0989D373" w14:textId="77777777" w:rsidR="00530BFE" w:rsidRDefault="00530BFE" w:rsidP="00530BFE">
      <w:pPr>
        <w:spacing w:line="240" w:lineRule="auto"/>
        <w:rPr>
          <w:u w:val="single"/>
        </w:rPr>
      </w:pPr>
      <w:r>
        <w:rPr>
          <w:u w:val="single"/>
        </w:rPr>
        <w:t>HISTORY OF THE PROCEEDING</w:t>
      </w:r>
    </w:p>
    <w:p w14:paraId="13035B0E" w14:textId="77777777" w:rsidR="00530BFE" w:rsidRDefault="00530BFE" w:rsidP="00236CF7">
      <w:pPr>
        <w:rPr>
          <w:u w:val="single"/>
        </w:rPr>
      </w:pPr>
    </w:p>
    <w:p w14:paraId="02C8D57F" w14:textId="39778CCE" w:rsidR="00530BFE" w:rsidRDefault="00530BFE" w:rsidP="00530BFE">
      <w:pPr>
        <w:jc w:val="left"/>
      </w:pPr>
      <w:r>
        <w:tab/>
      </w:r>
      <w:r>
        <w:tab/>
      </w:r>
      <w:r w:rsidR="00EB0CE4">
        <w:t>On November 7, 201</w:t>
      </w:r>
      <w:r w:rsidR="00AA3C31">
        <w:t>8</w:t>
      </w:r>
      <w:r>
        <w:t xml:space="preserve">, </w:t>
      </w:r>
      <w:r w:rsidR="00AA3C31">
        <w:t>PECO Energy Company (PECO or Company)</w:t>
      </w:r>
      <w:r w:rsidR="000E7E78">
        <w:t xml:space="preserve"> filed its semiannual adjustment to the </w:t>
      </w:r>
      <w:r w:rsidR="000F4F67">
        <w:t>non-bypassable transmission cha</w:t>
      </w:r>
      <w:r w:rsidR="00BA2A4C">
        <w:t>r</w:t>
      </w:r>
      <w:r w:rsidR="000F4F67">
        <w:t>ge</w:t>
      </w:r>
      <w:r w:rsidR="00BA2A4C">
        <w:t xml:space="preserve"> (NBT)</w:t>
      </w:r>
      <w:r w:rsidR="00050495">
        <w:t xml:space="preserve"> in PECO Electric Tariff No. 5, Supplement No. </w:t>
      </w:r>
      <w:r w:rsidR="00B74989">
        <w:t>76 (Supplement No. 76)</w:t>
      </w:r>
      <w:r>
        <w:t>.</w:t>
      </w:r>
      <w:r w:rsidR="00B74989">
        <w:t xml:space="preserve">  In Supplement No. 76, the Company proposed </w:t>
      </w:r>
      <w:r w:rsidR="00DB1D4E">
        <w:t>to reflect all Regional Transmission Expansion Plan (</w:t>
      </w:r>
      <w:r w:rsidR="006D6936">
        <w:t>RTEP) credits in the NBT that relate to PJM</w:t>
      </w:r>
      <w:r w:rsidR="00E053CF">
        <w:t xml:space="preserve"> Interconnection, LLC (</w:t>
      </w:r>
      <w:r w:rsidR="00FE2C6E">
        <w:t>PJM) charges for the transmission-related services a</w:t>
      </w:r>
      <w:r w:rsidR="00B84AA5">
        <w:t>cquired for PECO’s default service customers on and after</w:t>
      </w:r>
      <w:r w:rsidR="00927388">
        <w:t xml:space="preserve"> implementation of the </w:t>
      </w:r>
      <w:r w:rsidR="0094672E">
        <w:t>reconcilable transmission service cost</w:t>
      </w:r>
      <w:r w:rsidR="00E7793F">
        <w:t xml:space="preserve"> (TSC) on January 1, 2011.</w:t>
      </w:r>
      <w:r w:rsidR="00011234">
        <w:t xml:space="preserve">  PECO </w:t>
      </w:r>
      <w:r w:rsidR="00036664">
        <w:t>received a credit of $79.5 million</w:t>
      </w:r>
      <w:r w:rsidR="00C57F6A">
        <w:t xml:space="preserve"> from a settlement before the Federal Energy Regulatory Commission (FERC).</w:t>
      </w:r>
      <w:r w:rsidR="00C31A49">
        <w:t xml:space="preserve">  PECO </w:t>
      </w:r>
      <w:r w:rsidR="00EF5869">
        <w:t xml:space="preserve">has indicated in the filing that it would pass $74 million </w:t>
      </w:r>
      <w:r w:rsidR="00334DAC">
        <w:t>of the FERC-ordered credits along to its ratepayers and retain $5.5 million.</w:t>
      </w:r>
      <w:r w:rsidR="00236CF7">
        <w:t xml:space="preserve">  </w:t>
      </w:r>
    </w:p>
    <w:p w14:paraId="6DB31F75" w14:textId="77777777" w:rsidR="00530BFE" w:rsidRDefault="00530BFE" w:rsidP="00530BFE">
      <w:pPr>
        <w:jc w:val="left"/>
      </w:pPr>
    </w:p>
    <w:p w14:paraId="0BCABFCC" w14:textId="7F7F2202" w:rsidR="00530BFE" w:rsidRDefault="00530BFE" w:rsidP="00530BFE">
      <w:pPr>
        <w:jc w:val="left"/>
      </w:pPr>
      <w:r>
        <w:tab/>
      </w:r>
      <w:r>
        <w:tab/>
        <w:t xml:space="preserve">On </w:t>
      </w:r>
      <w:r w:rsidR="001D14F3">
        <w:t xml:space="preserve">November 28, 2018, the Office of Consumer Advocate (OCA) </w:t>
      </w:r>
      <w:r w:rsidR="004E58C4">
        <w:t>filed a Formal Complaint</w:t>
      </w:r>
      <w:r>
        <w:t xml:space="preserve">.  </w:t>
      </w:r>
      <w:r w:rsidR="008E745A">
        <w:t xml:space="preserve">The Complaint alleges that a preliminary examination of </w:t>
      </w:r>
      <w:r w:rsidR="008E745A">
        <w:rPr>
          <w:lang w:eastAsia="ja-JP"/>
        </w:rPr>
        <w:t xml:space="preserve">PECO’s </w:t>
      </w:r>
      <w:r w:rsidR="008E745A">
        <w:t xml:space="preserve">proposed semiannual adjustment to its NBT to PECO Energy Electric Tariff No. 5, Supplement No. 76, specifically the proposal to retain $5.5 million of </w:t>
      </w:r>
      <w:r w:rsidR="00575B19">
        <w:t>FERC</w:t>
      </w:r>
      <w:r w:rsidR="00C57F6A">
        <w:t>-</w:t>
      </w:r>
      <w:r w:rsidR="008E745A">
        <w:t>ordered credits, is or may be unjust, unreasonable, in violation of the Pennsylvania Public Utility Code, and otherwise may be contrary to sound ratemaking principles and public policy.</w:t>
      </w:r>
    </w:p>
    <w:p w14:paraId="7C2CBC10" w14:textId="1FD5BC6B" w:rsidR="00530BFE" w:rsidRDefault="00530BFE" w:rsidP="00236CF7">
      <w:pPr>
        <w:jc w:val="left"/>
      </w:pPr>
    </w:p>
    <w:p w14:paraId="5B37B28A" w14:textId="10E4D3B8" w:rsidR="00530BFE" w:rsidRDefault="005D60EC" w:rsidP="00530BFE">
      <w:pPr>
        <w:ind w:firstLine="1440"/>
        <w:jc w:val="left"/>
      </w:pPr>
      <w:r>
        <w:lastRenderedPageBreak/>
        <w:t>On December 19, 2018, PECO filed a Preliminary Objection</w:t>
      </w:r>
      <w:r w:rsidR="00980773">
        <w:t xml:space="preserve">.  </w:t>
      </w:r>
      <w:r w:rsidR="001C521D">
        <w:t xml:space="preserve">PECO alleged that the OCA’s Formal Complaint </w:t>
      </w:r>
      <w:r w:rsidR="003D4E8C">
        <w:t>contains “</w:t>
      </w:r>
      <w:r w:rsidR="004D2D95">
        <w:t>[</w:t>
      </w:r>
      <w:r w:rsidR="003D4E8C">
        <w:t>i</w:t>
      </w:r>
      <w:r w:rsidR="004D2D95">
        <w:t>]</w:t>
      </w:r>
      <w:r w:rsidR="003D4E8C">
        <w:t>nsufficient specificity of a pleading</w:t>
      </w:r>
      <w:r w:rsidR="004D2D95">
        <w:t>”</w:t>
      </w:r>
      <w:r w:rsidR="00242B7A">
        <w:t xml:space="preserve">. </w:t>
      </w:r>
      <w:r w:rsidR="00236CF7">
        <w:t xml:space="preserve"> </w:t>
      </w:r>
    </w:p>
    <w:p w14:paraId="02C93460" w14:textId="77777777" w:rsidR="00530BFE" w:rsidRDefault="00530BFE" w:rsidP="00530BFE">
      <w:pPr>
        <w:ind w:firstLine="1440"/>
        <w:jc w:val="left"/>
      </w:pPr>
    </w:p>
    <w:p w14:paraId="7BEAEAFD" w14:textId="06514857" w:rsidR="00530BFE" w:rsidRDefault="005D5F99" w:rsidP="00530BFE">
      <w:pPr>
        <w:ind w:firstLine="1440"/>
        <w:jc w:val="left"/>
      </w:pPr>
      <w:r>
        <w:t>On December 31, 2018</w:t>
      </w:r>
      <w:r w:rsidR="00530BFE">
        <w:t xml:space="preserve">, </w:t>
      </w:r>
      <w:r>
        <w:t xml:space="preserve">the OCA filed an Answer to the </w:t>
      </w:r>
      <w:r w:rsidR="002C3EC6">
        <w:t>Preliminary Objection</w:t>
      </w:r>
      <w:r w:rsidR="00530BFE">
        <w:t>.</w:t>
      </w:r>
    </w:p>
    <w:p w14:paraId="7E45DAE1" w14:textId="77777777" w:rsidR="00530BFE" w:rsidRDefault="00530BFE" w:rsidP="00530BFE">
      <w:pPr>
        <w:ind w:firstLine="1440"/>
        <w:jc w:val="left"/>
      </w:pPr>
    </w:p>
    <w:p w14:paraId="58EADAF4" w14:textId="6B4EAF3E" w:rsidR="00530BFE" w:rsidRDefault="00B61C4A" w:rsidP="00530BFE">
      <w:pPr>
        <w:ind w:firstLine="1440"/>
        <w:jc w:val="left"/>
      </w:pPr>
      <w:r>
        <w:t xml:space="preserve">By Motion Judge Assignment Notice dated January 8, 2019, the </w:t>
      </w:r>
      <w:r w:rsidR="006570BA">
        <w:t>matter was assigned to me to address PECO’s Preliminary Objection</w:t>
      </w:r>
      <w:r w:rsidR="00530BFE">
        <w:t>.</w:t>
      </w:r>
    </w:p>
    <w:p w14:paraId="44A5CE11" w14:textId="77777777" w:rsidR="000F3041" w:rsidRDefault="000F3041" w:rsidP="00530BFE">
      <w:pPr>
        <w:ind w:firstLine="1440"/>
        <w:jc w:val="left"/>
      </w:pPr>
    </w:p>
    <w:p w14:paraId="0BBC64B6" w14:textId="77777777" w:rsidR="00530BFE" w:rsidRDefault="00530BFE" w:rsidP="00530BFE">
      <w:pPr>
        <w:ind w:firstLine="1440"/>
        <w:jc w:val="left"/>
      </w:pPr>
      <w:r>
        <w:t xml:space="preserve">This matter is now ripe for a decision.  </w:t>
      </w:r>
    </w:p>
    <w:p w14:paraId="5570626C" w14:textId="77777777" w:rsidR="00530BFE" w:rsidRDefault="00530BFE" w:rsidP="00236CF7">
      <w:pPr>
        <w:jc w:val="both"/>
        <w:rPr>
          <w:u w:val="single"/>
        </w:rPr>
      </w:pPr>
    </w:p>
    <w:p w14:paraId="537CADF0" w14:textId="77777777" w:rsidR="00530BFE" w:rsidRDefault="00530BFE" w:rsidP="00236CF7">
      <w:pPr>
        <w:rPr>
          <w:u w:val="single"/>
        </w:rPr>
      </w:pPr>
      <w:r>
        <w:rPr>
          <w:u w:val="single"/>
        </w:rPr>
        <w:t>DISCUSSION</w:t>
      </w:r>
    </w:p>
    <w:p w14:paraId="529183D9" w14:textId="77777777" w:rsidR="00530BFE" w:rsidRDefault="00530BFE" w:rsidP="00236CF7">
      <w:pPr>
        <w:jc w:val="left"/>
      </w:pPr>
    </w:p>
    <w:p w14:paraId="337C064E" w14:textId="77777777" w:rsidR="00530BFE" w:rsidRPr="00FD5A02" w:rsidRDefault="00530BFE" w:rsidP="00236CF7">
      <w:pPr>
        <w:ind w:firstLine="1440"/>
        <w:jc w:val="left"/>
      </w:pPr>
      <w:r w:rsidRPr="00FD5A02">
        <w:t xml:space="preserve">The Commission preliminary objection practice is </w:t>
      </w:r>
      <w:proofErr w:type="gramStart"/>
      <w:r w:rsidRPr="00FD5A02">
        <w:t>similar to</w:t>
      </w:r>
      <w:proofErr w:type="gramEnd"/>
      <w:r w:rsidRPr="00FD5A02">
        <w:t xml:space="preserve"> Pennsylvania civil practice.  </w:t>
      </w:r>
      <w:r w:rsidRPr="00FD5A02">
        <w:rPr>
          <w:i/>
        </w:rPr>
        <w:t xml:space="preserve">Equitable Small Transportation Interveners v. Equitable Gas Company, </w:t>
      </w:r>
      <w:r w:rsidRPr="00FD5A02">
        <w:t xml:space="preserve">1994 Pa. PUC LEXIS 69, Docket No. C-000935435 (July 18, 1994).  When considering the preliminary objection, the Commission must determine “whether the law says with certainty, based on well-pleaded factual averments . . . that no recovery or relief is possible.  </w:t>
      </w:r>
      <w:r w:rsidRPr="00FD5A02">
        <w:rPr>
          <w:i/>
        </w:rPr>
        <w:t xml:space="preserve">P. J. S. v. Pa. State Ethics Commission, </w:t>
      </w:r>
      <w:r w:rsidRPr="00FD5A02">
        <w:t xml:space="preserve">669 A.2d 1105 (Pa. Cmwlth. 1996).  Any doubt must be resolved in favor of the non-moving party by refusing to sustain the preliminary objections.  </w:t>
      </w:r>
      <w:r w:rsidRPr="00FD5A02">
        <w:rPr>
          <w:i/>
        </w:rPr>
        <w:t xml:space="preserve">Boyd v. Ward, </w:t>
      </w:r>
      <w:r w:rsidRPr="00FD5A02">
        <w:t xml:space="preserve">802 A.2d 705 (Pa. Cmwlth. 2002).”  </w:t>
      </w:r>
      <w:r w:rsidRPr="00FD5A02">
        <w:rPr>
          <w:i/>
        </w:rPr>
        <w:t xml:space="preserve">Dept. of Auditor General, et al. v. State Employees’ Retirement System, et al., </w:t>
      </w:r>
      <w:r w:rsidRPr="00FD5A02">
        <w:t xml:space="preserve">836 A.2d 1053, 1064 (Pa. Cmwlth. 2003).  All of the non-moving party’s averments in the complaint must be viewed as true for purposes of deciding the preliminary objections, and only those facts specifically admitted may be considered against the non-moving party.  </w:t>
      </w:r>
      <w:r w:rsidRPr="00FD5A02">
        <w:rPr>
          <w:i/>
        </w:rPr>
        <w:t>Ridge v. State Employees’ Retirement Board</w:t>
      </w:r>
      <w:r w:rsidRPr="00FD5A02">
        <w:t>, 690 A.2d 1312 (Pa. Cmwlth. 1997).</w:t>
      </w:r>
    </w:p>
    <w:p w14:paraId="380ABC72" w14:textId="77777777" w:rsidR="00530BFE" w:rsidRPr="00FD5A02" w:rsidRDefault="00530BFE" w:rsidP="00236CF7">
      <w:pPr>
        <w:jc w:val="left"/>
      </w:pPr>
    </w:p>
    <w:p w14:paraId="0EEC40A7" w14:textId="77777777" w:rsidR="00530BFE" w:rsidRPr="00FD5A02" w:rsidRDefault="00530BFE" w:rsidP="00530BFE">
      <w:pPr>
        <w:jc w:val="left"/>
      </w:pPr>
      <w:r w:rsidRPr="00FD5A02">
        <w:tab/>
      </w:r>
      <w:r w:rsidRPr="00FD5A02">
        <w:tab/>
        <w:t>The regulation reads as follows:</w:t>
      </w:r>
    </w:p>
    <w:p w14:paraId="1878F4FA" w14:textId="77777777" w:rsidR="00530BFE" w:rsidRPr="00FD5A02" w:rsidRDefault="00530BFE" w:rsidP="009F14D3">
      <w:pPr>
        <w:spacing w:line="240" w:lineRule="auto"/>
        <w:jc w:val="left"/>
      </w:pPr>
    </w:p>
    <w:p w14:paraId="735AD809" w14:textId="77777777" w:rsidR="00530BFE" w:rsidRPr="00FD5A02" w:rsidRDefault="00530BFE" w:rsidP="00530BFE">
      <w:pPr>
        <w:spacing w:line="240" w:lineRule="auto"/>
        <w:ind w:left="1440" w:right="1440"/>
        <w:contextualSpacing/>
        <w:jc w:val="left"/>
        <w:rPr>
          <w:b/>
        </w:rPr>
      </w:pPr>
      <w:r w:rsidRPr="00FD5A02">
        <w:rPr>
          <w:b/>
        </w:rPr>
        <w:t>§ 5.101.  Preliminary objections.</w:t>
      </w:r>
    </w:p>
    <w:p w14:paraId="7F1EBA77" w14:textId="77777777" w:rsidR="00530BFE" w:rsidRPr="00FD5A02" w:rsidRDefault="00530BFE" w:rsidP="00530BFE">
      <w:pPr>
        <w:spacing w:line="240" w:lineRule="auto"/>
        <w:ind w:left="1440" w:right="1440"/>
        <w:contextualSpacing/>
        <w:jc w:val="left"/>
        <w:rPr>
          <w:b/>
        </w:rPr>
      </w:pPr>
    </w:p>
    <w:p w14:paraId="58E46855" w14:textId="77777777" w:rsidR="00530BFE" w:rsidRPr="00FD5A02" w:rsidRDefault="00530BFE" w:rsidP="009F14D3">
      <w:pPr>
        <w:spacing w:line="240" w:lineRule="auto"/>
        <w:ind w:left="1440" w:right="1440"/>
        <w:contextualSpacing/>
        <w:jc w:val="left"/>
      </w:pPr>
      <w:r w:rsidRPr="00FD5A02">
        <w:t>(a)</w:t>
      </w:r>
      <w:r w:rsidRPr="00FD5A02">
        <w:tab/>
      </w:r>
      <w:r w:rsidRPr="00FD5A02">
        <w:rPr>
          <w:i/>
        </w:rPr>
        <w:t>Grounds.</w:t>
      </w:r>
      <w:r w:rsidRPr="00FD5A02">
        <w:t xml:space="preserve">  Preliminary objections are available to parties and may be filed in response to a pleading except motions and prior preliminary objections.  Preliminary objections must be </w:t>
      </w:r>
      <w:r w:rsidRPr="00FD5A02">
        <w:lastRenderedPageBreak/>
        <w:t>accompanied by a notice to plead, must state specifically the legal and factual grounds relied upon and be limited to the following:</w:t>
      </w:r>
    </w:p>
    <w:p w14:paraId="4D835D85" w14:textId="77777777" w:rsidR="00530BFE" w:rsidRPr="00FD5A02" w:rsidRDefault="00530BFE" w:rsidP="009F14D3">
      <w:pPr>
        <w:spacing w:line="240" w:lineRule="auto"/>
        <w:ind w:right="1440"/>
        <w:contextualSpacing/>
        <w:jc w:val="left"/>
      </w:pPr>
      <w:r w:rsidRPr="00FD5A02">
        <w:tab/>
      </w:r>
      <w:r w:rsidRPr="00FD5A02">
        <w:tab/>
      </w:r>
    </w:p>
    <w:p w14:paraId="43A78C96" w14:textId="77777777" w:rsidR="00530BFE" w:rsidRPr="00FD5A02" w:rsidRDefault="00530BFE" w:rsidP="009F14D3">
      <w:pPr>
        <w:spacing w:line="240" w:lineRule="auto"/>
        <w:ind w:left="1440" w:right="1440" w:firstLine="720"/>
        <w:contextualSpacing/>
        <w:jc w:val="left"/>
      </w:pPr>
      <w:r w:rsidRPr="00FD5A02">
        <w:t>(1)</w:t>
      </w:r>
      <w:r w:rsidRPr="00FD5A02">
        <w:tab/>
        <w:t>Lack of Commission jurisdiction or improper service of the pleading initiating the proceeding.</w:t>
      </w:r>
    </w:p>
    <w:p w14:paraId="0DC92518" w14:textId="77777777" w:rsidR="00530BFE" w:rsidRPr="00FD5A02" w:rsidRDefault="00530BFE" w:rsidP="009F14D3">
      <w:pPr>
        <w:spacing w:line="240" w:lineRule="auto"/>
        <w:ind w:left="1440" w:right="1440"/>
        <w:contextualSpacing/>
        <w:jc w:val="left"/>
      </w:pPr>
    </w:p>
    <w:p w14:paraId="78A0D1F2" w14:textId="77777777" w:rsidR="00530BFE" w:rsidRPr="00FD5A02" w:rsidRDefault="00530BFE" w:rsidP="009F14D3">
      <w:pPr>
        <w:spacing w:line="240" w:lineRule="auto"/>
        <w:ind w:left="1440" w:right="1440" w:firstLine="720"/>
        <w:contextualSpacing/>
        <w:jc w:val="left"/>
      </w:pPr>
      <w:r w:rsidRPr="00FD5A02">
        <w:t>(2)</w:t>
      </w:r>
      <w:r w:rsidRPr="00FD5A02">
        <w:tab/>
        <w:t>Failure of a pleading to conform to this chapter or the inclusion of scandalous or impertinent matter.</w:t>
      </w:r>
    </w:p>
    <w:p w14:paraId="4CA33503" w14:textId="77777777" w:rsidR="00530BFE" w:rsidRPr="00FD5A02" w:rsidRDefault="00530BFE" w:rsidP="009F14D3">
      <w:pPr>
        <w:spacing w:line="240" w:lineRule="auto"/>
        <w:ind w:left="1440" w:right="1440"/>
        <w:contextualSpacing/>
        <w:jc w:val="left"/>
      </w:pPr>
    </w:p>
    <w:p w14:paraId="2C3596EC" w14:textId="77777777" w:rsidR="00530BFE" w:rsidRPr="00FD5A02" w:rsidRDefault="00530BFE" w:rsidP="009F14D3">
      <w:pPr>
        <w:spacing w:line="240" w:lineRule="auto"/>
        <w:ind w:left="1440" w:right="1440" w:firstLine="720"/>
        <w:contextualSpacing/>
        <w:jc w:val="left"/>
      </w:pPr>
      <w:r w:rsidRPr="00FD5A02">
        <w:t>(3)</w:t>
      </w:r>
      <w:r w:rsidRPr="00FD5A02">
        <w:tab/>
        <w:t>Insufficient specificity of a pleading.</w:t>
      </w:r>
    </w:p>
    <w:p w14:paraId="1EEBA59E" w14:textId="77777777" w:rsidR="00530BFE" w:rsidRPr="00FD5A02" w:rsidRDefault="00530BFE" w:rsidP="009F14D3">
      <w:pPr>
        <w:spacing w:line="240" w:lineRule="auto"/>
        <w:ind w:left="1440" w:right="1440"/>
        <w:contextualSpacing/>
        <w:jc w:val="left"/>
      </w:pPr>
    </w:p>
    <w:p w14:paraId="513D559F" w14:textId="77777777" w:rsidR="00530BFE" w:rsidRPr="00FD5A02" w:rsidRDefault="00530BFE" w:rsidP="009F14D3">
      <w:pPr>
        <w:spacing w:line="240" w:lineRule="auto"/>
        <w:ind w:left="1440" w:right="1440" w:firstLine="720"/>
        <w:contextualSpacing/>
        <w:jc w:val="left"/>
      </w:pPr>
      <w:r w:rsidRPr="00FD5A02">
        <w:t>(4)</w:t>
      </w:r>
      <w:r w:rsidRPr="00FD5A02">
        <w:tab/>
        <w:t>Legal insufficiency of a pleading.</w:t>
      </w:r>
    </w:p>
    <w:p w14:paraId="390A8995" w14:textId="77777777" w:rsidR="00530BFE" w:rsidRPr="00FD5A02" w:rsidRDefault="00530BFE" w:rsidP="009F14D3">
      <w:pPr>
        <w:spacing w:line="240" w:lineRule="auto"/>
        <w:ind w:left="1440" w:right="1440"/>
        <w:contextualSpacing/>
        <w:jc w:val="left"/>
      </w:pPr>
    </w:p>
    <w:p w14:paraId="644CE448" w14:textId="77777777" w:rsidR="00530BFE" w:rsidRPr="00FD5A02" w:rsidRDefault="00530BFE" w:rsidP="009F14D3">
      <w:pPr>
        <w:spacing w:line="240" w:lineRule="auto"/>
        <w:ind w:left="1440" w:right="1440" w:firstLine="720"/>
        <w:contextualSpacing/>
        <w:jc w:val="left"/>
      </w:pPr>
      <w:r w:rsidRPr="00FD5A02">
        <w:t>(5)</w:t>
      </w:r>
      <w:r w:rsidRPr="00FD5A02">
        <w:tab/>
        <w:t>Lack of capacity to sue, nonjoinder of a necessary party or misjoinder of a cause of action.</w:t>
      </w:r>
    </w:p>
    <w:p w14:paraId="74DE7F1C" w14:textId="77777777" w:rsidR="00530BFE" w:rsidRPr="00FD5A02" w:rsidRDefault="00530BFE" w:rsidP="009F14D3">
      <w:pPr>
        <w:spacing w:line="240" w:lineRule="auto"/>
        <w:ind w:left="1440" w:right="1440"/>
        <w:contextualSpacing/>
        <w:jc w:val="left"/>
      </w:pPr>
    </w:p>
    <w:p w14:paraId="16BF5707" w14:textId="27807CA5" w:rsidR="00530BFE" w:rsidRPr="00FD5A02" w:rsidRDefault="00530BFE" w:rsidP="009F14D3">
      <w:pPr>
        <w:spacing w:line="240" w:lineRule="auto"/>
        <w:ind w:left="1440" w:right="1440" w:firstLine="720"/>
        <w:contextualSpacing/>
        <w:jc w:val="left"/>
      </w:pPr>
      <w:r w:rsidRPr="00FD5A02">
        <w:t>(6)</w:t>
      </w:r>
      <w:r w:rsidRPr="00FD5A02">
        <w:tab/>
        <w:t>Pendency of a prior proceeding or agreement for alternative dispute resolution.</w:t>
      </w:r>
    </w:p>
    <w:p w14:paraId="457A52C7" w14:textId="77777777" w:rsidR="00530BFE" w:rsidRPr="00FD5A02" w:rsidRDefault="00530BFE" w:rsidP="009F14D3">
      <w:pPr>
        <w:spacing w:line="240" w:lineRule="auto"/>
        <w:ind w:left="1440" w:right="1440" w:firstLine="720"/>
        <w:contextualSpacing/>
        <w:jc w:val="left"/>
      </w:pPr>
    </w:p>
    <w:p w14:paraId="00C66EB8" w14:textId="77777777" w:rsidR="00530BFE" w:rsidRPr="00FD5A02" w:rsidRDefault="00530BFE" w:rsidP="009F14D3">
      <w:pPr>
        <w:spacing w:line="240" w:lineRule="auto"/>
        <w:ind w:left="1440" w:right="1440" w:firstLine="720"/>
        <w:contextualSpacing/>
        <w:jc w:val="left"/>
      </w:pPr>
      <w:r w:rsidRPr="00FD5A02">
        <w:t>(7)</w:t>
      </w:r>
      <w:r w:rsidRPr="00FD5A02">
        <w:tab/>
        <w:t>Standing of a party to participate in the proceeding.</w:t>
      </w:r>
    </w:p>
    <w:p w14:paraId="579234D3" w14:textId="77777777" w:rsidR="00530BFE" w:rsidRPr="00FD5A02" w:rsidRDefault="00530BFE" w:rsidP="009F14D3">
      <w:pPr>
        <w:spacing w:line="240" w:lineRule="auto"/>
        <w:ind w:right="1440"/>
        <w:contextualSpacing/>
        <w:jc w:val="left"/>
      </w:pPr>
    </w:p>
    <w:p w14:paraId="1F017466" w14:textId="77777777" w:rsidR="00530BFE" w:rsidRPr="00FD5A02" w:rsidRDefault="00530BFE" w:rsidP="009F14D3">
      <w:pPr>
        <w:spacing w:line="240" w:lineRule="auto"/>
        <w:ind w:left="1440" w:right="1440"/>
        <w:contextualSpacing/>
      </w:pPr>
      <w:r w:rsidRPr="00FD5A02">
        <w:t>* * *</w:t>
      </w:r>
    </w:p>
    <w:p w14:paraId="15DB21A8" w14:textId="77777777" w:rsidR="00530BFE" w:rsidRPr="00FD5A02" w:rsidRDefault="00530BFE" w:rsidP="009F14D3">
      <w:pPr>
        <w:spacing w:line="240" w:lineRule="auto"/>
        <w:ind w:right="1440"/>
        <w:contextualSpacing/>
        <w:jc w:val="both"/>
      </w:pPr>
    </w:p>
    <w:p w14:paraId="12A6F124" w14:textId="77777777" w:rsidR="00530BFE" w:rsidRPr="00FD5A02" w:rsidRDefault="00530BFE" w:rsidP="00530BFE">
      <w:pPr>
        <w:ind w:left="1440" w:right="1440"/>
        <w:contextualSpacing/>
        <w:jc w:val="left"/>
      </w:pPr>
      <w:r w:rsidRPr="00FD5A02">
        <w:t>52 Pa.Code § 5.101(a).</w:t>
      </w:r>
    </w:p>
    <w:p w14:paraId="297DB404" w14:textId="77777777" w:rsidR="00530BFE" w:rsidRPr="00FD5A02" w:rsidRDefault="00530BFE" w:rsidP="00530BFE">
      <w:pPr>
        <w:ind w:left="1440" w:right="1440"/>
        <w:contextualSpacing/>
        <w:jc w:val="left"/>
      </w:pPr>
    </w:p>
    <w:p w14:paraId="4D8B3C24" w14:textId="4CA6C09E" w:rsidR="0024468E" w:rsidRPr="00FD5A02" w:rsidRDefault="00530BFE" w:rsidP="0024468E">
      <w:pPr>
        <w:pStyle w:val="ParaTab1"/>
        <w:spacing w:line="360" w:lineRule="auto"/>
        <w:rPr>
          <w:rFonts w:ascii="Times New Roman" w:hAnsi="Times New Roman" w:cs="Times New Roman"/>
        </w:rPr>
      </w:pPr>
      <w:r w:rsidRPr="00FD5A02">
        <w:rPr>
          <w:rFonts w:ascii="Times New Roman" w:hAnsi="Times New Roman" w:cs="Times New Roman"/>
        </w:rPr>
        <w:t xml:space="preserve">In deciding the preliminary objections, the Commission must determine whether, based on well-pleaded factual averments of the petitioners, recovery or relief is possible.  </w:t>
      </w:r>
      <w:r w:rsidRPr="00FD5A02">
        <w:rPr>
          <w:rFonts w:ascii="Times New Roman" w:hAnsi="Times New Roman" w:cs="Times New Roman"/>
          <w:i/>
        </w:rPr>
        <w:t>Dept. of Auditor General v. SERS</w:t>
      </w:r>
      <w:r w:rsidRPr="00FD5A02">
        <w:rPr>
          <w:rFonts w:ascii="Times New Roman" w:hAnsi="Times New Roman" w:cs="Times New Roman"/>
        </w:rPr>
        <w:t xml:space="preserve">, 836 A.2d 1053, 1064 (Pa.Cmwlth. 2003); </w:t>
      </w:r>
      <w:r w:rsidRPr="00FD5A02">
        <w:rPr>
          <w:rFonts w:ascii="Times New Roman" w:hAnsi="Times New Roman" w:cs="Times New Roman"/>
          <w:i/>
        </w:rPr>
        <w:t>P.J.S. v. Pa. State Ethics Comm’n</w:t>
      </w:r>
      <w:r w:rsidRPr="00FD5A02">
        <w:rPr>
          <w:rFonts w:ascii="Times New Roman" w:hAnsi="Times New Roman" w:cs="Times New Roman"/>
        </w:rPr>
        <w:t xml:space="preserve">, 669 A.2d 1105 (Pa.Cmwlth. 1996).  Any doubt must be resolved in favor of the non-moving party by refusing to sustain the preliminary objections.  </w:t>
      </w:r>
      <w:r w:rsidRPr="00FD5A02">
        <w:rPr>
          <w:rFonts w:ascii="Times New Roman" w:hAnsi="Times New Roman" w:cs="Times New Roman"/>
          <w:i/>
        </w:rPr>
        <w:t>Boyd v. Ward</w:t>
      </w:r>
      <w:r w:rsidRPr="00FD5A02">
        <w:rPr>
          <w:rFonts w:ascii="Times New Roman" w:hAnsi="Times New Roman" w:cs="Times New Roman"/>
        </w:rPr>
        <w:t xml:space="preserve">, 802 A.2d 705 (Pa.Cmwlth. 2002).  All of the non-moving party’s averments in the complaint must be viewed as true for purposes of deciding the preliminary objections, and only those facts specifically admitted may be considered against the non-moving party.  </w:t>
      </w:r>
      <w:r w:rsidRPr="00FD5A02">
        <w:rPr>
          <w:rFonts w:ascii="Times New Roman" w:hAnsi="Times New Roman" w:cs="Times New Roman"/>
          <w:i/>
        </w:rPr>
        <w:t>Ridge v. State Employees’ Retirement Board</w:t>
      </w:r>
      <w:r w:rsidRPr="00FD5A02">
        <w:rPr>
          <w:rFonts w:ascii="Times New Roman" w:hAnsi="Times New Roman" w:cs="Times New Roman"/>
        </w:rPr>
        <w:t>, 690 A.2d 1312 (Pa.Cmwlth. 1997)</w:t>
      </w:r>
      <w:r w:rsidR="00FD5A02" w:rsidRPr="00FD5A02">
        <w:rPr>
          <w:rFonts w:ascii="Times New Roman" w:hAnsi="Times New Roman" w:cs="Times New Roman"/>
        </w:rPr>
        <w:t xml:space="preserve"> (</w:t>
      </w:r>
      <w:r w:rsidR="00FD5A02" w:rsidRPr="00FD5A02">
        <w:rPr>
          <w:rFonts w:ascii="Times New Roman" w:hAnsi="Times New Roman" w:cs="Times New Roman"/>
          <w:i/>
        </w:rPr>
        <w:t>Ridge</w:t>
      </w:r>
      <w:r w:rsidR="00FD5A02" w:rsidRPr="00FD5A02">
        <w:rPr>
          <w:rFonts w:ascii="Times New Roman" w:hAnsi="Times New Roman" w:cs="Times New Roman"/>
        </w:rPr>
        <w:t>)</w:t>
      </w:r>
      <w:r w:rsidRPr="00FD5A02">
        <w:rPr>
          <w:rFonts w:ascii="Times New Roman" w:hAnsi="Times New Roman" w:cs="Times New Roman"/>
        </w:rPr>
        <w:t xml:space="preserve">. </w:t>
      </w:r>
    </w:p>
    <w:p w14:paraId="169A36F2" w14:textId="77777777" w:rsidR="0024468E" w:rsidRPr="00FD5A02" w:rsidRDefault="0024468E" w:rsidP="0024468E">
      <w:pPr>
        <w:pStyle w:val="ParaTab1"/>
        <w:spacing w:line="360" w:lineRule="auto"/>
        <w:rPr>
          <w:rFonts w:ascii="Times New Roman" w:hAnsi="Times New Roman" w:cs="Times New Roman"/>
          <w:color w:val="000000" w:themeColor="text1"/>
        </w:rPr>
      </w:pPr>
    </w:p>
    <w:p w14:paraId="15D92A90" w14:textId="718F0405" w:rsidR="0024468E" w:rsidRPr="00FD5A02" w:rsidRDefault="0024468E" w:rsidP="0024468E">
      <w:pPr>
        <w:pStyle w:val="ParaTab1"/>
        <w:spacing w:line="360" w:lineRule="auto"/>
        <w:rPr>
          <w:rFonts w:ascii="Times New Roman" w:hAnsi="Times New Roman" w:cs="Times New Roman"/>
          <w:color w:val="000000" w:themeColor="text1"/>
        </w:rPr>
      </w:pPr>
      <w:r w:rsidRPr="00FD5A02">
        <w:rPr>
          <w:rFonts w:ascii="Times New Roman" w:hAnsi="Times New Roman" w:cs="Times New Roman"/>
          <w:color w:val="000000" w:themeColor="text1"/>
        </w:rPr>
        <w:t xml:space="preserve">The provision at 52 Pa.Code § 5.101(a)(4) serves judicial economy by avoiding a hearing where no factual dispute exists.  If no factual issue pertinent to the resolution of a case exists, a hearing is unnecessary.  66 Pa.C.S. § 703(a); </w:t>
      </w:r>
      <w:r w:rsidRPr="00FD5A02">
        <w:rPr>
          <w:rFonts w:ascii="Times New Roman" w:hAnsi="Times New Roman" w:cs="Times New Roman"/>
          <w:i/>
          <w:color w:val="000000" w:themeColor="text1"/>
        </w:rPr>
        <w:t>Lehigh Valley Power Committee v. Pa. Pub. Util. Comm’n</w:t>
      </w:r>
      <w:r w:rsidRPr="00FD5A02">
        <w:rPr>
          <w:rFonts w:ascii="Times New Roman" w:hAnsi="Times New Roman" w:cs="Times New Roman"/>
          <w:color w:val="000000" w:themeColor="text1"/>
        </w:rPr>
        <w:t xml:space="preserve">, 563 A.2d 557 (Pa.Cmwlth. 1989); </w:t>
      </w:r>
      <w:r w:rsidRPr="00FD5A02">
        <w:rPr>
          <w:rFonts w:ascii="Times New Roman" w:hAnsi="Times New Roman" w:cs="Times New Roman"/>
          <w:i/>
          <w:color w:val="000000" w:themeColor="text1"/>
        </w:rPr>
        <w:t xml:space="preserve">Lehigh Valley Power Committee v. Pa. </w:t>
      </w:r>
      <w:r w:rsidRPr="00FD5A02">
        <w:rPr>
          <w:rFonts w:ascii="Times New Roman" w:hAnsi="Times New Roman" w:cs="Times New Roman"/>
          <w:i/>
          <w:color w:val="000000" w:themeColor="text1"/>
        </w:rPr>
        <w:lastRenderedPageBreak/>
        <w:t>Pub. Util. Comm’n</w:t>
      </w:r>
      <w:r w:rsidRPr="00FD5A02">
        <w:rPr>
          <w:rFonts w:ascii="Times New Roman" w:hAnsi="Times New Roman" w:cs="Times New Roman"/>
          <w:color w:val="000000" w:themeColor="text1"/>
        </w:rPr>
        <w:t xml:space="preserve">, 563 A.2d 548 (Pa.Cmwlth. 1989); </w:t>
      </w:r>
      <w:r w:rsidRPr="00FD5A02">
        <w:rPr>
          <w:rFonts w:ascii="Times New Roman" w:hAnsi="Times New Roman" w:cs="Times New Roman"/>
          <w:i/>
          <w:color w:val="000000" w:themeColor="text1"/>
        </w:rPr>
        <w:t>S.M.E. Bessemer Cement, Inc. v. Pa. Pub. Util. Comm’n</w:t>
      </w:r>
      <w:r w:rsidRPr="00FD5A02">
        <w:rPr>
          <w:rFonts w:ascii="Times New Roman" w:hAnsi="Times New Roman" w:cs="Times New Roman"/>
          <w:color w:val="000000" w:themeColor="text1"/>
        </w:rPr>
        <w:t xml:space="preserve">, 540 A.2d 1006 (Pa.Cmwlth. 1988); </w:t>
      </w:r>
      <w:r w:rsidRPr="00FD5A02">
        <w:rPr>
          <w:rFonts w:ascii="Times New Roman" w:hAnsi="Times New Roman" w:cs="Times New Roman"/>
          <w:i/>
          <w:color w:val="000000" w:themeColor="text1"/>
        </w:rPr>
        <w:t>White Oak Borough Authority v. Pa. Pub. Util. Comm’n</w:t>
      </w:r>
      <w:r w:rsidRPr="00FD5A02">
        <w:rPr>
          <w:rFonts w:ascii="Times New Roman" w:hAnsi="Times New Roman" w:cs="Times New Roman"/>
          <w:color w:val="000000" w:themeColor="text1"/>
        </w:rPr>
        <w:t>, 103 A.2d 502 (Pa.Super. 1954).</w:t>
      </w:r>
    </w:p>
    <w:p w14:paraId="1ABD3444" w14:textId="77777777" w:rsidR="00530BFE" w:rsidRPr="00FD5A02" w:rsidRDefault="00530BFE" w:rsidP="00530BFE">
      <w:pPr>
        <w:jc w:val="left"/>
      </w:pPr>
    </w:p>
    <w:p w14:paraId="6D3E4199" w14:textId="77777777" w:rsidR="004145DA" w:rsidRPr="00FD5A02" w:rsidRDefault="00917A20" w:rsidP="00530BFE">
      <w:pPr>
        <w:pStyle w:val="FootnoteText"/>
        <w:spacing w:line="360" w:lineRule="auto"/>
        <w:ind w:firstLine="1440"/>
      </w:pPr>
      <w:r w:rsidRPr="00FD5A02">
        <w:t>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Pa.Code § 5.22(a)(4).</w:t>
      </w:r>
    </w:p>
    <w:p w14:paraId="450670EC" w14:textId="6550AF2F" w:rsidR="00530BFE" w:rsidRPr="00FD5A02" w:rsidRDefault="00530BFE" w:rsidP="008F0AFB">
      <w:pPr>
        <w:pStyle w:val="FootnoteText"/>
        <w:spacing w:line="360" w:lineRule="auto"/>
      </w:pPr>
    </w:p>
    <w:p w14:paraId="62401159" w14:textId="576C8F16" w:rsidR="00F23B0E" w:rsidRPr="00FD5A02" w:rsidRDefault="0043752C" w:rsidP="008F0AFB">
      <w:pPr>
        <w:ind w:firstLine="1440"/>
        <w:jc w:val="left"/>
      </w:pPr>
      <w:r w:rsidRPr="00FD5A02">
        <w:t xml:space="preserve">The OCA Complaint asserts that </w:t>
      </w:r>
      <w:r w:rsidR="003623C2" w:rsidRPr="00FD5A02">
        <w:t>PECO’s action of retaining $5.5 million of the</w:t>
      </w:r>
      <w:r w:rsidR="00725C19" w:rsidRPr="00FD5A02">
        <w:t xml:space="preserve"> FERC-ordered credits, is or may be </w:t>
      </w:r>
      <w:r w:rsidR="00F12CFA" w:rsidRPr="00FD5A02">
        <w:t xml:space="preserve">unjust, unreasonable.  Specifically, OCA contends that this action is in violation of </w:t>
      </w:r>
      <w:r w:rsidR="00293445" w:rsidRPr="00FD5A02">
        <w:t xml:space="preserve">Section 1301, </w:t>
      </w:r>
      <w:r w:rsidR="00293445" w:rsidRPr="00FD5A02">
        <w:rPr>
          <w:i/>
        </w:rPr>
        <w:t>et. seq.</w:t>
      </w:r>
      <w:r w:rsidR="00293445" w:rsidRPr="00FD5A02">
        <w:t>, and Section 2804 of the Public Utility Code</w:t>
      </w:r>
      <w:r w:rsidR="00961461" w:rsidRPr="00FD5A02">
        <w:t xml:space="preserve"> (Code)</w:t>
      </w:r>
      <w:r w:rsidR="00293445" w:rsidRPr="00FD5A02">
        <w:t xml:space="preserve">. </w:t>
      </w:r>
      <w:r w:rsidR="00EA1D16" w:rsidRPr="00FD5A02">
        <w:t xml:space="preserve"> The </w:t>
      </w:r>
      <w:r w:rsidR="00F7228B" w:rsidRPr="00FD5A02">
        <w:t>OCA also maintains that retaining the $5.5 million may also be contrary to sound ratemaking principles and public policy.</w:t>
      </w:r>
      <w:r w:rsidR="00293445" w:rsidRPr="00FD5A02">
        <w:t xml:space="preserve"> </w:t>
      </w:r>
      <w:r w:rsidR="003623C2" w:rsidRPr="00FD5A02">
        <w:t xml:space="preserve"> </w:t>
      </w:r>
    </w:p>
    <w:p w14:paraId="3D62A66C" w14:textId="0C975342" w:rsidR="00504660" w:rsidRPr="00FD5A02" w:rsidRDefault="00504660" w:rsidP="008F0AFB">
      <w:pPr>
        <w:ind w:firstLine="1440"/>
        <w:jc w:val="left"/>
      </w:pPr>
    </w:p>
    <w:p w14:paraId="2461C32D" w14:textId="47DEC472" w:rsidR="00504660" w:rsidRPr="00FD5A02" w:rsidRDefault="00504660" w:rsidP="008F0AFB">
      <w:pPr>
        <w:ind w:firstLine="1440"/>
        <w:jc w:val="left"/>
      </w:pPr>
      <w:r w:rsidRPr="00FD5A02">
        <w:t xml:space="preserve">PECO argues that the Complainant is legally insufficient because </w:t>
      </w:r>
      <w:r w:rsidR="00217BD8" w:rsidRPr="00FD5A02">
        <w:t xml:space="preserve">the Complaint is broad and does not provide a specific basis for the </w:t>
      </w:r>
      <w:r w:rsidR="00BA7751" w:rsidRPr="00FD5A02">
        <w:t xml:space="preserve">allegation that PECO should not retain the $5.5 million.  </w:t>
      </w:r>
    </w:p>
    <w:p w14:paraId="4823305E" w14:textId="09034FA8" w:rsidR="001C3861" w:rsidRPr="00FD5A02" w:rsidRDefault="001C3861" w:rsidP="008F0AFB">
      <w:pPr>
        <w:ind w:firstLine="1440"/>
        <w:jc w:val="left"/>
      </w:pPr>
    </w:p>
    <w:p w14:paraId="5F139AC6" w14:textId="1C7CA667" w:rsidR="001C3861" w:rsidRPr="00FD5A02" w:rsidRDefault="003057CE" w:rsidP="008F0AFB">
      <w:pPr>
        <w:pStyle w:val="FootnoteText"/>
        <w:spacing w:line="360" w:lineRule="auto"/>
        <w:ind w:firstLine="1440"/>
      </w:pPr>
      <w:r>
        <w:t xml:space="preserve">Taking all of the </w:t>
      </w:r>
      <w:r w:rsidR="001868E6">
        <w:t>OCA’s</w:t>
      </w:r>
      <w:r>
        <w:t xml:space="preserve"> averments in the </w:t>
      </w:r>
      <w:r w:rsidR="001868E6">
        <w:t>C</w:t>
      </w:r>
      <w:r>
        <w:t xml:space="preserve">omplaint as true, PECO’s Preliminary Objection </w:t>
      </w:r>
      <w:r w:rsidR="00E27972">
        <w:t xml:space="preserve">fails.  </w:t>
      </w:r>
      <w:r w:rsidR="00E27972" w:rsidRPr="00E27972">
        <w:rPr>
          <w:i/>
        </w:rPr>
        <w:t>See Ridge</w:t>
      </w:r>
      <w:r w:rsidR="00E27972">
        <w:t xml:space="preserve">.  </w:t>
      </w:r>
      <w:r w:rsidR="008B7F25" w:rsidRPr="00FD5A02">
        <w:t xml:space="preserve">Under the requirements of </w:t>
      </w:r>
      <w:r w:rsidR="006669A6" w:rsidRPr="00FD5A02">
        <w:t>Section 5.22 (a)(4) of the Commission’s regulations, t</w:t>
      </w:r>
      <w:r w:rsidR="007C4EBB" w:rsidRPr="00FD5A02">
        <w:t xml:space="preserve">he OCA Complaint indicates </w:t>
      </w:r>
      <w:r w:rsidR="00961461" w:rsidRPr="00FD5A02">
        <w:t>the</w:t>
      </w:r>
      <w:r w:rsidR="007C4EBB" w:rsidRPr="00FD5A02">
        <w:t xml:space="preserve"> “act or thing</w:t>
      </w:r>
      <w:r w:rsidR="00D06AA9" w:rsidRPr="00FD5A02">
        <w:t xml:space="preserve">”, which it claims is in violation of the Commission’s </w:t>
      </w:r>
      <w:r w:rsidR="009E70CE" w:rsidRPr="00FD5A02">
        <w:t xml:space="preserve">statute.  </w:t>
      </w:r>
      <w:r w:rsidR="006669A6" w:rsidRPr="00FD5A02">
        <w:rPr>
          <w:i/>
        </w:rPr>
        <w:t>See</w:t>
      </w:r>
      <w:r w:rsidR="006669A6" w:rsidRPr="00FD5A02">
        <w:t xml:space="preserve"> 52 Pa.Code § 5.22(a)(4).  </w:t>
      </w:r>
      <w:r w:rsidR="009E70CE" w:rsidRPr="00FD5A02">
        <w:t xml:space="preserve">Specifically, the OCA contends that the retention of the $5.5 million </w:t>
      </w:r>
      <w:r w:rsidR="00901198" w:rsidRPr="00FD5A02">
        <w:t xml:space="preserve">of the FERC-ordered credits is disallowed under the Code.  </w:t>
      </w:r>
      <w:r w:rsidR="001C3861" w:rsidRPr="00FD5A02">
        <w:t xml:space="preserve">The OCA Complaint lays out the sections of the Code under which it makes it claim that retaining the </w:t>
      </w:r>
      <w:r w:rsidR="001440CA" w:rsidRPr="00FD5A02">
        <w:t>$5.5 million is disallowed.</w:t>
      </w:r>
      <w:r w:rsidR="00901198" w:rsidRPr="00FD5A02">
        <w:t xml:space="preserve">  The OCA Complaint cites to</w:t>
      </w:r>
      <w:r w:rsidR="00771489" w:rsidRPr="00FD5A02">
        <w:t xml:space="preserve"> Section 1301, </w:t>
      </w:r>
      <w:r w:rsidR="00771489" w:rsidRPr="00FD5A02">
        <w:rPr>
          <w:i/>
        </w:rPr>
        <w:t>et. seq.</w:t>
      </w:r>
      <w:r w:rsidR="00771489" w:rsidRPr="00FD5A02">
        <w:t>, and Section 2804 of the Code</w:t>
      </w:r>
      <w:r w:rsidR="006669A6" w:rsidRPr="00FD5A02">
        <w:t xml:space="preserve">, as well as, </w:t>
      </w:r>
      <w:r w:rsidR="00771489" w:rsidRPr="00FD5A02">
        <w:t xml:space="preserve">the Commission’s </w:t>
      </w:r>
      <w:r w:rsidR="006E25FD" w:rsidRPr="00FD5A02">
        <w:t>ratemaking principles and public policy.</w:t>
      </w:r>
      <w:r w:rsidR="000F0D0A" w:rsidRPr="00FD5A02">
        <w:t xml:space="preserve">  The Commission has jurisdiction over ratemaking under </w:t>
      </w:r>
      <w:r w:rsidR="00CB3BC7" w:rsidRPr="00FD5A02">
        <w:t xml:space="preserve">Section 1301, </w:t>
      </w:r>
      <w:r w:rsidR="00CB3BC7" w:rsidRPr="00FD5A02">
        <w:rPr>
          <w:i/>
        </w:rPr>
        <w:t>et. seq.</w:t>
      </w:r>
      <w:r w:rsidR="00CB3BC7" w:rsidRPr="00FD5A02">
        <w:t xml:space="preserve"> of the Code.  </w:t>
      </w:r>
      <w:r w:rsidR="006669A6" w:rsidRPr="00FD5A02">
        <w:rPr>
          <w:i/>
        </w:rPr>
        <w:t>See</w:t>
      </w:r>
      <w:r w:rsidR="006669A6" w:rsidRPr="00FD5A02">
        <w:t xml:space="preserve"> </w:t>
      </w:r>
      <w:r w:rsidR="006E554A" w:rsidRPr="00FD5A02">
        <w:t xml:space="preserve">66 Pa.C.S. § 1301, </w:t>
      </w:r>
      <w:r w:rsidR="006E554A" w:rsidRPr="00FD5A02">
        <w:rPr>
          <w:i/>
        </w:rPr>
        <w:t>et. seq.</w:t>
      </w:r>
    </w:p>
    <w:p w14:paraId="7A73C5E8" w14:textId="77777777" w:rsidR="00F23B0E" w:rsidRPr="00FD5A02" w:rsidRDefault="00F23B0E" w:rsidP="008F0AFB">
      <w:pPr>
        <w:ind w:firstLine="1440"/>
        <w:jc w:val="left"/>
      </w:pPr>
    </w:p>
    <w:p w14:paraId="2326F237" w14:textId="1C0D110C" w:rsidR="00530BFE" w:rsidRPr="00FD5A02" w:rsidRDefault="00530BFE" w:rsidP="008F0AFB">
      <w:pPr>
        <w:ind w:firstLine="1440"/>
        <w:jc w:val="left"/>
      </w:pPr>
      <w:r w:rsidRPr="00FD5A02">
        <w:lastRenderedPageBreak/>
        <w:t>In the present matter a hearing in this case is necessary as there is a disputed question of fact</w:t>
      </w:r>
      <w:r w:rsidR="007607AF" w:rsidRPr="00FD5A02">
        <w:t xml:space="preserve"> and law</w:t>
      </w:r>
      <w:r w:rsidRPr="00FD5A02">
        <w:t xml:space="preserve"> which must be resolved.  </w:t>
      </w:r>
      <w:r w:rsidR="00D47DA5" w:rsidRPr="00FD5A02">
        <w:t xml:space="preserve">The OCA alleges that PECO’s request to retain the $5.5 million </w:t>
      </w:r>
      <w:r w:rsidR="001C1D9E" w:rsidRPr="00FD5A02">
        <w:t>of the FERC</w:t>
      </w:r>
      <w:r w:rsidR="00BA7585" w:rsidRPr="00FD5A02">
        <w:t>-ordered credits is in violation of the Commission’s statute.  As such, there is an actual legal and factual question that needs to be address</w:t>
      </w:r>
      <w:r w:rsidR="00676FCE" w:rsidRPr="00FD5A02">
        <w:t xml:space="preserve">ed.  Therefore, PECO’s Preliminary Objection </w:t>
      </w:r>
      <w:r w:rsidR="003B0164" w:rsidRPr="00FD5A02">
        <w:t>is denied.</w:t>
      </w:r>
    </w:p>
    <w:p w14:paraId="4FF62362" w14:textId="295116C0" w:rsidR="00A45EC4" w:rsidRPr="00FD5A02" w:rsidRDefault="003B0164" w:rsidP="008F0AFB">
      <w:pPr>
        <w:pStyle w:val="NormalWeb"/>
        <w:spacing w:line="360" w:lineRule="auto"/>
        <w:ind w:firstLine="1440"/>
      </w:pPr>
      <w:r w:rsidRPr="00FD5A02">
        <w:rPr>
          <w:color w:val="000000"/>
        </w:rPr>
        <w:t xml:space="preserve">PECO did not file an Answer </w:t>
      </w:r>
      <w:bookmarkStart w:id="0" w:name="5.101."/>
      <w:r w:rsidR="00A45EC4" w:rsidRPr="00FD5A02">
        <w:rPr>
          <w:color w:val="000000"/>
        </w:rPr>
        <w:t xml:space="preserve">under 52 Pa.Code </w:t>
      </w:r>
      <w:r w:rsidR="00A45EC4" w:rsidRPr="00FD5A02">
        <w:t>§ 5.101</w:t>
      </w:r>
      <w:r w:rsidR="002D49AD" w:rsidRPr="00FD5A02">
        <w:t xml:space="preserve"> (e)(1) of the Commission’s regulations.</w:t>
      </w:r>
      <w:r w:rsidR="00D907E9">
        <w:t xml:space="preserve">  </w:t>
      </w:r>
      <w:r w:rsidR="0030214D" w:rsidRPr="00FD5A02">
        <w:t xml:space="preserve">As the Preliminary Objection is denied, </w:t>
      </w:r>
      <w:r w:rsidR="001B61EF" w:rsidRPr="00FD5A02">
        <w:t xml:space="preserve">PECO is directed to file an Answer to the Complaint within </w:t>
      </w:r>
      <w:r w:rsidR="00163E8F" w:rsidRPr="00FD5A02">
        <w:t>twenty (20)</w:t>
      </w:r>
      <w:r w:rsidR="001B61EF" w:rsidRPr="00FD5A02">
        <w:t xml:space="preserve"> days of the date of this Order</w:t>
      </w:r>
      <w:r w:rsidR="00163E8F" w:rsidRPr="00FD5A02">
        <w:t>.</w:t>
      </w:r>
    </w:p>
    <w:bookmarkEnd w:id="0"/>
    <w:p w14:paraId="7913A2C3" w14:textId="77777777" w:rsidR="00530BFE" w:rsidRDefault="00530BFE" w:rsidP="008F0AFB">
      <w:pPr>
        <w:outlineLvl w:val="0"/>
        <w:rPr>
          <w:u w:val="single"/>
        </w:rPr>
      </w:pPr>
      <w:r>
        <w:rPr>
          <w:u w:val="single"/>
        </w:rPr>
        <w:t>CONCLUSIONS OF LAW</w:t>
      </w:r>
    </w:p>
    <w:p w14:paraId="3D1B5123" w14:textId="77777777" w:rsidR="00530BFE" w:rsidRDefault="00530BFE" w:rsidP="008F0AFB">
      <w:pPr>
        <w:jc w:val="left"/>
      </w:pPr>
    </w:p>
    <w:p w14:paraId="5C04840E" w14:textId="3EBC4BB3" w:rsidR="00530BFE" w:rsidRDefault="003D5779" w:rsidP="008F0AFB">
      <w:pPr>
        <w:ind w:firstLine="1440"/>
        <w:jc w:val="left"/>
        <w:rPr>
          <w:spacing w:val="-3"/>
        </w:rPr>
      </w:pPr>
      <w:r>
        <w:t>1</w:t>
      </w:r>
      <w:r w:rsidR="00530BFE">
        <w:t>.</w:t>
      </w:r>
      <w:r w:rsidR="00530BFE">
        <w:tab/>
        <w:t>The filing of a preliminary objection is permitted under Commission regulations.  52 Pa.Code § 5.101(a)(1)-(</w:t>
      </w:r>
      <w:r>
        <w:t>7</w:t>
      </w:r>
      <w:r w:rsidR="00530BFE">
        <w:t>).</w:t>
      </w:r>
    </w:p>
    <w:p w14:paraId="344AECD8" w14:textId="77777777" w:rsidR="00530BFE" w:rsidRDefault="00530BFE" w:rsidP="008F0AFB">
      <w:pPr>
        <w:jc w:val="left"/>
      </w:pPr>
    </w:p>
    <w:p w14:paraId="396CF98E" w14:textId="29936761" w:rsidR="00530BFE" w:rsidRDefault="003D5779" w:rsidP="008F0AFB">
      <w:pPr>
        <w:ind w:firstLine="1440"/>
        <w:jc w:val="left"/>
      </w:pPr>
      <w:r>
        <w:t>2</w:t>
      </w:r>
      <w:r w:rsidR="00530BFE">
        <w:t>.</w:t>
      </w:r>
      <w:r w:rsidR="00530BFE">
        <w:tab/>
        <w:t xml:space="preserve">Preliminary objection practice before the Commission is similar to Pennsylvania civil practice respecting preliminary objections.  </w:t>
      </w:r>
      <w:r w:rsidR="00530BFE">
        <w:rPr>
          <w:i/>
        </w:rPr>
        <w:t>Equitable Small Transportation Intervenors v. Equitable Gas Company</w:t>
      </w:r>
      <w:r w:rsidR="00530BFE">
        <w:t>, 1994 Pa. PUC LEXIS 69, Docket No. C-00935435 (July 18, 1994).</w:t>
      </w:r>
    </w:p>
    <w:p w14:paraId="24AE8352" w14:textId="77777777" w:rsidR="00530BFE" w:rsidRDefault="00530BFE" w:rsidP="008F0AFB">
      <w:pPr>
        <w:jc w:val="left"/>
      </w:pPr>
    </w:p>
    <w:p w14:paraId="55F0A63F" w14:textId="552B2A8F" w:rsidR="00530BFE" w:rsidRDefault="003D5779" w:rsidP="008F0AFB">
      <w:pPr>
        <w:ind w:firstLine="1440"/>
        <w:jc w:val="left"/>
      </w:pPr>
      <w:r>
        <w:t>3</w:t>
      </w:r>
      <w:r w:rsidR="00530BFE">
        <w:t>.</w:t>
      </w:r>
      <w:r w:rsidR="00530BFE">
        <w:tab/>
        <w:t xml:space="preserve">In deciding the preliminary objections, the Commission must determine whether, based on well-pleaded factual averments of the petitioners, recovery or relief is possible.  </w:t>
      </w:r>
      <w:r w:rsidR="00530BFE">
        <w:rPr>
          <w:i/>
        </w:rPr>
        <w:t>Dept. of Auditor General v. SERS</w:t>
      </w:r>
      <w:r w:rsidR="00530BFE">
        <w:t xml:space="preserve">, 836 A.2d 1053, 1064 (Pa.Cmwlth. 2003); </w:t>
      </w:r>
      <w:r w:rsidR="00530BFE">
        <w:rPr>
          <w:i/>
        </w:rPr>
        <w:t>P.J.S. v. Pa. State Ethics Comm’n</w:t>
      </w:r>
      <w:r w:rsidR="00530BFE">
        <w:t xml:space="preserve">, 669 A.2d 1105 (Pa.Cmwlth. 1996).  Any doubt must be resolved in favor of the non-moving party by refusing to sustain the preliminary objections.  </w:t>
      </w:r>
      <w:r w:rsidR="00530BFE">
        <w:rPr>
          <w:i/>
        </w:rPr>
        <w:t>Boyd v. Ward</w:t>
      </w:r>
      <w:r w:rsidR="00530BFE">
        <w:t xml:space="preserve">, 802 A.2d 705 (Pa.Cmwlth. 2002).  All of the non-moving party’s averments in the complaint must be viewed as true for purposes of deciding the preliminary objections, and only those facts specifically admitted may be considered against the non-moving party.  </w:t>
      </w:r>
      <w:r w:rsidR="00530BFE">
        <w:rPr>
          <w:i/>
        </w:rPr>
        <w:t>Ridge v. State Employees’ Retirement Board</w:t>
      </w:r>
      <w:r w:rsidR="00530BFE">
        <w:t xml:space="preserve">, 690 A.2d 1312 (Pa.Cmwlth. 1997). </w:t>
      </w:r>
    </w:p>
    <w:p w14:paraId="1BCB5BC7" w14:textId="77777777" w:rsidR="00273DB0" w:rsidRDefault="00273DB0">
      <w:pPr>
        <w:spacing w:after="200" w:line="276" w:lineRule="auto"/>
        <w:jc w:val="left"/>
        <w:rPr>
          <w:u w:val="single"/>
        </w:rPr>
      </w:pPr>
      <w:r>
        <w:rPr>
          <w:u w:val="single"/>
        </w:rPr>
        <w:br w:type="page"/>
      </w:r>
    </w:p>
    <w:p w14:paraId="734C7197" w14:textId="638CA1CE" w:rsidR="00530BFE" w:rsidRDefault="00530BFE" w:rsidP="00273DB0">
      <w:pPr>
        <w:rPr>
          <w:u w:val="single"/>
        </w:rPr>
      </w:pPr>
      <w:r>
        <w:rPr>
          <w:u w:val="single"/>
        </w:rPr>
        <w:lastRenderedPageBreak/>
        <w:t>ORDER</w:t>
      </w:r>
    </w:p>
    <w:p w14:paraId="252844BD" w14:textId="14E1C587" w:rsidR="00273DB0" w:rsidRDefault="00273DB0" w:rsidP="00273DB0">
      <w:pPr>
        <w:rPr>
          <w:u w:val="single"/>
        </w:rPr>
      </w:pPr>
    </w:p>
    <w:p w14:paraId="34638EBB" w14:textId="77777777" w:rsidR="00273DB0" w:rsidRDefault="00273DB0" w:rsidP="00273DB0">
      <w:pPr>
        <w:rPr>
          <w:u w:val="single"/>
        </w:rPr>
      </w:pPr>
    </w:p>
    <w:p w14:paraId="56AE9EC5" w14:textId="77777777" w:rsidR="00530BFE" w:rsidRDefault="00530BFE" w:rsidP="008B58CE">
      <w:pPr>
        <w:jc w:val="both"/>
        <w:rPr>
          <w:u w:val="single"/>
        </w:rPr>
      </w:pPr>
    </w:p>
    <w:p w14:paraId="040DE195" w14:textId="77777777" w:rsidR="00530BFE" w:rsidRDefault="00530BFE" w:rsidP="008B58CE">
      <w:pPr>
        <w:jc w:val="left"/>
      </w:pPr>
      <w:r>
        <w:tab/>
      </w:r>
      <w:r>
        <w:tab/>
        <w:t>THEREFORE,</w:t>
      </w:r>
    </w:p>
    <w:p w14:paraId="2393C7D4" w14:textId="77777777" w:rsidR="00530BFE" w:rsidRDefault="00530BFE" w:rsidP="008B58CE">
      <w:pPr>
        <w:jc w:val="left"/>
      </w:pPr>
    </w:p>
    <w:p w14:paraId="7765DA6B" w14:textId="77777777" w:rsidR="00530BFE" w:rsidRDefault="00530BFE" w:rsidP="008B58CE">
      <w:pPr>
        <w:jc w:val="left"/>
      </w:pPr>
      <w:r>
        <w:tab/>
      </w:r>
      <w:r>
        <w:tab/>
        <w:t>IT IS ORDERED:</w:t>
      </w:r>
    </w:p>
    <w:p w14:paraId="197922E0" w14:textId="77777777" w:rsidR="00530BFE" w:rsidRDefault="00530BFE" w:rsidP="008B58CE">
      <w:pPr>
        <w:jc w:val="left"/>
      </w:pPr>
    </w:p>
    <w:p w14:paraId="573BA358" w14:textId="1CE68312" w:rsidR="00530BFE" w:rsidRDefault="00530BFE" w:rsidP="008F0AFB">
      <w:pPr>
        <w:pStyle w:val="ListParagraph"/>
        <w:numPr>
          <w:ilvl w:val="0"/>
          <w:numId w:val="2"/>
        </w:numPr>
        <w:ind w:left="0" w:firstLine="1440"/>
        <w:jc w:val="left"/>
      </w:pPr>
      <w:r>
        <w:t xml:space="preserve">That the </w:t>
      </w:r>
      <w:r w:rsidR="000F5501">
        <w:t>Preliminary Objection</w:t>
      </w:r>
      <w:r w:rsidR="003D5779">
        <w:t xml:space="preserve"> </w:t>
      </w:r>
      <w:r w:rsidR="000F5501">
        <w:t>filed by PECO Energy Company</w:t>
      </w:r>
      <w:r>
        <w:t xml:space="preserve"> in the case captioned </w:t>
      </w:r>
      <w:r w:rsidR="00F86923" w:rsidRPr="003D5779">
        <w:rPr>
          <w:i/>
        </w:rPr>
        <w:t>Office of Consumer Advocate v. PECO Energy Company</w:t>
      </w:r>
      <w:r w:rsidR="003D5779">
        <w:t xml:space="preserve"> at Docket Nos. M-2018-3005860 and C-2018-3006242</w:t>
      </w:r>
      <w:r w:rsidR="00F86923">
        <w:t xml:space="preserve"> </w:t>
      </w:r>
      <w:r w:rsidR="003D5779" w:rsidRPr="003D5779">
        <w:t>is</w:t>
      </w:r>
      <w:r w:rsidR="000F5501">
        <w:rPr>
          <w:i/>
        </w:rPr>
        <w:t xml:space="preserve"> </w:t>
      </w:r>
      <w:r>
        <w:t>denied</w:t>
      </w:r>
      <w:r w:rsidR="00216361">
        <w:t>;</w:t>
      </w:r>
    </w:p>
    <w:p w14:paraId="6A9EB57C" w14:textId="77777777" w:rsidR="007103AF" w:rsidRDefault="007103AF" w:rsidP="008F0AFB">
      <w:pPr>
        <w:pStyle w:val="ListParagraph"/>
        <w:ind w:left="1440"/>
        <w:jc w:val="left"/>
      </w:pPr>
    </w:p>
    <w:p w14:paraId="20CDA6F6" w14:textId="3A5D8CDC" w:rsidR="007103AF" w:rsidRDefault="007103AF" w:rsidP="008F0AFB">
      <w:pPr>
        <w:pStyle w:val="ListParagraph"/>
        <w:numPr>
          <w:ilvl w:val="0"/>
          <w:numId w:val="2"/>
        </w:numPr>
        <w:ind w:left="0" w:firstLine="1440"/>
        <w:jc w:val="left"/>
      </w:pPr>
      <w:r>
        <w:t xml:space="preserve">That PECO Energy Company is directed to file an Answer to the OCA’s Formal Complaint within </w:t>
      </w:r>
      <w:r w:rsidR="00216361">
        <w:t xml:space="preserve">twenty (20) days of the date of this Order; and </w:t>
      </w:r>
    </w:p>
    <w:p w14:paraId="25F65B1C" w14:textId="77777777" w:rsidR="00530BFE" w:rsidRDefault="00530BFE" w:rsidP="008F0AFB">
      <w:pPr>
        <w:pStyle w:val="ListParagraph"/>
        <w:ind w:left="1440"/>
        <w:jc w:val="left"/>
      </w:pPr>
    </w:p>
    <w:p w14:paraId="39D5B4CE" w14:textId="3B0AF795" w:rsidR="00530BFE" w:rsidRDefault="00530BFE" w:rsidP="008F0AFB">
      <w:pPr>
        <w:pStyle w:val="ParaTab1"/>
        <w:numPr>
          <w:ilvl w:val="0"/>
          <w:numId w:val="2"/>
        </w:numPr>
        <w:tabs>
          <w:tab w:val="left" w:pos="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w:t>
      </w:r>
      <w:r w:rsidR="000F5501">
        <w:rPr>
          <w:rFonts w:ascii="Times New Roman" w:hAnsi="Times New Roman" w:cs="Times New Roman"/>
          <w:spacing w:val="-3"/>
        </w:rPr>
        <w:t xml:space="preserve">the matter be scheduled for a prehearing conference </w:t>
      </w:r>
      <w:r w:rsidR="008D3259">
        <w:rPr>
          <w:rFonts w:ascii="Times New Roman" w:hAnsi="Times New Roman" w:cs="Times New Roman"/>
          <w:spacing w:val="-3"/>
        </w:rPr>
        <w:t>after PECO Energy Company files its Answer in this matter</w:t>
      </w:r>
      <w:r>
        <w:rPr>
          <w:spacing w:val="-3"/>
        </w:rPr>
        <w:t>.</w:t>
      </w:r>
    </w:p>
    <w:p w14:paraId="6E217765" w14:textId="77777777" w:rsidR="00530BFE" w:rsidRDefault="00530BFE" w:rsidP="007F3CCC">
      <w:pPr>
        <w:jc w:val="left"/>
      </w:pPr>
    </w:p>
    <w:p w14:paraId="14EE41A6" w14:textId="77777777" w:rsidR="00530BFE" w:rsidRDefault="00530BFE" w:rsidP="007F3CCC">
      <w:pPr>
        <w:jc w:val="left"/>
      </w:pPr>
    </w:p>
    <w:p w14:paraId="13593CC6" w14:textId="785825D4" w:rsidR="00530BFE" w:rsidRDefault="00530BFE" w:rsidP="007F3CCC">
      <w:pPr>
        <w:spacing w:line="240" w:lineRule="auto"/>
        <w:jc w:val="left"/>
      </w:pPr>
      <w:r>
        <w:t>Dated:</w:t>
      </w:r>
      <w:r>
        <w:tab/>
      </w:r>
      <w:r w:rsidR="007F3CCC">
        <w:rPr>
          <w:u w:val="single"/>
        </w:rPr>
        <w:t>February 8, 2019</w:t>
      </w:r>
      <w:r>
        <w:tab/>
      </w:r>
      <w:r>
        <w:tab/>
      </w:r>
      <w:r>
        <w:tab/>
      </w:r>
      <w:r w:rsidR="007F3CCC">
        <w:tab/>
      </w:r>
      <w:r w:rsidR="007F3CCC">
        <w:rPr>
          <w:u w:val="single"/>
        </w:rPr>
        <w:tab/>
      </w:r>
      <w:r w:rsidR="007F3CCC">
        <w:rPr>
          <w:u w:val="single"/>
        </w:rPr>
        <w:tab/>
        <w:t>/s/</w:t>
      </w:r>
      <w:r w:rsidR="007F3CCC">
        <w:rPr>
          <w:u w:val="single"/>
        </w:rPr>
        <w:tab/>
      </w:r>
      <w:r w:rsidR="007F3CCC">
        <w:rPr>
          <w:u w:val="single"/>
        </w:rPr>
        <w:tab/>
      </w:r>
      <w:r w:rsidR="007F3CCC">
        <w:rPr>
          <w:u w:val="single"/>
        </w:rPr>
        <w:tab/>
      </w:r>
      <w:r>
        <w:tab/>
      </w:r>
      <w:r>
        <w:tab/>
      </w:r>
      <w:r>
        <w:tab/>
      </w:r>
      <w:r>
        <w:tab/>
      </w:r>
      <w:r>
        <w:tab/>
      </w:r>
      <w:r>
        <w:tab/>
      </w:r>
      <w:r>
        <w:tab/>
      </w:r>
      <w:r w:rsidR="007F3CCC">
        <w:tab/>
      </w:r>
      <w:r>
        <w:t>Marta Guhl</w:t>
      </w:r>
    </w:p>
    <w:p w14:paraId="617D25A2" w14:textId="68B02056" w:rsidR="00530BFE" w:rsidRDefault="00530BFE" w:rsidP="007F3CCC">
      <w:pPr>
        <w:spacing w:line="240" w:lineRule="auto"/>
        <w:jc w:val="left"/>
      </w:pPr>
      <w:r>
        <w:tab/>
      </w:r>
      <w:r>
        <w:tab/>
      </w:r>
      <w:r>
        <w:tab/>
      </w:r>
      <w:r>
        <w:tab/>
      </w:r>
      <w:r>
        <w:tab/>
      </w:r>
      <w:r>
        <w:tab/>
      </w:r>
      <w:r w:rsidR="007F3CCC">
        <w:tab/>
      </w:r>
      <w:r>
        <w:t>Administrative Law Judge</w:t>
      </w:r>
    </w:p>
    <w:p w14:paraId="63B08EA3" w14:textId="77777777" w:rsidR="00530BFE" w:rsidRDefault="00530BFE" w:rsidP="00530BFE">
      <w:pPr>
        <w:jc w:val="left"/>
      </w:pPr>
    </w:p>
    <w:p w14:paraId="1919B06A" w14:textId="47D579DB" w:rsidR="007F3CCC" w:rsidRDefault="007F3CCC" w:rsidP="00530BFE">
      <w:pPr>
        <w:jc w:val="left"/>
        <w:sectPr w:rsidR="007F3CCC" w:rsidSect="00B1797B">
          <w:footerReference w:type="default" r:id="rId7"/>
          <w:pgSz w:w="12240" w:h="15840"/>
          <w:pgMar w:top="1440" w:right="1440" w:bottom="1440" w:left="1440" w:header="720" w:footer="720" w:gutter="0"/>
          <w:cols w:space="720"/>
          <w:titlePg/>
          <w:docGrid w:linePitch="326"/>
        </w:sectPr>
      </w:pPr>
    </w:p>
    <w:p w14:paraId="32363E67" w14:textId="77777777" w:rsidR="008B58CE" w:rsidRPr="00DC22CD" w:rsidRDefault="008B58CE" w:rsidP="008B58CE">
      <w:pPr>
        <w:spacing w:line="240" w:lineRule="auto"/>
        <w:contextualSpacing/>
        <w:jc w:val="left"/>
        <w:rPr>
          <w:rFonts w:eastAsia="Microsoft Sans Serif"/>
        </w:rPr>
      </w:pPr>
      <w:r w:rsidRPr="00DC22CD">
        <w:rPr>
          <w:rFonts w:eastAsia="Microsoft Sans Serif"/>
          <w:b/>
          <w:u w:val="single"/>
        </w:rPr>
        <w:lastRenderedPageBreak/>
        <w:t>C-2018-3006242 - OFFICE OF CONSUMER ADVOCATE v. PECO ENERGY COMPANY</w:t>
      </w:r>
      <w:r w:rsidRPr="00DC22CD">
        <w:rPr>
          <w:rFonts w:eastAsia="Microsoft Sans Serif"/>
          <w:b/>
          <w:u w:val="single"/>
        </w:rPr>
        <w:cr/>
      </w:r>
      <w:bookmarkStart w:id="1" w:name="_GoBack"/>
      <w:bookmarkEnd w:id="1"/>
      <w:r w:rsidRPr="00DC22CD">
        <w:rPr>
          <w:rFonts w:eastAsia="Microsoft Sans Serif"/>
        </w:rPr>
        <w:cr/>
        <w:t>HARRISON W BREITMAN ESQUIRE</w:t>
      </w:r>
    </w:p>
    <w:p w14:paraId="6604BA33" w14:textId="77777777" w:rsidR="008B58CE" w:rsidRPr="00DC22CD" w:rsidRDefault="008B58CE" w:rsidP="008B58CE">
      <w:pPr>
        <w:spacing w:line="240" w:lineRule="auto"/>
        <w:contextualSpacing/>
        <w:jc w:val="left"/>
        <w:rPr>
          <w:rFonts w:eastAsia="Microsoft Sans Serif"/>
        </w:rPr>
      </w:pPr>
      <w:r w:rsidRPr="00DC22CD">
        <w:rPr>
          <w:rFonts w:eastAsia="Microsoft Sans Serif"/>
        </w:rPr>
        <w:t xml:space="preserve">DARRYL A LAWRENCE ESQUIRE </w:t>
      </w:r>
    </w:p>
    <w:p w14:paraId="5E682CFD" w14:textId="77777777" w:rsidR="008B58CE" w:rsidRPr="00DC22CD" w:rsidRDefault="008B58CE" w:rsidP="008B58CE">
      <w:pPr>
        <w:spacing w:line="240" w:lineRule="auto"/>
        <w:contextualSpacing/>
        <w:jc w:val="left"/>
        <w:rPr>
          <w:rFonts w:eastAsia="Microsoft Sans Serif"/>
          <w:b/>
        </w:rPr>
      </w:pPr>
      <w:r w:rsidRPr="00DC22CD">
        <w:rPr>
          <w:rFonts w:eastAsia="Microsoft Sans Serif"/>
        </w:rPr>
        <w:t xml:space="preserve">LAUREN M BURGE ESQUIRE </w:t>
      </w:r>
      <w:r w:rsidRPr="00DC22CD">
        <w:rPr>
          <w:rFonts w:eastAsia="Microsoft Sans Serif"/>
        </w:rPr>
        <w:cr/>
        <w:t>OFFICE OF CONSUMER ADVOCATE</w:t>
      </w:r>
      <w:r w:rsidRPr="00DC22CD">
        <w:rPr>
          <w:rFonts w:eastAsia="Microsoft Sans Serif"/>
        </w:rPr>
        <w:cr/>
        <w:t>555 WALNUT STREET 5</w:t>
      </w:r>
      <w:r w:rsidRPr="00DC22CD">
        <w:rPr>
          <w:rFonts w:eastAsia="Microsoft Sans Serif"/>
          <w:vertAlign w:val="superscript"/>
        </w:rPr>
        <w:t>TH</w:t>
      </w:r>
      <w:r w:rsidRPr="00DC22CD">
        <w:rPr>
          <w:rFonts w:eastAsia="Microsoft Sans Serif"/>
        </w:rPr>
        <w:t xml:space="preserve"> FLOOR </w:t>
      </w:r>
      <w:r w:rsidRPr="00DC22CD">
        <w:rPr>
          <w:rFonts w:eastAsia="Microsoft Sans Serif"/>
        </w:rPr>
        <w:cr/>
        <w:t>FORUM PLACE</w:t>
      </w:r>
      <w:r w:rsidRPr="00DC22CD">
        <w:rPr>
          <w:rFonts w:eastAsia="Microsoft Sans Serif"/>
        </w:rPr>
        <w:cr/>
        <w:t>HARRISBURG PA  17101</w:t>
      </w:r>
      <w:r w:rsidRPr="00DC22CD">
        <w:rPr>
          <w:rFonts w:eastAsia="Microsoft Sans Serif"/>
        </w:rPr>
        <w:cr/>
      </w:r>
      <w:r w:rsidRPr="00DC22CD">
        <w:rPr>
          <w:rFonts w:eastAsia="Microsoft Sans Serif"/>
          <w:b/>
        </w:rPr>
        <w:t>717.783.5048</w:t>
      </w:r>
    </w:p>
    <w:p w14:paraId="5D92C66B" w14:textId="77777777" w:rsidR="008B58CE" w:rsidRPr="00DC22CD" w:rsidRDefault="008B58CE" w:rsidP="008B58CE">
      <w:pPr>
        <w:spacing w:line="240" w:lineRule="auto"/>
        <w:contextualSpacing/>
        <w:jc w:val="left"/>
        <w:rPr>
          <w:rFonts w:eastAsia="Microsoft Sans Serif"/>
          <w:i/>
        </w:rPr>
      </w:pPr>
      <w:r w:rsidRPr="00DC22CD">
        <w:rPr>
          <w:rFonts w:eastAsia="Microsoft Sans Serif"/>
          <w:b/>
          <w:i/>
          <w:u w:val="single"/>
        </w:rPr>
        <w:t xml:space="preserve">Accepts E-Service </w:t>
      </w:r>
      <w:r w:rsidRPr="00DC22CD">
        <w:rPr>
          <w:rFonts w:eastAsia="Microsoft Sans Serif"/>
        </w:rPr>
        <w:cr/>
      </w:r>
      <w:r w:rsidRPr="00DC22CD">
        <w:rPr>
          <w:rFonts w:eastAsia="Microsoft Sans Serif"/>
          <w:i/>
        </w:rPr>
        <w:t xml:space="preserve">Representing Office of Consumer Advocate </w:t>
      </w:r>
    </w:p>
    <w:p w14:paraId="62D2CEE9" w14:textId="5512D9EB" w:rsidR="008B58CE" w:rsidRPr="00DC22CD" w:rsidRDefault="008B58CE" w:rsidP="008B58CE">
      <w:pPr>
        <w:spacing w:line="240" w:lineRule="auto"/>
        <w:contextualSpacing/>
        <w:jc w:val="left"/>
        <w:rPr>
          <w:rFonts w:eastAsia="Microsoft Sans Serif"/>
          <w:b/>
          <w:i/>
          <w:u w:val="single"/>
        </w:rPr>
      </w:pPr>
      <w:r w:rsidRPr="00DC22CD">
        <w:rPr>
          <w:rFonts w:eastAsia="Microsoft Sans Serif"/>
        </w:rPr>
        <w:cr/>
        <w:t>WARD L SMITH ESQUIRE</w:t>
      </w:r>
      <w:r w:rsidRPr="00DC22CD">
        <w:rPr>
          <w:rFonts w:eastAsia="Microsoft Sans Serif"/>
        </w:rPr>
        <w:cr/>
        <w:t>PECO ENERGY COMPANY</w:t>
      </w:r>
      <w:r w:rsidRPr="00DC22CD">
        <w:rPr>
          <w:rFonts w:eastAsia="Microsoft Sans Serif"/>
        </w:rPr>
        <w:cr/>
        <w:t xml:space="preserve">LEGAL DEPT S23-1 </w:t>
      </w:r>
      <w:r w:rsidRPr="00DC22CD">
        <w:rPr>
          <w:rFonts w:eastAsia="Microsoft Sans Serif"/>
        </w:rPr>
        <w:cr/>
        <w:t>2301 MARKET STREET</w:t>
      </w:r>
      <w:r w:rsidRPr="00DC22CD">
        <w:rPr>
          <w:rFonts w:eastAsia="Microsoft Sans Serif"/>
        </w:rPr>
        <w:cr/>
        <w:t>PHILADELPHIA PA  19103</w:t>
      </w:r>
      <w:r w:rsidRPr="00DC22CD">
        <w:rPr>
          <w:rFonts w:eastAsia="Microsoft Sans Serif"/>
        </w:rPr>
        <w:cr/>
      </w:r>
      <w:r w:rsidRPr="00DC22CD">
        <w:rPr>
          <w:rFonts w:eastAsia="Microsoft Sans Serif"/>
          <w:b/>
        </w:rPr>
        <w:t>215.841.6863</w:t>
      </w:r>
      <w:r w:rsidRPr="00DC22CD">
        <w:rPr>
          <w:rFonts w:eastAsia="Microsoft Sans Serif"/>
        </w:rPr>
        <w:cr/>
      </w:r>
      <w:r w:rsidRPr="00DC22CD">
        <w:rPr>
          <w:rFonts w:eastAsia="Microsoft Sans Serif"/>
          <w:b/>
          <w:i/>
          <w:u w:val="single"/>
        </w:rPr>
        <w:t>Accepts E-Service</w:t>
      </w:r>
    </w:p>
    <w:p w14:paraId="4C58AAE4" w14:textId="77777777" w:rsidR="008B58CE" w:rsidRPr="00DC22CD" w:rsidRDefault="008B58CE" w:rsidP="008B58CE">
      <w:pPr>
        <w:spacing w:line="240" w:lineRule="auto"/>
        <w:contextualSpacing/>
        <w:jc w:val="left"/>
        <w:rPr>
          <w:rFonts w:eastAsia="Microsoft Sans Serif"/>
          <w:i/>
        </w:rPr>
      </w:pPr>
      <w:r w:rsidRPr="00DC22CD">
        <w:rPr>
          <w:rFonts w:eastAsia="Microsoft Sans Serif"/>
          <w:i/>
        </w:rPr>
        <w:t xml:space="preserve">Representing PECO Energy Company </w:t>
      </w:r>
    </w:p>
    <w:p w14:paraId="00A0DC67" w14:textId="77777777" w:rsidR="008B58CE" w:rsidRPr="00DC22CD" w:rsidRDefault="008B58CE" w:rsidP="008B58CE">
      <w:pPr>
        <w:jc w:val="left"/>
      </w:pPr>
    </w:p>
    <w:p w14:paraId="09918FF4" w14:textId="77777777" w:rsidR="00530BFE" w:rsidRDefault="00530BFE" w:rsidP="008B58CE">
      <w:pPr>
        <w:jc w:val="left"/>
      </w:pPr>
    </w:p>
    <w:sectPr w:rsidR="00530B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7ED1B" w14:textId="77777777" w:rsidR="009E4257" w:rsidRDefault="009E4257" w:rsidP="00530BFE">
      <w:pPr>
        <w:spacing w:line="240" w:lineRule="auto"/>
      </w:pPr>
      <w:r>
        <w:separator/>
      </w:r>
    </w:p>
  </w:endnote>
  <w:endnote w:type="continuationSeparator" w:id="0">
    <w:p w14:paraId="74E5B087" w14:textId="77777777" w:rsidR="009E4257" w:rsidRDefault="009E4257" w:rsidP="00530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FF11" w14:textId="77777777" w:rsidR="00B1797B" w:rsidRPr="00B1797B" w:rsidRDefault="00B1797B">
    <w:pPr>
      <w:pStyle w:val="Footer"/>
      <w:tabs>
        <w:tab w:val="clear" w:pos="4680"/>
        <w:tab w:val="clear" w:pos="9360"/>
      </w:tabs>
      <w:rPr>
        <w:caps/>
        <w:noProof/>
        <w:sz w:val="20"/>
        <w:szCs w:val="20"/>
      </w:rPr>
    </w:pPr>
    <w:r w:rsidRPr="00B1797B">
      <w:rPr>
        <w:caps/>
        <w:sz w:val="20"/>
        <w:szCs w:val="20"/>
      </w:rPr>
      <w:fldChar w:fldCharType="begin"/>
    </w:r>
    <w:r w:rsidRPr="00B1797B">
      <w:rPr>
        <w:caps/>
        <w:sz w:val="20"/>
        <w:szCs w:val="20"/>
      </w:rPr>
      <w:instrText xml:space="preserve"> PAGE   \* MERGEFORMAT </w:instrText>
    </w:r>
    <w:r w:rsidRPr="00B1797B">
      <w:rPr>
        <w:caps/>
        <w:sz w:val="20"/>
        <w:szCs w:val="20"/>
      </w:rPr>
      <w:fldChar w:fldCharType="separate"/>
    </w:r>
    <w:r w:rsidRPr="00B1797B">
      <w:rPr>
        <w:caps/>
        <w:noProof/>
        <w:sz w:val="20"/>
        <w:szCs w:val="20"/>
      </w:rPr>
      <w:t>2</w:t>
    </w:r>
    <w:r w:rsidRPr="00B1797B">
      <w:rPr>
        <w:caps/>
        <w:noProof/>
        <w:sz w:val="20"/>
        <w:szCs w:val="20"/>
      </w:rPr>
      <w:fldChar w:fldCharType="end"/>
    </w:r>
  </w:p>
  <w:p w14:paraId="511E50F8" w14:textId="77777777" w:rsidR="00B1797B" w:rsidRDefault="00B17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0669C" w14:textId="77777777" w:rsidR="009E4257" w:rsidRDefault="009E4257" w:rsidP="00530BFE">
      <w:pPr>
        <w:spacing w:line="240" w:lineRule="auto"/>
      </w:pPr>
      <w:r>
        <w:separator/>
      </w:r>
    </w:p>
  </w:footnote>
  <w:footnote w:type="continuationSeparator" w:id="0">
    <w:p w14:paraId="50DF1057" w14:textId="77777777" w:rsidR="009E4257" w:rsidRDefault="009E4257" w:rsidP="00530B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438BD"/>
    <w:multiLevelType w:val="hybridMultilevel"/>
    <w:tmpl w:val="00B21E48"/>
    <w:lvl w:ilvl="0" w:tplc="4760A92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5E687598"/>
    <w:multiLevelType w:val="hybridMultilevel"/>
    <w:tmpl w:val="3B78F8A4"/>
    <w:lvl w:ilvl="0" w:tplc="6BF620F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FE"/>
    <w:rsid w:val="00011234"/>
    <w:rsid w:val="00036664"/>
    <w:rsid w:val="00050495"/>
    <w:rsid w:val="000835C6"/>
    <w:rsid w:val="00086CEE"/>
    <w:rsid w:val="000E7E78"/>
    <w:rsid w:val="000F0D0A"/>
    <w:rsid w:val="000F3041"/>
    <w:rsid w:val="000F4F67"/>
    <w:rsid w:val="000F5501"/>
    <w:rsid w:val="00126CB2"/>
    <w:rsid w:val="00140B21"/>
    <w:rsid w:val="001440CA"/>
    <w:rsid w:val="00163E8F"/>
    <w:rsid w:val="001868E6"/>
    <w:rsid w:val="00192DF4"/>
    <w:rsid w:val="001B61EF"/>
    <w:rsid w:val="001C1D9E"/>
    <w:rsid w:val="001C3861"/>
    <w:rsid w:val="001C521D"/>
    <w:rsid w:val="001D14F3"/>
    <w:rsid w:val="00216361"/>
    <w:rsid w:val="00217BD8"/>
    <w:rsid w:val="00236CF7"/>
    <w:rsid w:val="00242B7A"/>
    <w:rsid w:val="0024468E"/>
    <w:rsid w:val="00273DB0"/>
    <w:rsid w:val="00293445"/>
    <w:rsid w:val="002C3EC6"/>
    <w:rsid w:val="002D49AD"/>
    <w:rsid w:val="0030214D"/>
    <w:rsid w:val="003057CE"/>
    <w:rsid w:val="00334DAC"/>
    <w:rsid w:val="003623C2"/>
    <w:rsid w:val="003B0164"/>
    <w:rsid w:val="003B6687"/>
    <w:rsid w:val="003D4AE7"/>
    <w:rsid w:val="003D4E8C"/>
    <w:rsid w:val="003D5779"/>
    <w:rsid w:val="004145DA"/>
    <w:rsid w:val="0043752C"/>
    <w:rsid w:val="004D2D95"/>
    <w:rsid w:val="004E58C4"/>
    <w:rsid w:val="00504660"/>
    <w:rsid w:val="00530BFE"/>
    <w:rsid w:val="00575B19"/>
    <w:rsid w:val="005D5F99"/>
    <w:rsid w:val="005D60EC"/>
    <w:rsid w:val="006570BA"/>
    <w:rsid w:val="006669A6"/>
    <w:rsid w:val="00672347"/>
    <w:rsid w:val="00676FCE"/>
    <w:rsid w:val="006809F7"/>
    <w:rsid w:val="006D05BC"/>
    <w:rsid w:val="006D6936"/>
    <w:rsid w:val="006E25FD"/>
    <w:rsid w:val="006E554A"/>
    <w:rsid w:val="007103AF"/>
    <w:rsid w:val="00725C19"/>
    <w:rsid w:val="00745A09"/>
    <w:rsid w:val="007607AF"/>
    <w:rsid w:val="00771489"/>
    <w:rsid w:val="007A0114"/>
    <w:rsid w:val="007C4EBB"/>
    <w:rsid w:val="007F3CCC"/>
    <w:rsid w:val="00866202"/>
    <w:rsid w:val="008905BE"/>
    <w:rsid w:val="008A74AC"/>
    <w:rsid w:val="008B58CE"/>
    <w:rsid w:val="008B7F25"/>
    <w:rsid w:val="008D3259"/>
    <w:rsid w:val="008E745A"/>
    <w:rsid w:val="008F0AFB"/>
    <w:rsid w:val="00901198"/>
    <w:rsid w:val="00917A20"/>
    <w:rsid w:val="00927388"/>
    <w:rsid w:val="0094672E"/>
    <w:rsid w:val="00961461"/>
    <w:rsid w:val="00980773"/>
    <w:rsid w:val="009E4257"/>
    <w:rsid w:val="009E70CE"/>
    <w:rsid w:val="009F14D3"/>
    <w:rsid w:val="00A45EC4"/>
    <w:rsid w:val="00AA3C31"/>
    <w:rsid w:val="00AA4550"/>
    <w:rsid w:val="00AB7687"/>
    <w:rsid w:val="00AC6596"/>
    <w:rsid w:val="00B1797B"/>
    <w:rsid w:val="00B61C4A"/>
    <w:rsid w:val="00B74989"/>
    <w:rsid w:val="00B84AA5"/>
    <w:rsid w:val="00BA2A4C"/>
    <w:rsid w:val="00BA7585"/>
    <w:rsid w:val="00BA7751"/>
    <w:rsid w:val="00C31A49"/>
    <w:rsid w:val="00C57F6A"/>
    <w:rsid w:val="00CB3BC7"/>
    <w:rsid w:val="00D06AA9"/>
    <w:rsid w:val="00D47DA5"/>
    <w:rsid w:val="00D907E9"/>
    <w:rsid w:val="00DB1D4E"/>
    <w:rsid w:val="00E053CF"/>
    <w:rsid w:val="00E27972"/>
    <w:rsid w:val="00E7793F"/>
    <w:rsid w:val="00EA1D16"/>
    <w:rsid w:val="00EB0CE4"/>
    <w:rsid w:val="00EF5869"/>
    <w:rsid w:val="00F12CFA"/>
    <w:rsid w:val="00F23B0E"/>
    <w:rsid w:val="00F25D62"/>
    <w:rsid w:val="00F7228B"/>
    <w:rsid w:val="00F80E31"/>
    <w:rsid w:val="00F86923"/>
    <w:rsid w:val="00FC1F37"/>
    <w:rsid w:val="00FD5A02"/>
    <w:rsid w:val="00FE2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6655"/>
  <w15:chartTrackingRefBased/>
  <w15:docId w15:val="{63D9AB50-406C-4F20-A881-A58FF322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BFE"/>
    <w:pPr>
      <w:spacing w:after="0" w:line="360" w:lineRule="auto"/>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30BFE"/>
    <w:pPr>
      <w:autoSpaceDE w:val="0"/>
      <w:autoSpaceDN w:val="0"/>
      <w:spacing w:line="240" w:lineRule="auto"/>
      <w:jc w:val="left"/>
    </w:pPr>
    <w:rPr>
      <w:rFonts w:eastAsia="Times New Roman"/>
    </w:rPr>
  </w:style>
  <w:style w:type="character" w:customStyle="1" w:styleId="FootnoteTextChar">
    <w:name w:val="Footnote Text Char"/>
    <w:basedOn w:val="DefaultParagraphFont"/>
    <w:link w:val="FootnoteText"/>
    <w:rsid w:val="00530BFE"/>
    <w:rPr>
      <w:rFonts w:ascii="Times New Roman" w:eastAsia="Times New Roman" w:hAnsi="Times New Roman" w:cs="Times New Roman"/>
      <w:sz w:val="24"/>
      <w:szCs w:val="24"/>
    </w:rPr>
  </w:style>
  <w:style w:type="paragraph" w:styleId="ListParagraph">
    <w:name w:val="List Paragraph"/>
    <w:basedOn w:val="Normal"/>
    <w:uiPriority w:val="34"/>
    <w:qFormat/>
    <w:rsid w:val="00530BFE"/>
    <w:pPr>
      <w:ind w:left="720"/>
      <w:contextualSpacing/>
    </w:pPr>
  </w:style>
  <w:style w:type="paragraph" w:customStyle="1" w:styleId="ParaTab1">
    <w:name w:val="ParaTab 1"/>
    <w:rsid w:val="00530BF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basedOn w:val="DefaultParagraphFont"/>
    <w:semiHidden/>
    <w:unhideWhenUsed/>
    <w:rsid w:val="00530BFE"/>
    <w:rPr>
      <w:vertAlign w:val="superscript"/>
    </w:rPr>
  </w:style>
  <w:style w:type="paragraph" w:styleId="NormalWeb">
    <w:name w:val="Normal (Web)"/>
    <w:basedOn w:val="Normal"/>
    <w:uiPriority w:val="99"/>
    <w:unhideWhenUsed/>
    <w:rsid w:val="00A45EC4"/>
    <w:pPr>
      <w:spacing w:before="100" w:beforeAutospacing="1" w:after="100" w:afterAutospacing="1" w:line="240" w:lineRule="auto"/>
      <w:jc w:val="left"/>
    </w:pPr>
    <w:rPr>
      <w:rFonts w:eastAsia="Times New Roman"/>
    </w:rPr>
  </w:style>
  <w:style w:type="paragraph" w:styleId="Header">
    <w:name w:val="header"/>
    <w:basedOn w:val="Normal"/>
    <w:link w:val="HeaderChar"/>
    <w:uiPriority w:val="99"/>
    <w:unhideWhenUsed/>
    <w:rsid w:val="00B1797B"/>
    <w:pPr>
      <w:tabs>
        <w:tab w:val="center" w:pos="4680"/>
        <w:tab w:val="right" w:pos="9360"/>
      </w:tabs>
      <w:spacing w:line="240" w:lineRule="auto"/>
    </w:pPr>
  </w:style>
  <w:style w:type="character" w:customStyle="1" w:styleId="HeaderChar">
    <w:name w:val="Header Char"/>
    <w:basedOn w:val="DefaultParagraphFont"/>
    <w:link w:val="Header"/>
    <w:uiPriority w:val="99"/>
    <w:rsid w:val="00B1797B"/>
    <w:rPr>
      <w:rFonts w:ascii="Times New Roman" w:eastAsia="Calibri" w:hAnsi="Times New Roman" w:cs="Times New Roman"/>
      <w:sz w:val="24"/>
      <w:szCs w:val="24"/>
    </w:rPr>
  </w:style>
  <w:style w:type="paragraph" w:styleId="Footer">
    <w:name w:val="footer"/>
    <w:basedOn w:val="Normal"/>
    <w:link w:val="FooterChar"/>
    <w:uiPriority w:val="99"/>
    <w:unhideWhenUsed/>
    <w:rsid w:val="00B1797B"/>
    <w:pPr>
      <w:tabs>
        <w:tab w:val="center" w:pos="4680"/>
        <w:tab w:val="right" w:pos="9360"/>
      </w:tabs>
      <w:spacing w:line="240" w:lineRule="auto"/>
    </w:pPr>
  </w:style>
  <w:style w:type="character" w:customStyle="1" w:styleId="FooterChar">
    <w:name w:val="Footer Char"/>
    <w:basedOn w:val="DefaultParagraphFont"/>
    <w:link w:val="Footer"/>
    <w:uiPriority w:val="99"/>
    <w:rsid w:val="00B1797B"/>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140B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B2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6894">
      <w:bodyDiv w:val="1"/>
      <w:marLeft w:val="0"/>
      <w:marRight w:val="0"/>
      <w:marTop w:val="0"/>
      <w:marBottom w:val="0"/>
      <w:divBdr>
        <w:top w:val="none" w:sz="0" w:space="0" w:color="auto"/>
        <w:left w:val="none" w:sz="0" w:space="0" w:color="auto"/>
        <w:bottom w:val="none" w:sz="0" w:space="0" w:color="auto"/>
        <w:right w:val="none" w:sz="0" w:space="0" w:color="auto"/>
      </w:divBdr>
      <w:divsChild>
        <w:div w:id="1023895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482956">
      <w:bodyDiv w:val="1"/>
      <w:marLeft w:val="0"/>
      <w:marRight w:val="0"/>
      <w:marTop w:val="0"/>
      <w:marBottom w:val="0"/>
      <w:divBdr>
        <w:top w:val="none" w:sz="0" w:space="0" w:color="auto"/>
        <w:left w:val="none" w:sz="0" w:space="0" w:color="auto"/>
        <w:bottom w:val="none" w:sz="0" w:space="0" w:color="auto"/>
        <w:right w:val="none" w:sz="0" w:space="0" w:color="auto"/>
      </w:divBdr>
    </w:div>
    <w:div w:id="1329602616">
      <w:bodyDiv w:val="1"/>
      <w:marLeft w:val="0"/>
      <w:marRight w:val="0"/>
      <w:marTop w:val="0"/>
      <w:marBottom w:val="0"/>
      <w:divBdr>
        <w:top w:val="none" w:sz="0" w:space="0" w:color="auto"/>
        <w:left w:val="none" w:sz="0" w:space="0" w:color="auto"/>
        <w:bottom w:val="none" w:sz="0" w:space="0" w:color="auto"/>
        <w:right w:val="none" w:sz="0" w:space="0" w:color="auto"/>
      </w:divBdr>
    </w:div>
    <w:div w:id="205353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34</cp:revision>
  <cp:lastPrinted>2019-02-08T19:44:00Z</cp:lastPrinted>
  <dcterms:created xsi:type="dcterms:W3CDTF">2019-02-08T19:19:00Z</dcterms:created>
  <dcterms:modified xsi:type="dcterms:W3CDTF">2019-02-08T19:45:00Z</dcterms:modified>
</cp:coreProperties>
</file>