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1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890"/>
        <w:gridCol w:w="8075"/>
        <w:gridCol w:w="1452"/>
      </w:tblGrid>
      <w:tr w:rsidR="00EE705B" w:rsidRPr="00771D8F" w:rsidTr="001322B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</w:tcPr>
          <w:p w:rsidR="00EE705B" w:rsidRPr="00771D8F" w:rsidRDefault="00EE705B" w:rsidP="001322B2">
            <w:pPr>
              <w:jc w:val="right"/>
              <w:rPr>
                <w:color w:val="000000"/>
                <w:sz w:val="24"/>
              </w:rPr>
            </w:pPr>
            <w:r w:rsidRPr="00771D8F">
              <w:rPr>
                <w:noProof/>
                <w:color w:val="000000"/>
                <w:sz w:val="24"/>
              </w:rPr>
              <w:drawing>
                <wp:inline distT="0" distB="0" distL="0" distR="0">
                  <wp:extent cx="838200" cy="828675"/>
                  <wp:effectExtent l="0" t="0" r="0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E705B" w:rsidRPr="00771D8F" w:rsidRDefault="00EE705B" w:rsidP="001322B2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EE705B" w:rsidRPr="00771D8F" w:rsidRDefault="00EE705B" w:rsidP="001322B2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771D8F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EE705B" w:rsidRPr="00771D8F" w:rsidRDefault="00EE705B" w:rsidP="001322B2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771D8F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EE705B" w:rsidRPr="00771D8F" w:rsidRDefault="00EE705B" w:rsidP="001322B2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771D8F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771D8F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EE705B" w:rsidRPr="00633C8D" w:rsidRDefault="00633C8D" w:rsidP="00633C8D">
      <w:pPr>
        <w:ind w:left="2160" w:right="1314" w:firstLine="720"/>
        <w:jc w:val="center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February 19, 2019</w:t>
      </w:r>
      <w:r w:rsidR="00EE705B" w:rsidRPr="00633C8D">
        <w:rPr>
          <w:color w:val="FFFFFF" w:themeColor="background1"/>
          <w:sz w:val="24"/>
          <w:szCs w:val="24"/>
        </w:rPr>
        <w:t>February 19, 2019</w:t>
      </w:r>
    </w:p>
    <w:p w:rsidR="00633C8D" w:rsidRDefault="00633C8D" w:rsidP="00EE705B">
      <w:pPr>
        <w:ind w:left="720" w:right="36"/>
        <w:jc w:val="right"/>
        <w:rPr>
          <w:sz w:val="24"/>
          <w:szCs w:val="24"/>
        </w:rPr>
      </w:pPr>
      <w:r>
        <w:rPr>
          <w:sz w:val="24"/>
          <w:szCs w:val="24"/>
        </w:rPr>
        <w:t>Docket Number:</w:t>
      </w:r>
    </w:p>
    <w:p w:rsidR="00EE705B" w:rsidRDefault="00EE705B" w:rsidP="00EE705B">
      <w:pPr>
        <w:ind w:left="720" w:right="36"/>
        <w:jc w:val="right"/>
        <w:rPr>
          <w:sz w:val="24"/>
          <w:szCs w:val="24"/>
        </w:rPr>
      </w:pPr>
      <w:r w:rsidRPr="00E009B9">
        <w:rPr>
          <w:sz w:val="24"/>
          <w:szCs w:val="24"/>
        </w:rPr>
        <w:t>A-2019-3007945</w:t>
      </w:r>
    </w:p>
    <w:p w:rsidR="00EE705B" w:rsidRPr="00E009B9" w:rsidRDefault="00EE705B" w:rsidP="00EE705B">
      <w:pPr>
        <w:ind w:left="720" w:right="36"/>
        <w:jc w:val="right"/>
        <w:rPr>
          <w:sz w:val="24"/>
          <w:szCs w:val="24"/>
        </w:rPr>
      </w:pPr>
    </w:p>
    <w:p w:rsidR="00EE705B" w:rsidRPr="0096033D" w:rsidRDefault="00EE705B" w:rsidP="00EE705B">
      <w:pPr>
        <w:ind w:left="720"/>
        <w:rPr>
          <w:sz w:val="24"/>
        </w:rPr>
      </w:pPr>
      <w:r w:rsidRPr="0096033D">
        <w:rPr>
          <w:sz w:val="24"/>
        </w:rPr>
        <w:t>David B. MacGregor, Esquire</w:t>
      </w:r>
    </w:p>
    <w:p w:rsidR="00EE705B" w:rsidRPr="0096033D" w:rsidRDefault="00EE705B" w:rsidP="00EE705B">
      <w:pPr>
        <w:ind w:left="720"/>
        <w:rPr>
          <w:sz w:val="24"/>
        </w:rPr>
      </w:pPr>
      <w:r>
        <w:rPr>
          <w:sz w:val="24"/>
        </w:rPr>
        <w:t xml:space="preserve">Lindsay A. </w:t>
      </w:r>
      <w:proofErr w:type="spellStart"/>
      <w:r>
        <w:rPr>
          <w:sz w:val="24"/>
        </w:rPr>
        <w:t>Berkstresser</w:t>
      </w:r>
      <w:proofErr w:type="spellEnd"/>
      <w:r w:rsidRPr="0096033D">
        <w:rPr>
          <w:sz w:val="24"/>
        </w:rPr>
        <w:t>, Esquire</w:t>
      </w:r>
      <w:r w:rsidRPr="0096033D">
        <w:rPr>
          <w:sz w:val="24"/>
        </w:rPr>
        <w:br/>
        <w:t>Post &amp; Schell, PC</w:t>
      </w:r>
    </w:p>
    <w:p w:rsidR="00EE705B" w:rsidRPr="0096033D" w:rsidRDefault="00EE705B" w:rsidP="00EE705B">
      <w:pPr>
        <w:ind w:left="720"/>
        <w:rPr>
          <w:sz w:val="24"/>
        </w:rPr>
      </w:pPr>
      <w:r w:rsidRPr="0096033D">
        <w:rPr>
          <w:sz w:val="24"/>
        </w:rPr>
        <w:t>17 North Second Street, 12th Floor</w:t>
      </w:r>
    </w:p>
    <w:p w:rsidR="00EE705B" w:rsidRPr="0096033D" w:rsidRDefault="00EE705B" w:rsidP="00EE705B">
      <w:pPr>
        <w:ind w:left="720"/>
        <w:rPr>
          <w:sz w:val="24"/>
        </w:rPr>
      </w:pPr>
      <w:r w:rsidRPr="0096033D">
        <w:rPr>
          <w:sz w:val="24"/>
        </w:rPr>
        <w:t>Harrisburg, PA 17101-1601</w:t>
      </w:r>
    </w:p>
    <w:p w:rsidR="00EE705B" w:rsidRPr="00BE4BF0" w:rsidRDefault="00EE705B" w:rsidP="00EE705B">
      <w:pPr>
        <w:ind w:left="720" w:right="1314"/>
        <w:rPr>
          <w:sz w:val="24"/>
          <w:szCs w:val="24"/>
        </w:rPr>
      </w:pPr>
    </w:p>
    <w:p w:rsidR="00EE705B" w:rsidRPr="00BE4BF0" w:rsidRDefault="00EE705B" w:rsidP="00EE705B">
      <w:pPr>
        <w:ind w:left="720" w:right="1314"/>
        <w:rPr>
          <w:sz w:val="24"/>
          <w:szCs w:val="24"/>
        </w:rPr>
      </w:pPr>
    </w:p>
    <w:p w:rsidR="00EE705B" w:rsidRPr="00BE4BF0" w:rsidRDefault="00EE705B" w:rsidP="00EE705B">
      <w:pPr>
        <w:ind w:left="720" w:right="1314"/>
        <w:rPr>
          <w:sz w:val="24"/>
          <w:szCs w:val="24"/>
        </w:rPr>
      </w:pPr>
      <w:r w:rsidRPr="00BE4BF0">
        <w:rPr>
          <w:sz w:val="24"/>
          <w:szCs w:val="24"/>
        </w:rPr>
        <w:t xml:space="preserve">Dear Attorney </w:t>
      </w:r>
      <w:r>
        <w:rPr>
          <w:sz w:val="24"/>
          <w:szCs w:val="24"/>
        </w:rPr>
        <w:t>MacGregor:</w:t>
      </w:r>
    </w:p>
    <w:p w:rsidR="00EE705B" w:rsidRPr="0096033D" w:rsidRDefault="00EE705B" w:rsidP="00EE705B">
      <w:pPr>
        <w:ind w:left="720" w:right="1314"/>
        <w:rPr>
          <w:sz w:val="24"/>
          <w:szCs w:val="24"/>
        </w:rPr>
      </w:pPr>
    </w:p>
    <w:p w:rsidR="00EE705B" w:rsidRPr="0096033D" w:rsidRDefault="00EE705B" w:rsidP="00EE705B">
      <w:pPr>
        <w:tabs>
          <w:tab w:val="left" w:pos="-4050"/>
        </w:tabs>
        <w:suppressAutoHyphens/>
        <w:ind w:left="720" w:right="630" w:firstLine="720"/>
        <w:rPr>
          <w:sz w:val="24"/>
          <w:szCs w:val="24"/>
        </w:rPr>
      </w:pPr>
      <w:r w:rsidRPr="0096033D">
        <w:rPr>
          <w:sz w:val="24"/>
          <w:szCs w:val="24"/>
        </w:rPr>
        <w:t xml:space="preserve">Receipt is acknowledged of the </w:t>
      </w:r>
      <w:r>
        <w:rPr>
          <w:sz w:val="24"/>
          <w:szCs w:val="24"/>
        </w:rPr>
        <w:t xml:space="preserve">Joint </w:t>
      </w:r>
      <w:r w:rsidRPr="0096033D">
        <w:rPr>
          <w:sz w:val="24"/>
          <w:szCs w:val="24"/>
        </w:rPr>
        <w:t xml:space="preserve">Application </w:t>
      </w:r>
      <w:r>
        <w:rPr>
          <w:sz w:val="24"/>
          <w:szCs w:val="24"/>
        </w:rPr>
        <w:t xml:space="preserve">and Petition for Waiver </w:t>
      </w:r>
      <w:r w:rsidRPr="0096033D">
        <w:rPr>
          <w:sz w:val="24"/>
          <w:szCs w:val="24"/>
        </w:rPr>
        <w:t xml:space="preserve">of </w:t>
      </w:r>
      <w:r>
        <w:rPr>
          <w:sz w:val="24"/>
          <w:szCs w:val="24"/>
        </w:rPr>
        <w:t>PPL Electric Utilities Corporation</w:t>
      </w:r>
      <w:r w:rsidRPr="0096033D">
        <w:rPr>
          <w:sz w:val="24"/>
          <w:szCs w:val="24"/>
        </w:rPr>
        <w:t xml:space="preserve"> </w:t>
      </w:r>
      <w:r>
        <w:rPr>
          <w:sz w:val="24"/>
          <w:szCs w:val="24"/>
        </w:rPr>
        <w:t>for Approval to Rebuild the Existing Breinigsville-Alburtis 500 kV Transmission Line in Lehigh County, Pennsylvania.  The Joint Application and Petition have</w:t>
      </w:r>
      <w:r w:rsidRPr="0096033D">
        <w:rPr>
          <w:sz w:val="24"/>
          <w:szCs w:val="24"/>
        </w:rPr>
        <w:t xml:space="preserve"> been docketed to the above </w:t>
      </w:r>
      <w:r>
        <w:rPr>
          <w:sz w:val="24"/>
          <w:szCs w:val="24"/>
        </w:rPr>
        <w:t xml:space="preserve">docket </w:t>
      </w:r>
      <w:r w:rsidRPr="0096033D">
        <w:rPr>
          <w:sz w:val="24"/>
          <w:szCs w:val="24"/>
        </w:rPr>
        <w:t>number.</w:t>
      </w:r>
      <w:r>
        <w:rPr>
          <w:sz w:val="24"/>
          <w:szCs w:val="24"/>
        </w:rPr>
        <w:t xml:space="preserve"> </w:t>
      </w:r>
    </w:p>
    <w:p w:rsidR="00EE705B" w:rsidRPr="00BE4BF0" w:rsidRDefault="00EE705B" w:rsidP="00EE705B">
      <w:pPr>
        <w:ind w:left="720" w:right="1314"/>
        <w:rPr>
          <w:sz w:val="24"/>
          <w:szCs w:val="24"/>
        </w:rPr>
      </w:pPr>
    </w:p>
    <w:p w:rsidR="00EE705B" w:rsidRDefault="00EE705B" w:rsidP="00EE705B">
      <w:pPr>
        <w:suppressAutoHyphens/>
        <w:ind w:left="720" w:right="360" w:firstLine="720"/>
        <w:rPr>
          <w:spacing w:val="-3"/>
          <w:sz w:val="24"/>
          <w:szCs w:val="24"/>
        </w:rPr>
      </w:pPr>
      <w:r>
        <w:rPr>
          <w:sz w:val="24"/>
          <w:szCs w:val="24"/>
        </w:rPr>
        <w:t>The</w:t>
      </w:r>
      <w:r w:rsidRPr="00BE4BF0">
        <w:rPr>
          <w:sz w:val="24"/>
          <w:szCs w:val="24"/>
        </w:rPr>
        <w:t xml:space="preserve"> Commission </w:t>
      </w:r>
      <w:r>
        <w:rPr>
          <w:sz w:val="24"/>
          <w:szCs w:val="24"/>
        </w:rPr>
        <w:t xml:space="preserve">hereby sets a twenty-day period for formal protests and interventions in this matter from the date of this letter.  </w:t>
      </w:r>
      <w:r w:rsidRPr="0096033D">
        <w:rPr>
          <w:spacing w:val="-3"/>
          <w:sz w:val="24"/>
          <w:szCs w:val="24"/>
        </w:rPr>
        <w:t xml:space="preserve">All filings must be made with the Secretary of the Pennsylvania Public Utility Commission, </w:t>
      </w:r>
      <w:r>
        <w:rPr>
          <w:spacing w:val="-3"/>
          <w:sz w:val="24"/>
          <w:szCs w:val="24"/>
        </w:rPr>
        <w:t xml:space="preserve">by </w:t>
      </w:r>
      <w:proofErr w:type="spellStart"/>
      <w:r>
        <w:rPr>
          <w:spacing w:val="-3"/>
          <w:sz w:val="24"/>
          <w:szCs w:val="24"/>
        </w:rPr>
        <w:t>efiling</w:t>
      </w:r>
      <w:proofErr w:type="spellEnd"/>
      <w:r>
        <w:rPr>
          <w:spacing w:val="-3"/>
          <w:sz w:val="24"/>
          <w:szCs w:val="24"/>
        </w:rPr>
        <w:t xml:space="preserve"> through the Commission’s website </w:t>
      </w:r>
      <w:proofErr w:type="spellStart"/>
      <w:r>
        <w:rPr>
          <w:spacing w:val="-3"/>
          <w:sz w:val="24"/>
          <w:szCs w:val="24"/>
        </w:rPr>
        <w:t>efiling</w:t>
      </w:r>
      <w:proofErr w:type="spellEnd"/>
      <w:r>
        <w:rPr>
          <w:spacing w:val="-3"/>
          <w:sz w:val="24"/>
          <w:szCs w:val="24"/>
        </w:rPr>
        <w:t xml:space="preserve"> system; by overnight delivery; or by certified, priority or first-class mail to the above address, along with service of a copy of the filing to </w:t>
      </w:r>
      <w:r w:rsidRPr="0096033D">
        <w:rPr>
          <w:spacing w:val="-3"/>
          <w:sz w:val="24"/>
          <w:szCs w:val="24"/>
        </w:rPr>
        <w:t xml:space="preserve">the Applicant.  The documents filed in support of the Application are available for inspection and copying at the Office of the Secretary between the hours of 8:00 a.m. and 4:30 p.m., Monday through Friday, </w:t>
      </w:r>
      <w:r>
        <w:rPr>
          <w:spacing w:val="-3"/>
          <w:sz w:val="24"/>
          <w:szCs w:val="24"/>
        </w:rPr>
        <w:t xml:space="preserve">or by accessing the Application’s docket number </w:t>
      </w:r>
      <w:r w:rsidRPr="0096033D">
        <w:rPr>
          <w:spacing w:val="-3"/>
          <w:sz w:val="24"/>
          <w:szCs w:val="24"/>
        </w:rPr>
        <w:t xml:space="preserve">on the Commission's website at </w:t>
      </w:r>
      <w:hyperlink r:id="rId5" w:history="1">
        <w:r w:rsidRPr="0096033D">
          <w:rPr>
            <w:color w:val="0000FF"/>
            <w:spacing w:val="-3"/>
            <w:sz w:val="24"/>
            <w:szCs w:val="24"/>
            <w:u w:val="single"/>
          </w:rPr>
          <w:t>www.puc.pa.gov</w:t>
        </w:r>
      </w:hyperlink>
      <w:r w:rsidRPr="0096033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, or </w:t>
      </w:r>
      <w:r w:rsidRPr="0096033D">
        <w:rPr>
          <w:spacing w:val="-3"/>
          <w:sz w:val="24"/>
          <w:szCs w:val="24"/>
        </w:rPr>
        <w:t>at the Applicant's business address.</w:t>
      </w:r>
    </w:p>
    <w:p w:rsidR="00EE705B" w:rsidRDefault="00EE705B" w:rsidP="00EE705B">
      <w:pPr>
        <w:suppressAutoHyphens/>
        <w:ind w:left="720" w:right="360" w:firstLine="720"/>
        <w:rPr>
          <w:spacing w:val="-3"/>
          <w:sz w:val="24"/>
          <w:szCs w:val="24"/>
        </w:rPr>
      </w:pPr>
    </w:p>
    <w:p w:rsidR="00EE705B" w:rsidRPr="0096033D" w:rsidRDefault="00EE705B" w:rsidP="00EE705B">
      <w:pPr>
        <w:suppressAutoHyphens/>
        <w:ind w:left="720" w:right="360" w:firstLine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Pursuant to the Commission’s Secretarial Letter dated July 27, 2018, the Applicant shall provide supplemental service consisting of a copy of the Application to the statutory advocates. </w:t>
      </w:r>
    </w:p>
    <w:p w:rsidR="00EE705B" w:rsidRDefault="00EE705B" w:rsidP="00EE705B">
      <w:pPr>
        <w:ind w:left="720" w:right="1314"/>
        <w:rPr>
          <w:sz w:val="24"/>
          <w:szCs w:val="24"/>
        </w:rPr>
      </w:pPr>
    </w:p>
    <w:p w:rsidR="00EE705B" w:rsidRPr="00BE4BF0" w:rsidRDefault="00EE705B" w:rsidP="00EE705B">
      <w:pPr>
        <w:ind w:left="720" w:right="1314"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Pr="00BE4BF0">
        <w:rPr>
          <w:sz w:val="24"/>
          <w:szCs w:val="24"/>
        </w:rPr>
        <w:t>his matter will receive the attention of the Commission and you will be advised of any further necessary procedure.</w:t>
      </w:r>
    </w:p>
    <w:p w:rsidR="00EE705B" w:rsidRPr="00BE4BF0" w:rsidRDefault="00EE705B" w:rsidP="00EE705B">
      <w:pPr>
        <w:ind w:right="630"/>
        <w:rPr>
          <w:sz w:val="24"/>
          <w:szCs w:val="24"/>
        </w:rPr>
      </w:pPr>
    </w:p>
    <w:p w:rsidR="00EE705B" w:rsidRPr="00BE4BF0" w:rsidRDefault="00633C8D" w:rsidP="00EE705B">
      <w:pPr>
        <w:rPr>
          <w:sz w:val="24"/>
          <w:szCs w:val="24"/>
        </w:rPr>
      </w:pPr>
      <w:r w:rsidRPr="00BE4BF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151130</wp:posOffset>
            </wp:positionV>
            <wp:extent cx="1466850" cy="405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05B" w:rsidRPr="00BE4BF0">
        <w:rPr>
          <w:sz w:val="24"/>
          <w:szCs w:val="24"/>
        </w:rPr>
        <w:tab/>
      </w:r>
      <w:r w:rsidR="00EE705B" w:rsidRPr="00BE4BF0">
        <w:rPr>
          <w:sz w:val="24"/>
          <w:szCs w:val="24"/>
        </w:rPr>
        <w:tab/>
      </w:r>
      <w:r w:rsidR="00EE705B" w:rsidRPr="00BE4BF0">
        <w:rPr>
          <w:sz w:val="24"/>
          <w:szCs w:val="24"/>
        </w:rPr>
        <w:tab/>
      </w:r>
      <w:r w:rsidR="00EE705B" w:rsidRPr="00BE4BF0">
        <w:rPr>
          <w:sz w:val="24"/>
          <w:szCs w:val="24"/>
        </w:rPr>
        <w:tab/>
      </w:r>
      <w:r w:rsidR="00EE705B" w:rsidRPr="00BE4BF0">
        <w:rPr>
          <w:sz w:val="24"/>
          <w:szCs w:val="24"/>
        </w:rPr>
        <w:tab/>
      </w:r>
      <w:r w:rsidR="00EE705B" w:rsidRPr="00BE4BF0">
        <w:rPr>
          <w:sz w:val="24"/>
          <w:szCs w:val="24"/>
        </w:rPr>
        <w:tab/>
      </w:r>
      <w:r w:rsidR="00EE705B" w:rsidRPr="00BE4BF0">
        <w:rPr>
          <w:sz w:val="24"/>
          <w:szCs w:val="24"/>
        </w:rPr>
        <w:tab/>
        <w:t>Sincerely,</w:t>
      </w:r>
    </w:p>
    <w:p w:rsidR="00EE705B" w:rsidRPr="00BE4BF0" w:rsidRDefault="00EE705B" w:rsidP="00EE705B">
      <w:pPr>
        <w:rPr>
          <w:sz w:val="24"/>
          <w:szCs w:val="24"/>
        </w:rPr>
      </w:pPr>
    </w:p>
    <w:p w:rsidR="00EE705B" w:rsidRPr="00BE4BF0" w:rsidRDefault="00EE705B" w:rsidP="00EE705B">
      <w:pPr>
        <w:rPr>
          <w:sz w:val="24"/>
          <w:szCs w:val="24"/>
        </w:rPr>
      </w:pPr>
    </w:p>
    <w:p w:rsidR="00EE705B" w:rsidRPr="00BE4BF0" w:rsidRDefault="00EE705B" w:rsidP="00EE705B">
      <w:pPr>
        <w:rPr>
          <w:sz w:val="24"/>
          <w:szCs w:val="24"/>
        </w:rPr>
      </w:pP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  <w:t>Rosemary Chiavetta</w:t>
      </w:r>
    </w:p>
    <w:p w:rsidR="00EE705B" w:rsidRPr="00BE4BF0" w:rsidRDefault="00EE705B" w:rsidP="00EE705B">
      <w:pPr>
        <w:rPr>
          <w:sz w:val="24"/>
          <w:szCs w:val="24"/>
        </w:rPr>
      </w:pP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</w:r>
      <w:r w:rsidRPr="00BE4BF0">
        <w:rPr>
          <w:sz w:val="24"/>
          <w:szCs w:val="24"/>
        </w:rPr>
        <w:tab/>
        <w:t>Secretary</w:t>
      </w:r>
    </w:p>
    <w:p w:rsidR="00EE705B" w:rsidRPr="00BE4BF0" w:rsidRDefault="00EE705B" w:rsidP="00EE705B">
      <w:pPr>
        <w:rPr>
          <w:sz w:val="24"/>
          <w:szCs w:val="24"/>
        </w:rPr>
      </w:pPr>
      <w:r w:rsidRPr="00BE4BF0">
        <w:rPr>
          <w:sz w:val="24"/>
          <w:szCs w:val="24"/>
        </w:rPr>
        <w:tab/>
      </w:r>
    </w:p>
    <w:p w:rsidR="00EE705B" w:rsidRPr="00BE4BF0" w:rsidRDefault="00EE705B" w:rsidP="00EE705B">
      <w:pPr>
        <w:rPr>
          <w:sz w:val="24"/>
          <w:szCs w:val="24"/>
        </w:rPr>
      </w:pPr>
      <w:r w:rsidRPr="00BE4BF0">
        <w:rPr>
          <w:sz w:val="24"/>
          <w:szCs w:val="24"/>
        </w:rPr>
        <w:tab/>
        <w:t>Enclosure</w:t>
      </w:r>
    </w:p>
    <w:p w:rsidR="00EE705B" w:rsidRDefault="00EE705B" w:rsidP="00EE705B">
      <w:pPr>
        <w:rPr>
          <w:sz w:val="24"/>
          <w:szCs w:val="24"/>
        </w:rPr>
      </w:pPr>
    </w:p>
    <w:p w:rsidR="00EE705B" w:rsidRDefault="00EE705B" w:rsidP="00EE705B">
      <w:pPr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BE4BF0">
        <w:rPr>
          <w:sz w:val="24"/>
          <w:szCs w:val="24"/>
        </w:rPr>
        <w:t>c:</w:t>
      </w:r>
      <w:r w:rsidRPr="00BE4BF0">
        <w:rPr>
          <w:sz w:val="24"/>
          <w:szCs w:val="24"/>
        </w:rPr>
        <w:tab/>
      </w:r>
      <w:r>
        <w:rPr>
          <w:sz w:val="24"/>
          <w:szCs w:val="24"/>
        </w:rPr>
        <w:t>Certificate of Service</w:t>
      </w:r>
      <w:bookmarkStart w:id="0" w:name="_GoBack"/>
      <w:bookmarkEnd w:id="0"/>
    </w:p>
    <w:p w:rsidR="00EE705B" w:rsidRDefault="00EE705B" w:rsidP="00EE70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Consumer Advocate</w:t>
      </w:r>
    </w:p>
    <w:p w:rsidR="00EE705B" w:rsidRDefault="00EE705B" w:rsidP="00EE70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Small Business Advocate</w:t>
      </w:r>
    </w:p>
    <w:p w:rsidR="00EE705B" w:rsidRPr="0096033D" w:rsidRDefault="00EE705B" w:rsidP="00EE705B">
      <w:pPr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Bureau of Investigation and Enforcement</w:t>
      </w:r>
    </w:p>
    <w:p w:rsidR="00EE705B" w:rsidRPr="0096033D" w:rsidRDefault="00EE705B" w:rsidP="00EE705B">
      <w:pPr>
        <w:jc w:val="center"/>
        <w:rPr>
          <w:sz w:val="24"/>
          <w:szCs w:val="24"/>
        </w:rPr>
      </w:pPr>
    </w:p>
    <w:p w:rsidR="009F50D4" w:rsidRDefault="009F50D4"/>
    <w:sectPr w:rsidR="009F50D4" w:rsidSect="001C0E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B"/>
    <w:rsid w:val="00633C8D"/>
    <w:rsid w:val="009F50D4"/>
    <w:rsid w:val="00E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565C7B0"/>
  <w15:chartTrackingRefBased/>
  <w15:docId w15:val="{1C21F254-BD6A-4AF5-B3FA-9389B83A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uc.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2019-02-19T20:39:00Z</dcterms:created>
  <dcterms:modified xsi:type="dcterms:W3CDTF">2019-02-19T20:43:00Z</dcterms:modified>
</cp:coreProperties>
</file>