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28CBF" w14:textId="77777777" w:rsidR="00BD5884" w:rsidRPr="00654FBA" w:rsidRDefault="00BD5884" w:rsidP="00E62D21">
      <w:pPr>
        <w:pStyle w:val="Title"/>
      </w:pPr>
      <w:bookmarkStart w:id="0" w:name="_Hlk536775380"/>
      <w:r w:rsidRPr="00654FBA">
        <w:t>BEFORE THE</w:t>
      </w:r>
    </w:p>
    <w:p w14:paraId="1BAE208E" w14:textId="77777777" w:rsidR="00BD5884" w:rsidRPr="00654FBA" w:rsidRDefault="00BD5884" w:rsidP="00163A48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654F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02239EAA" w14:textId="77777777" w:rsidR="00BD5884" w:rsidRPr="00654FBA" w:rsidRDefault="00BD5884" w:rsidP="00163A48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2B8A8047" w14:textId="77777777" w:rsidR="00BD5884" w:rsidRPr="00654FBA" w:rsidRDefault="00BD5884" w:rsidP="00163A48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B67F730" w14:textId="77777777" w:rsidR="00BD5884" w:rsidRPr="00654FBA" w:rsidRDefault="00BD5884" w:rsidP="00163A48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5E82E3A6" w14:textId="598B8FD9" w:rsidR="00035D33" w:rsidRPr="00654FBA" w:rsidRDefault="009A06DA" w:rsidP="00163A48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Tenika</w:t>
      </w:r>
      <w:bookmarkStart w:id="1" w:name="_GoBack"/>
      <w:bookmarkEnd w:id="1"/>
      <w:r>
        <w:rPr>
          <w:rFonts w:ascii="Times New Roman" w:hAnsi="Times New Roman" w:cs="Times New Roman"/>
          <w:spacing w:val="-3"/>
          <w:sz w:val="24"/>
          <w:szCs w:val="24"/>
        </w:rPr>
        <w:t xml:space="preserve"> Gray</w:t>
      </w:r>
      <w:r w:rsidR="00BC559E" w:rsidRPr="00654F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B2519"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="001B2519"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="00035D33"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="00035D33"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="00035D33"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="00035D33" w:rsidRPr="00654FBA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="00035D33" w:rsidRPr="00654FBA">
        <w:rPr>
          <w:rFonts w:ascii="Times New Roman" w:hAnsi="Times New Roman" w:cs="Times New Roman"/>
          <w:spacing w:val="-3"/>
          <w:sz w:val="24"/>
          <w:szCs w:val="24"/>
        </w:rPr>
        <w:instrText>fillin "Complainant's name" \d ""</w:instrText>
      </w:r>
      <w:r w:rsidR="00035D33" w:rsidRPr="00654FBA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  <w:r w:rsidR="00035D33" w:rsidRPr="00654FBA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14:paraId="5E6430D8" w14:textId="77777777" w:rsidR="00035D33" w:rsidRPr="00654FBA" w:rsidRDefault="00035D33" w:rsidP="00163A48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="00F65D0E"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654FBA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14:paraId="44B2AAA1" w14:textId="5557BBE7" w:rsidR="00035D33" w:rsidRPr="00654FBA" w:rsidRDefault="00035D33" w:rsidP="00163A48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54FBA">
        <w:rPr>
          <w:rFonts w:ascii="Times New Roman" w:hAnsi="Times New Roman" w:cs="Times New Roman"/>
          <w:spacing w:val="-3"/>
          <w:sz w:val="24"/>
          <w:szCs w:val="24"/>
        </w:rPr>
        <w:tab/>
        <w:t>v.</w:t>
      </w:r>
      <w:r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="00F65D0E"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654FBA">
        <w:rPr>
          <w:rFonts w:ascii="Times New Roman" w:hAnsi="Times New Roman" w:cs="Times New Roman"/>
          <w:spacing w:val="-3"/>
          <w:sz w:val="24"/>
          <w:szCs w:val="24"/>
        </w:rPr>
        <w:t>:</w:t>
      </w:r>
      <w:r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="00BC559E" w:rsidRPr="00654FB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="009F7A18" w:rsidRPr="00654FBA">
        <w:rPr>
          <w:rFonts w:ascii="Times New Roman" w:hAnsi="Times New Roman" w:cs="Times New Roman"/>
          <w:spacing w:val="-3"/>
          <w:sz w:val="24"/>
          <w:szCs w:val="24"/>
        </w:rPr>
        <w:t>-201</w:t>
      </w:r>
      <w:r w:rsidR="001B7818" w:rsidRPr="00654FBA">
        <w:rPr>
          <w:rFonts w:ascii="Times New Roman" w:hAnsi="Times New Roman" w:cs="Times New Roman"/>
          <w:spacing w:val="-3"/>
          <w:sz w:val="24"/>
          <w:szCs w:val="24"/>
        </w:rPr>
        <w:t>8</w:t>
      </w:r>
      <w:r w:rsidR="009F7A18" w:rsidRPr="00654FBA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82275F" w:rsidRPr="00654FBA">
        <w:rPr>
          <w:rFonts w:ascii="Times New Roman" w:hAnsi="Times New Roman" w:cs="Times New Roman"/>
          <w:spacing w:val="-3"/>
          <w:sz w:val="24"/>
          <w:szCs w:val="24"/>
        </w:rPr>
        <w:t>300</w:t>
      </w:r>
      <w:r w:rsidR="009A06DA">
        <w:rPr>
          <w:rFonts w:ascii="Times New Roman" w:hAnsi="Times New Roman" w:cs="Times New Roman"/>
          <w:spacing w:val="-3"/>
          <w:sz w:val="24"/>
          <w:szCs w:val="24"/>
        </w:rPr>
        <w:t>5910</w:t>
      </w:r>
    </w:p>
    <w:p w14:paraId="1548CC5D" w14:textId="77777777" w:rsidR="00035D33" w:rsidRPr="00654FBA" w:rsidRDefault="00035D33" w:rsidP="00163A48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="00F65D0E"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654FBA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14:paraId="24D4D884" w14:textId="77777777" w:rsidR="00035D33" w:rsidRPr="00654FBA" w:rsidRDefault="00BC559E" w:rsidP="00163A48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54FBA">
        <w:rPr>
          <w:rFonts w:ascii="Times New Roman" w:hAnsi="Times New Roman" w:cs="Times New Roman"/>
          <w:spacing w:val="-3"/>
          <w:sz w:val="24"/>
          <w:szCs w:val="24"/>
        </w:rPr>
        <w:t>P</w:t>
      </w:r>
      <w:r w:rsidR="00355AE3" w:rsidRPr="00654FBA">
        <w:rPr>
          <w:rFonts w:ascii="Times New Roman" w:hAnsi="Times New Roman" w:cs="Times New Roman"/>
          <w:spacing w:val="-3"/>
          <w:sz w:val="24"/>
          <w:szCs w:val="24"/>
        </w:rPr>
        <w:t>hiladelphia Gas Works</w:t>
      </w:r>
      <w:r w:rsidR="00355AE3"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="00BE33E6"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="00745974" w:rsidRPr="00654FBA">
        <w:rPr>
          <w:rFonts w:ascii="Times New Roman" w:hAnsi="Times New Roman" w:cs="Times New Roman"/>
          <w:spacing w:val="-3"/>
          <w:sz w:val="24"/>
          <w:szCs w:val="24"/>
        </w:rPr>
        <w:tab/>
      </w:r>
      <w:r w:rsidR="00035D33" w:rsidRPr="00654FBA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14:paraId="1482F36F" w14:textId="77777777" w:rsidR="00035D33" w:rsidRPr="00654FBA" w:rsidRDefault="00035D33" w:rsidP="00163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194A1" w14:textId="77777777" w:rsidR="007D1377" w:rsidRPr="00654FBA" w:rsidRDefault="007D1377" w:rsidP="00163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6FE43D" w14:textId="77777777" w:rsidR="00BD5884" w:rsidRPr="00654FBA" w:rsidRDefault="00BD5884" w:rsidP="00163A48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5693ECD3" w14:textId="77777777" w:rsidR="00BD5884" w:rsidRPr="00654FBA" w:rsidRDefault="00BD5884" w:rsidP="00163A48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654F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INITIAL DECISION</w:t>
      </w:r>
    </w:p>
    <w:p w14:paraId="03F12D61" w14:textId="77777777" w:rsidR="00BD5884" w:rsidRPr="00654FBA" w:rsidRDefault="00BD5884" w:rsidP="00163A4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6683BB" w14:textId="77777777" w:rsidR="00BD5884" w:rsidRPr="00654FBA" w:rsidRDefault="00BD5884" w:rsidP="00163A4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D87E31" w14:textId="77777777" w:rsidR="00BD5884" w:rsidRPr="00654FBA" w:rsidRDefault="00BD5884" w:rsidP="00163A4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4FBA">
        <w:rPr>
          <w:rFonts w:ascii="Times New Roman" w:eastAsia="Times New Roman" w:hAnsi="Times New Roman" w:cs="Times New Roman"/>
          <w:sz w:val="24"/>
          <w:szCs w:val="24"/>
        </w:rPr>
        <w:t>Before</w:t>
      </w:r>
    </w:p>
    <w:p w14:paraId="4D6DEECC" w14:textId="77777777" w:rsidR="00BD5884" w:rsidRPr="00654FBA" w:rsidRDefault="006452A0" w:rsidP="00163A4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4FBA">
        <w:rPr>
          <w:rFonts w:ascii="Times New Roman" w:eastAsia="Times New Roman" w:hAnsi="Times New Roman" w:cs="Times New Roman"/>
          <w:sz w:val="24"/>
          <w:szCs w:val="24"/>
        </w:rPr>
        <w:t>Gail M. Chiodo</w:t>
      </w:r>
    </w:p>
    <w:p w14:paraId="0D6EEF84" w14:textId="77777777" w:rsidR="00BD5884" w:rsidRPr="00654FBA" w:rsidRDefault="006452A0" w:rsidP="00163A4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4FBA">
        <w:rPr>
          <w:rFonts w:ascii="Times New Roman" w:eastAsia="Times New Roman" w:hAnsi="Times New Roman" w:cs="Times New Roman"/>
          <w:sz w:val="24"/>
          <w:szCs w:val="24"/>
        </w:rPr>
        <w:t>Special Agent</w:t>
      </w:r>
    </w:p>
    <w:p w14:paraId="73E7418A" w14:textId="77777777" w:rsidR="00BD5884" w:rsidRPr="00654FBA" w:rsidRDefault="00BD5884" w:rsidP="00163A4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CA39E1" w14:textId="77777777" w:rsidR="00BD5884" w:rsidRPr="00654FBA" w:rsidRDefault="00BD5884" w:rsidP="00163A4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1B3233" w14:textId="77777777" w:rsidR="00001503" w:rsidRPr="00654FBA" w:rsidRDefault="00001503" w:rsidP="00163A48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54FBA">
        <w:rPr>
          <w:rFonts w:ascii="Times New Roman" w:eastAsia="Times New Roman" w:hAnsi="Times New Roman" w:cs="Times New Roman"/>
          <w:sz w:val="24"/>
          <w:szCs w:val="24"/>
          <w:u w:val="single"/>
        </w:rPr>
        <w:t>INTRODUCTION</w:t>
      </w:r>
    </w:p>
    <w:p w14:paraId="6461909D" w14:textId="77777777" w:rsidR="00001503" w:rsidRPr="00654FBA" w:rsidRDefault="00001503" w:rsidP="00163A48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DF5B8D2" w14:textId="77777777" w:rsidR="0030763E" w:rsidRPr="00654FBA" w:rsidRDefault="0030763E" w:rsidP="00163A48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6C00557" w14:textId="77777777" w:rsidR="00380E89" w:rsidRPr="00654FBA" w:rsidRDefault="00826F7C" w:rsidP="00575E9F">
      <w:pPr>
        <w:pStyle w:val="ParaTab1"/>
        <w:tabs>
          <w:tab w:val="clear" w:pos="-720"/>
        </w:tabs>
        <w:suppressAutoHyphens w:val="0"/>
        <w:spacing w:line="360" w:lineRule="auto"/>
        <w:rPr>
          <w:rFonts w:ascii="Times New Roman" w:hAnsi="Times New Roman" w:cs="Times New Roman"/>
        </w:rPr>
      </w:pPr>
      <w:r w:rsidRPr="00654FBA">
        <w:rPr>
          <w:rFonts w:ascii="Times New Roman" w:hAnsi="Times New Roman" w:cs="Times New Roman"/>
        </w:rPr>
        <w:t xml:space="preserve">This decision denies the complaint </w:t>
      </w:r>
      <w:r w:rsidR="00AE7FB9" w:rsidRPr="00654FBA">
        <w:rPr>
          <w:rFonts w:ascii="Times New Roman" w:hAnsi="Times New Roman" w:cs="Times New Roman"/>
        </w:rPr>
        <w:t xml:space="preserve">because </w:t>
      </w:r>
      <w:r w:rsidRPr="00654FBA">
        <w:rPr>
          <w:rFonts w:ascii="Times New Roman" w:hAnsi="Times New Roman" w:cs="Times New Roman"/>
        </w:rPr>
        <w:t>the complainant has failed to establish by a preponderance of the evidence that she is eligible for a second Commission-issued payment a</w:t>
      </w:r>
      <w:r w:rsidR="005529FC" w:rsidRPr="00654FBA">
        <w:rPr>
          <w:rFonts w:ascii="Times New Roman" w:hAnsi="Times New Roman" w:cs="Times New Roman"/>
        </w:rPr>
        <w:t>rrange</w:t>
      </w:r>
      <w:r w:rsidR="00C108BE" w:rsidRPr="00654FBA">
        <w:rPr>
          <w:rFonts w:ascii="Times New Roman" w:hAnsi="Times New Roman" w:cs="Times New Roman"/>
        </w:rPr>
        <w:t>ment</w:t>
      </w:r>
      <w:r w:rsidRPr="00654FBA">
        <w:rPr>
          <w:rFonts w:ascii="Times New Roman" w:hAnsi="Times New Roman" w:cs="Times New Roman"/>
        </w:rPr>
        <w:t xml:space="preserve"> or an extension of </w:t>
      </w:r>
      <w:r w:rsidR="007E42C0" w:rsidRPr="00654FBA">
        <w:rPr>
          <w:rFonts w:ascii="Times New Roman" w:hAnsi="Times New Roman" w:cs="Times New Roman"/>
        </w:rPr>
        <w:t xml:space="preserve">her </w:t>
      </w:r>
      <w:r w:rsidR="00392E53" w:rsidRPr="00654FBA">
        <w:rPr>
          <w:rFonts w:ascii="Times New Roman" w:hAnsi="Times New Roman" w:cs="Times New Roman"/>
        </w:rPr>
        <w:t>prior</w:t>
      </w:r>
      <w:r w:rsidR="007E42C0" w:rsidRPr="00654FBA">
        <w:rPr>
          <w:rFonts w:ascii="Times New Roman" w:hAnsi="Times New Roman" w:cs="Times New Roman"/>
        </w:rPr>
        <w:t xml:space="preserve"> </w:t>
      </w:r>
      <w:r w:rsidRPr="00654FBA">
        <w:rPr>
          <w:rFonts w:ascii="Times New Roman" w:hAnsi="Times New Roman" w:cs="Times New Roman"/>
        </w:rPr>
        <w:t>one.</w:t>
      </w:r>
    </w:p>
    <w:p w14:paraId="2F99A529" w14:textId="77777777" w:rsidR="00001503" w:rsidRPr="00654FBA" w:rsidRDefault="00001503" w:rsidP="00163A48">
      <w:pPr>
        <w:keepNext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461E578" w14:textId="77777777" w:rsidR="00BD5884" w:rsidRPr="00654FBA" w:rsidRDefault="00BD5884" w:rsidP="00163A48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54FBA">
        <w:rPr>
          <w:rFonts w:ascii="Times New Roman" w:eastAsia="Times New Roman" w:hAnsi="Times New Roman" w:cs="Times New Roman"/>
          <w:sz w:val="24"/>
          <w:szCs w:val="24"/>
          <w:u w:val="single"/>
        </w:rPr>
        <w:t>HISTORY OF THE PROCEEDING</w:t>
      </w:r>
    </w:p>
    <w:p w14:paraId="2AAD02B0" w14:textId="77777777" w:rsidR="00B656DD" w:rsidRPr="00654FBA" w:rsidRDefault="00B656DD" w:rsidP="00163A48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4CE876" w14:textId="74788CF4" w:rsidR="005D0948" w:rsidRPr="00654FBA" w:rsidRDefault="00024FA0" w:rsidP="00163A4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4FBA">
        <w:rPr>
          <w:rFonts w:ascii="Times New Roman" w:hAnsi="Times New Roman" w:cs="Times New Roman"/>
        </w:rPr>
        <w:t>On</w:t>
      </w:r>
      <w:r w:rsidR="00685772" w:rsidRPr="00654FBA">
        <w:rPr>
          <w:rFonts w:ascii="Times New Roman" w:hAnsi="Times New Roman" w:cs="Times New Roman"/>
        </w:rPr>
        <w:t xml:space="preserve"> </w:t>
      </w:r>
      <w:r w:rsidR="0037455B">
        <w:rPr>
          <w:rFonts w:ascii="Times New Roman" w:hAnsi="Times New Roman" w:cs="Times New Roman"/>
        </w:rPr>
        <w:t>November 7</w:t>
      </w:r>
      <w:r w:rsidR="0058498F" w:rsidRPr="00654FBA">
        <w:rPr>
          <w:rFonts w:ascii="Times New Roman" w:hAnsi="Times New Roman" w:cs="Times New Roman"/>
        </w:rPr>
        <w:t>,</w:t>
      </w:r>
      <w:r w:rsidR="0037455B">
        <w:rPr>
          <w:rFonts w:ascii="Times New Roman" w:hAnsi="Times New Roman" w:cs="Times New Roman"/>
        </w:rPr>
        <w:t xml:space="preserve"> 2018,</w:t>
      </w:r>
      <w:r w:rsidR="0058498F" w:rsidRPr="00654FBA">
        <w:rPr>
          <w:rFonts w:ascii="Times New Roman" w:hAnsi="Times New Roman" w:cs="Times New Roman"/>
        </w:rPr>
        <w:t xml:space="preserve"> </w:t>
      </w:r>
      <w:r w:rsidR="002F5D3E">
        <w:rPr>
          <w:rFonts w:ascii="Times New Roman" w:hAnsi="Times New Roman" w:cs="Times New Roman"/>
        </w:rPr>
        <w:t>Tenika Gray</w:t>
      </w:r>
      <w:r w:rsidR="003273B2" w:rsidRPr="00654FBA">
        <w:rPr>
          <w:rFonts w:ascii="Times New Roman" w:hAnsi="Times New Roman" w:cs="Times New Roman"/>
        </w:rPr>
        <w:t xml:space="preserve"> (Complainant)</w:t>
      </w:r>
      <w:r w:rsidR="00BA3F85" w:rsidRPr="00654FBA">
        <w:rPr>
          <w:rFonts w:ascii="Times New Roman" w:hAnsi="Times New Roman" w:cs="Times New Roman"/>
        </w:rPr>
        <w:t xml:space="preserve"> filed a formal complaint with the Pennsylvania Public Utility Commission (Commission) against </w:t>
      </w:r>
      <w:r w:rsidR="00623451" w:rsidRPr="00654FBA">
        <w:rPr>
          <w:rFonts w:ascii="Times New Roman" w:hAnsi="Times New Roman" w:cs="Times New Roman"/>
        </w:rPr>
        <w:t>Philadelphia Gas Works</w:t>
      </w:r>
      <w:r w:rsidR="0058498F" w:rsidRPr="00654FBA">
        <w:rPr>
          <w:rFonts w:ascii="Times New Roman" w:hAnsi="Times New Roman" w:cs="Times New Roman"/>
        </w:rPr>
        <w:t xml:space="preserve"> </w:t>
      </w:r>
      <w:r w:rsidR="005D0948" w:rsidRPr="00654FBA">
        <w:rPr>
          <w:rFonts w:ascii="Times New Roman" w:hAnsi="Times New Roman" w:cs="Times New Roman"/>
        </w:rPr>
        <w:t>(</w:t>
      </w:r>
      <w:r w:rsidR="00623451" w:rsidRPr="00654FBA">
        <w:rPr>
          <w:rFonts w:ascii="Times New Roman" w:hAnsi="Times New Roman" w:cs="Times New Roman"/>
        </w:rPr>
        <w:t>PGW</w:t>
      </w:r>
      <w:r w:rsidR="00A4101C" w:rsidRPr="00654FBA">
        <w:rPr>
          <w:rFonts w:ascii="Times New Roman" w:hAnsi="Times New Roman" w:cs="Times New Roman"/>
        </w:rPr>
        <w:t xml:space="preserve"> or Respondent</w:t>
      </w:r>
      <w:r w:rsidR="005D0948" w:rsidRPr="00654FBA">
        <w:rPr>
          <w:rFonts w:ascii="Times New Roman" w:hAnsi="Times New Roman" w:cs="Times New Roman"/>
        </w:rPr>
        <w:t xml:space="preserve">) </w:t>
      </w:r>
      <w:r w:rsidR="002549CF" w:rsidRPr="00654FBA">
        <w:rPr>
          <w:rFonts w:ascii="Times New Roman" w:hAnsi="Times New Roman" w:cs="Times New Roman"/>
        </w:rPr>
        <w:t xml:space="preserve">in which </w:t>
      </w:r>
      <w:r w:rsidR="00A4101C" w:rsidRPr="00654FBA">
        <w:rPr>
          <w:rFonts w:ascii="Times New Roman" w:hAnsi="Times New Roman" w:cs="Times New Roman"/>
        </w:rPr>
        <w:t>s</w:t>
      </w:r>
      <w:r w:rsidR="002549CF" w:rsidRPr="00654FBA">
        <w:rPr>
          <w:rFonts w:ascii="Times New Roman" w:hAnsi="Times New Roman" w:cs="Times New Roman"/>
        </w:rPr>
        <w:t xml:space="preserve">he </w:t>
      </w:r>
      <w:r w:rsidR="005B0BF8" w:rsidRPr="00654FBA">
        <w:rPr>
          <w:rFonts w:ascii="Times New Roman" w:hAnsi="Times New Roman" w:cs="Times New Roman"/>
        </w:rPr>
        <w:t xml:space="preserve">requested </w:t>
      </w:r>
      <w:r w:rsidR="00623451" w:rsidRPr="00654FBA">
        <w:rPr>
          <w:rFonts w:ascii="Times New Roman" w:hAnsi="Times New Roman" w:cs="Times New Roman"/>
        </w:rPr>
        <w:t xml:space="preserve">a </w:t>
      </w:r>
      <w:r w:rsidR="005B0BF8" w:rsidRPr="00654FBA">
        <w:rPr>
          <w:rFonts w:ascii="Times New Roman" w:hAnsi="Times New Roman" w:cs="Times New Roman"/>
        </w:rPr>
        <w:t>payment a</w:t>
      </w:r>
      <w:r w:rsidR="00AC3E0F" w:rsidRPr="00654FBA">
        <w:rPr>
          <w:rFonts w:ascii="Times New Roman" w:hAnsi="Times New Roman" w:cs="Times New Roman"/>
        </w:rPr>
        <w:t>rrange</w:t>
      </w:r>
      <w:r w:rsidR="00C108BE" w:rsidRPr="00654FBA">
        <w:rPr>
          <w:rFonts w:ascii="Times New Roman" w:hAnsi="Times New Roman" w:cs="Times New Roman"/>
        </w:rPr>
        <w:t>ment</w:t>
      </w:r>
      <w:r w:rsidR="0037455B">
        <w:rPr>
          <w:rFonts w:ascii="Times New Roman" w:hAnsi="Times New Roman" w:cs="Times New Roman"/>
        </w:rPr>
        <w:t xml:space="preserve"> to prevent her service from being terminated</w:t>
      </w:r>
      <w:r w:rsidR="00172285" w:rsidRPr="00654FBA">
        <w:rPr>
          <w:rFonts w:ascii="Times New Roman" w:hAnsi="Times New Roman" w:cs="Times New Roman"/>
        </w:rPr>
        <w:t>.</w:t>
      </w:r>
    </w:p>
    <w:p w14:paraId="037EDE7F" w14:textId="77777777" w:rsidR="004041AE" w:rsidRPr="00654FBA" w:rsidRDefault="004041AE" w:rsidP="00163A4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372327DF" w14:textId="34863208" w:rsidR="004450D5" w:rsidRPr="00654FBA" w:rsidRDefault="0096705B" w:rsidP="00163A48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  <w:r w:rsidRPr="00654FBA">
        <w:rPr>
          <w:rFonts w:ascii="Times New Roman" w:hAnsi="Times New Roman" w:cs="Times New Roman"/>
        </w:rPr>
        <w:t xml:space="preserve">                        </w:t>
      </w:r>
      <w:r w:rsidR="009C5598" w:rsidRPr="00654FBA">
        <w:rPr>
          <w:rFonts w:ascii="Times New Roman" w:hAnsi="Times New Roman" w:cs="Times New Roman"/>
        </w:rPr>
        <w:t xml:space="preserve">On </w:t>
      </w:r>
      <w:r w:rsidR="0037455B">
        <w:rPr>
          <w:rFonts w:ascii="Times New Roman" w:hAnsi="Times New Roman" w:cs="Times New Roman"/>
        </w:rPr>
        <w:t>November 29</w:t>
      </w:r>
      <w:r w:rsidR="009C5598" w:rsidRPr="00654FBA">
        <w:rPr>
          <w:rFonts w:ascii="Times New Roman" w:hAnsi="Times New Roman" w:cs="Times New Roman"/>
        </w:rPr>
        <w:t xml:space="preserve">, 2018, </w:t>
      </w:r>
      <w:r w:rsidR="009641DF" w:rsidRPr="00654FBA">
        <w:rPr>
          <w:rFonts w:ascii="Times New Roman" w:hAnsi="Times New Roman" w:cs="Times New Roman"/>
        </w:rPr>
        <w:t>Respondent</w:t>
      </w:r>
      <w:r w:rsidR="009C5598" w:rsidRPr="00654FBA">
        <w:rPr>
          <w:rFonts w:ascii="Times New Roman" w:hAnsi="Times New Roman" w:cs="Times New Roman"/>
        </w:rPr>
        <w:t xml:space="preserve"> filed an </w:t>
      </w:r>
      <w:r w:rsidR="00416AD3">
        <w:rPr>
          <w:rFonts w:ascii="Times New Roman" w:hAnsi="Times New Roman" w:cs="Times New Roman"/>
        </w:rPr>
        <w:t>a</w:t>
      </w:r>
      <w:r w:rsidR="009C5598" w:rsidRPr="00654FBA">
        <w:rPr>
          <w:rFonts w:ascii="Times New Roman" w:hAnsi="Times New Roman" w:cs="Times New Roman"/>
        </w:rPr>
        <w:t>nswer in which it</w:t>
      </w:r>
      <w:r w:rsidR="005B0BF8" w:rsidRPr="00654FBA">
        <w:rPr>
          <w:rFonts w:ascii="Times New Roman" w:hAnsi="Times New Roman" w:cs="Times New Roman"/>
        </w:rPr>
        <w:t xml:space="preserve"> </w:t>
      </w:r>
      <w:r w:rsidR="003A300E" w:rsidRPr="00654FBA">
        <w:rPr>
          <w:rFonts w:ascii="Times New Roman" w:hAnsi="Times New Roman" w:cs="Times New Roman"/>
        </w:rPr>
        <w:t xml:space="preserve">generally denied all material allegations of the complaint and </w:t>
      </w:r>
      <w:r w:rsidR="004E4FF1">
        <w:rPr>
          <w:rFonts w:ascii="Times New Roman" w:hAnsi="Times New Roman" w:cs="Times New Roman"/>
        </w:rPr>
        <w:t>aver</w:t>
      </w:r>
      <w:r w:rsidR="004E4FF1">
        <w:rPr>
          <w:rFonts w:ascii="Times New Roman" w:hAnsi="Times New Roman" w:cs="Times New Roman"/>
        </w:rPr>
        <w:t>red</w:t>
      </w:r>
      <w:r w:rsidR="004E4FF1">
        <w:rPr>
          <w:rFonts w:ascii="Times New Roman" w:hAnsi="Times New Roman" w:cs="Times New Roman"/>
        </w:rPr>
        <w:t xml:space="preserve"> </w:t>
      </w:r>
      <w:r w:rsidR="0037455B">
        <w:rPr>
          <w:rFonts w:ascii="Times New Roman" w:hAnsi="Times New Roman" w:cs="Times New Roman"/>
        </w:rPr>
        <w:t>that Ms. Gray has broken a p</w:t>
      </w:r>
      <w:r w:rsidR="004774F6">
        <w:rPr>
          <w:rFonts w:ascii="Times New Roman" w:hAnsi="Times New Roman" w:cs="Times New Roman"/>
        </w:rPr>
        <w:t>re</w:t>
      </w:r>
      <w:r w:rsidR="0037455B">
        <w:rPr>
          <w:rFonts w:ascii="Times New Roman" w:hAnsi="Times New Roman" w:cs="Times New Roman"/>
        </w:rPr>
        <w:t xml:space="preserve">vious Commission-issued payment arrangement.  Respondent </w:t>
      </w:r>
      <w:r w:rsidR="00ED34C0" w:rsidRPr="00654FBA">
        <w:rPr>
          <w:rFonts w:ascii="Times New Roman" w:hAnsi="Times New Roman" w:cs="Times New Roman"/>
        </w:rPr>
        <w:t xml:space="preserve">requested that </w:t>
      </w:r>
      <w:r w:rsidR="002F5D3E">
        <w:rPr>
          <w:rFonts w:ascii="Times New Roman" w:hAnsi="Times New Roman" w:cs="Times New Roman"/>
        </w:rPr>
        <w:t>Ms. Gray</w:t>
      </w:r>
      <w:r w:rsidR="00ED34C0" w:rsidRPr="00654FBA">
        <w:rPr>
          <w:rFonts w:ascii="Times New Roman" w:hAnsi="Times New Roman" w:cs="Times New Roman"/>
        </w:rPr>
        <w:t>’</w:t>
      </w:r>
      <w:r w:rsidR="00C9023F" w:rsidRPr="00654FBA">
        <w:rPr>
          <w:rFonts w:ascii="Times New Roman" w:hAnsi="Times New Roman" w:cs="Times New Roman"/>
        </w:rPr>
        <w:t>s</w:t>
      </w:r>
      <w:r w:rsidR="00ED34C0" w:rsidRPr="00654FBA">
        <w:rPr>
          <w:rFonts w:ascii="Times New Roman" w:hAnsi="Times New Roman" w:cs="Times New Roman"/>
        </w:rPr>
        <w:t xml:space="preserve"> complaint be dismissed.</w:t>
      </w:r>
      <w:r w:rsidR="00056D7D" w:rsidRPr="00654FBA">
        <w:rPr>
          <w:rFonts w:ascii="Times New Roman" w:hAnsi="Times New Roman" w:cs="Times New Roman"/>
        </w:rPr>
        <w:t xml:space="preserve"> </w:t>
      </w:r>
    </w:p>
    <w:p w14:paraId="5ABD5C71" w14:textId="7265BEA5" w:rsidR="00C340ED" w:rsidRPr="00654FBA" w:rsidRDefault="005D0948" w:rsidP="00163A4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4FBA">
        <w:rPr>
          <w:rFonts w:ascii="Times New Roman" w:hAnsi="Times New Roman" w:cs="Times New Roman"/>
        </w:rPr>
        <w:lastRenderedPageBreak/>
        <w:t xml:space="preserve">On </w:t>
      </w:r>
      <w:r w:rsidR="0037455B">
        <w:rPr>
          <w:rFonts w:ascii="Times New Roman" w:hAnsi="Times New Roman" w:cs="Times New Roman"/>
        </w:rPr>
        <w:t>December 13</w:t>
      </w:r>
      <w:r w:rsidR="000276D0" w:rsidRPr="00654FBA">
        <w:rPr>
          <w:rFonts w:ascii="Times New Roman" w:hAnsi="Times New Roman" w:cs="Times New Roman"/>
        </w:rPr>
        <w:t xml:space="preserve">, </w:t>
      </w:r>
      <w:r w:rsidR="005E19F3" w:rsidRPr="00654FBA">
        <w:rPr>
          <w:rFonts w:ascii="Times New Roman" w:hAnsi="Times New Roman" w:cs="Times New Roman"/>
        </w:rPr>
        <w:t>2018</w:t>
      </w:r>
      <w:r w:rsidRPr="00654FBA">
        <w:rPr>
          <w:rFonts w:ascii="Times New Roman" w:hAnsi="Times New Roman" w:cs="Times New Roman"/>
        </w:rPr>
        <w:t xml:space="preserve">, </w:t>
      </w:r>
      <w:bookmarkStart w:id="2" w:name="_Hlk520795190"/>
      <w:r w:rsidR="005E19F3" w:rsidRPr="00654FBA">
        <w:rPr>
          <w:rFonts w:ascii="Times New Roman" w:hAnsi="Times New Roman" w:cs="Times New Roman"/>
        </w:rPr>
        <w:t xml:space="preserve">the Commission issued </w:t>
      </w:r>
      <w:r w:rsidR="00232501" w:rsidRPr="00654FBA">
        <w:rPr>
          <w:rFonts w:ascii="Times New Roman" w:hAnsi="Times New Roman" w:cs="Times New Roman"/>
        </w:rPr>
        <w:t>a hearing notice</w:t>
      </w:r>
      <w:r w:rsidR="0018207B" w:rsidRPr="00654FBA">
        <w:rPr>
          <w:rFonts w:ascii="Times New Roman" w:hAnsi="Times New Roman" w:cs="Times New Roman"/>
        </w:rPr>
        <w:t xml:space="preserve"> </w:t>
      </w:r>
      <w:r w:rsidR="00A16AAC" w:rsidRPr="00654FBA">
        <w:rPr>
          <w:rFonts w:ascii="Times New Roman" w:hAnsi="Times New Roman" w:cs="Times New Roman"/>
        </w:rPr>
        <w:t xml:space="preserve">setting an initial </w:t>
      </w:r>
    </w:p>
    <w:p w14:paraId="2D90515D" w14:textId="7E30F2BB" w:rsidR="00F3258F" w:rsidRPr="00654FBA" w:rsidRDefault="00A16AAC" w:rsidP="00EA3F2E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  <w:r w:rsidRPr="00654FBA">
        <w:rPr>
          <w:rFonts w:ascii="Times New Roman" w:hAnsi="Times New Roman" w:cs="Times New Roman"/>
        </w:rPr>
        <w:t>telephonic hearing for</w:t>
      </w:r>
      <w:r w:rsidR="005E19F3" w:rsidRPr="00654FBA">
        <w:rPr>
          <w:rFonts w:ascii="Times New Roman" w:hAnsi="Times New Roman" w:cs="Times New Roman"/>
        </w:rPr>
        <w:t xml:space="preserve"> </w:t>
      </w:r>
      <w:r w:rsidR="0037455B">
        <w:rPr>
          <w:rFonts w:ascii="Times New Roman" w:hAnsi="Times New Roman" w:cs="Times New Roman"/>
        </w:rPr>
        <w:t>February</w:t>
      </w:r>
      <w:r w:rsidR="004154EA">
        <w:rPr>
          <w:rFonts w:ascii="Times New Roman" w:hAnsi="Times New Roman" w:cs="Times New Roman"/>
        </w:rPr>
        <w:t xml:space="preserve"> 4</w:t>
      </w:r>
      <w:r w:rsidR="005E19F3" w:rsidRPr="00654FBA">
        <w:rPr>
          <w:rFonts w:ascii="Times New Roman" w:hAnsi="Times New Roman" w:cs="Times New Roman"/>
        </w:rPr>
        <w:t>, 201</w:t>
      </w:r>
      <w:r w:rsidR="0037455B">
        <w:rPr>
          <w:rFonts w:ascii="Times New Roman" w:hAnsi="Times New Roman" w:cs="Times New Roman"/>
        </w:rPr>
        <w:t>9</w:t>
      </w:r>
      <w:r w:rsidR="00B73D57" w:rsidRPr="00654FBA">
        <w:rPr>
          <w:rFonts w:ascii="Times New Roman" w:hAnsi="Times New Roman" w:cs="Times New Roman"/>
        </w:rPr>
        <w:t xml:space="preserve"> at 10:00 a.m</w:t>
      </w:r>
      <w:r w:rsidR="00540D06" w:rsidRPr="00654FBA">
        <w:rPr>
          <w:rFonts w:ascii="Times New Roman" w:hAnsi="Times New Roman" w:cs="Times New Roman"/>
        </w:rPr>
        <w:t>.</w:t>
      </w:r>
      <w:bookmarkEnd w:id="2"/>
      <w:r w:rsidR="00540D06" w:rsidRPr="00654FBA">
        <w:rPr>
          <w:rFonts w:ascii="Times New Roman" w:hAnsi="Times New Roman" w:cs="Times New Roman"/>
        </w:rPr>
        <w:t xml:space="preserve">  </w:t>
      </w:r>
      <w:r w:rsidR="00385361" w:rsidRPr="00654FBA">
        <w:rPr>
          <w:rFonts w:ascii="Times New Roman" w:hAnsi="Times New Roman" w:cs="Times New Roman"/>
        </w:rPr>
        <w:t xml:space="preserve">The case was </w:t>
      </w:r>
      <w:r w:rsidRPr="00654FBA">
        <w:rPr>
          <w:rFonts w:ascii="Times New Roman" w:hAnsi="Times New Roman" w:cs="Times New Roman"/>
        </w:rPr>
        <w:t>assig</w:t>
      </w:r>
      <w:r w:rsidR="00385361" w:rsidRPr="00654FBA">
        <w:rPr>
          <w:rFonts w:ascii="Times New Roman" w:hAnsi="Times New Roman" w:cs="Times New Roman"/>
        </w:rPr>
        <w:t xml:space="preserve">ned to me pursuant </w:t>
      </w:r>
    </w:p>
    <w:p w14:paraId="148E2F5C" w14:textId="18AD34F9" w:rsidR="00D76EF4" w:rsidRPr="00654FBA" w:rsidRDefault="00385361" w:rsidP="00EA3F2E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  <w:r w:rsidRPr="00654FBA">
        <w:rPr>
          <w:rFonts w:ascii="Times New Roman" w:hAnsi="Times New Roman" w:cs="Times New Roman"/>
        </w:rPr>
        <w:t>to 52 Pa. Code § 56.174.</w:t>
      </w:r>
      <w:r w:rsidR="00507887" w:rsidRPr="00654FBA">
        <w:rPr>
          <w:rStyle w:val="FootnoteReference"/>
          <w:rFonts w:ascii="Times New Roman" w:hAnsi="Times New Roman" w:cs="Times New Roman"/>
        </w:rPr>
        <w:footnoteReference w:id="1"/>
      </w:r>
      <w:r w:rsidRPr="00654FBA">
        <w:rPr>
          <w:rFonts w:ascii="Times New Roman" w:hAnsi="Times New Roman" w:cs="Times New Roman"/>
        </w:rPr>
        <w:t xml:space="preserve"> </w:t>
      </w:r>
      <w:r w:rsidR="006E3BC7" w:rsidRPr="00654FBA">
        <w:rPr>
          <w:rFonts w:ascii="Times New Roman" w:hAnsi="Times New Roman" w:cs="Times New Roman"/>
        </w:rPr>
        <w:t xml:space="preserve"> </w:t>
      </w:r>
      <w:r w:rsidR="00A91513" w:rsidRPr="00654FBA">
        <w:rPr>
          <w:rFonts w:ascii="Times New Roman" w:hAnsi="Times New Roman" w:cs="Times New Roman"/>
        </w:rPr>
        <w:t xml:space="preserve"> </w:t>
      </w:r>
      <w:r w:rsidR="006E3BC7" w:rsidRPr="00654FBA">
        <w:rPr>
          <w:rFonts w:ascii="Times New Roman" w:hAnsi="Times New Roman" w:cs="Times New Roman"/>
        </w:rPr>
        <w:t xml:space="preserve">On </w:t>
      </w:r>
      <w:r w:rsidR="004154EA">
        <w:rPr>
          <w:rFonts w:ascii="Times New Roman" w:hAnsi="Times New Roman" w:cs="Times New Roman"/>
        </w:rPr>
        <w:t>January 3</w:t>
      </w:r>
      <w:r w:rsidR="006E3BC7" w:rsidRPr="00654FBA">
        <w:rPr>
          <w:rFonts w:ascii="Times New Roman" w:hAnsi="Times New Roman" w:cs="Times New Roman"/>
        </w:rPr>
        <w:t>, 201</w:t>
      </w:r>
      <w:r w:rsidR="004154EA">
        <w:rPr>
          <w:rFonts w:ascii="Times New Roman" w:hAnsi="Times New Roman" w:cs="Times New Roman"/>
        </w:rPr>
        <w:t>9</w:t>
      </w:r>
      <w:r w:rsidR="006E3BC7" w:rsidRPr="00654FBA">
        <w:rPr>
          <w:rFonts w:ascii="Times New Roman" w:hAnsi="Times New Roman" w:cs="Times New Roman"/>
        </w:rPr>
        <w:t>, a</w:t>
      </w:r>
      <w:r w:rsidR="00A16AAC" w:rsidRPr="00654FBA">
        <w:rPr>
          <w:rFonts w:ascii="Times New Roman" w:hAnsi="Times New Roman" w:cs="Times New Roman"/>
        </w:rPr>
        <w:t xml:space="preserve"> </w:t>
      </w:r>
      <w:r w:rsidR="00232501" w:rsidRPr="00654FBA">
        <w:rPr>
          <w:rFonts w:ascii="Times New Roman" w:hAnsi="Times New Roman" w:cs="Times New Roman"/>
        </w:rPr>
        <w:t>p</w:t>
      </w:r>
      <w:r w:rsidR="00A16AAC" w:rsidRPr="00654FBA">
        <w:rPr>
          <w:rFonts w:ascii="Times New Roman" w:hAnsi="Times New Roman" w:cs="Times New Roman"/>
        </w:rPr>
        <w:t xml:space="preserve">rehearing </w:t>
      </w:r>
      <w:r w:rsidR="00232501" w:rsidRPr="00654FBA">
        <w:rPr>
          <w:rFonts w:ascii="Times New Roman" w:hAnsi="Times New Roman" w:cs="Times New Roman"/>
        </w:rPr>
        <w:t>o</w:t>
      </w:r>
      <w:r w:rsidR="00A16AAC" w:rsidRPr="00654FBA">
        <w:rPr>
          <w:rFonts w:ascii="Times New Roman" w:hAnsi="Times New Roman" w:cs="Times New Roman"/>
        </w:rPr>
        <w:t xml:space="preserve">rder </w:t>
      </w:r>
      <w:r w:rsidR="00ED34C0" w:rsidRPr="00654FBA">
        <w:rPr>
          <w:rFonts w:ascii="Times New Roman" w:hAnsi="Times New Roman" w:cs="Times New Roman"/>
        </w:rPr>
        <w:t xml:space="preserve">was issued which advised the </w:t>
      </w:r>
      <w:r w:rsidR="00C108BE" w:rsidRPr="00654FBA">
        <w:rPr>
          <w:rFonts w:ascii="Times New Roman" w:hAnsi="Times New Roman" w:cs="Times New Roman"/>
        </w:rPr>
        <w:t xml:space="preserve">parties </w:t>
      </w:r>
      <w:r w:rsidR="00ED34C0" w:rsidRPr="00654FBA">
        <w:rPr>
          <w:rFonts w:ascii="Times New Roman" w:hAnsi="Times New Roman" w:cs="Times New Roman"/>
        </w:rPr>
        <w:t xml:space="preserve">of </w:t>
      </w:r>
      <w:r w:rsidR="004154EA">
        <w:rPr>
          <w:rFonts w:ascii="Times New Roman" w:hAnsi="Times New Roman" w:cs="Times New Roman"/>
        </w:rPr>
        <w:t xml:space="preserve">various </w:t>
      </w:r>
      <w:r w:rsidRPr="00654FBA">
        <w:rPr>
          <w:rFonts w:ascii="Times New Roman" w:hAnsi="Times New Roman" w:cs="Times New Roman"/>
        </w:rPr>
        <w:t>procedures</w:t>
      </w:r>
      <w:r w:rsidR="00416AD3">
        <w:rPr>
          <w:rFonts w:ascii="Times New Roman" w:hAnsi="Times New Roman" w:cs="Times New Roman"/>
        </w:rPr>
        <w:t xml:space="preserve"> applicable to this hearing</w:t>
      </w:r>
      <w:r w:rsidR="00703BAC" w:rsidRPr="00654FBA">
        <w:rPr>
          <w:rFonts w:ascii="Times New Roman" w:hAnsi="Times New Roman" w:cs="Times New Roman"/>
        </w:rPr>
        <w:t>.</w:t>
      </w:r>
    </w:p>
    <w:p w14:paraId="2DBB9658" w14:textId="77777777" w:rsidR="007E3A68" w:rsidRPr="00654FBA" w:rsidRDefault="007E3A68" w:rsidP="00163A4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b/>
          <w:u w:val="single"/>
        </w:rPr>
      </w:pPr>
    </w:p>
    <w:p w14:paraId="6B8582FD" w14:textId="4C5E94B2" w:rsidR="005A54D9" w:rsidRPr="00654FBA" w:rsidRDefault="00FB3750" w:rsidP="004154E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4FBA">
        <w:rPr>
          <w:rFonts w:ascii="Times New Roman" w:hAnsi="Times New Roman" w:cs="Times New Roman"/>
        </w:rPr>
        <w:t>The</w:t>
      </w:r>
      <w:r w:rsidR="00E51B09" w:rsidRPr="00654FBA">
        <w:rPr>
          <w:rFonts w:ascii="Times New Roman" w:hAnsi="Times New Roman" w:cs="Times New Roman"/>
        </w:rPr>
        <w:t xml:space="preserve"> </w:t>
      </w:r>
      <w:r w:rsidR="008608F6" w:rsidRPr="00654FBA">
        <w:rPr>
          <w:rFonts w:ascii="Times New Roman" w:hAnsi="Times New Roman" w:cs="Times New Roman"/>
        </w:rPr>
        <w:t>h</w:t>
      </w:r>
      <w:r w:rsidR="00926FD0" w:rsidRPr="00654FBA">
        <w:rPr>
          <w:rFonts w:ascii="Times New Roman" w:hAnsi="Times New Roman" w:cs="Times New Roman"/>
        </w:rPr>
        <w:t xml:space="preserve">earing convened </w:t>
      </w:r>
      <w:r w:rsidR="00FE77C7" w:rsidRPr="00654FBA">
        <w:rPr>
          <w:rFonts w:ascii="Times New Roman" w:hAnsi="Times New Roman" w:cs="Times New Roman"/>
        </w:rPr>
        <w:t xml:space="preserve">as scheduled </w:t>
      </w:r>
      <w:r w:rsidR="00926FD0" w:rsidRPr="00654FBA">
        <w:rPr>
          <w:rFonts w:ascii="Times New Roman" w:hAnsi="Times New Roman" w:cs="Times New Roman"/>
        </w:rPr>
        <w:t xml:space="preserve">on </w:t>
      </w:r>
      <w:r w:rsidR="004154EA">
        <w:rPr>
          <w:rFonts w:ascii="Times New Roman" w:hAnsi="Times New Roman" w:cs="Times New Roman"/>
        </w:rPr>
        <w:t>February 4</w:t>
      </w:r>
      <w:r w:rsidR="00870327" w:rsidRPr="00654FBA">
        <w:rPr>
          <w:rFonts w:ascii="Times New Roman" w:hAnsi="Times New Roman" w:cs="Times New Roman"/>
        </w:rPr>
        <w:t>, 201</w:t>
      </w:r>
      <w:r w:rsidR="004154EA">
        <w:rPr>
          <w:rFonts w:ascii="Times New Roman" w:hAnsi="Times New Roman" w:cs="Times New Roman"/>
        </w:rPr>
        <w:t>9</w:t>
      </w:r>
      <w:r w:rsidR="00703BAC" w:rsidRPr="00654FBA">
        <w:rPr>
          <w:rFonts w:ascii="Times New Roman" w:hAnsi="Times New Roman" w:cs="Times New Roman"/>
        </w:rPr>
        <w:t>.</w:t>
      </w:r>
      <w:r w:rsidR="00926FD0" w:rsidRPr="00654FBA">
        <w:rPr>
          <w:rFonts w:ascii="Times New Roman" w:hAnsi="Times New Roman" w:cs="Times New Roman"/>
        </w:rPr>
        <w:t xml:space="preserve">  </w:t>
      </w:r>
      <w:r w:rsidR="002F5D3E">
        <w:rPr>
          <w:rFonts w:ascii="Times New Roman" w:hAnsi="Times New Roman" w:cs="Times New Roman"/>
        </w:rPr>
        <w:t>Ms. Gray</w:t>
      </w:r>
      <w:r w:rsidR="00703BAC" w:rsidRPr="00654FBA">
        <w:rPr>
          <w:rFonts w:ascii="Times New Roman" w:hAnsi="Times New Roman" w:cs="Times New Roman"/>
        </w:rPr>
        <w:t xml:space="preserve"> appeared </w:t>
      </w:r>
      <w:r w:rsidR="00703BAC" w:rsidRPr="00654FBA">
        <w:rPr>
          <w:rFonts w:ascii="Times New Roman" w:hAnsi="Times New Roman" w:cs="Times New Roman"/>
          <w:i/>
        </w:rPr>
        <w:t>pro se</w:t>
      </w:r>
      <w:r w:rsidR="004154EA">
        <w:rPr>
          <w:rFonts w:ascii="Times New Roman" w:hAnsi="Times New Roman" w:cs="Times New Roman"/>
          <w:i/>
        </w:rPr>
        <w:t xml:space="preserve"> </w:t>
      </w:r>
      <w:r w:rsidR="004154EA" w:rsidRPr="004154EA">
        <w:rPr>
          <w:rFonts w:ascii="Times New Roman" w:hAnsi="Times New Roman" w:cs="Times New Roman"/>
        </w:rPr>
        <w:t>and</w:t>
      </w:r>
      <w:r w:rsidR="004154EA">
        <w:rPr>
          <w:rFonts w:ascii="Times New Roman" w:hAnsi="Times New Roman" w:cs="Times New Roman"/>
          <w:i/>
        </w:rPr>
        <w:t xml:space="preserve"> </w:t>
      </w:r>
      <w:r w:rsidR="00703BAC" w:rsidRPr="00654FBA">
        <w:rPr>
          <w:rFonts w:ascii="Times New Roman" w:hAnsi="Times New Roman" w:cs="Times New Roman"/>
        </w:rPr>
        <w:t>testified on her own behalf</w:t>
      </w:r>
      <w:r w:rsidR="004154EA">
        <w:rPr>
          <w:rFonts w:ascii="Times New Roman" w:hAnsi="Times New Roman" w:cs="Times New Roman"/>
        </w:rPr>
        <w:t xml:space="preserve">.  Ms. Gray did not offer any exhibits.  </w:t>
      </w:r>
      <w:r w:rsidR="00416C8C" w:rsidRPr="00654FBA">
        <w:rPr>
          <w:rFonts w:ascii="Times New Roman" w:hAnsi="Times New Roman" w:cs="Times New Roman"/>
        </w:rPr>
        <w:t>Graciela Christlieb</w:t>
      </w:r>
      <w:r w:rsidR="000276D0" w:rsidRPr="00654FBA">
        <w:rPr>
          <w:rFonts w:ascii="Times New Roman" w:hAnsi="Times New Roman" w:cs="Times New Roman"/>
        </w:rPr>
        <w:t xml:space="preserve">, </w:t>
      </w:r>
      <w:r w:rsidR="00B73D57" w:rsidRPr="00654FBA">
        <w:rPr>
          <w:rFonts w:ascii="Times New Roman" w:hAnsi="Times New Roman" w:cs="Times New Roman"/>
        </w:rPr>
        <w:t xml:space="preserve">Esquire, </w:t>
      </w:r>
      <w:r w:rsidR="00415A33" w:rsidRPr="00654FBA">
        <w:rPr>
          <w:rFonts w:ascii="Times New Roman" w:hAnsi="Times New Roman" w:cs="Times New Roman"/>
        </w:rPr>
        <w:t xml:space="preserve">appeared on behalf of </w:t>
      </w:r>
      <w:r w:rsidR="00AA3F25" w:rsidRPr="00654FBA">
        <w:rPr>
          <w:rFonts w:ascii="Times New Roman" w:hAnsi="Times New Roman" w:cs="Times New Roman"/>
        </w:rPr>
        <w:t>Respondent</w:t>
      </w:r>
      <w:r w:rsidR="00867BF5" w:rsidRPr="00654FBA">
        <w:rPr>
          <w:rFonts w:ascii="Times New Roman" w:hAnsi="Times New Roman" w:cs="Times New Roman"/>
        </w:rPr>
        <w:t xml:space="preserve"> and presented the testimony of one witness, </w:t>
      </w:r>
      <w:r w:rsidR="00C446DC">
        <w:rPr>
          <w:rFonts w:ascii="Times New Roman" w:hAnsi="Times New Roman" w:cs="Times New Roman"/>
        </w:rPr>
        <w:t xml:space="preserve">Adrian Pinkney, </w:t>
      </w:r>
      <w:r w:rsidR="00411405" w:rsidRPr="00654FBA">
        <w:rPr>
          <w:rFonts w:ascii="Times New Roman" w:hAnsi="Times New Roman" w:cs="Times New Roman"/>
        </w:rPr>
        <w:t>Cu</w:t>
      </w:r>
      <w:r w:rsidR="00867BF5" w:rsidRPr="00654FBA">
        <w:rPr>
          <w:rFonts w:ascii="Times New Roman" w:hAnsi="Times New Roman" w:cs="Times New Roman"/>
        </w:rPr>
        <w:t xml:space="preserve">stomer </w:t>
      </w:r>
      <w:r w:rsidR="00416C8C" w:rsidRPr="00654FBA">
        <w:rPr>
          <w:rFonts w:ascii="Times New Roman" w:hAnsi="Times New Roman" w:cs="Times New Roman"/>
        </w:rPr>
        <w:t xml:space="preserve">Review Officer </w:t>
      </w:r>
      <w:r w:rsidR="00867BF5" w:rsidRPr="00654FBA">
        <w:rPr>
          <w:rFonts w:ascii="Times New Roman" w:hAnsi="Times New Roman" w:cs="Times New Roman"/>
        </w:rPr>
        <w:t xml:space="preserve">for </w:t>
      </w:r>
      <w:r w:rsidR="00623451" w:rsidRPr="00654FBA">
        <w:rPr>
          <w:rFonts w:ascii="Times New Roman" w:hAnsi="Times New Roman" w:cs="Times New Roman"/>
        </w:rPr>
        <w:t>PGW</w:t>
      </w:r>
      <w:r w:rsidR="00867BF5" w:rsidRPr="00654FBA">
        <w:rPr>
          <w:rFonts w:ascii="Times New Roman" w:hAnsi="Times New Roman" w:cs="Times New Roman"/>
        </w:rPr>
        <w:t>.  Ms.</w:t>
      </w:r>
      <w:r w:rsidR="00B92F93" w:rsidRPr="00654FBA">
        <w:rPr>
          <w:rFonts w:ascii="Times New Roman" w:hAnsi="Times New Roman" w:cs="Times New Roman"/>
        </w:rPr>
        <w:t xml:space="preserve"> </w:t>
      </w:r>
      <w:r w:rsidR="00C446DC">
        <w:rPr>
          <w:rFonts w:ascii="Times New Roman" w:hAnsi="Times New Roman" w:cs="Times New Roman"/>
        </w:rPr>
        <w:t>Pinkney</w:t>
      </w:r>
      <w:r w:rsidR="00867BF5" w:rsidRPr="00654FBA">
        <w:rPr>
          <w:rFonts w:ascii="Times New Roman" w:hAnsi="Times New Roman" w:cs="Times New Roman"/>
        </w:rPr>
        <w:t xml:space="preserve"> sponsored </w:t>
      </w:r>
      <w:r w:rsidR="00AA3F25" w:rsidRPr="00654FBA">
        <w:rPr>
          <w:rFonts w:ascii="Times New Roman" w:hAnsi="Times New Roman" w:cs="Times New Roman"/>
        </w:rPr>
        <w:t xml:space="preserve">the following </w:t>
      </w:r>
      <w:r w:rsidR="00416C8C" w:rsidRPr="00654FBA">
        <w:rPr>
          <w:rFonts w:ascii="Times New Roman" w:hAnsi="Times New Roman" w:cs="Times New Roman"/>
        </w:rPr>
        <w:t>four</w:t>
      </w:r>
      <w:r w:rsidR="00867BF5" w:rsidRPr="00654FBA">
        <w:rPr>
          <w:rFonts w:ascii="Times New Roman" w:hAnsi="Times New Roman" w:cs="Times New Roman"/>
        </w:rPr>
        <w:t xml:space="preserve"> (</w:t>
      </w:r>
      <w:r w:rsidR="00416C8C" w:rsidRPr="00654FBA">
        <w:rPr>
          <w:rFonts w:ascii="Times New Roman" w:hAnsi="Times New Roman" w:cs="Times New Roman"/>
        </w:rPr>
        <w:t>4</w:t>
      </w:r>
      <w:r w:rsidR="00867BF5" w:rsidRPr="00654FBA">
        <w:rPr>
          <w:rFonts w:ascii="Times New Roman" w:hAnsi="Times New Roman" w:cs="Times New Roman"/>
        </w:rPr>
        <w:t>) exhibits, which were admitted into the record</w:t>
      </w:r>
      <w:r w:rsidR="00AA3F25" w:rsidRPr="00654FBA">
        <w:rPr>
          <w:rFonts w:ascii="Times New Roman" w:hAnsi="Times New Roman" w:cs="Times New Roman"/>
        </w:rPr>
        <w:t>:</w:t>
      </w:r>
    </w:p>
    <w:p w14:paraId="7BFF0CBB" w14:textId="77777777" w:rsidR="00D56176" w:rsidRPr="00654FBA" w:rsidRDefault="00D56176" w:rsidP="00163A4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029866A3" w14:textId="77777777" w:rsidR="000C47ED" w:rsidRPr="00654FBA" w:rsidRDefault="00F750A2" w:rsidP="00E62D21">
      <w:pPr>
        <w:pStyle w:val="ParaTab1"/>
        <w:tabs>
          <w:tab w:val="left" w:pos="2070"/>
        </w:tabs>
        <w:rPr>
          <w:rFonts w:ascii="Times New Roman" w:hAnsi="Times New Roman" w:cs="Times New Roman"/>
        </w:rPr>
      </w:pPr>
      <w:r w:rsidRPr="00654FBA">
        <w:rPr>
          <w:rFonts w:ascii="Times New Roman" w:hAnsi="Times New Roman" w:cs="Times New Roman"/>
        </w:rPr>
        <w:tab/>
      </w:r>
      <w:r w:rsidR="00416C8C" w:rsidRPr="00654FBA">
        <w:rPr>
          <w:rFonts w:ascii="Times New Roman" w:hAnsi="Times New Roman" w:cs="Times New Roman"/>
        </w:rPr>
        <w:t xml:space="preserve">PGW </w:t>
      </w:r>
      <w:r w:rsidR="000C47ED" w:rsidRPr="00654FBA">
        <w:rPr>
          <w:rFonts w:ascii="Times New Roman" w:hAnsi="Times New Roman" w:cs="Times New Roman"/>
        </w:rPr>
        <w:t>Exhibit 1 – Statem</w:t>
      </w:r>
      <w:r w:rsidR="00B102E4" w:rsidRPr="00654FBA">
        <w:rPr>
          <w:rFonts w:ascii="Times New Roman" w:hAnsi="Times New Roman" w:cs="Times New Roman"/>
        </w:rPr>
        <w:t>ent</w:t>
      </w:r>
      <w:r w:rsidR="000C47ED" w:rsidRPr="00654FBA">
        <w:rPr>
          <w:rFonts w:ascii="Times New Roman" w:hAnsi="Times New Roman" w:cs="Times New Roman"/>
        </w:rPr>
        <w:t xml:space="preserve"> </w:t>
      </w:r>
      <w:r w:rsidR="00416C8C" w:rsidRPr="00654FBA">
        <w:rPr>
          <w:rFonts w:ascii="Times New Roman" w:hAnsi="Times New Roman" w:cs="Times New Roman"/>
        </w:rPr>
        <w:t>of Account</w:t>
      </w:r>
    </w:p>
    <w:p w14:paraId="2BA622B4" w14:textId="77777777" w:rsidR="000C47ED" w:rsidRPr="00654FBA" w:rsidRDefault="00F750A2" w:rsidP="00E62D21">
      <w:pPr>
        <w:pStyle w:val="ParaTab1"/>
        <w:tabs>
          <w:tab w:val="left" w:pos="2070"/>
        </w:tabs>
        <w:rPr>
          <w:rFonts w:ascii="Times New Roman" w:hAnsi="Times New Roman" w:cs="Times New Roman"/>
        </w:rPr>
      </w:pPr>
      <w:r w:rsidRPr="00654FBA">
        <w:rPr>
          <w:rFonts w:ascii="Times New Roman" w:hAnsi="Times New Roman" w:cs="Times New Roman"/>
        </w:rPr>
        <w:tab/>
      </w:r>
      <w:r w:rsidR="00416C8C" w:rsidRPr="00654FBA">
        <w:rPr>
          <w:rFonts w:ascii="Times New Roman" w:hAnsi="Times New Roman" w:cs="Times New Roman"/>
        </w:rPr>
        <w:t xml:space="preserve">PGW </w:t>
      </w:r>
      <w:r w:rsidR="000C47ED" w:rsidRPr="00654FBA">
        <w:rPr>
          <w:rFonts w:ascii="Times New Roman" w:hAnsi="Times New Roman" w:cs="Times New Roman"/>
        </w:rPr>
        <w:t>Exhib</w:t>
      </w:r>
      <w:r w:rsidR="00C97DD2" w:rsidRPr="00654FBA">
        <w:rPr>
          <w:rFonts w:ascii="Times New Roman" w:hAnsi="Times New Roman" w:cs="Times New Roman"/>
        </w:rPr>
        <w:t>i</w:t>
      </w:r>
      <w:r w:rsidR="000C47ED" w:rsidRPr="00654FBA">
        <w:rPr>
          <w:rFonts w:ascii="Times New Roman" w:hAnsi="Times New Roman" w:cs="Times New Roman"/>
        </w:rPr>
        <w:t>t</w:t>
      </w:r>
      <w:r w:rsidR="00416C8C" w:rsidRPr="00654FBA">
        <w:rPr>
          <w:rFonts w:ascii="Times New Roman" w:hAnsi="Times New Roman" w:cs="Times New Roman"/>
        </w:rPr>
        <w:t xml:space="preserve"> </w:t>
      </w:r>
      <w:r w:rsidR="000C47ED" w:rsidRPr="00654FBA">
        <w:rPr>
          <w:rFonts w:ascii="Times New Roman" w:hAnsi="Times New Roman" w:cs="Times New Roman"/>
        </w:rPr>
        <w:t xml:space="preserve">2 – </w:t>
      </w:r>
      <w:r w:rsidR="00416C8C" w:rsidRPr="00654FBA">
        <w:rPr>
          <w:rFonts w:ascii="Times New Roman" w:hAnsi="Times New Roman" w:cs="Times New Roman"/>
        </w:rPr>
        <w:t>Payment Arrangement History</w:t>
      </w:r>
    </w:p>
    <w:p w14:paraId="1F8E22AB" w14:textId="4444644D" w:rsidR="000C47ED" w:rsidRPr="00654FBA" w:rsidRDefault="00F750A2" w:rsidP="00E62D21">
      <w:pPr>
        <w:pStyle w:val="ParaTab1"/>
        <w:tabs>
          <w:tab w:val="left" w:pos="2070"/>
        </w:tabs>
        <w:rPr>
          <w:rFonts w:ascii="Times New Roman" w:hAnsi="Times New Roman" w:cs="Times New Roman"/>
        </w:rPr>
      </w:pPr>
      <w:r w:rsidRPr="00654FBA">
        <w:rPr>
          <w:rFonts w:ascii="Times New Roman" w:hAnsi="Times New Roman" w:cs="Times New Roman"/>
        </w:rPr>
        <w:tab/>
      </w:r>
      <w:r w:rsidR="00416C8C" w:rsidRPr="00654FBA">
        <w:rPr>
          <w:rFonts w:ascii="Times New Roman" w:hAnsi="Times New Roman" w:cs="Times New Roman"/>
        </w:rPr>
        <w:t xml:space="preserve">PGW </w:t>
      </w:r>
      <w:r w:rsidR="000C47ED" w:rsidRPr="00654FBA">
        <w:rPr>
          <w:rFonts w:ascii="Times New Roman" w:hAnsi="Times New Roman" w:cs="Times New Roman"/>
        </w:rPr>
        <w:t>Exhi</w:t>
      </w:r>
      <w:r w:rsidR="00C97DD2" w:rsidRPr="00654FBA">
        <w:rPr>
          <w:rFonts w:ascii="Times New Roman" w:hAnsi="Times New Roman" w:cs="Times New Roman"/>
        </w:rPr>
        <w:t>bi</w:t>
      </w:r>
      <w:r w:rsidR="000C47ED" w:rsidRPr="00654FBA">
        <w:rPr>
          <w:rFonts w:ascii="Times New Roman" w:hAnsi="Times New Roman" w:cs="Times New Roman"/>
        </w:rPr>
        <w:t>t 3 – B</w:t>
      </w:r>
      <w:r w:rsidR="00B102E4" w:rsidRPr="00654FBA">
        <w:rPr>
          <w:rFonts w:ascii="Times New Roman" w:hAnsi="Times New Roman" w:cs="Times New Roman"/>
        </w:rPr>
        <w:t xml:space="preserve">CS </w:t>
      </w:r>
      <w:r w:rsidR="00C446DC">
        <w:rPr>
          <w:rFonts w:ascii="Times New Roman" w:hAnsi="Times New Roman" w:cs="Times New Roman"/>
        </w:rPr>
        <w:t xml:space="preserve">PAR </w:t>
      </w:r>
      <w:r w:rsidR="00B102E4" w:rsidRPr="00654FBA">
        <w:rPr>
          <w:rFonts w:ascii="Times New Roman" w:hAnsi="Times New Roman" w:cs="Times New Roman"/>
        </w:rPr>
        <w:t>C</w:t>
      </w:r>
      <w:r w:rsidR="00416C8C" w:rsidRPr="00654FBA">
        <w:rPr>
          <w:rFonts w:ascii="Times New Roman" w:hAnsi="Times New Roman" w:cs="Times New Roman"/>
        </w:rPr>
        <w:t xml:space="preserve">omplaint and </w:t>
      </w:r>
      <w:r w:rsidR="00870F5E" w:rsidRPr="00654FBA">
        <w:rPr>
          <w:rFonts w:ascii="Times New Roman" w:hAnsi="Times New Roman" w:cs="Times New Roman"/>
        </w:rPr>
        <w:t>D</w:t>
      </w:r>
      <w:r w:rsidR="00416C8C" w:rsidRPr="00654FBA">
        <w:rPr>
          <w:rFonts w:ascii="Times New Roman" w:hAnsi="Times New Roman" w:cs="Times New Roman"/>
        </w:rPr>
        <w:t xml:space="preserve">ecision </w:t>
      </w:r>
      <w:r w:rsidRPr="00654FBA">
        <w:rPr>
          <w:rFonts w:ascii="Times New Roman" w:hAnsi="Times New Roman" w:cs="Times New Roman"/>
        </w:rPr>
        <w:t>No. 3</w:t>
      </w:r>
      <w:r w:rsidR="00C446DC">
        <w:rPr>
          <w:rFonts w:ascii="Times New Roman" w:hAnsi="Times New Roman" w:cs="Times New Roman"/>
        </w:rPr>
        <w:t>226883</w:t>
      </w:r>
    </w:p>
    <w:p w14:paraId="2AD4CB58" w14:textId="54589B42" w:rsidR="00B102E4" w:rsidRPr="00654FBA" w:rsidRDefault="00F750A2" w:rsidP="00416C8C">
      <w:pPr>
        <w:pStyle w:val="ParaTab1"/>
        <w:tabs>
          <w:tab w:val="left" w:pos="2070"/>
        </w:tabs>
        <w:rPr>
          <w:rFonts w:ascii="Times New Roman" w:hAnsi="Times New Roman" w:cs="Times New Roman"/>
        </w:rPr>
      </w:pPr>
      <w:r w:rsidRPr="00654FBA">
        <w:rPr>
          <w:rFonts w:ascii="Times New Roman" w:hAnsi="Times New Roman" w:cs="Times New Roman"/>
        </w:rPr>
        <w:tab/>
      </w:r>
      <w:r w:rsidR="00416C8C" w:rsidRPr="00654FBA">
        <w:rPr>
          <w:rFonts w:ascii="Times New Roman" w:hAnsi="Times New Roman" w:cs="Times New Roman"/>
        </w:rPr>
        <w:t xml:space="preserve">PGW </w:t>
      </w:r>
      <w:r w:rsidR="00B102E4" w:rsidRPr="00654FBA">
        <w:rPr>
          <w:rFonts w:ascii="Times New Roman" w:hAnsi="Times New Roman" w:cs="Times New Roman"/>
        </w:rPr>
        <w:t>Exhibit 4 –</w:t>
      </w:r>
      <w:r w:rsidR="00416C8C" w:rsidRPr="00654FBA">
        <w:rPr>
          <w:rFonts w:ascii="Times New Roman" w:hAnsi="Times New Roman" w:cs="Times New Roman"/>
        </w:rPr>
        <w:t xml:space="preserve"> </w:t>
      </w:r>
      <w:r w:rsidR="00C446DC">
        <w:rPr>
          <w:rFonts w:ascii="Times New Roman" w:hAnsi="Times New Roman" w:cs="Times New Roman"/>
        </w:rPr>
        <w:t xml:space="preserve">Most Recent </w:t>
      </w:r>
      <w:r w:rsidR="00416C8C" w:rsidRPr="00654FBA">
        <w:rPr>
          <w:rFonts w:ascii="Times New Roman" w:hAnsi="Times New Roman" w:cs="Times New Roman"/>
        </w:rPr>
        <w:t>BCS Complaint and Decision</w:t>
      </w:r>
      <w:r w:rsidRPr="00654FBA">
        <w:rPr>
          <w:rFonts w:ascii="Times New Roman" w:hAnsi="Times New Roman" w:cs="Times New Roman"/>
        </w:rPr>
        <w:t xml:space="preserve"> No. </w:t>
      </w:r>
      <w:r w:rsidR="00C446DC">
        <w:rPr>
          <w:rFonts w:ascii="Times New Roman" w:hAnsi="Times New Roman" w:cs="Times New Roman"/>
        </w:rPr>
        <w:t>3654947</w:t>
      </w:r>
    </w:p>
    <w:p w14:paraId="4089C4E9" w14:textId="77777777" w:rsidR="005A54D9" w:rsidRPr="00654FBA" w:rsidRDefault="005A54D9" w:rsidP="009C61F0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0054059A" w14:textId="77777777" w:rsidR="004B0FB4" w:rsidRPr="00654FBA" w:rsidRDefault="00867BF5" w:rsidP="00163A48">
      <w:pPr>
        <w:pStyle w:val="ParaTab1"/>
        <w:tabs>
          <w:tab w:val="left" w:pos="1440"/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4FBA">
        <w:rPr>
          <w:rFonts w:ascii="Times New Roman" w:hAnsi="Times New Roman" w:cs="Times New Roman"/>
        </w:rPr>
        <w:t xml:space="preserve">The </w:t>
      </w:r>
      <w:bookmarkStart w:id="3" w:name="_Hlk527709571"/>
      <w:r w:rsidR="00517CED" w:rsidRPr="00654FBA">
        <w:rPr>
          <w:rFonts w:ascii="Times New Roman" w:hAnsi="Times New Roman" w:cs="Times New Roman"/>
        </w:rPr>
        <w:t>record</w:t>
      </w:r>
      <w:r w:rsidR="009C61F0" w:rsidRPr="00654FBA">
        <w:rPr>
          <w:rStyle w:val="FootnoteReference"/>
          <w:rFonts w:ascii="Times New Roman" w:hAnsi="Times New Roman" w:cs="Times New Roman"/>
        </w:rPr>
        <w:footnoteReference w:id="2"/>
      </w:r>
      <w:r w:rsidR="009C61F0" w:rsidRPr="00654FBA">
        <w:rPr>
          <w:rFonts w:ascii="Times New Roman" w:hAnsi="Times New Roman" w:cs="Times New Roman"/>
        </w:rPr>
        <w:t xml:space="preserve"> </w:t>
      </w:r>
      <w:r w:rsidRPr="00654FBA">
        <w:rPr>
          <w:rFonts w:ascii="Times New Roman" w:hAnsi="Times New Roman" w:cs="Times New Roman"/>
        </w:rPr>
        <w:t>closed following the conclusion of the hearing</w:t>
      </w:r>
      <w:r w:rsidR="00517CED" w:rsidRPr="00654FBA">
        <w:rPr>
          <w:rFonts w:ascii="Times New Roman" w:hAnsi="Times New Roman" w:cs="Times New Roman"/>
        </w:rPr>
        <w:t>.</w:t>
      </w:r>
    </w:p>
    <w:p w14:paraId="32678816" w14:textId="77777777" w:rsidR="009026A6" w:rsidRPr="00654FBA" w:rsidRDefault="009026A6" w:rsidP="00163A4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48DC951A" w14:textId="77777777" w:rsidR="005542D4" w:rsidRPr="00654FBA" w:rsidRDefault="00BD5884" w:rsidP="00163A4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54FBA">
        <w:rPr>
          <w:rFonts w:ascii="Times New Roman" w:eastAsia="Times New Roman" w:hAnsi="Times New Roman" w:cs="Times New Roman"/>
          <w:sz w:val="24"/>
          <w:szCs w:val="24"/>
          <w:u w:val="single"/>
        </w:rPr>
        <w:t>FINDINGS OF FACT</w:t>
      </w:r>
    </w:p>
    <w:p w14:paraId="5150D7E4" w14:textId="77777777" w:rsidR="000C47ED" w:rsidRPr="00654FBA" w:rsidRDefault="000C47ED" w:rsidP="00163A4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bookmarkEnd w:id="3"/>
    <w:p w14:paraId="257730AE" w14:textId="018C1CF4" w:rsidR="00D33617" w:rsidRPr="00654FBA" w:rsidRDefault="00822198" w:rsidP="00623451">
      <w:pPr>
        <w:pStyle w:val="Style"/>
        <w:widowControl/>
        <w:tabs>
          <w:tab w:val="left" w:pos="-720"/>
          <w:tab w:val="left" w:pos="1440"/>
        </w:tabs>
        <w:suppressAutoHyphens/>
        <w:adjustRightInd/>
        <w:spacing w:line="360" w:lineRule="auto"/>
        <w:rPr>
          <w:rFonts w:eastAsiaTheme="minorHAnsi"/>
          <w:spacing w:val="-3"/>
        </w:rPr>
      </w:pPr>
      <w:r w:rsidRPr="00654FBA">
        <w:rPr>
          <w:rFonts w:eastAsiaTheme="minorHAnsi"/>
        </w:rPr>
        <w:tab/>
        <w:t xml:space="preserve">1. </w:t>
      </w:r>
      <w:r w:rsidRPr="00654FBA">
        <w:rPr>
          <w:rFonts w:eastAsiaTheme="minorHAnsi"/>
        </w:rPr>
        <w:tab/>
      </w:r>
      <w:r w:rsidR="00D33617" w:rsidRPr="00654FBA">
        <w:rPr>
          <w:rFonts w:eastAsiaTheme="minorHAnsi"/>
        </w:rPr>
        <w:t>Complainant</w:t>
      </w:r>
      <w:r w:rsidR="0090235B" w:rsidRPr="00654FBA">
        <w:rPr>
          <w:rFonts w:eastAsiaTheme="minorHAnsi"/>
        </w:rPr>
        <w:t xml:space="preserve"> is </w:t>
      </w:r>
      <w:r w:rsidR="002F5D3E">
        <w:rPr>
          <w:rFonts w:eastAsiaTheme="minorHAnsi"/>
        </w:rPr>
        <w:t>Tenika Gray</w:t>
      </w:r>
      <w:r w:rsidR="0090235B" w:rsidRPr="00654FBA">
        <w:rPr>
          <w:rFonts w:eastAsiaTheme="minorHAnsi"/>
        </w:rPr>
        <w:t>, who resid</w:t>
      </w:r>
      <w:r w:rsidR="00623451" w:rsidRPr="00654FBA">
        <w:rPr>
          <w:rFonts w:eastAsiaTheme="minorHAnsi"/>
        </w:rPr>
        <w:t xml:space="preserve">es at </w:t>
      </w:r>
      <w:r w:rsidR="00C446DC">
        <w:rPr>
          <w:rFonts w:eastAsiaTheme="minorHAnsi"/>
        </w:rPr>
        <w:t>534 South 52</w:t>
      </w:r>
      <w:r w:rsidR="00C446DC" w:rsidRPr="00C446DC">
        <w:rPr>
          <w:rFonts w:eastAsiaTheme="minorHAnsi"/>
          <w:vertAlign w:val="superscript"/>
        </w:rPr>
        <w:t>nd</w:t>
      </w:r>
      <w:r w:rsidR="00C446DC">
        <w:rPr>
          <w:rFonts w:eastAsiaTheme="minorHAnsi"/>
        </w:rPr>
        <w:t xml:space="preserve"> Street</w:t>
      </w:r>
      <w:r w:rsidR="00623451" w:rsidRPr="00654FBA">
        <w:rPr>
          <w:rFonts w:eastAsiaTheme="minorHAnsi"/>
        </w:rPr>
        <w:t xml:space="preserve">, Philadelphia, </w:t>
      </w:r>
      <w:r w:rsidR="0090235B" w:rsidRPr="00654FBA">
        <w:t>Pennsylvania (service address)</w:t>
      </w:r>
      <w:r w:rsidR="00D33617" w:rsidRPr="00654FBA">
        <w:t>.</w:t>
      </w:r>
    </w:p>
    <w:p w14:paraId="6893376F" w14:textId="77777777" w:rsidR="00822198" w:rsidRPr="00654FBA" w:rsidRDefault="00822198" w:rsidP="00163A48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2C28E50" w14:textId="77777777" w:rsidR="00F750A2" w:rsidRPr="00654FBA" w:rsidRDefault="00822198" w:rsidP="00F3234C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4FB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4FB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2. </w:t>
      </w:r>
      <w:r w:rsidRPr="00654FB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D33617" w:rsidRPr="00654FBA">
        <w:rPr>
          <w:rFonts w:ascii="Times New Roman" w:hAnsi="Times New Roman" w:cs="Times New Roman"/>
          <w:sz w:val="24"/>
          <w:szCs w:val="24"/>
        </w:rPr>
        <w:t>Respondent is</w:t>
      </w:r>
      <w:r w:rsidR="0090235B" w:rsidRPr="00654FBA">
        <w:rPr>
          <w:rFonts w:ascii="Times New Roman" w:hAnsi="Times New Roman" w:cs="Times New Roman"/>
          <w:sz w:val="24"/>
          <w:szCs w:val="24"/>
        </w:rPr>
        <w:t xml:space="preserve"> </w:t>
      </w:r>
      <w:r w:rsidR="00623451" w:rsidRPr="00654FBA">
        <w:rPr>
          <w:rFonts w:ascii="Times New Roman" w:hAnsi="Times New Roman" w:cs="Times New Roman"/>
          <w:sz w:val="24"/>
          <w:szCs w:val="24"/>
        </w:rPr>
        <w:t>Philadelphia Gas Works</w:t>
      </w:r>
      <w:r w:rsidR="00EB084C" w:rsidRPr="00654FBA">
        <w:rPr>
          <w:rFonts w:ascii="Times New Roman" w:hAnsi="Times New Roman" w:cs="Times New Roman"/>
          <w:sz w:val="24"/>
          <w:szCs w:val="24"/>
        </w:rPr>
        <w:t xml:space="preserve">, </w:t>
      </w:r>
      <w:r w:rsidR="00504FB2" w:rsidRPr="00654FBA">
        <w:rPr>
          <w:rFonts w:ascii="Times New Roman" w:hAnsi="Times New Roman" w:cs="Times New Roman"/>
          <w:sz w:val="24"/>
          <w:szCs w:val="24"/>
        </w:rPr>
        <w:t>which provid</w:t>
      </w:r>
      <w:r w:rsidRPr="00654FBA">
        <w:rPr>
          <w:rFonts w:ascii="Times New Roman" w:hAnsi="Times New Roman" w:cs="Times New Roman"/>
          <w:sz w:val="24"/>
          <w:szCs w:val="24"/>
        </w:rPr>
        <w:t>es</w:t>
      </w:r>
      <w:r w:rsidR="00504FB2" w:rsidRPr="00654FBA">
        <w:rPr>
          <w:rFonts w:ascii="Times New Roman" w:hAnsi="Times New Roman" w:cs="Times New Roman"/>
          <w:sz w:val="24"/>
          <w:szCs w:val="24"/>
        </w:rPr>
        <w:t xml:space="preserve"> service to </w:t>
      </w:r>
    </w:p>
    <w:p w14:paraId="2CDA8FF8" w14:textId="77777777" w:rsidR="00822198" w:rsidRPr="00654FBA" w:rsidRDefault="00504FB2" w:rsidP="00F3234C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4FBA">
        <w:rPr>
          <w:rFonts w:ascii="Times New Roman" w:hAnsi="Times New Roman" w:cs="Times New Roman"/>
          <w:sz w:val="24"/>
          <w:szCs w:val="24"/>
        </w:rPr>
        <w:t>Complainant at the service address.</w:t>
      </w:r>
    </w:p>
    <w:p w14:paraId="57D1EF24" w14:textId="77777777" w:rsidR="006461B6" w:rsidRPr="00654FBA" w:rsidRDefault="006461B6" w:rsidP="00F3234C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2BD00DF3" w14:textId="2A4B144F" w:rsidR="002879C8" w:rsidRPr="00654FBA" w:rsidRDefault="00822198" w:rsidP="0082219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4FBA">
        <w:rPr>
          <w:rFonts w:ascii="Times New Roman" w:hAnsi="Times New Roman" w:cs="Times New Roman"/>
          <w:sz w:val="24"/>
          <w:szCs w:val="24"/>
        </w:rPr>
        <w:tab/>
      </w:r>
      <w:r w:rsidRPr="00654FBA">
        <w:rPr>
          <w:rFonts w:ascii="Times New Roman" w:hAnsi="Times New Roman" w:cs="Times New Roman"/>
          <w:sz w:val="24"/>
          <w:szCs w:val="24"/>
        </w:rPr>
        <w:tab/>
        <w:t xml:space="preserve">3.  </w:t>
      </w:r>
      <w:r w:rsidRPr="00654FBA">
        <w:rPr>
          <w:rFonts w:ascii="Times New Roman" w:hAnsi="Times New Roman" w:cs="Times New Roman"/>
          <w:sz w:val="24"/>
          <w:szCs w:val="24"/>
        </w:rPr>
        <w:tab/>
      </w:r>
      <w:r w:rsidR="002879C8" w:rsidRPr="00654FBA">
        <w:rPr>
          <w:rFonts w:ascii="Times New Roman" w:hAnsi="Times New Roman" w:cs="Times New Roman"/>
          <w:sz w:val="24"/>
          <w:szCs w:val="24"/>
        </w:rPr>
        <w:t xml:space="preserve">On </w:t>
      </w:r>
      <w:r w:rsidR="00C446DC">
        <w:rPr>
          <w:rFonts w:ascii="Times New Roman" w:hAnsi="Times New Roman" w:cs="Times New Roman"/>
          <w:sz w:val="24"/>
          <w:szCs w:val="24"/>
        </w:rPr>
        <w:t>September 1</w:t>
      </w:r>
      <w:r w:rsidR="002879C8" w:rsidRPr="00654FBA">
        <w:rPr>
          <w:rFonts w:ascii="Times New Roman" w:hAnsi="Times New Roman" w:cs="Times New Roman"/>
          <w:sz w:val="24"/>
          <w:szCs w:val="24"/>
        </w:rPr>
        <w:t>,</w:t>
      </w:r>
      <w:r w:rsidR="00C446DC">
        <w:rPr>
          <w:rFonts w:ascii="Times New Roman" w:hAnsi="Times New Roman" w:cs="Times New Roman"/>
          <w:sz w:val="24"/>
          <w:szCs w:val="24"/>
        </w:rPr>
        <w:t xml:space="preserve"> 2004</w:t>
      </w:r>
      <w:r w:rsidR="00506ADB">
        <w:rPr>
          <w:rFonts w:ascii="Times New Roman" w:hAnsi="Times New Roman" w:cs="Times New Roman"/>
          <w:sz w:val="24"/>
          <w:szCs w:val="24"/>
        </w:rPr>
        <w:t>,</w:t>
      </w:r>
      <w:r w:rsidR="002879C8" w:rsidRPr="00654FBA">
        <w:rPr>
          <w:rFonts w:ascii="Times New Roman" w:hAnsi="Times New Roman" w:cs="Times New Roman"/>
          <w:sz w:val="24"/>
          <w:szCs w:val="24"/>
        </w:rPr>
        <w:t xml:space="preserve"> residential service was established at the service </w:t>
      </w:r>
    </w:p>
    <w:p w14:paraId="67B3DCE5" w14:textId="77777777" w:rsidR="00EB084C" w:rsidRPr="00654FBA" w:rsidRDefault="00873D01" w:rsidP="0082219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4FBA">
        <w:rPr>
          <w:rFonts w:ascii="Times New Roman" w:hAnsi="Times New Roman" w:cs="Times New Roman"/>
          <w:sz w:val="24"/>
          <w:szCs w:val="24"/>
        </w:rPr>
        <w:t>a</w:t>
      </w:r>
      <w:r w:rsidR="002879C8" w:rsidRPr="00654FBA">
        <w:rPr>
          <w:rFonts w:ascii="Times New Roman" w:hAnsi="Times New Roman" w:cs="Times New Roman"/>
          <w:sz w:val="24"/>
          <w:szCs w:val="24"/>
        </w:rPr>
        <w:t>ddress</w:t>
      </w:r>
      <w:r w:rsidR="00FF6E45" w:rsidRPr="00654FBA">
        <w:rPr>
          <w:rFonts w:ascii="Times New Roman" w:hAnsi="Times New Roman" w:cs="Times New Roman"/>
          <w:sz w:val="24"/>
          <w:szCs w:val="24"/>
        </w:rPr>
        <w:t>;</w:t>
      </w:r>
      <w:r w:rsidR="00233CDD" w:rsidRPr="00654FBA">
        <w:rPr>
          <w:rFonts w:ascii="Times New Roman" w:hAnsi="Times New Roman" w:cs="Times New Roman"/>
          <w:sz w:val="24"/>
          <w:szCs w:val="24"/>
        </w:rPr>
        <w:t xml:space="preserve"> Complainant </w:t>
      </w:r>
      <w:r w:rsidR="000E0C38" w:rsidRPr="00654FBA">
        <w:rPr>
          <w:rFonts w:ascii="Times New Roman" w:hAnsi="Times New Roman" w:cs="Times New Roman"/>
          <w:sz w:val="24"/>
          <w:szCs w:val="24"/>
        </w:rPr>
        <w:t>is</w:t>
      </w:r>
      <w:r w:rsidR="00233CDD" w:rsidRPr="00654FBA">
        <w:rPr>
          <w:rFonts w:ascii="Times New Roman" w:hAnsi="Times New Roman" w:cs="Times New Roman"/>
          <w:sz w:val="24"/>
          <w:szCs w:val="24"/>
        </w:rPr>
        <w:t xml:space="preserve"> the </w:t>
      </w:r>
      <w:r w:rsidR="00253D4D" w:rsidRPr="00654FBA">
        <w:rPr>
          <w:rFonts w:ascii="Times New Roman" w:hAnsi="Times New Roman" w:cs="Times New Roman"/>
          <w:sz w:val="24"/>
          <w:szCs w:val="24"/>
        </w:rPr>
        <w:t>ratepayer of record</w:t>
      </w:r>
      <w:r w:rsidR="00396E1D" w:rsidRPr="00654FBA">
        <w:rPr>
          <w:rFonts w:ascii="Times New Roman" w:hAnsi="Times New Roman" w:cs="Times New Roman"/>
          <w:sz w:val="24"/>
          <w:szCs w:val="24"/>
        </w:rPr>
        <w:t>.</w:t>
      </w:r>
      <w:r w:rsidR="007D51B9" w:rsidRPr="00654F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2E312D" w14:textId="77777777" w:rsidR="005A4503" w:rsidRPr="00654FBA" w:rsidRDefault="005A4503" w:rsidP="0082219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9219271" w14:textId="1D56DE5D" w:rsidR="005A4503" w:rsidRPr="00654FBA" w:rsidRDefault="005A4503" w:rsidP="008221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4FBA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54FBA">
        <w:rPr>
          <w:rFonts w:ascii="Times New Roman" w:hAnsi="Times New Roman" w:cs="Times New Roman"/>
          <w:sz w:val="24"/>
          <w:szCs w:val="24"/>
        </w:rPr>
        <w:tab/>
        <w:t xml:space="preserve">4.  </w:t>
      </w:r>
      <w:r w:rsidRPr="00654FBA">
        <w:rPr>
          <w:rFonts w:ascii="Times New Roman" w:hAnsi="Times New Roman" w:cs="Times New Roman"/>
          <w:sz w:val="24"/>
          <w:szCs w:val="24"/>
        </w:rPr>
        <w:tab/>
      </w:r>
      <w:r w:rsidR="00C446DC">
        <w:rPr>
          <w:rFonts w:ascii="Times New Roman" w:hAnsi="Times New Roman" w:cs="Times New Roman"/>
          <w:sz w:val="24"/>
          <w:szCs w:val="24"/>
        </w:rPr>
        <w:t>From 2007 to 2012</w:t>
      </w:r>
      <w:r w:rsidR="00506ADB">
        <w:rPr>
          <w:rFonts w:ascii="Times New Roman" w:hAnsi="Times New Roman" w:cs="Times New Roman"/>
          <w:sz w:val="24"/>
          <w:szCs w:val="24"/>
        </w:rPr>
        <w:t>,</w:t>
      </w:r>
      <w:r w:rsidR="00C446DC">
        <w:rPr>
          <w:rFonts w:ascii="Times New Roman" w:hAnsi="Times New Roman" w:cs="Times New Roman"/>
          <w:sz w:val="24"/>
          <w:szCs w:val="24"/>
        </w:rPr>
        <w:t xml:space="preserve"> </w:t>
      </w:r>
      <w:r w:rsidRPr="00654FBA">
        <w:rPr>
          <w:rFonts w:ascii="Times New Roman" w:hAnsi="Times New Roman" w:cs="Times New Roman"/>
          <w:sz w:val="24"/>
          <w:szCs w:val="24"/>
        </w:rPr>
        <w:t xml:space="preserve">Respondent issued Complainant </w:t>
      </w:r>
      <w:r w:rsidR="00ED75C9">
        <w:rPr>
          <w:rFonts w:ascii="Times New Roman" w:hAnsi="Times New Roman" w:cs="Times New Roman"/>
          <w:sz w:val="24"/>
          <w:szCs w:val="24"/>
        </w:rPr>
        <w:t>thirteen</w:t>
      </w:r>
      <w:r w:rsidRPr="00654FBA">
        <w:rPr>
          <w:rFonts w:ascii="Times New Roman" w:hAnsi="Times New Roman" w:cs="Times New Roman"/>
          <w:sz w:val="24"/>
          <w:szCs w:val="24"/>
        </w:rPr>
        <w:t xml:space="preserve"> </w:t>
      </w:r>
      <w:r w:rsidR="00F3258F" w:rsidRPr="00654FBA">
        <w:rPr>
          <w:rFonts w:ascii="Times New Roman" w:hAnsi="Times New Roman" w:cs="Times New Roman"/>
          <w:sz w:val="24"/>
          <w:szCs w:val="24"/>
        </w:rPr>
        <w:t>payment arrangement</w:t>
      </w:r>
      <w:r w:rsidR="00ED75C9">
        <w:rPr>
          <w:rFonts w:ascii="Times New Roman" w:hAnsi="Times New Roman" w:cs="Times New Roman"/>
          <w:sz w:val="24"/>
          <w:szCs w:val="24"/>
        </w:rPr>
        <w:t>s</w:t>
      </w:r>
      <w:r w:rsidR="00C60D3B" w:rsidRPr="00654FBA">
        <w:rPr>
          <w:rFonts w:ascii="Times New Roman" w:hAnsi="Times New Roman" w:cs="Times New Roman"/>
          <w:sz w:val="24"/>
          <w:szCs w:val="24"/>
        </w:rPr>
        <w:t>;</w:t>
      </w:r>
      <w:r w:rsidRPr="00654FBA">
        <w:rPr>
          <w:rFonts w:ascii="Times New Roman" w:hAnsi="Times New Roman" w:cs="Times New Roman"/>
          <w:sz w:val="24"/>
          <w:szCs w:val="24"/>
        </w:rPr>
        <w:t xml:space="preserve"> Complainant defaulted on </w:t>
      </w:r>
      <w:r w:rsidR="0066021C">
        <w:rPr>
          <w:rFonts w:ascii="Times New Roman" w:hAnsi="Times New Roman" w:cs="Times New Roman"/>
          <w:sz w:val="24"/>
          <w:szCs w:val="24"/>
        </w:rPr>
        <w:t xml:space="preserve">all of </w:t>
      </w:r>
      <w:r w:rsidRPr="00654FBA">
        <w:rPr>
          <w:rFonts w:ascii="Times New Roman" w:hAnsi="Times New Roman" w:cs="Times New Roman"/>
          <w:sz w:val="24"/>
          <w:szCs w:val="24"/>
        </w:rPr>
        <w:t>th</w:t>
      </w:r>
      <w:r w:rsidR="00ED75C9">
        <w:rPr>
          <w:rFonts w:ascii="Times New Roman" w:hAnsi="Times New Roman" w:cs="Times New Roman"/>
          <w:sz w:val="24"/>
          <w:szCs w:val="24"/>
        </w:rPr>
        <w:t>ese</w:t>
      </w:r>
      <w:r w:rsidRPr="00654FBA">
        <w:rPr>
          <w:rFonts w:ascii="Times New Roman" w:hAnsi="Times New Roman" w:cs="Times New Roman"/>
          <w:sz w:val="24"/>
          <w:szCs w:val="24"/>
        </w:rPr>
        <w:t xml:space="preserve"> </w:t>
      </w:r>
      <w:r w:rsidR="00F3258F" w:rsidRPr="00654FBA">
        <w:rPr>
          <w:rFonts w:ascii="Times New Roman" w:hAnsi="Times New Roman" w:cs="Times New Roman"/>
          <w:sz w:val="24"/>
          <w:szCs w:val="24"/>
        </w:rPr>
        <w:t>payment arrangement</w:t>
      </w:r>
      <w:r w:rsidR="00ED75C9">
        <w:rPr>
          <w:rFonts w:ascii="Times New Roman" w:hAnsi="Times New Roman" w:cs="Times New Roman"/>
          <w:sz w:val="24"/>
          <w:szCs w:val="24"/>
        </w:rPr>
        <w:t>s</w:t>
      </w:r>
      <w:r w:rsidRPr="00654FBA">
        <w:rPr>
          <w:rFonts w:ascii="Times New Roman" w:hAnsi="Times New Roman" w:cs="Times New Roman"/>
          <w:sz w:val="24"/>
          <w:szCs w:val="24"/>
        </w:rPr>
        <w:t>.</w:t>
      </w:r>
      <w:r w:rsidR="00154982" w:rsidRPr="00654FBA">
        <w:rPr>
          <w:rFonts w:ascii="Times New Roman" w:hAnsi="Times New Roman" w:cs="Times New Roman"/>
          <w:sz w:val="24"/>
          <w:szCs w:val="24"/>
        </w:rPr>
        <w:t xml:space="preserve">  (</w:t>
      </w:r>
      <w:r w:rsidR="00010901" w:rsidRPr="00654FBA">
        <w:rPr>
          <w:rFonts w:ascii="Times New Roman" w:hAnsi="Times New Roman" w:cs="Times New Roman"/>
          <w:sz w:val="24"/>
          <w:szCs w:val="24"/>
        </w:rPr>
        <w:t xml:space="preserve">PGW </w:t>
      </w:r>
      <w:r w:rsidR="00154982" w:rsidRPr="00654FBA">
        <w:rPr>
          <w:rFonts w:ascii="Times New Roman" w:hAnsi="Times New Roman" w:cs="Times New Roman"/>
          <w:sz w:val="24"/>
          <w:szCs w:val="24"/>
        </w:rPr>
        <w:t xml:space="preserve">Exhibit </w:t>
      </w:r>
      <w:r w:rsidR="00C60D3B" w:rsidRPr="00654FBA">
        <w:rPr>
          <w:rFonts w:ascii="Times New Roman" w:hAnsi="Times New Roman" w:cs="Times New Roman"/>
          <w:sz w:val="24"/>
          <w:szCs w:val="24"/>
        </w:rPr>
        <w:t>2</w:t>
      </w:r>
      <w:r w:rsidR="00154982" w:rsidRPr="00654FBA">
        <w:rPr>
          <w:rFonts w:ascii="Times New Roman" w:hAnsi="Times New Roman" w:cs="Times New Roman"/>
          <w:sz w:val="24"/>
          <w:szCs w:val="24"/>
        </w:rPr>
        <w:t>).</w:t>
      </w:r>
    </w:p>
    <w:p w14:paraId="77FBE611" w14:textId="77777777" w:rsidR="00FA373B" w:rsidRPr="00654FBA" w:rsidRDefault="00FA373B" w:rsidP="008A59D8">
      <w:pPr>
        <w:pStyle w:val="ListParagraph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D430FF" w14:textId="4BE4A005" w:rsidR="00ED75C9" w:rsidRDefault="005A4503" w:rsidP="00ED75C9">
      <w:pPr>
        <w:spacing w:after="0" w:line="360" w:lineRule="auto"/>
        <w:ind w:left="1440"/>
        <w:rPr>
          <w:rFonts w:ascii="Times New Roman" w:eastAsiaTheme="minorBidi" w:hAnsi="Times New Roman" w:cs="Times New Roman"/>
          <w:sz w:val="24"/>
          <w:szCs w:val="24"/>
        </w:rPr>
      </w:pPr>
      <w:r w:rsidRPr="00654FBA">
        <w:rPr>
          <w:rFonts w:ascii="Times New Roman" w:hAnsi="Times New Roman" w:cs="Times New Roman"/>
          <w:sz w:val="24"/>
          <w:szCs w:val="24"/>
        </w:rPr>
        <w:t>5</w:t>
      </w:r>
      <w:r w:rsidR="00822198" w:rsidRPr="00654FBA">
        <w:rPr>
          <w:rFonts w:ascii="Times New Roman" w:hAnsi="Times New Roman" w:cs="Times New Roman"/>
          <w:sz w:val="24"/>
          <w:szCs w:val="24"/>
        </w:rPr>
        <w:t>.</w:t>
      </w:r>
      <w:r w:rsidR="00223D38" w:rsidRPr="00654FBA">
        <w:rPr>
          <w:rFonts w:ascii="Times New Roman" w:hAnsi="Times New Roman" w:cs="Times New Roman"/>
          <w:sz w:val="24"/>
          <w:szCs w:val="24"/>
        </w:rPr>
        <w:tab/>
      </w:r>
      <w:r w:rsidR="00233CDD" w:rsidRPr="00654FBA">
        <w:rPr>
          <w:rFonts w:ascii="Times New Roman" w:hAnsi="Times New Roman" w:cs="Times New Roman"/>
          <w:sz w:val="24"/>
          <w:szCs w:val="24"/>
        </w:rPr>
        <w:t xml:space="preserve">On </w:t>
      </w:r>
      <w:r w:rsidR="00ED75C9">
        <w:rPr>
          <w:rFonts w:ascii="Times New Roman" w:hAnsi="Times New Roman" w:cs="Times New Roman"/>
          <w:sz w:val="24"/>
          <w:szCs w:val="24"/>
        </w:rPr>
        <w:t>April 22, 2014</w:t>
      </w:r>
      <w:r w:rsidR="00C60D3B" w:rsidRPr="00654FBA">
        <w:rPr>
          <w:rFonts w:ascii="Times New Roman" w:hAnsi="Times New Roman" w:cs="Times New Roman"/>
          <w:sz w:val="24"/>
          <w:szCs w:val="24"/>
        </w:rPr>
        <w:t xml:space="preserve">, Complainant filed an informal complaint </w:t>
      </w:r>
      <w:r w:rsidR="00C60D3B" w:rsidRPr="00654FBA">
        <w:rPr>
          <w:rFonts w:ascii="Times New Roman" w:eastAsiaTheme="minorBidi" w:hAnsi="Times New Roman" w:cs="Times New Roman"/>
          <w:sz w:val="24"/>
          <w:szCs w:val="24"/>
        </w:rPr>
        <w:t xml:space="preserve">with the </w:t>
      </w:r>
    </w:p>
    <w:p w14:paraId="12A96916" w14:textId="2598D65B" w:rsidR="00C60D3B" w:rsidRPr="00416AD3" w:rsidRDefault="00C60D3B" w:rsidP="00416AD3">
      <w:pPr>
        <w:pStyle w:val="Style"/>
        <w:widowControl/>
        <w:autoSpaceDE/>
        <w:autoSpaceDN/>
        <w:adjustRightInd/>
        <w:spacing w:line="360" w:lineRule="auto"/>
        <w:rPr>
          <w:rFonts w:eastAsiaTheme="minorBidi"/>
        </w:rPr>
      </w:pPr>
      <w:r w:rsidRPr="00416AD3">
        <w:rPr>
          <w:rFonts w:eastAsiaTheme="minorBidi"/>
        </w:rPr>
        <w:t xml:space="preserve">Commission’s Bureau of Consumer Services (BCS) at BCS Case No. </w:t>
      </w:r>
      <w:r w:rsidR="00ED75C9" w:rsidRPr="00416AD3">
        <w:rPr>
          <w:rFonts w:eastAsiaTheme="minorBidi"/>
        </w:rPr>
        <w:t>3226883</w:t>
      </w:r>
      <w:r w:rsidRPr="00416AD3">
        <w:rPr>
          <w:rFonts w:eastAsiaTheme="minorBidi"/>
        </w:rPr>
        <w:t xml:space="preserve">, seeking a </w:t>
      </w:r>
      <w:r w:rsidR="00F3258F" w:rsidRPr="00416AD3">
        <w:rPr>
          <w:rFonts w:eastAsiaTheme="minorBidi"/>
        </w:rPr>
        <w:t>payment arrangement</w:t>
      </w:r>
      <w:r w:rsidRPr="00416AD3">
        <w:rPr>
          <w:rFonts w:eastAsiaTheme="minorBidi"/>
        </w:rPr>
        <w:t>. (</w:t>
      </w:r>
      <w:r w:rsidR="00010901" w:rsidRPr="00416AD3">
        <w:rPr>
          <w:rFonts w:eastAsiaTheme="minorBidi"/>
        </w:rPr>
        <w:t xml:space="preserve">PGW </w:t>
      </w:r>
      <w:r w:rsidRPr="00416AD3">
        <w:rPr>
          <w:rFonts w:eastAsiaTheme="minorBidi"/>
        </w:rPr>
        <w:t xml:space="preserve">Exhibit </w:t>
      </w:r>
      <w:r w:rsidR="00ED75C9" w:rsidRPr="00416AD3">
        <w:rPr>
          <w:rFonts w:eastAsiaTheme="minorBidi"/>
        </w:rPr>
        <w:t>3, p.1</w:t>
      </w:r>
      <w:r w:rsidRPr="00416AD3">
        <w:rPr>
          <w:rFonts w:eastAsiaTheme="minorBidi"/>
        </w:rPr>
        <w:t>).</w:t>
      </w:r>
    </w:p>
    <w:p w14:paraId="08312A8A" w14:textId="77777777" w:rsidR="00C60D3B" w:rsidRPr="00654FBA" w:rsidRDefault="00C60D3B" w:rsidP="00C60D3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139B6CA" w14:textId="5748D711" w:rsidR="00C60D3B" w:rsidRPr="00654FBA" w:rsidRDefault="00C60D3B" w:rsidP="00EA3F2E">
      <w:pPr>
        <w:pStyle w:val="ListNumber"/>
        <w:numPr>
          <w:ilvl w:val="0"/>
          <w:numId w:val="0"/>
        </w:numPr>
        <w:spacing w:line="360" w:lineRule="auto"/>
        <w:jc w:val="left"/>
        <w:rPr>
          <w:rFonts w:eastAsiaTheme="minorBidi"/>
        </w:rPr>
      </w:pPr>
      <w:r w:rsidRPr="00654FBA">
        <w:rPr>
          <w:rFonts w:eastAsiaTheme="minorHAnsi"/>
        </w:rPr>
        <w:tab/>
      </w:r>
      <w:r w:rsidRPr="00654FBA">
        <w:rPr>
          <w:rFonts w:eastAsiaTheme="minorHAnsi"/>
        </w:rPr>
        <w:tab/>
      </w:r>
      <w:r w:rsidR="00A73619" w:rsidRPr="00654FBA">
        <w:rPr>
          <w:rFonts w:eastAsiaTheme="minorHAnsi"/>
        </w:rPr>
        <w:t xml:space="preserve"> </w:t>
      </w:r>
      <w:r w:rsidR="00631D02">
        <w:rPr>
          <w:rFonts w:eastAsiaTheme="minorHAnsi"/>
        </w:rPr>
        <w:t>6</w:t>
      </w:r>
      <w:r w:rsidRPr="00654FBA">
        <w:rPr>
          <w:rFonts w:eastAsiaTheme="minorHAnsi"/>
        </w:rPr>
        <w:t xml:space="preserve">. </w:t>
      </w:r>
      <w:r w:rsidRPr="00654FBA">
        <w:rPr>
          <w:rFonts w:eastAsiaTheme="minorHAnsi"/>
        </w:rPr>
        <w:tab/>
      </w:r>
      <w:r w:rsidR="0066021C">
        <w:rPr>
          <w:rFonts w:eastAsiaTheme="minorHAnsi"/>
        </w:rPr>
        <w:t xml:space="preserve">On </w:t>
      </w:r>
      <w:r w:rsidR="00ED75C9">
        <w:rPr>
          <w:rFonts w:eastAsiaTheme="minorHAnsi"/>
        </w:rPr>
        <w:t>April 2</w:t>
      </w:r>
      <w:r w:rsidR="00416AD3">
        <w:rPr>
          <w:rFonts w:eastAsiaTheme="minorHAnsi"/>
        </w:rPr>
        <w:t>5</w:t>
      </w:r>
      <w:r w:rsidR="00ED75C9">
        <w:rPr>
          <w:rFonts w:eastAsiaTheme="minorHAnsi"/>
        </w:rPr>
        <w:t>, 2014</w:t>
      </w:r>
      <w:r w:rsidR="00A73619" w:rsidRPr="00654FBA">
        <w:rPr>
          <w:rFonts w:eastAsiaTheme="minorHAnsi"/>
        </w:rPr>
        <w:t>,</w:t>
      </w:r>
      <w:r w:rsidRPr="00654FBA">
        <w:rPr>
          <w:rFonts w:eastAsiaTheme="minorHAnsi"/>
        </w:rPr>
        <w:t xml:space="preserve"> at BCS Case No. </w:t>
      </w:r>
      <w:r w:rsidR="00ED75C9">
        <w:rPr>
          <w:rFonts w:eastAsiaTheme="minorHAnsi"/>
        </w:rPr>
        <w:t>3226883</w:t>
      </w:r>
      <w:r w:rsidRPr="00654FBA">
        <w:rPr>
          <w:rFonts w:eastAsiaTheme="minorHAnsi"/>
        </w:rPr>
        <w:t>, BCS granted Complainant</w:t>
      </w:r>
      <w:r w:rsidRPr="00654FBA">
        <w:rPr>
          <w:rFonts w:eastAsiaTheme="minorBidi"/>
        </w:rPr>
        <w:t xml:space="preserve"> a level </w:t>
      </w:r>
      <w:r w:rsidR="00A73619" w:rsidRPr="00654FBA">
        <w:rPr>
          <w:rFonts w:eastAsiaTheme="minorBidi"/>
        </w:rPr>
        <w:t>1</w:t>
      </w:r>
      <w:r w:rsidRPr="00654FBA">
        <w:rPr>
          <w:rStyle w:val="FootnoteReference"/>
          <w:rFonts w:eastAsia="Calibri"/>
        </w:rPr>
        <w:footnoteReference w:id="3"/>
      </w:r>
      <w:r w:rsidRPr="00654FBA">
        <w:rPr>
          <w:rFonts w:eastAsiaTheme="minorBidi"/>
        </w:rPr>
        <w:t xml:space="preserve"> </w:t>
      </w:r>
      <w:r w:rsidR="00F3258F" w:rsidRPr="00654FBA">
        <w:rPr>
          <w:rFonts w:eastAsiaTheme="minorBidi"/>
        </w:rPr>
        <w:t>payment arrangement</w:t>
      </w:r>
      <w:r w:rsidR="00EA3F2E" w:rsidRPr="00654FBA">
        <w:rPr>
          <w:rFonts w:eastAsiaTheme="minorBidi"/>
        </w:rPr>
        <w:t xml:space="preserve">, which directed </w:t>
      </w:r>
      <w:r w:rsidR="002F5D3E">
        <w:rPr>
          <w:rFonts w:eastAsiaTheme="minorBidi"/>
        </w:rPr>
        <w:t>Ms. Gray</w:t>
      </w:r>
      <w:r w:rsidR="00EA3F2E" w:rsidRPr="00654FBA">
        <w:rPr>
          <w:rFonts w:eastAsiaTheme="minorBidi"/>
        </w:rPr>
        <w:t xml:space="preserve"> to pay her monthly budget bill of $</w:t>
      </w:r>
      <w:r w:rsidR="00ED75C9">
        <w:rPr>
          <w:rFonts w:eastAsiaTheme="minorBidi"/>
        </w:rPr>
        <w:t xml:space="preserve">80 </w:t>
      </w:r>
      <w:r w:rsidR="00EA3F2E" w:rsidRPr="00654FBA">
        <w:rPr>
          <w:rFonts w:eastAsiaTheme="minorBidi"/>
        </w:rPr>
        <w:t>plus an additional $</w:t>
      </w:r>
      <w:r w:rsidR="00ED75C9">
        <w:rPr>
          <w:rFonts w:eastAsiaTheme="minorBidi"/>
        </w:rPr>
        <w:t>60</w:t>
      </w:r>
      <w:r w:rsidR="00EA3F2E" w:rsidRPr="00654FBA">
        <w:rPr>
          <w:rFonts w:eastAsiaTheme="minorBidi"/>
        </w:rPr>
        <w:t xml:space="preserve"> towards her arrearage</w:t>
      </w:r>
      <w:r w:rsidR="00ED75C9">
        <w:rPr>
          <w:rFonts w:eastAsiaTheme="minorBidi"/>
        </w:rPr>
        <w:t xml:space="preserve"> of $3,277</w:t>
      </w:r>
      <w:r w:rsidR="00EA3F2E" w:rsidRPr="00654FBA">
        <w:rPr>
          <w:rFonts w:eastAsiaTheme="minorBidi"/>
        </w:rPr>
        <w:t>, for a total of $</w:t>
      </w:r>
      <w:r w:rsidR="00ED75C9">
        <w:rPr>
          <w:rFonts w:eastAsiaTheme="minorBidi"/>
        </w:rPr>
        <w:t>140</w:t>
      </w:r>
      <w:r w:rsidR="00EA3F2E" w:rsidRPr="00654FBA">
        <w:rPr>
          <w:rFonts w:eastAsiaTheme="minorBidi"/>
        </w:rPr>
        <w:t xml:space="preserve">, beginning with the due date of her </w:t>
      </w:r>
      <w:r w:rsidR="00ED75C9">
        <w:rPr>
          <w:rFonts w:eastAsiaTheme="minorBidi"/>
        </w:rPr>
        <w:t>May 2014</w:t>
      </w:r>
      <w:r w:rsidR="00EA3F2E" w:rsidRPr="00654FBA">
        <w:rPr>
          <w:rFonts w:eastAsiaTheme="minorBidi"/>
        </w:rPr>
        <w:t xml:space="preserve"> bill. </w:t>
      </w:r>
      <w:r w:rsidRPr="00654FBA">
        <w:rPr>
          <w:rFonts w:eastAsiaTheme="minorBidi"/>
        </w:rPr>
        <w:t>(</w:t>
      </w:r>
      <w:r w:rsidR="00010901" w:rsidRPr="00654FBA">
        <w:rPr>
          <w:rFonts w:eastAsiaTheme="minorBidi"/>
        </w:rPr>
        <w:t xml:space="preserve">PGW </w:t>
      </w:r>
      <w:r w:rsidRPr="00654FBA">
        <w:rPr>
          <w:rFonts w:eastAsiaTheme="minorBidi"/>
        </w:rPr>
        <w:t xml:space="preserve">Exhibit </w:t>
      </w:r>
      <w:r w:rsidR="00ED75C9">
        <w:rPr>
          <w:rFonts w:eastAsiaTheme="minorBidi"/>
        </w:rPr>
        <w:t>3, p. 2</w:t>
      </w:r>
      <w:r w:rsidRPr="00654FBA">
        <w:rPr>
          <w:rFonts w:eastAsiaTheme="minorBidi"/>
        </w:rPr>
        <w:t>).</w:t>
      </w:r>
    </w:p>
    <w:p w14:paraId="7E26483C" w14:textId="77777777" w:rsidR="00C60D3B" w:rsidRPr="00654FBA" w:rsidRDefault="00C60D3B" w:rsidP="00C60D3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DAE125F" w14:textId="7AF9E8CA" w:rsidR="00C60D3B" w:rsidRPr="00654FBA" w:rsidRDefault="00C60D3B" w:rsidP="00C60D3B">
      <w:pPr>
        <w:pStyle w:val="Style"/>
        <w:widowControl/>
        <w:tabs>
          <w:tab w:val="left" w:pos="1440"/>
          <w:tab w:val="left" w:pos="1890"/>
          <w:tab w:val="left" w:pos="2160"/>
        </w:tabs>
        <w:autoSpaceDE/>
        <w:autoSpaceDN/>
        <w:adjustRightInd/>
        <w:spacing w:line="360" w:lineRule="auto"/>
        <w:rPr>
          <w:rFonts w:eastAsiaTheme="minorBidi"/>
        </w:rPr>
      </w:pPr>
      <w:r w:rsidRPr="00654FBA">
        <w:rPr>
          <w:rFonts w:eastAsiaTheme="minorBidi"/>
        </w:rPr>
        <w:tab/>
      </w:r>
      <w:r w:rsidR="00A73619" w:rsidRPr="00654FBA">
        <w:rPr>
          <w:rFonts w:eastAsiaTheme="minorBidi"/>
        </w:rPr>
        <w:t xml:space="preserve"> </w:t>
      </w:r>
      <w:r w:rsidR="00631D02">
        <w:rPr>
          <w:rFonts w:eastAsiaTheme="minorBidi"/>
        </w:rPr>
        <w:t>7</w:t>
      </w:r>
      <w:r w:rsidRPr="00654FBA">
        <w:rPr>
          <w:rFonts w:eastAsiaTheme="minorBidi"/>
        </w:rPr>
        <w:t xml:space="preserve">.  </w:t>
      </w:r>
      <w:r w:rsidRPr="00654FBA">
        <w:rPr>
          <w:rFonts w:eastAsiaTheme="minorBidi"/>
        </w:rPr>
        <w:tab/>
      </w:r>
      <w:r w:rsidRPr="00654FBA">
        <w:rPr>
          <w:rFonts w:eastAsiaTheme="minorBidi"/>
        </w:rPr>
        <w:tab/>
        <w:t xml:space="preserve">At BCS Case No. </w:t>
      </w:r>
      <w:r w:rsidR="00ED75C9">
        <w:rPr>
          <w:rFonts w:eastAsiaTheme="minorBidi"/>
        </w:rPr>
        <w:t>3226883</w:t>
      </w:r>
      <w:r w:rsidRPr="00654FBA">
        <w:rPr>
          <w:rFonts w:eastAsiaTheme="minorBidi"/>
        </w:rPr>
        <w:t xml:space="preserve">, </w:t>
      </w:r>
      <w:r w:rsidR="002F5D3E">
        <w:rPr>
          <w:rFonts w:eastAsiaTheme="minorBidi"/>
        </w:rPr>
        <w:t>Ms. Gray</w:t>
      </w:r>
      <w:r w:rsidRPr="00654FBA">
        <w:rPr>
          <w:rFonts w:eastAsiaTheme="minorBidi"/>
        </w:rPr>
        <w:t xml:space="preserve"> reported a gross monthly household income of </w:t>
      </w:r>
      <w:r w:rsidR="00ED75C9">
        <w:rPr>
          <w:rFonts w:eastAsiaTheme="minorBidi"/>
        </w:rPr>
        <w:t>$1,386.67</w:t>
      </w:r>
      <w:r w:rsidRPr="00654FBA">
        <w:rPr>
          <w:rFonts w:eastAsiaTheme="minorBidi"/>
        </w:rPr>
        <w:t xml:space="preserve"> and a household size of </w:t>
      </w:r>
      <w:r w:rsidR="00ED75C9">
        <w:rPr>
          <w:rFonts w:eastAsiaTheme="minorBidi"/>
        </w:rPr>
        <w:t xml:space="preserve">four individuals, which included two adults and two minors. </w:t>
      </w:r>
      <w:r w:rsidRPr="00654FBA">
        <w:rPr>
          <w:rFonts w:eastAsiaTheme="minorBidi"/>
        </w:rPr>
        <w:t>(</w:t>
      </w:r>
      <w:r w:rsidR="00010901" w:rsidRPr="00654FBA">
        <w:rPr>
          <w:rFonts w:eastAsiaTheme="minorBidi"/>
        </w:rPr>
        <w:t xml:space="preserve">PGW </w:t>
      </w:r>
      <w:r w:rsidRPr="00654FBA">
        <w:rPr>
          <w:rFonts w:eastAsiaTheme="minorBidi"/>
        </w:rPr>
        <w:t xml:space="preserve">Exhibit </w:t>
      </w:r>
      <w:r w:rsidR="00ED75C9">
        <w:rPr>
          <w:rFonts w:eastAsiaTheme="minorBidi"/>
        </w:rPr>
        <w:t>3, p.1</w:t>
      </w:r>
      <w:r w:rsidRPr="00654FBA">
        <w:rPr>
          <w:rFonts w:eastAsiaTheme="minorBidi"/>
        </w:rPr>
        <w:t xml:space="preserve">). </w:t>
      </w:r>
    </w:p>
    <w:p w14:paraId="3A0381A1" w14:textId="77777777" w:rsidR="00CC2577" w:rsidRPr="00654FBA" w:rsidRDefault="00CC2577" w:rsidP="00C60D3B">
      <w:pPr>
        <w:pStyle w:val="Style"/>
        <w:widowControl/>
        <w:tabs>
          <w:tab w:val="left" w:pos="1440"/>
          <w:tab w:val="left" w:pos="1890"/>
          <w:tab w:val="left" w:pos="2160"/>
        </w:tabs>
        <w:autoSpaceDE/>
        <w:autoSpaceDN/>
        <w:adjustRightInd/>
        <w:spacing w:line="360" w:lineRule="auto"/>
        <w:rPr>
          <w:rFonts w:eastAsiaTheme="minorBidi"/>
        </w:rPr>
      </w:pPr>
    </w:p>
    <w:p w14:paraId="05AF065A" w14:textId="68AE4870" w:rsidR="00233CDD" w:rsidRDefault="00C60D3B" w:rsidP="00795CCE">
      <w:pPr>
        <w:pStyle w:val="Style"/>
        <w:widowControl/>
        <w:tabs>
          <w:tab w:val="left" w:pos="1440"/>
          <w:tab w:val="left" w:pos="1710"/>
          <w:tab w:val="left" w:pos="1890"/>
          <w:tab w:val="left" w:pos="2160"/>
        </w:tabs>
        <w:autoSpaceDE/>
        <w:autoSpaceDN/>
        <w:adjustRightInd/>
        <w:spacing w:line="360" w:lineRule="auto"/>
        <w:rPr>
          <w:rFonts w:eastAsiaTheme="minorBidi"/>
        </w:rPr>
      </w:pPr>
      <w:r w:rsidRPr="00654FBA">
        <w:rPr>
          <w:rFonts w:eastAsiaTheme="minorBidi"/>
        </w:rPr>
        <w:tab/>
      </w:r>
      <w:r w:rsidR="00631D02">
        <w:rPr>
          <w:rFonts w:eastAsiaTheme="minorBidi"/>
        </w:rPr>
        <w:t>8</w:t>
      </w:r>
      <w:r w:rsidRPr="00654FBA">
        <w:rPr>
          <w:rFonts w:eastAsiaTheme="minorBidi"/>
        </w:rPr>
        <w:t>.</w:t>
      </w:r>
      <w:r w:rsidRPr="00654FBA">
        <w:rPr>
          <w:rFonts w:eastAsiaTheme="minorBidi"/>
        </w:rPr>
        <w:tab/>
      </w:r>
      <w:r w:rsidRPr="00654FBA">
        <w:rPr>
          <w:rFonts w:eastAsiaTheme="minorBidi"/>
        </w:rPr>
        <w:tab/>
      </w:r>
      <w:r w:rsidR="00806AF6" w:rsidRPr="00654FBA">
        <w:rPr>
          <w:rFonts w:eastAsiaTheme="minorBidi"/>
        </w:rPr>
        <w:tab/>
      </w:r>
      <w:r w:rsidRPr="00654FBA">
        <w:rPr>
          <w:rFonts w:eastAsiaTheme="minorBidi"/>
        </w:rPr>
        <w:t>Complainant defaulted on the</w:t>
      </w:r>
      <w:r w:rsidR="00A73619" w:rsidRPr="00654FBA">
        <w:rPr>
          <w:rFonts w:eastAsiaTheme="minorBidi"/>
        </w:rPr>
        <w:t xml:space="preserve"> </w:t>
      </w:r>
      <w:r w:rsidR="00ED75C9">
        <w:rPr>
          <w:rFonts w:eastAsiaTheme="minorBidi"/>
        </w:rPr>
        <w:t>April 2</w:t>
      </w:r>
      <w:r w:rsidR="00416AD3">
        <w:rPr>
          <w:rFonts w:eastAsiaTheme="minorBidi"/>
        </w:rPr>
        <w:t>5</w:t>
      </w:r>
      <w:r w:rsidR="00ED75C9">
        <w:rPr>
          <w:rFonts w:eastAsiaTheme="minorBidi"/>
        </w:rPr>
        <w:t xml:space="preserve">, 2014 </w:t>
      </w:r>
      <w:r w:rsidRPr="00654FBA">
        <w:rPr>
          <w:rFonts w:eastAsiaTheme="minorBidi"/>
        </w:rPr>
        <w:t>BCS</w:t>
      </w:r>
      <w:r w:rsidR="00F3258F" w:rsidRPr="00654FBA">
        <w:rPr>
          <w:rFonts w:eastAsiaTheme="minorBidi"/>
        </w:rPr>
        <w:t xml:space="preserve"> payment arrangement</w:t>
      </w:r>
      <w:r w:rsidR="00782511" w:rsidRPr="00654FBA">
        <w:rPr>
          <w:rFonts w:eastAsiaTheme="minorBidi"/>
        </w:rPr>
        <w:t xml:space="preserve"> </w:t>
      </w:r>
      <w:r w:rsidR="00ED75C9">
        <w:rPr>
          <w:rFonts w:eastAsiaTheme="minorBidi"/>
        </w:rPr>
        <w:t xml:space="preserve">at BCS Case No. 3226883 </w:t>
      </w:r>
      <w:r w:rsidR="00782511" w:rsidRPr="00654FBA">
        <w:rPr>
          <w:rFonts w:eastAsiaTheme="minorBidi"/>
        </w:rPr>
        <w:t>and the outstanding balance has never been satisfied</w:t>
      </w:r>
      <w:r w:rsidRPr="00654FBA">
        <w:rPr>
          <w:rFonts w:eastAsiaTheme="minorBidi"/>
        </w:rPr>
        <w:t>.  (</w:t>
      </w:r>
      <w:r w:rsidR="00010901" w:rsidRPr="00654FBA">
        <w:rPr>
          <w:rFonts w:eastAsiaTheme="minorBidi"/>
        </w:rPr>
        <w:t xml:space="preserve">PGW </w:t>
      </w:r>
      <w:r w:rsidRPr="00654FBA">
        <w:rPr>
          <w:rFonts w:eastAsiaTheme="minorBidi"/>
        </w:rPr>
        <w:t xml:space="preserve">Exhibit </w:t>
      </w:r>
      <w:r w:rsidR="00ED75C9">
        <w:rPr>
          <w:rFonts w:eastAsiaTheme="minorBidi"/>
        </w:rPr>
        <w:t>2</w:t>
      </w:r>
      <w:r w:rsidRPr="00654FBA">
        <w:rPr>
          <w:rFonts w:eastAsiaTheme="minorBidi"/>
        </w:rPr>
        <w:t>).</w:t>
      </w:r>
    </w:p>
    <w:p w14:paraId="14DFEBA5" w14:textId="77777777" w:rsidR="00795CCE" w:rsidRPr="00795CCE" w:rsidRDefault="00795CCE" w:rsidP="00795CCE">
      <w:pPr>
        <w:pStyle w:val="Style"/>
        <w:widowControl/>
        <w:tabs>
          <w:tab w:val="left" w:pos="1440"/>
          <w:tab w:val="left" w:pos="1710"/>
          <w:tab w:val="left" w:pos="1890"/>
          <w:tab w:val="left" w:pos="2160"/>
        </w:tabs>
        <w:autoSpaceDE/>
        <w:autoSpaceDN/>
        <w:adjustRightInd/>
        <w:spacing w:line="360" w:lineRule="auto"/>
        <w:rPr>
          <w:rFonts w:eastAsiaTheme="minorBidi"/>
        </w:rPr>
      </w:pPr>
    </w:p>
    <w:p w14:paraId="26935495" w14:textId="40D0236E" w:rsidR="00522F57" w:rsidRPr="00654FBA" w:rsidRDefault="00233CDD" w:rsidP="00E67C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54FBA">
        <w:rPr>
          <w:rFonts w:ascii="Times New Roman" w:eastAsia="Calibri" w:hAnsi="Times New Roman" w:cs="Times New Roman"/>
          <w:sz w:val="24"/>
          <w:szCs w:val="24"/>
        </w:rPr>
        <w:tab/>
      </w:r>
      <w:r w:rsidRPr="00654FBA">
        <w:rPr>
          <w:rFonts w:ascii="Times New Roman" w:eastAsia="Calibri" w:hAnsi="Times New Roman" w:cs="Times New Roman"/>
          <w:sz w:val="24"/>
          <w:szCs w:val="24"/>
        </w:rPr>
        <w:tab/>
      </w:r>
      <w:r w:rsidR="00631D02">
        <w:rPr>
          <w:rFonts w:ascii="Times New Roman" w:eastAsia="Calibri" w:hAnsi="Times New Roman" w:cs="Times New Roman"/>
          <w:sz w:val="24"/>
          <w:szCs w:val="24"/>
        </w:rPr>
        <w:t>9</w:t>
      </w:r>
      <w:r w:rsidRPr="00654FBA">
        <w:rPr>
          <w:rFonts w:ascii="Times New Roman" w:eastAsia="Calibri" w:hAnsi="Times New Roman" w:cs="Times New Roman"/>
          <w:sz w:val="24"/>
          <w:szCs w:val="24"/>
        </w:rPr>
        <w:t>.</w:t>
      </w:r>
      <w:r w:rsidRPr="00654FBA">
        <w:rPr>
          <w:rFonts w:ascii="Times New Roman" w:eastAsia="Calibri" w:hAnsi="Times New Roman" w:cs="Times New Roman"/>
          <w:sz w:val="24"/>
          <w:szCs w:val="24"/>
        </w:rPr>
        <w:tab/>
      </w:r>
      <w:r w:rsidR="002879C8" w:rsidRPr="00654FBA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795CCE">
        <w:rPr>
          <w:rFonts w:ascii="Times New Roman" w:eastAsia="Calibri" w:hAnsi="Times New Roman" w:cs="Times New Roman"/>
          <w:sz w:val="24"/>
          <w:szCs w:val="24"/>
        </w:rPr>
        <w:t xml:space="preserve">September 25, 2018, </w:t>
      </w:r>
      <w:r w:rsidR="002879C8" w:rsidRPr="00654FBA">
        <w:rPr>
          <w:rFonts w:ascii="Times New Roman" w:eastAsia="Calibri" w:hAnsi="Times New Roman" w:cs="Times New Roman"/>
          <w:sz w:val="24"/>
          <w:szCs w:val="24"/>
        </w:rPr>
        <w:t>Complainant</w:t>
      </w:r>
      <w:r w:rsidR="00E67CEF" w:rsidRPr="00654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45C1" w:rsidRPr="00654FBA">
        <w:rPr>
          <w:rFonts w:ascii="Times New Roman" w:eastAsiaTheme="minorBidi" w:hAnsi="Times New Roman" w:cs="Times New Roman"/>
          <w:sz w:val="24"/>
          <w:szCs w:val="24"/>
        </w:rPr>
        <w:t>filed a</w:t>
      </w:r>
      <w:r w:rsidR="00F666D9" w:rsidRPr="00654FBA">
        <w:rPr>
          <w:rFonts w:ascii="Times New Roman" w:eastAsiaTheme="minorBidi" w:hAnsi="Times New Roman" w:cs="Times New Roman"/>
          <w:sz w:val="24"/>
          <w:szCs w:val="24"/>
        </w:rPr>
        <w:t xml:space="preserve">n informal complaint with </w:t>
      </w:r>
      <w:r w:rsidR="00522F57" w:rsidRPr="00654FBA">
        <w:rPr>
          <w:rFonts w:ascii="Times New Roman" w:eastAsiaTheme="minorBidi" w:hAnsi="Times New Roman" w:cs="Times New Roman"/>
          <w:sz w:val="24"/>
          <w:szCs w:val="24"/>
        </w:rPr>
        <w:t xml:space="preserve">BCS at </w:t>
      </w:r>
      <w:r w:rsidR="00F666D9" w:rsidRPr="00654FBA">
        <w:rPr>
          <w:rFonts w:ascii="Times New Roman" w:eastAsiaTheme="minorBidi" w:hAnsi="Times New Roman" w:cs="Times New Roman"/>
          <w:sz w:val="24"/>
          <w:szCs w:val="24"/>
        </w:rPr>
        <w:t xml:space="preserve">BCS Case No. </w:t>
      </w:r>
      <w:r w:rsidR="00795CCE">
        <w:rPr>
          <w:rFonts w:ascii="Times New Roman" w:eastAsiaTheme="minorBidi" w:hAnsi="Times New Roman" w:cs="Times New Roman"/>
          <w:sz w:val="24"/>
          <w:szCs w:val="24"/>
        </w:rPr>
        <w:t>3654947</w:t>
      </w:r>
      <w:r w:rsidR="007D51B9" w:rsidRPr="00654FBA">
        <w:rPr>
          <w:rFonts w:ascii="Times New Roman" w:eastAsiaTheme="minorBidi" w:hAnsi="Times New Roman" w:cs="Times New Roman"/>
          <w:sz w:val="24"/>
          <w:szCs w:val="24"/>
        </w:rPr>
        <w:t xml:space="preserve"> seeking a </w:t>
      </w:r>
      <w:r w:rsidR="00F3258F" w:rsidRPr="00654FBA">
        <w:rPr>
          <w:rFonts w:ascii="Times New Roman" w:eastAsiaTheme="minorBidi" w:hAnsi="Times New Roman" w:cs="Times New Roman"/>
          <w:sz w:val="24"/>
          <w:szCs w:val="24"/>
        </w:rPr>
        <w:t>payment arrangement</w:t>
      </w:r>
      <w:r w:rsidR="00154982" w:rsidRPr="00654FBA">
        <w:rPr>
          <w:rFonts w:ascii="Times New Roman" w:eastAsiaTheme="minorBidi" w:hAnsi="Times New Roman" w:cs="Times New Roman"/>
          <w:sz w:val="24"/>
          <w:szCs w:val="24"/>
        </w:rPr>
        <w:t>.</w:t>
      </w:r>
      <w:r w:rsidR="007D51B9" w:rsidRPr="00654FBA">
        <w:rPr>
          <w:rFonts w:ascii="Times New Roman" w:eastAsiaTheme="minorBidi" w:hAnsi="Times New Roman" w:cs="Times New Roman"/>
          <w:sz w:val="24"/>
          <w:szCs w:val="24"/>
        </w:rPr>
        <w:t xml:space="preserve"> (</w:t>
      </w:r>
      <w:r w:rsidR="00010901" w:rsidRPr="00654FBA">
        <w:rPr>
          <w:rFonts w:ascii="Times New Roman" w:eastAsiaTheme="minorBidi" w:hAnsi="Times New Roman" w:cs="Times New Roman"/>
          <w:sz w:val="24"/>
          <w:szCs w:val="24"/>
        </w:rPr>
        <w:t xml:space="preserve">PGW </w:t>
      </w:r>
      <w:r w:rsidR="007D51B9" w:rsidRPr="00654FBA">
        <w:rPr>
          <w:rFonts w:ascii="Times New Roman" w:eastAsiaTheme="minorBidi" w:hAnsi="Times New Roman" w:cs="Times New Roman"/>
          <w:sz w:val="24"/>
          <w:szCs w:val="24"/>
        </w:rPr>
        <w:t xml:space="preserve">Exhibit </w:t>
      </w:r>
      <w:r w:rsidR="00010901" w:rsidRPr="00654FBA">
        <w:rPr>
          <w:rFonts w:ascii="Times New Roman" w:eastAsiaTheme="minorBidi" w:hAnsi="Times New Roman" w:cs="Times New Roman"/>
          <w:sz w:val="24"/>
          <w:szCs w:val="24"/>
        </w:rPr>
        <w:t>3</w:t>
      </w:r>
      <w:r w:rsidR="007D51B9" w:rsidRPr="00654FBA">
        <w:rPr>
          <w:rFonts w:ascii="Times New Roman" w:eastAsiaTheme="minorBidi" w:hAnsi="Times New Roman" w:cs="Times New Roman"/>
          <w:sz w:val="24"/>
          <w:szCs w:val="24"/>
        </w:rPr>
        <w:t>).</w:t>
      </w:r>
    </w:p>
    <w:p w14:paraId="7D20A035" w14:textId="77777777" w:rsidR="000D6F0B" w:rsidRPr="00654FBA" w:rsidRDefault="000D6F0B" w:rsidP="00F75358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7AF076A" w14:textId="518237FB" w:rsidR="000D6F0B" w:rsidRPr="00654FBA" w:rsidRDefault="000D6F0B" w:rsidP="000D6F0B">
      <w:pPr>
        <w:pStyle w:val="ListNumber"/>
        <w:numPr>
          <w:ilvl w:val="0"/>
          <w:numId w:val="0"/>
        </w:numPr>
        <w:spacing w:line="360" w:lineRule="auto"/>
        <w:jc w:val="left"/>
        <w:rPr>
          <w:rFonts w:eastAsiaTheme="minorBidi"/>
        </w:rPr>
      </w:pPr>
      <w:r w:rsidRPr="00654FBA">
        <w:rPr>
          <w:rFonts w:eastAsiaTheme="minorHAnsi"/>
        </w:rPr>
        <w:tab/>
      </w:r>
      <w:r w:rsidRPr="00654FBA">
        <w:rPr>
          <w:rFonts w:eastAsiaTheme="minorHAnsi"/>
        </w:rPr>
        <w:tab/>
        <w:t>1</w:t>
      </w:r>
      <w:r w:rsidR="00631D02">
        <w:rPr>
          <w:rFonts w:eastAsiaTheme="minorHAnsi"/>
        </w:rPr>
        <w:t>0</w:t>
      </w:r>
      <w:r w:rsidRPr="00654FBA">
        <w:rPr>
          <w:rFonts w:eastAsiaTheme="minorHAnsi"/>
        </w:rPr>
        <w:t xml:space="preserve">. </w:t>
      </w:r>
      <w:r w:rsidRPr="00654FBA">
        <w:rPr>
          <w:rFonts w:eastAsiaTheme="minorHAnsi"/>
        </w:rPr>
        <w:tab/>
      </w:r>
      <w:r w:rsidR="00795CCE">
        <w:rPr>
          <w:rFonts w:eastAsiaTheme="minorHAnsi"/>
        </w:rPr>
        <w:t xml:space="preserve">On October 25, 2018, at </w:t>
      </w:r>
      <w:r w:rsidRPr="00654FBA">
        <w:rPr>
          <w:rFonts w:eastAsiaTheme="minorHAnsi"/>
        </w:rPr>
        <w:t>BCS Case No.</w:t>
      </w:r>
      <w:r w:rsidR="00431C7B">
        <w:rPr>
          <w:rFonts w:eastAsiaTheme="minorHAnsi"/>
        </w:rPr>
        <w:t xml:space="preserve"> </w:t>
      </w:r>
      <w:r w:rsidR="00E86118">
        <w:rPr>
          <w:rFonts w:eastAsiaTheme="minorHAnsi"/>
        </w:rPr>
        <w:t>3654947</w:t>
      </w:r>
      <w:r w:rsidRPr="00654FBA">
        <w:rPr>
          <w:rFonts w:eastAsiaTheme="minorHAnsi"/>
        </w:rPr>
        <w:t xml:space="preserve">, BCS </w:t>
      </w:r>
      <w:r w:rsidR="00726CC9" w:rsidRPr="00654FBA">
        <w:rPr>
          <w:rFonts w:eastAsiaTheme="minorHAnsi"/>
        </w:rPr>
        <w:t>d</w:t>
      </w:r>
      <w:r w:rsidR="00795CCE">
        <w:rPr>
          <w:rFonts w:eastAsiaTheme="minorHAnsi"/>
        </w:rPr>
        <w:t>ismissed</w:t>
      </w:r>
      <w:r w:rsidR="00726CC9" w:rsidRPr="00654FBA">
        <w:rPr>
          <w:rFonts w:eastAsiaTheme="minorHAnsi"/>
        </w:rPr>
        <w:t xml:space="preserve"> Complainant’s informal complaint.</w:t>
      </w:r>
      <w:r w:rsidR="00010901" w:rsidRPr="00654FBA">
        <w:rPr>
          <w:rFonts w:eastAsiaTheme="minorHAnsi"/>
        </w:rPr>
        <w:t xml:space="preserve"> (PGW Exhibit 3).</w:t>
      </w:r>
    </w:p>
    <w:p w14:paraId="40BC5895" w14:textId="77777777" w:rsidR="000D6F0B" w:rsidRPr="00654FBA" w:rsidRDefault="000D6F0B" w:rsidP="000D6F0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49F1543" w14:textId="2C24B495" w:rsidR="00E52D21" w:rsidRPr="00654FBA" w:rsidRDefault="000D6F0B" w:rsidP="00726CC9">
      <w:pPr>
        <w:pStyle w:val="Style"/>
        <w:widowControl/>
        <w:tabs>
          <w:tab w:val="left" w:pos="-720"/>
          <w:tab w:val="left" w:pos="1440"/>
          <w:tab w:val="left" w:pos="2160"/>
        </w:tabs>
        <w:suppressAutoHyphens/>
        <w:adjustRightInd/>
        <w:spacing w:line="360" w:lineRule="auto"/>
        <w:rPr>
          <w:spacing w:val="-3"/>
        </w:rPr>
      </w:pPr>
      <w:r w:rsidRPr="00654FBA">
        <w:rPr>
          <w:spacing w:val="-3"/>
        </w:rPr>
        <w:tab/>
      </w:r>
      <w:r w:rsidR="003945BC" w:rsidRPr="00654FBA">
        <w:rPr>
          <w:spacing w:val="-3"/>
        </w:rPr>
        <w:t>1</w:t>
      </w:r>
      <w:r w:rsidR="00631D02">
        <w:rPr>
          <w:spacing w:val="-3"/>
        </w:rPr>
        <w:t>1</w:t>
      </w:r>
      <w:r w:rsidRPr="00654FBA">
        <w:rPr>
          <w:spacing w:val="-3"/>
        </w:rPr>
        <w:t xml:space="preserve">. </w:t>
      </w:r>
      <w:r w:rsidRPr="00654FBA">
        <w:rPr>
          <w:spacing w:val="-3"/>
        </w:rPr>
        <w:tab/>
      </w:r>
      <w:r w:rsidR="00726CC9" w:rsidRPr="00654FBA">
        <w:rPr>
          <w:spacing w:val="-3"/>
        </w:rPr>
        <w:t>On</w:t>
      </w:r>
      <w:r w:rsidR="00795CCE">
        <w:rPr>
          <w:spacing w:val="-3"/>
        </w:rPr>
        <w:t xml:space="preserve"> November 7</w:t>
      </w:r>
      <w:r w:rsidR="00726CC9" w:rsidRPr="00654FBA">
        <w:rPr>
          <w:spacing w:val="-3"/>
        </w:rPr>
        <w:t>, 2018, Complainant filed the instant formal complaint.</w:t>
      </w:r>
    </w:p>
    <w:p w14:paraId="35FF699B" w14:textId="77777777" w:rsidR="00777969" w:rsidRPr="00654FBA" w:rsidRDefault="00777969" w:rsidP="00E52D21">
      <w:pPr>
        <w:pStyle w:val="Style"/>
        <w:widowControl/>
        <w:autoSpaceDE/>
        <w:autoSpaceDN/>
        <w:adjustRightInd/>
        <w:spacing w:line="360" w:lineRule="auto"/>
        <w:rPr>
          <w:rFonts w:eastAsiaTheme="minorBidi"/>
        </w:rPr>
      </w:pPr>
    </w:p>
    <w:p w14:paraId="12532ECE" w14:textId="3B825E1B" w:rsidR="00795CCE" w:rsidRDefault="00952192" w:rsidP="00795CCE">
      <w:pPr>
        <w:pStyle w:val="ListNumber"/>
        <w:numPr>
          <w:ilvl w:val="0"/>
          <w:numId w:val="0"/>
        </w:numPr>
        <w:tabs>
          <w:tab w:val="left" w:pos="1440"/>
          <w:tab w:val="left" w:pos="2160"/>
        </w:tabs>
        <w:spacing w:line="360" w:lineRule="auto"/>
        <w:ind w:left="720" w:firstLine="720"/>
        <w:jc w:val="left"/>
        <w:rPr>
          <w:rFonts w:eastAsiaTheme="minorBidi"/>
        </w:rPr>
      </w:pPr>
      <w:r w:rsidRPr="00654FBA">
        <w:rPr>
          <w:rFonts w:eastAsiaTheme="minorBidi"/>
        </w:rPr>
        <w:lastRenderedPageBreak/>
        <w:t>1</w:t>
      </w:r>
      <w:r w:rsidR="00631D02">
        <w:rPr>
          <w:rFonts w:eastAsiaTheme="minorBidi"/>
        </w:rPr>
        <w:t>2</w:t>
      </w:r>
      <w:r w:rsidR="00E52D21" w:rsidRPr="00654FBA">
        <w:rPr>
          <w:rFonts w:eastAsiaTheme="minorBidi"/>
        </w:rPr>
        <w:t xml:space="preserve">.       </w:t>
      </w:r>
      <w:r w:rsidR="002F5D3E">
        <w:rPr>
          <w:rFonts w:eastAsiaTheme="minorBidi"/>
        </w:rPr>
        <w:t>Ms. Gray</w:t>
      </w:r>
      <w:r w:rsidR="00E42263" w:rsidRPr="00654FBA">
        <w:rPr>
          <w:rFonts w:eastAsiaTheme="minorBidi"/>
        </w:rPr>
        <w:t xml:space="preserve">’s </w:t>
      </w:r>
      <w:r w:rsidR="00AE45C1" w:rsidRPr="00654FBA">
        <w:rPr>
          <w:rFonts w:eastAsiaTheme="minorBidi"/>
        </w:rPr>
        <w:t xml:space="preserve">current </w:t>
      </w:r>
      <w:r w:rsidR="00DC2700" w:rsidRPr="00654FBA">
        <w:rPr>
          <w:rFonts w:eastAsiaTheme="minorBidi"/>
        </w:rPr>
        <w:t>household size is t</w:t>
      </w:r>
      <w:r w:rsidR="00795CCE">
        <w:rPr>
          <w:rFonts w:eastAsiaTheme="minorBidi"/>
        </w:rPr>
        <w:t>wo</w:t>
      </w:r>
      <w:r w:rsidR="00DC2700" w:rsidRPr="00654FBA">
        <w:rPr>
          <w:rFonts w:eastAsiaTheme="minorBidi"/>
        </w:rPr>
        <w:t xml:space="preserve"> adults, including herself</w:t>
      </w:r>
      <w:r w:rsidR="00795CCE">
        <w:rPr>
          <w:rFonts w:eastAsiaTheme="minorBidi"/>
        </w:rPr>
        <w:t xml:space="preserve"> and </w:t>
      </w:r>
      <w:r w:rsidR="00DC2700" w:rsidRPr="00654FBA">
        <w:rPr>
          <w:rFonts w:eastAsiaTheme="minorBidi"/>
        </w:rPr>
        <w:t xml:space="preserve">her </w:t>
      </w:r>
    </w:p>
    <w:p w14:paraId="1EE0DC3B" w14:textId="4090E94E" w:rsidR="00952192" w:rsidRPr="00654FBA" w:rsidRDefault="00DC2700" w:rsidP="00795CCE">
      <w:pPr>
        <w:pStyle w:val="ListNumber"/>
        <w:numPr>
          <w:ilvl w:val="0"/>
          <w:numId w:val="0"/>
        </w:numPr>
        <w:tabs>
          <w:tab w:val="left" w:pos="1440"/>
          <w:tab w:val="left" w:pos="2160"/>
        </w:tabs>
        <w:spacing w:line="360" w:lineRule="auto"/>
        <w:jc w:val="left"/>
        <w:rPr>
          <w:rFonts w:eastAsiaTheme="minorBidi"/>
        </w:rPr>
      </w:pPr>
      <w:r w:rsidRPr="00654FBA">
        <w:rPr>
          <w:rFonts w:eastAsiaTheme="minorBidi"/>
        </w:rPr>
        <w:t xml:space="preserve">adult son. </w:t>
      </w:r>
    </w:p>
    <w:p w14:paraId="336D7AE2" w14:textId="77777777" w:rsidR="00B95ACE" w:rsidRPr="00654FBA" w:rsidRDefault="00B95ACE" w:rsidP="00DC2700">
      <w:pPr>
        <w:pStyle w:val="ListNumber"/>
        <w:numPr>
          <w:ilvl w:val="0"/>
          <w:numId w:val="0"/>
        </w:numPr>
        <w:tabs>
          <w:tab w:val="left" w:pos="1440"/>
          <w:tab w:val="left" w:pos="2160"/>
        </w:tabs>
        <w:spacing w:line="360" w:lineRule="auto"/>
        <w:jc w:val="left"/>
        <w:rPr>
          <w:rFonts w:eastAsiaTheme="minorBidi"/>
        </w:rPr>
      </w:pPr>
    </w:p>
    <w:p w14:paraId="0A0FF377" w14:textId="1B3A278A" w:rsidR="00B95ACE" w:rsidRPr="00654FBA" w:rsidRDefault="00DC2700" w:rsidP="006461B6">
      <w:pPr>
        <w:pStyle w:val="ListNumber"/>
        <w:numPr>
          <w:ilvl w:val="0"/>
          <w:numId w:val="0"/>
        </w:numPr>
        <w:tabs>
          <w:tab w:val="left" w:pos="1440"/>
          <w:tab w:val="left" w:pos="2160"/>
        </w:tabs>
        <w:spacing w:line="360" w:lineRule="auto"/>
        <w:jc w:val="left"/>
        <w:rPr>
          <w:rFonts w:eastAsiaTheme="minorBidi"/>
        </w:rPr>
      </w:pPr>
      <w:r w:rsidRPr="00654FBA">
        <w:rPr>
          <w:rFonts w:eastAsiaTheme="minorBidi"/>
        </w:rPr>
        <w:tab/>
      </w:r>
      <w:r w:rsidR="00631D02">
        <w:rPr>
          <w:rFonts w:eastAsiaTheme="minorBidi"/>
        </w:rPr>
        <w:t>13</w:t>
      </w:r>
      <w:r w:rsidRPr="00654FBA">
        <w:rPr>
          <w:rFonts w:eastAsiaTheme="minorBidi"/>
        </w:rPr>
        <w:t>.</w:t>
      </w:r>
      <w:r w:rsidRPr="00654FBA">
        <w:rPr>
          <w:rFonts w:eastAsiaTheme="minorBidi"/>
        </w:rPr>
        <w:tab/>
      </w:r>
      <w:r w:rsidR="002F5D3E">
        <w:rPr>
          <w:rFonts w:eastAsiaTheme="minorBidi"/>
        </w:rPr>
        <w:t>Ms. Gray</w:t>
      </w:r>
      <w:r w:rsidRPr="00654FBA">
        <w:rPr>
          <w:rFonts w:eastAsiaTheme="minorBidi"/>
        </w:rPr>
        <w:t xml:space="preserve">’s current gross monthly household income is </w:t>
      </w:r>
      <w:r w:rsidR="00795CCE">
        <w:rPr>
          <w:rFonts w:eastAsiaTheme="minorBidi"/>
        </w:rPr>
        <w:t>$2,833</w:t>
      </w:r>
      <w:r w:rsidRPr="00654FBA">
        <w:rPr>
          <w:rFonts w:eastAsiaTheme="minorBidi"/>
        </w:rPr>
        <w:t>,</w:t>
      </w:r>
    </w:p>
    <w:p w14:paraId="790E30E5" w14:textId="399B1B88" w:rsidR="009D320A" w:rsidRPr="00654FBA" w:rsidRDefault="00952192" w:rsidP="006461B6">
      <w:pPr>
        <w:pStyle w:val="ListNumber"/>
        <w:numPr>
          <w:ilvl w:val="0"/>
          <w:numId w:val="0"/>
        </w:numPr>
        <w:tabs>
          <w:tab w:val="left" w:pos="1440"/>
          <w:tab w:val="left" w:pos="2160"/>
        </w:tabs>
        <w:spacing w:line="360" w:lineRule="auto"/>
        <w:jc w:val="left"/>
        <w:rPr>
          <w:rFonts w:eastAsiaTheme="minorBidi"/>
        </w:rPr>
      </w:pPr>
      <w:r w:rsidRPr="00654FBA">
        <w:rPr>
          <w:rFonts w:eastAsiaTheme="minorBidi"/>
        </w:rPr>
        <w:t xml:space="preserve">which </w:t>
      </w:r>
      <w:r w:rsidR="005969D6" w:rsidRPr="00654FBA">
        <w:rPr>
          <w:rFonts w:eastAsiaTheme="minorBidi"/>
        </w:rPr>
        <w:t xml:space="preserve">she receives </w:t>
      </w:r>
      <w:r w:rsidR="00B95ACE" w:rsidRPr="00654FBA">
        <w:rPr>
          <w:rFonts w:eastAsiaTheme="minorBidi"/>
        </w:rPr>
        <w:t>in wages from her employment</w:t>
      </w:r>
      <w:r w:rsidR="00DC2700" w:rsidRPr="00654FBA">
        <w:rPr>
          <w:rFonts w:eastAsiaTheme="minorBidi"/>
        </w:rPr>
        <w:t>;</w:t>
      </w:r>
      <w:r w:rsidR="00795CCE">
        <w:rPr>
          <w:rFonts w:eastAsiaTheme="minorBidi"/>
        </w:rPr>
        <w:t xml:space="preserve"> her adult son is a student and does not receive any income.</w:t>
      </w:r>
    </w:p>
    <w:p w14:paraId="3076B87B" w14:textId="77777777" w:rsidR="00F75358" w:rsidRPr="00654FBA" w:rsidRDefault="00F75358" w:rsidP="00DC2700">
      <w:pPr>
        <w:pStyle w:val="ListNumber"/>
        <w:numPr>
          <w:ilvl w:val="0"/>
          <w:numId w:val="0"/>
        </w:numPr>
        <w:spacing w:line="360" w:lineRule="auto"/>
        <w:jc w:val="left"/>
        <w:rPr>
          <w:rFonts w:eastAsiaTheme="minorBidi"/>
        </w:rPr>
      </w:pPr>
    </w:p>
    <w:p w14:paraId="559000C1" w14:textId="3D668610" w:rsidR="00726CC9" w:rsidRPr="00654FBA" w:rsidRDefault="00952192" w:rsidP="003945BC">
      <w:pPr>
        <w:pStyle w:val="ListNumber"/>
        <w:numPr>
          <w:ilvl w:val="0"/>
          <w:numId w:val="0"/>
        </w:numPr>
        <w:spacing w:line="360" w:lineRule="auto"/>
        <w:ind w:left="1440"/>
        <w:jc w:val="left"/>
        <w:rPr>
          <w:rFonts w:eastAsiaTheme="minorBidi"/>
        </w:rPr>
      </w:pPr>
      <w:r w:rsidRPr="00654FBA">
        <w:rPr>
          <w:rFonts w:eastAsiaTheme="minorBidi"/>
        </w:rPr>
        <w:t>1</w:t>
      </w:r>
      <w:r w:rsidR="00631D02">
        <w:rPr>
          <w:rFonts w:eastAsiaTheme="minorBidi"/>
        </w:rPr>
        <w:t>4</w:t>
      </w:r>
      <w:r w:rsidR="003945BC" w:rsidRPr="00654FBA">
        <w:rPr>
          <w:rFonts w:eastAsiaTheme="minorBidi"/>
        </w:rPr>
        <w:t>.</w:t>
      </w:r>
      <w:r w:rsidR="004E0315" w:rsidRPr="00654FBA">
        <w:rPr>
          <w:rFonts w:eastAsiaTheme="minorBidi"/>
        </w:rPr>
        <w:t xml:space="preserve"> </w:t>
      </w:r>
      <w:r w:rsidR="004E0315" w:rsidRPr="00654FBA">
        <w:rPr>
          <w:rFonts w:eastAsiaTheme="minorBidi"/>
        </w:rPr>
        <w:tab/>
      </w:r>
      <w:r w:rsidR="002F5D3E">
        <w:rPr>
          <w:rFonts w:eastAsiaTheme="minorBidi"/>
        </w:rPr>
        <w:t>Ms. Gray</w:t>
      </w:r>
      <w:r w:rsidR="00E42263" w:rsidRPr="00654FBA">
        <w:rPr>
          <w:rFonts w:eastAsiaTheme="minorBidi"/>
        </w:rPr>
        <w:t>’s outstanding</w:t>
      </w:r>
      <w:r w:rsidR="00726CC9" w:rsidRPr="00654FBA">
        <w:rPr>
          <w:rFonts w:eastAsiaTheme="minorBidi"/>
        </w:rPr>
        <w:t xml:space="preserve"> </w:t>
      </w:r>
      <w:r w:rsidR="00E42263" w:rsidRPr="00654FBA">
        <w:rPr>
          <w:rFonts w:eastAsiaTheme="minorBidi"/>
        </w:rPr>
        <w:t>balance as of the date</w:t>
      </w:r>
      <w:r w:rsidR="00726CC9" w:rsidRPr="00654FBA">
        <w:rPr>
          <w:rFonts w:eastAsiaTheme="minorBidi"/>
        </w:rPr>
        <w:t xml:space="preserve"> </w:t>
      </w:r>
      <w:r w:rsidR="00E42263" w:rsidRPr="00654FBA">
        <w:rPr>
          <w:rFonts w:eastAsiaTheme="minorBidi"/>
        </w:rPr>
        <w:t xml:space="preserve">of the </w:t>
      </w:r>
      <w:r w:rsidR="00A64C65" w:rsidRPr="00654FBA">
        <w:rPr>
          <w:rFonts w:eastAsiaTheme="minorBidi"/>
        </w:rPr>
        <w:t xml:space="preserve">initial </w:t>
      </w:r>
      <w:r w:rsidR="004E0315" w:rsidRPr="00654FBA">
        <w:rPr>
          <w:rFonts w:eastAsiaTheme="minorBidi"/>
        </w:rPr>
        <w:t>h</w:t>
      </w:r>
      <w:r w:rsidR="00E42263" w:rsidRPr="00654FBA">
        <w:rPr>
          <w:rFonts w:eastAsiaTheme="minorBidi"/>
        </w:rPr>
        <w:t xml:space="preserve">earing </w:t>
      </w:r>
      <w:r w:rsidR="00431C7B">
        <w:rPr>
          <w:rFonts w:eastAsiaTheme="minorBidi"/>
        </w:rPr>
        <w:t>wa</w:t>
      </w:r>
      <w:r w:rsidR="004D7577" w:rsidRPr="00654FBA">
        <w:rPr>
          <w:rFonts w:eastAsiaTheme="minorBidi"/>
        </w:rPr>
        <w:t>s</w:t>
      </w:r>
      <w:r w:rsidR="00E42263" w:rsidRPr="00654FBA">
        <w:rPr>
          <w:rFonts w:eastAsiaTheme="minorBidi"/>
        </w:rPr>
        <w:t xml:space="preserve"> </w:t>
      </w:r>
    </w:p>
    <w:p w14:paraId="1079BD30" w14:textId="6437AF07" w:rsidR="00E42263" w:rsidRPr="00654FBA" w:rsidRDefault="00E42263" w:rsidP="00726CC9">
      <w:pPr>
        <w:pStyle w:val="ListNumber"/>
        <w:numPr>
          <w:ilvl w:val="0"/>
          <w:numId w:val="0"/>
        </w:numPr>
        <w:spacing w:line="360" w:lineRule="auto"/>
        <w:jc w:val="left"/>
        <w:rPr>
          <w:rFonts w:eastAsiaTheme="minorBidi"/>
        </w:rPr>
      </w:pPr>
      <w:r w:rsidRPr="00654FBA">
        <w:rPr>
          <w:rFonts w:eastAsiaTheme="minorBidi"/>
        </w:rPr>
        <w:t>$</w:t>
      </w:r>
      <w:r w:rsidR="00795CCE">
        <w:rPr>
          <w:rFonts w:eastAsiaTheme="minorBidi"/>
        </w:rPr>
        <w:t xml:space="preserve">4,310.44. </w:t>
      </w:r>
      <w:r w:rsidRPr="00654FBA">
        <w:rPr>
          <w:rFonts w:eastAsiaTheme="minorBidi"/>
        </w:rPr>
        <w:t>(</w:t>
      </w:r>
      <w:r w:rsidR="00E11BE8" w:rsidRPr="00654FBA">
        <w:rPr>
          <w:rFonts w:eastAsiaTheme="minorBidi"/>
        </w:rPr>
        <w:t xml:space="preserve">PGW </w:t>
      </w:r>
      <w:r w:rsidRPr="00654FBA">
        <w:rPr>
          <w:rFonts w:eastAsiaTheme="minorBidi"/>
        </w:rPr>
        <w:t>Exhibit</w:t>
      </w:r>
      <w:r w:rsidR="00E11BE8" w:rsidRPr="00654FBA">
        <w:rPr>
          <w:rFonts w:eastAsiaTheme="minorBidi"/>
        </w:rPr>
        <w:t xml:space="preserve"> </w:t>
      </w:r>
      <w:r w:rsidR="007D5AA4" w:rsidRPr="00654FBA">
        <w:rPr>
          <w:rFonts w:eastAsiaTheme="minorBidi"/>
        </w:rPr>
        <w:t>1</w:t>
      </w:r>
      <w:r w:rsidRPr="00654FBA">
        <w:rPr>
          <w:rFonts w:eastAsiaTheme="minorBidi"/>
        </w:rPr>
        <w:t>).</w:t>
      </w:r>
    </w:p>
    <w:p w14:paraId="295BA272" w14:textId="77777777" w:rsidR="00CA7350" w:rsidRPr="00654FBA" w:rsidRDefault="00CA7350" w:rsidP="000D6F0B">
      <w:pPr>
        <w:pStyle w:val="ListNumber"/>
        <w:numPr>
          <w:ilvl w:val="0"/>
          <w:numId w:val="0"/>
        </w:numPr>
        <w:spacing w:line="360" w:lineRule="auto"/>
        <w:jc w:val="left"/>
        <w:rPr>
          <w:rFonts w:eastAsiaTheme="minorBidi"/>
        </w:rPr>
      </w:pPr>
    </w:p>
    <w:p w14:paraId="3B73B83F" w14:textId="77777777" w:rsidR="00BD5884" w:rsidRPr="00654FBA" w:rsidRDefault="00BD5884" w:rsidP="00163A48">
      <w:pPr>
        <w:tabs>
          <w:tab w:val="left" w:pos="-72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654FB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DISCUSSION</w:t>
      </w:r>
    </w:p>
    <w:p w14:paraId="617011A4" w14:textId="77777777" w:rsidR="00BD5884" w:rsidRPr="00654FBA" w:rsidRDefault="00BD5884" w:rsidP="00163A48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2361A8BB" w14:textId="23F9C56F" w:rsidR="006A0FEE" w:rsidRPr="00654FBA" w:rsidRDefault="00BD5884" w:rsidP="00163A4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4FBA">
        <w:rPr>
          <w:rFonts w:ascii="Times New Roman" w:hAnsi="Times New Roman" w:cs="Times New Roman"/>
        </w:rPr>
        <w:t xml:space="preserve">Section 332(a) of the Public Utility Code provides that the </w:t>
      </w:r>
      <w:r w:rsidR="00C108BE" w:rsidRPr="00654FBA">
        <w:rPr>
          <w:rFonts w:ascii="Times New Roman" w:hAnsi="Times New Roman" w:cs="Times New Roman"/>
        </w:rPr>
        <w:t xml:space="preserve">party </w:t>
      </w:r>
      <w:r w:rsidRPr="00654FBA">
        <w:rPr>
          <w:rFonts w:ascii="Times New Roman" w:hAnsi="Times New Roman" w:cs="Times New Roman"/>
        </w:rPr>
        <w:t xml:space="preserve">seeking relief from the Commission has the burden of proof.  66 Pa.C.S. § 332(a).  "Burden of proof" means a duty to establish a fact by a preponderance of the evidence, or evidence more convincing, by even the smallest degree, than the evidence presented by the other </w:t>
      </w:r>
      <w:r w:rsidR="001A4816" w:rsidRPr="00654FBA">
        <w:rPr>
          <w:rFonts w:ascii="Times New Roman" w:hAnsi="Times New Roman" w:cs="Times New Roman"/>
        </w:rPr>
        <w:t>party</w:t>
      </w:r>
      <w:r w:rsidRPr="00654FBA">
        <w:rPr>
          <w:rFonts w:ascii="Times New Roman" w:hAnsi="Times New Roman" w:cs="Times New Roman"/>
        </w:rPr>
        <w:t xml:space="preserve">.  </w:t>
      </w:r>
      <w:r w:rsidRPr="00654FBA">
        <w:rPr>
          <w:rFonts w:ascii="Times New Roman" w:hAnsi="Times New Roman" w:cs="Times New Roman"/>
          <w:i/>
        </w:rPr>
        <w:t>Se-Ling Hosiery v.</w:t>
      </w:r>
      <w:r w:rsidRPr="00654FBA">
        <w:rPr>
          <w:rFonts w:ascii="Times New Roman" w:hAnsi="Times New Roman" w:cs="Times New Roman"/>
          <w:u w:val="single"/>
        </w:rPr>
        <w:t xml:space="preserve"> </w:t>
      </w:r>
      <w:r w:rsidRPr="00654FBA">
        <w:rPr>
          <w:rFonts w:ascii="Times New Roman" w:hAnsi="Times New Roman" w:cs="Times New Roman"/>
          <w:i/>
        </w:rPr>
        <w:t>Margulies,</w:t>
      </w:r>
      <w:r w:rsidRPr="00654FBA">
        <w:rPr>
          <w:rFonts w:ascii="Times New Roman" w:hAnsi="Times New Roman" w:cs="Times New Roman"/>
        </w:rPr>
        <w:t xml:space="preserve"> 70 A.2d 854 (</w:t>
      </w:r>
      <w:r w:rsidR="0066021C">
        <w:rPr>
          <w:rFonts w:ascii="Times New Roman" w:hAnsi="Times New Roman" w:cs="Times New Roman"/>
        </w:rPr>
        <w:t xml:space="preserve">Pa. </w:t>
      </w:r>
      <w:r w:rsidRPr="00654FBA">
        <w:rPr>
          <w:rFonts w:ascii="Times New Roman" w:hAnsi="Times New Roman" w:cs="Times New Roman"/>
        </w:rPr>
        <w:t>1950)</w:t>
      </w:r>
      <w:r w:rsidR="006A0FEE" w:rsidRPr="00654FBA">
        <w:rPr>
          <w:rFonts w:ascii="Times New Roman" w:hAnsi="Times New Roman" w:cs="Times New Roman"/>
        </w:rPr>
        <w:t xml:space="preserve">; </w:t>
      </w:r>
      <w:hyperlink r:id="rId8" w:history="1">
        <w:r w:rsidR="006A0FEE" w:rsidRPr="00654FBA">
          <w:rPr>
            <w:rStyle w:val="Hyperlink"/>
            <w:rFonts w:ascii="Times New Roman" w:hAnsi="Times New Roman" w:cs="Times New Roman"/>
            <w:i/>
            <w:color w:val="auto"/>
            <w:u w:val="none"/>
          </w:rPr>
          <w:t xml:space="preserve">Samuel J. Lansberry, Inc. v. Pa. Pub. Util. Comm'n, </w:t>
        </w:r>
        <w:r w:rsidR="006A0FEE" w:rsidRPr="00654FBA">
          <w:rPr>
            <w:rStyle w:val="Hyperlink"/>
            <w:rFonts w:ascii="Times New Roman" w:hAnsi="Times New Roman" w:cs="Times New Roman"/>
            <w:color w:val="auto"/>
            <w:u w:val="none"/>
          </w:rPr>
          <w:t>578 A.2d 600 (Pa.Cmwlth. 1990)</w:t>
        </w:r>
      </w:hyperlink>
      <w:r w:rsidR="006A0FEE" w:rsidRPr="00654FBA">
        <w:rPr>
          <w:rFonts w:ascii="Times New Roman" w:hAnsi="Times New Roman" w:cs="Times New Roman"/>
        </w:rPr>
        <w:t xml:space="preserve">.  </w:t>
      </w:r>
      <w:r w:rsidR="006A0FEE" w:rsidRPr="00654FBA">
        <w:rPr>
          <w:rFonts w:ascii="Times New Roman" w:hAnsi="Times New Roman" w:cs="Times New Roman"/>
          <w:color w:val="212121"/>
        </w:rPr>
        <w:t xml:space="preserve"> </w:t>
      </w:r>
      <w:r w:rsidR="006A0FEE" w:rsidRPr="00654FBA">
        <w:rPr>
          <w:rFonts w:ascii="Times New Roman" w:hAnsi="Times New Roman" w:cs="Times New Roman"/>
        </w:rPr>
        <w:t xml:space="preserve">In addition, the Commission's decision must be supported by “substantial evidence,” which consists of evidence that a reasonable mind might accept as adequate to support a conclusion.   A mere “trace of evidence or a suspicion of the existence of a fact” is insufficient. </w:t>
      </w:r>
      <w:hyperlink r:id="rId9" w:history="1">
        <w:r w:rsidR="006A0FEE" w:rsidRPr="00654FBA">
          <w:rPr>
            <w:rFonts w:ascii="Times New Roman" w:hAnsi="Times New Roman" w:cs="Times New Roman"/>
            <w:i/>
            <w:iCs/>
          </w:rPr>
          <w:t>Norfolk and Western Railway Co. v. Pa. Pub. Util. Comm'n,</w:t>
        </w:r>
        <w:r w:rsidR="006A0FEE" w:rsidRPr="00654FBA">
          <w:rPr>
            <w:rFonts w:ascii="Times New Roman" w:hAnsi="Times New Roman" w:cs="Times New Roman"/>
          </w:rPr>
          <w:t xml:space="preserve"> 413 A.2d 1037 (Pa.Cmwlth. 1980)</w:t>
        </w:r>
      </w:hyperlink>
      <w:r w:rsidR="006A0FEE" w:rsidRPr="00654FBA">
        <w:rPr>
          <w:rFonts w:ascii="Times New Roman" w:hAnsi="Times New Roman" w:cs="Times New Roman"/>
        </w:rPr>
        <w:t>.</w:t>
      </w:r>
    </w:p>
    <w:p w14:paraId="7492D3D7" w14:textId="77777777" w:rsidR="00D179BD" w:rsidRPr="00654FBA" w:rsidRDefault="00D179BD" w:rsidP="009C67B9">
      <w:pPr>
        <w:pStyle w:val="ParaTab1"/>
        <w:tabs>
          <w:tab w:val="left" w:pos="2070"/>
          <w:tab w:val="left" w:pos="2160"/>
        </w:tabs>
        <w:spacing w:line="360" w:lineRule="auto"/>
        <w:rPr>
          <w:rFonts w:ascii="Times New Roman" w:hAnsi="Times New Roman" w:cs="Times New Roman"/>
        </w:rPr>
      </w:pPr>
    </w:p>
    <w:p w14:paraId="3FD5CB01" w14:textId="5F2EFFF0" w:rsidR="00B44CAB" w:rsidRPr="00631D02" w:rsidRDefault="009D3111" w:rsidP="009C67B9">
      <w:pPr>
        <w:pStyle w:val="ParaTab1"/>
        <w:tabs>
          <w:tab w:val="left" w:pos="1440"/>
          <w:tab w:val="left" w:pos="1530"/>
          <w:tab w:val="left" w:pos="1620"/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4FBA">
        <w:rPr>
          <w:rFonts w:ascii="Times New Roman" w:hAnsi="Times New Roman" w:cs="Times New Roman"/>
        </w:rPr>
        <w:t xml:space="preserve">In her complaint, </w:t>
      </w:r>
      <w:r w:rsidR="002F5D3E">
        <w:rPr>
          <w:rFonts w:ascii="Times New Roman" w:hAnsi="Times New Roman" w:cs="Times New Roman"/>
        </w:rPr>
        <w:t>Ms. Gray</w:t>
      </w:r>
      <w:r w:rsidRPr="00654FBA">
        <w:rPr>
          <w:rFonts w:ascii="Times New Roman" w:hAnsi="Times New Roman" w:cs="Times New Roman"/>
        </w:rPr>
        <w:t xml:space="preserve"> seeks </w:t>
      </w:r>
      <w:r w:rsidR="00010901" w:rsidRPr="00654FBA">
        <w:rPr>
          <w:rFonts w:ascii="Times New Roman" w:hAnsi="Times New Roman" w:cs="Times New Roman"/>
        </w:rPr>
        <w:t>a second</w:t>
      </w:r>
      <w:r w:rsidR="000B43A7" w:rsidRPr="00654FBA">
        <w:rPr>
          <w:rFonts w:ascii="Times New Roman" w:hAnsi="Times New Roman" w:cs="Times New Roman"/>
        </w:rPr>
        <w:t xml:space="preserve"> Commission-issued </w:t>
      </w:r>
      <w:r w:rsidR="004229E2" w:rsidRPr="00654FBA">
        <w:rPr>
          <w:rFonts w:ascii="Times New Roman" w:hAnsi="Times New Roman" w:cs="Times New Roman"/>
        </w:rPr>
        <w:t>payment arrangement</w:t>
      </w:r>
      <w:r w:rsidR="00C108BE" w:rsidRPr="00654FBA">
        <w:rPr>
          <w:rFonts w:ascii="Times New Roman" w:hAnsi="Times New Roman" w:cs="Times New Roman"/>
        </w:rPr>
        <w:t xml:space="preserve">.  </w:t>
      </w:r>
      <w:r w:rsidR="00CD55EA" w:rsidRPr="00654FBA">
        <w:rPr>
          <w:rFonts w:ascii="Times New Roman" w:hAnsi="Times New Roman" w:cs="Times New Roman"/>
        </w:rPr>
        <w:t xml:space="preserve">Therefore, as the </w:t>
      </w:r>
      <w:r w:rsidR="00C108BE" w:rsidRPr="00654FBA">
        <w:rPr>
          <w:rFonts w:ascii="Times New Roman" w:hAnsi="Times New Roman" w:cs="Times New Roman"/>
        </w:rPr>
        <w:t xml:space="preserve">party seeking relief, </w:t>
      </w:r>
      <w:r w:rsidR="002F5D3E">
        <w:rPr>
          <w:rFonts w:ascii="Times New Roman" w:hAnsi="Times New Roman" w:cs="Times New Roman"/>
        </w:rPr>
        <w:t>Ms. Gray</w:t>
      </w:r>
      <w:r w:rsidR="00CD55EA" w:rsidRPr="00654FBA">
        <w:rPr>
          <w:rFonts w:ascii="Times New Roman" w:hAnsi="Times New Roman" w:cs="Times New Roman"/>
        </w:rPr>
        <w:t xml:space="preserve"> bears the burden of proof.</w:t>
      </w:r>
      <w:r w:rsidR="0039009A" w:rsidRPr="00654FBA">
        <w:rPr>
          <w:rFonts w:ascii="Times New Roman" w:hAnsi="Times New Roman" w:cs="Times New Roman"/>
        </w:rPr>
        <w:t xml:space="preserve"> </w:t>
      </w:r>
      <w:r w:rsidR="00374BBF" w:rsidRPr="00654FBA">
        <w:rPr>
          <w:rFonts w:ascii="Times New Roman" w:hAnsi="Times New Roman" w:cs="Times New Roman"/>
        </w:rPr>
        <w:t xml:space="preserve"> </w:t>
      </w:r>
      <w:r w:rsidR="00B44CAB" w:rsidRPr="00654FBA">
        <w:rPr>
          <w:rFonts w:ascii="Times New Roman" w:hAnsi="Times New Roman" w:cs="Times New Roman"/>
        </w:rPr>
        <w:t xml:space="preserve">Complainant does not dispute that she defaulted on </w:t>
      </w:r>
      <w:r w:rsidR="00631D02">
        <w:rPr>
          <w:rFonts w:ascii="Times New Roman" w:hAnsi="Times New Roman" w:cs="Times New Roman"/>
        </w:rPr>
        <w:t>thirteen</w:t>
      </w:r>
      <w:r w:rsidR="00B44CAB" w:rsidRPr="00654FBA">
        <w:rPr>
          <w:rFonts w:ascii="Times New Roman" w:hAnsi="Times New Roman" w:cs="Times New Roman"/>
        </w:rPr>
        <w:t xml:space="preserve"> Company-issued </w:t>
      </w:r>
      <w:r w:rsidR="007F14EA" w:rsidRPr="00654FBA">
        <w:rPr>
          <w:rFonts w:ascii="Times New Roman" w:hAnsi="Times New Roman" w:cs="Times New Roman"/>
        </w:rPr>
        <w:t>payment arrangements</w:t>
      </w:r>
      <w:r w:rsidR="00B44CAB" w:rsidRPr="00654FBA">
        <w:rPr>
          <w:rFonts w:ascii="Times New Roman" w:hAnsi="Times New Roman" w:cs="Times New Roman"/>
        </w:rPr>
        <w:t xml:space="preserve"> and the </w:t>
      </w:r>
      <w:r w:rsidR="00DD3334" w:rsidRPr="00654FBA">
        <w:rPr>
          <w:rFonts w:ascii="Times New Roman" w:hAnsi="Times New Roman" w:cs="Times New Roman"/>
        </w:rPr>
        <w:t xml:space="preserve">Commission-issued </w:t>
      </w:r>
      <w:r w:rsidR="007F14EA" w:rsidRPr="00654FBA">
        <w:rPr>
          <w:rFonts w:ascii="Times New Roman" w:hAnsi="Times New Roman" w:cs="Times New Roman"/>
        </w:rPr>
        <w:t xml:space="preserve">payment arrangement </w:t>
      </w:r>
      <w:r w:rsidR="00B44CAB" w:rsidRPr="00654FBA">
        <w:rPr>
          <w:rFonts w:ascii="Times New Roman" w:hAnsi="Times New Roman" w:cs="Times New Roman"/>
        </w:rPr>
        <w:t xml:space="preserve">at </w:t>
      </w:r>
      <w:r w:rsidR="004229E2" w:rsidRPr="00654FBA">
        <w:rPr>
          <w:rFonts w:ascii="Times New Roman" w:hAnsi="Times New Roman" w:cs="Times New Roman"/>
        </w:rPr>
        <w:t xml:space="preserve">BCS </w:t>
      </w:r>
      <w:r w:rsidR="00B44CAB" w:rsidRPr="00654FBA">
        <w:rPr>
          <w:rFonts w:ascii="Times New Roman" w:hAnsi="Times New Roman" w:cs="Times New Roman"/>
        </w:rPr>
        <w:t xml:space="preserve">Case No. </w:t>
      </w:r>
      <w:r w:rsidR="00631D02" w:rsidRPr="00631D02">
        <w:rPr>
          <w:rFonts w:ascii="Times New Roman" w:eastAsiaTheme="minorBidi" w:hAnsi="Times New Roman" w:cs="Times New Roman"/>
        </w:rPr>
        <w:t>3226883</w:t>
      </w:r>
      <w:r w:rsidR="00B44CAB" w:rsidRPr="00631D02">
        <w:rPr>
          <w:rFonts w:ascii="Times New Roman" w:eastAsia="Calibri" w:hAnsi="Times New Roman" w:cs="Times New Roman"/>
        </w:rPr>
        <w:t>.</w:t>
      </w:r>
      <w:r w:rsidR="004D433C">
        <w:rPr>
          <w:rFonts w:ascii="Times New Roman" w:eastAsia="Calibri" w:hAnsi="Times New Roman" w:cs="Times New Roman"/>
        </w:rPr>
        <w:t xml:space="preserve">  Complainant argues that she is now mature enough to understand </w:t>
      </w:r>
      <w:r w:rsidR="0066021C">
        <w:rPr>
          <w:rFonts w:ascii="Times New Roman" w:eastAsia="Calibri" w:hAnsi="Times New Roman" w:cs="Times New Roman"/>
        </w:rPr>
        <w:t xml:space="preserve">that </w:t>
      </w:r>
      <w:r w:rsidR="004D433C">
        <w:rPr>
          <w:rFonts w:ascii="Times New Roman" w:eastAsia="Calibri" w:hAnsi="Times New Roman" w:cs="Times New Roman"/>
        </w:rPr>
        <w:t xml:space="preserve">she cannot neglect payment for </w:t>
      </w:r>
      <w:r w:rsidR="0014785D">
        <w:rPr>
          <w:rFonts w:ascii="Times New Roman" w:eastAsia="Calibri" w:hAnsi="Times New Roman" w:cs="Times New Roman"/>
        </w:rPr>
        <w:t xml:space="preserve">her </w:t>
      </w:r>
      <w:r w:rsidR="002E2669">
        <w:rPr>
          <w:rFonts w:ascii="Times New Roman" w:eastAsia="Calibri" w:hAnsi="Times New Roman" w:cs="Times New Roman"/>
        </w:rPr>
        <w:t xml:space="preserve">utility </w:t>
      </w:r>
      <w:r w:rsidR="004D433C">
        <w:rPr>
          <w:rFonts w:ascii="Times New Roman" w:eastAsia="Calibri" w:hAnsi="Times New Roman" w:cs="Times New Roman"/>
        </w:rPr>
        <w:t>service.</w:t>
      </w:r>
    </w:p>
    <w:p w14:paraId="07D9AE6C" w14:textId="77777777" w:rsidR="00056A67" w:rsidRPr="00654FBA" w:rsidRDefault="00056A67" w:rsidP="00056A67">
      <w:pPr>
        <w:pStyle w:val="ParaTab1"/>
        <w:tabs>
          <w:tab w:val="left" w:pos="1440"/>
          <w:tab w:val="left" w:pos="2070"/>
        </w:tabs>
        <w:spacing w:line="360" w:lineRule="auto"/>
        <w:ind w:firstLine="0"/>
        <w:rPr>
          <w:rFonts w:ascii="Times New Roman" w:hAnsi="Times New Roman" w:cs="Times New Roman"/>
          <w:color w:val="000000" w:themeColor="text1"/>
        </w:rPr>
      </w:pPr>
    </w:p>
    <w:p w14:paraId="70246931" w14:textId="77777777" w:rsidR="00056A67" w:rsidRPr="00654FBA" w:rsidRDefault="00056A67" w:rsidP="009C67B9">
      <w:pPr>
        <w:pStyle w:val="ParaTab1"/>
        <w:tabs>
          <w:tab w:val="left" w:pos="1440"/>
          <w:tab w:val="left" w:pos="2070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FE46A32" w14:textId="3B7273EE" w:rsidR="00ED66D7" w:rsidRPr="00654FBA" w:rsidRDefault="00CA171D" w:rsidP="009C67B9">
      <w:pPr>
        <w:pStyle w:val="ParaTab1"/>
        <w:tabs>
          <w:tab w:val="left" w:pos="1440"/>
          <w:tab w:val="left" w:pos="2070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654FBA">
        <w:rPr>
          <w:rFonts w:ascii="Times New Roman" w:hAnsi="Times New Roman" w:cs="Times New Roman"/>
          <w:color w:val="000000" w:themeColor="text1"/>
        </w:rPr>
        <w:lastRenderedPageBreak/>
        <w:t>The Responsible Utility Customer Protection Act, 66 Pa.C.S. §§ 1401-141</w:t>
      </w:r>
      <w:r w:rsidR="00631D02">
        <w:rPr>
          <w:rFonts w:ascii="Times New Roman" w:hAnsi="Times New Roman" w:cs="Times New Roman"/>
          <w:color w:val="000000" w:themeColor="text1"/>
        </w:rPr>
        <w:t>9</w:t>
      </w:r>
      <w:r w:rsidR="006F364B" w:rsidRPr="00654FBA">
        <w:rPr>
          <w:rFonts w:ascii="Times New Roman" w:hAnsi="Times New Roman" w:cs="Times New Roman"/>
          <w:color w:val="000000" w:themeColor="text1"/>
        </w:rPr>
        <w:t xml:space="preserve"> (Act)</w:t>
      </w:r>
      <w:r w:rsidRPr="00654FBA">
        <w:rPr>
          <w:rFonts w:ascii="Times New Roman" w:hAnsi="Times New Roman" w:cs="Times New Roman"/>
          <w:color w:val="000000" w:themeColor="text1"/>
        </w:rPr>
        <w:t xml:space="preserve">, </w:t>
      </w:r>
      <w:r w:rsidR="002B5DE0" w:rsidRPr="00654FBA">
        <w:rPr>
          <w:rFonts w:ascii="Times New Roman" w:hAnsi="Times New Roman" w:cs="Times New Roman"/>
          <w:color w:val="000000" w:themeColor="text1"/>
        </w:rPr>
        <w:t xml:space="preserve">applies </w:t>
      </w:r>
      <w:r w:rsidRPr="00654FBA">
        <w:rPr>
          <w:rFonts w:ascii="Times New Roman" w:hAnsi="Times New Roman" w:cs="Times New Roman"/>
          <w:color w:val="000000" w:themeColor="text1"/>
        </w:rPr>
        <w:t>to complain</w:t>
      </w:r>
      <w:r w:rsidR="00B60DAD" w:rsidRPr="00654FBA">
        <w:rPr>
          <w:rFonts w:ascii="Times New Roman" w:hAnsi="Times New Roman" w:cs="Times New Roman"/>
          <w:color w:val="000000" w:themeColor="text1"/>
        </w:rPr>
        <w:t>ants</w:t>
      </w:r>
      <w:r w:rsidR="000B43A7" w:rsidRPr="00654FBA">
        <w:rPr>
          <w:rFonts w:ascii="Times New Roman" w:hAnsi="Times New Roman" w:cs="Times New Roman"/>
          <w:color w:val="000000" w:themeColor="text1"/>
        </w:rPr>
        <w:t xml:space="preserve"> </w:t>
      </w:r>
      <w:r w:rsidRPr="00654FBA">
        <w:rPr>
          <w:rFonts w:ascii="Times New Roman" w:hAnsi="Times New Roman" w:cs="Times New Roman"/>
          <w:color w:val="000000" w:themeColor="text1"/>
        </w:rPr>
        <w:t xml:space="preserve">alleging </w:t>
      </w:r>
      <w:r w:rsidR="00506ADB">
        <w:rPr>
          <w:rFonts w:ascii="Times New Roman" w:hAnsi="Times New Roman" w:cs="Times New Roman"/>
          <w:color w:val="000000" w:themeColor="text1"/>
        </w:rPr>
        <w:t xml:space="preserve">an </w:t>
      </w:r>
      <w:r w:rsidRPr="00654FBA">
        <w:rPr>
          <w:rFonts w:ascii="Times New Roman" w:hAnsi="Times New Roman" w:cs="Times New Roman"/>
          <w:color w:val="000000" w:themeColor="text1"/>
        </w:rPr>
        <w:t>inability to pay</w:t>
      </w:r>
      <w:r w:rsidR="00810791" w:rsidRPr="00654FBA">
        <w:rPr>
          <w:rFonts w:ascii="Times New Roman" w:hAnsi="Times New Roman" w:cs="Times New Roman"/>
          <w:color w:val="000000" w:themeColor="text1"/>
        </w:rPr>
        <w:t xml:space="preserve"> </w:t>
      </w:r>
      <w:r w:rsidRPr="00654FBA">
        <w:rPr>
          <w:rFonts w:ascii="Times New Roman" w:hAnsi="Times New Roman" w:cs="Times New Roman"/>
          <w:color w:val="000000" w:themeColor="text1"/>
        </w:rPr>
        <w:t xml:space="preserve">and requesting a Commission-issued </w:t>
      </w:r>
      <w:r w:rsidR="004229E2" w:rsidRPr="00654FBA">
        <w:rPr>
          <w:rFonts w:ascii="Times New Roman" w:hAnsi="Times New Roman" w:cs="Times New Roman"/>
          <w:color w:val="000000" w:themeColor="text1"/>
        </w:rPr>
        <w:t>payment arrangement.</w:t>
      </w:r>
      <w:r w:rsidR="00C108BE" w:rsidRPr="00654FBA">
        <w:rPr>
          <w:rFonts w:ascii="Times New Roman" w:hAnsi="Times New Roman" w:cs="Times New Roman"/>
          <w:color w:val="000000" w:themeColor="text1"/>
        </w:rPr>
        <w:t xml:space="preserve">  </w:t>
      </w:r>
      <w:r w:rsidR="00B60DAD" w:rsidRPr="00654FBA">
        <w:rPr>
          <w:rFonts w:ascii="Times New Roman" w:hAnsi="Times New Roman" w:cs="Times New Roman"/>
          <w:color w:val="000000" w:themeColor="text1"/>
        </w:rPr>
        <w:t xml:space="preserve">See, 66 Pa.C.S. § 1405(a), which provides that, “[t]he commission is authorized to investigate complaints regarding payment disputes between a public utility, applicants and customers.”  </w:t>
      </w:r>
      <w:r w:rsidR="007F0EBC" w:rsidRPr="00654FBA">
        <w:rPr>
          <w:rFonts w:ascii="Times New Roman" w:hAnsi="Times New Roman" w:cs="Times New Roman"/>
          <w:color w:val="000000" w:themeColor="text1"/>
        </w:rPr>
        <w:t xml:space="preserve"> </w:t>
      </w:r>
    </w:p>
    <w:p w14:paraId="6F4CD1B9" w14:textId="77777777" w:rsidR="00056A67" w:rsidRPr="00654FBA" w:rsidRDefault="00056A67" w:rsidP="00056A6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color w:val="000000" w:themeColor="text1"/>
        </w:rPr>
      </w:pPr>
    </w:p>
    <w:p w14:paraId="3E7DCB0A" w14:textId="1217B4C1" w:rsidR="000B43A7" w:rsidRPr="00654FBA" w:rsidRDefault="0071448D" w:rsidP="009C67B9">
      <w:pPr>
        <w:pStyle w:val="ParaTab1"/>
        <w:tabs>
          <w:tab w:val="left" w:pos="1440"/>
          <w:tab w:val="left" w:pos="2070"/>
        </w:tabs>
        <w:spacing w:line="360" w:lineRule="auto"/>
        <w:rPr>
          <w:rFonts w:ascii="Times New Roman" w:eastAsia="Calibri" w:hAnsi="Times New Roman" w:cs="Times New Roman"/>
          <w:color w:val="000000"/>
        </w:rPr>
      </w:pPr>
      <w:bookmarkStart w:id="4" w:name="_Hlk530147042"/>
      <w:r w:rsidRPr="00654FBA">
        <w:rPr>
          <w:rFonts w:ascii="Times New Roman" w:eastAsia="Calibri" w:hAnsi="Times New Roman" w:cs="Times New Roman"/>
          <w:color w:val="000000"/>
        </w:rPr>
        <w:t>T</w:t>
      </w:r>
      <w:r w:rsidR="00B60DAD" w:rsidRPr="00654FBA">
        <w:rPr>
          <w:rFonts w:ascii="Times New Roman" w:hAnsi="Times New Roman" w:cs="Times New Roman"/>
        </w:rPr>
        <w:t>h</w:t>
      </w:r>
      <w:r w:rsidR="004A0898" w:rsidRPr="00654FBA">
        <w:rPr>
          <w:rFonts w:ascii="Times New Roman" w:hAnsi="Times New Roman" w:cs="Times New Roman"/>
        </w:rPr>
        <w:t>e</w:t>
      </w:r>
      <w:r w:rsidR="00B60DAD" w:rsidRPr="00654FBA">
        <w:rPr>
          <w:rFonts w:ascii="Times New Roman" w:hAnsi="Times New Roman" w:cs="Times New Roman"/>
        </w:rPr>
        <w:t xml:space="preserve"> </w:t>
      </w:r>
      <w:r w:rsidR="000772C1" w:rsidRPr="00654FBA">
        <w:rPr>
          <w:rFonts w:ascii="Times New Roman" w:hAnsi="Times New Roman" w:cs="Times New Roman"/>
        </w:rPr>
        <w:t>Act provides strict guidelines that the Commission must</w:t>
      </w:r>
      <w:r w:rsidR="00B60DAD" w:rsidRPr="00654FBA">
        <w:rPr>
          <w:rFonts w:ascii="Times New Roman" w:hAnsi="Times New Roman" w:cs="Times New Roman"/>
        </w:rPr>
        <w:t xml:space="preserve"> follow</w:t>
      </w:r>
      <w:r w:rsidR="008A2C26" w:rsidRPr="00654FBA">
        <w:rPr>
          <w:rFonts w:ascii="Times New Roman" w:hAnsi="Times New Roman" w:cs="Times New Roman"/>
        </w:rPr>
        <w:t>,</w:t>
      </w:r>
      <w:r w:rsidR="00B60DAD" w:rsidRPr="00654FBA">
        <w:rPr>
          <w:rFonts w:ascii="Times New Roman" w:hAnsi="Times New Roman" w:cs="Times New Roman"/>
        </w:rPr>
        <w:t xml:space="preserve"> including the provision that </w:t>
      </w:r>
      <w:r w:rsidR="004A0898" w:rsidRPr="00654FBA">
        <w:rPr>
          <w:rFonts w:ascii="Times New Roman" w:hAnsi="Times New Roman" w:cs="Times New Roman"/>
        </w:rPr>
        <w:t xml:space="preserve">generally </w:t>
      </w:r>
      <w:r w:rsidR="00B60DAD" w:rsidRPr="00654FBA">
        <w:rPr>
          <w:rFonts w:ascii="Times New Roman" w:hAnsi="Times New Roman" w:cs="Times New Roman"/>
        </w:rPr>
        <w:t xml:space="preserve">permits the </w:t>
      </w:r>
      <w:r w:rsidR="000772C1" w:rsidRPr="00654FBA">
        <w:rPr>
          <w:rFonts w:ascii="Times New Roman" w:hAnsi="Times New Roman" w:cs="Times New Roman"/>
        </w:rPr>
        <w:t xml:space="preserve">Commission to grant </w:t>
      </w:r>
      <w:r w:rsidR="004A0898" w:rsidRPr="00654FBA">
        <w:rPr>
          <w:rFonts w:ascii="Times New Roman" w:hAnsi="Times New Roman" w:cs="Times New Roman"/>
        </w:rPr>
        <w:t xml:space="preserve">only </w:t>
      </w:r>
      <w:r w:rsidR="000772C1" w:rsidRPr="00654FBA">
        <w:rPr>
          <w:rFonts w:ascii="Times New Roman" w:hAnsi="Times New Roman" w:cs="Times New Roman"/>
        </w:rPr>
        <w:t xml:space="preserve">one </w:t>
      </w:r>
      <w:r w:rsidR="004229E2" w:rsidRPr="00654FBA">
        <w:rPr>
          <w:rFonts w:ascii="Times New Roman" w:hAnsi="Times New Roman" w:cs="Times New Roman"/>
        </w:rPr>
        <w:t>payment arrangement</w:t>
      </w:r>
      <w:r w:rsidR="000772C1" w:rsidRPr="00654FBA">
        <w:rPr>
          <w:rFonts w:ascii="Times New Roman" w:hAnsi="Times New Roman" w:cs="Times New Roman"/>
        </w:rPr>
        <w:t xml:space="preserve"> </w:t>
      </w:r>
      <w:r w:rsidR="00000719" w:rsidRPr="00654FBA">
        <w:rPr>
          <w:rFonts w:ascii="Times New Roman" w:hAnsi="Times New Roman" w:cs="Times New Roman"/>
        </w:rPr>
        <w:t>with limited exceptions.</w:t>
      </w:r>
      <w:r w:rsidR="00B60DAD" w:rsidRPr="00654FBA">
        <w:rPr>
          <w:rFonts w:ascii="Times New Roman" w:hAnsi="Times New Roman" w:cs="Times New Roman"/>
        </w:rPr>
        <w:t xml:space="preserve"> </w:t>
      </w:r>
      <w:r w:rsidR="009B14CF" w:rsidRPr="00654FBA">
        <w:rPr>
          <w:rFonts w:ascii="Times New Roman" w:hAnsi="Times New Roman" w:cs="Times New Roman"/>
        </w:rPr>
        <w:t xml:space="preserve"> </w:t>
      </w:r>
      <w:r w:rsidR="00B60DAD" w:rsidRPr="00654FBA">
        <w:rPr>
          <w:rFonts w:ascii="Times New Roman" w:hAnsi="Times New Roman" w:cs="Times New Roman"/>
        </w:rPr>
        <w:t>Specifically</w:t>
      </w:r>
      <w:bookmarkEnd w:id="4"/>
      <w:r w:rsidR="00B60DAD" w:rsidRPr="00654FBA">
        <w:rPr>
          <w:rFonts w:ascii="Times New Roman" w:hAnsi="Times New Roman" w:cs="Times New Roman"/>
        </w:rPr>
        <w:t xml:space="preserve">, this provision of the Act provides, in relevant </w:t>
      </w:r>
      <w:r w:rsidR="00C108BE" w:rsidRPr="00654FBA">
        <w:rPr>
          <w:rFonts w:ascii="Times New Roman" w:hAnsi="Times New Roman" w:cs="Times New Roman"/>
        </w:rPr>
        <w:t>part</w:t>
      </w:r>
      <w:r w:rsidR="00B60DAD" w:rsidRPr="00654FBA">
        <w:rPr>
          <w:rFonts w:ascii="Times New Roman" w:hAnsi="Times New Roman" w:cs="Times New Roman"/>
        </w:rPr>
        <w:t>:</w:t>
      </w:r>
    </w:p>
    <w:p w14:paraId="7AE31612" w14:textId="77777777" w:rsidR="003C1B9E" w:rsidRPr="00654FBA" w:rsidRDefault="003C1B9E" w:rsidP="00CB3861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74D2AFC4" w14:textId="77777777" w:rsidR="00B60DAD" w:rsidRPr="00654FBA" w:rsidRDefault="00B60DAD" w:rsidP="00163A48">
      <w:pPr>
        <w:pStyle w:val="ParaTab1"/>
        <w:tabs>
          <w:tab w:val="left" w:pos="2070"/>
        </w:tabs>
        <w:rPr>
          <w:rFonts w:ascii="Times New Roman" w:hAnsi="Times New Roman" w:cs="Times New Roman"/>
        </w:rPr>
      </w:pPr>
      <w:bookmarkStart w:id="5" w:name="_Hlk521504923"/>
      <w:r w:rsidRPr="00654FBA">
        <w:rPr>
          <w:rFonts w:ascii="Times New Roman" w:hAnsi="Times New Roman" w:cs="Times New Roman"/>
          <w:b/>
        </w:rPr>
        <w:t>(d)</w:t>
      </w:r>
      <w:r w:rsidRPr="00654FBA">
        <w:rPr>
          <w:rFonts w:ascii="Times New Roman" w:hAnsi="Times New Roman" w:cs="Times New Roman"/>
        </w:rPr>
        <w:t xml:space="preserve">   </w:t>
      </w:r>
      <w:r w:rsidRPr="00654FBA">
        <w:rPr>
          <w:rFonts w:ascii="Times New Roman" w:hAnsi="Times New Roman" w:cs="Times New Roman"/>
          <w:b/>
        </w:rPr>
        <w:t>Number of Payment Agreements</w:t>
      </w:r>
      <w:r w:rsidRPr="00654FBA">
        <w:rPr>
          <w:rFonts w:ascii="Times New Roman" w:hAnsi="Times New Roman" w:cs="Times New Roman"/>
        </w:rPr>
        <w:t>.—</w:t>
      </w:r>
      <w:r w:rsidRPr="00654FBA">
        <w:rPr>
          <w:rFonts w:ascii="Times New Roman" w:hAnsi="Times New Roman" w:cs="Times New Roman"/>
          <w:i/>
        </w:rPr>
        <w:t>Absent a change in income</w:t>
      </w:r>
      <w:r w:rsidRPr="00654FBA">
        <w:rPr>
          <w:rFonts w:ascii="Times New Roman" w:hAnsi="Times New Roman" w:cs="Times New Roman"/>
        </w:rPr>
        <w:t>,</w:t>
      </w:r>
    </w:p>
    <w:p w14:paraId="51ADDC87" w14:textId="77777777" w:rsidR="008A2C26" w:rsidRPr="00654FBA" w:rsidRDefault="008A2C26" w:rsidP="00163A48">
      <w:pPr>
        <w:pStyle w:val="ParaTab1"/>
        <w:tabs>
          <w:tab w:val="left" w:pos="2070"/>
        </w:tabs>
        <w:rPr>
          <w:rFonts w:ascii="Times New Roman" w:hAnsi="Times New Roman" w:cs="Times New Roman"/>
        </w:rPr>
      </w:pPr>
      <w:r w:rsidRPr="00654FBA">
        <w:rPr>
          <w:rFonts w:ascii="Times New Roman" w:hAnsi="Times New Roman" w:cs="Times New Roman"/>
        </w:rPr>
        <w:t>t</w:t>
      </w:r>
      <w:r w:rsidR="00B60DAD" w:rsidRPr="00654FBA">
        <w:rPr>
          <w:rFonts w:ascii="Times New Roman" w:hAnsi="Times New Roman" w:cs="Times New Roman"/>
        </w:rPr>
        <w:t>he commission shall not establish or order a public utility to establish</w:t>
      </w:r>
    </w:p>
    <w:p w14:paraId="15F1F74B" w14:textId="77777777" w:rsidR="008A2C26" w:rsidRPr="00654FBA" w:rsidRDefault="00B60DAD" w:rsidP="00163A48">
      <w:pPr>
        <w:pStyle w:val="ParaTab1"/>
        <w:tabs>
          <w:tab w:val="left" w:pos="2070"/>
        </w:tabs>
        <w:rPr>
          <w:rFonts w:ascii="Times New Roman" w:hAnsi="Times New Roman" w:cs="Times New Roman"/>
        </w:rPr>
      </w:pPr>
      <w:r w:rsidRPr="00654FBA">
        <w:rPr>
          <w:rFonts w:ascii="Times New Roman" w:hAnsi="Times New Roman" w:cs="Times New Roman"/>
        </w:rPr>
        <w:t>a second or subsequent payment arrangement if a customer has defaulted</w:t>
      </w:r>
    </w:p>
    <w:p w14:paraId="7EA8C053" w14:textId="77777777" w:rsidR="00B60DAD" w:rsidRPr="00654FBA" w:rsidRDefault="00B60DAD" w:rsidP="00462D90">
      <w:pPr>
        <w:pStyle w:val="ParaTab1"/>
        <w:tabs>
          <w:tab w:val="left" w:pos="2070"/>
        </w:tabs>
        <w:ind w:left="1440" w:firstLine="0"/>
        <w:rPr>
          <w:rFonts w:ascii="Times New Roman" w:hAnsi="Times New Roman" w:cs="Times New Roman"/>
        </w:rPr>
      </w:pPr>
      <w:r w:rsidRPr="00654FBA">
        <w:rPr>
          <w:rFonts w:ascii="Times New Roman" w:hAnsi="Times New Roman" w:cs="Times New Roman"/>
        </w:rPr>
        <w:t>on a previous payment arrangement</w:t>
      </w:r>
      <w:r w:rsidR="008A2C26" w:rsidRPr="00654FBA">
        <w:rPr>
          <w:rFonts w:ascii="Times New Roman" w:hAnsi="Times New Roman" w:cs="Times New Roman"/>
        </w:rPr>
        <w:t xml:space="preserve"> established by a commission order or</w:t>
      </w:r>
      <w:r w:rsidR="00462D90" w:rsidRPr="00654FBA">
        <w:rPr>
          <w:rFonts w:ascii="Times New Roman" w:hAnsi="Times New Roman" w:cs="Times New Roman"/>
        </w:rPr>
        <w:t xml:space="preserve"> </w:t>
      </w:r>
      <w:r w:rsidR="008A2C26" w:rsidRPr="00654FBA">
        <w:rPr>
          <w:rFonts w:ascii="Times New Roman" w:hAnsi="Times New Roman" w:cs="Times New Roman"/>
        </w:rPr>
        <w:t>decision . . . .</w:t>
      </w:r>
    </w:p>
    <w:p w14:paraId="2AE72651" w14:textId="77777777" w:rsidR="00B60DAD" w:rsidRPr="00654FBA" w:rsidRDefault="00B60DAD" w:rsidP="00A84C4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00B5B624" w14:textId="77777777" w:rsidR="00A84C48" w:rsidRPr="00654FBA" w:rsidRDefault="000772C1" w:rsidP="008A59D8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  <w:r w:rsidRPr="00654FBA">
        <w:rPr>
          <w:rFonts w:ascii="Times New Roman" w:hAnsi="Times New Roman" w:cs="Times New Roman"/>
        </w:rPr>
        <w:t>66 Pa.C.S</w:t>
      </w:r>
      <w:bookmarkStart w:id="6" w:name="_Hlk521504212"/>
      <w:r w:rsidRPr="00654FBA">
        <w:rPr>
          <w:rFonts w:ascii="Times New Roman" w:hAnsi="Times New Roman" w:cs="Times New Roman"/>
        </w:rPr>
        <w:t>. § 1405</w:t>
      </w:r>
      <w:bookmarkEnd w:id="5"/>
      <w:bookmarkEnd w:id="6"/>
      <w:r w:rsidR="008A2C26" w:rsidRPr="00654FBA">
        <w:rPr>
          <w:rFonts w:ascii="Times New Roman" w:hAnsi="Times New Roman" w:cs="Times New Roman"/>
        </w:rPr>
        <w:t>(d)</w:t>
      </w:r>
      <w:r w:rsidR="004A0898" w:rsidRPr="00654FBA">
        <w:rPr>
          <w:rFonts w:ascii="Times New Roman" w:hAnsi="Times New Roman" w:cs="Times New Roman"/>
        </w:rPr>
        <w:t xml:space="preserve"> (emphasis added).</w:t>
      </w:r>
    </w:p>
    <w:p w14:paraId="009EC006" w14:textId="5004B100" w:rsidR="00D303A5" w:rsidRPr="00654FBA" w:rsidRDefault="00A84C48" w:rsidP="00D303A5">
      <w:pPr>
        <w:pStyle w:val="ParaTab1"/>
        <w:tabs>
          <w:tab w:val="left" w:pos="2070"/>
        </w:tabs>
        <w:spacing w:before="240" w:line="360" w:lineRule="auto"/>
        <w:ind w:firstLine="0"/>
        <w:rPr>
          <w:rFonts w:ascii="Times New Roman" w:hAnsi="Times New Roman" w:cs="Times New Roman"/>
        </w:rPr>
      </w:pPr>
      <w:r w:rsidRPr="00654FBA">
        <w:rPr>
          <w:rFonts w:ascii="Times New Roman" w:hAnsi="Times New Roman" w:cs="Times New Roman"/>
        </w:rPr>
        <w:t xml:space="preserve">                        Complainant failed to comply with the </w:t>
      </w:r>
      <w:r w:rsidR="008A2C26" w:rsidRPr="00654FBA">
        <w:rPr>
          <w:rFonts w:ascii="Times New Roman" w:hAnsi="Times New Roman" w:cs="Times New Roman"/>
        </w:rPr>
        <w:t xml:space="preserve">terms of </w:t>
      </w:r>
      <w:r w:rsidR="004A0898" w:rsidRPr="00654FBA">
        <w:rPr>
          <w:rFonts w:ascii="Times New Roman" w:hAnsi="Times New Roman" w:cs="Times New Roman"/>
        </w:rPr>
        <w:t>the</w:t>
      </w:r>
      <w:r w:rsidRPr="00654FBA">
        <w:rPr>
          <w:rFonts w:ascii="Times New Roman" w:hAnsi="Times New Roman" w:cs="Times New Roman"/>
        </w:rPr>
        <w:t xml:space="preserve"> </w:t>
      </w:r>
      <w:r w:rsidR="008A2C26" w:rsidRPr="00654FBA">
        <w:rPr>
          <w:rFonts w:ascii="Times New Roman" w:hAnsi="Times New Roman" w:cs="Times New Roman"/>
        </w:rPr>
        <w:t xml:space="preserve">BCS decision at Case No. </w:t>
      </w:r>
      <w:r w:rsidR="00631D02" w:rsidRPr="00631D02">
        <w:rPr>
          <w:rFonts w:ascii="Times New Roman" w:eastAsiaTheme="minorBidi" w:hAnsi="Times New Roman" w:cs="Times New Roman"/>
        </w:rPr>
        <w:t>3226883</w:t>
      </w:r>
      <w:r w:rsidR="008A2C26" w:rsidRPr="00631D02">
        <w:rPr>
          <w:rFonts w:ascii="Times New Roman" w:hAnsi="Times New Roman" w:cs="Times New Roman"/>
        </w:rPr>
        <w:t xml:space="preserve"> </w:t>
      </w:r>
      <w:r w:rsidR="008A2C26" w:rsidRPr="00654FBA">
        <w:rPr>
          <w:rFonts w:ascii="Times New Roman" w:hAnsi="Times New Roman" w:cs="Times New Roman"/>
        </w:rPr>
        <w:t xml:space="preserve">which directed a payment arrangement on her account with </w:t>
      </w:r>
      <w:r w:rsidR="00C108BE" w:rsidRPr="00654FBA">
        <w:rPr>
          <w:rFonts w:ascii="Times New Roman" w:hAnsi="Times New Roman" w:cs="Times New Roman"/>
        </w:rPr>
        <w:t>Respondent</w:t>
      </w:r>
      <w:r w:rsidR="008A2C26" w:rsidRPr="00654FBA">
        <w:rPr>
          <w:rFonts w:ascii="Times New Roman" w:hAnsi="Times New Roman" w:cs="Times New Roman"/>
        </w:rPr>
        <w:t>.  (</w:t>
      </w:r>
      <w:r w:rsidR="00081BBB" w:rsidRPr="00654FBA">
        <w:rPr>
          <w:rFonts w:ascii="Times New Roman" w:hAnsi="Times New Roman" w:cs="Times New Roman"/>
        </w:rPr>
        <w:t>PGW Exhibit</w:t>
      </w:r>
      <w:r w:rsidR="00631D02">
        <w:rPr>
          <w:rFonts w:ascii="Times New Roman" w:hAnsi="Times New Roman" w:cs="Times New Roman"/>
        </w:rPr>
        <w:t xml:space="preserve"> </w:t>
      </w:r>
      <w:r w:rsidR="00081BBB" w:rsidRPr="00654FBA">
        <w:rPr>
          <w:rFonts w:ascii="Times New Roman" w:hAnsi="Times New Roman" w:cs="Times New Roman"/>
        </w:rPr>
        <w:t>2</w:t>
      </w:r>
      <w:r w:rsidR="008A2C26" w:rsidRPr="00654FBA">
        <w:rPr>
          <w:rFonts w:ascii="Times New Roman" w:hAnsi="Times New Roman" w:cs="Times New Roman"/>
        </w:rPr>
        <w:t>).</w:t>
      </w:r>
      <w:r w:rsidR="002C315A" w:rsidRPr="00654FBA">
        <w:rPr>
          <w:rFonts w:ascii="Times New Roman" w:hAnsi="Times New Roman" w:cs="Times New Roman"/>
        </w:rPr>
        <w:t xml:space="preserve">   </w:t>
      </w:r>
      <w:r w:rsidR="00D303A5" w:rsidRPr="00654FBA">
        <w:rPr>
          <w:rFonts w:ascii="Times New Roman" w:hAnsi="Times New Roman" w:cs="Times New Roman"/>
        </w:rPr>
        <w:t xml:space="preserve">Since </w:t>
      </w:r>
      <w:r w:rsidR="002F5D3E">
        <w:rPr>
          <w:rFonts w:ascii="Times New Roman" w:hAnsi="Times New Roman" w:cs="Times New Roman"/>
        </w:rPr>
        <w:t>Ms. Gray</w:t>
      </w:r>
      <w:r w:rsidR="00D303A5" w:rsidRPr="00654FBA">
        <w:rPr>
          <w:rFonts w:ascii="Times New Roman" w:hAnsi="Times New Roman" w:cs="Times New Roman"/>
        </w:rPr>
        <w:t xml:space="preserve"> did not appeal the BCS decision and failed to make the payments ordered by the BCS decision, she has defaulted on the payment arrangement.  As the Commission recently explained, when a BCS decision is not timely appealed, </w:t>
      </w:r>
      <w:r w:rsidR="00D303A5" w:rsidRPr="00654FBA">
        <w:rPr>
          <w:rFonts w:ascii="Times New Roman" w:eastAsia="Calibri" w:hAnsi="Times New Roman" w:cs="Times New Roman"/>
        </w:rPr>
        <w:t>“</w:t>
      </w:r>
      <w:r w:rsidR="00D303A5" w:rsidRPr="00654FBA">
        <w:rPr>
          <w:rFonts w:ascii="Times New Roman" w:hAnsi="Times New Roman" w:cs="Times New Roman"/>
          <w:color w:val="212121"/>
        </w:rPr>
        <w:t xml:space="preserve">then the </w:t>
      </w:r>
      <w:r w:rsidR="00D303A5" w:rsidRPr="00654FBA">
        <w:rPr>
          <w:rFonts w:ascii="Times New Roman" w:hAnsi="Times New Roman" w:cs="Times New Roman"/>
          <w:bCs/>
          <w:color w:val="252525"/>
        </w:rPr>
        <w:t>BCS</w:t>
      </w:r>
      <w:r w:rsidR="00D303A5" w:rsidRPr="00654FBA">
        <w:rPr>
          <w:rFonts w:ascii="Times New Roman" w:hAnsi="Times New Roman" w:cs="Times New Roman"/>
          <w:color w:val="212121"/>
        </w:rPr>
        <w:t xml:space="preserve"> payment arrangement becomes final and the complainant must prove a change in income to be awarded a different payment arrangement before the </w:t>
      </w:r>
      <w:r w:rsidR="00D303A5" w:rsidRPr="00654FBA">
        <w:rPr>
          <w:rFonts w:ascii="Times New Roman" w:hAnsi="Times New Roman" w:cs="Times New Roman"/>
          <w:bCs/>
          <w:color w:val="252525"/>
        </w:rPr>
        <w:t>BCS</w:t>
      </w:r>
      <w:r w:rsidR="00D303A5" w:rsidRPr="00654FBA">
        <w:rPr>
          <w:rFonts w:ascii="Times New Roman" w:hAnsi="Times New Roman" w:cs="Times New Roman"/>
          <w:color w:val="212121"/>
        </w:rPr>
        <w:t xml:space="preserve"> PAR </w:t>
      </w:r>
      <w:r w:rsidR="00631D02">
        <w:rPr>
          <w:rFonts w:ascii="Times New Roman" w:hAnsi="Times New Roman" w:cs="Times New Roman"/>
          <w:color w:val="212121"/>
        </w:rPr>
        <w:t xml:space="preserve">[payment arrangement] </w:t>
      </w:r>
      <w:r w:rsidR="00D303A5" w:rsidRPr="00654FBA">
        <w:rPr>
          <w:rFonts w:ascii="Times New Roman" w:hAnsi="Times New Roman" w:cs="Times New Roman"/>
          <w:color w:val="212121"/>
        </w:rPr>
        <w:t xml:space="preserve">is paid off.” </w:t>
      </w:r>
      <w:r w:rsidR="00D303A5" w:rsidRPr="00654FBA">
        <w:rPr>
          <w:rFonts w:ascii="Times New Roman" w:hAnsi="Times New Roman" w:cs="Times New Roman"/>
          <w:i/>
        </w:rPr>
        <w:t>Horinka v. Pa. Power Company</w:t>
      </w:r>
      <w:r w:rsidR="00D303A5" w:rsidRPr="00654FBA">
        <w:rPr>
          <w:rFonts w:ascii="Times New Roman" w:hAnsi="Times New Roman" w:cs="Times New Roman"/>
        </w:rPr>
        <w:t>, Docket No. C-2017-2582842, p. 3 (Opinion and Order entered August 4, 2017).</w:t>
      </w:r>
    </w:p>
    <w:p w14:paraId="65395BD4" w14:textId="77777777" w:rsidR="00D303A5" w:rsidRPr="00654FBA" w:rsidRDefault="00D303A5" w:rsidP="00D303A5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6484AFF4" w14:textId="04BCE788" w:rsidR="00D303A5" w:rsidRPr="00654FBA" w:rsidRDefault="00D303A5" w:rsidP="00D303A5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654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Therefore, pursuant to </w:t>
      </w:r>
      <w:r w:rsidRPr="00654FBA">
        <w:rPr>
          <w:rFonts w:ascii="Times New Roman" w:eastAsia="Times New Roman" w:hAnsi="Times New Roman" w:cs="Times New Roman"/>
          <w:sz w:val="24"/>
          <w:szCs w:val="24"/>
        </w:rPr>
        <w:t>66 Pa.C.S. § 1405</w:t>
      </w:r>
      <w:r w:rsidRPr="00654FBA">
        <w:rPr>
          <w:rFonts w:ascii="Times New Roman" w:hAnsi="Times New Roman" w:cs="Times New Roman"/>
          <w:sz w:val="24"/>
          <w:szCs w:val="24"/>
        </w:rPr>
        <w:t xml:space="preserve">(d), </w:t>
      </w:r>
      <w:r w:rsidR="002F5D3E">
        <w:rPr>
          <w:rFonts w:ascii="Times New Roman" w:hAnsi="Times New Roman" w:cs="Times New Roman"/>
          <w:sz w:val="24"/>
          <w:szCs w:val="24"/>
        </w:rPr>
        <w:t>Ms. Gray</w:t>
      </w:r>
      <w:r w:rsidRPr="00654FBA">
        <w:rPr>
          <w:rFonts w:ascii="Times New Roman" w:hAnsi="Times New Roman" w:cs="Times New Roman"/>
          <w:sz w:val="24"/>
          <w:szCs w:val="24"/>
        </w:rPr>
        <w:t xml:space="preserve"> is eligible for another Commission-issued </w:t>
      </w:r>
      <w:r w:rsidR="0066021C">
        <w:rPr>
          <w:rFonts w:ascii="Times New Roman" w:hAnsi="Times New Roman" w:cs="Times New Roman"/>
          <w:sz w:val="24"/>
          <w:szCs w:val="24"/>
        </w:rPr>
        <w:t xml:space="preserve">payment arrangement </w:t>
      </w:r>
      <w:r w:rsidRPr="00654FBA">
        <w:rPr>
          <w:rFonts w:ascii="Times New Roman" w:hAnsi="Times New Roman" w:cs="Times New Roman"/>
          <w:sz w:val="24"/>
          <w:szCs w:val="24"/>
        </w:rPr>
        <w:t>only if she has suffered a change in income.</w:t>
      </w:r>
    </w:p>
    <w:p w14:paraId="515F0413" w14:textId="77777777" w:rsidR="00D303A5" w:rsidRPr="00654FBA" w:rsidRDefault="00D303A5" w:rsidP="00D303A5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452C1DFA" w14:textId="77777777" w:rsidR="00D303A5" w:rsidRPr="00654FBA" w:rsidRDefault="00D303A5" w:rsidP="00D303A5">
      <w:pPr>
        <w:tabs>
          <w:tab w:val="left" w:pos="1440"/>
        </w:tabs>
        <w:spacing w:after="0" w:line="360" w:lineRule="auto"/>
        <w:ind w:firstLine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FBA">
        <w:rPr>
          <w:rFonts w:ascii="Times New Roman" w:hAnsi="Times New Roman" w:cs="Times New Roman"/>
          <w:color w:val="000000" w:themeColor="text1"/>
          <w:sz w:val="24"/>
          <w:szCs w:val="24"/>
        </w:rPr>
        <w:t>The Act defines a “change in income” as follows:</w:t>
      </w:r>
    </w:p>
    <w:p w14:paraId="4886C7D4" w14:textId="77777777" w:rsidR="00D303A5" w:rsidRPr="00654FBA" w:rsidRDefault="00D303A5" w:rsidP="00D303A5">
      <w:pPr>
        <w:tabs>
          <w:tab w:val="left" w:pos="1440"/>
        </w:tabs>
        <w:spacing w:after="0" w:line="360" w:lineRule="auto"/>
        <w:ind w:firstLine="14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ACD8D8" w14:textId="77777777" w:rsidR="00D303A5" w:rsidRPr="00654FBA" w:rsidRDefault="00D303A5" w:rsidP="00D303A5">
      <w:pPr>
        <w:spacing w:after="0" w:line="240" w:lineRule="auto"/>
        <w:ind w:left="1440" w:firstLine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F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“Change in income.”  </w:t>
      </w:r>
      <w:r w:rsidRPr="00654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654FB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decrease </w:t>
      </w:r>
      <w:r w:rsidRPr="00654FBA">
        <w:rPr>
          <w:rFonts w:ascii="Times New Roman" w:hAnsi="Times New Roman" w:cs="Times New Roman"/>
          <w:color w:val="000000" w:themeColor="text1"/>
          <w:sz w:val="24"/>
          <w:szCs w:val="24"/>
        </w:rPr>
        <w:t>in household income of 20% or more</w:t>
      </w:r>
      <w:r w:rsidRPr="00654FB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if the customer's household income level exceeds 200% of the Federal poverty level or a </w:t>
      </w:r>
      <w:r w:rsidRPr="00654FB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decrease</w:t>
      </w:r>
      <w:r w:rsidRPr="00654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household income of 10% or more if the customer's household income level is 200% or less of the Federal poverty level.</w:t>
      </w:r>
    </w:p>
    <w:p w14:paraId="0307C597" w14:textId="77777777" w:rsidR="00D303A5" w:rsidRPr="00654FBA" w:rsidRDefault="00D303A5" w:rsidP="00D303A5">
      <w:pPr>
        <w:spacing w:after="0" w:line="240" w:lineRule="auto"/>
        <w:ind w:left="1440" w:firstLine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33F3B7" w14:textId="77777777" w:rsidR="00D303A5" w:rsidRPr="00654FBA" w:rsidRDefault="00D303A5" w:rsidP="00D303A5">
      <w:pPr>
        <w:spacing w:after="0" w:line="240" w:lineRule="auto"/>
        <w:ind w:left="1440" w:firstLine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19A6B9" w14:textId="77777777" w:rsidR="00D303A5" w:rsidRPr="00654FBA" w:rsidRDefault="00D303A5" w:rsidP="00D303A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66 Pa.C.S. § 1403 (emphasis added).  </w:t>
      </w:r>
    </w:p>
    <w:p w14:paraId="031DDFA0" w14:textId="77777777" w:rsidR="00D303A5" w:rsidRPr="00654FBA" w:rsidRDefault="00D303A5" w:rsidP="00D303A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18BD7D" w14:textId="77777777" w:rsidR="00D303A5" w:rsidRPr="00654FBA" w:rsidRDefault="00D303A5" w:rsidP="00D303A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FBA">
        <w:rPr>
          <w:rFonts w:ascii="Times New Roman" w:eastAsia="Calibri" w:hAnsi="Times New Roman" w:cs="Times New Roman"/>
          <w:sz w:val="24"/>
          <w:szCs w:val="24"/>
        </w:rPr>
        <w:tab/>
      </w:r>
      <w:r w:rsidRPr="00654FBA">
        <w:rPr>
          <w:rFonts w:ascii="Times New Roman" w:eastAsia="Calibri" w:hAnsi="Times New Roman" w:cs="Times New Roman"/>
          <w:sz w:val="24"/>
          <w:szCs w:val="24"/>
        </w:rPr>
        <w:tab/>
        <w:t xml:space="preserve">Additionally, </w:t>
      </w:r>
      <w:r w:rsidRPr="00654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“household income” is defined as, “[t]he combined gross income of </w:t>
      </w:r>
    </w:p>
    <w:p w14:paraId="4C2A3F60" w14:textId="77777777" w:rsidR="00D303A5" w:rsidRPr="00654FBA" w:rsidRDefault="00D303A5" w:rsidP="00D303A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FBA">
        <w:rPr>
          <w:rFonts w:ascii="Times New Roman" w:hAnsi="Times New Roman" w:cs="Times New Roman"/>
          <w:color w:val="000000" w:themeColor="text1"/>
          <w:sz w:val="24"/>
          <w:szCs w:val="24"/>
        </w:rPr>
        <w:t>all adults in a residential household who benefit from the public utility service.”</w:t>
      </w:r>
      <w:r w:rsidRPr="00654FB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54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66 Pa.C.S. § 1403.  </w:t>
      </w:r>
    </w:p>
    <w:p w14:paraId="0BCE23FD" w14:textId="77777777" w:rsidR="00D303A5" w:rsidRPr="00654FBA" w:rsidRDefault="00D303A5" w:rsidP="00D303A5">
      <w:pPr>
        <w:pStyle w:val="Style"/>
        <w:widowControl/>
        <w:autoSpaceDE/>
        <w:autoSpaceDN/>
        <w:adjustRightInd/>
        <w:spacing w:line="360" w:lineRule="auto"/>
        <w:rPr>
          <w:rFonts w:eastAsia="Calibri"/>
        </w:rPr>
      </w:pPr>
    </w:p>
    <w:p w14:paraId="7E4759C7" w14:textId="38FF9237" w:rsidR="00D303A5" w:rsidRPr="00654FBA" w:rsidRDefault="002F5D3E" w:rsidP="00D303A5">
      <w:pPr>
        <w:pStyle w:val="ListNumber"/>
        <w:numPr>
          <w:ilvl w:val="0"/>
          <w:numId w:val="0"/>
        </w:numPr>
        <w:spacing w:line="360" w:lineRule="auto"/>
        <w:ind w:left="720" w:firstLine="720"/>
        <w:jc w:val="left"/>
        <w:rPr>
          <w:rFonts w:eastAsiaTheme="minorBidi"/>
        </w:rPr>
      </w:pPr>
      <w:r>
        <w:t>Ms. Gray</w:t>
      </w:r>
      <w:r w:rsidR="00D303A5" w:rsidRPr="00654FBA">
        <w:t xml:space="preserve"> testified about her household size and income.  </w:t>
      </w:r>
      <w:r>
        <w:rPr>
          <w:rFonts w:eastAsiaTheme="minorBidi"/>
        </w:rPr>
        <w:t>Ms. Gray</w:t>
      </w:r>
      <w:r w:rsidR="00D303A5" w:rsidRPr="00654FBA">
        <w:rPr>
          <w:rFonts w:eastAsiaTheme="minorBidi"/>
        </w:rPr>
        <w:t xml:space="preserve">’s </w:t>
      </w:r>
    </w:p>
    <w:p w14:paraId="39FB4029" w14:textId="77777777" w:rsidR="0066021C" w:rsidRDefault="00D303A5" w:rsidP="00D303A5">
      <w:pPr>
        <w:pStyle w:val="ListNumber"/>
        <w:numPr>
          <w:ilvl w:val="0"/>
          <w:numId w:val="0"/>
        </w:numPr>
        <w:spacing w:line="360" w:lineRule="auto"/>
        <w:jc w:val="left"/>
        <w:rPr>
          <w:rFonts w:eastAsiaTheme="minorBidi"/>
        </w:rPr>
      </w:pPr>
      <w:r w:rsidRPr="00654FBA">
        <w:rPr>
          <w:rFonts w:eastAsiaTheme="minorBidi"/>
        </w:rPr>
        <w:t xml:space="preserve">current household size consists </w:t>
      </w:r>
      <w:r w:rsidRPr="00654FBA">
        <w:rPr>
          <w:rFonts w:eastAsia="Calibri"/>
        </w:rPr>
        <w:t>of t</w:t>
      </w:r>
      <w:r w:rsidR="00631D02">
        <w:rPr>
          <w:rFonts w:eastAsia="Calibri"/>
        </w:rPr>
        <w:t>wo</w:t>
      </w:r>
      <w:r w:rsidRPr="00654FBA">
        <w:rPr>
          <w:rFonts w:eastAsia="Calibri"/>
        </w:rPr>
        <w:t xml:space="preserve"> adults</w:t>
      </w:r>
      <w:r w:rsidR="00631D02">
        <w:rPr>
          <w:rFonts w:eastAsia="Calibri"/>
        </w:rPr>
        <w:t xml:space="preserve"> which includes herself and her adult son.  Ms. Gray testified that her gross household annual </w:t>
      </w:r>
      <w:r w:rsidRPr="00654FBA">
        <w:rPr>
          <w:rFonts w:eastAsiaTheme="minorBidi"/>
        </w:rPr>
        <w:t>income is $</w:t>
      </w:r>
      <w:r w:rsidR="00631D02">
        <w:rPr>
          <w:rFonts w:eastAsiaTheme="minorBidi"/>
        </w:rPr>
        <w:t>34,000 which translates to $2,833 per month.</w:t>
      </w:r>
      <w:r w:rsidR="00631D02">
        <w:rPr>
          <w:rStyle w:val="FootnoteReference"/>
          <w:rFonts w:eastAsiaTheme="minorBidi"/>
        </w:rPr>
        <w:footnoteReference w:id="4"/>
      </w:r>
      <w:r w:rsidRPr="00654FBA">
        <w:rPr>
          <w:rFonts w:eastAsiaTheme="minorBidi"/>
        </w:rPr>
        <w:t xml:space="preserve"> </w:t>
      </w:r>
      <w:r w:rsidR="00631D02">
        <w:rPr>
          <w:rFonts w:eastAsiaTheme="minorBidi"/>
        </w:rPr>
        <w:t xml:space="preserve"> </w:t>
      </w:r>
      <w:r w:rsidRPr="00654FBA">
        <w:rPr>
          <w:rFonts w:eastAsiaTheme="minorBidi"/>
        </w:rPr>
        <w:t xml:space="preserve">Therefore, </w:t>
      </w:r>
      <w:r w:rsidR="002F5D3E">
        <w:rPr>
          <w:rFonts w:eastAsiaTheme="minorBidi"/>
        </w:rPr>
        <w:t>Ms. Gray</w:t>
      </w:r>
      <w:r w:rsidRPr="00654FBA">
        <w:rPr>
          <w:rFonts w:eastAsiaTheme="minorBidi"/>
        </w:rPr>
        <w:t xml:space="preserve">’s income is </w:t>
      </w:r>
      <w:r w:rsidR="00E92EEB">
        <w:rPr>
          <w:rFonts w:eastAsiaTheme="minorBidi"/>
        </w:rPr>
        <w:t>more</w:t>
      </w:r>
      <w:r w:rsidRPr="00654FBA">
        <w:rPr>
          <w:rFonts w:eastAsiaTheme="minorBidi"/>
        </w:rPr>
        <w:t xml:space="preserve"> than 200% of the Federal poverty level.</w:t>
      </w:r>
      <w:r w:rsidRPr="00654FBA">
        <w:rPr>
          <w:rStyle w:val="FootnoteReference"/>
          <w:rFonts w:eastAsiaTheme="minorBidi"/>
        </w:rPr>
        <w:footnoteReference w:id="5"/>
      </w:r>
      <w:r w:rsidRPr="00654FBA">
        <w:rPr>
          <w:rFonts w:eastAsiaTheme="minorBidi"/>
        </w:rPr>
        <w:t xml:space="preserve">  Thus, pursuant to </w:t>
      </w:r>
      <w:r w:rsidRPr="00654FBA">
        <w:t xml:space="preserve">66 Pa.C.S. § 1403, </w:t>
      </w:r>
      <w:r w:rsidR="002F5D3E">
        <w:t>Ms. Gray</w:t>
      </w:r>
      <w:r w:rsidRPr="00654FBA">
        <w:t xml:space="preserve"> is eligible for a second Commission-issued payment arrangement if she has experienced a decrease in household income of </w:t>
      </w:r>
      <w:r w:rsidR="00E92EEB">
        <w:t>2</w:t>
      </w:r>
      <w:r w:rsidRPr="00654FBA">
        <w:t xml:space="preserve">0% or more.  </w:t>
      </w:r>
      <w:r w:rsidRPr="00654FBA">
        <w:rPr>
          <w:rFonts w:eastAsiaTheme="minorBidi"/>
        </w:rPr>
        <w:t xml:space="preserve"> </w:t>
      </w:r>
    </w:p>
    <w:p w14:paraId="054E9ABC" w14:textId="77777777" w:rsidR="0066021C" w:rsidRDefault="0066021C" w:rsidP="00D303A5">
      <w:pPr>
        <w:pStyle w:val="ListNumber"/>
        <w:numPr>
          <w:ilvl w:val="0"/>
          <w:numId w:val="0"/>
        </w:numPr>
        <w:spacing w:line="360" w:lineRule="auto"/>
        <w:jc w:val="left"/>
        <w:rPr>
          <w:rFonts w:eastAsiaTheme="minorBidi"/>
        </w:rPr>
      </w:pPr>
    </w:p>
    <w:p w14:paraId="124C2254" w14:textId="5A720B09" w:rsidR="00D303A5" w:rsidRPr="00654FBA" w:rsidRDefault="002F5D3E" w:rsidP="00254226">
      <w:pPr>
        <w:pStyle w:val="ListNumber"/>
        <w:numPr>
          <w:ilvl w:val="0"/>
          <w:numId w:val="0"/>
        </w:numPr>
        <w:spacing w:line="360" w:lineRule="auto"/>
        <w:ind w:firstLine="1440"/>
        <w:jc w:val="left"/>
        <w:rPr>
          <w:rFonts w:eastAsiaTheme="minorBidi"/>
        </w:rPr>
      </w:pPr>
      <w:r>
        <w:rPr>
          <w:rFonts w:eastAsiaTheme="minorBidi"/>
        </w:rPr>
        <w:t>Ms. Gray</w:t>
      </w:r>
      <w:r w:rsidR="00D303A5" w:rsidRPr="00654FBA">
        <w:rPr>
          <w:rFonts w:eastAsiaTheme="minorBidi"/>
        </w:rPr>
        <w:t xml:space="preserve">’s gross household monthly income at the time of the </w:t>
      </w:r>
      <w:r w:rsidR="00E92EEB">
        <w:rPr>
          <w:rFonts w:eastAsiaTheme="minorBidi"/>
        </w:rPr>
        <w:t>2014</w:t>
      </w:r>
      <w:r w:rsidR="003969ED">
        <w:rPr>
          <w:rFonts w:eastAsiaTheme="minorBidi"/>
        </w:rPr>
        <w:t xml:space="preserve"> </w:t>
      </w:r>
      <w:r w:rsidR="0014785D">
        <w:rPr>
          <w:rFonts w:eastAsiaTheme="minorBidi"/>
        </w:rPr>
        <w:t xml:space="preserve">BCS </w:t>
      </w:r>
      <w:r w:rsidR="003969ED">
        <w:rPr>
          <w:rFonts w:eastAsiaTheme="minorBidi"/>
        </w:rPr>
        <w:t>payment arrangement</w:t>
      </w:r>
      <w:r w:rsidR="00E92EEB">
        <w:rPr>
          <w:rFonts w:eastAsiaTheme="minorBidi"/>
        </w:rPr>
        <w:t xml:space="preserve"> </w:t>
      </w:r>
      <w:r w:rsidR="00D303A5" w:rsidRPr="00654FBA">
        <w:rPr>
          <w:rFonts w:eastAsiaTheme="minorBidi"/>
        </w:rPr>
        <w:t>at Case No.</w:t>
      </w:r>
      <w:r w:rsidR="00E92EEB" w:rsidRPr="00E92EEB">
        <w:rPr>
          <w:rFonts w:eastAsiaTheme="minorBidi"/>
          <w:b/>
        </w:rPr>
        <w:t xml:space="preserve"> </w:t>
      </w:r>
      <w:r w:rsidR="00E92EEB" w:rsidRPr="00E92EEB">
        <w:rPr>
          <w:rFonts w:eastAsiaTheme="minorBidi"/>
        </w:rPr>
        <w:t>3226883</w:t>
      </w:r>
      <w:r w:rsidR="00D303A5" w:rsidRPr="00E92EEB">
        <w:rPr>
          <w:rFonts w:eastAsiaTheme="minorBidi"/>
        </w:rPr>
        <w:t xml:space="preserve"> </w:t>
      </w:r>
      <w:r w:rsidR="00D303A5" w:rsidRPr="00654FBA">
        <w:rPr>
          <w:color w:val="000000" w:themeColor="text1"/>
        </w:rPr>
        <w:t>was $</w:t>
      </w:r>
      <w:r w:rsidR="00E92EEB">
        <w:rPr>
          <w:rFonts w:eastAsiaTheme="minorBidi"/>
        </w:rPr>
        <w:t>1,386.67</w:t>
      </w:r>
      <w:r w:rsidR="00D303A5" w:rsidRPr="00654FBA">
        <w:rPr>
          <w:color w:val="000000" w:themeColor="text1"/>
        </w:rPr>
        <w:t xml:space="preserve">; therefore, </w:t>
      </w:r>
      <w:r>
        <w:rPr>
          <w:color w:val="000000" w:themeColor="text1"/>
        </w:rPr>
        <w:t>Ms. Gray</w:t>
      </w:r>
      <w:r w:rsidR="00D303A5" w:rsidRPr="00654FBA">
        <w:rPr>
          <w:color w:val="000000" w:themeColor="text1"/>
        </w:rPr>
        <w:t xml:space="preserve"> has experienced an increase in income given her current gross monthly income of $</w:t>
      </w:r>
      <w:r w:rsidR="00702830">
        <w:rPr>
          <w:color w:val="000000" w:themeColor="text1"/>
        </w:rPr>
        <w:t>2,833</w:t>
      </w:r>
      <w:r w:rsidR="00D303A5" w:rsidRPr="00654FBA">
        <w:rPr>
          <w:color w:val="000000" w:themeColor="text1"/>
        </w:rPr>
        <w:t xml:space="preserve">.  Consequently, since </w:t>
      </w:r>
      <w:r>
        <w:rPr>
          <w:color w:val="000000" w:themeColor="text1"/>
        </w:rPr>
        <w:t>Ms. Gray</w:t>
      </w:r>
      <w:r w:rsidR="00D303A5" w:rsidRPr="00654FBA">
        <w:rPr>
          <w:color w:val="000000" w:themeColor="text1"/>
        </w:rPr>
        <w:t xml:space="preserve"> experienced an increase, not a decrease, in income, she is not eligible for a second Commission-issued payment arrangement.</w:t>
      </w:r>
      <w:r w:rsidR="0066021C" w:rsidRPr="0066021C">
        <w:t xml:space="preserve"> </w:t>
      </w:r>
      <w:r w:rsidR="0066021C" w:rsidRPr="00654FBA">
        <w:t>66 Pa.C.S. § 1405(d)</w:t>
      </w:r>
      <w:r w:rsidR="0066021C">
        <w:t>.</w:t>
      </w:r>
    </w:p>
    <w:p w14:paraId="0DCDADE3" w14:textId="77777777" w:rsidR="00D303A5" w:rsidRPr="00654FBA" w:rsidRDefault="00D303A5" w:rsidP="00D303A5">
      <w:pPr>
        <w:pStyle w:val="ListParagraph"/>
        <w:spacing w:after="0"/>
        <w:rPr>
          <w:rFonts w:ascii="Times New Roman" w:eastAsiaTheme="minorBidi" w:hAnsi="Times New Roman" w:cs="Times New Roman"/>
          <w:sz w:val="24"/>
          <w:szCs w:val="24"/>
        </w:rPr>
      </w:pPr>
    </w:p>
    <w:p w14:paraId="269487E0" w14:textId="2B03E566" w:rsidR="00D303A5" w:rsidRPr="00654FBA" w:rsidRDefault="00D303A5" w:rsidP="00D303A5">
      <w:pPr>
        <w:spacing w:after="0" w:line="360" w:lineRule="auto"/>
        <w:ind w:firstLine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While the Complainant is not eligible for a second Commission-issued payment arrangement, a provision of the Act provides that the Commission may reinstate and extend a previously ordered payment arrangement in limited circumstances where the customer has defaulted on that payment arrangement.  Specially, section 1405(e) </w:t>
      </w:r>
      <w:r w:rsidR="00702830">
        <w:rPr>
          <w:rFonts w:ascii="Times New Roman" w:hAnsi="Times New Roman" w:cs="Times New Roman"/>
          <w:color w:val="000000" w:themeColor="text1"/>
          <w:sz w:val="24"/>
          <w:szCs w:val="24"/>
        </w:rPr>
        <w:t>provides:</w:t>
      </w:r>
    </w:p>
    <w:p w14:paraId="2B2D6EDF" w14:textId="77777777" w:rsidR="00D303A5" w:rsidRPr="00654FBA" w:rsidRDefault="00D303A5" w:rsidP="00D303A5">
      <w:pPr>
        <w:spacing w:after="0" w:line="360" w:lineRule="auto"/>
        <w:ind w:firstLine="14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033A54" w14:textId="77777777" w:rsidR="00D303A5" w:rsidRPr="00654FBA" w:rsidRDefault="00D303A5" w:rsidP="00D303A5">
      <w:pPr>
        <w:tabs>
          <w:tab w:val="left" w:pos="1350"/>
        </w:tabs>
        <w:spacing w:after="0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F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(e) Extension of payment arrangements.--</w:t>
      </w:r>
      <w:r w:rsidRPr="00654FBA">
        <w:rPr>
          <w:rFonts w:ascii="Times New Roman" w:hAnsi="Times New Roman" w:cs="Times New Roman"/>
          <w:color w:val="000000" w:themeColor="text1"/>
          <w:sz w:val="24"/>
          <w:szCs w:val="24"/>
        </w:rPr>
        <w:t>If the customer defaults on a   payment arrangement . . . as a result</w:t>
      </w:r>
      <w:r w:rsidRPr="00654FB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54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a </w:t>
      </w:r>
      <w:r w:rsidRPr="00654FB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significant change in circumstance</w:t>
      </w:r>
      <w:r w:rsidRPr="00654FBA">
        <w:rPr>
          <w:rFonts w:ascii="Times New Roman" w:hAnsi="Times New Roman" w:cs="Times New Roman"/>
          <w:color w:val="000000" w:themeColor="text1"/>
          <w:sz w:val="24"/>
          <w:szCs w:val="24"/>
        </w:rPr>
        <w:t>,      the commission may reinstate the payment arrangement and extend the   remaining term for an initial period of six months . . . .</w:t>
      </w:r>
    </w:p>
    <w:p w14:paraId="5BE16FC5" w14:textId="77777777" w:rsidR="00D303A5" w:rsidRPr="00654FBA" w:rsidRDefault="00D303A5" w:rsidP="00D303A5">
      <w:pPr>
        <w:tabs>
          <w:tab w:val="left" w:pos="1350"/>
        </w:tabs>
        <w:spacing w:after="0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89CECD" w14:textId="77777777" w:rsidR="00D303A5" w:rsidRPr="00654FBA" w:rsidRDefault="00D303A5" w:rsidP="00D303A5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Pa.C.S. § 1405(e) (emphasis added).  </w:t>
      </w:r>
    </w:p>
    <w:p w14:paraId="2BCF8071" w14:textId="77777777" w:rsidR="00D303A5" w:rsidRPr="00654FBA" w:rsidRDefault="00D303A5" w:rsidP="00D303A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7F2D2A" w14:textId="77777777" w:rsidR="00D303A5" w:rsidRPr="00654FBA" w:rsidRDefault="00D303A5" w:rsidP="00D303A5">
      <w:pPr>
        <w:spacing w:after="0" w:line="36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Further, “significant change in circumstance” is defined as a customer with an </w:t>
      </w:r>
    </w:p>
    <w:p w14:paraId="1794040A" w14:textId="3F5FE07E" w:rsidR="00654FBA" w:rsidRPr="002E2669" w:rsidRDefault="00D303A5" w:rsidP="002E26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FBA">
        <w:rPr>
          <w:rFonts w:ascii="Times New Roman" w:hAnsi="Times New Roman" w:cs="Times New Roman"/>
          <w:color w:val="000000" w:themeColor="text1"/>
          <w:sz w:val="24"/>
          <w:szCs w:val="24"/>
        </w:rPr>
        <w:t>income less than 300% of the Federal poverty level, which Complainant is</w:t>
      </w:r>
      <w:r w:rsidR="003B324C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6"/>
      </w:r>
      <w:r w:rsidRPr="00654FBA">
        <w:rPr>
          <w:rFonts w:ascii="Times New Roman" w:hAnsi="Times New Roman" w:cs="Times New Roman"/>
          <w:color w:val="000000" w:themeColor="text1"/>
          <w:sz w:val="24"/>
          <w:szCs w:val="24"/>
        </w:rPr>
        <w:t>, who experienced one of the following:  (1) an onset of a chronic or acute illness resulting in a significant loss in the customer's household income; (2) a catastrophic damage to the customer's residence resulting in a significant net cost to the customer's household; (3) a loss of the customer's residence, or (4) an increase in the customer's number of dependents in the household.  66 Pa.C.S. § 1403.</w:t>
      </w:r>
      <w:r w:rsidR="0050136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54FBA">
        <w:rPr>
          <w:rFonts w:ascii="Times New Roman" w:eastAsia="Times New Roman" w:hAnsi="Times New Roman" w:cs="Times New Roman"/>
          <w:sz w:val="24"/>
          <w:szCs w:val="24"/>
        </w:rPr>
        <w:t xml:space="preserve">None of these are applicable.  There was no evidence that Complainant defaulted on her </w:t>
      </w:r>
      <w:r w:rsidR="00702830">
        <w:rPr>
          <w:rFonts w:ascii="Times New Roman" w:eastAsia="Times New Roman" w:hAnsi="Times New Roman" w:cs="Times New Roman"/>
          <w:sz w:val="24"/>
          <w:szCs w:val="24"/>
        </w:rPr>
        <w:t xml:space="preserve">2014 BCS payment arrangement </w:t>
      </w:r>
      <w:r w:rsidRPr="00654FBA">
        <w:rPr>
          <w:rFonts w:ascii="Times New Roman" w:eastAsia="Times New Roman" w:hAnsi="Times New Roman" w:cs="Times New Roman"/>
          <w:sz w:val="24"/>
          <w:szCs w:val="24"/>
        </w:rPr>
        <w:t>as the result of the onset of a chronic or acute illness, catastrophic damage to her residence, or loss of residence.  Further, there was a decrease in Complainant’s number of dependents in her household</w:t>
      </w:r>
      <w:r w:rsidR="0066021C">
        <w:rPr>
          <w:rFonts w:ascii="Times New Roman" w:eastAsia="Times New Roman" w:hAnsi="Times New Roman" w:cs="Times New Roman"/>
          <w:sz w:val="24"/>
          <w:szCs w:val="24"/>
        </w:rPr>
        <w:t>, not an increase.</w:t>
      </w:r>
    </w:p>
    <w:p w14:paraId="246BB32D" w14:textId="77777777" w:rsidR="00654FBA" w:rsidRPr="00654FBA" w:rsidRDefault="00654FBA" w:rsidP="00654F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1B730A" w14:textId="77777777" w:rsidR="00654FBA" w:rsidRPr="00654FBA" w:rsidRDefault="00654FBA" w:rsidP="00654FBA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54FBA">
        <w:rPr>
          <w:rFonts w:ascii="Times New Roman" w:eastAsia="Times New Roman" w:hAnsi="Times New Roman" w:cs="Times New Roman"/>
          <w:sz w:val="24"/>
          <w:szCs w:val="24"/>
        </w:rPr>
        <w:t xml:space="preserve">Consequently, I conclude that the Complainant has failed to establish by a </w:t>
      </w:r>
    </w:p>
    <w:p w14:paraId="431949AD" w14:textId="2C816E17" w:rsidR="00654FBA" w:rsidRPr="00654FBA" w:rsidRDefault="00654FBA" w:rsidP="00654F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FBA">
        <w:rPr>
          <w:rFonts w:ascii="Times New Roman" w:eastAsia="Times New Roman" w:hAnsi="Times New Roman" w:cs="Times New Roman"/>
          <w:sz w:val="24"/>
          <w:szCs w:val="24"/>
        </w:rPr>
        <w:t>preponderance of the evidence that she is eligible for a second Commission-issued payment arrangement or an extension of the prior one.  Therefore, I am constrained to conclude that the Commission lacks authority to order a second payment arrangement or an extension of the prior one in these circumstances.</w:t>
      </w:r>
    </w:p>
    <w:p w14:paraId="680C9449" w14:textId="77777777" w:rsidR="00255024" w:rsidRPr="00654FBA" w:rsidRDefault="00255024" w:rsidP="00255024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FBA">
        <w:rPr>
          <w:rFonts w:ascii="Times New Roman" w:hAnsi="Times New Roman" w:cs="Times New Roman"/>
          <w:sz w:val="24"/>
          <w:szCs w:val="24"/>
        </w:rPr>
        <w:tab/>
      </w:r>
      <w:r w:rsidRPr="00654FBA">
        <w:rPr>
          <w:rFonts w:ascii="Times New Roman" w:hAnsi="Times New Roman" w:cs="Times New Roman"/>
          <w:sz w:val="24"/>
          <w:szCs w:val="24"/>
        </w:rPr>
        <w:tab/>
      </w:r>
    </w:p>
    <w:p w14:paraId="5751D2EB" w14:textId="76D2F7FF" w:rsidR="00BD5884" w:rsidRPr="00575930" w:rsidRDefault="001407FF" w:rsidP="004D1AE9">
      <w:pPr>
        <w:tabs>
          <w:tab w:val="left" w:pos="720"/>
          <w:tab w:val="left" w:pos="153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4FBA">
        <w:rPr>
          <w:rFonts w:ascii="Times New Roman" w:eastAsia="Times New Roman" w:hAnsi="Times New Roman" w:cs="Times New Roman"/>
          <w:sz w:val="24"/>
          <w:szCs w:val="24"/>
          <w:u w:val="single"/>
        </w:rPr>
        <w:t>C</w:t>
      </w:r>
      <w:r w:rsidR="00BD5884" w:rsidRPr="00654FB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ONCLUSIONS OF LAW</w:t>
      </w:r>
    </w:p>
    <w:p w14:paraId="79156626" w14:textId="77777777" w:rsidR="00BD5884" w:rsidRPr="00654FBA" w:rsidRDefault="00BD5884" w:rsidP="002006FA">
      <w:pPr>
        <w:pStyle w:val="Style"/>
        <w:widowControl/>
        <w:autoSpaceDE/>
        <w:autoSpaceDN/>
        <w:adjustRightInd/>
        <w:spacing w:line="360" w:lineRule="auto"/>
      </w:pPr>
    </w:p>
    <w:p w14:paraId="37DBF001" w14:textId="77777777" w:rsidR="00F966BC" w:rsidRPr="00654FBA" w:rsidRDefault="0061146E" w:rsidP="00806AF6">
      <w:pPr>
        <w:pStyle w:val="ParaTab1"/>
        <w:numPr>
          <w:ilvl w:val="0"/>
          <w:numId w:val="1"/>
        </w:numPr>
        <w:tabs>
          <w:tab w:val="clear" w:pos="-720"/>
        </w:tabs>
        <w:suppressAutoHyphens w:val="0"/>
        <w:spacing w:line="360" w:lineRule="auto"/>
        <w:ind w:left="0" w:firstLine="1440"/>
        <w:rPr>
          <w:rFonts w:ascii="Times New Roman" w:eastAsiaTheme="minorHAnsi" w:hAnsi="Times New Roman" w:cs="Times New Roman"/>
        </w:rPr>
      </w:pPr>
      <w:r w:rsidRPr="00654FBA">
        <w:rPr>
          <w:rFonts w:ascii="Times New Roman" w:eastAsiaTheme="minorHAnsi" w:hAnsi="Times New Roman" w:cs="Times New Roman"/>
        </w:rPr>
        <w:t xml:space="preserve">The Commission has jurisdiction over the subject matter and the </w:t>
      </w:r>
      <w:r w:rsidR="00C108BE" w:rsidRPr="00654FBA">
        <w:rPr>
          <w:rFonts w:ascii="Times New Roman" w:eastAsiaTheme="minorHAnsi" w:hAnsi="Times New Roman" w:cs="Times New Roman"/>
        </w:rPr>
        <w:t>pa</w:t>
      </w:r>
      <w:r w:rsidR="00D679A5" w:rsidRPr="00654FBA">
        <w:rPr>
          <w:rFonts w:ascii="Times New Roman" w:eastAsiaTheme="minorHAnsi" w:hAnsi="Times New Roman" w:cs="Times New Roman"/>
        </w:rPr>
        <w:t>rties</w:t>
      </w:r>
      <w:r w:rsidRPr="00654FBA">
        <w:rPr>
          <w:rFonts w:ascii="Times New Roman" w:eastAsiaTheme="minorHAnsi" w:hAnsi="Times New Roman" w:cs="Times New Roman"/>
        </w:rPr>
        <w:t xml:space="preserve"> to </w:t>
      </w:r>
    </w:p>
    <w:p w14:paraId="44FCA568" w14:textId="176091DF" w:rsidR="0061146E" w:rsidRPr="00654FBA" w:rsidRDefault="0061146E" w:rsidP="00575930">
      <w:pPr>
        <w:pStyle w:val="ParaTab1"/>
        <w:tabs>
          <w:tab w:val="clear" w:pos="-720"/>
        </w:tabs>
        <w:suppressAutoHyphens w:val="0"/>
        <w:spacing w:line="360" w:lineRule="auto"/>
        <w:ind w:firstLine="0"/>
        <w:rPr>
          <w:rFonts w:ascii="Times New Roman" w:eastAsiaTheme="minorHAnsi" w:hAnsi="Times New Roman" w:cs="Times New Roman"/>
        </w:rPr>
      </w:pPr>
      <w:r w:rsidRPr="00654FBA">
        <w:rPr>
          <w:rFonts w:ascii="Times New Roman" w:eastAsiaTheme="minorHAnsi" w:hAnsi="Times New Roman" w:cs="Times New Roman"/>
        </w:rPr>
        <w:t>this proceeding.</w:t>
      </w:r>
      <w:r w:rsidR="00272596" w:rsidRPr="00654FBA">
        <w:rPr>
          <w:rFonts w:ascii="Times New Roman" w:eastAsiaTheme="minorHAnsi" w:hAnsi="Times New Roman" w:cs="Times New Roman"/>
        </w:rPr>
        <w:t xml:space="preserve">  66 Pa.C.S. § 701.</w:t>
      </w:r>
    </w:p>
    <w:p w14:paraId="2B626C50" w14:textId="77777777" w:rsidR="0061146E" w:rsidRPr="00654FBA" w:rsidRDefault="0061146E" w:rsidP="00575930">
      <w:pPr>
        <w:pStyle w:val="Style"/>
        <w:widowControl/>
        <w:adjustRightInd/>
        <w:spacing w:line="360" w:lineRule="auto"/>
      </w:pPr>
    </w:p>
    <w:p w14:paraId="79E1F141" w14:textId="77777777" w:rsidR="00BD5884" w:rsidRPr="00654FBA" w:rsidRDefault="00BD5884" w:rsidP="00925CB6">
      <w:pPr>
        <w:numPr>
          <w:ilvl w:val="0"/>
          <w:numId w:val="1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654FB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Section 332(a) of the Public Utility Code provides that the </w:t>
      </w:r>
      <w:r w:rsidR="00C108BE" w:rsidRPr="00654FBA">
        <w:rPr>
          <w:rFonts w:ascii="Times New Roman" w:eastAsia="Times New Roman" w:hAnsi="Times New Roman" w:cs="Times New Roman"/>
          <w:sz w:val="24"/>
          <w:szCs w:val="24"/>
        </w:rPr>
        <w:t>pa</w:t>
      </w:r>
      <w:r w:rsidR="00D679A5" w:rsidRPr="00654FBA">
        <w:rPr>
          <w:rFonts w:ascii="Times New Roman" w:eastAsia="Times New Roman" w:hAnsi="Times New Roman" w:cs="Times New Roman"/>
          <w:sz w:val="24"/>
          <w:szCs w:val="24"/>
        </w:rPr>
        <w:t>rty</w:t>
      </w:r>
      <w:r w:rsidRPr="00654FBA">
        <w:rPr>
          <w:rFonts w:ascii="Times New Roman" w:eastAsia="Times New Roman" w:hAnsi="Times New Roman" w:cs="Times New Roman"/>
          <w:sz w:val="24"/>
          <w:szCs w:val="24"/>
        </w:rPr>
        <w:t xml:space="preserve"> seeking relief from the Commission has the burden of proof.  66 Pa.C.S. § 332(a).</w:t>
      </w:r>
    </w:p>
    <w:p w14:paraId="6BF153A8" w14:textId="77777777" w:rsidR="00573903" w:rsidRPr="00654FBA" w:rsidRDefault="00573903" w:rsidP="00163A48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23366A" w14:textId="0F1F6941" w:rsidR="002D65B7" w:rsidRPr="00654FBA" w:rsidRDefault="00BD5884" w:rsidP="00925CB6">
      <w:pPr>
        <w:numPr>
          <w:ilvl w:val="0"/>
          <w:numId w:val="1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654FBA">
        <w:rPr>
          <w:rFonts w:ascii="Times New Roman" w:eastAsia="Times New Roman" w:hAnsi="Times New Roman" w:cs="Times New Roman"/>
          <w:sz w:val="24"/>
          <w:szCs w:val="24"/>
        </w:rPr>
        <w:t xml:space="preserve">"Burden of proof" means a duty to establish a fact by a preponderance of the evidence, or evidence more convincing, by even the smallest degree, than the evidence presented by the other </w:t>
      </w:r>
      <w:r w:rsidR="00C108BE" w:rsidRPr="00654FBA">
        <w:rPr>
          <w:rFonts w:ascii="Times New Roman" w:eastAsia="Times New Roman" w:hAnsi="Times New Roman" w:cs="Times New Roman"/>
          <w:sz w:val="24"/>
          <w:szCs w:val="24"/>
        </w:rPr>
        <w:t>pa</w:t>
      </w:r>
      <w:r w:rsidR="00D679A5" w:rsidRPr="00654FBA">
        <w:rPr>
          <w:rFonts w:ascii="Times New Roman" w:eastAsia="Times New Roman" w:hAnsi="Times New Roman" w:cs="Times New Roman"/>
          <w:sz w:val="24"/>
          <w:szCs w:val="24"/>
        </w:rPr>
        <w:t>rty</w:t>
      </w:r>
      <w:r w:rsidRPr="00654FB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654FBA">
        <w:rPr>
          <w:rFonts w:ascii="Times New Roman" w:eastAsia="Times New Roman" w:hAnsi="Times New Roman" w:cs="Times New Roman"/>
          <w:i/>
          <w:sz w:val="24"/>
          <w:szCs w:val="24"/>
        </w:rPr>
        <w:t>Se-Ling Hosiery v. Margulies</w:t>
      </w:r>
      <w:r w:rsidRPr="00654FBA">
        <w:rPr>
          <w:rFonts w:ascii="Times New Roman" w:eastAsia="Times New Roman" w:hAnsi="Times New Roman" w:cs="Times New Roman"/>
          <w:sz w:val="24"/>
          <w:szCs w:val="24"/>
        </w:rPr>
        <w:t>, 70 A.2d 854 (</w:t>
      </w:r>
      <w:r w:rsidR="0066021C">
        <w:rPr>
          <w:rFonts w:ascii="Times New Roman" w:eastAsia="Times New Roman" w:hAnsi="Times New Roman" w:cs="Times New Roman"/>
          <w:sz w:val="24"/>
          <w:szCs w:val="24"/>
        </w:rPr>
        <w:t xml:space="preserve">Pa. </w:t>
      </w:r>
      <w:r w:rsidRPr="00654FBA">
        <w:rPr>
          <w:rFonts w:ascii="Times New Roman" w:eastAsia="Times New Roman" w:hAnsi="Times New Roman" w:cs="Times New Roman"/>
          <w:sz w:val="24"/>
          <w:szCs w:val="24"/>
        </w:rPr>
        <w:t>1950).</w:t>
      </w:r>
    </w:p>
    <w:p w14:paraId="75EB4703" w14:textId="77777777" w:rsidR="000168B1" w:rsidRPr="00654FBA" w:rsidRDefault="000168B1" w:rsidP="00163A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03B5E" w14:textId="77E635AB" w:rsidR="000168B1" w:rsidRPr="00654FBA" w:rsidRDefault="000168B1" w:rsidP="00925CB6">
      <w:pPr>
        <w:numPr>
          <w:ilvl w:val="0"/>
          <w:numId w:val="1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654FBA">
        <w:rPr>
          <w:rFonts w:ascii="Times New Roman" w:hAnsi="Times New Roman" w:cs="Times New Roman"/>
          <w:iCs/>
          <w:sz w:val="24"/>
          <w:szCs w:val="24"/>
        </w:rPr>
        <w:t xml:space="preserve">The Responsible Utility Customer Protection Act, </w:t>
      </w:r>
      <w:r w:rsidRPr="00654FBA">
        <w:rPr>
          <w:rFonts w:ascii="Times New Roman" w:hAnsi="Times New Roman" w:cs="Times New Roman"/>
          <w:sz w:val="24"/>
          <w:szCs w:val="24"/>
        </w:rPr>
        <w:t>66 Pa.C.S. §§ 1401-141</w:t>
      </w:r>
      <w:r w:rsidR="004D433C">
        <w:rPr>
          <w:rFonts w:ascii="Times New Roman" w:hAnsi="Times New Roman" w:cs="Times New Roman"/>
          <w:sz w:val="24"/>
          <w:szCs w:val="24"/>
        </w:rPr>
        <w:t>9</w:t>
      </w:r>
      <w:r w:rsidRPr="00654FBA">
        <w:rPr>
          <w:rFonts w:ascii="Times New Roman" w:hAnsi="Times New Roman" w:cs="Times New Roman"/>
          <w:sz w:val="24"/>
          <w:szCs w:val="24"/>
        </w:rPr>
        <w:t xml:space="preserve">, </w:t>
      </w:r>
      <w:r w:rsidRPr="00654FBA">
        <w:rPr>
          <w:rFonts w:ascii="Times New Roman" w:hAnsi="Times New Roman" w:cs="Times New Roman"/>
          <w:iCs/>
          <w:sz w:val="24"/>
          <w:szCs w:val="24"/>
        </w:rPr>
        <w:t xml:space="preserve">applies to this proceeding. </w:t>
      </w:r>
    </w:p>
    <w:p w14:paraId="2FC279F7" w14:textId="77777777" w:rsidR="000168B1" w:rsidRPr="00654FBA" w:rsidRDefault="000168B1" w:rsidP="00163A48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CDB306" w14:textId="77777777" w:rsidR="00AA7FDB" w:rsidRPr="00654FBA" w:rsidRDefault="002D65B7" w:rsidP="00925CB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360" w:lineRule="auto"/>
        <w:ind w:left="0" w:firstLine="1440"/>
        <w:contextualSpacing/>
        <w:rPr>
          <w:rFonts w:ascii="Times New Roman" w:hAnsi="Times New Roman" w:cs="Times New Roman"/>
          <w:sz w:val="24"/>
          <w:szCs w:val="24"/>
        </w:rPr>
      </w:pPr>
      <w:r w:rsidRPr="00654FBA">
        <w:rPr>
          <w:rFonts w:ascii="Times New Roman" w:hAnsi="Times New Roman" w:cs="Times New Roman"/>
          <w:iCs/>
          <w:sz w:val="24"/>
          <w:szCs w:val="24"/>
        </w:rPr>
        <w:t xml:space="preserve">The Commission is authorized to establish a payment arrangement </w:t>
      </w:r>
    </w:p>
    <w:p w14:paraId="3859D328" w14:textId="77777777" w:rsidR="009A47E0" w:rsidRPr="00654FBA" w:rsidRDefault="002D65B7" w:rsidP="006D3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4FBA">
        <w:rPr>
          <w:rFonts w:ascii="Times New Roman" w:hAnsi="Times New Roman" w:cs="Times New Roman"/>
          <w:iCs/>
          <w:sz w:val="24"/>
          <w:szCs w:val="24"/>
        </w:rPr>
        <w:t>between a public utility and a</w:t>
      </w:r>
      <w:r w:rsidR="00225E92" w:rsidRPr="00654FBA">
        <w:rPr>
          <w:rFonts w:ascii="Times New Roman" w:hAnsi="Times New Roman" w:cs="Times New Roman"/>
          <w:iCs/>
          <w:sz w:val="24"/>
          <w:szCs w:val="24"/>
        </w:rPr>
        <w:t xml:space="preserve"> customer</w:t>
      </w:r>
      <w:r w:rsidRPr="00654FBA">
        <w:rPr>
          <w:rFonts w:ascii="Times New Roman" w:hAnsi="Times New Roman" w:cs="Times New Roman"/>
          <w:iCs/>
          <w:sz w:val="24"/>
          <w:szCs w:val="24"/>
        </w:rPr>
        <w:t>. 66 Pa.C.S. § 1405(a).</w:t>
      </w:r>
    </w:p>
    <w:p w14:paraId="4D9B168F" w14:textId="77777777" w:rsidR="002D65B7" w:rsidRPr="004D433C" w:rsidRDefault="002D65B7" w:rsidP="004D433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BD378D" w14:textId="77777777" w:rsidR="002D65B7" w:rsidRPr="00654FBA" w:rsidRDefault="002D65B7" w:rsidP="00925CB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360" w:lineRule="auto"/>
        <w:ind w:left="0" w:firstLine="1440"/>
        <w:contextualSpacing/>
        <w:rPr>
          <w:rFonts w:ascii="Times New Roman" w:hAnsi="Times New Roman" w:cs="Times New Roman"/>
          <w:sz w:val="24"/>
          <w:szCs w:val="24"/>
        </w:rPr>
      </w:pPr>
      <w:r w:rsidRPr="00654FBA">
        <w:rPr>
          <w:rFonts w:ascii="Times New Roman" w:eastAsia="Calibri" w:hAnsi="Times New Roman" w:cs="Times New Roman"/>
          <w:sz w:val="24"/>
          <w:szCs w:val="24"/>
        </w:rPr>
        <w:t>Absent a change in income, the Commission shall not establish or order a public utility to establish a second or subsequent payment arrangement if a customer</w:t>
      </w:r>
      <w:r w:rsidR="000168B1" w:rsidRPr="00654FBA">
        <w:rPr>
          <w:rFonts w:ascii="Times New Roman" w:eastAsia="Calibri" w:hAnsi="Times New Roman" w:cs="Times New Roman"/>
          <w:sz w:val="24"/>
          <w:szCs w:val="24"/>
        </w:rPr>
        <w:t xml:space="preserve"> or applicant</w:t>
      </w:r>
      <w:r w:rsidRPr="00654FBA">
        <w:rPr>
          <w:rFonts w:ascii="Times New Roman" w:eastAsia="Calibri" w:hAnsi="Times New Roman" w:cs="Times New Roman"/>
          <w:sz w:val="24"/>
          <w:szCs w:val="24"/>
        </w:rPr>
        <w:t xml:space="preserve"> has defaulted on a previous payment arrangement established by a commission order or decision. 66 Pa.C.S. § 1405(d).</w:t>
      </w:r>
    </w:p>
    <w:p w14:paraId="630900A0" w14:textId="77777777" w:rsidR="002D65B7" w:rsidRPr="00654FBA" w:rsidRDefault="002D65B7" w:rsidP="00163A4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69E33F" w14:textId="77777777" w:rsidR="009579ED" w:rsidRPr="00654FBA" w:rsidRDefault="002D65B7" w:rsidP="00925CB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360" w:lineRule="auto"/>
        <w:ind w:left="0" w:firstLine="1440"/>
        <w:contextualSpacing/>
        <w:rPr>
          <w:rFonts w:ascii="Times New Roman" w:hAnsi="Times New Roman" w:cs="Times New Roman"/>
          <w:sz w:val="24"/>
          <w:szCs w:val="24"/>
        </w:rPr>
      </w:pPr>
      <w:r w:rsidRPr="00654FBA">
        <w:rPr>
          <w:rFonts w:ascii="Times New Roman" w:hAnsi="Times New Roman" w:cs="Times New Roman"/>
          <w:sz w:val="24"/>
          <w:szCs w:val="24"/>
        </w:rPr>
        <w:t xml:space="preserve">A "change in income" is defined as: “A decrease in household income of 20% or more if the customer's household income level exceeds 200% of the Federal poverty level or a decrease in household income of 10% or more if the customer's household income level is 200% or less of the Federal poverty level.” </w:t>
      </w:r>
      <w:r w:rsidR="00870F5E" w:rsidRPr="00654FBA">
        <w:rPr>
          <w:rFonts w:ascii="Times New Roman" w:hAnsi="Times New Roman" w:cs="Times New Roman"/>
          <w:sz w:val="24"/>
          <w:szCs w:val="24"/>
        </w:rPr>
        <w:t xml:space="preserve"> </w:t>
      </w:r>
      <w:r w:rsidRPr="00654FBA">
        <w:rPr>
          <w:rFonts w:ascii="Times New Roman" w:hAnsi="Times New Roman" w:cs="Times New Roman"/>
          <w:sz w:val="24"/>
          <w:szCs w:val="24"/>
        </w:rPr>
        <w:t xml:space="preserve">66 Pa.C.S. § 1403.  </w:t>
      </w:r>
    </w:p>
    <w:p w14:paraId="583FE205" w14:textId="77777777" w:rsidR="00163A48" w:rsidRPr="00654FBA" w:rsidRDefault="00163A48" w:rsidP="00163A4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CEB6A8" w14:textId="77777777" w:rsidR="009579ED" w:rsidRPr="00654FBA" w:rsidRDefault="009579ED" w:rsidP="00925CB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360" w:lineRule="auto"/>
        <w:ind w:left="0" w:firstLine="1440"/>
        <w:contextualSpacing/>
        <w:rPr>
          <w:rFonts w:ascii="Times New Roman" w:hAnsi="Times New Roman" w:cs="Times New Roman"/>
          <w:sz w:val="24"/>
          <w:szCs w:val="24"/>
        </w:rPr>
      </w:pPr>
      <w:r w:rsidRPr="00654FBA">
        <w:rPr>
          <w:rFonts w:ascii="Times New Roman" w:hAnsi="Times New Roman" w:cs="Times New Roman"/>
          <w:spacing w:val="-3"/>
          <w:sz w:val="24"/>
          <w:szCs w:val="24"/>
        </w:rPr>
        <w:t>Complainant has failed to carry her burden of proving that she is eligible for</w:t>
      </w:r>
    </w:p>
    <w:p w14:paraId="06420089" w14:textId="77777777" w:rsidR="002D65B7" w:rsidRPr="00654FBA" w:rsidRDefault="009579ED" w:rsidP="00163A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360" w:lineRule="auto"/>
        <w:contextualSpacing/>
        <w:rPr>
          <w:rFonts w:ascii="Times New Roman" w:hAnsi="Times New Roman" w:cs="Times New Roman"/>
          <w:spacing w:val="-3"/>
          <w:sz w:val="24"/>
          <w:szCs w:val="24"/>
        </w:rPr>
      </w:pPr>
      <w:r w:rsidRPr="00654FBA">
        <w:rPr>
          <w:rFonts w:ascii="Times New Roman" w:hAnsi="Times New Roman" w:cs="Times New Roman"/>
          <w:spacing w:val="-3"/>
          <w:sz w:val="24"/>
          <w:szCs w:val="24"/>
        </w:rPr>
        <w:t>a second or subsequent Commission-issued payment arrangement.  66 Pa.C.S. § 1405(d).</w:t>
      </w:r>
    </w:p>
    <w:p w14:paraId="2D1B2F68" w14:textId="77777777" w:rsidR="00163A48" w:rsidRPr="00654FBA" w:rsidRDefault="00163A48" w:rsidP="00163A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360" w:lineRule="auto"/>
        <w:contextualSpacing/>
        <w:rPr>
          <w:rFonts w:ascii="Times New Roman" w:hAnsi="Times New Roman" w:cs="Times New Roman"/>
          <w:spacing w:val="-3"/>
          <w:sz w:val="24"/>
          <w:szCs w:val="24"/>
        </w:rPr>
      </w:pPr>
    </w:p>
    <w:p w14:paraId="06F685FF" w14:textId="77777777" w:rsidR="00FA22E4" w:rsidRPr="00654FBA" w:rsidRDefault="001B5627" w:rsidP="00925CB6">
      <w:pPr>
        <w:numPr>
          <w:ilvl w:val="0"/>
          <w:numId w:val="1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654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the customer defaults on a payment arrangement as a result of a significant change in circumstance, the Commission may reinstate the payment arrangement and extend the remaining term for an initial period of six months. </w:t>
      </w:r>
      <w:bookmarkStart w:id="7" w:name="_Hlk528752277"/>
      <w:r w:rsidR="00870F5E" w:rsidRPr="00654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4FBA">
        <w:rPr>
          <w:rFonts w:ascii="Times New Roman" w:hAnsi="Times New Roman" w:cs="Times New Roman"/>
          <w:color w:val="000000" w:themeColor="text1"/>
          <w:sz w:val="24"/>
          <w:szCs w:val="24"/>
        </w:rPr>
        <w:t>66 Pa.C.S. § 1405</w:t>
      </w:r>
      <w:r w:rsidR="009579ED" w:rsidRPr="00654FBA">
        <w:rPr>
          <w:rFonts w:ascii="Times New Roman" w:hAnsi="Times New Roman" w:cs="Times New Roman"/>
          <w:color w:val="000000" w:themeColor="text1"/>
          <w:sz w:val="24"/>
          <w:szCs w:val="24"/>
        </w:rPr>
        <w:t>(e)</w:t>
      </w:r>
      <w:r w:rsidR="00FA22E4" w:rsidRPr="00654F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7F399D" w14:textId="77777777" w:rsidR="009579ED" w:rsidRPr="00654FBA" w:rsidRDefault="009579ED" w:rsidP="00163A48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7"/>
    <w:p w14:paraId="3DD21BCB" w14:textId="77777777" w:rsidR="00801713" w:rsidRPr="00654FBA" w:rsidRDefault="003E1824" w:rsidP="00925CB6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4F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54FB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1B5627" w:rsidRPr="00654F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Complainant has failed to carry her burden of proving that she is eligible </w:t>
      </w:r>
      <w:r w:rsidR="009B14CF" w:rsidRPr="00654F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for </w:t>
      </w:r>
    </w:p>
    <w:p w14:paraId="408119D5" w14:textId="4D4BF379" w:rsidR="009579ED" w:rsidRPr="00654FBA" w:rsidRDefault="009579ED" w:rsidP="00801713">
      <w:p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4FBA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1B5627" w:rsidRPr="00654F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reinstatement of </w:t>
      </w:r>
      <w:r w:rsidRPr="00654F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the </w:t>
      </w:r>
      <w:r w:rsidR="001B5627" w:rsidRPr="00654F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Commission-issued payment arrangement </w:t>
      </w:r>
      <w:r w:rsidR="00225E92" w:rsidRPr="00654FBA">
        <w:rPr>
          <w:rFonts w:ascii="Times New Roman" w:eastAsia="Times New Roman" w:hAnsi="Times New Roman" w:cs="Times New Roman"/>
          <w:sz w:val="24"/>
          <w:szCs w:val="24"/>
        </w:rPr>
        <w:t xml:space="preserve">at BCS No. </w:t>
      </w:r>
      <w:r w:rsidR="0050136B" w:rsidRPr="004D433C">
        <w:rPr>
          <w:rFonts w:ascii="Times New Roman" w:eastAsiaTheme="minorBidi" w:hAnsi="Times New Roman" w:cs="Times New Roman"/>
          <w:sz w:val="24"/>
          <w:szCs w:val="24"/>
        </w:rPr>
        <w:t>3226883</w:t>
      </w:r>
      <w:r w:rsidR="00225E92" w:rsidRPr="00654F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54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66 Pa.C.S. § 1405(e).</w:t>
      </w:r>
    </w:p>
    <w:p w14:paraId="33C8C71D" w14:textId="77777777" w:rsidR="009A47E0" w:rsidRPr="00654FBA" w:rsidRDefault="009A47E0" w:rsidP="008A59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88B68FF" w14:textId="77777777" w:rsidR="00C06D07" w:rsidRPr="00654FBA" w:rsidRDefault="00BD5884" w:rsidP="00AA7F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54FBA">
        <w:rPr>
          <w:rFonts w:ascii="Times New Roman" w:eastAsia="Times New Roman" w:hAnsi="Times New Roman" w:cs="Times New Roman"/>
          <w:sz w:val="24"/>
          <w:szCs w:val="24"/>
          <w:u w:val="single"/>
        </w:rPr>
        <w:t>ORDER</w:t>
      </w:r>
    </w:p>
    <w:p w14:paraId="5747C0B9" w14:textId="10705B2F" w:rsidR="00163A48" w:rsidRDefault="00163A48" w:rsidP="00163A4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66C409" w14:textId="77777777" w:rsidR="00447C20" w:rsidRPr="00654FBA" w:rsidRDefault="00447C20" w:rsidP="00163A4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B95AFC" w14:textId="77777777" w:rsidR="00BD5884" w:rsidRPr="00654FBA" w:rsidRDefault="00BD5884" w:rsidP="00163A4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FBA">
        <w:rPr>
          <w:rFonts w:ascii="Times New Roman" w:eastAsia="Times New Roman" w:hAnsi="Times New Roman" w:cs="Times New Roman"/>
          <w:sz w:val="24"/>
          <w:szCs w:val="24"/>
        </w:rPr>
        <w:tab/>
      </w:r>
      <w:r w:rsidRPr="00654FBA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3FE47753" w14:textId="77777777" w:rsidR="00AA7FDB" w:rsidRPr="00654FBA" w:rsidRDefault="00AA7FDB" w:rsidP="00163A4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C275B5" w14:textId="77777777" w:rsidR="00BD5884" w:rsidRPr="00654FBA" w:rsidRDefault="00BD5884" w:rsidP="00163A4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FBA">
        <w:rPr>
          <w:rFonts w:ascii="Times New Roman" w:eastAsia="Times New Roman" w:hAnsi="Times New Roman" w:cs="Times New Roman"/>
          <w:sz w:val="24"/>
          <w:szCs w:val="24"/>
        </w:rPr>
        <w:tab/>
      </w:r>
      <w:r w:rsidRPr="00654FBA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14:paraId="512A7054" w14:textId="77777777" w:rsidR="006D3499" w:rsidRPr="00654FBA" w:rsidRDefault="006D3499" w:rsidP="00163A4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241C9B" w14:textId="4F06A8EB" w:rsidR="00C73B33" w:rsidRPr="00654FBA" w:rsidRDefault="00C73B33" w:rsidP="00925CB6">
      <w:pPr>
        <w:pStyle w:val="ParaTab1"/>
        <w:numPr>
          <w:ilvl w:val="0"/>
          <w:numId w:val="2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654FBA">
        <w:rPr>
          <w:rFonts w:ascii="Times New Roman" w:hAnsi="Times New Roman" w:cs="Times New Roman"/>
          <w:spacing w:val="-3"/>
        </w:rPr>
        <w:t xml:space="preserve">That the </w:t>
      </w:r>
      <w:r w:rsidR="001B5627" w:rsidRPr="00654FBA">
        <w:rPr>
          <w:rFonts w:ascii="Times New Roman" w:hAnsi="Times New Roman" w:cs="Times New Roman"/>
          <w:spacing w:val="-3"/>
        </w:rPr>
        <w:t xml:space="preserve">complaint of </w:t>
      </w:r>
      <w:r w:rsidR="002F5D3E">
        <w:rPr>
          <w:rFonts w:ascii="Times New Roman" w:hAnsi="Times New Roman" w:cs="Times New Roman"/>
          <w:spacing w:val="-3"/>
        </w:rPr>
        <w:t>Tenika Gray</w:t>
      </w:r>
      <w:r w:rsidR="001B5627" w:rsidRPr="00654FBA">
        <w:rPr>
          <w:rFonts w:ascii="Times New Roman" w:hAnsi="Times New Roman" w:cs="Times New Roman"/>
          <w:spacing w:val="-3"/>
        </w:rPr>
        <w:t xml:space="preserve"> against </w:t>
      </w:r>
      <w:r w:rsidR="00623451" w:rsidRPr="00654FBA">
        <w:rPr>
          <w:rFonts w:ascii="Times New Roman" w:hAnsi="Times New Roman" w:cs="Times New Roman"/>
          <w:spacing w:val="-3"/>
        </w:rPr>
        <w:t>Philadelphia Gas Works</w:t>
      </w:r>
      <w:r w:rsidR="00ED57DB" w:rsidRPr="00654FBA">
        <w:rPr>
          <w:rFonts w:ascii="Times New Roman" w:hAnsi="Times New Roman" w:cs="Times New Roman"/>
          <w:spacing w:val="-3"/>
        </w:rPr>
        <w:t xml:space="preserve"> </w:t>
      </w:r>
      <w:r w:rsidR="001B5627" w:rsidRPr="00654FBA">
        <w:rPr>
          <w:rFonts w:ascii="Times New Roman" w:hAnsi="Times New Roman" w:cs="Times New Roman"/>
          <w:spacing w:val="-3"/>
        </w:rPr>
        <w:t xml:space="preserve">at </w:t>
      </w:r>
      <w:r w:rsidR="00ED57DB" w:rsidRPr="00654FBA">
        <w:rPr>
          <w:rFonts w:ascii="Times New Roman" w:hAnsi="Times New Roman" w:cs="Times New Roman"/>
          <w:spacing w:val="-3"/>
        </w:rPr>
        <w:t xml:space="preserve">Docket </w:t>
      </w:r>
      <w:r w:rsidR="001B5627" w:rsidRPr="00654FBA">
        <w:rPr>
          <w:rFonts w:ascii="Times New Roman" w:hAnsi="Times New Roman" w:cs="Times New Roman"/>
          <w:spacing w:val="-3"/>
        </w:rPr>
        <w:t>No.</w:t>
      </w:r>
      <w:r w:rsidR="00623451" w:rsidRPr="00654FBA">
        <w:rPr>
          <w:rFonts w:ascii="Times New Roman" w:hAnsi="Times New Roman" w:cs="Times New Roman"/>
          <w:spacing w:val="-3"/>
        </w:rPr>
        <w:t xml:space="preserve"> C-2018-</w:t>
      </w:r>
      <w:r w:rsidR="002F5D3E">
        <w:rPr>
          <w:rFonts w:ascii="Times New Roman" w:hAnsi="Times New Roman" w:cs="Times New Roman"/>
          <w:spacing w:val="-3"/>
        </w:rPr>
        <w:t>3005910</w:t>
      </w:r>
      <w:r w:rsidR="008F1F29" w:rsidRPr="00654FBA">
        <w:rPr>
          <w:rFonts w:ascii="Times New Roman" w:hAnsi="Times New Roman" w:cs="Times New Roman"/>
          <w:spacing w:val="-3"/>
        </w:rPr>
        <w:t xml:space="preserve"> </w:t>
      </w:r>
      <w:r w:rsidRPr="00654FBA">
        <w:rPr>
          <w:rFonts w:ascii="Times New Roman" w:hAnsi="Times New Roman" w:cs="Times New Roman"/>
          <w:spacing w:val="-3"/>
        </w:rPr>
        <w:t>is denied.</w:t>
      </w:r>
    </w:p>
    <w:p w14:paraId="586A5B32" w14:textId="77777777" w:rsidR="00C73B33" w:rsidRPr="00654FBA" w:rsidRDefault="00C73B33" w:rsidP="00163A48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33974CB" w14:textId="6CCBB8DB" w:rsidR="00A77106" w:rsidRPr="00654FBA" w:rsidRDefault="00BD5884" w:rsidP="00925CB6">
      <w:pPr>
        <w:numPr>
          <w:ilvl w:val="0"/>
          <w:numId w:val="2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54FBA">
        <w:rPr>
          <w:rFonts w:ascii="Times New Roman" w:eastAsia="Times New Roman" w:hAnsi="Times New Roman" w:cs="Times New Roman"/>
          <w:spacing w:val="-3"/>
          <w:sz w:val="24"/>
          <w:szCs w:val="24"/>
        </w:rPr>
        <w:t>That the</w:t>
      </w:r>
      <w:r w:rsidR="00C250FB" w:rsidRPr="00654F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15C87" w:rsidRPr="00654F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docket at Docket No. </w:t>
      </w:r>
      <w:r w:rsidR="00623451" w:rsidRPr="00654FBA">
        <w:rPr>
          <w:rFonts w:ascii="Times New Roman" w:hAnsi="Times New Roman" w:cs="Times New Roman"/>
          <w:spacing w:val="-3"/>
          <w:sz w:val="24"/>
          <w:szCs w:val="24"/>
        </w:rPr>
        <w:t>C-2018-</w:t>
      </w:r>
      <w:r w:rsidR="002F5D3E">
        <w:rPr>
          <w:rFonts w:ascii="Times New Roman" w:hAnsi="Times New Roman" w:cs="Times New Roman"/>
          <w:spacing w:val="-3"/>
          <w:sz w:val="24"/>
          <w:szCs w:val="24"/>
        </w:rPr>
        <w:t>3005910</w:t>
      </w:r>
      <w:r w:rsidR="00715C87" w:rsidRPr="00654F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be mark</w:t>
      </w:r>
      <w:r w:rsidR="00ED57DB" w:rsidRPr="00654FBA">
        <w:rPr>
          <w:rFonts w:ascii="Times New Roman" w:eastAsia="Times New Roman" w:hAnsi="Times New Roman" w:cs="Times New Roman"/>
          <w:spacing w:val="-3"/>
          <w:sz w:val="24"/>
          <w:szCs w:val="24"/>
        </w:rPr>
        <w:t>ed</w:t>
      </w:r>
      <w:r w:rsidR="00715C87" w:rsidRPr="00654F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closed</w:t>
      </w:r>
      <w:r w:rsidR="00ED57DB" w:rsidRPr="00654FBA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14:paraId="4E424B3D" w14:textId="77777777" w:rsidR="00715C87" w:rsidRPr="00654FBA" w:rsidRDefault="00715C87" w:rsidP="00163A48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F71C2EF" w14:textId="6FF0F841" w:rsidR="00BD5884" w:rsidRPr="00654FBA" w:rsidRDefault="00BD5884" w:rsidP="00163A48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654FBA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654FB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4D433C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February </w:t>
      </w:r>
      <w:r w:rsidR="00762A19" w:rsidRPr="00654FB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1</w:t>
      </w:r>
      <w:r w:rsidR="004D433C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3</w:t>
      </w:r>
      <w:r w:rsidR="009F7A18" w:rsidRPr="00654FB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, 201</w:t>
      </w:r>
      <w:r w:rsidR="00F3234C" w:rsidRPr="00654FB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9</w:t>
      </w:r>
      <w:r w:rsidRPr="00654FB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A34728" w:rsidRPr="00654FB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A34728" w:rsidRPr="00654FB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  <w:t>/s/</w:t>
      </w:r>
      <w:r w:rsidR="00A34728" w:rsidRPr="00654FB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A34728" w:rsidRPr="00654FB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A34728" w:rsidRPr="00654FB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</w:p>
    <w:p w14:paraId="199A1768" w14:textId="4CCD829D" w:rsidR="00EB2BE1" w:rsidRPr="00654FBA" w:rsidRDefault="00BD5884" w:rsidP="00CB3393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54FB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4FB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5075FC" w:rsidRPr="00654FBA">
        <w:rPr>
          <w:rFonts w:ascii="Times New Roman" w:eastAsia="Times New Roman" w:hAnsi="Times New Roman" w:cs="Times New Roman"/>
          <w:spacing w:val="-3"/>
          <w:sz w:val="24"/>
          <w:szCs w:val="24"/>
        </w:rPr>
        <w:t>Gail M. Chiodo</w:t>
      </w:r>
      <w:r w:rsidR="00DA60FE" w:rsidRPr="00654FBA">
        <w:rPr>
          <w:rFonts w:ascii="Times New Roman" w:eastAsia="Times New Roman" w:hAnsi="Times New Roman" w:cs="Times New Roman"/>
          <w:spacing w:val="-3"/>
          <w:sz w:val="24"/>
          <w:szCs w:val="24"/>
        </w:rPr>
        <w:br/>
      </w:r>
      <w:r w:rsidR="00DA60FE" w:rsidRPr="00654FB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DA60FE" w:rsidRPr="00654FB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Special Agent</w:t>
      </w:r>
      <w:bookmarkEnd w:id="0"/>
    </w:p>
    <w:sectPr w:rsidR="00EB2BE1" w:rsidRPr="00654FBA" w:rsidSect="00A7325C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409D5" w14:textId="77777777" w:rsidR="005F5445" w:rsidRDefault="005F5445" w:rsidP="00CE5CC7">
      <w:pPr>
        <w:spacing w:after="0" w:line="240" w:lineRule="auto"/>
      </w:pPr>
      <w:r>
        <w:separator/>
      </w:r>
    </w:p>
  </w:endnote>
  <w:endnote w:type="continuationSeparator" w:id="0">
    <w:p w14:paraId="506DE188" w14:textId="77777777" w:rsidR="005F5445" w:rsidRDefault="005F5445" w:rsidP="00CE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639727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38391D" w14:textId="77777777" w:rsidR="00FA22E4" w:rsidRPr="00932A73" w:rsidRDefault="00FA22E4" w:rsidP="00932A7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32A7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32A7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32A73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932A7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7E15B" w14:textId="77777777" w:rsidR="00FA22E4" w:rsidRPr="0011578E" w:rsidRDefault="00FA22E4" w:rsidP="00932A73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4E899" w14:textId="77777777" w:rsidR="005F5445" w:rsidRDefault="005F5445" w:rsidP="00CE5CC7">
      <w:pPr>
        <w:spacing w:after="0" w:line="240" w:lineRule="auto"/>
      </w:pPr>
      <w:r>
        <w:separator/>
      </w:r>
    </w:p>
  </w:footnote>
  <w:footnote w:type="continuationSeparator" w:id="0">
    <w:p w14:paraId="38EA4637" w14:textId="77777777" w:rsidR="005F5445" w:rsidRDefault="005F5445" w:rsidP="00CE5CC7">
      <w:pPr>
        <w:spacing w:after="0" w:line="240" w:lineRule="auto"/>
      </w:pPr>
      <w:r>
        <w:continuationSeparator/>
      </w:r>
    </w:p>
  </w:footnote>
  <w:footnote w:id="1">
    <w:p w14:paraId="49C2ECC7" w14:textId="324FAADF" w:rsidR="00FA22E4" w:rsidRDefault="00FA22E4">
      <w:pPr>
        <w:pStyle w:val="FootnoteText"/>
        <w:rPr>
          <w:rFonts w:ascii="Times New Roman" w:hAnsi="Times New Roman" w:cs="Times New Roman"/>
        </w:rPr>
      </w:pPr>
      <w:r w:rsidRPr="008A2C23">
        <w:rPr>
          <w:rStyle w:val="FootnoteReference"/>
          <w:rFonts w:ascii="Times New Roman" w:hAnsi="Times New Roman" w:cs="Times New Roman"/>
        </w:rPr>
        <w:footnoteRef/>
      </w:r>
      <w:r w:rsidRPr="008A2C23">
        <w:rPr>
          <w:rFonts w:ascii="Times New Roman" w:hAnsi="Times New Roman" w:cs="Times New Roman"/>
        </w:rPr>
        <w:t xml:space="preserve"> </w:t>
      </w:r>
      <w:r>
        <w:tab/>
      </w:r>
      <w:r w:rsidRPr="00507887">
        <w:rPr>
          <w:rFonts w:ascii="Times New Roman" w:hAnsi="Times New Roman" w:cs="Times New Roman"/>
        </w:rPr>
        <w:t>52 Pa. Code § 56.174</w:t>
      </w:r>
      <w:r>
        <w:rPr>
          <w:rFonts w:ascii="Times New Roman" w:hAnsi="Times New Roman" w:cs="Times New Roman"/>
        </w:rPr>
        <w:t xml:space="preserve"> (providing for review by a special agent of decisions of the </w:t>
      </w:r>
      <w:r w:rsidR="008A3583">
        <w:rPr>
          <w:rFonts w:ascii="Times New Roman" w:hAnsi="Times New Roman" w:cs="Times New Roman"/>
        </w:rPr>
        <w:t>Bureau of Consumer Services (</w:t>
      </w:r>
      <w:r>
        <w:rPr>
          <w:rFonts w:ascii="Times New Roman" w:hAnsi="Times New Roman" w:cs="Times New Roman"/>
        </w:rPr>
        <w:t>BCS</w:t>
      </w:r>
      <w:r w:rsidR="008A358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and any other case in which the issue is solely the ability to pay</w:t>
      </w:r>
      <w:r w:rsidR="00870F5E">
        <w:rPr>
          <w:rFonts w:ascii="Times New Roman" w:hAnsi="Times New Roman" w:cs="Times New Roman"/>
        </w:rPr>
        <w:t>)</w:t>
      </w:r>
      <w:r w:rsidR="008A3583">
        <w:rPr>
          <w:rFonts w:ascii="Times New Roman" w:hAnsi="Times New Roman" w:cs="Times New Roman"/>
        </w:rPr>
        <w:t>.</w:t>
      </w:r>
    </w:p>
    <w:p w14:paraId="56026A14" w14:textId="77777777" w:rsidR="00FA22E4" w:rsidRPr="00B73D57" w:rsidRDefault="00FA22E4">
      <w:pPr>
        <w:pStyle w:val="FootnoteText"/>
        <w:rPr>
          <w:rFonts w:ascii="Times New Roman" w:hAnsi="Times New Roman" w:cs="Times New Roman"/>
        </w:rPr>
      </w:pPr>
    </w:p>
  </w:footnote>
  <w:footnote w:id="2">
    <w:p w14:paraId="35AC6EA9" w14:textId="77777777" w:rsidR="009C61F0" w:rsidRPr="00860BF1" w:rsidRDefault="009C61F0" w:rsidP="009C61F0">
      <w:pPr>
        <w:pStyle w:val="FootnoteText"/>
        <w:rPr>
          <w:rFonts w:ascii="Times New Roman" w:hAnsi="Times New Roman" w:cs="Times New Roman"/>
        </w:rPr>
      </w:pPr>
      <w:r w:rsidRPr="00860BF1">
        <w:rPr>
          <w:rStyle w:val="FootnoteReference"/>
          <w:rFonts w:ascii="Times New Roman" w:hAnsi="Times New Roman" w:cs="Times New Roman"/>
        </w:rPr>
        <w:footnoteRef/>
      </w:r>
      <w:r w:rsidRPr="00860B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Pursuant to </w:t>
      </w:r>
      <w:r w:rsidRPr="00507887">
        <w:rPr>
          <w:rFonts w:ascii="Times New Roman" w:hAnsi="Times New Roman" w:cs="Times New Roman"/>
        </w:rPr>
        <w:t>52 Pa. Code § 56.174</w:t>
      </w:r>
      <w:r>
        <w:rPr>
          <w:rFonts w:ascii="Times New Roman" w:hAnsi="Times New Roman" w:cs="Times New Roman"/>
        </w:rPr>
        <w:t>(3), t</w:t>
      </w:r>
      <w:r w:rsidRPr="00860BF1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 xml:space="preserve"> </w:t>
      </w:r>
      <w:r w:rsidRPr="00860BF1">
        <w:rPr>
          <w:rFonts w:ascii="Times New Roman" w:hAnsi="Times New Roman" w:cs="Times New Roman"/>
        </w:rPr>
        <w:t>hearing was</w:t>
      </w:r>
      <w:r>
        <w:rPr>
          <w:rFonts w:ascii="Times New Roman" w:hAnsi="Times New Roman" w:cs="Times New Roman"/>
        </w:rPr>
        <w:t xml:space="preserve"> tape recorded.  No court reporter was present.</w:t>
      </w:r>
    </w:p>
  </w:footnote>
  <w:footnote w:id="3">
    <w:p w14:paraId="331E2ABA" w14:textId="25F47893" w:rsidR="00C60D3B" w:rsidRDefault="00C60D3B" w:rsidP="00C60D3B">
      <w:pPr>
        <w:pStyle w:val="FootnoteText"/>
        <w:rPr>
          <w:rFonts w:ascii="Times New Roman" w:hAnsi="Times New Roman" w:cs="Times New Roman"/>
        </w:rPr>
      </w:pPr>
      <w:r w:rsidRPr="008A2C23">
        <w:rPr>
          <w:rStyle w:val="FootnoteReference"/>
          <w:rFonts w:ascii="Times New Roman" w:hAnsi="Times New Roman" w:cs="Times New Roman"/>
        </w:rPr>
        <w:footnoteRef/>
      </w:r>
      <w:r>
        <w:t xml:space="preserve"> </w:t>
      </w:r>
      <w:r>
        <w:tab/>
      </w:r>
      <w:r w:rsidRPr="00790D28">
        <w:rPr>
          <w:rFonts w:ascii="Times New Roman" w:hAnsi="Times New Roman" w:cs="Times New Roman"/>
        </w:rPr>
        <w:t xml:space="preserve">A level </w:t>
      </w:r>
      <w:r w:rsidR="00A73619" w:rsidRPr="00790D28">
        <w:rPr>
          <w:rFonts w:ascii="Times New Roman" w:hAnsi="Times New Roman" w:cs="Times New Roman"/>
        </w:rPr>
        <w:t>one</w:t>
      </w:r>
      <w:r w:rsidRPr="00790D28">
        <w:rPr>
          <w:rFonts w:ascii="Times New Roman" w:hAnsi="Times New Roman" w:cs="Times New Roman"/>
        </w:rPr>
        <w:t xml:space="preserve"> customer</w:t>
      </w:r>
      <w:r w:rsidRPr="00392E53">
        <w:rPr>
          <w:rFonts w:ascii="Times New Roman" w:hAnsi="Times New Roman" w:cs="Times New Roman"/>
        </w:rPr>
        <w:t xml:space="preserve"> is defined as a </w:t>
      </w:r>
      <w:r w:rsidR="00ED75C9">
        <w:rPr>
          <w:rFonts w:ascii="Times New Roman" w:hAnsi="Times New Roman" w:cs="Times New Roman"/>
        </w:rPr>
        <w:t xml:space="preserve">customer </w:t>
      </w:r>
      <w:r w:rsidRPr="00392E53">
        <w:rPr>
          <w:rFonts w:ascii="Times New Roman" w:hAnsi="Times New Roman" w:cs="Times New Roman"/>
        </w:rPr>
        <w:t xml:space="preserve">with </w:t>
      </w:r>
      <w:r>
        <w:rPr>
          <w:rFonts w:ascii="Times New Roman" w:hAnsi="Times New Roman" w:cs="Times New Roman"/>
        </w:rPr>
        <w:t xml:space="preserve">a </w:t>
      </w:r>
      <w:r w:rsidR="00795CCE">
        <w:rPr>
          <w:rFonts w:ascii="Times New Roman" w:hAnsi="Times New Roman" w:cs="Times New Roman"/>
        </w:rPr>
        <w:t xml:space="preserve">household </w:t>
      </w:r>
      <w:r w:rsidRPr="00392E53">
        <w:rPr>
          <w:rFonts w:ascii="Times New Roman" w:hAnsi="Times New Roman" w:cs="Times New Roman"/>
        </w:rPr>
        <w:t xml:space="preserve">gross monthly income level not </w:t>
      </w:r>
      <w:r>
        <w:rPr>
          <w:rFonts w:ascii="Times New Roman" w:hAnsi="Times New Roman" w:cs="Times New Roman"/>
        </w:rPr>
        <w:t>ex</w:t>
      </w:r>
      <w:r w:rsidRPr="00392E5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e</w:t>
      </w:r>
      <w:r w:rsidRPr="00392E53">
        <w:rPr>
          <w:rFonts w:ascii="Times New Roman" w:hAnsi="Times New Roman" w:cs="Times New Roman"/>
        </w:rPr>
        <w:t xml:space="preserve">eding </w:t>
      </w:r>
      <w:r>
        <w:rPr>
          <w:rFonts w:ascii="Times New Roman" w:hAnsi="Times New Roman" w:cs="Times New Roman"/>
        </w:rPr>
        <w:t>1</w:t>
      </w:r>
      <w:r w:rsidRPr="00392E53">
        <w:rPr>
          <w:rFonts w:ascii="Times New Roman" w:hAnsi="Times New Roman" w:cs="Times New Roman"/>
        </w:rPr>
        <w:t>50%</w:t>
      </w:r>
      <w:r w:rsidR="00790D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the </w:t>
      </w:r>
      <w:r w:rsidRPr="00392E53">
        <w:rPr>
          <w:rFonts w:ascii="Times New Roman" w:hAnsi="Times New Roman" w:cs="Times New Roman"/>
        </w:rPr>
        <w:t>Federal poverty leve</w:t>
      </w:r>
      <w:r>
        <w:rPr>
          <w:rFonts w:ascii="Times New Roman" w:hAnsi="Times New Roman" w:cs="Times New Roman"/>
        </w:rPr>
        <w:t xml:space="preserve">l </w:t>
      </w:r>
      <w:r w:rsidRPr="00392E53">
        <w:rPr>
          <w:rFonts w:ascii="Times New Roman" w:hAnsi="Times New Roman" w:cs="Times New Roman"/>
        </w:rPr>
        <w:t xml:space="preserve">and is provided with a </w:t>
      </w:r>
      <w:r>
        <w:rPr>
          <w:rFonts w:ascii="Times New Roman" w:hAnsi="Times New Roman" w:cs="Times New Roman"/>
        </w:rPr>
        <w:t>repayment</w:t>
      </w:r>
      <w:r w:rsidRPr="00392E53">
        <w:rPr>
          <w:rFonts w:ascii="Times New Roman" w:hAnsi="Times New Roman" w:cs="Times New Roman"/>
        </w:rPr>
        <w:t xml:space="preserve"> period of not more than </w:t>
      </w:r>
      <w:r w:rsidR="00790D28">
        <w:rPr>
          <w:rFonts w:ascii="Times New Roman" w:hAnsi="Times New Roman" w:cs="Times New Roman"/>
        </w:rPr>
        <w:t>sixty</w:t>
      </w:r>
      <w:r w:rsidRPr="00392E53">
        <w:rPr>
          <w:rFonts w:ascii="Times New Roman" w:hAnsi="Times New Roman" w:cs="Times New Roman"/>
        </w:rPr>
        <w:t xml:space="preserve"> months.  66 Pa.C.S. </w:t>
      </w:r>
      <w:r>
        <w:rPr>
          <w:rFonts w:ascii="Times New Roman" w:hAnsi="Times New Roman" w:cs="Times New Roman"/>
        </w:rPr>
        <w:t xml:space="preserve">§ </w:t>
      </w:r>
      <w:r w:rsidRPr="00392E53">
        <w:rPr>
          <w:rFonts w:ascii="Times New Roman" w:hAnsi="Times New Roman" w:cs="Times New Roman"/>
        </w:rPr>
        <w:t>1405(b)(</w:t>
      </w:r>
      <w:r w:rsidR="00790D28">
        <w:rPr>
          <w:rFonts w:ascii="Times New Roman" w:hAnsi="Times New Roman" w:cs="Times New Roman"/>
        </w:rPr>
        <w:t>1</w:t>
      </w:r>
      <w:r w:rsidRPr="00392E5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2759F98A" w14:textId="77777777" w:rsidR="00C60D3B" w:rsidRPr="00392E53" w:rsidRDefault="00C60D3B" w:rsidP="00C60D3B">
      <w:pPr>
        <w:pStyle w:val="FootnoteText"/>
        <w:rPr>
          <w:rFonts w:ascii="Times New Roman" w:hAnsi="Times New Roman" w:cs="Times New Roman"/>
        </w:rPr>
      </w:pPr>
    </w:p>
  </w:footnote>
  <w:footnote w:id="4">
    <w:p w14:paraId="0B0F2CD7" w14:textId="4CC6337A" w:rsidR="00631D02" w:rsidRDefault="00631D02">
      <w:pPr>
        <w:pStyle w:val="FootnoteText"/>
        <w:rPr>
          <w:rFonts w:cstheme="minorHAnsi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31D02">
        <w:rPr>
          <w:rFonts w:ascii="Times New Roman" w:hAnsi="Times New Roman" w:cs="Times New Roman"/>
        </w:rPr>
        <w:t xml:space="preserve">$34,000 </w:t>
      </w:r>
      <w:r>
        <w:rPr>
          <w:rFonts w:ascii="Times New Roman" w:hAnsi="Times New Roman" w:cs="Times New Roman"/>
        </w:rPr>
        <w:t xml:space="preserve">per year </w:t>
      </w:r>
      <w:r w:rsidRPr="00631D02">
        <w:rPr>
          <w:rFonts w:ascii="Times New Roman" w:hAnsi="Times New Roman" w:cs="Times New Roman"/>
        </w:rPr>
        <w:t>÷ 12 months = $2,833 per month</w:t>
      </w:r>
      <w:r>
        <w:rPr>
          <w:rFonts w:cstheme="minorHAnsi"/>
        </w:rPr>
        <w:t xml:space="preserve">. </w:t>
      </w:r>
    </w:p>
    <w:p w14:paraId="5D9AB00E" w14:textId="77777777" w:rsidR="00631D02" w:rsidRDefault="00631D02">
      <w:pPr>
        <w:pStyle w:val="FootnoteText"/>
      </w:pPr>
    </w:p>
  </w:footnote>
  <w:footnote w:id="5">
    <w:p w14:paraId="65D86DEE" w14:textId="291D766D" w:rsidR="00D303A5" w:rsidRDefault="00D303A5" w:rsidP="00D303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DD5D7C">
        <w:rPr>
          <w:rFonts w:ascii="Times New Roman" w:hAnsi="Times New Roman" w:cs="Times New Roman"/>
        </w:rPr>
        <w:t>See</w:t>
      </w:r>
      <w:r w:rsidRPr="00DF20D0">
        <w:rPr>
          <w:rFonts w:ascii="Times New Roman" w:hAnsi="Times New Roman" w:cs="Times New Roman"/>
          <w:i/>
        </w:rPr>
        <w:t xml:space="preserve"> </w:t>
      </w:r>
      <w:r w:rsidRPr="00DA7134">
        <w:rPr>
          <w:rFonts w:ascii="Times New Roman" w:hAnsi="Times New Roman" w:cs="Times New Roman"/>
          <w:i/>
        </w:rPr>
        <w:t>Federal Register</w:t>
      </w:r>
      <w:r w:rsidRPr="00DA7134">
        <w:rPr>
          <w:rFonts w:ascii="Times New Roman" w:hAnsi="Times New Roman" w:cs="Times New Roman"/>
        </w:rPr>
        <w:t>, Vol. 8</w:t>
      </w:r>
      <w:r w:rsidR="00E92EEB">
        <w:rPr>
          <w:rFonts w:ascii="Times New Roman" w:hAnsi="Times New Roman" w:cs="Times New Roman"/>
        </w:rPr>
        <w:t>4</w:t>
      </w:r>
      <w:r w:rsidRPr="00DA7134">
        <w:rPr>
          <w:rFonts w:ascii="Times New Roman" w:hAnsi="Times New Roman" w:cs="Times New Roman"/>
        </w:rPr>
        <w:t xml:space="preserve">, No. </w:t>
      </w:r>
      <w:r w:rsidR="00E92EEB">
        <w:rPr>
          <w:rFonts w:ascii="Times New Roman" w:hAnsi="Times New Roman" w:cs="Times New Roman"/>
        </w:rPr>
        <w:t>22</w:t>
      </w:r>
      <w:r w:rsidRPr="00DA7134">
        <w:rPr>
          <w:rFonts w:ascii="Times New Roman" w:hAnsi="Times New Roman" w:cs="Times New Roman"/>
        </w:rPr>
        <w:t xml:space="preserve">, </w:t>
      </w:r>
      <w:r w:rsidR="00E92EEB">
        <w:rPr>
          <w:rFonts w:ascii="Times New Roman" w:hAnsi="Times New Roman" w:cs="Times New Roman"/>
        </w:rPr>
        <w:t>p. 1168</w:t>
      </w:r>
      <w:r>
        <w:rPr>
          <w:rFonts w:ascii="Times New Roman" w:hAnsi="Times New Roman" w:cs="Times New Roman"/>
        </w:rPr>
        <w:t xml:space="preserve"> (</w:t>
      </w:r>
      <w:r w:rsidR="00E92EEB">
        <w:rPr>
          <w:rFonts w:ascii="Times New Roman" w:hAnsi="Times New Roman" w:cs="Times New Roman"/>
        </w:rPr>
        <w:t>February 1</w:t>
      </w:r>
      <w:r>
        <w:rPr>
          <w:rFonts w:ascii="Times New Roman" w:hAnsi="Times New Roman" w:cs="Times New Roman"/>
        </w:rPr>
        <w:t>, 201</w:t>
      </w:r>
      <w:r w:rsidR="00E92EE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)</w:t>
      </w:r>
      <w:r w:rsidRPr="00DA7134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  <w:i/>
        </w:rPr>
        <w:t>A</w:t>
      </w:r>
      <w:r w:rsidRPr="00DA7134">
        <w:rPr>
          <w:rFonts w:ascii="Times New Roman" w:hAnsi="Times New Roman" w:cs="Times New Roman"/>
          <w:i/>
        </w:rPr>
        <w:t>lso</w:t>
      </w:r>
      <w:r>
        <w:rPr>
          <w:rFonts w:ascii="Times New Roman" w:hAnsi="Times New Roman" w:cs="Times New Roman"/>
          <w:i/>
        </w:rPr>
        <w:t xml:space="preserve"> available at</w:t>
      </w:r>
      <w:r w:rsidRPr="00DA7134">
        <w:rPr>
          <w:rFonts w:ascii="Times New Roman" w:hAnsi="Times New Roman" w:cs="Times New Roman"/>
        </w:rPr>
        <w:t xml:space="preserve"> </w:t>
      </w:r>
      <w:r w:rsidR="004D1AE9" w:rsidRPr="004D1AE9">
        <w:rPr>
          <w:rStyle w:val="Hyperlink"/>
          <w:rFonts w:ascii="Times New Roman" w:hAnsi="Times New Roman" w:cs="Times New Roman"/>
          <w:color w:val="auto"/>
        </w:rPr>
        <w:t>http://aspe.hhs.gov/poverty</w:t>
      </w:r>
      <w:r w:rsidRPr="004D1A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(providing that a gross monthly income of </w:t>
      </w:r>
      <w:r w:rsidR="00E92EEB">
        <w:rPr>
          <w:rFonts w:ascii="Times New Roman" w:hAnsi="Times New Roman" w:cs="Times New Roman"/>
        </w:rPr>
        <w:t xml:space="preserve">more than </w:t>
      </w:r>
      <w:r w:rsidR="0066021C">
        <w:rPr>
          <w:rFonts w:ascii="Times New Roman" w:hAnsi="Times New Roman" w:cs="Times New Roman"/>
        </w:rPr>
        <w:t>$</w:t>
      </w:r>
      <w:r w:rsidR="00E92EEB">
        <w:rPr>
          <w:rFonts w:ascii="Times New Roman" w:hAnsi="Times New Roman" w:cs="Times New Roman"/>
        </w:rPr>
        <w:t>2,743</w:t>
      </w:r>
      <w:r w:rsidR="0066021C">
        <w:rPr>
          <w:rFonts w:ascii="Times New Roman" w:hAnsi="Times New Roman" w:cs="Times New Roman"/>
        </w:rPr>
        <w:t>.33</w:t>
      </w:r>
      <w:r>
        <w:rPr>
          <w:rFonts w:ascii="Times New Roman" w:hAnsi="Times New Roman" w:cs="Times New Roman"/>
        </w:rPr>
        <w:t xml:space="preserve"> for a household of t</w:t>
      </w:r>
      <w:r w:rsidR="00E92EEB">
        <w:rPr>
          <w:rFonts w:ascii="Times New Roman" w:hAnsi="Times New Roman" w:cs="Times New Roman"/>
        </w:rPr>
        <w:t>wo</w:t>
      </w:r>
      <w:r>
        <w:rPr>
          <w:rFonts w:ascii="Times New Roman" w:hAnsi="Times New Roman" w:cs="Times New Roman"/>
        </w:rPr>
        <w:t xml:space="preserve"> is </w:t>
      </w:r>
      <w:r w:rsidR="00E92EEB">
        <w:rPr>
          <w:rFonts w:ascii="Times New Roman" w:hAnsi="Times New Roman" w:cs="Times New Roman"/>
        </w:rPr>
        <w:t>more</w:t>
      </w:r>
      <w:r>
        <w:rPr>
          <w:rFonts w:ascii="Times New Roman" w:hAnsi="Times New Roman" w:cs="Times New Roman"/>
        </w:rPr>
        <w:t xml:space="preserve"> than 200% of the Federal poverty level</w:t>
      </w:r>
      <w:r w:rsidR="003B324C">
        <w:rPr>
          <w:rFonts w:ascii="Times New Roman" w:hAnsi="Times New Roman" w:cs="Times New Roman"/>
        </w:rPr>
        <w:t>)</w:t>
      </w:r>
      <w:r w:rsidR="00E92EE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</w:footnote>
  <w:footnote w:id="6">
    <w:p w14:paraId="14312CE3" w14:textId="54DFD699" w:rsidR="003B324C" w:rsidRDefault="003B324C" w:rsidP="003B32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DD5D7C">
        <w:rPr>
          <w:rFonts w:ascii="Times New Roman" w:hAnsi="Times New Roman" w:cs="Times New Roman"/>
        </w:rPr>
        <w:t>See</w:t>
      </w:r>
      <w:r w:rsidRPr="00DF20D0">
        <w:rPr>
          <w:rFonts w:ascii="Times New Roman" w:hAnsi="Times New Roman" w:cs="Times New Roman"/>
          <w:i/>
        </w:rPr>
        <w:t xml:space="preserve"> </w:t>
      </w:r>
      <w:r w:rsidRPr="00DA7134">
        <w:rPr>
          <w:rFonts w:ascii="Times New Roman" w:hAnsi="Times New Roman" w:cs="Times New Roman"/>
          <w:i/>
        </w:rPr>
        <w:t>Federal Register</w:t>
      </w:r>
      <w:r w:rsidRPr="00DA7134">
        <w:rPr>
          <w:rFonts w:ascii="Times New Roman" w:hAnsi="Times New Roman" w:cs="Times New Roman"/>
        </w:rPr>
        <w:t>, Vol. 8</w:t>
      </w:r>
      <w:r>
        <w:rPr>
          <w:rFonts w:ascii="Times New Roman" w:hAnsi="Times New Roman" w:cs="Times New Roman"/>
        </w:rPr>
        <w:t>4</w:t>
      </w:r>
      <w:r w:rsidRPr="00DA7134">
        <w:rPr>
          <w:rFonts w:ascii="Times New Roman" w:hAnsi="Times New Roman" w:cs="Times New Roman"/>
        </w:rPr>
        <w:t xml:space="preserve">, No. </w:t>
      </w:r>
      <w:r>
        <w:rPr>
          <w:rFonts w:ascii="Times New Roman" w:hAnsi="Times New Roman" w:cs="Times New Roman"/>
        </w:rPr>
        <w:t>22</w:t>
      </w:r>
      <w:r w:rsidRPr="00DA713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p. 1168 (February 1, 2019)</w:t>
      </w:r>
      <w:r w:rsidRPr="00DA7134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  <w:i/>
        </w:rPr>
        <w:t>A</w:t>
      </w:r>
      <w:r w:rsidRPr="00DA7134">
        <w:rPr>
          <w:rFonts w:ascii="Times New Roman" w:hAnsi="Times New Roman" w:cs="Times New Roman"/>
          <w:i/>
        </w:rPr>
        <w:t>lso</w:t>
      </w:r>
      <w:r>
        <w:rPr>
          <w:rFonts w:ascii="Times New Roman" w:hAnsi="Times New Roman" w:cs="Times New Roman"/>
          <w:i/>
        </w:rPr>
        <w:t xml:space="preserve"> available at</w:t>
      </w:r>
      <w:r w:rsidRPr="00DA7134">
        <w:rPr>
          <w:rFonts w:ascii="Times New Roman" w:hAnsi="Times New Roman" w:cs="Times New Roman"/>
        </w:rPr>
        <w:t xml:space="preserve"> </w:t>
      </w:r>
      <w:hyperlink r:id="rId1" w:history="1">
        <w:r w:rsidRPr="00DA7134">
          <w:rPr>
            <w:rStyle w:val="Hyperlink"/>
            <w:rFonts w:ascii="Times New Roman" w:hAnsi="Times New Roman" w:cs="Times New Roman"/>
          </w:rPr>
          <w:t>http://aspe.hhs.gov/poverty</w:t>
        </w:r>
      </w:hyperlink>
      <w:r>
        <w:rPr>
          <w:rFonts w:ascii="Times New Roman" w:hAnsi="Times New Roman" w:cs="Times New Roman"/>
        </w:rPr>
        <w:t xml:space="preserve"> (providing that a gross monthly income of less than $4,115 for a household of two is less than 300% of the Federal poverty level.) </w:t>
      </w:r>
    </w:p>
    <w:p w14:paraId="0ACF5363" w14:textId="04F70599" w:rsidR="003B324C" w:rsidRDefault="003B324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41C9DDE"/>
    <w:lvl w:ilvl="0">
      <w:start w:val="1"/>
      <w:numFmt w:val="decimal"/>
      <w:pStyle w:val="ListNumber"/>
      <w:lvlText w:val="%1."/>
      <w:lvlJc w:val="left"/>
      <w:pPr>
        <w:ind w:left="-2790" w:hanging="360"/>
      </w:pPr>
    </w:lvl>
  </w:abstractNum>
  <w:abstractNum w:abstractNumId="1" w15:restartNumberingAfterBreak="0">
    <w:nsid w:val="0A947C59"/>
    <w:multiLevelType w:val="hybridMultilevel"/>
    <w:tmpl w:val="BEC07E7E"/>
    <w:lvl w:ilvl="0" w:tplc="FFF29536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862D5"/>
    <w:multiLevelType w:val="hybridMultilevel"/>
    <w:tmpl w:val="A5F8CE26"/>
    <w:lvl w:ilvl="0" w:tplc="683AEA0E">
      <w:start w:val="2"/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F3B4E7C"/>
    <w:multiLevelType w:val="hybridMultilevel"/>
    <w:tmpl w:val="EC0ACEF8"/>
    <w:lvl w:ilvl="0" w:tplc="A6D81910">
      <w:start w:val="2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77C5D1C"/>
    <w:multiLevelType w:val="hybridMultilevel"/>
    <w:tmpl w:val="FB78E9CC"/>
    <w:lvl w:ilvl="0" w:tplc="F8E2A896">
      <w:start w:val="2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06A39B4"/>
    <w:multiLevelType w:val="hybridMultilevel"/>
    <w:tmpl w:val="09BE0720"/>
    <w:lvl w:ilvl="0" w:tplc="D65628B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DA39D1"/>
    <w:multiLevelType w:val="hybridMultilevel"/>
    <w:tmpl w:val="5DC81D62"/>
    <w:lvl w:ilvl="0" w:tplc="FD7AB91E">
      <w:start w:val="2"/>
      <w:numFmt w:val="bullet"/>
      <w:lvlText w:val=""/>
      <w:lvlJc w:val="left"/>
      <w:pPr>
        <w:ind w:left="3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6CC6466D"/>
    <w:multiLevelType w:val="hybridMultilevel"/>
    <w:tmpl w:val="3EDA8CD4"/>
    <w:lvl w:ilvl="0" w:tplc="D96A518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49A0423"/>
    <w:multiLevelType w:val="hybridMultilevel"/>
    <w:tmpl w:val="2E46B390"/>
    <w:lvl w:ilvl="0" w:tplc="623CF78A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884"/>
    <w:rsid w:val="00000719"/>
    <w:rsid w:val="00001503"/>
    <w:rsid w:val="0000155D"/>
    <w:rsid w:val="00001894"/>
    <w:rsid w:val="000037FA"/>
    <w:rsid w:val="00007509"/>
    <w:rsid w:val="00010901"/>
    <w:rsid w:val="00015C43"/>
    <w:rsid w:val="000168B1"/>
    <w:rsid w:val="00017E18"/>
    <w:rsid w:val="0002078C"/>
    <w:rsid w:val="00022675"/>
    <w:rsid w:val="00023269"/>
    <w:rsid w:val="00023428"/>
    <w:rsid w:val="00024FA0"/>
    <w:rsid w:val="00025511"/>
    <w:rsid w:val="0002728D"/>
    <w:rsid w:val="000276D0"/>
    <w:rsid w:val="00033EEF"/>
    <w:rsid w:val="00035D33"/>
    <w:rsid w:val="00040EF1"/>
    <w:rsid w:val="00043848"/>
    <w:rsid w:val="000503B8"/>
    <w:rsid w:val="00051121"/>
    <w:rsid w:val="000541D8"/>
    <w:rsid w:val="00055841"/>
    <w:rsid w:val="00056939"/>
    <w:rsid w:val="00056A67"/>
    <w:rsid w:val="00056D7D"/>
    <w:rsid w:val="000600DA"/>
    <w:rsid w:val="000613B6"/>
    <w:rsid w:val="00065213"/>
    <w:rsid w:val="00065F6D"/>
    <w:rsid w:val="00067938"/>
    <w:rsid w:val="000742C7"/>
    <w:rsid w:val="00076883"/>
    <w:rsid w:val="00076E52"/>
    <w:rsid w:val="000772C1"/>
    <w:rsid w:val="000817E4"/>
    <w:rsid w:val="00081BBB"/>
    <w:rsid w:val="00081ECE"/>
    <w:rsid w:val="00081F9F"/>
    <w:rsid w:val="000823CE"/>
    <w:rsid w:val="00082E77"/>
    <w:rsid w:val="00091F7D"/>
    <w:rsid w:val="000957E2"/>
    <w:rsid w:val="00096BD9"/>
    <w:rsid w:val="000A0061"/>
    <w:rsid w:val="000A0946"/>
    <w:rsid w:val="000A27A3"/>
    <w:rsid w:val="000A3537"/>
    <w:rsid w:val="000A4133"/>
    <w:rsid w:val="000A4678"/>
    <w:rsid w:val="000A4EEF"/>
    <w:rsid w:val="000A5115"/>
    <w:rsid w:val="000B0FD0"/>
    <w:rsid w:val="000B314E"/>
    <w:rsid w:val="000B43A7"/>
    <w:rsid w:val="000B4463"/>
    <w:rsid w:val="000B622F"/>
    <w:rsid w:val="000C2395"/>
    <w:rsid w:val="000C3DDB"/>
    <w:rsid w:val="000C47ED"/>
    <w:rsid w:val="000C5337"/>
    <w:rsid w:val="000C776C"/>
    <w:rsid w:val="000D2CA7"/>
    <w:rsid w:val="000D4892"/>
    <w:rsid w:val="000D618F"/>
    <w:rsid w:val="000D6F0B"/>
    <w:rsid w:val="000D724B"/>
    <w:rsid w:val="000D7E8B"/>
    <w:rsid w:val="000E0C38"/>
    <w:rsid w:val="000E1FE6"/>
    <w:rsid w:val="000E35EE"/>
    <w:rsid w:val="000E3A4A"/>
    <w:rsid w:val="000E4E66"/>
    <w:rsid w:val="000E5B74"/>
    <w:rsid w:val="000E6304"/>
    <w:rsid w:val="000F030C"/>
    <w:rsid w:val="000F1D81"/>
    <w:rsid w:val="000F23C2"/>
    <w:rsid w:val="000F460A"/>
    <w:rsid w:val="000F646E"/>
    <w:rsid w:val="00100353"/>
    <w:rsid w:val="00100839"/>
    <w:rsid w:val="00101E70"/>
    <w:rsid w:val="00101FFB"/>
    <w:rsid w:val="00106C51"/>
    <w:rsid w:val="00113B9E"/>
    <w:rsid w:val="00114D48"/>
    <w:rsid w:val="0011578E"/>
    <w:rsid w:val="00115E94"/>
    <w:rsid w:val="0012713E"/>
    <w:rsid w:val="001271F9"/>
    <w:rsid w:val="001311CA"/>
    <w:rsid w:val="001341B1"/>
    <w:rsid w:val="0013611A"/>
    <w:rsid w:val="001407FF"/>
    <w:rsid w:val="001412EA"/>
    <w:rsid w:val="00141A0C"/>
    <w:rsid w:val="00143008"/>
    <w:rsid w:val="00146BEB"/>
    <w:rsid w:val="0014785D"/>
    <w:rsid w:val="0015204B"/>
    <w:rsid w:val="001520CA"/>
    <w:rsid w:val="00154982"/>
    <w:rsid w:val="00154C2A"/>
    <w:rsid w:val="001558BF"/>
    <w:rsid w:val="001575A0"/>
    <w:rsid w:val="00161039"/>
    <w:rsid w:val="00161A14"/>
    <w:rsid w:val="00161ED6"/>
    <w:rsid w:val="00163A48"/>
    <w:rsid w:val="00164099"/>
    <w:rsid w:val="00164BDA"/>
    <w:rsid w:val="001662DD"/>
    <w:rsid w:val="001666F5"/>
    <w:rsid w:val="00170795"/>
    <w:rsid w:val="00170E7A"/>
    <w:rsid w:val="00172285"/>
    <w:rsid w:val="001722C5"/>
    <w:rsid w:val="001737D9"/>
    <w:rsid w:val="001742E1"/>
    <w:rsid w:val="001744AA"/>
    <w:rsid w:val="00176282"/>
    <w:rsid w:val="00180F5C"/>
    <w:rsid w:val="0018207B"/>
    <w:rsid w:val="0019344D"/>
    <w:rsid w:val="00193CAF"/>
    <w:rsid w:val="00194DE7"/>
    <w:rsid w:val="00197282"/>
    <w:rsid w:val="001A0A8F"/>
    <w:rsid w:val="001A4816"/>
    <w:rsid w:val="001A6FDF"/>
    <w:rsid w:val="001A7BA3"/>
    <w:rsid w:val="001A7CEC"/>
    <w:rsid w:val="001B010C"/>
    <w:rsid w:val="001B2519"/>
    <w:rsid w:val="001B4BBC"/>
    <w:rsid w:val="001B524B"/>
    <w:rsid w:val="001B5627"/>
    <w:rsid w:val="001B717C"/>
    <w:rsid w:val="001B7818"/>
    <w:rsid w:val="001C0D29"/>
    <w:rsid w:val="001C2F49"/>
    <w:rsid w:val="001C4A12"/>
    <w:rsid w:val="001C65AA"/>
    <w:rsid w:val="001D0B97"/>
    <w:rsid w:val="001D3426"/>
    <w:rsid w:val="001D64E1"/>
    <w:rsid w:val="001D71D7"/>
    <w:rsid w:val="001D732F"/>
    <w:rsid w:val="001D7486"/>
    <w:rsid w:val="001E1EA3"/>
    <w:rsid w:val="001E263B"/>
    <w:rsid w:val="001E3429"/>
    <w:rsid w:val="001E5044"/>
    <w:rsid w:val="001E50BD"/>
    <w:rsid w:val="001E57F5"/>
    <w:rsid w:val="001F3FAF"/>
    <w:rsid w:val="001F679B"/>
    <w:rsid w:val="001F69AB"/>
    <w:rsid w:val="002006FA"/>
    <w:rsid w:val="00202869"/>
    <w:rsid w:val="00203DCD"/>
    <w:rsid w:val="0020436B"/>
    <w:rsid w:val="00206C3E"/>
    <w:rsid w:val="002078B6"/>
    <w:rsid w:val="0021363A"/>
    <w:rsid w:val="00213D30"/>
    <w:rsid w:val="00214058"/>
    <w:rsid w:val="002160F9"/>
    <w:rsid w:val="00221FFA"/>
    <w:rsid w:val="0022393A"/>
    <w:rsid w:val="00223D38"/>
    <w:rsid w:val="00223E30"/>
    <w:rsid w:val="0022580A"/>
    <w:rsid w:val="00225E92"/>
    <w:rsid w:val="00230402"/>
    <w:rsid w:val="00232501"/>
    <w:rsid w:val="00232DE2"/>
    <w:rsid w:val="00233CDD"/>
    <w:rsid w:val="002369D3"/>
    <w:rsid w:val="00237A9F"/>
    <w:rsid w:val="00237F38"/>
    <w:rsid w:val="0024227D"/>
    <w:rsid w:val="00244C50"/>
    <w:rsid w:val="00250164"/>
    <w:rsid w:val="00251915"/>
    <w:rsid w:val="00252DF9"/>
    <w:rsid w:val="00253D4D"/>
    <w:rsid w:val="00254226"/>
    <w:rsid w:val="00254412"/>
    <w:rsid w:val="002549CF"/>
    <w:rsid w:val="00255024"/>
    <w:rsid w:val="00255F09"/>
    <w:rsid w:val="00255F2E"/>
    <w:rsid w:val="002633A6"/>
    <w:rsid w:val="00264512"/>
    <w:rsid w:val="00266A9A"/>
    <w:rsid w:val="002717EA"/>
    <w:rsid w:val="00272596"/>
    <w:rsid w:val="0027337C"/>
    <w:rsid w:val="00273556"/>
    <w:rsid w:val="00274ECC"/>
    <w:rsid w:val="00276B6F"/>
    <w:rsid w:val="0028529B"/>
    <w:rsid w:val="00287486"/>
    <w:rsid w:val="002879C8"/>
    <w:rsid w:val="00290F0E"/>
    <w:rsid w:val="00291570"/>
    <w:rsid w:val="00293895"/>
    <w:rsid w:val="00294545"/>
    <w:rsid w:val="00297E46"/>
    <w:rsid w:val="002A23FC"/>
    <w:rsid w:val="002B2889"/>
    <w:rsid w:val="002B4C51"/>
    <w:rsid w:val="002B5DE0"/>
    <w:rsid w:val="002C04AB"/>
    <w:rsid w:val="002C315A"/>
    <w:rsid w:val="002C5A3D"/>
    <w:rsid w:val="002C64CB"/>
    <w:rsid w:val="002D1632"/>
    <w:rsid w:val="002D18CE"/>
    <w:rsid w:val="002D2064"/>
    <w:rsid w:val="002D4756"/>
    <w:rsid w:val="002D65B7"/>
    <w:rsid w:val="002D6DD3"/>
    <w:rsid w:val="002E137A"/>
    <w:rsid w:val="002E2669"/>
    <w:rsid w:val="002E32FA"/>
    <w:rsid w:val="002E76E6"/>
    <w:rsid w:val="002F3E61"/>
    <w:rsid w:val="002F5D3E"/>
    <w:rsid w:val="00300864"/>
    <w:rsid w:val="00303D78"/>
    <w:rsid w:val="00305A85"/>
    <w:rsid w:val="0030763E"/>
    <w:rsid w:val="00307C2A"/>
    <w:rsid w:val="0031219A"/>
    <w:rsid w:val="00321FB2"/>
    <w:rsid w:val="00322BEF"/>
    <w:rsid w:val="003238F9"/>
    <w:rsid w:val="00324B00"/>
    <w:rsid w:val="00325C99"/>
    <w:rsid w:val="00325CF2"/>
    <w:rsid w:val="003273B2"/>
    <w:rsid w:val="0033046E"/>
    <w:rsid w:val="00331B9A"/>
    <w:rsid w:val="00332068"/>
    <w:rsid w:val="00332339"/>
    <w:rsid w:val="0033273C"/>
    <w:rsid w:val="00342183"/>
    <w:rsid w:val="003460DB"/>
    <w:rsid w:val="00346C22"/>
    <w:rsid w:val="00346E0E"/>
    <w:rsid w:val="003519EE"/>
    <w:rsid w:val="00352BAA"/>
    <w:rsid w:val="00353D04"/>
    <w:rsid w:val="00355AE3"/>
    <w:rsid w:val="00361C4A"/>
    <w:rsid w:val="00361D70"/>
    <w:rsid w:val="00364668"/>
    <w:rsid w:val="00364E5C"/>
    <w:rsid w:val="00365C63"/>
    <w:rsid w:val="0037029B"/>
    <w:rsid w:val="003713DD"/>
    <w:rsid w:val="0037177B"/>
    <w:rsid w:val="0037179B"/>
    <w:rsid w:val="00372F05"/>
    <w:rsid w:val="0037455B"/>
    <w:rsid w:val="00374BBF"/>
    <w:rsid w:val="00377E3A"/>
    <w:rsid w:val="00380E89"/>
    <w:rsid w:val="00385361"/>
    <w:rsid w:val="0039009A"/>
    <w:rsid w:val="00392E53"/>
    <w:rsid w:val="003945BC"/>
    <w:rsid w:val="00394A80"/>
    <w:rsid w:val="003969ED"/>
    <w:rsid w:val="00396E1D"/>
    <w:rsid w:val="003A300E"/>
    <w:rsid w:val="003A350E"/>
    <w:rsid w:val="003B1C4C"/>
    <w:rsid w:val="003B236E"/>
    <w:rsid w:val="003B324C"/>
    <w:rsid w:val="003B37D7"/>
    <w:rsid w:val="003B4BF9"/>
    <w:rsid w:val="003B6BA8"/>
    <w:rsid w:val="003C03A5"/>
    <w:rsid w:val="003C0596"/>
    <w:rsid w:val="003C1B9E"/>
    <w:rsid w:val="003C2E61"/>
    <w:rsid w:val="003C3045"/>
    <w:rsid w:val="003C7994"/>
    <w:rsid w:val="003D04B4"/>
    <w:rsid w:val="003D0DC8"/>
    <w:rsid w:val="003D47C1"/>
    <w:rsid w:val="003E1824"/>
    <w:rsid w:val="003E3C24"/>
    <w:rsid w:val="003F0629"/>
    <w:rsid w:val="003F17BD"/>
    <w:rsid w:val="003F410F"/>
    <w:rsid w:val="003F4AD8"/>
    <w:rsid w:val="003F6C67"/>
    <w:rsid w:val="0040070F"/>
    <w:rsid w:val="00402985"/>
    <w:rsid w:val="004041AE"/>
    <w:rsid w:val="00404F50"/>
    <w:rsid w:val="00411405"/>
    <w:rsid w:val="00412A4B"/>
    <w:rsid w:val="00412DD6"/>
    <w:rsid w:val="004141B1"/>
    <w:rsid w:val="004154EA"/>
    <w:rsid w:val="00415A33"/>
    <w:rsid w:val="00416AD3"/>
    <w:rsid w:val="00416C8C"/>
    <w:rsid w:val="004229E2"/>
    <w:rsid w:val="00422D1C"/>
    <w:rsid w:val="004240BD"/>
    <w:rsid w:val="004249A8"/>
    <w:rsid w:val="0042776B"/>
    <w:rsid w:val="00430024"/>
    <w:rsid w:val="00430C08"/>
    <w:rsid w:val="004311EC"/>
    <w:rsid w:val="00431C7B"/>
    <w:rsid w:val="00432677"/>
    <w:rsid w:val="00437B56"/>
    <w:rsid w:val="004409B4"/>
    <w:rsid w:val="0044424C"/>
    <w:rsid w:val="004450D5"/>
    <w:rsid w:val="00446574"/>
    <w:rsid w:val="00447C20"/>
    <w:rsid w:val="004518C5"/>
    <w:rsid w:val="004520FC"/>
    <w:rsid w:val="004530FB"/>
    <w:rsid w:val="00454730"/>
    <w:rsid w:val="00462D90"/>
    <w:rsid w:val="00465AED"/>
    <w:rsid w:val="004704BE"/>
    <w:rsid w:val="00475782"/>
    <w:rsid w:val="004774F6"/>
    <w:rsid w:val="00477643"/>
    <w:rsid w:val="00480452"/>
    <w:rsid w:val="00480B88"/>
    <w:rsid w:val="00483C9F"/>
    <w:rsid w:val="00487EB8"/>
    <w:rsid w:val="004903B8"/>
    <w:rsid w:val="00491C46"/>
    <w:rsid w:val="00492837"/>
    <w:rsid w:val="00494A78"/>
    <w:rsid w:val="004951A8"/>
    <w:rsid w:val="0049668F"/>
    <w:rsid w:val="004A0740"/>
    <w:rsid w:val="004A0898"/>
    <w:rsid w:val="004A38BB"/>
    <w:rsid w:val="004A6632"/>
    <w:rsid w:val="004A75A0"/>
    <w:rsid w:val="004B0FB4"/>
    <w:rsid w:val="004B3594"/>
    <w:rsid w:val="004B6B4A"/>
    <w:rsid w:val="004C3CF0"/>
    <w:rsid w:val="004C4DD1"/>
    <w:rsid w:val="004C512C"/>
    <w:rsid w:val="004C535A"/>
    <w:rsid w:val="004C5EEE"/>
    <w:rsid w:val="004C708B"/>
    <w:rsid w:val="004D0121"/>
    <w:rsid w:val="004D1668"/>
    <w:rsid w:val="004D1AE9"/>
    <w:rsid w:val="004D433C"/>
    <w:rsid w:val="004D4787"/>
    <w:rsid w:val="004D7577"/>
    <w:rsid w:val="004E0315"/>
    <w:rsid w:val="004E40A6"/>
    <w:rsid w:val="004E4CAE"/>
    <w:rsid w:val="004E4FF1"/>
    <w:rsid w:val="004F221E"/>
    <w:rsid w:val="005003CA"/>
    <w:rsid w:val="0050136B"/>
    <w:rsid w:val="00502921"/>
    <w:rsid w:val="00504FB2"/>
    <w:rsid w:val="005051B0"/>
    <w:rsid w:val="00506102"/>
    <w:rsid w:val="00506ADB"/>
    <w:rsid w:val="005075FC"/>
    <w:rsid w:val="0050771C"/>
    <w:rsid w:val="00507887"/>
    <w:rsid w:val="00510C9C"/>
    <w:rsid w:val="005115CF"/>
    <w:rsid w:val="00512CDF"/>
    <w:rsid w:val="005157CC"/>
    <w:rsid w:val="00515B64"/>
    <w:rsid w:val="00516002"/>
    <w:rsid w:val="005175DF"/>
    <w:rsid w:val="00517CED"/>
    <w:rsid w:val="00522F57"/>
    <w:rsid w:val="0052369F"/>
    <w:rsid w:val="00527DED"/>
    <w:rsid w:val="00532DE3"/>
    <w:rsid w:val="00533AC4"/>
    <w:rsid w:val="005345F6"/>
    <w:rsid w:val="00534C08"/>
    <w:rsid w:val="005400D8"/>
    <w:rsid w:val="00540D06"/>
    <w:rsid w:val="00542BDF"/>
    <w:rsid w:val="00544520"/>
    <w:rsid w:val="005454EB"/>
    <w:rsid w:val="00545755"/>
    <w:rsid w:val="00546949"/>
    <w:rsid w:val="00546A86"/>
    <w:rsid w:val="00547111"/>
    <w:rsid w:val="0055113D"/>
    <w:rsid w:val="005529FC"/>
    <w:rsid w:val="005536B6"/>
    <w:rsid w:val="005542D4"/>
    <w:rsid w:val="00556C38"/>
    <w:rsid w:val="00560C16"/>
    <w:rsid w:val="005614E1"/>
    <w:rsid w:val="00562D91"/>
    <w:rsid w:val="00567442"/>
    <w:rsid w:val="00573903"/>
    <w:rsid w:val="00575930"/>
    <w:rsid w:val="00575E9F"/>
    <w:rsid w:val="00581BD6"/>
    <w:rsid w:val="00582C7D"/>
    <w:rsid w:val="0058498F"/>
    <w:rsid w:val="00594127"/>
    <w:rsid w:val="005969D6"/>
    <w:rsid w:val="005976DE"/>
    <w:rsid w:val="005A0F3D"/>
    <w:rsid w:val="005A1C47"/>
    <w:rsid w:val="005A40D2"/>
    <w:rsid w:val="005A4503"/>
    <w:rsid w:val="005A54D9"/>
    <w:rsid w:val="005A6FA1"/>
    <w:rsid w:val="005B0BF8"/>
    <w:rsid w:val="005B0FA8"/>
    <w:rsid w:val="005B4CE2"/>
    <w:rsid w:val="005B5932"/>
    <w:rsid w:val="005C212D"/>
    <w:rsid w:val="005C5B0E"/>
    <w:rsid w:val="005C5F5F"/>
    <w:rsid w:val="005D0948"/>
    <w:rsid w:val="005D099A"/>
    <w:rsid w:val="005D4A68"/>
    <w:rsid w:val="005D521A"/>
    <w:rsid w:val="005D53BB"/>
    <w:rsid w:val="005E19F3"/>
    <w:rsid w:val="005E3EEB"/>
    <w:rsid w:val="005E45DA"/>
    <w:rsid w:val="005E54CF"/>
    <w:rsid w:val="005E55EF"/>
    <w:rsid w:val="005F0F60"/>
    <w:rsid w:val="005F1DBD"/>
    <w:rsid w:val="005F267E"/>
    <w:rsid w:val="005F3219"/>
    <w:rsid w:val="005F49B7"/>
    <w:rsid w:val="005F5445"/>
    <w:rsid w:val="005F7DBB"/>
    <w:rsid w:val="005F7F66"/>
    <w:rsid w:val="00602ACC"/>
    <w:rsid w:val="00602F41"/>
    <w:rsid w:val="006058B7"/>
    <w:rsid w:val="00605F60"/>
    <w:rsid w:val="006066B0"/>
    <w:rsid w:val="00610937"/>
    <w:rsid w:val="0061146E"/>
    <w:rsid w:val="00620A2D"/>
    <w:rsid w:val="00621139"/>
    <w:rsid w:val="00623451"/>
    <w:rsid w:val="00625060"/>
    <w:rsid w:val="0062694D"/>
    <w:rsid w:val="00626B6B"/>
    <w:rsid w:val="00626E3C"/>
    <w:rsid w:val="0063001A"/>
    <w:rsid w:val="00631D02"/>
    <w:rsid w:val="00641B62"/>
    <w:rsid w:val="006452A0"/>
    <w:rsid w:val="006461B6"/>
    <w:rsid w:val="0065000C"/>
    <w:rsid w:val="00650AE1"/>
    <w:rsid w:val="006531F9"/>
    <w:rsid w:val="00654FBA"/>
    <w:rsid w:val="006600CE"/>
    <w:rsid w:val="0066021C"/>
    <w:rsid w:val="00660956"/>
    <w:rsid w:val="00665973"/>
    <w:rsid w:val="00666516"/>
    <w:rsid w:val="0066762B"/>
    <w:rsid w:val="00674759"/>
    <w:rsid w:val="00683E73"/>
    <w:rsid w:val="00684F6D"/>
    <w:rsid w:val="0068522C"/>
    <w:rsid w:val="00685772"/>
    <w:rsid w:val="0069024E"/>
    <w:rsid w:val="006908BD"/>
    <w:rsid w:val="00691247"/>
    <w:rsid w:val="006969F5"/>
    <w:rsid w:val="006A0FEE"/>
    <w:rsid w:val="006A5651"/>
    <w:rsid w:val="006A6358"/>
    <w:rsid w:val="006A6D4B"/>
    <w:rsid w:val="006B026E"/>
    <w:rsid w:val="006B2427"/>
    <w:rsid w:val="006B43C4"/>
    <w:rsid w:val="006B4DE1"/>
    <w:rsid w:val="006B5288"/>
    <w:rsid w:val="006C0B68"/>
    <w:rsid w:val="006C2F2B"/>
    <w:rsid w:val="006C311B"/>
    <w:rsid w:val="006C3463"/>
    <w:rsid w:val="006C458D"/>
    <w:rsid w:val="006C5565"/>
    <w:rsid w:val="006D2999"/>
    <w:rsid w:val="006D3499"/>
    <w:rsid w:val="006D3E46"/>
    <w:rsid w:val="006E28B6"/>
    <w:rsid w:val="006E3BC7"/>
    <w:rsid w:val="006E4195"/>
    <w:rsid w:val="006E675A"/>
    <w:rsid w:val="006F1AC3"/>
    <w:rsid w:val="006F1CE0"/>
    <w:rsid w:val="006F3094"/>
    <w:rsid w:val="006F364B"/>
    <w:rsid w:val="006F6B66"/>
    <w:rsid w:val="006F75C0"/>
    <w:rsid w:val="00702830"/>
    <w:rsid w:val="007034CF"/>
    <w:rsid w:val="00703BAC"/>
    <w:rsid w:val="00704823"/>
    <w:rsid w:val="00705790"/>
    <w:rsid w:val="0070718F"/>
    <w:rsid w:val="0071125D"/>
    <w:rsid w:val="00713BC4"/>
    <w:rsid w:val="0071427D"/>
    <w:rsid w:val="0071448D"/>
    <w:rsid w:val="00714EA3"/>
    <w:rsid w:val="00715C87"/>
    <w:rsid w:val="007173C7"/>
    <w:rsid w:val="00724DE0"/>
    <w:rsid w:val="00725E92"/>
    <w:rsid w:val="00726CC9"/>
    <w:rsid w:val="00742DAC"/>
    <w:rsid w:val="00744169"/>
    <w:rsid w:val="007442E9"/>
    <w:rsid w:val="00745974"/>
    <w:rsid w:val="00745B5E"/>
    <w:rsid w:val="00746D90"/>
    <w:rsid w:val="00747278"/>
    <w:rsid w:val="00747494"/>
    <w:rsid w:val="007568FC"/>
    <w:rsid w:val="00756BB1"/>
    <w:rsid w:val="00760543"/>
    <w:rsid w:val="00762A19"/>
    <w:rsid w:val="00762C88"/>
    <w:rsid w:val="00763EEF"/>
    <w:rsid w:val="00765377"/>
    <w:rsid w:val="00765DE0"/>
    <w:rsid w:val="00765FE4"/>
    <w:rsid w:val="00773E09"/>
    <w:rsid w:val="00775129"/>
    <w:rsid w:val="0077621D"/>
    <w:rsid w:val="00777969"/>
    <w:rsid w:val="00781983"/>
    <w:rsid w:val="00782262"/>
    <w:rsid w:val="00782511"/>
    <w:rsid w:val="0079023E"/>
    <w:rsid w:val="007903B0"/>
    <w:rsid w:val="00790D28"/>
    <w:rsid w:val="00793371"/>
    <w:rsid w:val="00793AB1"/>
    <w:rsid w:val="00795CCE"/>
    <w:rsid w:val="00795E4A"/>
    <w:rsid w:val="00797E6C"/>
    <w:rsid w:val="007A05E0"/>
    <w:rsid w:val="007A0835"/>
    <w:rsid w:val="007A2EC5"/>
    <w:rsid w:val="007A43D5"/>
    <w:rsid w:val="007A7AF6"/>
    <w:rsid w:val="007B0CB7"/>
    <w:rsid w:val="007B32BB"/>
    <w:rsid w:val="007B48A5"/>
    <w:rsid w:val="007C203E"/>
    <w:rsid w:val="007C35EF"/>
    <w:rsid w:val="007C38FD"/>
    <w:rsid w:val="007C438B"/>
    <w:rsid w:val="007D1377"/>
    <w:rsid w:val="007D1AF3"/>
    <w:rsid w:val="007D2314"/>
    <w:rsid w:val="007D51B9"/>
    <w:rsid w:val="007D5AA4"/>
    <w:rsid w:val="007E3A68"/>
    <w:rsid w:val="007E42C0"/>
    <w:rsid w:val="007E52B7"/>
    <w:rsid w:val="007E58BC"/>
    <w:rsid w:val="007F0EBC"/>
    <w:rsid w:val="007F14EA"/>
    <w:rsid w:val="007F5164"/>
    <w:rsid w:val="007F5F51"/>
    <w:rsid w:val="007F62FA"/>
    <w:rsid w:val="00800BB4"/>
    <w:rsid w:val="00801713"/>
    <w:rsid w:val="00801CEC"/>
    <w:rsid w:val="00802F2E"/>
    <w:rsid w:val="00804625"/>
    <w:rsid w:val="00806061"/>
    <w:rsid w:val="00806AF6"/>
    <w:rsid w:val="00810791"/>
    <w:rsid w:val="00811457"/>
    <w:rsid w:val="0081694E"/>
    <w:rsid w:val="00821D05"/>
    <w:rsid w:val="00822198"/>
    <w:rsid w:val="008226AE"/>
    <w:rsid w:val="0082275F"/>
    <w:rsid w:val="00822BE5"/>
    <w:rsid w:val="008230D0"/>
    <w:rsid w:val="00823BA6"/>
    <w:rsid w:val="00823DE5"/>
    <w:rsid w:val="0082502C"/>
    <w:rsid w:val="008257E0"/>
    <w:rsid w:val="00826F7C"/>
    <w:rsid w:val="0082744C"/>
    <w:rsid w:val="00832DB5"/>
    <w:rsid w:val="00834171"/>
    <w:rsid w:val="008341FD"/>
    <w:rsid w:val="0083620F"/>
    <w:rsid w:val="008364E2"/>
    <w:rsid w:val="008367AC"/>
    <w:rsid w:val="0084083B"/>
    <w:rsid w:val="00841C28"/>
    <w:rsid w:val="00841D0E"/>
    <w:rsid w:val="00845439"/>
    <w:rsid w:val="00845C9D"/>
    <w:rsid w:val="008462D1"/>
    <w:rsid w:val="00846B2B"/>
    <w:rsid w:val="00857A25"/>
    <w:rsid w:val="008608F6"/>
    <w:rsid w:val="00860BF1"/>
    <w:rsid w:val="00864FB9"/>
    <w:rsid w:val="00867BF5"/>
    <w:rsid w:val="00870327"/>
    <w:rsid w:val="00870F5E"/>
    <w:rsid w:val="00871A78"/>
    <w:rsid w:val="00871F9C"/>
    <w:rsid w:val="00872D2F"/>
    <w:rsid w:val="00873D01"/>
    <w:rsid w:val="00877E50"/>
    <w:rsid w:val="00880D12"/>
    <w:rsid w:val="00892580"/>
    <w:rsid w:val="00893D47"/>
    <w:rsid w:val="008942E1"/>
    <w:rsid w:val="00894FA2"/>
    <w:rsid w:val="00895D69"/>
    <w:rsid w:val="008A255E"/>
    <w:rsid w:val="008A2C23"/>
    <w:rsid w:val="008A2C26"/>
    <w:rsid w:val="008A3583"/>
    <w:rsid w:val="008A4086"/>
    <w:rsid w:val="008A48D0"/>
    <w:rsid w:val="008A52FB"/>
    <w:rsid w:val="008A544F"/>
    <w:rsid w:val="008A59D8"/>
    <w:rsid w:val="008A753D"/>
    <w:rsid w:val="008A77BB"/>
    <w:rsid w:val="008B3EA4"/>
    <w:rsid w:val="008B7E2F"/>
    <w:rsid w:val="008C0678"/>
    <w:rsid w:val="008C2677"/>
    <w:rsid w:val="008C28C7"/>
    <w:rsid w:val="008C588C"/>
    <w:rsid w:val="008C742F"/>
    <w:rsid w:val="008D35DF"/>
    <w:rsid w:val="008D3DDA"/>
    <w:rsid w:val="008D53A3"/>
    <w:rsid w:val="008E1B35"/>
    <w:rsid w:val="008E1C43"/>
    <w:rsid w:val="008E2FC7"/>
    <w:rsid w:val="008E33DF"/>
    <w:rsid w:val="008E5B70"/>
    <w:rsid w:val="008F1F29"/>
    <w:rsid w:val="008F3686"/>
    <w:rsid w:val="00901B06"/>
    <w:rsid w:val="0090235B"/>
    <w:rsid w:val="009026A6"/>
    <w:rsid w:val="00906524"/>
    <w:rsid w:val="00906622"/>
    <w:rsid w:val="009103C7"/>
    <w:rsid w:val="0091130A"/>
    <w:rsid w:val="00912C57"/>
    <w:rsid w:val="00912D38"/>
    <w:rsid w:val="009136A1"/>
    <w:rsid w:val="009150F5"/>
    <w:rsid w:val="00920651"/>
    <w:rsid w:val="009209D4"/>
    <w:rsid w:val="009243D1"/>
    <w:rsid w:val="009250EC"/>
    <w:rsid w:val="00925CB6"/>
    <w:rsid w:val="00926FD0"/>
    <w:rsid w:val="009313A5"/>
    <w:rsid w:val="0093231A"/>
    <w:rsid w:val="00932A73"/>
    <w:rsid w:val="009436B7"/>
    <w:rsid w:val="009437F6"/>
    <w:rsid w:val="00943AC4"/>
    <w:rsid w:val="00944425"/>
    <w:rsid w:val="00945C81"/>
    <w:rsid w:val="00950757"/>
    <w:rsid w:val="00950BD1"/>
    <w:rsid w:val="00951ACD"/>
    <w:rsid w:val="00952192"/>
    <w:rsid w:val="00952DBB"/>
    <w:rsid w:val="0095318D"/>
    <w:rsid w:val="00957166"/>
    <w:rsid w:val="009575D2"/>
    <w:rsid w:val="0095798F"/>
    <w:rsid w:val="009579ED"/>
    <w:rsid w:val="009641DF"/>
    <w:rsid w:val="0096705B"/>
    <w:rsid w:val="00972824"/>
    <w:rsid w:val="00973CDF"/>
    <w:rsid w:val="0097536C"/>
    <w:rsid w:val="0097643D"/>
    <w:rsid w:val="0097768B"/>
    <w:rsid w:val="00982845"/>
    <w:rsid w:val="00984F78"/>
    <w:rsid w:val="009916E9"/>
    <w:rsid w:val="00991B1B"/>
    <w:rsid w:val="00992179"/>
    <w:rsid w:val="00993C57"/>
    <w:rsid w:val="0099657D"/>
    <w:rsid w:val="00997CE8"/>
    <w:rsid w:val="009A06DA"/>
    <w:rsid w:val="009A12D0"/>
    <w:rsid w:val="009A47E0"/>
    <w:rsid w:val="009A676D"/>
    <w:rsid w:val="009A7882"/>
    <w:rsid w:val="009B078F"/>
    <w:rsid w:val="009B0D1F"/>
    <w:rsid w:val="009B14CF"/>
    <w:rsid w:val="009B2B9F"/>
    <w:rsid w:val="009B474B"/>
    <w:rsid w:val="009C2A4F"/>
    <w:rsid w:val="009C5598"/>
    <w:rsid w:val="009C61F0"/>
    <w:rsid w:val="009C6291"/>
    <w:rsid w:val="009C67B9"/>
    <w:rsid w:val="009D1C85"/>
    <w:rsid w:val="009D3111"/>
    <w:rsid w:val="009D320A"/>
    <w:rsid w:val="009E03AC"/>
    <w:rsid w:val="009E67CF"/>
    <w:rsid w:val="009F093D"/>
    <w:rsid w:val="009F7A18"/>
    <w:rsid w:val="00A052ED"/>
    <w:rsid w:val="00A06333"/>
    <w:rsid w:val="00A16AAC"/>
    <w:rsid w:val="00A16F51"/>
    <w:rsid w:val="00A17D4C"/>
    <w:rsid w:val="00A3357C"/>
    <w:rsid w:val="00A34728"/>
    <w:rsid w:val="00A37B46"/>
    <w:rsid w:val="00A4101C"/>
    <w:rsid w:val="00A439CA"/>
    <w:rsid w:val="00A46461"/>
    <w:rsid w:val="00A54542"/>
    <w:rsid w:val="00A56079"/>
    <w:rsid w:val="00A56A07"/>
    <w:rsid w:val="00A61E43"/>
    <w:rsid w:val="00A64C65"/>
    <w:rsid w:val="00A70920"/>
    <w:rsid w:val="00A7298C"/>
    <w:rsid w:val="00A7325C"/>
    <w:rsid w:val="00A73619"/>
    <w:rsid w:val="00A73767"/>
    <w:rsid w:val="00A77106"/>
    <w:rsid w:val="00A81700"/>
    <w:rsid w:val="00A83109"/>
    <w:rsid w:val="00A84C48"/>
    <w:rsid w:val="00A914CC"/>
    <w:rsid w:val="00A91513"/>
    <w:rsid w:val="00A9745E"/>
    <w:rsid w:val="00AA1043"/>
    <w:rsid w:val="00AA252E"/>
    <w:rsid w:val="00AA3F25"/>
    <w:rsid w:val="00AA52AE"/>
    <w:rsid w:val="00AA74C1"/>
    <w:rsid w:val="00AA7FDB"/>
    <w:rsid w:val="00AB025F"/>
    <w:rsid w:val="00AB1A5D"/>
    <w:rsid w:val="00AB3082"/>
    <w:rsid w:val="00AB3C4F"/>
    <w:rsid w:val="00AB7EFD"/>
    <w:rsid w:val="00AC0D04"/>
    <w:rsid w:val="00AC10EA"/>
    <w:rsid w:val="00AC3E0F"/>
    <w:rsid w:val="00AC5AE7"/>
    <w:rsid w:val="00AC6C09"/>
    <w:rsid w:val="00AC75C6"/>
    <w:rsid w:val="00AD198E"/>
    <w:rsid w:val="00AD1C3D"/>
    <w:rsid w:val="00AD2C44"/>
    <w:rsid w:val="00AD3522"/>
    <w:rsid w:val="00AD4209"/>
    <w:rsid w:val="00AD4FC6"/>
    <w:rsid w:val="00AE45C1"/>
    <w:rsid w:val="00AE51EA"/>
    <w:rsid w:val="00AE7FB9"/>
    <w:rsid w:val="00AF022B"/>
    <w:rsid w:val="00AF072E"/>
    <w:rsid w:val="00AF5656"/>
    <w:rsid w:val="00AF5BB3"/>
    <w:rsid w:val="00B00E17"/>
    <w:rsid w:val="00B00EC2"/>
    <w:rsid w:val="00B0218E"/>
    <w:rsid w:val="00B05180"/>
    <w:rsid w:val="00B102E4"/>
    <w:rsid w:val="00B14517"/>
    <w:rsid w:val="00B15F94"/>
    <w:rsid w:val="00B20FF7"/>
    <w:rsid w:val="00B2367A"/>
    <w:rsid w:val="00B24D2C"/>
    <w:rsid w:val="00B27619"/>
    <w:rsid w:val="00B27B65"/>
    <w:rsid w:val="00B3074D"/>
    <w:rsid w:val="00B321E8"/>
    <w:rsid w:val="00B35085"/>
    <w:rsid w:val="00B373E6"/>
    <w:rsid w:val="00B4145C"/>
    <w:rsid w:val="00B439FA"/>
    <w:rsid w:val="00B4403B"/>
    <w:rsid w:val="00B4437C"/>
    <w:rsid w:val="00B44CAB"/>
    <w:rsid w:val="00B46C5C"/>
    <w:rsid w:val="00B47109"/>
    <w:rsid w:val="00B47D5A"/>
    <w:rsid w:val="00B57052"/>
    <w:rsid w:val="00B57419"/>
    <w:rsid w:val="00B60887"/>
    <w:rsid w:val="00B6094C"/>
    <w:rsid w:val="00B60DAD"/>
    <w:rsid w:val="00B62C47"/>
    <w:rsid w:val="00B656DD"/>
    <w:rsid w:val="00B70511"/>
    <w:rsid w:val="00B70A4C"/>
    <w:rsid w:val="00B71E02"/>
    <w:rsid w:val="00B73D57"/>
    <w:rsid w:val="00B76756"/>
    <w:rsid w:val="00B81D5A"/>
    <w:rsid w:val="00B81DAD"/>
    <w:rsid w:val="00B8753E"/>
    <w:rsid w:val="00B92D7A"/>
    <w:rsid w:val="00B92F93"/>
    <w:rsid w:val="00B93A14"/>
    <w:rsid w:val="00B95ACE"/>
    <w:rsid w:val="00BA3AD5"/>
    <w:rsid w:val="00BA3F85"/>
    <w:rsid w:val="00BA422D"/>
    <w:rsid w:val="00BA671F"/>
    <w:rsid w:val="00BB0928"/>
    <w:rsid w:val="00BB2190"/>
    <w:rsid w:val="00BB4625"/>
    <w:rsid w:val="00BB7166"/>
    <w:rsid w:val="00BC0A46"/>
    <w:rsid w:val="00BC25EF"/>
    <w:rsid w:val="00BC4312"/>
    <w:rsid w:val="00BC4E55"/>
    <w:rsid w:val="00BC559E"/>
    <w:rsid w:val="00BC7779"/>
    <w:rsid w:val="00BD06E4"/>
    <w:rsid w:val="00BD0A33"/>
    <w:rsid w:val="00BD2189"/>
    <w:rsid w:val="00BD5884"/>
    <w:rsid w:val="00BE0060"/>
    <w:rsid w:val="00BE06F9"/>
    <w:rsid w:val="00BE1C6A"/>
    <w:rsid w:val="00BE29E5"/>
    <w:rsid w:val="00BE33E6"/>
    <w:rsid w:val="00BE499F"/>
    <w:rsid w:val="00BE4E7B"/>
    <w:rsid w:val="00BE79ED"/>
    <w:rsid w:val="00BF000F"/>
    <w:rsid w:val="00BF22A4"/>
    <w:rsid w:val="00BF2A91"/>
    <w:rsid w:val="00BF5BFE"/>
    <w:rsid w:val="00C06D07"/>
    <w:rsid w:val="00C108BE"/>
    <w:rsid w:val="00C108CF"/>
    <w:rsid w:val="00C12169"/>
    <w:rsid w:val="00C126AA"/>
    <w:rsid w:val="00C1360E"/>
    <w:rsid w:val="00C1394D"/>
    <w:rsid w:val="00C149A3"/>
    <w:rsid w:val="00C17FCE"/>
    <w:rsid w:val="00C21654"/>
    <w:rsid w:val="00C223C8"/>
    <w:rsid w:val="00C22CEB"/>
    <w:rsid w:val="00C24481"/>
    <w:rsid w:val="00C250FB"/>
    <w:rsid w:val="00C279A3"/>
    <w:rsid w:val="00C30079"/>
    <w:rsid w:val="00C31EC8"/>
    <w:rsid w:val="00C340ED"/>
    <w:rsid w:val="00C341A1"/>
    <w:rsid w:val="00C446DC"/>
    <w:rsid w:val="00C478DA"/>
    <w:rsid w:val="00C53C8A"/>
    <w:rsid w:val="00C54E34"/>
    <w:rsid w:val="00C60181"/>
    <w:rsid w:val="00C60A35"/>
    <w:rsid w:val="00C60D3B"/>
    <w:rsid w:val="00C61146"/>
    <w:rsid w:val="00C61C47"/>
    <w:rsid w:val="00C63135"/>
    <w:rsid w:val="00C65F63"/>
    <w:rsid w:val="00C73B33"/>
    <w:rsid w:val="00C74B7C"/>
    <w:rsid w:val="00C85836"/>
    <w:rsid w:val="00C85F46"/>
    <w:rsid w:val="00C9023F"/>
    <w:rsid w:val="00C93132"/>
    <w:rsid w:val="00C93457"/>
    <w:rsid w:val="00C9356E"/>
    <w:rsid w:val="00C93E22"/>
    <w:rsid w:val="00C96CAA"/>
    <w:rsid w:val="00C9764E"/>
    <w:rsid w:val="00C97DD2"/>
    <w:rsid w:val="00CA05BD"/>
    <w:rsid w:val="00CA171D"/>
    <w:rsid w:val="00CA3C9C"/>
    <w:rsid w:val="00CA5787"/>
    <w:rsid w:val="00CA7350"/>
    <w:rsid w:val="00CB1690"/>
    <w:rsid w:val="00CB3393"/>
    <w:rsid w:val="00CB3861"/>
    <w:rsid w:val="00CC2577"/>
    <w:rsid w:val="00CC4A1F"/>
    <w:rsid w:val="00CC5F34"/>
    <w:rsid w:val="00CC711D"/>
    <w:rsid w:val="00CD122A"/>
    <w:rsid w:val="00CD1AA8"/>
    <w:rsid w:val="00CD55EA"/>
    <w:rsid w:val="00CD655C"/>
    <w:rsid w:val="00CD671B"/>
    <w:rsid w:val="00CE009C"/>
    <w:rsid w:val="00CE1B2E"/>
    <w:rsid w:val="00CE2848"/>
    <w:rsid w:val="00CE2A33"/>
    <w:rsid w:val="00CE2C37"/>
    <w:rsid w:val="00CE2DDE"/>
    <w:rsid w:val="00CE4B2E"/>
    <w:rsid w:val="00CE5CC7"/>
    <w:rsid w:val="00CE6FA8"/>
    <w:rsid w:val="00CE770D"/>
    <w:rsid w:val="00CF3D5E"/>
    <w:rsid w:val="00CF5D4C"/>
    <w:rsid w:val="00CF7527"/>
    <w:rsid w:val="00CF7E9A"/>
    <w:rsid w:val="00D039C0"/>
    <w:rsid w:val="00D07D44"/>
    <w:rsid w:val="00D07DFB"/>
    <w:rsid w:val="00D15972"/>
    <w:rsid w:val="00D1757B"/>
    <w:rsid w:val="00D179BD"/>
    <w:rsid w:val="00D23A19"/>
    <w:rsid w:val="00D303A5"/>
    <w:rsid w:val="00D32B2D"/>
    <w:rsid w:val="00D33617"/>
    <w:rsid w:val="00D354E9"/>
    <w:rsid w:val="00D35C40"/>
    <w:rsid w:val="00D37CDA"/>
    <w:rsid w:val="00D40DE6"/>
    <w:rsid w:val="00D4181A"/>
    <w:rsid w:val="00D419CB"/>
    <w:rsid w:val="00D41C79"/>
    <w:rsid w:val="00D45726"/>
    <w:rsid w:val="00D458E8"/>
    <w:rsid w:val="00D50328"/>
    <w:rsid w:val="00D51E27"/>
    <w:rsid w:val="00D55C50"/>
    <w:rsid w:val="00D56176"/>
    <w:rsid w:val="00D57722"/>
    <w:rsid w:val="00D60426"/>
    <w:rsid w:val="00D679A5"/>
    <w:rsid w:val="00D73059"/>
    <w:rsid w:val="00D75946"/>
    <w:rsid w:val="00D75CD9"/>
    <w:rsid w:val="00D7646C"/>
    <w:rsid w:val="00D76EF4"/>
    <w:rsid w:val="00D8394D"/>
    <w:rsid w:val="00D84025"/>
    <w:rsid w:val="00D859F8"/>
    <w:rsid w:val="00D861DB"/>
    <w:rsid w:val="00D9042A"/>
    <w:rsid w:val="00D9239B"/>
    <w:rsid w:val="00DA00E1"/>
    <w:rsid w:val="00DA0308"/>
    <w:rsid w:val="00DA5AD9"/>
    <w:rsid w:val="00DA60FE"/>
    <w:rsid w:val="00DA639D"/>
    <w:rsid w:val="00DB0256"/>
    <w:rsid w:val="00DB1407"/>
    <w:rsid w:val="00DC25C5"/>
    <w:rsid w:val="00DC2700"/>
    <w:rsid w:val="00DC37FB"/>
    <w:rsid w:val="00DC5353"/>
    <w:rsid w:val="00DC72EC"/>
    <w:rsid w:val="00DD2CC1"/>
    <w:rsid w:val="00DD3334"/>
    <w:rsid w:val="00DD5D7C"/>
    <w:rsid w:val="00DD656F"/>
    <w:rsid w:val="00DD7296"/>
    <w:rsid w:val="00DE3BC4"/>
    <w:rsid w:val="00DE6F14"/>
    <w:rsid w:val="00DE7A65"/>
    <w:rsid w:val="00DE7BD5"/>
    <w:rsid w:val="00DF0E6E"/>
    <w:rsid w:val="00DF1B2F"/>
    <w:rsid w:val="00DF20D0"/>
    <w:rsid w:val="00DF3A88"/>
    <w:rsid w:val="00DF5DE5"/>
    <w:rsid w:val="00E02339"/>
    <w:rsid w:val="00E11BE8"/>
    <w:rsid w:val="00E157AF"/>
    <w:rsid w:val="00E17458"/>
    <w:rsid w:val="00E20B0B"/>
    <w:rsid w:val="00E2155E"/>
    <w:rsid w:val="00E27395"/>
    <w:rsid w:val="00E3178C"/>
    <w:rsid w:val="00E31CA4"/>
    <w:rsid w:val="00E328B2"/>
    <w:rsid w:val="00E33D04"/>
    <w:rsid w:val="00E34D09"/>
    <w:rsid w:val="00E34D36"/>
    <w:rsid w:val="00E35CAD"/>
    <w:rsid w:val="00E3638A"/>
    <w:rsid w:val="00E41CC2"/>
    <w:rsid w:val="00E42263"/>
    <w:rsid w:val="00E45FDE"/>
    <w:rsid w:val="00E47218"/>
    <w:rsid w:val="00E51B09"/>
    <w:rsid w:val="00E52D21"/>
    <w:rsid w:val="00E53176"/>
    <w:rsid w:val="00E53D2A"/>
    <w:rsid w:val="00E56EA7"/>
    <w:rsid w:val="00E60E37"/>
    <w:rsid w:val="00E61084"/>
    <w:rsid w:val="00E62657"/>
    <w:rsid w:val="00E62D21"/>
    <w:rsid w:val="00E62FF8"/>
    <w:rsid w:val="00E65C09"/>
    <w:rsid w:val="00E66170"/>
    <w:rsid w:val="00E67CEF"/>
    <w:rsid w:val="00E7067D"/>
    <w:rsid w:val="00E70AC5"/>
    <w:rsid w:val="00E744B8"/>
    <w:rsid w:val="00E81EB8"/>
    <w:rsid w:val="00E855BF"/>
    <w:rsid w:val="00E86118"/>
    <w:rsid w:val="00E87234"/>
    <w:rsid w:val="00E87BED"/>
    <w:rsid w:val="00E87F31"/>
    <w:rsid w:val="00E90691"/>
    <w:rsid w:val="00E91B49"/>
    <w:rsid w:val="00E92EEB"/>
    <w:rsid w:val="00E93B7E"/>
    <w:rsid w:val="00E94A36"/>
    <w:rsid w:val="00E96ECB"/>
    <w:rsid w:val="00E97810"/>
    <w:rsid w:val="00E97FD5"/>
    <w:rsid w:val="00EA0D92"/>
    <w:rsid w:val="00EA17C7"/>
    <w:rsid w:val="00EA2BF0"/>
    <w:rsid w:val="00EA2C51"/>
    <w:rsid w:val="00EA3A11"/>
    <w:rsid w:val="00EA3BCD"/>
    <w:rsid w:val="00EA3F2E"/>
    <w:rsid w:val="00EA4BF1"/>
    <w:rsid w:val="00EA62F6"/>
    <w:rsid w:val="00EA6874"/>
    <w:rsid w:val="00EB084C"/>
    <w:rsid w:val="00EB1F95"/>
    <w:rsid w:val="00EB2875"/>
    <w:rsid w:val="00EB294B"/>
    <w:rsid w:val="00EB2BE1"/>
    <w:rsid w:val="00EB751D"/>
    <w:rsid w:val="00EC0D20"/>
    <w:rsid w:val="00EC38AF"/>
    <w:rsid w:val="00EC3957"/>
    <w:rsid w:val="00EC4922"/>
    <w:rsid w:val="00EC4A1F"/>
    <w:rsid w:val="00EC7FCD"/>
    <w:rsid w:val="00ED044B"/>
    <w:rsid w:val="00ED34C0"/>
    <w:rsid w:val="00ED57DB"/>
    <w:rsid w:val="00ED5F4D"/>
    <w:rsid w:val="00ED66D7"/>
    <w:rsid w:val="00ED75C9"/>
    <w:rsid w:val="00ED7767"/>
    <w:rsid w:val="00ED7A02"/>
    <w:rsid w:val="00EE5138"/>
    <w:rsid w:val="00EE659F"/>
    <w:rsid w:val="00EE7518"/>
    <w:rsid w:val="00EE7C46"/>
    <w:rsid w:val="00F01CF2"/>
    <w:rsid w:val="00F0380A"/>
    <w:rsid w:val="00F0621A"/>
    <w:rsid w:val="00F06E38"/>
    <w:rsid w:val="00F10523"/>
    <w:rsid w:val="00F10E0D"/>
    <w:rsid w:val="00F13840"/>
    <w:rsid w:val="00F15EA8"/>
    <w:rsid w:val="00F17B13"/>
    <w:rsid w:val="00F205BA"/>
    <w:rsid w:val="00F21ADB"/>
    <w:rsid w:val="00F23485"/>
    <w:rsid w:val="00F23C89"/>
    <w:rsid w:val="00F24DC9"/>
    <w:rsid w:val="00F26E1A"/>
    <w:rsid w:val="00F32105"/>
    <w:rsid w:val="00F3234C"/>
    <w:rsid w:val="00F3258F"/>
    <w:rsid w:val="00F35636"/>
    <w:rsid w:val="00F36A1E"/>
    <w:rsid w:val="00F4077F"/>
    <w:rsid w:val="00F42567"/>
    <w:rsid w:val="00F440ED"/>
    <w:rsid w:val="00F455DE"/>
    <w:rsid w:val="00F50105"/>
    <w:rsid w:val="00F51EDB"/>
    <w:rsid w:val="00F56C8F"/>
    <w:rsid w:val="00F56F36"/>
    <w:rsid w:val="00F57A0F"/>
    <w:rsid w:val="00F63BAB"/>
    <w:rsid w:val="00F655E8"/>
    <w:rsid w:val="00F65D0E"/>
    <w:rsid w:val="00F666D9"/>
    <w:rsid w:val="00F7137A"/>
    <w:rsid w:val="00F71B09"/>
    <w:rsid w:val="00F750A2"/>
    <w:rsid w:val="00F75256"/>
    <w:rsid w:val="00F75358"/>
    <w:rsid w:val="00F75C87"/>
    <w:rsid w:val="00F76125"/>
    <w:rsid w:val="00F8009A"/>
    <w:rsid w:val="00F8311E"/>
    <w:rsid w:val="00F86F0C"/>
    <w:rsid w:val="00F87E21"/>
    <w:rsid w:val="00F95B82"/>
    <w:rsid w:val="00F966BC"/>
    <w:rsid w:val="00F97270"/>
    <w:rsid w:val="00FA0635"/>
    <w:rsid w:val="00FA22E4"/>
    <w:rsid w:val="00FA2CDB"/>
    <w:rsid w:val="00FA373B"/>
    <w:rsid w:val="00FA557B"/>
    <w:rsid w:val="00FA634E"/>
    <w:rsid w:val="00FA73FD"/>
    <w:rsid w:val="00FA7B61"/>
    <w:rsid w:val="00FB0AC6"/>
    <w:rsid w:val="00FB26B6"/>
    <w:rsid w:val="00FB3325"/>
    <w:rsid w:val="00FB3750"/>
    <w:rsid w:val="00FC57BF"/>
    <w:rsid w:val="00FC749D"/>
    <w:rsid w:val="00FD0D22"/>
    <w:rsid w:val="00FD1160"/>
    <w:rsid w:val="00FD1BBA"/>
    <w:rsid w:val="00FD315D"/>
    <w:rsid w:val="00FD40EB"/>
    <w:rsid w:val="00FD5FF6"/>
    <w:rsid w:val="00FE25F4"/>
    <w:rsid w:val="00FE46A6"/>
    <w:rsid w:val="00FE4967"/>
    <w:rsid w:val="00FE77C7"/>
    <w:rsid w:val="00FF0B37"/>
    <w:rsid w:val="00FF2438"/>
    <w:rsid w:val="00FF358A"/>
    <w:rsid w:val="00FF3663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00361"/>
  <w15:docId w15:val="{CF6CDD72-6B50-4284-9697-380E3C5D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884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CC7"/>
  </w:style>
  <w:style w:type="paragraph" w:styleId="Footer">
    <w:name w:val="footer"/>
    <w:basedOn w:val="Normal"/>
    <w:link w:val="Foot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CC7"/>
  </w:style>
  <w:style w:type="paragraph" w:styleId="ListParagraph">
    <w:name w:val="List Paragraph"/>
    <w:basedOn w:val="Normal"/>
    <w:uiPriority w:val="34"/>
    <w:qFormat/>
    <w:rsid w:val="00822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AE"/>
    <w:rPr>
      <w:rFonts w:ascii="Tahoma" w:hAnsi="Tahoma" w:cs="Tahoma"/>
      <w:sz w:val="16"/>
      <w:szCs w:val="16"/>
    </w:rPr>
  </w:style>
  <w:style w:type="paragraph" w:customStyle="1" w:styleId="ParaTab1">
    <w:name w:val="ParaTab 1"/>
    <w:rsid w:val="002C04AB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noteText">
    <w:name w:val="footnote text"/>
    <w:aliases w:val="ALTS FOOTNOTE,ALTS FOOTNOTE Char,ALTS FOOTNOTE Char Char Char,FOOTNOTE,Footnote Text 2,Footnote Text Char Char Char,Footnote Text Char1 Char,Footnote Text Char2 Char Char Char,Footnote Text1 Char,Footnote text,fn,fn Char,fn Char Char Char"/>
    <w:basedOn w:val="Normal"/>
    <w:link w:val="FootnoteTextChar"/>
    <w:unhideWhenUsed/>
    <w:qFormat/>
    <w:rsid w:val="002C04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ALTS FOOTNOTE Char1,ALTS FOOTNOTE Char Char,ALTS FOOTNOTE Char Char Char Char,FOOTNOTE Char,Footnote Text 2 Char,Footnote Text Char Char Char Char,Footnote Text Char1 Char Char,Footnote Text Char2 Char Char Char Char,fn Char1"/>
    <w:basedOn w:val="DefaultParagraphFont"/>
    <w:link w:val="FootnoteText"/>
    <w:rsid w:val="002C04AB"/>
    <w:rPr>
      <w:sz w:val="20"/>
      <w:szCs w:val="20"/>
    </w:rPr>
  </w:style>
  <w:style w:type="character" w:styleId="FootnoteReference">
    <w:name w:val="footnote reference"/>
    <w:aliases w:val="o,fr"/>
    <w:basedOn w:val="DefaultParagraphFont"/>
    <w:semiHidden/>
    <w:unhideWhenUsed/>
    <w:rsid w:val="002C04AB"/>
    <w:rPr>
      <w:vertAlign w:val="superscript"/>
    </w:rPr>
  </w:style>
  <w:style w:type="paragraph" w:styleId="BodyTextIndent">
    <w:name w:val="Body Text Indent"/>
    <w:basedOn w:val="Normal"/>
    <w:link w:val="BodyTextIndentChar"/>
    <w:rsid w:val="00024FA0"/>
    <w:pPr>
      <w:widowControl w:val="0"/>
      <w:autoSpaceDE w:val="0"/>
      <w:autoSpaceDN w:val="0"/>
      <w:spacing w:after="0" w:line="360" w:lineRule="auto"/>
      <w:ind w:firstLine="144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024FA0"/>
    <w:rPr>
      <w:rFonts w:ascii="Times New Roman" w:eastAsia="Times New Roman" w:hAnsi="Times New Roman" w:cs="Times New Roman"/>
      <w:sz w:val="26"/>
      <w:szCs w:val="26"/>
    </w:rPr>
  </w:style>
  <w:style w:type="paragraph" w:customStyle="1" w:styleId="Style">
    <w:name w:val="Style"/>
    <w:rsid w:val="00FB3325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06061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0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864"/>
    <w:rPr>
      <w:b/>
      <w:bCs/>
      <w:sz w:val="20"/>
      <w:szCs w:val="20"/>
    </w:rPr>
  </w:style>
  <w:style w:type="paragraph" w:styleId="ListNumber">
    <w:name w:val="List Number"/>
    <w:basedOn w:val="Normal"/>
    <w:uiPriority w:val="99"/>
    <w:unhideWhenUsed/>
    <w:rsid w:val="00D33617"/>
    <w:pPr>
      <w:numPr>
        <w:numId w:val="3"/>
      </w:numPr>
      <w:spacing w:after="0" w:line="480" w:lineRule="auto"/>
      <w:ind w:left="0" w:firstLine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0FE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422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422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A422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D1BB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E62D2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62D21"/>
    <w:rPr>
      <w:rFonts w:ascii="Times New Roman" w:eastAsia="Times New Roman" w:hAnsi="Times New Roman" w:cs="Times New Roman"/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27619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06AF6"/>
    <w:pPr>
      <w:spacing w:line="240" w:lineRule="auto"/>
      <w:ind w:firstLine="720"/>
    </w:pPr>
    <w:rPr>
      <w:rFonts w:ascii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06AF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8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08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4655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8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86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9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6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476933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17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8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67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166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373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3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6470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40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7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7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13718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73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22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289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6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626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31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4969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810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200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next.westlaw.com/Link/Document/FullText?findType=Y&amp;serNum=1990113436&amp;pubNum=0000162&amp;originatingDoc=I8f7f1c75c96211e8ab20b3103407982a&amp;refType=RP&amp;originationContext=document&amp;transitionType=DocumentItem&amp;contextData=(sc.Keycite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1.next.westlaw.com/Link/Document/FullText?findType=Y&amp;serNum=1980106500&amp;pubNum=0000162&amp;originatingDoc=I8f7f1c75c96211e8ab20b3103407982a&amp;refType=RP&amp;originationContext=document&amp;transitionType=DocumentItem&amp;contextData=(sc.Keycite)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spe.hhs.gov/pov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17D18-2544-4C81-852C-FB39E68B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Hunt, Tiffany</cp:lastModifiedBy>
  <cp:revision>4</cp:revision>
  <cp:lastPrinted>2019-02-21T15:32:00Z</cp:lastPrinted>
  <dcterms:created xsi:type="dcterms:W3CDTF">2019-02-14T17:06:00Z</dcterms:created>
  <dcterms:modified xsi:type="dcterms:W3CDTF">2019-02-21T15:32:00Z</dcterms:modified>
</cp:coreProperties>
</file>