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543E4" w14:textId="77777777" w:rsidR="00B24598" w:rsidRPr="001A263F" w:rsidRDefault="00B24598" w:rsidP="008F76B5">
      <w:pPr>
        <w:tabs>
          <w:tab w:val="left" w:pos="360"/>
        </w:tabs>
        <w:spacing w:line="240" w:lineRule="auto"/>
        <w:jc w:val="center"/>
        <w:rPr>
          <w:b/>
        </w:rPr>
      </w:pPr>
      <w:r w:rsidRPr="001A263F">
        <w:rPr>
          <w:b/>
        </w:rPr>
        <w:t>BEFORE THE</w:t>
      </w:r>
    </w:p>
    <w:p w14:paraId="3FDA772B" w14:textId="77777777" w:rsidR="00B24598" w:rsidRPr="001A263F" w:rsidRDefault="00B24598" w:rsidP="008F76B5">
      <w:pPr>
        <w:tabs>
          <w:tab w:val="left" w:pos="360"/>
        </w:tabs>
        <w:spacing w:line="240" w:lineRule="auto"/>
        <w:jc w:val="center"/>
        <w:rPr>
          <w:b/>
        </w:rPr>
      </w:pPr>
      <w:r w:rsidRPr="001A263F">
        <w:rPr>
          <w:b/>
        </w:rPr>
        <w:t>PENNSYLVANIA PUBLIC UTILITY COMMISSION</w:t>
      </w:r>
    </w:p>
    <w:p w14:paraId="3B1A717B" w14:textId="77777777" w:rsidR="00B24598" w:rsidRPr="001A263F" w:rsidRDefault="00B24598" w:rsidP="008F76B5">
      <w:pPr>
        <w:tabs>
          <w:tab w:val="left" w:pos="360"/>
        </w:tabs>
        <w:spacing w:line="240" w:lineRule="auto"/>
        <w:jc w:val="both"/>
        <w:rPr>
          <w:b/>
        </w:rPr>
      </w:pPr>
    </w:p>
    <w:p w14:paraId="008052C1" w14:textId="77777777" w:rsidR="00B24598" w:rsidRPr="001A263F" w:rsidRDefault="00B24598" w:rsidP="008F76B5">
      <w:pPr>
        <w:tabs>
          <w:tab w:val="left" w:pos="360"/>
        </w:tabs>
        <w:spacing w:line="240" w:lineRule="auto"/>
        <w:jc w:val="both"/>
        <w:rPr>
          <w:b/>
        </w:rPr>
      </w:pPr>
    </w:p>
    <w:p w14:paraId="55F36C23" w14:textId="77777777" w:rsidR="00B24598" w:rsidRPr="001A263F" w:rsidRDefault="00B24598" w:rsidP="008F76B5">
      <w:pPr>
        <w:tabs>
          <w:tab w:val="left" w:pos="360"/>
        </w:tabs>
        <w:spacing w:line="240" w:lineRule="auto"/>
        <w:jc w:val="both"/>
        <w:rPr>
          <w:b/>
        </w:rPr>
      </w:pPr>
    </w:p>
    <w:p w14:paraId="76885321" w14:textId="080C235A" w:rsidR="00B24598" w:rsidRPr="001A263F" w:rsidRDefault="00EE3B35" w:rsidP="008F76B5">
      <w:pPr>
        <w:tabs>
          <w:tab w:val="left" w:pos="360"/>
        </w:tabs>
        <w:spacing w:line="240" w:lineRule="auto"/>
        <w:jc w:val="both"/>
      </w:pPr>
      <w:r>
        <w:t>Mark Stanford</w:t>
      </w:r>
      <w:r>
        <w:tab/>
      </w:r>
      <w:r>
        <w:tab/>
      </w:r>
      <w:r w:rsidR="00B24598" w:rsidRPr="001A263F">
        <w:tab/>
      </w:r>
      <w:r w:rsidR="00B24598" w:rsidRPr="001A263F">
        <w:tab/>
      </w:r>
      <w:r w:rsidR="00B24598" w:rsidRPr="001A263F">
        <w:tab/>
      </w:r>
      <w:r w:rsidR="00B24598" w:rsidRPr="001A263F">
        <w:tab/>
        <w:t>:</w:t>
      </w:r>
    </w:p>
    <w:p w14:paraId="66EA0B2D" w14:textId="77777777" w:rsidR="00B24598" w:rsidRPr="001A263F" w:rsidRDefault="00B24598" w:rsidP="008F76B5">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3BBBB6A8" w14:textId="007B06CF" w:rsidR="00B24598" w:rsidRPr="001A263F" w:rsidRDefault="00B24598" w:rsidP="008F76B5">
      <w:pPr>
        <w:tabs>
          <w:tab w:val="left" w:pos="360"/>
          <w:tab w:val="left" w:pos="720"/>
        </w:tabs>
        <w:spacing w:line="240" w:lineRule="auto"/>
        <w:jc w:val="both"/>
      </w:pPr>
      <w:r w:rsidRPr="001A263F">
        <w:tab/>
      </w:r>
      <w:r w:rsidRPr="001A263F">
        <w:tab/>
        <w:t>v.</w:t>
      </w:r>
      <w:r w:rsidRPr="001A263F">
        <w:tab/>
      </w:r>
      <w:r w:rsidRPr="001A263F">
        <w:tab/>
      </w:r>
      <w:r w:rsidRPr="001A263F">
        <w:tab/>
      </w:r>
      <w:r w:rsidRPr="001A263F">
        <w:tab/>
      </w:r>
      <w:r w:rsidRPr="001A263F">
        <w:tab/>
      </w:r>
      <w:r w:rsidRPr="001A263F">
        <w:tab/>
        <w:t>:</w:t>
      </w:r>
      <w:r w:rsidRPr="001A263F">
        <w:tab/>
      </w:r>
      <w:r w:rsidRPr="001A263F">
        <w:tab/>
        <w:t>C-2018-300</w:t>
      </w:r>
      <w:r w:rsidR="00EE3B35">
        <w:t>6025</w:t>
      </w:r>
    </w:p>
    <w:p w14:paraId="2B5B27CB" w14:textId="77777777" w:rsidR="00B24598" w:rsidRPr="001A263F" w:rsidRDefault="00B24598" w:rsidP="008F76B5">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63126BA3" w14:textId="5A6D7CB4" w:rsidR="00B24598" w:rsidRPr="001A263F" w:rsidRDefault="00B24598" w:rsidP="008F76B5">
      <w:pPr>
        <w:tabs>
          <w:tab w:val="left" w:pos="360"/>
        </w:tabs>
        <w:spacing w:line="240" w:lineRule="auto"/>
        <w:jc w:val="both"/>
      </w:pPr>
      <w:r w:rsidRPr="001A263F">
        <w:t xml:space="preserve">Pennsylvania </w:t>
      </w:r>
      <w:r w:rsidR="00EE3B35">
        <w:t>Power</w:t>
      </w:r>
      <w:r w:rsidRPr="001A263F">
        <w:t xml:space="preserve"> Company</w:t>
      </w:r>
      <w:r w:rsidRPr="001A263F">
        <w:tab/>
      </w:r>
      <w:r w:rsidRPr="001A263F">
        <w:tab/>
      </w:r>
      <w:r w:rsidRPr="001A263F">
        <w:tab/>
        <w:t>:</w:t>
      </w:r>
    </w:p>
    <w:p w14:paraId="54B844B3" w14:textId="77777777" w:rsidR="00B24598" w:rsidRDefault="00B24598" w:rsidP="008F76B5">
      <w:pPr>
        <w:spacing w:line="240" w:lineRule="auto"/>
      </w:pPr>
    </w:p>
    <w:p w14:paraId="3C3063DD" w14:textId="77777777" w:rsidR="00B24598" w:rsidRDefault="00B24598" w:rsidP="008F76B5">
      <w:pPr>
        <w:spacing w:line="240" w:lineRule="auto"/>
      </w:pPr>
    </w:p>
    <w:p w14:paraId="2773F126" w14:textId="77777777" w:rsidR="00B24598" w:rsidRDefault="00B24598" w:rsidP="008F76B5">
      <w:pPr>
        <w:spacing w:line="240" w:lineRule="auto"/>
      </w:pPr>
    </w:p>
    <w:p w14:paraId="25F70CCF" w14:textId="77777777" w:rsidR="0052422E" w:rsidRPr="00774BF1" w:rsidRDefault="0052422E" w:rsidP="008F76B5">
      <w:pPr>
        <w:spacing w:line="240" w:lineRule="auto"/>
        <w:jc w:val="center"/>
        <w:rPr>
          <w:b/>
        </w:rPr>
      </w:pPr>
      <w:r w:rsidRPr="00774BF1">
        <w:rPr>
          <w:b/>
        </w:rPr>
        <w:t>INTERIM ORDER</w:t>
      </w:r>
    </w:p>
    <w:p w14:paraId="11B3180D" w14:textId="77777777" w:rsidR="0052422E" w:rsidRPr="00774BF1" w:rsidRDefault="009C7123" w:rsidP="00774BF1">
      <w:pPr>
        <w:spacing w:line="240" w:lineRule="auto"/>
        <w:jc w:val="center"/>
        <w:rPr>
          <w:b/>
          <w:u w:val="single"/>
        </w:rPr>
      </w:pPr>
      <w:r w:rsidRPr="00774BF1">
        <w:rPr>
          <w:b/>
          <w:u w:val="single"/>
        </w:rPr>
        <w:t>O</w:t>
      </w:r>
      <w:r>
        <w:rPr>
          <w:b/>
          <w:u w:val="single"/>
        </w:rPr>
        <w:t xml:space="preserve">N </w:t>
      </w:r>
      <w:r w:rsidRPr="00774BF1">
        <w:rPr>
          <w:b/>
          <w:u w:val="single"/>
        </w:rPr>
        <w:t>MOTION</w:t>
      </w:r>
      <w:r w:rsidR="0052422E" w:rsidRPr="00774BF1">
        <w:rPr>
          <w:b/>
          <w:u w:val="single"/>
        </w:rPr>
        <w:t xml:space="preserve"> TO DISMISS</w:t>
      </w:r>
    </w:p>
    <w:p w14:paraId="1EAE5CB4" w14:textId="77777777" w:rsidR="0052422E" w:rsidRDefault="0052422E">
      <w:bookmarkStart w:id="0" w:name="_GoBack"/>
      <w:bookmarkEnd w:id="0"/>
    </w:p>
    <w:p w14:paraId="22271ECA" w14:textId="064D66EE" w:rsidR="0052422E" w:rsidRDefault="0052422E">
      <w:r>
        <w:tab/>
      </w:r>
      <w:r w:rsidR="00574349">
        <w:tab/>
      </w:r>
      <w:r w:rsidR="005566B3">
        <w:t xml:space="preserve">On </w:t>
      </w:r>
      <w:r w:rsidR="00EE3B35">
        <w:t>November 14, 2018, Mark Stanford</w:t>
      </w:r>
      <w:r w:rsidR="005566B3">
        <w:t xml:space="preserve"> (Complainant) filed a formal complaint against Pennsylvania </w:t>
      </w:r>
      <w:r w:rsidR="00EE3B35">
        <w:t>Power</w:t>
      </w:r>
      <w:r w:rsidR="005566B3">
        <w:t xml:space="preserve"> Company (Pen</w:t>
      </w:r>
      <w:r w:rsidR="00EE3B35">
        <w:t>n Power</w:t>
      </w:r>
      <w:r w:rsidR="005566B3">
        <w:t xml:space="preserve">) challenging the accuracy of charges on his bill and requesting a payment arrangement.  On </w:t>
      </w:r>
      <w:r w:rsidR="00EB444B">
        <w:t>December 4, 2018, Penn Power</w:t>
      </w:r>
      <w:r w:rsidR="005566B3">
        <w:t xml:space="preserve"> filed an answer.  Pen</w:t>
      </w:r>
      <w:r w:rsidR="005035B1">
        <w:t>n Power</w:t>
      </w:r>
      <w:r w:rsidR="005566B3">
        <w:t xml:space="preserve"> admitted that it provides service to the service address, but alleges that the account is in the name of “</w:t>
      </w:r>
      <w:r w:rsidR="00EB444B">
        <w:t>Y-Clean</w:t>
      </w:r>
      <w:r w:rsidR="005566B3">
        <w:t xml:space="preserve">” which is a commercial establishment.  </w:t>
      </w:r>
      <w:r w:rsidR="00EB444B">
        <w:t>Penn Power</w:t>
      </w:r>
      <w:r w:rsidR="005566B3">
        <w:t xml:space="preserve"> denied the remaining material allegations in the complaint.  </w:t>
      </w:r>
      <w:r w:rsidR="00EB444B">
        <w:t>Penn Power</w:t>
      </w:r>
      <w:r w:rsidR="005566B3">
        <w:t xml:space="preserve"> also included a new matter along with a notice to plead which states that the customer, as a commercial enterprise, must be represented by counsel.</w:t>
      </w:r>
    </w:p>
    <w:p w14:paraId="51D4E41A" w14:textId="77777777" w:rsidR="005566B3" w:rsidRDefault="005566B3"/>
    <w:p w14:paraId="6F3FA68A" w14:textId="51434EE4" w:rsidR="005566B3" w:rsidRDefault="005566B3">
      <w:r>
        <w:tab/>
      </w:r>
      <w:r>
        <w:tab/>
        <w:t xml:space="preserve">By notice dated </w:t>
      </w:r>
      <w:r w:rsidR="00960530">
        <w:t>January 16, 2019</w:t>
      </w:r>
      <w:r>
        <w:t xml:space="preserve">, the complaint was assigned to me and scheduled for a hearing on </w:t>
      </w:r>
      <w:r w:rsidR="00960530">
        <w:t>March 14, 2019</w:t>
      </w:r>
      <w:r>
        <w:t xml:space="preserve">.  On </w:t>
      </w:r>
      <w:r w:rsidR="00960530">
        <w:t>January 17, 2019,</w:t>
      </w:r>
      <w:r>
        <w:t xml:space="preserve"> I issued my customary prehearing order which set forth the procedures for the conduct of hearings.</w:t>
      </w:r>
      <w:r w:rsidR="00930CF3">
        <w:t xml:space="preserve">  </w:t>
      </w:r>
    </w:p>
    <w:p w14:paraId="77E4E7F4" w14:textId="77777777" w:rsidR="005566B3" w:rsidRDefault="005566B3"/>
    <w:p w14:paraId="23A3642B" w14:textId="25A17F8A" w:rsidR="005566B3" w:rsidRDefault="005566B3">
      <w:r>
        <w:tab/>
      </w:r>
      <w:r>
        <w:tab/>
        <w:t xml:space="preserve">On </w:t>
      </w:r>
      <w:r w:rsidR="00960530">
        <w:t>January 25, 2019</w:t>
      </w:r>
      <w:r>
        <w:t xml:space="preserve">, </w:t>
      </w:r>
      <w:r w:rsidR="00960530">
        <w:t>Penn Power</w:t>
      </w:r>
      <w:r>
        <w:t xml:space="preserve"> filed a motion to dismiss the complaint.  </w:t>
      </w:r>
      <w:r w:rsidR="00574349">
        <w:t xml:space="preserve">The basis for the motion is </w:t>
      </w:r>
      <w:r w:rsidR="0018461F">
        <w:t>that the ratepayer of record</w:t>
      </w:r>
      <w:r w:rsidR="00574349">
        <w:t xml:space="preserve"> for the account</w:t>
      </w:r>
      <w:r w:rsidR="00930CF3">
        <w:t xml:space="preserve"> is a business entity, </w:t>
      </w:r>
      <w:r w:rsidR="00960530">
        <w:t>Y-Clean</w:t>
      </w:r>
      <w:r w:rsidR="00574349">
        <w:t>,</w:t>
      </w:r>
      <w:r w:rsidR="00930CF3">
        <w:t xml:space="preserve"> and</w:t>
      </w:r>
      <w:r w:rsidR="00574349">
        <w:t xml:space="preserve"> must be represented by counsel.  </w:t>
      </w:r>
      <w:r w:rsidR="00930CF3">
        <w:t xml:space="preserve">To date, no response to </w:t>
      </w:r>
      <w:r w:rsidR="00960530">
        <w:t xml:space="preserve">Penn </w:t>
      </w:r>
      <w:r w:rsidR="005035B1">
        <w:t>P</w:t>
      </w:r>
      <w:r w:rsidR="00960530">
        <w:t>ower’s</w:t>
      </w:r>
      <w:r w:rsidR="00930CF3">
        <w:t xml:space="preserve"> motion has been filed, therefore it is ripe for decision.</w:t>
      </w:r>
      <w:r w:rsidR="00930CF3">
        <w:rPr>
          <w:rStyle w:val="FootnoteReference"/>
        </w:rPr>
        <w:footnoteReference w:id="1"/>
      </w:r>
    </w:p>
    <w:p w14:paraId="4E468815" w14:textId="00BE2EA1" w:rsidR="001317C6" w:rsidRDefault="006D22B3" w:rsidP="001317C6">
      <w:r>
        <w:lastRenderedPageBreak/>
        <w:tab/>
      </w:r>
      <w:r>
        <w:tab/>
      </w:r>
      <w:r w:rsidR="003326A6">
        <w:t>Penn Power’</w:t>
      </w:r>
      <w:r>
        <w:t>s motion to dismiss is in the nature of a motion for summary judgment.</w:t>
      </w:r>
      <w:r w:rsidR="001317C6">
        <w:t xml:space="preserve">  The motion relies on factual averments which are not made in the formal </w:t>
      </w:r>
      <w:proofErr w:type="gramStart"/>
      <w:r w:rsidR="001317C6">
        <w:t>complaint, but</w:t>
      </w:r>
      <w:proofErr w:type="gramEnd"/>
      <w:r w:rsidR="001317C6">
        <w:t xml:space="preserve"> are supported </w:t>
      </w:r>
      <w:r w:rsidR="005035B1">
        <w:t xml:space="preserve">in </w:t>
      </w:r>
      <w:r w:rsidR="003326A6">
        <w:t>the affidavit of Charles Howlett which was</w:t>
      </w:r>
      <w:r w:rsidR="001317C6">
        <w:t xml:space="preserve"> attached to its motion.  To prevail on a motion for summary judgment, 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w:t>
      </w:r>
      <w:r w:rsidR="001317C6">
        <w:rPr>
          <w:rStyle w:val="FootnoteReference"/>
        </w:rPr>
        <w:footnoteReference w:id="2"/>
      </w:r>
      <w:r w:rsidR="001317C6">
        <w:t xml:space="preserve">  All doubts as to the existence of a genuine issue of material fact must be resolved against the moving party.</w:t>
      </w:r>
      <w:r w:rsidR="001317C6">
        <w:rPr>
          <w:rStyle w:val="FootnoteReference"/>
        </w:rPr>
        <w:footnoteReference w:id="3"/>
      </w:r>
      <w:r w:rsidR="001317C6">
        <w:t xml:space="preserve">  Judgment will be granted only where the right to relief is clear and free from doubt.</w:t>
      </w:r>
    </w:p>
    <w:p w14:paraId="02DF6BE5" w14:textId="77777777" w:rsidR="001317C6" w:rsidRDefault="001317C6" w:rsidP="001317C6"/>
    <w:p w14:paraId="503AD0A2" w14:textId="477E1796" w:rsidR="001317C6" w:rsidRDefault="001317C6" w:rsidP="001317C6">
      <w:r>
        <w:tab/>
      </w:r>
      <w:r>
        <w:tab/>
      </w:r>
      <w:r w:rsidR="003326A6">
        <w:t>Penn Power</w:t>
      </w:r>
      <w:r>
        <w:t xml:space="preserve"> argues that the formal complaint by </w:t>
      </w:r>
      <w:r w:rsidR="003326A6">
        <w:t>Mark Stanford</w:t>
      </w:r>
      <w:r>
        <w:t xml:space="preserve"> must be dismissed because he is not the proper party to prosecute the complaint.  Specifically, the service location identified in the complaint belongs to an entity known as </w:t>
      </w:r>
      <w:r w:rsidR="003326A6">
        <w:t>Y-Clean, Inc.</w:t>
      </w:r>
      <w:r>
        <w:t xml:space="preserve">  According to </w:t>
      </w:r>
      <w:r w:rsidR="003326A6">
        <w:t xml:space="preserve">Penn Power’s </w:t>
      </w:r>
      <w:r>
        <w:t>records, the account is a commercial account</w:t>
      </w:r>
      <w:r w:rsidR="003326A6">
        <w:t>.  Mark Stanford is an</w:t>
      </w:r>
      <w:r>
        <w:t xml:space="preserve"> authorized contact listed for the account.</w:t>
      </w:r>
      <w:r>
        <w:rPr>
          <w:rStyle w:val="FootnoteReference"/>
        </w:rPr>
        <w:footnoteReference w:id="4"/>
      </w:r>
      <w:r>
        <w:t xml:space="preserve">  </w:t>
      </w:r>
      <w:r w:rsidR="00B768B1">
        <w:t xml:space="preserve">Accordingly, </w:t>
      </w:r>
      <w:r w:rsidR="003326A6">
        <w:t>Penn Power</w:t>
      </w:r>
      <w:r w:rsidR="00B768B1">
        <w:t xml:space="preserve"> argues, Commission regulations require </w:t>
      </w:r>
      <w:r w:rsidR="003326A6">
        <w:t>Y</w:t>
      </w:r>
      <w:r w:rsidR="00B02244">
        <w:noBreakHyphen/>
      </w:r>
      <w:r w:rsidR="003326A6">
        <w:t>Clean, Inc.</w:t>
      </w:r>
      <w:r w:rsidR="00B768B1">
        <w:t xml:space="preserve"> to be represented by an attorney licensed to practice law in Pennsylvania.  </w:t>
      </w:r>
      <w:r w:rsidR="005035B1">
        <w:t>Moreover</w:t>
      </w:r>
      <w:r w:rsidR="00B768B1">
        <w:t>, Pen</w:t>
      </w:r>
      <w:r w:rsidR="005035B1">
        <w:t>n Power</w:t>
      </w:r>
      <w:r w:rsidR="00B768B1">
        <w:t xml:space="preserve"> further claims that Mr. </w:t>
      </w:r>
      <w:r w:rsidR="003326A6">
        <w:t>Stanford</w:t>
      </w:r>
      <w:r w:rsidR="00B768B1">
        <w:t xml:space="preserve"> does not have standing to pursue the complaint because he is not the customer of record.</w:t>
      </w:r>
    </w:p>
    <w:p w14:paraId="7B62C9A4" w14:textId="77777777" w:rsidR="00B768B1" w:rsidRDefault="00B768B1" w:rsidP="001317C6"/>
    <w:p w14:paraId="17DE93EA" w14:textId="77777777" w:rsidR="00B768B1" w:rsidRDefault="00B768B1" w:rsidP="00B768B1">
      <w:r>
        <w:tab/>
      </w:r>
      <w:r>
        <w:tab/>
      </w:r>
      <w:r w:rsidR="00F33FE9">
        <w:t>The Commission has explained that all</w:t>
      </w:r>
      <w:r>
        <w:t xml:space="preserve"> non-individual litigant</w:t>
      </w:r>
      <w:r w:rsidR="00F33FE9">
        <w:t>s must be</w:t>
      </w:r>
      <w:r>
        <w:t xml:space="preserve"> represented by counsel:</w:t>
      </w:r>
    </w:p>
    <w:p w14:paraId="50DD2AE2" w14:textId="77777777" w:rsidR="00B768B1" w:rsidRDefault="00B768B1" w:rsidP="00B768B1"/>
    <w:p w14:paraId="4FC306C1" w14:textId="77777777" w:rsidR="00B768B1" w:rsidRDefault="00B768B1" w:rsidP="00B768B1">
      <w:pPr>
        <w:spacing w:line="240" w:lineRule="auto"/>
        <w:ind w:left="1350" w:right="2160"/>
      </w:pPr>
      <w:r>
        <w:t xml:space="preserve">More importantly, we take administrative notice that the Complainant is a registered corporation in the Commonwealth of Pennsylvania and is accorded the protection afforded to such legal entities.  As such, it is a requirement for the proper adjudication of this Complaint proceeding that the Complainant must be represented by counsel.  52 Pa.Code § 1.21.  Even though this issue was </w:t>
      </w:r>
      <w:r>
        <w:lastRenderedPageBreak/>
        <w:t>raised by counsel for PGW, the ALJ permitted the hearing to continue.  Tr. at 5.  We further note that, for this very reason, the Complainant’s Exceptions are not properly before us in light of the fact that they were not filed by Counsel for the Complainant.  As such, we shall deny the Exceptions and dismiss the Complaint on the grounds that the Complainant improperly represented himself before this Commission pursuant to 52 Pa.Code § 1.21.</w:t>
      </w:r>
      <w:r>
        <w:rPr>
          <w:rStyle w:val="FootnoteReference"/>
        </w:rPr>
        <w:footnoteReference w:id="5"/>
      </w:r>
    </w:p>
    <w:p w14:paraId="07E6EE1D" w14:textId="77777777" w:rsidR="00B768B1" w:rsidRDefault="00B768B1" w:rsidP="00B768B1"/>
    <w:p w14:paraId="41497366" w14:textId="6AF408CF" w:rsidR="001317C6" w:rsidRDefault="00A36412" w:rsidP="001317C6">
      <w:r>
        <w:t xml:space="preserve">Mr. </w:t>
      </w:r>
      <w:r w:rsidR="00917A6C">
        <w:t xml:space="preserve">Stanford </w:t>
      </w:r>
      <w:r>
        <w:t xml:space="preserve">has not responded to </w:t>
      </w:r>
      <w:r w:rsidR="00917A6C">
        <w:t>Penn Power’</w:t>
      </w:r>
      <w:r>
        <w:t xml:space="preserve">s motion to dispute the corporate status of the account or the commercial nature of the service location.  </w:t>
      </w:r>
      <w:r w:rsidRPr="00EE09A1">
        <w:rPr>
          <w:rFonts w:eastAsia="Times New Roman"/>
        </w:rPr>
        <w:t>The absence of an attorney where one is required deprives the forum of jurisdiction to adjudicate the matter.</w:t>
      </w:r>
      <w:r>
        <w:rPr>
          <w:rStyle w:val="FootnoteReference"/>
          <w:rFonts w:eastAsia="Times New Roman"/>
        </w:rPr>
        <w:footnoteReference w:id="6"/>
      </w:r>
      <w:r w:rsidRPr="00EE09A1">
        <w:rPr>
          <w:rFonts w:eastAsia="Times New Roman"/>
        </w:rPr>
        <w:t xml:space="preserve">  </w:t>
      </w:r>
      <w:r>
        <w:t xml:space="preserve">Therefore, I will grant </w:t>
      </w:r>
      <w:r w:rsidR="00917A6C">
        <w:t>Penn Power</w:t>
      </w:r>
      <w:r>
        <w:t>’s motion to the extent that as a non-individual account, the Complainant is required to be represented by an attorney licensed to practice law in the Commonwealth.</w:t>
      </w:r>
    </w:p>
    <w:p w14:paraId="39DCF7FB" w14:textId="77777777" w:rsidR="00A36412" w:rsidRDefault="00A36412" w:rsidP="001317C6"/>
    <w:p w14:paraId="62AA364F" w14:textId="5930D88B" w:rsidR="00B24598" w:rsidRDefault="00A36412" w:rsidP="001317C6">
      <w:r>
        <w:tab/>
      </w:r>
      <w:r>
        <w:tab/>
        <w:t xml:space="preserve">However, in the ordering paragraphs below, Mr. </w:t>
      </w:r>
      <w:r w:rsidR="00917A6C">
        <w:t>Stanford</w:t>
      </w:r>
      <w:r>
        <w:t xml:space="preserve"> will be provided with an opportunity to secure the representation of counsel before the complaint is dismissed.  In the event that no attorney enters an appearance within the time allotted, an initial decision will be rendered which dismisses the complaint.</w:t>
      </w:r>
    </w:p>
    <w:p w14:paraId="0AE0DD1B" w14:textId="77777777" w:rsidR="00B24598" w:rsidRDefault="00B24598" w:rsidP="001317C6"/>
    <w:p w14:paraId="6F8F1A57" w14:textId="77777777" w:rsidR="005970ED" w:rsidRDefault="005970ED" w:rsidP="00B24598">
      <w:pPr>
        <w:ind w:left="720" w:firstLine="720"/>
      </w:pPr>
      <w:r>
        <w:t>THEREFORE</w:t>
      </w:r>
    </w:p>
    <w:p w14:paraId="5FF26B06" w14:textId="77777777" w:rsidR="005970ED" w:rsidRDefault="005970ED" w:rsidP="001317C6"/>
    <w:p w14:paraId="7200A2EA" w14:textId="77777777" w:rsidR="005970ED" w:rsidRDefault="005970ED" w:rsidP="00B24598">
      <w:pPr>
        <w:ind w:left="720" w:firstLine="720"/>
      </w:pPr>
      <w:r>
        <w:t>IT IS ORDERED:</w:t>
      </w:r>
    </w:p>
    <w:p w14:paraId="1D76CDC4" w14:textId="77777777" w:rsidR="005970ED" w:rsidRDefault="005970ED" w:rsidP="001317C6"/>
    <w:p w14:paraId="71C09B43" w14:textId="02EE0948" w:rsidR="005970ED" w:rsidRDefault="005970ED" w:rsidP="001317C6">
      <w:r>
        <w:tab/>
      </w:r>
      <w:r w:rsidR="00FD2172">
        <w:tab/>
      </w:r>
      <w:r>
        <w:t>1.</w:t>
      </w:r>
      <w:r>
        <w:tab/>
        <w:t xml:space="preserve">That the motion of Pennsylvania </w:t>
      </w:r>
      <w:r w:rsidR="00917A6C">
        <w:t>Power</w:t>
      </w:r>
      <w:r>
        <w:t xml:space="preserve"> Company</w:t>
      </w:r>
      <w:r w:rsidR="00FD2172">
        <w:t xml:space="preserve"> is granted to the extent that the complaint in this matter requires the representation of an attorney licensed to practice law in the Commonwealth of Pennsylvania.</w:t>
      </w:r>
    </w:p>
    <w:p w14:paraId="051148FD" w14:textId="77777777" w:rsidR="00FD2172" w:rsidRDefault="00FD2172" w:rsidP="001317C6"/>
    <w:p w14:paraId="0329B7E7" w14:textId="5B467F04" w:rsidR="00FD2172" w:rsidRDefault="00FD2172" w:rsidP="001317C6">
      <w:pPr>
        <w:rPr>
          <w:b/>
        </w:rPr>
      </w:pPr>
      <w:r>
        <w:lastRenderedPageBreak/>
        <w:tab/>
      </w:r>
      <w:r>
        <w:tab/>
        <w:t>2.</w:t>
      </w:r>
      <w:r>
        <w:tab/>
        <w:t xml:space="preserve">That </w:t>
      </w:r>
      <w:r w:rsidR="00917A6C">
        <w:t>Mark Stanford</w:t>
      </w:r>
      <w:r>
        <w:t xml:space="preserve"> shall cause an attorney licensed to practice law in the Commonwealth of Pennsylvania to enter an appearance on behalf of </w:t>
      </w:r>
      <w:r w:rsidR="00917A6C">
        <w:t>Y-Clean, Inc.</w:t>
      </w:r>
      <w:r>
        <w:t xml:space="preserve"> in accordance with 52 Pa.Code §§ 1.21</w:t>
      </w:r>
      <w:r>
        <w:noBreakHyphen/>
        <w:t xml:space="preserve">1.25, on or </w:t>
      </w:r>
      <w:r w:rsidRPr="002371CC">
        <w:t xml:space="preserve">before </w:t>
      </w:r>
      <w:r w:rsidR="00917A6C">
        <w:rPr>
          <w:b/>
        </w:rPr>
        <w:t xml:space="preserve">March </w:t>
      </w:r>
      <w:r w:rsidR="002F0AE0">
        <w:rPr>
          <w:b/>
        </w:rPr>
        <w:t>8</w:t>
      </w:r>
      <w:r w:rsidR="00917A6C">
        <w:rPr>
          <w:b/>
        </w:rPr>
        <w:t>, 2019</w:t>
      </w:r>
      <w:r>
        <w:rPr>
          <w:b/>
        </w:rPr>
        <w:t>.</w:t>
      </w:r>
    </w:p>
    <w:p w14:paraId="7280CFEA" w14:textId="77777777" w:rsidR="00FD2172" w:rsidRDefault="00FD2172" w:rsidP="001317C6"/>
    <w:p w14:paraId="52B52A49" w14:textId="69BB7848" w:rsidR="00FD2172" w:rsidRDefault="00FD2172" w:rsidP="001317C6">
      <w:r>
        <w:tab/>
      </w:r>
      <w:r>
        <w:tab/>
        <w:t>3.</w:t>
      </w:r>
      <w:r>
        <w:tab/>
        <w:t xml:space="preserve">That in the event no attorney enters an appearance on or before </w:t>
      </w:r>
      <w:r w:rsidR="00917A6C">
        <w:t xml:space="preserve">March </w:t>
      </w:r>
      <w:r w:rsidR="002F0AE0">
        <w:t>8</w:t>
      </w:r>
      <w:r w:rsidR="00917A6C">
        <w:t xml:space="preserve">, 2019, the March 14, 2019 hearing will be </w:t>
      </w:r>
      <w:r w:rsidR="00374F92">
        <w:t>cancelled,</w:t>
      </w:r>
      <w:r w:rsidR="00917A6C">
        <w:t xml:space="preserve"> and </w:t>
      </w:r>
      <w:r>
        <w:t>the complaint will be dismissed.</w:t>
      </w:r>
    </w:p>
    <w:p w14:paraId="0B24210B" w14:textId="77777777" w:rsidR="00B24598" w:rsidRDefault="00B24598" w:rsidP="001317C6"/>
    <w:p w14:paraId="04145367" w14:textId="77777777" w:rsidR="00B24598" w:rsidRDefault="00B24598" w:rsidP="001317C6"/>
    <w:p w14:paraId="1AD056EF" w14:textId="6A4E4597" w:rsidR="00B24598" w:rsidRPr="00B24598" w:rsidRDefault="00B24598" w:rsidP="00B24598">
      <w:pPr>
        <w:spacing w:line="240" w:lineRule="auto"/>
        <w:rPr>
          <w:rFonts w:eastAsia="Times New Roman"/>
          <w:szCs w:val="24"/>
        </w:rPr>
      </w:pPr>
      <w:bookmarkStart w:id="1" w:name="_Hlk505862083"/>
      <w:r w:rsidRPr="00B24598">
        <w:rPr>
          <w:rFonts w:eastAsia="Times New Roman"/>
          <w:szCs w:val="24"/>
        </w:rPr>
        <w:t xml:space="preserve">Date:  </w:t>
      </w:r>
      <w:r w:rsidR="00917A6C">
        <w:rPr>
          <w:rFonts w:eastAsia="Times New Roman"/>
          <w:szCs w:val="24"/>
          <w:u w:val="single"/>
        </w:rPr>
        <w:t>February</w:t>
      </w:r>
      <w:r w:rsidR="004B75A4">
        <w:rPr>
          <w:rFonts w:eastAsia="Times New Roman"/>
          <w:szCs w:val="24"/>
          <w:u w:val="single"/>
        </w:rPr>
        <w:t xml:space="preserve"> 2</w:t>
      </w:r>
      <w:r w:rsidR="002F0AE0">
        <w:rPr>
          <w:rFonts w:eastAsia="Times New Roman"/>
          <w:szCs w:val="24"/>
          <w:u w:val="single"/>
        </w:rPr>
        <w:t>5</w:t>
      </w:r>
      <w:r>
        <w:rPr>
          <w:rFonts w:eastAsia="Times New Roman"/>
          <w:szCs w:val="24"/>
          <w:u w:val="single"/>
        </w:rPr>
        <w:t>, 201</w:t>
      </w:r>
      <w:r w:rsidR="004B75A4">
        <w:rPr>
          <w:rFonts w:eastAsia="Times New Roman"/>
          <w:szCs w:val="24"/>
          <w:u w:val="single"/>
        </w:rPr>
        <w:t>9</w:t>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u w:val="single"/>
        </w:rPr>
        <w:tab/>
      </w:r>
      <w:r w:rsidRPr="00B24598">
        <w:rPr>
          <w:rFonts w:eastAsia="Times New Roman"/>
          <w:szCs w:val="24"/>
          <w:u w:val="single"/>
        </w:rPr>
        <w:tab/>
        <w:t>/s/</w:t>
      </w:r>
      <w:r w:rsidRPr="00B24598">
        <w:rPr>
          <w:rFonts w:eastAsia="Times New Roman"/>
          <w:szCs w:val="24"/>
          <w:u w:val="single"/>
        </w:rPr>
        <w:tab/>
      </w:r>
      <w:r w:rsidRPr="00B24598">
        <w:rPr>
          <w:rFonts w:eastAsia="Times New Roman"/>
          <w:szCs w:val="24"/>
          <w:u w:val="single"/>
        </w:rPr>
        <w:tab/>
      </w:r>
      <w:r w:rsidRPr="00B24598">
        <w:rPr>
          <w:rFonts w:eastAsia="Times New Roman"/>
          <w:szCs w:val="24"/>
          <w:u w:val="single"/>
        </w:rPr>
        <w:tab/>
      </w:r>
      <w:r w:rsidRPr="00B24598">
        <w:rPr>
          <w:rFonts w:eastAsia="Times New Roman"/>
          <w:szCs w:val="24"/>
          <w:u w:val="single"/>
        </w:rPr>
        <w:tab/>
      </w:r>
    </w:p>
    <w:p w14:paraId="45A3D15C" w14:textId="77777777" w:rsidR="00B24598" w:rsidRPr="00B24598" w:rsidRDefault="00B24598" w:rsidP="00B24598">
      <w:pPr>
        <w:spacing w:line="240" w:lineRule="auto"/>
        <w:rPr>
          <w:rFonts w:eastAsia="Times New Roman"/>
          <w:szCs w:val="24"/>
        </w:rPr>
      </w:pP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t>Mary D. Long</w:t>
      </w:r>
    </w:p>
    <w:p w14:paraId="38A39BA7" w14:textId="77777777" w:rsidR="00B24598" w:rsidRPr="00B24598" w:rsidRDefault="00B24598" w:rsidP="00B24598">
      <w:pPr>
        <w:spacing w:line="240" w:lineRule="auto"/>
        <w:rPr>
          <w:rFonts w:eastAsia="Times New Roman"/>
          <w:szCs w:val="24"/>
        </w:rPr>
      </w:pP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r>
      <w:r w:rsidRPr="00B24598">
        <w:rPr>
          <w:rFonts w:eastAsia="Times New Roman"/>
          <w:szCs w:val="24"/>
        </w:rPr>
        <w:tab/>
        <w:t>Administrative Law Judge</w:t>
      </w:r>
    </w:p>
    <w:bookmarkEnd w:id="1"/>
    <w:p w14:paraId="7797185A" w14:textId="77777777" w:rsidR="00497CC3" w:rsidRDefault="00497CC3" w:rsidP="001317C6">
      <w:pPr>
        <w:sectPr w:rsidR="00497CC3" w:rsidSect="001A769A">
          <w:footerReference w:type="default" r:id="rId7"/>
          <w:pgSz w:w="12240" w:h="15840"/>
          <w:pgMar w:top="1440" w:right="1440" w:bottom="1440" w:left="1440" w:header="720" w:footer="720" w:gutter="0"/>
          <w:cols w:space="720"/>
          <w:titlePg/>
          <w:docGrid w:linePitch="360"/>
        </w:sectPr>
      </w:pPr>
    </w:p>
    <w:p w14:paraId="4E0E7229" w14:textId="77777777" w:rsidR="004023ED" w:rsidRPr="004023ED" w:rsidRDefault="004023ED" w:rsidP="004023ED">
      <w:pPr>
        <w:spacing w:after="160" w:line="259" w:lineRule="auto"/>
        <w:rPr>
          <w:rFonts w:ascii="Calibri" w:eastAsia="Times New Roman" w:hAnsi="Calibri"/>
          <w:sz w:val="22"/>
          <w:szCs w:val="22"/>
        </w:rPr>
      </w:pPr>
      <w:r w:rsidRPr="004023ED">
        <w:rPr>
          <w:rFonts w:ascii="Microsoft Sans Serif" w:eastAsia="Microsoft Sans Serif" w:hAnsi="Microsoft Sans Serif" w:cs="Microsoft Sans Serif"/>
          <w:b/>
          <w:szCs w:val="22"/>
          <w:u w:val="single"/>
        </w:rPr>
        <w:lastRenderedPageBreak/>
        <w:t>C-2018-3006025 - MARK STANFORD v. PENNSYLVANIA POWER COMPANY</w:t>
      </w:r>
      <w:r w:rsidRPr="004023ED">
        <w:rPr>
          <w:rFonts w:ascii="Microsoft Sans Serif" w:eastAsia="Microsoft Sans Serif" w:hAnsi="Microsoft Sans Serif" w:cs="Microsoft Sans Serif"/>
          <w:b/>
          <w:szCs w:val="22"/>
          <w:u w:val="single"/>
        </w:rPr>
        <w:cr/>
      </w:r>
      <w:r w:rsidRPr="004023ED">
        <w:rPr>
          <w:rFonts w:ascii="Microsoft Sans Serif" w:eastAsia="Microsoft Sans Serif" w:hAnsi="Microsoft Sans Serif" w:cs="Microsoft Sans Serif"/>
          <w:b/>
          <w:szCs w:val="22"/>
          <w:u w:val="single"/>
        </w:rPr>
        <w:cr/>
      </w:r>
      <w:r w:rsidRPr="004023ED">
        <w:rPr>
          <w:rFonts w:ascii="Microsoft Sans Serif" w:eastAsia="Microsoft Sans Serif" w:hAnsi="Microsoft Sans Serif" w:cs="Microsoft Sans Serif"/>
          <w:szCs w:val="22"/>
        </w:rPr>
        <w:t>MARK STANFORD</w:t>
      </w:r>
      <w:r w:rsidRPr="004023ED">
        <w:rPr>
          <w:rFonts w:ascii="Microsoft Sans Serif" w:eastAsia="Microsoft Sans Serif" w:hAnsi="Microsoft Sans Serif" w:cs="Microsoft Sans Serif"/>
          <w:szCs w:val="22"/>
        </w:rPr>
        <w:cr/>
        <w:t>Y-CLEAN</w:t>
      </w:r>
      <w:r w:rsidRPr="004023ED">
        <w:rPr>
          <w:rFonts w:ascii="Microsoft Sans Serif" w:eastAsia="Microsoft Sans Serif" w:hAnsi="Microsoft Sans Serif" w:cs="Microsoft Sans Serif"/>
          <w:szCs w:val="22"/>
        </w:rPr>
        <w:cr/>
        <w:t>357 NORTHGATE DRIVE UNIT 5</w:t>
      </w:r>
      <w:r w:rsidRPr="004023ED">
        <w:rPr>
          <w:rFonts w:ascii="Microsoft Sans Serif" w:eastAsia="Microsoft Sans Serif" w:hAnsi="Microsoft Sans Serif" w:cs="Microsoft Sans Serif"/>
          <w:szCs w:val="22"/>
        </w:rPr>
        <w:cr/>
        <w:t>WARRENDALE PA  15086</w:t>
      </w:r>
      <w:r w:rsidRPr="004023ED">
        <w:rPr>
          <w:rFonts w:ascii="Microsoft Sans Serif" w:eastAsia="Microsoft Sans Serif" w:hAnsi="Microsoft Sans Serif" w:cs="Microsoft Sans Serif"/>
          <w:szCs w:val="22"/>
        </w:rPr>
        <w:cr/>
      </w:r>
      <w:r w:rsidRPr="004023ED">
        <w:rPr>
          <w:rFonts w:ascii="Microsoft Sans Serif" w:eastAsia="Microsoft Sans Serif" w:hAnsi="Microsoft Sans Serif" w:cs="Microsoft Sans Serif"/>
          <w:b/>
          <w:szCs w:val="22"/>
        </w:rPr>
        <w:t>724.713.7499</w:t>
      </w:r>
      <w:r w:rsidRPr="004023ED">
        <w:rPr>
          <w:rFonts w:ascii="Microsoft Sans Serif" w:eastAsia="Microsoft Sans Serif" w:hAnsi="Microsoft Sans Serif" w:cs="Microsoft Sans Serif"/>
          <w:b/>
          <w:szCs w:val="22"/>
        </w:rPr>
        <w:cr/>
      </w:r>
      <w:r w:rsidRPr="004023ED">
        <w:rPr>
          <w:rFonts w:ascii="Microsoft Sans Serif" w:eastAsia="Microsoft Sans Serif" w:hAnsi="Microsoft Sans Serif" w:cs="Microsoft Sans Serif"/>
          <w:szCs w:val="22"/>
        </w:rPr>
        <w:cr/>
        <w:t>MARGARET A MORRIS ESQUIRE</w:t>
      </w:r>
      <w:r w:rsidRPr="004023ED">
        <w:rPr>
          <w:rFonts w:ascii="Microsoft Sans Serif" w:eastAsia="Microsoft Sans Serif" w:hAnsi="Microsoft Sans Serif" w:cs="Microsoft Sans Serif"/>
          <w:szCs w:val="22"/>
        </w:rPr>
        <w:cr/>
        <w:t>REGER RIZZO &amp; DARNALL</w:t>
      </w:r>
      <w:r w:rsidRPr="004023ED">
        <w:rPr>
          <w:rFonts w:ascii="Microsoft Sans Serif" w:eastAsia="Microsoft Sans Serif" w:hAnsi="Microsoft Sans Serif" w:cs="Microsoft Sans Serif"/>
          <w:szCs w:val="22"/>
        </w:rPr>
        <w:cr/>
        <w:t>2929 ARCH STREET 13TH FLOOR</w:t>
      </w:r>
      <w:r w:rsidRPr="004023ED">
        <w:rPr>
          <w:rFonts w:ascii="Microsoft Sans Serif" w:eastAsia="Microsoft Sans Serif" w:hAnsi="Microsoft Sans Serif" w:cs="Microsoft Sans Serif"/>
          <w:szCs w:val="22"/>
        </w:rPr>
        <w:cr/>
        <w:t>PHILADELPHIA PA  19104</w:t>
      </w:r>
      <w:r w:rsidRPr="004023ED">
        <w:rPr>
          <w:rFonts w:ascii="Microsoft Sans Serif" w:eastAsia="Microsoft Sans Serif" w:hAnsi="Microsoft Sans Serif" w:cs="Microsoft Sans Serif"/>
          <w:szCs w:val="22"/>
        </w:rPr>
        <w:cr/>
      </w:r>
      <w:r w:rsidRPr="004023ED">
        <w:rPr>
          <w:rFonts w:ascii="Microsoft Sans Serif" w:eastAsia="Microsoft Sans Serif" w:hAnsi="Microsoft Sans Serif" w:cs="Microsoft Sans Serif"/>
          <w:b/>
          <w:szCs w:val="22"/>
        </w:rPr>
        <w:t>215.495.6524</w:t>
      </w:r>
      <w:r w:rsidRPr="004023ED">
        <w:rPr>
          <w:rFonts w:ascii="Microsoft Sans Serif" w:eastAsia="Microsoft Sans Serif" w:hAnsi="Microsoft Sans Serif" w:cs="Microsoft Sans Serif"/>
          <w:b/>
          <w:szCs w:val="22"/>
        </w:rPr>
        <w:cr/>
      </w:r>
      <w:r w:rsidRPr="004023ED">
        <w:rPr>
          <w:rFonts w:ascii="Microsoft Sans Serif" w:eastAsia="Microsoft Sans Serif" w:hAnsi="Microsoft Sans Serif" w:cs="Microsoft Sans Serif"/>
          <w:b/>
          <w:i/>
          <w:szCs w:val="22"/>
          <w:u w:val="single"/>
        </w:rPr>
        <w:t>ACCEPTS E-SERVICE</w:t>
      </w:r>
    </w:p>
    <w:p w14:paraId="0E4ACA6F" w14:textId="77777777" w:rsidR="00B24598" w:rsidRDefault="00B24598" w:rsidP="004023ED">
      <w:pPr>
        <w:spacing w:after="160" w:line="259" w:lineRule="auto"/>
      </w:pPr>
    </w:p>
    <w:sectPr w:rsidR="00B24598" w:rsidSect="001A76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F16AB" w14:textId="77777777" w:rsidR="001C2B6E" w:rsidRDefault="001C2B6E" w:rsidP="00930CF3">
      <w:pPr>
        <w:spacing w:line="240" w:lineRule="auto"/>
      </w:pPr>
      <w:r>
        <w:separator/>
      </w:r>
    </w:p>
  </w:endnote>
  <w:endnote w:type="continuationSeparator" w:id="0">
    <w:p w14:paraId="0E07EA0B" w14:textId="77777777" w:rsidR="001C2B6E" w:rsidRDefault="001C2B6E" w:rsidP="00930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475514"/>
      <w:docPartObj>
        <w:docPartGallery w:val="Page Numbers (Bottom of Page)"/>
        <w:docPartUnique/>
      </w:docPartObj>
    </w:sdtPr>
    <w:sdtEndPr>
      <w:rPr>
        <w:noProof/>
        <w:sz w:val="20"/>
      </w:rPr>
    </w:sdtEndPr>
    <w:sdtContent>
      <w:p w14:paraId="1076E80E" w14:textId="77777777" w:rsidR="001A769A" w:rsidRPr="00B24598" w:rsidRDefault="001A769A">
        <w:pPr>
          <w:pStyle w:val="Footer"/>
          <w:jc w:val="center"/>
          <w:rPr>
            <w:sz w:val="20"/>
          </w:rPr>
        </w:pPr>
        <w:r w:rsidRPr="00B24598">
          <w:rPr>
            <w:sz w:val="20"/>
          </w:rPr>
          <w:fldChar w:fldCharType="begin"/>
        </w:r>
        <w:r w:rsidRPr="00B24598">
          <w:rPr>
            <w:sz w:val="20"/>
          </w:rPr>
          <w:instrText xml:space="preserve"> PAGE   \* MERGEFORMAT </w:instrText>
        </w:r>
        <w:r w:rsidRPr="00B24598">
          <w:rPr>
            <w:sz w:val="20"/>
          </w:rPr>
          <w:fldChar w:fldCharType="separate"/>
        </w:r>
        <w:r w:rsidRPr="00B24598">
          <w:rPr>
            <w:noProof/>
            <w:sz w:val="20"/>
          </w:rPr>
          <w:t>2</w:t>
        </w:r>
        <w:r w:rsidRPr="00B24598">
          <w:rPr>
            <w:noProof/>
            <w:sz w:val="20"/>
          </w:rPr>
          <w:fldChar w:fldCharType="end"/>
        </w:r>
      </w:p>
    </w:sdtContent>
  </w:sdt>
  <w:p w14:paraId="3CB11C94" w14:textId="77777777" w:rsidR="001A769A" w:rsidRDefault="001A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DFC" w14:textId="77777777" w:rsidR="001C2B6E" w:rsidRDefault="001C2B6E" w:rsidP="00930CF3">
      <w:pPr>
        <w:spacing w:line="240" w:lineRule="auto"/>
      </w:pPr>
      <w:r>
        <w:separator/>
      </w:r>
    </w:p>
  </w:footnote>
  <w:footnote w:type="continuationSeparator" w:id="0">
    <w:p w14:paraId="299FD09D" w14:textId="77777777" w:rsidR="001C2B6E" w:rsidRDefault="001C2B6E" w:rsidP="00930CF3">
      <w:pPr>
        <w:spacing w:line="240" w:lineRule="auto"/>
      </w:pPr>
      <w:r>
        <w:continuationSeparator/>
      </w:r>
    </w:p>
  </w:footnote>
  <w:footnote w:id="1">
    <w:p w14:paraId="7148A81B" w14:textId="77777777" w:rsidR="00930CF3" w:rsidRDefault="00930CF3" w:rsidP="00B24598">
      <w:pPr>
        <w:pStyle w:val="FootnoteText"/>
      </w:pPr>
      <w:r>
        <w:rPr>
          <w:rStyle w:val="FootnoteReference"/>
        </w:rPr>
        <w:footnoteRef/>
      </w:r>
      <w:r>
        <w:t xml:space="preserve">  </w:t>
      </w:r>
      <w:r>
        <w:tab/>
        <w:t xml:space="preserve">The time for answering a motion is set at 20 days. </w:t>
      </w:r>
      <w:r w:rsidR="00E26EB3">
        <w:t xml:space="preserve"> 52 Pa.Code § 5.103.</w:t>
      </w:r>
      <w:r>
        <w:t xml:space="preserve"> The motion was served by first</w:t>
      </w:r>
      <w:r w:rsidR="00B24598">
        <w:noBreakHyphen/>
      </w:r>
      <w:r>
        <w:t>class mail, therefore an additional three days is permitted.  52 Pa.Code § 1.56(b).</w:t>
      </w:r>
    </w:p>
  </w:footnote>
  <w:footnote w:id="2">
    <w:p w14:paraId="0B660CD2" w14:textId="77777777" w:rsidR="001317C6" w:rsidRDefault="001317C6" w:rsidP="00B24598">
      <w:pPr>
        <w:pStyle w:val="FootnoteText"/>
      </w:pPr>
      <w:r>
        <w:rPr>
          <w:rStyle w:val="FootnoteReference"/>
        </w:rPr>
        <w:footnoteRef/>
      </w:r>
      <w:r>
        <w:t xml:space="preserve"> </w:t>
      </w:r>
      <w:r w:rsidR="00F33FE9">
        <w:tab/>
      </w:r>
      <w:r w:rsidRPr="001317C6">
        <w:rPr>
          <w:i/>
        </w:rPr>
        <w:t>First Mortgage Co. of Pennsylvania v.  McCall</w:t>
      </w:r>
      <w:r>
        <w:t xml:space="preserve">, 459 A.2d 406 (Pa.Super. 1983); </w:t>
      </w:r>
      <w:r w:rsidRPr="001317C6">
        <w:rPr>
          <w:i/>
        </w:rPr>
        <w:t>Mertz v. Lakatos</w:t>
      </w:r>
      <w:r>
        <w:t xml:space="preserve">, 381 A.2d 497 (Pa.Cmwlth. 1976).  </w:t>
      </w:r>
    </w:p>
    <w:p w14:paraId="65069540" w14:textId="77777777" w:rsidR="00B24598" w:rsidRDefault="00B24598" w:rsidP="00B24598">
      <w:pPr>
        <w:pStyle w:val="FootnoteText"/>
      </w:pPr>
    </w:p>
  </w:footnote>
  <w:footnote w:id="3">
    <w:p w14:paraId="4898A499" w14:textId="77777777" w:rsidR="001317C6" w:rsidRDefault="001317C6" w:rsidP="00B24598">
      <w:pPr>
        <w:pStyle w:val="FootnoteText"/>
      </w:pPr>
      <w:r>
        <w:rPr>
          <w:rStyle w:val="FootnoteReference"/>
        </w:rPr>
        <w:footnoteRef/>
      </w:r>
      <w:r>
        <w:t xml:space="preserve"> </w:t>
      </w:r>
      <w:r w:rsidR="00F33FE9">
        <w:tab/>
      </w:r>
      <w:r w:rsidRPr="00A36932">
        <w:rPr>
          <w:i/>
        </w:rPr>
        <w:t>Thom</w:t>
      </w:r>
      <w:r w:rsidR="0018461F">
        <w:rPr>
          <w:i/>
        </w:rPr>
        <w:t>p</w:t>
      </w:r>
      <w:r w:rsidRPr="00A36932">
        <w:rPr>
          <w:i/>
        </w:rPr>
        <w:t>son Coal Company v. Pike Coal Company</w:t>
      </w:r>
      <w:r>
        <w:t>, 412 A.2d 466 (Pa. 1979).</w:t>
      </w:r>
    </w:p>
    <w:p w14:paraId="22EF4E16" w14:textId="77777777" w:rsidR="00B24598" w:rsidRDefault="00B24598" w:rsidP="00B24598">
      <w:pPr>
        <w:pStyle w:val="FootnoteText"/>
      </w:pPr>
    </w:p>
  </w:footnote>
  <w:footnote w:id="4">
    <w:p w14:paraId="519366ED" w14:textId="739FCAE5" w:rsidR="001317C6" w:rsidRDefault="001317C6" w:rsidP="00B24598">
      <w:pPr>
        <w:pStyle w:val="FootnoteText"/>
      </w:pPr>
      <w:r>
        <w:rPr>
          <w:rStyle w:val="FootnoteReference"/>
        </w:rPr>
        <w:footnoteRef/>
      </w:r>
      <w:r>
        <w:t xml:space="preserve">  </w:t>
      </w:r>
      <w:r>
        <w:tab/>
        <w:t xml:space="preserve">Affidavit of </w:t>
      </w:r>
      <w:r w:rsidR="00917A6C">
        <w:t>Charles Howlett</w:t>
      </w:r>
      <w:r>
        <w:t>.</w:t>
      </w:r>
    </w:p>
  </w:footnote>
  <w:footnote w:id="5">
    <w:p w14:paraId="1EE07023" w14:textId="77777777" w:rsidR="00B768B1" w:rsidRDefault="00B768B1" w:rsidP="00B24598">
      <w:pPr>
        <w:pStyle w:val="FootnoteText"/>
      </w:pPr>
      <w:r>
        <w:rPr>
          <w:rStyle w:val="FootnoteReference"/>
        </w:rPr>
        <w:footnoteRef/>
      </w:r>
      <w:r>
        <w:t xml:space="preserve">  </w:t>
      </w:r>
      <w:r>
        <w:tab/>
      </w:r>
      <w:r w:rsidRPr="00B768B1">
        <w:rPr>
          <w:i/>
        </w:rPr>
        <w:t>Cars R Us c/o Holman Copeland v. Philadelphia Gas Works (Cars R Us),</w:t>
      </w:r>
      <w:r w:rsidRPr="00B768B1">
        <w:t xml:space="preserve"> Docket No. C-2008-2033437 </w:t>
      </w:r>
      <w:r>
        <w:t>(</w:t>
      </w:r>
      <w:r w:rsidRPr="00B768B1">
        <w:t>Opinion and Order entered February 4, 2010</w:t>
      </w:r>
      <w:r>
        <w:t>).</w:t>
      </w:r>
    </w:p>
    <w:p w14:paraId="233AA09F" w14:textId="77777777" w:rsidR="00B24598" w:rsidRDefault="00B24598" w:rsidP="00B24598">
      <w:pPr>
        <w:pStyle w:val="FootnoteText"/>
      </w:pPr>
    </w:p>
  </w:footnote>
  <w:footnote w:id="6">
    <w:p w14:paraId="1B30A631" w14:textId="64F5F911" w:rsidR="00A36412" w:rsidRDefault="00A36412" w:rsidP="00B24598">
      <w:pPr>
        <w:pStyle w:val="FootnoteText"/>
      </w:pPr>
      <w:r>
        <w:rPr>
          <w:rStyle w:val="FootnoteReference"/>
        </w:rPr>
        <w:footnoteRef/>
      </w:r>
      <w:r>
        <w:t xml:space="preserve">  </w:t>
      </w:r>
      <w:r>
        <w:tab/>
      </w:r>
      <w:r w:rsidRPr="00A36412">
        <w:rPr>
          <w:i/>
        </w:rPr>
        <w:t>Adventure Alley CLC, LLC v. PECO Energy Company and Great American Power</w:t>
      </w:r>
      <w:r>
        <w:t xml:space="preserve">, Docket </w:t>
      </w:r>
      <w:r w:rsidR="00554C31">
        <w:t xml:space="preserve">No. </w:t>
      </w:r>
      <w:r>
        <w:t>C-2014-2430850 (Final Order entered November 25, 2014)(</w:t>
      </w:r>
      <w:r w:rsidRPr="009C7123">
        <w:rPr>
          <w:i/>
        </w:rPr>
        <w:t>citing</w:t>
      </w:r>
      <w:r>
        <w:t xml:space="preserve"> </w:t>
      </w:r>
      <w:r w:rsidRPr="00A36412">
        <w:rPr>
          <w:i/>
        </w:rPr>
        <w:t>McCain v. Curione, Pa. Board of Probation and Parole</w:t>
      </w:r>
      <w:r w:rsidRPr="00A36412">
        <w:t>, 527 A.2d 591 (Pa.Cmwlth.1987) (Commonwealth Court was without jurisdiction to consider arguments and motions made on behalf of parolee in a civil action that was filed by another prisoner who was not licensed to practice law)</w:t>
      </w:r>
      <w:r>
        <w:t>)</w:t>
      </w:r>
      <w:r w:rsidRPr="00A3641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2E"/>
    <w:rsid w:val="00004C37"/>
    <w:rsid w:val="000130C4"/>
    <w:rsid w:val="00066D87"/>
    <w:rsid w:val="000E3EDE"/>
    <w:rsid w:val="00107E82"/>
    <w:rsid w:val="001317C6"/>
    <w:rsid w:val="0018461F"/>
    <w:rsid w:val="001A21B6"/>
    <w:rsid w:val="001A769A"/>
    <w:rsid w:val="001B1CBA"/>
    <w:rsid w:val="001C2B6E"/>
    <w:rsid w:val="001D2AF7"/>
    <w:rsid w:val="00207743"/>
    <w:rsid w:val="00213167"/>
    <w:rsid w:val="002512F9"/>
    <w:rsid w:val="002D50E8"/>
    <w:rsid w:val="002F0AE0"/>
    <w:rsid w:val="00313CAB"/>
    <w:rsid w:val="003145FA"/>
    <w:rsid w:val="003326A6"/>
    <w:rsid w:val="00367A41"/>
    <w:rsid w:val="00374F92"/>
    <w:rsid w:val="00393C92"/>
    <w:rsid w:val="003A3E09"/>
    <w:rsid w:val="004023ED"/>
    <w:rsid w:val="00497CC3"/>
    <w:rsid w:val="004B75A4"/>
    <w:rsid w:val="004D523C"/>
    <w:rsid w:val="005035B1"/>
    <w:rsid w:val="00504469"/>
    <w:rsid w:val="0052422E"/>
    <w:rsid w:val="00541A3E"/>
    <w:rsid w:val="00554C31"/>
    <w:rsid w:val="005566B3"/>
    <w:rsid w:val="00574349"/>
    <w:rsid w:val="005970ED"/>
    <w:rsid w:val="005A1C17"/>
    <w:rsid w:val="005A2ABA"/>
    <w:rsid w:val="005D180A"/>
    <w:rsid w:val="005E7B69"/>
    <w:rsid w:val="005F1003"/>
    <w:rsid w:val="0061775F"/>
    <w:rsid w:val="0069043E"/>
    <w:rsid w:val="00696C0D"/>
    <w:rsid w:val="006D2084"/>
    <w:rsid w:val="006D22B3"/>
    <w:rsid w:val="006F0329"/>
    <w:rsid w:val="00700807"/>
    <w:rsid w:val="00712E58"/>
    <w:rsid w:val="007407AC"/>
    <w:rsid w:val="00755D72"/>
    <w:rsid w:val="00774BF1"/>
    <w:rsid w:val="0078094B"/>
    <w:rsid w:val="00792796"/>
    <w:rsid w:val="00796B64"/>
    <w:rsid w:val="007E6779"/>
    <w:rsid w:val="00820B4C"/>
    <w:rsid w:val="0083239D"/>
    <w:rsid w:val="00832DF8"/>
    <w:rsid w:val="008529D2"/>
    <w:rsid w:val="0088105E"/>
    <w:rsid w:val="008F76B5"/>
    <w:rsid w:val="00917A6C"/>
    <w:rsid w:val="00917DCA"/>
    <w:rsid w:val="00930CF3"/>
    <w:rsid w:val="009421F3"/>
    <w:rsid w:val="00953928"/>
    <w:rsid w:val="00960530"/>
    <w:rsid w:val="009728E8"/>
    <w:rsid w:val="009C7123"/>
    <w:rsid w:val="00A36412"/>
    <w:rsid w:val="00A36932"/>
    <w:rsid w:val="00A47096"/>
    <w:rsid w:val="00AA2EC5"/>
    <w:rsid w:val="00AB4C73"/>
    <w:rsid w:val="00AD0405"/>
    <w:rsid w:val="00AE6F47"/>
    <w:rsid w:val="00B02244"/>
    <w:rsid w:val="00B24598"/>
    <w:rsid w:val="00B768B1"/>
    <w:rsid w:val="00B91E47"/>
    <w:rsid w:val="00BC6B21"/>
    <w:rsid w:val="00BD6A0F"/>
    <w:rsid w:val="00C87E57"/>
    <w:rsid w:val="00CF6143"/>
    <w:rsid w:val="00DC4FAF"/>
    <w:rsid w:val="00DD5C37"/>
    <w:rsid w:val="00E25578"/>
    <w:rsid w:val="00E26EB3"/>
    <w:rsid w:val="00E33767"/>
    <w:rsid w:val="00E4239A"/>
    <w:rsid w:val="00EB027A"/>
    <w:rsid w:val="00EB444B"/>
    <w:rsid w:val="00EC1CBA"/>
    <w:rsid w:val="00EE3B35"/>
    <w:rsid w:val="00EE7801"/>
    <w:rsid w:val="00F11A19"/>
    <w:rsid w:val="00F16554"/>
    <w:rsid w:val="00F17070"/>
    <w:rsid w:val="00F33FE9"/>
    <w:rsid w:val="00F544E1"/>
    <w:rsid w:val="00FD2172"/>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C4F3"/>
  <w15:chartTrackingRefBased/>
  <w15:docId w15:val="{7AE7AA4B-2C4A-4E80-93A3-19702143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B24598"/>
    <w:pPr>
      <w:spacing w:line="240" w:lineRule="auto"/>
    </w:pPr>
    <w:rPr>
      <w:sz w:val="20"/>
    </w:rPr>
  </w:style>
  <w:style w:type="character" w:customStyle="1" w:styleId="FootnoteTextChar">
    <w:name w:val="Footnote Text Char"/>
    <w:basedOn w:val="DefaultParagraphFont"/>
    <w:link w:val="FootnoteText"/>
    <w:uiPriority w:val="99"/>
    <w:rsid w:val="00B24598"/>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930CF3"/>
    <w:rPr>
      <w:vertAlign w:val="superscript"/>
    </w:rPr>
  </w:style>
  <w:style w:type="paragraph" w:styleId="Header">
    <w:name w:val="header"/>
    <w:basedOn w:val="Normal"/>
    <w:link w:val="HeaderChar"/>
    <w:uiPriority w:val="99"/>
    <w:unhideWhenUsed/>
    <w:rsid w:val="001A769A"/>
    <w:pPr>
      <w:tabs>
        <w:tab w:val="center" w:pos="4680"/>
        <w:tab w:val="right" w:pos="9360"/>
      </w:tabs>
      <w:spacing w:line="240" w:lineRule="auto"/>
    </w:pPr>
  </w:style>
  <w:style w:type="character" w:customStyle="1" w:styleId="HeaderChar">
    <w:name w:val="Header Char"/>
    <w:basedOn w:val="DefaultParagraphFont"/>
    <w:link w:val="Header"/>
    <w:uiPriority w:val="99"/>
    <w:rsid w:val="001A769A"/>
    <w:rPr>
      <w:rFonts w:eastAsia="SimSun"/>
    </w:rPr>
  </w:style>
  <w:style w:type="paragraph" w:styleId="Footer">
    <w:name w:val="footer"/>
    <w:basedOn w:val="Normal"/>
    <w:link w:val="FooterChar"/>
    <w:uiPriority w:val="99"/>
    <w:unhideWhenUsed/>
    <w:rsid w:val="001A769A"/>
    <w:pPr>
      <w:tabs>
        <w:tab w:val="center" w:pos="4680"/>
        <w:tab w:val="right" w:pos="9360"/>
      </w:tabs>
      <w:spacing w:line="240" w:lineRule="auto"/>
    </w:pPr>
  </w:style>
  <w:style w:type="character" w:customStyle="1" w:styleId="FooterChar">
    <w:name w:val="Footer Char"/>
    <w:basedOn w:val="DefaultParagraphFont"/>
    <w:link w:val="Footer"/>
    <w:uiPriority w:val="99"/>
    <w:rsid w:val="001A769A"/>
    <w:rPr>
      <w:rFonts w:eastAsia="SimSun"/>
    </w:rPr>
  </w:style>
  <w:style w:type="paragraph" w:styleId="BalloonText">
    <w:name w:val="Balloon Text"/>
    <w:basedOn w:val="Normal"/>
    <w:link w:val="BalloonTextChar"/>
    <w:uiPriority w:val="99"/>
    <w:semiHidden/>
    <w:unhideWhenUsed/>
    <w:rsid w:val="00A369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3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2018-08-02T19:19:00Z</cp:lastPrinted>
  <dcterms:created xsi:type="dcterms:W3CDTF">2019-02-25T14:29:00Z</dcterms:created>
  <dcterms:modified xsi:type="dcterms:W3CDTF">2019-02-25T15:09:00Z</dcterms:modified>
</cp:coreProperties>
</file>