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1E9" w14:textId="77777777" w:rsidR="00332573" w:rsidRPr="00623871" w:rsidRDefault="00332573" w:rsidP="003C0D34">
      <w:pPr>
        <w:tabs>
          <w:tab w:val="left" w:pos="360"/>
        </w:tabs>
        <w:spacing w:line="240" w:lineRule="auto"/>
        <w:jc w:val="center"/>
        <w:rPr>
          <w:b/>
        </w:rPr>
      </w:pPr>
      <w:bookmarkStart w:id="0" w:name="_GoBack"/>
      <w:bookmarkEnd w:id="0"/>
      <w:r w:rsidRPr="00623871">
        <w:rPr>
          <w:b/>
        </w:rPr>
        <w:t>BEFORE THE</w:t>
      </w:r>
    </w:p>
    <w:p w14:paraId="76AE974C" w14:textId="77777777" w:rsidR="00332573" w:rsidRPr="00623871" w:rsidRDefault="00332573" w:rsidP="003C0D34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PENNSYLVANIA PUBLIC UTILITY COMMISSION</w:t>
      </w:r>
    </w:p>
    <w:p w14:paraId="22EF2C88" w14:textId="77777777" w:rsidR="00332573" w:rsidRPr="00623871" w:rsidRDefault="00332573" w:rsidP="003C0D34">
      <w:pPr>
        <w:tabs>
          <w:tab w:val="left" w:pos="360"/>
        </w:tabs>
        <w:spacing w:line="240" w:lineRule="auto"/>
        <w:jc w:val="both"/>
        <w:rPr>
          <w:b/>
        </w:rPr>
      </w:pPr>
    </w:p>
    <w:p w14:paraId="4C8C22DD" w14:textId="77777777" w:rsidR="00332573" w:rsidRPr="00623871" w:rsidRDefault="00332573" w:rsidP="003C0D34">
      <w:pPr>
        <w:tabs>
          <w:tab w:val="left" w:pos="360"/>
        </w:tabs>
        <w:spacing w:line="240" w:lineRule="auto"/>
        <w:jc w:val="both"/>
        <w:rPr>
          <w:b/>
        </w:rPr>
      </w:pPr>
    </w:p>
    <w:p w14:paraId="372260BC" w14:textId="77777777" w:rsidR="00332573" w:rsidRPr="00623871" w:rsidRDefault="00332573" w:rsidP="003C0D34">
      <w:pPr>
        <w:tabs>
          <w:tab w:val="left" w:pos="360"/>
        </w:tabs>
        <w:spacing w:line="240" w:lineRule="auto"/>
        <w:jc w:val="both"/>
        <w:rPr>
          <w:b/>
        </w:rPr>
      </w:pPr>
    </w:p>
    <w:p w14:paraId="3CE5EE14" w14:textId="717283B3" w:rsidR="00332573" w:rsidRPr="00623871" w:rsidRDefault="00AC4359" w:rsidP="003C0D34">
      <w:pPr>
        <w:tabs>
          <w:tab w:val="left" w:pos="360"/>
        </w:tabs>
        <w:spacing w:line="240" w:lineRule="auto"/>
        <w:jc w:val="both"/>
      </w:pPr>
      <w:r>
        <w:t xml:space="preserve">Helen Armstead </w:t>
      </w:r>
      <w:r>
        <w:tab/>
      </w:r>
      <w:r>
        <w:tab/>
      </w:r>
      <w:r>
        <w:tab/>
      </w:r>
      <w:r w:rsidR="00332573" w:rsidRPr="00623871">
        <w:tab/>
      </w:r>
      <w:r w:rsidR="00332573" w:rsidRPr="00623871">
        <w:tab/>
        <w:t>:</w:t>
      </w:r>
      <w:r w:rsidR="00332573" w:rsidRPr="00623871">
        <w:tab/>
      </w:r>
      <w:r w:rsidR="00332573" w:rsidRPr="00623871">
        <w:tab/>
      </w:r>
    </w:p>
    <w:p w14:paraId="5BEB50AD" w14:textId="15134358" w:rsidR="00332573" w:rsidRPr="00623871" w:rsidRDefault="00332573" w:rsidP="003C0D34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6D82EDC3" w14:textId="513370BF" w:rsidR="00332573" w:rsidRPr="00623871" w:rsidRDefault="00332573" w:rsidP="003C0D34">
      <w:pPr>
        <w:tabs>
          <w:tab w:val="left" w:pos="360"/>
          <w:tab w:val="left" w:pos="720"/>
        </w:tabs>
        <w:spacing w:line="240" w:lineRule="auto"/>
        <w:jc w:val="both"/>
      </w:pPr>
      <w:r w:rsidRPr="00623871">
        <w:tab/>
      </w:r>
      <w:r w:rsidRPr="00623871">
        <w:tab/>
        <w:t>v.</w:t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  <w:r w:rsidR="00474412" w:rsidRPr="00623871">
        <w:t>C-</w:t>
      </w:r>
      <w:r w:rsidR="00474412">
        <w:t>2018-3006236</w:t>
      </w:r>
    </w:p>
    <w:p w14:paraId="52E847C7" w14:textId="77777777" w:rsidR="00332573" w:rsidRPr="00623871" w:rsidRDefault="00332573" w:rsidP="003C0D34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279564A8" w14:textId="12671589" w:rsidR="004A0D8F" w:rsidRDefault="00332573" w:rsidP="003C0D34">
      <w:pPr>
        <w:tabs>
          <w:tab w:val="left" w:pos="360"/>
        </w:tabs>
        <w:spacing w:line="240" w:lineRule="auto"/>
        <w:jc w:val="both"/>
      </w:pPr>
      <w:r w:rsidRPr="00623871">
        <w:t>Duquesne Light Company</w:t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</w:p>
    <w:p w14:paraId="17B1DDBF" w14:textId="664E8AB4" w:rsidR="00332573" w:rsidRDefault="00332573" w:rsidP="003C0D34">
      <w:pPr>
        <w:tabs>
          <w:tab w:val="left" w:pos="360"/>
        </w:tabs>
        <w:spacing w:line="240" w:lineRule="auto"/>
        <w:jc w:val="both"/>
      </w:pPr>
    </w:p>
    <w:p w14:paraId="6E2BFA66" w14:textId="77777777" w:rsidR="003C0D34" w:rsidRPr="00623871" w:rsidRDefault="003C0D34" w:rsidP="003C0D34">
      <w:pPr>
        <w:tabs>
          <w:tab w:val="left" w:pos="360"/>
        </w:tabs>
        <w:spacing w:line="240" w:lineRule="auto"/>
        <w:jc w:val="both"/>
      </w:pPr>
    </w:p>
    <w:p w14:paraId="726F8F51" w14:textId="77777777" w:rsidR="00792796" w:rsidRDefault="00792796" w:rsidP="003C0D34">
      <w:pPr>
        <w:spacing w:line="240" w:lineRule="auto"/>
      </w:pPr>
    </w:p>
    <w:p w14:paraId="3CD9FD14" w14:textId="647E5EB8" w:rsidR="0019760C" w:rsidRPr="004A0D8F" w:rsidRDefault="0019760C" w:rsidP="003C0D34">
      <w:pPr>
        <w:spacing w:line="240" w:lineRule="auto"/>
        <w:jc w:val="center"/>
        <w:rPr>
          <w:b/>
        </w:rPr>
      </w:pPr>
      <w:r w:rsidRPr="004A0D8F">
        <w:rPr>
          <w:b/>
        </w:rPr>
        <w:t>INTERIM ORDER</w:t>
      </w:r>
    </w:p>
    <w:p w14:paraId="5F04A736" w14:textId="73C72103" w:rsidR="0019760C" w:rsidRPr="004A0D8F" w:rsidRDefault="0019760C" w:rsidP="003C0D34">
      <w:pPr>
        <w:spacing w:line="240" w:lineRule="auto"/>
        <w:jc w:val="center"/>
        <w:rPr>
          <w:b/>
          <w:u w:val="single"/>
        </w:rPr>
      </w:pPr>
      <w:r w:rsidRPr="004A0D8F">
        <w:rPr>
          <w:b/>
          <w:u w:val="single"/>
        </w:rPr>
        <w:t xml:space="preserve">ON </w:t>
      </w:r>
      <w:r w:rsidR="00AC4359">
        <w:rPr>
          <w:b/>
          <w:u w:val="single"/>
        </w:rPr>
        <w:t xml:space="preserve">RESPONDENT’S </w:t>
      </w:r>
      <w:r w:rsidRPr="004A0D8F">
        <w:rPr>
          <w:b/>
          <w:u w:val="single"/>
        </w:rPr>
        <w:t xml:space="preserve">MOTION </w:t>
      </w:r>
      <w:r w:rsidR="00AC4359">
        <w:rPr>
          <w:b/>
          <w:u w:val="single"/>
        </w:rPr>
        <w:t>FOR JUDGMENT ON THE PLEADINGS</w:t>
      </w:r>
    </w:p>
    <w:p w14:paraId="3CC7EDCF" w14:textId="5CFAFE68" w:rsidR="0019760C" w:rsidRDefault="0019760C"/>
    <w:p w14:paraId="275BEA97" w14:textId="47145C07" w:rsidR="0019760C" w:rsidRDefault="0019760C" w:rsidP="003C0D34">
      <w:r>
        <w:tab/>
      </w:r>
      <w:r>
        <w:tab/>
        <w:t>On</w:t>
      </w:r>
      <w:r w:rsidR="00AC4359">
        <w:t xml:space="preserve"> November 26</w:t>
      </w:r>
      <w:r>
        <w:t xml:space="preserve">, 2018, </w:t>
      </w:r>
      <w:r w:rsidR="00AC4359">
        <w:t>Helen Armstead</w:t>
      </w:r>
      <w:r>
        <w:t xml:space="preserve"> (Complainant) filed </w:t>
      </w:r>
      <w:r w:rsidR="00AC4359">
        <w:t xml:space="preserve">a Formal Complaint </w:t>
      </w:r>
      <w:r>
        <w:t>against Duquesne Light Company</w:t>
      </w:r>
      <w:r w:rsidR="00746361">
        <w:t xml:space="preserve"> (Respondent)</w:t>
      </w:r>
      <w:r>
        <w:t xml:space="preserve">, </w:t>
      </w:r>
      <w:r w:rsidR="00746361">
        <w:t xml:space="preserve">requesting, </w:t>
      </w:r>
      <w:r w:rsidR="00746361">
        <w:rPr>
          <w:i/>
        </w:rPr>
        <w:t>inter alia</w:t>
      </w:r>
      <w:r w:rsidR="00746361">
        <w:t xml:space="preserve">, a payment arrangement and for Respondent to “send her a bill that is right.”  </w:t>
      </w:r>
      <w:r>
        <w:t xml:space="preserve">On </w:t>
      </w:r>
      <w:r w:rsidR="00746361">
        <w:t>December 19, 2018</w:t>
      </w:r>
      <w:r>
        <w:t xml:space="preserve">, </w:t>
      </w:r>
      <w:r w:rsidR="00062A07">
        <w:t>Respondent</w:t>
      </w:r>
      <w:r>
        <w:t xml:space="preserve"> filed an </w:t>
      </w:r>
      <w:r w:rsidR="00746361">
        <w:t>A</w:t>
      </w:r>
      <w:r>
        <w:t xml:space="preserve">nswer and </w:t>
      </w:r>
      <w:r w:rsidR="00746361">
        <w:t>N</w:t>
      </w:r>
      <w:r>
        <w:t xml:space="preserve">ew </w:t>
      </w:r>
      <w:r w:rsidR="00746361">
        <w:t>M</w:t>
      </w:r>
      <w:r>
        <w:t>atter</w:t>
      </w:r>
      <w:r w:rsidR="00746361">
        <w:t xml:space="preserve">, averring, </w:t>
      </w:r>
      <w:r w:rsidR="00746361">
        <w:rPr>
          <w:i/>
        </w:rPr>
        <w:t>inter alia</w:t>
      </w:r>
      <w:r w:rsidR="00746361">
        <w:t>, that it provides residential retail electric service to Complainant, there are no incorrect charges on Complainant’s bill, and Complainant is not entitled to a payment arrangement because she is already enrolled in the utility’s Customer Assistance Program (CAP)</w:t>
      </w:r>
      <w:r>
        <w:t xml:space="preserve">.  </w:t>
      </w:r>
    </w:p>
    <w:p w14:paraId="06BD4D6B" w14:textId="274FC828" w:rsidR="002B3168" w:rsidRDefault="002B3168" w:rsidP="003C0D34"/>
    <w:p w14:paraId="3ABE688B" w14:textId="456560FD" w:rsidR="002B3168" w:rsidRDefault="002B3168" w:rsidP="003C0D34">
      <w:r>
        <w:tab/>
      </w:r>
      <w:r>
        <w:tab/>
      </w:r>
      <w:r w:rsidR="00746361">
        <w:t xml:space="preserve">On January 25, 2019, the Commission issued a Telephone Hearing Notice, scheduling a telephone hearing for Friday, March 1, 2019, and assigning the case to </w:t>
      </w:r>
      <w:r w:rsidR="00062A07">
        <w:t>the undersigned Administrative Law Judge (ALJ)</w:t>
      </w:r>
      <w:r w:rsidR="00746361">
        <w:t xml:space="preserve">.  </w:t>
      </w:r>
    </w:p>
    <w:p w14:paraId="208A5998" w14:textId="769BDFE0" w:rsidR="00746361" w:rsidRDefault="00746361" w:rsidP="003C0D34"/>
    <w:p w14:paraId="7CC80E8C" w14:textId="4DE411D6" w:rsidR="00922516" w:rsidRDefault="00746361" w:rsidP="003C0D34">
      <w:r>
        <w:tab/>
      </w:r>
      <w:r>
        <w:tab/>
        <w:t xml:space="preserve">On January 31, 2019, Respondent filed a Motion for </w:t>
      </w:r>
      <w:r w:rsidR="003E30BB">
        <w:t>Judgment</w:t>
      </w:r>
      <w:r>
        <w:t xml:space="preserve"> on the Pleadings (Motion for </w:t>
      </w:r>
      <w:r w:rsidR="003E30BB">
        <w:t>Judgment</w:t>
      </w:r>
      <w:r>
        <w:t xml:space="preserve">), arguing that it is an undisputed fact that Complainant is seeking a payment arrangement for arrears she accrued while enrolled in Respondent’s CAP; and by law, Complainant is not entitled to a payment on CAP arrears.  As such, Respondent argues Complainant’s Formal Complaint should be dismissed.  The Motion for </w:t>
      </w:r>
      <w:r w:rsidR="003E30BB">
        <w:t>Judgment</w:t>
      </w:r>
      <w:r>
        <w:t xml:space="preserve"> contained a Notice to Plead</w:t>
      </w:r>
      <w:r w:rsidR="00922516">
        <w:t xml:space="preserve">, requiring Complainant to file a written response within 20 days of service.  </w:t>
      </w:r>
    </w:p>
    <w:p w14:paraId="1C7A625C" w14:textId="77777777" w:rsidR="00922516" w:rsidRDefault="00922516" w:rsidP="003C0D34"/>
    <w:p w14:paraId="5C454ACD" w14:textId="5EF1A6E9" w:rsidR="00062A07" w:rsidRDefault="00922516" w:rsidP="00062A07">
      <w:r>
        <w:tab/>
      </w:r>
      <w:r>
        <w:tab/>
        <w:t xml:space="preserve">Complainant did not file a response to the Motion for </w:t>
      </w:r>
      <w:r w:rsidR="003E30BB">
        <w:t>Judgment</w:t>
      </w:r>
      <w:r>
        <w:t xml:space="preserve"> by the deadline.  </w:t>
      </w:r>
      <w:r w:rsidR="00746361">
        <w:t xml:space="preserve">    </w:t>
      </w:r>
    </w:p>
    <w:p w14:paraId="2A2F9409" w14:textId="434B5F98" w:rsidR="00922516" w:rsidRPr="00062A07" w:rsidRDefault="00062A07" w:rsidP="00062A07">
      <w:r>
        <w:lastRenderedPageBreak/>
        <w:tab/>
      </w:r>
      <w:r>
        <w:tab/>
      </w:r>
      <w:r w:rsidR="00922516">
        <w:t xml:space="preserve">Well-established Commission precedent tends to afford unrepresented complainants the opportunity to orally set forth their cases on the </w:t>
      </w:r>
      <w:proofErr w:type="gramStart"/>
      <w:r w:rsidR="00922516">
        <w:t>record, and</w:t>
      </w:r>
      <w:proofErr w:type="gramEnd"/>
      <w:r w:rsidR="00922516">
        <w:t xml:space="preserve"> cautions against dismissing cases on a preliminary basis.  In the often-cited case of </w:t>
      </w:r>
      <w:r w:rsidR="00922516">
        <w:rPr>
          <w:color w:val="000000"/>
          <w:u w:val="single"/>
        </w:rPr>
        <w:t>Richard Carlock v. The United Telephone Company of Pennsylvania</w:t>
      </w:r>
      <w:r w:rsidR="00922516">
        <w:rPr>
          <w:color w:val="000000"/>
        </w:rPr>
        <w:t>, Docket No. F-00163617 (Order entered July 14, 1993) (</w:t>
      </w:r>
      <w:r w:rsidR="00922516">
        <w:rPr>
          <w:color w:val="000000"/>
          <w:u w:val="single"/>
        </w:rPr>
        <w:t>Carlock</w:t>
      </w:r>
      <w:r w:rsidR="00922516">
        <w:rPr>
          <w:color w:val="000000"/>
        </w:rPr>
        <w:t xml:space="preserve">), the Commission determined that unrepresented complainants should have an opportunity to be heard orally, and not have their case dismissed because of a preliminary pleading.  </w:t>
      </w:r>
      <w:r w:rsidR="00922516">
        <w:rPr>
          <w:color w:val="000000"/>
          <w:u w:val="single"/>
        </w:rPr>
        <w:t>Id.</w:t>
      </w:r>
      <w:r w:rsidR="00922516">
        <w:rPr>
          <w:color w:val="000000"/>
        </w:rPr>
        <w:t xml:space="preserve"> at 7 (in many cases unrepresented complainants can explain their dispute orally much better than they can communicate their grievance in written form and to deny unrepresented complainants a meaningful opportunity to be heard in such cases can be viewed as a gross abuse of authority), </w:t>
      </w:r>
      <w:r w:rsidR="00922516">
        <w:rPr>
          <w:i/>
          <w:color w:val="000000"/>
        </w:rPr>
        <w:t>citing</w:t>
      </w:r>
      <w:r w:rsidR="00922516">
        <w:rPr>
          <w:color w:val="000000"/>
        </w:rPr>
        <w:t xml:space="preserve">, </w:t>
      </w:r>
      <w:r w:rsidR="00922516">
        <w:rPr>
          <w:color w:val="000000"/>
          <w:u w:val="single"/>
        </w:rPr>
        <w:t>Halpern v. The Bell Telephone Company of Pennsylvania</w:t>
      </w:r>
      <w:r w:rsidR="00922516">
        <w:rPr>
          <w:color w:val="000000"/>
        </w:rPr>
        <w:t xml:space="preserve">, Docket No. C-00923950 (Order entered October 1992) and </w:t>
      </w:r>
      <w:r w:rsidR="00922516">
        <w:rPr>
          <w:color w:val="000000"/>
          <w:u w:val="single"/>
        </w:rPr>
        <w:t xml:space="preserve">William </w:t>
      </w:r>
      <w:proofErr w:type="spellStart"/>
      <w:r w:rsidR="00922516">
        <w:rPr>
          <w:color w:val="000000"/>
          <w:u w:val="single"/>
        </w:rPr>
        <w:t>Schleisher</w:t>
      </w:r>
      <w:proofErr w:type="spellEnd"/>
      <w:r w:rsidR="00922516">
        <w:rPr>
          <w:color w:val="000000"/>
          <w:u w:val="single"/>
        </w:rPr>
        <w:t xml:space="preserve"> v. The Bell Telephone Company of Pennsylvania</w:t>
      </w:r>
      <w:r w:rsidR="00922516">
        <w:rPr>
          <w:color w:val="000000"/>
        </w:rPr>
        <w:t xml:space="preserve">, Docket No. F-00161252 (Order entered December 17, 1992); </w:t>
      </w:r>
      <w:r w:rsidR="00922516">
        <w:rPr>
          <w:i/>
          <w:color w:val="000000"/>
        </w:rPr>
        <w:t>see also</w:t>
      </w:r>
      <w:r w:rsidR="00922516">
        <w:rPr>
          <w:color w:val="000000"/>
        </w:rPr>
        <w:t xml:space="preserve">, </w:t>
      </w:r>
      <w:r w:rsidR="00922516">
        <w:rPr>
          <w:color w:val="000000"/>
          <w:u w:val="single"/>
        </w:rPr>
        <w:t>John M. Gera v. PPL Electric Utilities Corporation</w:t>
      </w:r>
      <w:r w:rsidR="00922516">
        <w:rPr>
          <w:color w:val="000000"/>
        </w:rPr>
        <w:t xml:space="preserve">, Docket No. C-20054657 (Opinion and Order entered November 2, 2005).  </w:t>
      </w:r>
    </w:p>
    <w:p w14:paraId="3D73227C" w14:textId="4A7EF972" w:rsidR="009249ED" w:rsidRDefault="009249ED" w:rsidP="00922516"/>
    <w:p w14:paraId="2832514E" w14:textId="751B6442" w:rsidR="00062A07" w:rsidRDefault="00FE690F" w:rsidP="00FE690F">
      <w:r>
        <w:tab/>
      </w:r>
      <w:r>
        <w:tab/>
      </w:r>
      <w:r w:rsidR="00062A07">
        <w:t>Complainant’s Complaint contains two claims</w:t>
      </w:r>
      <w:proofErr w:type="gramStart"/>
      <w:r w:rsidR="00062A07">
        <w:t xml:space="preserve">: </w:t>
      </w:r>
      <w:r w:rsidR="000B35FB">
        <w:t xml:space="preserve"> </w:t>
      </w:r>
      <w:r w:rsidR="00062A07">
        <w:t>(</w:t>
      </w:r>
      <w:proofErr w:type="gramEnd"/>
      <w:r w:rsidR="00062A07">
        <w:t xml:space="preserve">1) a request for a payment arrangement; and (2) an allegation that there are incorrect charges on her bill.  </w:t>
      </w:r>
    </w:p>
    <w:p w14:paraId="36700894" w14:textId="77777777" w:rsidR="00062A07" w:rsidRDefault="00062A07" w:rsidP="00FE690F"/>
    <w:p w14:paraId="2EFEB32A" w14:textId="5E1F3E82" w:rsidR="00FE690F" w:rsidRDefault="00062A07" w:rsidP="00FE690F">
      <w:r>
        <w:tab/>
      </w:r>
      <w:r>
        <w:tab/>
      </w:r>
      <w:proofErr w:type="gramStart"/>
      <w:r w:rsidR="00FE690F">
        <w:t>With regard to</w:t>
      </w:r>
      <w:proofErr w:type="gramEnd"/>
      <w:r w:rsidR="00FE690F">
        <w:t xml:space="preserve"> Complainant’s request for a payment arrangement, </w:t>
      </w:r>
      <w:r w:rsidR="00922516">
        <w:t>Complainant writes only that she would like a payment arrangement</w:t>
      </w:r>
      <w:r w:rsidR="00FE690F">
        <w:t>.  The ALJ would like to have an opportunity to clarify this issue</w:t>
      </w:r>
      <w:r w:rsidR="00A13506">
        <w:t xml:space="preserve"> </w:t>
      </w:r>
      <w:r w:rsidR="00FE690F">
        <w:t xml:space="preserve">and the parties’ positions </w:t>
      </w:r>
      <w:r>
        <w:t xml:space="preserve">on it </w:t>
      </w:r>
      <w:r w:rsidR="00FE690F">
        <w:t xml:space="preserve">prior to ruling on the Motion </w:t>
      </w:r>
      <w:r>
        <w:t xml:space="preserve">for Judgment </w:t>
      </w:r>
      <w:proofErr w:type="gramStart"/>
      <w:r>
        <w:t>with regard to</w:t>
      </w:r>
      <w:proofErr w:type="gramEnd"/>
      <w:r>
        <w:t xml:space="preserve"> this claim.  </w:t>
      </w:r>
    </w:p>
    <w:p w14:paraId="43EFA069" w14:textId="77777777" w:rsidR="00FE690F" w:rsidRDefault="00FE690F" w:rsidP="00FE690F"/>
    <w:p w14:paraId="383EF69F" w14:textId="5FB59266" w:rsidR="00062A07" w:rsidRDefault="00FE690F" w:rsidP="00FE690F">
      <w:r>
        <w:tab/>
      </w:r>
      <w:r>
        <w:tab/>
        <w:t xml:space="preserve">Furthermore, even if it was clear from the Complaint that Complainant was not eligible for a payment arrangement, the Complaint could not be dismissed </w:t>
      </w:r>
      <w:r w:rsidR="00062A07">
        <w:t xml:space="preserve">in its entirety as Respondent requests in its Motion for </w:t>
      </w:r>
      <w:r w:rsidR="003E30BB">
        <w:t>Judgment</w:t>
      </w:r>
      <w:r w:rsidR="00062A07">
        <w:t xml:space="preserve">.  Complainant still has the second claim (incorrect charges on her bill) upon which she is entitled to an evidentiary hearing.  </w:t>
      </w:r>
    </w:p>
    <w:p w14:paraId="19097AEC" w14:textId="77777777" w:rsidR="00062A07" w:rsidRDefault="00062A07" w:rsidP="00FE690F"/>
    <w:p w14:paraId="42919A82" w14:textId="44064542" w:rsidR="00E60425" w:rsidRDefault="00062A07" w:rsidP="00FE690F">
      <w:r>
        <w:tab/>
      </w:r>
      <w:r>
        <w:tab/>
        <w:t xml:space="preserve">The ALJ will address Respondent’s Motion for </w:t>
      </w:r>
      <w:r w:rsidR="003E30BB">
        <w:t>Judgment</w:t>
      </w:r>
      <w:r>
        <w:t xml:space="preserve"> at the hearing, prior to taking any evidence.  That said, the parties should be prepared to fully litigate all the claims of this case at the hearing on March 1, 2019.    </w:t>
      </w:r>
      <w:r w:rsidR="00FE690F">
        <w:t xml:space="preserve">  </w:t>
      </w:r>
    </w:p>
    <w:p w14:paraId="1B8D7CB2" w14:textId="28DFCD45" w:rsidR="00644014" w:rsidRDefault="00644014" w:rsidP="003C0D34">
      <w:pPr>
        <w:ind w:left="720" w:firstLine="720"/>
      </w:pPr>
      <w:r>
        <w:lastRenderedPageBreak/>
        <w:t>THEREFORE,</w:t>
      </w:r>
    </w:p>
    <w:p w14:paraId="2CD2A75C" w14:textId="77777777" w:rsidR="00D81E6A" w:rsidRDefault="00D81E6A" w:rsidP="00E60425"/>
    <w:p w14:paraId="7D61D6B3" w14:textId="4D6340D8" w:rsidR="00644014" w:rsidRDefault="00644014" w:rsidP="003C0D34">
      <w:pPr>
        <w:ind w:left="720" w:firstLine="720"/>
      </w:pPr>
      <w:r>
        <w:t>IT IS ORDERED:</w:t>
      </w:r>
    </w:p>
    <w:p w14:paraId="73BB87AA" w14:textId="7C5085DB" w:rsidR="00644014" w:rsidRDefault="00644014" w:rsidP="00E60425"/>
    <w:p w14:paraId="63AFCBC8" w14:textId="55BC0C38" w:rsidR="00644014" w:rsidRDefault="00644014" w:rsidP="00E60425">
      <w:r>
        <w:tab/>
      </w:r>
      <w:r>
        <w:tab/>
        <w:t>1.</w:t>
      </w:r>
      <w:r>
        <w:tab/>
        <w:t xml:space="preserve">That Duquesne Light’s </w:t>
      </w:r>
      <w:r w:rsidR="00922516">
        <w:t xml:space="preserve">Motion for </w:t>
      </w:r>
      <w:r w:rsidR="003E30BB">
        <w:t>Judgment</w:t>
      </w:r>
      <w:r w:rsidR="00922516">
        <w:t xml:space="preserve"> on the Pleadings is held in abeyance</w:t>
      </w:r>
      <w:r>
        <w:t>.</w:t>
      </w:r>
    </w:p>
    <w:p w14:paraId="58B6BBAF" w14:textId="77777777" w:rsidR="00644014" w:rsidRDefault="00644014" w:rsidP="00E60425"/>
    <w:p w14:paraId="71C3FA03" w14:textId="2B7F0003" w:rsidR="00644014" w:rsidRDefault="00644014" w:rsidP="00922516">
      <w:r>
        <w:tab/>
      </w:r>
      <w:r>
        <w:tab/>
        <w:t>2.</w:t>
      </w:r>
      <w:r>
        <w:tab/>
        <w:t xml:space="preserve">That </w:t>
      </w:r>
      <w:r w:rsidR="00922516">
        <w:t xml:space="preserve">the telephone hearing scheduled for </w:t>
      </w:r>
      <w:r w:rsidR="000B35FB">
        <w:t xml:space="preserve">10:00 a.m. on </w:t>
      </w:r>
      <w:r w:rsidR="00922516">
        <w:t>March 1, 2019</w:t>
      </w:r>
      <w:r w:rsidR="00594EBF">
        <w:t>,</w:t>
      </w:r>
      <w:r w:rsidR="00922516">
        <w:t xml:space="preserve"> will commence as scheduled.  </w:t>
      </w:r>
    </w:p>
    <w:p w14:paraId="739C60C1" w14:textId="5138C56C" w:rsidR="003C0D34" w:rsidRDefault="003C0D34" w:rsidP="00E60425"/>
    <w:p w14:paraId="09FA9D13" w14:textId="2317ED19" w:rsidR="003C0D34" w:rsidRDefault="003C0D34" w:rsidP="00E60425"/>
    <w:p w14:paraId="67EF9525" w14:textId="77777777" w:rsidR="00484F2C" w:rsidRDefault="00484F2C" w:rsidP="00E60425"/>
    <w:p w14:paraId="36069E28" w14:textId="4B06ED2F" w:rsidR="003C0D34" w:rsidRPr="003C0D34" w:rsidRDefault="003C0D34" w:rsidP="003C0D34">
      <w:pPr>
        <w:spacing w:line="240" w:lineRule="auto"/>
        <w:rPr>
          <w:rFonts w:eastAsia="Times New Roman"/>
          <w:szCs w:val="24"/>
        </w:rPr>
      </w:pPr>
      <w:bookmarkStart w:id="1" w:name="_Hlk505862083"/>
      <w:r w:rsidRPr="003C0D34">
        <w:rPr>
          <w:rFonts w:eastAsia="Times New Roman"/>
          <w:szCs w:val="24"/>
        </w:rPr>
        <w:t xml:space="preserve">Date:  </w:t>
      </w:r>
      <w:r w:rsidR="00922516">
        <w:rPr>
          <w:rFonts w:eastAsia="Times New Roman"/>
          <w:szCs w:val="24"/>
          <w:u w:val="single"/>
        </w:rPr>
        <w:t>February 25</w:t>
      </w:r>
      <w:r>
        <w:rPr>
          <w:rFonts w:eastAsia="Times New Roman"/>
          <w:szCs w:val="24"/>
          <w:u w:val="single"/>
        </w:rPr>
        <w:t>, 2019</w:t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  <w:t>/s/</w:t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</w:r>
      <w:r w:rsidRPr="003C0D34">
        <w:rPr>
          <w:rFonts w:eastAsia="Times New Roman"/>
          <w:szCs w:val="24"/>
          <w:u w:val="single"/>
        </w:rPr>
        <w:tab/>
      </w:r>
    </w:p>
    <w:p w14:paraId="36EE43D7" w14:textId="2831B3AA" w:rsidR="003C0D34" w:rsidRPr="003C0D34" w:rsidRDefault="003C0D34" w:rsidP="003C0D34">
      <w:pPr>
        <w:spacing w:line="240" w:lineRule="auto"/>
        <w:rPr>
          <w:rFonts w:eastAsia="Times New Roman"/>
          <w:szCs w:val="24"/>
        </w:rPr>
      </w:pP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="00922516">
        <w:rPr>
          <w:rFonts w:eastAsia="Times New Roman"/>
          <w:szCs w:val="24"/>
        </w:rPr>
        <w:t xml:space="preserve">Emily </w:t>
      </w:r>
      <w:r w:rsidR="009B2645">
        <w:rPr>
          <w:rFonts w:eastAsia="Times New Roman"/>
          <w:szCs w:val="24"/>
        </w:rPr>
        <w:t xml:space="preserve">I. </w:t>
      </w:r>
      <w:r w:rsidR="00922516">
        <w:rPr>
          <w:rFonts w:eastAsia="Times New Roman"/>
          <w:szCs w:val="24"/>
        </w:rPr>
        <w:t>DeVoe</w:t>
      </w:r>
    </w:p>
    <w:p w14:paraId="62B86A21" w14:textId="36845214" w:rsidR="008879F0" w:rsidRPr="00103D08" w:rsidRDefault="003C0D34" w:rsidP="00103D08">
      <w:pPr>
        <w:spacing w:line="240" w:lineRule="auto"/>
        <w:rPr>
          <w:rFonts w:eastAsia="Times New Roman"/>
          <w:szCs w:val="24"/>
        </w:rPr>
        <w:sectPr w:rsidR="008879F0" w:rsidRPr="00103D08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</w:r>
      <w:r w:rsidRPr="003C0D34">
        <w:rPr>
          <w:rFonts w:eastAsia="Times New Roman"/>
          <w:szCs w:val="24"/>
        </w:rPr>
        <w:tab/>
        <w:t>Administrative Law Judge</w:t>
      </w:r>
      <w:bookmarkEnd w:id="1"/>
    </w:p>
    <w:p w14:paraId="0C6DD78A" w14:textId="360CD669" w:rsidR="007111F8" w:rsidRDefault="007111F8" w:rsidP="007111F8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CF7515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C-2018-3006236 - HELEN ARMSTEAD v. DUQUESNE LIGHT COMPANY</w:t>
      </w:r>
      <w:r w:rsidRPr="00CF7515"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HELEN ARMSTEAD</w:t>
      </w:r>
      <w:r>
        <w:rPr>
          <w:rFonts w:ascii="Microsoft Sans Serif" w:eastAsia="Microsoft Sans Serif" w:hAnsi="Microsoft Sans Serif" w:cs="Microsoft Sans Serif"/>
        </w:rPr>
        <w:cr/>
        <w:t>1621 LINCOLN AVE APT 204</w:t>
      </w:r>
      <w:r>
        <w:rPr>
          <w:rFonts w:ascii="Microsoft Sans Serif" w:eastAsia="Microsoft Sans Serif" w:hAnsi="Microsoft Sans Serif" w:cs="Microsoft Sans Serif"/>
        </w:rPr>
        <w:cr/>
        <w:t>PITTSBURGH PA  15206</w:t>
      </w:r>
      <w:r>
        <w:rPr>
          <w:rFonts w:ascii="Microsoft Sans Serif" w:eastAsia="Microsoft Sans Serif" w:hAnsi="Microsoft Sans Serif" w:cs="Microsoft Sans Serif"/>
        </w:rPr>
        <w:cr/>
      </w:r>
      <w:r w:rsidRPr="00822CBA">
        <w:rPr>
          <w:rFonts w:ascii="Microsoft Sans Serif" w:eastAsia="Microsoft Sans Serif" w:hAnsi="Microsoft Sans Serif" w:cs="Microsoft Sans Serif"/>
          <w:b/>
        </w:rPr>
        <w:t>412.537.6317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PAUL SHANE MILLER ESQUIRE</w:t>
      </w:r>
      <w:r>
        <w:rPr>
          <w:rFonts w:ascii="Microsoft Sans Serif" w:eastAsia="Microsoft Sans Serif" w:hAnsi="Microsoft Sans Serif" w:cs="Microsoft Sans Serif"/>
        </w:rPr>
        <w:cr/>
        <w:t>JEREMY V FARRELL ESQUIRE</w:t>
      </w:r>
    </w:p>
    <w:p w14:paraId="6CF28FCA" w14:textId="77777777" w:rsidR="007111F8" w:rsidRDefault="007111F8" w:rsidP="007111F8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</w:p>
    <w:p w14:paraId="30831D3D" w14:textId="77777777" w:rsidR="007111F8" w:rsidRDefault="007111F8" w:rsidP="007111F8">
      <w:pPr>
        <w:spacing w:line="240" w:lineRule="auto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PITTSBURGH PA  15222</w:t>
      </w:r>
      <w:r>
        <w:rPr>
          <w:rFonts w:ascii="Microsoft Sans Serif" w:eastAsia="Microsoft Sans Serif" w:hAnsi="Microsoft Sans Serif" w:cs="Microsoft Sans Serif"/>
        </w:rPr>
        <w:cr/>
      </w:r>
      <w:r w:rsidRPr="00822CBA">
        <w:rPr>
          <w:rFonts w:ascii="Microsoft Sans Serif" w:eastAsia="Microsoft Sans Serif" w:hAnsi="Microsoft Sans Serif" w:cs="Microsoft Sans Serif"/>
          <w:b/>
        </w:rPr>
        <w:t>412.594.5503</w:t>
      </w:r>
    </w:p>
    <w:p w14:paraId="31057385" w14:textId="77777777" w:rsidR="007111F8" w:rsidRPr="00822CBA" w:rsidRDefault="007111F8" w:rsidP="007111F8">
      <w:pPr>
        <w:spacing w:line="240" w:lineRule="auto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412.594.3938</w:t>
      </w:r>
    </w:p>
    <w:p w14:paraId="392D7E4C" w14:textId="77777777" w:rsidR="007111F8" w:rsidRPr="00204F73" w:rsidRDefault="007111F8" w:rsidP="007111F8">
      <w:pPr>
        <w:spacing w:line="240" w:lineRule="auto"/>
        <w:rPr>
          <w:i/>
          <w:u w:val="single"/>
        </w:rPr>
      </w:pPr>
      <w:r w:rsidRPr="00204F73">
        <w:rPr>
          <w:rFonts w:ascii="Microsoft Sans Serif" w:eastAsia="Microsoft Sans Serif" w:hAnsi="Microsoft Sans Serif" w:cs="Microsoft Sans Serif"/>
          <w:b/>
          <w:i/>
          <w:u w:val="single"/>
        </w:rPr>
        <w:t>Accepts eService</w:t>
      </w:r>
      <w:r w:rsidRPr="00204F73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2153004E" w14:textId="77777777" w:rsidR="007111F8" w:rsidRDefault="007111F8" w:rsidP="007111F8"/>
    <w:p w14:paraId="3D85186B" w14:textId="7F7C6840" w:rsidR="003C0D34" w:rsidRDefault="003C0D34" w:rsidP="00E60425"/>
    <w:sectPr w:rsidR="003C0D3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89B7" w14:textId="77777777" w:rsidR="00782F12" w:rsidRDefault="00782F12" w:rsidP="0019760C">
      <w:pPr>
        <w:spacing w:line="240" w:lineRule="auto"/>
      </w:pPr>
      <w:r>
        <w:separator/>
      </w:r>
    </w:p>
  </w:endnote>
  <w:endnote w:type="continuationSeparator" w:id="0">
    <w:p w14:paraId="5CF7A018" w14:textId="77777777" w:rsidR="00782F12" w:rsidRDefault="00782F12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  <w:p w14:paraId="2B4ADBFC" w14:textId="77777777" w:rsidR="003C0D34" w:rsidRDefault="003C0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10D4B" w14:textId="0F2E67F6" w:rsidR="00376CC5" w:rsidRPr="003C0D34" w:rsidRDefault="00376CC5">
    <w:pPr>
      <w:pStyle w:val="Footer"/>
      <w:jc w:val="center"/>
      <w:rPr>
        <w:sz w:val="20"/>
      </w:rPr>
    </w:pPr>
  </w:p>
  <w:p w14:paraId="1017DA5B" w14:textId="77777777" w:rsidR="00376CC5" w:rsidRDefault="00376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EF05" w14:textId="77777777" w:rsidR="00782F12" w:rsidRDefault="00782F12" w:rsidP="0019760C">
      <w:pPr>
        <w:spacing w:line="240" w:lineRule="auto"/>
      </w:pPr>
      <w:r>
        <w:separator/>
      </w:r>
    </w:p>
  </w:footnote>
  <w:footnote w:type="continuationSeparator" w:id="0">
    <w:p w14:paraId="5DD08ECE" w14:textId="77777777" w:rsidR="00782F12" w:rsidRDefault="00782F12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0C"/>
    <w:rsid w:val="00004C37"/>
    <w:rsid w:val="000066B3"/>
    <w:rsid w:val="00062A07"/>
    <w:rsid w:val="00066D87"/>
    <w:rsid w:val="000B35FB"/>
    <w:rsid w:val="000E3EDE"/>
    <w:rsid w:val="000E4654"/>
    <w:rsid w:val="00103D08"/>
    <w:rsid w:val="00107E82"/>
    <w:rsid w:val="0019760C"/>
    <w:rsid w:val="001A21B6"/>
    <w:rsid w:val="001B1CBA"/>
    <w:rsid w:val="001D2AF7"/>
    <w:rsid w:val="00207743"/>
    <w:rsid w:val="00213167"/>
    <w:rsid w:val="0022661F"/>
    <w:rsid w:val="002512F9"/>
    <w:rsid w:val="002A4032"/>
    <w:rsid w:val="002B3168"/>
    <w:rsid w:val="002C32C4"/>
    <w:rsid w:val="003145FA"/>
    <w:rsid w:val="00332573"/>
    <w:rsid w:val="00367A41"/>
    <w:rsid w:val="00376CC5"/>
    <w:rsid w:val="00393C92"/>
    <w:rsid w:val="003A3E09"/>
    <w:rsid w:val="003C0D34"/>
    <w:rsid w:val="003E30BB"/>
    <w:rsid w:val="00417566"/>
    <w:rsid w:val="00474412"/>
    <w:rsid w:val="00484F2C"/>
    <w:rsid w:val="004A0D8F"/>
    <w:rsid w:val="004D523C"/>
    <w:rsid w:val="00594EBF"/>
    <w:rsid w:val="005A1C17"/>
    <w:rsid w:val="005A2ABA"/>
    <w:rsid w:val="005D180A"/>
    <w:rsid w:val="005E7B69"/>
    <w:rsid w:val="0061775F"/>
    <w:rsid w:val="00631712"/>
    <w:rsid w:val="00644014"/>
    <w:rsid w:val="00666531"/>
    <w:rsid w:val="00696C0D"/>
    <w:rsid w:val="006B1740"/>
    <w:rsid w:val="006C6A0D"/>
    <w:rsid w:val="006F0329"/>
    <w:rsid w:val="00700807"/>
    <w:rsid w:val="007111F8"/>
    <w:rsid w:val="00712E58"/>
    <w:rsid w:val="007407AC"/>
    <w:rsid w:val="00746361"/>
    <w:rsid w:val="00755D72"/>
    <w:rsid w:val="00782F12"/>
    <w:rsid w:val="00792796"/>
    <w:rsid w:val="00796B64"/>
    <w:rsid w:val="007E6779"/>
    <w:rsid w:val="00820B4C"/>
    <w:rsid w:val="0083239D"/>
    <w:rsid w:val="008529D2"/>
    <w:rsid w:val="0088105E"/>
    <w:rsid w:val="008879F0"/>
    <w:rsid w:val="009101C9"/>
    <w:rsid w:val="00917DCA"/>
    <w:rsid w:val="00922516"/>
    <w:rsid w:val="009249ED"/>
    <w:rsid w:val="009B2645"/>
    <w:rsid w:val="00A13506"/>
    <w:rsid w:val="00A34F4D"/>
    <w:rsid w:val="00A35925"/>
    <w:rsid w:val="00A451BD"/>
    <w:rsid w:val="00A47096"/>
    <w:rsid w:val="00AA2EC5"/>
    <w:rsid w:val="00AB4C73"/>
    <w:rsid w:val="00AC4359"/>
    <w:rsid w:val="00AE6F47"/>
    <w:rsid w:val="00B91E47"/>
    <w:rsid w:val="00BC6B21"/>
    <w:rsid w:val="00C6378B"/>
    <w:rsid w:val="00C65103"/>
    <w:rsid w:val="00C70572"/>
    <w:rsid w:val="00C87E57"/>
    <w:rsid w:val="00CF6143"/>
    <w:rsid w:val="00D81E6A"/>
    <w:rsid w:val="00DD5C37"/>
    <w:rsid w:val="00DF35D9"/>
    <w:rsid w:val="00E25F36"/>
    <w:rsid w:val="00E4239A"/>
    <w:rsid w:val="00E60425"/>
    <w:rsid w:val="00EA515B"/>
    <w:rsid w:val="00EB027A"/>
    <w:rsid w:val="00EC1CBA"/>
    <w:rsid w:val="00EE7801"/>
    <w:rsid w:val="00F11A19"/>
    <w:rsid w:val="00F16554"/>
    <w:rsid w:val="00F544E1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Oldynski, Sandra</cp:lastModifiedBy>
  <cp:revision>13</cp:revision>
  <cp:lastPrinted>2019-02-25T15:29:00Z</cp:lastPrinted>
  <dcterms:created xsi:type="dcterms:W3CDTF">2019-02-25T15:20:00Z</dcterms:created>
  <dcterms:modified xsi:type="dcterms:W3CDTF">2019-02-25T17:29:00Z</dcterms:modified>
</cp:coreProperties>
</file>