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8B4270" w14:textId="77777777" w:rsidR="00E00F6E" w:rsidRPr="003472DA" w:rsidRDefault="003D2E73" w:rsidP="00330C0A">
      <w:pPr>
        <w:pStyle w:val="Title"/>
        <w:ind w:right="-90"/>
        <w:rPr>
          <w:szCs w:val="26"/>
        </w:rPr>
      </w:pPr>
      <w:r>
        <w:rPr>
          <w:szCs w:val="26"/>
        </w:rPr>
        <w:t xml:space="preserve"> </w:t>
      </w:r>
      <w:r w:rsidR="00E00F6E" w:rsidRPr="003472DA">
        <w:rPr>
          <w:szCs w:val="26"/>
        </w:rPr>
        <w:t>PENNSYLVANIA</w:t>
      </w:r>
    </w:p>
    <w:p w14:paraId="6D806DC5" w14:textId="77777777" w:rsidR="00E00F6E" w:rsidRPr="003472DA" w:rsidRDefault="00E00F6E" w:rsidP="00330C0A">
      <w:pPr>
        <w:jc w:val="center"/>
        <w:rPr>
          <w:b/>
          <w:szCs w:val="26"/>
        </w:rPr>
      </w:pPr>
      <w:r w:rsidRPr="003472DA">
        <w:rPr>
          <w:b/>
          <w:szCs w:val="26"/>
        </w:rPr>
        <w:t>PUBLIC UTILITY COMMISSION</w:t>
      </w:r>
    </w:p>
    <w:p w14:paraId="73000969" w14:textId="77777777" w:rsidR="00E00F6E" w:rsidRPr="003472DA" w:rsidRDefault="00E00F6E" w:rsidP="00330C0A">
      <w:pPr>
        <w:pStyle w:val="Heading1"/>
        <w:rPr>
          <w:szCs w:val="26"/>
        </w:rPr>
      </w:pPr>
      <w:r w:rsidRPr="003472DA">
        <w:rPr>
          <w:szCs w:val="26"/>
        </w:rPr>
        <w:t>Harrisburg PA 17105-3265</w:t>
      </w:r>
    </w:p>
    <w:p w14:paraId="6376023F" w14:textId="77777777" w:rsidR="00E00F6E" w:rsidRPr="003472DA" w:rsidRDefault="00E00F6E" w:rsidP="00330C0A">
      <w:pPr>
        <w:jc w:val="center"/>
        <w:rPr>
          <w:szCs w:val="26"/>
        </w:rPr>
      </w:pPr>
    </w:p>
    <w:p w14:paraId="41410387" w14:textId="2EF510EE" w:rsidR="00E00F6E" w:rsidRPr="003472DA" w:rsidRDefault="00946632" w:rsidP="00330C0A">
      <w:pPr>
        <w:jc w:val="right"/>
        <w:rPr>
          <w:szCs w:val="26"/>
        </w:rPr>
      </w:pPr>
      <w:r>
        <w:rPr>
          <w:szCs w:val="26"/>
        </w:rPr>
        <w:t>P</w:t>
      </w:r>
      <w:r w:rsidR="00E00F6E" w:rsidRPr="003472DA">
        <w:rPr>
          <w:szCs w:val="26"/>
        </w:rPr>
        <w:t xml:space="preserve">ublic Meeting held </w:t>
      </w:r>
      <w:r w:rsidR="000054BB">
        <w:rPr>
          <w:szCs w:val="26"/>
        </w:rPr>
        <w:t>February</w:t>
      </w:r>
      <w:r w:rsidR="005A77E7">
        <w:rPr>
          <w:szCs w:val="26"/>
        </w:rPr>
        <w:t xml:space="preserve"> </w:t>
      </w:r>
      <w:r w:rsidR="000054BB">
        <w:rPr>
          <w:szCs w:val="26"/>
        </w:rPr>
        <w:t>2</w:t>
      </w:r>
      <w:r w:rsidR="005A77E7">
        <w:rPr>
          <w:szCs w:val="26"/>
        </w:rPr>
        <w:t>8,</w:t>
      </w:r>
      <w:r w:rsidR="00764FDB">
        <w:rPr>
          <w:szCs w:val="26"/>
        </w:rPr>
        <w:t xml:space="preserve"> 201</w:t>
      </w:r>
      <w:r w:rsidR="000054BB">
        <w:rPr>
          <w:szCs w:val="26"/>
        </w:rPr>
        <w:t>9</w:t>
      </w:r>
    </w:p>
    <w:p w14:paraId="7631274F" w14:textId="77777777" w:rsidR="00E00F6E" w:rsidRPr="003472DA" w:rsidRDefault="00E00F6E" w:rsidP="00330C0A">
      <w:pPr>
        <w:rPr>
          <w:szCs w:val="26"/>
        </w:rPr>
      </w:pPr>
    </w:p>
    <w:p w14:paraId="56BDF6A9" w14:textId="77777777" w:rsidR="00E00F6E" w:rsidRPr="003472DA" w:rsidRDefault="00E00F6E" w:rsidP="00330C0A">
      <w:pPr>
        <w:rPr>
          <w:szCs w:val="26"/>
        </w:rPr>
      </w:pPr>
      <w:r w:rsidRPr="003472DA">
        <w:rPr>
          <w:szCs w:val="26"/>
        </w:rPr>
        <w:t>Commissioners Present:</w:t>
      </w:r>
    </w:p>
    <w:p w14:paraId="50ACA010" w14:textId="77777777" w:rsidR="00E00F6E" w:rsidRPr="003472DA" w:rsidRDefault="00E00F6E" w:rsidP="00330C0A">
      <w:pPr>
        <w:rPr>
          <w:szCs w:val="26"/>
        </w:rPr>
      </w:pPr>
    </w:p>
    <w:p w14:paraId="09856A85" w14:textId="77777777" w:rsidR="000054BB" w:rsidRPr="003F7EE6" w:rsidRDefault="000054BB" w:rsidP="00330C0A">
      <w:pPr>
        <w:tabs>
          <w:tab w:val="left" w:pos="-720"/>
        </w:tabs>
        <w:suppressAutoHyphens/>
        <w:rPr>
          <w:szCs w:val="26"/>
        </w:rPr>
      </w:pPr>
      <w:r>
        <w:rPr>
          <w:szCs w:val="26"/>
        </w:rPr>
        <w:tab/>
      </w:r>
      <w:r w:rsidRPr="003F7EE6">
        <w:rPr>
          <w:szCs w:val="26"/>
        </w:rPr>
        <w:t>Gladys M. Brown, Chairman</w:t>
      </w:r>
    </w:p>
    <w:p w14:paraId="5E542896" w14:textId="77777777" w:rsidR="000054BB" w:rsidRPr="00F63AE5" w:rsidRDefault="000054BB" w:rsidP="00330C0A">
      <w:pPr>
        <w:tabs>
          <w:tab w:val="left" w:pos="-720"/>
        </w:tabs>
        <w:suppressAutoHyphens/>
        <w:rPr>
          <w:szCs w:val="26"/>
        </w:rPr>
      </w:pPr>
      <w:r>
        <w:rPr>
          <w:szCs w:val="26"/>
        </w:rPr>
        <w:tab/>
      </w:r>
      <w:r w:rsidRPr="00F63AE5">
        <w:rPr>
          <w:szCs w:val="26"/>
        </w:rPr>
        <w:t>David W. Sweet, Vice Chairman</w:t>
      </w:r>
    </w:p>
    <w:p w14:paraId="5DA5EC24" w14:textId="77777777" w:rsidR="000054BB" w:rsidRPr="00F63AE5" w:rsidRDefault="000054BB" w:rsidP="00330C0A">
      <w:pPr>
        <w:tabs>
          <w:tab w:val="left" w:pos="-720"/>
        </w:tabs>
        <w:suppressAutoHyphens/>
        <w:rPr>
          <w:szCs w:val="26"/>
        </w:rPr>
      </w:pPr>
      <w:r>
        <w:rPr>
          <w:szCs w:val="26"/>
        </w:rPr>
        <w:tab/>
      </w:r>
      <w:r w:rsidRPr="00F63AE5">
        <w:rPr>
          <w:szCs w:val="26"/>
        </w:rPr>
        <w:t>Norman J. Kennard</w:t>
      </w:r>
    </w:p>
    <w:p w14:paraId="4160FF43" w14:textId="77777777" w:rsidR="000054BB" w:rsidRPr="00F63AE5" w:rsidRDefault="000054BB" w:rsidP="00330C0A">
      <w:pPr>
        <w:tabs>
          <w:tab w:val="left" w:pos="-720"/>
        </w:tabs>
        <w:suppressAutoHyphens/>
        <w:rPr>
          <w:szCs w:val="26"/>
        </w:rPr>
      </w:pPr>
      <w:r>
        <w:rPr>
          <w:szCs w:val="26"/>
        </w:rPr>
        <w:tab/>
      </w:r>
      <w:r w:rsidRPr="00F63AE5">
        <w:rPr>
          <w:szCs w:val="26"/>
        </w:rPr>
        <w:t>Andrew G. Place</w:t>
      </w:r>
    </w:p>
    <w:p w14:paraId="412D938B" w14:textId="77777777" w:rsidR="000054BB" w:rsidRDefault="000054BB" w:rsidP="00330C0A">
      <w:pPr>
        <w:tabs>
          <w:tab w:val="left" w:pos="-720"/>
        </w:tabs>
        <w:suppressAutoHyphens/>
        <w:rPr>
          <w:szCs w:val="26"/>
        </w:rPr>
      </w:pPr>
      <w:r w:rsidRPr="00F63AE5">
        <w:rPr>
          <w:szCs w:val="26"/>
        </w:rPr>
        <w:tab/>
        <w:t>John F. Coleman, Jr</w:t>
      </w:r>
      <w:r w:rsidRPr="003F7EE6">
        <w:rPr>
          <w:szCs w:val="26"/>
        </w:rPr>
        <w:t>.</w:t>
      </w:r>
    </w:p>
    <w:p w14:paraId="61F13B71" w14:textId="6F60C277" w:rsidR="00F8568A" w:rsidRDefault="00F8568A" w:rsidP="00330C0A">
      <w:pPr>
        <w:rPr>
          <w:szCs w:val="26"/>
        </w:rPr>
      </w:pPr>
    </w:p>
    <w:p w14:paraId="6E114D68" w14:textId="28D38A7D" w:rsidR="00F8568A" w:rsidRDefault="00F8568A" w:rsidP="00330C0A">
      <w:pPr>
        <w:rPr>
          <w:szCs w:val="26"/>
        </w:rPr>
      </w:pPr>
    </w:p>
    <w:p w14:paraId="5674B30D" w14:textId="77777777" w:rsidR="00F8568A" w:rsidRDefault="00F8568A" w:rsidP="00330C0A">
      <w:pPr>
        <w:rPr>
          <w:szCs w:val="26"/>
        </w:rPr>
      </w:pPr>
    </w:p>
    <w:p w14:paraId="7E823A22" w14:textId="586F79E3" w:rsidR="00F8568A" w:rsidRDefault="00F8568A" w:rsidP="00330C0A">
      <w:pPr>
        <w:rPr>
          <w:szCs w:val="26"/>
        </w:rPr>
      </w:pPr>
      <w:r>
        <w:rPr>
          <w:szCs w:val="26"/>
        </w:rPr>
        <w:t>Shawn Mathis</w:t>
      </w:r>
      <w:r>
        <w:rPr>
          <w:szCs w:val="26"/>
        </w:rPr>
        <w:tab/>
      </w:r>
      <w:r>
        <w:rPr>
          <w:szCs w:val="26"/>
        </w:rPr>
        <w:tab/>
      </w:r>
      <w:r>
        <w:rPr>
          <w:szCs w:val="26"/>
        </w:rPr>
        <w:tab/>
      </w:r>
      <w:r>
        <w:rPr>
          <w:szCs w:val="26"/>
        </w:rPr>
        <w:tab/>
      </w:r>
      <w:r>
        <w:rPr>
          <w:szCs w:val="26"/>
        </w:rPr>
        <w:tab/>
      </w:r>
      <w:r>
        <w:rPr>
          <w:szCs w:val="26"/>
        </w:rPr>
        <w:tab/>
      </w:r>
      <w:r>
        <w:rPr>
          <w:szCs w:val="26"/>
        </w:rPr>
        <w:tab/>
      </w:r>
      <w:r>
        <w:rPr>
          <w:szCs w:val="26"/>
        </w:rPr>
        <w:tab/>
      </w:r>
      <w:r w:rsidR="00BF279B">
        <w:rPr>
          <w:szCs w:val="26"/>
        </w:rPr>
        <w:t xml:space="preserve"> </w:t>
      </w:r>
      <w:r>
        <w:rPr>
          <w:szCs w:val="26"/>
        </w:rPr>
        <w:t xml:space="preserve">  C-2018-3001616</w:t>
      </w:r>
    </w:p>
    <w:p w14:paraId="64FD339E" w14:textId="77777777" w:rsidR="00F8568A" w:rsidRDefault="00F8568A" w:rsidP="00330C0A">
      <w:pPr>
        <w:rPr>
          <w:szCs w:val="26"/>
        </w:rPr>
      </w:pPr>
    </w:p>
    <w:p w14:paraId="60B22B9C" w14:textId="0C8C5F5C" w:rsidR="00F8568A" w:rsidRDefault="00BF279B" w:rsidP="00330C0A">
      <w:pPr>
        <w:rPr>
          <w:szCs w:val="26"/>
        </w:rPr>
      </w:pPr>
      <w:r>
        <w:rPr>
          <w:szCs w:val="26"/>
        </w:rPr>
        <w:t xml:space="preserve">             </w:t>
      </w:r>
      <w:r w:rsidR="00F8568A">
        <w:rPr>
          <w:szCs w:val="26"/>
        </w:rPr>
        <w:t>v.</w:t>
      </w:r>
    </w:p>
    <w:p w14:paraId="2E3FD923" w14:textId="77777777" w:rsidR="00F8568A" w:rsidRDefault="00F8568A" w:rsidP="00330C0A">
      <w:pPr>
        <w:rPr>
          <w:szCs w:val="26"/>
        </w:rPr>
      </w:pPr>
    </w:p>
    <w:p w14:paraId="36028AE4" w14:textId="79E8FA46" w:rsidR="00F8568A" w:rsidRDefault="00F8568A" w:rsidP="00330C0A">
      <w:pPr>
        <w:rPr>
          <w:szCs w:val="26"/>
        </w:rPr>
      </w:pPr>
      <w:r>
        <w:rPr>
          <w:szCs w:val="26"/>
        </w:rPr>
        <w:t>PECO Energy Company</w:t>
      </w:r>
    </w:p>
    <w:p w14:paraId="326B8E8A" w14:textId="63480099" w:rsidR="00F8568A" w:rsidRDefault="00F8568A" w:rsidP="00330C0A">
      <w:pPr>
        <w:ind w:firstLine="720"/>
        <w:rPr>
          <w:szCs w:val="26"/>
        </w:rPr>
      </w:pPr>
    </w:p>
    <w:p w14:paraId="6B3A9E2A" w14:textId="426DEA83" w:rsidR="00E00F6E" w:rsidRPr="003472DA" w:rsidRDefault="00E00F6E" w:rsidP="00330C0A">
      <w:pPr>
        <w:pStyle w:val="Heading2"/>
        <w:spacing w:after="240"/>
        <w:rPr>
          <w:sz w:val="26"/>
          <w:szCs w:val="26"/>
        </w:rPr>
      </w:pPr>
      <w:r>
        <w:rPr>
          <w:sz w:val="26"/>
          <w:szCs w:val="26"/>
        </w:rPr>
        <w:t xml:space="preserve">OPINION AND </w:t>
      </w:r>
      <w:r w:rsidRPr="003472DA">
        <w:rPr>
          <w:sz w:val="26"/>
          <w:szCs w:val="26"/>
        </w:rPr>
        <w:t>ORDER</w:t>
      </w:r>
    </w:p>
    <w:p w14:paraId="42D2A313" w14:textId="77777777" w:rsidR="00E00F6E" w:rsidRPr="003472DA" w:rsidRDefault="00E00F6E" w:rsidP="00330C0A">
      <w:pPr>
        <w:spacing w:line="360" w:lineRule="auto"/>
        <w:rPr>
          <w:b/>
          <w:szCs w:val="26"/>
        </w:rPr>
      </w:pPr>
    </w:p>
    <w:p w14:paraId="25C6E672" w14:textId="77777777" w:rsidR="00E00F6E" w:rsidRPr="003472DA" w:rsidRDefault="00E00F6E" w:rsidP="00330C0A">
      <w:pPr>
        <w:spacing w:line="360" w:lineRule="auto"/>
        <w:rPr>
          <w:b/>
          <w:szCs w:val="26"/>
        </w:rPr>
      </w:pPr>
      <w:r w:rsidRPr="003472DA">
        <w:rPr>
          <w:b/>
          <w:szCs w:val="26"/>
        </w:rPr>
        <w:t>BY THE COMMISSION:</w:t>
      </w:r>
    </w:p>
    <w:p w14:paraId="5A837562" w14:textId="77777777" w:rsidR="00616C9B" w:rsidRDefault="00616C9B" w:rsidP="00330C0A"/>
    <w:p w14:paraId="003B25DE" w14:textId="22FBB7FA" w:rsidR="009E7364" w:rsidRPr="00F600E3" w:rsidRDefault="00571F5C" w:rsidP="00330C0A">
      <w:pPr>
        <w:spacing w:line="360" w:lineRule="auto"/>
        <w:ind w:firstLine="1440"/>
        <w:rPr>
          <w:szCs w:val="26"/>
        </w:rPr>
      </w:pPr>
      <w:r w:rsidRPr="00571F5C">
        <w:rPr>
          <w:szCs w:val="26"/>
        </w:rPr>
        <w:t xml:space="preserve">Before the Pennsylvania Public Utility Commission (Commission) for consideration and disposition </w:t>
      </w:r>
      <w:r w:rsidR="00611B06">
        <w:rPr>
          <w:szCs w:val="26"/>
        </w:rPr>
        <w:t xml:space="preserve">are the Exceptions of </w:t>
      </w:r>
      <w:r w:rsidR="000054BB">
        <w:rPr>
          <w:szCs w:val="26"/>
        </w:rPr>
        <w:t>Shawn Mathis</w:t>
      </w:r>
      <w:r w:rsidR="00C22285">
        <w:rPr>
          <w:szCs w:val="26"/>
        </w:rPr>
        <w:t xml:space="preserve"> (</w:t>
      </w:r>
      <w:r w:rsidR="00900A80">
        <w:rPr>
          <w:szCs w:val="26"/>
        </w:rPr>
        <w:t xml:space="preserve">the </w:t>
      </w:r>
      <w:r w:rsidR="00C22285">
        <w:rPr>
          <w:szCs w:val="26"/>
        </w:rPr>
        <w:t>Complainant</w:t>
      </w:r>
      <w:r w:rsidR="00900A80">
        <w:rPr>
          <w:szCs w:val="26"/>
        </w:rPr>
        <w:t xml:space="preserve"> or Mr.</w:t>
      </w:r>
      <w:r w:rsidR="00B74C66">
        <w:rPr>
          <w:szCs w:val="26"/>
        </w:rPr>
        <w:t> </w:t>
      </w:r>
      <w:r w:rsidR="00900A80">
        <w:rPr>
          <w:szCs w:val="26"/>
        </w:rPr>
        <w:t>Mathis</w:t>
      </w:r>
      <w:r w:rsidR="00C22285">
        <w:rPr>
          <w:szCs w:val="26"/>
        </w:rPr>
        <w:t>)</w:t>
      </w:r>
      <w:r w:rsidR="00611B06">
        <w:rPr>
          <w:szCs w:val="26"/>
        </w:rPr>
        <w:t>, filed</w:t>
      </w:r>
      <w:r w:rsidR="007F5118">
        <w:rPr>
          <w:szCs w:val="26"/>
        </w:rPr>
        <w:t xml:space="preserve"> </w:t>
      </w:r>
      <w:r w:rsidRPr="00571F5C">
        <w:rPr>
          <w:szCs w:val="26"/>
        </w:rPr>
        <w:t xml:space="preserve">on </w:t>
      </w:r>
      <w:r w:rsidR="000054BB">
        <w:rPr>
          <w:szCs w:val="26"/>
        </w:rPr>
        <w:t>November</w:t>
      </w:r>
      <w:r w:rsidR="000B5E9B">
        <w:rPr>
          <w:szCs w:val="26"/>
        </w:rPr>
        <w:t xml:space="preserve"> 1</w:t>
      </w:r>
      <w:r w:rsidR="000054BB">
        <w:rPr>
          <w:szCs w:val="26"/>
        </w:rPr>
        <w:t>6</w:t>
      </w:r>
      <w:r w:rsidR="000B5E9B">
        <w:rPr>
          <w:szCs w:val="26"/>
        </w:rPr>
        <w:t>, 201</w:t>
      </w:r>
      <w:r w:rsidR="000054BB">
        <w:rPr>
          <w:szCs w:val="26"/>
        </w:rPr>
        <w:t>8</w:t>
      </w:r>
      <w:r w:rsidR="00747E30">
        <w:rPr>
          <w:szCs w:val="26"/>
        </w:rPr>
        <w:t>,</w:t>
      </w:r>
      <w:r w:rsidR="008F7A43">
        <w:rPr>
          <w:szCs w:val="26"/>
        </w:rPr>
        <w:t xml:space="preserve"> </w:t>
      </w:r>
      <w:r w:rsidR="007F5118">
        <w:rPr>
          <w:szCs w:val="26"/>
        </w:rPr>
        <w:t>t</w:t>
      </w:r>
      <w:r w:rsidR="008F7A43">
        <w:rPr>
          <w:szCs w:val="26"/>
        </w:rPr>
        <w:t xml:space="preserve">o the </w:t>
      </w:r>
      <w:r w:rsidR="00DB7CBC">
        <w:rPr>
          <w:szCs w:val="26"/>
        </w:rPr>
        <w:t>Initial Decision</w:t>
      </w:r>
      <w:r w:rsidR="006F3418">
        <w:rPr>
          <w:szCs w:val="26"/>
        </w:rPr>
        <w:t xml:space="preserve"> </w:t>
      </w:r>
      <w:r w:rsidR="00C55576">
        <w:rPr>
          <w:szCs w:val="26"/>
        </w:rPr>
        <w:t xml:space="preserve">(I.D.) of Administrative Law Judge (ALJ) </w:t>
      </w:r>
      <w:r w:rsidR="000054BB">
        <w:rPr>
          <w:szCs w:val="26"/>
        </w:rPr>
        <w:t>F.</w:t>
      </w:r>
      <w:r w:rsidR="000B5E9B">
        <w:rPr>
          <w:szCs w:val="26"/>
        </w:rPr>
        <w:t xml:space="preserve"> </w:t>
      </w:r>
      <w:r w:rsidR="000054BB">
        <w:rPr>
          <w:szCs w:val="26"/>
        </w:rPr>
        <w:t>Joseph Brady</w:t>
      </w:r>
      <w:r w:rsidR="000B5E9B">
        <w:rPr>
          <w:szCs w:val="26"/>
        </w:rPr>
        <w:t>,</w:t>
      </w:r>
      <w:r w:rsidR="008F7A43">
        <w:rPr>
          <w:szCs w:val="26"/>
        </w:rPr>
        <w:t xml:space="preserve"> </w:t>
      </w:r>
      <w:r w:rsidR="00C55576">
        <w:rPr>
          <w:szCs w:val="26"/>
        </w:rPr>
        <w:t>issued</w:t>
      </w:r>
      <w:r w:rsidR="008F7A43">
        <w:rPr>
          <w:szCs w:val="26"/>
        </w:rPr>
        <w:t xml:space="preserve"> </w:t>
      </w:r>
      <w:r w:rsidR="000B5E9B">
        <w:rPr>
          <w:szCs w:val="26"/>
        </w:rPr>
        <w:t xml:space="preserve">on </w:t>
      </w:r>
      <w:r w:rsidR="000054BB">
        <w:rPr>
          <w:szCs w:val="26"/>
        </w:rPr>
        <w:t>November</w:t>
      </w:r>
      <w:r w:rsidR="000B5E9B">
        <w:rPr>
          <w:szCs w:val="26"/>
        </w:rPr>
        <w:t xml:space="preserve"> 2, 201</w:t>
      </w:r>
      <w:r w:rsidR="000054BB">
        <w:rPr>
          <w:szCs w:val="26"/>
        </w:rPr>
        <w:t>8</w:t>
      </w:r>
      <w:r w:rsidR="00101D54">
        <w:rPr>
          <w:szCs w:val="26"/>
        </w:rPr>
        <w:t xml:space="preserve">, </w:t>
      </w:r>
      <w:r w:rsidR="00D86CE6">
        <w:rPr>
          <w:szCs w:val="26"/>
        </w:rPr>
        <w:t>which dismissed, with prejudice, Mr. Mathis’</w:t>
      </w:r>
      <w:r w:rsidR="00900A80">
        <w:rPr>
          <w:szCs w:val="26"/>
        </w:rPr>
        <w:t xml:space="preserve"> </w:t>
      </w:r>
      <w:r w:rsidR="00215565">
        <w:rPr>
          <w:szCs w:val="26"/>
        </w:rPr>
        <w:t xml:space="preserve">Formal Complaint (Complaint) against </w:t>
      </w:r>
      <w:r w:rsidR="006814B0">
        <w:rPr>
          <w:szCs w:val="26"/>
        </w:rPr>
        <w:t>P</w:t>
      </w:r>
      <w:r w:rsidR="000B5E9B">
        <w:rPr>
          <w:szCs w:val="26"/>
        </w:rPr>
        <w:t>ECO Energy Company (PECO</w:t>
      </w:r>
      <w:r w:rsidR="00215565">
        <w:rPr>
          <w:szCs w:val="26"/>
        </w:rPr>
        <w:t xml:space="preserve"> or Company</w:t>
      </w:r>
      <w:r w:rsidR="006814B0">
        <w:rPr>
          <w:szCs w:val="26"/>
        </w:rPr>
        <w:t>)</w:t>
      </w:r>
      <w:r w:rsidR="00215565">
        <w:rPr>
          <w:szCs w:val="26"/>
        </w:rPr>
        <w:t xml:space="preserve">.  PECO </w:t>
      </w:r>
      <w:r w:rsidR="006814B0">
        <w:rPr>
          <w:szCs w:val="26"/>
        </w:rPr>
        <w:t xml:space="preserve">filed </w:t>
      </w:r>
      <w:r w:rsidR="00170C7D">
        <w:rPr>
          <w:szCs w:val="26"/>
        </w:rPr>
        <w:t xml:space="preserve">Replies to Exceptions </w:t>
      </w:r>
      <w:r w:rsidR="006814B0">
        <w:rPr>
          <w:szCs w:val="26"/>
        </w:rPr>
        <w:t xml:space="preserve">on </w:t>
      </w:r>
      <w:r w:rsidR="000054BB">
        <w:rPr>
          <w:szCs w:val="26"/>
        </w:rPr>
        <w:t>November</w:t>
      </w:r>
      <w:r w:rsidR="000B5E9B">
        <w:rPr>
          <w:szCs w:val="26"/>
        </w:rPr>
        <w:t xml:space="preserve"> 2</w:t>
      </w:r>
      <w:r w:rsidR="000054BB">
        <w:rPr>
          <w:szCs w:val="26"/>
        </w:rPr>
        <w:t>8</w:t>
      </w:r>
      <w:r w:rsidR="006814B0">
        <w:rPr>
          <w:szCs w:val="26"/>
        </w:rPr>
        <w:t>, 201</w:t>
      </w:r>
      <w:r w:rsidR="000054BB">
        <w:rPr>
          <w:szCs w:val="26"/>
        </w:rPr>
        <w:t>8</w:t>
      </w:r>
      <w:r w:rsidRPr="00571F5C">
        <w:rPr>
          <w:szCs w:val="26"/>
        </w:rPr>
        <w:t>.</w:t>
      </w:r>
      <w:r w:rsidR="00D76068">
        <w:rPr>
          <w:szCs w:val="26"/>
        </w:rPr>
        <w:t xml:space="preserve">  </w:t>
      </w:r>
      <w:r w:rsidR="00D76068" w:rsidRPr="00964EB1">
        <w:rPr>
          <w:szCs w:val="26"/>
        </w:rPr>
        <w:t xml:space="preserve">For the reasons set forth </w:t>
      </w:r>
      <w:r w:rsidR="00215565">
        <w:rPr>
          <w:szCs w:val="26"/>
        </w:rPr>
        <w:t>below</w:t>
      </w:r>
      <w:r w:rsidR="00D76068" w:rsidRPr="00964EB1">
        <w:rPr>
          <w:szCs w:val="26"/>
        </w:rPr>
        <w:t>, we shall</w:t>
      </w:r>
      <w:r w:rsidR="003C55F4" w:rsidRPr="00964EB1">
        <w:rPr>
          <w:szCs w:val="26"/>
        </w:rPr>
        <w:t xml:space="preserve"> </w:t>
      </w:r>
      <w:r w:rsidR="00215565">
        <w:rPr>
          <w:szCs w:val="26"/>
        </w:rPr>
        <w:t>deny the Exceptions, a</w:t>
      </w:r>
      <w:r w:rsidR="00900A80">
        <w:rPr>
          <w:szCs w:val="26"/>
        </w:rPr>
        <w:t>dopt</w:t>
      </w:r>
      <w:r w:rsidR="00215565">
        <w:rPr>
          <w:szCs w:val="26"/>
        </w:rPr>
        <w:t xml:space="preserve"> the Initial Decision and dismiss</w:t>
      </w:r>
      <w:r w:rsidR="000A6448">
        <w:rPr>
          <w:szCs w:val="26"/>
        </w:rPr>
        <w:t xml:space="preserve">, </w:t>
      </w:r>
      <w:r w:rsidR="00215565" w:rsidRPr="003A3246">
        <w:rPr>
          <w:szCs w:val="26"/>
        </w:rPr>
        <w:t xml:space="preserve">with </w:t>
      </w:r>
      <w:r w:rsidR="00D86CE6">
        <w:rPr>
          <w:szCs w:val="26"/>
        </w:rPr>
        <w:t>p</w:t>
      </w:r>
      <w:r w:rsidR="00215565" w:rsidRPr="003A3246">
        <w:rPr>
          <w:szCs w:val="26"/>
        </w:rPr>
        <w:t>rejudice</w:t>
      </w:r>
      <w:r w:rsidR="00215565">
        <w:rPr>
          <w:szCs w:val="26"/>
        </w:rPr>
        <w:t>, the Complaint</w:t>
      </w:r>
      <w:r w:rsidR="00964EB1" w:rsidRPr="00F600E3">
        <w:rPr>
          <w:szCs w:val="26"/>
        </w:rPr>
        <w:t xml:space="preserve">.  </w:t>
      </w:r>
    </w:p>
    <w:p w14:paraId="78287363" w14:textId="10215C42" w:rsidR="003C55F4" w:rsidRPr="00964EB1" w:rsidRDefault="003C55F4" w:rsidP="00330C0A">
      <w:pPr>
        <w:spacing w:line="360" w:lineRule="auto"/>
        <w:rPr>
          <w:szCs w:val="26"/>
        </w:rPr>
      </w:pPr>
    </w:p>
    <w:p w14:paraId="15BA707C" w14:textId="77777777" w:rsidR="00524BED" w:rsidRDefault="00524BED" w:rsidP="00330C0A">
      <w:pPr>
        <w:keepNext/>
        <w:keepLines/>
        <w:spacing w:line="360" w:lineRule="auto"/>
        <w:ind w:left="720" w:hanging="720"/>
        <w:jc w:val="center"/>
        <w:rPr>
          <w:b/>
          <w:szCs w:val="26"/>
        </w:rPr>
      </w:pPr>
      <w:r>
        <w:rPr>
          <w:b/>
          <w:szCs w:val="26"/>
        </w:rPr>
        <w:lastRenderedPageBreak/>
        <w:t>History of the Proceeding</w:t>
      </w:r>
    </w:p>
    <w:p w14:paraId="2C79FC0C" w14:textId="77777777" w:rsidR="00567496" w:rsidRDefault="00567496" w:rsidP="00330C0A">
      <w:pPr>
        <w:keepNext/>
        <w:keepLines/>
        <w:spacing w:line="360" w:lineRule="auto"/>
        <w:rPr>
          <w:szCs w:val="26"/>
        </w:rPr>
      </w:pPr>
    </w:p>
    <w:p w14:paraId="5EC71846" w14:textId="3E27904D" w:rsidR="00E72B7F" w:rsidRPr="007120F0" w:rsidRDefault="00E72B7F" w:rsidP="00330C0A">
      <w:pPr>
        <w:pStyle w:val="BodyText"/>
        <w:tabs>
          <w:tab w:val="left" w:pos="0"/>
        </w:tabs>
        <w:spacing w:after="0" w:line="360" w:lineRule="auto"/>
        <w:rPr>
          <w:b/>
          <w:szCs w:val="24"/>
        </w:rPr>
      </w:pPr>
      <w:r>
        <w:rPr>
          <w:szCs w:val="24"/>
        </w:rPr>
        <w:tab/>
      </w:r>
      <w:r>
        <w:rPr>
          <w:szCs w:val="24"/>
        </w:rPr>
        <w:tab/>
      </w:r>
      <w:r w:rsidRPr="00ED180F">
        <w:rPr>
          <w:szCs w:val="24"/>
        </w:rPr>
        <w:t>On A</w:t>
      </w:r>
      <w:r w:rsidR="000054BB">
        <w:rPr>
          <w:szCs w:val="24"/>
        </w:rPr>
        <w:t>pril</w:t>
      </w:r>
      <w:r w:rsidRPr="00ED180F">
        <w:rPr>
          <w:szCs w:val="24"/>
        </w:rPr>
        <w:t xml:space="preserve"> </w:t>
      </w:r>
      <w:r w:rsidR="000054BB">
        <w:rPr>
          <w:szCs w:val="24"/>
        </w:rPr>
        <w:t>30</w:t>
      </w:r>
      <w:r>
        <w:rPr>
          <w:szCs w:val="24"/>
        </w:rPr>
        <w:t>, 201</w:t>
      </w:r>
      <w:r w:rsidR="000054BB">
        <w:rPr>
          <w:szCs w:val="24"/>
        </w:rPr>
        <w:t>8</w:t>
      </w:r>
      <w:r>
        <w:rPr>
          <w:szCs w:val="24"/>
        </w:rPr>
        <w:t xml:space="preserve">, </w:t>
      </w:r>
      <w:r w:rsidR="00215565">
        <w:rPr>
          <w:szCs w:val="24"/>
        </w:rPr>
        <w:t>Mr. Mathis</w:t>
      </w:r>
      <w:r>
        <w:rPr>
          <w:szCs w:val="24"/>
        </w:rPr>
        <w:t xml:space="preserve"> </w:t>
      </w:r>
      <w:r w:rsidRPr="00ED180F">
        <w:rPr>
          <w:szCs w:val="24"/>
        </w:rPr>
        <w:t xml:space="preserve">filed </w:t>
      </w:r>
      <w:r w:rsidR="00215565">
        <w:rPr>
          <w:szCs w:val="24"/>
        </w:rPr>
        <w:t xml:space="preserve">the instant </w:t>
      </w:r>
      <w:r w:rsidR="003A2EBC">
        <w:rPr>
          <w:szCs w:val="24"/>
        </w:rPr>
        <w:t>C</w:t>
      </w:r>
      <w:r w:rsidRPr="00ED180F">
        <w:rPr>
          <w:szCs w:val="24"/>
        </w:rPr>
        <w:t>omplaint</w:t>
      </w:r>
      <w:r w:rsidR="00D45494">
        <w:rPr>
          <w:rStyle w:val="FootnoteReference"/>
          <w:szCs w:val="24"/>
        </w:rPr>
        <w:footnoteReference w:id="1"/>
      </w:r>
      <w:r w:rsidRPr="00ED180F">
        <w:rPr>
          <w:szCs w:val="24"/>
        </w:rPr>
        <w:t xml:space="preserve"> against PECO</w:t>
      </w:r>
      <w:r w:rsidR="003A2EBC">
        <w:rPr>
          <w:szCs w:val="24"/>
        </w:rPr>
        <w:t>,</w:t>
      </w:r>
      <w:r w:rsidRPr="00ED180F">
        <w:rPr>
          <w:szCs w:val="24"/>
        </w:rPr>
        <w:t xml:space="preserve"> alleging</w:t>
      </w:r>
      <w:r w:rsidR="003A2EBC">
        <w:rPr>
          <w:szCs w:val="24"/>
        </w:rPr>
        <w:t xml:space="preserve">, </w:t>
      </w:r>
      <w:r w:rsidR="003A2EBC" w:rsidRPr="003A2EBC">
        <w:rPr>
          <w:i/>
          <w:szCs w:val="24"/>
        </w:rPr>
        <w:t>inter alia</w:t>
      </w:r>
      <w:r w:rsidR="003A2EBC">
        <w:rPr>
          <w:szCs w:val="24"/>
        </w:rPr>
        <w:t>, the following</w:t>
      </w:r>
      <w:r w:rsidRPr="00ED180F">
        <w:rPr>
          <w:szCs w:val="24"/>
        </w:rPr>
        <w:t xml:space="preserve">: that </w:t>
      </w:r>
      <w:r w:rsidR="0070665F">
        <w:rPr>
          <w:szCs w:val="24"/>
        </w:rPr>
        <w:t>PECO</w:t>
      </w:r>
      <w:r w:rsidRPr="00ED180F">
        <w:rPr>
          <w:szCs w:val="24"/>
        </w:rPr>
        <w:t xml:space="preserve"> </w:t>
      </w:r>
      <w:r w:rsidR="003A2EBC">
        <w:rPr>
          <w:szCs w:val="24"/>
        </w:rPr>
        <w:t>was</w:t>
      </w:r>
      <w:r w:rsidRPr="00ED180F">
        <w:rPr>
          <w:szCs w:val="24"/>
        </w:rPr>
        <w:t xml:space="preserve"> threatening to shut off his service; that </w:t>
      </w:r>
      <w:r w:rsidR="003A2EBC">
        <w:rPr>
          <w:szCs w:val="24"/>
        </w:rPr>
        <w:t>he would like a new payment arrangement, a</w:t>
      </w:r>
      <w:r w:rsidR="00E57DB6">
        <w:rPr>
          <w:szCs w:val="24"/>
        </w:rPr>
        <w:t xml:space="preserve">nd </w:t>
      </w:r>
      <w:r w:rsidR="00D45494">
        <w:rPr>
          <w:szCs w:val="24"/>
        </w:rPr>
        <w:t>that he believed his meter ha</w:t>
      </w:r>
      <w:r w:rsidR="00D86CE6">
        <w:rPr>
          <w:szCs w:val="24"/>
        </w:rPr>
        <w:t>d</w:t>
      </w:r>
      <w:r w:rsidR="00D45494">
        <w:rPr>
          <w:szCs w:val="24"/>
        </w:rPr>
        <w:t xml:space="preserve"> </w:t>
      </w:r>
      <w:r w:rsidR="00E57DB6">
        <w:rPr>
          <w:szCs w:val="24"/>
        </w:rPr>
        <w:t>foreign</w:t>
      </w:r>
      <w:r w:rsidR="00D45494">
        <w:rPr>
          <w:szCs w:val="24"/>
        </w:rPr>
        <w:t xml:space="preserve"> wiring attached to it</w:t>
      </w:r>
      <w:r w:rsidRPr="00ED180F">
        <w:rPr>
          <w:szCs w:val="24"/>
        </w:rPr>
        <w:t>.</w:t>
      </w:r>
      <w:r w:rsidR="005E7B4F">
        <w:rPr>
          <w:szCs w:val="24"/>
        </w:rPr>
        <w:t xml:space="preserve">  </w:t>
      </w:r>
    </w:p>
    <w:p w14:paraId="16FB0CF3" w14:textId="77777777" w:rsidR="00E72B7F" w:rsidRPr="00ED180F" w:rsidRDefault="00E72B7F" w:rsidP="00330C0A">
      <w:pPr>
        <w:pStyle w:val="BodyText"/>
        <w:tabs>
          <w:tab w:val="left" w:pos="0"/>
        </w:tabs>
        <w:spacing w:after="0" w:line="360" w:lineRule="auto"/>
        <w:rPr>
          <w:szCs w:val="24"/>
        </w:rPr>
      </w:pPr>
    </w:p>
    <w:p w14:paraId="382C7FC0" w14:textId="5CB5A1B6" w:rsidR="00E72B7F" w:rsidRPr="00D45494" w:rsidRDefault="00E72B7F" w:rsidP="00330C0A">
      <w:pPr>
        <w:pStyle w:val="BodyText"/>
        <w:tabs>
          <w:tab w:val="left" w:pos="0"/>
        </w:tabs>
        <w:spacing w:after="0" w:line="360" w:lineRule="auto"/>
        <w:rPr>
          <w:szCs w:val="26"/>
        </w:rPr>
      </w:pPr>
      <w:r w:rsidRPr="00ED180F">
        <w:rPr>
          <w:szCs w:val="24"/>
        </w:rPr>
        <w:tab/>
      </w:r>
      <w:r w:rsidRPr="00ED180F">
        <w:rPr>
          <w:szCs w:val="24"/>
        </w:rPr>
        <w:tab/>
      </w:r>
      <w:r w:rsidR="00215565">
        <w:rPr>
          <w:szCs w:val="24"/>
        </w:rPr>
        <w:t>The Company filed an Answer o</w:t>
      </w:r>
      <w:r w:rsidRPr="00ED180F">
        <w:rPr>
          <w:szCs w:val="24"/>
        </w:rPr>
        <w:t xml:space="preserve">n </w:t>
      </w:r>
      <w:r w:rsidR="00D45494">
        <w:rPr>
          <w:szCs w:val="24"/>
        </w:rPr>
        <w:t>May</w:t>
      </w:r>
      <w:r w:rsidRPr="00ED180F">
        <w:rPr>
          <w:szCs w:val="24"/>
        </w:rPr>
        <w:t xml:space="preserve"> 22, 201</w:t>
      </w:r>
      <w:r w:rsidR="00D45494">
        <w:rPr>
          <w:szCs w:val="24"/>
        </w:rPr>
        <w:t>8</w:t>
      </w:r>
      <w:r w:rsidRPr="00ED180F">
        <w:rPr>
          <w:szCs w:val="24"/>
        </w:rPr>
        <w:t xml:space="preserve">, </w:t>
      </w:r>
      <w:r w:rsidR="00D45494">
        <w:rPr>
          <w:szCs w:val="24"/>
        </w:rPr>
        <w:t>in which it</w:t>
      </w:r>
      <w:r w:rsidRPr="00ED180F">
        <w:rPr>
          <w:szCs w:val="24"/>
        </w:rPr>
        <w:t xml:space="preserve"> </w:t>
      </w:r>
      <w:r w:rsidR="003A2EBC">
        <w:rPr>
          <w:szCs w:val="24"/>
        </w:rPr>
        <w:t xml:space="preserve">denied the material allegations in the Complaint.  </w:t>
      </w:r>
      <w:r w:rsidR="00204867" w:rsidRPr="0070312C">
        <w:rPr>
          <w:rFonts w:cs="CG Times"/>
          <w:szCs w:val="24"/>
        </w:rPr>
        <w:t>PECO aver</w:t>
      </w:r>
      <w:r w:rsidR="00204867">
        <w:rPr>
          <w:rFonts w:cs="CG Times"/>
          <w:szCs w:val="24"/>
        </w:rPr>
        <w:t>red</w:t>
      </w:r>
      <w:r w:rsidR="00204867" w:rsidRPr="0070312C">
        <w:rPr>
          <w:rFonts w:cs="CG Times"/>
          <w:szCs w:val="24"/>
        </w:rPr>
        <w:t xml:space="preserve"> that it investigated the Complainant’s foreign wiring concerns during a field visit on June 20, 2017</w:t>
      </w:r>
      <w:r w:rsidR="00D86CE6">
        <w:rPr>
          <w:rFonts w:cs="CG Times"/>
          <w:szCs w:val="24"/>
        </w:rPr>
        <w:t>,</w:t>
      </w:r>
      <w:r w:rsidR="00204867">
        <w:rPr>
          <w:rFonts w:cs="CG Times"/>
          <w:szCs w:val="24"/>
        </w:rPr>
        <w:t xml:space="preserve"> and</w:t>
      </w:r>
      <w:r w:rsidR="00204867" w:rsidRPr="0070312C">
        <w:rPr>
          <w:rFonts w:cs="CG Times"/>
          <w:szCs w:val="24"/>
        </w:rPr>
        <w:t xml:space="preserve"> found no issues.</w:t>
      </w:r>
      <w:r w:rsidR="00204867">
        <w:rPr>
          <w:rFonts w:cs="CG Times"/>
          <w:szCs w:val="24"/>
        </w:rPr>
        <w:t xml:space="preserve">  </w:t>
      </w:r>
      <w:r w:rsidR="0070312C" w:rsidRPr="0070312C">
        <w:rPr>
          <w:rFonts w:cs="CG Times"/>
          <w:szCs w:val="24"/>
        </w:rPr>
        <w:t xml:space="preserve">PECO </w:t>
      </w:r>
      <w:r w:rsidR="00204867">
        <w:rPr>
          <w:rFonts w:cs="CG Times"/>
          <w:szCs w:val="24"/>
        </w:rPr>
        <w:t xml:space="preserve">also </w:t>
      </w:r>
      <w:r w:rsidR="0070312C" w:rsidRPr="0070312C">
        <w:rPr>
          <w:rFonts w:cs="CG Times"/>
          <w:szCs w:val="24"/>
        </w:rPr>
        <w:t>aver</w:t>
      </w:r>
      <w:r w:rsidR="0070312C">
        <w:rPr>
          <w:rFonts w:cs="CG Times"/>
          <w:szCs w:val="24"/>
        </w:rPr>
        <w:t>r</w:t>
      </w:r>
      <w:r w:rsidR="0070312C" w:rsidRPr="0070312C">
        <w:rPr>
          <w:rFonts w:cs="CG Times"/>
          <w:szCs w:val="24"/>
        </w:rPr>
        <w:t xml:space="preserve">ed that the Complainant </w:t>
      </w:r>
      <w:r w:rsidR="0070312C">
        <w:rPr>
          <w:rFonts w:cs="CG Times"/>
          <w:szCs w:val="24"/>
        </w:rPr>
        <w:t xml:space="preserve">was </w:t>
      </w:r>
      <w:r w:rsidR="0070312C" w:rsidRPr="0070312C">
        <w:rPr>
          <w:rFonts w:cs="CG Times"/>
          <w:szCs w:val="24"/>
        </w:rPr>
        <w:t>enrolled in its Customer Assistance Program (CAP) on November 29, 2016</w:t>
      </w:r>
      <w:r w:rsidR="0070312C">
        <w:rPr>
          <w:rFonts w:cs="CG Times"/>
          <w:szCs w:val="24"/>
        </w:rPr>
        <w:t xml:space="preserve">, </w:t>
      </w:r>
      <w:r w:rsidR="0070312C">
        <w:rPr>
          <w:szCs w:val="26"/>
        </w:rPr>
        <w:t xml:space="preserve">that </w:t>
      </w:r>
      <w:r w:rsidR="00D86CE6">
        <w:rPr>
          <w:szCs w:val="26"/>
        </w:rPr>
        <w:t>the Complainant’s</w:t>
      </w:r>
      <w:r w:rsidR="0070312C" w:rsidRPr="00D45494">
        <w:rPr>
          <w:szCs w:val="26"/>
        </w:rPr>
        <w:t xml:space="preserve"> current outstanding balance is $9,115.06</w:t>
      </w:r>
      <w:r w:rsidR="00973492">
        <w:rPr>
          <w:szCs w:val="26"/>
        </w:rPr>
        <w:t xml:space="preserve">, and </w:t>
      </w:r>
      <w:r w:rsidR="00D86CE6">
        <w:rPr>
          <w:szCs w:val="26"/>
        </w:rPr>
        <w:t xml:space="preserve">that the Complainant was </w:t>
      </w:r>
      <w:r w:rsidR="00973492">
        <w:rPr>
          <w:szCs w:val="26"/>
        </w:rPr>
        <w:t xml:space="preserve">not entitled to a payment arrangement on his balance pursuant to </w:t>
      </w:r>
      <w:r w:rsidR="00D86CE6">
        <w:rPr>
          <w:szCs w:val="26"/>
        </w:rPr>
        <w:t xml:space="preserve">66 </w:t>
      </w:r>
      <w:r w:rsidR="00973492">
        <w:rPr>
          <w:szCs w:val="26"/>
        </w:rPr>
        <w:t>Pa. C.S. § 1405(c)</w:t>
      </w:r>
      <w:r w:rsidR="0070312C" w:rsidRPr="00D45494">
        <w:rPr>
          <w:szCs w:val="26"/>
        </w:rPr>
        <w:t>.</w:t>
      </w:r>
      <w:r w:rsidR="0070312C">
        <w:rPr>
          <w:szCs w:val="26"/>
        </w:rPr>
        <w:t xml:space="preserve"> </w:t>
      </w:r>
      <w:r w:rsidR="003331D6">
        <w:rPr>
          <w:szCs w:val="26"/>
        </w:rPr>
        <w:t xml:space="preserve"> </w:t>
      </w:r>
      <w:r w:rsidR="00DC338A">
        <w:rPr>
          <w:szCs w:val="26"/>
        </w:rPr>
        <w:t>PECO</w:t>
      </w:r>
      <w:r w:rsidR="00973492">
        <w:rPr>
          <w:szCs w:val="26"/>
        </w:rPr>
        <w:t xml:space="preserve"> requested that the Commission dismiss the Complaint.  </w:t>
      </w:r>
      <w:r w:rsidR="00973492" w:rsidRPr="00973492">
        <w:rPr>
          <w:i/>
          <w:szCs w:val="26"/>
        </w:rPr>
        <w:t>See</w:t>
      </w:r>
      <w:r w:rsidR="00973492">
        <w:rPr>
          <w:szCs w:val="26"/>
        </w:rPr>
        <w:t xml:space="preserve"> I.D. at 2; </w:t>
      </w:r>
      <w:r w:rsidR="00973492" w:rsidRPr="00973492">
        <w:rPr>
          <w:i/>
          <w:szCs w:val="26"/>
        </w:rPr>
        <w:t>see generally</w:t>
      </w:r>
      <w:r w:rsidR="00973492">
        <w:rPr>
          <w:szCs w:val="26"/>
        </w:rPr>
        <w:t xml:space="preserve"> Answer.</w:t>
      </w:r>
    </w:p>
    <w:p w14:paraId="1E2DA871" w14:textId="77777777" w:rsidR="00D45494" w:rsidRPr="00D45494" w:rsidRDefault="00D45494" w:rsidP="00330C0A">
      <w:pPr>
        <w:pStyle w:val="BodyText"/>
        <w:tabs>
          <w:tab w:val="left" w:pos="0"/>
        </w:tabs>
        <w:spacing w:after="0" w:line="360" w:lineRule="auto"/>
        <w:rPr>
          <w:szCs w:val="26"/>
        </w:rPr>
      </w:pPr>
    </w:p>
    <w:p w14:paraId="58A3B9A9" w14:textId="729A36CE" w:rsidR="00E72B7F" w:rsidRPr="003E187E" w:rsidRDefault="00CB5CDD" w:rsidP="00330C0A">
      <w:pPr>
        <w:pStyle w:val="ParaTab1"/>
        <w:tabs>
          <w:tab w:val="left" w:pos="2160"/>
        </w:tabs>
        <w:spacing w:line="360" w:lineRule="auto"/>
        <w:rPr>
          <w:rFonts w:ascii="Times New Roman" w:hAnsi="Times New Roman"/>
          <w:sz w:val="26"/>
        </w:rPr>
      </w:pPr>
      <w:r>
        <w:rPr>
          <w:rFonts w:ascii="Times New Roman" w:hAnsi="Times New Roman"/>
          <w:sz w:val="26"/>
          <w:szCs w:val="26"/>
        </w:rPr>
        <w:t>By not</w:t>
      </w:r>
      <w:r w:rsidR="00DC338A">
        <w:rPr>
          <w:rFonts w:ascii="Times New Roman" w:hAnsi="Times New Roman"/>
          <w:sz w:val="26"/>
          <w:szCs w:val="26"/>
        </w:rPr>
        <w:t>ice</w:t>
      </w:r>
      <w:r>
        <w:rPr>
          <w:rFonts w:ascii="Times New Roman" w:hAnsi="Times New Roman"/>
          <w:sz w:val="26"/>
          <w:szCs w:val="26"/>
        </w:rPr>
        <w:t xml:space="preserve"> dated May 30, 2018 (</w:t>
      </w:r>
      <w:r w:rsidR="00A34745" w:rsidRPr="00D45494">
        <w:rPr>
          <w:rFonts w:ascii="Times New Roman" w:hAnsi="Times New Roman"/>
          <w:sz w:val="26"/>
          <w:szCs w:val="26"/>
        </w:rPr>
        <w:t>H</w:t>
      </w:r>
      <w:r w:rsidR="00E72B7F" w:rsidRPr="00D45494">
        <w:rPr>
          <w:rFonts w:ascii="Times New Roman" w:hAnsi="Times New Roman"/>
          <w:sz w:val="26"/>
          <w:szCs w:val="26"/>
        </w:rPr>
        <w:t xml:space="preserve">earing </w:t>
      </w:r>
      <w:r w:rsidR="00A34745" w:rsidRPr="00D45494">
        <w:rPr>
          <w:rFonts w:ascii="Times New Roman" w:hAnsi="Times New Roman"/>
          <w:sz w:val="26"/>
          <w:szCs w:val="26"/>
        </w:rPr>
        <w:t>N</w:t>
      </w:r>
      <w:r w:rsidR="00E72B7F" w:rsidRPr="00D45494">
        <w:rPr>
          <w:rFonts w:ascii="Times New Roman" w:hAnsi="Times New Roman"/>
          <w:sz w:val="26"/>
          <w:szCs w:val="26"/>
        </w:rPr>
        <w:t>otice</w:t>
      </w:r>
      <w:r>
        <w:rPr>
          <w:rFonts w:ascii="Times New Roman" w:hAnsi="Times New Roman"/>
          <w:sz w:val="26"/>
          <w:szCs w:val="26"/>
        </w:rPr>
        <w:t xml:space="preserve">), the Commission scheduled this matter for </w:t>
      </w:r>
      <w:r w:rsidR="00A34745" w:rsidRPr="003E187E">
        <w:rPr>
          <w:rFonts w:ascii="Times New Roman" w:hAnsi="Times New Roman"/>
          <w:sz w:val="26"/>
        </w:rPr>
        <w:t>a</w:t>
      </w:r>
      <w:r>
        <w:rPr>
          <w:rFonts w:ascii="Times New Roman" w:hAnsi="Times New Roman"/>
          <w:sz w:val="26"/>
        </w:rPr>
        <w:t xml:space="preserve"> </w:t>
      </w:r>
      <w:r w:rsidR="00E72B7F" w:rsidRPr="003E187E">
        <w:rPr>
          <w:rFonts w:ascii="Times New Roman" w:hAnsi="Times New Roman"/>
          <w:sz w:val="26"/>
        </w:rPr>
        <w:t xml:space="preserve">hearing </w:t>
      </w:r>
      <w:r w:rsidR="00A34745" w:rsidRPr="003E187E">
        <w:rPr>
          <w:rFonts w:ascii="Times New Roman" w:hAnsi="Times New Roman"/>
          <w:sz w:val="26"/>
        </w:rPr>
        <w:t>on</w:t>
      </w:r>
      <w:r w:rsidR="00E72B7F" w:rsidRPr="003E187E">
        <w:rPr>
          <w:rFonts w:ascii="Times New Roman" w:hAnsi="Times New Roman"/>
          <w:sz w:val="26"/>
        </w:rPr>
        <w:t xml:space="preserve"> </w:t>
      </w:r>
      <w:r w:rsidR="0070312C">
        <w:rPr>
          <w:rFonts w:ascii="Times New Roman" w:hAnsi="Times New Roman"/>
          <w:sz w:val="26"/>
        </w:rPr>
        <w:t>Ju</w:t>
      </w:r>
      <w:r w:rsidR="00973492">
        <w:rPr>
          <w:rFonts w:ascii="Times New Roman" w:hAnsi="Times New Roman"/>
          <w:sz w:val="26"/>
        </w:rPr>
        <w:t>ly</w:t>
      </w:r>
      <w:r w:rsidR="00E72B7F" w:rsidRPr="003E187E">
        <w:rPr>
          <w:rFonts w:ascii="Times New Roman" w:hAnsi="Times New Roman"/>
          <w:sz w:val="26"/>
        </w:rPr>
        <w:t xml:space="preserve"> 2</w:t>
      </w:r>
      <w:r w:rsidR="0070312C">
        <w:rPr>
          <w:rFonts w:ascii="Times New Roman" w:hAnsi="Times New Roman"/>
          <w:sz w:val="26"/>
        </w:rPr>
        <w:t>0</w:t>
      </w:r>
      <w:r w:rsidR="00E72B7F" w:rsidRPr="003E187E">
        <w:rPr>
          <w:rFonts w:ascii="Times New Roman" w:hAnsi="Times New Roman"/>
          <w:sz w:val="26"/>
        </w:rPr>
        <w:t>, 201</w:t>
      </w:r>
      <w:r w:rsidR="0070312C">
        <w:rPr>
          <w:rFonts w:ascii="Times New Roman" w:hAnsi="Times New Roman"/>
          <w:sz w:val="26"/>
        </w:rPr>
        <w:t>8</w:t>
      </w:r>
      <w:r>
        <w:rPr>
          <w:rFonts w:ascii="Times New Roman" w:hAnsi="Times New Roman"/>
          <w:sz w:val="26"/>
        </w:rPr>
        <w:t>, at 10</w:t>
      </w:r>
      <w:r w:rsidR="00B74C66">
        <w:rPr>
          <w:rFonts w:ascii="Times New Roman" w:hAnsi="Times New Roman"/>
          <w:sz w:val="26"/>
        </w:rPr>
        <w:t>:00</w:t>
      </w:r>
      <w:r>
        <w:rPr>
          <w:rFonts w:ascii="Times New Roman" w:hAnsi="Times New Roman"/>
          <w:sz w:val="26"/>
        </w:rPr>
        <w:t xml:space="preserve"> a.m., and assigned the matter to ALJ Brady.</w:t>
      </w:r>
      <w:r w:rsidR="00A34745" w:rsidRPr="003E187E">
        <w:rPr>
          <w:rFonts w:ascii="Times New Roman" w:hAnsi="Times New Roman"/>
          <w:sz w:val="26"/>
        </w:rPr>
        <w:t xml:space="preserve">  ALJ </w:t>
      </w:r>
      <w:r>
        <w:rPr>
          <w:rFonts w:ascii="Times New Roman" w:hAnsi="Times New Roman"/>
          <w:sz w:val="26"/>
        </w:rPr>
        <w:t>Brady issued a</w:t>
      </w:r>
      <w:r w:rsidR="00E72B7F" w:rsidRPr="003E187E">
        <w:rPr>
          <w:rFonts w:ascii="Times New Roman" w:hAnsi="Times New Roman"/>
          <w:sz w:val="26"/>
        </w:rPr>
        <w:t xml:space="preserve"> Prehearing Order dated </w:t>
      </w:r>
      <w:r w:rsidR="0070312C">
        <w:rPr>
          <w:rFonts w:ascii="Times New Roman" w:hAnsi="Times New Roman"/>
          <w:sz w:val="26"/>
        </w:rPr>
        <w:t>June</w:t>
      </w:r>
      <w:r w:rsidR="00E72B7F" w:rsidRPr="003E187E">
        <w:rPr>
          <w:rFonts w:ascii="Times New Roman" w:hAnsi="Times New Roman"/>
          <w:sz w:val="26"/>
        </w:rPr>
        <w:t xml:space="preserve"> </w:t>
      </w:r>
      <w:r w:rsidR="0070312C">
        <w:rPr>
          <w:rFonts w:ascii="Times New Roman" w:hAnsi="Times New Roman"/>
          <w:sz w:val="26"/>
        </w:rPr>
        <w:t>5</w:t>
      </w:r>
      <w:r w:rsidR="00E72B7F" w:rsidRPr="003E187E">
        <w:rPr>
          <w:rFonts w:ascii="Times New Roman" w:hAnsi="Times New Roman"/>
          <w:sz w:val="26"/>
        </w:rPr>
        <w:t>, 201</w:t>
      </w:r>
      <w:r w:rsidR="0070312C">
        <w:rPr>
          <w:rFonts w:ascii="Times New Roman" w:hAnsi="Times New Roman"/>
          <w:sz w:val="26"/>
        </w:rPr>
        <w:t>8</w:t>
      </w:r>
      <w:r w:rsidR="00E72B7F" w:rsidRPr="003E187E">
        <w:rPr>
          <w:rFonts w:ascii="Times New Roman" w:hAnsi="Times New Roman"/>
          <w:sz w:val="26"/>
        </w:rPr>
        <w:t>.</w:t>
      </w:r>
      <w:r w:rsidR="00A34745" w:rsidRPr="003E187E">
        <w:rPr>
          <w:rFonts w:ascii="Times New Roman" w:hAnsi="Times New Roman"/>
          <w:sz w:val="26"/>
        </w:rPr>
        <w:t xml:space="preserve">  </w:t>
      </w:r>
      <w:r w:rsidR="00E72B7F" w:rsidRPr="003E187E">
        <w:rPr>
          <w:rFonts w:ascii="Times New Roman" w:hAnsi="Times New Roman"/>
          <w:sz w:val="26"/>
        </w:rPr>
        <w:t>The time, date</w:t>
      </w:r>
      <w:r w:rsidR="00A34745" w:rsidRPr="003E187E">
        <w:rPr>
          <w:rFonts w:ascii="Times New Roman" w:hAnsi="Times New Roman"/>
          <w:sz w:val="26"/>
        </w:rPr>
        <w:t>,</w:t>
      </w:r>
      <w:r w:rsidR="00E72B7F" w:rsidRPr="003E187E">
        <w:rPr>
          <w:rFonts w:ascii="Times New Roman" w:hAnsi="Times New Roman"/>
          <w:sz w:val="26"/>
        </w:rPr>
        <w:t xml:space="preserve"> and location of the </w:t>
      </w:r>
      <w:r w:rsidR="0070312C">
        <w:rPr>
          <w:rFonts w:ascii="Times New Roman" w:hAnsi="Times New Roman"/>
          <w:sz w:val="26"/>
        </w:rPr>
        <w:t>Ju</w:t>
      </w:r>
      <w:r w:rsidR="00973492">
        <w:rPr>
          <w:rFonts w:ascii="Times New Roman" w:hAnsi="Times New Roman"/>
          <w:sz w:val="26"/>
        </w:rPr>
        <w:t>ly</w:t>
      </w:r>
      <w:r w:rsidR="00E72B7F" w:rsidRPr="003E187E">
        <w:rPr>
          <w:rFonts w:ascii="Times New Roman" w:hAnsi="Times New Roman"/>
          <w:sz w:val="26"/>
        </w:rPr>
        <w:t xml:space="preserve"> 2</w:t>
      </w:r>
      <w:r w:rsidR="0070312C">
        <w:rPr>
          <w:rFonts w:ascii="Times New Roman" w:hAnsi="Times New Roman"/>
          <w:sz w:val="26"/>
        </w:rPr>
        <w:t>0</w:t>
      </w:r>
      <w:r w:rsidR="00E72B7F" w:rsidRPr="003E187E">
        <w:rPr>
          <w:rFonts w:ascii="Times New Roman" w:hAnsi="Times New Roman"/>
          <w:sz w:val="26"/>
        </w:rPr>
        <w:t>, 201</w:t>
      </w:r>
      <w:r w:rsidR="0070312C">
        <w:rPr>
          <w:rFonts w:ascii="Times New Roman" w:hAnsi="Times New Roman"/>
          <w:sz w:val="26"/>
        </w:rPr>
        <w:t>8</w:t>
      </w:r>
      <w:r w:rsidR="00E72B7F" w:rsidRPr="003E187E">
        <w:rPr>
          <w:rFonts w:ascii="Times New Roman" w:hAnsi="Times New Roman"/>
          <w:sz w:val="26"/>
        </w:rPr>
        <w:t xml:space="preserve"> hearing were included in the </w:t>
      </w:r>
      <w:r w:rsidR="003F18FC" w:rsidRPr="003E187E">
        <w:rPr>
          <w:rFonts w:ascii="Times New Roman" w:hAnsi="Times New Roman"/>
          <w:sz w:val="26"/>
        </w:rPr>
        <w:t>H</w:t>
      </w:r>
      <w:r w:rsidR="00E72B7F" w:rsidRPr="003E187E">
        <w:rPr>
          <w:rFonts w:ascii="Times New Roman" w:hAnsi="Times New Roman"/>
          <w:sz w:val="26"/>
        </w:rPr>
        <w:t xml:space="preserve">earing </w:t>
      </w:r>
      <w:r w:rsidR="003F18FC" w:rsidRPr="003E187E">
        <w:rPr>
          <w:rFonts w:ascii="Times New Roman" w:hAnsi="Times New Roman"/>
          <w:sz w:val="26"/>
        </w:rPr>
        <w:t>No</w:t>
      </w:r>
      <w:r w:rsidR="00E72B7F" w:rsidRPr="003E187E">
        <w:rPr>
          <w:rFonts w:ascii="Times New Roman" w:hAnsi="Times New Roman"/>
          <w:sz w:val="26"/>
        </w:rPr>
        <w:t>tice and the Prehearing Order.</w:t>
      </w:r>
      <w:r w:rsidR="003F18FC" w:rsidRPr="003E187E">
        <w:rPr>
          <w:rFonts w:ascii="Times New Roman" w:hAnsi="Times New Roman"/>
          <w:sz w:val="26"/>
        </w:rPr>
        <w:t xml:space="preserve">  Both documents also notified the Parties that the case would be dismissed if the Complainant was not present or failed to participate in the hearing and present evidence in support of the Complaint.</w:t>
      </w:r>
      <w:r w:rsidR="000E7328">
        <w:rPr>
          <w:rFonts w:ascii="Times New Roman" w:hAnsi="Times New Roman"/>
          <w:sz w:val="26"/>
        </w:rPr>
        <w:t xml:space="preserve">  </w:t>
      </w:r>
      <w:r>
        <w:rPr>
          <w:rFonts w:ascii="Times New Roman" w:hAnsi="Times New Roman"/>
          <w:sz w:val="26"/>
        </w:rPr>
        <w:t>I.D. at 2.</w:t>
      </w:r>
    </w:p>
    <w:p w14:paraId="1C167498" w14:textId="77777777" w:rsidR="00E72B7F" w:rsidRDefault="00E72B7F" w:rsidP="00330C0A">
      <w:pPr>
        <w:pStyle w:val="BodyText"/>
        <w:tabs>
          <w:tab w:val="left" w:pos="720"/>
        </w:tabs>
        <w:spacing w:after="0" w:line="360" w:lineRule="auto"/>
        <w:rPr>
          <w:b/>
          <w:szCs w:val="24"/>
        </w:rPr>
      </w:pPr>
    </w:p>
    <w:p w14:paraId="2483A9C9" w14:textId="50BFD8A9" w:rsidR="0070312C" w:rsidRPr="00CB5CDD" w:rsidRDefault="00CB5CDD" w:rsidP="00330C0A">
      <w:pPr>
        <w:pStyle w:val="BodyText"/>
        <w:tabs>
          <w:tab w:val="left" w:pos="-90"/>
          <w:tab w:val="left" w:pos="0"/>
        </w:tabs>
        <w:spacing w:after="0" w:line="360" w:lineRule="auto"/>
        <w:rPr>
          <w:szCs w:val="24"/>
        </w:rPr>
      </w:pPr>
      <w:r>
        <w:tab/>
      </w:r>
      <w:r>
        <w:tab/>
      </w:r>
      <w:r w:rsidR="0070312C" w:rsidRPr="0070312C">
        <w:t>On July 13, 2018, the Complainant requested a continuance</w:t>
      </w:r>
      <w:r w:rsidR="0070312C">
        <w:t xml:space="preserve"> of the hearing</w:t>
      </w:r>
      <w:r w:rsidR="0070312C" w:rsidRPr="0070312C">
        <w:t xml:space="preserve"> to allow a proposed key witness, the owner of the service address, to appear and testify. </w:t>
      </w:r>
      <w:r w:rsidR="0070312C">
        <w:t xml:space="preserve"> </w:t>
      </w:r>
      <w:r w:rsidR="0070665F">
        <w:lastRenderedPageBreak/>
        <w:t>F</w:t>
      </w:r>
      <w:r w:rsidR="0070665F" w:rsidRPr="0070312C">
        <w:t>inding good cause shown</w:t>
      </w:r>
      <w:r w:rsidR="0070665F">
        <w:t>, t</w:t>
      </w:r>
      <w:r w:rsidR="0070312C">
        <w:t>he ALJ</w:t>
      </w:r>
      <w:r w:rsidR="0070312C" w:rsidRPr="0070312C">
        <w:t xml:space="preserve"> issued an Order </w:t>
      </w:r>
      <w:r w:rsidR="006309BC">
        <w:t>o</w:t>
      </w:r>
      <w:r w:rsidR="006309BC" w:rsidRPr="0070312C">
        <w:t>n July 18, 2018</w:t>
      </w:r>
      <w:r w:rsidR="006309BC">
        <w:t xml:space="preserve">, </w:t>
      </w:r>
      <w:r w:rsidR="0070665F">
        <w:t xml:space="preserve">in which he </w:t>
      </w:r>
      <w:r w:rsidR="0070312C" w:rsidRPr="0070312C">
        <w:t>grant</w:t>
      </w:r>
      <w:r w:rsidR="0070665F">
        <w:t>ed</w:t>
      </w:r>
      <w:r w:rsidR="0070312C" w:rsidRPr="0070312C">
        <w:t xml:space="preserve"> the Complainant’s first request for </w:t>
      </w:r>
      <w:r w:rsidR="00DC338A">
        <w:t xml:space="preserve">a </w:t>
      </w:r>
      <w:r w:rsidR="0070665F">
        <w:t>continuance</w:t>
      </w:r>
      <w:r w:rsidR="0070312C" w:rsidRPr="0070312C">
        <w:t xml:space="preserve">. </w:t>
      </w:r>
      <w:r>
        <w:t xml:space="preserve"> </w:t>
      </w:r>
      <w:r>
        <w:rPr>
          <w:szCs w:val="24"/>
        </w:rPr>
        <w:t>I.D. at 2.</w:t>
      </w:r>
    </w:p>
    <w:p w14:paraId="6A155132" w14:textId="77777777" w:rsidR="00973492" w:rsidRPr="0070312C" w:rsidRDefault="00973492" w:rsidP="00330C0A">
      <w:pPr>
        <w:pStyle w:val="ParaTab1"/>
        <w:tabs>
          <w:tab w:val="left" w:pos="2160"/>
        </w:tabs>
        <w:spacing w:line="360" w:lineRule="auto"/>
        <w:rPr>
          <w:rFonts w:ascii="Times New Roman" w:hAnsi="Times New Roman"/>
          <w:sz w:val="26"/>
        </w:rPr>
      </w:pPr>
    </w:p>
    <w:p w14:paraId="4ED8C873" w14:textId="61108EFB" w:rsidR="00CB5CDD" w:rsidRDefault="00CB5CDD" w:rsidP="00330C0A">
      <w:pPr>
        <w:pStyle w:val="BodyText"/>
        <w:tabs>
          <w:tab w:val="left" w:pos="-90"/>
          <w:tab w:val="left" w:pos="0"/>
        </w:tabs>
        <w:spacing w:after="0" w:line="360" w:lineRule="auto"/>
        <w:rPr>
          <w:szCs w:val="24"/>
        </w:rPr>
      </w:pPr>
      <w:r>
        <w:tab/>
      </w:r>
      <w:r>
        <w:tab/>
      </w:r>
      <w:r w:rsidR="0070312C">
        <w:t>On July 16, 2018, the ALJ issued a</w:t>
      </w:r>
      <w:r w:rsidR="0070312C" w:rsidRPr="0070312C">
        <w:t xml:space="preserve"> Hearing Cancellation/Reschedule Notice </w:t>
      </w:r>
      <w:r w:rsidR="0070312C">
        <w:t>and rescheduled</w:t>
      </w:r>
      <w:r w:rsidR="0070312C" w:rsidRPr="0070312C">
        <w:t xml:space="preserve"> the </w:t>
      </w:r>
      <w:r w:rsidR="00DC338A">
        <w:t>h</w:t>
      </w:r>
      <w:r w:rsidR="0070312C" w:rsidRPr="0070312C">
        <w:t xml:space="preserve">earing </w:t>
      </w:r>
      <w:r w:rsidR="0070312C">
        <w:t>fo</w:t>
      </w:r>
      <w:r w:rsidR="0070312C" w:rsidRPr="0070312C">
        <w:t>r Friday, August 31, 2018 at 10</w:t>
      </w:r>
      <w:r w:rsidR="00B74C66">
        <w:t>:00</w:t>
      </w:r>
      <w:r w:rsidR="0070312C" w:rsidRPr="0070312C">
        <w:t xml:space="preserve"> </w:t>
      </w:r>
      <w:r w:rsidR="006309BC">
        <w:t>a</w:t>
      </w:r>
      <w:r w:rsidR="0070312C" w:rsidRPr="0070312C">
        <w:t>.</w:t>
      </w:r>
      <w:r w:rsidR="006309BC">
        <w:t>m</w:t>
      </w:r>
      <w:r w:rsidR="0070312C" w:rsidRPr="0070312C">
        <w:t>.</w:t>
      </w:r>
      <w:r>
        <w:t xml:space="preserve">  </w:t>
      </w:r>
      <w:r>
        <w:rPr>
          <w:szCs w:val="24"/>
        </w:rPr>
        <w:t xml:space="preserve">I.D. at </w:t>
      </w:r>
      <w:r w:rsidR="00A06526">
        <w:rPr>
          <w:szCs w:val="24"/>
        </w:rPr>
        <w:t>2</w:t>
      </w:r>
      <w:r>
        <w:rPr>
          <w:szCs w:val="24"/>
        </w:rPr>
        <w:t>.</w:t>
      </w:r>
    </w:p>
    <w:p w14:paraId="6D8EC315" w14:textId="77777777" w:rsidR="0070312C" w:rsidRDefault="0070312C" w:rsidP="00330C0A">
      <w:pPr>
        <w:pStyle w:val="ParaTab1"/>
        <w:tabs>
          <w:tab w:val="left" w:pos="2160"/>
        </w:tabs>
        <w:spacing w:line="360" w:lineRule="auto"/>
        <w:rPr>
          <w:rFonts w:ascii="Times New Roman" w:hAnsi="Times New Roman"/>
          <w:sz w:val="26"/>
        </w:rPr>
      </w:pPr>
    </w:p>
    <w:p w14:paraId="18DEFEA2" w14:textId="24D57C6B" w:rsidR="00A06526" w:rsidRDefault="00E72B7F" w:rsidP="00330C0A">
      <w:pPr>
        <w:pStyle w:val="BodyText"/>
        <w:tabs>
          <w:tab w:val="left" w:pos="-90"/>
          <w:tab w:val="left" w:pos="0"/>
        </w:tabs>
        <w:spacing w:after="0" w:line="360" w:lineRule="auto"/>
        <w:rPr>
          <w:szCs w:val="24"/>
        </w:rPr>
      </w:pPr>
      <w:r>
        <w:rPr>
          <w:szCs w:val="24"/>
        </w:rPr>
        <w:tab/>
      </w:r>
      <w:r w:rsidR="006309BC">
        <w:rPr>
          <w:szCs w:val="24"/>
        </w:rPr>
        <w:tab/>
      </w:r>
      <w:r w:rsidR="006309BC" w:rsidRPr="006309BC">
        <w:rPr>
          <w:szCs w:val="24"/>
        </w:rPr>
        <w:t xml:space="preserve">On August 9, 2018, </w:t>
      </w:r>
      <w:r w:rsidR="006309BC">
        <w:rPr>
          <w:szCs w:val="24"/>
        </w:rPr>
        <w:t>PECO</w:t>
      </w:r>
      <w:r w:rsidR="006309BC" w:rsidRPr="006309BC">
        <w:rPr>
          <w:szCs w:val="24"/>
        </w:rPr>
        <w:t xml:space="preserve"> filed a Motion for Continuance because one of its key witnesses was unavailable on August 31, 2018. </w:t>
      </w:r>
      <w:r w:rsidR="006309BC">
        <w:rPr>
          <w:szCs w:val="24"/>
        </w:rPr>
        <w:t xml:space="preserve"> </w:t>
      </w:r>
      <w:r w:rsidR="00692374">
        <w:rPr>
          <w:szCs w:val="24"/>
        </w:rPr>
        <w:t>F</w:t>
      </w:r>
      <w:r w:rsidR="00692374" w:rsidRPr="006309BC">
        <w:rPr>
          <w:szCs w:val="24"/>
        </w:rPr>
        <w:t>inding good cause shown</w:t>
      </w:r>
      <w:r w:rsidR="00692374">
        <w:rPr>
          <w:szCs w:val="24"/>
        </w:rPr>
        <w:t>, t</w:t>
      </w:r>
      <w:r w:rsidR="006309BC">
        <w:rPr>
          <w:szCs w:val="24"/>
        </w:rPr>
        <w:t>he ALJ</w:t>
      </w:r>
      <w:r w:rsidR="006309BC" w:rsidRPr="006309BC">
        <w:rPr>
          <w:szCs w:val="24"/>
        </w:rPr>
        <w:t xml:space="preserve"> </w:t>
      </w:r>
      <w:r w:rsidR="00692374">
        <w:rPr>
          <w:szCs w:val="24"/>
        </w:rPr>
        <w:t xml:space="preserve">granted PECO’s request for </w:t>
      </w:r>
      <w:r w:rsidR="002701D9">
        <w:rPr>
          <w:szCs w:val="24"/>
        </w:rPr>
        <w:t xml:space="preserve">a </w:t>
      </w:r>
      <w:r w:rsidR="00692374">
        <w:rPr>
          <w:szCs w:val="24"/>
        </w:rPr>
        <w:t>continuance by</w:t>
      </w:r>
      <w:r w:rsidR="006309BC" w:rsidRPr="006309BC">
        <w:rPr>
          <w:szCs w:val="24"/>
        </w:rPr>
        <w:t xml:space="preserve"> an Order </w:t>
      </w:r>
      <w:r w:rsidR="00692374">
        <w:rPr>
          <w:szCs w:val="24"/>
        </w:rPr>
        <w:t xml:space="preserve">issued </w:t>
      </w:r>
      <w:r w:rsidR="006309BC">
        <w:rPr>
          <w:szCs w:val="24"/>
        </w:rPr>
        <w:t>o</w:t>
      </w:r>
      <w:r w:rsidR="006309BC" w:rsidRPr="006309BC">
        <w:rPr>
          <w:szCs w:val="24"/>
        </w:rPr>
        <w:t>n August 10, 2018</w:t>
      </w:r>
      <w:r w:rsidR="00692374">
        <w:rPr>
          <w:szCs w:val="24"/>
        </w:rPr>
        <w:t>.</w:t>
      </w:r>
      <w:r w:rsidR="00A06526">
        <w:rPr>
          <w:szCs w:val="24"/>
        </w:rPr>
        <w:t xml:space="preserve">  I.D. at 3.</w:t>
      </w:r>
    </w:p>
    <w:p w14:paraId="3DDB4606" w14:textId="77777777" w:rsidR="006309BC" w:rsidRPr="006309BC" w:rsidRDefault="006309BC" w:rsidP="00330C0A">
      <w:pPr>
        <w:pStyle w:val="BodyText"/>
        <w:tabs>
          <w:tab w:val="left" w:pos="-90"/>
          <w:tab w:val="left" w:pos="0"/>
        </w:tabs>
        <w:spacing w:after="0" w:line="360" w:lineRule="auto"/>
        <w:rPr>
          <w:szCs w:val="24"/>
        </w:rPr>
      </w:pPr>
    </w:p>
    <w:p w14:paraId="201A1E5C" w14:textId="78C47BFC" w:rsidR="00A06526" w:rsidRDefault="009736ED" w:rsidP="00330C0A">
      <w:pPr>
        <w:pStyle w:val="BodyText"/>
        <w:tabs>
          <w:tab w:val="left" w:pos="-90"/>
          <w:tab w:val="left" w:pos="0"/>
        </w:tabs>
        <w:spacing w:after="0" w:line="360" w:lineRule="auto"/>
        <w:rPr>
          <w:szCs w:val="24"/>
        </w:rPr>
      </w:pPr>
      <w:r>
        <w:rPr>
          <w:szCs w:val="24"/>
        </w:rPr>
        <w:tab/>
      </w:r>
      <w:r>
        <w:rPr>
          <w:szCs w:val="24"/>
        </w:rPr>
        <w:tab/>
      </w:r>
      <w:r w:rsidR="006309BC">
        <w:rPr>
          <w:szCs w:val="24"/>
        </w:rPr>
        <w:t xml:space="preserve">On </w:t>
      </w:r>
      <w:r w:rsidR="006309BC" w:rsidRPr="006309BC">
        <w:rPr>
          <w:szCs w:val="24"/>
        </w:rPr>
        <w:t>September 7, 2018</w:t>
      </w:r>
      <w:r w:rsidR="006309BC">
        <w:rPr>
          <w:szCs w:val="24"/>
        </w:rPr>
        <w:t>, the ALJ issued a</w:t>
      </w:r>
      <w:r w:rsidR="006309BC" w:rsidRPr="006309BC">
        <w:rPr>
          <w:szCs w:val="24"/>
        </w:rPr>
        <w:t xml:space="preserve"> Hearing Cancellation/Reschedule Notice </w:t>
      </w:r>
      <w:r w:rsidR="006309BC">
        <w:rPr>
          <w:szCs w:val="24"/>
        </w:rPr>
        <w:t xml:space="preserve">and rescheduled </w:t>
      </w:r>
      <w:r w:rsidR="006309BC" w:rsidRPr="006309BC">
        <w:rPr>
          <w:szCs w:val="24"/>
        </w:rPr>
        <w:t xml:space="preserve">the </w:t>
      </w:r>
      <w:r w:rsidR="002701D9">
        <w:rPr>
          <w:szCs w:val="24"/>
        </w:rPr>
        <w:t>h</w:t>
      </w:r>
      <w:r w:rsidR="006309BC" w:rsidRPr="006309BC">
        <w:rPr>
          <w:szCs w:val="24"/>
        </w:rPr>
        <w:t>earing for Monday, October 29, 2018 at 10</w:t>
      </w:r>
      <w:r w:rsidR="00B74C66">
        <w:rPr>
          <w:szCs w:val="24"/>
        </w:rPr>
        <w:t>:00</w:t>
      </w:r>
      <w:r w:rsidR="006309BC" w:rsidRPr="006309BC">
        <w:rPr>
          <w:szCs w:val="24"/>
        </w:rPr>
        <w:t xml:space="preserve"> a.m.</w:t>
      </w:r>
      <w:r w:rsidR="00A06526">
        <w:rPr>
          <w:szCs w:val="24"/>
        </w:rPr>
        <w:t xml:space="preserve">  I.D. at</w:t>
      </w:r>
      <w:r w:rsidR="00B74C66">
        <w:rPr>
          <w:szCs w:val="24"/>
        </w:rPr>
        <w:t> </w:t>
      </w:r>
      <w:r w:rsidR="00A06526">
        <w:rPr>
          <w:szCs w:val="24"/>
        </w:rPr>
        <w:t>3.</w:t>
      </w:r>
    </w:p>
    <w:p w14:paraId="250B8285" w14:textId="77777777" w:rsidR="0070312C" w:rsidRDefault="0070312C" w:rsidP="00330C0A">
      <w:pPr>
        <w:pStyle w:val="BodyText"/>
        <w:tabs>
          <w:tab w:val="left" w:pos="-90"/>
          <w:tab w:val="left" w:pos="0"/>
        </w:tabs>
        <w:spacing w:after="0" w:line="360" w:lineRule="auto"/>
        <w:rPr>
          <w:szCs w:val="24"/>
        </w:rPr>
      </w:pPr>
    </w:p>
    <w:p w14:paraId="459AECA7" w14:textId="10E9BAC6" w:rsidR="00CB5CDD" w:rsidRDefault="006309BC" w:rsidP="00330C0A">
      <w:pPr>
        <w:pStyle w:val="BodyText"/>
        <w:tabs>
          <w:tab w:val="left" w:pos="-90"/>
          <w:tab w:val="left" w:pos="0"/>
        </w:tabs>
        <w:spacing w:after="0" w:line="360" w:lineRule="auto"/>
        <w:rPr>
          <w:szCs w:val="24"/>
        </w:rPr>
      </w:pPr>
      <w:r>
        <w:rPr>
          <w:szCs w:val="24"/>
        </w:rPr>
        <w:tab/>
      </w:r>
      <w:r>
        <w:rPr>
          <w:szCs w:val="24"/>
        </w:rPr>
        <w:tab/>
      </w:r>
      <w:r w:rsidRPr="006309BC">
        <w:rPr>
          <w:szCs w:val="24"/>
        </w:rPr>
        <w:t xml:space="preserve">On October 11, 2018, the </w:t>
      </w:r>
      <w:r>
        <w:rPr>
          <w:szCs w:val="24"/>
        </w:rPr>
        <w:t>ALJ received a</w:t>
      </w:r>
      <w:r w:rsidR="002701D9">
        <w:rPr>
          <w:szCs w:val="24"/>
        </w:rPr>
        <w:t xml:space="preserve"> second</w:t>
      </w:r>
      <w:r>
        <w:rPr>
          <w:szCs w:val="24"/>
        </w:rPr>
        <w:t xml:space="preserve"> request for </w:t>
      </w:r>
      <w:r w:rsidR="002701D9">
        <w:rPr>
          <w:szCs w:val="24"/>
        </w:rPr>
        <w:t xml:space="preserve">a </w:t>
      </w:r>
      <w:r>
        <w:rPr>
          <w:szCs w:val="24"/>
        </w:rPr>
        <w:t xml:space="preserve">continuance from the </w:t>
      </w:r>
      <w:r w:rsidRPr="006309BC">
        <w:rPr>
          <w:szCs w:val="24"/>
        </w:rPr>
        <w:t xml:space="preserve">Complainant </w:t>
      </w:r>
      <w:r>
        <w:rPr>
          <w:szCs w:val="24"/>
        </w:rPr>
        <w:t>in which he indicated that his request was</w:t>
      </w:r>
      <w:r w:rsidRPr="006309BC">
        <w:rPr>
          <w:szCs w:val="24"/>
        </w:rPr>
        <w:t xml:space="preserve"> due to the start of </w:t>
      </w:r>
      <w:r w:rsidR="00381EE5">
        <w:rPr>
          <w:szCs w:val="24"/>
        </w:rPr>
        <w:t xml:space="preserve">a </w:t>
      </w:r>
      <w:r w:rsidRPr="006309BC">
        <w:rPr>
          <w:szCs w:val="24"/>
        </w:rPr>
        <w:t xml:space="preserve">new </w:t>
      </w:r>
      <w:r w:rsidR="00692374" w:rsidRPr="006309BC">
        <w:rPr>
          <w:szCs w:val="24"/>
        </w:rPr>
        <w:t>employment but</w:t>
      </w:r>
      <w:r w:rsidRPr="006309BC">
        <w:rPr>
          <w:szCs w:val="24"/>
        </w:rPr>
        <w:t xml:space="preserve"> did not provide any additional information</w:t>
      </w:r>
      <w:r>
        <w:rPr>
          <w:szCs w:val="24"/>
        </w:rPr>
        <w:t>.  PECO objected to the Complainant’s continuance request</w:t>
      </w:r>
      <w:r w:rsidR="00381EE5">
        <w:rPr>
          <w:szCs w:val="24"/>
        </w:rPr>
        <w:t>.</w:t>
      </w:r>
      <w:r>
        <w:rPr>
          <w:szCs w:val="24"/>
        </w:rPr>
        <w:t xml:space="preserve"> </w:t>
      </w:r>
      <w:r w:rsidR="00381EE5">
        <w:rPr>
          <w:szCs w:val="24"/>
        </w:rPr>
        <w:t xml:space="preserve"> By Order issued on October 19, 2018, </w:t>
      </w:r>
      <w:r>
        <w:rPr>
          <w:szCs w:val="24"/>
        </w:rPr>
        <w:t xml:space="preserve">the ALJ denied the </w:t>
      </w:r>
      <w:r w:rsidR="00AB170E">
        <w:rPr>
          <w:szCs w:val="24"/>
        </w:rPr>
        <w:t xml:space="preserve">Complainant’s </w:t>
      </w:r>
      <w:r w:rsidR="00381EE5">
        <w:rPr>
          <w:szCs w:val="24"/>
        </w:rPr>
        <w:t xml:space="preserve">second </w:t>
      </w:r>
      <w:r>
        <w:rPr>
          <w:szCs w:val="24"/>
        </w:rPr>
        <w:t xml:space="preserve">request </w:t>
      </w:r>
      <w:r w:rsidR="00381EE5">
        <w:rPr>
          <w:szCs w:val="24"/>
        </w:rPr>
        <w:t xml:space="preserve">for </w:t>
      </w:r>
      <w:r w:rsidR="002701D9">
        <w:rPr>
          <w:szCs w:val="24"/>
        </w:rPr>
        <w:t xml:space="preserve">a </w:t>
      </w:r>
      <w:r w:rsidR="00381EE5">
        <w:rPr>
          <w:szCs w:val="24"/>
        </w:rPr>
        <w:t>continuance after</w:t>
      </w:r>
      <w:r w:rsidRPr="006309BC">
        <w:rPr>
          <w:szCs w:val="24"/>
        </w:rPr>
        <w:t xml:space="preserve"> </w:t>
      </w:r>
      <w:r w:rsidR="00AB170E">
        <w:rPr>
          <w:szCs w:val="24"/>
        </w:rPr>
        <w:t xml:space="preserve">finding </w:t>
      </w:r>
      <w:r w:rsidR="002701D9">
        <w:rPr>
          <w:szCs w:val="24"/>
        </w:rPr>
        <w:t>that the Complainant did not show</w:t>
      </w:r>
      <w:r w:rsidR="00AB170E">
        <w:rPr>
          <w:szCs w:val="24"/>
        </w:rPr>
        <w:t xml:space="preserve"> </w:t>
      </w:r>
      <w:r w:rsidRPr="006309BC">
        <w:rPr>
          <w:szCs w:val="24"/>
        </w:rPr>
        <w:t>good cause</w:t>
      </w:r>
      <w:r w:rsidR="00381EE5">
        <w:rPr>
          <w:szCs w:val="24"/>
        </w:rPr>
        <w:t xml:space="preserve"> </w:t>
      </w:r>
      <w:r w:rsidR="002701D9">
        <w:rPr>
          <w:szCs w:val="24"/>
        </w:rPr>
        <w:t>for a continuance</w:t>
      </w:r>
      <w:r w:rsidR="00AB170E">
        <w:rPr>
          <w:szCs w:val="24"/>
        </w:rPr>
        <w:t>.</w:t>
      </w:r>
      <w:r w:rsidR="00CB5CDD">
        <w:rPr>
          <w:szCs w:val="24"/>
        </w:rPr>
        <w:t xml:space="preserve">  I.D. at 3.</w:t>
      </w:r>
    </w:p>
    <w:p w14:paraId="63758F51" w14:textId="77777777" w:rsidR="0070312C" w:rsidRDefault="0070312C" w:rsidP="00330C0A">
      <w:pPr>
        <w:pStyle w:val="BodyText"/>
        <w:tabs>
          <w:tab w:val="left" w:pos="-90"/>
          <w:tab w:val="left" w:pos="0"/>
        </w:tabs>
        <w:spacing w:after="0" w:line="360" w:lineRule="auto"/>
        <w:rPr>
          <w:szCs w:val="24"/>
        </w:rPr>
      </w:pPr>
    </w:p>
    <w:p w14:paraId="30080FA9" w14:textId="0817B482" w:rsidR="00CB5CDD" w:rsidRDefault="00E72B7F" w:rsidP="00330C0A">
      <w:pPr>
        <w:pStyle w:val="BodyText"/>
        <w:tabs>
          <w:tab w:val="left" w:pos="-90"/>
          <w:tab w:val="left" w:pos="0"/>
        </w:tabs>
        <w:spacing w:after="0" w:line="360" w:lineRule="auto"/>
        <w:rPr>
          <w:szCs w:val="24"/>
        </w:rPr>
      </w:pPr>
      <w:r w:rsidRPr="00E33F68">
        <w:rPr>
          <w:szCs w:val="24"/>
        </w:rPr>
        <w:tab/>
      </w:r>
      <w:r w:rsidRPr="00E33F68">
        <w:rPr>
          <w:szCs w:val="24"/>
        </w:rPr>
        <w:tab/>
      </w:r>
      <w:r w:rsidR="00CB5CDD">
        <w:rPr>
          <w:szCs w:val="24"/>
        </w:rPr>
        <w:t>O</w:t>
      </w:r>
      <w:r w:rsidR="00CB5CDD" w:rsidRPr="00E33F68">
        <w:rPr>
          <w:szCs w:val="24"/>
        </w:rPr>
        <w:t xml:space="preserve">n </w:t>
      </w:r>
      <w:r w:rsidR="00CB5CDD">
        <w:rPr>
          <w:szCs w:val="24"/>
        </w:rPr>
        <w:t>October</w:t>
      </w:r>
      <w:r w:rsidR="00CB5CDD" w:rsidRPr="00E33F68">
        <w:rPr>
          <w:szCs w:val="24"/>
        </w:rPr>
        <w:t xml:space="preserve"> 2</w:t>
      </w:r>
      <w:r w:rsidR="00CB5CDD">
        <w:rPr>
          <w:szCs w:val="24"/>
        </w:rPr>
        <w:t>9</w:t>
      </w:r>
      <w:r w:rsidR="00CB5CDD" w:rsidRPr="00E33F68">
        <w:rPr>
          <w:szCs w:val="24"/>
        </w:rPr>
        <w:t>, 201</w:t>
      </w:r>
      <w:r w:rsidR="00CB5CDD">
        <w:rPr>
          <w:szCs w:val="24"/>
        </w:rPr>
        <w:t xml:space="preserve">8, </w:t>
      </w:r>
      <w:r w:rsidR="002701D9">
        <w:rPr>
          <w:szCs w:val="24"/>
        </w:rPr>
        <w:t xml:space="preserve">the </w:t>
      </w:r>
      <w:r w:rsidR="00CB5CDD">
        <w:rPr>
          <w:szCs w:val="24"/>
        </w:rPr>
        <w:t xml:space="preserve">ALJ </w:t>
      </w:r>
      <w:r w:rsidR="00206F3A">
        <w:rPr>
          <w:szCs w:val="24"/>
        </w:rPr>
        <w:t>convened</w:t>
      </w:r>
      <w:r w:rsidR="00CB5CDD">
        <w:rPr>
          <w:szCs w:val="24"/>
        </w:rPr>
        <w:t xml:space="preserve"> the hearing as scheduled</w:t>
      </w:r>
      <w:r w:rsidRPr="00ED180F">
        <w:rPr>
          <w:szCs w:val="24"/>
        </w:rPr>
        <w:t>.</w:t>
      </w:r>
      <w:r w:rsidRPr="00E33F68">
        <w:rPr>
          <w:szCs w:val="24"/>
        </w:rPr>
        <w:t xml:space="preserve">  The Complainant </w:t>
      </w:r>
      <w:r w:rsidR="00CB5CDD">
        <w:rPr>
          <w:szCs w:val="24"/>
        </w:rPr>
        <w:t>failed to</w:t>
      </w:r>
      <w:r w:rsidRPr="00E33F68">
        <w:rPr>
          <w:szCs w:val="24"/>
        </w:rPr>
        <w:t xml:space="preserve"> appear</w:t>
      </w:r>
      <w:r w:rsidR="00CB5CDD">
        <w:rPr>
          <w:szCs w:val="24"/>
        </w:rPr>
        <w:t xml:space="preserve"> for the hearing</w:t>
      </w:r>
      <w:r w:rsidRPr="00E33F68">
        <w:rPr>
          <w:szCs w:val="24"/>
        </w:rPr>
        <w:t xml:space="preserve">.  </w:t>
      </w:r>
      <w:r w:rsidR="00CB5CDD">
        <w:rPr>
          <w:szCs w:val="24"/>
        </w:rPr>
        <w:t>I.D. at 3.</w:t>
      </w:r>
    </w:p>
    <w:p w14:paraId="404D9C30" w14:textId="77777777" w:rsidR="00CB5CDD" w:rsidRDefault="00CB5CDD" w:rsidP="00330C0A">
      <w:pPr>
        <w:pStyle w:val="BodyText"/>
        <w:tabs>
          <w:tab w:val="left" w:pos="-90"/>
          <w:tab w:val="left" w:pos="0"/>
        </w:tabs>
        <w:spacing w:after="0" w:line="360" w:lineRule="auto"/>
        <w:rPr>
          <w:szCs w:val="24"/>
        </w:rPr>
      </w:pPr>
    </w:p>
    <w:p w14:paraId="7C6DB673" w14:textId="75AEE0F2" w:rsidR="00E72B7F" w:rsidRPr="00E33F68" w:rsidRDefault="00CB5CDD" w:rsidP="00330C0A">
      <w:pPr>
        <w:pStyle w:val="BodyText"/>
        <w:tabs>
          <w:tab w:val="left" w:pos="-90"/>
          <w:tab w:val="left" w:pos="0"/>
        </w:tabs>
        <w:spacing w:after="0" w:line="360" w:lineRule="auto"/>
        <w:rPr>
          <w:szCs w:val="24"/>
        </w:rPr>
      </w:pPr>
      <w:r>
        <w:rPr>
          <w:szCs w:val="24"/>
        </w:rPr>
        <w:tab/>
      </w:r>
      <w:r>
        <w:rPr>
          <w:szCs w:val="24"/>
        </w:rPr>
        <w:tab/>
      </w:r>
      <w:r w:rsidR="00206F3A">
        <w:rPr>
          <w:szCs w:val="24"/>
        </w:rPr>
        <w:t xml:space="preserve">PECO’s counsel and </w:t>
      </w:r>
      <w:r w:rsidR="00692374">
        <w:rPr>
          <w:szCs w:val="24"/>
        </w:rPr>
        <w:t>two potential</w:t>
      </w:r>
      <w:r w:rsidR="00454656">
        <w:rPr>
          <w:szCs w:val="24"/>
        </w:rPr>
        <w:t xml:space="preserve"> witnes</w:t>
      </w:r>
      <w:r w:rsidR="00692374">
        <w:rPr>
          <w:szCs w:val="24"/>
        </w:rPr>
        <w:t>se</w:t>
      </w:r>
      <w:r w:rsidR="00454656">
        <w:rPr>
          <w:szCs w:val="24"/>
        </w:rPr>
        <w:t>s for PECO were present.  PECO’s</w:t>
      </w:r>
      <w:r w:rsidR="00E72B7F" w:rsidRPr="00E33F68">
        <w:rPr>
          <w:szCs w:val="24"/>
        </w:rPr>
        <w:t xml:space="preserve"> counsel moved to dismiss the </w:t>
      </w:r>
      <w:r w:rsidR="00454656">
        <w:rPr>
          <w:szCs w:val="24"/>
        </w:rPr>
        <w:t>C</w:t>
      </w:r>
      <w:r w:rsidR="00E72B7F" w:rsidRPr="00E33F68">
        <w:rPr>
          <w:szCs w:val="24"/>
        </w:rPr>
        <w:t>omplaint</w:t>
      </w:r>
      <w:r w:rsidR="00D17D12">
        <w:rPr>
          <w:szCs w:val="24"/>
        </w:rPr>
        <w:t>,</w:t>
      </w:r>
      <w:r w:rsidR="00E72B7F" w:rsidRPr="00E33F68">
        <w:rPr>
          <w:szCs w:val="24"/>
        </w:rPr>
        <w:t xml:space="preserve"> with prejudice</w:t>
      </w:r>
      <w:r w:rsidR="00D17D12">
        <w:rPr>
          <w:szCs w:val="24"/>
        </w:rPr>
        <w:t>,</w:t>
      </w:r>
      <w:r w:rsidR="00E72B7F" w:rsidRPr="00E33F68">
        <w:rPr>
          <w:szCs w:val="24"/>
        </w:rPr>
        <w:t xml:space="preserve"> for lack of prosecution</w:t>
      </w:r>
      <w:r w:rsidR="00454656">
        <w:rPr>
          <w:szCs w:val="24"/>
        </w:rPr>
        <w:t xml:space="preserve">. </w:t>
      </w:r>
      <w:r w:rsidR="00A06526">
        <w:rPr>
          <w:szCs w:val="24"/>
        </w:rPr>
        <w:t xml:space="preserve"> I.D. at 4</w:t>
      </w:r>
      <w:r w:rsidR="00177A8C">
        <w:rPr>
          <w:szCs w:val="24"/>
        </w:rPr>
        <w:t>, Tr. at 5</w:t>
      </w:r>
      <w:r w:rsidR="00E72B7F" w:rsidRPr="00E33F68">
        <w:rPr>
          <w:szCs w:val="24"/>
        </w:rPr>
        <w:t>.</w:t>
      </w:r>
      <w:r w:rsidR="00ED6F65">
        <w:rPr>
          <w:szCs w:val="24"/>
        </w:rPr>
        <w:t xml:space="preserve">  </w:t>
      </w:r>
    </w:p>
    <w:p w14:paraId="17FD51E4" w14:textId="77777777" w:rsidR="00E72B7F" w:rsidRDefault="00E72B7F" w:rsidP="00330C0A">
      <w:pPr>
        <w:pStyle w:val="BodyText"/>
        <w:tabs>
          <w:tab w:val="left" w:pos="-90"/>
        </w:tabs>
        <w:spacing w:after="0" w:line="360" w:lineRule="auto"/>
        <w:rPr>
          <w:szCs w:val="24"/>
        </w:rPr>
      </w:pPr>
    </w:p>
    <w:p w14:paraId="6C3B51E5" w14:textId="77777777" w:rsidR="00E72B7F" w:rsidRDefault="00E72B7F" w:rsidP="00330C0A">
      <w:pPr>
        <w:pStyle w:val="BodyText"/>
        <w:tabs>
          <w:tab w:val="left" w:pos="0"/>
        </w:tabs>
        <w:spacing w:after="0" w:line="360" w:lineRule="auto"/>
      </w:pPr>
      <w:r>
        <w:rPr>
          <w:szCs w:val="24"/>
        </w:rPr>
        <w:lastRenderedPageBreak/>
        <w:tab/>
      </w:r>
      <w:r>
        <w:rPr>
          <w:szCs w:val="24"/>
        </w:rPr>
        <w:tab/>
      </w:r>
      <w:r w:rsidR="00AB170E">
        <w:rPr>
          <w:szCs w:val="24"/>
        </w:rPr>
        <w:t>T</w:t>
      </w:r>
      <w:r w:rsidR="002352D6">
        <w:rPr>
          <w:szCs w:val="24"/>
        </w:rPr>
        <w:t xml:space="preserve">he </w:t>
      </w:r>
      <w:r>
        <w:rPr>
          <w:szCs w:val="24"/>
        </w:rPr>
        <w:t xml:space="preserve">record </w:t>
      </w:r>
      <w:r w:rsidR="00AB170E">
        <w:rPr>
          <w:szCs w:val="24"/>
        </w:rPr>
        <w:t xml:space="preserve">in the case was closed </w:t>
      </w:r>
      <w:r w:rsidR="002352D6">
        <w:rPr>
          <w:szCs w:val="24"/>
        </w:rPr>
        <w:t xml:space="preserve">on </w:t>
      </w:r>
      <w:r w:rsidR="00AB170E">
        <w:rPr>
          <w:szCs w:val="24"/>
        </w:rPr>
        <w:t>October 29</w:t>
      </w:r>
      <w:r w:rsidR="002352D6">
        <w:rPr>
          <w:szCs w:val="24"/>
        </w:rPr>
        <w:t>, 201</w:t>
      </w:r>
      <w:r w:rsidR="00AB170E">
        <w:rPr>
          <w:szCs w:val="24"/>
        </w:rPr>
        <w:t>8</w:t>
      </w:r>
      <w:r>
        <w:rPr>
          <w:szCs w:val="24"/>
        </w:rPr>
        <w:t>.</w:t>
      </w:r>
      <w:r w:rsidR="000E7328">
        <w:rPr>
          <w:szCs w:val="24"/>
        </w:rPr>
        <w:t xml:space="preserve">  </w:t>
      </w:r>
      <w:r w:rsidRPr="00E33F68">
        <w:rPr>
          <w:szCs w:val="24"/>
        </w:rPr>
        <w:t xml:space="preserve">The record consists of the pleadings and </w:t>
      </w:r>
      <w:r w:rsidR="00AB170E">
        <w:rPr>
          <w:szCs w:val="24"/>
        </w:rPr>
        <w:t>the ALJ’s Prehearing order</w:t>
      </w:r>
      <w:r w:rsidRPr="00E33F68">
        <w:rPr>
          <w:szCs w:val="24"/>
        </w:rPr>
        <w:t xml:space="preserve">.  </w:t>
      </w:r>
      <w:r w:rsidR="00A06526">
        <w:rPr>
          <w:szCs w:val="24"/>
        </w:rPr>
        <w:t>I.D. at 4.</w:t>
      </w:r>
    </w:p>
    <w:p w14:paraId="3AC1B5A1" w14:textId="77777777" w:rsidR="00E72B7F" w:rsidRDefault="00E72B7F" w:rsidP="00330C0A">
      <w:pPr>
        <w:spacing w:line="360" w:lineRule="auto"/>
      </w:pPr>
    </w:p>
    <w:p w14:paraId="3461A9A5" w14:textId="45CBFAD6" w:rsidR="00FF5033" w:rsidRDefault="00464A04" w:rsidP="00330C0A">
      <w:pPr>
        <w:spacing w:line="360" w:lineRule="auto"/>
      </w:pPr>
      <w:r>
        <w:tab/>
      </w:r>
      <w:r>
        <w:tab/>
      </w:r>
      <w:r w:rsidR="00245878">
        <w:t xml:space="preserve">On November 2, 2018, </w:t>
      </w:r>
      <w:r w:rsidR="00154271">
        <w:t>the</w:t>
      </w:r>
      <w:r>
        <w:t xml:space="preserve"> </w:t>
      </w:r>
      <w:r w:rsidR="00AF1BA7">
        <w:t xml:space="preserve">Commission issued the ALJ’s </w:t>
      </w:r>
      <w:r>
        <w:t>Initial Decision</w:t>
      </w:r>
      <w:r w:rsidR="009E2988">
        <w:t xml:space="preserve"> </w:t>
      </w:r>
      <w:r w:rsidR="00F9625E">
        <w:t xml:space="preserve">which </w:t>
      </w:r>
      <w:r w:rsidR="00B238DC">
        <w:t xml:space="preserve">granted </w:t>
      </w:r>
      <w:r w:rsidR="00245878">
        <w:t>the Company’s</w:t>
      </w:r>
      <w:r w:rsidR="00B238DC">
        <w:t xml:space="preserve"> motion and </w:t>
      </w:r>
      <w:r w:rsidR="009E2988">
        <w:t xml:space="preserve">dismissed the </w:t>
      </w:r>
      <w:r w:rsidR="00245878">
        <w:t>c</w:t>
      </w:r>
      <w:r w:rsidR="009E2988">
        <w:t>omplaint with prejudice</w:t>
      </w:r>
      <w:r w:rsidR="00245878">
        <w:t>.</w:t>
      </w:r>
      <w:r w:rsidR="009E2988">
        <w:t xml:space="preserve">  </w:t>
      </w:r>
      <w:r w:rsidR="00DB4B5C">
        <w:t>I.D. at</w:t>
      </w:r>
      <w:r w:rsidR="002F65D6">
        <w:t> </w:t>
      </w:r>
      <w:r w:rsidR="002352D6">
        <w:t>1</w:t>
      </w:r>
      <w:r w:rsidR="00DB4B5C">
        <w:t xml:space="preserve">, </w:t>
      </w:r>
      <w:r w:rsidR="00AB170E">
        <w:t>7</w:t>
      </w:r>
      <w:r w:rsidR="00DB4B5C">
        <w:t>.</w:t>
      </w:r>
    </w:p>
    <w:p w14:paraId="21B5F5B6" w14:textId="77777777" w:rsidR="00FF5033" w:rsidRDefault="00FF5033" w:rsidP="00330C0A">
      <w:pPr>
        <w:spacing w:line="360" w:lineRule="auto"/>
      </w:pPr>
    </w:p>
    <w:p w14:paraId="5CA007A1" w14:textId="77777777" w:rsidR="00245878" w:rsidRDefault="00FF5033" w:rsidP="00330C0A">
      <w:pPr>
        <w:spacing w:line="360" w:lineRule="auto"/>
      </w:pPr>
      <w:r>
        <w:tab/>
      </w:r>
      <w:r>
        <w:tab/>
      </w:r>
      <w:r w:rsidR="003B70B8">
        <w:t xml:space="preserve">As previously noted, the Complainant filed Exceptions on </w:t>
      </w:r>
      <w:r w:rsidR="00AB170E">
        <w:t>November</w:t>
      </w:r>
      <w:r w:rsidR="000730CE">
        <w:t xml:space="preserve"> 1</w:t>
      </w:r>
      <w:r w:rsidR="00692374">
        <w:t>6</w:t>
      </w:r>
      <w:r w:rsidR="000730CE">
        <w:t>,</w:t>
      </w:r>
      <w:r w:rsidR="003B70B8">
        <w:t xml:space="preserve"> 201</w:t>
      </w:r>
      <w:r w:rsidR="00692374">
        <w:t>8</w:t>
      </w:r>
      <w:r w:rsidR="003B70B8">
        <w:t>.</w:t>
      </w:r>
      <w:r w:rsidR="00245878">
        <w:t xml:space="preserve">  The Complainant’s Exception</w:t>
      </w:r>
      <w:r w:rsidR="00F9625E">
        <w:t>s</w:t>
      </w:r>
      <w:r w:rsidR="00245878">
        <w:t xml:space="preserve"> did not include a</w:t>
      </w:r>
      <w:r w:rsidR="00245878" w:rsidRPr="00D460A3">
        <w:t xml:space="preserve"> </w:t>
      </w:r>
      <w:r w:rsidR="00245878">
        <w:t>C</w:t>
      </w:r>
      <w:r w:rsidR="00245878" w:rsidRPr="00D460A3">
        <w:t xml:space="preserve">ertificate of </w:t>
      </w:r>
      <w:r w:rsidR="00245878">
        <w:t>S</w:t>
      </w:r>
      <w:r w:rsidR="00245878" w:rsidRPr="00D460A3">
        <w:t>ervice</w:t>
      </w:r>
      <w:r w:rsidR="00245878">
        <w:t>.</w:t>
      </w:r>
    </w:p>
    <w:p w14:paraId="02519464" w14:textId="77777777" w:rsidR="00245878" w:rsidRDefault="00245878" w:rsidP="00330C0A">
      <w:pPr>
        <w:spacing w:line="360" w:lineRule="auto"/>
      </w:pPr>
    </w:p>
    <w:p w14:paraId="0EB67F32" w14:textId="77777777" w:rsidR="001C79C2" w:rsidRDefault="00245878" w:rsidP="00330C0A">
      <w:pPr>
        <w:spacing w:line="360" w:lineRule="auto"/>
        <w:ind w:firstLine="720"/>
      </w:pPr>
      <w:r>
        <w:tab/>
        <w:t>B</w:t>
      </w:r>
      <w:r w:rsidRPr="00D460A3">
        <w:t xml:space="preserve">y </w:t>
      </w:r>
      <w:r>
        <w:t>l</w:t>
      </w:r>
      <w:r w:rsidRPr="00D460A3">
        <w:t xml:space="preserve">etter </w:t>
      </w:r>
      <w:r>
        <w:t>dated</w:t>
      </w:r>
      <w:r w:rsidRPr="00D460A3">
        <w:t xml:space="preserve"> </w:t>
      </w:r>
      <w:r>
        <w:t>November</w:t>
      </w:r>
      <w:r w:rsidRPr="00D460A3">
        <w:t xml:space="preserve"> 1</w:t>
      </w:r>
      <w:r>
        <w:t>9</w:t>
      </w:r>
      <w:r w:rsidRPr="00D460A3">
        <w:t>, 201</w:t>
      </w:r>
      <w:r>
        <w:t>8</w:t>
      </w:r>
      <w:r w:rsidRPr="00D460A3">
        <w:t>, the Secretary</w:t>
      </w:r>
      <w:r>
        <w:t xml:space="preserve">’s Bureau </w:t>
      </w:r>
      <w:r w:rsidRPr="00D460A3">
        <w:t xml:space="preserve">served a copy of the </w:t>
      </w:r>
      <w:r>
        <w:t xml:space="preserve">Complainant’s </w:t>
      </w:r>
      <w:r w:rsidRPr="00D460A3">
        <w:t xml:space="preserve">Exceptions on </w:t>
      </w:r>
      <w:r>
        <w:t>the Company</w:t>
      </w:r>
      <w:r w:rsidRPr="00D460A3">
        <w:t>.</w:t>
      </w:r>
    </w:p>
    <w:p w14:paraId="0A3A63DB" w14:textId="77777777" w:rsidR="001C79C2" w:rsidRDefault="001C79C2" w:rsidP="00330C0A">
      <w:pPr>
        <w:spacing w:line="360" w:lineRule="auto"/>
        <w:ind w:firstLine="720"/>
      </w:pPr>
    </w:p>
    <w:p w14:paraId="7D1585FF" w14:textId="77777777" w:rsidR="00F27EED" w:rsidRDefault="001C79C2" w:rsidP="00330C0A">
      <w:pPr>
        <w:spacing w:line="360" w:lineRule="auto"/>
        <w:ind w:firstLine="720"/>
      </w:pPr>
      <w:r>
        <w:tab/>
        <w:t xml:space="preserve">On November 28, 2018, </w:t>
      </w:r>
      <w:r w:rsidR="000730CE">
        <w:t>PECO</w:t>
      </w:r>
      <w:r w:rsidR="00B238DC">
        <w:t xml:space="preserve"> </w:t>
      </w:r>
      <w:r w:rsidR="003B70B8">
        <w:t>filed Replies to Exceptions.</w:t>
      </w:r>
    </w:p>
    <w:p w14:paraId="3DC285BE" w14:textId="77777777" w:rsidR="002C30A3" w:rsidRDefault="002C30A3" w:rsidP="00330C0A">
      <w:pPr>
        <w:spacing w:line="360" w:lineRule="auto"/>
      </w:pPr>
    </w:p>
    <w:p w14:paraId="6A919879" w14:textId="77777777" w:rsidR="001C79C2" w:rsidRDefault="001C79C2" w:rsidP="00330C0A">
      <w:pPr>
        <w:keepNext/>
        <w:keepLines/>
        <w:spacing w:after="160" w:line="259" w:lineRule="auto"/>
        <w:jc w:val="center"/>
        <w:rPr>
          <w:b/>
          <w:szCs w:val="26"/>
        </w:rPr>
      </w:pPr>
      <w:r w:rsidRPr="00FC3806">
        <w:rPr>
          <w:b/>
          <w:szCs w:val="26"/>
        </w:rPr>
        <w:t>Discussion</w:t>
      </w:r>
    </w:p>
    <w:p w14:paraId="6E933A9D" w14:textId="77777777" w:rsidR="001C79C2" w:rsidRDefault="001C79C2" w:rsidP="00330C0A">
      <w:pPr>
        <w:keepNext/>
        <w:keepLines/>
        <w:spacing w:line="360" w:lineRule="auto"/>
      </w:pPr>
    </w:p>
    <w:p w14:paraId="213C7F04" w14:textId="7859288F" w:rsidR="001C79C2" w:rsidRDefault="001C79C2" w:rsidP="00330C0A">
      <w:pPr>
        <w:spacing w:line="360" w:lineRule="auto"/>
        <w:ind w:firstLine="1440"/>
        <w:contextualSpacing/>
        <w:rPr>
          <w:szCs w:val="26"/>
        </w:rPr>
      </w:pPr>
      <w:r>
        <w:rPr>
          <w:szCs w:val="26"/>
        </w:rPr>
        <w:t>Preliminari</w:t>
      </w:r>
      <w:r w:rsidRPr="00FC3806">
        <w:rPr>
          <w:szCs w:val="26"/>
        </w:rPr>
        <w:t xml:space="preserve">ly, </w:t>
      </w:r>
      <w:r>
        <w:rPr>
          <w:color w:val="212121"/>
          <w:szCs w:val="26"/>
        </w:rPr>
        <w:t xml:space="preserve">we note that </w:t>
      </w:r>
      <w:r w:rsidRPr="00FC3806">
        <w:rPr>
          <w:szCs w:val="26"/>
        </w:rPr>
        <w:t>any issue that we do not specifically delineate or address herein shall be deemed to have been duly considered and denied without further discussion.</w:t>
      </w:r>
      <w:r>
        <w:rPr>
          <w:szCs w:val="26"/>
        </w:rPr>
        <w:t xml:space="preserve">  I</w:t>
      </w:r>
      <w:r w:rsidRPr="00FC3806">
        <w:rPr>
          <w:szCs w:val="26"/>
        </w:rPr>
        <w:t>t is well</w:t>
      </w:r>
      <w:r>
        <w:rPr>
          <w:szCs w:val="26"/>
        </w:rPr>
        <w:t>-</w:t>
      </w:r>
      <w:r w:rsidRPr="00FC3806">
        <w:rPr>
          <w:szCs w:val="26"/>
        </w:rPr>
        <w:t xml:space="preserve">settled that the Commission is not required to consider expressly or at length each contention or argument raised by the parties.  </w:t>
      </w:r>
      <w:hyperlink r:id="rId8" w:history="1">
        <w:r w:rsidRPr="00FC3806">
          <w:rPr>
            <w:i/>
            <w:iCs/>
            <w:szCs w:val="26"/>
          </w:rPr>
          <w:t xml:space="preserve">Consolidated Rail Corp. v. Pa. PUC, </w:t>
        </w:r>
        <w:r w:rsidRPr="00FC3806">
          <w:rPr>
            <w:szCs w:val="26"/>
          </w:rPr>
          <w:t>625 A.2d 741, 744 (Pa. Cmwlth. 1993);</w:t>
        </w:r>
      </w:hyperlink>
      <w:r w:rsidRPr="00FC3806">
        <w:rPr>
          <w:szCs w:val="26"/>
        </w:rPr>
        <w:t xml:space="preserve"> </w:t>
      </w:r>
      <w:r w:rsidRPr="00FC3806">
        <w:rPr>
          <w:i/>
          <w:szCs w:val="26"/>
        </w:rPr>
        <w:t xml:space="preserve">also </w:t>
      </w:r>
      <w:r w:rsidRPr="00FC3806">
        <w:rPr>
          <w:i/>
          <w:iCs/>
          <w:szCs w:val="26"/>
        </w:rPr>
        <w:t xml:space="preserve">see, generally, </w:t>
      </w:r>
      <w:hyperlink r:id="rId9" w:history="1">
        <w:r w:rsidRPr="00FC3806">
          <w:rPr>
            <w:i/>
            <w:iCs/>
            <w:szCs w:val="26"/>
          </w:rPr>
          <w:t>University of Pennsylvania v. Pa. PUC</w:t>
        </w:r>
        <w:r w:rsidRPr="00FC3806">
          <w:rPr>
            <w:szCs w:val="26"/>
          </w:rPr>
          <w:t>, 485 A.2d 1217, 1222-1223 (Pa. Cmwlth. 1984).</w:t>
        </w:r>
      </w:hyperlink>
    </w:p>
    <w:p w14:paraId="0F75F8DA" w14:textId="77777777" w:rsidR="00927A02" w:rsidRPr="00FC3806" w:rsidRDefault="00927A02" w:rsidP="00330C0A">
      <w:pPr>
        <w:spacing w:line="360" w:lineRule="auto"/>
        <w:ind w:firstLine="1440"/>
        <w:contextualSpacing/>
        <w:rPr>
          <w:szCs w:val="26"/>
        </w:rPr>
      </w:pPr>
    </w:p>
    <w:p w14:paraId="28E1782C" w14:textId="77777777" w:rsidR="001C79C2" w:rsidRPr="00FC3806" w:rsidRDefault="001C79C2" w:rsidP="00330C0A">
      <w:pPr>
        <w:keepNext/>
        <w:keepLines/>
        <w:spacing w:line="360" w:lineRule="auto"/>
        <w:rPr>
          <w:b/>
          <w:szCs w:val="26"/>
        </w:rPr>
      </w:pPr>
      <w:r w:rsidRPr="00FC3806">
        <w:rPr>
          <w:b/>
          <w:szCs w:val="26"/>
        </w:rPr>
        <w:lastRenderedPageBreak/>
        <w:t>Legal Standard</w:t>
      </w:r>
      <w:r>
        <w:rPr>
          <w:b/>
          <w:szCs w:val="26"/>
        </w:rPr>
        <w:t>s</w:t>
      </w:r>
    </w:p>
    <w:p w14:paraId="6CCC00E8" w14:textId="77777777" w:rsidR="001C79C2" w:rsidRDefault="001C79C2" w:rsidP="00330C0A">
      <w:pPr>
        <w:keepNext/>
        <w:keepLines/>
        <w:spacing w:line="360" w:lineRule="auto"/>
        <w:rPr>
          <w:b/>
          <w:szCs w:val="26"/>
        </w:rPr>
      </w:pPr>
    </w:p>
    <w:p w14:paraId="694BA4B6" w14:textId="77777777" w:rsidR="001C79C2" w:rsidRDefault="001C79C2" w:rsidP="00330C0A">
      <w:pPr>
        <w:keepNext/>
        <w:keepLines/>
        <w:spacing w:line="360" w:lineRule="auto"/>
        <w:ind w:firstLine="720"/>
        <w:rPr>
          <w:b/>
          <w:szCs w:val="26"/>
        </w:rPr>
      </w:pPr>
      <w:r>
        <w:rPr>
          <w:b/>
          <w:szCs w:val="26"/>
        </w:rPr>
        <w:t>Administrative Due Process and Waiver of Hearing</w:t>
      </w:r>
    </w:p>
    <w:p w14:paraId="15FAD1A1" w14:textId="77777777" w:rsidR="001C79C2" w:rsidRPr="00ED6D2A" w:rsidRDefault="001C79C2" w:rsidP="00330C0A">
      <w:pPr>
        <w:keepNext/>
        <w:keepLines/>
        <w:spacing w:line="360" w:lineRule="auto"/>
        <w:ind w:firstLine="720"/>
        <w:rPr>
          <w:b/>
          <w:szCs w:val="26"/>
        </w:rPr>
      </w:pPr>
    </w:p>
    <w:p w14:paraId="5248DC76" w14:textId="7D515ADF" w:rsidR="001C79C2" w:rsidRPr="00616C44" w:rsidRDefault="001C79C2" w:rsidP="00330C0A">
      <w:pPr>
        <w:spacing w:line="360" w:lineRule="auto"/>
        <w:ind w:firstLine="1440"/>
        <w:rPr>
          <w:szCs w:val="26"/>
        </w:rPr>
      </w:pPr>
      <w:r w:rsidRPr="00616C44">
        <w:rPr>
          <w:szCs w:val="26"/>
        </w:rPr>
        <w:t xml:space="preserve">As an administrative agency of the Commonwealth, the Commission is required to provide due process to the parties appearing before it.  </w:t>
      </w:r>
      <w:r w:rsidRPr="00616C44">
        <w:rPr>
          <w:i/>
          <w:szCs w:val="26"/>
        </w:rPr>
        <w:t>Schneider v. Pa. PUC</w:t>
      </w:r>
      <w:r w:rsidRPr="00616C44">
        <w:rPr>
          <w:szCs w:val="26"/>
        </w:rPr>
        <w:t xml:space="preserve">, 479 A.2d 10, 15 (Pa. Cmwlth. 1984), citing </w:t>
      </w:r>
      <w:r w:rsidRPr="00616C44">
        <w:rPr>
          <w:i/>
          <w:szCs w:val="26"/>
        </w:rPr>
        <w:t>Fusaro v. Pa. PUC</w:t>
      </w:r>
      <w:r w:rsidRPr="00616C44">
        <w:rPr>
          <w:szCs w:val="26"/>
        </w:rPr>
        <w:t xml:space="preserve">, 382 A.2d 794 (Pa. Cmwlth. 1978).  Due process is satisfied when the parties are afforded notice and the opportunity to appear and be heard.  </w:t>
      </w:r>
      <w:r w:rsidRPr="00616C44">
        <w:rPr>
          <w:i/>
          <w:szCs w:val="26"/>
        </w:rPr>
        <w:t>Schneider v. Pa. PUC</w:t>
      </w:r>
      <w:r w:rsidRPr="00616C44">
        <w:rPr>
          <w:szCs w:val="26"/>
        </w:rPr>
        <w:t xml:space="preserve">, 479 A.2d 10, 15 (Pa.  Cmwlth. 1984), citing </w:t>
      </w:r>
      <w:r w:rsidRPr="00616C44">
        <w:rPr>
          <w:i/>
          <w:szCs w:val="26"/>
        </w:rPr>
        <w:t>Township of Middleton v. The Institute District of the County of Delaware</w:t>
      </w:r>
      <w:r w:rsidRPr="00616C44">
        <w:rPr>
          <w:szCs w:val="26"/>
        </w:rPr>
        <w:t xml:space="preserve">, 293 A.2d 885 (Pa. Cmwlth. 1972), </w:t>
      </w:r>
      <w:r w:rsidRPr="00616C44">
        <w:rPr>
          <w:i/>
          <w:szCs w:val="26"/>
        </w:rPr>
        <w:t>aff’d</w:t>
      </w:r>
      <w:r w:rsidRPr="00616C44">
        <w:rPr>
          <w:szCs w:val="26"/>
        </w:rPr>
        <w:t xml:space="preserve"> 450 Pa. 282, 299 A.2d 599 (Pa. Cmwlth. 1973).</w:t>
      </w:r>
    </w:p>
    <w:p w14:paraId="503E85F0" w14:textId="77777777" w:rsidR="001C79C2" w:rsidRPr="00616C44" w:rsidRDefault="001C79C2" w:rsidP="00330C0A">
      <w:pPr>
        <w:spacing w:line="360" w:lineRule="auto"/>
        <w:ind w:firstLine="1440"/>
        <w:rPr>
          <w:szCs w:val="26"/>
        </w:rPr>
      </w:pPr>
    </w:p>
    <w:p w14:paraId="09A537AF" w14:textId="45920621" w:rsidR="001C79C2" w:rsidRPr="00616C44" w:rsidRDefault="001C79C2" w:rsidP="00330C0A">
      <w:pPr>
        <w:spacing w:line="360" w:lineRule="auto"/>
        <w:ind w:firstLine="1440"/>
        <w:rPr>
          <w:szCs w:val="26"/>
        </w:rPr>
      </w:pPr>
      <w:r w:rsidRPr="00616C44">
        <w:rPr>
          <w:szCs w:val="26"/>
        </w:rPr>
        <w:t xml:space="preserve">The Commission is required to fix the time and place of a hearing in a complaint proceeding and to serve notice thereof upon the parties in interest.  </w:t>
      </w:r>
      <w:r w:rsidRPr="00616C44">
        <w:rPr>
          <w:i/>
          <w:szCs w:val="26"/>
        </w:rPr>
        <w:t>See</w:t>
      </w:r>
      <w:r w:rsidRPr="00616C44">
        <w:rPr>
          <w:szCs w:val="26"/>
        </w:rPr>
        <w:t xml:space="preserve"> 66 Pa. C.S. § 703(a)-(b).  Service on interested persons is sufficient to provide notice.  52 Pa. Code § 5.201(a).  Notice mailed to a party’s last known address and not returned by the post office is presumed to have been received.  </w:t>
      </w:r>
      <w:r w:rsidRPr="00616C44">
        <w:rPr>
          <w:i/>
          <w:szCs w:val="26"/>
        </w:rPr>
        <w:t>See</w:t>
      </w:r>
      <w:r>
        <w:rPr>
          <w:szCs w:val="26"/>
        </w:rPr>
        <w:t>,</w:t>
      </w:r>
      <w:r w:rsidRPr="00616C44">
        <w:rPr>
          <w:szCs w:val="26"/>
        </w:rPr>
        <w:t xml:space="preserve"> </w:t>
      </w:r>
      <w:r w:rsidRPr="00616C44">
        <w:rPr>
          <w:rFonts w:eastAsiaTheme="minorHAnsi"/>
          <w:i/>
          <w:color w:val="000000"/>
          <w:szCs w:val="26"/>
        </w:rPr>
        <w:t>Berkowitz v. Mayflower Securities, Inc</w:t>
      </w:r>
      <w:r w:rsidRPr="00616C44">
        <w:rPr>
          <w:rFonts w:eastAsiaTheme="minorHAnsi"/>
          <w:color w:val="000000"/>
          <w:szCs w:val="26"/>
        </w:rPr>
        <w:t>., 455 Pa. 531, 317 A.2d 584 (Pa. 1974)</w:t>
      </w:r>
      <w:r>
        <w:rPr>
          <w:rFonts w:eastAsiaTheme="minorHAnsi"/>
          <w:color w:val="000000"/>
          <w:szCs w:val="26"/>
        </w:rPr>
        <w:t xml:space="preserve"> (</w:t>
      </w:r>
      <w:r w:rsidRPr="003B6A81">
        <w:rPr>
          <w:rFonts w:eastAsiaTheme="minorHAnsi"/>
          <w:i/>
          <w:color w:val="000000"/>
          <w:szCs w:val="26"/>
        </w:rPr>
        <w:t>Mayflower</w:t>
      </w:r>
      <w:r>
        <w:rPr>
          <w:rFonts w:eastAsiaTheme="minorHAnsi"/>
          <w:color w:val="000000"/>
          <w:szCs w:val="26"/>
        </w:rPr>
        <w:t>)</w:t>
      </w:r>
      <w:r w:rsidRPr="00616C44">
        <w:rPr>
          <w:rFonts w:eastAsiaTheme="minorHAnsi"/>
          <w:color w:val="000000"/>
          <w:szCs w:val="26"/>
        </w:rPr>
        <w:t xml:space="preserve">; </w:t>
      </w:r>
      <w:r w:rsidRPr="00616C44">
        <w:rPr>
          <w:i/>
          <w:szCs w:val="26"/>
        </w:rPr>
        <w:t>Chartiers Industrial and Commercial Development Authority v. Allegheny County Board of Property Assessment Appeals and Review</w:t>
      </w:r>
      <w:r w:rsidRPr="00616C44">
        <w:rPr>
          <w:szCs w:val="26"/>
        </w:rPr>
        <w:t xml:space="preserve">, 645 A.2d 944, 946 (Pa. Cmwlth. 1994), </w:t>
      </w:r>
      <w:r w:rsidRPr="00616C44">
        <w:rPr>
          <w:i/>
          <w:szCs w:val="26"/>
        </w:rPr>
        <w:t>appeal denied</w:t>
      </w:r>
      <w:r w:rsidRPr="00616C44">
        <w:rPr>
          <w:szCs w:val="26"/>
        </w:rPr>
        <w:t xml:space="preserve"> 539 Pa. 696, 653 A.2d 1234 (1994); </w:t>
      </w:r>
      <w:r w:rsidRPr="00616C44">
        <w:rPr>
          <w:i/>
          <w:szCs w:val="26"/>
        </w:rPr>
        <w:t>Geary v. Verizon Pennsylvania Inc</w:t>
      </w:r>
      <w:r w:rsidRPr="00616C44">
        <w:rPr>
          <w:szCs w:val="26"/>
        </w:rPr>
        <w:t>., Docket No. C-2009-2118625 (Order entered September 16, 2010)</w:t>
      </w:r>
      <w:r>
        <w:rPr>
          <w:szCs w:val="26"/>
        </w:rPr>
        <w:t xml:space="preserve"> (</w:t>
      </w:r>
      <w:r w:rsidRPr="003B6A81">
        <w:rPr>
          <w:i/>
          <w:szCs w:val="26"/>
        </w:rPr>
        <w:t>Geary</w:t>
      </w:r>
      <w:r>
        <w:rPr>
          <w:szCs w:val="26"/>
        </w:rPr>
        <w:t>)</w:t>
      </w:r>
      <w:r w:rsidRPr="00616C44">
        <w:rPr>
          <w:szCs w:val="26"/>
        </w:rPr>
        <w:t>.</w:t>
      </w:r>
    </w:p>
    <w:p w14:paraId="2255F2D7" w14:textId="77777777" w:rsidR="001C79C2" w:rsidRPr="00616C44" w:rsidRDefault="001C79C2" w:rsidP="00330C0A">
      <w:pPr>
        <w:spacing w:line="360" w:lineRule="auto"/>
        <w:ind w:firstLine="1440"/>
        <w:rPr>
          <w:szCs w:val="26"/>
        </w:rPr>
      </w:pPr>
    </w:p>
    <w:p w14:paraId="5651F9C5" w14:textId="77777777" w:rsidR="001C79C2" w:rsidRPr="00616C44" w:rsidRDefault="001C79C2" w:rsidP="00330C0A">
      <w:pPr>
        <w:spacing w:line="360" w:lineRule="auto"/>
        <w:ind w:firstLine="1440"/>
        <w:rPr>
          <w:szCs w:val="26"/>
        </w:rPr>
      </w:pPr>
      <w:r w:rsidRPr="00616C44">
        <w:rPr>
          <w:szCs w:val="26"/>
        </w:rPr>
        <w:t xml:space="preserve">Once notice of a hearing and the opportunity to be heard have been provided by the Commission, it is the responsibility of the parties to appear and participate in the hearing.  </w:t>
      </w:r>
      <w:r w:rsidRPr="00616C44">
        <w:rPr>
          <w:i/>
          <w:szCs w:val="26"/>
        </w:rPr>
        <w:t>Mumma v. PPL Electric Utilities Corporation</w:t>
      </w:r>
      <w:r w:rsidRPr="00616C44">
        <w:rPr>
          <w:szCs w:val="26"/>
        </w:rPr>
        <w:t>, Docket No. C</w:t>
      </w:r>
      <w:r w:rsidR="00D17D12">
        <w:rPr>
          <w:szCs w:val="26"/>
        </w:rPr>
        <w:noBreakHyphen/>
      </w:r>
      <w:r w:rsidRPr="00616C44">
        <w:rPr>
          <w:szCs w:val="26"/>
        </w:rPr>
        <w:t>00014869 (Order entered January 24, 2002) (</w:t>
      </w:r>
      <w:r w:rsidRPr="00616C44">
        <w:rPr>
          <w:i/>
          <w:szCs w:val="26"/>
        </w:rPr>
        <w:t>Mumma</w:t>
      </w:r>
      <w:r w:rsidRPr="00616C44">
        <w:rPr>
          <w:szCs w:val="26"/>
        </w:rPr>
        <w:t xml:space="preserve">); </w:t>
      </w:r>
      <w:r w:rsidRPr="00616C44">
        <w:rPr>
          <w:i/>
          <w:szCs w:val="26"/>
        </w:rPr>
        <w:t>Sentner v. Bell Tel. Co. of PA</w:t>
      </w:r>
      <w:r w:rsidRPr="00616C44">
        <w:rPr>
          <w:szCs w:val="26"/>
        </w:rPr>
        <w:t>, Docket No. F-00161106 (Order entered October 25, 1993) (</w:t>
      </w:r>
      <w:r w:rsidRPr="00616C44">
        <w:rPr>
          <w:i/>
          <w:szCs w:val="26"/>
        </w:rPr>
        <w:t>Sentner</w:t>
      </w:r>
      <w:r w:rsidRPr="00616C44">
        <w:rPr>
          <w:szCs w:val="26"/>
        </w:rPr>
        <w:t>).</w:t>
      </w:r>
    </w:p>
    <w:p w14:paraId="21E7E857" w14:textId="77777777" w:rsidR="001C79C2" w:rsidRPr="00616C44" w:rsidRDefault="001C79C2" w:rsidP="00330C0A">
      <w:pPr>
        <w:spacing w:line="360" w:lineRule="auto"/>
        <w:ind w:firstLine="1440"/>
        <w:rPr>
          <w:szCs w:val="26"/>
        </w:rPr>
      </w:pPr>
    </w:p>
    <w:p w14:paraId="58C9090D" w14:textId="5A457086" w:rsidR="001C79C2" w:rsidRPr="00616C44" w:rsidRDefault="001C79C2" w:rsidP="00330C0A">
      <w:pPr>
        <w:spacing w:line="360" w:lineRule="auto"/>
        <w:ind w:firstLine="1440"/>
        <w:rPr>
          <w:szCs w:val="26"/>
        </w:rPr>
      </w:pPr>
      <w:r w:rsidRPr="00616C44">
        <w:rPr>
          <w:szCs w:val="26"/>
        </w:rPr>
        <w:t xml:space="preserve">A party to a proceeding has the right to request a continuance of </w:t>
      </w:r>
      <w:r>
        <w:rPr>
          <w:szCs w:val="26"/>
        </w:rPr>
        <w:t xml:space="preserve">the </w:t>
      </w:r>
      <w:r w:rsidRPr="00616C44">
        <w:rPr>
          <w:szCs w:val="26"/>
        </w:rPr>
        <w:t xml:space="preserve">hearing, which may be granted by the presiding officer for “good cause.”  </w:t>
      </w:r>
      <w:r w:rsidRPr="00616C44">
        <w:rPr>
          <w:i/>
          <w:szCs w:val="26"/>
        </w:rPr>
        <w:t>See</w:t>
      </w:r>
      <w:r w:rsidRPr="00616C44">
        <w:rPr>
          <w:szCs w:val="26"/>
        </w:rPr>
        <w:t xml:space="preserve"> 52 Pa. Code § 1.15(b).  Pursuant to the Commission’s Regulations, a continuance request is required to be in writing and filed with the presiding officer at least five days prior to the hearing date, except that, during a hearing, an oral request for hearing continuance may be made before the presiding officer in the hearing room.  </w:t>
      </w:r>
      <w:r w:rsidRPr="00616C44">
        <w:rPr>
          <w:i/>
          <w:szCs w:val="26"/>
        </w:rPr>
        <w:t>Id</w:t>
      </w:r>
      <w:r w:rsidRPr="00616C44">
        <w:rPr>
          <w:szCs w:val="26"/>
        </w:rPr>
        <w:t xml:space="preserve">.  When “good cause” is shown for a hearing continuance, the Commission has acknowledged that the public interest is better served when all litigants, particularly </w:t>
      </w:r>
      <w:r w:rsidRPr="00616C44">
        <w:rPr>
          <w:i/>
          <w:szCs w:val="26"/>
        </w:rPr>
        <w:t xml:space="preserve">pro se </w:t>
      </w:r>
      <w:r w:rsidRPr="00616C44">
        <w:rPr>
          <w:szCs w:val="26"/>
        </w:rPr>
        <w:t>litigants, are afforded a meaningful opportunity to be heard.</w:t>
      </w:r>
      <w:r>
        <w:rPr>
          <w:szCs w:val="26"/>
        </w:rPr>
        <w:t xml:space="preserve"> </w:t>
      </w:r>
      <w:r w:rsidRPr="00B57390">
        <w:rPr>
          <w:i/>
          <w:szCs w:val="26"/>
        </w:rPr>
        <w:t xml:space="preserve"> </w:t>
      </w:r>
      <w:r w:rsidRPr="00827E17">
        <w:rPr>
          <w:i/>
          <w:szCs w:val="26"/>
        </w:rPr>
        <w:t>See, e.g., Laurie Loucks v. Metropolitan Edison Company</w:t>
      </w:r>
      <w:r w:rsidRPr="00827E17">
        <w:rPr>
          <w:szCs w:val="26"/>
        </w:rPr>
        <w:t>, Docket No. C-2017-2619974 (Order entered May 16, 2018) (reversed ALJ’s decision to dismiss complaint with prejudice and remanded for hearing because the complainant attended and participated in the first scheduled hearing, which was not completed due to a technical problem with the teleconference line, and complainant sought a continuance of the rescheduled hearing to review the Company’s newly proffered exhibits for which there was question in record as to whether such exhibits had been timely served on the complainant pursuant to the pr</w:t>
      </w:r>
      <w:r>
        <w:rPr>
          <w:szCs w:val="26"/>
        </w:rPr>
        <w:t>ehearing order’s requirements).</w:t>
      </w:r>
      <w:r>
        <w:rPr>
          <w:rStyle w:val="FootnoteReference"/>
          <w:szCs w:val="26"/>
        </w:rPr>
        <w:footnoteReference w:id="2"/>
      </w:r>
    </w:p>
    <w:p w14:paraId="336D2173" w14:textId="77777777" w:rsidR="001C79C2" w:rsidRPr="00616C44" w:rsidRDefault="001C79C2" w:rsidP="00330C0A">
      <w:pPr>
        <w:spacing w:line="360" w:lineRule="auto"/>
        <w:ind w:firstLine="1440"/>
        <w:rPr>
          <w:szCs w:val="26"/>
        </w:rPr>
      </w:pPr>
    </w:p>
    <w:p w14:paraId="7CA8F790" w14:textId="77777777" w:rsidR="001C79C2" w:rsidRPr="00616C44" w:rsidRDefault="001C79C2" w:rsidP="00330C0A">
      <w:pPr>
        <w:spacing w:line="360" w:lineRule="auto"/>
        <w:ind w:firstLine="1440"/>
        <w:rPr>
          <w:color w:val="000000" w:themeColor="text1"/>
          <w:szCs w:val="26"/>
        </w:rPr>
      </w:pPr>
      <w:r w:rsidRPr="00616C44">
        <w:rPr>
          <w:szCs w:val="26"/>
        </w:rPr>
        <w:t xml:space="preserve">If a party fails to attend a scheduled hearing, such failure to appear will be deemed a waiver of the party’s opportunity to participate in a hearing, unless the presiding officer determines that such failure was “unavoidable” and that the interests of </w:t>
      </w:r>
      <w:r w:rsidRPr="00616C44">
        <w:rPr>
          <w:szCs w:val="26"/>
        </w:rPr>
        <w:lastRenderedPageBreak/>
        <w:t>the other parties and of the public would not be “prejudiced” by permitting such reopening or further examination.  66 Pa. C.S. § 332(f); 52 Pa. Code § 5.245(a)-(b).</w:t>
      </w:r>
    </w:p>
    <w:p w14:paraId="792E57C1" w14:textId="77777777" w:rsidR="001C79C2" w:rsidRPr="00616C44" w:rsidRDefault="001C79C2" w:rsidP="00330C0A">
      <w:pPr>
        <w:spacing w:line="360" w:lineRule="auto"/>
        <w:ind w:firstLine="1440"/>
        <w:rPr>
          <w:color w:val="000000" w:themeColor="text1"/>
          <w:szCs w:val="26"/>
        </w:rPr>
      </w:pPr>
    </w:p>
    <w:p w14:paraId="01E97E7A" w14:textId="77777777" w:rsidR="001C79C2" w:rsidRDefault="001C79C2" w:rsidP="00330C0A">
      <w:pPr>
        <w:spacing w:line="360" w:lineRule="auto"/>
        <w:ind w:firstLine="1440"/>
        <w:rPr>
          <w:szCs w:val="26"/>
        </w:rPr>
      </w:pPr>
      <w:r>
        <w:rPr>
          <w:szCs w:val="26"/>
        </w:rPr>
        <w:t xml:space="preserve">Based on </w:t>
      </w:r>
      <w:r w:rsidRPr="00616C44">
        <w:rPr>
          <w:szCs w:val="26"/>
        </w:rPr>
        <w:t xml:space="preserve">prior cases, to meet the “unavoidable” standard, the Commission will require a complainant to show, with supporting information, that the failure to appear was due to exigent circumstances.  </w:t>
      </w:r>
      <w:r w:rsidRPr="00827E17">
        <w:rPr>
          <w:i/>
          <w:szCs w:val="26"/>
        </w:rPr>
        <w:t xml:space="preserve">See, e.g., </w:t>
      </w:r>
      <w:r w:rsidRPr="0014180D">
        <w:rPr>
          <w:i/>
          <w:szCs w:val="26"/>
        </w:rPr>
        <w:t>El-Ayazra v. West Penn Power Company</w:t>
      </w:r>
      <w:r w:rsidRPr="0003143A">
        <w:rPr>
          <w:szCs w:val="26"/>
        </w:rPr>
        <w:t>, Docket No. F-2015-2509292 (Opinion and Order entered Jun</w:t>
      </w:r>
      <w:r>
        <w:rPr>
          <w:szCs w:val="26"/>
        </w:rPr>
        <w:t>e 30, 2016) (</w:t>
      </w:r>
      <w:r w:rsidRPr="0019321F">
        <w:rPr>
          <w:i/>
          <w:szCs w:val="26"/>
        </w:rPr>
        <w:t>El-Ayazra</w:t>
      </w:r>
      <w:r>
        <w:rPr>
          <w:szCs w:val="26"/>
        </w:rPr>
        <w:t xml:space="preserve">) (affirmed ALJ’s decision to dismiss complaint </w:t>
      </w:r>
      <w:r w:rsidRPr="0019321F">
        <w:rPr>
          <w:i/>
          <w:szCs w:val="26"/>
        </w:rPr>
        <w:t>with prejudice</w:t>
      </w:r>
      <w:r>
        <w:rPr>
          <w:szCs w:val="26"/>
        </w:rPr>
        <w:t xml:space="preserve"> because the complainant failed to follow the call-in instructions for the telephonic hearing).</w:t>
      </w:r>
      <w:r>
        <w:rPr>
          <w:rStyle w:val="FootnoteReference"/>
          <w:szCs w:val="26"/>
        </w:rPr>
        <w:footnoteReference w:id="3"/>
      </w:r>
    </w:p>
    <w:p w14:paraId="75A5CF6E" w14:textId="77777777" w:rsidR="001C79C2" w:rsidRDefault="001C79C2" w:rsidP="00330C0A">
      <w:pPr>
        <w:spacing w:line="360" w:lineRule="auto"/>
        <w:ind w:firstLine="1440"/>
        <w:rPr>
          <w:spacing w:val="-3"/>
          <w:szCs w:val="26"/>
        </w:rPr>
      </w:pPr>
    </w:p>
    <w:p w14:paraId="7513A93E" w14:textId="2D5A391A" w:rsidR="001C79C2" w:rsidRPr="00616C44" w:rsidRDefault="001C79C2" w:rsidP="00330C0A">
      <w:pPr>
        <w:spacing w:line="360" w:lineRule="auto"/>
        <w:ind w:firstLine="1440"/>
        <w:rPr>
          <w:szCs w:val="26"/>
        </w:rPr>
      </w:pPr>
      <w:r w:rsidRPr="00616C44">
        <w:rPr>
          <w:szCs w:val="26"/>
        </w:rPr>
        <w:t xml:space="preserve">Moreover, the Commission will exercise its discretion and excuse a complainant’s failure to appear at a hearing if the complainant demonstrates that he/she made a good faith attempt to attend the hearing.  </w:t>
      </w:r>
      <w:r w:rsidRPr="00827E17">
        <w:rPr>
          <w:i/>
          <w:szCs w:val="26"/>
        </w:rPr>
        <w:t>See, e.g., Yomari Then v. Philadelphia Gas Works</w:t>
      </w:r>
      <w:r w:rsidRPr="00827E17">
        <w:rPr>
          <w:szCs w:val="26"/>
        </w:rPr>
        <w:t xml:space="preserve">, Docket No. F-2012-2318264 (Order entered June 13, 2013) </w:t>
      </w:r>
      <w:r>
        <w:rPr>
          <w:szCs w:val="26"/>
        </w:rPr>
        <w:t>(</w:t>
      </w:r>
      <w:r w:rsidRPr="00DB65E9">
        <w:rPr>
          <w:i/>
          <w:szCs w:val="26"/>
        </w:rPr>
        <w:t>Yomari Then</w:t>
      </w:r>
      <w:r>
        <w:rPr>
          <w:szCs w:val="26"/>
        </w:rPr>
        <w:t xml:space="preserve">) </w:t>
      </w:r>
      <w:r w:rsidRPr="00827E17">
        <w:rPr>
          <w:szCs w:val="26"/>
        </w:rPr>
        <w:t>(vacated ALJ’s decision to dismiss complaint with prejudice and remanded for hearing because complainant attempted to attend the scheduled hearing and appeared in the correct building, but was unable to locate the hearing room in the buildi</w:t>
      </w:r>
      <w:r>
        <w:rPr>
          <w:szCs w:val="26"/>
        </w:rPr>
        <w:t xml:space="preserve">ng due to </w:t>
      </w:r>
      <w:r>
        <w:rPr>
          <w:szCs w:val="26"/>
        </w:rPr>
        <w:lastRenderedPageBreak/>
        <w:t>language challenges).</w:t>
      </w:r>
      <w:r>
        <w:rPr>
          <w:rStyle w:val="FootnoteReference"/>
          <w:szCs w:val="26"/>
        </w:rPr>
        <w:footnoteReference w:id="4"/>
      </w:r>
      <w:r>
        <w:rPr>
          <w:szCs w:val="26"/>
        </w:rPr>
        <w:t xml:space="preserve">  </w:t>
      </w:r>
      <w:r w:rsidRPr="00616C44">
        <w:rPr>
          <w:szCs w:val="26"/>
        </w:rPr>
        <w:t>I</w:t>
      </w:r>
      <w:r>
        <w:rPr>
          <w:szCs w:val="26"/>
        </w:rPr>
        <w:t>f</w:t>
      </w:r>
      <w:r w:rsidRPr="00616C44">
        <w:rPr>
          <w:szCs w:val="26"/>
        </w:rPr>
        <w:t xml:space="preserve"> </w:t>
      </w:r>
      <w:r>
        <w:rPr>
          <w:szCs w:val="26"/>
        </w:rPr>
        <w:t xml:space="preserve">a complainant’s failure to appear was unavoidable or if the complainant made a good faith attempt to appear, </w:t>
      </w:r>
      <w:r w:rsidRPr="00616C44">
        <w:rPr>
          <w:szCs w:val="26"/>
        </w:rPr>
        <w:t xml:space="preserve">the Commission has acknowledged that the public interest is better served when all litigants, particularly </w:t>
      </w:r>
      <w:r w:rsidRPr="00616C44">
        <w:rPr>
          <w:i/>
          <w:szCs w:val="26"/>
        </w:rPr>
        <w:t xml:space="preserve">pro se </w:t>
      </w:r>
      <w:r w:rsidRPr="00616C44">
        <w:rPr>
          <w:szCs w:val="26"/>
        </w:rPr>
        <w:t>litigants, are afforded a meaningful opportunity to be heard.</w:t>
      </w:r>
    </w:p>
    <w:p w14:paraId="0E50B13A" w14:textId="77777777" w:rsidR="001C79C2" w:rsidRPr="00616C44" w:rsidRDefault="001C79C2" w:rsidP="00330C0A">
      <w:pPr>
        <w:spacing w:line="360" w:lineRule="auto"/>
        <w:ind w:firstLine="1440"/>
        <w:rPr>
          <w:szCs w:val="26"/>
        </w:rPr>
      </w:pPr>
    </w:p>
    <w:p w14:paraId="48ABC1BB" w14:textId="5D021C32" w:rsidR="001C79C2" w:rsidRPr="00E012EE" w:rsidRDefault="001C79C2" w:rsidP="00330C0A">
      <w:pPr>
        <w:spacing w:line="360" w:lineRule="auto"/>
        <w:ind w:firstLine="1440"/>
        <w:rPr>
          <w:rFonts w:eastAsiaTheme="minorHAnsi"/>
          <w:sz w:val="22"/>
          <w:szCs w:val="22"/>
        </w:rPr>
      </w:pPr>
      <w:r w:rsidRPr="00616C44">
        <w:rPr>
          <w:szCs w:val="26"/>
        </w:rPr>
        <w:t>However, if a complainant’s failure to appear was not unavoidable, or if the complainant did not make a good faith attempt to attend the</w:t>
      </w:r>
      <w:r>
        <w:rPr>
          <w:szCs w:val="26"/>
        </w:rPr>
        <w:t xml:space="preserve"> duly scheduled</w:t>
      </w:r>
      <w:r w:rsidRPr="00616C44">
        <w:rPr>
          <w:szCs w:val="26"/>
        </w:rPr>
        <w:t xml:space="preserve"> hearing, the Commission has recognized that any further procedural activity in the docket would prejudice the public interest due to the wasteful use of the agency’s and the respondent’s time and resources in addressing the complaint.  </w:t>
      </w:r>
      <w:r w:rsidRPr="00827E17">
        <w:rPr>
          <w:i/>
          <w:szCs w:val="26"/>
        </w:rPr>
        <w:t>See Jefferson v. UGI Utilities, Inc.</w:t>
      </w:r>
      <w:r w:rsidRPr="00827E17">
        <w:rPr>
          <w:szCs w:val="26"/>
        </w:rPr>
        <w:t>,</w:t>
      </w:r>
      <w:r w:rsidRPr="00827E17">
        <w:rPr>
          <w:i/>
          <w:szCs w:val="26"/>
        </w:rPr>
        <w:t xml:space="preserve"> </w:t>
      </w:r>
      <w:r w:rsidRPr="00827E17">
        <w:rPr>
          <w:szCs w:val="26"/>
        </w:rPr>
        <w:t xml:space="preserve">Docket No. Z-00269892 (Order entered December 26, 1995) (“We are concerned with regard to the consequences that these </w:t>
      </w:r>
      <w:r w:rsidR="00A96F80">
        <w:rPr>
          <w:szCs w:val="26"/>
        </w:rPr>
        <w:t>‘</w:t>
      </w:r>
      <w:r w:rsidRPr="00827E17">
        <w:rPr>
          <w:szCs w:val="26"/>
        </w:rPr>
        <w:t>no-show</w:t>
      </w:r>
      <w:r w:rsidR="00A96F80">
        <w:rPr>
          <w:szCs w:val="26"/>
        </w:rPr>
        <w:t>’</w:t>
      </w:r>
      <w:r w:rsidRPr="00827E17">
        <w:rPr>
          <w:szCs w:val="26"/>
        </w:rPr>
        <w:t xml:space="preserve"> cases have on the already strained budget of the Commission</w:t>
      </w:r>
      <w:r w:rsidRPr="00827E17">
        <w:rPr>
          <w:i/>
          <w:szCs w:val="26"/>
        </w:rPr>
        <w:t xml:space="preserve">. </w:t>
      </w:r>
      <w:r w:rsidRPr="00827E17">
        <w:rPr>
          <w:szCs w:val="26"/>
        </w:rPr>
        <w:t xml:space="preserve"> Such cases waste the time and resources of the Commission and the utility.  We cannot condone the wastefulness of [a procedure] that permits a “no-show complainant” to refile a complaint and thereby institute yet another stay of termination on the account.  Such misuse of the process as in the case before us cannot be tolerated.”) (</w:t>
      </w:r>
      <w:r w:rsidRPr="00827E17">
        <w:rPr>
          <w:i/>
          <w:szCs w:val="26"/>
        </w:rPr>
        <w:t>Jefferson</w:t>
      </w:r>
      <w:r>
        <w:rPr>
          <w:szCs w:val="26"/>
        </w:rPr>
        <w:t xml:space="preserve">); </w:t>
      </w:r>
      <w:r w:rsidRPr="0019321F">
        <w:rPr>
          <w:i/>
          <w:szCs w:val="26"/>
        </w:rPr>
        <w:t>see also</w:t>
      </w:r>
      <w:r w:rsidRPr="00AA5462">
        <w:rPr>
          <w:szCs w:val="26"/>
        </w:rPr>
        <w:t>,</w:t>
      </w:r>
      <w:r>
        <w:rPr>
          <w:szCs w:val="26"/>
        </w:rPr>
        <w:t xml:space="preserve"> </w:t>
      </w:r>
      <w:r w:rsidRPr="00604C39">
        <w:rPr>
          <w:i/>
          <w:szCs w:val="26"/>
        </w:rPr>
        <w:t>supra</w:t>
      </w:r>
      <w:r>
        <w:rPr>
          <w:szCs w:val="26"/>
        </w:rPr>
        <w:t xml:space="preserve">, </w:t>
      </w:r>
      <w:r w:rsidRPr="00827E17">
        <w:rPr>
          <w:i/>
          <w:szCs w:val="26"/>
        </w:rPr>
        <w:t>e.g.,</w:t>
      </w:r>
      <w:r>
        <w:rPr>
          <w:i/>
          <w:szCs w:val="26"/>
        </w:rPr>
        <w:t xml:space="preserve"> </w:t>
      </w:r>
      <w:r w:rsidRPr="00827E17">
        <w:rPr>
          <w:i/>
          <w:szCs w:val="26"/>
        </w:rPr>
        <w:t>Santore Smith</w:t>
      </w:r>
      <w:r w:rsidRPr="00604C39">
        <w:rPr>
          <w:szCs w:val="26"/>
        </w:rPr>
        <w:t>;</w:t>
      </w:r>
      <w:r>
        <w:rPr>
          <w:szCs w:val="26"/>
        </w:rPr>
        <w:t xml:space="preserve"> </w:t>
      </w:r>
      <w:r w:rsidRPr="00827E17">
        <w:rPr>
          <w:i/>
          <w:szCs w:val="26"/>
        </w:rPr>
        <w:t>Osuji</w:t>
      </w:r>
      <w:r w:rsidRPr="00604C39">
        <w:rPr>
          <w:szCs w:val="26"/>
        </w:rPr>
        <w:t>;</w:t>
      </w:r>
      <w:r w:rsidRPr="00827E17">
        <w:rPr>
          <w:i/>
          <w:szCs w:val="26"/>
        </w:rPr>
        <w:t xml:space="preserve"> </w:t>
      </w:r>
      <w:r w:rsidRPr="00AA5462">
        <w:rPr>
          <w:i/>
          <w:szCs w:val="26"/>
        </w:rPr>
        <w:t>Nichols III</w:t>
      </w:r>
      <w:r>
        <w:rPr>
          <w:szCs w:val="26"/>
        </w:rPr>
        <w:t xml:space="preserve">.  </w:t>
      </w:r>
      <w:r w:rsidRPr="00616C44">
        <w:rPr>
          <w:szCs w:val="26"/>
        </w:rPr>
        <w:t xml:space="preserve">In such instances, to preserve judicial economy, the Commission typically will dismiss a complaint, </w:t>
      </w:r>
      <w:r w:rsidRPr="00616C44">
        <w:rPr>
          <w:i/>
          <w:szCs w:val="26"/>
        </w:rPr>
        <w:t>with prejudice</w:t>
      </w:r>
      <w:r w:rsidRPr="00616C44">
        <w:rPr>
          <w:szCs w:val="26"/>
        </w:rPr>
        <w:t>, barring the complainant from filing another complaint raising the same claims and issues presented in the dismissed complaint.</w:t>
      </w:r>
    </w:p>
    <w:p w14:paraId="0033FD9A" w14:textId="77777777" w:rsidR="001C79C2" w:rsidRDefault="001C79C2" w:rsidP="00330C0A">
      <w:pPr>
        <w:spacing w:line="360" w:lineRule="auto"/>
        <w:ind w:firstLine="1440"/>
        <w:rPr>
          <w:szCs w:val="26"/>
        </w:rPr>
      </w:pPr>
    </w:p>
    <w:p w14:paraId="6594A82D" w14:textId="77777777" w:rsidR="001C79C2" w:rsidRDefault="001C79C2" w:rsidP="00330C0A">
      <w:pPr>
        <w:keepNext/>
        <w:keepLines/>
        <w:spacing w:line="360" w:lineRule="auto"/>
        <w:ind w:firstLine="720"/>
        <w:rPr>
          <w:b/>
          <w:szCs w:val="26"/>
        </w:rPr>
      </w:pPr>
      <w:r>
        <w:rPr>
          <w:b/>
          <w:szCs w:val="26"/>
        </w:rPr>
        <w:t>Burden of Proof</w:t>
      </w:r>
    </w:p>
    <w:p w14:paraId="1304BF23" w14:textId="77777777" w:rsidR="001C79C2" w:rsidRPr="00FC3806" w:rsidRDefault="001C79C2" w:rsidP="00330C0A">
      <w:pPr>
        <w:keepNext/>
        <w:keepLines/>
        <w:spacing w:line="360" w:lineRule="auto"/>
        <w:rPr>
          <w:b/>
          <w:szCs w:val="26"/>
        </w:rPr>
      </w:pPr>
    </w:p>
    <w:p w14:paraId="38255C16" w14:textId="77777777" w:rsidR="001C79C2" w:rsidRPr="00BC7E17" w:rsidRDefault="001C79C2" w:rsidP="00330C0A">
      <w:pPr>
        <w:spacing w:line="360" w:lineRule="auto"/>
        <w:ind w:firstLine="1440"/>
        <w:contextualSpacing/>
        <w:rPr>
          <w:szCs w:val="26"/>
        </w:rPr>
      </w:pPr>
      <w:r w:rsidRPr="00BC7E17">
        <w:rPr>
          <w:szCs w:val="26"/>
        </w:rPr>
        <w:t xml:space="preserve">As a matter of law, to establish a legally sufficient claim, a complainant must show that the named utility is responsible or accountable for the problem described in the complaint in order to prevail.  </w:t>
      </w:r>
      <w:r w:rsidRPr="00BC7E17">
        <w:rPr>
          <w:i/>
          <w:szCs w:val="26"/>
        </w:rPr>
        <w:t>Patterson v. The Bell Telephone Company of Pennsylvania</w:t>
      </w:r>
      <w:r w:rsidRPr="00BC7E17">
        <w:rPr>
          <w:szCs w:val="26"/>
        </w:rPr>
        <w:t>, 72 Pa. P.U.C. 196 (1990).  The offense must be a violation of the Public Utility Code</w:t>
      </w:r>
      <w:r>
        <w:rPr>
          <w:szCs w:val="26"/>
        </w:rPr>
        <w:t xml:space="preserve"> (Code)</w:t>
      </w:r>
      <w:r w:rsidRPr="00BC7E17">
        <w:rPr>
          <w:szCs w:val="26"/>
        </w:rPr>
        <w:t>, a Commission Regulation or Order or a violation of a Commission-approved tariff.  66 Pa. C.S. § 701.</w:t>
      </w:r>
    </w:p>
    <w:p w14:paraId="0C4A7E94" w14:textId="77777777" w:rsidR="001C79C2" w:rsidRPr="00BC7E17" w:rsidRDefault="001C79C2" w:rsidP="00330C0A">
      <w:pPr>
        <w:spacing w:line="360" w:lineRule="auto"/>
        <w:ind w:firstLine="1440"/>
        <w:rPr>
          <w:szCs w:val="26"/>
        </w:rPr>
      </w:pPr>
    </w:p>
    <w:p w14:paraId="20E6AB4A" w14:textId="77777777" w:rsidR="001C79C2" w:rsidRDefault="001C79C2" w:rsidP="00330C0A">
      <w:pPr>
        <w:spacing w:line="360" w:lineRule="auto"/>
        <w:ind w:firstLine="1440"/>
        <w:rPr>
          <w:rFonts w:ascii="Arial" w:hAnsi="Arial" w:cs="Arial"/>
          <w:sz w:val="21"/>
          <w:szCs w:val="21"/>
        </w:rPr>
      </w:pPr>
      <w:r w:rsidRPr="00BC7E17">
        <w:rPr>
          <w:szCs w:val="26"/>
        </w:rPr>
        <w:t xml:space="preserve">Section 332(a) of the Code provides that a complainant, as the party seeking affirmative relief from the Commission, has the burden of proof.  66 Pa. C.S. § 332(a).  The </w:t>
      </w:r>
      <w:r>
        <w:rPr>
          <w:szCs w:val="26"/>
        </w:rPr>
        <w:t xml:space="preserve">evidentiary </w:t>
      </w:r>
      <w:r w:rsidRPr="00BC7E17">
        <w:rPr>
          <w:szCs w:val="26"/>
        </w:rPr>
        <w:t xml:space="preserve">burden of proof for actions before the Commission is the “preponderance of the evidence” standard.  </w:t>
      </w:r>
      <w:r w:rsidRPr="00BC7E17">
        <w:rPr>
          <w:i/>
          <w:szCs w:val="26"/>
        </w:rPr>
        <w:t>Suber v. Pennsylvania Com’n on Crime and Deliquency</w:t>
      </w:r>
      <w:r w:rsidRPr="00BC7E17">
        <w:rPr>
          <w:szCs w:val="26"/>
        </w:rPr>
        <w:t>, 885 A. 2d 678, 682 (Pa. Cmwlth. 2005) (</w:t>
      </w:r>
      <w:r w:rsidRPr="00BC7E17">
        <w:rPr>
          <w:i/>
          <w:szCs w:val="26"/>
        </w:rPr>
        <w:t>Suber</w:t>
      </w:r>
      <w:r w:rsidRPr="00BC7E17">
        <w:rPr>
          <w:szCs w:val="26"/>
        </w:rPr>
        <w:t xml:space="preserve">); </w:t>
      </w:r>
      <w:r w:rsidRPr="00BC7E17">
        <w:rPr>
          <w:i/>
          <w:iCs/>
          <w:szCs w:val="26"/>
        </w:rPr>
        <w:t>Samuel J. Lansberry, Inc. v. Pa. PUC</w:t>
      </w:r>
      <w:r w:rsidRPr="00BC7E17">
        <w:rPr>
          <w:szCs w:val="26"/>
        </w:rPr>
        <w:t xml:space="preserve">, 578 A.2d 600 (Pa. Cmwlth. 1990), </w:t>
      </w:r>
      <w:r w:rsidRPr="00BC7E17">
        <w:rPr>
          <w:i/>
          <w:szCs w:val="26"/>
        </w:rPr>
        <w:t>alloc. denied,</w:t>
      </w:r>
      <w:r w:rsidRPr="00BC7E17">
        <w:rPr>
          <w:szCs w:val="26"/>
        </w:rPr>
        <w:t xml:space="preserve"> 529 Pa. 654, 602 A.2d 863 (1992) (</w:t>
      </w:r>
      <w:r w:rsidRPr="00BC7E17">
        <w:rPr>
          <w:i/>
          <w:szCs w:val="26"/>
        </w:rPr>
        <w:t>Lansberry</w:t>
      </w:r>
      <w:r w:rsidRPr="00BC7E17">
        <w:rPr>
          <w:szCs w:val="26"/>
        </w:rPr>
        <w:t xml:space="preserve">); </w:t>
      </w:r>
      <w:r w:rsidRPr="00BC7E17">
        <w:rPr>
          <w:i/>
          <w:szCs w:val="26"/>
        </w:rPr>
        <w:t>see also</w:t>
      </w:r>
      <w:r w:rsidRPr="00BC7E17">
        <w:rPr>
          <w:rFonts w:ascii="Arial" w:hAnsi="Arial" w:cs="Arial"/>
          <w:i/>
          <w:sz w:val="21"/>
          <w:szCs w:val="21"/>
        </w:rPr>
        <w:t xml:space="preserve"> </w:t>
      </w:r>
      <w:r w:rsidRPr="00BC7E17">
        <w:rPr>
          <w:i/>
          <w:iCs/>
          <w:szCs w:val="26"/>
        </w:rPr>
        <w:t>North American Coal Corp. v. Air Pollution Commission,</w:t>
      </w:r>
      <w:r w:rsidRPr="00BC7E17">
        <w:rPr>
          <w:szCs w:val="26"/>
        </w:rPr>
        <w:t xml:space="preserve"> 279 A.2d 356 (Pa. Cmwlth. 1971).  To establish a fact or claim by a preponderance of the evidence means to offer the greater weight of the evidence, or evidence that outweighs, or is more convincing than, by even the smallest amount, the probative value of the evidence presented by the other party.  </w:t>
      </w:r>
      <w:r w:rsidRPr="00BC7E17">
        <w:rPr>
          <w:i/>
          <w:szCs w:val="26"/>
        </w:rPr>
        <w:t xml:space="preserve">See </w:t>
      </w:r>
      <w:r w:rsidRPr="00BC7E17">
        <w:rPr>
          <w:i/>
          <w:iCs/>
          <w:szCs w:val="26"/>
        </w:rPr>
        <w:t>Se-Ling Hosiery, Inc. v. Margulies,</w:t>
      </w:r>
      <w:r w:rsidRPr="00BC7E17">
        <w:rPr>
          <w:szCs w:val="26"/>
        </w:rPr>
        <w:t xml:space="preserve"> 364 Pa. 45, 48-49, 70 A.2d 854, 855 (1950).</w:t>
      </w:r>
    </w:p>
    <w:p w14:paraId="4C460036" w14:textId="77777777" w:rsidR="001C79C2" w:rsidRDefault="001C79C2" w:rsidP="00330C0A">
      <w:pPr>
        <w:spacing w:line="360" w:lineRule="auto"/>
        <w:contextualSpacing/>
        <w:rPr>
          <w:szCs w:val="26"/>
        </w:rPr>
      </w:pPr>
    </w:p>
    <w:p w14:paraId="3482F8A6" w14:textId="77777777" w:rsidR="00F81942" w:rsidRDefault="001C79C2" w:rsidP="00330C0A">
      <w:pPr>
        <w:keepNext/>
        <w:keepLines/>
        <w:spacing w:line="360" w:lineRule="auto"/>
        <w:rPr>
          <w:b/>
          <w:szCs w:val="26"/>
        </w:rPr>
      </w:pPr>
      <w:r>
        <w:rPr>
          <w:b/>
          <w:szCs w:val="26"/>
        </w:rPr>
        <w:t>ALJ’s Initial Decision</w:t>
      </w:r>
    </w:p>
    <w:p w14:paraId="1F89DAC3" w14:textId="77777777" w:rsidR="001C79C2" w:rsidRPr="001C79C2" w:rsidRDefault="001C79C2" w:rsidP="00330C0A">
      <w:pPr>
        <w:keepNext/>
        <w:keepLines/>
        <w:spacing w:line="360" w:lineRule="auto"/>
        <w:rPr>
          <w:szCs w:val="26"/>
        </w:rPr>
      </w:pPr>
    </w:p>
    <w:p w14:paraId="069A383F" w14:textId="6A3D4848" w:rsidR="00C42659" w:rsidRDefault="00166C52" w:rsidP="00330C0A">
      <w:pPr>
        <w:spacing w:line="360" w:lineRule="auto"/>
        <w:ind w:firstLine="1440"/>
        <w:rPr>
          <w:szCs w:val="26"/>
        </w:rPr>
      </w:pPr>
      <w:r>
        <w:rPr>
          <w:szCs w:val="26"/>
        </w:rPr>
        <w:t>ALJ</w:t>
      </w:r>
      <w:r w:rsidR="00DF7F58">
        <w:rPr>
          <w:szCs w:val="26"/>
        </w:rPr>
        <w:t xml:space="preserve"> </w:t>
      </w:r>
      <w:r w:rsidR="001C79C2">
        <w:rPr>
          <w:szCs w:val="26"/>
        </w:rPr>
        <w:t xml:space="preserve">Brady </w:t>
      </w:r>
      <w:r w:rsidR="00C42659" w:rsidRPr="00C42659">
        <w:rPr>
          <w:szCs w:val="26"/>
        </w:rPr>
        <w:t xml:space="preserve">made </w:t>
      </w:r>
      <w:r w:rsidR="00AB170E">
        <w:rPr>
          <w:szCs w:val="26"/>
        </w:rPr>
        <w:t>sixteen</w:t>
      </w:r>
      <w:r>
        <w:rPr>
          <w:szCs w:val="26"/>
        </w:rPr>
        <w:t xml:space="preserve"> </w:t>
      </w:r>
      <w:r w:rsidR="00C42659" w:rsidRPr="00C42659">
        <w:rPr>
          <w:szCs w:val="26"/>
        </w:rPr>
        <w:t>Findings of Fact and reached</w:t>
      </w:r>
      <w:r w:rsidR="00DF7F58">
        <w:rPr>
          <w:szCs w:val="26"/>
        </w:rPr>
        <w:t xml:space="preserve"> </w:t>
      </w:r>
      <w:r w:rsidR="00AB170E">
        <w:rPr>
          <w:szCs w:val="26"/>
        </w:rPr>
        <w:t>three</w:t>
      </w:r>
      <w:r w:rsidR="00C42659" w:rsidRPr="00C42659">
        <w:rPr>
          <w:szCs w:val="26"/>
        </w:rPr>
        <w:t xml:space="preserve"> Conclusions of Law.</w:t>
      </w:r>
      <w:r w:rsidR="00DF7F58">
        <w:rPr>
          <w:szCs w:val="26"/>
        </w:rPr>
        <w:t xml:space="preserve">  I.D. at </w:t>
      </w:r>
      <w:r w:rsidR="00AB170E">
        <w:rPr>
          <w:szCs w:val="26"/>
        </w:rPr>
        <w:t>4-5</w:t>
      </w:r>
      <w:r w:rsidR="00DF7F58">
        <w:rPr>
          <w:szCs w:val="26"/>
        </w:rPr>
        <w:t xml:space="preserve">, </w:t>
      </w:r>
      <w:r w:rsidR="00AB170E">
        <w:rPr>
          <w:szCs w:val="26"/>
        </w:rPr>
        <w:t>7</w:t>
      </w:r>
      <w:r w:rsidR="00DF7F58">
        <w:rPr>
          <w:szCs w:val="26"/>
        </w:rPr>
        <w:t>.</w:t>
      </w:r>
      <w:r w:rsidR="00C42659" w:rsidRPr="00C42659">
        <w:rPr>
          <w:szCs w:val="26"/>
        </w:rPr>
        <w:t xml:space="preserve">  The Findings of Fact and Conclusions of Law are incorporated herein by reference and are adopted without comment unless they are either expressly or by necessary implication rejected or modified by this Opinion and Order.</w:t>
      </w:r>
    </w:p>
    <w:p w14:paraId="656C6E59" w14:textId="77777777" w:rsidR="00D17D12" w:rsidRDefault="00D17D12" w:rsidP="00330C0A">
      <w:pPr>
        <w:spacing w:line="360" w:lineRule="auto"/>
        <w:ind w:firstLine="1440"/>
        <w:rPr>
          <w:szCs w:val="26"/>
        </w:rPr>
      </w:pPr>
    </w:p>
    <w:p w14:paraId="0BD245A5" w14:textId="1CACE40D" w:rsidR="00340059" w:rsidRDefault="00340059" w:rsidP="00330C0A">
      <w:pPr>
        <w:spacing w:line="360" w:lineRule="auto"/>
        <w:ind w:firstLine="1440"/>
        <w:rPr>
          <w:rFonts w:eastAsiaTheme="minorHAnsi"/>
          <w:color w:val="000000"/>
          <w:szCs w:val="26"/>
        </w:rPr>
      </w:pPr>
      <w:r>
        <w:rPr>
          <w:szCs w:val="26"/>
        </w:rPr>
        <w:t xml:space="preserve">The ALJ noted that </w:t>
      </w:r>
      <w:r w:rsidR="004E37FA">
        <w:rPr>
          <w:szCs w:val="26"/>
        </w:rPr>
        <w:t xml:space="preserve">on September 7, 2018, </w:t>
      </w:r>
      <w:r>
        <w:rPr>
          <w:szCs w:val="26"/>
        </w:rPr>
        <w:t xml:space="preserve">the Commission sent </w:t>
      </w:r>
      <w:r w:rsidR="004E37FA">
        <w:rPr>
          <w:szCs w:val="26"/>
        </w:rPr>
        <w:t xml:space="preserve">notice of the initial hearing in this case </w:t>
      </w:r>
      <w:r w:rsidRPr="0003143A">
        <w:rPr>
          <w:szCs w:val="26"/>
        </w:rPr>
        <w:t>to the Complainant by regular first</w:t>
      </w:r>
      <w:r>
        <w:rPr>
          <w:szCs w:val="26"/>
        </w:rPr>
        <w:t>-</w:t>
      </w:r>
      <w:r w:rsidRPr="0003143A">
        <w:rPr>
          <w:szCs w:val="26"/>
        </w:rPr>
        <w:t>class mai</w:t>
      </w:r>
      <w:r>
        <w:rPr>
          <w:szCs w:val="26"/>
        </w:rPr>
        <w:t xml:space="preserve">l, and such </w:t>
      </w:r>
      <w:r w:rsidRPr="0003143A">
        <w:rPr>
          <w:szCs w:val="26"/>
        </w:rPr>
        <w:t>notice</w:t>
      </w:r>
      <w:r>
        <w:rPr>
          <w:szCs w:val="26"/>
        </w:rPr>
        <w:t xml:space="preserve"> was not returned to </w:t>
      </w:r>
      <w:r w:rsidR="001742A4">
        <w:rPr>
          <w:szCs w:val="26"/>
        </w:rPr>
        <w:t xml:space="preserve">the </w:t>
      </w:r>
      <w:r>
        <w:rPr>
          <w:szCs w:val="26"/>
        </w:rPr>
        <w:t>sender as undeliverable.</w:t>
      </w:r>
      <w:r w:rsidRPr="0003143A">
        <w:rPr>
          <w:szCs w:val="26"/>
        </w:rPr>
        <w:t xml:space="preserve"> </w:t>
      </w:r>
      <w:r>
        <w:rPr>
          <w:szCs w:val="26"/>
        </w:rPr>
        <w:t xml:space="preserve"> T</w:t>
      </w:r>
      <w:r>
        <w:rPr>
          <w:rFonts w:eastAsiaTheme="minorHAnsi"/>
          <w:color w:val="000000"/>
          <w:szCs w:val="26"/>
        </w:rPr>
        <w:t>he ALJ also noted that the Prehearing O</w:t>
      </w:r>
      <w:r w:rsidRPr="0003143A">
        <w:rPr>
          <w:rFonts w:eastAsiaTheme="minorHAnsi"/>
          <w:color w:val="000000"/>
          <w:szCs w:val="26"/>
        </w:rPr>
        <w:t>rder</w:t>
      </w:r>
      <w:r>
        <w:rPr>
          <w:rFonts w:eastAsiaTheme="minorHAnsi"/>
          <w:color w:val="000000"/>
          <w:szCs w:val="26"/>
        </w:rPr>
        <w:t xml:space="preserve"> </w:t>
      </w:r>
      <w:r w:rsidR="004E37FA">
        <w:rPr>
          <w:rFonts w:eastAsiaTheme="minorHAnsi"/>
          <w:color w:val="000000"/>
          <w:szCs w:val="26"/>
        </w:rPr>
        <w:t xml:space="preserve">that </w:t>
      </w:r>
      <w:r w:rsidRPr="0003143A">
        <w:rPr>
          <w:rFonts w:eastAsiaTheme="minorHAnsi"/>
          <w:color w:val="000000"/>
          <w:szCs w:val="26"/>
        </w:rPr>
        <w:t xml:space="preserve">was mailed </w:t>
      </w:r>
      <w:r w:rsidR="001742A4">
        <w:rPr>
          <w:rFonts w:eastAsiaTheme="minorHAnsi"/>
          <w:color w:val="000000"/>
          <w:szCs w:val="26"/>
        </w:rPr>
        <w:t xml:space="preserve">to the Complainant </w:t>
      </w:r>
      <w:r w:rsidR="004E37FA">
        <w:rPr>
          <w:rFonts w:eastAsiaTheme="minorHAnsi"/>
          <w:color w:val="000000"/>
          <w:szCs w:val="26"/>
        </w:rPr>
        <w:t>on June 5, 2018, contained a warning in bold type advising that: “THE COMPLAINT WILL BE DISMISSED IF THE CUSTOMER FAILS TO PARTICIPATE IN THE HEARING AND PRESENT EVIDENCE IN SUPPORT OF THE COMPLAINT.”  The ALJ also noted that on October 19, 2018, he issued an Order denying the Complainant’s second request for a continuance an</w:t>
      </w:r>
      <w:r w:rsidR="001742A4">
        <w:rPr>
          <w:rFonts w:eastAsiaTheme="minorHAnsi"/>
          <w:color w:val="000000"/>
          <w:szCs w:val="26"/>
        </w:rPr>
        <w:t>d</w:t>
      </w:r>
      <w:r w:rsidR="004E37FA">
        <w:rPr>
          <w:rFonts w:eastAsiaTheme="minorHAnsi"/>
          <w:color w:val="000000"/>
          <w:szCs w:val="26"/>
        </w:rPr>
        <w:t xml:space="preserve"> informing him that the hearing would proceed as scheduled on October 29, 2018, at 10 a.m.  According to </w:t>
      </w:r>
      <w:r w:rsidR="001742A4">
        <w:rPr>
          <w:rFonts w:eastAsiaTheme="minorHAnsi"/>
          <w:color w:val="000000"/>
          <w:szCs w:val="26"/>
        </w:rPr>
        <w:t xml:space="preserve">the </w:t>
      </w:r>
      <w:r w:rsidR="004E37FA">
        <w:rPr>
          <w:rFonts w:eastAsiaTheme="minorHAnsi"/>
          <w:color w:val="000000"/>
          <w:szCs w:val="26"/>
        </w:rPr>
        <w:t xml:space="preserve">ALJ, neither </w:t>
      </w:r>
      <w:r w:rsidR="001742A4">
        <w:rPr>
          <w:rFonts w:eastAsiaTheme="minorHAnsi"/>
          <w:color w:val="000000"/>
          <w:szCs w:val="26"/>
        </w:rPr>
        <w:t>O</w:t>
      </w:r>
      <w:r w:rsidR="004E37FA">
        <w:rPr>
          <w:rFonts w:eastAsiaTheme="minorHAnsi"/>
          <w:color w:val="000000"/>
          <w:szCs w:val="26"/>
        </w:rPr>
        <w:t>rder w</w:t>
      </w:r>
      <w:r w:rsidR="001742A4">
        <w:rPr>
          <w:rFonts w:eastAsiaTheme="minorHAnsi"/>
          <w:color w:val="000000"/>
          <w:szCs w:val="26"/>
        </w:rPr>
        <w:t>as</w:t>
      </w:r>
      <w:r w:rsidR="004E37FA">
        <w:rPr>
          <w:rFonts w:eastAsiaTheme="minorHAnsi"/>
          <w:color w:val="000000"/>
          <w:szCs w:val="26"/>
        </w:rPr>
        <w:t xml:space="preserve"> retu</w:t>
      </w:r>
      <w:r w:rsidR="001742A4">
        <w:rPr>
          <w:rFonts w:eastAsiaTheme="minorHAnsi"/>
          <w:color w:val="000000"/>
          <w:szCs w:val="26"/>
        </w:rPr>
        <w:t>r</w:t>
      </w:r>
      <w:r w:rsidR="004E37FA">
        <w:rPr>
          <w:rFonts w:eastAsiaTheme="minorHAnsi"/>
          <w:color w:val="000000"/>
          <w:szCs w:val="26"/>
        </w:rPr>
        <w:t xml:space="preserve">ned by </w:t>
      </w:r>
      <w:r w:rsidR="001742A4">
        <w:rPr>
          <w:rFonts w:eastAsiaTheme="minorHAnsi"/>
          <w:color w:val="000000"/>
          <w:szCs w:val="26"/>
        </w:rPr>
        <w:t>the United States P</w:t>
      </w:r>
      <w:r w:rsidR="004E37FA">
        <w:rPr>
          <w:rFonts w:eastAsiaTheme="minorHAnsi"/>
          <w:color w:val="000000"/>
          <w:szCs w:val="26"/>
        </w:rPr>
        <w:t xml:space="preserve">ostal </w:t>
      </w:r>
      <w:r w:rsidR="001742A4">
        <w:rPr>
          <w:rFonts w:eastAsiaTheme="minorHAnsi"/>
          <w:color w:val="000000"/>
          <w:szCs w:val="26"/>
        </w:rPr>
        <w:t>S</w:t>
      </w:r>
      <w:r w:rsidR="004E37FA">
        <w:rPr>
          <w:rFonts w:eastAsiaTheme="minorHAnsi"/>
          <w:color w:val="000000"/>
          <w:szCs w:val="26"/>
        </w:rPr>
        <w:t>ervice as undeliverable.</w:t>
      </w:r>
      <w:r w:rsidR="00131317">
        <w:rPr>
          <w:rFonts w:eastAsiaTheme="minorHAnsi"/>
          <w:color w:val="000000"/>
          <w:szCs w:val="26"/>
        </w:rPr>
        <w:t xml:space="preserve">  </w:t>
      </w:r>
      <w:r>
        <w:rPr>
          <w:szCs w:val="26"/>
        </w:rPr>
        <w:t>The ALJ recognized that,</w:t>
      </w:r>
      <w:r w:rsidRPr="00CF3F20">
        <w:rPr>
          <w:rFonts w:eastAsiaTheme="minorHAnsi"/>
          <w:color w:val="000000"/>
          <w:szCs w:val="26"/>
        </w:rPr>
        <w:t xml:space="preserve"> </w:t>
      </w:r>
      <w:r w:rsidRPr="0003143A">
        <w:rPr>
          <w:rFonts w:eastAsiaTheme="minorHAnsi"/>
          <w:color w:val="000000"/>
          <w:szCs w:val="26"/>
        </w:rPr>
        <w:t xml:space="preserve">under </w:t>
      </w:r>
      <w:r>
        <w:rPr>
          <w:rFonts w:eastAsiaTheme="minorHAnsi"/>
          <w:color w:val="000000"/>
          <w:szCs w:val="26"/>
        </w:rPr>
        <w:t>such</w:t>
      </w:r>
      <w:r w:rsidRPr="0003143A">
        <w:rPr>
          <w:rFonts w:eastAsiaTheme="minorHAnsi"/>
          <w:color w:val="000000"/>
          <w:szCs w:val="26"/>
        </w:rPr>
        <w:t xml:space="preserve"> circumstances,</w:t>
      </w:r>
      <w:r>
        <w:rPr>
          <w:szCs w:val="26"/>
        </w:rPr>
        <w:t xml:space="preserve"> the rebuttable presumption is that the Hearing Notice and the Prehearing Order had been</w:t>
      </w:r>
      <w:r w:rsidRPr="0003143A">
        <w:rPr>
          <w:rFonts w:eastAsiaTheme="minorHAnsi"/>
          <w:color w:val="000000"/>
          <w:szCs w:val="26"/>
        </w:rPr>
        <w:t xml:space="preserve"> received by </w:t>
      </w:r>
      <w:r>
        <w:rPr>
          <w:rFonts w:eastAsiaTheme="minorHAnsi"/>
          <w:color w:val="000000"/>
          <w:szCs w:val="26"/>
        </w:rPr>
        <w:t xml:space="preserve">the </w:t>
      </w:r>
      <w:r w:rsidRPr="0003143A">
        <w:rPr>
          <w:rFonts w:eastAsiaTheme="minorHAnsi"/>
          <w:color w:val="000000"/>
          <w:szCs w:val="26"/>
        </w:rPr>
        <w:t>Complainant.</w:t>
      </w:r>
      <w:r>
        <w:rPr>
          <w:szCs w:val="26"/>
        </w:rPr>
        <w:t xml:space="preserve">  I.D. at </w:t>
      </w:r>
      <w:r w:rsidR="00131317">
        <w:rPr>
          <w:szCs w:val="26"/>
        </w:rPr>
        <w:t>6</w:t>
      </w:r>
      <w:r>
        <w:rPr>
          <w:szCs w:val="26"/>
        </w:rPr>
        <w:t xml:space="preserve"> (citing </w:t>
      </w:r>
      <w:r w:rsidRPr="008D27BB">
        <w:rPr>
          <w:i/>
          <w:szCs w:val="26"/>
        </w:rPr>
        <w:t>Mayflower</w:t>
      </w:r>
      <w:r>
        <w:rPr>
          <w:szCs w:val="26"/>
        </w:rPr>
        <w:t xml:space="preserve">; </w:t>
      </w:r>
      <w:r w:rsidRPr="008D27BB">
        <w:rPr>
          <w:i/>
          <w:szCs w:val="26"/>
        </w:rPr>
        <w:t>Geary</w:t>
      </w:r>
      <w:r>
        <w:rPr>
          <w:szCs w:val="26"/>
        </w:rPr>
        <w:t xml:space="preserve">). </w:t>
      </w:r>
      <w:r>
        <w:rPr>
          <w:rFonts w:eastAsiaTheme="minorHAnsi"/>
          <w:color w:val="000000"/>
          <w:szCs w:val="26"/>
        </w:rPr>
        <w:t xml:space="preserve"> </w:t>
      </w:r>
    </w:p>
    <w:p w14:paraId="1CC68158" w14:textId="77777777" w:rsidR="00131317" w:rsidRDefault="00131317" w:rsidP="00330C0A">
      <w:pPr>
        <w:spacing w:line="360" w:lineRule="auto"/>
        <w:ind w:firstLine="1440"/>
        <w:rPr>
          <w:rFonts w:eastAsiaTheme="minorHAnsi"/>
          <w:color w:val="000000"/>
          <w:szCs w:val="26"/>
        </w:rPr>
      </w:pPr>
    </w:p>
    <w:p w14:paraId="065CBB81" w14:textId="3A06191F" w:rsidR="00131317" w:rsidRDefault="008D1BDD" w:rsidP="00330C0A">
      <w:pPr>
        <w:spacing w:line="360" w:lineRule="auto"/>
        <w:ind w:firstLine="1440"/>
        <w:rPr>
          <w:szCs w:val="26"/>
        </w:rPr>
      </w:pPr>
      <w:r>
        <w:rPr>
          <w:szCs w:val="26"/>
        </w:rPr>
        <w:t>The ALJ explained that the Complainant did not appear for the hearing on October 29, 2018</w:t>
      </w:r>
      <w:r w:rsidR="001742A4">
        <w:rPr>
          <w:szCs w:val="26"/>
        </w:rPr>
        <w:t>,</w:t>
      </w:r>
      <w:r w:rsidR="002522DF">
        <w:rPr>
          <w:szCs w:val="26"/>
        </w:rPr>
        <w:t xml:space="preserve"> nor did he</w:t>
      </w:r>
      <w:r>
        <w:rPr>
          <w:szCs w:val="26"/>
        </w:rPr>
        <w:t xml:space="preserve"> contact the Commission.  </w:t>
      </w:r>
      <w:r w:rsidR="00131317">
        <w:rPr>
          <w:szCs w:val="26"/>
        </w:rPr>
        <w:t>The ALJ reasoned that, under the</w:t>
      </w:r>
      <w:r w:rsidR="00131317" w:rsidRPr="0003143A">
        <w:rPr>
          <w:szCs w:val="26"/>
        </w:rPr>
        <w:t xml:space="preserve"> circumstances, it appear</w:t>
      </w:r>
      <w:r w:rsidR="00131317">
        <w:rPr>
          <w:szCs w:val="26"/>
        </w:rPr>
        <w:t>ed that the</w:t>
      </w:r>
      <w:r w:rsidR="00131317" w:rsidRPr="0003143A">
        <w:rPr>
          <w:szCs w:val="26"/>
        </w:rPr>
        <w:t xml:space="preserve"> Complainant had ample opportunity to appear and be heard in this proceeding. </w:t>
      </w:r>
      <w:r w:rsidR="00131317">
        <w:rPr>
          <w:szCs w:val="26"/>
        </w:rPr>
        <w:t xml:space="preserve"> </w:t>
      </w:r>
      <w:r w:rsidR="00A0500C">
        <w:rPr>
          <w:szCs w:val="26"/>
        </w:rPr>
        <w:t xml:space="preserve">The ALJ </w:t>
      </w:r>
      <w:r w:rsidR="001742A4">
        <w:rPr>
          <w:szCs w:val="26"/>
        </w:rPr>
        <w:t xml:space="preserve">therefore </w:t>
      </w:r>
      <w:r w:rsidR="00A0500C">
        <w:rPr>
          <w:szCs w:val="26"/>
        </w:rPr>
        <w:t xml:space="preserve">concluded that </w:t>
      </w:r>
      <w:r w:rsidR="00131317">
        <w:rPr>
          <w:szCs w:val="26"/>
        </w:rPr>
        <w:t>that the</w:t>
      </w:r>
      <w:r w:rsidR="00131317" w:rsidRPr="0003143A">
        <w:rPr>
          <w:szCs w:val="26"/>
        </w:rPr>
        <w:t xml:space="preserve"> due process rights of </w:t>
      </w:r>
      <w:r w:rsidR="00131317">
        <w:rPr>
          <w:szCs w:val="26"/>
        </w:rPr>
        <w:t xml:space="preserve">the </w:t>
      </w:r>
      <w:r w:rsidR="00131317" w:rsidRPr="008B2319">
        <w:rPr>
          <w:szCs w:val="26"/>
        </w:rPr>
        <w:t>Complainant ha</w:t>
      </w:r>
      <w:r w:rsidR="001742A4">
        <w:rPr>
          <w:szCs w:val="26"/>
        </w:rPr>
        <w:t>d</w:t>
      </w:r>
      <w:r w:rsidR="00131317" w:rsidRPr="008B2319">
        <w:rPr>
          <w:szCs w:val="26"/>
        </w:rPr>
        <w:t xml:space="preserve"> been fully protected in this proceeding.</w:t>
      </w:r>
      <w:r w:rsidR="00A0500C" w:rsidRPr="00A0500C">
        <w:rPr>
          <w:i/>
          <w:szCs w:val="26"/>
        </w:rPr>
        <w:t xml:space="preserve"> </w:t>
      </w:r>
      <w:r w:rsidR="00A0500C">
        <w:rPr>
          <w:i/>
          <w:szCs w:val="26"/>
        </w:rPr>
        <w:t xml:space="preserve"> </w:t>
      </w:r>
      <w:r w:rsidR="00131317" w:rsidRPr="008B2319">
        <w:rPr>
          <w:szCs w:val="26"/>
        </w:rPr>
        <w:t>I.D. at</w:t>
      </w:r>
      <w:r w:rsidR="00131317">
        <w:rPr>
          <w:szCs w:val="26"/>
        </w:rPr>
        <w:t xml:space="preserve"> </w:t>
      </w:r>
      <w:r w:rsidR="00131317" w:rsidRPr="008B2319">
        <w:rPr>
          <w:szCs w:val="26"/>
        </w:rPr>
        <w:t>6</w:t>
      </w:r>
      <w:r w:rsidR="001742A4">
        <w:rPr>
          <w:szCs w:val="26"/>
        </w:rPr>
        <w:t xml:space="preserve"> (citing </w:t>
      </w:r>
      <w:r w:rsidR="00CE3D21" w:rsidRPr="00FB49AF">
        <w:rPr>
          <w:i/>
          <w:szCs w:val="26"/>
        </w:rPr>
        <w:t>Sentner</w:t>
      </w:r>
      <w:r w:rsidR="00CE3D21">
        <w:rPr>
          <w:szCs w:val="26"/>
        </w:rPr>
        <w:t xml:space="preserve">; </w:t>
      </w:r>
      <w:r w:rsidR="005D55B9">
        <w:rPr>
          <w:szCs w:val="26"/>
        </w:rPr>
        <w:t>52 Pa. Code § 5.245(a))</w:t>
      </w:r>
      <w:r w:rsidR="00A0500C">
        <w:rPr>
          <w:szCs w:val="26"/>
        </w:rPr>
        <w:t>.</w:t>
      </w:r>
      <w:r w:rsidR="005D55B9">
        <w:rPr>
          <w:szCs w:val="26"/>
        </w:rPr>
        <w:t xml:space="preserve">  </w:t>
      </w:r>
    </w:p>
    <w:p w14:paraId="643EA7DE" w14:textId="77777777" w:rsidR="005D55B9" w:rsidRPr="00A0500C" w:rsidRDefault="005D55B9" w:rsidP="00330C0A">
      <w:pPr>
        <w:spacing w:line="360" w:lineRule="auto"/>
        <w:ind w:firstLine="1440"/>
        <w:rPr>
          <w:szCs w:val="26"/>
        </w:rPr>
      </w:pPr>
    </w:p>
    <w:p w14:paraId="2E91EF9F" w14:textId="409B4E93" w:rsidR="00131317" w:rsidRDefault="00131317" w:rsidP="00330C0A">
      <w:pPr>
        <w:spacing w:line="360" w:lineRule="auto"/>
        <w:ind w:firstLine="1440"/>
        <w:rPr>
          <w:szCs w:val="26"/>
        </w:rPr>
      </w:pPr>
      <w:r>
        <w:rPr>
          <w:szCs w:val="26"/>
        </w:rPr>
        <w:t>Finally, the ALJ cited Section 332(a) of the Code and note</w:t>
      </w:r>
      <w:r w:rsidR="005D55B9">
        <w:rPr>
          <w:szCs w:val="26"/>
        </w:rPr>
        <w:t>d</w:t>
      </w:r>
      <w:r>
        <w:rPr>
          <w:szCs w:val="26"/>
        </w:rPr>
        <w:t xml:space="preserve"> that the Code places the burden of proof upon the proponent of any request for relief.  The ALJ also note</w:t>
      </w:r>
      <w:r w:rsidR="005D55B9">
        <w:rPr>
          <w:szCs w:val="26"/>
        </w:rPr>
        <w:t>d</w:t>
      </w:r>
      <w:r>
        <w:rPr>
          <w:szCs w:val="26"/>
        </w:rPr>
        <w:t xml:space="preserve"> </w:t>
      </w:r>
      <w:r w:rsidR="008D1BDD">
        <w:rPr>
          <w:szCs w:val="26"/>
        </w:rPr>
        <w:t xml:space="preserve">that </w:t>
      </w:r>
      <w:r>
        <w:rPr>
          <w:szCs w:val="26"/>
        </w:rPr>
        <w:t>as the party bringing this Complaint, the Complainant bears the burden of proving by a preponderance of the evidence that he is entitled to relief.  The</w:t>
      </w:r>
      <w:r w:rsidR="008D1BDD">
        <w:rPr>
          <w:szCs w:val="26"/>
        </w:rPr>
        <w:t xml:space="preserve"> ALJ concluded that b</w:t>
      </w:r>
      <w:r w:rsidR="008D1BDD" w:rsidRPr="0003143A">
        <w:rPr>
          <w:szCs w:val="26"/>
        </w:rPr>
        <w:t xml:space="preserve">y failing to appear and proffer any evidence to support his </w:t>
      </w:r>
      <w:r w:rsidR="008D1BDD">
        <w:rPr>
          <w:szCs w:val="26"/>
        </w:rPr>
        <w:t>C</w:t>
      </w:r>
      <w:r w:rsidR="008D1BDD" w:rsidRPr="0003143A">
        <w:rPr>
          <w:szCs w:val="26"/>
        </w:rPr>
        <w:t xml:space="preserve">omplaint, </w:t>
      </w:r>
      <w:r w:rsidR="008D1BDD">
        <w:rPr>
          <w:szCs w:val="26"/>
        </w:rPr>
        <w:t xml:space="preserve">the </w:t>
      </w:r>
      <w:r w:rsidR="008D1BDD" w:rsidRPr="0003143A">
        <w:rPr>
          <w:szCs w:val="26"/>
        </w:rPr>
        <w:t xml:space="preserve">Complainant </w:t>
      </w:r>
      <w:r w:rsidR="008D1BDD">
        <w:rPr>
          <w:szCs w:val="26"/>
        </w:rPr>
        <w:t>failed to meet his</w:t>
      </w:r>
      <w:r w:rsidR="008D1BDD" w:rsidRPr="0003143A">
        <w:rPr>
          <w:szCs w:val="26"/>
        </w:rPr>
        <w:t xml:space="preserve"> burden</w:t>
      </w:r>
      <w:r w:rsidR="008D1BDD">
        <w:rPr>
          <w:szCs w:val="26"/>
        </w:rPr>
        <w:t xml:space="preserve"> and</w:t>
      </w:r>
      <w:r w:rsidR="005D55B9">
        <w:rPr>
          <w:szCs w:val="26"/>
        </w:rPr>
        <w:t>,</w:t>
      </w:r>
      <w:r w:rsidR="008D1BDD">
        <w:rPr>
          <w:szCs w:val="26"/>
        </w:rPr>
        <w:t xml:space="preserve"> therefore</w:t>
      </w:r>
      <w:r w:rsidR="005D55B9">
        <w:rPr>
          <w:szCs w:val="26"/>
        </w:rPr>
        <w:t>,</w:t>
      </w:r>
      <w:r>
        <w:rPr>
          <w:szCs w:val="26"/>
        </w:rPr>
        <w:t xml:space="preserve"> </w:t>
      </w:r>
      <w:r w:rsidR="005D55B9">
        <w:rPr>
          <w:szCs w:val="26"/>
        </w:rPr>
        <w:t xml:space="preserve">the Complaint </w:t>
      </w:r>
      <w:r w:rsidR="008D1BDD">
        <w:rPr>
          <w:szCs w:val="26"/>
        </w:rPr>
        <w:t>s</w:t>
      </w:r>
      <w:r>
        <w:rPr>
          <w:szCs w:val="26"/>
        </w:rPr>
        <w:t xml:space="preserve">hould be dismissed with prejudice.  I.D. at </w:t>
      </w:r>
      <w:r w:rsidR="008D1BDD">
        <w:rPr>
          <w:szCs w:val="26"/>
        </w:rPr>
        <w:t>6</w:t>
      </w:r>
      <w:r>
        <w:rPr>
          <w:szCs w:val="26"/>
        </w:rPr>
        <w:t>.</w:t>
      </w:r>
    </w:p>
    <w:p w14:paraId="2FA28399" w14:textId="77777777" w:rsidR="0022756B" w:rsidRDefault="0022756B" w:rsidP="00330C0A">
      <w:pPr>
        <w:spacing w:line="360" w:lineRule="auto"/>
        <w:ind w:firstLine="1440"/>
        <w:rPr>
          <w:szCs w:val="26"/>
        </w:rPr>
      </w:pPr>
    </w:p>
    <w:p w14:paraId="089F6073" w14:textId="77777777" w:rsidR="001C79C2" w:rsidRDefault="001C79C2" w:rsidP="00330C0A">
      <w:pPr>
        <w:keepNext/>
        <w:keepLines/>
        <w:spacing w:line="360" w:lineRule="auto"/>
        <w:rPr>
          <w:b/>
          <w:color w:val="000000"/>
          <w:szCs w:val="26"/>
        </w:rPr>
      </w:pPr>
      <w:r>
        <w:rPr>
          <w:b/>
          <w:color w:val="000000"/>
          <w:szCs w:val="26"/>
        </w:rPr>
        <w:t>Exceptions and Replies to Exceptions</w:t>
      </w:r>
    </w:p>
    <w:p w14:paraId="6543C36A" w14:textId="77777777" w:rsidR="001C79C2" w:rsidRPr="001C79C2" w:rsidRDefault="001C79C2" w:rsidP="00330C0A">
      <w:pPr>
        <w:keepNext/>
        <w:keepLines/>
        <w:spacing w:line="360" w:lineRule="auto"/>
        <w:rPr>
          <w:b/>
          <w:color w:val="000000"/>
          <w:szCs w:val="26"/>
        </w:rPr>
      </w:pPr>
    </w:p>
    <w:p w14:paraId="73AC96B7" w14:textId="7FAD4B2B" w:rsidR="007B794C" w:rsidRDefault="00693AF3" w:rsidP="00330C0A">
      <w:pPr>
        <w:spacing w:line="360" w:lineRule="auto"/>
        <w:ind w:firstLine="1440"/>
        <w:rPr>
          <w:color w:val="000000"/>
          <w:szCs w:val="26"/>
        </w:rPr>
      </w:pPr>
      <w:r>
        <w:rPr>
          <w:color w:val="000000"/>
          <w:szCs w:val="26"/>
        </w:rPr>
        <w:t>In</w:t>
      </w:r>
      <w:r w:rsidR="001F5F18">
        <w:rPr>
          <w:color w:val="000000"/>
          <w:szCs w:val="26"/>
        </w:rPr>
        <w:t xml:space="preserve"> </w:t>
      </w:r>
      <w:r w:rsidR="00744700">
        <w:rPr>
          <w:color w:val="000000"/>
          <w:szCs w:val="26"/>
        </w:rPr>
        <w:t>his</w:t>
      </w:r>
      <w:r w:rsidR="001F5F18">
        <w:rPr>
          <w:color w:val="000000"/>
          <w:szCs w:val="26"/>
        </w:rPr>
        <w:t xml:space="preserve"> Exceptions, the Complainant </w:t>
      </w:r>
      <w:r w:rsidR="00746BDA">
        <w:rPr>
          <w:color w:val="000000"/>
          <w:szCs w:val="26"/>
        </w:rPr>
        <w:t>states that he was unable to attend the scheduled hearing</w:t>
      </w:r>
      <w:r w:rsidR="00F81942">
        <w:rPr>
          <w:color w:val="000000"/>
          <w:szCs w:val="26"/>
        </w:rPr>
        <w:t xml:space="preserve"> due to unforeseen circumstances, and </w:t>
      </w:r>
      <w:r w:rsidR="007A75AD">
        <w:rPr>
          <w:color w:val="000000"/>
          <w:szCs w:val="26"/>
        </w:rPr>
        <w:t xml:space="preserve">his </w:t>
      </w:r>
      <w:r w:rsidR="00F81942">
        <w:rPr>
          <w:color w:val="000000"/>
          <w:szCs w:val="26"/>
        </w:rPr>
        <w:t xml:space="preserve">inability to attend </w:t>
      </w:r>
      <w:r w:rsidR="007A75AD">
        <w:rPr>
          <w:color w:val="000000"/>
          <w:szCs w:val="26"/>
        </w:rPr>
        <w:t xml:space="preserve">was </w:t>
      </w:r>
      <w:r w:rsidR="00F81942">
        <w:rPr>
          <w:color w:val="000000"/>
          <w:szCs w:val="26"/>
        </w:rPr>
        <w:t>due to work and professional commitments as a newly-hired employee</w:t>
      </w:r>
      <w:r w:rsidR="00746BDA">
        <w:rPr>
          <w:color w:val="000000"/>
          <w:szCs w:val="26"/>
        </w:rPr>
        <w:t xml:space="preserve">.  </w:t>
      </w:r>
      <w:r w:rsidR="004455EA">
        <w:rPr>
          <w:color w:val="000000"/>
          <w:szCs w:val="26"/>
        </w:rPr>
        <w:t>Exc. at 1.</w:t>
      </w:r>
      <w:r w:rsidR="00947B56">
        <w:rPr>
          <w:rStyle w:val="FootnoteReference"/>
          <w:color w:val="000000"/>
          <w:szCs w:val="26"/>
        </w:rPr>
        <w:footnoteReference w:id="5"/>
      </w:r>
      <w:r w:rsidR="004455EA">
        <w:rPr>
          <w:color w:val="000000"/>
          <w:szCs w:val="26"/>
        </w:rPr>
        <w:t xml:space="preserve">  </w:t>
      </w:r>
      <w:r w:rsidR="00981391">
        <w:rPr>
          <w:color w:val="000000"/>
          <w:szCs w:val="26"/>
        </w:rPr>
        <w:t xml:space="preserve">The Complainant requests another </w:t>
      </w:r>
      <w:r w:rsidR="00F81942">
        <w:rPr>
          <w:color w:val="000000"/>
          <w:szCs w:val="26"/>
        </w:rPr>
        <w:t xml:space="preserve">hearing in order to have one </w:t>
      </w:r>
      <w:r w:rsidR="007A75AD">
        <w:rPr>
          <w:color w:val="000000"/>
          <w:szCs w:val="26"/>
        </w:rPr>
        <w:t>more</w:t>
      </w:r>
      <w:r w:rsidR="00F81942">
        <w:rPr>
          <w:color w:val="000000"/>
          <w:szCs w:val="26"/>
        </w:rPr>
        <w:t xml:space="preserve"> </w:t>
      </w:r>
      <w:r w:rsidR="002F467E">
        <w:rPr>
          <w:color w:val="000000"/>
          <w:szCs w:val="26"/>
        </w:rPr>
        <w:t>opportunity</w:t>
      </w:r>
      <w:r w:rsidR="00981391">
        <w:rPr>
          <w:color w:val="000000"/>
          <w:szCs w:val="26"/>
        </w:rPr>
        <w:t xml:space="preserve"> </w:t>
      </w:r>
      <w:r w:rsidR="00F81942">
        <w:rPr>
          <w:color w:val="000000"/>
          <w:szCs w:val="26"/>
        </w:rPr>
        <w:t xml:space="preserve">to </w:t>
      </w:r>
      <w:r w:rsidR="007A75AD">
        <w:rPr>
          <w:color w:val="000000"/>
          <w:szCs w:val="26"/>
        </w:rPr>
        <w:t xml:space="preserve">present his defense and finally </w:t>
      </w:r>
      <w:r w:rsidR="00F81942">
        <w:rPr>
          <w:color w:val="000000"/>
          <w:szCs w:val="26"/>
        </w:rPr>
        <w:t>resolve all outstanding issue</w:t>
      </w:r>
      <w:r w:rsidR="007A75AD">
        <w:rPr>
          <w:color w:val="000000"/>
          <w:szCs w:val="26"/>
        </w:rPr>
        <w:t>s with the</w:t>
      </w:r>
      <w:r w:rsidR="006F1142">
        <w:rPr>
          <w:color w:val="000000"/>
          <w:szCs w:val="26"/>
        </w:rPr>
        <w:t xml:space="preserve"> other party</w:t>
      </w:r>
      <w:r w:rsidR="00981391">
        <w:rPr>
          <w:color w:val="000000"/>
          <w:szCs w:val="26"/>
        </w:rPr>
        <w:t>.</w:t>
      </w:r>
      <w:r w:rsidR="00947B56">
        <w:rPr>
          <w:color w:val="000000"/>
          <w:szCs w:val="26"/>
        </w:rPr>
        <w:t xml:space="preserve">  </w:t>
      </w:r>
      <w:r w:rsidR="00947B56" w:rsidRPr="00947B56">
        <w:rPr>
          <w:i/>
          <w:color w:val="000000"/>
          <w:szCs w:val="26"/>
        </w:rPr>
        <w:t>Id</w:t>
      </w:r>
      <w:r w:rsidR="00947B56">
        <w:rPr>
          <w:color w:val="000000"/>
          <w:szCs w:val="26"/>
        </w:rPr>
        <w:t>.</w:t>
      </w:r>
    </w:p>
    <w:p w14:paraId="3F1EE92F" w14:textId="77777777" w:rsidR="007B794C" w:rsidRDefault="007B794C" w:rsidP="00330C0A">
      <w:pPr>
        <w:spacing w:line="360" w:lineRule="auto"/>
        <w:ind w:firstLine="1440"/>
        <w:rPr>
          <w:color w:val="000000"/>
          <w:szCs w:val="26"/>
        </w:rPr>
      </w:pPr>
    </w:p>
    <w:p w14:paraId="1FE48FE9" w14:textId="77777777" w:rsidR="00892F03" w:rsidRDefault="00074580" w:rsidP="00330C0A">
      <w:pPr>
        <w:spacing w:line="360" w:lineRule="auto"/>
        <w:ind w:firstLine="1440"/>
        <w:rPr>
          <w:color w:val="000000"/>
          <w:szCs w:val="26"/>
        </w:rPr>
      </w:pPr>
      <w:r>
        <w:rPr>
          <w:color w:val="000000"/>
          <w:szCs w:val="26"/>
        </w:rPr>
        <w:t xml:space="preserve">In its Replies to Exceptions, </w:t>
      </w:r>
      <w:r w:rsidR="00892F03">
        <w:rPr>
          <w:color w:val="000000"/>
          <w:szCs w:val="26"/>
        </w:rPr>
        <w:t xml:space="preserve">PECO contends that the Complainant failed to appear for the hearing despite being provided with proper notice.  R. Exc. at </w:t>
      </w:r>
      <w:r w:rsidR="002F4775">
        <w:rPr>
          <w:color w:val="000000"/>
          <w:szCs w:val="26"/>
        </w:rPr>
        <w:t>2</w:t>
      </w:r>
      <w:r w:rsidR="00892F03">
        <w:rPr>
          <w:color w:val="000000"/>
          <w:szCs w:val="26"/>
        </w:rPr>
        <w:t xml:space="preserve">. </w:t>
      </w:r>
    </w:p>
    <w:p w14:paraId="1E719D56" w14:textId="57F5562A" w:rsidR="00887CD7" w:rsidRDefault="00892F03" w:rsidP="00330C0A">
      <w:pPr>
        <w:spacing w:line="360" w:lineRule="auto"/>
        <w:rPr>
          <w:color w:val="000000"/>
          <w:szCs w:val="26"/>
        </w:rPr>
      </w:pPr>
      <w:r>
        <w:rPr>
          <w:color w:val="000000"/>
          <w:szCs w:val="26"/>
        </w:rPr>
        <w:t>PECO avers that the Commission</w:t>
      </w:r>
      <w:r w:rsidR="0007207D">
        <w:rPr>
          <w:color w:val="000000"/>
          <w:szCs w:val="26"/>
        </w:rPr>
        <w:t>’s due process requirement is</w:t>
      </w:r>
      <w:r>
        <w:rPr>
          <w:color w:val="000000"/>
          <w:szCs w:val="26"/>
        </w:rPr>
        <w:t xml:space="preserve"> satisfied </w:t>
      </w:r>
      <w:r w:rsidR="0007207D">
        <w:rPr>
          <w:color w:val="000000"/>
          <w:szCs w:val="26"/>
        </w:rPr>
        <w:t xml:space="preserve">when the parties </w:t>
      </w:r>
      <w:r w:rsidR="002D5405">
        <w:rPr>
          <w:color w:val="000000"/>
          <w:szCs w:val="26"/>
        </w:rPr>
        <w:t>are</w:t>
      </w:r>
      <w:r w:rsidR="0007207D">
        <w:rPr>
          <w:color w:val="000000"/>
          <w:szCs w:val="26"/>
        </w:rPr>
        <w:t xml:space="preserve"> provided notice and the opportunity to appear</w:t>
      </w:r>
      <w:r w:rsidR="00014157">
        <w:rPr>
          <w:color w:val="000000"/>
          <w:szCs w:val="26"/>
        </w:rPr>
        <w:t xml:space="preserve"> and</w:t>
      </w:r>
      <w:r w:rsidR="0007207D">
        <w:rPr>
          <w:color w:val="000000"/>
          <w:szCs w:val="26"/>
        </w:rPr>
        <w:t xml:space="preserve"> be heard.</w:t>
      </w:r>
      <w:r>
        <w:rPr>
          <w:color w:val="000000"/>
          <w:szCs w:val="26"/>
        </w:rPr>
        <w:t xml:space="preserve">  </w:t>
      </w:r>
      <w:r w:rsidRPr="00892F03">
        <w:rPr>
          <w:i/>
          <w:color w:val="000000"/>
          <w:szCs w:val="26"/>
        </w:rPr>
        <w:t>Id</w:t>
      </w:r>
      <w:r>
        <w:rPr>
          <w:color w:val="000000"/>
          <w:szCs w:val="26"/>
        </w:rPr>
        <w:t>. at 3</w:t>
      </w:r>
      <w:r w:rsidR="00BE07F2">
        <w:rPr>
          <w:color w:val="000000"/>
          <w:szCs w:val="26"/>
        </w:rPr>
        <w:t xml:space="preserve"> (citing </w:t>
      </w:r>
      <w:r w:rsidR="00BE07F2" w:rsidRPr="00BE07F2">
        <w:rPr>
          <w:i/>
          <w:color w:val="000000"/>
          <w:szCs w:val="26"/>
        </w:rPr>
        <w:t>M</w:t>
      </w:r>
      <w:r w:rsidR="0007207D">
        <w:rPr>
          <w:i/>
          <w:color w:val="000000"/>
          <w:szCs w:val="26"/>
        </w:rPr>
        <w:t>umma</w:t>
      </w:r>
      <w:r w:rsidR="00BE07F2">
        <w:rPr>
          <w:color w:val="000000"/>
          <w:szCs w:val="26"/>
        </w:rPr>
        <w:t xml:space="preserve">).  </w:t>
      </w:r>
      <w:r w:rsidR="00E9095D">
        <w:rPr>
          <w:color w:val="000000"/>
          <w:szCs w:val="26"/>
        </w:rPr>
        <w:t xml:space="preserve">PECO asserts that the Complainant waived his opportunity to participate in the hearing by failing to appear and cannot now reopen the record without proof that his failure to appear was unavoidable and that the interest of PECO and the public will not be prejudiced.  R. Exc. at 3.  </w:t>
      </w:r>
      <w:r w:rsidR="005327E1">
        <w:rPr>
          <w:color w:val="000000"/>
          <w:szCs w:val="26"/>
        </w:rPr>
        <w:t xml:space="preserve">PECO indicates that the Complainant’s </w:t>
      </w:r>
      <w:r w:rsidR="00014157">
        <w:rPr>
          <w:color w:val="000000"/>
          <w:szCs w:val="26"/>
        </w:rPr>
        <w:t>justification for failing to appear due to work and professional commitments as newly hired employee</w:t>
      </w:r>
      <w:r w:rsidR="005327E1">
        <w:rPr>
          <w:color w:val="000000"/>
          <w:szCs w:val="26"/>
        </w:rPr>
        <w:t xml:space="preserve"> does not satisfy this heightened standard.  </w:t>
      </w:r>
      <w:r w:rsidR="00014157">
        <w:rPr>
          <w:color w:val="000000"/>
          <w:szCs w:val="26"/>
        </w:rPr>
        <w:t>PECO argues that the Complainant had been aware of the hearing since September 7, 2018</w:t>
      </w:r>
      <w:r w:rsidR="002D5405">
        <w:rPr>
          <w:color w:val="000000"/>
          <w:szCs w:val="26"/>
        </w:rPr>
        <w:t>,</w:t>
      </w:r>
      <w:r w:rsidR="00014157">
        <w:rPr>
          <w:color w:val="000000"/>
          <w:szCs w:val="26"/>
        </w:rPr>
        <w:t xml:space="preserve"> and had plenty of opportunity to make alternative arrangements with his employer.  PECO also argues that the Complainant waited until the hearing date was upon the parties to say that he could not take any time off.  The </w:t>
      </w:r>
      <w:r w:rsidR="00014157">
        <w:rPr>
          <w:color w:val="000000"/>
          <w:szCs w:val="26"/>
        </w:rPr>
        <w:lastRenderedPageBreak/>
        <w:t>Complainant failed to</w:t>
      </w:r>
      <w:r w:rsidR="00367B9E">
        <w:rPr>
          <w:color w:val="000000"/>
          <w:szCs w:val="26"/>
        </w:rPr>
        <w:t xml:space="preserve"> </w:t>
      </w:r>
      <w:r w:rsidR="00014157">
        <w:rPr>
          <w:color w:val="000000"/>
          <w:szCs w:val="26"/>
        </w:rPr>
        <w:t>e</w:t>
      </w:r>
      <w:r w:rsidR="00367B9E">
        <w:rPr>
          <w:color w:val="000000"/>
          <w:szCs w:val="26"/>
        </w:rPr>
        <w:t>stablish good cause for a continuance</w:t>
      </w:r>
      <w:r w:rsidR="00FF6DCA">
        <w:rPr>
          <w:color w:val="000000"/>
          <w:szCs w:val="26"/>
        </w:rPr>
        <w:t xml:space="preserve"> and his participation in the hearing was not unavoidable.</w:t>
      </w:r>
      <w:r w:rsidR="00367B9E">
        <w:rPr>
          <w:color w:val="000000"/>
          <w:szCs w:val="26"/>
        </w:rPr>
        <w:t xml:space="preserve"> </w:t>
      </w:r>
      <w:r w:rsidR="00014157">
        <w:rPr>
          <w:color w:val="000000"/>
          <w:szCs w:val="26"/>
        </w:rPr>
        <w:t xml:space="preserve"> R</w:t>
      </w:r>
      <w:r w:rsidR="005327E1">
        <w:rPr>
          <w:color w:val="000000"/>
          <w:szCs w:val="26"/>
        </w:rPr>
        <w:t xml:space="preserve">. Exc. at </w:t>
      </w:r>
      <w:r w:rsidR="00FF6DCA">
        <w:rPr>
          <w:color w:val="000000"/>
          <w:szCs w:val="26"/>
        </w:rPr>
        <w:t>4</w:t>
      </w:r>
      <w:r w:rsidR="005327E1">
        <w:rPr>
          <w:color w:val="000000"/>
          <w:szCs w:val="26"/>
        </w:rPr>
        <w:t xml:space="preserve">.  </w:t>
      </w:r>
    </w:p>
    <w:p w14:paraId="07ADAEDB" w14:textId="77777777" w:rsidR="00887CD7" w:rsidRDefault="00887CD7" w:rsidP="00330C0A">
      <w:pPr>
        <w:spacing w:line="360" w:lineRule="auto"/>
        <w:rPr>
          <w:color w:val="000000"/>
          <w:szCs w:val="26"/>
        </w:rPr>
      </w:pPr>
    </w:p>
    <w:p w14:paraId="2D19CD65" w14:textId="79F766C4" w:rsidR="00B06503" w:rsidRDefault="00887CD7" w:rsidP="00330C0A">
      <w:pPr>
        <w:spacing w:line="360" w:lineRule="auto"/>
        <w:rPr>
          <w:color w:val="000000"/>
          <w:szCs w:val="26"/>
        </w:rPr>
      </w:pPr>
      <w:r>
        <w:rPr>
          <w:color w:val="000000"/>
          <w:szCs w:val="26"/>
        </w:rPr>
        <w:tab/>
      </w:r>
      <w:r>
        <w:rPr>
          <w:color w:val="000000"/>
          <w:szCs w:val="26"/>
        </w:rPr>
        <w:tab/>
      </w:r>
      <w:r w:rsidR="0060647D">
        <w:rPr>
          <w:color w:val="000000"/>
          <w:szCs w:val="26"/>
        </w:rPr>
        <w:t xml:space="preserve">Further, PECO avers that the Complainant cannot establish that reopening the </w:t>
      </w:r>
      <w:r w:rsidR="00367B9E">
        <w:rPr>
          <w:color w:val="000000"/>
          <w:szCs w:val="26"/>
        </w:rPr>
        <w:t>proceeding</w:t>
      </w:r>
      <w:r w:rsidR="00C55787">
        <w:rPr>
          <w:color w:val="000000"/>
          <w:szCs w:val="26"/>
        </w:rPr>
        <w:t xml:space="preserve"> would not prejudice PECO’s or the public’s interests.  </w:t>
      </w:r>
      <w:r w:rsidR="00507B65">
        <w:rPr>
          <w:color w:val="000000"/>
          <w:szCs w:val="26"/>
        </w:rPr>
        <w:t xml:space="preserve">PECO also avers that the Complainant has filed six informal complaints </w:t>
      </w:r>
      <w:r w:rsidR="00F41ECF">
        <w:rPr>
          <w:color w:val="000000"/>
          <w:szCs w:val="26"/>
        </w:rPr>
        <w:t>with</w:t>
      </w:r>
      <w:r w:rsidR="00507B65">
        <w:rPr>
          <w:color w:val="000000"/>
          <w:szCs w:val="26"/>
        </w:rPr>
        <w:t xml:space="preserve"> BCS and has avoided termination and has not paid his electricity bill since September 2017.  </w:t>
      </w:r>
      <w:r w:rsidR="00C55787">
        <w:rPr>
          <w:color w:val="000000"/>
          <w:szCs w:val="26"/>
        </w:rPr>
        <w:t xml:space="preserve">PECO asserts that it </w:t>
      </w:r>
      <w:r w:rsidR="00367B9E">
        <w:rPr>
          <w:color w:val="000000"/>
          <w:szCs w:val="26"/>
        </w:rPr>
        <w:t xml:space="preserve">should not be prejudiced by holding collection activities on the Complainant’s account balance because of the formal complaint process.  PECO submits </w:t>
      </w:r>
      <w:r w:rsidR="00507B65">
        <w:rPr>
          <w:color w:val="000000"/>
          <w:szCs w:val="26"/>
        </w:rPr>
        <w:t xml:space="preserve">the Complainant is delaying this matter to avoid paying his electric bill </w:t>
      </w:r>
      <w:r w:rsidR="00677C08">
        <w:rPr>
          <w:color w:val="000000"/>
          <w:szCs w:val="26"/>
        </w:rPr>
        <w:t>by</w:t>
      </w:r>
      <w:r w:rsidR="00507B65">
        <w:rPr>
          <w:color w:val="000000"/>
          <w:szCs w:val="26"/>
        </w:rPr>
        <w:t xml:space="preserve"> filing cases</w:t>
      </w:r>
      <w:r w:rsidR="00677C08">
        <w:rPr>
          <w:color w:val="000000"/>
          <w:szCs w:val="26"/>
        </w:rPr>
        <w:t xml:space="preserve"> before the Commission</w:t>
      </w:r>
      <w:r w:rsidR="00507B65">
        <w:rPr>
          <w:color w:val="000000"/>
          <w:szCs w:val="26"/>
        </w:rPr>
        <w:t xml:space="preserve">, and now claiming the inability to take any time off for </w:t>
      </w:r>
      <w:r w:rsidR="00F41ECF">
        <w:rPr>
          <w:color w:val="000000"/>
          <w:szCs w:val="26"/>
        </w:rPr>
        <w:t xml:space="preserve">a </w:t>
      </w:r>
      <w:r w:rsidR="00507B65">
        <w:rPr>
          <w:color w:val="000000"/>
          <w:szCs w:val="26"/>
        </w:rPr>
        <w:t xml:space="preserve">hearing.  Finally, PECO states that </w:t>
      </w:r>
      <w:r w:rsidR="00F41ECF">
        <w:rPr>
          <w:color w:val="000000"/>
          <w:szCs w:val="26"/>
        </w:rPr>
        <w:t xml:space="preserve">the </w:t>
      </w:r>
      <w:r w:rsidR="00507B65">
        <w:rPr>
          <w:color w:val="000000"/>
          <w:szCs w:val="26"/>
        </w:rPr>
        <w:t>Co</w:t>
      </w:r>
      <w:r w:rsidR="00C55787">
        <w:rPr>
          <w:color w:val="000000"/>
          <w:szCs w:val="26"/>
        </w:rPr>
        <w:t>mplainant</w:t>
      </w:r>
      <w:r w:rsidR="00507B65">
        <w:rPr>
          <w:color w:val="000000"/>
          <w:szCs w:val="26"/>
        </w:rPr>
        <w:t xml:space="preserve">’s </w:t>
      </w:r>
      <w:r w:rsidR="00C55787">
        <w:rPr>
          <w:color w:val="000000"/>
          <w:szCs w:val="26"/>
        </w:rPr>
        <w:t>fail</w:t>
      </w:r>
      <w:r w:rsidR="00507B65">
        <w:rPr>
          <w:color w:val="000000"/>
          <w:szCs w:val="26"/>
        </w:rPr>
        <w:t>ure</w:t>
      </w:r>
      <w:r w:rsidR="00C55787">
        <w:rPr>
          <w:color w:val="000000"/>
          <w:szCs w:val="26"/>
        </w:rPr>
        <w:t xml:space="preserve"> to appear </w:t>
      </w:r>
      <w:r w:rsidR="00507B65">
        <w:rPr>
          <w:color w:val="000000"/>
          <w:szCs w:val="26"/>
        </w:rPr>
        <w:t xml:space="preserve">results in </w:t>
      </w:r>
      <w:r w:rsidR="00F41ECF">
        <w:rPr>
          <w:color w:val="000000"/>
          <w:szCs w:val="26"/>
        </w:rPr>
        <w:t xml:space="preserve">a </w:t>
      </w:r>
      <w:r w:rsidR="00C55787">
        <w:rPr>
          <w:color w:val="000000"/>
          <w:szCs w:val="26"/>
        </w:rPr>
        <w:t xml:space="preserve">wasteful use of the Commission’s and PECO’s resources.  </w:t>
      </w:r>
      <w:r w:rsidR="00423068">
        <w:rPr>
          <w:color w:val="000000"/>
          <w:szCs w:val="26"/>
        </w:rPr>
        <w:t>R. Exc. at 4</w:t>
      </w:r>
      <w:r w:rsidR="00677C08">
        <w:rPr>
          <w:color w:val="000000"/>
          <w:szCs w:val="26"/>
        </w:rPr>
        <w:t>-5</w:t>
      </w:r>
      <w:r w:rsidR="00423068">
        <w:rPr>
          <w:color w:val="000000"/>
          <w:szCs w:val="26"/>
        </w:rPr>
        <w:t>.</w:t>
      </w:r>
    </w:p>
    <w:p w14:paraId="51E95A41" w14:textId="77777777" w:rsidR="001F5F18" w:rsidRDefault="001F5F18" w:rsidP="00330C0A">
      <w:pPr>
        <w:spacing w:line="360" w:lineRule="auto"/>
        <w:ind w:firstLine="1440"/>
        <w:rPr>
          <w:color w:val="000000"/>
          <w:szCs w:val="26"/>
        </w:rPr>
      </w:pPr>
    </w:p>
    <w:p w14:paraId="00386328" w14:textId="77777777" w:rsidR="001F1CA1" w:rsidRPr="00733B3A" w:rsidRDefault="001F1CA1" w:rsidP="00330C0A">
      <w:pPr>
        <w:keepNext/>
        <w:keepLines/>
        <w:spacing w:line="360" w:lineRule="auto"/>
        <w:rPr>
          <w:szCs w:val="26"/>
        </w:rPr>
      </w:pPr>
      <w:r w:rsidRPr="00733B3A">
        <w:rPr>
          <w:b/>
          <w:szCs w:val="26"/>
        </w:rPr>
        <w:t>Disposition</w:t>
      </w:r>
    </w:p>
    <w:p w14:paraId="0E40AC75" w14:textId="77777777" w:rsidR="001F1CA1" w:rsidRPr="00733B3A" w:rsidRDefault="001F1CA1" w:rsidP="00330C0A">
      <w:pPr>
        <w:keepNext/>
        <w:keepLines/>
        <w:spacing w:line="360" w:lineRule="auto"/>
        <w:rPr>
          <w:szCs w:val="26"/>
        </w:rPr>
      </w:pPr>
    </w:p>
    <w:p w14:paraId="6224BD73" w14:textId="13198480" w:rsidR="001F1CA1" w:rsidRDefault="001F1CA1" w:rsidP="00330C0A">
      <w:pPr>
        <w:overflowPunct w:val="0"/>
        <w:autoSpaceDE w:val="0"/>
        <w:autoSpaceDN w:val="0"/>
        <w:adjustRightInd w:val="0"/>
        <w:spacing w:line="360" w:lineRule="auto"/>
        <w:ind w:firstLine="1440"/>
        <w:textAlignment w:val="baseline"/>
        <w:rPr>
          <w:szCs w:val="26"/>
        </w:rPr>
      </w:pPr>
      <w:r>
        <w:rPr>
          <w:color w:val="000000" w:themeColor="text1"/>
        </w:rPr>
        <w:t xml:space="preserve">On consideration of the positions of the </w:t>
      </w:r>
      <w:r w:rsidR="00FD38B4">
        <w:rPr>
          <w:color w:val="000000" w:themeColor="text1"/>
        </w:rPr>
        <w:t>P</w:t>
      </w:r>
      <w:r>
        <w:rPr>
          <w:color w:val="000000" w:themeColor="text1"/>
        </w:rPr>
        <w:t xml:space="preserve">arties, we note that it is within the </w:t>
      </w:r>
      <w:r w:rsidRPr="00CB4BFA">
        <w:rPr>
          <w:color w:val="000000" w:themeColor="text1"/>
          <w:szCs w:val="26"/>
        </w:rPr>
        <w:t xml:space="preserve">sound discretion of the </w:t>
      </w:r>
      <w:r>
        <w:rPr>
          <w:color w:val="000000" w:themeColor="text1"/>
          <w:szCs w:val="26"/>
        </w:rPr>
        <w:t xml:space="preserve">ALJ to decide whether the Complainant’s failure to appear was unavoidable and whether permitting a hearing after such a “no-show” would prejudice the public interest or the interest of the other party.  </w:t>
      </w:r>
      <w:r w:rsidRPr="008C2C13">
        <w:rPr>
          <w:i/>
          <w:szCs w:val="26"/>
        </w:rPr>
        <w:t xml:space="preserve">See </w:t>
      </w:r>
      <w:r w:rsidRPr="002A7FFC">
        <w:rPr>
          <w:szCs w:val="26"/>
        </w:rPr>
        <w:t xml:space="preserve">66 Pa. C.S. § 332(f); </w:t>
      </w:r>
      <w:r w:rsidRPr="002A7FFC">
        <w:rPr>
          <w:i/>
          <w:szCs w:val="26"/>
        </w:rPr>
        <w:t>see also</w:t>
      </w:r>
      <w:r>
        <w:rPr>
          <w:szCs w:val="26"/>
        </w:rPr>
        <w:t xml:space="preserve"> 52 Pa. Code § 5.245(a)-(b).  </w:t>
      </w:r>
      <w:r>
        <w:rPr>
          <w:color w:val="000000" w:themeColor="text1"/>
          <w:szCs w:val="26"/>
        </w:rPr>
        <w:t xml:space="preserve">In the matter before us, the ALJ ruled to dismiss the compliant, </w:t>
      </w:r>
      <w:r w:rsidRPr="009F0BCF">
        <w:rPr>
          <w:i/>
          <w:color w:val="000000" w:themeColor="text1"/>
          <w:szCs w:val="26"/>
        </w:rPr>
        <w:t>with prejudice</w:t>
      </w:r>
      <w:r>
        <w:rPr>
          <w:color w:val="000000" w:themeColor="text1"/>
          <w:szCs w:val="26"/>
        </w:rPr>
        <w:t>, finding that</w:t>
      </w:r>
      <w:r>
        <w:rPr>
          <w:szCs w:val="26"/>
        </w:rPr>
        <w:t xml:space="preserve"> the</w:t>
      </w:r>
      <w:r w:rsidRPr="0003143A">
        <w:rPr>
          <w:szCs w:val="26"/>
        </w:rPr>
        <w:t xml:space="preserve"> Complainant </w:t>
      </w:r>
      <w:r w:rsidR="00064B11">
        <w:rPr>
          <w:szCs w:val="26"/>
        </w:rPr>
        <w:t>failed to meet his burden of proving that he is entitled to the relief he seeks from the Commission.</w:t>
      </w:r>
      <w:r>
        <w:rPr>
          <w:szCs w:val="26"/>
        </w:rPr>
        <w:t xml:space="preserve">  The ALJ concluded that the </w:t>
      </w:r>
      <w:r w:rsidR="002522DF" w:rsidRPr="0003143A">
        <w:rPr>
          <w:szCs w:val="26"/>
        </w:rPr>
        <w:t>Complainant had ample opportunity to appear and be heard in this proceeding</w:t>
      </w:r>
      <w:r w:rsidR="002522DF">
        <w:rPr>
          <w:szCs w:val="26"/>
        </w:rPr>
        <w:t xml:space="preserve"> and </w:t>
      </w:r>
      <w:r w:rsidR="00FD38B4">
        <w:rPr>
          <w:szCs w:val="26"/>
        </w:rPr>
        <w:t>that</w:t>
      </w:r>
      <w:r w:rsidR="002522DF">
        <w:rPr>
          <w:szCs w:val="26"/>
        </w:rPr>
        <w:t xml:space="preserve"> his due process right</w:t>
      </w:r>
      <w:r w:rsidR="00FD38B4">
        <w:rPr>
          <w:szCs w:val="26"/>
        </w:rPr>
        <w:t>s</w:t>
      </w:r>
      <w:r w:rsidR="002522DF">
        <w:rPr>
          <w:szCs w:val="26"/>
        </w:rPr>
        <w:t xml:space="preserve"> have been fully protected</w:t>
      </w:r>
      <w:r>
        <w:rPr>
          <w:szCs w:val="26"/>
        </w:rPr>
        <w:t xml:space="preserve">.  Furthermore, the ALJ applied the standard appearing in both 66 Pa. C.S. § 332(f) and 52 Pa. Code § 5.245(b) in reviewing the Complainant’s </w:t>
      </w:r>
      <w:r w:rsidR="002522DF">
        <w:rPr>
          <w:szCs w:val="26"/>
        </w:rPr>
        <w:t>nonappearance at the</w:t>
      </w:r>
      <w:r>
        <w:rPr>
          <w:szCs w:val="26"/>
        </w:rPr>
        <w:t xml:space="preserve"> hearing and concluded that the Complainant failed to </w:t>
      </w:r>
      <w:r w:rsidR="002522DF">
        <w:rPr>
          <w:szCs w:val="26"/>
        </w:rPr>
        <w:t xml:space="preserve">satisfy his burden that he is entitled </w:t>
      </w:r>
      <w:r w:rsidR="00A83F16">
        <w:rPr>
          <w:szCs w:val="26"/>
        </w:rPr>
        <w:t>to relief.</w:t>
      </w:r>
    </w:p>
    <w:p w14:paraId="3684CEC8" w14:textId="77777777" w:rsidR="001F1CA1" w:rsidRDefault="001F1CA1" w:rsidP="00330C0A">
      <w:pPr>
        <w:overflowPunct w:val="0"/>
        <w:autoSpaceDE w:val="0"/>
        <w:autoSpaceDN w:val="0"/>
        <w:adjustRightInd w:val="0"/>
        <w:spacing w:line="360" w:lineRule="auto"/>
        <w:ind w:firstLine="1440"/>
        <w:textAlignment w:val="baseline"/>
        <w:rPr>
          <w:szCs w:val="26"/>
        </w:rPr>
      </w:pPr>
    </w:p>
    <w:p w14:paraId="1FFDB130" w14:textId="77777777" w:rsidR="001F1CA1" w:rsidRDefault="001F1CA1" w:rsidP="00330C0A">
      <w:pPr>
        <w:spacing w:line="360" w:lineRule="auto"/>
        <w:ind w:firstLine="1440"/>
        <w:rPr>
          <w:color w:val="000000" w:themeColor="text1"/>
          <w:szCs w:val="26"/>
        </w:rPr>
      </w:pPr>
      <w:r>
        <w:rPr>
          <w:color w:val="000000" w:themeColor="text1"/>
          <w:szCs w:val="26"/>
        </w:rPr>
        <w:lastRenderedPageBreak/>
        <w:t>From an administrative due process standpoint, the question is whether the Complainant’s failure to appear shall be deemed as the Complainant’s waiver of the opportunity to participate in a hearing in this Complaint proceeding, pursuant to 66 Pa. C.S. § 332(f) and 52 Pa. Code § 5.245(a)-(b).  Whether the Complainant failed to appear at the hearing due to “unavoidable” circumstances is a fact-based question.</w:t>
      </w:r>
    </w:p>
    <w:p w14:paraId="628352CE" w14:textId="77777777" w:rsidR="001F1CA1" w:rsidRDefault="001F1CA1" w:rsidP="00330C0A">
      <w:pPr>
        <w:overflowPunct w:val="0"/>
        <w:autoSpaceDE w:val="0"/>
        <w:autoSpaceDN w:val="0"/>
        <w:adjustRightInd w:val="0"/>
        <w:spacing w:line="360" w:lineRule="auto"/>
        <w:textAlignment w:val="baseline"/>
        <w:rPr>
          <w:szCs w:val="26"/>
        </w:rPr>
      </w:pPr>
    </w:p>
    <w:p w14:paraId="6B0AC4E3" w14:textId="01173B9A" w:rsidR="00EB49F2" w:rsidRDefault="001F1CA1" w:rsidP="00330C0A">
      <w:pPr>
        <w:overflowPunct w:val="0"/>
        <w:autoSpaceDE w:val="0"/>
        <w:autoSpaceDN w:val="0"/>
        <w:adjustRightInd w:val="0"/>
        <w:spacing w:line="360" w:lineRule="auto"/>
        <w:ind w:firstLine="1440"/>
        <w:textAlignment w:val="baseline"/>
        <w:rPr>
          <w:szCs w:val="26"/>
        </w:rPr>
      </w:pPr>
      <w:r>
        <w:rPr>
          <w:szCs w:val="26"/>
        </w:rPr>
        <w:t xml:space="preserve">Where a complainant’s failure to appear at a scheduled hearing is unavoidable, the ALJ has the discretion to recognize that and to reschedule the hearing.  </w:t>
      </w:r>
      <w:r w:rsidR="00A83F16">
        <w:rPr>
          <w:szCs w:val="26"/>
        </w:rPr>
        <w:t>The Complainant was granted one continuance upon his request; h</w:t>
      </w:r>
      <w:r>
        <w:rPr>
          <w:szCs w:val="26"/>
        </w:rPr>
        <w:t xml:space="preserve">owever, </w:t>
      </w:r>
      <w:r w:rsidR="00A83F16">
        <w:rPr>
          <w:szCs w:val="26"/>
        </w:rPr>
        <w:t>his second request was denied by the</w:t>
      </w:r>
      <w:r>
        <w:rPr>
          <w:szCs w:val="26"/>
        </w:rPr>
        <w:t xml:space="preserve"> ALJ</w:t>
      </w:r>
      <w:r w:rsidR="00A83F16">
        <w:rPr>
          <w:szCs w:val="26"/>
        </w:rPr>
        <w:t xml:space="preserve"> for not showing good cause.</w:t>
      </w:r>
      <w:r w:rsidR="00C54B78">
        <w:rPr>
          <w:szCs w:val="26"/>
        </w:rPr>
        <w:t xml:space="preserve">  Exercising his discretion, the ALJ found that the Complainant’s request was ambiguous because while the Complainant requested a continuance based on the start of new employment, the Complainant did not provide any additional information for the ALJ’s consideration, such as when the Complainant began his employment.  Although the ALJ denied the Complainant’s request for a continuance, the Complainant did not appear for the hearing and our records do not reflect that the Complainant attempted to contact the Office of Administrative Law Judge </w:t>
      </w:r>
      <w:r w:rsidR="005C56A7">
        <w:rPr>
          <w:szCs w:val="26"/>
        </w:rPr>
        <w:t xml:space="preserve">or to provide additional information to the ALJ in support of his continuance request </w:t>
      </w:r>
      <w:r w:rsidR="0080397F">
        <w:rPr>
          <w:szCs w:val="26"/>
        </w:rPr>
        <w:t xml:space="preserve">during the time period between when the Complainant requested a second continuance and when the </w:t>
      </w:r>
      <w:r w:rsidR="00571C0B">
        <w:rPr>
          <w:szCs w:val="26"/>
        </w:rPr>
        <w:t>Initial Decision was issued</w:t>
      </w:r>
      <w:r w:rsidR="0080397F">
        <w:rPr>
          <w:szCs w:val="26"/>
        </w:rPr>
        <w:t xml:space="preserve">.  </w:t>
      </w:r>
    </w:p>
    <w:p w14:paraId="302E9315" w14:textId="77777777" w:rsidR="00EB49F2" w:rsidRDefault="00EB49F2" w:rsidP="00330C0A">
      <w:pPr>
        <w:overflowPunct w:val="0"/>
        <w:autoSpaceDE w:val="0"/>
        <w:autoSpaceDN w:val="0"/>
        <w:adjustRightInd w:val="0"/>
        <w:spacing w:line="360" w:lineRule="auto"/>
        <w:ind w:firstLine="1440"/>
        <w:textAlignment w:val="baseline"/>
        <w:rPr>
          <w:szCs w:val="26"/>
        </w:rPr>
      </w:pPr>
    </w:p>
    <w:p w14:paraId="630C96E7" w14:textId="261F8821" w:rsidR="001F1CA1" w:rsidRDefault="00AE7A1E" w:rsidP="00330C0A">
      <w:pPr>
        <w:overflowPunct w:val="0"/>
        <w:autoSpaceDE w:val="0"/>
        <w:autoSpaceDN w:val="0"/>
        <w:adjustRightInd w:val="0"/>
        <w:spacing w:line="360" w:lineRule="auto"/>
        <w:ind w:firstLine="1440"/>
        <w:textAlignment w:val="baseline"/>
        <w:rPr>
          <w:szCs w:val="26"/>
        </w:rPr>
      </w:pPr>
      <w:r>
        <w:rPr>
          <w:szCs w:val="26"/>
        </w:rPr>
        <w:t>At the Exceptions stage of a proceeding before the Commission</w:t>
      </w:r>
      <w:r w:rsidR="00FB245F">
        <w:rPr>
          <w:szCs w:val="26"/>
        </w:rPr>
        <w:t xml:space="preserve">, the record is closed, and the complainant filing Exceptions has the responsibility of challenging the findings and conclusions in the Initial Decision.  52 Pa. Code § 5.533.  Based on </w:t>
      </w:r>
      <w:r w:rsidR="00FB245F" w:rsidRPr="00616C44">
        <w:rPr>
          <w:szCs w:val="26"/>
        </w:rPr>
        <w:t>prior cases, to meet the “unavoidable” standard, the Commission require</w:t>
      </w:r>
      <w:r w:rsidR="00A96F80">
        <w:rPr>
          <w:szCs w:val="26"/>
        </w:rPr>
        <w:t>d</w:t>
      </w:r>
      <w:r w:rsidR="00FB245F" w:rsidRPr="00616C44">
        <w:rPr>
          <w:szCs w:val="26"/>
        </w:rPr>
        <w:t xml:space="preserve"> a complainant to show, with supporting information, that the failure to appear was due to exigent circumstances.  </w:t>
      </w:r>
      <w:r w:rsidR="00FB245F" w:rsidRPr="00827E17">
        <w:rPr>
          <w:i/>
          <w:szCs w:val="26"/>
        </w:rPr>
        <w:t xml:space="preserve">See, e.g., </w:t>
      </w:r>
      <w:r w:rsidR="00FB245F" w:rsidRPr="0014180D">
        <w:rPr>
          <w:i/>
          <w:szCs w:val="26"/>
        </w:rPr>
        <w:t>El-Ayazra</w:t>
      </w:r>
      <w:r w:rsidR="00FB245F">
        <w:rPr>
          <w:i/>
          <w:szCs w:val="26"/>
        </w:rPr>
        <w:t xml:space="preserve">.  </w:t>
      </w:r>
      <w:r w:rsidR="001F1CA1">
        <w:rPr>
          <w:szCs w:val="26"/>
        </w:rPr>
        <w:t xml:space="preserve">In his Exceptions, the Complainant states that </w:t>
      </w:r>
      <w:r w:rsidR="00794D31">
        <w:rPr>
          <w:szCs w:val="26"/>
        </w:rPr>
        <w:t>his absence at the hearing was due to unforeseen circumstances and work and professional commitments a</w:t>
      </w:r>
      <w:r w:rsidR="00E065FB">
        <w:rPr>
          <w:szCs w:val="26"/>
        </w:rPr>
        <w:t>s</w:t>
      </w:r>
      <w:r w:rsidR="00794D31">
        <w:rPr>
          <w:szCs w:val="26"/>
        </w:rPr>
        <w:t xml:space="preserve"> a newly-hired employee.</w:t>
      </w:r>
      <w:r w:rsidR="001F1CA1">
        <w:rPr>
          <w:szCs w:val="26"/>
        </w:rPr>
        <w:t xml:space="preserve">  He does not explain or provide supporting documentation to show, however, wh</w:t>
      </w:r>
      <w:r w:rsidR="00E065FB">
        <w:rPr>
          <w:szCs w:val="26"/>
        </w:rPr>
        <w:t>at the unforeseen circumstance</w:t>
      </w:r>
      <w:r w:rsidR="00F62D41">
        <w:rPr>
          <w:szCs w:val="26"/>
        </w:rPr>
        <w:t>s</w:t>
      </w:r>
      <w:r w:rsidR="00E065FB">
        <w:rPr>
          <w:szCs w:val="26"/>
        </w:rPr>
        <w:t xml:space="preserve"> </w:t>
      </w:r>
      <w:r w:rsidR="00EE3326">
        <w:rPr>
          <w:szCs w:val="26"/>
        </w:rPr>
        <w:t>where</w:t>
      </w:r>
      <w:r w:rsidR="001F1CA1">
        <w:rPr>
          <w:szCs w:val="26"/>
        </w:rPr>
        <w:t xml:space="preserve"> or </w:t>
      </w:r>
      <w:r w:rsidR="00E065FB">
        <w:rPr>
          <w:szCs w:val="26"/>
        </w:rPr>
        <w:t xml:space="preserve">when </w:t>
      </w:r>
      <w:r w:rsidR="00F62D41">
        <w:rPr>
          <w:szCs w:val="26"/>
        </w:rPr>
        <w:t xml:space="preserve">he </w:t>
      </w:r>
      <w:r w:rsidR="00F62D41">
        <w:rPr>
          <w:szCs w:val="26"/>
        </w:rPr>
        <w:lastRenderedPageBreak/>
        <w:t xml:space="preserve">was </w:t>
      </w:r>
      <w:r w:rsidR="00E065FB">
        <w:rPr>
          <w:szCs w:val="26"/>
        </w:rPr>
        <w:t>hired</w:t>
      </w:r>
      <w:r w:rsidR="001F1CA1">
        <w:rPr>
          <w:szCs w:val="26"/>
        </w:rPr>
        <w:t>.  As noted in P</w:t>
      </w:r>
      <w:r w:rsidR="00E065FB">
        <w:rPr>
          <w:szCs w:val="26"/>
        </w:rPr>
        <w:t>ECO</w:t>
      </w:r>
      <w:r w:rsidR="001F1CA1">
        <w:rPr>
          <w:szCs w:val="26"/>
        </w:rPr>
        <w:t xml:space="preserve">’s Replies, the Complainant also did not provide any supporting </w:t>
      </w:r>
      <w:r w:rsidR="00E065FB">
        <w:rPr>
          <w:szCs w:val="26"/>
        </w:rPr>
        <w:t>documentation of his new employment</w:t>
      </w:r>
      <w:r w:rsidR="001F1CA1">
        <w:rPr>
          <w:szCs w:val="26"/>
        </w:rPr>
        <w:t>.</w:t>
      </w:r>
    </w:p>
    <w:p w14:paraId="75061599" w14:textId="77777777" w:rsidR="001F1CA1" w:rsidRDefault="001F1CA1" w:rsidP="00330C0A">
      <w:pPr>
        <w:overflowPunct w:val="0"/>
        <w:autoSpaceDE w:val="0"/>
        <w:autoSpaceDN w:val="0"/>
        <w:adjustRightInd w:val="0"/>
        <w:spacing w:line="360" w:lineRule="auto"/>
        <w:ind w:firstLine="1440"/>
        <w:textAlignment w:val="baseline"/>
        <w:rPr>
          <w:szCs w:val="26"/>
        </w:rPr>
      </w:pPr>
    </w:p>
    <w:p w14:paraId="05778E30" w14:textId="759D1ACB" w:rsidR="001F1CA1" w:rsidRDefault="001F1CA1" w:rsidP="00330C0A">
      <w:pPr>
        <w:overflowPunct w:val="0"/>
        <w:autoSpaceDE w:val="0"/>
        <w:autoSpaceDN w:val="0"/>
        <w:adjustRightInd w:val="0"/>
        <w:spacing w:line="360" w:lineRule="auto"/>
        <w:ind w:firstLine="1440"/>
        <w:textAlignment w:val="baseline"/>
        <w:rPr>
          <w:szCs w:val="26"/>
        </w:rPr>
      </w:pPr>
      <w:r>
        <w:rPr>
          <w:szCs w:val="26"/>
        </w:rPr>
        <w:t xml:space="preserve">Accordingly, for all the foregoing reasons, we will </w:t>
      </w:r>
      <w:r w:rsidR="00F8568A">
        <w:rPr>
          <w:szCs w:val="26"/>
        </w:rPr>
        <w:t xml:space="preserve">deny the Complainant’s Exceptions and </w:t>
      </w:r>
      <w:r>
        <w:rPr>
          <w:szCs w:val="26"/>
        </w:rPr>
        <w:t>a</w:t>
      </w:r>
      <w:r w:rsidR="00F31A8F">
        <w:rPr>
          <w:szCs w:val="26"/>
        </w:rPr>
        <w:t>dopt</w:t>
      </w:r>
      <w:r w:rsidR="00FB49AF">
        <w:rPr>
          <w:szCs w:val="26"/>
        </w:rPr>
        <w:t xml:space="preserve"> </w:t>
      </w:r>
      <w:r>
        <w:rPr>
          <w:szCs w:val="26"/>
        </w:rPr>
        <w:t xml:space="preserve">the Initial Decision and dismiss </w:t>
      </w:r>
      <w:r w:rsidRPr="00FB49AF">
        <w:rPr>
          <w:szCs w:val="26"/>
        </w:rPr>
        <w:t>with prejudice</w:t>
      </w:r>
      <w:r>
        <w:rPr>
          <w:szCs w:val="26"/>
        </w:rPr>
        <w:t xml:space="preserve"> the Complaint.  A dismissal </w:t>
      </w:r>
      <w:r w:rsidRPr="00FB49AF">
        <w:rPr>
          <w:szCs w:val="26"/>
        </w:rPr>
        <w:t>with prejudice</w:t>
      </w:r>
      <w:r>
        <w:rPr>
          <w:szCs w:val="26"/>
        </w:rPr>
        <w:t xml:space="preserve"> means that the Complainant is barred from filing another complaint with the Commission raising the same issues or claims as raised in the dismissed complaint.</w:t>
      </w:r>
    </w:p>
    <w:p w14:paraId="569687CD" w14:textId="77777777" w:rsidR="005177E3" w:rsidRDefault="005177E3" w:rsidP="00330C0A">
      <w:pPr>
        <w:spacing w:line="360" w:lineRule="auto"/>
        <w:ind w:firstLine="1440"/>
        <w:rPr>
          <w:szCs w:val="26"/>
        </w:rPr>
      </w:pPr>
    </w:p>
    <w:p w14:paraId="67E49E6F" w14:textId="77777777" w:rsidR="00BC1B7D" w:rsidRDefault="005C446F" w:rsidP="00330C0A">
      <w:pPr>
        <w:spacing w:line="360" w:lineRule="auto"/>
        <w:jc w:val="center"/>
        <w:rPr>
          <w:rFonts w:ascii="Times New (W1)" w:hAnsi="Times New (W1)"/>
          <w:b/>
          <w:szCs w:val="22"/>
        </w:rPr>
      </w:pPr>
      <w:r>
        <w:rPr>
          <w:rFonts w:ascii="Times New (W1)" w:hAnsi="Times New (W1)"/>
          <w:b/>
          <w:szCs w:val="22"/>
        </w:rPr>
        <w:t>Conclusion</w:t>
      </w:r>
    </w:p>
    <w:p w14:paraId="489EF5CB" w14:textId="77777777" w:rsidR="005C446F" w:rsidRDefault="005C446F" w:rsidP="00330C0A">
      <w:pPr>
        <w:spacing w:line="360" w:lineRule="auto"/>
        <w:jc w:val="center"/>
        <w:rPr>
          <w:rFonts w:ascii="Times New (W1)" w:hAnsi="Times New (W1)"/>
          <w:b/>
          <w:szCs w:val="22"/>
        </w:rPr>
      </w:pPr>
    </w:p>
    <w:p w14:paraId="1548550D" w14:textId="77777777" w:rsidR="002F4775" w:rsidRDefault="000A4744" w:rsidP="00330C0A">
      <w:pPr>
        <w:spacing w:line="360" w:lineRule="auto"/>
        <w:rPr>
          <w:color w:val="000000"/>
          <w:szCs w:val="26"/>
        </w:rPr>
      </w:pPr>
      <w:r w:rsidRPr="00A55BFB">
        <w:rPr>
          <w:b/>
          <w:szCs w:val="22"/>
        </w:rPr>
        <w:tab/>
      </w:r>
      <w:r w:rsidRPr="00A55BFB">
        <w:rPr>
          <w:b/>
          <w:szCs w:val="22"/>
        </w:rPr>
        <w:tab/>
      </w:r>
      <w:r w:rsidR="001F1CA1" w:rsidRPr="00603C36">
        <w:rPr>
          <w:color w:val="000000"/>
          <w:szCs w:val="26"/>
        </w:rPr>
        <w:t xml:space="preserve">Upon review and consideration of the record of this proceeding, we shall deny </w:t>
      </w:r>
      <w:r w:rsidR="001F1CA1">
        <w:rPr>
          <w:color w:val="000000"/>
          <w:szCs w:val="26"/>
        </w:rPr>
        <w:t xml:space="preserve">the Complainant’s Exceptions and </w:t>
      </w:r>
      <w:r w:rsidR="001F1CA1" w:rsidRPr="00603C36">
        <w:rPr>
          <w:color w:val="000000"/>
          <w:szCs w:val="26"/>
        </w:rPr>
        <w:t>adopt the ALJ’s Initial Decision</w:t>
      </w:r>
      <w:r w:rsidR="001F1CA1">
        <w:rPr>
          <w:color w:val="000000"/>
          <w:szCs w:val="26"/>
        </w:rPr>
        <w:t xml:space="preserve"> that dismisses the Complaint, with prejudice, for failure of the Complainant to appear for the hearing and prosecute the Complaint; </w:t>
      </w:r>
      <w:r w:rsidR="001F1CA1" w:rsidRPr="00603C36">
        <w:rPr>
          <w:b/>
          <w:bCs/>
          <w:color w:val="000000"/>
          <w:szCs w:val="26"/>
        </w:rPr>
        <w:t>THEREFORE</w:t>
      </w:r>
      <w:r w:rsidR="001F1CA1" w:rsidRPr="00603C36">
        <w:rPr>
          <w:color w:val="000000"/>
          <w:szCs w:val="26"/>
        </w:rPr>
        <w:t>,</w:t>
      </w:r>
    </w:p>
    <w:p w14:paraId="12F38135" w14:textId="77777777" w:rsidR="001F1CA1" w:rsidRDefault="001F1CA1" w:rsidP="00330C0A">
      <w:pPr>
        <w:spacing w:line="360" w:lineRule="auto"/>
        <w:rPr>
          <w:szCs w:val="26"/>
        </w:rPr>
      </w:pPr>
    </w:p>
    <w:p w14:paraId="22B08B8C" w14:textId="77777777" w:rsidR="00066A76" w:rsidRPr="00066A76" w:rsidRDefault="00066A76" w:rsidP="00330C0A">
      <w:pPr>
        <w:spacing w:line="360" w:lineRule="auto"/>
        <w:rPr>
          <w:b/>
          <w:szCs w:val="26"/>
        </w:rPr>
      </w:pPr>
      <w:r w:rsidRPr="00066A76">
        <w:rPr>
          <w:szCs w:val="26"/>
        </w:rPr>
        <w:tab/>
      </w:r>
      <w:r w:rsidR="007938E4">
        <w:rPr>
          <w:szCs w:val="26"/>
        </w:rPr>
        <w:tab/>
      </w:r>
      <w:r w:rsidRPr="00066A76">
        <w:rPr>
          <w:b/>
          <w:szCs w:val="26"/>
        </w:rPr>
        <w:t>IT IS ORDERED:</w:t>
      </w:r>
    </w:p>
    <w:p w14:paraId="69E643A9" w14:textId="77777777" w:rsidR="00066A76" w:rsidRPr="00066A76" w:rsidRDefault="00066A76" w:rsidP="00330C0A">
      <w:pPr>
        <w:spacing w:line="360" w:lineRule="auto"/>
        <w:rPr>
          <w:szCs w:val="26"/>
        </w:rPr>
      </w:pPr>
    </w:p>
    <w:p w14:paraId="41BEA760" w14:textId="279656A6" w:rsidR="00066A76" w:rsidRDefault="00066A76" w:rsidP="00330C0A">
      <w:pPr>
        <w:spacing w:line="360" w:lineRule="auto"/>
        <w:rPr>
          <w:szCs w:val="26"/>
        </w:rPr>
      </w:pPr>
      <w:r w:rsidRPr="00066A76">
        <w:rPr>
          <w:szCs w:val="26"/>
        </w:rPr>
        <w:tab/>
      </w:r>
      <w:r w:rsidRPr="00066A76">
        <w:rPr>
          <w:szCs w:val="26"/>
        </w:rPr>
        <w:tab/>
      </w:r>
      <w:r>
        <w:rPr>
          <w:szCs w:val="26"/>
        </w:rPr>
        <w:t>1.</w:t>
      </w:r>
      <w:r>
        <w:rPr>
          <w:szCs w:val="26"/>
        </w:rPr>
        <w:tab/>
        <w:t xml:space="preserve">That the Exceptions of </w:t>
      </w:r>
      <w:r w:rsidR="00E57DB6">
        <w:rPr>
          <w:szCs w:val="26"/>
        </w:rPr>
        <w:t>Shawn Mathis</w:t>
      </w:r>
      <w:r w:rsidR="00F600E3">
        <w:rPr>
          <w:szCs w:val="26"/>
        </w:rPr>
        <w:t xml:space="preserve">, filed </w:t>
      </w:r>
      <w:r w:rsidR="00F600E3" w:rsidRPr="00571F5C">
        <w:rPr>
          <w:szCs w:val="26"/>
        </w:rPr>
        <w:t xml:space="preserve">on </w:t>
      </w:r>
      <w:r w:rsidR="00AB170E">
        <w:rPr>
          <w:szCs w:val="26"/>
        </w:rPr>
        <w:t>November</w:t>
      </w:r>
      <w:r w:rsidR="00F600E3">
        <w:rPr>
          <w:szCs w:val="26"/>
        </w:rPr>
        <w:t xml:space="preserve"> 1</w:t>
      </w:r>
      <w:r w:rsidR="00AB170E">
        <w:rPr>
          <w:szCs w:val="26"/>
        </w:rPr>
        <w:t>6</w:t>
      </w:r>
      <w:r w:rsidR="00F600E3">
        <w:rPr>
          <w:szCs w:val="26"/>
        </w:rPr>
        <w:t>, 201</w:t>
      </w:r>
      <w:r w:rsidR="00AB170E">
        <w:rPr>
          <w:szCs w:val="26"/>
        </w:rPr>
        <w:t>8</w:t>
      </w:r>
      <w:r w:rsidR="00F600E3">
        <w:rPr>
          <w:szCs w:val="26"/>
        </w:rPr>
        <w:t>,</w:t>
      </w:r>
      <w:r w:rsidR="00151C0A">
        <w:rPr>
          <w:szCs w:val="26"/>
        </w:rPr>
        <w:t xml:space="preserve"> </w:t>
      </w:r>
      <w:r w:rsidR="009913CE">
        <w:rPr>
          <w:szCs w:val="26"/>
        </w:rPr>
        <w:t>are</w:t>
      </w:r>
      <w:r w:rsidR="00BE6C2F">
        <w:rPr>
          <w:szCs w:val="26"/>
        </w:rPr>
        <w:t xml:space="preserve"> </w:t>
      </w:r>
      <w:r w:rsidR="009913CE">
        <w:rPr>
          <w:szCs w:val="26"/>
        </w:rPr>
        <w:t>denied</w:t>
      </w:r>
      <w:r>
        <w:rPr>
          <w:szCs w:val="26"/>
        </w:rPr>
        <w:t>.</w:t>
      </w:r>
    </w:p>
    <w:p w14:paraId="4A27E6D1" w14:textId="77777777" w:rsidR="009F11DD" w:rsidRDefault="009F11DD" w:rsidP="00330C0A">
      <w:pPr>
        <w:spacing w:line="360" w:lineRule="auto"/>
        <w:rPr>
          <w:szCs w:val="26"/>
        </w:rPr>
      </w:pPr>
    </w:p>
    <w:p w14:paraId="77CEAAB3" w14:textId="621A2719" w:rsidR="00066A76" w:rsidRDefault="00066A76" w:rsidP="00330C0A">
      <w:pPr>
        <w:spacing w:line="360" w:lineRule="auto"/>
        <w:rPr>
          <w:szCs w:val="26"/>
        </w:rPr>
      </w:pPr>
      <w:r>
        <w:rPr>
          <w:szCs w:val="26"/>
        </w:rPr>
        <w:tab/>
      </w:r>
      <w:r>
        <w:rPr>
          <w:szCs w:val="26"/>
        </w:rPr>
        <w:tab/>
        <w:t>2.</w:t>
      </w:r>
      <w:r>
        <w:rPr>
          <w:szCs w:val="26"/>
        </w:rPr>
        <w:tab/>
        <w:t xml:space="preserve">That the </w:t>
      </w:r>
      <w:r w:rsidR="00F600E3">
        <w:rPr>
          <w:szCs w:val="26"/>
        </w:rPr>
        <w:t xml:space="preserve">Initial Decision of Administrative Law Judge </w:t>
      </w:r>
      <w:r w:rsidR="000054BB">
        <w:rPr>
          <w:szCs w:val="26"/>
        </w:rPr>
        <w:t>F.</w:t>
      </w:r>
      <w:r w:rsidR="00180BE2">
        <w:rPr>
          <w:szCs w:val="26"/>
        </w:rPr>
        <w:t> </w:t>
      </w:r>
      <w:r w:rsidR="000054BB">
        <w:rPr>
          <w:szCs w:val="26"/>
        </w:rPr>
        <w:t>Joseph</w:t>
      </w:r>
      <w:r w:rsidR="00180BE2">
        <w:rPr>
          <w:szCs w:val="26"/>
        </w:rPr>
        <w:t> </w:t>
      </w:r>
      <w:r w:rsidR="000054BB">
        <w:rPr>
          <w:szCs w:val="26"/>
        </w:rPr>
        <w:t>Brady</w:t>
      </w:r>
      <w:r w:rsidR="00F600E3">
        <w:rPr>
          <w:szCs w:val="26"/>
        </w:rPr>
        <w:t xml:space="preserve">, issued on </w:t>
      </w:r>
      <w:r w:rsidR="000054BB">
        <w:rPr>
          <w:szCs w:val="26"/>
        </w:rPr>
        <w:t>November</w:t>
      </w:r>
      <w:r w:rsidR="00F600E3">
        <w:rPr>
          <w:szCs w:val="26"/>
        </w:rPr>
        <w:t xml:space="preserve"> 2, 201</w:t>
      </w:r>
      <w:r w:rsidR="000054BB">
        <w:rPr>
          <w:szCs w:val="26"/>
        </w:rPr>
        <w:t>8</w:t>
      </w:r>
      <w:r w:rsidR="00F600E3">
        <w:rPr>
          <w:szCs w:val="26"/>
        </w:rPr>
        <w:t xml:space="preserve">, </w:t>
      </w:r>
      <w:r w:rsidR="001F1CA1">
        <w:rPr>
          <w:szCs w:val="26"/>
        </w:rPr>
        <w:t>is adopted</w:t>
      </w:r>
      <w:r>
        <w:rPr>
          <w:szCs w:val="26"/>
        </w:rPr>
        <w:t>.</w:t>
      </w:r>
    </w:p>
    <w:p w14:paraId="4E779FDE" w14:textId="77777777" w:rsidR="00066A76" w:rsidRDefault="00066A76" w:rsidP="00330C0A">
      <w:pPr>
        <w:spacing w:line="360" w:lineRule="auto"/>
        <w:rPr>
          <w:szCs w:val="26"/>
        </w:rPr>
      </w:pPr>
    </w:p>
    <w:p w14:paraId="5E3CF7D1" w14:textId="205AD934" w:rsidR="001F1CA1" w:rsidRDefault="001F1CA1" w:rsidP="00330C0A">
      <w:pPr>
        <w:spacing w:line="360" w:lineRule="auto"/>
        <w:ind w:firstLine="720"/>
        <w:rPr>
          <w:szCs w:val="26"/>
        </w:rPr>
      </w:pPr>
      <w:r>
        <w:rPr>
          <w:szCs w:val="26"/>
        </w:rPr>
        <w:tab/>
      </w:r>
      <w:r w:rsidR="0049202A">
        <w:rPr>
          <w:szCs w:val="26"/>
        </w:rPr>
        <w:t>3.</w:t>
      </w:r>
      <w:r w:rsidR="0049202A">
        <w:rPr>
          <w:szCs w:val="26"/>
        </w:rPr>
        <w:tab/>
      </w:r>
      <w:r w:rsidRPr="00B52E2C">
        <w:rPr>
          <w:szCs w:val="26"/>
        </w:rPr>
        <w:t>That</w:t>
      </w:r>
      <w:r w:rsidR="007636F8">
        <w:rPr>
          <w:szCs w:val="26"/>
        </w:rPr>
        <w:t xml:space="preserve"> the motion of PECO Energy Company to dismiss the Complaint filed by Shawn Mathis at Docket No. C-2018-3001616 is granted.</w:t>
      </w:r>
    </w:p>
    <w:p w14:paraId="63FBE38B" w14:textId="77777777" w:rsidR="001F1CA1" w:rsidRDefault="001F1CA1" w:rsidP="00330C0A">
      <w:pPr>
        <w:spacing w:line="360" w:lineRule="auto"/>
        <w:rPr>
          <w:szCs w:val="26"/>
        </w:rPr>
      </w:pPr>
    </w:p>
    <w:p w14:paraId="5155246F" w14:textId="22B62A2A" w:rsidR="002F4775" w:rsidRDefault="001F1CA1" w:rsidP="00330C0A">
      <w:pPr>
        <w:spacing w:line="360" w:lineRule="auto"/>
        <w:ind w:firstLine="720"/>
        <w:rPr>
          <w:szCs w:val="26"/>
        </w:rPr>
      </w:pPr>
      <w:r>
        <w:rPr>
          <w:szCs w:val="26"/>
        </w:rPr>
        <w:tab/>
        <w:t>4.</w:t>
      </w:r>
      <w:r>
        <w:rPr>
          <w:szCs w:val="26"/>
        </w:rPr>
        <w:tab/>
      </w:r>
      <w:r w:rsidR="0049202A">
        <w:rPr>
          <w:szCs w:val="26"/>
        </w:rPr>
        <w:t xml:space="preserve">That the </w:t>
      </w:r>
      <w:r>
        <w:rPr>
          <w:szCs w:val="26"/>
        </w:rPr>
        <w:t xml:space="preserve">Formal </w:t>
      </w:r>
      <w:r w:rsidR="0049202A">
        <w:rPr>
          <w:szCs w:val="26"/>
        </w:rPr>
        <w:t xml:space="preserve">Complaint </w:t>
      </w:r>
      <w:r>
        <w:rPr>
          <w:szCs w:val="26"/>
        </w:rPr>
        <w:t>o</w:t>
      </w:r>
      <w:r w:rsidR="0049202A">
        <w:rPr>
          <w:szCs w:val="26"/>
        </w:rPr>
        <w:t xml:space="preserve">f </w:t>
      </w:r>
      <w:r w:rsidR="000054BB">
        <w:rPr>
          <w:szCs w:val="26"/>
        </w:rPr>
        <w:t>Shawn Mathis</w:t>
      </w:r>
      <w:r w:rsidR="0049202A">
        <w:rPr>
          <w:szCs w:val="26"/>
        </w:rPr>
        <w:t xml:space="preserve"> </w:t>
      </w:r>
      <w:r w:rsidR="007636F8">
        <w:rPr>
          <w:szCs w:val="26"/>
        </w:rPr>
        <w:t xml:space="preserve">against PECO Energy Company at Docket No. C-2018-3001616 </w:t>
      </w:r>
      <w:r>
        <w:rPr>
          <w:szCs w:val="26"/>
        </w:rPr>
        <w:t xml:space="preserve">is dismissed </w:t>
      </w:r>
      <w:r w:rsidR="0049202A">
        <w:rPr>
          <w:szCs w:val="26"/>
        </w:rPr>
        <w:t>with prejudice.</w:t>
      </w:r>
    </w:p>
    <w:p w14:paraId="4A63A777" w14:textId="77777777" w:rsidR="00684B84" w:rsidRDefault="00684B84" w:rsidP="00330C0A">
      <w:pPr>
        <w:spacing w:line="360" w:lineRule="auto"/>
        <w:rPr>
          <w:szCs w:val="26"/>
        </w:rPr>
      </w:pPr>
    </w:p>
    <w:p w14:paraId="6C1C64B5" w14:textId="7D312329" w:rsidR="00066A76" w:rsidRDefault="009F6A3C" w:rsidP="00330C0A">
      <w:pPr>
        <w:spacing w:line="360" w:lineRule="auto"/>
        <w:ind w:left="720" w:firstLine="720"/>
        <w:rPr>
          <w:szCs w:val="26"/>
        </w:rPr>
      </w:pPr>
      <w:r>
        <w:rPr>
          <w:szCs w:val="26"/>
        </w:rPr>
        <w:t>4</w:t>
      </w:r>
      <w:r w:rsidR="00691A22">
        <w:rPr>
          <w:szCs w:val="26"/>
        </w:rPr>
        <w:t>.</w:t>
      </w:r>
      <w:r w:rsidR="00691A22">
        <w:rPr>
          <w:szCs w:val="26"/>
        </w:rPr>
        <w:tab/>
        <w:t>That</w:t>
      </w:r>
      <w:r w:rsidR="001F1CA1">
        <w:rPr>
          <w:szCs w:val="26"/>
        </w:rPr>
        <w:t xml:space="preserve"> the Secretary’s Bureau </w:t>
      </w:r>
      <w:r w:rsidR="00691A22">
        <w:rPr>
          <w:szCs w:val="26"/>
        </w:rPr>
        <w:t>shall mark</w:t>
      </w:r>
      <w:r w:rsidR="001F1CA1">
        <w:rPr>
          <w:szCs w:val="26"/>
        </w:rPr>
        <w:t xml:space="preserve"> this docket </w:t>
      </w:r>
      <w:r w:rsidR="00691A22">
        <w:rPr>
          <w:szCs w:val="26"/>
        </w:rPr>
        <w:t>closed.</w:t>
      </w:r>
    </w:p>
    <w:p w14:paraId="185063D9" w14:textId="77777777" w:rsidR="00691A22" w:rsidRPr="00066A76" w:rsidRDefault="00691A22" w:rsidP="00330C0A">
      <w:pPr>
        <w:spacing w:line="360" w:lineRule="auto"/>
        <w:rPr>
          <w:szCs w:val="26"/>
        </w:rPr>
      </w:pPr>
    </w:p>
    <w:p w14:paraId="5F134B7B" w14:textId="5C114396" w:rsidR="00066A76" w:rsidRPr="00066A76" w:rsidRDefault="00300FB3" w:rsidP="00330C0A">
      <w:pPr>
        <w:spacing w:line="360" w:lineRule="auto"/>
        <w:rPr>
          <w:szCs w:val="24"/>
        </w:rPr>
      </w:pPr>
      <w:r>
        <w:rPr>
          <w:noProof/>
        </w:rPr>
        <w:drawing>
          <wp:anchor distT="0" distB="0" distL="114300" distR="114300" simplePos="0" relativeHeight="251659264" behindDoc="1" locked="0" layoutInCell="1" allowOverlap="1" wp14:anchorId="358A680C" wp14:editId="5169BBE6">
            <wp:simplePos x="0" y="0"/>
            <wp:positionH relativeFrom="column">
              <wp:posOffset>3162300</wp:posOffset>
            </wp:positionH>
            <wp:positionV relativeFrom="paragraph">
              <wp:posOffset>200025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66A76" w:rsidRPr="00066A76">
        <w:rPr>
          <w:szCs w:val="26"/>
        </w:rPr>
        <w:tab/>
      </w:r>
      <w:r w:rsidR="00066A76" w:rsidRPr="00066A76">
        <w:rPr>
          <w:szCs w:val="26"/>
        </w:rPr>
        <w:tab/>
      </w:r>
      <w:r w:rsidR="00066A76" w:rsidRPr="00066A76">
        <w:rPr>
          <w:szCs w:val="26"/>
        </w:rPr>
        <w:tab/>
      </w:r>
      <w:r w:rsidR="00066A76" w:rsidRPr="00066A76">
        <w:rPr>
          <w:szCs w:val="26"/>
        </w:rPr>
        <w:tab/>
      </w:r>
      <w:r w:rsidR="00066A76" w:rsidRPr="00066A76">
        <w:rPr>
          <w:szCs w:val="26"/>
        </w:rPr>
        <w:tab/>
      </w:r>
      <w:r w:rsidR="00066A76" w:rsidRPr="00066A76">
        <w:rPr>
          <w:szCs w:val="26"/>
        </w:rPr>
        <w:tab/>
      </w:r>
      <w:r w:rsidR="00066A76" w:rsidRPr="00066A76">
        <w:rPr>
          <w:szCs w:val="26"/>
        </w:rPr>
        <w:tab/>
      </w:r>
      <w:r w:rsidR="00066A76" w:rsidRPr="00066A76">
        <w:rPr>
          <w:b/>
          <w:szCs w:val="24"/>
        </w:rPr>
        <w:t>BY THE COMMISSION,</w:t>
      </w:r>
    </w:p>
    <w:p w14:paraId="02438AC0" w14:textId="77777777" w:rsidR="00066A76" w:rsidRPr="00066A76" w:rsidRDefault="00066A76" w:rsidP="00330C0A">
      <w:pPr>
        <w:tabs>
          <w:tab w:val="left" w:pos="-720"/>
        </w:tabs>
        <w:suppressAutoHyphens/>
        <w:rPr>
          <w:szCs w:val="24"/>
        </w:rPr>
      </w:pPr>
    </w:p>
    <w:p w14:paraId="742E8BCA" w14:textId="77777777" w:rsidR="00A002ED" w:rsidRDefault="00A002ED" w:rsidP="00330C0A"/>
    <w:p w14:paraId="38B5AC63" w14:textId="77777777" w:rsidR="00066A76" w:rsidRPr="00066A76" w:rsidRDefault="00066A76" w:rsidP="00330C0A">
      <w:pPr>
        <w:tabs>
          <w:tab w:val="left" w:pos="-720"/>
        </w:tabs>
        <w:suppressAutoHyphens/>
        <w:rPr>
          <w:szCs w:val="24"/>
        </w:rPr>
      </w:pPr>
    </w:p>
    <w:p w14:paraId="2CA32104" w14:textId="77777777" w:rsidR="00066A76" w:rsidRPr="00066A76" w:rsidRDefault="00066A76" w:rsidP="00330C0A">
      <w:pPr>
        <w:tabs>
          <w:tab w:val="left" w:pos="-720"/>
        </w:tabs>
        <w:suppressAutoHyphens/>
        <w:rPr>
          <w:szCs w:val="24"/>
        </w:rPr>
      </w:pPr>
    </w:p>
    <w:p w14:paraId="09366222" w14:textId="77777777" w:rsidR="00066A76" w:rsidRPr="00066A76" w:rsidRDefault="00066A76" w:rsidP="00330C0A">
      <w:pPr>
        <w:tabs>
          <w:tab w:val="left" w:pos="-720"/>
        </w:tabs>
        <w:suppressAutoHyphens/>
        <w:rPr>
          <w:szCs w:val="24"/>
        </w:rPr>
      </w:pPr>
      <w:r w:rsidRPr="00066A76">
        <w:rPr>
          <w:szCs w:val="24"/>
        </w:rPr>
        <w:tab/>
      </w:r>
      <w:r w:rsidRPr="00066A76">
        <w:rPr>
          <w:szCs w:val="24"/>
        </w:rPr>
        <w:tab/>
      </w:r>
      <w:r w:rsidRPr="00066A76">
        <w:rPr>
          <w:szCs w:val="24"/>
        </w:rPr>
        <w:tab/>
      </w:r>
      <w:r w:rsidRPr="00066A76">
        <w:rPr>
          <w:szCs w:val="24"/>
        </w:rPr>
        <w:tab/>
      </w:r>
      <w:r w:rsidRPr="00066A76">
        <w:rPr>
          <w:szCs w:val="24"/>
        </w:rPr>
        <w:tab/>
      </w:r>
      <w:r w:rsidRPr="00066A76">
        <w:rPr>
          <w:szCs w:val="24"/>
        </w:rPr>
        <w:tab/>
      </w:r>
      <w:r w:rsidRPr="00066A76">
        <w:rPr>
          <w:szCs w:val="24"/>
        </w:rPr>
        <w:tab/>
        <w:t>Rosemary Chiavetta</w:t>
      </w:r>
    </w:p>
    <w:p w14:paraId="065F775D" w14:textId="77777777" w:rsidR="00066A76" w:rsidRDefault="00066A76" w:rsidP="00330C0A">
      <w:pPr>
        <w:tabs>
          <w:tab w:val="left" w:pos="-720"/>
        </w:tabs>
        <w:suppressAutoHyphens/>
        <w:rPr>
          <w:szCs w:val="24"/>
        </w:rPr>
      </w:pPr>
      <w:r w:rsidRPr="00066A76">
        <w:rPr>
          <w:szCs w:val="24"/>
        </w:rPr>
        <w:tab/>
      </w:r>
      <w:r w:rsidRPr="00066A76">
        <w:rPr>
          <w:szCs w:val="24"/>
        </w:rPr>
        <w:tab/>
      </w:r>
      <w:r w:rsidRPr="00066A76">
        <w:rPr>
          <w:szCs w:val="24"/>
        </w:rPr>
        <w:tab/>
      </w:r>
      <w:r w:rsidRPr="00066A76">
        <w:rPr>
          <w:szCs w:val="24"/>
        </w:rPr>
        <w:tab/>
      </w:r>
      <w:r w:rsidRPr="00066A76">
        <w:rPr>
          <w:szCs w:val="24"/>
        </w:rPr>
        <w:tab/>
      </w:r>
      <w:r w:rsidRPr="00066A76">
        <w:rPr>
          <w:szCs w:val="24"/>
        </w:rPr>
        <w:tab/>
      </w:r>
      <w:r w:rsidRPr="00066A76">
        <w:rPr>
          <w:szCs w:val="24"/>
        </w:rPr>
        <w:tab/>
        <w:t>Secretary</w:t>
      </w:r>
    </w:p>
    <w:p w14:paraId="1772E96E" w14:textId="77777777" w:rsidR="00661C22" w:rsidRPr="00066A76" w:rsidRDefault="00661C22" w:rsidP="00330C0A">
      <w:pPr>
        <w:tabs>
          <w:tab w:val="left" w:pos="-720"/>
        </w:tabs>
        <w:suppressAutoHyphens/>
        <w:rPr>
          <w:szCs w:val="24"/>
        </w:rPr>
      </w:pPr>
    </w:p>
    <w:p w14:paraId="2E71CEBE" w14:textId="77777777" w:rsidR="00066A76" w:rsidRPr="00066A76" w:rsidRDefault="00066A76" w:rsidP="00330C0A">
      <w:pPr>
        <w:tabs>
          <w:tab w:val="left" w:pos="-720"/>
        </w:tabs>
        <w:suppressAutoHyphens/>
        <w:rPr>
          <w:szCs w:val="24"/>
        </w:rPr>
      </w:pPr>
      <w:r w:rsidRPr="00066A76">
        <w:rPr>
          <w:szCs w:val="24"/>
        </w:rPr>
        <w:t>(SEAL)</w:t>
      </w:r>
    </w:p>
    <w:p w14:paraId="5F152830" w14:textId="77777777" w:rsidR="00066A76" w:rsidRPr="00066A76" w:rsidRDefault="00066A76" w:rsidP="00330C0A">
      <w:pPr>
        <w:tabs>
          <w:tab w:val="left" w:pos="-720"/>
        </w:tabs>
        <w:suppressAutoHyphens/>
        <w:rPr>
          <w:szCs w:val="24"/>
        </w:rPr>
      </w:pPr>
    </w:p>
    <w:p w14:paraId="49B3991F" w14:textId="77777777" w:rsidR="00066A76" w:rsidRPr="00066A76" w:rsidRDefault="00066A76" w:rsidP="00330C0A">
      <w:pPr>
        <w:tabs>
          <w:tab w:val="left" w:pos="-720"/>
        </w:tabs>
        <w:suppressAutoHyphens/>
        <w:rPr>
          <w:szCs w:val="24"/>
        </w:rPr>
      </w:pPr>
      <w:r w:rsidRPr="00066A76">
        <w:rPr>
          <w:szCs w:val="24"/>
        </w:rPr>
        <w:t xml:space="preserve">ORDER ADOPTED:  </w:t>
      </w:r>
      <w:r w:rsidR="000054BB">
        <w:rPr>
          <w:szCs w:val="24"/>
        </w:rPr>
        <w:t>February</w:t>
      </w:r>
      <w:r w:rsidR="00F600E3">
        <w:rPr>
          <w:szCs w:val="24"/>
        </w:rPr>
        <w:t xml:space="preserve"> </w:t>
      </w:r>
      <w:r w:rsidR="000054BB">
        <w:rPr>
          <w:szCs w:val="24"/>
        </w:rPr>
        <w:t>2</w:t>
      </w:r>
      <w:r w:rsidR="00F600E3">
        <w:rPr>
          <w:szCs w:val="24"/>
        </w:rPr>
        <w:t xml:space="preserve">8, </w:t>
      </w:r>
      <w:r w:rsidRPr="00066A76">
        <w:rPr>
          <w:szCs w:val="24"/>
        </w:rPr>
        <w:t>201</w:t>
      </w:r>
      <w:r w:rsidR="000054BB">
        <w:rPr>
          <w:szCs w:val="24"/>
        </w:rPr>
        <w:t>9</w:t>
      </w:r>
    </w:p>
    <w:p w14:paraId="0A061262" w14:textId="77777777" w:rsidR="00691A22" w:rsidRDefault="00691A22" w:rsidP="00330C0A">
      <w:pPr>
        <w:tabs>
          <w:tab w:val="left" w:pos="-720"/>
        </w:tabs>
        <w:suppressAutoHyphens/>
        <w:rPr>
          <w:szCs w:val="24"/>
        </w:rPr>
      </w:pPr>
    </w:p>
    <w:p w14:paraId="25FBDE18" w14:textId="25019CF1" w:rsidR="00BC1B7D" w:rsidRPr="00BC1B7D" w:rsidRDefault="00066A76" w:rsidP="00330C0A">
      <w:pPr>
        <w:tabs>
          <w:tab w:val="left" w:pos="-720"/>
        </w:tabs>
        <w:suppressAutoHyphens/>
      </w:pPr>
      <w:r w:rsidRPr="00066A76">
        <w:rPr>
          <w:szCs w:val="24"/>
        </w:rPr>
        <w:t>ORDER ENTERED:</w:t>
      </w:r>
      <w:r w:rsidR="006028DA">
        <w:rPr>
          <w:szCs w:val="24"/>
        </w:rPr>
        <w:t xml:space="preserve"> </w:t>
      </w:r>
      <w:r w:rsidR="000A4744">
        <w:rPr>
          <w:rFonts w:ascii="Times New (W1)" w:hAnsi="Times New (W1)"/>
          <w:szCs w:val="22"/>
        </w:rPr>
        <w:t xml:space="preserve"> </w:t>
      </w:r>
      <w:r w:rsidR="00300FB3">
        <w:rPr>
          <w:rFonts w:ascii="Times New (W1)" w:hAnsi="Times New (W1)"/>
          <w:szCs w:val="22"/>
        </w:rPr>
        <w:t>February 28, 2019</w:t>
      </w:r>
      <w:bookmarkStart w:id="1" w:name="_GoBack"/>
      <w:bookmarkEnd w:id="1"/>
    </w:p>
    <w:sectPr w:rsidR="00BC1B7D" w:rsidRPr="00BC1B7D" w:rsidSect="00A55BFB">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4CFEF1" w14:textId="77777777" w:rsidR="00CE2BC8" w:rsidRDefault="00CE2BC8" w:rsidP="00567496">
      <w:r>
        <w:separator/>
      </w:r>
    </w:p>
  </w:endnote>
  <w:endnote w:type="continuationSeparator" w:id="0">
    <w:p w14:paraId="3A3648CB" w14:textId="77777777" w:rsidR="00CE2BC8" w:rsidRDefault="00CE2BC8" w:rsidP="00567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0529680"/>
      <w:docPartObj>
        <w:docPartGallery w:val="Page Numbers (Bottom of Page)"/>
        <w:docPartUnique/>
      </w:docPartObj>
    </w:sdtPr>
    <w:sdtEndPr>
      <w:rPr>
        <w:noProof/>
      </w:rPr>
    </w:sdtEndPr>
    <w:sdtContent>
      <w:p w14:paraId="28BCB1B2" w14:textId="77777777" w:rsidR="001C4484" w:rsidRDefault="001C4484">
        <w:pPr>
          <w:pStyle w:val="Footer"/>
          <w:jc w:val="center"/>
        </w:pPr>
        <w:r>
          <w:fldChar w:fldCharType="begin"/>
        </w:r>
        <w:r>
          <w:instrText xml:space="preserve"> PAGE   \* MERGEFORMAT </w:instrText>
        </w:r>
        <w:r>
          <w:fldChar w:fldCharType="separate"/>
        </w:r>
        <w:r w:rsidR="00A002ED">
          <w:rPr>
            <w:noProof/>
          </w:rPr>
          <w:t>7</w:t>
        </w:r>
        <w:r>
          <w:rPr>
            <w:noProof/>
          </w:rPr>
          <w:fldChar w:fldCharType="end"/>
        </w:r>
      </w:p>
    </w:sdtContent>
  </w:sdt>
  <w:p w14:paraId="69F9D17A" w14:textId="77777777" w:rsidR="001C4484" w:rsidRDefault="001C44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B20E27" w14:textId="77777777" w:rsidR="00CE2BC8" w:rsidRDefault="00CE2BC8" w:rsidP="00567496">
      <w:r>
        <w:separator/>
      </w:r>
    </w:p>
  </w:footnote>
  <w:footnote w:type="continuationSeparator" w:id="0">
    <w:p w14:paraId="675E7DCE" w14:textId="77777777" w:rsidR="00CE2BC8" w:rsidRDefault="00CE2BC8" w:rsidP="00567496">
      <w:r>
        <w:continuationSeparator/>
      </w:r>
    </w:p>
  </w:footnote>
  <w:footnote w:id="1">
    <w:p w14:paraId="1B91AFA6" w14:textId="7007E6F7" w:rsidR="00D45494" w:rsidRPr="00D45494" w:rsidRDefault="00D45494" w:rsidP="00D45494">
      <w:pPr>
        <w:pStyle w:val="Default"/>
        <w:ind w:firstLine="720"/>
        <w:rPr>
          <w:sz w:val="26"/>
          <w:szCs w:val="26"/>
        </w:rPr>
      </w:pPr>
      <w:r w:rsidRPr="00D45494">
        <w:rPr>
          <w:rStyle w:val="FootnoteReference"/>
          <w:sz w:val="26"/>
          <w:szCs w:val="26"/>
        </w:rPr>
        <w:footnoteRef/>
      </w:r>
      <w:r w:rsidRPr="00D45494">
        <w:rPr>
          <w:sz w:val="26"/>
          <w:szCs w:val="26"/>
        </w:rPr>
        <w:t xml:space="preserve"> </w:t>
      </w:r>
      <w:r w:rsidRPr="00D45494">
        <w:rPr>
          <w:sz w:val="26"/>
          <w:szCs w:val="26"/>
        </w:rPr>
        <w:tab/>
        <w:t>This matter</w:t>
      </w:r>
      <w:r>
        <w:rPr>
          <w:sz w:val="26"/>
          <w:szCs w:val="26"/>
        </w:rPr>
        <w:t xml:space="preserve"> pertains to an</w:t>
      </w:r>
      <w:r w:rsidRPr="00D45494">
        <w:rPr>
          <w:sz w:val="26"/>
          <w:szCs w:val="26"/>
        </w:rPr>
        <w:t xml:space="preserve"> untimely appeal of a decision from the </w:t>
      </w:r>
      <w:r>
        <w:rPr>
          <w:sz w:val="26"/>
          <w:szCs w:val="26"/>
        </w:rPr>
        <w:t xml:space="preserve">Commission’s </w:t>
      </w:r>
      <w:r w:rsidRPr="00D45494">
        <w:rPr>
          <w:sz w:val="26"/>
          <w:szCs w:val="26"/>
        </w:rPr>
        <w:t>Bureau of Consumer Services (BCS) dated April 13, 2018, at Case No.</w:t>
      </w:r>
      <w:r w:rsidR="00BF279B">
        <w:rPr>
          <w:sz w:val="26"/>
          <w:szCs w:val="26"/>
        </w:rPr>
        <w:t> </w:t>
      </w:r>
      <w:r w:rsidRPr="00D45494">
        <w:rPr>
          <w:sz w:val="26"/>
          <w:szCs w:val="26"/>
        </w:rPr>
        <w:t>3595445.</w:t>
      </w:r>
    </w:p>
  </w:footnote>
  <w:footnote w:id="2">
    <w:p w14:paraId="3F0C2B0D" w14:textId="77777777" w:rsidR="001C79C2" w:rsidRDefault="001C79C2" w:rsidP="001C79C2">
      <w:pPr>
        <w:pStyle w:val="FootnoteText"/>
        <w:keepNext/>
        <w:keepLines/>
        <w:spacing w:after="120"/>
        <w:ind w:firstLine="720"/>
      </w:pPr>
      <w:r>
        <w:rPr>
          <w:rStyle w:val="FootnoteReference"/>
        </w:rPr>
        <w:footnoteRef/>
      </w:r>
      <w:r>
        <w:tab/>
      </w:r>
      <w:r w:rsidRPr="00E44C75">
        <w:rPr>
          <w:i/>
          <w:sz w:val="26"/>
          <w:szCs w:val="26"/>
        </w:rPr>
        <w:t>See also, e.g.,</w:t>
      </w:r>
      <w:r>
        <w:t xml:space="preserve"> </w:t>
      </w:r>
      <w:r w:rsidRPr="00827E17">
        <w:rPr>
          <w:i/>
          <w:sz w:val="26"/>
          <w:szCs w:val="26"/>
        </w:rPr>
        <w:t>Miro Kamenik v. PECO Energy Company</w:t>
      </w:r>
      <w:r w:rsidRPr="00827E17">
        <w:rPr>
          <w:sz w:val="26"/>
          <w:szCs w:val="26"/>
        </w:rPr>
        <w:t>, Docket No. C</w:t>
      </w:r>
      <w:r>
        <w:rPr>
          <w:sz w:val="26"/>
          <w:szCs w:val="26"/>
        </w:rPr>
        <w:t> </w:t>
      </w:r>
      <w:r w:rsidRPr="00827E17">
        <w:rPr>
          <w:sz w:val="26"/>
          <w:szCs w:val="26"/>
        </w:rPr>
        <w:t xml:space="preserve">2013-2379058 (Order entered July 29, 2015) (complaint dismissed, </w:t>
      </w:r>
      <w:r w:rsidRPr="00827E17">
        <w:rPr>
          <w:i/>
          <w:sz w:val="26"/>
          <w:szCs w:val="26"/>
        </w:rPr>
        <w:t>without prejudice</w:t>
      </w:r>
      <w:r w:rsidRPr="00827E17">
        <w:rPr>
          <w:sz w:val="26"/>
          <w:szCs w:val="26"/>
        </w:rPr>
        <w:t xml:space="preserve">, because presiding officer convened the scheduled hearing despite complainant having requested a continuance in writing to the presiding officer five days prior to hearing date explaining that a family situation prevented him from being able to attend the scheduled hearing); </w:t>
      </w:r>
      <w:r w:rsidRPr="00827E17">
        <w:rPr>
          <w:i/>
          <w:sz w:val="26"/>
          <w:szCs w:val="26"/>
        </w:rPr>
        <w:t>Amir V. Williams v. PECO Energy Co</w:t>
      </w:r>
      <w:r w:rsidRPr="00827E17">
        <w:rPr>
          <w:sz w:val="26"/>
          <w:szCs w:val="26"/>
        </w:rPr>
        <w:t xml:space="preserve">., Docket No. C-2010-2190024 (Order entered January 14, 2011) </w:t>
      </w:r>
      <w:r>
        <w:rPr>
          <w:sz w:val="26"/>
          <w:szCs w:val="26"/>
        </w:rPr>
        <w:t>(</w:t>
      </w:r>
      <w:r w:rsidRPr="00E44C75">
        <w:rPr>
          <w:i/>
          <w:sz w:val="26"/>
          <w:szCs w:val="26"/>
        </w:rPr>
        <w:t>Amir</w:t>
      </w:r>
      <w:r>
        <w:rPr>
          <w:sz w:val="26"/>
          <w:szCs w:val="26"/>
        </w:rPr>
        <w:t xml:space="preserve"> </w:t>
      </w:r>
      <w:r w:rsidRPr="00D759B3">
        <w:rPr>
          <w:i/>
          <w:sz w:val="26"/>
          <w:szCs w:val="26"/>
        </w:rPr>
        <w:t>Williams</w:t>
      </w:r>
      <w:r>
        <w:rPr>
          <w:sz w:val="26"/>
          <w:szCs w:val="26"/>
        </w:rPr>
        <w:t>)</w:t>
      </w:r>
      <w:r w:rsidRPr="00827E17">
        <w:rPr>
          <w:sz w:val="26"/>
          <w:szCs w:val="26"/>
        </w:rPr>
        <w:t xml:space="preserve"> (complaint dismissed, </w:t>
      </w:r>
      <w:r w:rsidRPr="00827E17">
        <w:rPr>
          <w:i/>
          <w:sz w:val="26"/>
          <w:szCs w:val="26"/>
        </w:rPr>
        <w:t>without prejudice</w:t>
      </w:r>
      <w:r w:rsidRPr="00827E17">
        <w:rPr>
          <w:sz w:val="26"/>
          <w:szCs w:val="26"/>
        </w:rPr>
        <w:t>, because complainant orally requested a continuance during the hearing due to complainant’s high blood pressure and record support that the complainant was not medically capable of testifying at the time of the scheduled hearing).</w:t>
      </w:r>
    </w:p>
  </w:footnote>
  <w:footnote w:id="3">
    <w:p w14:paraId="50DC70F5" w14:textId="71F216E9" w:rsidR="001C79C2" w:rsidRPr="00C33346" w:rsidRDefault="001C79C2" w:rsidP="001C79C2">
      <w:pPr>
        <w:pStyle w:val="FootnoteText"/>
        <w:keepNext/>
        <w:keepLines/>
        <w:spacing w:after="120"/>
        <w:ind w:firstLine="720"/>
        <w:rPr>
          <w:spacing w:val="-3"/>
          <w:sz w:val="26"/>
          <w:szCs w:val="26"/>
        </w:rPr>
      </w:pPr>
      <w:r>
        <w:rPr>
          <w:rStyle w:val="FootnoteReference"/>
        </w:rPr>
        <w:footnoteRef/>
      </w:r>
      <w:r>
        <w:tab/>
      </w:r>
      <w:bookmarkStart w:id="0" w:name="_Hlk1117738"/>
      <w:r w:rsidRPr="00C33346">
        <w:rPr>
          <w:i/>
          <w:sz w:val="26"/>
          <w:szCs w:val="26"/>
        </w:rPr>
        <w:t>See also, e.g.,</w:t>
      </w:r>
      <w:r w:rsidRPr="00C33346">
        <w:rPr>
          <w:sz w:val="26"/>
          <w:szCs w:val="26"/>
        </w:rPr>
        <w:t xml:space="preserve"> </w:t>
      </w:r>
      <w:r w:rsidRPr="00C33346">
        <w:rPr>
          <w:i/>
          <w:sz w:val="26"/>
          <w:szCs w:val="26"/>
        </w:rPr>
        <w:t>Cynthia Santore Smith v. PECO Energy Company</w:t>
      </w:r>
      <w:r w:rsidRPr="00C33346">
        <w:rPr>
          <w:sz w:val="26"/>
          <w:szCs w:val="26"/>
        </w:rPr>
        <w:t>, Docket No. F-2014-2446204 (Order entered September 3, 2015) (</w:t>
      </w:r>
      <w:r w:rsidRPr="00C33346">
        <w:rPr>
          <w:i/>
          <w:sz w:val="26"/>
          <w:szCs w:val="26"/>
        </w:rPr>
        <w:t>Santore Smith</w:t>
      </w:r>
      <w:r w:rsidRPr="00C33346">
        <w:rPr>
          <w:sz w:val="26"/>
          <w:szCs w:val="26"/>
        </w:rPr>
        <w:t xml:space="preserve">) (affirmed ALJ’s decision to dismiss complaint </w:t>
      </w:r>
      <w:r w:rsidRPr="00C33346">
        <w:rPr>
          <w:i/>
          <w:sz w:val="26"/>
          <w:szCs w:val="26"/>
        </w:rPr>
        <w:t>with prejudice</w:t>
      </w:r>
      <w:r w:rsidRPr="00C33346">
        <w:rPr>
          <w:sz w:val="26"/>
          <w:szCs w:val="26"/>
        </w:rPr>
        <w:t xml:space="preserve"> because, although the complainant’s failure to appear at hearing was due to the complainant’s contracting the flu, the complainant’s oral request for continuance was made the same day of the hearing and not supported by any written documentation submitted in the record);</w:t>
      </w:r>
      <w:r w:rsidRPr="00C33346">
        <w:rPr>
          <w:i/>
          <w:sz w:val="26"/>
          <w:szCs w:val="26"/>
        </w:rPr>
        <w:t xml:space="preserve"> Osuji v. PECO Energy Co</w:t>
      </w:r>
      <w:r w:rsidRPr="00C33346">
        <w:rPr>
          <w:sz w:val="26"/>
          <w:szCs w:val="26"/>
        </w:rPr>
        <w:t>., Docket No. C-2008-2071982 (Order entered July 24, 2009) (</w:t>
      </w:r>
      <w:r w:rsidRPr="00C33346">
        <w:rPr>
          <w:i/>
          <w:sz w:val="26"/>
          <w:szCs w:val="26"/>
        </w:rPr>
        <w:t>Osuji</w:t>
      </w:r>
      <w:r w:rsidRPr="00C33346">
        <w:rPr>
          <w:sz w:val="26"/>
          <w:szCs w:val="26"/>
        </w:rPr>
        <w:t xml:space="preserve">) (affirmed ALJ’s decision to dismiss complaint </w:t>
      </w:r>
      <w:r w:rsidRPr="00C33346">
        <w:rPr>
          <w:i/>
          <w:sz w:val="26"/>
          <w:szCs w:val="26"/>
        </w:rPr>
        <w:t>with prejudice</w:t>
      </w:r>
      <w:r w:rsidRPr="00C33346">
        <w:rPr>
          <w:sz w:val="26"/>
          <w:szCs w:val="26"/>
        </w:rPr>
        <w:t xml:space="preserve"> because, although the complainant’s failure to appear at hearing was due to being outside the country and unavailable as a result of a death in the family, the complainant did not request a continuance and did not submit any documentation to support her excuse);</w:t>
      </w:r>
      <w:r w:rsidRPr="00827E17">
        <w:rPr>
          <w:sz w:val="26"/>
          <w:szCs w:val="26"/>
        </w:rPr>
        <w:t xml:space="preserve"> </w:t>
      </w:r>
      <w:r w:rsidRPr="0019321F">
        <w:rPr>
          <w:i/>
          <w:sz w:val="26"/>
          <w:szCs w:val="26"/>
        </w:rPr>
        <w:t>Charles Nichols III v. Bell-Atlantic-Pennsyl</w:t>
      </w:r>
      <w:r w:rsidRPr="0019321F">
        <w:rPr>
          <w:i/>
          <w:sz w:val="26"/>
          <w:szCs w:val="26"/>
        </w:rPr>
        <w:softHyphen/>
        <w:t xml:space="preserve">vania, </w:t>
      </w:r>
      <w:r w:rsidRPr="0019321F">
        <w:rPr>
          <w:sz w:val="26"/>
          <w:szCs w:val="26"/>
        </w:rPr>
        <w:t>Docket No. </w:t>
      </w:r>
      <w:r w:rsidRPr="0019321F">
        <w:rPr>
          <w:spacing w:val="-3"/>
          <w:sz w:val="26"/>
          <w:szCs w:val="26"/>
        </w:rPr>
        <w:t>C</w:t>
      </w:r>
      <w:r w:rsidRPr="0019321F">
        <w:rPr>
          <w:spacing w:val="-3"/>
          <w:sz w:val="26"/>
          <w:szCs w:val="26"/>
        </w:rPr>
        <w:noBreakHyphen/>
        <w:t>00956667 (Opinion and Order entered August 4, 1995) (</w:t>
      </w:r>
      <w:r w:rsidRPr="0019321F">
        <w:rPr>
          <w:i/>
          <w:spacing w:val="-3"/>
          <w:sz w:val="26"/>
          <w:szCs w:val="26"/>
        </w:rPr>
        <w:t>Nichols</w:t>
      </w:r>
      <w:r>
        <w:rPr>
          <w:i/>
          <w:spacing w:val="-3"/>
          <w:sz w:val="26"/>
          <w:szCs w:val="26"/>
        </w:rPr>
        <w:t xml:space="preserve"> III</w:t>
      </w:r>
      <w:r>
        <w:rPr>
          <w:spacing w:val="-3"/>
          <w:sz w:val="26"/>
          <w:szCs w:val="26"/>
        </w:rPr>
        <w:t xml:space="preserve">) (affirmed ALJ’s decision to dismiss the complainant and found that the complainant’s excuse, as stated in the complainant’s exceptions </w:t>
      </w:r>
      <w:r w:rsidR="00C33346">
        <w:rPr>
          <w:spacing w:val="-3"/>
          <w:sz w:val="26"/>
          <w:szCs w:val="26"/>
        </w:rPr>
        <w:t>–</w:t>
      </w:r>
      <w:r>
        <w:rPr>
          <w:spacing w:val="-3"/>
          <w:sz w:val="26"/>
          <w:szCs w:val="26"/>
        </w:rPr>
        <w:t xml:space="preserve"> that he worked the graveyard shift and overslept and missed the hearing – “was not caused by unavoidable circumstances, but instead was caused by his own lack of diligence”).</w:t>
      </w:r>
    </w:p>
    <w:bookmarkEnd w:id="0"/>
  </w:footnote>
  <w:footnote w:id="4">
    <w:p w14:paraId="33E63BAD" w14:textId="18ABF43F" w:rsidR="001C79C2" w:rsidRDefault="001C79C2" w:rsidP="001C79C2">
      <w:pPr>
        <w:pStyle w:val="FootnoteText"/>
        <w:keepNext/>
        <w:keepLines/>
        <w:spacing w:after="120"/>
        <w:ind w:firstLine="720"/>
      </w:pPr>
      <w:r w:rsidRPr="002F27CC">
        <w:rPr>
          <w:rStyle w:val="FootnoteReference"/>
          <w:sz w:val="26"/>
          <w:szCs w:val="26"/>
        </w:rPr>
        <w:footnoteRef/>
      </w:r>
      <w:r w:rsidRPr="002F27CC">
        <w:rPr>
          <w:sz w:val="26"/>
          <w:szCs w:val="26"/>
        </w:rPr>
        <w:tab/>
      </w:r>
      <w:r w:rsidRPr="002F27CC">
        <w:rPr>
          <w:i/>
          <w:sz w:val="26"/>
          <w:szCs w:val="26"/>
        </w:rPr>
        <w:t>See also, e.g</w:t>
      </w:r>
      <w:r w:rsidRPr="002F27CC">
        <w:rPr>
          <w:sz w:val="26"/>
          <w:szCs w:val="26"/>
        </w:rPr>
        <w:t xml:space="preserve">., </w:t>
      </w:r>
      <w:r w:rsidRPr="002F27CC">
        <w:rPr>
          <w:i/>
          <w:sz w:val="26"/>
          <w:szCs w:val="26"/>
        </w:rPr>
        <w:t>Windell C. Wiggins v. PECO Energy Company</w:t>
      </w:r>
      <w:r w:rsidRPr="002F27CC">
        <w:rPr>
          <w:sz w:val="26"/>
          <w:szCs w:val="26"/>
        </w:rPr>
        <w:t>, Docket No. C-2010-2190335 (Order entered October 27, 2011) (</w:t>
      </w:r>
      <w:r w:rsidRPr="002F27CC">
        <w:rPr>
          <w:i/>
          <w:sz w:val="26"/>
          <w:szCs w:val="26"/>
        </w:rPr>
        <w:t>Wiggins</w:t>
      </w:r>
      <w:r w:rsidRPr="002F27CC">
        <w:rPr>
          <w:sz w:val="26"/>
          <w:szCs w:val="26"/>
        </w:rPr>
        <w:t xml:space="preserve">) (complaint dismissed </w:t>
      </w:r>
      <w:r w:rsidRPr="002F27CC">
        <w:rPr>
          <w:i/>
          <w:sz w:val="26"/>
          <w:szCs w:val="26"/>
        </w:rPr>
        <w:t>without prejudice</w:t>
      </w:r>
      <w:r w:rsidRPr="002F27CC">
        <w:rPr>
          <w:sz w:val="26"/>
          <w:szCs w:val="26"/>
        </w:rPr>
        <w:t xml:space="preserve"> because the complainant demonstrated an effort to timely attend the initial hearing but waited in an area used by the welfare department and its complainants rather than the Commission’s hearing room and the complainant did not attend the rescheduled hearing); </w:t>
      </w:r>
      <w:r w:rsidRPr="002F27CC">
        <w:rPr>
          <w:i/>
          <w:sz w:val="26"/>
          <w:szCs w:val="26"/>
        </w:rPr>
        <w:t>Edward B. Ference v. Equitable Gas Company</w:t>
      </w:r>
      <w:r w:rsidRPr="002F27CC">
        <w:rPr>
          <w:sz w:val="26"/>
          <w:szCs w:val="26"/>
        </w:rPr>
        <w:t>, Docket No. C</w:t>
      </w:r>
      <w:r>
        <w:rPr>
          <w:sz w:val="26"/>
          <w:szCs w:val="26"/>
        </w:rPr>
        <w:noBreakHyphen/>
      </w:r>
      <w:r w:rsidRPr="002F27CC">
        <w:rPr>
          <w:sz w:val="26"/>
          <w:szCs w:val="26"/>
        </w:rPr>
        <w:t>20015840 (Order entered February 12, 2002) (reversed ALJ’s decision to dismiss complaint with prejudice and remanded for hearing upon demonstration that the complainant made a good faith attempt to attend the hearing but was unavoidably delayed due to late arrival of his taxicab, and such excuse</w:t>
      </w:r>
      <w:r w:rsidRPr="00827E17">
        <w:rPr>
          <w:sz w:val="26"/>
          <w:szCs w:val="26"/>
        </w:rPr>
        <w:t xml:space="preserve"> was supported by a letter submitted in the record from the cab company conf</w:t>
      </w:r>
      <w:r>
        <w:rPr>
          <w:sz w:val="26"/>
          <w:szCs w:val="26"/>
        </w:rPr>
        <w:t>irming arrival time of the cab)</w:t>
      </w:r>
      <w:r w:rsidRPr="00827E17">
        <w:rPr>
          <w:sz w:val="26"/>
          <w:szCs w:val="26"/>
        </w:rPr>
        <w:t>.</w:t>
      </w:r>
    </w:p>
  </w:footnote>
  <w:footnote w:id="5">
    <w:p w14:paraId="228C1911" w14:textId="77777777" w:rsidR="00947B56" w:rsidRDefault="00947B56">
      <w:pPr>
        <w:pStyle w:val="FootnoteText"/>
        <w:rPr>
          <w:sz w:val="26"/>
        </w:rPr>
      </w:pPr>
      <w:r>
        <w:tab/>
      </w:r>
      <w:r w:rsidRPr="00A04B04">
        <w:rPr>
          <w:rStyle w:val="FootnoteReference"/>
          <w:sz w:val="26"/>
        </w:rPr>
        <w:footnoteRef/>
      </w:r>
      <w:r w:rsidRPr="00A04B04">
        <w:rPr>
          <w:sz w:val="26"/>
        </w:rPr>
        <w:tab/>
        <w:t>We acknowledge that the Complainant’s Exceptions do not strictly conform to 52 Pa. Code § 5.533</w:t>
      </w:r>
      <w:r w:rsidR="00A04B04" w:rsidRPr="00A04B04">
        <w:rPr>
          <w:sz w:val="26"/>
        </w:rPr>
        <w:t>(b)</w:t>
      </w:r>
      <w:r w:rsidRPr="00A04B04">
        <w:rPr>
          <w:sz w:val="26"/>
        </w:rPr>
        <w:t xml:space="preserve">, </w:t>
      </w:r>
      <w:r w:rsidR="00A04B04" w:rsidRPr="00A04B04">
        <w:rPr>
          <w:sz w:val="26"/>
        </w:rPr>
        <w:t xml:space="preserve">which requires that Exceptions be numbered, identify the finding of fact or conclusion of law to which exception is taken, and cite relevant pages of the decision.  Nevertheless, particularly because the Complainant is </w:t>
      </w:r>
      <w:r w:rsidR="00A04B04" w:rsidRPr="00A04B04">
        <w:rPr>
          <w:i/>
          <w:sz w:val="26"/>
        </w:rPr>
        <w:t>pro se</w:t>
      </w:r>
      <w:r w:rsidR="00A04B04" w:rsidRPr="00A04B04">
        <w:rPr>
          <w:sz w:val="26"/>
        </w:rPr>
        <w:t>, we shall consider the Exceptions in order to secure a just, speedy, and inexpensive determination in this proceeding, consistent with 52 Pa. Code § 1.2.</w:t>
      </w:r>
    </w:p>
    <w:p w14:paraId="73AA6402" w14:textId="77777777" w:rsidR="00643570" w:rsidRPr="00A04B04" w:rsidRDefault="00643570">
      <w:pPr>
        <w:pStyle w:val="FootnoteText"/>
        <w:rPr>
          <w:sz w:val="2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42655"/>
    <w:multiLevelType w:val="hybridMultilevel"/>
    <w:tmpl w:val="01F0C222"/>
    <w:lvl w:ilvl="0" w:tplc="FE7C6A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A371F3"/>
    <w:multiLevelType w:val="hybridMultilevel"/>
    <w:tmpl w:val="680C26E6"/>
    <w:lvl w:ilvl="0" w:tplc="C5889E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5C93AA2"/>
    <w:multiLevelType w:val="hybridMultilevel"/>
    <w:tmpl w:val="23861AA0"/>
    <w:lvl w:ilvl="0" w:tplc="76E0F17C">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681F41FD"/>
    <w:multiLevelType w:val="hybridMultilevel"/>
    <w:tmpl w:val="F956E32C"/>
    <w:lvl w:ilvl="0" w:tplc="BC4E79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F7A5EEF"/>
    <w:multiLevelType w:val="hybridMultilevel"/>
    <w:tmpl w:val="8646A984"/>
    <w:lvl w:ilvl="0" w:tplc="5F6E5DA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0E9585F"/>
    <w:multiLevelType w:val="hybridMultilevel"/>
    <w:tmpl w:val="27F07F46"/>
    <w:lvl w:ilvl="0" w:tplc="E7C6134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4"/>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F6E"/>
    <w:rsid w:val="00000589"/>
    <w:rsid w:val="00000C05"/>
    <w:rsid w:val="00000DBB"/>
    <w:rsid w:val="00001155"/>
    <w:rsid w:val="00001EBD"/>
    <w:rsid w:val="000031B7"/>
    <w:rsid w:val="000036E9"/>
    <w:rsid w:val="00004052"/>
    <w:rsid w:val="00004858"/>
    <w:rsid w:val="00004E2C"/>
    <w:rsid w:val="00004F7C"/>
    <w:rsid w:val="000054BB"/>
    <w:rsid w:val="00006415"/>
    <w:rsid w:val="00006ECB"/>
    <w:rsid w:val="00006EFA"/>
    <w:rsid w:val="00013322"/>
    <w:rsid w:val="00014157"/>
    <w:rsid w:val="0001578F"/>
    <w:rsid w:val="00016924"/>
    <w:rsid w:val="00016B40"/>
    <w:rsid w:val="00017680"/>
    <w:rsid w:val="0001780A"/>
    <w:rsid w:val="000211D0"/>
    <w:rsid w:val="00021A4A"/>
    <w:rsid w:val="000222AE"/>
    <w:rsid w:val="00022504"/>
    <w:rsid w:val="0002280B"/>
    <w:rsid w:val="000228FE"/>
    <w:rsid w:val="00022C52"/>
    <w:rsid w:val="00022EC2"/>
    <w:rsid w:val="00023CB6"/>
    <w:rsid w:val="00023D09"/>
    <w:rsid w:val="000249BD"/>
    <w:rsid w:val="00026AFF"/>
    <w:rsid w:val="00027499"/>
    <w:rsid w:val="00027B21"/>
    <w:rsid w:val="0003033F"/>
    <w:rsid w:val="0003064C"/>
    <w:rsid w:val="00031713"/>
    <w:rsid w:val="00031787"/>
    <w:rsid w:val="0003181E"/>
    <w:rsid w:val="00031B5D"/>
    <w:rsid w:val="0003253F"/>
    <w:rsid w:val="00032E09"/>
    <w:rsid w:val="00033027"/>
    <w:rsid w:val="0003338F"/>
    <w:rsid w:val="00034A58"/>
    <w:rsid w:val="00034F46"/>
    <w:rsid w:val="00034F90"/>
    <w:rsid w:val="00041612"/>
    <w:rsid w:val="000422E7"/>
    <w:rsid w:val="00042CC3"/>
    <w:rsid w:val="000447CE"/>
    <w:rsid w:val="00044CEB"/>
    <w:rsid w:val="00045551"/>
    <w:rsid w:val="00045911"/>
    <w:rsid w:val="00046962"/>
    <w:rsid w:val="00047785"/>
    <w:rsid w:val="00047B6F"/>
    <w:rsid w:val="000506DB"/>
    <w:rsid w:val="000509B2"/>
    <w:rsid w:val="00050CF6"/>
    <w:rsid w:val="00051324"/>
    <w:rsid w:val="000519B5"/>
    <w:rsid w:val="00052468"/>
    <w:rsid w:val="00052D75"/>
    <w:rsid w:val="00052FFA"/>
    <w:rsid w:val="00054D36"/>
    <w:rsid w:val="000550E9"/>
    <w:rsid w:val="00055623"/>
    <w:rsid w:val="00055A3E"/>
    <w:rsid w:val="000562A6"/>
    <w:rsid w:val="00056646"/>
    <w:rsid w:val="00057D94"/>
    <w:rsid w:val="0006109C"/>
    <w:rsid w:val="00061888"/>
    <w:rsid w:val="00063D15"/>
    <w:rsid w:val="00063E1C"/>
    <w:rsid w:val="00064136"/>
    <w:rsid w:val="00064894"/>
    <w:rsid w:val="00064B11"/>
    <w:rsid w:val="000658EB"/>
    <w:rsid w:val="00065A18"/>
    <w:rsid w:val="00065F0E"/>
    <w:rsid w:val="0006651C"/>
    <w:rsid w:val="0006697D"/>
    <w:rsid w:val="00066A76"/>
    <w:rsid w:val="00066AE5"/>
    <w:rsid w:val="0007207D"/>
    <w:rsid w:val="0007219D"/>
    <w:rsid w:val="000728F9"/>
    <w:rsid w:val="00072CB2"/>
    <w:rsid w:val="000730CE"/>
    <w:rsid w:val="000732CB"/>
    <w:rsid w:val="000740B8"/>
    <w:rsid w:val="00074262"/>
    <w:rsid w:val="00074274"/>
    <w:rsid w:val="00074580"/>
    <w:rsid w:val="000749FD"/>
    <w:rsid w:val="0007550D"/>
    <w:rsid w:val="00075FD6"/>
    <w:rsid w:val="00075FFF"/>
    <w:rsid w:val="00076343"/>
    <w:rsid w:val="0007652E"/>
    <w:rsid w:val="00076FCE"/>
    <w:rsid w:val="000777B3"/>
    <w:rsid w:val="000805CB"/>
    <w:rsid w:val="00081D32"/>
    <w:rsid w:val="00081EEF"/>
    <w:rsid w:val="0008220C"/>
    <w:rsid w:val="00082E1B"/>
    <w:rsid w:val="000842FB"/>
    <w:rsid w:val="000851ED"/>
    <w:rsid w:val="00085ED7"/>
    <w:rsid w:val="00087216"/>
    <w:rsid w:val="000878DB"/>
    <w:rsid w:val="00087C5C"/>
    <w:rsid w:val="00090183"/>
    <w:rsid w:val="000917D1"/>
    <w:rsid w:val="00092F02"/>
    <w:rsid w:val="00093996"/>
    <w:rsid w:val="00093FE1"/>
    <w:rsid w:val="00094193"/>
    <w:rsid w:val="00094355"/>
    <w:rsid w:val="000950BB"/>
    <w:rsid w:val="00096209"/>
    <w:rsid w:val="000971B5"/>
    <w:rsid w:val="000979D4"/>
    <w:rsid w:val="000A06B5"/>
    <w:rsid w:val="000A0A6B"/>
    <w:rsid w:val="000A0C77"/>
    <w:rsid w:val="000A13F2"/>
    <w:rsid w:val="000A1613"/>
    <w:rsid w:val="000A18F9"/>
    <w:rsid w:val="000A1BE6"/>
    <w:rsid w:val="000A2B14"/>
    <w:rsid w:val="000A4744"/>
    <w:rsid w:val="000A4F3F"/>
    <w:rsid w:val="000A6448"/>
    <w:rsid w:val="000A6F8A"/>
    <w:rsid w:val="000A718D"/>
    <w:rsid w:val="000A78BD"/>
    <w:rsid w:val="000A7DED"/>
    <w:rsid w:val="000B0210"/>
    <w:rsid w:val="000B12E3"/>
    <w:rsid w:val="000B1971"/>
    <w:rsid w:val="000B1E0D"/>
    <w:rsid w:val="000B1F90"/>
    <w:rsid w:val="000B297E"/>
    <w:rsid w:val="000B531C"/>
    <w:rsid w:val="000B599B"/>
    <w:rsid w:val="000B5E9B"/>
    <w:rsid w:val="000B6883"/>
    <w:rsid w:val="000B6C4C"/>
    <w:rsid w:val="000B710E"/>
    <w:rsid w:val="000B75DD"/>
    <w:rsid w:val="000C09B4"/>
    <w:rsid w:val="000C0E0E"/>
    <w:rsid w:val="000C2070"/>
    <w:rsid w:val="000C213E"/>
    <w:rsid w:val="000C35F6"/>
    <w:rsid w:val="000C459A"/>
    <w:rsid w:val="000C5F40"/>
    <w:rsid w:val="000C69AD"/>
    <w:rsid w:val="000C6B66"/>
    <w:rsid w:val="000C7089"/>
    <w:rsid w:val="000C7A35"/>
    <w:rsid w:val="000D0D98"/>
    <w:rsid w:val="000D1091"/>
    <w:rsid w:val="000D2485"/>
    <w:rsid w:val="000D2A6B"/>
    <w:rsid w:val="000D380B"/>
    <w:rsid w:val="000D383A"/>
    <w:rsid w:val="000D3DCC"/>
    <w:rsid w:val="000D43BE"/>
    <w:rsid w:val="000D476B"/>
    <w:rsid w:val="000D48F9"/>
    <w:rsid w:val="000D520C"/>
    <w:rsid w:val="000D5D86"/>
    <w:rsid w:val="000D6CEF"/>
    <w:rsid w:val="000D74EC"/>
    <w:rsid w:val="000D7FD2"/>
    <w:rsid w:val="000E007A"/>
    <w:rsid w:val="000E01F7"/>
    <w:rsid w:val="000E0269"/>
    <w:rsid w:val="000E0582"/>
    <w:rsid w:val="000E0764"/>
    <w:rsid w:val="000E0FA7"/>
    <w:rsid w:val="000E124B"/>
    <w:rsid w:val="000E22AE"/>
    <w:rsid w:val="000E285A"/>
    <w:rsid w:val="000E35F4"/>
    <w:rsid w:val="000E3C3B"/>
    <w:rsid w:val="000E4883"/>
    <w:rsid w:val="000E5496"/>
    <w:rsid w:val="000E6231"/>
    <w:rsid w:val="000E7328"/>
    <w:rsid w:val="000E75E1"/>
    <w:rsid w:val="000E7645"/>
    <w:rsid w:val="000E7975"/>
    <w:rsid w:val="000E7C57"/>
    <w:rsid w:val="000F01E0"/>
    <w:rsid w:val="000F0263"/>
    <w:rsid w:val="000F0EA5"/>
    <w:rsid w:val="000F2AEE"/>
    <w:rsid w:val="000F3544"/>
    <w:rsid w:val="000F415F"/>
    <w:rsid w:val="000F45BD"/>
    <w:rsid w:val="000F461C"/>
    <w:rsid w:val="000F46D2"/>
    <w:rsid w:val="000F501F"/>
    <w:rsid w:val="000F50A2"/>
    <w:rsid w:val="000F50C8"/>
    <w:rsid w:val="000F5F90"/>
    <w:rsid w:val="000F64C7"/>
    <w:rsid w:val="000F7411"/>
    <w:rsid w:val="000F7DAE"/>
    <w:rsid w:val="00100BCA"/>
    <w:rsid w:val="0010174E"/>
    <w:rsid w:val="00101D54"/>
    <w:rsid w:val="00102F7E"/>
    <w:rsid w:val="00103F79"/>
    <w:rsid w:val="00104159"/>
    <w:rsid w:val="00105BF5"/>
    <w:rsid w:val="00105E00"/>
    <w:rsid w:val="00105F1D"/>
    <w:rsid w:val="00106B30"/>
    <w:rsid w:val="00107493"/>
    <w:rsid w:val="00107BD9"/>
    <w:rsid w:val="00111B2A"/>
    <w:rsid w:val="0011210B"/>
    <w:rsid w:val="00112874"/>
    <w:rsid w:val="0011373B"/>
    <w:rsid w:val="00115130"/>
    <w:rsid w:val="00115D05"/>
    <w:rsid w:val="00115FB0"/>
    <w:rsid w:val="00116C7B"/>
    <w:rsid w:val="0011729D"/>
    <w:rsid w:val="001172E7"/>
    <w:rsid w:val="00117A81"/>
    <w:rsid w:val="00120481"/>
    <w:rsid w:val="001212C2"/>
    <w:rsid w:val="00121D4A"/>
    <w:rsid w:val="00121DD2"/>
    <w:rsid w:val="00122DEA"/>
    <w:rsid w:val="0012301B"/>
    <w:rsid w:val="00123544"/>
    <w:rsid w:val="00123EC1"/>
    <w:rsid w:val="001248B9"/>
    <w:rsid w:val="00124CAA"/>
    <w:rsid w:val="00124D07"/>
    <w:rsid w:val="001251FA"/>
    <w:rsid w:val="0012540C"/>
    <w:rsid w:val="00126313"/>
    <w:rsid w:val="00126693"/>
    <w:rsid w:val="00127A3B"/>
    <w:rsid w:val="00127ADA"/>
    <w:rsid w:val="00130039"/>
    <w:rsid w:val="00130A5C"/>
    <w:rsid w:val="00130A80"/>
    <w:rsid w:val="00130E3F"/>
    <w:rsid w:val="00130FC1"/>
    <w:rsid w:val="00131317"/>
    <w:rsid w:val="00131318"/>
    <w:rsid w:val="0013185F"/>
    <w:rsid w:val="001318EC"/>
    <w:rsid w:val="001324BC"/>
    <w:rsid w:val="0013263B"/>
    <w:rsid w:val="0013296C"/>
    <w:rsid w:val="0013363F"/>
    <w:rsid w:val="00134BFA"/>
    <w:rsid w:val="00134D75"/>
    <w:rsid w:val="00135DD1"/>
    <w:rsid w:val="00137474"/>
    <w:rsid w:val="00137993"/>
    <w:rsid w:val="00140308"/>
    <w:rsid w:val="00141235"/>
    <w:rsid w:val="0014343B"/>
    <w:rsid w:val="00143548"/>
    <w:rsid w:val="00143873"/>
    <w:rsid w:val="00143B1D"/>
    <w:rsid w:val="00144359"/>
    <w:rsid w:val="00146C68"/>
    <w:rsid w:val="0014737F"/>
    <w:rsid w:val="00150526"/>
    <w:rsid w:val="00150E8C"/>
    <w:rsid w:val="00151710"/>
    <w:rsid w:val="00151C0A"/>
    <w:rsid w:val="00151E19"/>
    <w:rsid w:val="001520DA"/>
    <w:rsid w:val="00152175"/>
    <w:rsid w:val="00153381"/>
    <w:rsid w:val="00153DA6"/>
    <w:rsid w:val="00153E8D"/>
    <w:rsid w:val="00153F8F"/>
    <w:rsid w:val="00154271"/>
    <w:rsid w:val="00154722"/>
    <w:rsid w:val="001550A1"/>
    <w:rsid w:val="0015535F"/>
    <w:rsid w:val="00155EDA"/>
    <w:rsid w:val="00156581"/>
    <w:rsid w:val="00162263"/>
    <w:rsid w:val="001623B6"/>
    <w:rsid w:val="001624A6"/>
    <w:rsid w:val="00163290"/>
    <w:rsid w:val="0016372F"/>
    <w:rsid w:val="001648F1"/>
    <w:rsid w:val="0016528B"/>
    <w:rsid w:val="0016597F"/>
    <w:rsid w:val="001660A3"/>
    <w:rsid w:val="001669A9"/>
    <w:rsid w:val="00166C52"/>
    <w:rsid w:val="00167166"/>
    <w:rsid w:val="00167B7B"/>
    <w:rsid w:val="00167E4A"/>
    <w:rsid w:val="001701B4"/>
    <w:rsid w:val="00170C7D"/>
    <w:rsid w:val="00172E5B"/>
    <w:rsid w:val="00173196"/>
    <w:rsid w:val="0017378E"/>
    <w:rsid w:val="001742A4"/>
    <w:rsid w:val="00174348"/>
    <w:rsid w:val="001743B6"/>
    <w:rsid w:val="00174916"/>
    <w:rsid w:val="001757B6"/>
    <w:rsid w:val="00175ED3"/>
    <w:rsid w:val="001766B5"/>
    <w:rsid w:val="0017689E"/>
    <w:rsid w:val="00177A8C"/>
    <w:rsid w:val="00177D81"/>
    <w:rsid w:val="0018006C"/>
    <w:rsid w:val="00180BE2"/>
    <w:rsid w:val="00180D82"/>
    <w:rsid w:val="00182093"/>
    <w:rsid w:val="00184831"/>
    <w:rsid w:val="00185E7E"/>
    <w:rsid w:val="00185FB2"/>
    <w:rsid w:val="00186927"/>
    <w:rsid w:val="001869F9"/>
    <w:rsid w:val="00187958"/>
    <w:rsid w:val="0019027A"/>
    <w:rsid w:val="0019028A"/>
    <w:rsid w:val="00191C9B"/>
    <w:rsid w:val="001920B5"/>
    <w:rsid w:val="00192C94"/>
    <w:rsid w:val="0019507A"/>
    <w:rsid w:val="001958F7"/>
    <w:rsid w:val="001960EE"/>
    <w:rsid w:val="001966F5"/>
    <w:rsid w:val="001A0BA6"/>
    <w:rsid w:val="001A1808"/>
    <w:rsid w:val="001A1EF3"/>
    <w:rsid w:val="001A253A"/>
    <w:rsid w:val="001A272B"/>
    <w:rsid w:val="001A2965"/>
    <w:rsid w:val="001A410D"/>
    <w:rsid w:val="001A462A"/>
    <w:rsid w:val="001A4EB7"/>
    <w:rsid w:val="001A6A0C"/>
    <w:rsid w:val="001A6A14"/>
    <w:rsid w:val="001A6BD4"/>
    <w:rsid w:val="001A6C53"/>
    <w:rsid w:val="001A7031"/>
    <w:rsid w:val="001A7064"/>
    <w:rsid w:val="001A7E39"/>
    <w:rsid w:val="001B0475"/>
    <w:rsid w:val="001B1E6E"/>
    <w:rsid w:val="001B2A8A"/>
    <w:rsid w:val="001B4D9F"/>
    <w:rsid w:val="001B4DBE"/>
    <w:rsid w:val="001B52E2"/>
    <w:rsid w:val="001B5DE4"/>
    <w:rsid w:val="001B5ECD"/>
    <w:rsid w:val="001B6398"/>
    <w:rsid w:val="001C1CD8"/>
    <w:rsid w:val="001C1DA1"/>
    <w:rsid w:val="001C27CC"/>
    <w:rsid w:val="001C2933"/>
    <w:rsid w:val="001C2D37"/>
    <w:rsid w:val="001C3981"/>
    <w:rsid w:val="001C3A12"/>
    <w:rsid w:val="001C3E1E"/>
    <w:rsid w:val="001C4360"/>
    <w:rsid w:val="001C4484"/>
    <w:rsid w:val="001C44D7"/>
    <w:rsid w:val="001C44FF"/>
    <w:rsid w:val="001C5EF8"/>
    <w:rsid w:val="001C6120"/>
    <w:rsid w:val="001C70A3"/>
    <w:rsid w:val="001C79C2"/>
    <w:rsid w:val="001C7B31"/>
    <w:rsid w:val="001D04FE"/>
    <w:rsid w:val="001D0B37"/>
    <w:rsid w:val="001D2F20"/>
    <w:rsid w:val="001D3050"/>
    <w:rsid w:val="001D6158"/>
    <w:rsid w:val="001D62D6"/>
    <w:rsid w:val="001D6915"/>
    <w:rsid w:val="001D6F21"/>
    <w:rsid w:val="001E00F5"/>
    <w:rsid w:val="001E197D"/>
    <w:rsid w:val="001E19B2"/>
    <w:rsid w:val="001E31CE"/>
    <w:rsid w:val="001E3599"/>
    <w:rsid w:val="001E3A20"/>
    <w:rsid w:val="001E5218"/>
    <w:rsid w:val="001E5224"/>
    <w:rsid w:val="001E6D2C"/>
    <w:rsid w:val="001E700E"/>
    <w:rsid w:val="001E7106"/>
    <w:rsid w:val="001E7A0C"/>
    <w:rsid w:val="001E7D0A"/>
    <w:rsid w:val="001F017D"/>
    <w:rsid w:val="001F099F"/>
    <w:rsid w:val="001F0B51"/>
    <w:rsid w:val="001F0E9C"/>
    <w:rsid w:val="001F1078"/>
    <w:rsid w:val="001F1B72"/>
    <w:rsid w:val="001F1CA1"/>
    <w:rsid w:val="001F1D88"/>
    <w:rsid w:val="001F2E5D"/>
    <w:rsid w:val="001F2E66"/>
    <w:rsid w:val="001F3BCE"/>
    <w:rsid w:val="001F528A"/>
    <w:rsid w:val="001F56EC"/>
    <w:rsid w:val="001F5F18"/>
    <w:rsid w:val="001F62B2"/>
    <w:rsid w:val="001F630C"/>
    <w:rsid w:val="001F66B3"/>
    <w:rsid w:val="001F709D"/>
    <w:rsid w:val="001F71DF"/>
    <w:rsid w:val="001F73C2"/>
    <w:rsid w:val="001F7CFE"/>
    <w:rsid w:val="0020062B"/>
    <w:rsid w:val="00200D38"/>
    <w:rsid w:val="00200F19"/>
    <w:rsid w:val="0020132D"/>
    <w:rsid w:val="00201A51"/>
    <w:rsid w:val="00201C6A"/>
    <w:rsid w:val="00201DF0"/>
    <w:rsid w:val="00203A4D"/>
    <w:rsid w:val="00203A63"/>
    <w:rsid w:val="00204170"/>
    <w:rsid w:val="00204867"/>
    <w:rsid w:val="00204A77"/>
    <w:rsid w:val="00205404"/>
    <w:rsid w:val="002056F8"/>
    <w:rsid w:val="00205C93"/>
    <w:rsid w:val="00206D72"/>
    <w:rsid w:val="00206F3A"/>
    <w:rsid w:val="0020767E"/>
    <w:rsid w:val="002104DC"/>
    <w:rsid w:val="00210F6C"/>
    <w:rsid w:val="0021316F"/>
    <w:rsid w:val="002133BD"/>
    <w:rsid w:val="00213844"/>
    <w:rsid w:val="00213CEC"/>
    <w:rsid w:val="0021490C"/>
    <w:rsid w:val="00215565"/>
    <w:rsid w:val="002165D6"/>
    <w:rsid w:val="002166B8"/>
    <w:rsid w:val="00216CD0"/>
    <w:rsid w:val="002177A7"/>
    <w:rsid w:val="00220742"/>
    <w:rsid w:val="00221908"/>
    <w:rsid w:val="00222A33"/>
    <w:rsid w:val="00222E46"/>
    <w:rsid w:val="00223250"/>
    <w:rsid w:val="00223617"/>
    <w:rsid w:val="00223721"/>
    <w:rsid w:val="0022400D"/>
    <w:rsid w:val="002246D7"/>
    <w:rsid w:val="00225062"/>
    <w:rsid w:val="00225DD2"/>
    <w:rsid w:val="0022643D"/>
    <w:rsid w:val="00226A1A"/>
    <w:rsid w:val="0022756B"/>
    <w:rsid w:val="00227DF9"/>
    <w:rsid w:val="00227EA0"/>
    <w:rsid w:val="00227F83"/>
    <w:rsid w:val="00230192"/>
    <w:rsid w:val="00230DE7"/>
    <w:rsid w:val="00231DE5"/>
    <w:rsid w:val="00232173"/>
    <w:rsid w:val="00232902"/>
    <w:rsid w:val="00232D7D"/>
    <w:rsid w:val="0023365D"/>
    <w:rsid w:val="00234136"/>
    <w:rsid w:val="002352D6"/>
    <w:rsid w:val="002362E6"/>
    <w:rsid w:val="00236652"/>
    <w:rsid w:val="002403F6"/>
    <w:rsid w:val="0024045B"/>
    <w:rsid w:val="00240734"/>
    <w:rsid w:val="0024138C"/>
    <w:rsid w:val="00241868"/>
    <w:rsid w:val="00243200"/>
    <w:rsid w:val="002432FA"/>
    <w:rsid w:val="002439CE"/>
    <w:rsid w:val="00245113"/>
    <w:rsid w:val="00245878"/>
    <w:rsid w:val="00245BA0"/>
    <w:rsid w:val="00246B19"/>
    <w:rsid w:val="00246E31"/>
    <w:rsid w:val="00247038"/>
    <w:rsid w:val="00250871"/>
    <w:rsid w:val="00250EEF"/>
    <w:rsid w:val="002522DF"/>
    <w:rsid w:val="00252353"/>
    <w:rsid w:val="0025268A"/>
    <w:rsid w:val="00252AD1"/>
    <w:rsid w:val="00252DDE"/>
    <w:rsid w:val="00253336"/>
    <w:rsid w:val="00253D39"/>
    <w:rsid w:val="002547BA"/>
    <w:rsid w:val="00254CFC"/>
    <w:rsid w:val="002554F7"/>
    <w:rsid w:val="00255974"/>
    <w:rsid w:val="002561C5"/>
    <w:rsid w:val="00256216"/>
    <w:rsid w:val="00256810"/>
    <w:rsid w:val="00256AF5"/>
    <w:rsid w:val="002609B8"/>
    <w:rsid w:val="00261A12"/>
    <w:rsid w:val="00261F96"/>
    <w:rsid w:val="002624CD"/>
    <w:rsid w:val="00262B0C"/>
    <w:rsid w:val="002634A2"/>
    <w:rsid w:val="00264338"/>
    <w:rsid w:val="002644EC"/>
    <w:rsid w:val="0026462F"/>
    <w:rsid w:val="00265908"/>
    <w:rsid w:val="00266F27"/>
    <w:rsid w:val="00267054"/>
    <w:rsid w:val="002675F5"/>
    <w:rsid w:val="0026779F"/>
    <w:rsid w:val="002679A8"/>
    <w:rsid w:val="00267BD9"/>
    <w:rsid w:val="00267E5C"/>
    <w:rsid w:val="002701D9"/>
    <w:rsid w:val="00270E51"/>
    <w:rsid w:val="00271F56"/>
    <w:rsid w:val="00272126"/>
    <w:rsid w:val="00272DDC"/>
    <w:rsid w:val="0027360A"/>
    <w:rsid w:val="00273C9C"/>
    <w:rsid w:val="00273E72"/>
    <w:rsid w:val="00274B3E"/>
    <w:rsid w:val="00274CA0"/>
    <w:rsid w:val="00275369"/>
    <w:rsid w:val="00277406"/>
    <w:rsid w:val="00280626"/>
    <w:rsid w:val="00280B4A"/>
    <w:rsid w:val="00280E7B"/>
    <w:rsid w:val="00281A01"/>
    <w:rsid w:val="00282B6B"/>
    <w:rsid w:val="002838DA"/>
    <w:rsid w:val="00283FA2"/>
    <w:rsid w:val="00285077"/>
    <w:rsid w:val="002852B8"/>
    <w:rsid w:val="00285779"/>
    <w:rsid w:val="00285AAC"/>
    <w:rsid w:val="00285D20"/>
    <w:rsid w:val="002869C4"/>
    <w:rsid w:val="00286EC9"/>
    <w:rsid w:val="002873E8"/>
    <w:rsid w:val="002876A5"/>
    <w:rsid w:val="002901BA"/>
    <w:rsid w:val="00290EA4"/>
    <w:rsid w:val="002928D1"/>
    <w:rsid w:val="00292C44"/>
    <w:rsid w:val="00292DC5"/>
    <w:rsid w:val="00293120"/>
    <w:rsid w:val="00293AFA"/>
    <w:rsid w:val="002957BF"/>
    <w:rsid w:val="0029593E"/>
    <w:rsid w:val="002964BA"/>
    <w:rsid w:val="002974DC"/>
    <w:rsid w:val="002A14E0"/>
    <w:rsid w:val="002A2130"/>
    <w:rsid w:val="002A3932"/>
    <w:rsid w:val="002A4218"/>
    <w:rsid w:val="002A48A3"/>
    <w:rsid w:val="002A4CF0"/>
    <w:rsid w:val="002A5492"/>
    <w:rsid w:val="002A54B9"/>
    <w:rsid w:val="002A609D"/>
    <w:rsid w:val="002A6185"/>
    <w:rsid w:val="002A678C"/>
    <w:rsid w:val="002A6C71"/>
    <w:rsid w:val="002A7B3F"/>
    <w:rsid w:val="002B1787"/>
    <w:rsid w:val="002B343B"/>
    <w:rsid w:val="002B389B"/>
    <w:rsid w:val="002B3D1D"/>
    <w:rsid w:val="002B3DF1"/>
    <w:rsid w:val="002B56B3"/>
    <w:rsid w:val="002B713B"/>
    <w:rsid w:val="002C06A8"/>
    <w:rsid w:val="002C0E1C"/>
    <w:rsid w:val="002C15C0"/>
    <w:rsid w:val="002C1776"/>
    <w:rsid w:val="002C2BA6"/>
    <w:rsid w:val="002C30A3"/>
    <w:rsid w:val="002C3E78"/>
    <w:rsid w:val="002C403A"/>
    <w:rsid w:val="002C4F37"/>
    <w:rsid w:val="002C5120"/>
    <w:rsid w:val="002C519E"/>
    <w:rsid w:val="002C6E17"/>
    <w:rsid w:val="002C712F"/>
    <w:rsid w:val="002C726C"/>
    <w:rsid w:val="002C7287"/>
    <w:rsid w:val="002C73F8"/>
    <w:rsid w:val="002C794E"/>
    <w:rsid w:val="002C7AD3"/>
    <w:rsid w:val="002D035A"/>
    <w:rsid w:val="002D05ED"/>
    <w:rsid w:val="002D0DE8"/>
    <w:rsid w:val="002D0E65"/>
    <w:rsid w:val="002D16E5"/>
    <w:rsid w:val="002D2923"/>
    <w:rsid w:val="002D2A5E"/>
    <w:rsid w:val="002D41E3"/>
    <w:rsid w:val="002D4C8C"/>
    <w:rsid w:val="002D4FAC"/>
    <w:rsid w:val="002D5405"/>
    <w:rsid w:val="002D5459"/>
    <w:rsid w:val="002D64F1"/>
    <w:rsid w:val="002D731F"/>
    <w:rsid w:val="002D74DC"/>
    <w:rsid w:val="002D79EE"/>
    <w:rsid w:val="002E04FA"/>
    <w:rsid w:val="002E098B"/>
    <w:rsid w:val="002E19A7"/>
    <w:rsid w:val="002E19D3"/>
    <w:rsid w:val="002E1A93"/>
    <w:rsid w:val="002E1B4E"/>
    <w:rsid w:val="002E3375"/>
    <w:rsid w:val="002E47ED"/>
    <w:rsid w:val="002E4A5E"/>
    <w:rsid w:val="002E588A"/>
    <w:rsid w:val="002F028F"/>
    <w:rsid w:val="002F0B35"/>
    <w:rsid w:val="002F0D1C"/>
    <w:rsid w:val="002F1921"/>
    <w:rsid w:val="002F1C7E"/>
    <w:rsid w:val="002F3676"/>
    <w:rsid w:val="002F467E"/>
    <w:rsid w:val="002F4775"/>
    <w:rsid w:val="002F5E58"/>
    <w:rsid w:val="002F645C"/>
    <w:rsid w:val="002F65D6"/>
    <w:rsid w:val="002F6B14"/>
    <w:rsid w:val="002F7734"/>
    <w:rsid w:val="002F7AFB"/>
    <w:rsid w:val="00300758"/>
    <w:rsid w:val="00300FB3"/>
    <w:rsid w:val="00301D87"/>
    <w:rsid w:val="00302476"/>
    <w:rsid w:val="00303159"/>
    <w:rsid w:val="0030374F"/>
    <w:rsid w:val="003052AF"/>
    <w:rsid w:val="003066F3"/>
    <w:rsid w:val="00306F3B"/>
    <w:rsid w:val="00307545"/>
    <w:rsid w:val="003075BA"/>
    <w:rsid w:val="0030772B"/>
    <w:rsid w:val="00307D1E"/>
    <w:rsid w:val="003107D8"/>
    <w:rsid w:val="00311DA2"/>
    <w:rsid w:val="00311ECD"/>
    <w:rsid w:val="003127A4"/>
    <w:rsid w:val="0031321C"/>
    <w:rsid w:val="00313295"/>
    <w:rsid w:val="003149AB"/>
    <w:rsid w:val="00314A49"/>
    <w:rsid w:val="00314D72"/>
    <w:rsid w:val="003151EA"/>
    <w:rsid w:val="00315C31"/>
    <w:rsid w:val="00315F58"/>
    <w:rsid w:val="00316881"/>
    <w:rsid w:val="00316ED1"/>
    <w:rsid w:val="0031794D"/>
    <w:rsid w:val="00320EF9"/>
    <w:rsid w:val="00321F1A"/>
    <w:rsid w:val="003226C7"/>
    <w:rsid w:val="0032377E"/>
    <w:rsid w:val="0032459B"/>
    <w:rsid w:val="003246C9"/>
    <w:rsid w:val="003249EC"/>
    <w:rsid w:val="00324D69"/>
    <w:rsid w:val="003257FD"/>
    <w:rsid w:val="0032598F"/>
    <w:rsid w:val="0032606A"/>
    <w:rsid w:val="00326389"/>
    <w:rsid w:val="003279E9"/>
    <w:rsid w:val="00330B22"/>
    <w:rsid w:val="00330C0A"/>
    <w:rsid w:val="00331602"/>
    <w:rsid w:val="00331847"/>
    <w:rsid w:val="00331885"/>
    <w:rsid w:val="00331985"/>
    <w:rsid w:val="003319DD"/>
    <w:rsid w:val="00332DC9"/>
    <w:rsid w:val="003331D6"/>
    <w:rsid w:val="00333DB3"/>
    <w:rsid w:val="0033458B"/>
    <w:rsid w:val="0033524A"/>
    <w:rsid w:val="003356A1"/>
    <w:rsid w:val="00336BF4"/>
    <w:rsid w:val="00337357"/>
    <w:rsid w:val="0033758D"/>
    <w:rsid w:val="00337B04"/>
    <w:rsid w:val="00340059"/>
    <w:rsid w:val="00341DC5"/>
    <w:rsid w:val="003436D0"/>
    <w:rsid w:val="003436EC"/>
    <w:rsid w:val="00343A19"/>
    <w:rsid w:val="00344390"/>
    <w:rsid w:val="003473F2"/>
    <w:rsid w:val="00347FE2"/>
    <w:rsid w:val="00350630"/>
    <w:rsid w:val="00350C04"/>
    <w:rsid w:val="00350EB2"/>
    <w:rsid w:val="00351617"/>
    <w:rsid w:val="00351BF4"/>
    <w:rsid w:val="00351E77"/>
    <w:rsid w:val="003526AD"/>
    <w:rsid w:val="00352908"/>
    <w:rsid w:val="00354842"/>
    <w:rsid w:val="00354B0D"/>
    <w:rsid w:val="00355AEE"/>
    <w:rsid w:val="00355E8E"/>
    <w:rsid w:val="0035698D"/>
    <w:rsid w:val="00356A5D"/>
    <w:rsid w:val="00356C28"/>
    <w:rsid w:val="00357684"/>
    <w:rsid w:val="00357B78"/>
    <w:rsid w:val="00357C2A"/>
    <w:rsid w:val="00357DCF"/>
    <w:rsid w:val="00361584"/>
    <w:rsid w:val="00361A69"/>
    <w:rsid w:val="00362FD4"/>
    <w:rsid w:val="0036351D"/>
    <w:rsid w:val="00363A0C"/>
    <w:rsid w:val="00363E3B"/>
    <w:rsid w:val="0036420A"/>
    <w:rsid w:val="00364537"/>
    <w:rsid w:val="003647B6"/>
    <w:rsid w:val="0036503E"/>
    <w:rsid w:val="003663E2"/>
    <w:rsid w:val="003668EF"/>
    <w:rsid w:val="003674E8"/>
    <w:rsid w:val="00367B9E"/>
    <w:rsid w:val="00367C10"/>
    <w:rsid w:val="003715E6"/>
    <w:rsid w:val="00373BDE"/>
    <w:rsid w:val="0037449F"/>
    <w:rsid w:val="003754B9"/>
    <w:rsid w:val="0037610D"/>
    <w:rsid w:val="00377275"/>
    <w:rsid w:val="003773B6"/>
    <w:rsid w:val="0037748F"/>
    <w:rsid w:val="0038179A"/>
    <w:rsid w:val="00381EE5"/>
    <w:rsid w:val="00382142"/>
    <w:rsid w:val="00383906"/>
    <w:rsid w:val="0038399C"/>
    <w:rsid w:val="00383AE1"/>
    <w:rsid w:val="003846A6"/>
    <w:rsid w:val="00384A66"/>
    <w:rsid w:val="00384C0D"/>
    <w:rsid w:val="00384EE5"/>
    <w:rsid w:val="00387D0F"/>
    <w:rsid w:val="0039048F"/>
    <w:rsid w:val="00390683"/>
    <w:rsid w:val="00390D2B"/>
    <w:rsid w:val="0039171B"/>
    <w:rsid w:val="00391AB2"/>
    <w:rsid w:val="00392353"/>
    <w:rsid w:val="0039235A"/>
    <w:rsid w:val="003924B0"/>
    <w:rsid w:val="003925BB"/>
    <w:rsid w:val="00393275"/>
    <w:rsid w:val="0039338B"/>
    <w:rsid w:val="00394005"/>
    <w:rsid w:val="003943ED"/>
    <w:rsid w:val="0039551C"/>
    <w:rsid w:val="0039564E"/>
    <w:rsid w:val="003959E0"/>
    <w:rsid w:val="00395BD7"/>
    <w:rsid w:val="003969F0"/>
    <w:rsid w:val="003A14E5"/>
    <w:rsid w:val="003A1ACF"/>
    <w:rsid w:val="003A2E8C"/>
    <w:rsid w:val="003A2EBC"/>
    <w:rsid w:val="003A3246"/>
    <w:rsid w:val="003A3420"/>
    <w:rsid w:val="003A3D81"/>
    <w:rsid w:val="003A3F6B"/>
    <w:rsid w:val="003A4B56"/>
    <w:rsid w:val="003A53FE"/>
    <w:rsid w:val="003A6101"/>
    <w:rsid w:val="003A70D4"/>
    <w:rsid w:val="003A7A08"/>
    <w:rsid w:val="003A7D61"/>
    <w:rsid w:val="003B063B"/>
    <w:rsid w:val="003B14B4"/>
    <w:rsid w:val="003B2D9C"/>
    <w:rsid w:val="003B30B2"/>
    <w:rsid w:val="003B39C9"/>
    <w:rsid w:val="003B3D73"/>
    <w:rsid w:val="003B431A"/>
    <w:rsid w:val="003B4495"/>
    <w:rsid w:val="003B4534"/>
    <w:rsid w:val="003B4648"/>
    <w:rsid w:val="003B51D4"/>
    <w:rsid w:val="003B5ADE"/>
    <w:rsid w:val="003B5B77"/>
    <w:rsid w:val="003B5FFD"/>
    <w:rsid w:val="003B6749"/>
    <w:rsid w:val="003B70B8"/>
    <w:rsid w:val="003B7145"/>
    <w:rsid w:val="003B7921"/>
    <w:rsid w:val="003B79E7"/>
    <w:rsid w:val="003B7E65"/>
    <w:rsid w:val="003C066C"/>
    <w:rsid w:val="003C126B"/>
    <w:rsid w:val="003C15E8"/>
    <w:rsid w:val="003C1869"/>
    <w:rsid w:val="003C2662"/>
    <w:rsid w:val="003C27A0"/>
    <w:rsid w:val="003C27F1"/>
    <w:rsid w:val="003C36DD"/>
    <w:rsid w:val="003C3F2C"/>
    <w:rsid w:val="003C4974"/>
    <w:rsid w:val="003C49D4"/>
    <w:rsid w:val="003C4F8B"/>
    <w:rsid w:val="003C55F4"/>
    <w:rsid w:val="003C5846"/>
    <w:rsid w:val="003C5B12"/>
    <w:rsid w:val="003C78C2"/>
    <w:rsid w:val="003C7E10"/>
    <w:rsid w:val="003C7F9D"/>
    <w:rsid w:val="003D00D4"/>
    <w:rsid w:val="003D02B7"/>
    <w:rsid w:val="003D059B"/>
    <w:rsid w:val="003D1F6E"/>
    <w:rsid w:val="003D2E73"/>
    <w:rsid w:val="003D3FDB"/>
    <w:rsid w:val="003D457A"/>
    <w:rsid w:val="003D6980"/>
    <w:rsid w:val="003D7A67"/>
    <w:rsid w:val="003E0094"/>
    <w:rsid w:val="003E0158"/>
    <w:rsid w:val="003E1087"/>
    <w:rsid w:val="003E1582"/>
    <w:rsid w:val="003E187E"/>
    <w:rsid w:val="003E2D04"/>
    <w:rsid w:val="003E3489"/>
    <w:rsid w:val="003E3902"/>
    <w:rsid w:val="003E3BF6"/>
    <w:rsid w:val="003E3C1F"/>
    <w:rsid w:val="003E3D43"/>
    <w:rsid w:val="003E4036"/>
    <w:rsid w:val="003E49D2"/>
    <w:rsid w:val="003E4D67"/>
    <w:rsid w:val="003E5F24"/>
    <w:rsid w:val="003E61EF"/>
    <w:rsid w:val="003E7C58"/>
    <w:rsid w:val="003F0D49"/>
    <w:rsid w:val="003F18FC"/>
    <w:rsid w:val="003F1A9A"/>
    <w:rsid w:val="003F1D06"/>
    <w:rsid w:val="003F2343"/>
    <w:rsid w:val="003F301C"/>
    <w:rsid w:val="003F3031"/>
    <w:rsid w:val="003F34B2"/>
    <w:rsid w:val="003F3D4C"/>
    <w:rsid w:val="003F4097"/>
    <w:rsid w:val="003F4EA6"/>
    <w:rsid w:val="003F625D"/>
    <w:rsid w:val="00401266"/>
    <w:rsid w:val="00401A88"/>
    <w:rsid w:val="00402A9C"/>
    <w:rsid w:val="00402CE7"/>
    <w:rsid w:val="00402FB6"/>
    <w:rsid w:val="00403424"/>
    <w:rsid w:val="00404584"/>
    <w:rsid w:val="004047C6"/>
    <w:rsid w:val="00404B93"/>
    <w:rsid w:val="0040664F"/>
    <w:rsid w:val="0040677B"/>
    <w:rsid w:val="00406AF1"/>
    <w:rsid w:val="00407677"/>
    <w:rsid w:val="004076D5"/>
    <w:rsid w:val="00407AFD"/>
    <w:rsid w:val="0041131A"/>
    <w:rsid w:val="00411387"/>
    <w:rsid w:val="00411649"/>
    <w:rsid w:val="00411782"/>
    <w:rsid w:val="00412105"/>
    <w:rsid w:val="004121A0"/>
    <w:rsid w:val="00413533"/>
    <w:rsid w:val="0041460A"/>
    <w:rsid w:val="00414F35"/>
    <w:rsid w:val="004162DA"/>
    <w:rsid w:val="00416468"/>
    <w:rsid w:val="00417BD6"/>
    <w:rsid w:val="00421346"/>
    <w:rsid w:val="00421932"/>
    <w:rsid w:val="00421ABF"/>
    <w:rsid w:val="00422697"/>
    <w:rsid w:val="00423068"/>
    <w:rsid w:val="00423CDB"/>
    <w:rsid w:val="004240CD"/>
    <w:rsid w:val="004240ED"/>
    <w:rsid w:val="00424367"/>
    <w:rsid w:val="0042459E"/>
    <w:rsid w:val="00424786"/>
    <w:rsid w:val="004249BE"/>
    <w:rsid w:val="00425C56"/>
    <w:rsid w:val="00426DFB"/>
    <w:rsid w:val="00431EAD"/>
    <w:rsid w:val="004327CD"/>
    <w:rsid w:val="00433826"/>
    <w:rsid w:val="004339E3"/>
    <w:rsid w:val="0043525E"/>
    <w:rsid w:val="004352B1"/>
    <w:rsid w:val="004358C9"/>
    <w:rsid w:val="004358E7"/>
    <w:rsid w:val="00435BA6"/>
    <w:rsid w:val="00435D68"/>
    <w:rsid w:val="00436CED"/>
    <w:rsid w:val="00437D58"/>
    <w:rsid w:val="00441614"/>
    <w:rsid w:val="0044197C"/>
    <w:rsid w:val="004428D1"/>
    <w:rsid w:val="00442E04"/>
    <w:rsid w:val="00443444"/>
    <w:rsid w:val="00443DD7"/>
    <w:rsid w:val="00444B37"/>
    <w:rsid w:val="00444D21"/>
    <w:rsid w:val="00445513"/>
    <w:rsid w:val="004455EA"/>
    <w:rsid w:val="0044597E"/>
    <w:rsid w:val="0044608D"/>
    <w:rsid w:val="00446B41"/>
    <w:rsid w:val="00447015"/>
    <w:rsid w:val="00447A4D"/>
    <w:rsid w:val="00447DEA"/>
    <w:rsid w:val="00450362"/>
    <w:rsid w:val="00450395"/>
    <w:rsid w:val="004503F5"/>
    <w:rsid w:val="0045102C"/>
    <w:rsid w:val="00451239"/>
    <w:rsid w:val="00451D76"/>
    <w:rsid w:val="004523B6"/>
    <w:rsid w:val="0045433D"/>
    <w:rsid w:val="00454656"/>
    <w:rsid w:val="00455D63"/>
    <w:rsid w:val="00455F99"/>
    <w:rsid w:val="00456053"/>
    <w:rsid w:val="0045661F"/>
    <w:rsid w:val="00460630"/>
    <w:rsid w:val="00461029"/>
    <w:rsid w:val="00461396"/>
    <w:rsid w:val="00461C2D"/>
    <w:rsid w:val="0046257A"/>
    <w:rsid w:val="00462DA5"/>
    <w:rsid w:val="00464A04"/>
    <w:rsid w:val="00465726"/>
    <w:rsid w:val="00465792"/>
    <w:rsid w:val="00465D3F"/>
    <w:rsid w:val="00465EF1"/>
    <w:rsid w:val="00466D88"/>
    <w:rsid w:val="00467B47"/>
    <w:rsid w:val="00470400"/>
    <w:rsid w:val="0047257E"/>
    <w:rsid w:val="00472EB7"/>
    <w:rsid w:val="00473BA6"/>
    <w:rsid w:val="00473DF1"/>
    <w:rsid w:val="00474671"/>
    <w:rsid w:val="0047586F"/>
    <w:rsid w:val="0047611E"/>
    <w:rsid w:val="004763F9"/>
    <w:rsid w:val="00476D6A"/>
    <w:rsid w:val="004774E8"/>
    <w:rsid w:val="004804C0"/>
    <w:rsid w:val="00480FD6"/>
    <w:rsid w:val="004810A6"/>
    <w:rsid w:val="0048189C"/>
    <w:rsid w:val="00483798"/>
    <w:rsid w:val="00484210"/>
    <w:rsid w:val="00485478"/>
    <w:rsid w:val="00487AB5"/>
    <w:rsid w:val="00487E16"/>
    <w:rsid w:val="00490D01"/>
    <w:rsid w:val="00490D47"/>
    <w:rsid w:val="0049202A"/>
    <w:rsid w:val="00492623"/>
    <w:rsid w:val="00492F3F"/>
    <w:rsid w:val="004937D4"/>
    <w:rsid w:val="004938B3"/>
    <w:rsid w:val="00493CAD"/>
    <w:rsid w:val="004945A6"/>
    <w:rsid w:val="00495EDD"/>
    <w:rsid w:val="004962D6"/>
    <w:rsid w:val="00496924"/>
    <w:rsid w:val="00496C05"/>
    <w:rsid w:val="00496DAD"/>
    <w:rsid w:val="004A0ECB"/>
    <w:rsid w:val="004A1AF2"/>
    <w:rsid w:val="004A3369"/>
    <w:rsid w:val="004A457F"/>
    <w:rsid w:val="004A4D88"/>
    <w:rsid w:val="004A5231"/>
    <w:rsid w:val="004A56DF"/>
    <w:rsid w:val="004A641C"/>
    <w:rsid w:val="004A74B7"/>
    <w:rsid w:val="004A753E"/>
    <w:rsid w:val="004A7C3F"/>
    <w:rsid w:val="004B1218"/>
    <w:rsid w:val="004B13E3"/>
    <w:rsid w:val="004B2521"/>
    <w:rsid w:val="004B3847"/>
    <w:rsid w:val="004B5212"/>
    <w:rsid w:val="004B53D5"/>
    <w:rsid w:val="004B5417"/>
    <w:rsid w:val="004B6827"/>
    <w:rsid w:val="004C13FC"/>
    <w:rsid w:val="004C175F"/>
    <w:rsid w:val="004C3681"/>
    <w:rsid w:val="004C3B49"/>
    <w:rsid w:val="004C55C6"/>
    <w:rsid w:val="004C576F"/>
    <w:rsid w:val="004C662B"/>
    <w:rsid w:val="004C6F98"/>
    <w:rsid w:val="004C6FC9"/>
    <w:rsid w:val="004C7296"/>
    <w:rsid w:val="004C779E"/>
    <w:rsid w:val="004C7B28"/>
    <w:rsid w:val="004C7E0A"/>
    <w:rsid w:val="004C7F5C"/>
    <w:rsid w:val="004D0689"/>
    <w:rsid w:val="004D1FBC"/>
    <w:rsid w:val="004D2576"/>
    <w:rsid w:val="004D3124"/>
    <w:rsid w:val="004D3451"/>
    <w:rsid w:val="004D34C7"/>
    <w:rsid w:val="004D3741"/>
    <w:rsid w:val="004D3805"/>
    <w:rsid w:val="004D4091"/>
    <w:rsid w:val="004D4685"/>
    <w:rsid w:val="004D485B"/>
    <w:rsid w:val="004D5E53"/>
    <w:rsid w:val="004D650D"/>
    <w:rsid w:val="004D7C37"/>
    <w:rsid w:val="004E00C0"/>
    <w:rsid w:val="004E0B69"/>
    <w:rsid w:val="004E2C91"/>
    <w:rsid w:val="004E2E45"/>
    <w:rsid w:val="004E34A2"/>
    <w:rsid w:val="004E37FA"/>
    <w:rsid w:val="004E446A"/>
    <w:rsid w:val="004E4BD5"/>
    <w:rsid w:val="004E4E16"/>
    <w:rsid w:val="004E4E92"/>
    <w:rsid w:val="004E5252"/>
    <w:rsid w:val="004E7093"/>
    <w:rsid w:val="004E7884"/>
    <w:rsid w:val="004F0147"/>
    <w:rsid w:val="004F20EE"/>
    <w:rsid w:val="004F28BD"/>
    <w:rsid w:val="004F3335"/>
    <w:rsid w:val="004F3B0B"/>
    <w:rsid w:val="004F3D4E"/>
    <w:rsid w:val="004F44B4"/>
    <w:rsid w:val="004F4775"/>
    <w:rsid w:val="004F4E15"/>
    <w:rsid w:val="004F5726"/>
    <w:rsid w:val="004F5A40"/>
    <w:rsid w:val="004F5FEC"/>
    <w:rsid w:val="004F607D"/>
    <w:rsid w:val="004F621A"/>
    <w:rsid w:val="004F681C"/>
    <w:rsid w:val="004F6B6E"/>
    <w:rsid w:val="004F6C46"/>
    <w:rsid w:val="004F6DB6"/>
    <w:rsid w:val="004F7B3E"/>
    <w:rsid w:val="0050079B"/>
    <w:rsid w:val="00500DE0"/>
    <w:rsid w:val="00501117"/>
    <w:rsid w:val="005019E2"/>
    <w:rsid w:val="00501A1A"/>
    <w:rsid w:val="00501CA8"/>
    <w:rsid w:val="005021DE"/>
    <w:rsid w:val="00502333"/>
    <w:rsid w:val="005033E0"/>
    <w:rsid w:val="00503696"/>
    <w:rsid w:val="0050403B"/>
    <w:rsid w:val="0050428E"/>
    <w:rsid w:val="00504323"/>
    <w:rsid w:val="005051AE"/>
    <w:rsid w:val="00505406"/>
    <w:rsid w:val="00505E84"/>
    <w:rsid w:val="005060CE"/>
    <w:rsid w:val="00506957"/>
    <w:rsid w:val="005072FD"/>
    <w:rsid w:val="00507B65"/>
    <w:rsid w:val="00507D5E"/>
    <w:rsid w:val="00507EF4"/>
    <w:rsid w:val="00510115"/>
    <w:rsid w:val="00510538"/>
    <w:rsid w:val="005107E0"/>
    <w:rsid w:val="00510914"/>
    <w:rsid w:val="005116AE"/>
    <w:rsid w:val="00511F17"/>
    <w:rsid w:val="005134AF"/>
    <w:rsid w:val="005134D7"/>
    <w:rsid w:val="00513681"/>
    <w:rsid w:val="00514742"/>
    <w:rsid w:val="00515A6F"/>
    <w:rsid w:val="005171CB"/>
    <w:rsid w:val="005177E3"/>
    <w:rsid w:val="00520348"/>
    <w:rsid w:val="00520858"/>
    <w:rsid w:val="0052085B"/>
    <w:rsid w:val="00520AA0"/>
    <w:rsid w:val="00521B49"/>
    <w:rsid w:val="00522CD1"/>
    <w:rsid w:val="00524BED"/>
    <w:rsid w:val="005252D4"/>
    <w:rsid w:val="00527F4E"/>
    <w:rsid w:val="00527F92"/>
    <w:rsid w:val="0053016D"/>
    <w:rsid w:val="00530629"/>
    <w:rsid w:val="00532591"/>
    <w:rsid w:val="005327E1"/>
    <w:rsid w:val="0053296A"/>
    <w:rsid w:val="00533945"/>
    <w:rsid w:val="00533A1E"/>
    <w:rsid w:val="00533E96"/>
    <w:rsid w:val="00533F05"/>
    <w:rsid w:val="00534183"/>
    <w:rsid w:val="00535DDD"/>
    <w:rsid w:val="00536215"/>
    <w:rsid w:val="00536A1E"/>
    <w:rsid w:val="00537541"/>
    <w:rsid w:val="0053754B"/>
    <w:rsid w:val="00537A00"/>
    <w:rsid w:val="00537A88"/>
    <w:rsid w:val="0054198D"/>
    <w:rsid w:val="005423FE"/>
    <w:rsid w:val="00542F2C"/>
    <w:rsid w:val="00543594"/>
    <w:rsid w:val="00543747"/>
    <w:rsid w:val="00544695"/>
    <w:rsid w:val="00544AF9"/>
    <w:rsid w:val="00545635"/>
    <w:rsid w:val="00545780"/>
    <w:rsid w:val="00545E23"/>
    <w:rsid w:val="00546413"/>
    <w:rsid w:val="00546C30"/>
    <w:rsid w:val="00547922"/>
    <w:rsid w:val="00550070"/>
    <w:rsid w:val="00550866"/>
    <w:rsid w:val="00550A61"/>
    <w:rsid w:val="00551063"/>
    <w:rsid w:val="005524BB"/>
    <w:rsid w:val="005533B6"/>
    <w:rsid w:val="00553CCA"/>
    <w:rsid w:val="00553DC5"/>
    <w:rsid w:val="00554760"/>
    <w:rsid w:val="0055583D"/>
    <w:rsid w:val="00555892"/>
    <w:rsid w:val="00557611"/>
    <w:rsid w:val="00557DDC"/>
    <w:rsid w:val="005601DA"/>
    <w:rsid w:val="00560C20"/>
    <w:rsid w:val="00560CEE"/>
    <w:rsid w:val="00561C42"/>
    <w:rsid w:val="005621B2"/>
    <w:rsid w:val="005625C9"/>
    <w:rsid w:val="00562A88"/>
    <w:rsid w:val="00562B19"/>
    <w:rsid w:val="00563063"/>
    <w:rsid w:val="00563B0B"/>
    <w:rsid w:val="00563CF7"/>
    <w:rsid w:val="0056442E"/>
    <w:rsid w:val="00565EA8"/>
    <w:rsid w:val="0056637A"/>
    <w:rsid w:val="00566403"/>
    <w:rsid w:val="00567496"/>
    <w:rsid w:val="00570F41"/>
    <w:rsid w:val="005714EC"/>
    <w:rsid w:val="00571C0B"/>
    <w:rsid w:val="00571F5C"/>
    <w:rsid w:val="00571FD3"/>
    <w:rsid w:val="005727EE"/>
    <w:rsid w:val="005728C6"/>
    <w:rsid w:val="00572ADC"/>
    <w:rsid w:val="00573CE4"/>
    <w:rsid w:val="00574A3A"/>
    <w:rsid w:val="00575D5D"/>
    <w:rsid w:val="005765AF"/>
    <w:rsid w:val="0058255E"/>
    <w:rsid w:val="005833B8"/>
    <w:rsid w:val="00584276"/>
    <w:rsid w:val="00584629"/>
    <w:rsid w:val="005852B1"/>
    <w:rsid w:val="0058540F"/>
    <w:rsid w:val="005861AC"/>
    <w:rsid w:val="005870B1"/>
    <w:rsid w:val="00587D9E"/>
    <w:rsid w:val="00587E5F"/>
    <w:rsid w:val="005904FB"/>
    <w:rsid w:val="00591023"/>
    <w:rsid w:val="005935DB"/>
    <w:rsid w:val="0059436D"/>
    <w:rsid w:val="005945AB"/>
    <w:rsid w:val="00594B8F"/>
    <w:rsid w:val="00594E2B"/>
    <w:rsid w:val="00596F1D"/>
    <w:rsid w:val="005A07EC"/>
    <w:rsid w:val="005A0F0F"/>
    <w:rsid w:val="005A28E2"/>
    <w:rsid w:val="005A4911"/>
    <w:rsid w:val="005A4DD3"/>
    <w:rsid w:val="005A54DF"/>
    <w:rsid w:val="005A58B2"/>
    <w:rsid w:val="005A6971"/>
    <w:rsid w:val="005A718B"/>
    <w:rsid w:val="005A77DF"/>
    <w:rsid w:val="005A77E7"/>
    <w:rsid w:val="005A77F1"/>
    <w:rsid w:val="005B056C"/>
    <w:rsid w:val="005B132E"/>
    <w:rsid w:val="005B1924"/>
    <w:rsid w:val="005B34CA"/>
    <w:rsid w:val="005B3CA6"/>
    <w:rsid w:val="005B44AB"/>
    <w:rsid w:val="005B514E"/>
    <w:rsid w:val="005B5608"/>
    <w:rsid w:val="005B5A5A"/>
    <w:rsid w:val="005B66EB"/>
    <w:rsid w:val="005B737D"/>
    <w:rsid w:val="005B7A7B"/>
    <w:rsid w:val="005B7BA6"/>
    <w:rsid w:val="005B7D2C"/>
    <w:rsid w:val="005B7DEA"/>
    <w:rsid w:val="005C15C4"/>
    <w:rsid w:val="005C17B1"/>
    <w:rsid w:val="005C274E"/>
    <w:rsid w:val="005C43DB"/>
    <w:rsid w:val="005C446F"/>
    <w:rsid w:val="005C56A7"/>
    <w:rsid w:val="005C58C1"/>
    <w:rsid w:val="005C5EA3"/>
    <w:rsid w:val="005C632A"/>
    <w:rsid w:val="005C7162"/>
    <w:rsid w:val="005C720E"/>
    <w:rsid w:val="005C726E"/>
    <w:rsid w:val="005C77C5"/>
    <w:rsid w:val="005C7FDE"/>
    <w:rsid w:val="005D287F"/>
    <w:rsid w:val="005D35CD"/>
    <w:rsid w:val="005D3A6A"/>
    <w:rsid w:val="005D3D00"/>
    <w:rsid w:val="005D3D10"/>
    <w:rsid w:val="005D4B34"/>
    <w:rsid w:val="005D55B9"/>
    <w:rsid w:val="005D61AF"/>
    <w:rsid w:val="005D642F"/>
    <w:rsid w:val="005D6549"/>
    <w:rsid w:val="005D6789"/>
    <w:rsid w:val="005D78E1"/>
    <w:rsid w:val="005D7FD7"/>
    <w:rsid w:val="005E0286"/>
    <w:rsid w:val="005E037C"/>
    <w:rsid w:val="005E0688"/>
    <w:rsid w:val="005E167A"/>
    <w:rsid w:val="005E1B9D"/>
    <w:rsid w:val="005E23DF"/>
    <w:rsid w:val="005E250D"/>
    <w:rsid w:val="005E2B61"/>
    <w:rsid w:val="005E2B87"/>
    <w:rsid w:val="005E3461"/>
    <w:rsid w:val="005E3725"/>
    <w:rsid w:val="005E45AF"/>
    <w:rsid w:val="005E49CD"/>
    <w:rsid w:val="005E51E1"/>
    <w:rsid w:val="005E5BE0"/>
    <w:rsid w:val="005E5DEA"/>
    <w:rsid w:val="005E60DC"/>
    <w:rsid w:val="005E647B"/>
    <w:rsid w:val="005E74B1"/>
    <w:rsid w:val="005E7B20"/>
    <w:rsid w:val="005E7B4F"/>
    <w:rsid w:val="005F124E"/>
    <w:rsid w:val="005F222D"/>
    <w:rsid w:val="005F22EB"/>
    <w:rsid w:val="005F322A"/>
    <w:rsid w:val="005F391D"/>
    <w:rsid w:val="005F3CED"/>
    <w:rsid w:val="005F40C4"/>
    <w:rsid w:val="005F4E99"/>
    <w:rsid w:val="005F6075"/>
    <w:rsid w:val="005F637A"/>
    <w:rsid w:val="005F742A"/>
    <w:rsid w:val="00600CD2"/>
    <w:rsid w:val="00600D1E"/>
    <w:rsid w:val="00601103"/>
    <w:rsid w:val="006028DA"/>
    <w:rsid w:val="0060406B"/>
    <w:rsid w:val="00604213"/>
    <w:rsid w:val="00604732"/>
    <w:rsid w:val="00604BC9"/>
    <w:rsid w:val="0060647D"/>
    <w:rsid w:val="0060681D"/>
    <w:rsid w:val="00607A42"/>
    <w:rsid w:val="00610346"/>
    <w:rsid w:val="0061074A"/>
    <w:rsid w:val="00610F18"/>
    <w:rsid w:val="0061168C"/>
    <w:rsid w:val="00611B06"/>
    <w:rsid w:val="0061212E"/>
    <w:rsid w:val="00612174"/>
    <w:rsid w:val="006127D3"/>
    <w:rsid w:val="00612ABE"/>
    <w:rsid w:val="00614345"/>
    <w:rsid w:val="006143BD"/>
    <w:rsid w:val="00614729"/>
    <w:rsid w:val="006148EB"/>
    <w:rsid w:val="00614C39"/>
    <w:rsid w:val="00614EE9"/>
    <w:rsid w:val="006163CF"/>
    <w:rsid w:val="00616C9B"/>
    <w:rsid w:val="00622347"/>
    <w:rsid w:val="00622ED8"/>
    <w:rsid w:val="0062421D"/>
    <w:rsid w:val="006248B5"/>
    <w:rsid w:val="00624CA0"/>
    <w:rsid w:val="00627124"/>
    <w:rsid w:val="00627147"/>
    <w:rsid w:val="00630278"/>
    <w:rsid w:val="006309BC"/>
    <w:rsid w:val="00630A8F"/>
    <w:rsid w:val="0063189C"/>
    <w:rsid w:val="00631AE8"/>
    <w:rsid w:val="006333D9"/>
    <w:rsid w:val="006339B2"/>
    <w:rsid w:val="00634240"/>
    <w:rsid w:val="006349C5"/>
    <w:rsid w:val="0063544D"/>
    <w:rsid w:val="00635640"/>
    <w:rsid w:val="00635BC9"/>
    <w:rsid w:val="00636A27"/>
    <w:rsid w:val="00636C12"/>
    <w:rsid w:val="0064072D"/>
    <w:rsid w:val="0064189B"/>
    <w:rsid w:val="00641916"/>
    <w:rsid w:val="006432AA"/>
    <w:rsid w:val="00643570"/>
    <w:rsid w:val="00644953"/>
    <w:rsid w:val="0064546E"/>
    <w:rsid w:val="00645526"/>
    <w:rsid w:val="00645A99"/>
    <w:rsid w:val="00646500"/>
    <w:rsid w:val="006468A5"/>
    <w:rsid w:val="00647754"/>
    <w:rsid w:val="00650888"/>
    <w:rsid w:val="00651067"/>
    <w:rsid w:val="006511AF"/>
    <w:rsid w:val="006516F5"/>
    <w:rsid w:val="00651CA7"/>
    <w:rsid w:val="00652EFE"/>
    <w:rsid w:val="00652FE5"/>
    <w:rsid w:val="0065307C"/>
    <w:rsid w:val="00653090"/>
    <w:rsid w:val="00653F5F"/>
    <w:rsid w:val="0065488D"/>
    <w:rsid w:val="00654E32"/>
    <w:rsid w:val="00655175"/>
    <w:rsid w:val="006564A5"/>
    <w:rsid w:val="006567C2"/>
    <w:rsid w:val="00656CB3"/>
    <w:rsid w:val="00660337"/>
    <w:rsid w:val="00661251"/>
    <w:rsid w:val="006615F4"/>
    <w:rsid w:val="00661A51"/>
    <w:rsid w:val="00661C22"/>
    <w:rsid w:val="00662253"/>
    <w:rsid w:val="00662653"/>
    <w:rsid w:val="00664117"/>
    <w:rsid w:val="006644D0"/>
    <w:rsid w:val="00665289"/>
    <w:rsid w:val="006657F6"/>
    <w:rsid w:val="0066630E"/>
    <w:rsid w:val="0066644E"/>
    <w:rsid w:val="006665EC"/>
    <w:rsid w:val="00666697"/>
    <w:rsid w:val="00666DBC"/>
    <w:rsid w:val="0066704B"/>
    <w:rsid w:val="00667616"/>
    <w:rsid w:val="00667AAF"/>
    <w:rsid w:val="00670A27"/>
    <w:rsid w:val="00671438"/>
    <w:rsid w:val="006719E1"/>
    <w:rsid w:val="00671AA4"/>
    <w:rsid w:val="00673439"/>
    <w:rsid w:val="006748D8"/>
    <w:rsid w:val="00674FC9"/>
    <w:rsid w:val="0067535F"/>
    <w:rsid w:val="00675A9C"/>
    <w:rsid w:val="00677382"/>
    <w:rsid w:val="00677C08"/>
    <w:rsid w:val="00680689"/>
    <w:rsid w:val="0068114D"/>
    <w:rsid w:val="006814B0"/>
    <w:rsid w:val="00681BCD"/>
    <w:rsid w:val="00681F82"/>
    <w:rsid w:val="00684638"/>
    <w:rsid w:val="00684B84"/>
    <w:rsid w:val="006855A6"/>
    <w:rsid w:val="00685B16"/>
    <w:rsid w:val="006872FF"/>
    <w:rsid w:val="00690497"/>
    <w:rsid w:val="006909A3"/>
    <w:rsid w:val="0069120E"/>
    <w:rsid w:val="0069178F"/>
    <w:rsid w:val="00691A22"/>
    <w:rsid w:val="00691ED8"/>
    <w:rsid w:val="00692374"/>
    <w:rsid w:val="00693378"/>
    <w:rsid w:val="00693AF3"/>
    <w:rsid w:val="0069557A"/>
    <w:rsid w:val="00695E3F"/>
    <w:rsid w:val="00695E4C"/>
    <w:rsid w:val="00696CFE"/>
    <w:rsid w:val="00697928"/>
    <w:rsid w:val="006A1585"/>
    <w:rsid w:val="006A3021"/>
    <w:rsid w:val="006A332F"/>
    <w:rsid w:val="006A3879"/>
    <w:rsid w:val="006A3EAE"/>
    <w:rsid w:val="006A3F88"/>
    <w:rsid w:val="006A520A"/>
    <w:rsid w:val="006A73B4"/>
    <w:rsid w:val="006B0138"/>
    <w:rsid w:val="006B0B4D"/>
    <w:rsid w:val="006B266C"/>
    <w:rsid w:val="006B2831"/>
    <w:rsid w:val="006B3133"/>
    <w:rsid w:val="006B50CA"/>
    <w:rsid w:val="006B6347"/>
    <w:rsid w:val="006B6C8C"/>
    <w:rsid w:val="006B6DDD"/>
    <w:rsid w:val="006B6E8F"/>
    <w:rsid w:val="006B726D"/>
    <w:rsid w:val="006B786A"/>
    <w:rsid w:val="006B7936"/>
    <w:rsid w:val="006C0194"/>
    <w:rsid w:val="006C06E9"/>
    <w:rsid w:val="006C07A2"/>
    <w:rsid w:val="006C10C7"/>
    <w:rsid w:val="006C17F3"/>
    <w:rsid w:val="006C3593"/>
    <w:rsid w:val="006C44D0"/>
    <w:rsid w:val="006C4B4B"/>
    <w:rsid w:val="006C5595"/>
    <w:rsid w:val="006C5B18"/>
    <w:rsid w:val="006C5EA5"/>
    <w:rsid w:val="006C64DD"/>
    <w:rsid w:val="006C6614"/>
    <w:rsid w:val="006C6740"/>
    <w:rsid w:val="006C6D21"/>
    <w:rsid w:val="006C7A7E"/>
    <w:rsid w:val="006D1C93"/>
    <w:rsid w:val="006D1E8C"/>
    <w:rsid w:val="006D2351"/>
    <w:rsid w:val="006D2BCE"/>
    <w:rsid w:val="006D37F5"/>
    <w:rsid w:val="006D3BB1"/>
    <w:rsid w:val="006D4A50"/>
    <w:rsid w:val="006D52BC"/>
    <w:rsid w:val="006D598D"/>
    <w:rsid w:val="006D5A26"/>
    <w:rsid w:val="006D7A9D"/>
    <w:rsid w:val="006E05CA"/>
    <w:rsid w:val="006E0C54"/>
    <w:rsid w:val="006E1096"/>
    <w:rsid w:val="006E1D7C"/>
    <w:rsid w:val="006E26AD"/>
    <w:rsid w:val="006E38F5"/>
    <w:rsid w:val="006E441B"/>
    <w:rsid w:val="006E4580"/>
    <w:rsid w:val="006E4AF6"/>
    <w:rsid w:val="006E4BF9"/>
    <w:rsid w:val="006E50C5"/>
    <w:rsid w:val="006E5CD2"/>
    <w:rsid w:val="006E623A"/>
    <w:rsid w:val="006E78EA"/>
    <w:rsid w:val="006E7CCE"/>
    <w:rsid w:val="006E7E70"/>
    <w:rsid w:val="006F08DB"/>
    <w:rsid w:val="006F0E1E"/>
    <w:rsid w:val="006F1142"/>
    <w:rsid w:val="006F11D0"/>
    <w:rsid w:val="006F28E4"/>
    <w:rsid w:val="006F3418"/>
    <w:rsid w:val="006F36D9"/>
    <w:rsid w:val="006F3EFC"/>
    <w:rsid w:val="006F47CB"/>
    <w:rsid w:val="006F51DB"/>
    <w:rsid w:val="006F613A"/>
    <w:rsid w:val="006F676B"/>
    <w:rsid w:val="006F690B"/>
    <w:rsid w:val="006F71A0"/>
    <w:rsid w:val="006F77C2"/>
    <w:rsid w:val="006F7FD9"/>
    <w:rsid w:val="00700011"/>
    <w:rsid w:val="0070019E"/>
    <w:rsid w:val="0070073A"/>
    <w:rsid w:val="00702484"/>
    <w:rsid w:val="0070312C"/>
    <w:rsid w:val="0070346B"/>
    <w:rsid w:val="00703FFD"/>
    <w:rsid w:val="00704A18"/>
    <w:rsid w:val="00704DC8"/>
    <w:rsid w:val="00705B2A"/>
    <w:rsid w:val="00705B4B"/>
    <w:rsid w:val="00705C9F"/>
    <w:rsid w:val="0070665F"/>
    <w:rsid w:val="00706D1C"/>
    <w:rsid w:val="00707FA3"/>
    <w:rsid w:val="00707FDB"/>
    <w:rsid w:val="00710028"/>
    <w:rsid w:val="0071030E"/>
    <w:rsid w:val="00710F31"/>
    <w:rsid w:val="007116DF"/>
    <w:rsid w:val="00711AD7"/>
    <w:rsid w:val="007121F7"/>
    <w:rsid w:val="00712352"/>
    <w:rsid w:val="007123D3"/>
    <w:rsid w:val="0071285C"/>
    <w:rsid w:val="00713464"/>
    <w:rsid w:val="0071373D"/>
    <w:rsid w:val="007162D0"/>
    <w:rsid w:val="00716EB5"/>
    <w:rsid w:val="0071743D"/>
    <w:rsid w:val="00717625"/>
    <w:rsid w:val="0072067F"/>
    <w:rsid w:val="00720F4C"/>
    <w:rsid w:val="00720F81"/>
    <w:rsid w:val="00721B04"/>
    <w:rsid w:val="007227DF"/>
    <w:rsid w:val="0072298B"/>
    <w:rsid w:val="00723777"/>
    <w:rsid w:val="00723D35"/>
    <w:rsid w:val="007260A7"/>
    <w:rsid w:val="00726574"/>
    <w:rsid w:val="007279BD"/>
    <w:rsid w:val="0073059E"/>
    <w:rsid w:val="0073473A"/>
    <w:rsid w:val="00735605"/>
    <w:rsid w:val="00735D17"/>
    <w:rsid w:val="0073611D"/>
    <w:rsid w:val="00736382"/>
    <w:rsid w:val="00736851"/>
    <w:rsid w:val="00736D76"/>
    <w:rsid w:val="00737154"/>
    <w:rsid w:val="0073746B"/>
    <w:rsid w:val="00737FCB"/>
    <w:rsid w:val="007406FA"/>
    <w:rsid w:val="00740777"/>
    <w:rsid w:val="00740917"/>
    <w:rsid w:val="0074128F"/>
    <w:rsid w:val="007413AD"/>
    <w:rsid w:val="007413E4"/>
    <w:rsid w:val="007423F2"/>
    <w:rsid w:val="0074357E"/>
    <w:rsid w:val="00743CAE"/>
    <w:rsid w:val="007441EB"/>
    <w:rsid w:val="00744700"/>
    <w:rsid w:val="007447B2"/>
    <w:rsid w:val="00745C71"/>
    <w:rsid w:val="00745E48"/>
    <w:rsid w:val="00745F11"/>
    <w:rsid w:val="00746935"/>
    <w:rsid w:val="00746BBF"/>
    <w:rsid w:val="00746BDA"/>
    <w:rsid w:val="00746D0E"/>
    <w:rsid w:val="00747A19"/>
    <w:rsid w:val="00747ACB"/>
    <w:rsid w:val="00747E30"/>
    <w:rsid w:val="00750528"/>
    <w:rsid w:val="007505DB"/>
    <w:rsid w:val="00751068"/>
    <w:rsid w:val="007512C5"/>
    <w:rsid w:val="0075193D"/>
    <w:rsid w:val="00754158"/>
    <w:rsid w:val="0075448F"/>
    <w:rsid w:val="00755869"/>
    <w:rsid w:val="00755F14"/>
    <w:rsid w:val="007573A6"/>
    <w:rsid w:val="00757CBE"/>
    <w:rsid w:val="007603D4"/>
    <w:rsid w:val="00760409"/>
    <w:rsid w:val="007605E8"/>
    <w:rsid w:val="00761D16"/>
    <w:rsid w:val="00761EE7"/>
    <w:rsid w:val="00762B9F"/>
    <w:rsid w:val="00762EB7"/>
    <w:rsid w:val="00762FBB"/>
    <w:rsid w:val="007634C2"/>
    <w:rsid w:val="007636F8"/>
    <w:rsid w:val="00763EF6"/>
    <w:rsid w:val="00764FDB"/>
    <w:rsid w:val="00765840"/>
    <w:rsid w:val="00766A97"/>
    <w:rsid w:val="00766B6C"/>
    <w:rsid w:val="00766CC5"/>
    <w:rsid w:val="00766E89"/>
    <w:rsid w:val="007672BC"/>
    <w:rsid w:val="00767358"/>
    <w:rsid w:val="007675D1"/>
    <w:rsid w:val="007703FB"/>
    <w:rsid w:val="00770826"/>
    <w:rsid w:val="00771A4C"/>
    <w:rsid w:val="00771C2A"/>
    <w:rsid w:val="00773222"/>
    <w:rsid w:val="00773287"/>
    <w:rsid w:val="007735CC"/>
    <w:rsid w:val="00774338"/>
    <w:rsid w:val="007749F8"/>
    <w:rsid w:val="007749FA"/>
    <w:rsid w:val="007750EC"/>
    <w:rsid w:val="00775A0A"/>
    <w:rsid w:val="00776ADC"/>
    <w:rsid w:val="00782082"/>
    <w:rsid w:val="007820A2"/>
    <w:rsid w:val="007822F9"/>
    <w:rsid w:val="007828A8"/>
    <w:rsid w:val="00782F00"/>
    <w:rsid w:val="00784B40"/>
    <w:rsid w:val="00784DC1"/>
    <w:rsid w:val="00790516"/>
    <w:rsid w:val="00790638"/>
    <w:rsid w:val="007923ED"/>
    <w:rsid w:val="00793110"/>
    <w:rsid w:val="007938E4"/>
    <w:rsid w:val="00794433"/>
    <w:rsid w:val="00794D31"/>
    <w:rsid w:val="00795707"/>
    <w:rsid w:val="007957C7"/>
    <w:rsid w:val="00795B48"/>
    <w:rsid w:val="0079648F"/>
    <w:rsid w:val="00796493"/>
    <w:rsid w:val="0079657C"/>
    <w:rsid w:val="0079657E"/>
    <w:rsid w:val="0079797C"/>
    <w:rsid w:val="00797E29"/>
    <w:rsid w:val="007A083C"/>
    <w:rsid w:val="007A1B99"/>
    <w:rsid w:val="007A26A5"/>
    <w:rsid w:val="007A315F"/>
    <w:rsid w:val="007A488F"/>
    <w:rsid w:val="007A600F"/>
    <w:rsid w:val="007A6202"/>
    <w:rsid w:val="007A6318"/>
    <w:rsid w:val="007A6DBD"/>
    <w:rsid w:val="007A7122"/>
    <w:rsid w:val="007A7178"/>
    <w:rsid w:val="007A72C4"/>
    <w:rsid w:val="007A75AD"/>
    <w:rsid w:val="007B1EDF"/>
    <w:rsid w:val="007B24C0"/>
    <w:rsid w:val="007B28EB"/>
    <w:rsid w:val="007B2B9C"/>
    <w:rsid w:val="007B3BCE"/>
    <w:rsid w:val="007B3D0A"/>
    <w:rsid w:val="007B432A"/>
    <w:rsid w:val="007B4582"/>
    <w:rsid w:val="007B491F"/>
    <w:rsid w:val="007B5775"/>
    <w:rsid w:val="007B5FFB"/>
    <w:rsid w:val="007B6A3C"/>
    <w:rsid w:val="007B73CC"/>
    <w:rsid w:val="007B7412"/>
    <w:rsid w:val="007B7777"/>
    <w:rsid w:val="007B794C"/>
    <w:rsid w:val="007B7A65"/>
    <w:rsid w:val="007C02E3"/>
    <w:rsid w:val="007C1034"/>
    <w:rsid w:val="007C18F9"/>
    <w:rsid w:val="007C1C08"/>
    <w:rsid w:val="007C1DB8"/>
    <w:rsid w:val="007C2569"/>
    <w:rsid w:val="007C2651"/>
    <w:rsid w:val="007C3ED8"/>
    <w:rsid w:val="007C455B"/>
    <w:rsid w:val="007C5049"/>
    <w:rsid w:val="007C58E0"/>
    <w:rsid w:val="007C5E78"/>
    <w:rsid w:val="007C7685"/>
    <w:rsid w:val="007C79A1"/>
    <w:rsid w:val="007D02D5"/>
    <w:rsid w:val="007D0595"/>
    <w:rsid w:val="007D0DDB"/>
    <w:rsid w:val="007D0E92"/>
    <w:rsid w:val="007D11E0"/>
    <w:rsid w:val="007D2869"/>
    <w:rsid w:val="007D2A3A"/>
    <w:rsid w:val="007D304A"/>
    <w:rsid w:val="007D3A38"/>
    <w:rsid w:val="007D3E1E"/>
    <w:rsid w:val="007D424A"/>
    <w:rsid w:val="007D4B3F"/>
    <w:rsid w:val="007D4C8B"/>
    <w:rsid w:val="007D6624"/>
    <w:rsid w:val="007D7503"/>
    <w:rsid w:val="007D7CD2"/>
    <w:rsid w:val="007E12F7"/>
    <w:rsid w:val="007E2C8E"/>
    <w:rsid w:val="007E2D9A"/>
    <w:rsid w:val="007E334D"/>
    <w:rsid w:val="007E385F"/>
    <w:rsid w:val="007E44DC"/>
    <w:rsid w:val="007E494E"/>
    <w:rsid w:val="007E4B27"/>
    <w:rsid w:val="007E50D8"/>
    <w:rsid w:val="007E58E1"/>
    <w:rsid w:val="007E6698"/>
    <w:rsid w:val="007E6A77"/>
    <w:rsid w:val="007E7997"/>
    <w:rsid w:val="007E7AA6"/>
    <w:rsid w:val="007F0150"/>
    <w:rsid w:val="007F03E8"/>
    <w:rsid w:val="007F2AA5"/>
    <w:rsid w:val="007F2AFF"/>
    <w:rsid w:val="007F3A0E"/>
    <w:rsid w:val="007F3CBE"/>
    <w:rsid w:val="007F3FFE"/>
    <w:rsid w:val="007F4F81"/>
    <w:rsid w:val="007F5118"/>
    <w:rsid w:val="007F5DDD"/>
    <w:rsid w:val="007F5EFD"/>
    <w:rsid w:val="007F6AB0"/>
    <w:rsid w:val="007F6CCC"/>
    <w:rsid w:val="007F6FEF"/>
    <w:rsid w:val="007F7315"/>
    <w:rsid w:val="007F7B2F"/>
    <w:rsid w:val="00800510"/>
    <w:rsid w:val="0080083D"/>
    <w:rsid w:val="00800C4D"/>
    <w:rsid w:val="008010F4"/>
    <w:rsid w:val="0080136F"/>
    <w:rsid w:val="008022D6"/>
    <w:rsid w:val="00802791"/>
    <w:rsid w:val="00802F32"/>
    <w:rsid w:val="0080397F"/>
    <w:rsid w:val="00804F10"/>
    <w:rsid w:val="008056E0"/>
    <w:rsid w:val="00806E9F"/>
    <w:rsid w:val="008078CF"/>
    <w:rsid w:val="008101E2"/>
    <w:rsid w:val="008111CD"/>
    <w:rsid w:val="008124D3"/>
    <w:rsid w:val="00812945"/>
    <w:rsid w:val="0081351E"/>
    <w:rsid w:val="00813B71"/>
    <w:rsid w:val="00813C34"/>
    <w:rsid w:val="0081568C"/>
    <w:rsid w:val="00815EB1"/>
    <w:rsid w:val="0081664A"/>
    <w:rsid w:val="008222FD"/>
    <w:rsid w:val="00823444"/>
    <w:rsid w:val="0082373F"/>
    <w:rsid w:val="00825B5B"/>
    <w:rsid w:val="008278B3"/>
    <w:rsid w:val="008302A1"/>
    <w:rsid w:val="00830C5E"/>
    <w:rsid w:val="00831E5E"/>
    <w:rsid w:val="00831E91"/>
    <w:rsid w:val="00831FFE"/>
    <w:rsid w:val="00833118"/>
    <w:rsid w:val="00833166"/>
    <w:rsid w:val="00834115"/>
    <w:rsid w:val="0083549C"/>
    <w:rsid w:val="00835E01"/>
    <w:rsid w:val="00835F8A"/>
    <w:rsid w:val="00836E76"/>
    <w:rsid w:val="008405F5"/>
    <w:rsid w:val="00840B25"/>
    <w:rsid w:val="00842A61"/>
    <w:rsid w:val="00843218"/>
    <w:rsid w:val="0084336E"/>
    <w:rsid w:val="00843C35"/>
    <w:rsid w:val="00844D02"/>
    <w:rsid w:val="0084516C"/>
    <w:rsid w:val="00845A05"/>
    <w:rsid w:val="0084796F"/>
    <w:rsid w:val="0085081C"/>
    <w:rsid w:val="00850B5F"/>
    <w:rsid w:val="0085147A"/>
    <w:rsid w:val="00851E54"/>
    <w:rsid w:val="008526D7"/>
    <w:rsid w:val="00853D55"/>
    <w:rsid w:val="00853EE1"/>
    <w:rsid w:val="0085571C"/>
    <w:rsid w:val="008559F9"/>
    <w:rsid w:val="00856761"/>
    <w:rsid w:val="00860D78"/>
    <w:rsid w:val="008632A5"/>
    <w:rsid w:val="008634AD"/>
    <w:rsid w:val="00865019"/>
    <w:rsid w:val="00865BB5"/>
    <w:rsid w:val="00865F1A"/>
    <w:rsid w:val="00866BF0"/>
    <w:rsid w:val="0086706E"/>
    <w:rsid w:val="0086732B"/>
    <w:rsid w:val="00870441"/>
    <w:rsid w:val="00870CC2"/>
    <w:rsid w:val="008712D5"/>
    <w:rsid w:val="00873CF9"/>
    <w:rsid w:val="00875762"/>
    <w:rsid w:val="00875861"/>
    <w:rsid w:val="00876368"/>
    <w:rsid w:val="00876A95"/>
    <w:rsid w:val="00877140"/>
    <w:rsid w:val="00880CEB"/>
    <w:rsid w:val="00881260"/>
    <w:rsid w:val="00881F37"/>
    <w:rsid w:val="00882007"/>
    <w:rsid w:val="00882826"/>
    <w:rsid w:val="00882B47"/>
    <w:rsid w:val="00883114"/>
    <w:rsid w:val="008837F0"/>
    <w:rsid w:val="00883E85"/>
    <w:rsid w:val="0088405F"/>
    <w:rsid w:val="00885CD7"/>
    <w:rsid w:val="00886795"/>
    <w:rsid w:val="00887CD7"/>
    <w:rsid w:val="0089055D"/>
    <w:rsid w:val="008905AA"/>
    <w:rsid w:val="0089122E"/>
    <w:rsid w:val="0089243A"/>
    <w:rsid w:val="008928D4"/>
    <w:rsid w:val="00892F03"/>
    <w:rsid w:val="008958D5"/>
    <w:rsid w:val="008974C3"/>
    <w:rsid w:val="008A054D"/>
    <w:rsid w:val="008A0F24"/>
    <w:rsid w:val="008A1C73"/>
    <w:rsid w:val="008A2889"/>
    <w:rsid w:val="008A330E"/>
    <w:rsid w:val="008A3828"/>
    <w:rsid w:val="008A5367"/>
    <w:rsid w:val="008A54E1"/>
    <w:rsid w:val="008A5ADF"/>
    <w:rsid w:val="008A5CE2"/>
    <w:rsid w:val="008A676B"/>
    <w:rsid w:val="008A6BC7"/>
    <w:rsid w:val="008A6CBF"/>
    <w:rsid w:val="008A7139"/>
    <w:rsid w:val="008A74A1"/>
    <w:rsid w:val="008A7DD6"/>
    <w:rsid w:val="008A7F1A"/>
    <w:rsid w:val="008B037E"/>
    <w:rsid w:val="008B0F93"/>
    <w:rsid w:val="008B1D36"/>
    <w:rsid w:val="008B2231"/>
    <w:rsid w:val="008B2685"/>
    <w:rsid w:val="008B3AB1"/>
    <w:rsid w:val="008B3C2A"/>
    <w:rsid w:val="008B4123"/>
    <w:rsid w:val="008B4724"/>
    <w:rsid w:val="008B48CE"/>
    <w:rsid w:val="008B4B55"/>
    <w:rsid w:val="008B4CFB"/>
    <w:rsid w:val="008B54C0"/>
    <w:rsid w:val="008B6211"/>
    <w:rsid w:val="008B631D"/>
    <w:rsid w:val="008B65BE"/>
    <w:rsid w:val="008B7097"/>
    <w:rsid w:val="008B7134"/>
    <w:rsid w:val="008B737D"/>
    <w:rsid w:val="008B743B"/>
    <w:rsid w:val="008B7765"/>
    <w:rsid w:val="008B7853"/>
    <w:rsid w:val="008B79D6"/>
    <w:rsid w:val="008C1D29"/>
    <w:rsid w:val="008C282E"/>
    <w:rsid w:val="008C36FD"/>
    <w:rsid w:val="008C3E35"/>
    <w:rsid w:val="008C4053"/>
    <w:rsid w:val="008C4A74"/>
    <w:rsid w:val="008C72F2"/>
    <w:rsid w:val="008D0F8A"/>
    <w:rsid w:val="008D1B16"/>
    <w:rsid w:val="008D1BDD"/>
    <w:rsid w:val="008D2365"/>
    <w:rsid w:val="008D2D08"/>
    <w:rsid w:val="008D38F3"/>
    <w:rsid w:val="008D3DE5"/>
    <w:rsid w:val="008D3F0E"/>
    <w:rsid w:val="008D457B"/>
    <w:rsid w:val="008D4957"/>
    <w:rsid w:val="008D4DDC"/>
    <w:rsid w:val="008D523F"/>
    <w:rsid w:val="008D5978"/>
    <w:rsid w:val="008D6299"/>
    <w:rsid w:val="008D635C"/>
    <w:rsid w:val="008D7E4D"/>
    <w:rsid w:val="008E036D"/>
    <w:rsid w:val="008E258A"/>
    <w:rsid w:val="008E2967"/>
    <w:rsid w:val="008E34A4"/>
    <w:rsid w:val="008E3A2B"/>
    <w:rsid w:val="008E3D4A"/>
    <w:rsid w:val="008E42F2"/>
    <w:rsid w:val="008E4492"/>
    <w:rsid w:val="008E46AC"/>
    <w:rsid w:val="008E5952"/>
    <w:rsid w:val="008E5B58"/>
    <w:rsid w:val="008E5B5D"/>
    <w:rsid w:val="008F1FC1"/>
    <w:rsid w:val="008F2E4D"/>
    <w:rsid w:val="008F3FA6"/>
    <w:rsid w:val="008F4674"/>
    <w:rsid w:val="008F5858"/>
    <w:rsid w:val="008F5EBA"/>
    <w:rsid w:val="008F65D5"/>
    <w:rsid w:val="008F6E06"/>
    <w:rsid w:val="008F774F"/>
    <w:rsid w:val="008F7A43"/>
    <w:rsid w:val="008F7D17"/>
    <w:rsid w:val="00900A80"/>
    <w:rsid w:val="00901A48"/>
    <w:rsid w:val="0090209F"/>
    <w:rsid w:val="0090277B"/>
    <w:rsid w:val="00903A51"/>
    <w:rsid w:val="00903CEF"/>
    <w:rsid w:val="00903FDC"/>
    <w:rsid w:val="00904DC3"/>
    <w:rsid w:val="0090609E"/>
    <w:rsid w:val="009063D5"/>
    <w:rsid w:val="009067A2"/>
    <w:rsid w:val="00906897"/>
    <w:rsid w:val="00907B37"/>
    <w:rsid w:val="009117B1"/>
    <w:rsid w:val="0091225F"/>
    <w:rsid w:val="009122BF"/>
    <w:rsid w:val="009130AC"/>
    <w:rsid w:val="0091424D"/>
    <w:rsid w:val="00914A95"/>
    <w:rsid w:val="009154B8"/>
    <w:rsid w:val="0091564A"/>
    <w:rsid w:val="00915A0E"/>
    <w:rsid w:val="009161C8"/>
    <w:rsid w:val="0091789A"/>
    <w:rsid w:val="00917EA2"/>
    <w:rsid w:val="00920281"/>
    <w:rsid w:val="009210A6"/>
    <w:rsid w:val="0092196C"/>
    <w:rsid w:val="00921E76"/>
    <w:rsid w:val="0092295B"/>
    <w:rsid w:val="00922C82"/>
    <w:rsid w:val="0092368A"/>
    <w:rsid w:val="00923A3D"/>
    <w:rsid w:val="00924C8A"/>
    <w:rsid w:val="009250E1"/>
    <w:rsid w:val="00925137"/>
    <w:rsid w:val="00925959"/>
    <w:rsid w:val="00926224"/>
    <w:rsid w:val="0092653C"/>
    <w:rsid w:val="00926F92"/>
    <w:rsid w:val="00927A02"/>
    <w:rsid w:val="00927A56"/>
    <w:rsid w:val="00927DB0"/>
    <w:rsid w:val="009304E4"/>
    <w:rsid w:val="00930B36"/>
    <w:rsid w:val="00930F1B"/>
    <w:rsid w:val="009317CC"/>
    <w:rsid w:val="0093194D"/>
    <w:rsid w:val="00931994"/>
    <w:rsid w:val="009324D7"/>
    <w:rsid w:val="00934429"/>
    <w:rsid w:val="00934C68"/>
    <w:rsid w:val="00934D1B"/>
    <w:rsid w:val="00934DE1"/>
    <w:rsid w:val="00935991"/>
    <w:rsid w:val="0093650E"/>
    <w:rsid w:val="00936526"/>
    <w:rsid w:val="0093736F"/>
    <w:rsid w:val="00937717"/>
    <w:rsid w:val="0093784D"/>
    <w:rsid w:val="00937901"/>
    <w:rsid w:val="009407B7"/>
    <w:rsid w:val="00940D92"/>
    <w:rsid w:val="00941485"/>
    <w:rsid w:val="00941E9C"/>
    <w:rsid w:val="00943EB9"/>
    <w:rsid w:val="009449EC"/>
    <w:rsid w:val="00945A02"/>
    <w:rsid w:val="00945D89"/>
    <w:rsid w:val="0094617A"/>
    <w:rsid w:val="00946632"/>
    <w:rsid w:val="00947B56"/>
    <w:rsid w:val="00950529"/>
    <w:rsid w:val="00950744"/>
    <w:rsid w:val="009508A4"/>
    <w:rsid w:val="009509D3"/>
    <w:rsid w:val="00950C96"/>
    <w:rsid w:val="00950F8D"/>
    <w:rsid w:val="009521F7"/>
    <w:rsid w:val="00952CB5"/>
    <w:rsid w:val="00953658"/>
    <w:rsid w:val="00953756"/>
    <w:rsid w:val="00953FD1"/>
    <w:rsid w:val="00954912"/>
    <w:rsid w:val="00955C20"/>
    <w:rsid w:val="0095649F"/>
    <w:rsid w:val="00960265"/>
    <w:rsid w:val="009608C3"/>
    <w:rsid w:val="0096189A"/>
    <w:rsid w:val="009625FF"/>
    <w:rsid w:val="00962633"/>
    <w:rsid w:val="00963E7B"/>
    <w:rsid w:val="0096463E"/>
    <w:rsid w:val="00964729"/>
    <w:rsid w:val="009648DD"/>
    <w:rsid w:val="00964AD0"/>
    <w:rsid w:val="00964EB1"/>
    <w:rsid w:val="009664FB"/>
    <w:rsid w:val="009677FB"/>
    <w:rsid w:val="00970814"/>
    <w:rsid w:val="00973110"/>
    <w:rsid w:val="00973492"/>
    <w:rsid w:val="009736ED"/>
    <w:rsid w:val="009737E6"/>
    <w:rsid w:val="0097416E"/>
    <w:rsid w:val="00974450"/>
    <w:rsid w:val="009747D6"/>
    <w:rsid w:val="009752AB"/>
    <w:rsid w:val="009752C8"/>
    <w:rsid w:val="00975B6F"/>
    <w:rsid w:val="00975FE6"/>
    <w:rsid w:val="0097669B"/>
    <w:rsid w:val="00976C59"/>
    <w:rsid w:val="0097735E"/>
    <w:rsid w:val="009801CC"/>
    <w:rsid w:val="00980DDF"/>
    <w:rsid w:val="00981391"/>
    <w:rsid w:val="0098194F"/>
    <w:rsid w:val="00981BF1"/>
    <w:rsid w:val="00982372"/>
    <w:rsid w:val="00982410"/>
    <w:rsid w:val="00982685"/>
    <w:rsid w:val="009834A1"/>
    <w:rsid w:val="009838E0"/>
    <w:rsid w:val="00983931"/>
    <w:rsid w:val="00983B94"/>
    <w:rsid w:val="00984D93"/>
    <w:rsid w:val="009850D1"/>
    <w:rsid w:val="009854C1"/>
    <w:rsid w:val="00986129"/>
    <w:rsid w:val="00986A65"/>
    <w:rsid w:val="009901C4"/>
    <w:rsid w:val="00990362"/>
    <w:rsid w:val="00990590"/>
    <w:rsid w:val="00990791"/>
    <w:rsid w:val="009913CE"/>
    <w:rsid w:val="0099143E"/>
    <w:rsid w:val="00992EEC"/>
    <w:rsid w:val="00994044"/>
    <w:rsid w:val="00995B85"/>
    <w:rsid w:val="009966BB"/>
    <w:rsid w:val="0099684D"/>
    <w:rsid w:val="00997169"/>
    <w:rsid w:val="00997381"/>
    <w:rsid w:val="009976E8"/>
    <w:rsid w:val="00997AA4"/>
    <w:rsid w:val="009A071D"/>
    <w:rsid w:val="009A1237"/>
    <w:rsid w:val="009A158E"/>
    <w:rsid w:val="009A2096"/>
    <w:rsid w:val="009A2945"/>
    <w:rsid w:val="009A3072"/>
    <w:rsid w:val="009A4345"/>
    <w:rsid w:val="009A48F8"/>
    <w:rsid w:val="009A6F1C"/>
    <w:rsid w:val="009A707D"/>
    <w:rsid w:val="009B2DF7"/>
    <w:rsid w:val="009B2FC9"/>
    <w:rsid w:val="009B348F"/>
    <w:rsid w:val="009B38A9"/>
    <w:rsid w:val="009B49A1"/>
    <w:rsid w:val="009B4A45"/>
    <w:rsid w:val="009B4C69"/>
    <w:rsid w:val="009B53B3"/>
    <w:rsid w:val="009B6112"/>
    <w:rsid w:val="009B6B5C"/>
    <w:rsid w:val="009B6E8E"/>
    <w:rsid w:val="009B6F6C"/>
    <w:rsid w:val="009B73B5"/>
    <w:rsid w:val="009B7D52"/>
    <w:rsid w:val="009B7E13"/>
    <w:rsid w:val="009C044C"/>
    <w:rsid w:val="009C146E"/>
    <w:rsid w:val="009C2850"/>
    <w:rsid w:val="009C2AA3"/>
    <w:rsid w:val="009C2C4E"/>
    <w:rsid w:val="009C2D71"/>
    <w:rsid w:val="009C418A"/>
    <w:rsid w:val="009C461F"/>
    <w:rsid w:val="009C48D1"/>
    <w:rsid w:val="009C56D7"/>
    <w:rsid w:val="009C6456"/>
    <w:rsid w:val="009C67B5"/>
    <w:rsid w:val="009C6E03"/>
    <w:rsid w:val="009C786D"/>
    <w:rsid w:val="009D003E"/>
    <w:rsid w:val="009D09AD"/>
    <w:rsid w:val="009D0D9A"/>
    <w:rsid w:val="009D10EB"/>
    <w:rsid w:val="009D13FE"/>
    <w:rsid w:val="009D1662"/>
    <w:rsid w:val="009D1FA7"/>
    <w:rsid w:val="009D1FFD"/>
    <w:rsid w:val="009D2C3D"/>
    <w:rsid w:val="009D37A2"/>
    <w:rsid w:val="009D5143"/>
    <w:rsid w:val="009D54C6"/>
    <w:rsid w:val="009D5D9E"/>
    <w:rsid w:val="009D6721"/>
    <w:rsid w:val="009D68C9"/>
    <w:rsid w:val="009D7298"/>
    <w:rsid w:val="009D75BF"/>
    <w:rsid w:val="009D792A"/>
    <w:rsid w:val="009D7CA6"/>
    <w:rsid w:val="009D7D2F"/>
    <w:rsid w:val="009E1586"/>
    <w:rsid w:val="009E19D8"/>
    <w:rsid w:val="009E1AAD"/>
    <w:rsid w:val="009E2295"/>
    <w:rsid w:val="009E2988"/>
    <w:rsid w:val="009E2992"/>
    <w:rsid w:val="009E2ED1"/>
    <w:rsid w:val="009E2FD9"/>
    <w:rsid w:val="009E30FE"/>
    <w:rsid w:val="009E3C9E"/>
    <w:rsid w:val="009E3F5A"/>
    <w:rsid w:val="009E52C6"/>
    <w:rsid w:val="009E53A8"/>
    <w:rsid w:val="009E6485"/>
    <w:rsid w:val="009E64A7"/>
    <w:rsid w:val="009E6563"/>
    <w:rsid w:val="009E68F3"/>
    <w:rsid w:val="009E7364"/>
    <w:rsid w:val="009E78EA"/>
    <w:rsid w:val="009E7A21"/>
    <w:rsid w:val="009F0762"/>
    <w:rsid w:val="009F11DD"/>
    <w:rsid w:val="009F1CE5"/>
    <w:rsid w:val="009F2351"/>
    <w:rsid w:val="009F2415"/>
    <w:rsid w:val="009F25B4"/>
    <w:rsid w:val="009F2E57"/>
    <w:rsid w:val="009F30B9"/>
    <w:rsid w:val="009F4034"/>
    <w:rsid w:val="009F4288"/>
    <w:rsid w:val="009F4B59"/>
    <w:rsid w:val="009F5888"/>
    <w:rsid w:val="009F5A83"/>
    <w:rsid w:val="009F65BA"/>
    <w:rsid w:val="009F6880"/>
    <w:rsid w:val="009F6A3C"/>
    <w:rsid w:val="009F6B59"/>
    <w:rsid w:val="009F7701"/>
    <w:rsid w:val="00A002ED"/>
    <w:rsid w:val="00A00947"/>
    <w:rsid w:val="00A00BB8"/>
    <w:rsid w:val="00A01B28"/>
    <w:rsid w:val="00A01F83"/>
    <w:rsid w:val="00A0273E"/>
    <w:rsid w:val="00A02E1D"/>
    <w:rsid w:val="00A02F88"/>
    <w:rsid w:val="00A035EA"/>
    <w:rsid w:val="00A03645"/>
    <w:rsid w:val="00A04310"/>
    <w:rsid w:val="00A0449E"/>
    <w:rsid w:val="00A04B04"/>
    <w:rsid w:val="00A0500C"/>
    <w:rsid w:val="00A05041"/>
    <w:rsid w:val="00A052BF"/>
    <w:rsid w:val="00A058BB"/>
    <w:rsid w:val="00A06526"/>
    <w:rsid w:val="00A0765C"/>
    <w:rsid w:val="00A10898"/>
    <w:rsid w:val="00A10DAB"/>
    <w:rsid w:val="00A11E1C"/>
    <w:rsid w:val="00A121B2"/>
    <w:rsid w:val="00A13EFA"/>
    <w:rsid w:val="00A1400B"/>
    <w:rsid w:val="00A140D8"/>
    <w:rsid w:val="00A1490B"/>
    <w:rsid w:val="00A14C9A"/>
    <w:rsid w:val="00A14CA0"/>
    <w:rsid w:val="00A155CD"/>
    <w:rsid w:val="00A158F5"/>
    <w:rsid w:val="00A15D2F"/>
    <w:rsid w:val="00A16206"/>
    <w:rsid w:val="00A17297"/>
    <w:rsid w:val="00A1771F"/>
    <w:rsid w:val="00A22540"/>
    <w:rsid w:val="00A23458"/>
    <w:rsid w:val="00A2427F"/>
    <w:rsid w:val="00A2488E"/>
    <w:rsid w:val="00A26B0E"/>
    <w:rsid w:val="00A30563"/>
    <w:rsid w:val="00A319CA"/>
    <w:rsid w:val="00A333A0"/>
    <w:rsid w:val="00A3373F"/>
    <w:rsid w:val="00A34745"/>
    <w:rsid w:val="00A35F4F"/>
    <w:rsid w:val="00A375C2"/>
    <w:rsid w:val="00A37748"/>
    <w:rsid w:val="00A37B63"/>
    <w:rsid w:val="00A4005D"/>
    <w:rsid w:val="00A40157"/>
    <w:rsid w:val="00A402C0"/>
    <w:rsid w:val="00A4047A"/>
    <w:rsid w:val="00A42094"/>
    <w:rsid w:val="00A4230B"/>
    <w:rsid w:val="00A42868"/>
    <w:rsid w:val="00A42C0B"/>
    <w:rsid w:val="00A42D8A"/>
    <w:rsid w:val="00A434DB"/>
    <w:rsid w:val="00A43D16"/>
    <w:rsid w:val="00A43F17"/>
    <w:rsid w:val="00A4512E"/>
    <w:rsid w:val="00A451BD"/>
    <w:rsid w:val="00A4530D"/>
    <w:rsid w:val="00A45DBA"/>
    <w:rsid w:val="00A46405"/>
    <w:rsid w:val="00A47715"/>
    <w:rsid w:val="00A47D61"/>
    <w:rsid w:val="00A47E87"/>
    <w:rsid w:val="00A50D28"/>
    <w:rsid w:val="00A512C9"/>
    <w:rsid w:val="00A51E29"/>
    <w:rsid w:val="00A52E7A"/>
    <w:rsid w:val="00A540FF"/>
    <w:rsid w:val="00A5412A"/>
    <w:rsid w:val="00A542C4"/>
    <w:rsid w:val="00A547AD"/>
    <w:rsid w:val="00A554D4"/>
    <w:rsid w:val="00A55AF4"/>
    <w:rsid w:val="00A55BFB"/>
    <w:rsid w:val="00A57751"/>
    <w:rsid w:val="00A577E3"/>
    <w:rsid w:val="00A601EB"/>
    <w:rsid w:val="00A60BEC"/>
    <w:rsid w:val="00A61A2A"/>
    <w:rsid w:val="00A6201A"/>
    <w:rsid w:val="00A62A2C"/>
    <w:rsid w:val="00A62A2E"/>
    <w:rsid w:val="00A62EFB"/>
    <w:rsid w:val="00A6325B"/>
    <w:rsid w:val="00A632C8"/>
    <w:rsid w:val="00A6456D"/>
    <w:rsid w:val="00A648BD"/>
    <w:rsid w:val="00A658FC"/>
    <w:rsid w:val="00A65A45"/>
    <w:rsid w:val="00A65E36"/>
    <w:rsid w:val="00A663CB"/>
    <w:rsid w:val="00A66405"/>
    <w:rsid w:val="00A667FA"/>
    <w:rsid w:val="00A66DA4"/>
    <w:rsid w:val="00A71A39"/>
    <w:rsid w:val="00A71FBA"/>
    <w:rsid w:val="00A71FE2"/>
    <w:rsid w:val="00A727CB"/>
    <w:rsid w:val="00A7282D"/>
    <w:rsid w:val="00A74F7D"/>
    <w:rsid w:val="00A75E45"/>
    <w:rsid w:val="00A7607E"/>
    <w:rsid w:val="00A76177"/>
    <w:rsid w:val="00A765CE"/>
    <w:rsid w:val="00A77067"/>
    <w:rsid w:val="00A77B3F"/>
    <w:rsid w:val="00A804B6"/>
    <w:rsid w:val="00A807AE"/>
    <w:rsid w:val="00A80864"/>
    <w:rsid w:val="00A81849"/>
    <w:rsid w:val="00A81971"/>
    <w:rsid w:val="00A81CEA"/>
    <w:rsid w:val="00A8210B"/>
    <w:rsid w:val="00A82E99"/>
    <w:rsid w:val="00A83B31"/>
    <w:rsid w:val="00A83F16"/>
    <w:rsid w:val="00A844B1"/>
    <w:rsid w:val="00A84C93"/>
    <w:rsid w:val="00A85943"/>
    <w:rsid w:val="00A85F19"/>
    <w:rsid w:val="00A8686A"/>
    <w:rsid w:val="00A87FB7"/>
    <w:rsid w:val="00A91A12"/>
    <w:rsid w:val="00A91B45"/>
    <w:rsid w:val="00A93195"/>
    <w:rsid w:val="00A931E9"/>
    <w:rsid w:val="00A93305"/>
    <w:rsid w:val="00A93CBF"/>
    <w:rsid w:val="00A93E26"/>
    <w:rsid w:val="00A941BC"/>
    <w:rsid w:val="00A941C5"/>
    <w:rsid w:val="00A9598C"/>
    <w:rsid w:val="00A9644F"/>
    <w:rsid w:val="00A96F80"/>
    <w:rsid w:val="00AA1FAE"/>
    <w:rsid w:val="00AA27DA"/>
    <w:rsid w:val="00AA345B"/>
    <w:rsid w:val="00AA3B30"/>
    <w:rsid w:val="00AA3F15"/>
    <w:rsid w:val="00AA4A4B"/>
    <w:rsid w:val="00AA586C"/>
    <w:rsid w:val="00AA5E01"/>
    <w:rsid w:val="00AA602F"/>
    <w:rsid w:val="00AA7174"/>
    <w:rsid w:val="00AA7363"/>
    <w:rsid w:val="00AA77B5"/>
    <w:rsid w:val="00AA7C0A"/>
    <w:rsid w:val="00AB037C"/>
    <w:rsid w:val="00AB04D1"/>
    <w:rsid w:val="00AB0937"/>
    <w:rsid w:val="00AB170E"/>
    <w:rsid w:val="00AB2B68"/>
    <w:rsid w:val="00AB2E0E"/>
    <w:rsid w:val="00AB2FD1"/>
    <w:rsid w:val="00AB3B02"/>
    <w:rsid w:val="00AB492E"/>
    <w:rsid w:val="00AB5132"/>
    <w:rsid w:val="00AB51AE"/>
    <w:rsid w:val="00AB574D"/>
    <w:rsid w:val="00AB595B"/>
    <w:rsid w:val="00AB6088"/>
    <w:rsid w:val="00AB61A1"/>
    <w:rsid w:val="00AB6EBC"/>
    <w:rsid w:val="00AB7024"/>
    <w:rsid w:val="00AB762C"/>
    <w:rsid w:val="00AC06C1"/>
    <w:rsid w:val="00AC22CA"/>
    <w:rsid w:val="00AC3D1E"/>
    <w:rsid w:val="00AC521D"/>
    <w:rsid w:val="00AC6135"/>
    <w:rsid w:val="00AC6576"/>
    <w:rsid w:val="00AC6EF1"/>
    <w:rsid w:val="00AC75D5"/>
    <w:rsid w:val="00AC7722"/>
    <w:rsid w:val="00AD0786"/>
    <w:rsid w:val="00AD0B42"/>
    <w:rsid w:val="00AD0BDE"/>
    <w:rsid w:val="00AD0C75"/>
    <w:rsid w:val="00AD121B"/>
    <w:rsid w:val="00AD144A"/>
    <w:rsid w:val="00AD1B3B"/>
    <w:rsid w:val="00AD24B4"/>
    <w:rsid w:val="00AD29CD"/>
    <w:rsid w:val="00AD2BE6"/>
    <w:rsid w:val="00AD4464"/>
    <w:rsid w:val="00AD4BC4"/>
    <w:rsid w:val="00AD6AEF"/>
    <w:rsid w:val="00AD73AA"/>
    <w:rsid w:val="00AD774C"/>
    <w:rsid w:val="00AE0C80"/>
    <w:rsid w:val="00AE1B8E"/>
    <w:rsid w:val="00AE2CE9"/>
    <w:rsid w:val="00AE3362"/>
    <w:rsid w:val="00AE3C30"/>
    <w:rsid w:val="00AE498C"/>
    <w:rsid w:val="00AE6D3F"/>
    <w:rsid w:val="00AE7A1E"/>
    <w:rsid w:val="00AF055C"/>
    <w:rsid w:val="00AF0B1E"/>
    <w:rsid w:val="00AF1456"/>
    <w:rsid w:val="00AF18FC"/>
    <w:rsid w:val="00AF1A47"/>
    <w:rsid w:val="00AF1BA7"/>
    <w:rsid w:val="00AF1C02"/>
    <w:rsid w:val="00AF1F55"/>
    <w:rsid w:val="00AF2FB1"/>
    <w:rsid w:val="00AF3D6C"/>
    <w:rsid w:val="00AF3E1C"/>
    <w:rsid w:val="00AF4548"/>
    <w:rsid w:val="00AF5A92"/>
    <w:rsid w:val="00AF6337"/>
    <w:rsid w:val="00AF63C1"/>
    <w:rsid w:val="00AF659D"/>
    <w:rsid w:val="00AF7405"/>
    <w:rsid w:val="00B00307"/>
    <w:rsid w:val="00B00415"/>
    <w:rsid w:val="00B004FE"/>
    <w:rsid w:val="00B01318"/>
    <w:rsid w:val="00B03318"/>
    <w:rsid w:val="00B03651"/>
    <w:rsid w:val="00B0428F"/>
    <w:rsid w:val="00B04553"/>
    <w:rsid w:val="00B047D0"/>
    <w:rsid w:val="00B04CD4"/>
    <w:rsid w:val="00B059A1"/>
    <w:rsid w:val="00B061FB"/>
    <w:rsid w:val="00B06454"/>
    <w:rsid w:val="00B06503"/>
    <w:rsid w:val="00B06650"/>
    <w:rsid w:val="00B0758E"/>
    <w:rsid w:val="00B0785E"/>
    <w:rsid w:val="00B10114"/>
    <w:rsid w:val="00B11059"/>
    <w:rsid w:val="00B11279"/>
    <w:rsid w:val="00B11627"/>
    <w:rsid w:val="00B11BE0"/>
    <w:rsid w:val="00B124B9"/>
    <w:rsid w:val="00B12C81"/>
    <w:rsid w:val="00B13696"/>
    <w:rsid w:val="00B13A6E"/>
    <w:rsid w:val="00B14A4C"/>
    <w:rsid w:val="00B16376"/>
    <w:rsid w:val="00B16A77"/>
    <w:rsid w:val="00B17472"/>
    <w:rsid w:val="00B1756C"/>
    <w:rsid w:val="00B17CE7"/>
    <w:rsid w:val="00B203D5"/>
    <w:rsid w:val="00B20C2F"/>
    <w:rsid w:val="00B21615"/>
    <w:rsid w:val="00B238DC"/>
    <w:rsid w:val="00B23CA3"/>
    <w:rsid w:val="00B23ED7"/>
    <w:rsid w:val="00B24058"/>
    <w:rsid w:val="00B24F30"/>
    <w:rsid w:val="00B267D6"/>
    <w:rsid w:val="00B26C80"/>
    <w:rsid w:val="00B279EC"/>
    <w:rsid w:val="00B302F6"/>
    <w:rsid w:val="00B308BA"/>
    <w:rsid w:val="00B3120B"/>
    <w:rsid w:val="00B317A8"/>
    <w:rsid w:val="00B31F53"/>
    <w:rsid w:val="00B327B5"/>
    <w:rsid w:val="00B32B1D"/>
    <w:rsid w:val="00B32DDA"/>
    <w:rsid w:val="00B334E9"/>
    <w:rsid w:val="00B33924"/>
    <w:rsid w:val="00B33B15"/>
    <w:rsid w:val="00B33C81"/>
    <w:rsid w:val="00B33D98"/>
    <w:rsid w:val="00B341A0"/>
    <w:rsid w:val="00B346BE"/>
    <w:rsid w:val="00B34AAC"/>
    <w:rsid w:val="00B34AF6"/>
    <w:rsid w:val="00B34FA3"/>
    <w:rsid w:val="00B350EB"/>
    <w:rsid w:val="00B358FF"/>
    <w:rsid w:val="00B36B8C"/>
    <w:rsid w:val="00B41305"/>
    <w:rsid w:val="00B41913"/>
    <w:rsid w:val="00B41AE3"/>
    <w:rsid w:val="00B41ECE"/>
    <w:rsid w:val="00B421E7"/>
    <w:rsid w:val="00B42D26"/>
    <w:rsid w:val="00B42F37"/>
    <w:rsid w:val="00B43266"/>
    <w:rsid w:val="00B43BCE"/>
    <w:rsid w:val="00B443FC"/>
    <w:rsid w:val="00B44C83"/>
    <w:rsid w:val="00B44D71"/>
    <w:rsid w:val="00B454BF"/>
    <w:rsid w:val="00B4554D"/>
    <w:rsid w:val="00B45684"/>
    <w:rsid w:val="00B45A91"/>
    <w:rsid w:val="00B461B5"/>
    <w:rsid w:val="00B46C5E"/>
    <w:rsid w:val="00B46F04"/>
    <w:rsid w:val="00B47B46"/>
    <w:rsid w:val="00B502F3"/>
    <w:rsid w:val="00B508B0"/>
    <w:rsid w:val="00B51602"/>
    <w:rsid w:val="00B519F0"/>
    <w:rsid w:val="00B51A61"/>
    <w:rsid w:val="00B5436F"/>
    <w:rsid w:val="00B55185"/>
    <w:rsid w:val="00B55491"/>
    <w:rsid w:val="00B559D1"/>
    <w:rsid w:val="00B567EC"/>
    <w:rsid w:val="00B56D64"/>
    <w:rsid w:val="00B57550"/>
    <w:rsid w:val="00B60DD4"/>
    <w:rsid w:val="00B6288F"/>
    <w:rsid w:val="00B62C2E"/>
    <w:rsid w:val="00B634F2"/>
    <w:rsid w:val="00B639F6"/>
    <w:rsid w:val="00B64F93"/>
    <w:rsid w:val="00B65FFB"/>
    <w:rsid w:val="00B664DF"/>
    <w:rsid w:val="00B670A4"/>
    <w:rsid w:val="00B70943"/>
    <w:rsid w:val="00B70FED"/>
    <w:rsid w:val="00B7137E"/>
    <w:rsid w:val="00B723F0"/>
    <w:rsid w:val="00B72EAF"/>
    <w:rsid w:val="00B746E3"/>
    <w:rsid w:val="00B7488F"/>
    <w:rsid w:val="00B748BF"/>
    <w:rsid w:val="00B74991"/>
    <w:rsid w:val="00B74AD8"/>
    <w:rsid w:val="00B74C66"/>
    <w:rsid w:val="00B74E06"/>
    <w:rsid w:val="00B750CF"/>
    <w:rsid w:val="00B75315"/>
    <w:rsid w:val="00B7534E"/>
    <w:rsid w:val="00B75410"/>
    <w:rsid w:val="00B763FF"/>
    <w:rsid w:val="00B81D08"/>
    <w:rsid w:val="00B82639"/>
    <w:rsid w:val="00B82653"/>
    <w:rsid w:val="00B831FE"/>
    <w:rsid w:val="00B836F0"/>
    <w:rsid w:val="00B837F3"/>
    <w:rsid w:val="00B83CED"/>
    <w:rsid w:val="00B8426F"/>
    <w:rsid w:val="00B852E1"/>
    <w:rsid w:val="00B8599D"/>
    <w:rsid w:val="00B8612F"/>
    <w:rsid w:val="00B86AB7"/>
    <w:rsid w:val="00B870D3"/>
    <w:rsid w:val="00B90DAB"/>
    <w:rsid w:val="00B9185A"/>
    <w:rsid w:val="00B922E1"/>
    <w:rsid w:val="00B926BD"/>
    <w:rsid w:val="00B936B8"/>
    <w:rsid w:val="00B93B6A"/>
    <w:rsid w:val="00B94024"/>
    <w:rsid w:val="00B948C8"/>
    <w:rsid w:val="00B94F5F"/>
    <w:rsid w:val="00B95060"/>
    <w:rsid w:val="00B955E4"/>
    <w:rsid w:val="00B9649A"/>
    <w:rsid w:val="00B965AA"/>
    <w:rsid w:val="00B9794A"/>
    <w:rsid w:val="00B97CB5"/>
    <w:rsid w:val="00BA0B52"/>
    <w:rsid w:val="00BA1874"/>
    <w:rsid w:val="00BA1A0F"/>
    <w:rsid w:val="00BA2386"/>
    <w:rsid w:val="00BA29A3"/>
    <w:rsid w:val="00BA2BB6"/>
    <w:rsid w:val="00BA32F8"/>
    <w:rsid w:val="00BA35B7"/>
    <w:rsid w:val="00BA43F1"/>
    <w:rsid w:val="00BA4D48"/>
    <w:rsid w:val="00BA5631"/>
    <w:rsid w:val="00BA5AA1"/>
    <w:rsid w:val="00BA5FB5"/>
    <w:rsid w:val="00BA6153"/>
    <w:rsid w:val="00BA61E7"/>
    <w:rsid w:val="00BA69E9"/>
    <w:rsid w:val="00BA7118"/>
    <w:rsid w:val="00BA7398"/>
    <w:rsid w:val="00BA77B6"/>
    <w:rsid w:val="00BA7B40"/>
    <w:rsid w:val="00BB1284"/>
    <w:rsid w:val="00BB1C0E"/>
    <w:rsid w:val="00BB1C34"/>
    <w:rsid w:val="00BB2016"/>
    <w:rsid w:val="00BB4551"/>
    <w:rsid w:val="00BB457D"/>
    <w:rsid w:val="00BB4E15"/>
    <w:rsid w:val="00BB735C"/>
    <w:rsid w:val="00BB78A0"/>
    <w:rsid w:val="00BB7E32"/>
    <w:rsid w:val="00BC19EE"/>
    <w:rsid w:val="00BC1B7D"/>
    <w:rsid w:val="00BC2C18"/>
    <w:rsid w:val="00BC2FD0"/>
    <w:rsid w:val="00BC53B1"/>
    <w:rsid w:val="00BC602B"/>
    <w:rsid w:val="00BC7138"/>
    <w:rsid w:val="00BD0048"/>
    <w:rsid w:val="00BD082C"/>
    <w:rsid w:val="00BD0A95"/>
    <w:rsid w:val="00BD0EA6"/>
    <w:rsid w:val="00BD1A1C"/>
    <w:rsid w:val="00BD1BE2"/>
    <w:rsid w:val="00BD26CE"/>
    <w:rsid w:val="00BD4D38"/>
    <w:rsid w:val="00BD50BA"/>
    <w:rsid w:val="00BD679B"/>
    <w:rsid w:val="00BD7247"/>
    <w:rsid w:val="00BE06B6"/>
    <w:rsid w:val="00BE07F2"/>
    <w:rsid w:val="00BE0B9A"/>
    <w:rsid w:val="00BE1366"/>
    <w:rsid w:val="00BE1525"/>
    <w:rsid w:val="00BE2429"/>
    <w:rsid w:val="00BE256C"/>
    <w:rsid w:val="00BE25C9"/>
    <w:rsid w:val="00BE39D0"/>
    <w:rsid w:val="00BE51CC"/>
    <w:rsid w:val="00BE68A7"/>
    <w:rsid w:val="00BE6C2F"/>
    <w:rsid w:val="00BE6EBD"/>
    <w:rsid w:val="00BE7DF3"/>
    <w:rsid w:val="00BE7FFE"/>
    <w:rsid w:val="00BF0C57"/>
    <w:rsid w:val="00BF1126"/>
    <w:rsid w:val="00BF1211"/>
    <w:rsid w:val="00BF1902"/>
    <w:rsid w:val="00BF19B0"/>
    <w:rsid w:val="00BF1AF7"/>
    <w:rsid w:val="00BF279B"/>
    <w:rsid w:val="00BF2E3C"/>
    <w:rsid w:val="00BF3316"/>
    <w:rsid w:val="00BF3602"/>
    <w:rsid w:val="00BF3D2C"/>
    <w:rsid w:val="00BF443F"/>
    <w:rsid w:val="00BF4528"/>
    <w:rsid w:val="00BF538A"/>
    <w:rsid w:val="00BF596C"/>
    <w:rsid w:val="00BF5C73"/>
    <w:rsid w:val="00BF5F5D"/>
    <w:rsid w:val="00BF61D4"/>
    <w:rsid w:val="00BF7703"/>
    <w:rsid w:val="00BF7D35"/>
    <w:rsid w:val="00C0031D"/>
    <w:rsid w:val="00C00D8C"/>
    <w:rsid w:val="00C02651"/>
    <w:rsid w:val="00C02FF1"/>
    <w:rsid w:val="00C036FF"/>
    <w:rsid w:val="00C040CE"/>
    <w:rsid w:val="00C044A8"/>
    <w:rsid w:val="00C050D6"/>
    <w:rsid w:val="00C0534E"/>
    <w:rsid w:val="00C05A1D"/>
    <w:rsid w:val="00C05FBA"/>
    <w:rsid w:val="00C065FA"/>
    <w:rsid w:val="00C06BD7"/>
    <w:rsid w:val="00C06C45"/>
    <w:rsid w:val="00C07622"/>
    <w:rsid w:val="00C076E3"/>
    <w:rsid w:val="00C10285"/>
    <w:rsid w:val="00C10968"/>
    <w:rsid w:val="00C11217"/>
    <w:rsid w:val="00C1182F"/>
    <w:rsid w:val="00C1199F"/>
    <w:rsid w:val="00C12AF5"/>
    <w:rsid w:val="00C12D18"/>
    <w:rsid w:val="00C1430E"/>
    <w:rsid w:val="00C14593"/>
    <w:rsid w:val="00C14C4F"/>
    <w:rsid w:val="00C152B2"/>
    <w:rsid w:val="00C15B2E"/>
    <w:rsid w:val="00C17164"/>
    <w:rsid w:val="00C203E7"/>
    <w:rsid w:val="00C22285"/>
    <w:rsid w:val="00C22960"/>
    <w:rsid w:val="00C22E74"/>
    <w:rsid w:val="00C2370D"/>
    <w:rsid w:val="00C24894"/>
    <w:rsid w:val="00C24FDF"/>
    <w:rsid w:val="00C25108"/>
    <w:rsid w:val="00C2610A"/>
    <w:rsid w:val="00C2731C"/>
    <w:rsid w:val="00C27F6E"/>
    <w:rsid w:val="00C30BEE"/>
    <w:rsid w:val="00C313C4"/>
    <w:rsid w:val="00C31E8C"/>
    <w:rsid w:val="00C328C0"/>
    <w:rsid w:val="00C32ACF"/>
    <w:rsid w:val="00C33342"/>
    <w:rsid w:val="00C33346"/>
    <w:rsid w:val="00C346AD"/>
    <w:rsid w:val="00C357B5"/>
    <w:rsid w:val="00C35EDF"/>
    <w:rsid w:val="00C362A6"/>
    <w:rsid w:val="00C366FB"/>
    <w:rsid w:val="00C36932"/>
    <w:rsid w:val="00C36A72"/>
    <w:rsid w:val="00C37505"/>
    <w:rsid w:val="00C418B1"/>
    <w:rsid w:val="00C42205"/>
    <w:rsid w:val="00C42659"/>
    <w:rsid w:val="00C433BD"/>
    <w:rsid w:val="00C43898"/>
    <w:rsid w:val="00C442B4"/>
    <w:rsid w:val="00C45095"/>
    <w:rsid w:val="00C453D8"/>
    <w:rsid w:val="00C454A9"/>
    <w:rsid w:val="00C45C54"/>
    <w:rsid w:val="00C466BA"/>
    <w:rsid w:val="00C4674B"/>
    <w:rsid w:val="00C4692E"/>
    <w:rsid w:val="00C46B1B"/>
    <w:rsid w:val="00C46BFA"/>
    <w:rsid w:val="00C47763"/>
    <w:rsid w:val="00C47B24"/>
    <w:rsid w:val="00C47EE5"/>
    <w:rsid w:val="00C47EFC"/>
    <w:rsid w:val="00C504C1"/>
    <w:rsid w:val="00C50629"/>
    <w:rsid w:val="00C50646"/>
    <w:rsid w:val="00C50DFB"/>
    <w:rsid w:val="00C522F7"/>
    <w:rsid w:val="00C52AC4"/>
    <w:rsid w:val="00C5338F"/>
    <w:rsid w:val="00C53861"/>
    <w:rsid w:val="00C538C3"/>
    <w:rsid w:val="00C54B78"/>
    <w:rsid w:val="00C55576"/>
    <w:rsid w:val="00C55787"/>
    <w:rsid w:val="00C55AB6"/>
    <w:rsid w:val="00C55FF7"/>
    <w:rsid w:val="00C56008"/>
    <w:rsid w:val="00C56968"/>
    <w:rsid w:val="00C570EC"/>
    <w:rsid w:val="00C57986"/>
    <w:rsid w:val="00C605E8"/>
    <w:rsid w:val="00C6124C"/>
    <w:rsid w:val="00C626C4"/>
    <w:rsid w:val="00C62C35"/>
    <w:rsid w:val="00C63286"/>
    <w:rsid w:val="00C639E0"/>
    <w:rsid w:val="00C63AC0"/>
    <w:rsid w:val="00C63EC3"/>
    <w:rsid w:val="00C643A1"/>
    <w:rsid w:val="00C66309"/>
    <w:rsid w:val="00C6772D"/>
    <w:rsid w:val="00C677EA"/>
    <w:rsid w:val="00C71C89"/>
    <w:rsid w:val="00C723D7"/>
    <w:rsid w:val="00C72EB7"/>
    <w:rsid w:val="00C75A69"/>
    <w:rsid w:val="00C7618D"/>
    <w:rsid w:val="00C7668F"/>
    <w:rsid w:val="00C77CEE"/>
    <w:rsid w:val="00C810C0"/>
    <w:rsid w:val="00C81A9B"/>
    <w:rsid w:val="00C822AA"/>
    <w:rsid w:val="00C82FC6"/>
    <w:rsid w:val="00C83A1D"/>
    <w:rsid w:val="00C83BBA"/>
    <w:rsid w:val="00C84862"/>
    <w:rsid w:val="00C85D6A"/>
    <w:rsid w:val="00C86362"/>
    <w:rsid w:val="00C866DD"/>
    <w:rsid w:val="00C86A0B"/>
    <w:rsid w:val="00C86F58"/>
    <w:rsid w:val="00C90E8D"/>
    <w:rsid w:val="00C91B89"/>
    <w:rsid w:val="00C9240F"/>
    <w:rsid w:val="00C952D3"/>
    <w:rsid w:val="00C95832"/>
    <w:rsid w:val="00C95BAD"/>
    <w:rsid w:val="00C962DD"/>
    <w:rsid w:val="00C964EB"/>
    <w:rsid w:val="00C967B8"/>
    <w:rsid w:val="00CA0130"/>
    <w:rsid w:val="00CA032B"/>
    <w:rsid w:val="00CA08F0"/>
    <w:rsid w:val="00CA0A0D"/>
    <w:rsid w:val="00CA0BA4"/>
    <w:rsid w:val="00CA150F"/>
    <w:rsid w:val="00CA33A1"/>
    <w:rsid w:val="00CA33F1"/>
    <w:rsid w:val="00CA4296"/>
    <w:rsid w:val="00CA437F"/>
    <w:rsid w:val="00CA4593"/>
    <w:rsid w:val="00CA5F0E"/>
    <w:rsid w:val="00CA6D40"/>
    <w:rsid w:val="00CA6E7E"/>
    <w:rsid w:val="00CA7D54"/>
    <w:rsid w:val="00CB1931"/>
    <w:rsid w:val="00CB195A"/>
    <w:rsid w:val="00CB1D91"/>
    <w:rsid w:val="00CB230A"/>
    <w:rsid w:val="00CB242F"/>
    <w:rsid w:val="00CB2561"/>
    <w:rsid w:val="00CB3E7C"/>
    <w:rsid w:val="00CB436E"/>
    <w:rsid w:val="00CB5231"/>
    <w:rsid w:val="00CB5875"/>
    <w:rsid w:val="00CB5CDD"/>
    <w:rsid w:val="00CB6200"/>
    <w:rsid w:val="00CB6421"/>
    <w:rsid w:val="00CB6589"/>
    <w:rsid w:val="00CB6D8A"/>
    <w:rsid w:val="00CB778D"/>
    <w:rsid w:val="00CC0753"/>
    <w:rsid w:val="00CC334F"/>
    <w:rsid w:val="00CC348D"/>
    <w:rsid w:val="00CC360A"/>
    <w:rsid w:val="00CC3B6D"/>
    <w:rsid w:val="00CC51C4"/>
    <w:rsid w:val="00CC53EF"/>
    <w:rsid w:val="00CC5EDE"/>
    <w:rsid w:val="00CC6670"/>
    <w:rsid w:val="00CC770E"/>
    <w:rsid w:val="00CC78A3"/>
    <w:rsid w:val="00CC7E55"/>
    <w:rsid w:val="00CD020C"/>
    <w:rsid w:val="00CD1104"/>
    <w:rsid w:val="00CD132C"/>
    <w:rsid w:val="00CD1AD8"/>
    <w:rsid w:val="00CD1E2A"/>
    <w:rsid w:val="00CD2435"/>
    <w:rsid w:val="00CD2A44"/>
    <w:rsid w:val="00CD392F"/>
    <w:rsid w:val="00CD3B9F"/>
    <w:rsid w:val="00CD473E"/>
    <w:rsid w:val="00CD6344"/>
    <w:rsid w:val="00CD65F5"/>
    <w:rsid w:val="00CD65F6"/>
    <w:rsid w:val="00CD68EB"/>
    <w:rsid w:val="00CD6A83"/>
    <w:rsid w:val="00CD7289"/>
    <w:rsid w:val="00CD77FC"/>
    <w:rsid w:val="00CD7AEF"/>
    <w:rsid w:val="00CE0578"/>
    <w:rsid w:val="00CE0CDA"/>
    <w:rsid w:val="00CE0D46"/>
    <w:rsid w:val="00CE0FED"/>
    <w:rsid w:val="00CE1F96"/>
    <w:rsid w:val="00CE2BC8"/>
    <w:rsid w:val="00CE2EC9"/>
    <w:rsid w:val="00CE2FAC"/>
    <w:rsid w:val="00CE302A"/>
    <w:rsid w:val="00CE3305"/>
    <w:rsid w:val="00CE3D21"/>
    <w:rsid w:val="00CE3F53"/>
    <w:rsid w:val="00CE421D"/>
    <w:rsid w:val="00CE4DF4"/>
    <w:rsid w:val="00CE5700"/>
    <w:rsid w:val="00CE6812"/>
    <w:rsid w:val="00CE6933"/>
    <w:rsid w:val="00CE6B8E"/>
    <w:rsid w:val="00CE72B2"/>
    <w:rsid w:val="00CE7F2B"/>
    <w:rsid w:val="00CF0233"/>
    <w:rsid w:val="00CF1107"/>
    <w:rsid w:val="00CF1C1D"/>
    <w:rsid w:val="00CF222B"/>
    <w:rsid w:val="00CF2FAE"/>
    <w:rsid w:val="00CF3445"/>
    <w:rsid w:val="00CF347C"/>
    <w:rsid w:val="00CF3944"/>
    <w:rsid w:val="00CF471F"/>
    <w:rsid w:val="00CF55FA"/>
    <w:rsid w:val="00CF5CC6"/>
    <w:rsid w:val="00CF5D6C"/>
    <w:rsid w:val="00CF5E17"/>
    <w:rsid w:val="00CF6217"/>
    <w:rsid w:val="00CF6838"/>
    <w:rsid w:val="00CF689A"/>
    <w:rsid w:val="00CF7CB2"/>
    <w:rsid w:val="00D000A2"/>
    <w:rsid w:val="00D0071E"/>
    <w:rsid w:val="00D00B16"/>
    <w:rsid w:val="00D016BB"/>
    <w:rsid w:val="00D030FB"/>
    <w:rsid w:val="00D04CB7"/>
    <w:rsid w:val="00D0504A"/>
    <w:rsid w:val="00D06921"/>
    <w:rsid w:val="00D07461"/>
    <w:rsid w:val="00D075C4"/>
    <w:rsid w:val="00D07E23"/>
    <w:rsid w:val="00D1091E"/>
    <w:rsid w:val="00D10BD6"/>
    <w:rsid w:val="00D11684"/>
    <w:rsid w:val="00D11708"/>
    <w:rsid w:val="00D11E52"/>
    <w:rsid w:val="00D123C5"/>
    <w:rsid w:val="00D12DD1"/>
    <w:rsid w:val="00D1300F"/>
    <w:rsid w:val="00D14999"/>
    <w:rsid w:val="00D153F3"/>
    <w:rsid w:val="00D1569D"/>
    <w:rsid w:val="00D15F3E"/>
    <w:rsid w:val="00D16A25"/>
    <w:rsid w:val="00D17210"/>
    <w:rsid w:val="00D1726C"/>
    <w:rsid w:val="00D17D12"/>
    <w:rsid w:val="00D205D7"/>
    <w:rsid w:val="00D224FF"/>
    <w:rsid w:val="00D22EA8"/>
    <w:rsid w:val="00D23174"/>
    <w:rsid w:val="00D239C3"/>
    <w:rsid w:val="00D24E72"/>
    <w:rsid w:val="00D25F97"/>
    <w:rsid w:val="00D27B07"/>
    <w:rsid w:val="00D31272"/>
    <w:rsid w:val="00D31C73"/>
    <w:rsid w:val="00D341B4"/>
    <w:rsid w:val="00D34379"/>
    <w:rsid w:val="00D34E43"/>
    <w:rsid w:val="00D35406"/>
    <w:rsid w:val="00D35718"/>
    <w:rsid w:val="00D36B41"/>
    <w:rsid w:val="00D36BF3"/>
    <w:rsid w:val="00D3789F"/>
    <w:rsid w:val="00D37CBE"/>
    <w:rsid w:val="00D4060B"/>
    <w:rsid w:val="00D407CF"/>
    <w:rsid w:val="00D40D34"/>
    <w:rsid w:val="00D40EAB"/>
    <w:rsid w:val="00D41689"/>
    <w:rsid w:val="00D423A0"/>
    <w:rsid w:val="00D42752"/>
    <w:rsid w:val="00D437DF"/>
    <w:rsid w:val="00D449F2"/>
    <w:rsid w:val="00D45494"/>
    <w:rsid w:val="00D457EF"/>
    <w:rsid w:val="00D460A3"/>
    <w:rsid w:val="00D465E8"/>
    <w:rsid w:val="00D46C77"/>
    <w:rsid w:val="00D52904"/>
    <w:rsid w:val="00D5368B"/>
    <w:rsid w:val="00D53EFD"/>
    <w:rsid w:val="00D541B5"/>
    <w:rsid w:val="00D54719"/>
    <w:rsid w:val="00D550B6"/>
    <w:rsid w:val="00D554E7"/>
    <w:rsid w:val="00D55F6E"/>
    <w:rsid w:val="00D56922"/>
    <w:rsid w:val="00D56E20"/>
    <w:rsid w:val="00D57058"/>
    <w:rsid w:val="00D575FA"/>
    <w:rsid w:val="00D57EF1"/>
    <w:rsid w:val="00D607A4"/>
    <w:rsid w:val="00D60BE1"/>
    <w:rsid w:val="00D612D4"/>
    <w:rsid w:val="00D620FE"/>
    <w:rsid w:val="00D634BF"/>
    <w:rsid w:val="00D66EE3"/>
    <w:rsid w:val="00D671C8"/>
    <w:rsid w:val="00D73682"/>
    <w:rsid w:val="00D73803"/>
    <w:rsid w:val="00D73DA4"/>
    <w:rsid w:val="00D74328"/>
    <w:rsid w:val="00D752C0"/>
    <w:rsid w:val="00D76068"/>
    <w:rsid w:val="00D7620B"/>
    <w:rsid w:val="00D76269"/>
    <w:rsid w:val="00D76588"/>
    <w:rsid w:val="00D76AC7"/>
    <w:rsid w:val="00D76D59"/>
    <w:rsid w:val="00D7723E"/>
    <w:rsid w:val="00D77AF7"/>
    <w:rsid w:val="00D77E53"/>
    <w:rsid w:val="00D816A3"/>
    <w:rsid w:val="00D83968"/>
    <w:rsid w:val="00D83D34"/>
    <w:rsid w:val="00D84926"/>
    <w:rsid w:val="00D84D59"/>
    <w:rsid w:val="00D86CE6"/>
    <w:rsid w:val="00D8764B"/>
    <w:rsid w:val="00D90078"/>
    <w:rsid w:val="00D91273"/>
    <w:rsid w:val="00D923BF"/>
    <w:rsid w:val="00D92EC1"/>
    <w:rsid w:val="00D93406"/>
    <w:rsid w:val="00D93737"/>
    <w:rsid w:val="00D94502"/>
    <w:rsid w:val="00D945BA"/>
    <w:rsid w:val="00D94D40"/>
    <w:rsid w:val="00D965E8"/>
    <w:rsid w:val="00D96A07"/>
    <w:rsid w:val="00D973B7"/>
    <w:rsid w:val="00D97948"/>
    <w:rsid w:val="00D97A32"/>
    <w:rsid w:val="00DA0758"/>
    <w:rsid w:val="00DA07A3"/>
    <w:rsid w:val="00DA0A4D"/>
    <w:rsid w:val="00DA0C12"/>
    <w:rsid w:val="00DA1884"/>
    <w:rsid w:val="00DA20AD"/>
    <w:rsid w:val="00DA2D1B"/>
    <w:rsid w:val="00DA2D20"/>
    <w:rsid w:val="00DA322B"/>
    <w:rsid w:val="00DA47D5"/>
    <w:rsid w:val="00DA48FD"/>
    <w:rsid w:val="00DA4FBD"/>
    <w:rsid w:val="00DA5767"/>
    <w:rsid w:val="00DA5CC5"/>
    <w:rsid w:val="00DA64CD"/>
    <w:rsid w:val="00DA669C"/>
    <w:rsid w:val="00DA7145"/>
    <w:rsid w:val="00DA721B"/>
    <w:rsid w:val="00DA7607"/>
    <w:rsid w:val="00DA779B"/>
    <w:rsid w:val="00DA78D8"/>
    <w:rsid w:val="00DA7CCD"/>
    <w:rsid w:val="00DB0253"/>
    <w:rsid w:val="00DB058E"/>
    <w:rsid w:val="00DB12C8"/>
    <w:rsid w:val="00DB1A46"/>
    <w:rsid w:val="00DB3070"/>
    <w:rsid w:val="00DB30C9"/>
    <w:rsid w:val="00DB3570"/>
    <w:rsid w:val="00DB4053"/>
    <w:rsid w:val="00DB440F"/>
    <w:rsid w:val="00DB4B5C"/>
    <w:rsid w:val="00DB4E30"/>
    <w:rsid w:val="00DB5701"/>
    <w:rsid w:val="00DB6D0A"/>
    <w:rsid w:val="00DB74B6"/>
    <w:rsid w:val="00DB75DA"/>
    <w:rsid w:val="00DB7CBC"/>
    <w:rsid w:val="00DC185D"/>
    <w:rsid w:val="00DC25DF"/>
    <w:rsid w:val="00DC338A"/>
    <w:rsid w:val="00DC3EDA"/>
    <w:rsid w:val="00DC3FD2"/>
    <w:rsid w:val="00DC3FFF"/>
    <w:rsid w:val="00DC4334"/>
    <w:rsid w:val="00DC4877"/>
    <w:rsid w:val="00DC53DD"/>
    <w:rsid w:val="00DC580A"/>
    <w:rsid w:val="00DC63F3"/>
    <w:rsid w:val="00DC68BB"/>
    <w:rsid w:val="00DC6F68"/>
    <w:rsid w:val="00DC72EE"/>
    <w:rsid w:val="00DC7655"/>
    <w:rsid w:val="00DC7A37"/>
    <w:rsid w:val="00DD3D51"/>
    <w:rsid w:val="00DD4B3F"/>
    <w:rsid w:val="00DD5020"/>
    <w:rsid w:val="00DD561C"/>
    <w:rsid w:val="00DD5C85"/>
    <w:rsid w:val="00DD67CB"/>
    <w:rsid w:val="00DD6A4C"/>
    <w:rsid w:val="00DD7455"/>
    <w:rsid w:val="00DD7728"/>
    <w:rsid w:val="00DD7EF1"/>
    <w:rsid w:val="00DE0CEF"/>
    <w:rsid w:val="00DE10F9"/>
    <w:rsid w:val="00DE1CDE"/>
    <w:rsid w:val="00DE25E1"/>
    <w:rsid w:val="00DE45A8"/>
    <w:rsid w:val="00DE4B21"/>
    <w:rsid w:val="00DE6304"/>
    <w:rsid w:val="00DE68D3"/>
    <w:rsid w:val="00DE6AE9"/>
    <w:rsid w:val="00DE6B1A"/>
    <w:rsid w:val="00DE7190"/>
    <w:rsid w:val="00DF01DB"/>
    <w:rsid w:val="00DF1837"/>
    <w:rsid w:val="00DF28A9"/>
    <w:rsid w:val="00DF2AB9"/>
    <w:rsid w:val="00DF331C"/>
    <w:rsid w:val="00DF3644"/>
    <w:rsid w:val="00DF5640"/>
    <w:rsid w:val="00DF5C20"/>
    <w:rsid w:val="00DF6699"/>
    <w:rsid w:val="00DF737C"/>
    <w:rsid w:val="00DF7F58"/>
    <w:rsid w:val="00E00F6E"/>
    <w:rsid w:val="00E01516"/>
    <w:rsid w:val="00E01A2F"/>
    <w:rsid w:val="00E0287E"/>
    <w:rsid w:val="00E02D90"/>
    <w:rsid w:val="00E03B31"/>
    <w:rsid w:val="00E051CA"/>
    <w:rsid w:val="00E0647C"/>
    <w:rsid w:val="00E065FB"/>
    <w:rsid w:val="00E06FEA"/>
    <w:rsid w:val="00E073C2"/>
    <w:rsid w:val="00E11241"/>
    <w:rsid w:val="00E13489"/>
    <w:rsid w:val="00E13692"/>
    <w:rsid w:val="00E14D89"/>
    <w:rsid w:val="00E15500"/>
    <w:rsid w:val="00E1662C"/>
    <w:rsid w:val="00E17185"/>
    <w:rsid w:val="00E17413"/>
    <w:rsid w:val="00E1765F"/>
    <w:rsid w:val="00E178F0"/>
    <w:rsid w:val="00E20197"/>
    <w:rsid w:val="00E206EA"/>
    <w:rsid w:val="00E21165"/>
    <w:rsid w:val="00E21F2A"/>
    <w:rsid w:val="00E23360"/>
    <w:rsid w:val="00E23B23"/>
    <w:rsid w:val="00E23B70"/>
    <w:rsid w:val="00E23E32"/>
    <w:rsid w:val="00E2456B"/>
    <w:rsid w:val="00E24CD1"/>
    <w:rsid w:val="00E24EE1"/>
    <w:rsid w:val="00E255AD"/>
    <w:rsid w:val="00E255CB"/>
    <w:rsid w:val="00E26C64"/>
    <w:rsid w:val="00E27360"/>
    <w:rsid w:val="00E27AB4"/>
    <w:rsid w:val="00E27FCF"/>
    <w:rsid w:val="00E33352"/>
    <w:rsid w:val="00E337FC"/>
    <w:rsid w:val="00E33B53"/>
    <w:rsid w:val="00E33C03"/>
    <w:rsid w:val="00E35A3F"/>
    <w:rsid w:val="00E362C8"/>
    <w:rsid w:val="00E368F5"/>
    <w:rsid w:val="00E36F07"/>
    <w:rsid w:val="00E37CFD"/>
    <w:rsid w:val="00E37E1B"/>
    <w:rsid w:val="00E37FC4"/>
    <w:rsid w:val="00E4010D"/>
    <w:rsid w:val="00E40CA9"/>
    <w:rsid w:val="00E41103"/>
    <w:rsid w:val="00E411C1"/>
    <w:rsid w:val="00E41257"/>
    <w:rsid w:val="00E41730"/>
    <w:rsid w:val="00E42936"/>
    <w:rsid w:val="00E43159"/>
    <w:rsid w:val="00E438D0"/>
    <w:rsid w:val="00E44750"/>
    <w:rsid w:val="00E460B9"/>
    <w:rsid w:val="00E46693"/>
    <w:rsid w:val="00E475E3"/>
    <w:rsid w:val="00E476F3"/>
    <w:rsid w:val="00E47752"/>
    <w:rsid w:val="00E506C0"/>
    <w:rsid w:val="00E50DCB"/>
    <w:rsid w:val="00E5237F"/>
    <w:rsid w:val="00E52A78"/>
    <w:rsid w:val="00E5418E"/>
    <w:rsid w:val="00E546A3"/>
    <w:rsid w:val="00E5470C"/>
    <w:rsid w:val="00E56616"/>
    <w:rsid w:val="00E57225"/>
    <w:rsid w:val="00E578EA"/>
    <w:rsid w:val="00E579AD"/>
    <w:rsid w:val="00E579D9"/>
    <w:rsid w:val="00E57ABF"/>
    <w:rsid w:val="00E57DB6"/>
    <w:rsid w:val="00E60A40"/>
    <w:rsid w:val="00E60BD8"/>
    <w:rsid w:val="00E610D6"/>
    <w:rsid w:val="00E61E04"/>
    <w:rsid w:val="00E62545"/>
    <w:rsid w:val="00E634C2"/>
    <w:rsid w:val="00E63739"/>
    <w:rsid w:val="00E66945"/>
    <w:rsid w:val="00E66B54"/>
    <w:rsid w:val="00E676DB"/>
    <w:rsid w:val="00E67D53"/>
    <w:rsid w:val="00E71B89"/>
    <w:rsid w:val="00E721AA"/>
    <w:rsid w:val="00E72B7F"/>
    <w:rsid w:val="00E73E2C"/>
    <w:rsid w:val="00E7419E"/>
    <w:rsid w:val="00E7461E"/>
    <w:rsid w:val="00E75779"/>
    <w:rsid w:val="00E7627D"/>
    <w:rsid w:val="00E766C9"/>
    <w:rsid w:val="00E768E8"/>
    <w:rsid w:val="00E77754"/>
    <w:rsid w:val="00E810F6"/>
    <w:rsid w:val="00E81325"/>
    <w:rsid w:val="00E8136E"/>
    <w:rsid w:val="00E81A08"/>
    <w:rsid w:val="00E81A5C"/>
    <w:rsid w:val="00E82632"/>
    <w:rsid w:val="00E828F1"/>
    <w:rsid w:val="00E82B2E"/>
    <w:rsid w:val="00E83526"/>
    <w:rsid w:val="00E8364C"/>
    <w:rsid w:val="00E8422F"/>
    <w:rsid w:val="00E84BAC"/>
    <w:rsid w:val="00E84D1B"/>
    <w:rsid w:val="00E84D79"/>
    <w:rsid w:val="00E85980"/>
    <w:rsid w:val="00E87AF5"/>
    <w:rsid w:val="00E87F41"/>
    <w:rsid w:val="00E906DD"/>
    <w:rsid w:val="00E9095D"/>
    <w:rsid w:val="00E90E01"/>
    <w:rsid w:val="00E9137B"/>
    <w:rsid w:val="00E91925"/>
    <w:rsid w:val="00E91EFE"/>
    <w:rsid w:val="00E92775"/>
    <w:rsid w:val="00E935CF"/>
    <w:rsid w:val="00E968DD"/>
    <w:rsid w:val="00E97F1F"/>
    <w:rsid w:val="00EA10E9"/>
    <w:rsid w:val="00EA18E4"/>
    <w:rsid w:val="00EA1D4E"/>
    <w:rsid w:val="00EA2B54"/>
    <w:rsid w:val="00EA3918"/>
    <w:rsid w:val="00EA456A"/>
    <w:rsid w:val="00EA5A5B"/>
    <w:rsid w:val="00EA6727"/>
    <w:rsid w:val="00EA7647"/>
    <w:rsid w:val="00EA7E01"/>
    <w:rsid w:val="00EB2239"/>
    <w:rsid w:val="00EB2F8D"/>
    <w:rsid w:val="00EB37B7"/>
    <w:rsid w:val="00EB47D8"/>
    <w:rsid w:val="00EB49F2"/>
    <w:rsid w:val="00EB5D44"/>
    <w:rsid w:val="00EB613E"/>
    <w:rsid w:val="00EB66B7"/>
    <w:rsid w:val="00EB6B5B"/>
    <w:rsid w:val="00EB6C2B"/>
    <w:rsid w:val="00EB6E71"/>
    <w:rsid w:val="00EB7922"/>
    <w:rsid w:val="00EB7EB7"/>
    <w:rsid w:val="00EC0AEF"/>
    <w:rsid w:val="00EC12F2"/>
    <w:rsid w:val="00EC1FA5"/>
    <w:rsid w:val="00EC23DE"/>
    <w:rsid w:val="00EC3917"/>
    <w:rsid w:val="00EC4C4C"/>
    <w:rsid w:val="00EC749B"/>
    <w:rsid w:val="00EC77BE"/>
    <w:rsid w:val="00EC7E43"/>
    <w:rsid w:val="00ED03B0"/>
    <w:rsid w:val="00ED0A7D"/>
    <w:rsid w:val="00ED172A"/>
    <w:rsid w:val="00ED198F"/>
    <w:rsid w:val="00ED1F58"/>
    <w:rsid w:val="00ED2760"/>
    <w:rsid w:val="00ED2AED"/>
    <w:rsid w:val="00ED3323"/>
    <w:rsid w:val="00ED58D9"/>
    <w:rsid w:val="00ED6024"/>
    <w:rsid w:val="00ED6332"/>
    <w:rsid w:val="00ED6AC5"/>
    <w:rsid w:val="00ED6F65"/>
    <w:rsid w:val="00ED7E1C"/>
    <w:rsid w:val="00EE0006"/>
    <w:rsid w:val="00EE0D80"/>
    <w:rsid w:val="00EE0DCF"/>
    <w:rsid w:val="00EE1437"/>
    <w:rsid w:val="00EE143C"/>
    <w:rsid w:val="00EE1F93"/>
    <w:rsid w:val="00EE32CC"/>
    <w:rsid w:val="00EE3326"/>
    <w:rsid w:val="00EE38BF"/>
    <w:rsid w:val="00EE3E8E"/>
    <w:rsid w:val="00EE5252"/>
    <w:rsid w:val="00EE5785"/>
    <w:rsid w:val="00EE5D30"/>
    <w:rsid w:val="00EE60BB"/>
    <w:rsid w:val="00EF0A2D"/>
    <w:rsid w:val="00EF1BE7"/>
    <w:rsid w:val="00EF2487"/>
    <w:rsid w:val="00EF2F13"/>
    <w:rsid w:val="00EF3104"/>
    <w:rsid w:val="00EF3C04"/>
    <w:rsid w:val="00EF427D"/>
    <w:rsid w:val="00EF4D5A"/>
    <w:rsid w:val="00EF5F6B"/>
    <w:rsid w:val="00EF6596"/>
    <w:rsid w:val="00EF69F4"/>
    <w:rsid w:val="00EF6CAD"/>
    <w:rsid w:val="00EF7179"/>
    <w:rsid w:val="00EF770C"/>
    <w:rsid w:val="00F00521"/>
    <w:rsid w:val="00F007BC"/>
    <w:rsid w:val="00F0181A"/>
    <w:rsid w:val="00F01958"/>
    <w:rsid w:val="00F0217F"/>
    <w:rsid w:val="00F03288"/>
    <w:rsid w:val="00F03D4A"/>
    <w:rsid w:val="00F04E84"/>
    <w:rsid w:val="00F058F5"/>
    <w:rsid w:val="00F05C5D"/>
    <w:rsid w:val="00F05C96"/>
    <w:rsid w:val="00F06067"/>
    <w:rsid w:val="00F0607D"/>
    <w:rsid w:val="00F06254"/>
    <w:rsid w:val="00F062DA"/>
    <w:rsid w:val="00F06618"/>
    <w:rsid w:val="00F068FF"/>
    <w:rsid w:val="00F07DD9"/>
    <w:rsid w:val="00F10637"/>
    <w:rsid w:val="00F122A0"/>
    <w:rsid w:val="00F145BC"/>
    <w:rsid w:val="00F15EAB"/>
    <w:rsid w:val="00F15EFB"/>
    <w:rsid w:val="00F165C6"/>
    <w:rsid w:val="00F17074"/>
    <w:rsid w:val="00F1758F"/>
    <w:rsid w:val="00F2005C"/>
    <w:rsid w:val="00F202F9"/>
    <w:rsid w:val="00F2061A"/>
    <w:rsid w:val="00F233B5"/>
    <w:rsid w:val="00F24B1C"/>
    <w:rsid w:val="00F25338"/>
    <w:rsid w:val="00F25A94"/>
    <w:rsid w:val="00F262DA"/>
    <w:rsid w:val="00F26417"/>
    <w:rsid w:val="00F27645"/>
    <w:rsid w:val="00F27EED"/>
    <w:rsid w:val="00F27FDB"/>
    <w:rsid w:val="00F301C4"/>
    <w:rsid w:val="00F314E6"/>
    <w:rsid w:val="00F31A8F"/>
    <w:rsid w:val="00F31D06"/>
    <w:rsid w:val="00F3342C"/>
    <w:rsid w:val="00F3363E"/>
    <w:rsid w:val="00F3377E"/>
    <w:rsid w:val="00F33B1D"/>
    <w:rsid w:val="00F33B92"/>
    <w:rsid w:val="00F33DA7"/>
    <w:rsid w:val="00F34229"/>
    <w:rsid w:val="00F34282"/>
    <w:rsid w:val="00F3476A"/>
    <w:rsid w:val="00F349A3"/>
    <w:rsid w:val="00F34AF9"/>
    <w:rsid w:val="00F36175"/>
    <w:rsid w:val="00F36530"/>
    <w:rsid w:val="00F372A5"/>
    <w:rsid w:val="00F372FF"/>
    <w:rsid w:val="00F3775F"/>
    <w:rsid w:val="00F37924"/>
    <w:rsid w:val="00F4108E"/>
    <w:rsid w:val="00F41ECF"/>
    <w:rsid w:val="00F42138"/>
    <w:rsid w:val="00F42465"/>
    <w:rsid w:val="00F4262F"/>
    <w:rsid w:val="00F42CD1"/>
    <w:rsid w:val="00F4386F"/>
    <w:rsid w:val="00F43F96"/>
    <w:rsid w:val="00F44A7F"/>
    <w:rsid w:val="00F45A7B"/>
    <w:rsid w:val="00F45C80"/>
    <w:rsid w:val="00F461E0"/>
    <w:rsid w:val="00F477A5"/>
    <w:rsid w:val="00F47991"/>
    <w:rsid w:val="00F51CEE"/>
    <w:rsid w:val="00F537FC"/>
    <w:rsid w:val="00F538C6"/>
    <w:rsid w:val="00F541DA"/>
    <w:rsid w:val="00F54623"/>
    <w:rsid w:val="00F55BBB"/>
    <w:rsid w:val="00F5635E"/>
    <w:rsid w:val="00F579CF"/>
    <w:rsid w:val="00F600B2"/>
    <w:rsid w:val="00F600E3"/>
    <w:rsid w:val="00F611F2"/>
    <w:rsid w:val="00F61BCF"/>
    <w:rsid w:val="00F620A3"/>
    <w:rsid w:val="00F62764"/>
    <w:rsid w:val="00F62BE9"/>
    <w:rsid w:val="00F62D41"/>
    <w:rsid w:val="00F62E5E"/>
    <w:rsid w:val="00F63337"/>
    <w:rsid w:val="00F64848"/>
    <w:rsid w:val="00F66EC9"/>
    <w:rsid w:val="00F70FBC"/>
    <w:rsid w:val="00F71707"/>
    <w:rsid w:val="00F72517"/>
    <w:rsid w:val="00F7337E"/>
    <w:rsid w:val="00F73936"/>
    <w:rsid w:val="00F74EA0"/>
    <w:rsid w:val="00F7554B"/>
    <w:rsid w:val="00F75E2D"/>
    <w:rsid w:val="00F76CCA"/>
    <w:rsid w:val="00F76F3D"/>
    <w:rsid w:val="00F7713B"/>
    <w:rsid w:val="00F80220"/>
    <w:rsid w:val="00F80284"/>
    <w:rsid w:val="00F80526"/>
    <w:rsid w:val="00F80C15"/>
    <w:rsid w:val="00F81505"/>
    <w:rsid w:val="00F81942"/>
    <w:rsid w:val="00F82703"/>
    <w:rsid w:val="00F8310C"/>
    <w:rsid w:val="00F834EB"/>
    <w:rsid w:val="00F8469B"/>
    <w:rsid w:val="00F84D3E"/>
    <w:rsid w:val="00F8568A"/>
    <w:rsid w:val="00F86CE9"/>
    <w:rsid w:val="00F87062"/>
    <w:rsid w:val="00F87154"/>
    <w:rsid w:val="00F8779D"/>
    <w:rsid w:val="00F878E3"/>
    <w:rsid w:val="00F87A1F"/>
    <w:rsid w:val="00F9163C"/>
    <w:rsid w:val="00F91E33"/>
    <w:rsid w:val="00F91FC7"/>
    <w:rsid w:val="00F92426"/>
    <w:rsid w:val="00F9426F"/>
    <w:rsid w:val="00F9467D"/>
    <w:rsid w:val="00F94B51"/>
    <w:rsid w:val="00F94F57"/>
    <w:rsid w:val="00F95677"/>
    <w:rsid w:val="00F956C8"/>
    <w:rsid w:val="00F95D43"/>
    <w:rsid w:val="00F9625E"/>
    <w:rsid w:val="00F974EC"/>
    <w:rsid w:val="00F97E58"/>
    <w:rsid w:val="00FA09FA"/>
    <w:rsid w:val="00FA1166"/>
    <w:rsid w:val="00FA15E3"/>
    <w:rsid w:val="00FA368B"/>
    <w:rsid w:val="00FA5872"/>
    <w:rsid w:val="00FA58AA"/>
    <w:rsid w:val="00FA6A76"/>
    <w:rsid w:val="00FA6F63"/>
    <w:rsid w:val="00FA78E0"/>
    <w:rsid w:val="00FA7BAD"/>
    <w:rsid w:val="00FB064D"/>
    <w:rsid w:val="00FB0C8D"/>
    <w:rsid w:val="00FB0E8A"/>
    <w:rsid w:val="00FB245F"/>
    <w:rsid w:val="00FB3570"/>
    <w:rsid w:val="00FB3A31"/>
    <w:rsid w:val="00FB3E10"/>
    <w:rsid w:val="00FB436A"/>
    <w:rsid w:val="00FB477C"/>
    <w:rsid w:val="00FB486A"/>
    <w:rsid w:val="00FB49AF"/>
    <w:rsid w:val="00FB4D50"/>
    <w:rsid w:val="00FB5996"/>
    <w:rsid w:val="00FB5E6C"/>
    <w:rsid w:val="00FB5F7F"/>
    <w:rsid w:val="00FB6370"/>
    <w:rsid w:val="00FB7944"/>
    <w:rsid w:val="00FB7BBA"/>
    <w:rsid w:val="00FB7D62"/>
    <w:rsid w:val="00FC0B24"/>
    <w:rsid w:val="00FC169E"/>
    <w:rsid w:val="00FC3844"/>
    <w:rsid w:val="00FC435B"/>
    <w:rsid w:val="00FC4644"/>
    <w:rsid w:val="00FC47AB"/>
    <w:rsid w:val="00FC4808"/>
    <w:rsid w:val="00FC4F92"/>
    <w:rsid w:val="00FC7133"/>
    <w:rsid w:val="00FD0742"/>
    <w:rsid w:val="00FD0955"/>
    <w:rsid w:val="00FD1200"/>
    <w:rsid w:val="00FD1372"/>
    <w:rsid w:val="00FD1C0A"/>
    <w:rsid w:val="00FD1C84"/>
    <w:rsid w:val="00FD2430"/>
    <w:rsid w:val="00FD251A"/>
    <w:rsid w:val="00FD2A32"/>
    <w:rsid w:val="00FD2BE7"/>
    <w:rsid w:val="00FD33B4"/>
    <w:rsid w:val="00FD33F0"/>
    <w:rsid w:val="00FD38B4"/>
    <w:rsid w:val="00FD3C2A"/>
    <w:rsid w:val="00FD3F3F"/>
    <w:rsid w:val="00FD47C6"/>
    <w:rsid w:val="00FD4C91"/>
    <w:rsid w:val="00FD4FB7"/>
    <w:rsid w:val="00FD5FDF"/>
    <w:rsid w:val="00FD6A36"/>
    <w:rsid w:val="00FD721A"/>
    <w:rsid w:val="00FD780C"/>
    <w:rsid w:val="00FD7AF7"/>
    <w:rsid w:val="00FD7CEC"/>
    <w:rsid w:val="00FE0463"/>
    <w:rsid w:val="00FE08AC"/>
    <w:rsid w:val="00FE0BB0"/>
    <w:rsid w:val="00FE12FF"/>
    <w:rsid w:val="00FE1874"/>
    <w:rsid w:val="00FE19F2"/>
    <w:rsid w:val="00FE365E"/>
    <w:rsid w:val="00FE4664"/>
    <w:rsid w:val="00FE76B5"/>
    <w:rsid w:val="00FE7F2B"/>
    <w:rsid w:val="00FF13B8"/>
    <w:rsid w:val="00FF206E"/>
    <w:rsid w:val="00FF2B9D"/>
    <w:rsid w:val="00FF2F76"/>
    <w:rsid w:val="00FF3814"/>
    <w:rsid w:val="00FF488C"/>
    <w:rsid w:val="00FF4C04"/>
    <w:rsid w:val="00FF4CA1"/>
    <w:rsid w:val="00FF4D99"/>
    <w:rsid w:val="00FF5026"/>
    <w:rsid w:val="00FF5033"/>
    <w:rsid w:val="00FF52F8"/>
    <w:rsid w:val="00FF6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7745F"/>
  <w15:docId w15:val="{CEDFB5BA-C558-44A0-AC03-198A10A48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0F6E"/>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rsid w:val="00E00F6E"/>
    <w:pPr>
      <w:keepNext/>
      <w:jc w:val="center"/>
      <w:outlineLvl w:val="0"/>
    </w:pPr>
    <w:rPr>
      <w:b/>
    </w:rPr>
  </w:style>
  <w:style w:type="paragraph" w:styleId="Heading2">
    <w:name w:val="heading 2"/>
    <w:basedOn w:val="Normal"/>
    <w:next w:val="Normal"/>
    <w:link w:val="Heading2Char"/>
    <w:qFormat/>
    <w:rsid w:val="00E00F6E"/>
    <w:pPr>
      <w:keepNext/>
      <w:jc w:val="center"/>
      <w:outlineLvl w:val="1"/>
    </w:pPr>
    <w:rPr>
      <w:b/>
      <w:sz w:val="28"/>
    </w:rPr>
  </w:style>
  <w:style w:type="paragraph" w:styleId="Heading3">
    <w:name w:val="heading 3"/>
    <w:basedOn w:val="Normal"/>
    <w:next w:val="Normal"/>
    <w:link w:val="Heading3Char"/>
    <w:uiPriority w:val="9"/>
    <w:unhideWhenUsed/>
    <w:qFormat/>
    <w:rsid w:val="004E4E1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0F6E"/>
    <w:rPr>
      <w:rFonts w:ascii="Times New Roman" w:eastAsia="Times New Roman" w:hAnsi="Times New Roman" w:cs="Times New Roman"/>
      <w:b/>
      <w:sz w:val="26"/>
      <w:szCs w:val="20"/>
    </w:rPr>
  </w:style>
  <w:style w:type="character" w:customStyle="1" w:styleId="Heading2Char">
    <w:name w:val="Heading 2 Char"/>
    <w:basedOn w:val="DefaultParagraphFont"/>
    <w:link w:val="Heading2"/>
    <w:rsid w:val="00E00F6E"/>
    <w:rPr>
      <w:rFonts w:ascii="Times New Roman" w:eastAsia="Times New Roman" w:hAnsi="Times New Roman" w:cs="Times New Roman"/>
      <w:b/>
      <w:sz w:val="28"/>
      <w:szCs w:val="20"/>
    </w:rPr>
  </w:style>
  <w:style w:type="paragraph" w:styleId="Title">
    <w:name w:val="Title"/>
    <w:basedOn w:val="Normal"/>
    <w:link w:val="TitleChar"/>
    <w:qFormat/>
    <w:rsid w:val="00E00F6E"/>
    <w:pPr>
      <w:jc w:val="center"/>
    </w:pPr>
    <w:rPr>
      <w:b/>
    </w:rPr>
  </w:style>
  <w:style w:type="character" w:customStyle="1" w:styleId="TitleChar">
    <w:name w:val="Title Char"/>
    <w:basedOn w:val="DefaultParagraphFont"/>
    <w:link w:val="Title"/>
    <w:rsid w:val="00E00F6E"/>
    <w:rPr>
      <w:rFonts w:ascii="Times New Roman" w:eastAsia="Times New Roman" w:hAnsi="Times New Roman" w:cs="Times New Roman"/>
      <w:b/>
      <w:sz w:val="26"/>
      <w:szCs w:val="20"/>
    </w:rPr>
  </w:style>
  <w:style w:type="character" w:styleId="Hyperlink">
    <w:name w:val="Hyperlink"/>
    <w:basedOn w:val="DefaultParagraphFont"/>
    <w:rsid w:val="00567496"/>
    <w:rPr>
      <w:color w:val="0000FF"/>
      <w:u w:val="single"/>
    </w:rPr>
  </w:style>
  <w:style w:type="paragraph" w:styleId="FootnoteText">
    <w:name w:val="footnote text"/>
    <w:aliases w:val="Car,Footnote Text Char1,Footnote Text Char Char,Footnote Text Char1 Char Char,Footnote Text Char Char Char Char,Footnote Text Char1 Char Char Char Char,Footnote Text Char Char Char Char Char Char1,ALTS FOOTNOTE,fn,Footnote Text 2"/>
    <w:basedOn w:val="Normal"/>
    <w:link w:val="FootnoteTextChar"/>
    <w:uiPriority w:val="99"/>
    <w:qFormat/>
    <w:rsid w:val="00567496"/>
    <w:rPr>
      <w:sz w:val="20"/>
    </w:rPr>
  </w:style>
  <w:style w:type="character" w:customStyle="1" w:styleId="FootnoteTextChar">
    <w:name w:val="Footnote Text Char"/>
    <w:aliases w:val="Car Char,Footnote Text Char1 Char,Footnote Text Char Char Char,Footnote Text Char1 Char Char Char,Footnote Text Char Char Char Char Char,Footnote Text Char1 Char Char Char Char Char,Footnote Text Char Char Char Char Char Char1 Char"/>
    <w:basedOn w:val="DefaultParagraphFont"/>
    <w:link w:val="FootnoteText"/>
    <w:uiPriority w:val="99"/>
    <w:rsid w:val="00567496"/>
    <w:rPr>
      <w:rFonts w:ascii="Times New Roman" w:eastAsia="Times New Roman" w:hAnsi="Times New Roman" w:cs="Times New Roman"/>
      <w:sz w:val="20"/>
      <w:szCs w:val="20"/>
    </w:rPr>
  </w:style>
  <w:style w:type="character" w:styleId="FootnoteReference">
    <w:name w:val="footnote reference"/>
    <w:aliases w:val="o,fr,Style 6,Style 20,Appel note de bas de p,Style 8,Style 7,Style 3,Style 17,Style 19"/>
    <w:basedOn w:val="DefaultParagraphFont"/>
    <w:uiPriority w:val="99"/>
    <w:rsid w:val="00567496"/>
    <w:rPr>
      <w:vertAlign w:val="superscript"/>
    </w:rPr>
  </w:style>
  <w:style w:type="paragraph" w:styleId="BodyText3">
    <w:name w:val="Body Text 3"/>
    <w:basedOn w:val="Normal"/>
    <w:link w:val="BodyText3Char"/>
    <w:rsid w:val="00745E48"/>
    <w:pPr>
      <w:spacing w:after="120"/>
    </w:pPr>
    <w:rPr>
      <w:sz w:val="16"/>
      <w:szCs w:val="16"/>
    </w:rPr>
  </w:style>
  <w:style w:type="character" w:customStyle="1" w:styleId="BodyText3Char">
    <w:name w:val="Body Text 3 Char"/>
    <w:basedOn w:val="DefaultParagraphFont"/>
    <w:link w:val="BodyText3"/>
    <w:rsid w:val="00745E48"/>
    <w:rPr>
      <w:rFonts w:ascii="Times New Roman" w:eastAsia="Times New Roman" w:hAnsi="Times New Roman" w:cs="Times New Roman"/>
      <w:sz w:val="16"/>
      <w:szCs w:val="16"/>
    </w:rPr>
  </w:style>
  <w:style w:type="character" w:styleId="Emphasis">
    <w:name w:val="Emphasis"/>
    <w:basedOn w:val="DefaultParagraphFont"/>
    <w:qFormat/>
    <w:rsid w:val="00C56968"/>
    <w:rPr>
      <w:i/>
      <w:iCs/>
    </w:rPr>
  </w:style>
  <w:style w:type="paragraph" w:styleId="BlockText">
    <w:name w:val="Block Text"/>
    <w:basedOn w:val="Normal"/>
    <w:rsid w:val="00C56968"/>
    <w:pPr>
      <w:widowControl w:val="0"/>
      <w:tabs>
        <w:tab w:val="left" w:pos="-720"/>
      </w:tabs>
      <w:spacing w:line="360" w:lineRule="auto"/>
      <w:ind w:left="1440" w:right="2160"/>
    </w:pPr>
  </w:style>
  <w:style w:type="character" w:customStyle="1" w:styleId="Heading3Char">
    <w:name w:val="Heading 3 Char"/>
    <w:basedOn w:val="DefaultParagraphFont"/>
    <w:link w:val="Heading3"/>
    <w:uiPriority w:val="9"/>
    <w:rsid w:val="004E4E16"/>
    <w:rPr>
      <w:rFonts w:asciiTheme="majorHAnsi" w:eastAsiaTheme="majorEastAsia" w:hAnsiTheme="majorHAnsi" w:cstheme="majorBidi"/>
      <w:b/>
      <w:bCs/>
      <w:color w:val="4F81BD" w:themeColor="accent1"/>
      <w:sz w:val="26"/>
      <w:szCs w:val="20"/>
    </w:rPr>
  </w:style>
  <w:style w:type="paragraph" w:styleId="BodyText">
    <w:name w:val="Body Text"/>
    <w:basedOn w:val="Normal"/>
    <w:link w:val="BodyTextChar"/>
    <w:uiPriority w:val="99"/>
    <w:unhideWhenUsed/>
    <w:rsid w:val="00DD4B3F"/>
    <w:pPr>
      <w:spacing w:after="120"/>
    </w:pPr>
  </w:style>
  <w:style w:type="character" w:customStyle="1" w:styleId="BodyTextChar">
    <w:name w:val="Body Text Char"/>
    <w:basedOn w:val="DefaultParagraphFont"/>
    <w:link w:val="BodyText"/>
    <w:uiPriority w:val="99"/>
    <w:rsid w:val="00DD4B3F"/>
    <w:rPr>
      <w:rFonts w:ascii="Times New Roman" w:eastAsia="Times New Roman" w:hAnsi="Times New Roman" w:cs="Times New Roman"/>
      <w:sz w:val="26"/>
      <w:szCs w:val="20"/>
    </w:rPr>
  </w:style>
  <w:style w:type="paragraph" w:styleId="ListParagraph">
    <w:name w:val="List Paragraph"/>
    <w:basedOn w:val="Normal"/>
    <w:uiPriority w:val="34"/>
    <w:qFormat/>
    <w:rsid w:val="00DC7655"/>
    <w:pPr>
      <w:ind w:left="720"/>
      <w:contextualSpacing/>
    </w:pPr>
  </w:style>
  <w:style w:type="paragraph" w:styleId="BalloonText">
    <w:name w:val="Balloon Text"/>
    <w:basedOn w:val="Normal"/>
    <w:link w:val="BalloonTextChar"/>
    <w:uiPriority w:val="99"/>
    <w:semiHidden/>
    <w:unhideWhenUsed/>
    <w:rsid w:val="002F3676"/>
    <w:rPr>
      <w:rFonts w:ascii="Tahoma" w:hAnsi="Tahoma" w:cs="Tahoma"/>
      <w:sz w:val="16"/>
      <w:szCs w:val="16"/>
    </w:rPr>
  </w:style>
  <w:style w:type="character" w:customStyle="1" w:styleId="BalloonTextChar">
    <w:name w:val="Balloon Text Char"/>
    <w:basedOn w:val="DefaultParagraphFont"/>
    <w:link w:val="BalloonText"/>
    <w:uiPriority w:val="99"/>
    <w:semiHidden/>
    <w:rsid w:val="002F3676"/>
    <w:rPr>
      <w:rFonts w:ascii="Tahoma" w:eastAsia="Times New Roman" w:hAnsi="Tahoma" w:cs="Tahoma"/>
      <w:sz w:val="16"/>
      <w:szCs w:val="16"/>
    </w:rPr>
  </w:style>
  <w:style w:type="paragraph" w:styleId="Header">
    <w:name w:val="header"/>
    <w:basedOn w:val="Normal"/>
    <w:link w:val="HeaderChar"/>
    <w:uiPriority w:val="99"/>
    <w:unhideWhenUsed/>
    <w:rsid w:val="00B0428F"/>
    <w:pPr>
      <w:tabs>
        <w:tab w:val="center" w:pos="4680"/>
        <w:tab w:val="right" w:pos="9360"/>
      </w:tabs>
    </w:pPr>
  </w:style>
  <w:style w:type="character" w:customStyle="1" w:styleId="HeaderChar">
    <w:name w:val="Header Char"/>
    <w:basedOn w:val="DefaultParagraphFont"/>
    <w:link w:val="Header"/>
    <w:uiPriority w:val="99"/>
    <w:rsid w:val="00B0428F"/>
    <w:rPr>
      <w:rFonts w:ascii="Times New Roman" w:eastAsia="Times New Roman" w:hAnsi="Times New Roman" w:cs="Times New Roman"/>
      <w:sz w:val="26"/>
      <w:szCs w:val="20"/>
    </w:rPr>
  </w:style>
  <w:style w:type="paragraph" w:styleId="Footer">
    <w:name w:val="footer"/>
    <w:basedOn w:val="Normal"/>
    <w:link w:val="FooterChar"/>
    <w:uiPriority w:val="99"/>
    <w:unhideWhenUsed/>
    <w:rsid w:val="00B0428F"/>
    <w:pPr>
      <w:tabs>
        <w:tab w:val="center" w:pos="4680"/>
        <w:tab w:val="right" w:pos="9360"/>
      </w:tabs>
    </w:pPr>
  </w:style>
  <w:style w:type="character" w:customStyle="1" w:styleId="FooterChar">
    <w:name w:val="Footer Char"/>
    <w:basedOn w:val="DefaultParagraphFont"/>
    <w:link w:val="Footer"/>
    <w:uiPriority w:val="99"/>
    <w:rsid w:val="00B0428F"/>
    <w:rPr>
      <w:rFonts w:ascii="Times New Roman" w:eastAsia="Times New Roman" w:hAnsi="Times New Roman" w:cs="Times New Roman"/>
      <w:sz w:val="26"/>
      <w:szCs w:val="20"/>
    </w:rPr>
  </w:style>
  <w:style w:type="paragraph" w:styleId="NormalWeb">
    <w:name w:val="Normal (Web)"/>
    <w:basedOn w:val="Normal"/>
    <w:uiPriority w:val="99"/>
    <w:unhideWhenUsed/>
    <w:rsid w:val="001172E7"/>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022EC2"/>
    <w:rPr>
      <w:sz w:val="16"/>
      <w:szCs w:val="16"/>
    </w:rPr>
  </w:style>
  <w:style w:type="paragraph" w:styleId="CommentText">
    <w:name w:val="annotation text"/>
    <w:basedOn w:val="Normal"/>
    <w:link w:val="CommentTextChar"/>
    <w:uiPriority w:val="99"/>
    <w:semiHidden/>
    <w:unhideWhenUsed/>
    <w:rsid w:val="00022EC2"/>
    <w:rPr>
      <w:sz w:val="20"/>
    </w:rPr>
  </w:style>
  <w:style w:type="character" w:customStyle="1" w:styleId="CommentTextChar">
    <w:name w:val="Comment Text Char"/>
    <w:basedOn w:val="DefaultParagraphFont"/>
    <w:link w:val="CommentText"/>
    <w:uiPriority w:val="99"/>
    <w:semiHidden/>
    <w:rsid w:val="00022E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22EC2"/>
    <w:rPr>
      <w:b/>
      <w:bCs/>
    </w:rPr>
  </w:style>
  <w:style w:type="character" w:customStyle="1" w:styleId="CommentSubjectChar">
    <w:name w:val="Comment Subject Char"/>
    <w:basedOn w:val="CommentTextChar"/>
    <w:link w:val="CommentSubject"/>
    <w:uiPriority w:val="99"/>
    <w:semiHidden/>
    <w:rsid w:val="00022EC2"/>
    <w:rPr>
      <w:rFonts w:ascii="Times New Roman" w:eastAsia="Times New Roman" w:hAnsi="Times New Roman" w:cs="Times New Roman"/>
      <w:b/>
      <w:bCs/>
      <w:sz w:val="20"/>
      <w:szCs w:val="20"/>
    </w:rPr>
  </w:style>
  <w:style w:type="paragraph" w:customStyle="1" w:styleId="ParaTab1">
    <w:name w:val="ParaTab 1"/>
    <w:rsid w:val="003F18FC"/>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customStyle="1" w:styleId="Default">
    <w:name w:val="Default"/>
    <w:rsid w:val="00D4549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822777">
      <w:bodyDiv w:val="1"/>
      <w:marLeft w:val="0"/>
      <w:marRight w:val="0"/>
      <w:marTop w:val="0"/>
      <w:marBottom w:val="0"/>
      <w:divBdr>
        <w:top w:val="none" w:sz="0" w:space="0" w:color="auto"/>
        <w:left w:val="none" w:sz="0" w:space="0" w:color="auto"/>
        <w:bottom w:val="none" w:sz="0" w:space="0" w:color="auto"/>
        <w:right w:val="none" w:sz="0" w:space="0" w:color="auto"/>
      </w:divBdr>
    </w:div>
    <w:div w:id="885213464">
      <w:bodyDiv w:val="1"/>
      <w:marLeft w:val="0"/>
      <w:marRight w:val="0"/>
      <w:marTop w:val="0"/>
      <w:marBottom w:val="0"/>
      <w:divBdr>
        <w:top w:val="none" w:sz="0" w:space="0" w:color="auto"/>
        <w:left w:val="none" w:sz="0" w:space="0" w:color="auto"/>
        <w:bottom w:val="none" w:sz="0" w:space="0" w:color="auto"/>
        <w:right w:val="none" w:sz="0" w:space="0" w:color="auto"/>
      </w:divBdr>
    </w:div>
    <w:div w:id="1321033441">
      <w:bodyDiv w:val="1"/>
      <w:marLeft w:val="0"/>
      <w:marRight w:val="0"/>
      <w:marTop w:val="0"/>
      <w:marBottom w:val="0"/>
      <w:divBdr>
        <w:top w:val="none" w:sz="0" w:space="0" w:color="auto"/>
        <w:left w:val="none" w:sz="0" w:space="0" w:color="auto"/>
        <w:bottom w:val="none" w:sz="0" w:space="0" w:color="auto"/>
        <w:right w:val="none" w:sz="0" w:space="0" w:color="auto"/>
      </w:divBdr>
      <w:divsChild>
        <w:div w:id="1331450394">
          <w:marLeft w:val="150"/>
          <w:marRight w:val="150"/>
          <w:marTop w:val="150"/>
          <w:marBottom w:val="150"/>
          <w:divBdr>
            <w:top w:val="none" w:sz="0" w:space="0" w:color="auto"/>
            <w:left w:val="none" w:sz="0" w:space="0" w:color="auto"/>
            <w:bottom w:val="none" w:sz="0" w:space="0" w:color="auto"/>
            <w:right w:val="none" w:sz="0" w:space="0" w:color="auto"/>
          </w:divBdr>
          <w:divsChild>
            <w:div w:id="1234704558">
              <w:marLeft w:val="0"/>
              <w:marRight w:val="0"/>
              <w:marTop w:val="0"/>
              <w:marBottom w:val="0"/>
              <w:divBdr>
                <w:top w:val="none" w:sz="0" w:space="0" w:color="auto"/>
                <w:left w:val="none" w:sz="0" w:space="0" w:color="auto"/>
                <w:bottom w:val="none" w:sz="0" w:space="0" w:color="auto"/>
                <w:right w:val="none" w:sz="0" w:space="0" w:color="auto"/>
              </w:divBdr>
              <w:divsChild>
                <w:div w:id="1638216406">
                  <w:marLeft w:val="0"/>
                  <w:marRight w:val="0"/>
                  <w:marTop w:val="0"/>
                  <w:marBottom w:val="0"/>
                  <w:divBdr>
                    <w:top w:val="none" w:sz="0" w:space="0" w:color="auto"/>
                    <w:left w:val="none" w:sz="0" w:space="0" w:color="auto"/>
                    <w:bottom w:val="none" w:sz="0" w:space="0" w:color="auto"/>
                    <w:right w:val="none" w:sz="0" w:space="0" w:color="auto"/>
                  </w:divBdr>
                  <w:divsChild>
                    <w:div w:id="149136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113129">
      <w:bodyDiv w:val="1"/>
      <w:marLeft w:val="0"/>
      <w:marRight w:val="0"/>
      <w:marTop w:val="0"/>
      <w:marBottom w:val="0"/>
      <w:divBdr>
        <w:top w:val="none" w:sz="0" w:space="0" w:color="auto"/>
        <w:left w:val="none" w:sz="0" w:space="0" w:color="auto"/>
        <w:bottom w:val="none" w:sz="0" w:space="0" w:color="auto"/>
        <w:right w:val="none" w:sz="0" w:space="0" w:color="auto"/>
      </w:divBdr>
      <w:divsChild>
        <w:div w:id="17350038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604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B29AB-DB7D-4609-85B8-F009B426A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3504</Words>
  <Characters>19975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kywilliams</dc:creator>
  <cp:lastModifiedBy>Wagner, Nathan R</cp:lastModifiedBy>
  <cp:revision>3</cp:revision>
  <cp:lastPrinted>2015-07-29T14:11:00Z</cp:lastPrinted>
  <dcterms:created xsi:type="dcterms:W3CDTF">2019-02-15T15:17:00Z</dcterms:created>
  <dcterms:modified xsi:type="dcterms:W3CDTF">2019-02-28T12:36:00Z</dcterms:modified>
</cp:coreProperties>
</file>