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499EB" w14:textId="77777777" w:rsidR="009304FE" w:rsidRPr="004E64B8" w:rsidRDefault="009304FE" w:rsidP="00767895">
      <w:pPr>
        <w:contextualSpacing/>
        <w:jc w:val="center"/>
        <w:rPr>
          <w:b/>
          <w:sz w:val="26"/>
          <w:szCs w:val="26"/>
        </w:rPr>
      </w:pPr>
      <w:r w:rsidRPr="004E64B8">
        <w:rPr>
          <w:b/>
          <w:sz w:val="26"/>
          <w:szCs w:val="26"/>
        </w:rPr>
        <w:t>PENNSYLVANIA</w:t>
      </w:r>
    </w:p>
    <w:p w14:paraId="7A61AB4D" w14:textId="77777777" w:rsidR="009304FE" w:rsidRPr="004E64B8" w:rsidRDefault="009304FE" w:rsidP="00767895">
      <w:pPr>
        <w:contextualSpacing/>
        <w:jc w:val="center"/>
        <w:rPr>
          <w:b/>
          <w:sz w:val="26"/>
          <w:szCs w:val="26"/>
        </w:rPr>
      </w:pPr>
      <w:r w:rsidRPr="004E64B8">
        <w:rPr>
          <w:b/>
          <w:sz w:val="26"/>
          <w:szCs w:val="26"/>
        </w:rPr>
        <w:t>PUBLIC UTILITY COMMISSION</w:t>
      </w:r>
    </w:p>
    <w:p w14:paraId="0FF5AE80" w14:textId="77777777" w:rsidR="009304FE" w:rsidRPr="004E64B8" w:rsidRDefault="009304FE" w:rsidP="00767895">
      <w:pPr>
        <w:contextualSpacing/>
        <w:jc w:val="center"/>
        <w:rPr>
          <w:b/>
          <w:sz w:val="26"/>
          <w:szCs w:val="26"/>
        </w:rPr>
      </w:pPr>
      <w:r w:rsidRPr="004E64B8">
        <w:rPr>
          <w:b/>
          <w:sz w:val="26"/>
          <w:szCs w:val="26"/>
        </w:rPr>
        <w:t>Harrisburg, PA 17105-3265</w:t>
      </w:r>
    </w:p>
    <w:p w14:paraId="5F340BFC" w14:textId="77777777" w:rsidR="009304FE" w:rsidRPr="004E64B8" w:rsidRDefault="009304FE" w:rsidP="00767895">
      <w:pPr>
        <w:contextualSpacing/>
        <w:rPr>
          <w:sz w:val="26"/>
          <w:szCs w:val="26"/>
        </w:rPr>
      </w:pPr>
    </w:p>
    <w:p w14:paraId="6ABCB82F" w14:textId="77777777" w:rsidR="00B01F47" w:rsidRPr="004E64B8" w:rsidRDefault="00B01F47" w:rsidP="00767895">
      <w:pPr>
        <w:contextualSpacing/>
        <w:rPr>
          <w:sz w:val="26"/>
          <w:szCs w:val="26"/>
        </w:rPr>
      </w:pPr>
    </w:p>
    <w:p w14:paraId="64F2C3A8" w14:textId="77777777" w:rsidR="009304FE" w:rsidRPr="004E64B8" w:rsidRDefault="009304FE" w:rsidP="00767895">
      <w:pPr>
        <w:contextualSpacing/>
        <w:jc w:val="right"/>
        <w:rPr>
          <w:sz w:val="26"/>
          <w:szCs w:val="26"/>
        </w:rPr>
      </w:pPr>
      <w:r w:rsidRPr="004E64B8">
        <w:rPr>
          <w:sz w:val="26"/>
          <w:szCs w:val="26"/>
        </w:rPr>
        <w:t xml:space="preserve">Public Meeting held </w:t>
      </w:r>
      <w:r w:rsidR="00632867">
        <w:rPr>
          <w:sz w:val="26"/>
          <w:szCs w:val="26"/>
        </w:rPr>
        <w:t>January 17, 2019</w:t>
      </w:r>
      <w:r w:rsidR="00B01F47" w:rsidRPr="004E64B8">
        <w:rPr>
          <w:sz w:val="26"/>
          <w:szCs w:val="26"/>
        </w:rPr>
        <w:t xml:space="preserve"> </w:t>
      </w:r>
    </w:p>
    <w:p w14:paraId="5048E30A" w14:textId="77777777" w:rsidR="009304FE" w:rsidRPr="004E64B8" w:rsidRDefault="009304FE" w:rsidP="00767895">
      <w:pPr>
        <w:contextualSpacing/>
        <w:rPr>
          <w:sz w:val="26"/>
          <w:szCs w:val="26"/>
        </w:rPr>
      </w:pPr>
    </w:p>
    <w:p w14:paraId="173ADCC3" w14:textId="77777777" w:rsidR="00B01F47" w:rsidRPr="004E64B8" w:rsidRDefault="00B01F47" w:rsidP="00767895">
      <w:pPr>
        <w:contextualSpacing/>
        <w:rPr>
          <w:sz w:val="26"/>
          <w:szCs w:val="26"/>
        </w:rPr>
      </w:pPr>
    </w:p>
    <w:p w14:paraId="4833EE6B" w14:textId="77777777" w:rsidR="005205C0" w:rsidRPr="004E64B8" w:rsidRDefault="005205C0" w:rsidP="00767895">
      <w:pPr>
        <w:contextualSpacing/>
        <w:rPr>
          <w:sz w:val="26"/>
          <w:szCs w:val="26"/>
        </w:rPr>
      </w:pPr>
      <w:r w:rsidRPr="004E64B8">
        <w:rPr>
          <w:sz w:val="26"/>
          <w:szCs w:val="26"/>
        </w:rPr>
        <w:t>Commissioners Present:</w:t>
      </w:r>
    </w:p>
    <w:p w14:paraId="0B4E66F3" w14:textId="77777777" w:rsidR="005205C0" w:rsidRPr="004E64B8" w:rsidRDefault="005205C0" w:rsidP="00767895">
      <w:pPr>
        <w:contextualSpacing/>
        <w:rPr>
          <w:sz w:val="26"/>
          <w:szCs w:val="26"/>
        </w:rPr>
      </w:pPr>
    </w:p>
    <w:p w14:paraId="59D03737" w14:textId="77777777" w:rsidR="00632899" w:rsidRPr="00632899" w:rsidRDefault="00632899" w:rsidP="00767895">
      <w:pPr>
        <w:tabs>
          <w:tab w:val="left" w:pos="705"/>
        </w:tabs>
        <w:ind w:firstLine="720"/>
        <w:contextualSpacing/>
        <w:rPr>
          <w:sz w:val="26"/>
          <w:szCs w:val="26"/>
        </w:rPr>
      </w:pPr>
      <w:r w:rsidRPr="00632899">
        <w:rPr>
          <w:sz w:val="26"/>
          <w:szCs w:val="26"/>
        </w:rPr>
        <w:t>Gladys M. Brown, Chairman</w:t>
      </w:r>
    </w:p>
    <w:p w14:paraId="23E32900" w14:textId="77777777" w:rsidR="00632899" w:rsidRPr="00632899" w:rsidRDefault="00632899" w:rsidP="00767895">
      <w:pPr>
        <w:tabs>
          <w:tab w:val="left" w:pos="705"/>
        </w:tabs>
        <w:ind w:firstLine="720"/>
        <w:contextualSpacing/>
        <w:rPr>
          <w:sz w:val="26"/>
          <w:szCs w:val="26"/>
        </w:rPr>
      </w:pPr>
      <w:r w:rsidRPr="00632899">
        <w:rPr>
          <w:sz w:val="26"/>
          <w:szCs w:val="26"/>
        </w:rPr>
        <w:t>David W. Sweet, Vice Chairman</w:t>
      </w:r>
    </w:p>
    <w:p w14:paraId="5CA8ADAE" w14:textId="77777777" w:rsidR="00632899" w:rsidRPr="00632899" w:rsidRDefault="00632899" w:rsidP="00767895">
      <w:pPr>
        <w:tabs>
          <w:tab w:val="left" w:pos="705"/>
        </w:tabs>
        <w:ind w:firstLine="720"/>
        <w:contextualSpacing/>
        <w:rPr>
          <w:sz w:val="26"/>
          <w:szCs w:val="26"/>
        </w:rPr>
      </w:pPr>
      <w:r w:rsidRPr="00632899">
        <w:rPr>
          <w:sz w:val="26"/>
          <w:szCs w:val="26"/>
        </w:rPr>
        <w:t>Norman J. Kennard</w:t>
      </w:r>
    </w:p>
    <w:p w14:paraId="4E1BCD64" w14:textId="77777777" w:rsidR="00632899" w:rsidRPr="00632899" w:rsidRDefault="00632899" w:rsidP="00767895">
      <w:pPr>
        <w:tabs>
          <w:tab w:val="left" w:pos="705"/>
        </w:tabs>
        <w:ind w:firstLine="720"/>
        <w:contextualSpacing/>
        <w:rPr>
          <w:sz w:val="26"/>
          <w:szCs w:val="26"/>
        </w:rPr>
      </w:pPr>
      <w:r w:rsidRPr="00632899">
        <w:rPr>
          <w:sz w:val="26"/>
          <w:szCs w:val="26"/>
        </w:rPr>
        <w:t>Andrew G. Place</w:t>
      </w:r>
    </w:p>
    <w:p w14:paraId="1BA365B9" w14:textId="50238B62" w:rsidR="00632899" w:rsidRPr="00632899" w:rsidRDefault="00632899" w:rsidP="00767895">
      <w:pPr>
        <w:tabs>
          <w:tab w:val="left" w:pos="705"/>
        </w:tabs>
        <w:ind w:firstLine="720"/>
        <w:contextualSpacing/>
        <w:rPr>
          <w:sz w:val="26"/>
          <w:szCs w:val="26"/>
        </w:rPr>
      </w:pPr>
      <w:r w:rsidRPr="00632899">
        <w:rPr>
          <w:sz w:val="26"/>
          <w:szCs w:val="26"/>
        </w:rPr>
        <w:t>John F. Coleman, Jr.</w:t>
      </w:r>
      <w:r w:rsidR="008377F6">
        <w:rPr>
          <w:sz w:val="26"/>
          <w:szCs w:val="26"/>
        </w:rPr>
        <w:t>, Statement</w:t>
      </w:r>
      <w:r w:rsidR="00C130E7">
        <w:rPr>
          <w:sz w:val="26"/>
          <w:szCs w:val="26"/>
        </w:rPr>
        <w:t>, Concurring in result only</w:t>
      </w:r>
      <w:bookmarkStart w:id="0" w:name="_GoBack"/>
      <w:bookmarkEnd w:id="0"/>
    </w:p>
    <w:p w14:paraId="66822F5D" w14:textId="77777777" w:rsidR="00D5566B" w:rsidRPr="004E64B8" w:rsidRDefault="00D5566B" w:rsidP="00767895">
      <w:pPr>
        <w:tabs>
          <w:tab w:val="left" w:pos="705"/>
        </w:tabs>
        <w:ind w:firstLine="720"/>
        <w:contextualSpacing/>
        <w:rPr>
          <w:sz w:val="26"/>
          <w:szCs w:val="26"/>
        </w:rPr>
      </w:pPr>
    </w:p>
    <w:p w14:paraId="2B5FF5BA" w14:textId="77777777" w:rsidR="00D5566B" w:rsidRPr="004E64B8" w:rsidRDefault="00D5566B" w:rsidP="00767895">
      <w:pPr>
        <w:contextualSpacing/>
        <w:rPr>
          <w:sz w:val="26"/>
          <w:szCs w:val="26"/>
        </w:rPr>
      </w:pPr>
    </w:p>
    <w:p w14:paraId="1B62AC7A" w14:textId="77777777" w:rsidR="00AB0F2F" w:rsidRPr="004E64B8" w:rsidRDefault="00AB0F2F" w:rsidP="00767895">
      <w:pPr>
        <w:contextualSpacing/>
        <w:rPr>
          <w:sz w:val="26"/>
          <w:szCs w:val="26"/>
        </w:rPr>
      </w:pPr>
    </w:p>
    <w:p w14:paraId="337F77DF" w14:textId="77777777" w:rsidR="009304FE" w:rsidRPr="004E64B8" w:rsidRDefault="009304FE" w:rsidP="00767895">
      <w:pPr>
        <w:contextualSpacing/>
        <w:rPr>
          <w:sz w:val="26"/>
          <w:szCs w:val="26"/>
        </w:rPr>
      </w:pPr>
    </w:p>
    <w:p w14:paraId="3C267EA7" w14:textId="692186EC" w:rsidR="00E050C0" w:rsidRPr="004E64B8" w:rsidRDefault="00632867" w:rsidP="00767895">
      <w:pPr>
        <w:tabs>
          <w:tab w:val="left" w:pos="-720"/>
          <w:tab w:val="left" w:pos="0"/>
        </w:tabs>
        <w:suppressAutoHyphens/>
        <w:contextualSpacing/>
        <w:rPr>
          <w:sz w:val="26"/>
          <w:szCs w:val="26"/>
        </w:rPr>
      </w:pPr>
      <w:r>
        <w:rPr>
          <w:sz w:val="26"/>
          <w:szCs w:val="26"/>
        </w:rPr>
        <w:t>Michael Steven Sherman, P.C.</w:t>
      </w:r>
      <w:r w:rsidR="005205C0" w:rsidRPr="004E64B8">
        <w:rPr>
          <w:sz w:val="26"/>
          <w:szCs w:val="26"/>
        </w:rPr>
        <w:tab/>
      </w:r>
      <w:r w:rsidR="005205C0" w:rsidRPr="004E64B8">
        <w:rPr>
          <w:sz w:val="26"/>
          <w:szCs w:val="26"/>
        </w:rPr>
        <w:tab/>
      </w:r>
      <w:r w:rsidR="005205C0" w:rsidRPr="004E64B8">
        <w:rPr>
          <w:sz w:val="26"/>
          <w:szCs w:val="26"/>
        </w:rPr>
        <w:tab/>
      </w:r>
      <w:r w:rsidR="005205C0" w:rsidRPr="004E64B8">
        <w:rPr>
          <w:sz w:val="26"/>
          <w:szCs w:val="26"/>
        </w:rPr>
        <w:tab/>
      </w:r>
      <w:r w:rsidR="005205C0" w:rsidRPr="004E64B8">
        <w:rPr>
          <w:sz w:val="26"/>
          <w:szCs w:val="26"/>
        </w:rPr>
        <w:tab/>
      </w:r>
      <w:r w:rsidR="00C554B1">
        <w:rPr>
          <w:sz w:val="26"/>
          <w:szCs w:val="26"/>
        </w:rPr>
        <w:tab/>
        <w:t xml:space="preserve"> </w:t>
      </w:r>
      <w:r w:rsidR="001523CA" w:rsidRPr="004E64B8">
        <w:rPr>
          <w:sz w:val="26"/>
          <w:szCs w:val="26"/>
        </w:rPr>
        <w:t xml:space="preserve">    </w:t>
      </w:r>
      <w:r w:rsidR="00D5566B" w:rsidRPr="004E64B8">
        <w:rPr>
          <w:sz w:val="26"/>
          <w:szCs w:val="26"/>
        </w:rPr>
        <w:t>C</w:t>
      </w:r>
      <w:r>
        <w:rPr>
          <w:sz w:val="26"/>
          <w:szCs w:val="26"/>
        </w:rPr>
        <w:noBreakHyphen/>
      </w:r>
      <w:r w:rsidR="00D5566B" w:rsidRPr="004E64B8">
        <w:rPr>
          <w:sz w:val="26"/>
          <w:szCs w:val="26"/>
        </w:rPr>
        <w:t>201</w:t>
      </w:r>
      <w:r>
        <w:rPr>
          <w:sz w:val="26"/>
          <w:szCs w:val="26"/>
        </w:rPr>
        <w:t>8</w:t>
      </w:r>
      <w:r>
        <w:rPr>
          <w:sz w:val="26"/>
          <w:szCs w:val="26"/>
        </w:rPr>
        <w:noBreakHyphen/>
        <w:t>3004072</w:t>
      </w:r>
    </w:p>
    <w:p w14:paraId="2BD5A1F0" w14:textId="77777777" w:rsidR="00E050C0" w:rsidRPr="004E64B8" w:rsidRDefault="00E050C0" w:rsidP="00767895">
      <w:pPr>
        <w:tabs>
          <w:tab w:val="left" w:pos="-720"/>
          <w:tab w:val="left" w:pos="0"/>
        </w:tabs>
        <w:suppressAutoHyphens/>
        <w:contextualSpacing/>
        <w:rPr>
          <w:sz w:val="26"/>
          <w:szCs w:val="26"/>
        </w:rPr>
      </w:pPr>
    </w:p>
    <w:p w14:paraId="3DB242CA" w14:textId="5107C7CD" w:rsidR="00E050C0" w:rsidRPr="004E64B8" w:rsidRDefault="00E050C0" w:rsidP="00767895">
      <w:pPr>
        <w:tabs>
          <w:tab w:val="left" w:pos="-720"/>
          <w:tab w:val="left" w:pos="0"/>
        </w:tabs>
        <w:suppressAutoHyphens/>
        <w:contextualSpacing/>
        <w:rPr>
          <w:sz w:val="26"/>
          <w:szCs w:val="26"/>
        </w:rPr>
      </w:pPr>
      <w:r w:rsidRPr="004E64B8">
        <w:rPr>
          <w:sz w:val="26"/>
          <w:szCs w:val="26"/>
        </w:rPr>
        <w:tab/>
      </w:r>
      <w:r w:rsidR="0010534A">
        <w:rPr>
          <w:sz w:val="26"/>
          <w:szCs w:val="26"/>
        </w:rPr>
        <w:t xml:space="preserve">       </w:t>
      </w:r>
      <w:r w:rsidRPr="004E64B8">
        <w:rPr>
          <w:sz w:val="26"/>
          <w:szCs w:val="26"/>
        </w:rPr>
        <w:t>v.</w:t>
      </w:r>
    </w:p>
    <w:p w14:paraId="7AB9079C" w14:textId="77777777" w:rsidR="00E050C0" w:rsidRPr="004E64B8" w:rsidRDefault="00E050C0" w:rsidP="00767895">
      <w:pPr>
        <w:tabs>
          <w:tab w:val="left" w:pos="-720"/>
          <w:tab w:val="left" w:pos="0"/>
        </w:tabs>
        <w:suppressAutoHyphens/>
        <w:contextualSpacing/>
        <w:rPr>
          <w:sz w:val="26"/>
          <w:szCs w:val="26"/>
        </w:rPr>
      </w:pPr>
    </w:p>
    <w:p w14:paraId="2765EFC6" w14:textId="77777777" w:rsidR="009304FE" w:rsidRPr="004E64B8" w:rsidRDefault="005205C0" w:rsidP="00767895">
      <w:pPr>
        <w:tabs>
          <w:tab w:val="left" w:pos="-720"/>
          <w:tab w:val="left" w:pos="0"/>
        </w:tabs>
        <w:suppressAutoHyphens/>
        <w:contextualSpacing/>
        <w:rPr>
          <w:sz w:val="26"/>
          <w:szCs w:val="26"/>
        </w:rPr>
      </w:pPr>
      <w:r w:rsidRPr="004E64B8">
        <w:rPr>
          <w:sz w:val="26"/>
          <w:szCs w:val="26"/>
        </w:rPr>
        <w:t xml:space="preserve">Verizon </w:t>
      </w:r>
      <w:r w:rsidR="009145A4" w:rsidRPr="004E64B8">
        <w:rPr>
          <w:sz w:val="26"/>
          <w:szCs w:val="26"/>
        </w:rPr>
        <w:t>Pennsylvania</w:t>
      </w:r>
      <w:r w:rsidRPr="004E64B8">
        <w:rPr>
          <w:sz w:val="26"/>
          <w:szCs w:val="26"/>
        </w:rPr>
        <w:t xml:space="preserve"> LLC</w:t>
      </w:r>
    </w:p>
    <w:p w14:paraId="0CAC3B66" w14:textId="77777777" w:rsidR="009304FE" w:rsidRPr="004E64B8" w:rsidRDefault="009304FE" w:rsidP="00767895">
      <w:pPr>
        <w:contextualSpacing/>
        <w:rPr>
          <w:sz w:val="26"/>
          <w:szCs w:val="26"/>
        </w:rPr>
      </w:pPr>
    </w:p>
    <w:p w14:paraId="466F81EF" w14:textId="77777777" w:rsidR="009304FE" w:rsidRPr="004E64B8" w:rsidRDefault="009304FE" w:rsidP="00767895">
      <w:pPr>
        <w:tabs>
          <w:tab w:val="left" w:pos="-720"/>
        </w:tabs>
        <w:suppressAutoHyphens/>
        <w:contextualSpacing/>
        <w:rPr>
          <w:sz w:val="26"/>
          <w:szCs w:val="26"/>
        </w:rPr>
      </w:pPr>
    </w:p>
    <w:p w14:paraId="3ED88B69" w14:textId="77777777" w:rsidR="009304FE" w:rsidRPr="004E64B8" w:rsidRDefault="009304FE" w:rsidP="00767895">
      <w:pPr>
        <w:tabs>
          <w:tab w:val="center" w:pos="4680"/>
        </w:tabs>
        <w:suppressAutoHyphens/>
        <w:contextualSpacing/>
        <w:jc w:val="center"/>
        <w:rPr>
          <w:b/>
          <w:sz w:val="26"/>
          <w:szCs w:val="26"/>
        </w:rPr>
      </w:pPr>
      <w:r w:rsidRPr="004E64B8">
        <w:rPr>
          <w:b/>
          <w:sz w:val="26"/>
          <w:szCs w:val="26"/>
        </w:rPr>
        <w:t>OPINION AND ORDER</w:t>
      </w:r>
    </w:p>
    <w:p w14:paraId="14690FF7" w14:textId="77777777" w:rsidR="00CA6BAF" w:rsidRPr="004E64B8" w:rsidRDefault="00CA6BAF" w:rsidP="00767895">
      <w:pPr>
        <w:tabs>
          <w:tab w:val="left" w:pos="-720"/>
        </w:tabs>
        <w:suppressAutoHyphens/>
        <w:spacing w:line="360" w:lineRule="auto"/>
        <w:contextualSpacing/>
        <w:rPr>
          <w:b/>
          <w:sz w:val="26"/>
          <w:szCs w:val="26"/>
        </w:rPr>
      </w:pPr>
    </w:p>
    <w:p w14:paraId="1D9641E3" w14:textId="77777777" w:rsidR="009304FE" w:rsidRPr="004E64B8" w:rsidRDefault="009304FE" w:rsidP="00767895">
      <w:pPr>
        <w:tabs>
          <w:tab w:val="left" w:pos="-720"/>
        </w:tabs>
        <w:suppressAutoHyphens/>
        <w:spacing w:line="360" w:lineRule="auto"/>
        <w:contextualSpacing/>
        <w:rPr>
          <w:sz w:val="26"/>
          <w:szCs w:val="26"/>
        </w:rPr>
      </w:pPr>
      <w:r w:rsidRPr="004E64B8">
        <w:rPr>
          <w:b/>
          <w:sz w:val="26"/>
          <w:szCs w:val="26"/>
        </w:rPr>
        <w:t>BY THE COMMISSION:</w:t>
      </w:r>
    </w:p>
    <w:p w14:paraId="286A5C0F" w14:textId="77777777" w:rsidR="009304FE" w:rsidRPr="004E64B8" w:rsidRDefault="009304FE" w:rsidP="00767895">
      <w:pPr>
        <w:contextualSpacing/>
        <w:rPr>
          <w:sz w:val="26"/>
          <w:szCs w:val="26"/>
        </w:rPr>
      </w:pPr>
    </w:p>
    <w:p w14:paraId="135A86F1" w14:textId="77777777" w:rsidR="0067105F" w:rsidRPr="004E64B8" w:rsidRDefault="00AE655A" w:rsidP="00767895">
      <w:pPr>
        <w:spacing w:line="360" w:lineRule="auto"/>
        <w:contextualSpacing/>
        <w:rPr>
          <w:sz w:val="26"/>
          <w:szCs w:val="26"/>
        </w:rPr>
      </w:pPr>
      <w:r w:rsidRPr="004E64B8">
        <w:rPr>
          <w:sz w:val="26"/>
          <w:szCs w:val="26"/>
        </w:rPr>
        <w:tab/>
      </w:r>
      <w:r w:rsidRPr="004E64B8">
        <w:rPr>
          <w:sz w:val="26"/>
          <w:szCs w:val="26"/>
        </w:rPr>
        <w:tab/>
      </w:r>
      <w:r w:rsidR="009304FE" w:rsidRPr="004E64B8">
        <w:rPr>
          <w:sz w:val="26"/>
          <w:szCs w:val="26"/>
        </w:rPr>
        <w:t xml:space="preserve">Before the Pennsylvania Public Utility Commission (Commission) for consideration and disposition </w:t>
      </w:r>
      <w:r w:rsidR="00AA3F68" w:rsidRPr="004E64B8">
        <w:rPr>
          <w:sz w:val="26"/>
          <w:szCs w:val="26"/>
        </w:rPr>
        <w:t xml:space="preserve">is the Initial Decision (I.D.) of Administrative Law Judge (ALJ) </w:t>
      </w:r>
      <w:r w:rsidR="007C24B4">
        <w:rPr>
          <w:sz w:val="26"/>
          <w:szCs w:val="26"/>
        </w:rPr>
        <w:t>David A. Salapa</w:t>
      </w:r>
      <w:r w:rsidR="00AA3F68" w:rsidRPr="004E64B8">
        <w:rPr>
          <w:sz w:val="26"/>
          <w:szCs w:val="26"/>
        </w:rPr>
        <w:t xml:space="preserve">, issued on </w:t>
      </w:r>
      <w:r w:rsidR="007C24B4">
        <w:rPr>
          <w:sz w:val="26"/>
          <w:szCs w:val="26"/>
        </w:rPr>
        <w:t>November 2, 2018</w:t>
      </w:r>
      <w:r w:rsidR="00A50430" w:rsidRPr="004E64B8">
        <w:rPr>
          <w:sz w:val="26"/>
          <w:szCs w:val="26"/>
        </w:rPr>
        <w:t>,</w:t>
      </w:r>
      <w:r w:rsidR="00B206E5" w:rsidRPr="004E64B8">
        <w:rPr>
          <w:sz w:val="26"/>
          <w:szCs w:val="26"/>
        </w:rPr>
        <w:t xml:space="preserve"> in the above-captioned proceeding.  </w:t>
      </w:r>
      <w:r w:rsidR="00700E59" w:rsidRPr="004E64B8">
        <w:rPr>
          <w:sz w:val="26"/>
          <w:szCs w:val="26"/>
        </w:rPr>
        <w:t xml:space="preserve">Exceptions have not been filed.  </w:t>
      </w:r>
      <w:r w:rsidR="00BE7433" w:rsidRPr="004E64B8">
        <w:rPr>
          <w:sz w:val="26"/>
          <w:szCs w:val="26"/>
        </w:rPr>
        <w:t>However, we</w:t>
      </w:r>
      <w:r w:rsidR="001A2F1D" w:rsidRPr="004E64B8">
        <w:rPr>
          <w:sz w:val="26"/>
          <w:szCs w:val="26"/>
        </w:rPr>
        <w:t xml:space="preserve"> have</w:t>
      </w:r>
      <w:r w:rsidR="00BE7433" w:rsidRPr="004E64B8">
        <w:rPr>
          <w:sz w:val="26"/>
          <w:szCs w:val="26"/>
        </w:rPr>
        <w:t xml:space="preserve"> exercised our right to review </w:t>
      </w:r>
      <w:r w:rsidR="008B24E5" w:rsidRPr="004E64B8">
        <w:rPr>
          <w:sz w:val="26"/>
          <w:szCs w:val="26"/>
        </w:rPr>
        <w:t xml:space="preserve">the Initial Decision pursuant to Section 332(h) of the Public Utility Code (Code), 66 Pa. C.S. § 332(h).  For the reasons stated below, we </w:t>
      </w:r>
      <w:r w:rsidR="009C1908" w:rsidRPr="004E64B8">
        <w:rPr>
          <w:sz w:val="26"/>
          <w:szCs w:val="26"/>
        </w:rPr>
        <w:t xml:space="preserve">shall </w:t>
      </w:r>
      <w:r w:rsidR="007C24B4">
        <w:rPr>
          <w:sz w:val="26"/>
          <w:szCs w:val="26"/>
        </w:rPr>
        <w:t>vacate</w:t>
      </w:r>
      <w:r w:rsidR="00884416" w:rsidRPr="004E64B8">
        <w:rPr>
          <w:sz w:val="26"/>
          <w:szCs w:val="26"/>
        </w:rPr>
        <w:t xml:space="preserve"> the Initial Decision </w:t>
      </w:r>
      <w:r w:rsidR="007C24B4">
        <w:rPr>
          <w:sz w:val="26"/>
          <w:szCs w:val="26"/>
        </w:rPr>
        <w:t>and refer this matter to the Mediation Unit of our Office of Administrative Law Judge (OALJ) for resolution, consistent with</w:t>
      </w:r>
      <w:r w:rsidR="00FC04C8" w:rsidRPr="004E64B8">
        <w:rPr>
          <w:sz w:val="26"/>
          <w:szCs w:val="26"/>
        </w:rPr>
        <w:t xml:space="preserve"> </w:t>
      </w:r>
      <w:r w:rsidR="0070271E">
        <w:rPr>
          <w:sz w:val="26"/>
          <w:szCs w:val="26"/>
        </w:rPr>
        <w:t>this Opinion and Order.</w:t>
      </w:r>
    </w:p>
    <w:p w14:paraId="12F776B6" w14:textId="77777777" w:rsidR="009304FE" w:rsidRPr="004E64B8" w:rsidRDefault="00F55BED" w:rsidP="00767895">
      <w:pPr>
        <w:keepNext/>
        <w:keepLines/>
        <w:spacing w:line="360" w:lineRule="auto"/>
        <w:contextualSpacing/>
        <w:jc w:val="center"/>
        <w:rPr>
          <w:b/>
          <w:sz w:val="26"/>
          <w:szCs w:val="26"/>
        </w:rPr>
      </w:pPr>
      <w:r w:rsidRPr="004E64B8">
        <w:rPr>
          <w:b/>
          <w:sz w:val="26"/>
          <w:szCs w:val="26"/>
        </w:rPr>
        <w:lastRenderedPageBreak/>
        <w:t>History of the Proceeding</w:t>
      </w:r>
    </w:p>
    <w:p w14:paraId="3A91EF92" w14:textId="77777777" w:rsidR="00F73965" w:rsidRPr="004E64B8" w:rsidRDefault="00F73965" w:rsidP="00767895">
      <w:pPr>
        <w:pStyle w:val="Default"/>
        <w:keepNext/>
        <w:keepLines/>
        <w:spacing w:line="360" w:lineRule="auto"/>
        <w:contextualSpacing/>
        <w:rPr>
          <w:color w:val="auto"/>
          <w:sz w:val="26"/>
          <w:szCs w:val="26"/>
        </w:rPr>
      </w:pPr>
    </w:p>
    <w:p w14:paraId="0BA08A83" w14:textId="1218C67F" w:rsidR="003A5C26" w:rsidRPr="0017182A" w:rsidRDefault="003A5C26" w:rsidP="00767895">
      <w:pPr>
        <w:spacing w:line="360" w:lineRule="auto"/>
        <w:ind w:firstLine="720"/>
        <w:rPr>
          <w:sz w:val="26"/>
          <w:szCs w:val="26"/>
        </w:rPr>
      </w:pPr>
      <w:r>
        <w:tab/>
      </w:r>
      <w:r w:rsidRPr="0017182A">
        <w:rPr>
          <w:sz w:val="26"/>
          <w:szCs w:val="26"/>
        </w:rPr>
        <w:t>On July 26, 2018, Michael Steven Sherman, P.C.</w:t>
      </w:r>
      <w:r w:rsidR="00D31032">
        <w:rPr>
          <w:sz w:val="26"/>
          <w:szCs w:val="26"/>
        </w:rPr>
        <w:t>,</w:t>
      </w:r>
      <w:r w:rsidRPr="0017182A">
        <w:rPr>
          <w:sz w:val="26"/>
          <w:szCs w:val="26"/>
        </w:rPr>
        <w:t xml:space="preserve"> filed a Formal Complaint against Verizon Pennsylvania LLC (Verizon) raising concerns with billing for services and the reliability, safety, and quality of the voice service and equipment provided </w:t>
      </w:r>
      <w:r w:rsidRPr="001F6501">
        <w:rPr>
          <w:sz w:val="26"/>
          <w:szCs w:val="26"/>
        </w:rPr>
        <w:t xml:space="preserve">to </w:t>
      </w:r>
      <w:r w:rsidR="00D31032" w:rsidRPr="001F6501">
        <w:rPr>
          <w:sz w:val="26"/>
          <w:szCs w:val="26"/>
        </w:rPr>
        <w:t>h</w:t>
      </w:r>
      <w:r w:rsidR="001F6501" w:rsidRPr="001F6501">
        <w:rPr>
          <w:sz w:val="26"/>
          <w:szCs w:val="26"/>
        </w:rPr>
        <w:t>is business</w:t>
      </w:r>
      <w:r w:rsidR="00D31032">
        <w:rPr>
          <w:sz w:val="26"/>
          <w:szCs w:val="26"/>
        </w:rPr>
        <w:t xml:space="preserve"> by </w:t>
      </w:r>
      <w:r w:rsidRPr="0017182A">
        <w:rPr>
          <w:sz w:val="26"/>
          <w:szCs w:val="26"/>
        </w:rPr>
        <w:t xml:space="preserve">Verizon.  Specifically, the Complainant alleged that as part of </w:t>
      </w:r>
      <w:r w:rsidR="001240FD">
        <w:rPr>
          <w:sz w:val="26"/>
          <w:szCs w:val="26"/>
        </w:rPr>
        <w:t xml:space="preserve">the </w:t>
      </w:r>
      <w:r w:rsidRPr="0017182A">
        <w:rPr>
          <w:sz w:val="26"/>
          <w:szCs w:val="26"/>
        </w:rPr>
        <w:t xml:space="preserve">November 2017 three-year contract </w:t>
      </w:r>
      <w:r w:rsidR="001240FD">
        <w:rPr>
          <w:sz w:val="26"/>
          <w:szCs w:val="26"/>
        </w:rPr>
        <w:t xml:space="preserve">that his law office has </w:t>
      </w:r>
      <w:r w:rsidRPr="0017182A">
        <w:rPr>
          <w:sz w:val="26"/>
          <w:szCs w:val="26"/>
        </w:rPr>
        <w:t xml:space="preserve">with Verizon, </w:t>
      </w:r>
      <w:r w:rsidR="007967D6">
        <w:rPr>
          <w:sz w:val="26"/>
          <w:szCs w:val="26"/>
        </w:rPr>
        <w:t xml:space="preserve">the business </w:t>
      </w:r>
      <w:r w:rsidRPr="0017182A">
        <w:rPr>
          <w:sz w:val="26"/>
          <w:szCs w:val="26"/>
        </w:rPr>
        <w:t>purchased four telephones that did not function properly</w:t>
      </w:r>
      <w:r w:rsidR="00B012C7">
        <w:rPr>
          <w:sz w:val="26"/>
          <w:szCs w:val="26"/>
        </w:rPr>
        <w:t xml:space="preserve">.  Mr. Sherman alleged that </w:t>
      </w:r>
      <w:r w:rsidRPr="0017182A">
        <w:rPr>
          <w:sz w:val="26"/>
          <w:szCs w:val="26"/>
        </w:rPr>
        <w:t xml:space="preserve">it was difficult to hear most callers </w:t>
      </w:r>
      <w:r w:rsidR="008E6C79">
        <w:rPr>
          <w:sz w:val="26"/>
          <w:szCs w:val="26"/>
        </w:rPr>
        <w:t xml:space="preserve">on the telephones and </w:t>
      </w:r>
      <w:r w:rsidRPr="0017182A">
        <w:rPr>
          <w:sz w:val="26"/>
          <w:szCs w:val="26"/>
        </w:rPr>
        <w:t>there were delays in connecting</w:t>
      </w:r>
      <w:r w:rsidR="008E6C79">
        <w:rPr>
          <w:sz w:val="26"/>
          <w:szCs w:val="26"/>
        </w:rPr>
        <w:t xml:space="preserve"> calls</w:t>
      </w:r>
      <w:r w:rsidRPr="0017182A">
        <w:rPr>
          <w:sz w:val="26"/>
          <w:szCs w:val="26"/>
        </w:rPr>
        <w:t xml:space="preserve">. </w:t>
      </w:r>
      <w:r w:rsidR="00577C67">
        <w:rPr>
          <w:sz w:val="26"/>
          <w:szCs w:val="26"/>
        </w:rPr>
        <w:t xml:space="preserve"> </w:t>
      </w:r>
      <w:r w:rsidRPr="0017182A">
        <w:rPr>
          <w:sz w:val="26"/>
          <w:szCs w:val="26"/>
        </w:rPr>
        <w:t xml:space="preserve">The Complainant also alleged that </w:t>
      </w:r>
      <w:r w:rsidR="007967D6">
        <w:rPr>
          <w:sz w:val="26"/>
          <w:szCs w:val="26"/>
        </w:rPr>
        <w:t xml:space="preserve">it </w:t>
      </w:r>
      <w:r w:rsidR="008E6C79">
        <w:rPr>
          <w:sz w:val="26"/>
          <w:szCs w:val="26"/>
        </w:rPr>
        <w:t xml:space="preserve">was overbilled by </w:t>
      </w:r>
      <w:r w:rsidRPr="0017182A">
        <w:rPr>
          <w:sz w:val="26"/>
          <w:szCs w:val="26"/>
        </w:rPr>
        <w:t>Verizon in the beginning months</w:t>
      </w:r>
      <w:r w:rsidR="008E6C79">
        <w:rPr>
          <w:sz w:val="26"/>
          <w:szCs w:val="26"/>
        </w:rPr>
        <w:t xml:space="preserve"> and that </w:t>
      </w:r>
      <w:r w:rsidRPr="0017182A">
        <w:rPr>
          <w:sz w:val="26"/>
          <w:szCs w:val="26"/>
        </w:rPr>
        <w:t>Verizon failed to provide reliable, working telephone service or equipment</w:t>
      </w:r>
      <w:r w:rsidR="008E6C79">
        <w:rPr>
          <w:sz w:val="26"/>
          <w:szCs w:val="26"/>
        </w:rPr>
        <w:t xml:space="preserve">.  For relief, the Complainant </w:t>
      </w:r>
      <w:r w:rsidRPr="0017182A">
        <w:rPr>
          <w:sz w:val="26"/>
          <w:szCs w:val="26"/>
        </w:rPr>
        <w:t xml:space="preserve">requested </w:t>
      </w:r>
      <w:r w:rsidR="006A6E80">
        <w:rPr>
          <w:sz w:val="26"/>
          <w:szCs w:val="26"/>
        </w:rPr>
        <w:t xml:space="preserve">that Verizon provide </w:t>
      </w:r>
      <w:r w:rsidR="007967D6">
        <w:rPr>
          <w:sz w:val="26"/>
          <w:szCs w:val="26"/>
        </w:rPr>
        <w:t>the business</w:t>
      </w:r>
      <w:r w:rsidR="006A6E80">
        <w:rPr>
          <w:sz w:val="26"/>
          <w:szCs w:val="26"/>
        </w:rPr>
        <w:t xml:space="preserve"> </w:t>
      </w:r>
      <w:r w:rsidRPr="0017182A">
        <w:rPr>
          <w:sz w:val="26"/>
          <w:szCs w:val="26"/>
        </w:rPr>
        <w:t xml:space="preserve">new equipment at no additional cost and </w:t>
      </w:r>
      <w:r w:rsidR="006A6E80">
        <w:rPr>
          <w:sz w:val="26"/>
          <w:szCs w:val="26"/>
        </w:rPr>
        <w:t xml:space="preserve">make </w:t>
      </w:r>
      <w:r w:rsidRPr="0017182A">
        <w:rPr>
          <w:sz w:val="26"/>
          <w:szCs w:val="26"/>
        </w:rPr>
        <w:t xml:space="preserve">a bill adjustment for the </w:t>
      </w:r>
      <w:r w:rsidR="00767895">
        <w:rPr>
          <w:sz w:val="26"/>
          <w:szCs w:val="26"/>
        </w:rPr>
        <w:t xml:space="preserve">amount overbilled during </w:t>
      </w:r>
      <w:r w:rsidRPr="0017182A">
        <w:rPr>
          <w:sz w:val="26"/>
          <w:szCs w:val="26"/>
        </w:rPr>
        <w:t>the first several months of service.</w:t>
      </w:r>
    </w:p>
    <w:p w14:paraId="28EE683B" w14:textId="77777777" w:rsidR="003A5C26" w:rsidRDefault="003A5C26" w:rsidP="00767895">
      <w:pPr>
        <w:spacing w:line="360" w:lineRule="auto"/>
        <w:ind w:firstLine="720"/>
      </w:pPr>
    </w:p>
    <w:p w14:paraId="5D217274" w14:textId="1931D864" w:rsidR="003A5C26" w:rsidRPr="0017182A" w:rsidRDefault="003A5C26" w:rsidP="00767895">
      <w:pPr>
        <w:spacing w:line="360" w:lineRule="auto"/>
        <w:ind w:firstLine="720"/>
        <w:rPr>
          <w:sz w:val="26"/>
          <w:szCs w:val="26"/>
        </w:rPr>
      </w:pPr>
      <w:r>
        <w:tab/>
      </w:r>
      <w:r w:rsidRPr="0017182A">
        <w:rPr>
          <w:sz w:val="26"/>
          <w:szCs w:val="26"/>
        </w:rPr>
        <w:t>On September 20, 2018, Verizon filed an Answer an</w:t>
      </w:r>
      <w:r w:rsidR="0086171B" w:rsidRPr="0017182A">
        <w:rPr>
          <w:sz w:val="26"/>
          <w:szCs w:val="26"/>
        </w:rPr>
        <w:t>d</w:t>
      </w:r>
      <w:r w:rsidRPr="0017182A">
        <w:rPr>
          <w:sz w:val="26"/>
          <w:szCs w:val="26"/>
        </w:rPr>
        <w:t xml:space="preserve"> New Matter and Preliminary Objections.  In the Answer and New Matter, Verizon admitted that it provided voice service to the Complainant, but alleged that the voice service is Business Digital Voice, which Verizon claimed is a Voice-Over-Internet Protocol (VoIP) calling service outside this Commission’s jurisdiction “[a]s detailed in its Preliminary Objections.”</w:t>
      </w:r>
      <w:r w:rsidRPr="0017182A">
        <w:rPr>
          <w:rStyle w:val="FootnoteReference"/>
        </w:rPr>
        <w:footnoteReference w:id="1"/>
      </w:r>
      <w:r w:rsidRPr="0017182A">
        <w:rPr>
          <w:sz w:val="26"/>
          <w:szCs w:val="26"/>
        </w:rPr>
        <w:t xml:space="preserve"> </w:t>
      </w:r>
      <w:r w:rsidR="0048542F">
        <w:rPr>
          <w:sz w:val="26"/>
          <w:szCs w:val="26"/>
        </w:rPr>
        <w:t xml:space="preserve"> </w:t>
      </w:r>
      <w:r w:rsidRPr="0017182A">
        <w:rPr>
          <w:sz w:val="26"/>
          <w:szCs w:val="26"/>
        </w:rPr>
        <w:t xml:space="preserve">Verizon also alleged that although telephone equipment is also outside this Commission’s jurisdiction, it had already provided new equipment to the Complainant. </w:t>
      </w:r>
      <w:r w:rsidR="0048542F">
        <w:rPr>
          <w:sz w:val="26"/>
          <w:szCs w:val="26"/>
        </w:rPr>
        <w:t xml:space="preserve"> </w:t>
      </w:r>
      <w:r w:rsidRPr="0017182A">
        <w:rPr>
          <w:sz w:val="26"/>
          <w:szCs w:val="26"/>
        </w:rPr>
        <w:t>The matter of incorrect billing remains outstanding.</w:t>
      </w:r>
    </w:p>
    <w:p w14:paraId="6730AFDE" w14:textId="77777777" w:rsidR="003A5C26" w:rsidRDefault="003A5C26" w:rsidP="00767895">
      <w:pPr>
        <w:spacing w:line="360" w:lineRule="auto"/>
        <w:ind w:firstLine="720"/>
      </w:pPr>
    </w:p>
    <w:p w14:paraId="51D7CEC9" w14:textId="37D9E349" w:rsidR="003A5C26" w:rsidRPr="00A23CF9" w:rsidRDefault="003A5C26" w:rsidP="00767895">
      <w:pPr>
        <w:spacing w:line="360" w:lineRule="auto"/>
        <w:ind w:firstLine="720"/>
        <w:rPr>
          <w:sz w:val="26"/>
          <w:szCs w:val="26"/>
        </w:rPr>
      </w:pPr>
      <w:r>
        <w:tab/>
      </w:r>
      <w:r w:rsidRPr="00A23CF9">
        <w:rPr>
          <w:sz w:val="26"/>
          <w:szCs w:val="26"/>
        </w:rPr>
        <w:t xml:space="preserve">In its Preliminary Objections, </w:t>
      </w:r>
      <w:r w:rsidR="006A6E80">
        <w:rPr>
          <w:sz w:val="26"/>
          <w:szCs w:val="26"/>
        </w:rPr>
        <w:t xml:space="preserve">filed on September 20, 2018, </w:t>
      </w:r>
      <w:r w:rsidRPr="00A23CF9">
        <w:rPr>
          <w:sz w:val="26"/>
          <w:szCs w:val="26"/>
        </w:rPr>
        <w:t xml:space="preserve">Verizon argued that “[t]his Commission lacks jurisdiction to address any disputes relating to </w:t>
      </w:r>
      <w:r w:rsidR="00B60A66">
        <w:rPr>
          <w:sz w:val="26"/>
          <w:szCs w:val="26"/>
        </w:rPr>
        <w:t xml:space="preserve">the </w:t>
      </w:r>
      <w:r w:rsidRPr="00A23CF9">
        <w:rPr>
          <w:sz w:val="26"/>
          <w:szCs w:val="26"/>
        </w:rPr>
        <w:lastRenderedPageBreak/>
        <w:t>Complainant’s service based on the Voice Over Internet Protocol Freedom Act”</w:t>
      </w:r>
      <w:r w:rsidRPr="00A23CF9">
        <w:rPr>
          <w:rStyle w:val="FootnoteReference"/>
        </w:rPr>
        <w:footnoteReference w:id="2"/>
      </w:r>
      <w:r w:rsidRPr="00A23CF9">
        <w:rPr>
          <w:sz w:val="26"/>
          <w:szCs w:val="26"/>
        </w:rPr>
        <w:t xml:space="preserve"> and that “the Commission does not have jurisdiction over the provision of VoIP services pursuant to” Section 2251.4 of the VoIP Freedom Act.</w:t>
      </w:r>
      <w:r w:rsidRPr="00A23CF9">
        <w:rPr>
          <w:rStyle w:val="FootnoteReference"/>
        </w:rPr>
        <w:footnoteReference w:id="3"/>
      </w:r>
    </w:p>
    <w:p w14:paraId="5F24C784" w14:textId="77777777" w:rsidR="0086171B" w:rsidRPr="00A23CF9" w:rsidRDefault="0086171B" w:rsidP="00767895">
      <w:pPr>
        <w:spacing w:line="360" w:lineRule="auto"/>
        <w:rPr>
          <w:sz w:val="26"/>
          <w:szCs w:val="26"/>
        </w:rPr>
      </w:pPr>
    </w:p>
    <w:p w14:paraId="2106EC45" w14:textId="36554739" w:rsidR="003A5C26" w:rsidRPr="00A23CF9" w:rsidRDefault="003A5C26" w:rsidP="00767895">
      <w:pPr>
        <w:spacing w:line="360" w:lineRule="auto"/>
        <w:ind w:firstLine="720"/>
        <w:rPr>
          <w:sz w:val="26"/>
          <w:szCs w:val="26"/>
        </w:rPr>
      </w:pPr>
      <w:r w:rsidRPr="00A23CF9">
        <w:rPr>
          <w:sz w:val="26"/>
          <w:szCs w:val="26"/>
        </w:rPr>
        <w:tab/>
      </w:r>
      <w:r w:rsidR="007967D6">
        <w:rPr>
          <w:sz w:val="26"/>
          <w:szCs w:val="26"/>
        </w:rPr>
        <w:t>The Complainant filed n</w:t>
      </w:r>
      <w:r w:rsidR="00E73CA1">
        <w:rPr>
          <w:sz w:val="26"/>
          <w:szCs w:val="26"/>
        </w:rPr>
        <w:t xml:space="preserve">o response </w:t>
      </w:r>
      <w:r w:rsidRPr="00A23CF9">
        <w:rPr>
          <w:sz w:val="26"/>
          <w:szCs w:val="26"/>
        </w:rPr>
        <w:t>to either Verizon pleading</w:t>
      </w:r>
      <w:r w:rsidR="00416ED6">
        <w:rPr>
          <w:sz w:val="26"/>
          <w:szCs w:val="26"/>
        </w:rPr>
        <w:t>.</w:t>
      </w:r>
      <w:r w:rsidRPr="00A23CF9">
        <w:rPr>
          <w:sz w:val="26"/>
          <w:szCs w:val="26"/>
        </w:rPr>
        <w:t xml:space="preserve">  The ALJ </w:t>
      </w:r>
      <w:r w:rsidR="00DD6C8F">
        <w:rPr>
          <w:sz w:val="26"/>
          <w:szCs w:val="26"/>
        </w:rPr>
        <w:t>treated</w:t>
      </w:r>
      <w:r w:rsidR="00DD6C8F" w:rsidRPr="00A23CF9">
        <w:rPr>
          <w:sz w:val="26"/>
          <w:szCs w:val="26"/>
        </w:rPr>
        <w:t xml:space="preserve"> </w:t>
      </w:r>
      <w:r w:rsidRPr="00A23CF9">
        <w:rPr>
          <w:sz w:val="26"/>
          <w:szCs w:val="26"/>
        </w:rPr>
        <w:t>the Preliminary Objections as a Motion for Judgment on the Pleadings</w:t>
      </w:r>
      <w:r w:rsidR="005808A0" w:rsidRPr="00A23CF9">
        <w:rPr>
          <w:sz w:val="26"/>
          <w:szCs w:val="26"/>
        </w:rPr>
        <w:t>.</w:t>
      </w:r>
    </w:p>
    <w:p w14:paraId="21A2DA53" w14:textId="77777777" w:rsidR="003A5C26" w:rsidRPr="00A23CF9" w:rsidRDefault="003A5C26" w:rsidP="00767895">
      <w:pPr>
        <w:spacing w:line="360" w:lineRule="auto"/>
        <w:ind w:firstLine="720"/>
        <w:rPr>
          <w:sz w:val="26"/>
          <w:szCs w:val="26"/>
        </w:rPr>
      </w:pPr>
    </w:p>
    <w:p w14:paraId="7F9E7206" w14:textId="009A1D6B" w:rsidR="00162BEE" w:rsidRPr="00A23CF9" w:rsidRDefault="003A5C26" w:rsidP="00767895">
      <w:pPr>
        <w:spacing w:line="360" w:lineRule="auto"/>
        <w:ind w:firstLine="720"/>
        <w:rPr>
          <w:sz w:val="26"/>
          <w:szCs w:val="26"/>
        </w:rPr>
      </w:pPr>
      <w:r w:rsidRPr="00A23CF9">
        <w:rPr>
          <w:sz w:val="26"/>
          <w:szCs w:val="26"/>
        </w:rPr>
        <w:tab/>
      </w:r>
      <w:r w:rsidR="00162BEE" w:rsidRPr="00A23CF9">
        <w:rPr>
          <w:sz w:val="26"/>
          <w:szCs w:val="26"/>
        </w:rPr>
        <w:t xml:space="preserve">On </w:t>
      </w:r>
      <w:r w:rsidR="005808A0" w:rsidRPr="00A23CF9">
        <w:rPr>
          <w:sz w:val="26"/>
          <w:szCs w:val="26"/>
        </w:rPr>
        <w:t>November</w:t>
      </w:r>
      <w:r w:rsidR="00A6521D" w:rsidRPr="00A23CF9">
        <w:rPr>
          <w:sz w:val="26"/>
          <w:szCs w:val="26"/>
        </w:rPr>
        <w:t xml:space="preserve"> </w:t>
      </w:r>
      <w:r w:rsidR="005808A0" w:rsidRPr="00A23CF9">
        <w:rPr>
          <w:sz w:val="26"/>
          <w:szCs w:val="26"/>
        </w:rPr>
        <w:t>2</w:t>
      </w:r>
      <w:r w:rsidR="00162BEE" w:rsidRPr="00A23CF9">
        <w:rPr>
          <w:sz w:val="26"/>
          <w:szCs w:val="26"/>
        </w:rPr>
        <w:t>, 201</w:t>
      </w:r>
      <w:r w:rsidR="005808A0" w:rsidRPr="00A23CF9">
        <w:rPr>
          <w:sz w:val="26"/>
          <w:szCs w:val="26"/>
        </w:rPr>
        <w:t>8</w:t>
      </w:r>
      <w:r w:rsidR="00162BEE" w:rsidRPr="00A23CF9">
        <w:rPr>
          <w:sz w:val="26"/>
          <w:szCs w:val="26"/>
        </w:rPr>
        <w:t xml:space="preserve">, the Commission issued the Initial Decision of ALJ </w:t>
      </w:r>
      <w:r w:rsidR="005808A0" w:rsidRPr="00A23CF9">
        <w:rPr>
          <w:sz w:val="26"/>
          <w:szCs w:val="26"/>
        </w:rPr>
        <w:t>David Salapa</w:t>
      </w:r>
      <w:r w:rsidR="00162BEE" w:rsidRPr="00A23CF9">
        <w:rPr>
          <w:sz w:val="26"/>
          <w:szCs w:val="26"/>
        </w:rPr>
        <w:t xml:space="preserve"> </w:t>
      </w:r>
      <w:r w:rsidR="00CE5B95">
        <w:rPr>
          <w:sz w:val="26"/>
          <w:szCs w:val="26"/>
        </w:rPr>
        <w:t>in which</w:t>
      </w:r>
      <w:r w:rsidR="00CE5B95" w:rsidRPr="00A23CF9">
        <w:rPr>
          <w:sz w:val="26"/>
          <w:szCs w:val="26"/>
        </w:rPr>
        <w:t xml:space="preserve"> </w:t>
      </w:r>
      <w:r w:rsidR="00162BEE" w:rsidRPr="00A23CF9">
        <w:rPr>
          <w:sz w:val="26"/>
          <w:szCs w:val="26"/>
        </w:rPr>
        <w:t xml:space="preserve">he </w:t>
      </w:r>
      <w:r w:rsidR="00451543" w:rsidRPr="00A23CF9">
        <w:rPr>
          <w:sz w:val="26"/>
          <w:szCs w:val="26"/>
        </w:rPr>
        <w:t>sustained Verizon’s Preliminary Objections and dismissed the Complaint</w:t>
      </w:r>
      <w:r w:rsidR="006622FF">
        <w:rPr>
          <w:sz w:val="26"/>
          <w:szCs w:val="26"/>
        </w:rPr>
        <w:t xml:space="preserve"> with prejudice for lack of jurisdiction</w:t>
      </w:r>
      <w:r w:rsidR="00451543" w:rsidRPr="00A23CF9">
        <w:rPr>
          <w:sz w:val="26"/>
          <w:szCs w:val="26"/>
        </w:rPr>
        <w:t>.</w:t>
      </w:r>
    </w:p>
    <w:p w14:paraId="7C894224" w14:textId="77777777" w:rsidR="00451543" w:rsidRPr="004E64B8" w:rsidRDefault="00451543" w:rsidP="00767895">
      <w:pPr>
        <w:spacing w:line="360" w:lineRule="auto"/>
        <w:ind w:firstLine="1440"/>
        <w:contextualSpacing/>
        <w:rPr>
          <w:sz w:val="26"/>
          <w:szCs w:val="26"/>
        </w:rPr>
      </w:pPr>
    </w:p>
    <w:p w14:paraId="38BB69EC" w14:textId="77777777" w:rsidR="003F2BF4" w:rsidRPr="004E64B8" w:rsidRDefault="003F2BF4" w:rsidP="00767895">
      <w:pPr>
        <w:keepNext/>
        <w:keepLines/>
        <w:spacing w:line="360" w:lineRule="auto"/>
        <w:contextualSpacing/>
        <w:jc w:val="center"/>
        <w:rPr>
          <w:b/>
          <w:sz w:val="26"/>
          <w:szCs w:val="26"/>
        </w:rPr>
      </w:pPr>
      <w:r w:rsidRPr="004E64B8">
        <w:rPr>
          <w:b/>
          <w:sz w:val="26"/>
          <w:szCs w:val="26"/>
        </w:rPr>
        <w:t>Discussion</w:t>
      </w:r>
    </w:p>
    <w:p w14:paraId="08DB4C8B" w14:textId="77777777" w:rsidR="003F2BF4" w:rsidRPr="004E64B8" w:rsidRDefault="003F2BF4" w:rsidP="00767895">
      <w:pPr>
        <w:keepNext/>
        <w:keepLines/>
        <w:spacing w:line="360" w:lineRule="auto"/>
        <w:contextualSpacing/>
        <w:jc w:val="center"/>
        <w:rPr>
          <w:sz w:val="26"/>
          <w:szCs w:val="26"/>
        </w:rPr>
      </w:pPr>
    </w:p>
    <w:p w14:paraId="601420C0" w14:textId="77777777" w:rsidR="003F2BF4" w:rsidRPr="004E64B8" w:rsidRDefault="003F2BF4" w:rsidP="00767895">
      <w:pPr>
        <w:keepNext/>
        <w:keepLines/>
        <w:spacing w:line="360" w:lineRule="auto"/>
        <w:contextualSpacing/>
        <w:rPr>
          <w:b/>
          <w:sz w:val="26"/>
          <w:szCs w:val="26"/>
        </w:rPr>
      </w:pPr>
      <w:r w:rsidRPr="004E64B8">
        <w:rPr>
          <w:b/>
          <w:sz w:val="26"/>
          <w:szCs w:val="26"/>
        </w:rPr>
        <w:t>Legal Standards</w:t>
      </w:r>
    </w:p>
    <w:p w14:paraId="7F393EB0" w14:textId="77777777" w:rsidR="003F2BF4" w:rsidRPr="004E64B8" w:rsidRDefault="003F2BF4" w:rsidP="00767895">
      <w:pPr>
        <w:keepNext/>
        <w:keepLines/>
        <w:spacing w:line="360" w:lineRule="auto"/>
        <w:ind w:firstLine="1440"/>
        <w:contextualSpacing/>
        <w:rPr>
          <w:sz w:val="26"/>
          <w:szCs w:val="26"/>
        </w:rPr>
      </w:pPr>
    </w:p>
    <w:p w14:paraId="5226D714" w14:textId="77777777" w:rsidR="00D402DD" w:rsidRPr="0045502C" w:rsidRDefault="00D402DD" w:rsidP="00767895">
      <w:pPr>
        <w:spacing w:line="360" w:lineRule="auto"/>
        <w:ind w:firstLine="1440"/>
        <w:rPr>
          <w:sz w:val="26"/>
          <w:szCs w:val="26"/>
        </w:rPr>
      </w:pPr>
      <w:r w:rsidRPr="0045502C">
        <w:rPr>
          <w:sz w:val="26"/>
          <w:szCs w:val="26"/>
        </w:rPr>
        <w:t>The Commission’s Rules of Practice and Procedure permit parties to file preliminary objections.  The grounds for preliminary objections are limited to those set forth in 52 Pa. Code §</w:t>
      </w:r>
      <w:r>
        <w:rPr>
          <w:sz w:val="26"/>
          <w:szCs w:val="26"/>
        </w:rPr>
        <w:t xml:space="preserve"> </w:t>
      </w:r>
      <w:r w:rsidRPr="0045502C">
        <w:rPr>
          <w:sz w:val="26"/>
          <w:szCs w:val="26"/>
        </w:rPr>
        <w:t>5.101(a) as follows:</w:t>
      </w:r>
    </w:p>
    <w:p w14:paraId="3715FEE5" w14:textId="77777777" w:rsidR="00D402DD" w:rsidRPr="0045502C" w:rsidRDefault="00D402DD" w:rsidP="00767895">
      <w:pPr>
        <w:spacing w:line="360" w:lineRule="auto"/>
        <w:ind w:left="1440" w:right="720"/>
        <w:rPr>
          <w:sz w:val="26"/>
          <w:szCs w:val="26"/>
        </w:rPr>
      </w:pPr>
    </w:p>
    <w:p w14:paraId="61E06EDB" w14:textId="77777777" w:rsidR="00D402DD" w:rsidRPr="0045502C" w:rsidRDefault="00D402DD" w:rsidP="00767895">
      <w:pPr>
        <w:numPr>
          <w:ilvl w:val="0"/>
          <w:numId w:val="1"/>
        </w:numPr>
        <w:tabs>
          <w:tab w:val="clear" w:pos="2160"/>
        </w:tabs>
        <w:autoSpaceDE w:val="0"/>
        <w:autoSpaceDN w:val="0"/>
        <w:adjustRightInd w:val="0"/>
        <w:ind w:left="2880" w:right="1440" w:hanging="720"/>
        <w:rPr>
          <w:sz w:val="26"/>
          <w:szCs w:val="26"/>
        </w:rPr>
      </w:pPr>
      <w:r w:rsidRPr="0045502C">
        <w:rPr>
          <w:sz w:val="26"/>
          <w:szCs w:val="26"/>
        </w:rPr>
        <w:t>Lack of Commission jurisdiction or improper service of the pleading initiating the proceeding.</w:t>
      </w:r>
    </w:p>
    <w:p w14:paraId="7A09B553" w14:textId="77777777" w:rsidR="00D402DD" w:rsidRPr="0045502C" w:rsidRDefault="00D402DD" w:rsidP="00767895">
      <w:pPr>
        <w:ind w:left="2880" w:right="1440" w:hanging="720"/>
        <w:rPr>
          <w:sz w:val="26"/>
          <w:szCs w:val="26"/>
        </w:rPr>
      </w:pPr>
    </w:p>
    <w:p w14:paraId="617E3553" w14:textId="77777777" w:rsidR="00D402DD" w:rsidRPr="0045502C" w:rsidRDefault="00D402DD" w:rsidP="00767895">
      <w:pPr>
        <w:numPr>
          <w:ilvl w:val="0"/>
          <w:numId w:val="1"/>
        </w:numPr>
        <w:autoSpaceDE w:val="0"/>
        <w:autoSpaceDN w:val="0"/>
        <w:adjustRightInd w:val="0"/>
        <w:ind w:left="2880" w:right="1440" w:hanging="720"/>
        <w:rPr>
          <w:sz w:val="26"/>
          <w:szCs w:val="26"/>
        </w:rPr>
      </w:pPr>
      <w:r w:rsidRPr="0045502C">
        <w:rPr>
          <w:sz w:val="26"/>
          <w:szCs w:val="26"/>
        </w:rPr>
        <w:t>Failure of a pleading to conform to this chapter or the inclusion of scandalous or impertinent matter.</w:t>
      </w:r>
    </w:p>
    <w:p w14:paraId="41D09AE0" w14:textId="77777777" w:rsidR="00D402DD" w:rsidRPr="0045502C" w:rsidRDefault="00D402DD" w:rsidP="00767895">
      <w:pPr>
        <w:ind w:left="2880" w:right="1440" w:hanging="720"/>
        <w:rPr>
          <w:sz w:val="26"/>
          <w:szCs w:val="26"/>
        </w:rPr>
      </w:pPr>
    </w:p>
    <w:p w14:paraId="7AD26886" w14:textId="77777777" w:rsidR="00D402DD" w:rsidRPr="0045502C" w:rsidRDefault="00D402DD" w:rsidP="00767895">
      <w:pPr>
        <w:numPr>
          <w:ilvl w:val="0"/>
          <w:numId w:val="1"/>
        </w:numPr>
        <w:autoSpaceDE w:val="0"/>
        <w:autoSpaceDN w:val="0"/>
        <w:adjustRightInd w:val="0"/>
        <w:ind w:left="2880" w:right="1440" w:hanging="720"/>
        <w:rPr>
          <w:sz w:val="26"/>
          <w:szCs w:val="26"/>
        </w:rPr>
      </w:pPr>
      <w:r w:rsidRPr="0045502C">
        <w:rPr>
          <w:sz w:val="26"/>
          <w:szCs w:val="26"/>
        </w:rPr>
        <w:t>Insufficient specificity of a pleading.</w:t>
      </w:r>
    </w:p>
    <w:p w14:paraId="7500E51F" w14:textId="77777777" w:rsidR="00D402DD" w:rsidRPr="0045502C" w:rsidRDefault="00D402DD" w:rsidP="00767895">
      <w:pPr>
        <w:ind w:left="2880" w:right="1440" w:hanging="720"/>
        <w:rPr>
          <w:sz w:val="26"/>
          <w:szCs w:val="26"/>
        </w:rPr>
      </w:pPr>
    </w:p>
    <w:p w14:paraId="3E62CD9F" w14:textId="77777777" w:rsidR="00D402DD" w:rsidRPr="0045502C" w:rsidRDefault="00D402DD" w:rsidP="00767895">
      <w:pPr>
        <w:numPr>
          <w:ilvl w:val="0"/>
          <w:numId w:val="1"/>
        </w:numPr>
        <w:autoSpaceDE w:val="0"/>
        <w:autoSpaceDN w:val="0"/>
        <w:adjustRightInd w:val="0"/>
        <w:ind w:left="2880" w:right="1440" w:hanging="720"/>
        <w:rPr>
          <w:sz w:val="26"/>
          <w:szCs w:val="26"/>
        </w:rPr>
      </w:pPr>
      <w:r w:rsidRPr="0045502C">
        <w:rPr>
          <w:sz w:val="26"/>
          <w:szCs w:val="26"/>
        </w:rPr>
        <w:t>Legal insufficiency of a pleading.</w:t>
      </w:r>
    </w:p>
    <w:p w14:paraId="6F77343C" w14:textId="77777777" w:rsidR="00D402DD" w:rsidRPr="0045502C" w:rsidRDefault="00D402DD" w:rsidP="00767895">
      <w:pPr>
        <w:adjustRightInd w:val="0"/>
        <w:ind w:left="1800" w:right="1440"/>
        <w:rPr>
          <w:sz w:val="26"/>
          <w:szCs w:val="26"/>
        </w:rPr>
      </w:pPr>
    </w:p>
    <w:p w14:paraId="4B1BDC14" w14:textId="1FBD05AA" w:rsidR="00D402DD" w:rsidRDefault="00D402DD" w:rsidP="00767895">
      <w:pPr>
        <w:numPr>
          <w:ilvl w:val="0"/>
          <w:numId w:val="1"/>
        </w:numPr>
        <w:autoSpaceDE w:val="0"/>
        <w:autoSpaceDN w:val="0"/>
        <w:adjustRightInd w:val="0"/>
        <w:ind w:left="2880" w:right="1440" w:hanging="720"/>
        <w:rPr>
          <w:sz w:val="26"/>
          <w:szCs w:val="26"/>
        </w:rPr>
      </w:pPr>
      <w:r w:rsidRPr="0045502C">
        <w:rPr>
          <w:sz w:val="26"/>
          <w:szCs w:val="26"/>
        </w:rPr>
        <w:lastRenderedPageBreak/>
        <w:t>Lack of capacity to sue, nonjoinder of a necessary party or misjoinder of a cause of action.</w:t>
      </w:r>
    </w:p>
    <w:p w14:paraId="318F068D" w14:textId="77777777" w:rsidR="007967D6" w:rsidRPr="0045502C" w:rsidRDefault="007967D6" w:rsidP="00C6301A">
      <w:pPr>
        <w:autoSpaceDE w:val="0"/>
        <w:autoSpaceDN w:val="0"/>
        <w:adjustRightInd w:val="0"/>
        <w:ind w:left="2880" w:right="1440"/>
        <w:rPr>
          <w:sz w:val="26"/>
          <w:szCs w:val="26"/>
        </w:rPr>
      </w:pPr>
    </w:p>
    <w:p w14:paraId="06D6D5E4" w14:textId="77777777" w:rsidR="00D402DD" w:rsidRDefault="00D402DD" w:rsidP="00767895">
      <w:pPr>
        <w:numPr>
          <w:ilvl w:val="0"/>
          <w:numId w:val="1"/>
        </w:numPr>
        <w:autoSpaceDE w:val="0"/>
        <w:autoSpaceDN w:val="0"/>
        <w:adjustRightInd w:val="0"/>
        <w:ind w:left="2880" w:right="1440" w:hanging="720"/>
        <w:rPr>
          <w:sz w:val="26"/>
          <w:szCs w:val="26"/>
        </w:rPr>
      </w:pPr>
      <w:r w:rsidRPr="0045502C">
        <w:rPr>
          <w:sz w:val="26"/>
          <w:szCs w:val="26"/>
        </w:rPr>
        <w:t>Pendency of a prior proceeding or agreement for alternative dispute resolution.</w:t>
      </w:r>
    </w:p>
    <w:p w14:paraId="7AD85182" w14:textId="77777777" w:rsidR="00834229" w:rsidRDefault="00834229" w:rsidP="00767895">
      <w:pPr>
        <w:autoSpaceDE w:val="0"/>
        <w:autoSpaceDN w:val="0"/>
        <w:adjustRightInd w:val="0"/>
        <w:ind w:left="2880" w:right="1440"/>
        <w:rPr>
          <w:sz w:val="26"/>
          <w:szCs w:val="26"/>
        </w:rPr>
      </w:pPr>
    </w:p>
    <w:p w14:paraId="57BBE595" w14:textId="3A06B7BA" w:rsidR="00834229" w:rsidRDefault="00834229" w:rsidP="00767895">
      <w:pPr>
        <w:numPr>
          <w:ilvl w:val="0"/>
          <w:numId w:val="1"/>
        </w:numPr>
        <w:autoSpaceDE w:val="0"/>
        <w:autoSpaceDN w:val="0"/>
        <w:adjustRightInd w:val="0"/>
        <w:ind w:right="1440" w:firstLine="0"/>
        <w:rPr>
          <w:sz w:val="26"/>
          <w:szCs w:val="26"/>
        </w:rPr>
      </w:pPr>
      <w:r w:rsidRPr="00834229">
        <w:rPr>
          <w:sz w:val="26"/>
          <w:szCs w:val="26"/>
        </w:rPr>
        <w:t xml:space="preserve">Standing of a party to participate in the </w:t>
      </w:r>
      <w:r w:rsidRPr="00834229">
        <w:rPr>
          <w:sz w:val="26"/>
          <w:szCs w:val="26"/>
        </w:rPr>
        <w:tab/>
        <w:t>proceeding.</w:t>
      </w:r>
    </w:p>
    <w:p w14:paraId="2EC327F9" w14:textId="77777777" w:rsidR="001D0BFB" w:rsidRDefault="001D0BFB" w:rsidP="001D0BFB">
      <w:pPr>
        <w:autoSpaceDE w:val="0"/>
        <w:autoSpaceDN w:val="0"/>
        <w:adjustRightInd w:val="0"/>
        <w:ind w:right="1440"/>
        <w:rPr>
          <w:sz w:val="26"/>
          <w:szCs w:val="26"/>
        </w:rPr>
      </w:pPr>
    </w:p>
    <w:p w14:paraId="45966CDD" w14:textId="77777777" w:rsidR="001D0BFB" w:rsidRDefault="001D0BFB" w:rsidP="00767895">
      <w:pPr>
        <w:autoSpaceDE w:val="0"/>
        <w:autoSpaceDN w:val="0"/>
        <w:adjustRightInd w:val="0"/>
        <w:spacing w:after="120"/>
        <w:ind w:right="1440"/>
        <w:rPr>
          <w:sz w:val="26"/>
          <w:szCs w:val="26"/>
        </w:rPr>
      </w:pPr>
    </w:p>
    <w:p w14:paraId="060B37F0" w14:textId="4E21D947" w:rsidR="00834229" w:rsidRPr="00834229" w:rsidRDefault="001D0BFB" w:rsidP="00767895">
      <w:pPr>
        <w:autoSpaceDE w:val="0"/>
        <w:autoSpaceDN w:val="0"/>
        <w:adjustRightInd w:val="0"/>
        <w:spacing w:after="120"/>
        <w:ind w:right="1440"/>
        <w:rPr>
          <w:sz w:val="26"/>
          <w:szCs w:val="26"/>
        </w:rPr>
      </w:pPr>
      <w:r>
        <w:rPr>
          <w:sz w:val="26"/>
          <w:szCs w:val="26"/>
        </w:rPr>
        <w:t>5</w:t>
      </w:r>
      <w:r w:rsidR="00834229">
        <w:rPr>
          <w:sz w:val="26"/>
          <w:szCs w:val="26"/>
        </w:rPr>
        <w:t>2 Pa. Code §</w:t>
      </w:r>
      <w:r w:rsidR="007967D6">
        <w:rPr>
          <w:sz w:val="26"/>
          <w:szCs w:val="26"/>
        </w:rPr>
        <w:t xml:space="preserve"> </w:t>
      </w:r>
      <w:r w:rsidR="00834229">
        <w:rPr>
          <w:sz w:val="26"/>
          <w:szCs w:val="26"/>
        </w:rPr>
        <w:t>5.101(a)</w:t>
      </w:r>
    </w:p>
    <w:p w14:paraId="776DAAAE" w14:textId="77777777" w:rsidR="00335067" w:rsidRPr="0045502C" w:rsidRDefault="00335067" w:rsidP="00767895">
      <w:pPr>
        <w:autoSpaceDE w:val="0"/>
        <w:autoSpaceDN w:val="0"/>
        <w:adjustRightInd w:val="0"/>
        <w:spacing w:line="360" w:lineRule="auto"/>
        <w:ind w:left="2880" w:right="1440"/>
        <w:rPr>
          <w:sz w:val="26"/>
          <w:szCs w:val="26"/>
        </w:rPr>
      </w:pPr>
    </w:p>
    <w:p w14:paraId="4539D3C4" w14:textId="002A1501" w:rsidR="00834229" w:rsidRPr="00DB3709" w:rsidRDefault="00651CA5" w:rsidP="00767895">
      <w:pPr>
        <w:spacing w:line="360" w:lineRule="auto"/>
        <w:ind w:firstLine="1440"/>
        <w:contextualSpacing/>
        <w:rPr>
          <w:sz w:val="26"/>
          <w:szCs w:val="26"/>
        </w:rPr>
      </w:pPr>
      <w:r>
        <w:rPr>
          <w:sz w:val="26"/>
          <w:szCs w:val="26"/>
        </w:rPr>
        <w:t xml:space="preserve">The </w:t>
      </w:r>
      <w:r w:rsidR="00834229" w:rsidRPr="00DB3709">
        <w:rPr>
          <w:sz w:val="26"/>
          <w:szCs w:val="26"/>
        </w:rPr>
        <w:t xml:space="preserve">Commission procedure 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00834229" w:rsidRPr="00D25F71">
        <w:rPr>
          <w:i/>
          <w:sz w:val="26"/>
          <w:szCs w:val="26"/>
        </w:rPr>
        <w:t>Interstate Traveller Services, Inc. v. Pa. Dep’t of Environmental Resources</w:t>
      </w:r>
      <w:r w:rsidR="00834229" w:rsidRPr="00106159">
        <w:rPr>
          <w:sz w:val="26"/>
          <w:szCs w:val="26"/>
        </w:rPr>
        <w:t>, 486 Pa. 536, 406 A.2d 1020 (1979).  The moving party may not rely on its own factual a</w:t>
      </w:r>
      <w:r w:rsidR="00834229" w:rsidRPr="00A92E3E">
        <w:rPr>
          <w:sz w:val="26"/>
          <w:szCs w:val="26"/>
        </w:rPr>
        <w:t xml:space="preserve">ssertions, but </w:t>
      </w:r>
      <w:r w:rsidR="00834229">
        <w:rPr>
          <w:sz w:val="26"/>
          <w:szCs w:val="26"/>
        </w:rPr>
        <w:t xml:space="preserve">it </w:t>
      </w:r>
      <w:r w:rsidR="00834229" w:rsidRPr="00A92E3E">
        <w:rPr>
          <w:sz w:val="26"/>
          <w:szCs w:val="26"/>
        </w:rPr>
        <w:t xml:space="preserve">must accept for the purposes of disposition of the preliminary objection all well-pleaded, material facts of the other party, as well as every inference fairly deducible from those facts.  </w:t>
      </w:r>
      <w:r w:rsidR="00834229" w:rsidRPr="00A92E3E">
        <w:rPr>
          <w:i/>
          <w:sz w:val="26"/>
          <w:szCs w:val="26"/>
        </w:rPr>
        <w:t>County of Allegheny v. Commonwealth</w:t>
      </w:r>
      <w:r w:rsidR="00834229" w:rsidRPr="00A92E3E">
        <w:rPr>
          <w:sz w:val="26"/>
          <w:szCs w:val="26"/>
        </w:rPr>
        <w:t xml:space="preserve"> </w:t>
      </w:r>
      <w:r w:rsidR="00834229" w:rsidRPr="00A92E3E">
        <w:rPr>
          <w:i/>
          <w:sz w:val="26"/>
          <w:szCs w:val="26"/>
        </w:rPr>
        <w:t>of Pa.</w:t>
      </w:r>
      <w:r w:rsidR="00834229" w:rsidRPr="00A92E3E">
        <w:rPr>
          <w:sz w:val="26"/>
          <w:szCs w:val="26"/>
        </w:rPr>
        <w:t xml:space="preserve">, 507 Pa. 360, 490 A.2d 402 (1985).  The preliminary objection may be granted only if the moving party prevails as a matter of law.  </w:t>
      </w:r>
      <w:r w:rsidR="00834229" w:rsidRPr="00A92E3E">
        <w:rPr>
          <w:i/>
          <w:sz w:val="26"/>
          <w:szCs w:val="26"/>
        </w:rPr>
        <w:t>Rok v. Flaherty</w:t>
      </w:r>
      <w:r w:rsidR="00834229" w:rsidRPr="00A92E3E">
        <w:rPr>
          <w:sz w:val="26"/>
          <w:szCs w:val="26"/>
        </w:rPr>
        <w:t>, 527 A.2d 211 (Pa. Cmwlth. 1987).  Any doubt must be resolved in favor of the non-moving party by refusing to sustain</w:t>
      </w:r>
      <w:r w:rsidR="00834229" w:rsidRPr="00DB3709">
        <w:rPr>
          <w:sz w:val="26"/>
          <w:szCs w:val="26"/>
        </w:rPr>
        <w:t xml:space="preserve"> the preliminary objections.  </w:t>
      </w:r>
      <w:r w:rsidR="00834229" w:rsidRPr="00DB3709">
        <w:rPr>
          <w:i/>
          <w:sz w:val="26"/>
          <w:szCs w:val="26"/>
        </w:rPr>
        <w:t>Dep’t of Auditor General, et al. v. State Employees’ Retirement System, et al.</w:t>
      </w:r>
      <w:r w:rsidR="00834229" w:rsidRPr="00DB3709">
        <w:rPr>
          <w:sz w:val="26"/>
          <w:szCs w:val="26"/>
        </w:rPr>
        <w:t xml:space="preserve">, 836 A.2d 1053, 1064 (Pa. Cmwlth. 2003) </w:t>
      </w:r>
      <w:r w:rsidR="00834229" w:rsidRPr="002B7046">
        <w:rPr>
          <w:i/>
          <w:sz w:val="26"/>
          <w:szCs w:val="26"/>
        </w:rPr>
        <w:t>citing</w:t>
      </w:r>
      <w:r w:rsidR="00834229" w:rsidRPr="00DB3709">
        <w:rPr>
          <w:i/>
          <w:sz w:val="26"/>
          <w:szCs w:val="26"/>
        </w:rPr>
        <w:t xml:space="preserve"> Boyd v. Ward</w:t>
      </w:r>
      <w:r w:rsidR="00834229" w:rsidRPr="00DB3709">
        <w:rPr>
          <w:sz w:val="26"/>
          <w:szCs w:val="26"/>
        </w:rPr>
        <w:t>, 802 A.2d 705 (Pa. Cmwlth. 2002).</w:t>
      </w:r>
    </w:p>
    <w:p w14:paraId="567DD819" w14:textId="77777777" w:rsidR="00834229" w:rsidRPr="00DB3709" w:rsidRDefault="00834229" w:rsidP="00767895">
      <w:pPr>
        <w:spacing w:line="360" w:lineRule="auto"/>
        <w:ind w:firstLine="1440"/>
        <w:contextualSpacing/>
        <w:rPr>
          <w:sz w:val="26"/>
          <w:szCs w:val="26"/>
        </w:rPr>
      </w:pPr>
    </w:p>
    <w:p w14:paraId="631EBC19" w14:textId="4209EE4C" w:rsidR="00834229" w:rsidRDefault="007967D6" w:rsidP="00767895">
      <w:pPr>
        <w:spacing w:line="360" w:lineRule="auto"/>
        <w:ind w:firstLine="1440"/>
        <w:contextualSpacing/>
        <w:rPr>
          <w:sz w:val="26"/>
          <w:szCs w:val="26"/>
        </w:rPr>
      </w:pPr>
      <w:r>
        <w:rPr>
          <w:sz w:val="26"/>
          <w:szCs w:val="26"/>
        </w:rPr>
        <w:t xml:space="preserve">With respect to </w:t>
      </w:r>
      <w:r w:rsidR="00834229">
        <w:rPr>
          <w:sz w:val="26"/>
          <w:szCs w:val="26"/>
        </w:rPr>
        <w:t>a</w:t>
      </w:r>
      <w:r w:rsidR="00834229" w:rsidRPr="00122CBA">
        <w:rPr>
          <w:sz w:val="26"/>
          <w:szCs w:val="26"/>
        </w:rPr>
        <w:t xml:space="preserve"> motion for judgment on the pleadings</w:t>
      </w:r>
      <w:r>
        <w:rPr>
          <w:sz w:val="26"/>
          <w:szCs w:val="26"/>
        </w:rPr>
        <w:t xml:space="preserve"> as the ALJ construed Verizon’s Preliminary Objections to be, such </w:t>
      </w:r>
      <w:r w:rsidR="00AA4437">
        <w:rPr>
          <w:sz w:val="26"/>
          <w:szCs w:val="26"/>
        </w:rPr>
        <w:t xml:space="preserve">a </w:t>
      </w:r>
      <w:r w:rsidR="00834229" w:rsidRPr="00122CBA">
        <w:rPr>
          <w:sz w:val="26"/>
          <w:szCs w:val="26"/>
        </w:rPr>
        <w:t xml:space="preserve">motion will be granted if the applicable pleadings, depositions, answers to interrogatories and admissions, together </w:t>
      </w:r>
      <w:r w:rsidR="00834229" w:rsidRPr="00122CBA">
        <w:rPr>
          <w:sz w:val="26"/>
          <w:szCs w:val="26"/>
        </w:rPr>
        <w:lastRenderedPageBreak/>
        <w:t xml:space="preserve">with affidavits, if any, show that there is no genuine issue as to a material fact and that the moving party is entitled to a judgment as a matter of law.  </w:t>
      </w:r>
    </w:p>
    <w:p w14:paraId="2D22FE53" w14:textId="77777777" w:rsidR="00834229" w:rsidRPr="00122CBA" w:rsidRDefault="00834229" w:rsidP="00767895">
      <w:pPr>
        <w:spacing w:line="360" w:lineRule="auto"/>
        <w:ind w:firstLine="1440"/>
        <w:contextualSpacing/>
        <w:rPr>
          <w:sz w:val="26"/>
          <w:szCs w:val="26"/>
        </w:rPr>
      </w:pPr>
    </w:p>
    <w:p w14:paraId="32837791" w14:textId="77777777" w:rsidR="00834229" w:rsidRPr="00122CBA" w:rsidRDefault="00834229" w:rsidP="00C6301A">
      <w:pPr>
        <w:keepNext/>
        <w:keepLines/>
        <w:autoSpaceDE w:val="0"/>
        <w:autoSpaceDN w:val="0"/>
        <w:ind w:left="1440" w:right="1440"/>
        <w:contextualSpacing/>
        <w:outlineLvl w:val="3"/>
        <w:rPr>
          <w:rFonts w:eastAsia="SimSun"/>
          <w:b/>
          <w:bCs/>
          <w:iCs/>
          <w:sz w:val="26"/>
          <w:szCs w:val="26"/>
        </w:rPr>
      </w:pPr>
      <w:r w:rsidRPr="00122CBA">
        <w:rPr>
          <w:rFonts w:eastAsia="SimSun"/>
          <w:b/>
          <w:bCs/>
          <w:iCs/>
          <w:sz w:val="26"/>
          <w:szCs w:val="26"/>
        </w:rPr>
        <w:t>§ 5.102. Motions for summary judgment and judgment on the pleadings.</w:t>
      </w:r>
    </w:p>
    <w:p w14:paraId="788EBF1A" w14:textId="77777777" w:rsidR="00834229" w:rsidRPr="00122CBA" w:rsidRDefault="00834229" w:rsidP="00C6301A">
      <w:pPr>
        <w:keepNext/>
        <w:keepLines/>
        <w:autoSpaceDE w:val="0"/>
        <w:autoSpaceDN w:val="0"/>
        <w:contextualSpacing/>
        <w:rPr>
          <w:sz w:val="26"/>
          <w:szCs w:val="26"/>
        </w:rPr>
      </w:pPr>
    </w:p>
    <w:p w14:paraId="174648F3" w14:textId="59553516" w:rsidR="00834229" w:rsidRDefault="00834229" w:rsidP="00767895">
      <w:pPr>
        <w:ind w:left="1440" w:right="1440"/>
        <w:contextualSpacing/>
        <w:rPr>
          <w:sz w:val="26"/>
          <w:szCs w:val="26"/>
        </w:rPr>
      </w:pPr>
      <w:r w:rsidRPr="00122CBA">
        <w:rPr>
          <w:sz w:val="26"/>
          <w:szCs w:val="26"/>
        </w:rPr>
        <w:t> (a)  </w:t>
      </w:r>
      <w:r w:rsidRPr="00122CBA">
        <w:rPr>
          <w:i/>
          <w:iCs/>
          <w:sz w:val="26"/>
          <w:szCs w:val="26"/>
        </w:rPr>
        <w:t>Generally</w:t>
      </w:r>
      <w:r w:rsidRPr="00122CBA">
        <w:rPr>
          <w:sz w:val="26"/>
          <w:szCs w:val="26"/>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14:paraId="7E695988" w14:textId="77777777" w:rsidR="00834229" w:rsidRPr="00122CBA" w:rsidRDefault="00834229" w:rsidP="00767895">
      <w:pPr>
        <w:ind w:left="1440" w:right="1440"/>
        <w:contextualSpacing/>
        <w:rPr>
          <w:sz w:val="26"/>
          <w:szCs w:val="26"/>
        </w:rPr>
      </w:pPr>
    </w:p>
    <w:p w14:paraId="2A9CACA5" w14:textId="34E27332" w:rsidR="00834229" w:rsidRDefault="00834229" w:rsidP="00767895">
      <w:pPr>
        <w:spacing w:before="100" w:beforeAutospacing="1" w:after="100" w:afterAutospacing="1"/>
        <w:ind w:left="1440" w:right="1440"/>
        <w:contextualSpacing/>
        <w:rPr>
          <w:sz w:val="26"/>
          <w:szCs w:val="26"/>
        </w:rPr>
      </w:pPr>
      <w:r w:rsidRPr="00122CBA">
        <w:rPr>
          <w:sz w:val="26"/>
          <w:szCs w:val="26"/>
        </w:rPr>
        <w:t> (b)  </w:t>
      </w:r>
      <w:r w:rsidRPr="00122CBA">
        <w:rPr>
          <w:i/>
          <w:iCs/>
          <w:sz w:val="26"/>
          <w:szCs w:val="26"/>
        </w:rPr>
        <w:t>Answers</w:t>
      </w:r>
      <w:r w:rsidRPr="00122CBA">
        <w:rPr>
          <w:sz w:val="26"/>
          <w:szCs w:val="26"/>
        </w:rPr>
        <w:t>.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w:t>
      </w:r>
    </w:p>
    <w:p w14:paraId="579801B1" w14:textId="77777777" w:rsidR="00834229" w:rsidRPr="00122CBA" w:rsidRDefault="00834229" w:rsidP="00767895">
      <w:pPr>
        <w:spacing w:before="100" w:beforeAutospacing="1" w:after="100" w:afterAutospacing="1"/>
        <w:ind w:left="1440" w:right="1440"/>
        <w:contextualSpacing/>
        <w:rPr>
          <w:sz w:val="26"/>
          <w:szCs w:val="26"/>
        </w:rPr>
      </w:pPr>
    </w:p>
    <w:p w14:paraId="7D85D5A3" w14:textId="6E6A15B6" w:rsidR="00834229" w:rsidRDefault="00834229" w:rsidP="00767895">
      <w:pPr>
        <w:spacing w:before="100" w:beforeAutospacing="1" w:after="100" w:afterAutospacing="1"/>
        <w:ind w:left="1440" w:right="1440"/>
        <w:contextualSpacing/>
        <w:rPr>
          <w:sz w:val="26"/>
          <w:szCs w:val="26"/>
        </w:rPr>
      </w:pPr>
      <w:r w:rsidRPr="00122CBA">
        <w:rPr>
          <w:sz w:val="26"/>
          <w:szCs w:val="26"/>
        </w:rPr>
        <w:t> (c)  </w:t>
      </w:r>
      <w:r w:rsidRPr="00122CBA">
        <w:rPr>
          <w:i/>
          <w:iCs/>
          <w:sz w:val="26"/>
          <w:szCs w:val="26"/>
        </w:rPr>
        <w:t>Motion for summary judgment</w:t>
      </w:r>
      <w:r w:rsidRPr="00122CBA">
        <w:rPr>
          <w:sz w:val="26"/>
          <w:szCs w:val="26"/>
        </w:rPr>
        <w:t>. A motion for summary judgment must be based on the pleadings and depositions, answers to interrogatories, admissions and supporting affidavits. Documents not already filed with the Commission shall be filed with the motion.</w:t>
      </w:r>
    </w:p>
    <w:p w14:paraId="1261D577" w14:textId="77777777" w:rsidR="00834229" w:rsidRPr="00122CBA" w:rsidRDefault="00834229" w:rsidP="00767895">
      <w:pPr>
        <w:spacing w:before="100" w:beforeAutospacing="1" w:after="100" w:afterAutospacing="1"/>
        <w:ind w:left="1440" w:right="1440"/>
        <w:contextualSpacing/>
        <w:rPr>
          <w:sz w:val="26"/>
          <w:szCs w:val="26"/>
        </w:rPr>
      </w:pPr>
    </w:p>
    <w:p w14:paraId="4E46E476" w14:textId="76CFCB12" w:rsidR="00834229" w:rsidRDefault="00834229" w:rsidP="00767895">
      <w:pPr>
        <w:spacing w:before="100" w:beforeAutospacing="1" w:after="100" w:afterAutospacing="1"/>
        <w:ind w:left="1440" w:right="1440"/>
        <w:contextualSpacing/>
        <w:rPr>
          <w:sz w:val="26"/>
          <w:szCs w:val="26"/>
        </w:rPr>
      </w:pPr>
      <w:r w:rsidRPr="00122CBA">
        <w:rPr>
          <w:sz w:val="26"/>
          <w:szCs w:val="26"/>
        </w:rPr>
        <w:t> (d)  </w:t>
      </w:r>
      <w:r w:rsidRPr="00122CBA">
        <w:rPr>
          <w:i/>
          <w:iCs/>
          <w:sz w:val="26"/>
          <w:szCs w:val="26"/>
        </w:rPr>
        <w:t>Decisions on motions</w:t>
      </w:r>
      <w:r w:rsidRPr="00122CBA">
        <w:rPr>
          <w:sz w:val="26"/>
          <w:szCs w:val="26"/>
        </w:rPr>
        <w:t>.</w:t>
      </w:r>
    </w:p>
    <w:p w14:paraId="10B75F7B" w14:textId="77777777" w:rsidR="00834229" w:rsidRPr="00122CBA" w:rsidRDefault="00834229" w:rsidP="00767895">
      <w:pPr>
        <w:spacing w:before="100" w:beforeAutospacing="1" w:after="100" w:afterAutospacing="1"/>
        <w:ind w:left="1440" w:right="1440"/>
        <w:contextualSpacing/>
        <w:rPr>
          <w:sz w:val="26"/>
          <w:szCs w:val="26"/>
        </w:rPr>
      </w:pPr>
    </w:p>
    <w:p w14:paraId="39E6709B" w14:textId="77777777" w:rsidR="00C6301A" w:rsidRDefault="00834229" w:rsidP="00767895">
      <w:pPr>
        <w:numPr>
          <w:ilvl w:val="0"/>
          <w:numId w:val="12"/>
        </w:numPr>
        <w:autoSpaceDE w:val="0"/>
        <w:autoSpaceDN w:val="0"/>
        <w:spacing w:before="100" w:beforeAutospacing="1" w:after="100" w:afterAutospacing="1"/>
        <w:ind w:right="1440"/>
        <w:contextualSpacing/>
        <w:rPr>
          <w:sz w:val="26"/>
          <w:szCs w:val="26"/>
        </w:rPr>
      </w:pPr>
      <w:r w:rsidRPr="00122CBA">
        <w:rPr>
          <w:i/>
          <w:iCs/>
          <w:sz w:val="26"/>
          <w:szCs w:val="26"/>
        </w:rPr>
        <w:t>Standard for grant or denial on all counts</w:t>
      </w:r>
      <w:r w:rsidRPr="00122CBA">
        <w:rPr>
          <w:sz w:val="26"/>
          <w:szCs w:val="26"/>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w:t>
      </w:r>
    </w:p>
    <w:p w14:paraId="65D6B8A4" w14:textId="4CECF7AC" w:rsidR="00834229" w:rsidRPr="00122CBA" w:rsidRDefault="00834229" w:rsidP="00787F64">
      <w:pPr>
        <w:keepNext/>
        <w:keepLines/>
        <w:autoSpaceDE w:val="0"/>
        <w:autoSpaceDN w:val="0"/>
        <w:spacing w:before="100" w:beforeAutospacing="1" w:after="100" w:afterAutospacing="1"/>
        <w:ind w:left="2016" w:right="1440"/>
        <w:contextualSpacing/>
        <w:rPr>
          <w:sz w:val="26"/>
          <w:szCs w:val="26"/>
        </w:rPr>
      </w:pPr>
      <w:r w:rsidRPr="00122CBA">
        <w:rPr>
          <w:sz w:val="26"/>
          <w:szCs w:val="26"/>
        </w:rPr>
        <w:t>affidavits, if any, show that there is no genuine issue as to a material fact and that the moving party is entitled to a judgment as a matter of law.</w:t>
      </w:r>
    </w:p>
    <w:p w14:paraId="797645F0" w14:textId="77777777" w:rsidR="00834229" w:rsidRPr="00122CBA" w:rsidRDefault="00834229" w:rsidP="00787F64">
      <w:pPr>
        <w:keepNext/>
        <w:keepLines/>
        <w:ind w:right="144"/>
        <w:contextualSpacing/>
        <w:rPr>
          <w:sz w:val="26"/>
          <w:szCs w:val="26"/>
        </w:rPr>
      </w:pPr>
    </w:p>
    <w:p w14:paraId="49660AA3" w14:textId="77777777" w:rsidR="00577C67" w:rsidRDefault="00577C67" w:rsidP="00787F64">
      <w:pPr>
        <w:keepNext/>
        <w:keepLines/>
        <w:spacing w:line="360" w:lineRule="auto"/>
        <w:contextualSpacing/>
        <w:rPr>
          <w:sz w:val="26"/>
          <w:szCs w:val="26"/>
        </w:rPr>
      </w:pPr>
    </w:p>
    <w:p w14:paraId="6AB2F231" w14:textId="1CAE575E" w:rsidR="00834229" w:rsidRDefault="00834229" w:rsidP="00767895">
      <w:pPr>
        <w:spacing w:line="360" w:lineRule="auto"/>
        <w:contextualSpacing/>
        <w:rPr>
          <w:sz w:val="26"/>
          <w:szCs w:val="26"/>
        </w:rPr>
      </w:pPr>
      <w:r w:rsidRPr="00122CBA">
        <w:rPr>
          <w:sz w:val="26"/>
          <w:szCs w:val="26"/>
        </w:rPr>
        <w:t>52 Pa. Code § 5.102.</w:t>
      </w:r>
    </w:p>
    <w:p w14:paraId="6E023FFA" w14:textId="77777777" w:rsidR="00834229" w:rsidRDefault="00834229" w:rsidP="00767895">
      <w:pPr>
        <w:spacing w:line="360" w:lineRule="auto"/>
        <w:contextualSpacing/>
        <w:rPr>
          <w:sz w:val="26"/>
          <w:szCs w:val="26"/>
        </w:rPr>
      </w:pPr>
    </w:p>
    <w:p w14:paraId="675D5586" w14:textId="21277855" w:rsidR="00834229" w:rsidRDefault="00834229" w:rsidP="00767895">
      <w:pPr>
        <w:spacing w:line="360" w:lineRule="auto"/>
        <w:ind w:firstLine="720"/>
        <w:contextualSpacing/>
        <w:rPr>
          <w:snapToGrid w:val="0"/>
          <w:sz w:val="26"/>
          <w:szCs w:val="26"/>
        </w:rPr>
      </w:pPr>
      <w:r>
        <w:rPr>
          <w:sz w:val="26"/>
          <w:szCs w:val="26"/>
        </w:rPr>
        <w:tab/>
      </w:r>
      <w:r w:rsidRPr="00122CBA">
        <w:rPr>
          <w:snapToGrid w:val="0"/>
          <w:sz w:val="26"/>
          <w:szCs w:val="26"/>
        </w:rPr>
        <w:t xml:space="preserve">When disposing of a </w:t>
      </w:r>
      <w:r>
        <w:rPr>
          <w:snapToGrid w:val="0"/>
          <w:sz w:val="26"/>
          <w:szCs w:val="26"/>
        </w:rPr>
        <w:t>m</w:t>
      </w:r>
      <w:r w:rsidRPr="00122CBA">
        <w:rPr>
          <w:snapToGrid w:val="0"/>
          <w:sz w:val="26"/>
          <w:szCs w:val="26"/>
        </w:rPr>
        <w:t xml:space="preserve">otion for </w:t>
      </w:r>
      <w:r>
        <w:rPr>
          <w:snapToGrid w:val="0"/>
          <w:sz w:val="26"/>
          <w:szCs w:val="26"/>
        </w:rPr>
        <w:t>j</w:t>
      </w:r>
      <w:r w:rsidRPr="00122CBA">
        <w:rPr>
          <w:snapToGrid w:val="0"/>
          <w:sz w:val="26"/>
          <w:szCs w:val="26"/>
        </w:rPr>
        <w:t>udgment</w:t>
      </w:r>
      <w:r w:rsidR="007967D6">
        <w:rPr>
          <w:snapToGrid w:val="0"/>
          <w:sz w:val="26"/>
          <w:szCs w:val="26"/>
        </w:rPr>
        <w:t xml:space="preserve"> on the pleadings</w:t>
      </w:r>
      <w:r w:rsidRPr="00122CBA">
        <w:rPr>
          <w:snapToGrid w:val="0"/>
          <w:sz w:val="26"/>
          <w:szCs w:val="26"/>
        </w:rPr>
        <w:t>, the record must be examined in the light most favorable to the nonmoving party</w:t>
      </w:r>
      <w:r>
        <w:rPr>
          <w:snapToGrid w:val="0"/>
          <w:sz w:val="26"/>
          <w:szCs w:val="26"/>
        </w:rPr>
        <w:t>,</w:t>
      </w:r>
      <w:r w:rsidRPr="00122CBA">
        <w:rPr>
          <w:snapToGrid w:val="0"/>
          <w:sz w:val="26"/>
          <w:szCs w:val="26"/>
        </w:rPr>
        <w:t xml:space="preserve"> giving the nonmoving party the benefit of all reasonable inferences.  </w:t>
      </w:r>
      <w:r w:rsidRPr="00122CBA">
        <w:rPr>
          <w:i/>
          <w:snapToGrid w:val="0"/>
          <w:sz w:val="26"/>
          <w:szCs w:val="26"/>
        </w:rPr>
        <w:t>First Mortgage Co. of Pennsylvania v. McCall</w:t>
      </w:r>
      <w:r w:rsidRPr="00122CBA">
        <w:rPr>
          <w:snapToGrid w:val="0"/>
          <w:sz w:val="26"/>
          <w:szCs w:val="26"/>
        </w:rPr>
        <w:t>, 459 A.2d 406, 408 (</w:t>
      </w:r>
      <w:r>
        <w:rPr>
          <w:snapToGrid w:val="0"/>
          <w:sz w:val="26"/>
          <w:szCs w:val="26"/>
        </w:rPr>
        <w:t xml:space="preserve">Pa. Super. </w:t>
      </w:r>
      <w:r w:rsidRPr="00122CBA">
        <w:rPr>
          <w:snapToGrid w:val="0"/>
          <w:sz w:val="26"/>
          <w:szCs w:val="26"/>
        </w:rPr>
        <w:t xml:space="preserve">1983).  All doubts as to the existence of a genuine issue of material fact must be resolved against the moving party.  </w:t>
      </w:r>
      <w:r w:rsidRPr="00122CBA">
        <w:rPr>
          <w:i/>
          <w:snapToGrid w:val="0"/>
          <w:sz w:val="26"/>
          <w:szCs w:val="26"/>
        </w:rPr>
        <w:t>Thomson Coal Co. v. Pike Coal Co.</w:t>
      </w:r>
      <w:r w:rsidRPr="00122CBA">
        <w:rPr>
          <w:snapToGrid w:val="0"/>
          <w:sz w:val="26"/>
          <w:szCs w:val="26"/>
        </w:rPr>
        <w:t>, 412 A.2d 466 (Pa. 1979).</w:t>
      </w:r>
    </w:p>
    <w:p w14:paraId="02A6F1B1" w14:textId="77777777" w:rsidR="00834229" w:rsidRDefault="00834229" w:rsidP="00767895">
      <w:pPr>
        <w:spacing w:line="360" w:lineRule="auto"/>
        <w:rPr>
          <w:sz w:val="26"/>
          <w:szCs w:val="26"/>
        </w:rPr>
      </w:pPr>
    </w:p>
    <w:p w14:paraId="5992B804" w14:textId="77777777" w:rsidR="00834229" w:rsidRPr="004E64B8" w:rsidRDefault="00834229" w:rsidP="00767895">
      <w:pPr>
        <w:keepNext/>
        <w:keepLines/>
        <w:spacing w:line="360" w:lineRule="auto"/>
        <w:contextualSpacing/>
        <w:rPr>
          <w:b/>
          <w:sz w:val="26"/>
          <w:szCs w:val="26"/>
        </w:rPr>
      </w:pPr>
      <w:r w:rsidRPr="004E64B8">
        <w:rPr>
          <w:b/>
          <w:sz w:val="26"/>
          <w:szCs w:val="26"/>
        </w:rPr>
        <w:t>ALJ’s Initial Decision</w:t>
      </w:r>
    </w:p>
    <w:p w14:paraId="6CAA4B71" w14:textId="77777777" w:rsidR="00834229" w:rsidRPr="00F70B64" w:rsidRDefault="00834229" w:rsidP="00767895">
      <w:pPr>
        <w:spacing w:line="360" w:lineRule="auto"/>
        <w:rPr>
          <w:sz w:val="26"/>
          <w:szCs w:val="26"/>
        </w:rPr>
      </w:pPr>
    </w:p>
    <w:p w14:paraId="5C1D24A9" w14:textId="77777777" w:rsidR="00834229" w:rsidRPr="004E64B8" w:rsidRDefault="00834229" w:rsidP="00767895">
      <w:pPr>
        <w:spacing w:line="360" w:lineRule="auto"/>
        <w:ind w:firstLine="1440"/>
        <w:contextualSpacing/>
        <w:rPr>
          <w:sz w:val="26"/>
          <w:szCs w:val="26"/>
        </w:rPr>
      </w:pPr>
      <w:r w:rsidRPr="004E64B8">
        <w:rPr>
          <w:sz w:val="26"/>
          <w:szCs w:val="26"/>
        </w:rPr>
        <w:t xml:space="preserve">ALJ </w:t>
      </w:r>
      <w:r w:rsidR="00EE53D5">
        <w:rPr>
          <w:sz w:val="26"/>
          <w:szCs w:val="26"/>
        </w:rPr>
        <w:t xml:space="preserve">Salapa </w:t>
      </w:r>
      <w:r w:rsidRPr="004E64B8">
        <w:rPr>
          <w:sz w:val="26"/>
          <w:szCs w:val="26"/>
        </w:rPr>
        <w:t xml:space="preserve">made </w:t>
      </w:r>
      <w:r>
        <w:rPr>
          <w:sz w:val="26"/>
          <w:szCs w:val="26"/>
        </w:rPr>
        <w:t>seven</w:t>
      </w:r>
      <w:r w:rsidRPr="004E64B8">
        <w:rPr>
          <w:sz w:val="26"/>
          <w:szCs w:val="26"/>
        </w:rPr>
        <w:t xml:space="preserve"> Findings of Fact and reached t</w:t>
      </w:r>
      <w:r>
        <w:rPr>
          <w:sz w:val="26"/>
          <w:szCs w:val="26"/>
        </w:rPr>
        <w:t>wo</w:t>
      </w:r>
      <w:r w:rsidRPr="004E64B8">
        <w:rPr>
          <w:sz w:val="26"/>
          <w:szCs w:val="26"/>
        </w:rPr>
        <w:t xml:space="preserve"> Conclusions of Law.  I.D. at 3, </w:t>
      </w:r>
      <w:r>
        <w:rPr>
          <w:sz w:val="26"/>
          <w:szCs w:val="26"/>
        </w:rPr>
        <w:t>7</w:t>
      </w:r>
      <w:r w:rsidRPr="004E64B8">
        <w:rPr>
          <w:sz w:val="26"/>
          <w:szCs w:val="26"/>
        </w:rPr>
        <w:t>.  We shall adopt and incorporate herein by reference the ALJ’s Findings of Fact and Conclusions of Law, unless they are reversed or modified by this Opinion and Order, either express</w:t>
      </w:r>
      <w:r>
        <w:rPr>
          <w:sz w:val="26"/>
          <w:szCs w:val="26"/>
        </w:rPr>
        <w:t>ly or by necessary implication.</w:t>
      </w:r>
    </w:p>
    <w:p w14:paraId="651455E9" w14:textId="77777777" w:rsidR="005808A0" w:rsidRPr="00F70B64" w:rsidRDefault="005808A0" w:rsidP="00767895">
      <w:pPr>
        <w:spacing w:line="360" w:lineRule="auto"/>
        <w:rPr>
          <w:sz w:val="26"/>
          <w:szCs w:val="26"/>
        </w:rPr>
      </w:pPr>
    </w:p>
    <w:p w14:paraId="5830C8C6" w14:textId="675A854A" w:rsidR="00EE53D5" w:rsidRDefault="00EE53D5" w:rsidP="00767895">
      <w:pPr>
        <w:pStyle w:val="BodyText"/>
        <w:ind w:firstLine="720"/>
        <w:contextualSpacing/>
        <w:rPr>
          <w:szCs w:val="26"/>
        </w:rPr>
      </w:pPr>
      <w:r>
        <w:rPr>
          <w:szCs w:val="26"/>
        </w:rPr>
        <w:tab/>
      </w:r>
      <w:r w:rsidRPr="00FA209B">
        <w:rPr>
          <w:szCs w:val="26"/>
        </w:rPr>
        <w:t xml:space="preserve">Initially, we are reminded that we are not required to consider expressly or at great length each and every contention raised by a party to our proceedings.  Any argument that is not specifically addressed herein shall be deemed to have been duly considered and denied without further discussion.  </w:t>
      </w:r>
      <w:r w:rsidRPr="001237C2">
        <w:rPr>
          <w:i/>
          <w:szCs w:val="26"/>
        </w:rPr>
        <w:t>Consolidated Rail Corp. v. Pa. PUC</w:t>
      </w:r>
      <w:r w:rsidRPr="00FA209B">
        <w:rPr>
          <w:szCs w:val="26"/>
        </w:rPr>
        <w:t xml:space="preserve">, 625 A.2d 741 (Pa. Cmwlth. 1993); </w:t>
      </w:r>
      <w:r w:rsidRPr="00CF6638">
        <w:rPr>
          <w:i/>
          <w:szCs w:val="26"/>
        </w:rPr>
        <w:t>also see</w:t>
      </w:r>
      <w:r w:rsidRPr="00FA209B">
        <w:rPr>
          <w:szCs w:val="26"/>
        </w:rPr>
        <w:t xml:space="preserve">, </w:t>
      </w:r>
      <w:r w:rsidRPr="00CF6638">
        <w:rPr>
          <w:i/>
          <w:szCs w:val="26"/>
        </w:rPr>
        <w:t>generally</w:t>
      </w:r>
      <w:r w:rsidRPr="00FA209B">
        <w:rPr>
          <w:szCs w:val="26"/>
        </w:rPr>
        <w:t xml:space="preserve">, </w:t>
      </w:r>
      <w:r w:rsidRPr="001237C2">
        <w:rPr>
          <w:i/>
          <w:szCs w:val="26"/>
        </w:rPr>
        <w:t>University of Pennsylvania v. Pa. PUC</w:t>
      </w:r>
      <w:r w:rsidRPr="00FA209B">
        <w:rPr>
          <w:szCs w:val="26"/>
        </w:rPr>
        <w:t>, 485 A.2d 1217 (Pa. Cmwlth. 1984).</w:t>
      </w:r>
    </w:p>
    <w:p w14:paraId="62933ACE" w14:textId="77777777" w:rsidR="00EE53D5" w:rsidRPr="00FA209B" w:rsidRDefault="00EE53D5" w:rsidP="00767895">
      <w:pPr>
        <w:pStyle w:val="BodyText"/>
        <w:ind w:firstLine="720"/>
        <w:contextualSpacing/>
        <w:rPr>
          <w:szCs w:val="26"/>
        </w:rPr>
      </w:pPr>
    </w:p>
    <w:p w14:paraId="4543D9BC" w14:textId="556D832C" w:rsidR="00EE53D5" w:rsidRDefault="007F3F27" w:rsidP="00767895">
      <w:pPr>
        <w:pStyle w:val="BodyText"/>
        <w:ind w:firstLine="1440"/>
        <w:contextualSpacing/>
        <w:rPr>
          <w:szCs w:val="26"/>
        </w:rPr>
      </w:pPr>
      <w:r>
        <w:rPr>
          <w:szCs w:val="26"/>
        </w:rPr>
        <w:t xml:space="preserve">The ALJ first </w:t>
      </w:r>
      <w:r w:rsidR="00EE53D5">
        <w:rPr>
          <w:szCs w:val="26"/>
        </w:rPr>
        <w:t>addressed the Commission’s standards for the filing of preliminary objections</w:t>
      </w:r>
      <w:r w:rsidR="00EE53D5">
        <w:rPr>
          <w:i/>
          <w:szCs w:val="26"/>
        </w:rPr>
        <w:t>.</w:t>
      </w:r>
      <w:r w:rsidR="00EE53D5">
        <w:rPr>
          <w:szCs w:val="26"/>
        </w:rPr>
        <w:t xml:space="preserve">  The ALJ stated that in considering a preliminary objection, the Commission must rely solely on the assertions made by a complainant in the complaint.  </w:t>
      </w:r>
      <w:r w:rsidR="005748C3">
        <w:rPr>
          <w:szCs w:val="26"/>
        </w:rPr>
        <w:t>T</w:t>
      </w:r>
      <w:r w:rsidR="00EE53D5">
        <w:rPr>
          <w:szCs w:val="26"/>
        </w:rPr>
        <w:t xml:space="preserve">he ALJ pointed out that information </w:t>
      </w:r>
      <w:r w:rsidR="005748C3">
        <w:rPr>
          <w:szCs w:val="26"/>
        </w:rPr>
        <w:t xml:space="preserve">asserting that the service provided was VoIP </w:t>
      </w:r>
      <w:r w:rsidR="00EE53D5">
        <w:rPr>
          <w:szCs w:val="26"/>
        </w:rPr>
        <w:t xml:space="preserve">is contained only in Verizon’s unanswered New Matter.  The ALJ opined that because Verizon based its assertion that the Commission lacks jurisdiction over the Complaint on allegations that were not contained in the Complaint itself, Verizon should have filed a </w:t>
      </w:r>
      <w:r w:rsidR="00EE53D5">
        <w:rPr>
          <w:szCs w:val="26"/>
        </w:rPr>
        <w:lastRenderedPageBreak/>
        <w:t xml:space="preserve">motion for judgment </w:t>
      </w:r>
      <w:r w:rsidR="001A7173">
        <w:rPr>
          <w:szCs w:val="26"/>
        </w:rPr>
        <w:t xml:space="preserve">on the pleadings </w:t>
      </w:r>
      <w:r w:rsidR="00EE53D5">
        <w:rPr>
          <w:szCs w:val="26"/>
        </w:rPr>
        <w:t xml:space="preserve">and not preliminary objections.  The ALJ explained that a motion for judgment </w:t>
      </w:r>
      <w:r w:rsidR="008D05E9">
        <w:rPr>
          <w:szCs w:val="26"/>
        </w:rPr>
        <w:t xml:space="preserve">on the pleadings </w:t>
      </w:r>
      <w:r w:rsidR="00EE53D5">
        <w:rPr>
          <w:szCs w:val="26"/>
        </w:rPr>
        <w:t xml:space="preserve">permits the Commission to consider allegations other than those contained in a complaint in determining whether the Commission lacks subject matter jurisdiction over the complaint.  </w:t>
      </w:r>
      <w:r w:rsidR="009B042E">
        <w:rPr>
          <w:szCs w:val="26"/>
        </w:rPr>
        <w:t xml:space="preserve">Since Verizon </w:t>
      </w:r>
      <w:r w:rsidR="00324463">
        <w:rPr>
          <w:szCs w:val="26"/>
        </w:rPr>
        <w:t xml:space="preserve">timely raised the issue of jurisdiction as an affirmative defense in its New Matter, </w:t>
      </w:r>
      <w:r w:rsidR="00EE53D5">
        <w:rPr>
          <w:szCs w:val="26"/>
        </w:rPr>
        <w:t>the ALJ stated that he treated Verizon’s Preliminary Objections as a Motion for Judgment</w:t>
      </w:r>
      <w:r w:rsidR="003A390A">
        <w:rPr>
          <w:szCs w:val="26"/>
        </w:rPr>
        <w:t xml:space="preserve"> on the Pleadings</w:t>
      </w:r>
      <w:r w:rsidR="00E51E88">
        <w:rPr>
          <w:szCs w:val="26"/>
        </w:rPr>
        <w:t xml:space="preserve"> and deemed the averments in the New Matter to be admitted</w:t>
      </w:r>
      <w:r w:rsidR="00EE53D5">
        <w:rPr>
          <w:szCs w:val="26"/>
        </w:rPr>
        <w:t>.</w:t>
      </w:r>
      <w:r w:rsidR="00EE53D5" w:rsidRPr="00D32DD1">
        <w:rPr>
          <w:rStyle w:val="FootnoteReference"/>
        </w:rPr>
        <w:footnoteReference w:id="4"/>
      </w:r>
      <w:r w:rsidR="00EE53D5" w:rsidRPr="00D32DD1">
        <w:rPr>
          <w:szCs w:val="26"/>
        </w:rPr>
        <w:t xml:space="preserve"> </w:t>
      </w:r>
      <w:r w:rsidR="00EE53D5">
        <w:rPr>
          <w:szCs w:val="26"/>
        </w:rPr>
        <w:t xml:space="preserve"> I.D. at 3-5.</w:t>
      </w:r>
    </w:p>
    <w:p w14:paraId="69767DAD" w14:textId="77777777" w:rsidR="007F3F27" w:rsidRDefault="007F3F27" w:rsidP="00767895">
      <w:pPr>
        <w:spacing w:line="360" w:lineRule="auto"/>
        <w:ind w:firstLine="1440"/>
        <w:contextualSpacing/>
        <w:rPr>
          <w:sz w:val="26"/>
          <w:szCs w:val="26"/>
        </w:rPr>
      </w:pPr>
    </w:p>
    <w:p w14:paraId="720C8BBA" w14:textId="470DCECD" w:rsidR="00EA187F" w:rsidRDefault="00900E01" w:rsidP="00767895">
      <w:pPr>
        <w:spacing w:line="360" w:lineRule="auto"/>
        <w:ind w:firstLine="1440"/>
        <w:contextualSpacing/>
        <w:rPr>
          <w:sz w:val="26"/>
          <w:szCs w:val="26"/>
        </w:rPr>
      </w:pPr>
      <w:r w:rsidRPr="005808A0">
        <w:rPr>
          <w:sz w:val="26"/>
          <w:szCs w:val="26"/>
        </w:rPr>
        <w:t>The ALJ agreed with Verizon</w:t>
      </w:r>
      <w:r w:rsidR="00EA187F">
        <w:rPr>
          <w:sz w:val="26"/>
          <w:szCs w:val="26"/>
        </w:rPr>
        <w:t>’</w:t>
      </w:r>
      <w:r w:rsidRPr="005808A0">
        <w:rPr>
          <w:sz w:val="26"/>
          <w:szCs w:val="26"/>
        </w:rPr>
        <w:t xml:space="preserve">s assertion in its Preliminary Objections that </w:t>
      </w:r>
      <w:r w:rsidR="00963140" w:rsidRPr="005808A0">
        <w:rPr>
          <w:sz w:val="26"/>
          <w:szCs w:val="26"/>
        </w:rPr>
        <w:t>th</w:t>
      </w:r>
      <w:r w:rsidR="00651CA5">
        <w:rPr>
          <w:sz w:val="26"/>
          <w:szCs w:val="26"/>
        </w:rPr>
        <w:t>e Complainant’s service is</w:t>
      </w:r>
      <w:r w:rsidR="00963140" w:rsidRPr="005808A0">
        <w:rPr>
          <w:sz w:val="26"/>
          <w:szCs w:val="26"/>
        </w:rPr>
        <w:t xml:space="preserve"> VoIP service</w:t>
      </w:r>
      <w:r w:rsidR="00B47B52">
        <w:rPr>
          <w:sz w:val="26"/>
          <w:szCs w:val="26"/>
        </w:rPr>
        <w:t>,</w:t>
      </w:r>
      <w:r w:rsidR="00963140" w:rsidRPr="005808A0">
        <w:rPr>
          <w:sz w:val="26"/>
          <w:szCs w:val="26"/>
        </w:rPr>
        <w:t xml:space="preserve"> </w:t>
      </w:r>
      <w:r w:rsidR="00651CA5">
        <w:rPr>
          <w:sz w:val="26"/>
          <w:szCs w:val="26"/>
        </w:rPr>
        <w:t xml:space="preserve">which </w:t>
      </w:r>
      <w:r w:rsidR="00B0781F">
        <w:rPr>
          <w:sz w:val="26"/>
          <w:szCs w:val="26"/>
        </w:rPr>
        <w:t>the ALJ concluded the Commission</w:t>
      </w:r>
      <w:r w:rsidR="00651CA5">
        <w:rPr>
          <w:sz w:val="26"/>
          <w:szCs w:val="26"/>
        </w:rPr>
        <w:t xml:space="preserve"> do</w:t>
      </w:r>
      <w:r w:rsidRPr="005808A0">
        <w:rPr>
          <w:sz w:val="26"/>
          <w:szCs w:val="26"/>
        </w:rPr>
        <w:t>es not</w:t>
      </w:r>
      <w:r w:rsidR="00963140" w:rsidRPr="005808A0">
        <w:rPr>
          <w:sz w:val="26"/>
          <w:szCs w:val="26"/>
        </w:rPr>
        <w:t xml:space="preserve"> regulate</w:t>
      </w:r>
      <w:r w:rsidRPr="005808A0">
        <w:rPr>
          <w:sz w:val="26"/>
          <w:szCs w:val="26"/>
        </w:rPr>
        <w:t xml:space="preserve">.  </w:t>
      </w:r>
      <w:r w:rsidR="00972133">
        <w:rPr>
          <w:sz w:val="26"/>
          <w:szCs w:val="26"/>
        </w:rPr>
        <w:t xml:space="preserve">As a creation of the General Assembly, stated the ALJ, the Commission has only the powers and authority </w:t>
      </w:r>
      <w:r w:rsidR="00B0781F">
        <w:rPr>
          <w:sz w:val="26"/>
          <w:szCs w:val="26"/>
        </w:rPr>
        <w:t xml:space="preserve">granted to it as contained in the Public Utility Code. </w:t>
      </w:r>
      <w:r w:rsidRPr="005808A0">
        <w:rPr>
          <w:sz w:val="26"/>
          <w:szCs w:val="26"/>
        </w:rPr>
        <w:t xml:space="preserve">The ALJ </w:t>
      </w:r>
      <w:r w:rsidR="00651CA5">
        <w:rPr>
          <w:sz w:val="26"/>
          <w:szCs w:val="26"/>
        </w:rPr>
        <w:t xml:space="preserve">then </w:t>
      </w:r>
      <w:r w:rsidRPr="005808A0">
        <w:rPr>
          <w:sz w:val="26"/>
          <w:szCs w:val="26"/>
        </w:rPr>
        <w:t>explained that the Voice</w:t>
      </w:r>
      <w:r w:rsidR="004D5581">
        <w:rPr>
          <w:sz w:val="26"/>
          <w:szCs w:val="26"/>
        </w:rPr>
        <w:t>-</w:t>
      </w:r>
      <w:r w:rsidR="00182D08" w:rsidRPr="005808A0">
        <w:rPr>
          <w:sz w:val="26"/>
          <w:szCs w:val="26"/>
        </w:rPr>
        <w:t>over</w:t>
      </w:r>
      <w:r w:rsidR="004D5581">
        <w:rPr>
          <w:sz w:val="26"/>
          <w:szCs w:val="26"/>
        </w:rPr>
        <w:t>-</w:t>
      </w:r>
      <w:r w:rsidRPr="005808A0">
        <w:rPr>
          <w:sz w:val="26"/>
          <w:szCs w:val="26"/>
        </w:rPr>
        <w:t>Internet</w:t>
      </w:r>
      <w:r w:rsidR="004D5581">
        <w:rPr>
          <w:sz w:val="26"/>
          <w:szCs w:val="26"/>
        </w:rPr>
        <w:t>-</w:t>
      </w:r>
      <w:r w:rsidRPr="005808A0">
        <w:rPr>
          <w:sz w:val="26"/>
          <w:szCs w:val="26"/>
        </w:rPr>
        <w:t xml:space="preserve">Protocol Freedom Act of 2008, 73 P.S. §§ 2251.1 </w:t>
      </w:r>
      <w:r w:rsidR="00027186" w:rsidRPr="002C6140">
        <w:rPr>
          <w:i/>
          <w:sz w:val="26"/>
          <w:szCs w:val="26"/>
        </w:rPr>
        <w:t>et seq</w:t>
      </w:r>
      <w:r w:rsidR="00027186">
        <w:rPr>
          <w:sz w:val="26"/>
          <w:szCs w:val="26"/>
        </w:rPr>
        <w:t xml:space="preserve">. </w:t>
      </w:r>
      <w:r w:rsidRPr="005808A0">
        <w:rPr>
          <w:sz w:val="26"/>
          <w:szCs w:val="26"/>
        </w:rPr>
        <w:t xml:space="preserve">(VoIP Freedom Act), </w:t>
      </w:r>
      <w:r w:rsidR="00663421">
        <w:rPr>
          <w:sz w:val="26"/>
          <w:szCs w:val="26"/>
        </w:rPr>
        <w:t>generally prohibit</w:t>
      </w:r>
      <w:r w:rsidRPr="005808A0">
        <w:rPr>
          <w:sz w:val="26"/>
          <w:szCs w:val="26"/>
        </w:rPr>
        <w:t xml:space="preserve">s the Commission from regulating the rates, terms, and </w:t>
      </w:r>
      <w:r w:rsidR="00ED5495" w:rsidRPr="005808A0">
        <w:rPr>
          <w:sz w:val="26"/>
          <w:szCs w:val="26"/>
        </w:rPr>
        <w:t>conditions of</w:t>
      </w:r>
      <w:r w:rsidR="00987E09" w:rsidRPr="005808A0">
        <w:rPr>
          <w:sz w:val="26"/>
          <w:szCs w:val="26"/>
        </w:rPr>
        <w:t xml:space="preserve"> </w:t>
      </w:r>
      <w:r w:rsidR="0069458B">
        <w:rPr>
          <w:sz w:val="26"/>
          <w:szCs w:val="26"/>
        </w:rPr>
        <w:t>I</w:t>
      </w:r>
      <w:r w:rsidR="00987E09" w:rsidRPr="005808A0">
        <w:rPr>
          <w:sz w:val="26"/>
          <w:szCs w:val="26"/>
        </w:rPr>
        <w:t>nternet</w:t>
      </w:r>
      <w:r w:rsidR="00C85E5F" w:rsidRPr="005808A0">
        <w:rPr>
          <w:sz w:val="26"/>
          <w:szCs w:val="26"/>
        </w:rPr>
        <w:t xml:space="preserve"> </w:t>
      </w:r>
      <w:r w:rsidR="0069458B">
        <w:rPr>
          <w:sz w:val="26"/>
          <w:szCs w:val="26"/>
        </w:rPr>
        <w:t>P</w:t>
      </w:r>
      <w:r w:rsidR="00AD149E" w:rsidRPr="005808A0">
        <w:rPr>
          <w:sz w:val="26"/>
          <w:szCs w:val="26"/>
        </w:rPr>
        <w:t>rotocol</w:t>
      </w:r>
      <w:r w:rsidR="00C85E5F" w:rsidRPr="005808A0">
        <w:rPr>
          <w:sz w:val="26"/>
          <w:szCs w:val="26"/>
        </w:rPr>
        <w:t>-enabled service</w:t>
      </w:r>
      <w:r w:rsidR="0069458B">
        <w:rPr>
          <w:sz w:val="26"/>
          <w:szCs w:val="26"/>
        </w:rPr>
        <w:t>s</w:t>
      </w:r>
      <w:r w:rsidR="00C85E5F" w:rsidRPr="005808A0">
        <w:rPr>
          <w:sz w:val="26"/>
          <w:szCs w:val="26"/>
        </w:rPr>
        <w:t>.</w:t>
      </w:r>
      <w:r w:rsidR="0069458B">
        <w:rPr>
          <w:rStyle w:val="FootnoteReference"/>
        </w:rPr>
        <w:footnoteReference w:id="5"/>
      </w:r>
      <w:r w:rsidR="00C85E5F" w:rsidRPr="005808A0">
        <w:rPr>
          <w:sz w:val="26"/>
          <w:szCs w:val="26"/>
        </w:rPr>
        <w:t xml:space="preserve">  </w:t>
      </w:r>
      <w:r w:rsidR="00663421" w:rsidRPr="005808A0">
        <w:rPr>
          <w:sz w:val="26"/>
          <w:szCs w:val="26"/>
        </w:rPr>
        <w:t xml:space="preserve">The ALJ </w:t>
      </w:r>
      <w:r w:rsidR="00027186">
        <w:rPr>
          <w:sz w:val="26"/>
          <w:szCs w:val="26"/>
        </w:rPr>
        <w:t xml:space="preserve">also </w:t>
      </w:r>
      <w:r w:rsidR="00663421">
        <w:rPr>
          <w:sz w:val="26"/>
          <w:szCs w:val="26"/>
        </w:rPr>
        <w:t xml:space="preserve">listed </w:t>
      </w:r>
      <w:r w:rsidR="00027186">
        <w:rPr>
          <w:sz w:val="26"/>
          <w:szCs w:val="26"/>
        </w:rPr>
        <w:t>the following services for which the Commission retains authority to regulate under 73 P.S. §</w:t>
      </w:r>
      <w:r w:rsidR="00C70F61">
        <w:rPr>
          <w:sz w:val="26"/>
          <w:szCs w:val="26"/>
        </w:rPr>
        <w:t> </w:t>
      </w:r>
      <w:r w:rsidR="00027186">
        <w:rPr>
          <w:sz w:val="26"/>
          <w:szCs w:val="26"/>
        </w:rPr>
        <w:t xml:space="preserve">2251.6: </w:t>
      </w:r>
      <w:r w:rsidR="00C70F61">
        <w:rPr>
          <w:sz w:val="26"/>
          <w:szCs w:val="26"/>
        </w:rPr>
        <w:t>(</w:t>
      </w:r>
      <w:r w:rsidR="00663421">
        <w:rPr>
          <w:sz w:val="26"/>
          <w:szCs w:val="26"/>
        </w:rPr>
        <w:t>1) the pro</w:t>
      </w:r>
      <w:r w:rsidR="00027186">
        <w:rPr>
          <w:sz w:val="26"/>
          <w:szCs w:val="26"/>
        </w:rPr>
        <w:t>v</w:t>
      </w:r>
      <w:r w:rsidR="00663421">
        <w:rPr>
          <w:sz w:val="26"/>
          <w:szCs w:val="26"/>
        </w:rPr>
        <w:t>i</w:t>
      </w:r>
      <w:r w:rsidR="00027186">
        <w:rPr>
          <w:sz w:val="26"/>
          <w:szCs w:val="26"/>
        </w:rPr>
        <w:t>s</w:t>
      </w:r>
      <w:r w:rsidR="00663421">
        <w:rPr>
          <w:sz w:val="26"/>
          <w:szCs w:val="26"/>
        </w:rPr>
        <w:t xml:space="preserve">ion and administration of 911 service; </w:t>
      </w:r>
      <w:r w:rsidR="00C70F61">
        <w:rPr>
          <w:sz w:val="26"/>
          <w:szCs w:val="26"/>
        </w:rPr>
        <w:t>(</w:t>
      </w:r>
      <w:r w:rsidR="00663421">
        <w:rPr>
          <w:sz w:val="26"/>
          <w:szCs w:val="26"/>
        </w:rPr>
        <w:t xml:space="preserve">2) telecommunications relay service; </w:t>
      </w:r>
      <w:r w:rsidR="00C70F61">
        <w:rPr>
          <w:sz w:val="26"/>
          <w:szCs w:val="26"/>
        </w:rPr>
        <w:t>(3)</w:t>
      </w:r>
      <w:r w:rsidR="00663421">
        <w:rPr>
          <w:sz w:val="26"/>
          <w:szCs w:val="26"/>
        </w:rPr>
        <w:t xml:space="preserve"> universal service fund fees; </w:t>
      </w:r>
      <w:r w:rsidR="00C70F61">
        <w:rPr>
          <w:sz w:val="26"/>
          <w:szCs w:val="26"/>
        </w:rPr>
        <w:t>(</w:t>
      </w:r>
      <w:r w:rsidR="00663421">
        <w:rPr>
          <w:sz w:val="26"/>
          <w:szCs w:val="26"/>
        </w:rPr>
        <w:t>4) switched network access rat</w:t>
      </w:r>
      <w:r w:rsidR="00027186">
        <w:rPr>
          <w:sz w:val="26"/>
          <w:szCs w:val="26"/>
        </w:rPr>
        <w:t>e</w:t>
      </w:r>
      <w:r w:rsidR="00663421">
        <w:rPr>
          <w:sz w:val="26"/>
          <w:szCs w:val="26"/>
        </w:rPr>
        <w:t xml:space="preserve">s or other inter </w:t>
      </w:r>
      <w:r w:rsidR="0086171B">
        <w:rPr>
          <w:sz w:val="26"/>
          <w:szCs w:val="26"/>
        </w:rPr>
        <w:t>c</w:t>
      </w:r>
      <w:r w:rsidR="00663421">
        <w:rPr>
          <w:sz w:val="26"/>
          <w:szCs w:val="26"/>
        </w:rPr>
        <w:t>arrier compensation rates for interexchange ser</w:t>
      </w:r>
      <w:r w:rsidR="00027186">
        <w:rPr>
          <w:sz w:val="26"/>
          <w:szCs w:val="26"/>
        </w:rPr>
        <w:t>v</w:t>
      </w:r>
      <w:r w:rsidR="00663421">
        <w:rPr>
          <w:sz w:val="26"/>
          <w:szCs w:val="26"/>
        </w:rPr>
        <w:t>i</w:t>
      </w:r>
      <w:r w:rsidR="00027186">
        <w:rPr>
          <w:sz w:val="26"/>
          <w:szCs w:val="26"/>
        </w:rPr>
        <w:t>c</w:t>
      </w:r>
      <w:r w:rsidR="00663421">
        <w:rPr>
          <w:sz w:val="26"/>
          <w:szCs w:val="26"/>
        </w:rPr>
        <w:t xml:space="preserve">es provided by a local exchange telecommunications company; and </w:t>
      </w:r>
      <w:r w:rsidR="00C70F61">
        <w:rPr>
          <w:sz w:val="26"/>
          <w:szCs w:val="26"/>
        </w:rPr>
        <w:t>(</w:t>
      </w:r>
      <w:r w:rsidR="00663421">
        <w:rPr>
          <w:sz w:val="26"/>
          <w:szCs w:val="26"/>
        </w:rPr>
        <w:t>5) rates, terms or conditions of protecte</w:t>
      </w:r>
      <w:r w:rsidR="00027186">
        <w:rPr>
          <w:sz w:val="26"/>
          <w:szCs w:val="26"/>
        </w:rPr>
        <w:t>d</w:t>
      </w:r>
      <w:r w:rsidR="00663421">
        <w:rPr>
          <w:sz w:val="26"/>
          <w:szCs w:val="26"/>
        </w:rPr>
        <w:t xml:space="preserve"> services provided under tariffs subject to approval by the Commission.  </w:t>
      </w:r>
      <w:r w:rsidR="0086171B">
        <w:rPr>
          <w:sz w:val="26"/>
          <w:szCs w:val="26"/>
        </w:rPr>
        <w:t xml:space="preserve">I.D. at </w:t>
      </w:r>
      <w:r w:rsidR="00B0781F">
        <w:rPr>
          <w:sz w:val="26"/>
          <w:szCs w:val="26"/>
        </w:rPr>
        <w:t>5-</w:t>
      </w:r>
      <w:r w:rsidR="0086171B">
        <w:rPr>
          <w:sz w:val="26"/>
          <w:szCs w:val="26"/>
        </w:rPr>
        <w:t>6.</w:t>
      </w:r>
    </w:p>
    <w:p w14:paraId="665951BC" w14:textId="77777777" w:rsidR="00EA187F" w:rsidRDefault="00EA187F" w:rsidP="00767895">
      <w:pPr>
        <w:spacing w:line="360" w:lineRule="auto"/>
        <w:ind w:firstLine="1440"/>
        <w:contextualSpacing/>
        <w:rPr>
          <w:sz w:val="26"/>
          <w:szCs w:val="26"/>
        </w:rPr>
      </w:pPr>
    </w:p>
    <w:p w14:paraId="0BA17A2F" w14:textId="1C408122" w:rsidR="00900E01" w:rsidRPr="005808A0" w:rsidRDefault="00C168A9" w:rsidP="00767895">
      <w:pPr>
        <w:spacing w:line="360" w:lineRule="auto"/>
        <w:ind w:firstLine="1440"/>
        <w:contextualSpacing/>
        <w:rPr>
          <w:sz w:val="26"/>
          <w:szCs w:val="26"/>
        </w:rPr>
      </w:pPr>
      <w:r w:rsidRPr="005808A0">
        <w:rPr>
          <w:sz w:val="26"/>
          <w:szCs w:val="26"/>
        </w:rPr>
        <w:lastRenderedPageBreak/>
        <w:t xml:space="preserve">The ALJ emphasized that although the VoIP Freedom Act preserves Commission jurisdiction over VoIP services in several aspects, the Commission has no jurisdiction over the terms and conditions of the Complainant’s VoIP service as it relates to </w:t>
      </w:r>
      <w:r w:rsidR="0017182A">
        <w:rPr>
          <w:sz w:val="26"/>
          <w:szCs w:val="26"/>
        </w:rPr>
        <w:t>t</w:t>
      </w:r>
      <w:r w:rsidRPr="005808A0">
        <w:rPr>
          <w:sz w:val="26"/>
          <w:szCs w:val="26"/>
        </w:rPr>
        <w:t>h</w:t>
      </w:r>
      <w:r w:rsidR="0017182A">
        <w:rPr>
          <w:sz w:val="26"/>
          <w:szCs w:val="26"/>
        </w:rPr>
        <w:t>is</w:t>
      </w:r>
      <w:r w:rsidRPr="005808A0">
        <w:rPr>
          <w:sz w:val="26"/>
          <w:szCs w:val="26"/>
        </w:rPr>
        <w:t xml:space="preserve"> Complaint </w:t>
      </w:r>
      <w:r w:rsidR="00DB2A52" w:rsidRPr="005808A0">
        <w:rPr>
          <w:sz w:val="26"/>
          <w:szCs w:val="26"/>
        </w:rPr>
        <w:t>in th</w:t>
      </w:r>
      <w:r w:rsidR="00436ED1">
        <w:rPr>
          <w:sz w:val="26"/>
          <w:szCs w:val="26"/>
        </w:rPr>
        <w:t>is</w:t>
      </w:r>
      <w:r w:rsidR="00DB2A52" w:rsidRPr="005808A0">
        <w:rPr>
          <w:sz w:val="26"/>
          <w:szCs w:val="26"/>
        </w:rPr>
        <w:t xml:space="preserve"> case.  Citing several previous Commission decisions, the ALJ pointed out that the Commission previously </w:t>
      </w:r>
      <w:r w:rsidR="00BD2589">
        <w:rPr>
          <w:sz w:val="26"/>
          <w:szCs w:val="26"/>
        </w:rPr>
        <w:t xml:space="preserve">has </w:t>
      </w:r>
      <w:r w:rsidR="00DB2A52" w:rsidRPr="005808A0">
        <w:rPr>
          <w:sz w:val="26"/>
          <w:szCs w:val="26"/>
        </w:rPr>
        <w:t xml:space="preserve">ruled on its lack of jurisdiction over VoIP services.  </w:t>
      </w:r>
      <w:r w:rsidR="003C3DBC" w:rsidRPr="005808A0">
        <w:rPr>
          <w:sz w:val="26"/>
          <w:szCs w:val="26"/>
        </w:rPr>
        <w:t>Accordingly, the ALJ sustained Verizon</w:t>
      </w:r>
      <w:r w:rsidR="002C5B3A">
        <w:rPr>
          <w:sz w:val="26"/>
          <w:szCs w:val="26"/>
        </w:rPr>
        <w:t>’</w:t>
      </w:r>
      <w:r w:rsidR="003C3DBC" w:rsidRPr="005808A0">
        <w:rPr>
          <w:sz w:val="26"/>
          <w:szCs w:val="26"/>
        </w:rPr>
        <w:t xml:space="preserve">s Preliminary Objections and dismissed the Complaint </w:t>
      </w:r>
      <w:r w:rsidR="00A376E7">
        <w:rPr>
          <w:sz w:val="26"/>
          <w:szCs w:val="26"/>
        </w:rPr>
        <w:t xml:space="preserve">with prejudice </w:t>
      </w:r>
      <w:r w:rsidR="003C3DBC" w:rsidRPr="005808A0">
        <w:rPr>
          <w:sz w:val="26"/>
          <w:szCs w:val="26"/>
        </w:rPr>
        <w:t xml:space="preserve">on the basis </w:t>
      </w:r>
      <w:r w:rsidR="00A376E7">
        <w:rPr>
          <w:sz w:val="26"/>
          <w:szCs w:val="26"/>
        </w:rPr>
        <w:t>that the Commission</w:t>
      </w:r>
      <w:r w:rsidR="00F26FCB">
        <w:rPr>
          <w:sz w:val="26"/>
          <w:szCs w:val="26"/>
        </w:rPr>
        <w:t xml:space="preserve"> lacks jurisdiction </w:t>
      </w:r>
      <w:r w:rsidR="00E55A5C">
        <w:rPr>
          <w:sz w:val="26"/>
          <w:szCs w:val="26"/>
        </w:rPr>
        <w:t>over the facts alleged in the Complaint</w:t>
      </w:r>
      <w:r w:rsidR="00F26FCB">
        <w:rPr>
          <w:sz w:val="26"/>
          <w:szCs w:val="26"/>
        </w:rPr>
        <w:t>.</w:t>
      </w:r>
      <w:r w:rsidR="003C3DBC" w:rsidRPr="005808A0">
        <w:rPr>
          <w:sz w:val="26"/>
          <w:szCs w:val="26"/>
        </w:rPr>
        <w:t xml:space="preserve">  I.D. at </w:t>
      </w:r>
      <w:r w:rsidR="0048542F">
        <w:rPr>
          <w:sz w:val="26"/>
          <w:szCs w:val="26"/>
        </w:rPr>
        <w:t>6</w:t>
      </w:r>
      <w:r w:rsidR="003C3DBC" w:rsidRPr="005808A0">
        <w:rPr>
          <w:sz w:val="26"/>
          <w:szCs w:val="26"/>
        </w:rPr>
        <w:t>-</w:t>
      </w:r>
      <w:r w:rsidR="00027186">
        <w:rPr>
          <w:sz w:val="26"/>
          <w:szCs w:val="26"/>
        </w:rPr>
        <w:t>7</w:t>
      </w:r>
      <w:r w:rsidR="00BD2589">
        <w:rPr>
          <w:sz w:val="26"/>
          <w:szCs w:val="26"/>
        </w:rPr>
        <w:t>.</w:t>
      </w:r>
    </w:p>
    <w:p w14:paraId="4CD90B3B" w14:textId="77777777" w:rsidR="00E70F33" w:rsidRPr="004E64B8" w:rsidRDefault="00E70F33" w:rsidP="00767895">
      <w:pPr>
        <w:spacing w:line="360" w:lineRule="auto"/>
        <w:ind w:firstLine="1440"/>
        <w:contextualSpacing/>
        <w:rPr>
          <w:sz w:val="26"/>
          <w:szCs w:val="26"/>
        </w:rPr>
      </w:pPr>
    </w:p>
    <w:p w14:paraId="3D90AC14" w14:textId="77777777" w:rsidR="00867150" w:rsidRPr="004E64B8" w:rsidRDefault="00867150" w:rsidP="00767895">
      <w:pPr>
        <w:keepNext/>
        <w:keepLines/>
        <w:spacing w:line="360" w:lineRule="auto"/>
        <w:contextualSpacing/>
        <w:rPr>
          <w:b/>
          <w:sz w:val="26"/>
          <w:szCs w:val="26"/>
        </w:rPr>
      </w:pPr>
      <w:r w:rsidRPr="004E64B8">
        <w:rPr>
          <w:b/>
          <w:sz w:val="26"/>
          <w:szCs w:val="26"/>
        </w:rPr>
        <w:t>Disposition</w:t>
      </w:r>
    </w:p>
    <w:p w14:paraId="72264657" w14:textId="77777777" w:rsidR="00AC275F" w:rsidRPr="00E643AB" w:rsidRDefault="00AC275F" w:rsidP="00767895">
      <w:pPr>
        <w:keepNext/>
        <w:keepLines/>
        <w:spacing w:line="360" w:lineRule="auto"/>
        <w:contextualSpacing/>
        <w:rPr>
          <w:b/>
          <w:sz w:val="26"/>
          <w:szCs w:val="26"/>
        </w:rPr>
      </w:pPr>
    </w:p>
    <w:p w14:paraId="416577F5" w14:textId="4CD222FF" w:rsidR="005808A0" w:rsidRDefault="005808A0" w:rsidP="00767895">
      <w:pPr>
        <w:spacing w:line="360" w:lineRule="auto"/>
        <w:ind w:firstLine="720"/>
        <w:rPr>
          <w:sz w:val="26"/>
          <w:szCs w:val="26"/>
        </w:rPr>
      </w:pPr>
      <w:r w:rsidRPr="00E643AB">
        <w:rPr>
          <w:sz w:val="26"/>
          <w:szCs w:val="26"/>
        </w:rPr>
        <w:tab/>
        <w:t xml:space="preserve">On consideration of the positions of the Parties, we disagree with the ALJ’s preliminary dismissal of this </w:t>
      </w:r>
      <w:r w:rsidR="0023354F">
        <w:rPr>
          <w:sz w:val="26"/>
          <w:szCs w:val="26"/>
        </w:rPr>
        <w:t>C</w:t>
      </w:r>
      <w:r w:rsidRPr="00E643AB">
        <w:rPr>
          <w:sz w:val="26"/>
          <w:szCs w:val="26"/>
        </w:rPr>
        <w:t>omplaint in reliance on facts alleged by Verizon</w:t>
      </w:r>
      <w:r w:rsidR="00EA187F">
        <w:rPr>
          <w:sz w:val="26"/>
          <w:szCs w:val="26"/>
        </w:rPr>
        <w:t xml:space="preserve"> </w:t>
      </w:r>
      <w:r w:rsidRPr="00E643AB">
        <w:rPr>
          <w:sz w:val="26"/>
          <w:szCs w:val="26"/>
        </w:rPr>
        <w:t xml:space="preserve">and the ALJ’s stated rationale for dismissal.  While the ALJ may properly rely on unanswered facts averred in Verizon’s New Matter, deeming the Preliminary Objections to be a Motion for </w:t>
      </w:r>
      <w:r w:rsidR="0023354F">
        <w:rPr>
          <w:sz w:val="26"/>
          <w:szCs w:val="26"/>
        </w:rPr>
        <w:t>Judgment on the Pleadings</w:t>
      </w:r>
      <w:r w:rsidRPr="00E643AB">
        <w:rPr>
          <w:sz w:val="26"/>
          <w:szCs w:val="26"/>
        </w:rPr>
        <w:t xml:space="preserve"> in order to rely on the facts in that pleading is not well-founded in this instance.</w:t>
      </w:r>
    </w:p>
    <w:p w14:paraId="6CB7D1AF" w14:textId="77777777" w:rsidR="00201270" w:rsidRPr="00E643AB" w:rsidRDefault="00201270" w:rsidP="00767895">
      <w:pPr>
        <w:spacing w:line="360" w:lineRule="auto"/>
        <w:ind w:firstLine="720"/>
        <w:rPr>
          <w:sz w:val="26"/>
          <w:szCs w:val="26"/>
        </w:rPr>
      </w:pPr>
    </w:p>
    <w:p w14:paraId="62F4250D" w14:textId="2082FC4A" w:rsidR="005808A0" w:rsidRDefault="00726E8D" w:rsidP="00767895">
      <w:pPr>
        <w:spacing w:line="360" w:lineRule="auto"/>
        <w:ind w:firstLine="720"/>
        <w:rPr>
          <w:sz w:val="26"/>
          <w:szCs w:val="26"/>
        </w:rPr>
      </w:pPr>
      <w:r w:rsidRPr="00E643AB">
        <w:rPr>
          <w:sz w:val="26"/>
          <w:szCs w:val="26"/>
        </w:rPr>
        <w:tab/>
      </w:r>
      <w:bookmarkStart w:id="1" w:name="_Hlk2767754"/>
      <w:r w:rsidR="005808A0" w:rsidRPr="00E643AB">
        <w:rPr>
          <w:sz w:val="26"/>
          <w:szCs w:val="26"/>
        </w:rPr>
        <w:t>Unlike Verizon, the ALJ recognizes the circumstances under which this Commission retains jurisdiction over VoIP service.</w:t>
      </w:r>
      <w:r w:rsidR="005808A0" w:rsidRPr="00E643AB">
        <w:rPr>
          <w:rStyle w:val="FootnoteReference"/>
        </w:rPr>
        <w:footnoteReference w:id="6"/>
      </w:r>
      <w:r w:rsidR="005808A0" w:rsidRPr="00E643AB">
        <w:rPr>
          <w:sz w:val="26"/>
          <w:szCs w:val="26"/>
        </w:rPr>
        <w:t xml:space="preserve"> </w:t>
      </w:r>
      <w:r w:rsidRPr="00E643AB">
        <w:rPr>
          <w:sz w:val="26"/>
          <w:szCs w:val="26"/>
        </w:rPr>
        <w:t xml:space="preserve"> </w:t>
      </w:r>
      <w:r w:rsidR="005808A0" w:rsidRPr="00E643AB">
        <w:rPr>
          <w:sz w:val="26"/>
          <w:szCs w:val="26"/>
        </w:rPr>
        <w:t>Like Verizon, however, despite deeming Verizon’s Preliminary Objections, which rely on a jurisdictional basis for summary relief, to be a Motion for Judgment on the Pleadings, which relies on facts to support summary relief, the ALJ concludes on the jurisdictional basis more appropriate for Preliminary Objections, and without facts from Verizon sufficient to support judgment on the pleadings, that “the General Assembly has divested the Commission of jurisdiction over VOIP services.”</w:t>
      </w:r>
      <w:r w:rsidR="005808A0" w:rsidRPr="00E643AB">
        <w:rPr>
          <w:rStyle w:val="FootnoteReference"/>
        </w:rPr>
        <w:footnoteReference w:id="7"/>
      </w:r>
    </w:p>
    <w:bookmarkEnd w:id="1"/>
    <w:p w14:paraId="5C155A54" w14:textId="77777777" w:rsidR="00651CA5" w:rsidRPr="00E643AB" w:rsidRDefault="00651CA5" w:rsidP="00767895">
      <w:pPr>
        <w:spacing w:line="360" w:lineRule="auto"/>
        <w:ind w:firstLine="720"/>
        <w:rPr>
          <w:sz w:val="26"/>
          <w:szCs w:val="26"/>
        </w:rPr>
      </w:pPr>
    </w:p>
    <w:p w14:paraId="4B3E54F0" w14:textId="3B6406D4" w:rsidR="005808A0" w:rsidRPr="00E643AB" w:rsidRDefault="00726E8D" w:rsidP="00767895">
      <w:pPr>
        <w:spacing w:line="360" w:lineRule="auto"/>
        <w:ind w:firstLine="720"/>
        <w:rPr>
          <w:sz w:val="26"/>
          <w:szCs w:val="26"/>
        </w:rPr>
      </w:pPr>
      <w:r w:rsidRPr="00E643AB">
        <w:rPr>
          <w:sz w:val="26"/>
          <w:szCs w:val="26"/>
        </w:rPr>
        <w:tab/>
      </w:r>
      <w:r w:rsidR="005808A0" w:rsidRPr="00E643AB">
        <w:rPr>
          <w:sz w:val="26"/>
          <w:szCs w:val="26"/>
        </w:rPr>
        <w:t>Verizon filed Preliminary Objections because it alleged the Commission lacked jurisdiction over VoIP service conclusively as a matter of law.</w:t>
      </w:r>
      <w:r w:rsidR="009A088F">
        <w:rPr>
          <w:sz w:val="26"/>
          <w:szCs w:val="26"/>
        </w:rPr>
        <w:t xml:space="preserve"> </w:t>
      </w:r>
      <w:r w:rsidR="005808A0" w:rsidRPr="00E643AB">
        <w:rPr>
          <w:sz w:val="26"/>
          <w:szCs w:val="26"/>
        </w:rPr>
        <w:t xml:space="preserve"> However, neither its Answer and New Matter nor its Preliminary Objections allege facts sufficient to conclude that the service affected is non-jurisdictional as a matter of law under the VoIP Freedom Act.</w:t>
      </w:r>
    </w:p>
    <w:p w14:paraId="314D66A3" w14:textId="77777777" w:rsidR="005808A0" w:rsidRPr="00E643AB" w:rsidRDefault="005808A0" w:rsidP="00767895">
      <w:pPr>
        <w:spacing w:line="360" w:lineRule="auto"/>
        <w:ind w:firstLine="720"/>
        <w:rPr>
          <w:sz w:val="26"/>
          <w:szCs w:val="26"/>
        </w:rPr>
      </w:pPr>
    </w:p>
    <w:p w14:paraId="016740D4" w14:textId="0766CB23" w:rsidR="005808A0" w:rsidRPr="00E643AB" w:rsidRDefault="00726E8D" w:rsidP="00767895">
      <w:pPr>
        <w:spacing w:line="360" w:lineRule="auto"/>
        <w:ind w:firstLine="720"/>
        <w:rPr>
          <w:sz w:val="26"/>
          <w:szCs w:val="26"/>
        </w:rPr>
      </w:pPr>
      <w:r w:rsidRPr="00E643AB">
        <w:rPr>
          <w:sz w:val="26"/>
          <w:szCs w:val="26"/>
        </w:rPr>
        <w:tab/>
      </w:r>
      <w:r w:rsidR="005808A0" w:rsidRPr="00E643AB">
        <w:rPr>
          <w:sz w:val="26"/>
          <w:szCs w:val="26"/>
        </w:rPr>
        <w:t>To the contrary, Verizon’s position and the ALJ’s dismissal are based primarily on Verizon’s legal argument presented in the Preliminary Objections that the Commission lacks jurisdiction over VoIP services.</w:t>
      </w:r>
      <w:r w:rsidR="005808A0" w:rsidRPr="00E643AB">
        <w:rPr>
          <w:rStyle w:val="FootnoteReference"/>
        </w:rPr>
        <w:footnoteReference w:id="8"/>
      </w:r>
      <w:r w:rsidR="005808A0" w:rsidRPr="00E643AB">
        <w:rPr>
          <w:sz w:val="26"/>
          <w:szCs w:val="26"/>
        </w:rPr>
        <w:t xml:space="preserve">  Moreover, the facts alleged in Verizon’s pleadings do not sustain a decision that the exceptions in the VoIP Freedom Bill which retain Commission jurisdiction do not apply.</w:t>
      </w:r>
    </w:p>
    <w:p w14:paraId="712EAEAC" w14:textId="77777777" w:rsidR="005808A0" w:rsidRPr="00E643AB" w:rsidRDefault="005808A0" w:rsidP="00767895">
      <w:pPr>
        <w:spacing w:line="360" w:lineRule="auto"/>
        <w:ind w:firstLine="720"/>
        <w:rPr>
          <w:sz w:val="26"/>
          <w:szCs w:val="26"/>
        </w:rPr>
      </w:pPr>
    </w:p>
    <w:p w14:paraId="26EFFC64" w14:textId="65788117" w:rsidR="005808A0" w:rsidRDefault="00726E8D" w:rsidP="00767895">
      <w:pPr>
        <w:spacing w:line="360" w:lineRule="auto"/>
        <w:ind w:firstLine="720"/>
        <w:rPr>
          <w:sz w:val="26"/>
          <w:szCs w:val="26"/>
        </w:rPr>
      </w:pPr>
      <w:r w:rsidRPr="00E643AB">
        <w:rPr>
          <w:sz w:val="26"/>
          <w:szCs w:val="26"/>
        </w:rPr>
        <w:tab/>
      </w:r>
      <w:r w:rsidR="005808A0" w:rsidRPr="00E643AB">
        <w:rPr>
          <w:sz w:val="26"/>
          <w:szCs w:val="26"/>
        </w:rPr>
        <w:t xml:space="preserve">The only facts we have before us </w:t>
      </w:r>
      <w:r w:rsidR="00053BC9">
        <w:rPr>
          <w:sz w:val="26"/>
          <w:szCs w:val="26"/>
        </w:rPr>
        <w:t>are</w:t>
      </w:r>
      <w:r w:rsidR="00053BC9" w:rsidRPr="00E643AB">
        <w:rPr>
          <w:sz w:val="26"/>
          <w:szCs w:val="26"/>
        </w:rPr>
        <w:t xml:space="preserve"> </w:t>
      </w:r>
      <w:r w:rsidR="005808A0" w:rsidRPr="00E643AB">
        <w:rPr>
          <w:sz w:val="26"/>
          <w:szCs w:val="26"/>
        </w:rPr>
        <w:t>that Verizon provides Business Digital Voice to the Complainant pursuant to a contract</w:t>
      </w:r>
      <w:r w:rsidR="00E643AB">
        <w:rPr>
          <w:sz w:val="26"/>
          <w:szCs w:val="26"/>
        </w:rPr>
        <w:t xml:space="preserve">, </w:t>
      </w:r>
      <w:r w:rsidR="005808A0" w:rsidRPr="00E643AB">
        <w:rPr>
          <w:sz w:val="26"/>
          <w:szCs w:val="26"/>
        </w:rPr>
        <w:t xml:space="preserve">which may or may not be tariff-based. </w:t>
      </w:r>
      <w:r w:rsidR="009A088F">
        <w:rPr>
          <w:sz w:val="26"/>
          <w:szCs w:val="26"/>
        </w:rPr>
        <w:t xml:space="preserve"> </w:t>
      </w:r>
      <w:r w:rsidR="005808A0" w:rsidRPr="00E643AB">
        <w:rPr>
          <w:sz w:val="26"/>
          <w:szCs w:val="26"/>
        </w:rPr>
        <w:t>These facts, however, are greatly overshadowed by Verizon’s legal argument, and clear basis for seeking relief, that the Complainant’s service is a VoIP service as defined in 73</w:t>
      </w:r>
      <w:r w:rsidR="009D6D4C">
        <w:rPr>
          <w:sz w:val="26"/>
          <w:szCs w:val="26"/>
        </w:rPr>
        <w:t> </w:t>
      </w:r>
      <w:r w:rsidR="005808A0" w:rsidRPr="00E643AB">
        <w:rPr>
          <w:sz w:val="26"/>
          <w:szCs w:val="26"/>
        </w:rPr>
        <w:t xml:space="preserve">P.S. § 2251.3 and is not subject to Commission jurisdiction as a matter of law. </w:t>
      </w:r>
      <w:r w:rsidR="009A088F">
        <w:rPr>
          <w:sz w:val="26"/>
          <w:szCs w:val="26"/>
        </w:rPr>
        <w:t xml:space="preserve"> </w:t>
      </w:r>
      <w:r w:rsidR="005808A0" w:rsidRPr="00E643AB">
        <w:rPr>
          <w:sz w:val="26"/>
          <w:szCs w:val="26"/>
        </w:rPr>
        <w:t>And this jurisdictional argument is presented without facts necessary to support a finding for summary dismissal that the service does not fall under any of the statutory provisions retaining Commission jurisdiction.</w:t>
      </w:r>
    </w:p>
    <w:p w14:paraId="32A421C4" w14:textId="77777777" w:rsidR="000C2E15" w:rsidRPr="00E643AB" w:rsidRDefault="000C2E15" w:rsidP="00767895">
      <w:pPr>
        <w:spacing w:line="360" w:lineRule="auto"/>
        <w:ind w:firstLine="720"/>
        <w:rPr>
          <w:sz w:val="26"/>
          <w:szCs w:val="26"/>
        </w:rPr>
      </w:pPr>
    </w:p>
    <w:p w14:paraId="55C3C774" w14:textId="4F49314E" w:rsidR="005808A0" w:rsidRDefault="00726E8D" w:rsidP="00767895">
      <w:pPr>
        <w:spacing w:line="360" w:lineRule="auto"/>
        <w:ind w:firstLine="720"/>
        <w:rPr>
          <w:sz w:val="26"/>
          <w:szCs w:val="26"/>
        </w:rPr>
      </w:pPr>
      <w:r w:rsidRPr="00E643AB">
        <w:rPr>
          <w:sz w:val="26"/>
          <w:szCs w:val="26"/>
        </w:rPr>
        <w:tab/>
      </w:r>
      <w:r w:rsidR="005808A0" w:rsidRPr="00E643AB">
        <w:rPr>
          <w:sz w:val="26"/>
          <w:szCs w:val="26"/>
        </w:rPr>
        <w:t xml:space="preserve">Because Verizon’s pleading practice continues to be based on Preliminary Objections, which solely </w:t>
      </w:r>
      <w:r w:rsidR="00833E10" w:rsidRPr="00E643AB">
        <w:rPr>
          <w:sz w:val="26"/>
          <w:szCs w:val="26"/>
        </w:rPr>
        <w:t xml:space="preserve">rely </w:t>
      </w:r>
      <w:r w:rsidR="005808A0" w:rsidRPr="00E643AB">
        <w:rPr>
          <w:sz w:val="26"/>
          <w:szCs w:val="26"/>
        </w:rPr>
        <w:t>on Verizon’s claim that the Commis</w:t>
      </w:r>
      <w:r w:rsidRPr="00E643AB">
        <w:rPr>
          <w:sz w:val="26"/>
          <w:szCs w:val="26"/>
        </w:rPr>
        <w:t>s</w:t>
      </w:r>
      <w:r w:rsidR="005808A0" w:rsidRPr="00E643AB">
        <w:rPr>
          <w:sz w:val="26"/>
          <w:szCs w:val="26"/>
        </w:rPr>
        <w:t xml:space="preserve">ion lacks jurisdiction over VoIP generally, rather than a Motion for Judgment on the </w:t>
      </w:r>
      <w:r w:rsidR="00C55E98">
        <w:rPr>
          <w:sz w:val="26"/>
          <w:szCs w:val="26"/>
        </w:rPr>
        <w:t>P</w:t>
      </w:r>
      <w:r w:rsidR="005808A0" w:rsidRPr="00E643AB">
        <w:rPr>
          <w:sz w:val="26"/>
          <w:szCs w:val="26"/>
        </w:rPr>
        <w:t>leadings with facts sufficient to support a decision, we reject the ALJ’s conversion of the jurisdictionally-</w:t>
      </w:r>
      <w:r w:rsidR="005808A0" w:rsidRPr="00E643AB">
        <w:rPr>
          <w:sz w:val="26"/>
          <w:szCs w:val="26"/>
        </w:rPr>
        <w:lastRenderedPageBreak/>
        <w:t>based Preliminary Objections to a factual-based Motion for Judgment on the Pleadings and the decision resulting from that interpretation.</w:t>
      </w:r>
    </w:p>
    <w:p w14:paraId="26B650E1" w14:textId="77777777" w:rsidR="00651CA5" w:rsidRDefault="00651CA5" w:rsidP="00767895">
      <w:pPr>
        <w:spacing w:line="360" w:lineRule="auto"/>
        <w:ind w:firstLine="720"/>
        <w:rPr>
          <w:sz w:val="26"/>
          <w:szCs w:val="26"/>
        </w:rPr>
      </w:pPr>
    </w:p>
    <w:p w14:paraId="52C78747" w14:textId="45F5517B" w:rsidR="005808A0" w:rsidRPr="00E643AB" w:rsidRDefault="00726E8D" w:rsidP="00767895">
      <w:pPr>
        <w:spacing w:line="360" w:lineRule="auto"/>
        <w:ind w:firstLine="720"/>
        <w:rPr>
          <w:sz w:val="26"/>
          <w:szCs w:val="26"/>
        </w:rPr>
      </w:pPr>
      <w:r w:rsidRPr="00E643AB">
        <w:rPr>
          <w:sz w:val="26"/>
          <w:szCs w:val="26"/>
        </w:rPr>
        <w:tab/>
      </w:r>
      <w:r w:rsidR="005808A0" w:rsidRPr="00E643AB">
        <w:rPr>
          <w:sz w:val="26"/>
          <w:szCs w:val="26"/>
        </w:rPr>
        <w:t xml:space="preserve">We believe that a remand for mediation is a more effective way to resolve this matter.  In the event mediation does not succeed and a certificate of satisfaction is not filed, the matter </w:t>
      </w:r>
      <w:r w:rsidR="0069458B">
        <w:rPr>
          <w:sz w:val="26"/>
          <w:szCs w:val="26"/>
        </w:rPr>
        <w:t>will be</w:t>
      </w:r>
      <w:r w:rsidR="0069458B" w:rsidRPr="00E643AB">
        <w:rPr>
          <w:sz w:val="26"/>
          <w:szCs w:val="26"/>
        </w:rPr>
        <w:t xml:space="preserve"> </w:t>
      </w:r>
      <w:r w:rsidR="005808A0" w:rsidRPr="00E643AB">
        <w:rPr>
          <w:sz w:val="26"/>
          <w:szCs w:val="26"/>
        </w:rPr>
        <w:t>referred to the Office of Administrative Law Judge for subsequent disposition.</w:t>
      </w:r>
    </w:p>
    <w:p w14:paraId="4B9D9C56" w14:textId="77777777" w:rsidR="005808A0" w:rsidRPr="00E643AB" w:rsidRDefault="005808A0" w:rsidP="00767895">
      <w:pPr>
        <w:spacing w:line="360" w:lineRule="auto"/>
        <w:ind w:firstLine="720"/>
        <w:rPr>
          <w:sz w:val="26"/>
          <w:szCs w:val="26"/>
        </w:rPr>
      </w:pPr>
    </w:p>
    <w:p w14:paraId="78837E82" w14:textId="77777777" w:rsidR="005808A0" w:rsidRPr="00E643AB" w:rsidRDefault="00726E8D" w:rsidP="00767895">
      <w:pPr>
        <w:spacing w:line="360" w:lineRule="auto"/>
        <w:ind w:firstLine="720"/>
        <w:rPr>
          <w:sz w:val="26"/>
          <w:szCs w:val="26"/>
        </w:rPr>
      </w:pPr>
      <w:r w:rsidRPr="00E643AB">
        <w:rPr>
          <w:sz w:val="26"/>
          <w:szCs w:val="26"/>
        </w:rPr>
        <w:tab/>
      </w:r>
      <w:r w:rsidR="005808A0" w:rsidRPr="00E643AB">
        <w:rPr>
          <w:sz w:val="26"/>
          <w:szCs w:val="26"/>
        </w:rPr>
        <w:t>Based on the pleadings of record, genuine issues of law and fact remain outstanding.  These include the nature of the consumer’s service, what rate center is providing service, the regulatory classification of that rate center, and whether 911 service is involved.  These are important factual determinations with legal significance that may be important if mediation proves unsuccessful.</w:t>
      </w:r>
    </w:p>
    <w:p w14:paraId="67993750" w14:textId="77777777" w:rsidR="005808A0" w:rsidRPr="00E643AB" w:rsidRDefault="005808A0" w:rsidP="00767895">
      <w:pPr>
        <w:spacing w:line="360" w:lineRule="auto"/>
        <w:ind w:firstLine="720"/>
        <w:rPr>
          <w:sz w:val="26"/>
          <w:szCs w:val="26"/>
        </w:rPr>
      </w:pPr>
    </w:p>
    <w:p w14:paraId="7BEBDC17" w14:textId="1F5F5F12" w:rsidR="005808A0" w:rsidRPr="00E643AB" w:rsidRDefault="00726E8D" w:rsidP="00767895">
      <w:pPr>
        <w:spacing w:line="360" w:lineRule="auto"/>
        <w:ind w:firstLine="720"/>
        <w:rPr>
          <w:sz w:val="26"/>
          <w:szCs w:val="26"/>
        </w:rPr>
      </w:pPr>
      <w:r w:rsidRPr="00E643AB">
        <w:rPr>
          <w:sz w:val="26"/>
          <w:szCs w:val="26"/>
        </w:rPr>
        <w:tab/>
      </w:r>
      <w:r w:rsidR="005808A0" w:rsidRPr="00E643AB">
        <w:rPr>
          <w:sz w:val="26"/>
          <w:szCs w:val="26"/>
        </w:rPr>
        <w:t xml:space="preserve">Section 2251.4 of the VoIP Freedom Act, relied on by Verizon, provides that the Commission may not regulate the rates, terms and conditions of VoIP or IP-enabled service. </w:t>
      </w:r>
      <w:r w:rsidR="00E643AB">
        <w:rPr>
          <w:sz w:val="26"/>
          <w:szCs w:val="26"/>
        </w:rPr>
        <w:t xml:space="preserve"> </w:t>
      </w:r>
      <w:r w:rsidR="005808A0" w:rsidRPr="00E643AB">
        <w:rPr>
          <w:sz w:val="26"/>
          <w:szCs w:val="26"/>
        </w:rPr>
        <w:t xml:space="preserve">However, Section 2251.6 of the VoIP Freedom Act, </w:t>
      </w:r>
      <w:r w:rsidR="00813E70">
        <w:rPr>
          <w:sz w:val="26"/>
          <w:szCs w:val="26"/>
        </w:rPr>
        <w:t xml:space="preserve">which was </w:t>
      </w:r>
      <w:r w:rsidR="005808A0" w:rsidRPr="00E643AB">
        <w:rPr>
          <w:sz w:val="26"/>
          <w:szCs w:val="26"/>
        </w:rPr>
        <w:t xml:space="preserve">not addressed by Verizon, retains Commission jurisdiction in specific enunciated instances. </w:t>
      </w:r>
      <w:r w:rsidR="00E643AB">
        <w:rPr>
          <w:sz w:val="26"/>
          <w:szCs w:val="26"/>
        </w:rPr>
        <w:t xml:space="preserve"> </w:t>
      </w:r>
      <w:r w:rsidR="005808A0" w:rsidRPr="00E643AB">
        <w:rPr>
          <w:sz w:val="26"/>
          <w:szCs w:val="26"/>
        </w:rPr>
        <w:t xml:space="preserve">Specifically, Section 2251.6(v) authorizes the Commission to enforce federal or state law or regulations relating to “rates, terms or conditions of protected services provided under tariffs which are subject to approval” by the Commission. </w:t>
      </w:r>
      <w:r w:rsidR="000924FB">
        <w:rPr>
          <w:sz w:val="26"/>
          <w:szCs w:val="26"/>
        </w:rPr>
        <w:t xml:space="preserve"> </w:t>
      </w:r>
      <w:r w:rsidR="005808A0" w:rsidRPr="00E643AB">
        <w:rPr>
          <w:sz w:val="26"/>
          <w:szCs w:val="26"/>
        </w:rPr>
        <w:t>Relying solely on a jurisdictional argument on the basis of Section 2251.4, Verizon failed to aver sufficient facts to allow us to conclude summarily clear and free from doubt that this or any other provision does not apply.</w:t>
      </w:r>
    </w:p>
    <w:p w14:paraId="22674B01" w14:textId="77777777" w:rsidR="005808A0" w:rsidRPr="00E643AB" w:rsidRDefault="005808A0" w:rsidP="00767895">
      <w:pPr>
        <w:spacing w:line="360" w:lineRule="auto"/>
        <w:ind w:firstLine="720"/>
        <w:rPr>
          <w:sz w:val="26"/>
          <w:szCs w:val="26"/>
        </w:rPr>
      </w:pPr>
    </w:p>
    <w:p w14:paraId="6FB52786" w14:textId="3B498ABA" w:rsidR="005808A0" w:rsidRDefault="00726E8D" w:rsidP="00767895">
      <w:pPr>
        <w:spacing w:line="360" w:lineRule="auto"/>
        <w:ind w:firstLine="720"/>
        <w:rPr>
          <w:sz w:val="26"/>
          <w:szCs w:val="26"/>
        </w:rPr>
      </w:pPr>
      <w:r w:rsidRPr="00E643AB">
        <w:rPr>
          <w:sz w:val="26"/>
          <w:szCs w:val="26"/>
        </w:rPr>
        <w:tab/>
      </w:r>
      <w:r w:rsidR="005808A0" w:rsidRPr="00E643AB">
        <w:rPr>
          <w:sz w:val="26"/>
          <w:szCs w:val="26"/>
        </w:rPr>
        <w:t>I</w:t>
      </w:r>
      <w:r w:rsidR="000924FB">
        <w:rPr>
          <w:sz w:val="26"/>
          <w:szCs w:val="26"/>
        </w:rPr>
        <w:t>n this regard, i</w:t>
      </w:r>
      <w:r w:rsidR="005808A0" w:rsidRPr="00E643AB">
        <w:rPr>
          <w:sz w:val="26"/>
          <w:szCs w:val="26"/>
        </w:rPr>
        <w:t xml:space="preserve">f the rate center involved is not competitive, Section 2251.6(5) could be important.  Also, even if the service is reclassified as competitive, the Commission has Section 1501 jurisdiction to address the billing claims because they do not go to rates or terms or conditions of service governed by the VoIP Freedom Act.  The </w:t>
      </w:r>
      <w:r w:rsidR="005808A0" w:rsidRPr="00E643AB">
        <w:rPr>
          <w:sz w:val="26"/>
          <w:szCs w:val="26"/>
        </w:rPr>
        <w:lastRenderedPageBreak/>
        <w:t>limitations in the VoIP Freedom Act restrict Commission jurisdiction over the service provided, not necessarily the facilities or equipment used by a certificated provider that is otherwise subject to the Section 1501 statutory requirements.</w:t>
      </w:r>
    </w:p>
    <w:p w14:paraId="0F5BC3E3" w14:textId="77777777" w:rsidR="00651CA5" w:rsidRPr="00E643AB" w:rsidRDefault="00651CA5" w:rsidP="00767895">
      <w:pPr>
        <w:spacing w:line="360" w:lineRule="auto"/>
        <w:ind w:firstLine="720"/>
        <w:rPr>
          <w:sz w:val="26"/>
          <w:szCs w:val="26"/>
        </w:rPr>
      </w:pPr>
    </w:p>
    <w:p w14:paraId="13BA286F" w14:textId="4E38B615" w:rsidR="005808A0" w:rsidRPr="00E643AB" w:rsidRDefault="00726E8D" w:rsidP="00767895">
      <w:pPr>
        <w:spacing w:line="360" w:lineRule="auto"/>
        <w:ind w:firstLine="720"/>
        <w:rPr>
          <w:sz w:val="26"/>
          <w:szCs w:val="26"/>
        </w:rPr>
      </w:pPr>
      <w:r w:rsidRPr="00E643AB">
        <w:rPr>
          <w:sz w:val="26"/>
          <w:szCs w:val="26"/>
        </w:rPr>
        <w:tab/>
      </w:r>
      <w:r w:rsidR="005808A0" w:rsidRPr="00E643AB">
        <w:rPr>
          <w:sz w:val="26"/>
          <w:szCs w:val="26"/>
        </w:rPr>
        <w:t>Further, Section 2251.6(1) of the VoIP Freedom Act retains Commission jurisdiction over VoIP service in any rate center where 911 service is impacted regardless of its regulatory classification.  The record is unclear on what reliability concerns were raised here and whether 911 service was or could have been adversely impacted by the voice quality of service matters raised here.</w:t>
      </w:r>
    </w:p>
    <w:p w14:paraId="67ADDB66" w14:textId="77777777" w:rsidR="005808A0" w:rsidRPr="00E643AB" w:rsidRDefault="005808A0" w:rsidP="00767895">
      <w:pPr>
        <w:spacing w:line="360" w:lineRule="auto"/>
        <w:ind w:firstLine="720"/>
        <w:rPr>
          <w:sz w:val="26"/>
          <w:szCs w:val="26"/>
        </w:rPr>
      </w:pPr>
    </w:p>
    <w:p w14:paraId="13C6D749" w14:textId="405D238B" w:rsidR="005808A0" w:rsidRDefault="00726E8D" w:rsidP="00767895">
      <w:pPr>
        <w:spacing w:line="360" w:lineRule="auto"/>
        <w:ind w:firstLine="720"/>
        <w:rPr>
          <w:sz w:val="26"/>
          <w:szCs w:val="26"/>
        </w:rPr>
      </w:pPr>
      <w:r w:rsidRPr="00E643AB">
        <w:rPr>
          <w:sz w:val="26"/>
          <w:szCs w:val="26"/>
        </w:rPr>
        <w:tab/>
      </w:r>
      <w:r w:rsidR="005808A0" w:rsidRPr="00E643AB">
        <w:rPr>
          <w:sz w:val="26"/>
          <w:szCs w:val="26"/>
        </w:rPr>
        <w:t>Under the VoIP Freedom Act, the Commission has jurisdiction over VoIP services, not traditional broad regulatory powers</w:t>
      </w:r>
      <w:r w:rsidR="005808A0" w:rsidRPr="00E643AB">
        <w:rPr>
          <w:rStyle w:val="FootnoteReference"/>
        </w:rPr>
        <w:footnoteReference w:id="9"/>
      </w:r>
      <w:r w:rsidR="005808A0" w:rsidRPr="00E643AB">
        <w:rPr>
          <w:sz w:val="26"/>
          <w:szCs w:val="26"/>
        </w:rPr>
        <w:t xml:space="preserve"> but those specifically enumerated.  </w:t>
      </w:r>
      <w:r w:rsidR="0050233C">
        <w:rPr>
          <w:sz w:val="26"/>
          <w:szCs w:val="26"/>
        </w:rPr>
        <w:t>A</w:t>
      </w:r>
      <w:r w:rsidR="005808A0" w:rsidRPr="00E643AB">
        <w:rPr>
          <w:sz w:val="26"/>
          <w:szCs w:val="26"/>
        </w:rPr>
        <w:t xml:space="preserve"> grant of judgment on the pleadings is inappropriate absent facts necessary to find that the complaint does not come within the Commission’s enumerated jurisdiction under the VoIP Freedom Act.</w:t>
      </w:r>
      <w:r w:rsidR="00DC08CA">
        <w:rPr>
          <w:rStyle w:val="FootnoteReference"/>
        </w:rPr>
        <w:footnoteReference w:id="10"/>
      </w:r>
    </w:p>
    <w:p w14:paraId="0A3EDB37" w14:textId="77777777" w:rsidR="0050233C" w:rsidRPr="00E643AB" w:rsidRDefault="0050233C" w:rsidP="00767895">
      <w:pPr>
        <w:spacing w:line="360" w:lineRule="auto"/>
        <w:ind w:firstLine="720"/>
        <w:rPr>
          <w:sz w:val="26"/>
          <w:szCs w:val="26"/>
        </w:rPr>
      </w:pPr>
    </w:p>
    <w:p w14:paraId="4E3DCF54" w14:textId="6855D16B" w:rsidR="005808A0" w:rsidRDefault="00726E8D" w:rsidP="00767895">
      <w:pPr>
        <w:spacing w:line="360" w:lineRule="auto"/>
        <w:ind w:firstLine="720"/>
        <w:contextualSpacing/>
        <w:rPr>
          <w:sz w:val="26"/>
          <w:szCs w:val="26"/>
        </w:rPr>
      </w:pPr>
      <w:r w:rsidRPr="00E643AB">
        <w:rPr>
          <w:sz w:val="26"/>
          <w:szCs w:val="26"/>
        </w:rPr>
        <w:tab/>
        <w:t>We</w:t>
      </w:r>
      <w:r w:rsidR="005808A0" w:rsidRPr="00E643AB">
        <w:rPr>
          <w:sz w:val="26"/>
          <w:szCs w:val="26"/>
        </w:rPr>
        <w:t xml:space="preserve"> believe that further action on this matter is appropriate. </w:t>
      </w:r>
      <w:r w:rsidRPr="00E643AB">
        <w:rPr>
          <w:sz w:val="26"/>
          <w:szCs w:val="26"/>
        </w:rPr>
        <w:t xml:space="preserve"> In order to resolve this in the most efficient manner, we shall vacate the ALJ’s Initial Decision</w:t>
      </w:r>
      <w:r w:rsidR="007A6F70">
        <w:rPr>
          <w:sz w:val="26"/>
          <w:szCs w:val="26"/>
        </w:rPr>
        <w:t>,</w:t>
      </w:r>
      <w:r w:rsidRPr="00E643AB">
        <w:rPr>
          <w:sz w:val="26"/>
          <w:szCs w:val="26"/>
        </w:rPr>
        <w:t xml:space="preserve"> remand the proceeding and refer the matter to the </w:t>
      </w:r>
      <w:r w:rsidR="005808A0" w:rsidRPr="00E643AB">
        <w:rPr>
          <w:sz w:val="26"/>
          <w:szCs w:val="26"/>
        </w:rPr>
        <w:t>Mediation Unit of our Office of Administrative Law Judge for resolution,</w:t>
      </w:r>
      <w:r w:rsidR="005808A0" w:rsidRPr="000924FB">
        <w:rPr>
          <w:sz w:val="26"/>
          <w:szCs w:val="26"/>
          <w:vertAlign w:val="superscript"/>
        </w:rPr>
        <w:footnoteReference w:id="11"/>
      </w:r>
      <w:r w:rsidR="005808A0" w:rsidRPr="00E643AB">
        <w:rPr>
          <w:sz w:val="26"/>
          <w:szCs w:val="26"/>
        </w:rPr>
        <w:t xml:space="preserve"> while maintaining the availability of amended pleadings or an evidentiary hearing as a contingency if mediation fails.</w:t>
      </w:r>
    </w:p>
    <w:p w14:paraId="3F4FD64E" w14:textId="77777777" w:rsidR="007A6F70" w:rsidRPr="00E643AB" w:rsidRDefault="007A6F70" w:rsidP="00767895">
      <w:pPr>
        <w:spacing w:line="360" w:lineRule="auto"/>
        <w:ind w:firstLine="720"/>
        <w:contextualSpacing/>
        <w:rPr>
          <w:sz w:val="26"/>
          <w:szCs w:val="26"/>
        </w:rPr>
      </w:pPr>
    </w:p>
    <w:p w14:paraId="3D88F241" w14:textId="77777777" w:rsidR="00956972" w:rsidRPr="00E643AB" w:rsidRDefault="00956972" w:rsidP="00767895">
      <w:pPr>
        <w:keepNext/>
        <w:keepLines/>
        <w:spacing w:line="360" w:lineRule="auto"/>
        <w:contextualSpacing/>
        <w:jc w:val="center"/>
        <w:rPr>
          <w:b/>
          <w:sz w:val="26"/>
          <w:szCs w:val="26"/>
        </w:rPr>
      </w:pPr>
      <w:r w:rsidRPr="00E643AB">
        <w:rPr>
          <w:b/>
          <w:sz w:val="26"/>
          <w:szCs w:val="26"/>
        </w:rPr>
        <w:lastRenderedPageBreak/>
        <w:t>Conclusion</w:t>
      </w:r>
    </w:p>
    <w:p w14:paraId="49C27AC9" w14:textId="77777777" w:rsidR="006C56A5" w:rsidRPr="00E643AB" w:rsidRDefault="006C56A5" w:rsidP="00767895">
      <w:pPr>
        <w:keepNext/>
        <w:keepLines/>
        <w:spacing w:line="360" w:lineRule="auto"/>
        <w:contextualSpacing/>
        <w:rPr>
          <w:sz w:val="26"/>
          <w:szCs w:val="26"/>
        </w:rPr>
      </w:pPr>
    </w:p>
    <w:p w14:paraId="44ED3C53" w14:textId="27CB5CAC" w:rsidR="00956972" w:rsidRPr="004E64B8" w:rsidRDefault="006C56A5" w:rsidP="00767895">
      <w:pPr>
        <w:spacing w:line="360" w:lineRule="auto"/>
        <w:contextualSpacing/>
        <w:rPr>
          <w:sz w:val="26"/>
          <w:szCs w:val="26"/>
        </w:rPr>
      </w:pPr>
      <w:r w:rsidRPr="004E64B8">
        <w:rPr>
          <w:sz w:val="26"/>
          <w:szCs w:val="26"/>
        </w:rPr>
        <w:tab/>
      </w:r>
      <w:r w:rsidRPr="004E64B8">
        <w:rPr>
          <w:sz w:val="26"/>
          <w:szCs w:val="26"/>
        </w:rPr>
        <w:tab/>
      </w:r>
      <w:r w:rsidR="0023377F" w:rsidRPr="004E64B8">
        <w:rPr>
          <w:sz w:val="26"/>
          <w:szCs w:val="26"/>
        </w:rPr>
        <w:t xml:space="preserve">Based on our review of the </w:t>
      </w:r>
      <w:r w:rsidR="008B496B" w:rsidRPr="004E64B8">
        <w:rPr>
          <w:sz w:val="26"/>
          <w:szCs w:val="26"/>
        </w:rPr>
        <w:t>record</w:t>
      </w:r>
      <w:r w:rsidR="003928E1" w:rsidRPr="004E64B8">
        <w:rPr>
          <w:sz w:val="26"/>
          <w:szCs w:val="26"/>
        </w:rPr>
        <w:t xml:space="preserve">, the ALJ’s Initial Decision, </w:t>
      </w:r>
      <w:r w:rsidR="0023377F" w:rsidRPr="004E64B8">
        <w:rPr>
          <w:sz w:val="26"/>
          <w:szCs w:val="26"/>
        </w:rPr>
        <w:t>and the applicable</w:t>
      </w:r>
      <w:r w:rsidR="003928E1" w:rsidRPr="004E64B8">
        <w:rPr>
          <w:sz w:val="26"/>
          <w:szCs w:val="26"/>
        </w:rPr>
        <w:t xml:space="preserve"> </w:t>
      </w:r>
      <w:r w:rsidR="0023377F" w:rsidRPr="004E64B8">
        <w:rPr>
          <w:sz w:val="26"/>
          <w:szCs w:val="26"/>
        </w:rPr>
        <w:t>law,</w:t>
      </w:r>
      <w:r w:rsidR="00474DBB" w:rsidRPr="004E64B8">
        <w:rPr>
          <w:sz w:val="26"/>
          <w:szCs w:val="26"/>
        </w:rPr>
        <w:t xml:space="preserve"> </w:t>
      </w:r>
      <w:r w:rsidR="00FD497B" w:rsidRPr="004E64B8">
        <w:rPr>
          <w:sz w:val="26"/>
          <w:szCs w:val="26"/>
        </w:rPr>
        <w:t>w</w:t>
      </w:r>
      <w:r w:rsidR="00B265B1" w:rsidRPr="004E64B8">
        <w:rPr>
          <w:sz w:val="26"/>
          <w:szCs w:val="26"/>
        </w:rPr>
        <w:t xml:space="preserve">e </w:t>
      </w:r>
      <w:r w:rsidR="00502D50" w:rsidRPr="004E64B8">
        <w:rPr>
          <w:sz w:val="26"/>
          <w:szCs w:val="26"/>
        </w:rPr>
        <w:t>shall</w:t>
      </w:r>
      <w:r w:rsidR="0019318F" w:rsidRPr="004E64B8">
        <w:rPr>
          <w:sz w:val="26"/>
          <w:szCs w:val="26"/>
        </w:rPr>
        <w:t xml:space="preserve"> </w:t>
      </w:r>
      <w:r w:rsidR="00DA7F01">
        <w:rPr>
          <w:sz w:val="26"/>
          <w:szCs w:val="26"/>
        </w:rPr>
        <w:t>vacate</w:t>
      </w:r>
      <w:r w:rsidR="00884416" w:rsidRPr="004E64B8">
        <w:rPr>
          <w:sz w:val="26"/>
          <w:szCs w:val="26"/>
        </w:rPr>
        <w:t xml:space="preserve"> </w:t>
      </w:r>
      <w:r w:rsidR="006652C6" w:rsidRPr="004E64B8">
        <w:rPr>
          <w:sz w:val="26"/>
          <w:szCs w:val="26"/>
        </w:rPr>
        <w:t>the A</w:t>
      </w:r>
      <w:r w:rsidR="0023377F" w:rsidRPr="004E64B8">
        <w:rPr>
          <w:sz w:val="26"/>
          <w:szCs w:val="26"/>
        </w:rPr>
        <w:t>LJ’s Initial Decision</w:t>
      </w:r>
      <w:r w:rsidR="00191250" w:rsidRPr="004E64B8">
        <w:rPr>
          <w:sz w:val="26"/>
          <w:szCs w:val="26"/>
        </w:rPr>
        <w:t xml:space="preserve"> </w:t>
      </w:r>
      <w:r w:rsidR="00AB6B45">
        <w:rPr>
          <w:sz w:val="26"/>
          <w:szCs w:val="26"/>
        </w:rPr>
        <w:t>and refer this matter to the Mediation Unit of the Office of Administrative Law Judge, consistent with t</w:t>
      </w:r>
      <w:r w:rsidR="0019251E" w:rsidRPr="004E64B8">
        <w:rPr>
          <w:sz w:val="26"/>
          <w:szCs w:val="26"/>
        </w:rPr>
        <w:t>his Opinion and Order</w:t>
      </w:r>
      <w:r w:rsidR="00905434" w:rsidRPr="004E64B8">
        <w:rPr>
          <w:sz w:val="26"/>
          <w:szCs w:val="26"/>
        </w:rPr>
        <w:t>;</w:t>
      </w:r>
      <w:r w:rsidR="00956972" w:rsidRPr="004E64B8">
        <w:rPr>
          <w:sz w:val="26"/>
          <w:szCs w:val="26"/>
        </w:rPr>
        <w:t xml:space="preserve"> </w:t>
      </w:r>
      <w:r w:rsidR="00956972" w:rsidRPr="004E64B8">
        <w:rPr>
          <w:b/>
          <w:sz w:val="26"/>
          <w:szCs w:val="26"/>
        </w:rPr>
        <w:t>THEREFORE,</w:t>
      </w:r>
    </w:p>
    <w:p w14:paraId="5C3004AE" w14:textId="4E3CE76F" w:rsidR="001A1AD3" w:rsidRPr="004E64B8" w:rsidRDefault="001A1AD3" w:rsidP="00767895">
      <w:pPr>
        <w:spacing w:line="360" w:lineRule="auto"/>
        <w:contextualSpacing/>
        <w:rPr>
          <w:sz w:val="26"/>
          <w:szCs w:val="26"/>
        </w:rPr>
      </w:pPr>
    </w:p>
    <w:p w14:paraId="393080D2" w14:textId="77777777" w:rsidR="001A1AD3" w:rsidRPr="004E64B8" w:rsidRDefault="001A1AD3" w:rsidP="00767895">
      <w:pPr>
        <w:spacing w:line="360" w:lineRule="auto"/>
        <w:contextualSpacing/>
        <w:rPr>
          <w:b/>
          <w:sz w:val="26"/>
          <w:szCs w:val="26"/>
        </w:rPr>
      </w:pPr>
      <w:r w:rsidRPr="004E64B8">
        <w:rPr>
          <w:sz w:val="26"/>
          <w:szCs w:val="26"/>
        </w:rPr>
        <w:tab/>
      </w:r>
      <w:r w:rsidRPr="004E64B8">
        <w:rPr>
          <w:sz w:val="26"/>
          <w:szCs w:val="26"/>
        </w:rPr>
        <w:tab/>
      </w:r>
      <w:r w:rsidRPr="004E64B8">
        <w:rPr>
          <w:b/>
          <w:sz w:val="26"/>
          <w:szCs w:val="26"/>
        </w:rPr>
        <w:t>IT IS ORDERED:</w:t>
      </w:r>
    </w:p>
    <w:p w14:paraId="14CACA90" w14:textId="77777777" w:rsidR="001A1AD3" w:rsidRPr="004E64B8" w:rsidRDefault="001A1AD3" w:rsidP="00767895">
      <w:pPr>
        <w:spacing w:line="360" w:lineRule="auto"/>
        <w:contextualSpacing/>
        <w:rPr>
          <w:sz w:val="26"/>
          <w:szCs w:val="26"/>
        </w:rPr>
      </w:pPr>
    </w:p>
    <w:p w14:paraId="42C9BAB9" w14:textId="6E0EF93B" w:rsidR="00F97807" w:rsidRPr="004E64B8" w:rsidRDefault="001A1AD3" w:rsidP="00767895">
      <w:pPr>
        <w:spacing w:line="360" w:lineRule="auto"/>
        <w:contextualSpacing/>
        <w:rPr>
          <w:sz w:val="26"/>
          <w:szCs w:val="26"/>
        </w:rPr>
      </w:pPr>
      <w:r w:rsidRPr="004E64B8">
        <w:rPr>
          <w:sz w:val="26"/>
          <w:szCs w:val="26"/>
        </w:rPr>
        <w:tab/>
      </w:r>
      <w:r w:rsidRPr="004E64B8">
        <w:rPr>
          <w:sz w:val="26"/>
          <w:szCs w:val="26"/>
        </w:rPr>
        <w:tab/>
      </w:r>
      <w:r w:rsidR="0019251E" w:rsidRPr="004E64B8">
        <w:rPr>
          <w:sz w:val="26"/>
          <w:szCs w:val="26"/>
        </w:rPr>
        <w:t>1</w:t>
      </w:r>
      <w:r w:rsidR="00431F78" w:rsidRPr="004E64B8">
        <w:rPr>
          <w:sz w:val="26"/>
          <w:szCs w:val="26"/>
        </w:rPr>
        <w:t>.</w:t>
      </w:r>
      <w:r w:rsidR="00431F78" w:rsidRPr="004E64B8">
        <w:rPr>
          <w:b/>
          <w:sz w:val="26"/>
          <w:szCs w:val="26"/>
        </w:rPr>
        <w:tab/>
      </w:r>
      <w:r w:rsidR="00431F78" w:rsidRPr="004E64B8">
        <w:rPr>
          <w:sz w:val="26"/>
          <w:szCs w:val="26"/>
        </w:rPr>
        <w:t xml:space="preserve">That the </w:t>
      </w:r>
      <w:r w:rsidR="00527A20" w:rsidRPr="004E64B8">
        <w:rPr>
          <w:sz w:val="26"/>
          <w:szCs w:val="26"/>
        </w:rPr>
        <w:t xml:space="preserve">Initial Decision of </w:t>
      </w:r>
      <w:r w:rsidR="00C05103" w:rsidRPr="004E64B8">
        <w:rPr>
          <w:sz w:val="26"/>
          <w:szCs w:val="26"/>
        </w:rPr>
        <w:t xml:space="preserve">Administrative Law </w:t>
      </w:r>
      <w:r w:rsidR="00B809EB" w:rsidRPr="004E64B8">
        <w:rPr>
          <w:sz w:val="26"/>
          <w:szCs w:val="26"/>
        </w:rPr>
        <w:t xml:space="preserve">Judge </w:t>
      </w:r>
      <w:r w:rsidR="007B7E95">
        <w:rPr>
          <w:sz w:val="26"/>
          <w:szCs w:val="26"/>
        </w:rPr>
        <w:t>David</w:t>
      </w:r>
      <w:r w:rsidR="008C237D">
        <w:rPr>
          <w:sz w:val="26"/>
          <w:szCs w:val="26"/>
        </w:rPr>
        <w:t> </w:t>
      </w:r>
      <w:r w:rsidR="007B7E95">
        <w:rPr>
          <w:sz w:val="26"/>
          <w:szCs w:val="26"/>
        </w:rPr>
        <w:t>A</w:t>
      </w:r>
      <w:r w:rsidR="007A7F07">
        <w:rPr>
          <w:sz w:val="26"/>
          <w:szCs w:val="26"/>
        </w:rPr>
        <w:t>.</w:t>
      </w:r>
      <w:r w:rsidR="00026AF5">
        <w:rPr>
          <w:sz w:val="26"/>
          <w:szCs w:val="26"/>
        </w:rPr>
        <w:t> </w:t>
      </w:r>
      <w:r w:rsidR="007A7F07">
        <w:rPr>
          <w:sz w:val="26"/>
          <w:szCs w:val="26"/>
        </w:rPr>
        <w:t>Salapa</w:t>
      </w:r>
      <w:r w:rsidR="00B809EB" w:rsidRPr="004E64B8">
        <w:rPr>
          <w:sz w:val="26"/>
          <w:szCs w:val="26"/>
        </w:rPr>
        <w:t xml:space="preserve">, issued </w:t>
      </w:r>
      <w:r w:rsidR="007A7F07">
        <w:rPr>
          <w:sz w:val="26"/>
          <w:szCs w:val="26"/>
        </w:rPr>
        <w:t>November 2, 2018</w:t>
      </w:r>
      <w:r w:rsidR="006652C6" w:rsidRPr="004E64B8">
        <w:rPr>
          <w:sz w:val="26"/>
          <w:szCs w:val="26"/>
        </w:rPr>
        <w:t>,</w:t>
      </w:r>
      <w:r w:rsidR="008E45DB" w:rsidRPr="004E64B8">
        <w:rPr>
          <w:sz w:val="26"/>
          <w:szCs w:val="26"/>
        </w:rPr>
        <w:t xml:space="preserve"> </w:t>
      </w:r>
      <w:r w:rsidR="005154BC" w:rsidRPr="004E64B8">
        <w:rPr>
          <w:sz w:val="26"/>
          <w:szCs w:val="26"/>
        </w:rPr>
        <w:t xml:space="preserve">is </w:t>
      </w:r>
      <w:r w:rsidR="007A7F07">
        <w:rPr>
          <w:sz w:val="26"/>
          <w:szCs w:val="26"/>
        </w:rPr>
        <w:t>vacated</w:t>
      </w:r>
      <w:r w:rsidR="00277E9A" w:rsidRPr="004E64B8">
        <w:rPr>
          <w:sz w:val="26"/>
          <w:szCs w:val="26"/>
        </w:rPr>
        <w:t xml:space="preserve">, </w:t>
      </w:r>
      <w:r w:rsidR="007A7F07">
        <w:rPr>
          <w:sz w:val="26"/>
          <w:szCs w:val="26"/>
        </w:rPr>
        <w:t>consistent with</w:t>
      </w:r>
      <w:r w:rsidR="00243CC9" w:rsidRPr="004E64B8">
        <w:rPr>
          <w:sz w:val="26"/>
          <w:szCs w:val="26"/>
        </w:rPr>
        <w:t xml:space="preserve"> this Opinion and Order</w:t>
      </w:r>
      <w:r w:rsidR="00EF782F" w:rsidRPr="004E64B8">
        <w:rPr>
          <w:sz w:val="26"/>
          <w:szCs w:val="26"/>
        </w:rPr>
        <w:t>.</w:t>
      </w:r>
    </w:p>
    <w:p w14:paraId="500D1ED4" w14:textId="77777777" w:rsidR="00277E9A" w:rsidRPr="004E64B8" w:rsidRDefault="00277E9A" w:rsidP="00767895">
      <w:pPr>
        <w:spacing w:line="360" w:lineRule="auto"/>
        <w:contextualSpacing/>
        <w:rPr>
          <w:sz w:val="26"/>
          <w:szCs w:val="26"/>
        </w:rPr>
      </w:pPr>
    </w:p>
    <w:p w14:paraId="226479C4" w14:textId="4F6B9013" w:rsidR="00277E9A" w:rsidRDefault="00277E9A" w:rsidP="00767895">
      <w:pPr>
        <w:spacing w:line="360" w:lineRule="auto"/>
        <w:contextualSpacing/>
        <w:rPr>
          <w:sz w:val="26"/>
          <w:szCs w:val="26"/>
        </w:rPr>
      </w:pPr>
      <w:r w:rsidRPr="004E64B8">
        <w:rPr>
          <w:sz w:val="26"/>
          <w:szCs w:val="26"/>
        </w:rPr>
        <w:tab/>
      </w:r>
      <w:r w:rsidRPr="004E64B8">
        <w:rPr>
          <w:sz w:val="26"/>
          <w:szCs w:val="26"/>
        </w:rPr>
        <w:tab/>
        <w:t>2.</w:t>
      </w:r>
      <w:r w:rsidRPr="004E64B8">
        <w:rPr>
          <w:sz w:val="26"/>
          <w:szCs w:val="26"/>
        </w:rPr>
        <w:tab/>
      </w:r>
      <w:r w:rsidR="002F7FB8" w:rsidRPr="004E64B8">
        <w:rPr>
          <w:sz w:val="26"/>
          <w:szCs w:val="26"/>
        </w:rPr>
        <w:t xml:space="preserve">That the </w:t>
      </w:r>
      <w:r w:rsidR="008C237D">
        <w:rPr>
          <w:sz w:val="26"/>
          <w:szCs w:val="26"/>
        </w:rPr>
        <w:t xml:space="preserve">Formal </w:t>
      </w:r>
      <w:r w:rsidR="002F7FB8" w:rsidRPr="004E64B8">
        <w:rPr>
          <w:sz w:val="26"/>
          <w:szCs w:val="26"/>
        </w:rPr>
        <w:t xml:space="preserve">Complaint of </w:t>
      </w:r>
      <w:r w:rsidR="007A7F07">
        <w:rPr>
          <w:sz w:val="26"/>
          <w:szCs w:val="26"/>
        </w:rPr>
        <w:t>Michael Steven Sherman, P.C.</w:t>
      </w:r>
      <w:r w:rsidR="008C237D">
        <w:rPr>
          <w:sz w:val="26"/>
          <w:szCs w:val="26"/>
        </w:rPr>
        <w:t>,</w:t>
      </w:r>
      <w:r w:rsidR="002F7FB8" w:rsidRPr="004E64B8">
        <w:rPr>
          <w:sz w:val="26"/>
          <w:szCs w:val="26"/>
        </w:rPr>
        <w:t xml:space="preserve"> against Verizon Pennsylvania LLC, at Docket No. C-201</w:t>
      </w:r>
      <w:r w:rsidR="007A7F07">
        <w:rPr>
          <w:sz w:val="26"/>
          <w:szCs w:val="26"/>
        </w:rPr>
        <w:t>8</w:t>
      </w:r>
      <w:r w:rsidR="002F7FB8" w:rsidRPr="004E64B8">
        <w:rPr>
          <w:sz w:val="26"/>
          <w:szCs w:val="26"/>
        </w:rPr>
        <w:t>-</w:t>
      </w:r>
      <w:r w:rsidR="007A7F07">
        <w:rPr>
          <w:sz w:val="26"/>
          <w:szCs w:val="26"/>
        </w:rPr>
        <w:t>3004072</w:t>
      </w:r>
      <w:r w:rsidR="002F7FB8" w:rsidRPr="004E64B8">
        <w:rPr>
          <w:sz w:val="26"/>
          <w:szCs w:val="26"/>
        </w:rPr>
        <w:t xml:space="preserve">, is </w:t>
      </w:r>
      <w:r w:rsidR="007A7F07">
        <w:rPr>
          <w:sz w:val="26"/>
          <w:szCs w:val="26"/>
        </w:rPr>
        <w:t>referred for mediation to the Mediation Unit of the Office of Administrative Law Judge and the parties are directed to actively participate in good faith</w:t>
      </w:r>
      <w:r w:rsidR="002F7FB8" w:rsidRPr="004E64B8">
        <w:rPr>
          <w:sz w:val="26"/>
          <w:szCs w:val="26"/>
        </w:rPr>
        <w:t>.</w:t>
      </w:r>
    </w:p>
    <w:p w14:paraId="03A02A60" w14:textId="77777777" w:rsidR="007A7F07" w:rsidRDefault="007A7F07" w:rsidP="00767895">
      <w:pPr>
        <w:spacing w:line="360" w:lineRule="auto"/>
        <w:contextualSpacing/>
        <w:rPr>
          <w:sz w:val="26"/>
          <w:szCs w:val="26"/>
        </w:rPr>
      </w:pPr>
    </w:p>
    <w:p w14:paraId="32865402" w14:textId="545D4785" w:rsidR="007A7F07" w:rsidRPr="004E64B8" w:rsidRDefault="007A7F07" w:rsidP="00767895">
      <w:pPr>
        <w:spacing w:line="360" w:lineRule="auto"/>
        <w:contextualSpacing/>
        <w:rPr>
          <w:sz w:val="26"/>
          <w:szCs w:val="26"/>
        </w:rPr>
      </w:pPr>
      <w:r>
        <w:rPr>
          <w:sz w:val="26"/>
          <w:szCs w:val="26"/>
        </w:rPr>
        <w:tab/>
      </w:r>
      <w:r>
        <w:rPr>
          <w:sz w:val="26"/>
          <w:szCs w:val="26"/>
        </w:rPr>
        <w:tab/>
        <w:t>3.</w:t>
      </w:r>
      <w:r>
        <w:rPr>
          <w:sz w:val="26"/>
          <w:szCs w:val="26"/>
        </w:rPr>
        <w:tab/>
        <w:t>That</w:t>
      </w:r>
      <w:r w:rsidR="008C237D">
        <w:rPr>
          <w:sz w:val="26"/>
          <w:szCs w:val="26"/>
        </w:rPr>
        <w:t>,</w:t>
      </w:r>
      <w:r>
        <w:rPr>
          <w:sz w:val="26"/>
          <w:szCs w:val="26"/>
        </w:rPr>
        <w:t xml:space="preserve"> if the mediation </w:t>
      </w:r>
      <w:r w:rsidR="008D7266">
        <w:rPr>
          <w:sz w:val="26"/>
          <w:szCs w:val="26"/>
        </w:rPr>
        <w:t>results in successful</w:t>
      </w:r>
      <w:r>
        <w:rPr>
          <w:sz w:val="26"/>
          <w:szCs w:val="26"/>
        </w:rPr>
        <w:t xml:space="preserve"> resolution of this ma</w:t>
      </w:r>
      <w:r w:rsidR="008D7266">
        <w:rPr>
          <w:sz w:val="26"/>
          <w:szCs w:val="26"/>
        </w:rPr>
        <w:t>t</w:t>
      </w:r>
      <w:r>
        <w:rPr>
          <w:sz w:val="26"/>
          <w:szCs w:val="26"/>
        </w:rPr>
        <w:t xml:space="preserve">ter, </w:t>
      </w:r>
      <w:r w:rsidR="008C237D">
        <w:rPr>
          <w:sz w:val="26"/>
          <w:szCs w:val="26"/>
        </w:rPr>
        <w:t xml:space="preserve">the </w:t>
      </w:r>
      <w:r w:rsidR="005D2DFB">
        <w:rPr>
          <w:sz w:val="26"/>
          <w:szCs w:val="26"/>
        </w:rPr>
        <w:t>P</w:t>
      </w:r>
      <w:r w:rsidR="008D7266">
        <w:rPr>
          <w:sz w:val="26"/>
          <w:szCs w:val="26"/>
        </w:rPr>
        <w:t xml:space="preserve">arties are directed to file </w:t>
      </w:r>
      <w:r>
        <w:rPr>
          <w:sz w:val="26"/>
          <w:szCs w:val="26"/>
        </w:rPr>
        <w:t xml:space="preserve">appropriate and timely </w:t>
      </w:r>
      <w:r w:rsidR="008D7266">
        <w:rPr>
          <w:sz w:val="26"/>
          <w:szCs w:val="26"/>
        </w:rPr>
        <w:t>documents</w:t>
      </w:r>
      <w:r>
        <w:rPr>
          <w:sz w:val="26"/>
          <w:szCs w:val="26"/>
        </w:rPr>
        <w:t xml:space="preserve"> with </w:t>
      </w:r>
      <w:r w:rsidR="00F226F4">
        <w:rPr>
          <w:sz w:val="26"/>
          <w:szCs w:val="26"/>
        </w:rPr>
        <w:t>t</w:t>
      </w:r>
      <w:r>
        <w:rPr>
          <w:sz w:val="26"/>
          <w:szCs w:val="26"/>
        </w:rPr>
        <w:t>he Commission.</w:t>
      </w:r>
    </w:p>
    <w:p w14:paraId="33E975A6" w14:textId="77777777" w:rsidR="00266A79" w:rsidRPr="004E64B8" w:rsidRDefault="00266A79" w:rsidP="00767895">
      <w:pPr>
        <w:spacing w:line="360" w:lineRule="auto"/>
        <w:contextualSpacing/>
        <w:rPr>
          <w:sz w:val="26"/>
          <w:szCs w:val="26"/>
        </w:rPr>
      </w:pPr>
    </w:p>
    <w:p w14:paraId="61BC5FE1" w14:textId="1244CBCF" w:rsidR="00DF0B16" w:rsidRDefault="00C5582E" w:rsidP="00767895">
      <w:pPr>
        <w:keepNext/>
        <w:keepLines/>
        <w:spacing w:line="360" w:lineRule="auto"/>
        <w:contextualSpacing/>
        <w:rPr>
          <w:sz w:val="26"/>
          <w:szCs w:val="26"/>
        </w:rPr>
      </w:pPr>
      <w:r w:rsidRPr="004E64B8">
        <w:rPr>
          <w:sz w:val="26"/>
          <w:szCs w:val="26"/>
        </w:rPr>
        <w:lastRenderedPageBreak/>
        <w:tab/>
      </w:r>
      <w:r w:rsidRPr="004E64B8">
        <w:rPr>
          <w:sz w:val="26"/>
          <w:szCs w:val="26"/>
        </w:rPr>
        <w:tab/>
      </w:r>
      <w:r w:rsidR="007A7F07">
        <w:rPr>
          <w:sz w:val="26"/>
          <w:szCs w:val="26"/>
        </w:rPr>
        <w:t>4.</w:t>
      </w:r>
      <w:r w:rsidRPr="004E64B8">
        <w:rPr>
          <w:sz w:val="26"/>
          <w:szCs w:val="26"/>
        </w:rPr>
        <w:tab/>
        <w:t>That</w:t>
      </w:r>
      <w:r w:rsidR="008C237D">
        <w:rPr>
          <w:sz w:val="26"/>
          <w:szCs w:val="26"/>
        </w:rPr>
        <w:t>,</w:t>
      </w:r>
      <w:r w:rsidRPr="004E64B8">
        <w:rPr>
          <w:sz w:val="26"/>
          <w:szCs w:val="26"/>
        </w:rPr>
        <w:t xml:space="preserve"> </w:t>
      </w:r>
      <w:r w:rsidR="007A7F07">
        <w:rPr>
          <w:sz w:val="26"/>
          <w:szCs w:val="26"/>
        </w:rPr>
        <w:t xml:space="preserve">if the mediation does not succeed, this matter </w:t>
      </w:r>
      <w:r w:rsidR="00026AF5">
        <w:rPr>
          <w:sz w:val="26"/>
          <w:szCs w:val="26"/>
        </w:rPr>
        <w:t xml:space="preserve">shall </w:t>
      </w:r>
      <w:r w:rsidR="00A23CF9">
        <w:rPr>
          <w:sz w:val="26"/>
          <w:szCs w:val="26"/>
        </w:rPr>
        <w:t>b</w:t>
      </w:r>
      <w:r w:rsidR="007A7F07">
        <w:rPr>
          <w:sz w:val="26"/>
          <w:szCs w:val="26"/>
        </w:rPr>
        <w:t xml:space="preserve">e referred to </w:t>
      </w:r>
      <w:r w:rsidR="00813E70">
        <w:rPr>
          <w:sz w:val="26"/>
          <w:szCs w:val="26"/>
        </w:rPr>
        <w:t>the</w:t>
      </w:r>
      <w:r w:rsidR="007A7F07">
        <w:rPr>
          <w:sz w:val="26"/>
          <w:szCs w:val="26"/>
        </w:rPr>
        <w:t xml:space="preserve"> Office of Administrative Law Judge for </w:t>
      </w:r>
      <w:r w:rsidR="00026AF5">
        <w:rPr>
          <w:sz w:val="26"/>
          <w:szCs w:val="26"/>
        </w:rPr>
        <w:t>such proceedings as may be necessary.</w:t>
      </w:r>
    </w:p>
    <w:p w14:paraId="155DDAC7" w14:textId="77777777" w:rsidR="00120C2F" w:rsidRPr="004E64B8" w:rsidRDefault="00120C2F" w:rsidP="00767895">
      <w:pPr>
        <w:keepNext/>
        <w:keepLines/>
        <w:spacing w:line="360" w:lineRule="auto"/>
        <w:contextualSpacing/>
        <w:rPr>
          <w:sz w:val="26"/>
          <w:szCs w:val="26"/>
        </w:rPr>
      </w:pPr>
    </w:p>
    <w:p w14:paraId="4C9EAFC0" w14:textId="1DC3EA2C" w:rsidR="00503B2F" w:rsidRPr="004E64B8" w:rsidRDefault="008377F6" w:rsidP="00767895">
      <w:pPr>
        <w:keepNext/>
        <w:keepLines/>
        <w:spacing w:line="360" w:lineRule="auto"/>
        <w:contextualSpacing/>
        <w:rPr>
          <w:sz w:val="26"/>
          <w:szCs w:val="26"/>
        </w:rPr>
      </w:pPr>
      <w:r w:rsidRPr="007700C1">
        <w:rPr>
          <w:noProof/>
        </w:rPr>
        <w:drawing>
          <wp:anchor distT="0" distB="0" distL="114300" distR="114300" simplePos="0" relativeHeight="251659264" behindDoc="1" locked="0" layoutInCell="1" allowOverlap="1" wp14:anchorId="5E37F2E2" wp14:editId="20AA5CC6">
            <wp:simplePos x="0" y="0"/>
            <wp:positionH relativeFrom="column">
              <wp:posOffset>3152775</wp:posOffset>
            </wp:positionH>
            <wp:positionV relativeFrom="paragraph">
              <wp:posOffset>102870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002E7206" w:rsidRPr="004E64B8">
        <w:rPr>
          <w:sz w:val="26"/>
          <w:szCs w:val="26"/>
        </w:rPr>
        <w:tab/>
      </w:r>
      <w:r w:rsidR="002E7206" w:rsidRPr="004E64B8">
        <w:rPr>
          <w:sz w:val="26"/>
          <w:szCs w:val="26"/>
        </w:rPr>
        <w:tab/>
      </w:r>
      <w:r w:rsidR="001A1AD3" w:rsidRPr="004E64B8">
        <w:rPr>
          <w:sz w:val="26"/>
          <w:szCs w:val="26"/>
        </w:rPr>
        <w:tab/>
      </w:r>
      <w:r w:rsidR="001A1AD3" w:rsidRPr="004E64B8">
        <w:rPr>
          <w:sz w:val="26"/>
          <w:szCs w:val="26"/>
        </w:rPr>
        <w:tab/>
      </w:r>
      <w:r w:rsidR="0019251E" w:rsidRPr="004E64B8">
        <w:rPr>
          <w:sz w:val="26"/>
          <w:szCs w:val="26"/>
        </w:rPr>
        <w:tab/>
      </w:r>
      <w:r w:rsidR="001A1AD3" w:rsidRPr="004E64B8">
        <w:rPr>
          <w:sz w:val="26"/>
          <w:szCs w:val="26"/>
        </w:rPr>
        <w:tab/>
      </w:r>
      <w:r w:rsidR="001A1AD3" w:rsidRPr="004E64B8">
        <w:rPr>
          <w:sz w:val="26"/>
          <w:szCs w:val="26"/>
        </w:rPr>
        <w:tab/>
      </w:r>
      <w:r w:rsidR="00503B2F" w:rsidRPr="004E64B8">
        <w:rPr>
          <w:b/>
          <w:sz w:val="26"/>
          <w:szCs w:val="26"/>
        </w:rPr>
        <w:t>BY THE COMMISSION,</w:t>
      </w:r>
    </w:p>
    <w:p w14:paraId="7EC94013" w14:textId="6920ED5C" w:rsidR="00503B2F" w:rsidRDefault="00503B2F" w:rsidP="00767895">
      <w:pPr>
        <w:keepNext/>
        <w:keepLines/>
        <w:tabs>
          <w:tab w:val="left" w:pos="-720"/>
        </w:tabs>
        <w:suppressAutoHyphens/>
        <w:contextualSpacing/>
        <w:rPr>
          <w:sz w:val="26"/>
          <w:szCs w:val="26"/>
        </w:rPr>
      </w:pPr>
    </w:p>
    <w:p w14:paraId="116F0BC5" w14:textId="2CA3AA2A" w:rsidR="00A94506" w:rsidRDefault="008377F6" w:rsidP="00767895">
      <w:pPr>
        <w:keepNext/>
        <w:keepLines/>
        <w:tabs>
          <w:tab w:val="left" w:pos="-720"/>
        </w:tabs>
        <w:suppressAutoHyphens/>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2D2731DA" w14:textId="53B03DF4" w:rsidR="0010534A" w:rsidRDefault="0010534A" w:rsidP="00767895">
      <w:pPr>
        <w:keepNext/>
        <w:keepLines/>
        <w:tabs>
          <w:tab w:val="left" w:pos="-720"/>
        </w:tabs>
        <w:suppressAutoHyphens/>
        <w:contextualSpacing/>
        <w:rPr>
          <w:sz w:val="26"/>
          <w:szCs w:val="26"/>
        </w:rPr>
      </w:pPr>
    </w:p>
    <w:p w14:paraId="2B45979A" w14:textId="77777777" w:rsidR="0010534A" w:rsidRPr="004E64B8" w:rsidRDefault="0010534A" w:rsidP="00767895">
      <w:pPr>
        <w:keepNext/>
        <w:keepLines/>
        <w:tabs>
          <w:tab w:val="left" w:pos="-720"/>
        </w:tabs>
        <w:suppressAutoHyphens/>
        <w:contextualSpacing/>
        <w:rPr>
          <w:sz w:val="26"/>
          <w:szCs w:val="26"/>
        </w:rPr>
      </w:pPr>
    </w:p>
    <w:p w14:paraId="61F59F2D" w14:textId="77777777" w:rsidR="00503B2F" w:rsidRPr="004E64B8" w:rsidRDefault="00503B2F" w:rsidP="00767895">
      <w:pPr>
        <w:keepNext/>
        <w:keepLines/>
        <w:tabs>
          <w:tab w:val="left" w:pos="-720"/>
        </w:tabs>
        <w:suppressAutoHyphens/>
        <w:contextualSpacing/>
        <w:rPr>
          <w:sz w:val="26"/>
          <w:szCs w:val="26"/>
        </w:rPr>
      </w:pPr>
      <w:r w:rsidRPr="004E64B8">
        <w:rPr>
          <w:sz w:val="26"/>
          <w:szCs w:val="26"/>
        </w:rPr>
        <w:tab/>
      </w:r>
      <w:r w:rsidRPr="004E64B8">
        <w:rPr>
          <w:sz w:val="26"/>
          <w:szCs w:val="26"/>
        </w:rPr>
        <w:tab/>
      </w:r>
      <w:r w:rsidRPr="004E64B8">
        <w:rPr>
          <w:sz w:val="26"/>
          <w:szCs w:val="26"/>
        </w:rPr>
        <w:tab/>
      </w:r>
      <w:r w:rsidRPr="004E64B8">
        <w:rPr>
          <w:sz w:val="26"/>
          <w:szCs w:val="26"/>
        </w:rPr>
        <w:tab/>
      </w:r>
      <w:r w:rsidRPr="004E64B8">
        <w:rPr>
          <w:sz w:val="26"/>
          <w:szCs w:val="26"/>
        </w:rPr>
        <w:tab/>
      </w:r>
      <w:r w:rsidRPr="004E64B8">
        <w:rPr>
          <w:sz w:val="26"/>
          <w:szCs w:val="26"/>
        </w:rPr>
        <w:tab/>
      </w:r>
      <w:r w:rsidRPr="004E64B8">
        <w:rPr>
          <w:sz w:val="26"/>
          <w:szCs w:val="26"/>
        </w:rPr>
        <w:tab/>
        <w:t>Rosemary Chiavetta</w:t>
      </w:r>
    </w:p>
    <w:p w14:paraId="26E85A5D" w14:textId="77777777" w:rsidR="00503B2F" w:rsidRPr="004E64B8" w:rsidRDefault="00503B2F" w:rsidP="00767895">
      <w:pPr>
        <w:keepNext/>
        <w:keepLines/>
        <w:tabs>
          <w:tab w:val="left" w:pos="-720"/>
        </w:tabs>
        <w:suppressAutoHyphens/>
        <w:contextualSpacing/>
        <w:rPr>
          <w:sz w:val="26"/>
          <w:szCs w:val="26"/>
        </w:rPr>
      </w:pPr>
      <w:r w:rsidRPr="004E64B8">
        <w:rPr>
          <w:sz w:val="26"/>
          <w:szCs w:val="26"/>
        </w:rPr>
        <w:tab/>
      </w:r>
      <w:r w:rsidRPr="004E64B8">
        <w:rPr>
          <w:sz w:val="26"/>
          <w:szCs w:val="26"/>
        </w:rPr>
        <w:tab/>
      </w:r>
      <w:r w:rsidRPr="004E64B8">
        <w:rPr>
          <w:sz w:val="26"/>
          <w:szCs w:val="26"/>
        </w:rPr>
        <w:tab/>
      </w:r>
      <w:r w:rsidRPr="004E64B8">
        <w:rPr>
          <w:sz w:val="26"/>
          <w:szCs w:val="26"/>
        </w:rPr>
        <w:tab/>
      </w:r>
      <w:r w:rsidRPr="004E64B8">
        <w:rPr>
          <w:sz w:val="26"/>
          <w:szCs w:val="26"/>
        </w:rPr>
        <w:tab/>
      </w:r>
      <w:r w:rsidRPr="004E64B8">
        <w:rPr>
          <w:sz w:val="26"/>
          <w:szCs w:val="26"/>
        </w:rPr>
        <w:tab/>
      </w:r>
      <w:r w:rsidRPr="004E64B8">
        <w:rPr>
          <w:sz w:val="26"/>
          <w:szCs w:val="26"/>
        </w:rPr>
        <w:tab/>
        <w:t>Secretary</w:t>
      </w:r>
    </w:p>
    <w:p w14:paraId="3ADF7388" w14:textId="77777777" w:rsidR="00EC7358" w:rsidRPr="004E64B8" w:rsidRDefault="00EC7358" w:rsidP="00767895">
      <w:pPr>
        <w:keepNext/>
        <w:keepLines/>
        <w:tabs>
          <w:tab w:val="left" w:pos="-720"/>
        </w:tabs>
        <w:suppressAutoHyphens/>
        <w:contextualSpacing/>
        <w:rPr>
          <w:sz w:val="26"/>
          <w:szCs w:val="26"/>
        </w:rPr>
      </w:pPr>
    </w:p>
    <w:p w14:paraId="296008C4" w14:textId="77777777" w:rsidR="00503B2F" w:rsidRPr="004E64B8" w:rsidRDefault="00503B2F" w:rsidP="00767895">
      <w:pPr>
        <w:keepNext/>
        <w:keepLines/>
        <w:tabs>
          <w:tab w:val="left" w:pos="-720"/>
        </w:tabs>
        <w:suppressAutoHyphens/>
        <w:contextualSpacing/>
        <w:rPr>
          <w:sz w:val="26"/>
          <w:szCs w:val="26"/>
        </w:rPr>
      </w:pPr>
    </w:p>
    <w:p w14:paraId="643D114E" w14:textId="77777777" w:rsidR="00503B2F" w:rsidRPr="004E64B8" w:rsidRDefault="00503B2F" w:rsidP="00767895">
      <w:pPr>
        <w:keepNext/>
        <w:keepLines/>
        <w:tabs>
          <w:tab w:val="left" w:pos="-720"/>
        </w:tabs>
        <w:suppressAutoHyphens/>
        <w:contextualSpacing/>
        <w:rPr>
          <w:sz w:val="26"/>
          <w:szCs w:val="26"/>
        </w:rPr>
      </w:pPr>
      <w:r w:rsidRPr="004E64B8">
        <w:rPr>
          <w:sz w:val="26"/>
          <w:szCs w:val="26"/>
        </w:rPr>
        <w:t>(SEAL)</w:t>
      </w:r>
    </w:p>
    <w:p w14:paraId="15CDCFD4" w14:textId="77777777" w:rsidR="00503B2F" w:rsidRPr="004E64B8" w:rsidRDefault="00503B2F" w:rsidP="00767895">
      <w:pPr>
        <w:keepNext/>
        <w:keepLines/>
        <w:tabs>
          <w:tab w:val="left" w:pos="-720"/>
        </w:tabs>
        <w:suppressAutoHyphens/>
        <w:contextualSpacing/>
        <w:rPr>
          <w:sz w:val="26"/>
          <w:szCs w:val="26"/>
        </w:rPr>
      </w:pPr>
    </w:p>
    <w:p w14:paraId="13AAC079" w14:textId="77777777" w:rsidR="00503B2F" w:rsidRPr="004E64B8" w:rsidRDefault="00503B2F" w:rsidP="00767895">
      <w:pPr>
        <w:keepNext/>
        <w:keepLines/>
        <w:tabs>
          <w:tab w:val="left" w:pos="-720"/>
        </w:tabs>
        <w:suppressAutoHyphens/>
        <w:contextualSpacing/>
        <w:rPr>
          <w:sz w:val="26"/>
          <w:szCs w:val="26"/>
        </w:rPr>
      </w:pPr>
      <w:r w:rsidRPr="004E64B8">
        <w:rPr>
          <w:sz w:val="26"/>
          <w:szCs w:val="26"/>
        </w:rPr>
        <w:t>ORDER ADOPTED:</w:t>
      </w:r>
      <w:r w:rsidR="00FF14E7" w:rsidRPr="004E64B8">
        <w:rPr>
          <w:sz w:val="26"/>
          <w:szCs w:val="26"/>
        </w:rPr>
        <w:t xml:space="preserve">  </w:t>
      </w:r>
      <w:r w:rsidR="004557BC">
        <w:rPr>
          <w:sz w:val="26"/>
          <w:szCs w:val="26"/>
        </w:rPr>
        <w:t>January 17, 2019</w:t>
      </w:r>
    </w:p>
    <w:p w14:paraId="18A6AE3D" w14:textId="77777777" w:rsidR="00503B2F" w:rsidRPr="004E64B8" w:rsidRDefault="00503B2F" w:rsidP="00767895">
      <w:pPr>
        <w:keepNext/>
        <w:keepLines/>
        <w:tabs>
          <w:tab w:val="left" w:pos="-720"/>
        </w:tabs>
        <w:suppressAutoHyphens/>
        <w:contextualSpacing/>
        <w:rPr>
          <w:sz w:val="26"/>
          <w:szCs w:val="26"/>
        </w:rPr>
      </w:pPr>
    </w:p>
    <w:p w14:paraId="4D770A30" w14:textId="0AAD2BB6" w:rsidR="009304FE" w:rsidRPr="004E64B8" w:rsidRDefault="00DD3119" w:rsidP="00767895">
      <w:pPr>
        <w:keepNext/>
        <w:keepLines/>
        <w:tabs>
          <w:tab w:val="left" w:pos="-720"/>
        </w:tabs>
        <w:suppressAutoHyphens/>
        <w:contextualSpacing/>
        <w:rPr>
          <w:sz w:val="26"/>
          <w:szCs w:val="26"/>
        </w:rPr>
      </w:pPr>
      <w:r w:rsidRPr="004E64B8">
        <w:rPr>
          <w:sz w:val="26"/>
          <w:szCs w:val="26"/>
        </w:rPr>
        <w:t xml:space="preserve">ORDER ENTERED:  </w:t>
      </w:r>
      <w:r w:rsidR="008377F6">
        <w:rPr>
          <w:sz w:val="26"/>
          <w:szCs w:val="26"/>
        </w:rPr>
        <w:t>March 14, 2019</w:t>
      </w:r>
    </w:p>
    <w:sectPr w:rsidR="009304FE" w:rsidRPr="004E64B8"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6B9C5" w14:textId="77777777" w:rsidR="00B45A70" w:rsidRDefault="00B45A70">
      <w:r>
        <w:separator/>
      </w:r>
    </w:p>
  </w:endnote>
  <w:endnote w:type="continuationSeparator" w:id="0">
    <w:p w14:paraId="553FA174" w14:textId="77777777" w:rsidR="00B45A70" w:rsidRDefault="00B4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E5DFB" w14:textId="77777777" w:rsidR="008F6315" w:rsidRDefault="008F6315"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7839">
      <w:rPr>
        <w:rStyle w:val="PageNumber"/>
        <w:noProof/>
      </w:rPr>
      <w:t>8</w:t>
    </w:r>
    <w:r>
      <w:rPr>
        <w:rStyle w:val="PageNumber"/>
      </w:rPr>
      <w:fldChar w:fldCharType="end"/>
    </w:r>
  </w:p>
  <w:p w14:paraId="5E285D18" w14:textId="77777777" w:rsidR="008F6315" w:rsidRDefault="008F6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3577" w14:textId="77777777" w:rsidR="008F6315" w:rsidRDefault="008F6315"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702D">
      <w:rPr>
        <w:rStyle w:val="PageNumber"/>
        <w:noProof/>
      </w:rPr>
      <w:t>8</w:t>
    </w:r>
    <w:r>
      <w:rPr>
        <w:rStyle w:val="PageNumber"/>
      </w:rPr>
      <w:fldChar w:fldCharType="end"/>
    </w:r>
  </w:p>
  <w:p w14:paraId="6A07B6D2" w14:textId="77777777" w:rsidR="008F6315" w:rsidRDefault="008F6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DD28F" w14:textId="77777777" w:rsidR="00B45A70" w:rsidRDefault="00B45A70">
      <w:r>
        <w:separator/>
      </w:r>
    </w:p>
  </w:footnote>
  <w:footnote w:type="continuationSeparator" w:id="0">
    <w:p w14:paraId="6AF4A0D2" w14:textId="77777777" w:rsidR="00B45A70" w:rsidRDefault="00B45A70">
      <w:r>
        <w:continuationSeparator/>
      </w:r>
    </w:p>
  </w:footnote>
  <w:footnote w:id="1">
    <w:p w14:paraId="6ACEBDD5" w14:textId="77777777" w:rsidR="003A5C26" w:rsidRPr="00D719DE" w:rsidRDefault="003A5C26" w:rsidP="00767895">
      <w:pPr>
        <w:pStyle w:val="FootnoteText"/>
        <w:keepNext/>
        <w:keepLines/>
        <w:spacing w:before="0"/>
        <w:rPr>
          <w:rFonts w:ascii="Times New Roman" w:hAnsi="Times New Roman"/>
          <w:sz w:val="26"/>
          <w:szCs w:val="26"/>
        </w:rPr>
      </w:pPr>
      <w:r>
        <w:tab/>
      </w:r>
      <w:r w:rsidRPr="00D719DE">
        <w:rPr>
          <w:rStyle w:val="FootnoteReference"/>
          <w:rFonts w:ascii="Times New Roman" w:hAnsi="Times New Roman"/>
        </w:rPr>
        <w:footnoteRef/>
      </w:r>
      <w:r w:rsidRPr="00D719DE">
        <w:rPr>
          <w:rFonts w:ascii="Times New Roman" w:hAnsi="Times New Roman"/>
          <w:sz w:val="26"/>
          <w:szCs w:val="26"/>
        </w:rPr>
        <w:tab/>
        <w:t>New Matter at 2, ¶ 3.</w:t>
      </w:r>
    </w:p>
  </w:footnote>
  <w:footnote w:id="2">
    <w:p w14:paraId="185591E3" w14:textId="28472F60" w:rsidR="003A5C26" w:rsidRPr="00D719DE" w:rsidRDefault="003A5C26" w:rsidP="00767895">
      <w:pPr>
        <w:pStyle w:val="FootnoteText"/>
        <w:keepNext/>
        <w:keepLines/>
        <w:spacing w:before="0"/>
        <w:rPr>
          <w:rFonts w:ascii="Times New Roman" w:hAnsi="Times New Roman"/>
          <w:sz w:val="26"/>
          <w:szCs w:val="26"/>
        </w:rPr>
      </w:pPr>
      <w:r w:rsidRPr="00D719DE">
        <w:rPr>
          <w:rFonts w:ascii="Times New Roman" w:hAnsi="Times New Roman"/>
          <w:sz w:val="26"/>
          <w:szCs w:val="26"/>
        </w:rPr>
        <w:tab/>
      </w:r>
      <w:r w:rsidRPr="00D719DE">
        <w:rPr>
          <w:rStyle w:val="FootnoteReference"/>
          <w:rFonts w:ascii="Times New Roman" w:hAnsi="Times New Roman"/>
        </w:rPr>
        <w:footnoteRef/>
      </w:r>
      <w:r w:rsidRPr="00D719DE">
        <w:rPr>
          <w:rFonts w:ascii="Times New Roman" w:hAnsi="Times New Roman"/>
          <w:sz w:val="26"/>
          <w:szCs w:val="26"/>
        </w:rPr>
        <w:tab/>
        <w:t>Preliminary Objections at 2, ¶ 7.</w:t>
      </w:r>
    </w:p>
  </w:footnote>
  <w:footnote w:id="3">
    <w:p w14:paraId="25CA6E89" w14:textId="77777777" w:rsidR="003A5C26" w:rsidRPr="00A23CF9" w:rsidRDefault="003A5C26" w:rsidP="00767895">
      <w:pPr>
        <w:pStyle w:val="FootnoteText"/>
        <w:keepNext/>
        <w:keepLines/>
        <w:spacing w:before="0"/>
        <w:rPr>
          <w:rFonts w:ascii="Times New Roman" w:hAnsi="Times New Roman"/>
          <w:sz w:val="26"/>
          <w:szCs w:val="26"/>
        </w:rPr>
      </w:pPr>
      <w:r>
        <w:tab/>
      </w:r>
      <w:r w:rsidRPr="00A23CF9">
        <w:rPr>
          <w:rStyle w:val="FootnoteReference"/>
          <w:rFonts w:ascii="Times New Roman" w:hAnsi="Times New Roman"/>
        </w:rPr>
        <w:footnoteRef/>
      </w:r>
      <w:r w:rsidRPr="00A23CF9">
        <w:rPr>
          <w:rFonts w:ascii="Times New Roman" w:hAnsi="Times New Roman"/>
          <w:sz w:val="26"/>
          <w:szCs w:val="26"/>
        </w:rPr>
        <w:tab/>
        <w:t>Preliminary Objections at 3, ¶ 8.</w:t>
      </w:r>
    </w:p>
  </w:footnote>
  <w:footnote w:id="4">
    <w:p w14:paraId="61FF32AB" w14:textId="5820D381" w:rsidR="00EE53D5" w:rsidRPr="00CF6638" w:rsidRDefault="00EE53D5" w:rsidP="00767895">
      <w:pPr>
        <w:pStyle w:val="FootnoteText"/>
        <w:keepNext/>
        <w:keepLines/>
        <w:ind w:firstLine="720"/>
        <w:rPr>
          <w:sz w:val="26"/>
          <w:szCs w:val="26"/>
        </w:rPr>
      </w:pPr>
      <w:r w:rsidRPr="00CF6638">
        <w:rPr>
          <w:rStyle w:val="FootnoteReference"/>
        </w:rPr>
        <w:footnoteRef/>
      </w:r>
      <w:r w:rsidRPr="00CF6638">
        <w:rPr>
          <w:sz w:val="26"/>
          <w:szCs w:val="26"/>
        </w:rPr>
        <w:tab/>
      </w:r>
      <w:r>
        <w:rPr>
          <w:sz w:val="26"/>
          <w:szCs w:val="26"/>
        </w:rPr>
        <w:t>Verizon</w:t>
      </w:r>
      <w:r w:rsidRPr="00CF6638">
        <w:rPr>
          <w:sz w:val="26"/>
          <w:szCs w:val="26"/>
        </w:rPr>
        <w:t xml:space="preserve"> raised the jurisdictional issue in its Answer and New Matter as well as the </w:t>
      </w:r>
      <w:r w:rsidR="00DC173D">
        <w:rPr>
          <w:sz w:val="26"/>
          <w:szCs w:val="26"/>
        </w:rPr>
        <w:t xml:space="preserve">Preliminary </w:t>
      </w:r>
      <w:r w:rsidR="001F6501">
        <w:rPr>
          <w:sz w:val="26"/>
          <w:szCs w:val="26"/>
        </w:rPr>
        <w:t>Objections</w:t>
      </w:r>
      <w:r w:rsidRPr="00CF6638">
        <w:rPr>
          <w:sz w:val="26"/>
          <w:szCs w:val="26"/>
        </w:rPr>
        <w:t xml:space="preserve">.  The ALJ subsequently construed the filings collectively as Preliminary Objections and a Motion for Judgment </w:t>
      </w:r>
      <w:r w:rsidR="00610A6E">
        <w:rPr>
          <w:sz w:val="26"/>
          <w:szCs w:val="26"/>
        </w:rPr>
        <w:t xml:space="preserve">on the Pleadings </w:t>
      </w:r>
      <w:r w:rsidRPr="00CF6638">
        <w:rPr>
          <w:sz w:val="26"/>
          <w:szCs w:val="26"/>
        </w:rPr>
        <w:t>pursuant to the discretion afforded to the Commission under Section 1.2 of the Commission’s regulations.</w:t>
      </w:r>
    </w:p>
  </w:footnote>
  <w:footnote w:id="5">
    <w:p w14:paraId="4B18C8E7" w14:textId="5B3FC4A5" w:rsidR="0069458B" w:rsidRPr="00DC08CA" w:rsidRDefault="0069458B">
      <w:pPr>
        <w:pStyle w:val="FootnoteText"/>
        <w:rPr>
          <w:sz w:val="26"/>
          <w:szCs w:val="26"/>
        </w:rPr>
      </w:pPr>
      <w:r w:rsidRPr="00DC08CA">
        <w:rPr>
          <w:sz w:val="26"/>
          <w:szCs w:val="26"/>
        </w:rPr>
        <w:tab/>
      </w:r>
      <w:r w:rsidRPr="00DC08CA">
        <w:rPr>
          <w:rStyle w:val="FootnoteReference"/>
        </w:rPr>
        <w:footnoteRef/>
      </w:r>
      <w:r w:rsidRPr="00DC08CA">
        <w:rPr>
          <w:sz w:val="26"/>
          <w:szCs w:val="26"/>
        </w:rPr>
        <w:tab/>
        <w:t>I.D. at 6.</w:t>
      </w:r>
    </w:p>
  </w:footnote>
  <w:footnote w:id="6">
    <w:p w14:paraId="1647AD1B" w14:textId="6E35FF4D" w:rsidR="005808A0" w:rsidRPr="00A11AA1" w:rsidRDefault="00726E8D" w:rsidP="00767895">
      <w:pPr>
        <w:pStyle w:val="FootnoteText"/>
        <w:keepNext/>
        <w:keepLines/>
        <w:spacing w:before="0"/>
        <w:rPr>
          <w:rFonts w:ascii="Times New Roman" w:hAnsi="Times New Roman"/>
          <w:sz w:val="26"/>
          <w:szCs w:val="26"/>
        </w:rPr>
      </w:pPr>
      <w:r>
        <w:tab/>
      </w:r>
      <w:r w:rsidR="005808A0" w:rsidRPr="00A11AA1">
        <w:rPr>
          <w:rStyle w:val="FootnoteReference"/>
          <w:rFonts w:ascii="Times New Roman" w:hAnsi="Times New Roman"/>
        </w:rPr>
        <w:footnoteRef/>
      </w:r>
      <w:r w:rsidRPr="00A11AA1">
        <w:rPr>
          <w:rFonts w:ascii="Times New Roman" w:hAnsi="Times New Roman"/>
          <w:sz w:val="26"/>
          <w:szCs w:val="26"/>
        </w:rPr>
        <w:tab/>
      </w:r>
      <w:r w:rsidR="00026AF5">
        <w:rPr>
          <w:rFonts w:ascii="Times New Roman" w:hAnsi="Times New Roman"/>
          <w:sz w:val="26"/>
          <w:szCs w:val="26"/>
        </w:rPr>
        <w:t>I.D.</w:t>
      </w:r>
      <w:r w:rsidR="005808A0" w:rsidRPr="00A11AA1">
        <w:rPr>
          <w:rFonts w:ascii="Times New Roman" w:hAnsi="Times New Roman"/>
          <w:sz w:val="26"/>
          <w:szCs w:val="26"/>
        </w:rPr>
        <w:t xml:space="preserve"> at 6.</w:t>
      </w:r>
    </w:p>
  </w:footnote>
  <w:footnote w:id="7">
    <w:p w14:paraId="56C89643" w14:textId="3D899006" w:rsidR="005808A0" w:rsidRPr="00A11AA1" w:rsidRDefault="00726E8D" w:rsidP="00767895">
      <w:pPr>
        <w:pStyle w:val="FootnoteText"/>
        <w:keepNext/>
        <w:keepLines/>
        <w:spacing w:before="0"/>
        <w:rPr>
          <w:rFonts w:ascii="Times New Roman" w:hAnsi="Times New Roman"/>
          <w:sz w:val="26"/>
          <w:szCs w:val="26"/>
        </w:rPr>
      </w:pPr>
      <w:r w:rsidRPr="00A11AA1">
        <w:rPr>
          <w:rFonts w:ascii="Times New Roman" w:hAnsi="Times New Roman"/>
          <w:sz w:val="26"/>
          <w:szCs w:val="26"/>
        </w:rPr>
        <w:tab/>
      </w:r>
      <w:r w:rsidR="005808A0" w:rsidRPr="00A11AA1">
        <w:rPr>
          <w:rStyle w:val="FootnoteReference"/>
          <w:rFonts w:ascii="Times New Roman" w:hAnsi="Times New Roman"/>
        </w:rPr>
        <w:footnoteRef/>
      </w:r>
      <w:r w:rsidRPr="00A11AA1">
        <w:rPr>
          <w:rFonts w:ascii="Times New Roman" w:hAnsi="Times New Roman"/>
          <w:sz w:val="26"/>
          <w:szCs w:val="26"/>
        </w:rPr>
        <w:tab/>
      </w:r>
      <w:r w:rsidR="00026AF5">
        <w:rPr>
          <w:rFonts w:ascii="Times New Roman" w:hAnsi="Times New Roman"/>
          <w:sz w:val="26"/>
          <w:szCs w:val="26"/>
        </w:rPr>
        <w:t>I.D.</w:t>
      </w:r>
      <w:r w:rsidR="005808A0" w:rsidRPr="00A11AA1">
        <w:rPr>
          <w:rFonts w:ascii="Times New Roman" w:hAnsi="Times New Roman"/>
          <w:sz w:val="26"/>
          <w:szCs w:val="26"/>
        </w:rPr>
        <w:t xml:space="preserve"> at 5.</w:t>
      </w:r>
    </w:p>
  </w:footnote>
  <w:footnote w:id="8">
    <w:p w14:paraId="68395DAE" w14:textId="4A207E83" w:rsidR="005808A0" w:rsidRPr="00A11AA1" w:rsidRDefault="00726E8D" w:rsidP="00767895">
      <w:pPr>
        <w:pStyle w:val="FootnoteText"/>
        <w:keepNext/>
        <w:keepLines/>
        <w:spacing w:before="0"/>
        <w:rPr>
          <w:rFonts w:ascii="Times New Roman" w:hAnsi="Times New Roman"/>
          <w:sz w:val="26"/>
          <w:szCs w:val="26"/>
        </w:rPr>
      </w:pPr>
      <w:r w:rsidRPr="00A11AA1">
        <w:rPr>
          <w:rFonts w:ascii="Times New Roman" w:hAnsi="Times New Roman"/>
          <w:i/>
          <w:sz w:val="26"/>
          <w:szCs w:val="26"/>
        </w:rPr>
        <w:tab/>
      </w:r>
      <w:r w:rsidR="005808A0" w:rsidRPr="00A11AA1">
        <w:rPr>
          <w:rStyle w:val="FootnoteReference"/>
          <w:rFonts w:ascii="Times New Roman" w:hAnsi="Times New Roman"/>
        </w:rPr>
        <w:footnoteRef/>
      </w:r>
      <w:r w:rsidRPr="00A11AA1">
        <w:rPr>
          <w:rFonts w:ascii="Times New Roman" w:hAnsi="Times New Roman"/>
          <w:i/>
          <w:sz w:val="26"/>
          <w:szCs w:val="26"/>
        </w:rPr>
        <w:tab/>
      </w:r>
      <w:r w:rsidR="005808A0" w:rsidRPr="00A11AA1">
        <w:rPr>
          <w:rFonts w:ascii="Times New Roman" w:hAnsi="Times New Roman"/>
          <w:i/>
          <w:sz w:val="26"/>
          <w:szCs w:val="26"/>
        </w:rPr>
        <w:t>See, e.g</w:t>
      </w:r>
      <w:r w:rsidR="005808A0" w:rsidRPr="00A11AA1">
        <w:rPr>
          <w:rFonts w:ascii="Times New Roman" w:hAnsi="Times New Roman"/>
          <w:sz w:val="26"/>
          <w:szCs w:val="26"/>
        </w:rPr>
        <w:t xml:space="preserve">., </w:t>
      </w:r>
      <w:r w:rsidR="00026AF5">
        <w:rPr>
          <w:rFonts w:ascii="Times New Roman" w:hAnsi="Times New Roman"/>
          <w:sz w:val="26"/>
          <w:szCs w:val="26"/>
        </w:rPr>
        <w:t>I.D.</w:t>
      </w:r>
      <w:r w:rsidR="005808A0" w:rsidRPr="00A11AA1">
        <w:rPr>
          <w:rFonts w:ascii="Times New Roman" w:hAnsi="Times New Roman"/>
          <w:sz w:val="26"/>
          <w:szCs w:val="26"/>
        </w:rPr>
        <w:t xml:space="preserve"> at 2.</w:t>
      </w:r>
    </w:p>
  </w:footnote>
  <w:footnote w:id="9">
    <w:p w14:paraId="7BCBD824" w14:textId="0FB63923" w:rsidR="005808A0" w:rsidRPr="000924FB" w:rsidRDefault="00726E8D" w:rsidP="00767895">
      <w:pPr>
        <w:pStyle w:val="FootnoteText"/>
        <w:keepNext/>
        <w:keepLines/>
        <w:spacing w:before="0"/>
        <w:rPr>
          <w:rFonts w:ascii="Times New Roman" w:hAnsi="Times New Roman"/>
          <w:sz w:val="26"/>
          <w:szCs w:val="26"/>
        </w:rPr>
      </w:pPr>
      <w:r>
        <w:tab/>
      </w:r>
      <w:r w:rsidR="005808A0" w:rsidRPr="000924FB">
        <w:rPr>
          <w:rStyle w:val="FootnoteReference"/>
          <w:rFonts w:ascii="Times New Roman" w:hAnsi="Times New Roman"/>
        </w:rPr>
        <w:footnoteRef/>
      </w:r>
      <w:r w:rsidRPr="000924FB">
        <w:rPr>
          <w:rFonts w:ascii="Times New Roman" w:hAnsi="Times New Roman"/>
          <w:sz w:val="26"/>
          <w:szCs w:val="26"/>
        </w:rPr>
        <w:tab/>
      </w:r>
      <w:r w:rsidR="005808A0" w:rsidRPr="000924FB">
        <w:rPr>
          <w:rFonts w:ascii="Times New Roman" w:hAnsi="Times New Roman"/>
          <w:i/>
          <w:sz w:val="26"/>
          <w:szCs w:val="26"/>
        </w:rPr>
        <w:t>See</w:t>
      </w:r>
      <w:r w:rsidR="005808A0" w:rsidRPr="000924FB">
        <w:rPr>
          <w:rFonts w:ascii="Times New Roman" w:hAnsi="Times New Roman"/>
          <w:sz w:val="26"/>
          <w:szCs w:val="26"/>
        </w:rPr>
        <w:t xml:space="preserve"> Section 2251.2 </w:t>
      </w:r>
      <w:r w:rsidR="007451AE">
        <w:rPr>
          <w:rFonts w:ascii="Times New Roman" w:hAnsi="Times New Roman"/>
          <w:sz w:val="26"/>
          <w:szCs w:val="26"/>
        </w:rPr>
        <w:t>(</w:t>
      </w:r>
      <w:r w:rsidR="005808A0" w:rsidRPr="000924FB">
        <w:rPr>
          <w:rFonts w:ascii="Times New Roman" w:hAnsi="Times New Roman"/>
          <w:sz w:val="26"/>
          <w:szCs w:val="26"/>
        </w:rPr>
        <w:t>describing legislative intent to minimize inhibitions to new VoIP technological developments arising from the “imposition of traditional State entry and rate regulation on voice-over-Internet-protocol and Internet protocol-enabled services”</w:t>
      </w:r>
      <w:r w:rsidR="001766F7">
        <w:rPr>
          <w:rFonts w:ascii="Times New Roman" w:hAnsi="Times New Roman"/>
          <w:sz w:val="26"/>
          <w:szCs w:val="26"/>
        </w:rPr>
        <w:t>).</w:t>
      </w:r>
    </w:p>
  </w:footnote>
  <w:footnote w:id="10">
    <w:p w14:paraId="528BFF5B" w14:textId="1C5725D2" w:rsidR="00DC08CA" w:rsidRDefault="00DC08CA">
      <w:pPr>
        <w:pStyle w:val="FootnoteText"/>
      </w:pPr>
      <w:r>
        <w:tab/>
      </w:r>
      <w:r>
        <w:rPr>
          <w:rStyle w:val="FootnoteReference"/>
        </w:rPr>
        <w:footnoteRef/>
      </w:r>
      <w:r>
        <w:tab/>
      </w:r>
      <w:r w:rsidRPr="000924FB">
        <w:rPr>
          <w:rFonts w:ascii="Times New Roman" w:hAnsi="Times New Roman"/>
          <w:sz w:val="26"/>
          <w:szCs w:val="26"/>
        </w:rPr>
        <w:t xml:space="preserve">The prior cited ALJ </w:t>
      </w:r>
      <w:r>
        <w:rPr>
          <w:rFonts w:ascii="Times New Roman" w:hAnsi="Times New Roman"/>
          <w:sz w:val="26"/>
          <w:szCs w:val="26"/>
        </w:rPr>
        <w:t>I</w:t>
      </w:r>
      <w:r w:rsidR="001944C7">
        <w:rPr>
          <w:rFonts w:ascii="Times New Roman" w:hAnsi="Times New Roman"/>
          <w:sz w:val="26"/>
          <w:szCs w:val="26"/>
        </w:rPr>
        <w:t>nitial Decisions</w:t>
      </w:r>
      <w:r w:rsidRPr="000924FB">
        <w:rPr>
          <w:rFonts w:ascii="Times New Roman" w:hAnsi="Times New Roman"/>
          <w:sz w:val="26"/>
          <w:szCs w:val="26"/>
        </w:rPr>
        <w:t xml:space="preserve"> concerning the Commission’s jurisdiction under the Public Utility Code and the VoIP Freedom Act are not dispositive.  Those decisions became final by operation of law without further Commission action.  Even if they are final, those decisions involved the certificated wholesale entity affiliated with a provider.  They did not interplead the unregulated entity as an indispensable party as permitted by Pennsylvania law or issuance of a subpoena under Section 5.421(a) or (b)(5) of our rules to ensure their presence.  Importantly, the decisions addressed substantive issues like cable service, </w:t>
      </w:r>
      <w:r w:rsidR="00E122AA">
        <w:rPr>
          <w:rFonts w:ascii="Times New Roman" w:hAnsi="Times New Roman"/>
          <w:sz w:val="26"/>
          <w:szCs w:val="26"/>
        </w:rPr>
        <w:t>I</w:t>
      </w:r>
      <w:r w:rsidRPr="000924FB">
        <w:rPr>
          <w:rFonts w:ascii="Times New Roman" w:hAnsi="Times New Roman"/>
          <w:sz w:val="26"/>
          <w:szCs w:val="26"/>
        </w:rPr>
        <w:t>nternet service, content services like HBO, and unpaid bills.  Th</w:t>
      </w:r>
      <w:r w:rsidR="00E122AA">
        <w:rPr>
          <w:rFonts w:ascii="Times New Roman" w:hAnsi="Times New Roman"/>
          <w:sz w:val="26"/>
          <w:szCs w:val="26"/>
        </w:rPr>
        <w:t>ese</w:t>
      </w:r>
      <w:r w:rsidRPr="000924FB">
        <w:rPr>
          <w:rFonts w:ascii="Times New Roman" w:hAnsi="Times New Roman"/>
          <w:sz w:val="26"/>
          <w:szCs w:val="26"/>
        </w:rPr>
        <w:t xml:space="preserve"> proceedings did not involve protected services provided under tariff or 911 service, matters over which the Commission retains jurisdiction under the VoIP Freedom Act.  In this case, the </w:t>
      </w:r>
      <w:r w:rsidR="00E122AA">
        <w:rPr>
          <w:rFonts w:ascii="Times New Roman" w:hAnsi="Times New Roman"/>
          <w:sz w:val="26"/>
          <w:szCs w:val="26"/>
        </w:rPr>
        <w:t>C</w:t>
      </w:r>
      <w:r w:rsidRPr="000924FB">
        <w:rPr>
          <w:rFonts w:ascii="Times New Roman" w:hAnsi="Times New Roman"/>
          <w:sz w:val="26"/>
          <w:szCs w:val="26"/>
        </w:rPr>
        <w:t xml:space="preserve">omplaint raises matters about the voice service of a regulated entity provided using VoIP technology, but not pleaded without ambiguity not to involve a protected service.  In </w:t>
      </w:r>
      <w:r w:rsidRPr="000924FB">
        <w:rPr>
          <w:rFonts w:ascii="Times New Roman" w:hAnsi="Times New Roman"/>
          <w:i/>
          <w:sz w:val="26"/>
          <w:szCs w:val="26"/>
        </w:rPr>
        <w:t xml:space="preserve">Brown v. Armstrong Digital Services, Inc., </w:t>
      </w:r>
      <w:r w:rsidRPr="000924FB">
        <w:rPr>
          <w:rFonts w:ascii="Times New Roman" w:hAnsi="Times New Roman"/>
          <w:sz w:val="26"/>
          <w:szCs w:val="26"/>
        </w:rPr>
        <w:t>Docket No.</w:t>
      </w:r>
      <w:r w:rsidR="001944C7">
        <w:rPr>
          <w:rFonts w:ascii="Times New Roman" w:hAnsi="Times New Roman"/>
          <w:sz w:val="26"/>
          <w:szCs w:val="26"/>
        </w:rPr>
        <w:t> </w:t>
      </w:r>
      <w:r w:rsidRPr="000924FB">
        <w:rPr>
          <w:rFonts w:ascii="Times New Roman" w:hAnsi="Times New Roman"/>
          <w:sz w:val="26"/>
          <w:szCs w:val="26"/>
        </w:rPr>
        <w:t xml:space="preserve">C-2008-20079810 (May 12, 2009), the ALJ recognized that under </w:t>
      </w:r>
      <w:r w:rsidRPr="000924FB">
        <w:rPr>
          <w:rFonts w:ascii="Times New Roman" w:hAnsi="Times New Roman"/>
          <w:i/>
          <w:sz w:val="26"/>
          <w:szCs w:val="26"/>
        </w:rPr>
        <w:t>Comcast Business Communications LLC</w:t>
      </w:r>
      <w:r w:rsidRPr="000924FB">
        <w:rPr>
          <w:rFonts w:ascii="Times New Roman" w:hAnsi="Times New Roman"/>
          <w:sz w:val="26"/>
          <w:szCs w:val="26"/>
        </w:rPr>
        <w:t xml:space="preserve">, Docket No. A-2008-202089, the Commission retained jurisdiction over protected services provided by tariff but went on to note that the provider was not a regulated provider.  In </w:t>
      </w:r>
      <w:r w:rsidRPr="000924FB">
        <w:rPr>
          <w:rFonts w:ascii="Times New Roman" w:hAnsi="Times New Roman"/>
          <w:i/>
          <w:sz w:val="26"/>
          <w:szCs w:val="26"/>
        </w:rPr>
        <w:t xml:space="preserve">Robles v. Service Electric Telephone Company, </w:t>
      </w:r>
      <w:r w:rsidRPr="000924FB">
        <w:rPr>
          <w:rFonts w:ascii="Times New Roman" w:hAnsi="Times New Roman"/>
          <w:sz w:val="26"/>
          <w:szCs w:val="26"/>
        </w:rPr>
        <w:t>Docket No. C</w:t>
      </w:r>
      <w:r w:rsidR="00E122AA">
        <w:rPr>
          <w:rFonts w:ascii="Times New Roman" w:hAnsi="Times New Roman"/>
          <w:sz w:val="26"/>
          <w:szCs w:val="26"/>
        </w:rPr>
        <w:noBreakHyphen/>
      </w:r>
      <w:r w:rsidRPr="000924FB">
        <w:rPr>
          <w:rFonts w:ascii="Times New Roman" w:hAnsi="Times New Roman"/>
          <w:sz w:val="26"/>
          <w:szCs w:val="26"/>
        </w:rPr>
        <w:t xml:space="preserve">2010-2187832 (October 15, 2010), the respondent was the wholesale certificated telecommunications provider not the unregulated affiliate, Service Cable, and the incoming call problem was resolved whereas here the provider is a certificated local exchange carrier and it is unclear if 911 service was adversely impacted by the alleged voice quality problems.  In </w:t>
      </w:r>
      <w:r w:rsidRPr="000924FB">
        <w:rPr>
          <w:rFonts w:ascii="Times New Roman" w:hAnsi="Times New Roman"/>
          <w:i/>
          <w:sz w:val="26"/>
          <w:szCs w:val="26"/>
        </w:rPr>
        <w:t xml:space="preserve">Silvestri v. Comcast IP Phone, </w:t>
      </w:r>
      <w:r w:rsidRPr="000924FB">
        <w:rPr>
          <w:rFonts w:ascii="Times New Roman" w:hAnsi="Times New Roman"/>
          <w:sz w:val="26"/>
          <w:szCs w:val="26"/>
        </w:rPr>
        <w:t xml:space="preserve">Docket No. C-2011-2241959 (August 26, 2011), the complainant raised issues of identity theft related to cable television service, issues not normally within the Commission’s jurisdiction, in a complaint made over a year after the complainant was not a customer of the respondent.  In this case, the issue is voice service provided by the certificated carrier.  In </w:t>
      </w:r>
      <w:r w:rsidRPr="000924FB">
        <w:rPr>
          <w:rFonts w:ascii="Times New Roman" w:hAnsi="Times New Roman"/>
          <w:i/>
          <w:sz w:val="26"/>
          <w:szCs w:val="26"/>
        </w:rPr>
        <w:t xml:space="preserve">Gray v. Comcast IP Phone, </w:t>
      </w:r>
      <w:r w:rsidRPr="000924FB">
        <w:rPr>
          <w:rFonts w:ascii="Times New Roman" w:hAnsi="Times New Roman"/>
          <w:sz w:val="26"/>
          <w:szCs w:val="26"/>
        </w:rPr>
        <w:t xml:space="preserve">Docket No. C-2012-2292826 (August 15, 2012), the respondent was a regulated wholesale provider, not the unregulated affiliate about whom the complainant was complaining, and the issues disposed of consistent with </w:t>
      </w:r>
      <w:r w:rsidRPr="000924FB">
        <w:rPr>
          <w:rFonts w:ascii="Times New Roman" w:hAnsi="Times New Roman"/>
          <w:i/>
          <w:sz w:val="26"/>
          <w:szCs w:val="26"/>
        </w:rPr>
        <w:t>Silvestri</w:t>
      </w:r>
      <w:r w:rsidRPr="000924FB">
        <w:rPr>
          <w:rFonts w:ascii="Times New Roman" w:hAnsi="Times New Roman"/>
          <w:sz w:val="26"/>
          <w:szCs w:val="26"/>
        </w:rPr>
        <w:t xml:space="preserve"> were cable television and </w:t>
      </w:r>
      <w:r w:rsidR="00E122AA">
        <w:rPr>
          <w:rFonts w:ascii="Times New Roman" w:hAnsi="Times New Roman"/>
          <w:sz w:val="26"/>
          <w:szCs w:val="26"/>
        </w:rPr>
        <w:t>I</w:t>
      </w:r>
      <w:r w:rsidRPr="000924FB">
        <w:rPr>
          <w:rFonts w:ascii="Times New Roman" w:hAnsi="Times New Roman"/>
          <w:sz w:val="26"/>
          <w:szCs w:val="26"/>
        </w:rPr>
        <w:t xml:space="preserve">nternet services, matters over which the Commission does not have jurisdiction except for Chapter 30.  The decision in </w:t>
      </w:r>
      <w:r w:rsidRPr="000924FB">
        <w:rPr>
          <w:rFonts w:ascii="Times New Roman" w:hAnsi="Times New Roman"/>
          <w:i/>
          <w:sz w:val="26"/>
          <w:szCs w:val="26"/>
        </w:rPr>
        <w:t xml:space="preserve">Wildman v. Verizon Pennsylvania, LLC, </w:t>
      </w:r>
      <w:r w:rsidRPr="000924FB">
        <w:rPr>
          <w:rFonts w:ascii="Times New Roman" w:hAnsi="Times New Roman"/>
          <w:sz w:val="26"/>
          <w:szCs w:val="26"/>
        </w:rPr>
        <w:t xml:space="preserve">Docket No. C-2013-2342700 (February 25, 2013) involved nonpayment of $775.76 for an unregulated package including FiOS, DVR equipment, HBO content, and </w:t>
      </w:r>
      <w:r w:rsidR="00E122AA">
        <w:rPr>
          <w:rFonts w:ascii="Times New Roman" w:hAnsi="Times New Roman"/>
          <w:sz w:val="26"/>
          <w:szCs w:val="26"/>
        </w:rPr>
        <w:t>I</w:t>
      </w:r>
      <w:r w:rsidRPr="000924FB">
        <w:rPr>
          <w:rFonts w:ascii="Times New Roman" w:hAnsi="Times New Roman"/>
          <w:sz w:val="26"/>
          <w:szCs w:val="26"/>
        </w:rPr>
        <w:t xml:space="preserve">nternet speeds.  While citing older cases, Verizon fails to acknowledge </w:t>
      </w:r>
      <w:r w:rsidRPr="000924FB">
        <w:rPr>
          <w:rFonts w:ascii="Times New Roman" w:hAnsi="Times New Roman"/>
          <w:i/>
          <w:sz w:val="26"/>
          <w:szCs w:val="26"/>
        </w:rPr>
        <w:t>Fielder v. Verizon Pennsylvania</w:t>
      </w:r>
      <w:r w:rsidRPr="000924FB">
        <w:rPr>
          <w:rFonts w:ascii="Times New Roman" w:hAnsi="Times New Roman"/>
          <w:sz w:val="26"/>
          <w:szCs w:val="26"/>
        </w:rPr>
        <w:t xml:space="preserve">, LLC, Docket No. C-2016-2553231 (Order entered February 3, 2017), in which the Commission clarified an ALJ’s ruling on the extent of our jurisdiction over VoIP-related services.  And while the ALJ has acknowledged </w:t>
      </w:r>
      <w:r w:rsidRPr="000924FB">
        <w:rPr>
          <w:rFonts w:ascii="Times New Roman" w:hAnsi="Times New Roman"/>
          <w:i/>
          <w:sz w:val="26"/>
          <w:szCs w:val="26"/>
        </w:rPr>
        <w:t>Fielder</w:t>
      </w:r>
      <w:r w:rsidRPr="000924FB">
        <w:rPr>
          <w:rFonts w:ascii="Times New Roman" w:hAnsi="Times New Roman"/>
          <w:sz w:val="26"/>
          <w:szCs w:val="26"/>
        </w:rPr>
        <w:t>, he failed to account for the distinction as to jurisdiction presented in it.  This case does not involve unpaid bills for cable or content services like HBO but voice and billing for voice service through a rate center whose classification is unclear and whether 911 service was adversely affected by the voice service quality issues.</w:t>
      </w:r>
    </w:p>
  </w:footnote>
  <w:footnote w:id="11">
    <w:p w14:paraId="02074A69" w14:textId="77777777" w:rsidR="005808A0" w:rsidRPr="000924FB" w:rsidRDefault="00726E8D" w:rsidP="00767895">
      <w:pPr>
        <w:pStyle w:val="FootnoteText"/>
        <w:keepNext/>
        <w:keepLines/>
        <w:rPr>
          <w:rFonts w:ascii="Times New Roman" w:hAnsi="Times New Roman"/>
          <w:sz w:val="26"/>
          <w:szCs w:val="26"/>
        </w:rPr>
      </w:pPr>
      <w:r w:rsidRPr="000924FB">
        <w:rPr>
          <w:rFonts w:ascii="Times New Roman" w:hAnsi="Times New Roman"/>
          <w:sz w:val="26"/>
          <w:szCs w:val="26"/>
        </w:rPr>
        <w:tab/>
      </w:r>
      <w:r w:rsidR="005808A0" w:rsidRPr="000924FB">
        <w:rPr>
          <w:rStyle w:val="FootnoteReference"/>
          <w:rFonts w:ascii="Times New Roman" w:hAnsi="Times New Roman"/>
        </w:rPr>
        <w:footnoteRef/>
      </w:r>
      <w:r w:rsidRPr="000924FB">
        <w:rPr>
          <w:rFonts w:ascii="Times New Roman" w:hAnsi="Times New Roman"/>
          <w:sz w:val="26"/>
          <w:szCs w:val="26"/>
        </w:rPr>
        <w:tab/>
      </w:r>
      <w:r w:rsidR="005808A0" w:rsidRPr="000924FB">
        <w:rPr>
          <w:rFonts w:ascii="Times New Roman" w:hAnsi="Times New Roman"/>
          <w:sz w:val="26"/>
          <w:szCs w:val="26"/>
        </w:rPr>
        <w:t xml:space="preserve">Verizon requested any portion of the matter not dismissed be referred to mediation.  Verizon Answer at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5CA62E9"/>
    <w:multiLevelType w:val="hybridMultilevel"/>
    <w:tmpl w:val="B2668840"/>
    <w:lvl w:ilvl="0" w:tplc="8DFA35C8">
      <w:start w:val="1"/>
      <w:numFmt w:val="decimal"/>
      <w:lvlText w:val="(%1)"/>
      <w:lvlJc w:val="left"/>
      <w:pPr>
        <w:ind w:left="2016" w:hanging="396"/>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9"/>
  </w:num>
  <w:num w:numId="2">
    <w:abstractNumId w:val="2"/>
  </w:num>
  <w:num w:numId="3">
    <w:abstractNumId w:val="11"/>
  </w:num>
  <w:num w:numId="4">
    <w:abstractNumId w:val="4"/>
  </w:num>
  <w:num w:numId="5">
    <w:abstractNumId w:val="7"/>
  </w:num>
  <w:num w:numId="6">
    <w:abstractNumId w:val="5"/>
  </w:num>
  <w:num w:numId="7">
    <w:abstractNumId w:val="3"/>
  </w:num>
  <w:num w:numId="8">
    <w:abstractNumId w:val="6"/>
  </w:num>
  <w:num w:numId="9">
    <w:abstractNumId w:val="10"/>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FE"/>
    <w:rsid w:val="000004FF"/>
    <w:rsid w:val="00000C15"/>
    <w:rsid w:val="00001139"/>
    <w:rsid w:val="0000209B"/>
    <w:rsid w:val="00002615"/>
    <w:rsid w:val="0000290A"/>
    <w:rsid w:val="00002F2A"/>
    <w:rsid w:val="00004C36"/>
    <w:rsid w:val="000063E9"/>
    <w:rsid w:val="000064C2"/>
    <w:rsid w:val="00006E37"/>
    <w:rsid w:val="00007106"/>
    <w:rsid w:val="000074DC"/>
    <w:rsid w:val="00007D6C"/>
    <w:rsid w:val="00010322"/>
    <w:rsid w:val="0001099D"/>
    <w:rsid w:val="00011888"/>
    <w:rsid w:val="00012A95"/>
    <w:rsid w:val="00013B94"/>
    <w:rsid w:val="0001411C"/>
    <w:rsid w:val="0001414B"/>
    <w:rsid w:val="000148F5"/>
    <w:rsid w:val="00015969"/>
    <w:rsid w:val="00015A01"/>
    <w:rsid w:val="00016CE0"/>
    <w:rsid w:val="00017033"/>
    <w:rsid w:val="00020B46"/>
    <w:rsid w:val="00020E43"/>
    <w:rsid w:val="00020F8F"/>
    <w:rsid w:val="000215B4"/>
    <w:rsid w:val="000234F5"/>
    <w:rsid w:val="00024987"/>
    <w:rsid w:val="00024DD1"/>
    <w:rsid w:val="00025686"/>
    <w:rsid w:val="0002585B"/>
    <w:rsid w:val="00025B28"/>
    <w:rsid w:val="000261D5"/>
    <w:rsid w:val="00026AF5"/>
    <w:rsid w:val="00026E4B"/>
    <w:rsid w:val="00027186"/>
    <w:rsid w:val="0002723A"/>
    <w:rsid w:val="0002744F"/>
    <w:rsid w:val="00027EE5"/>
    <w:rsid w:val="000310BE"/>
    <w:rsid w:val="00031A0A"/>
    <w:rsid w:val="00031E93"/>
    <w:rsid w:val="0003278B"/>
    <w:rsid w:val="00032D5F"/>
    <w:rsid w:val="00033CB2"/>
    <w:rsid w:val="0003588B"/>
    <w:rsid w:val="00035F25"/>
    <w:rsid w:val="00037182"/>
    <w:rsid w:val="000378DC"/>
    <w:rsid w:val="0004071F"/>
    <w:rsid w:val="000416ED"/>
    <w:rsid w:val="00044438"/>
    <w:rsid w:val="0004679E"/>
    <w:rsid w:val="000472A4"/>
    <w:rsid w:val="00047CB0"/>
    <w:rsid w:val="000510D0"/>
    <w:rsid w:val="000510FD"/>
    <w:rsid w:val="000537BC"/>
    <w:rsid w:val="00053BC9"/>
    <w:rsid w:val="00053CED"/>
    <w:rsid w:val="000541A0"/>
    <w:rsid w:val="00054407"/>
    <w:rsid w:val="00054F7A"/>
    <w:rsid w:val="00055EF9"/>
    <w:rsid w:val="00057057"/>
    <w:rsid w:val="000573BD"/>
    <w:rsid w:val="0006057C"/>
    <w:rsid w:val="000610F9"/>
    <w:rsid w:val="00061284"/>
    <w:rsid w:val="00061850"/>
    <w:rsid w:val="000629CD"/>
    <w:rsid w:val="000634BD"/>
    <w:rsid w:val="0006405C"/>
    <w:rsid w:val="00065DB6"/>
    <w:rsid w:val="00066E55"/>
    <w:rsid w:val="000673D1"/>
    <w:rsid w:val="00070FF8"/>
    <w:rsid w:val="00070FFD"/>
    <w:rsid w:val="000711D9"/>
    <w:rsid w:val="000716A0"/>
    <w:rsid w:val="00072883"/>
    <w:rsid w:val="0007305F"/>
    <w:rsid w:val="000731DA"/>
    <w:rsid w:val="00073C25"/>
    <w:rsid w:val="00075161"/>
    <w:rsid w:val="00075677"/>
    <w:rsid w:val="0007596A"/>
    <w:rsid w:val="00076433"/>
    <w:rsid w:val="00076F62"/>
    <w:rsid w:val="000777D8"/>
    <w:rsid w:val="00077822"/>
    <w:rsid w:val="00080C6A"/>
    <w:rsid w:val="000820F1"/>
    <w:rsid w:val="0008251E"/>
    <w:rsid w:val="0008328F"/>
    <w:rsid w:val="0008445E"/>
    <w:rsid w:val="00084E42"/>
    <w:rsid w:val="00085FFB"/>
    <w:rsid w:val="00086411"/>
    <w:rsid w:val="00086D0B"/>
    <w:rsid w:val="0008768F"/>
    <w:rsid w:val="000876C2"/>
    <w:rsid w:val="00087C06"/>
    <w:rsid w:val="00087D18"/>
    <w:rsid w:val="00091937"/>
    <w:rsid w:val="00092384"/>
    <w:rsid w:val="000924FB"/>
    <w:rsid w:val="00092796"/>
    <w:rsid w:val="00092ABD"/>
    <w:rsid w:val="00094D6F"/>
    <w:rsid w:val="00096187"/>
    <w:rsid w:val="000966DC"/>
    <w:rsid w:val="00097048"/>
    <w:rsid w:val="0009781B"/>
    <w:rsid w:val="000A1364"/>
    <w:rsid w:val="000A161F"/>
    <w:rsid w:val="000A2F11"/>
    <w:rsid w:val="000A35F4"/>
    <w:rsid w:val="000A4C46"/>
    <w:rsid w:val="000A5AD9"/>
    <w:rsid w:val="000A6EB3"/>
    <w:rsid w:val="000A770A"/>
    <w:rsid w:val="000A7F96"/>
    <w:rsid w:val="000B0753"/>
    <w:rsid w:val="000B2688"/>
    <w:rsid w:val="000B2A1C"/>
    <w:rsid w:val="000B2B80"/>
    <w:rsid w:val="000B3FB4"/>
    <w:rsid w:val="000B4F29"/>
    <w:rsid w:val="000B5487"/>
    <w:rsid w:val="000B5DF8"/>
    <w:rsid w:val="000B6FC0"/>
    <w:rsid w:val="000B71E3"/>
    <w:rsid w:val="000B77E2"/>
    <w:rsid w:val="000B7E7F"/>
    <w:rsid w:val="000C2E15"/>
    <w:rsid w:val="000C33A1"/>
    <w:rsid w:val="000C4BFD"/>
    <w:rsid w:val="000C608B"/>
    <w:rsid w:val="000C6C92"/>
    <w:rsid w:val="000C742F"/>
    <w:rsid w:val="000D0BAC"/>
    <w:rsid w:val="000D0D75"/>
    <w:rsid w:val="000D1965"/>
    <w:rsid w:val="000D1D8E"/>
    <w:rsid w:val="000D1DF8"/>
    <w:rsid w:val="000D6482"/>
    <w:rsid w:val="000D6C35"/>
    <w:rsid w:val="000D6F15"/>
    <w:rsid w:val="000D761A"/>
    <w:rsid w:val="000E0050"/>
    <w:rsid w:val="000E0311"/>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AE7"/>
    <w:rsid w:val="000F6D5A"/>
    <w:rsid w:val="000F7F57"/>
    <w:rsid w:val="0010013C"/>
    <w:rsid w:val="001006F0"/>
    <w:rsid w:val="00100B90"/>
    <w:rsid w:val="00100BF3"/>
    <w:rsid w:val="00101745"/>
    <w:rsid w:val="001026AA"/>
    <w:rsid w:val="00103A52"/>
    <w:rsid w:val="00103EBA"/>
    <w:rsid w:val="001048B3"/>
    <w:rsid w:val="00105084"/>
    <w:rsid w:val="001050C5"/>
    <w:rsid w:val="00105104"/>
    <w:rsid w:val="00105193"/>
    <w:rsid w:val="0010534A"/>
    <w:rsid w:val="00106537"/>
    <w:rsid w:val="001112D8"/>
    <w:rsid w:val="0011244B"/>
    <w:rsid w:val="0011311C"/>
    <w:rsid w:val="001133C8"/>
    <w:rsid w:val="00114D80"/>
    <w:rsid w:val="00115FD9"/>
    <w:rsid w:val="001160BA"/>
    <w:rsid w:val="00116D79"/>
    <w:rsid w:val="00120C2F"/>
    <w:rsid w:val="00120D85"/>
    <w:rsid w:val="00122E0F"/>
    <w:rsid w:val="00123068"/>
    <w:rsid w:val="001234F1"/>
    <w:rsid w:val="001240FD"/>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6E3D"/>
    <w:rsid w:val="00137A60"/>
    <w:rsid w:val="001401EC"/>
    <w:rsid w:val="00141877"/>
    <w:rsid w:val="00141882"/>
    <w:rsid w:val="00141DF0"/>
    <w:rsid w:val="0014205C"/>
    <w:rsid w:val="00142D3A"/>
    <w:rsid w:val="00143F43"/>
    <w:rsid w:val="00144166"/>
    <w:rsid w:val="001448EA"/>
    <w:rsid w:val="00144E09"/>
    <w:rsid w:val="001457F2"/>
    <w:rsid w:val="00145EDC"/>
    <w:rsid w:val="00146E12"/>
    <w:rsid w:val="00147415"/>
    <w:rsid w:val="00150989"/>
    <w:rsid w:val="001509E0"/>
    <w:rsid w:val="001510BB"/>
    <w:rsid w:val="001523CA"/>
    <w:rsid w:val="0015662E"/>
    <w:rsid w:val="001572C5"/>
    <w:rsid w:val="0016005F"/>
    <w:rsid w:val="001606BC"/>
    <w:rsid w:val="0016084C"/>
    <w:rsid w:val="00160F0A"/>
    <w:rsid w:val="0016115A"/>
    <w:rsid w:val="00162A88"/>
    <w:rsid w:val="00162BEE"/>
    <w:rsid w:val="001636E2"/>
    <w:rsid w:val="00163AA3"/>
    <w:rsid w:val="00164012"/>
    <w:rsid w:val="0016441E"/>
    <w:rsid w:val="00164715"/>
    <w:rsid w:val="00164C98"/>
    <w:rsid w:val="00166006"/>
    <w:rsid w:val="001679F1"/>
    <w:rsid w:val="001701B3"/>
    <w:rsid w:val="001704F7"/>
    <w:rsid w:val="0017084A"/>
    <w:rsid w:val="0017182A"/>
    <w:rsid w:val="00173EDA"/>
    <w:rsid w:val="0017591C"/>
    <w:rsid w:val="00175F2D"/>
    <w:rsid w:val="001766F7"/>
    <w:rsid w:val="00177A43"/>
    <w:rsid w:val="00180E89"/>
    <w:rsid w:val="001811B8"/>
    <w:rsid w:val="00181347"/>
    <w:rsid w:val="001827DB"/>
    <w:rsid w:val="00182D08"/>
    <w:rsid w:val="00183D96"/>
    <w:rsid w:val="00185B5E"/>
    <w:rsid w:val="001865B9"/>
    <w:rsid w:val="00186887"/>
    <w:rsid w:val="00187BC6"/>
    <w:rsid w:val="00191250"/>
    <w:rsid w:val="0019214E"/>
    <w:rsid w:val="0019251E"/>
    <w:rsid w:val="0019318F"/>
    <w:rsid w:val="00193EF0"/>
    <w:rsid w:val="001944C7"/>
    <w:rsid w:val="00197920"/>
    <w:rsid w:val="00197C2F"/>
    <w:rsid w:val="00197F3D"/>
    <w:rsid w:val="001A0516"/>
    <w:rsid w:val="001A18D5"/>
    <w:rsid w:val="001A1AD3"/>
    <w:rsid w:val="001A2F1D"/>
    <w:rsid w:val="001A3C6A"/>
    <w:rsid w:val="001A4A0C"/>
    <w:rsid w:val="001A4C6C"/>
    <w:rsid w:val="001A53ED"/>
    <w:rsid w:val="001A5711"/>
    <w:rsid w:val="001A5756"/>
    <w:rsid w:val="001A5804"/>
    <w:rsid w:val="001A5B0A"/>
    <w:rsid w:val="001A5C12"/>
    <w:rsid w:val="001A5ED9"/>
    <w:rsid w:val="001A6E4B"/>
    <w:rsid w:val="001A6FD4"/>
    <w:rsid w:val="001A7173"/>
    <w:rsid w:val="001A75AA"/>
    <w:rsid w:val="001B00D9"/>
    <w:rsid w:val="001B06FC"/>
    <w:rsid w:val="001B07E7"/>
    <w:rsid w:val="001B423C"/>
    <w:rsid w:val="001B5CD3"/>
    <w:rsid w:val="001B7A05"/>
    <w:rsid w:val="001C37DD"/>
    <w:rsid w:val="001C396E"/>
    <w:rsid w:val="001C42FD"/>
    <w:rsid w:val="001C4B37"/>
    <w:rsid w:val="001C4CAD"/>
    <w:rsid w:val="001C53B1"/>
    <w:rsid w:val="001C7E91"/>
    <w:rsid w:val="001C7F88"/>
    <w:rsid w:val="001D01F1"/>
    <w:rsid w:val="001D02A2"/>
    <w:rsid w:val="001D0BFB"/>
    <w:rsid w:val="001D0E29"/>
    <w:rsid w:val="001D24BD"/>
    <w:rsid w:val="001D2BAD"/>
    <w:rsid w:val="001D491F"/>
    <w:rsid w:val="001D5345"/>
    <w:rsid w:val="001D70A6"/>
    <w:rsid w:val="001D7137"/>
    <w:rsid w:val="001E05C6"/>
    <w:rsid w:val="001E0B29"/>
    <w:rsid w:val="001E0F56"/>
    <w:rsid w:val="001E19BC"/>
    <w:rsid w:val="001E1A53"/>
    <w:rsid w:val="001E2CFB"/>
    <w:rsid w:val="001E3574"/>
    <w:rsid w:val="001E3854"/>
    <w:rsid w:val="001E4225"/>
    <w:rsid w:val="001E5B8E"/>
    <w:rsid w:val="001F0488"/>
    <w:rsid w:val="001F3BF4"/>
    <w:rsid w:val="001F3C68"/>
    <w:rsid w:val="001F4194"/>
    <w:rsid w:val="001F49F1"/>
    <w:rsid w:val="001F55D5"/>
    <w:rsid w:val="001F5F40"/>
    <w:rsid w:val="001F6501"/>
    <w:rsid w:val="001F75D6"/>
    <w:rsid w:val="001F79C6"/>
    <w:rsid w:val="001F7B55"/>
    <w:rsid w:val="00200D0C"/>
    <w:rsid w:val="00201270"/>
    <w:rsid w:val="00203F27"/>
    <w:rsid w:val="0020407E"/>
    <w:rsid w:val="00205242"/>
    <w:rsid w:val="00205B95"/>
    <w:rsid w:val="0020640C"/>
    <w:rsid w:val="00206D03"/>
    <w:rsid w:val="00207449"/>
    <w:rsid w:val="00207453"/>
    <w:rsid w:val="0020784E"/>
    <w:rsid w:val="00210868"/>
    <w:rsid w:val="00210BB0"/>
    <w:rsid w:val="0021230D"/>
    <w:rsid w:val="00213B95"/>
    <w:rsid w:val="00214C25"/>
    <w:rsid w:val="00215192"/>
    <w:rsid w:val="002170BF"/>
    <w:rsid w:val="002174D8"/>
    <w:rsid w:val="00217C4E"/>
    <w:rsid w:val="00223564"/>
    <w:rsid w:val="002242F7"/>
    <w:rsid w:val="00225BD2"/>
    <w:rsid w:val="0022626D"/>
    <w:rsid w:val="002278A0"/>
    <w:rsid w:val="00230396"/>
    <w:rsid w:val="0023097E"/>
    <w:rsid w:val="00230BAB"/>
    <w:rsid w:val="00232A03"/>
    <w:rsid w:val="0023354F"/>
    <w:rsid w:val="0023377F"/>
    <w:rsid w:val="00233A9F"/>
    <w:rsid w:val="0023535F"/>
    <w:rsid w:val="00237CE3"/>
    <w:rsid w:val="00241AA6"/>
    <w:rsid w:val="00243016"/>
    <w:rsid w:val="0024349F"/>
    <w:rsid w:val="00243CC9"/>
    <w:rsid w:val="00243D31"/>
    <w:rsid w:val="00244528"/>
    <w:rsid w:val="002450F3"/>
    <w:rsid w:val="00245B0C"/>
    <w:rsid w:val="002469C9"/>
    <w:rsid w:val="00247332"/>
    <w:rsid w:val="00250E63"/>
    <w:rsid w:val="00252313"/>
    <w:rsid w:val="00252626"/>
    <w:rsid w:val="00253CC7"/>
    <w:rsid w:val="00254560"/>
    <w:rsid w:val="00254840"/>
    <w:rsid w:val="00255125"/>
    <w:rsid w:val="002556E9"/>
    <w:rsid w:val="002564D7"/>
    <w:rsid w:val="00256A4C"/>
    <w:rsid w:val="0025718D"/>
    <w:rsid w:val="00260276"/>
    <w:rsid w:val="002618AC"/>
    <w:rsid w:val="0026312F"/>
    <w:rsid w:val="00264ABB"/>
    <w:rsid w:val="002652DF"/>
    <w:rsid w:val="00265BD8"/>
    <w:rsid w:val="00266A79"/>
    <w:rsid w:val="0026727E"/>
    <w:rsid w:val="00267FDA"/>
    <w:rsid w:val="00271322"/>
    <w:rsid w:val="00271DE6"/>
    <w:rsid w:val="002723CB"/>
    <w:rsid w:val="00273450"/>
    <w:rsid w:val="0027458E"/>
    <w:rsid w:val="00274EC0"/>
    <w:rsid w:val="00275533"/>
    <w:rsid w:val="00277997"/>
    <w:rsid w:val="00277BAB"/>
    <w:rsid w:val="00277E9A"/>
    <w:rsid w:val="00281587"/>
    <w:rsid w:val="00282019"/>
    <w:rsid w:val="002830F0"/>
    <w:rsid w:val="00283433"/>
    <w:rsid w:val="002838E3"/>
    <w:rsid w:val="00283C80"/>
    <w:rsid w:val="0028448D"/>
    <w:rsid w:val="00284F6E"/>
    <w:rsid w:val="002851CE"/>
    <w:rsid w:val="002854BF"/>
    <w:rsid w:val="00285856"/>
    <w:rsid w:val="00285EB1"/>
    <w:rsid w:val="00286C9A"/>
    <w:rsid w:val="00287BE6"/>
    <w:rsid w:val="00290876"/>
    <w:rsid w:val="002911A8"/>
    <w:rsid w:val="00291657"/>
    <w:rsid w:val="002916BB"/>
    <w:rsid w:val="002919FB"/>
    <w:rsid w:val="00296493"/>
    <w:rsid w:val="00297040"/>
    <w:rsid w:val="00297213"/>
    <w:rsid w:val="002A0E82"/>
    <w:rsid w:val="002A17A4"/>
    <w:rsid w:val="002A3250"/>
    <w:rsid w:val="002A3A6E"/>
    <w:rsid w:val="002A3AC8"/>
    <w:rsid w:val="002A5399"/>
    <w:rsid w:val="002A740E"/>
    <w:rsid w:val="002A782B"/>
    <w:rsid w:val="002B0089"/>
    <w:rsid w:val="002B03EA"/>
    <w:rsid w:val="002B31AD"/>
    <w:rsid w:val="002B3767"/>
    <w:rsid w:val="002B4B0D"/>
    <w:rsid w:val="002B6B0C"/>
    <w:rsid w:val="002B7197"/>
    <w:rsid w:val="002C011D"/>
    <w:rsid w:val="002C116F"/>
    <w:rsid w:val="002C2053"/>
    <w:rsid w:val="002C20BD"/>
    <w:rsid w:val="002C348A"/>
    <w:rsid w:val="002C4014"/>
    <w:rsid w:val="002C4311"/>
    <w:rsid w:val="002C5B3A"/>
    <w:rsid w:val="002C6140"/>
    <w:rsid w:val="002C61A7"/>
    <w:rsid w:val="002C6681"/>
    <w:rsid w:val="002D08E2"/>
    <w:rsid w:val="002D0BD9"/>
    <w:rsid w:val="002D13F6"/>
    <w:rsid w:val="002D33E8"/>
    <w:rsid w:val="002D5216"/>
    <w:rsid w:val="002D5341"/>
    <w:rsid w:val="002D5C5B"/>
    <w:rsid w:val="002D650D"/>
    <w:rsid w:val="002D6FE5"/>
    <w:rsid w:val="002D775A"/>
    <w:rsid w:val="002E00A3"/>
    <w:rsid w:val="002E0503"/>
    <w:rsid w:val="002E1CA7"/>
    <w:rsid w:val="002E3288"/>
    <w:rsid w:val="002E4908"/>
    <w:rsid w:val="002E6029"/>
    <w:rsid w:val="002E6F2D"/>
    <w:rsid w:val="002E7206"/>
    <w:rsid w:val="002F0238"/>
    <w:rsid w:val="002F1287"/>
    <w:rsid w:val="002F14FA"/>
    <w:rsid w:val="002F3B92"/>
    <w:rsid w:val="002F4D5E"/>
    <w:rsid w:val="002F50FB"/>
    <w:rsid w:val="002F5F71"/>
    <w:rsid w:val="002F6563"/>
    <w:rsid w:val="002F716A"/>
    <w:rsid w:val="002F7FB8"/>
    <w:rsid w:val="00300C9D"/>
    <w:rsid w:val="00301735"/>
    <w:rsid w:val="00301857"/>
    <w:rsid w:val="00302FC9"/>
    <w:rsid w:val="003031FC"/>
    <w:rsid w:val="00303915"/>
    <w:rsid w:val="00304ABF"/>
    <w:rsid w:val="00304F7D"/>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2B47"/>
    <w:rsid w:val="0032388C"/>
    <w:rsid w:val="00324417"/>
    <w:rsid w:val="00324463"/>
    <w:rsid w:val="00324791"/>
    <w:rsid w:val="00324B2C"/>
    <w:rsid w:val="00324E5B"/>
    <w:rsid w:val="00325440"/>
    <w:rsid w:val="0032579A"/>
    <w:rsid w:val="0032615A"/>
    <w:rsid w:val="00326A17"/>
    <w:rsid w:val="00327CBE"/>
    <w:rsid w:val="00330392"/>
    <w:rsid w:val="0033198B"/>
    <w:rsid w:val="003320A9"/>
    <w:rsid w:val="00335067"/>
    <w:rsid w:val="0033589A"/>
    <w:rsid w:val="00337C48"/>
    <w:rsid w:val="00337DFD"/>
    <w:rsid w:val="00340B42"/>
    <w:rsid w:val="00340BE3"/>
    <w:rsid w:val="00340E96"/>
    <w:rsid w:val="00341386"/>
    <w:rsid w:val="00342149"/>
    <w:rsid w:val="003428C1"/>
    <w:rsid w:val="003440BD"/>
    <w:rsid w:val="00344581"/>
    <w:rsid w:val="003459E2"/>
    <w:rsid w:val="00346964"/>
    <w:rsid w:val="003471B4"/>
    <w:rsid w:val="00350442"/>
    <w:rsid w:val="00350B3E"/>
    <w:rsid w:val="00351F81"/>
    <w:rsid w:val="00352BC7"/>
    <w:rsid w:val="003536D6"/>
    <w:rsid w:val="00353BBC"/>
    <w:rsid w:val="00353DAC"/>
    <w:rsid w:val="00353F42"/>
    <w:rsid w:val="0035474E"/>
    <w:rsid w:val="00354EEE"/>
    <w:rsid w:val="00355E73"/>
    <w:rsid w:val="00356A26"/>
    <w:rsid w:val="003573EB"/>
    <w:rsid w:val="00357A93"/>
    <w:rsid w:val="00357B6E"/>
    <w:rsid w:val="00362AC9"/>
    <w:rsid w:val="003669C8"/>
    <w:rsid w:val="00366C32"/>
    <w:rsid w:val="00367224"/>
    <w:rsid w:val="00370193"/>
    <w:rsid w:val="003704B1"/>
    <w:rsid w:val="003708CD"/>
    <w:rsid w:val="00372E6D"/>
    <w:rsid w:val="00373021"/>
    <w:rsid w:val="00373918"/>
    <w:rsid w:val="003742CF"/>
    <w:rsid w:val="003745DB"/>
    <w:rsid w:val="0037549D"/>
    <w:rsid w:val="00376291"/>
    <w:rsid w:val="0037692B"/>
    <w:rsid w:val="003807E7"/>
    <w:rsid w:val="0038091E"/>
    <w:rsid w:val="00381BD4"/>
    <w:rsid w:val="00381C7A"/>
    <w:rsid w:val="003821C2"/>
    <w:rsid w:val="00383324"/>
    <w:rsid w:val="00383585"/>
    <w:rsid w:val="00384B25"/>
    <w:rsid w:val="00385898"/>
    <w:rsid w:val="0039007A"/>
    <w:rsid w:val="003902DE"/>
    <w:rsid w:val="00390A6D"/>
    <w:rsid w:val="00390D53"/>
    <w:rsid w:val="00390FB3"/>
    <w:rsid w:val="00391B6F"/>
    <w:rsid w:val="00391BFC"/>
    <w:rsid w:val="00392572"/>
    <w:rsid w:val="003928E1"/>
    <w:rsid w:val="00392B85"/>
    <w:rsid w:val="003943C4"/>
    <w:rsid w:val="00394901"/>
    <w:rsid w:val="00395F28"/>
    <w:rsid w:val="003967A2"/>
    <w:rsid w:val="00397F28"/>
    <w:rsid w:val="003A07CB"/>
    <w:rsid w:val="003A16F3"/>
    <w:rsid w:val="003A2DA0"/>
    <w:rsid w:val="003A2FF8"/>
    <w:rsid w:val="003A37DD"/>
    <w:rsid w:val="003A390A"/>
    <w:rsid w:val="003A4184"/>
    <w:rsid w:val="003A50AE"/>
    <w:rsid w:val="003A5385"/>
    <w:rsid w:val="003A54C7"/>
    <w:rsid w:val="003A5C26"/>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F72"/>
    <w:rsid w:val="003C23C6"/>
    <w:rsid w:val="003C31AF"/>
    <w:rsid w:val="003C384E"/>
    <w:rsid w:val="003C3DBC"/>
    <w:rsid w:val="003C4355"/>
    <w:rsid w:val="003C446B"/>
    <w:rsid w:val="003C729B"/>
    <w:rsid w:val="003C75CF"/>
    <w:rsid w:val="003C7FAE"/>
    <w:rsid w:val="003D0B03"/>
    <w:rsid w:val="003D102F"/>
    <w:rsid w:val="003D1BB7"/>
    <w:rsid w:val="003D1C9A"/>
    <w:rsid w:val="003D283B"/>
    <w:rsid w:val="003D2936"/>
    <w:rsid w:val="003D3F4C"/>
    <w:rsid w:val="003D43E1"/>
    <w:rsid w:val="003D4446"/>
    <w:rsid w:val="003D4638"/>
    <w:rsid w:val="003D4B2C"/>
    <w:rsid w:val="003D4D1D"/>
    <w:rsid w:val="003D584F"/>
    <w:rsid w:val="003D6267"/>
    <w:rsid w:val="003D6E02"/>
    <w:rsid w:val="003D70DF"/>
    <w:rsid w:val="003D7753"/>
    <w:rsid w:val="003D7B97"/>
    <w:rsid w:val="003E0079"/>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4A"/>
    <w:rsid w:val="003F0ABA"/>
    <w:rsid w:val="003F12B4"/>
    <w:rsid w:val="003F1C7C"/>
    <w:rsid w:val="003F25E5"/>
    <w:rsid w:val="003F27D1"/>
    <w:rsid w:val="003F287E"/>
    <w:rsid w:val="003F2BF4"/>
    <w:rsid w:val="003F3939"/>
    <w:rsid w:val="003F5CC4"/>
    <w:rsid w:val="003F6450"/>
    <w:rsid w:val="003F78A2"/>
    <w:rsid w:val="00400A4D"/>
    <w:rsid w:val="0040233B"/>
    <w:rsid w:val="004023F4"/>
    <w:rsid w:val="00402479"/>
    <w:rsid w:val="00404C07"/>
    <w:rsid w:val="004051BE"/>
    <w:rsid w:val="004059A2"/>
    <w:rsid w:val="00406D11"/>
    <w:rsid w:val="00411DC5"/>
    <w:rsid w:val="00411FC9"/>
    <w:rsid w:val="00411FED"/>
    <w:rsid w:val="004140BA"/>
    <w:rsid w:val="004144EB"/>
    <w:rsid w:val="004144EE"/>
    <w:rsid w:val="004146BE"/>
    <w:rsid w:val="00414855"/>
    <w:rsid w:val="00415460"/>
    <w:rsid w:val="00415483"/>
    <w:rsid w:val="00415A5E"/>
    <w:rsid w:val="00416ED6"/>
    <w:rsid w:val="0041704E"/>
    <w:rsid w:val="00417CCE"/>
    <w:rsid w:val="00421E3B"/>
    <w:rsid w:val="004246D3"/>
    <w:rsid w:val="00425651"/>
    <w:rsid w:val="00425C2F"/>
    <w:rsid w:val="00426953"/>
    <w:rsid w:val="00427697"/>
    <w:rsid w:val="0043042D"/>
    <w:rsid w:val="00430570"/>
    <w:rsid w:val="00431621"/>
    <w:rsid w:val="00431969"/>
    <w:rsid w:val="00431F78"/>
    <w:rsid w:val="00433F60"/>
    <w:rsid w:val="00435582"/>
    <w:rsid w:val="00435FD5"/>
    <w:rsid w:val="00436B64"/>
    <w:rsid w:val="00436ED1"/>
    <w:rsid w:val="0044114D"/>
    <w:rsid w:val="00441920"/>
    <w:rsid w:val="004419DA"/>
    <w:rsid w:val="004427E2"/>
    <w:rsid w:val="00442945"/>
    <w:rsid w:val="004430A9"/>
    <w:rsid w:val="00443198"/>
    <w:rsid w:val="0044366E"/>
    <w:rsid w:val="00443A90"/>
    <w:rsid w:val="00443DE7"/>
    <w:rsid w:val="00446699"/>
    <w:rsid w:val="00446BCB"/>
    <w:rsid w:val="00447592"/>
    <w:rsid w:val="00451543"/>
    <w:rsid w:val="004551AB"/>
    <w:rsid w:val="004557BC"/>
    <w:rsid w:val="00455C99"/>
    <w:rsid w:val="004572B4"/>
    <w:rsid w:val="00457386"/>
    <w:rsid w:val="00457839"/>
    <w:rsid w:val="004610A5"/>
    <w:rsid w:val="00461752"/>
    <w:rsid w:val="00461AC0"/>
    <w:rsid w:val="00461E0C"/>
    <w:rsid w:val="004622AF"/>
    <w:rsid w:val="00463C5C"/>
    <w:rsid w:val="004659EF"/>
    <w:rsid w:val="004715B6"/>
    <w:rsid w:val="0047307A"/>
    <w:rsid w:val="00473CA5"/>
    <w:rsid w:val="00474DBB"/>
    <w:rsid w:val="00474F36"/>
    <w:rsid w:val="00474FC8"/>
    <w:rsid w:val="00475639"/>
    <w:rsid w:val="004760F2"/>
    <w:rsid w:val="004761B9"/>
    <w:rsid w:val="00476B76"/>
    <w:rsid w:val="004800AD"/>
    <w:rsid w:val="0048542F"/>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5730"/>
    <w:rsid w:val="004A6496"/>
    <w:rsid w:val="004A7831"/>
    <w:rsid w:val="004B1011"/>
    <w:rsid w:val="004B14C4"/>
    <w:rsid w:val="004B1F17"/>
    <w:rsid w:val="004B30C3"/>
    <w:rsid w:val="004B35DC"/>
    <w:rsid w:val="004B584E"/>
    <w:rsid w:val="004C40E8"/>
    <w:rsid w:val="004C4F45"/>
    <w:rsid w:val="004C54A0"/>
    <w:rsid w:val="004C5B03"/>
    <w:rsid w:val="004C702D"/>
    <w:rsid w:val="004C749A"/>
    <w:rsid w:val="004C7AC4"/>
    <w:rsid w:val="004D08F5"/>
    <w:rsid w:val="004D12A1"/>
    <w:rsid w:val="004D2270"/>
    <w:rsid w:val="004D2C34"/>
    <w:rsid w:val="004D311C"/>
    <w:rsid w:val="004D34A0"/>
    <w:rsid w:val="004D362A"/>
    <w:rsid w:val="004D3C08"/>
    <w:rsid w:val="004D5581"/>
    <w:rsid w:val="004D55FA"/>
    <w:rsid w:val="004D5A16"/>
    <w:rsid w:val="004D5B29"/>
    <w:rsid w:val="004D5D76"/>
    <w:rsid w:val="004D5E02"/>
    <w:rsid w:val="004D5F70"/>
    <w:rsid w:val="004D75C4"/>
    <w:rsid w:val="004D75D8"/>
    <w:rsid w:val="004E05E7"/>
    <w:rsid w:val="004E1757"/>
    <w:rsid w:val="004E2F35"/>
    <w:rsid w:val="004E3204"/>
    <w:rsid w:val="004E3FFF"/>
    <w:rsid w:val="004E58C3"/>
    <w:rsid w:val="004E64B8"/>
    <w:rsid w:val="004E65E9"/>
    <w:rsid w:val="004E66DA"/>
    <w:rsid w:val="004E75A8"/>
    <w:rsid w:val="004E7901"/>
    <w:rsid w:val="004E79BD"/>
    <w:rsid w:val="004F2383"/>
    <w:rsid w:val="004F23E9"/>
    <w:rsid w:val="004F2FF1"/>
    <w:rsid w:val="004F366A"/>
    <w:rsid w:val="004F3D3B"/>
    <w:rsid w:val="004F53C9"/>
    <w:rsid w:val="004F5854"/>
    <w:rsid w:val="004F72E9"/>
    <w:rsid w:val="00500EDA"/>
    <w:rsid w:val="00501D8F"/>
    <w:rsid w:val="0050233C"/>
    <w:rsid w:val="00502D50"/>
    <w:rsid w:val="00503295"/>
    <w:rsid w:val="00503571"/>
    <w:rsid w:val="00503A81"/>
    <w:rsid w:val="00503B2F"/>
    <w:rsid w:val="00503E65"/>
    <w:rsid w:val="005045AE"/>
    <w:rsid w:val="00504CED"/>
    <w:rsid w:val="00504D5D"/>
    <w:rsid w:val="00505BA0"/>
    <w:rsid w:val="00505E50"/>
    <w:rsid w:val="00505FBC"/>
    <w:rsid w:val="005075B6"/>
    <w:rsid w:val="00512853"/>
    <w:rsid w:val="00512C92"/>
    <w:rsid w:val="00514497"/>
    <w:rsid w:val="00514988"/>
    <w:rsid w:val="00515110"/>
    <w:rsid w:val="005154BC"/>
    <w:rsid w:val="0051662C"/>
    <w:rsid w:val="0051695D"/>
    <w:rsid w:val="00517333"/>
    <w:rsid w:val="00517704"/>
    <w:rsid w:val="00517839"/>
    <w:rsid w:val="005205C0"/>
    <w:rsid w:val="0052114F"/>
    <w:rsid w:val="005212BC"/>
    <w:rsid w:val="00523193"/>
    <w:rsid w:val="005232A0"/>
    <w:rsid w:val="00523347"/>
    <w:rsid w:val="00523390"/>
    <w:rsid w:val="00524898"/>
    <w:rsid w:val="005249F7"/>
    <w:rsid w:val="00525620"/>
    <w:rsid w:val="00525715"/>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F72"/>
    <w:rsid w:val="00542F46"/>
    <w:rsid w:val="00543297"/>
    <w:rsid w:val="00543543"/>
    <w:rsid w:val="00543DB7"/>
    <w:rsid w:val="00545FB5"/>
    <w:rsid w:val="005460F4"/>
    <w:rsid w:val="005469D0"/>
    <w:rsid w:val="005519BC"/>
    <w:rsid w:val="00551BEE"/>
    <w:rsid w:val="0055360E"/>
    <w:rsid w:val="005545BF"/>
    <w:rsid w:val="00554781"/>
    <w:rsid w:val="00555069"/>
    <w:rsid w:val="00555A12"/>
    <w:rsid w:val="00555CA0"/>
    <w:rsid w:val="00557536"/>
    <w:rsid w:val="00557627"/>
    <w:rsid w:val="00560E96"/>
    <w:rsid w:val="005611AB"/>
    <w:rsid w:val="005618BC"/>
    <w:rsid w:val="0056564F"/>
    <w:rsid w:val="005673FC"/>
    <w:rsid w:val="00567F85"/>
    <w:rsid w:val="00572F46"/>
    <w:rsid w:val="005748C3"/>
    <w:rsid w:val="00577C67"/>
    <w:rsid w:val="00580871"/>
    <w:rsid w:val="005808A0"/>
    <w:rsid w:val="0058183A"/>
    <w:rsid w:val="0058351F"/>
    <w:rsid w:val="00584D1A"/>
    <w:rsid w:val="005850E9"/>
    <w:rsid w:val="00585605"/>
    <w:rsid w:val="00585FF4"/>
    <w:rsid w:val="00587D7D"/>
    <w:rsid w:val="00590A8E"/>
    <w:rsid w:val="005921ED"/>
    <w:rsid w:val="00592536"/>
    <w:rsid w:val="00592CAB"/>
    <w:rsid w:val="00593628"/>
    <w:rsid w:val="00593636"/>
    <w:rsid w:val="0059500A"/>
    <w:rsid w:val="00596A48"/>
    <w:rsid w:val="005A08BE"/>
    <w:rsid w:val="005A098A"/>
    <w:rsid w:val="005A3BEF"/>
    <w:rsid w:val="005A3CB8"/>
    <w:rsid w:val="005A4358"/>
    <w:rsid w:val="005A4F7D"/>
    <w:rsid w:val="005A5F10"/>
    <w:rsid w:val="005A6378"/>
    <w:rsid w:val="005A69E2"/>
    <w:rsid w:val="005A6C7B"/>
    <w:rsid w:val="005A7E7D"/>
    <w:rsid w:val="005B01F2"/>
    <w:rsid w:val="005B2DEA"/>
    <w:rsid w:val="005B4F29"/>
    <w:rsid w:val="005B5378"/>
    <w:rsid w:val="005B5F54"/>
    <w:rsid w:val="005C1345"/>
    <w:rsid w:val="005C3D9A"/>
    <w:rsid w:val="005C4A93"/>
    <w:rsid w:val="005C5271"/>
    <w:rsid w:val="005C55BC"/>
    <w:rsid w:val="005D090E"/>
    <w:rsid w:val="005D2DFB"/>
    <w:rsid w:val="005D33F7"/>
    <w:rsid w:val="005D3EA3"/>
    <w:rsid w:val="005D40C7"/>
    <w:rsid w:val="005D436B"/>
    <w:rsid w:val="005D4382"/>
    <w:rsid w:val="005D4D4F"/>
    <w:rsid w:val="005D5B48"/>
    <w:rsid w:val="005D60FF"/>
    <w:rsid w:val="005D6922"/>
    <w:rsid w:val="005D74D6"/>
    <w:rsid w:val="005D75C3"/>
    <w:rsid w:val="005E077D"/>
    <w:rsid w:val="005E0C51"/>
    <w:rsid w:val="005E20A5"/>
    <w:rsid w:val="005E214B"/>
    <w:rsid w:val="005E24EC"/>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D1C"/>
    <w:rsid w:val="00603EE2"/>
    <w:rsid w:val="00604B46"/>
    <w:rsid w:val="00607554"/>
    <w:rsid w:val="00607CD1"/>
    <w:rsid w:val="00610A6E"/>
    <w:rsid w:val="00613C23"/>
    <w:rsid w:val="00613EA0"/>
    <w:rsid w:val="00613F67"/>
    <w:rsid w:val="00614009"/>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4226"/>
    <w:rsid w:val="00625470"/>
    <w:rsid w:val="00625C7F"/>
    <w:rsid w:val="006301EB"/>
    <w:rsid w:val="006313B8"/>
    <w:rsid w:val="00631505"/>
    <w:rsid w:val="006327F5"/>
    <w:rsid w:val="00632867"/>
    <w:rsid w:val="00632899"/>
    <w:rsid w:val="0063491D"/>
    <w:rsid w:val="00635B90"/>
    <w:rsid w:val="00636992"/>
    <w:rsid w:val="00637857"/>
    <w:rsid w:val="00637C30"/>
    <w:rsid w:val="00640D08"/>
    <w:rsid w:val="00640D3D"/>
    <w:rsid w:val="00642706"/>
    <w:rsid w:val="00642A13"/>
    <w:rsid w:val="00642A8F"/>
    <w:rsid w:val="006437DA"/>
    <w:rsid w:val="00643ECB"/>
    <w:rsid w:val="0064401B"/>
    <w:rsid w:val="0064422C"/>
    <w:rsid w:val="00644D7F"/>
    <w:rsid w:val="00645170"/>
    <w:rsid w:val="006451ED"/>
    <w:rsid w:val="00645E6F"/>
    <w:rsid w:val="00651CA5"/>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2FF"/>
    <w:rsid w:val="00662E16"/>
    <w:rsid w:val="00662E83"/>
    <w:rsid w:val="00663421"/>
    <w:rsid w:val="00663DDD"/>
    <w:rsid w:val="00664676"/>
    <w:rsid w:val="00664F45"/>
    <w:rsid w:val="006652C6"/>
    <w:rsid w:val="00665368"/>
    <w:rsid w:val="00666BF3"/>
    <w:rsid w:val="00667712"/>
    <w:rsid w:val="006706A5"/>
    <w:rsid w:val="006709E7"/>
    <w:rsid w:val="0067105F"/>
    <w:rsid w:val="00671138"/>
    <w:rsid w:val="0067116A"/>
    <w:rsid w:val="00671309"/>
    <w:rsid w:val="00671A52"/>
    <w:rsid w:val="00671D61"/>
    <w:rsid w:val="00672851"/>
    <w:rsid w:val="00676A37"/>
    <w:rsid w:val="00677543"/>
    <w:rsid w:val="00677D41"/>
    <w:rsid w:val="00680324"/>
    <w:rsid w:val="00680C89"/>
    <w:rsid w:val="006811E0"/>
    <w:rsid w:val="006836BF"/>
    <w:rsid w:val="0068534E"/>
    <w:rsid w:val="00685438"/>
    <w:rsid w:val="00685C47"/>
    <w:rsid w:val="00686195"/>
    <w:rsid w:val="0068734F"/>
    <w:rsid w:val="006873CB"/>
    <w:rsid w:val="006878D9"/>
    <w:rsid w:val="006906C5"/>
    <w:rsid w:val="00690B33"/>
    <w:rsid w:val="00690F25"/>
    <w:rsid w:val="00692A55"/>
    <w:rsid w:val="00693910"/>
    <w:rsid w:val="0069458B"/>
    <w:rsid w:val="00694864"/>
    <w:rsid w:val="00694B21"/>
    <w:rsid w:val="00695654"/>
    <w:rsid w:val="006A0461"/>
    <w:rsid w:val="006A0550"/>
    <w:rsid w:val="006A0B82"/>
    <w:rsid w:val="006A172E"/>
    <w:rsid w:val="006A29BE"/>
    <w:rsid w:val="006A4113"/>
    <w:rsid w:val="006A4C05"/>
    <w:rsid w:val="006A555A"/>
    <w:rsid w:val="006A5CFC"/>
    <w:rsid w:val="006A5DB1"/>
    <w:rsid w:val="006A6E80"/>
    <w:rsid w:val="006A780B"/>
    <w:rsid w:val="006A7DB6"/>
    <w:rsid w:val="006A7FE0"/>
    <w:rsid w:val="006B1632"/>
    <w:rsid w:val="006B23FF"/>
    <w:rsid w:val="006B247F"/>
    <w:rsid w:val="006B3C0B"/>
    <w:rsid w:val="006B460D"/>
    <w:rsid w:val="006B59EF"/>
    <w:rsid w:val="006C0F2D"/>
    <w:rsid w:val="006C2D84"/>
    <w:rsid w:val="006C3710"/>
    <w:rsid w:val="006C56A5"/>
    <w:rsid w:val="006C58A2"/>
    <w:rsid w:val="006C5BFF"/>
    <w:rsid w:val="006C5D46"/>
    <w:rsid w:val="006C5DAF"/>
    <w:rsid w:val="006C65F1"/>
    <w:rsid w:val="006D0207"/>
    <w:rsid w:val="006D04EE"/>
    <w:rsid w:val="006D250A"/>
    <w:rsid w:val="006D3169"/>
    <w:rsid w:val="006D3773"/>
    <w:rsid w:val="006D590F"/>
    <w:rsid w:val="006D60A4"/>
    <w:rsid w:val="006D6D31"/>
    <w:rsid w:val="006D6E56"/>
    <w:rsid w:val="006D7726"/>
    <w:rsid w:val="006E0ACD"/>
    <w:rsid w:val="006E19CA"/>
    <w:rsid w:val="006E270D"/>
    <w:rsid w:val="006E3777"/>
    <w:rsid w:val="006E3E10"/>
    <w:rsid w:val="006E50F1"/>
    <w:rsid w:val="006E7B1A"/>
    <w:rsid w:val="006F0018"/>
    <w:rsid w:val="006F12BF"/>
    <w:rsid w:val="006F32C7"/>
    <w:rsid w:val="006F381F"/>
    <w:rsid w:val="006F4482"/>
    <w:rsid w:val="006F45BC"/>
    <w:rsid w:val="006F472E"/>
    <w:rsid w:val="006F59DE"/>
    <w:rsid w:val="006F5C13"/>
    <w:rsid w:val="006F7ABC"/>
    <w:rsid w:val="00700664"/>
    <w:rsid w:val="00700E59"/>
    <w:rsid w:val="00701FAC"/>
    <w:rsid w:val="0070271E"/>
    <w:rsid w:val="00702EF7"/>
    <w:rsid w:val="00704294"/>
    <w:rsid w:val="00704460"/>
    <w:rsid w:val="007047B6"/>
    <w:rsid w:val="00704A66"/>
    <w:rsid w:val="007052E1"/>
    <w:rsid w:val="0070698C"/>
    <w:rsid w:val="00706A32"/>
    <w:rsid w:val="007078B7"/>
    <w:rsid w:val="00710EAE"/>
    <w:rsid w:val="007119DA"/>
    <w:rsid w:val="007132B5"/>
    <w:rsid w:val="0071440E"/>
    <w:rsid w:val="00714A09"/>
    <w:rsid w:val="00715A44"/>
    <w:rsid w:val="00715D19"/>
    <w:rsid w:val="00716C70"/>
    <w:rsid w:val="00716DBB"/>
    <w:rsid w:val="00717887"/>
    <w:rsid w:val="00717AA6"/>
    <w:rsid w:val="00720090"/>
    <w:rsid w:val="007227BD"/>
    <w:rsid w:val="00723F00"/>
    <w:rsid w:val="0072487D"/>
    <w:rsid w:val="007258B9"/>
    <w:rsid w:val="007262BB"/>
    <w:rsid w:val="00726E8D"/>
    <w:rsid w:val="007302CD"/>
    <w:rsid w:val="00732C4E"/>
    <w:rsid w:val="00733D05"/>
    <w:rsid w:val="0073478E"/>
    <w:rsid w:val="00735921"/>
    <w:rsid w:val="00736CA8"/>
    <w:rsid w:val="00737C3A"/>
    <w:rsid w:val="00737D14"/>
    <w:rsid w:val="00737F05"/>
    <w:rsid w:val="007431F5"/>
    <w:rsid w:val="007451AE"/>
    <w:rsid w:val="00745223"/>
    <w:rsid w:val="00745908"/>
    <w:rsid w:val="00746076"/>
    <w:rsid w:val="00747304"/>
    <w:rsid w:val="007473AC"/>
    <w:rsid w:val="007477F4"/>
    <w:rsid w:val="00752178"/>
    <w:rsid w:val="0075282E"/>
    <w:rsid w:val="00752B08"/>
    <w:rsid w:val="00752F02"/>
    <w:rsid w:val="00754881"/>
    <w:rsid w:val="00754AB5"/>
    <w:rsid w:val="0075617D"/>
    <w:rsid w:val="007564AB"/>
    <w:rsid w:val="00756930"/>
    <w:rsid w:val="00756975"/>
    <w:rsid w:val="00756DFA"/>
    <w:rsid w:val="00757C4B"/>
    <w:rsid w:val="007611CB"/>
    <w:rsid w:val="00761B0B"/>
    <w:rsid w:val="007631E0"/>
    <w:rsid w:val="00765781"/>
    <w:rsid w:val="00766353"/>
    <w:rsid w:val="00766448"/>
    <w:rsid w:val="00767895"/>
    <w:rsid w:val="00771098"/>
    <w:rsid w:val="0077327C"/>
    <w:rsid w:val="00773BDD"/>
    <w:rsid w:val="00774460"/>
    <w:rsid w:val="00774922"/>
    <w:rsid w:val="00776EC9"/>
    <w:rsid w:val="00780290"/>
    <w:rsid w:val="00780296"/>
    <w:rsid w:val="00780707"/>
    <w:rsid w:val="00780972"/>
    <w:rsid w:val="00780E2F"/>
    <w:rsid w:val="00781C27"/>
    <w:rsid w:val="00787B2C"/>
    <w:rsid w:val="00787B36"/>
    <w:rsid w:val="00787D24"/>
    <w:rsid w:val="00787F64"/>
    <w:rsid w:val="007906AE"/>
    <w:rsid w:val="00791EEE"/>
    <w:rsid w:val="00792C57"/>
    <w:rsid w:val="007946EB"/>
    <w:rsid w:val="0079538E"/>
    <w:rsid w:val="0079543C"/>
    <w:rsid w:val="00795F8D"/>
    <w:rsid w:val="007967D6"/>
    <w:rsid w:val="00796AEA"/>
    <w:rsid w:val="007A1316"/>
    <w:rsid w:val="007A1DC5"/>
    <w:rsid w:val="007A20AD"/>
    <w:rsid w:val="007A28CD"/>
    <w:rsid w:val="007A3F8F"/>
    <w:rsid w:val="007A5A18"/>
    <w:rsid w:val="007A5D05"/>
    <w:rsid w:val="007A5E2B"/>
    <w:rsid w:val="007A6BB9"/>
    <w:rsid w:val="007A6F70"/>
    <w:rsid w:val="007A7331"/>
    <w:rsid w:val="007A7415"/>
    <w:rsid w:val="007A7F07"/>
    <w:rsid w:val="007B0CB0"/>
    <w:rsid w:val="007B116D"/>
    <w:rsid w:val="007B1A13"/>
    <w:rsid w:val="007B1F99"/>
    <w:rsid w:val="007B27DF"/>
    <w:rsid w:val="007B3A86"/>
    <w:rsid w:val="007B3DF4"/>
    <w:rsid w:val="007B54ED"/>
    <w:rsid w:val="007B596C"/>
    <w:rsid w:val="007B63CE"/>
    <w:rsid w:val="007B6462"/>
    <w:rsid w:val="007B6863"/>
    <w:rsid w:val="007B6EF3"/>
    <w:rsid w:val="007B7E95"/>
    <w:rsid w:val="007C0EAB"/>
    <w:rsid w:val="007C24B4"/>
    <w:rsid w:val="007C2AE2"/>
    <w:rsid w:val="007C2F4E"/>
    <w:rsid w:val="007C31CC"/>
    <w:rsid w:val="007C32C3"/>
    <w:rsid w:val="007C3745"/>
    <w:rsid w:val="007C3E46"/>
    <w:rsid w:val="007C47D0"/>
    <w:rsid w:val="007C6751"/>
    <w:rsid w:val="007D0987"/>
    <w:rsid w:val="007D0E00"/>
    <w:rsid w:val="007D0FC5"/>
    <w:rsid w:val="007D16EA"/>
    <w:rsid w:val="007D1913"/>
    <w:rsid w:val="007D19CF"/>
    <w:rsid w:val="007D1DA4"/>
    <w:rsid w:val="007D20B0"/>
    <w:rsid w:val="007D298C"/>
    <w:rsid w:val="007D30DA"/>
    <w:rsid w:val="007D3420"/>
    <w:rsid w:val="007D5362"/>
    <w:rsid w:val="007D6110"/>
    <w:rsid w:val="007D6BBA"/>
    <w:rsid w:val="007D6C48"/>
    <w:rsid w:val="007D71F7"/>
    <w:rsid w:val="007E000F"/>
    <w:rsid w:val="007E096B"/>
    <w:rsid w:val="007E0AB8"/>
    <w:rsid w:val="007E156E"/>
    <w:rsid w:val="007E2E70"/>
    <w:rsid w:val="007E3501"/>
    <w:rsid w:val="007E4C3F"/>
    <w:rsid w:val="007E52B4"/>
    <w:rsid w:val="007E65B1"/>
    <w:rsid w:val="007F05C7"/>
    <w:rsid w:val="007F0FF4"/>
    <w:rsid w:val="007F2683"/>
    <w:rsid w:val="007F26B3"/>
    <w:rsid w:val="007F2956"/>
    <w:rsid w:val="007F2E32"/>
    <w:rsid w:val="007F3F27"/>
    <w:rsid w:val="007F6940"/>
    <w:rsid w:val="007F6A11"/>
    <w:rsid w:val="008002AA"/>
    <w:rsid w:val="008015EA"/>
    <w:rsid w:val="008018EF"/>
    <w:rsid w:val="00801DFE"/>
    <w:rsid w:val="0080230D"/>
    <w:rsid w:val="008036FD"/>
    <w:rsid w:val="008037C8"/>
    <w:rsid w:val="0080383D"/>
    <w:rsid w:val="00807429"/>
    <w:rsid w:val="00810827"/>
    <w:rsid w:val="008127D6"/>
    <w:rsid w:val="00813E70"/>
    <w:rsid w:val="00814E45"/>
    <w:rsid w:val="00815227"/>
    <w:rsid w:val="00815360"/>
    <w:rsid w:val="00817DA7"/>
    <w:rsid w:val="0082161C"/>
    <w:rsid w:val="00821B16"/>
    <w:rsid w:val="00823378"/>
    <w:rsid w:val="008243DF"/>
    <w:rsid w:val="0082459D"/>
    <w:rsid w:val="00824CEF"/>
    <w:rsid w:val="008254AB"/>
    <w:rsid w:val="00826480"/>
    <w:rsid w:val="00827496"/>
    <w:rsid w:val="00830148"/>
    <w:rsid w:val="008314A5"/>
    <w:rsid w:val="008316AD"/>
    <w:rsid w:val="00831855"/>
    <w:rsid w:val="00832D13"/>
    <w:rsid w:val="00832F75"/>
    <w:rsid w:val="0083362F"/>
    <w:rsid w:val="00833E10"/>
    <w:rsid w:val="00834229"/>
    <w:rsid w:val="00835315"/>
    <w:rsid w:val="00835AEB"/>
    <w:rsid w:val="00836BE5"/>
    <w:rsid w:val="00836F2D"/>
    <w:rsid w:val="008377F6"/>
    <w:rsid w:val="00840D0F"/>
    <w:rsid w:val="0084200E"/>
    <w:rsid w:val="00842A84"/>
    <w:rsid w:val="00842FDE"/>
    <w:rsid w:val="008445D4"/>
    <w:rsid w:val="008446F1"/>
    <w:rsid w:val="00846FF0"/>
    <w:rsid w:val="00847CD0"/>
    <w:rsid w:val="00854B56"/>
    <w:rsid w:val="00855374"/>
    <w:rsid w:val="0085728C"/>
    <w:rsid w:val="00857A42"/>
    <w:rsid w:val="00857F65"/>
    <w:rsid w:val="00860737"/>
    <w:rsid w:val="008611A4"/>
    <w:rsid w:val="0086171B"/>
    <w:rsid w:val="00861FD7"/>
    <w:rsid w:val="0086249A"/>
    <w:rsid w:val="00862B1B"/>
    <w:rsid w:val="00862B56"/>
    <w:rsid w:val="0086363F"/>
    <w:rsid w:val="008639C9"/>
    <w:rsid w:val="00863C25"/>
    <w:rsid w:val="008667AD"/>
    <w:rsid w:val="00866D13"/>
    <w:rsid w:val="00867150"/>
    <w:rsid w:val="00872780"/>
    <w:rsid w:val="00874DEF"/>
    <w:rsid w:val="00876D09"/>
    <w:rsid w:val="00877308"/>
    <w:rsid w:val="0088013C"/>
    <w:rsid w:val="00881882"/>
    <w:rsid w:val="00882AC7"/>
    <w:rsid w:val="00882CC5"/>
    <w:rsid w:val="008835E3"/>
    <w:rsid w:val="00884416"/>
    <w:rsid w:val="00884452"/>
    <w:rsid w:val="008905D7"/>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423"/>
    <w:rsid w:val="008A3EA4"/>
    <w:rsid w:val="008A3FB1"/>
    <w:rsid w:val="008A7133"/>
    <w:rsid w:val="008A7AE9"/>
    <w:rsid w:val="008B0C5E"/>
    <w:rsid w:val="008B1D85"/>
    <w:rsid w:val="008B24E5"/>
    <w:rsid w:val="008B270A"/>
    <w:rsid w:val="008B3920"/>
    <w:rsid w:val="008B496B"/>
    <w:rsid w:val="008B5ADC"/>
    <w:rsid w:val="008B5B9D"/>
    <w:rsid w:val="008B68C6"/>
    <w:rsid w:val="008B6F16"/>
    <w:rsid w:val="008B6F4B"/>
    <w:rsid w:val="008C0156"/>
    <w:rsid w:val="008C0189"/>
    <w:rsid w:val="008C0257"/>
    <w:rsid w:val="008C12FB"/>
    <w:rsid w:val="008C237D"/>
    <w:rsid w:val="008C2607"/>
    <w:rsid w:val="008C2E2F"/>
    <w:rsid w:val="008C3B2D"/>
    <w:rsid w:val="008C465E"/>
    <w:rsid w:val="008C4CE4"/>
    <w:rsid w:val="008C5AA7"/>
    <w:rsid w:val="008C6787"/>
    <w:rsid w:val="008C73D6"/>
    <w:rsid w:val="008D05E9"/>
    <w:rsid w:val="008D0C62"/>
    <w:rsid w:val="008D20C1"/>
    <w:rsid w:val="008D2CD6"/>
    <w:rsid w:val="008D4939"/>
    <w:rsid w:val="008D50C8"/>
    <w:rsid w:val="008D7266"/>
    <w:rsid w:val="008D790B"/>
    <w:rsid w:val="008D7FC7"/>
    <w:rsid w:val="008E0C04"/>
    <w:rsid w:val="008E0FE3"/>
    <w:rsid w:val="008E2737"/>
    <w:rsid w:val="008E3D60"/>
    <w:rsid w:val="008E45DB"/>
    <w:rsid w:val="008E4DCD"/>
    <w:rsid w:val="008E4E47"/>
    <w:rsid w:val="008E6098"/>
    <w:rsid w:val="008E627D"/>
    <w:rsid w:val="008E6C79"/>
    <w:rsid w:val="008E7390"/>
    <w:rsid w:val="008E7B58"/>
    <w:rsid w:val="008F05C2"/>
    <w:rsid w:val="008F1D7A"/>
    <w:rsid w:val="008F1E28"/>
    <w:rsid w:val="008F1F00"/>
    <w:rsid w:val="008F41ED"/>
    <w:rsid w:val="008F42BB"/>
    <w:rsid w:val="008F47D1"/>
    <w:rsid w:val="008F6315"/>
    <w:rsid w:val="008F6D2B"/>
    <w:rsid w:val="008F7005"/>
    <w:rsid w:val="00900E01"/>
    <w:rsid w:val="00901E6F"/>
    <w:rsid w:val="0090291C"/>
    <w:rsid w:val="009043BE"/>
    <w:rsid w:val="00905434"/>
    <w:rsid w:val="00905C39"/>
    <w:rsid w:val="00905E46"/>
    <w:rsid w:val="00906628"/>
    <w:rsid w:val="009072F6"/>
    <w:rsid w:val="00907697"/>
    <w:rsid w:val="009077DB"/>
    <w:rsid w:val="00910B93"/>
    <w:rsid w:val="00910D1A"/>
    <w:rsid w:val="009113AE"/>
    <w:rsid w:val="009116CC"/>
    <w:rsid w:val="009116E0"/>
    <w:rsid w:val="00911955"/>
    <w:rsid w:val="00911A3E"/>
    <w:rsid w:val="00912262"/>
    <w:rsid w:val="00912A52"/>
    <w:rsid w:val="00912BE1"/>
    <w:rsid w:val="00913539"/>
    <w:rsid w:val="009145A4"/>
    <w:rsid w:val="0091586C"/>
    <w:rsid w:val="009160E0"/>
    <w:rsid w:val="00917DA1"/>
    <w:rsid w:val="00921B80"/>
    <w:rsid w:val="00921F3C"/>
    <w:rsid w:val="00923A05"/>
    <w:rsid w:val="00924F4A"/>
    <w:rsid w:val="009259EF"/>
    <w:rsid w:val="00925E74"/>
    <w:rsid w:val="00926659"/>
    <w:rsid w:val="00927725"/>
    <w:rsid w:val="00927DC4"/>
    <w:rsid w:val="009304FE"/>
    <w:rsid w:val="00930782"/>
    <w:rsid w:val="009310F0"/>
    <w:rsid w:val="0093251E"/>
    <w:rsid w:val="00933F98"/>
    <w:rsid w:val="0093422B"/>
    <w:rsid w:val="009353DF"/>
    <w:rsid w:val="0093570A"/>
    <w:rsid w:val="00935F40"/>
    <w:rsid w:val="009363C8"/>
    <w:rsid w:val="00936C3C"/>
    <w:rsid w:val="00936EC8"/>
    <w:rsid w:val="009378D2"/>
    <w:rsid w:val="00941138"/>
    <w:rsid w:val="00942DAE"/>
    <w:rsid w:val="00943F6E"/>
    <w:rsid w:val="00945CCD"/>
    <w:rsid w:val="00945D59"/>
    <w:rsid w:val="00947F9D"/>
    <w:rsid w:val="00951D24"/>
    <w:rsid w:val="00952049"/>
    <w:rsid w:val="00952C86"/>
    <w:rsid w:val="00953BC2"/>
    <w:rsid w:val="009542EE"/>
    <w:rsid w:val="00954986"/>
    <w:rsid w:val="00955385"/>
    <w:rsid w:val="00955739"/>
    <w:rsid w:val="009559AF"/>
    <w:rsid w:val="009564F3"/>
    <w:rsid w:val="009565E3"/>
    <w:rsid w:val="00956972"/>
    <w:rsid w:val="0095714D"/>
    <w:rsid w:val="00957687"/>
    <w:rsid w:val="00957E20"/>
    <w:rsid w:val="00961E91"/>
    <w:rsid w:val="00963140"/>
    <w:rsid w:val="00963876"/>
    <w:rsid w:val="00964799"/>
    <w:rsid w:val="00964CD3"/>
    <w:rsid w:val="00966051"/>
    <w:rsid w:val="00970E28"/>
    <w:rsid w:val="00972133"/>
    <w:rsid w:val="00973088"/>
    <w:rsid w:val="00974568"/>
    <w:rsid w:val="0097493A"/>
    <w:rsid w:val="00974BBF"/>
    <w:rsid w:val="0097619C"/>
    <w:rsid w:val="00976280"/>
    <w:rsid w:val="009765DF"/>
    <w:rsid w:val="00977973"/>
    <w:rsid w:val="00981F79"/>
    <w:rsid w:val="00982FBE"/>
    <w:rsid w:val="009834E9"/>
    <w:rsid w:val="00983A72"/>
    <w:rsid w:val="009850EF"/>
    <w:rsid w:val="009868FC"/>
    <w:rsid w:val="00986D78"/>
    <w:rsid w:val="00987E09"/>
    <w:rsid w:val="00987FE0"/>
    <w:rsid w:val="00990566"/>
    <w:rsid w:val="00991A16"/>
    <w:rsid w:val="00991AA5"/>
    <w:rsid w:val="00993BEE"/>
    <w:rsid w:val="00994BED"/>
    <w:rsid w:val="00995CC1"/>
    <w:rsid w:val="009961EE"/>
    <w:rsid w:val="0099682E"/>
    <w:rsid w:val="00996FC8"/>
    <w:rsid w:val="00997386"/>
    <w:rsid w:val="009A088F"/>
    <w:rsid w:val="009A0BF1"/>
    <w:rsid w:val="009A23A4"/>
    <w:rsid w:val="009A2583"/>
    <w:rsid w:val="009A2E64"/>
    <w:rsid w:val="009A3BAF"/>
    <w:rsid w:val="009A43AF"/>
    <w:rsid w:val="009A4914"/>
    <w:rsid w:val="009A4ED0"/>
    <w:rsid w:val="009A5986"/>
    <w:rsid w:val="009A6EF9"/>
    <w:rsid w:val="009B0086"/>
    <w:rsid w:val="009B042E"/>
    <w:rsid w:val="009B044D"/>
    <w:rsid w:val="009B0DF1"/>
    <w:rsid w:val="009B32BB"/>
    <w:rsid w:val="009B41FE"/>
    <w:rsid w:val="009B4416"/>
    <w:rsid w:val="009B4B28"/>
    <w:rsid w:val="009B4E8F"/>
    <w:rsid w:val="009B5E0E"/>
    <w:rsid w:val="009B75B8"/>
    <w:rsid w:val="009B7FCB"/>
    <w:rsid w:val="009C07DF"/>
    <w:rsid w:val="009C0E2E"/>
    <w:rsid w:val="009C1047"/>
    <w:rsid w:val="009C1908"/>
    <w:rsid w:val="009C190C"/>
    <w:rsid w:val="009C2436"/>
    <w:rsid w:val="009C65B2"/>
    <w:rsid w:val="009C77A0"/>
    <w:rsid w:val="009C79CB"/>
    <w:rsid w:val="009C7C61"/>
    <w:rsid w:val="009D1640"/>
    <w:rsid w:val="009D21D0"/>
    <w:rsid w:val="009D2D1D"/>
    <w:rsid w:val="009D2FBA"/>
    <w:rsid w:val="009D351E"/>
    <w:rsid w:val="009D5768"/>
    <w:rsid w:val="009D6D4C"/>
    <w:rsid w:val="009D6D73"/>
    <w:rsid w:val="009D73AC"/>
    <w:rsid w:val="009D7787"/>
    <w:rsid w:val="009E02C9"/>
    <w:rsid w:val="009E08D3"/>
    <w:rsid w:val="009E1660"/>
    <w:rsid w:val="009E1F68"/>
    <w:rsid w:val="009E2A96"/>
    <w:rsid w:val="009E359F"/>
    <w:rsid w:val="009E39DC"/>
    <w:rsid w:val="009E3FC0"/>
    <w:rsid w:val="009E44D4"/>
    <w:rsid w:val="009E455F"/>
    <w:rsid w:val="009E5645"/>
    <w:rsid w:val="009E56B4"/>
    <w:rsid w:val="009E59A2"/>
    <w:rsid w:val="009E67DD"/>
    <w:rsid w:val="009F00E2"/>
    <w:rsid w:val="009F43C3"/>
    <w:rsid w:val="009F4C44"/>
    <w:rsid w:val="009F61A9"/>
    <w:rsid w:val="009F61B8"/>
    <w:rsid w:val="009F6A19"/>
    <w:rsid w:val="00A020B4"/>
    <w:rsid w:val="00A02F3C"/>
    <w:rsid w:val="00A03358"/>
    <w:rsid w:val="00A043FE"/>
    <w:rsid w:val="00A044A3"/>
    <w:rsid w:val="00A0471E"/>
    <w:rsid w:val="00A05916"/>
    <w:rsid w:val="00A05AA6"/>
    <w:rsid w:val="00A06192"/>
    <w:rsid w:val="00A06818"/>
    <w:rsid w:val="00A07065"/>
    <w:rsid w:val="00A10886"/>
    <w:rsid w:val="00A11861"/>
    <w:rsid w:val="00A11AA1"/>
    <w:rsid w:val="00A1266A"/>
    <w:rsid w:val="00A1389B"/>
    <w:rsid w:val="00A1622A"/>
    <w:rsid w:val="00A16E6B"/>
    <w:rsid w:val="00A16EEB"/>
    <w:rsid w:val="00A20575"/>
    <w:rsid w:val="00A208EB"/>
    <w:rsid w:val="00A2114F"/>
    <w:rsid w:val="00A2216E"/>
    <w:rsid w:val="00A228C1"/>
    <w:rsid w:val="00A22F5A"/>
    <w:rsid w:val="00A23508"/>
    <w:rsid w:val="00A2370B"/>
    <w:rsid w:val="00A23CF9"/>
    <w:rsid w:val="00A23F13"/>
    <w:rsid w:val="00A26956"/>
    <w:rsid w:val="00A27ACC"/>
    <w:rsid w:val="00A27C20"/>
    <w:rsid w:val="00A303DA"/>
    <w:rsid w:val="00A30EA6"/>
    <w:rsid w:val="00A31499"/>
    <w:rsid w:val="00A31523"/>
    <w:rsid w:val="00A31536"/>
    <w:rsid w:val="00A31FAC"/>
    <w:rsid w:val="00A346FE"/>
    <w:rsid w:val="00A3596C"/>
    <w:rsid w:val="00A36B1D"/>
    <w:rsid w:val="00A36D6B"/>
    <w:rsid w:val="00A36E14"/>
    <w:rsid w:val="00A376E7"/>
    <w:rsid w:val="00A40446"/>
    <w:rsid w:val="00A40A8F"/>
    <w:rsid w:val="00A41B06"/>
    <w:rsid w:val="00A4277B"/>
    <w:rsid w:val="00A43468"/>
    <w:rsid w:val="00A437BB"/>
    <w:rsid w:val="00A4716C"/>
    <w:rsid w:val="00A50430"/>
    <w:rsid w:val="00A50BF4"/>
    <w:rsid w:val="00A50DA6"/>
    <w:rsid w:val="00A511E6"/>
    <w:rsid w:val="00A52978"/>
    <w:rsid w:val="00A52C86"/>
    <w:rsid w:val="00A53130"/>
    <w:rsid w:val="00A5412B"/>
    <w:rsid w:val="00A55158"/>
    <w:rsid w:val="00A57DA5"/>
    <w:rsid w:val="00A6042C"/>
    <w:rsid w:val="00A61E0C"/>
    <w:rsid w:val="00A628DE"/>
    <w:rsid w:val="00A63B97"/>
    <w:rsid w:val="00A64735"/>
    <w:rsid w:val="00A64AC6"/>
    <w:rsid w:val="00A6521D"/>
    <w:rsid w:val="00A65CB6"/>
    <w:rsid w:val="00A66253"/>
    <w:rsid w:val="00A666B7"/>
    <w:rsid w:val="00A66B50"/>
    <w:rsid w:val="00A677C0"/>
    <w:rsid w:val="00A67FAE"/>
    <w:rsid w:val="00A72556"/>
    <w:rsid w:val="00A72AF8"/>
    <w:rsid w:val="00A7322E"/>
    <w:rsid w:val="00A73601"/>
    <w:rsid w:val="00A7422E"/>
    <w:rsid w:val="00A746B4"/>
    <w:rsid w:val="00A74F96"/>
    <w:rsid w:val="00A80B08"/>
    <w:rsid w:val="00A81E64"/>
    <w:rsid w:val="00A82AD7"/>
    <w:rsid w:val="00A8326A"/>
    <w:rsid w:val="00A8367E"/>
    <w:rsid w:val="00A84536"/>
    <w:rsid w:val="00A84FC0"/>
    <w:rsid w:val="00A8510A"/>
    <w:rsid w:val="00A85226"/>
    <w:rsid w:val="00A857A7"/>
    <w:rsid w:val="00A85CF2"/>
    <w:rsid w:val="00A860D4"/>
    <w:rsid w:val="00A92240"/>
    <w:rsid w:val="00A926BB"/>
    <w:rsid w:val="00A92D24"/>
    <w:rsid w:val="00A9350D"/>
    <w:rsid w:val="00A940EA"/>
    <w:rsid w:val="00A94442"/>
    <w:rsid w:val="00A944A8"/>
    <w:rsid w:val="00A94506"/>
    <w:rsid w:val="00A94FA2"/>
    <w:rsid w:val="00A973D1"/>
    <w:rsid w:val="00A97F64"/>
    <w:rsid w:val="00AA0D13"/>
    <w:rsid w:val="00AA2F56"/>
    <w:rsid w:val="00AA32F4"/>
    <w:rsid w:val="00AA3F68"/>
    <w:rsid w:val="00AA3FE6"/>
    <w:rsid w:val="00AA4437"/>
    <w:rsid w:val="00AA59A9"/>
    <w:rsid w:val="00AA5C5A"/>
    <w:rsid w:val="00AA650E"/>
    <w:rsid w:val="00AA72B5"/>
    <w:rsid w:val="00AB0832"/>
    <w:rsid w:val="00AB0EFE"/>
    <w:rsid w:val="00AB0F2F"/>
    <w:rsid w:val="00AB12D9"/>
    <w:rsid w:val="00AB195F"/>
    <w:rsid w:val="00AB1C09"/>
    <w:rsid w:val="00AB2C4F"/>
    <w:rsid w:val="00AB3848"/>
    <w:rsid w:val="00AB3ACA"/>
    <w:rsid w:val="00AB5020"/>
    <w:rsid w:val="00AB5F73"/>
    <w:rsid w:val="00AB6968"/>
    <w:rsid w:val="00AB699B"/>
    <w:rsid w:val="00AB6B45"/>
    <w:rsid w:val="00AB6EAA"/>
    <w:rsid w:val="00AB7FEE"/>
    <w:rsid w:val="00AC042B"/>
    <w:rsid w:val="00AC0A37"/>
    <w:rsid w:val="00AC113A"/>
    <w:rsid w:val="00AC1E64"/>
    <w:rsid w:val="00AC275F"/>
    <w:rsid w:val="00AC2919"/>
    <w:rsid w:val="00AC3473"/>
    <w:rsid w:val="00AC3742"/>
    <w:rsid w:val="00AC3CC5"/>
    <w:rsid w:val="00AC4230"/>
    <w:rsid w:val="00AC4746"/>
    <w:rsid w:val="00AC5FB9"/>
    <w:rsid w:val="00AC6001"/>
    <w:rsid w:val="00AC66CB"/>
    <w:rsid w:val="00AC6CAC"/>
    <w:rsid w:val="00AC6F04"/>
    <w:rsid w:val="00AC7080"/>
    <w:rsid w:val="00AC7204"/>
    <w:rsid w:val="00AD07F3"/>
    <w:rsid w:val="00AD149E"/>
    <w:rsid w:val="00AD1FB6"/>
    <w:rsid w:val="00AD20E2"/>
    <w:rsid w:val="00AD22B6"/>
    <w:rsid w:val="00AD2ADC"/>
    <w:rsid w:val="00AD2B54"/>
    <w:rsid w:val="00AD46E9"/>
    <w:rsid w:val="00AD5C38"/>
    <w:rsid w:val="00AD73AB"/>
    <w:rsid w:val="00AD75DC"/>
    <w:rsid w:val="00AD76C7"/>
    <w:rsid w:val="00AD7A36"/>
    <w:rsid w:val="00AD7C13"/>
    <w:rsid w:val="00AE2494"/>
    <w:rsid w:val="00AE2B63"/>
    <w:rsid w:val="00AE2D37"/>
    <w:rsid w:val="00AE2D7B"/>
    <w:rsid w:val="00AE402B"/>
    <w:rsid w:val="00AE646E"/>
    <w:rsid w:val="00AE655A"/>
    <w:rsid w:val="00AF08B5"/>
    <w:rsid w:val="00AF0AC1"/>
    <w:rsid w:val="00AF16AA"/>
    <w:rsid w:val="00AF41FA"/>
    <w:rsid w:val="00AF4B50"/>
    <w:rsid w:val="00AF4BB9"/>
    <w:rsid w:val="00AF4E66"/>
    <w:rsid w:val="00AF545D"/>
    <w:rsid w:val="00AF6DD9"/>
    <w:rsid w:val="00B001CE"/>
    <w:rsid w:val="00B012C7"/>
    <w:rsid w:val="00B01F47"/>
    <w:rsid w:val="00B021F9"/>
    <w:rsid w:val="00B03575"/>
    <w:rsid w:val="00B03703"/>
    <w:rsid w:val="00B044F4"/>
    <w:rsid w:val="00B05C76"/>
    <w:rsid w:val="00B068F0"/>
    <w:rsid w:val="00B077A2"/>
    <w:rsid w:val="00B0781F"/>
    <w:rsid w:val="00B07E37"/>
    <w:rsid w:val="00B101A9"/>
    <w:rsid w:val="00B106F6"/>
    <w:rsid w:val="00B10A00"/>
    <w:rsid w:val="00B10F4E"/>
    <w:rsid w:val="00B11E5B"/>
    <w:rsid w:val="00B146AF"/>
    <w:rsid w:val="00B1511A"/>
    <w:rsid w:val="00B15D08"/>
    <w:rsid w:val="00B16E7E"/>
    <w:rsid w:val="00B17456"/>
    <w:rsid w:val="00B20252"/>
    <w:rsid w:val="00B204F4"/>
    <w:rsid w:val="00B20655"/>
    <w:rsid w:val="00B206E5"/>
    <w:rsid w:val="00B20AC4"/>
    <w:rsid w:val="00B215A1"/>
    <w:rsid w:val="00B21FFE"/>
    <w:rsid w:val="00B229D6"/>
    <w:rsid w:val="00B23CE9"/>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5695"/>
    <w:rsid w:val="00B37D2F"/>
    <w:rsid w:val="00B40231"/>
    <w:rsid w:val="00B40C7A"/>
    <w:rsid w:val="00B419E0"/>
    <w:rsid w:val="00B4258B"/>
    <w:rsid w:val="00B4266C"/>
    <w:rsid w:val="00B42A6D"/>
    <w:rsid w:val="00B42ABB"/>
    <w:rsid w:val="00B42F5F"/>
    <w:rsid w:val="00B45042"/>
    <w:rsid w:val="00B45348"/>
    <w:rsid w:val="00B453FA"/>
    <w:rsid w:val="00B4548B"/>
    <w:rsid w:val="00B45A70"/>
    <w:rsid w:val="00B46895"/>
    <w:rsid w:val="00B47B52"/>
    <w:rsid w:val="00B508E9"/>
    <w:rsid w:val="00B50A01"/>
    <w:rsid w:val="00B50EFF"/>
    <w:rsid w:val="00B513A5"/>
    <w:rsid w:val="00B5289C"/>
    <w:rsid w:val="00B52B1B"/>
    <w:rsid w:val="00B531F1"/>
    <w:rsid w:val="00B547FB"/>
    <w:rsid w:val="00B555ED"/>
    <w:rsid w:val="00B55B97"/>
    <w:rsid w:val="00B56942"/>
    <w:rsid w:val="00B56E5D"/>
    <w:rsid w:val="00B5729D"/>
    <w:rsid w:val="00B5735F"/>
    <w:rsid w:val="00B573B5"/>
    <w:rsid w:val="00B57E11"/>
    <w:rsid w:val="00B60A66"/>
    <w:rsid w:val="00B61727"/>
    <w:rsid w:val="00B6173F"/>
    <w:rsid w:val="00B64C58"/>
    <w:rsid w:val="00B66BAE"/>
    <w:rsid w:val="00B66CCF"/>
    <w:rsid w:val="00B67590"/>
    <w:rsid w:val="00B6764B"/>
    <w:rsid w:val="00B70517"/>
    <w:rsid w:val="00B7116C"/>
    <w:rsid w:val="00B7181E"/>
    <w:rsid w:val="00B719B0"/>
    <w:rsid w:val="00B72736"/>
    <w:rsid w:val="00B72809"/>
    <w:rsid w:val="00B72A2A"/>
    <w:rsid w:val="00B72D9A"/>
    <w:rsid w:val="00B72FCE"/>
    <w:rsid w:val="00B735FE"/>
    <w:rsid w:val="00B7409D"/>
    <w:rsid w:val="00B74F9D"/>
    <w:rsid w:val="00B751FF"/>
    <w:rsid w:val="00B75BB3"/>
    <w:rsid w:val="00B8045B"/>
    <w:rsid w:val="00B809EB"/>
    <w:rsid w:val="00B80D03"/>
    <w:rsid w:val="00B8177E"/>
    <w:rsid w:val="00B81FD1"/>
    <w:rsid w:val="00B82620"/>
    <w:rsid w:val="00B828BD"/>
    <w:rsid w:val="00B844F4"/>
    <w:rsid w:val="00B84E4A"/>
    <w:rsid w:val="00B86396"/>
    <w:rsid w:val="00B866CA"/>
    <w:rsid w:val="00B86C96"/>
    <w:rsid w:val="00B9003F"/>
    <w:rsid w:val="00B903FE"/>
    <w:rsid w:val="00B90590"/>
    <w:rsid w:val="00B912BF"/>
    <w:rsid w:val="00B9185F"/>
    <w:rsid w:val="00B918B1"/>
    <w:rsid w:val="00B91E89"/>
    <w:rsid w:val="00B92D56"/>
    <w:rsid w:val="00B934B4"/>
    <w:rsid w:val="00B93DAD"/>
    <w:rsid w:val="00B9411D"/>
    <w:rsid w:val="00B94551"/>
    <w:rsid w:val="00B94598"/>
    <w:rsid w:val="00B951C0"/>
    <w:rsid w:val="00B95A7D"/>
    <w:rsid w:val="00B96A3D"/>
    <w:rsid w:val="00BA0275"/>
    <w:rsid w:val="00BA188B"/>
    <w:rsid w:val="00BA27FF"/>
    <w:rsid w:val="00BA4EA6"/>
    <w:rsid w:val="00BA5041"/>
    <w:rsid w:val="00BA657A"/>
    <w:rsid w:val="00BA7B9D"/>
    <w:rsid w:val="00BA7BD2"/>
    <w:rsid w:val="00BA7C42"/>
    <w:rsid w:val="00BB0832"/>
    <w:rsid w:val="00BB09EF"/>
    <w:rsid w:val="00BB1257"/>
    <w:rsid w:val="00BB14EE"/>
    <w:rsid w:val="00BB25C7"/>
    <w:rsid w:val="00BB276B"/>
    <w:rsid w:val="00BB354F"/>
    <w:rsid w:val="00BB36A8"/>
    <w:rsid w:val="00BB3D84"/>
    <w:rsid w:val="00BB4228"/>
    <w:rsid w:val="00BB4825"/>
    <w:rsid w:val="00BB48C7"/>
    <w:rsid w:val="00BB5B0A"/>
    <w:rsid w:val="00BB5E08"/>
    <w:rsid w:val="00BB700A"/>
    <w:rsid w:val="00BB7187"/>
    <w:rsid w:val="00BC0BCB"/>
    <w:rsid w:val="00BC108B"/>
    <w:rsid w:val="00BC12B6"/>
    <w:rsid w:val="00BC2DCC"/>
    <w:rsid w:val="00BC2DF0"/>
    <w:rsid w:val="00BC321A"/>
    <w:rsid w:val="00BC3F05"/>
    <w:rsid w:val="00BC45CB"/>
    <w:rsid w:val="00BC4D98"/>
    <w:rsid w:val="00BC5AB0"/>
    <w:rsid w:val="00BC5C7E"/>
    <w:rsid w:val="00BD074E"/>
    <w:rsid w:val="00BD1AD4"/>
    <w:rsid w:val="00BD1E93"/>
    <w:rsid w:val="00BD1F85"/>
    <w:rsid w:val="00BD223D"/>
    <w:rsid w:val="00BD2589"/>
    <w:rsid w:val="00BD27A4"/>
    <w:rsid w:val="00BD4D28"/>
    <w:rsid w:val="00BD4E1D"/>
    <w:rsid w:val="00BD57BE"/>
    <w:rsid w:val="00BD6587"/>
    <w:rsid w:val="00BD720D"/>
    <w:rsid w:val="00BE0162"/>
    <w:rsid w:val="00BE07AC"/>
    <w:rsid w:val="00BE0929"/>
    <w:rsid w:val="00BE1981"/>
    <w:rsid w:val="00BE1985"/>
    <w:rsid w:val="00BE2DFC"/>
    <w:rsid w:val="00BE33C9"/>
    <w:rsid w:val="00BE37E1"/>
    <w:rsid w:val="00BE448A"/>
    <w:rsid w:val="00BE6B92"/>
    <w:rsid w:val="00BE6BBF"/>
    <w:rsid w:val="00BE7433"/>
    <w:rsid w:val="00BF0D7D"/>
    <w:rsid w:val="00BF335C"/>
    <w:rsid w:val="00BF3465"/>
    <w:rsid w:val="00BF3876"/>
    <w:rsid w:val="00BF4490"/>
    <w:rsid w:val="00BF48C1"/>
    <w:rsid w:val="00BF57E1"/>
    <w:rsid w:val="00BF5828"/>
    <w:rsid w:val="00BF6C75"/>
    <w:rsid w:val="00C00570"/>
    <w:rsid w:val="00C00AE5"/>
    <w:rsid w:val="00C01B51"/>
    <w:rsid w:val="00C028B5"/>
    <w:rsid w:val="00C02DFA"/>
    <w:rsid w:val="00C03981"/>
    <w:rsid w:val="00C04218"/>
    <w:rsid w:val="00C04789"/>
    <w:rsid w:val="00C04F43"/>
    <w:rsid w:val="00C05103"/>
    <w:rsid w:val="00C0704F"/>
    <w:rsid w:val="00C07844"/>
    <w:rsid w:val="00C07AD3"/>
    <w:rsid w:val="00C100E8"/>
    <w:rsid w:val="00C10BBC"/>
    <w:rsid w:val="00C12C16"/>
    <w:rsid w:val="00C130E7"/>
    <w:rsid w:val="00C1369E"/>
    <w:rsid w:val="00C13ED1"/>
    <w:rsid w:val="00C14024"/>
    <w:rsid w:val="00C1408E"/>
    <w:rsid w:val="00C14801"/>
    <w:rsid w:val="00C14D24"/>
    <w:rsid w:val="00C15225"/>
    <w:rsid w:val="00C152B8"/>
    <w:rsid w:val="00C16120"/>
    <w:rsid w:val="00C168A9"/>
    <w:rsid w:val="00C16966"/>
    <w:rsid w:val="00C16E1E"/>
    <w:rsid w:val="00C21D63"/>
    <w:rsid w:val="00C21F0C"/>
    <w:rsid w:val="00C22F84"/>
    <w:rsid w:val="00C26422"/>
    <w:rsid w:val="00C26763"/>
    <w:rsid w:val="00C267C0"/>
    <w:rsid w:val="00C26C7C"/>
    <w:rsid w:val="00C32484"/>
    <w:rsid w:val="00C3269F"/>
    <w:rsid w:val="00C334D7"/>
    <w:rsid w:val="00C33C89"/>
    <w:rsid w:val="00C33ED1"/>
    <w:rsid w:val="00C34D03"/>
    <w:rsid w:val="00C36E14"/>
    <w:rsid w:val="00C4047F"/>
    <w:rsid w:val="00C41F4A"/>
    <w:rsid w:val="00C428D3"/>
    <w:rsid w:val="00C45358"/>
    <w:rsid w:val="00C45513"/>
    <w:rsid w:val="00C4681F"/>
    <w:rsid w:val="00C51391"/>
    <w:rsid w:val="00C554B1"/>
    <w:rsid w:val="00C5582E"/>
    <w:rsid w:val="00C55E98"/>
    <w:rsid w:val="00C56CDC"/>
    <w:rsid w:val="00C56DC5"/>
    <w:rsid w:val="00C577BF"/>
    <w:rsid w:val="00C609DF"/>
    <w:rsid w:val="00C6107C"/>
    <w:rsid w:val="00C6111C"/>
    <w:rsid w:val="00C6301A"/>
    <w:rsid w:val="00C65A7D"/>
    <w:rsid w:val="00C65E9D"/>
    <w:rsid w:val="00C67EB5"/>
    <w:rsid w:val="00C70497"/>
    <w:rsid w:val="00C704B8"/>
    <w:rsid w:val="00C70F61"/>
    <w:rsid w:val="00C7149A"/>
    <w:rsid w:val="00C71CB1"/>
    <w:rsid w:val="00C72CFB"/>
    <w:rsid w:val="00C72D10"/>
    <w:rsid w:val="00C738D5"/>
    <w:rsid w:val="00C74E95"/>
    <w:rsid w:val="00C74FDD"/>
    <w:rsid w:val="00C760D9"/>
    <w:rsid w:val="00C81097"/>
    <w:rsid w:val="00C812A4"/>
    <w:rsid w:val="00C81704"/>
    <w:rsid w:val="00C8216D"/>
    <w:rsid w:val="00C8399C"/>
    <w:rsid w:val="00C848D1"/>
    <w:rsid w:val="00C85A27"/>
    <w:rsid w:val="00C85B39"/>
    <w:rsid w:val="00C85E5F"/>
    <w:rsid w:val="00C86351"/>
    <w:rsid w:val="00C869F3"/>
    <w:rsid w:val="00C86F0C"/>
    <w:rsid w:val="00C87880"/>
    <w:rsid w:val="00C918DF"/>
    <w:rsid w:val="00C93939"/>
    <w:rsid w:val="00C93C0C"/>
    <w:rsid w:val="00C95721"/>
    <w:rsid w:val="00C9580F"/>
    <w:rsid w:val="00C96027"/>
    <w:rsid w:val="00C96BC5"/>
    <w:rsid w:val="00C97BC9"/>
    <w:rsid w:val="00C97FC8"/>
    <w:rsid w:val="00CA0625"/>
    <w:rsid w:val="00CA0724"/>
    <w:rsid w:val="00CA1972"/>
    <w:rsid w:val="00CA1C47"/>
    <w:rsid w:val="00CA3612"/>
    <w:rsid w:val="00CA372D"/>
    <w:rsid w:val="00CA3FCC"/>
    <w:rsid w:val="00CA4C2D"/>
    <w:rsid w:val="00CA574C"/>
    <w:rsid w:val="00CA630A"/>
    <w:rsid w:val="00CA63A8"/>
    <w:rsid w:val="00CA6536"/>
    <w:rsid w:val="00CA6740"/>
    <w:rsid w:val="00CA6891"/>
    <w:rsid w:val="00CA6B73"/>
    <w:rsid w:val="00CA6BAF"/>
    <w:rsid w:val="00CB0B66"/>
    <w:rsid w:val="00CB0FE1"/>
    <w:rsid w:val="00CB1C25"/>
    <w:rsid w:val="00CB3617"/>
    <w:rsid w:val="00CB5B9E"/>
    <w:rsid w:val="00CB6336"/>
    <w:rsid w:val="00CB7B1A"/>
    <w:rsid w:val="00CB7C08"/>
    <w:rsid w:val="00CC00F7"/>
    <w:rsid w:val="00CC0273"/>
    <w:rsid w:val="00CC044C"/>
    <w:rsid w:val="00CC14C4"/>
    <w:rsid w:val="00CC3C93"/>
    <w:rsid w:val="00CC45DD"/>
    <w:rsid w:val="00CC4EB1"/>
    <w:rsid w:val="00CC54C3"/>
    <w:rsid w:val="00CC5812"/>
    <w:rsid w:val="00CC6492"/>
    <w:rsid w:val="00CC6A7A"/>
    <w:rsid w:val="00CC6BD1"/>
    <w:rsid w:val="00CC714E"/>
    <w:rsid w:val="00CC7EF4"/>
    <w:rsid w:val="00CD0016"/>
    <w:rsid w:val="00CD1C84"/>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2A5E"/>
    <w:rsid w:val="00CE3041"/>
    <w:rsid w:val="00CE3475"/>
    <w:rsid w:val="00CE4799"/>
    <w:rsid w:val="00CE55DA"/>
    <w:rsid w:val="00CE5B95"/>
    <w:rsid w:val="00CE5FEA"/>
    <w:rsid w:val="00CE6615"/>
    <w:rsid w:val="00CE680F"/>
    <w:rsid w:val="00CE69C0"/>
    <w:rsid w:val="00CE799C"/>
    <w:rsid w:val="00CF0839"/>
    <w:rsid w:val="00CF0BAF"/>
    <w:rsid w:val="00CF1884"/>
    <w:rsid w:val="00CF1B89"/>
    <w:rsid w:val="00CF225D"/>
    <w:rsid w:val="00CF241F"/>
    <w:rsid w:val="00CF4910"/>
    <w:rsid w:val="00CF5A26"/>
    <w:rsid w:val="00CF5CE6"/>
    <w:rsid w:val="00CF6857"/>
    <w:rsid w:val="00CF6FAC"/>
    <w:rsid w:val="00CF72E0"/>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EF9"/>
    <w:rsid w:val="00D151DF"/>
    <w:rsid w:val="00D15AE9"/>
    <w:rsid w:val="00D21282"/>
    <w:rsid w:val="00D217EE"/>
    <w:rsid w:val="00D21CD0"/>
    <w:rsid w:val="00D222D0"/>
    <w:rsid w:val="00D2291E"/>
    <w:rsid w:val="00D2292C"/>
    <w:rsid w:val="00D229F9"/>
    <w:rsid w:val="00D2377A"/>
    <w:rsid w:val="00D23D51"/>
    <w:rsid w:val="00D24A7F"/>
    <w:rsid w:val="00D26528"/>
    <w:rsid w:val="00D30E85"/>
    <w:rsid w:val="00D31032"/>
    <w:rsid w:val="00D325CD"/>
    <w:rsid w:val="00D32B20"/>
    <w:rsid w:val="00D32E71"/>
    <w:rsid w:val="00D332BF"/>
    <w:rsid w:val="00D33BAD"/>
    <w:rsid w:val="00D33F51"/>
    <w:rsid w:val="00D3501F"/>
    <w:rsid w:val="00D36224"/>
    <w:rsid w:val="00D402DD"/>
    <w:rsid w:val="00D40999"/>
    <w:rsid w:val="00D416AA"/>
    <w:rsid w:val="00D41FF6"/>
    <w:rsid w:val="00D43FE6"/>
    <w:rsid w:val="00D4491E"/>
    <w:rsid w:val="00D45FDF"/>
    <w:rsid w:val="00D50742"/>
    <w:rsid w:val="00D50EC0"/>
    <w:rsid w:val="00D50EE4"/>
    <w:rsid w:val="00D53BB6"/>
    <w:rsid w:val="00D540B2"/>
    <w:rsid w:val="00D54954"/>
    <w:rsid w:val="00D54BCD"/>
    <w:rsid w:val="00D55558"/>
    <w:rsid w:val="00D5566B"/>
    <w:rsid w:val="00D556A2"/>
    <w:rsid w:val="00D55FDF"/>
    <w:rsid w:val="00D5616B"/>
    <w:rsid w:val="00D5673B"/>
    <w:rsid w:val="00D56769"/>
    <w:rsid w:val="00D56F3D"/>
    <w:rsid w:val="00D57E6D"/>
    <w:rsid w:val="00D63483"/>
    <w:rsid w:val="00D63FC0"/>
    <w:rsid w:val="00D65037"/>
    <w:rsid w:val="00D66349"/>
    <w:rsid w:val="00D66661"/>
    <w:rsid w:val="00D66F4D"/>
    <w:rsid w:val="00D719DE"/>
    <w:rsid w:val="00D74447"/>
    <w:rsid w:val="00D7563C"/>
    <w:rsid w:val="00D75B68"/>
    <w:rsid w:val="00D75DD0"/>
    <w:rsid w:val="00D76810"/>
    <w:rsid w:val="00D76EF3"/>
    <w:rsid w:val="00D80A47"/>
    <w:rsid w:val="00D81263"/>
    <w:rsid w:val="00D8390D"/>
    <w:rsid w:val="00D83927"/>
    <w:rsid w:val="00D848FA"/>
    <w:rsid w:val="00D85E86"/>
    <w:rsid w:val="00D867A5"/>
    <w:rsid w:val="00D90AB8"/>
    <w:rsid w:val="00D923E5"/>
    <w:rsid w:val="00D92798"/>
    <w:rsid w:val="00D92E0A"/>
    <w:rsid w:val="00D942D5"/>
    <w:rsid w:val="00D94DB6"/>
    <w:rsid w:val="00D964B5"/>
    <w:rsid w:val="00D97D9B"/>
    <w:rsid w:val="00DA11B1"/>
    <w:rsid w:val="00DA1938"/>
    <w:rsid w:val="00DA2CEC"/>
    <w:rsid w:val="00DA3675"/>
    <w:rsid w:val="00DA3BAC"/>
    <w:rsid w:val="00DA4B4A"/>
    <w:rsid w:val="00DA5597"/>
    <w:rsid w:val="00DA5DF4"/>
    <w:rsid w:val="00DA6967"/>
    <w:rsid w:val="00DA70E4"/>
    <w:rsid w:val="00DA7199"/>
    <w:rsid w:val="00DA7F01"/>
    <w:rsid w:val="00DB07BF"/>
    <w:rsid w:val="00DB1610"/>
    <w:rsid w:val="00DB18A5"/>
    <w:rsid w:val="00DB2A52"/>
    <w:rsid w:val="00DB393B"/>
    <w:rsid w:val="00DB56B4"/>
    <w:rsid w:val="00DB61A8"/>
    <w:rsid w:val="00DB6841"/>
    <w:rsid w:val="00DB6E40"/>
    <w:rsid w:val="00DB75A7"/>
    <w:rsid w:val="00DC07A5"/>
    <w:rsid w:val="00DC08CA"/>
    <w:rsid w:val="00DC0B14"/>
    <w:rsid w:val="00DC134F"/>
    <w:rsid w:val="00DC14DE"/>
    <w:rsid w:val="00DC173D"/>
    <w:rsid w:val="00DC2DC4"/>
    <w:rsid w:val="00DC2FD3"/>
    <w:rsid w:val="00DC3A95"/>
    <w:rsid w:val="00DC4F0E"/>
    <w:rsid w:val="00DC5992"/>
    <w:rsid w:val="00DC5F21"/>
    <w:rsid w:val="00DC6174"/>
    <w:rsid w:val="00DC6C80"/>
    <w:rsid w:val="00DD009F"/>
    <w:rsid w:val="00DD0EEF"/>
    <w:rsid w:val="00DD3119"/>
    <w:rsid w:val="00DD3E1A"/>
    <w:rsid w:val="00DD461A"/>
    <w:rsid w:val="00DD479B"/>
    <w:rsid w:val="00DD4AD2"/>
    <w:rsid w:val="00DD58FD"/>
    <w:rsid w:val="00DD5FC9"/>
    <w:rsid w:val="00DD6697"/>
    <w:rsid w:val="00DD6A5C"/>
    <w:rsid w:val="00DD6C8F"/>
    <w:rsid w:val="00DD6F0B"/>
    <w:rsid w:val="00DD7963"/>
    <w:rsid w:val="00DE06B7"/>
    <w:rsid w:val="00DE06E8"/>
    <w:rsid w:val="00DE0726"/>
    <w:rsid w:val="00DE139F"/>
    <w:rsid w:val="00DE167F"/>
    <w:rsid w:val="00DE1F57"/>
    <w:rsid w:val="00DE3207"/>
    <w:rsid w:val="00DE4D90"/>
    <w:rsid w:val="00DE5D05"/>
    <w:rsid w:val="00DE6CE8"/>
    <w:rsid w:val="00DE6DAB"/>
    <w:rsid w:val="00DE794B"/>
    <w:rsid w:val="00DE7AB3"/>
    <w:rsid w:val="00DF0036"/>
    <w:rsid w:val="00DF04E0"/>
    <w:rsid w:val="00DF0724"/>
    <w:rsid w:val="00DF0B16"/>
    <w:rsid w:val="00DF1666"/>
    <w:rsid w:val="00DF1A1E"/>
    <w:rsid w:val="00DF2BFF"/>
    <w:rsid w:val="00DF2DAE"/>
    <w:rsid w:val="00DF4141"/>
    <w:rsid w:val="00DF4AA9"/>
    <w:rsid w:val="00DF6AC2"/>
    <w:rsid w:val="00DF7AAA"/>
    <w:rsid w:val="00E007AE"/>
    <w:rsid w:val="00E01407"/>
    <w:rsid w:val="00E02E7F"/>
    <w:rsid w:val="00E04197"/>
    <w:rsid w:val="00E045C7"/>
    <w:rsid w:val="00E050C0"/>
    <w:rsid w:val="00E05189"/>
    <w:rsid w:val="00E05801"/>
    <w:rsid w:val="00E05C7D"/>
    <w:rsid w:val="00E06113"/>
    <w:rsid w:val="00E064FC"/>
    <w:rsid w:val="00E07E27"/>
    <w:rsid w:val="00E1053D"/>
    <w:rsid w:val="00E122AA"/>
    <w:rsid w:val="00E122C4"/>
    <w:rsid w:val="00E12301"/>
    <w:rsid w:val="00E12922"/>
    <w:rsid w:val="00E12E16"/>
    <w:rsid w:val="00E13204"/>
    <w:rsid w:val="00E139B4"/>
    <w:rsid w:val="00E13CEA"/>
    <w:rsid w:val="00E140A6"/>
    <w:rsid w:val="00E14272"/>
    <w:rsid w:val="00E148B8"/>
    <w:rsid w:val="00E14908"/>
    <w:rsid w:val="00E1561C"/>
    <w:rsid w:val="00E1648B"/>
    <w:rsid w:val="00E16FE2"/>
    <w:rsid w:val="00E17087"/>
    <w:rsid w:val="00E209D0"/>
    <w:rsid w:val="00E21E25"/>
    <w:rsid w:val="00E22AF2"/>
    <w:rsid w:val="00E22B89"/>
    <w:rsid w:val="00E23D74"/>
    <w:rsid w:val="00E240F1"/>
    <w:rsid w:val="00E245C5"/>
    <w:rsid w:val="00E25274"/>
    <w:rsid w:val="00E26111"/>
    <w:rsid w:val="00E2649B"/>
    <w:rsid w:val="00E266C1"/>
    <w:rsid w:val="00E26E0C"/>
    <w:rsid w:val="00E302B8"/>
    <w:rsid w:val="00E31C44"/>
    <w:rsid w:val="00E32765"/>
    <w:rsid w:val="00E33779"/>
    <w:rsid w:val="00E34401"/>
    <w:rsid w:val="00E34CCD"/>
    <w:rsid w:val="00E3553E"/>
    <w:rsid w:val="00E35C31"/>
    <w:rsid w:val="00E3700C"/>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CDF"/>
    <w:rsid w:val="00E51E88"/>
    <w:rsid w:val="00E53376"/>
    <w:rsid w:val="00E53916"/>
    <w:rsid w:val="00E54B68"/>
    <w:rsid w:val="00E54F24"/>
    <w:rsid w:val="00E55533"/>
    <w:rsid w:val="00E55A5C"/>
    <w:rsid w:val="00E5737B"/>
    <w:rsid w:val="00E574E0"/>
    <w:rsid w:val="00E57997"/>
    <w:rsid w:val="00E60D4F"/>
    <w:rsid w:val="00E614A7"/>
    <w:rsid w:val="00E61A14"/>
    <w:rsid w:val="00E61A27"/>
    <w:rsid w:val="00E62B3A"/>
    <w:rsid w:val="00E62BE3"/>
    <w:rsid w:val="00E631AE"/>
    <w:rsid w:val="00E63A60"/>
    <w:rsid w:val="00E64049"/>
    <w:rsid w:val="00E643AB"/>
    <w:rsid w:val="00E64CEB"/>
    <w:rsid w:val="00E64DB9"/>
    <w:rsid w:val="00E65353"/>
    <w:rsid w:val="00E6557C"/>
    <w:rsid w:val="00E70F33"/>
    <w:rsid w:val="00E7230C"/>
    <w:rsid w:val="00E72523"/>
    <w:rsid w:val="00E72822"/>
    <w:rsid w:val="00E73C65"/>
    <w:rsid w:val="00E73CA1"/>
    <w:rsid w:val="00E741A1"/>
    <w:rsid w:val="00E743EC"/>
    <w:rsid w:val="00E74D5E"/>
    <w:rsid w:val="00E77ADD"/>
    <w:rsid w:val="00E83AD0"/>
    <w:rsid w:val="00E849FB"/>
    <w:rsid w:val="00E84AE9"/>
    <w:rsid w:val="00E865EA"/>
    <w:rsid w:val="00E90EE6"/>
    <w:rsid w:val="00E912EB"/>
    <w:rsid w:val="00E91331"/>
    <w:rsid w:val="00E91337"/>
    <w:rsid w:val="00E91896"/>
    <w:rsid w:val="00E9272A"/>
    <w:rsid w:val="00E93FDD"/>
    <w:rsid w:val="00E9423B"/>
    <w:rsid w:val="00E95165"/>
    <w:rsid w:val="00E966E3"/>
    <w:rsid w:val="00E968B2"/>
    <w:rsid w:val="00E97BC1"/>
    <w:rsid w:val="00EA086B"/>
    <w:rsid w:val="00EA187F"/>
    <w:rsid w:val="00EA1A10"/>
    <w:rsid w:val="00EA1B47"/>
    <w:rsid w:val="00EA3B35"/>
    <w:rsid w:val="00EA4EBA"/>
    <w:rsid w:val="00EA5CCE"/>
    <w:rsid w:val="00EA7014"/>
    <w:rsid w:val="00EB3F2D"/>
    <w:rsid w:val="00EB41FD"/>
    <w:rsid w:val="00EB52D7"/>
    <w:rsid w:val="00EB5DBD"/>
    <w:rsid w:val="00EB6687"/>
    <w:rsid w:val="00EB6994"/>
    <w:rsid w:val="00EC0FE8"/>
    <w:rsid w:val="00EC2D4C"/>
    <w:rsid w:val="00EC3065"/>
    <w:rsid w:val="00EC3238"/>
    <w:rsid w:val="00EC3530"/>
    <w:rsid w:val="00EC3ED2"/>
    <w:rsid w:val="00EC46A8"/>
    <w:rsid w:val="00EC4AB0"/>
    <w:rsid w:val="00EC4D1C"/>
    <w:rsid w:val="00EC56D6"/>
    <w:rsid w:val="00EC5AE5"/>
    <w:rsid w:val="00EC5EF0"/>
    <w:rsid w:val="00EC5F13"/>
    <w:rsid w:val="00EC6C58"/>
    <w:rsid w:val="00EC7358"/>
    <w:rsid w:val="00EC73B4"/>
    <w:rsid w:val="00EC7D98"/>
    <w:rsid w:val="00ED075D"/>
    <w:rsid w:val="00ED08E4"/>
    <w:rsid w:val="00ED114C"/>
    <w:rsid w:val="00ED1344"/>
    <w:rsid w:val="00ED1FAA"/>
    <w:rsid w:val="00ED249F"/>
    <w:rsid w:val="00ED3390"/>
    <w:rsid w:val="00ED394C"/>
    <w:rsid w:val="00ED3CE7"/>
    <w:rsid w:val="00ED5495"/>
    <w:rsid w:val="00ED5899"/>
    <w:rsid w:val="00ED64E6"/>
    <w:rsid w:val="00ED6560"/>
    <w:rsid w:val="00ED6C5C"/>
    <w:rsid w:val="00ED6EB2"/>
    <w:rsid w:val="00ED785A"/>
    <w:rsid w:val="00ED7F27"/>
    <w:rsid w:val="00EE0154"/>
    <w:rsid w:val="00EE21F4"/>
    <w:rsid w:val="00EE33DE"/>
    <w:rsid w:val="00EE37FC"/>
    <w:rsid w:val="00EE3C9B"/>
    <w:rsid w:val="00EE3F7C"/>
    <w:rsid w:val="00EE53D5"/>
    <w:rsid w:val="00EE6603"/>
    <w:rsid w:val="00EF0212"/>
    <w:rsid w:val="00EF095C"/>
    <w:rsid w:val="00EF0F4B"/>
    <w:rsid w:val="00EF1579"/>
    <w:rsid w:val="00EF34E7"/>
    <w:rsid w:val="00EF35F2"/>
    <w:rsid w:val="00EF3738"/>
    <w:rsid w:val="00EF782F"/>
    <w:rsid w:val="00EF79C5"/>
    <w:rsid w:val="00EF7CD6"/>
    <w:rsid w:val="00F00694"/>
    <w:rsid w:val="00F00985"/>
    <w:rsid w:val="00F00C8E"/>
    <w:rsid w:val="00F00E17"/>
    <w:rsid w:val="00F00F58"/>
    <w:rsid w:val="00F02ACE"/>
    <w:rsid w:val="00F04D8F"/>
    <w:rsid w:val="00F06195"/>
    <w:rsid w:val="00F061E4"/>
    <w:rsid w:val="00F06524"/>
    <w:rsid w:val="00F0674E"/>
    <w:rsid w:val="00F06FD3"/>
    <w:rsid w:val="00F07424"/>
    <w:rsid w:val="00F07D5F"/>
    <w:rsid w:val="00F10DBC"/>
    <w:rsid w:val="00F113F8"/>
    <w:rsid w:val="00F12408"/>
    <w:rsid w:val="00F12DC2"/>
    <w:rsid w:val="00F139DD"/>
    <w:rsid w:val="00F13AE9"/>
    <w:rsid w:val="00F147F9"/>
    <w:rsid w:val="00F1522A"/>
    <w:rsid w:val="00F1579D"/>
    <w:rsid w:val="00F15AA1"/>
    <w:rsid w:val="00F167EB"/>
    <w:rsid w:val="00F1720D"/>
    <w:rsid w:val="00F177E3"/>
    <w:rsid w:val="00F2175E"/>
    <w:rsid w:val="00F226F4"/>
    <w:rsid w:val="00F23162"/>
    <w:rsid w:val="00F24526"/>
    <w:rsid w:val="00F24926"/>
    <w:rsid w:val="00F24C1C"/>
    <w:rsid w:val="00F26C41"/>
    <w:rsid w:val="00F26FCB"/>
    <w:rsid w:val="00F30A79"/>
    <w:rsid w:val="00F32D74"/>
    <w:rsid w:val="00F332CF"/>
    <w:rsid w:val="00F35F83"/>
    <w:rsid w:val="00F360EF"/>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4A20"/>
    <w:rsid w:val="00F54ECE"/>
    <w:rsid w:val="00F550EA"/>
    <w:rsid w:val="00F55BED"/>
    <w:rsid w:val="00F5729E"/>
    <w:rsid w:val="00F57512"/>
    <w:rsid w:val="00F57956"/>
    <w:rsid w:val="00F60783"/>
    <w:rsid w:val="00F60984"/>
    <w:rsid w:val="00F620AF"/>
    <w:rsid w:val="00F62172"/>
    <w:rsid w:val="00F64418"/>
    <w:rsid w:val="00F647C8"/>
    <w:rsid w:val="00F65036"/>
    <w:rsid w:val="00F65147"/>
    <w:rsid w:val="00F652BB"/>
    <w:rsid w:val="00F6694C"/>
    <w:rsid w:val="00F66AF2"/>
    <w:rsid w:val="00F6700A"/>
    <w:rsid w:val="00F70645"/>
    <w:rsid w:val="00F717AF"/>
    <w:rsid w:val="00F71837"/>
    <w:rsid w:val="00F73965"/>
    <w:rsid w:val="00F74101"/>
    <w:rsid w:val="00F74D99"/>
    <w:rsid w:val="00F803E8"/>
    <w:rsid w:val="00F8097F"/>
    <w:rsid w:val="00F8178D"/>
    <w:rsid w:val="00F83BAD"/>
    <w:rsid w:val="00F86732"/>
    <w:rsid w:val="00F86CD7"/>
    <w:rsid w:val="00F87775"/>
    <w:rsid w:val="00F90CB2"/>
    <w:rsid w:val="00F923D8"/>
    <w:rsid w:val="00F93027"/>
    <w:rsid w:val="00F94597"/>
    <w:rsid w:val="00F945B3"/>
    <w:rsid w:val="00F948A6"/>
    <w:rsid w:val="00F95BA3"/>
    <w:rsid w:val="00F96208"/>
    <w:rsid w:val="00F96664"/>
    <w:rsid w:val="00F97807"/>
    <w:rsid w:val="00FA1E4A"/>
    <w:rsid w:val="00FA2C64"/>
    <w:rsid w:val="00FA3CF2"/>
    <w:rsid w:val="00FA4F12"/>
    <w:rsid w:val="00FA5043"/>
    <w:rsid w:val="00FA5509"/>
    <w:rsid w:val="00FA6846"/>
    <w:rsid w:val="00FB0336"/>
    <w:rsid w:val="00FB0722"/>
    <w:rsid w:val="00FB1225"/>
    <w:rsid w:val="00FB1D58"/>
    <w:rsid w:val="00FB26F7"/>
    <w:rsid w:val="00FB2808"/>
    <w:rsid w:val="00FB29D2"/>
    <w:rsid w:val="00FB32B4"/>
    <w:rsid w:val="00FB37EA"/>
    <w:rsid w:val="00FB65AC"/>
    <w:rsid w:val="00FB6C98"/>
    <w:rsid w:val="00FB6CD4"/>
    <w:rsid w:val="00FB6F86"/>
    <w:rsid w:val="00FC04C8"/>
    <w:rsid w:val="00FC21C6"/>
    <w:rsid w:val="00FC42E4"/>
    <w:rsid w:val="00FC4BD9"/>
    <w:rsid w:val="00FC4D9A"/>
    <w:rsid w:val="00FC501B"/>
    <w:rsid w:val="00FC5547"/>
    <w:rsid w:val="00FC5E5D"/>
    <w:rsid w:val="00FC71E8"/>
    <w:rsid w:val="00FD14FE"/>
    <w:rsid w:val="00FD2521"/>
    <w:rsid w:val="00FD286B"/>
    <w:rsid w:val="00FD2B91"/>
    <w:rsid w:val="00FD3549"/>
    <w:rsid w:val="00FD4876"/>
    <w:rsid w:val="00FD497B"/>
    <w:rsid w:val="00FD5BB3"/>
    <w:rsid w:val="00FD7D6E"/>
    <w:rsid w:val="00FE0478"/>
    <w:rsid w:val="00FE0C89"/>
    <w:rsid w:val="00FE3446"/>
    <w:rsid w:val="00FE36D7"/>
    <w:rsid w:val="00FE3E56"/>
    <w:rsid w:val="00FE4072"/>
    <w:rsid w:val="00FE4512"/>
    <w:rsid w:val="00FE479B"/>
    <w:rsid w:val="00FE63DF"/>
    <w:rsid w:val="00FE7087"/>
    <w:rsid w:val="00FE7460"/>
    <w:rsid w:val="00FE7B3B"/>
    <w:rsid w:val="00FF0555"/>
    <w:rsid w:val="00FF0ECF"/>
    <w:rsid w:val="00FF0F23"/>
    <w:rsid w:val="00FF14E7"/>
    <w:rsid w:val="00FF296D"/>
    <w:rsid w:val="00FF3335"/>
    <w:rsid w:val="00FF3F67"/>
    <w:rsid w:val="00FF454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EDC5E"/>
  <w15:docId w15:val="{E6DE012F-84F7-45DF-8ED6-04FC531C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3965"/>
    <w:pPr>
      <w:autoSpaceDE w:val="0"/>
      <w:autoSpaceDN w:val="0"/>
      <w:adjustRightInd w:val="0"/>
    </w:pPr>
    <w:rPr>
      <w:color w:val="000000"/>
      <w:sz w:val="24"/>
      <w:szCs w:val="24"/>
    </w:rPr>
  </w:style>
  <w:style w:type="paragraph" w:styleId="Revision">
    <w:name w:val="Revision"/>
    <w:hidden/>
    <w:uiPriority w:val="99"/>
    <w:semiHidden/>
    <w:rsid w:val="0006057C"/>
    <w:rPr>
      <w:sz w:val="24"/>
      <w:szCs w:val="24"/>
    </w:rPr>
  </w:style>
  <w:style w:type="paragraph" w:styleId="Header">
    <w:name w:val="header"/>
    <w:basedOn w:val="Normal"/>
    <w:link w:val="HeaderChar"/>
    <w:unhideWhenUsed/>
    <w:rsid w:val="001A5ED9"/>
    <w:pPr>
      <w:tabs>
        <w:tab w:val="center" w:pos="4680"/>
        <w:tab w:val="right" w:pos="9360"/>
      </w:tabs>
    </w:pPr>
  </w:style>
  <w:style w:type="character" w:customStyle="1" w:styleId="HeaderChar">
    <w:name w:val="Header Char"/>
    <w:basedOn w:val="DefaultParagraphFont"/>
    <w:link w:val="Header"/>
    <w:rsid w:val="001A5E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928007647">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997768">
      <w:bodyDiv w:val="1"/>
      <w:marLeft w:val="0"/>
      <w:marRight w:val="0"/>
      <w:marTop w:val="0"/>
      <w:marBottom w:val="0"/>
      <w:divBdr>
        <w:top w:val="none" w:sz="0" w:space="0" w:color="auto"/>
        <w:left w:val="none" w:sz="0" w:space="0" w:color="auto"/>
        <w:bottom w:val="none" w:sz="0" w:space="0" w:color="auto"/>
        <w:right w:val="none" w:sz="0" w:space="0" w:color="auto"/>
      </w:divBdr>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 w:id="202258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49767-27B1-4ADC-8594-1FFB6417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2819</Words>
  <Characters>16073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3</cp:revision>
  <cp:lastPrinted>2019-03-13T13:24:00Z</cp:lastPrinted>
  <dcterms:created xsi:type="dcterms:W3CDTF">2019-03-14T12:54:00Z</dcterms:created>
  <dcterms:modified xsi:type="dcterms:W3CDTF">2019-03-14T13:01:00Z</dcterms:modified>
</cp:coreProperties>
</file>