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D4D8" w14:textId="77777777" w:rsidR="0035568D" w:rsidRDefault="0035568D" w:rsidP="0035568D">
      <w:pPr>
        <w:pStyle w:val="Title"/>
        <w:rPr>
          <w:szCs w:val="24"/>
        </w:rPr>
      </w:pPr>
      <w:r>
        <w:rPr>
          <w:szCs w:val="24"/>
        </w:rPr>
        <w:t>BEFORE THE</w:t>
      </w:r>
    </w:p>
    <w:p w14:paraId="3F004F91" w14:textId="77777777" w:rsidR="0035568D" w:rsidRDefault="0035568D" w:rsidP="0035568D">
      <w:pPr>
        <w:pStyle w:val="Subtitle"/>
        <w:rPr>
          <w:szCs w:val="24"/>
        </w:rPr>
      </w:pPr>
      <w:r>
        <w:rPr>
          <w:szCs w:val="24"/>
        </w:rPr>
        <w:t>PENNSYLVANIA PUBLIC UTILITY COMMISSION</w:t>
      </w:r>
    </w:p>
    <w:p w14:paraId="09F93323" w14:textId="77777777" w:rsidR="0035568D" w:rsidRDefault="0035568D" w:rsidP="0035568D">
      <w:pPr>
        <w:rPr>
          <w:szCs w:val="24"/>
        </w:rPr>
      </w:pPr>
    </w:p>
    <w:p w14:paraId="382B87CD" w14:textId="77777777" w:rsidR="0035568D" w:rsidRDefault="0035568D" w:rsidP="0035568D">
      <w:pPr>
        <w:rPr>
          <w:szCs w:val="24"/>
        </w:rPr>
      </w:pPr>
    </w:p>
    <w:p w14:paraId="7905A540" w14:textId="77777777" w:rsidR="0035568D" w:rsidRDefault="0035568D" w:rsidP="0035568D">
      <w:pPr>
        <w:rPr>
          <w:szCs w:val="24"/>
        </w:rPr>
      </w:pPr>
    </w:p>
    <w:p w14:paraId="68A18A06" w14:textId="77777777" w:rsidR="0035568D" w:rsidRDefault="0035568D" w:rsidP="0035568D">
      <w:pPr>
        <w:rPr>
          <w:szCs w:val="24"/>
        </w:rPr>
      </w:pPr>
      <w:r>
        <w:rPr>
          <w:szCs w:val="24"/>
        </w:rPr>
        <w:t>Pennsylvania Public Utility Commission</w:t>
      </w:r>
      <w:r>
        <w:rPr>
          <w:szCs w:val="24"/>
        </w:rPr>
        <w:tab/>
      </w:r>
      <w:r>
        <w:rPr>
          <w:szCs w:val="24"/>
        </w:rPr>
        <w:tab/>
        <w:t>:</w:t>
      </w:r>
    </w:p>
    <w:p w14:paraId="1838F919" w14:textId="77777777" w:rsidR="0035568D" w:rsidRDefault="0035568D" w:rsidP="0035568D">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5CB903A8" w14:textId="77777777" w:rsidR="0035568D" w:rsidRDefault="0035568D" w:rsidP="0035568D">
      <w:pPr>
        <w:rPr>
          <w:szCs w:val="24"/>
        </w:rPr>
      </w:pPr>
      <w:r>
        <w:rPr>
          <w:szCs w:val="24"/>
        </w:rPr>
        <w:tab/>
        <w:t>v.</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R-2019-3007636</w:t>
      </w:r>
    </w:p>
    <w:p w14:paraId="40CE1A20" w14:textId="77777777" w:rsidR="0035568D" w:rsidRDefault="0035568D" w:rsidP="0035568D">
      <w:pPr>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3DCD0C26" w14:textId="77777777" w:rsidR="0035568D" w:rsidRDefault="0035568D" w:rsidP="0035568D">
      <w:pPr>
        <w:rPr>
          <w:szCs w:val="24"/>
        </w:rPr>
      </w:pPr>
      <w:r>
        <w:rPr>
          <w:szCs w:val="24"/>
        </w:rPr>
        <w:t>Philadelphia Gas Works</w:t>
      </w:r>
      <w:r>
        <w:rPr>
          <w:szCs w:val="24"/>
        </w:rPr>
        <w:tab/>
      </w:r>
      <w:r>
        <w:rPr>
          <w:szCs w:val="24"/>
        </w:rPr>
        <w:tab/>
      </w:r>
      <w:r>
        <w:rPr>
          <w:szCs w:val="24"/>
        </w:rPr>
        <w:tab/>
      </w:r>
      <w:r>
        <w:rPr>
          <w:szCs w:val="24"/>
        </w:rPr>
        <w:tab/>
        <w:t>:</w:t>
      </w:r>
    </w:p>
    <w:p w14:paraId="7E57F56D" w14:textId="77777777" w:rsidR="0035568D" w:rsidRDefault="0035568D" w:rsidP="0035568D">
      <w:pPr>
        <w:rPr>
          <w:szCs w:val="24"/>
        </w:rPr>
      </w:pPr>
    </w:p>
    <w:p w14:paraId="0F6F5ED2" w14:textId="44116572" w:rsidR="0035568D" w:rsidRDefault="0035568D" w:rsidP="0035568D">
      <w:pPr>
        <w:rPr>
          <w:szCs w:val="24"/>
        </w:rPr>
      </w:pPr>
    </w:p>
    <w:p w14:paraId="6A6DA57F" w14:textId="77777777" w:rsidR="003F2E47" w:rsidRDefault="003F2E47" w:rsidP="0035568D">
      <w:pPr>
        <w:rPr>
          <w:szCs w:val="24"/>
        </w:rPr>
      </w:pPr>
    </w:p>
    <w:p w14:paraId="6F70CCF8" w14:textId="5B3E005C" w:rsidR="00206993" w:rsidRPr="00F90F25" w:rsidRDefault="00206993" w:rsidP="00E160DC">
      <w:pPr>
        <w:tabs>
          <w:tab w:val="left" w:pos="1440"/>
        </w:tabs>
        <w:jc w:val="center"/>
        <w:rPr>
          <w:u w:val="single"/>
        </w:rPr>
      </w:pPr>
      <w:r w:rsidRPr="00F90F25">
        <w:rPr>
          <w:b/>
          <w:u w:val="single"/>
        </w:rPr>
        <w:t xml:space="preserve">INTERIM ORDER GRANTING </w:t>
      </w:r>
      <w:r w:rsidR="00E160DC" w:rsidRPr="00F90F25">
        <w:rPr>
          <w:b/>
          <w:u w:val="single"/>
        </w:rPr>
        <w:t>THE BUREAU OF INVESTIGATION AND ENFORCEMENT’S EXPEDITED MOTION TO STRIKE</w:t>
      </w:r>
    </w:p>
    <w:p w14:paraId="02BC0EE1" w14:textId="3AC19ADC" w:rsidR="0035568D" w:rsidRPr="003F2E47" w:rsidRDefault="0035568D" w:rsidP="003F2E47">
      <w:pPr>
        <w:pStyle w:val="Heading1"/>
        <w:rPr>
          <w:szCs w:val="24"/>
          <w:u w:val="none"/>
        </w:rPr>
      </w:pPr>
    </w:p>
    <w:p w14:paraId="03936F16" w14:textId="77777777" w:rsidR="0035568D" w:rsidRDefault="0035568D" w:rsidP="003F2E47">
      <w:pPr>
        <w:jc w:val="center"/>
        <w:rPr>
          <w:szCs w:val="24"/>
        </w:rPr>
      </w:pPr>
    </w:p>
    <w:p w14:paraId="47839983" w14:textId="77777777" w:rsidR="0035568D" w:rsidRDefault="0035568D" w:rsidP="003F2E47">
      <w:pPr>
        <w:jc w:val="center"/>
        <w:rPr>
          <w:caps/>
          <w:szCs w:val="24"/>
          <w:u w:val="single"/>
        </w:rPr>
      </w:pPr>
      <w:r>
        <w:rPr>
          <w:caps/>
          <w:szCs w:val="24"/>
          <w:u w:val="single"/>
        </w:rPr>
        <w:t>History</w:t>
      </w:r>
    </w:p>
    <w:p w14:paraId="1EA504E4" w14:textId="77777777" w:rsidR="0035568D" w:rsidRDefault="0035568D" w:rsidP="000747F2">
      <w:pPr>
        <w:spacing w:line="360" w:lineRule="auto"/>
        <w:jc w:val="center"/>
        <w:rPr>
          <w:szCs w:val="24"/>
          <w:u w:val="single"/>
        </w:rPr>
      </w:pPr>
    </w:p>
    <w:p w14:paraId="5445F614" w14:textId="2243BDBA" w:rsidR="0035568D" w:rsidRDefault="0035568D" w:rsidP="0035568D">
      <w:pPr>
        <w:spacing w:line="360" w:lineRule="auto"/>
        <w:rPr>
          <w:szCs w:val="24"/>
        </w:rPr>
      </w:pPr>
      <w:r>
        <w:rPr>
          <w:szCs w:val="24"/>
        </w:rPr>
        <w:tab/>
      </w:r>
      <w:r>
        <w:rPr>
          <w:szCs w:val="24"/>
        </w:rPr>
        <w:tab/>
        <w:t>On February 1, 2019, the Philadelphia Gas Works (PGW or company) filed its prefiling information required for its annual 2019-2020 Gas Cost Rate</w:t>
      </w:r>
      <w:r w:rsidR="00BB477C">
        <w:rPr>
          <w:szCs w:val="24"/>
        </w:rPr>
        <w:t xml:space="preserve"> (GCR)</w:t>
      </w:r>
      <w:r>
        <w:rPr>
          <w:szCs w:val="24"/>
        </w:rPr>
        <w:t xml:space="preserve"> Filing. As part of its prefiling, PGW indicated that pursuant to the Pennsylvania Public Utility Commission’s (Commission) August 2, 2018 Order at Docket No. R-2018-</w:t>
      </w:r>
      <w:r>
        <w:t>2587526</w:t>
      </w:r>
      <w:r>
        <w:rPr>
          <w:szCs w:val="24"/>
        </w:rPr>
        <w:t>, PGW intends to depart from the requirements of 52 Pa.Code §§ 53.45(b), 53.64(c), 53.64(i)(5)(i) and 53.68(a).  Specifically, PGW indicated that it will notify individual customers by bill insert during a one-month billing cycle beginning on March 1, 2019, and concluding not later than March 31, 2019.  PGW also indicated that it will provide public notice, in company offices that accept payments, of the tariff addendum and tariff supplement concerning PGW’s 2019-2020 gas cost rate on March 1, 2019.  Furthermore, PGW indicated that it will provide estimated data for January 2019 and February 2019 in the March 1, 2019 quarterly 1307(f) filing instead of actual data for January 2019.</w:t>
      </w:r>
    </w:p>
    <w:p w14:paraId="1AFE3E86" w14:textId="77777777" w:rsidR="0035568D" w:rsidRDefault="0035568D" w:rsidP="0035568D">
      <w:pPr>
        <w:spacing w:line="360" w:lineRule="auto"/>
        <w:rPr>
          <w:szCs w:val="24"/>
        </w:rPr>
      </w:pPr>
    </w:p>
    <w:p w14:paraId="26B16BAE" w14:textId="77777777" w:rsidR="0035568D" w:rsidRDefault="0035568D" w:rsidP="0035568D">
      <w:pPr>
        <w:spacing w:line="360" w:lineRule="auto"/>
        <w:ind w:firstLine="1440"/>
        <w:rPr>
          <w:szCs w:val="24"/>
        </w:rPr>
      </w:pPr>
      <w:r>
        <w:rPr>
          <w:szCs w:val="24"/>
        </w:rPr>
        <w:t>On February 5, 2019, Gina L. Miller, Esquire, filed a notice of appearance on behalf of the Commission’s Bureau of Investigation and Enforcement (I&amp;E).</w:t>
      </w:r>
    </w:p>
    <w:p w14:paraId="7F7CB33F" w14:textId="77777777" w:rsidR="0035568D" w:rsidRDefault="0035568D" w:rsidP="0035568D">
      <w:pPr>
        <w:spacing w:line="360" w:lineRule="auto"/>
        <w:rPr>
          <w:szCs w:val="24"/>
        </w:rPr>
      </w:pPr>
    </w:p>
    <w:p w14:paraId="6DF56B33" w14:textId="77777777" w:rsidR="0035568D" w:rsidRDefault="0035568D" w:rsidP="0035568D">
      <w:pPr>
        <w:spacing w:line="360" w:lineRule="auto"/>
        <w:ind w:firstLine="1440"/>
        <w:rPr>
          <w:szCs w:val="24"/>
        </w:rPr>
      </w:pPr>
      <w:r>
        <w:rPr>
          <w:szCs w:val="24"/>
        </w:rPr>
        <w:t xml:space="preserve">On February 8, 2019, the Office of Small Business Advocate (OSBA) filed a Public Statement, a Notice of Appearance on behalf of Sharon Webb, Esq., and a formal </w:t>
      </w:r>
      <w:r>
        <w:rPr>
          <w:szCs w:val="24"/>
        </w:rPr>
        <w:lastRenderedPageBreak/>
        <w:t>Complaint.  The Complaint was docketed by the Secretary’s Bureau at Docket No. C-2019-3007819.</w:t>
      </w:r>
    </w:p>
    <w:p w14:paraId="7B1E7258" w14:textId="77777777" w:rsidR="0035568D" w:rsidRDefault="0035568D" w:rsidP="0035568D">
      <w:pPr>
        <w:spacing w:line="360" w:lineRule="auto"/>
        <w:ind w:firstLine="1440"/>
        <w:rPr>
          <w:szCs w:val="24"/>
        </w:rPr>
      </w:pPr>
    </w:p>
    <w:p w14:paraId="5A158CAF" w14:textId="77777777" w:rsidR="0035568D" w:rsidRDefault="0035568D" w:rsidP="0035568D">
      <w:pPr>
        <w:spacing w:line="360" w:lineRule="auto"/>
        <w:ind w:firstLine="1440"/>
        <w:rPr>
          <w:szCs w:val="24"/>
        </w:rPr>
      </w:pPr>
      <w:r>
        <w:rPr>
          <w:szCs w:val="24"/>
        </w:rPr>
        <w:t>On February 11, 2019, the Office of Consumer Advocate (OCA) filed a Public Statement, a Notice of Appearance on behalf of Harrison W. Breitman, Esq. and Lauren M. Burge, Esq., and a formal Complaint.  The Complaint was docketed by the Secretary’s Bureau at Docket No. C-2019-3007837.</w:t>
      </w:r>
    </w:p>
    <w:p w14:paraId="07C2F303" w14:textId="77777777" w:rsidR="0035568D" w:rsidRDefault="0035568D" w:rsidP="0035568D">
      <w:pPr>
        <w:spacing w:line="360" w:lineRule="auto"/>
        <w:ind w:firstLine="1440"/>
        <w:rPr>
          <w:szCs w:val="24"/>
        </w:rPr>
      </w:pPr>
    </w:p>
    <w:p w14:paraId="5CF180F8" w14:textId="77777777" w:rsidR="0035568D" w:rsidRDefault="0035568D" w:rsidP="0035568D">
      <w:pPr>
        <w:spacing w:line="360" w:lineRule="auto"/>
        <w:ind w:firstLine="1440"/>
        <w:rPr>
          <w:szCs w:val="24"/>
        </w:rPr>
      </w:pPr>
      <w:r>
        <w:rPr>
          <w:szCs w:val="24"/>
        </w:rPr>
        <w:t>On February 19, 2019, the Philadelphia Industrial and Commercial Gas Users Group (PICGUG) filed a Petition to Intervene in this proceeding.</w:t>
      </w:r>
    </w:p>
    <w:p w14:paraId="37EDA3DA" w14:textId="77777777" w:rsidR="0035568D" w:rsidRDefault="0035568D" w:rsidP="0035568D">
      <w:pPr>
        <w:spacing w:line="360" w:lineRule="auto"/>
        <w:rPr>
          <w:szCs w:val="24"/>
        </w:rPr>
      </w:pPr>
    </w:p>
    <w:p w14:paraId="6BDDFDA5" w14:textId="271DBFD0" w:rsidR="0035568D" w:rsidRDefault="0035568D" w:rsidP="0035568D">
      <w:pPr>
        <w:spacing w:line="360" w:lineRule="auto"/>
        <w:rPr>
          <w:szCs w:val="24"/>
        </w:rPr>
      </w:pPr>
      <w:r>
        <w:rPr>
          <w:szCs w:val="24"/>
        </w:rPr>
        <w:tab/>
      </w:r>
      <w:r>
        <w:rPr>
          <w:szCs w:val="24"/>
        </w:rPr>
        <w:tab/>
        <w:t xml:space="preserve">On March 1, 2019, PGW filed its 2019-2020 Gas Cost Rate Filing. </w:t>
      </w:r>
    </w:p>
    <w:p w14:paraId="3E589103" w14:textId="77777777" w:rsidR="0035568D" w:rsidRDefault="0035568D" w:rsidP="0035568D">
      <w:pPr>
        <w:spacing w:line="360" w:lineRule="auto"/>
        <w:rPr>
          <w:szCs w:val="24"/>
        </w:rPr>
      </w:pPr>
    </w:p>
    <w:p w14:paraId="3C3E64CF" w14:textId="77777777" w:rsidR="00697849" w:rsidRDefault="0035568D" w:rsidP="0035568D">
      <w:pPr>
        <w:spacing w:line="360" w:lineRule="auto"/>
      </w:pPr>
      <w:r>
        <w:tab/>
      </w:r>
      <w:r>
        <w:tab/>
      </w:r>
      <w:r w:rsidR="00F90F25">
        <w:t xml:space="preserve">Via Hearing Notice dated March 5, 2019, a telephonic call in prehearing conference was scheduled for </w:t>
      </w:r>
      <w:r>
        <w:t xml:space="preserve">Wednesday, March 27, 2018 at 10:00 a.m.  </w:t>
      </w:r>
      <w:r w:rsidR="00697849">
        <w:t xml:space="preserve">I issued an Prehearing Conference Order on March 5, 2019, which outlined the procedure for the prehearing conference.  </w:t>
      </w:r>
    </w:p>
    <w:p w14:paraId="738A5397" w14:textId="77777777" w:rsidR="00697849" w:rsidRDefault="00697849" w:rsidP="0035568D">
      <w:pPr>
        <w:spacing w:line="360" w:lineRule="auto"/>
      </w:pPr>
    </w:p>
    <w:p w14:paraId="63E2CE57" w14:textId="20BE64F3" w:rsidR="00697849" w:rsidRDefault="00697849" w:rsidP="0035568D">
      <w:pPr>
        <w:spacing w:line="360" w:lineRule="auto"/>
      </w:pPr>
      <w:r>
        <w:tab/>
      </w:r>
      <w:r>
        <w:tab/>
        <w:t>On March 18, 2019, I&amp;E filed an Expedited Motion to Strike.  I&amp;E requested that the presiding officer strike the portions of PGW’s gas cost filing that included the proposal to establish a new Rate LNG-N.</w:t>
      </w:r>
      <w:r w:rsidR="00C37396">
        <w:rPr>
          <w:rStyle w:val="FootnoteReference"/>
        </w:rPr>
        <w:footnoteReference w:id="1"/>
      </w:r>
      <w:r>
        <w:t xml:space="preserve">  I&amp;E also requested that any portions of PGW’s witness testimonies that include this proposal also be stricken from the record.  I&amp;E indicates that this is not the proper because it goes beyond the scope of the proceedings, would be prejudicial to the ratepayers, and would confuse the issues in this proceeding.  </w:t>
      </w:r>
    </w:p>
    <w:p w14:paraId="5DD6CB46" w14:textId="77777777" w:rsidR="00697849" w:rsidRDefault="00697849" w:rsidP="0035568D">
      <w:pPr>
        <w:spacing w:line="360" w:lineRule="auto"/>
      </w:pPr>
    </w:p>
    <w:p w14:paraId="6255A423" w14:textId="77777777" w:rsidR="000B6AB3" w:rsidRDefault="00697849" w:rsidP="0035568D">
      <w:pPr>
        <w:spacing w:line="360" w:lineRule="auto"/>
      </w:pPr>
      <w:r>
        <w:tab/>
      </w:r>
      <w:r>
        <w:tab/>
        <w:t xml:space="preserve">Via electronic mail dated March 19, 2019, I provided the parties with a deadline to file a response or answer to the Motion to Strike by Thursday, March 21, 2019.  </w:t>
      </w:r>
    </w:p>
    <w:p w14:paraId="6D096493" w14:textId="77777777" w:rsidR="000B6AB3" w:rsidRDefault="000B6AB3" w:rsidP="0035568D">
      <w:pPr>
        <w:spacing w:line="360" w:lineRule="auto"/>
      </w:pPr>
    </w:p>
    <w:p w14:paraId="37756C60" w14:textId="5041E5D8" w:rsidR="000B6AB3" w:rsidRDefault="000B6AB3" w:rsidP="0035568D">
      <w:pPr>
        <w:spacing w:line="360" w:lineRule="auto"/>
      </w:pPr>
      <w:r>
        <w:tab/>
      </w:r>
      <w:r>
        <w:tab/>
        <w:t xml:space="preserve">On March 21, 2019, both OCA and PGW filed Answers to the Motion to Strike.  OCA agreed with I&amp;E’s position on the issue.  PGW contends that the proposal in within the </w:t>
      </w:r>
      <w:r>
        <w:lastRenderedPageBreak/>
        <w:t xml:space="preserve">scope of Section 1307(f) of the Public Utility Code and would not cause undue prejudice or confusion in the proceedings.  OSBA and PICGUG did not filed any responses to the Motion to Strike.  </w:t>
      </w:r>
    </w:p>
    <w:p w14:paraId="4D8CC58B" w14:textId="77777777" w:rsidR="000B6AB3" w:rsidRDefault="000B6AB3" w:rsidP="0035568D">
      <w:pPr>
        <w:spacing w:line="360" w:lineRule="auto"/>
      </w:pPr>
    </w:p>
    <w:p w14:paraId="66BFF37C" w14:textId="2AC5C7E4" w:rsidR="0035568D" w:rsidRDefault="000B6AB3" w:rsidP="0035568D">
      <w:pPr>
        <w:spacing w:line="360" w:lineRule="auto"/>
      </w:pPr>
      <w:r>
        <w:tab/>
      </w:r>
      <w:r>
        <w:tab/>
        <w:t xml:space="preserve">At this point, the matter is now ripe for a decision.  </w:t>
      </w:r>
    </w:p>
    <w:p w14:paraId="50FEEC25" w14:textId="00924A47" w:rsidR="0035568D" w:rsidRPr="003F2E47" w:rsidRDefault="0035568D" w:rsidP="00C84691">
      <w:pPr>
        <w:pStyle w:val="BodyText"/>
        <w:tabs>
          <w:tab w:val="left" w:pos="0"/>
        </w:tabs>
        <w:spacing w:after="0" w:line="360" w:lineRule="auto"/>
        <w:rPr>
          <w:rStyle w:val="Strong"/>
          <w:b w:val="0"/>
        </w:rPr>
      </w:pPr>
    </w:p>
    <w:p w14:paraId="5EB61BE2" w14:textId="77777777" w:rsidR="0035568D" w:rsidRDefault="0035568D" w:rsidP="0035568D">
      <w:pPr>
        <w:pStyle w:val="NoSpacing"/>
        <w:spacing w:line="360" w:lineRule="auto"/>
        <w:jc w:val="center"/>
        <w:rPr>
          <w:rStyle w:val="Strong"/>
          <w:b w:val="0"/>
          <w:caps/>
          <w:szCs w:val="24"/>
          <w:u w:val="single"/>
        </w:rPr>
      </w:pPr>
      <w:r>
        <w:rPr>
          <w:rStyle w:val="Strong"/>
          <w:b w:val="0"/>
          <w:caps/>
          <w:szCs w:val="24"/>
          <w:u w:val="single"/>
        </w:rPr>
        <w:t>Discussion</w:t>
      </w:r>
    </w:p>
    <w:p w14:paraId="0B58A225" w14:textId="77777777" w:rsidR="0035568D" w:rsidRDefault="0035568D" w:rsidP="0035568D">
      <w:pPr>
        <w:pStyle w:val="NoSpacing"/>
        <w:spacing w:line="360" w:lineRule="auto"/>
        <w:jc w:val="center"/>
        <w:rPr>
          <w:rStyle w:val="Strong"/>
          <w:b w:val="0"/>
          <w:szCs w:val="24"/>
        </w:rPr>
      </w:pPr>
    </w:p>
    <w:p w14:paraId="64C7A241" w14:textId="50646461" w:rsidR="000B6AB3" w:rsidRDefault="0035568D" w:rsidP="00840FF9">
      <w:pPr>
        <w:spacing w:line="360" w:lineRule="auto"/>
        <w:rPr>
          <w:color w:val="252525"/>
          <w:szCs w:val="24"/>
        </w:rPr>
      </w:pPr>
      <w:r>
        <w:rPr>
          <w:szCs w:val="24"/>
        </w:rPr>
        <w:tab/>
      </w:r>
      <w:r>
        <w:rPr>
          <w:szCs w:val="24"/>
        </w:rPr>
        <w:tab/>
      </w:r>
      <w:r w:rsidR="00840FF9">
        <w:rPr>
          <w:szCs w:val="24"/>
        </w:rPr>
        <w:t>The presiding office has</w:t>
      </w:r>
      <w:r w:rsidR="000B6AB3" w:rsidRPr="00840FF9">
        <w:rPr>
          <w:szCs w:val="24"/>
        </w:rPr>
        <w:t xml:space="preserve"> authority </w:t>
      </w:r>
      <w:r w:rsidR="00840FF9">
        <w:rPr>
          <w:szCs w:val="24"/>
        </w:rPr>
        <w:t xml:space="preserve">under </w:t>
      </w:r>
      <w:r w:rsidR="000B6AB3" w:rsidRPr="00840FF9">
        <w:rPr>
          <w:szCs w:val="24"/>
        </w:rPr>
        <w:t>66 Pa</w:t>
      </w:r>
      <w:r w:rsidR="00840FF9">
        <w:rPr>
          <w:szCs w:val="24"/>
        </w:rPr>
        <w:t>.</w:t>
      </w:r>
      <w:r w:rsidR="000B6AB3" w:rsidRPr="00840FF9">
        <w:rPr>
          <w:szCs w:val="24"/>
        </w:rPr>
        <w:t xml:space="preserve">C.S. §331(d) </w:t>
      </w:r>
      <w:r w:rsidR="00840FF9">
        <w:rPr>
          <w:szCs w:val="24"/>
        </w:rPr>
        <w:t xml:space="preserve">of the Public Utility Code and under the Commission’s regulations at </w:t>
      </w:r>
      <w:r w:rsidR="000B6AB3" w:rsidRPr="00840FF9">
        <w:rPr>
          <w:szCs w:val="24"/>
        </w:rPr>
        <w:t>52 Pa.Code §5.103(d) to rule upon the instant motion.  Pursuant to the Commission’s regulations, presiding officers are empowered to control the receipt of evidence and to rule upon the admission of such evidence.</w:t>
      </w:r>
      <w:r w:rsidR="000B6AB3" w:rsidRPr="00840FF9">
        <w:rPr>
          <w:rStyle w:val="FootnoteReference"/>
          <w:szCs w:val="24"/>
        </w:rPr>
        <w:footnoteReference w:id="2"/>
      </w:r>
      <w:r w:rsidR="000B6AB3" w:rsidRPr="00840FF9">
        <w:rPr>
          <w:szCs w:val="24"/>
        </w:rPr>
        <w:t xml:space="preserve">  Presiding officers also have the authority to confine the evidence to the issues in the proceeding and to impose necessary limitations upon the admission of evidence.</w:t>
      </w:r>
      <w:r w:rsidR="000B6AB3" w:rsidRPr="00840FF9">
        <w:rPr>
          <w:rStyle w:val="FootnoteReference"/>
          <w:szCs w:val="24"/>
        </w:rPr>
        <w:footnoteReference w:id="3"/>
      </w:r>
      <w:r w:rsidR="000B6AB3" w:rsidRPr="00840FF9">
        <w:rPr>
          <w:szCs w:val="24"/>
        </w:rPr>
        <w:t xml:space="preserve">   As a matter of public policy, evidence that is irrelevant or immaterial should be excluded.</w:t>
      </w:r>
      <w:r w:rsidR="000B6AB3" w:rsidRPr="00840FF9">
        <w:rPr>
          <w:rStyle w:val="FootnoteReference"/>
          <w:szCs w:val="24"/>
        </w:rPr>
        <w:footnoteReference w:id="4"/>
      </w:r>
      <w:r w:rsidR="000B6AB3" w:rsidRPr="00840FF9">
        <w:rPr>
          <w:szCs w:val="24"/>
        </w:rPr>
        <w:t xml:space="preserve">  Furthermore, evidence will be excluded under certain circumstances, including </w:t>
      </w:r>
      <w:r w:rsidR="000B6AB3" w:rsidRPr="00840FF9">
        <w:rPr>
          <w:color w:val="252525"/>
          <w:szCs w:val="24"/>
        </w:rPr>
        <w:t xml:space="preserve">if its probative value is outweighed by the danger of unfair prejudice, confusion of the issues,or considerations of undue delay or waste of time.  </w:t>
      </w:r>
    </w:p>
    <w:p w14:paraId="22883505" w14:textId="5E66B56A" w:rsidR="008C21AF" w:rsidRDefault="008C21AF" w:rsidP="00840FF9">
      <w:pPr>
        <w:spacing w:line="360" w:lineRule="auto"/>
        <w:rPr>
          <w:color w:val="252525"/>
          <w:szCs w:val="24"/>
        </w:rPr>
      </w:pPr>
    </w:p>
    <w:p w14:paraId="091D58BB" w14:textId="1477F142" w:rsidR="008C21AF" w:rsidRPr="00C37763" w:rsidRDefault="00290E44" w:rsidP="00C37763">
      <w:pPr>
        <w:spacing w:line="360" w:lineRule="auto"/>
        <w:ind w:firstLine="1440"/>
        <w:rPr>
          <w:szCs w:val="24"/>
        </w:rPr>
      </w:pPr>
      <w:r w:rsidRPr="00C37763">
        <w:t>Under Section 1307(f) of the Public Utility Code, a u</w:t>
      </w:r>
      <w:r w:rsidR="00473B64" w:rsidRPr="00C37763">
        <w:t xml:space="preserve">tility may seek the recovery of natural gas costs.  </w:t>
      </w:r>
      <w:r w:rsidR="00473B64" w:rsidRPr="00C37763">
        <w:rPr>
          <w:szCs w:val="24"/>
        </w:rPr>
        <w:t xml:space="preserve">66 Pa.C.S. §1307(f).  Specifically, the Code indicates </w:t>
      </w:r>
      <w:r w:rsidR="00C37763" w:rsidRPr="00C37763">
        <w:rPr>
          <w:szCs w:val="24"/>
        </w:rPr>
        <w:t>the following:</w:t>
      </w:r>
    </w:p>
    <w:p w14:paraId="586F3263" w14:textId="3CECEFC2" w:rsidR="00C37763" w:rsidRDefault="00C37763" w:rsidP="00C84691">
      <w:pPr>
        <w:spacing w:line="360" w:lineRule="auto"/>
        <w:ind w:firstLine="373"/>
        <w:rPr>
          <w:szCs w:val="24"/>
        </w:rPr>
      </w:pPr>
    </w:p>
    <w:p w14:paraId="254A90FB" w14:textId="66B4628C" w:rsidR="008C21AF" w:rsidRDefault="008C21AF" w:rsidP="007E01FB">
      <w:pPr>
        <w:ind w:left="1440" w:right="1440"/>
      </w:pPr>
      <w:r>
        <w:t>Natural gas distribution companies, as defined in section 2202 (relating to definitions), with gross intrastate annual operating revenues in excess of $40,000,000 may file tariffs reflecting actual and projected increases or decreases in their natural gas costs, and the tariffs shall have an effective date six months from the date of filing. The commission shall promulgate regulations establishing the time and manner of such filing, but, except for adjustments pursuant to a tariff mechanism authorized in this title, no such natural gas distribution company shall voluntarily file more than one such tariff in a 12-month period</w:t>
      </w:r>
      <w:r w:rsidR="007E01FB">
        <w:t>. . .</w:t>
      </w:r>
    </w:p>
    <w:p w14:paraId="6D6EA503" w14:textId="48BD6830" w:rsidR="008C21AF" w:rsidRDefault="008C21AF" w:rsidP="008C21AF">
      <w:pPr>
        <w:spacing w:line="360" w:lineRule="auto"/>
      </w:pPr>
    </w:p>
    <w:p w14:paraId="34B4A193" w14:textId="34782F8A" w:rsidR="008C21AF" w:rsidRPr="00731947" w:rsidRDefault="00731947" w:rsidP="00731947">
      <w:pPr>
        <w:spacing w:line="360" w:lineRule="auto"/>
        <w:ind w:firstLine="1440"/>
        <w:rPr>
          <w:sz w:val="20"/>
        </w:rPr>
      </w:pPr>
      <w:r w:rsidRPr="00731947">
        <w:lastRenderedPageBreak/>
        <w:t>According to the definition</w:t>
      </w:r>
      <w:r>
        <w:t>,</w:t>
      </w:r>
      <w:r w:rsidRPr="00731947">
        <w:t xml:space="preserve"> under </w:t>
      </w:r>
      <w:r w:rsidRPr="00731947">
        <w:rPr>
          <w:szCs w:val="24"/>
        </w:rPr>
        <w:t>66 Pa.C.S. §1307(h)</w:t>
      </w:r>
      <w:r w:rsidR="008C21AF" w:rsidRPr="00731947">
        <w:t>, the terms "natural gas costs" and "gas costs" include the direct costs paid by a natural gas distribution company for the purchase and the delivery of natural gas to its system in order to supply its customers. Such costs may include costs paid under agreements to purchase natural gas from sellers; costs paid for transporting natural gas to its system; costs paid for natural gas storage service from others, including the costs of injecting and withdrawing natural gas from storage; all charges, fees, taxes and rates paid in connection with such purchases, pipeline gathering, storage and transportation; and costs paid for employing futures, options and other risk management tools. "Natural gas" and "gas" include natural gas, liquified natural gas, synthetic natural gas and any natural gas substitutes.</w:t>
      </w:r>
    </w:p>
    <w:p w14:paraId="2552DC45" w14:textId="77777777" w:rsidR="008C21AF" w:rsidRDefault="008C21AF" w:rsidP="008C21AF">
      <w:pPr>
        <w:spacing w:line="360" w:lineRule="auto"/>
        <w:rPr>
          <w:color w:val="252525"/>
          <w:szCs w:val="24"/>
        </w:rPr>
      </w:pPr>
    </w:p>
    <w:p w14:paraId="154C2821" w14:textId="2E5880AF" w:rsidR="002F74A0" w:rsidRDefault="00033362" w:rsidP="00840FF9">
      <w:pPr>
        <w:spacing w:line="360" w:lineRule="auto"/>
        <w:rPr>
          <w:color w:val="252525"/>
          <w:szCs w:val="24"/>
          <w:u w:val="single"/>
        </w:rPr>
      </w:pPr>
      <w:r w:rsidRPr="00033362">
        <w:rPr>
          <w:color w:val="252525"/>
          <w:szCs w:val="24"/>
          <w:u w:val="single"/>
        </w:rPr>
        <w:t>I&amp;E’s Position</w:t>
      </w:r>
    </w:p>
    <w:p w14:paraId="144D7F7C" w14:textId="7C207D94" w:rsidR="00033362" w:rsidRDefault="00033362" w:rsidP="00840FF9">
      <w:pPr>
        <w:spacing w:line="360" w:lineRule="auto"/>
        <w:rPr>
          <w:color w:val="252525"/>
          <w:szCs w:val="24"/>
          <w:u w:val="single"/>
        </w:rPr>
      </w:pPr>
    </w:p>
    <w:p w14:paraId="76AD6B41" w14:textId="6C40A816" w:rsidR="0011419C" w:rsidRDefault="00E344EE" w:rsidP="00595E31">
      <w:pPr>
        <w:spacing w:line="360" w:lineRule="auto"/>
        <w:ind w:firstLine="1440"/>
        <w:rPr>
          <w:color w:val="000000"/>
          <w:spacing w:val="2"/>
          <w:szCs w:val="24"/>
        </w:rPr>
      </w:pPr>
      <w:r>
        <w:rPr>
          <w:szCs w:val="24"/>
        </w:rPr>
        <w:t>I&amp;E argues that a</w:t>
      </w:r>
      <w:r w:rsidR="0011419C" w:rsidRPr="00595E31">
        <w:rPr>
          <w:szCs w:val="24"/>
        </w:rPr>
        <w:t xml:space="preserve">t the heart of a Section 1307(f) function is reconciliation of gas costs; however, PGW’s proposal to use this proceeding as a venue to make a change to include non-gas cost rate tariff provisions has no basis in gas costs.  </w:t>
      </w:r>
      <w:r w:rsidR="001C147F">
        <w:rPr>
          <w:szCs w:val="24"/>
        </w:rPr>
        <w:t xml:space="preserve">I&amp;E notes that </w:t>
      </w:r>
      <w:r w:rsidR="0011419C" w:rsidRPr="00595E31">
        <w:rPr>
          <w:szCs w:val="24"/>
        </w:rPr>
        <w:t>Rate LNG-N will allow PGW to charge rates so third parties can use PGW’s facilities to transport, liquefy, inject, store, vaporize, withdraw, and deliver their own natural gas for sale</w:t>
      </w:r>
      <w:r w:rsidR="0011419C" w:rsidRPr="00595E31">
        <w:rPr>
          <w:color w:val="000000"/>
          <w:spacing w:val="2"/>
          <w:szCs w:val="24"/>
        </w:rPr>
        <w:t>.</w:t>
      </w:r>
      <w:r w:rsidR="0011419C" w:rsidRPr="00595E31">
        <w:rPr>
          <w:rStyle w:val="FootnoteReference"/>
          <w:color w:val="000000"/>
          <w:spacing w:val="2"/>
          <w:szCs w:val="24"/>
        </w:rPr>
        <w:footnoteReference w:id="5"/>
      </w:r>
      <w:r w:rsidR="0011419C" w:rsidRPr="00595E31">
        <w:rPr>
          <w:color w:val="000000"/>
          <w:spacing w:val="2"/>
          <w:szCs w:val="24"/>
        </w:rPr>
        <w:t xml:space="preserve">  </w:t>
      </w:r>
      <w:r w:rsidR="001C147F">
        <w:rPr>
          <w:color w:val="000000"/>
          <w:spacing w:val="2"/>
          <w:szCs w:val="24"/>
        </w:rPr>
        <w:t>I&amp;E states that Rate</w:t>
      </w:r>
      <w:r w:rsidR="0011419C" w:rsidRPr="00595E31">
        <w:rPr>
          <w:color w:val="000000"/>
          <w:spacing w:val="2"/>
          <w:szCs w:val="24"/>
        </w:rPr>
        <w:t xml:space="preserve"> LNG</w:t>
      </w:r>
      <w:r w:rsidR="00C84691">
        <w:rPr>
          <w:color w:val="000000"/>
          <w:spacing w:val="2"/>
          <w:szCs w:val="24"/>
        </w:rPr>
        <w:t> </w:t>
      </w:r>
      <w:r w:rsidR="0011419C" w:rsidRPr="00595E31">
        <w:rPr>
          <w:color w:val="000000"/>
          <w:spacing w:val="2"/>
          <w:szCs w:val="24"/>
        </w:rPr>
        <w:t xml:space="preserve">N will allow third-parties to “rent” PGW’s facilities for their own use in manufacturing and selling LNG.  </w:t>
      </w:r>
      <w:r w:rsidR="001C147F">
        <w:rPr>
          <w:color w:val="000000"/>
          <w:spacing w:val="2"/>
          <w:szCs w:val="24"/>
        </w:rPr>
        <w:t xml:space="preserve">I&amp;E </w:t>
      </w:r>
      <w:r w:rsidR="00445821">
        <w:rPr>
          <w:color w:val="000000"/>
          <w:spacing w:val="2"/>
          <w:szCs w:val="24"/>
        </w:rPr>
        <w:t>asserts t</w:t>
      </w:r>
      <w:r w:rsidR="0011419C" w:rsidRPr="00595E31">
        <w:rPr>
          <w:color w:val="000000"/>
          <w:spacing w:val="2"/>
          <w:szCs w:val="24"/>
        </w:rPr>
        <w:t>he fact that Rate LNG-N includes these services places it beyond the scope of this Section 1307(f) case.</w:t>
      </w:r>
      <w:r w:rsidR="0011419C" w:rsidRPr="00595E31">
        <w:rPr>
          <w:rStyle w:val="FootnoteReference"/>
          <w:color w:val="000000"/>
          <w:spacing w:val="2"/>
          <w:szCs w:val="24"/>
        </w:rPr>
        <w:footnoteReference w:id="6"/>
      </w:r>
      <w:r w:rsidR="0016339B">
        <w:rPr>
          <w:color w:val="000000"/>
          <w:spacing w:val="2"/>
          <w:szCs w:val="24"/>
        </w:rPr>
        <w:t xml:space="preserve">  </w:t>
      </w:r>
      <w:r w:rsidR="0016339B">
        <w:rPr>
          <w:szCs w:val="24"/>
        </w:rPr>
        <w:t xml:space="preserve">Motion at 8-10.  </w:t>
      </w:r>
    </w:p>
    <w:p w14:paraId="1E23F864" w14:textId="77777777" w:rsidR="00445821" w:rsidRPr="00595E31" w:rsidRDefault="00445821" w:rsidP="00595E31">
      <w:pPr>
        <w:spacing w:line="360" w:lineRule="auto"/>
        <w:ind w:firstLine="1440"/>
        <w:rPr>
          <w:color w:val="000000"/>
          <w:spacing w:val="2"/>
          <w:szCs w:val="24"/>
        </w:rPr>
      </w:pPr>
    </w:p>
    <w:p w14:paraId="5E2909B9" w14:textId="6CB14808" w:rsidR="0011419C" w:rsidRDefault="00445821" w:rsidP="000956E7">
      <w:pPr>
        <w:spacing w:line="360" w:lineRule="auto"/>
        <w:ind w:firstLine="1440"/>
        <w:rPr>
          <w:szCs w:val="24"/>
        </w:rPr>
      </w:pPr>
      <w:r>
        <w:rPr>
          <w:color w:val="000000"/>
          <w:spacing w:val="2"/>
          <w:szCs w:val="24"/>
        </w:rPr>
        <w:t>I&amp;E also argues t</w:t>
      </w:r>
      <w:r w:rsidR="0011419C" w:rsidRPr="00595E31">
        <w:rPr>
          <w:color w:val="000000"/>
          <w:spacing w:val="2"/>
          <w:szCs w:val="24"/>
        </w:rPr>
        <w:t xml:space="preserve">he fact that Rate LNG-N is not a commodity-based rate is further exemplified by the fact that PGW has failed to comply with a key Commission regulation that limits the scope of proposals that may be raised in Section 1307(f) proceedings to those associated with changes in gas costs.  </w:t>
      </w:r>
      <w:r w:rsidR="0064386C">
        <w:rPr>
          <w:color w:val="000000"/>
          <w:spacing w:val="2"/>
          <w:szCs w:val="24"/>
        </w:rPr>
        <w:t xml:space="preserve">I&amp;E notes </w:t>
      </w:r>
      <w:r w:rsidR="0011419C" w:rsidRPr="00595E31">
        <w:rPr>
          <w:color w:val="000000"/>
          <w:spacing w:val="2"/>
          <w:szCs w:val="24"/>
        </w:rPr>
        <w:t xml:space="preserve">the Commission requires that any utility proposing rate structure or rate allocation changes in its Section 1307(f) proceeding is obligated to explain how the change relates to, or is justified by changes in gas costs proposed </w:t>
      </w:r>
      <w:r w:rsidR="0011419C" w:rsidRPr="00595E31">
        <w:rPr>
          <w:color w:val="000000"/>
          <w:spacing w:val="2"/>
          <w:szCs w:val="24"/>
        </w:rPr>
        <w:lastRenderedPageBreak/>
        <w:t>in the Section 1307(f) tariff filin</w:t>
      </w:r>
      <w:r w:rsidR="0011419C" w:rsidRPr="00595E31">
        <w:rPr>
          <w:szCs w:val="24"/>
        </w:rPr>
        <w:t>g.</w:t>
      </w:r>
      <w:r w:rsidR="0011419C" w:rsidRPr="00595E31">
        <w:rPr>
          <w:rStyle w:val="FootnoteReference"/>
          <w:szCs w:val="24"/>
        </w:rPr>
        <w:footnoteReference w:id="7"/>
      </w:r>
      <w:r w:rsidR="0011419C" w:rsidRPr="00595E31">
        <w:rPr>
          <w:szCs w:val="24"/>
        </w:rPr>
        <w:t xml:space="preserve">  In this case, instead of providing any explanation of how Rate LNG-N is related to or is justified by changes in gas costs, PGW simply alleges that “[s]ince part of Rate LNG-N related to commodity sales by PGW, it is reasonable and appropriate for PGW to propose Rate LNG-N as part of a GCR proceeding.”</w:t>
      </w:r>
      <w:r w:rsidR="0011419C" w:rsidRPr="00595E31">
        <w:rPr>
          <w:rStyle w:val="FootnoteReference"/>
          <w:szCs w:val="24"/>
        </w:rPr>
        <w:footnoteReference w:id="8"/>
      </w:r>
      <w:r w:rsidR="0011419C" w:rsidRPr="00595E31">
        <w:rPr>
          <w:szCs w:val="24"/>
        </w:rPr>
        <w:t xml:space="preserve">  To the contrary, PGW concedes that only </w:t>
      </w:r>
      <w:r w:rsidR="0011419C" w:rsidRPr="00595E31">
        <w:rPr>
          <w:i/>
          <w:szCs w:val="24"/>
        </w:rPr>
        <w:t>part</w:t>
      </w:r>
      <w:r w:rsidR="0011419C" w:rsidRPr="00595E31">
        <w:rPr>
          <w:szCs w:val="24"/>
        </w:rPr>
        <w:t xml:space="preserve"> of Rate LNG-N is related to commodity sales.  Importantly, PGW does not explain why the portions of Rate LNG-N </w:t>
      </w:r>
      <w:r w:rsidR="0011419C" w:rsidRPr="00595E31">
        <w:rPr>
          <w:i/>
          <w:szCs w:val="24"/>
        </w:rPr>
        <w:t>not</w:t>
      </w:r>
      <w:r w:rsidR="0011419C" w:rsidRPr="00595E31">
        <w:rPr>
          <w:szCs w:val="24"/>
        </w:rPr>
        <w:t xml:space="preserve"> related to commodity sales are appropriate for a 1307(f) proceeding.</w:t>
      </w:r>
      <w:r w:rsidR="0016339B">
        <w:rPr>
          <w:szCs w:val="24"/>
        </w:rPr>
        <w:t xml:space="preserve">  </w:t>
      </w:r>
      <w:r w:rsidR="0011419C" w:rsidRPr="00595E31">
        <w:rPr>
          <w:szCs w:val="24"/>
        </w:rPr>
        <w:t>I&amp;E submits that PGW’s claim is insufficient because it has failed to explain how Rate LNG-N is related to or justified</w:t>
      </w:r>
      <w:r w:rsidR="0011419C" w:rsidRPr="00595E31">
        <w:rPr>
          <w:i/>
          <w:szCs w:val="24"/>
        </w:rPr>
        <w:t xml:space="preserve"> </w:t>
      </w:r>
      <w:r w:rsidR="0011419C" w:rsidRPr="009A7866">
        <w:rPr>
          <w:szCs w:val="24"/>
        </w:rPr>
        <w:t>by changes in gas costs</w:t>
      </w:r>
      <w:r w:rsidR="0011419C" w:rsidRPr="00595E31">
        <w:rPr>
          <w:i/>
          <w:szCs w:val="24"/>
        </w:rPr>
        <w:t>.</w:t>
      </w:r>
      <w:r w:rsidR="0011419C" w:rsidRPr="00595E31">
        <w:rPr>
          <w:szCs w:val="24"/>
        </w:rPr>
        <w:t xml:space="preserve">  </w:t>
      </w:r>
      <w:r w:rsidR="001358F9">
        <w:rPr>
          <w:szCs w:val="24"/>
        </w:rPr>
        <w:t>I&amp;E maintains that</w:t>
      </w:r>
      <w:r w:rsidR="0011419C" w:rsidRPr="00595E31">
        <w:rPr>
          <w:szCs w:val="24"/>
        </w:rPr>
        <w:t xml:space="preserve"> Rate LNG-N is not within the scope of this proceeding, the LNG-N materials are irrelevant and they should be stricken from consideration in this case.</w:t>
      </w:r>
      <w:r w:rsidR="0016339B">
        <w:rPr>
          <w:szCs w:val="24"/>
        </w:rPr>
        <w:t xml:space="preserve">  </w:t>
      </w:r>
      <w:r w:rsidR="00B45D17">
        <w:rPr>
          <w:szCs w:val="24"/>
        </w:rPr>
        <w:t xml:space="preserve">Motion at 8-10.  </w:t>
      </w:r>
    </w:p>
    <w:p w14:paraId="1DAC008B" w14:textId="77777777" w:rsidR="00202B2B" w:rsidRPr="00595E31" w:rsidRDefault="00202B2B" w:rsidP="009A7866">
      <w:pPr>
        <w:spacing w:line="360" w:lineRule="auto"/>
        <w:ind w:firstLine="1440"/>
        <w:rPr>
          <w:szCs w:val="24"/>
        </w:rPr>
      </w:pPr>
    </w:p>
    <w:p w14:paraId="347DD965" w14:textId="0B87A522" w:rsidR="0011419C" w:rsidRDefault="0011419C" w:rsidP="00202B2B">
      <w:pPr>
        <w:spacing w:line="360" w:lineRule="auto"/>
        <w:rPr>
          <w:color w:val="000000"/>
          <w:szCs w:val="24"/>
        </w:rPr>
      </w:pPr>
      <w:r w:rsidRPr="00595E31">
        <w:rPr>
          <w:szCs w:val="24"/>
        </w:rPr>
        <w:tab/>
      </w:r>
      <w:r w:rsidR="00202B2B">
        <w:rPr>
          <w:szCs w:val="24"/>
        </w:rPr>
        <w:tab/>
        <w:t xml:space="preserve">I&amp;E also asserts that </w:t>
      </w:r>
      <w:r w:rsidRPr="00595E31">
        <w:rPr>
          <w:szCs w:val="24"/>
        </w:rPr>
        <w:t xml:space="preserve">PGW’s attempt to seek approval of Rate LNG-N in this 1307(f) case will unfairly prejudice PGW’s ratepayers because it will deprive them of the benefit of a full investigation of the rate proposal as is necessary to determine whether it is just and reasonable.  </w:t>
      </w:r>
      <w:r w:rsidRPr="00595E31">
        <w:rPr>
          <w:color w:val="000000"/>
          <w:szCs w:val="24"/>
        </w:rPr>
        <w:t xml:space="preserve">PGW proposed its existing Rate LNG, which it now proposes to extinguish and replace with Rate LNG-N, in its 2009 base rate case and not through a gas cost rate proceeding.  </w:t>
      </w:r>
      <w:r w:rsidR="00B45D17">
        <w:rPr>
          <w:szCs w:val="24"/>
        </w:rPr>
        <w:t>Motion at 10-13.</w:t>
      </w:r>
    </w:p>
    <w:p w14:paraId="0BAB685F" w14:textId="77777777" w:rsidR="00202B2B" w:rsidRPr="00595E31" w:rsidRDefault="00202B2B" w:rsidP="00202B2B">
      <w:pPr>
        <w:spacing w:line="360" w:lineRule="auto"/>
        <w:rPr>
          <w:color w:val="000000"/>
          <w:szCs w:val="24"/>
        </w:rPr>
      </w:pPr>
    </w:p>
    <w:p w14:paraId="5B09CBD6" w14:textId="7D8A91DB" w:rsidR="0011419C" w:rsidRDefault="00695A7F" w:rsidP="00595E31">
      <w:pPr>
        <w:spacing w:line="360" w:lineRule="auto"/>
        <w:ind w:firstLine="1440"/>
        <w:rPr>
          <w:color w:val="000000"/>
          <w:szCs w:val="24"/>
        </w:rPr>
      </w:pPr>
      <w:r>
        <w:rPr>
          <w:color w:val="000000"/>
          <w:szCs w:val="24"/>
        </w:rPr>
        <w:t>I&amp;E contends that the Public Utility</w:t>
      </w:r>
      <w:r w:rsidR="0011419C" w:rsidRPr="00595E31">
        <w:rPr>
          <w:bCs/>
          <w:color w:val="000000"/>
          <w:szCs w:val="24"/>
        </w:rPr>
        <w:t xml:space="preserve"> Code requires that e</w:t>
      </w:r>
      <w:r w:rsidR="0011419C" w:rsidRPr="00595E31">
        <w:rPr>
          <w:color w:val="000000"/>
          <w:szCs w:val="24"/>
        </w:rPr>
        <w:t>very rate made, demanded, or received by a public utility shall be just and reasonable, and in conformity with regulations or orders of the commission.</w:t>
      </w:r>
      <w:r w:rsidR="0011419C" w:rsidRPr="00595E31">
        <w:rPr>
          <w:rStyle w:val="FootnoteReference"/>
          <w:color w:val="000000"/>
          <w:szCs w:val="24"/>
        </w:rPr>
        <w:footnoteReference w:id="9"/>
      </w:r>
      <w:r w:rsidR="0011419C" w:rsidRPr="00595E31">
        <w:rPr>
          <w:color w:val="000000"/>
          <w:szCs w:val="24"/>
        </w:rPr>
        <w:t xml:space="preserve">  In this case, PGW’s proposed Rate LNG-N, which would vastly expand the services that PGW could begin to supply, is likely to produce some rate impact, implicating the need for further review in a base rate proceeding.  </w:t>
      </w:r>
      <w:r w:rsidR="00CE07A7">
        <w:rPr>
          <w:color w:val="000000"/>
          <w:szCs w:val="24"/>
        </w:rPr>
        <w:t>I&amp;E notes that</w:t>
      </w:r>
      <w:r w:rsidR="0011419C" w:rsidRPr="00595E31">
        <w:rPr>
          <w:color w:val="000000"/>
          <w:szCs w:val="24"/>
        </w:rPr>
        <w:t xml:space="preserve"> approval of Rate LNG-N would permit PGW to begin to provide a host of new services, including PGW’s liquefaction of gas supplied by other parties, the injection of customers’ liquified natural gas into PGW’s facilities, PGW’s delivery of other parties’ commodity from its facilities via pipeline, exchange services, or other delivery mechanism.</w:t>
      </w:r>
      <w:r w:rsidR="0011419C" w:rsidRPr="00595E31">
        <w:rPr>
          <w:rStyle w:val="FootnoteReference"/>
          <w:color w:val="000000"/>
          <w:szCs w:val="24"/>
        </w:rPr>
        <w:footnoteReference w:id="10"/>
      </w:r>
      <w:r w:rsidR="0011419C" w:rsidRPr="00595E31">
        <w:rPr>
          <w:color w:val="000000"/>
          <w:szCs w:val="24"/>
        </w:rPr>
        <w:t xml:space="preserve">   I&amp;E submits that the vast expansion of service that PGW seeks to provide through Rate LNG-N will require PGW to </w:t>
      </w:r>
      <w:r w:rsidR="0011419C" w:rsidRPr="00595E31">
        <w:rPr>
          <w:color w:val="000000"/>
          <w:szCs w:val="24"/>
        </w:rPr>
        <w:lastRenderedPageBreak/>
        <w:t xml:space="preserve">expend resources and devote its property to uses that extend beyond those required under existing Rate LNG and to produce revenue beyond that contemplated in Rate LNG.  </w:t>
      </w:r>
      <w:r w:rsidR="008B6AFF">
        <w:rPr>
          <w:color w:val="000000"/>
          <w:szCs w:val="24"/>
        </w:rPr>
        <w:t>I&amp;E asserts that i</w:t>
      </w:r>
      <w:r w:rsidR="0011419C" w:rsidRPr="00595E31">
        <w:rPr>
          <w:color w:val="000000"/>
          <w:szCs w:val="24"/>
        </w:rPr>
        <w:t>t is unclear how Rate LNG-N may impact PGW’s ratepayers that do not take service under Rate LNG-N, especially in the event that PGW’s increased use of resources and equipment to provide service under Rate LNG-N is being subsidized by those ratepayers.</w:t>
      </w:r>
      <w:r w:rsidR="00B45D17">
        <w:rPr>
          <w:color w:val="000000"/>
          <w:szCs w:val="24"/>
        </w:rPr>
        <w:t xml:space="preserve">  </w:t>
      </w:r>
      <w:r w:rsidR="00B45D17">
        <w:rPr>
          <w:szCs w:val="24"/>
        </w:rPr>
        <w:t>Motion at 10-13.</w:t>
      </w:r>
    </w:p>
    <w:p w14:paraId="27A46A72" w14:textId="77777777" w:rsidR="006030F2" w:rsidRPr="00595E31" w:rsidRDefault="006030F2" w:rsidP="00595E31">
      <w:pPr>
        <w:spacing w:line="360" w:lineRule="auto"/>
        <w:ind w:firstLine="1440"/>
        <w:rPr>
          <w:color w:val="000000"/>
          <w:szCs w:val="24"/>
        </w:rPr>
      </w:pPr>
    </w:p>
    <w:p w14:paraId="21DDA9E9" w14:textId="7AADADD2" w:rsidR="0011419C" w:rsidRDefault="009E7325" w:rsidP="00595E31">
      <w:pPr>
        <w:spacing w:line="360" w:lineRule="auto"/>
        <w:ind w:firstLine="1440"/>
        <w:rPr>
          <w:szCs w:val="24"/>
        </w:rPr>
      </w:pPr>
      <w:r>
        <w:rPr>
          <w:szCs w:val="24"/>
        </w:rPr>
        <w:t>I</w:t>
      </w:r>
      <w:r w:rsidR="00EE6DFE">
        <w:rPr>
          <w:szCs w:val="24"/>
        </w:rPr>
        <w:t>&amp;E</w:t>
      </w:r>
      <w:r>
        <w:rPr>
          <w:szCs w:val="24"/>
        </w:rPr>
        <w:t xml:space="preserve"> also argues that </w:t>
      </w:r>
      <w:r w:rsidR="0011419C" w:rsidRPr="00595E31">
        <w:rPr>
          <w:szCs w:val="24"/>
        </w:rPr>
        <w:t>a greater level of review than is available in this case is warranted here because service under Rate LNG-N would only be available to customers that have negotiated an agreement with PGW regarding LNG sales and services.</w:t>
      </w:r>
      <w:r w:rsidR="0011419C" w:rsidRPr="00595E31">
        <w:rPr>
          <w:rStyle w:val="FootnoteReference"/>
          <w:szCs w:val="24"/>
        </w:rPr>
        <w:footnoteReference w:id="11"/>
      </w:r>
      <w:r w:rsidR="0011419C" w:rsidRPr="00595E31">
        <w:rPr>
          <w:szCs w:val="24"/>
        </w:rPr>
        <w:t xml:space="preserve">  </w:t>
      </w:r>
      <w:r w:rsidR="00CF00C3">
        <w:rPr>
          <w:szCs w:val="24"/>
        </w:rPr>
        <w:t>I&amp;E maintains that</w:t>
      </w:r>
      <w:r w:rsidR="0011419C" w:rsidRPr="00595E31">
        <w:rPr>
          <w:szCs w:val="24"/>
        </w:rPr>
        <w:t xml:space="preserve"> PGW is asking that through this annual gas reconciliation case, the Commission permit it to implement Rate LNG-N without any information about the rates involved other than that the agreements that underlie them “must be advantageous to PGW, as determined by PGW in its sole discretion.”</w:t>
      </w:r>
      <w:r w:rsidR="0011419C" w:rsidRPr="00595E31">
        <w:rPr>
          <w:rStyle w:val="FootnoteReference"/>
          <w:szCs w:val="24"/>
        </w:rPr>
        <w:footnoteReference w:id="12"/>
      </w:r>
      <w:r w:rsidR="0011419C" w:rsidRPr="00595E31">
        <w:rPr>
          <w:szCs w:val="24"/>
        </w:rPr>
        <w:t xml:space="preserve">  </w:t>
      </w:r>
      <w:r w:rsidR="00FD5D13">
        <w:rPr>
          <w:szCs w:val="24"/>
        </w:rPr>
        <w:t>Motion at 10-13.</w:t>
      </w:r>
    </w:p>
    <w:p w14:paraId="690BAF31" w14:textId="77777777" w:rsidR="00EE6DFE" w:rsidRPr="00595E31" w:rsidRDefault="00EE6DFE" w:rsidP="00595E31">
      <w:pPr>
        <w:spacing w:line="360" w:lineRule="auto"/>
        <w:ind w:firstLine="1440"/>
        <w:rPr>
          <w:szCs w:val="24"/>
        </w:rPr>
      </w:pPr>
    </w:p>
    <w:p w14:paraId="4F66F305" w14:textId="37FB1081" w:rsidR="0011419C" w:rsidRDefault="00EE6DFE" w:rsidP="00595E31">
      <w:pPr>
        <w:spacing w:line="360" w:lineRule="auto"/>
        <w:ind w:firstLine="1440"/>
        <w:rPr>
          <w:szCs w:val="24"/>
        </w:rPr>
      </w:pPr>
      <w:r>
        <w:rPr>
          <w:szCs w:val="24"/>
        </w:rPr>
        <w:t xml:space="preserve">Lastly, I&amp;E </w:t>
      </w:r>
      <w:r w:rsidR="00DE5A08">
        <w:rPr>
          <w:szCs w:val="24"/>
        </w:rPr>
        <w:t>contends that</w:t>
      </w:r>
      <w:r w:rsidR="0011419C" w:rsidRPr="00595E31">
        <w:rPr>
          <w:szCs w:val="24"/>
        </w:rPr>
        <w:t xml:space="preserve"> PGW’s Rate LNG-N proposal is predicated upon the expansion of the types of liquified natural gas services that PGW hopes to provide in the future. </w:t>
      </w:r>
      <w:r w:rsidR="00D527CD">
        <w:rPr>
          <w:szCs w:val="24"/>
        </w:rPr>
        <w:t>I&amp;E argues that confusion</w:t>
      </w:r>
      <w:r w:rsidR="0011419C" w:rsidRPr="00595E31">
        <w:rPr>
          <w:szCs w:val="24"/>
        </w:rPr>
        <w:t xml:space="preserve"> would result from inclusion of Rate LNG-N in this case</w:t>
      </w:r>
      <w:r w:rsidR="00D527CD">
        <w:rPr>
          <w:szCs w:val="24"/>
        </w:rPr>
        <w:t>, which</w:t>
      </w:r>
      <w:r w:rsidR="0011419C" w:rsidRPr="00595E31">
        <w:rPr>
          <w:szCs w:val="24"/>
        </w:rPr>
        <w:t xml:space="preserve"> is exemplified by the fact that the Commission’s determination in this Section 1307(f) proceeding will be limited to whether PGW’s gas cost rates are just and reasonable.  Since Rate LNG-N is not related to and is not justified by gas costs, considering it within the scope of this case will confuse the issue of whether PGW’s gas cost rates are just and reasonable.</w:t>
      </w:r>
      <w:r w:rsidR="0011419C" w:rsidRPr="00595E31">
        <w:rPr>
          <w:szCs w:val="24"/>
        </w:rPr>
        <w:tab/>
      </w:r>
      <w:r w:rsidR="00E721C5">
        <w:rPr>
          <w:szCs w:val="24"/>
        </w:rPr>
        <w:t xml:space="preserve">  Motion at 13-15</w:t>
      </w:r>
    </w:p>
    <w:p w14:paraId="27098C18" w14:textId="77777777" w:rsidR="00D11D04" w:rsidRPr="00595E31" w:rsidRDefault="00D11D04" w:rsidP="00595E31">
      <w:pPr>
        <w:spacing w:line="360" w:lineRule="auto"/>
        <w:ind w:firstLine="1440"/>
        <w:rPr>
          <w:szCs w:val="24"/>
        </w:rPr>
      </w:pPr>
    </w:p>
    <w:p w14:paraId="3B85F2CA" w14:textId="7F514434" w:rsidR="0011419C" w:rsidRDefault="00D11D04" w:rsidP="00595E31">
      <w:pPr>
        <w:spacing w:line="360" w:lineRule="auto"/>
        <w:ind w:firstLine="1440"/>
        <w:rPr>
          <w:szCs w:val="24"/>
        </w:rPr>
      </w:pPr>
      <w:r>
        <w:rPr>
          <w:szCs w:val="24"/>
        </w:rPr>
        <w:t>I&amp;E asserts</w:t>
      </w:r>
      <w:r w:rsidR="0011419C" w:rsidRPr="00595E31">
        <w:rPr>
          <w:szCs w:val="24"/>
        </w:rPr>
        <w:t xml:space="preserve"> the standards that the</w:t>
      </w:r>
      <w:r w:rsidR="00EA22B5">
        <w:rPr>
          <w:szCs w:val="24"/>
        </w:rPr>
        <w:t xml:space="preserve"> Public Utility</w:t>
      </w:r>
      <w:r w:rsidR="0011419C" w:rsidRPr="00595E31">
        <w:rPr>
          <w:szCs w:val="24"/>
        </w:rPr>
        <w:t xml:space="preserve"> Code prescribes for approval of gas cost rates do not translate to rates that are being proposed for provision of services like Rate LNG-N.  Pursuant to the Code, the Commission may determine that a utility’s gas cost rates are just and reasonable “if the commission finds that the utility is pursuing a least cost fuel procurement policy, consistent with the utility's obligation to provide safe, adequate and reliable service to its customers.”</w:t>
      </w:r>
      <w:r w:rsidR="0011419C" w:rsidRPr="00595E31">
        <w:rPr>
          <w:rStyle w:val="FootnoteReference"/>
          <w:szCs w:val="24"/>
        </w:rPr>
        <w:footnoteReference w:id="13"/>
      </w:r>
      <w:r w:rsidR="0011419C" w:rsidRPr="00595E31">
        <w:rPr>
          <w:szCs w:val="24"/>
        </w:rPr>
        <w:t xml:space="preserve">  In order to make such a determination, the Commission must make </w:t>
      </w:r>
      <w:r w:rsidR="0011419C" w:rsidRPr="00595E31">
        <w:rPr>
          <w:szCs w:val="24"/>
        </w:rPr>
        <w:lastRenderedPageBreak/>
        <w:t>specific findings, including that the (1) the utility has fully and vigorously represented the interests of its ratepayers in proceedings before the Federal Energy Regulatory Commission; (2) the utility has taken all prudent steps necessary to negotiate favorable gas supply contracts and to relieve the utility from terms in existing contracts with its gas suppliers which are or may be adverse to the interests of the utility's ratepayers; (3) the utility has taken all prudent steps necessary to obtain lower cost gas supplies on both short-term and long-term bases both within and outside the Commonwealth, including the use of gas transportation arrangements with pipelines and other distribution companies; and (4) the utility has not withheld from the market or caused to be withheld from the market any gas supplies which should have been utilized as part of a least cost fuel procurement policy.</w:t>
      </w:r>
      <w:r w:rsidR="0011419C" w:rsidRPr="00595E31">
        <w:rPr>
          <w:rStyle w:val="FootnoteReference"/>
          <w:szCs w:val="24"/>
        </w:rPr>
        <w:footnoteReference w:id="14"/>
      </w:r>
      <w:r w:rsidR="0011419C" w:rsidRPr="00595E31">
        <w:rPr>
          <w:szCs w:val="24"/>
        </w:rPr>
        <w:t xml:space="preserve">  </w:t>
      </w:r>
      <w:r w:rsidR="00E721C5">
        <w:rPr>
          <w:szCs w:val="24"/>
        </w:rPr>
        <w:t>Motion at 13-15</w:t>
      </w:r>
    </w:p>
    <w:p w14:paraId="1200534F" w14:textId="77777777" w:rsidR="009357AC" w:rsidRPr="00595E31" w:rsidRDefault="009357AC" w:rsidP="00595E31">
      <w:pPr>
        <w:spacing w:line="360" w:lineRule="auto"/>
        <w:ind w:firstLine="1440"/>
        <w:rPr>
          <w:szCs w:val="24"/>
        </w:rPr>
      </w:pPr>
    </w:p>
    <w:p w14:paraId="0CB61253" w14:textId="1F4A1794" w:rsidR="0011419C" w:rsidRPr="00595E31" w:rsidRDefault="009357AC" w:rsidP="00B8521E">
      <w:pPr>
        <w:spacing w:line="360" w:lineRule="auto"/>
        <w:ind w:firstLine="1440"/>
        <w:rPr>
          <w:szCs w:val="24"/>
        </w:rPr>
      </w:pPr>
      <w:r>
        <w:rPr>
          <w:szCs w:val="24"/>
        </w:rPr>
        <w:t>I&amp;E maintains that</w:t>
      </w:r>
      <w:r w:rsidR="0011419C" w:rsidRPr="00595E31">
        <w:rPr>
          <w:szCs w:val="24"/>
        </w:rPr>
        <w:t xml:space="preserve"> the findings necessary to support the Commission’s approval of a utility’s gas cost rate, the common thread of all the necessary findings is that they all encompass a determination regarding gas costs.  </w:t>
      </w:r>
      <w:r w:rsidR="00236413">
        <w:rPr>
          <w:szCs w:val="24"/>
        </w:rPr>
        <w:t>I&amp;E argues that</w:t>
      </w:r>
      <w:r w:rsidR="0011419C" w:rsidRPr="00595E31">
        <w:rPr>
          <w:szCs w:val="24"/>
        </w:rPr>
        <w:t xml:space="preserve"> Rate LNG-N has a tenuous connection to gas costs, as only one of the eight services it encompasses is the provision of commodity.  The remaining seven services that PGW plans to provide through Rate LNG-N all involve services that PGW proposes to provide such as transportation, liquefaction, injection, storage, vaporization, withdrawal, and delivery of natural gas.</w:t>
      </w:r>
      <w:r w:rsidR="0011419C" w:rsidRPr="00595E31">
        <w:rPr>
          <w:rStyle w:val="FootnoteReference"/>
          <w:szCs w:val="24"/>
        </w:rPr>
        <w:footnoteReference w:id="15"/>
      </w:r>
      <w:r w:rsidR="0011419C" w:rsidRPr="00595E31">
        <w:rPr>
          <w:szCs w:val="24"/>
        </w:rPr>
        <w:t xml:space="preserve">  Under these facts, </w:t>
      </w:r>
      <w:r w:rsidR="004050B4">
        <w:rPr>
          <w:szCs w:val="24"/>
        </w:rPr>
        <w:t xml:space="preserve">I&amp;E contends that </w:t>
      </w:r>
      <w:r w:rsidR="0011419C" w:rsidRPr="00595E31">
        <w:rPr>
          <w:szCs w:val="24"/>
        </w:rPr>
        <w:t xml:space="preserve">permitting Rate LNG-N to be considered as part of this proceeding would confuse the issue of gas costs with issues regarding the costs associated with PGW’s performance of the services that largely compromise Rate LNG-N.  </w:t>
      </w:r>
      <w:r w:rsidR="00E721C5">
        <w:rPr>
          <w:szCs w:val="24"/>
        </w:rPr>
        <w:t>Motion at 13-15</w:t>
      </w:r>
    </w:p>
    <w:p w14:paraId="0738BEEC" w14:textId="270124B3" w:rsidR="00033362" w:rsidRDefault="00033362" w:rsidP="00840FF9">
      <w:pPr>
        <w:spacing w:line="360" w:lineRule="auto"/>
        <w:rPr>
          <w:color w:val="252525"/>
          <w:szCs w:val="24"/>
        </w:rPr>
      </w:pPr>
    </w:p>
    <w:p w14:paraId="71E9AD02" w14:textId="6E8499B5" w:rsidR="00033362" w:rsidRDefault="00033362" w:rsidP="00840FF9">
      <w:pPr>
        <w:spacing w:line="360" w:lineRule="auto"/>
        <w:rPr>
          <w:color w:val="252525"/>
          <w:szCs w:val="24"/>
          <w:u w:val="single"/>
        </w:rPr>
      </w:pPr>
      <w:r w:rsidRPr="00033362">
        <w:rPr>
          <w:color w:val="252525"/>
          <w:szCs w:val="24"/>
          <w:u w:val="single"/>
        </w:rPr>
        <w:t>OCA’s Position</w:t>
      </w:r>
    </w:p>
    <w:p w14:paraId="7009AC90" w14:textId="3E2DFB3C" w:rsidR="00033362" w:rsidRDefault="00033362" w:rsidP="00840FF9">
      <w:pPr>
        <w:spacing w:line="360" w:lineRule="auto"/>
        <w:rPr>
          <w:color w:val="252525"/>
          <w:szCs w:val="24"/>
          <w:u w:val="single"/>
        </w:rPr>
      </w:pPr>
    </w:p>
    <w:p w14:paraId="3DCFC740" w14:textId="28BBDE0C" w:rsidR="00033362" w:rsidRPr="00857949" w:rsidRDefault="00033362" w:rsidP="00521A7D">
      <w:pPr>
        <w:pStyle w:val="NoSpacing"/>
        <w:spacing w:line="360" w:lineRule="auto"/>
        <w:ind w:firstLine="1440"/>
        <w:rPr>
          <w:szCs w:val="24"/>
        </w:rPr>
      </w:pPr>
      <w:r>
        <w:rPr>
          <w:szCs w:val="24"/>
        </w:rPr>
        <w:t xml:space="preserve">OCA agrees with I&amp;E that PGW’s proposal to introduce a new rate, Rate LNG-N, to expand the services PGW is permitted to offer beyond costs related to selling natural gas to its ratepayers is outside of the scope of a Section 1307(f) proceeding and is therefore irrelevant to this case.  OCA </w:t>
      </w:r>
      <w:r w:rsidR="00857949">
        <w:rPr>
          <w:szCs w:val="24"/>
        </w:rPr>
        <w:t xml:space="preserve">also </w:t>
      </w:r>
      <w:r>
        <w:rPr>
          <w:szCs w:val="24"/>
        </w:rPr>
        <w:t xml:space="preserve">agrees with I&amp;E that PGW’s attempt to seek approval of Rate LNG-N in this 1307(f) proceeding unfairly prejudices PGW’s ratepayers since it would deprive ratepayers </w:t>
      </w:r>
      <w:r>
        <w:rPr>
          <w:szCs w:val="24"/>
        </w:rPr>
        <w:lastRenderedPageBreak/>
        <w:t xml:space="preserve">of the benefit of a full investigation of the rate proposal as is necessary to determine whether the rate is just and reasonable.  OCA </w:t>
      </w:r>
      <w:r w:rsidR="00857949">
        <w:rPr>
          <w:szCs w:val="24"/>
        </w:rPr>
        <w:t xml:space="preserve">also </w:t>
      </w:r>
      <w:r>
        <w:rPr>
          <w:szCs w:val="24"/>
        </w:rPr>
        <w:t xml:space="preserve">shares I&amp;E’s concerns regarding the subsidization of Rate LNG-N by ratepayers in order to implement the new rate. </w:t>
      </w:r>
      <w:r w:rsidR="00E721C5">
        <w:rPr>
          <w:szCs w:val="24"/>
        </w:rPr>
        <w:t xml:space="preserve"> </w:t>
      </w:r>
      <w:r>
        <w:rPr>
          <w:szCs w:val="24"/>
        </w:rPr>
        <w:t xml:space="preserve">Lastly, OCA agrees with I&amp;E that inclusion of Rate LNG-N in this proceeding confuses the issue of whether PGW’s gas cost rates are just and reasonable.  </w:t>
      </w:r>
      <w:r>
        <w:rPr>
          <w:i/>
          <w:szCs w:val="24"/>
        </w:rPr>
        <w:t>See</w:t>
      </w:r>
      <w:r>
        <w:rPr>
          <w:szCs w:val="24"/>
        </w:rPr>
        <w:t>, Motion at 13-15.  As noted by I&amp;E, the purpose of this 1307(f) proceeding is to recover natural gas costs, not to approve PGW’s proposal to implement a new rate that is intended to expand the services that PGW is permitted to provide.  Motion at 15.  Accordingly, including PGW’s LNG-N testimony confuses the issue of whether PGW’s purchased gas costs are reasonable. As such, the OCA agrees with I&amp;E that portions of PGW’s testimony be stricken.</w:t>
      </w:r>
      <w:r w:rsidR="00F354B0">
        <w:rPr>
          <w:szCs w:val="24"/>
        </w:rPr>
        <w:t xml:space="preserve">  OCA Answer to Motion to Strike at 2-4.  </w:t>
      </w:r>
    </w:p>
    <w:p w14:paraId="2DC268FE" w14:textId="16429FD5" w:rsidR="00033362" w:rsidRDefault="00033362" w:rsidP="00840FF9">
      <w:pPr>
        <w:spacing w:line="360" w:lineRule="auto"/>
        <w:rPr>
          <w:color w:val="252525"/>
          <w:szCs w:val="24"/>
        </w:rPr>
      </w:pPr>
    </w:p>
    <w:p w14:paraId="14FA73C4" w14:textId="040483BA" w:rsidR="00033362" w:rsidRDefault="00033362" w:rsidP="00840FF9">
      <w:pPr>
        <w:spacing w:line="360" w:lineRule="auto"/>
        <w:rPr>
          <w:color w:val="252525"/>
          <w:szCs w:val="24"/>
          <w:u w:val="single"/>
        </w:rPr>
      </w:pPr>
      <w:r w:rsidRPr="0011419C">
        <w:rPr>
          <w:color w:val="252525"/>
          <w:szCs w:val="24"/>
          <w:u w:val="single"/>
        </w:rPr>
        <w:t>PGW’s Position</w:t>
      </w:r>
    </w:p>
    <w:p w14:paraId="3C3E2148" w14:textId="368F8F2A" w:rsidR="0011419C" w:rsidRDefault="0011419C" w:rsidP="00840FF9">
      <w:pPr>
        <w:spacing w:line="360" w:lineRule="auto"/>
        <w:rPr>
          <w:color w:val="252525"/>
          <w:szCs w:val="24"/>
          <w:u w:val="single"/>
        </w:rPr>
      </w:pPr>
    </w:p>
    <w:p w14:paraId="5220775C" w14:textId="5D4E1C6B" w:rsidR="003760E3" w:rsidRPr="00182A9D" w:rsidRDefault="00752FB1" w:rsidP="00696406">
      <w:pPr>
        <w:pStyle w:val="IndentedParagraph"/>
        <w:spacing w:before="0" w:line="360" w:lineRule="auto"/>
        <w:ind w:firstLine="1440"/>
      </w:pPr>
      <w:r>
        <w:t>PGW argues that</w:t>
      </w:r>
      <w:r w:rsidR="003760E3" w:rsidRPr="00182A9D">
        <w:t xml:space="preserve"> Section 1307(f) proceedings are much broader</w:t>
      </w:r>
      <w:r w:rsidR="00306F1F">
        <w:t xml:space="preserve"> since </w:t>
      </w:r>
      <w:r w:rsidR="003760E3" w:rsidRPr="00182A9D">
        <w:t xml:space="preserve">they are also designed to assure that a gas utility’s gas supply plans are reasonable, that a utility’s plans demonstrate it can reliably meet its customers’ supply requirements, and that it is following a least cost fuel procurement strategy.  </w:t>
      </w:r>
      <w:r w:rsidR="0002235F">
        <w:t>The Company contends that its</w:t>
      </w:r>
      <w:r w:rsidR="003760E3" w:rsidRPr="00182A9D">
        <w:t xml:space="preserve"> proposal for Rate LNG-N is relevant and germane to each of these additional Section 1307(f) requirements because the transactions that this tariff will facilitate relate to reliability and supply plans.  PGW</w:t>
      </w:r>
      <w:r w:rsidR="0084055C">
        <w:t xml:space="preserve"> notes that its</w:t>
      </w:r>
      <w:r w:rsidR="003760E3" w:rsidRPr="00182A9D">
        <w:t xml:space="preserve"> use of LNG is regularly reviewed in Section 1307(f) proceedings.  </w:t>
      </w:r>
      <w:r w:rsidR="005A40FD">
        <w:t>PGW asserts that these</w:t>
      </w:r>
      <w:r w:rsidR="003760E3" w:rsidRPr="00182A9D">
        <w:t xml:space="preserve"> transactions are projected to produce millions of dollars of additional revenue for PGW, </w:t>
      </w:r>
      <w:r w:rsidR="003760E3" w:rsidRPr="005A40FD">
        <w:t>all of which</w:t>
      </w:r>
      <w:r w:rsidR="003760E3" w:rsidRPr="00182A9D">
        <w:t xml:space="preserve"> will flow back to ratepayers, whether through its GCR or otherwise, resulting in rates that will be lower than they would have been without these transactions.  </w:t>
      </w:r>
      <w:r w:rsidR="006A1344">
        <w:t xml:space="preserve">PGW argues that </w:t>
      </w:r>
      <w:r w:rsidR="003760E3" w:rsidRPr="00182A9D">
        <w:t>if I&amp;E’s Motion were granted,  the Commission would be precluded in this proceeding from hearing all relevant evidence regarding whether PGW is pursuing a least cost fuel procurement strategy (given the proposed existence of Rate LNG-N) and whether its gas supply is safe, adequate, and reliable (and, in this case, enhanced by the proposed existence of Rate LNG-N)</w:t>
      </w:r>
      <w:r w:rsidR="006A1344">
        <w:t>.</w:t>
      </w:r>
      <w:r w:rsidR="00C00FBC">
        <w:t xml:space="preserve">  PGW Response to Motion to Strike at </w:t>
      </w:r>
      <w:r w:rsidR="005E63A5">
        <w:t>5-6.</w:t>
      </w:r>
      <w:r w:rsidR="006A1344">
        <w:t xml:space="preserve"> </w:t>
      </w:r>
      <w:r w:rsidR="003760E3" w:rsidRPr="00182A9D">
        <w:t xml:space="preserve"> </w:t>
      </w:r>
    </w:p>
    <w:p w14:paraId="25D5706D" w14:textId="77777777" w:rsidR="003760E3" w:rsidRPr="00182A9D" w:rsidRDefault="003760E3" w:rsidP="00D846E6">
      <w:pPr>
        <w:pStyle w:val="BodyText"/>
        <w:spacing w:after="0" w:line="360" w:lineRule="auto"/>
      </w:pPr>
    </w:p>
    <w:p w14:paraId="1E64867D" w14:textId="14EE1D8D" w:rsidR="003760E3" w:rsidRDefault="006A1344" w:rsidP="005E63A5">
      <w:pPr>
        <w:pStyle w:val="IndentedParagraph"/>
        <w:spacing w:before="0" w:line="360" w:lineRule="auto"/>
        <w:ind w:firstLine="1440"/>
      </w:pPr>
      <w:r>
        <w:t xml:space="preserve">PGW asserts that </w:t>
      </w:r>
      <w:r w:rsidR="003760E3" w:rsidRPr="00182A9D">
        <w:t xml:space="preserve">Section 1307(f) proceedings include review and approval of a plan that ensures deliverability of the natural gas supplies </w:t>
      </w:r>
      <w:r w:rsidR="003760E3" w:rsidRPr="006A1344">
        <w:t xml:space="preserve">necessary to meet projected period </w:t>
      </w:r>
      <w:r w:rsidR="003760E3" w:rsidRPr="006A1344">
        <w:lastRenderedPageBreak/>
        <w:t>peak day and seasonal requirements</w:t>
      </w:r>
      <w:r w:rsidR="003760E3" w:rsidRPr="00182A9D">
        <w:t>.</w:t>
      </w:r>
      <w:r w:rsidR="003760E3" w:rsidRPr="00182A9D">
        <w:rPr>
          <w:rStyle w:val="FootnoteReference"/>
        </w:rPr>
        <w:footnoteReference w:id="16"/>
      </w:r>
      <w:r w:rsidR="003760E3" w:rsidRPr="00182A9D">
        <w:rPr>
          <w:b/>
        </w:rPr>
        <w:t xml:space="preserve">  </w:t>
      </w:r>
      <w:r w:rsidR="005E63A5">
        <w:t xml:space="preserve">It notes that </w:t>
      </w:r>
      <w:r w:rsidR="00447E27">
        <w:t xml:space="preserve">the Company </w:t>
      </w:r>
      <w:r w:rsidR="003760E3" w:rsidRPr="00182A9D">
        <w:t xml:space="preserve">relies on interstate pipelines for all natural gas supply, storage and transportation services, except for PGW's own on-system LNG peak shaving facilities.  In this regard, PGW owns and operates LNG facilities that are used both to meet intraday, daily, and seasonal supply needs, as well as to meet peak day requirements.  PGW’s expanded LNG facilities will further reinforce its system reliability and add additional redundancy.  The costs of the gas that PGW liquefies and maintains in storage tanks to meet peak needs, as well as some of the costs to operate the facilities (electricity) are accounted for in PGW’s </w:t>
      </w:r>
      <w:r w:rsidR="00447E27">
        <w:t>GCR</w:t>
      </w:r>
      <w:r w:rsidR="003760E3" w:rsidRPr="00182A9D">
        <w:t>.</w:t>
      </w:r>
      <w:r w:rsidR="009276D3">
        <w:t xml:space="preserve">  PGW Response to Motion to Strike at 6. </w:t>
      </w:r>
      <w:r w:rsidR="003F51CB">
        <w:t xml:space="preserve"> </w:t>
      </w:r>
    </w:p>
    <w:p w14:paraId="53D46521" w14:textId="77777777" w:rsidR="009276D3" w:rsidRPr="00182A9D" w:rsidRDefault="009276D3" w:rsidP="005E63A5">
      <w:pPr>
        <w:pStyle w:val="IndentedParagraph"/>
        <w:spacing w:before="0" w:line="360" w:lineRule="auto"/>
        <w:ind w:firstLine="1440"/>
      </w:pPr>
    </w:p>
    <w:p w14:paraId="11882295" w14:textId="76935DAF" w:rsidR="003760E3" w:rsidRDefault="000F4AB3" w:rsidP="009276D3">
      <w:pPr>
        <w:pStyle w:val="IndentedParagraph"/>
        <w:spacing w:before="0" w:line="360" w:lineRule="auto"/>
        <w:ind w:firstLine="1440"/>
      </w:pPr>
      <w:r>
        <w:t xml:space="preserve">PGW argues that it </w:t>
      </w:r>
      <w:r w:rsidR="003760E3" w:rsidRPr="00182A9D">
        <w:t xml:space="preserve">filed Rate LNG-N as a part of this proceeding because it is relevant to the discussion of PGW’s reliability plans.  The transactions being contemplated under Rate LNG-N will only be pursued if they will have no negative effect on PGW’s ability to deliver to firm retail customers.  Consistent with Sections 1307(f) and 1317, as PGW expands the LNG services being offered, PGW will need to ensure that system reliability is maintained.  </w:t>
      </w:r>
      <w:bookmarkStart w:id="1" w:name="_Ref3813109"/>
      <w:r w:rsidR="00E92C03">
        <w:t xml:space="preserve">PGW noted that in a </w:t>
      </w:r>
      <w:r w:rsidR="003760E3" w:rsidRPr="00182A9D">
        <w:t>Recommended Decision</w:t>
      </w:r>
      <w:r w:rsidR="00E92C03">
        <w:t xml:space="preserve"> from </w:t>
      </w:r>
      <w:r w:rsidR="0071607F">
        <w:t>2008 related to the Company’s base rate case</w:t>
      </w:r>
      <w:r w:rsidR="003760E3" w:rsidRPr="00182A9D">
        <w:t>, which was affirmed by Order of the Commission, PGW was directed to include LNG issues in its 1307(f) proceedings</w:t>
      </w:r>
      <w:r w:rsidR="0071607F">
        <w:t>.</w:t>
      </w:r>
      <w:r w:rsidR="003760E3" w:rsidRPr="00182A9D">
        <w:rPr>
          <w:rStyle w:val="FootnoteReference"/>
        </w:rPr>
        <w:footnoteReference w:id="17"/>
      </w:r>
      <w:bookmarkEnd w:id="1"/>
      <w:r w:rsidR="003760E3" w:rsidRPr="00182A9D">
        <w:t xml:space="preserve">  </w:t>
      </w:r>
      <w:r w:rsidR="0071607F">
        <w:t xml:space="preserve">PGW Response to Motion to Strike at </w:t>
      </w:r>
      <w:r w:rsidR="001A014F">
        <w:t>7</w:t>
      </w:r>
      <w:r w:rsidR="0071607F">
        <w:t xml:space="preserve">.  </w:t>
      </w:r>
    </w:p>
    <w:p w14:paraId="0E7E0268" w14:textId="77777777" w:rsidR="001A014F" w:rsidRPr="00182A9D" w:rsidRDefault="001A014F" w:rsidP="009276D3">
      <w:pPr>
        <w:pStyle w:val="IndentedParagraph"/>
        <w:spacing w:before="0" w:line="360" w:lineRule="auto"/>
        <w:ind w:firstLine="1440"/>
      </w:pPr>
    </w:p>
    <w:p w14:paraId="4E727013" w14:textId="23F3881E" w:rsidR="003760E3" w:rsidRPr="00182A9D" w:rsidRDefault="001A014F" w:rsidP="003706E1">
      <w:pPr>
        <w:pStyle w:val="IndentedParagraph"/>
        <w:spacing w:before="0" w:line="360" w:lineRule="auto"/>
        <w:ind w:firstLine="1440"/>
        <w:rPr>
          <w:szCs w:val="24"/>
        </w:rPr>
      </w:pPr>
      <w:r>
        <w:rPr>
          <w:szCs w:val="24"/>
        </w:rPr>
        <w:lastRenderedPageBreak/>
        <w:t xml:space="preserve">PGW also asserts that </w:t>
      </w:r>
      <w:r w:rsidR="003760E3" w:rsidRPr="00182A9D">
        <w:rPr>
          <w:szCs w:val="24"/>
        </w:rPr>
        <w:t>Section 1307(f) proceedings also include review and approval of a plan for acquisition or receipt of natural gas supplies.</w:t>
      </w:r>
      <w:r w:rsidR="003760E3" w:rsidRPr="00182A9D">
        <w:rPr>
          <w:rStyle w:val="FootnoteReference"/>
          <w:szCs w:val="24"/>
        </w:rPr>
        <w:footnoteReference w:id="18"/>
      </w:r>
      <w:r w:rsidR="003760E3" w:rsidRPr="00182A9D">
        <w:rPr>
          <w:szCs w:val="24"/>
        </w:rPr>
        <w:t xml:space="preserve">  PGW filed Rate LNG-N as a part of this proceeding because it is also relevant to the discussion of gas supply.  </w:t>
      </w:r>
      <w:r w:rsidR="00574B33">
        <w:rPr>
          <w:szCs w:val="24"/>
        </w:rPr>
        <w:t>PGW maintains that c</w:t>
      </w:r>
      <w:r w:rsidR="003760E3" w:rsidRPr="00182A9D">
        <w:rPr>
          <w:szCs w:val="24"/>
        </w:rPr>
        <w:t>onsistent with Sections 1307(f), 1317, and 1318, as PGW expands LNG services, it will need to ensure system supply is maintained.  In the past, Section 1307(f) proceedings have included an evaluation of the reasonableness and prudence of the Company's gas supply mix, including purchases, the use of LNG, and price volatility risk management programs and policies.</w:t>
      </w:r>
      <w:r w:rsidR="003760E3" w:rsidRPr="00182A9D">
        <w:rPr>
          <w:rStyle w:val="FootnoteReference"/>
          <w:szCs w:val="24"/>
        </w:rPr>
        <w:footnoteReference w:id="19"/>
      </w:r>
      <w:r w:rsidR="003760E3" w:rsidRPr="00182A9D">
        <w:rPr>
          <w:szCs w:val="24"/>
        </w:rPr>
        <w:t xml:space="preserve">  </w:t>
      </w:r>
      <w:r w:rsidR="003341C3">
        <w:t xml:space="preserve">PGW Response to Motion to Strike at </w:t>
      </w:r>
      <w:r w:rsidR="0007502A">
        <w:t>8</w:t>
      </w:r>
      <w:r w:rsidR="003341C3">
        <w:t xml:space="preserve">.  </w:t>
      </w:r>
    </w:p>
    <w:p w14:paraId="7514A926" w14:textId="77777777" w:rsidR="00574B33" w:rsidRDefault="00574B33" w:rsidP="00752FB1">
      <w:pPr>
        <w:pStyle w:val="IndentedParagraph"/>
        <w:spacing w:before="0" w:line="360" w:lineRule="auto"/>
        <w:rPr>
          <w:szCs w:val="24"/>
        </w:rPr>
      </w:pPr>
    </w:p>
    <w:p w14:paraId="0CD37A91" w14:textId="53B549D4" w:rsidR="003760E3" w:rsidRPr="00182A9D" w:rsidRDefault="0007502A" w:rsidP="0007502A">
      <w:pPr>
        <w:pStyle w:val="IndentedParagraph"/>
        <w:spacing w:before="0" w:line="360" w:lineRule="auto"/>
        <w:ind w:firstLine="1440"/>
        <w:rPr>
          <w:szCs w:val="24"/>
        </w:rPr>
      </w:pPr>
      <w:r>
        <w:rPr>
          <w:szCs w:val="24"/>
        </w:rPr>
        <w:t xml:space="preserve">PGW also contends that </w:t>
      </w:r>
      <w:r w:rsidR="003760E3" w:rsidRPr="00182A9D">
        <w:rPr>
          <w:szCs w:val="24"/>
        </w:rPr>
        <w:t>Rate LNG-N is also related to gas costs</w:t>
      </w:r>
      <w:r>
        <w:rPr>
          <w:szCs w:val="24"/>
        </w:rPr>
        <w:t>, as t</w:t>
      </w:r>
      <w:r w:rsidR="003760E3" w:rsidRPr="00182A9D">
        <w:rPr>
          <w:szCs w:val="24"/>
        </w:rPr>
        <w:t xml:space="preserve">he entirety of the existing Rate LNG, and part of proposed Rate LNG-N, encompasses the provision of commodity by PGW.  To the extent that PGW will be selling the commodity to a third party, Rate LNG-N works to ensure (as does the existing Rate LNG) that the appropriate costs attributable to these transactions do not improperly impact purchased gas costs under Section 1307(f).  </w:t>
      </w:r>
      <w:r w:rsidR="00BE5969">
        <w:t xml:space="preserve">PGW Response to Motion to Strike at 8-9.  </w:t>
      </w:r>
    </w:p>
    <w:p w14:paraId="62CA95D9" w14:textId="0EFAF7A0" w:rsidR="003706E1" w:rsidRPr="00182A9D" w:rsidRDefault="003706E1" w:rsidP="003706E1">
      <w:pPr>
        <w:pStyle w:val="IndentedParagraph"/>
        <w:spacing w:before="0" w:line="360" w:lineRule="auto"/>
        <w:ind w:firstLine="0"/>
        <w:rPr>
          <w:szCs w:val="24"/>
        </w:rPr>
      </w:pPr>
    </w:p>
    <w:p w14:paraId="041E4A38" w14:textId="28369608" w:rsidR="003760E3" w:rsidRPr="00182A9D" w:rsidRDefault="003706E1" w:rsidP="00BE5969">
      <w:pPr>
        <w:pStyle w:val="IndentedParagraph"/>
        <w:spacing w:before="0" w:line="360" w:lineRule="auto"/>
        <w:ind w:firstLine="1440"/>
        <w:rPr>
          <w:szCs w:val="24"/>
        </w:rPr>
      </w:pPr>
      <w:r>
        <w:rPr>
          <w:szCs w:val="24"/>
        </w:rPr>
        <w:t>PGW contends that there is no</w:t>
      </w:r>
      <w:r w:rsidR="003760E3" w:rsidRPr="00182A9D">
        <w:rPr>
          <w:szCs w:val="24"/>
        </w:rPr>
        <w:t xml:space="preserve"> unfair prejudice</w:t>
      </w:r>
      <w:r>
        <w:rPr>
          <w:szCs w:val="24"/>
        </w:rPr>
        <w:t>, if the proposal related to Rate LNG-N is considered in this case.</w:t>
      </w:r>
      <w:r w:rsidR="003760E3" w:rsidRPr="00182A9D">
        <w:rPr>
          <w:szCs w:val="24"/>
        </w:rPr>
        <w:t xml:space="preserve">  </w:t>
      </w:r>
      <w:r>
        <w:rPr>
          <w:szCs w:val="24"/>
        </w:rPr>
        <w:t>PGW asserts that t</w:t>
      </w:r>
      <w:r w:rsidR="003760E3" w:rsidRPr="00182A9D">
        <w:rPr>
          <w:szCs w:val="24"/>
        </w:rPr>
        <w:t>he evidentiary standard is determined upon whether the probative value of the evidence is outweighed by the danger of unfair prejudice.</w:t>
      </w:r>
      <w:r w:rsidR="003760E3" w:rsidRPr="00182A9D">
        <w:rPr>
          <w:rStyle w:val="FootnoteReference"/>
          <w:szCs w:val="24"/>
        </w:rPr>
        <w:footnoteReference w:id="20"/>
      </w:r>
      <w:r w:rsidR="003760E3" w:rsidRPr="00182A9D">
        <w:rPr>
          <w:szCs w:val="24"/>
        </w:rPr>
        <w:t xml:space="preserve">  </w:t>
      </w:r>
      <w:r w:rsidR="00BE5969">
        <w:rPr>
          <w:szCs w:val="24"/>
        </w:rPr>
        <w:t xml:space="preserve">PGW maintains that </w:t>
      </w:r>
      <w:r w:rsidR="003760E3" w:rsidRPr="00182A9D">
        <w:rPr>
          <w:szCs w:val="24"/>
        </w:rPr>
        <w:t xml:space="preserve">I&amp;E’s Motion presents no rationale or argument showing that consideration of this issue will interfere with the integrity of fact-finding and decision making.  </w:t>
      </w:r>
      <w:r w:rsidR="006C43D9">
        <w:rPr>
          <w:szCs w:val="24"/>
        </w:rPr>
        <w:t>PGW maintains that u</w:t>
      </w:r>
      <w:r w:rsidR="003760E3" w:rsidRPr="00182A9D">
        <w:rPr>
          <w:szCs w:val="24"/>
        </w:rPr>
        <w:t xml:space="preserve">nder Rate LNG-N, LNG services will be available to customers that have negotiated an agreement with PGW.  That tariff provision indicates that the negotiated rate(s) shall be </w:t>
      </w:r>
      <w:r w:rsidR="003760E3" w:rsidRPr="006C43D9">
        <w:rPr>
          <w:szCs w:val="24"/>
        </w:rPr>
        <w:t>in excess of PGW’s incremental costs</w:t>
      </w:r>
      <w:r w:rsidR="003760E3" w:rsidRPr="00182A9D">
        <w:rPr>
          <w:szCs w:val="24"/>
        </w:rPr>
        <w:t xml:space="preserve"> to provide the negotiated services to the </w:t>
      </w:r>
      <w:r w:rsidR="006C43D9">
        <w:rPr>
          <w:szCs w:val="24"/>
        </w:rPr>
        <w:t>c</w:t>
      </w:r>
      <w:r w:rsidR="003760E3" w:rsidRPr="00182A9D">
        <w:rPr>
          <w:szCs w:val="24"/>
        </w:rPr>
        <w:t>ustomer.  It was explained that the charge for the commodity itself</w:t>
      </w:r>
      <w:r w:rsidR="00586C58">
        <w:rPr>
          <w:szCs w:val="24"/>
        </w:rPr>
        <w:t xml:space="preserve"> </w:t>
      </w:r>
      <w:r w:rsidR="003760E3" w:rsidRPr="00182A9D">
        <w:rPr>
          <w:szCs w:val="24"/>
        </w:rPr>
        <w:t xml:space="preserve">will not be less than the current GCR or </w:t>
      </w:r>
      <w:r w:rsidR="003760E3" w:rsidRPr="00182A9D">
        <w:rPr>
          <w:szCs w:val="24"/>
        </w:rPr>
        <w:lastRenderedPageBreak/>
        <w:t>the current WACOG.</w:t>
      </w:r>
      <w:r w:rsidR="003760E3" w:rsidRPr="00182A9D">
        <w:rPr>
          <w:rStyle w:val="FootnoteReference"/>
          <w:szCs w:val="24"/>
        </w:rPr>
        <w:footnoteReference w:id="21"/>
      </w:r>
      <w:r w:rsidR="003760E3" w:rsidRPr="00182A9D">
        <w:rPr>
          <w:szCs w:val="24"/>
        </w:rPr>
        <w:t xml:space="preserve">  </w:t>
      </w:r>
      <w:r w:rsidR="00586C58">
        <w:rPr>
          <w:szCs w:val="24"/>
        </w:rPr>
        <w:t>PGW notes that t</w:t>
      </w:r>
      <w:r w:rsidR="003760E3" w:rsidRPr="00182A9D">
        <w:rPr>
          <w:szCs w:val="24"/>
        </w:rPr>
        <w:t xml:space="preserve">his is the same treatment given to sales of the commodity under the current Rate LNG.  </w:t>
      </w:r>
      <w:r w:rsidR="004D1749">
        <w:rPr>
          <w:szCs w:val="24"/>
        </w:rPr>
        <w:t>PGW asserts that w</w:t>
      </w:r>
      <w:r w:rsidR="003760E3" w:rsidRPr="00182A9D">
        <w:rPr>
          <w:szCs w:val="24"/>
        </w:rPr>
        <w:t>hether contracts entered into pursuant to Rate LNG-N satisfy this standard and are otherwise just and reasonable will be reviewed in future 1307(f) proceedings.</w:t>
      </w:r>
      <w:r w:rsidR="004D1749">
        <w:rPr>
          <w:szCs w:val="24"/>
        </w:rPr>
        <w:t xml:space="preserve">  </w:t>
      </w:r>
      <w:r w:rsidR="004D1749">
        <w:t xml:space="preserve">PGW Response to Motion to Strike at </w:t>
      </w:r>
      <w:r w:rsidR="00972A3E">
        <w:t>9-10</w:t>
      </w:r>
      <w:r w:rsidR="004D1749">
        <w:t xml:space="preserve">.  </w:t>
      </w:r>
    </w:p>
    <w:p w14:paraId="31AA9370" w14:textId="77777777" w:rsidR="00F165C8" w:rsidRDefault="00F165C8" w:rsidP="00752FB1">
      <w:pPr>
        <w:pStyle w:val="IndentedParagraph"/>
        <w:spacing w:before="0" w:line="360" w:lineRule="auto"/>
        <w:rPr>
          <w:szCs w:val="24"/>
        </w:rPr>
      </w:pPr>
    </w:p>
    <w:p w14:paraId="612E2485" w14:textId="2116C99F" w:rsidR="003760E3" w:rsidRPr="00182A9D" w:rsidRDefault="004B15E2" w:rsidP="00F165C8">
      <w:pPr>
        <w:pStyle w:val="IndentedParagraph"/>
        <w:spacing w:before="0" w:line="360" w:lineRule="auto"/>
        <w:ind w:firstLine="1440"/>
        <w:rPr>
          <w:szCs w:val="24"/>
        </w:rPr>
      </w:pPr>
      <w:r>
        <w:rPr>
          <w:szCs w:val="24"/>
        </w:rPr>
        <w:t xml:space="preserve">PGW </w:t>
      </w:r>
      <w:r w:rsidR="00F165C8">
        <w:rPr>
          <w:szCs w:val="24"/>
        </w:rPr>
        <w:t>argues that keeping this proposal in this proceeding has a value because</w:t>
      </w:r>
      <w:r w:rsidR="003760E3" w:rsidRPr="00182A9D">
        <w:rPr>
          <w:szCs w:val="24"/>
        </w:rPr>
        <w:t xml:space="preserve"> Rate LNG-N is relevant to Section 1307(f) proceedings, which are intended to calculate the cost of gas and to review and investigate a natural gas utility’s gas supply and reliability plans, as well as its overall efforts to adhere to a “least cost” fuel procurement strategy.  </w:t>
      </w:r>
      <w:r w:rsidR="00A71539">
        <w:rPr>
          <w:szCs w:val="24"/>
        </w:rPr>
        <w:t>PGW indicates that t</w:t>
      </w:r>
      <w:r w:rsidR="003760E3" w:rsidRPr="00182A9D">
        <w:rPr>
          <w:szCs w:val="24"/>
        </w:rPr>
        <w:t xml:space="preserve">he continued inclusion of Rate LNG-N </w:t>
      </w:r>
      <w:r w:rsidR="00A71539">
        <w:rPr>
          <w:szCs w:val="24"/>
        </w:rPr>
        <w:t>would be</w:t>
      </w:r>
      <w:r w:rsidR="003760E3" w:rsidRPr="00182A9D">
        <w:rPr>
          <w:szCs w:val="24"/>
        </w:rPr>
        <w:t xml:space="preserve"> more efficient than the proposed exclusion of consideration of the rate from this proceeding.  </w:t>
      </w:r>
      <w:r w:rsidR="005E31C4">
        <w:t xml:space="preserve">PGW Response to Motion to Strike at </w:t>
      </w:r>
      <w:r w:rsidR="00F65BAA">
        <w:t>10-11</w:t>
      </w:r>
      <w:r w:rsidR="005E31C4">
        <w:t xml:space="preserve">.  </w:t>
      </w:r>
    </w:p>
    <w:p w14:paraId="53A6010C" w14:textId="77777777" w:rsidR="00EE46EB" w:rsidRDefault="00EE46EB" w:rsidP="00752FB1">
      <w:pPr>
        <w:pStyle w:val="IndentedParagraph"/>
        <w:spacing w:before="0" w:line="360" w:lineRule="auto"/>
        <w:rPr>
          <w:szCs w:val="24"/>
        </w:rPr>
      </w:pPr>
    </w:p>
    <w:p w14:paraId="166E9220" w14:textId="0A2E217A" w:rsidR="00F2244F" w:rsidRDefault="005F7372" w:rsidP="00F2244F">
      <w:pPr>
        <w:pStyle w:val="IndentedParagraph"/>
        <w:spacing w:before="0" w:line="360" w:lineRule="auto"/>
        <w:ind w:firstLine="1440"/>
      </w:pPr>
      <w:r>
        <w:rPr>
          <w:szCs w:val="24"/>
        </w:rPr>
        <w:t>Lastly, PGW maintains that t</w:t>
      </w:r>
      <w:r w:rsidR="003760E3" w:rsidRPr="00182A9D">
        <w:rPr>
          <w:szCs w:val="24"/>
        </w:rPr>
        <w:t xml:space="preserve">he alleged “confusion” is based on an overly-restrictive reading of Sections 1307, 1317 and 1318.  </w:t>
      </w:r>
      <w:r w:rsidR="00A563C6">
        <w:rPr>
          <w:szCs w:val="24"/>
        </w:rPr>
        <w:t xml:space="preserve">PGW contends that </w:t>
      </w:r>
      <w:r w:rsidR="003760E3" w:rsidRPr="00182A9D">
        <w:rPr>
          <w:szCs w:val="24"/>
        </w:rPr>
        <w:t xml:space="preserve">restrictive reading of the Public Utility Code cannot be accepted by the Commission since it fails to give any meaning to the statutory provisions concerning reliability and supply plans.  Nor does it recognize that some of the costs that would be both incurred and revenues recovered would be related to PGW natural gas.  </w:t>
      </w:r>
      <w:r w:rsidR="00A563C6">
        <w:rPr>
          <w:szCs w:val="24"/>
        </w:rPr>
        <w:t>PGW asserts</w:t>
      </w:r>
      <w:r w:rsidR="00F2244F">
        <w:rPr>
          <w:szCs w:val="24"/>
        </w:rPr>
        <w:t xml:space="preserve"> that</w:t>
      </w:r>
      <w:r w:rsidR="003760E3" w:rsidRPr="00182A9D">
        <w:rPr>
          <w:szCs w:val="24"/>
        </w:rPr>
        <w:t xml:space="preserve"> the issues appropriate for resolution in this proceeding include if the expanded LNG services can be provided consistent with PGW’s obligations under the Public Utility Code to pursue a least cost fuel procurement policy and to provide safe, adequate, and reliable service to its customers and to properly account for natural gas purchases and sales in its GCR.</w:t>
      </w:r>
      <w:r w:rsidR="003760E3" w:rsidRPr="00182A9D">
        <w:rPr>
          <w:rStyle w:val="FootnoteReference"/>
          <w:szCs w:val="24"/>
        </w:rPr>
        <w:footnoteReference w:id="22"/>
      </w:r>
      <w:r w:rsidR="00F2244F">
        <w:rPr>
          <w:szCs w:val="24"/>
        </w:rPr>
        <w:t xml:space="preserve">  </w:t>
      </w:r>
      <w:r w:rsidR="00F2244F">
        <w:t xml:space="preserve">PGW Response to Motion to Strike at </w:t>
      </w:r>
      <w:r w:rsidR="00A201CC">
        <w:t>11-12</w:t>
      </w:r>
      <w:r w:rsidR="00F2244F">
        <w:t xml:space="preserve">.  </w:t>
      </w:r>
    </w:p>
    <w:p w14:paraId="2D4EC98C" w14:textId="77777777" w:rsidR="00F2244F" w:rsidRDefault="00F2244F" w:rsidP="00F2244F">
      <w:pPr>
        <w:pStyle w:val="IndentedParagraph"/>
        <w:spacing w:before="0" w:line="360" w:lineRule="auto"/>
        <w:ind w:firstLine="1440"/>
        <w:rPr>
          <w:szCs w:val="24"/>
        </w:rPr>
      </w:pPr>
    </w:p>
    <w:p w14:paraId="2F2CC71D" w14:textId="0760DF9C" w:rsidR="003760E3" w:rsidRPr="00182A9D" w:rsidRDefault="00A201CC" w:rsidP="00F2244F">
      <w:pPr>
        <w:pStyle w:val="IndentedParagraph"/>
        <w:spacing w:before="0" w:line="360" w:lineRule="auto"/>
        <w:ind w:firstLine="1440"/>
        <w:rPr>
          <w:szCs w:val="24"/>
        </w:rPr>
      </w:pPr>
      <w:r>
        <w:rPr>
          <w:szCs w:val="24"/>
        </w:rPr>
        <w:t xml:space="preserve">PGW </w:t>
      </w:r>
      <w:r w:rsidR="0076201A">
        <w:rPr>
          <w:szCs w:val="24"/>
        </w:rPr>
        <w:t>argues that t</w:t>
      </w:r>
      <w:r w:rsidR="003760E3" w:rsidRPr="00182A9D">
        <w:rPr>
          <w:szCs w:val="24"/>
        </w:rPr>
        <w:t xml:space="preserve">he evidentiary standard to be applied in the face of an allegation of “confusion” is whether the probative value of the evidence is outweighed by the danger of </w:t>
      </w:r>
      <w:r w:rsidR="003760E3" w:rsidRPr="00182A9D">
        <w:rPr>
          <w:szCs w:val="24"/>
        </w:rPr>
        <w:lastRenderedPageBreak/>
        <w:t>confusion of the issues.</w:t>
      </w:r>
      <w:r w:rsidR="003760E3" w:rsidRPr="00182A9D">
        <w:rPr>
          <w:rStyle w:val="FootnoteReference"/>
          <w:szCs w:val="24"/>
        </w:rPr>
        <w:footnoteReference w:id="23"/>
      </w:r>
      <w:r w:rsidR="003760E3" w:rsidRPr="00182A9D">
        <w:rPr>
          <w:szCs w:val="24"/>
        </w:rPr>
        <w:t xml:space="preserve">  In that context, “confusion” relates to the creation of an alleged “side issue that will unduly distract the jury from the main issues.”</w:t>
      </w:r>
      <w:r w:rsidR="003760E3" w:rsidRPr="00182A9D">
        <w:rPr>
          <w:rStyle w:val="FootnoteReference"/>
          <w:szCs w:val="24"/>
        </w:rPr>
        <w:footnoteReference w:id="24"/>
      </w:r>
      <w:r w:rsidR="003760E3" w:rsidRPr="00182A9D">
        <w:rPr>
          <w:szCs w:val="24"/>
        </w:rPr>
        <w:t xml:space="preserve">  </w:t>
      </w:r>
      <w:r w:rsidR="006156AD">
        <w:rPr>
          <w:szCs w:val="24"/>
        </w:rPr>
        <w:t>PGW maintains</w:t>
      </w:r>
      <w:r w:rsidR="002972B8">
        <w:rPr>
          <w:szCs w:val="24"/>
        </w:rPr>
        <w:t xml:space="preserve"> that</w:t>
      </w:r>
      <w:r w:rsidR="003760E3" w:rsidRPr="00182A9D">
        <w:rPr>
          <w:szCs w:val="24"/>
        </w:rPr>
        <w:t xml:space="preserve"> nothing in the Motion explains how the consideration of Rate LNG-N will </w:t>
      </w:r>
      <w:r w:rsidR="003760E3" w:rsidRPr="002972B8">
        <w:rPr>
          <w:szCs w:val="24"/>
        </w:rPr>
        <w:t>unduly distract</w:t>
      </w:r>
      <w:r w:rsidR="003760E3" w:rsidRPr="00182A9D">
        <w:rPr>
          <w:szCs w:val="24"/>
        </w:rPr>
        <w:t xml:space="preserve"> the </w:t>
      </w:r>
      <w:r w:rsidR="002972B8">
        <w:rPr>
          <w:szCs w:val="24"/>
        </w:rPr>
        <w:t>presiding officer</w:t>
      </w:r>
      <w:r w:rsidR="003760E3" w:rsidRPr="00182A9D">
        <w:rPr>
          <w:szCs w:val="24"/>
        </w:rPr>
        <w:t xml:space="preserve"> and the Commission from the main issues in this proceeding.</w:t>
      </w:r>
      <w:r w:rsidR="002972B8">
        <w:rPr>
          <w:szCs w:val="24"/>
        </w:rPr>
        <w:t xml:space="preserve"> </w:t>
      </w:r>
      <w:r w:rsidR="003760E3" w:rsidRPr="00182A9D">
        <w:rPr>
          <w:szCs w:val="24"/>
        </w:rPr>
        <w:t xml:space="preserve"> </w:t>
      </w:r>
      <w:r w:rsidR="002972B8">
        <w:rPr>
          <w:szCs w:val="24"/>
        </w:rPr>
        <w:t xml:space="preserve">PGW again argues that </w:t>
      </w:r>
      <w:r w:rsidR="003760E3" w:rsidRPr="00182A9D">
        <w:rPr>
          <w:szCs w:val="24"/>
        </w:rPr>
        <w:t>the LNG issue is not a side issue, but germane to the determination of PGW’s gas supply and reliability plans going forward and its least cost fuel procurement strategy, as well as its pursuit of revenue sources in the public interest.</w:t>
      </w:r>
      <w:r w:rsidR="002972B8">
        <w:rPr>
          <w:szCs w:val="24"/>
        </w:rPr>
        <w:t xml:space="preserve">  </w:t>
      </w:r>
      <w:r w:rsidR="002972B8">
        <w:t xml:space="preserve">PGW Response to Motion to Strike at </w:t>
      </w:r>
      <w:r w:rsidR="000A47FD">
        <w:t>12-13</w:t>
      </w:r>
      <w:r w:rsidR="002972B8">
        <w:t xml:space="preserve">.  </w:t>
      </w:r>
    </w:p>
    <w:p w14:paraId="3C740717" w14:textId="2913D3C3" w:rsidR="0011419C" w:rsidRDefault="0011419C" w:rsidP="00752FB1">
      <w:pPr>
        <w:spacing w:line="360" w:lineRule="auto"/>
        <w:rPr>
          <w:color w:val="252525"/>
          <w:szCs w:val="24"/>
          <w:u w:val="single"/>
        </w:rPr>
      </w:pPr>
    </w:p>
    <w:p w14:paraId="78AFB3E8" w14:textId="47ED86E8" w:rsidR="00500418" w:rsidRDefault="00500418" w:rsidP="00752FB1">
      <w:pPr>
        <w:spacing w:line="360" w:lineRule="auto"/>
        <w:rPr>
          <w:color w:val="252525"/>
          <w:szCs w:val="24"/>
          <w:u w:val="single"/>
        </w:rPr>
      </w:pPr>
      <w:r>
        <w:rPr>
          <w:color w:val="252525"/>
          <w:szCs w:val="24"/>
          <w:u w:val="single"/>
        </w:rPr>
        <w:t>Analysis and Conclusions</w:t>
      </w:r>
    </w:p>
    <w:p w14:paraId="7E5D43F3" w14:textId="5B04C107" w:rsidR="00500418" w:rsidRDefault="00500418" w:rsidP="00752FB1">
      <w:pPr>
        <w:spacing w:line="360" w:lineRule="auto"/>
        <w:rPr>
          <w:color w:val="252525"/>
          <w:szCs w:val="24"/>
          <w:u w:val="single"/>
        </w:rPr>
      </w:pPr>
    </w:p>
    <w:p w14:paraId="5D0A2E25" w14:textId="32934180" w:rsidR="006E646A" w:rsidRDefault="000C34F4" w:rsidP="006E646A">
      <w:pPr>
        <w:spacing w:line="360" w:lineRule="auto"/>
        <w:rPr>
          <w:color w:val="000000"/>
          <w:szCs w:val="24"/>
        </w:rPr>
      </w:pPr>
      <w:r>
        <w:rPr>
          <w:color w:val="252525"/>
          <w:szCs w:val="24"/>
        </w:rPr>
        <w:tab/>
      </w:r>
      <w:r>
        <w:rPr>
          <w:color w:val="252525"/>
          <w:szCs w:val="24"/>
        </w:rPr>
        <w:tab/>
        <w:t xml:space="preserve">In this instance, I agree with I&amp;E and OCA regarding the inclusion of </w:t>
      </w:r>
      <w:r w:rsidR="00756238">
        <w:rPr>
          <w:color w:val="252525"/>
          <w:szCs w:val="24"/>
        </w:rPr>
        <w:t>PGW’s proposal to replace current Rate LNG with Rate LNG-N</w:t>
      </w:r>
      <w:r w:rsidR="00BE3814">
        <w:rPr>
          <w:color w:val="252525"/>
          <w:szCs w:val="24"/>
        </w:rPr>
        <w:t>.  I am not persuaded by PGW’s assertions that this matter is related</w:t>
      </w:r>
      <w:r w:rsidR="00356D58">
        <w:rPr>
          <w:color w:val="252525"/>
          <w:szCs w:val="24"/>
        </w:rPr>
        <w:t xml:space="preserve"> or relevant</w:t>
      </w:r>
      <w:r w:rsidR="00BE3814">
        <w:rPr>
          <w:color w:val="252525"/>
          <w:szCs w:val="24"/>
        </w:rPr>
        <w:t xml:space="preserve"> to its GCR </w:t>
      </w:r>
      <w:r w:rsidR="0041216C">
        <w:rPr>
          <w:color w:val="252525"/>
          <w:szCs w:val="24"/>
        </w:rPr>
        <w:t xml:space="preserve">and the 1307(f) proceeding.  The initial Rate LNG was approved by the Commission related to a settlement </w:t>
      </w:r>
      <w:r w:rsidR="00357D6C">
        <w:rPr>
          <w:color w:val="252525"/>
          <w:szCs w:val="24"/>
        </w:rPr>
        <w:t>that arose from the Company’s base rate proceeding in 200</w:t>
      </w:r>
      <w:r w:rsidR="005C5FC6">
        <w:rPr>
          <w:color w:val="252525"/>
          <w:szCs w:val="24"/>
        </w:rPr>
        <w:t>9</w:t>
      </w:r>
      <w:r w:rsidR="00357D6C">
        <w:rPr>
          <w:color w:val="252525"/>
          <w:szCs w:val="24"/>
        </w:rPr>
        <w:t xml:space="preserve">.  </w:t>
      </w:r>
      <w:r w:rsidR="00356D58">
        <w:rPr>
          <w:color w:val="252525"/>
          <w:szCs w:val="24"/>
        </w:rPr>
        <w:t xml:space="preserve">While I agree that the Commission has directed the Company to address the use of </w:t>
      </w:r>
      <w:r w:rsidR="00BB477C">
        <w:rPr>
          <w:color w:val="252525"/>
          <w:szCs w:val="24"/>
        </w:rPr>
        <w:t>liquified natural gas in GCR proceedings</w:t>
      </w:r>
      <w:r w:rsidR="0005315A">
        <w:rPr>
          <w:color w:val="252525"/>
          <w:szCs w:val="24"/>
        </w:rPr>
        <w:t xml:space="preserve">, this proposal eliminates a current approved rate and replaces it with an expanded </w:t>
      </w:r>
      <w:r w:rsidR="00D72F8E">
        <w:rPr>
          <w:color w:val="252525"/>
          <w:szCs w:val="24"/>
        </w:rPr>
        <w:t>and new rate</w:t>
      </w:r>
      <w:r w:rsidR="00D17C96">
        <w:rPr>
          <w:color w:val="252525"/>
          <w:szCs w:val="24"/>
        </w:rPr>
        <w:t>, which is materially different</w:t>
      </w:r>
      <w:r w:rsidR="00D72F8E">
        <w:rPr>
          <w:color w:val="252525"/>
          <w:szCs w:val="24"/>
        </w:rPr>
        <w:t xml:space="preserve">.  </w:t>
      </w:r>
      <w:r w:rsidR="006E646A">
        <w:rPr>
          <w:color w:val="000000"/>
          <w:szCs w:val="24"/>
        </w:rPr>
        <w:t>The Public Utility</w:t>
      </w:r>
      <w:r w:rsidR="006E646A">
        <w:rPr>
          <w:bCs/>
          <w:color w:val="000000"/>
          <w:szCs w:val="24"/>
        </w:rPr>
        <w:t xml:space="preserve"> Code requires that e</w:t>
      </w:r>
      <w:r w:rsidR="006E646A">
        <w:rPr>
          <w:color w:val="000000"/>
          <w:szCs w:val="24"/>
        </w:rPr>
        <w:t>very rate made, demanded, or received by a public utility shall be just and reasonable, and in conformity with regulations or orders of the commission.</w:t>
      </w:r>
      <w:r w:rsidR="006E646A">
        <w:rPr>
          <w:rStyle w:val="FootnoteReference"/>
          <w:color w:val="000000"/>
          <w:szCs w:val="24"/>
        </w:rPr>
        <w:footnoteReference w:id="25"/>
      </w:r>
      <w:r w:rsidR="006E646A">
        <w:rPr>
          <w:color w:val="000000"/>
          <w:szCs w:val="24"/>
        </w:rPr>
        <w:t xml:space="preserve">  In this case, PGW’s proposed Rate LNG-N, which would expand the services that PGW could begin to supply, is likely to produce some rate impact, implicating the need for further review in a base rate proceeding.  </w:t>
      </w:r>
      <w:r w:rsidR="00D05632">
        <w:rPr>
          <w:color w:val="000000"/>
          <w:szCs w:val="24"/>
        </w:rPr>
        <w:t>It appears that</w:t>
      </w:r>
      <w:r w:rsidR="006E646A">
        <w:rPr>
          <w:color w:val="000000"/>
          <w:szCs w:val="24"/>
        </w:rPr>
        <w:t xml:space="preserve"> approval of Rate LNG-N would permit PGW to begin to provide a host of new services, including PGW’s liquefaction of gas supplied by other parties, the injection of customers’ liquified natural gas into PGW’s facilities, PGW’s delivery of other parties’ commodity from its facilities via pipeline, exchange services, or other delivery mechanism.</w:t>
      </w:r>
      <w:r w:rsidR="006E646A">
        <w:rPr>
          <w:rStyle w:val="FootnoteReference"/>
          <w:color w:val="000000"/>
          <w:szCs w:val="24"/>
        </w:rPr>
        <w:footnoteReference w:id="26"/>
      </w:r>
      <w:r w:rsidR="006E646A">
        <w:rPr>
          <w:color w:val="000000"/>
          <w:szCs w:val="24"/>
        </w:rPr>
        <w:t xml:space="preserve">   </w:t>
      </w:r>
      <w:r w:rsidR="00D05632">
        <w:rPr>
          <w:color w:val="000000"/>
          <w:szCs w:val="24"/>
        </w:rPr>
        <w:t>While PGW maintains that it will not have to expend resources</w:t>
      </w:r>
      <w:r w:rsidR="00565E65">
        <w:rPr>
          <w:color w:val="000000"/>
          <w:szCs w:val="24"/>
        </w:rPr>
        <w:t xml:space="preserve"> to </w:t>
      </w:r>
      <w:r w:rsidR="00565E65">
        <w:rPr>
          <w:color w:val="000000"/>
          <w:szCs w:val="24"/>
        </w:rPr>
        <w:lastRenderedPageBreak/>
        <w:t>implement these new services</w:t>
      </w:r>
      <w:r w:rsidR="000E5CD6">
        <w:rPr>
          <w:color w:val="000000"/>
          <w:szCs w:val="24"/>
        </w:rPr>
        <w:t xml:space="preserve"> or that they would be covered by the new rate</w:t>
      </w:r>
      <w:r w:rsidR="00565E65">
        <w:rPr>
          <w:color w:val="000000"/>
          <w:szCs w:val="24"/>
        </w:rPr>
        <w:t>, there is nothing at this point to demonstrate th</w:t>
      </w:r>
      <w:r w:rsidR="000E5CD6">
        <w:rPr>
          <w:color w:val="000000"/>
          <w:szCs w:val="24"/>
        </w:rPr>
        <w:t>ese allegations</w:t>
      </w:r>
      <w:r w:rsidR="00565E65">
        <w:rPr>
          <w:color w:val="000000"/>
          <w:szCs w:val="24"/>
        </w:rPr>
        <w:t xml:space="preserve"> and a more </w:t>
      </w:r>
      <w:r w:rsidR="002F4644">
        <w:rPr>
          <w:color w:val="000000"/>
          <w:szCs w:val="24"/>
        </w:rPr>
        <w:t>involved investigation would be required</w:t>
      </w:r>
      <w:r w:rsidR="000E5CD6">
        <w:rPr>
          <w:color w:val="000000"/>
          <w:szCs w:val="24"/>
        </w:rPr>
        <w:t>,</w:t>
      </w:r>
      <w:r w:rsidR="002F4644">
        <w:rPr>
          <w:color w:val="000000"/>
          <w:szCs w:val="24"/>
        </w:rPr>
        <w:t xml:space="preserve"> which would not be possible in the truncated schedule provided for a 1307(f) proceeding.  </w:t>
      </w:r>
    </w:p>
    <w:p w14:paraId="6FECA050" w14:textId="63CF1A7E" w:rsidR="000E5CD6" w:rsidRDefault="000E5CD6" w:rsidP="006E646A">
      <w:pPr>
        <w:spacing w:line="360" w:lineRule="auto"/>
        <w:rPr>
          <w:color w:val="000000"/>
          <w:szCs w:val="24"/>
        </w:rPr>
      </w:pPr>
    </w:p>
    <w:p w14:paraId="0946AC4C" w14:textId="75119EAD" w:rsidR="00295BB2" w:rsidRDefault="000E5CD6" w:rsidP="00295BB2">
      <w:pPr>
        <w:spacing w:line="360" w:lineRule="auto"/>
        <w:rPr>
          <w:szCs w:val="24"/>
        </w:rPr>
      </w:pPr>
      <w:r>
        <w:rPr>
          <w:color w:val="000000"/>
          <w:szCs w:val="24"/>
        </w:rPr>
        <w:tab/>
      </w:r>
      <w:r>
        <w:rPr>
          <w:color w:val="000000"/>
          <w:szCs w:val="24"/>
        </w:rPr>
        <w:tab/>
      </w:r>
      <w:r w:rsidR="0052372F">
        <w:rPr>
          <w:color w:val="000000"/>
          <w:szCs w:val="24"/>
        </w:rPr>
        <w:t>Further, u</w:t>
      </w:r>
      <w:r w:rsidR="005967D7">
        <w:rPr>
          <w:color w:val="000000"/>
          <w:szCs w:val="24"/>
        </w:rPr>
        <w:t xml:space="preserve">nder 1307(f) cases, </w:t>
      </w:r>
      <w:r w:rsidR="00C228DC">
        <w:rPr>
          <w:color w:val="000000"/>
          <w:szCs w:val="24"/>
        </w:rPr>
        <w:t xml:space="preserve">pursuant to the Public Utility Code, </w:t>
      </w:r>
      <w:r w:rsidR="00295BB2">
        <w:rPr>
          <w:szCs w:val="24"/>
        </w:rPr>
        <w:t>the Commission may determine that a utility’s gas cost rates are just and reasonable “if the commission finds that the utility is pursuing a least cost fuel procurement policy, consistent with the utility's obligation to provide safe, adequate and reliable service to its customers.”</w:t>
      </w:r>
      <w:r w:rsidR="00295BB2">
        <w:rPr>
          <w:rStyle w:val="FootnoteReference"/>
          <w:szCs w:val="24"/>
        </w:rPr>
        <w:footnoteReference w:id="27"/>
      </w:r>
      <w:r w:rsidR="00295BB2">
        <w:rPr>
          <w:szCs w:val="24"/>
        </w:rPr>
        <w:t xml:space="preserve">  In order to make such a determination, the Commission must make specific findings, including that the (1) the utility has fully and vigorously represented the interests of its ratepayers in proceedings before the Federal Energy Regulatory Commission; (2) the utility has taken all prudent steps necessary to negotiate favorable gas supply contracts and to relieve the utility from terms in existing contracts with its gas suppliers which are or may be adverse to the interests of the utility's ratepayers; (3) the utility has taken all prudent steps necessary to obtain lower cost gas supplies on both short-term and long-term bases both within and outside the Commonwealth, including the use of gas transportation arrangements with pipelines and other distribution companies; and (4) the utility has not withheld from the market or caused to be withheld from the market any gas supplies which should have been utilized as part of a least cost fuel procurement policy.</w:t>
      </w:r>
      <w:r w:rsidR="00295BB2">
        <w:rPr>
          <w:rStyle w:val="FootnoteReference"/>
          <w:szCs w:val="24"/>
        </w:rPr>
        <w:footnoteReference w:id="28"/>
      </w:r>
      <w:r w:rsidR="00A77090">
        <w:rPr>
          <w:szCs w:val="24"/>
        </w:rPr>
        <w:t xml:space="preserve">  </w:t>
      </w:r>
      <w:r w:rsidR="0052372F">
        <w:rPr>
          <w:szCs w:val="24"/>
        </w:rPr>
        <w:t>As noted above, under</w:t>
      </w:r>
      <w:r w:rsidR="008554E8">
        <w:rPr>
          <w:szCs w:val="24"/>
        </w:rPr>
        <w:t xml:space="preserve"> </w:t>
      </w:r>
      <w:r w:rsidR="00BB527E">
        <w:rPr>
          <w:szCs w:val="24"/>
        </w:rPr>
        <w:t>Section 1301 of the Code</w:t>
      </w:r>
      <w:r w:rsidR="00A40400">
        <w:rPr>
          <w:rStyle w:val="FootnoteReference"/>
          <w:szCs w:val="24"/>
        </w:rPr>
        <w:footnoteReference w:id="29"/>
      </w:r>
      <w:r w:rsidR="00BB527E">
        <w:rPr>
          <w:szCs w:val="24"/>
        </w:rPr>
        <w:t>, a rate must be just and reasonable in order to be approved by the Commission</w:t>
      </w:r>
      <w:r w:rsidR="00A40400">
        <w:rPr>
          <w:szCs w:val="24"/>
        </w:rPr>
        <w:t xml:space="preserve">.  </w:t>
      </w:r>
      <w:r w:rsidR="00284BF9">
        <w:rPr>
          <w:szCs w:val="24"/>
        </w:rPr>
        <w:t>While the</w:t>
      </w:r>
      <w:r w:rsidR="00A40400">
        <w:rPr>
          <w:szCs w:val="24"/>
        </w:rPr>
        <w:t xml:space="preserve"> legal standards </w:t>
      </w:r>
      <w:r w:rsidR="00284BF9">
        <w:rPr>
          <w:szCs w:val="24"/>
        </w:rPr>
        <w:t>are generally similar</w:t>
      </w:r>
      <w:r w:rsidR="0070764B">
        <w:rPr>
          <w:szCs w:val="24"/>
        </w:rPr>
        <w:t xml:space="preserve">, the GCR is far more specific and detailed related to the particular </w:t>
      </w:r>
      <w:r w:rsidR="00FA0798">
        <w:rPr>
          <w:szCs w:val="24"/>
        </w:rPr>
        <w:t xml:space="preserve">issue of gas costs.  </w:t>
      </w:r>
    </w:p>
    <w:p w14:paraId="2E108C2F" w14:textId="4BDEB825" w:rsidR="00997984" w:rsidRDefault="00997984" w:rsidP="007F06B8">
      <w:pPr>
        <w:spacing w:line="360" w:lineRule="auto"/>
        <w:rPr>
          <w:szCs w:val="24"/>
        </w:rPr>
      </w:pPr>
    </w:p>
    <w:p w14:paraId="1AF7056F" w14:textId="3213279C" w:rsidR="00997984" w:rsidRDefault="00EF4CD0" w:rsidP="00997984">
      <w:pPr>
        <w:spacing w:line="360" w:lineRule="auto"/>
        <w:ind w:firstLine="1440"/>
        <w:rPr>
          <w:rFonts w:eastAsiaTheme="minorHAnsi"/>
          <w:szCs w:val="24"/>
        </w:rPr>
      </w:pPr>
      <w:r>
        <w:rPr>
          <w:szCs w:val="24"/>
        </w:rPr>
        <w:t xml:space="preserve">Finally, </w:t>
      </w:r>
      <w:r w:rsidR="00997984">
        <w:rPr>
          <w:szCs w:val="24"/>
        </w:rPr>
        <w:t xml:space="preserve">I </w:t>
      </w:r>
      <w:r>
        <w:rPr>
          <w:szCs w:val="24"/>
        </w:rPr>
        <w:t xml:space="preserve">also </w:t>
      </w:r>
      <w:r w:rsidR="00997984">
        <w:rPr>
          <w:szCs w:val="24"/>
        </w:rPr>
        <w:t>agree with I&amp;E</w:t>
      </w:r>
      <w:r w:rsidR="00FA0798">
        <w:rPr>
          <w:szCs w:val="24"/>
        </w:rPr>
        <w:t>’s</w:t>
      </w:r>
      <w:r w:rsidR="00997984">
        <w:rPr>
          <w:szCs w:val="24"/>
        </w:rPr>
        <w:t xml:space="preserve"> argument that Rate LNG-N has a tenuous connection to gas costs, as only one of the eight services it encompasses is the provision of commodity.  The remaining seven services that PGW plans to provide through Rate LNG-N all involve services that PGW proposes to provide such as transportation, liquefaction, injection, storage, vaporization, withdrawal, and delivery of natural gas.</w:t>
      </w:r>
      <w:r w:rsidR="00997984">
        <w:rPr>
          <w:rStyle w:val="FootnoteReference"/>
          <w:szCs w:val="24"/>
        </w:rPr>
        <w:footnoteReference w:id="30"/>
      </w:r>
      <w:r w:rsidR="00997984">
        <w:rPr>
          <w:szCs w:val="24"/>
        </w:rPr>
        <w:t xml:space="preserve">  </w:t>
      </w:r>
      <w:r w:rsidR="00A77090">
        <w:rPr>
          <w:szCs w:val="24"/>
        </w:rPr>
        <w:t>P</w:t>
      </w:r>
      <w:r w:rsidR="00997984">
        <w:rPr>
          <w:szCs w:val="24"/>
        </w:rPr>
        <w:t xml:space="preserve">ermitting Rate LNG-N to be considered as part of this proceeding would confuse the issue of gas costs with issues regarding </w:t>
      </w:r>
      <w:r w:rsidR="00997984">
        <w:rPr>
          <w:szCs w:val="24"/>
        </w:rPr>
        <w:lastRenderedPageBreak/>
        <w:t>the costs associated with PGW’s performance of the services that largely compromise Rate LNG-N.</w:t>
      </w:r>
      <w:r w:rsidR="0054213C">
        <w:rPr>
          <w:rStyle w:val="FootnoteReference"/>
          <w:szCs w:val="24"/>
        </w:rPr>
        <w:footnoteReference w:id="31"/>
      </w:r>
      <w:r w:rsidR="00997984">
        <w:rPr>
          <w:szCs w:val="24"/>
        </w:rPr>
        <w:t xml:space="preserve">  </w:t>
      </w:r>
    </w:p>
    <w:p w14:paraId="3A4B51D0" w14:textId="77777777" w:rsidR="00997984" w:rsidRDefault="00997984" w:rsidP="00295BB2">
      <w:pPr>
        <w:spacing w:line="360" w:lineRule="auto"/>
        <w:rPr>
          <w:rFonts w:eastAsiaTheme="minorHAnsi"/>
          <w:szCs w:val="24"/>
        </w:rPr>
      </w:pPr>
    </w:p>
    <w:p w14:paraId="6EBB2401" w14:textId="77777777" w:rsidR="0035568D" w:rsidRDefault="0035568D" w:rsidP="00C8146D">
      <w:pPr>
        <w:pStyle w:val="Heading1"/>
        <w:keepNext w:val="0"/>
        <w:spacing w:line="360" w:lineRule="auto"/>
        <w:rPr>
          <w:szCs w:val="24"/>
        </w:rPr>
      </w:pPr>
      <w:r>
        <w:rPr>
          <w:szCs w:val="24"/>
        </w:rPr>
        <w:t>ORDER</w:t>
      </w:r>
    </w:p>
    <w:p w14:paraId="1C6128E3" w14:textId="3AF1C7D4" w:rsidR="0035568D" w:rsidRDefault="0035568D" w:rsidP="0035568D">
      <w:pPr>
        <w:spacing w:line="360" w:lineRule="auto"/>
        <w:jc w:val="center"/>
        <w:rPr>
          <w:szCs w:val="24"/>
        </w:rPr>
      </w:pPr>
    </w:p>
    <w:p w14:paraId="688BD70C" w14:textId="77777777" w:rsidR="00C8146D" w:rsidRDefault="00C8146D" w:rsidP="0035568D">
      <w:pPr>
        <w:spacing w:line="360" w:lineRule="auto"/>
        <w:jc w:val="center"/>
        <w:rPr>
          <w:szCs w:val="24"/>
        </w:rPr>
      </w:pPr>
    </w:p>
    <w:p w14:paraId="566A3CF1" w14:textId="77777777" w:rsidR="0035568D" w:rsidRDefault="0035568D" w:rsidP="0035568D">
      <w:pPr>
        <w:spacing w:line="360" w:lineRule="auto"/>
        <w:rPr>
          <w:szCs w:val="24"/>
        </w:rPr>
      </w:pPr>
      <w:r>
        <w:rPr>
          <w:szCs w:val="24"/>
        </w:rPr>
        <w:tab/>
      </w:r>
      <w:r>
        <w:rPr>
          <w:szCs w:val="24"/>
        </w:rPr>
        <w:tab/>
        <w:t>THEREFORE,</w:t>
      </w:r>
    </w:p>
    <w:p w14:paraId="44B0D765" w14:textId="77777777" w:rsidR="0035568D" w:rsidRDefault="0035568D" w:rsidP="0035568D">
      <w:pPr>
        <w:spacing w:line="360" w:lineRule="auto"/>
        <w:rPr>
          <w:szCs w:val="24"/>
        </w:rPr>
      </w:pPr>
    </w:p>
    <w:p w14:paraId="4F442278" w14:textId="77777777" w:rsidR="0035568D" w:rsidRDefault="0035568D" w:rsidP="0035568D">
      <w:pPr>
        <w:spacing w:line="360" w:lineRule="auto"/>
        <w:rPr>
          <w:szCs w:val="24"/>
        </w:rPr>
      </w:pPr>
      <w:r>
        <w:rPr>
          <w:szCs w:val="24"/>
        </w:rPr>
        <w:tab/>
      </w:r>
      <w:r>
        <w:rPr>
          <w:szCs w:val="24"/>
        </w:rPr>
        <w:tab/>
        <w:t>IT IS ORDERED:</w:t>
      </w:r>
    </w:p>
    <w:p w14:paraId="03EB3B33" w14:textId="77777777" w:rsidR="0035568D" w:rsidRDefault="0035568D" w:rsidP="0035568D">
      <w:pPr>
        <w:spacing w:line="360" w:lineRule="auto"/>
        <w:rPr>
          <w:szCs w:val="24"/>
        </w:rPr>
      </w:pPr>
    </w:p>
    <w:p w14:paraId="724AD2B0" w14:textId="0499C32F" w:rsidR="0035568D" w:rsidRPr="000B6AB3" w:rsidRDefault="0035568D" w:rsidP="00840FF9">
      <w:pPr>
        <w:pStyle w:val="ListParagraph"/>
        <w:numPr>
          <w:ilvl w:val="0"/>
          <w:numId w:val="1"/>
        </w:numPr>
        <w:tabs>
          <w:tab w:val="left" w:pos="1440"/>
        </w:tabs>
        <w:spacing w:line="360" w:lineRule="auto"/>
        <w:ind w:left="0" w:firstLine="1440"/>
        <w:rPr>
          <w:szCs w:val="24"/>
        </w:rPr>
      </w:pPr>
      <w:r w:rsidRPr="000B6AB3">
        <w:rPr>
          <w:szCs w:val="24"/>
        </w:rPr>
        <w:t xml:space="preserve">That </w:t>
      </w:r>
      <w:r w:rsidR="000B6AB3" w:rsidRPr="000B6AB3">
        <w:rPr>
          <w:szCs w:val="24"/>
        </w:rPr>
        <w:t>the Bureau of Investigation and Enforcement’s Expedited Motion to Strike is granted</w:t>
      </w:r>
      <w:r w:rsidR="000B6AB3">
        <w:rPr>
          <w:szCs w:val="24"/>
        </w:rPr>
        <w:t>;</w:t>
      </w:r>
    </w:p>
    <w:p w14:paraId="4F3DFD0B" w14:textId="0606CD65" w:rsidR="000B6AB3" w:rsidRPr="000B6AB3" w:rsidRDefault="000B6AB3" w:rsidP="000B6AB3">
      <w:pPr>
        <w:pStyle w:val="ListParagraph"/>
        <w:numPr>
          <w:ilvl w:val="0"/>
          <w:numId w:val="1"/>
        </w:numPr>
        <w:spacing w:line="360" w:lineRule="auto"/>
        <w:ind w:left="0" w:firstLine="1440"/>
        <w:rPr>
          <w:szCs w:val="24"/>
        </w:rPr>
      </w:pPr>
      <w:r>
        <w:rPr>
          <w:color w:val="000000"/>
          <w:spacing w:val="2"/>
          <w:szCs w:val="24"/>
        </w:rPr>
        <w:t>T</w:t>
      </w:r>
      <w:r w:rsidRPr="000B6AB3">
        <w:rPr>
          <w:color w:val="000000"/>
          <w:spacing w:val="2"/>
          <w:szCs w:val="24"/>
        </w:rPr>
        <w:t xml:space="preserve">hat the portions of Philadelphia Gas Works’ gas cost rate filing referencing </w:t>
      </w:r>
      <w:r>
        <w:rPr>
          <w:color w:val="000000"/>
          <w:spacing w:val="2"/>
          <w:szCs w:val="24"/>
        </w:rPr>
        <w:t>its</w:t>
      </w:r>
      <w:r w:rsidRPr="000B6AB3">
        <w:rPr>
          <w:color w:val="000000"/>
          <w:spacing w:val="2"/>
          <w:szCs w:val="24"/>
        </w:rPr>
        <w:t xml:space="preserve"> proposal for establishing Rate LNG-N, as submitted on March 1, 2019, be stricken</w:t>
      </w:r>
      <w:r>
        <w:rPr>
          <w:color w:val="000000"/>
          <w:spacing w:val="2"/>
          <w:szCs w:val="24"/>
        </w:rPr>
        <w:t>, and;</w:t>
      </w:r>
      <w:r w:rsidRPr="000B6AB3">
        <w:rPr>
          <w:color w:val="000000"/>
          <w:spacing w:val="2"/>
          <w:szCs w:val="24"/>
        </w:rPr>
        <w:t xml:space="preserve">  </w:t>
      </w:r>
    </w:p>
    <w:p w14:paraId="4E025217" w14:textId="77777777" w:rsidR="000B6AB3" w:rsidRPr="000B6AB3" w:rsidRDefault="000B6AB3" w:rsidP="000B6AB3">
      <w:pPr>
        <w:pStyle w:val="ListParagraph"/>
        <w:spacing w:line="360" w:lineRule="auto"/>
        <w:ind w:left="1440"/>
        <w:rPr>
          <w:szCs w:val="24"/>
        </w:rPr>
      </w:pPr>
    </w:p>
    <w:p w14:paraId="3CD14F91" w14:textId="7322E574" w:rsidR="000B6AB3" w:rsidRPr="000B6AB3" w:rsidRDefault="000B6AB3" w:rsidP="000B6AB3">
      <w:pPr>
        <w:pStyle w:val="ListParagraph"/>
        <w:numPr>
          <w:ilvl w:val="0"/>
          <w:numId w:val="1"/>
        </w:numPr>
        <w:spacing w:line="360" w:lineRule="auto"/>
        <w:ind w:left="0" w:firstLine="1440"/>
        <w:rPr>
          <w:szCs w:val="24"/>
        </w:rPr>
      </w:pPr>
      <w:r>
        <w:rPr>
          <w:color w:val="000000"/>
          <w:spacing w:val="2"/>
          <w:szCs w:val="24"/>
        </w:rPr>
        <w:t xml:space="preserve">That </w:t>
      </w:r>
      <w:r w:rsidRPr="000B6AB3">
        <w:rPr>
          <w:color w:val="000000"/>
          <w:spacing w:val="2"/>
          <w:szCs w:val="24"/>
        </w:rPr>
        <w:t xml:space="preserve">the portions </w:t>
      </w:r>
      <w:r w:rsidRPr="000B6AB3">
        <w:rPr>
          <w:szCs w:val="24"/>
        </w:rPr>
        <w:t xml:space="preserve">of </w:t>
      </w:r>
      <w:r w:rsidRPr="000B6AB3">
        <w:rPr>
          <w:color w:val="000000"/>
          <w:spacing w:val="2"/>
          <w:szCs w:val="24"/>
        </w:rPr>
        <w:t xml:space="preserve">PGW Statement No. 2, the </w:t>
      </w:r>
      <w:r>
        <w:rPr>
          <w:color w:val="000000"/>
          <w:spacing w:val="2"/>
          <w:szCs w:val="24"/>
        </w:rPr>
        <w:t>D</w:t>
      </w:r>
      <w:r w:rsidRPr="000B6AB3">
        <w:rPr>
          <w:color w:val="000000"/>
          <w:spacing w:val="2"/>
          <w:szCs w:val="24"/>
        </w:rPr>
        <w:t xml:space="preserve">irect </w:t>
      </w:r>
      <w:r>
        <w:rPr>
          <w:color w:val="000000"/>
          <w:spacing w:val="2"/>
          <w:szCs w:val="24"/>
        </w:rPr>
        <w:t>T</w:t>
      </w:r>
      <w:r w:rsidRPr="000B6AB3">
        <w:rPr>
          <w:color w:val="000000"/>
          <w:spacing w:val="2"/>
          <w:szCs w:val="24"/>
        </w:rPr>
        <w:t>estimony of Raymond M. Snyder, identified as page 12, line 18 through page 16, line 15; and Exh. RMS-2</w:t>
      </w:r>
      <w:r>
        <w:rPr>
          <w:color w:val="000000"/>
          <w:spacing w:val="2"/>
          <w:szCs w:val="24"/>
        </w:rPr>
        <w:t xml:space="preserve"> be stricken</w:t>
      </w:r>
      <w:r w:rsidRPr="000B6AB3">
        <w:rPr>
          <w:color w:val="000000"/>
          <w:spacing w:val="2"/>
          <w:szCs w:val="24"/>
        </w:rPr>
        <w:t xml:space="preserve">.  </w:t>
      </w:r>
    </w:p>
    <w:p w14:paraId="3B81AEDC" w14:textId="77777777" w:rsidR="0035568D" w:rsidRDefault="0035568D" w:rsidP="0035568D">
      <w:pPr>
        <w:spacing w:line="360" w:lineRule="auto"/>
        <w:rPr>
          <w:szCs w:val="24"/>
        </w:rPr>
      </w:pPr>
    </w:p>
    <w:p w14:paraId="791E10C0" w14:textId="77777777" w:rsidR="0035568D" w:rsidRDefault="0035568D" w:rsidP="0035568D">
      <w:pPr>
        <w:spacing w:line="360" w:lineRule="auto"/>
        <w:rPr>
          <w:szCs w:val="24"/>
        </w:rPr>
      </w:pPr>
    </w:p>
    <w:p w14:paraId="21FA661D" w14:textId="4C51304A" w:rsidR="0035568D" w:rsidRDefault="0035568D" w:rsidP="00C8146D">
      <w:pPr>
        <w:rPr>
          <w:szCs w:val="24"/>
          <w:u w:val="single"/>
        </w:rPr>
      </w:pPr>
      <w:r>
        <w:rPr>
          <w:szCs w:val="24"/>
        </w:rPr>
        <w:t>Date:</w:t>
      </w:r>
      <w:r w:rsidR="00C8146D">
        <w:rPr>
          <w:szCs w:val="24"/>
        </w:rPr>
        <w:tab/>
      </w:r>
      <w:r w:rsidR="00C8146D">
        <w:rPr>
          <w:szCs w:val="24"/>
          <w:u w:val="single"/>
        </w:rPr>
        <w:t>March 26, 2019</w:t>
      </w:r>
      <w:r w:rsidR="00C8146D">
        <w:rPr>
          <w:szCs w:val="24"/>
        </w:rPr>
        <w:tab/>
      </w:r>
      <w:r w:rsidR="00C8146D">
        <w:rPr>
          <w:szCs w:val="24"/>
        </w:rPr>
        <w:tab/>
      </w:r>
      <w:r w:rsidR="00C8146D">
        <w:rPr>
          <w:szCs w:val="24"/>
        </w:rPr>
        <w:tab/>
      </w:r>
      <w:r w:rsidR="00C8146D">
        <w:rPr>
          <w:szCs w:val="24"/>
        </w:rPr>
        <w:tab/>
      </w:r>
      <w:r w:rsidR="00C8146D">
        <w:rPr>
          <w:szCs w:val="24"/>
          <w:u w:val="single"/>
        </w:rPr>
        <w:tab/>
      </w:r>
      <w:r w:rsidR="00C8146D">
        <w:rPr>
          <w:szCs w:val="24"/>
          <w:u w:val="single"/>
        </w:rPr>
        <w:tab/>
        <w:t>/s/</w:t>
      </w:r>
      <w:r w:rsidR="00C8146D">
        <w:rPr>
          <w:szCs w:val="24"/>
          <w:u w:val="single"/>
        </w:rPr>
        <w:tab/>
      </w:r>
      <w:r w:rsidR="00C8146D">
        <w:rPr>
          <w:szCs w:val="24"/>
          <w:u w:val="single"/>
        </w:rPr>
        <w:tab/>
      </w:r>
      <w:r w:rsidR="00C8146D">
        <w:rPr>
          <w:szCs w:val="24"/>
          <w:u w:val="single"/>
        </w:rPr>
        <w:tab/>
      </w:r>
    </w:p>
    <w:p w14:paraId="61B656D4" w14:textId="55F97119" w:rsidR="00C8146D" w:rsidRDefault="00C8146D" w:rsidP="00C8146D">
      <w:pPr>
        <w:pStyle w:val="NoSpacing"/>
      </w:pPr>
      <w:r>
        <w:tab/>
      </w:r>
      <w:r>
        <w:tab/>
      </w:r>
      <w:r>
        <w:tab/>
      </w:r>
      <w:r>
        <w:tab/>
      </w:r>
      <w:r>
        <w:tab/>
      </w:r>
      <w:r>
        <w:tab/>
      </w:r>
      <w:r>
        <w:tab/>
        <w:t>Marta Guhl</w:t>
      </w:r>
    </w:p>
    <w:p w14:paraId="5D749D87" w14:textId="374A9580" w:rsidR="00C8146D" w:rsidRPr="00C8146D" w:rsidRDefault="00C8146D" w:rsidP="00C8146D">
      <w:pPr>
        <w:pStyle w:val="NoSpacing"/>
      </w:pPr>
      <w:r>
        <w:tab/>
      </w:r>
      <w:r>
        <w:tab/>
      </w:r>
      <w:r>
        <w:tab/>
      </w:r>
      <w:r>
        <w:tab/>
      </w:r>
      <w:r>
        <w:tab/>
      </w:r>
      <w:r>
        <w:tab/>
      </w:r>
      <w:r>
        <w:tab/>
        <w:t>Administrative Law Judge</w:t>
      </w:r>
    </w:p>
    <w:p w14:paraId="35F2710E" w14:textId="3FE789F5" w:rsidR="009306C4" w:rsidRDefault="009306C4">
      <w:pPr>
        <w:spacing w:after="200" w:line="276" w:lineRule="auto"/>
      </w:pPr>
      <w:r>
        <w:br w:type="page"/>
      </w:r>
    </w:p>
    <w:p w14:paraId="0487431A" w14:textId="77777777" w:rsidR="00391367" w:rsidRPr="00D32F52" w:rsidRDefault="00391367" w:rsidP="00391367">
      <w:pPr>
        <w:contextualSpacing/>
        <w:rPr>
          <w:rFonts w:eastAsia="Microsoft Sans Serif"/>
          <w:b/>
          <w:u w:val="single"/>
        </w:rPr>
      </w:pPr>
      <w:r w:rsidRPr="00D32F52">
        <w:rPr>
          <w:rFonts w:eastAsia="Microsoft Sans Serif"/>
          <w:b/>
          <w:u w:val="single"/>
        </w:rPr>
        <w:lastRenderedPageBreak/>
        <w:t xml:space="preserve">R-2019-3007636 -Pennsylvania Public Utility Commission v. Philadelphia Gas Works 1307(F)  </w:t>
      </w:r>
    </w:p>
    <w:p w14:paraId="5425E07C" w14:textId="77777777" w:rsidR="00391367" w:rsidRPr="00D32F52" w:rsidRDefault="00391367" w:rsidP="00391367">
      <w:pPr>
        <w:contextualSpacing/>
        <w:rPr>
          <w:rFonts w:eastAsia="Microsoft Sans Serif"/>
          <w:b/>
          <w:u w:val="single"/>
        </w:rPr>
      </w:pPr>
    </w:p>
    <w:p w14:paraId="4C21DD0C" w14:textId="77777777" w:rsidR="00391367" w:rsidRPr="00D32F52" w:rsidRDefault="00391367" w:rsidP="00391367">
      <w:pPr>
        <w:contextualSpacing/>
        <w:rPr>
          <w:i/>
        </w:rPr>
      </w:pPr>
      <w:r w:rsidRPr="00D32F52">
        <w:rPr>
          <w:rFonts w:eastAsia="Microsoft Sans Serif"/>
        </w:rPr>
        <w:t>BRANDON J PIERCE ESQUIRE</w:t>
      </w:r>
      <w:r w:rsidRPr="00D32F52">
        <w:rPr>
          <w:rFonts w:eastAsia="Microsoft Sans Serif"/>
        </w:rPr>
        <w:cr/>
        <w:t>PHILADELPHIA GAS WORKS</w:t>
      </w:r>
      <w:r w:rsidRPr="00D32F52">
        <w:rPr>
          <w:rFonts w:eastAsia="Microsoft Sans Serif"/>
        </w:rPr>
        <w:cr/>
        <w:t>800 WEST MONTGOMERY AVENUE</w:t>
      </w:r>
      <w:r w:rsidRPr="00D32F52">
        <w:rPr>
          <w:rFonts w:eastAsia="Microsoft Sans Serif"/>
        </w:rPr>
        <w:cr/>
        <w:t>LEGAL 4TH FLOOR</w:t>
      </w:r>
      <w:r w:rsidRPr="00D32F52">
        <w:rPr>
          <w:rFonts w:eastAsia="Microsoft Sans Serif"/>
        </w:rPr>
        <w:cr/>
        <w:t>PHILADELPHIA PA  19122</w:t>
      </w:r>
      <w:r w:rsidRPr="00D32F52">
        <w:rPr>
          <w:rFonts w:eastAsia="Microsoft Sans Serif"/>
        </w:rPr>
        <w:cr/>
      </w:r>
      <w:r w:rsidRPr="00D32F52">
        <w:rPr>
          <w:rFonts w:eastAsia="Microsoft Sans Serif"/>
          <w:b/>
        </w:rPr>
        <w:t>215.684.6219</w:t>
      </w:r>
      <w:r w:rsidRPr="00D32F52">
        <w:rPr>
          <w:rFonts w:eastAsia="Microsoft Sans Serif"/>
        </w:rPr>
        <w:cr/>
      </w:r>
      <w:r w:rsidRPr="00D32F52">
        <w:rPr>
          <w:rFonts w:eastAsia="Microsoft Sans Serif"/>
          <w:b/>
          <w:i/>
          <w:u w:val="single"/>
        </w:rPr>
        <w:t xml:space="preserve">Accepts E-Service </w:t>
      </w:r>
      <w:r w:rsidRPr="00D32F52">
        <w:rPr>
          <w:rFonts w:eastAsia="Microsoft Sans Serif"/>
        </w:rPr>
        <w:cr/>
      </w:r>
      <w:r w:rsidRPr="00D32F52">
        <w:rPr>
          <w:rFonts w:eastAsia="Microsoft Sans Serif"/>
          <w:i/>
        </w:rPr>
        <w:t xml:space="preserve">Representing Philadelphia Gas Works </w:t>
      </w:r>
    </w:p>
    <w:p w14:paraId="4A29F3B2" w14:textId="77777777" w:rsidR="00391367" w:rsidRPr="00D32F52" w:rsidRDefault="00391367" w:rsidP="00391367">
      <w:pPr>
        <w:contextualSpacing/>
        <w:rPr>
          <w:rFonts w:eastAsia="Microsoft Sans Serif"/>
          <w:b/>
          <w:u w:val="single"/>
        </w:rPr>
      </w:pPr>
    </w:p>
    <w:p w14:paraId="4676C171" w14:textId="77777777" w:rsidR="00391367" w:rsidRPr="00D32F52" w:rsidRDefault="00391367" w:rsidP="00391367">
      <w:pPr>
        <w:contextualSpacing/>
        <w:rPr>
          <w:rFonts w:eastAsia="Microsoft Sans Serif"/>
        </w:rPr>
      </w:pPr>
      <w:r w:rsidRPr="00D32F52">
        <w:rPr>
          <w:rFonts w:eastAsia="Microsoft Sans Serif"/>
        </w:rPr>
        <w:t>GINA L MILLER ESQUIRE</w:t>
      </w:r>
      <w:r w:rsidRPr="00D32F52">
        <w:rPr>
          <w:rFonts w:eastAsia="Microsoft Sans Serif"/>
        </w:rPr>
        <w:cr/>
        <w:t xml:space="preserve">PA PUC BUREAU OF INVESTIGATION </w:t>
      </w:r>
    </w:p>
    <w:p w14:paraId="54E7D45B" w14:textId="77777777" w:rsidR="00391367" w:rsidRPr="00D32F52" w:rsidRDefault="00391367" w:rsidP="00391367">
      <w:pPr>
        <w:contextualSpacing/>
        <w:rPr>
          <w:rFonts w:eastAsia="Microsoft Sans Serif"/>
          <w:b/>
          <w:i/>
          <w:u w:val="single"/>
        </w:rPr>
      </w:pPr>
      <w:r w:rsidRPr="00D32F52">
        <w:rPr>
          <w:rFonts w:eastAsia="Microsoft Sans Serif"/>
        </w:rPr>
        <w:t>AND ENFORCEMENT</w:t>
      </w:r>
      <w:r w:rsidRPr="00D32F52">
        <w:rPr>
          <w:rFonts w:eastAsia="Microsoft Sans Serif"/>
        </w:rPr>
        <w:cr/>
        <w:t xml:space="preserve">400 NORTH STREET </w:t>
      </w:r>
      <w:r w:rsidRPr="00D32F52">
        <w:rPr>
          <w:rFonts w:eastAsia="Microsoft Sans Serif"/>
        </w:rPr>
        <w:cr/>
        <w:t>HARRISBURG PA  17120</w:t>
      </w:r>
      <w:r w:rsidRPr="00D32F52">
        <w:rPr>
          <w:rFonts w:eastAsia="Microsoft Sans Serif"/>
        </w:rPr>
        <w:cr/>
      </w:r>
      <w:r w:rsidRPr="00D32F52">
        <w:rPr>
          <w:rFonts w:eastAsia="Microsoft Sans Serif"/>
          <w:b/>
        </w:rPr>
        <w:t>717.783.8754</w:t>
      </w:r>
      <w:r w:rsidRPr="00D32F52">
        <w:rPr>
          <w:rFonts w:eastAsia="Microsoft Sans Serif"/>
        </w:rPr>
        <w:cr/>
      </w:r>
      <w:r w:rsidRPr="00D32F52">
        <w:rPr>
          <w:rFonts w:eastAsia="Microsoft Sans Serif"/>
          <w:b/>
          <w:i/>
          <w:u w:val="single"/>
        </w:rPr>
        <w:t xml:space="preserve">Accepts E-Service </w:t>
      </w:r>
    </w:p>
    <w:p w14:paraId="5CCA8BC3" w14:textId="77777777" w:rsidR="00391367" w:rsidRPr="00D32F52" w:rsidRDefault="00391367" w:rsidP="00391367">
      <w:pPr>
        <w:contextualSpacing/>
        <w:rPr>
          <w:rFonts w:eastAsia="Microsoft Sans Serif"/>
          <w:i/>
        </w:rPr>
      </w:pPr>
      <w:r w:rsidRPr="00D32F52">
        <w:rPr>
          <w:rFonts w:eastAsia="Microsoft Sans Serif"/>
          <w:i/>
        </w:rPr>
        <w:t xml:space="preserve">Representing PUC Bureau of Investigation and Enforcement </w:t>
      </w:r>
    </w:p>
    <w:p w14:paraId="61609679" w14:textId="77777777" w:rsidR="00391367" w:rsidRPr="00D32F52" w:rsidRDefault="00391367" w:rsidP="00391367">
      <w:pPr>
        <w:contextualSpacing/>
        <w:rPr>
          <w:rFonts w:eastAsia="Microsoft Sans Serif"/>
          <w:i/>
        </w:rPr>
      </w:pPr>
    </w:p>
    <w:p w14:paraId="5179899B" w14:textId="77777777" w:rsidR="00391367" w:rsidRPr="00D32F52" w:rsidRDefault="00391367" w:rsidP="00391367">
      <w:pPr>
        <w:contextualSpacing/>
        <w:rPr>
          <w:rFonts w:eastAsia="Microsoft Sans Serif"/>
        </w:rPr>
      </w:pPr>
      <w:r w:rsidRPr="00D32F52">
        <w:rPr>
          <w:rFonts w:eastAsia="Microsoft Sans Serif"/>
        </w:rPr>
        <w:t>SHARON WEBB ESQUIRE</w:t>
      </w:r>
    </w:p>
    <w:p w14:paraId="3EA0DD7E" w14:textId="77777777" w:rsidR="00391367" w:rsidRPr="00D32F52" w:rsidRDefault="00391367" w:rsidP="00391367">
      <w:pPr>
        <w:contextualSpacing/>
        <w:rPr>
          <w:rFonts w:eastAsia="Microsoft Sans Serif"/>
        </w:rPr>
      </w:pPr>
      <w:r w:rsidRPr="00D32F52">
        <w:rPr>
          <w:rFonts w:eastAsia="Microsoft Sans Serif"/>
        </w:rPr>
        <w:t>OFFICE OF SMALL BUSINESS ADVOCATE</w:t>
      </w:r>
    </w:p>
    <w:p w14:paraId="3C5E10FA" w14:textId="77777777" w:rsidR="00391367" w:rsidRPr="00D32F52" w:rsidRDefault="00391367" w:rsidP="00391367">
      <w:pPr>
        <w:contextualSpacing/>
        <w:rPr>
          <w:rFonts w:eastAsia="Microsoft Sans Serif"/>
        </w:rPr>
      </w:pPr>
      <w:r w:rsidRPr="00D32F52">
        <w:rPr>
          <w:rFonts w:eastAsia="Microsoft Sans Serif"/>
        </w:rPr>
        <w:t>300 N 2</w:t>
      </w:r>
      <w:r w:rsidRPr="00D32F52">
        <w:rPr>
          <w:rFonts w:eastAsia="Microsoft Sans Serif"/>
          <w:vertAlign w:val="superscript"/>
        </w:rPr>
        <w:t>ND</w:t>
      </w:r>
      <w:r w:rsidRPr="00D32F52">
        <w:rPr>
          <w:rFonts w:eastAsia="Microsoft Sans Serif"/>
        </w:rPr>
        <w:t xml:space="preserve"> ST STE 202 </w:t>
      </w:r>
    </w:p>
    <w:p w14:paraId="7FBE175D" w14:textId="77777777" w:rsidR="00391367" w:rsidRPr="00D32F52" w:rsidRDefault="00391367" w:rsidP="00391367">
      <w:pPr>
        <w:contextualSpacing/>
        <w:rPr>
          <w:rFonts w:eastAsia="Microsoft Sans Serif"/>
        </w:rPr>
      </w:pPr>
      <w:r w:rsidRPr="00D32F52">
        <w:rPr>
          <w:rFonts w:eastAsia="Microsoft Sans Serif"/>
        </w:rPr>
        <w:t>HARRISBURG PA  17101</w:t>
      </w:r>
    </w:p>
    <w:p w14:paraId="3A93551A" w14:textId="77777777" w:rsidR="00391367" w:rsidRPr="00D32F52" w:rsidRDefault="00391367" w:rsidP="00391367">
      <w:pPr>
        <w:contextualSpacing/>
        <w:rPr>
          <w:rFonts w:eastAsia="Microsoft Sans Serif"/>
          <w:b/>
        </w:rPr>
      </w:pPr>
      <w:r w:rsidRPr="00D32F52">
        <w:rPr>
          <w:rFonts w:eastAsia="Microsoft Sans Serif"/>
          <w:b/>
        </w:rPr>
        <w:t>717.783.2525</w:t>
      </w:r>
    </w:p>
    <w:p w14:paraId="4134AC46" w14:textId="77777777" w:rsidR="00391367" w:rsidRPr="00D32F52" w:rsidRDefault="00391367" w:rsidP="00391367">
      <w:pPr>
        <w:contextualSpacing/>
        <w:rPr>
          <w:rFonts w:eastAsia="Microsoft Sans Serif"/>
          <w:i/>
        </w:rPr>
      </w:pPr>
      <w:r w:rsidRPr="00D32F52">
        <w:rPr>
          <w:rFonts w:eastAsia="Microsoft Sans Serif"/>
          <w:i/>
        </w:rPr>
        <w:t xml:space="preserve">Representing Office of Small Business Advocate </w:t>
      </w:r>
    </w:p>
    <w:p w14:paraId="1CC1CD80" w14:textId="77777777" w:rsidR="00391367" w:rsidRPr="00D32F52" w:rsidRDefault="00391367" w:rsidP="00391367">
      <w:pPr>
        <w:contextualSpacing/>
        <w:rPr>
          <w:rFonts w:eastAsia="Microsoft Sans Serif"/>
          <w:i/>
        </w:rPr>
      </w:pPr>
    </w:p>
    <w:p w14:paraId="51F579B2" w14:textId="77777777" w:rsidR="00391367" w:rsidRPr="00D32F52" w:rsidRDefault="00391367" w:rsidP="00391367">
      <w:pPr>
        <w:contextualSpacing/>
        <w:rPr>
          <w:rFonts w:eastAsia="Microsoft Sans Serif"/>
        </w:rPr>
      </w:pPr>
      <w:r w:rsidRPr="00D32F52">
        <w:rPr>
          <w:rFonts w:eastAsia="Microsoft Sans Serif"/>
        </w:rPr>
        <w:t>HARRISON W BREITMAN ATTORNEY</w:t>
      </w:r>
    </w:p>
    <w:p w14:paraId="514A8578" w14:textId="77777777" w:rsidR="00391367" w:rsidRPr="00D32F52" w:rsidRDefault="00391367" w:rsidP="00391367">
      <w:pPr>
        <w:contextualSpacing/>
        <w:rPr>
          <w:rFonts w:eastAsia="Microsoft Sans Serif"/>
        </w:rPr>
      </w:pPr>
      <w:r w:rsidRPr="00D32F52">
        <w:rPr>
          <w:rFonts w:eastAsia="Microsoft Sans Serif"/>
        </w:rPr>
        <w:t>LAUREN M BURGE ESQUIRE</w:t>
      </w:r>
    </w:p>
    <w:p w14:paraId="32EF2456" w14:textId="77777777" w:rsidR="00391367" w:rsidRPr="00D32F52" w:rsidRDefault="00391367" w:rsidP="00391367">
      <w:pPr>
        <w:contextualSpacing/>
        <w:rPr>
          <w:rFonts w:eastAsia="Microsoft Sans Serif"/>
        </w:rPr>
      </w:pPr>
      <w:r w:rsidRPr="00D32F52">
        <w:rPr>
          <w:rFonts w:eastAsia="Microsoft Sans Serif"/>
        </w:rPr>
        <w:t>OFFICE OF CONSUMER ADVOCATE</w:t>
      </w:r>
    </w:p>
    <w:p w14:paraId="1B51C59F" w14:textId="77777777" w:rsidR="00391367" w:rsidRPr="00D32F52" w:rsidRDefault="00391367" w:rsidP="00391367">
      <w:pPr>
        <w:contextualSpacing/>
        <w:rPr>
          <w:rFonts w:eastAsia="Microsoft Sans Serif"/>
        </w:rPr>
      </w:pPr>
      <w:r w:rsidRPr="00D32F52">
        <w:rPr>
          <w:rFonts w:eastAsia="Microsoft Sans Serif"/>
        </w:rPr>
        <w:t>555 WALNUT ST 5</w:t>
      </w:r>
      <w:r w:rsidRPr="00D32F52">
        <w:rPr>
          <w:rFonts w:eastAsia="Microsoft Sans Serif"/>
          <w:vertAlign w:val="superscript"/>
        </w:rPr>
        <w:t>TH</w:t>
      </w:r>
      <w:r w:rsidRPr="00D32F52">
        <w:rPr>
          <w:rFonts w:eastAsia="Microsoft Sans Serif"/>
        </w:rPr>
        <w:t xml:space="preserve"> FL </w:t>
      </w:r>
    </w:p>
    <w:p w14:paraId="2B171817" w14:textId="77777777" w:rsidR="00391367" w:rsidRPr="00D32F52" w:rsidRDefault="00391367" w:rsidP="00391367">
      <w:pPr>
        <w:contextualSpacing/>
        <w:rPr>
          <w:rFonts w:eastAsia="Microsoft Sans Serif"/>
        </w:rPr>
      </w:pPr>
      <w:r w:rsidRPr="00D32F52">
        <w:rPr>
          <w:rFonts w:eastAsia="Microsoft Sans Serif"/>
        </w:rPr>
        <w:t>FORUM PLACE</w:t>
      </w:r>
    </w:p>
    <w:p w14:paraId="3003EE18" w14:textId="77777777" w:rsidR="00391367" w:rsidRPr="00D32F52" w:rsidRDefault="00391367" w:rsidP="00391367">
      <w:pPr>
        <w:contextualSpacing/>
        <w:rPr>
          <w:rFonts w:eastAsia="Microsoft Sans Serif"/>
        </w:rPr>
      </w:pPr>
      <w:r w:rsidRPr="00D32F52">
        <w:rPr>
          <w:rFonts w:eastAsia="Microsoft Sans Serif"/>
        </w:rPr>
        <w:t>HARRISBURG PA  17101</w:t>
      </w:r>
    </w:p>
    <w:p w14:paraId="21D1C9FD" w14:textId="77777777" w:rsidR="00391367" w:rsidRPr="00D32F52" w:rsidRDefault="00391367" w:rsidP="00391367">
      <w:pPr>
        <w:contextualSpacing/>
        <w:rPr>
          <w:rFonts w:eastAsia="Microsoft Sans Serif"/>
          <w:b/>
        </w:rPr>
      </w:pPr>
      <w:r w:rsidRPr="00D32F52">
        <w:rPr>
          <w:rFonts w:eastAsia="Microsoft Sans Serif"/>
          <w:b/>
        </w:rPr>
        <w:t>717.783.5048</w:t>
      </w:r>
    </w:p>
    <w:p w14:paraId="083EBC64" w14:textId="77777777" w:rsidR="00391367" w:rsidRPr="00D32F52" w:rsidRDefault="00391367" w:rsidP="00391367">
      <w:pPr>
        <w:contextualSpacing/>
        <w:rPr>
          <w:rFonts w:eastAsia="Microsoft Sans Serif"/>
          <w:b/>
          <w:i/>
          <w:u w:val="single"/>
        </w:rPr>
      </w:pPr>
      <w:r w:rsidRPr="00D32F52">
        <w:rPr>
          <w:rFonts w:eastAsia="Microsoft Sans Serif"/>
          <w:b/>
          <w:i/>
          <w:u w:val="single"/>
        </w:rPr>
        <w:t xml:space="preserve">Accepts E-Service </w:t>
      </w:r>
    </w:p>
    <w:p w14:paraId="69CDF4C2" w14:textId="77777777" w:rsidR="00391367" w:rsidRPr="00D32F52" w:rsidRDefault="00391367" w:rsidP="00391367">
      <w:pPr>
        <w:contextualSpacing/>
        <w:rPr>
          <w:rFonts w:eastAsia="Microsoft Sans Serif"/>
          <w:i/>
        </w:rPr>
      </w:pPr>
      <w:r w:rsidRPr="00D32F52">
        <w:rPr>
          <w:rFonts w:eastAsia="Microsoft Sans Serif"/>
          <w:i/>
        </w:rPr>
        <w:t xml:space="preserve">Representing Office of Consumer Advocate </w:t>
      </w:r>
    </w:p>
    <w:p w14:paraId="1D33ABAB" w14:textId="553A352D" w:rsidR="00391367" w:rsidRDefault="00391367" w:rsidP="00391367">
      <w:pPr>
        <w:contextualSpacing/>
        <w:rPr>
          <w:rFonts w:eastAsia="Microsoft Sans Serif"/>
          <w:i/>
        </w:rPr>
      </w:pPr>
    </w:p>
    <w:p w14:paraId="3516D571" w14:textId="48071E93" w:rsidR="000747F2" w:rsidRDefault="000747F2">
      <w:pPr>
        <w:spacing w:after="200" w:line="276" w:lineRule="auto"/>
        <w:rPr>
          <w:rFonts w:eastAsia="Microsoft Sans Serif"/>
        </w:rPr>
      </w:pPr>
      <w:r>
        <w:rPr>
          <w:rFonts w:eastAsia="Microsoft Sans Serif"/>
        </w:rPr>
        <w:br w:type="page"/>
      </w:r>
    </w:p>
    <w:p w14:paraId="6DC8E89B" w14:textId="77777777" w:rsidR="00391367" w:rsidRPr="00D32F52" w:rsidRDefault="00391367" w:rsidP="00391367">
      <w:pPr>
        <w:contextualSpacing/>
        <w:rPr>
          <w:rFonts w:eastAsia="Microsoft Sans Serif"/>
        </w:rPr>
      </w:pPr>
      <w:bookmarkStart w:id="2" w:name="_GoBack"/>
      <w:bookmarkEnd w:id="2"/>
      <w:r w:rsidRPr="00D32F52">
        <w:rPr>
          <w:rFonts w:eastAsia="Microsoft Sans Serif"/>
        </w:rPr>
        <w:lastRenderedPageBreak/>
        <w:t>CHARIS MINCAVAGE ESQUIRE</w:t>
      </w:r>
    </w:p>
    <w:p w14:paraId="4F906FDA" w14:textId="77777777" w:rsidR="00391367" w:rsidRPr="00D32F52" w:rsidRDefault="00391367" w:rsidP="00391367">
      <w:pPr>
        <w:contextualSpacing/>
        <w:rPr>
          <w:rFonts w:eastAsia="Microsoft Sans Serif"/>
        </w:rPr>
      </w:pPr>
      <w:r w:rsidRPr="00D32F52">
        <w:rPr>
          <w:rFonts w:eastAsia="Microsoft Sans Serif"/>
        </w:rPr>
        <w:t>ADEOLU A BAKARE ESQUIRE</w:t>
      </w:r>
    </w:p>
    <w:p w14:paraId="731FED9C" w14:textId="77777777" w:rsidR="00391367" w:rsidRPr="00D32F52" w:rsidRDefault="00391367" w:rsidP="00391367">
      <w:pPr>
        <w:contextualSpacing/>
        <w:rPr>
          <w:rFonts w:eastAsia="Microsoft Sans Serif"/>
        </w:rPr>
      </w:pPr>
      <w:r w:rsidRPr="00D32F52">
        <w:rPr>
          <w:rFonts w:eastAsia="Microsoft Sans Serif"/>
        </w:rPr>
        <w:t>ALESSANDRA L HYLANDER ESQUIRE</w:t>
      </w:r>
    </w:p>
    <w:p w14:paraId="2AEB7DB2" w14:textId="77777777" w:rsidR="00391367" w:rsidRPr="00D32F52" w:rsidRDefault="00391367" w:rsidP="00391367">
      <w:pPr>
        <w:contextualSpacing/>
        <w:rPr>
          <w:rFonts w:eastAsia="Microsoft Sans Serif"/>
        </w:rPr>
      </w:pPr>
      <w:r w:rsidRPr="00D32F52">
        <w:rPr>
          <w:rFonts w:eastAsia="Microsoft Sans Serif"/>
        </w:rPr>
        <w:t>MCNEES WALLACE &amp; NURICK</w:t>
      </w:r>
    </w:p>
    <w:p w14:paraId="2741F19A" w14:textId="77777777" w:rsidR="00391367" w:rsidRPr="00D32F52" w:rsidRDefault="00391367" w:rsidP="00391367">
      <w:pPr>
        <w:contextualSpacing/>
        <w:rPr>
          <w:rFonts w:eastAsia="Microsoft Sans Serif"/>
        </w:rPr>
      </w:pPr>
      <w:r w:rsidRPr="00D32F52">
        <w:rPr>
          <w:rFonts w:eastAsia="Microsoft Sans Serif"/>
        </w:rPr>
        <w:t>100 PINE STREET</w:t>
      </w:r>
    </w:p>
    <w:p w14:paraId="27DE75EA" w14:textId="77777777" w:rsidR="00391367" w:rsidRPr="00D32F52" w:rsidRDefault="00391367" w:rsidP="00391367">
      <w:pPr>
        <w:contextualSpacing/>
        <w:rPr>
          <w:rFonts w:eastAsia="Microsoft Sans Serif"/>
        </w:rPr>
      </w:pPr>
      <w:r w:rsidRPr="00D32F52">
        <w:rPr>
          <w:rFonts w:eastAsia="Microsoft Sans Serif"/>
        </w:rPr>
        <w:t>PO BOX 1166</w:t>
      </w:r>
    </w:p>
    <w:p w14:paraId="1C5E6B1A" w14:textId="77777777" w:rsidR="00391367" w:rsidRPr="00D32F52" w:rsidRDefault="00391367" w:rsidP="00391367">
      <w:pPr>
        <w:contextualSpacing/>
        <w:rPr>
          <w:rFonts w:eastAsia="Microsoft Sans Serif"/>
        </w:rPr>
      </w:pPr>
      <w:r w:rsidRPr="00D32F52">
        <w:rPr>
          <w:rFonts w:eastAsia="Microsoft Sans Serif"/>
        </w:rPr>
        <w:t>HARRISBURG PA  17108</w:t>
      </w:r>
    </w:p>
    <w:p w14:paraId="6D3F76CB" w14:textId="77777777" w:rsidR="00391367" w:rsidRPr="00D32F52" w:rsidRDefault="00391367" w:rsidP="00391367">
      <w:pPr>
        <w:contextualSpacing/>
        <w:rPr>
          <w:rFonts w:eastAsia="Microsoft Sans Serif"/>
          <w:b/>
        </w:rPr>
      </w:pPr>
      <w:r w:rsidRPr="00D32F52">
        <w:rPr>
          <w:rFonts w:eastAsia="Microsoft Sans Serif"/>
          <w:b/>
        </w:rPr>
        <w:t>717.237.5437</w:t>
      </w:r>
    </w:p>
    <w:p w14:paraId="36BD4C59" w14:textId="77777777" w:rsidR="00391367" w:rsidRPr="00D32F52" w:rsidRDefault="00391367" w:rsidP="00391367">
      <w:pPr>
        <w:contextualSpacing/>
        <w:rPr>
          <w:rFonts w:eastAsia="Microsoft Sans Serif"/>
          <w:b/>
        </w:rPr>
      </w:pPr>
      <w:r w:rsidRPr="00D32F52">
        <w:rPr>
          <w:rFonts w:eastAsia="Microsoft Sans Serif"/>
          <w:b/>
        </w:rPr>
        <w:t>717.237.5290</w:t>
      </w:r>
    </w:p>
    <w:p w14:paraId="1726BCE3" w14:textId="77777777" w:rsidR="00391367" w:rsidRPr="00D32F52" w:rsidRDefault="00391367" w:rsidP="00391367">
      <w:pPr>
        <w:contextualSpacing/>
        <w:rPr>
          <w:rFonts w:eastAsia="Microsoft Sans Serif"/>
          <w:b/>
        </w:rPr>
      </w:pPr>
      <w:r w:rsidRPr="00D32F52">
        <w:rPr>
          <w:rFonts w:eastAsia="Microsoft Sans Serif"/>
          <w:b/>
        </w:rPr>
        <w:t>717.237.5425</w:t>
      </w:r>
    </w:p>
    <w:p w14:paraId="4429200A" w14:textId="77777777" w:rsidR="00391367" w:rsidRPr="00D32F52" w:rsidRDefault="00391367" w:rsidP="00391367">
      <w:pPr>
        <w:contextualSpacing/>
        <w:rPr>
          <w:rFonts w:eastAsia="Microsoft Sans Serif"/>
          <w:b/>
          <w:i/>
          <w:u w:val="single"/>
        </w:rPr>
      </w:pPr>
      <w:r w:rsidRPr="00D32F52">
        <w:rPr>
          <w:rFonts w:eastAsia="Microsoft Sans Serif"/>
          <w:b/>
          <w:i/>
          <w:u w:val="single"/>
        </w:rPr>
        <w:t xml:space="preserve">Accepts E-Service </w:t>
      </w:r>
    </w:p>
    <w:p w14:paraId="78BEF5B9" w14:textId="77777777" w:rsidR="00391367" w:rsidRPr="00D32F52" w:rsidRDefault="00391367" w:rsidP="00391367">
      <w:pPr>
        <w:contextualSpacing/>
        <w:rPr>
          <w:rFonts w:eastAsia="Microsoft Sans Serif"/>
          <w:i/>
        </w:rPr>
      </w:pPr>
      <w:r w:rsidRPr="00D32F52">
        <w:rPr>
          <w:rFonts w:eastAsia="Microsoft Sans Serif"/>
          <w:i/>
        </w:rPr>
        <w:t xml:space="preserve">Representing Philadelphia Industrial Commercial Gas Users Group </w:t>
      </w:r>
    </w:p>
    <w:p w14:paraId="50E5AF18" w14:textId="77777777" w:rsidR="00391367" w:rsidRPr="00D32F52" w:rsidRDefault="00391367" w:rsidP="00391367">
      <w:pPr>
        <w:contextualSpacing/>
      </w:pPr>
    </w:p>
    <w:sectPr w:rsidR="00391367" w:rsidRPr="00D32F52" w:rsidSect="00F0267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A00D3" w14:textId="77777777" w:rsidR="00215130" w:rsidRDefault="00215130" w:rsidP="000B6AB3">
      <w:r>
        <w:separator/>
      </w:r>
    </w:p>
  </w:endnote>
  <w:endnote w:type="continuationSeparator" w:id="0">
    <w:p w14:paraId="723F2E6B" w14:textId="77777777" w:rsidR="00215130" w:rsidRDefault="00215130" w:rsidP="000B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51C0" w14:textId="77777777" w:rsidR="00F0267E" w:rsidRPr="00F0267E" w:rsidRDefault="00F0267E">
    <w:pPr>
      <w:pStyle w:val="Footer"/>
      <w:tabs>
        <w:tab w:val="clear" w:pos="4680"/>
        <w:tab w:val="clear" w:pos="9360"/>
      </w:tabs>
      <w:jc w:val="center"/>
      <w:rPr>
        <w:caps/>
        <w:noProof/>
        <w:sz w:val="20"/>
      </w:rPr>
    </w:pPr>
    <w:r w:rsidRPr="00F0267E">
      <w:rPr>
        <w:caps/>
        <w:sz w:val="20"/>
      </w:rPr>
      <w:fldChar w:fldCharType="begin"/>
    </w:r>
    <w:r w:rsidRPr="00F0267E">
      <w:rPr>
        <w:caps/>
        <w:sz w:val="20"/>
      </w:rPr>
      <w:instrText xml:space="preserve"> PAGE   \* MERGEFORMAT </w:instrText>
    </w:r>
    <w:r w:rsidRPr="00F0267E">
      <w:rPr>
        <w:caps/>
        <w:sz w:val="20"/>
      </w:rPr>
      <w:fldChar w:fldCharType="separate"/>
    </w:r>
    <w:r w:rsidRPr="00F0267E">
      <w:rPr>
        <w:caps/>
        <w:noProof/>
        <w:sz w:val="20"/>
      </w:rPr>
      <w:t>2</w:t>
    </w:r>
    <w:r w:rsidRPr="00F0267E">
      <w:rPr>
        <w:caps/>
        <w:noProof/>
        <w:sz w:val="20"/>
      </w:rPr>
      <w:fldChar w:fldCharType="end"/>
    </w:r>
  </w:p>
  <w:p w14:paraId="37C62096" w14:textId="77777777" w:rsidR="00F0267E" w:rsidRDefault="00F0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B53E1" w14:textId="77777777" w:rsidR="00215130" w:rsidRDefault="00215130" w:rsidP="000B6AB3">
      <w:r>
        <w:separator/>
      </w:r>
    </w:p>
  </w:footnote>
  <w:footnote w:type="continuationSeparator" w:id="0">
    <w:p w14:paraId="58BAC2D2" w14:textId="77777777" w:rsidR="00215130" w:rsidRDefault="00215130" w:rsidP="000B6AB3">
      <w:r>
        <w:continuationSeparator/>
      </w:r>
    </w:p>
  </w:footnote>
  <w:footnote w:id="1">
    <w:p w14:paraId="433387C8" w14:textId="2FBE7EAB" w:rsidR="00C37396" w:rsidRDefault="00C37396">
      <w:pPr>
        <w:pStyle w:val="FootnoteText"/>
      </w:pPr>
      <w:r>
        <w:rPr>
          <w:rStyle w:val="FootnoteReference"/>
        </w:rPr>
        <w:footnoteRef/>
      </w:r>
      <w:r>
        <w:t xml:space="preserve"> </w:t>
      </w:r>
      <w:r>
        <w:tab/>
        <w:t xml:space="preserve">LNG stands for liquified natural gas.  </w:t>
      </w:r>
    </w:p>
  </w:footnote>
  <w:footnote w:id="2">
    <w:p w14:paraId="59A87712" w14:textId="55A950AF" w:rsidR="000B6AB3" w:rsidRDefault="000B6AB3" w:rsidP="000B6AB3">
      <w:pPr>
        <w:pStyle w:val="FootnoteText"/>
      </w:pPr>
      <w:r>
        <w:rPr>
          <w:rStyle w:val="FootnoteReference"/>
        </w:rPr>
        <w:footnoteRef/>
      </w:r>
      <w:r>
        <w:t xml:space="preserve"> </w:t>
      </w:r>
      <w:r>
        <w:tab/>
        <w:t>52 Pa.Code § 5.403(a)(1).</w:t>
      </w:r>
    </w:p>
  </w:footnote>
  <w:footnote w:id="3">
    <w:p w14:paraId="2EECD71D" w14:textId="5B89402F" w:rsidR="000B6AB3" w:rsidRDefault="000B6AB3" w:rsidP="000B6AB3">
      <w:pPr>
        <w:pStyle w:val="FootnoteText"/>
      </w:pPr>
      <w:r>
        <w:rPr>
          <w:rStyle w:val="FootnoteReference"/>
        </w:rPr>
        <w:footnoteRef/>
      </w:r>
      <w:r>
        <w:t xml:space="preserve"> </w:t>
      </w:r>
      <w:r>
        <w:tab/>
        <w:t>52 Pa.Code §§ 5.403(a)(2)(iv) and §5.483(a).</w:t>
      </w:r>
    </w:p>
  </w:footnote>
  <w:footnote w:id="4">
    <w:p w14:paraId="4F054AC0" w14:textId="3B703985" w:rsidR="000B6AB3" w:rsidRDefault="000B6AB3" w:rsidP="000B6AB3">
      <w:pPr>
        <w:pStyle w:val="FootnoteText"/>
      </w:pPr>
      <w:r>
        <w:rPr>
          <w:rStyle w:val="FootnoteReference"/>
        </w:rPr>
        <w:footnoteRef/>
      </w:r>
      <w:r>
        <w:t xml:space="preserve"> </w:t>
      </w:r>
      <w:r>
        <w:tab/>
        <w:t>66 Pa.C.S. § 332(b).</w:t>
      </w:r>
    </w:p>
  </w:footnote>
  <w:footnote w:id="5">
    <w:p w14:paraId="3D110195" w14:textId="77777777" w:rsidR="0011419C" w:rsidRDefault="0011419C" w:rsidP="0011419C">
      <w:pPr>
        <w:pStyle w:val="FootnoteText"/>
      </w:pPr>
      <w:r>
        <w:rPr>
          <w:rStyle w:val="FootnoteReference"/>
        </w:rPr>
        <w:footnoteRef/>
      </w:r>
      <w:r>
        <w:t xml:space="preserve"> </w:t>
      </w:r>
      <w:r>
        <w:tab/>
        <w:t>PGW St. No. 2, p. 13; Exh. RMS-2.</w:t>
      </w:r>
    </w:p>
  </w:footnote>
  <w:footnote w:id="6">
    <w:p w14:paraId="50768174" w14:textId="77777777" w:rsidR="0011419C" w:rsidRDefault="0011419C" w:rsidP="0011419C">
      <w:pPr>
        <w:pStyle w:val="FootnoteText"/>
      </w:pPr>
      <w:r>
        <w:rPr>
          <w:rStyle w:val="FootnoteReference"/>
        </w:rPr>
        <w:footnoteRef/>
      </w:r>
      <w:r>
        <w:t xml:space="preserve"> </w:t>
      </w:r>
      <w:r>
        <w:tab/>
      </w:r>
      <w:r>
        <w:rPr>
          <w:i/>
        </w:rPr>
        <w:t>Pennsylvania Public Utility Commission v. UGI Utilities</w:t>
      </w:r>
      <w:r>
        <w:t xml:space="preserve">, R-00016376, 2001 WL 36260400, at *1 (Nov. 9, </w:t>
      </w:r>
      <w:r>
        <w:tab/>
        <w:t>2001).</w:t>
      </w:r>
    </w:p>
  </w:footnote>
  <w:footnote w:id="7">
    <w:p w14:paraId="6D510E30" w14:textId="77777777" w:rsidR="0011419C" w:rsidRDefault="0011419C" w:rsidP="0011419C">
      <w:pPr>
        <w:pStyle w:val="FootnoteText"/>
      </w:pPr>
      <w:r>
        <w:rPr>
          <w:rStyle w:val="FootnoteReference"/>
        </w:rPr>
        <w:footnoteRef/>
      </w:r>
      <w:r>
        <w:t xml:space="preserve"> </w:t>
      </w:r>
      <w:r>
        <w:tab/>
        <w:t>Id. at  § 53.64(c)(11).</w:t>
      </w:r>
    </w:p>
  </w:footnote>
  <w:footnote w:id="8">
    <w:p w14:paraId="599A397A" w14:textId="77777777" w:rsidR="0011419C" w:rsidRDefault="0011419C" w:rsidP="0011419C">
      <w:pPr>
        <w:pStyle w:val="FootnoteText"/>
      </w:pPr>
      <w:r>
        <w:rPr>
          <w:rStyle w:val="FootnoteReference"/>
        </w:rPr>
        <w:footnoteRef/>
      </w:r>
      <w:r>
        <w:t xml:space="preserve"> </w:t>
      </w:r>
      <w:r>
        <w:tab/>
        <w:t>PGW St. Np. 2, p. 15, ln. 15-20.</w:t>
      </w:r>
    </w:p>
  </w:footnote>
  <w:footnote w:id="9">
    <w:p w14:paraId="0C9BE8D9" w14:textId="77777777" w:rsidR="0011419C" w:rsidRDefault="0011419C" w:rsidP="0011419C">
      <w:pPr>
        <w:pStyle w:val="FootnoteText"/>
      </w:pPr>
      <w:r>
        <w:rPr>
          <w:rStyle w:val="FootnoteReference"/>
        </w:rPr>
        <w:footnoteRef/>
      </w:r>
      <w:r>
        <w:t xml:space="preserve"> </w:t>
      </w:r>
      <w:r>
        <w:tab/>
        <w:t>66 Pa. C.S. § 1301.</w:t>
      </w:r>
    </w:p>
  </w:footnote>
  <w:footnote w:id="10">
    <w:p w14:paraId="5440730B" w14:textId="77777777" w:rsidR="0011419C" w:rsidRDefault="0011419C" w:rsidP="0011419C">
      <w:pPr>
        <w:pStyle w:val="FootnoteText"/>
      </w:pPr>
      <w:r>
        <w:rPr>
          <w:rStyle w:val="FootnoteReference"/>
        </w:rPr>
        <w:footnoteRef/>
      </w:r>
      <w:r>
        <w:t xml:space="preserve"> </w:t>
      </w:r>
      <w:r>
        <w:tab/>
        <w:t>PGW St. No. 2, pp. 13-14.</w:t>
      </w:r>
    </w:p>
  </w:footnote>
  <w:footnote w:id="11">
    <w:p w14:paraId="478A5F43" w14:textId="77777777" w:rsidR="0011419C" w:rsidRDefault="0011419C" w:rsidP="0011419C">
      <w:pPr>
        <w:pStyle w:val="FootnoteText"/>
      </w:pPr>
      <w:r>
        <w:rPr>
          <w:rStyle w:val="FootnoteReference"/>
        </w:rPr>
        <w:footnoteRef/>
      </w:r>
      <w:r>
        <w:t xml:space="preserve"> </w:t>
      </w:r>
      <w:r>
        <w:tab/>
        <w:t>PGW St. No. 2, p. 13.</w:t>
      </w:r>
    </w:p>
  </w:footnote>
  <w:footnote w:id="12">
    <w:p w14:paraId="22756742" w14:textId="77777777" w:rsidR="0011419C" w:rsidRDefault="0011419C" w:rsidP="0011419C">
      <w:pPr>
        <w:pStyle w:val="FootnoteText"/>
      </w:pPr>
      <w:r>
        <w:rPr>
          <w:rStyle w:val="FootnoteReference"/>
        </w:rPr>
        <w:footnoteRef/>
      </w:r>
      <w:r>
        <w:t xml:space="preserve"> </w:t>
      </w:r>
      <w:r>
        <w:tab/>
        <w:t>PGW St. No. 2, p. 14.</w:t>
      </w:r>
    </w:p>
  </w:footnote>
  <w:footnote w:id="13">
    <w:p w14:paraId="0D070142" w14:textId="77777777" w:rsidR="0011419C" w:rsidRDefault="0011419C" w:rsidP="0011419C">
      <w:pPr>
        <w:pStyle w:val="FootnoteText"/>
      </w:pPr>
      <w:r>
        <w:rPr>
          <w:rStyle w:val="FootnoteReference"/>
        </w:rPr>
        <w:footnoteRef/>
      </w:r>
      <w:r>
        <w:t xml:space="preserve"> </w:t>
      </w:r>
      <w:r>
        <w:tab/>
        <w:t xml:space="preserve">66 Pa. C.S. </w:t>
      </w:r>
      <w:bookmarkStart w:id="0" w:name="_Hlk3450736"/>
      <w:r>
        <w:t>§ 1318(a).</w:t>
      </w:r>
      <w:bookmarkEnd w:id="0"/>
    </w:p>
  </w:footnote>
  <w:footnote w:id="14">
    <w:p w14:paraId="60C7EFE1" w14:textId="77777777" w:rsidR="0011419C" w:rsidRDefault="0011419C" w:rsidP="0011419C">
      <w:pPr>
        <w:pStyle w:val="FootnoteText"/>
      </w:pPr>
      <w:r>
        <w:rPr>
          <w:rStyle w:val="FootnoteReference"/>
        </w:rPr>
        <w:footnoteRef/>
      </w:r>
      <w:r>
        <w:t xml:space="preserve"> </w:t>
      </w:r>
      <w:r>
        <w:tab/>
        <w:t>Id. at § 1318(a)(1)-(a)(4).</w:t>
      </w:r>
    </w:p>
  </w:footnote>
  <w:footnote w:id="15">
    <w:p w14:paraId="714A7FB3" w14:textId="77777777" w:rsidR="0011419C" w:rsidRDefault="0011419C" w:rsidP="0011419C">
      <w:pPr>
        <w:pStyle w:val="FootnoteText"/>
      </w:pPr>
      <w:r>
        <w:rPr>
          <w:rStyle w:val="FootnoteReference"/>
        </w:rPr>
        <w:footnoteRef/>
      </w:r>
      <w:r>
        <w:t xml:space="preserve"> </w:t>
      </w:r>
      <w:r>
        <w:tab/>
        <w:t>PGW St. No. 2, p. 14.</w:t>
      </w:r>
    </w:p>
  </w:footnote>
  <w:footnote w:id="16">
    <w:p w14:paraId="1BCDFC36" w14:textId="77777777" w:rsidR="003760E3" w:rsidRDefault="003760E3" w:rsidP="003760E3">
      <w:pPr>
        <w:pStyle w:val="FootnoteText"/>
      </w:pPr>
      <w:r>
        <w:rPr>
          <w:rStyle w:val="FootnoteReference"/>
        </w:rPr>
        <w:footnoteRef/>
      </w:r>
      <w:r>
        <w:t xml:space="preserve"> </w:t>
      </w:r>
      <w:r>
        <w:tab/>
      </w:r>
      <w:r>
        <w:rPr>
          <w:i/>
        </w:rPr>
        <w:t>See</w:t>
      </w:r>
      <w:r>
        <w:t xml:space="preserve"> 66 Pa.C.S. § 1317(c).</w:t>
      </w:r>
    </w:p>
  </w:footnote>
  <w:footnote w:id="17">
    <w:p w14:paraId="48516FE5" w14:textId="04CA9287" w:rsidR="003760E3" w:rsidRDefault="003760E3" w:rsidP="003760E3">
      <w:pPr>
        <w:pStyle w:val="FootnoteText"/>
      </w:pPr>
      <w:r>
        <w:rPr>
          <w:rStyle w:val="FootnoteReference"/>
        </w:rPr>
        <w:footnoteRef/>
      </w:r>
      <w:r>
        <w:t xml:space="preserve"> </w:t>
      </w:r>
      <w:r>
        <w:tab/>
      </w:r>
      <w:r>
        <w:rPr>
          <w:i/>
        </w:rPr>
        <w:t>See, e.g., PUC v. PGW</w:t>
      </w:r>
      <w:r>
        <w:t xml:space="preserve">, R-2008-2021348, Order entered October 15, 2018, affirming the Recommended Decision dated June 23, 2008; 2008 Pa. PUC LEXIS 417 </w:t>
      </w:r>
      <w:r>
        <w:rPr>
          <w:i/>
        </w:rPr>
        <w:t>See also</w:t>
      </w:r>
      <w:r>
        <w:t xml:space="preserve">, footnote 17 of this Answer, </w:t>
      </w:r>
      <w:r>
        <w:rPr>
          <w:i/>
        </w:rPr>
        <w:t>infra</w:t>
      </w:r>
      <w:r>
        <w:t>.</w:t>
      </w:r>
    </w:p>
    <w:p w14:paraId="6A63F06D" w14:textId="170B65F5" w:rsidR="003706E1" w:rsidRPr="00587F92" w:rsidRDefault="003706E1" w:rsidP="00587F92">
      <w:pPr>
        <w:pStyle w:val="FootnoteText"/>
        <w:spacing w:line="360" w:lineRule="auto"/>
        <w:rPr>
          <w:sz w:val="24"/>
          <w:szCs w:val="24"/>
        </w:rPr>
      </w:pPr>
    </w:p>
    <w:p w14:paraId="6AA655E7" w14:textId="56A2BB87" w:rsidR="003706E1" w:rsidRPr="00587F92" w:rsidRDefault="003706E1" w:rsidP="00300A4D">
      <w:pPr>
        <w:pStyle w:val="ESBlockText"/>
        <w:rPr>
          <w:szCs w:val="24"/>
        </w:rPr>
      </w:pPr>
      <w:r w:rsidRPr="00587F92">
        <w:rPr>
          <w:szCs w:val="24"/>
        </w:rPr>
        <w:t>As part of its Section 1307(f) pre-filing in February 2009, the Company will provide information regarding its evaluations and, if applicable, action plans concerning: (a) The operation of its liquefied natural gas ("LNG") facility in terms of system reliability and opportunities to maximize the value of LNG Storage capacity; (b) The Company's efforts to market its available capacity/natural gas in different ways, including whether a third party could better market PGW's portfolio and maximize its potential; and (c) The balancing of security of supply with the Company's demand requirements, capacity resources, the composition of its capacity components, and the level of off-system sales margin and capacity release credit opportunities.</w:t>
      </w:r>
    </w:p>
    <w:p w14:paraId="2B53321C" w14:textId="77777777" w:rsidR="003706E1" w:rsidRPr="00587F92" w:rsidRDefault="003706E1" w:rsidP="003760E3">
      <w:pPr>
        <w:pStyle w:val="FootnoteText"/>
        <w:rPr>
          <w:sz w:val="24"/>
          <w:szCs w:val="24"/>
        </w:rPr>
      </w:pPr>
    </w:p>
  </w:footnote>
  <w:footnote w:id="18">
    <w:p w14:paraId="773E7A95" w14:textId="77777777" w:rsidR="003760E3" w:rsidRDefault="003760E3" w:rsidP="003760E3">
      <w:pPr>
        <w:pStyle w:val="FootnoteText"/>
      </w:pPr>
      <w:r>
        <w:rPr>
          <w:rStyle w:val="FootnoteReference"/>
        </w:rPr>
        <w:footnoteRef/>
      </w:r>
      <w:r>
        <w:t xml:space="preserve"> </w:t>
      </w:r>
      <w:r>
        <w:tab/>
      </w:r>
      <w:r>
        <w:rPr>
          <w:i/>
        </w:rPr>
        <w:t>See</w:t>
      </w:r>
      <w:r>
        <w:t xml:space="preserve"> 66 Pa.C.S. § 1317(d).</w:t>
      </w:r>
    </w:p>
  </w:footnote>
  <w:footnote w:id="19">
    <w:p w14:paraId="32F19087" w14:textId="2837D9AB" w:rsidR="003760E3" w:rsidRDefault="003760E3" w:rsidP="003760E3">
      <w:pPr>
        <w:pStyle w:val="FootnoteText"/>
      </w:pPr>
      <w:r>
        <w:rPr>
          <w:rStyle w:val="FootnoteReference"/>
        </w:rPr>
        <w:footnoteRef/>
      </w:r>
      <w:r>
        <w:t xml:space="preserve"> </w:t>
      </w:r>
      <w:r>
        <w:tab/>
      </w:r>
      <w:r>
        <w:rPr>
          <w:i/>
        </w:rPr>
        <w:t>See</w:t>
      </w:r>
      <w:r>
        <w:t xml:space="preserve"> footnote </w:t>
      </w:r>
      <w:r>
        <w:fldChar w:fldCharType="begin"/>
      </w:r>
      <w:r>
        <w:instrText xml:space="preserve"> NOTEREF _Ref3813109 \h </w:instrText>
      </w:r>
      <w:r>
        <w:fldChar w:fldCharType="separate"/>
      </w:r>
      <w:r w:rsidR="000747F2">
        <w:t>17</w:t>
      </w:r>
      <w:r>
        <w:fldChar w:fldCharType="end"/>
      </w:r>
      <w:r>
        <w:t xml:space="preserve">, </w:t>
      </w:r>
      <w:r>
        <w:rPr>
          <w:i/>
        </w:rPr>
        <w:t>supra</w:t>
      </w:r>
      <w:r>
        <w:t xml:space="preserve">.  </w:t>
      </w:r>
      <w:r>
        <w:rPr>
          <w:i/>
        </w:rPr>
        <w:t>See also PUC v. PGW</w:t>
      </w:r>
      <w:r>
        <w:t>, R-00027133, Order entered July 11, 2002; 2002 Pa. PUC LEXIS 199, adopting the Recommended Decision dated May 14, 2002; 2002 Pa. PUC LEXIS 200.  That Recommended Decision states, in part, that: “Prior to making its 2003 GCR filing, the Company will reevaluate its effective LNG daily vaporization rate to determine the specific vaporization rate that represents the maximum sustainable level which can be produced with a reasonable degree of certainty.”</w:t>
      </w:r>
    </w:p>
  </w:footnote>
  <w:footnote w:id="20">
    <w:p w14:paraId="7327B867" w14:textId="77777777" w:rsidR="003760E3" w:rsidRDefault="003760E3" w:rsidP="003760E3">
      <w:pPr>
        <w:pStyle w:val="FootnoteText"/>
      </w:pPr>
      <w:r>
        <w:rPr>
          <w:rStyle w:val="FootnoteReference"/>
        </w:rPr>
        <w:footnoteRef/>
      </w:r>
      <w:r>
        <w:t xml:space="preserve"> </w:t>
      </w:r>
      <w:r>
        <w:tab/>
      </w:r>
      <w:r>
        <w:rPr>
          <w:i/>
        </w:rPr>
        <w:t>See</w:t>
      </w:r>
      <w:r>
        <w:t xml:space="preserve"> 52 Pa.Code § 5.401(a), 5.401(b)(2)(i).  This standard is similar to Pennsylvania Rule of Evidence No. 403, which states that: “The court may exclude relevant evidence if its probative value is outweighed by a danger of one or more of the following: unfair prejudice, confusing the issues, misleading the jury, undue delay, wasting time, or needlessly presenting cumulative evidence.”  225 Pa.Code § 403.</w:t>
      </w:r>
    </w:p>
  </w:footnote>
  <w:footnote w:id="21">
    <w:p w14:paraId="1BD7C4E2" w14:textId="77777777" w:rsidR="003760E3" w:rsidRDefault="003760E3" w:rsidP="003760E3">
      <w:pPr>
        <w:pStyle w:val="FootnoteText"/>
      </w:pPr>
      <w:r>
        <w:rPr>
          <w:rStyle w:val="FootnoteReference"/>
        </w:rPr>
        <w:footnoteRef/>
      </w:r>
      <w:r>
        <w:t xml:space="preserve"> </w:t>
      </w:r>
      <w:r>
        <w:tab/>
        <w:t>See PGW St. No. 2 at lines 13-14.</w:t>
      </w:r>
    </w:p>
  </w:footnote>
  <w:footnote w:id="22">
    <w:p w14:paraId="655715BA" w14:textId="0A505D6B" w:rsidR="003760E3" w:rsidRDefault="003760E3" w:rsidP="003760E3">
      <w:pPr>
        <w:pStyle w:val="FootnoteText"/>
      </w:pPr>
      <w:r>
        <w:rPr>
          <w:rStyle w:val="FootnoteReference"/>
        </w:rPr>
        <w:footnoteRef/>
      </w:r>
      <w:r>
        <w:t xml:space="preserve"> </w:t>
      </w:r>
      <w:r>
        <w:tab/>
      </w:r>
      <w:r>
        <w:rPr>
          <w:i/>
        </w:rPr>
        <w:t>See</w:t>
      </w:r>
      <w:r>
        <w:t xml:space="preserve"> 66 Pa.C.S. § 1317(a). Furthermore, sections 1317(a) includes language in the general rule detailing the types of information, data, and statements that must be included; however, it also contains unambiguous language that permits utilities to include additional information not enumerated in the subparts that follow, stating, “Such information shall include, </w:t>
      </w:r>
      <w:r>
        <w:rPr>
          <w:i/>
        </w:rPr>
        <w:t>but need not be limited to</w:t>
      </w:r>
      <w:r>
        <w:t xml:space="preserve">,…” 66 Pa.C.S. §§ 1317(a) (emphasis added). Section 1318(a) provides the standard upon which the Commission’s finding must be based, stating, “the commission shall be required to make specific findings which shall include, </w:t>
      </w:r>
      <w:r>
        <w:rPr>
          <w:i/>
        </w:rPr>
        <w:t>but need not be limited to</w:t>
      </w:r>
      <w:r>
        <w:t>, findings that…” 66 Pa.C.S. §§</w:t>
      </w:r>
      <w:r w:rsidR="005977B9">
        <w:t> </w:t>
      </w:r>
      <w:r>
        <w:t>1318(a) (emphasis added).</w:t>
      </w:r>
      <w:r>
        <w:rPr>
          <w:sz w:val="24"/>
          <w:szCs w:val="22"/>
        </w:rPr>
        <w:t xml:space="preserve"> </w:t>
      </w:r>
    </w:p>
  </w:footnote>
  <w:footnote w:id="23">
    <w:p w14:paraId="58E95C95" w14:textId="77777777" w:rsidR="003760E3" w:rsidRDefault="003760E3" w:rsidP="003760E3">
      <w:pPr>
        <w:pStyle w:val="FootnoteText"/>
      </w:pPr>
      <w:r>
        <w:rPr>
          <w:rStyle w:val="FootnoteReference"/>
        </w:rPr>
        <w:footnoteRef/>
      </w:r>
      <w:r>
        <w:t xml:space="preserve"> </w:t>
      </w:r>
      <w:r>
        <w:tab/>
      </w:r>
      <w:r>
        <w:rPr>
          <w:i/>
        </w:rPr>
        <w:t>See</w:t>
      </w:r>
      <w:r>
        <w:t xml:space="preserve"> 52 Pa.Code § 5.401(a), 5.401(b)(2)(ii).  This standard is similar to Pennsylvania Rule of Evidence No. 403, which states that: “The court may exclude relevant evidence if its probative value is outweighed by a danger of one or more of the following: unfair prejudice, confusing the issues, misleading the jury, undue delay, wasting time, or needlessly presenting cumulative evidence.”  225 Pa.Code § 403.</w:t>
      </w:r>
    </w:p>
  </w:footnote>
  <w:footnote w:id="24">
    <w:p w14:paraId="0B919C12" w14:textId="77777777" w:rsidR="003760E3" w:rsidRDefault="003760E3" w:rsidP="003760E3">
      <w:pPr>
        <w:pStyle w:val="FootnoteText"/>
      </w:pPr>
      <w:r>
        <w:rPr>
          <w:rStyle w:val="FootnoteReference"/>
        </w:rPr>
        <w:footnoteRef/>
      </w:r>
      <w:r>
        <w:t xml:space="preserve"> </w:t>
      </w:r>
      <w:r>
        <w:tab/>
        <w:t>1 Ohlbaum on the Pennsylvania Rules of Evidence § 403.10 (citations omitted).</w:t>
      </w:r>
    </w:p>
  </w:footnote>
  <w:footnote w:id="25">
    <w:p w14:paraId="6A992851" w14:textId="77777777" w:rsidR="006E646A" w:rsidRDefault="006E646A" w:rsidP="006E646A">
      <w:pPr>
        <w:pStyle w:val="FootnoteText"/>
      </w:pPr>
      <w:r>
        <w:rPr>
          <w:rStyle w:val="FootnoteReference"/>
        </w:rPr>
        <w:footnoteRef/>
      </w:r>
      <w:r>
        <w:t xml:space="preserve"> </w:t>
      </w:r>
      <w:r>
        <w:tab/>
        <w:t>66 Pa. C.S. § 1301.</w:t>
      </w:r>
    </w:p>
  </w:footnote>
  <w:footnote w:id="26">
    <w:p w14:paraId="10AC9454" w14:textId="77777777" w:rsidR="006E646A" w:rsidRDefault="006E646A" w:rsidP="006E646A">
      <w:pPr>
        <w:pStyle w:val="FootnoteText"/>
      </w:pPr>
      <w:r>
        <w:rPr>
          <w:rStyle w:val="FootnoteReference"/>
        </w:rPr>
        <w:footnoteRef/>
      </w:r>
      <w:r>
        <w:t xml:space="preserve"> </w:t>
      </w:r>
      <w:r>
        <w:tab/>
        <w:t>PGW St. No. 2, pp. 13-14.</w:t>
      </w:r>
    </w:p>
  </w:footnote>
  <w:footnote w:id="27">
    <w:p w14:paraId="774C84D8" w14:textId="77777777" w:rsidR="00295BB2" w:rsidRDefault="00295BB2" w:rsidP="00295BB2">
      <w:pPr>
        <w:pStyle w:val="FootnoteText"/>
      </w:pPr>
      <w:r>
        <w:rPr>
          <w:rStyle w:val="FootnoteReference"/>
        </w:rPr>
        <w:footnoteRef/>
      </w:r>
      <w:r>
        <w:t xml:space="preserve"> </w:t>
      </w:r>
      <w:r>
        <w:tab/>
        <w:t>66 Pa. C.S. § 1318(a).</w:t>
      </w:r>
    </w:p>
  </w:footnote>
  <w:footnote w:id="28">
    <w:p w14:paraId="4D915D3C" w14:textId="77777777" w:rsidR="00295BB2" w:rsidRDefault="00295BB2" w:rsidP="00295BB2">
      <w:pPr>
        <w:pStyle w:val="FootnoteText"/>
      </w:pPr>
      <w:r>
        <w:rPr>
          <w:rStyle w:val="FootnoteReference"/>
        </w:rPr>
        <w:footnoteRef/>
      </w:r>
      <w:r>
        <w:t xml:space="preserve"> </w:t>
      </w:r>
      <w:r>
        <w:tab/>
        <w:t>Id. at § 1318(a)(1)-(a)(4).</w:t>
      </w:r>
    </w:p>
  </w:footnote>
  <w:footnote w:id="29">
    <w:p w14:paraId="0CF73DFD" w14:textId="3DED6A58" w:rsidR="00A40400" w:rsidRDefault="00A40400">
      <w:pPr>
        <w:pStyle w:val="FootnoteText"/>
      </w:pPr>
      <w:r>
        <w:rPr>
          <w:rStyle w:val="FootnoteReference"/>
        </w:rPr>
        <w:footnoteRef/>
      </w:r>
      <w:r>
        <w:t xml:space="preserve"> </w:t>
      </w:r>
      <w:r>
        <w:tab/>
      </w:r>
      <w:r>
        <w:rPr>
          <w:szCs w:val="24"/>
        </w:rPr>
        <w:t xml:space="preserve">66 Pa.C.S. §1301(a).  </w:t>
      </w:r>
    </w:p>
  </w:footnote>
  <w:footnote w:id="30">
    <w:p w14:paraId="11982DD9" w14:textId="77777777" w:rsidR="00997984" w:rsidRDefault="00997984" w:rsidP="00997984">
      <w:pPr>
        <w:pStyle w:val="FootnoteText"/>
      </w:pPr>
      <w:r>
        <w:rPr>
          <w:rStyle w:val="FootnoteReference"/>
        </w:rPr>
        <w:footnoteRef/>
      </w:r>
      <w:r>
        <w:t xml:space="preserve"> </w:t>
      </w:r>
      <w:r>
        <w:tab/>
        <w:t>PGW St. No. 2, p. 14.</w:t>
      </w:r>
    </w:p>
  </w:footnote>
  <w:footnote w:id="31">
    <w:p w14:paraId="5EAB9383" w14:textId="55FB4196" w:rsidR="000F664A" w:rsidRPr="004353D3" w:rsidRDefault="0054213C" w:rsidP="000F664A">
      <w:pPr>
        <w:rPr>
          <w:sz w:val="20"/>
        </w:rPr>
      </w:pPr>
      <w:r>
        <w:rPr>
          <w:rStyle w:val="FootnoteReference"/>
        </w:rPr>
        <w:footnoteRef/>
      </w:r>
      <w:r>
        <w:t xml:space="preserve"> </w:t>
      </w:r>
      <w:r>
        <w:tab/>
      </w:r>
      <w:r w:rsidRPr="004353D3">
        <w:rPr>
          <w:sz w:val="20"/>
        </w:rPr>
        <w:t>I would also note</w:t>
      </w:r>
      <w:r w:rsidR="00267447">
        <w:rPr>
          <w:sz w:val="20"/>
        </w:rPr>
        <w:t xml:space="preserve">, </w:t>
      </w:r>
      <w:r w:rsidRPr="004353D3">
        <w:rPr>
          <w:sz w:val="20"/>
        </w:rPr>
        <w:t xml:space="preserve">while none of the parties raised this issue, there are concerns that this proposal may constitute single issue rate making which is impermissible according to the Commission.  </w:t>
      </w:r>
      <w:r w:rsidR="00267447">
        <w:rPr>
          <w:sz w:val="20"/>
        </w:rPr>
        <w:t xml:space="preserve">See </w:t>
      </w:r>
      <w:r w:rsidR="00C474DF" w:rsidRPr="004353D3">
        <w:rPr>
          <w:i/>
          <w:sz w:val="20"/>
        </w:rPr>
        <w:t>Pa. Pub. Util. Comm’n v. Equitable Gas Company, LLC</w:t>
      </w:r>
      <w:r w:rsidR="00C474DF" w:rsidRPr="004353D3">
        <w:rPr>
          <w:sz w:val="20"/>
        </w:rPr>
        <w:t>, Docket Nos. R-2012-2304727</w:t>
      </w:r>
      <w:r w:rsidR="000F664A" w:rsidRPr="004353D3">
        <w:rPr>
          <w:sz w:val="20"/>
        </w:rPr>
        <w:t>, R-2012-2304731, R-2012-2304735</w:t>
      </w:r>
      <w:r w:rsidR="003F3494" w:rsidRPr="004353D3">
        <w:rPr>
          <w:sz w:val="20"/>
        </w:rPr>
        <w:t xml:space="preserve"> (Opinion and Order entered </w:t>
      </w:r>
      <w:r w:rsidR="004353D3" w:rsidRPr="004353D3">
        <w:rPr>
          <w:sz w:val="20"/>
        </w:rPr>
        <w:t xml:space="preserve">December </w:t>
      </w:r>
      <w:r w:rsidR="003F3494" w:rsidRPr="004353D3">
        <w:rPr>
          <w:sz w:val="20"/>
        </w:rPr>
        <w:t>2</w:t>
      </w:r>
      <w:r w:rsidR="004353D3" w:rsidRPr="004353D3">
        <w:rPr>
          <w:sz w:val="20"/>
        </w:rPr>
        <w:t>0, 2012), at 16-17.</w:t>
      </w:r>
      <w:r w:rsidR="00267447">
        <w:rPr>
          <w:sz w:val="20"/>
        </w:rPr>
        <w:t xml:space="preserve">  Since no</w:t>
      </w:r>
      <w:r w:rsidR="00CE0F0E">
        <w:rPr>
          <w:sz w:val="20"/>
        </w:rPr>
        <w:t>ne of the</w:t>
      </w:r>
      <w:r w:rsidR="00267447">
        <w:rPr>
          <w:sz w:val="20"/>
        </w:rPr>
        <w:t xml:space="preserve"> parties raised this issue, I will not address these concerns in this Interim Order.</w:t>
      </w:r>
      <w:r w:rsidR="004353D3" w:rsidRPr="004353D3">
        <w:rPr>
          <w:sz w:val="20"/>
        </w:rPr>
        <w:t xml:space="preserve"> </w:t>
      </w:r>
    </w:p>
    <w:p w14:paraId="23E34DC3" w14:textId="1A8D638C" w:rsidR="0054213C" w:rsidRPr="000F664A" w:rsidRDefault="0054213C" w:rsidP="000F66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C5250"/>
    <w:multiLevelType w:val="hybridMultilevel"/>
    <w:tmpl w:val="82D221FC"/>
    <w:lvl w:ilvl="0" w:tplc="530410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8D"/>
    <w:rsid w:val="00020A8F"/>
    <w:rsid w:val="0002235F"/>
    <w:rsid w:val="00033362"/>
    <w:rsid w:val="0005315A"/>
    <w:rsid w:val="000747F2"/>
    <w:rsid w:val="0007502A"/>
    <w:rsid w:val="000956E7"/>
    <w:rsid w:val="000A47FD"/>
    <w:rsid w:val="000B6AB3"/>
    <w:rsid w:val="000C34F4"/>
    <w:rsid w:val="000E4608"/>
    <w:rsid w:val="000E5CD6"/>
    <w:rsid w:val="000F4AB3"/>
    <w:rsid w:val="000F664A"/>
    <w:rsid w:val="0011419C"/>
    <w:rsid w:val="001358F9"/>
    <w:rsid w:val="00152CFD"/>
    <w:rsid w:val="0016339B"/>
    <w:rsid w:val="00175349"/>
    <w:rsid w:val="00182A9D"/>
    <w:rsid w:val="001A014F"/>
    <w:rsid w:val="001B3AE2"/>
    <w:rsid w:val="001C147F"/>
    <w:rsid w:val="00202B2B"/>
    <w:rsid w:val="00206993"/>
    <w:rsid w:val="00215130"/>
    <w:rsid w:val="00236413"/>
    <w:rsid w:val="00267447"/>
    <w:rsid w:val="00284BF9"/>
    <w:rsid w:val="00290E44"/>
    <w:rsid w:val="002931E5"/>
    <w:rsid w:val="00295BB2"/>
    <w:rsid w:val="002972B8"/>
    <w:rsid w:val="002F4644"/>
    <w:rsid w:val="002F74A0"/>
    <w:rsid w:val="00300A4D"/>
    <w:rsid w:val="00303A59"/>
    <w:rsid w:val="00306F1F"/>
    <w:rsid w:val="003341C3"/>
    <w:rsid w:val="0035568D"/>
    <w:rsid w:val="00356D58"/>
    <w:rsid w:val="00357D6C"/>
    <w:rsid w:val="003706E1"/>
    <w:rsid w:val="003760E3"/>
    <w:rsid w:val="00391367"/>
    <w:rsid w:val="003B6687"/>
    <w:rsid w:val="003F2E47"/>
    <w:rsid w:val="003F3494"/>
    <w:rsid w:val="003F51CB"/>
    <w:rsid w:val="004050B4"/>
    <w:rsid w:val="00405CE5"/>
    <w:rsid w:val="0041216C"/>
    <w:rsid w:val="004353D3"/>
    <w:rsid w:val="00445821"/>
    <w:rsid w:val="00447E27"/>
    <w:rsid w:val="00473B64"/>
    <w:rsid w:val="004B15E2"/>
    <w:rsid w:val="004D1749"/>
    <w:rsid w:val="00500418"/>
    <w:rsid w:val="0051535F"/>
    <w:rsid w:val="00521A7D"/>
    <w:rsid w:val="0052372F"/>
    <w:rsid w:val="0054213C"/>
    <w:rsid w:val="00562C69"/>
    <w:rsid w:val="00565E65"/>
    <w:rsid w:val="00574B33"/>
    <w:rsid w:val="00586C58"/>
    <w:rsid w:val="00587F92"/>
    <w:rsid w:val="00595E31"/>
    <w:rsid w:val="005967D7"/>
    <w:rsid w:val="005977B9"/>
    <w:rsid w:val="005A40FD"/>
    <w:rsid w:val="005C5FC6"/>
    <w:rsid w:val="005E31C4"/>
    <w:rsid w:val="005E63A5"/>
    <w:rsid w:val="005F7372"/>
    <w:rsid w:val="006030F2"/>
    <w:rsid w:val="006156AD"/>
    <w:rsid w:val="0064386C"/>
    <w:rsid w:val="0067507D"/>
    <w:rsid w:val="00695A7F"/>
    <w:rsid w:val="00696406"/>
    <w:rsid w:val="00697849"/>
    <w:rsid w:val="006A1344"/>
    <w:rsid w:val="006C43D9"/>
    <w:rsid w:val="006E646A"/>
    <w:rsid w:val="0070764B"/>
    <w:rsid w:val="0071607F"/>
    <w:rsid w:val="00731947"/>
    <w:rsid w:val="00752FB1"/>
    <w:rsid w:val="00756238"/>
    <w:rsid w:val="0076201A"/>
    <w:rsid w:val="00775A89"/>
    <w:rsid w:val="007918BB"/>
    <w:rsid w:val="007E01FB"/>
    <w:rsid w:val="007F06B8"/>
    <w:rsid w:val="0084055C"/>
    <w:rsid w:val="00840FF9"/>
    <w:rsid w:val="008554E8"/>
    <w:rsid w:val="00857949"/>
    <w:rsid w:val="008B6AFF"/>
    <w:rsid w:val="008C21AF"/>
    <w:rsid w:val="009276D3"/>
    <w:rsid w:val="009306C4"/>
    <w:rsid w:val="009357AC"/>
    <w:rsid w:val="00972A3E"/>
    <w:rsid w:val="00997984"/>
    <w:rsid w:val="009A7866"/>
    <w:rsid w:val="009C1A43"/>
    <w:rsid w:val="009E7325"/>
    <w:rsid w:val="00A201CC"/>
    <w:rsid w:val="00A40400"/>
    <w:rsid w:val="00A50AB2"/>
    <w:rsid w:val="00A563C6"/>
    <w:rsid w:val="00A71539"/>
    <w:rsid w:val="00A77090"/>
    <w:rsid w:val="00AB660B"/>
    <w:rsid w:val="00B45D17"/>
    <w:rsid w:val="00B8521E"/>
    <w:rsid w:val="00BB477C"/>
    <w:rsid w:val="00BB527E"/>
    <w:rsid w:val="00BD0FB8"/>
    <w:rsid w:val="00BE3814"/>
    <w:rsid w:val="00BE5969"/>
    <w:rsid w:val="00C00FBC"/>
    <w:rsid w:val="00C228DC"/>
    <w:rsid w:val="00C37396"/>
    <w:rsid w:val="00C37763"/>
    <w:rsid w:val="00C474DF"/>
    <w:rsid w:val="00C73DFD"/>
    <w:rsid w:val="00C8146D"/>
    <w:rsid w:val="00C84691"/>
    <w:rsid w:val="00C9399B"/>
    <w:rsid w:val="00CE07A7"/>
    <w:rsid w:val="00CE0F0E"/>
    <w:rsid w:val="00CE5CEB"/>
    <w:rsid w:val="00CF00C3"/>
    <w:rsid w:val="00D05632"/>
    <w:rsid w:val="00D11D04"/>
    <w:rsid w:val="00D16DA4"/>
    <w:rsid w:val="00D17C96"/>
    <w:rsid w:val="00D527CD"/>
    <w:rsid w:val="00D72F8E"/>
    <w:rsid w:val="00D835C0"/>
    <w:rsid w:val="00D846E6"/>
    <w:rsid w:val="00DA1484"/>
    <w:rsid w:val="00DE5A08"/>
    <w:rsid w:val="00E13169"/>
    <w:rsid w:val="00E160DC"/>
    <w:rsid w:val="00E344EE"/>
    <w:rsid w:val="00E721C5"/>
    <w:rsid w:val="00E92C03"/>
    <w:rsid w:val="00EA22B5"/>
    <w:rsid w:val="00EE46EB"/>
    <w:rsid w:val="00EE6DFE"/>
    <w:rsid w:val="00EF4CD0"/>
    <w:rsid w:val="00F0267E"/>
    <w:rsid w:val="00F1027E"/>
    <w:rsid w:val="00F165C8"/>
    <w:rsid w:val="00F2244F"/>
    <w:rsid w:val="00F354B0"/>
    <w:rsid w:val="00F6512D"/>
    <w:rsid w:val="00F65BAA"/>
    <w:rsid w:val="00F90F25"/>
    <w:rsid w:val="00FA0798"/>
    <w:rsid w:val="00FC23CE"/>
    <w:rsid w:val="00FD5D13"/>
    <w:rsid w:val="00FF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9B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68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5568D"/>
    <w:pPr>
      <w:keepNext/>
      <w:jc w:val="center"/>
      <w:outlineLvl w:val="0"/>
    </w:pPr>
    <w:rPr>
      <w:u w:val="single"/>
    </w:rPr>
  </w:style>
  <w:style w:type="paragraph" w:styleId="Heading2">
    <w:name w:val="heading 2"/>
    <w:basedOn w:val="Normal"/>
    <w:next w:val="Normal"/>
    <w:link w:val="Heading2Char"/>
    <w:uiPriority w:val="9"/>
    <w:semiHidden/>
    <w:unhideWhenUsed/>
    <w:qFormat/>
    <w:rsid w:val="003760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60E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68D"/>
    <w:rPr>
      <w:rFonts w:ascii="Times New Roman" w:eastAsia="Times New Roman" w:hAnsi="Times New Roman" w:cs="Times New Roman"/>
      <w:sz w:val="24"/>
      <w:szCs w:val="20"/>
      <w:u w:val="single"/>
    </w:rPr>
  </w:style>
  <w:style w:type="character" w:styleId="Hyperlink">
    <w:name w:val="Hyperlink"/>
    <w:semiHidden/>
    <w:unhideWhenUsed/>
    <w:rsid w:val="0035568D"/>
    <w:rPr>
      <w:color w:val="0000FF"/>
      <w:u w:val="single"/>
    </w:rPr>
  </w:style>
  <w:style w:type="paragraph" w:styleId="Title">
    <w:name w:val="Title"/>
    <w:basedOn w:val="Normal"/>
    <w:link w:val="TitleChar"/>
    <w:qFormat/>
    <w:rsid w:val="0035568D"/>
    <w:pPr>
      <w:jc w:val="center"/>
    </w:pPr>
    <w:rPr>
      <w:b/>
    </w:rPr>
  </w:style>
  <w:style w:type="character" w:customStyle="1" w:styleId="TitleChar">
    <w:name w:val="Title Char"/>
    <w:basedOn w:val="DefaultParagraphFont"/>
    <w:link w:val="Title"/>
    <w:rsid w:val="0035568D"/>
    <w:rPr>
      <w:rFonts w:ascii="Times New Roman" w:eastAsia="Times New Roman" w:hAnsi="Times New Roman" w:cs="Times New Roman"/>
      <w:b/>
      <w:sz w:val="24"/>
      <w:szCs w:val="20"/>
    </w:rPr>
  </w:style>
  <w:style w:type="paragraph" w:styleId="BodyText">
    <w:name w:val="Body Text"/>
    <w:basedOn w:val="Normal"/>
    <w:link w:val="BodyTextChar"/>
    <w:unhideWhenUsed/>
    <w:rsid w:val="0035568D"/>
    <w:pPr>
      <w:spacing w:after="120"/>
    </w:pPr>
  </w:style>
  <w:style w:type="character" w:customStyle="1" w:styleId="BodyTextChar">
    <w:name w:val="Body Text Char"/>
    <w:basedOn w:val="DefaultParagraphFont"/>
    <w:link w:val="BodyText"/>
    <w:rsid w:val="0035568D"/>
    <w:rPr>
      <w:rFonts w:ascii="Times New Roman" w:eastAsia="Times New Roman" w:hAnsi="Times New Roman" w:cs="Times New Roman"/>
      <w:sz w:val="24"/>
      <w:szCs w:val="20"/>
    </w:rPr>
  </w:style>
  <w:style w:type="paragraph" w:styleId="Subtitle">
    <w:name w:val="Subtitle"/>
    <w:basedOn w:val="Normal"/>
    <w:link w:val="SubtitleChar"/>
    <w:qFormat/>
    <w:rsid w:val="0035568D"/>
    <w:pPr>
      <w:jc w:val="center"/>
    </w:pPr>
    <w:rPr>
      <w:b/>
    </w:rPr>
  </w:style>
  <w:style w:type="character" w:customStyle="1" w:styleId="SubtitleChar">
    <w:name w:val="Subtitle Char"/>
    <w:basedOn w:val="DefaultParagraphFont"/>
    <w:link w:val="Subtitle"/>
    <w:rsid w:val="0035568D"/>
    <w:rPr>
      <w:rFonts w:ascii="Times New Roman" w:eastAsia="Times New Roman" w:hAnsi="Times New Roman" w:cs="Times New Roman"/>
      <w:b/>
      <w:sz w:val="24"/>
      <w:szCs w:val="20"/>
    </w:rPr>
  </w:style>
  <w:style w:type="paragraph" w:styleId="BodyTextIndent2">
    <w:name w:val="Body Text Indent 2"/>
    <w:basedOn w:val="Normal"/>
    <w:link w:val="BodyTextIndent2Char"/>
    <w:semiHidden/>
    <w:unhideWhenUsed/>
    <w:rsid w:val="0035568D"/>
    <w:pPr>
      <w:spacing w:line="360" w:lineRule="auto"/>
      <w:ind w:firstLine="1440"/>
    </w:pPr>
    <w:rPr>
      <w:sz w:val="26"/>
    </w:rPr>
  </w:style>
  <w:style w:type="character" w:customStyle="1" w:styleId="BodyTextIndent2Char">
    <w:name w:val="Body Text Indent 2 Char"/>
    <w:basedOn w:val="DefaultParagraphFont"/>
    <w:link w:val="BodyTextIndent2"/>
    <w:semiHidden/>
    <w:rsid w:val="0035568D"/>
    <w:rPr>
      <w:rFonts w:ascii="Times New Roman" w:eastAsia="Times New Roman" w:hAnsi="Times New Roman" w:cs="Times New Roman"/>
      <w:sz w:val="26"/>
      <w:szCs w:val="20"/>
    </w:rPr>
  </w:style>
  <w:style w:type="paragraph" w:styleId="NoSpacing">
    <w:name w:val="No Spacing"/>
    <w:uiPriority w:val="1"/>
    <w:qFormat/>
    <w:rsid w:val="0035568D"/>
    <w:pPr>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35568D"/>
    <w:rPr>
      <w:b/>
      <w:bCs/>
    </w:rPr>
  </w:style>
  <w:style w:type="paragraph" w:styleId="FootnoteText">
    <w:name w:val="footnote text"/>
    <w:aliases w:val="Footnote Text Char Char,Footnote Text Char Char1,ft,fn,Footnote Text Char1 Char,Footnote Text Char Char Char,Footnote Text1 Char,Footnote Text Char3 Char1 Char,Footnote Text Char1 Char Char1 Char,Style 14,Footnote text"/>
    <w:basedOn w:val="Normal"/>
    <w:link w:val="FootnoteTextChar"/>
    <w:uiPriority w:val="99"/>
    <w:semiHidden/>
    <w:unhideWhenUsed/>
    <w:qFormat/>
    <w:rsid w:val="000B6AB3"/>
    <w:rPr>
      <w:sz w:val="20"/>
    </w:rPr>
  </w:style>
  <w:style w:type="character" w:customStyle="1" w:styleId="FootnoteTextChar">
    <w:name w:val="Footnote Text Char"/>
    <w:aliases w:val="Footnote Text Char Char Char1,Footnote Text Char Char1 Char,ft Char,fn Char,Footnote Text Char1 Char Char,Footnote Text Char Char Char Char,Footnote Text1 Char Char,Footnote Text Char3 Char1 Char Char,Style 14 Char,Footnote text Char"/>
    <w:basedOn w:val="DefaultParagraphFont"/>
    <w:link w:val="FootnoteText"/>
    <w:uiPriority w:val="99"/>
    <w:semiHidden/>
    <w:rsid w:val="000B6AB3"/>
    <w:rPr>
      <w:rFonts w:ascii="Times New Roman" w:eastAsia="Times New Roman" w:hAnsi="Times New Roman" w:cs="Times New Roman"/>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
    <w:uiPriority w:val="99"/>
    <w:semiHidden/>
    <w:unhideWhenUsed/>
    <w:rsid w:val="000B6AB3"/>
    <w:rPr>
      <w:vertAlign w:val="superscript"/>
    </w:rPr>
  </w:style>
  <w:style w:type="paragraph" w:styleId="ListParagraph">
    <w:name w:val="List Paragraph"/>
    <w:basedOn w:val="Normal"/>
    <w:uiPriority w:val="34"/>
    <w:qFormat/>
    <w:rsid w:val="000B6AB3"/>
    <w:pPr>
      <w:ind w:left="720"/>
      <w:contextualSpacing/>
    </w:pPr>
  </w:style>
  <w:style w:type="character" w:customStyle="1" w:styleId="Heading2Char">
    <w:name w:val="Heading 2 Char"/>
    <w:basedOn w:val="DefaultParagraphFont"/>
    <w:link w:val="Heading2"/>
    <w:uiPriority w:val="9"/>
    <w:semiHidden/>
    <w:rsid w:val="003760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760E3"/>
    <w:rPr>
      <w:rFonts w:asciiTheme="majorHAnsi" w:eastAsiaTheme="majorEastAsia" w:hAnsiTheme="majorHAnsi" w:cstheme="majorBidi"/>
      <w:color w:val="243F60" w:themeColor="accent1" w:themeShade="7F"/>
      <w:sz w:val="24"/>
      <w:szCs w:val="24"/>
    </w:rPr>
  </w:style>
  <w:style w:type="paragraph" w:customStyle="1" w:styleId="ESBlockText">
    <w:name w:val="ES Block Text"/>
    <w:basedOn w:val="Normal"/>
    <w:qFormat/>
    <w:rsid w:val="003760E3"/>
    <w:pPr>
      <w:ind w:left="1152" w:right="1152"/>
    </w:pPr>
    <w:rPr>
      <w:rFonts w:eastAsiaTheme="minorHAnsi" w:cstheme="minorBidi"/>
      <w:szCs w:val="22"/>
    </w:rPr>
  </w:style>
  <w:style w:type="character" w:customStyle="1" w:styleId="IndentedParagraphChar">
    <w:name w:val="Indented Paragraph Char"/>
    <w:basedOn w:val="DefaultParagraphFont"/>
    <w:link w:val="IndentedParagraph"/>
    <w:locked/>
    <w:rsid w:val="003760E3"/>
    <w:rPr>
      <w:rFonts w:ascii="Times New Roman" w:hAnsi="Times New Roman" w:cs="Times New Roman"/>
      <w:sz w:val="24"/>
    </w:rPr>
  </w:style>
  <w:style w:type="paragraph" w:customStyle="1" w:styleId="IndentedParagraph">
    <w:name w:val="Indented Paragraph"/>
    <w:basedOn w:val="Normal"/>
    <w:link w:val="IndentedParagraphChar"/>
    <w:qFormat/>
    <w:rsid w:val="003760E3"/>
    <w:pPr>
      <w:spacing w:before="240" w:line="480" w:lineRule="auto"/>
      <w:ind w:firstLine="720"/>
    </w:pPr>
    <w:rPr>
      <w:rFonts w:eastAsiaTheme="minorHAnsi"/>
      <w:szCs w:val="22"/>
    </w:rPr>
  </w:style>
  <w:style w:type="paragraph" w:styleId="Header">
    <w:name w:val="header"/>
    <w:basedOn w:val="Normal"/>
    <w:link w:val="HeaderChar"/>
    <w:uiPriority w:val="99"/>
    <w:unhideWhenUsed/>
    <w:rsid w:val="00152CFD"/>
    <w:pPr>
      <w:tabs>
        <w:tab w:val="center" w:pos="4680"/>
        <w:tab w:val="right" w:pos="9360"/>
      </w:tabs>
    </w:pPr>
  </w:style>
  <w:style w:type="character" w:customStyle="1" w:styleId="HeaderChar">
    <w:name w:val="Header Char"/>
    <w:basedOn w:val="DefaultParagraphFont"/>
    <w:link w:val="Header"/>
    <w:uiPriority w:val="99"/>
    <w:rsid w:val="00152CF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52CFD"/>
    <w:pPr>
      <w:tabs>
        <w:tab w:val="center" w:pos="4680"/>
        <w:tab w:val="right" w:pos="9360"/>
      </w:tabs>
    </w:pPr>
  </w:style>
  <w:style w:type="character" w:customStyle="1" w:styleId="FooterChar">
    <w:name w:val="Footer Char"/>
    <w:basedOn w:val="DefaultParagraphFont"/>
    <w:link w:val="Footer"/>
    <w:uiPriority w:val="99"/>
    <w:rsid w:val="00152C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81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005">
      <w:bodyDiv w:val="1"/>
      <w:marLeft w:val="0"/>
      <w:marRight w:val="0"/>
      <w:marTop w:val="0"/>
      <w:marBottom w:val="0"/>
      <w:divBdr>
        <w:top w:val="none" w:sz="0" w:space="0" w:color="auto"/>
        <w:left w:val="none" w:sz="0" w:space="0" w:color="auto"/>
        <w:bottom w:val="none" w:sz="0" w:space="0" w:color="auto"/>
        <w:right w:val="none" w:sz="0" w:space="0" w:color="auto"/>
      </w:divBdr>
    </w:div>
    <w:div w:id="541477015">
      <w:bodyDiv w:val="1"/>
      <w:marLeft w:val="0"/>
      <w:marRight w:val="0"/>
      <w:marTop w:val="0"/>
      <w:marBottom w:val="0"/>
      <w:divBdr>
        <w:top w:val="none" w:sz="0" w:space="0" w:color="auto"/>
        <w:left w:val="none" w:sz="0" w:space="0" w:color="auto"/>
        <w:bottom w:val="none" w:sz="0" w:space="0" w:color="auto"/>
        <w:right w:val="none" w:sz="0" w:space="0" w:color="auto"/>
      </w:divBdr>
    </w:div>
    <w:div w:id="561142046">
      <w:bodyDiv w:val="1"/>
      <w:marLeft w:val="0"/>
      <w:marRight w:val="0"/>
      <w:marTop w:val="0"/>
      <w:marBottom w:val="0"/>
      <w:divBdr>
        <w:top w:val="none" w:sz="0" w:space="0" w:color="auto"/>
        <w:left w:val="none" w:sz="0" w:space="0" w:color="auto"/>
        <w:bottom w:val="none" w:sz="0" w:space="0" w:color="auto"/>
        <w:right w:val="none" w:sz="0" w:space="0" w:color="auto"/>
      </w:divBdr>
    </w:div>
    <w:div w:id="629095448">
      <w:bodyDiv w:val="1"/>
      <w:marLeft w:val="0"/>
      <w:marRight w:val="0"/>
      <w:marTop w:val="0"/>
      <w:marBottom w:val="0"/>
      <w:divBdr>
        <w:top w:val="none" w:sz="0" w:space="0" w:color="auto"/>
        <w:left w:val="none" w:sz="0" w:space="0" w:color="auto"/>
        <w:bottom w:val="none" w:sz="0" w:space="0" w:color="auto"/>
        <w:right w:val="none" w:sz="0" w:space="0" w:color="auto"/>
      </w:divBdr>
    </w:div>
    <w:div w:id="656955289">
      <w:bodyDiv w:val="1"/>
      <w:marLeft w:val="0"/>
      <w:marRight w:val="0"/>
      <w:marTop w:val="0"/>
      <w:marBottom w:val="0"/>
      <w:divBdr>
        <w:top w:val="none" w:sz="0" w:space="0" w:color="auto"/>
        <w:left w:val="none" w:sz="0" w:space="0" w:color="auto"/>
        <w:bottom w:val="none" w:sz="0" w:space="0" w:color="auto"/>
        <w:right w:val="none" w:sz="0" w:space="0" w:color="auto"/>
      </w:divBdr>
    </w:div>
    <w:div w:id="724257019">
      <w:bodyDiv w:val="1"/>
      <w:marLeft w:val="0"/>
      <w:marRight w:val="0"/>
      <w:marTop w:val="0"/>
      <w:marBottom w:val="0"/>
      <w:divBdr>
        <w:top w:val="none" w:sz="0" w:space="0" w:color="auto"/>
        <w:left w:val="none" w:sz="0" w:space="0" w:color="auto"/>
        <w:bottom w:val="none" w:sz="0" w:space="0" w:color="auto"/>
        <w:right w:val="none" w:sz="0" w:space="0" w:color="auto"/>
      </w:divBdr>
    </w:div>
    <w:div w:id="773130395">
      <w:bodyDiv w:val="1"/>
      <w:marLeft w:val="0"/>
      <w:marRight w:val="0"/>
      <w:marTop w:val="0"/>
      <w:marBottom w:val="0"/>
      <w:divBdr>
        <w:top w:val="none" w:sz="0" w:space="0" w:color="auto"/>
        <w:left w:val="none" w:sz="0" w:space="0" w:color="auto"/>
        <w:bottom w:val="none" w:sz="0" w:space="0" w:color="auto"/>
        <w:right w:val="none" w:sz="0" w:space="0" w:color="auto"/>
      </w:divBdr>
    </w:div>
    <w:div w:id="850678913">
      <w:bodyDiv w:val="1"/>
      <w:marLeft w:val="0"/>
      <w:marRight w:val="0"/>
      <w:marTop w:val="0"/>
      <w:marBottom w:val="0"/>
      <w:divBdr>
        <w:top w:val="none" w:sz="0" w:space="0" w:color="auto"/>
        <w:left w:val="none" w:sz="0" w:space="0" w:color="auto"/>
        <w:bottom w:val="none" w:sz="0" w:space="0" w:color="auto"/>
        <w:right w:val="none" w:sz="0" w:space="0" w:color="auto"/>
      </w:divBdr>
    </w:div>
    <w:div w:id="1227111356">
      <w:bodyDiv w:val="1"/>
      <w:marLeft w:val="0"/>
      <w:marRight w:val="0"/>
      <w:marTop w:val="0"/>
      <w:marBottom w:val="0"/>
      <w:divBdr>
        <w:top w:val="none" w:sz="0" w:space="0" w:color="auto"/>
        <w:left w:val="none" w:sz="0" w:space="0" w:color="auto"/>
        <w:bottom w:val="none" w:sz="0" w:space="0" w:color="auto"/>
        <w:right w:val="none" w:sz="0" w:space="0" w:color="auto"/>
      </w:divBdr>
    </w:div>
    <w:div w:id="1668052205">
      <w:bodyDiv w:val="1"/>
      <w:marLeft w:val="0"/>
      <w:marRight w:val="0"/>
      <w:marTop w:val="0"/>
      <w:marBottom w:val="0"/>
      <w:divBdr>
        <w:top w:val="none" w:sz="0" w:space="0" w:color="auto"/>
        <w:left w:val="none" w:sz="0" w:space="0" w:color="auto"/>
        <w:bottom w:val="none" w:sz="0" w:space="0" w:color="auto"/>
        <w:right w:val="none" w:sz="0" w:space="0" w:color="auto"/>
      </w:divBdr>
    </w:div>
    <w:div w:id="1691759005">
      <w:bodyDiv w:val="1"/>
      <w:marLeft w:val="0"/>
      <w:marRight w:val="0"/>
      <w:marTop w:val="0"/>
      <w:marBottom w:val="0"/>
      <w:divBdr>
        <w:top w:val="none" w:sz="0" w:space="0" w:color="auto"/>
        <w:left w:val="none" w:sz="0" w:space="0" w:color="auto"/>
        <w:bottom w:val="none" w:sz="0" w:space="0" w:color="auto"/>
        <w:right w:val="none" w:sz="0" w:space="0" w:color="auto"/>
      </w:divBdr>
    </w:div>
    <w:div w:id="17896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6B93-46C2-4935-84BD-B0E3B791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4244</Words>
  <Characters>24191</Characters>
  <Application>Microsoft Office Word</Application>
  <DocSecurity>2</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2019-03-26T19:57:00Z</dcterms:created>
  <dcterms:modified xsi:type="dcterms:W3CDTF">2019-03-26T19:57:00Z</dcterms:modified>
</cp:coreProperties>
</file>