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2023B" w14:textId="77777777" w:rsidR="009078DF" w:rsidRDefault="009078DF" w:rsidP="00592753">
      <w:pPr>
        <w:tabs>
          <w:tab w:val="center" w:pos="4680"/>
        </w:tabs>
        <w:suppressAutoHyphens/>
        <w:spacing w:line="240" w:lineRule="auto"/>
        <w:ind w:firstLine="0"/>
        <w:jc w:val="center"/>
        <w:rPr>
          <w:b/>
          <w:sz w:val="26"/>
          <w:szCs w:val="26"/>
        </w:rPr>
      </w:pPr>
      <w:r>
        <w:rPr>
          <w:b/>
          <w:sz w:val="26"/>
          <w:szCs w:val="26"/>
        </w:rPr>
        <w:t>PENNSYLVANIA</w:t>
      </w:r>
    </w:p>
    <w:p w14:paraId="508C69C6" w14:textId="77777777"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14:paraId="35C2B0B0" w14:textId="77777777" w:rsidR="009078DF" w:rsidRDefault="009078DF" w:rsidP="00592753">
      <w:pPr>
        <w:tabs>
          <w:tab w:val="center" w:pos="4680"/>
        </w:tabs>
        <w:suppressAutoHyphens/>
        <w:spacing w:line="240" w:lineRule="auto"/>
        <w:ind w:firstLine="0"/>
        <w:jc w:val="center"/>
        <w:rPr>
          <w:sz w:val="26"/>
          <w:szCs w:val="26"/>
        </w:rPr>
      </w:pPr>
      <w:r>
        <w:rPr>
          <w:b/>
          <w:sz w:val="26"/>
          <w:szCs w:val="26"/>
        </w:rPr>
        <w:t>Harrisburg, PA 17105-3265</w:t>
      </w:r>
    </w:p>
    <w:p w14:paraId="09012F06" w14:textId="77777777" w:rsidR="009078DF" w:rsidRDefault="009078DF" w:rsidP="00592753">
      <w:pPr>
        <w:tabs>
          <w:tab w:val="left" w:pos="-720"/>
        </w:tabs>
        <w:suppressAutoHyphens/>
        <w:spacing w:line="240" w:lineRule="auto"/>
        <w:ind w:firstLine="0"/>
        <w:rPr>
          <w:sz w:val="26"/>
          <w:szCs w:val="26"/>
        </w:rPr>
      </w:pPr>
    </w:p>
    <w:p w14:paraId="0D75BFEA" w14:textId="77777777" w:rsidR="009078DF" w:rsidRDefault="009078DF" w:rsidP="00592753">
      <w:pPr>
        <w:tabs>
          <w:tab w:val="left" w:pos="-720"/>
        </w:tabs>
        <w:suppressAutoHyphens/>
        <w:spacing w:line="240" w:lineRule="auto"/>
        <w:ind w:firstLine="0"/>
        <w:rPr>
          <w:sz w:val="26"/>
          <w:szCs w:val="26"/>
        </w:rPr>
      </w:pPr>
    </w:p>
    <w:p w14:paraId="79503977" w14:textId="77777777" w:rsidR="003519A5" w:rsidRDefault="003519A5" w:rsidP="00592753">
      <w:pPr>
        <w:tabs>
          <w:tab w:val="left" w:pos="-720"/>
        </w:tabs>
        <w:suppressAutoHyphens/>
        <w:spacing w:line="240" w:lineRule="auto"/>
        <w:ind w:firstLine="0"/>
        <w:jc w:val="right"/>
        <w:rPr>
          <w:sz w:val="26"/>
          <w:szCs w:val="26"/>
        </w:rPr>
      </w:pPr>
    </w:p>
    <w:p w14:paraId="15B972AF" w14:textId="796AD163" w:rsidR="009078DF" w:rsidRDefault="009078DF" w:rsidP="00592753">
      <w:pPr>
        <w:tabs>
          <w:tab w:val="left" w:pos="-720"/>
        </w:tabs>
        <w:suppressAutoHyphens/>
        <w:spacing w:line="240" w:lineRule="auto"/>
        <w:ind w:firstLine="0"/>
        <w:jc w:val="right"/>
        <w:rPr>
          <w:sz w:val="26"/>
          <w:szCs w:val="26"/>
        </w:rPr>
      </w:pPr>
      <w:r>
        <w:rPr>
          <w:sz w:val="26"/>
          <w:szCs w:val="26"/>
        </w:rPr>
        <w:t xml:space="preserve">Public Meeting held </w:t>
      </w:r>
      <w:r w:rsidR="004A35E3">
        <w:rPr>
          <w:sz w:val="26"/>
          <w:szCs w:val="26"/>
        </w:rPr>
        <w:t xml:space="preserve">March </w:t>
      </w:r>
      <w:r w:rsidR="0034301D">
        <w:rPr>
          <w:sz w:val="26"/>
          <w:szCs w:val="26"/>
        </w:rPr>
        <w:t>28</w:t>
      </w:r>
      <w:r w:rsidR="004A35E3">
        <w:rPr>
          <w:sz w:val="26"/>
          <w:szCs w:val="26"/>
        </w:rPr>
        <w:t>, 2019</w:t>
      </w:r>
    </w:p>
    <w:p w14:paraId="06715F25" w14:textId="77777777" w:rsidR="009078DF" w:rsidRDefault="009078DF" w:rsidP="00592753">
      <w:pPr>
        <w:tabs>
          <w:tab w:val="left" w:pos="-720"/>
        </w:tabs>
        <w:suppressAutoHyphens/>
        <w:spacing w:line="240" w:lineRule="auto"/>
        <w:ind w:firstLine="0"/>
        <w:rPr>
          <w:sz w:val="26"/>
          <w:szCs w:val="26"/>
        </w:rPr>
      </w:pPr>
    </w:p>
    <w:p w14:paraId="465BD16D" w14:textId="77777777" w:rsidR="009078DF" w:rsidRDefault="009078DF" w:rsidP="00592753">
      <w:pPr>
        <w:tabs>
          <w:tab w:val="left" w:pos="-720"/>
        </w:tabs>
        <w:suppressAutoHyphens/>
        <w:spacing w:line="240" w:lineRule="auto"/>
        <w:ind w:firstLine="0"/>
        <w:rPr>
          <w:sz w:val="26"/>
          <w:szCs w:val="26"/>
        </w:rPr>
      </w:pPr>
      <w:r>
        <w:rPr>
          <w:sz w:val="26"/>
          <w:szCs w:val="26"/>
        </w:rPr>
        <w:t>Commissioners Present:</w:t>
      </w:r>
    </w:p>
    <w:p w14:paraId="4B7E2B46" w14:textId="77777777" w:rsidR="009078DF" w:rsidRDefault="009078DF" w:rsidP="00592753">
      <w:pPr>
        <w:tabs>
          <w:tab w:val="left" w:pos="-720"/>
        </w:tabs>
        <w:suppressAutoHyphens/>
        <w:spacing w:line="240" w:lineRule="auto"/>
        <w:ind w:firstLine="0"/>
        <w:rPr>
          <w:sz w:val="26"/>
          <w:szCs w:val="26"/>
        </w:rPr>
      </w:pPr>
    </w:p>
    <w:p w14:paraId="424EECC1" w14:textId="77777777" w:rsidR="00251BC5" w:rsidRPr="00251BC5" w:rsidRDefault="00CE41A2" w:rsidP="00251BC5">
      <w:pPr>
        <w:tabs>
          <w:tab w:val="left" w:pos="705"/>
        </w:tabs>
        <w:spacing w:line="240" w:lineRule="auto"/>
        <w:ind w:firstLine="720"/>
        <w:rPr>
          <w:sz w:val="26"/>
          <w:szCs w:val="26"/>
        </w:rPr>
      </w:pPr>
      <w:r w:rsidRPr="00251BC5">
        <w:rPr>
          <w:sz w:val="26"/>
          <w:szCs w:val="26"/>
        </w:rPr>
        <w:t>Gladys M. Brown</w:t>
      </w:r>
      <w:r w:rsidR="00251BC5" w:rsidRPr="00251BC5">
        <w:rPr>
          <w:sz w:val="26"/>
          <w:szCs w:val="26"/>
        </w:rPr>
        <w:t>, Chairman</w:t>
      </w:r>
    </w:p>
    <w:p w14:paraId="68DD7729" w14:textId="77777777" w:rsidR="00251BC5" w:rsidRDefault="004A35E3" w:rsidP="00251BC5">
      <w:pPr>
        <w:widowControl w:val="0"/>
        <w:tabs>
          <w:tab w:val="left" w:pos="705"/>
        </w:tabs>
        <w:spacing w:line="240" w:lineRule="auto"/>
        <w:ind w:firstLine="720"/>
        <w:rPr>
          <w:sz w:val="26"/>
          <w:szCs w:val="26"/>
        </w:rPr>
      </w:pPr>
      <w:r>
        <w:rPr>
          <w:sz w:val="26"/>
          <w:szCs w:val="26"/>
        </w:rPr>
        <w:t>David W. Sweet</w:t>
      </w:r>
      <w:r w:rsidR="00251BC5" w:rsidRPr="00251BC5">
        <w:rPr>
          <w:sz w:val="26"/>
          <w:szCs w:val="26"/>
        </w:rPr>
        <w:t>, Vice Chairman</w:t>
      </w:r>
    </w:p>
    <w:p w14:paraId="133151F0" w14:textId="77777777" w:rsidR="004A35E3" w:rsidRDefault="004A35E3" w:rsidP="00251BC5">
      <w:pPr>
        <w:widowControl w:val="0"/>
        <w:tabs>
          <w:tab w:val="left" w:pos="705"/>
        </w:tabs>
        <w:spacing w:line="240" w:lineRule="auto"/>
        <w:ind w:firstLine="720"/>
        <w:rPr>
          <w:sz w:val="26"/>
          <w:szCs w:val="26"/>
        </w:rPr>
      </w:pPr>
      <w:r>
        <w:rPr>
          <w:sz w:val="26"/>
          <w:szCs w:val="26"/>
        </w:rPr>
        <w:t>Norman J. Kennard</w:t>
      </w:r>
    </w:p>
    <w:p w14:paraId="66212932" w14:textId="77777777" w:rsidR="004A35E3" w:rsidRPr="00251BC5" w:rsidRDefault="004A35E3" w:rsidP="00251BC5">
      <w:pPr>
        <w:widowControl w:val="0"/>
        <w:tabs>
          <w:tab w:val="left" w:pos="705"/>
        </w:tabs>
        <w:spacing w:line="240" w:lineRule="auto"/>
        <w:ind w:firstLine="720"/>
        <w:rPr>
          <w:sz w:val="26"/>
          <w:szCs w:val="26"/>
        </w:rPr>
      </w:pPr>
      <w:r>
        <w:rPr>
          <w:sz w:val="26"/>
          <w:szCs w:val="26"/>
        </w:rPr>
        <w:t>Andrew G. Place</w:t>
      </w:r>
    </w:p>
    <w:p w14:paraId="2136482B" w14:textId="77777777" w:rsidR="00251BC5" w:rsidRDefault="004A35E3" w:rsidP="00251BC5">
      <w:pPr>
        <w:widowControl w:val="0"/>
        <w:tabs>
          <w:tab w:val="left" w:pos="705"/>
        </w:tabs>
        <w:spacing w:line="240" w:lineRule="auto"/>
        <w:ind w:firstLine="720"/>
        <w:rPr>
          <w:sz w:val="26"/>
          <w:szCs w:val="26"/>
        </w:rPr>
      </w:pPr>
      <w:r w:rsidRPr="00251BC5">
        <w:rPr>
          <w:sz w:val="26"/>
          <w:szCs w:val="26"/>
        </w:rPr>
        <w:t>John F. Coleman, Jr.</w:t>
      </w:r>
    </w:p>
    <w:p w14:paraId="3A7B6DC4" w14:textId="77777777" w:rsidR="006266C0" w:rsidRDefault="006266C0" w:rsidP="00251BC5">
      <w:pPr>
        <w:widowControl w:val="0"/>
        <w:tabs>
          <w:tab w:val="left" w:pos="705"/>
        </w:tabs>
        <w:spacing w:line="240" w:lineRule="auto"/>
        <w:ind w:firstLine="720"/>
        <w:rPr>
          <w:sz w:val="26"/>
          <w:szCs w:val="26"/>
        </w:rPr>
      </w:pPr>
    </w:p>
    <w:p w14:paraId="2C2ED15F" w14:textId="77777777" w:rsidR="006266C0" w:rsidRDefault="006266C0" w:rsidP="00251BC5">
      <w:pPr>
        <w:widowControl w:val="0"/>
        <w:tabs>
          <w:tab w:val="left" w:pos="705"/>
        </w:tabs>
        <w:spacing w:line="240" w:lineRule="auto"/>
        <w:ind w:firstLine="720"/>
        <w:rPr>
          <w:sz w:val="26"/>
          <w:szCs w:val="26"/>
        </w:rPr>
      </w:pPr>
    </w:p>
    <w:p w14:paraId="1B22E2D6" w14:textId="0348396C" w:rsidR="00957295" w:rsidRPr="00957295" w:rsidRDefault="00957295" w:rsidP="00957295">
      <w:pPr>
        <w:tabs>
          <w:tab w:val="left" w:pos="-720"/>
        </w:tabs>
        <w:suppressAutoHyphens/>
        <w:autoSpaceDE w:val="0"/>
        <w:autoSpaceDN w:val="0"/>
        <w:spacing w:line="240" w:lineRule="auto"/>
        <w:ind w:firstLine="0"/>
        <w:rPr>
          <w:sz w:val="26"/>
          <w:szCs w:val="26"/>
        </w:rPr>
      </w:pPr>
      <w:r w:rsidRPr="00957295">
        <w:rPr>
          <w:sz w:val="26"/>
          <w:szCs w:val="26"/>
        </w:rPr>
        <w:t xml:space="preserve">SBG Management Services, Inc./ </w:t>
      </w:r>
      <w:r w:rsidRPr="00957295">
        <w:rPr>
          <w:sz w:val="26"/>
          <w:szCs w:val="26"/>
        </w:rPr>
        <w:tab/>
      </w:r>
      <w:r w:rsidRPr="00957295">
        <w:rPr>
          <w:sz w:val="26"/>
          <w:szCs w:val="26"/>
        </w:rPr>
        <w:tab/>
      </w:r>
      <w:r w:rsidRPr="00957295">
        <w:rPr>
          <w:sz w:val="26"/>
          <w:szCs w:val="26"/>
        </w:rPr>
        <w:tab/>
      </w:r>
      <w:r w:rsidR="0034301D">
        <w:rPr>
          <w:sz w:val="26"/>
          <w:szCs w:val="26"/>
        </w:rPr>
        <w:tab/>
      </w:r>
      <w:r w:rsidR="0034301D">
        <w:rPr>
          <w:sz w:val="26"/>
          <w:szCs w:val="26"/>
        </w:rPr>
        <w:tab/>
      </w:r>
      <w:r w:rsidR="0034301D">
        <w:rPr>
          <w:sz w:val="26"/>
          <w:szCs w:val="26"/>
        </w:rPr>
        <w:tab/>
      </w:r>
      <w:r w:rsidR="0034301D" w:rsidRPr="00957295">
        <w:rPr>
          <w:sz w:val="26"/>
          <w:szCs w:val="26"/>
        </w:rPr>
        <w:t xml:space="preserve">     C-2012-2304183</w:t>
      </w:r>
    </w:p>
    <w:p w14:paraId="2464DD7F" w14:textId="77777777" w:rsidR="00957295" w:rsidRPr="00957295" w:rsidRDefault="00957295" w:rsidP="00957295">
      <w:pPr>
        <w:tabs>
          <w:tab w:val="left" w:pos="-720"/>
        </w:tabs>
        <w:suppressAutoHyphens/>
        <w:autoSpaceDE w:val="0"/>
        <w:autoSpaceDN w:val="0"/>
        <w:spacing w:line="240" w:lineRule="auto"/>
        <w:ind w:firstLine="0"/>
        <w:rPr>
          <w:sz w:val="26"/>
          <w:szCs w:val="26"/>
        </w:rPr>
      </w:pPr>
      <w:r w:rsidRPr="00957295">
        <w:rPr>
          <w:sz w:val="26"/>
          <w:szCs w:val="26"/>
        </w:rPr>
        <w:t>Colonial Garden Realty Co., L.P.</w:t>
      </w:r>
      <w:r w:rsidRPr="00957295">
        <w:rPr>
          <w:sz w:val="26"/>
          <w:szCs w:val="26"/>
        </w:rPr>
        <w:tab/>
      </w:r>
      <w:r w:rsidRPr="00957295">
        <w:rPr>
          <w:sz w:val="26"/>
          <w:szCs w:val="26"/>
        </w:rPr>
        <w:tab/>
      </w:r>
      <w:r w:rsidRPr="00957295">
        <w:rPr>
          <w:sz w:val="26"/>
          <w:szCs w:val="26"/>
        </w:rPr>
        <w:tab/>
      </w:r>
    </w:p>
    <w:p w14:paraId="4C921BFD" w14:textId="693313BD" w:rsidR="00957295" w:rsidRPr="00957295" w:rsidRDefault="00957295" w:rsidP="00957295">
      <w:pPr>
        <w:tabs>
          <w:tab w:val="left" w:pos="-720"/>
        </w:tabs>
        <w:suppressAutoHyphens/>
        <w:autoSpaceDE w:val="0"/>
        <w:autoSpaceDN w:val="0"/>
        <w:spacing w:line="240" w:lineRule="auto"/>
        <w:ind w:firstLine="720"/>
        <w:rPr>
          <w:sz w:val="26"/>
          <w:szCs w:val="26"/>
        </w:rPr>
      </w:pPr>
    </w:p>
    <w:p w14:paraId="1C48A45C" w14:textId="1BD4CFC3" w:rsidR="00957295" w:rsidRPr="00957295" w:rsidRDefault="00957295" w:rsidP="00957295">
      <w:pPr>
        <w:tabs>
          <w:tab w:val="left" w:pos="-720"/>
        </w:tabs>
        <w:suppressAutoHyphens/>
        <w:autoSpaceDE w:val="0"/>
        <w:autoSpaceDN w:val="0"/>
        <w:spacing w:line="240" w:lineRule="auto"/>
        <w:ind w:firstLine="720"/>
        <w:rPr>
          <w:sz w:val="26"/>
          <w:szCs w:val="26"/>
        </w:rPr>
      </w:pPr>
      <w:r w:rsidRPr="00957295">
        <w:rPr>
          <w:sz w:val="26"/>
          <w:szCs w:val="26"/>
        </w:rPr>
        <w:tab/>
        <w:t>v.</w:t>
      </w:r>
    </w:p>
    <w:p w14:paraId="29D62308" w14:textId="4ACE3FCA" w:rsidR="00957295" w:rsidRPr="00957295" w:rsidRDefault="00957295" w:rsidP="00957295">
      <w:pPr>
        <w:tabs>
          <w:tab w:val="left" w:pos="-720"/>
        </w:tabs>
        <w:suppressAutoHyphens/>
        <w:autoSpaceDE w:val="0"/>
        <w:autoSpaceDN w:val="0"/>
        <w:spacing w:line="240" w:lineRule="auto"/>
        <w:ind w:firstLine="720"/>
        <w:rPr>
          <w:sz w:val="26"/>
          <w:szCs w:val="26"/>
        </w:rPr>
      </w:pPr>
    </w:p>
    <w:p w14:paraId="170AB9EF" w14:textId="5F1811D1" w:rsidR="00957295" w:rsidRPr="00957295" w:rsidRDefault="00957295" w:rsidP="00957295">
      <w:pPr>
        <w:tabs>
          <w:tab w:val="left" w:pos="-720"/>
        </w:tabs>
        <w:suppressAutoHyphens/>
        <w:autoSpaceDE w:val="0"/>
        <w:autoSpaceDN w:val="0"/>
        <w:spacing w:line="240" w:lineRule="auto"/>
        <w:ind w:firstLine="0"/>
        <w:rPr>
          <w:sz w:val="26"/>
          <w:szCs w:val="26"/>
        </w:rPr>
      </w:pPr>
      <w:r w:rsidRPr="00957295">
        <w:rPr>
          <w:sz w:val="26"/>
          <w:szCs w:val="26"/>
        </w:rPr>
        <w:t>Philadelphia Gas Works</w:t>
      </w:r>
    </w:p>
    <w:p w14:paraId="118BB901" w14:textId="77777777" w:rsidR="00957295" w:rsidRPr="00957295" w:rsidRDefault="00957295" w:rsidP="00957295">
      <w:pPr>
        <w:tabs>
          <w:tab w:val="left" w:pos="-720"/>
        </w:tabs>
        <w:suppressAutoHyphens/>
        <w:autoSpaceDE w:val="0"/>
        <w:autoSpaceDN w:val="0"/>
        <w:spacing w:line="240" w:lineRule="auto"/>
        <w:ind w:firstLine="720"/>
        <w:rPr>
          <w:sz w:val="26"/>
          <w:szCs w:val="26"/>
        </w:rPr>
      </w:pPr>
    </w:p>
    <w:p w14:paraId="3845112A" w14:textId="77777777" w:rsidR="00957295" w:rsidRPr="00957295" w:rsidRDefault="00957295" w:rsidP="00957295">
      <w:pPr>
        <w:tabs>
          <w:tab w:val="left" w:pos="-720"/>
        </w:tabs>
        <w:suppressAutoHyphens/>
        <w:autoSpaceDE w:val="0"/>
        <w:autoSpaceDN w:val="0"/>
        <w:spacing w:line="240" w:lineRule="auto"/>
        <w:ind w:firstLine="720"/>
        <w:rPr>
          <w:sz w:val="26"/>
          <w:szCs w:val="26"/>
        </w:rPr>
      </w:pPr>
    </w:p>
    <w:p w14:paraId="4CB03BC5" w14:textId="77777777" w:rsidR="00957295" w:rsidRPr="00957295" w:rsidRDefault="00957295" w:rsidP="00957295">
      <w:pPr>
        <w:tabs>
          <w:tab w:val="left" w:pos="-720"/>
        </w:tabs>
        <w:suppressAutoHyphens/>
        <w:autoSpaceDE w:val="0"/>
        <w:autoSpaceDN w:val="0"/>
        <w:spacing w:line="240" w:lineRule="auto"/>
        <w:ind w:firstLine="720"/>
        <w:rPr>
          <w:sz w:val="26"/>
          <w:szCs w:val="26"/>
        </w:rPr>
      </w:pPr>
    </w:p>
    <w:p w14:paraId="1FF1C14C" w14:textId="05D596EA" w:rsidR="00957295" w:rsidRPr="00957295" w:rsidRDefault="00957295" w:rsidP="00957295">
      <w:pPr>
        <w:tabs>
          <w:tab w:val="left" w:pos="-720"/>
        </w:tabs>
        <w:suppressAutoHyphens/>
        <w:autoSpaceDE w:val="0"/>
        <w:autoSpaceDN w:val="0"/>
        <w:spacing w:line="240" w:lineRule="auto"/>
        <w:ind w:firstLine="0"/>
        <w:rPr>
          <w:sz w:val="26"/>
          <w:szCs w:val="26"/>
        </w:rPr>
      </w:pPr>
      <w:r w:rsidRPr="00957295">
        <w:rPr>
          <w:sz w:val="26"/>
          <w:szCs w:val="26"/>
        </w:rPr>
        <w:t xml:space="preserve">SBG Management Services, Inc./ </w:t>
      </w:r>
      <w:r w:rsidRPr="00957295">
        <w:rPr>
          <w:sz w:val="26"/>
          <w:szCs w:val="26"/>
        </w:rPr>
        <w:tab/>
      </w:r>
      <w:r w:rsidRPr="00957295">
        <w:rPr>
          <w:sz w:val="26"/>
          <w:szCs w:val="26"/>
        </w:rPr>
        <w:tab/>
      </w:r>
      <w:r w:rsidRPr="00957295">
        <w:rPr>
          <w:sz w:val="26"/>
          <w:szCs w:val="26"/>
        </w:rPr>
        <w:tab/>
      </w:r>
      <w:r w:rsidR="0034301D">
        <w:rPr>
          <w:sz w:val="26"/>
          <w:szCs w:val="26"/>
        </w:rPr>
        <w:tab/>
      </w:r>
      <w:r w:rsidR="0034301D">
        <w:rPr>
          <w:sz w:val="26"/>
          <w:szCs w:val="26"/>
        </w:rPr>
        <w:tab/>
      </w:r>
      <w:r w:rsidR="0034301D">
        <w:rPr>
          <w:sz w:val="26"/>
          <w:szCs w:val="26"/>
        </w:rPr>
        <w:tab/>
      </w:r>
      <w:r w:rsidR="0034301D" w:rsidRPr="00957295">
        <w:rPr>
          <w:sz w:val="26"/>
          <w:szCs w:val="26"/>
        </w:rPr>
        <w:t xml:space="preserve">     C-2012-2304324</w:t>
      </w:r>
    </w:p>
    <w:p w14:paraId="18913416" w14:textId="4AA117E7" w:rsidR="00957295" w:rsidRPr="00957295" w:rsidRDefault="00957295" w:rsidP="00957295">
      <w:pPr>
        <w:tabs>
          <w:tab w:val="left" w:pos="-720"/>
        </w:tabs>
        <w:suppressAutoHyphens/>
        <w:autoSpaceDE w:val="0"/>
        <w:autoSpaceDN w:val="0"/>
        <w:spacing w:line="240" w:lineRule="auto"/>
        <w:ind w:firstLine="0"/>
        <w:rPr>
          <w:sz w:val="26"/>
          <w:szCs w:val="26"/>
        </w:rPr>
      </w:pPr>
      <w:r w:rsidRPr="00957295">
        <w:rPr>
          <w:sz w:val="26"/>
          <w:szCs w:val="26"/>
        </w:rPr>
        <w:t>Simon Garden Realty Co., L.P.</w:t>
      </w:r>
    </w:p>
    <w:p w14:paraId="158801AB" w14:textId="17DDE319" w:rsidR="00957295" w:rsidRPr="00957295" w:rsidRDefault="00957295" w:rsidP="00957295">
      <w:pPr>
        <w:tabs>
          <w:tab w:val="left" w:pos="-720"/>
        </w:tabs>
        <w:suppressAutoHyphens/>
        <w:autoSpaceDE w:val="0"/>
        <w:autoSpaceDN w:val="0"/>
        <w:spacing w:line="240" w:lineRule="auto"/>
        <w:ind w:firstLine="720"/>
        <w:rPr>
          <w:sz w:val="26"/>
          <w:szCs w:val="26"/>
        </w:rPr>
      </w:pPr>
    </w:p>
    <w:p w14:paraId="0A0321E5" w14:textId="77777777" w:rsidR="0034301D" w:rsidRDefault="00957295" w:rsidP="00957295">
      <w:pPr>
        <w:tabs>
          <w:tab w:val="left" w:pos="-720"/>
        </w:tabs>
        <w:suppressAutoHyphens/>
        <w:autoSpaceDE w:val="0"/>
        <w:autoSpaceDN w:val="0"/>
        <w:spacing w:line="240" w:lineRule="auto"/>
        <w:ind w:firstLine="720"/>
        <w:rPr>
          <w:sz w:val="26"/>
          <w:szCs w:val="26"/>
        </w:rPr>
      </w:pPr>
      <w:r w:rsidRPr="00957295">
        <w:rPr>
          <w:sz w:val="26"/>
          <w:szCs w:val="26"/>
        </w:rPr>
        <w:tab/>
        <w:t>v.</w:t>
      </w:r>
    </w:p>
    <w:p w14:paraId="1DB4B026" w14:textId="074DDD6A" w:rsidR="00957295" w:rsidRPr="00957295" w:rsidRDefault="00957295" w:rsidP="00957295">
      <w:pPr>
        <w:tabs>
          <w:tab w:val="left" w:pos="-720"/>
        </w:tabs>
        <w:suppressAutoHyphens/>
        <w:autoSpaceDE w:val="0"/>
        <w:autoSpaceDN w:val="0"/>
        <w:spacing w:line="240" w:lineRule="auto"/>
        <w:ind w:firstLine="720"/>
        <w:rPr>
          <w:sz w:val="26"/>
          <w:szCs w:val="26"/>
        </w:rPr>
      </w:pPr>
    </w:p>
    <w:p w14:paraId="37D67008" w14:textId="55852FEF" w:rsidR="00957295" w:rsidRPr="00957295" w:rsidRDefault="00957295" w:rsidP="00957295">
      <w:pPr>
        <w:tabs>
          <w:tab w:val="left" w:pos="-720"/>
        </w:tabs>
        <w:suppressAutoHyphens/>
        <w:autoSpaceDE w:val="0"/>
        <w:autoSpaceDN w:val="0"/>
        <w:spacing w:line="240" w:lineRule="auto"/>
        <w:ind w:firstLine="0"/>
        <w:rPr>
          <w:sz w:val="26"/>
          <w:szCs w:val="26"/>
        </w:rPr>
      </w:pPr>
      <w:r w:rsidRPr="00957295">
        <w:rPr>
          <w:sz w:val="26"/>
          <w:szCs w:val="26"/>
        </w:rPr>
        <w:t>Philadelphia Gas Works</w:t>
      </w:r>
    </w:p>
    <w:p w14:paraId="3AFD555F" w14:textId="77777777" w:rsidR="00D14914" w:rsidRDefault="00D14914" w:rsidP="0034301D">
      <w:pPr>
        <w:tabs>
          <w:tab w:val="center" w:pos="4680"/>
        </w:tabs>
        <w:suppressAutoHyphens/>
        <w:ind w:firstLine="0"/>
        <w:jc w:val="center"/>
        <w:rPr>
          <w:b/>
          <w:sz w:val="26"/>
        </w:rPr>
      </w:pPr>
    </w:p>
    <w:p w14:paraId="23C0FE65" w14:textId="77777777" w:rsidR="009078DF" w:rsidRDefault="009078DF" w:rsidP="0034301D">
      <w:pPr>
        <w:tabs>
          <w:tab w:val="center" w:pos="4680"/>
        </w:tabs>
        <w:suppressAutoHyphens/>
        <w:ind w:firstLine="0"/>
        <w:jc w:val="center"/>
        <w:rPr>
          <w:b/>
          <w:sz w:val="26"/>
        </w:rPr>
      </w:pPr>
      <w:r>
        <w:rPr>
          <w:b/>
          <w:sz w:val="26"/>
        </w:rPr>
        <w:t>OPINION AND ORDER</w:t>
      </w:r>
    </w:p>
    <w:p w14:paraId="3DEC3D36" w14:textId="77777777" w:rsidR="009078DF" w:rsidRDefault="009078DF" w:rsidP="0034301D">
      <w:pPr>
        <w:tabs>
          <w:tab w:val="left" w:pos="-720"/>
        </w:tabs>
        <w:suppressAutoHyphens/>
        <w:ind w:firstLine="0"/>
        <w:rPr>
          <w:b/>
          <w:sz w:val="26"/>
        </w:rPr>
      </w:pPr>
    </w:p>
    <w:p w14:paraId="2AF51643" w14:textId="77777777" w:rsidR="009078DF" w:rsidRDefault="009078DF" w:rsidP="0034301D">
      <w:pPr>
        <w:tabs>
          <w:tab w:val="left" w:pos="-720"/>
        </w:tabs>
        <w:suppressAutoHyphens/>
        <w:ind w:firstLine="0"/>
        <w:rPr>
          <w:sz w:val="26"/>
        </w:rPr>
      </w:pPr>
      <w:r>
        <w:rPr>
          <w:b/>
          <w:sz w:val="26"/>
        </w:rPr>
        <w:t>BY THE COMMISSION:</w:t>
      </w:r>
    </w:p>
    <w:p w14:paraId="1763D36C" w14:textId="77777777" w:rsidR="009078DF" w:rsidRDefault="009078DF" w:rsidP="0034301D">
      <w:pPr>
        <w:ind w:firstLine="0"/>
        <w:rPr>
          <w:sz w:val="26"/>
          <w:szCs w:val="26"/>
        </w:rPr>
      </w:pPr>
    </w:p>
    <w:p w14:paraId="6BB289DC" w14:textId="568D1209" w:rsidR="00B04627" w:rsidRDefault="009078DF" w:rsidP="007C6FB8">
      <w:pPr>
        <w:rPr>
          <w:sz w:val="26"/>
          <w:szCs w:val="26"/>
        </w:rPr>
      </w:pPr>
      <w:r>
        <w:rPr>
          <w:sz w:val="26"/>
          <w:szCs w:val="26"/>
        </w:rPr>
        <w:t xml:space="preserve">Before the Pennsylvania Public Utility Commission (Commission) for consideration </w:t>
      </w:r>
      <w:r w:rsidR="00E62493">
        <w:rPr>
          <w:sz w:val="26"/>
          <w:szCs w:val="26"/>
        </w:rPr>
        <w:t xml:space="preserve">and disposition </w:t>
      </w:r>
      <w:r w:rsidR="00152461">
        <w:rPr>
          <w:sz w:val="26"/>
          <w:szCs w:val="26"/>
        </w:rPr>
        <w:t>is a P</w:t>
      </w:r>
      <w:r w:rsidR="008912A0">
        <w:rPr>
          <w:sz w:val="26"/>
          <w:szCs w:val="26"/>
        </w:rPr>
        <w:t xml:space="preserve">etition for Stay (Petition) filed by </w:t>
      </w:r>
      <w:r w:rsidR="007C156C">
        <w:rPr>
          <w:sz w:val="26"/>
          <w:szCs w:val="26"/>
        </w:rPr>
        <w:t xml:space="preserve">Philadelphia Gas </w:t>
      </w:r>
      <w:r w:rsidR="007C156C">
        <w:rPr>
          <w:sz w:val="26"/>
          <w:szCs w:val="26"/>
        </w:rPr>
        <w:lastRenderedPageBreak/>
        <w:t>W</w:t>
      </w:r>
      <w:r w:rsidR="004A35E3">
        <w:rPr>
          <w:sz w:val="26"/>
          <w:szCs w:val="26"/>
        </w:rPr>
        <w:t>orks (P</w:t>
      </w:r>
      <w:r w:rsidR="008912A0">
        <w:rPr>
          <w:sz w:val="26"/>
          <w:szCs w:val="26"/>
        </w:rPr>
        <w:t xml:space="preserve">etitioner or </w:t>
      </w:r>
      <w:r w:rsidR="004A35E3">
        <w:rPr>
          <w:sz w:val="26"/>
          <w:szCs w:val="26"/>
        </w:rPr>
        <w:t>PGW</w:t>
      </w:r>
      <w:r w:rsidR="00D370FE">
        <w:rPr>
          <w:rStyle w:val="FootnoteReference"/>
          <w:sz w:val="26"/>
          <w:szCs w:val="26"/>
        </w:rPr>
        <w:footnoteReference w:id="1"/>
      </w:r>
      <w:r w:rsidR="0033553B">
        <w:rPr>
          <w:sz w:val="26"/>
          <w:szCs w:val="26"/>
        </w:rPr>
        <w:t xml:space="preserve">) on </w:t>
      </w:r>
      <w:r w:rsidR="00A22947">
        <w:rPr>
          <w:sz w:val="26"/>
          <w:szCs w:val="26"/>
        </w:rPr>
        <w:t>September 25, 2018</w:t>
      </w:r>
      <w:r w:rsidR="008912A0">
        <w:rPr>
          <w:sz w:val="26"/>
          <w:szCs w:val="26"/>
        </w:rPr>
        <w:t>.</w:t>
      </w:r>
      <w:r w:rsidR="007C6FB8">
        <w:rPr>
          <w:rStyle w:val="FootnoteReference"/>
          <w:sz w:val="26"/>
          <w:szCs w:val="26"/>
        </w:rPr>
        <w:footnoteReference w:id="2"/>
      </w:r>
      <w:r w:rsidR="008912A0">
        <w:rPr>
          <w:sz w:val="26"/>
          <w:szCs w:val="26"/>
        </w:rPr>
        <w:t xml:space="preserve">  In its Petition, </w:t>
      </w:r>
      <w:r w:rsidR="007C156C">
        <w:rPr>
          <w:sz w:val="26"/>
          <w:szCs w:val="26"/>
        </w:rPr>
        <w:t>PGW</w:t>
      </w:r>
      <w:r w:rsidR="009D2AEA">
        <w:rPr>
          <w:sz w:val="26"/>
          <w:szCs w:val="26"/>
        </w:rPr>
        <w:t xml:space="preserve"> requests</w:t>
      </w:r>
      <w:r w:rsidR="0014026D">
        <w:rPr>
          <w:sz w:val="26"/>
          <w:szCs w:val="26"/>
        </w:rPr>
        <w:t xml:space="preserve"> a</w:t>
      </w:r>
      <w:r w:rsidR="00ED4674">
        <w:rPr>
          <w:sz w:val="26"/>
          <w:szCs w:val="26"/>
        </w:rPr>
        <w:t xml:space="preserve"> stay </w:t>
      </w:r>
      <w:r w:rsidR="009D2AEA">
        <w:rPr>
          <w:sz w:val="26"/>
          <w:szCs w:val="26"/>
        </w:rPr>
        <w:t xml:space="preserve">of </w:t>
      </w:r>
      <w:r w:rsidR="00B0494E">
        <w:rPr>
          <w:sz w:val="26"/>
          <w:szCs w:val="26"/>
        </w:rPr>
        <w:t>its</w:t>
      </w:r>
      <w:r w:rsidR="00ED4674">
        <w:rPr>
          <w:sz w:val="26"/>
          <w:szCs w:val="26"/>
        </w:rPr>
        <w:t xml:space="preserve"> duty to comply with the prior final orders of the Commission entered on </w:t>
      </w:r>
      <w:r w:rsidR="00ED4674" w:rsidRPr="007C156C">
        <w:rPr>
          <w:sz w:val="26"/>
          <w:szCs w:val="26"/>
        </w:rPr>
        <w:t>December 8, 2016</w:t>
      </w:r>
      <w:r w:rsidR="00ED4674">
        <w:rPr>
          <w:sz w:val="26"/>
          <w:szCs w:val="26"/>
        </w:rPr>
        <w:t xml:space="preserve"> </w:t>
      </w:r>
      <w:r w:rsidR="00ED4674" w:rsidRPr="007C156C">
        <w:rPr>
          <w:sz w:val="26"/>
          <w:szCs w:val="26"/>
        </w:rPr>
        <w:t>(</w:t>
      </w:r>
      <w:r w:rsidR="00ED4674" w:rsidRPr="00FC1975">
        <w:rPr>
          <w:i/>
          <w:sz w:val="26"/>
          <w:szCs w:val="26"/>
        </w:rPr>
        <w:t>December 2016 Order</w:t>
      </w:r>
      <w:r w:rsidR="00ED4674" w:rsidRPr="007C156C">
        <w:rPr>
          <w:sz w:val="26"/>
          <w:szCs w:val="26"/>
        </w:rPr>
        <w:t>)</w:t>
      </w:r>
      <w:r w:rsidR="00ED4674">
        <w:rPr>
          <w:sz w:val="26"/>
          <w:szCs w:val="26"/>
        </w:rPr>
        <w:t xml:space="preserve">, </w:t>
      </w:r>
      <w:r w:rsidR="00ED4674" w:rsidRPr="007C156C">
        <w:rPr>
          <w:sz w:val="26"/>
          <w:szCs w:val="26"/>
        </w:rPr>
        <w:t>May 18, 2018 (</w:t>
      </w:r>
      <w:r w:rsidR="00ED4674" w:rsidRPr="00FC1975">
        <w:rPr>
          <w:i/>
          <w:sz w:val="26"/>
          <w:szCs w:val="26"/>
        </w:rPr>
        <w:t>May 2018 Order</w:t>
      </w:r>
      <w:r w:rsidR="00ED4674" w:rsidRPr="007C156C">
        <w:rPr>
          <w:sz w:val="26"/>
          <w:szCs w:val="26"/>
        </w:rPr>
        <w:t>)</w:t>
      </w:r>
      <w:r w:rsidR="00ED4674">
        <w:rPr>
          <w:sz w:val="26"/>
          <w:szCs w:val="26"/>
        </w:rPr>
        <w:t>,</w:t>
      </w:r>
      <w:r w:rsidR="00ED4674" w:rsidRPr="007C156C">
        <w:rPr>
          <w:sz w:val="26"/>
          <w:szCs w:val="26"/>
        </w:rPr>
        <w:t xml:space="preserve"> and August 23, 2018 (</w:t>
      </w:r>
      <w:r w:rsidR="00ED4674" w:rsidRPr="00FC1975">
        <w:rPr>
          <w:i/>
          <w:sz w:val="26"/>
          <w:szCs w:val="26"/>
        </w:rPr>
        <w:t>August 2018 Order</w:t>
      </w:r>
      <w:r w:rsidR="00ED4674">
        <w:rPr>
          <w:sz w:val="26"/>
          <w:szCs w:val="26"/>
        </w:rPr>
        <w:t xml:space="preserve">), </w:t>
      </w:r>
      <w:r w:rsidR="007C156C" w:rsidRPr="007C156C">
        <w:rPr>
          <w:sz w:val="26"/>
          <w:szCs w:val="26"/>
        </w:rPr>
        <w:t xml:space="preserve">pending the </w:t>
      </w:r>
      <w:r w:rsidR="00ED4674">
        <w:rPr>
          <w:sz w:val="26"/>
          <w:szCs w:val="26"/>
        </w:rPr>
        <w:t xml:space="preserve">Commonwealth Court’s </w:t>
      </w:r>
      <w:r w:rsidR="008E621F">
        <w:rPr>
          <w:sz w:val="26"/>
          <w:szCs w:val="26"/>
        </w:rPr>
        <w:t xml:space="preserve">consideration of PGW’s </w:t>
      </w:r>
      <w:r w:rsidR="00ED4674">
        <w:rPr>
          <w:sz w:val="26"/>
          <w:szCs w:val="26"/>
        </w:rPr>
        <w:t xml:space="preserve">Petition for Review </w:t>
      </w:r>
      <w:r w:rsidR="00786BF4">
        <w:rPr>
          <w:sz w:val="26"/>
          <w:szCs w:val="26"/>
        </w:rPr>
        <w:t xml:space="preserve">filed in response to </w:t>
      </w:r>
      <w:r w:rsidR="008E621F">
        <w:rPr>
          <w:sz w:val="26"/>
          <w:szCs w:val="26"/>
        </w:rPr>
        <w:t xml:space="preserve">our </w:t>
      </w:r>
      <w:r w:rsidR="008E621F" w:rsidRPr="008E621F">
        <w:rPr>
          <w:i/>
          <w:sz w:val="26"/>
          <w:szCs w:val="26"/>
        </w:rPr>
        <w:t>August 2</w:t>
      </w:r>
      <w:r w:rsidR="00484DD5">
        <w:rPr>
          <w:i/>
          <w:sz w:val="26"/>
          <w:szCs w:val="26"/>
        </w:rPr>
        <w:t>018</w:t>
      </w:r>
      <w:r w:rsidR="008E621F" w:rsidRPr="008E621F">
        <w:rPr>
          <w:i/>
          <w:sz w:val="26"/>
          <w:szCs w:val="26"/>
        </w:rPr>
        <w:t xml:space="preserve"> Order</w:t>
      </w:r>
      <w:r w:rsidR="00206C1B">
        <w:rPr>
          <w:i/>
          <w:sz w:val="26"/>
          <w:szCs w:val="26"/>
        </w:rPr>
        <w:t>.</w:t>
      </w:r>
      <w:r w:rsidR="009D2AEA">
        <w:rPr>
          <w:rStyle w:val="FootnoteReference"/>
          <w:i/>
          <w:sz w:val="26"/>
          <w:szCs w:val="26"/>
        </w:rPr>
        <w:footnoteReference w:id="3"/>
      </w:r>
      <w:r w:rsidR="00786BF4">
        <w:rPr>
          <w:i/>
          <w:sz w:val="26"/>
          <w:szCs w:val="26"/>
        </w:rPr>
        <w:t xml:space="preserve">  </w:t>
      </w:r>
      <w:r w:rsidR="007C156C">
        <w:rPr>
          <w:sz w:val="26"/>
          <w:szCs w:val="26"/>
        </w:rPr>
        <w:t xml:space="preserve">An </w:t>
      </w:r>
      <w:r w:rsidR="008912A0">
        <w:rPr>
          <w:sz w:val="26"/>
          <w:szCs w:val="26"/>
        </w:rPr>
        <w:t>Answer to the Petition</w:t>
      </w:r>
      <w:r w:rsidR="00786BF4">
        <w:rPr>
          <w:sz w:val="26"/>
          <w:szCs w:val="26"/>
        </w:rPr>
        <w:t xml:space="preserve"> for Stay </w:t>
      </w:r>
      <w:r w:rsidR="007C156C">
        <w:rPr>
          <w:sz w:val="26"/>
          <w:szCs w:val="26"/>
        </w:rPr>
        <w:t>was filed on October</w:t>
      </w:r>
      <w:r w:rsidR="00155BD3">
        <w:rPr>
          <w:sz w:val="26"/>
          <w:szCs w:val="26"/>
        </w:rPr>
        <w:t xml:space="preserve"> 15</w:t>
      </w:r>
      <w:r w:rsidR="007C156C">
        <w:rPr>
          <w:sz w:val="26"/>
          <w:szCs w:val="26"/>
        </w:rPr>
        <w:t>, 2018, by SB</w:t>
      </w:r>
      <w:r w:rsidR="00155BD3">
        <w:rPr>
          <w:sz w:val="26"/>
          <w:szCs w:val="26"/>
        </w:rPr>
        <w:t xml:space="preserve">G Management Services, Inc., </w:t>
      </w:r>
      <w:r w:rsidR="00155BD3" w:rsidRPr="00155BD3">
        <w:rPr>
          <w:i/>
          <w:sz w:val="26"/>
          <w:szCs w:val="26"/>
        </w:rPr>
        <w:t>et al</w:t>
      </w:r>
      <w:r w:rsidR="00155BD3">
        <w:rPr>
          <w:sz w:val="26"/>
          <w:szCs w:val="26"/>
        </w:rPr>
        <w:t>. (SBG)</w:t>
      </w:r>
      <w:r w:rsidR="004324F0">
        <w:rPr>
          <w:sz w:val="26"/>
          <w:szCs w:val="26"/>
        </w:rPr>
        <w:t xml:space="preserve"> (Answer)</w:t>
      </w:r>
      <w:r w:rsidR="00155BD3">
        <w:rPr>
          <w:sz w:val="26"/>
          <w:szCs w:val="26"/>
        </w:rPr>
        <w:t>.</w:t>
      </w:r>
    </w:p>
    <w:p w14:paraId="3B5F9C88" w14:textId="77777777" w:rsidR="00F379B3" w:rsidRDefault="00F379B3" w:rsidP="00B04627">
      <w:pPr>
        <w:rPr>
          <w:sz w:val="26"/>
          <w:szCs w:val="26"/>
        </w:rPr>
      </w:pPr>
    </w:p>
    <w:p w14:paraId="5E04DE8D" w14:textId="77777777" w:rsidR="00B970FC" w:rsidRPr="00ED4674" w:rsidRDefault="007B1289" w:rsidP="00ED4674">
      <w:pPr>
        <w:rPr>
          <w:sz w:val="26"/>
        </w:rPr>
      </w:pPr>
      <w:r>
        <w:rPr>
          <w:sz w:val="26"/>
          <w:szCs w:val="26"/>
        </w:rPr>
        <w:t xml:space="preserve">Upon </w:t>
      </w:r>
      <w:r w:rsidR="00152461">
        <w:rPr>
          <w:sz w:val="26"/>
          <w:szCs w:val="26"/>
        </w:rPr>
        <w:t xml:space="preserve">review of </w:t>
      </w:r>
      <w:r w:rsidR="00600091">
        <w:rPr>
          <w:sz w:val="26"/>
          <w:szCs w:val="26"/>
        </w:rPr>
        <w:t xml:space="preserve">PGW’s </w:t>
      </w:r>
      <w:r w:rsidR="00152461">
        <w:rPr>
          <w:sz w:val="26"/>
          <w:szCs w:val="26"/>
        </w:rPr>
        <w:t>Petition</w:t>
      </w:r>
      <w:r w:rsidR="00A45FFC">
        <w:rPr>
          <w:sz w:val="26"/>
          <w:szCs w:val="26"/>
        </w:rPr>
        <w:t xml:space="preserve"> for Stay</w:t>
      </w:r>
      <w:r w:rsidR="004324F0">
        <w:rPr>
          <w:i/>
          <w:sz w:val="26"/>
          <w:szCs w:val="26"/>
        </w:rPr>
        <w:t>,</w:t>
      </w:r>
      <w:r w:rsidR="004324F0" w:rsidRPr="004324F0">
        <w:rPr>
          <w:sz w:val="26"/>
          <w:szCs w:val="26"/>
        </w:rPr>
        <w:t xml:space="preserve"> SBG’</w:t>
      </w:r>
      <w:r w:rsidR="004324F0">
        <w:rPr>
          <w:sz w:val="26"/>
          <w:szCs w:val="26"/>
        </w:rPr>
        <w:t>s Answer</w:t>
      </w:r>
      <w:r w:rsidR="004324F0" w:rsidRPr="004324F0">
        <w:rPr>
          <w:sz w:val="26"/>
          <w:szCs w:val="26"/>
        </w:rPr>
        <w:t xml:space="preserve"> thereto</w:t>
      </w:r>
      <w:r w:rsidR="00152461">
        <w:rPr>
          <w:sz w:val="26"/>
          <w:szCs w:val="26"/>
        </w:rPr>
        <w:t xml:space="preserve">, </w:t>
      </w:r>
      <w:r w:rsidR="004324F0">
        <w:rPr>
          <w:sz w:val="26"/>
          <w:szCs w:val="26"/>
        </w:rPr>
        <w:t xml:space="preserve">and the applicable law, </w:t>
      </w:r>
      <w:r w:rsidR="00152461">
        <w:rPr>
          <w:sz w:val="26"/>
          <w:szCs w:val="26"/>
        </w:rPr>
        <w:t>we find t</w:t>
      </w:r>
      <w:r w:rsidR="007C6FB8">
        <w:rPr>
          <w:sz w:val="26"/>
          <w:szCs w:val="26"/>
        </w:rPr>
        <w:t>hat the substantive allegations of the petition lack merit</w:t>
      </w:r>
      <w:r w:rsidR="00A37C2F">
        <w:rPr>
          <w:sz w:val="26"/>
          <w:szCs w:val="26"/>
        </w:rPr>
        <w:t xml:space="preserve">.  </w:t>
      </w:r>
      <w:r w:rsidR="006568FF">
        <w:rPr>
          <w:sz w:val="26"/>
          <w:szCs w:val="26"/>
        </w:rPr>
        <w:t>T</w:t>
      </w:r>
      <w:r w:rsidR="005521C6" w:rsidRPr="005521C6">
        <w:rPr>
          <w:sz w:val="26"/>
          <w:szCs w:val="26"/>
        </w:rPr>
        <w:t>herefore, f</w:t>
      </w:r>
      <w:r w:rsidR="00B970FC" w:rsidRPr="005521C6">
        <w:rPr>
          <w:sz w:val="26"/>
        </w:rPr>
        <w:t>or</w:t>
      </w:r>
      <w:r w:rsidR="00B970FC" w:rsidRPr="009B7A28">
        <w:rPr>
          <w:sz w:val="26"/>
        </w:rPr>
        <w:t xml:space="preserve"> the reasons discussed below, </w:t>
      </w:r>
      <w:r w:rsidR="00B970FC" w:rsidRPr="002D518C">
        <w:rPr>
          <w:sz w:val="26"/>
        </w:rPr>
        <w:t xml:space="preserve">we </w:t>
      </w:r>
      <w:r w:rsidR="007C4EBB" w:rsidRPr="002D518C">
        <w:rPr>
          <w:sz w:val="26"/>
        </w:rPr>
        <w:t>shall</w:t>
      </w:r>
      <w:r w:rsidR="00ED4674">
        <w:rPr>
          <w:sz w:val="26"/>
        </w:rPr>
        <w:t xml:space="preserve"> deny PGW’s</w:t>
      </w:r>
      <w:r w:rsidR="008912A0">
        <w:rPr>
          <w:sz w:val="26"/>
        </w:rPr>
        <w:t xml:space="preserve"> Petition</w:t>
      </w:r>
      <w:r w:rsidR="00ED4674">
        <w:rPr>
          <w:sz w:val="26"/>
        </w:rPr>
        <w:t xml:space="preserve"> for Stay</w:t>
      </w:r>
      <w:r w:rsidR="008912A0">
        <w:rPr>
          <w:sz w:val="26"/>
        </w:rPr>
        <w:t>.</w:t>
      </w:r>
    </w:p>
    <w:p w14:paraId="7BDABC8F" w14:textId="23200CA3" w:rsidR="00B970FC" w:rsidRDefault="00B970FC" w:rsidP="00B970FC">
      <w:pPr>
        <w:rPr>
          <w:sz w:val="26"/>
        </w:rPr>
      </w:pPr>
    </w:p>
    <w:p w14:paraId="1180A506" w14:textId="77777777" w:rsidR="00EB5FEB" w:rsidRPr="00F32053" w:rsidRDefault="00F32053" w:rsidP="003B6E4A">
      <w:pPr>
        <w:pStyle w:val="ListParagraph"/>
        <w:keepNext/>
        <w:keepLines/>
        <w:numPr>
          <w:ilvl w:val="0"/>
          <w:numId w:val="4"/>
        </w:numPr>
        <w:spacing w:line="240" w:lineRule="auto"/>
        <w:ind w:left="360" w:hanging="360"/>
        <w:jc w:val="center"/>
        <w:rPr>
          <w:color w:val="000000"/>
          <w:sz w:val="26"/>
          <w:szCs w:val="26"/>
        </w:rPr>
      </w:pPr>
      <w:r w:rsidRPr="00F32053">
        <w:rPr>
          <w:b/>
          <w:sz w:val="26"/>
          <w:szCs w:val="26"/>
        </w:rPr>
        <w:lastRenderedPageBreak/>
        <w:t xml:space="preserve">Background and Procedural </w:t>
      </w:r>
      <w:r w:rsidR="009078DF" w:rsidRPr="00F32053">
        <w:rPr>
          <w:b/>
          <w:sz w:val="26"/>
          <w:szCs w:val="26"/>
        </w:rPr>
        <w:t>History of the Proceeding</w:t>
      </w:r>
      <w:r w:rsidR="00274891">
        <w:rPr>
          <w:rStyle w:val="FootnoteReference"/>
          <w:b/>
          <w:sz w:val="26"/>
          <w:szCs w:val="26"/>
        </w:rPr>
        <w:footnoteReference w:id="4"/>
      </w:r>
    </w:p>
    <w:p w14:paraId="0F47A063" w14:textId="77777777" w:rsidR="00EB5FEB" w:rsidRPr="00EB5FEB" w:rsidRDefault="00EB5FEB" w:rsidP="00286773">
      <w:pPr>
        <w:keepNext/>
        <w:keepLines/>
        <w:ind w:firstLine="0"/>
        <w:rPr>
          <w:color w:val="000000"/>
          <w:sz w:val="26"/>
          <w:szCs w:val="26"/>
        </w:rPr>
      </w:pPr>
    </w:p>
    <w:p w14:paraId="49E0BB33" w14:textId="77777777" w:rsidR="00F32053" w:rsidRPr="00F32053" w:rsidRDefault="00F32053" w:rsidP="00A35FE0">
      <w:pPr>
        <w:pStyle w:val="ListParagraph"/>
        <w:keepNext/>
        <w:keepLines/>
        <w:numPr>
          <w:ilvl w:val="0"/>
          <w:numId w:val="5"/>
        </w:numPr>
        <w:autoSpaceDE w:val="0"/>
        <w:autoSpaceDN w:val="0"/>
        <w:ind w:left="360"/>
        <w:rPr>
          <w:b/>
          <w:sz w:val="26"/>
          <w:szCs w:val="26"/>
        </w:rPr>
      </w:pPr>
      <w:bookmarkStart w:id="0" w:name="_Hlk521308638"/>
      <w:r w:rsidRPr="00F32053">
        <w:rPr>
          <w:b/>
          <w:sz w:val="26"/>
          <w:szCs w:val="26"/>
        </w:rPr>
        <w:t>Background</w:t>
      </w:r>
    </w:p>
    <w:p w14:paraId="4D7A6712" w14:textId="77777777" w:rsidR="00F32053" w:rsidRDefault="00F32053" w:rsidP="00F32053">
      <w:pPr>
        <w:keepNext/>
        <w:keepLines/>
        <w:autoSpaceDE w:val="0"/>
        <w:autoSpaceDN w:val="0"/>
        <w:rPr>
          <w:sz w:val="26"/>
          <w:szCs w:val="26"/>
        </w:rPr>
      </w:pPr>
    </w:p>
    <w:p w14:paraId="6BD10BAE" w14:textId="19333ED9" w:rsidR="007426F9" w:rsidRDefault="00F8357D" w:rsidP="00F32053">
      <w:pPr>
        <w:tabs>
          <w:tab w:val="left" w:pos="-720"/>
        </w:tabs>
        <w:suppressAutoHyphens/>
        <w:rPr>
          <w:sz w:val="26"/>
          <w:szCs w:val="26"/>
        </w:rPr>
      </w:pPr>
      <w:r>
        <w:rPr>
          <w:sz w:val="26"/>
          <w:szCs w:val="26"/>
        </w:rPr>
        <w:t>PGW requests</w:t>
      </w:r>
      <w:r w:rsidR="007D7F17">
        <w:rPr>
          <w:sz w:val="26"/>
          <w:szCs w:val="26"/>
        </w:rPr>
        <w:t xml:space="preserve"> </w:t>
      </w:r>
      <w:r w:rsidR="00BD5DE5">
        <w:rPr>
          <w:sz w:val="26"/>
          <w:szCs w:val="26"/>
        </w:rPr>
        <w:t xml:space="preserve">a </w:t>
      </w:r>
      <w:r w:rsidR="007D7F17">
        <w:rPr>
          <w:sz w:val="26"/>
          <w:szCs w:val="26"/>
        </w:rPr>
        <w:t xml:space="preserve">stay of its duty to comply with the </w:t>
      </w:r>
      <w:r w:rsidR="007D7F17" w:rsidRPr="00965F6C">
        <w:rPr>
          <w:i/>
          <w:sz w:val="26"/>
          <w:szCs w:val="26"/>
        </w:rPr>
        <w:t xml:space="preserve">Commission </w:t>
      </w:r>
      <w:r w:rsidR="00965F6C">
        <w:rPr>
          <w:i/>
          <w:sz w:val="26"/>
          <w:szCs w:val="26"/>
        </w:rPr>
        <w:t>O</w:t>
      </w:r>
      <w:r w:rsidR="007D7F17" w:rsidRPr="00965F6C">
        <w:rPr>
          <w:i/>
          <w:sz w:val="26"/>
          <w:szCs w:val="26"/>
        </w:rPr>
        <w:t>rder</w:t>
      </w:r>
      <w:r w:rsidR="00BD5DE5" w:rsidRPr="00965F6C">
        <w:rPr>
          <w:i/>
          <w:sz w:val="26"/>
          <w:szCs w:val="26"/>
        </w:rPr>
        <w:t>s</w:t>
      </w:r>
      <w:r w:rsidR="00BD5DE5">
        <w:rPr>
          <w:sz w:val="26"/>
          <w:szCs w:val="26"/>
        </w:rPr>
        <w:t xml:space="preserve"> </w:t>
      </w:r>
      <w:r w:rsidR="007C6FB8">
        <w:rPr>
          <w:sz w:val="26"/>
          <w:szCs w:val="26"/>
        </w:rPr>
        <w:t xml:space="preserve">to provide billing for utility service in compliance </w:t>
      </w:r>
      <w:r w:rsidR="00BD5DE5">
        <w:rPr>
          <w:sz w:val="26"/>
          <w:szCs w:val="26"/>
        </w:rPr>
        <w:t xml:space="preserve">with </w:t>
      </w:r>
      <w:r w:rsidR="00965F6C">
        <w:rPr>
          <w:sz w:val="26"/>
          <w:szCs w:val="26"/>
        </w:rPr>
        <w:t>Section 56.22</w:t>
      </w:r>
      <w:r w:rsidR="00BB073A">
        <w:rPr>
          <w:sz w:val="26"/>
          <w:szCs w:val="26"/>
        </w:rPr>
        <w:t>-24</w:t>
      </w:r>
      <w:r w:rsidR="00965F6C">
        <w:rPr>
          <w:sz w:val="26"/>
          <w:szCs w:val="26"/>
        </w:rPr>
        <w:t xml:space="preserve"> of the </w:t>
      </w:r>
      <w:r>
        <w:rPr>
          <w:sz w:val="26"/>
          <w:szCs w:val="26"/>
        </w:rPr>
        <w:t>Commission</w:t>
      </w:r>
      <w:r w:rsidR="00965F6C">
        <w:rPr>
          <w:sz w:val="26"/>
          <w:szCs w:val="26"/>
        </w:rPr>
        <w:t>’s</w:t>
      </w:r>
      <w:r>
        <w:rPr>
          <w:sz w:val="26"/>
          <w:szCs w:val="26"/>
        </w:rPr>
        <w:t xml:space="preserve"> </w:t>
      </w:r>
      <w:r w:rsidR="00AB1C3C">
        <w:rPr>
          <w:sz w:val="26"/>
          <w:szCs w:val="26"/>
        </w:rPr>
        <w:t>r</w:t>
      </w:r>
      <w:r>
        <w:rPr>
          <w:sz w:val="26"/>
          <w:szCs w:val="26"/>
        </w:rPr>
        <w:t>egulation</w:t>
      </w:r>
      <w:r w:rsidR="00BD5DE5">
        <w:rPr>
          <w:sz w:val="26"/>
          <w:szCs w:val="26"/>
        </w:rPr>
        <w:t>s</w:t>
      </w:r>
      <w:r w:rsidR="00965F6C">
        <w:rPr>
          <w:sz w:val="26"/>
          <w:szCs w:val="26"/>
        </w:rPr>
        <w:t xml:space="preserve">, </w:t>
      </w:r>
      <w:r>
        <w:rPr>
          <w:sz w:val="26"/>
          <w:szCs w:val="26"/>
        </w:rPr>
        <w:t>52 Pa. Code §§</w:t>
      </w:r>
      <w:r w:rsidR="00C80B6E">
        <w:rPr>
          <w:sz w:val="26"/>
          <w:szCs w:val="26"/>
        </w:rPr>
        <w:t xml:space="preserve"> </w:t>
      </w:r>
      <w:r>
        <w:rPr>
          <w:sz w:val="26"/>
          <w:szCs w:val="26"/>
        </w:rPr>
        <w:t>56.22</w:t>
      </w:r>
      <w:r w:rsidR="00BB073A">
        <w:rPr>
          <w:sz w:val="26"/>
          <w:szCs w:val="26"/>
        </w:rPr>
        <w:t>-24</w:t>
      </w:r>
      <w:r w:rsidR="007D7F17">
        <w:rPr>
          <w:sz w:val="26"/>
          <w:szCs w:val="26"/>
        </w:rPr>
        <w:t xml:space="preserve"> (pertaining to</w:t>
      </w:r>
      <w:r>
        <w:rPr>
          <w:sz w:val="26"/>
          <w:szCs w:val="26"/>
        </w:rPr>
        <w:t xml:space="preserve"> late fees and application of partial payments to utility </w:t>
      </w:r>
      <w:r w:rsidR="00A37C2F">
        <w:rPr>
          <w:sz w:val="26"/>
          <w:szCs w:val="26"/>
        </w:rPr>
        <w:t>accounts)</w:t>
      </w:r>
      <w:r w:rsidR="00BD5DE5">
        <w:rPr>
          <w:sz w:val="26"/>
          <w:szCs w:val="26"/>
        </w:rPr>
        <w:t>;</w:t>
      </w:r>
      <w:r w:rsidR="00A37C2F">
        <w:rPr>
          <w:sz w:val="26"/>
          <w:szCs w:val="26"/>
        </w:rPr>
        <w:t xml:space="preserve"> </w:t>
      </w:r>
      <w:r w:rsidR="0029001A">
        <w:rPr>
          <w:sz w:val="26"/>
          <w:szCs w:val="26"/>
        </w:rPr>
        <w:t xml:space="preserve">to </w:t>
      </w:r>
      <w:r w:rsidR="00A37C2F">
        <w:rPr>
          <w:sz w:val="26"/>
          <w:szCs w:val="26"/>
        </w:rPr>
        <w:t>reimburse</w:t>
      </w:r>
      <w:r w:rsidR="007D7F17">
        <w:rPr>
          <w:sz w:val="26"/>
          <w:szCs w:val="26"/>
        </w:rPr>
        <w:t xml:space="preserve"> </w:t>
      </w:r>
      <w:r>
        <w:rPr>
          <w:sz w:val="26"/>
          <w:szCs w:val="26"/>
        </w:rPr>
        <w:t>SBG</w:t>
      </w:r>
      <w:r w:rsidR="00A37C2F">
        <w:rPr>
          <w:sz w:val="26"/>
          <w:szCs w:val="26"/>
        </w:rPr>
        <w:t xml:space="preserve"> </w:t>
      </w:r>
      <w:r>
        <w:rPr>
          <w:sz w:val="26"/>
          <w:szCs w:val="26"/>
        </w:rPr>
        <w:t xml:space="preserve">for overpayments </w:t>
      </w:r>
      <w:r w:rsidR="007D7F17">
        <w:rPr>
          <w:sz w:val="26"/>
          <w:szCs w:val="26"/>
        </w:rPr>
        <w:t xml:space="preserve">made </w:t>
      </w:r>
      <w:r>
        <w:rPr>
          <w:sz w:val="26"/>
          <w:szCs w:val="26"/>
        </w:rPr>
        <w:t>due to PGW’s unlawful billing practices</w:t>
      </w:r>
      <w:r w:rsidR="00BD5DE5">
        <w:rPr>
          <w:sz w:val="26"/>
          <w:szCs w:val="26"/>
        </w:rPr>
        <w:t xml:space="preserve">; </w:t>
      </w:r>
      <w:r w:rsidR="007D7F17">
        <w:rPr>
          <w:sz w:val="26"/>
          <w:szCs w:val="26"/>
        </w:rPr>
        <w:t xml:space="preserve">and </w:t>
      </w:r>
      <w:r w:rsidR="0029001A">
        <w:rPr>
          <w:sz w:val="26"/>
          <w:szCs w:val="26"/>
        </w:rPr>
        <w:t xml:space="preserve">to </w:t>
      </w:r>
      <w:r w:rsidR="007D7F17">
        <w:rPr>
          <w:sz w:val="26"/>
          <w:szCs w:val="26"/>
        </w:rPr>
        <w:t>pay</w:t>
      </w:r>
      <w:r w:rsidR="0029001A">
        <w:rPr>
          <w:sz w:val="26"/>
          <w:szCs w:val="26"/>
        </w:rPr>
        <w:t xml:space="preserve"> </w:t>
      </w:r>
      <w:r w:rsidR="007D7F17">
        <w:rPr>
          <w:sz w:val="26"/>
          <w:szCs w:val="26"/>
        </w:rPr>
        <w:t xml:space="preserve">penalties </w:t>
      </w:r>
      <w:r w:rsidR="00A37C2F">
        <w:rPr>
          <w:sz w:val="26"/>
          <w:szCs w:val="26"/>
        </w:rPr>
        <w:t xml:space="preserve">due to </w:t>
      </w:r>
      <w:r w:rsidR="007426F9">
        <w:rPr>
          <w:sz w:val="26"/>
          <w:szCs w:val="26"/>
        </w:rPr>
        <w:t>PGW</w:t>
      </w:r>
      <w:r w:rsidR="00BD5DE5">
        <w:rPr>
          <w:sz w:val="26"/>
          <w:szCs w:val="26"/>
        </w:rPr>
        <w:t>’</w:t>
      </w:r>
      <w:r w:rsidR="00A37C2F">
        <w:rPr>
          <w:sz w:val="26"/>
          <w:szCs w:val="26"/>
        </w:rPr>
        <w:t xml:space="preserve">s </w:t>
      </w:r>
      <w:r w:rsidR="00BB073A">
        <w:rPr>
          <w:sz w:val="26"/>
          <w:szCs w:val="26"/>
        </w:rPr>
        <w:t xml:space="preserve">failure </w:t>
      </w:r>
      <w:r w:rsidR="008A74EA">
        <w:rPr>
          <w:sz w:val="26"/>
          <w:szCs w:val="26"/>
        </w:rPr>
        <w:t xml:space="preserve">to </w:t>
      </w:r>
      <w:r w:rsidR="00BE5D17">
        <w:rPr>
          <w:sz w:val="26"/>
          <w:szCs w:val="26"/>
        </w:rPr>
        <w:t xml:space="preserve">provide reasonable service and </w:t>
      </w:r>
      <w:r w:rsidR="000563AF">
        <w:rPr>
          <w:sz w:val="26"/>
          <w:szCs w:val="26"/>
        </w:rPr>
        <w:t xml:space="preserve">failure </w:t>
      </w:r>
      <w:r w:rsidR="00BE5D17">
        <w:rPr>
          <w:sz w:val="26"/>
          <w:szCs w:val="26"/>
        </w:rPr>
        <w:t xml:space="preserve">to </w:t>
      </w:r>
      <w:r w:rsidR="008A74EA">
        <w:rPr>
          <w:sz w:val="26"/>
          <w:szCs w:val="26"/>
        </w:rPr>
        <w:t>disclose its accounting and billing practices</w:t>
      </w:r>
      <w:r w:rsidR="007426F9">
        <w:rPr>
          <w:sz w:val="26"/>
          <w:szCs w:val="26"/>
        </w:rPr>
        <w:t>.</w:t>
      </w:r>
    </w:p>
    <w:p w14:paraId="4DBA12DD" w14:textId="77777777" w:rsidR="007426F9" w:rsidRDefault="007426F9" w:rsidP="00F32053">
      <w:pPr>
        <w:tabs>
          <w:tab w:val="left" w:pos="-720"/>
        </w:tabs>
        <w:suppressAutoHyphens/>
        <w:rPr>
          <w:sz w:val="26"/>
          <w:szCs w:val="26"/>
        </w:rPr>
      </w:pPr>
    </w:p>
    <w:p w14:paraId="76727D7A" w14:textId="034D629D" w:rsidR="00F32053" w:rsidRPr="006D3B43" w:rsidRDefault="007426F9" w:rsidP="00F32053">
      <w:pPr>
        <w:tabs>
          <w:tab w:val="left" w:pos="-720"/>
        </w:tabs>
        <w:suppressAutoHyphens/>
        <w:rPr>
          <w:sz w:val="26"/>
          <w:szCs w:val="26"/>
        </w:rPr>
      </w:pPr>
      <w:r>
        <w:rPr>
          <w:sz w:val="26"/>
          <w:szCs w:val="26"/>
        </w:rPr>
        <w:t xml:space="preserve">Our </w:t>
      </w:r>
      <w:r w:rsidRPr="007426F9">
        <w:rPr>
          <w:i/>
          <w:sz w:val="26"/>
          <w:szCs w:val="26"/>
        </w:rPr>
        <w:t>December 2016 Order</w:t>
      </w:r>
      <w:r>
        <w:rPr>
          <w:sz w:val="26"/>
          <w:szCs w:val="26"/>
        </w:rPr>
        <w:t xml:space="preserve"> was the culmination of </w:t>
      </w:r>
      <w:r w:rsidR="00542F46" w:rsidRPr="001E78DD">
        <w:rPr>
          <w:sz w:val="26"/>
          <w:szCs w:val="26"/>
        </w:rPr>
        <w:t>protracted</w:t>
      </w:r>
      <w:r w:rsidR="00542F46">
        <w:rPr>
          <w:sz w:val="26"/>
          <w:szCs w:val="26"/>
        </w:rPr>
        <w:t xml:space="preserve"> litigation which commenced in 2012</w:t>
      </w:r>
      <w:r w:rsidR="002116B6">
        <w:rPr>
          <w:sz w:val="26"/>
          <w:szCs w:val="26"/>
        </w:rPr>
        <w:t xml:space="preserve"> </w:t>
      </w:r>
      <w:r w:rsidR="001D610B">
        <w:rPr>
          <w:sz w:val="26"/>
          <w:szCs w:val="26"/>
        </w:rPr>
        <w:t xml:space="preserve">upon </w:t>
      </w:r>
      <w:r w:rsidR="00933184">
        <w:rPr>
          <w:sz w:val="26"/>
          <w:szCs w:val="26"/>
        </w:rPr>
        <w:t xml:space="preserve">the </w:t>
      </w:r>
      <w:r w:rsidR="00BD5DE5">
        <w:rPr>
          <w:sz w:val="26"/>
          <w:szCs w:val="26"/>
        </w:rPr>
        <w:t xml:space="preserve">filing of </w:t>
      </w:r>
      <w:r w:rsidR="00933184">
        <w:rPr>
          <w:sz w:val="26"/>
          <w:szCs w:val="26"/>
        </w:rPr>
        <w:t xml:space="preserve">Formal Complaints (Complaints) </w:t>
      </w:r>
      <w:r w:rsidR="001D610B">
        <w:rPr>
          <w:sz w:val="26"/>
          <w:szCs w:val="26"/>
        </w:rPr>
        <w:t>by</w:t>
      </w:r>
      <w:r w:rsidR="00933184">
        <w:rPr>
          <w:sz w:val="26"/>
          <w:szCs w:val="26"/>
        </w:rPr>
        <w:t xml:space="preserve"> </w:t>
      </w:r>
      <w:r w:rsidR="00B96E11">
        <w:rPr>
          <w:sz w:val="26"/>
          <w:szCs w:val="26"/>
        </w:rPr>
        <w:t xml:space="preserve">SBG on behalf of </w:t>
      </w:r>
      <w:r w:rsidR="00933184" w:rsidRPr="00CD53A4">
        <w:rPr>
          <w:sz w:val="26"/>
          <w:szCs w:val="26"/>
        </w:rPr>
        <w:t>Colonial Garden Realty Co., L.P., and</w:t>
      </w:r>
      <w:r w:rsidR="00933184">
        <w:rPr>
          <w:sz w:val="26"/>
          <w:szCs w:val="26"/>
        </w:rPr>
        <w:t xml:space="preserve"> </w:t>
      </w:r>
      <w:r w:rsidR="00933184" w:rsidRPr="00CD53A4">
        <w:rPr>
          <w:sz w:val="26"/>
          <w:szCs w:val="26"/>
        </w:rPr>
        <w:t>Simon Garden Realty Co., L.P.</w:t>
      </w:r>
      <w:r w:rsidR="00B96E11">
        <w:rPr>
          <w:sz w:val="26"/>
          <w:szCs w:val="26"/>
        </w:rPr>
        <w:t xml:space="preserve">, </w:t>
      </w:r>
      <w:r w:rsidR="00933184">
        <w:rPr>
          <w:sz w:val="26"/>
          <w:szCs w:val="26"/>
        </w:rPr>
        <w:t>(Complainants),</w:t>
      </w:r>
      <w:r w:rsidR="00933184">
        <w:rPr>
          <w:rStyle w:val="FootnoteReference"/>
          <w:sz w:val="26"/>
          <w:szCs w:val="26"/>
        </w:rPr>
        <w:footnoteReference w:id="5"/>
      </w:r>
      <w:r w:rsidR="00933184">
        <w:rPr>
          <w:sz w:val="26"/>
          <w:szCs w:val="26"/>
        </w:rPr>
        <w:t xml:space="preserve">  The</w:t>
      </w:r>
      <w:r w:rsidR="00786BF4">
        <w:rPr>
          <w:sz w:val="26"/>
          <w:szCs w:val="26"/>
        </w:rPr>
        <w:t xml:space="preserve"> </w:t>
      </w:r>
      <w:r w:rsidR="00933184">
        <w:rPr>
          <w:spacing w:val="-3"/>
          <w:sz w:val="26"/>
          <w:szCs w:val="26"/>
        </w:rPr>
        <w:t>C</w:t>
      </w:r>
      <w:r w:rsidR="00933184" w:rsidRPr="00EF6DE6">
        <w:rPr>
          <w:spacing w:val="-3"/>
          <w:sz w:val="26"/>
          <w:szCs w:val="26"/>
        </w:rPr>
        <w:t>omplain</w:t>
      </w:r>
      <w:r w:rsidR="0029001A">
        <w:rPr>
          <w:spacing w:val="-3"/>
          <w:sz w:val="26"/>
          <w:szCs w:val="26"/>
        </w:rPr>
        <w:t>ants</w:t>
      </w:r>
      <w:r w:rsidR="00933184" w:rsidRPr="00EF6DE6">
        <w:rPr>
          <w:spacing w:val="-3"/>
          <w:sz w:val="26"/>
          <w:szCs w:val="26"/>
        </w:rPr>
        <w:t xml:space="preserve"> </w:t>
      </w:r>
      <w:r w:rsidR="00A37C2F">
        <w:rPr>
          <w:spacing w:val="-3"/>
          <w:sz w:val="26"/>
          <w:szCs w:val="26"/>
        </w:rPr>
        <w:t>ultimately prevailed in their challenge</w:t>
      </w:r>
      <w:r w:rsidR="00BD5DE5">
        <w:rPr>
          <w:spacing w:val="-3"/>
          <w:sz w:val="26"/>
          <w:szCs w:val="26"/>
        </w:rPr>
        <w:t xml:space="preserve"> of </w:t>
      </w:r>
      <w:r w:rsidR="00933184">
        <w:rPr>
          <w:spacing w:val="-3"/>
          <w:sz w:val="26"/>
          <w:szCs w:val="26"/>
        </w:rPr>
        <w:t>the lawfulness of PGW’s utility service billing practices.</w:t>
      </w:r>
      <w:r w:rsidR="00933184">
        <w:rPr>
          <w:rStyle w:val="FootnoteReference"/>
          <w:spacing w:val="-3"/>
          <w:sz w:val="26"/>
          <w:szCs w:val="26"/>
        </w:rPr>
        <w:footnoteReference w:id="6"/>
      </w:r>
      <w:r w:rsidR="00965F6C" w:rsidRPr="00965F6C">
        <w:rPr>
          <w:spacing w:val="-3"/>
          <w:sz w:val="26"/>
          <w:szCs w:val="26"/>
          <w:vertAlign w:val="superscript"/>
        </w:rPr>
        <w:t>,</w:t>
      </w:r>
      <w:r w:rsidR="00965F6C">
        <w:rPr>
          <w:rStyle w:val="FootnoteReference"/>
          <w:spacing w:val="-3"/>
          <w:sz w:val="26"/>
          <w:szCs w:val="26"/>
        </w:rPr>
        <w:t xml:space="preserve"> </w:t>
      </w:r>
      <w:r w:rsidR="00933184">
        <w:rPr>
          <w:rStyle w:val="FootnoteReference"/>
          <w:spacing w:val="-3"/>
          <w:sz w:val="26"/>
          <w:szCs w:val="26"/>
        </w:rPr>
        <w:footnoteReference w:id="7"/>
      </w:r>
      <w:r w:rsidR="00933184" w:rsidRPr="00EF6DE6">
        <w:rPr>
          <w:spacing w:val="-3"/>
          <w:sz w:val="26"/>
          <w:szCs w:val="26"/>
        </w:rPr>
        <w:t xml:space="preserve">  </w:t>
      </w:r>
      <w:r w:rsidR="00933184" w:rsidRPr="00D772DB">
        <w:rPr>
          <w:sz w:val="26"/>
          <w:szCs w:val="26"/>
        </w:rPr>
        <w:t>See</w:t>
      </w:r>
      <w:r w:rsidR="00933184">
        <w:rPr>
          <w:sz w:val="26"/>
          <w:szCs w:val="26"/>
        </w:rPr>
        <w:t>,</w:t>
      </w:r>
      <w:r w:rsidR="00933184">
        <w:rPr>
          <w:i/>
          <w:sz w:val="26"/>
          <w:szCs w:val="26"/>
        </w:rPr>
        <w:t xml:space="preserve"> December </w:t>
      </w:r>
      <w:r w:rsidR="00484DD5">
        <w:rPr>
          <w:i/>
          <w:sz w:val="26"/>
          <w:szCs w:val="26"/>
        </w:rPr>
        <w:t>2016</w:t>
      </w:r>
      <w:r w:rsidR="00933184">
        <w:rPr>
          <w:i/>
          <w:sz w:val="26"/>
          <w:szCs w:val="26"/>
        </w:rPr>
        <w:t xml:space="preserve"> Order </w:t>
      </w:r>
      <w:r w:rsidR="00A37C2F">
        <w:rPr>
          <w:sz w:val="26"/>
          <w:szCs w:val="26"/>
        </w:rPr>
        <w:t>at</w:t>
      </w:r>
      <w:r w:rsidR="004B7BE8">
        <w:rPr>
          <w:sz w:val="26"/>
          <w:szCs w:val="26"/>
        </w:rPr>
        <w:t> </w:t>
      </w:r>
      <w:r w:rsidR="00A37C2F">
        <w:rPr>
          <w:sz w:val="26"/>
          <w:szCs w:val="26"/>
        </w:rPr>
        <w:t>8</w:t>
      </w:r>
      <w:r w:rsidR="004B7BE8">
        <w:rPr>
          <w:sz w:val="26"/>
          <w:szCs w:val="26"/>
        </w:rPr>
        <w:noBreakHyphen/>
      </w:r>
      <w:r w:rsidR="00A37C2F">
        <w:rPr>
          <w:sz w:val="26"/>
          <w:szCs w:val="26"/>
        </w:rPr>
        <w:t>9;</w:t>
      </w:r>
      <w:r w:rsidR="004B7BE8">
        <w:rPr>
          <w:sz w:val="26"/>
          <w:szCs w:val="26"/>
        </w:rPr>
        <w:t> </w:t>
      </w:r>
      <w:r w:rsidR="00A37C2F">
        <w:rPr>
          <w:sz w:val="26"/>
          <w:szCs w:val="26"/>
        </w:rPr>
        <w:t>23.</w:t>
      </w:r>
    </w:p>
    <w:p w14:paraId="0FF759A8" w14:textId="77777777" w:rsidR="00F32053" w:rsidRDefault="00F32053" w:rsidP="0058343B">
      <w:pPr>
        <w:autoSpaceDE w:val="0"/>
        <w:autoSpaceDN w:val="0"/>
        <w:rPr>
          <w:color w:val="000000"/>
          <w:sz w:val="26"/>
          <w:szCs w:val="26"/>
        </w:rPr>
      </w:pPr>
    </w:p>
    <w:p w14:paraId="1F3741F3" w14:textId="77777777" w:rsidR="00F32053" w:rsidRDefault="00F32053" w:rsidP="00A35FE0">
      <w:pPr>
        <w:pStyle w:val="ListParagraph"/>
        <w:keepNext/>
        <w:keepLines/>
        <w:numPr>
          <w:ilvl w:val="0"/>
          <w:numId w:val="5"/>
        </w:numPr>
        <w:autoSpaceDE w:val="0"/>
        <w:autoSpaceDN w:val="0"/>
        <w:ind w:left="360"/>
        <w:rPr>
          <w:b/>
          <w:color w:val="000000"/>
          <w:sz w:val="26"/>
          <w:szCs w:val="26"/>
        </w:rPr>
      </w:pPr>
      <w:r w:rsidRPr="00F32053">
        <w:rPr>
          <w:b/>
          <w:color w:val="000000"/>
          <w:sz w:val="26"/>
          <w:szCs w:val="26"/>
        </w:rPr>
        <w:t>Procedural History</w:t>
      </w:r>
    </w:p>
    <w:p w14:paraId="25E9B86F" w14:textId="77777777" w:rsidR="00F32053" w:rsidRPr="00F32053" w:rsidRDefault="00F32053" w:rsidP="001D610B">
      <w:pPr>
        <w:pStyle w:val="ListParagraph"/>
        <w:keepNext/>
        <w:keepLines/>
        <w:autoSpaceDE w:val="0"/>
        <w:autoSpaceDN w:val="0"/>
        <w:ind w:left="1800" w:firstLine="0"/>
        <w:rPr>
          <w:b/>
          <w:color w:val="000000"/>
          <w:sz w:val="26"/>
          <w:szCs w:val="26"/>
        </w:rPr>
      </w:pPr>
    </w:p>
    <w:p w14:paraId="125533CC" w14:textId="0F3E46E3" w:rsidR="00497AD6" w:rsidRDefault="0058343B" w:rsidP="0058343B">
      <w:pPr>
        <w:autoSpaceDE w:val="0"/>
        <w:autoSpaceDN w:val="0"/>
        <w:rPr>
          <w:bCs/>
          <w:spacing w:val="-3"/>
          <w:sz w:val="26"/>
          <w:szCs w:val="26"/>
        </w:rPr>
      </w:pPr>
      <w:r>
        <w:rPr>
          <w:sz w:val="26"/>
          <w:szCs w:val="26"/>
        </w:rPr>
        <w:t xml:space="preserve">By </w:t>
      </w:r>
      <w:r w:rsidR="000923EC">
        <w:rPr>
          <w:sz w:val="26"/>
          <w:szCs w:val="26"/>
        </w:rPr>
        <w:t xml:space="preserve">our </w:t>
      </w:r>
      <w:r>
        <w:rPr>
          <w:i/>
          <w:sz w:val="26"/>
          <w:szCs w:val="26"/>
        </w:rPr>
        <w:t xml:space="preserve">December </w:t>
      </w:r>
      <w:r w:rsidR="000923EC">
        <w:rPr>
          <w:i/>
          <w:sz w:val="26"/>
          <w:szCs w:val="26"/>
        </w:rPr>
        <w:t xml:space="preserve">2016 </w:t>
      </w:r>
      <w:r>
        <w:rPr>
          <w:i/>
          <w:sz w:val="26"/>
          <w:szCs w:val="26"/>
        </w:rPr>
        <w:t>Order</w:t>
      </w:r>
      <w:r>
        <w:rPr>
          <w:sz w:val="26"/>
          <w:szCs w:val="26"/>
        </w:rPr>
        <w:t>,</w:t>
      </w:r>
      <w:r>
        <w:rPr>
          <w:i/>
          <w:sz w:val="26"/>
          <w:szCs w:val="26"/>
        </w:rPr>
        <w:t xml:space="preserve"> </w:t>
      </w:r>
      <w:r>
        <w:rPr>
          <w:sz w:val="26"/>
          <w:szCs w:val="26"/>
        </w:rPr>
        <w:t xml:space="preserve">the Commission </w:t>
      </w:r>
      <w:r w:rsidR="000923EC">
        <w:rPr>
          <w:sz w:val="26"/>
          <w:szCs w:val="26"/>
        </w:rPr>
        <w:t xml:space="preserve">adopted, as modified, </w:t>
      </w:r>
      <w:r>
        <w:rPr>
          <w:sz w:val="26"/>
          <w:szCs w:val="26"/>
        </w:rPr>
        <w:t xml:space="preserve">the Initial Decision </w:t>
      </w:r>
      <w:r w:rsidR="00FE6A41">
        <w:rPr>
          <w:sz w:val="26"/>
          <w:szCs w:val="26"/>
        </w:rPr>
        <w:t xml:space="preserve">(I.D.) </w:t>
      </w:r>
      <w:r>
        <w:rPr>
          <w:sz w:val="26"/>
          <w:szCs w:val="26"/>
        </w:rPr>
        <w:t>of Administrative Law Judge (ALJ) Eranda Vero</w:t>
      </w:r>
      <w:r w:rsidR="000923EC">
        <w:rPr>
          <w:sz w:val="26"/>
          <w:szCs w:val="26"/>
        </w:rPr>
        <w:t xml:space="preserve">, thereby disposing of the PGW Exceptions </w:t>
      </w:r>
      <w:r w:rsidR="0093074A">
        <w:rPr>
          <w:sz w:val="26"/>
          <w:szCs w:val="26"/>
        </w:rPr>
        <w:t xml:space="preserve">filed to </w:t>
      </w:r>
      <w:r w:rsidR="000923EC">
        <w:rPr>
          <w:sz w:val="26"/>
          <w:szCs w:val="26"/>
        </w:rPr>
        <w:t>the ALJ’</w:t>
      </w:r>
      <w:r w:rsidR="00497AD6">
        <w:rPr>
          <w:sz w:val="26"/>
          <w:szCs w:val="26"/>
        </w:rPr>
        <w:t xml:space="preserve">s order requiring PGW, </w:t>
      </w:r>
      <w:r w:rsidR="00497AD6" w:rsidRPr="00497AD6">
        <w:rPr>
          <w:i/>
          <w:sz w:val="26"/>
          <w:szCs w:val="26"/>
        </w:rPr>
        <w:t>inter alia</w:t>
      </w:r>
      <w:r w:rsidR="00497AD6">
        <w:rPr>
          <w:sz w:val="26"/>
          <w:szCs w:val="26"/>
        </w:rPr>
        <w:t xml:space="preserve">, to bring its billing practices into compliance with Chapter 56 of Commission </w:t>
      </w:r>
      <w:r w:rsidR="00AB1C3C">
        <w:rPr>
          <w:sz w:val="26"/>
          <w:szCs w:val="26"/>
        </w:rPr>
        <w:t>r</w:t>
      </w:r>
      <w:r w:rsidR="00497AD6">
        <w:rPr>
          <w:sz w:val="26"/>
          <w:szCs w:val="26"/>
        </w:rPr>
        <w:t>egulations</w:t>
      </w:r>
      <w:r w:rsidR="0093074A">
        <w:rPr>
          <w:sz w:val="26"/>
          <w:szCs w:val="26"/>
        </w:rPr>
        <w:t>.</w:t>
      </w:r>
      <w:r w:rsidR="00497AD6">
        <w:rPr>
          <w:sz w:val="26"/>
          <w:szCs w:val="26"/>
        </w:rPr>
        <w:t xml:space="preserve"> </w:t>
      </w:r>
      <w:r w:rsidR="009A083F">
        <w:rPr>
          <w:sz w:val="26"/>
          <w:szCs w:val="26"/>
        </w:rPr>
        <w:t xml:space="preserve"> </w:t>
      </w:r>
      <w:r w:rsidR="00497AD6">
        <w:rPr>
          <w:sz w:val="26"/>
          <w:szCs w:val="26"/>
        </w:rPr>
        <w:t xml:space="preserve">52 Pa. Code § 56.1 </w:t>
      </w:r>
      <w:r w:rsidR="00497AD6" w:rsidRPr="00497AD6">
        <w:rPr>
          <w:i/>
          <w:sz w:val="26"/>
          <w:szCs w:val="26"/>
        </w:rPr>
        <w:t>et seq</w:t>
      </w:r>
      <w:r w:rsidR="00497AD6">
        <w:rPr>
          <w:sz w:val="26"/>
          <w:szCs w:val="26"/>
        </w:rPr>
        <w:t>.</w:t>
      </w:r>
      <w:r>
        <w:rPr>
          <w:sz w:val="26"/>
          <w:szCs w:val="26"/>
        </w:rPr>
        <w:t xml:space="preserve">  </w:t>
      </w:r>
      <w:r>
        <w:rPr>
          <w:i/>
          <w:sz w:val="26"/>
          <w:szCs w:val="26"/>
        </w:rPr>
        <w:t xml:space="preserve">See </w:t>
      </w:r>
      <w:r>
        <w:rPr>
          <w:sz w:val="26"/>
          <w:szCs w:val="26"/>
        </w:rPr>
        <w:t xml:space="preserve">Initial Decision issued </w:t>
      </w:r>
      <w:r>
        <w:rPr>
          <w:bCs/>
          <w:spacing w:val="-3"/>
          <w:sz w:val="26"/>
          <w:szCs w:val="26"/>
        </w:rPr>
        <w:t>September 17, 2015 (</w:t>
      </w:r>
      <w:r w:rsidRPr="001909DF">
        <w:rPr>
          <w:bCs/>
          <w:i/>
          <w:spacing w:val="-3"/>
          <w:sz w:val="26"/>
          <w:szCs w:val="26"/>
        </w:rPr>
        <w:t>SBG</w:t>
      </w:r>
      <w:r w:rsidR="001909DF">
        <w:rPr>
          <w:bCs/>
          <w:i/>
          <w:spacing w:val="-3"/>
          <w:sz w:val="26"/>
          <w:szCs w:val="26"/>
        </w:rPr>
        <w:t xml:space="preserve"> Initial Decision</w:t>
      </w:r>
      <w:r w:rsidR="001909DF">
        <w:rPr>
          <w:bCs/>
          <w:spacing w:val="-3"/>
          <w:sz w:val="26"/>
          <w:szCs w:val="26"/>
        </w:rPr>
        <w:t xml:space="preserve"> or </w:t>
      </w:r>
      <w:r w:rsidR="001909DF">
        <w:rPr>
          <w:bCs/>
          <w:i/>
          <w:spacing w:val="-3"/>
          <w:sz w:val="26"/>
          <w:szCs w:val="26"/>
        </w:rPr>
        <w:t>SBG</w:t>
      </w:r>
      <w:r w:rsidRPr="001909DF">
        <w:rPr>
          <w:bCs/>
          <w:i/>
          <w:spacing w:val="-3"/>
          <w:sz w:val="26"/>
          <w:szCs w:val="26"/>
        </w:rPr>
        <w:t xml:space="preserve"> I.D.</w:t>
      </w:r>
      <w:r w:rsidR="000923EC">
        <w:rPr>
          <w:bCs/>
          <w:spacing w:val="-3"/>
          <w:sz w:val="26"/>
          <w:szCs w:val="26"/>
        </w:rPr>
        <w:t>)</w:t>
      </w:r>
      <w:r w:rsidR="00497AD6">
        <w:rPr>
          <w:bCs/>
          <w:spacing w:val="-3"/>
          <w:sz w:val="26"/>
          <w:szCs w:val="26"/>
        </w:rPr>
        <w:t xml:space="preserve">.  </w:t>
      </w:r>
      <w:r w:rsidR="00075D1B">
        <w:rPr>
          <w:bCs/>
          <w:spacing w:val="-3"/>
          <w:sz w:val="26"/>
          <w:szCs w:val="26"/>
        </w:rPr>
        <w:t xml:space="preserve">In addition to adopting the </w:t>
      </w:r>
      <w:r w:rsidR="00075D1B" w:rsidRPr="00075D1B">
        <w:rPr>
          <w:bCs/>
          <w:i/>
          <w:spacing w:val="-3"/>
          <w:sz w:val="26"/>
          <w:szCs w:val="26"/>
        </w:rPr>
        <w:t>SBG</w:t>
      </w:r>
      <w:r w:rsidR="00075D1B">
        <w:rPr>
          <w:bCs/>
          <w:spacing w:val="-3"/>
          <w:sz w:val="26"/>
          <w:szCs w:val="26"/>
        </w:rPr>
        <w:t xml:space="preserve"> </w:t>
      </w:r>
      <w:r w:rsidR="001909DF">
        <w:rPr>
          <w:bCs/>
          <w:i/>
          <w:spacing w:val="-3"/>
          <w:sz w:val="26"/>
          <w:szCs w:val="26"/>
        </w:rPr>
        <w:t>Initial Decision</w:t>
      </w:r>
      <w:r w:rsidR="0093074A">
        <w:rPr>
          <w:bCs/>
          <w:spacing w:val="-3"/>
          <w:sz w:val="26"/>
          <w:szCs w:val="26"/>
        </w:rPr>
        <w:t>,</w:t>
      </w:r>
      <w:r w:rsidR="00075D1B">
        <w:rPr>
          <w:bCs/>
          <w:spacing w:val="-3"/>
          <w:sz w:val="26"/>
          <w:szCs w:val="26"/>
        </w:rPr>
        <w:t xml:space="preserve"> as modified, b</w:t>
      </w:r>
      <w:r w:rsidR="00497AD6">
        <w:rPr>
          <w:bCs/>
          <w:spacing w:val="-3"/>
          <w:sz w:val="26"/>
          <w:szCs w:val="26"/>
        </w:rPr>
        <w:t xml:space="preserve">y our </w:t>
      </w:r>
      <w:r w:rsidR="00497AD6" w:rsidRPr="00497AD6">
        <w:rPr>
          <w:bCs/>
          <w:i/>
          <w:spacing w:val="-3"/>
          <w:sz w:val="26"/>
          <w:szCs w:val="26"/>
        </w:rPr>
        <w:t>December 2016 Order</w:t>
      </w:r>
      <w:r w:rsidR="001909DF">
        <w:rPr>
          <w:bCs/>
          <w:spacing w:val="-3"/>
          <w:sz w:val="26"/>
          <w:szCs w:val="26"/>
        </w:rPr>
        <w:t xml:space="preserve">, </w:t>
      </w:r>
      <w:r w:rsidR="00497AD6">
        <w:rPr>
          <w:bCs/>
          <w:spacing w:val="-3"/>
          <w:sz w:val="26"/>
          <w:szCs w:val="26"/>
        </w:rPr>
        <w:t>we expressly directed PGW</w:t>
      </w:r>
      <w:r w:rsidR="00075D1B">
        <w:rPr>
          <w:bCs/>
          <w:spacing w:val="-3"/>
          <w:sz w:val="26"/>
          <w:szCs w:val="26"/>
        </w:rPr>
        <w:t xml:space="preserve"> to </w:t>
      </w:r>
      <w:r w:rsidR="00E34549">
        <w:rPr>
          <w:bCs/>
          <w:spacing w:val="-3"/>
          <w:sz w:val="26"/>
          <w:szCs w:val="26"/>
        </w:rPr>
        <w:t xml:space="preserve">comply with </w:t>
      </w:r>
      <w:r w:rsidR="00075D1B">
        <w:rPr>
          <w:bCs/>
          <w:spacing w:val="-3"/>
          <w:sz w:val="26"/>
          <w:szCs w:val="26"/>
        </w:rPr>
        <w:t xml:space="preserve">the </w:t>
      </w:r>
      <w:r w:rsidR="00497AD6">
        <w:rPr>
          <w:bCs/>
          <w:spacing w:val="-3"/>
          <w:sz w:val="26"/>
          <w:szCs w:val="26"/>
        </w:rPr>
        <w:t>following</w:t>
      </w:r>
      <w:r w:rsidR="00075D1B">
        <w:rPr>
          <w:bCs/>
          <w:spacing w:val="-3"/>
          <w:sz w:val="26"/>
          <w:szCs w:val="26"/>
        </w:rPr>
        <w:t xml:space="preserve"> actions within the time specified</w:t>
      </w:r>
      <w:r w:rsidR="00497AD6">
        <w:rPr>
          <w:bCs/>
          <w:spacing w:val="-3"/>
          <w:sz w:val="26"/>
          <w:szCs w:val="26"/>
        </w:rPr>
        <w:t>:</w:t>
      </w:r>
    </w:p>
    <w:p w14:paraId="69B0D8CC" w14:textId="77777777" w:rsidR="00497AD6" w:rsidRDefault="00497AD6" w:rsidP="0058343B">
      <w:pPr>
        <w:autoSpaceDE w:val="0"/>
        <w:autoSpaceDN w:val="0"/>
        <w:rPr>
          <w:bCs/>
          <w:spacing w:val="-3"/>
          <w:sz w:val="26"/>
          <w:szCs w:val="26"/>
        </w:rPr>
      </w:pPr>
    </w:p>
    <w:p w14:paraId="4079F316" w14:textId="77777777" w:rsidR="00075D1B" w:rsidRPr="00C874F1" w:rsidRDefault="00075D1B" w:rsidP="001909DF">
      <w:pPr>
        <w:spacing w:line="240" w:lineRule="auto"/>
        <w:ind w:left="1440" w:right="1440" w:firstLine="720"/>
        <w:rPr>
          <w:sz w:val="26"/>
          <w:szCs w:val="26"/>
        </w:rPr>
      </w:pPr>
      <w:r>
        <w:rPr>
          <w:spacing w:val="-3"/>
          <w:sz w:val="26"/>
          <w:szCs w:val="26"/>
        </w:rPr>
        <w:t>4</w:t>
      </w:r>
      <w:r w:rsidRPr="00C874F1">
        <w:rPr>
          <w:spacing w:val="-3"/>
          <w:sz w:val="26"/>
          <w:szCs w:val="26"/>
        </w:rPr>
        <w:t>.</w:t>
      </w:r>
      <w:r w:rsidRPr="00C874F1">
        <w:rPr>
          <w:spacing w:val="-3"/>
          <w:sz w:val="26"/>
          <w:szCs w:val="26"/>
        </w:rPr>
        <w:tab/>
      </w:r>
      <w:r>
        <w:rPr>
          <w:spacing w:val="-3"/>
          <w:sz w:val="26"/>
          <w:szCs w:val="26"/>
        </w:rPr>
        <w:t>Tha</w:t>
      </w:r>
      <w:r w:rsidRPr="00C874F1">
        <w:rPr>
          <w:spacing w:val="-3"/>
          <w:sz w:val="26"/>
          <w:szCs w:val="26"/>
        </w:rPr>
        <w:t xml:space="preserve">t </w:t>
      </w:r>
      <w:r>
        <w:rPr>
          <w:spacing w:val="-3"/>
          <w:sz w:val="26"/>
          <w:szCs w:val="26"/>
        </w:rPr>
        <w:t xml:space="preserve">the recommendation of Administrative Law Judge Vero is adopted, subject to corrections in the calculations, and </w:t>
      </w:r>
      <w:r w:rsidRPr="00C874F1">
        <w:rPr>
          <w:spacing w:val="-3"/>
          <w:sz w:val="26"/>
          <w:szCs w:val="26"/>
        </w:rPr>
        <w:t xml:space="preserve">Philadelphia Gas Works shall credit </w:t>
      </w:r>
      <w:r w:rsidRPr="00C874F1">
        <w:rPr>
          <w:sz w:val="26"/>
          <w:szCs w:val="26"/>
        </w:rPr>
        <w:t xml:space="preserve">the Colonial Garden Realty Co., L.P.’s Account # 6128000245, SA # 1375369694, in the amount of </w:t>
      </w:r>
      <w:r w:rsidRPr="00A73C2E">
        <w:rPr>
          <w:sz w:val="26"/>
          <w:szCs w:val="26"/>
        </w:rPr>
        <w:t>$348.40</w:t>
      </w:r>
      <w:r w:rsidRPr="00C874F1">
        <w:rPr>
          <w:sz w:val="26"/>
          <w:szCs w:val="26"/>
        </w:rPr>
        <w:t>.</w:t>
      </w:r>
    </w:p>
    <w:p w14:paraId="216F58D4" w14:textId="77777777" w:rsidR="00075D1B" w:rsidRPr="00C874F1" w:rsidRDefault="00075D1B" w:rsidP="001909DF">
      <w:pPr>
        <w:spacing w:line="240" w:lineRule="auto"/>
        <w:ind w:left="1440" w:right="1440" w:firstLine="720"/>
        <w:rPr>
          <w:spacing w:val="-3"/>
          <w:sz w:val="26"/>
          <w:szCs w:val="26"/>
        </w:rPr>
      </w:pPr>
    </w:p>
    <w:p w14:paraId="47AF7B95" w14:textId="77777777" w:rsidR="00075D1B" w:rsidRPr="00C874F1" w:rsidRDefault="00075D1B" w:rsidP="001909DF">
      <w:pPr>
        <w:spacing w:line="240" w:lineRule="auto"/>
        <w:ind w:left="1440" w:right="1440" w:firstLine="720"/>
        <w:rPr>
          <w:sz w:val="26"/>
          <w:szCs w:val="26"/>
        </w:rPr>
      </w:pPr>
      <w:r>
        <w:rPr>
          <w:spacing w:val="-3"/>
          <w:sz w:val="26"/>
          <w:szCs w:val="26"/>
        </w:rPr>
        <w:t>5</w:t>
      </w:r>
      <w:r w:rsidRPr="00C874F1">
        <w:rPr>
          <w:spacing w:val="-3"/>
          <w:sz w:val="26"/>
          <w:szCs w:val="26"/>
        </w:rPr>
        <w:t>.</w:t>
      </w:r>
      <w:r w:rsidRPr="00C874F1">
        <w:rPr>
          <w:spacing w:val="-3"/>
          <w:sz w:val="26"/>
          <w:szCs w:val="26"/>
        </w:rPr>
        <w:tab/>
        <w:t xml:space="preserve">That </w:t>
      </w:r>
      <w:r>
        <w:rPr>
          <w:spacing w:val="-3"/>
          <w:sz w:val="26"/>
          <w:szCs w:val="26"/>
        </w:rPr>
        <w:t>the recommendation of Administrative Law Judge Vero is adopted</w:t>
      </w:r>
      <w:r w:rsidRPr="00C874F1">
        <w:rPr>
          <w:spacing w:val="-3"/>
          <w:sz w:val="26"/>
          <w:szCs w:val="26"/>
        </w:rPr>
        <w:t xml:space="preserve"> </w:t>
      </w:r>
      <w:r>
        <w:rPr>
          <w:spacing w:val="-3"/>
          <w:sz w:val="26"/>
          <w:szCs w:val="26"/>
        </w:rPr>
        <w:t xml:space="preserve">and </w:t>
      </w:r>
      <w:r w:rsidRPr="00C874F1">
        <w:rPr>
          <w:spacing w:val="-3"/>
          <w:sz w:val="26"/>
          <w:szCs w:val="26"/>
        </w:rPr>
        <w:t xml:space="preserve">Philadelphia Gas Works shall credit </w:t>
      </w:r>
      <w:r w:rsidRPr="00C874F1">
        <w:rPr>
          <w:sz w:val="26"/>
          <w:szCs w:val="26"/>
        </w:rPr>
        <w:t>the Colonial Garden Realty Co., L.P.’s Account # 6128000245, SA</w:t>
      </w:r>
      <w:r>
        <w:rPr>
          <w:sz w:val="26"/>
          <w:szCs w:val="26"/>
        </w:rPr>
        <w:t xml:space="preserve"> </w:t>
      </w:r>
      <w:r w:rsidRPr="00C874F1">
        <w:rPr>
          <w:sz w:val="26"/>
          <w:szCs w:val="26"/>
        </w:rPr>
        <w:t>#</w:t>
      </w:r>
      <w:r>
        <w:rPr>
          <w:sz w:val="26"/>
          <w:szCs w:val="26"/>
        </w:rPr>
        <w:t xml:space="preserve"> </w:t>
      </w:r>
      <w:r w:rsidRPr="00C874F1">
        <w:rPr>
          <w:sz w:val="26"/>
          <w:szCs w:val="26"/>
        </w:rPr>
        <w:t>4018739567, in the amount of $218.96.</w:t>
      </w:r>
    </w:p>
    <w:p w14:paraId="3224D04E" w14:textId="77777777" w:rsidR="00075D1B" w:rsidRPr="00C874F1" w:rsidRDefault="00075D1B" w:rsidP="001909DF">
      <w:pPr>
        <w:spacing w:line="240" w:lineRule="auto"/>
        <w:ind w:left="1440" w:right="1440" w:firstLine="720"/>
        <w:rPr>
          <w:spacing w:val="-3"/>
          <w:sz w:val="26"/>
          <w:szCs w:val="26"/>
        </w:rPr>
      </w:pPr>
    </w:p>
    <w:p w14:paraId="49581D9F" w14:textId="77777777" w:rsidR="00075D1B" w:rsidRPr="00C874F1" w:rsidRDefault="00075D1B" w:rsidP="001909DF">
      <w:pPr>
        <w:spacing w:line="240" w:lineRule="auto"/>
        <w:ind w:left="1440" w:right="1440" w:firstLine="720"/>
        <w:rPr>
          <w:sz w:val="26"/>
          <w:szCs w:val="26"/>
        </w:rPr>
      </w:pPr>
      <w:r>
        <w:rPr>
          <w:spacing w:val="-3"/>
          <w:sz w:val="26"/>
          <w:szCs w:val="26"/>
        </w:rPr>
        <w:t>6</w:t>
      </w:r>
      <w:r w:rsidRPr="00C874F1">
        <w:rPr>
          <w:spacing w:val="-3"/>
          <w:sz w:val="26"/>
          <w:szCs w:val="26"/>
        </w:rPr>
        <w:t>.</w:t>
      </w:r>
      <w:r w:rsidRPr="00C874F1">
        <w:rPr>
          <w:spacing w:val="-3"/>
          <w:sz w:val="26"/>
          <w:szCs w:val="26"/>
        </w:rPr>
        <w:tab/>
        <w:t xml:space="preserve">That </w:t>
      </w:r>
      <w:r>
        <w:rPr>
          <w:spacing w:val="-3"/>
          <w:sz w:val="26"/>
          <w:szCs w:val="26"/>
        </w:rPr>
        <w:t>the recommendation of Administrative Law Judge Vero is adopted</w:t>
      </w:r>
      <w:r w:rsidRPr="00C874F1">
        <w:rPr>
          <w:spacing w:val="-3"/>
          <w:sz w:val="26"/>
          <w:szCs w:val="26"/>
        </w:rPr>
        <w:t xml:space="preserve"> </w:t>
      </w:r>
      <w:r>
        <w:rPr>
          <w:spacing w:val="-3"/>
          <w:sz w:val="26"/>
          <w:szCs w:val="26"/>
        </w:rPr>
        <w:t xml:space="preserve">and </w:t>
      </w:r>
      <w:r w:rsidRPr="00C874F1">
        <w:rPr>
          <w:spacing w:val="-3"/>
          <w:sz w:val="26"/>
          <w:szCs w:val="26"/>
        </w:rPr>
        <w:t>Philadelphia Gas Works shall</w:t>
      </w:r>
      <w:r>
        <w:rPr>
          <w:sz w:val="26"/>
          <w:szCs w:val="26"/>
        </w:rPr>
        <w:t xml:space="preserve"> credit the amount of</w:t>
      </w:r>
      <w:r w:rsidRPr="00C874F1">
        <w:rPr>
          <w:sz w:val="26"/>
          <w:szCs w:val="26"/>
        </w:rPr>
        <w:t xml:space="preserve"> $94,626.23 to Colonial Garden Realty Co., L.P., Account # 6128000245</w:t>
      </w:r>
      <w:r>
        <w:rPr>
          <w:sz w:val="26"/>
          <w:szCs w:val="26"/>
        </w:rPr>
        <w:t xml:space="preserve"> which shall be subject to collection through civil judicial process</w:t>
      </w:r>
      <w:r w:rsidRPr="00C874F1">
        <w:rPr>
          <w:sz w:val="26"/>
          <w:szCs w:val="26"/>
        </w:rPr>
        <w:t>.</w:t>
      </w:r>
    </w:p>
    <w:p w14:paraId="54753C12" w14:textId="77777777" w:rsidR="00075D1B" w:rsidRPr="00C874F1" w:rsidRDefault="00075D1B" w:rsidP="001909DF">
      <w:pPr>
        <w:spacing w:line="240" w:lineRule="auto"/>
        <w:ind w:left="1440" w:right="1440" w:firstLine="720"/>
        <w:rPr>
          <w:sz w:val="26"/>
          <w:szCs w:val="26"/>
        </w:rPr>
      </w:pPr>
    </w:p>
    <w:p w14:paraId="308E5A2D" w14:textId="77777777" w:rsidR="00075D1B" w:rsidRPr="00C874F1" w:rsidRDefault="00075D1B" w:rsidP="001909DF">
      <w:pPr>
        <w:spacing w:line="240" w:lineRule="auto"/>
        <w:ind w:left="1440" w:right="1440" w:firstLine="720"/>
        <w:rPr>
          <w:sz w:val="26"/>
          <w:szCs w:val="26"/>
        </w:rPr>
      </w:pPr>
      <w:r>
        <w:rPr>
          <w:sz w:val="26"/>
          <w:szCs w:val="26"/>
        </w:rPr>
        <w:t>7</w:t>
      </w:r>
      <w:r w:rsidRPr="00C874F1">
        <w:rPr>
          <w:sz w:val="26"/>
          <w:szCs w:val="26"/>
        </w:rPr>
        <w:t>.</w:t>
      </w:r>
      <w:r w:rsidRPr="00C874F1">
        <w:rPr>
          <w:sz w:val="26"/>
          <w:szCs w:val="26"/>
        </w:rPr>
        <w:tab/>
      </w:r>
      <w:r w:rsidRPr="00C874F1">
        <w:rPr>
          <w:spacing w:val="-3"/>
          <w:sz w:val="26"/>
          <w:szCs w:val="26"/>
        </w:rPr>
        <w:t>That</w:t>
      </w:r>
      <w:r w:rsidRPr="001F09AF">
        <w:rPr>
          <w:spacing w:val="-3"/>
          <w:sz w:val="26"/>
          <w:szCs w:val="26"/>
        </w:rPr>
        <w:t xml:space="preserve"> </w:t>
      </w:r>
      <w:r>
        <w:rPr>
          <w:spacing w:val="-3"/>
          <w:sz w:val="26"/>
          <w:szCs w:val="26"/>
        </w:rPr>
        <w:t>the recommendation of Administrative Law Judge Vero is adopted</w:t>
      </w:r>
      <w:r w:rsidRPr="00C874F1">
        <w:rPr>
          <w:spacing w:val="-3"/>
          <w:sz w:val="26"/>
          <w:szCs w:val="26"/>
        </w:rPr>
        <w:t xml:space="preserve"> </w:t>
      </w:r>
      <w:r>
        <w:rPr>
          <w:spacing w:val="-3"/>
          <w:sz w:val="26"/>
          <w:szCs w:val="26"/>
        </w:rPr>
        <w:t>and</w:t>
      </w:r>
      <w:r w:rsidRPr="00C874F1">
        <w:rPr>
          <w:spacing w:val="-3"/>
          <w:sz w:val="26"/>
          <w:szCs w:val="26"/>
        </w:rPr>
        <w:t xml:space="preserve"> Philadelphia Gas Works shall </w:t>
      </w:r>
      <w:r>
        <w:rPr>
          <w:sz w:val="26"/>
          <w:szCs w:val="26"/>
        </w:rPr>
        <w:t>credit the amount of</w:t>
      </w:r>
      <w:r w:rsidRPr="00C874F1">
        <w:rPr>
          <w:sz w:val="26"/>
          <w:szCs w:val="26"/>
        </w:rPr>
        <w:t xml:space="preserve"> $471,351.38 to Simon Garden Realty Co., L.P., Account # 539547187</w:t>
      </w:r>
      <w:r>
        <w:rPr>
          <w:sz w:val="26"/>
          <w:szCs w:val="26"/>
        </w:rPr>
        <w:t xml:space="preserve"> which shall be subject to collection through civil judicial process</w:t>
      </w:r>
      <w:r w:rsidRPr="00C874F1">
        <w:rPr>
          <w:sz w:val="26"/>
          <w:szCs w:val="26"/>
        </w:rPr>
        <w:t>.</w:t>
      </w:r>
    </w:p>
    <w:p w14:paraId="60264FCE" w14:textId="77777777" w:rsidR="00075D1B" w:rsidRPr="00C874F1" w:rsidRDefault="00075D1B" w:rsidP="001909DF">
      <w:pPr>
        <w:spacing w:line="240" w:lineRule="auto"/>
        <w:ind w:left="1440" w:right="1440" w:firstLine="720"/>
        <w:rPr>
          <w:spacing w:val="-3"/>
          <w:sz w:val="26"/>
          <w:szCs w:val="26"/>
        </w:rPr>
      </w:pPr>
    </w:p>
    <w:p w14:paraId="38D07B69" w14:textId="5DDCB635" w:rsidR="00075D1B" w:rsidRPr="00EF7DB6" w:rsidRDefault="00075D1B" w:rsidP="001909DF">
      <w:pPr>
        <w:spacing w:line="240" w:lineRule="auto"/>
        <w:ind w:left="1440" w:right="1440" w:firstLine="720"/>
        <w:rPr>
          <w:sz w:val="26"/>
          <w:szCs w:val="26"/>
        </w:rPr>
      </w:pPr>
      <w:r w:rsidRPr="00EF7DB6">
        <w:rPr>
          <w:spacing w:val="-3"/>
          <w:sz w:val="26"/>
          <w:szCs w:val="26"/>
        </w:rPr>
        <w:lastRenderedPageBreak/>
        <w:t>8.</w:t>
      </w:r>
      <w:r w:rsidRPr="00EF7DB6">
        <w:rPr>
          <w:spacing w:val="-3"/>
          <w:sz w:val="26"/>
          <w:szCs w:val="26"/>
        </w:rPr>
        <w:tab/>
      </w:r>
      <w:r w:rsidRPr="00EF7DB6">
        <w:rPr>
          <w:sz w:val="26"/>
          <w:szCs w:val="26"/>
        </w:rPr>
        <w:t xml:space="preserve">That Philadelphia Gas Works is hereby assessed a civil penalty of </w:t>
      </w:r>
      <w:r>
        <w:rPr>
          <w:sz w:val="26"/>
          <w:szCs w:val="26"/>
        </w:rPr>
        <w:t>Twenty</w:t>
      </w:r>
      <w:r w:rsidRPr="00EF7DB6">
        <w:rPr>
          <w:sz w:val="26"/>
          <w:szCs w:val="26"/>
        </w:rPr>
        <w:t>-seven Thousand Dollars ($</w:t>
      </w:r>
      <w:r>
        <w:rPr>
          <w:sz w:val="26"/>
          <w:szCs w:val="26"/>
        </w:rPr>
        <w:t>2</w:t>
      </w:r>
      <w:r w:rsidRPr="00EF7DB6">
        <w:rPr>
          <w:sz w:val="26"/>
          <w:szCs w:val="26"/>
        </w:rPr>
        <w:t xml:space="preserve">7,000.00) for its violations of the Public Utility Code, 66 Pa. C.S. § 1501, for failure to provide adequate, efficient, safe and reasonable service, to Complainants and </w:t>
      </w:r>
      <w:r>
        <w:rPr>
          <w:sz w:val="26"/>
          <w:szCs w:val="26"/>
        </w:rPr>
        <w:t xml:space="preserve">for a </w:t>
      </w:r>
      <w:r w:rsidRPr="00EF7DB6">
        <w:rPr>
          <w:sz w:val="26"/>
          <w:szCs w:val="26"/>
        </w:rPr>
        <w:t xml:space="preserve">violation of the Commission Regulation at 52 Pa. Code </w:t>
      </w:r>
      <w:r>
        <w:rPr>
          <w:sz w:val="26"/>
          <w:szCs w:val="26"/>
        </w:rPr>
        <w:t>§</w:t>
      </w:r>
      <w:r w:rsidR="00CE3707">
        <w:rPr>
          <w:sz w:val="26"/>
          <w:szCs w:val="26"/>
        </w:rPr>
        <w:t> </w:t>
      </w:r>
      <w:r>
        <w:rPr>
          <w:sz w:val="26"/>
          <w:szCs w:val="26"/>
        </w:rPr>
        <w:t>56.22</w:t>
      </w:r>
      <w:r w:rsidRPr="00EF7DB6">
        <w:rPr>
          <w:sz w:val="26"/>
          <w:szCs w:val="26"/>
        </w:rPr>
        <w:t>, for failing to disclose its billing methodology concerning the assessment of late payment charges under its tariff, PGW Gas Service Tariff - Pa. PUC No. 2, Section 26 Page 4.2. Finance Charge on Late Payments</w:t>
      </w:r>
      <w:r>
        <w:rPr>
          <w:sz w:val="26"/>
          <w:szCs w:val="26"/>
        </w:rPr>
        <w:t>.</w:t>
      </w:r>
    </w:p>
    <w:p w14:paraId="311B425D" w14:textId="77777777" w:rsidR="00075D1B" w:rsidRPr="00C874F1" w:rsidRDefault="00075D1B" w:rsidP="001909DF">
      <w:pPr>
        <w:spacing w:line="240" w:lineRule="auto"/>
        <w:ind w:left="1440" w:right="1440" w:firstLine="720"/>
        <w:rPr>
          <w:sz w:val="26"/>
          <w:szCs w:val="26"/>
        </w:rPr>
      </w:pPr>
    </w:p>
    <w:p w14:paraId="7DCDADBE" w14:textId="77777777" w:rsidR="00075D1B" w:rsidRPr="00C874F1" w:rsidRDefault="00075D1B" w:rsidP="001909DF">
      <w:pPr>
        <w:spacing w:line="240" w:lineRule="auto"/>
        <w:ind w:left="1440" w:right="1440" w:firstLine="720"/>
        <w:rPr>
          <w:sz w:val="26"/>
          <w:szCs w:val="26"/>
        </w:rPr>
      </w:pPr>
      <w:r>
        <w:rPr>
          <w:sz w:val="26"/>
          <w:szCs w:val="26"/>
        </w:rPr>
        <w:t>9</w:t>
      </w:r>
      <w:r w:rsidRPr="00C874F1">
        <w:rPr>
          <w:sz w:val="26"/>
          <w:szCs w:val="26"/>
        </w:rPr>
        <w:t>.</w:t>
      </w:r>
      <w:r w:rsidRPr="00C874F1">
        <w:rPr>
          <w:sz w:val="26"/>
          <w:szCs w:val="26"/>
        </w:rPr>
        <w:tab/>
        <w:t xml:space="preserve">That Philadelphia Gas Works shall pay a civil penalty in the amount of </w:t>
      </w:r>
      <w:r>
        <w:rPr>
          <w:sz w:val="26"/>
          <w:szCs w:val="26"/>
        </w:rPr>
        <w:t>Twenty</w:t>
      </w:r>
      <w:r w:rsidRPr="00C874F1">
        <w:rPr>
          <w:sz w:val="26"/>
          <w:szCs w:val="26"/>
        </w:rPr>
        <w:t>-seven Thousand Dollars ($</w:t>
      </w:r>
      <w:r>
        <w:rPr>
          <w:sz w:val="26"/>
          <w:szCs w:val="26"/>
        </w:rPr>
        <w:t>2</w:t>
      </w:r>
      <w:r w:rsidRPr="00C874F1">
        <w:rPr>
          <w:sz w:val="26"/>
          <w:szCs w:val="26"/>
        </w:rPr>
        <w:t>7,000.00) by sending a certified check or money order payable to the Commonwealth of Pennsylvania, within thirty (30) days from the entry of the Final Commission Order to:</w:t>
      </w:r>
    </w:p>
    <w:p w14:paraId="568F488F" w14:textId="77777777" w:rsidR="00075D1B" w:rsidRPr="00C874F1" w:rsidRDefault="00075D1B" w:rsidP="00075D1B">
      <w:pPr>
        <w:spacing w:line="240" w:lineRule="auto"/>
        <w:ind w:left="1440" w:right="1440"/>
        <w:rPr>
          <w:sz w:val="26"/>
          <w:szCs w:val="26"/>
        </w:rPr>
      </w:pPr>
    </w:p>
    <w:p w14:paraId="51DF7D93" w14:textId="77777777" w:rsidR="00075D1B" w:rsidRDefault="00075D1B" w:rsidP="00075D1B">
      <w:pPr>
        <w:keepNext/>
        <w:spacing w:line="240" w:lineRule="auto"/>
        <w:ind w:left="1440" w:right="1440"/>
        <w:rPr>
          <w:sz w:val="26"/>
          <w:szCs w:val="26"/>
        </w:rPr>
      </w:pPr>
      <w:r>
        <w:rPr>
          <w:sz w:val="26"/>
          <w:szCs w:val="26"/>
        </w:rPr>
        <w:t>Secretary</w:t>
      </w:r>
    </w:p>
    <w:p w14:paraId="05E15243" w14:textId="77777777" w:rsidR="00075D1B" w:rsidRDefault="00075D1B" w:rsidP="00075D1B">
      <w:pPr>
        <w:keepNext/>
        <w:spacing w:line="240" w:lineRule="auto"/>
        <w:ind w:left="1440" w:right="1440"/>
        <w:rPr>
          <w:sz w:val="26"/>
          <w:szCs w:val="26"/>
        </w:rPr>
      </w:pPr>
      <w:r>
        <w:rPr>
          <w:sz w:val="26"/>
          <w:szCs w:val="26"/>
        </w:rPr>
        <w:t>Pennsylvania Public Utility Commission</w:t>
      </w:r>
    </w:p>
    <w:p w14:paraId="301D905C" w14:textId="77777777" w:rsidR="00075D1B" w:rsidRDefault="00075D1B" w:rsidP="00075D1B">
      <w:pPr>
        <w:keepNext/>
        <w:spacing w:line="240" w:lineRule="auto"/>
        <w:ind w:left="1440" w:right="1440"/>
        <w:rPr>
          <w:sz w:val="26"/>
          <w:szCs w:val="26"/>
        </w:rPr>
      </w:pPr>
      <w:r>
        <w:rPr>
          <w:sz w:val="26"/>
          <w:szCs w:val="26"/>
        </w:rPr>
        <w:t>Commonwealth Keystone Building</w:t>
      </w:r>
    </w:p>
    <w:p w14:paraId="7937DFDA" w14:textId="77777777" w:rsidR="00075D1B" w:rsidRDefault="00075D1B" w:rsidP="00075D1B">
      <w:pPr>
        <w:keepNext/>
        <w:spacing w:line="240" w:lineRule="auto"/>
        <w:ind w:left="1440" w:right="1440"/>
        <w:rPr>
          <w:sz w:val="26"/>
          <w:szCs w:val="26"/>
        </w:rPr>
      </w:pPr>
      <w:r>
        <w:rPr>
          <w:sz w:val="26"/>
          <w:szCs w:val="26"/>
        </w:rPr>
        <w:t>400 North Street</w:t>
      </w:r>
    </w:p>
    <w:p w14:paraId="6F93A481" w14:textId="77777777" w:rsidR="00075D1B" w:rsidRDefault="00075D1B" w:rsidP="00075D1B">
      <w:pPr>
        <w:keepNext/>
        <w:spacing w:line="240" w:lineRule="auto"/>
        <w:ind w:left="1440" w:right="1440"/>
        <w:rPr>
          <w:sz w:val="26"/>
          <w:szCs w:val="26"/>
        </w:rPr>
      </w:pPr>
      <w:r>
        <w:rPr>
          <w:sz w:val="26"/>
          <w:szCs w:val="26"/>
        </w:rPr>
        <w:t>Harrisburg, PA  17120</w:t>
      </w:r>
    </w:p>
    <w:p w14:paraId="0E1AE1E0" w14:textId="77777777" w:rsidR="00075D1B" w:rsidRPr="00C874F1" w:rsidRDefault="00075D1B" w:rsidP="00075D1B">
      <w:pPr>
        <w:spacing w:line="240" w:lineRule="auto"/>
        <w:ind w:left="1440" w:right="1440"/>
        <w:jc w:val="center"/>
        <w:rPr>
          <w:sz w:val="26"/>
          <w:szCs w:val="26"/>
        </w:rPr>
      </w:pPr>
    </w:p>
    <w:p w14:paraId="5383CA97" w14:textId="77777777" w:rsidR="003B6E4A" w:rsidRDefault="00075D1B" w:rsidP="003B6E4A">
      <w:pPr>
        <w:keepNext/>
        <w:keepLines/>
        <w:spacing w:line="240" w:lineRule="auto"/>
        <w:ind w:left="1440" w:right="1440" w:firstLine="720"/>
        <w:rPr>
          <w:spacing w:val="-3"/>
          <w:sz w:val="26"/>
          <w:szCs w:val="26"/>
        </w:rPr>
      </w:pPr>
      <w:r>
        <w:rPr>
          <w:spacing w:val="-3"/>
          <w:sz w:val="26"/>
          <w:szCs w:val="26"/>
        </w:rPr>
        <w:t>10</w:t>
      </w:r>
      <w:r w:rsidRPr="00C874F1">
        <w:rPr>
          <w:spacing w:val="-3"/>
          <w:sz w:val="26"/>
          <w:szCs w:val="26"/>
        </w:rPr>
        <w:t>.</w:t>
      </w:r>
      <w:r w:rsidRPr="00C874F1">
        <w:rPr>
          <w:spacing w:val="-3"/>
          <w:sz w:val="26"/>
          <w:szCs w:val="26"/>
        </w:rPr>
        <w:tab/>
        <w:t>That Philadelphia Gas Works cease and desist from further violations of the Public Utility Code, 66 Pa.</w:t>
      </w:r>
      <w:r>
        <w:rPr>
          <w:spacing w:val="-3"/>
          <w:sz w:val="26"/>
          <w:szCs w:val="26"/>
        </w:rPr>
        <w:t xml:space="preserve"> </w:t>
      </w:r>
      <w:r w:rsidRPr="00C874F1">
        <w:rPr>
          <w:spacing w:val="-3"/>
          <w:sz w:val="26"/>
          <w:szCs w:val="26"/>
        </w:rPr>
        <w:t xml:space="preserve">C.S. §§ 101 </w:t>
      </w:r>
      <w:r w:rsidRPr="00C874F1">
        <w:rPr>
          <w:i/>
          <w:spacing w:val="-3"/>
          <w:sz w:val="26"/>
          <w:szCs w:val="26"/>
        </w:rPr>
        <w:t>et seq</w:t>
      </w:r>
      <w:r w:rsidRPr="00C874F1">
        <w:rPr>
          <w:spacing w:val="-3"/>
          <w:sz w:val="26"/>
          <w:szCs w:val="26"/>
        </w:rPr>
        <w:t xml:space="preserve">., and the regulations of the Pennsylvania Public Utility </w:t>
      </w:r>
      <w:r w:rsidRPr="001909DF">
        <w:rPr>
          <w:sz w:val="26"/>
          <w:szCs w:val="26"/>
        </w:rPr>
        <w:t>Commission</w:t>
      </w:r>
      <w:r w:rsidRPr="00C874F1">
        <w:rPr>
          <w:spacing w:val="-3"/>
          <w:sz w:val="26"/>
          <w:szCs w:val="26"/>
        </w:rPr>
        <w:t>, 52 Pa.</w:t>
      </w:r>
      <w:r w:rsidR="00E35990">
        <w:rPr>
          <w:spacing w:val="-3"/>
          <w:sz w:val="26"/>
          <w:szCs w:val="26"/>
        </w:rPr>
        <w:t xml:space="preserve"> </w:t>
      </w:r>
      <w:r w:rsidRPr="00C874F1">
        <w:rPr>
          <w:spacing w:val="-3"/>
          <w:sz w:val="26"/>
          <w:szCs w:val="26"/>
        </w:rPr>
        <w:t xml:space="preserve">Code §§ 1.1 </w:t>
      </w:r>
      <w:r w:rsidRPr="00C874F1">
        <w:rPr>
          <w:i/>
          <w:spacing w:val="-3"/>
          <w:sz w:val="26"/>
          <w:szCs w:val="26"/>
          <w:u w:val="single"/>
        </w:rPr>
        <w:t>et seq</w:t>
      </w:r>
      <w:r w:rsidRPr="00C874F1">
        <w:rPr>
          <w:spacing w:val="-3"/>
          <w:sz w:val="26"/>
          <w:szCs w:val="26"/>
        </w:rPr>
        <w:t>.</w:t>
      </w:r>
      <w:r>
        <w:rPr>
          <w:spacing w:val="-3"/>
          <w:sz w:val="26"/>
          <w:szCs w:val="26"/>
        </w:rPr>
        <w:t xml:space="preserve">  Philadelphia Gas Works, shall, within Forty-five (45) days of the entry of this Opinion and Order certify to the Commission that it has ceased any automated billing practices which violate the Public </w:t>
      </w:r>
    </w:p>
    <w:p w14:paraId="38580F57" w14:textId="4B71457E" w:rsidR="00075D1B" w:rsidRPr="00C874F1" w:rsidRDefault="00075D1B" w:rsidP="003B6E4A">
      <w:pPr>
        <w:keepNext/>
        <w:keepLines/>
        <w:spacing w:line="240" w:lineRule="auto"/>
        <w:ind w:left="1440" w:right="1440" w:firstLine="0"/>
        <w:rPr>
          <w:spacing w:val="-3"/>
          <w:sz w:val="26"/>
          <w:szCs w:val="26"/>
        </w:rPr>
      </w:pPr>
      <w:r>
        <w:rPr>
          <w:spacing w:val="-3"/>
          <w:sz w:val="26"/>
          <w:szCs w:val="26"/>
        </w:rPr>
        <w:t>Utility Code of Commission Regulations concerning the application of municipal liens or related collection procedures as between the Commission and the Courts.</w:t>
      </w:r>
    </w:p>
    <w:p w14:paraId="25514297" w14:textId="77777777" w:rsidR="00075D1B" w:rsidRDefault="00075D1B" w:rsidP="003B6E4A">
      <w:pPr>
        <w:keepNext/>
        <w:keepLines/>
        <w:autoSpaceDE w:val="0"/>
        <w:autoSpaceDN w:val="0"/>
        <w:spacing w:line="240" w:lineRule="auto"/>
        <w:rPr>
          <w:bCs/>
          <w:spacing w:val="-3"/>
          <w:sz w:val="26"/>
          <w:szCs w:val="26"/>
        </w:rPr>
      </w:pPr>
    </w:p>
    <w:p w14:paraId="3974675C" w14:textId="77777777" w:rsidR="001E799D" w:rsidRDefault="001E799D" w:rsidP="003B6E4A">
      <w:pPr>
        <w:keepNext/>
        <w:keepLines/>
        <w:autoSpaceDE w:val="0"/>
        <w:autoSpaceDN w:val="0"/>
        <w:spacing w:line="240" w:lineRule="auto"/>
        <w:rPr>
          <w:bCs/>
          <w:spacing w:val="-3"/>
          <w:sz w:val="26"/>
          <w:szCs w:val="26"/>
        </w:rPr>
      </w:pPr>
    </w:p>
    <w:p w14:paraId="41ADF95B" w14:textId="77777777" w:rsidR="0058343B" w:rsidRDefault="00075D1B" w:rsidP="00075D1B">
      <w:pPr>
        <w:autoSpaceDE w:val="0"/>
        <w:autoSpaceDN w:val="0"/>
        <w:ind w:firstLine="0"/>
        <w:rPr>
          <w:bCs/>
          <w:spacing w:val="-3"/>
          <w:sz w:val="26"/>
          <w:szCs w:val="26"/>
        </w:rPr>
      </w:pPr>
      <w:r w:rsidRPr="00075D1B">
        <w:rPr>
          <w:bCs/>
          <w:i/>
          <w:spacing w:val="-3"/>
          <w:sz w:val="26"/>
          <w:szCs w:val="26"/>
        </w:rPr>
        <w:t>December 2016 Order</w:t>
      </w:r>
      <w:r>
        <w:rPr>
          <w:bCs/>
          <w:spacing w:val="-3"/>
          <w:sz w:val="26"/>
          <w:szCs w:val="26"/>
        </w:rPr>
        <w:t>, at 110-112</w:t>
      </w:r>
      <w:r w:rsidR="0058343B">
        <w:rPr>
          <w:bCs/>
          <w:spacing w:val="-3"/>
          <w:sz w:val="26"/>
          <w:szCs w:val="26"/>
        </w:rPr>
        <w:t>.</w:t>
      </w:r>
    </w:p>
    <w:p w14:paraId="4A43F618" w14:textId="77777777" w:rsidR="0058343B" w:rsidRPr="00515BBF" w:rsidRDefault="0058343B" w:rsidP="0058343B">
      <w:pPr>
        <w:autoSpaceDE w:val="0"/>
        <w:autoSpaceDN w:val="0"/>
        <w:rPr>
          <w:bCs/>
          <w:spacing w:val="-3"/>
          <w:sz w:val="26"/>
          <w:szCs w:val="26"/>
        </w:rPr>
      </w:pPr>
    </w:p>
    <w:bookmarkEnd w:id="0"/>
    <w:p w14:paraId="2C44CEFC" w14:textId="143F365F" w:rsidR="00075D1B" w:rsidRPr="004F3817" w:rsidRDefault="00075D1B" w:rsidP="004F3817">
      <w:pPr>
        <w:autoSpaceDE w:val="0"/>
        <w:autoSpaceDN w:val="0"/>
        <w:rPr>
          <w:bCs/>
          <w:spacing w:val="-3"/>
          <w:sz w:val="26"/>
          <w:szCs w:val="26"/>
        </w:rPr>
      </w:pPr>
      <w:r>
        <w:rPr>
          <w:sz w:val="26"/>
          <w:szCs w:val="26"/>
        </w:rPr>
        <w:t xml:space="preserve">After </w:t>
      </w:r>
      <w:r w:rsidR="0093074A">
        <w:rPr>
          <w:sz w:val="26"/>
          <w:szCs w:val="26"/>
        </w:rPr>
        <w:t xml:space="preserve">the </w:t>
      </w:r>
      <w:r w:rsidR="00072560">
        <w:rPr>
          <w:sz w:val="26"/>
          <w:szCs w:val="26"/>
        </w:rPr>
        <w:t xml:space="preserve">entry of our </w:t>
      </w:r>
      <w:r>
        <w:rPr>
          <w:i/>
          <w:sz w:val="26"/>
          <w:szCs w:val="26"/>
        </w:rPr>
        <w:t xml:space="preserve">December </w:t>
      </w:r>
      <w:r w:rsidR="00072560">
        <w:rPr>
          <w:i/>
          <w:sz w:val="26"/>
          <w:szCs w:val="26"/>
        </w:rPr>
        <w:t xml:space="preserve">2016 </w:t>
      </w:r>
      <w:r>
        <w:rPr>
          <w:i/>
          <w:sz w:val="26"/>
          <w:szCs w:val="26"/>
        </w:rPr>
        <w:t>Order</w:t>
      </w:r>
      <w:r>
        <w:rPr>
          <w:sz w:val="26"/>
          <w:szCs w:val="26"/>
        </w:rPr>
        <w:t>,</w:t>
      </w:r>
      <w:r>
        <w:rPr>
          <w:i/>
          <w:sz w:val="26"/>
          <w:szCs w:val="26"/>
        </w:rPr>
        <w:t xml:space="preserve"> </w:t>
      </w:r>
      <w:r>
        <w:rPr>
          <w:sz w:val="26"/>
          <w:szCs w:val="26"/>
        </w:rPr>
        <w:t xml:space="preserve">PGW filed a petition seeking, </w:t>
      </w:r>
      <w:r w:rsidR="00072560">
        <w:rPr>
          <w:sz w:val="26"/>
          <w:szCs w:val="26"/>
        </w:rPr>
        <w:t xml:space="preserve">reconsideration, rehearing, and/or clarification of issues considered and disposed of in the </w:t>
      </w:r>
      <w:r w:rsidR="00072560">
        <w:rPr>
          <w:i/>
          <w:sz w:val="26"/>
          <w:szCs w:val="26"/>
        </w:rPr>
        <w:t xml:space="preserve">December </w:t>
      </w:r>
      <w:r w:rsidR="007247B1">
        <w:rPr>
          <w:i/>
          <w:sz w:val="26"/>
          <w:szCs w:val="26"/>
        </w:rPr>
        <w:t>2016</w:t>
      </w:r>
      <w:r w:rsidR="00072560">
        <w:rPr>
          <w:i/>
          <w:sz w:val="26"/>
          <w:szCs w:val="26"/>
        </w:rPr>
        <w:t xml:space="preserve"> Order</w:t>
      </w:r>
      <w:r>
        <w:rPr>
          <w:sz w:val="26"/>
          <w:szCs w:val="26"/>
        </w:rPr>
        <w:t xml:space="preserve">.  </w:t>
      </w:r>
      <w:r w:rsidR="00423D06" w:rsidRPr="001E78DD">
        <w:rPr>
          <w:sz w:val="26"/>
          <w:szCs w:val="26"/>
        </w:rPr>
        <w:t xml:space="preserve">At that time, </w:t>
      </w:r>
      <w:r w:rsidR="00072560" w:rsidRPr="001E78DD">
        <w:rPr>
          <w:bCs/>
          <w:spacing w:val="-3"/>
          <w:sz w:val="26"/>
          <w:szCs w:val="26"/>
        </w:rPr>
        <w:t xml:space="preserve">PGW did not </w:t>
      </w:r>
      <w:r w:rsidR="00E34549" w:rsidRPr="001E78DD">
        <w:rPr>
          <w:bCs/>
          <w:spacing w:val="-3"/>
          <w:sz w:val="26"/>
          <w:szCs w:val="26"/>
        </w:rPr>
        <w:t>file a p</w:t>
      </w:r>
      <w:r w:rsidR="00072560" w:rsidRPr="001E78DD">
        <w:rPr>
          <w:bCs/>
          <w:spacing w:val="-3"/>
          <w:sz w:val="26"/>
          <w:szCs w:val="26"/>
        </w:rPr>
        <w:t xml:space="preserve">etition for </w:t>
      </w:r>
      <w:r w:rsidR="00E34549" w:rsidRPr="001E78DD">
        <w:rPr>
          <w:bCs/>
          <w:spacing w:val="-3"/>
          <w:sz w:val="26"/>
          <w:szCs w:val="26"/>
        </w:rPr>
        <w:t>s</w:t>
      </w:r>
      <w:r w:rsidR="00072560" w:rsidRPr="001E78DD">
        <w:rPr>
          <w:bCs/>
          <w:spacing w:val="-3"/>
          <w:sz w:val="26"/>
          <w:szCs w:val="26"/>
        </w:rPr>
        <w:t xml:space="preserve">tay of compliance </w:t>
      </w:r>
      <w:r w:rsidR="00072560" w:rsidRPr="001E78DD">
        <w:rPr>
          <w:bCs/>
          <w:spacing w:val="-3"/>
          <w:sz w:val="26"/>
          <w:szCs w:val="26"/>
        </w:rPr>
        <w:lastRenderedPageBreak/>
        <w:t xml:space="preserve">with our </w:t>
      </w:r>
      <w:r w:rsidR="00072560" w:rsidRPr="001E78DD">
        <w:rPr>
          <w:bCs/>
          <w:i/>
          <w:spacing w:val="-3"/>
          <w:sz w:val="26"/>
          <w:szCs w:val="26"/>
        </w:rPr>
        <w:t>December 2016 Order</w:t>
      </w:r>
      <w:r w:rsidR="008B443E" w:rsidRPr="001E78DD">
        <w:rPr>
          <w:bCs/>
          <w:spacing w:val="-3"/>
          <w:sz w:val="26"/>
          <w:szCs w:val="26"/>
        </w:rPr>
        <w:t>.</w:t>
      </w:r>
      <w:r w:rsidR="004F3817">
        <w:rPr>
          <w:bCs/>
          <w:spacing w:val="-3"/>
          <w:sz w:val="26"/>
          <w:szCs w:val="26"/>
        </w:rPr>
        <w:t xml:space="preserve">  </w:t>
      </w:r>
      <w:r>
        <w:rPr>
          <w:sz w:val="26"/>
          <w:szCs w:val="26"/>
        </w:rPr>
        <w:t xml:space="preserve">By our </w:t>
      </w:r>
      <w:r w:rsidRPr="00A43FA2">
        <w:rPr>
          <w:i/>
          <w:sz w:val="26"/>
          <w:szCs w:val="26"/>
        </w:rPr>
        <w:t xml:space="preserve">May </w:t>
      </w:r>
      <w:r w:rsidR="007247B1">
        <w:rPr>
          <w:i/>
          <w:sz w:val="26"/>
          <w:szCs w:val="26"/>
        </w:rPr>
        <w:t>2018</w:t>
      </w:r>
      <w:r>
        <w:rPr>
          <w:i/>
          <w:sz w:val="26"/>
          <w:szCs w:val="26"/>
        </w:rPr>
        <w:t xml:space="preserve"> Order</w:t>
      </w:r>
      <w:r>
        <w:rPr>
          <w:sz w:val="26"/>
          <w:szCs w:val="26"/>
        </w:rPr>
        <w:t>, we denied PGW’s request for reconsideration.</w:t>
      </w:r>
      <w:r w:rsidR="00072560">
        <w:rPr>
          <w:sz w:val="26"/>
          <w:szCs w:val="26"/>
        </w:rPr>
        <w:t xml:space="preserve"> </w:t>
      </w:r>
      <w:r w:rsidR="00C80B6E">
        <w:rPr>
          <w:sz w:val="26"/>
          <w:szCs w:val="26"/>
        </w:rPr>
        <w:t xml:space="preserve"> </w:t>
      </w:r>
      <w:r w:rsidR="00072560" w:rsidRPr="00072560">
        <w:rPr>
          <w:i/>
          <w:sz w:val="26"/>
          <w:szCs w:val="26"/>
        </w:rPr>
        <w:t>May 2018 Order</w:t>
      </w:r>
      <w:r w:rsidR="00072560">
        <w:rPr>
          <w:sz w:val="26"/>
          <w:szCs w:val="26"/>
        </w:rPr>
        <w:t xml:space="preserve"> at </w:t>
      </w:r>
      <w:r w:rsidR="00415D15">
        <w:rPr>
          <w:sz w:val="26"/>
          <w:szCs w:val="26"/>
        </w:rPr>
        <w:t>32</w:t>
      </w:r>
      <w:r w:rsidR="00072560">
        <w:rPr>
          <w:sz w:val="26"/>
          <w:szCs w:val="26"/>
        </w:rPr>
        <w:t>, Ordering Para.</w:t>
      </w:r>
      <w:r w:rsidR="00415D15">
        <w:rPr>
          <w:sz w:val="26"/>
          <w:szCs w:val="26"/>
        </w:rPr>
        <w:t xml:space="preserve"> 1.</w:t>
      </w:r>
    </w:p>
    <w:p w14:paraId="66C57256" w14:textId="77777777" w:rsidR="0058343B" w:rsidRPr="00A55DB4" w:rsidRDefault="0058343B" w:rsidP="0058343B">
      <w:pPr>
        <w:ind w:firstLine="0"/>
        <w:rPr>
          <w:sz w:val="26"/>
          <w:szCs w:val="26"/>
        </w:rPr>
      </w:pPr>
    </w:p>
    <w:p w14:paraId="3FC03073" w14:textId="5889A2B1" w:rsidR="0058343B" w:rsidRDefault="00415D15" w:rsidP="0058343B">
      <w:pPr>
        <w:rPr>
          <w:sz w:val="26"/>
          <w:szCs w:val="26"/>
        </w:rPr>
      </w:pPr>
      <w:r>
        <w:rPr>
          <w:sz w:val="26"/>
          <w:szCs w:val="26"/>
        </w:rPr>
        <w:t xml:space="preserve">While denying reconsideration of the substantive determinations of our </w:t>
      </w:r>
      <w:r w:rsidRPr="00415D15">
        <w:rPr>
          <w:i/>
          <w:sz w:val="26"/>
          <w:szCs w:val="26"/>
        </w:rPr>
        <w:t>December 2016 Order</w:t>
      </w:r>
      <w:r>
        <w:rPr>
          <w:sz w:val="26"/>
          <w:szCs w:val="26"/>
        </w:rPr>
        <w:t xml:space="preserve">, </w:t>
      </w:r>
      <w:r w:rsidR="0058343B">
        <w:rPr>
          <w:sz w:val="26"/>
          <w:szCs w:val="26"/>
        </w:rPr>
        <w:t xml:space="preserve">our </w:t>
      </w:r>
      <w:r w:rsidR="0058343B">
        <w:rPr>
          <w:i/>
          <w:sz w:val="26"/>
          <w:szCs w:val="26"/>
        </w:rPr>
        <w:t xml:space="preserve">May </w:t>
      </w:r>
      <w:r w:rsidR="007247B1">
        <w:rPr>
          <w:i/>
          <w:sz w:val="26"/>
          <w:szCs w:val="26"/>
        </w:rPr>
        <w:t>20</w:t>
      </w:r>
      <w:r w:rsidR="0058343B">
        <w:rPr>
          <w:i/>
          <w:sz w:val="26"/>
          <w:szCs w:val="26"/>
        </w:rPr>
        <w:t>18 Order</w:t>
      </w:r>
      <w:r>
        <w:rPr>
          <w:i/>
          <w:sz w:val="26"/>
          <w:szCs w:val="26"/>
        </w:rPr>
        <w:t xml:space="preserve"> </w:t>
      </w:r>
      <w:r>
        <w:rPr>
          <w:sz w:val="26"/>
          <w:szCs w:val="26"/>
        </w:rPr>
        <w:t>modif</w:t>
      </w:r>
      <w:r w:rsidR="0093074A">
        <w:rPr>
          <w:sz w:val="26"/>
          <w:szCs w:val="26"/>
        </w:rPr>
        <w:t>ied</w:t>
      </w:r>
      <w:r>
        <w:rPr>
          <w:sz w:val="26"/>
          <w:szCs w:val="26"/>
        </w:rPr>
        <w:t xml:space="preserve"> the </w:t>
      </w:r>
      <w:r w:rsidRPr="00415D15">
        <w:rPr>
          <w:i/>
          <w:sz w:val="26"/>
          <w:szCs w:val="26"/>
        </w:rPr>
        <w:t>December 2016 Order</w:t>
      </w:r>
      <w:r>
        <w:rPr>
          <w:i/>
          <w:sz w:val="26"/>
          <w:szCs w:val="26"/>
        </w:rPr>
        <w:t xml:space="preserve"> </w:t>
      </w:r>
      <w:r w:rsidRPr="00415D15">
        <w:rPr>
          <w:sz w:val="26"/>
          <w:szCs w:val="26"/>
        </w:rPr>
        <w:t xml:space="preserve">by granting </w:t>
      </w:r>
      <w:r>
        <w:rPr>
          <w:sz w:val="26"/>
          <w:szCs w:val="26"/>
        </w:rPr>
        <w:t xml:space="preserve">PGW </w:t>
      </w:r>
      <w:r w:rsidRPr="00415D15">
        <w:rPr>
          <w:sz w:val="26"/>
          <w:szCs w:val="26"/>
        </w:rPr>
        <w:t>a</w:t>
      </w:r>
      <w:r w:rsidR="0029001A">
        <w:rPr>
          <w:sz w:val="26"/>
          <w:szCs w:val="26"/>
        </w:rPr>
        <w:t xml:space="preserve">n additional </w:t>
      </w:r>
      <w:r w:rsidRPr="00415D15">
        <w:rPr>
          <w:sz w:val="26"/>
          <w:szCs w:val="26"/>
        </w:rPr>
        <w:t>ninety</w:t>
      </w:r>
      <w:r w:rsidR="006E1484">
        <w:rPr>
          <w:sz w:val="26"/>
          <w:szCs w:val="26"/>
        </w:rPr>
        <w:t>-</w:t>
      </w:r>
      <w:r w:rsidRPr="00415D15">
        <w:rPr>
          <w:sz w:val="26"/>
          <w:szCs w:val="26"/>
        </w:rPr>
        <w:t xml:space="preserve">day </w:t>
      </w:r>
      <w:r w:rsidR="00D370FE">
        <w:rPr>
          <w:sz w:val="26"/>
          <w:szCs w:val="26"/>
        </w:rPr>
        <w:t xml:space="preserve">period </w:t>
      </w:r>
      <w:r w:rsidR="0058343B">
        <w:rPr>
          <w:sz w:val="26"/>
          <w:szCs w:val="26"/>
        </w:rPr>
        <w:t xml:space="preserve">in which to </w:t>
      </w:r>
      <w:r w:rsidR="0029001A">
        <w:rPr>
          <w:sz w:val="26"/>
          <w:szCs w:val="26"/>
        </w:rPr>
        <w:t xml:space="preserve">certify to the Commission it had ceased the automated billing practices which violate the </w:t>
      </w:r>
      <w:r w:rsidR="00AB1C3C">
        <w:rPr>
          <w:sz w:val="26"/>
          <w:szCs w:val="26"/>
        </w:rPr>
        <w:t xml:space="preserve">Code and the </w:t>
      </w:r>
      <w:r w:rsidR="0058343B">
        <w:rPr>
          <w:sz w:val="26"/>
          <w:szCs w:val="26"/>
        </w:rPr>
        <w:t>Commission</w:t>
      </w:r>
      <w:r w:rsidR="0029001A">
        <w:rPr>
          <w:sz w:val="26"/>
          <w:szCs w:val="26"/>
        </w:rPr>
        <w:t>’s</w:t>
      </w:r>
      <w:r w:rsidR="0058343B">
        <w:rPr>
          <w:sz w:val="26"/>
          <w:szCs w:val="26"/>
        </w:rPr>
        <w:t xml:space="preserve"> </w:t>
      </w:r>
      <w:r w:rsidR="00AB1C3C">
        <w:rPr>
          <w:sz w:val="26"/>
          <w:szCs w:val="26"/>
        </w:rPr>
        <w:t>r</w:t>
      </w:r>
      <w:r w:rsidR="0058343B">
        <w:rPr>
          <w:sz w:val="26"/>
          <w:szCs w:val="26"/>
        </w:rPr>
        <w:t xml:space="preserve">egulations.  </w:t>
      </w:r>
      <w:r w:rsidR="0058343B">
        <w:rPr>
          <w:i/>
          <w:sz w:val="26"/>
          <w:szCs w:val="26"/>
        </w:rPr>
        <w:t>See</w:t>
      </w:r>
      <w:r w:rsidR="0029001A">
        <w:rPr>
          <w:i/>
          <w:sz w:val="26"/>
          <w:szCs w:val="26"/>
        </w:rPr>
        <w:t>, May 2018 Order,</w:t>
      </w:r>
      <w:r w:rsidR="0058343B">
        <w:rPr>
          <w:i/>
          <w:sz w:val="26"/>
          <w:szCs w:val="26"/>
        </w:rPr>
        <w:t xml:space="preserve"> </w:t>
      </w:r>
      <w:r w:rsidR="0058343B">
        <w:rPr>
          <w:sz w:val="26"/>
          <w:szCs w:val="26"/>
        </w:rPr>
        <w:t>Ordering Paragraph No. 2.</w:t>
      </w:r>
    </w:p>
    <w:p w14:paraId="4B0F7222" w14:textId="77777777" w:rsidR="0058343B" w:rsidRDefault="0058343B" w:rsidP="0058343B">
      <w:pPr>
        <w:rPr>
          <w:sz w:val="26"/>
          <w:szCs w:val="26"/>
        </w:rPr>
      </w:pPr>
    </w:p>
    <w:p w14:paraId="2A9A71B2" w14:textId="58159BB3" w:rsidR="0058343B" w:rsidRDefault="0058343B" w:rsidP="0058343B">
      <w:pPr>
        <w:rPr>
          <w:sz w:val="26"/>
          <w:szCs w:val="26"/>
        </w:rPr>
      </w:pPr>
      <w:r>
        <w:rPr>
          <w:sz w:val="26"/>
          <w:szCs w:val="26"/>
        </w:rPr>
        <w:t xml:space="preserve">Finally, </w:t>
      </w:r>
      <w:r w:rsidR="000754E8">
        <w:rPr>
          <w:sz w:val="26"/>
          <w:szCs w:val="26"/>
        </w:rPr>
        <w:t xml:space="preserve">we declined in our </w:t>
      </w:r>
      <w:r>
        <w:rPr>
          <w:i/>
          <w:sz w:val="26"/>
          <w:szCs w:val="26"/>
        </w:rPr>
        <w:t xml:space="preserve">May </w:t>
      </w:r>
      <w:r w:rsidR="007247B1">
        <w:rPr>
          <w:i/>
          <w:sz w:val="26"/>
          <w:szCs w:val="26"/>
        </w:rPr>
        <w:t>2018</w:t>
      </w:r>
      <w:r>
        <w:rPr>
          <w:i/>
          <w:sz w:val="26"/>
          <w:szCs w:val="26"/>
        </w:rPr>
        <w:t xml:space="preserve"> Order</w:t>
      </w:r>
      <w:r>
        <w:rPr>
          <w:sz w:val="26"/>
          <w:szCs w:val="26"/>
        </w:rPr>
        <w:t xml:space="preserve"> to consider PGW’s request</w:t>
      </w:r>
      <w:r w:rsidR="00AD34B9">
        <w:rPr>
          <w:sz w:val="26"/>
          <w:szCs w:val="26"/>
        </w:rPr>
        <w:t xml:space="preserve"> </w:t>
      </w:r>
      <w:r w:rsidR="005F6B0B">
        <w:rPr>
          <w:sz w:val="26"/>
          <w:szCs w:val="26"/>
        </w:rPr>
        <w:t xml:space="preserve">that </w:t>
      </w:r>
      <w:r w:rsidR="00AD34B9">
        <w:rPr>
          <w:sz w:val="26"/>
          <w:szCs w:val="26"/>
        </w:rPr>
        <w:t>it</w:t>
      </w:r>
      <w:r>
        <w:rPr>
          <w:sz w:val="26"/>
          <w:szCs w:val="26"/>
        </w:rPr>
        <w:t xml:space="preserve"> presented in a “Supplemental Petition” to consolidate the issue </w:t>
      </w:r>
      <w:r w:rsidR="004F3817" w:rsidRPr="00725D23">
        <w:rPr>
          <w:sz w:val="26"/>
          <w:szCs w:val="26"/>
        </w:rPr>
        <w:t xml:space="preserve">regarding PGW’s </w:t>
      </w:r>
      <w:r w:rsidRPr="00725D23">
        <w:rPr>
          <w:sz w:val="26"/>
          <w:szCs w:val="26"/>
        </w:rPr>
        <w:t>allocation of partial payments for past</w:t>
      </w:r>
      <w:r w:rsidR="00657853">
        <w:rPr>
          <w:sz w:val="26"/>
          <w:szCs w:val="26"/>
        </w:rPr>
        <w:t>-</w:t>
      </w:r>
      <w:r w:rsidRPr="00725D23">
        <w:rPr>
          <w:sz w:val="26"/>
          <w:szCs w:val="26"/>
        </w:rPr>
        <w:t xml:space="preserve">due utility bills in a manner that prioritized such payments in violation of the Code, Commission </w:t>
      </w:r>
      <w:r w:rsidR="00AB1C3C">
        <w:rPr>
          <w:sz w:val="26"/>
          <w:szCs w:val="26"/>
        </w:rPr>
        <w:t>r</w:t>
      </w:r>
      <w:r w:rsidRPr="00725D23">
        <w:rPr>
          <w:sz w:val="26"/>
          <w:szCs w:val="26"/>
        </w:rPr>
        <w:t xml:space="preserve">egulations, and its </w:t>
      </w:r>
      <w:r w:rsidR="00AB1C3C">
        <w:rPr>
          <w:sz w:val="26"/>
          <w:szCs w:val="26"/>
        </w:rPr>
        <w:t>t</w:t>
      </w:r>
      <w:r w:rsidRPr="00725D23">
        <w:rPr>
          <w:sz w:val="26"/>
          <w:szCs w:val="26"/>
        </w:rPr>
        <w:t xml:space="preserve">ariff, </w:t>
      </w:r>
      <w:r w:rsidR="00913255">
        <w:rPr>
          <w:sz w:val="26"/>
          <w:szCs w:val="26"/>
        </w:rPr>
        <w:t>with</w:t>
      </w:r>
      <w:r w:rsidR="004F3817" w:rsidRPr="00725D23">
        <w:rPr>
          <w:sz w:val="26"/>
          <w:szCs w:val="26"/>
        </w:rPr>
        <w:t xml:space="preserve"> PGW’s </w:t>
      </w:r>
      <w:r w:rsidRPr="00725D23">
        <w:rPr>
          <w:sz w:val="26"/>
          <w:szCs w:val="26"/>
        </w:rPr>
        <w:t>separate, general rate increase proceeding.</w:t>
      </w:r>
      <w:r w:rsidRPr="00725D23">
        <w:rPr>
          <w:rStyle w:val="FootnoteReference"/>
          <w:bCs/>
          <w:spacing w:val="-3"/>
          <w:sz w:val="26"/>
          <w:szCs w:val="26"/>
        </w:rPr>
        <w:footnoteReference w:id="8"/>
      </w:r>
    </w:p>
    <w:p w14:paraId="0208905C" w14:textId="77777777" w:rsidR="00725D23" w:rsidRDefault="00725D23" w:rsidP="0058343B">
      <w:pPr>
        <w:rPr>
          <w:sz w:val="26"/>
          <w:szCs w:val="26"/>
        </w:rPr>
      </w:pPr>
    </w:p>
    <w:p w14:paraId="1D96D2F8" w14:textId="2803453C" w:rsidR="0058343B" w:rsidRPr="00DA1F7F" w:rsidRDefault="00072560" w:rsidP="0058343B">
      <w:pPr>
        <w:rPr>
          <w:sz w:val="26"/>
          <w:szCs w:val="26"/>
        </w:rPr>
      </w:pPr>
      <w:r>
        <w:rPr>
          <w:sz w:val="26"/>
          <w:szCs w:val="26"/>
        </w:rPr>
        <w:t xml:space="preserve">In response to our </w:t>
      </w:r>
      <w:r w:rsidRPr="00072560">
        <w:rPr>
          <w:i/>
          <w:sz w:val="26"/>
          <w:szCs w:val="26"/>
        </w:rPr>
        <w:t xml:space="preserve">May </w:t>
      </w:r>
      <w:r w:rsidR="007247B1">
        <w:rPr>
          <w:i/>
          <w:sz w:val="26"/>
          <w:szCs w:val="26"/>
        </w:rPr>
        <w:t>2018</w:t>
      </w:r>
      <w:r w:rsidRPr="00072560">
        <w:rPr>
          <w:i/>
          <w:sz w:val="26"/>
          <w:szCs w:val="26"/>
        </w:rPr>
        <w:t xml:space="preserve"> Order</w:t>
      </w:r>
      <w:r>
        <w:rPr>
          <w:sz w:val="26"/>
          <w:szCs w:val="26"/>
        </w:rPr>
        <w:t xml:space="preserve">, </w:t>
      </w:r>
      <w:r w:rsidR="00DA1F7F">
        <w:rPr>
          <w:sz w:val="26"/>
          <w:szCs w:val="26"/>
        </w:rPr>
        <w:t>PGW filed a s</w:t>
      </w:r>
      <w:r>
        <w:rPr>
          <w:sz w:val="26"/>
          <w:szCs w:val="26"/>
        </w:rPr>
        <w:t>econd P</w:t>
      </w:r>
      <w:r w:rsidR="00DA1F7F">
        <w:rPr>
          <w:sz w:val="26"/>
          <w:szCs w:val="26"/>
        </w:rPr>
        <w:t xml:space="preserve">etition seeking reconsideration, rehearing, and/or clarification of issues originally considered and </w:t>
      </w:r>
      <w:r w:rsidR="00DA1F7F">
        <w:rPr>
          <w:sz w:val="26"/>
          <w:szCs w:val="26"/>
        </w:rPr>
        <w:lastRenderedPageBreak/>
        <w:t xml:space="preserve">disposed of in the </w:t>
      </w:r>
      <w:r w:rsidR="00DA1F7F">
        <w:rPr>
          <w:i/>
          <w:sz w:val="26"/>
          <w:szCs w:val="26"/>
        </w:rPr>
        <w:t xml:space="preserve">December </w:t>
      </w:r>
      <w:r w:rsidR="007247B1">
        <w:rPr>
          <w:i/>
          <w:sz w:val="26"/>
          <w:szCs w:val="26"/>
        </w:rPr>
        <w:t>2016</w:t>
      </w:r>
      <w:r w:rsidR="00DA1F7F">
        <w:rPr>
          <w:i/>
          <w:sz w:val="26"/>
          <w:szCs w:val="26"/>
        </w:rPr>
        <w:t xml:space="preserve"> Order.</w:t>
      </w:r>
      <w:r w:rsidR="006224C8" w:rsidRPr="00DA1F7F">
        <w:rPr>
          <w:rStyle w:val="FootnoteReference"/>
          <w:sz w:val="26"/>
          <w:szCs w:val="26"/>
        </w:rPr>
        <w:footnoteReference w:id="9"/>
      </w:r>
      <w:r w:rsidR="006224C8">
        <w:rPr>
          <w:i/>
          <w:sz w:val="26"/>
          <w:szCs w:val="26"/>
        </w:rPr>
        <w:t xml:space="preserve"> </w:t>
      </w:r>
      <w:r w:rsidR="00DA1F7F">
        <w:rPr>
          <w:i/>
          <w:sz w:val="26"/>
          <w:szCs w:val="26"/>
        </w:rPr>
        <w:t xml:space="preserve"> </w:t>
      </w:r>
      <w:r w:rsidR="003D6F59" w:rsidRPr="001E78DD">
        <w:rPr>
          <w:sz w:val="26"/>
          <w:szCs w:val="26"/>
        </w:rPr>
        <w:t xml:space="preserve">At that time, </w:t>
      </w:r>
      <w:r w:rsidR="008B443E" w:rsidRPr="001E78DD">
        <w:rPr>
          <w:bCs/>
          <w:spacing w:val="-3"/>
          <w:sz w:val="26"/>
          <w:szCs w:val="26"/>
        </w:rPr>
        <w:t xml:space="preserve">PGW did not Petition for Stay of compliance with our </w:t>
      </w:r>
      <w:r w:rsidR="008B443E" w:rsidRPr="001E78DD">
        <w:rPr>
          <w:bCs/>
          <w:i/>
          <w:spacing w:val="-3"/>
          <w:sz w:val="26"/>
          <w:szCs w:val="26"/>
        </w:rPr>
        <w:t>May 2018 Order</w:t>
      </w:r>
      <w:r w:rsidR="008B443E" w:rsidRPr="008B443E">
        <w:rPr>
          <w:bCs/>
          <w:i/>
          <w:spacing w:val="-3"/>
          <w:sz w:val="26"/>
          <w:szCs w:val="26"/>
        </w:rPr>
        <w:t>,</w:t>
      </w:r>
      <w:r w:rsidR="008B443E">
        <w:rPr>
          <w:bCs/>
          <w:spacing w:val="-3"/>
          <w:sz w:val="26"/>
          <w:szCs w:val="26"/>
        </w:rPr>
        <w:t xml:space="preserve"> but as part of the reconsideration of that order, did seek qualified reconsideration of our </w:t>
      </w:r>
      <w:r w:rsidR="008B443E" w:rsidRPr="00075D1B">
        <w:rPr>
          <w:bCs/>
          <w:i/>
          <w:spacing w:val="-3"/>
          <w:sz w:val="26"/>
          <w:szCs w:val="26"/>
        </w:rPr>
        <w:t>December 2016 Order</w:t>
      </w:r>
      <w:r w:rsidR="007426F9">
        <w:rPr>
          <w:bCs/>
          <w:spacing w:val="-3"/>
          <w:sz w:val="26"/>
          <w:szCs w:val="26"/>
        </w:rPr>
        <w:t xml:space="preserve">, </w:t>
      </w:r>
      <w:r w:rsidR="008B443E">
        <w:rPr>
          <w:bCs/>
          <w:spacing w:val="-3"/>
          <w:sz w:val="26"/>
          <w:szCs w:val="26"/>
        </w:rPr>
        <w:t xml:space="preserve">“to the extent necessary or appropriate.”  </w:t>
      </w:r>
      <w:r w:rsidR="00DA1F7F" w:rsidRPr="00DA1F7F">
        <w:rPr>
          <w:sz w:val="26"/>
          <w:szCs w:val="26"/>
        </w:rPr>
        <w:t>By our</w:t>
      </w:r>
      <w:r w:rsidR="00DA1F7F">
        <w:rPr>
          <w:i/>
          <w:sz w:val="26"/>
          <w:szCs w:val="26"/>
        </w:rPr>
        <w:t xml:space="preserve"> </w:t>
      </w:r>
      <w:r w:rsidR="00A16E7E" w:rsidRPr="00A16E7E">
        <w:rPr>
          <w:i/>
          <w:sz w:val="26"/>
          <w:szCs w:val="26"/>
        </w:rPr>
        <w:t>August 2018 Order</w:t>
      </w:r>
      <w:r w:rsidR="007247B1">
        <w:rPr>
          <w:i/>
          <w:sz w:val="26"/>
          <w:szCs w:val="26"/>
        </w:rPr>
        <w:t>,</w:t>
      </w:r>
      <w:r w:rsidR="00A16E7E" w:rsidRPr="00A16E7E">
        <w:rPr>
          <w:i/>
          <w:sz w:val="26"/>
          <w:szCs w:val="26"/>
        </w:rPr>
        <w:t xml:space="preserve"> </w:t>
      </w:r>
      <w:r w:rsidR="00DA1F7F" w:rsidRPr="00DA1F7F">
        <w:rPr>
          <w:sz w:val="26"/>
          <w:szCs w:val="26"/>
        </w:rPr>
        <w:t>we denied PGW’s second request for reconsideration.</w:t>
      </w:r>
    </w:p>
    <w:p w14:paraId="3E283AC1" w14:textId="77777777" w:rsidR="0058343B" w:rsidRDefault="0058343B" w:rsidP="0058343B">
      <w:pPr>
        <w:ind w:firstLine="0"/>
        <w:rPr>
          <w:sz w:val="26"/>
          <w:szCs w:val="26"/>
        </w:rPr>
      </w:pPr>
    </w:p>
    <w:p w14:paraId="2862D39C" w14:textId="7538DC83" w:rsidR="00C05A25" w:rsidRPr="00C05A25" w:rsidRDefault="006224C8" w:rsidP="00072560">
      <w:pPr>
        <w:adjustRightInd w:val="0"/>
        <w:rPr>
          <w:color w:val="000000"/>
          <w:sz w:val="26"/>
          <w:szCs w:val="26"/>
        </w:rPr>
      </w:pPr>
      <w:r>
        <w:rPr>
          <w:sz w:val="26"/>
        </w:rPr>
        <w:t xml:space="preserve">PGW’s present Petition for Stay of our </w:t>
      </w:r>
      <w:r w:rsidRPr="006224C8">
        <w:rPr>
          <w:i/>
          <w:sz w:val="26"/>
        </w:rPr>
        <w:t>August 2018 Order</w:t>
      </w:r>
      <w:r>
        <w:rPr>
          <w:sz w:val="26"/>
        </w:rPr>
        <w:t xml:space="preserve"> purports to also seek a stay of our prior final order</w:t>
      </w:r>
      <w:r w:rsidR="007247B1">
        <w:rPr>
          <w:sz w:val="26"/>
        </w:rPr>
        <w:t>s</w:t>
      </w:r>
      <w:r>
        <w:rPr>
          <w:sz w:val="26"/>
        </w:rPr>
        <w:t xml:space="preserve"> of </w:t>
      </w:r>
      <w:r w:rsidRPr="006224C8">
        <w:rPr>
          <w:i/>
          <w:sz w:val="26"/>
        </w:rPr>
        <w:t>May 2018</w:t>
      </w:r>
      <w:r>
        <w:rPr>
          <w:sz w:val="26"/>
        </w:rPr>
        <w:t xml:space="preserve"> and </w:t>
      </w:r>
      <w:r w:rsidRPr="006224C8">
        <w:rPr>
          <w:i/>
          <w:sz w:val="26"/>
        </w:rPr>
        <w:t>December 2016</w:t>
      </w:r>
      <w:r>
        <w:rPr>
          <w:sz w:val="26"/>
        </w:rPr>
        <w:t>.</w:t>
      </w:r>
    </w:p>
    <w:p w14:paraId="725CC4D0" w14:textId="77777777" w:rsidR="00C05A25" w:rsidRDefault="00C05A25" w:rsidP="00C05A25">
      <w:pPr>
        <w:pStyle w:val="ListParagraph"/>
        <w:adjustRightInd w:val="0"/>
        <w:ind w:left="0" w:firstLine="0"/>
        <w:rPr>
          <w:color w:val="000000"/>
          <w:sz w:val="26"/>
          <w:szCs w:val="26"/>
        </w:rPr>
      </w:pPr>
    </w:p>
    <w:p w14:paraId="6BF741CB" w14:textId="50A8218E" w:rsidR="00D6672E" w:rsidRPr="003A2799" w:rsidRDefault="005574AF" w:rsidP="003B6E4A">
      <w:pPr>
        <w:pStyle w:val="ListParagraph"/>
        <w:keepNext/>
        <w:keepLines/>
        <w:adjustRightInd w:val="0"/>
        <w:ind w:left="360" w:hanging="360"/>
        <w:jc w:val="center"/>
        <w:rPr>
          <w:b/>
          <w:sz w:val="26"/>
          <w:szCs w:val="26"/>
        </w:rPr>
      </w:pPr>
      <w:r>
        <w:rPr>
          <w:b/>
          <w:sz w:val="26"/>
          <w:szCs w:val="26"/>
        </w:rPr>
        <w:t>II.</w:t>
      </w:r>
      <w:r>
        <w:rPr>
          <w:b/>
          <w:sz w:val="26"/>
          <w:szCs w:val="26"/>
        </w:rPr>
        <w:tab/>
      </w:r>
      <w:r w:rsidR="00736427" w:rsidRPr="003A2799">
        <w:rPr>
          <w:b/>
          <w:sz w:val="26"/>
          <w:szCs w:val="26"/>
        </w:rPr>
        <w:t>Discussion</w:t>
      </w:r>
    </w:p>
    <w:p w14:paraId="07A3E7AF" w14:textId="77777777" w:rsidR="00F211B8" w:rsidRDefault="00F211B8" w:rsidP="003B6E4A">
      <w:pPr>
        <w:keepNext/>
        <w:keepLines/>
        <w:ind w:firstLine="0"/>
        <w:rPr>
          <w:b/>
          <w:sz w:val="26"/>
          <w:szCs w:val="26"/>
        </w:rPr>
      </w:pPr>
    </w:p>
    <w:p w14:paraId="35FBDD72" w14:textId="77777777" w:rsidR="007A250A" w:rsidRDefault="007A250A" w:rsidP="00A35FE0">
      <w:pPr>
        <w:pStyle w:val="ListParagraph"/>
        <w:keepNext/>
        <w:keepLines/>
        <w:numPr>
          <w:ilvl w:val="0"/>
          <w:numId w:val="16"/>
        </w:numPr>
        <w:autoSpaceDE w:val="0"/>
        <w:autoSpaceDN w:val="0"/>
        <w:ind w:left="360"/>
        <w:rPr>
          <w:b/>
          <w:sz w:val="26"/>
          <w:szCs w:val="26"/>
        </w:rPr>
      </w:pPr>
      <w:r w:rsidRPr="00FE7C04">
        <w:rPr>
          <w:b/>
          <w:sz w:val="26"/>
          <w:szCs w:val="26"/>
        </w:rPr>
        <w:t>Legal Standards</w:t>
      </w:r>
    </w:p>
    <w:p w14:paraId="1A6B3316" w14:textId="77777777" w:rsidR="00A37C2F" w:rsidRPr="00FE7C04" w:rsidRDefault="00A37C2F" w:rsidP="003D6F59">
      <w:pPr>
        <w:pStyle w:val="ListParagraph"/>
        <w:keepNext/>
        <w:keepLines/>
        <w:tabs>
          <w:tab w:val="left" w:pos="360"/>
        </w:tabs>
        <w:ind w:firstLine="0"/>
        <w:contextualSpacing/>
        <w:rPr>
          <w:b/>
          <w:sz w:val="26"/>
          <w:szCs w:val="26"/>
        </w:rPr>
      </w:pPr>
    </w:p>
    <w:p w14:paraId="1D939036" w14:textId="35048E10" w:rsidR="00F85515" w:rsidRDefault="00F85515" w:rsidP="00F85515">
      <w:pPr>
        <w:rPr>
          <w:sz w:val="26"/>
          <w:szCs w:val="26"/>
        </w:rPr>
      </w:pPr>
      <w:r w:rsidRPr="0017754B">
        <w:rPr>
          <w:sz w:val="26"/>
          <w:szCs w:val="26"/>
        </w:rPr>
        <w:t xml:space="preserve">As a preliminary matter, we note that any issue </w:t>
      </w:r>
      <w:r w:rsidR="007247B1">
        <w:rPr>
          <w:sz w:val="26"/>
          <w:szCs w:val="26"/>
        </w:rPr>
        <w:t xml:space="preserve">that </w:t>
      </w:r>
      <w:r w:rsidRPr="0017754B">
        <w:rPr>
          <w:sz w:val="26"/>
          <w:szCs w:val="26"/>
        </w:rPr>
        <w:t xml:space="preserve">we do not specifically delineate shall be deemed to have been duly considered and denied without further discussion.  The Commission is not required to consider expressly or at length each contention or argument raised by the parties.  </w:t>
      </w:r>
      <w:hyperlink r:id="rId8" w:history="1">
        <w:r w:rsidRPr="0017754B">
          <w:rPr>
            <w:i/>
            <w:iCs/>
            <w:color w:val="000000"/>
            <w:sz w:val="26"/>
            <w:szCs w:val="26"/>
          </w:rPr>
          <w:t xml:space="preserve">Consolidated Rail Corp. v. Pa. PUC, </w:t>
        </w:r>
        <w:r w:rsidRPr="0017754B">
          <w:rPr>
            <w:color w:val="000000"/>
            <w:sz w:val="26"/>
            <w:szCs w:val="26"/>
          </w:rPr>
          <w:t>625 A.2d 741 (Pa. Cmwlth. 1993);</w:t>
        </w:r>
      </w:hyperlink>
      <w:r>
        <w:rPr>
          <w:color w:val="000000"/>
          <w:sz w:val="26"/>
          <w:szCs w:val="26"/>
        </w:rPr>
        <w:t xml:space="preserve"> </w:t>
      </w:r>
      <w:r w:rsidRPr="0017754B">
        <w:rPr>
          <w:i/>
          <w:color w:val="000000"/>
          <w:sz w:val="26"/>
          <w:szCs w:val="26"/>
        </w:rPr>
        <w:t xml:space="preserve">also </w:t>
      </w:r>
      <w:r w:rsidRPr="0017754B">
        <w:rPr>
          <w:i/>
          <w:iCs/>
          <w:color w:val="000000"/>
          <w:sz w:val="26"/>
          <w:szCs w:val="26"/>
        </w:rPr>
        <w:t xml:space="preserve">see, generally, </w:t>
      </w:r>
      <w:hyperlink r:id="rId9" w:history="1">
        <w:r w:rsidRPr="0017754B">
          <w:rPr>
            <w:i/>
            <w:iCs/>
            <w:color w:val="000000"/>
            <w:sz w:val="26"/>
            <w:szCs w:val="26"/>
          </w:rPr>
          <w:t>University of Pennsylvania</w:t>
        </w:r>
        <w:r>
          <w:rPr>
            <w:i/>
            <w:iCs/>
            <w:color w:val="000000"/>
            <w:sz w:val="26"/>
            <w:szCs w:val="26"/>
          </w:rPr>
          <w:t xml:space="preserve"> </w:t>
        </w:r>
        <w:r w:rsidRPr="0017754B">
          <w:rPr>
            <w:i/>
            <w:iCs/>
            <w:color w:val="000000"/>
            <w:sz w:val="26"/>
            <w:szCs w:val="26"/>
          </w:rPr>
          <w:t>v. Pa. PUC</w:t>
        </w:r>
        <w:r w:rsidRPr="0017754B">
          <w:rPr>
            <w:color w:val="000000"/>
            <w:sz w:val="26"/>
            <w:szCs w:val="26"/>
          </w:rPr>
          <w:t>, 485 A.2d 1217 (Pa. Cmwlth. 1984).</w:t>
        </w:r>
      </w:hyperlink>
    </w:p>
    <w:p w14:paraId="785475F0" w14:textId="77777777" w:rsidR="00F85515" w:rsidRDefault="00F85515" w:rsidP="00F85515">
      <w:pPr>
        <w:pStyle w:val="ListParagraph"/>
        <w:ind w:left="1800" w:firstLine="0"/>
        <w:rPr>
          <w:b/>
          <w:sz w:val="26"/>
        </w:rPr>
      </w:pPr>
    </w:p>
    <w:p w14:paraId="5B3D63DC" w14:textId="77777777" w:rsidR="00443BBB" w:rsidRDefault="00443BBB" w:rsidP="00E06D5F">
      <w:pPr>
        <w:pStyle w:val="ListParagraph"/>
        <w:keepNext/>
        <w:keepLines/>
        <w:numPr>
          <w:ilvl w:val="0"/>
          <w:numId w:val="10"/>
        </w:numPr>
        <w:ind w:left="1080"/>
        <w:rPr>
          <w:b/>
          <w:sz w:val="26"/>
        </w:rPr>
      </w:pPr>
      <w:r w:rsidRPr="00443BBB">
        <w:rPr>
          <w:b/>
          <w:sz w:val="26"/>
        </w:rPr>
        <w:t>Burden of Proof</w:t>
      </w:r>
      <w:r w:rsidR="00243695">
        <w:rPr>
          <w:b/>
          <w:sz w:val="26"/>
        </w:rPr>
        <w:t xml:space="preserve"> and Standard for Granting a Stay</w:t>
      </w:r>
    </w:p>
    <w:p w14:paraId="5D2CC982" w14:textId="77777777" w:rsidR="00443BBB" w:rsidRPr="00443BBB" w:rsidRDefault="00443BBB" w:rsidP="006D2852">
      <w:pPr>
        <w:pStyle w:val="ListParagraph"/>
        <w:keepNext/>
        <w:keepLines/>
        <w:ind w:left="1800" w:firstLine="0"/>
        <w:rPr>
          <w:b/>
          <w:sz w:val="26"/>
        </w:rPr>
      </w:pPr>
    </w:p>
    <w:p w14:paraId="1A3B7139" w14:textId="26CFA1C4" w:rsidR="00040D73" w:rsidRDefault="00040D73" w:rsidP="00040D73">
      <w:pPr>
        <w:rPr>
          <w:sz w:val="26"/>
        </w:rPr>
      </w:pPr>
      <w:r w:rsidRPr="0087198E">
        <w:rPr>
          <w:sz w:val="26"/>
        </w:rPr>
        <w:t>Section 332(a) of the</w:t>
      </w:r>
      <w:r>
        <w:rPr>
          <w:sz w:val="26"/>
        </w:rPr>
        <w:t xml:space="preserve"> </w:t>
      </w:r>
      <w:r w:rsidRPr="0087198E">
        <w:rPr>
          <w:sz w:val="26"/>
        </w:rPr>
        <w:t>Code, 66 Pa. C.S. §</w:t>
      </w:r>
      <w:r>
        <w:rPr>
          <w:sz w:val="26"/>
        </w:rPr>
        <w:t xml:space="preserve"> </w:t>
      </w:r>
      <w:r w:rsidRPr="0087198E">
        <w:rPr>
          <w:sz w:val="26"/>
        </w:rPr>
        <w:t xml:space="preserve">332(a), provides that the party seeking a rule or order from the Commission has the burden of proof in that proceeding.  </w:t>
      </w:r>
      <w:r>
        <w:rPr>
          <w:sz w:val="26"/>
        </w:rPr>
        <w:t xml:space="preserve">As to </w:t>
      </w:r>
      <w:r w:rsidR="00185E66">
        <w:rPr>
          <w:sz w:val="26"/>
        </w:rPr>
        <w:t>its</w:t>
      </w:r>
      <w:r>
        <w:rPr>
          <w:sz w:val="26"/>
        </w:rPr>
        <w:t xml:space="preserve"> request for a stay, the burden of proof is therefore on </w:t>
      </w:r>
      <w:r w:rsidR="00ED2ABC">
        <w:rPr>
          <w:sz w:val="26"/>
        </w:rPr>
        <w:t>the Petitioner</w:t>
      </w:r>
      <w:r>
        <w:rPr>
          <w:sz w:val="26"/>
        </w:rPr>
        <w:t xml:space="preserve">.  </w:t>
      </w:r>
      <w:r w:rsidRPr="0087198E">
        <w:rPr>
          <w:sz w:val="26"/>
        </w:rPr>
        <w:t xml:space="preserve">It is </w:t>
      </w:r>
      <w:r w:rsidRPr="0087198E">
        <w:rPr>
          <w:sz w:val="26"/>
        </w:rPr>
        <w:lastRenderedPageBreak/>
        <w:t xml:space="preserve">axiomatic that “[a] litigant’s burden of proof before administrative tribunals as well as before most civil proceedings is satisfied by establishing a preponderance of evidence which is substantial and legally credible.” </w:t>
      </w:r>
      <w:r w:rsidR="008E1419">
        <w:rPr>
          <w:sz w:val="26"/>
        </w:rPr>
        <w:t xml:space="preserve"> </w:t>
      </w:r>
      <w:r w:rsidRPr="0087198E">
        <w:rPr>
          <w:i/>
          <w:sz w:val="26"/>
        </w:rPr>
        <w:t>Samuel J. Lansberry, Inc. v. Pa. PUC</w:t>
      </w:r>
      <w:r w:rsidRPr="0087198E">
        <w:rPr>
          <w:sz w:val="26"/>
        </w:rPr>
        <w:t>, 578 A.2d 600, 602 (Pa. Cmwlth. 1990).</w:t>
      </w:r>
    </w:p>
    <w:p w14:paraId="757347E2" w14:textId="77777777" w:rsidR="00040D73" w:rsidRDefault="00040D73" w:rsidP="00040D73">
      <w:pPr>
        <w:rPr>
          <w:sz w:val="26"/>
        </w:rPr>
      </w:pPr>
    </w:p>
    <w:p w14:paraId="6299A16F" w14:textId="41D53411" w:rsidR="00ED2ABC" w:rsidRPr="00ED2ABC" w:rsidRDefault="00ED2ABC" w:rsidP="00A22947">
      <w:pPr>
        <w:rPr>
          <w:rFonts w:eastAsiaTheme="minorHAnsi"/>
          <w:sz w:val="26"/>
          <w:szCs w:val="26"/>
        </w:rPr>
      </w:pPr>
      <w:r w:rsidRPr="00ED2ABC">
        <w:rPr>
          <w:rFonts w:eastAsiaTheme="minorHAnsi"/>
          <w:sz w:val="26"/>
          <w:szCs w:val="26"/>
        </w:rPr>
        <w:t xml:space="preserve">The Commission has adopted the standards set forth in </w:t>
      </w:r>
      <w:r w:rsidRPr="00ED2ABC">
        <w:rPr>
          <w:rFonts w:eastAsiaTheme="minorHAnsi"/>
          <w:i/>
          <w:sz w:val="26"/>
          <w:szCs w:val="26"/>
        </w:rPr>
        <w:t>Pennsylvania Public Utility Commission v. Process Gas Consumers Group</w:t>
      </w:r>
      <w:r w:rsidRPr="00ED2ABC">
        <w:rPr>
          <w:rFonts w:eastAsiaTheme="minorHAnsi"/>
          <w:sz w:val="26"/>
          <w:szCs w:val="26"/>
        </w:rPr>
        <w:t>, 502 Pa. 545, 467 A.2d 805 (1983) (</w:t>
      </w:r>
      <w:r w:rsidRPr="00ED2ABC">
        <w:rPr>
          <w:rFonts w:eastAsiaTheme="minorHAnsi"/>
          <w:i/>
          <w:sz w:val="26"/>
          <w:szCs w:val="26"/>
        </w:rPr>
        <w:t>Process Gas</w:t>
      </w:r>
      <w:r w:rsidRPr="00ED2ABC">
        <w:rPr>
          <w:rFonts w:eastAsiaTheme="minorHAnsi"/>
          <w:sz w:val="26"/>
          <w:szCs w:val="26"/>
        </w:rPr>
        <w:t>), in reviewing petitions which seek to stay the effect of</w:t>
      </w:r>
      <w:r w:rsidR="00A95C7A">
        <w:rPr>
          <w:rFonts w:eastAsiaTheme="minorHAnsi"/>
          <w:sz w:val="26"/>
          <w:szCs w:val="26"/>
        </w:rPr>
        <w:t xml:space="preserve"> </w:t>
      </w:r>
      <w:r w:rsidRPr="00ED509F">
        <w:rPr>
          <w:rFonts w:eastAsiaTheme="minorHAnsi"/>
          <w:sz w:val="26"/>
          <w:szCs w:val="26"/>
        </w:rPr>
        <w:t>Commission Orders.</w:t>
      </w:r>
      <w:r w:rsidRPr="00ED2ABC">
        <w:rPr>
          <w:rFonts w:eastAsiaTheme="minorHAnsi"/>
          <w:sz w:val="26"/>
          <w:szCs w:val="26"/>
        </w:rPr>
        <w:t xml:space="preserve">  </w:t>
      </w:r>
      <w:r w:rsidR="00252C89" w:rsidRPr="00ED2ABC">
        <w:rPr>
          <w:rFonts w:eastAsiaTheme="minorHAnsi"/>
          <w:sz w:val="26"/>
          <w:szCs w:val="26"/>
        </w:rPr>
        <w:t>To</w:t>
      </w:r>
      <w:r w:rsidRPr="00ED2ABC">
        <w:rPr>
          <w:rFonts w:eastAsiaTheme="minorHAnsi"/>
          <w:sz w:val="26"/>
          <w:szCs w:val="26"/>
        </w:rPr>
        <w:t xml:space="preserve"> meet the </w:t>
      </w:r>
      <w:r w:rsidR="00252C89" w:rsidRPr="00ED2ABC">
        <w:rPr>
          <w:rFonts w:eastAsiaTheme="minorHAnsi"/>
          <w:sz w:val="26"/>
          <w:szCs w:val="26"/>
        </w:rPr>
        <w:t>standards</w:t>
      </w:r>
      <w:r w:rsidRPr="00ED2ABC">
        <w:rPr>
          <w:rFonts w:eastAsiaTheme="minorHAnsi"/>
          <w:sz w:val="26"/>
          <w:szCs w:val="26"/>
        </w:rPr>
        <w:t xml:space="preserve"> set forth in </w:t>
      </w:r>
      <w:r w:rsidRPr="00ED2ABC">
        <w:rPr>
          <w:rFonts w:eastAsiaTheme="minorHAnsi"/>
          <w:i/>
          <w:sz w:val="26"/>
          <w:szCs w:val="26"/>
        </w:rPr>
        <w:t>Process Gas</w:t>
      </w:r>
      <w:r w:rsidRPr="00ED2ABC">
        <w:rPr>
          <w:rFonts w:eastAsiaTheme="minorHAnsi"/>
          <w:sz w:val="26"/>
          <w:szCs w:val="26"/>
        </w:rPr>
        <w:t>, a petitioner must:</w:t>
      </w:r>
    </w:p>
    <w:p w14:paraId="3AD314BD" w14:textId="331716C2" w:rsidR="00040D73" w:rsidRDefault="00040D73" w:rsidP="00A22947">
      <w:pPr>
        <w:ind w:left="1440"/>
        <w:rPr>
          <w:sz w:val="26"/>
        </w:rPr>
      </w:pPr>
    </w:p>
    <w:p w14:paraId="4ECF6256" w14:textId="6A2100B9" w:rsidR="00040D73" w:rsidRDefault="00ED2ABC" w:rsidP="004C0E62">
      <w:pPr>
        <w:pStyle w:val="ListParagraph"/>
        <w:numPr>
          <w:ilvl w:val="0"/>
          <w:numId w:val="3"/>
        </w:numPr>
        <w:spacing w:line="240" w:lineRule="auto"/>
        <w:ind w:left="1440" w:hanging="720"/>
        <w:rPr>
          <w:sz w:val="26"/>
        </w:rPr>
      </w:pPr>
      <w:bookmarkStart w:id="2" w:name="_Hlk2856354"/>
      <w:r>
        <w:rPr>
          <w:sz w:val="26"/>
        </w:rPr>
        <w:t>M</w:t>
      </w:r>
      <w:r w:rsidR="00040D73" w:rsidRPr="00040D73">
        <w:rPr>
          <w:sz w:val="26"/>
        </w:rPr>
        <w:t xml:space="preserve">ake a strong showing </w:t>
      </w:r>
      <w:r w:rsidR="00252C89">
        <w:rPr>
          <w:sz w:val="26"/>
        </w:rPr>
        <w:t xml:space="preserve">of likelihood to </w:t>
      </w:r>
      <w:r>
        <w:rPr>
          <w:sz w:val="26"/>
        </w:rPr>
        <w:t>prevail on the merits;</w:t>
      </w:r>
    </w:p>
    <w:p w14:paraId="0F25A123" w14:textId="77777777" w:rsidR="009B71CA" w:rsidRDefault="009B71CA" w:rsidP="004C0E62">
      <w:pPr>
        <w:pStyle w:val="ListParagraph"/>
        <w:spacing w:line="240" w:lineRule="auto"/>
        <w:ind w:left="1440" w:hanging="720"/>
        <w:rPr>
          <w:sz w:val="26"/>
        </w:rPr>
      </w:pPr>
    </w:p>
    <w:p w14:paraId="04FC689E" w14:textId="31A36CB8" w:rsidR="00040D73" w:rsidRDefault="00ED2ABC" w:rsidP="004C0E62">
      <w:pPr>
        <w:pStyle w:val="ListParagraph"/>
        <w:numPr>
          <w:ilvl w:val="0"/>
          <w:numId w:val="3"/>
        </w:numPr>
        <w:spacing w:line="240" w:lineRule="auto"/>
        <w:ind w:left="1440" w:hanging="720"/>
        <w:rPr>
          <w:sz w:val="26"/>
        </w:rPr>
      </w:pPr>
      <w:r>
        <w:rPr>
          <w:sz w:val="26"/>
        </w:rPr>
        <w:t>Show</w:t>
      </w:r>
      <w:r w:rsidR="00040D73" w:rsidRPr="00040D73">
        <w:rPr>
          <w:sz w:val="26"/>
        </w:rPr>
        <w:t xml:space="preserve"> </w:t>
      </w:r>
      <w:r w:rsidR="00252C89">
        <w:rPr>
          <w:sz w:val="26"/>
        </w:rPr>
        <w:t>that denial of relief will cause</w:t>
      </w:r>
      <w:r w:rsidR="00040D73" w:rsidRPr="00040D73">
        <w:rPr>
          <w:sz w:val="26"/>
        </w:rPr>
        <w:t xml:space="preserve"> irreparable </w:t>
      </w:r>
      <w:r>
        <w:rPr>
          <w:sz w:val="26"/>
        </w:rPr>
        <w:t>injury;</w:t>
      </w:r>
    </w:p>
    <w:p w14:paraId="658EA0BD" w14:textId="77777777" w:rsidR="009B71CA" w:rsidRDefault="009B71CA" w:rsidP="004C0E62">
      <w:pPr>
        <w:pStyle w:val="ListParagraph"/>
        <w:spacing w:line="240" w:lineRule="auto"/>
        <w:ind w:left="1440" w:hanging="720"/>
        <w:rPr>
          <w:sz w:val="26"/>
        </w:rPr>
      </w:pPr>
    </w:p>
    <w:p w14:paraId="62463409" w14:textId="2BB960F5" w:rsidR="00040D73" w:rsidRDefault="00ED2ABC" w:rsidP="004C0E62">
      <w:pPr>
        <w:pStyle w:val="ListParagraph"/>
        <w:numPr>
          <w:ilvl w:val="0"/>
          <w:numId w:val="3"/>
        </w:numPr>
        <w:spacing w:line="240" w:lineRule="auto"/>
        <w:ind w:left="1440" w:hanging="720"/>
        <w:rPr>
          <w:sz w:val="26"/>
        </w:rPr>
      </w:pPr>
      <w:r>
        <w:rPr>
          <w:sz w:val="26"/>
        </w:rPr>
        <w:t>Show that the</w:t>
      </w:r>
      <w:r w:rsidR="00040D73" w:rsidRPr="00040D73">
        <w:rPr>
          <w:sz w:val="26"/>
        </w:rPr>
        <w:t xml:space="preserve"> issuance of a stay will not substantially harm other intere</w:t>
      </w:r>
      <w:r>
        <w:rPr>
          <w:sz w:val="26"/>
        </w:rPr>
        <w:t>sted parties in the proceedings; and</w:t>
      </w:r>
    </w:p>
    <w:p w14:paraId="01C958DF" w14:textId="77777777" w:rsidR="009B71CA" w:rsidRDefault="009B71CA" w:rsidP="004C0E62">
      <w:pPr>
        <w:pStyle w:val="ListParagraph"/>
        <w:spacing w:line="240" w:lineRule="auto"/>
        <w:ind w:left="1440" w:hanging="720"/>
        <w:rPr>
          <w:sz w:val="26"/>
        </w:rPr>
      </w:pPr>
    </w:p>
    <w:p w14:paraId="3A4737C7" w14:textId="77777777" w:rsidR="00040D73" w:rsidRPr="00040D73" w:rsidRDefault="00ED2ABC" w:rsidP="004F46FA">
      <w:pPr>
        <w:pStyle w:val="ListParagraph"/>
        <w:numPr>
          <w:ilvl w:val="0"/>
          <w:numId w:val="3"/>
        </w:numPr>
        <w:ind w:left="1440" w:hanging="720"/>
        <w:rPr>
          <w:sz w:val="26"/>
        </w:rPr>
      </w:pPr>
      <w:r>
        <w:rPr>
          <w:sz w:val="26"/>
        </w:rPr>
        <w:t>Show that the</w:t>
      </w:r>
      <w:r w:rsidR="00040D73" w:rsidRPr="00040D73">
        <w:rPr>
          <w:sz w:val="26"/>
        </w:rPr>
        <w:t xml:space="preserve"> issuance of a stay will not adversely affect the public interest.</w:t>
      </w:r>
    </w:p>
    <w:bookmarkEnd w:id="2"/>
    <w:p w14:paraId="2D85B630" w14:textId="77777777" w:rsidR="00A22947" w:rsidRDefault="00A22947" w:rsidP="004F46FA">
      <w:pPr>
        <w:rPr>
          <w:sz w:val="26"/>
        </w:rPr>
      </w:pPr>
    </w:p>
    <w:p w14:paraId="7DAB278D" w14:textId="77777777" w:rsidR="00ED2ABC" w:rsidRDefault="00ED2ABC" w:rsidP="00A22947">
      <w:pPr>
        <w:ind w:firstLine="0"/>
        <w:rPr>
          <w:sz w:val="26"/>
          <w:szCs w:val="26"/>
        </w:rPr>
      </w:pPr>
      <w:r w:rsidRPr="004B1256">
        <w:rPr>
          <w:sz w:val="26"/>
          <w:szCs w:val="26"/>
        </w:rPr>
        <w:t xml:space="preserve">502 Pa. at 552-553, 467 A.2d at 808-809.  The </w:t>
      </w:r>
      <w:r w:rsidRPr="004B1256">
        <w:rPr>
          <w:i/>
          <w:sz w:val="26"/>
          <w:szCs w:val="26"/>
        </w:rPr>
        <w:t>Process Gas</w:t>
      </w:r>
      <w:r w:rsidRPr="004B1256">
        <w:rPr>
          <w:sz w:val="26"/>
          <w:szCs w:val="26"/>
        </w:rPr>
        <w:t xml:space="preserve"> decision also provides that, when the </w:t>
      </w:r>
      <w:r w:rsidR="006F5B7A">
        <w:rPr>
          <w:sz w:val="26"/>
          <w:szCs w:val="26"/>
        </w:rPr>
        <w:t xml:space="preserve">second through fourth </w:t>
      </w:r>
      <w:r w:rsidRPr="004B1256">
        <w:rPr>
          <w:sz w:val="26"/>
          <w:szCs w:val="26"/>
        </w:rPr>
        <w:t xml:space="preserve">factors strongly support the grant of a stay, a petitioner may succeed </w:t>
      </w:r>
      <w:r w:rsidR="00B050CB">
        <w:rPr>
          <w:sz w:val="26"/>
          <w:szCs w:val="26"/>
        </w:rPr>
        <w:t xml:space="preserve">by establishing </w:t>
      </w:r>
      <w:r w:rsidRPr="004B1256">
        <w:rPr>
          <w:sz w:val="26"/>
          <w:szCs w:val="26"/>
        </w:rPr>
        <w:t xml:space="preserve">a substantial case on the merits.  </w:t>
      </w:r>
      <w:r w:rsidRPr="00596692">
        <w:rPr>
          <w:i/>
          <w:sz w:val="26"/>
          <w:szCs w:val="26"/>
        </w:rPr>
        <w:t>Process Gas</w:t>
      </w:r>
      <w:r>
        <w:rPr>
          <w:sz w:val="26"/>
          <w:szCs w:val="26"/>
        </w:rPr>
        <w:t xml:space="preserve">, </w:t>
      </w:r>
      <w:r w:rsidRPr="004B1256">
        <w:rPr>
          <w:sz w:val="26"/>
          <w:szCs w:val="26"/>
        </w:rPr>
        <w:t>502 Pa. at 553, 467 A.2d at 809.</w:t>
      </w:r>
    </w:p>
    <w:p w14:paraId="2A193D71" w14:textId="77777777" w:rsidR="00411D98" w:rsidRDefault="00411D98" w:rsidP="00A22947">
      <w:pPr>
        <w:ind w:firstLine="0"/>
        <w:rPr>
          <w:b/>
          <w:sz w:val="26"/>
        </w:rPr>
      </w:pPr>
    </w:p>
    <w:p w14:paraId="2556DD36" w14:textId="77777777" w:rsidR="006F5B7A" w:rsidRDefault="00411D98" w:rsidP="00E06D5F">
      <w:pPr>
        <w:pStyle w:val="ListParagraph"/>
        <w:keepNext/>
        <w:keepLines/>
        <w:numPr>
          <w:ilvl w:val="0"/>
          <w:numId w:val="10"/>
        </w:numPr>
        <w:tabs>
          <w:tab w:val="left" w:pos="1800"/>
        </w:tabs>
        <w:ind w:left="1080"/>
        <w:rPr>
          <w:b/>
          <w:sz w:val="26"/>
        </w:rPr>
      </w:pPr>
      <w:r>
        <w:rPr>
          <w:b/>
          <w:sz w:val="26"/>
        </w:rPr>
        <w:t>Position of the Parties</w:t>
      </w:r>
    </w:p>
    <w:p w14:paraId="10712D32" w14:textId="77777777" w:rsidR="00411D98" w:rsidRDefault="00411D98" w:rsidP="004C0E62">
      <w:pPr>
        <w:keepNext/>
        <w:keepLines/>
        <w:rPr>
          <w:b/>
          <w:sz w:val="26"/>
        </w:rPr>
      </w:pPr>
    </w:p>
    <w:p w14:paraId="60DFA311" w14:textId="77777777" w:rsidR="007B68A1" w:rsidRPr="00FE7C04" w:rsidRDefault="007B68A1" w:rsidP="00E06D5F">
      <w:pPr>
        <w:pStyle w:val="ListParagraph"/>
        <w:keepNext/>
        <w:keepLines/>
        <w:numPr>
          <w:ilvl w:val="0"/>
          <w:numId w:val="11"/>
        </w:numPr>
        <w:tabs>
          <w:tab w:val="left" w:pos="2520"/>
        </w:tabs>
        <w:ind w:left="1800"/>
        <w:rPr>
          <w:b/>
          <w:sz w:val="26"/>
        </w:rPr>
      </w:pPr>
      <w:r w:rsidRPr="00FE7C04">
        <w:rPr>
          <w:b/>
          <w:sz w:val="26"/>
        </w:rPr>
        <w:t>PGW’s Petition</w:t>
      </w:r>
    </w:p>
    <w:p w14:paraId="7E7F9D16" w14:textId="6ABAE690" w:rsidR="00AC4300" w:rsidRDefault="00AC4300" w:rsidP="004C0E62">
      <w:pPr>
        <w:keepNext/>
        <w:keepLines/>
        <w:rPr>
          <w:sz w:val="26"/>
        </w:rPr>
      </w:pPr>
    </w:p>
    <w:p w14:paraId="1EF19CC1" w14:textId="6C83688F" w:rsidR="00550022" w:rsidRDefault="00AC4300" w:rsidP="00411D98">
      <w:pPr>
        <w:rPr>
          <w:sz w:val="26"/>
        </w:rPr>
      </w:pPr>
      <w:r>
        <w:rPr>
          <w:sz w:val="26"/>
        </w:rPr>
        <w:t xml:space="preserve">PGW </w:t>
      </w:r>
      <w:r w:rsidRPr="00AC4300">
        <w:rPr>
          <w:sz w:val="26"/>
        </w:rPr>
        <w:t>asserts that the Petition satisf</w:t>
      </w:r>
      <w:r w:rsidR="006B2B6F">
        <w:rPr>
          <w:sz w:val="26"/>
        </w:rPr>
        <w:t>ies</w:t>
      </w:r>
      <w:r w:rsidRPr="00AC4300">
        <w:rPr>
          <w:sz w:val="26"/>
        </w:rPr>
        <w:t xml:space="preserve"> the </w:t>
      </w:r>
      <w:r w:rsidRPr="00AC4300">
        <w:rPr>
          <w:i/>
          <w:sz w:val="26"/>
        </w:rPr>
        <w:t>Process Gas</w:t>
      </w:r>
      <w:r w:rsidR="00550022">
        <w:rPr>
          <w:sz w:val="26"/>
        </w:rPr>
        <w:t xml:space="preserve"> enumerated </w:t>
      </w:r>
      <w:r w:rsidRPr="00AC4300">
        <w:rPr>
          <w:sz w:val="26"/>
        </w:rPr>
        <w:t>standards</w:t>
      </w:r>
      <w:r w:rsidR="00550022">
        <w:rPr>
          <w:sz w:val="26"/>
        </w:rPr>
        <w:t xml:space="preserve"> </w:t>
      </w:r>
      <w:r w:rsidR="006275F5">
        <w:rPr>
          <w:sz w:val="26"/>
        </w:rPr>
        <w:t>1</w:t>
      </w:r>
      <w:r w:rsidR="00550022">
        <w:rPr>
          <w:sz w:val="26"/>
        </w:rPr>
        <w:t>-4,</w:t>
      </w:r>
      <w:r w:rsidRPr="00AC4300">
        <w:rPr>
          <w:sz w:val="26"/>
        </w:rPr>
        <w:t xml:space="preserve"> for supporting the grant of a stay of the Commission’s orders</w:t>
      </w:r>
      <w:r w:rsidR="00A74E86">
        <w:rPr>
          <w:sz w:val="26"/>
        </w:rPr>
        <w:t xml:space="preserve">.  </w:t>
      </w:r>
      <w:r w:rsidR="00550022">
        <w:rPr>
          <w:sz w:val="26"/>
        </w:rPr>
        <w:t xml:space="preserve">First, </w:t>
      </w:r>
      <w:r w:rsidRPr="00AC4300">
        <w:rPr>
          <w:sz w:val="26"/>
        </w:rPr>
        <w:t xml:space="preserve">PGW </w:t>
      </w:r>
      <w:r w:rsidR="00FA4A47">
        <w:rPr>
          <w:sz w:val="26"/>
        </w:rPr>
        <w:t xml:space="preserve">submits that it </w:t>
      </w:r>
      <w:r w:rsidRPr="00AC4300">
        <w:rPr>
          <w:sz w:val="26"/>
        </w:rPr>
        <w:t xml:space="preserve">has shown a likelihood of success on the merits in the present case because </w:t>
      </w:r>
      <w:r w:rsidRPr="00AC4300">
        <w:rPr>
          <w:sz w:val="26"/>
        </w:rPr>
        <w:lastRenderedPageBreak/>
        <w:t>it has asserted “significant questions of Commission legal authority” for the Commission’s orders</w:t>
      </w:r>
      <w:r w:rsidR="00550022">
        <w:rPr>
          <w:sz w:val="26"/>
        </w:rPr>
        <w:t>.</w:t>
      </w:r>
      <w:r w:rsidR="008E1419">
        <w:rPr>
          <w:sz w:val="26"/>
        </w:rPr>
        <w:t xml:space="preserve"> </w:t>
      </w:r>
      <w:r w:rsidR="00550022">
        <w:rPr>
          <w:sz w:val="26"/>
        </w:rPr>
        <w:t xml:space="preserve"> Petition at 4-5.</w:t>
      </w:r>
    </w:p>
    <w:p w14:paraId="361767BA" w14:textId="77777777" w:rsidR="00550022" w:rsidRDefault="00550022" w:rsidP="00411D98">
      <w:pPr>
        <w:rPr>
          <w:sz w:val="26"/>
        </w:rPr>
      </w:pPr>
    </w:p>
    <w:p w14:paraId="494C504C" w14:textId="409E14FD" w:rsidR="000625E8" w:rsidRDefault="00550022" w:rsidP="00E06D5F">
      <w:pPr>
        <w:keepNext/>
        <w:keepLines/>
        <w:rPr>
          <w:sz w:val="26"/>
        </w:rPr>
      </w:pPr>
      <w:r>
        <w:rPr>
          <w:sz w:val="26"/>
        </w:rPr>
        <w:t xml:space="preserve">Second, </w:t>
      </w:r>
      <w:r w:rsidR="00AC4300" w:rsidRPr="00AC4300">
        <w:rPr>
          <w:sz w:val="26"/>
        </w:rPr>
        <w:t xml:space="preserve">PGW </w:t>
      </w:r>
      <w:r w:rsidR="007B4F71">
        <w:rPr>
          <w:sz w:val="26"/>
        </w:rPr>
        <w:t xml:space="preserve">submits </w:t>
      </w:r>
      <w:r w:rsidR="004C14D2">
        <w:rPr>
          <w:sz w:val="26"/>
        </w:rPr>
        <w:t xml:space="preserve">that it has </w:t>
      </w:r>
      <w:r w:rsidR="00AC4300" w:rsidRPr="00AC4300">
        <w:rPr>
          <w:sz w:val="26"/>
        </w:rPr>
        <w:t>shown it will suffer irreparable harm without a s</w:t>
      </w:r>
      <w:r>
        <w:rPr>
          <w:sz w:val="26"/>
        </w:rPr>
        <w:t>tay because</w:t>
      </w:r>
      <w:r w:rsidR="006B2B6F">
        <w:rPr>
          <w:sz w:val="26"/>
        </w:rPr>
        <w:t>:</w:t>
      </w:r>
    </w:p>
    <w:p w14:paraId="20CAF53A" w14:textId="77777777" w:rsidR="00E06D5F" w:rsidRDefault="00E06D5F" w:rsidP="00E06D5F">
      <w:pPr>
        <w:keepNext/>
        <w:keepLines/>
        <w:rPr>
          <w:sz w:val="26"/>
        </w:rPr>
      </w:pPr>
    </w:p>
    <w:p w14:paraId="207380C3" w14:textId="15F2CF8C" w:rsidR="000625E8" w:rsidRPr="000E6F3B" w:rsidRDefault="007400FD" w:rsidP="004835F5">
      <w:pPr>
        <w:pStyle w:val="ListParagraph"/>
        <w:numPr>
          <w:ilvl w:val="0"/>
          <w:numId w:val="15"/>
        </w:numPr>
        <w:rPr>
          <w:sz w:val="26"/>
        </w:rPr>
      </w:pPr>
      <w:r>
        <w:rPr>
          <w:sz w:val="26"/>
        </w:rPr>
        <w:t>T</w:t>
      </w:r>
      <w:r w:rsidR="00AC4300" w:rsidRPr="000E6F3B">
        <w:rPr>
          <w:sz w:val="26"/>
        </w:rPr>
        <w:t xml:space="preserve">he </w:t>
      </w:r>
      <w:r w:rsidR="00AC4300" w:rsidRPr="000E6F3B">
        <w:rPr>
          <w:i/>
          <w:sz w:val="26"/>
        </w:rPr>
        <w:t>Commission</w:t>
      </w:r>
      <w:r w:rsidR="000E6F3B" w:rsidRPr="000E6F3B">
        <w:rPr>
          <w:i/>
          <w:sz w:val="26"/>
        </w:rPr>
        <w:t xml:space="preserve"> Orders</w:t>
      </w:r>
      <w:r w:rsidR="00AC4300" w:rsidRPr="000E6F3B">
        <w:rPr>
          <w:sz w:val="26"/>
        </w:rPr>
        <w:t xml:space="preserve"> will </w:t>
      </w:r>
      <w:r w:rsidR="00F66F2E" w:rsidRPr="000E6F3B">
        <w:rPr>
          <w:sz w:val="26"/>
        </w:rPr>
        <w:t xml:space="preserve">adversely impact PGW’s financial stability by precluding PGW from filing </w:t>
      </w:r>
      <w:r w:rsidR="00AC4300" w:rsidRPr="000E6F3B">
        <w:rPr>
          <w:sz w:val="26"/>
        </w:rPr>
        <w:t>municipal liens to co</w:t>
      </w:r>
      <w:r w:rsidR="00550022" w:rsidRPr="000E6F3B">
        <w:rPr>
          <w:sz w:val="26"/>
        </w:rPr>
        <w:t>llect unpaid gas utility bill</w:t>
      </w:r>
      <w:r>
        <w:rPr>
          <w:sz w:val="26"/>
        </w:rPr>
        <w:t>.</w:t>
      </w:r>
      <w:r w:rsidR="00550022" w:rsidRPr="000E6F3B">
        <w:rPr>
          <w:sz w:val="26"/>
        </w:rPr>
        <w:t xml:space="preserve"> </w:t>
      </w:r>
      <w:r>
        <w:rPr>
          <w:sz w:val="26"/>
        </w:rPr>
        <w:t xml:space="preserve"> </w:t>
      </w:r>
      <w:r>
        <w:rPr>
          <w:i/>
          <w:sz w:val="26"/>
        </w:rPr>
        <w:t xml:space="preserve">Id. </w:t>
      </w:r>
      <w:r>
        <w:rPr>
          <w:sz w:val="26"/>
        </w:rPr>
        <w:t>at 5.</w:t>
      </w:r>
    </w:p>
    <w:p w14:paraId="5D9BD8DA" w14:textId="77777777" w:rsidR="00FA4A47" w:rsidRDefault="00FA4A47" w:rsidP="004835F5">
      <w:pPr>
        <w:ind w:left="720" w:hanging="720"/>
        <w:rPr>
          <w:sz w:val="26"/>
        </w:rPr>
      </w:pPr>
    </w:p>
    <w:p w14:paraId="740C5FC4" w14:textId="4D6AD178" w:rsidR="000625E8" w:rsidRPr="000E6F3B" w:rsidRDefault="00AC4300" w:rsidP="004835F5">
      <w:pPr>
        <w:pStyle w:val="ListParagraph"/>
        <w:numPr>
          <w:ilvl w:val="0"/>
          <w:numId w:val="15"/>
        </w:numPr>
        <w:rPr>
          <w:sz w:val="26"/>
        </w:rPr>
      </w:pPr>
      <w:r w:rsidRPr="000E6F3B">
        <w:rPr>
          <w:sz w:val="26"/>
        </w:rPr>
        <w:t xml:space="preserve">PGW’s compliance with the </w:t>
      </w:r>
      <w:r w:rsidRPr="00AD1EB0">
        <w:rPr>
          <w:i/>
          <w:sz w:val="26"/>
        </w:rPr>
        <w:t>Commission Orders</w:t>
      </w:r>
      <w:r w:rsidRPr="000E6F3B">
        <w:rPr>
          <w:sz w:val="26"/>
        </w:rPr>
        <w:t xml:space="preserve">, if unlawful, is </w:t>
      </w:r>
      <w:r w:rsidRPr="00236535">
        <w:rPr>
          <w:i/>
          <w:sz w:val="26"/>
        </w:rPr>
        <w:t>per se</w:t>
      </w:r>
      <w:r w:rsidRPr="000E6F3B">
        <w:rPr>
          <w:sz w:val="26"/>
        </w:rPr>
        <w:t xml:space="preserve"> irreparable </w:t>
      </w:r>
      <w:r w:rsidR="00550022" w:rsidRPr="000E6F3B">
        <w:rPr>
          <w:sz w:val="26"/>
        </w:rPr>
        <w:t>harm</w:t>
      </w:r>
      <w:r w:rsidR="007400FD">
        <w:rPr>
          <w:sz w:val="26"/>
        </w:rPr>
        <w:t>.</w:t>
      </w:r>
      <w:r w:rsidRPr="000E6F3B">
        <w:rPr>
          <w:sz w:val="26"/>
        </w:rPr>
        <w:t xml:space="preserve"> </w:t>
      </w:r>
      <w:r w:rsidR="007400FD">
        <w:rPr>
          <w:sz w:val="26"/>
        </w:rPr>
        <w:t xml:space="preserve"> </w:t>
      </w:r>
      <w:r w:rsidR="007400FD">
        <w:rPr>
          <w:i/>
          <w:sz w:val="26"/>
        </w:rPr>
        <w:t>Id.</w:t>
      </w:r>
    </w:p>
    <w:p w14:paraId="76320583" w14:textId="77777777" w:rsidR="00FA4A47" w:rsidRDefault="00FA4A47" w:rsidP="004835F5">
      <w:pPr>
        <w:ind w:left="720" w:hanging="720"/>
        <w:rPr>
          <w:sz w:val="26"/>
        </w:rPr>
      </w:pPr>
    </w:p>
    <w:p w14:paraId="621E9C6D" w14:textId="24979C8B" w:rsidR="000625E8" w:rsidRPr="000E6F3B" w:rsidRDefault="007400FD" w:rsidP="004835F5">
      <w:pPr>
        <w:pStyle w:val="ListParagraph"/>
        <w:numPr>
          <w:ilvl w:val="0"/>
          <w:numId w:val="15"/>
        </w:numPr>
        <w:rPr>
          <w:sz w:val="26"/>
        </w:rPr>
      </w:pPr>
      <w:r>
        <w:rPr>
          <w:sz w:val="26"/>
        </w:rPr>
        <w:t>T</w:t>
      </w:r>
      <w:r w:rsidR="00AC4300" w:rsidRPr="000E6F3B">
        <w:rPr>
          <w:sz w:val="26"/>
        </w:rPr>
        <w:t xml:space="preserve">he unrealistic timeframes for compliance set by the </w:t>
      </w:r>
      <w:r w:rsidR="00AC4300" w:rsidRPr="00AD1EB0">
        <w:rPr>
          <w:i/>
          <w:sz w:val="26"/>
        </w:rPr>
        <w:t xml:space="preserve">Commission’s </w:t>
      </w:r>
      <w:r w:rsidR="00AD1EB0">
        <w:rPr>
          <w:i/>
          <w:sz w:val="26"/>
        </w:rPr>
        <w:t>O</w:t>
      </w:r>
      <w:r w:rsidR="00AC4300" w:rsidRPr="00AD1EB0">
        <w:rPr>
          <w:i/>
          <w:sz w:val="26"/>
        </w:rPr>
        <w:t>rders</w:t>
      </w:r>
      <w:r w:rsidR="00AC4300" w:rsidRPr="000E6F3B">
        <w:rPr>
          <w:sz w:val="26"/>
        </w:rPr>
        <w:t xml:space="preserve"> will result in PGW being f</w:t>
      </w:r>
      <w:r w:rsidR="00550022" w:rsidRPr="000E6F3B">
        <w:rPr>
          <w:sz w:val="26"/>
        </w:rPr>
        <w:t>ound in immediate noncompliance</w:t>
      </w:r>
      <w:r>
        <w:rPr>
          <w:sz w:val="26"/>
        </w:rPr>
        <w:t>.</w:t>
      </w:r>
      <w:r w:rsidR="004058C3">
        <w:rPr>
          <w:sz w:val="26"/>
        </w:rPr>
        <w:t xml:space="preserve">  </w:t>
      </w:r>
      <w:r w:rsidR="004058C3">
        <w:rPr>
          <w:i/>
          <w:sz w:val="26"/>
        </w:rPr>
        <w:t>Id.</w:t>
      </w:r>
    </w:p>
    <w:p w14:paraId="4092AD92" w14:textId="77777777" w:rsidR="00FA4A47" w:rsidRDefault="00FA4A47" w:rsidP="004835F5">
      <w:pPr>
        <w:ind w:left="720" w:hanging="720"/>
        <w:rPr>
          <w:sz w:val="26"/>
        </w:rPr>
      </w:pPr>
    </w:p>
    <w:p w14:paraId="53DA2759" w14:textId="59E6884D" w:rsidR="000625E8" w:rsidRDefault="00AC4300" w:rsidP="004835F5">
      <w:pPr>
        <w:pStyle w:val="ListParagraph"/>
        <w:numPr>
          <w:ilvl w:val="0"/>
          <w:numId w:val="15"/>
        </w:numPr>
        <w:rPr>
          <w:sz w:val="26"/>
        </w:rPr>
      </w:pPr>
      <w:r w:rsidRPr="000E6F3B">
        <w:rPr>
          <w:sz w:val="26"/>
        </w:rPr>
        <w:t>PGW will be required to expend substantial money, time and energy to change its billing systems and practices</w:t>
      </w:r>
      <w:r w:rsidR="00550022" w:rsidRPr="000E6F3B">
        <w:rPr>
          <w:sz w:val="26"/>
        </w:rPr>
        <w:t>.</w:t>
      </w:r>
      <w:r w:rsidR="004058C3">
        <w:rPr>
          <w:sz w:val="26"/>
        </w:rPr>
        <w:t xml:space="preserve">  </w:t>
      </w:r>
      <w:r w:rsidR="004058C3">
        <w:rPr>
          <w:i/>
          <w:sz w:val="26"/>
        </w:rPr>
        <w:t>Id.</w:t>
      </w:r>
      <w:r w:rsidR="004058C3">
        <w:rPr>
          <w:sz w:val="26"/>
        </w:rPr>
        <w:t xml:space="preserve"> at 6.</w:t>
      </w:r>
    </w:p>
    <w:p w14:paraId="19DEB357" w14:textId="77777777" w:rsidR="00550022" w:rsidRDefault="00550022" w:rsidP="004C14D2">
      <w:pPr>
        <w:ind w:left="720" w:hanging="720"/>
        <w:rPr>
          <w:sz w:val="26"/>
        </w:rPr>
      </w:pPr>
    </w:p>
    <w:p w14:paraId="0F92E1C2" w14:textId="5921A5F2" w:rsidR="00550022" w:rsidRDefault="00550022" w:rsidP="00411D98">
      <w:pPr>
        <w:rPr>
          <w:sz w:val="26"/>
        </w:rPr>
      </w:pPr>
      <w:r>
        <w:rPr>
          <w:sz w:val="26"/>
        </w:rPr>
        <w:t xml:space="preserve">Third, </w:t>
      </w:r>
      <w:r w:rsidR="00AC4300" w:rsidRPr="00AC4300">
        <w:rPr>
          <w:sz w:val="26"/>
        </w:rPr>
        <w:t xml:space="preserve">PGW </w:t>
      </w:r>
      <w:r w:rsidR="007B4F71">
        <w:rPr>
          <w:sz w:val="26"/>
        </w:rPr>
        <w:t xml:space="preserve">submits that it </w:t>
      </w:r>
      <w:r w:rsidR="00AC4300" w:rsidRPr="00AC4300">
        <w:rPr>
          <w:sz w:val="26"/>
        </w:rPr>
        <w:t>has shown that other interested parties will not be harmed by grant</w:t>
      </w:r>
      <w:r w:rsidR="006B2B6F">
        <w:rPr>
          <w:sz w:val="26"/>
        </w:rPr>
        <w:t>ing a</w:t>
      </w:r>
      <w:r w:rsidR="00AC4300" w:rsidRPr="00AC4300">
        <w:rPr>
          <w:sz w:val="26"/>
        </w:rPr>
        <w:t xml:space="preserve"> stay because SBG is the only other interested party</w:t>
      </w:r>
      <w:r w:rsidR="006D4D26">
        <w:rPr>
          <w:sz w:val="26"/>
        </w:rPr>
        <w:t>,</w:t>
      </w:r>
      <w:r w:rsidR="00AC4300" w:rsidRPr="00AC4300">
        <w:rPr>
          <w:sz w:val="26"/>
        </w:rPr>
        <w:t xml:space="preserve"> and </w:t>
      </w:r>
      <w:r w:rsidR="004058C3">
        <w:rPr>
          <w:sz w:val="26"/>
        </w:rPr>
        <w:t xml:space="preserve">since </w:t>
      </w:r>
      <w:r w:rsidR="00AC4300" w:rsidRPr="00AC4300">
        <w:rPr>
          <w:sz w:val="26"/>
        </w:rPr>
        <w:t xml:space="preserve">SBG’s only interest is a monetary </w:t>
      </w:r>
      <w:r>
        <w:rPr>
          <w:sz w:val="26"/>
        </w:rPr>
        <w:t>refund</w:t>
      </w:r>
      <w:r w:rsidR="006D4D26">
        <w:rPr>
          <w:sz w:val="26"/>
        </w:rPr>
        <w:t>, no harm will be caused for SBG</w:t>
      </w:r>
      <w:r w:rsidR="007400FD">
        <w:rPr>
          <w:sz w:val="26"/>
        </w:rPr>
        <w:t xml:space="preserve"> </w:t>
      </w:r>
      <w:r w:rsidR="004058C3">
        <w:rPr>
          <w:sz w:val="26"/>
        </w:rPr>
        <w:t xml:space="preserve">because </w:t>
      </w:r>
      <w:r w:rsidR="007400FD">
        <w:rPr>
          <w:sz w:val="26"/>
        </w:rPr>
        <w:t>the refund</w:t>
      </w:r>
      <w:r>
        <w:rPr>
          <w:sz w:val="26"/>
        </w:rPr>
        <w:t xml:space="preserve"> may be granted at </w:t>
      </w:r>
      <w:r w:rsidR="007400FD">
        <w:rPr>
          <w:sz w:val="26"/>
        </w:rPr>
        <w:t xml:space="preserve">a </w:t>
      </w:r>
      <w:r w:rsidR="00AC4300" w:rsidRPr="00AC4300">
        <w:rPr>
          <w:sz w:val="26"/>
        </w:rPr>
        <w:t>later date</w:t>
      </w:r>
      <w:r w:rsidR="007400FD">
        <w:rPr>
          <w:sz w:val="26"/>
        </w:rPr>
        <w:t>.</w:t>
      </w:r>
      <w:r w:rsidRPr="00550022">
        <w:rPr>
          <w:sz w:val="26"/>
        </w:rPr>
        <w:t xml:space="preserve"> </w:t>
      </w:r>
      <w:r w:rsidR="00A63330">
        <w:rPr>
          <w:sz w:val="26"/>
        </w:rPr>
        <w:t xml:space="preserve"> </w:t>
      </w:r>
      <w:r>
        <w:rPr>
          <w:sz w:val="26"/>
        </w:rPr>
        <w:t>Petition at 6.</w:t>
      </w:r>
    </w:p>
    <w:p w14:paraId="10EB7817" w14:textId="77777777" w:rsidR="00550022" w:rsidRDefault="00550022" w:rsidP="00411D98">
      <w:pPr>
        <w:rPr>
          <w:sz w:val="26"/>
        </w:rPr>
      </w:pPr>
    </w:p>
    <w:p w14:paraId="346ACF11" w14:textId="5E1EF275" w:rsidR="007B68A1" w:rsidRDefault="00550022" w:rsidP="00411D98">
      <w:pPr>
        <w:rPr>
          <w:sz w:val="26"/>
        </w:rPr>
      </w:pPr>
      <w:r>
        <w:rPr>
          <w:sz w:val="26"/>
        </w:rPr>
        <w:t>Fourth,</w:t>
      </w:r>
      <w:r w:rsidR="005B7A5D">
        <w:rPr>
          <w:sz w:val="26"/>
        </w:rPr>
        <w:t xml:space="preserve"> PGW </w:t>
      </w:r>
      <w:r w:rsidR="007B4F71">
        <w:rPr>
          <w:sz w:val="26"/>
        </w:rPr>
        <w:t xml:space="preserve">submits that it </w:t>
      </w:r>
      <w:r w:rsidR="005B7A5D">
        <w:rPr>
          <w:sz w:val="26"/>
        </w:rPr>
        <w:t>has shown that grant</w:t>
      </w:r>
      <w:r w:rsidR="006B2B6F">
        <w:rPr>
          <w:sz w:val="26"/>
        </w:rPr>
        <w:t xml:space="preserve">ing </w:t>
      </w:r>
      <w:r w:rsidR="00004F37">
        <w:rPr>
          <w:sz w:val="26"/>
        </w:rPr>
        <w:t xml:space="preserve">the requested </w:t>
      </w:r>
      <w:r w:rsidR="005B7A5D">
        <w:rPr>
          <w:sz w:val="26"/>
        </w:rPr>
        <w:t xml:space="preserve">stay will not </w:t>
      </w:r>
      <w:r w:rsidR="00004F37">
        <w:rPr>
          <w:sz w:val="26"/>
        </w:rPr>
        <w:t xml:space="preserve">jeopardize public safety or </w:t>
      </w:r>
      <w:r w:rsidR="005B7A5D">
        <w:rPr>
          <w:sz w:val="26"/>
        </w:rPr>
        <w:t xml:space="preserve">harm the public interest because a stay will only delay </w:t>
      </w:r>
      <w:r w:rsidR="00FA4D59">
        <w:rPr>
          <w:sz w:val="26"/>
        </w:rPr>
        <w:t xml:space="preserve">its compliance </w:t>
      </w:r>
      <w:r w:rsidR="005B7A5D">
        <w:rPr>
          <w:sz w:val="26"/>
        </w:rPr>
        <w:t xml:space="preserve">with the </w:t>
      </w:r>
      <w:r w:rsidR="005B7A5D" w:rsidRPr="00FA4D59">
        <w:rPr>
          <w:i/>
          <w:sz w:val="26"/>
        </w:rPr>
        <w:t xml:space="preserve">Commission </w:t>
      </w:r>
      <w:r w:rsidR="00FA4D59">
        <w:rPr>
          <w:i/>
          <w:sz w:val="26"/>
        </w:rPr>
        <w:t>O</w:t>
      </w:r>
      <w:r w:rsidR="005B7A5D" w:rsidRPr="00FA4D59">
        <w:rPr>
          <w:i/>
          <w:sz w:val="26"/>
        </w:rPr>
        <w:t>rders</w:t>
      </w:r>
      <w:r w:rsidR="005B7A5D">
        <w:rPr>
          <w:sz w:val="26"/>
        </w:rPr>
        <w:t xml:space="preserve"> </w:t>
      </w:r>
      <w:r w:rsidR="00FA4D59">
        <w:rPr>
          <w:sz w:val="26"/>
        </w:rPr>
        <w:t xml:space="preserve">that require it </w:t>
      </w:r>
      <w:r w:rsidR="005B7A5D">
        <w:rPr>
          <w:sz w:val="26"/>
        </w:rPr>
        <w:t xml:space="preserve">to conform its billing practices with </w:t>
      </w:r>
      <w:r w:rsidR="00DA289A">
        <w:rPr>
          <w:sz w:val="26"/>
        </w:rPr>
        <w:t>Commission regulations</w:t>
      </w:r>
      <w:r w:rsidR="005B7A5D">
        <w:rPr>
          <w:sz w:val="26"/>
        </w:rPr>
        <w:t>, refund SBG</w:t>
      </w:r>
      <w:r w:rsidR="00004F37">
        <w:rPr>
          <w:sz w:val="26"/>
        </w:rPr>
        <w:t xml:space="preserve">, </w:t>
      </w:r>
      <w:r w:rsidR="005B7A5D">
        <w:rPr>
          <w:sz w:val="26"/>
        </w:rPr>
        <w:t xml:space="preserve">and pay penalties to the Commission </w:t>
      </w:r>
      <w:r w:rsidR="00004F37">
        <w:rPr>
          <w:sz w:val="26"/>
        </w:rPr>
        <w:t xml:space="preserve">at </w:t>
      </w:r>
      <w:r w:rsidR="005B7A5D">
        <w:rPr>
          <w:sz w:val="26"/>
        </w:rPr>
        <w:t xml:space="preserve">a </w:t>
      </w:r>
      <w:r w:rsidR="005B7A5D">
        <w:rPr>
          <w:sz w:val="26"/>
        </w:rPr>
        <w:lastRenderedPageBreak/>
        <w:t>later point in time, which does not jeopardize public safety or harm public interest.</w:t>
      </w:r>
      <w:r w:rsidR="008E1419">
        <w:rPr>
          <w:sz w:val="26"/>
        </w:rPr>
        <w:t xml:space="preserve"> </w:t>
      </w:r>
      <w:r w:rsidR="005B7A5D">
        <w:rPr>
          <w:sz w:val="26"/>
        </w:rPr>
        <w:t xml:space="preserve"> </w:t>
      </w:r>
      <w:r w:rsidR="00AC4300">
        <w:rPr>
          <w:sz w:val="26"/>
        </w:rPr>
        <w:t>Petition at</w:t>
      </w:r>
      <w:r w:rsidR="00151165">
        <w:rPr>
          <w:sz w:val="26"/>
        </w:rPr>
        <w:t> </w:t>
      </w:r>
      <w:r>
        <w:rPr>
          <w:sz w:val="26"/>
        </w:rPr>
        <w:t>6-</w:t>
      </w:r>
      <w:r w:rsidR="005B7A5D">
        <w:rPr>
          <w:sz w:val="26"/>
        </w:rPr>
        <w:t>7.</w:t>
      </w:r>
    </w:p>
    <w:p w14:paraId="0096884F" w14:textId="77777777" w:rsidR="005B7A5D" w:rsidRPr="007B68A1" w:rsidRDefault="005B7A5D" w:rsidP="00411D98">
      <w:pPr>
        <w:rPr>
          <w:b/>
          <w:sz w:val="26"/>
        </w:rPr>
      </w:pPr>
    </w:p>
    <w:p w14:paraId="29F7FCF7" w14:textId="36C5F5DC" w:rsidR="007B68A1" w:rsidRPr="005B7A5D" w:rsidRDefault="007B68A1" w:rsidP="00E06D5F">
      <w:pPr>
        <w:pStyle w:val="ListParagraph"/>
        <w:keepNext/>
        <w:keepLines/>
        <w:numPr>
          <w:ilvl w:val="0"/>
          <w:numId w:val="11"/>
        </w:numPr>
        <w:tabs>
          <w:tab w:val="left" w:pos="2520"/>
        </w:tabs>
        <w:ind w:left="1800"/>
        <w:rPr>
          <w:sz w:val="26"/>
        </w:rPr>
      </w:pPr>
      <w:r w:rsidRPr="007B68A1">
        <w:rPr>
          <w:b/>
          <w:sz w:val="26"/>
        </w:rPr>
        <w:t>SBG’s Answer</w:t>
      </w:r>
    </w:p>
    <w:p w14:paraId="29B06766" w14:textId="77777777" w:rsidR="005B7A5D" w:rsidRPr="005B7A5D" w:rsidRDefault="005B7A5D" w:rsidP="00151165">
      <w:pPr>
        <w:pStyle w:val="ListParagraph"/>
        <w:keepNext/>
        <w:keepLines/>
        <w:ind w:left="2160" w:firstLine="0"/>
        <w:rPr>
          <w:sz w:val="26"/>
        </w:rPr>
      </w:pPr>
    </w:p>
    <w:p w14:paraId="1402C3D4" w14:textId="1351DECB" w:rsidR="00E04CE1" w:rsidRPr="00463CDC" w:rsidRDefault="005B7A5D" w:rsidP="00463CDC">
      <w:pPr>
        <w:rPr>
          <w:sz w:val="26"/>
        </w:rPr>
      </w:pPr>
      <w:r>
        <w:rPr>
          <w:sz w:val="26"/>
        </w:rPr>
        <w:t xml:space="preserve">In </w:t>
      </w:r>
      <w:r w:rsidR="00A63330">
        <w:rPr>
          <w:sz w:val="26"/>
        </w:rPr>
        <w:t xml:space="preserve">its </w:t>
      </w:r>
      <w:r>
        <w:rPr>
          <w:sz w:val="26"/>
        </w:rPr>
        <w:t xml:space="preserve">Answer in opposition to PGW’s Petition for Stay, SBG </w:t>
      </w:r>
      <w:r w:rsidR="00C16004">
        <w:rPr>
          <w:sz w:val="26"/>
        </w:rPr>
        <w:t>counter</w:t>
      </w:r>
      <w:r w:rsidR="00A84903">
        <w:rPr>
          <w:sz w:val="26"/>
        </w:rPr>
        <w:t>ed</w:t>
      </w:r>
      <w:r w:rsidR="00C16004">
        <w:rPr>
          <w:sz w:val="26"/>
        </w:rPr>
        <w:t xml:space="preserve"> that</w:t>
      </w:r>
      <w:r w:rsidR="00550022">
        <w:rPr>
          <w:sz w:val="26"/>
        </w:rPr>
        <w:t xml:space="preserve"> PGW failed </w:t>
      </w:r>
      <w:r w:rsidR="00C16004">
        <w:rPr>
          <w:sz w:val="26"/>
        </w:rPr>
        <w:t xml:space="preserve">to meet the </w:t>
      </w:r>
      <w:r w:rsidR="00A84903">
        <w:rPr>
          <w:sz w:val="26"/>
        </w:rPr>
        <w:t xml:space="preserve">enumerated </w:t>
      </w:r>
      <w:r w:rsidR="00C16004">
        <w:rPr>
          <w:sz w:val="26"/>
        </w:rPr>
        <w:t>standard</w:t>
      </w:r>
      <w:r w:rsidR="00A84903">
        <w:rPr>
          <w:sz w:val="26"/>
        </w:rPr>
        <w:t xml:space="preserve">s 1-4 </w:t>
      </w:r>
      <w:r w:rsidR="00C16004">
        <w:rPr>
          <w:sz w:val="26"/>
        </w:rPr>
        <w:t>for granting a stay un</w:t>
      </w:r>
      <w:r w:rsidR="00A84903">
        <w:rPr>
          <w:sz w:val="26"/>
        </w:rPr>
        <w:t>der Process Gas, and refuted</w:t>
      </w:r>
      <w:r w:rsidR="00C16004">
        <w:rPr>
          <w:sz w:val="26"/>
        </w:rPr>
        <w:t xml:space="preserve"> PGW’s assertions </w:t>
      </w:r>
      <w:r w:rsidR="00C16004" w:rsidRPr="00C16004">
        <w:rPr>
          <w:i/>
          <w:sz w:val="26"/>
        </w:rPr>
        <w:t>seriatim</w:t>
      </w:r>
      <w:r w:rsidR="007B4F71">
        <w:rPr>
          <w:i/>
          <w:sz w:val="26"/>
        </w:rPr>
        <w:t xml:space="preserve">. </w:t>
      </w:r>
      <w:r w:rsidR="007B4F71">
        <w:rPr>
          <w:sz w:val="26"/>
        </w:rPr>
        <w:t xml:space="preserve"> </w:t>
      </w:r>
      <w:r w:rsidR="00A84903">
        <w:rPr>
          <w:sz w:val="26"/>
        </w:rPr>
        <w:t xml:space="preserve">First, SBG asserted that </w:t>
      </w:r>
      <w:r w:rsidR="00550022">
        <w:rPr>
          <w:sz w:val="26"/>
        </w:rPr>
        <w:t>PGW failed</w:t>
      </w:r>
      <w:r w:rsidR="00C16004" w:rsidRPr="00463CDC">
        <w:rPr>
          <w:sz w:val="26"/>
        </w:rPr>
        <w:t xml:space="preserve"> </w:t>
      </w:r>
      <w:r w:rsidR="00E04CE1" w:rsidRPr="00463CDC">
        <w:rPr>
          <w:sz w:val="26"/>
        </w:rPr>
        <w:t xml:space="preserve">under the first prong of </w:t>
      </w:r>
      <w:r w:rsidR="00E04CE1" w:rsidRPr="00463CDC">
        <w:rPr>
          <w:i/>
          <w:sz w:val="26"/>
        </w:rPr>
        <w:t>Process Gas</w:t>
      </w:r>
      <w:r w:rsidR="00E04CE1" w:rsidRPr="00463CDC">
        <w:rPr>
          <w:sz w:val="26"/>
        </w:rPr>
        <w:t xml:space="preserve"> </w:t>
      </w:r>
      <w:r w:rsidR="00C16004" w:rsidRPr="00463CDC">
        <w:rPr>
          <w:sz w:val="26"/>
        </w:rPr>
        <w:t xml:space="preserve">to show a likelihood of success on the merits since there is no “case of first impression” as to the </w:t>
      </w:r>
      <w:r w:rsidR="007E188B" w:rsidRPr="00463CDC">
        <w:rPr>
          <w:sz w:val="26"/>
        </w:rPr>
        <w:t xml:space="preserve">Commission’s legal authority to impose the </w:t>
      </w:r>
      <w:r w:rsidR="00C16004" w:rsidRPr="00463CDC">
        <w:rPr>
          <w:sz w:val="26"/>
        </w:rPr>
        <w:t>re</w:t>
      </w:r>
      <w:r w:rsidR="007E188B" w:rsidRPr="00463CDC">
        <w:rPr>
          <w:sz w:val="26"/>
        </w:rPr>
        <w:t xml:space="preserve">quirements of utility </w:t>
      </w:r>
      <w:r w:rsidR="00C16004" w:rsidRPr="00463CDC">
        <w:rPr>
          <w:sz w:val="26"/>
        </w:rPr>
        <w:t xml:space="preserve">billing practices </w:t>
      </w:r>
      <w:r w:rsidR="007E188B" w:rsidRPr="00463CDC">
        <w:rPr>
          <w:sz w:val="26"/>
        </w:rPr>
        <w:t xml:space="preserve">established by Commission regulations at </w:t>
      </w:r>
      <w:r w:rsidR="00C16004" w:rsidRPr="00463CDC">
        <w:rPr>
          <w:sz w:val="26"/>
        </w:rPr>
        <w:t>Sections 56.22(a), 56.23 and</w:t>
      </w:r>
      <w:r w:rsidR="007E188B" w:rsidRPr="00463CDC">
        <w:rPr>
          <w:sz w:val="26"/>
        </w:rPr>
        <w:t xml:space="preserve"> 56.24 (pertaining </w:t>
      </w:r>
      <w:r w:rsidR="00FD46D5">
        <w:rPr>
          <w:sz w:val="26"/>
        </w:rPr>
        <w:t xml:space="preserve">to </w:t>
      </w:r>
      <w:r w:rsidR="007E188B" w:rsidRPr="00463CDC">
        <w:rPr>
          <w:sz w:val="26"/>
        </w:rPr>
        <w:t>utility billing, application of partial payments to utility bills and imposition of late fees)</w:t>
      </w:r>
      <w:r w:rsidR="00A63330">
        <w:rPr>
          <w:sz w:val="26"/>
        </w:rPr>
        <w:t xml:space="preserve">.  </w:t>
      </w:r>
      <w:r w:rsidR="00B33380">
        <w:rPr>
          <w:sz w:val="26"/>
        </w:rPr>
        <w:t>SBG noted that t</w:t>
      </w:r>
      <w:r w:rsidR="00A63330">
        <w:rPr>
          <w:sz w:val="26"/>
        </w:rPr>
        <w:t xml:space="preserve">hose </w:t>
      </w:r>
      <w:r w:rsidR="00DC2171">
        <w:rPr>
          <w:sz w:val="26"/>
        </w:rPr>
        <w:t xml:space="preserve">billing regulations </w:t>
      </w:r>
      <w:r w:rsidR="007E188B" w:rsidRPr="00463CDC">
        <w:rPr>
          <w:sz w:val="26"/>
        </w:rPr>
        <w:t xml:space="preserve">have been in effect since 1978, and the percentage rate of post-judgement interest charged is controlled under the regulation as limited by case law, under </w:t>
      </w:r>
      <w:r w:rsidR="007E188B" w:rsidRPr="00463CDC">
        <w:rPr>
          <w:i/>
          <w:sz w:val="26"/>
        </w:rPr>
        <w:t>Equitable Gas Co. v. Wade,</w:t>
      </w:r>
      <w:r w:rsidR="007E188B" w:rsidRPr="00463CDC">
        <w:rPr>
          <w:sz w:val="26"/>
        </w:rPr>
        <w:t xml:space="preserve"> 812 A. 2d 715 (Pa. Super. 2002)</w:t>
      </w:r>
      <w:r w:rsidR="00E04CE1" w:rsidRPr="00463CDC">
        <w:rPr>
          <w:sz w:val="26"/>
        </w:rPr>
        <w:t xml:space="preserve">. </w:t>
      </w:r>
      <w:r w:rsidR="00A63330">
        <w:rPr>
          <w:sz w:val="26"/>
        </w:rPr>
        <w:t xml:space="preserve"> </w:t>
      </w:r>
      <w:r w:rsidR="00463CDC" w:rsidRPr="00463CDC">
        <w:rPr>
          <w:sz w:val="26"/>
        </w:rPr>
        <w:t>Answer at 10-13.</w:t>
      </w:r>
    </w:p>
    <w:p w14:paraId="491F5E54" w14:textId="77777777" w:rsidR="00E04CE1" w:rsidRDefault="00E04CE1" w:rsidP="00E04CE1">
      <w:pPr>
        <w:rPr>
          <w:sz w:val="26"/>
        </w:rPr>
      </w:pPr>
    </w:p>
    <w:p w14:paraId="4386513C" w14:textId="3D119A42" w:rsidR="004C249A" w:rsidRDefault="00550022" w:rsidP="00E04CE1">
      <w:pPr>
        <w:rPr>
          <w:sz w:val="26"/>
        </w:rPr>
      </w:pPr>
      <w:r>
        <w:rPr>
          <w:sz w:val="26"/>
        </w:rPr>
        <w:t xml:space="preserve">SBG </w:t>
      </w:r>
      <w:r w:rsidR="00A84903">
        <w:rPr>
          <w:sz w:val="26"/>
        </w:rPr>
        <w:t xml:space="preserve">next </w:t>
      </w:r>
      <w:r>
        <w:rPr>
          <w:sz w:val="26"/>
        </w:rPr>
        <w:t>asserted that PGW failed</w:t>
      </w:r>
      <w:r w:rsidR="00E04CE1">
        <w:rPr>
          <w:sz w:val="26"/>
        </w:rPr>
        <w:t xml:space="preserve"> under the second prong of </w:t>
      </w:r>
      <w:r w:rsidR="00E04CE1" w:rsidRPr="00E04CE1">
        <w:rPr>
          <w:i/>
          <w:sz w:val="26"/>
        </w:rPr>
        <w:t>Process Gas</w:t>
      </w:r>
      <w:r w:rsidR="00E04CE1">
        <w:rPr>
          <w:sz w:val="26"/>
        </w:rPr>
        <w:t xml:space="preserve"> </w:t>
      </w:r>
      <w:r w:rsidR="007E188B">
        <w:rPr>
          <w:sz w:val="26"/>
        </w:rPr>
        <w:t>to show it will suffer irreparable harm</w:t>
      </w:r>
      <w:r w:rsidR="0008080A">
        <w:rPr>
          <w:sz w:val="26"/>
        </w:rPr>
        <w:t xml:space="preserve"> in the absence of a stay because</w:t>
      </w:r>
      <w:r w:rsidR="00463CDC">
        <w:rPr>
          <w:sz w:val="26"/>
        </w:rPr>
        <w:t>:</w:t>
      </w:r>
    </w:p>
    <w:p w14:paraId="4D830FE9" w14:textId="77777777" w:rsidR="004C249A" w:rsidRDefault="004C249A" w:rsidP="00E04CE1">
      <w:pPr>
        <w:rPr>
          <w:sz w:val="26"/>
        </w:rPr>
      </w:pPr>
    </w:p>
    <w:p w14:paraId="64851F72" w14:textId="23F65A1E" w:rsidR="004C249A" w:rsidRDefault="004F73C0" w:rsidP="004835F5">
      <w:pPr>
        <w:pStyle w:val="ListParagraph"/>
        <w:numPr>
          <w:ilvl w:val="0"/>
          <w:numId w:val="15"/>
        </w:numPr>
        <w:rPr>
          <w:sz w:val="26"/>
        </w:rPr>
      </w:pPr>
      <w:r>
        <w:rPr>
          <w:sz w:val="26"/>
        </w:rPr>
        <w:t>T</w:t>
      </w:r>
      <w:r w:rsidR="0008080A">
        <w:rPr>
          <w:sz w:val="26"/>
        </w:rPr>
        <w:t xml:space="preserve">he </w:t>
      </w:r>
      <w:r w:rsidR="00F9680E" w:rsidRPr="00AD1EB0">
        <w:rPr>
          <w:i/>
          <w:sz w:val="26"/>
        </w:rPr>
        <w:t>Commission Orders</w:t>
      </w:r>
      <w:r w:rsidR="0008080A">
        <w:rPr>
          <w:sz w:val="26"/>
        </w:rPr>
        <w:t xml:space="preserve"> requiring PGW billing practices’ compliance with the </w:t>
      </w:r>
      <w:r w:rsidR="0008080A" w:rsidRPr="004F73C0">
        <w:rPr>
          <w:sz w:val="26"/>
        </w:rPr>
        <w:t>Code</w:t>
      </w:r>
      <w:r w:rsidR="0008080A">
        <w:rPr>
          <w:sz w:val="26"/>
        </w:rPr>
        <w:t xml:space="preserve"> do not impact PGW’s financial stability or ability to recover unpaid utility bills, because the </w:t>
      </w:r>
      <w:r w:rsidR="000F1D6D">
        <w:rPr>
          <w:sz w:val="26"/>
        </w:rPr>
        <w:t xml:space="preserve">orders do not preclude </w:t>
      </w:r>
      <w:r w:rsidR="0008080A">
        <w:rPr>
          <w:sz w:val="26"/>
        </w:rPr>
        <w:t>PGW</w:t>
      </w:r>
      <w:r w:rsidR="000F1D6D">
        <w:rPr>
          <w:sz w:val="26"/>
        </w:rPr>
        <w:t xml:space="preserve"> from exercising its</w:t>
      </w:r>
      <w:r w:rsidR="0008080A">
        <w:rPr>
          <w:sz w:val="26"/>
        </w:rPr>
        <w:t xml:space="preserve"> municipal right to docket liens in the Court of Com</w:t>
      </w:r>
      <w:r w:rsidR="00463CDC">
        <w:rPr>
          <w:sz w:val="26"/>
        </w:rPr>
        <w:t>mon Pleas for municipal claims</w:t>
      </w:r>
      <w:r>
        <w:rPr>
          <w:sz w:val="26"/>
        </w:rPr>
        <w:t>.  Answer at</w:t>
      </w:r>
      <w:r w:rsidR="004F46FA">
        <w:rPr>
          <w:sz w:val="26"/>
        </w:rPr>
        <w:t> </w:t>
      </w:r>
      <w:r w:rsidR="006B65DB">
        <w:rPr>
          <w:sz w:val="26"/>
        </w:rPr>
        <w:t>13</w:t>
      </w:r>
      <w:r w:rsidR="004F46FA">
        <w:rPr>
          <w:sz w:val="26"/>
        </w:rPr>
        <w:noBreakHyphen/>
      </w:r>
      <w:r w:rsidR="006B65DB">
        <w:rPr>
          <w:sz w:val="26"/>
        </w:rPr>
        <w:t>1</w:t>
      </w:r>
      <w:r w:rsidR="00ED509F">
        <w:rPr>
          <w:sz w:val="26"/>
        </w:rPr>
        <w:t>4</w:t>
      </w:r>
      <w:r w:rsidR="006B65DB">
        <w:rPr>
          <w:sz w:val="26"/>
        </w:rPr>
        <w:t>.</w:t>
      </w:r>
    </w:p>
    <w:p w14:paraId="7B342E8F" w14:textId="77777777" w:rsidR="00D76DA2" w:rsidRDefault="00D76DA2" w:rsidP="004835F5">
      <w:pPr>
        <w:ind w:left="720" w:firstLine="0"/>
        <w:rPr>
          <w:sz w:val="26"/>
        </w:rPr>
      </w:pPr>
    </w:p>
    <w:p w14:paraId="3F6AB908" w14:textId="2AF5DE96" w:rsidR="008310DA" w:rsidRDefault="00F66F2E" w:rsidP="004835F5">
      <w:pPr>
        <w:pStyle w:val="ListParagraph"/>
        <w:numPr>
          <w:ilvl w:val="0"/>
          <w:numId w:val="15"/>
        </w:numPr>
        <w:rPr>
          <w:sz w:val="26"/>
        </w:rPr>
      </w:pPr>
      <w:r>
        <w:rPr>
          <w:sz w:val="26"/>
        </w:rPr>
        <w:t xml:space="preserve">PGW fails to show that the </w:t>
      </w:r>
      <w:r w:rsidR="002D685C" w:rsidRPr="00F9680E">
        <w:rPr>
          <w:i/>
          <w:sz w:val="26"/>
        </w:rPr>
        <w:t xml:space="preserve">Commission </w:t>
      </w:r>
      <w:r w:rsidR="001B68B3" w:rsidRPr="00F9680E">
        <w:rPr>
          <w:i/>
          <w:sz w:val="26"/>
        </w:rPr>
        <w:t>O</w:t>
      </w:r>
      <w:r w:rsidR="002D685C" w:rsidRPr="00F9680E">
        <w:rPr>
          <w:i/>
          <w:sz w:val="26"/>
        </w:rPr>
        <w:t>rders</w:t>
      </w:r>
      <w:r w:rsidR="002D685C">
        <w:rPr>
          <w:sz w:val="26"/>
        </w:rPr>
        <w:t xml:space="preserve"> cause PGW</w:t>
      </w:r>
      <w:r>
        <w:rPr>
          <w:sz w:val="26"/>
        </w:rPr>
        <w:t xml:space="preserve"> </w:t>
      </w:r>
      <w:r w:rsidRPr="006B65DB">
        <w:rPr>
          <w:i/>
          <w:sz w:val="26"/>
        </w:rPr>
        <w:t>per se</w:t>
      </w:r>
      <w:r>
        <w:rPr>
          <w:sz w:val="26"/>
        </w:rPr>
        <w:t xml:space="preserve"> </w:t>
      </w:r>
      <w:r w:rsidR="002D685C">
        <w:rPr>
          <w:sz w:val="26"/>
        </w:rPr>
        <w:t>harm as unlawful orders</w:t>
      </w:r>
      <w:r>
        <w:rPr>
          <w:sz w:val="26"/>
        </w:rPr>
        <w:t xml:space="preserve"> because the</w:t>
      </w:r>
      <w:r w:rsidR="00040CCD">
        <w:rPr>
          <w:sz w:val="26"/>
        </w:rPr>
        <w:t>y</w:t>
      </w:r>
      <w:r>
        <w:rPr>
          <w:sz w:val="26"/>
        </w:rPr>
        <w:t xml:space="preserve"> </w:t>
      </w:r>
      <w:r w:rsidR="002D685C">
        <w:rPr>
          <w:sz w:val="26"/>
        </w:rPr>
        <w:t>clearly fall under</w:t>
      </w:r>
      <w:r>
        <w:rPr>
          <w:sz w:val="26"/>
        </w:rPr>
        <w:t xml:space="preserve"> the Commission’s </w:t>
      </w:r>
      <w:r w:rsidR="002D685C">
        <w:rPr>
          <w:sz w:val="26"/>
        </w:rPr>
        <w:t xml:space="preserve">regulatory </w:t>
      </w:r>
      <w:r w:rsidR="002D685C">
        <w:rPr>
          <w:sz w:val="26"/>
        </w:rPr>
        <w:lastRenderedPageBreak/>
        <w:t>authority</w:t>
      </w:r>
      <w:r>
        <w:rPr>
          <w:sz w:val="26"/>
        </w:rPr>
        <w:t xml:space="preserve"> to ensure that utilities conduct billing practices in good faith and in accordance with long</w:t>
      </w:r>
      <w:r w:rsidR="004F73C0">
        <w:rPr>
          <w:sz w:val="26"/>
        </w:rPr>
        <w:t>-</w:t>
      </w:r>
      <w:r>
        <w:rPr>
          <w:sz w:val="26"/>
        </w:rPr>
        <w:t>standing billing practices established</w:t>
      </w:r>
      <w:r w:rsidR="002D685C">
        <w:rPr>
          <w:sz w:val="26"/>
        </w:rPr>
        <w:t xml:space="preserve"> for consumer protection </w:t>
      </w:r>
      <w:r>
        <w:rPr>
          <w:sz w:val="26"/>
        </w:rPr>
        <w:t>under the</w:t>
      </w:r>
      <w:r w:rsidR="00463CDC">
        <w:rPr>
          <w:sz w:val="26"/>
        </w:rPr>
        <w:t xml:space="preserve"> </w:t>
      </w:r>
      <w:r w:rsidR="00463CDC" w:rsidRPr="004F73C0">
        <w:rPr>
          <w:sz w:val="26"/>
        </w:rPr>
        <w:t>Public Utility Code</w:t>
      </w:r>
      <w:r w:rsidR="006B65DB">
        <w:rPr>
          <w:sz w:val="26"/>
        </w:rPr>
        <w:t xml:space="preserve">. </w:t>
      </w:r>
      <w:r w:rsidR="006B65DB">
        <w:rPr>
          <w:i/>
          <w:sz w:val="26"/>
        </w:rPr>
        <w:t>Id.</w:t>
      </w:r>
      <w:r w:rsidR="006B65DB">
        <w:rPr>
          <w:sz w:val="26"/>
        </w:rPr>
        <w:t xml:space="preserve"> at 14-15.</w:t>
      </w:r>
    </w:p>
    <w:p w14:paraId="288BAA42" w14:textId="77777777" w:rsidR="00D76DA2" w:rsidRDefault="00D76DA2" w:rsidP="004835F5">
      <w:pPr>
        <w:ind w:left="720" w:firstLine="0"/>
        <w:rPr>
          <w:sz w:val="26"/>
        </w:rPr>
      </w:pPr>
    </w:p>
    <w:p w14:paraId="2157EEF7" w14:textId="179433FF" w:rsidR="008310DA" w:rsidRDefault="000F1D6D" w:rsidP="004835F5">
      <w:pPr>
        <w:pStyle w:val="ListParagraph"/>
        <w:numPr>
          <w:ilvl w:val="0"/>
          <w:numId w:val="15"/>
        </w:numPr>
        <w:rPr>
          <w:sz w:val="26"/>
        </w:rPr>
      </w:pPr>
      <w:r>
        <w:rPr>
          <w:sz w:val="26"/>
        </w:rPr>
        <w:t xml:space="preserve">PGW fails to show that the </w:t>
      </w:r>
      <w:r w:rsidR="00040CCD" w:rsidRPr="00AD1EB0">
        <w:rPr>
          <w:i/>
          <w:sz w:val="26"/>
        </w:rPr>
        <w:t>Commission Orders</w:t>
      </w:r>
      <w:r>
        <w:rPr>
          <w:sz w:val="26"/>
        </w:rPr>
        <w:t xml:space="preserve"> impose an unrealistic compliance period of </w:t>
      </w:r>
      <w:r w:rsidR="00B2077A">
        <w:rPr>
          <w:sz w:val="26"/>
        </w:rPr>
        <w:t xml:space="preserve">ninety </w:t>
      </w:r>
      <w:r>
        <w:rPr>
          <w:sz w:val="26"/>
        </w:rPr>
        <w:t xml:space="preserve">days because the Commission’s decision regarding the time period for compliance gave important reasons for rejecting PGW’s proposed lengthy compliance period of </w:t>
      </w:r>
      <w:r w:rsidR="00B0510C">
        <w:rPr>
          <w:sz w:val="26"/>
        </w:rPr>
        <w:t xml:space="preserve">fifty-seven </w:t>
      </w:r>
      <w:r>
        <w:rPr>
          <w:sz w:val="26"/>
        </w:rPr>
        <w:t>weeks</w:t>
      </w:r>
      <w:r w:rsidR="00805E3C">
        <w:rPr>
          <w:sz w:val="26"/>
        </w:rPr>
        <w:t xml:space="preserve">.  </w:t>
      </w:r>
      <w:r w:rsidR="006E2BCC">
        <w:rPr>
          <w:sz w:val="26"/>
        </w:rPr>
        <w:t>The reasons</w:t>
      </w:r>
      <w:r>
        <w:rPr>
          <w:sz w:val="26"/>
        </w:rPr>
        <w:t xml:space="preserve"> included that PGW </w:t>
      </w:r>
      <w:r w:rsidR="00330589">
        <w:rPr>
          <w:sz w:val="26"/>
        </w:rPr>
        <w:t>was</w:t>
      </w:r>
      <w:r>
        <w:rPr>
          <w:sz w:val="26"/>
        </w:rPr>
        <w:t xml:space="preserve"> on notice of the potential compliance violation since 2011</w:t>
      </w:r>
      <w:r w:rsidR="00330589">
        <w:rPr>
          <w:sz w:val="26"/>
        </w:rPr>
        <w:t xml:space="preserve">; </w:t>
      </w:r>
      <w:r w:rsidR="002D685C">
        <w:rPr>
          <w:sz w:val="26"/>
        </w:rPr>
        <w:t xml:space="preserve">PGW has acted in bad faith in not disclosing its practices to either the </w:t>
      </w:r>
      <w:r w:rsidR="006C5960">
        <w:rPr>
          <w:sz w:val="26"/>
        </w:rPr>
        <w:t>Commission</w:t>
      </w:r>
      <w:r w:rsidR="002D685C">
        <w:rPr>
          <w:sz w:val="26"/>
        </w:rPr>
        <w:t xml:space="preserve"> or consumers</w:t>
      </w:r>
      <w:r w:rsidR="00330589">
        <w:rPr>
          <w:sz w:val="26"/>
        </w:rPr>
        <w:t xml:space="preserve">; </w:t>
      </w:r>
      <w:r>
        <w:rPr>
          <w:sz w:val="26"/>
        </w:rPr>
        <w:t>PGW’s unlawful billing practice impacts not only SBG but also any simila</w:t>
      </w:r>
      <w:r w:rsidR="002D685C">
        <w:rPr>
          <w:sz w:val="26"/>
        </w:rPr>
        <w:t>rly situated PGW customer</w:t>
      </w:r>
      <w:r w:rsidR="009076A7">
        <w:rPr>
          <w:sz w:val="26"/>
        </w:rPr>
        <w:t>;</w:t>
      </w:r>
      <w:r w:rsidR="002D685C">
        <w:rPr>
          <w:sz w:val="26"/>
        </w:rPr>
        <w:t xml:space="preserve"> </w:t>
      </w:r>
      <w:r>
        <w:rPr>
          <w:sz w:val="26"/>
        </w:rPr>
        <w:t xml:space="preserve">that </w:t>
      </w:r>
      <w:r w:rsidR="006C5960">
        <w:rPr>
          <w:sz w:val="26"/>
        </w:rPr>
        <w:t xml:space="preserve">ninety </w:t>
      </w:r>
      <w:r>
        <w:rPr>
          <w:sz w:val="26"/>
        </w:rPr>
        <w:t xml:space="preserve">days was sufficient time to perform any necessary </w:t>
      </w:r>
      <w:r w:rsidR="002D685C">
        <w:rPr>
          <w:sz w:val="26"/>
        </w:rPr>
        <w:t>billing modifications</w:t>
      </w:r>
      <w:r w:rsidR="009076A7">
        <w:rPr>
          <w:sz w:val="26"/>
        </w:rPr>
        <w:t>;</w:t>
      </w:r>
      <w:r w:rsidR="002D685C">
        <w:rPr>
          <w:sz w:val="26"/>
        </w:rPr>
        <w:t xml:space="preserve"> and </w:t>
      </w:r>
      <w:r w:rsidR="00463CDC">
        <w:rPr>
          <w:sz w:val="26"/>
        </w:rPr>
        <w:t xml:space="preserve">that, </w:t>
      </w:r>
      <w:r w:rsidR="002D685C">
        <w:rPr>
          <w:sz w:val="26"/>
        </w:rPr>
        <w:t xml:space="preserve">as a municipal utility for the City of Philadelphia, PGW already has a model for </w:t>
      </w:r>
      <w:r w:rsidR="009076A7">
        <w:rPr>
          <w:sz w:val="26"/>
        </w:rPr>
        <w:t>Commission</w:t>
      </w:r>
      <w:r w:rsidR="002D685C">
        <w:rPr>
          <w:sz w:val="26"/>
        </w:rPr>
        <w:t xml:space="preserve">-compliant billing practices to follow in the Philadelphia water department, which is also governed by </w:t>
      </w:r>
      <w:r w:rsidR="006C5960">
        <w:rPr>
          <w:sz w:val="26"/>
        </w:rPr>
        <w:t xml:space="preserve">the Commission’s </w:t>
      </w:r>
      <w:r w:rsidR="002D685C">
        <w:rPr>
          <w:sz w:val="26"/>
        </w:rPr>
        <w:t>billing regulations</w:t>
      </w:r>
      <w:r w:rsidR="00B2077A">
        <w:rPr>
          <w:sz w:val="26"/>
        </w:rPr>
        <w:t xml:space="preserve">.  </w:t>
      </w:r>
      <w:r w:rsidR="00B2077A">
        <w:rPr>
          <w:i/>
          <w:sz w:val="26"/>
        </w:rPr>
        <w:t>I</w:t>
      </w:r>
      <w:r w:rsidR="00B0510C">
        <w:rPr>
          <w:i/>
          <w:sz w:val="26"/>
        </w:rPr>
        <w:t xml:space="preserve">d. </w:t>
      </w:r>
      <w:r w:rsidR="00B0510C">
        <w:rPr>
          <w:sz w:val="26"/>
        </w:rPr>
        <w:t>at</w:t>
      </w:r>
      <w:r w:rsidR="002E5DE8">
        <w:rPr>
          <w:sz w:val="26"/>
        </w:rPr>
        <w:t> </w:t>
      </w:r>
      <w:r w:rsidR="00B0510C">
        <w:rPr>
          <w:sz w:val="26"/>
        </w:rPr>
        <w:t>15-1</w:t>
      </w:r>
      <w:r w:rsidR="00ED509F">
        <w:rPr>
          <w:sz w:val="26"/>
        </w:rPr>
        <w:t>7</w:t>
      </w:r>
      <w:r w:rsidR="00B0510C">
        <w:rPr>
          <w:sz w:val="26"/>
        </w:rPr>
        <w:t>.</w:t>
      </w:r>
    </w:p>
    <w:p w14:paraId="3A04B3D4" w14:textId="77777777" w:rsidR="00D76DA2" w:rsidRDefault="00D76DA2" w:rsidP="004835F5">
      <w:pPr>
        <w:ind w:left="720" w:firstLine="0"/>
        <w:rPr>
          <w:sz w:val="26"/>
        </w:rPr>
      </w:pPr>
    </w:p>
    <w:p w14:paraId="0C526AC9" w14:textId="2BBF8F30" w:rsidR="008310DA" w:rsidRDefault="002D685C" w:rsidP="004835F5">
      <w:pPr>
        <w:pStyle w:val="ListParagraph"/>
        <w:numPr>
          <w:ilvl w:val="0"/>
          <w:numId w:val="15"/>
        </w:numPr>
        <w:rPr>
          <w:sz w:val="26"/>
        </w:rPr>
      </w:pPr>
      <w:r>
        <w:rPr>
          <w:sz w:val="26"/>
        </w:rPr>
        <w:t xml:space="preserve">PGW fails to show that the </w:t>
      </w:r>
      <w:r w:rsidR="002E5DE8" w:rsidRPr="00AD1EB0">
        <w:rPr>
          <w:i/>
          <w:sz w:val="26"/>
        </w:rPr>
        <w:t>Commission Orders</w:t>
      </w:r>
      <w:r>
        <w:rPr>
          <w:sz w:val="26"/>
        </w:rPr>
        <w:t xml:space="preserve"> will cause PGW to expend substantial money, time and resources which is unlikely to be recovered by PGW </w:t>
      </w:r>
      <w:r w:rsidR="00BE5D17">
        <w:rPr>
          <w:sz w:val="26"/>
        </w:rPr>
        <w:t xml:space="preserve">in </w:t>
      </w:r>
      <w:r>
        <w:rPr>
          <w:sz w:val="26"/>
        </w:rPr>
        <w:t>a future rat</w:t>
      </w:r>
      <w:r w:rsidR="004B0B26">
        <w:rPr>
          <w:sz w:val="26"/>
        </w:rPr>
        <w:t xml:space="preserve">e case because </w:t>
      </w:r>
      <w:r w:rsidR="00463CDC">
        <w:rPr>
          <w:sz w:val="26"/>
        </w:rPr>
        <w:t xml:space="preserve">as a municipal gas utility for the City of Philadelphia, </w:t>
      </w:r>
      <w:r w:rsidR="004B0B26">
        <w:rPr>
          <w:sz w:val="26"/>
        </w:rPr>
        <w:t xml:space="preserve">PGW could easily adopt </w:t>
      </w:r>
      <w:r w:rsidR="009076A7">
        <w:rPr>
          <w:sz w:val="26"/>
        </w:rPr>
        <w:t>Commission</w:t>
      </w:r>
      <w:r w:rsidR="004B0B26">
        <w:rPr>
          <w:sz w:val="26"/>
        </w:rPr>
        <w:t xml:space="preserve">-compliant billing practices </w:t>
      </w:r>
      <w:r w:rsidR="00463CDC">
        <w:rPr>
          <w:sz w:val="26"/>
        </w:rPr>
        <w:t xml:space="preserve">already established by the municipal water authority for the City of </w:t>
      </w:r>
      <w:r w:rsidR="004B0B26">
        <w:rPr>
          <w:sz w:val="26"/>
        </w:rPr>
        <w:t>Philadelphia</w:t>
      </w:r>
      <w:r w:rsidR="00463CDC">
        <w:rPr>
          <w:sz w:val="26"/>
        </w:rPr>
        <w:t xml:space="preserve">, the Philadelphia </w:t>
      </w:r>
      <w:r w:rsidR="004B0B26">
        <w:rPr>
          <w:sz w:val="26"/>
        </w:rPr>
        <w:t>Water De</w:t>
      </w:r>
      <w:r w:rsidR="00FF5FF6">
        <w:rPr>
          <w:sz w:val="26"/>
        </w:rPr>
        <w:t>partment, but continues to refuse to do so</w:t>
      </w:r>
      <w:r w:rsidR="004B0B26">
        <w:rPr>
          <w:sz w:val="26"/>
        </w:rPr>
        <w:t xml:space="preserve">, as it now admits, because </w:t>
      </w:r>
      <w:r w:rsidR="00FF5FF6">
        <w:rPr>
          <w:sz w:val="26"/>
        </w:rPr>
        <w:t>of PGW’s “conscious and intentional business decisions to maximize revenues</w:t>
      </w:r>
      <w:r w:rsidR="00E04CE1">
        <w:rPr>
          <w:sz w:val="26"/>
        </w:rPr>
        <w:t>.</w:t>
      </w:r>
      <w:r w:rsidR="00FF5FF6">
        <w:rPr>
          <w:sz w:val="26"/>
        </w:rPr>
        <w:t>”</w:t>
      </w:r>
      <w:r w:rsidR="00463CDC" w:rsidRPr="00463CDC">
        <w:rPr>
          <w:sz w:val="26"/>
        </w:rPr>
        <w:t xml:space="preserve"> </w:t>
      </w:r>
      <w:r w:rsidR="00C73F30">
        <w:rPr>
          <w:sz w:val="26"/>
        </w:rPr>
        <w:t xml:space="preserve"> </w:t>
      </w:r>
      <w:r w:rsidR="008F289B">
        <w:rPr>
          <w:i/>
          <w:sz w:val="26"/>
        </w:rPr>
        <w:t xml:space="preserve">Id. </w:t>
      </w:r>
      <w:r w:rsidR="008F289B">
        <w:rPr>
          <w:sz w:val="26"/>
        </w:rPr>
        <w:t>17-18.</w:t>
      </w:r>
    </w:p>
    <w:p w14:paraId="6C91E327" w14:textId="77777777" w:rsidR="00E04CE1" w:rsidRDefault="00E04CE1" w:rsidP="00E04CE1">
      <w:pPr>
        <w:rPr>
          <w:sz w:val="26"/>
        </w:rPr>
      </w:pPr>
    </w:p>
    <w:p w14:paraId="33C44136" w14:textId="363E63B6" w:rsidR="00E04CE1" w:rsidRDefault="002E5DE8" w:rsidP="00E04CE1">
      <w:pPr>
        <w:rPr>
          <w:sz w:val="26"/>
        </w:rPr>
      </w:pPr>
      <w:r>
        <w:rPr>
          <w:sz w:val="26"/>
        </w:rPr>
        <w:t xml:space="preserve">Under the third prong of </w:t>
      </w:r>
      <w:r w:rsidRPr="00E04CE1">
        <w:rPr>
          <w:i/>
          <w:sz w:val="26"/>
        </w:rPr>
        <w:t>Process Gas</w:t>
      </w:r>
      <w:r>
        <w:rPr>
          <w:sz w:val="26"/>
        </w:rPr>
        <w:t xml:space="preserve">, </w:t>
      </w:r>
      <w:r w:rsidR="00550022">
        <w:rPr>
          <w:sz w:val="26"/>
        </w:rPr>
        <w:t xml:space="preserve">SBG </w:t>
      </w:r>
      <w:r w:rsidR="00A84903">
        <w:rPr>
          <w:sz w:val="26"/>
        </w:rPr>
        <w:t xml:space="preserve">further </w:t>
      </w:r>
      <w:r w:rsidR="00550022">
        <w:rPr>
          <w:sz w:val="26"/>
        </w:rPr>
        <w:t>asserted that PGW failed</w:t>
      </w:r>
      <w:r w:rsidR="00FF5FF6">
        <w:rPr>
          <w:sz w:val="26"/>
        </w:rPr>
        <w:t xml:space="preserve"> to show that other interested parties will not be substantially harmed by </w:t>
      </w:r>
      <w:r w:rsidR="004565CE">
        <w:rPr>
          <w:sz w:val="26"/>
        </w:rPr>
        <w:t>a</w:t>
      </w:r>
      <w:r w:rsidR="00FF5FF6">
        <w:rPr>
          <w:sz w:val="26"/>
        </w:rPr>
        <w:t xml:space="preserve"> stay </w:t>
      </w:r>
      <w:r w:rsidR="00FF2A68">
        <w:rPr>
          <w:sz w:val="26"/>
        </w:rPr>
        <w:lastRenderedPageBreak/>
        <w:t xml:space="preserve">because a stay </w:t>
      </w:r>
      <w:r w:rsidR="00FF5FF6">
        <w:rPr>
          <w:sz w:val="26"/>
        </w:rPr>
        <w:t xml:space="preserve">will perpetuate the harm suffered by </w:t>
      </w:r>
      <w:r w:rsidR="00FF2A68">
        <w:rPr>
          <w:sz w:val="26"/>
        </w:rPr>
        <w:t xml:space="preserve">SBG and similarly situated parties </w:t>
      </w:r>
      <w:r w:rsidR="008B03B1">
        <w:rPr>
          <w:sz w:val="26"/>
        </w:rPr>
        <w:t>which was</w:t>
      </w:r>
      <w:r w:rsidR="00FF5FF6">
        <w:rPr>
          <w:sz w:val="26"/>
        </w:rPr>
        <w:t xml:space="preserve"> found to be unreasonable by the Commission’s imposition of penalties for PGW’s bad faith conduct</w:t>
      </w:r>
      <w:r w:rsidR="00584BE0" w:rsidRPr="00584BE0">
        <w:rPr>
          <w:sz w:val="26"/>
        </w:rPr>
        <w:t xml:space="preserve"> </w:t>
      </w:r>
      <w:r w:rsidR="00584BE0">
        <w:rPr>
          <w:sz w:val="26"/>
        </w:rPr>
        <w:t>because other interested parties exist and include all similarly situated ratepayers currently receiving unlawful bills from PGW</w:t>
      </w:r>
      <w:r w:rsidR="00FF2A68">
        <w:rPr>
          <w:sz w:val="26"/>
        </w:rPr>
        <w:t xml:space="preserve">.  In addition, </w:t>
      </w:r>
      <w:r w:rsidR="00C30F8A">
        <w:rPr>
          <w:sz w:val="26"/>
        </w:rPr>
        <w:t xml:space="preserve">SBG maintained that PGW’s unlawful billing practices cause </w:t>
      </w:r>
      <w:r w:rsidR="00FF2A68">
        <w:rPr>
          <w:sz w:val="26"/>
        </w:rPr>
        <w:t xml:space="preserve">harm to interested parties </w:t>
      </w:r>
      <w:r w:rsidR="00C30F8A">
        <w:rPr>
          <w:sz w:val="26"/>
        </w:rPr>
        <w:t xml:space="preserve">which </w:t>
      </w:r>
      <w:r w:rsidR="00FF2A68">
        <w:rPr>
          <w:sz w:val="26"/>
        </w:rPr>
        <w:t>is not only monetary</w:t>
      </w:r>
      <w:r w:rsidR="00C30F8A">
        <w:rPr>
          <w:sz w:val="26"/>
        </w:rPr>
        <w:t xml:space="preserve"> </w:t>
      </w:r>
      <w:r w:rsidR="00FF2A68">
        <w:rPr>
          <w:sz w:val="26"/>
        </w:rPr>
        <w:t xml:space="preserve">but </w:t>
      </w:r>
      <w:r w:rsidR="00C30F8A">
        <w:rPr>
          <w:sz w:val="26"/>
        </w:rPr>
        <w:t xml:space="preserve">also legal harm. </w:t>
      </w:r>
      <w:r w:rsidR="00FF2A68">
        <w:rPr>
          <w:sz w:val="26"/>
        </w:rPr>
        <w:t xml:space="preserve"> </w:t>
      </w:r>
      <w:r w:rsidR="00C30F8A">
        <w:rPr>
          <w:sz w:val="26"/>
        </w:rPr>
        <w:t xml:space="preserve">SBG noted the </w:t>
      </w:r>
      <w:r w:rsidR="00BF2093">
        <w:rPr>
          <w:sz w:val="26"/>
        </w:rPr>
        <w:t xml:space="preserve">non-monetary </w:t>
      </w:r>
      <w:r w:rsidR="00C30F8A">
        <w:rPr>
          <w:sz w:val="26"/>
        </w:rPr>
        <w:t xml:space="preserve">legal consequences of </w:t>
      </w:r>
      <w:r w:rsidR="008B03B1">
        <w:rPr>
          <w:sz w:val="26"/>
        </w:rPr>
        <w:t>PGW’s unlawful billing practices</w:t>
      </w:r>
      <w:r w:rsidR="00C30F8A">
        <w:rPr>
          <w:sz w:val="26"/>
        </w:rPr>
        <w:t xml:space="preserve"> </w:t>
      </w:r>
      <w:r w:rsidR="00BF2093">
        <w:rPr>
          <w:sz w:val="26"/>
        </w:rPr>
        <w:t xml:space="preserve">to the </w:t>
      </w:r>
      <w:r w:rsidR="00C30F8A">
        <w:rPr>
          <w:sz w:val="26"/>
        </w:rPr>
        <w:t xml:space="preserve">City of Philadelphia and Complainants, </w:t>
      </w:r>
      <w:r w:rsidR="00BF2093">
        <w:rPr>
          <w:sz w:val="26"/>
        </w:rPr>
        <w:t xml:space="preserve">where, if unlawful, the </w:t>
      </w:r>
      <w:r w:rsidR="00C30F8A">
        <w:rPr>
          <w:sz w:val="26"/>
        </w:rPr>
        <w:t xml:space="preserve">PGW liens </w:t>
      </w:r>
      <w:r w:rsidR="00BF2093">
        <w:rPr>
          <w:sz w:val="26"/>
        </w:rPr>
        <w:t xml:space="preserve">relied upon </w:t>
      </w:r>
      <w:r w:rsidR="008B03B1">
        <w:rPr>
          <w:sz w:val="26"/>
        </w:rPr>
        <w:t xml:space="preserve">by the City of Philadelphia </w:t>
      </w:r>
      <w:r w:rsidR="00BF2093">
        <w:rPr>
          <w:sz w:val="26"/>
        </w:rPr>
        <w:t>for the issuance of municipal bonds u</w:t>
      </w:r>
      <w:r w:rsidR="008B03B1">
        <w:rPr>
          <w:sz w:val="26"/>
        </w:rPr>
        <w:t>nder the jurisdiction of the Federal Security and Exchan</w:t>
      </w:r>
      <w:r w:rsidR="00550022">
        <w:rPr>
          <w:sz w:val="26"/>
        </w:rPr>
        <w:t>ge</w:t>
      </w:r>
      <w:r w:rsidR="008B03B1">
        <w:rPr>
          <w:sz w:val="26"/>
        </w:rPr>
        <w:t xml:space="preserve"> Commission (SEC)</w:t>
      </w:r>
      <w:r w:rsidR="00045F16">
        <w:rPr>
          <w:sz w:val="26"/>
        </w:rPr>
        <w:t xml:space="preserve"> </w:t>
      </w:r>
      <w:r w:rsidR="008B03B1">
        <w:rPr>
          <w:sz w:val="26"/>
        </w:rPr>
        <w:t xml:space="preserve">puts the </w:t>
      </w:r>
      <w:r w:rsidR="00B139B8">
        <w:rPr>
          <w:sz w:val="26"/>
        </w:rPr>
        <w:t>C</w:t>
      </w:r>
      <w:r w:rsidR="008B03B1">
        <w:rPr>
          <w:sz w:val="26"/>
        </w:rPr>
        <w:t>ity at risk of being found in violation of SEC requirements</w:t>
      </w:r>
      <w:r w:rsidR="00BF2093">
        <w:rPr>
          <w:sz w:val="26"/>
        </w:rPr>
        <w:t xml:space="preserve">, </w:t>
      </w:r>
      <w:r w:rsidR="00045F16">
        <w:rPr>
          <w:sz w:val="26"/>
        </w:rPr>
        <w:t xml:space="preserve">and because </w:t>
      </w:r>
      <w:r w:rsidR="00FF2A68">
        <w:rPr>
          <w:sz w:val="26"/>
        </w:rPr>
        <w:t xml:space="preserve">PGW’s municipal liens impact the Complainants’ </w:t>
      </w:r>
      <w:r w:rsidR="00BF2093">
        <w:rPr>
          <w:sz w:val="26"/>
        </w:rPr>
        <w:t xml:space="preserve">legal </w:t>
      </w:r>
      <w:r w:rsidR="00FF2A68">
        <w:rPr>
          <w:sz w:val="26"/>
        </w:rPr>
        <w:t>property rights</w:t>
      </w:r>
      <w:r w:rsidR="00BF2093">
        <w:rPr>
          <w:sz w:val="26"/>
        </w:rPr>
        <w:t xml:space="preserve">, </w:t>
      </w:r>
      <w:r w:rsidR="00C30F8A" w:rsidRPr="00C30F8A">
        <w:rPr>
          <w:i/>
          <w:sz w:val="26"/>
        </w:rPr>
        <w:t>i.e</w:t>
      </w:r>
      <w:r w:rsidR="00C30F8A">
        <w:rPr>
          <w:sz w:val="26"/>
        </w:rPr>
        <w:t>., constructive mortgage defaults</w:t>
      </w:r>
      <w:r w:rsidR="00E04CE1">
        <w:rPr>
          <w:sz w:val="26"/>
        </w:rPr>
        <w:t>.  Answer at 1</w:t>
      </w:r>
      <w:r w:rsidR="00D603B6">
        <w:rPr>
          <w:sz w:val="26"/>
        </w:rPr>
        <w:t>8</w:t>
      </w:r>
      <w:r w:rsidR="00C30F8A">
        <w:rPr>
          <w:sz w:val="26"/>
        </w:rPr>
        <w:t>-19</w:t>
      </w:r>
      <w:r w:rsidR="00E04CE1">
        <w:rPr>
          <w:sz w:val="26"/>
        </w:rPr>
        <w:t>.</w:t>
      </w:r>
    </w:p>
    <w:p w14:paraId="0B0679C8" w14:textId="77777777" w:rsidR="00E04CE1" w:rsidRDefault="00E04CE1" w:rsidP="00E04CE1">
      <w:pPr>
        <w:rPr>
          <w:sz w:val="26"/>
        </w:rPr>
      </w:pPr>
    </w:p>
    <w:p w14:paraId="127A93DF" w14:textId="512C9434" w:rsidR="00C16004" w:rsidRDefault="00A84903" w:rsidP="00E04CE1">
      <w:pPr>
        <w:rPr>
          <w:sz w:val="26"/>
        </w:rPr>
      </w:pPr>
      <w:r>
        <w:rPr>
          <w:sz w:val="26"/>
        </w:rPr>
        <w:t xml:space="preserve">Finally, </w:t>
      </w:r>
      <w:r w:rsidR="00550022">
        <w:rPr>
          <w:sz w:val="26"/>
        </w:rPr>
        <w:t xml:space="preserve">SBG asserted that PGW </w:t>
      </w:r>
      <w:r>
        <w:rPr>
          <w:sz w:val="26"/>
        </w:rPr>
        <w:t xml:space="preserve">had </w:t>
      </w:r>
      <w:r w:rsidR="00550022">
        <w:rPr>
          <w:sz w:val="26"/>
        </w:rPr>
        <w:t>failed</w:t>
      </w:r>
      <w:r w:rsidR="00E04CE1">
        <w:rPr>
          <w:sz w:val="26"/>
        </w:rPr>
        <w:t xml:space="preserve"> under the fourth prong of </w:t>
      </w:r>
      <w:r w:rsidR="00E04CE1" w:rsidRPr="00E04CE1">
        <w:rPr>
          <w:i/>
          <w:sz w:val="26"/>
        </w:rPr>
        <w:t>Process Gas</w:t>
      </w:r>
      <w:r w:rsidR="00E04CE1">
        <w:rPr>
          <w:sz w:val="26"/>
        </w:rPr>
        <w:t xml:space="preserve"> to show that a s</w:t>
      </w:r>
      <w:r w:rsidR="008B03B1">
        <w:rPr>
          <w:sz w:val="26"/>
        </w:rPr>
        <w:t xml:space="preserve">tay will not adversely </w:t>
      </w:r>
      <w:r w:rsidR="00C73F30">
        <w:rPr>
          <w:sz w:val="26"/>
        </w:rPr>
        <w:t>a</w:t>
      </w:r>
      <w:r w:rsidR="008B03B1">
        <w:rPr>
          <w:sz w:val="26"/>
        </w:rPr>
        <w:t>ffect the public interest because all similarly situated ratepayers have an interest in PGW’s good faith billing practices in compliance with the consumer protections in place under the Code</w:t>
      </w:r>
      <w:r w:rsidR="00E04CE1">
        <w:rPr>
          <w:sz w:val="26"/>
        </w:rPr>
        <w:t xml:space="preserve">. Further, </w:t>
      </w:r>
      <w:r w:rsidR="009D3B87">
        <w:rPr>
          <w:sz w:val="26"/>
        </w:rPr>
        <w:t xml:space="preserve">the public interest </w:t>
      </w:r>
      <w:r w:rsidR="00B01C86">
        <w:rPr>
          <w:sz w:val="26"/>
        </w:rPr>
        <w:t xml:space="preserve">in having public utilities comply with Commission regulations and final orders </w:t>
      </w:r>
      <w:r w:rsidR="009D3B87">
        <w:rPr>
          <w:sz w:val="26"/>
        </w:rPr>
        <w:t xml:space="preserve">is harmed by </w:t>
      </w:r>
      <w:r w:rsidR="008B03B1">
        <w:rPr>
          <w:sz w:val="26"/>
        </w:rPr>
        <w:t xml:space="preserve">PGW’s flagrant and continued disregard of </w:t>
      </w:r>
      <w:r w:rsidR="00D603B6">
        <w:rPr>
          <w:sz w:val="26"/>
        </w:rPr>
        <w:t>Commission</w:t>
      </w:r>
      <w:r w:rsidR="008B03B1">
        <w:rPr>
          <w:sz w:val="26"/>
        </w:rPr>
        <w:t xml:space="preserve"> billing practices harms the public interest</w:t>
      </w:r>
      <w:r w:rsidR="00811752">
        <w:rPr>
          <w:sz w:val="26"/>
        </w:rPr>
        <w:t>.  Answer at 1</w:t>
      </w:r>
      <w:r w:rsidR="00E04CE1">
        <w:rPr>
          <w:sz w:val="26"/>
        </w:rPr>
        <w:t>8</w:t>
      </w:r>
      <w:r w:rsidR="00811752">
        <w:rPr>
          <w:sz w:val="26"/>
        </w:rPr>
        <w:t>-19.</w:t>
      </w:r>
    </w:p>
    <w:p w14:paraId="4A52F092" w14:textId="77777777" w:rsidR="00B01C86" w:rsidRPr="005B7A5D" w:rsidRDefault="00B01C86" w:rsidP="00E04CE1">
      <w:pPr>
        <w:rPr>
          <w:sz w:val="26"/>
        </w:rPr>
      </w:pPr>
    </w:p>
    <w:p w14:paraId="04C1F3ED" w14:textId="74637944" w:rsidR="004275CA" w:rsidRPr="005574AF" w:rsidRDefault="005574AF" w:rsidP="004F46FA">
      <w:pPr>
        <w:keepNext/>
        <w:keepLines/>
        <w:ind w:left="360" w:hanging="360"/>
        <w:jc w:val="center"/>
        <w:rPr>
          <w:b/>
          <w:sz w:val="26"/>
        </w:rPr>
      </w:pPr>
      <w:r>
        <w:rPr>
          <w:b/>
          <w:sz w:val="26"/>
        </w:rPr>
        <w:t>III.</w:t>
      </w:r>
      <w:r>
        <w:rPr>
          <w:b/>
          <w:sz w:val="26"/>
        </w:rPr>
        <w:tab/>
      </w:r>
      <w:r w:rsidR="003A2799" w:rsidRPr="005574AF">
        <w:rPr>
          <w:b/>
          <w:sz w:val="26"/>
        </w:rPr>
        <w:t>Disposition</w:t>
      </w:r>
    </w:p>
    <w:p w14:paraId="1FB77D60" w14:textId="77777777" w:rsidR="003D545E" w:rsidRDefault="003D545E" w:rsidP="004F46FA">
      <w:pPr>
        <w:keepNext/>
        <w:keepLines/>
        <w:ind w:firstLine="0"/>
        <w:rPr>
          <w:sz w:val="26"/>
        </w:rPr>
      </w:pPr>
    </w:p>
    <w:p w14:paraId="7F6D4CD9" w14:textId="27E2A475" w:rsidR="007247B1" w:rsidRPr="00D370FE" w:rsidRDefault="007247B1" w:rsidP="004F46FA">
      <w:pPr>
        <w:pStyle w:val="ListParagraph"/>
        <w:keepNext/>
        <w:keepLines/>
        <w:numPr>
          <w:ilvl w:val="0"/>
          <w:numId w:val="14"/>
        </w:numPr>
        <w:ind w:left="360"/>
        <w:rPr>
          <w:b/>
          <w:sz w:val="26"/>
        </w:rPr>
      </w:pPr>
      <w:r w:rsidRPr="00D370FE">
        <w:rPr>
          <w:b/>
          <w:sz w:val="26"/>
        </w:rPr>
        <w:t>Timeliness of the Petition</w:t>
      </w:r>
    </w:p>
    <w:p w14:paraId="1F2A24A2" w14:textId="77777777" w:rsidR="007247B1" w:rsidRDefault="007247B1" w:rsidP="004F46FA">
      <w:pPr>
        <w:pStyle w:val="ListParagraph"/>
        <w:keepNext/>
        <w:keepLines/>
        <w:ind w:left="1800" w:firstLine="0"/>
        <w:rPr>
          <w:b/>
          <w:sz w:val="26"/>
        </w:rPr>
      </w:pPr>
    </w:p>
    <w:p w14:paraId="2ECC21CF" w14:textId="207BEBE4" w:rsidR="007247B1" w:rsidRDefault="007247B1" w:rsidP="007247B1">
      <w:pPr>
        <w:rPr>
          <w:sz w:val="26"/>
        </w:rPr>
      </w:pPr>
      <w:r>
        <w:rPr>
          <w:sz w:val="26"/>
        </w:rPr>
        <w:t>As a threshold procedural matter, we shall address the timeliness of the petition.  PGW’s Petition for Stay was filed with the Commission on September 25, 2018, associated with PGW’s concurrent filing of a Petition for Review</w:t>
      </w:r>
      <w:r w:rsidR="00BF2093" w:rsidRPr="00BF2093">
        <w:rPr>
          <w:sz w:val="26"/>
        </w:rPr>
        <w:t xml:space="preserve"> </w:t>
      </w:r>
      <w:r w:rsidR="00BF2093">
        <w:rPr>
          <w:sz w:val="26"/>
        </w:rPr>
        <w:t xml:space="preserve">with the </w:t>
      </w:r>
      <w:r w:rsidR="00BF2093">
        <w:rPr>
          <w:sz w:val="26"/>
        </w:rPr>
        <w:lastRenderedPageBreak/>
        <w:t xml:space="preserve">Commonwealth Court </w:t>
      </w:r>
      <w:r>
        <w:rPr>
          <w:sz w:val="26"/>
        </w:rPr>
        <w:t xml:space="preserve">of our </w:t>
      </w:r>
      <w:r w:rsidRPr="00F379B3">
        <w:rPr>
          <w:i/>
          <w:sz w:val="26"/>
        </w:rPr>
        <w:t>August 2018 Order</w:t>
      </w:r>
      <w:r w:rsidR="00EC7121">
        <w:rPr>
          <w:sz w:val="26"/>
        </w:rPr>
        <w:t>,</w:t>
      </w:r>
      <w:r w:rsidR="00B01C86">
        <w:rPr>
          <w:i/>
          <w:sz w:val="26"/>
        </w:rPr>
        <w:t xml:space="preserve"> </w:t>
      </w:r>
      <w:r w:rsidR="00B01C86" w:rsidRPr="00B01C86">
        <w:rPr>
          <w:sz w:val="26"/>
        </w:rPr>
        <w:t>which referenced</w:t>
      </w:r>
      <w:r>
        <w:rPr>
          <w:sz w:val="26"/>
        </w:rPr>
        <w:t xml:space="preserve"> our </w:t>
      </w:r>
      <w:r w:rsidRPr="00725D23">
        <w:rPr>
          <w:i/>
          <w:sz w:val="26"/>
        </w:rPr>
        <w:t>May 2018 Order</w:t>
      </w:r>
      <w:r>
        <w:rPr>
          <w:sz w:val="26"/>
        </w:rPr>
        <w:t xml:space="preserve"> and our </w:t>
      </w:r>
      <w:r w:rsidRPr="00725D23">
        <w:rPr>
          <w:i/>
          <w:sz w:val="26"/>
        </w:rPr>
        <w:t>December 2016 Order</w:t>
      </w:r>
      <w:r>
        <w:rPr>
          <w:sz w:val="26"/>
        </w:rPr>
        <w:t xml:space="preserve">.  Petition at 2-3.  </w:t>
      </w:r>
      <w:r w:rsidRPr="00F379B3">
        <w:rPr>
          <w:sz w:val="26"/>
        </w:rPr>
        <w:t xml:space="preserve">We note that PGW’s Petition for Stay was not filed with the Commission within </w:t>
      </w:r>
      <w:r w:rsidR="00EC7121">
        <w:rPr>
          <w:sz w:val="26"/>
        </w:rPr>
        <w:t>fifteen</w:t>
      </w:r>
      <w:r w:rsidRPr="00F379B3">
        <w:rPr>
          <w:sz w:val="26"/>
        </w:rPr>
        <w:t xml:space="preserve"> days of entry of any of the </w:t>
      </w:r>
      <w:r w:rsidR="00EC7121">
        <w:rPr>
          <w:i/>
          <w:sz w:val="26"/>
        </w:rPr>
        <w:t xml:space="preserve">Commission Orders </w:t>
      </w:r>
      <w:r w:rsidR="007730E3">
        <w:rPr>
          <w:sz w:val="26"/>
        </w:rPr>
        <w:t xml:space="preserve">to which </w:t>
      </w:r>
      <w:r w:rsidRPr="00F379B3">
        <w:rPr>
          <w:sz w:val="26"/>
        </w:rPr>
        <w:t>it purports to relate</w:t>
      </w:r>
      <w:r w:rsidR="007730E3">
        <w:rPr>
          <w:sz w:val="26"/>
        </w:rPr>
        <w:t>.  T</w:t>
      </w:r>
      <w:r w:rsidRPr="00F379B3">
        <w:rPr>
          <w:sz w:val="26"/>
        </w:rPr>
        <w:t xml:space="preserve">herefore, </w:t>
      </w:r>
      <w:r w:rsidR="007730E3">
        <w:rPr>
          <w:sz w:val="26"/>
        </w:rPr>
        <w:t xml:space="preserve">we find that </w:t>
      </w:r>
      <w:r w:rsidRPr="00F379B3">
        <w:rPr>
          <w:sz w:val="26"/>
        </w:rPr>
        <w:t xml:space="preserve">the Petition for Stay is not timely, pursuant to </w:t>
      </w:r>
      <w:r w:rsidR="00E40586">
        <w:rPr>
          <w:sz w:val="26"/>
        </w:rPr>
        <w:t xml:space="preserve">Section </w:t>
      </w:r>
      <w:r w:rsidR="00E40586" w:rsidRPr="00F74F84">
        <w:rPr>
          <w:sz w:val="26"/>
          <w:szCs w:val="26"/>
        </w:rPr>
        <w:t>5.572(c)</w:t>
      </w:r>
      <w:r w:rsidR="00E40586">
        <w:rPr>
          <w:sz w:val="26"/>
          <w:szCs w:val="26"/>
        </w:rPr>
        <w:t xml:space="preserve"> of our regulations.</w:t>
      </w:r>
      <w:r>
        <w:rPr>
          <w:rStyle w:val="FootnoteReference"/>
          <w:sz w:val="26"/>
        </w:rPr>
        <w:footnoteReference w:id="10"/>
      </w:r>
      <w:r w:rsidR="00301D2B" w:rsidRPr="00301D2B">
        <w:rPr>
          <w:sz w:val="26"/>
          <w:vertAlign w:val="superscript"/>
        </w:rPr>
        <w:t>,</w:t>
      </w:r>
      <w:r w:rsidR="00301D2B">
        <w:rPr>
          <w:sz w:val="26"/>
          <w:vertAlign w:val="superscript"/>
        </w:rPr>
        <w:t> </w:t>
      </w:r>
      <w:r>
        <w:rPr>
          <w:rStyle w:val="FootnoteReference"/>
          <w:sz w:val="26"/>
        </w:rPr>
        <w:footnoteReference w:id="11"/>
      </w:r>
    </w:p>
    <w:p w14:paraId="6839DC90" w14:textId="77777777" w:rsidR="007247B1" w:rsidRDefault="007247B1" w:rsidP="007247B1">
      <w:pPr>
        <w:rPr>
          <w:sz w:val="26"/>
        </w:rPr>
      </w:pPr>
    </w:p>
    <w:p w14:paraId="0ECF5C67" w14:textId="2A10F3C3" w:rsidR="007247B1" w:rsidRPr="00F379B3" w:rsidRDefault="007247B1" w:rsidP="007247B1">
      <w:pPr>
        <w:rPr>
          <w:sz w:val="26"/>
        </w:rPr>
      </w:pPr>
      <w:r w:rsidRPr="00F379B3">
        <w:rPr>
          <w:sz w:val="26"/>
        </w:rPr>
        <w:t xml:space="preserve">Further, PGW’s filing of a Petition for Review of our </w:t>
      </w:r>
      <w:r w:rsidRPr="00725D23">
        <w:rPr>
          <w:i/>
          <w:sz w:val="26"/>
        </w:rPr>
        <w:t>August 2018 Order</w:t>
      </w:r>
      <w:r w:rsidRPr="00F379B3">
        <w:rPr>
          <w:sz w:val="26"/>
        </w:rPr>
        <w:t xml:space="preserve"> with the Com</w:t>
      </w:r>
      <w:r>
        <w:rPr>
          <w:sz w:val="26"/>
        </w:rPr>
        <w:t>monwealth Court does not postpon</w:t>
      </w:r>
      <w:r w:rsidRPr="00F379B3">
        <w:rPr>
          <w:sz w:val="26"/>
        </w:rPr>
        <w:t>e the effect of our order</w:t>
      </w:r>
      <w:r w:rsidR="001B68B3">
        <w:rPr>
          <w:sz w:val="26"/>
        </w:rPr>
        <w:t>s</w:t>
      </w:r>
      <w:r w:rsidRPr="00F379B3">
        <w:rPr>
          <w:sz w:val="26"/>
        </w:rPr>
        <w:t>, unless specifically stayed by order of the Commission or the Commonwealth Court.</w:t>
      </w:r>
      <w:r>
        <w:rPr>
          <w:rStyle w:val="FootnoteReference"/>
          <w:sz w:val="26"/>
        </w:rPr>
        <w:footnoteReference w:id="12"/>
      </w:r>
      <w:r w:rsidRPr="00F379B3">
        <w:rPr>
          <w:sz w:val="26"/>
        </w:rPr>
        <w:t xml:space="preserve"> </w:t>
      </w:r>
      <w:r>
        <w:rPr>
          <w:sz w:val="26"/>
        </w:rPr>
        <w:t xml:space="preserve"> </w:t>
      </w:r>
      <w:r w:rsidRPr="00F379B3">
        <w:rPr>
          <w:sz w:val="26"/>
        </w:rPr>
        <w:t xml:space="preserve">See, </w:t>
      </w:r>
      <w:r>
        <w:rPr>
          <w:sz w:val="26"/>
        </w:rPr>
        <w:t xml:space="preserve">Section 316 of the </w:t>
      </w:r>
      <w:r w:rsidR="00D76DA2">
        <w:rPr>
          <w:sz w:val="26"/>
        </w:rPr>
        <w:t>Code</w:t>
      </w:r>
      <w:r>
        <w:rPr>
          <w:sz w:val="26"/>
        </w:rPr>
        <w:t>, 66 Pa. C. S. § 316</w:t>
      </w:r>
      <w:r w:rsidR="00B33380">
        <w:rPr>
          <w:sz w:val="26"/>
        </w:rPr>
        <w:t xml:space="preserve"> (providing that Commission orders are binding upon issu</w:t>
      </w:r>
      <w:r w:rsidR="00203D1D">
        <w:rPr>
          <w:sz w:val="26"/>
        </w:rPr>
        <w:t>ance</w:t>
      </w:r>
      <w:r w:rsidR="00B33380">
        <w:rPr>
          <w:sz w:val="26"/>
        </w:rPr>
        <w:t>, unless set aside or modified)</w:t>
      </w:r>
      <w:r>
        <w:rPr>
          <w:sz w:val="26"/>
        </w:rPr>
        <w:t xml:space="preserve">, and </w:t>
      </w:r>
      <w:r w:rsidRPr="00F379B3">
        <w:rPr>
          <w:sz w:val="26"/>
        </w:rPr>
        <w:t xml:space="preserve">Rule 1701 of the Pennsylvania Rules of Appellate Procedure, </w:t>
      </w:r>
      <w:r w:rsidR="00B01C86">
        <w:rPr>
          <w:sz w:val="26"/>
        </w:rPr>
        <w:t>Pa. R.A. P. 1701</w:t>
      </w:r>
      <w:r w:rsidRPr="00F379B3">
        <w:rPr>
          <w:sz w:val="26"/>
        </w:rPr>
        <w:t xml:space="preserve"> (providing that the agency may proceed with enforcement of its order following Petition for Review).</w:t>
      </w:r>
    </w:p>
    <w:p w14:paraId="441897F6" w14:textId="77777777" w:rsidR="007247B1" w:rsidRPr="00F379B3" w:rsidRDefault="007247B1" w:rsidP="007247B1">
      <w:pPr>
        <w:rPr>
          <w:sz w:val="26"/>
        </w:rPr>
      </w:pPr>
    </w:p>
    <w:p w14:paraId="7E8A8936" w14:textId="5C254D40" w:rsidR="007247B1" w:rsidRDefault="007247B1" w:rsidP="007247B1">
      <w:pPr>
        <w:rPr>
          <w:sz w:val="26"/>
        </w:rPr>
      </w:pPr>
      <w:r w:rsidRPr="00F379B3">
        <w:rPr>
          <w:sz w:val="26"/>
        </w:rPr>
        <w:t>However,</w:t>
      </w:r>
      <w:r>
        <w:rPr>
          <w:sz w:val="26"/>
        </w:rPr>
        <w:t xml:space="preserve"> the Commission may exercise its</w:t>
      </w:r>
      <w:r w:rsidRPr="00F379B3">
        <w:rPr>
          <w:sz w:val="26"/>
        </w:rPr>
        <w:t xml:space="preserve"> discretion to treat PGW’s Petition as timely to consider the Petition, </w:t>
      </w:r>
      <w:r>
        <w:rPr>
          <w:sz w:val="26"/>
        </w:rPr>
        <w:t xml:space="preserve">as </w:t>
      </w:r>
      <w:r w:rsidRPr="00A77113">
        <w:rPr>
          <w:sz w:val="26"/>
        </w:rPr>
        <w:t>per</w:t>
      </w:r>
      <w:r w:rsidRPr="00F379B3">
        <w:rPr>
          <w:sz w:val="26"/>
        </w:rPr>
        <w:t xml:space="preserve"> Section 1.2 of Commission Regulations, 52 Pa. Code § 1.2</w:t>
      </w:r>
      <w:r>
        <w:rPr>
          <w:sz w:val="26"/>
        </w:rPr>
        <w:t xml:space="preserve"> </w:t>
      </w:r>
      <w:r w:rsidRPr="00F379B3">
        <w:rPr>
          <w:sz w:val="26"/>
        </w:rPr>
        <w:t xml:space="preserve">(pertaining to liberal construction of the regulations in the interest of just and expeditious proceedings).  Further, </w:t>
      </w:r>
      <w:r w:rsidR="00B33380">
        <w:rPr>
          <w:sz w:val="26"/>
        </w:rPr>
        <w:t xml:space="preserve">Rule 1701 authorizes </w:t>
      </w:r>
      <w:r w:rsidRPr="00F379B3">
        <w:rPr>
          <w:sz w:val="26"/>
        </w:rPr>
        <w:t>the agency to act to preserve the “</w:t>
      </w:r>
      <w:r w:rsidRPr="00330E71">
        <w:rPr>
          <w:i/>
          <w:sz w:val="26"/>
        </w:rPr>
        <w:t>status quo</w:t>
      </w:r>
      <w:r w:rsidRPr="00F379B3">
        <w:rPr>
          <w:sz w:val="26"/>
        </w:rPr>
        <w:t>.”</w:t>
      </w:r>
      <w:r>
        <w:rPr>
          <w:sz w:val="26"/>
        </w:rPr>
        <w:t xml:space="preserve"> </w:t>
      </w:r>
      <w:r w:rsidRPr="00F379B3">
        <w:rPr>
          <w:sz w:val="26"/>
        </w:rPr>
        <w:t xml:space="preserve"> P</w:t>
      </w:r>
      <w:r w:rsidR="00B33380">
        <w:rPr>
          <w:sz w:val="26"/>
        </w:rPr>
        <w:t xml:space="preserve">a. R.A.P. </w:t>
      </w:r>
      <w:r w:rsidRPr="00F379B3">
        <w:rPr>
          <w:sz w:val="26"/>
        </w:rPr>
        <w:t>1701.</w:t>
      </w:r>
    </w:p>
    <w:p w14:paraId="23BEDC72" w14:textId="77777777" w:rsidR="007247B1" w:rsidRDefault="007247B1" w:rsidP="007247B1">
      <w:pPr>
        <w:rPr>
          <w:sz w:val="26"/>
        </w:rPr>
      </w:pPr>
    </w:p>
    <w:p w14:paraId="6C1BD6C1" w14:textId="480FFB09" w:rsidR="007247B1" w:rsidRDefault="007247B1" w:rsidP="007247B1">
      <w:pPr>
        <w:rPr>
          <w:sz w:val="26"/>
        </w:rPr>
      </w:pPr>
      <w:r>
        <w:rPr>
          <w:sz w:val="26"/>
        </w:rPr>
        <w:t>Accordingly, we shall exercise our discretion to treat PGW’s Petition as timely and consider PGW’s Petition, in the interest of a just and expeditious resolution of the matter</w:t>
      </w:r>
      <w:r w:rsidR="00B33380">
        <w:rPr>
          <w:sz w:val="26"/>
        </w:rPr>
        <w:t xml:space="preserve">, </w:t>
      </w:r>
      <w:r w:rsidR="00A77113">
        <w:rPr>
          <w:sz w:val="26"/>
        </w:rPr>
        <w:t xml:space="preserve">as </w:t>
      </w:r>
      <w:r w:rsidR="00B33380">
        <w:rPr>
          <w:sz w:val="26"/>
        </w:rPr>
        <w:t xml:space="preserve">per 52 Pa. Code §1.2, and Pa. R.A. P. 1701. </w:t>
      </w:r>
    </w:p>
    <w:p w14:paraId="4246DDDD" w14:textId="77777777" w:rsidR="00B01C86" w:rsidRDefault="00B01C86" w:rsidP="007247B1">
      <w:pPr>
        <w:rPr>
          <w:sz w:val="26"/>
        </w:rPr>
      </w:pPr>
    </w:p>
    <w:p w14:paraId="6CDE3DBC" w14:textId="45CFB4C1" w:rsidR="007247B1" w:rsidRPr="00330E71" w:rsidRDefault="007247B1" w:rsidP="00D33FA6">
      <w:pPr>
        <w:pStyle w:val="ListParagraph"/>
        <w:keepNext/>
        <w:keepLines/>
        <w:numPr>
          <w:ilvl w:val="0"/>
          <w:numId w:val="14"/>
        </w:numPr>
        <w:ind w:left="360"/>
        <w:rPr>
          <w:b/>
          <w:sz w:val="26"/>
        </w:rPr>
      </w:pPr>
      <w:r w:rsidRPr="00330E71">
        <w:rPr>
          <w:b/>
          <w:sz w:val="26"/>
        </w:rPr>
        <w:t>Merits of the Petition</w:t>
      </w:r>
    </w:p>
    <w:p w14:paraId="0A0A1B5E" w14:textId="77777777" w:rsidR="007247B1" w:rsidRPr="00F379B3" w:rsidRDefault="007247B1" w:rsidP="00D33FA6">
      <w:pPr>
        <w:keepNext/>
        <w:keepLines/>
        <w:rPr>
          <w:sz w:val="26"/>
        </w:rPr>
      </w:pPr>
    </w:p>
    <w:p w14:paraId="5D51A124" w14:textId="7C423E2E" w:rsidR="00610655" w:rsidRDefault="00A45FFC" w:rsidP="00610655">
      <w:pPr>
        <w:rPr>
          <w:sz w:val="26"/>
        </w:rPr>
      </w:pPr>
      <w:r>
        <w:rPr>
          <w:sz w:val="26"/>
        </w:rPr>
        <w:t xml:space="preserve">Upon review of PGW’s Petition, SBG’s Answer thereto, and the applicable law, we </w:t>
      </w:r>
      <w:r w:rsidR="00DB73B5">
        <w:rPr>
          <w:sz w:val="26"/>
        </w:rPr>
        <w:t xml:space="preserve">find that the substantive allegations </w:t>
      </w:r>
      <w:r w:rsidR="00A8238A">
        <w:rPr>
          <w:sz w:val="26"/>
        </w:rPr>
        <w:t xml:space="preserve">by PGW in its Petition </w:t>
      </w:r>
      <w:r w:rsidR="00DB73B5">
        <w:rPr>
          <w:sz w:val="26"/>
        </w:rPr>
        <w:t xml:space="preserve">in support of </w:t>
      </w:r>
      <w:r w:rsidR="00A8238A">
        <w:rPr>
          <w:sz w:val="26"/>
        </w:rPr>
        <w:t xml:space="preserve">its </w:t>
      </w:r>
      <w:r w:rsidR="00DB73B5">
        <w:rPr>
          <w:sz w:val="26"/>
        </w:rPr>
        <w:t xml:space="preserve">request for stay lack merit. </w:t>
      </w:r>
      <w:r w:rsidR="00F85515">
        <w:rPr>
          <w:sz w:val="26"/>
        </w:rPr>
        <w:t xml:space="preserve"> </w:t>
      </w:r>
      <w:r w:rsidR="00610655">
        <w:rPr>
          <w:sz w:val="26"/>
        </w:rPr>
        <w:t xml:space="preserve">PGW’s allegations fail to satisfy the criterion enumerated under the </w:t>
      </w:r>
      <w:r w:rsidR="00610655" w:rsidRPr="00610655">
        <w:rPr>
          <w:i/>
          <w:sz w:val="26"/>
        </w:rPr>
        <w:t>Process Gas</w:t>
      </w:r>
      <w:r w:rsidR="00610655">
        <w:rPr>
          <w:sz w:val="26"/>
        </w:rPr>
        <w:t xml:space="preserve"> standard, that </w:t>
      </w:r>
      <w:r w:rsidR="004565CE">
        <w:rPr>
          <w:sz w:val="26"/>
        </w:rPr>
        <w:t>P</w:t>
      </w:r>
      <w:r w:rsidR="00610655">
        <w:rPr>
          <w:sz w:val="26"/>
        </w:rPr>
        <w:t>etitioner:</w:t>
      </w:r>
    </w:p>
    <w:p w14:paraId="1F9FD70B" w14:textId="6D6EAD86" w:rsidR="00610655" w:rsidRDefault="00610655" w:rsidP="00610655">
      <w:pPr>
        <w:spacing w:line="240" w:lineRule="auto"/>
        <w:ind w:left="1440" w:right="1440"/>
        <w:rPr>
          <w:sz w:val="26"/>
        </w:rPr>
      </w:pPr>
    </w:p>
    <w:p w14:paraId="0E3F249C" w14:textId="77777777" w:rsidR="009A34BF" w:rsidRDefault="009A34BF" w:rsidP="00927DBD">
      <w:pPr>
        <w:pStyle w:val="ListParagraph"/>
        <w:numPr>
          <w:ilvl w:val="0"/>
          <w:numId w:val="17"/>
        </w:numPr>
        <w:spacing w:line="240" w:lineRule="auto"/>
        <w:ind w:left="1440" w:hanging="720"/>
        <w:rPr>
          <w:sz w:val="26"/>
        </w:rPr>
      </w:pPr>
      <w:r>
        <w:rPr>
          <w:sz w:val="26"/>
        </w:rPr>
        <w:t>M</w:t>
      </w:r>
      <w:r w:rsidRPr="00040D73">
        <w:rPr>
          <w:sz w:val="26"/>
        </w:rPr>
        <w:t xml:space="preserve">ake a strong showing </w:t>
      </w:r>
      <w:r>
        <w:rPr>
          <w:sz w:val="26"/>
        </w:rPr>
        <w:t>of likelihood to prevail on the merits;</w:t>
      </w:r>
    </w:p>
    <w:p w14:paraId="276C2CA5" w14:textId="77777777" w:rsidR="009A34BF" w:rsidRDefault="009A34BF" w:rsidP="009A34BF">
      <w:pPr>
        <w:pStyle w:val="ListParagraph"/>
        <w:spacing w:line="240" w:lineRule="auto"/>
        <w:ind w:left="1440" w:hanging="720"/>
        <w:rPr>
          <w:sz w:val="26"/>
        </w:rPr>
      </w:pPr>
    </w:p>
    <w:p w14:paraId="7BF983B7" w14:textId="77777777" w:rsidR="009A34BF" w:rsidRDefault="009A34BF" w:rsidP="00927DBD">
      <w:pPr>
        <w:pStyle w:val="ListParagraph"/>
        <w:numPr>
          <w:ilvl w:val="0"/>
          <w:numId w:val="17"/>
        </w:numPr>
        <w:spacing w:line="240" w:lineRule="auto"/>
        <w:ind w:left="1440" w:hanging="720"/>
        <w:rPr>
          <w:sz w:val="26"/>
        </w:rPr>
      </w:pPr>
      <w:r>
        <w:rPr>
          <w:sz w:val="26"/>
        </w:rPr>
        <w:t>Show</w:t>
      </w:r>
      <w:r w:rsidRPr="00040D73">
        <w:rPr>
          <w:sz w:val="26"/>
        </w:rPr>
        <w:t xml:space="preserve"> </w:t>
      </w:r>
      <w:r>
        <w:rPr>
          <w:sz w:val="26"/>
        </w:rPr>
        <w:t>that denial of relief will cause</w:t>
      </w:r>
      <w:r w:rsidRPr="00040D73">
        <w:rPr>
          <w:sz w:val="26"/>
        </w:rPr>
        <w:t xml:space="preserve"> irreparable </w:t>
      </w:r>
      <w:r>
        <w:rPr>
          <w:sz w:val="26"/>
        </w:rPr>
        <w:t>injury;</w:t>
      </w:r>
    </w:p>
    <w:p w14:paraId="2E3EF227" w14:textId="77777777" w:rsidR="009A34BF" w:rsidRDefault="009A34BF" w:rsidP="009A34BF">
      <w:pPr>
        <w:pStyle w:val="ListParagraph"/>
        <w:spacing w:line="240" w:lineRule="auto"/>
        <w:ind w:left="1440" w:hanging="720"/>
        <w:rPr>
          <w:sz w:val="26"/>
        </w:rPr>
      </w:pPr>
    </w:p>
    <w:p w14:paraId="3FDC8095" w14:textId="77777777" w:rsidR="009A34BF" w:rsidRDefault="009A34BF" w:rsidP="00927DBD">
      <w:pPr>
        <w:pStyle w:val="ListParagraph"/>
        <w:numPr>
          <w:ilvl w:val="0"/>
          <w:numId w:val="17"/>
        </w:numPr>
        <w:spacing w:line="240" w:lineRule="auto"/>
        <w:ind w:left="1440" w:hanging="720"/>
        <w:rPr>
          <w:sz w:val="26"/>
        </w:rPr>
      </w:pPr>
      <w:r>
        <w:rPr>
          <w:sz w:val="26"/>
        </w:rPr>
        <w:t>Show that the</w:t>
      </w:r>
      <w:r w:rsidRPr="00040D73">
        <w:rPr>
          <w:sz w:val="26"/>
        </w:rPr>
        <w:t xml:space="preserve"> issuance of a stay will not substantially harm other intere</w:t>
      </w:r>
      <w:r>
        <w:rPr>
          <w:sz w:val="26"/>
        </w:rPr>
        <w:t>sted parties in the proceedings; and</w:t>
      </w:r>
    </w:p>
    <w:p w14:paraId="093DB9BC" w14:textId="77777777" w:rsidR="009A34BF" w:rsidRDefault="009A34BF" w:rsidP="009A34BF">
      <w:pPr>
        <w:pStyle w:val="ListParagraph"/>
        <w:spacing w:line="240" w:lineRule="auto"/>
        <w:ind w:left="1440" w:hanging="720"/>
        <w:rPr>
          <w:sz w:val="26"/>
        </w:rPr>
      </w:pPr>
    </w:p>
    <w:p w14:paraId="200B2077" w14:textId="77777777" w:rsidR="009A34BF" w:rsidRPr="00040D73" w:rsidRDefault="009A34BF" w:rsidP="00684408">
      <w:pPr>
        <w:pStyle w:val="ListParagraph"/>
        <w:numPr>
          <w:ilvl w:val="0"/>
          <w:numId w:val="17"/>
        </w:numPr>
        <w:ind w:left="1440" w:hanging="720"/>
        <w:rPr>
          <w:sz w:val="26"/>
        </w:rPr>
      </w:pPr>
      <w:r>
        <w:rPr>
          <w:sz w:val="26"/>
        </w:rPr>
        <w:t>Show that the</w:t>
      </w:r>
      <w:r w:rsidRPr="00040D73">
        <w:rPr>
          <w:sz w:val="26"/>
        </w:rPr>
        <w:t xml:space="preserve"> issuance of a stay will not adversely affect the public interest.</w:t>
      </w:r>
    </w:p>
    <w:p w14:paraId="7B8A0A1B" w14:textId="77777777" w:rsidR="00550022" w:rsidRDefault="00550022" w:rsidP="00684408">
      <w:pPr>
        <w:ind w:firstLine="0"/>
        <w:rPr>
          <w:sz w:val="26"/>
        </w:rPr>
      </w:pPr>
    </w:p>
    <w:p w14:paraId="79B2A2D8" w14:textId="31B85927" w:rsidR="00AC4300" w:rsidRDefault="00610655" w:rsidP="00EA2A9A">
      <w:pPr>
        <w:ind w:firstLine="0"/>
        <w:rPr>
          <w:sz w:val="26"/>
        </w:rPr>
      </w:pPr>
      <w:r w:rsidRPr="00610655">
        <w:rPr>
          <w:i/>
          <w:sz w:val="26"/>
        </w:rPr>
        <w:t>Pennsylvania Public Utility Commission v. Process Gas Consumers Group</w:t>
      </w:r>
      <w:r w:rsidRPr="00610655">
        <w:rPr>
          <w:sz w:val="26"/>
        </w:rPr>
        <w:t>, 502 Pa. 545, 46</w:t>
      </w:r>
      <w:r>
        <w:rPr>
          <w:sz w:val="26"/>
        </w:rPr>
        <w:t>7 A.2d 805 (1983)</w:t>
      </w:r>
      <w:r w:rsidR="00550022">
        <w:rPr>
          <w:sz w:val="26"/>
        </w:rPr>
        <w:t>.</w:t>
      </w:r>
    </w:p>
    <w:p w14:paraId="551E2E2E" w14:textId="77777777" w:rsidR="00AC4300" w:rsidRDefault="00AC4300" w:rsidP="00EA2A9A">
      <w:pPr>
        <w:ind w:firstLine="0"/>
        <w:rPr>
          <w:sz w:val="26"/>
        </w:rPr>
      </w:pPr>
    </w:p>
    <w:p w14:paraId="468E7FE4" w14:textId="7674EA82" w:rsidR="00C02216" w:rsidRDefault="00364A94" w:rsidP="00697F42">
      <w:pPr>
        <w:rPr>
          <w:sz w:val="26"/>
        </w:rPr>
      </w:pPr>
      <w:r>
        <w:rPr>
          <w:sz w:val="26"/>
        </w:rPr>
        <w:lastRenderedPageBreak/>
        <w:t xml:space="preserve">As to the first </w:t>
      </w:r>
      <w:r w:rsidR="006C0DA0" w:rsidRPr="006C0DA0">
        <w:rPr>
          <w:i/>
          <w:sz w:val="26"/>
        </w:rPr>
        <w:t>Process Gas</w:t>
      </w:r>
      <w:r w:rsidR="006C0DA0">
        <w:rPr>
          <w:sz w:val="26"/>
        </w:rPr>
        <w:t xml:space="preserve"> </w:t>
      </w:r>
      <w:r>
        <w:rPr>
          <w:sz w:val="26"/>
        </w:rPr>
        <w:t>criterion</w:t>
      </w:r>
      <w:r w:rsidR="00954A01">
        <w:rPr>
          <w:sz w:val="26"/>
        </w:rPr>
        <w:t>,</w:t>
      </w:r>
      <w:r w:rsidR="00A22947">
        <w:rPr>
          <w:sz w:val="26"/>
        </w:rPr>
        <w:t xml:space="preserve"> </w:t>
      </w:r>
      <w:r w:rsidR="00A84903">
        <w:rPr>
          <w:sz w:val="26"/>
        </w:rPr>
        <w:t xml:space="preserve">we find that </w:t>
      </w:r>
      <w:r w:rsidR="00A22947">
        <w:rPr>
          <w:sz w:val="26"/>
        </w:rPr>
        <w:t>PGW</w:t>
      </w:r>
      <w:r w:rsidR="00954A01">
        <w:rPr>
          <w:sz w:val="26"/>
        </w:rPr>
        <w:t xml:space="preserve"> </w:t>
      </w:r>
      <w:r w:rsidR="00A84903">
        <w:rPr>
          <w:sz w:val="26"/>
        </w:rPr>
        <w:t xml:space="preserve">fails to establish a strong likelihood of success on the merits. </w:t>
      </w:r>
      <w:r w:rsidR="00B1405C">
        <w:rPr>
          <w:sz w:val="26"/>
        </w:rPr>
        <w:t xml:space="preserve"> </w:t>
      </w:r>
      <w:r w:rsidR="00A84903">
        <w:rPr>
          <w:sz w:val="26"/>
        </w:rPr>
        <w:t>PGW argues that because</w:t>
      </w:r>
      <w:r w:rsidR="00B1405C">
        <w:rPr>
          <w:sz w:val="26"/>
        </w:rPr>
        <w:t xml:space="preserve"> the matter presents a “case of first impression</w:t>
      </w:r>
      <w:r w:rsidR="00BE5D17">
        <w:rPr>
          <w:sz w:val="26"/>
        </w:rPr>
        <w:t>,</w:t>
      </w:r>
      <w:r w:rsidR="00B1405C">
        <w:rPr>
          <w:sz w:val="26"/>
        </w:rPr>
        <w:t xml:space="preserve">” </w:t>
      </w:r>
      <w:r w:rsidR="00A84903">
        <w:rPr>
          <w:sz w:val="26"/>
        </w:rPr>
        <w:t>our orders are not founded on solid legal authority</w:t>
      </w:r>
      <w:r w:rsidR="00B1405C">
        <w:rPr>
          <w:sz w:val="26"/>
        </w:rPr>
        <w:t xml:space="preserve">, such that </w:t>
      </w:r>
      <w:r w:rsidR="00A84903">
        <w:rPr>
          <w:sz w:val="26"/>
        </w:rPr>
        <w:t xml:space="preserve">PGW shows a strong likelihood of success on the merits. </w:t>
      </w:r>
      <w:r w:rsidR="00C73F30">
        <w:rPr>
          <w:sz w:val="26"/>
        </w:rPr>
        <w:t xml:space="preserve"> </w:t>
      </w:r>
      <w:r w:rsidR="00A84903">
        <w:rPr>
          <w:sz w:val="26"/>
        </w:rPr>
        <w:t>We disagree.</w:t>
      </w:r>
      <w:r w:rsidR="004D23C3">
        <w:rPr>
          <w:sz w:val="26"/>
        </w:rPr>
        <w:t xml:space="preserve">  Rather, </w:t>
      </w:r>
      <w:r w:rsidR="00A33E7E">
        <w:rPr>
          <w:sz w:val="26"/>
        </w:rPr>
        <w:t xml:space="preserve">we agree with SBG’s position in its Answer that </w:t>
      </w:r>
      <w:r w:rsidR="002152BD">
        <w:rPr>
          <w:sz w:val="26"/>
        </w:rPr>
        <w:t xml:space="preserve">the prior </w:t>
      </w:r>
      <w:r w:rsidR="002152BD">
        <w:rPr>
          <w:i/>
          <w:sz w:val="26"/>
        </w:rPr>
        <w:t>Commission Orders</w:t>
      </w:r>
      <w:r w:rsidR="00B1405C">
        <w:rPr>
          <w:sz w:val="26"/>
        </w:rPr>
        <w:t xml:space="preserve"> </w:t>
      </w:r>
      <w:r w:rsidR="00B33380">
        <w:rPr>
          <w:sz w:val="26"/>
        </w:rPr>
        <w:t xml:space="preserve">in this proceeding </w:t>
      </w:r>
      <w:r w:rsidR="00B1405C">
        <w:rPr>
          <w:sz w:val="26"/>
        </w:rPr>
        <w:t xml:space="preserve">did not present a “case of first impression” </w:t>
      </w:r>
      <w:r w:rsidR="00292774">
        <w:rPr>
          <w:sz w:val="26"/>
        </w:rPr>
        <w:t xml:space="preserve">or create new law </w:t>
      </w:r>
      <w:r w:rsidR="00697F42">
        <w:rPr>
          <w:sz w:val="26"/>
        </w:rPr>
        <w:t>regarding</w:t>
      </w:r>
      <w:r w:rsidR="00B33380">
        <w:rPr>
          <w:sz w:val="26"/>
        </w:rPr>
        <w:t xml:space="preserve"> lawful</w:t>
      </w:r>
      <w:r w:rsidR="00697F42">
        <w:rPr>
          <w:sz w:val="26"/>
        </w:rPr>
        <w:t xml:space="preserve"> utility billing </w:t>
      </w:r>
      <w:r w:rsidR="00C02216">
        <w:rPr>
          <w:sz w:val="26"/>
        </w:rPr>
        <w:t>practices</w:t>
      </w:r>
      <w:r w:rsidR="00697F42">
        <w:rPr>
          <w:sz w:val="26"/>
        </w:rPr>
        <w:t xml:space="preserve"> established under Sections 56.22-24 of the Commission’s </w:t>
      </w:r>
      <w:r w:rsidR="00C87AE7">
        <w:rPr>
          <w:sz w:val="26"/>
        </w:rPr>
        <w:t>r</w:t>
      </w:r>
      <w:r w:rsidR="00697F42">
        <w:rPr>
          <w:sz w:val="26"/>
        </w:rPr>
        <w:t>egulations. 52 Pa. Code §56.22</w:t>
      </w:r>
      <w:r w:rsidR="00BE5D17">
        <w:rPr>
          <w:sz w:val="26"/>
        </w:rPr>
        <w:t>-24</w:t>
      </w:r>
      <w:r w:rsidR="00697F42">
        <w:rPr>
          <w:sz w:val="26"/>
        </w:rPr>
        <w:t>.  As SBG</w:t>
      </w:r>
      <w:r w:rsidR="00C02216">
        <w:rPr>
          <w:sz w:val="26"/>
        </w:rPr>
        <w:t xml:space="preserve"> </w:t>
      </w:r>
      <w:r w:rsidR="002152BD">
        <w:rPr>
          <w:sz w:val="26"/>
        </w:rPr>
        <w:t xml:space="preserve">duly </w:t>
      </w:r>
      <w:r w:rsidR="00C02216">
        <w:rPr>
          <w:sz w:val="26"/>
        </w:rPr>
        <w:t>noted</w:t>
      </w:r>
      <w:r w:rsidR="00697F42">
        <w:rPr>
          <w:sz w:val="26"/>
        </w:rPr>
        <w:t xml:space="preserve">, </w:t>
      </w:r>
      <w:r w:rsidR="00B33380">
        <w:rPr>
          <w:sz w:val="26"/>
        </w:rPr>
        <w:t xml:space="preserve">Commission </w:t>
      </w:r>
      <w:r w:rsidR="00697F42">
        <w:rPr>
          <w:sz w:val="26"/>
        </w:rPr>
        <w:t xml:space="preserve">regulations governing utility billing practices have been in place since 1978, and were enacted </w:t>
      </w:r>
      <w:r w:rsidR="00C02216">
        <w:rPr>
          <w:sz w:val="26"/>
        </w:rPr>
        <w:t>to est</w:t>
      </w:r>
      <w:r w:rsidR="00B33380">
        <w:rPr>
          <w:sz w:val="26"/>
        </w:rPr>
        <w:t>ablish uniform billing</w:t>
      </w:r>
      <w:r w:rsidR="00C02216">
        <w:rPr>
          <w:sz w:val="26"/>
        </w:rPr>
        <w:t xml:space="preserve"> </w:t>
      </w:r>
      <w:r w:rsidR="00B33380">
        <w:rPr>
          <w:sz w:val="26"/>
        </w:rPr>
        <w:t xml:space="preserve">standards </w:t>
      </w:r>
      <w:r w:rsidR="00C02216">
        <w:rPr>
          <w:sz w:val="26"/>
        </w:rPr>
        <w:t xml:space="preserve">for the </w:t>
      </w:r>
      <w:r w:rsidR="00697F42">
        <w:rPr>
          <w:sz w:val="26"/>
        </w:rPr>
        <w:t>protect</w:t>
      </w:r>
      <w:r w:rsidR="00C02216">
        <w:rPr>
          <w:sz w:val="26"/>
        </w:rPr>
        <w:t xml:space="preserve">ion </w:t>
      </w:r>
      <w:r w:rsidR="00697F42">
        <w:rPr>
          <w:sz w:val="26"/>
        </w:rPr>
        <w:t xml:space="preserve">of </w:t>
      </w:r>
      <w:r w:rsidR="00C02216">
        <w:rPr>
          <w:sz w:val="26"/>
        </w:rPr>
        <w:t xml:space="preserve">utility customers from </w:t>
      </w:r>
      <w:r w:rsidR="00697F42">
        <w:rPr>
          <w:sz w:val="26"/>
        </w:rPr>
        <w:t>unreasonable billing practices.</w:t>
      </w:r>
    </w:p>
    <w:p w14:paraId="2D80421B" w14:textId="77777777" w:rsidR="00C02216" w:rsidRDefault="00C02216" w:rsidP="00697F42">
      <w:pPr>
        <w:rPr>
          <w:sz w:val="26"/>
        </w:rPr>
      </w:pPr>
    </w:p>
    <w:p w14:paraId="0A2485D6" w14:textId="507EFB46" w:rsidR="00697F42" w:rsidRDefault="00C02216" w:rsidP="00697F42">
      <w:pPr>
        <w:rPr>
          <w:bCs/>
          <w:spacing w:val="-3"/>
          <w:sz w:val="26"/>
          <w:szCs w:val="26"/>
        </w:rPr>
      </w:pPr>
      <w:r>
        <w:rPr>
          <w:sz w:val="26"/>
        </w:rPr>
        <w:t>We noted in our prior order</w:t>
      </w:r>
      <w:r w:rsidR="0035421F">
        <w:rPr>
          <w:sz w:val="26"/>
        </w:rPr>
        <w:t xml:space="preserve">s </w:t>
      </w:r>
      <w:r>
        <w:rPr>
          <w:sz w:val="26"/>
        </w:rPr>
        <w:t xml:space="preserve">that </w:t>
      </w:r>
      <w:r w:rsidR="0035421F">
        <w:rPr>
          <w:sz w:val="26"/>
        </w:rPr>
        <w:t xml:space="preserve">the Complaints raised </w:t>
      </w:r>
      <w:r>
        <w:rPr>
          <w:sz w:val="26"/>
        </w:rPr>
        <w:t xml:space="preserve">a “case of first impression” </w:t>
      </w:r>
      <w:r w:rsidR="0035421F">
        <w:rPr>
          <w:sz w:val="26"/>
        </w:rPr>
        <w:t xml:space="preserve">involving PGW’s </w:t>
      </w:r>
      <w:r w:rsidR="00292774">
        <w:rPr>
          <w:sz w:val="26"/>
        </w:rPr>
        <w:t>unique classification as</w:t>
      </w:r>
      <w:r w:rsidR="00697F42" w:rsidRPr="00697F42">
        <w:rPr>
          <w:sz w:val="26"/>
          <w:szCs w:val="26"/>
        </w:rPr>
        <w:t xml:space="preserve"> </w:t>
      </w:r>
      <w:r w:rsidR="00697F42">
        <w:rPr>
          <w:sz w:val="26"/>
          <w:szCs w:val="26"/>
        </w:rPr>
        <w:t>a “city natural gas distribution operation</w:t>
      </w:r>
      <w:r>
        <w:rPr>
          <w:sz w:val="26"/>
          <w:szCs w:val="26"/>
        </w:rPr>
        <w:t>.</w:t>
      </w:r>
      <w:r w:rsidR="00697F42">
        <w:rPr>
          <w:sz w:val="26"/>
          <w:szCs w:val="26"/>
        </w:rPr>
        <w:t>”</w:t>
      </w:r>
      <w:r>
        <w:rPr>
          <w:sz w:val="26"/>
          <w:szCs w:val="26"/>
        </w:rPr>
        <w:t xml:space="preserve">  In fact, PGW is the only gas utility operating under this classification in the Commonwealth.  Therefore, PGW’s </w:t>
      </w:r>
      <w:r w:rsidR="00697F42">
        <w:rPr>
          <w:sz w:val="26"/>
          <w:szCs w:val="26"/>
        </w:rPr>
        <w:t xml:space="preserve">authority </w:t>
      </w:r>
      <w:r>
        <w:rPr>
          <w:sz w:val="26"/>
          <w:szCs w:val="26"/>
        </w:rPr>
        <w:t xml:space="preserve">as a gas utility </w:t>
      </w:r>
      <w:r w:rsidR="00697F42">
        <w:rPr>
          <w:sz w:val="26"/>
          <w:szCs w:val="26"/>
        </w:rPr>
        <w:t xml:space="preserve">to collect past due balances </w:t>
      </w:r>
      <w:r w:rsidR="00697F42" w:rsidRPr="00697F42">
        <w:rPr>
          <w:i/>
          <w:sz w:val="26"/>
          <w:szCs w:val="26"/>
        </w:rPr>
        <w:t>via</w:t>
      </w:r>
      <w:r w:rsidR="00697F42">
        <w:rPr>
          <w:sz w:val="26"/>
          <w:szCs w:val="26"/>
        </w:rPr>
        <w:t xml:space="preserve"> imposition of municipal liens</w:t>
      </w:r>
      <w:r>
        <w:rPr>
          <w:sz w:val="26"/>
          <w:szCs w:val="26"/>
        </w:rPr>
        <w:t xml:space="preserve"> presented a case of first impression regarding the</w:t>
      </w:r>
      <w:r w:rsidR="002A52CF">
        <w:rPr>
          <w:sz w:val="26"/>
          <w:szCs w:val="26"/>
        </w:rPr>
        <w:t xml:space="preserve"> interplay between </w:t>
      </w:r>
      <w:r>
        <w:rPr>
          <w:sz w:val="26"/>
          <w:szCs w:val="26"/>
        </w:rPr>
        <w:t>municipal</w:t>
      </w:r>
      <w:r w:rsidR="002A52CF">
        <w:rPr>
          <w:sz w:val="26"/>
          <w:szCs w:val="26"/>
        </w:rPr>
        <w:t xml:space="preserve"> lien law and a utility tariff</w:t>
      </w:r>
      <w:r>
        <w:rPr>
          <w:sz w:val="26"/>
          <w:szCs w:val="26"/>
        </w:rPr>
        <w:t>.</w:t>
      </w:r>
      <w:r w:rsidR="00697F42">
        <w:rPr>
          <w:sz w:val="26"/>
          <w:szCs w:val="26"/>
        </w:rPr>
        <w:t xml:space="preserve">  </w:t>
      </w:r>
      <w:r w:rsidR="00697F42">
        <w:rPr>
          <w:i/>
          <w:sz w:val="26"/>
          <w:szCs w:val="26"/>
        </w:rPr>
        <w:t>See</w:t>
      </w:r>
      <w:r w:rsidR="002A52CF">
        <w:rPr>
          <w:i/>
          <w:sz w:val="26"/>
          <w:szCs w:val="26"/>
        </w:rPr>
        <w:t xml:space="preserve">, i.e., </w:t>
      </w:r>
      <w:r w:rsidR="00697F42">
        <w:rPr>
          <w:i/>
          <w:sz w:val="26"/>
          <w:szCs w:val="26"/>
        </w:rPr>
        <w:t>May </w:t>
      </w:r>
      <w:r w:rsidR="00A77113">
        <w:rPr>
          <w:i/>
          <w:sz w:val="26"/>
          <w:szCs w:val="26"/>
        </w:rPr>
        <w:t>20</w:t>
      </w:r>
      <w:r w:rsidR="00697F42">
        <w:rPr>
          <w:i/>
          <w:sz w:val="26"/>
          <w:szCs w:val="26"/>
        </w:rPr>
        <w:t xml:space="preserve">18 Order </w:t>
      </w:r>
      <w:r w:rsidR="002A52CF">
        <w:rPr>
          <w:sz w:val="26"/>
          <w:szCs w:val="26"/>
        </w:rPr>
        <w:t>at 4-7</w:t>
      </w:r>
      <w:r w:rsidR="00697F42">
        <w:rPr>
          <w:sz w:val="26"/>
          <w:szCs w:val="26"/>
        </w:rPr>
        <w:t>, citing 66 Pa. C.S. § 2212(b).</w:t>
      </w:r>
    </w:p>
    <w:p w14:paraId="28259B88" w14:textId="77777777" w:rsidR="00C02216" w:rsidRPr="009136EC" w:rsidRDefault="00C02216" w:rsidP="00697F42">
      <w:pPr>
        <w:rPr>
          <w:sz w:val="26"/>
          <w:szCs w:val="26"/>
        </w:rPr>
      </w:pPr>
    </w:p>
    <w:p w14:paraId="02594478" w14:textId="03224D56" w:rsidR="00A84903" w:rsidRPr="002A52CF" w:rsidRDefault="006F7941" w:rsidP="00294B43">
      <w:pPr>
        <w:rPr>
          <w:sz w:val="26"/>
        </w:rPr>
      </w:pPr>
      <w:r>
        <w:rPr>
          <w:sz w:val="26"/>
        </w:rPr>
        <w:t>However, our</w:t>
      </w:r>
      <w:r w:rsidR="00A77113">
        <w:rPr>
          <w:sz w:val="26"/>
        </w:rPr>
        <w:t xml:space="preserve"> disposition of the underlying C</w:t>
      </w:r>
      <w:r>
        <w:rPr>
          <w:sz w:val="26"/>
        </w:rPr>
        <w:t>omplaints and the legal authori</w:t>
      </w:r>
      <w:r w:rsidR="0084465B">
        <w:rPr>
          <w:sz w:val="26"/>
        </w:rPr>
        <w:t xml:space="preserve">ty relied upon for the determination </w:t>
      </w:r>
      <w:r w:rsidR="00BE5D17">
        <w:rPr>
          <w:sz w:val="26"/>
        </w:rPr>
        <w:t xml:space="preserve">of </w:t>
      </w:r>
      <w:r w:rsidR="00B1405C">
        <w:rPr>
          <w:sz w:val="26"/>
        </w:rPr>
        <w:t>whether PGW’s billing practices were unlawful</w:t>
      </w:r>
      <w:r w:rsidR="0084465B">
        <w:rPr>
          <w:sz w:val="26"/>
        </w:rPr>
        <w:t xml:space="preserve"> and whether PGW’s conduct was unreasonable,</w:t>
      </w:r>
      <w:r w:rsidR="00B1405C">
        <w:rPr>
          <w:sz w:val="26"/>
        </w:rPr>
        <w:t xml:space="preserve"> fell squarely within </w:t>
      </w:r>
      <w:r w:rsidR="0080740C">
        <w:rPr>
          <w:sz w:val="26"/>
        </w:rPr>
        <w:t xml:space="preserve">our </w:t>
      </w:r>
      <w:r w:rsidR="0084465B">
        <w:rPr>
          <w:sz w:val="26"/>
        </w:rPr>
        <w:t xml:space="preserve">jurisdiction </w:t>
      </w:r>
      <w:r w:rsidR="002A52CF">
        <w:rPr>
          <w:sz w:val="26"/>
        </w:rPr>
        <w:t xml:space="preserve">and broad discretion to interpret the provisions of the Code </w:t>
      </w:r>
      <w:r w:rsidR="0084465B">
        <w:rPr>
          <w:sz w:val="26"/>
        </w:rPr>
        <w:t>to oversee and ensure the good</w:t>
      </w:r>
      <w:r w:rsidR="0080740C">
        <w:rPr>
          <w:sz w:val="26"/>
        </w:rPr>
        <w:t>-</w:t>
      </w:r>
      <w:r w:rsidR="0084465B">
        <w:rPr>
          <w:sz w:val="26"/>
        </w:rPr>
        <w:t>faith conduct of public utilities</w:t>
      </w:r>
      <w:r w:rsidR="002A52CF">
        <w:rPr>
          <w:sz w:val="26"/>
        </w:rPr>
        <w:t xml:space="preserve">, including </w:t>
      </w:r>
      <w:r w:rsidR="00B1405C">
        <w:rPr>
          <w:sz w:val="26"/>
        </w:rPr>
        <w:t xml:space="preserve">implementation of </w:t>
      </w:r>
      <w:r w:rsidR="0080740C">
        <w:rPr>
          <w:sz w:val="26"/>
        </w:rPr>
        <w:t xml:space="preserve">our </w:t>
      </w:r>
      <w:r w:rsidR="00B1405C">
        <w:rPr>
          <w:sz w:val="26"/>
        </w:rPr>
        <w:t>consumer protection regulations governing utility billing practices under Sections 56.22</w:t>
      </w:r>
      <w:r w:rsidR="0080740C">
        <w:rPr>
          <w:sz w:val="26"/>
        </w:rPr>
        <w:noBreakHyphen/>
      </w:r>
      <w:r w:rsidR="00B1405C">
        <w:rPr>
          <w:sz w:val="26"/>
        </w:rPr>
        <w:t xml:space="preserve">24 of </w:t>
      </w:r>
      <w:r w:rsidR="0080740C">
        <w:rPr>
          <w:sz w:val="26"/>
        </w:rPr>
        <w:t>our r</w:t>
      </w:r>
      <w:r w:rsidR="00B1405C">
        <w:rPr>
          <w:sz w:val="26"/>
        </w:rPr>
        <w:t xml:space="preserve">egulations. </w:t>
      </w:r>
      <w:r w:rsidR="0080740C">
        <w:rPr>
          <w:sz w:val="26"/>
        </w:rPr>
        <w:t xml:space="preserve"> </w:t>
      </w:r>
      <w:r w:rsidR="00B1405C">
        <w:rPr>
          <w:sz w:val="26"/>
        </w:rPr>
        <w:t xml:space="preserve">52 Pa. Code §56.22–24.  </w:t>
      </w:r>
      <w:r w:rsidR="00B1405C" w:rsidRPr="00B1405C">
        <w:rPr>
          <w:i/>
          <w:sz w:val="26"/>
        </w:rPr>
        <w:t xml:space="preserve">December 2016 Order </w:t>
      </w:r>
      <w:r w:rsidR="00B1405C" w:rsidRPr="002A52CF">
        <w:rPr>
          <w:i/>
          <w:sz w:val="26"/>
        </w:rPr>
        <w:t>at</w:t>
      </w:r>
      <w:r w:rsidR="002A52CF" w:rsidRPr="002A52CF">
        <w:rPr>
          <w:i/>
          <w:sz w:val="26"/>
        </w:rPr>
        <w:t xml:space="preserve"> 71-77.</w:t>
      </w:r>
      <w:r w:rsidR="002A52CF">
        <w:rPr>
          <w:i/>
          <w:sz w:val="26"/>
        </w:rPr>
        <w:t xml:space="preserve">  </w:t>
      </w:r>
      <w:r w:rsidR="002A52CF">
        <w:rPr>
          <w:sz w:val="26"/>
        </w:rPr>
        <w:lastRenderedPageBreak/>
        <w:t xml:space="preserve">Our disposition of </w:t>
      </w:r>
      <w:r w:rsidR="002A52CF" w:rsidRPr="002A52CF">
        <w:rPr>
          <w:sz w:val="26"/>
        </w:rPr>
        <w:t>th</w:t>
      </w:r>
      <w:r w:rsidR="0031155C">
        <w:rPr>
          <w:sz w:val="26"/>
        </w:rPr>
        <w:t>e underlying proceedings was</w:t>
      </w:r>
      <w:r w:rsidR="002A52CF" w:rsidRPr="002A52CF">
        <w:rPr>
          <w:sz w:val="26"/>
        </w:rPr>
        <w:t xml:space="preserve"> expressl</w:t>
      </w:r>
      <w:r w:rsidR="002A52CF">
        <w:rPr>
          <w:sz w:val="26"/>
        </w:rPr>
        <w:t>y limited to matters within Commission authority.</w:t>
      </w:r>
      <w:r w:rsidR="0031155C">
        <w:rPr>
          <w:sz w:val="26"/>
        </w:rPr>
        <w:t xml:space="preserve"> </w:t>
      </w:r>
      <w:r w:rsidR="0031155C" w:rsidRPr="00644537">
        <w:rPr>
          <w:i/>
          <w:sz w:val="26"/>
        </w:rPr>
        <w:t>See,</w:t>
      </w:r>
      <w:r w:rsidR="0031155C">
        <w:rPr>
          <w:sz w:val="26"/>
        </w:rPr>
        <w:t xml:space="preserve"> </w:t>
      </w:r>
      <w:r w:rsidR="002A52CF" w:rsidRPr="002A52CF">
        <w:rPr>
          <w:i/>
          <w:sz w:val="26"/>
        </w:rPr>
        <w:t>Id</w:t>
      </w:r>
      <w:r w:rsidR="002A52CF">
        <w:rPr>
          <w:sz w:val="26"/>
        </w:rPr>
        <w:t>.</w:t>
      </w:r>
    </w:p>
    <w:p w14:paraId="35A466AB" w14:textId="77777777" w:rsidR="0071277B" w:rsidRDefault="0071277B" w:rsidP="0084465B">
      <w:pPr>
        <w:ind w:firstLine="0"/>
        <w:rPr>
          <w:sz w:val="26"/>
        </w:rPr>
      </w:pPr>
    </w:p>
    <w:p w14:paraId="7F037501" w14:textId="0B92B92B" w:rsidR="00294B43" w:rsidRDefault="0008199D" w:rsidP="0084465B">
      <w:pPr>
        <w:rPr>
          <w:sz w:val="26"/>
        </w:rPr>
      </w:pPr>
      <w:r>
        <w:rPr>
          <w:sz w:val="26"/>
        </w:rPr>
        <w:t xml:space="preserve">As to the second </w:t>
      </w:r>
      <w:r w:rsidR="006C0DA0" w:rsidRPr="006C0DA0">
        <w:rPr>
          <w:i/>
          <w:sz w:val="26"/>
        </w:rPr>
        <w:t>Process Gas</w:t>
      </w:r>
      <w:r w:rsidR="006C0DA0">
        <w:rPr>
          <w:sz w:val="26"/>
        </w:rPr>
        <w:t xml:space="preserve"> </w:t>
      </w:r>
      <w:r>
        <w:rPr>
          <w:sz w:val="26"/>
        </w:rPr>
        <w:t xml:space="preserve">criterion, </w:t>
      </w:r>
      <w:r w:rsidR="009568CE">
        <w:rPr>
          <w:sz w:val="26"/>
        </w:rPr>
        <w:t xml:space="preserve">we find that </w:t>
      </w:r>
      <w:r>
        <w:rPr>
          <w:sz w:val="26"/>
        </w:rPr>
        <w:t xml:space="preserve">PGW </w:t>
      </w:r>
      <w:r w:rsidR="009568CE">
        <w:rPr>
          <w:sz w:val="26"/>
        </w:rPr>
        <w:t xml:space="preserve">fails to </w:t>
      </w:r>
      <w:r w:rsidR="00294B43">
        <w:rPr>
          <w:sz w:val="26"/>
        </w:rPr>
        <w:t xml:space="preserve">show it will suffer irreparable harm in the absence of a stay.  </w:t>
      </w:r>
      <w:r w:rsidR="00FF5020">
        <w:rPr>
          <w:sz w:val="26"/>
        </w:rPr>
        <w:t xml:space="preserve">As a general matter, PGW’s claims of financial harm, if required to comply with the </w:t>
      </w:r>
      <w:r w:rsidR="00FF5020">
        <w:rPr>
          <w:i/>
          <w:sz w:val="26"/>
        </w:rPr>
        <w:t>Commission Orders</w:t>
      </w:r>
      <w:r w:rsidR="00FF5020">
        <w:rPr>
          <w:sz w:val="26"/>
        </w:rPr>
        <w:t>, are unsupported and do not weigh in favor of granting a stay.  It is well settled in the law that financial harm is not considered irreparable.</w:t>
      </w:r>
      <w:r w:rsidR="00FF5020">
        <w:rPr>
          <w:rStyle w:val="FootnoteReference"/>
          <w:sz w:val="26"/>
        </w:rPr>
        <w:footnoteReference w:id="13"/>
      </w:r>
      <w:r w:rsidR="00FF5020">
        <w:rPr>
          <w:sz w:val="26"/>
        </w:rPr>
        <w:t xml:space="preserve">  </w:t>
      </w:r>
      <w:r w:rsidR="00ED3B4E">
        <w:rPr>
          <w:sz w:val="26"/>
        </w:rPr>
        <w:t xml:space="preserve">Thus, </w:t>
      </w:r>
      <w:r w:rsidR="00A978A0">
        <w:rPr>
          <w:sz w:val="26"/>
        </w:rPr>
        <w:t xml:space="preserve">for reasons discussed in more detail below, </w:t>
      </w:r>
      <w:r w:rsidR="00ED3B4E">
        <w:rPr>
          <w:sz w:val="26"/>
        </w:rPr>
        <w:t>w</w:t>
      </w:r>
      <w:r w:rsidR="00294B43">
        <w:rPr>
          <w:sz w:val="26"/>
        </w:rPr>
        <w:t>e are unpersuaded by PGW</w:t>
      </w:r>
      <w:r w:rsidR="006C0DA0">
        <w:rPr>
          <w:sz w:val="26"/>
        </w:rPr>
        <w:t>’s</w:t>
      </w:r>
      <w:r w:rsidR="00294B43">
        <w:rPr>
          <w:sz w:val="26"/>
        </w:rPr>
        <w:t xml:space="preserve"> arguments that the </w:t>
      </w:r>
      <w:r w:rsidR="00644537">
        <w:rPr>
          <w:i/>
          <w:sz w:val="26"/>
        </w:rPr>
        <w:t>Commission Orders</w:t>
      </w:r>
      <w:r w:rsidR="00294B43">
        <w:rPr>
          <w:sz w:val="26"/>
        </w:rPr>
        <w:t xml:space="preserve"> negatively impact PGW’s financial stability or preclude PGW from entering municipal liens, inflict </w:t>
      </w:r>
      <w:r w:rsidR="00294B43" w:rsidRPr="00294B43">
        <w:rPr>
          <w:i/>
          <w:sz w:val="26"/>
        </w:rPr>
        <w:t>per se</w:t>
      </w:r>
      <w:r w:rsidR="00294B43">
        <w:rPr>
          <w:sz w:val="26"/>
        </w:rPr>
        <w:t xml:space="preserve"> harm as unlawful orders, impose an unreasonable compliance schedule, or would require PGW to expend “substantial money, time and energy” to </w:t>
      </w:r>
      <w:r w:rsidR="00652E8D">
        <w:rPr>
          <w:sz w:val="26"/>
        </w:rPr>
        <w:t>implement lawful billing practice.</w:t>
      </w:r>
    </w:p>
    <w:p w14:paraId="273ECC8A" w14:textId="77777777" w:rsidR="00817614" w:rsidRDefault="00817614" w:rsidP="00817614">
      <w:pPr>
        <w:rPr>
          <w:sz w:val="26"/>
        </w:rPr>
      </w:pPr>
    </w:p>
    <w:p w14:paraId="2F399E94" w14:textId="6AA0B5E0" w:rsidR="00675366" w:rsidRDefault="00675366" w:rsidP="00817614">
      <w:pPr>
        <w:rPr>
          <w:sz w:val="26"/>
        </w:rPr>
      </w:pPr>
      <w:r>
        <w:rPr>
          <w:sz w:val="26"/>
        </w:rPr>
        <w:t>We note that a Petition for Stay</w:t>
      </w:r>
      <w:r w:rsidR="006F7941">
        <w:rPr>
          <w:sz w:val="26"/>
        </w:rPr>
        <w:t xml:space="preserve">, which asserts </w:t>
      </w:r>
      <w:r>
        <w:rPr>
          <w:sz w:val="26"/>
        </w:rPr>
        <w:t xml:space="preserve">harm due to the financial cost of compliance with an order, should include some realistic representation or estimate of the actual financial costs, based </w:t>
      </w:r>
      <w:r w:rsidR="005640CF">
        <w:rPr>
          <w:sz w:val="26"/>
        </w:rPr>
        <w:t xml:space="preserve">on </w:t>
      </w:r>
      <w:r>
        <w:rPr>
          <w:sz w:val="26"/>
        </w:rPr>
        <w:t xml:space="preserve">a reasonable calculation of the actual foreseeable costs necessary for compliance.  </w:t>
      </w:r>
      <w:r w:rsidR="00652E8D">
        <w:rPr>
          <w:sz w:val="26"/>
        </w:rPr>
        <w:t xml:space="preserve">PGW’s </w:t>
      </w:r>
      <w:r>
        <w:rPr>
          <w:sz w:val="26"/>
        </w:rPr>
        <w:t xml:space="preserve">Petition asserted </w:t>
      </w:r>
      <w:r w:rsidR="001E78DD">
        <w:rPr>
          <w:sz w:val="26"/>
        </w:rPr>
        <w:t xml:space="preserve">that substantial </w:t>
      </w:r>
      <w:r w:rsidR="00652E8D">
        <w:rPr>
          <w:sz w:val="26"/>
        </w:rPr>
        <w:t xml:space="preserve">costs </w:t>
      </w:r>
      <w:r w:rsidR="009F5B61">
        <w:rPr>
          <w:sz w:val="26"/>
        </w:rPr>
        <w:t xml:space="preserve">in </w:t>
      </w:r>
      <w:r w:rsidR="00652E8D">
        <w:rPr>
          <w:sz w:val="26"/>
        </w:rPr>
        <w:t>“money</w:t>
      </w:r>
      <w:r w:rsidR="009F5B61">
        <w:rPr>
          <w:sz w:val="26"/>
        </w:rPr>
        <w:t>,</w:t>
      </w:r>
      <w:r w:rsidR="00652E8D">
        <w:rPr>
          <w:sz w:val="26"/>
        </w:rPr>
        <w:t xml:space="preserve"> time and energy</w:t>
      </w:r>
      <w:r w:rsidR="009F5B61">
        <w:rPr>
          <w:sz w:val="26"/>
        </w:rPr>
        <w:t>”</w:t>
      </w:r>
      <w:r w:rsidR="00652E8D">
        <w:rPr>
          <w:sz w:val="26"/>
        </w:rPr>
        <w:t xml:space="preserve"> </w:t>
      </w:r>
      <w:r w:rsidR="001E78DD">
        <w:rPr>
          <w:sz w:val="26"/>
        </w:rPr>
        <w:t xml:space="preserve">are </w:t>
      </w:r>
      <w:r w:rsidR="009F5B61">
        <w:rPr>
          <w:sz w:val="26"/>
        </w:rPr>
        <w:t xml:space="preserve">required for compliance with </w:t>
      </w:r>
      <w:r w:rsidR="005640CF">
        <w:rPr>
          <w:sz w:val="26"/>
        </w:rPr>
        <w:t xml:space="preserve">the </w:t>
      </w:r>
      <w:r w:rsidR="005640CF" w:rsidRPr="005640CF">
        <w:rPr>
          <w:i/>
          <w:sz w:val="26"/>
        </w:rPr>
        <w:t>Commissions O</w:t>
      </w:r>
      <w:r w:rsidR="00652E8D" w:rsidRPr="005640CF">
        <w:rPr>
          <w:i/>
          <w:sz w:val="26"/>
        </w:rPr>
        <w:t>rders</w:t>
      </w:r>
      <w:r w:rsidR="001E78DD" w:rsidRPr="001E78DD">
        <w:rPr>
          <w:sz w:val="26"/>
        </w:rPr>
        <w:t>; however, these costs</w:t>
      </w:r>
      <w:r w:rsidR="00652E8D" w:rsidRPr="001E78DD">
        <w:rPr>
          <w:sz w:val="26"/>
        </w:rPr>
        <w:t xml:space="preserve"> </w:t>
      </w:r>
      <w:r w:rsidR="00652E8D">
        <w:rPr>
          <w:sz w:val="26"/>
        </w:rPr>
        <w:t xml:space="preserve">are </w:t>
      </w:r>
      <w:r w:rsidR="009F5B61">
        <w:rPr>
          <w:sz w:val="26"/>
        </w:rPr>
        <w:t xml:space="preserve">completely </w:t>
      </w:r>
      <w:r>
        <w:rPr>
          <w:sz w:val="26"/>
        </w:rPr>
        <w:t>unsubstantiated in the Petition</w:t>
      </w:r>
      <w:r w:rsidR="00652E8D">
        <w:rPr>
          <w:sz w:val="26"/>
        </w:rPr>
        <w:t>.</w:t>
      </w:r>
      <w:r>
        <w:rPr>
          <w:sz w:val="26"/>
        </w:rPr>
        <w:t xml:space="preserve">  Petition at 5-7.</w:t>
      </w:r>
      <w:r w:rsidR="00652E8D">
        <w:rPr>
          <w:sz w:val="26"/>
        </w:rPr>
        <w:t xml:space="preserve">  PGW provided no </w:t>
      </w:r>
      <w:r>
        <w:rPr>
          <w:sz w:val="26"/>
        </w:rPr>
        <w:t xml:space="preserve">dollar figures, no </w:t>
      </w:r>
      <w:r w:rsidR="00652E8D">
        <w:rPr>
          <w:sz w:val="26"/>
        </w:rPr>
        <w:t xml:space="preserve">calculation based on facts, no estimated dollar amounts, </w:t>
      </w:r>
      <w:r w:rsidR="00BE5D17">
        <w:rPr>
          <w:sz w:val="26"/>
        </w:rPr>
        <w:t xml:space="preserve">no </w:t>
      </w:r>
      <w:r w:rsidR="009F5B61">
        <w:rPr>
          <w:sz w:val="26"/>
        </w:rPr>
        <w:t>estimated labor</w:t>
      </w:r>
      <w:r w:rsidR="00652E8D">
        <w:rPr>
          <w:sz w:val="26"/>
        </w:rPr>
        <w:t xml:space="preserve"> hours required, an</w:t>
      </w:r>
      <w:r>
        <w:rPr>
          <w:sz w:val="26"/>
        </w:rPr>
        <w:t>d no estimated “energy” costs (</w:t>
      </w:r>
      <w:r w:rsidR="00652E8D">
        <w:rPr>
          <w:sz w:val="26"/>
        </w:rPr>
        <w:t>for human energy we presume)</w:t>
      </w:r>
      <w:r w:rsidR="009F5B61">
        <w:rPr>
          <w:sz w:val="26"/>
        </w:rPr>
        <w:t>.</w:t>
      </w:r>
    </w:p>
    <w:p w14:paraId="50856271" w14:textId="77777777" w:rsidR="00675366" w:rsidRDefault="00675366" w:rsidP="0084465B">
      <w:pPr>
        <w:rPr>
          <w:sz w:val="26"/>
        </w:rPr>
      </w:pPr>
    </w:p>
    <w:p w14:paraId="281E5840" w14:textId="70D16E68" w:rsidR="009F5B61" w:rsidRDefault="009F5B61" w:rsidP="0084465B">
      <w:pPr>
        <w:rPr>
          <w:sz w:val="26"/>
        </w:rPr>
      </w:pPr>
      <w:r>
        <w:rPr>
          <w:sz w:val="26"/>
        </w:rPr>
        <w:lastRenderedPageBreak/>
        <w:t>For example, t</w:t>
      </w:r>
      <w:r w:rsidR="00652E8D">
        <w:rPr>
          <w:sz w:val="26"/>
        </w:rPr>
        <w:t xml:space="preserve">he Verified Statement attached to PGW’s Petition in support of the </w:t>
      </w:r>
      <w:r>
        <w:rPr>
          <w:sz w:val="26"/>
        </w:rPr>
        <w:t xml:space="preserve">general </w:t>
      </w:r>
      <w:r w:rsidR="00652E8D">
        <w:rPr>
          <w:sz w:val="26"/>
        </w:rPr>
        <w:t xml:space="preserve">assertion of the substantial </w:t>
      </w:r>
      <w:r w:rsidR="00675366">
        <w:rPr>
          <w:sz w:val="26"/>
        </w:rPr>
        <w:t>“</w:t>
      </w:r>
      <w:r w:rsidR="00652E8D">
        <w:rPr>
          <w:sz w:val="26"/>
        </w:rPr>
        <w:t>money, time and energy</w:t>
      </w:r>
      <w:r w:rsidR="00675366">
        <w:rPr>
          <w:sz w:val="26"/>
        </w:rPr>
        <w:t>”</w:t>
      </w:r>
      <w:r>
        <w:rPr>
          <w:sz w:val="26"/>
        </w:rPr>
        <w:t xml:space="preserve"> required </w:t>
      </w:r>
      <w:r w:rsidR="00675366">
        <w:rPr>
          <w:sz w:val="26"/>
        </w:rPr>
        <w:t xml:space="preserve">to </w:t>
      </w:r>
      <w:r>
        <w:rPr>
          <w:sz w:val="26"/>
        </w:rPr>
        <w:t>adjust PGW’s billing practices</w:t>
      </w:r>
      <w:r w:rsidR="00675366">
        <w:rPr>
          <w:sz w:val="26"/>
        </w:rPr>
        <w:t>, expressly states</w:t>
      </w:r>
      <w:r w:rsidR="00652E8D">
        <w:rPr>
          <w:sz w:val="26"/>
        </w:rPr>
        <w:t xml:space="preserve"> that PGW </w:t>
      </w:r>
      <w:r w:rsidR="00652E8D" w:rsidRPr="00675366">
        <w:rPr>
          <w:i/>
          <w:sz w:val="26"/>
        </w:rPr>
        <w:t>does not have a</w:t>
      </w:r>
      <w:r w:rsidR="00675366" w:rsidRPr="00675366">
        <w:rPr>
          <w:i/>
          <w:sz w:val="26"/>
        </w:rPr>
        <w:t>n estimate</w:t>
      </w:r>
      <w:r w:rsidR="00652E8D" w:rsidRPr="00675366">
        <w:rPr>
          <w:i/>
          <w:sz w:val="26"/>
        </w:rPr>
        <w:t xml:space="preserve"> of </w:t>
      </w:r>
      <w:r w:rsidRPr="00675366">
        <w:rPr>
          <w:i/>
          <w:sz w:val="26"/>
        </w:rPr>
        <w:t>costs</w:t>
      </w:r>
      <w:r>
        <w:rPr>
          <w:sz w:val="26"/>
        </w:rPr>
        <w:t xml:space="preserve"> to make the lien modifications required.</w:t>
      </w:r>
      <w:r w:rsidR="00615AE8">
        <w:rPr>
          <w:rStyle w:val="FootnoteReference"/>
          <w:sz w:val="26"/>
        </w:rPr>
        <w:footnoteReference w:id="14"/>
      </w:r>
      <w:r>
        <w:rPr>
          <w:sz w:val="26"/>
        </w:rPr>
        <w:t xml:space="preserve">  </w:t>
      </w:r>
      <w:r w:rsidR="007F424B">
        <w:rPr>
          <w:sz w:val="26"/>
        </w:rPr>
        <w:t>Therefore, it appears that</w:t>
      </w:r>
      <w:r>
        <w:rPr>
          <w:sz w:val="26"/>
        </w:rPr>
        <w:t xml:space="preserve"> </w:t>
      </w:r>
      <w:r w:rsidR="00A659B1">
        <w:rPr>
          <w:sz w:val="26"/>
        </w:rPr>
        <w:t xml:space="preserve">during </w:t>
      </w:r>
      <w:r>
        <w:rPr>
          <w:sz w:val="26"/>
        </w:rPr>
        <w:t xml:space="preserve">the </w:t>
      </w:r>
      <w:r w:rsidR="00C640CE">
        <w:rPr>
          <w:sz w:val="26"/>
        </w:rPr>
        <w:t>six-</w:t>
      </w:r>
      <w:r>
        <w:rPr>
          <w:sz w:val="26"/>
        </w:rPr>
        <w:t xml:space="preserve">plus years of </w:t>
      </w:r>
      <w:r w:rsidR="00817614">
        <w:rPr>
          <w:sz w:val="26"/>
        </w:rPr>
        <w:t xml:space="preserve">litigation over </w:t>
      </w:r>
      <w:r>
        <w:rPr>
          <w:sz w:val="26"/>
        </w:rPr>
        <w:t>utility billing c</w:t>
      </w:r>
      <w:r w:rsidR="007F424B">
        <w:rPr>
          <w:sz w:val="26"/>
        </w:rPr>
        <w:t xml:space="preserve">ompliance issues, and </w:t>
      </w:r>
      <w:r w:rsidR="005640CF">
        <w:rPr>
          <w:sz w:val="26"/>
        </w:rPr>
        <w:t xml:space="preserve">after </w:t>
      </w:r>
      <w:r w:rsidR="007F424B">
        <w:rPr>
          <w:sz w:val="26"/>
        </w:rPr>
        <w:t>the</w:t>
      </w:r>
      <w:r>
        <w:rPr>
          <w:sz w:val="26"/>
        </w:rPr>
        <w:t xml:space="preserve"> </w:t>
      </w:r>
      <w:r w:rsidR="00A659B1">
        <w:rPr>
          <w:sz w:val="26"/>
        </w:rPr>
        <w:t xml:space="preserve">three </w:t>
      </w:r>
      <w:r>
        <w:rPr>
          <w:sz w:val="26"/>
        </w:rPr>
        <w:t xml:space="preserve">final </w:t>
      </w:r>
      <w:r w:rsidRPr="007F424B">
        <w:rPr>
          <w:i/>
          <w:sz w:val="26"/>
        </w:rPr>
        <w:t>adverse</w:t>
      </w:r>
      <w:r>
        <w:rPr>
          <w:sz w:val="26"/>
        </w:rPr>
        <w:t xml:space="preserve"> </w:t>
      </w:r>
      <w:r w:rsidR="0064481A">
        <w:rPr>
          <w:i/>
          <w:sz w:val="26"/>
        </w:rPr>
        <w:t>Commission Orders</w:t>
      </w:r>
      <w:r w:rsidR="007F424B">
        <w:rPr>
          <w:sz w:val="26"/>
        </w:rPr>
        <w:t xml:space="preserve"> requiring compliance and imposing </w:t>
      </w:r>
      <w:r w:rsidR="00BE5D17">
        <w:rPr>
          <w:sz w:val="26"/>
        </w:rPr>
        <w:t>a civil penalty</w:t>
      </w:r>
      <w:r>
        <w:rPr>
          <w:sz w:val="26"/>
        </w:rPr>
        <w:t>,</w:t>
      </w:r>
      <w:r w:rsidR="007F424B">
        <w:rPr>
          <w:sz w:val="26"/>
        </w:rPr>
        <w:t xml:space="preserve"> </w:t>
      </w:r>
      <w:r>
        <w:rPr>
          <w:sz w:val="26"/>
        </w:rPr>
        <w:t xml:space="preserve">PGW </w:t>
      </w:r>
      <w:r w:rsidR="007F424B">
        <w:rPr>
          <w:sz w:val="26"/>
        </w:rPr>
        <w:t>failed to take</w:t>
      </w:r>
      <w:r>
        <w:rPr>
          <w:sz w:val="26"/>
        </w:rPr>
        <w:t xml:space="preserve"> </w:t>
      </w:r>
      <w:r w:rsidRPr="007F424B">
        <w:rPr>
          <w:i/>
          <w:sz w:val="26"/>
        </w:rPr>
        <w:t>any</w:t>
      </w:r>
      <w:r>
        <w:rPr>
          <w:sz w:val="26"/>
        </w:rPr>
        <w:t xml:space="preserve"> affirmative steps toward compl</w:t>
      </w:r>
      <w:r w:rsidR="003A4C98">
        <w:rPr>
          <w:sz w:val="26"/>
        </w:rPr>
        <w:t xml:space="preserve">ying with the </w:t>
      </w:r>
      <w:r w:rsidR="003A4C98">
        <w:rPr>
          <w:i/>
          <w:sz w:val="26"/>
        </w:rPr>
        <w:t>Commission Orders</w:t>
      </w:r>
      <w:r>
        <w:rPr>
          <w:sz w:val="26"/>
        </w:rPr>
        <w:t>,</w:t>
      </w:r>
      <w:r w:rsidR="007F424B">
        <w:rPr>
          <w:sz w:val="26"/>
        </w:rPr>
        <w:t xml:space="preserve"> including to c</w:t>
      </w:r>
      <w:r w:rsidR="006F7941">
        <w:rPr>
          <w:sz w:val="26"/>
        </w:rPr>
        <w:t xml:space="preserve">onduct a fact-based </w:t>
      </w:r>
      <w:r w:rsidR="007F424B">
        <w:rPr>
          <w:sz w:val="26"/>
        </w:rPr>
        <w:t xml:space="preserve">assessment of the necessary </w:t>
      </w:r>
      <w:r w:rsidR="00FA667F">
        <w:rPr>
          <w:sz w:val="26"/>
        </w:rPr>
        <w:t xml:space="preserve">actions </w:t>
      </w:r>
      <w:r w:rsidR="007F424B">
        <w:rPr>
          <w:sz w:val="26"/>
        </w:rPr>
        <w:t xml:space="preserve">and </w:t>
      </w:r>
      <w:r w:rsidR="003A4C98">
        <w:rPr>
          <w:sz w:val="26"/>
        </w:rPr>
        <w:t xml:space="preserve">determining the </w:t>
      </w:r>
      <w:r w:rsidR="007F424B">
        <w:rPr>
          <w:sz w:val="26"/>
        </w:rPr>
        <w:t xml:space="preserve">actual costs </w:t>
      </w:r>
      <w:r w:rsidR="00AB7279">
        <w:rPr>
          <w:sz w:val="26"/>
        </w:rPr>
        <w:t>associate</w:t>
      </w:r>
      <w:r w:rsidR="00584BE0">
        <w:rPr>
          <w:sz w:val="26"/>
        </w:rPr>
        <w:t>d</w:t>
      </w:r>
      <w:r w:rsidR="00AB7279">
        <w:rPr>
          <w:sz w:val="26"/>
        </w:rPr>
        <w:t xml:space="preserve"> with full </w:t>
      </w:r>
      <w:r w:rsidR="007F424B">
        <w:rPr>
          <w:sz w:val="26"/>
        </w:rPr>
        <w:t>compliance.</w:t>
      </w:r>
    </w:p>
    <w:p w14:paraId="2F2C68DE" w14:textId="77777777" w:rsidR="009F5B61" w:rsidRDefault="009F5B61" w:rsidP="0084465B">
      <w:pPr>
        <w:rPr>
          <w:sz w:val="26"/>
        </w:rPr>
      </w:pPr>
    </w:p>
    <w:p w14:paraId="55BFC96A" w14:textId="21659B44" w:rsidR="00817614" w:rsidRDefault="00232EA8" w:rsidP="0084465B">
      <w:pPr>
        <w:rPr>
          <w:sz w:val="26"/>
        </w:rPr>
      </w:pPr>
      <w:r>
        <w:rPr>
          <w:sz w:val="26"/>
        </w:rPr>
        <w:t xml:space="preserve">We further find that </w:t>
      </w:r>
      <w:r w:rsidR="00817614">
        <w:rPr>
          <w:sz w:val="26"/>
        </w:rPr>
        <w:t>PGW’s assertion that the</w:t>
      </w:r>
      <w:r w:rsidR="00294B43">
        <w:rPr>
          <w:sz w:val="26"/>
        </w:rPr>
        <w:t xml:space="preserve"> </w:t>
      </w:r>
      <w:r w:rsidR="00AB7279">
        <w:rPr>
          <w:i/>
          <w:sz w:val="26"/>
        </w:rPr>
        <w:t>Commission Orders</w:t>
      </w:r>
      <w:r w:rsidR="00A579F8">
        <w:rPr>
          <w:i/>
          <w:sz w:val="26"/>
        </w:rPr>
        <w:t>’</w:t>
      </w:r>
      <w:r w:rsidR="00AB7279">
        <w:rPr>
          <w:i/>
          <w:sz w:val="26"/>
        </w:rPr>
        <w:t xml:space="preserve"> </w:t>
      </w:r>
      <w:r w:rsidR="00AB7279">
        <w:rPr>
          <w:sz w:val="26"/>
        </w:rPr>
        <w:t>directives</w:t>
      </w:r>
      <w:r w:rsidR="00A579F8">
        <w:rPr>
          <w:sz w:val="26"/>
        </w:rPr>
        <w:t xml:space="preserve"> </w:t>
      </w:r>
      <w:r w:rsidR="002B324F">
        <w:rPr>
          <w:sz w:val="26"/>
        </w:rPr>
        <w:t>that P</w:t>
      </w:r>
      <w:r w:rsidR="0084465B">
        <w:rPr>
          <w:sz w:val="26"/>
        </w:rPr>
        <w:t xml:space="preserve">GW </w:t>
      </w:r>
      <w:r w:rsidR="002B324F">
        <w:rPr>
          <w:sz w:val="26"/>
        </w:rPr>
        <w:t>r</w:t>
      </w:r>
      <w:r w:rsidR="00A579F8">
        <w:rPr>
          <w:sz w:val="26"/>
        </w:rPr>
        <w:t xml:space="preserve">evise its </w:t>
      </w:r>
      <w:r w:rsidR="0084465B">
        <w:rPr>
          <w:sz w:val="26"/>
        </w:rPr>
        <w:t>billing practices</w:t>
      </w:r>
      <w:r w:rsidR="00AB7279">
        <w:rPr>
          <w:sz w:val="26"/>
        </w:rPr>
        <w:t xml:space="preserve"> to </w:t>
      </w:r>
      <w:r w:rsidR="0084465B">
        <w:rPr>
          <w:sz w:val="26"/>
        </w:rPr>
        <w:t>compl</w:t>
      </w:r>
      <w:r w:rsidR="00A579F8">
        <w:rPr>
          <w:sz w:val="26"/>
        </w:rPr>
        <w:t xml:space="preserve">y </w:t>
      </w:r>
      <w:r w:rsidR="0084465B">
        <w:rPr>
          <w:sz w:val="26"/>
        </w:rPr>
        <w:t xml:space="preserve">with the Code </w:t>
      </w:r>
      <w:r w:rsidR="00817614">
        <w:rPr>
          <w:sz w:val="26"/>
        </w:rPr>
        <w:t xml:space="preserve">would adversely </w:t>
      </w:r>
      <w:r w:rsidR="0084465B">
        <w:rPr>
          <w:sz w:val="26"/>
        </w:rPr>
        <w:t>impact PGW’s financial stability or ability to recover unpaid utility bills</w:t>
      </w:r>
      <w:r w:rsidR="00817614">
        <w:rPr>
          <w:sz w:val="26"/>
        </w:rPr>
        <w:t xml:space="preserve"> is unsupported.  PGW has asserted no legal basis for this claim.  The </w:t>
      </w:r>
      <w:r>
        <w:rPr>
          <w:i/>
          <w:sz w:val="26"/>
        </w:rPr>
        <w:t>Commission Orders</w:t>
      </w:r>
      <w:r w:rsidR="00817614">
        <w:rPr>
          <w:sz w:val="26"/>
        </w:rPr>
        <w:t xml:space="preserve"> do not preclude </w:t>
      </w:r>
      <w:r w:rsidR="0084465B">
        <w:rPr>
          <w:sz w:val="26"/>
        </w:rPr>
        <w:t>PGW from exercising its municipal right to docket liens in the Court of Common Pleas for municipal claims</w:t>
      </w:r>
      <w:r w:rsidR="00817614">
        <w:rPr>
          <w:sz w:val="26"/>
        </w:rPr>
        <w:t>.</w:t>
      </w:r>
      <w:r w:rsidR="006F7941">
        <w:rPr>
          <w:sz w:val="26"/>
        </w:rPr>
        <w:t xml:space="preserve">  PGW remains free to impose municipal liens for collection of unpaid utility bills.  </w:t>
      </w:r>
      <w:r w:rsidR="00817614">
        <w:rPr>
          <w:sz w:val="26"/>
        </w:rPr>
        <w:t xml:space="preserve">Further, </w:t>
      </w:r>
      <w:r w:rsidR="006C0DA0">
        <w:rPr>
          <w:sz w:val="26"/>
        </w:rPr>
        <w:t xml:space="preserve">as SBG noted, </w:t>
      </w:r>
      <w:r w:rsidR="00817614">
        <w:rPr>
          <w:sz w:val="26"/>
        </w:rPr>
        <w:t>the fact that the Philadelphia Water Company operates as a municipal water utility and retains the right to file municipal liens</w:t>
      </w:r>
      <w:r w:rsidR="0031155C">
        <w:rPr>
          <w:sz w:val="26"/>
        </w:rPr>
        <w:t xml:space="preserve"> appears to </w:t>
      </w:r>
      <w:r w:rsidR="00817614">
        <w:rPr>
          <w:sz w:val="26"/>
        </w:rPr>
        <w:t>directly refute PGW’s assertion</w:t>
      </w:r>
      <w:r w:rsidR="006F7941">
        <w:rPr>
          <w:sz w:val="26"/>
        </w:rPr>
        <w:t xml:space="preserve">, that compliance with the Commission’s billing regulations </w:t>
      </w:r>
      <w:r w:rsidR="007146F2">
        <w:rPr>
          <w:sz w:val="26"/>
        </w:rPr>
        <w:t xml:space="preserve">precludes the municipal utility from filing </w:t>
      </w:r>
      <w:r w:rsidR="006F7941">
        <w:rPr>
          <w:sz w:val="26"/>
        </w:rPr>
        <w:t>municipal liens</w:t>
      </w:r>
      <w:r w:rsidR="00817614">
        <w:rPr>
          <w:sz w:val="26"/>
        </w:rPr>
        <w:t xml:space="preserve">. </w:t>
      </w:r>
      <w:r w:rsidR="00A92E59">
        <w:rPr>
          <w:sz w:val="26"/>
        </w:rPr>
        <w:t xml:space="preserve"> </w:t>
      </w:r>
      <w:r w:rsidR="00817614">
        <w:rPr>
          <w:sz w:val="26"/>
        </w:rPr>
        <w:t xml:space="preserve">Answer </w:t>
      </w:r>
      <w:r w:rsidR="00817614" w:rsidRPr="0031155C">
        <w:rPr>
          <w:sz w:val="26"/>
        </w:rPr>
        <w:t>at</w:t>
      </w:r>
      <w:r>
        <w:rPr>
          <w:sz w:val="26"/>
        </w:rPr>
        <w:t> </w:t>
      </w:r>
      <w:r w:rsidR="0031155C" w:rsidRPr="0031155C">
        <w:rPr>
          <w:sz w:val="26"/>
        </w:rPr>
        <w:t>16-17.</w:t>
      </w:r>
    </w:p>
    <w:p w14:paraId="399ECD43" w14:textId="77777777" w:rsidR="00817614" w:rsidRDefault="00817614" w:rsidP="0084465B">
      <w:pPr>
        <w:rPr>
          <w:sz w:val="26"/>
        </w:rPr>
      </w:pPr>
    </w:p>
    <w:p w14:paraId="0F785393" w14:textId="5CCD4AFC" w:rsidR="0015448D" w:rsidRPr="001E70B5" w:rsidRDefault="00055028" w:rsidP="00055028">
      <w:pPr>
        <w:rPr>
          <w:sz w:val="26"/>
        </w:rPr>
      </w:pPr>
      <w:r>
        <w:rPr>
          <w:sz w:val="26"/>
        </w:rPr>
        <w:t>PGW’s claim that</w:t>
      </w:r>
      <w:r w:rsidR="0084465B">
        <w:rPr>
          <w:sz w:val="26"/>
        </w:rPr>
        <w:t xml:space="preserve"> the </w:t>
      </w:r>
      <w:r w:rsidR="0084465B" w:rsidRPr="001B68B3">
        <w:rPr>
          <w:i/>
          <w:sz w:val="26"/>
        </w:rPr>
        <w:t xml:space="preserve">Commission </w:t>
      </w:r>
      <w:r w:rsidR="001B68B3" w:rsidRPr="001B68B3">
        <w:rPr>
          <w:i/>
          <w:sz w:val="26"/>
        </w:rPr>
        <w:t>O</w:t>
      </w:r>
      <w:r w:rsidR="0084465B" w:rsidRPr="001B68B3">
        <w:rPr>
          <w:i/>
          <w:sz w:val="26"/>
        </w:rPr>
        <w:t>rders</w:t>
      </w:r>
      <w:r w:rsidR="0084465B">
        <w:rPr>
          <w:sz w:val="26"/>
        </w:rPr>
        <w:t xml:space="preserve"> cause PGW </w:t>
      </w:r>
      <w:r w:rsidR="0084465B" w:rsidRPr="00F66F2E">
        <w:rPr>
          <w:i/>
          <w:sz w:val="26"/>
        </w:rPr>
        <w:t>per se</w:t>
      </w:r>
      <w:r w:rsidR="0084465B">
        <w:rPr>
          <w:sz w:val="26"/>
        </w:rPr>
        <w:t xml:space="preserve"> harm as unlawful orders </w:t>
      </w:r>
      <w:r>
        <w:rPr>
          <w:sz w:val="26"/>
        </w:rPr>
        <w:t>is also without merit.</w:t>
      </w:r>
      <w:r w:rsidR="00546883">
        <w:rPr>
          <w:sz w:val="26"/>
        </w:rPr>
        <w:t xml:space="preserve">  Petition at 5. </w:t>
      </w:r>
      <w:r>
        <w:rPr>
          <w:sz w:val="26"/>
        </w:rPr>
        <w:t xml:space="preserve"> </w:t>
      </w:r>
      <w:r w:rsidR="00136088" w:rsidRPr="00136088">
        <w:rPr>
          <w:sz w:val="26"/>
        </w:rPr>
        <w:t xml:space="preserve">PGW </w:t>
      </w:r>
      <w:r w:rsidR="008A501D">
        <w:rPr>
          <w:sz w:val="26"/>
        </w:rPr>
        <w:t>cites</w:t>
      </w:r>
      <w:r w:rsidR="00546883">
        <w:rPr>
          <w:sz w:val="26"/>
        </w:rPr>
        <w:t xml:space="preserve"> </w:t>
      </w:r>
      <w:r w:rsidR="00546883" w:rsidRPr="001E70B5">
        <w:rPr>
          <w:i/>
          <w:sz w:val="26"/>
        </w:rPr>
        <w:t>PUC v. Israel</w:t>
      </w:r>
      <w:r w:rsidR="00546883">
        <w:rPr>
          <w:sz w:val="26"/>
        </w:rPr>
        <w:t xml:space="preserve">, 356 Pa. 400, 406, 52 A.2d 317, </w:t>
      </w:r>
      <w:r w:rsidR="001E70B5">
        <w:rPr>
          <w:sz w:val="26"/>
        </w:rPr>
        <w:t xml:space="preserve">321 (1947) as an </w:t>
      </w:r>
      <w:r w:rsidR="00546883">
        <w:rPr>
          <w:sz w:val="26"/>
        </w:rPr>
        <w:t xml:space="preserve">example of a </w:t>
      </w:r>
      <w:r w:rsidR="001E70B5">
        <w:rPr>
          <w:sz w:val="26"/>
        </w:rPr>
        <w:t xml:space="preserve">case in which a </w:t>
      </w:r>
      <w:r w:rsidR="00546883">
        <w:rPr>
          <w:sz w:val="26"/>
        </w:rPr>
        <w:t xml:space="preserve">statutory violation </w:t>
      </w:r>
      <w:r w:rsidR="001E70B5">
        <w:rPr>
          <w:sz w:val="26"/>
        </w:rPr>
        <w:t xml:space="preserve">of the Code was found to be </w:t>
      </w:r>
      <w:r w:rsidR="00546883" w:rsidRPr="00546883">
        <w:rPr>
          <w:i/>
          <w:sz w:val="26"/>
        </w:rPr>
        <w:t>per se</w:t>
      </w:r>
      <w:r w:rsidR="001E70B5">
        <w:rPr>
          <w:i/>
          <w:sz w:val="26"/>
        </w:rPr>
        <w:t xml:space="preserve"> </w:t>
      </w:r>
      <w:r w:rsidR="001E70B5" w:rsidRPr="0031155C">
        <w:rPr>
          <w:sz w:val="26"/>
        </w:rPr>
        <w:t>harm.</w:t>
      </w:r>
      <w:r w:rsidR="001E70B5">
        <w:rPr>
          <w:i/>
          <w:sz w:val="26"/>
        </w:rPr>
        <w:t xml:space="preserve">  </w:t>
      </w:r>
      <w:r w:rsidR="001E70B5" w:rsidRPr="001E70B5">
        <w:rPr>
          <w:sz w:val="26"/>
        </w:rPr>
        <w:t xml:space="preserve">However, </w:t>
      </w:r>
      <w:r w:rsidR="001E70B5">
        <w:rPr>
          <w:sz w:val="26"/>
        </w:rPr>
        <w:t xml:space="preserve">in </w:t>
      </w:r>
      <w:r w:rsidR="001E70B5" w:rsidRPr="001E70B5">
        <w:rPr>
          <w:i/>
          <w:sz w:val="26"/>
        </w:rPr>
        <w:t>Israel</w:t>
      </w:r>
      <w:r w:rsidR="001E70B5">
        <w:rPr>
          <w:sz w:val="26"/>
        </w:rPr>
        <w:t xml:space="preserve">, </w:t>
      </w:r>
      <w:r w:rsidR="001E70B5" w:rsidRPr="001E70B5">
        <w:rPr>
          <w:i/>
          <w:sz w:val="26"/>
        </w:rPr>
        <w:t>per se</w:t>
      </w:r>
      <w:r w:rsidR="001E70B5">
        <w:rPr>
          <w:sz w:val="26"/>
        </w:rPr>
        <w:t xml:space="preserve"> harm was found </w:t>
      </w:r>
      <w:r w:rsidR="00B40777">
        <w:rPr>
          <w:sz w:val="26"/>
        </w:rPr>
        <w:t xml:space="preserve">by the court </w:t>
      </w:r>
      <w:r w:rsidR="001E70B5">
        <w:rPr>
          <w:sz w:val="26"/>
        </w:rPr>
        <w:t xml:space="preserve">where the Commission had established a </w:t>
      </w:r>
      <w:r w:rsidR="001E70B5" w:rsidRPr="001E70B5">
        <w:rPr>
          <w:i/>
          <w:sz w:val="26"/>
        </w:rPr>
        <w:t>prima facia</w:t>
      </w:r>
      <w:r w:rsidR="001E70B5" w:rsidRPr="001E70B5">
        <w:rPr>
          <w:sz w:val="26"/>
        </w:rPr>
        <w:t xml:space="preserve"> case for violation of the Code</w:t>
      </w:r>
      <w:r w:rsidR="001E70B5">
        <w:rPr>
          <w:sz w:val="26"/>
        </w:rPr>
        <w:t>.</w:t>
      </w:r>
    </w:p>
    <w:p w14:paraId="13AD863C" w14:textId="77777777" w:rsidR="0015448D" w:rsidRDefault="0015448D" w:rsidP="00055028">
      <w:pPr>
        <w:rPr>
          <w:sz w:val="26"/>
        </w:rPr>
      </w:pPr>
    </w:p>
    <w:p w14:paraId="19C99130" w14:textId="217B9BAD" w:rsidR="0015448D" w:rsidRDefault="0015448D" w:rsidP="00055028">
      <w:pPr>
        <w:rPr>
          <w:sz w:val="26"/>
        </w:rPr>
      </w:pPr>
      <w:r>
        <w:rPr>
          <w:sz w:val="26"/>
        </w:rPr>
        <w:t>I</w:t>
      </w:r>
      <w:r w:rsidR="00136088">
        <w:rPr>
          <w:sz w:val="26"/>
        </w:rPr>
        <w:t xml:space="preserve">n </w:t>
      </w:r>
      <w:r w:rsidR="00136088" w:rsidRPr="001E70B5">
        <w:rPr>
          <w:i/>
          <w:sz w:val="26"/>
        </w:rPr>
        <w:t>Israe</w:t>
      </w:r>
      <w:r w:rsidR="001E70B5">
        <w:rPr>
          <w:i/>
          <w:sz w:val="26"/>
        </w:rPr>
        <w:t xml:space="preserve">l, </w:t>
      </w:r>
      <w:r w:rsidR="00136088">
        <w:rPr>
          <w:sz w:val="26"/>
        </w:rPr>
        <w:t>the court rejected the argument that a party should be permitted to continue an unlawful practice (</w:t>
      </w:r>
      <w:r w:rsidR="00136088" w:rsidRPr="00136088">
        <w:rPr>
          <w:i/>
          <w:sz w:val="26"/>
        </w:rPr>
        <w:t>i.e.</w:t>
      </w:r>
      <w:r w:rsidR="00136088">
        <w:rPr>
          <w:sz w:val="26"/>
        </w:rPr>
        <w:t xml:space="preserve">, providing taxi service without a certificate of public convenience), based on the argument that the continued violation of the Code did not cause irreparable harm.  </w:t>
      </w:r>
      <w:r w:rsidR="00136088" w:rsidRPr="00683B7D">
        <w:rPr>
          <w:sz w:val="26"/>
        </w:rPr>
        <w:t>Rather, the court found that</w:t>
      </w:r>
      <w:r w:rsidR="005640CF" w:rsidRPr="00683B7D">
        <w:rPr>
          <w:sz w:val="26"/>
        </w:rPr>
        <w:t>,</w:t>
      </w:r>
      <w:r w:rsidR="00136088" w:rsidRPr="00683B7D">
        <w:rPr>
          <w:sz w:val="26"/>
        </w:rPr>
        <w:t xml:space="preserve"> once the Commission has established a </w:t>
      </w:r>
      <w:r w:rsidR="00136088" w:rsidRPr="00683B7D">
        <w:rPr>
          <w:i/>
          <w:sz w:val="26"/>
        </w:rPr>
        <w:t>prima facia</w:t>
      </w:r>
      <w:r w:rsidR="00136088" w:rsidRPr="00683B7D">
        <w:rPr>
          <w:sz w:val="26"/>
        </w:rPr>
        <w:t xml:space="preserve"> case of violation of the </w:t>
      </w:r>
      <w:r w:rsidR="002E146D" w:rsidRPr="00683B7D">
        <w:rPr>
          <w:sz w:val="26"/>
        </w:rPr>
        <w:t>Code</w:t>
      </w:r>
      <w:r w:rsidR="00136088" w:rsidRPr="00683B7D">
        <w:rPr>
          <w:sz w:val="26"/>
        </w:rPr>
        <w:t>, preservation of the “</w:t>
      </w:r>
      <w:r w:rsidR="00136088" w:rsidRPr="00683B7D">
        <w:rPr>
          <w:i/>
          <w:sz w:val="26"/>
        </w:rPr>
        <w:t>status quo</w:t>
      </w:r>
      <w:r w:rsidR="00136088" w:rsidRPr="00683B7D">
        <w:rPr>
          <w:sz w:val="26"/>
        </w:rPr>
        <w:t xml:space="preserve">” </w:t>
      </w:r>
      <w:r w:rsidR="00683B7D">
        <w:rPr>
          <w:sz w:val="26"/>
        </w:rPr>
        <w:t xml:space="preserve">is </w:t>
      </w:r>
      <w:r w:rsidR="00136088" w:rsidRPr="00683B7D">
        <w:rPr>
          <w:sz w:val="26"/>
        </w:rPr>
        <w:t xml:space="preserve">extended back to the point in time in which the unlawful practice had not </w:t>
      </w:r>
      <w:r w:rsidR="0031155C" w:rsidRPr="00683B7D">
        <w:rPr>
          <w:sz w:val="26"/>
        </w:rPr>
        <w:t xml:space="preserve">yet </w:t>
      </w:r>
      <w:r w:rsidR="00136088" w:rsidRPr="00683B7D">
        <w:rPr>
          <w:sz w:val="26"/>
        </w:rPr>
        <w:t>occurred.</w:t>
      </w:r>
      <w:r w:rsidR="008A501D" w:rsidRPr="00683B7D">
        <w:rPr>
          <w:sz w:val="26"/>
        </w:rPr>
        <w:t>  </w:t>
      </w:r>
      <w:r w:rsidR="001E70B5" w:rsidRPr="00683B7D">
        <w:rPr>
          <w:i/>
          <w:sz w:val="26"/>
        </w:rPr>
        <w:t>Id</w:t>
      </w:r>
      <w:r w:rsidR="001E70B5" w:rsidRPr="00683B7D">
        <w:rPr>
          <w:sz w:val="26"/>
        </w:rPr>
        <w:t>.</w:t>
      </w:r>
      <w:r w:rsidR="00136088">
        <w:rPr>
          <w:sz w:val="26"/>
        </w:rPr>
        <w:t xml:space="preserve"> </w:t>
      </w:r>
      <w:r>
        <w:rPr>
          <w:sz w:val="26"/>
        </w:rPr>
        <w:t xml:space="preserve"> The court rejected the argument of a “wrongdoer” that they be granted the right to continue to violate the Code.</w:t>
      </w:r>
    </w:p>
    <w:p w14:paraId="6BB47DEE" w14:textId="77777777" w:rsidR="0015448D" w:rsidRDefault="0015448D" w:rsidP="00055028">
      <w:pPr>
        <w:rPr>
          <w:sz w:val="26"/>
        </w:rPr>
      </w:pPr>
    </w:p>
    <w:p w14:paraId="30BEF345" w14:textId="5202520C" w:rsidR="005E175C" w:rsidRDefault="004B6074" w:rsidP="00055028">
      <w:pPr>
        <w:rPr>
          <w:sz w:val="26"/>
        </w:rPr>
      </w:pPr>
      <w:r>
        <w:rPr>
          <w:sz w:val="26"/>
        </w:rPr>
        <w:t xml:space="preserve">In the present case, as in </w:t>
      </w:r>
      <w:r w:rsidRPr="004B6074">
        <w:rPr>
          <w:i/>
          <w:sz w:val="26"/>
        </w:rPr>
        <w:t>Israel</w:t>
      </w:r>
      <w:r>
        <w:rPr>
          <w:sz w:val="26"/>
        </w:rPr>
        <w:t xml:space="preserve">, there is </w:t>
      </w:r>
      <w:r w:rsidR="00E14302" w:rsidRPr="00E14302">
        <w:rPr>
          <w:i/>
          <w:sz w:val="26"/>
        </w:rPr>
        <w:t>prima facia</w:t>
      </w:r>
      <w:r w:rsidR="00E14302">
        <w:rPr>
          <w:sz w:val="26"/>
        </w:rPr>
        <w:t xml:space="preserve"> evidence </w:t>
      </w:r>
      <w:r w:rsidR="005E175C">
        <w:rPr>
          <w:sz w:val="26"/>
        </w:rPr>
        <w:t>e</w:t>
      </w:r>
      <w:r>
        <w:rPr>
          <w:sz w:val="26"/>
        </w:rPr>
        <w:t xml:space="preserve">stablishing a violation of the Code.  </w:t>
      </w:r>
      <w:r w:rsidR="008A501D">
        <w:rPr>
          <w:sz w:val="26"/>
        </w:rPr>
        <w:t xml:space="preserve">Our </w:t>
      </w:r>
      <w:r w:rsidR="008A501D">
        <w:rPr>
          <w:i/>
          <w:sz w:val="26"/>
        </w:rPr>
        <w:t>December 2016 Order</w:t>
      </w:r>
      <w:r w:rsidR="00DF5D18">
        <w:rPr>
          <w:sz w:val="26"/>
        </w:rPr>
        <w:t xml:space="preserve">, which found </w:t>
      </w:r>
      <w:r w:rsidRPr="00546883">
        <w:rPr>
          <w:sz w:val="26"/>
        </w:rPr>
        <w:t>PGW’s billing practices unlawful</w:t>
      </w:r>
      <w:r w:rsidR="00DF5D18">
        <w:rPr>
          <w:sz w:val="26"/>
        </w:rPr>
        <w:t>,</w:t>
      </w:r>
      <w:r w:rsidRPr="00546883">
        <w:rPr>
          <w:sz w:val="26"/>
        </w:rPr>
        <w:t xml:space="preserve"> establish</w:t>
      </w:r>
      <w:r w:rsidR="00DF5D18">
        <w:rPr>
          <w:sz w:val="26"/>
        </w:rPr>
        <w:t>ed</w:t>
      </w:r>
      <w:r w:rsidRPr="00546883">
        <w:rPr>
          <w:sz w:val="26"/>
        </w:rPr>
        <w:t xml:space="preserve"> </w:t>
      </w:r>
      <w:r w:rsidRPr="00546883">
        <w:rPr>
          <w:i/>
          <w:sz w:val="26"/>
        </w:rPr>
        <w:t>prima facia</w:t>
      </w:r>
      <w:r w:rsidRPr="00546883">
        <w:rPr>
          <w:sz w:val="26"/>
        </w:rPr>
        <w:t xml:space="preserve"> evidence of a violation of the Code.</w:t>
      </w:r>
      <w:r w:rsidR="005640CF">
        <w:rPr>
          <w:rStyle w:val="FootnoteReference"/>
          <w:sz w:val="26"/>
        </w:rPr>
        <w:footnoteReference w:id="15"/>
      </w:r>
      <w:r w:rsidR="001133E3">
        <w:rPr>
          <w:sz w:val="26"/>
        </w:rPr>
        <w:t xml:space="preserve"> </w:t>
      </w:r>
      <w:r w:rsidR="00E14302">
        <w:rPr>
          <w:sz w:val="26"/>
        </w:rPr>
        <w:t xml:space="preserve"> </w:t>
      </w:r>
      <w:r>
        <w:rPr>
          <w:sz w:val="26"/>
        </w:rPr>
        <w:t xml:space="preserve">In the present </w:t>
      </w:r>
      <w:r w:rsidR="00B40777">
        <w:rPr>
          <w:sz w:val="26"/>
        </w:rPr>
        <w:t>facts</w:t>
      </w:r>
      <w:r w:rsidR="005E175C" w:rsidRPr="001E70B5">
        <w:rPr>
          <w:sz w:val="26"/>
        </w:rPr>
        <w:t xml:space="preserve">, it is </w:t>
      </w:r>
      <w:r w:rsidR="005E175C" w:rsidRPr="00B40777">
        <w:rPr>
          <w:i/>
          <w:sz w:val="26"/>
        </w:rPr>
        <w:t>SBG</w:t>
      </w:r>
      <w:r w:rsidR="00511A57">
        <w:rPr>
          <w:i/>
          <w:sz w:val="26"/>
        </w:rPr>
        <w:t>’</w:t>
      </w:r>
      <w:r w:rsidR="005E175C" w:rsidRPr="00B40777">
        <w:rPr>
          <w:i/>
          <w:sz w:val="26"/>
        </w:rPr>
        <w:t>s statutory rights</w:t>
      </w:r>
      <w:r w:rsidR="005E175C">
        <w:rPr>
          <w:sz w:val="26"/>
        </w:rPr>
        <w:t xml:space="preserve"> which have been found to be violated.  </w:t>
      </w:r>
      <w:r>
        <w:rPr>
          <w:sz w:val="26"/>
        </w:rPr>
        <w:t xml:space="preserve">Therefore, </w:t>
      </w:r>
      <w:r w:rsidR="00B40777">
        <w:rPr>
          <w:sz w:val="26"/>
        </w:rPr>
        <w:t xml:space="preserve">if any party, </w:t>
      </w:r>
      <w:r>
        <w:rPr>
          <w:sz w:val="26"/>
        </w:rPr>
        <w:t>i</w:t>
      </w:r>
      <w:r w:rsidR="00B40777">
        <w:rPr>
          <w:sz w:val="26"/>
        </w:rPr>
        <w:t>t is SBG,</w:t>
      </w:r>
      <w:r w:rsidR="005E175C">
        <w:rPr>
          <w:sz w:val="26"/>
        </w:rPr>
        <w:t xml:space="preserve"> </w:t>
      </w:r>
      <w:r w:rsidR="005E175C" w:rsidRPr="001E70B5">
        <w:rPr>
          <w:sz w:val="26"/>
        </w:rPr>
        <w:t xml:space="preserve">rather than PGW, which </w:t>
      </w:r>
      <w:r w:rsidR="005E175C">
        <w:rPr>
          <w:sz w:val="26"/>
        </w:rPr>
        <w:t xml:space="preserve">could </w:t>
      </w:r>
      <w:r w:rsidR="00B40777">
        <w:rPr>
          <w:sz w:val="26"/>
        </w:rPr>
        <w:t xml:space="preserve">raise </w:t>
      </w:r>
      <w:r w:rsidR="00B40777" w:rsidRPr="00B40777">
        <w:rPr>
          <w:i/>
          <w:sz w:val="26"/>
        </w:rPr>
        <w:t>Israel</w:t>
      </w:r>
      <w:r w:rsidR="00B40777">
        <w:rPr>
          <w:sz w:val="26"/>
        </w:rPr>
        <w:t xml:space="preserve"> to </w:t>
      </w:r>
      <w:r w:rsidR="005E175C">
        <w:rPr>
          <w:sz w:val="26"/>
        </w:rPr>
        <w:t xml:space="preserve">claim </w:t>
      </w:r>
      <w:r w:rsidR="005E175C" w:rsidRPr="001133E3">
        <w:rPr>
          <w:i/>
          <w:sz w:val="26"/>
        </w:rPr>
        <w:t>per</w:t>
      </w:r>
      <w:r w:rsidR="00511A57">
        <w:rPr>
          <w:i/>
          <w:sz w:val="26"/>
        </w:rPr>
        <w:t> </w:t>
      </w:r>
      <w:r w:rsidR="005E175C" w:rsidRPr="001133E3">
        <w:rPr>
          <w:i/>
          <w:sz w:val="26"/>
        </w:rPr>
        <w:t>se</w:t>
      </w:r>
      <w:r w:rsidR="005E175C">
        <w:rPr>
          <w:sz w:val="26"/>
        </w:rPr>
        <w:t xml:space="preserve"> harm due to violation of </w:t>
      </w:r>
      <w:r>
        <w:rPr>
          <w:sz w:val="26"/>
        </w:rPr>
        <w:t xml:space="preserve">its </w:t>
      </w:r>
      <w:r w:rsidR="005E175C">
        <w:rPr>
          <w:sz w:val="26"/>
        </w:rPr>
        <w:t>statutory rights.</w:t>
      </w:r>
    </w:p>
    <w:p w14:paraId="152D6EAD" w14:textId="0CAAF03C" w:rsidR="001133E3" w:rsidRDefault="001133E3" w:rsidP="00055028">
      <w:pPr>
        <w:rPr>
          <w:sz w:val="26"/>
        </w:rPr>
      </w:pPr>
    </w:p>
    <w:p w14:paraId="16F5DD24" w14:textId="2BB7790A" w:rsidR="004A2693" w:rsidRDefault="004A2693" w:rsidP="004A2693">
      <w:pPr>
        <w:rPr>
          <w:sz w:val="26"/>
        </w:rPr>
      </w:pPr>
      <w:r>
        <w:rPr>
          <w:sz w:val="26"/>
        </w:rPr>
        <w:t xml:space="preserve">Moreover, in the present case, PGW is the “wrongdoer,” found by the Commission to have violated the Code.  Like the wrongdoer in </w:t>
      </w:r>
      <w:r w:rsidRPr="00651899">
        <w:rPr>
          <w:i/>
          <w:sz w:val="26"/>
        </w:rPr>
        <w:t>Israel</w:t>
      </w:r>
      <w:r>
        <w:rPr>
          <w:sz w:val="26"/>
        </w:rPr>
        <w:t>, PGW asks the court to preserve the “</w:t>
      </w:r>
      <w:r w:rsidRPr="00511A57">
        <w:rPr>
          <w:i/>
          <w:sz w:val="26"/>
        </w:rPr>
        <w:t>status quo</w:t>
      </w:r>
      <w:r>
        <w:rPr>
          <w:sz w:val="26"/>
        </w:rPr>
        <w:t xml:space="preserve">” to authorize PGW to continue its current billing practices in violation of </w:t>
      </w:r>
      <w:r w:rsidR="002E146D">
        <w:rPr>
          <w:sz w:val="26"/>
        </w:rPr>
        <w:t xml:space="preserve">the </w:t>
      </w:r>
      <w:r>
        <w:rPr>
          <w:sz w:val="26"/>
        </w:rPr>
        <w:t>Code.  However, i</w:t>
      </w:r>
      <w:r w:rsidRPr="004A2693">
        <w:rPr>
          <w:sz w:val="26"/>
        </w:rPr>
        <w:t xml:space="preserve">n </w:t>
      </w:r>
      <w:r w:rsidRPr="004A2693">
        <w:rPr>
          <w:i/>
          <w:sz w:val="26"/>
        </w:rPr>
        <w:t>Israel,</w:t>
      </w:r>
      <w:r w:rsidRPr="004A2693">
        <w:rPr>
          <w:sz w:val="26"/>
        </w:rPr>
        <w:t xml:space="preserve"> the court noted that “[t]he rule is ‘that the status quo </w:t>
      </w:r>
      <w:r w:rsidR="00511A57">
        <w:rPr>
          <w:sz w:val="26"/>
        </w:rPr>
        <w:t xml:space="preserve">. . . </w:t>
      </w:r>
      <w:r w:rsidRPr="004A2693">
        <w:rPr>
          <w:sz w:val="26"/>
        </w:rPr>
        <w:t>is the last actual, peaceable [and, we may add, lawful] noncontested status which preceded the pending controversy.’</w:t>
      </w:r>
      <w:r w:rsidR="003B0C7D">
        <w:rPr>
          <w:sz w:val="26"/>
        </w:rPr>
        <w:t>”</w:t>
      </w:r>
      <w:r w:rsidR="006738D9">
        <w:rPr>
          <w:rStyle w:val="FootnoteReference"/>
          <w:sz w:val="26"/>
        </w:rPr>
        <w:footnoteReference w:id="16"/>
      </w:r>
      <w:r w:rsidRPr="004A2693">
        <w:rPr>
          <w:sz w:val="26"/>
        </w:rPr>
        <w:t xml:space="preserve"> </w:t>
      </w:r>
      <w:r w:rsidR="00511A57">
        <w:rPr>
          <w:sz w:val="26"/>
        </w:rPr>
        <w:t xml:space="preserve"> </w:t>
      </w:r>
      <w:r>
        <w:rPr>
          <w:sz w:val="26"/>
        </w:rPr>
        <w:t xml:space="preserve">Like the </w:t>
      </w:r>
      <w:r w:rsidRPr="00651899">
        <w:rPr>
          <w:i/>
          <w:sz w:val="26"/>
        </w:rPr>
        <w:t>Israel</w:t>
      </w:r>
      <w:r>
        <w:rPr>
          <w:sz w:val="26"/>
        </w:rPr>
        <w:t xml:space="preserve"> court, </w:t>
      </w:r>
      <w:r>
        <w:rPr>
          <w:sz w:val="26"/>
        </w:rPr>
        <w:lastRenderedPageBreak/>
        <w:t>we decline to grant a stay to preserve the “</w:t>
      </w:r>
      <w:r w:rsidRPr="00C47A20">
        <w:rPr>
          <w:i/>
          <w:sz w:val="26"/>
        </w:rPr>
        <w:t>status quo</w:t>
      </w:r>
      <w:r>
        <w:rPr>
          <w:sz w:val="26"/>
        </w:rPr>
        <w:t>” in which PGW’s billing practices constitute ongoing violations of the Code.</w:t>
      </w:r>
    </w:p>
    <w:p w14:paraId="14CED523" w14:textId="77777777" w:rsidR="004A2693" w:rsidRDefault="004A2693" w:rsidP="00055028">
      <w:pPr>
        <w:rPr>
          <w:sz w:val="26"/>
        </w:rPr>
      </w:pPr>
    </w:p>
    <w:p w14:paraId="0065D2C7" w14:textId="43D3FB1C" w:rsidR="00E14302" w:rsidRDefault="001133E3" w:rsidP="00055028">
      <w:pPr>
        <w:rPr>
          <w:sz w:val="26"/>
        </w:rPr>
      </w:pPr>
      <w:r>
        <w:rPr>
          <w:sz w:val="26"/>
        </w:rPr>
        <w:t>Further, f</w:t>
      </w:r>
      <w:r w:rsidR="005E175C">
        <w:rPr>
          <w:sz w:val="26"/>
        </w:rPr>
        <w:t xml:space="preserve">or PGW to even allege </w:t>
      </w:r>
      <w:r w:rsidR="005E175C" w:rsidRPr="005E175C">
        <w:rPr>
          <w:i/>
          <w:sz w:val="26"/>
        </w:rPr>
        <w:t>per se</w:t>
      </w:r>
      <w:r w:rsidR="005E175C">
        <w:rPr>
          <w:sz w:val="26"/>
        </w:rPr>
        <w:t xml:space="preserve"> harm in the present case, </w:t>
      </w:r>
      <w:r w:rsidR="006D4A9E">
        <w:rPr>
          <w:sz w:val="26"/>
        </w:rPr>
        <w:t>it must assert an</w:t>
      </w:r>
      <w:r w:rsidR="00E14302">
        <w:rPr>
          <w:sz w:val="26"/>
        </w:rPr>
        <w:t xml:space="preserve"> </w:t>
      </w:r>
      <w:r w:rsidR="001E70B5" w:rsidRPr="001E70B5">
        <w:rPr>
          <w:i/>
          <w:sz w:val="26"/>
        </w:rPr>
        <w:t>argument</w:t>
      </w:r>
      <w:r w:rsidR="001E70B5">
        <w:rPr>
          <w:sz w:val="26"/>
        </w:rPr>
        <w:t xml:space="preserve"> </w:t>
      </w:r>
      <w:r w:rsidR="004B6074">
        <w:rPr>
          <w:sz w:val="26"/>
        </w:rPr>
        <w:t>(</w:t>
      </w:r>
      <w:r w:rsidR="001E70B5">
        <w:rPr>
          <w:sz w:val="26"/>
        </w:rPr>
        <w:t xml:space="preserve">that </w:t>
      </w:r>
      <w:r w:rsidR="004B6074">
        <w:rPr>
          <w:sz w:val="26"/>
        </w:rPr>
        <w:t xml:space="preserve">the Commission’s order </w:t>
      </w:r>
      <w:r w:rsidR="001E70B5">
        <w:rPr>
          <w:sz w:val="26"/>
        </w:rPr>
        <w:t>violat</w:t>
      </w:r>
      <w:r w:rsidR="004B6074">
        <w:rPr>
          <w:sz w:val="26"/>
        </w:rPr>
        <w:t xml:space="preserve">es PGW’s </w:t>
      </w:r>
      <w:r w:rsidR="001E70B5">
        <w:rPr>
          <w:sz w:val="26"/>
        </w:rPr>
        <w:t>statutory rights under the Code</w:t>
      </w:r>
      <w:r w:rsidR="004B6074">
        <w:rPr>
          <w:sz w:val="26"/>
        </w:rPr>
        <w:t>)</w:t>
      </w:r>
      <w:r w:rsidR="00B40777">
        <w:rPr>
          <w:sz w:val="26"/>
        </w:rPr>
        <w:t xml:space="preserve"> </w:t>
      </w:r>
      <w:r w:rsidR="00BE5D17">
        <w:rPr>
          <w:sz w:val="26"/>
        </w:rPr>
        <w:t xml:space="preserve">that </w:t>
      </w:r>
      <w:r w:rsidR="00B40777">
        <w:rPr>
          <w:sz w:val="26"/>
        </w:rPr>
        <w:t xml:space="preserve">is analogous to </w:t>
      </w:r>
      <w:r w:rsidR="004B6074">
        <w:rPr>
          <w:sz w:val="26"/>
        </w:rPr>
        <w:t xml:space="preserve">either </w:t>
      </w:r>
      <w:r w:rsidR="005E175C">
        <w:rPr>
          <w:sz w:val="26"/>
        </w:rPr>
        <w:t xml:space="preserve">the </w:t>
      </w:r>
      <w:r w:rsidRPr="001133E3">
        <w:rPr>
          <w:i/>
          <w:sz w:val="26"/>
        </w:rPr>
        <w:t>Israel</w:t>
      </w:r>
      <w:r>
        <w:rPr>
          <w:sz w:val="26"/>
        </w:rPr>
        <w:t xml:space="preserve"> </w:t>
      </w:r>
      <w:r w:rsidR="005E175C">
        <w:rPr>
          <w:sz w:val="26"/>
        </w:rPr>
        <w:t>court’</w:t>
      </w:r>
      <w:r w:rsidR="004B6074">
        <w:rPr>
          <w:sz w:val="26"/>
        </w:rPr>
        <w:t xml:space="preserve">s finding of a </w:t>
      </w:r>
      <w:r w:rsidR="005E175C" w:rsidRPr="005E175C">
        <w:rPr>
          <w:i/>
          <w:sz w:val="26"/>
        </w:rPr>
        <w:t>prima facia</w:t>
      </w:r>
      <w:r w:rsidR="005E175C">
        <w:rPr>
          <w:sz w:val="26"/>
        </w:rPr>
        <w:t xml:space="preserve"> violation of the Code, </w:t>
      </w:r>
      <w:r>
        <w:rPr>
          <w:sz w:val="26"/>
        </w:rPr>
        <w:t xml:space="preserve">or </w:t>
      </w:r>
      <w:r w:rsidR="004B6074">
        <w:rPr>
          <w:sz w:val="26"/>
        </w:rPr>
        <w:t xml:space="preserve">the </w:t>
      </w:r>
      <w:r w:rsidR="005E175C">
        <w:rPr>
          <w:sz w:val="26"/>
        </w:rPr>
        <w:t>Commission</w:t>
      </w:r>
      <w:r w:rsidR="004B6074">
        <w:rPr>
          <w:sz w:val="26"/>
        </w:rPr>
        <w:t xml:space="preserve">’s final order </w:t>
      </w:r>
      <w:r w:rsidR="00E14302">
        <w:rPr>
          <w:sz w:val="26"/>
        </w:rPr>
        <w:t>finding that PGW’</w:t>
      </w:r>
      <w:r w:rsidR="004B6074">
        <w:rPr>
          <w:sz w:val="26"/>
        </w:rPr>
        <w:t>s billing practices violate</w:t>
      </w:r>
      <w:r w:rsidR="00E14302">
        <w:rPr>
          <w:sz w:val="26"/>
        </w:rPr>
        <w:t xml:space="preserve"> </w:t>
      </w:r>
      <w:r w:rsidR="00086B74">
        <w:rPr>
          <w:sz w:val="26"/>
        </w:rPr>
        <w:t xml:space="preserve">the </w:t>
      </w:r>
      <w:r w:rsidR="00E14302">
        <w:rPr>
          <w:sz w:val="26"/>
        </w:rPr>
        <w:t xml:space="preserve">Code.  </w:t>
      </w:r>
      <w:r w:rsidR="00B40777">
        <w:rPr>
          <w:sz w:val="26"/>
        </w:rPr>
        <w:t xml:space="preserve">PGW’s claim </w:t>
      </w:r>
      <w:r w:rsidR="00651899">
        <w:rPr>
          <w:sz w:val="26"/>
        </w:rPr>
        <w:t xml:space="preserve">of </w:t>
      </w:r>
      <w:r w:rsidR="00651899" w:rsidRPr="00651899">
        <w:rPr>
          <w:i/>
          <w:sz w:val="26"/>
        </w:rPr>
        <w:t>per se</w:t>
      </w:r>
      <w:r w:rsidR="00651899">
        <w:rPr>
          <w:sz w:val="26"/>
        </w:rPr>
        <w:t xml:space="preserve"> harm assumes that the weight of its own argument is equal </w:t>
      </w:r>
      <w:r w:rsidR="00BE5D17">
        <w:rPr>
          <w:sz w:val="26"/>
        </w:rPr>
        <w:t xml:space="preserve">to </w:t>
      </w:r>
      <w:r w:rsidR="00651899">
        <w:rPr>
          <w:sz w:val="26"/>
        </w:rPr>
        <w:t xml:space="preserve">the finding of a court or administrative agency.  It is not.  </w:t>
      </w:r>
      <w:r w:rsidR="00B40777">
        <w:rPr>
          <w:sz w:val="26"/>
        </w:rPr>
        <w:t xml:space="preserve">Therefore, PGW </w:t>
      </w:r>
      <w:r w:rsidR="00651899">
        <w:rPr>
          <w:sz w:val="26"/>
        </w:rPr>
        <w:t xml:space="preserve">fails to assert a colorable claim of </w:t>
      </w:r>
      <w:r w:rsidR="00B40777" w:rsidRPr="001133E3">
        <w:rPr>
          <w:i/>
          <w:sz w:val="26"/>
        </w:rPr>
        <w:t>per se</w:t>
      </w:r>
      <w:r w:rsidR="00B40777">
        <w:rPr>
          <w:sz w:val="26"/>
        </w:rPr>
        <w:t xml:space="preserve"> harm.</w:t>
      </w:r>
    </w:p>
    <w:p w14:paraId="445BD55E" w14:textId="77777777" w:rsidR="00055028" w:rsidRDefault="00055028" w:rsidP="00055028">
      <w:pPr>
        <w:rPr>
          <w:sz w:val="26"/>
        </w:rPr>
      </w:pPr>
    </w:p>
    <w:p w14:paraId="12155A95" w14:textId="39A413CD" w:rsidR="00055028" w:rsidRDefault="00055028" w:rsidP="006C0DA0">
      <w:pPr>
        <w:rPr>
          <w:sz w:val="26"/>
        </w:rPr>
      </w:pPr>
      <w:r>
        <w:rPr>
          <w:sz w:val="26"/>
        </w:rPr>
        <w:t xml:space="preserve">Similarly, </w:t>
      </w:r>
      <w:r w:rsidR="0084465B">
        <w:rPr>
          <w:sz w:val="26"/>
        </w:rPr>
        <w:t>PGW</w:t>
      </w:r>
      <w:r>
        <w:rPr>
          <w:sz w:val="26"/>
        </w:rPr>
        <w:t xml:space="preserve">’s claim of irreparable harm </w:t>
      </w:r>
      <w:r w:rsidR="006C0DA0">
        <w:rPr>
          <w:sz w:val="26"/>
        </w:rPr>
        <w:t xml:space="preserve">unless a stay </w:t>
      </w:r>
      <w:r>
        <w:rPr>
          <w:sz w:val="26"/>
        </w:rPr>
        <w:t xml:space="preserve">is granted to forestall the imposition </w:t>
      </w:r>
      <w:r w:rsidR="006C0DA0">
        <w:rPr>
          <w:sz w:val="26"/>
        </w:rPr>
        <w:t>of a</w:t>
      </w:r>
      <w:r w:rsidR="0084465B">
        <w:rPr>
          <w:sz w:val="26"/>
        </w:rPr>
        <w:t xml:space="preserve"> compliance period of </w:t>
      </w:r>
      <w:r w:rsidR="000A7368">
        <w:rPr>
          <w:sz w:val="26"/>
        </w:rPr>
        <w:t>ninety</w:t>
      </w:r>
      <w:r w:rsidR="0084465B">
        <w:rPr>
          <w:sz w:val="26"/>
        </w:rPr>
        <w:t xml:space="preserve"> days</w:t>
      </w:r>
      <w:r>
        <w:rPr>
          <w:sz w:val="26"/>
        </w:rPr>
        <w:t xml:space="preserve"> is without merit.  </w:t>
      </w:r>
      <w:r w:rsidR="00AD2F45">
        <w:rPr>
          <w:sz w:val="26"/>
        </w:rPr>
        <w:t>As</w:t>
      </w:r>
      <w:r>
        <w:rPr>
          <w:sz w:val="26"/>
        </w:rPr>
        <w:t xml:space="preserve"> SBG notes, </w:t>
      </w:r>
      <w:r w:rsidR="00C47A20">
        <w:rPr>
          <w:sz w:val="26"/>
        </w:rPr>
        <w:t>our</w:t>
      </w:r>
      <w:r w:rsidR="0084465B">
        <w:rPr>
          <w:sz w:val="26"/>
        </w:rPr>
        <w:t xml:space="preserve"> </w:t>
      </w:r>
      <w:r w:rsidR="006C0DA0" w:rsidRPr="00D370FE">
        <w:rPr>
          <w:i/>
          <w:sz w:val="26"/>
        </w:rPr>
        <w:t>December 2016 Order’s</w:t>
      </w:r>
      <w:r w:rsidR="006C0DA0">
        <w:rPr>
          <w:sz w:val="26"/>
        </w:rPr>
        <w:t xml:space="preserve"> analysis of the time necessary for compliance discussed the </w:t>
      </w:r>
      <w:r w:rsidR="0084465B">
        <w:rPr>
          <w:sz w:val="26"/>
        </w:rPr>
        <w:t xml:space="preserve">reasons for rejecting PGW’s proposed </w:t>
      </w:r>
      <w:r w:rsidR="00C47A20">
        <w:rPr>
          <w:sz w:val="26"/>
        </w:rPr>
        <w:t xml:space="preserve">fifty-seven-week </w:t>
      </w:r>
      <w:r w:rsidR="0084465B">
        <w:rPr>
          <w:sz w:val="26"/>
        </w:rPr>
        <w:t>compliance period</w:t>
      </w:r>
      <w:r>
        <w:rPr>
          <w:sz w:val="26"/>
        </w:rPr>
        <w:t xml:space="preserve">.  PGW </w:t>
      </w:r>
      <w:r w:rsidR="0084465B">
        <w:rPr>
          <w:sz w:val="26"/>
        </w:rPr>
        <w:t>has been on notice of the potential compliance violation since 2011</w:t>
      </w:r>
      <w:r w:rsidR="002D5666">
        <w:rPr>
          <w:sz w:val="26"/>
        </w:rPr>
        <w:t xml:space="preserve"> which provided </w:t>
      </w:r>
      <w:r>
        <w:rPr>
          <w:sz w:val="26"/>
        </w:rPr>
        <w:t xml:space="preserve">PGW </w:t>
      </w:r>
      <w:r w:rsidR="002D5666">
        <w:rPr>
          <w:sz w:val="26"/>
        </w:rPr>
        <w:t xml:space="preserve">with </w:t>
      </w:r>
      <w:r>
        <w:rPr>
          <w:sz w:val="26"/>
        </w:rPr>
        <w:t xml:space="preserve">ample time to plan for the contingency of compliance with Commission billing practices.  </w:t>
      </w:r>
      <w:r w:rsidR="00AD2F45">
        <w:rPr>
          <w:sz w:val="26"/>
        </w:rPr>
        <w:t xml:space="preserve">Further, we agree with SBG that </w:t>
      </w:r>
      <w:r w:rsidR="002D5666">
        <w:rPr>
          <w:sz w:val="26"/>
        </w:rPr>
        <w:t xml:space="preserve">ninety </w:t>
      </w:r>
      <w:r w:rsidR="00AD2F45">
        <w:rPr>
          <w:sz w:val="26"/>
        </w:rPr>
        <w:t>days is a sufficient time for PGW to perform any necessary billing modifications.  This is especially true given that</w:t>
      </w:r>
      <w:r w:rsidR="006C0DA0">
        <w:rPr>
          <w:sz w:val="26"/>
        </w:rPr>
        <w:t>,</w:t>
      </w:r>
      <w:r w:rsidR="00AD2F45">
        <w:rPr>
          <w:sz w:val="26"/>
        </w:rPr>
        <w:t xml:space="preserve"> as a municipal utility for the City of Philadelphia, PGW already has a model </w:t>
      </w:r>
      <w:r w:rsidR="00A659B1">
        <w:rPr>
          <w:sz w:val="26"/>
        </w:rPr>
        <w:t xml:space="preserve">to follow </w:t>
      </w:r>
      <w:r w:rsidR="00AD2F45">
        <w:rPr>
          <w:sz w:val="26"/>
        </w:rPr>
        <w:t xml:space="preserve">for </w:t>
      </w:r>
      <w:r w:rsidR="009076A7">
        <w:rPr>
          <w:sz w:val="26"/>
        </w:rPr>
        <w:t>Commission</w:t>
      </w:r>
      <w:r w:rsidR="00AD2F45">
        <w:rPr>
          <w:sz w:val="26"/>
        </w:rPr>
        <w:t xml:space="preserve">-compliant billing practices in the Philadelphia water department, which is also </w:t>
      </w:r>
      <w:r w:rsidR="006C0DA0">
        <w:rPr>
          <w:sz w:val="26"/>
        </w:rPr>
        <w:t xml:space="preserve">a municipal utility </w:t>
      </w:r>
      <w:r w:rsidR="00AD2F45">
        <w:rPr>
          <w:sz w:val="26"/>
        </w:rPr>
        <w:t xml:space="preserve">governed by </w:t>
      </w:r>
      <w:r w:rsidR="006C0DA0">
        <w:rPr>
          <w:sz w:val="26"/>
        </w:rPr>
        <w:t xml:space="preserve">Commission </w:t>
      </w:r>
      <w:r w:rsidR="00AD2F45">
        <w:rPr>
          <w:sz w:val="26"/>
        </w:rPr>
        <w:t>billing regulations</w:t>
      </w:r>
      <w:r w:rsidR="006C0DA0">
        <w:rPr>
          <w:sz w:val="26"/>
        </w:rPr>
        <w:t>.</w:t>
      </w:r>
    </w:p>
    <w:p w14:paraId="5840BB07" w14:textId="77777777" w:rsidR="00AD2F45" w:rsidRDefault="00AD2F45" w:rsidP="00AD2F45">
      <w:pPr>
        <w:ind w:firstLine="0"/>
        <w:rPr>
          <w:sz w:val="26"/>
        </w:rPr>
      </w:pPr>
    </w:p>
    <w:p w14:paraId="4653DE86" w14:textId="348D4073" w:rsidR="00AD2F45" w:rsidRDefault="006C0DA0" w:rsidP="00055028">
      <w:pPr>
        <w:rPr>
          <w:sz w:val="26"/>
        </w:rPr>
      </w:pPr>
      <w:r>
        <w:rPr>
          <w:sz w:val="26"/>
        </w:rPr>
        <w:t xml:space="preserve">We note that </w:t>
      </w:r>
      <w:r w:rsidR="00AD2F45">
        <w:rPr>
          <w:sz w:val="26"/>
        </w:rPr>
        <w:t>if</w:t>
      </w:r>
      <w:r w:rsidR="00055028">
        <w:rPr>
          <w:sz w:val="26"/>
        </w:rPr>
        <w:t xml:space="preserve"> PGW </w:t>
      </w:r>
      <w:r w:rsidR="00AD2F45">
        <w:rPr>
          <w:sz w:val="26"/>
        </w:rPr>
        <w:t xml:space="preserve">had reason to believe that </w:t>
      </w:r>
      <w:r w:rsidR="00055028">
        <w:rPr>
          <w:sz w:val="26"/>
        </w:rPr>
        <w:t>compliance with Commission billing require</w:t>
      </w:r>
      <w:r w:rsidR="00AD2F45">
        <w:rPr>
          <w:sz w:val="26"/>
        </w:rPr>
        <w:t xml:space="preserve">ments would take </w:t>
      </w:r>
      <w:r w:rsidR="00683B7D">
        <w:rPr>
          <w:sz w:val="26"/>
        </w:rPr>
        <w:t>considerable</w:t>
      </w:r>
      <w:r w:rsidR="00AD2F45">
        <w:rPr>
          <w:sz w:val="26"/>
        </w:rPr>
        <w:t xml:space="preserve"> time, PGW</w:t>
      </w:r>
      <w:r>
        <w:rPr>
          <w:sz w:val="26"/>
        </w:rPr>
        <w:t xml:space="preserve">’s </w:t>
      </w:r>
      <w:r w:rsidR="00AD2F45">
        <w:rPr>
          <w:sz w:val="26"/>
        </w:rPr>
        <w:t>fail</w:t>
      </w:r>
      <w:r>
        <w:rPr>
          <w:sz w:val="26"/>
        </w:rPr>
        <w:t>ure</w:t>
      </w:r>
      <w:r w:rsidR="00AD2F45">
        <w:rPr>
          <w:sz w:val="26"/>
        </w:rPr>
        <w:t xml:space="preserve"> to take any affirmative steps to plan for </w:t>
      </w:r>
      <w:r>
        <w:rPr>
          <w:sz w:val="26"/>
        </w:rPr>
        <w:t>such compliance</w:t>
      </w:r>
      <w:r w:rsidR="006403BD">
        <w:rPr>
          <w:sz w:val="26"/>
        </w:rPr>
        <w:t>, even after a final Commission order requiring it</w:t>
      </w:r>
      <w:r w:rsidR="004A326B">
        <w:rPr>
          <w:sz w:val="26"/>
        </w:rPr>
        <w:t>,</w:t>
      </w:r>
      <w:r>
        <w:rPr>
          <w:sz w:val="26"/>
        </w:rPr>
        <w:t xml:space="preserve"> is </w:t>
      </w:r>
      <w:r w:rsidR="00BE5D17">
        <w:rPr>
          <w:sz w:val="26"/>
        </w:rPr>
        <w:t>curious</w:t>
      </w:r>
      <w:r>
        <w:rPr>
          <w:sz w:val="26"/>
        </w:rPr>
        <w:t xml:space="preserve">. </w:t>
      </w:r>
      <w:r w:rsidR="00AD2F45">
        <w:rPr>
          <w:sz w:val="26"/>
        </w:rPr>
        <w:t xml:space="preserve"> </w:t>
      </w:r>
      <w:r w:rsidR="006403BD">
        <w:rPr>
          <w:sz w:val="26"/>
        </w:rPr>
        <w:t>Rather than prepare to comply with Commission billing practices,</w:t>
      </w:r>
      <w:r w:rsidR="00AD2F45">
        <w:rPr>
          <w:sz w:val="26"/>
        </w:rPr>
        <w:t xml:space="preserve"> PGW </w:t>
      </w:r>
      <w:r w:rsidR="00A659B1">
        <w:rPr>
          <w:sz w:val="26"/>
        </w:rPr>
        <w:t>precluded</w:t>
      </w:r>
      <w:r w:rsidR="00AD2F45">
        <w:rPr>
          <w:sz w:val="26"/>
        </w:rPr>
        <w:t xml:space="preserve"> the parties and the Commission from learning exactly what PGW’s </w:t>
      </w:r>
      <w:r w:rsidR="00AD2F45">
        <w:rPr>
          <w:sz w:val="26"/>
        </w:rPr>
        <w:lastRenderedPageBreak/>
        <w:t xml:space="preserve">unlawful billing practice entailed.  </w:t>
      </w:r>
      <w:r w:rsidR="006403BD">
        <w:rPr>
          <w:sz w:val="26"/>
        </w:rPr>
        <w:t xml:space="preserve">Consequently, </w:t>
      </w:r>
      <w:r w:rsidR="00AD2F45">
        <w:rPr>
          <w:sz w:val="26"/>
        </w:rPr>
        <w:t xml:space="preserve">PGW </w:t>
      </w:r>
      <w:r w:rsidR="00055028">
        <w:rPr>
          <w:sz w:val="26"/>
        </w:rPr>
        <w:t xml:space="preserve">was found to have </w:t>
      </w:r>
      <w:r w:rsidR="00BE5D17">
        <w:rPr>
          <w:sz w:val="26"/>
        </w:rPr>
        <w:t>violated a Commission regulation by</w:t>
      </w:r>
      <w:r w:rsidR="0084465B">
        <w:rPr>
          <w:sz w:val="26"/>
        </w:rPr>
        <w:t xml:space="preserve"> not disclosing its practices to either the </w:t>
      </w:r>
      <w:r w:rsidR="009076A7">
        <w:rPr>
          <w:sz w:val="26"/>
        </w:rPr>
        <w:t xml:space="preserve">Commission </w:t>
      </w:r>
      <w:r w:rsidR="0084465B">
        <w:rPr>
          <w:sz w:val="26"/>
        </w:rPr>
        <w:t>or consumers</w:t>
      </w:r>
      <w:r w:rsidR="00AD2F45">
        <w:rPr>
          <w:sz w:val="26"/>
        </w:rPr>
        <w:t xml:space="preserve">.  </w:t>
      </w:r>
      <w:r w:rsidR="00AD2F45" w:rsidRPr="006C0DA0">
        <w:rPr>
          <w:i/>
          <w:sz w:val="26"/>
        </w:rPr>
        <w:t>December 201</w:t>
      </w:r>
      <w:r w:rsidRPr="006C0DA0">
        <w:rPr>
          <w:i/>
          <w:sz w:val="26"/>
        </w:rPr>
        <w:t>6</w:t>
      </w:r>
      <w:r w:rsidR="00AD2F45" w:rsidRPr="006C0DA0">
        <w:rPr>
          <w:i/>
          <w:sz w:val="26"/>
        </w:rPr>
        <w:t xml:space="preserve"> </w:t>
      </w:r>
      <w:r w:rsidR="00AD2F45" w:rsidRPr="006D4A9E">
        <w:rPr>
          <w:i/>
          <w:sz w:val="26"/>
        </w:rPr>
        <w:t>Order</w:t>
      </w:r>
      <w:r w:rsidR="00AD2F45" w:rsidRPr="006D4A9E">
        <w:rPr>
          <w:sz w:val="26"/>
        </w:rPr>
        <w:t xml:space="preserve"> </w:t>
      </w:r>
      <w:r w:rsidR="006D4A9E">
        <w:rPr>
          <w:sz w:val="26"/>
        </w:rPr>
        <w:t>at 104.</w:t>
      </w:r>
    </w:p>
    <w:p w14:paraId="1A8C9280" w14:textId="77777777" w:rsidR="00D24C79" w:rsidRDefault="00D24C79" w:rsidP="00055028">
      <w:pPr>
        <w:rPr>
          <w:sz w:val="26"/>
        </w:rPr>
      </w:pPr>
    </w:p>
    <w:p w14:paraId="1DDCE77C" w14:textId="52381968" w:rsidR="0084465B" w:rsidRDefault="006403BD" w:rsidP="00055028">
      <w:pPr>
        <w:rPr>
          <w:sz w:val="26"/>
        </w:rPr>
      </w:pPr>
      <w:r>
        <w:rPr>
          <w:sz w:val="26"/>
        </w:rPr>
        <w:t xml:space="preserve">Finally, </w:t>
      </w:r>
      <w:r w:rsidR="0084465B">
        <w:rPr>
          <w:sz w:val="26"/>
        </w:rPr>
        <w:t xml:space="preserve">PGW fails to show that the </w:t>
      </w:r>
      <w:r w:rsidR="00CE3151">
        <w:rPr>
          <w:i/>
          <w:sz w:val="26"/>
        </w:rPr>
        <w:t xml:space="preserve">Commission Orders </w:t>
      </w:r>
      <w:r w:rsidR="0084465B">
        <w:rPr>
          <w:sz w:val="26"/>
        </w:rPr>
        <w:t xml:space="preserve">will cause PGW to expend substantial money, time and resources which </w:t>
      </w:r>
      <w:r w:rsidR="005640CF">
        <w:rPr>
          <w:sz w:val="26"/>
        </w:rPr>
        <w:t xml:space="preserve">would be </w:t>
      </w:r>
      <w:r w:rsidR="0001049B">
        <w:rPr>
          <w:sz w:val="26"/>
        </w:rPr>
        <w:t xml:space="preserve">unlikely </w:t>
      </w:r>
      <w:r w:rsidR="005640CF">
        <w:rPr>
          <w:sz w:val="26"/>
        </w:rPr>
        <w:t xml:space="preserve">to be </w:t>
      </w:r>
      <w:r>
        <w:rPr>
          <w:sz w:val="26"/>
        </w:rPr>
        <w:t xml:space="preserve">recovered by PGW in </w:t>
      </w:r>
      <w:r w:rsidR="0084465B">
        <w:rPr>
          <w:sz w:val="26"/>
        </w:rPr>
        <w:t>a future rate case</w:t>
      </w:r>
      <w:r>
        <w:rPr>
          <w:sz w:val="26"/>
        </w:rPr>
        <w:t>.  As SBG pointed out,</w:t>
      </w:r>
      <w:r w:rsidR="0084465B">
        <w:rPr>
          <w:sz w:val="26"/>
        </w:rPr>
        <w:t xml:space="preserve"> as a municipal gas utility for the City of Philadelphia, PGW could easily adopt </w:t>
      </w:r>
      <w:r>
        <w:rPr>
          <w:sz w:val="26"/>
        </w:rPr>
        <w:t>the same</w:t>
      </w:r>
      <w:r w:rsidR="0084465B">
        <w:rPr>
          <w:sz w:val="26"/>
        </w:rPr>
        <w:t xml:space="preserve"> billing practices already established by the municipal water authority for the City of Philadelphia, the Philadelphia Water Department</w:t>
      </w:r>
      <w:r>
        <w:rPr>
          <w:sz w:val="26"/>
        </w:rPr>
        <w:t xml:space="preserve">.  </w:t>
      </w:r>
      <w:r w:rsidR="005640CF">
        <w:rPr>
          <w:sz w:val="26"/>
        </w:rPr>
        <w:t xml:space="preserve">Yet, </w:t>
      </w:r>
      <w:r>
        <w:rPr>
          <w:sz w:val="26"/>
        </w:rPr>
        <w:t>PGW</w:t>
      </w:r>
      <w:r w:rsidR="0084465B">
        <w:rPr>
          <w:sz w:val="26"/>
        </w:rPr>
        <w:t xml:space="preserve"> continues to refuse </w:t>
      </w:r>
      <w:r>
        <w:rPr>
          <w:sz w:val="26"/>
        </w:rPr>
        <w:t xml:space="preserve">to provide billing practices which comply with </w:t>
      </w:r>
      <w:r w:rsidR="0001049B">
        <w:rPr>
          <w:sz w:val="26"/>
        </w:rPr>
        <w:t>our r</w:t>
      </w:r>
      <w:r>
        <w:rPr>
          <w:sz w:val="26"/>
        </w:rPr>
        <w:t xml:space="preserve">egulations.  PGW admits that its present unlawful billing practices are PGW’s </w:t>
      </w:r>
      <w:r w:rsidR="0084465B">
        <w:rPr>
          <w:sz w:val="26"/>
        </w:rPr>
        <w:t>“conscious and intentional business decisions to maximize revenues.”</w:t>
      </w:r>
      <w:r w:rsidR="0084465B" w:rsidRPr="00463CDC">
        <w:rPr>
          <w:sz w:val="26"/>
        </w:rPr>
        <w:t xml:space="preserve"> </w:t>
      </w:r>
      <w:r w:rsidR="00A659B1">
        <w:rPr>
          <w:sz w:val="26"/>
        </w:rPr>
        <w:t xml:space="preserve"> </w:t>
      </w:r>
      <w:r w:rsidR="0084465B">
        <w:rPr>
          <w:sz w:val="26"/>
        </w:rPr>
        <w:t>Answer at 13-18.</w:t>
      </w:r>
    </w:p>
    <w:p w14:paraId="3EA92F41" w14:textId="77777777" w:rsidR="009568CE" w:rsidRDefault="009568CE" w:rsidP="0084465B">
      <w:pPr>
        <w:rPr>
          <w:sz w:val="26"/>
        </w:rPr>
      </w:pPr>
    </w:p>
    <w:p w14:paraId="7B8694B8" w14:textId="3EC3D320" w:rsidR="0084465B" w:rsidRDefault="00D24C79" w:rsidP="00D24C79">
      <w:pPr>
        <w:rPr>
          <w:sz w:val="26"/>
        </w:rPr>
      </w:pPr>
      <w:r>
        <w:rPr>
          <w:sz w:val="26"/>
        </w:rPr>
        <w:t xml:space="preserve">As a general matter, </w:t>
      </w:r>
      <w:r w:rsidR="006403BD">
        <w:rPr>
          <w:sz w:val="26"/>
        </w:rPr>
        <w:t xml:space="preserve">PGW’s claims regarding irreparable harm all fail due to the </w:t>
      </w:r>
      <w:r w:rsidR="00662F71">
        <w:rPr>
          <w:sz w:val="26"/>
        </w:rPr>
        <w:t>fallacy of</w:t>
      </w:r>
      <w:r w:rsidR="006403BD">
        <w:rPr>
          <w:sz w:val="26"/>
        </w:rPr>
        <w:t xml:space="preserve"> PGW’s </w:t>
      </w:r>
      <w:r w:rsidR="00E428F7">
        <w:rPr>
          <w:sz w:val="26"/>
        </w:rPr>
        <w:t xml:space="preserve">main </w:t>
      </w:r>
      <w:r w:rsidR="006403BD">
        <w:rPr>
          <w:sz w:val="26"/>
        </w:rPr>
        <w:t>premise</w:t>
      </w:r>
      <w:r w:rsidR="0001049B">
        <w:rPr>
          <w:sz w:val="26"/>
        </w:rPr>
        <w:t xml:space="preserve"> – </w:t>
      </w:r>
      <w:r w:rsidR="006403BD">
        <w:rPr>
          <w:sz w:val="26"/>
        </w:rPr>
        <w:t>that any harm to PGW results fr</w:t>
      </w:r>
      <w:r w:rsidR="004A2693">
        <w:rPr>
          <w:sz w:val="26"/>
        </w:rPr>
        <w:t xml:space="preserve">om the </w:t>
      </w:r>
      <w:r w:rsidR="0001049B">
        <w:rPr>
          <w:i/>
          <w:sz w:val="26"/>
        </w:rPr>
        <w:t>Commission Orders</w:t>
      </w:r>
      <w:r w:rsidR="004A2693">
        <w:rPr>
          <w:sz w:val="26"/>
        </w:rPr>
        <w:t xml:space="preserve">.  The fact is that </w:t>
      </w:r>
      <w:r w:rsidR="006403BD">
        <w:rPr>
          <w:sz w:val="26"/>
        </w:rPr>
        <w:t xml:space="preserve">any </w:t>
      </w:r>
      <w:r w:rsidR="00662F71">
        <w:rPr>
          <w:sz w:val="26"/>
        </w:rPr>
        <w:t xml:space="preserve">harm to </w:t>
      </w:r>
      <w:r w:rsidR="006403BD">
        <w:rPr>
          <w:sz w:val="26"/>
        </w:rPr>
        <w:t>PGW</w:t>
      </w:r>
      <w:r>
        <w:rPr>
          <w:sz w:val="26"/>
        </w:rPr>
        <w:t>, financial or otherwise,</w:t>
      </w:r>
      <w:r w:rsidR="006403BD">
        <w:rPr>
          <w:sz w:val="26"/>
        </w:rPr>
        <w:t xml:space="preserve"> </w:t>
      </w:r>
      <w:r w:rsidR="00662F71">
        <w:rPr>
          <w:sz w:val="26"/>
        </w:rPr>
        <w:t xml:space="preserve">results </w:t>
      </w:r>
      <w:r w:rsidR="006403BD">
        <w:rPr>
          <w:sz w:val="26"/>
        </w:rPr>
        <w:t xml:space="preserve">from PGW’s </w:t>
      </w:r>
      <w:r w:rsidR="00662F71">
        <w:rPr>
          <w:sz w:val="26"/>
        </w:rPr>
        <w:t xml:space="preserve">own conduct and </w:t>
      </w:r>
      <w:r w:rsidR="006403BD">
        <w:rPr>
          <w:sz w:val="26"/>
        </w:rPr>
        <w:t xml:space="preserve">unlawful billing practice.  </w:t>
      </w:r>
      <w:r w:rsidRPr="000C2836">
        <w:rPr>
          <w:sz w:val="26"/>
        </w:rPr>
        <w:t>Since coming under Commission jurisdiction</w:t>
      </w:r>
      <w:r w:rsidR="004F1806" w:rsidRPr="000C2836">
        <w:rPr>
          <w:sz w:val="26"/>
        </w:rPr>
        <w:t>,</w:t>
      </w:r>
      <w:r w:rsidRPr="000C2836">
        <w:rPr>
          <w:sz w:val="26"/>
        </w:rPr>
        <w:t xml:space="preserve"> </w:t>
      </w:r>
      <w:r w:rsidR="008C3109" w:rsidRPr="000C2836">
        <w:rPr>
          <w:sz w:val="26"/>
        </w:rPr>
        <w:t xml:space="preserve">it appears, based on </w:t>
      </w:r>
      <w:r w:rsidRPr="000C2836">
        <w:rPr>
          <w:sz w:val="26"/>
        </w:rPr>
        <w:t>PGW</w:t>
      </w:r>
      <w:r w:rsidR="008C3109" w:rsidRPr="000C2836">
        <w:rPr>
          <w:sz w:val="26"/>
        </w:rPr>
        <w:t>’s own assertions, that PGW</w:t>
      </w:r>
      <w:r w:rsidRPr="000C2836">
        <w:rPr>
          <w:sz w:val="26"/>
        </w:rPr>
        <w:t xml:space="preserve"> </w:t>
      </w:r>
      <w:r w:rsidR="005640CF">
        <w:rPr>
          <w:sz w:val="26"/>
        </w:rPr>
        <w:t xml:space="preserve">chose to </w:t>
      </w:r>
      <w:r w:rsidRPr="000C2836">
        <w:rPr>
          <w:sz w:val="26"/>
        </w:rPr>
        <w:t xml:space="preserve">reap substantial </w:t>
      </w:r>
      <w:r w:rsidR="00662F71" w:rsidRPr="000C2836">
        <w:rPr>
          <w:sz w:val="26"/>
        </w:rPr>
        <w:t xml:space="preserve">financial gain </w:t>
      </w:r>
      <w:r w:rsidR="005640CF">
        <w:rPr>
          <w:sz w:val="26"/>
        </w:rPr>
        <w:t xml:space="preserve">by </w:t>
      </w:r>
      <w:r w:rsidR="00662F71" w:rsidRPr="000C2836">
        <w:rPr>
          <w:sz w:val="26"/>
        </w:rPr>
        <w:t>unlawful billing practices which it failed to disclose to the Commission or its customers</w:t>
      </w:r>
      <w:r w:rsidR="000C2836" w:rsidRPr="000C2836">
        <w:rPr>
          <w:sz w:val="26"/>
        </w:rPr>
        <w:t>.</w:t>
      </w:r>
      <w:r w:rsidR="00662F71" w:rsidRPr="000C2836">
        <w:rPr>
          <w:sz w:val="26"/>
        </w:rPr>
        <w:t xml:space="preserve">  </w:t>
      </w:r>
      <w:r w:rsidR="0077608B">
        <w:rPr>
          <w:sz w:val="26"/>
        </w:rPr>
        <w:t xml:space="preserve">It was PGW’s choice to adopt billing practices for </w:t>
      </w:r>
      <w:r w:rsidR="008C3109" w:rsidRPr="000C2836">
        <w:rPr>
          <w:sz w:val="26"/>
        </w:rPr>
        <w:t>financial gain which makes t</w:t>
      </w:r>
      <w:r w:rsidR="00662F71" w:rsidRPr="000C2836">
        <w:rPr>
          <w:sz w:val="26"/>
        </w:rPr>
        <w:t xml:space="preserve">he financial cost to PGW </w:t>
      </w:r>
      <w:r w:rsidR="00C857FD" w:rsidRPr="000C2836">
        <w:rPr>
          <w:sz w:val="26"/>
        </w:rPr>
        <w:t xml:space="preserve">necessary to </w:t>
      </w:r>
      <w:r w:rsidR="00662F71" w:rsidRPr="000C2836">
        <w:rPr>
          <w:sz w:val="26"/>
        </w:rPr>
        <w:t>bring its billing practices into compliance</w:t>
      </w:r>
      <w:r w:rsidR="00C857FD" w:rsidRPr="000C2836">
        <w:rPr>
          <w:sz w:val="26"/>
        </w:rPr>
        <w:t>.</w:t>
      </w:r>
      <w:r w:rsidR="00662F71" w:rsidRPr="000C2836">
        <w:rPr>
          <w:sz w:val="26"/>
        </w:rPr>
        <w:t xml:space="preserve">  </w:t>
      </w:r>
      <w:r w:rsidRPr="000C2836">
        <w:rPr>
          <w:sz w:val="26"/>
        </w:rPr>
        <w:t>In addition, the fact that PGW may not recover the costs associated with establishing lawful billing practices does not weigh in fa</w:t>
      </w:r>
      <w:r w:rsidR="00DC2171" w:rsidRPr="000C2836">
        <w:rPr>
          <w:sz w:val="26"/>
        </w:rPr>
        <w:t>vor of finding irreparable harm, where PGW admits to financial benefit from its unlawful</w:t>
      </w:r>
      <w:r w:rsidR="00E428F7" w:rsidRPr="000C2836">
        <w:rPr>
          <w:sz w:val="26"/>
        </w:rPr>
        <w:t xml:space="preserve"> practices</w:t>
      </w:r>
      <w:r w:rsidR="00DC2171" w:rsidRPr="000C2836">
        <w:rPr>
          <w:sz w:val="26"/>
        </w:rPr>
        <w:t>.</w:t>
      </w:r>
      <w:r w:rsidRPr="000C2836">
        <w:rPr>
          <w:sz w:val="26"/>
        </w:rPr>
        <w:t xml:space="preserve">  </w:t>
      </w:r>
      <w:r w:rsidR="00817614" w:rsidRPr="000C2836">
        <w:rPr>
          <w:sz w:val="26"/>
        </w:rPr>
        <w:t>Accordingly, we find that PGW has failed to show that, in the absence of the requested relief, it will suffer irreparable injury</w:t>
      </w:r>
      <w:r w:rsidR="00E428F7" w:rsidRPr="000C2836">
        <w:rPr>
          <w:sz w:val="26"/>
        </w:rPr>
        <w:t>.</w:t>
      </w:r>
    </w:p>
    <w:p w14:paraId="75045B50" w14:textId="77777777" w:rsidR="00D24C79" w:rsidRDefault="00D24C79" w:rsidP="00D24C79">
      <w:pPr>
        <w:rPr>
          <w:sz w:val="26"/>
        </w:rPr>
      </w:pPr>
    </w:p>
    <w:p w14:paraId="433011A9" w14:textId="29EE51A6" w:rsidR="0084465B" w:rsidRDefault="00662F71" w:rsidP="0084465B">
      <w:pPr>
        <w:rPr>
          <w:sz w:val="26"/>
        </w:rPr>
      </w:pPr>
      <w:r>
        <w:rPr>
          <w:sz w:val="26"/>
        </w:rPr>
        <w:lastRenderedPageBreak/>
        <w:t xml:space="preserve">As </w:t>
      </w:r>
      <w:r w:rsidR="006D35BE">
        <w:rPr>
          <w:sz w:val="26"/>
        </w:rPr>
        <w:t>to t</w:t>
      </w:r>
      <w:r>
        <w:rPr>
          <w:sz w:val="26"/>
        </w:rPr>
        <w:t xml:space="preserve">he third </w:t>
      </w:r>
      <w:r w:rsidRPr="00662F71">
        <w:rPr>
          <w:i/>
          <w:sz w:val="26"/>
        </w:rPr>
        <w:t>Process Gas</w:t>
      </w:r>
      <w:r>
        <w:rPr>
          <w:sz w:val="26"/>
        </w:rPr>
        <w:t xml:space="preserve"> criterion, we find that PGW fails </w:t>
      </w:r>
      <w:r w:rsidR="0084465B">
        <w:rPr>
          <w:sz w:val="26"/>
        </w:rPr>
        <w:t>to show that other interested parties will not be substantially harmed by the stay</w:t>
      </w:r>
      <w:r>
        <w:rPr>
          <w:sz w:val="26"/>
        </w:rPr>
        <w:t xml:space="preserve">.  SBG is not the only interested party. </w:t>
      </w:r>
      <w:r w:rsidR="00EF3883">
        <w:rPr>
          <w:sz w:val="26"/>
        </w:rPr>
        <w:t xml:space="preserve"> </w:t>
      </w:r>
      <w:r w:rsidR="006D35BE">
        <w:rPr>
          <w:sz w:val="26"/>
        </w:rPr>
        <w:t>Other interested parties exist and include the other similarly</w:t>
      </w:r>
      <w:r w:rsidR="00EF3883">
        <w:rPr>
          <w:sz w:val="26"/>
        </w:rPr>
        <w:t>-</w:t>
      </w:r>
      <w:r w:rsidR="006D35BE">
        <w:rPr>
          <w:sz w:val="26"/>
        </w:rPr>
        <w:t>situated ratepayers who are billed by PGW.  Further, the</w:t>
      </w:r>
      <w:r w:rsidR="0084465B">
        <w:rPr>
          <w:sz w:val="26"/>
        </w:rPr>
        <w:t xml:space="preserve"> harm suffere</w:t>
      </w:r>
      <w:r w:rsidR="006D35BE">
        <w:rPr>
          <w:sz w:val="26"/>
        </w:rPr>
        <w:t xml:space="preserve">d by the SBG Complainants </w:t>
      </w:r>
      <w:r w:rsidR="0084465B">
        <w:rPr>
          <w:sz w:val="26"/>
        </w:rPr>
        <w:t>was found to be unreasonable</w:t>
      </w:r>
      <w:r w:rsidR="00162859">
        <w:rPr>
          <w:sz w:val="26"/>
        </w:rPr>
        <w:t xml:space="preserve"> to the extent we</w:t>
      </w:r>
      <w:r w:rsidR="00EF3883">
        <w:rPr>
          <w:sz w:val="26"/>
        </w:rPr>
        <w:t xml:space="preserve"> </w:t>
      </w:r>
      <w:r w:rsidR="00D24C79">
        <w:rPr>
          <w:sz w:val="26"/>
        </w:rPr>
        <w:t xml:space="preserve">found it necessary to impose </w:t>
      </w:r>
      <w:r w:rsidR="0084465B">
        <w:rPr>
          <w:sz w:val="26"/>
        </w:rPr>
        <w:t xml:space="preserve">penalties </w:t>
      </w:r>
      <w:r w:rsidR="006D35BE">
        <w:rPr>
          <w:sz w:val="26"/>
        </w:rPr>
        <w:t xml:space="preserve">due to </w:t>
      </w:r>
      <w:r w:rsidR="0084465B">
        <w:rPr>
          <w:sz w:val="26"/>
        </w:rPr>
        <w:t xml:space="preserve">PGW’s </w:t>
      </w:r>
      <w:r w:rsidR="00A11B5C">
        <w:rPr>
          <w:sz w:val="26"/>
        </w:rPr>
        <w:t>violations of the Code and the Commission’s regulations</w:t>
      </w:r>
      <w:r w:rsidR="006D35BE">
        <w:rPr>
          <w:sz w:val="26"/>
        </w:rPr>
        <w:t xml:space="preserve">.  As noted by SBG, </w:t>
      </w:r>
      <w:r w:rsidR="0084465B">
        <w:rPr>
          <w:sz w:val="26"/>
        </w:rPr>
        <w:t xml:space="preserve">PGW’s unlawful billing practices </w:t>
      </w:r>
      <w:r w:rsidR="0077608B">
        <w:rPr>
          <w:sz w:val="26"/>
        </w:rPr>
        <w:t xml:space="preserve">cause other non-monetary legal harm to Complainants and, potentially, the City of Philadelphia, where PGW’s liens impact Complainants’ legal property rights, and, if unlawful, liens relied upon by the City for issuance of municipal bonds under the </w:t>
      </w:r>
      <w:r w:rsidR="0084465B">
        <w:rPr>
          <w:sz w:val="26"/>
        </w:rPr>
        <w:t xml:space="preserve">jurisdiction of the SEC, </w:t>
      </w:r>
      <w:r w:rsidR="0077608B">
        <w:rPr>
          <w:sz w:val="26"/>
        </w:rPr>
        <w:t>may put the City at r</w:t>
      </w:r>
      <w:r w:rsidR="0084465B">
        <w:rPr>
          <w:sz w:val="26"/>
        </w:rPr>
        <w:t>isk of being found in v</w:t>
      </w:r>
      <w:r w:rsidR="006D35BE">
        <w:rPr>
          <w:sz w:val="26"/>
        </w:rPr>
        <w:t xml:space="preserve">iolation of SEC requirements. </w:t>
      </w:r>
      <w:r w:rsidR="0084465B">
        <w:rPr>
          <w:sz w:val="26"/>
        </w:rPr>
        <w:t xml:space="preserve"> </w:t>
      </w:r>
      <w:r w:rsidR="00162859">
        <w:rPr>
          <w:i/>
          <w:sz w:val="26"/>
        </w:rPr>
        <w:t xml:space="preserve">See, </w:t>
      </w:r>
      <w:r w:rsidR="0084465B">
        <w:rPr>
          <w:sz w:val="26"/>
        </w:rPr>
        <w:t>Answer at 19-20.</w:t>
      </w:r>
    </w:p>
    <w:p w14:paraId="26225524" w14:textId="77777777" w:rsidR="0084465B" w:rsidRDefault="0084465B" w:rsidP="0084465B">
      <w:pPr>
        <w:rPr>
          <w:sz w:val="26"/>
        </w:rPr>
      </w:pPr>
    </w:p>
    <w:p w14:paraId="0E290A44" w14:textId="51EFCA07" w:rsidR="00325B67" w:rsidRDefault="000025C0" w:rsidP="0084465B">
      <w:pPr>
        <w:rPr>
          <w:sz w:val="26"/>
        </w:rPr>
      </w:pPr>
      <w:r>
        <w:rPr>
          <w:sz w:val="26"/>
        </w:rPr>
        <w:t>A</w:t>
      </w:r>
      <w:r w:rsidR="0084465B">
        <w:rPr>
          <w:sz w:val="26"/>
        </w:rPr>
        <w:t xml:space="preserve">s to the fourth </w:t>
      </w:r>
      <w:r w:rsidR="00D24C79" w:rsidRPr="00D24C79">
        <w:rPr>
          <w:i/>
          <w:sz w:val="26"/>
        </w:rPr>
        <w:t>Process Gas</w:t>
      </w:r>
      <w:r w:rsidR="00D24C79">
        <w:rPr>
          <w:sz w:val="26"/>
        </w:rPr>
        <w:t xml:space="preserve"> </w:t>
      </w:r>
      <w:r w:rsidR="0084465B">
        <w:rPr>
          <w:sz w:val="26"/>
        </w:rPr>
        <w:t xml:space="preserve">criterion, we find that PGW fails to show that a stay will not adversely </w:t>
      </w:r>
      <w:r w:rsidR="00A92E59">
        <w:rPr>
          <w:sz w:val="26"/>
        </w:rPr>
        <w:t>a</w:t>
      </w:r>
      <w:r w:rsidR="0084465B">
        <w:rPr>
          <w:sz w:val="26"/>
        </w:rPr>
        <w:t xml:space="preserve">ffect the public interest.  As noted by SBC, all similarly situated ratepayers have an interest in PGW’s billing practices </w:t>
      </w:r>
      <w:r w:rsidR="003C2408">
        <w:rPr>
          <w:sz w:val="26"/>
        </w:rPr>
        <w:t xml:space="preserve">complying with </w:t>
      </w:r>
      <w:r w:rsidR="0084465B">
        <w:rPr>
          <w:sz w:val="26"/>
        </w:rPr>
        <w:t>the c</w:t>
      </w:r>
      <w:r w:rsidR="00D24C79">
        <w:rPr>
          <w:sz w:val="26"/>
        </w:rPr>
        <w:t xml:space="preserve">onsumer protection </w:t>
      </w:r>
      <w:r w:rsidR="0084465B">
        <w:rPr>
          <w:sz w:val="26"/>
        </w:rPr>
        <w:t>regulations for billing practices under the Code.</w:t>
      </w:r>
      <w:r w:rsidR="0030253A">
        <w:rPr>
          <w:sz w:val="26"/>
        </w:rPr>
        <w:t xml:space="preserve"> </w:t>
      </w:r>
      <w:r w:rsidR="0084465B">
        <w:rPr>
          <w:sz w:val="26"/>
        </w:rPr>
        <w:t xml:space="preserve"> If </w:t>
      </w:r>
      <w:r>
        <w:rPr>
          <w:sz w:val="26"/>
        </w:rPr>
        <w:t xml:space="preserve">we </w:t>
      </w:r>
      <w:r w:rsidR="0084465B">
        <w:rPr>
          <w:sz w:val="26"/>
        </w:rPr>
        <w:t xml:space="preserve">were to grant </w:t>
      </w:r>
      <w:r w:rsidR="0030253A">
        <w:rPr>
          <w:sz w:val="26"/>
        </w:rPr>
        <w:t xml:space="preserve">PGW </w:t>
      </w:r>
      <w:r w:rsidR="0084465B">
        <w:rPr>
          <w:sz w:val="26"/>
        </w:rPr>
        <w:t xml:space="preserve">a </w:t>
      </w:r>
      <w:r w:rsidR="0030253A">
        <w:rPr>
          <w:sz w:val="26"/>
        </w:rPr>
        <w:t xml:space="preserve">stay </w:t>
      </w:r>
      <w:r w:rsidR="00D24C79">
        <w:rPr>
          <w:sz w:val="26"/>
        </w:rPr>
        <w:t xml:space="preserve">of </w:t>
      </w:r>
      <w:r w:rsidR="001B68B3">
        <w:rPr>
          <w:sz w:val="26"/>
        </w:rPr>
        <w:t xml:space="preserve">the </w:t>
      </w:r>
      <w:r w:rsidR="00D24C79" w:rsidRPr="001B68B3">
        <w:rPr>
          <w:i/>
          <w:sz w:val="26"/>
        </w:rPr>
        <w:t xml:space="preserve">Commission </w:t>
      </w:r>
      <w:r w:rsidR="001B68B3">
        <w:rPr>
          <w:i/>
          <w:sz w:val="26"/>
        </w:rPr>
        <w:t>O</w:t>
      </w:r>
      <w:r w:rsidR="0084465B" w:rsidRPr="001B68B3">
        <w:rPr>
          <w:i/>
          <w:sz w:val="26"/>
        </w:rPr>
        <w:t>rders</w:t>
      </w:r>
      <w:r w:rsidR="0084465B">
        <w:rPr>
          <w:sz w:val="26"/>
        </w:rPr>
        <w:t xml:space="preserve"> which require</w:t>
      </w:r>
      <w:r w:rsidR="0030253A">
        <w:rPr>
          <w:sz w:val="26"/>
        </w:rPr>
        <w:t xml:space="preserve"> the same compliance with billing </w:t>
      </w:r>
      <w:r w:rsidR="00DC2171">
        <w:rPr>
          <w:sz w:val="26"/>
        </w:rPr>
        <w:t xml:space="preserve">practices </w:t>
      </w:r>
      <w:r w:rsidR="0030253A">
        <w:rPr>
          <w:sz w:val="26"/>
        </w:rPr>
        <w:t xml:space="preserve">that is required of </w:t>
      </w:r>
      <w:r w:rsidR="0030253A" w:rsidRPr="0030253A">
        <w:rPr>
          <w:i/>
          <w:sz w:val="26"/>
        </w:rPr>
        <w:t>every gas utility</w:t>
      </w:r>
      <w:r w:rsidR="0030253A">
        <w:rPr>
          <w:sz w:val="26"/>
        </w:rPr>
        <w:t>,</w:t>
      </w:r>
      <w:r w:rsidR="0084465B">
        <w:rPr>
          <w:sz w:val="26"/>
        </w:rPr>
        <w:t xml:space="preserve"> it would </w:t>
      </w:r>
      <w:r w:rsidR="00A659B1">
        <w:rPr>
          <w:sz w:val="26"/>
        </w:rPr>
        <w:t>be</w:t>
      </w:r>
      <w:r w:rsidR="0084465B">
        <w:rPr>
          <w:sz w:val="26"/>
        </w:rPr>
        <w:t xml:space="preserve"> </w:t>
      </w:r>
      <w:r w:rsidR="00A11B5C">
        <w:rPr>
          <w:sz w:val="26"/>
        </w:rPr>
        <w:t>unfair to</w:t>
      </w:r>
      <w:r w:rsidR="0084465B">
        <w:rPr>
          <w:sz w:val="26"/>
        </w:rPr>
        <w:t xml:space="preserve"> </w:t>
      </w:r>
      <w:r w:rsidR="00325B67">
        <w:rPr>
          <w:sz w:val="26"/>
        </w:rPr>
        <w:t>every other</w:t>
      </w:r>
      <w:r w:rsidR="0084465B">
        <w:rPr>
          <w:sz w:val="26"/>
        </w:rPr>
        <w:t xml:space="preserve"> gas utilit</w:t>
      </w:r>
      <w:r w:rsidR="00325B67">
        <w:rPr>
          <w:sz w:val="26"/>
        </w:rPr>
        <w:t>y</w:t>
      </w:r>
      <w:r w:rsidR="0084465B">
        <w:rPr>
          <w:sz w:val="26"/>
        </w:rPr>
        <w:t xml:space="preserve"> </w:t>
      </w:r>
      <w:r w:rsidR="0077608B">
        <w:rPr>
          <w:sz w:val="26"/>
        </w:rPr>
        <w:t xml:space="preserve">which </w:t>
      </w:r>
      <w:r w:rsidR="0084465B">
        <w:rPr>
          <w:sz w:val="26"/>
        </w:rPr>
        <w:t>daily expend money, time and resources</w:t>
      </w:r>
      <w:r w:rsidR="00325B67">
        <w:rPr>
          <w:sz w:val="26"/>
        </w:rPr>
        <w:t xml:space="preserve"> </w:t>
      </w:r>
      <w:r w:rsidR="00A11B5C">
        <w:rPr>
          <w:sz w:val="26"/>
        </w:rPr>
        <w:t>to comply</w:t>
      </w:r>
      <w:r w:rsidR="0084465B">
        <w:rPr>
          <w:sz w:val="26"/>
        </w:rPr>
        <w:t xml:space="preserve"> with those </w:t>
      </w:r>
      <w:r w:rsidR="00325B67">
        <w:rPr>
          <w:sz w:val="26"/>
        </w:rPr>
        <w:t xml:space="preserve">billing </w:t>
      </w:r>
      <w:r w:rsidR="00A659B1">
        <w:rPr>
          <w:sz w:val="26"/>
        </w:rPr>
        <w:t>regulations</w:t>
      </w:r>
      <w:r w:rsidR="0084465B">
        <w:rPr>
          <w:sz w:val="26"/>
        </w:rPr>
        <w:t xml:space="preserve">.  </w:t>
      </w:r>
      <w:r w:rsidR="00325B67">
        <w:rPr>
          <w:sz w:val="26"/>
        </w:rPr>
        <w:t xml:space="preserve">It would further </w:t>
      </w:r>
      <w:r w:rsidR="00A659B1">
        <w:rPr>
          <w:sz w:val="26"/>
        </w:rPr>
        <w:t xml:space="preserve">be </w:t>
      </w:r>
      <w:r w:rsidR="00A11B5C">
        <w:rPr>
          <w:sz w:val="26"/>
        </w:rPr>
        <w:t>unfair to</w:t>
      </w:r>
      <w:r w:rsidR="00325B67">
        <w:rPr>
          <w:sz w:val="26"/>
        </w:rPr>
        <w:t xml:space="preserve"> ratepayers </w:t>
      </w:r>
      <w:r w:rsidR="00A11B5C">
        <w:rPr>
          <w:sz w:val="26"/>
        </w:rPr>
        <w:t>if we authorized</w:t>
      </w:r>
      <w:r w:rsidR="0077608B">
        <w:rPr>
          <w:sz w:val="26"/>
        </w:rPr>
        <w:t xml:space="preserve"> billing </w:t>
      </w:r>
      <w:r w:rsidR="00325B67">
        <w:rPr>
          <w:sz w:val="26"/>
        </w:rPr>
        <w:t xml:space="preserve">in a manner which </w:t>
      </w:r>
      <w:r w:rsidR="00A659B1">
        <w:rPr>
          <w:sz w:val="26"/>
        </w:rPr>
        <w:t xml:space="preserve">does not </w:t>
      </w:r>
      <w:r w:rsidR="00325B67">
        <w:rPr>
          <w:sz w:val="26"/>
        </w:rPr>
        <w:t>compl</w:t>
      </w:r>
      <w:r w:rsidR="00A659B1">
        <w:rPr>
          <w:sz w:val="26"/>
        </w:rPr>
        <w:t>y</w:t>
      </w:r>
      <w:r w:rsidR="00325B67">
        <w:rPr>
          <w:sz w:val="26"/>
        </w:rPr>
        <w:t xml:space="preserve"> with Commission </w:t>
      </w:r>
      <w:r w:rsidR="00C87AE7">
        <w:rPr>
          <w:sz w:val="26"/>
        </w:rPr>
        <w:t>r</w:t>
      </w:r>
      <w:r w:rsidR="00325B67">
        <w:rPr>
          <w:sz w:val="26"/>
        </w:rPr>
        <w:t>egulations.</w:t>
      </w:r>
    </w:p>
    <w:p w14:paraId="577B916B" w14:textId="77777777" w:rsidR="00325B67" w:rsidRDefault="00325B67" w:rsidP="0084465B">
      <w:pPr>
        <w:rPr>
          <w:sz w:val="26"/>
        </w:rPr>
      </w:pPr>
    </w:p>
    <w:p w14:paraId="3A8690FC" w14:textId="080DA473" w:rsidR="00FB67CC" w:rsidRDefault="003D64DC" w:rsidP="0030253A">
      <w:pPr>
        <w:rPr>
          <w:sz w:val="26"/>
        </w:rPr>
      </w:pPr>
      <w:r>
        <w:rPr>
          <w:sz w:val="26"/>
        </w:rPr>
        <w:t xml:space="preserve">Finally, we note again that </w:t>
      </w:r>
      <w:r w:rsidR="0084465B">
        <w:rPr>
          <w:sz w:val="26"/>
        </w:rPr>
        <w:t>PGW</w:t>
      </w:r>
      <w:r>
        <w:rPr>
          <w:sz w:val="26"/>
        </w:rPr>
        <w:t xml:space="preserve">’s conduct was found to be unreasonable in the </w:t>
      </w:r>
      <w:r w:rsidR="00A620DC">
        <w:rPr>
          <w:sz w:val="26"/>
        </w:rPr>
        <w:t xml:space="preserve">underlying proceeding, and in the separate-related consolidated cases. </w:t>
      </w:r>
      <w:r w:rsidR="00A92E59">
        <w:rPr>
          <w:sz w:val="26"/>
        </w:rPr>
        <w:t xml:space="preserve"> </w:t>
      </w:r>
      <w:r w:rsidR="00A620DC">
        <w:rPr>
          <w:sz w:val="26"/>
        </w:rPr>
        <w:t>See</w:t>
      </w:r>
      <w:r w:rsidR="006359E1">
        <w:rPr>
          <w:i/>
          <w:sz w:val="26"/>
        </w:rPr>
        <w:t>, December 2016 O</w:t>
      </w:r>
      <w:r w:rsidR="00A620DC" w:rsidRPr="006359E1">
        <w:rPr>
          <w:i/>
          <w:sz w:val="26"/>
        </w:rPr>
        <w:t xml:space="preserve">rder </w:t>
      </w:r>
      <w:r w:rsidR="00A620DC">
        <w:rPr>
          <w:sz w:val="26"/>
        </w:rPr>
        <w:t xml:space="preserve">at </w:t>
      </w:r>
      <w:r w:rsidR="00E428F7">
        <w:rPr>
          <w:sz w:val="26"/>
        </w:rPr>
        <w:t>111</w:t>
      </w:r>
      <w:r w:rsidR="008F4AA5">
        <w:rPr>
          <w:sz w:val="26"/>
        </w:rPr>
        <w:t xml:space="preserve"> and </w:t>
      </w:r>
      <w:r w:rsidR="00A620DC" w:rsidRPr="006359E1">
        <w:rPr>
          <w:i/>
          <w:sz w:val="26"/>
        </w:rPr>
        <w:t>SBG et al</w:t>
      </w:r>
      <w:r w:rsidR="008F4AA5">
        <w:rPr>
          <w:i/>
          <w:sz w:val="26"/>
        </w:rPr>
        <w:t>.</w:t>
      </w:r>
      <w:r w:rsidR="00A620DC" w:rsidRPr="006359E1">
        <w:rPr>
          <w:i/>
          <w:sz w:val="26"/>
        </w:rPr>
        <w:t xml:space="preserve"> v</w:t>
      </w:r>
      <w:r w:rsidR="006359E1">
        <w:rPr>
          <w:i/>
          <w:sz w:val="26"/>
        </w:rPr>
        <w:t>.</w:t>
      </w:r>
      <w:r w:rsidR="00A620DC" w:rsidRPr="006359E1">
        <w:rPr>
          <w:i/>
          <w:sz w:val="26"/>
        </w:rPr>
        <w:t xml:space="preserve"> PGW</w:t>
      </w:r>
      <w:r w:rsidR="00A620DC">
        <w:rPr>
          <w:sz w:val="26"/>
        </w:rPr>
        <w:t>, Docket No</w:t>
      </w:r>
      <w:r w:rsidR="008F4AA5">
        <w:rPr>
          <w:sz w:val="26"/>
        </w:rPr>
        <w:t>.</w:t>
      </w:r>
      <w:r w:rsidR="00A620DC">
        <w:rPr>
          <w:sz w:val="26"/>
        </w:rPr>
        <w:t xml:space="preserve"> </w:t>
      </w:r>
      <w:r w:rsidR="007A7A75">
        <w:rPr>
          <w:sz w:val="26"/>
        </w:rPr>
        <w:t>C-2012-</w:t>
      </w:r>
      <w:r w:rsidR="00A620DC">
        <w:rPr>
          <w:sz w:val="26"/>
        </w:rPr>
        <w:t xml:space="preserve">2304167 (Order entered September 20, 2018).  PGW’s </w:t>
      </w:r>
      <w:r w:rsidR="00A620DC" w:rsidRPr="00683B7D">
        <w:rPr>
          <w:sz w:val="26"/>
        </w:rPr>
        <w:t>bad faith</w:t>
      </w:r>
      <w:r w:rsidR="00A620DC">
        <w:rPr>
          <w:sz w:val="26"/>
        </w:rPr>
        <w:t xml:space="preserve"> conduct regarding utility liens has been noted not only before this administrative agency, but </w:t>
      </w:r>
      <w:r w:rsidR="006359E1">
        <w:rPr>
          <w:sz w:val="26"/>
        </w:rPr>
        <w:t xml:space="preserve">in the civil courts </w:t>
      </w:r>
      <w:r w:rsidR="00A620DC">
        <w:rPr>
          <w:sz w:val="26"/>
        </w:rPr>
        <w:t xml:space="preserve">by the Third Circuit Court </w:t>
      </w:r>
      <w:r w:rsidR="00A620DC">
        <w:rPr>
          <w:sz w:val="26"/>
        </w:rPr>
        <w:lastRenderedPageBreak/>
        <w:t xml:space="preserve">of Appeals.  </w:t>
      </w:r>
      <w:r w:rsidR="00A620DC" w:rsidRPr="00A620DC">
        <w:rPr>
          <w:i/>
          <w:sz w:val="26"/>
        </w:rPr>
        <w:t>Id</w:t>
      </w:r>
      <w:r w:rsidR="00A620DC">
        <w:rPr>
          <w:sz w:val="26"/>
        </w:rPr>
        <w:t xml:space="preserve">. </w:t>
      </w:r>
      <w:r w:rsidR="00A620DC" w:rsidRPr="00E428F7">
        <w:rPr>
          <w:sz w:val="26"/>
        </w:rPr>
        <w:t xml:space="preserve">at </w:t>
      </w:r>
      <w:r w:rsidR="00E428F7" w:rsidRPr="00E428F7">
        <w:rPr>
          <w:sz w:val="26"/>
        </w:rPr>
        <w:t xml:space="preserve">33. </w:t>
      </w:r>
      <w:r w:rsidR="00A620DC" w:rsidRPr="00E428F7">
        <w:rPr>
          <w:sz w:val="26"/>
        </w:rPr>
        <w:t>(</w:t>
      </w:r>
      <w:r w:rsidR="00A620DC">
        <w:rPr>
          <w:sz w:val="26"/>
        </w:rPr>
        <w:t>quoting</w:t>
      </w:r>
      <w:r w:rsidR="006359E1">
        <w:rPr>
          <w:sz w:val="26"/>
        </w:rPr>
        <w:t xml:space="preserve"> </w:t>
      </w:r>
      <w:r w:rsidR="00FB67CC" w:rsidRPr="00DC2171">
        <w:rPr>
          <w:i/>
          <w:sz w:val="26"/>
        </w:rPr>
        <w:t>Augustine v. City of Philadelphia</w:t>
      </w:r>
      <w:r w:rsidR="00FB67CC">
        <w:rPr>
          <w:sz w:val="26"/>
        </w:rPr>
        <w:t>, 897 F. 3d 142 (3d Cir, 2018)</w:t>
      </w:r>
      <w:r w:rsidR="00A620DC">
        <w:rPr>
          <w:sz w:val="26"/>
        </w:rPr>
        <w:t>.</w:t>
      </w:r>
    </w:p>
    <w:p w14:paraId="5774E897" w14:textId="77777777" w:rsidR="00FB67CC" w:rsidRDefault="00FB67CC" w:rsidP="0030253A">
      <w:pPr>
        <w:rPr>
          <w:sz w:val="26"/>
        </w:rPr>
      </w:pPr>
    </w:p>
    <w:p w14:paraId="3B0BC8EA" w14:textId="21D8CBF6" w:rsidR="0030253A" w:rsidRPr="005B7A5D" w:rsidRDefault="009A1B1D" w:rsidP="0030253A">
      <w:pPr>
        <w:rPr>
          <w:sz w:val="26"/>
        </w:rPr>
      </w:pPr>
      <w:r>
        <w:rPr>
          <w:sz w:val="26"/>
        </w:rPr>
        <w:t>By PGW’s own Petition</w:t>
      </w:r>
      <w:r w:rsidR="003D64DC">
        <w:rPr>
          <w:sz w:val="26"/>
        </w:rPr>
        <w:t xml:space="preserve"> and SBG’s Answer</w:t>
      </w:r>
      <w:r>
        <w:rPr>
          <w:sz w:val="26"/>
        </w:rPr>
        <w:t xml:space="preserve"> thereto</w:t>
      </w:r>
      <w:r w:rsidR="003D64DC">
        <w:rPr>
          <w:sz w:val="26"/>
        </w:rPr>
        <w:t xml:space="preserve">, it appears PGW has taken </w:t>
      </w:r>
      <w:r w:rsidR="003D64DC" w:rsidRPr="009A1B1D">
        <w:rPr>
          <w:i/>
          <w:sz w:val="26"/>
        </w:rPr>
        <w:t>no affirmative step</w:t>
      </w:r>
      <w:r>
        <w:rPr>
          <w:i/>
          <w:sz w:val="26"/>
        </w:rPr>
        <w:t>s</w:t>
      </w:r>
      <w:r w:rsidR="003D64DC" w:rsidRPr="009A1B1D">
        <w:rPr>
          <w:i/>
          <w:sz w:val="26"/>
        </w:rPr>
        <w:t xml:space="preserve"> of any kind</w:t>
      </w:r>
      <w:r w:rsidR="003D64DC">
        <w:rPr>
          <w:sz w:val="26"/>
        </w:rPr>
        <w:t xml:space="preserve"> </w:t>
      </w:r>
      <w:r w:rsidR="00A11B5C">
        <w:rPr>
          <w:sz w:val="26"/>
        </w:rPr>
        <w:t>to comply</w:t>
      </w:r>
      <w:r w:rsidR="003D64DC">
        <w:rPr>
          <w:sz w:val="26"/>
        </w:rPr>
        <w:t xml:space="preserve"> with our </w:t>
      </w:r>
      <w:r w:rsidR="003D64DC" w:rsidRPr="003D64DC">
        <w:rPr>
          <w:i/>
          <w:sz w:val="26"/>
        </w:rPr>
        <w:t>December 2016 Order</w:t>
      </w:r>
      <w:r w:rsidR="003D64DC">
        <w:rPr>
          <w:sz w:val="26"/>
        </w:rPr>
        <w:t xml:space="preserve">. </w:t>
      </w:r>
      <w:r w:rsidR="00A659B1">
        <w:rPr>
          <w:sz w:val="26"/>
        </w:rPr>
        <w:t xml:space="preserve"> </w:t>
      </w:r>
      <w:r w:rsidR="003D64DC">
        <w:rPr>
          <w:sz w:val="26"/>
        </w:rPr>
        <w:t>Petition</w:t>
      </w:r>
      <w:r>
        <w:rPr>
          <w:sz w:val="26"/>
        </w:rPr>
        <w:t xml:space="preserve"> at </w:t>
      </w:r>
      <w:r w:rsidRPr="009A1B1D">
        <w:rPr>
          <w:i/>
          <w:sz w:val="26"/>
        </w:rPr>
        <w:t>passim</w:t>
      </w:r>
      <w:r w:rsidR="003D64DC">
        <w:rPr>
          <w:sz w:val="26"/>
        </w:rPr>
        <w:t>, Answer at</w:t>
      </w:r>
      <w:r w:rsidR="00FB67CC">
        <w:rPr>
          <w:sz w:val="26"/>
        </w:rPr>
        <w:t xml:space="preserve"> 12, 19</w:t>
      </w:r>
      <w:r w:rsidR="009568CE">
        <w:rPr>
          <w:sz w:val="26"/>
        </w:rPr>
        <w:t xml:space="preserve"> (</w:t>
      </w:r>
      <w:r w:rsidR="00FB67CC">
        <w:rPr>
          <w:sz w:val="26"/>
        </w:rPr>
        <w:t xml:space="preserve">after years of litigation and </w:t>
      </w:r>
      <w:r w:rsidR="00A659B1">
        <w:rPr>
          <w:sz w:val="26"/>
        </w:rPr>
        <w:t xml:space="preserve">three </w:t>
      </w:r>
      <w:r w:rsidR="00FB67CC">
        <w:rPr>
          <w:sz w:val="26"/>
        </w:rPr>
        <w:t xml:space="preserve">final Opinions and Orders by </w:t>
      </w:r>
      <w:r w:rsidR="00DC2171">
        <w:rPr>
          <w:sz w:val="26"/>
        </w:rPr>
        <w:t xml:space="preserve">the </w:t>
      </w:r>
      <w:r w:rsidR="00FB67CC">
        <w:rPr>
          <w:sz w:val="26"/>
        </w:rPr>
        <w:t xml:space="preserve">Commission, PGW has not taken any corrective action to adjust its billing practices and has issued no refunds to SBG Complainants).  </w:t>
      </w:r>
      <w:r w:rsidR="0030253A">
        <w:rPr>
          <w:sz w:val="26"/>
        </w:rPr>
        <w:t xml:space="preserve">In this regard, </w:t>
      </w:r>
      <w:r w:rsidR="009568CE">
        <w:rPr>
          <w:sz w:val="26"/>
        </w:rPr>
        <w:t>granting a stay in the present circumstances would harm</w:t>
      </w:r>
      <w:r w:rsidR="0030253A">
        <w:rPr>
          <w:sz w:val="26"/>
        </w:rPr>
        <w:t xml:space="preserve"> the public interest.  Therefore, we conclude that PGW fails to show that a stay will not harm the public interest.</w:t>
      </w:r>
    </w:p>
    <w:p w14:paraId="4E278D9A" w14:textId="77777777" w:rsidR="009A1B1D" w:rsidRPr="009A1B1D" w:rsidRDefault="009A1B1D" w:rsidP="009A1B1D">
      <w:pPr>
        <w:adjustRightInd w:val="0"/>
        <w:ind w:firstLine="0"/>
        <w:rPr>
          <w:sz w:val="26"/>
        </w:rPr>
      </w:pPr>
    </w:p>
    <w:p w14:paraId="5E70298E" w14:textId="416EA9F5" w:rsidR="0008199D" w:rsidRPr="009A1B1D" w:rsidRDefault="00E06ABA" w:rsidP="009A1B1D">
      <w:pPr>
        <w:adjustRightInd w:val="0"/>
        <w:rPr>
          <w:sz w:val="26"/>
        </w:rPr>
      </w:pPr>
      <w:r>
        <w:rPr>
          <w:sz w:val="26"/>
        </w:rPr>
        <w:t>Based on the applicable law, the allegation</w:t>
      </w:r>
      <w:r w:rsidR="009A1B1D">
        <w:rPr>
          <w:sz w:val="26"/>
        </w:rPr>
        <w:t>s</w:t>
      </w:r>
      <w:r>
        <w:rPr>
          <w:sz w:val="26"/>
        </w:rPr>
        <w:t xml:space="preserve"> of the Petition, </w:t>
      </w:r>
      <w:r w:rsidR="009A1B1D">
        <w:rPr>
          <w:sz w:val="26"/>
        </w:rPr>
        <w:t xml:space="preserve">and the Answer thereto, </w:t>
      </w:r>
      <w:r>
        <w:rPr>
          <w:sz w:val="26"/>
        </w:rPr>
        <w:t>w</w:t>
      </w:r>
      <w:r w:rsidR="004B653A">
        <w:rPr>
          <w:sz w:val="26"/>
        </w:rPr>
        <w:t xml:space="preserve">e conclude that the Petitioner has failed to satisfy the </w:t>
      </w:r>
      <w:r w:rsidR="00BB2491">
        <w:rPr>
          <w:sz w:val="26"/>
        </w:rPr>
        <w:t xml:space="preserve">standards </w:t>
      </w:r>
      <w:r w:rsidR="009A1B1D">
        <w:rPr>
          <w:sz w:val="26"/>
        </w:rPr>
        <w:t xml:space="preserve">enumerated </w:t>
      </w:r>
      <w:r w:rsidR="00BB2491">
        <w:rPr>
          <w:sz w:val="26"/>
        </w:rPr>
        <w:t xml:space="preserve">under </w:t>
      </w:r>
      <w:r w:rsidR="00BB2491">
        <w:rPr>
          <w:i/>
          <w:sz w:val="26"/>
        </w:rPr>
        <w:t xml:space="preserve">Process Gas </w:t>
      </w:r>
      <w:r w:rsidR="00BB2491">
        <w:rPr>
          <w:sz w:val="26"/>
        </w:rPr>
        <w:t xml:space="preserve">to support the issuance of a stay in this proceeding. </w:t>
      </w:r>
      <w:r w:rsidR="0008199D">
        <w:rPr>
          <w:sz w:val="26"/>
        </w:rPr>
        <w:t xml:space="preserve"> </w:t>
      </w:r>
      <w:r w:rsidR="009A1B1D">
        <w:rPr>
          <w:sz w:val="26"/>
        </w:rPr>
        <w:t xml:space="preserve">Further, given </w:t>
      </w:r>
      <w:r w:rsidR="0008199D">
        <w:rPr>
          <w:sz w:val="26"/>
        </w:rPr>
        <w:t>PGW</w:t>
      </w:r>
      <w:r w:rsidR="009A1B1D">
        <w:rPr>
          <w:sz w:val="26"/>
        </w:rPr>
        <w:t>’s failure to act in compliance with our</w:t>
      </w:r>
      <w:r w:rsidR="0008199D">
        <w:rPr>
          <w:sz w:val="26"/>
        </w:rPr>
        <w:t xml:space="preserve"> </w:t>
      </w:r>
      <w:r w:rsidRPr="00E06ABA">
        <w:rPr>
          <w:i/>
          <w:sz w:val="26"/>
        </w:rPr>
        <w:t>December 2016</w:t>
      </w:r>
      <w:r>
        <w:rPr>
          <w:sz w:val="26"/>
        </w:rPr>
        <w:t xml:space="preserve"> </w:t>
      </w:r>
      <w:r w:rsidR="0008199D">
        <w:rPr>
          <w:i/>
          <w:sz w:val="26"/>
        </w:rPr>
        <w:t>Order</w:t>
      </w:r>
      <w:r w:rsidR="006D2908">
        <w:rPr>
          <w:i/>
          <w:sz w:val="26"/>
        </w:rPr>
        <w:t xml:space="preserve">, </w:t>
      </w:r>
      <w:r w:rsidR="006D2908">
        <w:rPr>
          <w:sz w:val="26"/>
        </w:rPr>
        <w:t>w</w:t>
      </w:r>
      <w:r w:rsidR="0008199D" w:rsidRPr="0008199D">
        <w:rPr>
          <w:sz w:val="26"/>
        </w:rPr>
        <w:t>e shall direct t</w:t>
      </w:r>
      <w:r w:rsidR="0008199D" w:rsidRPr="0008199D">
        <w:rPr>
          <w:sz w:val="26"/>
          <w:szCs w:val="26"/>
        </w:rPr>
        <w:t>hat a copy of this Opinion and Order be served upon the Commission Bureau of Investigation and Enforcement</w:t>
      </w:r>
      <w:r w:rsidR="0008199D">
        <w:rPr>
          <w:sz w:val="26"/>
          <w:szCs w:val="26"/>
        </w:rPr>
        <w:t xml:space="preserve"> (BI&amp;E)</w:t>
      </w:r>
      <w:bookmarkStart w:id="3" w:name="_Hlk4488865"/>
      <w:r w:rsidR="0008199D">
        <w:rPr>
          <w:sz w:val="26"/>
          <w:szCs w:val="26"/>
        </w:rPr>
        <w:t xml:space="preserve">, </w:t>
      </w:r>
      <w:r w:rsidR="009A1B1D">
        <w:rPr>
          <w:sz w:val="26"/>
          <w:szCs w:val="26"/>
        </w:rPr>
        <w:t xml:space="preserve">for </w:t>
      </w:r>
      <w:r w:rsidR="00CA63FA">
        <w:rPr>
          <w:sz w:val="26"/>
          <w:szCs w:val="26"/>
        </w:rPr>
        <w:t>such e</w:t>
      </w:r>
      <w:r w:rsidR="009A1B1D">
        <w:rPr>
          <w:sz w:val="26"/>
          <w:szCs w:val="26"/>
        </w:rPr>
        <w:t xml:space="preserve">nforcement action </w:t>
      </w:r>
      <w:r w:rsidR="006D2908">
        <w:rPr>
          <w:sz w:val="26"/>
          <w:szCs w:val="26"/>
        </w:rPr>
        <w:t xml:space="preserve">as </w:t>
      </w:r>
      <w:r w:rsidR="009A1B1D">
        <w:rPr>
          <w:sz w:val="26"/>
          <w:szCs w:val="26"/>
        </w:rPr>
        <w:t>deemed necessary</w:t>
      </w:r>
      <w:bookmarkEnd w:id="3"/>
      <w:r w:rsidR="0008199D">
        <w:rPr>
          <w:sz w:val="26"/>
          <w:szCs w:val="26"/>
        </w:rPr>
        <w:t>.</w:t>
      </w:r>
    </w:p>
    <w:p w14:paraId="0FF719E9" w14:textId="77777777" w:rsidR="001A5BBE" w:rsidRDefault="001A5BBE" w:rsidP="002168AD">
      <w:pPr>
        <w:rPr>
          <w:sz w:val="26"/>
        </w:rPr>
      </w:pPr>
    </w:p>
    <w:p w14:paraId="2A5D9D08" w14:textId="27DBD1EE" w:rsidR="00AA4577" w:rsidRPr="00545274" w:rsidRDefault="00D33FA6" w:rsidP="00D33FA6">
      <w:pPr>
        <w:pStyle w:val="ListParagraph"/>
        <w:keepNext/>
        <w:keepLines/>
        <w:ind w:left="576" w:hanging="576"/>
        <w:jc w:val="center"/>
        <w:rPr>
          <w:b/>
          <w:sz w:val="26"/>
        </w:rPr>
      </w:pPr>
      <w:r>
        <w:rPr>
          <w:b/>
          <w:sz w:val="26"/>
        </w:rPr>
        <w:t>IV.</w:t>
      </w:r>
      <w:r>
        <w:rPr>
          <w:b/>
          <w:sz w:val="26"/>
        </w:rPr>
        <w:tab/>
      </w:r>
      <w:r w:rsidR="00AA4577" w:rsidRPr="00545274">
        <w:rPr>
          <w:b/>
          <w:sz w:val="26"/>
        </w:rPr>
        <w:t>Conclusion</w:t>
      </w:r>
    </w:p>
    <w:p w14:paraId="645DF872" w14:textId="77777777" w:rsidR="00130D9D" w:rsidRPr="0097174A" w:rsidRDefault="00130D9D" w:rsidP="00A92E59">
      <w:pPr>
        <w:keepNext/>
        <w:keepLines/>
        <w:ind w:firstLine="0"/>
        <w:jc w:val="center"/>
        <w:rPr>
          <w:sz w:val="26"/>
          <w:szCs w:val="26"/>
        </w:rPr>
      </w:pPr>
    </w:p>
    <w:p w14:paraId="041124A1" w14:textId="77777777" w:rsidR="006728EB" w:rsidRDefault="004414EE" w:rsidP="00A92E59">
      <w:pPr>
        <w:keepNext/>
        <w:keepLines/>
        <w:rPr>
          <w:b/>
          <w:sz w:val="26"/>
          <w:szCs w:val="26"/>
        </w:rPr>
      </w:pPr>
      <w:r>
        <w:rPr>
          <w:sz w:val="26"/>
        </w:rPr>
        <w:t xml:space="preserve">Based </w:t>
      </w:r>
      <w:r w:rsidR="006728EB">
        <w:rPr>
          <w:sz w:val="26"/>
        </w:rPr>
        <w:t>upon the foregoing discussion, we shall</w:t>
      </w:r>
      <w:r w:rsidR="00F77710">
        <w:rPr>
          <w:sz w:val="26"/>
        </w:rPr>
        <w:t xml:space="preserve"> deny </w:t>
      </w:r>
      <w:r w:rsidR="0008199D">
        <w:rPr>
          <w:sz w:val="26"/>
        </w:rPr>
        <w:t xml:space="preserve">PGW’s </w:t>
      </w:r>
      <w:r w:rsidR="002168AD">
        <w:rPr>
          <w:sz w:val="26"/>
        </w:rPr>
        <w:t>Petition</w:t>
      </w:r>
      <w:r w:rsidR="00F32053">
        <w:rPr>
          <w:sz w:val="26"/>
        </w:rPr>
        <w:t xml:space="preserve"> for Stay</w:t>
      </w:r>
      <w:r w:rsidR="00AA4577" w:rsidRPr="003C56D5">
        <w:rPr>
          <w:sz w:val="26"/>
          <w:szCs w:val="26"/>
        </w:rPr>
        <w:t xml:space="preserve">; </w:t>
      </w:r>
      <w:r w:rsidR="00AA4577" w:rsidRPr="003C56D5">
        <w:rPr>
          <w:b/>
          <w:sz w:val="26"/>
          <w:szCs w:val="26"/>
        </w:rPr>
        <w:t>THEREFORE,</w:t>
      </w:r>
    </w:p>
    <w:p w14:paraId="20B6E797" w14:textId="77777777" w:rsidR="001F691F" w:rsidRPr="002E4BB0" w:rsidRDefault="001F691F" w:rsidP="002E4BB0">
      <w:pPr>
        <w:rPr>
          <w:sz w:val="26"/>
          <w:szCs w:val="26"/>
        </w:rPr>
      </w:pPr>
    </w:p>
    <w:p w14:paraId="23DF610D" w14:textId="77777777" w:rsidR="00AA4577" w:rsidRDefault="00AA4577" w:rsidP="006728EB">
      <w:pPr>
        <w:ind w:firstLine="720"/>
        <w:outlineLvl w:val="0"/>
        <w:rPr>
          <w:b/>
          <w:sz w:val="26"/>
        </w:rPr>
      </w:pPr>
      <w:r>
        <w:rPr>
          <w:b/>
          <w:sz w:val="26"/>
        </w:rPr>
        <w:t>IT IS ORDERED:</w:t>
      </w:r>
    </w:p>
    <w:p w14:paraId="4B9AF75B" w14:textId="77777777" w:rsidR="006728EB" w:rsidRDefault="006728EB" w:rsidP="006728EB">
      <w:pPr>
        <w:ind w:firstLine="720"/>
        <w:outlineLvl w:val="0"/>
        <w:rPr>
          <w:b/>
          <w:sz w:val="26"/>
        </w:rPr>
      </w:pPr>
    </w:p>
    <w:p w14:paraId="13102A6A" w14:textId="77777777" w:rsidR="001F691F" w:rsidRPr="007E04DF" w:rsidRDefault="006728EB" w:rsidP="008E6E66">
      <w:pPr>
        <w:pStyle w:val="ListParagraph"/>
        <w:numPr>
          <w:ilvl w:val="0"/>
          <w:numId w:val="2"/>
        </w:numPr>
        <w:ind w:left="90" w:firstLine="1350"/>
        <w:outlineLvl w:val="0"/>
        <w:rPr>
          <w:sz w:val="26"/>
        </w:rPr>
      </w:pPr>
      <w:r>
        <w:rPr>
          <w:sz w:val="26"/>
        </w:rPr>
        <w:t xml:space="preserve">That the </w:t>
      </w:r>
      <w:r w:rsidR="002168AD">
        <w:rPr>
          <w:sz w:val="26"/>
          <w:szCs w:val="26"/>
        </w:rPr>
        <w:t xml:space="preserve">Petition for Stay filed by </w:t>
      </w:r>
      <w:r w:rsidR="0008199D">
        <w:rPr>
          <w:sz w:val="26"/>
          <w:szCs w:val="26"/>
        </w:rPr>
        <w:t>Philadelphia Gas Works</w:t>
      </w:r>
      <w:r w:rsidR="002168AD">
        <w:rPr>
          <w:sz w:val="26"/>
          <w:szCs w:val="26"/>
        </w:rPr>
        <w:t xml:space="preserve">, Inc., on </w:t>
      </w:r>
      <w:r w:rsidR="00E06ABA">
        <w:rPr>
          <w:sz w:val="26"/>
          <w:szCs w:val="26"/>
        </w:rPr>
        <w:t xml:space="preserve">September 25, 2018, is </w:t>
      </w:r>
      <w:r w:rsidR="002168AD">
        <w:rPr>
          <w:sz w:val="26"/>
          <w:szCs w:val="26"/>
        </w:rPr>
        <w:t>denied,</w:t>
      </w:r>
      <w:r w:rsidR="0034097D">
        <w:rPr>
          <w:sz w:val="26"/>
          <w:szCs w:val="26"/>
        </w:rPr>
        <w:t xml:space="preserve"> consistent with this Opinion and Order.</w:t>
      </w:r>
    </w:p>
    <w:p w14:paraId="6E37DB81" w14:textId="77777777" w:rsidR="007E04DF" w:rsidRPr="0092677C" w:rsidRDefault="007E04DF" w:rsidP="0092677C">
      <w:pPr>
        <w:outlineLvl w:val="0"/>
        <w:rPr>
          <w:sz w:val="26"/>
        </w:rPr>
      </w:pPr>
    </w:p>
    <w:p w14:paraId="6FECCA23" w14:textId="5FA5B8E0" w:rsidR="00A84285" w:rsidRPr="00A84285" w:rsidRDefault="0034097D" w:rsidP="008E6E66">
      <w:pPr>
        <w:pStyle w:val="ListParagraph"/>
        <w:numPr>
          <w:ilvl w:val="0"/>
          <w:numId w:val="2"/>
        </w:numPr>
        <w:ind w:left="0" w:firstLine="1440"/>
        <w:rPr>
          <w:sz w:val="26"/>
        </w:rPr>
      </w:pPr>
      <w:r w:rsidRPr="00A84285">
        <w:rPr>
          <w:sz w:val="26"/>
        </w:rPr>
        <w:lastRenderedPageBreak/>
        <w:t>That</w:t>
      </w:r>
      <w:r w:rsidR="001F691F">
        <w:rPr>
          <w:sz w:val="26"/>
        </w:rPr>
        <w:t xml:space="preserve"> </w:t>
      </w:r>
      <w:r w:rsidR="0008199D">
        <w:rPr>
          <w:sz w:val="26"/>
        </w:rPr>
        <w:t xml:space="preserve">Philadelphia Gas Works </w:t>
      </w:r>
      <w:r w:rsidR="001F691F">
        <w:rPr>
          <w:sz w:val="26"/>
          <w:szCs w:val="26"/>
        </w:rPr>
        <w:t xml:space="preserve">shall </w:t>
      </w:r>
      <w:r w:rsidR="0008199D">
        <w:rPr>
          <w:sz w:val="26"/>
          <w:szCs w:val="26"/>
        </w:rPr>
        <w:t xml:space="preserve">comply with the </w:t>
      </w:r>
      <w:r w:rsidR="00411685">
        <w:rPr>
          <w:sz w:val="26"/>
          <w:szCs w:val="26"/>
        </w:rPr>
        <w:t xml:space="preserve">Pennsylvania Public Utility </w:t>
      </w:r>
      <w:r w:rsidR="00E06ABA">
        <w:rPr>
          <w:sz w:val="26"/>
          <w:szCs w:val="26"/>
        </w:rPr>
        <w:t>Commission</w:t>
      </w:r>
      <w:r w:rsidR="00411685">
        <w:rPr>
          <w:sz w:val="26"/>
          <w:szCs w:val="26"/>
        </w:rPr>
        <w:t>’s</w:t>
      </w:r>
      <w:r w:rsidR="00E06ABA">
        <w:rPr>
          <w:sz w:val="26"/>
          <w:szCs w:val="26"/>
        </w:rPr>
        <w:t xml:space="preserve"> Opinions and Orders entered on </w:t>
      </w:r>
      <w:r w:rsidR="007B68A1">
        <w:rPr>
          <w:sz w:val="26"/>
          <w:szCs w:val="26"/>
        </w:rPr>
        <w:t xml:space="preserve">December </w:t>
      </w:r>
      <w:r w:rsidR="003F423B">
        <w:rPr>
          <w:sz w:val="26"/>
          <w:szCs w:val="26"/>
        </w:rPr>
        <w:t>8</w:t>
      </w:r>
      <w:r w:rsidR="006D2908">
        <w:rPr>
          <w:sz w:val="26"/>
          <w:szCs w:val="26"/>
        </w:rPr>
        <w:t xml:space="preserve">, </w:t>
      </w:r>
      <w:r w:rsidR="007B68A1">
        <w:rPr>
          <w:sz w:val="26"/>
          <w:szCs w:val="26"/>
        </w:rPr>
        <w:t xml:space="preserve">2016, </w:t>
      </w:r>
      <w:r w:rsidR="00E06ABA">
        <w:rPr>
          <w:sz w:val="26"/>
          <w:szCs w:val="26"/>
        </w:rPr>
        <w:t>May 18, 2018</w:t>
      </w:r>
      <w:r w:rsidR="00411685">
        <w:rPr>
          <w:sz w:val="26"/>
          <w:szCs w:val="26"/>
        </w:rPr>
        <w:t>,</w:t>
      </w:r>
      <w:r w:rsidR="00E06ABA">
        <w:rPr>
          <w:sz w:val="26"/>
          <w:szCs w:val="26"/>
        </w:rPr>
        <w:t xml:space="preserve"> and August 23, 2018</w:t>
      </w:r>
      <w:r w:rsidR="00411685">
        <w:rPr>
          <w:sz w:val="26"/>
          <w:szCs w:val="26"/>
        </w:rPr>
        <w:t>,</w:t>
      </w:r>
      <w:r w:rsidR="00E06ABA">
        <w:rPr>
          <w:sz w:val="26"/>
          <w:szCs w:val="26"/>
        </w:rPr>
        <w:t xml:space="preserve"> at the consolidated Docket Nos.</w:t>
      </w:r>
      <w:r w:rsidR="007B68A1">
        <w:rPr>
          <w:sz w:val="26"/>
          <w:szCs w:val="26"/>
        </w:rPr>
        <w:t xml:space="preserve"> </w:t>
      </w:r>
      <w:r w:rsidR="007B68A1" w:rsidRPr="00957295">
        <w:rPr>
          <w:sz w:val="26"/>
          <w:szCs w:val="26"/>
        </w:rPr>
        <w:t>C-2012-2304183</w:t>
      </w:r>
      <w:r w:rsidR="007B68A1">
        <w:rPr>
          <w:sz w:val="26"/>
          <w:szCs w:val="26"/>
        </w:rPr>
        <w:t xml:space="preserve">, and </w:t>
      </w:r>
      <w:r w:rsidR="007B68A1" w:rsidRPr="00957295">
        <w:rPr>
          <w:sz w:val="26"/>
          <w:szCs w:val="26"/>
        </w:rPr>
        <w:t>C</w:t>
      </w:r>
      <w:r w:rsidR="00411685">
        <w:rPr>
          <w:sz w:val="26"/>
          <w:szCs w:val="26"/>
        </w:rPr>
        <w:noBreakHyphen/>
      </w:r>
      <w:r w:rsidR="007B68A1" w:rsidRPr="00957295">
        <w:rPr>
          <w:sz w:val="26"/>
          <w:szCs w:val="26"/>
        </w:rPr>
        <w:t>2012-2304324</w:t>
      </w:r>
      <w:r w:rsidR="007B68A1">
        <w:rPr>
          <w:sz w:val="26"/>
          <w:szCs w:val="26"/>
        </w:rPr>
        <w:t>.</w:t>
      </w:r>
    </w:p>
    <w:p w14:paraId="6A139EAB" w14:textId="77777777" w:rsidR="001A5BBE" w:rsidRDefault="001A5BBE">
      <w:pPr>
        <w:spacing w:line="240" w:lineRule="auto"/>
        <w:ind w:firstLine="0"/>
        <w:rPr>
          <w:sz w:val="26"/>
        </w:rPr>
      </w:pPr>
    </w:p>
    <w:p w14:paraId="0DBAED00" w14:textId="43CF3CB5" w:rsidR="002E4BB0" w:rsidRDefault="00A84285" w:rsidP="008E6E66">
      <w:pPr>
        <w:pStyle w:val="ListParagraph"/>
        <w:numPr>
          <w:ilvl w:val="0"/>
          <w:numId w:val="2"/>
        </w:numPr>
        <w:ind w:left="0" w:firstLine="1440"/>
        <w:rPr>
          <w:sz w:val="26"/>
          <w:szCs w:val="26"/>
        </w:rPr>
      </w:pPr>
      <w:r w:rsidRPr="00A84285">
        <w:rPr>
          <w:sz w:val="26"/>
          <w:szCs w:val="26"/>
        </w:rPr>
        <w:t xml:space="preserve">That a copy of this Opinion and Order shall be served upon the </w:t>
      </w:r>
      <w:r w:rsidR="0008199D">
        <w:rPr>
          <w:sz w:val="26"/>
          <w:szCs w:val="26"/>
        </w:rPr>
        <w:t>Commission</w:t>
      </w:r>
      <w:r w:rsidR="007B68A1">
        <w:rPr>
          <w:sz w:val="26"/>
          <w:szCs w:val="26"/>
        </w:rPr>
        <w:t>’s</w:t>
      </w:r>
      <w:r w:rsidR="0008199D">
        <w:rPr>
          <w:sz w:val="26"/>
          <w:szCs w:val="26"/>
        </w:rPr>
        <w:t xml:space="preserve"> Bureau of Investigation and Enforcement</w:t>
      </w:r>
      <w:r w:rsidR="00A11B5C">
        <w:rPr>
          <w:sz w:val="26"/>
          <w:szCs w:val="26"/>
        </w:rPr>
        <w:t>, for such enforcement action as deemed necessary</w:t>
      </w:r>
      <w:r w:rsidR="005A426D">
        <w:rPr>
          <w:sz w:val="26"/>
          <w:szCs w:val="26"/>
        </w:rPr>
        <w:t>.</w:t>
      </w:r>
    </w:p>
    <w:p w14:paraId="6F4CFBFF" w14:textId="75BEF338" w:rsidR="00AA4577" w:rsidRDefault="00AA4577" w:rsidP="00411685">
      <w:pPr>
        <w:spacing w:line="240" w:lineRule="auto"/>
        <w:rPr>
          <w:sz w:val="26"/>
        </w:rPr>
      </w:pPr>
    </w:p>
    <w:p w14:paraId="111382E4" w14:textId="3EDC607B" w:rsidR="00C16547" w:rsidRDefault="00601950" w:rsidP="00411685">
      <w:pPr>
        <w:spacing w:line="240" w:lineRule="auto"/>
        <w:ind w:left="3600"/>
        <w:rPr>
          <w:b/>
          <w:sz w:val="26"/>
          <w:szCs w:val="26"/>
        </w:rPr>
      </w:pPr>
      <w:bookmarkStart w:id="4" w:name="_GoBack"/>
      <w:r w:rsidRPr="009F01BA">
        <w:rPr>
          <w:b/>
          <w:noProof/>
          <w:sz w:val="20"/>
          <w:szCs w:val="20"/>
        </w:rPr>
        <w:drawing>
          <wp:anchor distT="0" distB="0" distL="114300" distR="114300" simplePos="0" relativeHeight="251659264" behindDoc="1" locked="0" layoutInCell="1" allowOverlap="1" wp14:anchorId="20A48B35" wp14:editId="58DA3C0D">
            <wp:simplePos x="0" y="0"/>
            <wp:positionH relativeFrom="column">
              <wp:posOffset>2962275</wp:posOffset>
            </wp:positionH>
            <wp:positionV relativeFrom="paragraph">
              <wp:posOffset>160655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9078DF">
        <w:rPr>
          <w:b/>
          <w:sz w:val="26"/>
          <w:szCs w:val="26"/>
        </w:rPr>
        <w:t>BY THE C</w:t>
      </w:r>
      <w:r w:rsidR="00C16547">
        <w:rPr>
          <w:b/>
          <w:sz w:val="26"/>
          <w:szCs w:val="26"/>
        </w:rPr>
        <w:t>OMMISSIO</w:t>
      </w:r>
      <w:r w:rsidR="00160408">
        <w:rPr>
          <w:b/>
          <w:sz w:val="26"/>
          <w:szCs w:val="26"/>
        </w:rPr>
        <w:t>N</w:t>
      </w:r>
    </w:p>
    <w:p w14:paraId="5AC23F3F" w14:textId="45D5526D" w:rsidR="00E53234" w:rsidRPr="00411685" w:rsidRDefault="00E53234" w:rsidP="00411685">
      <w:pPr>
        <w:spacing w:line="240" w:lineRule="auto"/>
        <w:rPr>
          <w:sz w:val="26"/>
          <w:szCs w:val="26"/>
        </w:rPr>
      </w:pPr>
    </w:p>
    <w:p w14:paraId="30AED15E" w14:textId="1BFFC95B" w:rsidR="00411685" w:rsidRPr="00411685" w:rsidRDefault="00411685" w:rsidP="00411685">
      <w:pPr>
        <w:spacing w:line="240" w:lineRule="auto"/>
        <w:rPr>
          <w:sz w:val="26"/>
          <w:szCs w:val="26"/>
        </w:rPr>
      </w:pPr>
    </w:p>
    <w:p w14:paraId="274D5DE7" w14:textId="77777777" w:rsidR="00411685" w:rsidRPr="00411685" w:rsidRDefault="00411685" w:rsidP="00411685">
      <w:pPr>
        <w:spacing w:line="240" w:lineRule="auto"/>
        <w:rPr>
          <w:sz w:val="26"/>
          <w:szCs w:val="26"/>
        </w:rPr>
      </w:pPr>
    </w:p>
    <w:p w14:paraId="408315CC" w14:textId="5E181E70" w:rsidR="00E85123" w:rsidRPr="00411685" w:rsidRDefault="00E85123" w:rsidP="00411685">
      <w:pPr>
        <w:tabs>
          <w:tab w:val="left" w:pos="8460"/>
        </w:tabs>
        <w:spacing w:line="240" w:lineRule="auto"/>
        <w:rPr>
          <w:sz w:val="26"/>
          <w:szCs w:val="26"/>
        </w:rPr>
      </w:pPr>
    </w:p>
    <w:p w14:paraId="7FE80980" w14:textId="77777777" w:rsidR="009078DF" w:rsidRDefault="00C16547" w:rsidP="00411685">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14:paraId="03C15DE7" w14:textId="5E549F61" w:rsidR="00C16547" w:rsidRDefault="00C16547" w:rsidP="00411685">
      <w:pPr>
        <w:spacing w:line="240" w:lineRule="auto"/>
        <w:rPr>
          <w:sz w:val="26"/>
          <w:szCs w:val="26"/>
        </w:rPr>
      </w:pPr>
      <w:r>
        <w:rPr>
          <w:sz w:val="26"/>
          <w:szCs w:val="26"/>
        </w:rPr>
        <w:tab/>
      </w:r>
      <w:r>
        <w:rPr>
          <w:sz w:val="26"/>
          <w:szCs w:val="26"/>
        </w:rPr>
        <w:tab/>
      </w:r>
      <w:r>
        <w:rPr>
          <w:sz w:val="26"/>
          <w:szCs w:val="26"/>
        </w:rPr>
        <w:tab/>
      </w:r>
      <w:r>
        <w:rPr>
          <w:sz w:val="26"/>
          <w:szCs w:val="26"/>
        </w:rPr>
        <w:tab/>
      </w:r>
      <w:r>
        <w:rPr>
          <w:sz w:val="26"/>
          <w:szCs w:val="26"/>
        </w:rPr>
        <w:tab/>
        <w:t>Secretary</w:t>
      </w:r>
    </w:p>
    <w:p w14:paraId="6F732D45" w14:textId="77777777" w:rsidR="00411685" w:rsidRPr="00C16547" w:rsidRDefault="00411685" w:rsidP="00411685">
      <w:pPr>
        <w:spacing w:line="240" w:lineRule="auto"/>
        <w:rPr>
          <w:sz w:val="26"/>
        </w:rPr>
      </w:pPr>
    </w:p>
    <w:p w14:paraId="2C3C17B3" w14:textId="77777777" w:rsidR="007B68A1" w:rsidRDefault="007B68A1" w:rsidP="00411685">
      <w:pPr>
        <w:widowControl w:val="0"/>
        <w:tabs>
          <w:tab w:val="left" w:pos="-720"/>
        </w:tabs>
        <w:spacing w:line="240" w:lineRule="auto"/>
        <w:ind w:firstLine="0"/>
        <w:rPr>
          <w:sz w:val="26"/>
          <w:szCs w:val="26"/>
        </w:rPr>
      </w:pPr>
      <w:r>
        <w:rPr>
          <w:sz w:val="26"/>
          <w:szCs w:val="26"/>
        </w:rPr>
        <w:t>(SEAL)</w:t>
      </w:r>
    </w:p>
    <w:p w14:paraId="1865EB06" w14:textId="77777777" w:rsidR="007B68A1" w:rsidRDefault="007B68A1" w:rsidP="00411685">
      <w:pPr>
        <w:widowControl w:val="0"/>
        <w:spacing w:line="240" w:lineRule="auto"/>
        <w:ind w:firstLine="0"/>
        <w:rPr>
          <w:sz w:val="26"/>
          <w:szCs w:val="26"/>
        </w:rPr>
      </w:pPr>
    </w:p>
    <w:p w14:paraId="18F5F31D" w14:textId="0899477C" w:rsidR="00265670" w:rsidRDefault="00E46816" w:rsidP="00411685">
      <w:pPr>
        <w:widowControl w:val="0"/>
        <w:spacing w:line="240" w:lineRule="auto"/>
        <w:ind w:firstLine="0"/>
        <w:rPr>
          <w:sz w:val="26"/>
          <w:szCs w:val="26"/>
        </w:rPr>
      </w:pPr>
      <w:r>
        <w:rPr>
          <w:sz w:val="26"/>
          <w:szCs w:val="26"/>
        </w:rPr>
        <w:t xml:space="preserve">ORDER ADOPTED:  </w:t>
      </w:r>
      <w:r w:rsidR="00423627">
        <w:rPr>
          <w:sz w:val="26"/>
          <w:szCs w:val="26"/>
        </w:rPr>
        <w:t>March 28, 2019</w:t>
      </w:r>
    </w:p>
    <w:p w14:paraId="2E7C6046" w14:textId="77777777" w:rsidR="00095E19" w:rsidRDefault="00095E19" w:rsidP="00411685">
      <w:pPr>
        <w:widowControl w:val="0"/>
        <w:spacing w:line="240" w:lineRule="auto"/>
        <w:ind w:firstLine="0"/>
        <w:rPr>
          <w:sz w:val="26"/>
          <w:szCs w:val="26"/>
        </w:rPr>
      </w:pPr>
    </w:p>
    <w:p w14:paraId="6E32B56E" w14:textId="3E6DC435" w:rsidR="00156DEE" w:rsidRDefault="009078DF" w:rsidP="00411685">
      <w:pPr>
        <w:widowControl w:val="0"/>
        <w:spacing w:line="240" w:lineRule="auto"/>
        <w:ind w:firstLine="0"/>
        <w:rPr>
          <w:sz w:val="26"/>
          <w:szCs w:val="26"/>
        </w:rPr>
      </w:pPr>
      <w:r>
        <w:rPr>
          <w:sz w:val="26"/>
          <w:szCs w:val="26"/>
        </w:rPr>
        <w:t xml:space="preserve">ORDER ENTERED: </w:t>
      </w:r>
      <w:r w:rsidR="00156DEE">
        <w:rPr>
          <w:sz w:val="26"/>
          <w:szCs w:val="26"/>
        </w:rPr>
        <w:t xml:space="preserve"> </w:t>
      </w:r>
      <w:r w:rsidR="00601950">
        <w:rPr>
          <w:sz w:val="26"/>
          <w:szCs w:val="26"/>
        </w:rPr>
        <w:t>March 28, 2019</w:t>
      </w:r>
    </w:p>
    <w:sectPr w:rsidR="00156DEE" w:rsidSect="00921AF7">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488C9" w14:textId="77777777" w:rsidR="00104F40" w:rsidRDefault="00104F40">
      <w:r>
        <w:separator/>
      </w:r>
    </w:p>
    <w:p w14:paraId="31705BFD" w14:textId="77777777" w:rsidR="00104F40" w:rsidRDefault="00104F40"/>
  </w:endnote>
  <w:endnote w:type="continuationSeparator" w:id="0">
    <w:p w14:paraId="2ED622B7" w14:textId="77777777" w:rsidR="00104F40" w:rsidRDefault="00104F40">
      <w:r>
        <w:continuationSeparator/>
      </w:r>
    </w:p>
    <w:p w14:paraId="67FEA2B7" w14:textId="77777777" w:rsidR="00104F40" w:rsidRDefault="00104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7BEF9" w14:textId="6D3B0C62" w:rsidR="0015448D" w:rsidRDefault="001544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F95">
      <w:rPr>
        <w:rStyle w:val="PageNumber"/>
        <w:noProof/>
      </w:rPr>
      <w:t>23</w:t>
    </w:r>
    <w:r>
      <w:rPr>
        <w:rStyle w:val="PageNumber"/>
      </w:rPr>
      <w:fldChar w:fldCharType="end"/>
    </w:r>
  </w:p>
  <w:p w14:paraId="4DF60B5B" w14:textId="77777777" w:rsidR="0015448D" w:rsidRDefault="0015448D">
    <w:pPr>
      <w:pStyle w:val="Footer"/>
    </w:pPr>
  </w:p>
  <w:p w14:paraId="47DB0431" w14:textId="77777777" w:rsidR="00466616" w:rsidRDefault="004666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E4A2" w14:textId="596857A6" w:rsidR="0015448D" w:rsidRDefault="0015448D"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16E21">
      <w:rPr>
        <w:rStyle w:val="PageNumber"/>
        <w:noProof/>
      </w:rPr>
      <w:t>23</w:t>
    </w:r>
    <w:r>
      <w:rPr>
        <w:rStyle w:val="PageNumber"/>
      </w:rPr>
      <w:fldChar w:fldCharType="end"/>
    </w:r>
  </w:p>
  <w:p w14:paraId="03AF765C" w14:textId="77777777" w:rsidR="00466616" w:rsidRDefault="004666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3F577" w14:textId="77777777" w:rsidR="00104F40" w:rsidRDefault="00104F40" w:rsidP="00061C37">
      <w:pPr>
        <w:ind w:firstLine="0"/>
      </w:pPr>
      <w:r>
        <w:separator/>
      </w:r>
    </w:p>
  </w:footnote>
  <w:footnote w:type="continuationSeparator" w:id="0">
    <w:p w14:paraId="11FEED52" w14:textId="77777777" w:rsidR="00104F40" w:rsidRDefault="00104F40">
      <w:r>
        <w:continuationSeparator/>
      </w:r>
    </w:p>
    <w:p w14:paraId="7BE323FE" w14:textId="77777777" w:rsidR="00104F40" w:rsidRDefault="00104F40"/>
  </w:footnote>
  <w:footnote w:id="1">
    <w:p w14:paraId="42FB8826" w14:textId="0A8D53D0" w:rsidR="0015448D" w:rsidRPr="00F74F84" w:rsidRDefault="0015448D" w:rsidP="00CE3707">
      <w:pPr>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t xml:space="preserve">PGW </w:t>
      </w:r>
      <w:r w:rsidRPr="00F74F84">
        <w:rPr>
          <w:bCs/>
          <w:spacing w:val="-3"/>
          <w:sz w:val="26"/>
          <w:szCs w:val="26"/>
        </w:rPr>
        <w:t>is owned by the City of Philadelphia and is subject to Commission j</w:t>
      </w:r>
      <w:r w:rsidRPr="00F74F84">
        <w:rPr>
          <w:sz w:val="26"/>
          <w:szCs w:val="26"/>
        </w:rPr>
        <w:t xml:space="preserve">urisdiction due to </w:t>
      </w:r>
      <w:r w:rsidR="0010289B" w:rsidRPr="00F74F84">
        <w:rPr>
          <w:sz w:val="26"/>
          <w:szCs w:val="26"/>
        </w:rPr>
        <w:t xml:space="preserve">its </w:t>
      </w:r>
      <w:r w:rsidRPr="00F74F84">
        <w:rPr>
          <w:sz w:val="26"/>
          <w:szCs w:val="26"/>
        </w:rPr>
        <w:t xml:space="preserve">classification as a “city natural gas distribution operation.”  </w:t>
      </w:r>
      <w:r w:rsidRPr="00F74F84">
        <w:rPr>
          <w:i/>
          <w:sz w:val="26"/>
          <w:szCs w:val="26"/>
        </w:rPr>
        <w:t xml:space="preserve">See May 18 Order </w:t>
      </w:r>
      <w:r w:rsidRPr="00F74F84">
        <w:rPr>
          <w:sz w:val="26"/>
          <w:szCs w:val="26"/>
        </w:rPr>
        <w:t xml:space="preserve">at 4-5, citing </w:t>
      </w:r>
      <w:r w:rsidR="004655A0" w:rsidRPr="00F74F84">
        <w:rPr>
          <w:sz w:val="26"/>
          <w:szCs w:val="26"/>
        </w:rPr>
        <w:t xml:space="preserve">Section 2212(b) of the Public Utility Code (Code), </w:t>
      </w:r>
      <w:r w:rsidRPr="00F74F84">
        <w:rPr>
          <w:sz w:val="26"/>
          <w:szCs w:val="26"/>
        </w:rPr>
        <w:t>66 Pa. C.S. § 2212(b).</w:t>
      </w:r>
      <w:r w:rsidRPr="00F74F84">
        <w:rPr>
          <w:bCs/>
          <w:spacing w:val="-3"/>
          <w:sz w:val="26"/>
          <w:szCs w:val="26"/>
        </w:rPr>
        <w:t xml:space="preserve"> </w:t>
      </w:r>
      <w:r w:rsidR="0010289B" w:rsidRPr="00F74F84">
        <w:rPr>
          <w:bCs/>
          <w:spacing w:val="-3"/>
          <w:sz w:val="26"/>
          <w:szCs w:val="26"/>
        </w:rPr>
        <w:t xml:space="preserve"> </w:t>
      </w:r>
      <w:r w:rsidRPr="00F74F84">
        <w:rPr>
          <w:bCs/>
          <w:spacing w:val="-3"/>
          <w:sz w:val="26"/>
          <w:szCs w:val="26"/>
        </w:rPr>
        <w:t xml:space="preserve">As such, </w:t>
      </w:r>
      <w:r w:rsidRPr="00F74F84">
        <w:rPr>
          <w:sz w:val="26"/>
          <w:szCs w:val="26"/>
        </w:rPr>
        <w:t xml:space="preserve">PGW is expressly entitled under the Code to avail itself of statutory rights pertaining to the collection of delinquent receivables, through the imposition of municipal liens.  </w:t>
      </w:r>
      <w:r w:rsidRPr="00F74F84">
        <w:rPr>
          <w:i/>
          <w:sz w:val="26"/>
          <w:szCs w:val="26"/>
        </w:rPr>
        <w:t>Id</w:t>
      </w:r>
      <w:r w:rsidR="0029001A" w:rsidRPr="00F74F84">
        <w:rPr>
          <w:i/>
          <w:sz w:val="26"/>
          <w:szCs w:val="26"/>
        </w:rPr>
        <w:t>.</w:t>
      </w:r>
    </w:p>
  </w:footnote>
  <w:footnote w:id="2">
    <w:p w14:paraId="4391CD9A" w14:textId="066B8CBA" w:rsidR="0015448D" w:rsidRPr="00F74F84" w:rsidRDefault="0015448D" w:rsidP="00CE3707">
      <w:pPr>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t xml:space="preserve">Although we find, </w:t>
      </w:r>
      <w:r w:rsidRPr="00F74F84">
        <w:rPr>
          <w:i/>
          <w:sz w:val="26"/>
          <w:szCs w:val="26"/>
        </w:rPr>
        <w:t>infra</w:t>
      </w:r>
      <w:r w:rsidRPr="00F74F84">
        <w:rPr>
          <w:sz w:val="26"/>
          <w:szCs w:val="26"/>
        </w:rPr>
        <w:t>, that PGW’s Petition for Stay was not timely filed pursuant to the Commission</w:t>
      </w:r>
      <w:r w:rsidR="00C87AE7">
        <w:rPr>
          <w:sz w:val="26"/>
          <w:szCs w:val="26"/>
        </w:rPr>
        <w:t>’s</w:t>
      </w:r>
      <w:r w:rsidRPr="00F74F84">
        <w:rPr>
          <w:sz w:val="26"/>
          <w:szCs w:val="26"/>
        </w:rPr>
        <w:t xml:space="preserve"> </w:t>
      </w:r>
      <w:r w:rsidR="00C87AE7">
        <w:rPr>
          <w:sz w:val="26"/>
          <w:szCs w:val="26"/>
        </w:rPr>
        <w:t>r</w:t>
      </w:r>
      <w:r w:rsidRPr="00F74F84">
        <w:rPr>
          <w:sz w:val="26"/>
          <w:szCs w:val="26"/>
        </w:rPr>
        <w:t xml:space="preserve">egulations at Section 5.572 (pertaining to Petitions for relief), we shall exercise our discretion to consider the Petition, pursuant to both the Commission’s </w:t>
      </w:r>
      <w:r w:rsidR="00C87AE7">
        <w:rPr>
          <w:sz w:val="26"/>
          <w:szCs w:val="26"/>
        </w:rPr>
        <w:t>r</w:t>
      </w:r>
      <w:r w:rsidRPr="00F74F84">
        <w:rPr>
          <w:sz w:val="26"/>
          <w:szCs w:val="26"/>
        </w:rPr>
        <w:t>egulations at Section 1. 2 (pertaining to liberal construction of regulations) and Rule 1701 of the Pennsylvania Rules of Appellate Procedure (pertaining to stay of agency orders on Petition for Review by the Commonwealth Court).  52 Pa Code § 1.2, and Pa. R.A.P. 1701.</w:t>
      </w:r>
    </w:p>
  </w:footnote>
  <w:footnote w:id="3">
    <w:p w14:paraId="4B89673C" w14:textId="2C98DA8D" w:rsidR="0015448D" w:rsidRPr="00F74F84" w:rsidRDefault="0015448D" w:rsidP="00CE3707">
      <w:pPr>
        <w:pStyle w:val="FootnoteText"/>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r>
      <w:r w:rsidR="006444E0">
        <w:rPr>
          <w:i/>
          <w:sz w:val="26"/>
          <w:szCs w:val="26"/>
        </w:rPr>
        <w:t xml:space="preserve">See, </w:t>
      </w:r>
      <w:r w:rsidR="006444E0">
        <w:rPr>
          <w:sz w:val="26"/>
          <w:szCs w:val="26"/>
        </w:rPr>
        <w:t>Commonwealth Court</w:t>
      </w:r>
      <w:r w:rsidR="007E56B0">
        <w:rPr>
          <w:sz w:val="26"/>
          <w:szCs w:val="26"/>
        </w:rPr>
        <w:t xml:space="preserve"> 1291 C.D. 2018.  </w:t>
      </w:r>
      <w:r w:rsidR="003634C1">
        <w:rPr>
          <w:sz w:val="26"/>
          <w:szCs w:val="26"/>
        </w:rPr>
        <w:t xml:space="preserve">In its </w:t>
      </w:r>
      <w:r w:rsidRPr="00F74F84">
        <w:rPr>
          <w:sz w:val="26"/>
          <w:szCs w:val="26"/>
        </w:rPr>
        <w:t>Petition for Review by Commonwealth Court</w:t>
      </w:r>
      <w:r w:rsidR="0020772E">
        <w:rPr>
          <w:sz w:val="26"/>
          <w:szCs w:val="26"/>
        </w:rPr>
        <w:t xml:space="preserve">, PGW </w:t>
      </w:r>
      <w:r w:rsidRPr="00F74F84">
        <w:rPr>
          <w:sz w:val="26"/>
          <w:szCs w:val="26"/>
        </w:rPr>
        <w:t>request</w:t>
      </w:r>
      <w:r w:rsidR="0020772E">
        <w:rPr>
          <w:sz w:val="26"/>
          <w:szCs w:val="26"/>
        </w:rPr>
        <w:t>ed</w:t>
      </w:r>
      <w:r w:rsidRPr="00F74F84">
        <w:rPr>
          <w:sz w:val="26"/>
          <w:szCs w:val="26"/>
        </w:rPr>
        <w:t xml:space="preserve"> review of</w:t>
      </w:r>
      <w:r w:rsidR="00FA714F">
        <w:rPr>
          <w:i/>
          <w:sz w:val="26"/>
          <w:szCs w:val="26"/>
        </w:rPr>
        <w:t xml:space="preserve"> </w:t>
      </w:r>
      <w:r w:rsidR="00FA714F">
        <w:rPr>
          <w:sz w:val="26"/>
          <w:szCs w:val="26"/>
        </w:rPr>
        <w:t>th</w:t>
      </w:r>
      <w:r w:rsidRPr="00F74F84">
        <w:rPr>
          <w:sz w:val="26"/>
          <w:szCs w:val="26"/>
        </w:rPr>
        <w:t xml:space="preserve">e </w:t>
      </w:r>
      <w:r w:rsidRPr="00F74F84">
        <w:rPr>
          <w:i/>
          <w:sz w:val="26"/>
          <w:szCs w:val="26"/>
        </w:rPr>
        <w:t>December 2016 Order</w:t>
      </w:r>
      <w:r w:rsidR="007475AA">
        <w:rPr>
          <w:i/>
          <w:sz w:val="26"/>
          <w:szCs w:val="26"/>
        </w:rPr>
        <w:t>,</w:t>
      </w:r>
      <w:r w:rsidRPr="00F74F84">
        <w:rPr>
          <w:sz w:val="26"/>
          <w:szCs w:val="26"/>
        </w:rPr>
        <w:t xml:space="preserve"> </w:t>
      </w:r>
      <w:r w:rsidR="00356CBC" w:rsidRPr="00F74F84">
        <w:rPr>
          <w:i/>
          <w:sz w:val="26"/>
          <w:szCs w:val="26"/>
        </w:rPr>
        <w:t>May 2018 Order</w:t>
      </w:r>
      <w:r w:rsidR="00356CBC">
        <w:rPr>
          <w:sz w:val="26"/>
          <w:szCs w:val="26"/>
        </w:rPr>
        <w:t xml:space="preserve"> </w:t>
      </w:r>
      <w:r w:rsidR="00B04F64">
        <w:rPr>
          <w:sz w:val="26"/>
          <w:szCs w:val="26"/>
        </w:rPr>
        <w:t xml:space="preserve">and </w:t>
      </w:r>
      <w:r w:rsidR="00B04F64" w:rsidRPr="00F74F84">
        <w:rPr>
          <w:i/>
          <w:sz w:val="26"/>
          <w:szCs w:val="26"/>
        </w:rPr>
        <w:t>August 2018 Order</w:t>
      </w:r>
      <w:r w:rsidR="00B04F64">
        <w:rPr>
          <w:sz w:val="26"/>
          <w:szCs w:val="26"/>
        </w:rPr>
        <w:t xml:space="preserve"> </w:t>
      </w:r>
      <w:r w:rsidR="0020772E">
        <w:rPr>
          <w:sz w:val="26"/>
          <w:szCs w:val="26"/>
        </w:rPr>
        <w:t>(</w:t>
      </w:r>
      <w:r w:rsidRPr="00F74F84">
        <w:rPr>
          <w:sz w:val="26"/>
          <w:szCs w:val="26"/>
        </w:rPr>
        <w:t xml:space="preserve">collectively, the </w:t>
      </w:r>
      <w:r w:rsidRPr="0020772E">
        <w:rPr>
          <w:i/>
          <w:sz w:val="26"/>
          <w:szCs w:val="26"/>
        </w:rPr>
        <w:t>Commission Orders</w:t>
      </w:r>
      <w:r w:rsidRPr="00F74F84">
        <w:rPr>
          <w:sz w:val="26"/>
          <w:szCs w:val="26"/>
        </w:rPr>
        <w:t>).</w:t>
      </w:r>
    </w:p>
  </w:footnote>
  <w:footnote w:id="4">
    <w:p w14:paraId="714A3DEA" w14:textId="3E186DF9" w:rsidR="0015448D" w:rsidRPr="00F74F84" w:rsidRDefault="0015448D" w:rsidP="00CE3707">
      <w:pPr>
        <w:pStyle w:val="FootnoteText"/>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t xml:space="preserve">Below are relevant background and portions of the History of the Proceeding.  For a background and a full summary of the proceedings see our </w:t>
      </w:r>
      <w:r w:rsidRPr="00F74F84">
        <w:rPr>
          <w:i/>
          <w:sz w:val="26"/>
          <w:szCs w:val="26"/>
        </w:rPr>
        <w:t>August 2018 Order</w:t>
      </w:r>
      <w:r w:rsidRPr="00F74F84">
        <w:rPr>
          <w:sz w:val="26"/>
          <w:szCs w:val="26"/>
        </w:rPr>
        <w:t xml:space="preserve"> at 2-6.</w:t>
      </w:r>
    </w:p>
  </w:footnote>
  <w:footnote w:id="5">
    <w:p w14:paraId="48362109" w14:textId="4A3FCA57" w:rsidR="0015448D" w:rsidRPr="00F74F84" w:rsidRDefault="0015448D" w:rsidP="00CE3707">
      <w:pPr>
        <w:pStyle w:val="FootnoteText"/>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t>SBG, as the designated real estate management agent for the property owners, was authorized to prosecute the Complaints.  The Complainants are owners of multi-unit, garden-style apartment complexes located in the City of Philadelphia that receive natural gas service from PGW.</w:t>
      </w:r>
    </w:p>
  </w:footnote>
  <w:footnote w:id="6">
    <w:p w14:paraId="5F9E26D1" w14:textId="1881F0AB" w:rsidR="0015448D" w:rsidRPr="00F74F84" w:rsidRDefault="0015448D" w:rsidP="00CE3707">
      <w:pPr>
        <w:keepNext/>
        <w:keepLines/>
        <w:autoSpaceDE w:val="0"/>
        <w:autoSpaceDN w:val="0"/>
        <w:spacing w:after="120" w:line="240" w:lineRule="auto"/>
        <w:ind w:firstLine="720"/>
        <w:rPr>
          <w:sz w:val="26"/>
          <w:szCs w:val="26"/>
        </w:rPr>
      </w:pPr>
      <w:r w:rsidRPr="00F74F84">
        <w:rPr>
          <w:rStyle w:val="FootnoteReference"/>
          <w:sz w:val="26"/>
          <w:szCs w:val="26"/>
        </w:rPr>
        <w:footnoteRef/>
      </w:r>
      <w:r w:rsidRPr="00F74F84">
        <w:rPr>
          <w:sz w:val="26"/>
          <w:szCs w:val="26"/>
        </w:rPr>
        <w:tab/>
        <w:t xml:space="preserve">The Complaints at issue are two of a </w:t>
      </w:r>
      <w:r w:rsidRPr="00F74F84">
        <w:rPr>
          <w:spacing w:val="-3"/>
          <w:sz w:val="26"/>
          <w:szCs w:val="26"/>
        </w:rPr>
        <w:t xml:space="preserve">total of five Formal Complaints that were filed and </w:t>
      </w:r>
      <w:r w:rsidR="001D610B">
        <w:rPr>
          <w:spacing w:val="-3"/>
          <w:sz w:val="26"/>
          <w:szCs w:val="26"/>
        </w:rPr>
        <w:t xml:space="preserve">subsequently </w:t>
      </w:r>
      <w:r w:rsidRPr="00F74F84">
        <w:rPr>
          <w:sz w:val="26"/>
          <w:szCs w:val="26"/>
        </w:rPr>
        <w:t xml:space="preserve">consolidated for hearing and disposition by the presiding ALJ.  </w:t>
      </w:r>
      <w:r w:rsidRPr="00F74F84">
        <w:rPr>
          <w:i/>
          <w:sz w:val="26"/>
          <w:szCs w:val="26"/>
        </w:rPr>
        <w:t>See</w:t>
      </w:r>
      <w:r w:rsidRPr="00F74F84">
        <w:rPr>
          <w:sz w:val="26"/>
          <w:szCs w:val="26"/>
        </w:rPr>
        <w:t xml:space="preserve"> </w:t>
      </w:r>
      <w:r w:rsidRPr="00F74F84">
        <w:rPr>
          <w:i/>
          <w:sz w:val="26"/>
          <w:szCs w:val="26"/>
        </w:rPr>
        <w:t xml:space="preserve">May </w:t>
      </w:r>
      <w:r w:rsidR="00484DD5">
        <w:rPr>
          <w:i/>
          <w:sz w:val="26"/>
          <w:szCs w:val="26"/>
        </w:rPr>
        <w:t>20</w:t>
      </w:r>
      <w:r w:rsidRPr="00F74F84">
        <w:rPr>
          <w:i/>
          <w:sz w:val="26"/>
          <w:szCs w:val="26"/>
        </w:rPr>
        <w:t>18 Order</w:t>
      </w:r>
      <w:r w:rsidRPr="00F74F84">
        <w:rPr>
          <w:sz w:val="26"/>
          <w:szCs w:val="26"/>
        </w:rPr>
        <w:t xml:space="preserve"> at n.7.  </w:t>
      </w:r>
      <w:r w:rsidRPr="00F74F84">
        <w:rPr>
          <w:spacing w:val="-3"/>
          <w:sz w:val="26"/>
          <w:szCs w:val="26"/>
        </w:rPr>
        <w:t xml:space="preserve">By Order of presiding ALJ Vero, the cases were divided into two groups for adjudication and disposition.  </w:t>
      </w:r>
      <w:r w:rsidRPr="00F74F84">
        <w:rPr>
          <w:i/>
          <w:spacing w:val="-3"/>
          <w:sz w:val="26"/>
          <w:szCs w:val="26"/>
        </w:rPr>
        <w:t>See</w:t>
      </w:r>
      <w:r w:rsidRPr="00F74F84">
        <w:rPr>
          <w:spacing w:val="-3"/>
          <w:sz w:val="26"/>
          <w:szCs w:val="26"/>
        </w:rPr>
        <w:t xml:space="preserve"> </w:t>
      </w:r>
      <w:r w:rsidRPr="00F74F84">
        <w:rPr>
          <w:i/>
          <w:spacing w:val="-3"/>
          <w:sz w:val="26"/>
          <w:szCs w:val="26"/>
        </w:rPr>
        <w:t xml:space="preserve">December </w:t>
      </w:r>
      <w:r w:rsidR="00484DD5">
        <w:rPr>
          <w:i/>
          <w:spacing w:val="-3"/>
          <w:sz w:val="26"/>
          <w:szCs w:val="26"/>
        </w:rPr>
        <w:t>2016</w:t>
      </w:r>
      <w:r w:rsidRPr="00F74F84">
        <w:rPr>
          <w:i/>
          <w:spacing w:val="-3"/>
          <w:sz w:val="26"/>
          <w:szCs w:val="26"/>
        </w:rPr>
        <w:t xml:space="preserve"> Order </w:t>
      </w:r>
      <w:r w:rsidRPr="00F74F84">
        <w:rPr>
          <w:spacing w:val="-3"/>
          <w:sz w:val="26"/>
          <w:szCs w:val="26"/>
        </w:rPr>
        <w:t>at 1; 4-6.</w:t>
      </w:r>
    </w:p>
  </w:footnote>
  <w:footnote w:id="7">
    <w:p w14:paraId="514403E1" w14:textId="504DB4BE" w:rsidR="0015448D" w:rsidRPr="00F74F84" w:rsidRDefault="0015448D" w:rsidP="00CE3707">
      <w:pPr>
        <w:pStyle w:val="FootnoteText"/>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t xml:space="preserve">In addition to the five Formal Complaints referenced, our </w:t>
      </w:r>
      <w:r w:rsidRPr="00F74F84">
        <w:rPr>
          <w:i/>
          <w:sz w:val="26"/>
          <w:szCs w:val="26"/>
        </w:rPr>
        <w:t>December</w:t>
      </w:r>
      <w:r w:rsidR="00B8762C">
        <w:rPr>
          <w:i/>
          <w:sz w:val="26"/>
          <w:szCs w:val="26"/>
        </w:rPr>
        <w:t> </w:t>
      </w:r>
      <w:r w:rsidRPr="00F74F84">
        <w:rPr>
          <w:i/>
          <w:sz w:val="26"/>
          <w:szCs w:val="26"/>
        </w:rPr>
        <w:t>8 Order</w:t>
      </w:r>
      <w:r w:rsidRPr="00F74F84">
        <w:rPr>
          <w:sz w:val="26"/>
          <w:szCs w:val="26"/>
        </w:rPr>
        <w:t xml:space="preserve"> further noted four other complaints prosecuted by SBG </w:t>
      </w:r>
      <w:r w:rsidRPr="00F74F84">
        <w:rPr>
          <w:spacing w:val="-3"/>
          <w:sz w:val="26"/>
          <w:szCs w:val="26"/>
        </w:rPr>
        <w:t xml:space="preserve">Management Services, Inc. against PGW </w:t>
      </w:r>
      <w:r w:rsidRPr="00F74F84">
        <w:rPr>
          <w:sz w:val="26"/>
          <w:szCs w:val="26"/>
        </w:rPr>
        <w:t>on behalf of commercial property owners</w:t>
      </w:r>
      <w:r w:rsidR="00B8762C">
        <w:rPr>
          <w:sz w:val="26"/>
          <w:szCs w:val="26"/>
        </w:rPr>
        <w:t>.</w:t>
      </w:r>
      <w:r w:rsidRPr="00F74F84">
        <w:rPr>
          <w:sz w:val="26"/>
          <w:szCs w:val="26"/>
        </w:rPr>
        <w:t xml:space="preserve">  </w:t>
      </w:r>
      <w:r w:rsidRPr="00F74F84">
        <w:rPr>
          <w:i/>
          <w:sz w:val="26"/>
          <w:szCs w:val="26"/>
        </w:rPr>
        <w:t>See December</w:t>
      </w:r>
      <w:r w:rsidR="00484DD5">
        <w:rPr>
          <w:i/>
          <w:sz w:val="26"/>
          <w:szCs w:val="26"/>
        </w:rPr>
        <w:t xml:space="preserve"> 2016</w:t>
      </w:r>
      <w:r w:rsidRPr="00F74F84">
        <w:rPr>
          <w:i/>
          <w:sz w:val="26"/>
          <w:szCs w:val="26"/>
        </w:rPr>
        <w:t xml:space="preserve"> Order </w:t>
      </w:r>
      <w:r w:rsidRPr="00F74F84">
        <w:rPr>
          <w:sz w:val="26"/>
          <w:szCs w:val="26"/>
        </w:rPr>
        <w:t>at</w:t>
      </w:r>
      <w:r w:rsidR="00830D7F">
        <w:rPr>
          <w:sz w:val="26"/>
          <w:szCs w:val="26"/>
        </w:rPr>
        <w:t> </w:t>
      </w:r>
      <w:r w:rsidRPr="00F74F84">
        <w:rPr>
          <w:sz w:val="26"/>
          <w:szCs w:val="26"/>
        </w:rPr>
        <w:t>6.</w:t>
      </w:r>
    </w:p>
  </w:footnote>
  <w:footnote w:id="8">
    <w:p w14:paraId="516C87CD" w14:textId="3878D603" w:rsidR="0015448D" w:rsidRPr="00F74F84" w:rsidRDefault="0015448D" w:rsidP="00CE3707">
      <w:pPr>
        <w:keepNext/>
        <w:keepLines/>
        <w:spacing w:after="120" w:line="240" w:lineRule="auto"/>
        <w:ind w:firstLine="720"/>
        <w:rPr>
          <w:sz w:val="26"/>
          <w:szCs w:val="26"/>
        </w:rPr>
      </w:pPr>
      <w:bookmarkStart w:id="1" w:name="_Hlk521308826"/>
      <w:r w:rsidRPr="00F74F84">
        <w:rPr>
          <w:rStyle w:val="FootnoteReference"/>
          <w:sz w:val="26"/>
          <w:szCs w:val="26"/>
        </w:rPr>
        <w:footnoteRef/>
      </w:r>
      <w:r w:rsidRPr="00F74F84">
        <w:rPr>
          <w:sz w:val="26"/>
          <w:szCs w:val="26"/>
        </w:rPr>
        <w:tab/>
        <w:t>The issue was</w:t>
      </w:r>
      <w:r w:rsidR="006D1E68">
        <w:rPr>
          <w:sz w:val="26"/>
          <w:szCs w:val="26"/>
        </w:rPr>
        <w:t>, however,</w:t>
      </w:r>
      <w:r w:rsidRPr="00F74F84">
        <w:rPr>
          <w:sz w:val="26"/>
          <w:szCs w:val="26"/>
        </w:rPr>
        <w:t xml:space="preserve"> decided by our </w:t>
      </w:r>
      <w:r w:rsidRPr="00F74F84">
        <w:rPr>
          <w:i/>
          <w:sz w:val="26"/>
          <w:szCs w:val="26"/>
        </w:rPr>
        <w:t>December 2016 Order</w:t>
      </w:r>
      <w:r w:rsidRPr="00F74F84">
        <w:rPr>
          <w:sz w:val="26"/>
          <w:szCs w:val="26"/>
        </w:rPr>
        <w:t>.  Furthermore, in the PGW general rate increase proceeding</w:t>
      </w:r>
      <w:r w:rsidR="0036778B">
        <w:rPr>
          <w:sz w:val="26"/>
          <w:szCs w:val="26"/>
        </w:rPr>
        <w:t xml:space="preserve"> that concluded last year</w:t>
      </w:r>
      <w:r w:rsidRPr="00F74F84">
        <w:rPr>
          <w:sz w:val="26"/>
          <w:szCs w:val="26"/>
        </w:rPr>
        <w:t xml:space="preserve">, the issue of PGW’s allocation of partial payments made for past due bills for residential customers was addressed by the Commission </w:t>
      </w:r>
      <w:r w:rsidR="00123700">
        <w:rPr>
          <w:sz w:val="26"/>
          <w:szCs w:val="26"/>
        </w:rPr>
        <w:t xml:space="preserve">in response to </w:t>
      </w:r>
      <w:r w:rsidRPr="00F74F84">
        <w:rPr>
          <w:sz w:val="26"/>
          <w:szCs w:val="26"/>
        </w:rPr>
        <w:t xml:space="preserve">a complaint of the Office of Consumer Advocate (OCA).  In that proceeding we concluded, </w:t>
      </w:r>
      <w:r w:rsidRPr="00F74F84">
        <w:rPr>
          <w:i/>
          <w:sz w:val="26"/>
          <w:szCs w:val="26"/>
        </w:rPr>
        <w:t>inter alia</w:t>
      </w:r>
      <w:r w:rsidRPr="00F74F84">
        <w:rPr>
          <w:sz w:val="26"/>
          <w:szCs w:val="26"/>
        </w:rPr>
        <w:t>, that the allocation practices litigated in this complaint proceeding</w:t>
      </w:r>
      <w:r w:rsidR="00ED509F">
        <w:rPr>
          <w:sz w:val="26"/>
          <w:szCs w:val="26"/>
        </w:rPr>
        <w:t xml:space="preserve"> regarding commercial customers</w:t>
      </w:r>
      <w:r w:rsidRPr="00F74F84">
        <w:rPr>
          <w:sz w:val="26"/>
          <w:szCs w:val="26"/>
        </w:rPr>
        <w:t xml:space="preserve"> were also employed with respect to PGW’s residential class of ratepayers and such practices were, similarly, in violation of the Code, Commission </w:t>
      </w:r>
      <w:r w:rsidR="00C87AE7">
        <w:rPr>
          <w:sz w:val="26"/>
          <w:szCs w:val="26"/>
        </w:rPr>
        <w:t>r</w:t>
      </w:r>
      <w:r w:rsidRPr="00F74F84">
        <w:rPr>
          <w:sz w:val="26"/>
          <w:szCs w:val="26"/>
        </w:rPr>
        <w:t xml:space="preserve">egulations, and PGW’s Tariff.  </w:t>
      </w:r>
      <w:r w:rsidRPr="00F74F84">
        <w:rPr>
          <w:i/>
          <w:sz w:val="26"/>
          <w:szCs w:val="26"/>
        </w:rPr>
        <w:t>See Pa. PUC, et al. v. Philadelphia Gas Works</w:t>
      </w:r>
      <w:r w:rsidRPr="00F74F84">
        <w:rPr>
          <w:sz w:val="26"/>
          <w:szCs w:val="26"/>
        </w:rPr>
        <w:t>,</w:t>
      </w:r>
      <w:r w:rsidRPr="00F74F84">
        <w:rPr>
          <w:i/>
          <w:sz w:val="26"/>
          <w:szCs w:val="26"/>
        </w:rPr>
        <w:t xml:space="preserve"> </w:t>
      </w:r>
      <w:r w:rsidRPr="00F74F84">
        <w:rPr>
          <w:sz w:val="26"/>
          <w:szCs w:val="26"/>
        </w:rPr>
        <w:t xml:space="preserve">Docket No. R-2017-2586783, </w:t>
      </w:r>
      <w:r w:rsidRPr="00F74F84">
        <w:rPr>
          <w:i/>
          <w:sz w:val="26"/>
          <w:szCs w:val="26"/>
        </w:rPr>
        <w:t xml:space="preserve">et al. </w:t>
      </w:r>
      <w:r w:rsidRPr="00F74F84">
        <w:rPr>
          <w:sz w:val="26"/>
          <w:szCs w:val="26"/>
        </w:rPr>
        <w:t>(Order entered May 18, 2018); (Order on Reconsideration adopted August 23, 2018).</w:t>
      </w:r>
      <w:bookmarkEnd w:id="1"/>
    </w:p>
  </w:footnote>
  <w:footnote w:id="9">
    <w:p w14:paraId="4BA2A687" w14:textId="77777777" w:rsidR="0015448D" w:rsidRPr="00F74F84" w:rsidRDefault="0015448D" w:rsidP="00CE3707">
      <w:pPr>
        <w:pStyle w:val="FootnoteText"/>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r>
      <w:r w:rsidRPr="00F74F84">
        <w:rPr>
          <w:i/>
          <w:sz w:val="26"/>
          <w:szCs w:val="26"/>
        </w:rPr>
        <w:t xml:space="preserve">See </w:t>
      </w:r>
      <w:r w:rsidRPr="00F74F84">
        <w:rPr>
          <w:sz w:val="26"/>
          <w:szCs w:val="26"/>
        </w:rPr>
        <w:t>PGW Petition at 1 (PGW petition seeking reconsideration of the Commission’s Opinion and Order entered May 18, 2018 and, to the extent necessary or appropriate, of the Opinion and Order entered December 8, 2016).</w:t>
      </w:r>
    </w:p>
  </w:footnote>
  <w:footnote w:id="10">
    <w:p w14:paraId="030AA60C" w14:textId="639E2DAC" w:rsidR="0015448D" w:rsidRPr="00F74F84" w:rsidRDefault="0015448D" w:rsidP="00CE3707">
      <w:pPr>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t>Pursuant to Section 5.572(c)</w:t>
      </w:r>
      <w:r w:rsidR="00E40586">
        <w:rPr>
          <w:sz w:val="26"/>
          <w:szCs w:val="26"/>
        </w:rPr>
        <w:t xml:space="preserve"> of our regulations</w:t>
      </w:r>
      <w:r w:rsidRPr="00F74F84">
        <w:rPr>
          <w:sz w:val="26"/>
          <w:szCs w:val="26"/>
        </w:rPr>
        <w:t xml:space="preserve">, a party’s petition for relief from a final order of the Commission, including petitions for stay, must be filed within </w:t>
      </w:r>
      <w:r w:rsidR="007730E3">
        <w:rPr>
          <w:sz w:val="26"/>
          <w:szCs w:val="26"/>
        </w:rPr>
        <w:t>fifteen</w:t>
      </w:r>
      <w:r w:rsidRPr="00F74F84">
        <w:rPr>
          <w:sz w:val="26"/>
          <w:szCs w:val="26"/>
        </w:rPr>
        <w:t xml:space="preserve"> days of entry of the final order.  In the present case, our </w:t>
      </w:r>
      <w:r w:rsidRPr="00F74F84">
        <w:rPr>
          <w:i/>
          <w:sz w:val="26"/>
          <w:szCs w:val="26"/>
        </w:rPr>
        <w:t>August 2018 Order</w:t>
      </w:r>
      <w:r w:rsidRPr="00F74F84">
        <w:rPr>
          <w:sz w:val="26"/>
          <w:szCs w:val="26"/>
        </w:rPr>
        <w:t xml:space="preserve"> became final when entered on August 23, 2018.  </w:t>
      </w:r>
      <w:r w:rsidRPr="007730E3">
        <w:rPr>
          <w:i/>
          <w:sz w:val="26"/>
          <w:szCs w:val="26"/>
        </w:rPr>
        <w:t>See</w:t>
      </w:r>
      <w:r w:rsidRPr="00F74F84">
        <w:rPr>
          <w:sz w:val="26"/>
          <w:szCs w:val="26"/>
        </w:rPr>
        <w:t xml:space="preserve">, 52 Pa. Code § 5.572(c).  Therefore, PGW’s Petition for Stay was due to be filed within fifteen days of the issuance of the </w:t>
      </w:r>
      <w:r w:rsidRPr="00F74F84">
        <w:rPr>
          <w:i/>
          <w:sz w:val="26"/>
          <w:szCs w:val="26"/>
        </w:rPr>
        <w:t>August 2018 Order</w:t>
      </w:r>
      <w:r w:rsidRPr="00F74F84">
        <w:rPr>
          <w:sz w:val="26"/>
          <w:szCs w:val="26"/>
        </w:rPr>
        <w:t xml:space="preserve">, </w:t>
      </w:r>
      <w:r w:rsidR="007730E3">
        <w:rPr>
          <w:sz w:val="26"/>
          <w:szCs w:val="26"/>
        </w:rPr>
        <w:t xml:space="preserve">or </w:t>
      </w:r>
      <w:r w:rsidRPr="00F74F84">
        <w:rPr>
          <w:sz w:val="26"/>
          <w:szCs w:val="26"/>
        </w:rPr>
        <w:t>by September 7, 2018 (</w:t>
      </w:r>
      <w:r w:rsidR="007730E3">
        <w:rPr>
          <w:sz w:val="26"/>
          <w:szCs w:val="26"/>
        </w:rPr>
        <w:t xml:space="preserve">fifteen </w:t>
      </w:r>
      <w:r w:rsidRPr="00F74F84">
        <w:rPr>
          <w:sz w:val="26"/>
          <w:szCs w:val="26"/>
        </w:rPr>
        <w:t>days from August 23, 2018).  Since PGW filed its Petition for Stay on September 25, 2018, PGW’s Petition was not timely filed.</w:t>
      </w:r>
    </w:p>
  </w:footnote>
  <w:footnote w:id="11">
    <w:p w14:paraId="4A90DE9E" w14:textId="078CB504" w:rsidR="0015448D" w:rsidRPr="00F74F84" w:rsidRDefault="0015448D" w:rsidP="00F61BB7">
      <w:pPr>
        <w:pStyle w:val="FootnoteText"/>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t xml:space="preserve">Similarly, we reject the proposition that PGW’s </w:t>
      </w:r>
      <w:r w:rsidR="00F61BB7">
        <w:rPr>
          <w:sz w:val="26"/>
          <w:szCs w:val="26"/>
        </w:rPr>
        <w:t>P</w:t>
      </w:r>
      <w:r w:rsidRPr="00F74F84">
        <w:rPr>
          <w:sz w:val="26"/>
          <w:szCs w:val="26"/>
        </w:rPr>
        <w:t xml:space="preserve">etition serves as a valid request for stay of our </w:t>
      </w:r>
      <w:r w:rsidRPr="00F74F84">
        <w:rPr>
          <w:i/>
          <w:sz w:val="26"/>
          <w:szCs w:val="26"/>
        </w:rPr>
        <w:t>December 2016 Order</w:t>
      </w:r>
      <w:r w:rsidRPr="00F74F84">
        <w:rPr>
          <w:sz w:val="26"/>
          <w:szCs w:val="26"/>
        </w:rPr>
        <w:t xml:space="preserve"> and our </w:t>
      </w:r>
      <w:r w:rsidRPr="00F74F84">
        <w:rPr>
          <w:i/>
          <w:sz w:val="26"/>
          <w:szCs w:val="26"/>
        </w:rPr>
        <w:t xml:space="preserve">May 2018 Order.  </w:t>
      </w:r>
      <w:r w:rsidRPr="00F74F84">
        <w:rPr>
          <w:sz w:val="26"/>
          <w:szCs w:val="26"/>
        </w:rPr>
        <w:t xml:space="preserve">Our prior orders were issued on December 8, 2016, and May 18, 2018, respectively.  Therefore, to timely petition for stay, PGW should have filed a petition within </w:t>
      </w:r>
      <w:r w:rsidR="000842E4">
        <w:rPr>
          <w:sz w:val="26"/>
          <w:szCs w:val="26"/>
        </w:rPr>
        <w:t>fifteen</w:t>
      </w:r>
      <w:r w:rsidRPr="00F74F84">
        <w:rPr>
          <w:sz w:val="26"/>
          <w:szCs w:val="26"/>
        </w:rPr>
        <w:t xml:space="preserve"> days of entry of those orders, on or before December 23, 2016, and June 4, 2018, respectively.</w:t>
      </w:r>
    </w:p>
  </w:footnote>
  <w:footnote w:id="12">
    <w:p w14:paraId="07C3E66A" w14:textId="6EE4E240" w:rsidR="0015448D" w:rsidRPr="00F74F84" w:rsidRDefault="0015448D" w:rsidP="00CE3707">
      <w:pPr>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t>We note that by filing the present Petition for Stay which relate</w:t>
      </w:r>
      <w:r w:rsidR="00BE5D17">
        <w:rPr>
          <w:sz w:val="26"/>
          <w:szCs w:val="26"/>
        </w:rPr>
        <w:t>s</w:t>
      </w:r>
      <w:r w:rsidRPr="00F74F84">
        <w:rPr>
          <w:sz w:val="26"/>
          <w:szCs w:val="26"/>
        </w:rPr>
        <w:t xml:space="preserve"> back to our </w:t>
      </w:r>
      <w:r w:rsidRPr="00F74F84">
        <w:rPr>
          <w:i/>
          <w:sz w:val="26"/>
          <w:szCs w:val="26"/>
        </w:rPr>
        <w:t>December 2016 Order</w:t>
      </w:r>
      <w:r w:rsidRPr="00F74F84">
        <w:rPr>
          <w:sz w:val="26"/>
          <w:szCs w:val="26"/>
        </w:rPr>
        <w:t xml:space="preserve">, PGW concedes that a stay is required to forestall PGW’s obligation to comply with our </w:t>
      </w:r>
      <w:r w:rsidRPr="00F74F84">
        <w:rPr>
          <w:i/>
          <w:sz w:val="26"/>
          <w:szCs w:val="26"/>
        </w:rPr>
        <w:t>December 2016 Order</w:t>
      </w:r>
      <w:r w:rsidRPr="00F74F84">
        <w:rPr>
          <w:sz w:val="26"/>
          <w:szCs w:val="26"/>
        </w:rPr>
        <w:t>.  Further, by purporting to relate back to all three orders (</w:t>
      </w:r>
      <w:r w:rsidR="00F12204" w:rsidRPr="000842E4">
        <w:rPr>
          <w:i/>
          <w:sz w:val="26"/>
          <w:szCs w:val="26"/>
        </w:rPr>
        <w:t>December 2016</w:t>
      </w:r>
      <w:r w:rsidR="00F12204">
        <w:rPr>
          <w:i/>
          <w:sz w:val="26"/>
          <w:szCs w:val="26"/>
        </w:rPr>
        <w:t xml:space="preserve"> Order, </w:t>
      </w:r>
      <w:r w:rsidR="00F12204" w:rsidRPr="000842E4">
        <w:rPr>
          <w:i/>
          <w:sz w:val="26"/>
          <w:szCs w:val="26"/>
        </w:rPr>
        <w:t>May 2018</w:t>
      </w:r>
      <w:r w:rsidR="00F12204">
        <w:rPr>
          <w:i/>
          <w:sz w:val="26"/>
          <w:szCs w:val="26"/>
        </w:rPr>
        <w:t xml:space="preserve"> Order</w:t>
      </w:r>
      <w:r w:rsidR="00F12204" w:rsidRPr="000842E4">
        <w:rPr>
          <w:i/>
          <w:sz w:val="26"/>
          <w:szCs w:val="26"/>
        </w:rPr>
        <w:t xml:space="preserve"> and </w:t>
      </w:r>
      <w:r w:rsidRPr="000842E4">
        <w:rPr>
          <w:i/>
          <w:sz w:val="26"/>
          <w:szCs w:val="26"/>
        </w:rPr>
        <w:t xml:space="preserve">August </w:t>
      </w:r>
      <w:r w:rsidR="00F12204">
        <w:rPr>
          <w:i/>
          <w:sz w:val="26"/>
          <w:szCs w:val="26"/>
        </w:rPr>
        <w:t>2018 Order</w:t>
      </w:r>
      <w:r w:rsidRPr="00F74F84">
        <w:rPr>
          <w:sz w:val="26"/>
          <w:szCs w:val="26"/>
        </w:rPr>
        <w:t xml:space="preserve">), PGW’s present Petition for Stay assumes that the finality of the Commission’s </w:t>
      </w:r>
      <w:r w:rsidRPr="00F74F84">
        <w:rPr>
          <w:i/>
          <w:sz w:val="26"/>
          <w:szCs w:val="26"/>
        </w:rPr>
        <w:t>December 2016 Order</w:t>
      </w:r>
      <w:r w:rsidRPr="00F74F84">
        <w:rPr>
          <w:sz w:val="26"/>
          <w:szCs w:val="26"/>
        </w:rPr>
        <w:t xml:space="preserve"> did not take effect due to PGW’s successive petitions for reconsideration.  We disagree.</w:t>
      </w:r>
    </w:p>
  </w:footnote>
  <w:footnote w:id="13">
    <w:p w14:paraId="41EEFA38" w14:textId="0A01E317" w:rsidR="00FF5020" w:rsidRPr="00F74F84" w:rsidRDefault="00FF5020" w:rsidP="00FF5020">
      <w:pPr>
        <w:pStyle w:val="FootnoteText"/>
        <w:keepNext/>
        <w:keepLines/>
        <w:spacing w:after="120" w:line="240" w:lineRule="auto"/>
        <w:ind w:firstLine="720"/>
        <w:rPr>
          <w:sz w:val="26"/>
          <w:szCs w:val="26"/>
        </w:rPr>
      </w:pPr>
      <w:r w:rsidRPr="00F74F84">
        <w:rPr>
          <w:rStyle w:val="FootnoteReference"/>
          <w:sz w:val="26"/>
          <w:szCs w:val="26"/>
        </w:rPr>
        <w:footnoteRef/>
      </w:r>
      <w:r w:rsidRPr="00F74F84">
        <w:rPr>
          <w:sz w:val="26"/>
          <w:szCs w:val="26"/>
        </w:rPr>
        <w:tab/>
      </w:r>
      <w:r w:rsidRPr="00F74F84">
        <w:rPr>
          <w:i/>
          <w:sz w:val="26"/>
          <w:szCs w:val="26"/>
        </w:rPr>
        <w:t>See, e.g., Duquesne Interruptible Complainants v. Duquesne Light Co.</w:t>
      </w:r>
      <w:r w:rsidRPr="00F74F84">
        <w:rPr>
          <w:sz w:val="26"/>
          <w:szCs w:val="26"/>
        </w:rPr>
        <w:t xml:space="preserve">, Docket No. C-913424, (Order entered May 14, 1993) at </w:t>
      </w:r>
      <w:r w:rsidR="00BD0B2D">
        <w:rPr>
          <w:sz w:val="26"/>
          <w:szCs w:val="26"/>
        </w:rPr>
        <w:t>10</w:t>
      </w:r>
      <w:r w:rsidRPr="00F74F84">
        <w:rPr>
          <w:sz w:val="26"/>
          <w:szCs w:val="26"/>
        </w:rPr>
        <w:t xml:space="preserve"> (citing </w:t>
      </w:r>
      <w:r w:rsidRPr="00F74F84">
        <w:rPr>
          <w:i/>
          <w:sz w:val="26"/>
          <w:szCs w:val="26"/>
        </w:rPr>
        <w:t>Sameric Corporation v. Gross</w:t>
      </w:r>
      <w:r w:rsidRPr="00F74F84">
        <w:rPr>
          <w:sz w:val="26"/>
          <w:szCs w:val="26"/>
        </w:rPr>
        <w:t xml:space="preserve">, 448 Pa. 497, 295 A.2d 277 (1972), </w:t>
      </w:r>
      <w:r w:rsidRPr="00F74F84">
        <w:rPr>
          <w:i/>
          <w:sz w:val="26"/>
          <w:szCs w:val="26"/>
        </w:rPr>
        <w:t xml:space="preserve">Goadby v. Philadelphia Electric Co., </w:t>
      </w:r>
      <w:r w:rsidRPr="00F74F84">
        <w:rPr>
          <w:sz w:val="26"/>
          <w:szCs w:val="26"/>
        </w:rPr>
        <w:t xml:space="preserve">639 F.2d 117 (3d Cir. 1981), and </w:t>
      </w:r>
      <w:r w:rsidRPr="00F74F84">
        <w:rPr>
          <w:i/>
          <w:sz w:val="26"/>
          <w:szCs w:val="26"/>
        </w:rPr>
        <w:t>Virginia Jobbers Ass’n v. Federal Power Commission</w:t>
      </w:r>
      <w:r w:rsidRPr="00F74F84">
        <w:rPr>
          <w:sz w:val="26"/>
          <w:szCs w:val="26"/>
        </w:rPr>
        <w:t>, 259 F.2d 921 (D.C. Cir. 1958)).</w:t>
      </w:r>
    </w:p>
  </w:footnote>
  <w:footnote w:id="14">
    <w:p w14:paraId="7E6E44D5" w14:textId="66AEA9E2" w:rsidR="00615AE8" w:rsidRPr="00615AE8" w:rsidRDefault="00615AE8" w:rsidP="000A7368">
      <w:pPr>
        <w:pStyle w:val="FootnoteText"/>
        <w:spacing w:line="240" w:lineRule="auto"/>
        <w:ind w:firstLine="720"/>
        <w:rPr>
          <w:sz w:val="26"/>
          <w:szCs w:val="26"/>
        </w:rPr>
      </w:pPr>
      <w:r w:rsidRPr="00615AE8">
        <w:rPr>
          <w:rStyle w:val="FootnoteReference"/>
          <w:sz w:val="26"/>
          <w:szCs w:val="26"/>
        </w:rPr>
        <w:footnoteRef/>
      </w:r>
      <w:r w:rsidRPr="00615AE8">
        <w:rPr>
          <w:sz w:val="26"/>
          <w:szCs w:val="26"/>
        </w:rPr>
        <w:tab/>
      </w:r>
      <w:r w:rsidRPr="00615AE8">
        <w:rPr>
          <w:i/>
          <w:sz w:val="26"/>
          <w:szCs w:val="26"/>
        </w:rPr>
        <w:t>See</w:t>
      </w:r>
      <w:r w:rsidRPr="00615AE8">
        <w:rPr>
          <w:sz w:val="26"/>
          <w:szCs w:val="26"/>
        </w:rPr>
        <w:t>, Petition, Verified Statement of Denise Adamucci</w:t>
      </w:r>
      <w:r>
        <w:rPr>
          <w:sz w:val="26"/>
          <w:szCs w:val="26"/>
        </w:rPr>
        <w:t xml:space="preserve"> </w:t>
      </w:r>
      <w:r w:rsidRPr="00615AE8">
        <w:rPr>
          <w:sz w:val="26"/>
          <w:szCs w:val="26"/>
        </w:rPr>
        <w:t>at 3</w:t>
      </w:r>
      <w:r w:rsidR="0064481A">
        <w:rPr>
          <w:sz w:val="26"/>
          <w:szCs w:val="26"/>
        </w:rPr>
        <w:t>,</w:t>
      </w:r>
      <w:r w:rsidRPr="00615AE8">
        <w:rPr>
          <w:sz w:val="26"/>
          <w:szCs w:val="26"/>
        </w:rPr>
        <w:t xml:space="preserve"> </w:t>
      </w:r>
      <w:r w:rsidR="0064481A">
        <w:rPr>
          <w:rFonts w:ascii="Arial Nova" w:hAnsi="Arial Nova"/>
          <w:sz w:val="26"/>
          <w:szCs w:val="26"/>
        </w:rPr>
        <w:t xml:space="preserve">¶ </w:t>
      </w:r>
      <w:r w:rsidRPr="00615AE8">
        <w:rPr>
          <w:sz w:val="26"/>
          <w:szCs w:val="26"/>
        </w:rPr>
        <w:t>9.</w:t>
      </w:r>
    </w:p>
  </w:footnote>
  <w:footnote w:id="15">
    <w:p w14:paraId="2684F138" w14:textId="3D4772B0" w:rsidR="005640CF" w:rsidRDefault="005640CF" w:rsidP="00333983">
      <w:pPr>
        <w:pStyle w:val="FootnoteText"/>
        <w:spacing w:after="120" w:line="240" w:lineRule="auto"/>
        <w:ind w:firstLine="720"/>
      </w:pPr>
      <w:r>
        <w:rPr>
          <w:rStyle w:val="FootnoteReference"/>
        </w:rPr>
        <w:footnoteRef/>
      </w:r>
      <w:r>
        <w:t xml:space="preserve"> </w:t>
      </w:r>
      <w:r>
        <w:tab/>
      </w:r>
      <w:r w:rsidRPr="005640CF">
        <w:rPr>
          <w:sz w:val="26"/>
          <w:szCs w:val="26"/>
        </w:rPr>
        <w:t xml:space="preserve">Section 316 of the Code, 66 Pa. C.S. §316 (Commission findings </w:t>
      </w:r>
      <w:r>
        <w:rPr>
          <w:sz w:val="26"/>
          <w:szCs w:val="26"/>
        </w:rPr>
        <w:t xml:space="preserve">establish </w:t>
      </w:r>
      <w:r w:rsidRPr="005640CF">
        <w:rPr>
          <w:i/>
          <w:sz w:val="26"/>
          <w:szCs w:val="26"/>
        </w:rPr>
        <w:t xml:space="preserve">prima facia </w:t>
      </w:r>
      <w:r w:rsidRPr="005640CF">
        <w:rPr>
          <w:sz w:val="26"/>
          <w:szCs w:val="26"/>
        </w:rPr>
        <w:t>evidence)</w:t>
      </w:r>
      <w:r w:rsidR="00333983">
        <w:rPr>
          <w:sz w:val="26"/>
          <w:szCs w:val="26"/>
        </w:rPr>
        <w:t>.</w:t>
      </w:r>
    </w:p>
  </w:footnote>
  <w:footnote w:id="16">
    <w:p w14:paraId="3906FC02" w14:textId="7299BBBC" w:rsidR="006738D9" w:rsidRDefault="006738D9" w:rsidP="006738D9">
      <w:pPr>
        <w:pStyle w:val="FootnoteText"/>
        <w:spacing w:line="240" w:lineRule="auto"/>
        <w:ind w:firstLine="720"/>
      </w:pPr>
      <w:r>
        <w:rPr>
          <w:rStyle w:val="FootnoteReference"/>
        </w:rPr>
        <w:footnoteRef/>
      </w:r>
      <w:r w:rsidR="00C47A20">
        <w:tab/>
      </w:r>
      <w:r w:rsidRPr="000A7368">
        <w:rPr>
          <w:sz w:val="26"/>
          <w:szCs w:val="26"/>
        </w:rPr>
        <w:t xml:space="preserve">See, </w:t>
      </w:r>
      <w:r w:rsidRPr="000A7368">
        <w:rPr>
          <w:i/>
          <w:sz w:val="26"/>
          <w:szCs w:val="26"/>
        </w:rPr>
        <w:t>Israel</w:t>
      </w:r>
      <w:r w:rsidRPr="000A7368">
        <w:rPr>
          <w:sz w:val="26"/>
          <w:szCs w:val="26"/>
        </w:rPr>
        <w:t xml:space="preserve"> at 407, n.5.  Citing, </w:t>
      </w:r>
      <w:r w:rsidRPr="000A7368">
        <w:rPr>
          <w:i/>
          <w:sz w:val="26"/>
          <w:szCs w:val="26"/>
        </w:rPr>
        <w:t>Commonwealth v. Cohen</w:t>
      </w:r>
      <w:r w:rsidRPr="000A7368">
        <w:rPr>
          <w:sz w:val="26"/>
          <w:szCs w:val="26"/>
        </w:rPr>
        <w:t>, 1942, 150 Pa. Super.Ct. 487, 489, 28 A.2d 723, 724.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15:restartNumberingAfterBreak="0">
    <w:nsid w:val="0E1571D4"/>
    <w:multiLevelType w:val="hybridMultilevel"/>
    <w:tmpl w:val="B76C6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21449"/>
    <w:multiLevelType w:val="hybridMultilevel"/>
    <w:tmpl w:val="14208FF0"/>
    <w:lvl w:ilvl="0" w:tplc="ACDE6214">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4578F"/>
    <w:multiLevelType w:val="hybridMultilevel"/>
    <w:tmpl w:val="8CF281BA"/>
    <w:lvl w:ilvl="0" w:tplc="FB9296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4E2628"/>
    <w:multiLevelType w:val="hybridMultilevel"/>
    <w:tmpl w:val="F3BA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43024"/>
    <w:multiLevelType w:val="hybridMultilevel"/>
    <w:tmpl w:val="BEB83C66"/>
    <w:lvl w:ilvl="0" w:tplc="74507D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2C0002"/>
    <w:multiLevelType w:val="hybridMultilevel"/>
    <w:tmpl w:val="CBD07B00"/>
    <w:lvl w:ilvl="0" w:tplc="9C142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326C9F"/>
    <w:multiLevelType w:val="hybridMultilevel"/>
    <w:tmpl w:val="5BFC24A0"/>
    <w:lvl w:ilvl="0" w:tplc="707A8122">
      <w:start w:val="1"/>
      <w:numFmt w:val="upperLetter"/>
      <w:lvlText w:val="%1."/>
      <w:lvlJc w:val="left"/>
      <w:pPr>
        <w:ind w:left="162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761A33"/>
    <w:multiLevelType w:val="hybridMultilevel"/>
    <w:tmpl w:val="9006A992"/>
    <w:lvl w:ilvl="0" w:tplc="DED4FDE6">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CCB7462"/>
    <w:multiLevelType w:val="hybridMultilevel"/>
    <w:tmpl w:val="45D69060"/>
    <w:lvl w:ilvl="0" w:tplc="BFFCDDD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F7B0C9F"/>
    <w:multiLevelType w:val="hybridMultilevel"/>
    <w:tmpl w:val="9B0EE734"/>
    <w:lvl w:ilvl="0" w:tplc="9CC821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8E3635"/>
    <w:multiLevelType w:val="hybridMultilevel"/>
    <w:tmpl w:val="DC4855EC"/>
    <w:lvl w:ilvl="0" w:tplc="38E036A2">
      <w:start w:val="1"/>
      <w:numFmt w:val="decimal"/>
      <w:lvlText w:val="%1."/>
      <w:lvlJc w:val="left"/>
      <w:pPr>
        <w:ind w:left="1800" w:hanging="360"/>
      </w:pPr>
      <w:rPr>
        <w:rFonts w:hint="default"/>
      </w:rPr>
    </w:lvl>
    <w:lvl w:ilvl="1" w:tplc="B7FE35A8">
      <w:start w:val="1"/>
      <w:numFmt w:val="low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05386D"/>
    <w:multiLevelType w:val="hybridMultilevel"/>
    <w:tmpl w:val="6C7E9B18"/>
    <w:lvl w:ilvl="0" w:tplc="38E036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854144A"/>
    <w:multiLevelType w:val="hybridMultilevel"/>
    <w:tmpl w:val="CBD07B00"/>
    <w:lvl w:ilvl="0" w:tplc="9C142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CC058A"/>
    <w:multiLevelType w:val="hybridMultilevel"/>
    <w:tmpl w:val="F6ACEA6A"/>
    <w:lvl w:ilvl="0" w:tplc="760C33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85D7CFD"/>
    <w:multiLevelType w:val="hybridMultilevel"/>
    <w:tmpl w:val="9320C062"/>
    <w:lvl w:ilvl="0" w:tplc="F6327C7C">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C0A07D1"/>
    <w:multiLevelType w:val="hybridMultilevel"/>
    <w:tmpl w:val="9B0EE734"/>
    <w:lvl w:ilvl="0" w:tplc="9CC821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4"/>
  </w:num>
  <w:num w:numId="3">
    <w:abstractNumId w:val="13"/>
  </w:num>
  <w:num w:numId="4">
    <w:abstractNumId w:val="2"/>
  </w:num>
  <w:num w:numId="5">
    <w:abstractNumId w:val="10"/>
  </w:num>
  <w:num w:numId="6">
    <w:abstractNumId w:val="5"/>
  </w:num>
  <w:num w:numId="7">
    <w:abstractNumId w:val="7"/>
  </w:num>
  <w:num w:numId="8">
    <w:abstractNumId w:val="15"/>
  </w:num>
  <w:num w:numId="9">
    <w:abstractNumId w:val="1"/>
  </w:num>
  <w:num w:numId="10">
    <w:abstractNumId w:val="11"/>
  </w:num>
  <w:num w:numId="11">
    <w:abstractNumId w:val="8"/>
  </w:num>
  <w:num w:numId="12">
    <w:abstractNumId w:val="3"/>
  </w:num>
  <w:num w:numId="13">
    <w:abstractNumId w:val="12"/>
  </w:num>
  <w:num w:numId="14">
    <w:abstractNumId w:val="9"/>
  </w:num>
  <w:num w:numId="15">
    <w:abstractNumId w:val="4"/>
  </w:num>
  <w:num w:numId="16">
    <w:abstractNumId w:val="16"/>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B6"/>
    <w:rsid w:val="00000490"/>
    <w:rsid w:val="00001119"/>
    <w:rsid w:val="000025C0"/>
    <w:rsid w:val="000029BA"/>
    <w:rsid w:val="0000428C"/>
    <w:rsid w:val="0000461C"/>
    <w:rsid w:val="000046F9"/>
    <w:rsid w:val="00004994"/>
    <w:rsid w:val="00004F37"/>
    <w:rsid w:val="00005F23"/>
    <w:rsid w:val="00006A6C"/>
    <w:rsid w:val="00010437"/>
    <w:rsid w:val="0001049B"/>
    <w:rsid w:val="00010785"/>
    <w:rsid w:val="00010C2C"/>
    <w:rsid w:val="0001116B"/>
    <w:rsid w:val="00012488"/>
    <w:rsid w:val="000125AB"/>
    <w:rsid w:val="000130D2"/>
    <w:rsid w:val="00013786"/>
    <w:rsid w:val="00016FF2"/>
    <w:rsid w:val="00017985"/>
    <w:rsid w:val="00017FFA"/>
    <w:rsid w:val="000204E0"/>
    <w:rsid w:val="00021836"/>
    <w:rsid w:val="00021EBA"/>
    <w:rsid w:val="00021ECD"/>
    <w:rsid w:val="00023D23"/>
    <w:rsid w:val="0002554B"/>
    <w:rsid w:val="00025A32"/>
    <w:rsid w:val="000267AE"/>
    <w:rsid w:val="00027CC4"/>
    <w:rsid w:val="00030995"/>
    <w:rsid w:val="00030F0C"/>
    <w:rsid w:val="00031717"/>
    <w:rsid w:val="00031EDE"/>
    <w:rsid w:val="00033AC5"/>
    <w:rsid w:val="000346E4"/>
    <w:rsid w:val="00036E0F"/>
    <w:rsid w:val="00037104"/>
    <w:rsid w:val="00037689"/>
    <w:rsid w:val="0004057B"/>
    <w:rsid w:val="00040CCD"/>
    <w:rsid w:val="00040D73"/>
    <w:rsid w:val="00041D50"/>
    <w:rsid w:val="00043ABA"/>
    <w:rsid w:val="00045F16"/>
    <w:rsid w:val="000463B3"/>
    <w:rsid w:val="00046C24"/>
    <w:rsid w:val="00046D2C"/>
    <w:rsid w:val="00046D3E"/>
    <w:rsid w:val="00047550"/>
    <w:rsid w:val="00050A2C"/>
    <w:rsid w:val="00051048"/>
    <w:rsid w:val="0005106E"/>
    <w:rsid w:val="000514BE"/>
    <w:rsid w:val="000529E1"/>
    <w:rsid w:val="00053335"/>
    <w:rsid w:val="00053BD5"/>
    <w:rsid w:val="00055028"/>
    <w:rsid w:val="000553E5"/>
    <w:rsid w:val="000563AF"/>
    <w:rsid w:val="00057BD9"/>
    <w:rsid w:val="00061C37"/>
    <w:rsid w:val="00061F18"/>
    <w:rsid w:val="000625E8"/>
    <w:rsid w:val="00063337"/>
    <w:rsid w:val="000635DA"/>
    <w:rsid w:val="00066CB8"/>
    <w:rsid w:val="0007018C"/>
    <w:rsid w:val="00070363"/>
    <w:rsid w:val="000706D0"/>
    <w:rsid w:val="00070A21"/>
    <w:rsid w:val="00071724"/>
    <w:rsid w:val="000717AE"/>
    <w:rsid w:val="000719D6"/>
    <w:rsid w:val="00072560"/>
    <w:rsid w:val="00072996"/>
    <w:rsid w:val="00073AED"/>
    <w:rsid w:val="00073E5C"/>
    <w:rsid w:val="000748DD"/>
    <w:rsid w:val="000754E8"/>
    <w:rsid w:val="00075D1B"/>
    <w:rsid w:val="00076532"/>
    <w:rsid w:val="0008080A"/>
    <w:rsid w:val="00080DA3"/>
    <w:rsid w:val="0008199D"/>
    <w:rsid w:val="00083A09"/>
    <w:rsid w:val="00083D23"/>
    <w:rsid w:val="000842E4"/>
    <w:rsid w:val="00086B74"/>
    <w:rsid w:val="0008767C"/>
    <w:rsid w:val="000923EC"/>
    <w:rsid w:val="00092469"/>
    <w:rsid w:val="000933C2"/>
    <w:rsid w:val="000953EF"/>
    <w:rsid w:val="00095E19"/>
    <w:rsid w:val="00097699"/>
    <w:rsid w:val="00097B6E"/>
    <w:rsid w:val="000A1375"/>
    <w:rsid w:val="000A2658"/>
    <w:rsid w:val="000A2825"/>
    <w:rsid w:val="000A297C"/>
    <w:rsid w:val="000A2A7D"/>
    <w:rsid w:val="000A2B83"/>
    <w:rsid w:val="000A3294"/>
    <w:rsid w:val="000A4024"/>
    <w:rsid w:val="000A6BAE"/>
    <w:rsid w:val="000A6CAC"/>
    <w:rsid w:val="000A7368"/>
    <w:rsid w:val="000A777B"/>
    <w:rsid w:val="000B07E6"/>
    <w:rsid w:val="000B3BA4"/>
    <w:rsid w:val="000B3BE9"/>
    <w:rsid w:val="000B4595"/>
    <w:rsid w:val="000B539F"/>
    <w:rsid w:val="000B5E09"/>
    <w:rsid w:val="000C1219"/>
    <w:rsid w:val="000C150B"/>
    <w:rsid w:val="000C2836"/>
    <w:rsid w:val="000C372E"/>
    <w:rsid w:val="000C46BF"/>
    <w:rsid w:val="000C5552"/>
    <w:rsid w:val="000C5680"/>
    <w:rsid w:val="000C7A42"/>
    <w:rsid w:val="000D06A4"/>
    <w:rsid w:val="000D1DA9"/>
    <w:rsid w:val="000D3297"/>
    <w:rsid w:val="000D3AA4"/>
    <w:rsid w:val="000D629B"/>
    <w:rsid w:val="000D6E5C"/>
    <w:rsid w:val="000D717E"/>
    <w:rsid w:val="000D74E8"/>
    <w:rsid w:val="000E0B17"/>
    <w:rsid w:val="000E1100"/>
    <w:rsid w:val="000E12AC"/>
    <w:rsid w:val="000E159A"/>
    <w:rsid w:val="000E1F33"/>
    <w:rsid w:val="000E27A6"/>
    <w:rsid w:val="000E41EC"/>
    <w:rsid w:val="000E4E3B"/>
    <w:rsid w:val="000E5232"/>
    <w:rsid w:val="000E57F9"/>
    <w:rsid w:val="000E694E"/>
    <w:rsid w:val="000E6AC9"/>
    <w:rsid w:val="000E6E5C"/>
    <w:rsid w:val="000E6F3B"/>
    <w:rsid w:val="000F16C6"/>
    <w:rsid w:val="000F1B49"/>
    <w:rsid w:val="000F1D6D"/>
    <w:rsid w:val="000F4745"/>
    <w:rsid w:val="000F5465"/>
    <w:rsid w:val="000F5EB7"/>
    <w:rsid w:val="000F6852"/>
    <w:rsid w:val="000F6C0E"/>
    <w:rsid w:val="00100508"/>
    <w:rsid w:val="0010176D"/>
    <w:rsid w:val="00101836"/>
    <w:rsid w:val="0010289B"/>
    <w:rsid w:val="00102B78"/>
    <w:rsid w:val="00103D94"/>
    <w:rsid w:val="00104D37"/>
    <w:rsid w:val="00104F40"/>
    <w:rsid w:val="00105828"/>
    <w:rsid w:val="0010631A"/>
    <w:rsid w:val="00106A2F"/>
    <w:rsid w:val="00106C7F"/>
    <w:rsid w:val="00107753"/>
    <w:rsid w:val="0011031A"/>
    <w:rsid w:val="00111B99"/>
    <w:rsid w:val="001120FD"/>
    <w:rsid w:val="00112AFE"/>
    <w:rsid w:val="00113195"/>
    <w:rsid w:val="001133E3"/>
    <w:rsid w:val="00113759"/>
    <w:rsid w:val="00113E36"/>
    <w:rsid w:val="00114294"/>
    <w:rsid w:val="00114E0D"/>
    <w:rsid w:val="00120817"/>
    <w:rsid w:val="00121A5F"/>
    <w:rsid w:val="00121DA9"/>
    <w:rsid w:val="001221C4"/>
    <w:rsid w:val="001225B2"/>
    <w:rsid w:val="00122E52"/>
    <w:rsid w:val="00123700"/>
    <w:rsid w:val="00124436"/>
    <w:rsid w:val="00125613"/>
    <w:rsid w:val="00125F28"/>
    <w:rsid w:val="00126A36"/>
    <w:rsid w:val="00126AD6"/>
    <w:rsid w:val="00127981"/>
    <w:rsid w:val="00130D9D"/>
    <w:rsid w:val="0013156B"/>
    <w:rsid w:val="001325C4"/>
    <w:rsid w:val="00133293"/>
    <w:rsid w:val="00136088"/>
    <w:rsid w:val="001365D1"/>
    <w:rsid w:val="0013730E"/>
    <w:rsid w:val="00137541"/>
    <w:rsid w:val="00137A08"/>
    <w:rsid w:val="0014026D"/>
    <w:rsid w:val="00140ADB"/>
    <w:rsid w:val="00140E71"/>
    <w:rsid w:val="00141588"/>
    <w:rsid w:val="00142044"/>
    <w:rsid w:val="00143311"/>
    <w:rsid w:val="00144822"/>
    <w:rsid w:val="001453C4"/>
    <w:rsid w:val="00145C08"/>
    <w:rsid w:val="00146BCE"/>
    <w:rsid w:val="00150035"/>
    <w:rsid w:val="00150344"/>
    <w:rsid w:val="00151165"/>
    <w:rsid w:val="00152461"/>
    <w:rsid w:val="0015365B"/>
    <w:rsid w:val="0015448D"/>
    <w:rsid w:val="00155803"/>
    <w:rsid w:val="00155BD3"/>
    <w:rsid w:val="00156137"/>
    <w:rsid w:val="00156DEE"/>
    <w:rsid w:val="00160408"/>
    <w:rsid w:val="0016112F"/>
    <w:rsid w:val="001617AD"/>
    <w:rsid w:val="00162591"/>
    <w:rsid w:val="00162718"/>
    <w:rsid w:val="00162859"/>
    <w:rsid w:val="00165D42"/>
    <w:rsid w:val="00165DFF"/>
    <w:rsid w:val="00166A23"/>
    <w:rsid w:val="001675F1"/>
    <w:rsid w:val="001676D4"/>
    <w:rsid w:val="00167EDF"/>
    <w:rsid w:val="00167F9A"/>
    <w:rsid w:val="001716D1"/>
    <w:rsid w:val="00171BE0"/>
    <w:rsid w:val="00171D79"/>
    <w:rsid w:val="0017201F"/>
    <w:rsid w:val="00172BD2"/>
    <w:rsid w:val="001733FB"/>
    <w:rsid w:val="00175645"/>
    <w:rsid w:val="0017760B"/>
    <w:rsid w:val="001827FE"/>
    <w:rsid w:val="00183567"/>
    <w:rsid w:val="0018387E"/>
    <w:rsid w:val="001840C2"/>
    <w:rsid w:val="001846D9"/>
    <w:rsid w:val="00185E66"/>
    <w:rsid w:val="001904E6"/>
    <w:rsid w:val="00190880"/>
    <w:rsid w:val="001909DF"/>
    <w:rsid w:val="00191150"/>
    <w:rsid w:val="001913B0"/>
    <w:rsid w:val="00191905"/>
    <w:rsid w:val="00191B52"/>
    <w:rsid w:val="0019210B"/>
    <w:rsid w:val="0019281A"/>
    <w:rsid w:val="00192D13"/>
    <w:rsid w:val="00192F6B"/>
    <w:rsid w:val="0019307C"/>
    <w:rsid w:val="00193DE5"/>
    <w:rsid w:val="00194578"/>
    <w:rsid w:val="001966BE"/>
    <w:rsid w:val="0019688A"/>
    <w:rsid w:val="001A12CB"/>
    <w:rsid w:val="001A13A2"/>
    <w:rsid w:val="001A3054"/>
    <w:rsid w:val="001A351F"/>
    <w:rsid w:val="001A49F5"/>
    <w:rsid w:val="001A5BBE"/>
    <w:rsid w:val="001A5FCA"/>
    <w:rsid w:val="001A6F64"/>
    <w:rsid w:val="001B0065"/>
    <w:rsid w:val="001B1607"/>
    <w:rsid w:val="001B1715"/>
    <w:rsid w:val="001B5725"/>
    <w:rsid w:val="001B5DB5"/>
    <w:rsid w:val="001B64A4"/>
    <w:rsid w:val="001B68B3"/>
    <w:rsid w:val="001B6A5F"/>
    <w:rsid w:val="001B6D6D"/>
    <w:rsid w:val="001B6F07"/>
    <w:rsid w:val="001C1708"/>
    <w:rsid w:val="001C3700"/>
    <w:rsid w:val="001C3CF1"/>
    <w:rsid w:val="001C3D3D"/>
    <w:rsid w:val="001C468E"/>
    <w:rsid w:val="001C4774"/>
    <w:rsid w:val="001C5CB5"/>
    <w:rsid w:val="001C5EEE"/>
    <w:rsid w:val="001C6D3F"/>
    <w:rsid w:val="001C72E9"/>
    <w:rsid w:val="001D13B6"/>
    <w:rsid w:val="001D4045"/>
    <w:rsid w:val="001D45E0"/>
    <w:rsid w:val="001D49CA"/>
    <w:rsid w:val="001D4C8E"/>
    <w:rsid w:val="001D539A"/>
    <w:rsid w:val="001D5B8B"/>
    <w:rsid w:val="001D610B"/>
    <w:rsid w:val="001D6141"/>
    <w:rsid w:val="001D6F98"/>
    <w:rsid w:val="001D7B63"/>
    <w:rsid w:val="001D7E82"/>
    <w:rsid w:val="001E080E"/>
    <w:rsid w:val="001E298E"/>
    <w:rsid w:val="001E29C9"/>
    <w:rsid w:val="001E2AC0"/>
    <w:rsid w:val="001E2EFC"/>
    <w:rsid w:val="001E552E"/>
    <w:rsid w:val="001E5D33"/>
    <w:rsid w:val="001E6DE5"/>
    <w:rsid w:val="001E6EA7"/>
    <w:rsid w:val="001E70B5"/>
    <w:rsid w:val="001E7264"/>
    <w:rsid w:val="001E78DD"/>
    <w:rsid w:val="001E799D"/>
    <w:rsid w:val="001F09F4"/>
    <w:rsid w:val="001F0C12"/>
    <w:rsid w:val="001F1464"/>
    <w:rsid w:val="001F1C41"/>
    <w:rsid w:val="001F498D"/>
    <w:rsid w:val="001F665F"/>
    <w:rsid w:val="001F691F"/>
    <w:rsid w:val="001F72EA"/>
    <w:rsid w:val="001F77AE"/>
    <w:rsid w:val="0020010E"/>
    <w:rsid w:val="002003A6"/>
    <w:rsid w:val="002006B4"/>
    <w:rsid w:val="0020148D"/>
    <w:rsid w:val="00202E86"/>
    <w:rsid w:val="0020323E"/>
    <w:rsid w:val="00203344"/>
    <w:rsid w:val="00203D1D"/>
    <w:rsid w:val="0020417A"/>
    <w:rsid w:val="00204CE5"/>
    <w:rsid w:val="002057B2"/>
    <w:rsid w:val="00205B36"/>
    <w:rsid w:val="00206C1B"/>
    <w:rsid w:val="0020772E"/>
    <w:rsid w:val="00207AD5"/>
    <w:rsid w:val="00207B28"/>
    <w:rsid w:val="00207C51"/>
    <w:rsid w:val="00207F5C"/>
    <w:rsid w:val="00210080"/>
    <w:rsid w:val="002102FC"/>
    <w:rsid w:val="002109DE"/>
    <w:rsid w:val="00211034"/>
    <w:rsid w:val="00211584"/>
    <w:rsid w:val="002116B6"/>
    <w:rsid w:val="00211DEB"/>
    <w:rsid w:val="002139E1"/>
    <w:rsid w:val="00214E7F"/>
    <w:rsid w:val="00215221"/>
    <w:rsid w:val="002152BD"/>
    <w:rsid w:val="002168AD"/>
    <w:rsid w:val="002179C1"/>
    <w:rsid w:val="002210A7"/>
    <w:rsid w:val="002219F9"/>
    <w:rsid w:val="00221CD1"/>
    <w:rsid w:val="00221E58"/>
    <w:rsid w:val="00223FC2"/>
    <w:rsid w:val="00224C9C"/>
    <w:rsid w:val="00224FE8"/>
    <w:rsid w:val="002260EE"/>
    <w:rsid w:val="002261D9"/>
    <w:rsid w:val="0022628D"/>
    <w:rsid w:val="002270A5"/>
    <w:rsid w:val="002321D4"/>
    <w:rsid w:val="00232EA8"/>
    <w:rsid w:val="00236535"/>
    <w:rsid w:val="002373CD"/>
    <w:rsid w:val="00237692"/>
    <w:rsid w:val="002402BB"/>
    <w:rsid w:val="00240C64"/>
    <w:rsid w:val="00242F1D"/>
    <w:rsid w:val="00243695"/>
    <w:rsid w:val="00243E20"/>
    <w:rsid w:val="00245415"/>
    <w:rsid w:val="00246B74"/>
    <w:rsid w:val="00247293"/>
    <w:rsid w:val="0024781A"/>
    <w:rsid w:val="00247E69"/>
    <w:rsid w:val="00250A96"/>
    <w:rsid w:val="00250AD7"/>
    <w:rsid w:val="00251BC5"/>
    <w:rsid w:val="00251C0B"/>
    <w:rsid w:val="00252C89"/>
    <w:rsid w:val="0025559B"/>
    <w:rsid w:val="0025679D"/>
    <w:rsid w:val="002569DF"/>
    <w:rsid w:val="00256F58"/>
    <w:rsid w:val="00260211"/>
    <w:rsid w:val="00260520"/>
    <w:rsid w:val="0026062F"/>
    <w:rsid w:val="00261495"/>
    <w:rsid w:val="00261E8E"/>
    <w:rsid w:val="0026237F"/>
    <w:rsid w:val="00263C85"/>
    <w:rsid w:val="0026420B"/>
    <w:rsid w:val="002644B5"/>
    <w:rsid w:val="002648FA"/>
    <w:rsid w:val="00265670"/>
    <w:rsid w:val="00265848"/>
    <w:rsid w:val="00265CCD"/>
    <w:rsid w:val="00265FB7"/>
    <w:rsid w:val="00267D04"/>
    <w:rsid w:val="002707C9"/>
    <w:rsid w:val="00270B97"/>
    <w:rsid w:val="00270EB5"/>
    <w:rsid w:val="0027108A"/>
    <w:rsid w:val="00272E98"/>
    <w:rsid w:val="00272F18"/>
    <w:rsid w:val="00273526"/>
    <w:rsid w:val="00273A7B"/>
    <w:rsid w:val="00274891"/>
    <w:rsid w:val="00274BAD"/>
    <w:rsid w:val="00274E87"/>
    <w:rsid w:val="0027558B"/>
    <w:rsid w:val="00276496"/>
    <w:rsid w:val="00280A6D"/>
    <w:rsid w:val="0028174B"/>
    <w:rsid w:val="0028270A"/>
    <w:rsid w:val="00282F9C"/>
    <w:rsid w:val="002832E8"/>
    <w:rsid w:val="00283B25"/>
    <w:rsid w:val="00286773"/>
    <w:rsid w:val="0029001A"/>
    <w:rsid w:val="002901D8"/>
    <w:rsid w:val="0029242F"/>
    <w:rsid w:val="00292774"/>
    <w:rsid w:val="00294B43"/>
    <w:rsid w:val="00294BFF"/>
    <w:rsid w:val="0029578A"/>
    <w:rsid w:val="00295B19"/>
    <w:rsid w:val="002960E7"/>
    <w:rsid w:val="00296112"/>
    <w:rsid w:val="002969C3"/>
    <w:rsid w:val="00296A0B"/>
    <w:rsid w:val="00297DA2"/>
    <w:rsid w:val="002A1096"/>
    <w:rsid w:val="002A10EC"/>
    <w:rsid w:val="002A1CB7"/>
    <w:rsid w:val="002A2067"/>
    <w:rsid w:val="002A3231"/>
    <w:rsid w:val="002A4B28"/>
    <w:rsid w:val="002A4D2F"/>
    <w:rsid w:val="002A52CF"/>
    <w:rsid w:val="002A56D1"/>
    <w:rsid w:val="002B0194"/>
    <w:rsid w:val="002B1963"/>
    <w:rsid w:val="002B1A85"/>
    <w:rsid w:val="002B25FC"/>
    <w:rsid w:val="002B324F"/>
    <w:rsid w:val="002B6373"/>
    <w:rsid w:val="002C0CF0"/>
    <w:rsid w:val="002C164A"/>
    <w:rsid w:val="002C24F1"/>
    <w:rsid w:val="002C2FF6"/>
    <w:rsid w:val="002C4D48"/>
    <w:rsid w:val="002C5763"/>
    <w:rsid w:val="002C5E2D"/>
    <w:rsid w:val="002C7171"/>
    <w:rsid w:val="002C7EE6"/>
    <w:rsid w:val="002D11A4"/>
    <w:rsid w:val="002D1455"/>
    <w:rsid w:val="002D1748"/>
    <w:rsid w:val="002D3750"/>
    <w:rsid w:val="002D4137"/>
    <w:rsid w:val="002D4682"/>
    <w:rsid w:val="002D4AD5"/>
    <w:rsid w:val="002D518C"/>
    <w:rsid w:val="002D5666"/>
    <w:rsid w:val="002D5AA2"/>
    <w:rsid w:val="002D5E54"/>
    <w:rsid w:val="002D685C"/>
    <w:rsid w:val="002E0502"/>
    <w:rsid w:val="002E0B0E"/>
    <w:rsid w:val="002E0E5D"/>
    <w:rsid w:val="002E1082"/>
    <w:rsid w:val="002E126F"/>
    <w:rsid w:val="002E1390"/>
    <w:rsid w:val="002E146D"/>
    <w:rsid w:val="002E14E4"/>
    <w:rsid w:val="002E151E"/>
    <w:rsid w:val="002E29ED"/>
    <w:rsid w:val="002E2CD7"/>
    <w:rsid w:val="002E2F4F"/>
    <w:rsid w:val="002E3A04"/>
    <w:rsid w:val="002E42C7"/>
    <w:rsid w:val="002E4BB0"/>
    <w:rsid w:val="002E5DE8"/>
    <w:rsid w:val="002E64DA"/>
    <w:rsid w:val="002E6532"/>
    <w:rsid w:val="002F17BA"/>
    <w:rsid w:val="002F38A3"/>
    <w:rsid w:val="002F4467"/>
    <w:rsid w:val="002F5FFC"/>
    <w:rsid w:val="002F6154"/>
    <w:rsid w:val="002F6B4F"/>
    <w:rsid w:val="002F7430"/>
    <w:rsid w:val="002F7498"/>
    <w:rsid w:val="002F7563"/>
    <w:rsid w:val="00301491"/>
    <w:rsid w:val="00301571"/>
    <w:rsid w:val="00301D2B"/>
    <w:rsid w:val="0030253A"/>
    <w:rsid w:val="00303A18"/>
    <w:rsid w:val="00304EBF"/>
    <w:rsid w:val="003079B4"/>
    <w:rsid w:val="00310038"/>
    <w:rsid w:val="00311083"/>
    <w:rsid w:val="0031155C"/>
    <w:rsid w:val="00311E8F"/>
    <w:rsid w:val="00312827"/>
    <w:rsid w:val="0031368C"/>
    <w:rsid w:val="003137A0"/>
    <w:rsid w:val="003158B1"/>
    <w:rsid w:val="00315A37"/>
    <w:rsid w:val="00315F7E"/>
    <w:rsid w:val="003170E5"/>
    <w:rsid w:val="003170EA"/>
    <w:rsid w:val="003176D7"/>
    <w:rsid w:val="003177EF"/>
    <w:rsid w:val="00320792"/>
    <w:rsid w:val="00320E6A"/>
    <w:rsid w:val="00320F56"/>
    <w:rsid w:val="003232D0"/>
    <w:rsid w:val="00324D38"/>
    <w:rsid w:val="003258E8"/>
    <w:rsid w:val="00325B67"/>
    <w:rsid w:val="00325F1C"/>
    <w:rsid w:val="00330589"/>
    <w:rsid w:val="00330E71"/>
    <w:rsid w:val="003310ED"/>
    <w:rsid w:val="00333983"/>
    <w:rsid w:val="00333CF8"/>
    <w:rsid w:val="0033553B"/>
    <w:rsid w:val="00336847"/>
    <w:rsid w:val="0034097D"/>
    <w:rsid w:val="00340E2E"/>
    <w:rsid w:val="003411F8"/>
    <w:rsid w:val="003415C5"/>
    <w:rsid w:val="00342469"/>
    <w:rsid w:val="003424AD"/>
    <w:rsid w:val="0034301D"/>
    <w:rsid w:val="00344C1D"/>
    <w:rsid w:val="00347113"/>
    <w:rsid w:val="0035047A"/>
    <w:rsid w:val="003519A5"/>
    <w:rsid w:val="00353461"/>
    <w:rsid w:val="00353F28"/>
    <w:rsid w:val="00354152"/>
    <w:rsid w:val="0035421F"/>
    <w:rsid w:val="00356CBC"/>
    <w:rsid w:val="00357AD2"/>
    <w:rsid w:val="00360991"/>
    <w:rsid w:val="003612A3"/>
    <w:rsid w:val="00361C0F"/>
    <w:rsid w:val="003628E6"/>
    <w:rsid w:val="003634C1"/>
    <w:rsid w:val="00363D81"/>
    <w:rsid w:val="00364A94"/>
    <w:rsid w:val="00365C3C"/>
    <w:rsid w:val="003665D0"/>
    <w:rsid w:val="00366CB8"/>
    <w:rsid w:val="00367674"/>
    <w:rsid w:val="0036778B"/>
    <w:rsid w:val="00370041"/>
    <w:rsid w:val="00371B03"/>
    <w:rsid w:val="00371C22"/>
    <w:rsid w:val="00373277"/>
    <w:rsid w:val="00373448"/>
    <w:rsid w:val="0037346D"/>
    <w:rsid w:val="003734FD"/>
    <w:rsid w:val="0037370D"/>
    <w:rsid w:val="003740B5"/>
    <w:rsid w:val="00375E36"/>
    <w:rsid w:val="0037622C"/>
    <w:rsid w:val="00376ACA"/>
    <w:rsid w:val="00377C5F"/>
    <w:rsid w:val="00380481"/>
    <w:rsid w:val="003807B2"/>
    <w:rsid w:val="00380FB8"/>
    <w:rsid w:val="00381FA3"/>
    <w:rsid w:val="00382574"/>
    <w:rsid w:val="0038359D"/>
    <w:rsid w:val="00384C45"/>
    <w:rsid w:val="003850A7"/>
    <w:rsid w:val="003852DF"/>
    <w:rsid w:val="003872BB"/>
    <w:rsid w:val="003879A6"/>
    <w:rsid w:val="00390421"/>
    <w:rsid w:val="00392B40"/>
    <w:rsid w:val="00395233"/>
    <w:rsid w:val="00395F4F"/>
    <w:rsid w:val="0039666C"/>
    <w:rsid w:val="003967C8"/>
    <w:rsid w:val="00396E53"/>
    <w:rsid w:val="00396EB0"/>
    <w:rsid w:val="003972FB"/>
    <w:rsid w:val="00397C6B"/>
    <w:rsid w:val="003A235B"/>
    <w:rsid w:val="003A2799"/>
    <w:rsid w:val="003A2B1B"/>
    <w:rsid w:val="003A31A3"/>
    <w:rsid w:val="003A4C98"/>
    <w:rsid w:val="003A5BDE"/>
    <w:rsid w:val="003A6583"/>
    <w:rsid w:val="003A6686"/>
    <w:rsid w:val="003A6801"/>
    <w:rsid w:val="003B055B"/>
    <w:rsid w:val="003B0C7D"/>
    <w:rsid w:val="003B31F2"/>
    <w:rsid w:val="003B48F2"/>
    <w:rsid w:val="003B6E4A"/>
    <w:rsid w:val="003B7D11"/>
    <w:rsid w:val="003C0714"/>
    <w:rsid w:val="003C1A3A"/>
    <w:rsid w:val="003C2408"/>
    <w:rsid w:val="003C2E36"/>
    <w:rsid w:val="003C305C"/>
    <w:rsid w:val="003C4147"/>
    <w:rsid w:val="003C453B"/>
    <w:rsid w:val="003C4CD1"/>
    <w:rsid w:val="003C56D5"/>
    <w:rsid w:val="003C5B5C"/>
    <w:rsid w:val="003D3122"/>
    <w:rsid w:val="003D368A"/>
    <w:rsid w:val="003D45A0"/>
    <w:rsid w:val="003D4C38"/>
    <w:rsid w:val="003D50BC"/>
    <w:rsid w:val="003D545E"/>
    <w:rsid w:val="003D547B"/>
    <w:rsid w:val="003D64DC"/>
    <w:rsid w:val="003D6F59"/>
    <w:rsid w:val="003D7460"/>
    <w:rsid w:val="003D7DF5"/>
    <w:rsid w:val="003D7F68"/>
    <w:rsid w:val="003E053E"/>
    <w:rsid w:val="003E06F5"/>
    <w:rsid w:val="003E1E0F"/>
    <w:rsid w:val="003E4E49"/>
    <w:rsid w:val="003E6575"/>
    <w:rsid w:val="003E6607"/>
    <w:rsid w:val="003E703B"/>
    <w:rsid w:val="003E7C67"/>
    <w:rsid w:val="003F09CD"/>
    <w:rsid w:val="003F2D02"/>
    <w:rsid w:val="003F3BBB"/>
    <w:rsid w:val="003F3E00"/>
    <w:rsid w:val="003F4218"/>
    <w:rsid w:val="003F423B"/>
    <w:rsid w:val="003F4BFD"/>
    <w:rsid w:val="003F5EC0"/>
    <w:rsid w:val="003F60CC"/>
    <w:rsid w:val="00400CE0"/>
    <w:rsid w:val="00400D1A"/>
    <w:rsid w:val="004029D4"/>
    <w:rsid w:val="00405429"/>
    <w:rsid w:val="004058C3"/>
    <w:rsid w:val="00405B35"/>
    <w:rsid w:val="004064E4"/>
    <w:rsid w:val="00406602"/>
    <w:rsid w:val="00406645"/>
    <w:rsid w:val="00410130"/>
    <w:rsid w:val="004102C1"/>
    <w:rsid w:val="00411685"/>
    <w:rsid w:val="004118B7"/>
    <w:rsid w:val="00411A40"/>
    <w:rsid w:val="00411D98"/>
    <w:rsid w:val="004129BB"/>
    <w:rsid w:val="00412FCB"/>
    <w:rsid w:val="00413599"/>
    <w:rsid w:val="00413934"/>
    <w:rsid w:val="00414978"/>
    <w:rsid w:val="00415562"/>
    <w:rsid w:val="00415D15"/>
    <w:rsid w:val="0041665B"/>
    <w:rsid w:val="004166BE"/>
    <w:rsid w:val="004203C5"/>
    <w:rsid w:val="00423627"/>
    <w:rsid w:val="00423C60"/>
    <w:rsid w:val="00423D06"/>
    <w:rsid w:val="00424783"/>
    <w:rsid w:val="00424DCC"/>
    <w:rsid w:val="00425312"/>
    <w:rsid w:val="00425BD7"/>
    <w:rsid w:val="00425FDB"/>
    <w:rsid w:val="00426023"/>
    <w:rsid w:val="00426142"/>
    <w:rsid w:val="004261DD"/>
    <w:rsid w:val="004275CA"/>
    <w:rsid w:val="00430515"/>
    <w:rsid w:val="00431A02"/>
    <w:rsid w:val="00432195"/>
    <w:rsid w:val="004324F0"/>
    <w:rsid w:val="004328A5"/>
    <w:rsid w:val="00433BC6"/>
    <w:rsid w:val="00433DC8"/>
    <w:rsid w:val="00433DE7"/>
    <w:rsid w:val="00434A87"/>
    <w:rsid w:val="00436A2D"/>
    <w:rsid w:val="00437FB5"/>
    <w:rsid w:val="004407A8"/>
    <w:rsid w:val="00440A9B"/>
    <w:rsid w:val="00440F85"/>
    <w:rsid w:val="004413F9"/>
    <w:rsid w:val="0044143E"/>
    <w:rsid w:val="004414EE"/>
    <w:rsid w:val="00441B2C"/>
    <w:rsid w:val="00443A4C"/>
    <w:rsid w:val="00443BBB"/>
    <w:rsid w:val="004441BE"/>
    <w:rsid w:val="004467E3"/>
    <w:rsid w:val="00446AFE"/>
    <w:rsid w:val="0044799B"/>
    <w:rsid w:val="00447C51"/>
    <w:rsid w:val="00447C84"/>
    <w:rsid w:val="00451532"/>
    <w:rsid w:val="00454D4C"/>
    <w:rsid w:val="00455BFE"/>
    <w:rsid w:val="004564A4"/>
    <w:rsid w:val="004565CE"/>
    <w:rsid w:val="00457249"/>
    <w:rsid w:val="00457B43"/>
    <w:rsid w:val="00461070"/>
    <w:rsid w:val="00461283"/>
    <w:rsid w:val="00462A05"/>
    <w:rsid w:val="004630F2"/>
    <w:rsid w:val="00463789"/>
    <w:rsid w:val="00463A36"/>
    <w:rsid w:val="00463CDC"/>
    <w:rsid w:val="00463F87"/>
    <w:rsid w:val="004640E0"/>
    <w:rsid w:val="0046446C"/>
    <w:rsid w:val="004646EC"/>
    <w:rsid w:val="004655A0"/>
    <w:rsid w:val="00465DE0"/>
    <w:rsid w:val="00466616"/>
    <w:rsid w:val="004669EE"/>
    <w:rsid w:val="00466DE6"/>
    <w:rsid w:val="00470F78"/>
    <w:rsid w:val="0047112C"/>
    <w:rsid w:val="0047325F"/>
    <w:rsid w:val="00476E5A"/>
    <w:rsid w:val="00476FB3"/>
    <w:rsid w:val="00477466"/>
    <w:rsid w:val="0047795C"/>
    <w:rsid w:val="00480E72"/>
    <w:rsid w:val="0048107C"/>
    <w:rsid w:val="004835F5"/>
    <w:rsid w:val="0048439F"/>
    <w:rsid w:val="00484DD5"/>
    <w:rsid w:val="0048640F"/>
    <w:rsid w:val="00486A9A"/>
    <w:rsid w:val="00486E65"/>
    <w:rsid w:val="00487B42"/>
    <w:rsid w:val="004901E9"/>
    <w:rsid w:val="00490F5D"/>
    <w:rsid w:val="004911E1"/>
    <w:rsid w:val="00491C03"/>
    <w:rsid w:val="00492717"/>
    <w:rsid w:val="0049475A"/>
    <w:rsid w:val="00495323"/>
    <w:rsid w:val="00495E2C"/>
    <w:rsid w:val="004966A7"/>
    <w:rsid w:val="00497267"/>
    <w:rsid w:val="00497470"/>
    <w:rsid w:val="00497AD6"/>
    <w:rsid w:val="004A0C01"/>
    <w:rsid w:val="004A1D20"/>
    <w:rsid w:val="004A2693"/>
    <w:rsid w:val="004A2A08"/>
    <w:rsid w:val="004A326B"/>
    <w:rsid w:val="004A35E3"/>
    <w:rsid w:val="004A4E7C"/>
    <w:rsid w:val="004A584E"/>
    <w:rsid w:val="004A7455"/>
    <w:rsid w:val="004B0B26"/>
    <w:rsid w:val="004B107F"/>
    <w:rsid w:val="004B1119"/>
    <w:rsid w:val="004B2DC8"/>
    <w:rsid w:val="004B31C8"/>
    <w:rsid w:val="004B6074"/>
    <w:rsid w:val="004B616A"/>
    <w:rsid w:val="004B653A"/>
    <w:rsid w:val="004B6BBC"/>
    <w:rsid w:val="004B700A"/>
    <w:rsid w:val="004B7BE8"/>
    <w:rsid w:val="004C0816"/>
    <w:rsid w:val="004C0E62"/>
    <w:rsid w:val="004C119F"/>
    <w:rsid w:val="004C14D2"/>
    <w:rsid w:val="004C181B"/>
    <w:rsid w:val="004C249A"/>
    <w:rsid w:val="004C3077"/>
    <w:rsid w:val="004C31BA"/>
    <w:rsid w:val="004C33CF"/>
    <w:rsid w:val="004C4BFA"/>
    <w:rsid w:val="004C57A8"/>
    <w:rsid w:val="004C5ADD"/>
    <w:rsid w:val="004C5CEA"/>
    <w:rsid w:val="004C66E8"/>
    <w:rsid w:val="004C6BBC"/>
    <w:rsid w:val="004C785A"/>
    <w:rsid w:val="004D06C3"/>
    <w:rsid w:val="004D0785"/>
    <w:rsid w:val="004D0918"/>
    <w:rsid w:val="004D096F"/>
    <w:rsid w:val="004D09FD"/>
    <w:rsid w:val="004D0B74"/>
    <w:rsid w:val="004D1344"/>
    <w:rsid w:val="004D1CD7"/>
    <w:rsid w:val="004D23C3"/>
    <w:rsid w:val="004D3791"/>
    <w:rsid w:val="004D39E7"/>
    <w:rsid w:val="004D459F"/>
    <w:rsid w:val="004D6BFE"/>
    <w:rsid w:val="004E031E"/>
    <w:rsid w:val="004E10BA"/>
    <w:rsid w:val="004E155D"/>
    <w:rsid w:val="004E2ED4"/>
    <w:rsid w:val="004E3CC9"/>
    <w:rsid w:val="004E3FEA"/>
    <w:rsid w:val="004E4036"/>
    <w:rsid w:val="004E4310"/>
    <w:rsid w:val="004E477E"/>
    <w:rsid w:val="004E6E76"/>
    <w:rsid w:val="004E781D"/>
    <w:rsid w:val="004F110F"/>
    <w:rsid w:val="004F1626"/>
    <w:rsid w:val="004F1806"/>
    <w:rsid w:val="004F1C20"/>
    <w:rsid w:val="004F3817"/>
    <w:rsid w:val="004F4230"/>
    <w:rsid w:val="004F44DF"/>
    <w:rsid w:val="004F46FA"/>
    <w:rsid w:val="004F4735"/>
    <w:rsid w:val="004F47E1"/>
    <w:rsid w:val="004F4934"/>
    <w:rsid w:val="004F49B6"/>
    <w:rsid w:val="004F4AE6"/>
    <w:rsid w:val="004F4CB0"/>
    <w:rsid w:val="004F599B"/>
    <w:rsid w:val="004F5BAD"/>
    <w:rsid w:val="004F6C5D"/>
    <w:rsid w:val="004F73C0"/>
    <w:rsid w:val="004F7E56"/>
    <w:rsid w:val="0050187B"/>
    <w:rsid w:val="00502423"/>
    <w:rsid w:val="0050257B"/>
    <w:rsid w:val="005028F7"/>
    <w:rsid w:val="0050618A"/>
    <w:rsid w:val="005062F9"/>
    <w:rsid w:val="00506D58"/>
    <w:rsid w:val="00507065"/>
    <w:rsid w:val="0050708E"/>
    <w:rsid w:val="005079DC"/>
    <w:rsid w:val="00507A98"/>
    <w:rsid w:val="00507F0F"/>
    <w:rsid w:val="00511A57"/>
    <w:rsid w:val="00512698"/>
    <w:rsid w:val="00512E35"/>
    <w:rsid w:val="005168C4"/>
    <w:rsid w:val="005170C3"/>
    <w:rsid w:val="0052172D"/>
    <w:rsid w:val="005220FB"/>
    <w:rsid w:val="005233F5"/>
    <w:rsid w:val="005248AB"/>
    <w:rsid w:val="005273C4"/>
    <w:rsid w:val="00527DC6"/>
    <w:rsid w:val="0053223A"/>
    <w:rsid w:val="00532703"/>
    <w:rsid w:val="0053426B"/>
    <w:rsid w:val="005342B1"/>
    <w:rsid w:val="00534654"/>
    <w:rsid w:val="00535343"/>
    <w:rsid w:val="005367FD"/>
    <w:rsid w:val="005369DE"/>
    <w:rsid w:val="00540001"/>
    <w:rsid w:val="005400B7"/>
    <w:rsid w:val="00540BEE"/>
    <w:rsid w:val="00541427"/>
    <w:rsid w:val="005420AB"/>
    <w:rsid w:val="0054230B"/>
    <w:rsid w:val="00542F46"/>
    <w:rsid w:val="00543589"/>
    <w:rsid w:val="00543838"/>
    <w:rsid w:val="00543B87"/>
    <w:rsid w:val="00544BC2"/>
    <w:rsid w:val="00545133"/>
    <w:rsid w:val="00545274"/>
    <w:rsid w:val="005453F9"/>
    <w:rsid w:val="0054649C"/>
    <w:rsid w:val="00546883"/>
    <w:rsid w:val="00546D51"/>
    <w:rsid w:val="0054781A"/>
    <w:rsid w:val="00550022"/>
    <w:rsid w:val="005521C6"/>
    <w:rsid w:val="00553B02"/>
    <w:rsid w:val="00555134"/>
    <w:rsid w:val="005557F0"/>
    <w:rsid w:val="005574AF"/>
    <w:rsid w:val="00560CE5"/>
    <w:rsid w:val="00561BA3"/>
    <w:rsid w:val="005627A7"/>
    <w:rsid w:val="0056329A"/>
    <w:rsid w:val="00563F84"/>
    <w:rsid w:val="005640CF"/>
    <w:rsid w:val="005644FA"/>
    <w:rsid w:val="00564C5A"/>
    <w:rsid w:val="00565781"/>
    <w:rsid w:val="005659CE"/>
    <w:rsid w:val="005660DF"/>
    <w:rsid w:val="005663DE"/>
    <w:rsid w:val="00567DD4"/>
    <w:rsid w:val="00567F16"/>
    <w:rsid w:val="005724A8"/>
    <w:rsid w:val="00574034"/>
    <w:rsid w:val="00575853"/>
    <w:rsid w:val="00575BF5"/>
    <w:rsid w:val="005769E2"/>
    <w:rsid w:val="005808CA"/>
    <w:rsid w:val="00580F3D"/>
    <w:rsid w:val="00581630"/>
    <w:rsid w:val="00582B84"/>
    <w:rsid w:val="0058343B"/>
    <w:rsid w:val="00584039"/>
    <w:rsid w:val="00584BE0"/>
    <w:rsid w:val="00586D10"/>
    <w:rsid w:val="005905A4"/>
    <w:rsid w:val="0059093B"/>
    <w:rsid w:val="005915BF"/>
    <w:rsid w:val="005919E3"/>
    <w:rsid w:val="005923AB"/>
    <w:rsid w:val="00592753"/>
    <w:rsid w:val="00592A89"/>
    <w:rsid w:val="00594773"/>
    <w:rsid w:val="00595889"/>
    <w:rsid w:val="00595992"/>
    <w:rsid w:val="005A0DB0"/>
    <w:rsid w:val="005A227E"/>
    <w:rsid w:val="005A2AC4"/>
    <w:rsid w:val="005A2CC8"/>
    <w:rsid w:val="005A349E"/>
    <w:rsid w:val="005A426D"/>
    <w:rsid w:val="005A4537"/>
    <w:rsid w:val="005A6161"/>
    <w:rsid w:val="005A70E6"/>
    <w:rsid w:val="005A7402"/>
    <w:rsid w:val="005B0379"/>
    <w:rsid w:val="005B06E7"/>
    <w:rsid w:val="005B0BBA"/>
    <w:rsid w:val="005B11F9"/>
    <w:rsid w:val="005B16CC"/>
    <w:rsid w:val="005B17A3"/>
    <w:rsid w:val="005B1AA1"/>
    <w:rsid w:val="005B1D53"/>
    <w:rsid w:val="005B259E"/>
    <w:rsid w:val="005B27F2"/>
    <w:rsid w:val="005B3018"/>
    <w:rsid w:val="005B3600"/>
    <w:rsid w:val="005B367F"/>
    <w:rsid w:val="005B4235"/>
    <w:rsid w:val="005B4568"/>
    <w:rsid w:val="005B4BFB"/>
    <w:rsid w:val="005B6859"/>
    <w:rsid w:val="005B7081"/>
    <w:rsid w:val="005B7A5D"/>
    <w:rsid w:val="005C03FD"/>
    <w:rsid w:val="005C2151"/>
    <w:rsid w:val="005C436C"/>
    <w:rsid w:val="005C4415"/>
    <w:rsid w:val="005C4E32"/>
    <w:rsid w:val="005C614C"/>
    <w:rsid w:val="005C62B4"/>
    <w:rsid w:val="005C6C58"/>
    <w:rsid w:val="005D0CD3"/>
    <w:rsid w:val="005D1E6B"/>
    <w:rsid w:val="005D2297"/>
    <w:rsid w:val="005D30F2"/>
    <w:rsid w:val="005D3B5A"/>
    <w:rsid w:val="005D4476"/>
    <w:rsid w:val="005D4D71"/>
    <w:rsid w:val="005D579D"/>
    <w:rsid w:val="005D6B9A"/>
    <w:rsid w:val="005E175C"/>
    <w:rsid w:val="005E1E1E"/>
    <w:rsid w:val="005E3267"/>
    <w:rsid w:val="005E32A7"/>
    <w:rsid w:val="005E3C7C"/>
    <w:rsid w:val="005E5342"/>
    <w:rsid w:val="005E53B6"/>
    <w:rsid w:val="005E55CC"/>
    <w:rsid w:val="005E68DB"/>
    <w:rsid w:val="005E73AB"/>
    <w:rsid w:val="005F1906"/>
    <w:rsid w:val="005F21A7"/>
    <w:rsid w:val="005F488D"/>
    <w:rsid w:val="005F4D2D"/>
    <w:rsid w:val="005F5A99"/>
    <w:rsid w:val="005F6B0B"/>
    <w:rsid w:val="00600091"/>
    <w:rsid w:val="00600418"/>
    <w:rsid w:val="00600A37"/>
    <w:rsid w:val="0060148C"/>
    <w:rsid w:val="00601950"/>
    <w:rsid w:val="00604686"/>
    <w:rsid w:val="00604A3A"/>
    <w:rsid w:val="00605DBD"/>
    <w:rsid w:val="0060648D"/>
    <w:rsid w:val="0060754E"/>
    <w:rsid w:val="006077DA"/>
    <w:rsid w:val="00610655"/>
    <w:rsid w:val="006111A9"/>
    <w:rsid w:val="00611ADD"/>
    <w:rsid w:val="00612205"/>
    <w:rsid w:val="00613489"/>
    <w:rsid w:val="00615AE8"/>
    <w:rsid w:val="00615F9F"/>
    <w:rsid w:val="00616368"/>
    <w:rsid w:val="0061704B"/>
    <w:rsid w:val="006178A2"/>
    <w:rsid w:val="0062106D"/>
    <w:rsid w:val="006224C8"/>
    <w:rsid w:val="0062289E"/>
    <w:rsid w:val="006236BD"/>
    <w:rsid w:val="006236CE"/>
    <w:rsid w:val="006237C4"/>
    <w:rsid w:val="00624F34"/>
    <w:rsid w:val="0062664C"/>
    <w:rsid w:val="006266C0"/>
    <w:rsid w:val="00626CDD"/>
    <w:rsid w:val="006275F5"/>
    <w:rsid w:val="00635041"/>
    <w:rsid w:val="006359E1"/>
    <w:rsid w:val="00635A72"/>
    <w:rsid w:val="0063764E"/>
    <w:rsid w:val="006403BD"/>
    <w:rsid w:val="00641940"/>
    <w:rsid w:val="0064323B"/>
    <w:rsid w:val="0064355B"/>
    <w:rsid w:val="00643BA7"/>
    <w:rsid w:val="00644044"/>
    <w:rsid w:val="006444E0"/>
    <w:rsid w:val="00644537"/>
    <w:rsid w:val="0064481A"/>
    <w:rsid w:val="006477CE"/>
    <w:rsid w:val="0064787F"/>
    <w:rsid w:val="00651633"/>
    <w:rsid w:val="00651899"/>
    <w:rsid w:val="00651C99"/>
    <w:rsid w:val="00652712"/>
    <w:rsid w:val="00652E8D"/>
    <w:rsid w:val="006533BD"/>
    <w:rsid w:val="00654CAD"/>
    <w:rsid w:val="00655701"/>
    <w:rsid w:val="00655706"/>
    <w:rsid w:val="006558B5"/>
    <w:rsid w:val="00655957"/>
    <w:rsid w:val="006568FF"/>
    <w:rsid w:val="00657516"/>
    <w:rsid w:val="00657853"/>
    <w:rsid w:val="00661956"/>
    <w:rsid w:val="006626AF"/>
    <w:rsid w:val="00662F1A"/>
    <w:rsid w:val="00662F71"/>
    <w:rsid w:val="006643AC"/>
    <w:rsid w:val="00665584"/>
    <w:rsid w:val="00665BB7"/>
    <w:rsid w:val="00666F87"/>
    <w:rsid w:val="00671572"/>
    <w:rsid w:val="00671BE3"/>
    <w:rsid w:val="00671F2C"/>
    <w:rsid w:val="00672118"/>
    <w:rsid w:val="006728EB"/>
    <w:rsid w:val="006738D9"/>
    <w:rsid w:val="006750EE"/>
    <w:rsid w:val="00675253"/>
    <w:rsid w:val="00675366"/>
    <w:rsid w:val="006754DF"/>
    <w:rsid w:val="006757D0"/>
    <w:rsid w:val="00675B07"/>
    <w:rsid w:val="0068088F"/>
    <w:rsid w:val="0068136D"/>
    <w:rsid w:val="00681647"/>
    <w:rsid w:val="00683B7D"/>
    <w:rsid w:val="00684408"/>
    <w:rsid w:val="0068553C"/>
    <w:rsid w:val="006856DF"/>
    <w:rsid w:val="00685E19"/>
    <w:rsid w:val="00685E47"/>
    <w:rsid w:val="006877DC"/>
    <w:rsid w:val="00690482"/>
    <w:rsid w:val="00690EF3"/>
    <w:rsid w:val="00691300"/>
    <w:rsid w:val="00691400"/>
    <w:rsid w:val="00692097"/>
    <w:rsid w:val="00692E63"/>
    <w:rsid w:val="0069320C"/>
    <w:rsid w:val="0069449B"/>
    <w:rsid w:val="00694E9F"/>
    <w:rsid w:val="00696254"/>
    <w:rsid w:val="0069668F"/>
    <w:rsid w:val="00697774"/>
    <w:rsid w:val="00697F42"/>
    <w:rsid w:val="006A0984"/>
    <w:rsid w:val="006A1658"/>
    <w:rsid w:val="006A1AC6"/>
    <w:rsid w:val="006A2456"/>
    <w:rsid w:val="006A27AB"/>
    <w:rsid w:val="006A29D9"/>
    <w:rsid w:val="006A345F"/>
    <w:rsid w:val="006A371A"/>
    <w:rsid w:val="006A5D77"/>
    <w:rsid w:val="006A6CD9"/>
    <w:rsid w:val="006A6EFC"/>
    <w:rsid w:val="006A7118"/>
    <w:rsid w:val="006A7548"/>
    <w:rsid w:val="006A781F"/>
    <w:rsid w:val="006A7CD0"/>
    <w:rsid w:val="006B0B19"/>
    <w:rsid w:val="006B1428"/>
    <w:rsid w:val="006B1A93"/>
    <w:rsid w:val="006B21E0"/>
    <w:rsid w:val="006B28E2"/>
    <w:rsid w:val="006B2B6F"/>
    <w:rsid w:val="006B4433"/>
    <w:rsid w:val="006B5A53"/>
    <w:rsid w:val="006B5C75"/>
    <w:rsid w:val="006B65DB"/>
    <w:rsid w:val="006C0DA0"/>
    <w:rsid w:val="006C3338"/>
    <w:rsid w:val="006C486B"/>
    <w:rsid w:val="006C5315"/>
    <w:rsid w:val="006C5862"/>
    <w:rsid w:val="006C5960"/>
    <w:rsid w:val="006C65D2"/>
    <w:rsid w:val="006C6725"/>
    <w:rsid w:val="006C6A2B"/>
    <w:rsid w:val="006C6ACC"/>
    <w:rsid w:val="006C7784"/>
    <w:rsid w:val="006C7A6E"/>
    <w:rsid w:val="006D1E68"/>
    <w:rsid w:val="006D1F74"/>
    <w:rsid w:val="006D24EB"/>
    <w:rsid w:val="006D25AC"/>
    <w:rsid w:val="006D27A1"/>
    <w:rsid w:val="006D2852"/>
    <w:rsid w:val="006D2908"/>
    <w:rsid w:val="006D35BE"/>
    <w:rsid w:val="006D4565"/>
    <w:rsid w:val="006D4A9E"/>
    <w:rsid w:val="006D4D26"/>
    <w:rsid w:val="006D4D72"/>
    <w:rsid w:val="006D4F02"/>
    <w:rsid w:val="006D4F8E"/>
    <w:rsid w:val="006D54D9"/>
    <w:rsid w:val="006D55F5"/>
    <w:rsid w:val="006D61F2"/>
    <w:rsid w:val="006D7857"/>
    <w:rsid w:val="006E1484"/>
    <w:rsid w:val="006E223A"/>
    <w:rsid w:val="006E2BCC"/>
    <w:rsid w:val="006E2D40"/>
    <w:rsid w:val="006E3621"/>
    <w:rsid w:val="006E51C1"/>
    <w:rsid w:val="006E5257"/>
    <w:rsid w:val="006E6ACB"/>
    <w:rsid w:val="006E781F"/>
    <w:rsid w:val="006F288B"/>
    <w:rsid w:val="006F2C21"/>
    <w:rsid w:val="006F3D25"/>
    <w:rsid w:val="006F4985"/>
    <w:rsid w:val="006F59A0"/>
    <w:rsid w:val="006F5B7A"/>
    <w:rsid w:val="006F6BD4"/>
    <w:rsid w:val="006F6D21"/>
    <w:rsid w:val="006F7941"/>
    <w:rsid w:val="006F7B2E"/>
    <w:rsid w:val="007000C5"/>
    <w:rsid w:val="00700574"/>
    <w:rsid w:val="007007D1"/>
    <w:rsid w:val="00701236"/>
    <w:rsid w:val="00701AC9"/>
    <w:rsid w:val="0070240D"/>
    <w:rsid w:val="007034D8"/>
    <w:rsid w:val="00703687"/>
    <w:rsid w:val="00705322"/>
    <w:rsid w:val="00707A65"/>
    <w:rsid w:val="00710184"/>
    <w:rsid w:val="00710CBE"/>
    <w:rsid w:val="00711165"/>
    <w:rsid w:val="00711E65"/>
    <w:rsid w:val="0071277B"/>
    <w:rsid w:val="007146F2"/>
    <w:rsid w:val="00716039"/>
    <w:rsid w:val="0071626B"/>
    <w:rsid w:val="00716A51"/>
    <w:rsid w:val="00716B28"/>
    <w:rsid w:val="00716FF7"/>
    <w:rsid w:val="0072105D"/>
    <w:rsid w:val="007247B1"/>
    <w:rsid w:val="00725D23"/>
    <w:rsid w:val="007269CC"/>
    <w:rsid w:val="00726E2C"/>
    <w:rsid w:val="00727D1B"/>
    <w:rsid w:val="00727DEA"/>
    <w:rsid w:val="00730F1E"/>
    <w:rsid w:val="007317A7"/>
    <w:rsid w:val="00733700"/>
    <w:rsid w:val="007338C8"/>
    <w:rsid w:val="007341AC"/>
    <w:rsid w:val="007343ED"/>
    <w:rsid w:val="00734559"/>
    <w:rsid w:val="0073480C"/>
    <w:rsid w:val="00735E96"/>
    <w:rsid w:val="00736427"/>
    <w:rsid w:val="007371E2"/>
    <w:rsid w:val="007400FD"/>
    <w:rsid w:val="00741F56"/>
    <w:rsid w:val="007426F9"/>
    <w:rsid w:val="00743577"/>
    <w:rsid w:val="007449FE"/>
    <w:rsid w:val="00745382"/>
    <w:rsid w:val="00745827"/>
    <w:rsid w:val="00747454"/>
    <w:rsid w:val="007475AA"/>
    <w:rsid w:val="00747704"/>
    <w:rsid w:val="0075029D"/>
    <w:rsid w:val="007503D3"/>
    <w:rsid w:val="0075096F"/>
    <w:rsid w:val="00750A74"/>
    <w:rsid w:val="00750B01"/>
    <w:rsid w:val="0075261A"/>
    <w:rsid w:val="00752625"/>
    <w:rsid w:val="00753DB6"/>
    <w:rsid w:val="00755614"/>
    <w:rsid w:val="00757CAF"/>
    <w:rsid w:val="007612E5"/>
    <w:rsid w:val="00761A46"/>
    <w:rsid w:val="007621C9"/>
    <w:rsid w:val="007622D9"/>
    <w:rsid w:val="0076283B"/>
    <w:rsid w:val="0076289E"/>
    <w:rsid w:val="00763694"/>
    <w:rsid w:val="00763FB0"/>
    <w:rsid w:val="0076484B"/>
    <w:rsid w:val="00764F1E"/>
    <w:rsid w:val="0076516C"/>
    <w:rsid w:val="00766001"/>
    <w:rsid w:val="0076670B"/>
    <w:rsid w:val="007672D1"/>
    <w:rsid w:val="00767D20"/>
    <w:rsid w:val="00771DA8"/>
    <w:rsid w:val="00771F3E"/>
    <w:rsid w:val="007723BD"/>
    <w:rsid w:val="00772CBE"/>
    <w:rsid w:val="007730E3"/>
    <w:rsid w:val="00773B49"/>
    <w:rsid w:val="00774FE4"/>
    <w:rsid w:val="0077608B"/>
    <w:rsid w:val="00776D32"/>
    <w:rsid w:val="00776F73"/>
    <w:rsid w:val="00777215"/>
    <w:rsid w:val="00777BA3"/>
    <w:rsid w:val="0078074F"/>
    <w:rsid w:val="0078111B"/>
    <w:rsid w:val="00781399"/>
    <w:rsid w:val="00781464"/>
    <w:rsid w:val="00782223"/>
    <w:rsid w:val="00782E3F"/>
    <w:rsid w:val="00783369"/>
    <w:rsid w:val="00783C12"/>
    <w:rsid w:val="007842C8"/>
    <w:rsid w:val="00785517"/>
    <w:rsid w:val="00785E15"/>
    <w:rsid w:val="00785F8F"/>
    <w:rsid w:val="0078602D"/>
    <w:rsid w:val="007868DC"/>
    <w:rsid w:val="0078694A"/>
    <w:rsid w:val="00786BF4"/>
    <w:rsid w:val="00787F57"/>
    <w:rsid w:val="007906B0"/>
    <w:rsid w:val="00795184"/>
    <w:rsid w:val="0079542C"/>
    <w:rsid w:val="007958B4"/>
    <w:rsid w:val="00795BBC"/>
    <w:rsid w:val="00795CA6"/>
    <w:rsid w:val="00795EED"/>
    <w:rsid w:val="00795F6B"/>
    <w:rsid w:val="00796C34"/>
    <w:rsid w:val="007A00DC"/>
    <w:rsid w:val="007A250A"/>
    <w:rsid w:val="007A2854"/>
    <w:rsid w:val="007A41B1"/>
    <w:rsid w:val="007A4843"/>
    <w:rsid w:val="007A49A0"/>
    <w:rsid w:val="007A64CF"/>
    <w:rsid w:val="007A7A75"/>
    <w:rsid w:val="007A7D86"/>
    <w:rsid w:val="007B1289"/>
    <w:rsid w:val="007B165C"/>
    <w:rsid w:val="007B31E6"/>
    <w:rsid w:val="007B32C1"/>
    <w:rsid w:val="007B4F71"/>
    <w:rsid w:val="007B6118"/>
    <w:rsid w:val="007B68A1"/>
    <w:rsid w:val="007B732D"/>
    <w:rsid w:val="007C156C"/>
    <w:rsid w:val="007C3F38"/>
    <w:rsid w:val="007C4EBB"/>
    <w:rsid w:val="007C5040"/>
    <w:rsid w:val="007C665E"/>
    <w:rsid w:val="007C6FB8"/>
    <w:rsid w:val="007C74FA"/>
    <w:rsid w:val="007D0186"/>
    <w:rsid w:val="007D163E"/>
    <w:rsid w:val="007D1ECB"/>
    <w:rsid w:val="007D2ECE"/>
    <w:rsid w:val="007D368B"/>
    <w:rsid w:val="007D505F"/>
    <w:rsid w:val="007D54C5"/>
    <w:rsid w:val="007D6A12"/>
    <w:rsid w:val="007D7505"/>
    <w:rsid w:val="007D7F17"/>
    <w:rsid w:val="007E01D3"/>
    <w:rsid w:val="007E04DF"/>
    <w:rsid w:val="007E0655"/>
    <w:rsid w:val="007E0E81"/>
    <w:rsid w:val="007E188B"/>
    <w:rsid w:val="007E35F9"/>
    <w:rsid w:val="007E36B2"/>
    <w:rsid w:val="007E4023"/>
    <w:rsid w:val="007E56B0"/>
    <w:rsid w:val="007F125C"/>
    <w:rsid w:val="007F14AB"/>
    <w:rsid w:val="007F2FF5"/>
    <w:rsid w:val="007F37BD"/>
    <w:rsid w:val="007F424B"/>
    <w:rsid w:val="007F74F6"/>
    <w:rsid w:val="00801A5F"/>
    <w:rsid w:val="008025FB"/>
    <w:rsid w:val="00802649"/>
    <w:rsid w:val="008038AD"/>
    <w:rsid w:val="00804F70"/>
    <w:rsid w:val="00805351"/>
    <w:rsid w:val="008059B3"/>
    <w:rsid w:val="008059BB"/>
    <w:rsid w:val="00805E3C"/>
    <w:rsid w:val="008060B4"/>
    <w:rsid w:val="0080740C"/>
    <w:rsid w:val="0081101D"/>
    <w:rsid w:val="00811752"/>
    <w:rsid w:val="00811B21"/>
    <w:rsid w:val="00811E68"/>
    <w:rsid w:val="0081316E"/>
    <w:rsid w:val="0081323E"/>
    <w:rsid w:val="00813435"/>
    <w:rsid w:val="008134FF"/>
    <w:rsid w:val="008141B7"/>
    <w:rsid w:val="0081534F"/>
    <w:rsid w:val="00815512"/>
    <w:rsid w:val="00815BED"/>
    <w:rsid w:val="00815EF2"/>
    <w:rsid w:val="008160D0"/>
    <w:rsid w:val="0081681C"/>
    <w:rsid w:val="00816BAB"/>
    <w:rsid w:val="008174A1"/>
    <w:rsid w:val="00817614"/>
    <w:rsid w:val="00817729"/>
    <w:rsid w:val="00820CB4"/>
    <w:rsid w:val="00822AF9"/>
    <w:rsid w:val="00823609"/>
    <w:rsid w:val="00823894"/>
    <w:rsid w:val="00823BF9"/>
    <w:rsid w:val="00825116"/>
    <w:rsid w:val="00826D42"/>
    <w:rsid w:val="00827387"/>
    <w:rsid w:val="00827990"/>
    <w:rsid w:val="00830348"/>
    <w:rsid w:val="00830A85"/>
    <w:rsid w:val="00830CBD"/>
    <w:rsid w:val="00830D7F"/>
    <w:rsid w:val="008310DA"/>
    <w:rsid w:val="008326DF"/>
    <w:rsid w:val="0083346C"/>
    <w:rsid w:val="008337AC"/>
    <w:rsid w:val="00834E4A"/>
    <w:rsid w:val="0083575C"/>
    <w:rsid w:val="00840655"/>
    <w:rsid w:val="00843332"/>
    <w:rsid w:val="00843DD5"/>
    <w:rsid w:val="008441B3"/>
    <w:rsid w:val="0084465B"/>
    <w:rsid w:val="00844F62"/>
    <w:rsid w:val="00845224"/>
    <w:rsid w:val="00845B00"/>
    <w:rsid w:val="00845DE1"/>
    <w:rsid w:val="008463F9"/>
    <w:rsid w:val="00847697"/>
    <w:rsid w:val="00847938"/>
    <w:rsid w:val="00851488"/>
    <w:rsid w:val="008527D5"/>
    <w:rsid w:val="00853297"/>
    <w:rsid w:val="008533A3"/>
    <w:rsid w:val="00853618"/>
    <w:rsid w:val="00856437"/>
    <w:rsid w:val="00860C6F"/>
    <w:rsid w:val="008619BA"/>
    <w:rsid w:val="00863DEF"/>
    <w:rsid w:val="008642CB"/>
    <w:rsid w:val="00865346"/>
    <w:rsid w:val="00865A26"/>
    <w:rsid w:val="00865C16"/>
    <w:rsid w:val="008662A5"/>
    <w:rsid w:val="008701E0"/>
    <w:rsid w:val="0087174F"/>
    <w:rsid w:val="00871DCC"/>
    <w:rsid w:val="0087545E"/>
    <w:rsid w:val="008755F7"/>
    <w:rsid w:val="0087578A"/>
    <w:rsid w:val="00876C95"/>
    <w:rsid w:val="00876F05"/>
    <w:rsid w:val="00880780"/>
    <w:rsid w:val="00880C40"/>
    <w:rsid w:val="00881516"/>
    <w:rsid w:val="0088287D"/>
    <w:rsid w:val="00883B2E"/>
    <w:rsid w:val="0088471C"/>
    <w:rsid w:val="00885BDA"/>
    <w:rsid w:val="00886B38"/>
    <w:rsid w:val="0088731C"/>
    <w:rsid w:val="00887761"/>
    <w:rsid w:val="00887F51"/>
    <w:rsid w:val="008912A0"/>
    <w:rsid w:val="0089169A"/>
    <w:rsid w:val="00891A21"/>
    <w:rsid w:val="00894A51"/>
    <w:rsid w:val="0089527E"/>
    <w:rsid w:val="008957E2"/>
    <w:rsid w:val="008A0BF5"/>
    <w:rsid w:val="008A1099"/>
    <w:rsid w:val="008A2E70"/>
    <w:rsid w:val="008A3C74"/>
    <w:rsid w:val="008A41AC"/>
    <w:rsid w:val="008A4E7A"/>
    <w:rsid w:val="008A501D"/>
    <w:rsid w:val="008A5511"/>
    <w:rsid w:val="008A645E"/>
    <w:rsid w:val="008A6FBA"/>
    <w:rsid w:val="008A74EA"/>
    <w:rsid w:val="008A77EE"/>
    <w:rsid w:val="008B03B1"/>
    <w:rsid w:val="008B0B77"/>
    <w:rsid w:val="008B101F"/>
    <w:rsid w:val="008B1FE2"/>
    <w:rsid w:val="008B3379"/>
    <w:rsid w:val="008B3CEB"/>
    <w:rsid w:val="008B443E"/>
    <w:rsid w:val="008B4F27"/>
    <w:rsid w:val="008B752F"/>
    <w:rsid w:val="008B7693"/>
    <w:rsid w:val="008C0D1C"/>
    <w:rsid w:val="008C1219"/>
    <w:rsid w:val="008C195B"/>
    <w:rsid w:val="008C22C8"/>
    <w:rsid w:val="008C232E"/>
    <w:rsid w:val="008C3109"/>
    <w:rsid w:val="008C4024"/>
    <w:rsid w:val="008C481A"/>
    <w:rsid w:val="008C4BA6"/>
    <w:rsid w:val="008C4D2E"/>
    <w:rsid w:val="008C4DB3"/>
    <w:rsid w:val="008C5167"/>
    <w:rsid w:val="008C5DE4"/>
    <w:rsid w:val="008C79D2"/>
    <w:rsid w:val="008D02CA"/>
    <w:rsid w:val="008D044F"/>
    <w:rsid w:val="008D0636"/>
    <w:rsid w:val="008D41C6"/>
    <w:rsid w:val="008D64BD"/>
    <w:rsid w:val="008E1317"/>
    <w:rsid w:val="008E1419"/>
    <w:rsid w:val="008E1921"/>
    <w:rsid w:val="008E1BEF"/>
    <w:rsid w:val="008E242F"/>
    <w:rsid w:val="008E265B"/>
    <w:rsid w:val="008E278B"/>
    <w:rsid w:val="008E2CD8"/>
    <w:rsid w:val="008E2E7E"/>
    <w:rsid w:val="008E3D5F"/>
    <w:rsid w:val="008E484E"/>
    <w:rsid w:val="008E5109"/>
    <w:rsid w:val="008E53C5"/>
    <w:rsid w:val="008E5C87"/>
    <w:rsid w:val="008E621F"/>
    <w:rsid w:val="008E6E66"/>
    <w:rsid w:val="008E7491"/>
    <w:rsid w:val="008E76C9"/>
    <w:rsid w:val="008F0BE0"/>
    <w:rsid w:val="008F0C2C"/>
    <w:rsid w:val="008F13CC"/>
    <w:rsid w:val="008F1934"/>
    <w:rsid w:val="008F289B"/>
    <w:rsid w:val="008F4AA5"/>
    <w:rsid w:val="008F4FC5"/>
    <w:rsid w:val="008F703C"/>
    <w:rsid w:val="00900D6F"/>
    <w:rsid w:val="00903532"/>
    <w:rsid w:val="00905284"/>
    <w:rsid w:val="00905DF4"/>
    <w:rsid w:val="00905E8D"/>
    <w:rsid w:val="00906166"/>
    <w:rsid w:val="00906F21"/>
    <w:rsid w:val="009076A7"/>
    <w:rsid w:val="009078DF"/>
    <w:rsid w:val="00910BFE"/>
    <w:rsid w:val="00911332"/>
    <w:rsid w:val="00911344"/>
    <w:rsid w:val="00912C73"/>
    <w:rsid w:val="00913255"/>
    <w:rsid w:val="00914759"/>
    <w:rsid w:val="00914D0C"/>
    <w:rsid w:val="009158E5"/>
    <w:rsid w:val="0091681A"/>
    <w:rsid w:val="00920AEF"/>
    <w:rsid w:val="00921AF7"/>
    <w:rsid w:val="00921C5D"/>
    <w:rsid w:val="009227A3"/>
    <w:rsid w:val="009238A9"/>
    <w:rsid w:val="009249C6"/>
    <w:rsid w:val="00924E55"/>
    <w:rsid w:val="00925AB0"/>
    <w:rsid w:val="009265C3"/>
    <w:rsid w:val="0092677C"/>
    <w:rsid w:val="009279E4"/>
    <w:rsid w:val="00927DBD"/>
    <w:rsid w:val="00930150"/>
    <w:rsid w:val="0093074A"/>
    <w:rsid w:val="00930B50"/>
    <w:rsid w:val="00932822"/>
    <w:rsid w:val="00932FE6"/>
    <w:rsid w:val="00933184"/>
    <w:rsid w:val="00933A99"/>
    <w:rsid w:val="00934715"/>
    <w:rsid w:val="0093527A"/>
    <w:rsid w:val="0093616B"/>
    <w:rsid w:val="009367D6"/>
    <w:rsid w:val="00936F89"/>
    <w:rsid w:val="00936FD1"/>
    <w:rsid w:val="0093727F"/>
    <w:rsid w:val="00937D2A"/>
    <w:rsid w:val="009410C4"/>
    <w:rsid w:val="0094225B"/>
    <w:rsid w:val="0094297F"/>
    <w:rsid w:val="00943505"/>
    <w:rsid w:val="009475CD"/>
    <w:rsid w:val="00947AEB"/>
    <w:rsid w:val="00947D10"/>
    <w:rsid w:val="00950415"/>
    <w:rsid w:val="009506DA"/>
    <w:rsid w:val="00951C09"/>
    <w:rsid w:val="00952156"/>
    <w:rsid w:val="00952A16"/>
    <w:rsid w:val="00952CA1"/>
    <w:rsid w:val="00953BEB"/>
    <w:rsid w:val="00953C00"/>
    <w:rsid w:val="00954A01"/>
    <w:rsid w:val="00954CBC"/>
    <w:rsid w:val="009568CE"/>
    <w:rsid w:val="00957295"/>
    <w:rsid w:val="00960466"/>
    <w:rsid w:val="00962586"/>
    <w:rsid w:val="00965F6C"/>
    <w:rsid w:val="00966813"/>
    <w:rsid w:val="009675A1"/>
    <w:rsid w:val="00970175"/>
    <w:rsid w:val="0097143A"/>
    <w:rsid w:val="0097174A"/>
    <w:rsid w:val="00971895"/>
    <w:rsid w:val="009722DB"/>
    <w:rsid w:val="0097384B"/>
    <w:rsid w:val="00973E2C"/>
    <w:rsid w:val="0097769F"/>
    <w:rsid w:val="00977924"/>
    <w:rsid w:val="00977F62"/>
    <w:rsid w:val="009801D9"/>
    <w:rsid w:val="0098136F"/>
    <w:rsid w:val="0098269C"/>
    <w:rsid w:val="009835C6"/>
    <w:rsid w:val="009849B9"/>
    <w:rsid w:val="00984A82"/>
    <w:rsid w:val="0098643D"/>
    <w:rsid w:val="0099021D"/>
    <w:rsid w:val="00990AD5"/>
    <w:rsid w:val="009922A9"/>
    <w:rsid w:val="0099350D"/>
    <w:rsid w:val="009936A9"/>
    <w:rsid w:val="00993EF3"/>
    <w:rsid w:val="00993FE1"/>
    <w:rsid w:val="00997B01"/>
    <w:rsid w:val="009A0557"/>
    <w:rsid w:val="009A083F"/>
    <w:rsid w:val="009A0A44"/>
    <w:rsid w:val="009A0C09"/>
    <w:rsid w:val="009A161F"/>
    <w:rsid w:val="009A1B1D"/>
    <w:rsid w:val="009A34BF"/>
    <w:rsid w:val="009A49A2"/>
    <w:rsid w:val="009A4E04"/>
    <w:rsid w:val="009A527C"/>
    <w:rsid w:val="009A782F"/>
    <w:rsid w:val="009B146D"/>
    <w:rsid w:val="009B16B6"/>
    <w:rsid w:val="009B1867"/>
    <w:rsid w:val="009B2A73"/>
    <w:rsid w:val="009B2CFD"/>
    <w:rsid w:val="009B3184"/>
    <w:rsid w:val="009B690E"/>
    <w:rsid w:val="009B6D83"/>
    <w:rsid w:val="009B71CA"/>
    <w:rsid w:val="009B7A28"/>
    <w:rsid w:val="009C152F"/>
    <w:rsid w:val="009C1A2C"/>
    <w:rsid w:val="009C3086"/>
    <w:rsid w:val="009C3CEF"/>
    <w:rsid w:val="009C4F6C"/>
    <w:rsid w:val="009C5776"/>
    <w:rsid w:val="009C59C7"/>
    <w:rsid w:val="009C5FA1"/>
    <w:rsid w:val="009D02A2"/>
    <w:rsid w:val="009D1730"/>
    <w:rsid w:val="009D1B05"/>
    <w:rsid w:val="009D1D01"/>
    <w:rsid w:val="009D1E53"/>
    <w:rsid w:val="009D2250"/>
    <w:rsid w:val="009D22C2"/>
    <w:rsid w:val="009D2AEA"/>
    <w:rsid w:val="009D2C46"/>
    <w:rsid w:val="009D3999"/>
    <w:rsid w:val="009D3B87"/>
    <w:rsid w:val="009D569F"/>
    <w:rsid w:val="009D6D4A"/>
    <w:rsid w:val="009E00EC"/>
    <w:rsid w:val="009E0277"/>
    <w:rsid w:val="009E1D8D"/>
    <w:rsid w:val="009E20C9"/>
    <w:rsid w:val="009E2315"/>
    <w:rsid w:val="009E4B2E"/>
    <w:rsid w:val="009E502C"/>
    <w:rsid w:val="009E53BB"/>
    <w:rsid w:val="009E5CFC"/>
    <w:rsid w:val="009E6CE9"/>
    <w:rsid w:val="009F14D3"/>
    <w:rsid w:val="009F3D16"/>
    <w:rsid w:val="009F41E8"/>
    <w:rsid w:val="009F468A"/>
    <w:rsid w:val="009F4955"/>
    <w:rsid w:val="009F5B61"/>
    <w:rsid w:val="00A00073"/>
    <w:rsid w:val="00A0031F"/>
    <w:rsid w:val="00A03B94"/>
    <w:rsid w:val="00A06332"/>
    <w:rsid w:val="00A069A9"/>
    <w:rsid w:val="00A114C8"/>
    <w:rsid w:val="00A11B5C"/>
    <w:rsid w:val="00A13F86"/>
    <w:rsid w:val="00A14524"/>
    <w:rsid w:val="00A15CDF"/>
    <w:rsid w:val="00A16C10"/>
    <w:rsid w:val="00A16E7E"/>
    <w:rsid w:val="00A1717D"/>
    <w:rsid w:val="00A179FF"/>
    <w:rsid w:val="00A20377"/>
    <w:rsid w:val="00A20F19"/>
    <w:rsid w:val="00A20F8F"/>
    <w:rsid w:val="00A2264B"/>
    <w:rsid w:val="00A22947"/>
    <w:rsid w:val="00A22E38"/>
    <w:rsid w:val="00A23330"/>
    <w:rsid w:val="00A23C49"/>
    <w:rsid w:val="00A255B5"/>
    <w:rsid w:val="00A26562"/>
    <w:rsid w:val="00A27DDF"/>
    <w:rsid w:val="00A27E16"/>
    <w:rsid w:val="00A3203A"/>
    <w:rsid w:val="00A33E7E"/>
    <w:rsid w:val="00A33EE7"/>
    <w:rsid w:val="00A34166"/>
    <w:rsid w:val="00A35FE0"/>
    <w:rsid w:val="00A36905"/>
    <w:rsid w:val="00A3690B"/>
    <w:rsid w:val="00A37C2F"/>
    <w:rsid w:val="00A37CC2"/>
    <w:rsid w:val="00A37D57"/>
    <w:rsid w:val="00A40FD9"/>
    <w:rsid w:val="00A413BA"/>
    <w:rsid w:val="00A4401D"/>
    <w:rsid w:val="00A44E47"/>
    <w:rsid w:val="00A45F91"/>
    <w:rsid w:val="00A45FE0"/>
    <w:rsid w:val="00A45FFC"/>
    <w:rsid w:val="00A467FD"/>
    <w:rsid w:val="00A47463"/>
    <w:rsid w:val="00A505B1"/>
    <w:rsid w:val="00A5178F"/>
    <w:rsid w:val="00A53A6A"/>
    <w:rsid w:val="00A53CA0"/>
    <w:rsid w:val="00A542BD"/>
    <w:rsid w:val="00A54381"/>
    <w:rsid w:val="00A559C6"/>
    <w:rsid w:val="00A55D40"/>
    <w:rsid w:val="00A567A1"/>
    <w:rsid w:val="00A568CF"/>
    <w:rsid w:val="00A56C8B"/>
    <w:rsid w:val="00A573B6"/>
    <w:rsid w:val="00A579F8"/>
    <w:rsid w:val="00A61E47"/>
    <w:rsid w:val="00A620DC"/>
    <w:rsid w:val="00A624D6"/>
    <w:rsid w:val="00A62B57"/>
    <w:rsid w:val="00A63330"/>
    <w:rsid w:val="00A64A18"/>
    <w:rsid w:val="00A64DF8"/>
    <w:rsid w:val="00A659B1"/>
    <w:rsid w:val="00A6634F"/>
    <w:rsid w:val="00A670B5"/>
    <w:rsid w:val="00A67740"/>
    <w:rsid w:val="00A70226"/>
    <w:rsid w:val="00A70A7F"/>
    <w:rsid w:val="00A70B95"/>
    <w:rsid w:val="00A713C7"/>
    <w:rsid w:val="00A71689"/>
    <w:rsid w:val="00A716CB"/>
    <w:rsid w:val="00A73ED6"/>
    <w:rsid w:val="00A73F0D"/>
    <w:rsid w:val="00A74682"/>
    <w:rsid w:val="00A747D5"/>
    <w:rsid w:val="00A74E86"/>
    <w:rsid w:val="00A75E07"/>
    <w:rsid w:val="00A77113"/>
    <w:rsid w:val="00A77F71"/>
    <w:rsid w:val="00A81271"/>
    <w:rsid w:val="00A8238A"/>
    <w:rsid w:val="00A84285"/>
    <w:rsid w:val="00A84903"/>
    <w:rsid w:val="00A84D13"/>
    <w:rsid w:val="00A84DF8"/>
    <w:rsid w:val="00A860B3"/>
    <w:rsid w:val="00A870CC"/>
    <w:rsid w:val="00A90FAC"/>
    <w:rsid w:val="00A92046"/>
    <w:rsid w:val="00A92E59"/>
    <w:rsid w:val="00A951BF"/>
    <w:rsid w:val="00A9589C"/>
    <w:rsid w:val="00A95C7A"/>
    <w:rsid w:val="00A968A2"/>
    <w:rsid w:val="00A978A0"/>
    <w:rsid w:val="00AA0B67"/>
    <w:rsid w:val="00AA1669"/>
    <w:rsid w:val="00AA16F8"/>
    <w:rsid w:val="00AA2589"/>
    <w:rsid w:val="00AA343F"/>
    <w:rsid w:val="00AA4577"/>
    <w:rsid w:val="00AA4DB7"/>
    <w:rsid w:val="00AA5EC5"/>
    <w:rsid w:val="00AA63B1"/>
    <w:rsid w:val="00AA65CC"/>
    <w:rsid w:val="00AA6A42"/>
    <w:rsid w:val="00AB0C0A"/>
    <w:rsid w:val="00AB1C3C"/>
    <w:rsid w:val="00AB4118"/>
    <w:rsid w:val="00AB6B44"/>
    <w:rsid w:val="00AB7279"/>
    <w:rsid w:val="00AC0556"/>
    <w:rsid w:val="00AC163A"/>
    <w:rsid w:val="00AC292C"/>
    <w:rsid w:val="00AC3B64"/>
    <w:rsid w:val="00AC4300"/>
    <w:rsid w:val="00AC5F0D"/>
    <w:rsid w:val="00AC6ACC"/>
    <w:rsid w:val="00AC6C51"/>
    <w:rsid w:val="00AC6FFE"/>
    <w:rsid w:val="00AC7479"/>
    <w:rsid w:val="00AC74D9"/>
    <w:rsid w:val="00AC7CAA"/>
    <w:rsid w:val="00AD0069"/>
    <w:rsid w:val="00AD122B"/>
    <w:rsid w:val="00AD1EB0"/>
    <w:rsid w:val="00AD2F45"/>
    <w:rsid w:val="00AD34B9"/>
    <w:rsid w:val="00AD4344"/>
    <w:rsid w:val="00AD56B5"/>
    <w:rsid w:val="00AD6408"/>
    <w:rsid w:val="00AD72F7"/>
    <w:rsid w:val="00AD7DC7"/>
    <w:rsid w:val="00AE1D65"/>
    <w:rsid w:val="00AE2530"/>
    <w:rsid w:val="00AE253D"/>
    <w:rsid w:val="00AE461B"/>
    <w:rsid w:val="00AE5D6A"/>
    <w:rsid w:val="00AE6E1C"/>
    <w:rsid w:val="00AF01DC"/>
    <w:rsid w:val="00AF1130"/>
    <w:rsid w:val="00AF12AF"/>
    <w:rsid w:val="00AF12E5"/>
    <w:rsid w:val="00AF2211"/>
    <w:rsid w:val="00AF2A72"/>
    <w:rsid w:val="00AF323B"/>
    <w:rsid w:val="00AF479C"/>
    <w:rsid w:val="00AF5ACF"/>
    <w:rsid w:val="00AF5C6D"/>
    <w:rsid w:val="00B010A2"/>
    <w:rsid w:val="00B01C86"/>
    <w:rsid w:val="00B03879"/>
    <w:rsid w:val="00B03DCC"/>
    <w:rsid w:val="00B04627"/>
    <w:rsid w:val="00B0494E"/>
    <w:rsid w:val="00B04F64"/>
    <w:rsid w:val="00B050CB"/>
    <w:rsid w:val="00B0510C"/>
    <w:rsid w:val="00B0634F"/>
    <w:rsid w:val="00B06C31"/>
    <w:rsid w:val="00B100C6"/>
    <w:rsid w:val="00B10806"/>
    <w:rsid w:val="00B130E9"/>
    <w:rsid w:val="00B13399"/>
    <w:rsid w:val="00B139B8"/>
    <w:rsid w:val="00B1405C"/>
    <w:rsid w:val="00B14533"/>
    <w:rsid w:val="00B147DF"/>
    <w:rsid w:val="00B14E09"/>
    <w:rsid w:val="00B15275"/>
    <w:rsid w:val="00B167FD"/>
    <w:rsid w:val="00B16D02"/>
    <w:rsid w:val="00B16FC4"/>
    <w:rsid w:val="00B178D1"/>
    <w:rsid w:val="00B206EE"/>
    <w:rsid w:val="00B2077A"/>
    <w:rsid w:val="00B20EEF"/>
    <w:rsid w:val="00B22013"/>
    <w:rsid w:val="00B22886"/>
    <w:rsid w:val="00B22DA7"/>
    <w:rsid w:val="00B238A7"/>
    <w:rsid w:val="00B23DA9"/>
    <w:rsid w:val="00B23F88"/>
    <w:rsid w:val="00B25C48"/>
    <w:rsid w:val="00B25FC1"/>
    <w:rsid w:val="00B30595"/>
    <w:rsid w:val="00B3191A"/>
    <w:rsid w:val="00B31B03"/>
    <w:rsid w:val="00B322BA"/>
    <w:rsid w:val="00B32DDA"/>
    <w:rsid w:val="00B33380"/>
    <w:rsid w:val="00B35498"/>
    <w:rsid w:val="00B35E4C"/>
    <w:rsid w:val="00B3798C"/>
    <w:rsid w:val="00B37F01"/>
    <w:rsid w:val="00B40777"/>
    <w:rsid w:val="00B41F8D"/>
    <w:rsid w:val="00B4202D"/>
    <w:rsid w:val="00B42312"/>
    <w:rsid w:val="00B439AE"/>
    <w:rsid w:val="00B43E02"/>
    <w:rsid w:val="00B45448"/>
    <w:rsid w:val="00B45AFE"/>
    <w:rsid w:val="00B46552"/>
    <w:rsid w:val="00B466C5"/>
    <w:rsid w:val="00B46954"/>
    <w:rsid w:val="00B50B66"/>
    <w:rsid w:val="00B51DC2"/>
    <w:rsid w:val="00B52157"/>
    <w:rsid w:val="00B5329D"/>
    <w:rsid w:val="00B53798"/>
    <w:rsid w:val="00B53CC8"/>
    <w:rsid w:val="00B55E4E"/>
    <w:rsid w:val="00B55EDA"/>
    <w:rsid w:val="00B60FB4"/>
    <w:rsid w:val="00B615CD"/>
    <w:rsid w:val="00B62689"/>
    <w:rsid w:val="00B62890"/>
    <w:rsid w:val="00B62977"/>
    <w:rsid w:val="00B6333B"/>
    <w:rsid w:val="00B6365E"/>
    <w:rsid w:val="00B6481E"/>
    <w:rsid w:val="00B64A31"/>
    <w:rsid w:val="00B64A84"/>
    <w:rsid w:val="00B66B37"/>
    <w:rsid w:val="00B6797B"/>
    <w:rsid w:val="00B70D19"/>
    <w:rsid w:val="00B7117B"/>
    <w:rsid w:val="00B71C72"/>
    <w:rsid w:val="00B721AF"/>
    <w:rsid w:val="00B72908"/>
    <w:rsid w:val="00B74497"/>
    <w:rsid w:val="00B75592"/>
    <w:rsid w:val="00B75622"/>
    <w:rsid w:val="00B75DCB"/>
    <w:rsid w:val="00B772EE"/>
    <w:rsid w:val="00B7787D"/>
    <w:rsid w:val="00B77B51"/>
    <w:rsid w:val="00B81C5F"/>
    <w:rsid w:val="00B823B3"/>
    <w:rsid w:val="00B83502"/>
    <w:rsid w:val="00B83E69"/>
    <w:rsid w:val="00B844F2"/>
    <w:rsid w:val="00B8497C"/>
    <w:rsid w:val="00B84D61"/>
    <w:rsid w:val="00B855CE"/>
    <w:rsid w:val="00B856AB"/>
    <w:rsid w:val="00B8762C"/>
    <w:rsid w:val="00B87751"/>
    <w:rsid w:val="00B9024C"/>
    <w:rsid w:val="00B90A51"/>
    <w:rsid w:val="00B91745"/>
    <w:rsid w:val="00B91B88"/>
    <w:rsid w:val="00B925EB"/>
    <w:rsid w:val="00B92995"/>
    <w:rsid w:val="00B92E64"/>
    <w:rsid w:val="00B92F31"/>
    <w:rsid w:val="00B93CF0"/>
    <w:rsid w:val="00B9425A"/>
    <w:rsid w:val="00B948E9"/>
    <w:rsid w:val="00B94D55"/>
    <w:rsid w:val="00B96252"/>
    <w:rsid w:val="00B966AC"/>
    <w:rsid w:val="00B96778"/>
    <w:rsid w:val="00B96E11"/>
    <w:rsid w:val="00B96E8B"/>
    <w:rsid w:val="00B970FC"/>
    <w:rsid w:val="00B97377"/>
    <w:rsid w:val="00B9746B"/>
    <w:rsid w:val="00B97CD9"/>
    <w:rsid w:val="00BA0873"/>
    <w:rsid w:val="00BA1081"/>
    <w:rsid w:val="00BA18E0"/>
    <w:rsid w:val="00BA21B7"/>
    <w:rsid w:val="00BA24E4"/>
    <w:rsid w:val="00BA2BAB"/>
    <w:rsid w:val="00BA459F"/>
    <w:rsid w:val="00BA564E"/>
    <w:rsid w:val="00BA5DDC"/>
    <w:rsid w:val="00BA6B5C"/>
    <w:rsid w:val="00BA7082"/>
    <w:rsid w:val="00BB073A"/>
    <w:rsid w:val="00BB2491"/>
    <w:rsid w:val="00BB3B2C"/>
    <w:rsid w:val="00BB3B89"/>
    <w:rsid w:val="00BB42D6"/>
    <w:rsid w:val="00BB4832"/>
    <w:rsid w:val="00BB4DF6"/>
    <w:rsid w:val="00BB51A1"/>
    <w:rsid w:val="00BB5276"/>
    <w:rsid w:val="00BC2D55"/>
    <w:rsid w:val="00BC43E8"/>
    <w:rsid w:val="00BC51B4"/>
    <w:rsid w:val="00BC529B"/>
    <w:rsid w:val="00BC6CCA"/>
    <w:rsid w:val="00BC6DDB"/>
    <w:rsid w:val="00BD0B2D"/>
    <w:rsid w:val="00BD2003"/>
    <w:rsid w:val="00BD2B39"/>
    <w:rsid w:val="00BD2BE1"/>
    <w:rsid w:val="00BD3624"/>
    <w:rsid w:val="00BD4E22"/>
    <w:rsid w:val="00BD5DE5"/>
    <w:rsid w:val="00BD6BDA"/>
    <w:rsid w:val="00BD77C0"/>
    <w:rsid w:val="00BE0CFC"/>
    <w:rsid w:val="00BE2452"/>
    <w:rsid w:val="00BE2714"/>
    <w:rsid w:val="00BE38E0"/>
    <w:rsid w:val="00BE4508"/>
    <w:rsid w:val="00BE570B"/>
    <w:rsid w:val="00BE5741"/>
    <w:rsid w:val="00BE5D17"/>
    <w:rsid w:val="00BE6021"/>
    <w:rsid w:val="00BE7536"/>
    <w:rsid w:val="00BF11D4"/>
    <w:rsid w:val="00BF205B"/>
    <w:rsid w:val="00BF2093"/>
    <w:rsid w:val="00BF292D"/>
    <w:rsid w:val="00BF39C6"/>
    <w:rsid w:val="00BF442F"/>
    <w:rsid w:val="00BF48BF"/>
    <w:rsid w:val="00BF4A06"/>
    <w:rsid w:val="00BF52BC"/>
    <w:rsid w:val="00BF53A8"/>
    <w:rsid w:val="00BF6C30"/>
    <w:rsid w:val="00BF6C4F"/>
    <w:rsid w:val="00BF6FC2"/>
    <w:rsid w:val="00BF754C"/>
    <w:rsid w:val="00BF7BDD"/>
    <w:rsid w:val="00BF7F8B"/>
    <w:rsid w:val="00C02216"/>
    <w:rsid w:val="00C04FDB"/>
    <w:rsid w:val="00C05A25"/>
    <w:rsid w:val="00C0631A"/>
    <w:rsid w:val="00C06E7B"/>
    <w:rsid w:val="00C117E5"/>
    <w:rsid w:val="00C12B9B"/>
    <w:rsid w:val="00C13DC5"/>
    <w:rsid w:val="00C14B25"/>
    <w:rsid w:val="00C154F6"/>
    <w:rsid w:val="00C15697"/>
    <w:rsid w:val="00C159A3"/>
    <w:rsid w:val="00C15A00"/>
    <w:rsid w:val="00C16004"/>
    <w:rsid w:val="00C16547"/>
    <w:rsid w:val="00C16557"/>
    <w:rsid w:val="00C16EB9"/>
    <w:rsid w:val="00C16FF0"/>
    <w:rsid w:val="00C1745D"/>
    <w:rsid w:val="00C202C5"/>
    <w:rsid w:val="00C22124"/>
    <w:rsid w:val="00C22AD4"/>
    <w:rsid w:val="00C25232"/>
    <w:rsid w:val="00C256F2"/>
    <w:rsid w:val="00C26C58"/>
    <w:rsid w:val="00C27A73"/>
    <w:rsid w:val="00C27BBC"/>
    <w:rsid w:val="00C30537"/>
    <w:rsid w:val="00C30F8A"/>
    <w:rsid w:val="00C32560"/>
    <w:rsid w:val="00C33FF5"/>
    <w:rsid w:val="00C34E8B"/>
    <w:rsid w:val="00C355BD"/>
    <w:rsid w:val="00C35984"/>
    <w:rsid w:val="00C35AF2"/>
    <w:rsid w:val="00C3620E"/>
    <w:rsid w:val="00C37DD9"/>
    <w:rsid w:val="00C413BD"/>
    <w:rsid w:val="00C41C24"/>
    <w:rsid w:val="00C422D5"/>
    <w:rsid w:val="00C440B2"/>
    <w:rsid w:val="00C45AA7"/>
    <w:rsid w:val="00C4631E"/>
    <w:rsid w:val="00C463AD"/>
    <w:rsid w:val="00C46C5C"/>
    <w:rsid w:val="00C46EB5"/>
    <w:rsid w:val="00C47A20"/>
    <w:rsid w:val="00C47D71"/>
    <w:rsid w:val="00C5075F"/>
    <w:rsid w:val="00C51B72"/>
    <w:rsid w:val="00C53E01"/>
    <w:rsid w:val="00C54041"/>
    <w:rsid w:val="00C54441"/>
    <w:rsid w:val="00C54988"/>
    <w:rsid w:val="00C55D3E"/>
    <w:rsid w:val="00C56A33"/>
    <w:rsid w:val="00C56CAA"/>
    <w:rsid w:val="00C5773A"/>
    <w:rsid w:val="00C60304"/>
    <w:rsid w:val="00C6065F"/>
    <w:rsid w:val="00C60D60"/>
    <w:rsid w:val="00C61C0C"/>
    <w:rsid w:val="00C640CE"/>
    <w:rsid w:val="00C67652"/>
    <w:rsid w:val="00C67E80"/>
    <w:rsid w:val="00C705AA"/>
    <w:rsid w:val="00C7152C"/>
    <w:rsid w:val="00C7157D"/>
    <w:rsid w:val="00C73F30"/>
    <w:rsid w:val="00C77B01"/>
    <w:rsid w:val="00C80590"/>
    <w:rsid w:val="00C80755"/>
    <w:rsid w:val="00C80B6E"/>
    <w:rsid w:val="00C8179E"/>
    <w:rsid w:val="00C81B09"/>
    <w:rsid w:val="00C82323"/>
    <w:rsid w:val="00C8305A"/>
    <w:rsid w:val="00C857FD"/>
    <w:rsid w:val="00C86E15"/>
    <w:rsid w:val="00C87AE7"/>
    <w:rsid w:val="00C905C9"/>
    <w:rsid w:val="00C91439"/>
    <w:rsid w:val="00C92791"/>
    <w:rsid w:val="00C92B31"/>
    <w:rsid w:val="00C966E0"/>
    <w:rsid w:val="00C96766"/>
    <w:rsid w:val="00C96DAA"/>
    <w:rsid w:val="00CA03B8"/>
    <w:rsid w:val="00CA0F3F"/>
    <w:rsid w:val="00CA1713"/>
    <w:rsid w:val="00CA2356"/>
    <w:rsid w:val="00CA29FB"/>
    <w:rsid w:val="00CA29FF"/>
    <w:rsid w:val="00CA334C"/>
    <w:rsid w:val="00CA387C"/>
    <w:rsid w:val="00CA39DD"/>
    <w:rsid w:val="00CA3CC2"/>
    <w:rsid w:val="00CA63FA"/>
    <w:rsid w:val="00CA6485"/>
    <w:rsid w:val="00CA660F"/>
    <w:rsid w:val="00CA672E"/>
    <w:rsid w:val="00CA739E"/>
    <w:rsid w:val="00CA7813"/>
    <w:rsid w:val="00CA7985"/>
    <w:rsid w:val="00CB0224"/>
    <w:rsid w:val="00CB08F1"/>
    <w:rsid w:val="00CB0BDB"/>
    <w:rsid w:val="00CB10EF"/>
    <w:rsid w:val="00CB12E8"/>
    <w:rsid w:val="00CB3471"/>
    <w:rsid w:val="00CB3654"/>
    <w:rsid w:val="00CB36DC"/>
    <w:rsid w:val="00CB41EC"/>
    <w:rsid w:val="00CB496D"/>
    <w:rsid w:val="00CB49D5"/>
    <w:rsid w:val="00CB4AED"/>
    <w:rsid w:val="00CB55F8"/>
    <w:rsid w:val="00CB571F"/>
    <w:rsid w:val="00CB6D51"/>
    <w:rsid w:val="00CB6E44"/>
    <w:rsid w:val="00CC0B1C"/>
    <w:rsid w:val="00CC1A43"/>
    <w:rsid w:val="00CC1CBD"/>
    <w:rsid w:val="00CC1EC1"/>
    <w:rsid w:val="00CC23FD"/>
    <w:rsid w:val="00CC3221"/>
    <w:rsid w:val="00CC327C"/>
    <w:rsid w:val="00CC34F0"/>
    <w:rsid w:val="00CC5E9B"/>
    <w:rsid w:val="00CC7B6C"/>
    <w:rsid w:val="00CD1742"/>
    <w:rsid w:val="00CD1D91"/>
    <w:rsid w:val="00CD2E55"/>
    <w:rsid w:val="00CD32BB"/>
    <w:rsid w:val="00CD35B9"/>
    <w:rsid w:val="00CD3D92"/>
    <w:rsid w:val="00CD5D12"/>
    <w:rsid w:val="00CD72D7"/>
    <w:rsid w:val="00CD77FF"/>
    <w:rsid w:val="00CE02AD"/>
    <w:rsid w:val="00CE104E"/>
    <w:rsid w:val="00CE16C4"/>
    <w:rsid w:val="00CE1703"/>
    <w:rsid w:val="00CE18F2"/>
    <w:rsid w:val="00CE3151"/>
    <w:rsid w:val="00CE3707"/>
    <w:rsid w:val="00CE41A2"/>
    <w:rsid w:val="00CE4555"/>
    <w:rsid w:val="00CE4BD1"/>
    <w:rsid w:val="00CE583A"/>
    <w:rsid w:val="00CE591B"/>
    <w:rsid w:val="00CE5D53"/>
    <w:rsid w:val="00CE635D"/>
    <w:rsid w:val="00CE658B"/>
    <w:rsid w:val="00CF00B7"/>
    <w:rsid w:val="00CF2552"/>
    <w:rsid w:val="00CF3EEB"/>
    <w:rsid w:val="00CF4217"/>
    <w:rsid w:val="00CF461F"/>
    <w:rsid w:val="00CF4A5C"/>
    <w:rsid w:val="00CF5D31"/>
    <w:rsid w:val="00CF61E0"/>
    <w:rsid w:val="00CF6A1A"/>
    <w:rsid w:val="00CF73CB"/>
    <w:rsid w:val="00D00D0C"/>
    <w:rsid w:val="00D00E7A"/>
    <w:rsid w:val="00D01711"/>
    <w:rsid w:val="00D01984"/>
    <w:rsid w:val="00D0204E"/>
    <w:rsid w:val="00D03B08"/>
    <w:rsid w:val="00D063D1"/>
    <w:rsid w:val="00D106F1"/>
    <w:rsid w:val="00D117D7"/>
    <w:rsid w:val="00D14450"/>
    <w:rsid w:val="00D14587"/>
    <w:rsid w:val="00D14914"/>
    <w:rsid w:val="00D14CEB"/>
    <w:rsid w:val="00D154BE"/>
    <w:rsid w:val="00D15A29"/>
    <w:rsid w:val="00D16C46"/>
    <w:rsid w:val="00D17448"/>
    <w:rsid w:val="00D22EA2"/>
    <w:rsid w:val="00D234D2"/>
    <w:rsid w:val="00D2389F"/>
    <w:rsid w:val="00D24C79"/>
    <w:rsid w:val="00D24F62"/>
    <w:rsid w:val="00D252E6"/>
    <w:rsid w:val="00D25569"/>
    <w:rsid w:val="00D302ED"/>
    <w:rsid w:val="00D30815"/>
    <w:rsid w:val="00D30B4B"/>
    <w:rsid w:val="00D324C0"/>
    <w:rsid w:val="00D327D9"/>
    <w:rsid w:val="00D3291D"/>
    <w:rsid w:val="00D3306D"/>
    <w:rsid w:val="00D33978"/>
    <w:rsid w:val="00D33FA6"/>
    <w:rsid w:val="00D34542"/>
    <w:rsid w:val="00D34E06"/>
    <w:rsid w:val="00D35369"/>
    <w:rsid w:val="00D3557F"/>
    <w:rsid w:val="00D370FE"/>
    <w:rsid w:val="00D37B19"/>
    <w:rsid w:val="00D37DB6"/>
    <w:rsid w:val="00D4416F"/>
    <w:rsid w:val="00D44CF1"/>
    <w:rsid w:val="00D45851"/>
    <w:rsid w:val="00D4604F"/>
    <w:rsid w:val="00D46140"/>
    <w:rsid w:val="00D47DEC"/>
    <w:rsid w:val="00D5112E"/>
    <w:rsid w:val="00D526A0"/>
    <w:rsid w:val="00D531B7"/>
    <w:rsid w:val="00D547F0"/>
    <w:rsid w:val="00D558FC"/>
    <w:rsid w:val="00D565E0"/>
    <w:rsid w:val="00D60202"/>
    <w:rsid w:val="00D603B6"/>
    <w:rsid w:val="00D62E52"/>
    <w:rsid w:val="00D637BD"/>
    <w:rsid w:val="00D63DE0"/>
    <w:rsid w:val="00D64551"/>
    <w:rsid w:val="00D64842"/>
    <w:rsid w:val="00D64F77"/>
    <w:rsid w:val="00D652DC"/>
    <w:rsid w:val="00D65D46"/>
    <w:rsid w:val="00D6672E"/>
    <w:rsid w:val="00D677EE"/>
    <w:rsid w:val="00D7046C"/>
    <w:rsid w:val="00D73D58"/>
    <w:rsid w:val="00D74440"/>
    <w:rsid w:val="00D74A4B"/>
    <w:rsid w:val="00D75212"/>
    <w:rsid w:val="00D76DA2"/>
    <w:rsid w:val="00D772DB"/>
    <w:rsid w:val="00D77661"/>
    <w:rsid w:val="00D80FA1"/>
    <w:rsid w:val="00D81B46"/>
    <w:rsid w:val="00D82613"/>
    <w:rsid w:val="00D82F50"/>
    <w:rsid w:val="00D8325C"/>
    <w:rsid w:val="00D84291"/>
    <w:rsid w:val="00D85683"/>
    <w:rsid w:val="00D869AC"/>
    <w:rsid w:val="00D87555"/>
    <w:rsid w:val="00D87A3E"/>
    <w:rsid w:val="00D904B6"/>
    <w:rsid w:val="00D909BA"/>
    <w:rsid w:val="00D90A10"/>
    <w:rsid w:val="00D91A51"/>
    <w:rsid w:val="00D92720"/>
    <w:rsid w:val="00D92836"/>
    <w:rsid w:val="00D929B7"/>
    <w:rsid w:val="00D929D1"/>
    <w:rsid w:val="00D95A63"/>
    <w:rsid w:val="00DA08F4"/>
    <w:rsid w:val="00DA0C61"/>
    <w:rsid w:val="00DA1F7F"/>
    <w:rsid w:val="00DA289A"/>
    <w:rsid w:val="00DA352A"/>
    <w:rsid w:val="00DA36F8"/>
    <w:rsid w:val="00DA3848"/>
    <w:rsid w:val="00DA4B2D"/>
    <w:rsid w:val="00DA4CAB"/>
    <w:rsid w:val="00DA678D"/>
    <w:rsid w:val="00DB120B"/>
    <w:rsid w:val="00DB1D16"/>
    <w:rsid w:val="00DB2149"/>
    <w:rsid w:val="00DB3C1E"/>
    <w:rsid w:val="00DB3F38"/>
    <w:rsid w:val="00DB4378"/>
    <w:rsid w:val="00DB484E"/>
    <w:rsid w:val="00DB4F03"/>
    <w:rsid w:val="00DB54ED"/>
    <w:rsid w:val="00DB6461"/>
    <w:rsid w:val="00DB6E46"/>
    <w:rsid w:val="00DB7384"/>
    <w:rsid w:val="00DB73B5"/>
    <w:rsid w:val="00DB7B98"/>
    <w:rsid w:val="00DC1A18"/>
    <w:rsid w:val="00DC2171"/>
    <w:rsid w:val="00DC3395"/>
    <w:rsid w:val="00DC377C"/>
    <w:rsid w:val="00DC5B05"/>
    <w:rsid w:val="00DC75E6"/>
    <w:rsid w:val="00DC7947"/>
    <w:rsid w:val="00DD0162"/>
    <w:rsid w:val="00DD0DA2"/>
    <w:rsid w:val="00DD0DB8"/>
    <w:rsid w:val="00DD1E22"/>
    <w:rsid w:val="00DD3F4D"/>
    <w:rsid w:val="00DD62E9"/>
    <w:rsid w:val="00DD66D0"/>
    <w:rsid w:val="00DD6733"/>
    <w:rsid w:val="00DD7719"/>
    <w:rsid w:val="00DD7C7E"/>
    <w:rsid w:val="00DD7D31"/>
    <w:rsid w:val="00DD7F11"/>
    <w:rsid w:val="00DE02D4"/>
    <w:rsid w:val="00DE2B9F"/>
    <w:rsid w:val="00DE314B"/>
    <w:rsid w:val="00DE39E7"/>
    <w:rsid w:val="00DE3FA5"/>
    <w:rsid w:val="00DE4147"/>
    <w:rsid w:val="00DE4F31"/>
    <w:rsid w:val="00DE4F6A"/>
    <w:rsid w:val="00DE50AE"/>
    <w:rsid w:val="00DE5261"/>
    <w:rsid w:val="00DE56D1"/>
    <w:rsid w:val="00DE5F4A"/>
    <w:rsid w:val="00DE6A10"/>
    <w:rsid w:val="00DE7132"/>
    <w:rsid w:val="00DF12FD"/>
    <w:rsid w:val="00DF1E36"/>
    <w:rsid w:val="00DF348A"/>
    <w:rsid w:val="00DF3541"/>
    <w:rsid w:val="00DF3720"/>
    <w:rsid w:val="00DF4366"/>
    <w:rsid w:val="00DF47B1"/>
    <w:rsid w:val="00DF4E7C"/>
    <w:rsid w:val="00DF5895"/>
    <w:rsid w:val="00DF5D18"/>
    <w:rsid w:val="00DF6206"/>
    <w:rsid w:val="00DF6BAA"/>
    <w:rsid w:val="00DF6E4E"/>
    <w:rsid w:val="00E00C66"/>
    <w:rsid w:val="00E02A7F"/>
    <w:rsid w:val="00E0495D"/>
    <w:rsid w:val="00E04CE1"/>
    <w:rsid w:val="00E064E3"/>
    <w:rsid w:val="00E0670B"/>
    <w:rsid w:val="00E06ABA"/>
    <w:rsid w:val="00E06D5F"/>
    <w:rsid w:val="00E07B11"/>
    <w:rsid w:val="00E07DC0"/>
    <w:rsid w:val="00E12176"/>
    <w:rsid w:val="00E122D7"/>
    <w:rsid w:val="00E12E31"/>
    <w:rsid w:val="00E12E41"/>
    <w:rsid w:val="00E13023"/>
    <w:rsid w:val="00E13A33"/>
    <w:rsid w:val="00E13F95"/>
    <w:rsid w:val="00E1418C"/>
    <w:rsid w:val="00E14302"/>
    <w:rsid w:val="00E14D49"/>
    <w:rsid w:val="00E154F5"/>
    <w:rsid w:val="00E15E97"/>
    <w:rsid w:val="00E17DE8"/>
    <w:rsid w:val="00E2044C"/>
    <w:rsid w:val="00E20A36"/>
    <w:rsid w:val="00E211C4"/>
    <w:rsid w:val="00E215A4"/>
    <w:rsid w:val="00E21906"/>
    <w:rsid w:val="00E22311"/>
    <w:rsid w:val="00E22DA7"/>
    <w:rsid w:val="00E23D12"/>
    <w:rsid w:val="00E26AA7"/>
    <w:rsid w:val="00E26BBF"/>
    <w:rsid w:val="00E2760C"/>
    <w:rsid w:val="00E27FE5"/>
    <w:rsid w:val="00E27FEA"/>
    <w:rsid w:val="00E3043A"/>
    <w:rsid w:val="00E306BA"/>
    <w:rsid w:val="00E30BFB"/>
    <w:rsid w:val="00E314BA"/>
    <w:rsid w:val="00E3162F"/>
    <w:rsid w:val="00E31A19"/>
    <w:rsid w:val="00E3345E"/>
    <w:rsid w:val="00E339F5"/>
    <w:rsid w:val="00E34549"/>
    <w:rsid w:val="00E35990"/>
    <w:rsid w:val="00E35A1A"/>
    <w:rsid w:val="00E35CDA"/>
    <w:rsid w:val="00E36B13"/>
    <w:rsid w:val="00E37914"/>
    <w:rsid w:val="00E40586"/>
    <w:rsid w:val="00E41E07"/>
    <w:rsid w:val="00E42654"/>
    <w:rsid w:val="00E428F7"/>
    <w:rsid w:val="00E434CC"/>
    <w:rsid w:val="00E43A21"/>
    <w:rsid w:val="00E44583"/>
    <w:rsid w:val="00E44737"/>
    <w:rsid w:val="00E456D2"/>
    <w:rsid w:val="00E45FAE"/>
    <w:rsid w:val="00E46816"/>
    <w:rsid w:val="00E46B0A"/>
    <w:rsid w:val="00E46F0D"/>
    <w:rsid w:val="00E473EF"/>
    <w:rsid w:val="00E4767A"/>
    <w:rsid w:val="00E50498"/>
    <w:rsid w:val="00E51CB4"/>
    <w:rsid w:val="00E530FF"/>
    <w:rsid w:val="00E53234"/>
    <w:rsid w:val="00E54F0B"/>
    <w:rsid w:val="00E55119"/>
    <w:rsid w:val="00E55BE9"/>
    <w:rsid w:val="00E603FA"/>
    <w:rsid w:val="00E61413"/>
    <w:rsid w:val="00E6248A"/>
    <w:rsid w:val="00E62493"/>
    <w:rsid w:val="00E629C5"/>
    <w:rsid w:val="00E62E20"/>
    <w:rsid w:val="00E63868"/>
    <w:rsid w:val="00E65ACA"/>
    <w:rsid w:val="00E66459"/>
    <w:rsid w:val="00E679BE"/>
    <w:rsid w:val="00E67C17"/>
    <w:rsid w:val="00E703DB"/>
    <w:rsid w:val="00E71168"/>
    <w:rsid w:val="00E71D37"/>
    <w:rsid w:val="00E72AE5"/>
    <w:rsid w:val="00E7482F"/>
    <w:rsid w:val="00E75EBB"/>
    <w:rsid w:val="00E76075"/>
    <w:rsid w:val="00E77A22"/>
    <w:rsid w:val="00E82446"/>
    <w:rsid w:val="00E83CC9"/>
    <w:rsid w:val="00E83F67"/>
    <w:rsid w:val="00E85123"/>
    <w:rsid w:val="00E8597B"/>
    <w:rsid w:val="00E85D68"/>
    <w:rsid w:val="00E904D6"/>
    <w:rsid w:val="00E92595"/>
    <w:rsid w:val="00E93285"/>
    <w:rsid w:val="00E938D2"/>
    <w:rsid w:val="00E94A55"/>
    <w:rsid w:val="00E95AC8"/>
    <w:rsid w:val="00E964C3"/>
    <w:rsid w:val="00E972CF"/>
    <w:rsid w:val="00E97E72"/>
    <w:rsid w:val="00EA0544"/>
    <w:rsid w:val="00EA07B8"/>
    <w:rsid w:val="00EA0C50"/>
    <w:rsid w:val="00EA11B7"/>
    <w:rsid w:val="00EA1DE7"/>
    <w:rsid w:val="00EA21C5"/>
    <w:rsid w:val="00EA2A9A"/>
    <w:rsid w:val="00EA2B0B"/>
    <w:rsid w:val="00EA3117"/>
    <w:rsid w:val="00EA35E1"/>
    <w:rsid w:val="00EA4933"/>
    <w:rsid w:val="00EA4FC0"/>
    <w:rsid w:val="00EA7AAB"/>
    <w:rsid w:val="00EA7C35"/>
    <w:rsid w:val="00EB060A"/>
    <w:rsid w:val="00EB0B29"/>
    <w:rsid w:val="00EB18D3"/>
    <w:rsid w:val="00EB1A80"/>
    <w:rsid w:val="00EB3F7F"/>
    <w:rsid w:val="00EB46BD"/>
    <w:rsid w:val="00EB5151"/>
    <w:rsid w:val="00EB582C"/>
    <w:rsid w:val="00EB595F"/>
    <w:rsid w:val="00EB5FEB"/>
    <w:rsid w:val="00EB665B"/>
    <w:rsid w:val="00EB6AA7"/>
    <w:rsid w:val="00EB7326"/>
    <w:rsid w:val="00EB7A73"/>
    <w:rsid w:val="00EB7BE5"/>
    <w:rsid w:val="00EB7FC3"/>
    <w:rsid w:val="00EC0AAD"/>
    <w:rsid w:val="00EC255E"/>
    <w:rsid w:val="00EC2778"/>
    <w:rsid w:val="00EC38F7"/>
    <w:rsid w:val="00EC7121"/>
    <w:rsid w:val="00EC7BEF"/>
    <w:rsid w:val="00ED120F"/>
    <w:rsid w:val="00ED20BC"/>
    <w:rsid w:val="00ED25EE"/>
    <w:rsid w:val="00ED2ABC"/>
    <w:rsid w:val="00ED30FE"/>
    <w:rsid w:val="00ED3B4E"/>
    <w:rsid w:val="00ED4661"/>
    <w:rsid w:val="00ED4674"/>
    <w:rsid w:val="00ED4BEB"/>
    <w:rsid w:val="00ED509F"/>
    <w:rsid w:val="00ED528F"/>
    <w:rsid w:val="00ED7483"/>
    <w:rsid w:val="00EE0A8D"/>
    <w:rsid w:val="00EE1D08"/>
    <w:rsid w:val="00EE4974"/>
    <w:rsid w:val="00EE4BCD"/>
    <w:rsid w:val="00EE4E17"/>
    <w:rsid w:val="00EE6A7B"/>
    <w:rsid w:val="00EE6DCD"/>
    <w:rsid w:val="00EE7DEA"/>
    <w:rsid w:val="00EE7FDF"/>
    <w:rsid w:val="00EF10BF"/>
    <w:rsid w:val="00EF126F"/>
    <w:rsid w:val="00EF15F0"/>
    <w:rsid w:val="00EF1E55"/>
    <w:rsid w:val="00EF2E4B"/>
    <w:rsid w:val="00EF3883"/>
    <w:rsid w:val="00EF3C36"/>
    <w:rsid w:val="00EF4F28"/>
    <w:rsid w:val="00EF56BA"/>
    <w:rsid w:val="00EF570B"/>
    <w:rsid w:val="00EF7391"/>
    <w:rsid w:val="00EF7BD3"/>
    <w:rsid w:val="00F0274B"/>
    <w:rsid w:val="00F02E74"/>
    <w:rsid w:val="00F040DE"/>
    <w:rsid w:val="00F04A2B"/>
    <w:rsid w:val="00F04AAE"/>
    <w:rsid w:val="00F06C58"/>
    <w:rsid w:val="00F06C94"/>
    <w:rsid w:val="00F12204"/>
    <w:rsid w:val="00F12403"/>
    <w:rsid w:val="00F12D26"/>
    <w:rsid w:val="00F12EFC"/>
    <w:rsid w:val="00F13380"/>
    <w:rsid w:val="00F1439E"/>
    <w:rsid w:val="00F14D9B"/>
    <w:rsid w:val="00F14E89"/>
    <w:rsid w:val="00F157D6"/>
    <w:rsid w:val="00F15D8C"/>
    <w:rsid w:val="00F15DF5"/>
    <w:rsid w:val="00F1641B"/>
    <w:rsid w:val="00F16E21"/>
    <w:rsid w:val="00F17922"/>
    <w:rsid w:val="00F211B8"/>
    <w:rsid w:val="00F21D86"/>
    <w:rsid w:val="00F23E72"/>
    <w:rsid w:val="00F23EA3"/>
    <w:rsid w:val="00F24587"/>
    <w:rsid w:val="00F2559A"/>
    <w:rsid w:val="00F25E1A"/>
    <w:rsid w:val="00F27D64"/>
    <w:rsid w:val="00F30170"/>
    <w:rsid w:val="00F3023F"/>
    <w:rsid w:val="00F30EDB"/>
    <w:rsid w:val="00F31582"/>
    <w:rsid w:val="00F31ACA"/>
    <w:rsid w:val="00F32053"/>
    <w:rsid w:val="00F333C5"/>
    <w:rsid w:val="00F340C4"/>
    <w:rsid w:val="00F34764"/>
    <w:rsid w:val="00F35283"/>
    <w:rsid w:val="00F35DBC"/>
    <w:rsid w:val="00F3633F"/>
    <w:rsid w:val="00F36847"/>
    <w:rsid w:val="00F37604"/>
    <w:rsid w:val="00F37629"/>
    <w:rsid w:val="00F37673"/>
    <w:rsid w:val="00F3775D"/>
    <w:rsid w:val="00F379B3"/>
    <w:rsid w:val="00F37F3B"/>
    <w:rsid w:val="00F40823"/>
    <w:rsid w:val="00F428CD"/>
    <w:rsid w:val="00F43FA8"/>
    <w:rsid w:val="00F4496D"/>
    <w:rsid w:val="00F45860"/>
    <w:rsid w:val="00F4602B"/>
    <w:rsid w:val="00F51243"/>
    <w:rsid w:val="00F51740"/>
    <w:rsid w:val="00F51F6D"/>
    <w:rsid w:val="00F535C1"/>
    <w:rsid w:val="00F556B4"/>
    <w:rsid w:val="00F56702"/>
    <w:rsid w:val="00F56B58"/>
    <w:rsid w:val="00F57B67"/>
    <w:rsid w:val="00F612DB"/>
    <w:rsid w:val="00F61BB7"/>
    <w:rsid w:val="00F61EA9"/>
    <w:rsid w:val="00F63ED7"/>
    <w:rsid w:val="00F64EC9"/>
    <w:rsid w:val="00F651A6"/>
    <w:rsid w:val="00F6681C"/>
    <w:rsid w:val="00F66F2E"/>
    <w:rsid w:val="00F7112B"/>
    <w:rsid w:val="00F73556"/>
    <w:rsid w:val="00F74F84"/>
    <w:rsid w:val="00F7636E"/>
    <w:rsid w:val="00F76CDF"/>
    <w:rsid w:val="00F77292"/>
    <w:rsid w:val="00F77710"/>
    <w:rsid w:val="00F77A29"/>
    <w:rsid w:val="00F80474"/>
    <w:rsid w:val="00F809EE"/>
    <w:rsid w:val="00F82189"/>
    <w:rsid w:val="00F8219F"/>
    <w:rsid w:val="00F82B15"/>
    <w:rsid w:val="00F82D52"/>
    <w:rsid w:val="00F832A2"/>
    <w:rsid w:val="00F8357D"/>
    <w:rsid w:val="00F83D5A"/>
    <w:rsid w:val="00F84367"/>
    <w:rsid w:val="00F84378"/>
    <w:rsid w:val="00F84A17"/>
    <w:rsid w:val="00F84EB1"/>
    <w:rsid w:val="00F85515"/>
    <w:rsid w:val="00F85655"/>
    <w:rsid w:val="00F85BD6"/>
    <w:rsid w:val="00F85C87"/>
    <w:rsid w:val="00F85F4A"/>
    <w:rsid w:val="00F873F0"/>
    <w:rsid w:val="00F911CF"/>
    <w:rsid w:val="00F9391C"/>
    <w:rsid w:val="00F946A3"/>
    <w:rsid w:val="00F94DF1"/>
    <w:rsid w:val="00F9680E"/>
    <w:rsid w:val="00F96E44"/>
    <w:rsid w:val="00F97E60"/>
    <w:rsid w:val="00FA0673"/>
    <w:rsid w:val="00FA2CC4"/>
    <w:rsid w:val="00FA2FDD"/>
    <w:rsid w:val="00FA4A47"/>
    <w:rsid w:val="00FA4D59"/>
    <w:rsid w:val="00FA5007"/>
    <w:rsid w:val="00FA667F"/>
    <w:rsid w:val="00FA714F"/>
    <w:rsid w:val="00FB13AB"/>
    <w:rsid w:val="00FB14D6"/>
    <w:rsid w:val="00FB2240"/>
    <w:rsid w:val="00FB31B9"/>
    <w:rsid w:val="00FB5229"/>
    <w:rsid w:val="00FB531C"/>
    <w:rsid w:val="00FB67CC"/>
    <w:rsid w:val="00FB7CFC"/>
    <w:rsid w:val="00FC003B"/>
    <w:rsid w:val="00FC1040"/>
    <w:rsid w:val="00FC1975"/>
    <w:rsid w:val="00FC1BF5"/>
    <w:rsid w:val="00FC1D84"/>
    <w:rsid w:val="00FC2078"/>
    <w:rsid w:val="00FC21B6"/>
    <w:rsid w:val="00FC223D"/>
    <w:rsid w:val="00FC3460"/>
    <w:rsid w:val="00FC5063"/>
    <w:rsid w:val="00FC5AA5"/>
    <w:rsid w:val="00FC5CAC"/>
    <w:rsid w:val="00FC6F74"/>
    <w:rsid w:val="00FD0A33"/>
    <w:rsid w:val="00FD0DE2"/>
    <w:rsid w:val="00FD116A"/>
    <w:rsid w:val="00FD11E8"/>
    <w:rsid w:val="00FD14B2"/>
    <w:rsid w:val="00FD45B4"/>
    <w:rsid w:val="00FD46D5"/>
    <w:rsid w:val="00FD5294"/>
    <w:rsid w:val="00FD7F72"/>
    <w:rsid w:val="00FE02C0"/>
    <w:rsid w:val="00FE17ED"/>
    <w:rsid w:val="00FE1B32"/>
    <w:rsid w:val="00FE253F"/>
    <w:rsid w:val="00FE424E"/>
    <w:rsid w:val="00FE6A41"/>
    <w:rsid w:val="00FE7C04"/>
    <w:rsid w:val="00FF1241"/>
    <w:rsid w:val="00FF2A68"/>
    <w:rsid w:val="00FF3AF8"/>
    <w:rsid w:val="00FF5020"/>
    <w:rsid w:val="00FF5FF6"/>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0891A"/>
  <w15:docId w15:val="{3284788B-7DDB-425E-A1CE-5476C1E1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1AF7"/>
    <w:pPr>
      <w:spacing w:before="100" w:beforeAutospacing="1" w:after="100" w:afterAutospacing="1"/>
    </w:p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qFormat/>
    <w:rsid w:val="00921AF7"/>
    <w:rPr>
      <w:sz w:val="20"/>
      <w:szCs w:val="20"/>
    </w:rPr>
  </w:style>
  <w:style w:type="character" w:styleId="FootnoteReference">
    <w:name w:val="footnote reference"/>
    <w:basedOn w:val="DefaultParagraphFont"/>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1"/>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uiPriority w:val="20"/>
    <w:qFormat/>
    <w:rsid w:val="00E434CC"/>
    <w:rPr>
      <w:i/>
      <w:iCs/>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paragraph" w:customStyle="1" w:styleId="TxBrp7">
    <w:name w:val="TxBr_p7"/>
    <w:basedOn w:val="Normal"/>
    <w:rsid w:val="00140ADB"/>
    <w:pPr>
      <w:widowControl w:val="0"/>
      <w:tabs>
        <w:tab w:val="left" w:pos="600"/>
        <w:tab w:val="left" w:pos="1031"/>
      </w:tabs>
      <w:autoSpaceDE w:val="0"/>
      <w:autoSpaceDN w:val="0"/>
      <w:adjustRightInd w:val="0"/>
      <w:spacing w:line="249" w:lineRule="atLeast"/>
      <w:ind w:left="1031" w:hanging="430"/>
    </w:pPr>
  </w:style>
  <w:style w:type="paragraph" w:customStyle="1" w:styleId="ParaTab1">
    <w:name w:val="ParaTab 1"/>
    <w:rsid w:val="00F0274B"/>
    <w:pPr>
      <w:tabs>
        <w:tab w:val="left" w:pos="-720"/>
      </w:tabs>
      <w:suppressAutoHyphens/>
      <w:autoSpaceDE w:val="0"/>
      <w:autoSpaceDN w:val="0"/>
      <w:ind w:firstLine="1440"/>
    </w:pPr>
    <w:rPr>
      <w:rFonts w:ascii="CG Times" w:hAnsi="CG Times" w:cs="CG Times"/>
      <w:sz w:val="24"/>
      <w:szCs w:val="24"/>
    </w:rPr>
  </w:style>
  <w:style w:type="paragraph" w:styleId="EndnoteText">
    <w:name w:val="endnote text"/>
    <w:basedOn w:val="Normal"/>
    <w:link w:val="EndnoteTextChar"/>
    <w:rsid w:val="005B3018"/>
    <w:pPr>
      <w:spacing w:line="240" w:lineRule="auto"/>
    </w:pPr>
    <w:rPr>
      <w:sz w:val="20"/>
      <w:szCs w:val="20"/>
    </w:rPr>
  </w:style>
  <w:style w:type="character" w:customStyle="1" w:styleId="EndnoteTextChar">
    <w:name w:val="Endnote Text Char"/>
    <w:basedOn w:val="DefaultParagraphFont"/>
    <w:link w:val="EndnoteText"/>
    <w:rsid w:val="005B3018"/>
  </w:style>
  <w:style w:type="character" w:styleId="EndnoteReference">
    <w:name w:val="endnote reference"/>
    <w:basedOn w:val="DefaultParagraphFont"/>
    <w:rsid w:val="005B3018"/>
    <w:rPr>
      <w:vertAlign w:val="superscript"/>
    </w:rPr>
  </w:style>
  <w:style w:type="character" w:styleId="Hyperlink">
    <w:name w:val="Hyperlink"/>
    <w:rsid w:val="00750A74"/>
    <w:rPr>
      <w:color w:val="0000FF"/>
      <w:u w:val="single"/>
    </w:rPr>
  </w:style>
  <w:style w:type="character" w:customStyle="1" w:styleId="term1">
    <w:name w:val="term1"/>
    <w:basedOn w:val="DefaultParagraphFont"/>
    <w:rsid w:val="00750A74"/>
    <w:rPr>
      <w:b/>
      <w:bCs/>
    </w:rPr>
  </w:style>
  <w:style w:type="character" w:customStyle="1" w:styleId="documentbody">
    <w:name w:val="documentbody"/>
    <w:basedOn w:val="DefaultParagraphFont"/>
    <w:rsid w:val="00750A74"/>
  </w:style>
  <w:style w:type="table" w:customStyle="1" w:styleId="TableGrid2">
    <w:name w:val="Table Grid2"/>
    <w:basedOn w:val="TableNormal"/>
    <w:next w:val="TableGrid"/>
    <w:rsid w:val="00270EB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215785">
      <w:bodyDiv w:val="1"/>
      <w:marLeft w:val="0"/>
      <w:marRight w:val="0"/>
      <w:marTop w:val="0"/>
      <w:marBottom w:val="0"/>
      <w:divBdr>
        <w:top w:val="none" w:sz="0" w:space="0" w:color="auto"/>
        <w:left w:val="none" w:sz="0" w:space="0" w:color="auto"/>
        <w:bottom w:val="none" w:sz="0" w:space="0" w:color="auto"/>
        <w:right w:val="none" w:sz="0" w:space="0" w:color="auto"/>
      </w:divBdr>
    </w:div>
    <w:div w:id="1780832149">
      <w:bodyDiv w:val="1"/>
      <w:marLeft w:val="0"/>
      <w:marRight w:val="0"/>
      <w:marTop w:val="0"/>
      <w:marBottom w:val="0"/>
      <w:divBdr>
        <w:top w:val="none" w:sz="0" w:space="0" w:color="auto"/>
        <w:left w:val="none" w:sz="0" w:space="0" w:color="auto"/>
        <w:bottom w:val="none" w:sz="0" w:space="0" w:color="auto"/>
        <w:right w:val="none" w:sz="0" w:space="0" w:color="auto"/>
      </w:divBdr>
      <w:divsChild>
        <w:div w:id="1206484530">
          <w:marLeft w:val="0"/>
          <w:marRight w:val="0"/>
          <w:marTop w:val="0"/>
          <w:marBottom w:val="0"/>
          <w:divBdr>
            <w:top w:val="none" w:sz="0" w:space="0" w:color="auto"/>
            <w:left w:val="none" w:sz="0" w:space="0" w:color="auto"/>
            <w:bottom w:val="none" w:sz="0" w:space="0" w:color="auto"/>
            <w:right w:val="none" w:sz="0" w:space="0" w:color="auto"/>
          </w:divBdr>
          <w:divsChild>
            <w:div w:id="1122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04FB-50EC-4EBD-A78B-B4E93BF6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5198</Words>
  <Characters>29633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34762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Sheffer, Ryan</cp:lastModifiedBy>
  <cp:revision>3</cp:revision>
  <cp:lastPrinted>2019-03-26T12:43:00Z</cp:lastPrinted>
  <dcterms:created xsi:type="dcterms:W3CDTF">2019-03-27T20:22:00Z</dcterms:created>
  <dcterms:modified xsi:type="dcterms:W3CDTF">2019-03-28T11:39:00Z</dcterms:modified>
</cp:coreProperties>
</file>