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44E5D" w14:textId="77777777" w:rsidR="004716C9" w:rsidRPr="00A9787D" w:rsidRDefault="004716C9" w:rsidP="00065CA5">
      <w:pPr>
        <w:widowControl/>
        <w:tabs>
          <w:tab w:val="center" w:pos="4680"/>
        </w:tabs>
        <w:suppressAutoHyphens/>
        <w:jc w:val="center"/>
        <w:rPr>
          <w:b/>
          <w:sz w:val="26"/>
          <w:szCs w:val="26"/>
        </w:rPr>
      </w:pPr>
      <w:r w:rsidRPr="00A9787D">
        <w:rPr>
          <w:b/>
          <w:sz w:val="26"/>
          <w:szCs w:val="26"/>
        </w:rPr>
        <w:t>PENNSYLVANIA</w:t>
      </w:r>
    </w:p>
    <w:p w14:paraId="271F216D" w14:textId="77777777" w:rsidR="004716C9" w:rsidRPr="00A9787D" w:rsidRDefault="004716C9" w:rsidP="00065CA5">
      <w:pPr>
        <w:widowControl/>
        <w:tabs>
          <w:tab w:val="center" w:pos="4680"/>
        </w:tabs>
        <w:suppressAutoHyphens/>
        <w:jc w:val="center"/>
        <w:rPr>
          <w:sz w:val="26"/>
          <w:szCs w:val="26"/>
        </w:rPr>
      </w:pPr>
      <w:r w:rsidRPr="00A9787D">
        <w:rPr>
          <w:b/>
          <w:sz w:val="26"/>
          <w:szCs w:val="26"/>
        </w:rPr>
        <w:t>PUBLIC UTILITY COMMISSION</w:t>
      </w:r>
    </w:p>
    <w:p w14:paraId="70521728" w14:textId="77777777" w:rsidR="004716C9" w:rsidRPr="00A9787D" w:rsidRDefault="004716C9" w:rsidP="00065CA5">
      <w:pPr>
        <w:widowControl/>
        <w:tabs>
          <w:tab w:val="center" w:pos="4680"/>
        </w:tabs>
        <w:suppressAutoHyphens/>
        <w:jc w:val="center"/>
        <w:rPr>
          <w:sz w:val="26"/>
          <w:szCs w:val="26"/>
        </w:rPr>
      </w:pPr>
      <w:r w:rsidRPr="00A9787D">
        <w:rPr>
          <w:b/>
          <w:sz w:val="26"/>
          <w:szCs w:val="26"/>
        </w:rPr>
        <w:t>Harrisburg, PA 17105-3265</w:t>
      </w:r>
    </w:p>
    <w:p w14:paraId="184F3B17" w14:textId="77777777" w:rsidR="004716C9" w:rsidRPr="00A9787D" w:rsidRDefault="004716C9" w:rsidP="00065CA5">
      <w:pPr>
        <w:widowControl/>
        <w:tabs>
          <w:tab w:val="left" w:pos="-720"/>
        </w:tabs>
        <w:suppressAutoHyphens/>
        <w:rPr>
          <w:sz w:val="26"/>
          <w:szCs w:val="26"/>
        </w:rPr>
      </w:pPr>
    </w:p>
    <w:p w14:paraId="329AA804" w14:textId="77777777" w:rsidR="004716C9" w:rsidRPr="00A9787D" w:rsidRDefault="004716C9" w:rsidP="00065CA5">
      <w:pPr>
        <w:widowControl/>
        <w:rPr>
          <w:sz w:val="26"/>
          <w:szCs w:val="26"/>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4362"/>
      </w:tblGrid>
      <w:tr w:rsidR="004716C9" w:rsidRPr="00A9787D" w14:paraId="0B57BFBF" w14:textId="77777777" w:rsidTr="00065CA5">
        <w:trPr>
          <w:trHeight w:val="747"/>
        </w:trPr>
        <w:tc>
          <w:tcPr>
            <w:tcW w:w="5268" w:type="dxa"/>
          </w:tcPr>
          <w:p w14:paraId="722C5FF1" w14:textId="77777777" w:rsidR="004716C9" w:rsidRPr="00A9787D" w:rsidRDefault="004716C9" w:rsidP="00065CA5">
            <w:pPr>
              <w:widowControl/>
              <w:rPr>
                <w:sz w:val="26"/>
                <w:szCs w:val="26"/>
              </w:rPr>
            </w:pPr>
          </w:p>
        </w:tc>
        <w:tc>
          <w:tcPr>
            <w:tcW w:w="4362" w:type="dxa"/>
          </w:tcPr>
          <w:p w14:paraId="2B698D20" w14:textId="77777777" w:rsidR="004716C9" w:rsidRPr="00A9787D" w:rsidRDefault="004716C9" w:rsidP="00065CA5">
            <w:pPr>
              <w:widowControl/>
              <w:rPr>
                <w:sz w:val="26"/>
                <w:szCs w:val="26"/>
              </w:rPr>
            </w:pPr>
            <w:r>
              <w:rPr>
                <w:sz w:val="26"/>
                <w:szCs w:val="26"/>
              </w:rPr>
              <w:t>Public Meeting held February 28, 2019</w:t>
            </w:r>
          </w:p>
        </w:tc>
      </w:tr>
      <w:tr w:rsidR="004716C9" w:rsidRPr="00A9787D" w14:paraId="7D8E8DA2" w14:textId="77777777" w:rsidTr="00065CA5">
        <w:trPr>
          <w:trHeight w:val="2663"/>
        </w:trPr>
        <w:tc>
          <w:tcPr>
            <w:tcW w:w="5268" w:type="dxa"/>
          </w:tcPr>
          <w:p w14:paraId="4063C1ED" w14:textId="77777777" w:rsidR="004716C9" w:rsidRDefault="004716C9" w:rsidP="00065CA5">
            <w:pPr>
              <w:widowControl/>
              <w:rPr>
                <w:sz w:val="26"/>
                <w:szCs w:val="26"/>
              </w:rPr>
            </w:pPr>
            <w:r w:rsidRPr="00A9787D">
              <w:rPr>
                <w:sz w:val="26"/>
                <w:szCs w:val="26"/>
              </w:rPr>
              <w:t>Commissioners Present:</w:t>
            </w:r>
          </w:p>
          <w:p w14:paraId="4E137C23" w14:textId="77777777" w:rsidR="004716C9" w:rsidRPr="00A9787D" w:rsidRDefault="004716C9" w:rsidP="00065CA5">
            <w:pPr>
              <w:widowControl/>
              <w:rPr>
                <w:sz w:val="26"/>
                <w:szCs w:val="26"/>
              </w:rPr>
            </w:pPr>
          </w:p>
          <w:p w14:paraId="5C8E18CA" w14:textId="77777777" w:rsidR="004716C9" w:rsidRPr="004716C9" w:rsidRDefault="004716C9" w:rsidP="00065CA5">
            <w:pPr>
              <w:widowControl/>
              <w:tabs>
                <w:tab w:val="left" w:pos="705"/>
              </w:tabs>
              <w:ind w:firstLine="720"/>
              <w:rPr>
                <w:rFonts w:eastAsia="Calibri"/>
                <w:sz w:val="26"/>
                <w:szCs w:val="26"/>
              </w:rPr>
            </w:pPr>
            <w:r w:rsidRPr="004716C9">
              <w:rPr>
                <w:rFonts w:eastAsia="Calibri"/>
                <w:sz w:val="26"/>
                <w:szCs w:val="26"/>
              </w:rPr>
              <w:t>Gladys M. Brown, Chairman</w:t>
            </w:r>
          </w:p>
          <w:p w14:paraId="5259E190" w14:textId="77777777" w:rsidR="004716C9" w:rsidRPr="004716C9" w:rsidRDefault="004716C9" w:rsidP="00065CA5">
            <w:pPr>
              <w:widowControl/>
              <w:tabs>
                <w:tab w:val="left" w:pos="705"/>
              </w:tabs>
              <w:ind w:firstLine="720"/>
              <w:rPr>
                <w:rFonts w:eastAsia="Calibri"/>
                <w:sz w:val="26"/>
                <w:szCs w:val="26"/>
              </w:rPr>
            </w:pPr>
            <w:r w:rsidRPr="004716C9">
              <w:rPr>
                <w:rFonts w:eastAsia="Calibri"/>
                <w:sz w:val="26"/>
                <w:szCs w:val="26"/>
              </w:rPr>
              <w:t>David W. Sweet, Vice Chairman</w:t>
            </w:r>
          </w:p>
          <w:p w14:paraId="5D2F2588" w14:textId="77777777" w:rsidR="004716C9" w:rsidRPr="004716C9" w:rsidRDefault="004716C9" w:rsidP="00065CA5">
            <w:pPr>
              <w:widowControl/>
              <w:tabs>
                <w:tab w:val="left" w:pos="705"/>
              </w:tabs>
              <w:ind w:firstLine="720"/>
              <w:rPr>
                <w:rFonts w:eastAsia="Calibri"/>
                <w:sz w:val="26"/>
                <w:szCs w:val="26"/>
              </w:rPr>
            </w:pPr>
            <w:r w:rsidRPr="004716C9">
              <w:rPr>
                <w:rFonts w:eastAsia="Calibri"/>
                <w:sz w:val="26"/>
                <w:szCs w:val="26"/>
              </w:rPr>
              <w:t>Norman J. Kennard</w:t>
            </w:r>
          </w:p>
          <w:p w14:paraId="74BFB289" w14:textId="081DC2C3" w:rsidR="004716C9" w:rsidRPr="004716C9" w:rsidRDefault="004716C9" w:rsidP="00065CA5">
            <w:pPr>
              <w:widowControl/>
              <w:tabs>
                <w:tab w:val="left" w:pos="705"/>
              </w:tabs>
              <w:ind w:firstLine="720"/>
              <w:rPr>
                <w:rFonts w:eastAsia="Calibri"/>
                <w:sz w:val="26"/>
                <w:szCs w:val="26"/>
              </w:rPr>
            </w:pPr>
            <w:r w:rsidRPr="004716C9">
              <w:rPr>
                <w:rFonts w:eastAsia="Calibri"/>
                <w:sz w:val="26"/>
                <w:szCs w:val="26"/>
              </w:rPr>
              <w:t>Andrew G. Place,</w:t>
            </w:r>
          </w:p>
          <w:p w14:paraId="793133B1" w14:textId="77777777" w:rsidR="004716C9" w:rsidRPr="004716C9" w:rsidRDefault="004716C9" w:rsidP="00065CA5">
            <w:pPr>
              <w:widowControl/>
              <w:tabs>
                <w:tab w:val="left" w:pos="705"/>
              </w:tabs>
              <w:ind w:firstLine="720"/>
              <w:rPr>
                <w:rFonts w:eastAsia="Calibri"/>
                <w:sz w:val="26"/>
                <w:szCs w:val="26"/>
              </w:rPr>
            </w:pPr>
            <w:r w:rsidRPr="004716C9">
              <w:rPr>
                <w:rFonts w:eastAsia="Calibri"/>
                <w:sz w:val="26"/>
                <w:szCs w:val="26"/>
              </w:rPr>
              <w:t>John F. Coleman, Jr.</w:t>
            </w:r>
          </w:p>
          <w:p w14:paraId="6F990C4D" w14:textId="77777777" w:rsidR="004716C9" w:rsidRPr="00A9787D" w:rsidRDefault="004716C9" w:rsidP="00065CA5">
            <w:pPr>
              <w:widowControl/>
              <w:rPr>
                <w:sz w:val="26"/>
                <w:szCs w:val="26"/>
              </w:rPr>
            </w:pPr>
          </w:p>
        </w:tc>
        <w:tc>
          <w:tcPr>
            <w:tcW w:w="4362" w:type="dxa"/>
          </w:tcPr>
          <w:p w14:paraId="5D79E1AE" w14:textId="77777777" w:rsidR="004716C9" w:rsidRPr="00A9787D" w:rsidRDefault="004716C9" w:rsidP="00065CA5">
            <w:pPr>
              <w:widowControl/>
              <w:jc w:val="right"/>
              <w:rPr>
                <w:sz w:val="26"/>
                <w:szCs w:val="26"/>
              </w:rPr>
            </w:pPr>
          </w:p>
          <w:p w14:paraId="27D3A5DB" w14:textId="77777777" w:rsidR="004716C9" w:rsidRPr="00A9787D" w:rsidRDefault="004716C9" w:rsidP="00065CA5">
            <w:pPr>
              <w:widowControl/>
              <w:jc w:val="right"/>
              <w:rPr>
                <w:sz w:val="26"/>
                <w:szCs w:val="26"/>
              </w:rPr>
            </w:pPr>
          </w:p>
        </w:tc>
      </w:tr>
      <w:tr w:rsidR="004716C9" w:rsidRPr="00A9787D" w14:paraId="552C7B11" w14:textId="77777777" w:rsidTr="00065CA5">
        <w:trPr>
          <w:trHeight w:val="669"/>
        </w:trPr>
        <w:tc>
          <w:tcPr>
            <w:tcW w:w="5268" w:type="dxa"/>
          </w:tcPr>
          <w:p w14:paraId="60DC8034" w14:textId="77777777" w:rsidR="00065CA5" w:rsidRDefault="004716C9" w:rsidP="00065CA5">
            <w:pPr>
              <w:widowControl/>
              <w:rPr>
                <w:sz w:val="26"/>
                <w:szCs w:val="26"/>
              </w:rPr>
            </w:pPr>
            <w:r>
              <w:rPr>
                <w:sz w:val="26"/>
                <w:szCs w:val="26"/>
              </w:rPr>
              <w:t>Cynthia Oduwole</w:t>
            </w:r>
            <w:r w:rsidRPr="000B5A3D">
              <w:rPr>
                <w:sz w:val="26"/>
                <w:szCs w:val="26"/>
              </w:rPr>
              <w:t xml:space="preserve"> </w:t>
            </w:r>
          </w:p>
          <w:p w14:paraId="062F2A94" w14:textId="77777777" w:rsidR="00065CA5" w:rsidRDefault="00065CA5" w:rsidP="00065CA5">
            <w:pPr>
              <w:widowControl/>
              <w:rPr>
                <w:sz w:val="26"/>
                <w:szCs w:val="26"/>
              </w:rPr>
            </w:pPr>
            <w:r>
              <w:rPr>
                <w:sz w:val="26"/>
                <w:szCs w:val="26"/>
              </w:rPr>
              <w:t xml:space="preserve">           v.</w:t>
            </w:r>
          </w:p>
          <w:p w14:paraId="5A812184" w14:textId="77777777" w:rsidR="00065CA5" w:rsidRPr="000B5A3D" w:rsidRDefault="00065CA5" w:rsidP="00065CA5">
            <w:pPr>
              <w:widowControl/>
              <w:rPr>
                <w:sz w:val="26"/>
                <w:szCs w:val="26"/>
              </w:rPr>
            </w:pPr>
            <w:r>
              <w:rPr>
                <w:sz w:val="26"/>
                <w:szCs w:val="26"/>
              </w:rPr>
              <w:t>Philadelphia Gas Works</w:t>
            </w:r>
          </w:p>
        </w:tc>
        <w:tc>
          <w:tcPr>
            <w:tcW w:w="4362" w:type="dxa"/>
          </w:tcPr>
          <w:p w14:paraId="26EFB62C" w14:textId="77777777" w:rsidR="004716C9" w:rsidRPr="000B5A3D" w:rsidRDefault="004716C9" w:rsidP="00065CA5">
            <w:pPr>
              <w:widowControl/>
              <w:jc w:val="right"/>
              <w:rPr>
                <w:sz w:val="26"/>
                <w:szCs w:val="26"/>
              </w:rPr>
            </w:pPr>
            <w:r>
              <w:rPr>
                <w:bCs/>
                <w:sz w:val="26"/>
                <w:szCs w:val="26"/>
              </w:rPr>
              <w:t>F-2018-3001419</w:t>
            </w:r>
          </w:p>
        </w:tc>
      </w:tr>
    </w:tbl>
    <w:p w14:paraId="267A2726" w14:textId="77777777" w:rsidR="004716C9" w:rsidRDefault="004716C9" w:rsidP="00065CA5">
      <w:pPr>
        <w:widowControl/>
        <w:rPr>
          <w:sz w:val="26"/>
          <w:szCs w:val="26"/>
        </w:rPr>
      </w:pPr>
    </w:p>
    <w:p w14:paraId="373CACD4" w14:textId="77777777" w:rsidR="00065CA5" w:rsidRPr="00A9787D" w:rsidRDefault="00065CA5" w:rsidP="00065CA5">
      <w:pPr>
        <w:widowControl/>
        <w:rPr>
          <w:sz w:val="26"/>
          <w:szCs w:val="26"/>
        </w:rPr>
      </w:pPr>
    </w:p>
    <w:p w14:paraId="2DBF1A8E" w14:textId="77777777" w:rsidR="004716C9" w:rsidRPr="00A9787D" w:rsidRDefault="004716C9" w:rsidP="00065CA5">
      <w:pPr>
        <w:widowControl/>
        <w:jc w:val="center"/>
        <w:rPr>
          <w:b/>
          <w:sz w:val="26"/>
          <w:szCs w:val="26"/>
        </w:rPr>
      </w:pPr>
      <w:r w:rsidRPr="00A9787D">
        <w:rPr>
          <w:b/>
          <w:sz w:val="26"/>
          <w:szCs w:val="26"/>
        </w:rPr>
        <w:t>OPINION AND ORDER</w:t>
      </w:r>
    </w:p>
    <w:p w14:paraId="176A95C0" w14:textId="77777777" w:rsidR="004716C9" w:rsidRPr="00A9787D" w:rsidRDefault="004716C9" w:rsidP="00065CA5">
      <w:pPr>
        <w:widowControl/>
        <w:jc w:val="center"/>
        <w:rPr>
          <w:b/>
          <w:sz w:val="26"/>
          <w:szCs w:val="26"/>
        </w:rPr>
      </w:pPr>
    </w:p>
    <w:p w14:paraId="6EFFAA42" w14:textId="77777777" w:rsidR="004716C9" w:rsidRPr="00A9787D" w:rsidRDefault="004716C9" w:rsidP="00065CA5">
      <w:pPr>
        <w:widowControl/>
        <w:rPr>
          <w:b/>
          <w:sz w:val="26"/>
          <w:szCs w:val="26"/>
        </w:rPr>
      </w:pPr>
      <w:r w:rsidRPr="00A9787D">
        <w:rPr>
          <w:b/>
          <w:sz w:val="26"/>
          <w:szCs w:val="26"/>
        </w:rPr>
        <w:t>BY THE COMMISSION:</w:t>
      </w:r>
    </w:p>
    <w:p w14:paraId="61339911" w14:textId="77777777" w:rsidR="004716C9" w:rsidRPr="00A9787D" w:rsidRDefault="004716C9" w:rsidP="00065CA5">
      <w:pPr>
        <w:widowControl/>
        <w:rPr>
          <w:sz w:val="26"/>
          <w:szCs w:val="26"/>
        </w:rPr>
      </w:pPr>
    </w:p>
    <w:p w14:paraId="1383FB05" w14:textId="77777777" w:rsidR="004716C9" w:rsidRPr="00A9787D" w:rsidRDefault="004716C9" w:rsidP="00065CA5">
      <w:pPr>
        <w:widowControl/>
        <w:rPr>
          <w:sz w:val="26"/>
          <w:szCs w:val="26"/>
        </w:rPr>
      </w:pPr>
    </w:p>
    <w:p w14:paraId="49419A20" w14:textId="77777777" w:rsidR="004716C9" w:rsidRPr="00FC3806" w:rsidRDefault="004716C9" w:rsidP="00065CA5">
      <w:pPr>
        <w:widowControl/>
        <w:spacing w:line="360" w:lineRule="auto"/>
        <w:ind w:firstLine="1440"/>
        <w:rPr>
          <w:sz w:val="26"/>
          <w:szCs w:val="26"/>
        </w:rPr>
      </w:pPr>
      <w:r w:rsidRPr="00FC3806">
        <w:rPr>
          <w:sz w:val="26"/>
          <w:szCs w:val="26"/>
        </w:rPr>
        <w:t xml:space="preserve">Before the Pennsylvania Public Utility Commission (Commission) for consideration and disposition is the Initial Decision (I.D.) of Administrative Law Judge (ALJ) </w:t>
      </w:r>
      <w:r>
        <w:rPr>
          <w:sz w:val="26"/>
          <w:szCs w:val="26"/>
        </w:rPr>
        <w:t>Marta Guhl</w:t>
      </w:r>
      <w:r w:rsidRPr="00FC3806">
        <w:rPr>
          <w:sz w:val="26"/>
          <w:szCs w:val="26"/>
        </w:rPr>
        <w:t xml:space="preserve">, issued on </w:t>
      </w:r>
      <w:r>
        <w:rPr>
          <w:sz w:val="26"/>
          <w:szCs w:val="26"/>
        </w:rPr>
        <w:t>October 23, 2018</w:t>
      </w:r>
      <w:r w:rsidRPr="00FC3806">
        <w:rPr>
          <w:sz w:val="26"/>
          <w:szCs w:val="26"/>
        </w:rPr>
        <w:t xml:space="preserve">, </w:t>
      </w:r>
      <w:r>
        <w:rPr>
          <w:sz w:val="26"/>
          <w:szCs w:val="26"/>
        </w:rPr>
        <w:t>which denied in part and granted in part the</w:t>
      </w:r>
      <w:r w:rsidRPr="004716C9">
        <w:rPr>
          <w:sz w:val="26"/>
          <w:szCs w:val="26"/>
        </w:rPr>
        <w:t xml:space="preserve"> </w:t>
      </w:r>
      <w:r w:rsidRPr="00FC3806">
        <w:rPr>
          <w:sz w:val="26"/>
          <w:szCs w:val="26"/>
        </w:rPr>
        <w:t>above-captioned</w:t>
      </w:r>
      <w:r w:rsidRPr="00FC3806">
        <w:rPr>
          <w:sz w:val="26"/>
        </w:rPr>
        <w:t xml:space="preserve"> Formal Complaint (Complaint)</w:t>
      </w:r>
      <w:r>
        <w:rPr>
          <w:sz w:val="26"/>
        </w:rPr>
        <w:t xml:space="preserve"> filed by</w:t>
      </w:r>
      <w:r w:rsidRPr="00FC3806">
        <w:rPr>
          <w:sz w:val="26"/>
        </w:rPr>
        <w:t xml:space="preserve"> </w:t>
      </w:r>
      <w:r>
        <w:rPr>
          <w:sz w:val="26"/>
          <w:szCs w:val="26"/>
        </w:rPr>
        <w:t>Cynthia Oduwole</w:t>
      </w:r>
      <w:r w:rsidRPr="00FC3806">
        <w:rPr>
          <w:sz w:val="26"/>
          <w:szCs w:val="26"/>
        </w:rPr>
        <w:t xml:space="preserve"> (</w:t>
      </w:r>
      <w:r>
        <w:rPr>
          <w:sz w:val="26"/>
          <w:szCs w:val="26"/>
        </w:rPr>
        <w:t xml:space="preserve">Ms. Oduwole or the </w:t>
      </w:r>
      <w:r w:rsidRPr="00FC3806">
        <w:rPr>
          <w:sz w:val="26"/>
          <w:szCs w:val="26"/>
        </w:rPr>
        <w:t xml:space="preserve">Complainant) </w:t>
      </w:r>
      <w:r>
        <w:rPr>
          <w:sz w:val="26"/>
          <w:szCs w:val="26"/>
        </w:rPr>
        <w:t xml:space="preserve">against </w:t>
      </w:r>
      <w:r>
        <w:rPr>
          <w:sz w:val="26"/>
        </w:rPr>
        <w:t>Philadelphia Gas Works</w:t>
      </w:r>
      <w:r w:rsidRPr="00FC3806">
        <w:rPr>
          <w:sz w:val="26"/>
        </w:rPr>
        <w:t xml:space="preserve"> (</w:t>
      </w:r>
      <w:r>
        <w:rPr>
          <w:sz w:val="26"/>
        </w:rPr>
        <w:t>PGW</w:t>
      </w:r>
      <w:r w:rsidR="00F3508A">
        <w:rPr>
          <w:sz w:val="26"/>
        </w:rPr>
        <w:t xml:space="preserve"> or the Company</w:t>
      </w:r>
      <w:r>
        <w:rPr>
          <w:sz w:val="26"/>
        </w:rPr>
        <w:t>).  No Exceptions were</w:t>
      </w:r>
      <w:r w:rsidRPr="00FC3806">
        <w:rPr>
          <w:sz w:val="26"/>
        </w:rPr>
        <w:t xml:space="preserve"> filed.  We </w:t>
      </w:r>
      <w:r w:rsidRPr="00FC3806">
        <w:rPr>
          <w:sz w:val="26"/>
          <w:szCs w:val="26"/>
        </w:rPr>
        <w:t>exercised our right to review the Initial Decision pursuant to Section 332(h) of the Public Utility Code (Code)</w:t>
      </w:r>
      <w:r w:rsidR="00F3508A">
        <w:rPr>
          <w:sz w:val="26"/>
          <w:szCs w:val="26"/>
        </w:rPr>
        <w:t xml:space="preserve">.  </w:t>
      </w:r>
      <w:r w:rsidRPr="00FC3806">
        <w:rPr>
          <w:sz w:val="26"/>
          <w:szCs w:val="26"/>
        </w:rPr>
        <w:t xml:space="preserve">66 Pa. C.S. § 332(h).  For the reasons set forth below, we shall </w:t>
      </w:r>
      <w:r w:rsidRPr="004716C9">
        <w:rPr>
          <w:sz w:val="26"/>
          <w:szCs w:val="26"/>
        </w:rPr>
        <w:t>reverse the ALJ’s Initial Decision and grant a payment arrangement to Ms. Oduwole, consistent with this Opinion and Order.</w:t>
      </w:r>
    </w:p>
    <w:p w14:paraId="74C29703" w14:textId="77777777" w:rsidR="004716C9" w:rsidRDefault="004716C9" w:rsidP="00065CA5">
      <w:pPr>
        <w:widowControl/>
        <w:spacing w:line="360" w:lineRule="auto"/>
        <w:ind w:firstLine="1440"/>
        <w:rPr>
          <w:sz w:val="26"/>
          <w:szCs w:val="26"/>
        </w:rPr>
      </w:pPr>
    </w:p>
    <w:p w14:paraId="682842AD" w14:textId="77777777" w:rsidR="004716C9" w:rsidRDefault="004716C9" w:rsidP="00065CA5">
      <w:pPr>
        <w:keepNext/>
        <w:widowControl/>
        <w:spacing w:line="360" w:lineRule="auto"/>
        <w:jc w:val="center"/>
        <w:rPr>
          <w:b/>
          <w:sz w:val="26"/>
          <w:szCs w:val="26"/>
        </w:rPr>
      </w:pPr>
      <w:r>
        <w:rPr>
          <w:b/>
          <w:sz w:val="26"/>
          <w:szCs w:val="26"/>
        </w:rPr>
        <w:lastRenderedPageBreak/>
        <w:t>History of Proceeding</w:t>
      </w:r>
    </w:p>
    <w:p w14:paraId="6B92D8F6" w14:textId="77777777" w:rsidR="004716C9" w:rsidRDefault="004716C9" w:rsidP="00065CA5">
      <w:pPr>
        <w:pStyle w:val="Default"/>
        <w:keepNext/>
      </w:pPr>
    </w:p>
    <w:p w14:paraId="7B9A47B4" w14:textId="77777777" w:rsidR="004716C9" w:rsidRDefault="004716C9" w:rsidP="00065CA5">
      <w:pPr>
        <w:pStyle w:val="Default"/>
      </w:pPr>
      <w:r>
        <w:t xml:space="preserve"> </w:t>
      </w:r>
    </w:p>
    <w:p w14:paraId="68BDCBC9" w14:textId="77777777" w:rsidR="00677D9D" w:rsidRPr="00677D9D" w:rsidRDefault="004716C9" w:rsidP="00065CA5">
      <w:pPr>
        <w:pStyle w:val="Default"/>
        <w:spacing w:line="360" w:lineRule="auto"/>
        <w:ind w:firstLine="1440"/>
        <w:rPr>
          <w:sz w:val="26"/>
          <w:szCs w:val="26"/>
        </w:rPr>
      </w:pPr>
      <w:r w:rsidRPr="00677D9D">
        <w:rPr>
          <w:sz w:val="26"/>
          <w:szCs w:val="26"/>
        </w:rPr>
        <w:t>On April 23, 2018, Ms. Oduwol</w:t>
      </w:r>
      <w:r w:rsidR="00677D9D">
        <w:rPr>
          <w:sz w:val="26"/>
          <w:szCs w:val="26"/>
        </w:rPr>
        <w:t>e</w:t>
      </w:r>
      <w:r w:rsidRPr="00677D9D">
        <w:rPr>
          <w:sz w:val="26"/>
          <w:szCs w:val="26"/>
        </w:rPr>
        <w:t xml:space="preserve"> filed </w:t>
      </w:r>
      <w:r w:rsidR="00677D9D">
        <w:rPr>
          <w:sz w:val="26"/>
          <w:szCs w:val="26"/>
        </w:rPr>
        <w:t>the above-captioned</w:t>
      </w:r>
      <w:r w:rsidRPr="00677D9D">
        <w:rPr>
          <w:sz w:val="26"/>
          <w:szCs w:val="26"/>
        </w:rPr>
        <w:t xml:space="preserve"> Complaint against </w:t>
      </w:r>
      <w:r w:rsidR="00677D9D">
        <w:rPr>
          <w:sz w:val="26"/>
          <w:szCs w:val="26"/>
        </w:rPr>
        <w:t>PGW with the Commission.</w:t>
      </w:r>
      <w:r w:rsidRPr="00677D9D">
        <w:rPr>
          <w:sz w:val="26"/>
          <w:szCs w:val="26"/>
        </w:rPr>
        <w:t xml:space="preserve"> </w:t>
      </w:r>
      <w:r w:rsidR="00677D9D">
        <w:rPr>
          <w:sz w:val="26"/>
          <w:szCs w:val="26"/>
        </w:rPr>
        <w:t xml:space="preserve"> </w:t>
      </w:r>
      <w:r w:rsidRPr="00677D9D">
        <w:rPr>
          <w:sz w:val="26"/>
          <w:szCs w:val="26"/>
        </w:rPr>
        <w:t xml:space="preserve">In the Complaint, </w:t>
      </w:r>
      <w:r w:rsidR="00677D9D">
        <w:rPr>
          <w:sz w:val="26"/>
          <w:szCs w:val="26"/>
        </w:rPr>
        <w:t>Ms. Oduwole</w:t>
      </w:r>
      <w:r w:rsidRPr="00677D9D">
        <w:rPr>
          <w:sz w:val="26"/>
          <w:szCs w:val="26"/>
        </w:rPr>
        <w:t xml:space="preserve"> </w:t>
      </w:r>
      <w:r w:rsidR="00677D9D" w:rsidRPr="00677D9D">
        <w:rPr>
          <w:sz w:val="26"/>
          <w:szCs w:val="26"/>
        </w:rPr>
        <w:t xml:space="preserve">indicated that her utility service was shut off and there were incorrect charges on her bills. </w:t>
      </w:r>
      <w:r w:rsidR="00F3508A">
        <w:rPr>
          <w:sz w:val="26"/>
          <w:szCs w:val="26"/>
        </w:rPr>
        <w:t xml:space="preserve"> </w:t>
      </w:r>
      <w:r w:rsidR="00677D9D" w:rsidRPr="00677D9D">
        <w:rPr>
          <w:sz w:val="26"/>
          <w:szCs w:val="26"/>
        </w:rPr>
        <w:t xml:space="preserve">As relief, </w:t>
      </w:r>
      <w:r w:rsidR="00677D9D">
        <w:rPr>
          <w:sz w:val="26"/>
          <w:szCs w:val="26"/>
        </w:rPr>
        <w:t xml:space="preserve">she </w:t>
      </w:r>
      <w:r w:rsidR="00677D9D" w:rsidRPr="00677D9D">
        <w:rPr>
          <w:sz w:val="26"/>
          <w:szCs w:val="26"/>
        </w:rPr>
        <w:t xml:space="preserve">requested an affordable payment arrangement. </w:t>
      </w:r>
      <w:r w:rsidR="00677D9D">
        <w:rPr>
          <w:sz w:val="26"/>
          <w:szCs w:val="26"/>
        </w:rPr>
        <w:t xml:space="preserve"> </w:t>
      </w:r>
      <w:r w:rsidR="00677D9D" w:rsidRPr="00677D9D">
        <w:rPr>
          <w:sz w:val="26"/>
          <w:szCs w:val="26"/>
        </w:rPr>
        <w:t>This matter is a timely appeal of a decision from the Bureau of Consumer Services (BCS) dated March 16, 2018, at Case No. 3582207</w:t>
      </w:r>
      <w:r w:rsidR="00677D9D">
        <w:rPr>
          <w:sz w:val="26"/>
          <w:szCs w:val="26"/>
        </w:rPr>
        <w:t>,</w:t>
      </w:r>
      <w:r w:rsidR="00677D9D" w:rsidRPr="00677D9D">
        <w:rPr>
          <w:sz w:val="26"/>
          <w:szCs w:val="26"/>
        </w:rPr>
        <w:t xml:space="preserve"> which dismissed </w:t>
      </w:r>
      <w:r w:rsidR="00677D9D">
        <w:rPr>
          <w:sz w:val="26"/>
          <w:szCs w:val="26"/>
        </w:rPr>
        <w:t>Ms. Oduwole’s</w:t>
      </w:r>
      <w:r w:rsidR="00677D9D" w:rsidRPr="00677D9D">
        <w:rPr>
          <w:sz w:val="26"/>
          <w:szCs w:val="26"/>
        </w:rPr>
        <w:t xml:space="preserve"> informal complaint</w:t>
      </w:r>
      <w:r w:rsidR="00677D9D">
        <w:rPr>
          <w:sz w:val="26"/>
          <w:szCs w:val="26"/>
        </w:rPr>
        <w:t xml:space="preserve"> in this matter</w:t>
      </w:r>
      <w:r w:rsidR="00677D9D" w:rsidRPr="00677D9D">
        <w:rPr>
          <w:sz w:val="26"/>
          <w:szCs w:val="26"/>
        </w:rPr>
        <w:t xml:space="preserve">. </w:t>
      </w:r>
    </w:p>
    <w:p w14:paraId="543FC08D" w14:textId="77777777" w:rsidR="00677D9D" w:rsidRPr="00677D9D" w:rsidRDefault="00677D9D" w:rsidP="00065CA5">
      <w:pPr>
        <w:pStyle w:val="Default"/>
        <w:spacing w:line="360" w:lineRule="auto"/>
        <w:ind w:firstLine="1440"/>
        <w:rPr>
          <w:sz w:val="26"/>
          <w:szCs w:val="26"/>
        </w:rPr>
      </w:pPr>
    </w:p>
    <w:p w14:paraId="2CCAB598" w14:textId="77777777" w:rsidR="00677D9D" w:rsidRPr="00677D9D" w:rsidRDefault="00677D9D" w:rsidP="00065CA5">
      <w:pPr>
        <w:pStyle w:val="Default"/>
        <w:spacing w:line="360" w:lineRule="auto"/>
        <w:ind w:firstLine="1440"/>
        <w:rPr>
          <w:sz w:val="26"/>
          <w:szCs w:val="26"/>
        </w:rPr>
      </w:pPr>
      <w:r w:rsidRPr="00677D9D">
        <w:rPr>
          <w:sz w:val="26"/>
          <w:szCs w:val="26"/>
        </w:rPr>
        <w:t xml:space="preserve">On May 15, 2018, </w:t>
      </w:r>
      <w:r w:rsidR="00F3508A">
        <w:rPr>
          <w:sz w:val="26"/>
          <w:szCs w:val="26"/>
        </w:rPr>
        <w:t>PGW</w:t>
      </w:r>
      <w:r w:rsidRPr="00677D9D">
        <w:rPr>
          <w:sz w:val="26"/>
          <w:szCs w:val="26"/>
        </w:rPr>
        <w:t xml:space="preserve"> filed an Answer indicating that the gas service at a prior address was initially terminated on June 8, 2011</w:t>
      </w:r>
      <w:r w:rsidR="00F3508A">
        <w:rPr>
          <w:sz w:val="26"/>
          <w:szCs w:val="26"/>
        </w:rPr>
        <w:t>,</w:t>
      </w:r>
      <w:r w:rsidRPr="00677D9D">
        <w:rPr>
          <w:sz w:val="26"/>
          <w:szCs w:val="26"/>
        </w:rPr>
        <w:t xml:space="preserve"> due to non-payment. </w:t>
      </w:r>
      <w:r w:rsidR="00F3508A">
        <w:rPr>
          <w:sz w:val="26"/>
          <w:szCs w:val="26"/>
        </w:rPr>
        <w:t xml:space="preserve"> In its Answer, PGW </w:t>
      </w:r>
      <w:r w:rsidRPr="00677D9D">
        <w:rPr>
          <w:sz w:val="26"/>
          <w:szCs w:val="26"/>
        </w:rPr>
        <w:t>assert</w:t>
      </w:r>
      <w:r w:rsidR="002A512C">
        <w:rPr>
          <w:sz w:val="26"/>
          <w:szCs w:val="26"/>
        </w:rPr>
        <w:t>ed</w:t>
      </w:r>
      <w:r w:rsidRPr="00677D9D">
        <w:rPr>
          <w:sz w:val="26"/>
          <w:szCs w:val="26"/>
        </w:rPr>
        <w:t xml:space="preserve"> that on February 25, 2016, it found the gas </w:t>
      </w:r>
      <w:r w:rsidR="00F3508A">
        <w:rPr>
          <w:sz w:val="26"/>
          <w:szCs w:val="26"/>
        </w:rPr>
        <w:t xml:space="preserve">service turned </w:t>
      </w:r>
      <w:r w:rsidRPr="00677D9D">
        <w:rPr>
          <w:sz w:val="26"/>
          <w:szCs w:val="26"/>
        </w:rPr>
        <w:t>on</w:t>
      </w:r>
      <w:r w:rsidR="00F3508A">
        <w:rPr>
          <w:sz w:val="26"/>
          <w:szCs w:val="26"/>
        </w:rPr>
        <w:t>, and again shut off the service –</w:t>
      </w:r>
      <w:r w:rsidRPr="00677D9D">
        <w:rPr>
          <w:sz w:val="26"/>
          <w:szCs w:val="26"/>
        </w:rPr>
        <w:t xml:space="preserve"> this time at the curb valve with an expander. </w:t>
      </w:r>
      <w:r w:rsidR="002A512C">
        <w:rPr>
          <w:sz w:val="26"/>
          <w:szCs w:val="26"/>
        </w:rPr>
        <w:t xml:space="preserve"> </w:t>
      </w:r>
      <w:r w:rsidR="00F3508A">
        <w:rPr>
          <w:sz w:val="26"/>
          <w:szCs w:val="26"/>
        </w:rPr>
        <w:t>PGW</w:t>
      </w:r>
      <w:r w:rsidRPr="00677D9D">
        <w:rPr>
          <w:sz w:val="26"/>
          <w:szCs w:val="26"/>
        </w:rPr>
        <w:t xml:space="preserve"> allege</w:t>
      </w:r>
      <w:r w:rsidR="002A512C">
        <w:rPr>
          <w:sz w:val="26"/>
          <w:szCs w:val="26"/>
        </w:rPr>
        <w:t>d</w:t>
      </w:r>
      <w:r w:rsidRPr="00677D9D">
        <w:rPr>
          <w:sz w:val="26"/>
          <w:szCs w:val="26"/>
        </w:rPr>
        <w:t xml:space="preserve"> that on the same date it found a flex connector bypass between the meter and the gas line</w:t>
      </w:r>
      <w:r w:rsidR="00F3508A">
        <w:rPr>
          <w:sz w:val="26"/>
          <w:szCs w:val="26"/>
        </w:rPr>
        <w:t>, an indication of meter tampering</w:t>
      </w:r>
      <w:r w:rsidRPr="00677D9D">
        <w:rPr>
          <w:sz w:val="26"/>
          <w:szCs w:val="26"/>
        </w:rPr>
        <w:t xml:space="preserve">. </w:t>
      </w:r>
      <w:r w:rsidR="002A512C">
        <w:rPr>
          <w:sz w:val="26"/>
          <w:szCs w:val="26"/>
        </w:rPr>
        <w:t xml:space="preserve"> </w:t>
      </w:r>
      <w:r w:rsidR="00F3508A">
        <w:rPr>
          <w:sz w:val="26"/>
          <w:szCs w:val="26"/>
        </w:rPr>
        <w:t>PGW</w:t>
      </w:r>
      <w:r w:rsidR="002A512C">
        <w:rPr>
          <w:sz w:val="26"/>
          <w:szCs w:val="26"/>
        </w:rPr>
        <w:t xml:space="preserve"> </w:t>
      </w:r>
      <w:r w:rsidRPr="00677D9D">
        <w:rPr>
          <w:sz w:val="26"/>
          <w:szCs w:val="26"/>
        </w:rPr>
        <w:t>assessed the Complainant $12,398.38 for the period from June 8, 2011 to February 25, 2016, for unauthorized usage</w:t>
      </w:r>
      <w:r w:rsidR="002A512C">
        <w:rPr>
          <w:sz w:val="26"/>
          <w:szCs w:val="26"/>
        </w:rPr>
        <w:t xml:space="preserve"> due to </w:t>
      </w:r>
      <w:r w:rsidR="00F3508A">
        <w:rPr>
          <w:sz w:val="26"/>
          <w:szCs w:val="26"/>
        </w:rPr>
        <w:t xml:space="preserve">the </w:t>
      </w:r>
      <w:r w:rsidR="002A512C">
        <w:rPr>
          <w:sz w:val="26"/>
          <w:szCs w:val="26"/>
        </w:rPr>
        <w:t>discovered meter tampering</w:t>
      </w:r>
      <w:r w:rsidRPr="00677D9D">
        <w:rPr>
          <w:sz w:val="26"/>
          <w:szCs w:val="26"/>
        </w:rPr>
        <w:t>.</w:t>
      </w:r>
    </w:p>
    <w:p w14:paraId="77A54FEC" w14:textId="77777777" w:rsidR="00677D9D" w:rsidRPr="00677D9D" w:rsidRDefault="00677D9D" w:rsidP="00065CA5">
      <w:pPr>
        <w:keepNext/>
        <w:widowControl/>
        <w:spacing w:line="360" w:lineRule="auto"/>
        <w:ind w:firstLine="1440"/>
        <w:rPr>
          <w:sz w:val="26"/>
          <w:szCs w:val="26"/>
        </w:rPr>
      </w:pPr>
    </w:p>
    <w:p w14:paraId="1BF80A6C" w14:textId="77777777" w:rsidR="00677D9D" w:rsidRPr="00677D9D" w:rsidRDefault="00677D9D" w:rsidP="00040BB7">
      <w:pPr>
        <w:pStyle w:val="Default"/>
        <w:spacing w:line="360" w:lineRule="auto"/>
        <w:ind w:firstLine="1440"/>
        <w:rPr>
          <w:sz w:val="26"/>
          <w:szCs w:val="26"/>
        </w:rPr>
      </w:pPr>
      <w:r w:rsidRPr="00677D9D">
        <w:rPr>
          <w:sz w:val="26"/>
          <w:szCs w:val="26"/>
        </w:rPr>
        <w:t xml:space="preserve">On June 28, 2018, a hearing convened </w:t>
      </w:r>
      <w:r w:rsidR="00F3508A">
        <w:rPr>
          <w:sz w:val="26"/>
          <w:szCs w:val="26"/>
        </w:rPr>
        <w:t xml:space="preserve">before ALJ Guhl, </w:t>
      </w:r>
      <w:r w:rsidRPr="00677D9D">
        <w:rPr>
          <w:sz w:val="26"/>
          <w:szCs w:val="26"/>
        </w:rPr>
        <w:t xml:space="preserve">as scheduled.  The Complainant appeared </w:t>
      </w:r>
      <w:r w:rsidRPr="00677D9D">
        <w:rPr>
          <w:i/>
          <w:iCs/>
          <w:sz w:val="26"/>
          <w:szCs w:val="26"/>
        </w:rPr>
        <w:t xml:space="preserve">pro se </w:t>
      </w:r>
      <w:r w:rsidRPr="00677D9D">
        <w:rPr>
          <w:sz w:val="26"/>
          <w:szCs w:val="26"/>
        </w:rPr>
        <w:t xml:space="preserve">and testified. </w:t>
      </w:r>
      <w:r w:rsidR="00F3508A">
        <w:rPr>
          <w:sz w:val="26"/>
          <w:szCs w:val="26"/>
        </w:rPr>
        <w:t xml:space="preserve"> </w:t>
      </w:r>
      <w:r w:rsidRPr="00677D9D">
        <w:rPr>
          <w:sz w:val="26"/>
          <w:szCs w:val="26"/>
        </w:rPr>
        <w:t xml:space="preserve">The Complainant also offered five exhibits which were entered into the record at the hearing. </w:t>
      </w:r>
      <w:r w:rsidR="00F3508A">
        <w:rPr>
          <w:sz w:val="26"/>
          <w:szCs w:val="26"/>
        </w:rPr>
        <w:t xml:space="preserve"> The Company</w:t>
      </w:r>
      <w:r w:rsidRPr="00677D9D">
        <w:rPr>
          <w:sz w:val="26"/>
          <w:szCs w:val="26"/>
        </w:rPr>
        <w:t xml:space="preserve"> appeared and was represented by Laureto Farinas, Esq., who presented the testimony of Jessica Glace, a Senior Customer Review Officer, and Duc Nguyen, a Field Service Technician. </w:t>
      </w:r>
      <w:r w:rsidR="008E6368">
        <w:rPr>
          <w:sz w:val="26"/>
          <w:szCs w:val="26"/>
        </w:rPr>
        <w:t xml:space="preserve"> </w:t>
      </w:r>
      <w:r w:rsidR="00F3508A">
        <w:rPr>
          <w:sz w:val="26"/>
          <w:szCs w:val="26"/>
        </w:rPr>
        <w:t>The Company</w:t>
      </w:r>
      <w:r w:rsidRPr="00677D9D">
        <w:rPr>
          <w:sz w:val="26"/>
          <w:szCs w:val="26"/>
        </w:rPr>
        <w:t xml:space="preserve"> offered six exhibits which were entered into the record.</w:t>
      </w:r>
    </w:p>
    <w:p w14:paraId="15B4841D" w14:textId="77777777" w:rsidR="00677D9D" w:rsidRPr="00677D9D" w:rsidRDefault="00677D9D" w:rsidP="00040BB7">
      <w:pPr>
        <w:widowControl/>
        <w:spacing w:line="360" w:lineRule="auto"/>
        <w:ind w:firstLine="1440"/>
        <w:rPr>
          <w:sz w:val="26"/>
          <w:szCs w:val="26"/>
        </w:rPr>
      </w:pPr>
    </w:p>
    <w:p w14:paraId="493D0CD3" w14:textId="77777777" w:rsidR="00677D9D" w:rsidRPr="00677D9D" w:rsidRDefault="00677D9D" w:rsidP="00040BB7">
      <w:pPr>
        <w:widowControl/>
        <w:spacing w:line="360" w:lineRule="auto"/>
        <w:ind w:firstLine="1440"/>
        <w:rPr>
          <w:sz w:val="26"/>
          <w:szCs w:val="26"/>
        </w:rPr>
      </w:pPr>
      <w:r w:rsidRPr="00677D9D">
        <w:rPr>
          <w:sz w:val="26"/>
          <w:szCs w:val="26"/>
        </w:rPr>
        <w:t>The hearing resulted in a transcript of 84 pages. The record</w:t>
      </w:r>
      <w:r w:rsidR="00F3508A">
        <w:rPr>
          <w:sz w:val="26"/>
          <w:szCs w:val="26"/>
        </w:rPr>
        <w:t xml:space="preserve"> closed on July</w:t>
      </w:r>
      <w:r w:rsidR="008E6368">
        <w:rPr>
          <w:sz w:val="26"/>
          <w:szCs w:val="26"/>
        </w:rPr>
        <w:t> </w:t>
      </w:r>
      <w:r w:rsidR="00F3508A">
        <w:rPr>
          <w:sz w:val="26"/>
          <w:szCs w:val="26"/>
        </w:rPr>
        <w:t>18, 2018, when ALJ Guhl</w:t>
      </w:r>
      <w:r w:rsidRPr="00677D9D">
        <w:rPr>
          <w:sz w:val="26"/>
          <w:szCs w:val="26"/>
        </w:rPr>
        <w:t xml:space="preserve"> received the hearing transcript.</w:t>
      </w:r>
    </w:p>
    <w:p w14:paraId="4621CEA6" w14:textId="77777777" w:rsidR="002A512C" w:rsidRDefault="004716C9" w:rsidP="008E6368">
      <w:pPr>
        <w:keepNext/>
        <w:keepLines/>
        <w:widowControl/>
        <w:spacing w:line="360" w:lineRule="auto"/>
        <w:jc w:val="center"/>
        <w:rPr>
          <w:b/>
          <w:sz w:val="26"/>
          <w:szCs w:val="26"/>
        </w:rPr>
      </w:pPr>
      <w:r>
        <w:rPr>
          <w:b/>
          <w:sz w:val="26"/>
          <w:szCs w:val="26"/>
        </w:rPr>
        <w:lastRenderedPageBreak/>
        <w:t>Discussion</w:t>
      </w:r>
    </w:p>
    <w:p w14:paraId="1A018189" w14:textId="77777777" w:rsidR="002A512C" w:rsidRDefault="002A512C" w:rsidP="008E6368">
      <w:pPr>
        <w:keepNext/>
        <w:keepLines/>
        <w:widowControl/>
        <w:spacing w:line="360" w:lineRule="auto"/>
        <w:jc w:val="center"/>
        <w:rPr>
          <w:b/>
          <w:sz w:val="26"/>
          <w:szCs w:val="26"/>
        </w:rPr>
      </w:pPr>
    </w:p>
    <w:p w14:paraId="46D32655" w14:textId="77777777" w:rsidR="002A512C" w:rsidRDefault="002A512C" w:rsidP="008E6368">
      <w:pPr>
        <w:keepNext/>
        <w:keepLines/>
        <w:widowControl/>
        <w:spacing w:line="360" w:lineRule="auto"/>
        <w:rPr>
          <w:b/>
          <w:sz w:val="26"/>
          <w:szCs w:val="26"/>
        </w:rPr>
      </w:pPr>
      <w:r>
        <w:rPr>
          <w:b/>
          <w:sz w:val="26"/>
          <w:szCs w:val="26"/>
        </w:rPr>
        <w:t>Background</w:t>
      </w:r>
    </w:p>
    <w:p w14:paraId="2D72623F" w14:textId="77777777" w:rsidR="002A512C" w:rsidRPr="00997EA4" w:rsidRDefault="002A512C" w:rsidP="008E6368">
      <w:pPr>
        <w:keepNext/>
        <w:keepLines/>
        <w:widowControl/>
        <w:spacing w:line="360" w:lineRule="auto"/>
        <w:rPr>
          <w:sz w:val="26"/>
          <w:szCs w:val="26"/>
        </w:rPr>
      </w:pPr>
    </w:p>
    <w:p w14:paraId="182FDCC9" w14:textId="77777777" w:rsidR="002A512C" w:rsidRDefault="00F3508A" w:rsidP="00065CA5">
      <w:pPr>
        <w:widowControl/>
        <w:spacing w:line="360" w:lineRule="auto"/>
        <w:ind w:firstLine="1440"/>
        <w:rPr>
          <w:sz w:val="26"/>
          <w:szCs w:val="26"/>
        </w:rPr>
      </w:pPr>
      <w:r>
        <w:rPr>
          <w:sz w:val="26"/>
          <w:szCs w:val="26"/>
        </w:rPr>
        <w:t>The Complainant</w:t>
      </w:r>
      <w:r w:rsidR="002A512C" w:rsidRPr="00F769AE">
        <w:rPr>
          <w:sz w:val="26"/>
          <w:szCs w:val="26"/>
        </w:rPr>
        <w:t xml:space="preserve"> has an active Protection from Abuse (PFA) Order, complying with the Pennsylvania Protection from Abuse Act</w:t>
      </w:r>
      <w:r w:rsidR="002A512C">
        <w:rPr>
          <w:sz w:val="26"/>
          <w:szCs w:val="26"/>
        </w:rPr>
        <w:t>.</w:t>
      </w:r>
      <w:r w:rsidR="002A512C" w:rsidRPr="00F769AE">
        <w:rPr>
          <w:sz w:val="26"/>
          <w:szCs w:val="26"/>
        </w:rPr>
        <w:t xml:space="preserve"> </w:t>
      </w:r>
      <w:r w:rsidR="002A512C">
        <w:rPr>
          <w:sz w:val="26"/>
          <w:szCs w:val="26"/>
        </w:rPr>
        <w:t xml:space="preserve"> </w:t>
      </w:r>
      <w:r w:rsidR="00040BB7" w:rsidRPr="00854F7B">
        <w:rPr>
          <w:sz w:val="26"/>
          <w:szCs w:val="26"/>
        </w:rPr>
        <w:t>23 Pa. C.S. § 6112.</w:t>
      </w:r>
      <w:r w:rsidR="00040BB7">
        <w:rPr>
          <w:sz w:val="26"/>
          <w:szCs w:val="26"/>
        </w:rPr>
        <w:t xml:space="preserve">  </w:t>
      </w:r>
      <w:r w:rsidR="002A512C">
        <w:rPr>
          <w:sz w:val="26"/>
          <w:szCs w:val="26"/>
        </w:rPr>
        <w:t xml:space="preserve">Accordingly, </w:t>
      </w:r>
      <w:r w:rsidR="002A512C" w:rsidRPr="00F769AE">
        <w:rPr>
          <w:sz w:val="26"/>
          <w:szCs w:val="26"/>
        </w:rPr>
        <w:t xml:space="preserve">the addresses referred to in this </w:t>
      </w:r>
      <w:r w:rsidR="002A512C">
        <w:rPr>
          <w:sz w:val="26"/>
          <w:szCs w:val="26"/>
        </w:rPr>
        <w:t>Order</w:t>
      </w:r>
      <w:r w:rsidR="002A512C" w:rsidRPr="00F769AE">
        <w:rPr>
          <w:sz w:val="26"/>
          <w:szCs w:val="26"/>
        </w:rPr>
        <w:t xml:space="preserve"> will be designated by letter, with </w:t>
      </w:r>
      <w:r>
        <w:rPr>
          <w:sz w:val="26"/>
          <w:szCs w:val="26"/>
        </w:rPr>
        <w:t>“</w:t>
      </w:r>
      <w:r w:rsidR="002A512C" w:rsidRPr="00F769AE">
        <w:rPr>
          <w:sz w:val="26"/>
          <w:szCs w:val="26"/>
        </w:rPr>
        <w:t>A</w:t>
      </w:r>
      <w:r>
        <w:rPr>
          <w:sz w:val="26"/>
          <w:szCs w:val="26"/>
        </w:rPr>
        <w:t>”</w:t>
      </w:r>
      <w:r w:rsidR="002A512C" w:rsidRPr="00F769AE">
        <w:rPr>
          <w:sz w:val="26"/>
          <w:szCs w:val="26"/>
        </w:rPr>
        <w:t xml:space="preserve"> being the address where she lived from 2005 to July 2013, </w:t>
      </w:r>
      <w:r>
        <w:rPr>
          <w:sz w:val="26"/>
          <w:szCs w:val="26"/>
        </w:rPr>
        <w:t>“</w:t>
      </w:r>
      <w:r w:rsidR="002A512C" w:rsidRPr="00F769AE">
        <w:rPr>
          <w:sz w:val="26"/>
          <w:szCs w:val="26"/>
        </w:rPr>
        <w:t>B</w:t>
      </w:r>
      <w:r>
        <w:rPr>
          <w:sz w:val="26"/>
          <w:szCs w:val="26"/>
        </w:rPr>
        <w:t>”</w:t>
      </w:r>
      <w:r w:rsidR="002A512C" w:rsidRPr="00F769AE">
        <w:rPr>
          <w:sz w:val="26"/>
          <w:szCs w:val="26"/>
        </w:rPr>
        <w:t xml:space="preserve"> where she lived from July 2013 to September 2015, and </w:t>
      </w:r>
      <w:r>
        <w:rPr>
          <w:sz w:val="26"/>
          <w:szCs w:val="26"/>
        </w:rPr>
        <w:t>“</w:t>
      </w:r>
      <w:r w:rsidR="002A512C" w:rsidRPr="00F769AE">
        <w:rPr>
          <w:sz w:val="26"/>
          <w:szCs w:val="26"/>
        </w:rPr>
        <w:t>C</w:t>
      </w:r>
      <w:r>
        <w:rPr>
          <w:sz w:val="26"/>
          <w:szCs w:val="26"/>
        </w:rPr>
        <w:t>”</w:t>
      </w:r>
      <w:r w:rsidR="002A512C" w:rsidRPr="00F769AE">
        <w:rPr>
          <w:sz w:val="26"/>
          <w:szCs w:val="26"/>
        </w:rPr>
        <w:t xml:space="preserve"> being the address where she currently resides. </w:t>
      </w:r>
    </w:p>
    <w:p w14:paraId="7F35D2F2" w14:textId="77777777" w:rsidR="002A512C" w:rsidRDefault="002A512C" w:rsidP="00065CA5">
      <w:pPr>
        <w:widowControl/>
        <w:spacing w:line="360" w:lineRule="auto"/>
        <w:ind w:firstLine="1440"/>
        <w:rPr>
          <w:sz w:val="26"/>
          <w:szCs w:val="26"/>
        </w:rPr>
      </w:pPr>
    </w:p>
    <w:p w14:paraId="4EEA9C81" w14:textId="1C3B3F7B" w:rsidR="002A512C" w:rsidRPr="00997EA4" w:rsidRDefault="002A512C" w:rsidP="00065CA5">
      <w:pPr>
        <w:widowControl/>
        <w:spacing w:line="360" w:lineRule="auto"/>
        <w:ind w:firstLine="1440"/>
        <w:rPr>
          <w:sz w:val="26"/>
          <w:szCs w:val="26"/>
        </w:rPr>
      </w:pPr>
      <w:r>
        <w:rPr>
          <w:sz w:val="26"/>
          <w:szCs w:val="26"/>
        </w:rPr>
        <w:t xml:space="preserve">The Complainant currently resides at </w:t>
      </w:r>
      <w:r w:rsidR="00FF2632">
        <w:rPr>
          <w:sz w:val="26"/>
          <w:szCs w:val="26"/>
        </w:rPr>
        <w:t xml:space="preserve">Service </w:t>
      </w:r>
      <w:r>
        <w:rPr>
          <w:sz w:val="26"/>
          <w:szCs w:val="26"/>
        </w:rPr>
        <w:t>Address C</w:t>
      </w:r>
      <w:r w:rsidRPr="00997EA4">
        <w:rPr>
          <w:sz w:val="26"/>
          <w:szCs w:val="26"/>
        </w:rPr>
        <w:t xml:space="preserve"> with her five children and her nephew, ages 7, 9, 12, 13, 15 and 17.  Tr. at 17. The Complainant works full time, 40 hours per week, and</w:t>
      </w:r>
      <w:r>
        <w:rPr>
          <w:sz w:val="26"/>
          <w:szCs w:val="26"/>
        </w:rPr>
        <w:t xml:space="preserve"> is</w:t>
      </w:r>
      <w:r w:rsidRPr="00997EA4">
        <w:rPr>
          <w:sz w:val="26"/>
          <w:szCs w:val="26"/>
        </w:rPr>
        <w:t xml:space="preserve"> paid an hourly rate of $13.  </w:t>
      </w:r>
      <w:r w:rsidRPr="002A512C">
        <w:rPr>
          <w:i/>
          <w:sz w:val="26"/>
          <w:szCs w:val="26"/>
        </w:rPr>
        <w:t>Id</w:t>
      </w:r>
      <w:r w:rsidRPr="00997EA4">
        <w:rPr>
          <w:sz w:val="26"/>
          <w:szCs w:val="26"/>
        </w:rPr>
        <w:t xml:space="preserve">. at 18.  The Complainant’s gross monthly income is $2,253.33. </w:t>
      </w:r>
      <w:r w:rsidR="00F3508A">
        <w:rPr>
          <w:sz w:val="26"/>
          <w:szCs w:val="26"/>
        </w:rPr>
        <w:t xml:space="preserve"> </w:t>
      </w:r>
      <w:r w:rsidRPr="00997EA4">
        <w:rPr>
          <w:sz w:val="26"/>
          <w:szCs w:val="26"/>
        </w:rPr>
        <w:t xml:space="preserve">The Complainant’s current household income of $2,253.33 per month with seven household members places the household </w:t>
      </w:r>
      <w:r>
        <w:rPr>
          <w:sz w:val="26"/>
          <w:szCs w:val="26"/>
        </w:rPr>
        <w:t xml:space="preserve">income </w:t>
      </w:r>
      <w:r w:rsidRPr="00997EA4">
        <w:rPr>
          <w:sz w:val="26"/>
          <w:szCs w:val="26"/>
        </w:rPr>
        <w:t xml:space="preserve">at 71% of the </w:t>
      </w:r>
      <w:r w:rsidR="0044774E">
        <w:rPr>
          <w:sz w:val="26"/>
          <w:szCs w:val="26"/>
        </w:rPr>
        <w:t xml:space="preserve">2018 </w:t>
      </w:r>
      <w:r w:rsidRPr="00997EA4">
        <w:rPr>
          <w:sz w:val="26"/>
          <w:szCs w:val="26"/>
        </w:rPr>
        <w:t xml:space="preserve">Federal Poverty </w:t>
      </w:r>
      <w:r w:rsidR="0044774E">
        <w:rPr>
          <w:sz w:val="26"/>
          <w:szCs w:val="26"/>
        </w:rPr>
        <w:t>G</w:t>
      </w:r>
      <w:r w:rsidRPr="00997EA4">
        <w:rPr>
          <w:sz w:val="26"/>
          <w:szCs w:val="26"/>
        </w:rPr>
        <w:t>uidelines.</w:t>
      </w:r>
    </w:p>
    <w:p w14:paraId="1982CDD1" w14:textId="77777777" w:rsidR="004716C9" w:rsidRPr="000B5A3D" w:rsidRDefault="004716C9" w:rsidP="00065CA5">
      <w:pPr>
        <w:keepNext/>
        <w:widowControl/>
        <w:spacing w:line="360" w:lineRule="auto"/>
        <w:rPr>
          <w:b/>
          <w:sz w:val="26"/>
          <w:szCs w:val="26"/>
        </w:rPr>
      </w:pPr>
    </w:p>
    <w:p w14:paraId="4A1E934E" w14:textId="77777777" w:rsidR="004716C9" w:rsidRPr="000B5A3D" w:rsidRDefault="004716C9" w:rsidP="00065CA5">
      <w:pPr>
        <w:keepNext/>
        <w:widowControl/>
        <w:spacing w:line="360" w:lineRule="auto"/>
        <w:rPr>
          <w:sz w:val="26"/>
          <w:szCs w:val="26"/>
        </w:rPr>
      </w:pPr>
      <w:r w:rsidRPr="000B5A3D">
        <w:rPr>
          <w:b/>
          <w:sz w:val="26"/>
          <w:szCs w:val="26"/>
        </w:rPr>
        <w:t>Legal Standard</w:t>
      </w:r>
      <w:r w:rsidR="00040BB7">
        <w:rPr>
          <w:b/>
          <w:sz w:val="26"/>
          <w:szCs w:val="26"/>
        </w:rPr>
        <w:t>s</w:t>
      </w:r>
    </w:p>
    <w:p w14:paraId="12060303" w14:textId="77777777" w:rsidR="004716C9" w:rsidRDefault="004716C9" w:rsidP="00065CA5">
      <w:pPr>
        <w:widowControl/>
        <w:spacing w:line="360" w:lineRule="auto"/>
        <w:rPr>
          <w:sz w:val="26"/>
          <w:szCs w:val="26"/>
        </w:rPr>
      </w:pPr>
    </w:p>
    <w:p w14:paraId="0BAE3E3E" w14:textId="77777777" w:rsidR="004716C9" w:rsidRDefault="004716C9" w:rsidP="00065CA5">
      <w:pPr>
        <w:widowControl/>
        <w:spacing w:line="360" w:lineRule="auto"/>
        <w:ind w:firstLine="1440"/>
        <w:rPr>
          <w:sz w:val="26"/>
          <w:szCs w:val="26"/>
        </w:rPr>
      </w:pPr>
      <w:r>
        <w:rPr>
          <w:sz w:val="26"/>
          <w:szCs w:val="26"/>
        </w:rPr>
        <w:t xml:space="preserve">A customer has the right to file a formal complaint with the Commission in accordance with 66 Pa. C.S. § 701 and 52 Pa. Code §§ 5.21-22.  </w:t>
      </w:r>
      <w:r w:rsidRPr="00FD56D4">
        <w:rPr>
          <w:sz w:val="26"/>
          <w:szCs w:val="26"/>
        </w:rPr>
        <w:t xml:space="preserve">As a matter of law, to establish a legally sufficient claim, a complainant must show that the named utility is responsible or accountable for the problem described in the complaint in order to prevail.  </w:t>
      </w:r>
      <w:r w:rsidRPr="00FD56D4">
        <w:rPr>
          <w:i/>
          <w:sz w:val="26"/>
          <w:szCs w:val="26"/>
        </w:rPr>
        <w:t>Patterson v. The Bell Telephone Company of Pennsylvania</w:t>
      </w:r>
      <w:r w:rsidRPr="00FD56D4">
        <w:rPr>
          <w:sz w:val="26"/>
          <w:szCs w:val="26"/>
        </w:rPr>
        <w:t>, 72 Pa. P.U.C. 196 (1990).  The offense must be a violation of the Public Utility Code (Code), a Commission Regulation or Order or a violation of a Commission-approved tariff.  66 Pa. C.S. § 701.</w:t>
      </w:r>
    </w:p>
    <w:p w14:paraId="3696942F" w14:textId="77777777" w:rsidR="004716C9" w:rsidRPr="00EB25C8" w:rsidRDefault="004716C9" w:rsidP="008E6368">
      <w:pPr>
        <w:widowControl/>
        <w:spacing w:line="360" w:lineRule="auto"/>
        <w:rPr>
          <w:sz w:val="26"/>
          <w:szCs w:val="26"/>
        </w:rPr>
      </w:pPr>
    </w:p>
    <w:p w14:paraId="49BFA9BD" w14:textId="77777777" w:rsidR="004716C9" w:rsidRPr="006356D6" w:rsidRDefault="004716C9" w:rsidP="00065CA5">
      <w:pPr>
        <w:widowControl/>
        <w:spacing w:line="360" w:lineRule="auto"/>
        <w:ind w:firstLine="1440"/>
        <w:rPr>
          <w:sz w:val="26"/>
          <w:szCs w:val="26"/>
        </w:rPr>
      </w:pPr>
      <w:r w:rsidRPr="006356D6">
        <w:rPr>
          <w:sz w:val="26"/>
          <w:szCs w:val="26"/>
        </w:rPr>
        <w:t xml:space="preserve">Section 332(a) of the Public Utility Code (Code) provides that a complainant, as the party seeking affirmative relief from the Commission, has the burden </w:t>
      </w:r>
      <w:r w:rsidRPr="006356D6">
        <w:rPr>
          <w:sz w:val="26"/>
          <w:szCs w:val="26"/>
        </w:rPr>
        <w:lastRenderedPageBreak/>
        <w:t xml:space="preserve">of proof.  66 Pa. C.S. § 332(a).  The burden of proof for actions before the Commission is the “preponderance of the evidence” standard.  </w:t>
      </w:r>
      <w:r w:rsidRPr="006356D6">
        <w:rPr>
          <w:i/>
          <w:sz w:val="26"/>
          <w:szCs w:val="26"/>
        </w:rPr>
        <w:t>Suber v. Pennsylvania Com’n on Crime and Deliquency</w:t>
      </w:r>
      <w:r w:rsidRPr="006356D6">
        <w:rPr>
          <w:sz w:val="26"/>
          <w:szCs w:val="26"/>
        </w:rPr>
        <w:t xml:space="preserve">, 885 A. </w:t>
      </w:r>
      <w:r w:rsidR="00CE09C4">
        <w:rPr>
          <w:sz w:val="26"/>
          <w:szCs w:val="26"/>
        </w:rPr>
        <w:t>2d 678, 682 (Pa. Cmwlth. 2005)</w:t>
      </w:r>
      <w:r w:rsidRPr="006356D6">
        <w:rPr>
          <w:sz w:val="26"/>
          <w:szCs w:val="26"/>
        </w:rPr>
        <w:t xml:space="preserve">; </w:t>
      </w:r>
      <w:r w:rsidRPr="006356D6">
        <w:rPr>
          <w:i/>
          <w:iCs/>
          <w:sz w:val="26"/>
          <w:szCs w:val="26"/>
        </w:rPr>
        <w:t>Samuel J. Lansberry, Inc. v. Pa. PUC</w:t>
      </w:r>
      <w:r w:rsidRPr="006356D6">
        <w:rPr>
          <w:sz w:val="26"/>
          <w:szCs w:val="26"/>
        </w:rPr>
        <w:t xml:space="preserve">, 578 A.2d 600 (Pa. Cmwlth. 1990), </w:t>
      </w:r>
      <w:r w:rsidRPr="006356D6">
        <w:rPr>
          <w:i/>
          <w:sz w:val="26"/>
          <w:szCs w:val="26"/>
        </w:rPr>
        <w:t>alloc. denied,</w:t>
      </w:r>
      <w:r w:rsidRPr="006356D6">
        <w:rPr>
          <w:sz w:val="26"/>
          <w:szCs w:val="26"/>
        </w:rPr>
        <w:t xml:space="preserve"> 52</w:t>
      </w:r>
      <w:r w:rsidR="00CE09C4">
        <w:rPr>
          <w:sz w:val="26"/>
          <w:szCs w:val="26"/>
        </w:rPr>
        <w:t>9 Pa. 654, 602 A.2d 863 (1992)</w:t>
      </w:r>
      <w:r w:rsidRPr="006356D6">
        <w:rPr>
          <w:sz w:val="26"/>
          <w:szCs w:val="26"/>
        </w:rPr>
        <w:t xml:space="preserve">.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6356D6">
        <w:rPr>
          <w:i/>
          <w:sz w:val="26"/>
          <w:szCs w:val="26"/>
        </w:rPr>
        <w:t xml:space="preserve">See </w:t>
      </w:r>
      <w:r w:rsidRPr="006356D6">
        <w:rPr>
          <w:i/>
          <w:iCs/>
          <w:sz w:val="26"/>
          <w:szCs w:val="26"/>
        </w:rPr>
        <w:t>Se-Ling Hosiery, Inc. v. Margulies,</w:t>
      </w:r>
      <w:r w:rsidRPr="006356D6">
        <w:rPr>
          <w:sz w:val="26"/>
          <w:szCs w:val="26"/>
        </w:rPr>
        <w:t xml:space="preserve"> 364 Pa. 45, 48-49, 70 A.2d 854, 855 (1950).</w:t>
      </w:r>
      <w:r w:rsidRPr="006356D6">
        <w:rPr>
          <w:rFonts w:ascii="Arial" w:hAnsi="Arial" w:cs="Arial"/>
          <w:sz w:val="21"/>
          <w:szCs w:val="21"/>
        </w:rPr>
        <w:t xml:space="preserve">  </w:t>
      </w:r>
    </w:p>
    <w:p w14:paraId="58DF8942" w14:textId="77777777" w:rsidR="004716C9" w:rsidRPr="006356D6" w:rsidRDefault="004716C9" w:rsidP="00065CA5">
      <w:pPr>
        <w:widowControl/>
        <w:spacing w:line="360" w:lineRule="auto"/>
        <w:ind w:firstLine="1440"/>
        <w:rPr>
          <w:sz w:val="26"/>
          <w:szCs w:val="26"/>
        </w:rPr>
      </w:pPr>
    </w:p>
    <w:p w14:paraId="12A17B67" w14:textId="77777777" w:rsidR="004716C9" w:rsidRDefault="004716C9" w:rsidP="00065CA5">
      <w:pPr>
        <w:widowControl/>
        <w:spacing w:line="360" w:lineRule="auto"/>
        <w:ind w:firstLine="1440"/>
        <w:rPr>
          <w:sz w:val="26"/>
          <w:szCs w:val="26"/>
        </w:rPr>
      </w:pPr>
      <w:r>
        <w:rPr>
          <w:rFonts w:eastAsiaTheme="minorHAnsi"/>
          <w:sz w:val="26"/>
          <w:szCs w:val="26"/>
        </w:rPr>
        <w:t>A</w:t>
      </w:r>
      <w:r w:rsidRPr="00AF3DB9">
        <w:rPr>
          <w:rFonts w:eastAsiaTheme="minorHAnsi"/>
          <w:sz w:val="26"/>
          <w:szCs w:val="26"/>
        </w:rPr>
        <w:t>djudications by the Commission must be supported by substantial evidence in the record.  2 Pa.</w:t>
      </w:r>
      <w:r w:rsidR="005F46CE">
        <w:rPr>
          <w:rFonts w:eastAsiaTheme="minorHAnsi"/>
          <w:sz w:val="26"/>
          <w:szCs w:val="26"/>
        </w:rPr>
        <w:t xml:space="preserve"> </w:t>
      </w:r>
      <w:r w:rsidRPr="00AF3DB9">
        <w:rPr>
          <w:rFonts w:eastAsiaTheme="minorHAnsi"/>
          <w:sz w:val="26"/>
          <w:szCs w:val="26"/>
        </w:rPr>
        <w:t>C.S. § 704.</w:t>
      </w:r>
      <w:r w:rsidRPr="00AF3DB9">
        <w:rPr>
          <w:rFonts w:eastAsiaTheme="minorHAnsi"/>
          <w:szCs w:val="26"/>
        </w:rPr>
        <w:t xml:space="preserve">  “</w:t>
      </w:r>
      <w:r w:rsidRPr="00AF3DB9">
        <w:rPr>
          <w:sz w:val="26"/>
          <w:szCs w:val="26"/>
        </w:rPr>
        <w:t xml:space="preserve">Substantial evidence” is such relevant evidence that a reasonable mind might accept as adequate to support a conclusion.  </w:t>
      </w:r>
      <w:r w:rsidRPr="00AF3DB9">
        <w:rPr>
          <w:i/>
          <w:sz w:val="26"/>
          <w:szCs w:val="26"/>
        </w:rPr>
        <w:t>Consolidated Edison Company of New York v. National Labor Relations Board</w:t>
      </w:r>
      <w:r w:rsidRPr="00AF3DB9">
        <w:rPr>
          <w:sz w:val="26"/>
          <w:szCs w:val="26"/>
        </w:rPr>
        <w:t>, 305 U.S. 197, 229, 59 S.Ct. 206, 217</w:t>
      </w:r>
      <w:r w:rsidR="00CE09C4">
        <w:rPr>
          <w:sz w:val="26"/>
          <w:szCs w:val="26"/>
        </w:rPr>
        <w:t xml:space="preserve"> (1938)</w:t>
      </w:r>
      <w:r w:rsidRPr="00AF3DB9">
        <w:rPr>
          <w:sz w:val="26"/>
          <w:szCs w:val="26"/>
        </w:rPr>
        <w:t xml:space="preserve">.  More is required than a mere trace of evidence or a suspicion of the existence of a fact sought to be established.  </w:t>
      </w:r>
      <w:r w:rsidRPr="00AF3DB9">
        <w:rPr>
          <w:i/>
          <w:sz w:val="26"/>
          <w:szCs w:val="26"/>
        </w:rPr>
        <w:t xml:space="preserve">Norfolk &amp; Western Ry. Co. v. Pa. PUC, </w:t>
      </w:r>
      <w:r w:rsidRPr="00AF3DB9">
        <w:rPr>
          <w:sz w:val="26"/>
          <w:szCs w:val="26"/>
        </w:rPr>
        <w:t>489</w:t>
      </w:r>
      <w:r w:rsidR="00CE09C4">
        <w:rPr>
          <w:sz w:val="26"/>
          <w:szCs w:val="26"/>
        </w:rPr>
        <w:t xml:space="preserve"> Pa. 109, 413 A.2d 1037 (1980).</w:t>
      </w:r>
    </w:p>
    <w:p w14:paraId="5807CA66" w14:textId="77777777" w:rsidR="004A5A94" w:rsidRDefault="004A5A94" w:rsidP="00065CA5">
      <w:pPr>
        <w:widowControl/>
        <w:spacing w:line="360" w:lineRule="auto"/>
        <w:ind w:firstLine="1440"/>
        <w:rPr>
          <w:sz w:val="26"/>
          <w:szCs w:val="26"/>
        </w:rPr>
      </w:pPr>
    </w:p>
    <w:p w14:paraId="3DEC9CCC" w14:textId="77777777" w:rsidR="004A5A94" w:rsidRPr="00040BB7" w:rsidRDefault="004A5A94" w:rsidP="004A5A94">
      <w:pPr>
        <w:widowControl/>
        <w:spacing w:line="360" w:lineRule="auto"/>
        <w:ind w:firstLine="1440"/>
      </w:pPr>
      <w:r w:rsidRPr="00854F7B">
        <w:rPr>
          <w:sz w:val="26"/>
          <w:szCs w:val="26"/>
        </w:rPr>
        <w:t xml:space="preserve">Since this matter involves a </w:t>
      </w:r>
      <w:r w:rsidRPr="00065CA5">
        <w:rPr>
          <w:sz w:val="26"/>
          <w:szCs w:val="26"/>
        </w:rPr>
        <w:t>Complainant with a valid PFA Order, Chapter 14 of the Public Utility Code does not apply i</w:t>
      </w:r>
      <w:r>
        <w:rPr>
          <w:sz w:val="26"/>
          <w:szCs w:val="26"/>
        </w:rPr>
        <w:t>n this case.  Section 1417 provides:</w:t>
      </w:r>
    </w:p>
    <w:p w14:paraId="39480D9C" w14:textId="77777777" w:rsidR="004A5A94" w:rsidRDefault="004A5A94" w:rsidP="004A5A94">
      <w:pPr>
        <w:widowControl/>
        <w:ind w:left="1440" w:right="1440"/>
        <w:rPr>
          <w:sz w:val="26"/>
          <w:szCs w:val="26"/>
        </w:rPr>
      </w:pPr>
    </w:p>
    <w:p w14:paraId="1C3EE8CC" w14:textId="77777777" w:rsidR="004A5A94" w:rsidRDefault="004A5A94" w:rsidP="004A5A94">
      <w:pPr>
        <w:widowControl/>
        <w:ind w:left="1440" w:right="1440"/>
        <w:rPr>
          <w:sz w:val="26"/>
          <w:szCs w:val="26"/>
        </w:rPr>
      </w:pPr>
      <w:r w:rsidRPr="00065CA5">
        <w:rPr>
          <w:sz w:val="26"/>
          <w:szCs w:val="26"/>
        </w:rPr>
        <w:t xml:space="preserve">Nonapplicability </w:t>
      </w:r>
      <w:r w:rsidR="008E6368">
        <w:rPr>
          <w:sz w:val="26"/>
          <w:szCs w:val="26"/>
        </w:rPr>
        <w:t xml:space="preserve">– </w:t>
      </w:r>
      <w:r w:rsidRPr="00065CA5">
        <w:rPr>
          <w:sz w:val="26"/>
          <w:szCs w:val="26"/>
        </w:rPr>
        <w:t>This chapter shall not apply to victims under a protection from abuse order as provided by 23 PA. C.S. Ch. 61 (relating to protection from abuse) or a court order issued by a court of competent jurisdiction in this Commonwealth, which applies clear evidence of domestic violence against the applicant or customer.</w:t>
      </w:r>
    </w:p>
    <w:p w14:paraId="3475ACC2" w14:textId="77777777" w:rsidR="008E6368" w:rsidRDefault="008E6368" w:rsidP="004A5A94">
      <w:pPr>
        <w:widowControl/>
        <w:ind w:left="1440" w:right="1440"/>
        <w:rPr>
          <w:sz w:val="26"/>
          <w:szCs w:val="26"/>
        </w:rPr>
      </w:pPr>
    </w:p>
    <w:p w14:paraId="21714F5E" w14:textId="77777777" w:rsidR="008E6368" w:rsidRDefault="008E6368" w:rsidP="004A5A94">
      <w:pPr>
        <w:widowControl/>
        <w:ind w:left="1440" w:right="1440"/>
        <w:rPr>
          <w:sz w:val="26"/>
          <w:szCs w:val="26"/>
        </w:rPr>
      </w:pPr>
    </w:p>
    <w:p w14:paraId="12FE882B" w14:textId="77777777" w:rsidR="004A5A94" w:rsidRDefault="004A5A94" w:rsidP="004A5A94">
      <w:pPr>
        <w:widowControl/>
        <w:spacing w:line="360" w:lineRule="auto"/>
        <w:rPr>
          <w:sz w:val="26"/>
          <w:szCs w:val="26"/>
        </w:rPr>
      </w:pPr>
      <w:r>
        <w:rPr>
          <w:sz w:val="26"/>
          <w:szCs w:val="26"/>
        </w:rPr>
        <w:t>66 Pa.</w:t>
      </w:r>
      <w:r w:rsidR="005F46CE">
        <w:rPr>
          <w:sz w:val="26"/>
          <w:szCs w:val="26"/>
        </w:rPr>
        <w:t xml:space="preserve"> </w:t>
      </w:r>
      <w:r>
        <w:rPr>
          <w:sz w:val="26"/>
          <w:szCs w:val="26"/>
        </w:rPr>
        <w:t>C.S. § 1417.</w:t>
      </w:r>
    </w:p>
    <w:p w14:paraId="49BA83E1" w14:textId="77777777" w:rsidR="002A512C" w:rsidRPr="00F769AE" w:rsidRDefault="002A512C" w:rsidP="00040BB7">
      <w:pPr>
        <w:widowControl/>
        <w:spacing w:line="360" w:lineRule="auto"/>
        <w:rPr>
          <w:sz w:val="26"/>
          <w:szCs w:val="26"/>
        </w:rPr>
      </w:pPr>
    </w:p>
    <w:p w14:paraId="136239AA" w14:textId="77777777" w:rsidR="004716C9" w:rsidRDefault="004716C9" w:rsidP="00040BB7">
      <w:pPr>
        <w:keepNext/>
        <w:keepLines/>
        <w:widowControl/>
        <w:spacing w:line="360" w:lineRule="auto"/>
        <w:rPr>
          <w:b/>
          <w:sz w:val="26"/>
          <w:szCs w:val="26"/>
        </w:rPr>
      </w:pPr>
      <w:r>
        <w:rPr>
          <w:b/>
          <w:sz w:val="26"/>
          <w:szCs w:val="26"/>
        </w:rPr>
        <w:lastRenderedPageBreak/>
        <w:t>ALJ’s Initial Decision</w:t>
      </w:r>
    </w:p>
    <w:p w14:paraId="3A4AE9F4" w14:textId="77777777" w:rsidR="004716C9" w:rsidRDefault="004716C9" w:rsidP="00040BB7">
      <w:pPr>
        <w:keepNext/>
        <w:keepLines/>
        <w:widowControl/>
        <w:spacing w:line="360" w:lineRule="auto"/>
        <w:rPr>
          <w:sz w:val="26"/>
          <w:szCs w:val="26"/>
        </w:rPr>
      </w:pPr>
    </w:p>
    <w:p w14:paraId="66FDFC25" w14:textId="77777777" w:rsidR="00F769AE" w:rsidRDefault="00CE09C4" w:rsidP="00065CA5">
      <w:pPr>
        <w:widowControl/>
        <w:spacing w:line="360" w:lineRule="auto"/>
        <w:ind w:firstLine="1440"/>
        <w:rPr>
          <w:sz w:val="26"/>
          <w:szCs w:val="26"/>
        </w:rPr>
      </w:pPr>
      <w:r>
        <w:rPr>
          <w:sz w:val="26"/>
          <w:szCs w:val="26"/>
        </w:rPr>
        <w:t xml:space="preserve">ALJ Guhl made thirty-four </w:t>
      </w:r>
      <w:r w:rsidR="004716C9" w:rsidRPr="00967499">
        <w:rPr>
          <w:sz w:val="26"/>
          <w:szCs w:val="26"/>
        </w:rPr>
        <w:t xml:space="preserve">Findings of Fact and reached </w:t>
      </w:r>
      <w:r>
        <w:rPr>
          <w:sz w:val="26"/>
          <w:szCs w:val="26"/>
        </w:rPr>
        <w:t>twelve</w:t>
      </w:r>
      <w:r w:rsidR="004716C9" w:rsidRPr="00967499">
        <w:rPr>
          <w:sz w:val="26"/>
          <w:szCs w:val="26"/>
        </w:rPr>
        <w:t xml:space="preserve"> Conclusions of Law</w:t>
      </w:r>
      <w:r>
        <w:rPr>
          <w:sz w:val="26"/>
          <w:szCs w:val="26"/>
        </w:rPr>
        <w:t>.  I.D. at 3-6</w:t>
      </w:r>
      <w:r w:rsidR="004716C9" w:rsidRPr="00967499">
        <w:rPr>
          <w:sz w:val="26"/>
          <w:szCs w:val="26"/>
        </w:rPr>
        <w:t xml:space="preserve">, </w:t>
      </w:r>
      <w:r>
        <w:rPr>
          <w:sz w:val="26"/>
          <w:szCs w:val="26"/>
        </w:rPr>
        <w:t>12-14</w:t>
      </w:r>
      <w:r w:rsidR="004716C9" w:rsidRPr="00967499">
        <w:rPr>
          <w:sz w:val="26"/>
          <w:szCs w:val="26"/>
        </w:rPr>
        <w:t>.  The Findings of Fact and Conclusions of Law are incorporated herein by reference and are adopted without comment unless they are either expressly or by necessary implication rejected or modified by this Opinion and Order.</w:t>
      </w:r>
    </w:p>
    <w:p w14:paraId="38BF14B9" w14:textId="77777777" w:rsidR="00F769AE" w:rsidRDefault="00F769AE" w:rsidP="00065CA5">
      <w:pPr>
        <w:widowControl/>
        <w:spacing w:line="360" w:lineRule="auto"/>
        <w:ind w:firstLine="1440"/>
        <w:rPr>
          <w:sz w:val="26"/>
          <w:szCs w:val="26"/>
        </w:rPr>
      </w:pPr>
    </w:p>
    <w:p w14:paraId="158ACBA9" w14:textId="77777777" w:rsidR="0094294B" w:rsidRDefault="004716C9" w:rsidP="0094294B">
      <w:pPr>
        <w:widowControl/>
        <w:spacing w:line="360" w:lineRule="auto"/>
        <w:ind w:firstLine="1440"/>
        <w:rPr>
          <w:sz w:val="26"/>
          <w:szCs w:val="26"/>
        </w:rPr>
      </w:pPr>
      <w:r w:rsidRPr="00854F7B">
        <w:rPr>
          <w:sz w:val="26"/>
          <w:szCs w:val="26"/>
        </w:rPr>
        <w:t xml:space="preserve">The ALJ explained that </w:t>
      </w:r>
      <w:r w:rsidR="00F769AE" w:rsidRPr="00854F7B">
        <w:rPr>
          <w:sz w:val="26"/>
          <w:szCs w:val="26"/>
        </w:rPr>
        <w:t>t</w:t>
      </w:r>
      <w:r w:rsidR="000C3E1F" w:rsidRPr="00854F7B">
        <w:rPr>
          <w:sz w:val="26"/>
          <w:szCs w:val="26"/>
        </w:rPr>
        <w:t>he Complainant denied tampering with the utility service at Address A and indicated that she left Address A in 2013 and</w:t>
      </w:r>
      <w:r w:rsidR="00F769AE" w:rsidRPr="00854F7B">
        <w:rPr>
          <w:sz w:val="26"/>
          <w:szCs w:val="26"/>
        </w:rPr>
        <w:t xml:space="preserve"> did not return until 2015. </w:t>
      </w:r>
      <w:r w:rsidR="008F774D">
        <w:rPr>
          <w:sz w:val="26"/>
          <w:szCs w:val="26"/>
        </w:rPr>
        <w:t xml:space="preserve"> </w:t>
      </w:r>
      <w:r w:rsidR="0094294B" w:rsidRPr="0094294B">
        <w:rPr>
          <w:i/>
          <w:sz w:val="26"/>
          <w:szCs w:val="26"/>
        </w:rPr>
        <w:t>Id</w:t>
      </w:r>
      <w:r w:rsidR="0094294B">
        <w:rPr>
          <w:sz w:val="26"/>
          <w:szCs w:val="26"/>
        </w:rPr>
        <w:t xml:space="preserve">. </w:t>
      </w:r>
      <w:r w:rsidR="008F774D">
        <w:rPr>
          <w:sz w:val="26"/>
          <w:szCs w:val="26"/>
        </w:rPr>
        <w:t xml:space="preserve">at 7 (citing </w:t>
      </w:r>
      <w:r w:rsidR="000C3E1F" w:rsidRPr="00854F7B">
        <w:rPr>
          <w:sz w:val="26"/>
          <w:szCs w:val="26"/>
        </w:rPr>
        <w:t>Tr</w:t>
      </w:r>
      <w:r w:rsidR="00F769AE" w:rsidRPr="00854F7B">
        <w:rPr>
          <w:sz w:val="26"/>
          <w:szCs w:val="26"/>
        </w:rPr>
        <w:t>. at</w:t>
      </w:r>
      <w:r w:rsidR="000C3E1F" w:rsidRPr="00854F7B">
        <w:rPr>
          <w:sz w:val="26"/>
          <w:szCs w:val="26"/>
        </w:rPr>
        <w:t xml:space="preserve"> 11-13, 46-47</w:t>
      </w:r>
      <w:r w:rsidR="008F774D">
        <w:rPr>
          <w:sz w:val="26"/>
          <w:szCs w:val="26"/>
        </w:rPr>
        <w:t>)</w:t>
      </w:r>
      <w:r w:rsidR="000C3E1F" w:rsidRPr="00854F7B">
        <w:rPr>
          <w:sz w:val="26"/>
          <w:szCs w:val="26"/>
        </w:rPr>
        <w:t xml:space="preserve">. </w:t>
      </w:r>
      <w:r w:rsidR="00F769AE" w:rsidRPr="00854F7B">
        <w:rPr>
          <w:sz w:val="26"/>
          <w:szCs w:val="26"/>
        </w:rPr>
        <w:t xml:space="preserve"> </w:t>
      </w:r>
      <w:r w:rsidR="000C3E1F" w:rsidRPr="00854F7B">
        <w:rPr>
          <w:sz w:val="26"/>
          <w:szCs w:val="26"/>
        </w:rPr>
        <w:t xml:space="preserve">The Complainant acknowledged that she continued to have access to Address A even after she left in 2013. </w:t>
      </w:r>
      <w:r w:rsidR="008F774D">
        <w:rPr>
          <w:sz w:val="26"/>
          <w:szCs w:val="26"/>
        </w:rPr>
        <w:t xml:space="preserve"> </w:t>
      </w:r>
      <w:r w:rsidR="008F774D" w:rsidRPr="008F774D">
        <w:rPr>
          <w:i/>
          <w:sz w:val="26"/>
          <w:szCs w:val="26"/>
        </w:rPr>
        <w:t>Id</w:t>
      </w:r>
      <w:r w:rsidR="008F774D">
        <w:rPr>
          <w:sz w:val="26"/>
          <w:szCs w:val="26"/>
        </w:rPr>
        <w:t xml:space="preserve">. (citing </w:t>
      </w:r>
      <w:r w:rsidR="000C3E1F" w:rsidRPr="00854F7B">
        <w:rPr>
          <w:sz w:val="26"/>
          <w:szCs w:val="26"/>
        </w:rPr>
        <w:t xml:space="preserve">Tr. </w:t>
      </w:r>
      <w:r w:rsidR="008F774D">
        <w:rPr>
          <w:sz w:val="26"/>
          <w:szCs w:val="26"/>
        </w:rPr>
        <w:t xml:space="preserve">at </w:t>
      </w:r>
      <w:r w:rsidR="000C3E1F" w:rsidRPr="00854F7B">
        <w:rPr>
          <w:sz w:val="26"/>
          <w:szCs w:val="26"/>
        </w:rPr>
        <w:t>39</w:t>
      </w:r>
      <w:r w:rsidR="008F774D">
        <w:rPr>
          <w:sz w:val="26"/>
          <w:szCs w:val="26"/>
        </w:rPr>
        <w:t>)</w:t>
      </w:r>
      <w:r w:rsidR="000C3E1F" w:rsidRPr="00854F7B">
        <w:rPr>
          <w:sz w:val="26"/>
          <w:szCs w:val="26"/>
        </w:rPr>
        <w:t xml:space="preserve">. </w:t>
      </w:r>
      <w:r w:rsidR="00F3508A">
        <w:rPr>
          <w:sz w:val="26"/>
          <w:szCs w:val="26"/>
        </w:rPr>
        <w:t xml:space="preserve"> </w:t>
      </w:r>
      <w:r w:rsidR="004A5A94">
        <w:rPr>
          <w:sz w:val="26"/>
          <w:szCs w:val="26"/>
        </w:rPr>
        <w:t xml:space="preserve">The ALJ also explained that </w:t>
      </w:r>
      <w:r w:rsidR="00F3508A">
        <w:rPr>
          <w:sz w:val="26"/>
          <w:szCs w:val="26"/>
        </w:rPr>
        <w:t xml:space="preserve">PGW </w:t>
      </w:r>
      <w:r w:rsidR="000C3E1F" w:rsidRPr="00854F7B">
        <w:rPr>
          <w:sz w:val="26"/>
          <w:szCs w:val="26"/>
        </w:rPr>
        <w:t>assert</w:t>
      </w:r>
      <w:r w:rsidR="004A5A94">
        <w:rPr>
          <w:sz w:val="26"/>
          <w:szCs w:val="26"/>
        </w:rPr>
        <w:t>ed</w:t>
      </w:r>
      <w:r w:rsidR="000C3E1F" w:rsidRPr="00854F7B">
        <w:rPr>
          <w:sz w:val="26"/>
          <w:szCs w:val="26"/>
        </w:rPr>
        <w:t xml:space="preserve"> that Ms. Oduwole was the responsible party because the service in her name at Address A was terminated in June 2011</w:t>
      </w:r>
      <w:r w:rsidR="00BD1A55">
        <w:rPr>
          <w:sz w:val="26"/>
          <w:szCs w:val="26"/>
        </w:rPr>
        <w:t>,</w:t>
      </w:r>
      <w:r w:rsidR="000C3E1F" w:rsidRPr="00854F7B">
        <w:rPr>
          <w:sz w:val="26"/>
          <w:szCs w:val="26"/>
        </w:rPr>
        <w:t xml:space="preserve"> and</w:t>
      </w:r>
      <w:r w:rsidR="00BD1A55">
        <w:rPr>
          <w:sz w:val="26"/>
          <w:szCs w:val="26"/>
        </w:rPr>
        <w:t xml:space="preserve"> it</w:t>
      </w:r>
      <w:r w:rsidR="000C3E1F" w:rsidRPr="00854F7B">
        <w:rPr>
          <w:sz w:val="26"/>
          <w:szCs w:val="26"/>
        </w:rPr>
        <w:t xml:space="preserve"> should have </w:t>
      </w:r>
      <w:r w:rsidR="00BD1A55">
        <w:rPr>
          <w:sz w:val="26"/>
          <w:szCs w:val="26"/>
        </w:rPr>
        <w:t>remained o</w:t>
      </w:r>
      <w:r w:rsidR="000C3E1F" w:rsidRPr="00854F7B">
        <w:rPr>
          <w:sz w:val="26"/>
          <w:szCs w:val="26"/>
        </w:rPr>
        <w:t xml:space="preserve">ff when the premises was checked in February 2016. </w:t>
      </w:r>
      <w:r w:rsidR="008F774D" w:rsidRPr="008F774D">
        <w:rPr>
          <w:i/>
          <w:sz w:val="26"/>
          <w:szCs w:val="26"/>
        </w:rPr>
        <w:t xml:space="preserve"> Id</w:t>
      </w:r>
      <w:r w:rsidR="008F774D">
        <w:rPr>
          <w:sz w:val="26"/>
          <w:szCs w:val="26"/>
        </w:rPr>
        <w:t xml:space="preserve">. </w:t>
      </w:r>
      <w:r w:rsidR="0094294B">
        <w:rPr>
          <w:sz w:val="26"/>
          <w:szCs w:val="26"/>
        </w:rPr>
        <w:t xml:space="preserve"> </w:t>
      </w:r>
      <w:r w:rsidR="00BD1A55">
        <w:rPr>
          <w:sz w:val="26"/>
          <w:szCs w:val="26"/>
        </w:rPr>
        <w:t xml:space="preserve">The ALJ </w:t>
      </w:r>
      <w:r w:rsidR="0094294B">
        <w:rPr>
          <w:sz w:val="26"/>
          <w:szCs w:val="26"/>
        </w:rPr>
        <w:t>summarized the testimonies</w:t>
      </w:r>
      <w:r w:rsidR="00BD1A55">
        <w:rPr>
          <w:sz w:val="26"/>
          <w:szCs w:val="26"/>
        </w:rPr>
        <w:t xml:space="preserve"> </w:t>
      </w:r>
      <w:r w:rsidR="0094294B">
        <w:rPr>
          <w:sz w:val="26"/>
          <w:szCs w:val="26"/>
        </w:rPr>
        <w:t>of PGW’s witnesses,</w:t>
      </w:r>
      <w:r w:rsidR="000C3E1F" w:rsidRPr="00854F7B">
        <w:rPr>
          <w:sz w:val="26"/>
          <w:szCs w:val="26"/>
        </w:rPr>
        <w:t xml:space="preserve"> </w:t>
      </w:r>
      <w:r w:rsidR="00BD1A55" w:rsidRPr="00854F7B">
        <w:rPr>
          <w:sz w:val="26"/>
          <w:szCs w:val="26"/>
        </w:rPr>
        <w:t>Duc Nguyen</w:t>
      </w:r>
      <w:r w:rsidR="00BD1A55">
        <w:rPr>
          <w:sz w:val="26"/>
          <w:szCs w:val="26"/>
        </w:rPr>
        <w:t xml:space="preserve">, </w:t>
      </w:r>
      <w:r w:rsidR="000C3E1F" w:rsidRPr="00854F7B">
        <w:rPr>
          <w:sz w:val="26"/>
          <w:szCs w:val="26"/>
        </w:rPr>
        <w:t xml:space="preserve">Field Service Technician, </w:t>
      </w:r>
      <w:r w:rsidR="00BD1A55">
        <w:rPr>
          <w:sz w:val="26"/>
          <w:szCs w:val="26"/>
        </w:rPr>
        <w:t xml:space="preserve">and </w:t>
      </w:r>
      <w:r w:rsidR="00BD1A55" w:rsidRPr="00854F7B">
        <w:rPr>
          <w:sz w:val="26"/>
          <w:szCs w:val="26"/>
        </w:rPr>
        <w:t>Jessica Glace, a</w:t>
      </w:r>
      <w:r w:rsidR="00BD1A55">
        <w:rPr>
          <w:sz w:val="26"/>
          <w:szCs w:val="26"/>
        </w:rPr>
        <w:t xml:space="preserve"> Senior Customer Review Officer, </w:t>
      </w:r>
      <w:r w:rsidR="0094294B">
        <w:rPr>
          <w:sz w:val="26"/>
          <w:szCs w:val="26"/>
        </w:rPr>
        <w:t>wh</w:t>
      </w:r>
      <w:r w:rsidR="008E6368">
        <w:rPr>
          <w:sz w:val="26"/>
          <w:szCs w:val="26"/>
        </w:rPr>
        <w:t>ich</w:t>
      </w:r>
      <w:r w:rsidR="0094294B">
        <w:rPr>
          <w:sz w:val="26"/>
          <w:szCs w:val="26"/>
        </w:rPr>
        <w:t xml:space="preserve"> PGW presented </w:t>
      </w:r>
      <w:r w:rsidR="00BD1A55">
        <w:rPr>
          <w:sz w:val="26"/>
          <w:szCs w:val="26"/>
        </w:rPr>
        <w:t>t</w:t>
      </w:r>
      <w:r w:rsidR="00BD1A55" w:rsidRPr="00854F7B">
        <w:rPr>
          <w:sz w:val="26"/>
          <w:szCs w:val="26"/>
        </w:rPr>
        <w:t>o dispute the allegations of the Com</w:t>
      </w:r>
      <w:r w:rsidR="00BD1A55">
        <w:rPr>
          <w:sz w:val="26"/>
          <w:szCs w:val="26"/>
        </w:rPr>
        <w:t>plainant</w:t>
      </w:r>
      <w:r w:rsidR="000C3E1F" w:rsidRPr="00854F7B">
        <w:rPr>
          <w:sz w:val="26"/>
          <w:szCs w:val="26"/>
        </w:rPr>
        <w:t xml:space="preserve">. </w:t>
      </w:r>
      <w:r w:rsidR="00BD1A55">
        <w:rPr>
          <w:sz w:val="26"/>
          <w:szCs w:val="26"/>
        </w:rPr>
        <w:t xml:space="preserve"> </w:t>
      </w:r>
      <w:r w:rsidR="0094294B" w:rsidRPr="0094294B">
        <w:rPr>
          <w:i/>
          <w:sz w:val="26"/>
          <w:szCs w:val="26"/>
        </w:rPr>
        <w:t>Id</w:t>
      </w:r>
      <w:r w:rsidR="0094294B">
        <w:rPr>
          <w:sz w:val="26"/>
          <w:szCs w:val="26"/>
        </w:rPr>
        <w:t>. at 7-8.</w:t>
      </w:r>
    </w:p>
    <w:p w14:paraId="08B3CCB1" w14:textId="77777777" w:rsidR="0094294B" w:rsidRDefault="0094294B" w:rsidP="0094294B">
      <w:pPr>
        <w:widowControl/>
        <w:spacing w:line="360" w:lineRule="auto"/>
        <w:ind w:firstLine="1440"/>
        <w:rPr>
          <w:sz w:val="26"/>
          <w:szCs w:val="26"/>
        </w:rPr>
      </w:pPr>
    </w:p>
    <w:p w14:paraId="74C061E9" w14:textId="77777777" w:rsidR="004716C9" w:rsidRDefault="00F769AE" w:rsidP="00065CA5">
      <w:pPr>
        <w:widowControl/>
        <w:spacing w:line="360" w:lineRule="auto"/>
        <w:ind w:firstLine="1440"/>
        <w:rPr>
          <w:sz w:val="26"/>
          <w:szCs w:val="26"/>
        </w:rPr>
      </w:pPr>
      <w:r w:rsidRPr="00854F7B">
        <w:rPr>
          <w:sz w:val="26"/>
          <w:szCs w:val="26"/>
        </w:rPr>
        <w:t xml:space="preserve">While acknowledging that the Complainant testified she had nothing to do with the tampering, the ALJ stated she was not persuaded by </w:t>
      </w:r>
      <w:r w:rsidR="00BD1A55">
        <w:rPr>
          <w:sz w:val="26"/>
          <w:szCs w:val="26"/>
        </w:rPr>
        <w:t xml:space="preserve">the Complainant’s </w:t>
      </w:r>
      <w:r w:rsidRPr="00854F7B">
        <w:rPr>
          <w:sz w:val="26"/>
          <w:szCs w:val="26"/>
        </w:rPr>
        <w:t xml:space="preserve">testimony. </w:t>
      </w:r>
      <w:r w:rsidR="008F774D">
        <w:rPr>
          <w:sz w:val="26"/>
          <w:szCs w:val="26"/>
        </w:rPr>
        <w:t xml:space="preserve"> </w:t>
      </w:r>
      <w:r w:rsidR="008F774D" w:rsidRPr="008F774D">
        <w:rPr>
          <w:i/>
          <w:sz w:val="26"/>
          <w:szCs w:val="26"/>
        </w:rPr>
        <w:t>Id</w:t>
      </w:r>
      <w:r w:rsidR="00BD1A55">
        <w:rPr>
          <w:sz w:val="26"/>
          <w:szCs w:val="26"/>
        </w:rPr>
        <w:t xml:space="preserve">. </w:t>
      </w:r>
      <w:r w:rsidR="008F774D">
        <w:rPr>
          <w:sz w:val="26"/>
          <w:szCs w:val="26"/>
        </w:rPr>
        <w:t xml:space="preserve">(citing </w:t>
      </w:r>
      <w:r w:rsidRPr="00854F7B">
        <w:rPr>
          <w:i/>
          <w:iCs/>
          <w:sz w:val="26"/>
          <w:szCs w:val="26"/>
        </w:rPr>
        <w:t>Mid-Atlantic Power Supply Association of Pennsylvania v. Pa. Pub. Util. Comm’n</w:t>
      </w:r>
      <w:r w:rsidRPr="00854F7B">
        <w:rPr>
          <w:sz w:val="26"/>
          <w:szCs w:val="26"/>
        </w:rPr>
        <w:t>, 746 A.2d 1196, 1200 (Pa.</w:t>
      </w:r>
      <w:r w:rsidR="00040BB7">
        <w:rPr>
          <w:sz w:val="26"/>
          <w:szCs w:val="26"/>
        </w:rPr>
        <w:t xml:space="preserve"> </w:t>
      </w:r>
      <w:r w:rsidRPr="00854F7B">
        <w:rPr>
          <w:sz w:val="26"/>
          <w:szCs w:val="26"/>
        </w:rPr>
        <w:t>Cmwlth. 2000)</w:t>
      </w:r>
      <w:r w:rsidR="00BD1A55" w:rsidRPr="00BD1A55">
        <w:rPr>
          <w:sz w:val="26"/>
          <w:szCs w:val="26"/>
        </w:rPr>
        <w:t xml:space="preserve"> </w:t>
      </w:r>
      <w:r w:rsidR="00BD1A55">
        <w:rPr>
          <w:sz w:val="26"/>
          <w:szCs w:val="26"/>
        </w:rPr>
        <w:t>(</w:t>
      </w:r>
      <w:r w:rsidR="00BD1A55" w:rsidRPr="00854F7B">
        <w:rPr>
          <w:sz w:val="26"/>
          <w:szCs w:val="26"/>
        </w:rPr>
        <w:t>“[m]ere bald assertions … do not constitute evidence.”</w:t>
      </w:r>
      <w:r w:rsidR="008F774D">
        <w:rPr>
          <w:sz w:val="26"/>
          <w:szCs w:val="26"/>
        </w:rPr>
        <w:t>)</w:t>
      </w:r>
      <w:r w:rsidRPr="00854F7B">
        <w:rPr>
          <w:sz w:val="26"/>
          <w:szCs w:val="26"/>
        </w:rPr>
        <w:t xml:space="preserve">. </w:t>
      </w:r>
      <w:r w:rsidR="008F774D">
        <w:rPr>
          <w:sz w:val="26"/>
          <w:szCs w:val="26"/>
        </w:rPr>
        <w:t xml:space="preserve"> </w:t>
      </w:r>
      <w:r w:rsidR="0094294B">
        <w:rPr>
          <w:sz w:val="26"/>
          <w:szCs w:val="26"/>
        </w:rPr>
        <w:t>S</w:t>
      </w:r>
      <w:r w:rsidRPr="00854F7B">
        <w:rPr>
          <w:sz w:val="26"/>
          <w:szCs w:val="26"/>
        </w:rPr>
        <w:t>ince there was a flex connector found at Address A a</w:t>
      </w:r>
      <w:r w:rsidR="00854F7B" w:rsidRPr="00854F7B">
        <w:rPr>
          <w:sz w:val="26"/>
          <w:szCs w:val="26"/>
        </w:rPr>
        <w:t>nd the meter was on the floor</w:t>
      </w:r>
      <w:r w:rsidR="0094294B">
        <w:rPr>
          <w:sz w:val="26"/>
          <w:szCs w:val="26"/>
        </w:rPr>
        <w:t xml:space="preserve"> of the basement</w:t>
      </w:r>
      <w:r w:rsidR="00854F7B" w:rsidRPr="00854F7B">
        <w:rPr>
          <w:sz w:val="26"/>
          <w:szCs w:val="26"/>
        </w:rPr>
        <w:t>, the ALJ</w:t>
      </w:r>
      <w:r w:rsidRPr="00854F7B">
        <w:rPr>
          <w:sz w:val="26"/>
          <w:szCs w:val="26"/>
        </w:rPr>
        <w:t xml:space="preserve"> conclude</w:t>
      </w:r>
      <w:r w:rsidR="00854F7B" w:rsidRPr="00854F7B">
        <w:rPr>
          <w:sz w:val="26"/>
          <w:szCs w:val="26"/>
        </w:rPr>
        <w:t>d</w:t>
      </w:r>
      <w:r w:rsidRPr="00854F7B">
        <w:rPr>
          <w:sz w:val="26"/>
          <w:szCs w:val="26"/>
        </w:rPr>
        <w:t xml:space="preserve"> that there was tampering with the service while the Complainant was connected to the address.</w:t>
      </w:r>
      <w:r w:rsidR="00854F7B" w:rsidRPr="00854F7B">
        <w:rPr>
          <w:sz w:val="26"/>
          <w:szCs w:val="26"/>
        </w:rPr>
        <w:t xml:space="preserve">  </w:t>
      </w:r>
      <w:r w:rsidR="009B18B8">
        <w:rPr>
          <w:sz w:val="26"/>
          <w:szCs w:val="26"/>
        </w:rPr>
        <w:t xml:space="preserve">I.D. at 9.  </w:t>
      </w:r>
      <w:r w:rsidR="00854F7B" w:rsidRPr="00854F7B">
        <w:rPr>
          <w:sz w:val="26"/>
          <w:szCs w:val="26"/>
        </w:rPr>
        <w:t xml:space="preserve">The ALJ concluded that the Company did nothing wrong in charging the Complainant for the unauthorized usage. </w:t>
      </w:r>
      <w:r w:rsidR="009B18B8">
        <w:rPr>
          <w:sz w:val="26"/>
          <w:szCs w:val="26"/>
        </w:rPr>
        <w:t xml:space="preserve"> </w:t>
      </w:r>
      <w:r w:rsidR="009B18B8" w:rsidRPr="009B18B8">
        <w:rPr>
          <w:i/>
          <w:sz w:val="26"/>
          <w:szCs w:val="26"/>
        </w:rPr>
        <w:t>Id</w:t>
      </w:r>
      <w:r w:rsidR="009B18B8">
        <w:rPr>
          <w:sz w:val="26"/>
          <w:szCs w:val="26"/>
        </w:rPr>
        <w:t xml:space="preserve">.  </w:t>
      </w:r>
      <w:r w:rsidR="00854F7B" w:rsidRPr="00854F7B">
        <w:rPr>
          <w:sz w:val="26"/>
          <w:szCs w:val="26"/>
        </w:rPr>
        <w:t xml:space="preserve">Although the Complainant contended that she did not use the service, the ALJ found persuasive that the Complainant acknowledged that she continued </w:t>
      </w:r>
      <w:r w:rsidR="00854F7B" w:rsidRPr="00854F7B">
        <w:rPr>
          <w:sz w:val="26"/>
          <w:szCs w:val="26"/>
        </w:rPr>
        <w:lastRenderedPageBreak/>
        <w:t xml:space="preserve">to have access to Address A after 2013 when she also had service at Address B and also returned to Address A in 2015 and was living there at the time Mr. Nguyen visited the address on February 25, 2016.  </w:t>
      </w:r>
      <w:r w:rsidR="00D04B52" w:rsidRPr="00D04B52">
        <w:rPr>
          <w:i/>
          <w:sz w:val="26"/>
          <w:szCs w:val="26"/>
        </w:rPr>
        <w:t>Id</w:t>
      </w:r>
      <w:r w:rsidR="00D04B52">
        <w:rPr>
          <w:sz w:val="26"/>
          <w:szCs w:val="26"/>
        </w:rPr>
        <w:t xml:space="preserve">.  </w:t>
      </w:r>
      <w:r w:rsidR="00854F7B" w:rsidRPr="00854F7B">
        <w:rPr>
          <w:sz w:val="26"/>
          <w:szCs w:val="26"/>
        </w:rPr>
        <w:t xml:space="preserve">The Complainant’s husband was also going back and forth to Address A after 2013. </w:t>
      </w:r>
      <w:r w:rsidR="009B18B8">
        <w:rPr>
          <w:sz w:val="26"/>
          <w:szCs w:val="26"/>
        </w:rPr>
        <w:t xml:space="preserve"> </w:t>
      </w:r>
      <w:r w:rsidR="009B18B8" w:rsidRPr="008F774D">
        <w:rPr>
          <w:i/>
          <w:sz w:val="26"/>
          <w:szCs w:val="26"/>
        </w:rPr>
        <w:t>Id</w:t>
      </w:r>
      <w:r w:rsidR="009B18B8">
        <w:rPr>
          <w:sz w:val="26"/>
          <w:szCs w:val="26"/>
        </w:rPr>
        <w:t xml:space="preserve">. (citing </w:t>
      </w:r>
      <w:r w:rsidR="00854F7B" w:rsidRPr="00854F7B">
        <w:rPr>
          <w:sz w:val="26"/>
          <w:szCs w:val="26"/>
        </w:rPr>
        <w:t xml:space="preserve">Tr. </w:t>
      </w:r>
      <w:r w:rsidR="009B18B8">
        <w:rPr>
          <w:sz w:val="26"/>
          <w:szCs w:val="26"/>
        </w:rPr>
        <w:t xml:space="preserve">at </w:t>
      </w:r>
      <w:r w:rsidR="00854F7B" w:rsidRPr="00854F7B">
        <w:rPr>
          <w:sz w:val="26"/>
          <w:szCs w:val="26"/>
        </w:rPr>
        <w:t>37-38</w:t>
      </w:r>
      <w:r w:rsidR="009B18B8">
        <w:rPr>
          <w:sz w:val="26"/>
          <w:szCs w:val="26"/>
        </w:rPr>
        <w:t>)</w:t>
      </w:r>
      <w:r w:rsidR="00854F7B" w:rsidRPr="00854F7B">
        <w:rPr>
          <w:sz w:val="26"/>
          <w:szCs w:val="26"/>
        </w:rPr>
        <w:t>.</w:t>
      </w:r>
    </w:p>
    <w:p w14:paraId="13793004" w14:textId="77777777" w:rsidR="00040BB7" w:rsidRDefault="00040BB7" w:rsidP="00065CA5">
      <w:pPr>
        <w:widowControl/>
        <w:spacing w:line="360" w:lineRule="auto"/>
        <w:ind w:firstLine="1440"/>
        <w:rPr>
          <w:sz w:val="26"/>
          <w:szCs w:val="26"/>
        </w:rPr>
      </w:pPr>
    </w:p>
    <w:p w14:paraId="2B33D369" w14:textId="77777777" w:rsidR="00040BB7" w:rsidRDefault="00040BB7" w:rsidP="00040BB7">
      <w:pPr>
        <w:widowControl/>
        <w:spacing w:line="360" w:lineRule="auto"/>
        <w:ind w:firstLine="1440"/>
        <w:rPr>
          <w:sz w:val="26"/>
          <w:szCs w:val="26"/>
        </w:rPr>
      </w:pPr>
      <w:r>
        <w:rPr>
          <w:sz w:val="26"/>
          <w:szCs w:val="26"/>
        </w:rPr>
        <w:t>The ALJ explained that u</w:t>
      </w:r>
      <w:r w:rsidRPr="00854F7B">
        <w:rPr>
          <w:sz w:val="26"/>
          <w:szCs w:val="26"/>
        </w:rPr>
        <w:t xml:space="preserve">nder Section 56.285 of the Commission’s regulations, a utility may require, as a condition of the furnishing of residential service to an applicant, the payment of any outstanding residential account with the utility which accrued within the past four years from the date of the service request for which the applicant is legally responsible and for which the applicant was billed properly. </w:t>
      </w:r>
      <w:r w:rsidR="008E6368">
        <w:rPr>
          <w:sz w:val="26"/>
          <w:szCs w:val="26"/>
        </w:rPr>
        <w:t xml:space="preserve"> </w:t>
      </w:r>
      <w:r>
        <w:rPr>
          <w:sz w:val="26"/>
          <w:szCs w:val="26"/>
        </w:rPr>
        <w:t>The</w:t>
      </w:r>
      <w:r w:rsidRPr="00854F7B">
        <w:rPr>
          <w:sz w:val="26"/>
          <w:szCs w:val="26"/>
        </w:rPr>
        <w:t xml:space="preserve"> four-year limit does not apply if the balance includes amounts that the utility was not aware of because of fraud or theft on the part of the applicant. </w:t>
      </w:r>
      <w:r>
        <w:rPr>
          <w:sz w:val="26"/>
          <w:szCs w:val="26"/>
        </w:rPr>
        <w:t xml:space="preserve"> </w:t>
      </w:r>
      <w:r w:rsidRPr="00065CA5">
        <w:rPr>
          <w:i/>
          <w:sz w:val="26"/>
          <w:szCs w:val="26"/>
        </w:rPr>
        <w:t>Id</w:t>
      </w:r>
      <w:r w:rsidRPr="00854F7B">
        <w:rPr>
          <w:sz w:val="26"/>
          <w:szCs w:val="26"/>
        </w:rPr>
        <w:t>.</w:t>
      </w:r>
      <w:r w:rsidRPr="00040BB7">
        <w:rPr>
          <w:sz w:val="26"/>
          <w:szCs w:val="26"/>
        </w:rPr>
        <w:t xml:space="preserve"> </w:t>
      </w:r>
      <w:r>
        <w:rPr>
          <w:sz w:val="26"/>
          <w:szCs w:val="26"/>
        </w:rPr>
        <w:t xml:space="preserve">(citing </w:t>
      </w:r>
      <w:r w:rsidRPr="00854F7B">
        <w:rPr>
          <w:sz w:val="26"/>
          <w:szCs w:val="26"/>
        </w:rPr>
        <w:t>52 Pa.</w:t>
      </w:r>
      <w:r>
        <w:rPr>
          <w:sz w:val="26"/>
          <w:szCs w:val="26"/>
        </w:rPr>
        <w:t xml:space="preserve"> </w:t>
      </w:r>
      <w:r w:rsidRPr="00854F7B">
        <w:rPr>
          <w:sz w:val="26"/>
          <w:szCs w:val="26"/>
        </w:rPr>
        <w:t>Code §</w:t>
      </w:r>
      <w:r w:rsidR="008E6368">
        <w:rPr>
          <w:sz w:val="26"/>
          <w:szCs w:val="26"/>
        </w:rPr>
        <w:t> </w:t>
      </w:r>
      <w:r w:rsidRPr="00854F7B">
        <w:rPr>
          <w:sz w:val="26"/>
          <w:szCs w:val="26"/>
        </w:rPr>
        <w:t>56.285</w:t>
      </w:r>
      <w:r>
        <w:rPr>
          <w:sz w:val="26"/>
          <w:szCs w:val="26"/>
        </w:rPr>
        <w:t>)</w:t>
      </w:r>
      <w:r w:rsidRPr="00854F7B">
        <w:rPr>
          <w:sz w:val="26"/>
          <w:szCs w:val="26"/>
        </w:rPr>
        <w:t>.</w:t>
      </w:r>
    </w:p>
    <w:p w14:paraId="7E422155" w14:textId="77777777" w:rsidR="00854F7B" w:rsidRPr="00854F7B" w:rsidRDefault="00854F7B" w:rsidP="00040BB7">
      <w:pPr>
        <w:widowControl/>
        <w:spacing w:line="360" w:lineRule="auto"/>
        <w:rPr>
          <w:sz w:val="26"/>
          <w:szCs w:val="26"/>
        </w:rPr>
      </w:pPr>
    </w:p>
    <w:p w14:paraId="4A05B0F1" w14:textId="77777777" w:rsidR="00997EA4" w:rsidRDefault="00854F7B" w:rsidP="00065CA5">
      <w:pPr>
        <w:widowControl/>
        <w:spacing w:line="360" w:lineRule="auto"/>
        <w:ind w:firstLine="1440"/>
        <w:rPr>
          <w:sz w:val="26"/>
          <w:szCs w:val="26"/>
        </w:rPr>
      </w:pPr>
      <w:r w:rsidRPr="00854F7B">
        <w:rPr>
          <w:sz w:val="26"/>
          <w:szCs w:val="26"/>
        </w:rPr>
        <w:t>According to the ALJ, the Complainant failed to carry her burden of proving that</w:t>
      </w:r>
      <w:r w:rsidR="00F3508A">
        <w:rPr>
          <w:sz w:val="26"/>
          <w:szCs w:val="26"/>
        </w:rPr>
        <w:t xml:space="preserve"> PGW</w:t>
      </w:r>
      <w:r w:rsidRPr="00854F7B">
        <w:rPr>
          <w:sz w:val="26"/>
          <w:szCs w:val="26"/>
        </w:rPr>
        <w:t xml:space="preserve"> has violated a Commission statute, regulation or order by requiring that she pay the bill for unauthorized usage at Address A in order to have a new account opened in her name. </w:t>
      </w:r>
      <w:r w:rsidR="009B18B8">
        <w:rPr>
          <w:sz w:val="26"/>
          <w:szCs w:val="26"/>
        </w:rPr>
        <w:t xml:space="preserve"> </w:t>
      </w:r>
      <w:r w:rsidR="009B18B8" w:rsidRPr="009B18B8">
        <w:rPr>
          <w:i/>
          <w:sz w:val="26"/>
          <w:szCs w:val="26"/>
        </w:rPr>
        <w:t>Id</w:t>
      </w:r>
      <w:r w:rsidR="009B18B8">
        <w:rPr>
          <w:sz w:val="26"/>
          <w:szCs w:val="26"/>
        </w:rPr>
        <w:t xml:space="preserve">. at 9-10.  </w:t>
      </w:r>
      <w:r w:rsidRPr="00854F7B">
        <w:rPr>
          <w:sz w:val="26"/>
          <w:szCs w:val="26"/>
        </w:rPr>
        <w:t xml:space="preserve">As such, the </w:t>
      </w:r>
      <w:r w:rsidR="0094294B">
        <w:rPr>
          <w:sz w:val="26"/>
          <w:szCs w:val="26"/>
        </w:rPr>
        <w:t xml:space="preserve">ALJ found that the </w:t>
      </w:r>
      <w:r w:rsidRPr="00854F7B">
        <w:rPr>
          <w:sz w:val="26"/>
          <w:szCs w:val="26"/>
        </w:rPr>
        <w:t xml:space="preserve">Complainant is responsible for the unauthorized usage from June 8, 2011, to February 25, 2016, in the amount of $12,398.38. </w:t>
      </w:r>
      <w:r w:rsidR="009B18B8">
        <w:rPr>
          <w:sz w:val="26"/>
          <w:szCs w:val="26"/>
        </w:rPr>
        <w:t xml:space="preserve"> According to the ALJ</w:t>
      </w:r>
      <w:r w:rsidRPr="00854F7B">
        <w:rPr>
          <w:sz w:val="26"/>
          <w:szCs w:val="26"/>
        </w:rPr>
        <w:t xml:space="preserve">, this portion of the Complainant’s Complaint must be </w:t>
      </w:r>
      <w:r w:rsidRPr="00997EA4">
        <w:rPr>
          <w:sz w:val="26"/>
          <w:szCs w:val="26"/>
        </w:rPr>
        <w:t>dismissed</w:t>
      </w:r>
      <w:r w:rsidR="00040BB7">
        <w:rPr>
          <w:sz w:val="26"/>
          <w:szCs w:val="26"/>
        </w:rPr>
        <w:t>.  I.D.</w:t>
      </w:r>
      <w:r w:rsidRPr="00997EA4">
        <w:rPr>
          <w:sz w:val="26"/>
          <w:szCs w:val="26"/>
        </w:rPr>
        <w:t xml:space="preserve"> at 10.</w:t>
      </w:r>
    </w:p>
    <w:p w14:paraId="5761D927" w14:textId="77777777" w:rsidR="00997EA4" w:rsidRDefault="00997EA4" w:rsidP="00065CA5">
      <w:pPr>
        <w:widowControl/>
        <w:spacing w:line="360" w:lineRule="auto"/>
        <w:ind w:firstLine="1440"/>
        <w:rPr>
          <w:sz w:val="26"/>
          <w:szCs w:val="26"/>
        </w:rPr>
      </w:pPr>
    </w:p>
    <w:p w14:paraId="5FD49192" w14:textId="77777777" w:rsidR="00997EA4" w:rsidRPr="00D04B52" w:rsidRDefault="00997EA4" w:rsidP="00CC559F">
      <w:pPr>
        <w:widowControl/>
        <w:spacing w:line="360" w:lineRule="auto"/>
        <w:ind w:firstLine="1440"/>
        <w:rPr>
          <w:sz w:val="26"/>
          <w:szCs w:val="26"/>
        </w:rPr>
      </w:pPr>
      <w:r w:rsidRPr="00997EA4">
        <w:rPr>
          <w:sz w:val="26"/>
          <w:szCs w:val="26"/>
        </w:rPr>
        <w:t xml:space="preserve">While recognizing that Chapter 14 does not apply to the Complainant because of the PFA Order, the ALJ explained that the Complainant’s gross income and total number of household members would make the Complainant a Level 1 customer under Chapter 14 of the Public Utility Code.  </w:t>
      </w:r>
      <w:r w:rsidR="00040BB7" w:rsidRPr="00040BB7">
        <w:rPr>
          <w:i/>
          <w:sz w:val="26"/>
          <w:szCs w:val="26"/>
        </w:rPr>
        <w:t>Id</w:t>
      </w:r>
      <w:r w:rsidR="00040BB7">
        <w:rPr>
          <w:sz w:val="26"/>
          <w:szCs w:val="26"/>
        </w:rPr>
        <w:t>.</w:t>
      </w:r>
      <w:r w:rsidRPr="00997EA4">
        <w:rPr>
          <w:sz w:val="26"/>
          <w:szCs w:val="26"/>
        </w:rPr>
        <w:t xml:space="preserve"> at 10-11 (citing </w:t>
      </w:r>
      <w:r w:rsidR="001B5FA3" w:rsidRPr="002A512C">
        <w:rPr>
          <w:sz w:val="26"/>
          <w:szCs w:val="26"/>
        </w:rPr>
        <w:t>66 Pa.</w:t>
      </w:r>
      <w:r w:rsidR="005F46CE">
        <w:rPr>
          <w:sz w:val="26"/>
          <w:szCs w:val="26"/>
        </w:rPr>
        <w:t xml:space="preserve"> </w:t>
      </w:r>
      <w:r w:rsidR="001B5FA3" w:rsidRPr="002A512C">
        <w:rPr>
          <w:sz w:val="26"/>
          <w:szCs w:val="26"/>
        </w:rPr>
        <w:t xml:space="preserve">C.S. </w:t>
      </w:r>
      <w:r w:rsidR="001B5FA3">
        <w:rPr>
          <w:sz w:val="26"/>
          <w:szCs w:val="26"/>
        </w:rPr>
        <w:t>§</w:t>
      </w:r>
      <w:r w:rsidR="001B5FA3" w:rsidRPr="002A512C">
        <w:rPr>
          <w:sz w:val="26"/>
          <w:szCs w:val="26"/>
        </w:rPr>
        <w:t>§ 1417</w:t>
      </w:r>
      <w:r w:rsidR="001B5FA3">
        <w:rPr>
          <w:sz w:val="26"/>
          <w:szCs w:val="26"/>
        </w:rPr>
        <w:t xml:space="preserve">, </w:t>
      </w:r>
      <w:r w:rsidRPr="00997EA4">
        <w:rPr>
          <w:sz w:val="26"/>
          <w:szCs w:val="26"/>
        </w:rPr>
        <w:t xml:space="preserve">1405(b)(1)).  The ALJ stated that while the Complainant does have a poor payment history, it appears that she is trying to make payments on her account.  </w:t>
      </w:r>
      <w:r w:rsidRPr="00997EA4">
        <w:rPr>
          <w:i/>
          <w:sz w:val="26"/>
          <w:szCs w:val="26"/>
        </w:rPr>
        <w:t>Id</w:t>
      </w:r>
      <w:r w:rsidRPr="00997EA4">
        <w:rPr>
          <w:sz w:val="26"/>
          <w:szCs w:val="26"/>
        </w:rPr>
        <w:t xml:space="preserve">. at 11 (citing </w:t>
      </w:r>
      <w:r w:rsidRPr="00D04B52">
        <w:rPr>
          <w:sz w:val="26"/>
          <w:szCs w:val="26"/>
        </w:rPr>
        <w:t xml:space="preserve">Complainant Exhs. 1 &amp; 4).  </w:t>
      </w:r>
      <w:r w:rsidR="001B5FA3">
        <w:rPr>
          <w:sz w:val="26"/>
          <w:szCs w:val="26"/>
        </w:rPr>
        <w:t>The ALJ explained that</w:t>
      </w:r>
      <w:r w:rsidR="001B5FA3" w:rsidRPr="002A512C">
        <w:rPr>
          <w:sz w:val="26"/>
          <w:szCs w:val="26"/>
        </w:rPr>
        <w:t xml:space="preserve"> poor payment history and default on </w:t>
      </w:r>
      <w:r w:rsidR="001B5FA3" w:rsidRPr="002A512C">
        <w:rPr>
          <w:sz w:val="26"/>
          <w:szCs w:val="26"/>
        </w:rPr>
        <w:lastRenderedPageBreak/>
        <w:t>a prior Commission-issued</w:t>
      </w:r>
      <w:r w:rsidR="001B5FA3">
        <w:rPr>
          <w:sz w:val="26"/>
          <w:szCs w:val="26"/>
        </w:rPr>
        <w:t xml:space="preserve"> payment arrangement do not bar a customer with a valid PFA Order</w:t>
      </w:r>
      <w:r w:rsidR="001B5FA3" w:rsidRPr="002A512C">
        <w:rPr>
          <w:sz w:val="26"/>
          <w:szCs w:val="26"/>
        </w:rPr>
        <w:t xml:space="preserve"> from a further Commission-issued payment arrangement.</w:t>
      </w:r>
      <w:r w:rsidR="001B5FA3">
        <w:rPr>
          <w:sz w:val="26"/>
          <w:szCs w:val="26"/>
        </w:rPr>
        <w:t xml:space="preserve">  </w:t>
      </w:r>
      <w:r w:rsidR="001B5FA3" w:rsidRPr="001B5FA3">
        <w:rPr>
          <w:i/>
          <w:sz w:val="26"/>
          <w:szCs w:val="26"/>
        </w:rPr>
        <w:t>Id</w:t>
      </w:r>
      <w:r w:rsidR="001B5FA3">
        <w:rPr>
          <w:sz w:val="26"/>
          <w:szCs w:val="26"/>
        </w:rPr>
        <w:t>. at 10. (citing</w:t>
      </w:r>
      <w:r w:rsidR="001B5FA3" w:rsidRPr="002A512C">
        <w:rPr>
          <w:sz w:val="26"/>
          <w:szCs w:val="26"/>
        </w:rPr>
        <w:t xml:space="preserve"> </w:t>
      </w:r>
      <w:r w:rsidR="001B5FA3" w:rsidRPr="002A512C">
        <w:rPr>
          <w:i/>
          <w:iCs/>
          <w:sz w:val="26"/>
          <w:szCs w:val="26"/>
        </w:rPr>
        <w:t>Markita Brooks v. Peoples Natural Gas Company, LLC</w:t>
      </w:r>
      <w:r w:rsidR="001B5FA3" w:rsidRPr="002A512C">
        <w:rPr>
          <w:sz w:val="26"/>
          <w:szCs w:val="26"/>
        </w:rPr>
        <w:t xml:space="preserve">, Docket No. C-2015-2495415 (Order entered April 19, 2016); </w:t>
      </w:r>
      <w:r w:rsidR="001B5FA3" w:rsidRPr="002A512C">
        <w:rPr>
          <w:i/>
          <w:iCs/>
          <w:sz w:val="26"/>
          <w:szCs w:val="26"/>
        </w:rPr>
        <w:t>Camencita M. Pedro-Fisher v. PECO Energy Co.</w:t>
      </w:r>
      <w:r w:rsidR="001B5FA3" w:rsidRPr="002A512C">
        <w:rPr>
          <w:sz w:val="26"/>
          <w:szCs w:val="26"/>
        </w:rPr>
        <w:t>, Docket No. Z-01392788 (Order entered July 24, 2006)</w:t>
      </w:r>
      <w:r w:rsidR="001B5FA3">
        <w:rPr>
          <w:sz w:val="26"/>
          <w:szCs w:val="26"/>
        </w:rPr>
        <w:t>)</w:t>
      </w:r>
      <w:r w:rsidR="001B5FA3" w:rsidRPr="002A512C">
        <w:rPr>
          <w:sz w:val="26"/>
          <w:szCs w:val="26"/>
        </w:rPr>
        <w:t>.</w:t>
      </w:r>
      <w:r w:rsidR="00CC559F">
        <w:rPr>
          <w:sz w:val="26"/>
          <w:szCs w:val="26"/>
        </w:rPr>
        <w:t xml:space="preserve">  </w:t>
      </w:r>
      <w:r w:rsidRPr="00D04B52">
        <w:rPr>
          <w:sz w:val="26"/>
          <w:szCs w:val="26"/>
        </w:rPr>
        <w:t>Further, the</w:t>
      </w:r>
      <w:r w:rsidR="00CC559F">
        <w:rPr>
          <w:sz w:val="26"/>
          <w:szCs w:val="26"/>
        </w:rPr>
        <w:t xml:space="preserve"> ALJ explained that the</w:t>
      </w:r>
      <w:r w:rsidRPr="00D04B52">
        <w:rPr>
          <w:sz w:val="26"/>
          <w:szCs w:val="26"/>
        </w:rPr>
        <w:t xml:space="preserve"> Complainant is employed on a full-time basis and has a steady source of income. </w:t>
      </w:r>
      <w:r w:rsidR="00CC559F">
        <w:rPr>
          <w:sz w:val="26"/>
          <w:szCs w:val="26"/>
        </w:rPr>
        <w:t xml:space="preserve"> </w:t>
      </w:r>
      <w:r w:rsidRPr="00D04B52">
        <w:rPr>
          <w:i/>
          <w:sz w:val="26"/>
          <w:szCs w:val="26"/>
        </w:rPr>
        <w:t>Id</w:t>
      </w:r>
      <w:r w:rsidRPr="00D04B52">
        <w:rPr>
          <w:sz w:val="26"/>
          <w:szCs w:val="26"/>
        </w:rPr>
        <w:t xml:space="preserve">.  The ALJ explained that the Commission has ordered payment arrangements regarding the payment of non-CAP arrears in other cases even though a Complainant shows a poor payment history and has defaulted on prior company payment arrangements. </w:t>
      </w:r>
      <w:r w:rsidR="00F2107B">
        <w:rPr>
          <w:sz w:val="26"/>
          <w:szCs w:val="26"/>
        </w:rPr>
        <w:t xml:space="preserve"> </w:t>
      </w:r>
      <w:r w:rsidRPr="00D04B52">
        <w:rPr>
          <w:i/>
          <w:sz w:val="26"/>
          <w:szCs w:val="26"/>
        </w:rPr>
        <w:t>Id</w:t>
      </w:r>
      <w:r w:rsidRPr="00D04B52">
        <w:rPr>
          <w:sz w:val="26"/>
          <w:szCs w:val="26"/>
        </w:rPr>
        <w:t xml:space="preserve">. (citing </w:t>
      </w:r>
      <w:r w:rsidRPr="00D04B52">
        <w:rPr>
          <w:i/>
          <w:iCs/>
          <w:sz w:val="26"/>
          <w:szCs w:val="26"/>
        </w:rPr>
        <w:t>Montelagra Cooper v. PECO Energy Company</w:t>
      </w:r>
      <w:r w:rsidRPr="00D04B52">
        <w:rPr>
          <w:sz w:val="26"/>
          <w:szCs w:val="26"/>
        </w:rPr>
        <w:t>, Docket No. F-2011-2254964, (</w:t>
      </w:r>
      <w:r w:rsidR="00CC559F">
        <w:rPr>
          <w:sz w:val="26"/>
          <w:szCs w:val="26"/>
        </w:rPr>
        <w:t xml:space="preserve">Order entered August 2, 2012); </w:t>
      </w:r>
      <w:r w:rsidRPr="00D04B52">
        <w:rPr>
          <w:i/>
          <w:iCs/>
          <w:sz w:val="26"/>
          <w:szCs w:val="26"/>
        </w:rPr>
        <w:t>Patricia M. Burrus v. PECO Energy Company</w:t>
      </w:r>
      <w:r w:rsidR="00CC559F">
        <w:rPr>
          <w:sz w:val="26"/>
          <w:szCs w:val="26"/>
        </w:rPr>
        <w:t>, Docket No. C</w:t>
      </w:r>
      <w:r w:rsidR="00F2107B">
        <w:rPr>
          <w:sz w:val="26"/>
          <w:szCs w:val="26"/>
        </w:rPr>
        <w:noBreakHyphen/>
      </w:r>
      <w:r w:rsidR="00CC559F">
        <w:rPr>
          <w:sz w:val="26"/>
          <w:szCs w:val="26"/>
        </w:rPr>
        <w:t>2010-2192700, (</w:t>
      </w:r>
      <w:r w:rsidRPr="00D04B52">
        <w:rPr>
          <w:sz w:val="26"/>
          <w:szCs w:val="26"/>
        </w:rPr>
        <w:t>Order entered March 25, 2011)).</w:t>
      </w:r>
    </w:p>
    <w:p w14:paraId="78E17729" w14:textId="77777777" w:rsidR="00D04B52" w:rsidRPr="00D04B52" w:rsidRDefault="00D04B52" w:rsidP="00065CA5">
      <w:pPr>
        <w:widowControl/>
        <w:spacing w:line="360" w:lineRule="auto"/>
        <w:ind w:firstLine="1440"/>
        <w:rPr>
          <w:sz w:val="26"/>
          <w:szCs w:val="26"/>
        </w:rPr>
      </w:pPr>
    </w:p>
    <w:p w14:paraId="7CA55A06" w14:textId="77777777" w:rsidR="00F769AE" w:rsidRDefault="00D04B52" w:rsidP="00065CA5">
      <w:pPr>
        <w:widowControl/>
        <w:spacing w:line="360" w:lineRule="auto"/>
        <w:ind w:firstLine="1440"/>
        <w:rPr>
          <w:sz w:val="26"/>
          <w:szCs w:val="26"/>
        </w:rPr>
      </w:pPr>
      <w:r w:rsidRPr="00D04B52">
        <w:rPr>
          <w:sz w:val="26"/>
          <w:szCs w:val="26"/>
        </w:rPr>
        <w:t xml:space="preserve">The ALJ explained that Chapter 14 of the Code recognizes that PFA victims face special challenges and may be accorded more generous repayment terms. The maximum repayment period for payment arrangements under Chapter 14 is five years. Similar to the ALJ in the </w:t>
      </w:r>
      <w:r w:rsidRPr="00D04B52">
        <w:rPr>
          <w:i/>
          <w:iCs/>
          <w:sz w:val="26"/>
          <w:szCs w:val="26"/>
        </w:rPr>
        <w:t xml:space="preserve">Brooks </w:t>
      </w:r>
      <w:r w:rsidRPr="00D04B52">
        <w:rPr>
          <w:sz w:val="26"/>
          <w:szCs w:val="26"/>
        </w:rPr>
        <w:t>case, which also involved a complainant with a PFA, ALJ Guhl stated she would take guidance from Chapter 14, finding that five years is a reasonable period of time for Ms. Oduwole to organize her finances and make regular payments on her outstanding balance of $15,255.16</w:t>
      </w:r>
      <w:r w:rsidRPr="00040BB7">
        <w:rPr>
          <w:i/>
          <w:sz w:val="26"/>
          <w:szCs w:val="26"/>
        </w:rPr>
        <w:t xml:space="preserve">.  </w:t>
      </w:r>
      <w:r w:rsidR="00040BB7" w:rsidRPr="00040BB7">
        <w:rPr>
          <w:sz w:val="26"/>
          <w:szCs w:val="26"/>
        </w:rPr>
        <w:t>I.D.</w:t>
      </w:r>
      <w:r w:rsidRPr="00D04B52">
        <w:rPr>
          <w:sz w:val="26"/>
          <w:szCs w:val="26"/>
        </w:rPr>
        <w:t xml:space="preserve"> at 11.</w:t>
      </w:r>
      <w:r w:rsidR="002A512C">
        <w:rPr>
          <w:sz w:val="26"/>
          <w:szCs w:val="26"/>
        </w:rPr>
        <w:t xml:space="preserve">  </w:t>
      </w:r>
      <w:r w:rsidRPr="00D04B52">
        <w:rPr>
          <w:sz w:val="26"/>
          <w:szCs w:val="26"/>
        </w:rPr>
        <w:t xml:space="preserve">Beginning with the first bill following the Commission’s Final Order in this case, the ALJ ordered that the Complainant is required to pay her current charges plus an amount equal to one sixtieth (1/60th) of the balance accrued on her account. If Ms. Oduwole fails to keep this payment schedule, PGW is authorized to suspend or terminate her service consistent with the Commission’s statute and regulations.  </w:t>
      </w:r>
      <w:r w:rsidR="00EF3973" w:rsidRPr="00EF3973">
        <w:rPr>
          <w:i/>
          <w:sz w:val="26"/>
          <w:szCs w:val="26"/>
        </w:rPr>
        <w:t>Id</w:t>
      </w:r>
      <w:r w:rsidR="001B5FA3" w:rsidRPr="001B5FA3">
        <w:rPr>
          <w:sz w:val="26"/>
          <w:szCs w:val="26"/>
        </w:rPr>
        <w:t>.</w:t>
      </w:r>
      <w:r w:rsidRPr="00D04B52">
        <w:rPr>
          <w:sz w:val="26"/>
          <w:szCs w:val="26"/>
        </w:rPr>
        <w:t xml:space="preserve"> at 11-12.</w:t>
      </w:r>
    </w:p>
    <w:p w14:paraId="6E7B9B60" w14:textId="77777777" w:rsidR="002A512C" w:rsidRPr="002A512C" w:rsidRDefault="002A512C" w:rsidP="00065CA5">
      <w:pPr>
        <w:widowControl/>
        <w:spacing w:line="360" w:lineRule="auto"/>
        <w:ind w:firstLine="1440"/>
        <w:rPr>
          <w:sz w:val="26"/>
          <w:szCs w:val="26"/>
        </w:rPr>
      </w:pPr>
    </w:p>
    <w:p w14:paraId="1704B42E" w14:textId="77777777" w:rsidR="004716C9" w:rsidRPr="000B5A3D" w:rsidRDefault="004716C9" w:rsidP="0094294B">
      <w:pPr>
        <w:keepNext/>
        <w:keepLines/>
        <w:widowControl/>
        <w:spacing w:line="360" w:lineRule="auto"/>
        <w:rPr>
          <w:b/>
          <w:sz w:val="26"/>
          <w:szCs w:val="26"/>
        </w:rPr>
      </w:pPr>
      <w:r w:rsidRPr="000B5A3D">
        <w:rPr>
          <w:b/>
          <w:sz w:val="26"/>
          <w:szCs w:val="26"/>
        </w:rPr>
        <w:lastRenderedPageBreak/>
        <w:t xml:space="preserve">Disposition </w:t>
      </w:r>
    </w:p>
    <w:p w14:paraId="2A80F765" w14:textId="77777777" w:rsidR="002A512C" w:rsidRDefault="002A512C" w:rsidP="0094294B">
      <w:pPr>
        <w:keepNext/>
        <w:keepLines/>
        <w:widowControl/>
        <w:ind w:firstLine="720"/>
        <w:rPr>
          <w:sz w:val="24"/>
          <w:szCs w:val="24"/>
        </w:rPr>
      </w:pPr>
    </w:p>
    <w:p w14:paraId="309F9763" w14:textId="77777777" w:rsidR="002A512C" w:rsidRDefault="002A512C" w:rsidP="00040BB7">
      <w:pPr>
        <w:widowControl/>
        <w:spacing w:line="360" w:lineRule="auto"/>
        <w:ind w:firstLine="1440"/>
        <w:rPr>
          <w:sz w:val="26"/>
          <w:szCs w:val="26"/>
        </w:rPr>
      </w:pPr>
      <w:r w:rsidRPr="00081974">
        <w:rPr>
          <w:sz w:val="26"/>
          <w:szCs w:val="26"/>
        </w:rPr>
        <w:t>Upon review, we shall reverse the ALJ’</w:t>
      </w:r>
      <w:r w:rsidR="00040BB7">
        <w:rPr>
          <w:sz w:val="26"/>
          <w:szCs w:val="26"/>
        </w:rPr>
        <w:t>s Initial Decision, grant the Complaint and grant a payment arrangement to the Complainant consistent with the discussion below.</w:t>
      </w:r>
    </w:p>
    <w:p w14:paraId="757F858E" w14:textId="77777777" w:rsidR="00081974" w:rsidRPr="00081974" w:rsidRDefault="00081974" w:rsidP="00065CA5">
      <w:pPr>
        <w:widowControl/>
        <w:ind w:firstLine="1440"/>
        <w:rPr>
          <w:sz w:val="26"/>
          <w:szCs w:val="26"/>
        </w:rPr>
      </w:pPr>
    </w:p>
    <w:p w14:paraId="38339B90" w14:textId="77777777" w:rsidR="002A512C" w:rsidRDefault="002A512C" w:rsidP="00065CA5">
      <w:pPr>
        <w:widowControl/>
        <w:ind w:firstLine="720"/>
        <w:rPr>
          <w:sz w:val="24"/>
          <w:szCs w:val="24"/>
        </w:rPr>
      </w:pPr>
    </w:p>
    <w:p w14:paraId="2EE3AA45" w14:textId="77777777" w:rsidR="002A512C" w:rsidRPr="00F769AE" w:rsidRDefault="002A512C" w:rsidP="00065CA5">
      <w:pPr>
        <w:widowControl/>
        <w:spacing w:line="360" w:lineRule="auto"/>
        <w:ind w:firstLine="1440"/>
        <w:rPr>
          <w:sz w:val="26"/>
          <w:szCs w:val="26"/>
        </w:rPr>
      </w:pPr>
      <w:r w:rsidRPr="00F769AE">
        <w:rPr>
          <w:sz w:val="26"/>
          <w:szCs w:val="26"/>
        </w:rPr>
        <w:t xml:space="preserve">Beginning in 2005, Ms. Oduwole lived at </w:t>
      </w:r>
      <w:r w:rsidR="00FF2632">
        <w:rPr>
          <w:sz w:val="26"/>
          <w:szCs w:val="26"/>
        </w:rPr>
        <w:t xml:space="preserve">Service </w:t>
      </w:r>
      <w:r w:rsidRPr="00F769AE">
        <w:rPr>
          <w:sz w:val="26"/>
          <w:szCs w:val="26"/>
        </w:rPr>
        <w:t>Address A, and she testified that gas service was turned on and off depending on when she had income to pay the bills.  She testified that service had been terminated at Address A on June 8</w:t>
      </w:r>
      <w:r w:rsidR="00EF3973">
        <w:rPr>
          <w:sz w:val="26"/>
          <w:szCs w:val="26"/>
        </w:rPr>
        <w:t>,</w:t>
      </w:r>
      <w:r w:rsidRPr="00F769AE">
        <w:rPr>
          <w:sz w:val="26"/>
          <w:szCs w:val="26"/>
        </w:rPr>
        <w:t xml:space="preserve"> 2011.  Tr</w:t>
      </w:r>
      <w:r>
        <w:rPr>
          <w:sz w:val="26"/>
          <w:szCs w:val="26"/>
        </w:rPr>
        <w:t xml:space="preserve">. </w:t>
      </w:r>
      <w:r w:rsidRPr="00F769AE">
        <w:rPr>
          <w:sz w:val="26"/>
          <w:szCs w:val="26"/>
        </w:rPr>
        <w:t xml:space="preserve">at 46. The account had been in her name prior to termination, and Ms. Oduwole testified, as supported by the testimony of PGW’s witness, that no service was re-established for that service address in Ms. Oduwole’s name or otherwise.  </w:t>
      </w:r>
      <w:r w:rsidRPr="00F769AE">
        <w:rPr>
          <w:i/>
          <w:sz w:val="26"/>
          <w:szCs w:val="26"/>
        </w:rPr>
        <w:t>Id.</w:t>
      </w:r>
    </w:p>
    <w:p w14:paraId="6F07F36D" w14:textId="77777777" w:rsidR="002A512C" w:rsidRPr="00F769AE" w:rsidRDefault="002A512C" w:rsidP="00065CA5">
      <w:pPr>
        <w:widowControl/>
        <w:spacing w:line="360" w:lineRule="auto"/>
        <w:ind w:firstLine="1440"/>
        <w:rPr>
          <w:sz w:val="26"/>
          <w:szCs w:val="26"/>
        </w:rPr>
      </w:pPr>
    </w:p>
    <w:p w14:paraId="1F129F0D" w14:textId="77777777" w:rsidR="002A512C" w:rsidRPr="00F769AE" w:rsidRDefault="002A512C" w:rsidP="00065CA5">
      <w:pPr>
        <w:widowControl/>
        <w:spacing w:line="360" w:lineRule="auto"/>
        <w:ind w:firstLine="1440"/>
        <w:rPr>
          <w:sz w:val="26"/>
          <w:szCs w:val="26"/>
        </w:rPr>
      </w:pPr>
      <w:r w:rsidRPr="00F769AE">
        <w:rPr>
          <w:sz w:val="26"/>
          <w:szCs w:val="26"/>
        </w:rPr>
        <w:t xml:space="preserve">Ms. Oduwole left </w:t>
      </w:r>
      <w:r w:rsidR="00FF2632">
        <w:rPr>
          <w:sz w:val="26"/>
          <w:szCs w:val="26"/>
        </w:rPr>
        <w:t xml:space="preserve">Service </w:t>
      </w:r>
      <w:r w:rsidRPr="00F769AE">
        <w:rPr>
          <w:sz w:val="26"/>
          <w:szCs w:val="26"/>
        </w:rPr>
        <w:t xml:space="preserve">Address A in 2013, and established service in her name at </w:t>
      </w:r>
      <w:r w:rsidR="00FF2632">
        <w:rPr>
          <w:sz w:val="26"/>
          <w:szCs w:val="26"/>
        </w:rPr>
        <w:t xml:space="preserve">Service </w:t>
      </w:r>
      <w:r w:rsidRPr="00F769AE">
        <w:rPr>
          <w:sz w:val="26"/>
          <w:szCs w:val="26"/>
        </w:rPr>
        <w:t xml:space="preserve">Address B. </w:t>
      </w:r>
      <w:r w:rsidR="00FF2632">
        <w:rPr>
          <w:sz w:val="26"/>
          <w:szCs w:val="26"/>
        </w:rPr>
        <w:t xml:space="preserve"> </w:t>
      </w:r>
      <w:r w:rsidRPr="00F769AE">
        <w:rPr>
          <w:sz w:val="26"/>
          <w:szCs w:val="26"/>
        </w:rPr>
        <w:t xml:space="preserve">Ms. Oduwole was later forced to leave Address B due to a sale of the property and “with nowhere else to go” she and her children returned to Address A to live with her estranged husband from September 2015 until December of 2016.  </w:t>
      </w:r>
      <w:r w:rsidRPr="00F769AE">
        <w:rPr>
          <w:i/>
          <w:sz w:val="26"/>
          <w:szCs w:val="26"/>
        </w:rPr>
        <w:t>Id.</w:t>
      </w:r>
      <w:r w:rsidRPr="00F769AE">
        <w:rPr>
          <w:sz w:val="26"/>
          <w:szCs w:val="26"/>
        </w:rPr>
        <w:t xml:space="preserve">  at 31. </w:t>
      </w:r>
      <w:r w:rsidR="00FF2632">
        <w:rPr>
          <w:sz w:val="26"/>
          <w:szCs w:val="26"/>
        </w:rPr>
        <w:t xml:space="preserve"> </w:t>
      </w:r>
      <w:r w:rsidRPr="00F769AE">
        <w:rPr>
          <w:sz w:val="26"/>
          <w:szCs w:val="26"/>
        </w:rPr>
        <w:t xml:space="preserve">She has an arrearage for that time period at Address B of $2,856.78, an amount which is uncontested. </w:t>
      </w:r>
      <w:r w:rsidRPr="00F769AE">
        <w:rPr>
          <w:i/>
          <w:sz w:val="26"/>
          <w:szCs w:val="26"/>
        </w:rPr>
        <w:t xml:space="preserve"> Id.</w:t>
      </w:r>
      <w:r w:rsidRPr="00F769AE">
        <w:rPr>
          <w:sz w:val="26"/>
          <w:szCs w:val="26"/>
        </w:rPr>
        <w:t xml:space="preserve">  at 55.</w:t>
      </w:r>
    </w:p>
    <w:p w14:paraId="286C7257" w14:textId="77777777" w:rsidR="002A512C" w:rsidRPr="00F769AE" w:rsidRDefault="002A512C" w:rsidP="00065CA5">
      <w:pPr>
        <w:widowControl/>
        <w:spacing w:line="360" w:lineRule="auto"/>
        <w:ind w:firstLine="1440"/>
        <w:rPr>
          <w:sz w:val="26"/>
          <w:szCs w:val="26"/>
        </w:rPr>
      </w:pPr>
    </w:p>
    <w:p w14:paraId="636B4B6B" w14:textId="5741628C" w:rsidR="00081974" w:rsidRDefault="002A512C" w:rsidP="00065CA5">
      <w:pPr>
        <w:widowControl/>
        <w:spacing w:line="360" w:lineRule="auto"/>
        <w:ind w:firstLine="1440"/>
        <w:rPr>
          <w:sz w:val="26"/>
          <w:szCs w:val="26"/>
        </w:rPr>
      </w:pPr>
      <w:r w:rsidRPr="00F769AE">
        <w:rPr>
          <w:sz w:val="26"/>
          <w:szCs w:val="26"/>
        </w:rPr>
        <w:t>In December 2016, citing no heat etc.</w:t>
      </w:r>
      <w:r w:rsidR="00EF3973">
        <w:rPr>
          <w:sz w:val="26"/>
          <w:szCs w:val="26"/>
        </w:rPr>
        <w:t>,</w:t>
      </w:r>
      <w:r w:rsidRPr="00F769AE">
        <w:rPr>
          <w:sz w:val="26"/>
          <w:szCs w:val="26"/>
        </w:rPr>
        <w:t xml:space="preserve"> Ms. Oduwole </w:t>
      </w:r>
      <w:r w:rsidR="00C8766E">
        <w:rPr>
          <w:sz w:val="26"/>
          <w:szCs w:val="26"/>
        </w:rPr>
        <w:t xml:space="preserve">testified that she </w:t>
      </w:r>
      <w:r w:rsidRPr="00F769AE">
        <w:rPr>
          <w:sz w:val="26"/>
          <w:szCs w:val="26"/>
        </w:rPr>
        <w:t>left</w:t>
      </w:r>
      <w:r w:rsidR="00FF2632">
        <w:rPr>
          <w:sz w:val="26"/>
          <w:szCs w:val="26"/>
        </w:rPr>
        <w:t xml:space="preserve"> Service</w:t>
      </w:r>
      <w:r w:rsidRPr="00F769AE">
        <w:rPr>
          <w:sz w:val="26"/>
          <w:szCs w:val="26"/>
        </w:rPr>
        <w:t xml:space="preserve"> Address A and moved to </w:t>
      </w:r>
      <w:r w:rsidR="00FF2632">
        <w:rPr>
          <w:sz w:val="26"/>
          <w:szCs w:val="26"/>
        </w:rPr>
        <w:t xml:space="preserve">Service </w:t>
      </w:r>
      <w:r w:rsidRPr="00F769AE">
        <w:rPr>
          <w:sz w:val="26"/>
          <w:szCs w:val="26"/>
        </w:rPr>
        <w:t xml:space="preserve">Address C.  When she tried to establish service at this new address and request assistance from </w:t>
      </w:r>
      <w:r w:rsidR="00A405EF" w:rsidRPr="00F769AE">
        <w:rPr>
          <w:sz w:val="26"/>
          <w:szCs w:val="26"/>
        </w:rPr>
        <w:t>LIHEAP,</w:t>
      </w:r>
      <w:r w:rsidRPr="00F769AE">
        <w:rPr>
          <w:sz w:val="26"/>
          <w:szCs w:val="26"/>
        </w:rPr>
        <w:t xml:space="preserve"> she was told that she was not eligible due to meter tampering that had been discovered at Address A in February 2016.  </w:t>
      </w:r>
      <w:r w:rsidRPr="00F769AE">
        <w:rPr>
          <w:i/>
          <w:sz w:val="26"/>
          <w:szCs w:val="26"/>
        </w:rPr>
        <w:t>Id.</w:t>
      </w:r>
      <w:r w:rsidRPr="00F769AE">
        <w:rPr>
          <w:sz w:val="26"/>
          <w:szCs w:val="26"/>
        </w:rPr>
        <w:t xml:space="preserve"> at 49.  PGW billed her $12,398.38 for unauthorized usage</w:t>
      </w:r>
      <w:r>
        <w:rPr>
          <w:sz w:val="26"/>
          <w:szCs w:val="26"/>
        </w:rPr>
        <w:t xml:space="preserve"> due to meter tampering</w:t>
      </w:r>
      <w:r w:rsidRPr="00F769AE">
        <w:rPr>
          <w:sz w:val="26"/>
          <w:szCs w:val="26"/>
        </w:rPr>
        <w:t xml:space="preserve"> at Address A for the period of time covering from the June 8, 2011 termination date until the discovery of the tampering on February 25, 2016.  PGW Exh. 4.</w:t>
      </w:r>
    </w:p>
    <w:p w14:paraId="26394394" w14:textId="77777777" w:rsidR="00081974" w:rsidRDefault="00081974" w:rsidP="00065CA5">
      <w:pPr>
        <w:widowControl/>
        <w:spacing w:line="360" w:lineRule="auto"/>
        <w:ind w:firstLine="1440"/>
        <w:rPr>
          <w:sz w:val="26"/>
          <w:szCs w:val="26"/>
        </w:rPr>
      </w:pPr>
    </w:p>
    <w:p w14:paraId="7DE25A55" w14:textId="27FF0D8E" w:rsidR="00065CA5" w:rsidRPr="00065CA5" w:rsidRDefault="00065CA5" w:rsidP="00065CA5">
      <w:pPr>
        <w:widowControl/>
        <w:spacing w:line="360" w:lineRule="auto"/>
        <w:ind w:firstLine="1440"/>
        <w:rPr>
          <w:sz w:val="26"/>
          <w:szCs w:val="26"/>
        </w:rPr>
      </w:pPr>
      <w:r w:rsidRPr="00065CA5">
        <w:rPr>
          <w:sz w:val="26"/>
          <w:szCs w:val="26"/>
        </w:rPr>
        <w:lastRenderedPageBreak/>
        <w:t xml:space="preserve">Based upon our review of the evidence, </w:t>
      </w:r>
      <w:r w:rsidR="002A512C" w:rsidRPr="00065CA5">
        <w:rPr>
          <w:sz w:val="26"/>
          <w:szCs w:val="26"/>
        </w:rPr>
        <w:t xml:space="preserve">Ms. Oduwole testified and PGW’s own evidence shows that Ms. Oduwole’s </w:t>
      </w:r>
      <w:r w:rsidR="00FF2632">
        <w:rPr>
          <w:sz w:val="26"/>
          <w:szCs w:val="26"/>
        </w:rPr>
        <w:t xml:space="preserve">Service </w:t>
      </w:r>
      <w:r w:rsidR="002A512C" w:rsidRPr="00065CA5">
        <w:rPr>
          <w:sz w:val="26"/>
          <w:szCs w:val="26"/>
        </w:rPr>
        <w:t>Address A account was terminated in Ju</w:t>
      </w:r>
      <w:r w:rsidR="007B4C1D">
        <w:rPr>
          <w:sz w:val="26"/>
          <w:szCs w:val="26"/>
        </w:rPr>
        <w:t>ne</w:t>
      </w:r>
      <w:r w:rsidR="002A512C" w:rsidRPr="00065CA5">
        <w:rPr>
          <w:sz w:val="26"/>
          <w:szCs w:val="26"/>
        </w:rPr>
        <w:t xml:space="preserve"> 2011, and that she had another account at </w:t>
      </w:r>
      <w:r w:rsidR="00FF2632">
        <w:rPr>
          <w:sz w:val="26"/>
          <w:szCs w:val="26"/>
        </w:rPr>
        <w:t xml:space="preserve">Service </w:t>
      </w:r>
      <w:r w:rsidR="002A512C" w:rsidRPr="00065CA5">
        <w:rPr>
          <w:sz w:val="26"/>
          <w:szCs w:val="26"/>
        </w:rPr>
        <w:t>Address B from July 2013 until April 2015.  At that point,</w:t>
      </w:r>
      <w:r w:rsidRPr="00065CA5">
        <w:rPr>
          <w:sz w:val="26"/>
          <w:szCs w:val="26"/>
        </w:rPr>
        <w:t xml:space="preserve"> in our opinion,</w:t>
      </w:r>
      <w:r w:rsidR="002A512C" w:rsidRPr="00065CA5">
        <w:rPr>
          <w:sz w:val="26"/>
          <w:szCs w:val="26"/>
        </w:rPr>
        <w:t xml:space="preserve"> there should be no question that she is no longer responsible for the usage, authorized or unauthorized, at </w:t>
      </w:r>
      <w:r w:rsidR="009D3833">
        <w:rPr>
          <w:sz w:val="26"/>
          <w:szCs w:val="26"/>
        </w:rPr>
        <w:t xml:space="preserve">Service </w:t>
      </w:r>
      <w:r w:rsidR="002A512C" w:rsidRPr="00065CA5">
        <w:rPr>
          <w:sz w:val="26"/>
          <w:szCs w:val="26"/>
        </w:rPr>
        <w:t xml:space="preserve">Address A.  Therefore, Ms. Oduwole’s balance should be properly credited the $12,398.38 misapplied for the unauthorized usage including removal of associated late fees and penalties.  The only balance that Ms. Oduwole is responsible for is the arrearage that accumulated during her time at Service Address A, prior to the 2011 termination, and Service Address B, which at the time of the hearing totaled $2,856.78.  </w:t>
      </w:r>
      <w:r w:rsidRPr="00065CA5">
        <w:rPr>
          <w:sz w:val="26"/>
          <w:szCs w:val="26"/>
        </w:rPr>
        <w:t>Tr. at 55.</w:t>
      </w:r>
    </w:p>
    <w:p w14:paraId="6FB05959" w14:textId="77777777" w:rsidR="00065CA5" w:rsidRPr="00065CA5" w:rsidRDefault="00065CA5" w:rsidP="00065CA5">
      <w:pPr>
        <w:widowControl/>
        <w:spacing w:line="360" w:lineRule="auto"/>
        <w:ind w:firstLine="1440"/>
        <w:rPr>
          <w:sz w:val="26"/>
          <w:szCs w:val="26"/>
        </w:rPr>
      </w:pPr>
    </w:p>
    <w:p w14:paraId="5B60AFE1" w14:textId="77777777" w:rsidR="00065CA5" w:rsidRPr="00065CA5" w:rsidRDefault="00065CA5" w:rsidP="00065CA5">
      <w:pPr>
        <w:widowControl/>
        <w:spacing w:line="360" w:lineRule="auto"/>
        <w:ind w:firstLine="1440"/>
        <w:rPr>
          <w:sz w:val="26"/>
          <w:szCs w:val="26"/>
        </w:rPr>
      </w:pPr>
      <w:r w:rsidRPr="00065CA5">
        <w:rPr>
          <w:sz w:val="26"/>
          <w:szCs w:val="26"/>
        </w:rPr>
        <w:t xml:space="preserve">We note that PGW is not completely without recourse here as at least one person </w:t>
      </w:r>
      <w:r w:rsidR="00EF3973">
        <w:rPr>
          <w:sz w:val="26"/>
          <w:szCs w:val="26"/>
        </w:rPr>
        <w:t xml:space="preserve">was </w:t>
      </w:r>
      <w:r w:rsidRPr="00065CA5">
        <w:rPr>
          <w:sz w:val="26"/>
          <w:szCs w:val="26"/>
        </w:rPr>
        <w:t xml:space="preserve">living at the property </w:t>
      </w:r>
      <w:r w:rsidR="00EF3973">
        <w:rPr>
          <w:sz w:val="26"/>
          <w:szCs w:val="26"/>
        </w:rPr>
        <w:t>at Address A during the time in which</w:t>
      </w:r>
      <w:r w:rsidR="00EF3973" w:rsidRPr="00EF3973">
        <w:rPr>
          <w:sz w:val="26"/>
          <w:szCs w:val="26"/>
        </w:rPr>
        <w:t xml:space="preserve"> </w:t>
      </w:r>
      <w:r w:rsidR="00EF3973">
        <w:rPr>
          <w:sz w:val="26"/>
          <w:szCs w:val="26"/>
        </w:rPr>
        <w:t xml:space="preserve">the unauthorized usage balance of </w:t>
      </w:r>
      <w:r w:rsidR="00EF3973" w:rsidRPr="00065CA5">
        <w:rPr>
          <w:sz w:val="26"/>
          <w:szCs w:val="26"/>
        </w:rPr>
        <w:t>$12,398.38</w:t>
      </w:r>
      <w:r w:rsidR="00EF3973">
        <w:rPr>
          <w:sz w:val="26"/>
          <w:szCs w:val="26"/>
        </w:rPr>
        <w:t xml:space="preserve"> accrued. </w:t>
      </w:r>
    </w:p>
    <w:p w14:paraId="27483104" w14:textId="77777777" w:rsidR="00065CA5" w:rsidRDefault="00065CA5" w:rsidP="00065CA5">
      <w:pPr>
        <w:widowControl/>
        <w:spacing w:line="360" w:lineRule="auto"/>
        <w:ind w:firstLine="1440"/>
        <w:rPr>
          <w:sz w:val="26"/>
          <w:szCs w:val="26"/>
        </w:rPr>
      </w:pPr>
    </w:p>
    <w:p w14:paraId="178D3DF9" w14:textId="77777777" w:rsidR="00065CA5" w:rsidRPr="00065CA5" w:rsidRDefault="00065CA5" w:rsidP="00065CA5">
      <w:pPr>
        <w:widowControl/>
        <w:spacing w:line="360" w:lineRule="auto"/>
        <w:ind w:firstLine="1440"/>
        <w:rPr>
          <w:sz w:val="26"/>
          <w:szCs w:val="26"/>
        </w:rPr>
      </w:pPr>
      <w:r w:rsidRPr="00065CA5">
        <w:rPr>
          <w:sz w:val="26"/>
          <w:szCs w:val="26"/>
        </w:rPr>
        <w:t>Additionally, Ms. Oduwole submitted as exhibits, three separate mo</w:t>
      </w:r>
      <w:r w:rsidR="00EF3973">
        <w:rPr>
          <w:sz w:val="26"/>
          <w:szCs w:val="26"/>
        </w:rPr>
        <w:t>ney orders, though she testified</w:t>
      </w:r>
      <w:r w:rsidRPr="00065CA5">
        <w:rPr>
          <w:sz w:val="26"/>
          <w:szCs w:val="26"/>
        </w:rPr>
        <w:t xml:space="preserve"> there were more, where she made payments to PGW and the payments were not properly applied to her account or reflected on her statements.  </w:t>
      </w:r>
      <w:r w:rsidRPr="00065CA5">
        <w:rPr>
          <w:i/>
          <w:sz w:val="26"/>
          <w:szCs w:val="26"/>
        </w:rPr>
        <w:t>Id.</w:t>
      </w:r>
      <w:r w:rsidRPr="00065CA5">
        <w:rPr>
          <w:sz w:val="26"/>
          <w:szCs w:val="26"/>
        </w:rPr>
        <w:t xml:space="preserve">  at 21-28. </w:t>
      </w:r>
      <w:r w:rsidR="00EF3973">
        <w:rPr>
          <w:sz w:val="26"/>
          <w:szCs w:val="26"/>
        </w:rPr>
        <w:t xml:space="preserve"> </w:t>
      </w:r>
      <w:r w:rsidRPr="00065CA5">
        <w:rPr>
          <w:sz w:val="26"/>
          <w:szCs w:val="26"/>
        </w:rPr>
        <w:t>The amounts of $81.34 paid on February 11, 2017, $50.00 paid on March 11, 2017, and $252.33 paid on February 17, 2018, a total of $383.67, should be deducted from the balance owed on her account.  Complainant Exh. 1.</w:t>
      </w:r>
    </w:p>
    <w:p w14:paraId="208F32EE" w14:textId="77777777" w:rsidR="00065CA5" w:rsidRPr="00065CA5" w:rsidRDefault="00065CA5" w:rsidP="00065CA5">
      <w:pPr>
        <w:widowControl/>
        <w:spacing w:line="360" w:lineRule="auto"/>
        <w:ind w:firstLine="1440"/>
        <w:rPr>
          <w:sz w:val="26"/>
          <w:szCs w:val="26"/>
        </w:rPr>
      </w:pPr>
    </w:p>
    <w:p w14:paraId="30A19427" w14:textId="77777777" w:rsidR="00065CA5" w:rsidRDefault="00065CA5" w:rsidP="00065CA5">
      <w:pPr>
        <w:widowControl/>
        <w:spacing w:line="360" w:lineRule="auto"/>
        <w:ind w:firstLine="1440"/>
        <w:rPr>
          <w:sz w:val="26"/>
          <w:szCs w:val="26"/>
        </w:rPr>
      </w:pPr>
      <w:r w:rsidRPr="00065CA5">
        <w:rPr>
          <w:sz w:val="26"/>
          <w:szCs w:val="26"/>
        </w:rPr>
        <w:t>Because Chapter 14 does not apply to this case due to the Complainant’s PFA Order,</w:t>
      </w:r>
      <w:r w:rsidR="00AB13FD">
        <w:rPr>
          <w:rStyle w:val="FootnoteReference"/>
          <w:sz w:val="26"/>
          <w:szCs w:val="26"/>
        </w:rPr>
        <w:footnoteReference w:id="1"/>
      </w:r>
      <w:r w:rsidRPr="00065CA5">
        <w:rPr>
          <w:sz w:val="26"/>
          <w:szCs w:val="26"/>
        </w:rPr>
        <w:t xml:space="preserve"> </w:t>
      </w:r>
      <w:r w:rsidR="00AB13FD">
        <w:rPr>
          <w:sz w:val="26"/>
          <w:szCs w:val="26"/>
        </w:rPr>
        <w:t>we</w:t>
      </w:r>
      <w:r w:rsidRPr="00065CA5">
        <w:rPr>
          <w:sz w:val="26"/>
          <w:szCs w:val="26"/>
        </w:rPr>
        <w:t xml:space="preserve"> shall take guidance from our prior decision in </w:t>
      </w:r>
      <w:r w:rsidRPr="00040BB7">
        <w:rPr>
          <w:i/>
          <w:sz w:val="26"/>
          <w:szCs w:val="26"/>
        </w:rPr>
        <w:t>Staci Stiffler vs. Met-Ed</w:t>
      </w:r>
      <w:r w:rsidR="00040BB7">
        <w:rPr>
          <w:i/>
          <w:sz w:val="26"/>
          <w:szCs w:val="26"/>
        </w:rPr>
        <w:t>,</w:t>
      </w:r>
      <w:r w:rsidRPr="00065CA5">
        <w:rPr>
          <w:sz w:val="26"/>
          <w:szCs w:val="26"/>
        </w:rPr>
        <w:t xml:space="preserve"> Docket No. C-20016-2553324 (Order entered on August 2, 2017), in offering an extended timeframe to pay back this balance.  Based on the Complainant</w:t>
      </w:r>
      <w:r w:rsidR="00040BB7">
        <w:rPr>
          <w:sz w:val="26"/>
          <w:szCs w:val="26"/>
        </w:rPr>
        <w:t xml:space="preserve">’s household income level and </w:t>
      </w:r>
      <w:r w:rsidRPr="00065CA5">
        <w:rPr>
          <w:sz w:val="26"/>
          <w:szCs w:val="26"/>
        </w:rPr>
        <w:t>siz</w:t>
      </w:r>
      <w:r w:rsidR="00040BB7">
        <w:rPr>
          <w:sz w:val="26"/>
          <w:szCs w:val="26"/>
        </w:rPr>
        <w:t>e</w:t>
      </w:r>
      <w:r w:rsidRPr="00065CA5">
        <w:rPr>
          <w:sz w:val="26"/>
          <w:szCs w:val="26"/>
        </w:rPr>
        <w:t xml:space="preserve">, we believe that a 6-year payment period is appropriate. </w:t>
      </w:r>
    </w:p>
    <w:p w14:paraId="41BD5EC8" w14:textId="77777777" w:rsidR="00065CA5" w:rsidRDefault="00065CA5" w:rsidP="00065CA5">
      <w:pPr>
        <w:widowControl/>
        <w:spacing w:line="360" w:lineRule="auto"/>
        <w:ind w:firstLine="1440"/>
        <w:rPr>
          <w:sz w:val="26"/>
          <w:szCs w:val="26"/>
        </w:rPr>
      </w:pPr>
    </w:p>
    <w:p w14:paraId="18E9E47E" w14:textId="77777777" w:rsidR="00065CA5" w:rsidRPr="00065CA5" w:rsidRDefault="00065CA5" w:rsidP="00065CA5">
      <w:pPr>
        <w:widowControl/>
        <w:spacing w:line="360" w:lineRule="auto"/>
        <w:ind w:firstLine="1440"/>
        <w:rPr>
          <w:sz w:val="26"/>
          <w:szCs w:val="26"/>
        </w:rPr>
      </w:pPr>
      <w:r w:rsidRPr="00065CA5">
        <w:rPr>
          <w:sz w:val="26"/>
          <w:szCs w:val="26"/>
        </w:rPr>
        <w:t xml:space="preserve">We strongly encourage PGW to discuss all Customer Assistance Programs offered by PGW with Ms. Oduwole. </w:t>
      </w:r>
      <w:r w:rsidR="00EF3973">
        <w:rPr>
          <w:sz w:val="26"/>
          <w:szCs w:val="26"/>
        </w:rPr>
        <w:t xml:space="preserve"> </w:t>
      </w:r>
      <w:r w:rsidRPr="00065CA5">
        <w:rPr>
          <w:sz w:val="26"/>
          <w:szCs w:val="26"/>
        </w:rPr>
        <w:t>We also ask that PGW refer the Complainant to its HELP program to educate her regarding any other assistance which might be available which would allow her to pay for the cost of her utility service.</w:t>
      </w:r>
    </w:p>
    <w:p w14:paraId="5FEF7456" w14:textId="77777777" w:rsidR="00065CA5" w:rsidRDefault="00065CA5" w:rsidP="00FA023B">
      <w:pPr>
        <w:widowControl/>
        <w:spacing w:line="360" w:lineRule="auto"/>
        <w:rPr>
          <w:sz w:val="26"/>
          <w:szCs w:val="26"/>
        </w:rPr>
      </w:pPr>
    </w:p>
    <w:p w14:paraId="004EFAC9" w14:textId="77777777" w:rsidR="00FA023B" w:rsidRDefault="00FA023B" w:rsidP="00FA023B">
      <w:pPr>
        <w:widowControl/>
        <w:spacing w:line="360" w:lineRule="auto"/>
        <w:jc w:val="center"/>
        <w:rPr>
          <w:b/>
          <w:sz w:val="26"/>
          <w:szCs w:val="26"/>
        </w:rPr>
      </w:pPr>
      <w:r w:rsidRPr="00FA023B">
        <w:rPr>
          <w:b/>
          <w:sz w:val="26"/>
          <w:szCs w:val="26"/>
        </w:rPr>
        <w:t>Conclusion</w:t>
      </w:r>
    </w:p>
    <w:p w14:paraId="70F7A7F0" w14:textId="77777777" w:rsidR="00FA023B" w:rsidRPr="00FA023B" w:rsidRDefault="00FA023B" w:rsidP="00FA023B">
      <w:pPr>
        <w:widowControl/>
        <w:spacing w:line="360" w:lineRule="auto"/>
        <w:jc w:val="center"/>
        <w:rPr>
          <w:b/>
          <w:sz w:val="26"/>
          <w:szCs w:val="26"/>
        </w:rPr>
      </w:pPr>
    </w:p>
    <w:p w14:paraId="67F2A7DC" w14:textId="77777777" w:rsidR="00FA023B" w:rsidRPr="00FA023B" w:rsidRDefault="00FA023B" w:rsidP="00FA023B">
      <w:pPr>
        <w:widowControl/>
        <w:tabs>
          <w:tab w:val="left" w:pos="-720"/>
        </w:tabs>
        <w:suppressAutoHyphens/>
        <w:spacing w:line="360" w:lineRule="auto"/>
        <w:ind w:firstLine="1440"/>
        <w:rPr>
          <w:rFonts w:eastAsia="Calibri"/>
          <w:b/>
          <w:spacing w:val="-3"/>
          <w:sz w:val="26"/>
          <w:szCs w:val="26"/>
        </w:rPr>
      </w:pPr>
      <w:r w:rsidRPr="00FA023B">
        <w:rPr>
          <w:rFonts w:eastAsia="Calibri"/>
          <w:spacing w:val="-3"/>
          <w:sz w:val="26"/>
          <w:szCs w:val="22"/>
        </w:rPr>
        <w:t xml:space="preserve">Based on our review of the record in this proceeding, we shall </w:t>
      </w:r>
      <w:r>
        <w:rPr>
          <w:rFonts w:eastAsia="Calibri"/>
          <w:spacing w:val="-3"/>
          <w:sz w:val="26"/>
          <w:szCs w:val="22"/>
        </w:rPr>
        <w:t xml:space="preserve">reverse </w:t>
      </w:r>
      <w:r w:rsidRPr="00FA023B">
        <w:rPr>
          <w:rFonts w:eastAsia="Calibri"/>
          <w:sz w:val="26"/>
          <w:szCs w:val="26"/>
        </w:rPr>
        <w:t>the ALJ’</w:t>
      </w:r>
      <w:r w:rsidRPr="00564F73">
        <w:rPr>
          <w:rFonts w:eastAsia="Calibri"/>
          <w:sz w:val="26"/>
          <w:szCs w:val="26"/>
        </w:rPr>
        <w:t>s Initial Decision, grant the Formal Complaint of Cynthia Oduwole against Philadelphia Gas Works, and grant the Complainant a payment arrangement</w:t>
      </w:r>
      <w:r w:rsidRPr="00FA023B">
        <w:rPr>
          <w:rFonts w:eastAsia="Calibri"/>
          <w:sz w:val="26"/>
          <w:szCs w:val="26"/>
        </w:rPr>
        <w:t xml:space="preserve">, consistent with this Opinion and Order; </w:t>
      </w:r>
      <w:r w:rsidRPr="00FA023B">
        <w:rPr>
          <w:rFonts w:eastAsia="Calibri"/>
          <w:b/>
          <w:spacing w:val="-3"/>
          <w:sz w:val="26"/>
          <w:szCs w:val="26"/>
        </w:rPr>
        <w:t>THEREFORE,</w:t>
      </w:r>
    </w:p>
    <w:p w14:paraId="631E8CF2" w14:textId="77777777" w:rsidR="00FA023B" w:rsidRPr="00FA023B" w:rsidRDefault="00FA023B" w:rsidP="00FA023B">
      <w:pPr>
        <w:widowControl/>
        <w:tabs>
          <w:tab w:val="left" w:pos="-720"/>
        </w:tabs>
        <w:suppressAutoHyphens/>
        <w:spacing w:line="360" w:lineRule="auto"/>
        <w:ind w:firstLine="1440"/>
        <w:rPr>
          <w:rFonts w:eastAsia="Calibri"/>
          <w:b/>
          <w:spacing w:val="-3"/>
          <w:sz w:val="26"/>
          <w:szCs w:val="26"/>
        </w:rPr>
      </w:pPr>
    </w:p>
    <w:p w14:paraId="2611FA94" w14:textId="77777777" w:rsidR="00FA023B" w:rsidRPr="00FA023B" w:rsidRDefault="00FA023B" w:rsidP="00FA023B">
      <w:pPr>
        <w:widowControl/>
        <w:spacing w:line="360" w:lineRule="auto"/>
        <w:ind w:left="720" w:firstLine="720"/>
        <w:rPr>
          <w:rFonts w:eastAsia="Calibri"/>
          <w:b/>
          <w:color w:val="333333"/>
          <w:sz w:val="26"/>
          <w:szCs w:val="26"/>
        </w:rPr>
      </w:pPr>
      <w:r w:rsidRPr="00FA023B">
        <w:rPr>
          <w:rFonts w:eastAsia="Calibri"/>
          <w:b/>
          <w:color w:val="333333"/>
          <w:sz w:val="26"/>
          <w:szCs w:val="26"/>
        </w:rPr>
        <w:t>IT IS ORDERED:</w:t>
      </w:r>
    </w:p>
    <w:p w14:paraId="1AC6D15D" w14:textId="77777777" w:rsidR="00FA023B" w:rsidRPr="00FA023B" w:rsidRDefault="00FA023B" w:rsidP="00FA023B">
      <w:pPr>
        <w:widowControl/>
        <w:spacing w:line="360" w:lineRule="auto"/>
        <w:ind w:left="720" w:firstLine="720"/>
        <w:rPr>
          <w:rFonts w:eastAsia="Calibri"/>
          <w:b/>
          <w:color w:val="333333"/>
          <w:sz w:val="26"/>
          <w:szCs w:val="26"/>
        </w:rPr>
      </w:pPr>
    </w:p>
    <w:p w14:paraId="585AAF35" w14:textId="77777777" w:rsidR="002A1437" w:rsidRPr="00564F73" w:rsidRDefault="00FA023B" w:rsidP="002A1437">
      <w:pPr>
        <w:widowControl/>
        <w:numPr>
          <w:ilvl w:val="0"/>
          <w:numId w:val="1"/>
        </w:numPr>
        <w:spacing w:line="360" w:lineRule="auto"/>
        <w:ind w:firstLine="1440"/>
        <w:rPr>
          <w:rFonts w:eastAsia="Calibri"/>
          <w:spacing w:val="-3"/>
          <w:sz w:val="26"/>
          <w:szCs w:val="26"/>
        </w:rPr>
      </w:pPr>
      <w:r w:rsidRPr="00FA023B">
        <w:rPr>
          <w:rFonts w:eastAsia="Calibri"/>
          <w:spacing w:val="-3"/>
          <w:sz w:val="26"/>
          <w:szCs w:val="26"/>
        </w:rPr>
        <w:t xml:space="preserve">That </w:t>
      </w:r>
      <w:r w:rsidR="002A1437" w:rsidRPr="00564F73">
        <w:rPr>
          <w:sz w:val="26"/>
          <w:szCs w:val="26"/>
        </w:rPr>
        <w:t>Initial Decision of Administrative Law Judge Marta Guhl served on the Parties on October 23, 2018, in the above-captioned docket, is reversed.</w:t>
      </w:r>
    </w:p>
    <w:p w14:paraId="2A00569A" w14:textId="77777777" w:rsidR="002A1437" w:rsidRPr="00564F73" w:rsidRDefault="002A1437" w:rsidP="002A1437">
      <w:pPr>
        <w:widowControl/>
        <w:spacing w:line="360" w:lineRule="auto"/>
        <w:ind w:left="1440"/>
        <w:rPr>
          <w:rFonts w:eastAsia="Calibri"/>
          <w:spacing w:val="-3"/>
          <w:sz w:val="26"/>
          <w:szCs w:val="26"/>
        </w:rPr>
      </w:pPr>
    </w:p>
    <w:p w14:paraId="6A071D52" w14:textId="77777777" w:rsidR="002A1437" w:rsidRPr="00564F73" w:rsidRDefault="00FA023B" w:rsidP="002A1437">
      <w:pPr>
        <w:widowControl/>
        <w:numPr>
          <w:ilvl w:val="0"/>
          <w:numId w:val="1"/>
        </w:numPr>
        <w:spacing w:line="360" w:lineRule="auto"/>
        <w:ind w:firstLine="1440"/>
        <w:rPr>
          <w:rFonts w:eastAsia="Calibri"/>
          <w:spacing w:val="-3"/>
          <w:sz w:val="26"/>
          <w:szCs w:val="26"/>
        </w:rPr>
      </w:pPr>
      <w:r w:rsidRPr="00564F73">
        <w:rPr>
          <w:rFonts w:eastAsia="Calibri"/>
          <w:spacing w:val="-3"/>
          <w:sz w:val="26"/>
          <w:szCs w:val="26"/>
        </w:rPr>
        <w:t>That</w:t>
      </w:r>
      <w:r w:rsidR="00F2107B">
        <w:rPr>
          <w:rFonts w:eastAsia="Calibri"/>
          <w:spacing w:val="-3"/>
          <w:sz w:val="26"/>
          <w:szCs w:val="26"/>
        </w:rPr>
        <w:t xml:space="preserve"> </w:t>
      </w:r>
      <w:r w:rsidR="002A1437" w:rsidRPr="00564F73">
        <w:rPr>
          <w:sz w:val="26"/>
          <w:szCs w:val="26"/>
        </w:rPr>
        <w:t xml:space="preserve">Philadelphia Gas Works </w:t>
      </w:r>
      <w:r w:rsidR="00F2107B">
        <w:rPr>
          <w:sz w:val="26"/>
          <w:szCs w:val="26"/>
        </w:rPr>
        <w:t>shall r</w:t>
      </w:r>
      <w:r w:rsidR="002A1437" w:rsidRPr="00564F73">
        <w:rPr>
          <w:sz w:val="26"/>
          <w:szCs w:val="26"/>
        </w:rPr>
        <w:t xml:space="preserve">emove the amount assessed for unauthorized usage at </w:t>
      </w:r>
      <w:r w:rsidR="00FF2632">
        <w:rPr>
          <w:sz w:val="26"/>
          <w:szCs w:val="26"/>
        </w:rPr>
        <w:t xml:space="preserve">Service </w:t>
      </w:r>
      <w:r w:rsidR="002A1437" w:rsidRPr="00564F73">
        <w:rPr>
          <w:sz w:val="26"/>
          <w:szCs w:val="26"/>
        </w:rPr>
        <w:t>Address A, including any associated fees and penalties, from the account of Cynthia Oduwole.</w:t>
      </w:r>
    </w:p>
    <w:p w14:paraId="2DFCC8A7" w14:textId="77777777" w:rsidR="002A1437" w:rsidRPr="00564F73" w:rsidRDefault="002A1437" w:rsidP="002A1437">
      <w:pPr>
        <w:pStyle w:val="ListParagraph"/>
        <w:rPr>
          <w:sz w:val="26"/>
          <w:szCs w:val="26"/>
        </w:rPr>
      </w:pPr>
    </w:p>
    <w:p w14:paraId="55AA7DCB" w14:textId="77777777" w:rsidR="007F5210" w:rsidRDefault="002A1437" w:rsidP="007F5210">
      <w:pPr>
        <w:widowControl/>
        <w:numPr>
          <w:ilvl w:val="0"/>
          <w:numId w:val="1"/>
        </w:numPr>
        <w:spacing w:line="360" w:lineRule="auto"/>
        <w:ind w:firstLine="1440"/>
        <w:rPr>
          <w:rFonts w:eastAsia="Calibri"/>
          <w:spacing w:val="-3"/>
          <w:sz w:val="26"/>
          <w:szCs w:val="26"/>
        </w:rPr>
      </w:pPr>
      <w:r w:rsidRPr="00564F73">
        <w:rPr>
          <w:sz w:val="26"/>
          <w:szCs w:val="26"/>
        </w:rPr>
        <w:t>That</w:t>
      </w:r>
      <w:r w:rsidR="004D4651">
        <w:rPr>
          <w:sz w:val="26"/>
          <w:szCs w:val="26"/>
        </w:rPr>
        <w:t xml:space="preserve"> </w:t>
      </w:r>
      <w:r w:rsidRPr="00564F73">
        <w:rPr>
          <w:sz w:val="26"/>
          <w:szCs w:val="26"/>
        </w:rPr>
        <w:t xml:space="preserve">Philadelphia Gas Works </w:t>
      </w:r>
      <w:r w:rsidR="00F2107B">
        <w:rPr>
          <w:sz w:val="26"/>
          <w:szCs w:val="26"/>
        </w:rPr>
        <w:t xml:space="preserve">shall </w:t>
      </w:r>
      <w:r w:rsidRPr="00564F73">
        <w:rPr>
          <w:sz w:val="26"/>
          <w:szCs w:val="26"/>
        </w:rPr>
        <w:t xml:space="preserve">credit Cynthia Oduwole’s account for the $383.67 in payments </w:t>
      </w:r>
      <w:r w:rsidR="00F2107B">
        <w:rPr>
          <w:sz w:val="26"/>
          <w:szCs w:val="26"/>
        </w:rPr>
        <w:t xml:space="preserve">she made but </w:t>
      </w:r>
      <w:r w:rsidRPr="00564F73">
        <w:rPr>
          <w:sz w:val="26"/>
          <w:szCs w:val="26"/>
        </w:rPr>
        <w:t>that were not properly applied to her account.</w:t>
      </w:r>
    </w:p>
    <w:p w14:paraId="08A8A765" w14:textId="77777777" w:rsidR="007F5210" w:rsidRDefault="007F5210" w:rsidP="007F5210">
      <w:pPr>
        <w:pStyle w:val="ListParagraph"/>
        <w:rPr>
          <w:sz w:val="26"/>
          <w:szCs w:val="26"/>
        </w:rPr>
      </w:pPr>
    </w:p>
    <w:p w14:paraId="492A8E94" w14:textId="77777777" w:rsidR="00EF3973" w:rsidRPr="007F5210" w:rsidRDefault="00FF2632" w:rsidP="007F5210">
      <w:pPr>
        <w:widowControl/>
        <w:numPr>
          <w:ilvl w:val="0"/>
          <w:numId w:val="1"/>
        </w:numPr>
        <w:spacing w:line="360" w:lineRule="auto"/>
        <w:ind w:firstLine="1440"/>
        <w:rPr>
          <w:rFonts w:eastAsia="Calibri"/>
          <w:spacing w:val="-3"/>
          <w:sz w:val="26"/>
          <w:szCs w:val="26"/>
        </w:rPr>
      </w:pPr>
      <w:r w:rsidRPr="007F5210">
        <w:rPr>
          <w:sz w:val="26"/>
          <w:szCs w:val="26"/>
        </w:rPr>
        <w:t xml:space="preserve">That Philadelphia Gas Works is </w:t>
      </w:r>
      <w:r w:rsidR="00772695" w:rsidRPr="007F5210">
        <w:rPr>
          <w:sz w:val="26"/>
          <w:szCs w:val="26"/>
        </w:rPr>
        <w:t xml:space="preserve">permitted </w:t>
      </w:r>
      <w:r w:rsidRPr="007F5210">
        <w:rPr>
          <w:sz w:val="26"/>
          <w:szCs w:val="26"/>
        </w:rPr>
        <w:t xml:space="preserve">to hold Cynthia Oduwole responsible </w:t>
      </w:r>
      <w:r w:rsidR="00772695" w:rsidRPr="007F5210">
        <w:rPr>
          <w:sz w:val="26"/>
          <w:szCs w:val="26"/>
        </w:rPr>
        <w:t xml:space="preserve">for payment </w:t>
      </w:r>
      <w:r w:rsidR="00EF3973" w:rsidRPr="007F5210">
        <w:rPr>
          <w:sz w:val="26"/>
          <w:szCs w:val="26"/>
        </w:rPr>
        <w:t xml:space="preserve">for the arrearage that accumulated during the time she resided at Service Address A, prior to the 2011 termination, and during the time she resided at </w:t>
      </w:r>
      <w:r w:rsidR="00EF3973" w:rsidRPr="007F5210">
        <w:rPr>
          <w:sz w:val="26"/>
          <w:szCs w:val="26"/>
        </w:rPr>
        <w:lastRenderedPageBreak/>
        <w:t>Service Address B, which at the time of the hearing totaled $2,856.78 for Service Address B.</w:t>
      </w:r>
    </w:p>
    <w:p w14:paraId="00ACA926" w14:textId="77777777" w:rsidR="00FF2632" w:rsidRPr="00FF2632" w:rsidRDefault="00FF2632" w:rsidP="00FF2632">
      <w:pPr>
        <w:widowControl/>
        <w:spacing w:line="360" w:lineRule="auto"/>
        <w:rPr>
          <w:rFonts w:eastAsia="Calibri"/>
          <w:spacing w:val="-3"/>
          <w:sz w:val="26"/>
          <w:szCs w:val="26"/>
        </w:rPr>
      </w:pPr>
    </w:p>
    <w:p w14:paraId="7AE1C110" w14:textId="7EB7B914" w:rsidR="002A1437" w:rsidRPr="00564F73" w:rsidRDefault="002A1437" w:rsidP="002A1437">
      <w:pPr>
        <w:widowControl/>
        <w:numPr>
          <w:ilvl w:val="0"/>
          <w:numId w:val="1"/>
        </w:numPr>
        <w:spacing w:line="360" w:lineRule="auto"/>
        <w:ind w:firstLine="1440"/>
        <w:rPr>
          <w:rFonts w:eastAsia="Calibri"/>
          <w:spacing w:val="-3"/>
          <w:sz w:val="26"/>
          <w:szCs w:val="26"/>
        </w:rPr>
      </w:pPr>
      <w:r w:rsidRPr="00564F73">
        <w:rPr>
          <w:sz w:val="26"/>
          <w:szCs w:val="26"/>
        </w:rPr>
        <w:t xml:space="preserve">That Cynthia Oduwole </w:t>
      </w:r>
      <w:r w:rsidR="00564F73">
        <w:rPr>
          <w:sz w:val="26"/>
          <w:szCs w:val="26"/>
        </w:rPr>
        <w:t xml:space="preserve">is </w:t>
      </w:r>
      <w:r w:rsidRPr="00564F73">
        <w:rPr>
          <w:sz w:val="26"/>
          <w:szCs w:val="26"/>
        </w:rPr>
        <w:t>granted a payment arrangement on her outstanding balance</w:t>
      </w:r>
      <w:r w:rsidR="00564F73">
        <w:rPr>
          <w:sz w:val="26"/>
          <w:szCs w:val="26"/>
        </w:rPr>
        <w:t xml:space="preserve"> </w:t>
      </w:r>
      <w:r w:rsidR="007F5210">
        <w:rPr>
          <w:sz w:val="26"/>
          <w:szCs w:val="26"/>
        </w:rPr>
        <w:t xml:space="preserve">owed to Philadelphia Gas Works </w:t>
      </w:r>
      <w:r w:rsidRPr="00564F73">
        <w:rPr>
          <w:sz w:val="26"/>
          <w:szCs w:val="26"/>
        </w:rPr>
        <w:t xml:space="preserve">for a term of six (6) </w:t>
      </w:r>
      <w:r w:rsidR="00564F73">
        <w:rPr>
          <w:sz w:val="26"/>
          <w:szCs w:val="26"/>
        </w:rPr>
        <w:t>years or seventy-two (72)</w:t>
      </w:r>
      <w:r w:rsidR="009D3833">
        <w:rPr>
          <w:sz w:val="26"/>
          <w:szCs w:val="26"/>
        </w:rPr>
        <w:t xml:space="preserve"> months,</w:t>
      </w:r>
      <w:r w:rsidR="00564F73">
        <w:rPr>
          <w:sz w:val="26"/>
          <w:szCs w:val="26"/>
        </w:rPr>
        <w:t xml:space="preserve"> </w:t>
      </w:r>
      <w:r w:rsidR="009D3833" w:rsidRPr="00564F73">
        <w:rPr>
          <w:sz w:val="26"/>
          <w:szCs w:val="26"/>
        </w:rPr>
        <w:t>beginning with the due date</w:t>
      </w:r>
      <w:r w:rsidR="009D3833">
        <w:rPr>
          <w:sz w:val="26"/>
          <w:szCs w:val="26"/>
        </w:rPr>
        <w:t xml:space="preserve"> of the first bill issued by Philadelphia Gas Works </w:t>
      </w:r>
      <w:r w:rsidR="009D3833" w:rsidRPr="00564F73">
        <w:rPr>
          <w:sz w:val="26"/>
          <w:szCs w:val="26"/>
        </w:rPr>
        <w:t xml:space="preserve">following the entry </w:t>
      </w:r>
      <w:r w:rsidR="009D3833">
        <w:rPr>
          <w:sz w:val="26"/>
          <w:szCs w:val="26"/>
        </w:rPr>
        <w:t>date of this Order</w:t>
      </w:r>
      <w:r w:rsidR="00C8766E">
        <w:rPr>
          <w:sz w:val="26"/>
          <w:szCs w:val="26"/>
        </w:rPr>
        <w:t xml:space="preserve"> and reflecting the terms of the payment arrangement granted herein</w:t>
      </w:r>
      <w:r w:rsidR="009D3833">
        <w:rPr>
          <w:sz w:val="26"/>
          <w:szCs w:val="26"/>
        </w:rPr>
        <w:t>.</w:t>
      </w:r>
    </w:p>
    <w:p w14:paraId="41B86DBD" w14:textId="77777777" w:rsidR="002A1437" w:rsidRPr="00564F73" w:rsidRDefault="002A1437" w:rsidP="002A1437">
      <w:pPr>
        <w:pStyle w:val="ListParagraph"/>
        <w:rPr>
          <w:sz w:val="26"/>
          <w:szCs w:val="26"/>
        </w:rPr>
      </w:pPr>
    </w:p>
    <w:p w14:paraId="5B56B277" w14:textId="77777777" w:rsidR="00564F73" w:rsidRPr="007F5210" w:rsidRDefault="002A1437" w:rsidP="00564F73">
      <w:pPr>
        <w:widowControl/>
        <w:numPr>
          <w:ilvl w:val="0"/>
          <w:numId w:val="1"/>
        </w:numPr>
        <w:spacing w:line="360" w:lineRule="auto"/>
        <w:ind w:firstLine="1440"/>
        <w:rPr>
          <w:rFonts w:eastAsia="Calibri"/>
          <w:spacing w:val="-3"/>
          <w:sz w:val="26"/>
          <w:szCs w:val="26"/>
        </w:rPr>
      </w:pPr>
      <w:r w:rsidRPr="00564F73">
        <w:rPr>
          <w:sz w:val="26"/>
          <w:szCs w:val="26"/>
        </w:rPr>
        <w:t>That Cynthia Oduwole shall make monthly payments</w:t>
      </w:r>
      <w:r w:rsidR="007F5210">
        <w:rPr>
          <w:sz w:val="26"/>
          <w:szCs w:val="26"/>
        </w:rPr>
        <w:t xml:space="preserve"> consisting of her current bill, </w:t>
      </w:r>
      <w:r w:rsidRPr="00564F73">
        <w:rPr>
          <w:sz w:val="26"/>
          <w:szCs w:val="26"/>
        </w:rPr>
        <w:t xml:space="preserve">plus one-seventy-second (1/72nd) of </w:t>
      </w:r>
      <w:r w:rsidR="00F2107B">
        <w:rPr>
          <w:sz w:val="26"/>
          <w:szCs w:val="26"/>
        </w:rPr>
        <w:t xml:space="preserve">the </w:t>
      </w:r>
      <w:r w:rsidR="009D3833">
        <w:rPr>
          <w:sz w:val="26"/>
          <w:szCs w:val="26"/>
        </w:rPr>
        <w:t xml:space="preserve">balance </w:t>
      </w:r>
      <w:r w:rsidR="00F2107B">
        <w:rPr>
          <w:sz w:val="26"/>
          <w:szCs w:val="26"/>
        </w:rPr>
        <w:t xml:space="preserve">that </w:t>
      </w:r>
      <w:r w:rsidR="007F5210">
        <w:rPr>
          <w:sz w:val="26"/>
          <w:szCs w:val="26"/>
        </w:rPr>
        <w:t xml:space="preserve">accrued </w:t>
      </w:r>
      <w:r w:rsidR="009D3833">
        <w:rPr>
          <w:sz w:val="26"/>
          <w:szCs w:val="26"/>
        </w:rPr>
        <w:t>on her account</w:t>
      </w:r>
      <w:r w:rsidR="007F5210">
        <w:rPr>
          <w:sz w:val="26"/>
          <w:szCs w:val="26"/>
        </w:rPr>
        <w:t xml:space="preserve"> as set forth in Ordering Paragraph No. 4</w:t>
      </w:r>
      <w:r w:rsidR="009D3833">
        <w:rPr>
          <w:sz w:val="26"/>
          <w:szCs w:val="26"/>
        </w:rPr>
        <w:t>.</w:t>
      </w:r>
    </w:p>
    <w:p w14:paraId="28097206" w14:textId="77777777" w:rsidR="007F5210" w:rsidRDefault="007F5210" w:rsidP="007F5210">
      <w:pPr>
        <w:pStyle w:val="ListParagraph"/>
        <w:rPr>
          <w:rFonts w:eastAsia="Calibri"/>
          <w:spacing w:val="-3"/>
          <w:sz w:val="26"/>
          <w:szCs w:val="26"/>
        </w:rPr>
      </w:pPr>
    </w:p>
    <w:p w14:paraId="0D680E26" w14:textId="77777777" w:rsidR="00564F73" w:rsidRPr="007F5210" w:rsidRDefault="007F5210" w:rsidP="007F5210">
      <w:pPr>
        <w:widowControl/>
        <w:numPr>
          <w:ilvl w:val="0"/>
          <w:numId w:val="1"/>
        </w:numPr>
        <w:spacing w:line="360" w:lineRule="auto"/>
        <w:ind w:firstLine="1440"/>
        <w:rPr>
          <w:rFonts w:eastAsia="Calibri"/>
          <w:spacing w:val="-3"/>
          <w:sz w:val="26"/>
          <w:szCs w:val="26"/>
        </w:rPr>
      </w:pPr>
      <w:r>
        <w:rPr>
          <w:sz w:val="26"/>
          <w:szCs w:val="26"/>
        </w:rPr>
        <w:t>That, consistent with this Opinion and Order,</w:t>
      </w:r>
      <w:r w:rsidRPr="003F5145">
        <w:rPr>
          <w:sz w:val="26"/>
          <w:szCs w:val="26"/>
        </w:rPr>
        <w:t xml:space="preserve"> </w:t>
      </w:r>
      <w:r>
        <w:rPr>
          <w:sz w:val="26"/>
          <w:szCs w:val="26"/>
        </w:rPr>
        <w:t>the Bureau of Consumer Services is directed to issue and serve on the Parties within ten (10)</w:t>
      </w:r>
      <w:r w:rsidR="007C31BC">
        <w:rPr>
          <w:sz w:val="26"/>
          <w:szCs w:val="26"/>
        </w:rPr>
        <w:t xml:space="preserve"> working</w:t>
      </w:r>
      <w:r>
        <w:rPr>
          <w:sz w:val="26"/>
          <w:szCs w:val="26"/>
        </w:rPr>
        <w:t xml:space="preserve"> days of the entry date of this Order a payment arrangement between </w:t>
      </w:r>
      <w:r w:rsidRPr="00564F73">
        <w:rPr>
          <w:sz w:val="26"/>
          <w:szCs w:val="26"/>
        </w:rPr>
        <w:t xml:space="preserve">Cynthia Oduwole </w:t>
      </w:r>
      <w:r>
        <w:rPr>
          <w:sz w:val="26"/>
          <w:szCs w:val="26"/>
        </w:rPr>
        <w:t>and Philadelphia Gas Works, establishing the correct outstanding arrearage amount owed for Service Addresses A and B and the monthly installment amount to be paid by Ms.</w:t>
      </w:r>
      <w:r w:rsidR="00F2107B">
        <w:rPr>
          <w:sz w:val="26"/>
          <w:szCs w:val="26"/>
        </w:rPr>
        <w:t> </w:t>
      </w:r>
      <w:r>
        <w:rPr>
          <w:sz w:val="26"/>
          <w:szCs w:val="26"/>
        </w:rPr>
        <w:t>Oduwole to Philadelphia Gas Works for the payment period established herein.</w:t>
      </w:r>
    </w:p>
    <w:p w14:paraId="6BF38398" w14:textId="77777777" w:rsidR="00564F73" w:rsidRDefault="00564F73" w:rsidP="00564F73">
      <w:pPr>
        <w:pStyle w:val="ListParagraph"/>
        <w:rPr>
          <w:rFonts w:eastAsia="Calibri"/>
          <w:spacing w:val="-3"/>
          <w:sz w:val="26"/>
          <w:szCs w:val="26"/>
        </w:rPr>
      </w:pPr>
    </w:p>
    <w:p w14:paraId="780C5C78" w14:textId="77777777" w:rsidR="007F5210" w:rsidRDefault="007F5210" w:rsidP="00772695">
      <w:pPr>
        <w:widowControl/>
        <w:numPr>
          <w:ilvl w:val="0"/>
          <w:numId w:val="1"/>
        </w:numPr>
        <w:spacing w:line="360" w:lineRule="auto"/>
        <w:ind w:firstLine="1440"/>
        <w:rPr>
          <w:rFonts w:eastAsia="Calibri"/>
          <w:spacing w:val="-3"/>
          <w:sz w:val="26"/>
          <w:szCs w:val="26"/>
        </w:rPr>
      </w:pPr>
      <w:r>
        <w:rPr>
          <w:rFonts w:eastAsia="Calibri"/>
          <w:spacing w:val="-3"/>
          <w:sz w:val="26"/>
          <w:szCs w:val="26"/>
        </w:rPr>
        <w:t>That Philadelphia Gas Works is directed to promptly provide any information as may be requested by the Bureau of Consumer Services in implementing Ordering Paragraph No. 7 above.</w:t>
      </w:r>
    </w:p>
    <w:p w14:paraId="0D446A59" w14:textId="77777777" w:rsidR="007F5210" w:rsidRDefault="007F5210" w:rsidP="007F5210">
      <w:pPr>
        <w:pStyle w:val="ListParagraph"/>
        <w:rPr>
          <w:rFonts w:eastAsia="Calibri"/>
          <w:spacing w:val="-3"/>
          <w:sz w:val="26"/>
          <w:szCs w:val="26"/>
        </w:rPr>
      </w:pPr>
    </w:p>
    <w:p w14:paraId="14B08A76" w14:textId="77777777" w:rsidR="007F5210" w:rsidRDefault="00564F73" w:rsidP="007F5210">
      <w:pPr>
        <w:widowControl/>
        <w:numPr>
          <w:ilvl w:val="0"/>
          <w:numId w:val="1"/>
        </w:numPr>
        <w:spacing w:line="360" w:lineRule="auto"/>
        <w:ind w:firstLine="1440"/>
        <w:rPr>
          <w:rFonts w:eastAsia="Calibri"/>
          <w:spacing w:val="-3"/>
          <w:sz w:val="26"/>
          <w:szCs w:val="26"/>
        </w:rPr>
      </w:pPr>
      <w:r>
        <w:rPr>
          <w:rFonts w:eastAsia="Calibri"/>
          <w:spacing w:val="-3"/>
          <w:sz w:val="26"/>
          <w:szCs w:val="26"/>
        </w:rPr>
        <w:t xml:space="preserve">That Philadelphia Gas Works is ordered to </w:t>
      </w:r>
      <w:r w:rsidR="007F5210">
        <w:rPr>
          <w:rFonts w:eastAsia="Calibri"/>
          <w:spacing w:val="-3"/>
          <w:sz w:val="26"/>
          <w:szCs w:val="26"/>
        </w:rPr>
        <w:t xml:space="preserve">establish </w:t>
      </w:r>
      <w:r>
        <w:rPr>
          <w:rFonts w:eastAsia="Calibri"/>
          <w:spacing w:val="-3"/>
          <w:sz w:val="26"/>
          <w:szCs w:val="26"/>
        </w:rPr>
        <w:t xml:space="preserve">gas service to </w:t>
      </w:r>
      <w:r w:rsidR="007F5210">
        <w:rPr>
          <w:rFonts w:eastAsia="Calibri"/>
          <w:spacing w:val="-3"/>
          <w:sz w:val="26"/>
          <w:szCs w:val="26"/>
        </w:rPr>
        <w:t>Cynthia Oduwole at her current S</w:t>
      </w:r>
      <w:r>
        <w:rPr>
          <w:rFonts w:eastAsia="Calibri"/>
          <w:spacing w:val="-3"/>
          <w:sz w:val="26"/>
          <w:szCs w:val="26"/>
        </w:rPr>
        <w:t>ervice Address C, consistent with this Opinion and Order.</w:t>
      </w:r>
    </w:p>
    <w:p w14:paraId="53BC9833" w14:textId="77777777" w:rsidR="007F5210" w:rsidRDefault="007F5210" w:rsidP="007F5210">
      <w:pPr>
        <w:pStyle w:val="ListParagraph"/>
        <w:rPr>
          <w:rFonts w:eastAsia="Calibri"/>
          <w:spacing w:val="-3"/>
          <w:sz w:val="26"/>
          <w:szCs w:val="26"/>
        </w:rPr>
      </w:pPr>
    </w:p>
    <w:p w14:paraId="0527B360" w14:textId="77777777" w:rsidR="00772695" w:rsidRPr="007F5210" w:rsidRDefault="00772695" w:rsidP="007F5210">
      <w:pPr>
        <w:widowControl/>
        <w:numPr>
          <w:ilvl w:val="0"/>
          <w:numId w:val="1"/>
        </w:numPr>
        <w:spacing w:line="360" w:lineRule="auto"/>
        <w:ind w:firstLine="1440"/>
        <w:rPr>
          <w:rFonts w:eastAsia="Calibri"/>
          <w:spacing w:val="-3"/>
          <w:sz w:val="26"/>
          <w:szCs w:val="26"/>
        </w:rPr>
      </w:pPr>
      <w:r w:rsidRPr="007F5210">
        <w:rPr>
          <w:rFonts w:eastAsia="Calibri"/>
          <w:spacing w:val="-3"/>
          <w:sz w:val="26"/>
          <w:szCs w:val="26"/>
        </w:rPr>
        <w:t xml:space="preserve">That the Secretary’s Bureau shall serve a copy of this Opinion and Order on the </w:t>
      </w:r>
      <w:r w:rsidR="00C8766E">
        <w:rPr>
          <w:rFonts w:eastAsia="Calibri"/>
          <w:spacing w:val="-3"/>
          <w:sz w:val="26"/>
          <w:szCs w:val="26"/>
        </w:rPr>
        <w:t xml:space="preserve">Director of the </w:t>
      </w:r>
      <w:r w:rsidRPr="007F5210">
        <w:rPr>
          <w:rFonts w:eastAsia="Calibri"/>
          <w:spacing w:val="-3"/>
          <w:sz w:val="26"/>
          <w:szCs w:val="26"/>
        </w:rPr>
        <w:t>Bureau of Consumers Services</w:t>
      </w:r>
      <w:r w:rsidR="005F46CE">
        <w:rPr>
          <w:rFonts w:eastAsia="Calibri"/>
          <w:spacing w:val="-3"/>
          <w:sz w:val="26"/>
          <w:szCs w:val="26"/>
        </w:rPr>
        <w:t>.</w:t>
      </w:r>
    </w:p>
    <w:p w14:paraId="5F190AFE" w14:textId="77777777" w:rsidR="00772695" w:rsidRDefault="00772695" w:rsidP="00772695">
      <w:pPr>
        <w:pStyle w:val="ListParagraph"/>
        <w:rPr>
          <w:rFonts w:eastAsia="Calibri"/>
          <w:sz w:val="26"/>
          <w:szCs w:val="26"/>
        </w:rPr>
      </w:pPr>
    </w:p>
    <w:p w14:paraId="5EC7970D" w14:textId="77777777" w:rsidR="00FA023B" w:rsidRPr="00FA023B" w:rsidRDefault="00FA023B" w:rsidP="009D3833">
      <w:pPr>
        <w:widowControl/>
        <w:numPr>
          <w:ilvl w:val="0"/>
          <w:numId w:val="1"/>
        </w:numPr>
        <w:spacing w:line="360" w:lineRule="auto"/>
        <w:ind w:firstLine="1440"/>
        <w:rPr>
          <w:rFonts w:eastAsia="Calibri"/>
          <w:spacing w:val="-3"/>
          <w:sz w:val="26"/>
          <w:szCs w:val="26"/>
        </w:rPr>
      </w:pPr>
      <w:r w:rsidRPr="00FA023B">
        <w:rPr>
          <w:rFonts w:eastAsia="Calibri"/>
          <w:sz w:val="26"/>
          <w:szCs w:val="26"/>
        </w:rPr>
        <w:lastRenderedPageBreak/>
        <w:t>That</w:t>
      </w:r>
      <w:r w:rsidR="00D61E1F">
        <w:rPr>
          <w:rFonts w:eastAsia="Calibri"/>
          <w:sz w:val="26"/>
          <w:szCs w:val="26"/>
        </w:rPr>
        <w:t>,</w:t>
      </w:r>
      <w:r w:rsidR="00772695">
        <w:rPr>
          <w:rFonts w:eastAsia="Calibri"/>
          <w:sz w:val="26"/>
          <w:szCs w:val="26"/>
        </w:rPr>
        <w:t xml:space="preserve"> </w:t>
      </w:r>
      <w:r w:rsidR="00C8766E">
        <w:rPr>
          <w:rFonts w:eastAsia="Calibri"/>
          <w:sz w:val="26"/>
          <w:szCs w:val="26"/>
        </w:rPr>
        <w:t xml:space="preserve">following the Bureau of Consumer Services’ issuance of the payment arrangement in accordance with Ordering Paragraph No. 7 above, </w:t>
      </w:r>
      <w:r w:rsidR="00564F73" w:rsidRPr="009D3833">
        <w:rPr>
          <w:rFonts w:eastAsia="Calibri"/>
          <w:sz w:val="26"/>
          <w:szCs w:val="26"/>
        </w:rPr>
        <w:t>th</w:t>
      </w:r>
      <w:r w:rsidR="00C8766E">
        <w:rPr>
          <w:rFonts w:eastAsia="Calibri"/>
          <w:sz w:val="26"/>
          <w:szCs w:val="26"/>
        </w:rPr>
        <w:t xml:space="preserve">is </w:t>
      </w:r>
      <w:r w:rsidRPr="00FA023B">
        <w:rPr>
          <w:rFonts w:eastAsia="Calibri"/>
          <w:sz w:val="26"/>
          <w:szCs w:val="26"/>
        </w:rPr>
        <w:t xml:space="preserve">docket </w:t>
      </w:r>
      <w:r w:rsidR="00C8766E">
        <w:rPr>
          <w:rFonts w:eastAsia="Calibri"/>
          <w:sz w:val="26"/>
          <w:szCs w:val="26"/>
        </w:rPr>
        <w:t xml:space="preserve">shall be marked </w:t>
      </w:r>
      <w:r w:rsidRPr="00FA023B">
        <w:rPr>
          <w:rFonts w:eastAsia="Calibri"/>
          <w:sz w:val="26"/>
          <w:szCs w:val="26"/>
        </w:rPr>
        <w:t>closed.</w:t>
      </w:r>
    </w:p>
    <w:p w14:paraId="29FAB354" w14:textId="77777777" w:rsidR="00FA023B" w:rsidRPr="00FA023B" w:rsidRDefault="00FA023B" w:rsidP="00FA023B">
      <w:pPr>
        <w:widowControl/>
        <w:spacing w:line="360" w:lineRule="auto"/>
        <w:ind w:firstLine="1440"/>
        <w:rPr>
          <w:rFonts w:eastAsia="Calibri"/>
          <w:b/>
          <w:spacing w:val="-3"/>
          <w:sz w:val="26"/>
          <w:szCs w:val="26"/>
        </w:rPr>
      </w:pPr>
    </w:p>
    <w:p w14:paraId="11BE5CAF" w14:textId="77777777" w:rsidR="00FA023B" w:rsidRPr="00FA023B" w:rsidRDefault="00FA023B" w:rsidP="00FA023B">
      <w:pPr>
        <w:widowControl/>
        <w:spacing w:line="360" w:lineRule="auto"/>
        <w:rPr>
          <w:b/>
          <w:spacing w:val="-3"/>
          <w:sz w:val="26"/>
          <w:szCs w:val="26"/>
        </w:rPr>
      </w:pPr>
      <w:r w:rsidRPr="00FA023B">
        <w:rPr>
          <w:b/>
          <w:spacing w:val="-3"/>
          <w:sz w:val="26"/>
          <w:szCs w:val="26"/>
        </w:rPr>
        <w:tab/>
      </w:r>
      <w:r w:rsidRPr="00FA023B">
        <w:rPr>
          <w:b/>
          <w:spacing w:val="-3"/>
          <w:sz w:val="26"/>
          <w:szCs w:val="26"/>
        </w:rPr>
        <w:tab/>
      </w:r>
      <w:r w:rsidRPr="00FA023B">
        <w:rPr>
          <w:b/>
          <w:spacing w:val="-3"/>
          <w:sz w:val="26"/>
          <w:szCs w:val="26"/>
        </w:rPr>
        <w:tab/>
      </w:r>
      <w:r w:rsidRPr="00FA023B">
        <w:rPr>
          <w:b/>
          <w:spacing w:val="-3"/>
          <w:sz w:val="26"/>
          <w:szCs w:val="26"/>
        </w:rPr>
        <w:tab/>
      </w:r>
      <w:r w:rsidRPr="00FA023B">
        <w:rPr>
          <w:b/>
          <w:spacing w:val="-3"/>
          <w:sz w:val="26"/>
          <w:szCs w:val="26"/>
        </w:rPr>
        <w:tab/>
      </w:r>
      <w:r w:rsidRPr="00FA023B">
        <w:rPr>
          <w:b/>
          <w:spacing w:val="-3"/>
          <w:sz w:val="26"/>
          <w:szCs w:val="26"/>
        </w:rPr>
        <w:tab/>
      </w:r>
      <w:r w:rsidRPr="00FA023B">
        <w:rPr>
          <w:b/>
          <w:spacing w:val="-3"/>
          <w:sz w:val="26"/>
          <w:szCs w:val="26"/>
        </w:rPr>
        <w:tab/>
        <w:t>BY THE COMMISSION,</w:t>
      </w:r>
    </w:p>
    <w:p w14:paraId="4EF65DC5" w14:textId="503D8B76" w:rsidR="00FA023B" w:rsidRPr="00FA023B" w:rsidRDefault="00EE119F" w:rsidP="00FA023B">
      <w:pPr>
        <w:widowControl/>
        <w:tabs>
          <w:tab w:val="left" w:pos="-720"/>
        </w:tabs>
        <w:suppressAutoHyphens/>
        <w:rPr>
          <w:rFonts w:eastAsia="Calibri"/>
          <w:spacing w:val="-3"/>
          <w:sz w:val="26"/>
          <w:szCs w:val="26"/>
        </w:rPr>
      </w:pPr>
      <w:r w:rsidRPr="00407082">
        <w:rPr>
          <w:rFonts w:ascii="Arial" w:hAnsi="Arial" w:cs="Arial"/>
          <w:noProof/>
          <w:sz w:val="22"/>
          <w:szCs w:val="22"/>
        </w:rPr>
        <w:drawing>
          <wp:anchor distT="0" distB="0" distL="114300" distR="114300" simplePos="0" relativeHeight="251659264" behindDoc="1" locked="0" layoutInCell="1" allowOverlap="1" wp14:anchorId="5BB8544C" wp14:editId="4F92905A">
            <wp:simplePos x="0" y="0"/>
            <wp:positionH relativeFrom="column">
              <wp:posOffset>3057525</wp:posOffset>
            </wp:positionH>
            <wp:positionV relativeFrom="paragraph">
              <wp:posOffset>8890</wp:posOffset>
            </wp:positionV>
            <wp:extent cx="1876425" cy="7143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76425" cy="714375"/>
                    </a:xfrm>
                    <a:prstGeom prst="rect">
                      <a:avLst/>
                    </a:prstGeom>
                    <a:noFill/>
                    <a:ln w="9525">
                      <a:noFill/>
                      <a:miter lim="800000"/>
                      <a:headEnd/>
                      <a:tailEnd/>
                    </a:ln>
                  </pic:spPr>
                </pic:pic>
              </a:graphicData>
            </a:graphic>
          </wp:anchor>
        </w:drawing>
      </w:r>
    </w:p>
    <w:p w14:paraId="5C78313F" w14:textId="135C1FD3" w:rsidR="00FA023B" w:rsidRPr="00FA023B" w:rsidRDefault="00EE119F" w:rsidP="00FA023B">
      <w:pPr>
        <w:widowControl/>
        <w:tabs>
          <w:tab w:val="left" w:pos="-720"/>
        </w:tabs>
        <w:suppressAutoHyphens/>
        <w:rPr>
          <w:rFonts w:eastAsia="Calibri"/>
          <w:spacing w:val="-3"/>
          <w:sz w:val="26"/>
          <w:szCs w:val="26"/>
        </w:rPr>
      </w:pPr>
      <w:r>
        <w:rPr>
          <w:rFonts w:eastAsia="Calibri"/>
          <w:spacing w:val="-3"/>
          <w:sz w:val="26"/>
          <w:szCs w:val="26"/>
        </w:rPr>
        <w:tab/>
      </w:r>
      <w:r>
        <w:rPr>
          <w:rFonts w:eastAsia="Calibri"/>
          <w:spacing w:val="-3"/>
          <w:sz w:val="26"/>
          <w:szCs w:val="26"/>
        </w:rPr>
        <w:tab/>
      </w:r>
      <w:r>
        <w:rPr>
          <w:rFonts w:eastAsia="Calibri"/>
          <w:spacing w:val="-3"/>
          <w:sz w:val="26"/>
          <w:szCs w:val="26"/>
        </w:rPr>
        <w:tab/>
      </w:r>
      <w:r>
        <w:rPr>
          <w:rFonts w:eastAsia="Calibri"/>
          <w:spacing w:val="-3"/>
          <w:sz w:val="26"/>
          <w:szCs w:val="26"/>
        </w:rPr>
        <w:tab/>
      </w:r>
      <w:r>
        <w:rPr>
          <w:rFonts w:eastAsia="Calibri"/>
          <w:spacing w:val="-3"/>
          <w:sz w:val="26"/>
          <w:szCs w:val="26"/>
        </w:rPr>
        <w:tab/>
      </w:r>
      <w:r>
        <w:rPr>
          <w:rFonts w:eastAsia="Calibri"/>
          <w:spacing w:val="-3"/>
          <w:sz w:val="26"/>
          <w:szCs w:val="26"/>
        </w:rPr>
        <w:tab/>
      </w:r>
      <w:r>
        <w:rPr>
          <w:rFonts w:eastAsia="Calibri"/>
          <w:spacing w:val="-3"/>
          <w:sz w:val="26"/>
          <w:szCs w:val="26"/>
        </w:rPr>
        <w:tab/>
      </w:r>
    </w:p>
    <w:p w14:paraId="0A062032" w14:textId="77777777" w:rsidR="00FA023B" w:rsidRPr="00FA023B" w:rsidRDefault="00FA023B" w:rsidP="00FA023B">
      <w:pPr>
        <w:widowControl/>
        <w:tabs>
          <w:tab w:val="left" w:pos="-720"/>
        </w:tabs>
        <w:suppressAutoHyphens/>
        <w:rPr>
          <w:rFonts w:eastAsia="Calibri"/>
          <w:spacing w:val="-3"/>
          <w:sz w:val="26"/>
          <w:szCs w:val="26"/>
        </w:rPr>
      </w:pPr>
    </w:p>
    <w:p w14:paraId="280DDDA1" w14:textId="77777777" w:rsidR="00FA023B" w:rsidRPr="00FA023B" w:rsidRDefault="00FA023B" w:rsidP="00FA023B">
      <w:pPr>
        <w:widowControl/>
        <w:tabs>
          <w:tab w:val="left" w:pos="-720"/>
        </w:tabs>
        <w:suppressAutoHyphens/>
        <w:rPr>
          <w:rFonts w:eastAsia="Calibri"/>
          <w:spacing w:val="-3"/>
          <w:sz w:val="26"/>
          <w:szCs w:val="26"/>
        </w:rPr>
      </w:pPr>
    </w:p>
    <w:p w14:paraId="36FC3D8F" w14:textId="77777777" w:rsidR="00FA023B" w:rsidRPr="00FA023B" w:rsidRDefault="00FA023B" w:rsidP="00FA023B">
      <w:pPr>
        <w:widowControl/>
        <w:tabs>
          <w:tab w:val="left" w:pos="-720"/>
        </w:tabs>
        <w:suppressAutoHyphens/>
        <w:rPr>
          <w:rFonts w:eastAsia="Calibri"/>
          <w:spacing w:val="-3"/>
          <w:sz w:val="26"/>
          <w:szCs w:val="26"/>
        </w:rPr>
      </w:pPr>
      <w:r w:rsidRPr="00FA023B">
        <w:rPr>
          <w:rFonts w:eastAsia="Calibri"/>
          <w:spacing w:val="-3"/>
          <w:sz w:val="26"/>
          <w:szCs w:val="26"/>
        </w:rPr>
        <w:tab/>
      </w:r>
      <w:r w:rsidRPr="00FA023B">
        <w:rPr>
          <w:rFonts w:eastAsia="Calibri"/>
          <w:spacing w:val="-3"/>
          <w:sz w:val="26"/>
          <w:szCs w:val="26"/>
        </w:rPr>
        <w:tab/>
      </w:r>
      <w:r w:rsidRPr="00FA023B">
        <w:rPr>
          <w:rFonts w:eastAsia="Calibri"/>
          <w:spacing w:val="-3"/>
          <w:sz w:val="26"/>
          <w:szCs w:val="26"/>
        </w:rPr>
        <w:tab/>
      </w:r>
      <w:r w:rsidRPr="00FA023B">
        <w:rPr>
          <w:rFonts w:eastAsia="Calibri"/>
          <w:spacing w:val="-3"/>
          <w:sz w:val="26"/>
          <w:szCs w:val="26"/>
        </w:rPr>
        <w:tab/>
      </w:r>
      <w:r w:rsidRPr="00FA023B">
        <w:rPr>
          <w:rFonts w:eastAsia="Calibri"/>
          <w:spacing w:val="-3"/>
          <w:sz w:val="26"/>
          <w:szCs w:val="26"/>
        </w:rPr>
        <w:tab/>
      </w:r>
      <w:r w:rsidRPr="00FA023B">
        <w:rPr>
          <w:rFonts w:eastAsia="Calibri"/>
          <w:spacing w:val="-3"/>
          <w:sz w:val="26"/>
          <w:szCs w:val="26"/>
        </w:rPr>
        <w:tab/>
      </w:r>
      <w:r w:rsidRPr="00FA023B">
        <w:rPr>
          <w:rFonts w:eastAsia="Calibri"/>
          <w:spacing w:val="-3"/>
          <w:sz w:val="26"/>
          <w:szCs w:val="26"/>
        </w:rPr>
        <w:tab/>
        <w:t>Rosemary Chiavetta</w:t>
      </w:r>
    </w:p>
    <w:p w14:paraId="05D26926" w14:textId="77777777" w:rsidR="00FA023B" w:rsidRPr="00FA023B" w:rsidRDefault="00FA023B" w:rsidP="00FA023B">
      <w:pPr>
        <w:widowControl/>
        <w:tabs>
          <w:tab w:val="left" w:pos="-720"/>
        </w:tabs>
        <w:suppressAutoHyphens/>
        <w:rPr>
          <w:rFonts w:eastAsia="Calibri"/>
          <w:spacing w:val="-3"/>
          <w:sz w:val="26"/>
          <w:szCs w:val="26"/>
        </w:rPr>
      </w:pPr>
      <w:r w:rsidRPr="00FA023B">
        <w:rPr>
          <w:rFonts w:eastAsia="Calibri"/>
          <w:spacing w:val="-3"/>
          <w:sz w:val="26"/>
          <w:szCs w:val="26"/>
        </w:rPr>
        <w:tab/>
      </w:r>
      <w:r w:rsidRPr="00FA023B">
        <w:rPr>
          <w:rFonts w:eastAsia="Calibri"/>
          <w:spacing w:val="-3"/>
          <w:sz w:val="26"/>
          <w:szCs w:val="26"/>
        </w:rPr>
        <w:tab/>
      </w:r>
      <w:r w:rsidRPr="00FA023B">
        <w:rPr>
          <w:rFonts w:eastAsia="Calibri"/>
          <w:spacing w:val="-3"/>
          <w:sz w:val="26"/>
          <w:szCs w:val="26"/>
        </w:rPr>
        <w:tab/>
      </w:r>
      <w:r w:rsidRPr="00FA023B">
        <w:rPr>
          <w:rFonts w:eastAsia="Calibri"/>
          <w:spacing w:val="-3"/>
          <w:sz w:val="26"/>
          <w:szCs w:val="26"/>
        </w:rPr>
        <w:tab/>
      </w:r>
      <w:r w:rsidRPr="00FA023B">
        <w:rPr>
          <w:rFonts w:eastAsia="Calibri"/>
          <w:spacing w:val="-3"/>
          <w:sz w:val="26"/>
          <w:szCs w:val="26"/>
        </w:rPr>
        <w:tab/>
      </w:r>
      <w:r w:rsidRPr="00FA023B">
        <w:rPr>
          <w:rFonts w:eastAsia="Calibri"/>
          <w:spacing w:val="-3"/>
          <w:sz w:val="26"/>
          <w:szCs w:val="26"/>
        </w:rPr>
        <w:tab/>
      </w:r>
      <w:r w:rsidRPr="00FA023B">
        <w:rPr>
          <w:rFonts w:eastAsia="Calibri"/>
          <w:spacing w:val="-3"/>
          <w:sz w:val="26"/>
          <w:szCs w:val="26"/>
        </w:rPr>
        <w:tab/>
        <w:t>Secretary</w:t>
      </w:r>
    </w:p>
    <w:p w14:paraId="7418943E" w14:textId="77777777" w:rsidR="00FA023B" w:rsidRPr="00FA023B" w:rsidRDefault="00FA023B" w:rsidP="00FA023B">
      <w:pPr>
        <w:widowControl/>
        <w:tabs>
          <w:tab w:val="left" w:pos="-720"/>
        </w:tabs>
        <w:suppressAutoHyphens/>
        <w:rPr>
          <w:rFonts w:eastAsia="Calibri"/>
          <w:spacing w:val="-3"/>
          <w:sz w:val="26"/>
          <w:szCs w:val="26"/>
        </w:rPr>
      </w:pPr>
    </w:p>
    <w:p w14:paraId="6DFC0CA0" w14:textId="77777777" w:rsidR="00FA023B" w:rsidRPr="00FA023B" w:rsidRDefault="00FA023B" w:rsidP="00FA023B">
      <w:pPr>
        <w:widowControl/>
        <w:tabs>
          <w:tab w:val="left" w:pos="-720"/>
        </w:tabs>
        <w:suppressAutoHyphens/>
        <w:spacing w:line="360" w:lineRule="auto"/>
        <w:rPr>
          <w:rFonts w:eastAsia="Calibri"/>
          <w:spacing w:val="-3"/>
          <w:sz w:val="26"/>
          <w:szCs w:val="26"/>
        </w:rPr>
      </w:pPr>
      <w:r w:rsidRPr="00FA023B">
        <w:rPr>
          <w:rFonts w:eastAsia="Calibri"/>
          <w:spacing w:val="-3"/>
          <w:sz w:val="26"/>
          <w:szCs w:val="26"/>
        </w:rPr>
        <w:t>(SEAL)</w:t>
      </w:r>
    </w:p>
    <w:p w14:paraId="797D4AEF" w14:textId="77777777" w:rsidR="00FA023B" w:rsidRPr="00FA023B" w:rsidRDefault="00FA023B" w:rsidP="00FA023B">
      <w:pPr>
        <w:widowControl/>
        <w:tabs>
          <w:tab w:val="left" w:pos="-720"/>
        </w:tabs>
        <w:suppressAutoHyphens/>
        <w:spacing w:line="360" w:lineRule="auto"/>
        <w:rPr>
          <w:rFonts w:eastAsia="Calibri"/>
          <w:spacing w:val="-3"/>
          <w:sz w:val="26"/>
          <w:szCs w:val="26"/>
        </w:rPr>
      </w:pPr>
      <w:bookmarkStart w:id="0" w:name="_GoBack"/>
      <w:bookmarkEnd w:id="0"/>
    </w:p>
    <w:p w14:paraId="56B0B9EB" w14:textId="77777777" w:rsidR="00FA023B" w:rsidRPr="00FA023B" w:rsidRDefault="00FA023B" w:rsidP="00FA023B">
      <w:pPr>
        <w:widowControl/>
        <w:tabs>
          <w:tab w:val="left" w:pos="-720"/>
        </w:tabs>
        <w:suppressAutoHyphens/>
        <w:spacing w:line="360" w:lineRule="auto"/>
        <w:rPr>
          <w:rFonts w:eastAsia="Calibri"/>
          <w:spacing w:val="-3"/>
          <w:sz w:val="26"/>
          <w:szCs w:val="26"/>
        </w:rPr>
      </w:pPr>
      <w:r w:rsidRPr="00FA023B">
        <w:rPr>
          <w:rFonts w:eastAsia="Calibri"/>
          <w:spacing w:val="-3"/>
          <w:sz w:val="26"/>
          <w:szCs w:val="26"/>
        </w:rPr>
        <w:t xml:space="preserve">ORDER ADOPTED:  </w:t>
      </w:r>
      <w:r>
        <w:rPr>
          <w:rFonts w:eastAsia="Calibri"/>
          <w:spacing w:val="-3"/>
          <w:sz w:val="26"/>
          <w:szCs w:val="26"/>
        </w:rPr>
        <w:t>February 28</w:t>
      </w:r>
      <w:r w:rsidRPr="00FA023B">
        <w:rPr>
          <w:rFonts w:eastAsia="Calibri"/>
          <w:spacing w:val="-3"/>
          <w:sz w:val="26"/>
          <w:szCs w:val="26"/>
        </w:rPr>
        <w:t>, 2019</w:t>
      </w:r>
    </w:p>
    <w:p w14:paraId="54D95964" w14:textId="5833DC86" w:rsidR="00FA023B" w:rsidRPr="00FA023B" w:rsidRDefault="00FA023B" w:rsidP="00FA023B">
      <w:pPr>
        <w:widowControl/>
        <w:tabs>
          <w:tab w:val="left" w:pos="-720"/>
        </w:tabs>
        <w:suppressAutoHyphens/>
        <w:spacing w:line="360" w:lineRule="auto"/>
        <w:rPr>
          <w:rFonts w:eastAsia="Calibri"/>
          <w:spacing w:val="-3"/>
          <w:sz w:val="26"/>
          <w:szCs w:val="26"/>
        </w:rPr>
      </w:pPr>
      <w:r w:rsidRPr="00FA023B">
        <w:rPr>
          <w:rFonts w:eastAsia="Calibri"/>
          <w:spacing w:val="-3"/>
          <w:sz w:val="26"/>
          <w:szCs w:val="26"/>
        </w:rPr>
        <w:t xml:space="preserve">ORDER ENTERED:  </w:t>
      </w:r>
      <w:r w:rsidR="00EE119F">
        <w:rPr>
          <w:rFonts w:eastAsia="Calibri"/>
          <w:spacing w:val="-3"/>
          <w:sz w:val="26"/>
          <w:szCs w:val="26"/>
        </w:rPr>
        <w:t>March 28, 2019</w:t>
      </w:r>
    </w:p>
    <w:p w14:paraId="3147362F" w14:textId="77777777" w:rsidR="003D5C5F" w:rsidRDefault="003D5C5F" w:rsidP="00065CA5">
      <w:pPr>
        <w:widowControl/>
      </w:pPr>
    </w:p>
    <w:sectPr w:rsidR="003D5C5F" w:rsidSect="00CC559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C3DEC" w14:textId="77777777" w:rsidR="00C94BB0" w:rsidRDefault="00C94BB0" w:rsidP="00677D9D">
      <w:r>
        <w:separator/>
      </w:r>
    </w:p>
  </w:endnote>
  <w:endnote w:type="continuationSeparator" w:id="0">
    <w:p w14:paraId="1A6D810A" w14:textId="77777777" w:rsidR="00C94BB0" w:rsidRDefault="00C94BB0" w:rsidP="0067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377699"/>
      <w:docPartObj>
        <w:docPartGallery w:val="Page Numbers (Bottom of Page)"/>
        <w:docPartUnique/>
      </w:docPartObj>
    </w:sdtPr>
    <w:sdtEndPr>
      <w:rPr>
        <w:noProof/>
      </w:rPr>
    </w:sdtEndPr>
    <w:sdtContent>
      <w:p w14:paraId="7017FE8F" w14:textId="5B24DA18" w:rsidR="007F5210" w:rsidRDefault="007F5210">
        <w:pPr>
          <w:pStyle w:val="Footer"/>
          <w:jc w:val="center"/>
        </w:pPr>
        <w:r>
          <w:fldChar w:fldCharType="begin"/>
        </w:r>
        <w:r>
          <w:instrText xml:space="preserve"> PAGE   \* MERGEFORMAT </w:instrText>
        </w:r>
        <w:r>
          <w:fldChar w:fldCharType="separate"/>
        </w:r>
        <w:r w:rsidR="001B5438">
          <w:rPr>
            <w:noProof/>
          </w:rPr>
          <w:t>12</w:t>
        </w:r>
        <w:r>
          <w:rPr>
            <w:noProof/>
          </w:rPr>
          <w:fldChar w:fldCharType="end"/>
        </w:r>
      </w:p>
    </w:sdtContent>
  </w:sdt>
  <w:p w14:paraId="638DB93F" w14:textId="77777777" w:rsidR="007F5210" w:rsidRDefault="007F5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C7508" w14:textId="77777777" w:rsidR="00C94BB0" w:rsidRDefault="00C94BB0" w:rsidP="00677D9D">
      <w:r>
        <w:separator/>
      </w:r>
    </w:p>
  </w:footnote>
  <w:footnote w:type="continuationSeparator" w:id="0">
    <w:p w14:paraId="7524B49C" w14:textId="77777777" w:rsidR="00C94BB0" w:rsidRDefault="00C94BB0" w:rsidP="00677D9D">
      <w:r>
        <w:continuationSeparator/>
      </w:r>
    </w:p>
  </w:footnote>
  <w:footnote w:id="1">
    <w:p w14:paraId="13F66F49" w14:textId="77777777" w:rsidR="00AB13FD" w:rsidRPr="00AB13FD" w:rsidRDefault="00AB13FD" w:rsidP="00AB13FD">
      <w:pPr>
        <w:pStyle w:val="FootnoteText"/>
        <w:ind w:firstLine="720"/>
        <w:rPr>
          <w:sz w:val="26"/>
          <w:szCs w:val="26"/>
        </w:rPr>
      </w:pPr>
      <w:r w:rsidRPr="00AB13FD">
        <w:rPr>
          <w:rStyle w:val="FootnoteReference"/>
          <w:sz w:val="26"/>
          <w:szCs w:val="26"/>
        </w:rPr>
        <w:footnoteRef/>
      </w:r>
      <w:r w:rsidRPr="00AB13FD">
        <w:rPr>
          <w:sz w:val="26"/>
          <w:szCs w:val="26"/>
        </w:rPr>
        <w:t xml:space="preserve"> </w:t>
      </w:r>
      <w:r>
        <w:rPr>
          <w:sz w:val="26"/>
          <w:szCs w:val="26"/>
        </w:rPr>
        <w:tab/>
      </w:r>
      <w:r w:rsidRPr="00AB13FD">
        <w:rPr>
          <w:i/>
          <w:sz w:val="26"/>
          <w:szCs w:val="26"/>
        </w:rPr>
        <w:t>See</w:t>
      </w:r>
      <w:r w:rsidRPr="00AB13FD">
        <w:rPr>
          <w:sz w:val="26"/>
          <w:szCs w:val="26"/>
        </w:rPr>
        <w:t xml:space="preserve">, </w:t>
      </w:r>
      <w:r w:rsidRPr="00AB13FD">
        <w:rPr>
          <w:i/>
          <w:sz w:val="26"/>
          <w:szCs w:val="26"/>
        </w:rPr>
        <w:t>supra</w:t>
      </w:r>
      <w:r w:rsidRPr="00AB13FD">
        <w:rPr>
          <w:sz w:val="26"/>
          <w:szCs w:val="26"/>
        </w:rPr>
        <w:t xml:space="preserve">, 66 Pa. C.S. § 1417.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F0C66"/>
    <w:multiLevelType w:val="hybridMultilevel"/>
    <w:tmpl w:val="8DB25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90703"/>
    <w:multiLevelType w:val="hybridMultilevel"/>
    <w:tmpl w:val="157A2F78"/>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C9"/>
    <w:rsid w:val="00040BB7"/>
    <w:rsid w:val="00065CA5"/>
    <w:rsid w:val="00081974"/>
    <w:rsid w:val="000C13CC"/>
    <w:rsid w:val="000C3E1F"/>
    <w:rsid w:val="001B5438"/>
    <w:rsid w:val="001B5FA3"/>
    <w:rsid w:val="00263EA9"/>
    <w:rsid w:val="00273F76"/>
    <w:rsid w:val="002A1437"/>
    <w:rsid w:val="002A512C"/>
    <w:rsid w:val="00302B56"/>
    <w:rsid w:val="003D5C5F"/>
    <w:rsid w:val="00405C3C"/>
    <w:rsid w:val="0044774E"/>
    <w:rsid w:val="004716C9"/>
    <w:rsid w:val="004A5A94"/>
    <w:rsid w:val="004C4986"/>
    <w:rsid w:val="004D4651"/>
    <w:rsid w:val="00564F2E"/>
    <w:rsid w:val="00564F73"/>
    <w:rsid w:val="005A4887"/>
    <w:rsid w:val="005B6415"/>
    <w:rsid w:val="005D33F9"/>
    <w:rsid w:val="005F46CE"/>
    <w:rsid w:val="00677D9D"/>
    <w:rsid w:val="00734850"/>
    <w:rsid w:val="00772695"/>
    <w:rsid w:val="007B4C1D"/>
    <w:rsid w:val="007C31BC"/>
    <w:rsid w:val="007F5210"/>
    <w:rsid w:val="008119CC"/>
    <w:rsid w:val="00854F7B"/>
    <w:rsid w:val="0087089A"/>
    <w:rsid w:val="00891CA4"/>
    <w:rsid w:val="008E6368"/>
    <w:rsid w:val="008F774D"/>
    <w:rsid w:val="0092737F"/>
    <w:rsid w:val="0094294B"/>
    <w:rsid w:val="009475BE"/>
    <w:rsid w:val="00997EA4"/>
    <w:rsid w:val="009B18B8"/>
    <w:rsid w:val="009D3833"/>
    <w:rsid w:val="00A405EF"/>
    <w:rsid w:val="00AB13FD"/>
    <w:rsid w:val="00B17C9E"/>
    <w:rsid w:val="00B909C6"/>
    <w:rsid w:val="00BD1A55"/>
    <w:rsid w:val="00C30480"/>
    <w:rsid w:val="00C8766E"/>
    <w:rsid w:val="00C94BB0"/>
    <w:rsid w:val="00CC559F"/>
    <w:rsid w:val="00CD631E"/>
    <w:rsid w:val="00CE09C4"/>
    <w:rsid w:val="00D04B52"/>
    <w:rsid w:val="00D53DBB"/>
    <w:rsid w:val="00D61E1F"/>
    <w:rsid w:val="00D906CF"/>
    <w:rsid w:val="00DA6239"/>
    <w:rsid w:val="00EE119F"/>
    <w:rsid w:val="00EE18BC"/>
    <w:rsid w:val="00EF3973"/>
    <w:rsid w:val="00F2107B"/>
    <w:rsid w:val="00F3508A"/>
    <w:rsid w:val="00F5112B"/>
    <w:rsid w:val="00F769AE"/>
    <w:rsid w:val="00F840F9"/>
    <w:rsid w:val="00FA023B"/>
    <w:rsid w:val="00FB0500"/>
    <w:rsid w:val="00FF2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F23B"/>
  <w15:chartTrackingRefBased/>
  <w15:docId w15:val="{E3C94A77-0BB2-436C-94FC-4236A70D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16C9"/>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16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716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716C9"/>
    <w:pPr>
      <w:ind w:left="720"/>
      <w:contextualSpacing/>
    </w:pPr>
  </w:style>
  <w:style w:type="character" w:styleId="FootnoteReference">
    <w:name w:val="footnote reference"/>
    <w:aliases w:val="fr,o,Style 6,Style 20,Style 9,footnote text,Style 13,Style 12,Style 28,(NECG) Footnote Reference,Style 11,Style 16,Style 15,Style 17,o1,fr1,o2,fr2,o3,fr3,Style 8,Style 7,Style 19,Appel note de bas de p,Style 3"/>
    <w:uiPriority w:val="99"/>
    <w:rsid w:val="00677D9D"/>
    <w:rPr>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Footnote Text Char1,fn,ALTS FOOTNOTE,FOOTNOTE,Car,Footnote Text 2"/>
    <w:basedOn w:val="Normal"/>
    <w:link w:val="FootnoteTextChar"/>
    <w:unhideWhenUsed/>
    <w:qFormat/>
    <w:rsid w:val="00677D9D"/>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Footnote Text Char1 Char,fn Char"/>
    <w:basedOn w:val="DefaultParagraphFont"/>
    <w:link w:val="FootnoteText"/>
    <w:rsid w:val="00677D9D"/>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2A1437"/>
    <w:pPr>
      <w:widowControl/>
      <w:spacing w:after="120" w:line="480" w:lineRule="auto"/>
      <w:jc w:val="center"/>
    </w:pPr>
    <w:rPr>
      <w:sz w:val="24"/>
      <w:szCs w:val="24"/>
    </w:rPr>
  </w:style>
  <w:style w:type="character" w:customStyle="1" w:styleId="BodyText2Char">
    <w:name w:val="Body Text 2 Char"/>
    <w:basedOn w:val="DefaultParagraphFont"/>
    <w:link w:val="BodyText2"/>
    <w:uiPriority w:val="99"/>
    <w:rsid w:val="002A143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559F"/>
    <w:pPr>
      <w:tabs>
        <w:tab w:val="center" w:pos="4680"/>
        <w:tab w:val="right" w:pos="9360"/>
      </w:tabs>
    </w:pPr>
  </w:style>
  <w:style w:type="character" w:customStyle="1" w:styleId="HeaderChar">
    <w:name w:val="Header Char"/>
    <w:basedOn w:val="DefaultParagraphFont"/>
    <w:link w:val="Header"/>
    <w:uiPriority w:val="99"/>
    <w:rsid w:val="00CC559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9F"/>
    <w:pPr>
      <w:tabs>
        <w:tab w:val="center" w:pos="4680"/>
        <w:tab w:val="right" w:pos="9360"/>
      </w:tabs>
    </w:pPr>
  </w:style>
  <w:style w:type="character" w:customStyle="1" w:styleId="FooterChar">
    <w:name w:val="Footer Char"/>
    <w:basedOn w:val="DefaultParagraphFont"/>
    <w:link w:val="Footer"/>
    <w:uiPriority w:val="99"/>
    <w:rsid w:val="00CC559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F4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6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F1518-EC73-490A-B6CE-3F6E512A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Reside, Melissa</cp:lastModifiedBy>
  <cp:revision>3</cp:revision>
  <dcterms:created xsi:type="dcterms:W3CDTF">2019-03-27T19:48:00Z</dcterms:created>
  <dcterms:modified xsi:type="dcterms:W3CDTF">2019-03-28T17:47:00Z</dcterms:modified>
</cp:coreProperties>
</file>