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7E64A" w14:textId="77777777" w:rsidR="009E5583" w:rsidRPr="00787A9E" w:rsidRDefault="009E5583" w:rsidP="00FD1A00">
      <w:pPr>
        <w:pStyle w:val="Subtitle"/>
        <w:contextualSpacing/>
        <w:rPr>
          <w:sz w:val="26"/>
          <w:szCs w:val="26"/>
        </w:rPr>
      </w:pPr>
      <w:r w:rsidRPr="00787A9E">
        <w:rPr>
          <w:sz w:val="26"/>
          <w:szCs w:val="26"/>
        </w:rPr>
        <w:t>PENNSYLVANIA</w:t>
      </w:r>
    </w:p>
    <w:p w14:paraId="21AA6074" w14:textId="77777777" w:rsidR="009E5583" w:rsidRPr="00787A9E" w:rsidRDefault="009E5583" w:rsidP="00FD1A00">
      <w:pPr>
        <w:pStyle w:val="Subtitle"/>
        <w:contextualSpacing/>
        <w:rPr>
          <w:sz w:val="26"/>
          <w:szCs w:val="26"/>
        </w:rPr>
      </w:pPr>
      <w:r w:rsidRPr="00787A9E">
        <w:rPr>
          <w:sz w:val="26"/>
          <w:szCs w:val="26"/>
        </w:rPr>
        <w:t>PUBLIC UTILITY COMMISSION</w:t>
      </w:r>
    </w:p>
    <w:p w14:paraId="20430521" w14:textId="77777777" w:rsidR="009E5583" w:rsidRPr="00787A9E" w:rsidRDefault="009E5583" w:rsidP="00FD1A00">
      <w:pPr>
        <w:pStyle w:val="Subtitle"/>
        <w:contextualSpacing/>
        <w:rPr>
          <w:sz w:val="26"/>
          <w:szCs w:val="26"/>
        </w:rPr>
      </w:pPr>
      <w:r w:rsidRPr="00787A9E">
        <w:rPr>
          <w:sz w:val="26"/>
          <w:szCs w:val="26"/>
        </w:rPr>
        <w:t>Harrisburg, PA 17105-3265</w:t>
      </w:r>
    </w:p>
    <w:p w14:paraId="4628854D" w14:textId="77777777" w:rsidR="009E5583" w:rsidRPr="00787A9E" w:rsidRDefault="009E5583" w:rsidP="00FD1A00">
      <w:pPr>
        <w:pStyle w:val="Subtitle"/>
        <w:spacing w:line="360" w:lineRule="auto"/>
        <w:contextualSpacing/>
        <w:jc w:val="left"/>
        <w:rPr>
          <w:sz w:val="26"/>
          <w:szCs w:val="26"/>
        </w:rPr>
      </w:pPr>
    </w:p>
    <w:p w14:paraId="1B8EAB4C" w14:textId="5B7A8017" w:rsidR="009E5583" w:rsidRPr="00787A9E" w:rsidRDefault="009E5583" w:rsidP="00FD1A00">
      <w:pPr>
        <w:contextualSpacing/>
        <w:jc w:val="right"/>
        <w:rPr>
          <w:sz w:val="26"/>
          <w:szCs w:val="26"/>
        </w:rPr>
      </w:pPr>
      <w:r w:rsidRPr="00787A9E">
        <w:rPr>
          <w:sz w:val="26"/>
          <w:szCs w:val="26"/>
        </w:rPr>
        <w:t>Public Meeting held</w:t>
      </w:r>
      <w:r w:rsidR="00693818" w:rsidRPr="00787A9E">
        <w:rPr>
          <w:sz w:val="26"/>
          <w:szCs w:val="26"/>
        </w:rPr>
        <w:t xml:space="preserve"> </w:t>
      </w:r>
      <w:r w:rsidR="00F01D27" w:rsidRPr="00787A9E">
        <w:rPr>
          <w:sz w:val="26"/>
          <w:szCs w:val="26"/>
        </w:rPr>
        <w:t xml:space="preserve">March </w:t>
      </w:r>
      <w:r w:rsidR="00A0683C" w:rsidRPr="00787A9E">
        <w:rPr>
          <w:sz w:val="26"/>
          <w:szCs w:val="26"/>
        </w:rPr>
        <w:t>14</w:t>
      </w:r>
      <w:r w:rsidR="00DA15BB" w:rsidRPr="00787A9E">
        <w:rPr>
          <w:sz w:val="26"/>
          <w:szCs w:val="26"/>
        </w:rPr>
        <w:t>, 201</w:t>
      </w:r>
      <w:r w:rsidR="003C7B53" w:rsidRPr="00787A9E">
        <w:rPr>
          <w:sz w:val="26"/>
          <w:szCs w:val="26"/>
        </w:rPr>
        <w:t>9</w:t>
      </w:r>
    </w:p>
    <w:p w14:paraId="4B4E51A9" w14:textId="69FE3AEF" w:rsidR="009E5583" w:rsidRDefault="009E5583" w:rsidP="00FD1A00">
      <w:pPr>
        <w:contextualSpacing/>
        <w:jc w:val="right"/>
        <w:rPr>
          <w:sz w:val="26"/>
          <w:szCs w:val="26"/>
        </w:rPr>
      </w:pPr>
    </w:p>
    <w:p w14:paraId="5927D098" w14:textId="77777777" w:rsidR="00BB4032" w:rsidRPr="00787A9E" w:rsidRDefault="00BB4032" w:rsidP="00FD1A00">
      <w:pPr>
        <w:contextualSpacing/>
        <w:jc w:val="right"/>
        <w:rPr>
          <w:sz w:val="26"/>
          <w:szCs w:val="26"/>
        </w:rPr>
      </w:pPr>
    </w:p>
    <w:p w14:paraId="169F8C13" w14:textId="77777777" w:rsidR="009E5583" w:rsidRPr="00787A9E" w:rsidRDefault="009E5583" w:rsidP="00FD1A00">
      <w:pPr>
        <w:spacing w:line="240" w:lineRule="auto"/>
        <w:contextualSpacing/>
        <w:rPr>
          <w:sz w:val="26"/>
          <w:szCs w:val="26"/>
        </w:rPr>
      </w:pPr>
      <w:r w:rsidRPr="00787A9E">
        <w:rPr>
          <w:sz w:val="26"/>
          <w:szCs w:val="26"/>
        </w:rPr>
        <w:t>Commissioners Present:</w:t>
      </w:r>
    </w:p>
    <w:p w14:paraId="01CD79EA" w14:textId="77777777" w:rsidR="0036738E" w:rsidRPr="00787A9E" w:rsidRDefault="0036738E" w:rsidP="00FD1A00">
      <w:pPr>
        <w:spacing w:line="240" w:lineRule="auto"/>
        <w:contextualSpacing/>
        <w:rPr>
          <w:sz w:val="26"/>
          <w:szCs w:val="26"/>
        </w:rPr>
      </w:pPr>
    </w:p>
    <w:p w14:paraId="42CAC4A6" w14:textId="77777777" w:rsidR="00F01D27" w:rsidRPr="00787A9E" w:rsidRDefault="00F01D27" w:rsidP="00FD1A00">
      <w:pPr>
        <w:tabs>
          <w:tab w:val="left" w:pos="705"/>
        </w:tabs>
        <w:spacing w:line="240" w:lineRule="auto"/>
        <w:ind w:firstLine="720"/>
        <w:contextualSpacing/>
        <w:rPr>
          <w:sz w:val="26"/>
          <w:szCs w:val="26"/>
        </w:rPr>
      </w:pPr>
      <w:r w:rsidRPr="00787A9E">
        <w:rPr>
          <w:sz w:val="26"/>
          <w:szCs w:val="26"/>
        </w:rPr>
        <w:t>Gladys M. Brown, Chairman</w:t>
      </w:r>
    </w:p>
    <w:p w14:paraId="77E6E873" w14:textId="77777777" w:rsidR="00F01D27" w:rsidRPr="00787A9E" w:rsidRDefault="00F01D27" w:rsidP="00FD1A00">
      <w:pPr>
        <w:tabs>
          <w:tab w:val="left" w:pos="705"/>
        </w:tabs>
        <w:spacing w:line="240" w:lineRule="auto"/>
        <w:ind w:firstLine="720"/>
        <w:contextualSpacing/>
        <w:rPr>
          <w:sz w:val="26"/>
          <w:szCs w:val="26"/>
        </w:rPr>
      </w:pPr>
      <w:r w:rsidRPr="00787A9E">
        <w:rPr>
          <w:sz w:val="26"/>
          <w:szCs w:val="26"/>
        </w:rPr>
        <w:t>David W. Sweet, Vice Chairman</w:t>
      </w:r>
    </w:p>
    <w:p w14:paraId="707073F1" w14:textId="77777777" w:rsidR="00F01D27" w:rsidRPr="00787A9E" w:rsidRDefault="00F01D27" w:rsidP="00FD1A00">
      <w:pPr>
        <w:tabs>
          <w:tab w:val="left" w:pos="705"/>
        </w:tabs>
        <w:spacing w:line="240" w:lineRule="auto"/>
        <w:ind w:firstLine="720"/>
        <w:contextualSpacing/>
        <w:rPr>
          <w:sz w:val="26"/>
          <w:szCs w:val="26"/>
        </w:rPr>
      </w:pPr>
      <w:r w:rsidRPr="00787A9E">
        <w:rPr>
          <w:sz w:val="26"/>
          <w:szCs w:val="26"/>
        </w:rPr>
        <w:t>Norman J. Kennard</w:t>
      </w:r>
    </w:p>
    <w:p w14:paraId="251CE19C" w14:textId="56513744" w:rsidR="00F01D27" w:rsidRPr="00787A9E" w:rsidRDefault="00F01D27" w:rsidP="00FD1A00">
      <w:pPr>
        <w:tabs>
          <w:tab w:val="left" w:pos="705"/>
        </w:tabs>
        <w:spacing w:line="240" w:lineRule="auto"/>
        <w:ind w:firstLine="720"/>
        <w:contextualSpacing/>
        <w:rPr>
          <w:sz w:val="26"/>
          <w:szCs w:val="26"/>
        </w:rPr>
      </w:pPr>
      <w:r w:rsidRPr="00787A9E">
        <w:rPr>
          <w:sz w:val="26"/>
          <w:szCs w:val="26"/>
        </w:rPr>
        <w:t>Andrew G. Place</w:t>
      </w:r>
    </w:p>
    <w:p w14:paraId="6007D74A" w14:textId="77777777" w:rsidR="00F01D27" w:rsidRPr="00787A9E" w:rsidRDefault="00F01D27" w:rsidP="00FD1A00">
      <w:pPr>
        <w:tabs>
          <w:tab w:val="left" w:pos="705"/>
        </w:tabs>
        <w:spacing w:line="240" w:lineRule="auto"/>
        <w:ind w:firstLine="720"/>
        <w:contextualSpacing/>
        <w:rPr>
          <w:sz w:val="26"/>
          <w:szCs w:val="26"/>
        </w:rPr>
      </w:pPr>
      <w:r w:rsidRPr="00787A9E">
        <w:rPr>
          <w:sz w:val="26"/>
          <w:szCs w:val="26"/>
        </w:rPr>
        <w:t>John F. Coleman, Jr.</w:t>
      </w:r>
    </w:p>
    <w:p w14:paraId="27DB25E0" w14:textId="74B32CE8" w:rsidR="003F001F" w:rsidRDefault="003F001F" w:rsidP="00FD1A00">
      <w:pPr>
        <w:contextualSpacing/>
        <w:rPr>
          <w:sz w:val="26"/>
          <w:szCs w:val="26"/>
        </w:rPr>
      </w:pPr>
    </w:p>
    <w:p w14:paraId="18CEBBB1" w14:textId="4E032F12" w:rsidR="00BB4032" w:rsidRDefault="00BB4032" w:rsidP="00FD1A00">
      <w:pPr>
        <w:contextualSpacing/>
        <w:rPr>
          <w:sz w:val="26"/>
          <w:szCs w:val="26"/>
        </w:rPr>
      </w:pPr>
    </w:p>
    <w:p w14:paraId="6B31A119" w14:textId="77777777" w:rsidR="00BB4032" w:rsidRPr="00787A9E" w:rsidRDefault="00BB4032" w:rsidP="00FD1A00">
      <w:pPr>
        <w:contextualSpacing/>
        <w:rPr>
          <w:sz w:val="26"/>
          <w:szCs w:val="26"/>
        </w:rPr>
      </w:pPr>
    </w:p>
    <w:p w14:paraId="1D48BCBF" w14:textId="7B7FA7B1" w:rsidR="00E05523" w:rsidRPr="00787A9E" w:rsidRDefault="00E05523" w:rsidP="00FD1A00">
      <w:pPr>
        <w:autoSpaceDE w:val="0"/>
        <w:autoSpaceDN w:val="0"/>
        <w:spacing w:line="240" w:lineRule="auto"/>
        <w:ind w:right="-14"/>
        <w:contextualSpacing/>
        <w:rPr>
          <w:sz w:val="26"/>
          <w:szCs w:val="26"/>
        </w:rPr>
      </w:pPr>
      <w:r w:rsidRPr="00787A9E">
        <w:rPr>
          <w:sz w:val="26"/>
          <w:szCs w:val="26"/>
        </w:rPr>
        <w:t>Pennsylvania Public Utility Commission</w:t>
      </w:r>
      <w:r w:rsidRPr="00787A9E">
        <w:rPr>
          <w:sz w:val="26"/>
          <w:szCs w:val="26"/>
        </w:rPr>
        <w:tab/>
      </w:r>
      <w:r w:rsidR="00211EB8" w:rsidRPr="00787A9E">
        <w:rPr>
          <w:sz w:val="26"/>
          <w:szCs w:val="26"/>
        </w:rPr>
        <w:tab/>
      </w:r>
      <w:r w:rsidR="003C7B53" w:rsidRPr="00787A9E">
        <w:rPr>
          <w:sz w:val="26"/>
          <w:szCs w:val="26"/>
        </w:rPr>
        <w:tab/>
      </w:r>
      <w:r w:rsidR="003C7B53" w:rsidRPr="00787A9E">
        <w:rPr>
          <w:sz w:val="26"/>
          <w:szCs w:val="26"/>
        </w:rPr>
        <w:tab/>
      </w:r>
      <w:r w:rsidR="003C7B53" w:rsidRPr="00787A9E">
        <w:rPr>
          <w:sz w:val="26"/>
          <w:szCs w:val="26"/>
        </w:rPr>
        <w:tab/>
        <w:t xml:space="preserve">      </w:t>
      </w:r>
      <w:r w:rsidRPr="00787A9E">
        <w:rPr>
          <w:sz w:val="26"/>
          <w:szCs w:val="26"/>
        </w:rPr>
        <w:t>R-201</w:t>
      </w:r>
      <w:r w:rsidR="003C7B53" w:rsidRPr="00787A9E">
        <w:rPr>
          <w:sz w:val="26"/>
          <w:szCs w:val="26"/>
        </w:rPr>
        <w:t>8</w:t>
      </w:r>
      <w:r w:rsidRPr="00787A9E">
        <w:rPr>
          <w:sz w:val="26"/>
          <w:szCs w:val="26"/>
        </w:rPr>
        <w:t>-</w:t>
      </w:r>
      <w:r w:rsidR="003C7B53" w:rsidRPr="00787A9E">
        <w:rPr>
          <w:sz w:val="26"/>
          <w:szCs w:val="26"/>
        </w:rPr>
        <w:t>3001306</w:t>
      </w:r>
    </w:p>
    <w:p w14:paraId="0A7DB1F9" w14:textId="77777777" w:rsidR="003C7B53" w:rsidRPr="00787A9E" w:rsidRDefault="003C7B53" w:rsidP="00FD1A00">
      <w:pPr>
        <w:autoSpaceDE w:val="0"/>
        <w:autoSpaceDN w:val="0"/>
        <w:spacing w:line="240" w:lineRule="auto"/>
        <w:ind w:right="-14"/>
        <w:contextualSpacing/>
        <w:rPr>
          <w:sz w:val="26"/>
          <w:szCs w:val="26"/>
        </w:rPr>
      </w:pPr>
      <w:r w:rsidRPr="00787A9E">
        <w:rPr>
          <w:sz w:val="26"/>
          <w:szCs w:val="26"/>
        </w:rPr>
        <w:t>Gerry and Melissa Pindroh</w:t>
      </w:r>
      <w:r w:rsidRPr="00787A9E">
        <w:rPr>
          <w:sz w:val="26"/>
          <w:szCs w:val="26"/>
        </w:rPr>
        <w:tab/>
      </w:r>
      <w:r w:rsidRPr="00787A9E">
        <w:rPr>
          <w:sz w:val="26"/>
          <w:szCs w:val="26"/>
        </w:rPr>
        <w:tab/>
      </w:r>
      <w:r w:rsidRPr="00787A9E">
        <w:rPr>
          <w:sz w:val="26"/>
          <w:szCs w:val="26"/>
        </w:rPr>
        <w:tab/>
      </w:r>
      <w:r w:rsidRPr="00787A9E">
        <w:rPr>
          <w:sz w:val="26"/>
          <w:szCs w:val="26"/>
        </w:rPr>
        <w:tab/>
      </w:r>
      <w:r w:rsidRPr="00787A9E">
        <w:rPr>
          <w:sz w:val="26"/>
          <w:szCs w:val="26"/>
        </w:rPr>
        <w:tab/>
      </w:r>
      <w:r w:rsidRPr="00787A9E">
        <w:rPr>
          <w:sz w:val="26"/>
          <w:szCs w:val="26"/>
        </w:rPr>
        <w:tab/>
      </w:r>
      <w:r w:rsidRPr="00787A9E">
        <w:rPr>
          <w:sz w:val="26"/>
          <w:szCs w:val="26"/>
        </w:rPr>
        <w:tab/>
        <w:t xml:space="preserve">      C-2018-3001787</w:t>
      </w:r>
    </w:p>
    <w:p w14:paraId="132154FB" w14:textId="21666623" w:rsidR="00211EB8" w:rsidRPr="00787A9E" w:rsidRDefault="00211EB8" w:rsidP="00FD1A00">
      <w:pPr>
        <w:autoSpaceDE w:val="0"/>
        <w:autoSpaceDN w:val="0"/>
        <w:spacing w:line="240" w:lineRule="auto"/>
        <w:ind w:right="-14"/>
        <w:contextualSpacing/>
        <w:rPr>
          <w:sz w:val="26"/>
          <w:szCs w:val="26"/>
        </w:rPr>
      </w:pPr>
      <w:r w:rsidRPr="00787A9E">
        <w:rPr>
          <w:sz w:val="26"/>
          <w:szCs w:val="26"/>
        </w:rPr>
        <w:t xml:space="preserve">Office of </w:t>
      </w:r>
      <w:r w:rsidR="003C7B53" w:rsidRPr="00787A9E">
        <w:rPr>
          <w:sz w:val="26"/>
          <w:szCs w:val="26"/>
        </w:rPr>
        <w:t>Consumer</w:t>
      </w:r>
      <w:r w:rsidRPr="00787A9E">
        <w:rPr>
          <w:sz w:val="26"/>
          <w:szCs w:val="26"/>
        </w:rPr>
        <w:t xml:space="preserve"> Advocate</w:t>
      </w:r>
      <w:r w:rsidRPr="00787A9E">
        <w:rPr>
          <w:sz w:val="26"/>
          <w:szCs w:val="26"/>
        </w:rPr>
        <w:tab/>
      </w:r>
      <w:r w:rsidRPr="00787A9E">
        <w:rPr>
          <w:sz w:val="26"/>
          <w:szCs w:val="26"/>
        </w:rPr>
        <w:tab/>
      </w:r>
      <w:r w:rsidR="00A725FB" w:rsidRPr="00787A9E">
        <w:rPr>
          <w:sz w:val="26"/>
          <w:szCs w:val="26"/>
        </w:rPr>
        <w:tab/>
      </w:r>
      <w:r w:rsidRPr="00787A9E">
        <w:rPr>
          <w:sz w:val="26"/>
          <w:szCs w:val="26"/>
        </w:rPr>
        <w:tab/>
      </w:r>
      <w:r w:rsidRPr="00787A9E">
        <w:rPr>
          <w:sz w:val="26"/>
          <w:szCs w:val="26"/>
        </w:rPr>
        <w:tab/>
      </w:r>
      <w:r w:rsidR="00355C2D">
        <w:rPr>
          <w:sz w:val="26"/>
          <w:szCs w:val="26"/>
        </w:rPr>
        <w:tab/>
      </w:r>
      <w:r w:rsidR="003C7B53" w:rsidRPr="00787A9E">
        <w:rPr>
          <w:sz w:val="26"/>
          <w:szCs w:val="26"/>
        </w:rPr>
        <w:t xml:space="preserve">      </w:t>
      </w:r>
      <w:r w:rsidRPr="00787A9E">
        <w:rPr>
          <w:sz w:val="26"/>
          <w:szCs w:val="26"/>
        </w:rPr>
        <w:t>C-201</w:t>
      </w:r>
      <w:r w:rsidR="003C7B53" w:rsidRPr="00787A9E">
        <w:rPr>
          <w:sz w:val="26"/>
          <w:szCs w:val="26"/>
        </w:rPr>
        <w:t>8</w:t>
      </w:r>
      <w:r w:rsidRPr="00787A9E">
        <w:rPr>
          <w:sz w:val="26"/>
          <w:szCs w:val="26"/>
        </w:rPr>
        <w:t>-</w:t>
      </w:r>
      <w:r w:rsidR="003C7B53" w:rsidRPr="00787A9E">
        <w:rPr>
          <w:sz w:val="26"/>
          <w:szCs w:val="26"/>
        </w:rPr>
        <w:t>3001841</w:t>
      </w:r>
    </w:p>
    <w:p w14:paraId="00C5EB84" w14:textId="7B2751DB" w:rsidR="00211EB8" w:rsidRPr="00787A9E" w:rsidRDefault="003C7B53" w:rsidP="00FD1A00">
      <w:pPr>
        <w:autoSpaceDE w:val="0"/>
        <w:autoSpaceDN w:val="0"/>
        <w:spacing w:line="240" w:lineRule="auto"/>
        <w:ind w:right="-14"/>
        <w:contextualSpacing/>
        <w:rPr>
          <w:sz w:val="26"/>
          <w:szCs w:val="26"/>
        </w:rPr>
      </w:pPr>
      <w:r w:rsidRPr="00787A9E">
        <w:rPr>
          <w:sz w:val="26"/>
          <w:szCs w:val="26"/>
        </w:rPr>
        <w:t>Debra J. Simpson</w:t>
      </w:r>
      <w:r w:rsidR="00211EB8" w:rsidRPr="00787A9E">
        <w:rPr>
          <w:sz w:val="26"/>
          <w:szCs w:val="26"/>
        </w:rPr>
        <w:tab/>
      </w:r>
      <w:r w:rsidR="00211EB8" w:rsidRPr="00787A9E">
        <w:rPr>
          <w:sz w:val="26"/>
          <w:szCs w:val="26"/>
        </w:rPr>
        <w:tab/>
      </w:r>
      <w:r w:rsidR="00A725FB" w:rsidRPr="00787A9E">
        <w:rPr>
          <w:sz w:val="26"/>
          <w:szCs w:val="26"/>
        </w:rPr>
        <w:tab/>
      </w:r>
      <w:r w:rsidR="00A725FB" w:rsidRPr="00787A9E">
        <w:rPr>
          <w:sz w:val="26"/>
          <w:szCs w:val="26"/>
        </w:rPr>
        <w:tab/>
      </w:r>
      <w:r w:rsidR="00211EB8" w:rsidRPr="00787A9E">
        <w:rPr>
          <w:sz w:val="26"/>
          <w:szCs w:val="26"/>
        </w:rPr>
        <w:tab/>
      </w:r>
      <w:r w:rsidR="00211EB8" w:rsidRPr="00787A9E">
        <w:rPr>
          <w:sz w:val="26"/>
          <w:szCs w:val="26"/>
        </w:rPr>
        <w:tab/>
      </w:r>
      <w:r w:rsidR="00355C2D">
        <w:rPr>
          <w:sz w:val="26"/>
          <w:szCs w:val="26"/>
        </w:rPr>
        <w:tab/>
      </w:r>
      <w:r w:rsidR="00355C2D">
        <w:rPr>
          <w:sz w:val="26"/>
          <w:szCs w:val="26"/>
        </w:rPr>
        <w:tab/>
      </w:r>
      <w:r w:rsidRPr="00787A9E">
        <w:rPr>
          <w:sz w:val="26"/>
          <w:szCs w:val="26"/>
        </w:rPr>
        <w:t xml:space="preserve">      </w:t>
      </w:r>
      <w:r w:rsidR="00211EB8" w:rsidRPr="00787A9E">
        <w:rPr>
          <w:sz w:val="26"/>
          <w:szCs w:val="26"/>
        </w:rPr>
        <w:t>C-201</w:t>
      </w:r>
      <w:r w:rsidRPr="00787A9E">
        <w:rPr>
          <w:sz w:val="26"/>
          <w:szCs w:val="26"/>
        </w:rPr>
        <w:t>8</w:t>
      </w:r>
      <w:r w:rsidR="00211EB8" w:rsidRPr="00787A9E">
        <w:rPr>
          <w:sz w:val="26"/>
          <w:szCs w:val="26"/>
        </w:rPr>
        <w:t>-</w:t>
      </w:r>
      <w:r w:rsidRPr="00787A9E">
        <w:rPr>
          <w:sz w:val="26"/>
          <w:szCs w:val="26"/>
        </w:rPr>
        <w:t>3002179</w:t>
      </w:r>
    </w:p>
    <w:p w14:paraId="43E8E19F" w14:textId="38FC1650" w:rsidR="00211EB8" w:rsidRPr="00787A9E" w:rsidRDefault="003C7B53" w:rsidP="00FD1A00">
      <w:pPr>
        <w:autoSpaceDE w:val="0"/>
        <w:autoSpaceDN w:val="0"/>
        <w:spacing w:line="240" w:lineRule="auto"/>
        <w:ind w:right="-14"/>
        <w:contextualSpacing/>
        <w:rPr>
          <w:sz w:val="26"/>
          <w:szCs w:val="26"/>
        </w:rPr>
      </w:pPr>
      <w:r w:rsidRPr="00787A9E">
        <w:rPr>
          <w:sz w:val="26"/>
          <w:szCs w:val="26"/>
        </w:rPr>
        <w:t>Tom and Shelley Conroy</w:t>
      </w:r>
      <w:r w:rsidR="00211EB8" w:rsidRPr="00787A9E">
        <w:rPr>
          <w:sz w:val="26"/>
          <w:szCs w:val="26"/>
        </w:rPr>
        <w:tab/>
      </w:r>
      <w:r w:rsidR="00211EB8" w:rsidRPr="00787A9E">
        <w:rPr>
          <w:sz w:val="26"/>
          <w:szCs w:val="26"/>
        </w:rPr>
        <w:tab/>
      </w:r>
      <w:r w:rsidR="00A725FB" w:rsidRPr="00787A9E">
        <w:rPr>
          <w:sz w:val="26"/>
          <w:szCs w:val="26"/>
        </w:rPr>
        <w:tab/>
      </w:r>
      <w:r w:rsidR="00A725FB" w:rsidRPr="00787A9E">
        <w:rPr>
          <w:sz w:val="26"/>
          <w:szCs w:val="26"/>
        </w:rPr>
        <w:tab/>
      </w:r>
      <w:r w:rsidR="00A725FB" w:rsidRPr="00787A9E">
        <w:rPr>
          <w:sz w:val="26"/>
          <w:szCs w:val="26"/>
        </w:rPr>
        <w:tab/>
      </w:r>
      <w:r w:rsidR="00211EB8" w:rsidRPr="00787A9E">
        <w:rPr>
          <w:sz w:val="26"/>
          <w:szCs w:val="26"/>
        </w:rPr>
        <w:tab/>
      </w:r>
      <w:r w:rsidR="00355C2D">
        <w:rPr>
          <w:sz w:val="26"/>
          <w:szCs w:val="26"/>
        </w:rPr>
        <w:tab/>
      </w:r>
      <w:r w:rsidRPr="00787A9E">
        <w:rPr>
          <w:sz w:val="26"/>
          <w:szCs w:val="26"/>
        </w:rPr>
        <w:t xml:space="preserve">      </w:t>
      </w:r>
      <w:r w:rsidR="00211EB8" w:rsidRPr="00787A9E">
        <w:rPr>
          <w:sz w:val="26"/>
          <w:szCs w:val="26"/>
        </w:rPr>
        <w:t>C-201</w:t>
      </w:r>
      <w:r w:rsidRPr="00787A9E">
        <w:rPr>
          <w:sz w:val="26"/>
          <w:szCs w:val="26"/>
        </w:rPr>
        <w:t>8</w:t>
      </w:r>
      <w:r w:rsidR="00211EB8" w:rsidRPr="00787A9E">
        <w:rPr>
          <w:sz w:val="26"/>
          <w:szCs w:val="26"/>
        </w:rPr>
        <w:t>-</w:t>
      </w:r>
      <w:r w:rsidRPr="00787A9E">
        <w:rPr>
          <w:sz w:val="26"/>
          <w:szCs w:val="26"/>
        </w:rPr>
        <w:t>3002198</w:t>
      </w:r>
    </w:p>
    <w:p w14:paraId="58247338" w14:textId="18D1AC4B" w:rsidR="00211EB8" w:rsidRPr="00787A9E" w:rsidRDefault="003C7B53" w:rsidP="00FD1A00">
      <w:pPr>
        <w:autoSpaceDE w:val="0"/>
        <w:autoSpaceDN w:val="0"/>
        <w:spacing w:line="240" w:lineRule="auto"/>
        <w:ind w:right="-14"/>
        <w:contextualSpacing/>
        <w:rPr>
          <w:sz w:val="26"/>
          <w:szCs w:val="26"/>
        </w:rPr>
      </w:pPr>
      <w:r w:rsidRPr="00787A9E">
        <w:rPr>
          <w:sz w:val="26"/>
          <w:szCs w:val="26"/>
        </w:rPr>
        <w:t>John Cupps</w:t>
      </w:r>
      <w:r w:rsidR="00211EB8" w:rsidRPr="00787A9E">
        <w:rPr>
          <w:sz w:val="26"/>
          <w:szCs w:val="26"/>
        </w:rPr>
        <w:tab/>
      </w:r>
      <w:r w:rsidR="00211EB8" w:rsidRPr="00787A9E">
        <w:rPr>
          <w:sz w:val="26"/>
          <w:szCs w:val="26"/>
        </w:rPr>
        <w:tab/>
      </w:r>
      <w:r w:rsidR="00211EB8" w:rsidRPr="00787A9E">
        <w:rPr>
          <w:sz w:val="26"/>
          <w:szCs w:val="26"/>
        </w:rPr>
        <w:tab/>
      </w:r>
      <w:r w:rsidR="00211EB8" w:rsidRPr="00787A9E">
        <w:rPr>
          <w:sz w:val="26"/>
          <w:szCs w:val="26"/>
        </w:rPr>
        <w:tab/>
      </w:r>
      <w:r w:rsidR="00A725FB" w:rsidRPr="00787A9E">
        <w:rPr>
          <w:sz w:val="26"/>
          <w:szCs w:val="26"/>
        </w:rPr>
        <w:tab/>
      </w:r>
      <w:r w:rsidR="00A725FB" w:rsidRPr="00787A9E">
        <w:rPr>
          <w:sz w:val="26"/>
          <w:szCs w:val="26"/>
        </w:rPr>
        <w:tab/>
      </w:r>
      <w:r w:rsidR="00A725FB" w:rsidRPr="00787A9E">
        <w:rPr>
          <w:sz w:val="26"/>
          <w:szCs w:val="26"/>
        </w:rPr>
        <w:tab/>
      </w:r>
      <w:r w:rsidR="00211EB8" w:rsidRPr="00787A9E">
        <w:rPr>
          <w:sz w:val="26"/>
          <w:szCs w:val="26"/>
        </w:rPr>
        <w:tab/>
      </w:r>
      <w:r w:rsidR="00355C2D">
        <w:rPr>
          <w:sz w:val="26"/>
          <w:szCs w:val="26"/>
        </w:rPr>
        <w:tab/>
        <w:t xml:space="preserve"> </w:t>
      </w:r>
      <w:r w:rsidRPr="00787A9E">
        <w:rPr>
          <w:sz w:val="26"/>
          <w:szCs w:val="26"/>
        </w:rPr>
        <w:t xml:space="preserve">     </w:t>
      </w:r>
      <w:r w:rsidR="00211EB8" w:rsidRPr="00787A9E">
        <w:rPr>
          <w:sz w:val="26"/>
          <w:szCs w:val="26"/>
        </w:rPr>
        <w:t>C-201</w:t>
      </w:r>
      <w:r w:rsidRPr="00787A9E">
        <w:rPr>
          <w:sz w:val="26"/>
          <w:szCs w:val="26"/>
        </w:rPr>
        <w:t>8</w:t>
      </w:r>
      <w:r w:rsidR="00211EB8" w:rsidRPr="00787A9E">
        <w:rPr>
          <w:sz w:val="26"/>
          <w:szCs w:val="26"/>
        </w:rPr>
        <w:t>-</w:t>
      </w:r>
      <w:r w:rsidRPr="00787A9E">
        <w:rPr>
          <w:sz w:val="26"/>
          <w:szCs w:val="26"/>
        </w:rPr>
        <w:t>3002468</w:t>
      </w:r>
    </w:p>
    <w:p w14:paraId="09650436" w14:textId="2D9CDAAE" w:rsidR="00211EB8" w:rsidRPr="00787A9E" w:rsidRDefault="003C7B53" w:rsidP="00FD1A00">
      <w:pPr>
        <w:autoSpaceDE w:val="0"/>
        <w:autoSpaceDN w:val="0"/>
        <w:spacing w:line="240" w:lineRule="auto"/>
        <w:ind w:right="-14"/>
        <w:contextualSpacing/>
        <w:rPr>
          <w:sz w:val="26"/>
          <w:szCs w:val="26"/>
        </w:rPr>
      </w:pPr>
      <w:r w:rsidRPr="00787A9E">
        <w:rPr>
          <w:sz w:val="26"/>
          <w:szCs w:val="26"/>
        </w:rPr>
        <w:t>David Oster</w:t>
      </w:r>
      <w:r w:rsidR="00211EB8" w:rsidRPr="00787A9E">
        <w:rPr>
          <w:sz w:val="26"/>
          <w:szCs w:val="26"/>
        </w:rPr>
        <w:tab/>
      </w:r>
      <w:r w:rsidR="00211EB8" w:rsidRPr="00787A9E">
        <w:rPr>
          <w:sz w:val="26"/>
          <w:szCs w:val="26"/>
        </w:rPr>
        <w:tab/>
      </w:r>
      <w:r w:rsidR="00211EB8" w:rsidRPr="00787A9E">
        <w:rPr>
          <w:sz w:val="26"/>
          <w:szCs w:val="26"/>
        </w:rPr>
        <w:tab/>
      </w:r>
      <w:r w:rsidR="00211EB8" w:rsidRPr="00787A9E">
        <w:rPr>
          <w:sz w:val="26"/>
          <w:szCs w:val="26"/>
        </w:rPr>
        <w:tab/>
      </w:r>
      <w:r w:rsidR="00A725FB" w:rsidRPr="00787A9E">
        <w:rPr>
          <w:sz w:val="26"/>
          <w:szCs w:val="26"/>
        </w:rPr>
        <w:tab/>
      </w:r>
      <w:r w:rsidR="00A725FB" w:rsidRPr="00787A9E">
        <w:rPr>
          <w:sz w:val="26"/>
          <w:szCs w:val="26"/>
        </w:rPr>
        <w:tab/>
      </w:r>
      <w:r w:rsidR="00A725FB" w:rsidRPr="00787A9E">
        <w:rPr>
          <w:sz w:val="26"/>
          <w:szCs w:val="26"/>
        </w:rPr>
        <w:tab/>
      </w:r>
      <w:r w:rsidR="00211EB8" w:rsidRPr="00787A9E">
        <w:rPr>
          <w:sz w:val="26"/>
          <w:szCs w:val="26"/>
        </w:rPr>
        <w:tab/>
      </w:r>
      <w:r w:rsidR="00355C2D">
        <w:rPr>
          <w:sz w:val="26"/>
          <w:szCs w:val="26"/>
        </w:rPr>
        <w:tab/>
      </w:r>
      <w:r w:rsidRPr="00787A9E">
        <w:rPr>
          <w:sz w:val="26"/>
          <w:szCs w:val="26"/>
        </w:rPr>
        <w:t xml:space="preserve">     </w:t>
      </w:r>
      <w:r w:rsidR="00B76A0A" w:rsidRPr="00787A9E">
        <w:rPr>
          <w:sz w:val="26"/>
          <w:szCs w:val="26"/>
        </w:rPr>
        <w:t xml:space="preserve"> </w:t>
      </w:r>
      <w:r w:rsidR="00211EB8" w:rsidRPr="00787A9E">
        <w:rPr>
          <w:sz w:val="26"/>
          <w:szCs w:val="26"/>
        </w:rPr>
        <w:t>C-201</w:t>
      </w:r>
      <w:r w:rsidRPr="00787A9E">
        <w:rPr>
          <w:sz w:val="26"/>
          <w:szCs w:val="26"/>
        </w:rPr>
        <w:t>8</w:t>
      </w:r>
      <w:r w:rsidR="00211EB8" w:rsidRPr="00787A9E">
        <w:rPr>
          <w:sz w:val="26"/>
          <w:szCs w:val="26"/>
        </w:rPr>
        <w:t>-</w:t>
      </w:r>
      <w:r w:rsidRPr="00787A9E">
        <w:rPr>
          <w:sz w:val="26"/>
          <w:szCs w:val="26"/>
        </w:rPr>
        <w:t>3002470</w:t>
      </w:r>
    </w:p>
    <w:p w14:paraId="035F4F6E" w14:textId="41B260B0" w:rsidR="00211EB8" w:rsidRPr="00787A9E" w:rsidRDefault="003C7B53" w:rsidP="00FD1A00">
      <w:pPr>
        <w:autoSpaceDE w:val="0"/>
        <w:autoSpaceDN w:val="0"/>
        <w:spacing w:line="240" w:lineRule="auto"/>
        <w:ind w:right="-14"/>
        <w:contextualSpacing/>
        <w:rPr>
          <w:sz w:val="26"/>
          <w:szCs w:val="26"/>
        </w:rPr>
      </w:pPr>
      <w:r w:rsidRPr="00787A9E">
        <w:rPr>
          <w:sz w:val="26"/>
          <w:szCs w:val="26"/>
        </w:rPr>
        <w:t>Toni Gorenc</w:t>
      </w:r>
      <w:r w:rsidR="00211EB8" w:rsidRPr="00787A9E">
        <w:rPr>
          <w:sz w:val="26"/>
          <w:szCs w:val="26"/>
        </w:rPr>
        <w:tab/>
      </w:r>
      <w:r w:rsidR="00211EB8" w:rsidRPr="00787A9E">
        <w:rPr>
          <w:sz w:val="26"/>
          <w:szCs w:val="26"/>
        </w:rPr>
        <w:tab/>
      </w:r>
      <w:r w:rsidR="00211EB8" w:rsidRPr="00787A9E">
        <w:rPr>
          <w:sz w:val="26"/>
          <w:szCs w:val="26"/>
        </w:rPr>
        <w:tab/>
      </w:r>
      <w:r w:rsidR="00211EB8" w:rsidRPr="00787A9E">
        <w:rPr>
          <w:sz w:val="26"/>
          <w:szCs w:val="26"/>
        </w:rPr>
        <w:tab/>
      </w:r>
      <w:r w:rsidR="00A725FB" w:rsidRPr="00787A9E">
        <w:rPr>
          <w:sz w:val="26"/>
          <w:szCs w:val="26"/>
        </w:rPr>
        <w:tab/>
      </w:r>
      <w:r w:rsidR="00A725FB" w:rsidRPr="00787A9E">
        <w:rPr>
          <w:sz w:val="26"/>
          <w:szCs w:val="26"/>
        </w:rPr>
        <w:tab/>
      </w:r>
      <w:r w:rsidR="00A725FB" w:rsidRPr="00787A9E">
        <w:rPr>
          <w:sz w:val="26"/>
          <w:szCs w:val="26"/>
        </w:rPr>
        <w:tab/>
      </w:r>
      <w:r w:rsidR="00211EB8" w:rsidRPr="00787A9E">
        <w:rPr>
          <w:sz w:val="26"/>
          <w:szCs w:val="26"/>
        </w:rPr>
        <w:tab/>
      </w:r>
      <w:r w:rsidR="00355C2D">
        <w:rPr>
          <w:sz w:val="26"/>
          <w:szCs w:val="26"/>
        </w:rPr>
        <w:tab/>
      </w:r>
      <w:r w:rsidRPr="00787A9E">
        <w:rPr>
          <w:sz w:val="26"/>
          <w:szCs w:val="26"/>
        </w:rPr>
        <w:t xml:space="preserve">      </w:t>
      </w:r>
      <w:r w:rsidR="00211EB8" w:rsidRPr="00787A9E">
        <w:rPr>
          <w:sz w:val="26"/>
          <w:szCs w:val="26"/>
        </w:rPr>
        <w:t>C-201</w:t>
      </w:r>
      <w:r w:rsidRPr="00787A9E">
        <w:rPr>
          <w:sz w:val="26"/>
          <w:szCs w:val="26"/>
        </w:rPr>
        <w:t>8</w:t>
      </w:r>
      <w:r w:rsidR="00211EB8" w:rsidRPr="00787A9E">
        <w:rPr>
          <w:sz w:val="26"/>
          <w:szCs w:val="26"/>
        </w:rPr>
        <w:t>-</w:t>
      </w:r>
      <w:r w:rsidR="00A744B4" w:rsidRPr="00787A9E">
        <w:rPr>
          <w:sz w:val="26"/>
          <w:szCs w:val="26"/>
        </w:rPr>
        <w:t>3002480</w:t>
      </w:r>
    </w:p>
    <w:p w14:paraId="7A76F132" w14:textId="78D6A2C3" w:rsidR="00E05523" w:rsidRPr="00787A9E" w:rsidRDefault="00A744B4" w:rsidP="00FD1A00">
      <w:pPr>
        <w:autoSpaceDE w:val="0"/>
        <w:autoSpaceDN w:val="0"/>
        <w:spacing w:after="120" w:line="240" w:lineRule="auto"/>
        <w:ind w:right="-14"/>
        <w:contextualSpacing/>
        <w:rPr>
          <w:sz w:val="26"/>
          <w:szCs w:val="26"/>
        </w:rPr>
      </w:pPr>
      <w:r w:rsidRPr="00787A9E">
        <w:rPr>
          <w:sz w:val="26"/>
          <w:szCs w:val="26"/>
        </w:rPr>
        <w:t>David Brodland</w:t>
      </w:r>
      <w:r w:rsidR="00211EB8" w:rsidRPr="00787A9E">
        <w:rPr>
          <w:sz w:val="26"/>
          <w:szCs w:val="26"/>
        </w:rPr>
        <w:tab/>
      </w:r>
      <w:r w:rsidR="00211EB8" w:rsidRPr="00787A9E">
        <w:rPr>
          <w:sz w:val="26"/>
          <w:szCs w:val="26"/>
        </w:rPr>
        <w:tab/>
      </w:r>
      <w:r w:rsidR="00A725FB" w:rsidRPr="00787A9E">
        <w:rPr>
          <w:sz w:val="26"/>
          <w:szCs w:val="26"/>
        </w:rPr>
        <w:tab/>
      </w:r>
      <w:r w:rsidR="00A725FB" w:rsidRPr="00787A9E">
        <w:rPr>
          <w:sz w:val="26"/>
          <w:szCs w:val="26"/>
        </w:rPr>
        <w:tab/>
      </w:r>
      <w:r w:rsidR="00A725FB" w:rsidRPr="00787A9E">
        <w:rPr>
          <w:sz w:val="26"/>
          <w:szCs w:val="26"/>
        </w:rPr>
        <w:tab/>
      </w:r>
      <w:r w:rsidR="00355C2D">
        <w:rPr>
          <w:sz w:val="26"/>
          <w:szCs w:val="26"/>
        </w:rPr>
        <w:tab/>
      </w:r>
      <w:r w:rsidR="00355C2D">
        <w:rPr>
          <w:sz w:val="26"/>
          <w:szCs w:val="26"/>
        </w:rPr>
        <w:tab/>
      </w:r>
      <w:r w:rsidR="00355C2D">
        <w:rPr>
          <w:sz w:val="26"/>
          <w:szCs w:val="26"/>
        </w:rPr>
        <w:tab/>
      </w:r>
      <w:r w:rsidRPr="00787A9E">
        <w:rPr>
          <w:sz w:val="26"/>
          <w:szCs w:val="26"/>
        </w:rPr>
        <w:t xml:space="preserve">      </w:t>
      </w:r>
      <w:r w:rsidR="00211EB8" w:rsidRPr="00787A9E">
        <w:rPr>
          <w:sz w:val="26"/>
          <w:szCs w:val="26"/>
        </w:rPr>
        <w:t>C-201</w:t>
      </w:r>
      <w:r w:rsidRPr="00787A9E">
        <w:rPr>
          <w:sz w:val="26"/>
          <w:szCs w:val="26"/>
        </w:rPr>
        <w:t>8</w:t>
      </w:r>
      <w:r w:rsidR="00211EB8" w:rsidRPr="00787A9E">
        <w:rPr>
          <w:sz w:val="26"/>
          <w:szCs w:val="26"/>
        </w:rPr>
        <w:t>-</w:t>
      </w:r>
      <w:r w:rsidRPr="00787A9E">
        <w:rPr>
          <w:sz w:val="26"/>
          <w:szCs w:val="26"/>
        </w:rPr>
        <w:t>3002485</w:t>
      </w:r>
    </w:p>
    <w:p w14:paraId="400FFAE2" w14:textId="38AD4A19" w:rsidR="00A725FB" w:rsidRPr="00787A9E" w:rsidRDefault="00A744B4" w:rsidP="00FD1A00">
      <w:pPr>
        <w:autoSpaceDE w:val="0"/>
        <w:autoSpaceDN w:val="0"/>
        <w:spacing w:line="240" w:lineRule="auto"/>
        <w:contextualSpacing/>
        <w:rPr>
          <w:sz w:val="26"/>
          <w:szCs w:val="26"/>
        </w:rPr>
      </w:pPr>
      <w:r w:rsidRPr="00787A9E">
        <w:rPr>
          <w:sz w:val="26"/>
          <w:szCs w:val="26"/>
        </w:rPr>
        <w:t>Robert and Katherine Bair</w:t>
      </w:r>
      <w:r w:rsidR="00A725FB" w:rsidRPr="00787A9E">
        <w:rPr>
          <w:sz w:val="26"/>
          <w:szCs w:val="26"/>
        </w:rPr>
        <w:tab/>
      </w:r>
      <w:r w:rsidR="00A725FB" w:rsidRPr="00787A9E">
        <w:rPr>
          <w:sz w:val="26"/>
          <w:szCs w:val="26"/>
        </w:rPr>
        <w:tab/>
      </w:r>
      <w:r w:rsidR="00A725FB" w:rsidRPr="00787A9E">
        <w:rPr>
          <w:sz w:val="26"/>
          <w:szCs w:val="26"/>
        </w:rPr>
        <w:tab/>
      </w:r>
      <w:r w:rsidR="00A725FB" w:rsidRPr="00787A9E">
        <w:rPr>
          <w:sz w:val="26"/>
          <w:szCs w:val="26"/>
        </w:rPr>
        <w:tab/>
      </w:r>
      <w:r w:rsidR="00A725FB" w:rsidRPr="00787A9E">
        <w:rPr>
          <w:sz w:val="26"/>
          <w:szCs w:val="26"/>
        </w:rPr>
        <w:tab/>
      </w:r>
      <w:r w:rsidR="00355C2D">
        <w:rPr>
          <w:sz w:val="26"/>
          <w:szCs w:val="26"/>
        </w:rPr>
        <w:tab/>
      </w:r>
      <w:r w:rsidR="00355C2D">
        <w:rPr>
          <w:sz w:val="26"/>
          <w:szCs w:val="26"/>
        </w:rPr>
        <w:tab/>
      </w:r>
      <w:r w:rsidRPr="00787A9E">
        <w:rPr>
          <w:sz w:val="26"/>
          <w:szCs w:val="26"/>
        </w:rPr>
        <w:t xml:space="preserve">     </w:t>
      </w:r>
      <w:r w:rsidR="00A725FB" w:rsidRPr="00787A9E">
        <w:rPr>
          <w:sz w:val="26"/>
          <w:szCs w:val="26"/>
        </w:rPr>
        <w:t>C-201</w:t>
      </w:r>
      <w:r w:rsidRPr="00787A9E">
        <w:rPr>
          <w:sz w:val="26"/>
          <w:szCs w:val="26"/>
        </w:rPr>
        <w:t>8</w:t>
      </w:r>
      <w:r w:rsidR="00A725FB" w:rsidRPr="00787A9E">
        <w:rPr>
          <w:sz w:val="26"/>
          <w:szCs w:val="26"/>
        </w:rPr>
        <w:t>-</w:t>
      </w:r>
      <w:r w:rsidRPr="00787A9E">
        <w:rPr>
          <w:sz w:val="26"/>
          <w:szCs w:val="26"/>
        </w:rPr>
        <w:t>3002587</w:t>
      </w:r>
    </w:p>
    <w:p w14:paraId="40188359" w14:textId="0AC0B532" w:rsidR="00A725FB" w:rsidRPr="00787A9E" w:rsidRDefault="00A744B4" w:rsidP="00FD1A00">
      <w:pPr>
        <w:autoSpaceDE w:val="0"/>
        <w:autoSpaceDN w:val="0"/>
        <w:spacing w:line="240" w:lineRule="auto"/>
        <w:contextualSpacing/>
        <w:rPr>
          <w:sz w:val="26"/>
          <w:szCs w:val="26"/>
        </w:rPr>
      </w:pPr>
      <w:r w:rsidRPr="00787A9E">
        <w:rPr>
          <w:sz w:val="26"/>
          <w:szCs w:val="26"/>
        </w:rPr>
        <w:t>Jerome and Barbara Cypher</w:t>
      </w:r>
      <w:r w:rsidR="00A725FB" w:rsidRPr="00787A9E">
        <w:rPr>
          <w:sz w:val="26"/>
          <w:szCs w:val="26"/>
        </w:rPr>
        <w:tab/>
      </w:r>
      <w:r w:rsidR="00A725FB" w:rsidRPr="00787A9E">
        <w:rPr>
          <w:sz w:val="26"/>
          <w:szCs w:val="26"/>
        </w:rPr>
        <w:tab/>
      </w:r>
      <w:r w:rsidR="00A725FB" w:rsidRPr="00787A9E">
        <w:rPr>
          <w:sz w:val="26"/>
          <w:szCs w:val="26"/>
        </w:rPr>
        <w:tab/>
      </w:r>
      <w:r w:rsidR="00A725FB" w:rsidRPr="00787A9E">
        <w:rPr>
          <w:sz w:val="26"/>
          <w:szCs w:val="26"/>
        </w:rPr>
        <w:tab/>
      </w:r>
      <w:r w:rsidR="00A725FB" w:rsidRPr="00787A9E">
        <w:rPr>
          <w:sz w:val="26"/>
          <w:szCs w:val="26"/>
        </w:rPr>
        <w:tab/>
      </w:r>
      <w:r w:rsidR="00355C2D">
        <w:rPr>
          <w:sz w:val="26"/>
          <w:szCs w:val="26"/>
        </w:rPr>
        <w:tab/>
      </w:r>
      <w:r w:rsidRPr="00787A9E">
        <w:rPr>
          <w:sz w:val="26"/>
          <w:szCs w:val="26"/>
        </w:rPr>
        <w:t xml:space="preserve">     </w:t>
      </w:r>
      <w:r w:rsidR="00A725FB" w:rsidRPr="00787A9E">
        <w:rPr>
          <w:sz w:val="26"/>
          <w:szCs w:val="26"/>
        </w:rPr>
        <w:t>C-201</w:t>
      </w:r>
      <w:r w:rsidRPr="00787A9E">
        <w:rPr>
          <w:sz w:val="26"/>
          <w:szCs w:val="26"/>
        </w:rPr>
        <w:t>8</w:t>
      </w:r>
      <w:r w:rsidR="00A725FB" w:rsidRPr="00787A9E">
        <w:rPr>
          <w:sz w:val="26"/>
          <w:szCs w:val="26"/>
        </w:rPr>
        <w:t>-</w:t>
      </w:r>
      <w:r w:rsidRPr="00787A9E">
        <w:rPr>
          <w:sz w:val="26"/>
          <w:szCs w:val="26"/>
        </w:rPr>
        <w:t>3002671</w:t>
      </w:r>
    </w:p>
    <w:p w14:paraId="0773BF9B" w14:textId="624459C2" w:rsidR="00A725FB" w:rsidRPr="00787A9E" w:rsidRDefault="00A744B4" w:rsidP="00FD1A00">
      <w:pPr>
        <w:autoSpaceDE w:val="0"/>
        <w:autoSpaceDN w:val="0"/>
        <w:spacing w:line="240" w:lineRule="auto"/>
        <w:contextualSpacing/>
        <w:rPr>
          <w:sz w:val="26"/>
          <w:szCs w:val="26"/>
        </w:rPr>
      </w:pPr>
      <w:r w:rsidRPr="00787A9E">
        <w:rPr>
          <w:sz w:val="26"/>
          <w:szCs w:val="26"/>
        </w:rPr>
        <w:t>Jon and Nina Lewis</w:t>
      </w:r>
      <w:r w:rsidR="00A725FB" w:rsidRPr="00787A9E">
        <w:rPr>
          <w:sz w:val="26"/>
          <w:szCs w:val="26"/>
        </w:rPr>
        <w:tab/>
      </w:r>
      <w:r w:rsidR="00A725FB" w:rsidRPr="00787A9E">
        <w:rPr>
          <w:sz w:val="26"/>
          <w:szCs w:val="26"/>
        </w:rPr>
        <w:tab/>
      </w:r>
      <w:r w:rsidR="00A725FB" w:rsidRPr="00787A9E">
        <w:rPr>
          <w:sz w:val="26"/>
          <w:szCs w:val="26"/>
        </w:rPr>
        <w:tab/>
      </w:r>
      <w:r w:rsidR="00A725FB" w:rsidRPr="00787A9E">
        <w:rPr>
          <w:sz w:val="26"/>
          <w:szCs w:val="26"/>
        </w:rPr>
        <w:tab/>
      </w:r>
      <w:r w:rsidR="00A725FB" w:rsidRPr="00787A9E">
        <w:rPr>
          <w:sz w:val="26"/>
          <w:szCs w:val="26"/>
        </w:rPr>
        <w:tab/>
      </w:r>
      <w:r w:rsidR="00355C2D">
        <w:rPr>
          <w:sz w:val="26"/>
          <w:szCs w:val="26"/>
        </w:rPr>
        <w:tab/>
      </w:r>
      <w:r w:rsidR="00355C2D">
        <w:rPr>
          <w:sz w:val="26"/>
          <w:szCs w:val="26"/>
        </w:rPr>
        <w:tab/>
      </w:r>
      <w:r w:rsidR="00355C2D">
        <w:rPr>
          <w:sz w:val="26"/>
          <w:szCs w:val="26"/>
        </w:rPr>
        <w:tab/>
      </w:r>
      <w:r w:rsidRPr="00787A9E">
        <w:rPr>
          <w:sz w:val="26"/>
          <w:szCs w:val="26"/>
        </w:rPr>
        <w:t xml:space="preserve">     </w:t>
      </w:r>
      <w:r w:rsidR="00A725FB" w:rsidRPr="00787A9E">
        <w:rPr>
          <w:sz w:val="26"/>
          <w:szCs w:val="26"/>
        </w:rPr>
        <w:t>C-201</w:t>
      </w:r>
      <w:r w:rsidRPr="00787A9E">
        <w:rPr>
          <w:sz w:val="26"/>
          <w:szCs w:val="26"/>
        </w:rPr>
        <w:t>8</w:t>
      </w:r>
      <w:r w:rsidR="00A725FB" w:rsidRPr="00787A9E">
        <w:rPr>
          <w:sz w:val="26"/>
          <w:szCs w:val="26"/>
        </w:rPr>
        <w:t>-</w:t>
      </w:r>
      <w:r w:rsidRPr="00787A9E">
        <w:rPr>
          <w:sz w:val="26"/>
          <w:szCs w:val="26"/>
        </w:rPr>
        <w:t>3002701</w:t>
      </w:r>
    </w:p>
    <w:p w14:paraId="7E8A61B7" w14:textId="2EDBE201" w:rsidR="00A725FB" w:rsidRPr="00787A9E" w:rsidRDefault="00A744B4" w:rsidP="00FD1A00">
      <w:pPr>
        <w:autoSpaceDE w:val="0"/>
        <w:autoSpaceDN w:val="0"/>
        <w:spacing w:line="240" w:lineRule="auto"/>
        <w:contextualSpacing/>
        <w:rPr>
          <w:sz w:val="26"/>
          <w:szCs w:val="26"/>
        </w:rPr>
      </w:pPr>
      <w:r w:rsidRPr="00787A9E">
        <w:rPr>
          <w:sz w:val="26"/>
          <w:szCs w:val="26"/>
        </w:rPr>
        <w:t>Celeste Emrick</w:t>
      </w:r>
      <w:r w:rsidR="00A725FB" w:rsidRPr="00787A9E">
        <w:rPr>
          <w:sz w:val="26"/>
          <w:szCs w:val="26"/>
        </w:rPr>
        <w:tab/>
      </w:r>
      <w:r w:rsidR="00A725FB" w:rsidRPr="00787A9E">
        <w:rPr>
          <w:sz w:val="26"/>
          <w:szCs w:val="26"/>
        </w:rPr>
        <w:tab/>
      </w:r>
      <w:r w:rsidR="00A725FB" w:rsidRPr="00787A9E">
        <w:rPr>
          <w:sz w:val="26"/>
          <w:szCs w:val="26"/>
        </w:rPr>
        <w:tab/>
      </w:r>
      <w:r w:rsidR="00A725FB" w:rsidRPr="00787A9E">
        <w:rPr>
          <w:sz w:val="26"/>
          <w:szCs w:val="26"/>
        </w:rPr>
        <w:tab/>
      </w:r>
      <w:r w:rsidR="00A725FB" w:rsidRPr="00787A9E">
        <w:rPr>
          <w:sz w:val="26"/>
          <w:szCs w:val="26"/>
        </w:rPr>
        <w:tab/>
      </w:r>
      <w:r w:rsidR="00A725FB" w:rsidRPr="00787A9E">
        <w:rPr>
          <w:sz w:val="26"/>
          <w:szCs w:val="26"/>
        </w:rPr>
        <w:tab/>
      </w:r>
      <w:r w:rsidR="00A725FB" w:rsidRPr="00787A9E">
        <w:rPr>
          <w:sz w:val="26"/>
          <w:szCs w:val="26"/>
        </w:rPr>
        <w:tab/>
      </w:r>
      <w:r w:rsidR="00355C2D">
        <w:rPr>
          <w:sz w:val="26"/>
          <w:szCs w:val="26"/>
        </w:rPr>
        <w:tab/>
      </w:r>
      <w:r w:rsidRPr="00787A9E">
        <w:rPr>
          <w:sz w:val="26"/>
          <w:szCs w:val="26"/>
        </w:rPr>
        <w:t xml:space="preserve">     </w:t>
      </w:r>
      <w:r w:rsidR="00A725FB" w:rsidRPr="00787A9E">
        <w:rPr>
          <w:sz w:val="26"/>
          <w:szCs w:val="26"/>
        </w:rPr>
        <w:t>C-201</w:t>
      </w:r>
      <w:r w:rsidRPr="00787A9E">
        <w:rPr>
          <w:sz w:val="26"/>
          <w:szCs w:val="26"/>
        </w:rPr>
        <w:t>8</w:t>
      </w:r>
      <w:r w:rsidR="00A725FB" w:rsidRPr="00787A9E">
        <w:rPr>
          <w:sz w:val="26"/>
          <w:szCs w:val="26"/>
        </w:rPr>
        <w:t>-</w:t>
      </w:r>
      <w:r w:rsidRPr="00787A9E">
        <w:rPr>
          <w:sz w:val="26"/>
          <w:szCs w:val="26"/>
        </w:rPr>
        <w:t>3003020</w:t>
      </w:r>
    </w:p>
    <w:p w14:paraId="1DD3A377" w14:textId="2FD6EF32" w:rsidR="00A725FB" w:rsidRPr="00787A9E" w:rsidRDefault="00A744B4" w:rsidP="00FD1A00">
      <w:pPr>
        <w:autoSpaceDE w:val="0"/>
        <w:autoSpaceDN w:val="0"/>
        <w:spacing w:line="240" w:lineRule="auto"/>
        <w:contextualSpacing/>
        <w:rPr>
          <w:sz w:val="26"/>
          <w:szCs w:val="26"/>
        </w:rPr>
      </w:pPr>
      <w:r w:rsidRPr="00787A9E">
        <w:rPr>
          <w:sz w:val="26"/>
          <w:szCs w:val="26"/>
        </w:rPr>
        <w:t>Robert J. Kollar</w:t>
      </w:r>
      <w:r w:rsidR="00A725FB" w:rsidRPr="00787A9E">
        <w:rPr>
          <w:sz w:val="26"/>
          <w:szCs w:val="26"/>
        </w:rPr>
        <w:tab/>
      </w:r>
      <w:r w:rsidR="00A725FB" w:rsidRPr="00787A9E">
        <w:rPr>
          <w:sz w:val="26"/>
          <w:szCs w:val="26"/>
        </w:rPr>
        <w:tab/>
      </w:r>
      <w:r w:rsidR="00A725FB" w:rsidRPr="00787A9E">
        <w:rPr>
          <w:sz w:val="26"/>
          <w:szCs w:val="26"/>
        </w:rPr>
        <w:tab/>
      </w:r>
      <w:r w:rsidR="00A725FB" w:rsidRPr="00787A9E">
        <w:rPr>
          <w:sz w:val="26"/>
          <w:szCs w:val="26"/>
        </w:rPr>
        <w:tab/>
      </w:r>
      <w:r w:rsidR="00A725FB" w:rsidRPr="00787A9E">
        <w:rPr>
          <w:sz w:val="26"/>
          <w:szCs w:val="26"/>
        </w:rPr>
        <w:tab/>
      </w:r>
      <w:r w:rsidR="00A725FB" w:rsidRPr="00787A9E">
        <w:rPr>
          <w:sz w:val="26"/>
          <w:szCs w:val="26"/>
        </w:rPr>
        <w:tab/>
      </w:r>
      <w:r w:rsidR="00355C2D">
        <w:rPr>
          <w:sz w:val="26"/>
          <w:szCs w:val="26"/>
        </w:rPr>
        <w:tab/>
      </w:r>
      <w:r w:rsidR="00355C2D">
        <w:rPr>
          <w:sz w:val="26"/>
          <w:szCs w:val="26"/>
        </w:rPr>
        <w:tab/>
      </w:r>
      <w:r w:rsidR="00715FEC" w:rsidRPr="00787A9E">
        <w:rPr>
          <w:sz w:val="26"/>
          <w:szCs w:val="26"/>
        </w:rPr>
        <w:t xml:space="preserve">     </w:t>
      </w:r>
      <w:r w:rsidR="00A725FB" w:rsidRPr="00787A9E">
        <w:rPr>
          <w:sz w:val="26"/>
          <w:szCs w:val="26"/>
        </w:rPr>
        <w:t>C-201</w:t>
      </w:r>
      <w:r w:rsidR="00715FEC" w:rsidRPr="00787A9E">
        <w:rPr>
          <w:sz w:val="26"/>
          <w:szCs w:val="26"/>
        </w:rPr>
        <w:t>8</w:t>
      </w:r>
      <w:r w:rsidR="00A725FB" w:rsidRPr="00787A9E">
        <w:rPr>
          <w:sz w:val="26"/>
          <w:szCs w:val="26"/>
        </w:rPr>
        <w:t>-</w:t>
      </w:r>
      <w:r w:rsidR="00715FEC" w:rsidRPr="00787A9E">
        <w:rPr>
          <w:sz w:val="26"/>
          <w:szCs w:val="26"/>
        </w:rPr>
        <w:t>3003370</w:t>
      </w:r>
    </w:p>
    <w:p w14:paraId="5B32DAFB" w14:textId="32849413" w:rsidR="00A725FB" w:rsidRPr="00787A9E" w:rsidRDefault="00715FEC" w:rsidP="00FD1A00">
      <w:pPr>
        <w:autoSpaceDE w:val="0"/>
        <w:autoSpaceDN w:val="0"/>
        <w:spacing w:after="120" w:line="240" w:lineRule="auto"/>
        <w:contextualSpacing/>
        <w:rPr>
          <w:sz w:val="26"/>
          <w:szCs w:val="26"/>
        </w:rPr>
      </w:pPr>
      <w:r w:rsidRPr="00787A9E">
        <w:rPr>
          <w:sz w:val="26"/>
          <w:szCs w:val="26"/>
        </w:rPr>
        <w:t>Hidden Valley Foundation, Inc.</w:t>
      </w:r>
      <w:r w:rsidR="00A725FB" w:rsidRPr="00787A9E">
        <w:rPr>
          <w:sz w:val="26"/>
          <w:szCs w:val="26"/>
        </w:rPr>
        <w:tab/>
      </w:r>
      <w:r w:rsidR="00A725FB" w:rsidRPr="00787A9E">
        <w:rPr>
          <w:sz w:val="26"/>
          <w:szCs w:val="26"/>
        </w:rPr>
        <w:tab/>
      </w:r>
      <w:r w:rsidR="00A725FB" w:rsidRPr="00787A9E">
        <w:rPr>
          <w:sz w:val="26"/>
          <w:szCs w:val="26"/>
        </w:rPr>
        <w:tab/>
      </w:r>
      <w:r w:rsidR="00A725FB" w:rsidRPr="00787A9E">
        <w:rPr>
          <w:sz w:val="26"/>
          <w:szCs w:val="26"/>
        </w:rPr>
        <w:tab/>
      </w:r>
      <w:r w:rsidR="00A725FB" w:rsidRPr="00787A9E">
        <w:rPr>
          <w:sz w:val="26"/>
          <w:szCs w:val="26"/>
        </w:rPr>
        <w:tab/>
      </w:r>
      <w:r w:rsidR="00355C2D">
        <w:rPr>
          <w:sz w:val="26"/>
          <w:szCs w:val="26"/>
        </w:rPr>
        <w:tab/>
      </w:r>
      <w:r w:rsidRPr="00787A9E">
        <w:rPr>
          <w:sz w:val="26"/>
          <w:szCs w:val="26"/>
        </w:rPr>
        <w:t xml:space="preserve">     </w:t>
      </w:r>
      <w:r w:rsidR="00A725FB" w:rsidRPr="00787A9E">
        <w:rPr>
          <w:sz w:val="26"/>
          <w:szCs w:val="26"/>
        </w:rPr>
        <w:t>C-201</w:t>
      </w:r>
      <w:r w:rsidRPr="00787A9E">
        <w:rPr>
          <w:sz w:val="26"/>
          <w:szCs w:val="26"/>
        </w:rPr>
        <w:t>8</w:t>
      </w:r>
      <w:r w:rsidR="00A725FB" w:rsidRPr="00787A9E">
        <w:rPr>
          <w:sz w:val="26"/>
          <w:szCs w:val="26"/>
        </w:rPr>
        <w:t>-</w:t>
      </w:r>
      <w:r w:rsidRPr="00787A9E">
        <w:rPr>
          <w:sz w:val="26"/>
          <w:szCs w:val="26"/>
        </w:rPr>
        <w:t>3003528</w:t>
      </w:r>
    </w:p>
    <w:p w14:paraId="6646784D" w14:textId="77777777" w:rsidR="00BB4032" w:rsidRDefault="00BB4032" w:rsidP="00FD1A00">
      <w:pPr>
        <w:autoSpaceDE w:val="0"/>
        <w:autoSpaceDN w:val="0"/>
        <w:spacing w:after="120" w:line="240" w:lineRule="auto"/>
        <w:ind w:right="-14"/>
        <w:contextualSpacing/>
        <w:rPr>
          <w:sz w:val="26"/>
          <w:szCs w:val="26"/>
        </w:rPr>
      </w:pPr>
    </w:p>
    <w:p w14:paraId="4907A55A" w14:textId="7B542619" w:rsidR="00E05523" w:rsidRPr="00787A9E" w:rsidRDefault="00DA15BB" w:rsidP="00FD1A00">
      <w:pPr>
        <w:autoSpaceDE w:val="0"/>
        <w:autoSpaceDN w:val="0"/>
        <w:spacing w:after="120" w:line="240" w:lineRule="auto"/>
        <w:ind w:right="-14"/>
        <w:contextualSpacing/>
        <w:rPr>
          <w:sz w:val="26"/>
          <w:szCs w:val="26"/>
        </w:rPr>
      </w:pPr>
      <w:r w:rsidRPr="00787A9E">
        <w:rPr>
          <w:sz w:val="26"/>
          <w:szCs w:val="26"/>
        </w:rPr>
        <w:tab/>
      </w:r>
      <w:r w:rsidRPr="00787A9E">
        <w:rPr>
          <w:sz w:val="26"/>
          <w:szCs w:val="26"/>
        </w:rPr>
        <w:tab/>
      </w:r>
      <w:r w:rsidR="00E05523" w:rsidRPr="00787A9E">
        <w:rPr>
          <w:sz w:val="26"/>
          <w:szCs w:val="26"/>
        </w:rPr>
        <w:t>v.</w:t>
      </w:r>
    </w:p>
    <w:p w14:paraId="72FE6EAC" w14:textId="77777777" w:rsidR="00BB4032" w:rsidRDefault="00BB4032" w:rsidP="00FD1A00">
      <w:pPr>
        <w:autoSpaceDE w:val="0"/>
        <w:autoSpaceDN w:val="0"/>
        <w:spacing w:after="120" w:line="240" w:lineRule="auto"/>
        <w:ind w:right="-14"/>
        <w:contextualSpacing/>
        <w:rPr>
          <w:sz w:val="26"/>
          <w:szCs w:val="26"/>
        </w:rPr>
      </w:pPr>
    </w:p>
    <w:p w14:paraId="455F4330" w14:textId="38821F7A" w:rsidR="00E05523" w:rsidRPr="00787A9E" w:rsidRDefault="00715FEC" w:rsidP="00FD1A00">
      <w:pPr>
        <w:autoSpaceDE w:val="0"/>
        <w:autoSpaceDN w:val="0"/>
        <w:spacing w:after="120" w:line="240" w:lineRule="auto"/>
        <w:ind w:right="-14"/>
        <w:contextualSpacing/>
        <w:rPr>
          <w:sz w:val="26"/>
          <w:szCs w:val="26"/>
        </w:rPr>
      </w:pPr>
      <w:r w:rsidRPr="00787A9E">
        <w:rPr>
          <w:sz w:val="26"/>
          <w:szCs w:val="26"/>
        </w:rPr>
        <w:t>Hidden Valley Utility Services, L.P. – Water</w:t>
      </w:r>
    </w:p>
    <w:p w14:paraId="72A16BF1" w14:textId="77777777" w:rsidR="00715FEC" w:rsidRPr="00787A9E" w:rsidRDefault="00715FEC" w:rsidP="00FD1A00">
      <w:pPr>
        <w:autoSpaceDE w:val="0"/>
        <w:autoSpaceDN w:val="0"/>
        <w:spacing w:after="120" w:line="240" w:lineRule="auto"/>
        <w:ind w:right="-14"/>
        <w:contextualSpacing/>
        <w:rPr>
          <w:sz w:val="26"/>
          <w:szCs w:val="26"/>
        </w:rPr>
      </w:pPr>
    </w:p>
    <w:p w14:paraId="35B6DEC8" w14:textId="25E8B725" w:rsidR="003F001F" w:rsidRDefault="003F001F" w:rsidP="00FD1A00">
      <w:pPr>
        <w:autoSpaceDE w:val="0"/>
        <w:autoSpaceDN w:val="0"/>
        <w:spacing w:line="240" w:lineRule="auto"/>
        <w:ind w:right="-18"/>
        <w:contextualSpacing/>
        <w:rPr>
          <w:sz w:val="26"/>
          <w:szCs w:val="26"/>
        </w:rPr>
      </w:pPr>
    </w:p>
    <w:p w14:paraId="6BC6C741" w14:textId="77777777" w:rsidR="00BB4032" w:rsidRPr="00787A9E" w:rsidRDefault="00BB4032" w:rsidP="00FD1A00">
      <w:pPr>
        <w:autoSpaceDE w:val="0"/>
        <w:autoSpaceDN w:val="0"/>
        <w:spacing w:line="240" w:lineRule="auto"/>
        <w:ind w:right="-18"/>
        <w:contextualSpacing/>
        <w:rPr>
          <w:sz w:val="26"/>
          <w:szCs w:val="26"/>
        </w:rPr>
      </w:pPr>
    </w:p>
    <w:p w14:paraId="438D7D97" w14:textId="781F34FF" w:rsidR="00E05523" w:rsidRPr="00787A9E" w:rsidRDefault="00E05523" w:rsidP="00FD1A00">
      <w:pPr>
        <w:keepNext/>
        <w:keepLines/>
        <w:autoSpaceDE w:val="0"/>
        <w:autoSpaceDN w:val="0"/>
        <w:spacing w:line="240" w:lineRule="auto"/>
        <w:ind w:right="-14"/>
        <w:contextualSpacing/>
        <w:rPr>
          <w:sz w:val="26"/>
          <w:szCs w:val="26"/>
        </w:rPr>
      </w:pPr>
      <w:r w:rsidRPr="00787A9E">
        <w:rPr>
          <w:sz w:val="26"/>
          <w:szCs w:val="26"/>
        </w:rPr>
        <w:lastRenderedPageBreak/>
        <w:t>Pennsylvania Public Utility Commission</w:t>
      </w:r>
      <w:r w:rsidRPr="00787A9E">
        <w:rPr>
          <w:sz w:val="26"/>
          <w:szCs w:val="26"/>
        </w:rPr>
        <w:tab/>
      </w:r>
      <w:r w:rsidRPr="00787A9E">
        <w:rPr>
          <w:sz w:val="26"/>
          <w:szCs w:val="26"/>
        </w:rPr>
        <w:tab/>
      </w:r>
      <w:r w:rsidRPr="00787A9E">
        <w:rPr>
          <w:sz w:val="26"/>
          <w:szCs w:val="26"/>
        </w:rPr>
        <w:tab/>
      </w:r>
      <w:r w:rsidR="00B276DA" w:rsidRPr="00787A9E">
        <w:rPr>
          <w:sz w:val="26"/>
          <w:szCs w:val="26"/>
        </w:rPr>
        <w:tab/>
      </w:r>
      <w:r w:rsidR="00355C2D">
        <w:rPr>
          <w:sz w:val="26"/>
          <w:szCs w:val="26"/>
        </w:rPr>
        <w:tab/>
      </w:r>
      <w:r w:rsidR="00BB4032">
        <w:rPr>
          <w:sz w:val="26"/>
          <w:szCs w:val="26"/>
        </w:rPr>
        <w:t xml:space="preserve"> </w:t>
      </w:r>
      <w:r w:rsidR="00715FEC" w:rsidRPr="00787A9E">
        <w:rPr>
          <w:sz w:val="26"/>
          <w:szCs w:val="26"/>
        </w:rPr>
        <w:t xml:space="preserve">     </w:t>
      </w:r>
      <w:bookmarkStart w:id="0" w:name="_GoBack"/>
      <w:r w:rsidRPr="00787A9E">
        <w:rPr>
          <w:sz w:val="26"/>
          <w:szCs w:val="26"/>
        </w:rPr>
        <w:t>R-201</w:t>
      </w:r>
      <w:r w:rsidR="00715FEC" w:rsidRPr="00787A9E">
        <w:rPr>
          <w:sz w:val="26"/>
          <w:szCs w:val="26"/>
        </w:rPr>
        <w:t>8</w:t>
      </w:r>
      <w:r w:rsidRPr="00787A9E">
        <w:rPr>
          <w:sz w:val="26"/>
          <w:szCs w:val="26"/>
        </w:rPr>
        <w:t>-</w:t>
      </w:r>
      <w:r w:rsidR="00715FEC" w:rsidRPr="00787A9E">
        <w:rPr>
          <w:sz w:val="26"/>
          <w:szCs w:val="26"/>
        </w:rPr>
        <w:t>3001307</w:t>
      </w:r>
      <w:bookmarkEnd w:id="0"/>
    </w:p>
    <w:p w14:paraId="2617E904" w14:textId="7DE3E306" w:rsidR="00B276DA" w:rsidRPr="00787A9E" w:rsidRDefault="00B276DA" w:rsidP="00FD1A00">
      <w:pPr>
        <w:keepNext/>
        <w:keepLines/>
        <w:autoSpaceDE w:val="0"/>
        <w:autoSpaceDN w:val="0"/>
        <w:spacing w:line="240" w:lineRule="auto"/>
        <w:ind w:right="-18"/>
        <w:contextualSpacing/>
        <w:rPr>
          <w:sz w:val="26"/>
          <w:szCs w:val="26"/>
        </w:rPr>
      </w:pPr>
      <w:r w:rsidRPr="00787A9E">
        <w:rPr>
          <w:sz w:val="26"/>
          <w:szCs w:val="26"/>
        </w:rPr>
        <w:t xml:space="preserve">Office of </w:t>
      </w:r>
      <w:r w:rsidR="00715FEC" w:rsidRPr="00787A9E">
        <w:rPr>
          <w:sz w:val="26"/>
          <w:szCs w:val="26"/>
        </w:rPr>
        <w:t>Consumer</w:t>
      </w:r>
      <w:r w:rsidRPr="00787A9E">
        <w:rPr>
          <w:sz w:val="26"/>
          <w:szCs w:val="26"/>
        </w:rPr>
        <w:t xml:space="preserve"> Advocate</w:t>
      </w:r>
      <w:r w:rsidRPr="00787A9E">
        <w:rPr>
          <w:sz w:val="26"/>
          <w:szCs w:val="26"/>
        </w:rPr>
        <w:tab/>
      </w:r>
      <w:r w:rsidRPr="00787A9E">
        <w:rPr>
          <w:sz w:val="26"/>
          <w:szCs w:val="26"/>
        </w:rPr>
        <w:tab/>
      </w:r>
      <w:r w:rsidRPr="00787A9E">
        <w:rPr>
          <w:sz w:val="26"/>
          <w:szCs w:val="26"/>
        </w:rPr>
        <w:tab/>
      </w:r>
      <w:r w:rsidRPr="00787A9E">
        <w:rPr>
          <w:sz w:val="26"/>
          <w:szCs w:val="26"/>
        </w:rPr>
        <w:tab/>
      </w:r>
      <w:r w:rsidRPr="00787A9E">
        <w:rPr>
          <w:sz w:val="26"/>
          <w:szCs w:val="26"/>
        </w:rPr>
        <w:tab/>
      </w:r>
      <w:r w:rsidR="00355C2D">
        <w:rPr>
          <w:sz w:val="26"/>
          <w:szCs w:val="26"/>
        </w:rPr>
        <w:tab/>
      </w:r>
      <w:r w:rsidR="00715FEC" w:rsidRPr="00787A9E">
        <w:rPr>
          <w:sz w:val="26"/>
          <w:szCs w:val="26"/>
        </w:rPr>
        <w:t xml:space="preserve">      </w:t>
      </w:r>
      <w:r w:rsidRPr="00787A9E">
        <w:rPr>
          <w:sz w:val="26"/>
          <w:szCs w:val="26"/>
        </w:rPr>
        <w:t>C-201</w:t>
      </w:r>
      <w:r w:rsidR="00715FEC" w:rsidRPr="00787A9E">
        <w:rPr>
          <w:sz w:val="26"/>
          <w:szCs w:val="26"/>
        </w:rPr>
        <w:t>8</w:t>
      </w:r>
      <w:r w:rsidRPr="00787A9E">
        <w:rPr>
          <w:sz w:val="26"/>
          <w:szCs w:val="26"/>
        </w:rPr>
        <w:t>-</w:t>
      </w:r>
      <w:r w:rsidR="00715FEC" w:rsidRPr="00787A9E">
        <w:rPr>
          <w:sz w:val="26"/>
          <w:szCs w:val="26"/>
        </w:rPr>
        <w:t>3001843</w:t>
      </w:r>
    </w:p>
    <w:p w14:paraId="7E530C26" w14:textId="76A575F5" w:rsidR="00715FEC" w:rsidRPr="00787A9E" w:rsidRDefault="00715FEC" w:rsidP="00FD1A00">
      <w:pPr>
        <w:keepNext/>
        <w:keepLines/>
        <w:autoSpaceDE w:val="0"/>
        <w:autoSpaceDN w:val="0"/>
        <w:spacing w:line="240" w:lineRule="auto"/>
        <w:ind w:right="-14"/>
        <w:contextualSpacing/>
        <w:rPr>
          <w:sz w:val="26"/>
          <w:szCs w:val="26"/>
        </w:rPr>
      </w:pPr>
      <w:r w:rsidRPr="00787A9E">
        <w:rPr>
          <w:sz w:val="26"/>
          <w:szCs w:val="26"/>
        </w:rPr>
        <w:t xml:space="preserve">Tom and Shelley Conroy   </w:t>
      </w:r>
      <w:r w:rsidRPr="00787A9E">
        <w:rPr>
          <w:sz w:val="26"/>
          <w:szCs w:val="26"/>
        </w:rPr>
        <w:tab/>
      </w:r>
      <w:r w:rsidRPr="00787A9E">
        <w:rPr>
          <w:sz w:val="26"/>
          <w:szCs w:val="26"/>
        </w:rPr>
        <w:tab/>
      </w:r>
      <w:r w:rsidRPr="00787A9E">
        <w:rPr>
          <w:sz w:val="26"/>
          <w:szCs w:val="26"/>
        </w:rPr>
        <w:tab/>
      </w:r>
      <w:r w:rsidRPr="00787A9E">
        <w:rPr>
          <w:sz w:val="26"/>
          <w:szCs w:val="26"/>
        </w:rPr>
        <w:tab/>
      </w:r>
      <w:r w:rsidRPr="00787A9E">
        <w:rPr>
          <w:sz w:val="26"/>
          <w:szCs w:val="26"/>
        </w:rPr>
        <w:tab/>
      </w:r>
      <w:r w:rsidRPr="00787A9E">
        <w:rPr>
          <w:sz w:val="26"/>
          <w:szCs w:val="26"/>
        </w:rPr>
        <w:tab/>
      </w:r>
      <w:r w:rsidR="00355C2D">
        <w:rPr>
          <w:sz w:val="26"/>
          <w:szCs w:val="26"/>
        </w:rPr>
        <w:tab/>
      </w:r>
      <w:r w:rsidRPr="00787A9E">
        <w:rPr>
          <w:sz w:val="26"/>
          <w:szCs w:val="26"/>
        </w:rPr>
        <w:t xml:space="preserve"> </w:t>
      </w:r>
      <w:r w:rsidR="00BB4032">
        <w:rPr>
          <w:sz w:val="26"/>
          <w:szCs w:val="26"/>
        </w:rPr>
        <w:t xml:space="preserve"> </w:t>
      </w:r>
      <w:r w:rsidRPr="00787A9E">
        <w:rPr>
          <w:sz w:val="26"/>
          <w:szCs w:val="26"/>
        </w:rPr>
        <w:t xml:space="preserve">    C-2018-3002200</w:t>
      </w:r>
    </w:p>
    <w:p w14:paraId="53061BDE" w14:textId="44AB3BBA" w:rsidR="00715FEC" w:rsidRPr="00787A9E" w:rsidRDefault="00715FEC" w:rsidP="00FD1A00">
      <w:pPr>
        <w:keepNext/>
        <w:keepLines/>
        <w:autoSpaceDE w:val="0"/>
        <w:autoSpaceDN w:val="0"/>
        <w:spacing w:line="240" w:lineRule="auto"/>
        <w:ind w:right="-14"/>
        <w:contextualSpacing/>
        <w:rPr>
          <w:sz w:val="26"/>
          <w:szCs w:val="26"/>
        </w:rPr>
      </w:pPr>
      <w:r w:rsidRPr="00787A9E">
        <w:rPr>
          <w:sz w:val="26"/>
          <w:szCs w:val="26"/>
        </w:rPr>
        <w:t>John Cupps</w:t>
      </w:r>
      <w:r w:rsidRPr="00787A9E">
        <w:rPr>
          <w:sz w:val="26"/>
          <w:szCs w:val="26"/>
        </w:rPr>
        <w:tab/>
      </w:r>
      <w:r w:rsidRPr="00787A9E">
        <w:rPr>
          <w:sz w:val="26"/>
          <w:szCs w:val="26"/>
        </w:rPr>
        <w:tab/>
      </w:r>
      <w:r w:rsidRPr="00787A9E">
        <w:rPr>
          <w:sz w:val="26"/>
          <w:szCs w:val="26"/>
        </w:rPr>
        <w:tab/>
      </w:r>
      <w:r w:rsidRPr="00787A9E">
        <w:rPr>
          <w:sz w:val="26"/>
          <w:szCs w:val="26"/>
        </w:rPr>
        <w:tab/>
      </w:r>
      <w:r w:rsidRPr="00787A9E">
        <w:rPr>
          <w:sz w:val="26"/>
          <w:szCs w:val="26"/>
        </w:rPr>
        <w:tab/>
      </w:r>
      <w:r w:rsidRPr="00787A9E">
        <w:rPr>
          <w:sz w:val="26"/>
          <w:szCs w:val="26"/>
        </w:rPr>
        <w:tab/>
      </w:r>
      <w:r w:rsidRPr="00787A9E">
        <w:rPr>
          <w:sz w:val="26"/>
          <w:szCs w:val="26"/>
        </w:rPr>
        <w:tab/>
      </w:r>
      <w:r w:rsidRPr="00787A9E">
        <w:rPr>
          <w:sz w:val="26"/>
          <w:szCs w:val="26"/>
        </w:rPr>
        <w:tab/>
      </w:r>
      <w:r w:rsidR="00355C2D">
        <w:rPr>
          <w:sz w:val="26"/>
          <w:szCs w:val="26"/>
        </w:rPr>
        <w:tab/>
      </w:r>
      <w:r w:rsidRPr="00787A9E">
        <w:rPr>
          <w:sz w:val="26"/>
          <w:szCs w:val="26"/>
        </w:rPr>
        <w:t xml:space="preserve"> </w:t>
      </w:r>
      <w:r w:rsidR="00BB4032">
        <w:rPr>
          <w:sz w:val="26"/>
          <w:szCs w:val="26"/>
        </w:rPr>
        <w:t xml:space="preserve"> </w:t>
      </w:r>
      <w:r w:rsidRPr="00787A9E">
        <w:rPr>
          <w:sz w:val="26"/>
          <w:szCs w:val="26"/>
        </w:rPr>
        <w:t xml:space="preserve">    C-2018-30024</w:t>
      </w:r>
      <w:r w:rsidR="006047B5" w:rsidRPr="00787A9E">
        <w:rPr>
          <w:sz w:val="26"/>
          <w:szCs w:val="26"/>
        </w:rPr>
        <w:t>59</w:t>
      </w:r>
    </w:p>
    <w:p w14:paraId="2C67FC7A" w14:textId="71E59C32" w:rsidR="00715FEC" w:rsidRPr="00787A9E" w:rsidRDefault="00715FEC" w:rsidP="00FD1A00">
      <w:pPr>
        <w:keepNext/>
        <w:keepLines/>
        <w:autoSpaceDE w:val="0"/>
        <w:autoSpaceDN w:val="0"/>
        <w:spacing w:line="240" w:lineRule="auto"/>
        <w:ind w:right="-14"/>
        <w:contextualSpacing/>
        <w:rPr>
          <w:sz w:val="26"/>
          <w:szCs w:val="26"/>
        </w:rPr>
      </w:pPr>
      <w:r w:rsidRPr="00787A9E">
        <w:rPr>
          <w:sz w:val="26"/>
          <w:szCs w:val="26"/>
        </w:rPr>
        <w:t>David Oster</w:t>
      </w:r>
      <w:r w:rsidRPr="00787A9E">
        <w:rPr>
          <w:sz w:val="26"/>
          <w:szCs w:val="26"/>
        </w:rPr>
        <w:tab/>
      </w:r>
      <w:r w:rsidRPr="00787A9E">
        <w:rPr>
          <w:sz w:val="26"/>
          <w:szCs w:val="26"/>
        </w:rPr>
        <w:tab/>
      </w:r>
      <w:r w:rsidRPr="00787A9E">
        <w:rPr>
          <w:sz w:val="26"/>
          <w:szCs w:val="26"/>
        </w:rPr>
        <w:tab/>
      </w:r>
      <w:r w:rsidRPr="00787A9E">
        <w:rPr>
          <w:sz w:val="26"/>
          <w:szCs w:val="26"/>
        </w:rPr>
        <w:tab/>
      </w:r>
      <w:r w:rsidRPr="00787A9E">
        <w:rPr>
          <w:sz w:val="26"/>
          <w:szCs w:val="26"/>
        </w:rPr>
        <w:tab/>
      </w:r>
      <w:r w:rsidRPr="00787A9E">
        <w:rPr>
          <w:sz w:val="26"/>
          <w:szCs w:val="26"/>
        </w:rPr>
        <w:tab/>
      </w:r>
      <w:r w:rsidRPr="00787A9E">
        <w:rPr>
          <w:sz w:val="26"/>
          <w:szCs w:val="26"/>
        </w:rPr>
        <w:tab/>
      </w:r>
      <w:r w:rsidRPr="00787A9E">
        <w:rPr>
          <w:sz w:val="26"/>
          <w:szCs w:val="26"/>
        </w:rPr>
        <w:tab/>
      </w:r>
      <w:r w:rsidR="00355C2D">
        <w:rPr>
          <w:sz w:val="26"/>
          <w:szCs w:val="26"/>
        </w:rPr>
        <w:tab/>
      </w:r>
      <w:r w:rsidRPr="00787A9E">
        <w:rPr>
          <w:sz w:val="26"/>
          <w:szCs w:val="26"/>
        </w:rPr>
        <w:t xml:space="preserve">      C-2018-3002</w:t>
      </w:r>
      <w:r w:rsidR="006047B5" w:rsidRPr="00787A9E">
        <w:rPr>
          <w:sz w:val="26"/>
          <w:szCs w:val="26"/>
        </w:rPr>
        <w:t>475</w:t>
      </w:r>
    </w:p>
    <w:p w14:paraId="2C4D8C38" w14:textId="0EE524CC" w:rsidR="00715FEC" w:rsidRPr="00787A9E" w:rsidRDefault="00715FEC" w:rsidP="00FD1A00">
      <w:pPr>
        <w:keepNext/>
        <w:keepLines/>
        <w:autoSpaceDE w:val="0"/>
        <w:autoSpaceDN w:val="0"/>
        <w:spacing w:line="240" w:lineRule="auto"/>
        <w:ind w:right="-14"/>
        <w:contextualSpacing/>
        <w:rPr>
          <w:sz w:val="26"/>
          <w:szCs w:val="26"/>
        </w:rPr>
      </w:pPr>
      <w:r w:rsidRPr="00787A9E">
        <w:rPr>
          <w:sz w:val="26"/>
          <w:szCs w:val="26"/>
        </w:rPr>
        <w:t>Toni Gorenc</w:t>
      </w:r>
      <w:r w:rsidRPr="00787A9E">
        <w:rPr>
          <w:sz w:val="26"/>
          <w:szCs w:val="26"/>
        </w:rPr>
        <w:tab/>
      </w:r>
      <w:r w:rsidRPr="00787A9E">
        <w:rPr>
          <w:sz w:val="26"/>
          <w:szCs w:val="26"/>
        </w:rPr>
        <w:tab/>
      </w:r>
      <w:r w:rsidRPr="00787A9E">
        <w:rPr>
          <w:sz w:val="26"/>
          <w:szCs w:val="26"/>
        </w:rPr>
        <w:tab/>
      </w:r>
      <w:r w:rsidRPr="00787A9E">
        <w:rPr>
          <w:sz w:val="26"/>
          <w:szCs w:val="26"/>
        </w:rPr>
        <w:tab/>
      </w:r>
      <w:r w:rsidRPr="00787A9E">
        <w:rPr>
          <w:sz w:val="26"/>
          <w:szCs w:val="26"/>
        </w:rPr>
        <w:tab/>
      </w:r>
      <w:r w:rsidRPr="00787A9E">
        <w:rPr>
          <w:sz w:val="26"/>
          <w:szCs w:val="26"/>
        </w:rPr>
        <w:tab/>
      </w:r>
      <w:r w:rsidRPr="00787A9E">
        <w:rPr>
          <w:sz w:val="26"/>
          <w:szCs w:val="26"/>
        </w:rPr>
        <w:tab/>
      </w:r>
      <w:r w:rsidRPr="00787A9E">
        <w:rPr>
          <w:sz w:val="26"/>
          <w:szCs w:val="26"/>
        </w:rPr>
        <w:tab/>
      </w:r>
      <w:r w:rsidR="00355C2D">
        <w:rPr>
          <w:sz w:val="26"/>
          <w:szCs w:val="26"/>
        </w:rPr>
        <w:tab/>
      </w:r>
      <w:r w:rsidRPr="00787A9E">
        <w:rPr>
          <w:sz w:val="26"/>
          <w:szCs w:val="26"/>
        </w:rPr>
        <w:t xml:space="preserve">      C-2018-300248</w:t>
      </w:r>
      <w:r w:rsidR="006047B5" w:rsidRPr="00787A9E">
        <w:rPr>
          <w:sz w:val="26"/>
          <w:szCs w:val="26"/>
        </w:rPr>
        <w:t>1</w:t>
      </w:r>
    </w:p>
    <w:p w14:paraId="36090727" w14:textId="260815E8" w:rsidR="00715FEC" w:rsidRPr="00787A9E" w:rsidRDefault="00715FEC" w:rsidP="00FD1A00">
      <w:pPr>
        <w:keepNext/>
        <w:keepLines/>
        <w:autoSpaceDE w:val="0"/>
        <w:autoSpaceDN w:val="0"/>
        <w:spacing w:after="120" w:line="240" w:lineRule="auto"/>
        <w:ind w:right="-14"/>
        <w:contextualSpacing/>
        <w:rPr>
          <w:sz w:val="26"/>
          <w:szCs w:val="26"/>
        </w:rPr>
      </w:pPr>
      <w:r w:rsidRPr="00787A9E">
        <w:rPr>
          <w:sz w:val="26"/>
          <w:szCs w:val="26"/>
        </w:rPr>
        <w:t>David Brodland</w:t>
      </w:r>
      <w:r w:rsidRPr="00787A9E">
        <w:rPr>
          <w:sz w:val="26"/>
          <w:szCs w:val="26"/>
        </w:rPr>
        <w:tab/>
      </w:r>
      <w:r w:rsidRPr="00787A9E">
        <w:rPr>
          <w:sz w:val="26"/>
          <w:szCs w:val="26"/>
        </w:rPr>
        <w:tab/>
      </w:r>
      <w:r w:rsidRPr="00787A9E">
        <w:rPr>
          <w:sz w:val="26"/>
          <w:szCs w:val="26"/>
        </w:rPr>
        <w:tab/>
      </w:r>
      <w:r w:rsidRPr="00787A9E">
        <w:rPr>
          <w:sz w:val="26"/>
          <w:szCs w:val="26"/>
        </w:rPr>
        <w:tab/>
      </w:r>
      <w:r w:rsidRPr="00787A9E">
        <w:rPr>
          <w:sz w:val="26"/>
          <w:szCs w:val="26"/>
        </w:rPr>
        <w:tab/>
      </w:r>
      <w:r w:rsidR="00355C2D">
        <w:rPr>
          <w:sz w:val="26"/>
          <w:szCs w:val="26"/>
        </w:rPr>
        <w:tab/>
      </w:r>
      <w:r w:rsidR="00355C2D">
        <w:rPr>
          <w:sz w:val="26"/>
          <w:szCs w:val="26"/>
        </w:rPr>
        <w:tab/>
      </w:r>
      <w:r w:rsidR="00355C2D">
        <w:rPr>
          <w:sz w:val="26"/>
          <w:szCs w:val="26"/>
        </w:rPr>
        <w:tab/>
      </w:r>
      <w:r w:rsidRPr="00787A9E">
        <w:rPr>
          <w:sz w:val="26"/>
          <w:szCs w:val="26"/>
        </w:rPr>
        <w:t xml:space="preserve">      C-2018-300248</w:t>
      </w:r>
      <w:r w:rsidR="006047B5" w:rsidRPr="00787A9E">
        <w:rPr>
          <w:sz w:val="26"/>
          <w:szCs w:val="26"/>
        </w:rPr>
        <w:t>7</w:t>
      </w:r>
    </w:p>
    <w:p w14:paraId="13642F99" w14:textId="19A1FE4C" w:rsidR="00715FEC" w:rsidRPr="00787A9E" w:rsidRDefault="00715FEC" w:rsidP="00FD1A00">
      <w:pPr>
        <w:keepNext/>
        <w:keepLines/>
        <w:autoSpaceDE w:val="0"/>
        <w:autoSpaceDN w:val="0"/>
        <w:spacing w:after="120" w:line="240" w:lineRule="auto"/>
        <w:ind w:right="-14"/>
        <w:contextualSpacing/>
        <w:rPr>
          <w:sz w:val="26"/>
          <w:szCs w:val="26"/>
        </w:rPr>
      </w:pPr>
      <w:r w:rsidRPr="00787A9E">
        <w:rPr>
          <w:sz w:val="26"/>
          <w:szCs w:val="26"/>
        </w:rPr>
        <w:t>Jerome and Barbara Cypher</w:t>
      </w:r>
      <w:r w:rsidRPr="00787A9E">
        <w:rPr>
          <w:sz w:val="26"/>
          <w:szCs w:val="26"/>
        </w:rPr>
        <w:tab/>
      </w:r>
      <w:r w:rsidRPr="00787A9E">
        <w:rPr>
          <w:sz w:val="26"/>
          <w:szCs w:val="26"/>
        </w:rPr>
        <w:tab/>
      </w:r>
      <w:r w:rsidRPr="00787A9E">
        <w:rPr>
          <w:sz w:val="26"/>
          <w:szCs w:val="26"/>
        </w:rPr>
        <w:tab/>
      </w:r>
      <w:r w:rsidRPr="00787A9E">
        <w:rPr>
          <w:sz w:val="26"/>
          <w:szCs w:val="26"/>
        </w:rPr>
        <w:tab/>
      </w:r>
      <w:r w:rsidRPr="00787A9E">
        <w:rPr>
          <w:sz w:val="26"/>
          <w:szCs w:val="26"/>
        </w:rPr>
        <w:tab/>
      </w:r>
      <w:r w:rsidR="00355C2D">
        <w:rPr>
          <w:sz w:val="26"/>
          <w:szCs w:val="26"/>
        </w:rPr>
        <w:tab/>
      </w:r>
      <w:r w:rsidR="00BB4032">
        <w:rPr>
          <w:sz w:val="26"/>
          <w:szCs w:val="26"/>
        </w:rPr>
        <w:t xml:space="preserve"> </w:t>
      </w:r>
      <w:r w:rsidRPr="00787A9E">
        <w:rPr>
          <w:sz w:val="26"/>
          <w:szCs w:val="26"/>
        </w:rPr>
        <w:t xml:space="preserve">     C-2018-30026</w:t>
      </w:r>
      <w:r w:rsidR="00B05F09" w:rsidRPr="00787A9E">
        <w:rPr>
          <w:sz w:val="26"/>
          <w:szCs w:val="26"/>
        </w:rPr>
        <w:t>83</w:t>
      </w:r>
    </w:p>
    <w:p w14:paraId="0582BE8D" w14:textId="4748C99F" w:rsidR="00715FEC" w:rsidRPr="00787A9E" w:rsidRDefault="00715FEC" w:rsidP="00FD1A00">
      <w:pPr>
        <w:keepNext/>
        <w:keepLines/>
        <w:autoSpaceDE w:val="0"/>
        <w:autoSpaceDN w:val="0"/>
        <w:spacing w:line="240" w:lineRule="auto"/>
        <w:contextualSpacing/>
        <w:rPr>
          <w:sz w:val="26"/>
          <w:szCs w:val="26"/>
        </w:rPr>
      </w:pPr>
      <w:r w:rsidRPr="00787A9E">
        <w:rPr>
          <w:sz w:val="26"/>
          <w:szCs w:val="26"/>
        </w:rPr>
        <w:t>Jon and Nina Lewis</w:t>
      </w:r>
      <w:r w:rsidRPr="00787A9E">
        <w:rPr>
          <w:sz w:val="26"/>
          <w:szCs w:val="26"/>
        </w:rPr>
        <w:tab/>
      </w:r>
      <w:r w:rsidRPr="00787A9E">
        <w:rPr>
          <w:sz w:val="26"/>
          <w:szCs w:val="26"/>
        </w:rPr>
        <w:tab/>
      </w:r>
      <w:r w:rsidRPr="00787A9E">
        <w:rPr>
          <w:sz w:val="26"/>
          <w:szCs w:val="26"/>
        </w:rPr>
        <w:tab/>
      </w:r>
      <w:r w:rsidRPr="00787A9E">
        <w:rPr>
          <w:sz w:val="26"/>
          <w:szCs w:val="26"/>
        </w:rPr>
        <w:tab/>
      </w:r>
      <w:r w:rsidRPr="00787A9E">
        <w:rPr>
          <w:sz w:val="26"/>
          <w:szCs w:val="26"/>
        </w:rPr>
        <w:tab/>
      </w:r>
      <w:r w:rsidR="00355C2D">
        <w:rPr>
          <w:sz w:val="26"/>
          <w:szCs w:val="26"/>
        </w:rPr>
        <w:tab/>
      </w:r>
      <w:r w:rsidR="00355C2D">
        <w:rPr>
          <w:sz w:val="26"/>
          <w:szCs w:val="26"/>
        </w:rPr>
        <w:tab/>
      </w:r>
      <w:r w:rsidR="00355C2D">
        <w:rPr>
          <w:sz w:val="26"/>
          <w:szCs w:val="26"/>
        </w:rPr>
        <w:tab/>
      </w:r>
      <w:r w:rsidRPr="00787A9E">
        <w:rPr>
          <w:sz w:val="26"/>
          <w:szCs w:val="26"/>
        </w:rPr>
        <w:t xml:space="preserve">     C-2018-3002</w:t>
      </w:r>
      <w:r w:rsidR="00B05F09" w:rsidRPr="00787A9E">
        <w:rPr>
          <w:sz w:val="26"/>
          <w:szCs w:val="26"/>
        </w:rPr>
        <w:t>698</w:t>
      </w:r>
    </w:p>
    <w:p w14:paraId="03D4E305" w14:textId="7097B986" w:rsidR="00715FEC" w:rsidRPr="00787A9E" w:rsidRDefault="00715FEC" w:rsidP="00FD1A00">
      <w:pPr>
        <w:keepNext/>
        <w:keepLines/>
        <w:autoSpaceDE w:val="0"/>
        <w:autoSpaceDN w:val="0"/>
        <w:spacing w:line="240" w:lineRule="auto"/>
        <w:contextualSpacing/>
        <w:rPr>
          <w:sz w:val="26"/>
          <w:szCs w:val="26"/>
        </w:rPr>
      </w:pPr>
      <w:r w:rsidRPr="00787A9E">
        <w:rPr>
          <w:sz w:val="26"/>
          <w:szCs w:val="26"/>
        </w:rPr>
        <w:t>Robert J. Kollar</w:t>
      </w:r>
      <w:r w:rsidRPr="00787A9E">
        <w:rPr>
          <w:sz w:val="26"/>
          <w:szCs w:val="26"/>
        </w:rPr>
        <w:tab/>
      </w:r>
      <w:r w:rsidRPr="00787A9E">
        <w:rPr>
          <w:sz w:val="26"/>
          <w:szCs w:val="26"/>
        </w:rPr>
        <w:tab/>
      </w:r>
      <w:r w:rsidRPr="00787A9E">
        <w:rPr>
          <w:sz w:val="26"/>
          <w:szCs w:val="26"/>
        </w:rPr>
        <w:tab/>
      </w:r>
      <w:r w:rsidRPr="00787A9E">
        <w:rPr>
          <w:sz w:val="26"/>
          <w:szCs w:val="26"/>
        </w:rPr>
        <w:tab/>
      </w:r>
      <w:r w:rsidRPr="00787A9E">
        <w:rPr>
          <w:sz w:val="26"/>
          <w:szCs w:val="26"/>
        </w:rPr>
        <w:tab/>
      </w:r>
      <w:r w:rsidRPr="00787A9E">
        <w:rPr>
          <w:sz w:val="26"/>
          <w:szCs w:val="26"/>
        </w:rPr>
        <w:tab/>
      </w:r>
      <w:r w:rsidR="00BB4032">
        <w:rPr>
          <w:sz w:val="26"/>
          <w:szCs w:val="26"/>
        </w:rPr>
        <w:tab/>
      </w:r>
      <w:r w:rsidR="00BB4032">
        <w:rPr>
          <w:sz w:val="26"/>
          <w:szCs w:val="26"/>
        </w:rPr>
        <w:tab/>
      </w:r>
      <w:r w:rsidRPr="00787A9E">
        <w:rPr>
          <w:sz w:val="26"/>
          <w:szCs w:val="26"/>
        </w:rPr>
        <w:t xml:space="preserve">     C-2018-300337</w:t>
      </w:r>
      <w:r w:rsidR="00B05F09" w:rsidRPr="00787A9E">
        <w:rPr>
          <w:sz w:val="26"/>
          <w:szCs w:val="26"/>
        </w:rPr>
        <w:t>2</w:t>
      </w:r>
    </w:p>
    <w:p w14:paraId="1915E859" w14:textId="73F0E37D" w:rsidR="003F001F" w:rsidRPr="00787A9E" w:rsidRDefault="00715FEC" w:rsidP="00FD1A00">
      <w:pPr>
        <w:keepNext/>
        <w:keepLines/>
        <w:autoSpaceDE w:val="0"/>
        <w:autoSpaceDN w:val="0"/>
        <w:spacing w:after="120" w:line="240" w:lineRule="auto"/>
        <w:contextualSpacing/>
        <w:rPr>
          <w:sz w:val="26"/>
          <w:szCs w:val="26"/>
        </w:rPr>
      </w:pPr>
      <w:r w:rsidRPr="00787A9E">
        <w:rPr>
          <w:sz w:val="26"/>
          <w:szCs w:val="26"/>
        </w:rPr>
        <w:t>Hidden Valley Foundation, Inc.</w:t>
      </w:r>
      <w:r w:rsidRPr="00787A9E">
        <w:rPr>
          <w:sz w:val="26"/>
          <w:szCs w:val="26"/>
        </w:rPr>
        <w:tab/>
      </w:r>
      <w:r w:rsidRPr="00787A9E">
        <w:rPr>
          <w:sz w:val="26"/>
          <w:szCs w:val="26"/>
        </w:rPr>
        <w:tab/>
      </w:r>
      <w:r w:rsidRPr="00787A9E">
        <w:rPr>
          <w:sz w:val="26"/>
          <w:szCs w:val="26"/>
        </w:rPr>
        <w:tab/>
      </w:r>
      <w:r w:rsidRPr="00787A9E">
        <w:rPr>
          <w:sz w:val="26"/>
          <w:szCs w:val="26"/>
        </w:rPr>
        <w:tab/>
      </w:r>
      <w:r w:rsidRPr="00787A9E">
        <w:rPr>
          <w:sz w:val="26"/>
          <w:szCs w:val="26"/>
        </w:rPr>
        <w:tab/>
      </w:r>
      <w:r w:rsidR="00BB4032">
        <w:rPr>
          <w:sz w:val="26"/>
          <w:szCs w:val="26"/>
        </w:rPr>
        <w:tab/>
      </w:r>
      <w:r w:rsidRPr="00787A9E">
        <w:rPr>
          <w:sz w:val="26"/>
          <w:szCs w:val="26"/>
        </w:rPr>
        <w:t xml:space="preserve">     C-2018-300352</w:t>
      </w:r>
      <w:r w:rsidR="00B05F09" w:rsidRPr="00787A9E">
        <w:rPr>
          <w:sz w:val="26"/>
          <w:szCs w:val="26"/>
        </w:rPr>
        <w:t>9</w:t>
      </w:r>
    </w:p>
    <w:p w14:paraId="787F5447" w14:textId="77777777" w:rsidR="00E05523" w:rsidRPr="00787A9E" w:rsidRDefault="00F60E41" w:rsidP="00FD1A00">
      <w:pPr>
        <w:keepNext/>
        <w:keepLines/>
        <w:autoSpaceDE w:val="0"/>
        <w:autoSpaceDN w:val="0"/>
        <w:spacing w:after="120" w:line="240" w:lineRule="auto"/>
        <w:ind w:right="-14"/>
        <w:contextualSpacing/>
        <w:rPr>
          <w:sz w:val="26"/>
          <w:szCs w:val="26"/>
        </w:rPr>
      </w:pPr>
      <w:r w:rsidRPr="00787A9E">
        <w:rPr>
          <w:sz w:val="26"/>
          <w:szCs w:val="26"/>
        </w:rPr>
        <w:tab/>
      </w:r>
      <w:r w:rsidRPr="00787A9E">
        <w:rPr>
          <w:sz w:val="26"/>
          <w:szCs w:val="26"/>
        </w:rPr>
        <w:tab/>
      </w:r>
      <w:r w:rsidR="00E05523" w:rsidRPr="00787A9E">
        <w:rPr>
          <w:sz w:val="26"/>
          <w:szCs w:val="26"/>
        </w:rPr>
        <w:t>v.</w:t>
      </w:r>
    </w:p>
    <w:p w14:paraId="47D11F9A" w14:textId="77777777" w:rsidR="00B05F09" w:rsidRPr="00787A9E" w:rsidRDefault="00B05F09" w:rsidP="00FD1A00">
      <w:pPr>
        <w:keepNext/>
        <w:keepLines/>
        <w:autoSpaceDE w:val="0"/>
        <w:autoSpaceDN w:val="0"/>
        <w:spacing w:after="120" w:line="240" w:lineRule="auto"/>
        <w:ind w:right="-14"/>
        <w:contextualSpacing/>
        <w:rPr>
          <w:sz w:val="26"/>
          <w:szCs w:val="26"/>
        </w:rPr>
      </w:pPr>
      <w:r w:rsidRPr="00787A9E">
        <w:rPr>
          <w:sz w:val="26"/>
          <w:szCs w:val="26"/>
        </w:rPr>
        <w:t>Hidden Valley Utility Services, L.P. – Wastewater</w:t>
      </w:r>
    </w:p>
    <w:p w14:paraId="3CB641DE" w14:textId="77777777" w:rsidR="003F001F" w:rsidRPr="00787A9E" w:rsidRDefault="003F001F" w:rsidP="00FD1A00">
      <w:pPr>
        <w:autoSpaceDE w:val="0"/>
        <w:autoSpaceDN w:val="0"/>
        <w:spacing w:after="120" w:line="240" w:lineRule="auto"/>
        <w:ind w:right="-14"/>
        <w:contextualSpacing/>
        <w:rPr>
          <w:sz w:val="26"/>
          <w:szCs w:val="26"/>
        </w:rPr>
      </w:pPr>
    </w:p>
    <w:p w14:paraId="3709C335" w14:textId="04C210DC" w:rsidR="00A96FB4" w:rsidRDefault="00A96FB4" w:rsidP="00FD1A00">
      <w:pPr>
        <w:autoSpaceDE w:val="0"/>
        <w:autoSpaceDN w:val="0"/>
        <w:spacing w:after="120" w:line="240" w:lineRule="auto"/>
        <w:ind w:right="-14"/>
        <w:contextualSpacing/>
        <w:rPr>
          <w:sz w:val="26"/>
          <w:szCs w:val="26"/>
        </w:rPr>
      </w:pPr>
    </w:p>
    <w:p w14:paraId="240D83A4" w14:textId="357FFB80" w:rsidR="00BB4032" w:rsidRDefault="00BB4032" w:rsidP="00FD1A00">
      <w:pPr>
        <w:autoSpaceDE w:val="0"/>
        <w:autoSpaceDN w:val="0"/>
        <w:spacing w:after="120" w:line="240" w:lineRule="auto"/>
        <w:ind w:right="-14"/>
        <w:contextualSpacing/>
        <w:rPr>
          <w:sz w:val="26"/>
          <w:szCs w:val="26"/>
        </w:rPr>
      </w:pPr>
    </w:p>
    <w:p w14:paraId="09E03DF0" w14:textId="7AB4CAE5" w:rsidR="00BB4032" w:rsidRDefault="00BB4032" w:rsidP="00FD1A00">
      <w:pPr>
        <w:autoSpaceDE w:val="0"/>
        <w:autoSpaceDN w:val="0"/>
        <w:spacing w:after="120" w:line="240" w:lineRule="auto"/>
        <w:ind w:right="-14"/>
        <w:contextualSpacing/>
        <w:rPr>
          <w:sz w:val="26"/>
          <w:szCs w:val="26"/>
        </w:rPr>
      </w:pPr>
    </w:p>
    <w:p w14:paraId="04D8A191" w14:textId="05BADA39" w:rsidR="00BB4032" w:rsidRDefault="00BB4032" w:rsidP="00FD1A00">
      <w:pPr>
        <w:autoSpaceDE w:val="0"/>
        <w:autoSpaceDN w:val="0"/>
        <w:spacing w:after="120" w:line="240" w:lineRule="auto"/>
        <w:ind w:right="-14"/>
        <w:contextualSpacing/>
        <w:rPr>
          <w:sz w:val="26"/>
          <w:szCs w:val="26"/>
        </w:rPr>
      </w:pPr>
    </w:p>
    <w:p w14:paraId="6C526611" w14:textId="30227E35" w:rsidR="00BB4032" w:rsidRDefault="00BB4032" w:rsidP="00FD1A00">
      <w:pPr>
        <w:autoSpaceDE w:val="0"/>
        <w:autoSpaceDN w:val="0"/>
        <w:spacing w:after="120" w:line="240" w:lineRule="auto"/>
        <w:ind w:right="-14"/>
        <w:contextualSpacing/>
        <w:rPr>
          <w:sz w:val="26"/>
          <w:szCs w:val="26"/>
        </w:rPr>
      </w:pPr>
    </w:p>
    <w:p w14:paraId="36507D9D" w14:textId="48EFB904" w:rsidR="00BB4032" w:rsidRDefault="00BB4032" w:rsidP="00FD1A00">
      <w:pPr>
        <w:autoSpaceDE w:val="0"/>
        <w:autoSpaceDN w:val="0"/>
        <w:spacing w:after="120" w:line="240" w:lineRule="auto"/>
        <w:ind w:right="-14"/>
        <w:contextualSpacing/>
        <w:rPr>
          <w:sz w:val="26"/>
          <w:szCs w:val="26"/>
        </w:rPr>
      </w:pPr>
    </w:p>
    <w:p w14:paraId="2F99A526" w14:textId="77777777" w:rsidR="00BB4032" w:rsidRPr="00787A9E" w:rsidRDefault="00BB4032" w:rsidP="00FD1A00">
      <w:pPr>
        <w:autoSpaceDE w:val="0"/>
        <w:autoSpaceDN w:val="0"/>
        <w:spacing w:after="120" w:line="240" w:lineRule="auto"/>
        <w:ind w:right="-14"/>
        <w:contextualSpacing/>
        <w:rPr>
          <w:sz w:val="26"/>
          <w:szCs w:val="26"/>
        </w:rPr>
      </w:pPr>
    </w:p>
    <w:p w14:paraId="0C928EC4" w14:textId="77777777" w:rsidR="00A96FB4" w:rsidRPr="00787A9E" w:rsidRDefault="009E5583" w:rsidP="00FD1A00">
      <w:pPr>
        <w:contextualSpacing/>
        <w:jc w:val="center"/>
        <w:rPr>
          <w:b/>
          <w:sz w:val="26"/>
          <w:szCs w:val="26"/>
        </w:rPr>
        <w:sectPr w:rsidR="00A96FB4" w:rsidRPr="00787A9E" w:rsidSect="00C209FC">
          <w:footerReference w:type="default" r:id="rId8"/>
          <w:pgSz w:w="12240" w:h="15840"/>
          <w:pgMar w:top="1440" w:right="1440" w:bottom="1440" w:left="1440" w:header="720" w:footer="720" w:gutter="0"/>
          <w:cols w:space="720"/>
          <w:titlePg/>
          <w:docGrid w:linePitch="360"/>
        </w:sectPr>
      </w:pPr>
      <w:r w:rsidRPr="00787A9E">
        <w:rPr>
          <w:b/>
          <w:sz w:val="26"/>
          <w:szCs w:val="26"/>
        </w:rPr>
        <w:t>OPINION AND ORDER</w:t>
      </w:r>
    </w:p>
    <w:p w14:paraId="6D7BA5C1" w14:textId="77777777" w:rsidR="009E5583" w:rsidRPr="00787A9E" w:rsidRDefault="009E5583" w:rsidP="00FD1A00">
      <w:pPr>
        <w:pStyle w:val="BodyTextIndent"/>
        <w:keepNext/>
        <w:spacing w:after="0"/>
        <w:ind w:left="0"/>
        <w:contextualSpacing/>
        <w:rPr>
          <w:b/>
          <w:sz w:val="26"/>
          <w:szCs w:val="26"/>
        </w:rPr>
      </w:pPr>
      <w:r w:rsidRPr="00787A9E">
        <w:rPr>
          <w:b/>
          <w:sz w:val="26"/>
          <w:szCs w:val="26"/>
        </w:rPr>
        <w:lastRenderedPageBreak/>
        <w:t>BY THE COMMISSION:</w:t>
      </w:r>
    </w:p>
    <w:p w14:paraId="3B92D1ED" w14:textId="77777777" w:rsidR="003F001F" w:rsidRPr="00787A9E" w:rsidRDefault="003F001F" w:rsidP="00FD1A00">
      <w:pPr>
        <w:pStyle w:val="BodyTextIndent"/>
        <w:keepNext/>
        <w:spacing w:after="0"/>
        <w:ind w:left="0"/>
        <w:contextualSpacing/>
        <w:rPr>
          <w:b/>
          <w:sz w:val="26"/>
          <w:szCs w:val="26"/>
        </w:rPr>
      </w:pPr>
    </w:p>
    <w:p w14:paraId="0A8C51D5" w14:textId="77777777" w:rsidR="003F001F" w:rsidRPr="00787A9E" w:rsidRDefault="003F001F" w:rsidP="00FD1A00">
      <w:pPr>
        <w:pStyle w:val="Heading1"/>
        <w:contextualSpacing/>
      </w:pPr>
      <w:bookmarkStart w:id="1" w:name="_Toc471747989"/>
      <w:bookmarkStart w:id="2" w:name="_Toc471748127"/>
      <w:r w:rsidRPr="00787A9E">
        <w:t>I.</w:t>
      </w:r>
      <w:r w:rsidRPr="00787A9E">
        <w:tab/>
        <w:t>Matter Before the Commission</w:t>
      </w:r>
      <w:bookmarkEnd w:id="1"/>
      <w:bookmarkEnd w:id="2"/>
    </w:p>
    <w:p w14:paraId="442C1EF6" w14:textId="77777777" w:rsidR="003F001F" w:rsidRPr="00787A9E" w:rsidRDefault="003F001F" w:rsidP="00FD1A00">
      <w:pPr>
        <w:pStyle w:val="BodyTextIndent"/>
        <w:keepNext/>
        <w:spacing w:after="0"/>
        <w:ind w:left="0"/>
        <w:contextualSpacing/>
        <w:rPr>
          <w:b/>
          <w:sz w:val="26"/>
          <w:szCs w:val="26"/>
        </w:rPr>
      </w:pPr>
    </w:p>
    <w:p w14:paraId="6BACA140" w14:textId="0A56DB56" w:rsidR="002C548B" w:rsidRPr="00787A9E" w:rsidRDefault="009E5583" w:rsidP="00FD1A00">
      <w:pPr>
        <w:pStyle w:val="BodyTextIndent"/>
        <w:spacing w:after="0"/>
        <w:ind w:left="0" w:firstLine="1440"/>
        <w:contextualSpacing/>
        <w:rPr>
          <w:b/>
          <w:sz w:val="26"/>
          <w:szCs w:val="26"/>
        </w:rPr>
      </w:pPr>
      <w:r w:rsidRPr="00787A9E">
        <w:rPr>
          <w:sz w:val="26"/>
          <w:szCs w:val="26"/>
        </w:rPr>
        <w:t>Before the Pennsylvania Public Utility Commission (Commission) for consideration and disposition are the Exceptions of</w:t>
      </w:r>
      <w:r w:rsidR="00753896" w:rsidRPr="00787A9E">
        <w:rPr>
          <w:sz w:val="26"/>
          <w:szCs w:val="26"/>
        </w:rPr>
        <w:t xml:space="preserve"> </w:t>
      </w:r>
      <w:r w:rsidR="00F50595" w:rsidRPr="00787A9E">
        <w:rPr>
          <w:sz w:val="26"/>
          <w:szCs w:val="26"/>
        </w:rPr>
        <w:t>Hidden Valley Utility Services, L.P.</w:t>
      </w:r>
      <w:r w:rsidR="0006508F">
        <w:rPr>
          <w:sz w:val="26"/>
          <w:szCs w:val="26"/>
        </w:rPr>
        <w:t> </w:t>
      </w:r>
      <w:r w:rsidR="00F50595" w:rsidRPr="00787A9E">
        <w:rPr>
          <w:sz w:val="26"/>
          <w:szCs w:val="26"/>
        </w:rPr>
        <w:t>–</w:t>
      </w:r>
      <w:r w:rsidR="0006508F">
        <w:rPr>
          <w:sz w:val="26"/>
          <w:szCs w:val="26"/>
        </w:rPr>
        <w:t> </w:t>
      </w:r>
      <w:r w:rsidR="00F50595" w:rsidRPr="00787A9E">
        <w:rPr>
          <w:sz w:val="26"/>
          <w:szCs w:val="26"/>
        </w:rPr>
        <w:t xml:space="preserve">Water and Hidden Valley Utility Services, L.P. – Wastewater (collectively, HVUS or Company), </w:t>
      </w:r>
      <w:r w:rsidR="00066819" w:rsidRPr="00787A9E">
        <w:rPr>
          <w:sz w:val="26"/>
          <w:szCs w:val="26"/>
        </w:rPr>
        <w:t xml:space="preserve">the </w:t>
      </w:r>
      <w:r w:rsidR="005F2BDC" w:rsidRPr="00787A9E">
        <w:rPr>
          <w:sz w:val="26"/>
          <w:szCs w:val="26"/>
        </w:rPr>
        <w:t>Commission</w:t>
      </w:r>
      <w:r w:rsidR="00A424DB">
        <w:rPr>
          <w:sz w:val="26"/>
          <w:szCs w:val="26"/>
        </w:rPr>
        <w:t>’</w:t>
      </w:r>
      <w:r w:rsidR="005F2BDC" w:rsidRPr="00787A9E">
        <w:rPr>
          <w:sz w:val="26"/>
          <w:szCs w:val="26"/>
        </w:rPr>
        <w:t xml:space="preserve">s Bureau of Investigation and Enforcement (I&amp;E), the </w:t>
      </w:r>
      <w:r w:rsidR="00066819" w:rsidRPr="00787A9E">
        <w:rPr>
          <w:sz w:val="26"/>
          <w:szCs w:val="26"/>
        </w:rPr>
        <w:t>Office of Consumer Advocate (OCA)</w:t>
      </w:r>
      <w:r w:rsidR="005F2BDC" w:rsidRPr="00787A9E">
        <w:rPr>
          <w:sz w:val="26"/>
          <w:szCs w:val="26"/>
        </w:rPr>
        <w:t>, an Intervenor, Robert Kollar</w:t>
      </w:r>
      <w:r w:rsidR="0082567E" w:rsidRPr="00787A9E">
        <w:rPr>
          <w:sz w:val="26"/>
          <w:szCs w:val="26"/>
        </w:rPr>
        <w:t xml:space="preserve"> (Mr. Kollar)</w:t>
      </w:r>
      <w:r w:rsidR="005F2BDC" w:rsidRPr="00787A9E">
        <w:rPr>
          <w:sz w:val="26"/>
          <w:szCs w:val="26"/>
        </w:rPr>
        <w:t xml:space="preserve">, </w:t>
      </w:r>
      <w:r w:rsidRPr="00787A9E">
        <w:rPr>
          <w:sz w:val="26"/>
          <w:szCs w:val="26"/>
        </w:rPr>
        <w:t>filed</w:t>
      </w:r>
      <w:r w:rsidR="00693818" w:rsidRPr="00787A9E">
        <w:rPr>
          <w:sz w:val="26"/>
          <w:szCs w:val="26"/>
        </w:rPr>
        <w:t xml:space="preserve"> on </w:t>
      </w:r>
      <w:r w:rsidR="005F2BDC" w:rsidRPr="00787A9E">
        <w:rPr>
          <w:sz w:val="26"/>
          <w:szCs w:val="26"/>
        </w:rPr>
        <w:t>February 4</w:t>
      </w:r>
      <w:r w:rsidRPr="00787A9E">
        <w:rPr>
          <w:sz w:val="26"/>
          <w:szCs w:val="26"/>
        </w:rPr>
        <w:t>, 201</w:t>
      </w:r>
      <w:r w:rsidR="005F2BDC" w:rsidRPr="00787A9E">
        <w:rPr>
          <w:sz w:val="26"/>
          <w:szCs w:val="26"/>
        </w:rPr>
        <w:t>9</w:t>
      </w:r>
      <w:r w:rsidRPr="00787A9E">
        <w:rPr>
          <w:sz w:val="26"/>
          <w:szCs w:val="26"/>
        </w:rPr>
        <w:t xml:space="preserve">, </w:t>
      </w:r>
      <w:r w:rsidR="005F2BDC" w:rsidRPr="00787A9E">
        <w:rPr>
          <w:sz w:val="26"/>
          <w:szCs w:val="26"/>
        </w:rPr>
        <w:t>and the Exceptions of Hidden Valley Foundation (Foundation)</w:t>
      </w:r>
      <w:r w:rsidR="0006508F">
        <w:rPr>
          <w:sz w:val="26"/>
          <w:szCs w:val="26"/>
        </w:rPr>
        <w:t>,</w:t>
      </w:r>
      <w:r w:rsidR="005C241C">
        <w:rPr>
          <w:rStyle w:val="FootnoteReference"/>
          <w:sz w:val="26"/>
          <w:szCs w:val="26"/>
        </w:rPr>
        <w:footnoteReference w:id="2"/>
      </w:r>
      <w:r w:rsidR="005F2BDC" w:rsidRPr="00787A9E">
        <w:rPr>
          <w:sz w:val="26"/>
          <w:szCs w:val="26"/>
        </w:rPr>
        <w:t xml:space="preserve"> filed on February </w:t>
      </w:r>
      <w:r w:rsidR="00FB3605" w:rsidRPr="00787A9E">
        <w:rPr>
          <w:sz w:val="26"/>
          <w:szCs w:val="26"/>
        </w:rPr>
        <w:t>5</w:t>
      </w:r>
      <w:r w:rsidR="005F2BDC" w:rsidRPr="00787A9E">
        <w:rPr>
          <w:sz w:val="26"/>
          <w:szCs w:val="26"/>
        </w:rPr>
        <w:t xml:space="preserve">, 2019, </w:t>
      </w:r>
      <w:r w:rsidRPr="00787A9E">
        <w:rPr>
          <w:sz w:val="26"/>
          <w:szCs w:val="26"/>
        </w:rPr>
        <w:t>to the Recommended Decision (R.D.) of Administrative Law Judge</w:t>
      </w:r>
      <w:r w:rsidR="005F2BDC" w:rsidRPr="00787A9E">
        <w:rPr>
          <w:sz w:val="26"/>
          <w:szCs w:val="26"/>
        </w:rPr>
        <w:t>s</w:t>
      </w:r>
      <w:r w:rsidR="00000DE2" w:rsidRPr="00787A9E">
        <w:rPr>
          <w:sz w:val="26"/>
          <w:szCs w:val="26"/>
        </w:rPr>
        <w:t xml:space="preserve"> </w:t>
      </w:r>
      <w:r w:rsidRPr="00787A9E">
        <w:rPr>
          <w:sz w:val="26"/>
          <w:szCs w:val="26"/>
        </w:rPr>
        <w:t>(ALJ</w:t>
      </w:r>
      <w:r w:rsidR="005F2BDC" w:rsidRPr="00787A9E">
        <w:rPr>
          <w:sz w:val="26"/>
          <w:szCs w:val="26"/>
        </w:rPr>
        <w:t>s</w:t>
      </w:r>
      <w:r w:rsidR="00693818" w:rsidRPr="00787A9E">
        <w:rPr>
          <w:sz w:val="26"/>
          <w:szCs w:val="26"/>
        </w:rPr>
        <w:t>) Mar</w:t>
      </w:r>
      <w:r w:rsidR="005F2BDC" w:rsidRPr="00787A9E">
        <w:rPr>
          <w:sz w:val="26"/>
          <w:szCs w:val="26"/>
        </w:rPr>
        <w:t>k A. Hoyer and Katrina L. Dunderdale</w:t>
      </w:r>
      <w:r w:rsidR="00693818" w:rsidRPr="00787A9E">
        <w:rPr>
          <w:sz w:val="26"/>
          <w:szCs w:val="26"/>
        </w:rPr>
        <w:t>, issued</w:t>
      </w:r>
      <w:r w:rsidR="005F2BDC" w:rsidRPr="00787A9E">
        <w:rPr>
          <w:sz w:val="26"/>
          <w:szCs w:val="26"/>
        </w:rPr>
        <w:t xml:space="preserve"> January 25</w:t>
      </w:r>
      <w:r w:rsidRPr="00787A9E">
        <w:rPr>
          <w:sz w:val="26"/>
          <w:szCs w:val="26"/>
        </w:rPr>
        <w:t>, 201</w:t>
      </w:r>
      <w:r w:rsidR="005F2BDC" w:rsidRPr="00787A9E">
        <w:rPr>
          <w:sz w:val="26"/>
          <w:szCs w:val="26"/>
        </w:rPr>
        <w:t>9</w:t>
      </w:r>
      <w:r w:rsidR="00000DE2" w:rsidRPr="00787A9E">
        <w:rPr>
          <w:sz w:val="26"/>
          <w:szCs w:val="26"/>
        </w:rPr>
        <w:t xml:space="preserve">, </w:t>
      </w:r>
      <w:r w:rsidRPr="00787A9E">
        <w:rPr>
          <w:sz w:val="26"/>
          <w:szCs w:val="26"/>
        </w:rPr>
        <w:t xml:space="preserve">relative to the above-captioned </w:t>
      </w:r>
      <w:r w:rsidR="00066819" w:rsidRPr="00787A9E">
        <w:rPr>
          <w:sz w:val="26"/>
          <w:szCs w:val="26"/>
        </w:rPr>
        <w:t>proceeding</w:t>
      </w:r>
      <w:r w:rsidR="000C7C19" w:rsidRPr="00787A9E">
        <w:rPr>
          <w:sz w:val="26"/>
          <w:szCs w:val="26"/>
        </w:rPr>
        <w:t>s</w:t>
      </w:r>
      <w:r w:rsidRPr="00787A9E">
        <w:rPr>
          <w:sz w:val="26"/>
          <w:szCs w:val="26"/>
        </w:rPr>
        <w:t xml:space="preserve">. </w:t>
      </w:r>
      <w:r w:rsidR="005165D6" w:rsidRPr="00787A9E">
        <w:rPr>
          <w:sz w:val="26"/>
          <w:szCs w:val="26"/>
        </w:rPr>
        <w:t xml:space="preserve"> Repl</w:t>
      </w:r>
      <w:r w:rsidR="00693818" w:rsidRPr="00787A9E">
        <w:rPr>
          <w:sz w:val="26"/>
          <w:szCs w:val="26"/>
        </w:rPr>
        <w:t xml:space="preserve">ies to Exceptions were filed </w:t>
      </w:r>
      <w:r w:rsidR="002C19F6" w:rsidRPr="00787A9E">
        <w:rPr>
          <w:sz w:val="26"/>
          <w:szCs w:val="26"/>
        </w:rPr>
        <w:t>on</w:t>
      </w:r>
      <w:r w:rsidR="005E07FC" w:rsidRPr="00787A9E">
        <w:rPr>
          <w:sz w:val="26"/>
          <w:szCs w:val="26"/>
        </w:rPr>
        <w:t xml:space="preserve"> February 8</w:t>
      </w:r>
      <w:r w:rsidR="002C19F6" w:rsidRPr="00787A9E">
        <w:rPr>
          <w:sz w:val="26"/>
          <w:szCs w:val="26"/>
        </w:rPr>
        <w:t>, 201</w:t>
      </w:r>
      <w:r w:rsidR="005E07FC" w:rsidRPr="00787A9E">
        <w:rPr>
          <w:sz w:val="26"/>
          <w:szCs w:val="26"/>
        </w:rPr>
        <w:t>9</w:t>
      </w:r>
      <w:r w:rsidR="002C19F6" w:rsidRPr="00787A9E">
        <w:rPr>
          <w:sz w:val="26"/>
          <w:szCs w:val="26"/>
        </w:rPr>
        <w:t xml:space="preserve">, </w:t>
      </w:r>
      <w:r w:rsidR="00693818" w:rsidRPr="00787A9E">
        <w:rPr>
          <w:sz w:val="26"/>
          <w:szCs w:val="26"/>
        </w:rPr>
        <w:t xml:space="preserve">by </w:t>
      </w:r>
      <w:r w:rsidR="005E07FC" w:rsidRPr="00787A9E">
        <w:rPr>
          <w:sz w:val="26"/>
          <w:szCs w:val="26"/>
        </w:rPr>
        <w:t>HVUS, I&amp;E, the OCA, and the Foundation</w:t>
      </w:r>
      <w:r w:rsidR="005165D6" w:rsidRPr="00787A9E">
        <w:rPr>
          <w:sz w:val="26"/>
          <w:szCs w:val="26"/>
        </w:rPr>
        <w:t>.</w:t>
      </w:r>
      <w:r w:rsidR="0012405A" w:rsidRPr="00787A9E">
        <w:rPr>
          <w:sz w:val="26"/>
          <w:szCs w:val="26"/>
        </w:rPr>
        <w:t xml:space="preserve">  </w:t>
      </w:r>
      <w:r w:rsidR="006F02C2" w:rsidRPr="00787A9E">
        <w:rPr>
          <w:sz w:val="26"/>
          <w:szCs w:val="26"/>
        </w:rPr>
        <w:t>Also before the Commission</w:t>
      </w:r>
      <w:r w:rsidR="005E07FC" w:rsidRPr="00787A9E">
        <w:rPr>
          <w:sz w:val="26"/>
          <w:szCs w:val="26"/>
        </w:rPr>
        <w:t xml:space="preserve"> is a</w:t>
      </w:r>
      <w:r w:rsidR="0012405A" w:rsidRPr="00787A9E">
        <w:rPr>
          <w:sz w:val="26"/>
          <w:szCs w:val="26"/>
        </w:rPr>
        <w:t xml:space="preserve"> Joint</w:t>
      </w:r>
      <w:r w:rsidR="00693F31" w:rsidRPr="00787A9E">
        <w:rPr>
          <w:sz w:val="26"/>
          <w:szCs w:val="26"/>
        </w:rPr>
        <w:t xml:space="preserve"> Petition for </w:t>
      </w:r>
      <w:r w:rsidR="005E07FC" w:rsidRPr="00787A9E">
        <w:rPr>
          <w:sz w:val="26"/>
          <w:szCs w:val="26"/>
        </w:rPr>
        <w:t xml:space="preserve">approval of a Non-Unanimous </w:t>
      </w:r>
      <w:r w:rsidR="00775D09" w:rsidRPr="00787A9E">
        <w:rPr>
          <w:sz w:val="26"/>
          <w:szCs w:val="26"/>
        </w:rPr>
        <w:t>Settlement</w:t>
      </w:r>
      <w:r w:rsidR="005C3519" w:rsidRPr="00787A9E">
        <w:rPr>
          <w:sz w:val="26"/>
          <w:szCs w:val="26"/>
        </w:rPr>
        <w:t xml:space="preserve"> (</w:t>
      </w:r>
      <w:r w:rsidR="0051428E" w:rsidRPr="00787A9E">
        <w:rPr>
          <w:sz w:val="26"/>
          <w:szCs w:val="26"/>
        </w:rPr>
        <w:t>Non-Unanimous Settlement</w:t>
      </w:r>
      <w:r w:rsidR="00C97B75" w:rsidRPr="00787A9E">
        <w:rPr>
          <w:sz w:val="26"/>
          <w:szCs w:val="26"/>
        </w:rPr>
        <w:t xml:space="preserve"> or Settlement</w:t>
      </w:r>
      <w:r w:rsidR="005C3519" w:rsidRPr="00787A9E">
        <w:rPr>
          <w:sz w:val="26"/>
          <w:szCs w:val="26"/>
        </w:rPr>
        <w:t>)</w:t>
      </w:r>
      <w:r w:rsidR="00851E13" w:rsidRPr="00787A9E">
        <w:rPr>
          <w:sz w:val="26"/>
          <w:szCs w:val="26"/>
        </w:rPr>
        <w:t xml:space="preserve"> filed</w:t>
      </w:r>
      <w:r w:rsidR="005C3519" w:rsidRPr="00787A9E">
        <w:rPr>
          <w:sz w:val="26"/>
          <w:szCs w:val="26"/>
        </w:rPr>
        <w:t xml:space="preserve"> </w:t>
      </w:r>
      <w:r w:rsidR="00B124A2" w:rsidRPr="00787A9E">
        <w:rPr>
          <w:sz w:val="26"/>
          <w:szCs w:val="26"/>
        </w:rPr>
        <w:t xml:space="preserve">by HVUS and I&amp;E (Joint Petitioners) </w:t>
      </w:r>
      <w:r w:rsidR="005C3519" w:rsidRPr="00787A9E">
        <w:rPr>
          <w:sz w:val="26"/>
          <w:szCs w:val="26"/>
        </w:rPr>
        <w:t>on</w:t>
      </w:r>
      <w:r w:rsidR="002B1704" w:rsidRPr="00787A9E">
        <w:rPr>
          <w:sz w:val="26"/>
          <w:szCs w:val="26"/>
        </w:rPr>
        <w:t xml:space="preserve"> November 19, 2018</w:t>
      </w:r>
      <w:r w:rsidR="00775D09" w:rsidRPr="00787A9E">
        <w:rPr>
          <w:b/>
          <w:sz w:val="26"/>
          <w:szCs w:val="26"/>
        </w:rPr>
        <w:t>.</w:t>
      </w:r>
    </w:p>
    <w:p w14:paraId="58B304F1" w14:textId="77777777" w:rsidR="00A8184A" w:rsidRPr="00787A9E" w:rsidRDefault="00A8184A" w:rsidP="00FD1A00">
      <w:pPr>
        <w:pStyle w:val="BodyTextIndent"/>
        <w:spacing w:after="0"/>
        <w:ind w:left="0" w:firstLine="1440"/>
        <w:contextualSpacing/>
        <w:rPr>
          <w:sz w:val="26"/>
          <w:szCs w:val="26"/>
        </w:rPr>
      </w:pPr>
    </w:p>
    <w:p w14:paraId="66D17295" w14:textId="66E26FD3" w:rsidR="00A8184A" w:rsidRPr="00787A9E" w:rsidRDefault="00A8184A" w:rsidP="00FD1A00">
      <w:pPr>
        <w:pStyle w:val="BodyTextIndent"/>
        <w:spacing w:after="0"/>
        <w:ind w:left="0" w:firstLine="1440"/>
        <w:contextualSpacing/>
        <w:rPr>
          <w:sz w:val="26"/>
          <w:szCs w:val="26"/>
        </w:rPr>
      </w:pPr>
      <w:r w:rsidRPr="00787A9E">
        <w:rPr>
          <w:sz w:val="26"/>
          <w:szCs w:val="26"/>
        </w:rPr>
        <w:t xml:space="preserve">For the reasons stated, </w:t>
      </w:r>
      <w:r w:rsidRPr="00787A9E">
        <w:rPr>
          <w:i/>
          <w:sz w:val="26"/>
          <w:szCs w:val="26"/>
        </w:rPr>
        <w:t>infra</w:t>
      </w:r>
      <w:r w:rsidRPr="00787A9E">
        <w:rPr>
          <w:sz w:val="26"/>
          <w:szCs w:val="26"/>
        </w:rPr>
        <w:t xml:space="preserve">, we shall </w:t>
      </w:r>
      <w:r w:rsidR="000655FC" w:rsidRPr="00787A9E">
        <w:rPr>
          <w:sz w:val="26"/>
          <w:szCs w:val="26"/>
        </w:rPr>
        <w:t>deny the Exceptions filed by HVUS, the OCA, I&amp;E, the Foundation, and Mr. Kollar, adopt the Recommended Decision, and approve the Joint Petition for approval of a Non-Unanimous Settlement, with modification.</w:t>
      </w:r>
    </w:p>
    <w:p w14:paraId="0C25A097" w14:textId="77777777" w:rsidR="0035790B" w:rsidRPr="00787A9E" w:rsidRDefault="0035790B" w:rsidP="00FD1A00">
      <w:pPr>
        <w:pStyle w:val="BodyTextIndent"/>
        <w:spacing w:after="0"/>
        <w:ind w:left="0" w:firstLine="1440"/>
        <w:contextualSpacing/>
        <w:rPr>
          <w:sz w:val="26"/>
          <w:szCs w:val="26"/>
        </w:rPr>
      </w:pPr>
    </w:p>
    <w:p w14:paraId="64348804" w14:textId="5540ADA2" w:rsidR="00A8184A" w:rsidRDefault="00A8184A" w:rsidP="00FD1A00">
      <w:pPr>
        <w:pStyle w:val="BodyTextIndent"/>
        <w:spacing w:after="0"/>
        <w:ind w:left="0" w:firstLine="1440"/>
        <w:contextualSpacing/>
        <w:rPr>
          <w:sz w:val="26"/>
          <w:szCs w:val="26"/>
        </w:rPr>
      </w:pPr>
      <w:r w:rsidRPr="00787A9E">
        <w:rPr>
          <w:sz w:val="26"/>
          <w:szCs w:val="26"/>
        </w:rPr>
        <w:lastRenderedPageBreak/>
        <w:t>As discussed below, HVUS originally proposed a rate base change that would have increased its annual water revenues by $150,629, or 107.2% over present rates; and annual wastewater revenues by $185,432, or 63.1% over present rates</w:t>
      </w:r>
      <w:r w:rsidR="006D3E94" w:rsidRPr="00787A9E">
        <w:rPr>
          <w:sz w:val="26"/>
          <w:szCs w:val="26"/>
        </w:rPr>
        <w:t>, based on a historical test year (HTY) ending December 31, 2017</w:t>
      </w:r>
      <w:r w:rsidRPr="00787A9E">
        <w:rPr>
          <w:sz w:val="26"/>
          <w:szCs w:val="26"/>
        </w:rPr>
        <w:t xml:space="preserve">.  In this Opinion and Order, we shall approve an annual water revenue increase of </w:t>
      </w:r>
      <w:r w:rsidR="00323817" w:rsidRPr="00787A9E">
        <w:rPr>
          <w:sz w:val="26"/>
          <w:szCs w:val="26"/>
        </w:rPr>
        <w:t>$65,557</w:t>
      </w:r>
      <w:r w:rsidRPr="00787A9E">
        <w:rPr>
          <w:sz w:val="26"/>
          <w:szCs w:val="26"/>
        </w:rPr>
        <w:t xml:space="preserve">, or </w:t>
      </w:r>
      <w:r w:rsidR="00323817" w:rsidRPr="00787A9E">
        <w:rPr>
          <w:sz w:val="26"/>
          <w:szCs w:val="26"/>
        </w:rPr>
        <w:t>46.6</w:t>
      </w:r>
      <w:r w:rsidRPr="00787A9E">
        <w:rPr>
          <w:sz w:val="26"/>
          <w:szCs w:val="26"/>
        </w:rPr>
        <w:t xml:space="preserve">%, and an annual wastewater revenue increase of </w:t>
      </w:r>
      <w:r w:rsidR="00323817" w:rsidRPr="00787A9E">
        <w:rPr>
          <w:sz w:val="26"/>
          <w:szCs w:val="26"/>
        </w:rPr>
        <w:t>$82,227</w:t>
      </w:r>
      <w:r w:rsidRPr="00787A9E">
        <w:rPr>
          <w:sz w:val="26"/>
          <w:szCs w:val="26"/>
        </w:rPr>
        <w:t xml:space="preserve">, or </w:t>
      </w:r>
      <w:r w:rsidR="00323817" w:rsidRPr="00787A9E">
        <w:rPr>
          <w:sz w:val="26"/>
          <w:szCs w:val="26"/>
        </w:rPr>
        <w:t>28.0</w:t>
      </w:r>
      <w:r w:rsidRPr="00787A9E">
        <w:rPr>
          <w:sz w:val="26"/>
          <w:szCs w:val="26"/>
        </w:rPr>
        <w:t>%</w:t>
      </w:r>
      <w:r w:rsidR="005F2B7B">
        <w:rPr>
          <w:sz w:val="26"/>
          <w:szCs w:val="26"/>
        </w:rPr>
        <w:t>,</w:t>
      </w:r>
      <w:r w:rsidR="00933FC8" w:rsidRPr="00787A9E">
        <w:rPr>
          <w:sz w:val="26"/>
          <w:szCs w:val="26"/>
        </w:rPr>
        <w:t xml:space="preserve"> based on the</w:t>
      </w:r>
      <w:r w:rsidR="00D1492F" w:rsidRPr="00787A9E">
        <w:rPr>
          <w:sz w:val="26"/>
          <w:szCs w:val="26"/>
        </w:rPr>
        <w:t xml:space="preserve"> Non-Unanimous Settlement, as modified</w:t>
      </w:r>
      <w:r w:rsidRPr="00787A9E">
        <w:rPr>
          <w:sz w:val="26"/>
          <w:szCs w:val="26"/>
        </w:rPr>
        <w:t>.</w:t>
      </w:r>
    </w:p>
    <w:p w14:paraId="2D51F2CC" w14:textId="77777777" w:rsidR="005859BA" w:rsidRPr="00787A9E" w:rsidRDefault="005859BA" w:rsidP="00FD1A00">
      <w:pPr>
        <w:pStyle w:val="BodyTextIndent"/>
        <w:spacing w:after="0"/>
        <w:ind w:left="0" w:firstLine="1440"/>
        <w:contextualSpacing/>
        <w:rPr>
          <w:sz w:val="26"/>
          <w:szCs w:val="26"/>
        </w:rPr>
      </w:pPr>
    </w:p>
    <w:p w14:paraId="606AE799" w14:textId="77500E47" w:rsidR="009E5583" w:rsidRPr="00787A9E" w:rsidRDefault="003F001F" w:rsidP="00FD1A00">
      <w:pPr>
        <w:pStyle w:val="Heading1"/>
        <w:keepNext/>
        <w:keepLines/>
        <w:contextualSpacing/>
        <w:rPr>
          <w:b w:val="0"/>
        </w:rPr>
      </w:pPr>
      <w:bookmarkStart w:id="3" w:name="_Toc385423060"/>
      <w:bookmarkStart w:id="4" w:name="_Toc471747990"/>
      <w:bookmarkStart w:id="5" w:name="_Toc471748128"/>
      <w:r w:rsidRPr="00787A9E">
        <w:t>II.</w:t>
      </w:r>
      <w:r w:rsidRPr="00787A9E">
        <w:tab/>
      </w:r>
      <w:r w:rsidR="009E5583" w:rsidRPr="00787A9E">
        <w:t>History of the Proceeding</w:t>
      </w:r>
      <w:bookmarkEnd w:id="3"/>
      <w:bookmarkEnd w:id="4"/>
      <w:bookmarkEnd w:id="5"/>
    </w:p>
    <w:p w14:paraId="0043D3D8" w14:textId="77777777" w:rsidR="00693818" w:rsidRPr="00787A9E" w:rsidRDefault="00693818" w:rsidP="00FD1A00">
      <w:pPr>
        <w:keepNext/>
        <w:keepLines/>
        <w:tabs>
          <w:tab w:val="left" w:pos="4680"/>
        </w:tabs>
        <w:ind w:firstLine="1440"/>
        <w:contextualSpacing/>
        <w:rPr>
          <w:sz w:val="26"/>
          <w:szCs w:val="26"/>
        </w:rPr>
      </w:pPr>
    </w:p>
    <w:p w14:paraId="4522B13A" w14:textId="63B568B6" w:rsidR="00FF074A" w:rsidRPr="00787A9E" w:rsidRDefault="003B41DA" w:rsidP="00FD1A00">
      <w:pPr>
        <w:ind w:firstLine="1440"/>
        <w:contextualSpacing/>
        <w:rPr>
          <w:sz w:val="26"/>
          <w:szCs w:val="26"/>
        </w:rPr>
      </w:pPr>
      <w:r w:rsidRPr="00787A9E">
        <w:rPr>
          <w:color w:val="000000"/>
          <w:sz w:val="26"/>
          <w:szCs w:val="26"/>
        </w:rPr>
        <w:t xml:space="preserve">On April 27, 2018, HVUS filed Supplement No. 1 to Tariff Water </w:t>
      </w:r>
      <w:r w:rsidR="00677383">
        <w:rPr>
          <w:sz w:val="26"/>
          <w:szCs w:val="26"/>
        </w:rPr>
        <w:t>–</w:t>
      </w:r>
      <w:r w:rsidRPr="00787A9E">
        <w:rPr>
          <w:sz w:val="26"/>
          <w:szCs w:val="26"/>
        </w:rPr>
        <w:t xml:space="preserve"> Pa. P.U.C. No. 1 (Water Supplement No. 1)</w:t>
      </w:r>
      <w:r w:rsidR="000C2118" w:rsidRPr="00787A9E">
        <w:rPr>
          <w:sz w:val="26"/>
          <w:szCs w:val="26"/>
        </w:rPr>
        <w:t xml:space="preserve"> </w:t>
      </w:r>
      <w:r w:rsidR="0091208F" w:rsidRPr="00787A9E">
        <w:rPr>
          <w:color w:val="000000"/>
          <w:sz w:val="26"/>
          <w:szCs w:val="26"/>
        </w:rPr>
        <w:t>at Docket No. R-2018-3001306</w:t>
      </w:r>
      <w:r w:rsidR="0091208F" w:rsidRPr="00787A9E">
        <w:rPr>
          <w:sz w:val="26"/>
          <w:szCs w:val="26"/>
        </w:rPr>
        <w:t xml:space="preserve">, </w:t>
      </w:r>
      <w:r w:rsidRPr="00787A9E">
        <w:rPr>
          <w:sz w:val="26"/>
          <w:szCs w:val="26"/>
        </w:rPr>
        <w:t xml:space="preserve">proposing an increase in rates designed to produce an additional $150,629, or </w:t>
      </w:r>
      <w:r w:rsidR="00677383">
        <w:rPr>
          <w:sz w:val="26"/>
          <w:szCs w:val="26"/>
        </w:rPr>
        <w:t xml:space="preserve">a </w:t>
      </w:r>
      <w:r w:rsidRPr="00787A9E">
        <w:rPr>
          <w:sz w:val="26"/>
          <w:szCs w:val="26"/>
        </w:rPr>
        <w:t>107.2%</w:t>
      </w:r>
      <w:r w:rsidR="00677383">
        <w:rPr>
          <w:sz w:val="26"/>
          <w:szCs w:val="26"/>
        </w:rPr>
        <w:t xml:space="preserve"> increase</w:t>
      </w:r>
      <w:r w:rsidRPr="00787A9E">
        <w:rPr>
          <w:sz w:val="26"/>
          <w:szCs w:val="26"/>
        </w:rPr>
        <w:t xml:space="preserve">, in total annual operating revenues.  </w:t>
      </w:r>
      <w:r w:rsidR="000C2118" w:rsidRPr="00787A9E">
        <w:rPr>
          <w:sz w:val="26"/>
          <w:szCs w:val="26"/>
        </w:rPr>
        <w:t xml:space="preserve">Approval of </w:t>
      </w:r>
      <w:r w:rsidR="00FF074A" w:rsidRPr="00787A9E">
        <w:rPr>
          <w:sz w:val="26"/>
          <w:szCs w:val="26"/>
        </w:rPr>
        <w:t>Water Supplement No. 1</w:t>
      </w:r>
      <w:r w:rsidR="000C2118" w:rsidRPr="00787A9E">
        <w:rPr>
          <w:sz w:val="26"/>
          <w:szCs w:val="26"/>
        </w:rPr>
        <w:t xml:space="preserve"> would result in</w:t>
      </w:r>
      <w:r w:rsidR="00FF074A" w:rsidRPr="00787A9E">
        <w:rPr>
          <w:sz w:val="26"/>
          <w:szCs w:val="26"/>
        </w:rPr>
        <w:t xml:space="preserve"> </w:t>
      </w:r>
      <w:r w:rsidR="000C2118" w:rsidRPr="00787A9E">
        <w:rPr>
          <w:sz w:val="26"/>
          <w:szCs w:val="26"/>
        </w:rPr>
        <w:t xml:space="preserve">an increase of </w:t>
      </w:r>
      <w:r w:rsidR="00FF074A" w:rsidRPr="00787A9E">
        <w:rPr>
          <w:sz w:val="26"/>
          <w:szCs w:val="26"/>
        </w:rPr>
        <w:t>the average water bill for a residential customer using 2,100 gallons per quarter within the Company</w:t>
      </w:r>
      <w:r w:rsidR="00A424DB">
        <w:rPr>
          <w:sz w:val="26"/>
          <w:szCs w:val="26"/>
        </w:rPr>
        <w:t>’</w:t>
      </w:r>
      <w:r w:rsidR="00FF074A" w:rsidRPr="00787A9E">
        <w:rPr>
          <w:sz w:val="26"/>
          <w:szCs w:val="26"/>
        </w:rPr>
        <w:t>s service territory</w:t>
      </w:r>
      <w:r w:rsidR="000C2118" w:rsidRPr="00787A9E">
        <w:rPr>
          <w:sz w:val="26"/>
          <w:szCs w:val="26"/>
        </w:rPr>
        <w:t xml:space="preserve"> </w:t>
      </w:r>
      <w:r w:rsidR="00FF074A" w:rsidRPr="00787A9E">
        <w:rPr>
          <w:sz w:val="26"/>
          <w:szCs w:val="26"/>
        </w:rPr>
        <w:t xml:space="preserve">from $26.64 to $54.72 per quarter, or </w:t>
      </w:r>
      <w:r w:rsidR="0093065F" w:rsidRPr="00787A9E">
        <w:rPr>
          <w:sz w:val="26"/>
          <w:szCs w:val="26"/>
        </w:rPr>
        <w:t xml:space="preserve">an increase of </w:t>
      </w:r>
      <w:r w:rsidR="00FF074A" w:rsidRPr="00787A9E">
        <w:rPr>
          <w:sz w:val="26"/>
          <w:szCs w:val="26"/>
        </w:rPr>
        <w:t>105.4%.  The average water bill for a commercial customer using 16,000 gallons would increase from $123.52 to $238.20 per quarter, or</w:t>
      </w:r>
      <w:r w:rsidR="0093065F" w:rsidRPr="00787A9E">
        <w:rPr>
          <w:sz w:val="26"/>
          <w:szCs w:val="26"/>
        </w:rPr>
        <w:t xml:space="preserve"> an increase of </w:t>
      </w:r>
      <w:r w:rsidR="00FF074A" w:rsidRPr="00787A9E">
        <w:rPr>
          <w:sz w:val="26"/>
          <w:szCs w:val="26"/>
        </w:rPr>
        <w:t>92.8%.</w:t>
      </w:r>
    </w:p>
    <w:p w14:paraId="5EF5DAE8" w14:textId="77777777" w:rsidR="00FF074A" w:rsidRPr="00787A9E" w:rsidRDefault="00FF074A" w:rsidP="00FD1A00">
      <w:pPr>
        <w:ind w:firstLine="1440"/>
        <w:contextualSpacing/>
        <w:rPr>
          <w:sz w:val="26"/>
          <w:szCs w:val="26"/>
        </w:rPr>
      </w:pPr>
    </w:p>
    <w:p w14:paraId="18DBE088" w14:textId="3E9DBC45" w:rsidR="003B41DA" w:rsidRPr="00787A9E" w:rsidRDefault="003B41DA" w:rsidP="00FD1A00">
      <w:pPr>
        <w:ind w:firstLine="1440"/>
        <w:contextualSpacing/>
        <w:rPr>
          <w:sz w:val="26"/>
          <w:szCs w:val="26"/>
        </w:rPr>
      </w:pPr>
      <w:r w:rsidRPr="00787A9E">
        <w:rPr>
          <w:sz w:val="26"/>
          <w:szCs w:val="26"/>
        </w:rPr>
        <w:t xml:space="preserve">Also, on </w:t>
      </w:r>
      <w:r w:rsidRPr="00787A9E">
        <w:rPr>
          <w:color w:val="000000"/>
          <w:sz w:val="26"/>
          <w:szCs w:val="26"/>
        </w:rPr>
        <w:t>April 27, 2018, HVUS</w:t>
      </w:r>
      <w:r w:rsidR="001D2628" w:rsidRPr="00787A9E">
        <w:rPr>
          <w:color w:val="000000"/>
          <w:sz w:val="26"/>
          <w:szCs w:val="26"/>
        </w:rPr>
        <w:t xml:space="preserve"> </w:t>
      </w:r>
      <w:r w:rsidRPr="00787A9E">
        <w:rPr>
          <w:color w:val="000000"/>
          <w:sz w:val="26"/>
          <w:szCs w:val="26"/>
        </w:rPr>
        <w:t>filed Supplement No. 1 to Tariff Wa</w:t>
      </w:r>
      <w:r w:rsidR="00C95B96" w:rsidRPr="00787A9E">
        <w:rPr>
          <w:color w:val="000000"/>
          <w:sz w:val="26"/>
          <w:szCs w:val="26"/>
        </w:rPr>
        <w:t>stewa</w:t>
      </w:r>
      <w:r w:rsidRPr="00787A9E">
        <w:rPr>
          <w:color w:val="000000"/>
          <w:sz w:val="26"/>
          <w:szCs w:val="26"/>
        </w:rPr>
        <w:t xml:space="preserve">ter </w:t>
      </w:r>
      <w:r w:rsidR="00714366">
        <w:rPr>
          <w:color w:val="000000"/>
          <w:sz w:val="26"/>
          <w:szCs w:val="26"/>
        </w:rPr>
        <w:t>–</w:t>
      </w:r>
      <w:r w:rsidRPr="00787A9E">
        <w:rPr>
          <w:sz w:val="26"/>
          <w:szCs w:val="26"/>
        </w:rPr>
        <w:t xml:space="preserve"> Pa. P.U.C. No. 1 (Wa</w:t>
      </w:r>
      <w:r w:rsidR="00C95B96" w:rsidRPr="00787A9E">
        <w:rPr>
          <w:sz w:val="26"/>
          <w:szCs w:val="26"/>
        </w:rPr>
        <w:t>stewa</w:t>
      </w:r>
      <w:r w:rsidRPr="00787A9E">
        <w:rPr>
          <w:sz w:val="26"/>
          <w:szCs w:val="26"/>
        </w:rPr>
        <w:t>ter Supplement No. 1)</w:t>
      </w:r>
      <w:r w:rsidR="0091208F" w:rsidRPr="00787A9E">
        <w:rPr>
          <w:sz w:val="26"/>
          <w:szCs w:val="26"/>
        </w:rPr>
        <w:t xml:space="preserve"> </w:t>
      </w:r>
      <w:r w:rsidR="0091208F" w:rsidRPr="00787A9E">
        <w:rPr>
          <w:color w:val="000000"/>
          <w:sz w:val="26"/>
          <w:szCs w:val="26"/>
        </w:rPr>
        <w:t>at Docket No. R</w:t>
      </w:r>
      <w:r w:rsidR="001A054A" w:rsidRPr="00787A9E">
        <w:rPr>
          <w:color w:val="000000"/>
          <w:sz w:val="26"/>
          <w:szCs w:val="26"/>
        </w:rPr>
        <w:noBreakHyphen/>
      </w:r>
      <w:r w:rsidR="0091208F" w:rsidRPr="00787A9E">
        <w:rPr>
          <w:color w:val="000000"/>
          <w:sz w:val="26"/>
          <w:szCs w:val="26"/>
        </w:rPr>
        <w:t>2018</w:t>
      </w:r>
      <w:r w:rsidR="001A054A" w:rsidRPr="00787A9E">
        <w:rPr>
          <w:color w:val="000000"/>
          <w:sz w:val="26"/>
          <w:szCs w:val="26"/>
        </w:rPr>
        <w:noBreakHyphen/>
      </w:r>
      <w:r w:rsidR="0091208F" w:rsidRPr="00787A9E">
        <w:rPr>
          <w:color w:val="000000"/>
          <w:sz w:val="26"/>
          <w:szCs w:val="26"/>
        </w:rPr>
        <w:t>3001307,</w:t>
      </w:r>
      <w:r w:rsidRPr="00787A9E">
        <w:rPr>
          <w:sz w:val="26"/>
          <w:szCs w:val="26"/>
        </w:rPr>
        <w:t xml:space="preserve"> proposing an increase in rates designed to produce an additional $1</w:t>
      </w:r>
      <w:r w:rsidR="00C95B96" w:rsidRPr="00787A9E">
        <w:rPr>
          <w:sz w:val="26"/>
          <w:szCs w:val="26"/>
        </w:rPr>
        <w:t>85</w:t>
      </w:r>
      <w:r w:rsidRPr="00787A9E">
        <w:rPr>
          <w:sz w:val="26"/>
          <w:szCs w:val="26"/>
        </w:rPr>
        <w:t>,</w:t>
      </w:r>
      <w:r w:rsidR="00C95B96" w:rsidRPr="00787A9E">
        <w:rPr>
          <w:sz w:val="26"/>
          <w:szCs w:val="26"/>
        </w:rPr>
        <w:t>432</w:t>
      </w:r>
      <w:r w:rsidRPr="00787A9E">
        <w:rPr>
          <w:sz w:val="26"/>
          <w:szCs w:val="26"/>
        </w:rPr>
        <w:t xml:space="preserve">, or </w:t>
      </w:r>
      <w:r w:rsidR="00C751E1" w:rsidRPr="00787A9E">
        <w:rPr>
          <w:sz w:val="26"/>
          <w:szCs w:val="26"/>
        </w:rPr>
        <w:t xml:space="preserve">an increase of </w:t>
      </w:r>
      <w:r w:rsidR="00C95B96" w:rsidRPr="00787A9E">
        <w:rPr>
          <w:sz w:val="26"/>
          <w:szCs w:val="26"/>
        </w:rPr>
        <w:t>63.1</w:t>
      </w:r>
      <w:r w:rsidRPr="00787A9E">
        <w:rPr>
          <w:sz w:val="26"/>
          <w:szCs w:val="26"/>
        </w:rPr>
        <w:t xml:space="preserve">%, in total annual operating revenues.  </w:t>
      </w:r>
      <w:r w:rsidR="00674C46" w:rsidRPr="00787A9E">
        <w:rPr>
          <w:sz w:val="26"/>
          <w:szCs w:val="26"/>
        </w:rPr>
        <w:t>Approval of</w:t>
      </w:r>
      <w:r w:rsidR="00FF074A" w:rsidRPr="00787A9E">
        <w:rPr>
          <w:sz w:val="26"/>
          <w:szCs w:val="26"/>
        </w:rPr>
        <w:t xml:space="preserve"> Wastewater Supplement No. 1</w:t>
      </w:r>
      <w:r w:rsidR="00674C46" w:rsidRPr="00787A9E">
        <w:rPr>
          <w:sz w:val="26"/>
          <w:szCs w:val="26"/>
        </w:rPr>
        <w:t xml:space="preserve"> would result in an increase in </w:t>
      </w:r>
      <w:r w:rsidR="00FF074A" w:rsidRPr="00787A9E">
        <w:rPr>
          <w:sz w:val="26"/>
          <w:szCs w:val="26"/>
        </w:rPr>
        <w:t>the average wastewater bill for a residential customer using 2,100 gallons per quarter within the Company</w:t>
      </w:r>
      <w:r w:rsidR="00A424DB">
        <w:rPr>
          <w:sz w:val="26"/>
          <w:szCs w:val="26"/>
        </w:rPr>
        <w:t>’</w:t>
      </w:r>
      <w:r w:rsidR="00FF074A" w:rsidRPr="00787A9E">
        <w:rPr>
          <w:sz w:val="26"/>
          <w:szCs w:val="26"/>
        </w:rPr>
        <w:t>s service territory</w:t>
      </w:r>
      <w:r w:rsidR="00674C46" w:rsidRPr="00787A9E">
        <w:rPr>
          <w:sz w:val="26"/>
          <w:szCs w:val="26"/>
        </w:rPr>
        <w:t xml:space="preserve"> </w:t>
      </w:r>
      <w:r w:rsidR="00FF074A" w:rsidRPr="00787A9E">
        <w:rPr>
          <w:sz w:val="26"/>
          <w:szCs w:val="26"/>
        </w:rPr>
        <w:t>from $59.76 to $96.42 per quarter, or</w:t>
      </w:r>
      <w:r w:rsidR="00C751E1" w:rsidRPr="00787A9E">
        <w:rPr>
          <w:sz w:val="26"/>
          <w:szCs w:val="26"/>
        </w:rPr>
        <w:t xml:space="preserve"> an increase of </w:t>
      </w:r>
      <w:r w:rsidR="00FF074A" w:rsidRPr="00787A9E">
        <w:rPr>
          <w:sz w:val="26"/>
          <w:szCs w:val="26"/>
        </w:rPr>
        <w:t xml:space="preserve">61.3%.  The average wastewater bill for a commercial customer using 16,000 gallons would </w:t>
      </w:r>
      <w:r w:rsidR="00674C46" w:rsidRPr="00787A9E">
        <w:rPr>
          <w:sz w:val="26"/>
          <w:szCs w:val="26"/>
        </w:rPr>
        <w:t>also</w:t>
      </w:r>
      <w:r w:rsidR="00FF074A" w:rsidRPr="00787A9E">
        <w:rPr>
          <w:sz w:val="26"/>
          <w:szCs w:val="26"/>
        </w:rPr>
        <w:t xml:space="preserve"> increase from $276.60 to $446.70 per quarter, or</w:t>
      </w:r>
      <w:r w:rsidR="00C751E1" w:rsidRPr="00787A9E">
        <w:rPr>
          <w:sz w:val="26"/>
          <w:szCs w:val="26"/>
        </w:rPr>
        <w:t xml:space="preserve"> an increase of </w:t>
      </w:r>
      <w:r w:rsidR="00FF074A" w:rsidRPr="00787A9E">
        <w:rPr>
          <w:sz w:val="26"/>
          <w:szCs w:val="26"/>
        </w:rPr>
        <w:t xml:space="preserve">61.5%.  </w:t>
      </w:r>
      <w:r w:rsidR="00C95B96" w:rsidRPr="00787A9E">
        <w:rPr>
          <w:sz w:val="26"/>
          <w:szCs w:val="26"/>
        </w:rPr>
        <w:t xml:space="preserve">Both Water Supplement No. 1 </w:t>
      </w:r>
      <w:r w:rsidR="00C95B96" w:rsidRPr="00787A9E">
        <w:rPr>
          <w:sz w:val="26"/>
          <w:szCs w:val="26"/>
        </w:rPr>
        <w:lastRenderedPageBreak/>
        <w:t>and Wa</w:t>
      </w:r>
      <w:r w:rsidR="00674C46" w:rsidRPr="00787A9E">
        <w:rPr>
          <w:sz w:val="26"/>
          <w:szCs w:val="26"/>
        </w:rPr>
        <w:t>stewa</w:t>
      </w:r>
      <w:r w:rsidR="00C95B96" w:rsidRPr="00787A9E">
        <w:rPr>
          <w:sz w:val="26"/>
          <w:szCs w:val="26"/>
        </w:rPr>
        <w:t>ter Supplement No. 1</w:t>
      </w:r>
      <w:r w:rsidR="00BD45DD" w:rsidRPr="00787A9E">
        <w:rPr>
          <w:sz w:val="26"/>
          <w:szCs w:val="26"/>
        </w:rPr>
        <w:t>,</w:t>
      </w:r>
      <w:r w:rsidR="00B155E8" w:rsidRPr="00787A9E">
        <w:rPr>
          <w:sz w:val="26"/>
          <w:szCs w:val="26"/>
        </w:rPr>
        <w:t xml:space="preserve"> which were based on a 2017 historic test year, </w:t>
      </w:r>
      <w:r w:rsidR="00C95B96" w:rsidRPr="00787A9E">
        <w:rPr>
          <w:sz w:val="26"/>
          <w:szCs w:val="26"/>
        </w:rPr>
        <w:t xml:space="preserve">were </w:t>
      </w:r>
      <w:r w:rsidR="00714366">
        <w:rPr>
          <w:sz w:val="26"/>
          <w:szCs w:val="26"/>
        </w:rPr>
        <w:t xml:space="preserve">filed </w:t>
      </w:r>
      <w:r w:rsidR="00C95B96" w:rsidRPr="00787A9E">
        <w:rPr>
          <w:sz w:val="26"/>
          <w:szCs w:val="26"/>
        </w:rPr>
        <w:t>to become effective July 1, 2018.</w:t>
      </w:r>
    </w:p>
    <w:p w14:paraId="46418A9C" w14:textId="77777777" w:rsidR="00456041" w:rsidRPr="00787A9E" w:rsidRDefault="00456041" w:rsidP="00FD1A00">
      <w:pPr>
        <w:ind w:firstLine="1440"/>
        <w:contextualSpacing/>
        <w:rPr>
          <w:sz w:val="26"/>
          <w:szCs w:val="26"/>
        </w:rPr>
      </w:pPr>
    </w:p>
    <w:p w14:paraId="5B6F6E44" w14:textId="42C2E016" w:rsidR="00456041" w:rsidRPr="00787A9E" w:rsidRDefault="00456041" w:rsidP="00FD1A00">
      <w:pPr>
        <w:ind w:firstLine="1440"/>
        <w:contextualSpacing/>
        <w:rPr>
          <w:sz w:val="26"/>
          <w:szCs w:val="26"/>
        </w:rPr>
      </w:pPr>
      <w:r w:rsidRPr="00787A9E">
        <w:rPr>
          <w:sz w:val="26"/>
          <w:szCs w:val="26"/>
        </w:rPr>
        <w:t xml:space="preserve">On May 14, 2018, the OCA filed a Formal Complaint </w:t>
      </w:r>
      <w:r w:rsidR="005C7753">
        <w:rPr>
          <w:sz w:val="26"/>
          <w:szCs w:val="26"/>
        </w:rPr>
        <w:t>(</w:t>
      </w:r>
      <w:r w:rsidRPr="00787A9E">
        <w:rPr>
          <w:sz w:val="26"/>
          <w:szCs w:val="26"/>
        </w:rPr>
        <w:t>Complaint</w:t>
      </w:r>
      <w:r w:rsidR="005C7753">
        <w:rPr>
          <w:sz w:val="26"/>
          <w:szCs w:val="26"/>
        </w:rPr>
        <w:t>)</w:t>
      </w:r>
      <w:r w:rsidRPr="00787A9E">
        <w:rPr>
          <w:sz w:val="26"/>
          <w:szCs w:val="26"/>
        </w:rPr>
        <w:t xml:space="preserve"> </w:t>
      </w:r>
      <w:r w:rsidR="00C751E1" w:rsidRPr="00787A9E">
        <w:rPr>
          <w:sz w:val="26"/>
          <w:szCs w:val="26"/>
        </w:rPr>
        <w:t>against</w:t>
      </w:r>
      <w:r w:rsidR="00A502BD">
        <w:rPr>
          <w:sz w:val="26"/>
          <w:szCs w:val="26"/>
        </w:rPr>
        <w:t xml:space="preserve"> the</w:t>
      </w:r>
      <w:r w:rsidR="00A502BD" w:rsidRPr="00787A9E">
        <w:rPr>
          <w:sz w:val="26"/>
          <w:szCs w:val="26"/>
        </w:rPr>
        <w:t xml:space="preserve"> </w:t>
      </w:r>
      <w:r w:rsidR="00A502BD">
        <w:rPr>
          <w:sz w:val="26"/>
          <w:szCs w:val="26"/>
        </w:rPr>
        <w:t>Company</w:t>
      </w:r>
      <w:r w:rsidR="00A424DB">
        <w:rPr>
          <w:sz w:val="26"/>
          <w:szCs w:val="26"/>
        </w:rPr>
        <w:t>’</w:t>
      </w:r>
      <w:r w:rsidR="00A502BD">
        <w:rPr>
          <w:sz w:val="26"/>
          <w:szCs w:val="26"/>
        </w:rPr>
        <w:t xml:space="preserve">s proposed </w:t>
      </w:r>
      <w:r w:rsidR="00A502BD" w:rsidRPr="00787A9E">
        <w:rPr>
          <w:sz w:val="26"/>
          <w:szCs w:val="26"/>
        </w:rPr>
        <w:t>Water Supplement No. 1, at Docket No. C-2018-3001841</w:t>
      </w:r>
      <w:r w:rsidR="000037F3">
        <w:rPr>
          <w:sz w:val="26"/>
          <w:szCs w:val="26"/>
        </w:rPr>
        <w:t>,</w:t>
      </w:r>
      <w:r w:rsidR="00A502BD">
        <w:rPr>
          <w:sz w:val="26"/>
          <w:szCs w:val="26"/>
        </w:rPr>
        <w:t xml:space="preserve"> and </w:t>
      </w:r>
      <w:r w:rsidR="005C7753">
        <w:rPr>
          <w:sz w:val="26"/>
          <w:szCs w:val="26"/>
        </w:rPr>
        <w:t>the Wast</w:t>
      </w:r>
      <w:r w:rsidR="00C751E1" w:rsidRPr="00787A9E">
        <w:rPr>
          <w:sz w:val="26"/>
          <w:szCs w:val="26"/>
        </w:rPr>
        <w:t>ewater</w:t>
      </w:r>
      <w:r w:rsidRPr="00787A9E">
        <w:rPr>
          <w:sz w:val="26"/>
          <w:szCs w:val="26"/>
        </w:rPr>
        <w:t xml:space="preserve"> Supplement No. 1</w:t>
      </w:r>
      <w:r w:rsidR="00262F29" w:rsidRPr="00787A9E">
        <w:rPr>
          <w:sz w:val="26"/>
          <w:szCs w:val="26"/>
        </w:rPr>
        <w:t>,</w:t>
      </w:r>
      <w:r w:rsidRPr="00787A9E">
        <w:rPr>
          <w:sz w:val="26"/>
          <w:szCs w:val="26"/>
        </w:rPr>
        <w:t xml:space="preserve"> at Docket No. C-2018-3001843.  Several </w:t>
      </w:r>
      <w:r w:rsidRPr="00787A9E">
        <w:rPr>
          <w:i/>
          <w:sz w:val="26"/>
          <w:szCs w:val="26"/>
        </w:rPr>
        <w:t>pro se</w:t>
      </w:r>
      <w:r w:rsidRPr="00787A9E">
        <w:rPr>
          <w:sz w:val="26"/>
          <w:szCs w:val="26"/>
        </w:rPr>
        <w:t xml:space="preserve"> Complainants </w:t>
      </w:r>
      <w:r w:rsidR="00A9535B" w:rsidRPr="00787A9E">
        <w:rPr>
          <w:sz w:val="26"/>
          <w:szCs w:val="26"/>
        </w:rPr>
        <w:t xml:space="preserve">also </w:t>
      </w:r>
      <w:r w:rsidRPr="00787A9E">
        <w:rPr>
          <w:sz w:val="26"/>
          <w:szCs w:val="26"/>
        </w:rPr>
        <w:t xml:space="preserve">filed </w:t>
      </w:r>
      <w:r w:rsidR="00980067">
        <w:rPr>
          <w:sz w:val="26"/>
          <w:szCs w:val="26"/>
        </w:rPr>
        <w:t>C</w:t>
      </w:r>
      <w:r w:rsidRPr="00787A9E">
        <w:rPr>
          <w:sz w:val="26"/>
          <w:szCs w:val="26"/>
        </w:rPr>
        <w:t xml:space="preserve">omplaints against the proposed water </w:t>
      </w:r>
      <w:r w:rsidR="00980067">
        <w:rPr>
          <w:sz w:val="26"/>
          <w:szCs w:val="26"/>
        </w:rPr>
        <w:t xml:space="preserve">and wastewater </w:t>
      </w:r>
      <w:r w:rsidRPr="00787A9E">
        <w:rPr>
          <w:sz w:val="26"/>
          <w:szCs w:val="26"/>
        </w:rPr>
        <w:t>rate increase</w:t>
      </w:r>
      <w:r w:rsidR="00980067">
        <w:rPr>
          <w:sz w:val="26"/>
          <w:szCs w:val="26"/>
        </w:rPr>
        <w:t>s</w:t>
      </w:r>
      <w:r w:rsidRPr="00787A9E">
        <w:rPr>
          <w:sz w:val="26"/>
          <w:szCs w:val="26"/>
        </w:rPr>
        <w:t>.</w:t>
      </w:r>
    </w:p>
    <w:p w14:paraId="5CE6209C" w14:textId="77777777" w:rsidR="001D2628" w:rsidRPr="00787A9E" w:rsidRDefault="001D2628" w:rsidP="00FD1A00">
      <w:pPr>
        <w:ind w:firstLine="1440"/>
        <w:contextualSpacing/>
        <w:rPr>
          <w:sz w:val="26"/>
          <w:szCs w:val="26"/>
        </w:rPr>
      </w:pPr>
    </w:p>
    <w:p w14:paraId="037DEED2" w14:textId="5F858F70" w:rsidR="003B41DA" w:rsidRPr="00787A9E" w:rsidRDefault="00991B9F" w:rsidP="00FD1A00">
      <w:pPr>
        <w:tabs>
          <w:tab w:val="left" w:pos="-720"/>
        </w:tabs>
        <w:suppressAutoHyphens/>
        <w:ind w:firstLine="1440"/>
        <w:contextualSpacing/>
        <w:rPr>
          <w:sz w:val="26"/>
          <w:szCs w:val="26"/>
        </w:rPr>
      </w:pPr>
      <w:r w:rsidRPr="00787A9E">
        <w:rPr>
          <w:sz w:val="26"/>
          <w:szCs w:val="26"/>
        </w:rPr>
        <w:t xml:space="preserve">By order entered May 17, 2018 </w:t>
      </w:r>
      <w:r w:rsidRPr="00787A9E">
        <w:rPr>
          <w:i/>
          <w:sz w:val="26"/>
          <w:szCs w:val="26"/>
        </w:rPr>
        <w:t>(May 2018 Suspension Order)</w:t>
      </w:r>
      <w:r w:rsidRPr="00787A9E">
        <w:rPr>
          <w:sz w:val="26"/>
          <w:szCs w:val="26"/>
        </w:rPr>
        <w:t xml:space="preserve">, </w:t>
      </w:r>
      <w:r w:rsidR="00E06652" w:rsidRPr="00787A9E">
        <w:rPr>
          <w:sz w:val="26"/>
          <w:szCs w:val="26"/>
        </w:rPr>
        <w:t>pursuant to Section 1308(d) of the Public Utility Code (Code), 66 Pa. C.S. § 1308(d),</w:t>
      </w:r>
      <w:r w:rsidR="00E06652">
        <w:rPr>
          <w:sz w:val="26"/>
          <w:szCs w:val="26"/>
        </w:rPr>
        <w:t xml:space="preserve"> </w:t>
      </w:r>
      <w:r w:rsidRPr="00787A9E">
        <w:rPr>
          <w:sz w:val="26"/>
          <w:szCs w:val="26"/>
        </w:rPr>
        <w:t xml:space="preserve">the Commission suspended the filings for investigation to determine the lawfulness, justness and reasonableness of the rates, until February 19, 2019, unless permitted by Commission Order to become effective at an earlier date.  </w:t>
      </w:r>
      <w:r w:rsidR="007F1380" w:rsidRPr="00787A9E">
        <w:rPr>
          <w:sz w:val="26"/>
          <w:szCs w:val="26"/>
        </w:rPr>
        <w:t>HVUS agreed to enter mediation with the Parties in the two base rate cases.  Accordingly, HVUS filed Tariff Supplements at each docket</w:t>
      </w:r>
      <w:r w:rsidR="00DC7DEE" w:rsidRPr="00787A9E">
        <w:rPr>
          <w:sz w:val="26"/>
          <w:szCs w:val="26"/>
        </w:rPr>
        <w:t xml:space="preserve"> </w:t>
      </w:r>
      <w:r w:rsidR="007F1380" w:rsidRPr="00787A9E">
        <w:rPr>
          <w:sz w:val="26"/>
          <w:szCs w:val="26"/>
        </w:rPr>
        <w:t>on May 23, 2018</w:t>
      </w:r>
      <w:r w:rsidR="008D0E8F">
        <w:rPr>
          <w:sz w:val="26"/>
          <w:szCs w:val="26"/>
        </w:rPr>
        <w:t>, t</w:t>
      </w:r>
      <w:r w:rsidR="007F1380" w:rsidRPr="00787A9E">
        <w:rPr>
          <w:sz w:val="26"/>
          <w:szCs w:val="26"/>
        </w:rPr>
        <w:t>o further suspend these matters until April 1, 2019.</w:t>
      </w:r>
    </w:p>
    <w:p w14:paraId="113FA238" w14:textId="77777777" w:rsidR="004457B5" w:rsidRPr="00787A9E" w:rsidRDefault="004457B5" w:rsidP="00FD1A00">
      <w:pPr>
        <w:ind w:firstLine="1440"/>
        <w:contextualSpacing/>
        <w:rPr>
          <w:sz w:val="26"/>
          <w:szCs w:val="26"/>
        </w:rPr>
      </w:pPr>
    </w:p>
    <w:p w14:paraId="513EED19" w14:textId="6F70177F" w:rsidR="0006694B" w:rsidRPr="00787A9E" w:rsidRDefault="0006694B" w:rsidP="00FD1A00">
      <w:pPr>
        <w:ind w:firstLine="1440"/>
        <w:contextualSpacing/>
        <w:rPr>
          <w:sz w:val="26"/>
          <w:szCs w:val="26"/>
        </w:rPr>
      </w:pPr>
      <w:r w:rsidRPr="00787A9E">
        <w:rPr>
          <w:sz w:val="26"/>
          <w:szCs w:val="26"/>
        </w:rPr>
        <w:t xml:space="preserve">On July 27, 2018, two </w:t>
      </w:r>
      <w:r w:rsidR="00465438" w:rsidRPr="00787A9E">
        <w:rPr>
          <w:sz w:val="26"/>
          <w:szCs w:val="26"/>
        </w:rPr>
        <w:t>p</w:t>
      </w:r>
      <w:r w:rsidRPr="00787A9E">
        <w:rPr>
          <w:sz w:val="26"/>
          <w:szCs w:val="26"/>
        </w:rPr>
        <w:t xml:space="preserve">ublic </w:t>
      </w:r>
      <w:r w:rsidR="00465438" w:rsidRPr="00787A9E">
        <w:rPr>
          <w:sz w:val="26"/>
          <w:szCs w:val="26"/>
        </w:rPr>
        <w:t>i</w:t>
      </w:r>
      <w:r w:rsidRPr="00787A9E">
        <w:rPr>
          <w:sz w:val="26"/>
          <w:szCs w:val="26"/>
        </w:rPr>
        <w:t xml:space="preserve">nput </w:t>
      </w:r>
      <w:r w:rsidR="00465438" w:rsidRPr="00787A9E">
        <w:rPr>
          <w:sz w:val="26"/>
          <w:szCs w:val="26"/>
        </w:rPr>
        <w:t>h</w:t>
      </w:r>
      <w:r w:rsidRPr="00787A9E">
        <w:rPr>
          <w:sz w:val="26"/>
          <w:szCs w:val="26"/>
        </w:rPr>
        <w:t>earings were held, as scheduled, at the Hidden Valley Resort</w:t>
      </w:r>
      <w:r w:rsidR="0043347D">
        <w:rPr>
          <w:sz w:val="26"/>
          <w:szCs w:val="26"/>
        </w:rPr>
        <w:t>-</w:t>
      </w:r>
      <w:r w:rsidRPr="00787A9E">
        <w:rPr>
          <w:sz w:val="26"/>
          <w:szCs w:val="26"/>
        </w:rPr>
        <w:t xml:space="preserve">Alpine Room.  A total of </w:t>
      </w:r>
      <w:r w:rsidR="00D45EB1" w:rsidRPr="00787A9E">
        <w:rPr>
          <w:sz w:val="26"/>
          <w:szCs w:val="26"/>
        </w:rPr>
        <w:t>thirty-two</w:t>
      </w:r>
      <w:r w:rsidRPr="00787A9E">
        <w:rPr>
          <w:sz w:val="26"/>
          <w:szCs w:val="26"/>
        </w:rPr>
        <w:t xml:space="preserve"> HVUS customers testified at the </w:t>
      </w:r>
      <w:r w:rsidR="00465438" w:rsidRPr="00787A9E">
        <w:rPr>
          <w:sz w:val="26"/>
          <w:szCs w:val="26"/>
        </w:rPr>
        <w:t>p</w:t>
      </w:r>
      <w:r w:rsidRPr="00787A9E">
        <w:rPr>
          <w:sz w:val="26"/>
          <w:szCs w:val="26"/>
        </w:rPr>
        <w:t xml:space="preserve">ublic </w:t>
      </w:r>
      <w:r w:rsidR="00465438" w:rsidRPr="00787A9E">
        <w:rPr>
          <w:sz w:val="26"/>
          <w:szCs w:val="26"/>
        </w:rPr>
        <w:t>i</w:t>
      </w:r>
      <w:r w:rsidRPr="00787A9E">
        <w:rPr>
          <w:sz w:val="26"/>
          <w:szCs w:val="26"/>
        </w:rPr>
        <w:t xml:space="preserve">nput </w:t>
      </w:r>
      <w:r w:rsidR="00465438" w:rsidRPr="00787A9E">
        <w:rPr>
          <w:sz w:val="26"/>
          <w:szCs w:val="26"/>
        </w:rPr>
        <w:t>h</w:t>
      </w:r>
      <w:r w:rsidRPr="00787A9E">
        <w:rPr>
          <w:sz w:val="26"/>
          <w:szCs w:val="26"/>
        </w:rPr>
        <w:t>earings.</w:t>
      </w:r>
    </w:p>
    <w:p w14:paraId="761ABF1B" w14:textId="77777777" w:rsidR="0030372F" w:rsidRPr="00787A9E" w:rsidRDefault="0030372F" w:rsidP="00FD1A00">
      <w:pPr>
        <w:ind w:firstLine="1440"/>
        <w:contextualSpacing/>
        <w:rPr>
          <w:sz w:val="26"/>
          <w:szCs w:val="26"/>
        </w:rPr>
      </w:pPr>
    </w:p>
    <w:p w14:paraId="7B2265A4" w14:textId="4003ECE3" w:rsidR="00DC56D7" w:rsidRPr="00787A9E" w:rsidRDefault="0030372F" w:rsidP="00FD1A00">
      <w:pPr>
        <w:ind w:firstLine="1440"/>
        <w:contextualSpacing/>
        <w:rPr>
          <w:sz w:val="26"/>
          <w:szCs w:val="26"/>
        </w:rPr>
      </w:pPr>
      <w:r w:rsidRPr="00787A9E">
        <w:rPr>
          <w:sz w:val="26"/>
          <w:szCs w:val="26"/>
        </w:rPr>
        <w:t xml:space="preserve">On November 16, 2018, the ALJs convened an evidentiary hearing.  Counsel for HVUS, I&amp;E and the Foundation were present.  At the evidentiary hearing, </w:t>
      </w:r>
      <w:r w:rsidR="00F43922" w:rsidRPr="00787A9E">
        <w:rPr>
          <w:sz w:val="26"/>
          <w:szCs w:val="26"/>
        </w:rPr>
        <w:t xml:space="preserve">the Parties offered for admission into evidence </w:t>
      </w:r>
      <w:r w:rsidRPr="00787A9E">
        <w:rPr>
          <w:sz w:val="26"/>
          <w:szCs w:val="26"/>
        </w:rPr>
        <w:t>four documents</w:t>
      </w:r>
      <w:r w:rsidR="00F43922" w:rsidRPr="00787A9E">
        <w:rPr>
          <w:sz w:val="26"/>
          <w:szCs w:val="26"/>
        </w:rPr>
        <w:t xml:space="preserve">.  The documents </w:t>
      </w:r>
      <w:r w:rsidRPr="00787A9E">
        <w:rPr>
          <w:sz w:val="26"/>
          <w:szCs w:val="26"/>
        </w:rPr>
        <w:t>were marked as Joint Exhibits 1, 2 and 3 and HVUS Exhibit RMK-Rejoinder 1.  The documents were admitted into the hearing record and the</w:t>
      </w:r>
      <w:r w:rsidR="00F43922" w:rsidRPr="00787A9E">
        <w:rPr>
          <w:sz w:val="26"/>
          <w:szCs w:val="26"/>
        </w:rPr>
        <w:t xml:space="preserve"> ALJs</w:t>
      </w:r>
      <w:r w:rsidRPr="00787A9E">
        <w:rPr>
          <w:sz w:val="26"/>
          <w:szCs w:val="26"/>
        </w:rPr>
        <w:t xml:space="preserve"> asked the Parties to submit the joint documents in writing after the hearing.  Joint Exhibit 1 was</w:t>
      </w:r>
      <w:r w:rsidR="007775D7" w:rsidRPr="00787A9E">
        <w:rPr>
          <w:sz w:val="26"/>
          <w:szCs w:val="26"/>
        </w:rPr>
        <w:t xml:space="preserve"> </w:t>
      </w:r>
      <w:r w:rsidR="002E09E1" w:rsidRPr="00787A9E">
        <w:rPr>
          <w:sz w:val="26"/>
          <w:szCs w:val="26"/>
        </w:rPr>
        <w:t>a Joint Stipulation for the Admission of Evidence</w:t>
      </w:r>
      <w:r w:rsidR="00A0692F" w:rsidRPr="00787A9E">
        <w:rPr>
          <w:sz w:val="26"/>
          <w:szCs w:val="26"/>
        </w:rPr>
        <w:t xml:space="preserve"> </w:t>
      </w:r>
      <w:r w:rsidR="00D931DE" w:rsidRPr="00787A9E">
        <w:rPr>
          <w:sz w:val="26"/>
          <w:szCs w:val="26"/>
        </w:rPr>
        <w:t>(</w:t>
      </w:r>
      <w:r w:rsidRPr="00787A9E">
        <w:rPr>
          <w:sz w:val="26"/>
          <w:szCs w:val="26"/>
        </w:rPr>
        <w:t>Stipulation to Admi</w:t>
      </w:r>
      <w:r w:rsidR="00A0692F" w:rsidRPr="00787A9E">
        <w:rPr>
          <w:sz w:val="26"/>
          <w:szCs w:val="26"/>
        </w:rPr>
        <w:t>t</w:t>
      </w:r>
      <w:r w:rsidR="00D931DE" w:rsidRPr="00787A9E">
        <w:rPr>
          <w:sz w:val="26"/>
          <w:szCs w:val="26"/>
        </w:rPr>
        <w:t>)</w:t>
      </w:r>
      <w:r w:rsidRPr="00787A9E">
        <w:rPr>
          <w:sz w:val="26"/>
          <w:szCs w:val="26"/>
        </w:rPr>
        <w:t>; Joint Exhibit 2 was</w:t>
      </w:r>
      <w:r w:rsidR="003C2F2B" w:rsidRPr="00787A9E">
        <w:rPr>
          <w:sz w:val="26"/>
          <w:szCs w:val="26"/>
        </w:rPr>
        <w:t xml:space="preserve"> the</w:t>
      </w:r>
      <w:r w:rsidR="007775D7" w:rsidRPr="00787A9E">
        <w:rPr>
          <w:sz w:val="26"/>
          <w:szCs w:val="26"/>
        </w:rPr>
        <w:t xml:space="preserve"> </w:t>
      </w:r>
      <w:r w:rsidRPr="00787A9E">
        <w:rPr>
          <w:sz w:val="26"/>
          <w:szCs w:val="26"/>
        </w:rPr>
        <w:t>Non-Unanimous Settlement</w:t>
      </w:r>
      <w:r w:rsidR="007775D7" w:rsidRPr="00787A9E">
        <w:rPr>
          <w:sz w:val="26"/>
          <w:szCs w:val="26"/>
        </w:rPr>
        <w:t xml:space="preserve">; </w:t>
      </w:r>
      <w:r w:rsidRPr="00787A9E">
        <w:rPr>
          <w:sz w:val="26"/>
          <w:szCs w:val="26"/>
        </w:rPr>
        <w:t>and Joint Exhibit 3 was</w:t>
      </w:r>
      <w:r w:rsidR="008867C6" w:rsidRPr="00787A9E">
        <w:rPr>
          <w:sz w:val="26"/>
          <w:szCs w:val="26"/>
        </w:rPr>
        <w:t xml:space="preserve"> </w:t>
      </w:r>
      <w:r w:rsidR="00A0692F" w:rsidRPr="00787A9E">
        <w:rPr>
          <w:sz w:val="26"/>
          <w:szCs w:val="26"/>
        </w:rPr>
        <w:t xml:space="preserve">the </w:t>
      </w:r>
      <w:r w:rsidRPr="00787A9E">
        <w:rPr>
          <w:sz w:val="26"/>
          <w:szCs w:val="26"/>
        </w:rPr>
        <w:t>Joint Stipulation</w:t>
      </w:r>
      <w:r w:rsidR="00D931DE" w:rsidRPr="00787A9E">
        <w:rPr>
          <w:sz w:val="26"/>
          <w:szCs w:val="26"/>
        </w:rPr>
        <w:t xml:space="preserve"> (Joint </w:t>
      </w:r>
      <w:r w:rsidR="00D931DE" w:rsidRPr="00787A9E">
        <w:rPr>
          <w:sz w:val="26"/>
          <w:szCs w:val="26"/>
        </w:rPr>
        <w:lastRenderedPageBreak/>
        <w:t>Stipulation)</w:t>
      </w:r>
      <w:r w:rsidRPr="00787A9E">
        <w:rPr>
          <w:sz w:val="26"/>
          <w:szCs w:val="26"/>
        </w:rPr>
        <w:t>.</w:t>
      </w:r>
      <w:r w:rsidR="005E259E" w:rsidRPr="00787A9E">
        <w:rPr>
          <w:sz w:val="26"/>
          <w:szCs w:val="26"/>
        </w:rPr>
        <w:t xml:space="preserve">  </w:t>
      </w:r>
      <w:r w:rsidR="00DC56D7" w:rsidRPr="00787A9E">
        <w:rPr>
          <w:sz w:val="26"/>
          <w:szCs w:val="26"/>
        </w:rPr>
        <w:t xml:space="preserve">Also, at the evidentiary hearing, the OCA orally requested </w:t>
      </w:r>
      <w:r w:rsidR="003C2F2B" w:rsidRPr="00787A9E">
        <w:rPr>
          <w:sz w:val="26"/>
          <w:szCs w:val="26"/>
        </w:rPr>
        <w:t xml:space="preserve">to be admitted into evidence </w:t>
      </w:r>
      <w:r w:rsidR="00DC56D7" w:rsidRPr="00787A9E">
        <w:rPr>
          <w:sz w:val="26"/>
          <w:szCs w:val="26"/>
        </w:rPr>
        <w:t xml:space="preserve">the evidentiary record in two prior cases.  The two prior cases were </w:t>
      </w:r>
      <w:r w:rsidR="00DC56D7" w:rsidRPr="00787A9E">
        <w:rPr>
          <w:i/>
          <w:sz w:val="26"/>
          <w:szCs w:val="26"/>
        </w:rPr>
        <w:t>Tanya J. McCloskey, Acting Consumer Advocate</w:t>
      </w:r>
      <w:r w:rsidR="007342ED" w:rsidRPr="00787A9E">
        <w:rPr>
          <w:i/>
          <w:sz w:val="26"/>
          <w:szCs w:val="26"/>
        </w:rPr>
        <w:t xml:space="preserve"> v. </w:t>
      </w:r>
      <w:r w:rsidR="00DC56D7" w:rsidRPr="00787A9E">
        <w:rPr>
          <w:i/>
          <w:sz w:val="26"/>
          <w:szCs w:val="26"/>
        </w:rPr>
        <w:t>Hidden Valley Utility Services, LP – Water</w:t>
      </w:r>
      <w:r w:rsidR="007342ED" w:rsidRPr="00787A9E">
        <w:rPr>
          <w:sz w:val="26"/>
          <w:szCs w:val="26"/>
        </w:rPr>
        <w:t xml:space="preserve">, </w:t>
      </w:r>
      <w:r w:rsidR="00DC56D7" w:rsidRPr="00787A9E">
        <w:rPr>
          <w:sz w:val="26"/>
          <w:szCs w:val="26"/>
        </w:rPr>
        <w:t>Docket No. C</w:t>
      </w:r>
      <w:r w:rsidR="00DC56D7" w:rsidRPr="00787A9E">
        <w:rPr>
          <w:sz w:val="26"/>
          <w:szCs w:val="26"/>
        </w:rPr>
        <w:noBreakHyphen/>
        <w:t xml:space="preserve">2014-2447138 and </w:t>
      </w:r>
      <w:r w:rsidR="00DC56D7" w:rsidRPr="00787A9E">
        <w:rPr>
          <w:i/>
          <w:sz w:val="26"/>
          <w:szCs w:val="26"/>
        </w:rPr>
        <w:t>Tanya J. McCloskey, Acting Consumer Advocate</w:t>
      </w:r>
      <w:r w:rsidR="007342ED" w:rsidRPr="00787A9E">
        <w:rPr>
          <w:i/>
          <w:sz w:val="26"/>
          <w:szCs w:val="26"/>
        </w:rPr>
        <w:t xml:space="preserve"> v. </w:t>
      </w:r>
      <w:r w:rsidR="00DC56D7" w:rsidRPr="00787A9E">
        <w:rPr>
          <w:i/>
          <w:sz w:val="26"/>
          <w:szCs w:val="26"/>
        </w:rPr>
        <w:t>Hidden Valley Utility Services, LP – Wastewater</w:t>
      </w:r>
      <w:r w:rsidR="007342ED" w:rsidRPr="00787A9E">
        <w:rPr>
          <w:sz w:val="26"/>
          <w:szCs w:val="26"/>
        </w:rPr>
        <w:t xml:space="preserve">, </w:t>
      </w:r>
      <w:r w:rsidR="00DC56D7" w:rsidRPr="00787A9E">
        <w:rPr>
          <w:sz w:val="26"/>
          <w:szCs w:val="26"/>
        </w:rPr>
        <w:t>Docket No. C-2014-2447169</w:t>
      </w:r>
      <w:r w:rsidR="007342ED" w:rsidRPr="00787A9E">
        <w:rPr>
          <w:sz w:val="26"/>
          <w:szCs w:val="26"/>
        </w:rPr>
        <w:t xml:space="preserve"> </w:t>
      </w:r>
      <w:r w:rsidR="00097A44" w:rsidRPr="00787A9E">
        <w:rPr>
          <w:sz w:val="26"/>
          <w:szCs w:val="26"/>
        </w:rPr>
        <w:t>(</w:t>
      </w:r>
      <w:r w:rsidR="007342ED" w:rsidRPr="00787A9E">
        <w:rPr>
          <w:sz w:val="26"/>
          <w:szCs w:val="26"/>
        </w:rPr>
        <w:t>Order entered January 1</w:t>
      </w:r>
      <w:r w:rsidR="003C19F0" w:rsidRPr="00787A9E">
        <w:rPr>
          <w:sz w:val="26"/>
          <w:szCs w:val="26"/>
        </w:rPr>
        <w:t>8</w:t>
      </w:r>
      <w:r w:rsidR="007342ED" w:rsidRPr="00787A9E">
        <w:rPr>
          <w:sz w:val="26"/>
          <w:szCs w:val="26"/>
        </w:rPr>
        <w:t>, 2018</w:t>
      </w:r>
      <w:r w:rsidR="00097A44" w:rsidRPr="00787A9E">
        <w:rPr>
          <w:sz w:val="26"/>
          <w:szCs w:val="26"/>
        </w:rPr>
        <w:t>)</w:t>
      </w:r>
      <w:r w:rsidR="00DC56D7" w:rsidRPr="00787A9E">
        <w:rPr>
          <w:sz w:val="26"/>
          <w:szCs w:val="26"/>
        </w:rPr>
        <w:t xml:space="preserve"> </w:t>
      </w:r>
      <w:r w:rsidR="00DC56D7" w:rsidRPr="00787A9E">
        <w:rPr>
          <w:i/>
          <w:sz w:val="26"/>
          <w:szCs w:val="26"/>
        </w:rPr>
        <w:t>(</w:t>
      </w:r>
      <w:r w:rsidR="007342ED" w:rsidRPr="00787A9E">
        <w:rPr>
          <w:i/>
          <w:sz w:val="26"/>
          <w:szCs w:val="26"/>
        </w:rPr>
        <w:t xml:space="preserve">January 2018 </w:t>
      </w:r>
      <w:r w:rsidR="00DC56D7" w:rsidRPr="00787A9E">
        <w:rPr>
          <w:i/>
          <w:sz w:val="26"/>
          <w:szCs w:val="26"/>
        </w:rPr>
        <w:t>McCloskey</w:t>
      </w:r>
      <w:r w:rsidR="007342ED" w:rsidRPr="00787A9E">
        <w:rPr>
          <w:i/>
          <w:sz w:val="26"/>
          <w:szCs w:val="26"/>
        </w:rPr>
        <w:t xml:space="preserve"> Order</w:t>
      </w:r>
      <w:r w:rsidR="00DC56D7" w:rsidRPr="00787A9E">
        <w:rPr>
          <w:i/>
          <w:sz w:val="26"/>
          <w:szCs w:val="26"/>
        </w:rPr>
        <w:t>).</w:t>
      </w:r>
      <w:r w:rsidR="00A43E76" w:rsidRPr="00787A9E">
        <w:rPr>
          <w:rStyle w:val="FootnoteReference"/>
          <w:sz w:val="26"/>
          <w:szCs w:val="26"/>
        </w:rPr>
        <w:footnoteReference w:id="3"/>
      </w:r>
      <w:r w:rsidR="0052266C" w:rsidRPr="00787A9E">
        <w:rPr>
          <w:sz w:val="26"/>
          <w:szCs w:val="26"/>
        </w:rPr>
        <w:t xml:space="preserve">  The Parties d</w:t>
      </w:r>
      <w:r w:rsidR="005E259E" w:rsidRPr="00787A9E">
        <w:rPr>
          <w:sz w:val="26"/>
          <w:szCs w:val="26"/>
        </w:rPr>
        <w:t>id not object to the OCA</w:t>
      </w:r>
      <w:r w:rsidR="00A424DB">
        <w:rPr>
          <w:sz w:val="26"/>
          <w:szCs w:val="26"/>
        </w:rPr>
        <w:t>’</w:t>
      </w:r>
      <w:r w:rsidR="005E259E" w:rsidRPr="00787A9E">
        <w:rPr>
          <w:sz w:val="26"/>
          <w:szCs w:val="26"/>
        </w:rPr>
        <w:t>s</w:t>
      </w:r>
      <w:r w:rsidR="00DC56D7" w:rsidRPr="00787A9E">
        <w:rPr>
          <w:sz w:val="26"/>
          <w:szCs w:val="26"/>
        </w:rPr>
        <w:t xml:space="preserve"> request.  The</w:t>
      </w:r>
      <w:r w:rsidR="005E259E" w:rsidRPr="00787A9E">
        <w:rPr>
          <w:sz w:val="26"/>
          <w:szCs w:val="26"/>
        </w:rPr>
        <w:t xml:space="preserve">refore, the </w:t>
      </w:r>
      <w:r w:rsidR="00DC56D7" w:rsidRPr="00787A9E">
        <w:rPr>
          <w:sz w:val="26"/>
          <w:szCs w:val="26"/>
        </w:rPr>
        <w:t>ALJs orally granted the request but</w:t>
      </w:r>
      <w:r w:rsidR="00B11194" w:rsidRPr="00787A9E">
        <w:rPr>
          <w:sz w:val="26"/>
          <w:szCs w:val="26"/>
        </w:rPr>
        <w:t xml:space="preserve"> directed</w:t>
      </w:r>
      <w:r w:rsidR="00DC56D7" w:rsidRPr="00787A9E">
        <w:rPr>
          <w:sz w:val="26"/>
          <w:szCs w:val="26"/>
        </w:rPr>
        <w:t xml:space="preserve"> </w:t>
      </w:r>
      <w:r w:rsidR="005E259E" w:rsidRPr="00787A9E">
        <w:rPr>
          <w:sz w:val="26"/>
          <w:szCs w:val="26"/>
        </w:rPr>
        <w:t xml:space="preserve">the </w:t>
      </w:r>
      <w:r w:rsidR="00DC56D7" w:rsidRPr="00787A9E">
        <w:rPr>
          <w:sz w:val="26"/>
          <w:szCs w:val="26"/>
        </w:rPr>
        <w:t>OCA to file a written motion</w:t>
      </w:r>
      <w:r w:rsidR="00B11194" w:rsidRPr="00787A9E">
        <w:rPr>
          <w:sz w:val="26"/>
          <w:szCs w:val="26"/>
        </w:rPr>
        <w:t xml:space="preserve"> to </w:t>
      </w:r>
      <w:r w:rsidR="00DC56D7" w:rsidRPr="00787A9E">
        <w:rPr>
          <w:sz w:val="26"/>
          <w:szCs w:val="26"/>
        </w:rPr>
        <w:t>include a recitation of precisely which documents would</w:t>
      </w:r>
      <w:r w:rsidR="00B11194" w:rsidRPr="00787A9E">
        <w:rPr>
          <w:sz w:val="26"/>
          <w:szCs w:val="26"/>
        </w:rPr>
        <w:t xml:space="preserve"> </w:t>
      </w:r>
      <w:r w:rsidR="00DC56D7" w:rsidRPr="00787A9E">
        <w:rPr>
          <w:sz w:val="26"/>
          <w:szCs w:val="26"/>
        </w:rPr>
        <w:t>be included from the two complaint proceedings.</w:t>
      </w:r>
    </w:p>
    <w:p w14:paraId="71A24813" w14:textId="77777777" w:rsidR="00AA3D16" w:rsidRPr="00787A9E" w:rsidRDefault="00AA3D16" w:rsidP="00FD1A00">
      <w:pPr>
        <w:ind w:firstLine="1440"/>
        <w:contextualSpacing/>
        <w:rPr>
          <w:sz w:val="26"/>
          <w:szCs w:val="26"/>
        </w:rPr>
      </w:pPr>
    </w:p>
    <w:p w14:paraId="79B3F8B6" w14:textId="77777777" w:rsidR="00634CC7" w:rsidRPr="00787A9E" w:rsidRDefault="0030372F" w:rsidP="00FD1A00">
      <w:pPr>
        <w:ind w:firstLine="1440"/>
        <w:contextualSpacing/>
        <w:rPr>
          <w:sz w:val="26"/>
          <w:szCs w:val="26"/>
        </w:rPr>
      </w:pPr>
      <w:r w:rsidRPr="00787A9E">
        <w:rPr>
          <w:sz w:val="26"/>
          <w:szCs w:val="26"/>
        </w:rPr>
        <w:t>On November 19, 2018, HVUS filed a Joint Petition for Approval of the</w:t>
      </w:r>
      <w:r w:rsidR="003C72A3" w:rsidRPr="00787A9E">
        <w:rPr>
          <w:sz w:val="26"/>
          <w:szCs w:val="26"/>
        </w:rPr>
        <w:t xml:space="preserve"> Non-</w:t>
      </w:r>
      <w:r w:rsidR="00E9699B" w:rsidRPr="00787A9E">
        <w:rPr>
          <w:sz w:val="26"/>
          <w:szCs w:val="26"/>
        </w:rPr>
        <w:t>Unanimous Settlement</w:t>
      </w:r>
      <w:r w:rsidRPr="00787A9E">
        <w:rPr>
          <w:sz w:val="26"/>
          <w:szCs w:val="26"/>
        </w:rPr>
        <w:t xml:space="preserve"> in both proceedings.</w:t>
      </w:r>
      <w:r w:rsidR="004A086B" w:rsidRPr="00787A9E">
        <w:rPr>
          <w:sz w:val="26"/>
          <w:szCs w:val="26"/>
        </w:rPr>
        <w:t xml:space="preserve">  The Joint Petitioners </w:t>
      </w:r>
      <w:r w:rsidRPr="00787A9E">
        <w:rPr>
          <w:sz w:val="26"/>
          <w:szCs w:val="26"/>
        </w:rPr>
        <w:t>requested that the Commission approve the Non-Unanimous Settlement without modification.</w:t>
      </w:r>
    </w:p>
    <w:p w14:paraId="0859490B" w14:textId="77777777" w:rsidR="00634CC7" w:rsidRPr="00787A9E" w:rsidRDefault="00634CC7" w:rsidP="00FD1A00">
      <w:pPr>
        <w:ind w:firstLine="1440"/>
        <w:contextualSpacing/>
        <w:rPr>
          <w:sz w:val="26"/>
          <w:szCs w:val="26"/>
        </w:rPr>
      </w:pPr>
    </w:p>
    <w:p w14:paraId="6453E643" w14:textId="10533D2B" w:rsidR="005E259E" w:rsidRPr="00787A9E" w:rsidRDefault="005E259E" w:rsidP="00FD1A00">
      <w:pPr>
        <w:ind w:firstLine="1440"/>
        <w:contextualSpacing/>
        <w:rPr>
          <w:sz w:val="26"/>
          <w:szCs w:val="26"/>
        </w:rPr>
      </w:pPr>
      <w:r w:rsidRPr="00787A9E">
        <w:rPr>
          <w:sz w:val="26"/>
          <w:szCs w:val="26"/>
        </w:rPr>
        <w:t>On November 21, 2018, the OCA filed a Motion to Admit Evidence.  The Motion to Admit Evidence listed the specific items from the evidentiary record in the</w:t>
      </w:r>
      <w:r w:rsidR="00461DEA" w:rsidRPr="00787A9E">
        <w:rPr>
          <w:sz w:val="26"/>
          <w:szCs w:val="26"/>
        </w:rPr>
        <w:t xml:space="preserve"> </w:t>
      </w:r>
      <w:r w:rsidR="00461DEA" w:rsidRPr="00787A9E">
        <w:rPr>
          <w:i/>
          <w:sz w:val="26"/>
          <w:szCs w:val="26"/>
        </w:rPr>
        <w:t>January 2018 McCloskey Order</w:t>
      </w:r>
      <w:r w:rsidR="00FD758E" w:rsidRPr="00787A9E">
        <w:rPr>
          <w:i/>
          <w:sz w:val="26"/>
          <w:szCs w:val="26"/>
        </w:rPr>
        <w:t xml:space="preserve"> </w:t>
      </w:r>
      <w:r w:rsidR="00FD758E" w:rsidRPr="00787A9E">
        <w:rPr>
          <w:sz w:val="26"/>
          <w:szCs w:val="26"/>
        </w:rPr>
        <w:t>that</w:t>
      </w:r>
      <w:r w:rsidRPr="00787A9E">
        <w:rPr>
          <w:sz w:val="26"/>
          <w:szCs w:val="26"/>
        </w:rPr>
        <w:t xml:space="preserve"> the OCA asked to have admitted into evidence.</w:t>
      </w:r>
    </w:p>
    <w:p w14:paraId="01B58C2F" w14:textId="77777777" w:rsidR="005E259E" w:rsidRPr="00787A9E" w:rsidRDefault="005E259E" w:rsidP="00FD1A00">
      <w:pPr>
        <w:ind w:firstLine="1440"/>
        <w:contextualSpacing/>
        <w:rPr>
          <w:sz w:val="26"/>
          <w:szCs w:val="26"/>
        </w:rPr>
      </w:pPr>
    </w:p>
    <w:p w14:paraId="2CCF9382" w14:textId="2C831296" w:rsidR="005E259E" w:rsidRPr="00787A9E" w:rsidRDefault="005E259E" w:rsidP="00FD1A00">
      <w:pPr>
        <w:ind w:firstLine="1440"/>
        <w:contextualSpacing/>
        <w:rPr>
          <w:sz w:val="26"/>
          <w:szCs w:val="26"/>
        </w:rPr>
      </w:pPr>
      <w:r w:rsidRPr="00787A9E">
        <w:rPr>
          <w:sz w:val="26"/>
          <w:szCs w:val="26"/>
        </w:rPr>
        <w:t>On November 29, 2018, the ALJs issued the Second Interim Order which granted the</w:t>
      </w:r>
      <w:r w:rsidR="00546922" w:rsidRPr="00787A9E">
        <w:rPr>
          <w:sz w:val="26"/>
          <w:szCs w:val="26"/>
        </w:rPr>
        <w:t xml:space="preserve"> OCA</w:t>
      </w:r>
      <w:r w:rsidR="00A424DB">
        <w:rPr>
          <w:sz w:val="26"/>
          <w:szCs w:val="26"/>
        </w:rPr>
        <w:t>’</w:t>
      </w:r>
      <w:r w:rsidR="00546922" w:rsidRPr="00787A9E">
        <w:rPr>
          <w:sz w:val="26"/>
          <w:szCs w:val="26"/>
        </w:rPr>
        <w:t>s Motion to Admit</w:t>
      </w:r>
      <w:r w:rsidR="00FD758E" w:rsidRPr="00787A9E">
        <w:rPr>
          <w:sz w:val="26"/>
          <w:szCs w:val="26"/>
        </w:rPr>
        <w:t xml:space="preserve"> Evidence.</w:t>
      </w:r>
    </w:p>
    <w:p w14:paraId="325AB10E" w14:textId="77777777" w:rsidR="005E259E" w:rsidRPr="00787A9E" w:rsidRDefault="005E259E" w:rsidP="00FD1A00">
      <w:pPr>
        <w:ind w:firstLine="1440"/>
        <w:contextualSpacing/>
        <w:rPr>
          <w:sz w:val="26"/>
          <w:szCs w:val="26"/>
        </w:rPr>
      </w:pPr>
    </w:p>
    <w:p w14:paraId="5C4733DC" w14:textId="05D84765" w:rsidR="00BB178D" w:rsidRPr="00787A9E" w:rsidRDefault="005E259E" w:rsidP="00FD1A00">
      <w:pPr>
        <w:ind w:firstLine="1440"/>
        <w:contextualSpacing/>
        <w:rPr>
          <w:sz w:val="26"/>
          <w:szCs w:val="26"/>
        </w:rPr>
      </w:pPr>
      <w:r w:rsidRPr="00787A9E">
        <w:rPr>
          <w:sz w:val="26"/>
          <w:szCs w:val="26"/>
        </w:rPr>
        <w:t>On December 11, 2018, HVUS, I&amp;E, the OCA</w:t>
      </w:r>
      <w:r w:rsidR="001E3606" w:rsidRPr="00787A9E">
        <w:rPr>
          <w:sz w:val="26"/>
          <w:szCs w:val="26"/>
        </w:rPr>
        <w:t>,</w:t>
      </w:r>
      <w:r w:rsidRPr="00787A9E">
        <w:rPr>
          <w:sz w:val="26"/>
          <w:szCs w:val="26"/>
        </w:rPr>
        <w:t xml:space="preserve"> and the Foundation</w:t>
      </w:r>
      <w:r w:rsidR="00F65ED8" w:rsidRPr="00787A9E">
        <w:rPr>
          <w:sz w:val="26"/>
          <w:szCs w:val="26"/>
        </w:rPr>
        <w:t xml:space="preserve"> filed Main Briefs</w:t>
      </w:r>
      <w:r w:rsidR="00617E16" w:rsidRPr="00787A9E">
        <w:rPr>
          <w:sz w:val="26"/>
          <w:szCs w:val="26"/>
        </w:rPr>
        <w:t xml:space="preserve">.  Each of these </w:t>
      </w:r>
      <w:r w:rsidR="000F7AC3">
        <w:rPr>
          <w:sz w:val="26"/>
          <w:szCs w:val="26"/>
        </w:rPr>
        <w:t>P</w:t>
      </w:r>
      <w:r w:rsidR="00617E16" w:rsidRPr="00787A9E">
        <w:rPr>
          <w:sz w:val="26"/>
          <w:szCs w:val="26"/>
        </w:rPr>
        <w:t>arties filed Reply Briefs on December 21, 2018</w:t>
      </w:r>
      <w:r w:rsidR="002F386A" w:rsidRPr="00787A9E">
        <w:rPr>
          <w:sz w:val="26"/>
          <w:szCs w:val="26"/>
        </w:rPr>
        <w:t xml:space="preserve">.  </w:t>
      </w:r>
      <w:r w:rsidR="00F65ED8" w:rsidRPr="00787A9E">
        <w:rPr>
          <w:sz w:val="26"/>
          <w:szCs w:val="26"/>
        </w:rPr>
        <w:t>T</w:t>
      </w:r>
      <w:r w:rsidR="00BB178D" w:rsidRPr="00787A9E">
        <w:rPr>
          <w:sz w:val="26"/>
          <w:szCs w:val="26"/>
        </w:rPr>
        <w:t>he record was closed on</w:t>
      </w:r>
      <w:r w:rsidR="00F65ED8" w:rsidRPr="00787A9E">
        <w:rPr>
          <w:sz w:val="26"/>
          <w:szCs w:val="26"/>
        </w:rPr>
        <w:t xml:space="preserve"> December 26</w:t>
      </w:r>
      <w:r w:rsidR="00BB178D" w:rsidRPr="00787A9E">
        <w:rPr>
          <w:sz w:val="26"/>
          <w:szCs w:val="26"/>
        </w:rPr>
        <w:t>, 201</w:t>
      </w:r>
      <w:r w:rsidR="00F65ED8" w:rsidRPr="00787A9E">
        <w:rPr>
          <w:sz w:val="26"/>
          <w:szCs w:val="26"/>
        </w:rPr>
        <w:t>8</w:t>
      </w:r>
      <w:r w:rsidR="00ED7ED6" w:rsidRPr="00787A9E">
        <w:rPr>
          <w:sz w:val="26"/>
          <w:szCs w:val="26"/>
        </w:rPr>
        <w:t>.</w:t>
      </w:r>
      <w:r w:rsidR="00C542C8" w:rsidRPr="00787A9E">
        <w:rPr>
          <w:sz w:val="26"/>
          <w:szCs w:val="26"/>
        </w:rPr>
        <w:t xml:space="preserve">  </w:t>
      </w:r>
      <w:r w:rsidR="000C7903" w:rsidRPr="00787A9E">
        <w:rPr>
          <w:sz w:val="26"/>
          <w:szCs w:val="26"/>
        </w:rPr>
        <w:t xml:space="preserve">The record includes a </w:t>
      </w:r>
      <w:r w:rsidR="00890781" w:rsidRPr="00787A9E">
        <w:rPr>
          <w:sz w:val="26"/>
          <w:szCs w:val="26"/>
        </w:rPr>
        <w:t>318</w:t>
      </w:r>
      <w:r w:rsidR="00C542C8" w:rsidRPr="00787A9E">
        <w:rPr>
          <w:sz w:val="26"/>
          <w:szCs w:val="26"/>
        </w:rPr>
        <w:t>-</w:t>
      </w:r>
      <w:r w:rsidR="000C7903" w:rsidRPr="00787A9E">
        <w:rPr>
          <w:sz w:val="26"/>
          <w:szCs w:val="26"/>
        </w:rPr>
        <w:t>page transcript and the Parties</w:t>
      </w:r>
      <w:r w:rsidR="00A424DB">
        <w:rPr>
          <w:sz w:val="26"/>
          <w:szCs w:val="26"/>
        </w:rPr>
        <w:t>’</w:t>
      </w:r>
      <w:r w:rsidR="000C7903" w:rsidRPr="00787A9E">
        <w:rPr>
          <w:sz w:val="26"/>
          <w:szCs w:val="26"/>
        </w:rPr>
        <w:t xml:space="preserve"> testimonies and exhibits.  The ALJs</w:t>
      </w:r>
      <w:r w:rsidR="00A424DB">
        <w:rPr>
          <w:sz w:val="26"/>
          <w:szCs w:val="26"/>
        </w:rPr>
        <w:t>’</w:t>
      </w:r>
      <w:r w:rsidR="000C7903" w:rsidRPr="00787A9E">
        <w:rPr>
          <w:sz w:val="26"/>
          <w:szCs w:val="26"/>
        </w:rPr>
        <w:t xml:space="preserve"> Recommended Decision was issued on </w:t>
      </w:r>
      <w:r w:rsidR="00F65ED8" w:rsidRPr="00787A9E">
        <w:rPr>
          <w:sz w:val="26"/>
          <w:szCs w:val="26"/>
        </w:rPr>
        <w:t xml:space="preserve">January </w:t>
      </w:r>
      <w:r w:rsidR="00BB178D" w:rsidRPr="00787A9E">
        <w:rPr>
          <w:sz w:val="26"/>
          <w:szCs w:val="26"/>
        </w:rPr>
        <w:t>2</w:t>
      </w:r>
      <w:r w:rsidR="00F65ED8" w:rsidRPr="00787A9E">
        <w:rPr>
          <w:sz w:val="26"/>
          <w:szCs w:val="26"/>
        </w:rPr>
        <w:t>5</w:t>
      </w:r>
      <w:r w:rsidR="00BB178D" w:rsidRPr="00787A9E">
        <w:rPr>
          <w:sz w:val="26"/>
          <w:szCs w:val="26"/>
        </w:rPr>
        <w:t>, 201</w:t>
      </w:r>
      <w:r w:rsidR="00F65ED8" w:rsidRPr="00787A9E">
        <w:rPr>
          <w:sz w:val="26"/>
          <w:szCs w:val="26"/>
        </w:rPr>
        <w:t>9</w:t>
      </w:r>
      <w:r w:rsidR="008A6A18" w:rsidRPr="00787A9E">
        <w:rPr>
          <w:sz w:val="26"/>
          <w:szCs w:val="26"/>
        </w:rPr>
        <w:t>, wherein</w:t>
      </w:r>
      <w:r w:rsidR="0014126C" w:rsidRPr="00787A9E">
        <w:rPr>
          <w:sz w:val="26"/>
          <w:szCs w:val="26"/>
        </w:rPr>
        <w:t xml:space="preserve"> they</w:t>
      </w:r>
      <w:r w:rsidR="008A6A18" w:rsidRPr="00787A9E">
        <w:rPr>
          <w:sz w:val="26"/>
          <w:szCs w:val="26"/>
        </w:rPr>
        <w:t xml:space="preserve"> recommended a</w:t>
      </w:r>
      <w:r w:rsidR="00BB178D" w:rsidRPr="00787A9E">
        <w:rPr>
          <w:sz w:val="26"/>
          <w:szCs w:val="26"/>
        </w:rPr>
        <w:t>pproval of the Settlement</w:t>
      </w:r>
      <w:r w:rsidR="00617E16" w:rsidRPr="00787A9E">
        <w:rPr>
          <w:sz w:val="26"/>
          <w:szCs w:val="26"/>
        </w:rPr>
        <w:t>,</w:t>
      </w:r>
      <w:r w:rsidR="00BB178D" w:rsidRPr="00787A9E">
        <w:rPr>
          <w:sz w:val="26"/>
          <w:szCs w:val="26"/>
        </w:rPr>
        <w:t xml:space="preserve"> with modification</w:t>
      </w:r>
      <w:r w:rsidR="008A6A18" w:rsidRPr="00787A9E">
        <w:rPr>
          <w:sz w:val="26"/>
          <w:szCs w:val="26"/>
        </w:rPr>
        <w:t>.</w:t>
      </w:r>
      <w:r w:rsidR="001E3606" w:rsidRPr="00787A9E">
        <w:rPr>
          <w:rStyle w:val="FootnoteReference"/>
          <w:sz w:val="26"/>
          <w:szCs w:val="26"/>
        </w:rPr>
        <w:footnoteReference w:id="4"/>
      </w:r>
    </w:p>
    <w:p w14:paraId="329D6D98" w14:textId="77777777" w:rsidR="00913C9A" w:rsidRPr="00787A9E" w:rsidRDefault="00913C9A" w:rsidP="00FD1A00">
      <w:pPr>
        <w:ind w:firstLine="1440"/>
        <w:contextualSpacing/>
        <w:rPr>
          <w:sz w:val="26"/>
          <w:szCs w:val="26"/>
        </w:rPr>
      </w:pPr>
    </w:p>
    <w:p w14:paraId="5C821E8F" w14:textId="77777777" w:rsidR="00994240" w:rsidRPr="00787A9E" w:rsidRDefault="00A84EC4" w:rsidP="00FD1A00">
      <w:pPr>
        <w:pStyle w:val="Footer"/>
        <w:spacing w:line="360" w:lineRule="auto"/>
        <w:ind w:firstLine="1440"/>
        <w:contextualSpacing/>
        <w:rPr>
          <w:sz w:val="26"/>
          <w:szCs w:val="26"/>
        </w:rPr>
      </w:pPr>
      <w:r w:rsidRPr="00787A9E">
        <w:rPr>
          <w:sz w:val="26"/>
          <w:szCs w:val="26"/>
        </w:rPr>
        <w:t xml:space="preserve">As </w:t>
      </w:r>
      <w:r w:rsidR="00E160C4" w:rsidRPr="00787A9E">
        <w:rPr>
          <w:sz w:val="26"/>
          <w:szCs w:val="26"/>
        </w:rPr>
        <w:t xml:space="preserve">noted, </w:t>
      </w:r>
      <w:r w:rsidR="00DE2361" w:rsidRPr="00787A9E">
        <w:rPr>
          <w:sz w:val="26"/>
          <w:szCs w:val="26"/>
        </w:rPr>
        <w:t>Excep</w:t>
      </w:r>
      <w:r w:rsidR="00A94819" w:rsidRPr="00787A9E">
        <w:rPr>
          <w:sz w:val="26"/>
          <w:szCs w:val="26"/>
        </w:rPr>
        <w:t>tions we</w:t>
      </w:r>
      <w:r w:rsidR="00D46BEF" w:rsidRPr="00787A9E">
        <w:rPr>
          <w:sz w:val="26"/>
          <w:szCs w:val="26"/>
        </w:rPr>
        <w:t xml:space="preserve">re filed by </w:t>
      </w:r>
      <w:r w:rsidR="00C60111" w:rsidRPr="00787A9E">
        <w:rPr>
          <w:sz w:val="26"/>
          <w:szCs w:val="26"/>
        </w:rPr>
        <w:t>HVUS, I&amp;E, the OCA,</w:t>
      </w:r>
      <w:r w:rsidR="007405C2" w:rsidRPr="00787A9E">
        <w:rPr>
          <w:sz w:val="26"/>
          <w:szCs w:val="26"/>
        </w:rPr>
        <w:t xml:space="preserve"> and Mr. </w:t>
      </w:r>
      <w:r w:rsidR="00C60111" w:rsidRPr="00787A9E">
        <w:rPr>
          <w:sz w:val="26"/>
          <w:szCs w:val="26"/>
        </w:rPr>
        <w:t>Kollar, on February 4, 2019, and by the Foundation on February 5, 2019</w:t>
      </w:r>
      <w:r w:rsidR="007405C2" w:rsidRPr="00787A9E">
        <w:rPr>
          <w:sz w:val="26"/>
          <w:szCs w:val="26"/>
        </w:rPr>
        <w:t xml:space="preserve">.  </w:t>
      </w:r>
      <w:r w:rsidR="00B77DA8" w:rsidRPr="00787A9E">
        <w:rPr>
          <w:sz w:val="26"/>
          <w:szCs w:val="26"/>
        </w:rPr>
        <w:t>Replies to Exceptions were filed b</w:t>
      </w:r>
      <w:r w:rsidR="004050A3" w:rsidRPr="00787A9E">
        <w:rPr>
          <w:sz w:val="26"/>
          <w:szCs w:val="26"/>
        </w:rPr>
        <w:t>y</w:t>
      </w:r>
      <w:r w:rsidR="007405C2" w:rsidRPr="00787A9E">
        <w:rPr>
          <w:sz w:val="26"/>
          <w:szCs w:val="26"/>
        </w:rPr>
        <w:t xml:space="preserve"> </w:t>
      </w:r>
      <w:r w:rsidR="004050A3" w:rsidRPr="00787A9E">
        <w:rPr>
          <w:sz w:val="26"/>
          <w:szCs w:val="26"/>
        </w:rPr>
        <w:t>HVUS</w:t>
      </w:r>
      <w:r w:rsidR="007405C2" w:rsidRPr="00787A9E">
        <w:rPr>
          <w:sz w:val="26"/>
          <w:szCs w:val="26"/>
        </w:rPr>
        <w:t>, I&amp;E, the OCA, and the Foundation</w:t>
      </w:r>
      <w:r w:rsidR="004050A3" w:rsidRPr="00787A9E">
        <w:rPr>
          <w:sz w:val="26"/>
          <w:szCs w:val="26"/>
        </w:rPr>
        <w:t xml:space="preserve"> </w:t>
      </w:r>
      <w:r w:rsidR="00D46BEF" w:rsidRPr="00787A9E">
        <w:rPr>
          <w:sz w:val="26"/>
          <w:szCs w:val="26"/>
        </w:rPr>
        <w:t>on</w:t>
      </w:r>
      <w:r w:rsidR="009F6CDA" w:rsidRPr="00787A9E">
        <w:rPr>
          <w:sz w:val="26"/>
          <w:szCs w:val="26"/>
        </w:rPr>
        <w:t xml:space="preserve"> February</w:t>
      </w:r>
      <w:r w:rsidR="00D46BEF" w:rsidRPr="00787A9E">
        <w:rPr>
          <w:sz w:val="26"/>
          <w:szCs w:val="26"/>
        </w:rPr>
        <w:t xml:space="preserve"> 8, 201</w:t>
      </w:r>
      <w:r w:rsidR="009F6CDA" w:rsidRPr="00787A9E">
        <w:rPr>
          <w:sz w:val="26"/>
          <w:szCs w:val="26"/>
        </w:rPr>
        <w:t>9</w:t>
      </w:r>
      <w:r w:rsidR="00B77DA8" w:rsidRPr="00787A9E">
        <w:rPr>
          <w:sz w:val="26"/>
          <w:szCs w:val="26"/>
        </w:rPr>
        <w:t>.</w:t>
      </w:r>
    </w:p>
    <w:p w14:paraId="06DB3296" w14:textId="77777777" w:rsidR="005734F5" w:rsidRPr="00787A9E" w:rsidRDefault="005734F5" w:rsidP="00FD1A00">
      <w:pPr>
        <w:pStyle w:val="Footer"/>
        <w:spacing w:line="360" w:lineRule="auto"/>
        <w:ind w:firstLine="1440"/>
        <w:contextualSpacing/>
        <w:rPr>
          <w:sz w:val="26"/>
          <w:szCs w:val="26"/>
        </w:rPr>
      </w:pPr>
    </w:p>
    <w:p w14:paraId="223067C8" w14:textId="77777777" w:rsidR="000C2C06" w:rsidRPr="00787A9E" w:rsidRDefault="000C2C06" w:rsidP="00FD1A00">
      <w:pPr>
        <w:pStyle w:val="Heading1"/>
        <w:keepNext/>
        <w:keepLines/>
        <w:contextualSpacing/>
        <w:rPr>
          <w:i/>
        </w:rPr>
      </w:pPr>
      <w:r w:rsidRPr="00787A9E">
        <w:t>I</w:t>
      </w:r>
      <w:r w:rsidR="004B0982" w:rsidRPr="00787A9E">
        <w:t>II</w:t>
      </w:r>
      <w:r w:rsidRPr="00787A9E">
        <w:t>.</w:t>
      </w:r>
      <w:r w:rsidRPr="00787A9E">
        <w:tab/>
      </w:r>
      <w:r w:rsidR="00867B2B" w:rsidRPr="00787A9E">
        <w:t>Description of the Company</w:t>
      </w:r>
    </w:p>
    <w:p w14:paraId="360A1B7B" w14:textId="77777777" w:rsidR="000C2C06" w:rsidRPr="00787A9E" w:rsidRDefault="000C2C06" w:rsidP="00FD1A00">
      <w:pPr>
        <w:keepNext/>
        <w:keepLines/>
        <w:contextualSpacing/>
        <w:rPr>
          <w:sz w:val="26"/>
          <w:szCs w:val="26"/>
        </w:rPr>
      </w:pPr>
    </w:p>
    <w:p w14:paraId="3CCCFD86" w14:textId="500C98DD" w:rsidR="0047053D" w:rsidRPr="00787A9E" w:rsidRDefault="0047053D" w:rsidP="00FD1A00">
      <w:pPr>
        <w:ind w:firstLine="1440"/>
        <w:contextualSpacing/>
        <w:rPr>
          <w:sz w:val="26"/>
          <w:szCs w:val="26"/>
        </w:rPr>
      </w:pPr>
      <w:r w:rsidRPr="00787A9E">
        <w:rPr>
          <w:sz w:val="26"/>
          <w:szCs w:val="26"/>
        </w:rPr>
        <w:t>HVUS is a limited partnership</w:t>
      </w:r>
      <w:r w:rsidRPr="00787A9E">
        <w:rPr>
          <w:rStyle w:val="FootnoteReference"/>
          <w:sz w:val="26"/>
          <w:szCs w:val="26"/>
        </w:rPr>
        <w:footnoteReference w:id="5"/>
      </w:r>
      <w:r w:rsidRPr="00787A9E">
        <w:rPr>
          <w:sz w:val="26"/>
          <w:szCs w:val="26"/>
        </w:rPr>
        <w:t xml:space="preserve"> which owns and operates a water treatment and distribution system and a wastewater collection and treatment system in Jefferson Township, Somerset County, Pennsylvania</w:t>
      </w:r>
      <w:r w:rsidR="00B179E7" w:rsidRPr="00787A9E">
        <w:rPr>
          <w:sz w:val="26"/>
          <w:szCs w:val="26"/>
        </w:rPr>
        <w:t xml:space="preserve">.  </w:t>
      </w:r>
      <w:r w:rsidRPr="00787A9E">
        <w:rPr>
          <w:sz w:val="26"/>
          <w:szCs w:val="26"/>
        </w:rPr>
        <w:t>The Company</w:t>
      </w:r>
      <w:r w:rsidR="00A424DB">
        <w:rPr>
          <w:sz w:val="26"/>
          <w:szCs w:val="26"/>
        </w:rPr>
        <w:t>’</w:t>
      </w:r>
      <w:r w:rsidRPr="00787A9E">
        <w:rPr>
          <w:sz w:val="26"/>
          <w:szCs w:val="26"/>
        </w:rPr>
        <w:t>s service territory consists of approximately 1,399 acres which follows the geographic boundary of the Hidden Valley Resort (Resort), a ski and golf resort community located in Jefferson Township, Somerset County, Pennsylvania</w:t>
      </w:r>
      <w:r w:rsidR="00B179E7" w:rsidRPr="00787A9E">
        <w:rPr>
          <w:sz w:val="26"/>
          <w:szCs w:val="26"/>
        </w:rPr>
        <w:t>.  HVUS M.B. at 4.</w:t>
      </w:r>
    </w:p>
    <w:p w14:paraId="1F26CE3B" w14:textId="77777777" w:rsidR="00887C36" w:rsidRPr="00787A9E" w:rsidRDefault="00887C36" w:rsidP="00FD1A00">
      <w:pPr>
        <w:ind w:firstLine="1440"/>
        <w:contextualSpacing/>
        <w:rPr>
          <w:sz w:val="26"/>
          <w:szCs w:val="26"/>
        </w:rPr>
      </w:pPr>
    </w:p>
    <w:p w14:paraId="2EC26B07" w14:textId="72550317" w:rsidR="00E90DA3" w:rsidRDefault="00E90DA3" w:rsidP="00FD1A00">
      <w:pPr>
        <w:autoSpaceDE w:val="0"/>
        <w:autoSpaceDN w:val="0"/>
        <w:ind w:firstLine="1440"/>
        <w:contextualSpacing/>
        <w:rPr>
          <w:sz w:val="26"/>
          <w:szCs w:val="26"/>
        </w:rPr>
      </w:pPr>
      <w:r w:rsidRPr="00787A9E">
        <w:rPr>
          <w:sz w:val="26"/>
          <w:szCs w:val="26"/>
        </w:rPr>
        <w:t xml:space="preserve">On February 12, 2004, HVUS filed two applications for approval to begin to offer, render, furnish or supply water and wastewater services to the public in Hidden </w:t>
      </w:r>
      <w:r w:rsidRPr="00787A9E">
        <w:rPr>
          <w:sz w:val="26"/>
          <w:szCs w:val="26"/>
        </w:rPr>
        <w:lastRenderedPageBreak/>
        <w:t>Valley at Docket Nos. A-00210117 and A-00230101 (2004 Application</w:t>
      </w:r>
      <w:r w:rsidR="00A72FAF" w:rsidRPr="00787A9E">
        <w:rPr>
          <w:sz w:val="26"/>
          <w:szCs w:val="26"/>
        </w:rPr>
        <w:t>s</w:t>
      </w:r>
      <w:r w:rsidRPr="00787A9E">
        <w:rPr>
          <w:sz w:val="26"/>
          <w:szCs w:val="26"/>
        </w:rPr>
        <w:t xml:space="preserve">).  Protests to the Applications were filed.  Thereafter, the </w:t>
      </w:r>
      <w:r w:rsidR="000F7AC3">
        <w:rPr>
          <w:sz w:val="26"/>
          <w:szCs w:val="26"/>
        </w:rPr>
        <w:t>P</w:t>
      </w:r>
      <w:r w:rsidRPr="00787A9E">
        <w:rPr>
          <w:sz w:val="26"/>
          <w:szCs w:val="26"/>
        </w:rPr>
        <w:t xml:space="preserve">arties reached a settlement agreement (2005 Settlement) which addressed </w:t>
      </w:r>
      <w:r w:rsidR="001435EB" w:rsidRPr="00787A9E">
        <w:rPr>
          <w:sz w:val="26"/>
          <w:szCs w:val="26"/>
        </w:rPr>
        <w:t xml:space="preserve">the </w:t>
      </w:r>
      <w:r w:rsidRPr="00787A9E">
        <w:rPr>
          <w:sz w:val="26"/>
          <w:szCs w:val="26"/>
        </w:rPr>
        <w:t>issues and protests raised in the 2004 Application</w:t>
      </w:r>
      <w:r w:rsidR="00A72FAF" w:rsidRPr="00787A9E">
        <w:rPr>
          <w:sz w:val="26"/>
          <w:szCs w:val="26"/>
        </w:rPr>
        <w:t>s</w:t>
      </w:r>
      <w:r w:rsidR="001435EB" w:rsidRPr="00787A9E">
        <w:rPr>
          <w:sz w:val="26"/>
          <w:szCs w:val="26"/>
        </w:rPr>
        <w:t xml:space="preserve"> </w:t>
      </w:r>
      <w:r w:rsidRPr="00787A9E">
        <w:rPr>
          <w:sz w:val="26"/>
          <w:szCs w:val="26"/>
        </w:rPr>
        <w:t>proceedings.</w:t>
      </w:r>
      <w:r w:rsidRPr="00787A9E">
        <w:rPr>
          <w:b/>
          <w:sz w:val="26"/>
          <w:szCs w:val="26"/>
        </w:rPr>
        <w:t xml:space="preserve">  </w:t>
      </w:r>
      <w:r w:rsidRPr="00787A9E">
        <w:rPr>
          <w:sz w:val="26"/>
          <w:szCs w:val="26"/>
        </w:rPr>
        <w:t>By Final Order entered July 15, 2005 (</w:t>
      </w:r>
      <w:r w:rsidRPr="00787A9E">
        <w:rPr>
          <w:i/>
          <w:sz w:val="26"/>
          <w:szCs w:val="26"/>
        </w:rPr>
        <w:t>July 2005 Order</w:t>
      </w:r>
      <w:r w:rsidRPr="00787A9E">
        <w:rPr>
          <w:sz w:val="26"/>
          <w:szCs w:val="26"/>
        </w:rPr>
        <w:t>), the Commission approved the 2005 Settlement and granted the 2004 Applications.</w:t>
      </w:r>
    </w:p>
    <w:p w14:paraId="42647B66" w14:textId="77777777" w:rsidR="005B6721" w:rsidRPr="00787A9E" w:rsidRDefault="005B6721" w:rsidP="00FD1A00">
      <w:pPr>
        <w:autoSpaceDE w:val="0"/>
        <w:autoSpaceDN w:val="0"/>
        <w:ind w:firstLine="1440"/>
        <w:contextualSpacing/>
        <w:rPr>
          <w:sz w:val="26"/>
          <w:szCs w:val="26"/>
        </w:rPr>
      </w:pPr>
    </w:p>
    <w:p w14:paraId="7390AADB" w14:textId="451A538B" w:rsidR="00B179E7" w:rsidRPr="00787A9E" w:rsidRDefault="0047053D" w:rsidP="00FD1A00">
      <w:pPr>
        <w:autoSpaceDE w:val="0"/>
        <w:autoSpaceDN w:val="0"/>
        <w:ind w:firstLine="1440"/>
        <w:contextualSpacing/>
        <w:rPr>
          <w:sz w:val="26"/>
          <w:szCs w:val="26"/>
        </w:rPr>
      </w:pPr>
      <w:r w:rsidRPr="00787A9E">
        <w:rPr>
          <w:sz w:val="26"/>
          <w:szCs w:val="26"/>
        </w:rPr>
        <w:t>HVUS</w:t>
      </w:r>
      <w:r w:rsidR="00A424DB">
        <w:rPr>
          <w:sz w:val="26"/>
          <w:szCs w:val="26"/>
        </w:rPr>
        <w:t>’</w:t>
      </w:r>
      <w:r w:rsidRPr="00787A9E">
        <w:rPr>
          <w:sz w:val="26"/>
          <w:szCs w:val="26"/>
        </w:rPr>
        <w:t>s water system presently serves approximately 1,156 residential and non-residential customers</w:t>
      </w:r>
      <w:r w:rsidR="00A72FAF" w:rsidRPr="00787A9E">
        <w:rPr>
          <w:sz w:val="26"/>
          <w:szCs w:val="26"/>
        </w:rPr>
        <w:t xml:space="preserve"> including </w:t>
      </w:r>
      <w:r w:rsidRPr="00787A9E">
        <w:rPr>
          <w:sz w:val="26"/>
          <w:szCs w:val="26"/>
        </w:rPr>
        <w:t xml:space="preserve">approximately </w:t>
      </w:r>
      <w:r w:rsidR="00AB36EB" w:rsidRPr="00787A9E">
        <w:rPr>
          <w:sz w:val="26"/>
          <w:szCs w:val="26"/>
        </w:rPr>
        <w:t>eighteen</w:t>
      </w:r>
      <w:r w:rsidRPr="00787A9E">
        <w:rPr>
          <w:sz w:val="26"/>
          <w:szCs w:val="26"/>
        </w:rPr>
        <w:t xml:space="preserve"> availability customers and </w:t>
      </w:r>
      <w:r w:rsidR="00AB36EB" w:rsidRPr="00787A9E">
        <w:rPr>
          <w:sz w:val="26"/>
          <w:szCs w:val="26"/>
        </w:rPr>
        <w:t>fifty</w:t>
      </w:r>
      <w:r w:rsidRPr="00787A9E">
        <w:rPr>
          <w:sz w:val="26"/>
          <w:szCs w:val="26"/>
        </w:rPr>
        <w:t xml:space="preserve"> private fire customers</w:t>
      </w:r>
      <w:r w:rsidR="00B179E7" w:rsidRPr="00787A9E">
        <w:rPr>
          <w:sz w:val="26"/>
          <w:szCs w:val="26"/>
        </w:rPr>
        <w:t>.  HVUS</w:t>
      </w:r>
      <w:r w:rsidR="00A424DB">
        <w:rPr>
          <w:sz w:val="26"/>
          <w:szCs w:val="26"/>
        </w:rPr>
        <w:t>’</w:t>
      </w:r>
      <w:r w:rsidR="00B179E7" w:rsidRPr="00787A9E">
        <w:rPr>
          <w:sz w:val="26"/>
          <w:szCs w:val="26"/>
        </w:rPr>
        <w:t>s water system</w:t>
      </w:r>
      <w:r w:rsidR="00427F7D" w:rsidRPr="00787A9E">
        <w:rPr>
          <w:sz w:val="26"/>
          <w:szCs w:val="26"/>
        </w:rPr>
        <w:t xml:space="preserve"> consists of two wells, treatment facilities, high service pumps, a 250,000-gallon storage tank, and a distribution system containing approximately eighteen miles of water mains, fire hydrants, approximately 1,175 connections and miscellaneous valves.  </w:t>
      </w:r>
      <w:r w:rsidR="00562A49" w:rsidRPr="00787A9E">
        <w:rPr>
          <w:sz w:val="26"/>
          <w:szCs w:val="26"/>
        </w:rPr>
        <w:t>HVUS M.B.</w:t>
      </w:r>
      <w:r w:rsidR="00427F7D" w:rsidRPr="00787A9E">
        <w:rPr>
          <w:sz w:val="26"/>
          <w:szCs w:val="26"/>
        </w:rPr>
        <w:t xml:space="preserve"> at 5.</w:t>
      </w:r>
      <w:r w:rsidR="00E9588A" w:rsidRPr="00787A9E">
        <w:rPr>
          <w:sz w:val="26"/>
          <w:szCs w:val="26"/>
        </w:rPr>
        <w:t xml:space="preserve">  HVUS</w:t>
      </w:r>
      <w:r w:rsidR="00A424DB">
        <w:rPr>
          <w:sz w:val="26"/>
          <w:szCs w:val="26"/>
        </w:rPr>
        <w:t>’</w:t>
      </w:r>
      <w:r w:rsidR="00E9588A" w:rsidRPr="00787A9E">
        <w:rPr>
          <w:sz w:val="26"/>
          <w:szCs w:val="26"/>
        </w:rPr>
        <w:t xml:space="preserve">s water system </w:t>
      </w:r>
      <w:r w:rsidR="00427F7D" w:rsidRPr="00787A9E">
        <w:rPr>
          <w:sz w:val="26"/>
          <w:szCs w:val="26"/>
        </w:rPr>
        <w:t xml:space="preserve">has a history of </w:t>
      </w:r>
      <w:r w:rsidR="00F02E1F" w:rsidRPr="00787A9E">
        <w:rPr>
          <w:sz w:val="26"/>
          <w:szCs w:val="26"/>
        </w:rPr>
        <w:t xml:space="preserve">problems with </w:t>
      </w:r>
      <w:r w:rsidR="00427F7D" w:rsidRPr="00787A9E">
        <w:rPr>
          <w:sz w:val="26"/>
          <w:szCs w:val="26"/>
        </w:rPr>
        <w:t xml:space="preserve">iron and manganese in the water dating back to at least 2004.  </w:t>
      </w:r>
      <w:r w:rsidR="00E9588A" w:rsidRPr="00787A9E">
        <w:rPr>
          <w:sz w:val="26"/>
          <w:szCs w:val="26"/>
        </w:rPr>
        <w:t xml:space="preserve">HVUS currently treats the iron and manganese using </w:t>
      </w:r>
      <w:r w:rsidR="00F02E1F" w:rsidRPr="00787A9E">
        <w:rPr>
          <w:sz w:val="26"/>
          <w:szCs w:val="26"/>
        </w:rPr>
        <w:t xml:space="preserve">a </w:t>
      </w:r>
      <w:r w:rsidR="00E9588A" w:rsidRPr="00787A9E">
        <w:rPr>
          <w:sz w:val="26"/>
          <w:szCs w:val="26"/>
        </w:rPr>
        <w:t xml:space="preserve">sequestration method.  </w:t>
      </w:r>
      <w:r w:rsidR="00687C38" w:rsidRPr="00787A9E">
        <w:rPr>
          <w:sz w:val="26"/>
          <w:szCs w:val="26"/>
        </w:rPr>
        <w:t>HVUS M.B</w:t>
      </w:r>
      <w:r w:rsidR="00E9588A" w:rsidRPr="00787A9E">
        <w:rPr>
          <w:i/>
          <w:sz w:val="26"/>
          <w:szCs w:val="26"/>
        </w:rPr>
        <w:t>.</w:t>
      </w:r>
      <w:r w:rsidR="00E9588A" w:rsidRPr="00787A9E">
        <w:rPr>
          <w:sz w:val="26"/>
          <w:szCs w:val="26"/>
        </w:rPr>
        <w:t xml:space="preserve"> at 6.  </w:t>
      </w:r>
    </w:p>
    <w:p w14:paraId="0FF7800F" w14:textId="77777777" w:rsidR="00B179E7" w:rsidRPr="00787A9E" w:rsidRDefault="00B179E7" w:rsidP="00FD1A00">
      <w:pPr>
        <w:ind w:firstLine="1440"/>
        <w:contextualSpacing/>
        <w:rPr>
          <w:sz w:val="26"/>
          <w:szCs w:val="26"/>
        </w:rPr>
      </w:pPr>
    </w:p>
    <w:p w14:paraId="24F87387" w14:textId="14F0CC59" w:rsidR="00867B2B" w:rsidRPr="00787A9E" w:rsidRDefault="0047053D" w:rsidP="00FD1A00">
      <w:pPr>
        <w:ind w:firstLine="1440"/>
        <w:contextualSpacing/>
        <w:rPr>
          <w:sz w:val="26"/>
          <w:szCs w:val="26"/>
        </w:rPr>
      </w:pPr>
      <w:r w:rsidRPr="00787A9E">
        <w:rPr>
          <w:sz w:val="26"/>
          <w:szCs w:val="26"/>
        </w:rPr>
        <w:t>HVUS</w:t>
      </w:r>
      <w:r w:rsidR="00A424DB">
        <w:rPr>
          <w:sz w:val="26"/>
          <w:szCs w:val="26"/>
        </w:rPr>
        <w:t>’</w:t>
      </w:r>
      <w:r w:rsidRPr="00787A9E">
        <w:rPr>
          <w:sz w:val="26"/>
          <w:szCs w:val="26"/>
        </w:rPr>
        <w:t>s wastewater system presently serves approximately 1,154 residential and non-residential customers</w:t>
      </w:r>
      <w:r w:rsidR="00A72FAF" w:rsidRPr="00787A9E">
        <w:rPr>
          <w:sz w:val="26"/>
          <w:szCs w:val="26"/>
        </w:rPr>
        <w:t xml:space="preserve"> including </w:t>
      </w:r>
      <w:r w:rsidRPr="00787A9E">
        <w:rPr>
          <w:sz w:val="26"/>
          <w:szCs w:val="26"/>
        </w:rPr>
        <w:t xml:space="preserve">approximately </w:t>
      </w:r>
      <w:r w:rsidR="007712EE" w:rsidRPr="00787A9E">
        <w:rPr>
          <w:sz w:val="26"/>
          <w:szCs w:val="26"/>
        </w:rPr>
        <w:t>eighteen</w:t>
      </w:r>
      <w:r w:rsidRPr="00787A9E">
        <w:rPr>
          <w:sz w:val="26"/>
          <w:szCs w:val="26"/>
        </w:rPr>
        <w:t xml:space="preserve"> availability customers</w:t>
      </w:r>
      <w:r w:rsidR="00B179E7" w:rsidRPr="00787A9E">
        <w:rPr>
          <w:sz w:val="26"/>
          <w:szCs w:val="26"/>
        </w:rPr>
        <w:t xml:space="preserve">.  </w:t>
      </w:r>
      <w:r w:rsidR="00792967" w:rsidRPr="00787A9E">
        <w:rPr>
          <w:sz w:val="26"/>
          <w:szCs w:val="26"/>
        </w:rPr>
        <w:t>The wastewater system which has been in operation since the mid-1980s</w:t>
      </w:r>
      <w:r w:rsidR="0099548A" w:rsidRPr="00787A9E">
        <w:rPr>
          <w:sz w:val="26"/>
          <w:szCs w:val="26"/>
        </w:rPr>
        <w:t>,</w:t>
      </w:r>
      <w:r w:rsidR="00792967" w:rsidRPr="00787A9E">
        <w:rPr>
          <w:sz w:val="26"/>
          <w:szCs w:val="26"/>
        </w:rPr>
        <w:t xml:space="preserve"> includes two treatment plants.  Plant No. 1 has a 100,000 gallons per day (gpd) capacity while Plant No. 2 has a 30,000-gpd capacity.  Plant No. 1 also has 300,000-gallon equalization tanks.  Treated effluent from both plants is pumped to a storage lagoon for treatment on a </w:t>
      </w:r>
      <w:r w:rsidR="00AE41B4">
        <w:rPr>
          <w:sz w:val="26"/>
          <w:szCs w:val="26"/>
        </w:rPr>
        <w:t>twenty</w:t>
      </w:r>
      <w:r w:rsidR="00792967" w:rsidRPr="00787A9E">
        <w:rPr>
          <w:sz w:val="26"/>
          <w:szCs w:val="26"/>
        </w:rPr>
        <w:t xml:space="preserve">-acre spray field.  The wastewater collection system contains six grinder pump stations.  </w:t>
      </w:r>
      <w:r w:rsidRPr="00787A9E">
        <w:rPr>
          <w:sz w:val="26"/>
          <w:szCs w:val="26"/>
        </w:rPr>
        <w:t>Demand on the water</w:t>
      </w:r>
      <w:r w:rsidR="00887C36" w:rsidRPr="00787A9E">
        <w:rPr>
          <w:sz w:val="26"/>
          <w:szCs w:val="26"/>
        </w:rPr>
        <w:t xml:space="preserve"> and wastewater</w:t>
      </w:r>
      <w:r w:rsidR="00792967" w:rsidRPr="00787A9E">
        <w:rPr>
          <w:sz w:val="26"/>
          <w:szCs w:val="26"/>
        </w:rPr>
        <w:t xml:space="preserve"> </w:t>
      </w:r>
      <w:r w:rsidRPr="00787A9E">
        <w:rPr>
          <w:sz w:val="26"/>
          <w:szCs w:val="26"/>
        </w:rPr>
        <w:t>system</w:t>
      </w:r>
      <w:r w:rsidR="00792967" w:rsidRPr="00787A9E">
        <w:rPr>
          <w:sz w:val="26"/>
          <w:szCs w:val="26"/>
        </w:rPr>
        <w:t>s</w:t>
      </w:r>
      <w:r w:rsidRPr="00787A9E">
        <w:rPr>
          <w:sz w:val="26"/>
          <w:szCs w:val="26"/>
        </w:rPr>
        <w:t xml:space="preserve"> fluctuate</w:t>
      </w:r>
      <w:r w:rsidR="00CC7C42">
        <w:rPr>
          <w:sz w:val="26"/>
          <w:szCs w:val="26"/>
        </w:rPr>
        <w:t>s</w:t>
      </w:r>
      <w:r w:rsidRPr="00787A9E">
        <w:rPr>
          <w:sz w:val="26"/>
          <w:szCs w:val="26"/>
        </w:rPr>
        <w:t xml:space="preserve"> with maximum demands occurring during weekends and holidays because most connections on the system are seasonal/weekend customers</w:t>
      </w:r>
      <w:r w:rsidR="00B179E7" w:rsidRPr="00787A9E">
        <w:rPr>
          <w:sz w:val="26"/>
          <w:szCs w:val="26"/>
        </w:rPr>
        <w:t xml:space="preserve">.  </w:t>
      </w:r>
      <w:r w:rsidRPr="00787A9E">
        <w:rPr>
          <w:sz w:val="26"/>
          <w:szCs w:val="26"/>
        </w:rPr>
        <w:t>These demands on the treatment plant</w:t>
      </w:r>
      <w:r w:rsidR="0099548A" w:rsidRPr="00787A9E">
        <w:rPr>
          <w:sz w:val="26"/>
          <w:szCs w:val="26"/>
        </w:rPr>
        <w:t>s</w:t>
      </w:r>
      <w:r w:rsidRPr="00787A9E">
        <w:rPr>
          <w:sz w:val="26"/>
          <w:szCs w:val="26"/>
        </w:rPr>
        <w:t xml:space="preserve"> require HVUS to respond to unusual operational conditions due to the transient resort population with peak flows occurring on winter weekends and low</w:t>
      </w:r>
      <w:r w:rsidR="00D3249B" w:rsidRPr="00787A9E">
        <w:rPr>
          <w:sz w:val="26"/>
          <w:szCs w:val="26"/>
        </w:rPr>
        <w:t>-</w:t>
      </w:r>
      <w:r w:rsidRPr="00787A9E">
        <w:rPr>
          <w:sz w:val="26"/>
          <w:szCs w:val="26"/>
        </w:rPr>
        <w:t>flow conditions during the week and in the spring and fall</w:t>
      </w:r>
      <w:r w:rsidR="00B179E7" w:rsidRPr="00787A9E">
        <w:rPr>
          <w:sz w:val="26"/>
          <w:szCs w:val="26"/>
        </w:rPr>
        <w:t xml:space="preserve">.  </w:t>
      </w:r>
      <w:r w:rsidR="00C007B0" w:rsidRPr="00787A9E">
        <w:rPr>
          <w:sz w:val="26"/>
          <w:szCs w:val="26"/>
        </w:rPr>
        <w:t xml:space="preserve">HVUS M.B </w:t>
      </w:r>
      <w:r w:rsidR="006E7652" w:rsidRPr="00787A9E">
        <w:rPr>
          <w:sz w:val="26"/>
          <w:szCs w:val="26"/>
        </w:rPr>
        <w:t xml:space="preserve">at 5, </w:t>
      </w:r>
      <w:r w:rsidR="00D81018">
        <w:rPr>
          <w:sz w:val="26"/>
          <w:szCs w:val="26"/>
        </w:rPr>
        <w:t>6-</w:t>
      </w:r>
      <w:r w:rsidR="00C67A7D" w:rsidRPr="00787A9E">
        <w:rPr>
          <w:sz w:val="26"/>
          <w:szCs w:val="26"/>
        </w:rPr>
        <w:t>7.</w:t>
      </w:r>
    </w:p>
    <w:p w14:paraId="6A74BEBC" w14:textId="77777777" w:rsidR="00AB36EB" w:rsidRPr="00787A9E" w:rsidRDefault="00AB36EB" w:rsidP="00FD1A00">
      <w:pPr>
        <w:ind w:firstLine="1440"/>
        <w:contextualSpacing/>
        <w:rPr>
          <w:sz w:val="26"/>
          <w:szCs w:val="26"/>
        </w:rPr>
      </w:pPr>
    </w:p>
    <w:p w14:paraId="1BC61115" w14:textId="3CDCC549" w:rsidR="00AB36EB" w:rsidRPr="00787A9E" w:rsidRDefault="00AB36EB" w:rsidP="00FD1A00">
      <w:pPr>
        <w:autoSpaceDE w:val="0"/>
        <w:autoSpaceDN w:val="0"/>
        <w:ind w:firstLine="1440"/>
        <w:contextualSpacing/>
        <w:rPr>
          <w:sz w:val="26"/>
          <w:szCs w:val="26"/>
        </w:rPr>
      </w:pPr>
      <w:r w:rsidRPr="00787A9E">
        <w:rPr>
          <w:sz w:val="26"/>
          <w:szCs w:val="26"/>
        </w:rPr>
        <w:t xml:space="preserve">The </w:t>
      </w:r>
      <w:r w:rsidR="00371FA1" w:rsidRPr="00787A9E">
        <w:rPr>
          <w:sz w:val="26"/>
          <w:szCs w:val="26"/>
        </w:rPr>
        <w:t>2005 Settlement</w:t>
      </w:r>
      <w:r w:rsidRPr="00787A9E">
        <w:rPr>
          <w:i/>
          <w:sz w:val="26"/>
          <w:szCs w:val="26"/>
        </w:rPr>
        <w:t xml:space="preserve"> </w:t>
      </w:r>
      <w:r w:rsidRPr="00787A9E">
        <w:rPr>
          <w:sz w:val="26"/>
          <w:szCs w:val="26"/>
        </w:rPr>
        <w:t>required HVUS to implement changes and improvements to provide adequate, safe</w:t>
      </w:r>
      <w:r w:rsidR="00F02E1F" w:rsidRPr="00787A9E">
        <w:rPr>
          <w:sz w:val="26"/>
          <w:szCs w:val="26"/>
        </w:rPr>
        <w:t>,</w:t>
      </w:r>
      <w:r w:rsidRPr="00787A9E">
        <w:rPr>
          <w:sz w:val="26"/>
          <w:szCs w:val="26"/>
        </w:rPr>
        <w:t xml:space="preserve"> and reasonable service and to address long-term problems including brown or rust-colored water, low water pressure, and high levels of unaccounted-for water.  HVUS</w:t>
      </w:r>
      <w:r w:rsidR="00A424DB">
        <w:rPr>
          <w:sz w:val="26"/>
          <w:szCs w:val="26"/>
        </w:rPr>
        <w:t>’</w:t>
      </w:r>
      <w:r w:rsidRPr="00787A9E">
        <w:rPr>
          <w:sz w:val="26"/>
          <w:szCs w:val="26"/>
        </w:rPr>
        <w:t>s rates were set at the time of the 2005 Settlement and have not been increased since that time.</w:t>
      </w:r>
      <w:r w:rsidRPr="00787A9E">
        <w:rPr>
          <w:sz w:val="26"/>
          <w:szCs w:val="26"/>
          <w:vertAlign w:val="superscript"/>
        </w:rPr>
        <w:footnoteReference w:id="6"/>
      </w:r>
    </w:p>
    <w:p w14:paraId="188A23DB" w14:textId="77777777" w:rsidR="006E7652" w:rsidRPr="00787A9E" w:rsidRDefault="006E7652" w:rsidP="00FD1A00">
      <w:pPr>
        <w:ind w:firstLine="1440"/>
        <w:contextualSpacing/>
        <w:rPr>
          <w:sz w:val="26"/>
          <w:szCs w:val="26"/>
        </w:rPr>
      </w:pPr>
    </w:p>
    <w:p w14:paraId="068E3824" w14:textId="77777777" w:rsidR="0047053D" w:rsidRPr="00787A9E" w:rsidRDefault="00867B2B" w:rsidP="00FD1A00">
      <w:pPr>
        <w:pStyle w:val="Heading1"/>
        <w:keepNext/>
        <w:keepLines/>
        <w:contextualSpacing/>
      </w:pPr>
      <w:r w:rsidRPr="00787A9E">
        <w:t>IV.</w:t>
      </w:r>
      <w:r w:rsidRPr="00787A9E">
        <w:tab/>
        <w:t xml:space="preserve">Summary of the </w:t>
      </w:r>
      <w:r w:rsidRPr="00787A9E">
        <w:rPr>
          <w:i/>
        </w:rPr>
        <w:t>January 2018 McCloskey Order</w:t>
      </w:r>
    </w:p>
    <w:p w14:paraId="190C7DAB" w14:textId="77777777" w:rsidR="00927B34" w:rsidRPr="00787A9E" w:rsidRDefault="00927B34" w:rsidP="00FD1A00">
      <w:pPr>
        <w:keepNext/>
        <w:keepLines/>
        <w:autoSpaceDE w:val="0"/>
        <w:autoSpaceDN w:val="0"/>
        <w:contextualSpacing/>
        <w:rPr>
          <w:sz w:val="26"/>
          <w:szCs w:val="26"/>
        </w:rPr>
      </w:pPr>
    </w:p>
    <w:p w14:paraId="0F3DD2A1" w14:textId="156C8F58" w:rsidR="00857FE9" w:rsidRPr="00787A9E" w:rsidRDefault="00043FED" w:rsidP="00FD1A00">
      <w:pPr>
        <w:autoSpaceDE w:val="0"/>
        <w:autoSpaceDN w:val="0"/>
        <w:ind w:firstLine="1440"/>
        <w:contextualSpacing/>
        <w:rPr>
          <w:sz w:val="26"/>
          <w:szCs w:val="26"/>
        </w:rPr>
      </w:pPr>
      <w:r w:rsidRPr="00787A9E">
        <w:rPr>
          <w:sz w:val="26"/>
          <w:szCs w:val="26"/>
        </w:rPr>
        <w:t xml:space="preserve">On October 9, 2014, the OCA filed a </w:t>
      </w:r>
      <w:r w:rsidR="005859BA">
        <w:rPr>
          <w:sz w:val="26"/>
          <w:szCs w:val="26"/>
        </w:rPr>
        <w:t>F</w:t>
      </w:r>
      <w:r w:rsidR="00B324EE" w:rsidRPr="00787A9E">
        <w:rPr>
          <w:sz w:val="26"/>
          <w:szCs w:val="26"/>
        </w:rPr>
        <w:t xml:space="preserve">ormal </w:t>
      </w:r>
      <w:r w:rsidR="005859BA">
        <w:rPr>
          <w:sz w:val="26"/>
          <w:szCs w:val="26"/>
        </w:rPr>
        <w:t>C</w:t>
      </w:r>
      <w:r w:rsidR="00B324EE" w:rsidRPr="00787A9E">
        <w:rPr>
          <w:sz w:val="26"/>
          <w:szCs w:val="26"/>
        </w:rPr>
        <w:t xml:space="preserve">omplaint </w:t>
      </w:r>
      <w:r w:rsidRPr="00787A9E">
        <w:rPr>
          <w:sz w:val="26"/>
          <w:szCs w:val="26"/>
        </w:rPr>
        <w:t>against HVUS, regarding water services, at Docket No. C</w:t>
      </w:r>
      <w:r w:rsidRPr="00787A9E">
        <w:rPr>
          <w:sz w:val="26"/>
          <w:szCs w:val="26"/>
        </w:rPr>
        <w:noBreakHyphen/>
        <w:t>2014-2447138 (Water Complaint)</w:t>
      </w:r>
      <w:r w:rsidR="00CC5606" w:rsidRPr="00787A9E">
        <w:rPr>
          <w:sz w:val="26"/>
          <w:szCs w:val="26"/>
        </w:rPr>
        <w:t xml:space="preserve"> and</w:t>
      </w:r>
      <w:r w:rsidRPr="00787A9E">
        <w:rPr>
          <w:sz w:val="26"/>
          <w:szCs w:val="26"/>
        </w:rPr>
        <w:t xml:space="preserve"> wastewater services, at Docket No. C</w:t>
      </w:r>
      <w:r w:rsidRPr="00787A9E">
        <w:rPr>
          <w:sz w:val="26"/>
          <w:szCs w:val="26"/>
        </w:rPr>
        <w:noBreakHyphen/>
        <w:t xml:space="preserve">2014-2447169 (Wastewater Complaint).  In the Water Complaint, the OCA averred that the Company failed to provide adequate, safe and reasonable service, regarding water system issues, alleging, </w:t>
      </w:r>
      <w:r w:rsidRPr="00787A9E">
        <w:rPr>
          <w:i/>
          <w:sz w:val="26"/>
          <w:szCs w:val="26"/>
        </w:rPr>
        <w:t xml:space="preserve">inter alia, </w:t>
      </w:r>
      <w:r w:rsidRPr="00787A9E">
        <w:rPr>
          <w:sz w:val="26"/>
          <w:szCs w:val="26"/>
        </w:rPr>
        <w:t>continuing incidents of dirty, brown and rusty water; lack</w:t>
      </w:r>
      <w:r w:rsidR="005859BA">
        <w:rPr>
          <w:sz w:val="26"/>
          <w:szCs w:val="26"/>
        </w:rPr>
        <w:t xml:space="preserve"> </w:t>
      </w:r>
      <w:r w:rsidRPr="00787A9E">
        <w:rPr>
          <w:sz w:val="26"/>
          <w:szCs w:val="26"/>
        </w:rPr>
        <w:t>of proper equipment; the failure to properly maintain water tanks; low water pressure which is alleged to be inadequate for basic household uses, and lack of system maintenance.  The OCA further alleged the existence of financial and managerial problems.</w:t>
      </w:r>
      <w:r w:rsidR="009B20B5" w:rsidRPr="00787A9E">
        <w:rPr>
          <w:sz w:val="26"/>
          <w:szCs w:val="26"/>
        </w:rPr>
        <w:t xml:space="preserve">  </w:t>
      </w:r>
      <w:r w:rsidR="00857FE9" w:rsidRPr="00787A9E">
        <w:rPr>
          <w:sz w:val="26"/>
          <w:szCs w:val="26"/>
        </w:rPr>
        <w:t>In the Wastewater Complaint, the OCA averred, in part, that the Company failed to provide adequate, safe and reasonable service, and that the system lacks certain equipment.  The OCA further alleged the existence of financial and managerial problems similar to those pertaining to the water system.</w:t>
      </w:r>
    </w:p>
    <w:p w14:paraId="51C6253B" w14:textId="77777777" w:rsidR="00043FED" w:rsidRPr="00787A9E" w:rsidRDefault="00043FED" w:rsidP="00FD1A00">
      <w:pPr>
        <w:autoSpaceDE w:val="0"/>
        <w:autoSpaceDN w:val="0"/>
        <w:ind w:firstLine="1440"/>
        <w:contextualSpacing/>
        <w:rPr>
          <w:sz w:val="26"/>
          <w:szCs w:val="26"/>
        </w:rPr>
      </w:pPr>
    </w:p>
    <w:p w14:paraId="398F31DC" w14:textId="7034FD3A" w:rsidR="00857FE9" w:rsidRPr="00787A9E" w:rsidRDefault="00857FE9" w:rsidP="00FD1A00">
      <w:pPr>
        <w:shd w:val="clear" w:color="auto" w:fill="FFFFFF" w:themeFill="background1"/>
        <w:ind w:firstLine="1440"/>
        <w:contextualSpacing/>
        <w:rPr>
          <w:color w:val="000000"/>
          <w:sz w:val="26"/>
          <w:szCs w:val="26"/>
        </w:rPr>
      </w:pPr>
      <w:r w:rsidRPr="00787A9E">
        <w:rPr>
          <w:bCs/>
          <w:color w:val="000000"/>
          <w:sz w:val="26"/>
          <w:szCs w:val="26"/>
        </w:rPr>
        <w:t>In</w:t>
      </w:r>
      <w:r w:rsidR="0072764D" w:rsidRPr="00787A9E">
        <w:rPr>
          <w:bCs/>
          <w:color w:val="000000"/>
          <w:sz w:val="26"/>
          <w:szCs w:val="26"/>
        </w:rPr>
        <w:t xml:space="preserve"> an </w:t>
      </w:r>
      <w:r w:rsidRPr="00787A9E">
        <w:rPr>
          <w:bCs/>
          <w:color w:val="000000"/>
          <w:sz w:val="26"/>
          <w:szCs w:val="26"/>
        </w:rPr>
        <w:t xml:space="preserve">Initial Decision issued on September 9, 2016, ALJ </w:t>
      </w:r>
      <w:r w:rsidR="00BD67D4">
        <w:rPr>
          <w:bCs/>
          <w:color w:val="000000"/>
          <w:sz w:val="26"/>
          <w:szCs w:val="26"/>
        </w:rPr>
        <w:t>Jeffrey</w:t>
      </w:r>
      <w:r w:rsidR="00D67653">
        <w:rPr>
          <w:bCs/>
          <w:color w:val="000000"/>
          <w:sz w:val="26"/>
          <w:szCs w:val="26"/>
        </w:rPr>
        <w:t> </w:t>
      </w:r>
      <w:r w:rsidR="00BD67D4">
        <w:rPr>
          <w:bCs/>
          <w:color w:val="000000"/>
          <w:sz w:val="26"/>
          <w:szCs w:val="26"/>
        </w:rPr>
        <w:t>A.</w:t>
      </w:r>
      <w:r w:rsidR="00D67653">
        <w:rPr>
          <w:bCs/>
          <w:color w:val="000000"/>
          <w:sz w:val="26"/>
          <w:szCs w:val="26"/>
        </w:rPr>
        <w:t> </w:t>
      </w:r>
      <w:r w:rsidR="00E14C5C" w:rsidRPr="00787A9E">
        <w:rPr>
          <w:bCs/>
          <w:color w:val="000000"/>
          <w:sz w:val="26"/>
          <w:szCs w:val="26"/>
        </w:rPr>
        <w:t xml:space="preserve">Watson </w:t>
      </w:r>
      <w:r w:rsidRPr="00787A9E">
        <w:rPr>
          <w:bCs/>
          <w:color w:val="000000"/>
          <w:sz w:val="26"/>
          <w:szCs w:val="26"/>
        </w:rPr>
        <w:t xml:space="preserve">sustained the Water and Wastewater Complaints filed by the OCA and imposed a </w:t>
      </w:r>
      <w:r w:rsidRPr="00787A9E">
        <w:rPr>
          <w:bCs/>
          <w:color w:val="000000"/>
          <w:sz w:val="26"/>
          <w:szCs w:val="26"/>
        </w:rPr>
        <w:lastRenderedPageBreak/>
        <w:t>corrective plan to implement improvements to the water and wastewater systems operated by HVUS.</w:t>
      </w:r>
      <w:r w:rsidRPr="00787A9E">
        <w:rPr>
          <w:rStyle w:val="FootnoteReference"/>
          <w:bCs/>
          <w:color w:val="000000"/>
          <w:sz w:val="26"/>
          <w:szCs w:val="26"/>
        </w:rPr>
        <w:footnoteReference w:id="7"/>
      </w:r>
      <w:r w:rsidRPr="00787A9E">
        <w:rPr>
          <w:bCs/>
          <w:color w:val="000000"/>
          <w:sz w:val="26"/>
          <w:szCs w:val="26"/>
        </w:rPr>
        <w:t xml:space="preserve">  The OCA, HVUS, and the Intervenors filed Exceptions on September 29, 2016.  </w:t>
      </w:r>
      <w:r w:rsidRPr="00787A9E">
        <w:rPr>
          <w:color w:val="000000"/>
          <w:sz w:val="26"/>
          <w:szCs w:val="26"/>
        </w:rPr>
        <w:t>On October 10, 2016, the Intervenors filed Replies to Exceptions, and on October 11, 2016, the OCA and the Company filed Replies to Exceptions.</w:t>
      </w:r>
    </w:p>
    <w:p w14:paraId="45788E34" w14:textId="77777777" w:rsidR="0072764D" w:rsidRPr="00787A9E" w:rsidRDefault="0072764D" w:rsidP="00FD1A00">
      <w:pPr>
        <w:shd w:val="clear" w:color="auto" w:fill="FFFFFF" w:themeFill="background1"/>
        <w:ind w:firstLine="720"/>
        <w:contextualSpacing/>
        <w:rPr>
          <w:color w:val="000000"/>
          <w:sz w:val="26"/>
          <w:szCs w:val="26"/>
        </w:rPr>
      </w:pPr>
    </w:p>
    <w:p w14:paraId="3CF42D18" w14:textId="54C5D746" w:rsidR="0072764D" w:rsidRPr="00787A9E" w:rsidRDefault="0072764D" w:rsidP="00FD1A00">
      <w:pPr>
        <w:shd w:val="clear" w:color="auto" w:fill="FFFFFF" w:themeFill="background1"/>
        <w:ind w:firstLine="1440"/>
        <w:contextualSpacing/>
        <w:rPr>
          <w:i/>
          <w:color w:val="000000"/>
          <w:sz w:val="26"/>
          <w:szCs w:val="26"/>
        </w:rPr>
      </w:pPr>
      <w:r w:rsidRPr="00787A9E">
        <w:rPr>
          <w:color w:val="000000"/>
          <w:sz w:val="26"/>
          <w:szCs w:val="26"/>
        </w:rPr>
        <w:t xml:space="preserve">In </w:t>
      </w:r>
      <w:r w:rsidR="0029296F" w:rsidRPr="00787A9E">
        <w:rPr>
          <w:color w:val="000000"/>
          <w:sz w:val="26"/>
          <w:szCs w:val="26"/>
        </w:rPr>
        <w:t>the</w:t>
      </w:r>
      <w:r w:rsidRPr="00787A9E">
        <w:rPr>
          <w:color w:val="000000"/>
          <w:sz w:val="26"/>
          <w:szCs w:val="26"/>
        </w:rPr>
        <w:t xml:space="preserve"> </w:t>
      </w:r>
      <w:bookmarkStart w:id="6" w:name="_Hlk511375285"/>
      <w:r w:rsidRPr="00787A9E">
        <w:rPr>
          <w:i/>
          <w:color w:val="000000"/>
          <w:sz w:val="26"/>
          <w:szCs w:val="26"/>
        </w:rPr>
        <w:t xml:space="preserve">January 2018 </w:t>
      </w:r>
      <w:r w:rsidR="0029296F" w:rsidRPr="00787A9E">
        <w:rPr>
          <w:i/>
          <w:color w:val="000000"/>
          <w:sz w:val="26"/>
          <w:szCs w:val="26"/>
        </w:rPr>
        <w:t xml:space="preserve">McCloskey </w:t>
      </w:r>
      <w:r w:rsidRPr="00787A9E">
        <w:rPr>
          <w:i/>
          <w:color w:val="000000"/>
          <w:sz w:val="26"/>
          <w:szCs w:val="26"/>
        </w:rPr>
        <w:t>Order</w:t>
      </w:r>
      <w:bookmarkEnd w:id="6"/>
      <w:r w:rsidRPr="00787A9E">
        <w:rPr>
          <w:color w:val="000000"/>
          <w:sz w:val="26"/>
          <w:szCs w:val="26"/>
        </w:rPr>
        <w:t xml:space="preserve">, </w:t>
      </w:r>
      <w:r w:rsidR="00EC7210">
        <w:rPr>
          <w:color w:val="000000"/>
          <w:sz w:val="26"/>
          <w:szCs w:val="26"/>
        </w:rPr>
        <w:t>we</w:t>
      </w:r>
      <w:r w:rsidRPr="00787A9E">
        <w:rPr>
          <w:color w:val="000000"/>
          <w:sz w:val="26"/>
          <w:szCs w:val="26"/>
        </w:rPr>
        <w:t xml:space="preserve"> granted the Exceptions of the OCA, HVUS</w:t>
      </w:r>
      <w:r w:rsidR="00CA5930" w:rsidRPr="00787A9E">
        <w:rPr>
          <w:color w:val="000000"/>
          <w:sz w:val="26"/>
          <w:szCs w:val="26"/>
        </w:rPr>
        <w:t>,</w:t>
      </w:r>
      <w:r w:rsidRPr="00787A9E">
        <w:rPr>
          <w:color w:val="000000"/>
          <w:sz w:val="26"/>
          <w:szCs w:val="26"/>
        </w:rPr>
        <w:t xml:space="preserve"> and the Intervenors, in part, and denied them in part, and adopted the Initial Decision, as modified.  </w:t>
      </w:r>
      <w:r w:rsidR="00EC7210">
        <w:rPr>
          <w:color w:val="000000"/>
          <w:sz w:val="26"/>
          <w:szCs w:val="26"/>
        </w:rPr>
        <w:t>Among other things, we</w:t>
      </w:r>
      <w:r w:rsidR="0029296F" w:rsidRPr="00787A9E">
        <w:rPr>
          <w:color w:val="000000"/>
          <w:sz w:val="26"/>
          <w:szCs w:val="26"/>
        </w:rPr>
        <w:t xml:space="preserve"> addressed the following in the </w:t>
      </w:r>
      <w:r w:rsidR="0029296F" w:rsidRPr="00787A9E">
        <w:rPr>
          <w:i/>
          <w:color w:val="000000"/>
          <w:sz w:val="26"/>
          <w:szCs w:val="26"/>
        </w:rPr>
        <w:t>January 2018 McCloskey Order</w:t>
      </w:r>
      <w:r w:rsidR="005859BA">
        <w:rPr>
          <w:color w:val="000000"/>
          <w:sz w:val="26"/>
          <w:szCs w:val="26"/>
        </w:rPr>
        <w:t>:</w:t>
      </w:r>
    </w:p>
    <w:p w14:paraId="7E72C124" w14:textId="77777777" w:rsidR="0029296F" w:rsidRPr="00787A9E" w:rsidRDefault="0029296F" w:rsidP="00FD1A00">
      <w:pPr>
        <w:shd w:val="clear" w:color="auto" w:fill="FFFFFF" w:themeFill="background1"/>
        <w:ind w:firstLine="720"/>
        <w:contextualSpacing/>
        <w:rPr>
          <w:i/>
          <w:color w:val="000000"/>
          <w:sz w:val="26"/>
          <w:szCs w:val="26"/>
        </w:rPr>
      </w:pPr>
    </w:p>
    <w:p w14:paraId="1368709A" w14:textId="77777777" w:rsidR="0029296F" w:rsidRPr="00787A9E" w:rsidRDefault="0029296F" w:rsidP="00FD1A00">
      <w:pPr>
        <w:pStyle w:val="ListParagraph"/>
        <w:keepNext/>
        <w:keepLines/>
        <w:numPr>
          <w:ilvl w:val="0"/>
          <w:numId w:val="18"/>
        </w:numPr>
        <w:rPr>
          <w:rFonts w:eastAsia="Calibri"/>
          <w:b/>
          <w:sz w:val="26"/>
          <w:szCs w:val="26"/>
        </w:rPr>
      </w:pPr>
      <w:r w:rsidRPr="00787A9E">
        <w:rPr>
          <w:rFonts w:eastAsia="Calibri"/>
          <w:b/>
          <w:sz w:val="26"/>
          <w:szCs w:val="26"/>
        </w:rPr>
        <w:t>Rate Reduction and Usage Allowance</w:t>
      </w:r>
    </w:p>
    <w:p w14:paraId="28B4746D" w14:textId="77777777" w:rsidR="0029296F" w:rsidRPr="00787A9E" w:rsidRDefault="0029296F" w:rsidP="00FD1A00">
      <w:pPr>
        <w:pStyle w:val="ListParagraph"/>
        <w:keepNext/>
        <w:keepLines/>
        <w:ind w:left="1080"/>
        <w:rPr>
          <w:rFonts w:eastAsia="Calibri"/>
          <w:sz w:val="26"/>
          <w:szCs w:val="26"/>
        </w:rPr>
      </w:pPr>
    </w:p>
    <w:p w14:paraId="2DE34115" w14:textId="7A4C8BEA" w:rsidR="0029296F" w:rsidRPr="00787A9E" w:rsidRDefault="00EC7210" w:rsidP="00FD1A00">
      <w:pPr>
        <w:pStyle w:val="ListParagraph"/>
        <w:ind w:left="0" w:firstLine="1440"/>
        <w:rPr>
          <w:rFonts w:eastAsia="Calibri"/>
          <w:sz w:val="26"/>
          <w:szCs w:val="26"/>
        </w:rPr>
      </w:pPr>
      <w:r>
        <w:rPr>
          <w:rFonts w:eastAsia="Calibri"/>
          <w:sz w:val="26"/>
          <w:szCs w:val="26"/>
        </w:rPr>
        <w:t>We</w:t>
      </w:r>
      <w:r w:rsidR="0029296F" w:rsidRPr="00787A9E">
        <w:rPr>
          <w:rFonts w:eastAsia="Calibri"/>
          <w:sz w:val="26"/>
          <w:szCs w:val="26"/>
        </w:rPr>
        <w:t xml:space="preserve"> first addressed the OCA</w:t>
      </w:r>
      <w:r w:rsidR="00A424DB">
        <w:rPr>
          <w:rFonts w:eastAsia="Calibri"/>
          <w:sz w:val="26"/>
          <w:szCs w:val="26"/>
        </w:rPr>
        <w:t>’</w:t>
      </w:r>
      <w:r w:rsidR="0029296F" w:rsidRPr="00787A9E">
        <w:rPr>
          <w:rFonts w:eastAsia="Calibri"/>
          <w:sz w:val="26"/>
          <w:szCs w:val="26"/>
        </w:rPr>
        <w:t xml:space="preserve">s Exception No. 1 and its request to impose a rate reduction of fifty percent for both water and wastewater service or alternatively a customer usage allowance.  </w:t>
      </w:r>
      <w:r>
        <w:rPr>
          <w:rFonts w:eastAsia="Calibri"/>
          <w:sz w:val="26"/>
          <w:szCs w:val="26"/>
        </w:rPr>
        <w:t>We</w:t>
      </w:r>
      <w:r w:rsidR="003D2195" w:rsidRPr="00787A9E">
        <w:rPr>
          <w:rFonts w:eastAsia="Calibri"/>
          <w:sz w:val="26"/>
          <w:szCs w:val="26"/>
        </w:rPr>
        <w:t xml:space="preserve"> </w:t>
      </w:r>
      <w:r w:rsidR="0029296F" w:rsidRPr="00787A9E">
        <w:rPr>
          <w:rFonts w:eastAsia="Calibri"/>
          <w:sz w:val="26"/>
          <w:szCs w:val="26"/>
        </w:rPr>
        <w:t>agreed with ALJ</w:t>
      </w:r>
      <w:r w:rsidR="00CB120A">
        <w:rPr>
          <w:rFonts w:eastAsia="Calibri"/>
          <w:sz w:val="26"/>
          <w:szCs w:val="26"/>
        </w:rPr>
        <w:t xml:space="preserve"> Watson</w:t>
      </w:r>
      <w:r w:rsidR="00A424DB">
        <w:rPr>
          <w:rFonts w:eastAsia="Calibri"/>
          <w:sz w:val="26"/>
          <w:szCs w:val="26"/>
        </w:rPr>
        <w:t>’</w:t>
      </w:r>
      <w:r w:rsidR="0029296F" w:rsidRPr="00787A9E">
        <w:rPr>
          <w:rFonts w:eastAsia="Calibri"/>
          <w:sz w:val="26"/>
          <w:szCs w:val="26"/>
        </w:rPr>
        <w:t>s finding that the Company</w:t>
      </w:r>
      <w:r w:rsidR="00BE439A" w:rsidRPr="00787A9E">
        <w:rPr>
          <w:rFonts w:eastAsia="Calibri"/>
          <w:sz w:val="26"/>
          <w:szCs w:val="26"/>
        </w:rPr>
        <w:t xml:space="preserve"> </w:t>
      </w:r>
      <w:r w:rsidR="0029296F" w:rsidRPr="00787A9E">
        <w:rPr>
          <w:rFonts w:eastAsia="Calibri"/>
          <w:sz w:val="26"/>
          <w:szCs w:val="26"/>
        </w:rPr>
        <w:t>failed to provide adequate and reasonable service to its water and wastewater customers.  Thus,</w:t>
      </w:r>
      <w:r w:rsidR="00BE439A" w:rsidRPr="00787A9E">
        <w:rPr>
          <w:rFonts w:eastAsia="Calibri"/>
          <w:sz w:val="26"/>
          <w:szCs w:val="26"/>
        </w:rPr>
        <w:t xml:space="preserve"> </w:t>
      </w:r>
      <w:r>
        <w:rPr>
          <w:rFonts w:eastAsia="Calibri"/>
          <w:sz w:val="26"/>
          <w:szCs w:val="26"/>
        </w:rPr>
        <w:t>we</w:t>
      </w:r>
      <w:r w:rsidR="00BE439A" w:rsidRPr="00787A9E">
        <w:rPr>
          <w:rFonts w:eastAsia="Calibri"/>
          <w:sz w:val="26"/>
          <w:szCs w:val="26"/>
        </w:rPr>
        <w:t xml:space="preserve"> </w:t>
      </w:r>
      <w:r w:rsidR="0029296F" w:rsidRPr="00787A9E">
        <w:rPr>
          <w:rFonts w:eastAsia="Calibri"/>
          <w:sz w:val="26"/>
          <w:szCs w:val="26"/>
        </w:rPr>
        <w:t>determined that HVUS did not comply with Section 1501 of the Code.  However,</w:t>
      </w:r>
      <w:r w:rsidR="005A3ED0" w:rsidRPr="00787A9E">
        <w:rPr>
          <w:rFonts w:eastAsia="Calibri"/>
          <w:sz w:val="26"/>
          <w:szCs w:val="26"/>
        </w:rPr>
        <w:t xml:space="preserve"> </w:t>
      </w:r>
      <w:r>
        <w:rPr>
          <w:rFonts w:eastAsia="Calibri"/>
          <w:sz w:val="26"/>
          <w:szCs w:val="26"/>
        </w:rPr>
        <w:t>we</w:t>
      </w:r>
      <w:r w:rsidR="005A3ED0" w:rsidRPr="00787A9E">
        <w:rPr>
          <w:rFonts w:eastAsia="Calibri"/>
          <w:sz w:val="26"/>
          <w:szCs w:val="26"/>
        </w:rPr>
        <w:t xml:space="preserve"> </w:t>
      </w:r>
      <w:r w:rsidR="0029296F" w:rsidRPr="00787A9E">
        <w:rPr>
          <w:rFonts w:eastAsia="Calibri"/>
          <w:sz w:val="26"/>
          <w:szCs w:val="26"/>
        </w:rPr>
        <w:t>declined to impose the OCA</w:t>
      </w:r>
      <w:r w:rsidR="00A424DB">
        <w:rPr>
          <w:rFonts w:eastAsia="Calibri"/>
          <w:sz w:val="26"/>
          <w:szCs w:val="26"/>
        </w:rPr>
        <w:t>’</w:t>
      </w:r>
      <w:r w:rsidR="0029296F" w:rsidRPr="00787A9E">
        <w:rPr>
          <w:rFonts w:eastAsia="Calibri"/>
          <w:sz w:val="26"/>
          <w:szCs w:val="26"/>
        </w:rPr>
        <w:t>s recommended remedy of a rate reduction.  Additionally,</w:t>
      </w:r>
      <w:r w:rsidR="005A3ED0" w:rsidRPr="00787A9E">
        <w:rPr>
          <w:rFonts w:eastAsia="Calibri"/>
          <w:sz w:val="26"/>
          <w:szCs w:val="26"/>
        </w:rPr>
        <w:t xml:space="preserve"> </w:t>
      </w:r>
      <w:r>
        <w:rPr>
          <w:rFonts w:eastAsia="Calibri"/>
          <w:sz w:val="26"/>
          <w:szCs w:val="26"/>
        </w:rPr>
        <w:t xml:space="preserve">we </w:t>
      </w:r>
      <w:r w:rsidR="0029296F" w:rsidRPr="00787A9E">
        <w:rPr>
          <w:rFonts w:eastAsia="Calibri"/>
          <w:sz w:val="26"/>
          <w:szCs w:val="26"/>
        </w:rPr>
        <w:t xml:space="preserve">did not </w:t>
      </w:r>
      <w:r w:rsidR="0029296F" w:rsidRPr="00787A9E">
        <w:rPr>
          <w:color w:val="000000"/>
          <w:sz w:val="26"/>
          <w:szCs w:val="26"/>
        </w:rPr>
        <w:t>believe that the OCA</w:t>
      </w:r>
      <w:r w:rsidR="00A424DB">
        <w:rPr>
          <w:color w:val="000000"/>
          <w:sz w:val="26"/>
          <w:szCs w:val="26"/>
        </w:rPr>
        <w:t>’</w:t>
      </w:r>
      <w:r w:rsidR="0029296F" w:rsidRPr="00787A9E">
        <w:rPr>
          <w:color w:val="000000"/>
          <w:sz w:val="26"/>
          <w:szCs w:val="26"/>
        </w:rPr>
        <w:t xml:space="preserve">s alternate recommendation of a usage allowance was fully supported by the record.  </w:t>
      </w:r>
      <w:r w:rsidR="0029296F" w:rsidRPr="00787A9E">
        <w:rPr>
          <w:rFonts w:eastAsia="Calibri"/>
          <w:i/>
          <w:sz w:val="26"/>
          <w:szCs w:val="26"/>
        </w:rPr>
        <w:t xml:space="preserve">January 2018 </w:t>
      </w:r>
      <w:r w:rsidR="00E57582" w:rsidRPr="00787A9E">
        <w:rPr>
          <w:rFonts w:eastAsia="Calibri"/>
          <w:i/>
          <w:sz w:val="26"/>
          <w:szCs w:val="26"/>
        </w:rPr>
        <w:t xml:space="preserve">McCloskey </w:t>
      </w:r>
      <w:r w:rsidR="0029296F" w:rsidRPr="00787A9E">
        <w:rPr>
          <w:rFonts w:eastAsia="Calibri"/>
          <w:i/>
          <w:sz w:val="26"/>
          <w:szCs w:val="26"/>
        </w:rPr>
        <w:t>Order</w:t>
      </w:r>
      <w:r w:rsidR="0029296F" w:rsidRPr="00787A9E">
        <w:rPr>
          <w:color w:val="000000"/>
          <w:sz w:val="26"/>
          <w:szCs w:val="26"/>
        </w:rPr>
        <w:t xml:space="preserve"> </w:t>
      </w:r>
      <w:r w:rsidR="00E57582" w:rsidRPr="00787A9E">
        <w:rPr>
          <w:color w:val="000000"/>
          <w:sz w:val="26"/>
          <w:szCs w:val="26"/>
        </w:rPr>
        <w:t xml:space="preserve">at </w:t>
      </w:r>
      <w:r w:rsidR="0029296F" w:rsidRPr="00787A9E">
        <w:rPr>
          <w:color w:val="000000"/>
          <w:sz w:val="26"/>
          <w:szCs w:val="26"/>
        </w:rPr>
        <w:t>23-26.</w:t>
      </w:r>
    </w:p>
    <w:p w14:paraId="0244810C" w14:textId="77777777" w:rsidR="0029296F" w:rsidRPr="00787A9E" w:rsidRDefault="0029296F" w:rsidP="00FD1A00">
      <w:pPr>
        <w:pStyle w:val="ListParagraph"/>
        <w:ind w:left="0"/>
        <w:rPr>
          <w:rFonts w:eastAsia="Calibri"/>
          <w:sz w:val="26"/>
          <w:szCs w:val="26"/>
        </w:rPr>
      </w:pPr>
    </w:p>
    <w:p w14:paraId="1917689A" w14:textId="77777777" w:rsidR="0029296F" w:rsidRPr="00787A9E" w:rsidRDefault="0029296F" w:rsidP="00FD1A00">
      <w:pPr>
        <w:pStyle w:val="ListParagraph"/>
        <w:keepNext/>
        <w:keepLines/>
        <w:numPr>
          <w:ilvl w:val="0"/>
          <w:numId w:val="18"/>
        </w:numPr>
        <w:rPr>
          <w:rFonts w:eastAsia="Calibri"/>
          <w:b/>
          <w:sz w:val="26"/>
          <w:szCs w:val="26"/>
        </w:rPr>
      </w:pPr>
      <w:r w:rsidRPr="00787A9E">
        <w:rPr>
          <w:rFonts w:eastAsia="Calibri"/>
          <w:b/>
          <w:sz w:val="26"/>
          <w:szCs w:val="26"/>
        </w:rPr>
        <w:t>Compliance Deadlines</w:t>
      </w:r>
    </w:p>
    <w:p w14:paraId="32149B1D" w14:textId="77777777" w:rsidR="0029296F" w:rsidRPr="00787A9E" w:rsidRDefault="0029296F" w:rsidP="00FD1A00">
      <w:pPr>
        <w:pStyle w:val="ListParagraph"/>
        <w:keepNext/>
        <w:keepLines/>
        <w:ind w:left="1080"/>
        <w:rPr>
          <w:rFonts w:eastAsia="Calibri"/>
          <w:sz w:val="26"/>
          <w:szCs w:val="26"/>
        </w:rPr>
      </w:pPr>
    </w:p>
    <w:p w14:paraId="5B8F76BC" w14:textId="1DC19291" w:rsidR="0029296F" w:rsidRPr="00787A9E" w:rsidRDefault="0029296F" w:rsidP="00FD1A00">
      <w:pPr>
        <w:pStyle w:val="ListParagraph"/>
        <w:ind w:left="0" w:firstLine="1440"/>
        <w:rPr>
          <w:rFonts w:eastAsia="Calibri"/>
          <w:sz w:val="26"/>
          <w:szCs w:val="26"/>
        </w:rPr>
      </w:pPr>
      <w:r w:rsidRPr="00787A9E">
        <w:rPr>
          <w:rFonts w:eastAsia="Calibri"/>
          <w:sz w:val="26"/>
          <w:szCs w:val="26"/>
        </w:rPr>
        <w:t xml:space="preserve">Next, </w:t>
      </w:r>
      <w:r w:rsidR="00EC7210">
        <w:rPr>
          <w:rFonts w:eastAsia="Calibri"/>
          <w:sz w:val="26"/>
          <w:szCs w:val="26"/>
        </w:rPr>
        <w:t>we</w:t>
      </w:r>
      <w:r w:rsidRPr="00787A9E">
        <w:rPr>
          <w:rFonts w:eastAsia="Calibri"/>
          <w:sz w:val="26"/>
          <w:szCs w:val="26"/>
        </w:rPr>
        <w:t xml:space="preserve"> addressed the OCA</w:t>
      </w:r>
      <w:r w:rsidR="00A424DB">
        <w:rPr>
          <w:rFonts w:eastAsia="Calibri"/>
          <w:sz w:val="26"/>
          <w:szCs w:val="26"/>
        </w:rPr>
        <w:t>’</w:t>
      </w:r>
      <w:r w:rsidRPr="00787A9E">
        <w:rPr>
          <w:rFonts w:eastAsia="Calibri"/>
          <w:sz w:val="26"/>
          <w:szCs w:val="26"/>
        </w:rPr>
        <w:t>s second Exception, which criticized the Initial Decision for not including all of the OCA</w:t>
      </w:r>
      <w:r w:rsidR="00A424DB">
        <w:rPr>
          <w:rFonts w:eastAsia="Calibri"/>
          <w:sz w:val="26"/>
          <w:szCs w:val="26"/>
        </w:rPr>
        <w:t>’</w:t>
      </w:r>
      <w:r w:rsidRPr="00787A9E">
        <w:rPr>
          <w:rFonts w:eastAsia="Calibri"/>
          <w:sz w:val="26"/>
          <w:szCs w:val="26"/>
        </w:rPr>
        <w:t>s recommendations for ensuring compliance with the deadlines for resolving the Company</w:t>
      </w:r>
      <w:r w:rsidR="00A424DB">
        <w:rPr>
          <w:rFonts w:eastAsia="Calibri"/>
          <w:sz w:val="26"/>
          <w:szCs w:val="26"/>
        </w:rPr>
        <w:t>’</w:t>
      </w:r>
      <w:r w:rsidRPr="00787A9E">
        <w:rPr>
          <w:rFonts w:eastAsia="Calibri"/>
          <w:sz w:val="26"/>
          <w:szCs w:val="26"/>
        </w:rPr>
        <w:t xml:space="preserve">s water and wastewater </w:t>
      </w:r>
      <w:r w:rsidRPr="00787A9E">
        <w:rPr>
          <w:rFonts w:eastAsia="Calibri"/>
          <w:sz w:val="26"/>
          <w:szCs w:val="26"/>
        </w:rPr>
        <w:lastRenderedPageBreak/>
        <w:t>problems.</w:t>
      </w:r>
      <w:r w:rsidR="00BF0230" w:rsidRPr="00787A9E">
        <w:rPr>
          <w:rFonts w:eastAsia="Calibri"/>
          <w:sz w:val="26"/>
          <w:szCs w:val="26"/>
        </w:rPr>
        <w:t xml:space="preserve">  </w:t>
      </w:r>
      <w:r w:rsidR="00EC7210">
        <w:rPr>
          <w:rFonts w:eastAsia="Calibri"/>
          <w:sz w:val="26"/>
          <w:szCs w:val="26"/>
        </w:rPr>
        <w:t>We</w:t>
      </w:r>
      <w:r w:rsidR="00BF0230" w:rsidRPr="00787A9E">
        <w:rPr>
          <w:rFonts w:eastAsia="Calibri"/>
          <w:sz w:val="26"/>
          <w:szCs w:val="26"/>
        </w:rPr>
        <w:t xml:space="preserve"> </w:t>
      </w:r>
      <w:r w:rsidRPr="00787A9E">
        <w:rPr>
          <w:rFonts w:eastAsia="Calibri"/>
          <w:sz w:val="26"/>
          <w:szCs w:val="26"/>
        </w:rPr>
        <w:t>also considered HVUS</w:t>
      </w:r>
      <w:r w:rsidR="00A424DB">
        <w:rPr>
          <w:rFonts w:eastAsia="Calibri"/>
          <w:sz w:val="26"/>
          <w:szCs w:val="26"/>
        </w:rPr>
        <w:t>’</w:t>
      </w:r>
      <w:r w:rsidRPr="00787A9E">
        <w:rPr>
          <w:rFonts w:eastAsia="Calibri"/>
          <w:sz w:val="26"/>
          <w:szCs w:val="26"/>
        </w:rPr>
        <w:t xml:space="preserve">s second Exception, which contended that </w:t>
      </w:r>
      <w:r w:rsidR="00CB120A">
        <w:rPr>
          <w:rFonts w:eastAsia="Calibri"/>
          <w:sz w:val="26"/>
          <w:szCs w:val="26"/>
        </w:rPr>
        <w:t>ALJ Watson</w:t>
      </w:r>
      <w:r w:rsidRPr="00787A9E">
        <w:rPr>
          <w:rFonts w:eastAsia="Calibri"/>
          <w:sz w:val="26"/>
          <w:szCs w:val="26"/>
        </w:rPr>
        <w:t xml:space="preserve"> established an arbitrary and unrealistic one-year deadline for the completion of projects to improve the Company</w:t>
      </w:r>
      <w:r w:rsidR="00A424DB">
        <w:rPr>
          <w:rFonts w:eastAsia="Calibri"/>
          <w:sz w:val="26"/>
          <w:szCs w:val="26"/>
        </w:rPr>
        <w:t>’</w:t>
      </w:r>
      <w:r w:rsidRPr="00787A9E">
        <w:rPr>
          <w:rFonts w:eastAsia="Calibri"/>
          <w:sz w:val="26"/>
          <w:szCs w:val="26"/>
        </w:rPr>
        <w:t xml:space="preserve">s system.  Upon review, </w:t>
      </w:r>
      <w:r w:rsidR="00EC7210">
        <w:rPr>
          <w:rFonts w:eastAsia="Calibri"/>
          <w:sz w:val="26"/>
          <w:szCs w:val="26"/>
        </w:rPr>
        <w:t>we</w:t>
      </w:r>
      <w:r w:rsidRPr="00787A9E">
        <w:rPr>
          <w:rFonts w:eastAsia="Calibri"/>
          <w:sz w:val="26"/>
          <w:szCs w:val="26"/>
        </w:rPr>
        <w:t xml:space="preserve"> </w:t>
      </w:r>
      <w:r w:rsidR="00B377FC" w:rsidRPr="00787A9E">
        <w:rPr>
          <w:rFonts w:eastAsia="Calibri"/>
          <w:sz w:val="26"/>
          <w:szCs w:val="26"/>
        </w:rPr>
        <w:t>granted</w:t>
      </w:r>
      <w:r w:rsidRPr="00787A9E">
        <w:rPr>
          <w:rFonts w:eastAsia="Calibri"/>
          <w:sz w:val="26"/>
          <w:szCs w:val="26"/>
        </w:rPr>
        <w:t xml:space="preserve">, in part, and </w:t>
      </w:r>
      <w:r w:rsidR="00B377FC" w:rsidRPr="00787A9E">
        <w:rPr>
          <w:rFonts w:eastAsia="Calibri"/>
          <w:sz w:val="26"/>
          <w:szCs w:val="26"/>
        </w:rPr>
        <w:t>denied</w:t>
      </w:r>
      <w:r w:rsidRPr="00787A9E">
        <w:rPr>
          <w:rFonts w:eastAsia="Calibri"/>
          <w:sz w:val="26"/>
          <w:szCs w:val="26"/>
        </w:rPr>
        <w:t>, in part, the OCA Exception No. 2, and denied HVUS Exception No. 2.</w:t>
      </w:r>
    </w:p>
    <w:p w14:paraId="29CAE3EA" w14:textId="77777777" w:rsidR="0029296F" w:rsidRPr="00787A9E" w:rsidRDefault="0029296F" w:rsidP="00FD1A00">
      <w:pPr>
        <w:pStyle w:val="ListParagraph"/>
        <w:ind w:left="0"/>
        <w:rPr>
          <w:rFonts w:eastAsia="Calibri"/>
          <w:sz w:val="26"/>
          <w:szCs w:val="26"/>
        </w:rPr>
      </w:pPr>
    </w:p>
    <w:p w14:paraId="679644C6" w14:textId="53A6ACB0" w:rsidR="0029296F" w:rsidRPr="00787A9E" w:rsidRDefault="0029296F" w:rsidP="00FD1A00">
      <w:pPr>
        <w:pStyle w:val="ListParagraph"/>
        <w:ind w:left="0" w:firstLine="1440"/>
        <w:rPr>
          <w:rFonts w:eastAsia="Calibri"/>
          <w:sz w:val="26"/>
          <w:szCs w:val="26"/>
        </w:rPr>
      </w:pPr>
      <w:r w:rsidRPr="00787A9E">
        <w:rPr>
          <w:rFonts w:eastAsia="Calibri"/>
          <w:sz w:val="26"/>
          <w:szCs w:val="26"/>
        </w:rPr>
        <w:t>Regarding the OCA</w:t>
      </w:r>
      <w:r w:rsidR="00A424DB">
        <w:rPr>
          <w:rFonts w:eastAsia="Calibri"/>
          <w:sz w:val="26"/>
          <w:szCs w:val="26"/>
        </w:rPr>
        <w:t>’</w:t>
      </w:r>
      <w:r w:rsidRPr="00787A9E">
        <w:rPr>
          <w:rFonts w:eastAsia="Calibri"/>
          <w:sz w:val="26"/>
          <w:szCs w:val="26"/>
        </w:rPr>
        <w:t xml:space="preserve">s Exception No. 2, </w:t>
      </w:r>
      <w:r w:rsidR="00EC7210">
        <w:rPr>
          <w:rFonts w:eastAsia="Calibri"/>
          <w:sz w:val="26"/>
          <w:szCs w:val="26"/>
        </w:rPr>
        <w:t>we</w:t>
      </w:r>
      <w:r w:rsidRPr="00787A9E">
        <w:rPr>
          <w:rFonts w:eastAsia="Calibri"/>
          <w:sz w:val="26"/>
          <w:szCs w:val="26"/>
        </w:rPr>
        <w:t xml:space="preserve"> noted</w:t>
      </w:r>
      <w:r w:rsidR="00BF0230" w:rsidRPr="00787A9E">
        <w:rPr>
          <w:rFonts w:eastAsia="Calibri"/>
          <w:sz w:val="26"/>
          <w:szCs w:val="26"/>
        </w:rPr>
        <w:t xml:space="preserve"> </w:t>
      </w:r>
      <w:r w:rsidR="00EC7210">
        <w:rPr>
          <w:rFonts w:eastAsia="Calibri"/>
          <w:sz w:val="26"/>
          <w:szCs w:val="26"/>
        </w:rPr>
        <w:t>our</w:t>
      </w:r>
      <w:r w:rsidR="00BF0230" w:rsidRPr="00787A9E">
        <w:rPr>
          <w:rFonts w:eastAsia="Calibri"/>
          <w:sz w:val="26"/>
          <w:szCs w:val="26"/>
        </w:rPr>
        <w:t xml:space="preserve"> </w:t>
      </w:r>
      <w:r w:rsidRPr="00787A9E">
        <w:rPr>
          <w:rFonts w:eastAsia="Calibri"/>
          <w:sz w:val="26"/>
          <w:szCs w:val="26"/>
        </w:rPr>
        <w:t>rejection of the OCA</w:t>
      </w:r>
      <w:r w:rsidR="00A424DB">
        <w:rPr>
          <w:rFonts w:eastAsia="Calibri"/>
          <w:sz w:val="26"/>
          <w:szCs w:val="26"/>
        </w:rPr>
        <w:t>’</w:t>
      </w:r>
      <w:r w:rsidRPr="00787A9E">
        <w:rPr>
          <w:rFonts w:eastAsia="Calibri"/>
          <w:sz w:val="26"/>
          <w:szCs w:val="26"/>
        </w:rPr>
        <w:t xml:space="preserve">s requested rate relief.  Thus, </w:t>
      </w:r>
      <w:r w:rsidR="00EC7210">
        <w:rPr>
          <w:rFonts w:eastAsia="Calibri"/>
          <w:sz w:val="26"/>
          <w:szCs w:val="26"/>
        </w:rPr>
        <w:t>we</w:t>
      </w:r>
      <w:r w:rsidRPr="00787A9E">
        <w:rPr>
          <w:rFonts w:eastAsia="Calibri"/>
          <w:sz w:val="26"/>
          <w:szCs w:val="26"/>
        </w:rPr>
        <w:t xml:space="preserve"> denied the Exception to the extent that it requested a rate reduction as a deadline compliance measure for the reasons discussed in the disposition above.  However, due to the extended time-period for compliance with the 2005 Settlement and the lack of resolution of the outstanding service problems, </w:t>
      </w:r>
      <w:r w:rsidR="00135958">
        <w:rPr>
          <w:rFonts w:eastAsia="Calibri"/>
          <w:sz w:val="26"/>
          <w:szCs w:val="26"/>
        </w:rPr>
        <w:t xml:space="preserve">we </w:t>
      </w:r>
      <w:r w:rsidRPr="00787A9E">
        <w:rPr>
          <w:rFonts w:eastAsia="Calibri"/>
          <w:sz w:val="26"/>
          <w:szCs w:val="26"/>
        </w:rPr>
        <w:t xml:space="preserve">believed there should be some mechanism for ensuring that further compliance deadlines are met.  </w:t>
      </w:r>
      <w:r w:rsidR="00135958">
        <w:rPr>
          <w:rFonts w:eastAsia="Calibri"/>
          <w:sz w:val="26"/>
          <w:szCs w:val="26"/>
        </w:rPr>
        <w:t>We</w:t>
      </w:r>
      <w:r w:rsidRPr="00787A9E">
        <w:rPr>
          <w:rFonts w:eastAsia="Calibri"/>
          <w:sz w:val="26"/>
          <w:szCs w:val="26"/>
        </w:rPr>
        <w:t xml:space="preserve"> explained that any failure to further comply with the deadlines set forth in the </w:t>
      </w:r>
      <w:r w:rsidRPr="00787A9E">
        <w:rPr>
          <w:rFonts w:eastAsia="Calibri"/>
          <w:i/>
          <w:sz w:val="26"/>
          <w:szCs w:val="26"/>
        </w:rPr>
        <w:t xml:space="preserve">January 2018 </w:t>
      </w:r>
      <w:r w:rsidR="00775CF1" w:rsidRPr="00787A9E">
        <w:rPr>
          <w:rFonts w:eastAsia="Calibri"/>
          <w:i/>
          <w:sz w:val="26"/>
          <w:szCs w:val="26"/>
        </w:rPr>
        <w:t xml:space="preserve">McCloskey </w:t>
      </w:r>
      <w:r w:rsidRPr="00787A9E">
        <w:rPr>
          <w:rFonts w:eastAsia="Calibri"/>
          <w:i/>
          <w:sz w:val="26"/>
          <w:szCs w:val="26"/>
        </w:rPr>
        <w:t>Order</w:t>
      </w:r>
      <w:r w:rsidRPr="00787A9E">
        <w:rPr>
          <w:rFonts w:eastAsia="Calibri"/>
          <w:sz w:val="26"/>
          <w:szCs w:val="26"/>
        </w:rPr>
        <w:t xml:space="preserve"> could be indicative of the Company</w:t>
      </w:r>
      <w:r w:rsidR="00A424DB">
        <w:rPr>
          <w:rFonts w:eastAsia="Calibri"/>
          <w:sz w:val="26"/>
          <w:szCs w:val="26"/>
        </w:rPr>
        <w:t>’</w:t>
      </w:r>
      <w:r w:rsidRPr="00787A9E">
        <w:rPr>
          <w:rFonts w:eastAsia="Calibri"/>
          <w:sz w:val="26"/>
          <w:szCs w:val="26"/>
        </w:rPr>
        <w:t xml:space="preserve">s lack of competency to operate and of the inability to provide reasonable and adequate service.  Accordingly, </w:t>
      </w:r>
      <w:r w:rsidR="00135958">
        <w:rPr>
          <w:rFonts w:eastAsia="Calibri"/>
          <w:sz w:val="26"/>
          <w:szCs w:val="26"/>
        </w:rPr>
        <w:t>we</w:t>
      </w:r>
      <w:r w:rsidRPr="00787A9E">
        <w:rPr>
          <w:rFonts w:eastAsia="Calibri"/>
          <w:sz w:val="26"/>
          <w:szCs w:val="26"/>
        </w:rPr>
        <w:t xml:space="preserve"> modified the Initial Decision to clarify that upon notice of the Company</w:t>
      </w:r>
      <w:r w:rsidR="00A424DB">
        <w:rPr>
          <w:rFonts w:eastAsia="Calibri"/>
          <w:sz w:val="26"/>
          <w:szCs w:val="26"/>
        </w:rPr>
        <w:t>’</w:t>
      </w:r>
      <w:r w:rsidRPr="00787A9E">
        <w:rPr>
          <w:rFonts w:eastAsia="Calibri"/>
          <w:sz w:val="26"/>
          <w:szCs w:val="26"/>
        </w:rPr>
        <w:t>s failure to comply with any applicable deadlines</w:t>
      </w:r>
      <w:r w:rsidR="009B1B53">
        <w:rPr>
          <w:rFonts w:eastAsia="Calibri"/>
          <w:sz w:val="26"/>
          <w:szCs w:val="26"/>
        </w:rPr>
        <w:t>,</w:t>
      </w:r>
      <w:r w:rsidRPr="00787A9E">
        <w:rPr>
          <w:rFonts w:eastAsia="Calibri"/>
          <w:sz w:val="26"/>
          <w:szCs w:val="26"/>
        </w:rPr>
        <w:t xml:space="preserve"> </w:t>
      </w:r>
      <w:r w:rsidR="00135958">
        <w:rPr>
          <w:rFonts w:eastAsia="Calibri"/>
          <w:sz w:val="26"/>
          <w:szCs w:val="26"/>
        </w:rPr>
        <w:t xml:space="preserve">we </w:t>
      </w:r>
      <w:r w:rsidRPr="00787A9E">
        <w:rPr>
          <w:rFonts w:eastAsia="Calibri"/>
          <w:sz w:val="26"/>
          <w:szCs w:val="26"/>
        </w:rPr>
        <w:t>shall initiate a separate proceeding pursuant to 66</w:t>
      </w:r>
      <w:r w:rsidR="00CB120A">
        <w:rPr>
          <w:rFonts w:eastAsia="Calibri"/>
          <w:sz w:val="26"/>
          <w:szCs w:val="26"/>
        </w:rPr>
        <w:t> </w:t>
      </w:r>
      <w:r w:rsidRPr="00787A9E">
        <w:rPr>
          <w:rFonts w:eastAsia="Calibri"/>
          <w:sz w:val="26"/>
          <w:szCs w:val="26"/>
        </w:rPr>
        <w:t>Pa. C.S. § 529</w:t>
      </w:r>
      <w:r w:rsidR="00B377FC" w:rsidRPr="00787A9E">
        <w:rPr>
          <w:rFonts w:eastAsia="Calibri"/>
          <w:sz w:val="26"/>
          <w:szCs w:val="26"/>
        </w:rPr>
        <w:t xml:space="preserve"> (Section 529 Proceeding)</w:t>
      </w:r>
      <w:r w:rsidRPr="00787A9E">
        <w:rPr>
          <w:rFonts w:eastAsia="Calibri"/>
          <w:sz w:val="26"/>
          <w:szCs w:val="26"/>
        </w:rPr>
        <w:t xml:space="preserve"> (relating to directing a competent utility to operate or acquire a small </w:t>
      </w:r>
      <w:r w:rsidR="00046006" w:rsidRPr="00787A9E">
        <w:rPr>
          <w:rFonts w:eastAsia="Calibri"/>
          <w:sz w:val="26"/>
          <w:szCs w:val="26"/>
        </w:rPr>
        <w:t>wastewater</w:t>
      </w:r>
      <w:r w:rsidRPr="00787A9E">
        <w:rPr>
          <w:rFonts w:eastAsia="Calibri"/>
          <w:sz w:val="26"/>
          <w:szCs w:val="26"/>
        </w:rPr>
        <w:t xml:space="preserve"> utility that has jeopardized public safety by failing to provide reasonable and adequate service).</w:t>
      </w:r>
      <w:r w:rsidR="00B73413" w:rsidRPr="00787A9E">
        <w:rPr>
          <w:rFonts w:eastAsia="Calibri"/>
          <w:sz w:val="26"/>
          <w:szCs w:val="26"/>
        </w:rPr>
        <w:t xml:space="preserve">  </w:t>
      </w:r>
      <w:r w:rsidR="00135958">
        <w:rPr>
          <w:rFonts w:eastAsia="Calibri"/>
          <w:sz w:val="26"/>
          <w:szCs w:val="26"/>
        </w:rPr>
        <w:t>We</w:t>
      </w:r>
      <w:r w:rsidR="00B73413" w:rsidRPr="00787A9E">
        <w:rPr>
          <w:rFonts w:eastAsia="Calibri"/>
          <w:sz w:val="26"/>
          <w:szCs w:val="26"/>
        </w:rPr>
        <w:t xml:space="preserve"> </w:t>
      </w:r>
      <w:r w:rsidRPr="00787A9E">
        <w:rPr>
          <w:rFonts w:eastAsia="Calibri"/>
          <w:sz w:val="26"/>
          <w:szCs w:val="26"/>
        </w:rPr>
        <w:t>further discussed</w:t>
      </w:r>
      <w:r w:rsidR="00B73413" w:rsidRPr="00787A9E">
        <w:rPr>
          <w:rFonts w:eastAsia="Calibri"/>
          <w:sz w:val="26"/>
          <w:szCs w:val="26"/>
        </w:rPr>
        <w:t xml:space="preserve"> </w:t>
      </w:r>
      <w:r w:rsidR="00135958">
        <w:rPr>
          <w:rFonts w:eastAsia="Calibri"/>
          <w:sz w:val="26"/>
          <w:szCs w:val="26"/>
        </w:rPr>
        <w:t>our</w:t>
      </w:r>
      <w:r w:rsidR="00B73413" w:rsidRPr="00787A9E">
        <w:rPr>
          <w:rFonts w:eastAsia="Calibri"/>
          <w:sz w:val="26"/>
          <w:szCs w:val="26"/>
        </w:rPr>
        <w:t xml:space="preserve"> </w:t>
      </w:r>
      <w:r w:rsidRPr="00787A9E">
        <w:rPr>
          <w:rFonts w:eastAsia="Calibri"/>
          <w:sz w:val="26"/>
          <w:szCs w:val="26"/>
        </w:rPr>
        <w:t>rationale for limiting the enforcement provisions to compliance with the deadlines specified in</w:t>
      </w:r>
      <w:r w:rsidR="00B73413" w:rsidRPr="00787A9E">
        <w:rPr>
          <w:rFonts w:eastAsia="Calibri"/>
          <w:sz w:val="26"/>
          <w:szCs w:val="26"/>
        </w:rPr>
        <w:t xml:space="preserve"> its</w:t>
      </w:r>
      <w:r w:rsidRPr="00787A9E">
        <w:rPr>
          <w:rFonts w:eastAsia="Calibri"/>
          <w:sz w:val="26"/>
          <w:szCs w:val="26"/>
        </w:rPr>
        <w:t xml:space="preserve"> Opinion and Order.  </w:t>
      </w:r>
      <w:r w:rsidRPr="00787A9E">
        <w:rPr>
          <w:rFonts w:eastAsia="Calibri"/>
          <w:i/>
          <w:sz w:val="26"/>
          <w:szCs w:val="26"/>
        </w:rPr>
        <w:t xml:space="preserve">January 2018 </w:t>
      </w:r>
      <w:r w:rsidR="00B73413" w:rsidRPr="00787A9E">
        <w:rPr>
          <w:rFonts w:eastAsia="Calibri"/>
          <w:i/>
          <w:sz w:val="26"/>
          <w:szCs w:val="26"/>
        </w:rPr>
        <w:t xml:space="preserve">McCloskey </w:t>
      </w:r>
      <w:r w:rsidRPr="00787A9E">
        <w:rPr>
          <w:rFonts w:eastAsia="Calibri"/>
          <w:i/>
          <w:sz w:val="26"/>
          <w:szCs w:val="26"/>
        </w:rPr>
        <w:t>Order</w:t>
      </w:r>
      <w:r w:rsidRPr="00787A9E">
        <w:rPr>
          <w:rFonts w:eastAsia="Calibri"/>
          <w:sz w:val="26"/>
          <w:szCs w:val="26"/>
        </w:rPr>
        <w:t xml:space="preserve"> at 29-31.</w:t>
      </w:r>
    </w:p>
    <w:p w14:paraId="0AD945B0" w14:textId="77777777" w:rsidR="0029296F" w:rsidRPr="00787A9E" w:rsidRDefault="0029296F" w:rsidP="00FD1A00">
      <w:pPr>
        <w:pStyle w:val="ListParagraph"/>
        <w:ind w:left="0"/>
        <w:rPr>
          <w:rFonts w:eastAsia="Calibri"/>
          <w:sz w:val="26"/>
          <w:szCs w:val="26"/>
        </w:rPr>
      </w:pPr>
    </w:p>
    <w:p w14:paraId="4C5317AD" w14:textId="3CC4CADE" w:rsidR="0029296F" w:rsidRPr="00787A9E" w:rsidRDefault="0029296F" w:rsidP="00FD1A00">
      <w:pPr>
        <w:pStyle w:val="ListParagraph"/>
        <w:ind w:left="0" w:firstLine="1440"/>
        <w:rPr>
          <w:rFonts w:eastAsia="Calibri"/>
          <w:sz w:val="26"/>
          <w:szCs w:val="26"/>
        </w:rPr>
      </w:pPr>
      <w:r w:rsidRPr="00787A9E">
        <w:rPr>
          <w:rFonts w:eastAsia="Calibri"/>
          <w:sz w:val="26"/>
          <w:szCs w:val="26"/>
        </w:rPr>
        <w:t>As to HVUS</w:t>
      </w:r>
      <w:r w:rsidR="00A424DB">
        <w:rPr>
          <w:rFonts w:eastAsia="Calibri"/>
          <w:sz w:val="26"/>
          <w:szCs w:val="26"/>
        </w:rPr>
        <w:t>’</w:t>
      </w:r>
      <w:r w:rsidRPr="00787A9E">
        <w:rPr>
          <w:rFonts w:eastAsia="Calibri"/>
          <w:sz w:val="26"/>
          <w:szCs w:val="26"/>
        </w:rPr>
        <w:t>s second Exception,</w:t>
      </w:r>
      <w:r w:rsidR="00A4315A" w:rsidRPr="00787A9E">
        <w:rPr>
          <w:rFonts w:eastAsia="Calibri"/>
          <w:sz w:val="26"/>
          <w:szCs w:val="26"/>
        </w:rPr>
        <w:t xml:space="preserve"> </w:t>
      </w:r>
      <w:r w:rsidR="00135958">
        <w:rPr>
          <w:rFonts w:eastAsia="Calibri"/>
          <w:sz w:val="26"/>
          <w:szCs w:val="26"/>
        </w:rPr>
        <w:t xml:space="preserve">we </w:t>
      </w:r>
      <w:r w:rsidRPr="00787A9E">
        <w:rPr>
          <w:rFonts w:eastAsia="Calibri"/>
          <w:sz w:val="26"/>
          <w:szCs w:val="26"/>
        </w:rPr>
        <w:t>explained that the Company</w:t>
      </w:r>
      <w:r w:rsidR="00A424DB">
        <w:rPr>
          <w:rFonts w:eastAsia="Calibri"/>
          <w:sz w:val="26"/>
          <w:szCs w:val="26"/>
        </w:rPr>
        <w:t>’</w:t>
      </w:r>
      <w:r w:rsidRPr="00787A9E">
        <w:rPr>
          <w:rFonts w:eastAsia="Calibri"/>
          <w:sz w:val="26"/>
          <w:szCs w:val="26"/>
        </w:rPr>
        <w:t>s customers have been suffering from poor water quality and unreasonable service for years.</w:t>
      </w:r>
      <w:r w:rsidR="00A4315A" w:rsidRPr="00787A9E">
        <w:rPr>
          <w:rFonts w:eastAsia="Calibri"/>
          <w:sz w:val="26"/>
          <w:szCs w:val="26"/>
        </w:rPr>
        <w:t xml:space="preserve">  </w:t>
      </w:r>
      <w:r w:rsidR="00135958">
        <w:rPr>
          <w:rFonts w:eastAsia="Calibri"/>
          <w:sz w:val="26"/>
          <w:szCs w:val="26"/>
        </w:rPr>
        <w:t xml:space="preserve">We </w:t>
      </w:r>
      <w:r w:rsidRPr="00787A9E">
        <w:rPr>
          <w:rFonts w:eastAsia="Calibri"/>
          <w:sz w:val="26"/>
          <w:szCs w:val="26"/>
        </w:rPr>
        <w:t xml:space="preserve">emphasized that any subsequent delays in failing to remediate the problems due to the failure to meet compliance deadlines would be unacceptable.  </w:t>
      </w:r>
      <w:r w:rsidR="00F37BA6" w:rsidRPr="00787A9E">
        <w:rPr>
          <w:rFonts w:eastAsia="Calibri"/>
          <w:sz w:val="26"/>
          <w:szCs w:val="26"/>
        </w:rPr>
        <w:t>According</w:t>
      </w:r>
      <w:r w:rsidR="00814167">
        <w:rPr>
          <w:rFonts w:eastAsia="Calibri"/>
          <w:sz w:val="26"/>
          <w:szCs w:val="26"/>
        </w:rPr>
        <w:t xml:space="preserve">ly, we explained that </w:t>
      </w:r>
      <w:r w:rsidR="00F37BA6" w:rsidRPr="00787A9E">
        <w:rPr>
          <w:rFonts w:eastAsia="Calibri"/>
          <w:sz w:val="26"/>
          <w:szCs w:val="26"/>
        </w:rPr>
        <w:t>t</w:t>
      </w:r>
      <w:r w:rsidRPr="00787A9E">
        <w:rPr>
          <w:rFonts w:eastAsia="Calibri"/>
          <w:sz w:val="26"/>
          <w:szCs w:val="26"/>
        </w:rPr>
        <w:t>he one-year deadline for implementing the corrective measures established in the engineer</w:t>
      </w:r>
      <w:r w:rsidR="00A424DB">
        <w:rPr>
          <w:rFonts w:eastAsia="Calibri"/>
          <w:sz w:val="26"/>
          <w:szCs w:val="26"/>
        </w:rPr>
        <w:t>’</w:t>
      </w:r>
      <w:r w:rsidRPr="00787A9E">
        <w:rPr>
          <w:rFonts w:eastAsia="Calibri"/>
          <w:sz w:val="26"/>
          <w:szCs w:val="26"/>
        </w:rPr>
        <w:t xml:space="preserve">s report sets an objective guideline for compliance.  </w:t>
      </w:r>
      <w:r w:rsidR="00814167">
        <w:rPr>
          <w:rFonts w:eastAsia="Calibri"/>
          <w:sz w:val="26"/>
          <w:szCs w:val="26"/>
        </w:rPr>
        <w:t>We also stated that</w:t>
      </w:r>
      <w:r w:rsidRPr="00787A9E">
        <w:rPr>
          <w:rFonts w:eastAsia="Calibri"/>
          <w:sz w:val="26"/>
          <w:szCs w:val="26"/>
        </w:rPr>
        <w:t xml:space="preserve">, if additional time were deemed critical, the Company could petition the </w:t>
      </w:r>
      <w:r w:rsidRPr="00787A9E">
        <w:rPr>
          <w:rFonts w:eastAsia="Calibri"/>
          <w:sz w:val="26"/>
          <w:szCs w:val="26"/>
        </w:rPr>
        <w:lastRenderedPageBreak/>
        <w:t xml:space="preserve">Commission for relief to modify the deadline pursuant to Section 5.572(d) of the Code.  </w:t>
      </w:r>
      <w:r w:rsidRPr="00787A9E">
        <w:rPr>
          <w:rFonts w:eastAsia="Calibri"/>
          <w:i/>
          <w:sz w:val="26"/>
          <w:szCs w:val="26"/>
        </w:rPr>
        <w:t xml:space="preserve">January 2018 </w:t>
      </w:r>
      <w:r w:rsidR="00A4315A" w:rsidRPr="00787A9E">
        <w:rPr>
          <w:rFonts w:eastAsia="Calibri"/>
          <w:i/>
          <w:sz w:val="26"/>
          <w:szCs w:val="26"/>
        </w:rPr>
        <w:t xml:space="preserve">McCloskey </w:t>
      </w:r>
      <w:r w:rsidRPr="00787A9E">
        <w:rPr>
          <w:rFonts w:eastAsia="Calibri"/>
          <w:i/>
          <w:sz w:val="26"/>
          <w:szCs w:val="26"/>
        </w:rPr>
        <w:t>Order</w:t>
      </w:r>
      <w:r w:rsidRPr="00787A9E">
        <w:rPr>
          <w:rFonts w:eastAsia="Calibri"/>
          <w:sz w:val="26"/>
          <w:szCs w:val="26"/>
        </w:rPr>
        <w:t xml:space="preserve"> at 31.</w:t>
      </w:r>
    </w:p>
    <w:p w14:paraId="2AC01E2B" w14:textId="77777777" w:rsidR="0029296F" w:rsidRPr="00787A9E" w:rsidRDefault="0029296F" w:rsidP="00FD1A00">
      <w:pPr>
        <w:pStyle w:val="ListParagraph"/>
        <w:ind w:left="0"/>
        <w:rPr>
          <w:rFonts w:eastAsia="Calibri"/>
          <w:b/>
          <w:sz w:val="26"/>
          <w:szCs w:val="26"/>
        </w:rPr>
      </w:pPr>
    </w:p>
    <w:p w14:paraId="275214B1" w14:textId="77777777" w:rsidR="0029296F" w:rsidRPr="00787A9E" w:rsidRDefault="0029296F" w:rsidP="00FD1A00">
      <w:pPr>
        <w:pStyle w:val="ListParagraph"/>
        <w:keepNext/>
        <w:keepLines/>
        <w:numPr>
          <w:ilvl w:val="0"/>
          <w:numId w:val="18"/>
        </w:numPr>
        <w:rPr>
          <w:rFonts w:eastAsia="Calibri"/>
          <w:b/>
          <w:sz w:val="26"/>
          <w:szCs w:val="26"/>
        </w:rPr>
      </w:pPr>
      <w:r w:rsidRPr="00787A9E">
        <w:rPr>
          <w:rFonts w:eastAsia="Calibri"/>
          <w:b/>
          <w:sz w:val="26"/>
          <w:szCs w:val="26"/>
        </w:rPr>
        <w:t>Ordering Paragraph Revisions</w:t>
      </w:r>
    </w:p>
    <w:p w14:paraId="12F07F34" w14:textId="77777777" w:rsidR="0029296F" w:rsidRPr="00787A9E" w:rsidRDefault="0029296F" w:rsidP="00FD1A00">
      <w:pPr>
        <w:pStyle w:val="ListParagraph"/>
        <w:keepNext/>
        <w:keepLines/>
        <w:ind w:left="0"/>
        <w:rPr>
          <w:rFonts w:eastAsia="Calibri"/>
          <w:sz w:val="26"/>
          <w:szCs w:val="26"/>
        </w:rPr>
      </w:pPr>
    </w:p>
    <w:p w14:paraId="2F4CAA82" w14:textId="20ADB6F6" w:rsidR="0029296F" w:rsidRPr="00787A9E" w:rsidRDefault="0029296F" w:rsidP="00FD1A00">
      <w:pPr>
        <w:pStyle w:val="ListParagraph"/>
        <w:ind w:left="0" w:firstLine="1440"/>
        <w:rPr>
          <w:rFonts w:eastAsia="Calibri"/>
          <w:sz w:val="26"/>
          <w:szCs w:val="26"/>
        </w:rPr>
      </w:pPr>
      <w:r w:rsidRPr="00787A9E">
        <w:rPr>
          <w:rFonts w:eastAsia="Calibri"/>
          <w:sz w:val="26"/>
          <w:szCs w:val="26"/>
        </w:rPr>
        <w:t xml:space="preserve">In their third Exception, the Intervenors objected to several ordering paragraphs in the Initial Decision as providing unreasonable extensions of time for complying with the 2005 Settlement and failing to provide clear penalties and consequences for future noncompliance by HVUS.  The Intervenors requested several modifications to help establish sufficient enforcement measures.  Likewise, the OCA in its third Exception requested modifications of several ordering paragraphs in the Initial Decision and the addition of other </w:t>
      </w:r>
      <w:r w:rsidR="007E4904" w:rsidRPr="00787A9E">
        <w:rPr>
          <w:rFonts w:eastAsia="Calibri"/>
          <w:sz w:val="26"/>
          <w:szCs w:val="26"/>
        </w:rPr>
        <w:t xml:space="preserve">ordering </w:t>
      </w:r>
      <w:r w:rsidRPr="00787A9E">
        <w:rPr>
          <w:rFonts w:eastAsia="Calibri"/>
          <w:sz w:val="26"/>
          <w:szCs w:val="26"/>
        </w:rPr>
        <w:t>paragraphs to ensure that the water being provided to customers is treated as effectively as possible.</w:t>
      </w:r>
      <w:r w:rsidRPr="00787A9E">
        <w:rPr>
          <w:rStyle w:val="FootnoteReference"/>
          <w:rFonts w:eastAsia="Calibri"/>
          <w:sz w:val="26"/>
          <w:szCs w:val="26"/>
        </w:rPr>
        <w:footnoteReference w:id="8"/>
      </w:r>
    </w:p>
    <w:p w14:paraId="2B36150B" w14:textId="77777777" w:rsidR="00F24C54" w:rsidRPr="00787A9E" w:rsidRDefault="00F24C54" w:rsidP="00FD1A00">
      <w:pPr>
        <w:pStyle w:val="ListParagraph"/>
        <w:ind w:left="0"/>
        <w:rPr>
          <w:rFonts w:eastAsia="Calibri"/>
          <w:b/>
          <w:sz w:val="26"/>
          <w:szCs w:val="26"/>
        </w:rPr>
      </w:pPr>
    </w:p>
    <w:p w14:paraId="54D21C57" w14:textId="3680D487" w:rsidR="0029296F" w:rsidRPr="00787A9E" w:rsidRDefault="00814167" w:rsidP="00FD1A00">
      <w:pPr>
        <w:pStyle w:val="ListParagraph"/>
        <w:ind w:left="0" w:firstLine="1440"/>
        <w:rPr>
          <w:rFonts w:eastAsia="Calibri"/>
          <w:sz w:val="26"/>
          <w:szCs w:val="26"/>
        </w:rPr>
      </w:pPr>
      <w:r>
        <w:rPr>
          <w:rFonts w:eastAsia="Calibri"/>
          <w:sz w:val="26"/>
          <w:szCs w:val="26"/>
        </w:rPr>
        <w:t>We</w:t>
      </w:r>
      <w:r w:rsidR="0029296F" w:rsidRPr="00787A9E">
        <w:rPr>
          <w:rFonts w:eastAsia="Calibri"/>
          <w:sz w:val="26"/>
          <w:szCs w:val="26"/>
        </w:rPr>
        <w:t xml:space="preserve"> granted the Intervenors</w:t>
      </w:r>
      <w:r w:rsidR="00A424DB">
        <w:rPr>
          <w:rFonts w:eastAsia="Calibri"/>
          <w:sz w:val="26"/>
          <w:szCs w:val="26"/>
        </w:rPr>
        <w:t>’</w:t>
      </w:r>
      <w:r w:rsidR="0029296F" w:rsidRPr="00787A9E">
        <w:rPr>
          <w:rFonts w:eastAsia="Calibri"/>
          <w:sz w:val="26"/>
          <w:szCs w:val="26"/>
        </w:rPr>
        <w:t xml:space="preserve"> Exception No. 3, in part, to the extent that it sought a clarification of Ordering Paragraph No. 12 in the Initial Decision which addressed the filing of corrected annual reports.</w:t>
      </w:r>
      <w:r w:rsidR="007D1158" w:rsidRPr="00787A9E">
        <w:rPr>
          <w:rFonts w:eastAsia="Calibri"/>
          <w:sz w:val="26"/>
          <w:szCs w:val="26"/>
        </w:rPr>
        <w:t xml:space="preserve">  </w:t>
      </w:r>
      <w:r>
        <w:rPr>
          <w:rFonts w:eastAsia="Calibri"/>
          <w:sz w:val="26"/>
          <w:szCs w:val="26"/>
        </w:rPr>
        <w:t>We</w:t>
      </w:r>
      <w:r w:rsidR="007D1158" w:rsidRPr="00787A9E">
        <w:rPr>
          <w:rFonts w:eastAsia="Calibri"/>
          <w:sz w:val="26"/>
          <w:szCs w:val="26"/>
        </w:rPr>
        <w:t xml:space="preserve"> </w:t>
      </w:r>
      <w:r w:rsidR="0029296F" w:rsidRPr="00787A9E">
        <w:rPr>
          <w:rFonts w:eastAsia="Calibri"/>
          <w:sz w:val="26"/>
          <w:szCs w:val="26"/>
        </w:rPr>
        <w:t xml:space="preserve">explained that the language in the ordering paragraph required the Company to </w:t>
      </w:r>
      <w:r w:rsidR="00A424DB">
        <w:rPr>
          <w:rFonts w:eastAsia="Calibri"/>
          <w:sz w:val="26"/>
          <w:szCs w:val="26"/>
        </w:rPr>
        <w:t>“</w:t>
      </w:r>
      <w:r w:rsidR="0029296F" w:rsidRPr="00787A9E">
        <w:rPr>
          <w:rFonts w:eastAsia="Calibri"/>
          <w:sz w:val="26"/>
          <w:szCs w:val="26"/>
        </w:rPr>
        <w:t>make all reasonable efforts to timely file correct information in its annual reports</w:t>
      </w:r>
      <w:r w:rsidR="00A424DB">
        <w:rPr>
          <w:rFonts w:eastAsia="Calibri"/>
          <w:sz w:val="26"/>
          <w:szCs w:val="26"/>
        </w:rPr>
        <w:t>”</w:t>
      </w:r>
      <w:r w:rsidR="0029296F" w:rsidRPr="00787A9E">
        <w:rPr>
          <w:rFonts w:eastAsia="Calibri"/>
          <w:sz w:val="26"/>
          <w:szCs w:val="26"/>
        </w:rPr>
        <w:t xml:space="preserve"> which was potentially ambiguous and inconsistent with the 180</w:t>
      </w:r>
      <w:r w:rsidR="0029296F" w:rsidRPr="00787A9E">
        <w:rPr>
          <w:rFonts w:eastAsia="Calibri"/>
          <w:sz w:val="26"/>
          <w:szCs w:val="26"/>
        </w:rPr>
        <w:noBreakHyphen/>
        <w:t>day timeline for compliance set forth in the ordering paragraph.  Accordingly,</w:t>
      </w:r>
      <w:r w:rsidR="007D1158" w:rsidRPr="00787A9E">
        <w:rPr>
          <w:rFonts w:eastAsia="Calibri"/>
          <w:sz w:val="26"/>
          <w:szCs w:val="26"/>
        </w:rPr>
        <w:t xml:space="preserve"> </w:t>
      </w:r>
      <w:r>
        <w:rPr>
          <w:rFonts w:eastAsia="Calibri"/>
          <w:sz w:val="26"/>
          <w:szCs w:val="26"/>
        </w:rPr>
        <w:t>we</w:t>
      </w:r>
      <w:r w:rsidR="007D1158" w:rsidRPr="00787A9E">
        <w:rPr>
          <w:rFonts w:eastAsia="Calibri"/>
          <w:sz w:val="26"/>
          <w:szCs w:val="26"/>
        </w:rPr>
        <w:t xml:space="preserve"> </w:t>
      </w:r>
      <w:r w:rsidR="0029296F" w:rsidRPr="00787A9E">
        <w:rPr>
          <w:rFonts w:eastAsia="Calibri"/>
          <w:sz w:val="26"/>
          <w:szCs w:val="26"/>
        </w:rPr>
        <w:t xml:space="preserve">modified the Initial Decision </w:t>
      </w:r>
      <w:r w:rsidR="00B4138D">
        <w:rPr>
          <w:rFonts w:eastAsia="Calibri"/>
          <w:sz w:val="26"/>
          <w:szCs w:val="26"/>
        </w:rPr>
        <w:t xml:space="preserve">by </w:t>
      </w:r>
      <w:r w:rsidR="0029296F" w:rsidRPr="00787A9E">
        <w:rPr>
          <w:rFonts w:eastAsia="Calibri"/>
          <w:sz w:val="26"/>
          <w:szCs w:val="26"/>
        </w:rPr>
        <w:t>delet</w:t>
      </w:r>
      <w:r w:rsidR="00B4138D">
        <w:rPr>
          <w:rFonts w:eastAsia="Calibri"/>
          <w:sz w:val="26"/>
          <w:szCs w:val="26"/>
        </w:rPr>
        <w:t>ing</w:t>
      </w:r>
      <w:r w:rsidR="0029296F" w:rsidRPr="00787A9E">
        <w:rPr>
          <w:rFonts w:eastAsia="Calibri"/>
          <w:sz w:val="26"/>
          <w:szCs w:val="26"/>
        </w:rPr>
        <w:t xml:space="preserve"> the </w:t>
      </w:r>
      <w:r w:rsidR="00A424DB">
        <w:rPr>
          <w:rFonts w:eastAsia="Calibri"/>
          <w:sz w:val="26"/>
          <w:szCs w:val="26"/>
        </w:rPr>
        <w:t>“</w:t>
      </w:r>
      <w:r w:rsidR="0029296F" w:rsidRPr="00787A9E">
        <w:rPr>
          <w:rFonts w:eastAsia="Calibri"/>
          <w:sz w:val="26"/>
          <w:szCs w:val="26"/>
        </w:rPr>
        <w:t>reasonable efforts</w:t>
      </w:r>
      <w:r w:rsidR="00A424DB">
        <w:rPr>
          <w:rFonts w:eastAsia="Calibri"/>
          <w:sz w:val="26"/>
          <w:szCs w:val="26"/>
        </w:rPr>
        <w:t>”</w:t>
      </w:r>
      <w:r w:rsidR="0029296F" w:rsidRPr="00787A9E">
        <w:rPr>
          <w:rFonts w:eastAsia="Calibri"/>
          <w:sz w:val="26"/>
          <w:szCs w:val="26"/>
        </w:rPr>
        <w:t xml:space="preserve"> language so that it </w:t>
      </w:r>
      <w:r w:rsidR="00B4138D">
        <w:rPr>
          <w:rFonts w:eastAsia="Calibri"/>
          <w:sz w:val="26"/>
          <w:szCs w:val="26"/>
        </w:rPr>
        <w:t xml:space="preserve">would be </w:t>
      </w:r>
      <w:r w:rsidR="0029296F" w:rsidRPr="00787A9E">
        <w:rPr>
          <w:rFonts w:eastAsia="Calibri"/>
          <w:sz w:val="26"/>
          <w:szCs w:val="26"/>
        </w:rPr>
        <w:t xml:space="preserve">clear that any corrective filings or amendments must be submitted to the Commission within 180 days of entry of </w:t>
      </w:r>
      <w:r w:rsidR="00A52129" w:rsidRPr="00787A9E">
        <w:rPr>
          <w:rFonts w:eastAsia="Calibri"/>
          <w:sz w:val="26"/>
          <w:szCs w:val="26"/>
        </w:rPr>
        <w:t xml:space="preserve">that </w:t>
      </w:r>
      <w:r w:rsidR="0029296F" w:rsidRPr="00787A9E">
        <w:rPr>
          <w:rFonts w:eastAsia="Calibri"/>
          <w:sz w:val="26"/>
          <w:szCs w:val="26"/>
        </w:rPr>
        <w:t xml:space="preserve">Opinion and Order.  This modification was incorporated in Ordering Paragraph No. 14 of the </w:t>
      </w:r>
      <w:bookmarkStart w:id="7" w:name="_Hlk511384444"/>
      <w:r w:rsidR="0029296F" w:rsidRPr="00787A9E">
        <w:rPr>
          <w:rFonts w:eastAsia="Calibri"/>
          <w:i/>
          <w:sz w:val="26"/>
          <w:szCs w:val="26"/>
        </w:rPr>
        <w:t xml:space="preserve">January 2018 </w:t>
      </w:r>
      <w:r w:rsidR="007D1158" w:rsidRPr="00787A9E">
        <w:rPr>
          <w:rFonts w:eastAsia="Calibri"/>
          <w:i/>
          <w:sz w:val="26"/>
          <w:szCs w:val="26"/>
        </w:rPr>
        <w:t xml:space="preserve">McCloskey </w:t>
      </w:r>
      <w:r w:rsidR="0029296F" w:rsidRPr="00787A9E">
        <w:rPr>
          <w:rFonts w:eastAsia="Calibri"/>
          <w:i/>
          <w:sz w:val="26"/>
          <w:szCs w:val="26"/>
        </w:rPr>
        <w:t>Order</w:t>
      </w:r>
      <w:bookmarkEnd w:id="7"/>
      <w:r w:rsidR="0029296F" w:rsidRPr="00787A9E">
        <w:rPr>
          <w:rFonts w:eastAsia="Calibri"/>
          <w:sz w:val="26"/>
          <w:szCs w:val="26"/>
        </w:rPr>
        <w:t xml:space="preserve">. </w:t>
      </w:r>
      <w:r w:rsidR="007D1158" w:rsidRPr="00787A9E">
        <w:rPr>
          <w:rFonts w:eastAsia="Calibri"/>
          <w:sz w:val="26"/>
          <w:szCs w:val="26"/>
        </w:rPr>
        <w:t xml:space="preserve"> </w:t>
      </w:r>
      <w:r w:rsidR="00B4138D">
        <w:rPr>
          <w:rFonts w:eastAsia="Calibri"/>
          <w:sz w:val="26"/>
          <w:szCs w:val="26"/>
        </w:rPr>
        <w:t>We</w:t>
      </w:r>
      <w:r w:rsidR="007D1158" w:rsidRPr="00787A9E">
        <w:rPr>
          <w:rFonts w:eastAsia="Calibri"/>
          <w:sz w:val="26"/>
          <w:szCs w:val="26"/>
        </w:rPr>
        <w:t xml:space="preserve"> </w:t>
      </w:r>
      <w:r w:rsidR="0029296F" w:rsidRPr="00787A9E">
        <w:rPr>
          <w:rFonts w:eastAsia="Calibri"/>
          <w:sz w:val="26"/>
          <w:szCs w:val="26"/>
        </w:rPr>
        <w:t xml:space="preserve">denied the remainder of Intervenors Exception No. 3 on the basis that sufficient corrective measures are contained in other portions of </w:t>
      </w:r>
      <w:r w:rsidR="008B1021">
        <w:rPr>
          <w:rFonts w:eastAsia="Calibri"/>
          <w:sz w:val="26"/>
          <w:szCs w:val="26"/>
        </w:rPr>
        <w:t>the</w:t>
      </w:r>
      <w:r w:rsidR="0029296F" w:rsidRPr="00787A9E">
        <w:rPr>
          <w:rFonts w:eastAsia="Calibri"/>
          <w:sz w:val="26"/>
          <w:szCs w:val="26"/>
        </w:rPr>
        <w:t xml:space="preserve"> disposition and </w:t>
      </w:r>
      <w:r w:rsidR="0029296F" w:rsidRPr="00787A9E">
        <w:rPr>
          <w:rFonts w:eastAsia="Calibri"/>
          <w:sz w:val="26"/>
          <w:szCs w:val="26"/>
        </w:rPr>
        <w:lastRenderedPageBreak/>
        <w:t>ordering paragraphs</w:t>
      </w:r>
      <w:r w:rsidR="008B1021">
        <w:rPr>
          <w:rFonts w:eastAsia="Calibri"/>
          <w:sz w:val="26"/>
          <w:szCs w:val="26"/>
        </w:rPr>
        <w:t xml:space="preserve"> in the </w:t>
      </w:r>
      <w:r w:rsidR="008B1021">
        <w:rPr>
          <w:rFonts w:eastAsia="Calibri"/>
          <w:i/>
          <w:sz w:val="26"/>
          <w:szCs w:val="26"/>
        </w:rPr>
        <w:t>January 2018 McCloskey Order</w:t>
      </w:r>
      <w:r w:rsidR="0029296F" w:rsidRPr="00787A9E">
        <w:rPr>
          <w:rFonts w:eastAsia="Calibri"/>
          <w:sz w:val="26"/>
          <w:szCs w:val="26"/>
        </w:rPr>
        <w:t xml:space="preserve">.  </w:t>
      </w:r>
      <w:r w:rsidR="0029296F" w:rsidRPr="00787A9E">
        <w:rPr>
          <w:rFonts w:eastAsia="Calibri"/>
          <w:i/>
          <w:sz w:val="26"/>
          <w:szCs w:val="26"/>
        </w:rPr>
        <w:t xml:space="preserve">January 2018 </w:t>
      </w:r>
      <w:r w:rsidR="007D1158" w:rsidRPr="00787A9E">
        <w:rPr>
          <w:rFonts w:eastAsia="Calibri"/>
          <w:i/>
          <w:sz w:val="26"/>
          <w:szCs w:val="26"/>
        </w:rPr>
        <w:t xml:space="preserve">McCloskey </w:t>
      </w:r>
      <w:r w:rsidR="0029296F" w:rsidRPr="00787A9E">
        <w:rPr>
          <w:rFonts w:eastAsia="Calibri"/>
          <w:i/>
          <w:sz w:val="26"/>
          <w:szCs w:val="26"/>
        </w:rPr>
        <w:t xml:space="preserve">Order </w:t>
      </w:r>
      <w:r w:rsidR="0071133F" w:rsidRPr="00787A9E">
        <w:rPr>
          <w:rFonts w:eastAsia="Calibri"/>
          <w:sz w:val="26"/>
          <w:szCs w:val="26"/>
        </w:rPr>
        <w:t xml:space="preserve">at </w:t>
      </w:r>
      <w:r w:rsidR="0029296F" w:rsidRPr="00787A9E">
        <w:rPr>
          <w:rFonts w:eastAsia="Calibri"/>
          <w:sz w:val="26"/>
          <w:szCs w:val="26"/>
        </w:rPr>
        <w:t>39-40.</w:t>
      </w:r>
    </w:p>
    <w:p w14:paraId="1B960B2D" w14:textId="77777777" w:rsidR="0029296F" w:rsidRPr="00787A9E" w:rsidRDefault="0029296F" w:rsidP="00FD1A00">
      <w:pPr>
        <w:pStyle w:val="ListParagraph"/>
        <w:ind w:left="0"/>
        <w:rPr>
          <w:rFonts w:eastAsia="Calibri"/>
          <w:sz w:val="26"/>
          <w:szCs w:val="26"/>
        </w:rPr>
      </w:pPr>
    </w:p>
    <w:p w14:paraId="66378175" w14:textId="24C3DD89" w:rsidR="0029296F" w:rsidRPr="00787A9E" w:rsidRDefault="00B4138D" w:rsidP="00FD1A00">
      <w:pPr>
        <w:pStyle w:val="ListParagraph"/>
        <w:ind w:left="0" w:firstLine="1440"/>
        <w:rPr>
          <w:rFonts w:eastAsia="Calibri"/>
          <w:sz w:val="26"/>
          <w:szCs w:val="26"/>
        </w:rPr>
      </w:pPr>
      <w:r>
        <w:rPr>
          <w:rFonts w:eastAsia="Calibri"/>
          <w:sz w:val="26"/>
          <w:szCs w:val="26"/>
        </w:rPr>
        <w:t>We</w:t>
      </w:r>
      <w:r w:rsidR="00667E11" w:rsidRPr="00787A9E">
        <w:rPr>
          <w:rFonts w:eastAsia="Calibri"/>
          <w:sz w:val="26"/>
          <w:szCs w:val="26"/>
        </w:rPr>
        <w:t xml:space="preserve"> </w:t>
      </w:r>
      <w:r w:rsidR="0029296F" w:rsidRPr="00787A9E">
        <w:rPr>
          <w:rFonts w:eastAsia="Calibri"/>
          <w:sz w:val="26"/>
          <w:szCs w:val="26"/>
        </w:rPr>
        <w:t>found the requested clarification of several ordering paragraphs and the addition of the new ordering paragraphs to be reasonable and supported by the evidentiary record.  Moreover,</w:t>
      </w:r>
      <w:r w:rsidR="00F33698" w:rsidRPr="00787A9E">
        <w:rPr>
          <w:rFonts w:eastAsia="Calibri"/>
          <w:sz w:val="26"/>
          <w:szCs w:val="26"/>
        </w:rPr>
        <w:t xml:space="preserve"> </w:t>
      </w:r>
      <w:r>
        <w:rPr>
          <w:rFonts w:eastAsia="Calibri"/>
          <w:sz w:val="26"/>
          <w:szCs w:val="26"/>
        </w:rPr>
        <w:t>we no</w:t>
      </w:r>
      <w:r w:rsidR="0029296F" w:rsidRPr="00787A9E">
        <w:rPr>
          <w:rFonts w:eastAsia="Calibri"/>
          <w:sz w:val="26"/>
          <w:szCs w:val="26"/>
        </w:rPr>
        <w:t>ted the Company</w:t>
      </w:r>
      <w:r w:rsidR="00A424DB">
        <w:rPr>
          <w:rFonts w:eastAsia="Calibri"/>
          <w:sz w:val="26"/>
          <w:szCs w:val="26"/>
        </w:rPr>
        <w:t>’</w:t>
      </w:r>
      <w:r w:rsidR="0029296F" w:rsidRPr="00787A9E">
        <w:rPr>
          <w:rFonts w:eastAsia="Calibri"/>
          <w:sz w:val="26"/>
          <w:szCs w:val="26"/>
        </w:rPr>
        <w:t>s lack of objections to these modifications.  As such,</w:t>
      </w:r>
      <w:r w:rsidR="00F33698" w:rsidRPr="00787A9E">
        <w:rPr>
          <w:rFonts w:eastAsia="Calibri"/>
          <w:sz w:val="26"/>
          <w:szCs w:val="26"/>
        </w:rPr>
        <w:t xml:space="preserve"> </w:t>
      </w:r>
      <w:r>
        <w:rPr>
          <w:rFonts w:eastAsia="Calibri"/>
          <w:sz w:val="26"/>
          <w:szCs w:val="26"/>
        </w:rPr>
        <w:t>we</w:t>
      </w:r>
      <w:r w:rsidR="00F33698" w:rsidRPr="00787A9E">
        <w:rPr>
          <w:rFonts w:eastAsia="Calibri"/>
          <w:sz w:val="26"/>
          <w:szCs w:val="26"/>
        </w:rPr>
        <w:t xml:space="preserve"> </w:t>
      </w:r>
      <w:r w:rsidR="0029296F" w:rsidRPr="00787A9E">
        <w:rPr>
          <w:rFonts w:eastAsia="Calibri"/>
          <w:sz w:val="26"/>
          <w:szCs w:val="26"/>
        </w:rPr>
        <w:t>granted the OCA</w:t>
      </w:r>
      <w:r w:rsidR="00A424DB">
        <w:rPr>
          <w:rFonts w:eastAsia="Calibri"/>
          <w:sz w:val="26"/>
          <w:szCs w:val="26"/>
        </w:rPr>
        <w:t>’</w:t>
      </w:r>
      <w:r w:rsidR="0029296F" w:rsidRPr="00787A9E">
        <w:rPr>
          <w:rFonts w:eastAsia="Calibri"/>
          <w:sz w:val="26"/>
          <w:szCs w:val="26"/>
        </w:rPr>
        <w:t xml:space="preserve">s Exception and modified the Initial Decision.  Specifically, </w:t>
      </w:r>
      <w:r>
        <w:rPr>
          <w:rFonts w:eastAsia="Calibri"/>
          <w:sz w:val="26"/>
          <w:szCs w:val="26"/>
        </w:rPr>
        <w:t>we</w:t>
      </w:r>
      <w:r w:rsidR="0029296F" w:rsidRPr="00787A9E">
        <w:rPr>
          <w:rFonts w:eastAsia="Calibri"/>
          <w:sz w:val="26"/>
          <w:szCs w:val="26"/>
        </w:rPr>
        <w:t xml:space="preserve"> incorporated the requested modifications in Ordering Paragraph Nos. 6, 9, 20, 22, 23, 24, </w:t>
      </w:r>
      <w:r w:rsidR="00A52129" w:rsidRPr="00787A9E">
        <w:rPr>
          <w:rFonts w:eastAsia="Calibri"/>
          <w:sz w:val="26"/>
          <w:szCs w:val="26"/>
        </w:rPr>
        <w:t xml:space="preserve">and </w:t>
      </w:r>
      <w:r w:rsidR="0029296F" w:rsidRPr="00787A9E">
        <w:rPr>
          <w:rFonts w:eastAsia="Calibri"/>
          <w:sz w:val="26"/>
          <w:szCs w:val="26"/>
        </w:rPr>
        <w:t xml:space="preserve">25 of the </w:t>
      </w:r>
      <w:r w:rsidR="0029296F" w:rsidRPr="00787A9E">
        <w:rPr>
          <w:rFonts w:eastAsia="Calibri"/>
          <w:i/>
          <w:sz w:val="26"/>
          <w:szCs w:val="26"/>
        </w:rPr>
        <w:t xml:space="preserve">January 2018 </w:t>
      </w:r>
      <w:r w:rsidR="00F33698" w:rsidRPr="00787A9E">
        <w:rPr>
          <w:rFonts w:eastAsia="Calibri"/>
          <w:i/>
          <w:sz w:val="26"/>
          <w:szCs w:val="26"/>
        </w:rPr>
        <w:t xml:space="preserve">McCloskey </w:t>
      </w:r>
      <w:r w:rsidR="0029296F" w:rsidRPr="00787A9E">
        <w:rPr>
          <w:rFonts w:eastAsia="Calibri"/>
          <w:i/>
          <w:sz w:val="26"/>
          <w:szCs w:val="26"/>
        </w:rPr>
        <w:t>Order</w:t>
      </w:r>
      <w:r w:rsidR="0029296F" w:rsidRPr="00787A9E">
        <w:rPr>
          <w:rFonts w:eastAsia="Calibri"/>
          <w:sz w:val="26"/>
          <w:szCs w:val="26"/>
        </w:rPr>
        <w:t>.</w:t>
      </w:r>
      <w:r w:rsidR="0029296F" w:rsidRPr="00787A9E">
        <w:rPr>
          <w:rStyle w:val="FootnoteReference"/>
          <w:rFonts w:eastAsia="Calibri"/>
          <w:sz w:val="26"/>
          <w:szCs w:val="26"/>
        </w:rPr>
        <w:footnoteReference w:id="9"/>
      </w:r>
      <w:r w:rsidR="0071133F" w:rsidRPr="00787A9E">
        <w:rPr>
          <w:rFonts w:eastAsia="Calibri"/>
          <w:sz w:val="26"/>
          <w:szCs w:val="26"/>
        </w:rPr>
        <w:t xml:space="preserve">  </w:t>
      </w:r>
      <w:r w:rsidR="0071133F" w:rsidRPr="00787A9E">
        <w:rPr>
          <w:rFonts w:eastAsia="Calibri"/>
          <w:i/>
          <w:sz w:val="26"/>
          <w:szCs w:val="26"/>
        </w:rPr>
        <w:t>January 2018 McCloskey Order</w:t>
      </w:r>
      <w:r w:rsidR="0071133F" w:rsidRPr="00787A9E">
        <w:rPr>
          <w:rFonts w:eastAsia="Calibri"/>
          <w:sz w:val="26"/>
          <w:szCs w:val="26"/>
        </w:rPr>
        <w:t xml:space="preserve"> at 40.</w:t>
      </w:r>
    </w:p>
    <w:p w14:paraId="7A6E439C" w14:textId="77777777" w:rsidR="00F24C54" w:rsidRPr="00787A9E" w:rsidRDefault="00F24C54" w:rsidP="00FD1A00">
      <w:pPr>
        <w:pStyle w:val="ListParagraph"/>
        <w:ind w:left="0"/>
        <w:rPr>
          <w:rFonts w:eastAsia="Calibri"/>
          <w:sz w:val="26"/>
          <w:szCs w:val="26"/>
        </w:rPr>
      </w:pPr>
    </w:p>
    <w:p w14:paraId="7324BD44" w14:textId="77777777" w:rsidR="0029296F" w:rsidRPr="00787A9E" w:rsidRDefault="0029296F" w:rsidP="00FD1A00">
      <w:pPr>
        <w:pStyle w:val="ListParagraph"/>
        <w:keepNext/>
        <w:keepLines/>
        <w:numPr>
          <w:ilvl w:val="0"/>
          <w:numId w:val="18"/>
        </w:numPr>
        <w:ind w:left="720" w:firstLine="0"/>
        <w:rPr>
          <w:rFonts w:eastAsia="Calibri"/>
          <w:sz w:val="26"/>
          <w:szCs w:val="26"/>
        </w:rPr>
      </w:pPr>
      <w:r w:rsidRPr="00787A9E">
        <w:rPr>
          <w:rFonts w:eastAsia="Calibri"/>
          <w:b/>
          <w:sz w:val="26"/>
          <w:szCs w:val="26"/>
        </w:rPr>
        <w:t>Additional Hearings</w:t>
      </w:r>
    </w:p>
    <w:p w14:paraId="637DD4CF" w14:textId="77777777" w:rsidR="0029296F" w:rsidRPr="00787A9E" w:rsidRDefault="0029296F" w:rsidP="00FD1A00">
      <w:pPr>
        <w:pStyle w:val="ListParagraph"/>
        <w:keepNext/>
        <w:keepLines/>
        <w:ind w:left="1080"/>
        <w:rPr>
          <w:rFonts w:eastAsia="Calibri"/>
          <w:b/>
          <w:sz w:val="26"/>
          <w:szCs w:val="26"/>
        </w:rPr>
      </w:pPr>
    </w:p>
    <w:p w14:paraId="6D59F3D2" w14:textId="43FE06F7" w:rsidR="0029296F" w:rsidRPr="00787A9E" w:rsidRDefault="0029296F" w:rsidP="00FD1A00">
      <w:pPr>
        <w:pStyle w:val="ListParagraph"/>
        <w:ind w:left="0" w:firstLine="1440"/>
        <w:rPr>
          <w:rFonts w:eastAsia="Calibri"/>
          <w:sz w:val="26"/>
          <w:szCs w:val="26"/>
        </w:rPr>
      </w:pPr>
      <w:r w:rsidRPr="00787A9E">
        <w:rPr>
          <w:rFonts w:eastAsia="Calibri"/>
          <w:sz w:val="26"/>
          <w:szCs w:val="26"/>
        </w:rPr>
        <w:t>In its Exception No. 4, the OCA requested enhancements to Ordering Paragraph No. 18 of the Initial Decision which established a procedure for the OCA to investigate the completed rehabilitative measures conducted by the Company or alternatively permitted a referral to the Commission</w:t>
      </w:r>
      <w:r w:rsidR="00A424DB">
        <w:rPr>
          <w:rFonts w:eastAsia="Calibri"/>
          <w:sz w:val="26"/>
          <w:szCs w:val="26"/>
        </w:rPr>
        <w:t>’</w:t>
      </w:r>
      <w:r w:rsidRPr="00787A9E">
        <w:rPr>
          <w:rFonts w:eastAsia="Calibri"/>
          <w:sz w:val="26"/>
          <w:szCs w:val="26"/>
        </w:rPr>
        <w:t xml:space="preserve">s Bureau of Technical Utility Services (TUS) for review.  The OCA requested that the Commission clarify that, first, the Company must carry the burden of proving that the service and facilities are no longer inadequate; and, second, the hearing must address the requirements of Section 529 of the Code, 66 Pa. C.S. § 529.  </w:t>
      </w:r>
      <w:r w:rsidRPr="00787A9E">
        <w:rPr>
          <w:rFonts w:eastAsia="Calibri"/>
          <w:i/>
          <w:sz w:val="26"/>
          <w:szCs w:val="26"/>
        </w:rPr>
        <w:t xml:space="preserve">January 2018 </w:t>
      </w:r>
      <w:r w:rsidR="005648CC" w:rsidRPr="00787A9E">
        <w:rPr>
          <w:rFonts w:eastAsia="Calibri"/>
          <w:i/>
          <w:sz w:val="26"/>
          <w:szCs w:val="26"/>
        </w:rPr>
        <w:t xml:space="preserve">McCloskey </w:t>
      </w:r>
      <w:r w:rsidRPr="00787A9E">
        <w:rPr>
          <w:rFonts w:eastAsia="Calibri"/>
          <w:i/>
          <w:sz w:val="26"/>
          <w:szCs w:val="26"/>
        </w:rPr>
        <w:t>Order</w:t>
      </w:r>
      <w:r w:rsidRPr="00787A9E">
        <w:rPr>
          <w:rFonts w:eastAsia="Calibri"/>
          <w:sz w:val="26"/>
          <w:szCs w:val="26"/>
        </w:rPr>
        <w:t xml:space="preserve"> at 40-42.</w:t>
      </w:r>
    </w:p>
    <w:p w14:paraId="2EEBAB56" w14:textId="77777777" w:rsidR="0029296F" w:rsidRPr="00787A9E" w:rsidRDefault="0029296F" w:rsidP="00FD1A00">
      <w:pPr>
        <w:pStyle w:val="ListParagraph"/>
        <w:ind w:left="0"/>
        <w:rPr>
          <w:rFonts w:eastAsia="Calibri"/>
          <w:sz w:val="26"/>
          <w:szCs w:val="26"/>
        </w:rPr>
      </w:pPr>
    </w:p>
    <w:p w14:paraId="2218D963" w14:textId="28A10B47" w:rsidR="0029296F" w:rsidRPr="00787A9E" w:rsidRDefault="0029296F" w:rsidP="00FD1A00">
      <w:pPr>
        <w:pStyle w:val="ListParagraph"/>
        <w:ind w:left="0" w:firstLine="1440"/>
        <w:rPr>
          <w:rFonts w:eastAsia="Calibri"/>
          <w:sz w:val="26"/>
          <w:szCs w:val="26"/>
        </w:rPr>
      </w:pPr>
      <w:r w:rsidRPr="00787A9E">
        <w:rPr>
          <w:rFonts w:eastAsia="Calibri"/>
          <w:sz w:val="26"/>
          <w:szCs w:val="26"/>
        </w:rPr>
        <w:t>In</w:t>
      </w:r>
      <w:r w:rsidR="005648CC" w:rsidRPr="00787A9E">
        <w:rPr>
          <w:rFonts w:eastAsia="Calibri"/>
          <w:sz w:val="26"/>
          <w:szCs w:val="26"/>
        </w:rPr>
        <w:t xml:space="preserve"> </w:t>
      </w:r>
      <w:r w:rsidR="00B4138D">
        <w:rPr>
          <w:rFonts w:eastAsia="Calibri"/>
          <w:sz w:val="26"/>
          <w:szCs w:val="26"/>
        </w:rPr>
        <w:t xml:space="preserve">our </w:t>
      </w:r>
      <w:r w:rsidRPr="00787A9E">
        <w:rPr>
          <w:rFonts w:eastAsia="Calibri"/>
          <w:sz w:val="26"/>
          <w:szCs w:val="26"/>
        </w:rPr>
        <w:t>disposition,</w:t>
      </w:r>
      <w:r w:rsidR="005648CC" w:rsidRPr="00787A9E">
        <w:rPr>
          <w:rFonts w:eastAsia="Calibri"/>
          <w:sz w:val="26"/>
          <w:szCs w:val="26"/>
        </w:rPr>
        <w:t xml:space="preserve"> </w:t>
      </w:r>
      <w:r w:rsidR="00B4138D">
        <w:rPr>
          <w:rFonts w:eastAsia="Calibri"/>
          <w:sz w:val="26"/>
          <w:szCs w:val="26"/>
        </w:rPr>
        <w:t xml:space="preserve">we </w:t>
      </w:r>
      <w:r w:rsidRPr="00787A9E">
        <w:rPr>
          <w:rFonts w:eastAsia="Calibri"/>
          <w:sz w:val="26"/>
          <w:szCs w:val="26"/>
        </w:rPr>
        <w:t>emphasized</w:t>
      </w:r>
      <w:r w:rsidR="005648CC" w:rsidRPr="00787A9E">
        <w:rPr>
          <w:rFonts w:eastAsia="Calibri"/>
          <w:sz w:val="26"/>
          <w:szCs w:val="26"/>
        </w:rPr>
        <w:t xml:space="preserve"> </w:t>
      </w:r>
      <w:r w:rsidR="00B4138D">
        <w:rPr>
          <w:rFonts w:eastAsia="Calibri"/>
          <w:sz w:val="26"/>
          <w:szCs w:val="26"/>
        </w:rPr>
        <w:t>our</w:t>
      </w:r>
      <w:r w:rsidR="005648CC" w:rsidRPr="00787A9E">
        <w:rPr>
          <w:rFonts w:eastAsia="Calibri"/>
          <w:sz w:val="26"/>
          <w:szCs w:val="26"/>
        </w:rPr>
        <w:t xml:space="preserve"> </w:t>
      </w:r>
      <w:r w:rsidRPr="00787A9E">
        <w:rPr>
          <w:rFonts w:eastAsia="Calibri"/>
          <w:sz w:val="26"/>
          <w:szCs w:val="26"/>
        </w:rPr>
        <w:t xml:space="preserve">intention to reduce any further delays in the event a subsequent evidentiary hearing becomes necessary to evaluate the </w:t>
      </w:r>
      <w:r w:rsidRPr="00787A9E">
        <w:rPr>
          <w:rFonts w:eastAsia="Calibri"/>
          <w:sz w:val="26"/>
          <w:szCs w:val="26"/>
        </w:rPr>
        <w:lastRenderedPageBreak/>
        <w:t>propriety of the Commission</w:t>
      </w:r>
      <w:r w:rsidR="00A424DB">
        <w:rPr>
          <w:rFonts w:eastAsia="Calibri"/>
          <w:sz w:val="26"/>
          <w:szCs w:val="26"/>
        </w:rPr>
        <w:t>’</w:t>
      </w:r>
      <w:r w:rsidRPr="00787A9E">
        <w:rPr>
          <w:rFonts w:eastAsia="Calibri"/>
          <w:sz w:val="26"/>
          <w:szCs w:val="26"/>
        </w:rPr>
        <w:t>s rehabilitative measures.</w:t>
      </w:r>
      <w:r w:rsidR="005648CC" w:rsidRPr="00787A9E">
        <w:rPr>
          <w:rFonts w:eastAsia="Calibri"/>
          <w:sz w:val="26"/>
          <w:szCs w:val="26"/>
        </w:rPr>
        <w:t xml:space="preserve">  </w:t>
      </w:r>
      <w:r w:rsidR="00D90485">
        <w:rPr>
          <w:rFonts w:eastAsia="Calibri"/>
          <w:sz w:val="26"/>
          <w:szCs w:val="26"/>
        </w:rPr>
        <w:t>We</w:t>
      </w:r>
      <w:r w:rsidR="005648CC" w:rsidRPr="00787A9E">
        <w:rPr>
          <w:rFonts w:eastAsia="Calibri"/>
          <w:sz w:val="26"/>
          <w:szCs w:val="26"/>
        </w:rPr>
        <w:t xml:space="preserve"> </w:t>
      </w:r>
      <w:r w:rsidRPr="00787A9E">
        <w:rPr>
          <w:rFonts w:eastAsia="Calibri"/>
          <w:sz w:val="26"/>
          <w:szCs w:val="26"/>
        </w:rPr>
        <w:t>found that the OCA</w:t>
      </w:r>
      <w:r w:rsidR="00A424DB">
        <w:rPr>
          <w:rFonts w:eastAsia="Calibri"/>
          <w:sz w:val="26"/>
          <w:szCs w:val="26"/>
        </w:rPr>
        <w:t>’</w:t>
      </w:r>
      <w:r w:rsidRPr="00787A9E">
        <w:rPr>
          <w:rFonts w:eastAsia="Calibri"/>
          <w:sz w:val="26"/>
          <w:szCs w:val="26"/>
        </w:rPr>
        <w:t>s proposal in its Exception No. 4 would help in this regard.  By requiring the Company to carry the burden of proving that its service and facilities are no longer inadequate and mandating that any subsequent hearing address the requirements of Section 529 of the Code, 66 Pa. C.S. § 529,</w:t>
      </w:r>
      <w:r w:rsidR="005648CC" w:rsidRPr="00787A9E">
        <w:rPr>
          <w:rFonts w:eastAsia="Calibri"/>
          <w:sz w:val="26"/>
          <w:szCs w:val="26"/>
        </w:rPr>
        <w:t xml:space="preserve"> </w:t>
      </w:r>
      <w:r w:rsidR="00D90485">
        <w:rPr>
          <w:rFonts w:eastAsia="Calibri"/>
          <w:sz w:val="26"/>
          <w:szCs w:val="26"/>
        </w:rPr>
        <w:t>we</w:t>
      </w:r>
      <w:r w:rsidR="005648CC" w:rsidRPr="00787A9E">
        <w:rPr>
          <w:rFonts w:eastAsia="Calibri"/>
          <w:sz w:val="26"/>
          <w:szCs w:val="26"/>
        </w:rPr>
        <w:t xml:space="preserve"> </w:t>
      </w:r>
      <w:r w:rsidRPr="00787A9E">
        <w:rPr>
          <w:rFonts w:eastAsia="Calibri"/>
          <w:sz w:val="26"/>
          <w:szCs w:val="26"/>
        </w:rPr>
        <w:t>found that the timeframe for final resolution of the outstanding issues in th</w:t>
      </w:r>
      <w:r w:rsidR="005648CC" w:rsidRPr="00787A9E">
        <w:rPr>
          <w:rFonts w:eastAsia="Calibri"/>
          <w:sz w:val="26"/>
          <w:szCs w:val="26"/>
        </w:rPr>
        <w:t>e</w:t>
      </w:r>
      <w:r w:rsidRPr="00787A9E">
        <w:rPr>
          <w:rFonts w:eastAsia="Calibri"/>
          <w:sz w:val="26"/>
          <w:szCs w:val="26"/>
        </w:rPr>
        <w:t xml:space="preserve"> </w:t>
      </w:r>
      <w:r w:rsidR="00B13E9F" w:rsidRPr="00787A9E">
        <w:rPr>
          <w:rFonts w:eastAsia="Calibri"/>
          <w:i/>
          <w:sz w:val="26"/>
          <w:szCs w:val="26"/>
        </w:rPr>
        <w:t>January</w:t>
      </w:r>
      <w:r w:rsidR="005648CC" w:rsidRPr="00787A9E">
        <w:rPr>
          <w:rFonts w:eastAsia="Calibri"/>
          <w:i/>
          <w:sz w:val="26"/>
          <w:szCs w:val="26"/>
        </w:rPr>
        <w:t xml:space="preserve"> 2018 McCloskey Order</w:t>
      </w:r>
      <w:r w:rsidR="005648CC" w:rsidRPr="00787A9E">
        <w:rPr>
          <w:rFonts w:eastAsia="Calibri"/>
          <w:sz w:val="26"/>
          <w:szCs w:val="26"/>
        </w:rPr>
        <w:t xml:space="preserve"> </w:t>
      </w:r>
      <w:r w:rsidRPr="00787A9E">
        <w:rPr>
          <w:rFonts w:eastAsia="Calibri"/>
          <w:sz w:val="26"/>
          <w:szCs w:val="26"/>
        </w:rPr>
        <w:t>proceeding should be streamlined.  Further,</w:t>
      </w:r>
      <w:r w:rsidR="00C96B3C" w:rsidRPr="00787A9E">
        <w:rPr>
          <w:rFonts w:eastAsia="Calibri"/>
          <w:sz w:val="26"/>
          <w:szCs w:val="26"/>
        </w:rPr>
        <w:t xml:space="preserve"> </w:t>
      </w:r>
      <w:r w:rsidR="00D90485">
        <w:rPr>
          <w:rFonts w:eastAsia="Calibri"/>
          <w:sz w:val="26"/>
          <w:szCs w:val="26"/>
        </w:rPr>
        <w:t>we</w:t>
      </w:r>
      <w:r w:rsidR="00C96B3C" w:rsidRPr="00787A9E">
        <w:rPr>
          <w:rFonts w:eastAsia="Calibri"/>
          <w:sz w:val="26"/>
          <w:szCs w:val="26"/>
        </w:rPr>
        <w:t xml:space="preserve"> </w:t>
      </w:r>
      <w:r w:rsidRPr="00787A9E">
        <w:rPr>
          <w:rFonts w:eastAsia="Calibri"/>
          <w:sz w:val="26"/>
          <w:szCs w:val="26"/>
        </w:rPr>
        <w:t>noted that the Company did not object to the OCA</w:t>
      </w:r>
      <w:r w:rsidR="00A424DB">
        <w:rPr>
          <w:rFonts w:eastAsia="Calibri"/>
          <w:sz w:val="26"/>
          <w:szCs w:val="26"/>
        </w:rPr>
        <w:t>’</w:t>
      </w:r>
      <w:r w:rsidRPr="00787A9E">
        <w:rPr>
          <w:rFonts w:eastAsia="Calibri"/>
          <w:sz w:val="26"/>
          <w:szCs w:val="26"/>
        </w:rPr>
        <w:t>s proposal.  Thus,</w:t>
      </w:r>
      <w:r w:rsidR="001446D8" w:rsidRPr="00787A9E">
        <w:rPr>
          <w:rFonts w:eastAsia="Calibri"/>
          <w:sz w:val="26"/>
          <w:szCs w:val="26"/>
        </w:rPr>
        <w:t xml:space="preserve"> </w:t>
      </w:r>
      <w:r w:rsidR="00D90485">
        <w:rPr>
          <w:rFonts w:eastAsia="Calibri"/>
          <w:sz w:val="26"/>
          <w:szCs w:val="26"/>
        </w:rPr>
        <w:t>we</w:t>
      </w:r>
      <w:r w:rsidR="001446D8" w:rsidRPr="00787A9E">
        <w:rPr>
          <w:rFonts w:eastAsia="Calibri"/>
          <w:sz w:val="26"/>
          <w:szCs w:val="26"/>
        </w:rPr>
        <w:t xml:space="preserve"> </w:t>
      </w:r>
      <w:r w:rsidRPr="00787A9E">
        <w:rPr>
          <w:rFonts w:eastAsia="Calibri"/>
          <w:sz w:val="26"/>
          <w:szCs w:val="26"/>
        </w:rPr>
        <w:t xml:space="preserve">granted OCA Exception No. 4 and modified the Initial Decision to incorporate the modifications.  </w:t>
      </w:r>
      <w:r w:rsidRPr="00787A9E">
        <w:rPr>
          <w:rFonts w:eastAsia="Calibri"/>
          <w:i/>
          <w:sz w:val="26"/>
          <w:szCs w:val="26"/>
        </w:rPr>
        <w:t xml:space="preserve">January 2018 </w:t>
      </w:r>
      <w:r w:rsidR="001446D8" w:rsidRPr="00787A9E">
        <w:rPr>
          <w:rFonts w:eastAsia="Calibri"/>
          <w:i/>
          <w:sz w:val="26"/>
          <w:szCs w:val="26"/>
        </w:rPr>
        <w:t xml:space="preserve">McCloskey </w:t>
      </w:r>
      <w:r w:rsidRPr="00787A9E">
        <w:rPr>
          <w:rFonts w:eastAsia="Calibri"/>
          <w:i/>
          <w:sz w:val="26"/>
          <w:szCs w:val="26"/>
        </w:rPr>
        <w:t xml:space="preserve">Order </w:t>
      </w:r>
      <w:r w:rsidRPr="00787A9E">
        <w:rPr>
          <w:rFonts w:eastAsia="Calibri"/>
          <w:sz w:val="26"/>
          <w:szCs w:val="26"/>
        </w:rPr>
        <w:t>at 42.</w:t>
      </w:r>
    </w:p>
    <w:p w14:paraId="2E5867F5" w14:textId="77777777" w:rsidR="0029296F" w:rsidRPr="00787A9E" w:rsidRDefault="0029296F" w:rsidP="00FD1A00">
      <w:pPr>
        <w:pStyle w:val="ListParagraph"/>
        <w:ind w:left="0"/>
        <w:rPr>
          <w:rFonts w:eastAsia="Calibri"/>
          <w:sz w:val="26"/>
          <w:szCs w:val="26"/>
        </w:rPr>
      </w:pPr>
    </w:p>
    <w:p w14:paraId="1098F64D" w14:textId="77777777" w:rsidR="0029296F" w:rsidRPr="00787A9E" w:rsidRDefault="0029296F" w:rsidP="00FD1A00">
      <w:pPr>
        <w:pStyle w:val="ListParagraph"/>
        <w:keepNext/>
        <w:keepLines/>
        <w:numPr>
          <w:ilvl w:val="0"/>
          <w:numId w:val="18"/>
        </w:numPr>
        <w:ind w:hanging="720"/>
        <w:rPr>
          <w:rFonts w:eastAsia="Calibri"/>
          <w:b/>
          <w:sz w:val="26"/>
          <w:szCs w:val="26"/>
        </w:rPr>
      </w:pPr>
      <w:r w:rsidRPr="00787A9E">
        <w:rPr>
          <w:rFonts w:eastAsia="Calibri"/>
          <w:b/>
          <w:sz w:val="26"/>
          <w:szCs w:val="26"/>
        </w:rPr>
        <w:t>Customer Bills</w:t>
      </w:r>
    </w:p>
    <w:p w14:paraId="572DA8B6" w14:textId="77777777" w:rsidR="0029296F" w:rsidRPr="00787A9E" w:rsidRDefault="0029296F" w:rsidP="00FD1A00">
      <w:pPr>
        <w:pStyle w:val="ListParagraph"/>
        <w:keepNext/>
        <w:keepLines/>
        <w:ind w:left="0"/>
        <w:rPr>
          <w:rFonts w:eastAsia="Calibri"/>
          <w:b/>
          <w:sz w:val="26"/>
          <w:szCs w:val="26"/>
        </w:rPr>
      </w:pPr>
    </w:p>
    <w:p w14:paraId="0DAE2590" w14:textId="6D8D3E63" w:rsidR="0029296F" w:rsidRPr="00787A9E" w:rsidRDefault="0029296F" w:rsidP="00FD1A00">
      <w:pPr>
        <w:pStyle w:val="ListParagraph"/>
        <w:ind w:left="0" w:firstLine="1440"/>
        <w:rPr>
          <w:rFonts w:eastAsia="Calibri"/>
          <w:sz w:val="26"/>
          <w:szCs w:val="26"/>
        </w:rPr>
      </w:pPr>
      <w:r w:rsidRPr="00787A9E">
        <w:rPr>
          <w:rFonts w:eastAsia="Calibri"/>
          <w:sz w:val="26"/>
          <w:szCs w:val="26"/>
        </w:rPr>
        <w:t>Next,</w:t>
      </w:r>
      <w:r w:rsidR="003D2F2F" w:rsidRPr="00787A9E">
        <w:rPr>
          <w:rFonts w:eastAsia="Calibri"/>
          <w:sz w:val="26"/>
          <w:szCs w:val="26"/>
        </w:rPr>
        <w:t xml:space="preserve"> </w:t>
      </w:r>
      <w:r w:rsidR="00D90485">
        <w:rPr>
          <w:rFonts w:eastAsia="Calibri"/>
          <w:sz w:val="26"/>
          <w:szCs w:val="26"/>
        </w:rPr>
        <w:t>we</w:t>
      </w:r>
      <w:r w:rsidR="003D2F2F" w:rsidRPr="00787A9E">
        <w:rPr>
          <w:rFonts w:eastAsia="Calibri"/>
          <w:sz w:val="26"/>
          <w:szCs w:val="26"/>
        </w:rPr>
        <w:t xml:space="preserve"> </w:t>
      </w:r>
      <w:r w:rsidRPr="00787A9E">
        <w:rPr>
          <w:rFonts w:eastAsia="Calibri"/>
          <w:sz w:val="26"/>
          <w:szCs w:val="26"/>
        </w:rPr>
        <w:t>considered the OCA</w:t>
      </w:r>
      <w:r w:rsidR="00A424DB">
        <w:rPr>
          <w:rFonts w:eastAsia="Calibri"/>
          <w:sz w:val="26"/>
          <w:szCs w:val="26"/>
        </w:rPr>
        <w:t>’</w:t>
      </w:r>
      <w:r w:rsidRPr="00787A9E">
        <w:rPr>
          <w:rFonts w:eastAsia="Calibri"/>
          <w:sz w:val="26"/>
          <w:szCs w:val="26"/>
        </w:rPr>
        <w:t xml:space="preserve">s Exceptions pertaining to the Ordering Paragraphs of the Initial Decision, which required the Company to modify its billing practices to ensure compliance with all Commission requirements and to provide a copy of the revised bill form to the OCA within ninety days of the final Commission Order in </w:t>
      </w:r>
      <w:r w:rsidR="007D3116" w:rsidRPr="00787A9E">
        <w:rPr>
          <w:rFonts w:eastAsia="Calibri"/>
          <w:sz w:val="26"/>
          <w:szCs w:val="26"/>
        </w:rPr>
        <w:t xml:space="preserve">that </w:t>
      </w:r>
      <w:r w:rsidRPr="00787A9E">
        <w:rPr>
          <w:rFonts w:eastAsia="Calibri"/>
          <w:sz w:val="26"/>
          <w:szCs w:val="26"/>
        </w:rPr>
        <w:t xml:space="preserve">proceeding.  The OCA argued that </w:t>
      </w:r>
      <w:r w:rsidR="00D90485">
        <w:rPr>
          <w:rFonts w:eastAsia="Calibri"/>
          <w:sz w:val="26"/>
          <w:szCs w:val="26"/>
        </w:rPr>
        <w:t xml:space="preserve">we </w:t>
      </w:r>
      <w:r w:rsidRPr="00787A9E">
        <w:rPr>
          <w:rFonts w:eastAsia="Calibri"/>
          <w:sz w:val="26"/>
          <w:szCs w:val="26"/>
        </w:rPr>
        <w:t xml:space="preserve">should modify the Ordering Paragraphs to provide a sufficient advance opportunity to review and provide input on the bill revisions.  </w:t>
      </w:r>
      <w:r w:rsidRPr="00787A9E">
        <w:rPr>
          <w:rFonts w:eastAsia="Calibri"/>
          <w:i/>
          <w:sz w:val="26"/>
          <w:szCs w:val="26"/>
        </w:rPr>
        <w:t xml:space="preserve">January 2018 </w:t>
      </w:r>
      <w:r w:rsidR="003D2F2F" w:rsidRPr="00787A9E">
        <w:rPr>
          <w:rFonts w:eastAsia="Calibri"/>
          <w:i/>
          <w:sz w:val="26"/>
          <w:szCs w:val="26"/>
        </w:rPr>
        <w:t xml:space="preserve">McCloskey </w:t>
      </w:r>
      <w:r w:rsidRPr="00787A9E">
        <w:rPr>
          <w:rFonts w:eastAsia="Calibri"/>
          <w:i/>
          <w:sz w:val="26"/>
          <w:szCs w:val="26"/>
        </w:rPr>
        <w:t xml:space="preserve">Order </w:t>
      </w:r>
      <w:r w:rsidRPr="00787A9E">
        <w:rPr>
          <w:rFonts w:eastAsia="Calibri"/>
          <w:sz w:val="26"/>
          <w:szCs w:val="26"/>
        </w:rPr>
        <w:t>at 43.</w:t>
      </w:r>
    </w:p>
    <w:p w14:paraId="6CE3B7D0" w14:textId="77777777" w:rsidR="0029296F" w:rsidRPr="00787A9E" w:rsidRDefault="0029296F" w:rsidP="00FD1A00">
      <w:pPr>
        <w:pStyle w:val="ListParagraph"/>
        <w:ind w:left="0"/>
        <w:rPr>
          <w:rFonts w:eastAsia="Calibri"/>
          <w:b/>
          <w:sz w:val="26"/>
          <w:szCs w:val="26"/>
        </w:rPr>
      </w:pPr>
    </w:p>
    <w:p w14:paraId="770F90BC" w14:textId="39942372" w:rsidR="0029296F" w:rsidRPr="00787A9E" w:rsidRDefault="00D90485" w:rsidP="00FD1A00">
      <w:pPr>
        <w:pStyle w:val="ListParagraph"/>
        <w:ind w:left="0" w:firstLine="1440"/>
        <w:rPr>
          <w:rFonts w:eastAsia="Calibri"/>
          <w:sz w:val="26"/>
          <w:szCs w:val="26"/>
        </w:rPr>
      </w:pPr>
      <w:r>
        <w:rPr>
          <w:rFonts w:eastAsia="Calibri"/>
          <w:sz w:val="26"/>
          <w:szCs w:val="26"/>
        </w:rPr>
        <w:t>We</w:t>
      </w:r>
      <w:r w:rsidR="0029296F" w:rsidRPr="00787A9E">
        <w:rPr>
          <w:rFonts w:eastAsia="Calibri"/>
          <w:sz w:val="26"/>
          <w:szCs w:val="26"/>
        </w:rPr>
        <w:t xml:space="preserve"> granted the OCA</w:t>
      </w:r>
      <w:r w:rsidR="00A424DB">
        <w:rPr>
          <w:rFonts w:eastAsia="Calibri"/>
          <w:sz w:val="26"/>
          <w:szCs w:val="26"/>
        </w:rPr>
        <w:t>’</w:t>
      </w:r>
      <w:r w:rsidR="0029296F" w:rsidRPr="00787A9E">
        <w:rPr>
          <w:rFonts w:eastAsia="Calibri"/>
          <w:sz w:val="26"/>
          <w:szCs w:val="26"/>
        </w:rPr>
        <w:t>s Exception No. 5, finding that it would be beneficial to the Company</w:t>
      </w:r>
      <w:r w:rsidR="00A424DB">
        <w:rPr>
          <w:rFonts w:eastAsia="Calibri"/>
          <w:sz w:val="26"/>
          <w:szCs w:val="26"/>
        </w:rPr>
        <w:t>’</w:t>
      </w:r>
      <w:r w:rsidR="0029296F" w:rsidRPr="00787A9E">
        <w:rPr>
          <w:rFonts w:eastAsia="Calibri"/>
          <w:sz w:val="26"/>
          <w:szCs w:val="26"/>
        </w:rPr>
        <w:t>s customers for the OCA to provide input on the bill revisions.  Moreover,</w:t>
      </w:r>
      <w:r w:rsidR="003D2F2F" w:rsidRPr="00787A9E">
        <w:rPr>
          <w:rFonts w:eastAsia="Calibri"/>
          <w:sz w:val="26"/>
          <w:szCs w:val="26"/>
        </w:rPr>
        <w:t xml:space="preserve"> </w:t>
      </w:r>
      <w:r>
        <w:rPr>
          <w:rFonts w:eastAsia="Calibri"/>
          <w:sz w:val="26"/>
          <w:szCs w:val="26"/>
        </w:rPr>
        <w:t>we</w:t>
      </w:r>
      <w:r w:rsidR="003D2F2F" w:rsidRPr="00787A9E">
        <w:rPr>
          <w:rFonts w:eastAsia="Calibri"/>
          <w:sz w:val="26"/>
          <w:szCs w:val="26"/>
        </w:rPr>
        <w:t xml:space="preserve"> </w:t>
      </w:r>
      <w:r w:rsidR="0029296F" w:rsidRPr="00787A9E">
        <w:rPr>
          <w:rFonts w:eastAsia="Calibri"/>
          <w:sz w:val="26"/>
          <w:szCs w:val="26"/>
        </w:rPr>
        <w:t>noted that the Company did not object to this proposal.  To facilitate the OCA</w:t>
      </w:r>
      <w:r w:rsidR="00A424DB">
        <w:rPr>
          <w:rFonts w:eastAsia="Calibri"/>
          <w:sz w:val="26"/>
          <w:szCs w:val="26"/>
        </w:rPr>
        <w:t>’</w:t>
      </w:r>
      <w:r w:rsidR="0029296F" w:rsidRPr="00787A9E">
        <w:rPr>
          <w:rFonts w:eastAsia="Calibri"/>
          <w:sz w:val="26"/>
          <w:szCs w:val="26"/>
        </w:rPr>
        <w:t>s input and review,</w:t>
      </w:r>
      <w:r w:rsidR="003D2F2F" w:rsidRPr="00787A9E">
        <w:rPr>
          <w:rFonts w:eastAsia="Calibri"/>
          <w:sz w:val="26"/>
          <w:szCs w:val="26"/>
        </w:rPr>
        <w:t xml:space="preserve"> </w:t>
      </w:r>
      <w:r>
        <w:rPr>
          <w:rFonts w:eastAsia="Calibri"/>
          <w:sz w:val="26"/>
          <w:szCs w:val="26"/>
        </w:rPr>
        <w:t xml:space="preserve">we </w:t>
      </w:r>
      <w:r w:rsidR="0029296F" w:rsidRPr="00787A9E">
        <w:rPr>
          <w:rFonts w:eastAsia="Calibri"/>
          <w:sz w:val="26"/>
          <w:szCs w:val="26"/>
        </w:rPr>
        <w:t xml:space="preserve">directed HVUS to seek input from the OCA about its draft customer bills within sixty days from the date of entry of </w:t>
      </w:r>
      <w:r w:rsidR="007D3116" w:rsidRPr="00787A9E">
        <w:rPr>
          <w:rFonts w:eastAsia="Calibri"/>
          <w:sz w:val="26"/>
          <w:szCs w:val="26"/>
        </w:rPr>
        <w:t xml:space="preserve">the </w:t>
      </w:r>
      <w:r w:rsidR="0029296F" w:rsidRPr="00787A9E">
        <w:rPr>
          <w:rFonts w:eastAsia="Calibri"/>
          <w:i/>
          <w:sz w:val="26"/>
          <w:szCs w:val="26"/>
        </w:rPr>
        <w:t>January 2018</w:t>
      </w:r>
      <w:r w:rsidR="003D2F2F" w:rsidRPr="00787A9E">
        <w:rPr>
          <w:rFonts w:eastAsia="Calibri"/>
          <w:i/>
          <w:sz w:val="26"/>
          <w:szCs w:val="26"/>
        </w:rPr>
        <w:t xml:space="preserve"> McCloskey</w:t>
      </w:r>
      <w:r w:rsidR="0029296F" w:rsidRPr="00787A9E">
        <w:rPr>
          <w:rFonts w:eastAsia="Calibri"/>
          <w:i/>
          <w:sz w:val="26"/>
          <w:szCs w:val="26"/>
        </w:rPr>
        <w:t xml:space="preserve"> Order</w:t>
      </w:r>
      <w:r w:rsidR="0029296F" w:rsidRPr="00787A9E">
        <w:rPr>
          <w:rFonts w:eastAsia="Calibri"/>
          <w:sz w:val="26"/>
          <w:szCs w:val="26"/>
        </w:rPr>
        <w:t xml:space="preserve">.  </w:t>
      </w:r>
      <w:r w:rsidR="0029296F" w:rsidRPr="00787A9E">
        <w:rPr>
          <w:rFonts w:eastAsia="Calibri"/>
          <w:i/>
          <w:sz w:val="26"/>
          <w:szCs w:val="26"/>
        </w:rPr>
        <w:t>Id.</w:t>
      </w:r>
    </w:p>
    <w:p w14:paraId="2B3064F9" w14:textId="77777777" w:rsidR="0029296F" w:rsidRPr="00787A9E" w:rsidRDefault="0029296F" w:rsidP="00FD1A00">
      <w:pPr>
        <w:pStyle w:val="ListParagraph"/>
        <w:ind w:left="1080"/>
        <w:rPr>
          <w:rFonts w:eastAsia="Calibri"/>
          <w:sz w:val="26"/>
          <w:szCs w:val="26"/>
        </w:rPr>
      </w:pPr>
    </w:p>
    <w:p w14:paraId="7A9E74DA" w14:textId="77777777" w:rsidR="0029296F" w:rsidRPr="00787A9E" w:rsidRDefault="0029296F" w:rsidP="00FD1A00">
      <w:pPr>
        <w:pStyle w:val="ListParagraph"/>
        <w:keepNext/>
        <w:keepLines/>
        <w:numPr>
          <w:ilvl w:val="0"/>
          <w:numId w:val="18"/>
        </w:numPr>
        <w:ind w:left="720" w:firstLine="0"/>
        <w:rPr>
          <w:rFonts w:eastAsia="Calibri"/>
          <w:b/>
          <w:sz w:val="26"/>
          <w:szCs w:val="26"/>
        </w:rPr>
      </w:pPr>
      <w:r w:rsidRPr="00787A9E">
        <w:rPr>
          <w:rFonts w:eastAsia="Calibri"/>
          <w:b/>
          <w:sz w:val="26"/>
          <w:szCs w:val="26"/>
        </w:rPr>
        <w:lastRenderedPageBreak/>
        <w:t>Utility Bills</w:t>
      </w:r>
    </w:p>
    <w:p w14:paraId="2BF5CB94" w14:textId="77777777" w:rsidR="0029296F" w:rsidRPr="00787A9E" w:rsidRDefault="0029296F" w:rsidP="00FD1A00">
      <w:pPr>
        <w:pStyle w:val="ListParagraph"/>
        <w:keepNext/>
        <w:keepLines/>
        <w:ind w:left="0"/>
        <w:rPr>
          <w:rFonts w:eastAsia="Calibri"/>
          <w:b/>
          <w:sz w:val="26"/>
          <w:szCs w:val="26"/>
        </w:rPr>
      </w:pPr>
    </w:p>
    <w:p w14:paraId="0F8FB453" w14:textId="138060DA" w:rsidR="0029296F" w:rsidRPr="00787A9E" w:rsidRDefault="0029296F" w:rsidP="00FD1A00">
      <w:pPr>
        <w:pStyle w:val="ListParagraph"/>
        <w:ind w:left="0" w:firstLine="1440"/>
        <w:rPr>
          <w:rFonts w:eastAsia="Calibri"/>
          <w:sz w:val="26"/>
          <w:szCs w:val="26"/>
        </w:rPr>
      </w:pPr>
      <w:r w:rsidRPr="00787A9E">
        <w:rPr>
          <w:rFonts w:eastAsia="Calibri"/>
          <w:sz w:val="26"/>
          <w:szCs w:val="26"/>
        </w:rPr>
        <w:t xml:space="preserve">Ordering Paragraph No. 13 of the Initial Decision required HVUS to pay all electric and telephone bills in a timely manner to ensure adequate and reasonable service to its customers.  In </w:t>
      </w:r>
      <w:r w:rsidR="00D232E3" w:rsidRPr="00787A9E">
        <w:rPr>
          <w:rFonts w:eastAsia="Calibri"/>
          <w:sz w:val="26"/>
          <w:szCs w:val="26"/>
        </w:rPr>
        <w:t>the</w:t>
      </w:r>
      <w:r w:rsidRPr="00787A9E">
        <w:rPr>
          <w:rFonts w:eastAsia="Calibri"/>
          <w:sz w:val="26"/>
          <w:szCs w:val="26"/>
        </w:rPr>
        <w:t xml:space="preserve"> </w:t>
      </w:r>
      <w:r w:rsidRPr="00787A9E">
        <w:rPr>
          <w:rFonts w:eastAsia="Calibri"/>
          <w:i/>
          <w:sz w:val="26"/>
          <w:szCs w:val="26"/>
        </w:rPr>
        <w:t xml:space="preserve">January 2018 </w:t>
      </w:r>
      <w:r w:rsidR="00D232E3" w:rsidRPr="00787A9E">
        <w:rPr>
          <w:rFonts w:eastAsia="Calibri"/>
          <w:i/>
          <w:sz w:val="26"/>
          <w:szCs w:val="26"/>
        </w:rPr>
        <w:t xml:space="preserve">McCloskey </w:t>
      </w:r>
      <w:r w:rsidRPr="00787A9E">
        <w:rPr>
          <w:rFonts w:eastAsia="Calibri"/>
          <w:i/>
          <w:sz w:val="26"/>
          <w:szCs w:val="26"/>
        </w:rPr>
        <w:t>Order</w:t>
      </w:r>
      <w:r w:rsidRPr="00787A9E">
        <w:rPr>
          <w:rFonts w:eastAsia="Calibri"/>
          <w:sz w:val="26"/>
          <w:szCs w:val="26"/>
        </w:rPr>
        <w:t>,</w:t>
      </w:r>
      <w:r w:rsidR="00E024B4" w:rsidRPr="00787A9E">
        <w:rPr>
          <w:rFonts w:eastAsia="Calibri"/>
          <w:sz w:val="26"/>
          <w:szCs w:val="26"/>
        </w:rPr>
        <w:t xml:space="preserve"> </w:t>
      </w:r>
      <w:r w:rsidR="00D90485">
        <w:rPr>
          <w:rFonts w:eastAsia="Calibri"/>
          <w:sz w:val="26"/>
          <w:szCs w:val="26"/>
        </w:rPr>
        <w:t>we</w:t>
      </w:r>
      <w:r w:rsidR="00E024B4" w:rsidRPr="00787A9E">
        <w:rPr>
          <w:rFonts w:eastAsia="Calibri"/>
          <w:sz w:val="26"/>
          <w:szCs w:val="26"/>
        </w:rPr>
        <w:t xml:space="preserve"> </w:t>
      </w:r>
      <w:r w:rsidRPr="00787A9E">
        <w:rPr>
          <w:rFonts w:eastAsia="Calibri"/>
          <w:sz w:val="26"/>
          <w:szCs w:val="26"/>
        </w:rPr>
        <w:t>addressed the OCA</w:t>
      </w:r>
      <w:r w:rsidR="00A424DB">
        <w:rPr>
          <w:rFonts w:eastAsia="Calibri"/>
          <w:sz w:val="26"/>
          <w:szCs w:val="26"/>
        </w:rPr>
        <w:t>’</w:t>
      </w:r>
      <w:r w:rsidRPr="00787A9E">
        <w:rPr>
          <w:rFonts w:eastAsia="Calibri"/>
          <w:sz w:val="26"/>
          <w:szCs w:val="26"/>
        </w:rPr>
        <w:t xml:space="preserve">s Exception No. 6, which argued that the ALJ failed to include important oversight mechanisms in Ordering Paragraph No. 13 to ensure compliance with the payment obligations.  </w:t>
      </w:r>
      <w:r w:rsidRPr="00787A9E">
        <w:rPr>
          <w:rFonts w:eastAsia="Calibri"/>
          <w:i/>
          <w:sz w:val="26"/>
          <w:szCs w:val="26"/>
        </w:rPr>
        <w:t xml:space="preserve">January 2018 </w:t>
      </w:r>
      <w:r w:rsidR="00E024B4" w:rsidRPr="00787A9E">
        <w:rPr>
          <w:rFonts w:eastAsia="Calibri"/>
          <w:i/>
          <w:sz w:val="26"/>
          <w:szCs w:val="26"/>
        </w:rPr>
        <w:t xml:space="preserve">McCloskey </w:t>
      </w:r>
      <w:r w:rsidRPr="00787A9E">
        <w:rPr>
          <w:rFonts w:eastAsia="Calibri"/>
          <w:i/>
          <w:sz w:val="26"/>
          <w:szCs w:val="26"/>
        </w:rPr>
        <w:t>Order</w:t>
      </w:r>
      <w:r w:rsidRPr="00787A9E">
        <w:rPr>
          <w:rFonts w:eastAsia="Calibri"/>
          <w:sz w:val="26"/>
          <w:szCs w:val="26"/>
        </w:rPr>
        <w:t xml:space="preserve"> at 44.</w:t>
      </w:r>
    </w:p>
    <w:p w14:paraId="1705998A" w14:textId="77777777" w:rsidR="00087CD6" w:rsidRPr="00787A9E" w:rsidRDefault="00087CD6" w:rsidP="00FD1A00">
      <w:pPr>
        <w:pStyle w:val="ListParagraph"/>
        <w:ind w:left="0"/>
        <w:rPr>
          <w:rFonts w:eastAsia="Calibri"/>
          <w:sz w:val="26"/>
          <w:szCs w:val="26"/>
        </w:rPr>
      </w:pPr>
    </w:p>
    <w:p w14:paraId="4CDFFE40" w14:textId="704C321C" w:rsidR="0029296F" w:rsidRPr="00787A9E" w:rsidRDefault="0029296F" w:rsidP="00FD1A00">
      <w:pPr>
        <w:pStyle w:val="ListParagraph"/>
        <w:ind w:left="0" w:firstLine="1440"/>
        <w:rPr>
          <w:rFonts w:eastAsia="Calibri"/>
          <w:sz w:val="26"/>
          <w:szCs w:val="26"/>
        </w:rPr>
      </w:pPr>
      <w:r w:rsidRPr="00787A9E">
        <w:rPr>
          <w:rFonts w:eastAsia="Calibri"/>
          <w:sz w:val="26"/>
          <w:szCs w:val="26"/>
        </w:rPr>
        <w:t>Regarding the payment of electric bill</w:t>
      </w:r>
      <w:r w:rsidR="001D4BFD">
        <w:rPr>
          <w:rFonts w:eastAsia="Calibri"/>
          <w:sz w:val="26"/>
          <w:szCs w:val="26"/>
        </w:rPr>
        <w:t>s</w:t>
      </w:r>
      <w:r w:rsidRPr="00787A9E">
        <w:rPr>
          <w:rFonts w:eastAsia="Calibri"/>
          <w:sz w:val="26"/>
          <w:szCs w:val="26"/>
        </w:rPr>
        <w:t xml:space="preserve">, the OCA recommended that the Company be required to </w:t>
      </w:r>
      <w:bookmarkStart w:id="8" w:name="_Hlk502676120"/>
      <w:r w:rsidRPr="00787A9E">
        <w:rPr>
          <w:rFonts w:eastAsia="Calibri"/>
          <w:sz w:val="26"/>
          <w:szCs w:val="26"/>
        </w:rPr>
        <w:t>execute appropriate authorization forms permitting its electric provider, Pennsylvania Electric Company (Penelec), to continue providing monthly billing and payment information for all HVUS accounts to the OCA until June 10, 2018.</w:t>
      </w:r>
      <w:bookmarkEnd w:id="8"/>
      <w:r w:rsidRPr="00787A9E">
        <w:rPr>
          <w:rFonts w:eastAsia="Calibri"/>
          <w:sz w:val="26"/>
          <w:szCs w:val="26"/>
        </w:rPr>
        <w:t xml:space="preserve">  The OCA argued, in part, that having monthly payment information will allow the OCA to timely respond to late payments before they escalate to termination notices and put the utility</w:t>
      </w:r>
      <w:r w:rsidR="00A424DB">
        <w:rPr>
          <w:rFonts w:eastAsia="Calibri"/>
          <w:sz w:val="26"/>
          <w:szCs w:val="26"/>
        </w:rPr>
        <w:t>’</w:t>
      </w:r>
      <w:r w:rsidRPr="00787A9E">
        <w:rPr>
          <w:rFonts w:eastAsia="Calibri"/>
          <w:sz w:val="26"/>
          <w:szCs w:val="26"/>
        </w:rPr>
        <w:t xml:space="preserve">s ability to provide continuous water and wastewater service in jeopardy.  The OCA also asserted that its requested relief imposes a minor burden on HVUS, requiring the Company to simply execute written authorization for Penelec to release its account information to the OCA.  Moreover, the OCA noted, the submission of account information for monitoring provides a reciprocal benefit to Penelec by encouraging timely payment by the Company.  </w:t>
      </w:r>
      <w:r w:rsidRPr="00787A9E">
        <w:rPr>
          <w:rFonts w:eastAsia="Calibri"/>
          <w:i/>
          <w:sz w:val="26"/>
          <w:szCs w:val="26"/>
        </w:rPr>
        <w:t xml:space="preserve">January 2018 </w:t>
      </w:r>
      <w:r w:rsidR="00EA3345" w:rsidRPr="00787A9E">
        <w:rPr>
          <w:rFonts w:eastAsia="Calibri"/>
          <w:i/>
          <w:sz w:val="26"/>
          <w:szCs w:val="26"/>
        </w:rPr>
        <w:t xml:space="preserve">McCloskey </w:t>
      </w:r>
      <w:r w:rsidRPr="00787A9E">
        <w:rPr>
          <w:rFonts w:eastAsia="Calibri"/>
          <w:i/>
          <w:sz w:val="26"/>
          <w:szCs w:val="26"/>
        </w:rPr>
        <w:t xml:space="preserve">Order </w:t>
      </w:r>
      <w:r w:rsidRPr="00787A9E">
        <w:rPr>
          <w:rFonts w:eastAsia="Calibri"/>
          <w:sz w:val="26"/>
          <w:szCs w:val="26"/>
        </w:rPr>
        <w:t>at 44.</w:t>
      </w:r>
    </w:p>
    <w:p w14:paraId="4829C327" w14:textId="77777777" w:rsidR="0029296F" w:rsidRPr="00787A9E" w:rsidRDefault="0029296F" w:rsidP="00FD1A00">
      <w:pPr>
        <w:pStyle w:val="ListParagraph"/>
        <w:ind w:left="0"/>
        <w:rPr>
          <w:rFonts w:eastAsia="Calibri"/>
          <w:sz w:val="26"/>
          <w:szCs w:val="26"/>
        </w:rPr>
      </w:pPr>
    </w:p>
    <w:p w14:paraId="05308A36" w14:textId="3672B86B" w:rsidR="0029296F" w:rsidRPr="00787A9E" w:rsidRDefault="0029296F" w:rsidP="00FD1A00">
      <w:pPr>
        <w:pStyle w:val="ListParagraph"/>
        <w:ind w:left="0" w:firstLine="1350"/>
        <w:rPr>
          <w:rFonts w:eastAsia="Calibri"/>
          <w:sz w:val="26"/>
          <w:szCs w:val="26"/>
        </w:rPr>
      </w:pPr>
      <w:r w:rsidRPr="00787A9E">
        <w:rPr>
          <w:rFonts w:eastAsia="Calibri"/>
          <w:sz w:val="26"/>
          <w:szCs w:val="26"/>
        </w:rPr>
        <w:t>Regarding the payment of telephone bills, the OCA requested that its recommendation of an annual update on telephone service be adopted.  Specifically, the OCA requested that copies of the Company</w:t>
      </w:r>
      <w:r w:rsidR="00A424DB">
        <w:rPr>
          <w:rFonts w:eastAsia="Calibri"/>
          <w:sz w:val="26"/>
          <w:szCs w:val="26"/>
        </w:rPr>
        <w:t>’</w:t>
      </w:r>
      <w:r w:rsidRPr="00787A9E">
        <w:rPr>
          <w:rFonts w:eastAsia="Calibri"/>
          <w:sz w:val="26"/>
          <w:szCs w:val="26"/>
        </w:rPr>
        <w:t xml:space="preserve">s bills for telephone service be provided to ensure that HVUS will maintain phone service at the numbers listed on the bills, so customers are able to reliably contact the Company.  </w:t>
      </w:r>
      <w:r w:rsidR="004D1C12" w:rsidRPr="00787A9E">
        <w:rPr>
          <w:rFonts w:eastAsia="Calibri"/>
          <w:i/>
          <w:sz w:val="26"/>
          <w:szCs w:val="26"/>
        </w:rPr>
        <w:t xml:space="preserve">January 2018 McCloskey Order </w:t>
      </w:r>
      <w:r w:rsidR="004D1C12" w:rsidRPr="00787A9E">
        <w:rPr>
          <w:rFonts w:eastAsia="Calibri"/>
          <w:sz w:val="26"/>
          <w:szCs w:val="26"/>
        </w:rPr>
        <w:t>at</w:t>
      </w:r>
      <w:r w:rsidR="00E53DED">
        <w:rPr>
          <w:rFonts w:eastAsia="Calibri"/>
          <w:sz w:val="26"/>
          <w:szCs w:val="26"/>
        </w:rPr>
        <w:t> </w:t>
      </w:r>
      <w:r w:rsidR="004D1C12" w:rsidRPr="00787A9E">
        <w:rPr>
          <w:rFonts w:eastAsia="Calibri"/>
          <w:sz w:val="26"/>
          <w:szCs w:val="26"/>
        </w:rPr>
        <w:t>44.</w:t>
      </w:r>
    </w:p>
    <w:p w14:paraId="3232E155" w14:textId="77777777" w:rsidR="0029296F" w:rsidRPr="00787A9E" w:rsidRDefault="0029296F" w:rsidP="00FD1A00">
      <w:pPr>
        <w:pStyle w:val="ListParagraph"/>
        <w:ind w:left="0"/>
        <w:rPr>
          <w:rFonts w:eastAsia="Calibri"/>
          <w:sz w:val="26"/>
          <w:szCs w:val="26"/>
        </w:rPr>
      </w:pPr>
    </w:p>
    <w:p w14:paraId="64FB37B1" w14:textId="01B7BA78" w:rsidR="0029296F" w:rsidRPr="004D1C12" w:rsidRDefault="0029296F" w:rsidP="00FD1A00">
      <w:pPr>
        <w:pStyle w:val="ListParagraph"/>
        <w:ind w:left="0" w:firstLine="1440"/>
        <w:rPr>
          <w:rFonts w:eastAsia="Calibri"/>
          <w:sz w:val="26"/>
          <w:szCs w:val="26"/>
        </w:rPr>
      </w:pPr>
      <w:r w:rsidRPr="00787A9E">
        <w:rPr>
          <w:rFonts w:eastAsia="Calibri"/>
          <w:sz w:val="26"/>
          <w:szCs w:val="26"/>
        </w:rPr>
        <w:lastRenderedPageBreak/>
        <w:t>In</w:t>
      </w:r>
      <w:r w:rsidR="00EA3345" w:rsidRPr="00787A9E">
        <w:rPr>
          <w:rFonts w:eastAsia="Calibri"/>
          <w:sz w:val="26"/>
          <w:szCs w:val="26"/>
        </w:rPr>
        <w:t xml:space="preserve"> </w:t>
      </w:r>
      <w:r w:rsidR="001D4BFD">
        <w:rPr>
          <w:rFonts w:eastAsia="Calibri"/>
          <w:sz w:val="26"/>
          <w:szCs w:val="26"/>
        </w:rPr>
        <w:t>our</w:t>
      </w:r>
      <w:r w:rsidR="00EA3345" w:rsidRPr="00787A9E">
        <w:rPr>
          <w:rFonts w:eastAsia="Calibri"/>
          <w:sz w:val="26"/>
          <w:szCs w:val="26"/>
        </w:rPr>
        <w:t xml:space="preserve"> </w:t>
      </w:r>
      <w:r w:rsidRPr="00787A9E">
        <w:rPr>
          <w:rFonts w:eastAsia="Calibri"/>
          <w:sz w:val="26"/>
          <w:szCs w:val="26"/>
        </w:rPr>
        <w:t>disposition,</w:t>
      </w:r>
      <w:r w:rsidR="00EA3345" w:rsidRPr="00787A9E">
        <w:rPr>
          <w:rFonts w:eastAsia="Calibri"/>
          <w:sz w:val="26"/>
          <w:szCs w:val="26"/>
        </w:rPr>
        <w:t xml:space="preserve"> </w:t>
      </w:r>
      <w:r w:rsidR="001D4BFD">
        <w:rPr>
          <w:rFonts w:eastAsia="Calibri"/>
          <w:sz w:val="26"/>
          <w:szCs w:val="26"/>
        </w:rPr>
        <w:t>we</w:t>
      </w:r>
      <w:r w:rsidRPr="00787A9E">
        <w:rPr>
          <w:rFonts w:eastAsia="Calibri"/>
          <w:sz w:val="26"/>
          <w:szCs w:val="26"/>
        </w:rPr>
        <w:t xml:space="preserve"> agreed that timely payment of the Company</w:t>
      </w:r>
      <w:r w:rsidR="00A424DB">
        <w:rPr>
          <w:rFonts w:eastAsia="Calibri"/>
          <w:sz w:val="26"/>
          <w:szCs w:val="26"/>
        </w:rPr>
        <w:t>’</w:t>
      </w:r>
      <w:r w:rsidRPr="00787A9E">
        <w:rPr>
          <w:rFonts w:eastAsia="Calibri"/>
          <w:sz w:val="26"/>
          <w:szCs w:val="26"/>
        </w:rPr>
        <w:t xml:space="preserve">s electric and telephone bills is critical to ensuring adequate and reasonable service to its customers.  </w:t>
      </w:r>
      <w:r w:rsidR="001D4BFD">
        <w:rPr>
          <w:rFonts w:eastAsia="Calibri"/>
          <w:sz w:val="26"/>
          <w:szCs w:val="26"/>
        </w:rPr>
        <w:t>We</w:t>
      </w:r>
      <w:r w:rsidRPr="00787A9E">
        <w:rPr>
          <w:rFonts w:eastAsia="Calibri"/>
          <w:sz w:val="26"/>
          <w:szCs w:val="26"/>
        </w:rPr>
        <w:t xml:space="preserve"> found that the OCA</w:t>
      </w:r>
      <w:r w:rsidR="00A424DB">
        <w:rPr>
          <w:rFonts w:eastAsia="Calibri"/>
          <w:sz w:val="26"/>
          <w:szCs w:val="26"/>
        </w:rPr>
        <w:t>’</w:t>
      </w:r>
      <w:r w:rsidRPr="00787A9E">
        <w:rPr>
          <w:rFonts w:eastAsia="Calibri"/>
          <w:sz w:val="26"/>
          <w:szCs w:val="26"/>
        </w:rPr>
        <w:t>s proposed mechanism for monitoring payment of the electric and telephone bills involves a minimal burden on HVUS and appeared to be an appropriate modification to the Initial Decision.  Noting the lack of objection by the Company to this modification</w:t>
      </w:r>
      <w:r w:rsidR="00EA3345" w:rsidRPr="00787A9E">
        <w:rPr>
          <w:rFonts w:eastAsia="Calibri"/>
          <w:sz w:val="26"/>
          <w:szCs w:val="26"/>
        </w:rPr>
        <w:t xml:space="preserve">, </w:t>
      </w:r>
      <w:r w:rsidR="001D4BFD">
        <w:rPr>
          <w:rFonts w:eastAsia="Calibri"/>
          <w:sz w:val="26"/>
          <w:szCs w:val="26"/>
        </w:rPr>
        <w:t xml:space="preserve">we </w:t>
      </w:r>
      <w:r w:rsidRPr="00787A9E">
        <w:rPr>
          <w:rFonts w:eastAsia="Calibri"/>
          <w:sz w:val="26"/>
          <w:szCs w:val="26"/>
        </w:rPr>
        <w:t xml:space="preserve">found it to be reasonable and supported by the evidentiary record.  Thus, </w:t>
      </w:r>
      <w:r w:rsidR="001D4BFD">
        <w:rPr>
          <w:rFonts w:eastAsia="Calibri"/>
          <w:sz w:val="26"/>
          <w:szCs w:val="26"/>
        </w:rPr>
        <w:t>we</w:t>
      </w:r>
      <w:r w:rsidRPr="00787A9E">
        <w:rPr>
          <w:rFonts w:eastAsia="Calibri"/>
          <w:sz w:val="26"/>
          <w:szCs w:val="26"/>
        </w:rPr>
        <w:t xml:space="preserve"> granted OCA Exception No. 6.</w:t>
      </w:r>
      <w:r w:rsidR="004D1C12">
        <w:rPr>
          <w:rFonts w:eastAsia="Calibri"/>
          <w:sz w:val="26"/>
          <w:szCs w:val="26"/>
        </w:rPr>
        <w:t xml:space="preserve">  </w:t>
      </w:r>
      <w:r w:rsidR="004D1C12">
        <w:rPr>
          <w:rFonts w:eastAsia="Calibri"/>
          <w:i/>
          <w:sz w:val="26"/>
          <w:szCs w:val="26"/>
        </w:rPr>
        <w:t xml:space="preserve">January 2018 McCloskey Order </w:t>
      </w:r>
      <w:r w:rsidR="004D1C12">
        <w:rPr>
          <w:rFonts w:eastAsia="Calibri"/>
          <w:sz w:val="26"/>
          <w:szCs w:val="26"/>
        </w:rPr>
        <w:t>at 45.</w:t>
      </w:r>
    </w:p>
    <w:p w14:paraId="14947BE3" w14:textId="77777777" w:rsidR="0029296F" w:rsidRPr="00787A9E" w:rsidRDefault="0029296F" w:rsidP="00FD1A00">
      <w:pPr>
        <w:pStyle w:val="ListParagraph"/>
        <w:ind w:left="0"/>
        <w:rPr>
          <w:rFonts w:eastAsia="Calibri"/>
          <w:sz w:val="26"/>
          <w:szCs w:val="26"/>
        </w:rPr>
      </w:pPr>
    </w:p>
    <w:p w14:paraId="1F616D3D" w14:textId="77777777" w:rsidR="0029296F" w:rsidRPr="00787A9E" w:rsidRDefault="0029296F" w:rsidP="00FD1A00">
      <w:pPr>
        <w:pStyle w:val="ListParagraph"/>
        <w:keepNext/>
        <w:keepLines/>
        <w:numPr>
          <w:ilvl w:val="0"/>
          <w:numId w:val="18"/>
        </w:numPr>
        <w:ind w:left="720" w:firstLine="0"/>
        <w:rPr>
          <w:rFonts w:eastAsia="Calibri"/>
          <w:b/>
          <w:sz w:val="26"/>
          <w:szCs w:val="26"/>
        </w:rPr>
      </w:pPr>
      <w:r w:rsidRPr="00787A9E">
        <w:rPr>
          <w:rFonts w:eastAsia="Calibri"/>
          <w:b/>
          <w:sz w:val="26"/>
          <w:szCs w:val="26"/>
        </w:rPr>
        <w:t>Customer Meetings</w:t>
      </w:r>
    </w:p>
    <w:p w14:paraId="77A8725B" w14:textId="77777777" w:rsidR="0029296F" w:rsidRPr="00787A9E" w:rsidRDefault="0029296F" w:rsidP="00FD1A00">
      <w:pPr>
        <w:pStyle w:val="ListParagraph"/>
        <w:keepNext/>
        <w:keepLines/>
        <w:ind w:left="1080"/>
        <w:rPr>
          <w:rFonts w:eastAsia="Calibri"/>
          <w:b/>
          <w:sz w:val="26"/>
          <w:szCs w:val="26"/>
        </w:rPr>
      </w:pPr>
    </w:p>
    <w:p w14:paraId="14380BEA" w14:textId="56179CB3" w:rsidR="0029296F" w:rsidRPr="00787A9E" w:rsidRDefault="0029296F" w:rsidP="00FD1A00">
      <w:pPr>
        <w:pStyle w:val="ListParagraph"/>
        <w:ind w:left="0" w:firstLine="1440"/>
        <w:rPr>
          <w:rFonts w:eastAsia="Calibri"/>
          <w:sz w:val="26"/>
          <w:szCs w:val="26"/>
        </w:rPr>
      </w:pPr>
      <w:r w:rsidRPr="00787A9E">
        <w:rPr>
          <w:rFonts w:eastAsia="Calibri"/>
          <w:sz w:val="26"/>
          <w:szCs w:val="26"/>
        </w:rPr>
        <w:t xml:space="preserve">Moving to the requirement of scheduling semi-annual customer meetings, </w:t>
      </w:r>
      <w:r w:rsidR="001D4BFD">
        <w:rPr>
          <w:rFonts w:eastAsia="Calibri"/>
          <w:sz w:val="26"/>
          <w:szCs w:val="26"/>
        </w:rPr>
        <w:t>we</w:t>
      </w:r>
      <w:r w:rsidRPr="00787A9E">
        <w:rPr>
          <w:rFonts w:eastAsia="Calibri"/>
          <w:sz w:val="26"/>
          <w:szCs w:val="26"/>
        </w:rPr>
        <w:t xml:space="preserve"> addressed the OCA</w:t>
      </w:r>
      <w:r w:rsidR="00A424DB">
        <w:rPr>
          <w:rFonts w:eastAsia="Calibri"/>
          <w:sz w:val="26"/>
          <w:szCs w:val="26"/>
        </w:rPr>
        <w:t>’</w:t>
      </w:r>
      <w:r w:rsidRPr="00787A9E">
        <w:rPr>
          <w:rFonts w:eastAsia="Calibri"/>
          <w:sz w:val="26"/>
          <w:szCs w:val="26"/>
        </w:rPr>
        <w:t>s Exception No. 7, which requested clarification to add specific dates to ensure that the meetings are well-attended and useful to both the Company and its customers.  Additionally, the OCA requested that the Company be required to confer with the Foundation, which is the Hidden Valley homeowner</w:t>
      </w:r>
      <w:r w:rsidR="00A424DB">
        <w:rPr>
          <w:rFonts w:eastAsia="Calibri"/>
          <w:sz w:val="26"/>
          <w:szCs w:val="26"/>
        </w:rPr>
        <w:t>’</w:t>
      </w:r>
      <w:r w:rsidRPr="00787A9E">
        <w:rPr>
          <w:rFonts w:eastAsia="Calibri"/>
          <w:sz w:val="26"/>
          <w:szCs w:val="26"/>
        </w:rPr>
        <w:t xml:space="preserve">s association, regarding dates that may result in higher attendance and increased communications with the customers.  </w:t>
      </w:r>
      <w:r w:rsidRPr="00787A9E">
        <w:rPr>
          <w:rFonts w:eastAsia="Calibri"/>
          <w:i/>
          <w:sz w:val="26"/>
          <w:szCs w:val="26"/>
        </w:rPr>
        <w:t xml:space="preserve">January 2018 </w:t>
      </w:r>
      <w:r w:rsidR="00070B8D" w:rsidRPr="00787A9E">
        <w:rPr>
          <w:rFonts w:eastAsia="Calibri"/>
          <w:i/>
          <w:sz w:val="26"/>
          <w:szCs w:val="26"/>
        </w:rPr>
        <w:t xml:space="preserve">McCloskey </w:t>
      </w:r>
      <w:r w:rsidRPr="00787A9E">
        <w:rPr>
          <w:rFonts w:eastAsia="Calibri"/>
          <w:i/>
          <w:sz w:val="26"/>
          <w:szCs w:val="26"/>
        </w:rPr>
        <w:t xml:space="preserve">Order </w:t>
      </w:r>
      <w:r w:rsidRPr="00787A9E">
        <w:rPr>
          <w:rFonts w:eastAsia="Calibri"/>
          <w:sz w:val="26"/>
          <w:szCs w:val="26"/>
        </w:rPr>
        <w:t>at 45-46.</w:t>
      </w:r>
    </w:p>
    <w:p w14:paraId="452DD76A" w14:textId="77777777" w:rsidR="00315424" w:rsidRPr="00787A9E" w:rsidRDefault="00315424" w:rsidP="00FD1A00">
      <w:pPr>
        <w:pStyle w:val="ListParagraph"/>
        <w:ind w:left="0"/>
        <w:rPr>
          <w:rFonts w:eastAsia="Calibri"/>
          <w:sz w:val="26"/>
          <w:szCs w:val="26"/>
        </w:rPr>
      </w:pPr>
    </w:p>
    <w:p w14:paraId="0AADDB52" w14:textId="48141FF7" w:rsidR="0029296F" w:rsidRPr="00787A9E" w:rsidRDefault="001D4BFD" w:rsidP="00FD1A00">
      <w:pPr>
        <w:pStyle w:val="ListParagraph"/>
        <w:ind w:left="0" w:firstLine="1440"/>
        <w:rPr>
          <w:rFonts w:eastAsia="Calibri"/>
          <w:sz w:val="26"/>
          <w:szCs w:val="26"/>
        </w:rPr>
      </w:pPr>
      <w:r>
        <w:rPr>
          <w:rFonts w:eastAsia="Calibri"/>
          <w:sz w:val="26"/>
          <w:szCs w:val="26"/>
        </w:rPr>
        <w:t>We</w:t>
      </w:r>
      <w:r w:rsidR="009D6439" w:rsidRPr="00787A9E">
        <w:rPr>
          <w:rFonts w:eastAsia="Calibri"/>
          <w:sz w:val="26"/>
          <w:szCs w:val="26"/>
        </w:rPr>
        <w:t xml:space="preserve"> </w:t>
      </w:r>
      <w:r w:rsidR="0029296F" w:rsidRPr="00787A9E">
        <w:rPr>
          <w:rFonts w:eastAsia="Calibri"/>
          <w:sz w:val="26"/>
          <w:szCs w:val="26"/>
        </w:rPr>
        <w:t>also addressed the Company</w:t>
      </w:r>
      <w:r w:rsidR="00A424DB">
        <w:rPr>
          <w:rFonts w:eastAsia="Calibri"/>
          <w:sz w:val="26"/>
          <w:szCs w:val="26"/>
        </w:rPr>
        <w:t>’</w:t>
      </w:r>
      <w:r w:rsidR="0029296F" w:rsidRPr="00787A9E">
        <w:rPr>
          <w:rFonts w:eastAsia="Calibri"/>
          <w:sz w:val="26"/>
          <w:szCs w:val="26"/>
        </w:rPr>
        <w:t xml:space="preserve">s Exception No. 1 which requested modification of the customer meeting provision in Ordering Paragraph No. 3 to explicitly state that the semi-annual meetings should be held only until the line replacement work referenced in Ordering Paragraph No. 3 </w:t>
      </w:r>
      <w:r w:rsidR="00B156C2" w:rsidRPr="00787A9E">
        <w:rPr>
          <w:rFonts w:eastAsia="Calibri"/>
          <w:sz w:val="26"/>
          <w:szCs w:val="26"/>
        </w:rPr>
        <w:t xml:space="preserve">of the </w:t>
      </w:r>
      <w:r w:rsidR="00B156C2" w:rsidRPr="00787A9E">
        <w:rPr>
          <w:rFonts w:eastAsia="Calibri"/>
          <w:i/>
          <w:sz w:val="26"/>
          <w:szCs w:val="26"/>
        </w:rPr>
        <w:t xml:space="preserve">January 2018 McCloskey Order </w:t>
      </w:r>
      <w:r w:rsidR="0029296F" w:rsidRPr="00787A9E">
        <w:rPr>
          <w:rFonts w:eastAsia="Calibri"/>
          <w:sz w:val="26"/>
          <w:szCs w:val="26"/>
        </w:rPr>
        <w:t>is completed.</w:t>
      </w:r>
      <w:r w:rsidR="0029296F" w:rsidRPr="00787A9E">
        <w:rPr>
          <w:rStyle w:val="FootnoteReference"/>
          <w:rFonts w:eastAsia="Calibri"/>
          <w:sz w:val="26"/>
          <w:szCs w:val="26"/>
        </w:rPr>
        <w:footnoteReference w:id="10"/>
      </w:r>
      <w:r w:rsidR="0029296F" w:rsidRPr="00787A9E">
        <w:rPr>
          <w:rFonts w:eastAsia="Calibri"/>
          <w:sz w:val="26"/>
          <w:szCs w:val="26"/>
        </w:rPr>
        <w:t xml:space="preserve">  Alternatively, the Company asserted that </w:t>
      </w:r>
      <w:r>
        <w:rPr>
          <w:rFonts w:eastAsia="Calibri"/>
          <w:sz w:val="26"/>
          <w:szCs w:val="26"/>
        </w:rPr>
        <w:t xml:space="preserve">we </w:t>
      </w:r>
      <w:r w:rsidR="0029296F" w:rsidRPr="00787A9E">
        <w:rPr>
          <w:rFonts w:eastAsia="Calibri"/>
          <w:sz w:val="26"/>
          <w:szCs w:val="26"/>
        </w:rPr>
        <w:t xml:space="preserve">should require semi-annual customer meetings until HVUS completes the projects necessary to comply with the </w:t>
      </w:r>
      <w:r>
        <w:rPr>
          <w:rFonts w:eastAsia="Calibri"/>
          <w:sz w:val="26"/>
          <w:szCs w:val="26"/>
        </w:rPr>
        <w:t>our</w:t>
      </w:r>
      <w:r w:rsidR="0029296F" w:rsidRPr="00787A9E">
        <w:rPr>
          <w:rFonts w:eastAsia="Calibri"/>
          <w:sz w:val="26"/>
          <w:szCs w:val="26"/>
        </w:rPr>
        <w:t xml:space="preserve"> final Order in </w:t>
      </w:r>
      <w:r w:rsidR="007D3116" w:rsidRPr="00787A9E">
        <w:rPr>
          <w:rFonts w:eastAsia="Calibri"/>
          <w:sz w:val="26"/>
          <w:szCs w:val="26"/>
        </w:rPr>
        <w:t>that</w:t>
      </w:r>
      <w:r w:rsidR="0029296F" w:rsidRPr="00787A9E">
        <w:rPr>
          <w:rFonts w:eastAsia="Calibri"/>
          <w:sz w:val="26"/>
          <w:szCs w:val="26"/>
        </w:rPr>
        <w:t xml:space="preserve"> proceeding.  </w:t>
      </w:r>
      <w:r w:rsidR="0029296F" w:rsidRPr="00787A9E">
        <w:rPr>
          <w:rFonts w:eastAsia="Calibri"/>
          <w:i/>
          <w:sz w:val="26"/>
          <w:szCs w:val="26"/>
        </w:rPr>
        <w:t xml:space="preserve">January 2018 </w:t>
      </w:r>
      <w:r w:rsidR="009D6439" w:rsidRPr="00787A9E">
        <w:rPr>
          <w:rFonts w:eastAsia="Calibri"/>
          <w:i/>
          <w:sz w:val="26"/>
          <w:szCs w:val="26"/>
        </w:rPr>
        <w:t xml:space="preserve">McCloskey </w:t>
      </w:r>
      <w:r w:rsidR="0029296F" w:rsidRPr="00787A9E">
        <w:rPr>
          <w:rFonts w:eastAsia="Calibri"/>
          <w:i/>
          <w:sz w:val="26"/>
          <w:szCs w:val="26"/>
        </w:rPr>
        <w:t xml:space="preserve">Order </w:t>
      </w:r>
      <w:r w:rsidR="0029296F" w:rsidRPr="00787A9E">
        <w:rPr>
          <w:rFonts w:eastAsia="Calibri"/>
          <w:sz w:val="26"/>
          <w:szCs w:val="26"/>
        </w:rPr>
        <w:t>at 46.</w:t>
      </w:r>
    </w:p>
    <w:p w14:paraId="4AC39C26" w14:textId="77777777" w:rsidR="00EE3E9B" w:rsidRPr="00787A9E" w:rsidRDefault="00EE3E9B" w:rsidP="00FD1A00">
      <w:pPr>
        <w:pStyle w:val="ListParagraph"/>
        <w:ind w:left="0"/>
        <w:rPr>
          <w:rFonts w:eastAsia="Calibri"/>
          <w:sz w:val="26"/>
          <w:szCs w:val="26"/>
        </w:rPr>
      </w:pPr>
    </w:p>
    <w:p w14:paraId="4D4A42F5" w14:textId="771C2E71" w:rsidR="0029296F" w:rsidRPr="00787A9E" w:rsidRDefault="001D4BFD" w:rsidP="00FD1A00">
      <w:pPr>
        <w:pStyle w:val="ListParagraph"/>
        <w:ind w:left="0" w:firstLine="1440"/>
        <w:rPr>
          <w:rFonts w:eastAsia="Calibri"/>
          <w:sz w:val="26"/>
          <w:szCs w:val="26"/>
        </w:rPr>
      </w:pPr>
      <w:r>
        <w:rPr>
          <w:rFonts w:eastAsia="Calibri"/>
          <w:sz w:val="26"/>
          <w:szCs w:val="26"/>
        </w:rPr>
        <w:t>We</w:t>
      </w:r>
      <w:r w:rsidR="0029296F" w:rsidRPr="00787A9E">
        <w:rPr>
          <w:rFonts w:eastAsia="Calibri"/>
          <w:sz w:val="26"/>
          <w:szCs w:val="26"/>
        </w:rPr>
        <w:t xml:space="preserve"> granted the OCA</w:t>
      </w:r>
      <w:r w:rsidR="00A424DB">
        <w:rPr>
          <w:rFonts w:eastAsia="Calibri"/>
          <w:sz w:val="26"/>
          <w:szCs w:val="26"/>
        </w:rPr>
        <w:t>’</w:t>
      </w:r>
      <w:r w:rsidR="0029296F" w:rsidRPr="00787A9E">
        <w:rPr>
          <w:rFonts w:eastAsia="Calibri"/>
          <w:sz w:val="26"/>
          <w:szCs w:val="26"/>
        </w:rPr>
        <w:t>s Exception No. 7</w:t>
      </w:r>
      <w:r w:rsidR="0049395B" w:rsidRPr="00787A9E">
        <w:rPr>
          <w:rFonts w:eastAsia="Calibri"/>
          <w:sz w:val="26"/>
          <w:szCs w:val="26"/>
        </w:rPr>
        <w:t>,</w:t>
      </w:r>
      <w:r w:rsidR="0029296F" w:rsidRPr="00787A9E">
        <w:rPr>
          <w:rFonts w:eastAsia="Calibri"/>
          <w:sz w:val="26"/>
          <w:szCs w:val="26"/>
        </w:rPr>
        <w:t xml:space="preserve"> finding that the requested modifications would help ensure appropriate customer involvement.  Additionally, </w:t>
      </w:r>
      <w:r>
        <w:rPr>
          <w:rFonts w:eastAsia="Calibri"/>
          <w:sz w:val="26"/>
          <w:szCs w:val="26"/>
        </w:rPr>
        <w:t>we</w:t>
      </w:r>
      <w:r w:rsidR="0029296F" w:rsidRPr="00787A9E">
        <w:rPr>
          <w:rFonts w:eastAsia="Calibri"/>
          <w:sz w:val="26"/>
          <w:szCs w:val="26"/>
        </w:rPr>
        <w:t xml:space="preserve"> agreed with the Company that the mandatory customer meetings need not be held in perpetuity.  Rather, </w:t>
      </w:r>
      <w:r>
        <w:rPr>
          <w:rFonts w:eastAsia="Calibri"/>
          <w:sz w:val="26"/>
          <w:szCs w:val="26"/>
        </w:rPr>
        <w:t xml:space="preserve">we </w:t>
      </w:r>
      <w:r w:rsidR="0029296F" w:rsidRPr="00787A9E">
        <w:rPr>
          <w:rFonts w:eastAsia="Calibri"/>
          <w:sz w:val="26"/>
          <w:szCs w:val="26"/>
        </w:rPr>
        <w:t>determined that the meetings could be concluded upon the filing of a status report by the Company and its engineer, and a report from the OCA and TUS evidencing completion of all the requirements and the closing of the proceeding.  Although</w:t>
      </w:r>
      <w:r w:rsidR="007F4F15" w:rsidRPr="00787A9E">
        <w:rPr>
          <w:rFonts w:eastAsia="Calibri"/>
          <w:sz w:val="26"/>
          <w:szCs w:val="26"/>
        </w:rPr>
        <w:t xml:space="preserve"> </w:t>
      </w:r>
      <w:r w:rsidR="007C28AC">
        <w:rPr>
          <w:rFonts w:eastAsia="Calibri"/>
          <w:sz w:val="26"/>
          <w:szCs w:val="26"/>
        </w:rPr>
        <w:t>we</w:t>
      </w:r>
      <w:r w:rsidR="007F4F15" w:rsidRPr="00787A9E">
        <w:rPr>
          <w:rFonts w:eastAsia="Calibri"/>
          <w:sz w:val="26"/>
          <w:szCs w:val="26"/>
        </w:rPr>
        <w:t xml:space="preserve"> </w:t>
      </w:r>
      <w:r w:rsidR="0029296F" w:rsidRPr="00787A9E">
        <w:rPr>
          <w:rFonts w:eastAsia="Calibri"/>
          <w:sz w:val="26"/>
          <w:szCs w:val="26"/>
        </w:rPr>
        <w:t>encouraged the Company to continue to provide contact opportunities and public meetings by which customers could receive information and provide input to the Company about its services,</w:t>
      </w:r>
      <w:r w:rsidR="007F4F15" w:rsidRPr="00787A9E">
        <w:rPr>
          <w:rFonts w:eastAsia="Calibri"/>
          <w:sz w:val="26"/>
          <w:szCs w:val="26"/>
        </w:rPr>
        <w:t xml:space="preserve"> </w:t>
      </w:r>
      <w:r w:rsidR="007C28AC">
        <w:rPr>
          <w:rFonts w:eastAsia="Calibri"/>
          <w:sz w:val="26"/>
          <w:szCs w:val="26"/>
        </w:rPr>
        <w:t>we</w:t>
      </w:r>
      <w:r w:rsidR="007F4F15" w:rsidRPr="00787A9E">
        <w:rPr>
          <w:rFonts w:eastAsia="Calibri"/>
          <w:sz w:val="26"/>
          <w:szCs w:val="26"/>
        </w:rPr>
        <w:t xml:space="preserve"> </w:t>
      </w:r>
      <w:r w:rsidR="0029296F" w:rsidRPr="00787A9E">
        <w:rPr>
          <w:rFonts w:eastAsia="Calibri"/>
          <w:sz w:val="26"/>
          <w:szCs w:val="26"/>
        </w:rPr>
        <w:t xml:space="preserve">declined to mandate these meetings after final resolution of the issues in </w:t>
      </w:r>
      <w:r w:rsidR="0049395B" w:rsidRPr="00787A9E">
        <w:rPr>
          <w:rFonts w:eastAsia="Calibri"/>
          <w:sz w:val="26"/>
          <w:szCs w:val="26"/>
        </w:rPr>
        <w:t xml:space="preserve">that </w:t>
      </w:r>
      <w:r w:rsidR="0029296F" w:rsidRPr="00787A9E">
        <w:rPr>
          <w:rFonts w:eastAsia="Calibri"/>
          <w:sz w:val="26"/>
          <w:szCs w:val="26"/>
        </w:rPr>
        <w:t xml:space="preserve">proceeding.  Accordingly, </w:t>
      </w:r>
      <w:r w:rsidR="007C28AC">
        <w:rPr>
          <w:rFonts w:eastAsia="Calibri"/>
          <w:sz w:val="26"/>
          <w:szCs w:val="26"/>
        </w:rPr>
        <w:t>we</w:t>
      </w:r>
      <w:r w:rsidR="0029296F" w:rsidRPr="00787A9E">
        <w:rPr>
          <w:rFonts w:eastAsia="Calibri"/>
          <w:sz w:val="26"/>
          <w:szCs w:val="26"/>
        </w:rPr>
        <w:t xml:space="preserve"> granted HVUS Exception No. 1, in part.</w:t>
      </w:r>
      <w:r w:rsidR="0029296F" w:rsidRPr="00787A9E">
        <w:rPr>
          <w:rStyle w:val="FootnoteReference"/>
          <w:rFonts w:eastAsia="Calibri"/>
          <w:sz w:val="26"/>
          <w:szCs w:val="26"/>
        </w:rPr>
        <w:footnoteReference w:id="11"/>
      </w:r>
      <w:r w:rsidR="0029296F" w:rsidRPr="00787A9E">
        <w:rPr>
          <w:rFonts w:eastAsia="Calibri"/>
          <w:sz w:val="26"/>
          <w:szCs w:val="26"/>
        </w:rPr>
        <w:t xml:space="preserve">  </w:t>
      </w:r>
      <w:r w:rsidR="0029296F" w:rsidRPr="00787A9E">
        <w:rPr>
          <w:rFonts w:eastAsia="Calibri"/>
          <w:i/>
          <w:sz w:val="26"/>
          <w:szCs w:val="26"/>
        </w:rPr>
        <w:t xml:space="preserve">January 2018 </w:t>
      </w:r>
      <w:r w:rsidR="007F4F15" w:rsidRPr="00787A9E">
        <w:rPr>
          <w:rFonts w:eastAsia="Calibri"/>
          <w:i/>
          <w:sz w:val="26"/>
          <w:szCs w:val="26"/>
        </w:rPr>
        <w:t xml:space="preserve">McCloskey </w:t>
      </w:r>
      <w:r w:rsidR="0029296F" w:rsidRPr="00787A9E">
        <w:rPr>
          <w:rFonts w:eastAsia="Calibri"/>
          <w:i/>
          <w:sz w:val="26"/>
          <w:szCs w:val="26"/>
        </w:rPr>
        <w:t xml:space="preserve">Order </w:t>
      </w:r>
      <w:r w:rsidR="0029296F" w:rsidRPr="00787A9E">
        <w:rPr>
          <w:rFonts w:eastAsia="Calibri"/>
          <w:sz w:val="26"/>
          <w:szCs w:val="26"/>
        </w:rPr>
        <w:t>at 48.</w:t>
      </w:r>
    </w:p>
    <w:p w14:paraId="34F79316" w14:textId="77777777" w:rsidR="0029296F" w:rsidRPr="00787A9E" w:rsidRDefault="0029296F" w:rsidP="00FD1A00">
      <w:pPr>
        <w:pStyle w:val="ListParagraph"/>
        <w:ind w:left="1080"/>
        <w:rPr>
          <w:rFonts w:eastAsia="Calibri"/>
          <w:b/>
          <w:sz w:val="26"/>
          <w:szCs w:val="26"/>
        </w:rPr>
      </w:pPr>
    </w:p>
    <w:p w14:paraId="18D283EB" w14:textId="77777777" w:rsidR="0029296F" w:rsidRPr="00787A9E" w:rsidRDefault="0029296F" w:rsidP="00FD1A00">
      <w:pPr>
        <w:pStyle w:val="ListParagraph"/>
        <w:keepNext/>
        <w:keepLines/>
        <w:numPr>
          <w:ilvl w:val="0"/>
          <w:numId w:val="18"/>
        </w:numPr>
        <w:ind w:left="720" w:firstLine="0"/>
        <w:rPr>
          <w:rFonts w:eastAsia="Calibri"/>
          <w:b/>
          <w:sz w:val="26"/>
          <w:szCs w:val="26"/>
        </w:rPr>
      </w:pPr>
      <w:r w:rsidRPr="00787A9E">
        <w:rPr>
          <w:rFonts w:eastAsia="Calibri"/>
          <w:b/>
          <w:sz w:val="26"/>
          <w:szCs w:val="26"/>
        </w:rPr>
        <w:t>Wastewater Violations</w:t>
      </w:r>
    </w:p>
    <w:p w14:paraId="5F1B8870" w14:textId="77777777" w:rsidR="0029296F" w:rsidRPr="00787A9E" w:rsidRDefault="0029296F" w:rsidP="00FD1A00">
      <w:pPr>
        <w:pStyle w:val="ListParagraph"/>
        <w:keepNext/>
        <w:keepLines/>
        <w:ind w:left="1080"/>
        <w:rPr>
          <w:rFonts w:eastAsia="Calibri"/>
          <w:b/>
          <w:sz w:val="26"/>
          <w:szCs w:val="26"/>
        </w:rPr>
      </w:pPr>
    </w:p>
    <w:p w14:paraId="3E4E2820" w14:textId="7380C073" w:rsidR="0029296F" w:rsidRPr="00787A9E" w:rsidRDefault="0029296F" w:rsidP="00FD1A00">
      <w:pPr>
        <w:pStyle w:val="ListParagraph"/>
        <w:ind w:left="0" w:firstLine="1440"/>
        <w:rPr>
          <w:rFonts w:eastAsia="Calibri"/>
          <w:sz w:val="26"/>
          <w:szCs w:val="26"/>
        </w:rPr>
      </w:pPr>
      <w:r w:rsidRPr="00787A9E">
        <w:rPr>
          <w:rFonts w:eastAsia="Calibri"/>
          <w:sz w:val="26"/>
          <w:szCs w:val="26"/>
        </w:rPr>
        <w:t xml:space="preserve">Next, </w:t>
      </w:r>
      <w:r w:rsidR="007C28AC">
        <w:rPr>
          <w:rFonts w:eastAsia="Calibri"/>
          <w:sz w:val="26"/>
          <w:szCs w:val="26"/>
        </w:rPr>
        <w:t>we</w:t>
      </w:r>
      <w:r w:rsidRPr="00787A9E">
        <w:rPr>
          <w:rFonts w:eastAsia="Calibri"/>
          <w:sz w:val="26"/>
          <w:szCs w:val="26"/>
        </w:rPr>
        <w:t xml:space="preserve"> addressed the Company</w:t>
      </w:r>
      <w:r w:rsidR="00A424DB">
        <w:rPr>
          <w:rFonts w:eastAsia="Calibri"/>
          <w:sz w:val="26"/>
          <w:szCs w:val="26"/>
        </w:rPr>
        <w:t>’</w:t>
      </w:r>
      <w:r w:rsidRPr="00787A9E">
        <w:rPr>
          <w:rFonts w:eastAsia="Calibri"/>
          <w:sz w:val="26"/>
          <w:szCs w:val="26"/>
        </w:rPr>
        <w:t>s objection to ALJ</w:t>
      </w:r>
      <w:r w:rsidR="007531BD">
        <w:rPr>
          <w:rFonts w:eastAsia="Calibri"/>
          <w:sz w:val="26"/>
          <w:szCs w:val="26"/>
        </w:rPr>
        <w:t xml:space="preserve"> Watson</w:t>
      </w:r>
      <w:r w:rsidR="00A424DB">
        <w:rPr>
          <w:rFonts w:eastAsia="Calibri"/>
          <w:sz w:val="26"/>
          <w:szCs w:val="26"/>
        </w:rPr>
        <w:t>’</w:t>
      </w:r>
      <w:r w:rsidRPr="00787A9E">
        <w:rPr>
          <w:rFonts w:eastAsia="Calibri"/>
          <w:sz w:val="26"/>
          <w:szCs w:val="26"/>
        </w:rPr>
        <w:t>s finding that HVUS failed to provide adequate wastewater service in violation of Section 1501 of the Code.  Up</w:t>
      </w:r>
      <w:r w:rsidR="00D60D44" w:rsidRPr="00787A9E">
        <w:rPr>
          <w:rFonts w:eastAsia="Calibri"/>
          <w:sz w:val="26"/>
          <w:szCs w:val="26"/>
        </w:rPr>
        <w:t xml:space="preserve">on review, </w:t>
      </w:r>
      <w:r w:rsidR="007C28AC">
        <w:rPr>
          <w:rFonts w:eastAsia="Calibri"/>
          <w:sz w:val="26"/>
          <w:szCs w:val="26"/>
        </w:rPr>
        <w:t>we</w:t>
      </w:r>
      <w:r w:rsidR="00D60D44" w:rsidRPr="00787A9E">
        <w:rPr>
          <w:rFonts w:eastAsia="Calibri"/>
          <w:sz w:val="26"/>
          <w:szCs w:val="26"/>
        </w:rPr>
        <w:t xml:space="preserve"> </w:t>
      </w:r>
      <w:r w:rsidRPr="00787A9E">
        <w:rPr>
          <w:rFonts w:eastAsia="Calibri"/>
          <w:sz w:val="26"/>
          <w:szCs w:val="26"/>
        </w:rPr>
        <w:t>found that the ALJ</w:t>
      </w:r>
      <w:r w:rsidR="00A424DB">
        <w:rPr>
          <w:rFonts w:eastAsia="Calibri"/>
          <w:sz w:val="26"/>
          <w:szCs w:val="26"/>
        </w:rPr>
        <w:t>’</w:t>
      </w:r>
      <w:r w:rsidRPr="00787A9E">
        <w:rPr>
          <w:rFonts w:eastAsia="Calibri"/>
          <w:sz w:val="26"/>
          <w:szCs w:val="26"/>
        </w:rPr>
        <w:t xml:space="preserve">s findings and conclusions regarding the wastewater violations were well reasoned and amply supported by the evidentiary record.  Accordingly, </w:t>
      </w:r>
      <w:r w:rsidR="007C28AC">
        <w:rPr>
          <w:rFonts w:eastAsia="Calibri"/>
          <w:sz w:val="26"/>
          <w:szCs w:val="26"/>
        </w:rPr>
        <w:t>we</w:t>
      </w:r>
      <w:r w:rsidRPr="00787A9E">
        <w:rPr>
          <w:rFonts w:eastAsia="Calibri"/>
          <w:sz w:val="26"/>
          <w:szCs w:val="26"/>
        </w:rPr>
        <w:t xml:space="preserve"> denied HVUS Exception No. 3.  </w:t>
      </w:r>
      <w:r w:rsidRPr="00787A9E">
        <w:rPr>
          <w:rFonts w:eastAsia="Calibri"/>
          <w:i/>
          <w:sz w:val="26"/>
          <w:szCs w:val="26"/>
        </w:rPr>
        <w:t xml:space="preserve">January 2018 </w:t>
      </w:r>
      <w:r w:rsidR="00D60D44" w:rsidRPr="00787A9E">
        <w:rPr>
          <w:rFonts w:eastAsia="Calibri"/>
          <w:i/>
          <w:sz w:val="26"/>
          <w:szCs w:val="26"/>
        </w:rPr>
        <w:t xml:space="preserve">McCloskey </w:t>
      </w:r>
      <w:r w:rsidRPr="00787A9E">
        <w:rPr>
          <w:rFonts w:eastAsia="Calibri"/>
          <w:i/>
          <w:sz w:val="26"/>
          <w:szCs w:val="26"/>
        </w:rPr>
        <w:t xml:space="preserve">Order </w:t>
      </w:r>
      <w:r w:rsidRPr="00787A9E">
        <w:rPr>
          <w:rFonts w:eastAsia="Calibri"/>
          <w:sz w:val="26"/>
          <w:szCs w:val="26"/>
        </w:rPr>
        <w:t>at</w:t>
      </w:r>
      <w:r w:rsidR="007C28AC">
        <w:rPr>
          <w:rFonts w:eastAsia="Calibri"/>
          <w:sz w:val="26"/>
          <w:szCs w:val="26"/>
        </w:rPr>
        <w:t> </w:t>
      </w:r>
      <w:r w:rsidRPr="00787A9E">
        <w:rPr>
          <w:rFonts w:eastAsia="Calibri"/>
          <w:sz w:val="26"/>
          <w:szCs w:val="26"/>
        </w:rPr>
        <w:t>49</w:t>
      </w:r>
      <w:r w:rsidR="007C28AC">
        <w:rPr>
          <w:rFonts w:eastAsia="Calibri"/>
          <w:sz w:val="26"/>
          <w:szCs w:val="26"/>
        </w:rPr>
        <w:noBreakHyphen/>
      </w:r>
      <w:r w:rsidRPr="00787A9E">
        <w:rPr>
          <w:rFonts w:eastAsia="Calibri"/>
          <w:sz w:val="26"/>
          <w:szCs w:val="26"/>
        </w:rPr>
        <w:t>50.</w:t>
      </w:r>
    </w:p>
    <w:p w14:paraId="57661BA1" w14:textId="77777777" w:rsidR="0029296F" w:rsidRPr="00787A9E" w:rsidRDefault="0029296F" w:rsidP="00FD1A00">
      <w:pPr>
        <w:spacing w:after="200" w:line="276" w:lineRule="auto"/>
        <w:contextualSpacing/>
        <w:rPr>
          <w:rFonts w:eastAsia="Calibri"/>
          <w:b/>
          <w:sz w:val="26"/>
          <w:szCs w:val="26"/>
        </w:rPr>
      </w:pPr>
    </w:p>
    <w:p w14:paraId="033EDEB0" w14:textId="77777777" w:rsidR="0029296F" w:rsidRPr="00787A9E" w:rsidRDefault="0029296F" w:rsidP="00FD1A00">
      <w:pPr>
        <w:pStyle w:val="ListParagraph"/>
        <w:keepNext/>
        <w:keepLines/>
        <w:numPr>
          <w:ilvl w:val="0"/>
          <w:numId w:val="18"/>
        </w:numPr>
        <w:ind w:left="720" w:firstLine="0"/>
        <w:rPr>
          <w:rFonts w:eastAsia="Calibri"/>
          <w:b/>
          <w:sz w:val="26"/>
          <w:szCs w:val="26"/>
        </w:rPr>
      </w:pPr>
      <w:r w:rsidRPr="00787A9E">
        <w:rPr>
          <w:rFonts w:eastAsia="Calibri"/>
          <w:b/>
          <w:sz w:val="26"/>
          <w:szCs w:val="26"/>
        </w:rPr>
        <w:lastRenderedPageBreak/>
        <w:t>Civil Penalties</w:t>
      </w:r>
    </w:p>
    <w:p w14:paraId="1DF1A855" w14:textId="77777777" w:rsidR="0029296F" w:rsidRPr="00787A9E" w:rsidRDefault="0029296F" w:rsidP="00FD1A00">
      <w:pPr>
        <w:pStyle w:val="ListParagraph"/>
        <w:keepNext/>
        <w:keepLines/>
        <w:ind w:left="0"/>
        <w:rPr>
          <w:rFonts w:eastAsia="Calibri"/>
          <w:b/>
          <w:sz w:val="26"/>
          <w:szCs w:val="26"/>
        </w:rPr>
      </w:pPr>
    </w:p>
    <w:p w14:paraId="5AD386AB" w14:textId="52A2131D" w:rsidR="0029296F" w:rsidRPr="00787A9E" w:rsidRDefault="007C28AC" w:rsidP="00FD1A00">
      <w:pPr>
        <w:pStyle w:val="ListParagraph"/>
        <w:ind w:left="0" w:firstLine="1440"/>
        <w:rPr>
          <w:rFonts w:eastAsia="Calibri"/>
          <w:sz w:val="26"/>
          <w:szCs w:val="26"/>
        </w:rPr>
      </w:pPr>
      <w:r>
        <w:rPr>
          <w:rFonts w:eastAsia="Calibri"/>
          <w:sz w:val="26"/>
          <w:szCs w:val="26"/>
        </w:rPr>
        <w:t xml:space="preserve">We </w:t>
      </w:r>
      <w:r w:rsidR="0029296F" w:rsidRPr="00787A9E">
        <w:rPr>
          <w:rFonts w:eastAsia="Calibri"/>
          <w:sz w:val="26"/>
          <w:szCs w:val="26"/>
        </w:rPr>
        <w:t>also addressed the Intervenors</w:t>
      </w:r>
      <w:r w:rsidR="00A424DB">
        <w:rPr>
          <w:rFonts w:eastAsia="Calibri"/>
          <w:sz w:val="26"/>
          <w:szCs w:val="26"/>
        </w:rPr>
        <w:t>’</w:t>
      </w:r>
      <w:r w:rsidR="0029296F" w:rsidRPr="00787A9E">
        <w:rPr>
          <w:rFonts w:eastAsia="Calibri"/>
          <w:sz w:val="26"/>
          <w:szCs w:val="26"/>
        </w:rPr>
        <w:t xml:space="preserve"> Exception No. 1, which argued that </w:t>
      </w:r>
      <w:r>
        <w:rPr>
          <w:rFonts w:eastAsia="Calibri"/>
          <w:sz w:val="26"/>
          <w:szCs w:val="26"/>
        </w:rPr>
        <w:t>we</w:t>
      </w:r>
      <w:r w:rsidR="0029296F" w:rsidRPr="00787A9E">
        <w:rPr>
          <w:rFonts w:eastAsia="Calibri"/>
          <w:sz w:val="26"/>
          <w:szCs w:val="26"/>
        </w:rPr>
        <w:t xml:space="preserve"> should have imposed civil penalties on the Company after concluding that HVUS failed to comply with the 2005 Settlement.  In rejecting the Intervenors</w:t>
      </w:r>
      <w:r w:rsidR="00A424DB">
        <w:rPr>
          <w:rFonts w:eastAsia="Calibri"/>
          <w:sz w:val="26"/>
          <w:szCs w:val="26"/>
        </w:rPr>
        <w:t>’</w:t>
      </w:r>
      <w:r w:rsidR="0029296F" w:rsidRPr="00787A9E">
        <w:rPr>
          <w:rFonts w:eastAsia="Calibri"/>
          <w:sz w:val="26"/>
          <w:szCs w:val="26"/>
        </w:rPr>
        <w:t xml:space="preserve"> arguments, </w:t>
      </w:r>
      <w:r>
        <w:rPr>
          <w:rFonts w:eastAsia="Calibri"/>
          <w:sz w:val="26"/>
          <w:szCs w:val="26"/>
        </w:rPr>
        <w:t>we ex</w:t>
      </w:r>
      <w:r w:rsidR="0029296F" w:rsidRPr="00787A9E">
        <w:rPr>
          <w:rFonts w:eastAsia="Calibri"/>
          <w:sz w:val="26"/>
          <w:szCs w:val="26"/>
        </w:rPr>
        <w:t>plained that</w:t>
      </w:r>
      <w:r w:rsidR="00E43AD2" w:rsidRPr="00787A9E">
        <w:rPr>
          <w:rFonts w:eastAsia="Calibri"/>
          <w:sz w:val="26"/>
          <w:szCs w:val="26"/>
        </w:rPr>
        <w:t xml:space="preserve"> </w:t>
      </w:r>
      <w:r w:rsidR="00F42044">
        <w:rPr>
          <w:rFonts w:eastAsia="Calibri"/>
          <w:sz w:val="26"/>
          <w:szCs w:val="26"/>
        </w:rPr>
        <w:t xml:space="preserve">we were </w:t>
      </w:r>
      <w:r w:rsidR="0029296F" w:rsidRPr="00787A9E">
        <w:rPr>
          <w:rFonts w:eastAsia="Calibri"/>
          <w:sz w:val="26"/>
          <w:szCs w:val="26"/>
        </w:rPr>
        <w:t>not required to impose a civil penalty for failure to comply with the 2005 Settlement.  Rather, the imposition of a civil penalty for violating the Code or a Commission Regulation or Order is a discretionary exercise.</w:t>
      </w:r>
      <w:r w:rsidR="0029296F" w:rsidRPr="00787A9E">
        <w:rPr>
          <w:rStyle w:val="FootnoteReference"/>
          <w:rFonts w:eastAsia="Calibri"/>
          <w:sz w:val="26"/>
          <w:szCs w:val="26"/>
        </w:rPr>
        <w:footnoteReference w:id="12"/>
      </w:r>
      <w:r w:rsidR="0029296F" w:rsidRPr="00787A9E">
        <w:rPr>
          <w:rFonts w:eastAsia="Calibri"/>
          <w:sz w:val="26"/>
          <w:szCs w:val="26"/>
        </w:rPr>
        <w:t xml:space="preserve">  </w:t>
      </w:r>
      <w:bookmarkStart w:id="9" w:name="_Hlk511398922"/>
      <w:r w:rsidR="0029296F" w:rsidRPr="00787A9E">
        <w:rPr>
          <w:rFonts w:eastAsia="Calibri"/>
          <w:i/>
          <w:sz w:val="26"/>
          <w:szCs w:val="26"/>
        </w:rPr>
        <w:t xml:space="preserve">January 2018 </w:t>
      </w:r>
      <w:r w:rsidR="00E43AD2" w:rsidRPr="00787A9E">
        <w:rPr>
          <w:rFonts w:eastAsia="Calibri"/>
          <w:i/>
          <w:sz w:val="26"/>
          <w:szCs w:val="26"/>
        </w:rPr>
        <w:t xml:space="preserve">McCloskey </w:t>
      </w:r>
      <w:r w:rsidR="0029296F" w:rsidRPr="00787A9E">
        <w:rPr>
          <w:rFonts w:eastAsia="Calibri"/>
          <w:i/>
          <w:sz w:val="26"/>
          <w:szCs w:val="26"/>
        </w:rPr>
        <w:t>Order</w:t>
      </w:r>
      <w:r w:rsidR="0029296F" w:rsidRPr="00787A9E">
        <w:rPr>
          <w:rFonts w:eastAsia="Calibri"/>
          <w:sz w:val="26"/>
          <w:szCs w:val="26"/>
        </w:rPr>
        <w:t xml:space="preserve"> at 52.</w:t>
      </w:r>
      <w:bookmarkEnd w:id="9"/>
    </w:p>
    <w:p w14:paraId="7FE22B07" w14:textId="77777777" w:rsidR="0029296F" w:rsidRPr="00787A9E" w:rsidRDefault="0029296F" w:rsidP="00FD1A00">
      <w:pPr>
        <w:pStyle w:val="ListParagraph"/>
        <w:ind w:left="0"/>
        <w:rPr>
          <w:rFonts w:eastAsia="Calibri"/>
          <w:sz w:val="26"/>
          <w:szCs w:val="26"/>
        </w:rPr>
      </w:pPr>
    </w:p>
    <w:p w14:paraId="2299B4BD" w14:textId="20E3F143" w:rsidR="0029296F" w:rsidRPr="00787A9E" w:rsidRDefault="0029296F" w:rsidP="00FD1A00">
      <w:pPr>
        <w:pStyle w:val="ListParagraph"/>
        <w:ind w:left="0" w:firstLine="1440"/>
        <w:rPr>
          <w:rFonts w:eastAsia="Calibri"/>
          <w:sz w:val="26"/>
          <w:szCs w:val="26"/>
        </w:rPr>
      </w:pPr>
      <w:r w:rsidRPr="00787A9E">
        <w:rPr>
          <w:rFonts w:eastAsia="Calibri"/>
          <w:sz w:val="26"/>
          <w:szCs w:val="26"/>
        </w:rPr>
        <w:t xml:space="preserve">Next, </w:t>
      </w:r>
      <w:r w:rsidR="007C28AC">
        <w:rPr>
          <w:rFonts w:eastAsia="Calibri"/>
          <w:sz w:val="26"/>
          <w:szCs w:val="26"/>
        </w:rPr>
        <w:t xml:space="preserve">we </w:t>
      </w:r>
      <w:r w:rsidRPr="00787A9E">
        <w:rPr>
          <w:rFonts w:eastAsia="Calibri"/>
          <w:sz w:val="26"/>
          <w:szCs w:val="26"/>
        </w:rPr>
        <w:t>indicated</w:t>
      </w:r>
      <w:r w:rsidR="00696AED" w:rsidRPr="00787A9E">
        <w:rPr>
          <w:rFonts w:eastAsia="Calibri"/>
          <w:sz w:val="26"/>
          <w:szCs w:val="26"/>
        </w:rPr>
        <w:t xml:space="preserve"> </w:t>
      </w:r>
      <w:r w:rsidR="006F77F9">
        <w:rPr>
          <w:rFonts w:eastAsia="Calibri"/>
          <w:sz w:val="26"/>
          <w:szCs w:val="26"/>
        </w:rPr>
        <w:t>our</w:t>
      </w:r>
      <w:r w:rsidR="00696AED" w:rsidRPr="00787A9E">
        <w:rPr>
          <w:rFonts w:eastAsia="Calibri"/>
          <w:sz w:val="26"/>
          <w:szCs w:val="26"/>
        </w:rPr>
        <w:t xml:space="preserve"> </w:t>
      </w:r>
      <w:r w:rsidRPr="00787A9E">
        <w:rPr>
          <w:rFonts w:eastAsia="Calibri"/>
          <w:sz w:val="26"/>
          <w:szCs w:val="26"/>
        </w:rPr>
        <w:t>agreement with the ALJ</w:t>
      </w:r>
      <w:r w:rsidR="00A424DB">
        <w:rPr>
          <w:rFonts w:eastAsia="Calibri"/>
          <w:sz w:val="26"/>
          <w:szCs w:val="26"/>
        </w:rPr>
        <w:t>’</w:t>
      </w:r>
      <w:r w:rsidRPr="00787A9E">
        <w:rPr>
          <w:rFonts w:eastAsia="Calibri"/>
          <w:sz w:val="26"/>
          <w:szCs w:val="26"/>
        </w:rPr>
        <w:t>s decision not to impose civil penalties in this proceeding.  However,</w:t>
      </w:r>
      <w:r w:rsidR="00696AED" w:rsidRPr="00787A9E">
        <w:rPr>
          <w:rFonts w:eastAsia="Calibri"/>
          <w:sz w:val="26"/>
          <w:szCs w:val="26"/>
        </w:rPr>
        <w:t xml:space="preserve"> </w:t>
      </w:r>
      <w:r w:rsidR="006F77F9">
        <w:rPr>
          <w:rFonts w:eastAsia="Calibri"/>
          <w:sz w:val="26"/>
          <w:szCs w:val="26"/>
        </w:rPr>
        <w:t>we</w:t>
      </w:r>
      <w:r w:rsidRPr="00787A9E">
        <w:rPr>
          <w:rFonts w:eastAsia="Calibri"/>
          <w:sz w:val="26"/>
          <w:szCs w:val="26"/>
        </w:rPr>
        <w:t xml:space="preserve"> found that the ALJ should have considered the ten factors pursuant to</w:t>
      </w:r>
      <w:r w:rsidR="00696AED" w:rsidRPr="00787A9E">
        <w:rPr>
          <w:rFonts w:eastAsia="Calibri"/>
          <w:sz w:val="26"/>
          <w:szCs w:val="26"/>
        </w:rPr>
        <w:t xml:space="preserve"> the Commission</w:t>
      </w:r>
      <w:r w:rsidR="00A424DB">
        <w:rPr>
          <w:rFonts w:eastAsia="Calibri"/>
          <w:sz w:val="26"/>
          <w:szCs w:val="26"/>
        </w:rPr>
        <w:t>’</w:t>
      </w:r>
      <w:r w:rsidR="00696AED" w:rsidRPr="00787A9E">
        <w:rPr>
          <w:rFonts w:eastAsia="Calibri"/>
          <w:sz w:val="26"/>
          <w:szCs w:val="26"/>
        </w:rPr>
        <w:t>s</w:t>
      </w:r>
      <w:r w:rsidRPr="00787A9E">
        <w:rPr>
          <w:rFonts w:eastAsia="Calibri"/>
          <w:sz w:val="26"/>
          <w:szCs w:val="26"/>
        </w:rPr>
        <w:t xml:space="preserve"> policy statement in considering whether a civil penalty should be applied in this case and conducted an evaluation of the factors set forth in </w:t>
      </w:r>
      <w:r w:rsidRPr="00787A9E">
        <w:rPr>
          <w:spacing w:val="-3"/>
          <w:sz w:val="26"/>
          <w:szCs w:val="26"/>
        </w:rPr>
        <w:t>52 Pa. Code § 69.1201(c).  U</w:t>
      </w:r>
      <w:r w:rsidRPr="00787A9E">
        <w:rPr>
          <w:rFonts w:eastAsia="Calibri"/>
          <w:sz w:val="26"/>
          <w:szCs w:val="26"/>
        </w:rPr>
        <w:t xml:space="preserve">pon consideration of all the factors, </w:t>
      </w:r>
      <w:r w:rsidR="006F77F9">
        <w:rPr>
          <w:rFonts w:eastAsia="Calibri"/>
          <w:sz w:val="26"/>
          <w:szCs w:val="26"/>
        </w:rPr>
        <w:t>we</w:t>
      </w:r>
      <w:r w:rsidRPr="00787A9E">
        <w:rPr>
          <w:rFonts w:eastAsia="Calibri"/>
          <w:sz w:val="26"/>
          <w:szCs w:val="26"/>
        </w:rPr>
        <w:t xml:space="preserve"> noted that some of the Company</w:t>
      </w:r>
      <w:r w:rsidR="00A424DB">
        <w:rPr>
          <w:rFonts w:eastAsia="Calibri"/>
          <w:sz w:val="26"/>
          <w:szCs w:val="26"/>
        </w:rPr>
        <w:t>’</w:t>
      </w:r>
      <w:r w:rsidRPr="00787A9E">
        <w:rPr>
          <w:rFonts w:eastAsia="Calibri"/>
          <w:sz w:val="26"/>
          <w:szCs w:val="26"/>
        </w:rPr>
        <w:t xml:space="preserve">s actions merited or supported a civil penalty, but that </w:t>
      </w:r>
      <w:r w:rsidR="006F77F9">
        <w:rPr>
          <w:rFonts w:eastAsia="Calibri"/>
          <w:sz w:val="26"/>
          <w:szCs w:val="26"/>
        </w:rPr>
        <w:t xml:space="preserve">we </w:t>
      </w:r>
      <w:r w:rsidRPr="00787A9E">
        <w:rPr>
          <w:rFonts w:eastAsia="Calibri"/>
          <w:sz w:val="26"/>
          <w:szCs w:val="26"/>
        </w:rPr>
        <w:t>declined to issue or impose a civil penalty at th</w:t>
      </w:r>
      <w:r w:rsidR="006F77F9">
        <w:rPr>
          <w:rFonts w:eastAsia="Calibri"/>
          <w:sz w:val="26"/>
          <w:szCs w:val="26"/>
        </w:rPr>
        <w:t>at</w:t>
      </w:r>
      <w:r w:rsidRPr="00787A9E">
        <w:rPr>
          <w:rFonts w:eastAsia="Calibri"/>
          <w:sz w:val="26"/>
          <w:szCs w:val="26"/>
        </w:rPr>
        <w:t xml:space="preserve"> time.  </w:t>
      </w:r>
      <w:r w:rsidRPr="00787A9E">
        <w:rPr>
          <w:rFonts w:eastAsia="Calibri"/>
          <w:i/>
          <w:sz w:val="26"/>
          <w:szCs w:val="26"/>
        </w:rPr>
        <w:t xml:space="preserve">January 2018 </w:t>
      </w:r>
      <w:r w:rsidR="004B4CF7" w:rsidRPr="00787A9E">
        <w:rPr>
          <w:rFonts w:eastAsia="Calibri"/>
          <w:i/>
          <w:sz w:val="26"/>
          <w:szCs w:val="26"/>
        </w:rPr>
        <w:t xml:space="preserve">McCloskey </w:t>
      </w:r>
      <w:r w:rsidRPr="00787A9E">
        <w:rPr>
          <w:rFonts w:eastAsia="Calibri"/>
          <w:i/>
          <w:sz w:val="26"/>
          <w:szCs w:val="26"/>
        </w:rPr>
        <w:t>Order</w:t>
      </w:r>
      <w:r w:rsidRPr="00787A9E">
        <w:rPr>
          <w:rFonts w:eastAsia="Calibri"/>
          <w:sz w:val="26"/>
          <w:szCs w:val="26"/>
        </w:rPr>
        <w:t xml:space="preserve"> at 52-56.</w:t>
      </w:r>
    </w:p>
    <w:p w14:paraId="7DB7809C" w14:textId="77777777" w:rsidR="0029296F" w:rsidRPr="00787A9E" w:rsidRDefault="0029296F" w:rsidP="00FD1A00">
      <w:pPr>
        <w:pStyle w:val="ListParagraph"/>
        <w:ind w:left="0"/>
        <w:rPr>
          <w:b/>
          <w:sz w:val="26"/>
          <w:szCs w:val="26"/>
        </w:rPr>
      </w:pPr>
    </w:p>
    <w:p w14:paraId="03CDEB98" w14:textId="77777777" w:rsidR="0029296F" w:rsidRPr="00787A9E" w:rsidRDefault="0029296F" w:rsidP="00FD1A00">
      <w:pPr>
        <w:pStyle w:val="ListParagraph"/>
        <w:keepNext/>
        <w:keepLines/>
        <w:numPr>
          <w:ilvl w:val="0"/>
          <w:numId w:val="18"/>
        </w:numPr>
        <w:ind w:left="720" w:firstLine="0"/>
        <w:rPr>
          <w:b/>
          <w:sz w:val="26"/>
          <w:szCs w:val="26"/>
        </w:rPr>
      </w:pPr>
      <w:r w:rsidRPr="00787A9E">
        <w:rPr>
          <w:b/>
          <w:sz w:val="26"/>
          <w:szCs w:val="26"/>
        </w:rPr>
        <w:t>Receivership</w:t>
      </w:r>
    </w:p>
    <w:p w14:paraId="0DD3D0B5" w14:textId="77777777" w:rsidR="0029296F" w:rsidRPr="00787A9E" w:rsidRDefault="0029296F" w:rsidP="00FD1A00">
      <w:pPr>
        <w:pStyle w:val="ListParagraph"/>
        <w:keepNext/>
        <w:keepLines/>
        <w:ind w:left="0"/>
        <w:rPr>
          <w:b/>
          <w:sz w:val="26"/>
          <w:szCs w:val="26"/>
        </w:rPr>
      </w:pPr>
    </w:p>
    <w:p w14:paraId="11FA62DC" w14:textId="6630AE62" w:rsidR="0029296F" w:rsidRPr="00787A9E" w:rsidRDefault="0029296F" w:rsidP="00FD1A00">
      <w:pPr>
        <w:pStyle w:val="ListParagraph"/>
        <w:ind w:left="0" w:firstLine="1440"/>
        <w:rPr>
          <w:sz w:val="26"/>
          <w:szCs w:val="26"/>
        </w:rPr>
      </w:pPr>
      <w:r w:rsidRPr="00787A9E">
        <w:rPr>
          <w:sz w:val="26"/>
          <w:szCs w:val="26"/>
        </w:rPr>
        <w:t>Finally,</w:t>
      </w:r>
      <w:r w:rsidR="007B6E38" w:rsidRPr="00787A9E">
        <w:rPr>
          <w:sz w:val="26"/>
          <w:szCs w:val="26"/>
        </w:rPr>
        <w:t xml:space="preserve"> </w:t>
      </w:r>
      <w:r w:rsidR="006F77F9">
        <w:rPr>
          <w:sz w:val="26"/>
          <w:szCs w:val="26"/>
        </w:rPr>
        <w:t>we</w:t>
      </w:r>
      <w:r w:rsidR="007B6E38" w:rsidRPr="00787A9E">
        <w:rPr>
          <w:sz w:val="26"/>
          <w:szCs w:val="26"/>
        </w:rPr>
        <w:t xml:space="preserve"> </w:t>
      </w:r>
      <w:r w:rsidRPr="00787A9E">
        <w:rPr>
          <w:sz w:val="26"/>
          <w:szCs w:val="26"/>
        </w:rPr>
        <w:t>addressed the Intervenors</w:t>
      </w:r>
      <w:r w:rsidR="00A424DB">
        <w:rPr>
          <w:sz w:val="26"/>
          <w:szCs w:val="26"/>
        </w:rPr>
        <w:t>’</w:t>
      </w:r>
      <w:r w:rsidRPr="00787A9E">
        <w:rPr>
          <w:sz w:val="26"/>
          <w:szCs w:val="26"/>
        </w:rPr>
        <w:t xml:space="preserve"> Exception No.</w:t>
      </w:r>
      <w:r w:rsidR="00702E29">
        <w:rPr>
          <w:sz w:val="26"/>
          <w:szCs w:val="26"/>
        </w:rPr>
        <w:t> </w:t>
      </w:r>
      <w:r w:rsidRPr="00787A9E">
        <w:rPr>
          <w:sz w:val="26"/>
          <w:szCs w:val="26"/>
        </w:rPr>
        <w:t>2 pertaining to the ALJ</w:t>
      </w:r>
      <w:r w:rsidR="00A424DB">
        <w:rPr>
          <w:sz w:val="26"/>
          <w:szCs w:val="26"/>
        </w:rPr>
        <w:t>’</w:t>
      </w:r>
      <w:r w:rsidRPr="00787A9E">
        <w:rPr>
          <w:sz w:val="26"/>
          <w:szCs w:val="26"/>
        </w:rPr>
        <w:t xml:space="preserve">s failure to find that the Company was insolvent and lacked managerial and financial fitness.  The Intervenors also argued that the evidence already supported an immediate </w:t>
      </w:r>
      <w:r w:rsidRPr="00787A9E">
        <w:rPr>
          <w:sz w:val="26"/>
          <w:szCs w:val="26"/>
        </w:rPr>
        <w:lastRenderedPageBreak/>
        <w:t xml:space="preserve">Commission Order directing acquisition of HVUS by a viable utility pursuant to 66 Pa. C.S. § 529(a).  </w:t>
      </w:r>
      <w:r w:rsidRPr="00787A9E">
        <w:rPr>
          <w:rFonts w:eastAsia="Calibri"/>
          <w:i/>
          <w:sz w:val="26"/>
          <w:szCs w:val="26"/>
        </w:rPr>
        <w:t xml:space="preserve">January 2018 </w:t>
      </w:r>
      <w:r w:rsidR="007B6E38" w:rsidRPr="00787A9E">
        <w:rPr>
          <w:rFonts w:eastAsia="Calibri"/>
          <w:i/>
          <w:sz w:val="26"/>
          <w:szCs w:val="26"/>
        </w:rPr>
        <w:t xml:space="preserve">McCloskey </w:t>
      </w:r>
      <w:r w:rsidRPr="00787A9E">
        <w:rPr>
          <w:rFonts w:eastAsia="Calibri"/>
          <w:i/>
          <w:sz w:val="26"/>
          <w:szCs w:val="26"/>
        </w:rPr>
        <w:t>Order</w:t>
      </w:r>
      <w:r w:rsidRPr="00787A9E">
        <w:rPr>
          <w:rFonts w:eastAsia="Calibri"/>
          <w:sz w:val="26"/>
          <w:szCs w:val="26"/>
        </w:rPr>
        <w:t xml:space="preserve"> at </w:t>
      </w:r>
      <w:r w:rsidRPr="00787A9E">
        <w:rPr>
          <w:sz w:val="26"/>
          <w:szCs w:val="26"/>
        </w:rPr>
        <w:t xml:space="preserve">56-59. </w:t>
      </w:r>
    </w:p>
    <w:p w14:paraId="4DAF40C0" w14:textId="77777777" w:rsidR="00D64DB7" w:rsidRPr="00787A9E" w:rsidRDefault="00D64DB7" w:rsidP="00FD1A00">
      <w:pPr>
        <w:pStyle w:val="ListParagraph"/>
        <w:ind w:left="0"/>
        <w:rPr>
          <w:sz w:val="26"/>
          <w:szCs w:val="26"/>
        </w:rPr>
      </w:pPr>
    </w:p>
    <w:p w14:paraId="5753F3BE" w14:textId="093FE26F" w:rsidR="0029296F" w:rsidRPr="00787A9E" w:rsidRDefault="006F77F9" w:rsidP="00FD1A00">
      <w:pPr>
        <w:pStyle w:val="ListParagraph"/>
        <w:ind w:left="0" w:firstLine="1440"/>
        <w:rPr>
          <w:color w:val="000000"/>
          <w:sz w:val="26"/>
          <w:szCs w:val="26"/>
        </w:rPr>
      </w:pPr>
      <w:r>
        <w:rPr>
          <w:sz w:val="26"/>
          <w:szCs w:val="26"/>
        </w:rPr>
        <w:t>We</w:t>
      </w:r>
      <w:r w:rsidR="0029296F" w:rsidRPr="00787A9E">
        <w:rPr>
          <w:sz w:val="26"/>
          <w:szCs w:val="26"/>
        </w:rPr>
        <w:t xml:space="preserve"> agreed with </w:t>
      </w:r>
      <w:r w:rsidR="007531BD">
        <w:rPr>
          <w:sz w:val="26"/>
          <w:szCs w:val="26"/>
        </w:rPr>
        <w:t>ALJ Watson</w:t>
      </w:r>
      <w:r w:rsidR="0029296F" w:rsidRPr="00787A9E">
        <w:rPr>
          <w:sz w:val="26"/>
          <w:szCs w:val="26"/>
        </w:rPr>
        <w:t xml:space="preserve"> that the record evidence did not support a finding that the Company should be placed in receivership.  Although such a remedy could be considered in the context of a Section 529 </w:t>
      </w:r>
      <w:r w:rsidR="007C7312" w:rsidRPr="00787A9E">
        <w:rPr>
          <w:sz w:val="26"/>
          <w:szCs w:val="26"/>
        </w:rPr>
        <w:t>P</w:t>
      </w:r>
      <w:r w:rsidR="0029296F" w:rsidRPr="00787A9E">
        <w:rPr>
          <w:sz w:val="26"/>
          <w:szCs w:val="26"/>
        </w:rPr>
        <w:t xml:space="preserve">roceeding should one be deemed necessary in the future, </w:t>
      </w:r>
      <w:r>
        <w:rPr>
          <w:sz w:val="26"/>
          <w:szCs w:val="26"/>
        </w:rPr>
        <w:t>we</w:t>
      </w:r>
      <w:r w:rsidR="0029296F" w:rsidRPr="00787A9E">
        <w:rPr>
          <w:sz w:val="26"/>
          <w:szCs w:val="26"/>
        </w:rPr>
        <w:t xml:space="preserve"> explained that such a finding would be inappropriate under the present procedural posture of </w:t>
      </w:r>
      <w:r w:rsidR="007C7312" w:rsidRPr="00787A9E">
        <w:rPr>
          <w:sz w:val="26"/>
          <w:szCs w:val="26"/>
        </w:rPr>
        <w:t xml:space="preserve">that </w:t>
      </w:r>
      <w:r w:rsidR="0029296F" w:rsidRPr="00787A9E">
        <w:rPr>
          <w:sz w:val="26"/>
          <w:szCs w:val="26"/>
        </w:rPr>
        <w:t xml:space="preserve">case.  Instituting a Section 529 </w:t>
      </w:r>
      <w:r w:rsidR="007C7312" w:rsidRPr="00787A9E">
        <w:rPr>
          <w:sz w:val="26"/>
          <w:szCs w:val="26"/>
        </w:rPr>
        <w:t>P</w:t>
      </w:r>
      <w:r w:rsidR="0029296F" w:rsidRPr="00787A9E">
        <w:rPr>
          <w:sz w:val="26"/>
          <w:szCs w:val="26"/>
        </w:rPr>
        <w:t xml:space="preserve">roceeding would, in part, require notice to the appropriate parties and the holding of an evidentiary hearing to consider statutory factors before </w:t>
      </w:r>
      <w:r w:rsidR="00B1478C">
        <w:rPr>
          <w:sz w:val="26"/>
          <w:szCs w:val="26"/>
        </w:rPr>
        <w:t xml:space="preserve">we </w:t>
      </w:r>
      <w:r w:rsidR="0029296F" w:rsidRPr="00787A9E">
        <w:rPr>
          <w:sz w:val="26"/>
          <w:szCs w:val="26"/>
        </w:rPr>
        <w:t>can order a capable public utility to acquire HVUS.  66 Pa. C.S. §§ 529(c) and (h).  Accordingly,</w:t>
      </w:r>
      <w:r w:rsidR="00033557" w:rsidRPr="00787A9E">
        <w:rPr>
          <w:sz w:val="26"/>
          <w:szCs w:val="26"/>
        </w:rPr>
        <w:t xml:space="preserve"> </w:t>
      </w:r>
      <w:r w:rsidR="00B1478C">
        <w:rPr>
          <w:sz w:val="26"/>
          <w:szCs w:val="26"/>
        </w:rPr>
        <w:t>we</w:t>
      </w:r>
      <w:r w:rsidR="0029296F" w:rsidRPr="00787A9E">
        <w:rPr>
          <w:sz w:val="26"/>
          <w:szCs w:val="26"/>
        </w:rPr>
        <w:t xml:space="preserve"> denied the Intervenors</w:t>
      </w:r>
      <w:r w:rsidR="00A424DB">
        <w:rPr>
          <w:sz w:val="26"/>
          <w:szCs w:val="26"/>
        </w:rPr>
        <w:t>’</w:t>
      </w:r>
      <w:r w:rsidR="0029296F" w:rsidRPr="00787A9E">
        <w:rPr>
          <w:sz w:val="26"/>
          <w:szCs w:val="26"/>
        </w:rPr>
        <w:t xml:space="preserve"> Exception No. 2.</w:t>
      </w:r>
      <w:r w:rsidR="00393C29" w:rsidRPr="00787A9E">
        <w:rPr>
          <w:sz w:val="26"/>
          <w:szCs w:val="26"/>
        </w:rPr>
        <w:t xml:space="preserve">  </w:t>
      </w:r>
      <w:r w:rsidR="00393C29" w:rsidRPr="00787A9E">
        <w:rPr>
          <w:rFonts w:eastAsia="Calibri"/>
          <w:i/>
          <w:sz w:val="26"/>
          <w:szCs w:val="26"/>
        </w:rPr>
        <w:t>January 2018 McCloskey Order</w:t>
      </w:r>
      <w:r w:rsidR="00393C29" w:rsidRPr="00787A9E">
        <w:rPr>
          <w:rFonts w:eastAsia="Calibri"/>
          <w:sz w:val="26"/>
          <w:szCs w:val="26"/>
        </w:rPr>
        <w:t xml:space="preserve"> at </w:t>
      </w:r>
      <w:r w:rsidR="00393C29" w:rsidRPr="00787A9E">
        <w:rPr>
          <w:sz w:val="26"/>
          <w:szCs w:val="26"/>
        </w:rPr>
        <w:t>56-60.</w:t>
      </w:r>
    </w:p>
    <w:p w14:paraId="4ABAB2BD" w14:textId="77777777" w:rsidR="0029296F" w:rsidRPr="00787A9E" w:rsidRDefault="0029296F" w:rsidP="00FD1A00">
      <w:pPr>
        <w:shd w:val="clear" w:color="auto" w:fill="FFFFFF" w:themeFill="background1"/>
        <w:ind w:firstLine="720"/>
        <w:contextualSpacing/>
        <w:rPr>
          <w:i/>
          <w:color w:val="000000"/>
          <w:sz w:val="26"/>
          <w:szCs w:val="26"/>
        </w:rPr>
      </w:pPr>
    </w:p>
    <w:p w14:paraId="7767DA05" w14:textId="77777777" w:rsidR="004B7B4E" w:rsidRPr="00787A9E" w:rsidRDefault="004B7B4E" w:rsidP="00FD1A00">
      <w:pPr>
        <w:pStyle w:val="Heading1"/>
        <w:keepNext/>
        <w:keepLines/>
        <w:contextualSpacing/>
      </w:pPr>
      <w:r w:rsidRPr="00787A9E">
        <w:t>V.</w:t>
      </w:r>
      <w:r w:rsidRPr="00787A9E">
        <w:tab/>
        <w:t xml:space="preserve">Summary of the </w:t>
      </w:r>
      <w:r w:rsidRPr="00787A9E">
        <w:rPr>
          <w:i/>
        </w:rPr>
        <w:t>May 2018 McCloskey Order</w:t>
      </w:r>
    </w:p>
    <w:p w14:paraId="6623D817" w14:textId="77777777" w:rsidR="0029296F" w:rsidRPr="00787A9E" w:rsidRDefault="0029296F" w:rsidP="00FD1A00">
      <w:pPr>
        <w:keepNext/>
        <w:keepLines/>
        <w:shd w:val="clear" w:color="auto" w:fill="FFFFFF" w:themeFill="background1"/>
        <w:ind w:firstLine="720"/>
        <w:contextualSpacing/>
        <w:rPr>
          <w:sz w:val="26"/>
          <w:szCs w:val="26"/>
        </w:rPr>
      </w:pPr>
    </w:p>
    <w:p w14:paraId="1935E16F" w14:textId="59544D92" w:rsidR="00F578C3" w:rsidRPr="00787A9E" w:rsidRDefault="00EB11AA" w:rsidP="00FD1A00">
      <w:pPr>
        <w:shd w:val="clear" w:color="auto" w:fill="FFFFFF" w:themeFill="background1"/>
        <w:ind w:firstLine="1440"/>
        <w:contextualSpacing/>
        <w:rPr>
          <w:sz w:val="26"/>
          <w:szCs w:val="26"/>
        </w:rPr>
      </w:pPr>
      <w:r w:rsidRPr="00787A9E">
        <w:rPr>
          <w:sz w:val="26"/>
          <w:szCs w:val="26"/>
        </w:rPr>
        <w:t xml:space="preserve">On February 2, 2018, </w:t>
      </w:r>
      <w:r w:rsidR="00D36E3C" w:rsidRPr="00787A9E">
        <w:rPr>
          <w:sz w:val="26"/>
          <w:szCs w:val="26"/>
        </w:rPr>
        <w:t xml:space="preserve">HVUS filed </w:t>
      </w:r>
      <w:r w:rsidR="00162561" w:rsidRPr="00787A9E">
        <w:rPr>
          <w:sz w:val="26"/>
          <w:szCs w:val="26"/>
        </w:rPr>
        <w:t>its Petition</w:t>
      </w:r>
      <w:r w:rsidR="00D36E3C" w:rsidRPr="00787A9E">
        <w:rPr>
          <w:sz w:val="26"/>
          <w:szCs w:val="26"/>
        </w:rPr>
        <w:t xml:space="preserve"> </w:t>
      </w:r>
      <w:r w:rsidRPr="00787A9E">
        <w:rPr>
          <w:sz w:val="26"/>
          <w:szCs w:val="26"/>
        </w:rPr>
        <w:t xml:space="preserve">seeking clarification and reconsideration of </w:t>
      </w:r>
      <w:r w:rsidR="00D36E3C" w:rsidRPr="00787A9E">
        <w:rPr>
          <w:sz w:val="26"/>
          <w:szCs w:val="26"/>
        </w:rPr>
        <w:t xml:space="preserve">the </w:t>
      </w:r>
      <w:r w:rsidRPr="00787A9E">
        <w:rPr>
          <w:i/>
          <w:sz w:val="26"/>
          <w:szCs w:val="26"/>
        </w:rPr>
        <w:t xml:space="preserve">January 2018 </w:t>
      </w:r>
      <w:r w:rsidR="00D36E3C" w:rsidRPr="00787A9E">
        <w:rPr>
          <w:i/>
          <w:sz w:val="26"/>
          <w:szCs w:val="26"/>
        </w:rPr>
        <w:t xml:space="preserve">McCloskey </w:t>
      </w:r>
      <w:r w:rsidRPr="00787A9E">
        <w:rPr>
          <w:i/>
          <w:sz w:val="26"/>
          <w:szCs w:val="26"/>
        </w:rPr>
        <w:t>Order</w:t>
      </w:r>
      <w:r w:rsidR="00D36E3C" w:rsidRPr="00787A9E">
        <w:rPr>
          <w:sz w:val="26"/>
          <w:szCs w:val="26"/>
        </w:rPr>
        <w:t>.</w:t>
      </w:r>
      <w:r w:rsidR="00FF4191" w:rsidRPr="00787A9E">
        <w:rPr>
          <w:color w:val="000000"/>
          <w:sz w:val="26"/>
          <w:szCs w:val="26"/>
        </w:rPr>
        <w:t xml:space="preserve"> </w:t>
      </w:r>
      <w:r w:rsidR="00097A44" w:rsidRPr="00787A9E">
        <w:rPr>
          <w:color w:val="000000"/>
          <w:sz w:val="26"/>
          <w:szCs w:val="26"/>
        </w:rPr>
        <w:t xml:space="preserve"> </w:t>
      </w:r>
      <w:r w:rsidR="00FF4191" w:rsidRPr="00787A9E">
        <w:rPr>
          <w:color w:val="000000"/>
          <w:sz w:val="26"/>
          <w:szCs w:val="26"/>
        </w:rPr>
        <w:t xml:space="preserve">By Order entered February 8, 2018, </w:t>
      </w:r>
      <w:r w:rsidR="00062D5D">
        <w:rPr>
          <w:color w:val="000000"/>
          <w:sz w:val="26"/>
          <w:szCs w:val="26"/>
        </w:rPr>
        <w:t xml:space="preserve">we </w:t>
      </w:r>
      <w:r w:rsidR="00FF4191" w:rsidRPr="00787A9E">
        <w:rPr>
          <w:color w:val="000000"/>
          <w:sz w:val="26"/>
          <w:szCs w:val="26"/>
        </w:rPr>
        <w:t xml:space="preserve">granted the Petition, pending further review of, and consideration on, the merits.  </w:t>
      </w:r>
      <w:r w:rsidR="00FF4191" w:rsidRPr="00787A9E">
        <w:rPr>
          <w:sz w:val="26"/>
          <w:szCs w:val="26"/>
        </w:rPr>
        <w:t xml:space="preserve">On February 12, 2018, </w:t>
      </w:r>
      <w:r w:rsidR="00FF4191" w:rsidRPr="00787A9E">
        <w:rPr>
          <w:color w:val="000000"/>
          <w:sz w:val="26"/>
          <w:szCs w:val="26"/>
        </w:rPr>
        <w:t xml:space="preserve">the OCA and the Intervenors </w:t>
      </w:r>
      <w:r w:rsidR="00FF4191" w:rsidRPr="00787A9E">
        <w:rPr>
          <w:sz w:val="26"/>
          <w:szCs w:val="26"/>
        </w:rPr>
        <w:t>filed their respective Answers to the Petition.</w:t>
      </w:r>
    </w:p>
    <w:p w14:paraId="4316224F" w14:textId="77777777" w:rsidR="00FF4191" w:rsidRPr="00787A9E" w:rsidRDefault="00FF4191" w:rsidP="00FD1A00">
      <w:pPr>
        <w:shd w:val="clear" w:color="auto" w:fill="FFFFFF" w:themeFill="background1"/>
        <w:contextualSpacing/>
        <w:rPr>
          <w:color w:val="000000"/>
          <w:sz w:val="26"/>
          <w:szCs w:val="26"/>
        </w:rPr>
      </w:pPr>
    </w:p>
    <w:p w14:paraId="432F1960" w14:textId="59F562D5" w:rsidR="00FF4191" w:rsidRPr="00787A9E" w:rsidRDefault="00FF4191" w:rsidP="00FD1A00">
      <w:pPr>
        <w:shd w:val="clear" w:color="auto" w:fill="FFFFFF" w:themeFill="background1"/>
        <w:ind w:firstLine="1440"/>
        <w:contextualSpacing/>
        <w:rPr>
          <w:color w:val="000000"/>
          <w:sz w:val="26"/>
          <w:szCs w:val="26"/>
        </w:rPr>
      </w:pPr>
      <w:r w:rsidRPr="00787A9E">
        <w:rPr>
          <w:color w:val="000000"/>
          <w:sz w:val="26"/>
          <w:szCs w:val="26"/>
        </w:rPr>
        <w:t xml:space="preserve">On April 11, 2018, the Company filed its first sixty-day status report with the Commission which was required by Ordering Paragraph No. 17 of the </w:t>
      </w:r>
      <w:bookmarkStart w:id="10" w:name="_Hlk511919694"/>
      <w:r w:rsidRPr="00787A9E">
        <w:rPr>
          <w:i/>
          <w:color w:val="000000"/>
          <w:sz w:val="26"/>
          <w:szCs w:val="26"/>
        </w:rPr>
        <w:t xml:space="preserve">January 2018 </w:t>
      </w:r>
      <w:r w:rsidR="00117E49" w:rsidRPr="00787A9E">
        <w:rPr>
          <w:i/>
          <w:color w:val="000000"/>
          <w:sz w:val="26"/>
          <w:szCs w:val="26"/>
        </w:rPr>
        <w:t xml:space="preserve">McCloskey </w:t>
      </w:r>
      <w:r w:rsidRPr="00787A9E">
        <w:rPr>
          <w:i/>
          <w:color w:val="000000"/>
          <w:sz w:val="26"/>
          <w:szCs w:val="26"/>
        </w:rPr>
        <w:t>Order</w:t>
      </w:r>
      <w:bookmarkEnd w:id="10"/>
      <w:r w:rsidRPr="00787A9E">
        <w:rPr>
          <w:color w:val="000000"/>
          <w:sz w:val="26"/>
          <w:szCs w:val="26"/>
        </w:rPr>
        <w:t>.</w:t>
      </w:r>
      <w:r w:rsidRPr="00787A9E">
        <w:rPr>
          <w:rStyle w:val="FootnoteReference"/>
          <w:color w:val="000000"/>
          <w:sz w:val="26"/>
          <w:szCs w:val="26"/>
        </w:rPr>
        <w:footnoteReference w:id="13"/>
      </w:r>
      <w:r w:rsidRPr="00787A9E">
        <w:rPr>
          <w:color w:val="000000"/>
          <w:sz w:val="26"/>
          <w:szCs w:val="26"/>
        </w:rPr>
        <w:t xml:space="preserve">  Additionally, on April 18, 2018, HVUS filed the </w:t>
      </w:r>
      <w:r w:rsidR="00F262E1" w:rsidRPr="00787A9E">
        <w:rPr>
          <w:color w:val="000000"/>
          <w:sz w:val="26"/>
          <w:szCs w:val="26"/>
        </w:rPr>
        <w:t>E</w:t>
      </w:r>
      <w:r w:rsidRPr="00787A9E">
        <w:rPr>
          <w:color w:val="000000"/>
          <w:sz w:val="26"/>
          <w:szCs w:val="26"/>
        </w:rPr>
        <w:t>ngineer</w:t>
      </w:r>
      <w:r w:rsidR="00A424DB">
        <w:rPr>
          <w:color w:val="000000"/>
          <w:sz w:val="26"/>
          <w:szCs w:val="26"/>
        </w:rPr>
        <w:t>’</w:t>
      </w:r>
      <w:r w:rsidRPr="00787A9E">
        <w:rPr>
          <w:color w:val="000000"/>
          <w:sz w:val="26"/>
          <w:szCs w:val="26"/>
        </w:rPr>
        <w:t xml:space="preserve">s </w:t>
      </w:r>
      <w:r w:rsidR="00F262E1" w:rsidRPr="00787A9E">
        <w:rPr>
          <w:color w:val="000000"/>
          <w:sz w:val="26"/>
          <w:szCs w:val="26"/>
        </w:rPr>
        <w:t>R</w:t>
      </w:r>
      <w:r w:rsidRPr="00787A9E">
        <w:rPr>
          <w:color w:val="000000"/>
          <w:sz w:val="26"/>
          <w:szCs w:val="26"/>
        </w:rPr>
        <w:t xml:space="preserve">eports required by Ordering Paragraph Nos. 6 and 9 and the revised bill form for review required by Ordering Paragraph Nos. 12 and 13 of the </w:t>
      </w:r>
      <w:r w:rsidRPr="00787A9E">
        <w:rPr>
          <w:i/>
          <w:color w:val="000000"/>
          <w:sz w:val="26"/>
          <w:szCs w:val="26"/>
        </w:rPr>
        <w:t xml:space="preserve">January 2018 </w:t>
      </w:r>
      <w:r w:rsidR="00117E49" w:rsidRPr="00787A9E">
        <w:rPr>
          <w:i/>
          <w:color w:val="000000"/>
          <w:sz w:val="26"/>
          <w:szCs w:val="26"/>
        </w:rPr>
        <w:t xml:space="preserve">McCloskey </w:t>
      </w:r>
      <w:r w:rsidRPr="00787A9E">
        <w:rPr>
          <w:i/>
          <w:color w:val="000000"/>
          <w:sz w:val="26"/>
          <w:szCs w:val="26"/>
        </w:rPr>
        <w:t>Order</w:t>
      </w:r>
      <w:r w:rsidRPr="00787A9E">
        <w:rPr>
          <w:color w:val="000000"/>
          <w:sz w:val="26"/>
          <w:szCs w:val="26"/>
        </w:rPr>
        <w:t>.</w:t>
      </w:r>
    </w:p>
    <w:p w14:paraId="00ED4834" w14:textId="77777777" w:rsidR="00EE6E64" w:rsidRPr="00787A9E" w:rsidRDefault="00EE6E64" w:rsidP="00FD1A00">
      <w:pPr>
        <w:shd w:val="clear" w:color="auto" w:fill="FFFFFF" w:themeFill="background1"/>
        <w:contextualSpacing/>
        <w:rPr>
          <w:color w:val="000000"/>
          <w:sz w:val="26"/>
          <w:szCs w:val="26"/>
        </w:rPr>
      </w:pPr>
    </w:p>
    <w:p w14:paraId="29F79B94" w14:textId="2EBF2250" w:rsidR="00EE6E64" w:rsidRPr="00787A9E" w:rsidRDefault="00EE6E64" w:rsidP="00FD1A00">
      <w:pPr>
        <w:ind w:firstLine="1440"/>
        <w:contextualSpacing/>
        <w:rPr>
          <w:color w:val="000000"/>
          <w:sz w:val="26"/>
          <w:szCs w:val="26"/>
        </w:rPr>
      </w:pPr>
      <w:r w:rsidRPr="00787A9E">
        <w:rPr>
          <w:sz w:val="26"/>
          <w:szCs w:val="26"/>
        </w:rPr>
        <w:t xml:space="preserve">In its Petition, HVUS raised three objections to separate ordering paragraphs contained in the </w:t>
      </w:r>
      <w:r w:rsidRPr="00787A9E">
        <w:rPr>
          <w:rFonts w:eastAsia="Calibri"/>
          <w:i/>
          <w:sz w:val="26"/>
          <w:szCs w:val="26"/>
        </w:rPr>
        <w:t>January 2018 McCloskey Order</w:t>
      </w:r>
      <w:r w:rsidRPr="00787A9E">
        <w:rPr>
          <w:rFonts w:eastAsia="Calibri"/>
          <w:sz w:val="26"/>
          <w:szCs w:val="26"/>
        </w:rPr>
        <w:t>.  First, the Company believed that Ordering Paragraph No. 8, pertaining to the deadline for compliance with the</w:t>
      </w:r>
      <w:r w:rsidR="000824F8" w:rsidRPr="00787A9E">
        <w:rPr>
          <w:rFonts w:eastAsia="Calibri"/>
          <w:sz w:val="26"/>
          <w:szCs w:val="26"/>
        </w:rPr>
        <w:t xml:space="preserve"> engineer</w:t>
      </w:r>
      <w:r w:rsidR="00A424DB">
        <w:rPr>
          <w:rFonts w:eastAsia="Calibri"/>
          <w:sz w:val="26"/>
          <w:szCs w:val="26"/>
        </w:rPr>
        <w:t>’</w:t>
      </w:r>
      <w:r w:rsidR="000824F8" w:rsidRPr="00787A9E">
        <w:rPr>
          <w:rFonts w:eastAsia="Calibri"/>
          <w:sz w:val="26"/>
          <w:szCs w:val="26"/>
        </w:rPr>
        <w:t xml:space="preserve">s report required by the </w:t>
      </w:r>
      <w:r w:rsidR="000824F8" w:rsidRPr="00787A9E">
        <w:rPr>
          <w:rFonts w:eastAsia="Calibri"/>
          <w:i/>
          <w:sz w:val="26"/>
          <w:szCs w:val="26"/>
        </w:rPr>
        <w:t>January 2018 McCloskey Order</w:t>
      </w:r>
      <w:r w:rsidRPr="00787A9E">
        <w:rPr>
          <w:rFonts w:eastAsia="Calibri"/>
          <w:sz w:val="26"/>
          <w:szCs w:val="26"/>
        </w:rPr>
        <w:t xml:space="preserve"> </w:t>
      </w:r>
      <w:r w:rsidR="000824F8" w:rsidRPr="00787A9E">
        <w:rPr>
          <w:rFonts w:eastAsia="Calibri"/>
          <w:sz w:val="26"/>
          <w:szCs w:val="26"/>
        </w:rPr>
        <w:t>(</w:t>
      </w:r>
      <w:r w:rsidR="00F262E1" w:rsidRPr="00787A9E">
        <w:rPr>
          <w:rFonts w:eastAsia="Calibri"/>
          <w:sz w:val="26"/>
          <w:szCs w:val="26"/>
        </w:rPr>
        <w:t>E</w:t>
      </w:r>
      <w:r w:rsidRPr="00787A9E">
        <w:rPr>
          <w:rFonts w:eastAsia="Calibri"/>
          <w:sz w:val="26"/>
          <w:szCs w:val="26"/>
        </w:rPr>
        <w:t>ngineer</w:t>
      </w:r>
      <w:r w:rsidR="00A424DB">
        <w:rPr>
          <w:rFonts w:eastAsia="Calibri"/>
          <w:sz w:val="26"/>
          <w:szCs w:val="26"/>
        </w:rPr>
        <w:t>’</w:t>
      </w:r>
      <w:r w:rsidRPr="00787A9E">
        <w:rPr>
          <w:rFonts w:eastAsia="Calibri"/>
          <w:sz w:val="26"/>
          <w:szCs w:val="26"/>
        </w:rPr>
        <w:t xml:space="preserve">s </w:t>
      </w:r>
      <w:r w:rsidR="00F262E1" w:rsidRPr="00787A9E">
        <w:rPr>
          <w:rFonts w:eastAsia="Calibri"/>
          <w:sz w:val="26"/>
          <w:szCs w:val="26"/>
        </w:rPr>
        <w:t>R</w:t>
      </w:r>
      <w:r w:rsidRPr="00787A9E">
        <w:rPr>
          <w:rFonts w:eastAsia="Calibri"/>
          <w:sz w:val="26"/>
          <w:szCs w:val="26"/>
        </w:rPr>
        <w:t>eport</w:t>
      </w:r>
      <w:r w:rsidR="000824F8" w:rsidRPr="00787A9E">
        <w:rPr>
          <w:rFonts w:eastAsia="Calibri"/>
          <w:sz w:val="26"/>
          <w:szCs w:val="26"/>
        </w:rPr>
        <w:t>)</w:t>
      </w:r>
      <w:r w:rsidRPr="00787A9E">
        <w:rPr>
          <w:rFonts w:eastAsia="Calibri"/>
          <w:sz w:val="26"/>
          <w:szCs w:val="26"/>
        </w:rPr>
        <w:t xml:space="preserve">, is confusing and should be clarified.  Second, HVUS argued that the requirement to submit an authorization to Penelec to release monthly bills and payment information, as set forth in Ordering Paragraph No. 15, should be eliminated.  Third, HVUS asserted that </w:t>
      </w:r>
      <w:r w:rsidR="00B1478C">
        <w:rPr>
          <w:rFonts w:eastAsia="Calibri"/>
          <w:sz w:val="26"/>
          <w:szCs w:val="26"/>
        </w:rPr>
        <w:t>we</w:t>
      </w:r>
      <w:r w:rsidRPr="00787A9E">
        <w:rPr>
          <w:rFonts w:eastAsia="Calibri"/>
          <w:sz w:val="26"/>
          <w:szCs w:val="26"/>
        </w:rPr>
        <w:t xml:space="preserve"> should reconsider the investigation requirement in Ordering Paragraph No. 20 by tasking TUS with any subsequent investigation rather than the OCA.</w:t>
      </w:r>
    </w:p>
    <w:p w14:paraId="1B184872" w14:textId="77777777" w:rsidR="001D421F" w:rsidRPr="00787A9E" w:rsidRDefault="001D421F" w:rsidP="00FD1A00">
      <w:pPr>
        <w:shd w:val="clear" w:color="auto" w:fill="FFFFFF" w:themeFill="background1"/>
        <w:contextualSpacing/>
        <w:rPr>
          <w:color w:val="000000"/>
          <w:sz w:val="26"/>
          <w:szCs w:val="26"/>
        </w:rPr>
      </w:pPr>
    </w:p>
    <w:p w14:paraId="0DA00DEE" w14:textId="798E972C" w:rsidR="001D421F" w:rsidRPr="00787A9E" w:rsidRDefault="001D421F" w:rsidP="00FD1A00">
      <w:pPr>
        <w:autoSpaceDE w:val="0"/>
        <w:autoSpaceDN w:val="0"/>
        <w:ind w:firstLine="1440"/>
        <w:contextualSpacing/>
        <w:rPr>
          <w:rFonts w:eastAsia="Calibri"/>
          <w:sz w:val="26"/>
          <w:szCs w:val="26"/>
        </w:rPr>
      </w:pPr>
      <w:r w:rsidRPr="00787A9E">
        <w:rPr>
          <w:sz w:val="26"/>
          <w:szCs w:val="26"/>
        </w:rPr>
        <w:t xml:space="preserve">In </w:t>
      </w:r>
      <w:r w:rsidR="00062D5D">
        <w:rPr>
          <w:sz w:val="26"/>
          <w:szCs w:val="26"/>
        </w:rPr>
        <w:t xml:space="preserve">the </w:t>
      </w:r>
      <w:r w:rsidRPr="00787A9E">
        <w:rPr>
          <w:i/>
          <w:sz w:val="26"/>
          <w:szCs w:val="26"/>
        </w:rPr>
        <w:t>May 2018 McCloskey Order</w:t>
      </w:r>
      <w:r w:rsidRPr="00787A9E">
        <w:rPr>
          <w:sz w:val="26"/>
          <w:szCs w:val="26"/>
        </w:rPr>
        <w:t xml:space="preserve">, </w:t>
      </w:r>
      <w:r w:rsidR="00062D5D">
        <w:rPr>
          <w:sz w:val="26"/>
          <w:szCs w:val="26"/>
        </w:rPr>
        <w:t>we</w:t>
      </w:r>
      <w:r w:rsidR="00E8054C" w:rsidRPr="00787A9E">
        <w:rPr>
          <w:sz w:val="26"/>
          <w:szCs w:val="26"/>
        </w:rPr>
        <w:t xml:space="preserve"> addressed the </w:t>
      </w:r>
      <w:r w:rsidRPr="00787A9E">
        <w:rPr>
          <w:sz w:val="26"/>
          <w:szCs w:val="26"/>
        </w:rPr>
        <w:t>Company</w:t>
      </w:r>
      <w:r w:rsidR="00A424DB">
        <w:rPr>
          <w:sz w:val="26"/>
          <w:szCs w:val="26"/>
        </w:rPr>
        <w:t>’</w:t>
      </w:r>
      <w:r w:rsidRPr="00787A9E">
        <w:rPr>
          <w:sz w:val="26"/>
          <w:szCs w:val="26"/>
        </w:rPr>
        <w:t>s first argument pertaining to the deadline for compliance with the engineer</w:t>
      </w:r>
      <w:r w:rsidR="00A424DB">
        <w:rPr>
          <w:sz w:val="26"/>
          <w:szCs w:val="26"/>
        </w:rPr>
        <w:t>’</w:t>
      </w:r>
      <w:r w:rsidRPr="00787A9E">
        <w:rPr>
          <w:sz w:val="26"/>
          <w:szCs w:val="26"/>
        </w:rPr>
        <w:t>s recommendations</w:t>
      </w:r>
      <w:r w:rsidR="00F262E1" w:rsidRPr="00787A9E">
        <w:rPr>
          <w:sz w:val="26"/>
          <w:szCs w:val="26"/>
        </w:rPr>
        <w:t xml:space="preserve">.  </w:t>
      </w:r>
      <w:r w:rsidR="00062D5D">
        <w:rPr>
          <w:sz w:val="26"/>
          <w:szCs w:val="26"/>
        </w:rPr>
        <w:t>We</w:t>
      </w:r>
      <w:r w:rsidR="006C0015" w:rsidRPr="00787A9E">
        <w:rPr>
          <w:sz w:val="26"/>
          <w:szCs w:val="26"/>
        </w:rPr>
        <w:t xml:space="preserve"> </w:t>
      </w:r>
      <w:r w:rsidRPr="00787A9E">
        <w:rPr>
          <w:sz w:val="26"/>
          <w:szCs w:val="26"/>
        </w:rPr>
        <w:t>disagree</w:t>
      </w:r>
      <w:r w:rsidR="006C0015" w:rsidRPr="00787A9E">
        <w:rPr>
          <w:sz w:val="26"/>
          <w:szCs w:val="26"/>
        </w:rPr>
        <w:t>d</w:t>
      </w:r>
      <w:r w:rsidRPr="00787A9E">
        <w:rPr>
          <w:sz w:val="26"/>
          <w:szCs w:val="26"/>
        </w:rPr>
        <w:t xml:space="preserve"> with the Company</w:t>
      </w:r>
      <w:r w:rsidR="00A424DB">
        <w:rPr>
          <w:sz w:val="26"/>
          <w:szCs w:val="26"/>
        </w:rPr>
        <w:t>’</w:t>
      </w:r>
      <w:r w:rsidRPr="00787A9E">
        <w:rPr>
          <w:sz w:val="26"/>
          <w:szCs w:val="26"/>
        </w:rPr>
        <w:t xml:space="preserve">s alternate interpretation, which limits application of the one-year deadline to only the treatment plant reassessment.  Rather, </w:t>
      </w:r>
      <w:r w:rsidR="00062D5D">
        <w:rPr>
          <w:sz w:val="26"/>
          <w:szCs w:val="26"/>
        </w:rPr>
        <w:t>we</w:t>
      </w:r>
      <w:r w:rsidRPr="00787A9E">
        <w:rPr>
          <w:sz w:val="26"/>
          <w:szCs w:val="26"/>
        </w:rPr>
        <w:t xml:space="preserve"> agree</w:t>
      </w:r>
      <w:r w:rsidR="006C0015" w:rsidRPr="00787A9E">
        <w:rPr>
          <w:sz w:val="26"/>
          <w:szCs w:val="26"/>
        </w:rPr>
        <w:t>d</w:t>
      </w:r>
      <w:r w:rsidRPr="00787A9E">
        <w:rPr>
          <w:sz w:val="26"/>
          <w:szCs w:val="26"/>
        </w:rPr>
        <w:t xml:space="preserve"> with the OCA that such an alternate interpretation is inconsistent with our discussion in the </w:t>
      </w:r>
      <w:r w:rsidRPr="00787A9E">
        <w:rPr>
          <w:i/>
          <w:sz w:val="26"/>
          <w:szCs w:val="26"/>
        </w:rPr>
        <w:t xml:space="preserve">January 2018 </w:t>
      </w:r>
      <w:r w:rsidR="006C0015" w:rsidRPr="00787A9E">
        <w:rPr>
          <w:i/>
          <w:sz w:val="26"/>
          <w:szCs w:val="26"/>
        </w:rPr>
        <w:t xml:space="preserve">McCloskey </w:t>
      </w:r>
      <w:r w:rsidRPr="00787A9E">
        <w:rPr>
          <w:i/>
          <w:sz w:val="26"/>
          <w:szCs w:val="26"/>
        </w:rPr>
        <w:t>Order</w:t>
      </w:r>
      <w:r w:rsidRPr="00787A9E">
        <w:rPr>
          <w:sz w:val="26"/>
          <w:szCs w:val="26"/>
        </w:rPr>
        <w:t xml:space="preserve">.  In </w:t>
      </w:r>
      <w:r w:rsidR="00062D5D">
        <w:rPr>
          <w:sz w:val="26"/>
          <w:szCs w:val="26"/>
        </w:rPr>
        <w:t>our</w:t>
      </w:r>
      <w:r w:rsidR="006C0015" w:rsidRPr="00787A9E">
        <w:rPr>
          <w:sz w:val="26"/>
          <w:szCs w:val="26"/>
        </w:rPr>
        <w:t xml:space="preserve"> </w:t>
      </w:r>
      <w:r w:rsidRPr="00787A9E">
        <w:rPr>
          <w:sz w:val="26"/>
          <w:szCs w:val="26"/>
        </w:rPr>
        <w:t xml:space="preserve">prior determination, </w:t>
      </w:r>
      <w:r w:rsidR="00062D5D">
        <w:rPr>
          <w:sz w:val="26"/>
          <w:szCs w:val="26"/>
        </w:rPr>
        <w:t xml:space="preserve">we </w:t>
      </w:r>
      <w:r w:rsidRPr="00787A9E">
        <w:rPr>
          <w:sz w:val="26"/>
          <w:szCs w:val="26"/>
        </w:rPr>
        <w:t xml:space="preserve">held that </w:t>
      </w:r>
      <w:r w:rsidR="00A424DB">
        <w:rPr>
          <w:sz w:val="26"/>
          <w:szCs w:val="26"/>
        </w:rPr>
        <w:t>“</w:t>
      </w:r>
      <w:r w:rsidRPr="00787A9E">
        <w:rPr>
          <w:sz w:val="26"/>
          <w:szCs w:val="26"/>
        </w:rPr>
        <w:t>[</w:t>
      </w:r>
      <w:r w:rsidRPr="00787A9E">
        <w:rPr>
          <w:rFonts w:eastAsia="Calibri"/>
          <w:sz w:val="26"/>
          <w:szCs w:val="26"/>
        </w:rPr>
        <w:t>a]</w:t>
      </w:r>
      <w:proofErr w:type="spellStart"/>
      <w:r w:rsidRPr="00787A9E">
        <w:rPr>
          <w:rFonts w:eastAsia="Calibri"/>
          <w:sz w:val="26"/>
          <w:szCs w:val="26"/>
        </w:rPr>
        <w:t>ny</w:t>
      </w:r>
      <w:proofErr w:type="spellEnd"/>
      <w:r w:rsidRPr="00787A9E">
        <w:rPr>
          <w:rFonts w:eastAsia="Calibri"/>
          <w:sz w:val="26"/>
          <w:szCs w:val="26"/>
        </w:rPr>
        <w:t xml:space="preserve"> subsequent delays in failing to remediate the problems due to the failure to meet compliance deadlines would be unacceptable.  The one-year deadline for implementing the corrective measures established in the </w:t>
      </w:r>
      <w:r w:rsidR="00097A44" w:rsidRPr="00787A9E">
        <w:rPr>
          <w:rFonts w:eastAsia="Calibri"/>
          <w:sz w:val="26"/>
          <w:szCs w:val="26"/>
        </w:rPr>
        <w:t>[</w:t>
      </w:r>
      <w:r w:rsidR="0023528E" w:rsidRPr="00787A9E">
        <w:rPr>
          <w:rFonts w:eastAsia="Calibri"/>
          <w:sz w:val="26"/>
          <w:szCs w:val="26"/>
        </w:rPr>
        <w:t>E</w:t>
      </w:r>
      <w:r w:rsidRPr="00787A9E">
        <w:rPr>
          <w:rFonts w:eastAsia="Calibri"/>
          <w:sz w:val="26"/>
          <w:szCs w:val="26"/>
        </w:rPr>
        <w:t>ngineer</w:t>
      </w:r>
      <w:r w:rsidR="00A424DB">
        <w:rPr>
          <w:rFonts w:eastAsia="Calibri"/>
          <w:sz w:val="26"/>
          <w:szCs w:val="26"/>
        </w:rPr>
        <w:t>’</w:t>
      </w:r>
      <w:r w:rsidRPr="00787A9E">
        <w:rPr>
          <w:rFonts w:eastAsia="Calibri"/>
          <w:sz w:val="26"/>
          <w:szCs w:val="26"/>
        </w:rPr>
        <w:t xml:space="preserve">s </w:t>
      </w:r>
      <w:r w:rsidR="0023528E" w:rsidRPr="00787A9E">
        <w:rPr>
          <w:rFonts w:eastAsia="Calibri"/>
          <w:sz w:val="26"/>
          <w:szCs w:val="26"/>
        </w:rPr>
        <w:t>R</w:t>
      </w:r>
      <w:r w:rsidRPr="00787A9E">
        <w:rPr>
          <w:rFonts w:eastAsia="Calibri"/>
          <w:sz w:val="26"/>
          <w:szCs w:val="26"/>
        </w:rPr>
        <w:t>eport</w:t>
      </w:r>
      <w:r w:rsidR="00097A44" w:rsidRPr="00787A9E">
        <w:rPr>
          <w:rFonts w:eastAsia="Calibri"/>
          <w:sz w:val="26"/>
          <w:szCs w:val="26"/>
        </w:rPr>
        <w:t>]</w:t>
      </w:r>
      <w:r w:rsidRPr="00787A9E">
        <w:rPr>
          <w:rFonts w:eastAsia="Calibri"/>
          <w:sz w:val="26"/>
          <w:szCs w:val="26"/>
        </w:rPr>
        <w:t xml:space="preserve"> sets an objective guideline for compliance.</w:t>
      </w:r>
      <w:r w:rsidR="00A424DB">
        <w:rPr>
          <w:rFonts w:eastAsia="Calibri"/>
          <w:sz w:val="26"/>
          <w:szCs w:val="26"/>
        </w:rPr>
        <w:t>”</w:t>
      </w:r>
      <w:r w:rsidRPr="00787A9E">
        <w:rPr>
          <w:rFonts w:eastAsia="Calibri"/>
          <w:sz w:val="26"/>
          <w:szCs w:val="26"/>
        </w:rPr>
        <w:t xml:space="preserve">  </w:t>
      </w:r>
      <w:r w:rsidRPr="00787A9E">
        <w:rPr>
          <w:rFonts w:eastAsia="Calibri"/>
          <w:i/>
          <w:sz w:val="26"/>
          <w:szCs w:val="26"/>
        </w:rPr>
        <w:t xml:space="preserve">January 2018 </w:t>
      </w:r>
      <w:r w:rsidR="002249D5" w:rsidRPr="00787A9E">
        <w:rPr>
          <w:rFonts w:eastAsia="Calibri"/>
          <w:i/>
          <w:sz w:val="26"/>
          <w:szCs w:val="26"/>
        </w:rPr>
        <w:t xml:space="preserve">McCloskey </w:t>
      </w:r>
      <w:r w:rsidRPr="00787A9E">
        <w:rPr>
          <w:rFonts w:eastAsia="Calibri"/>
          <w:i/>
          <w:sz w:val="26"/>
          <w:szCs w:val="26"/>
        </w:rPr>
        <w:t>Order</w:t>
      </w:r>
      <w:r w:rsidRPr="00787A9E">
        <w:rPr>
          <w:rFonts w:eastAsia="Calibri"/>
          <w:sz w:val="26"/>
          <w:szCs w:val="26"/>
        </w:rPr>
        <w:t xml:space="preserve"> at 31.  Thus,</w:t>
      </w:r>
      <w:r w:rsidR="002249D5" w:rsidRPr="00787A9E">
        <w:rPr>
          <w:rFonts w:eastAsia="Calibri"/>
          <w:sz w:val="26"/>
          <w:szCs w:val="26"/>
        </w:rPr>
        <w:t xml:space="preserve"> </w:t>
      </w:r>
      <w:r w:rsidR="00062D5D">
        <w:rPr>
          <w:rFonts w:eastAsia="Calibri"/>
          <w:sz w:val="26"/>
          <w:szCs w:val="26"/>
        </w:rPr>
        <w:t>we</w:t>
      </w:r>
      <w:r w:rsidR="002249D5" w:rsidRPr="00787A9E">
        <w:rPr>
          <w:rFonts w:eastAsia="Calibri"/>
          <w:sz w:val="26"/>
          <w:szCs w:val="26"/>
        </w:rPr>
        <w:t xml:space="preserve"> </w:t>
      </w:r>
      <w:r w:rsidRPr="00787A9E">
        <w:rPr>
          <w:rFonts w:eastAsia="Calibri"/>
          <w:sz w:val="26"/>
          <w:szCs w:val="26"/>
        </w:rPr>
        <w:t>d</w:t>
      </w:r>
      <w:r w:rsidR="002249D5" w:rsidRPr="00787A9E">
        <w:rPr>
          <w:rFonts w:eastAsia="Calibri"/>
          <w:sz w:val="26"/>
          <w:szCs w:val="26"/>
        </w:rPr>
        <w:t>id</w:t>
      </w:r>
      <w:r w:rsidRPr="00787A9E">
        <w:rPr>
          <w:rFonts w:eastAsia="Calibri"/>
          <w:sz w:val="26"/>
          <w:szCs w:val="26"/>
        </w:rPr>
        <w:t xml:space="preserve"> not believe that the Petition offered a new or novel argument or identified considerations which appear</w:t>
      </w:r>
      <w:r w:rsidR="00552325">
        <w:rPr>
          <w:rFonts w:eastAsia="Calibri"/>
          <w:sz w:val="26"/>
          <w:szCs w:val="26"/>
        </w:rPr>
        <w:t>ed</w:t>
      </w:r>
      <w:r w:rsidRPr="00787A9E">
        <w:rPr>
          <w:rFonts w:eastAsia="Calibri"/>
          <w:sz w:val="26"/>
          <w:szCs w:val="26"/>
        </w:rPr>
        <w:t xml:space="preserve"> to have been overlooked</w:t>
      </w:r>
      <w:r w:rsidR="00552325">
        <w:rPr>
          <w:rFonts w:eastAsia="Calibri"/>
          <w:sz w:val="26"/>
          <w:szCs w:val="26"/>
        </w:rPr>
        <w:t>.</w:t>
      </w:r>
      <w:r w:rsidRPr="00787A9E">
        <w:rPr>
          <w:rFonts w:eastAsia="Calibri"/>
          <w:sz w:val="26"/>
          <w:szCs w:val="26"/>
        </w:rPr>
        <w:t xml:space="preserve">  Nonetheless, in the interest of avoiding any possible confusion, </w:t>
      </w:r>
      <w:r w:rsidR="00552325">
        <w:rPr>
          <w:rFonts w:eastAsia="Calibri"/>
          <w:sz w:val="26"/>
          <w:szCs w:val="26"/>
        </w:rPr>
        <w:t>we r</w:t>
      </w:r>
      <w:r w:rsidRPr="00787A9E">
        <w:rPr>
          <w:rFonts w:eastAsia="Calibri"/>
          <w:sz w:val="26"/>
          <w:szCs w:val="26"/>
        </w:rPr>
        <w:t>evise</w:t>
      </w:r>
      <w:r w:rsidR="00912D7D" w:rsidRPr="00787A9E">
        <w:rPr>
          <w:rFonts w:eastAsia="Calibri"/>
          <w:sz w:val="26"/>
          <w:szCs w:val="26"/>
        </w:rPr>
        <w:t>d</w:t>
      </w:r>
      <w:r w:rsidRPr="00787A9E">
        <w:rPr>
          <w:rFonts w:eastAsia="Calibri"/>
          <w:sz w:val="26"/>
          <w:szCs w:val="26"/>
        </w:rPr>
        <w:t xml:space="preserve"> the provision to incorporate the adjustments suggested by the OCA.  </w:t>
      </w:r>
      <w:r w:rsidR="00912D7D" w:rsidRPr="00787A9E">
        <w:rPr>
          <w:rFonts w:eastAsia="Calibri"/>
          <w:i/>
          <w:sz w:val="26"/>
          <w:szCs w:val="26"/>
        </w:rPr>
        <w:t>May 2018 McCloskey Order</w:t>
      </w:r>
      <w:r w:rsidR="00912D7D" w:rsidRPr="00787A9E">
        <w:rPr>
          <w:rFonts w:eastAsia="Calibri"/>
          <w:sz w:val="26"/>
          <w:szCs w:val="26"/>
        </w:rPr>
        <w:t xml:space="preserve"> at 23.</w:t>
      </w:r>
    </w:p>
    <w:p w14:paraId="50430A63" w14:textId="77777777" w:rsidR="001D421F" w:rsidRPr="00787A9E" w:rsidRDefault="001D421F" w:rsidP="00FD1A00">
      <w:pPr>
        <w:autoSpaceDE w:val="0"/>
        <w:autoSpaceDN w:val="0"/>
        <w:contextualSpacing/>
        <w:rPr>
          <w:rFonts w:eastAsia="Calibri"/>
          <w:sz w:val="26"/>
          <w:szCs w:val="26"/>
        </w:rPr>
      </w:pPr>
    </w:p>
    <w:p w14:paraId="36F24C86" w14:textId="6EBCCACC" w:rsidR="006113DF" w:rsidRPr="00787A9E" w:rsidRDefault="001D421F" w:rsidP="00FD1A00">
      <w:pPr>
        <w:ind w:firstLine="1440"/>
        <w:contextualSpacing/>
        <w:rPr>
          <w:bCs/>
          <w:sz w:val="26"/>
          <w:szCs w:val="26"/>
        </w:rPr>
      </w:pPr>
      <w:r w:rsidRPr="00787A9E">
        <w:rPr>
          <w:rFonts w:eastAsia="Calibri"/>
          <w:sz w:val="26"/>
          <w:szCs w:val="26"/>
        </w:rPr>
        <w:t>Regarding the Company</w:t>
      </w:r>
      <w:r w:rsidR="00A424DB">
        <w:rPr>
          <w:rFonts w:eastAsia="Calibri"/>
          <w:sz w:val="26"/>
          <w:szCs w:val="26"/>
        </w:rPr>
        <w:t>’</w:t>
      </w:r>
      <w:r w:rsidRPr="00787A9E">
        <w:rPr>
          <w:rFonts w:eastAsia="Calibri"/>
          <w:sz w:val="26"/>
          <w:szCs w:val="26"/>
        </w:rPr>
        <w:t xml:space="preserve">s second argument objecting to the continued monitoring of electric service bills and payments, </w:t>
      </w:r>
      <w:r w:rsidR="00552325">
        <w:rPr>
          <w:rFonts w:eastAsia="Calibri"/>
          <w:sz w:val="26"/>
          <w:szCs w:val="26"/>
        </w:rPr>
        <w:t>we</w:t>
      </w:r>
      <w:r w:rsidR="006113DF" w:rsidRPr="00787A9E">
        <w:rPr>
          <w:rFonts w:eastAsia="Calibri"/>
          <w:sz w:val="26"/>
          <w:szCs w:val="26"/>
        </w:rPr>
        <w:t xml:space="preserve"> denied</w:t>
      </w:r>
      <w:r w:rsidRPr="00787A9E">
        <w:rPr>
          <w:rFonts w:eastAsia="Calibri"/>
          <w:sz w:val="26"/>
          <w:szCs w:val="26"/>
        </w:rPr>
        <w:t xml:space="preserve"> the Petitioner</w:t>
      </w:r>
      <w:r w:rsidR="00A424DB">
        <w:rPr>
          <w:rFonts w:eastAsia="Calibri"/>
          <w:sz w:val="26"/>
          <w:szCs w:val="26"/>
        </w:rPr>
        <w:t>’</w:t>
      </w:r>
      <w:r w:rsidRPr="00787A9E">
        <w:rPr>
          <w:rFonts w:eastAsia="Calibri"/>
          <w:sz w:val="26"/>
          <w:szCs w:val="26"/>
        </w:rPr>
        <w:t xml:space="preserve">s request to eliminate the monitoring provision.  </w:t>
      </w:r>
      <w:r w:rsidR="00552325">
        <w:rPr>
          <w:rFonts w:eastAsia="Calibri"/>
          <w:sz w:val="26"/>
          <w:szCs w:val="26"/>
        </w:rPr>
        <w:t xml:space="preserve">We explained that </w:t>
      </w:r>
      <w:r w:rsidR="006113DF" w:rsidRPr="00787A9E">
        <w:rPr>
          <w:bCs/>
          <w:sz w:val="26"/>
          <w:szCs w:val="26"/>
        </w:rPr>
        <w:t xml:space="preserve">during the Exception stage, the </w:t>
      </w:r>
      <w:r w:rsidR="006113DF" w:rsidRPr="00787A9E">
        <w:rPr>
          <w:bCs/>
          <w:sz w:val="26"/>
          <w:szCs w:val="26"/>
        </w:rPr>
        <w:lastRenderedPageBreak/>
        <w:t xml:space="preserve">Company did not object to the language proposed by the OCA, which ultimately was incorporated into Ordering Paragraph No. 15.  Accordingly, on the basis of judicial economy, </w:t>
      </w:r>
      <w:r w:rsidR="00552325">
        <w:rPr>
          <w:bCs/>
          <w:sz w:val="26"/>
          <w:szCs w:val="26"/>
        </w:rPr>
        <w:t>we</w:t>
      </w:r>
      <w:r w:rsidR="006113DF" w:rsidRPr="00787A9E">
        <w:rPr>
          <w:bCs/>
          <w:sz w:val="26"/>
          <w:szCs w:val="26"/>
        </w:rPr>
        <w:t xml:space="preserve"> declined to consider the Company</w:t>
      </w:r>
      <w:r w:rsidR="00A424DB">
        <w:rPr>
          <w:bCs/>
          <w:sz w:val="26"/>
          <w:szCs w:val="26"/>
        </w:rPr>
        <w:t>’</w:t>
      </w:r>
      <w:r w:rsidR="006113DF" w:rsidRPr="00787A9E">
        <w:rPr>
          <w:bCs/>
          <w:sz w:val="26"/>
          <w:szCs w:val="26"/>
        </w:rPr>
        <w:t xml:space="preserve">s arguments to eliminate the monitoring provisions set forth in Ordering Paragraph No. 15.  </w:t>
      </w:r>
      <w:r w:rsidR="00221B21" w:rsidRPr="00787A9E">
        <w:rPr>
          <w:rFonts w:eastAsia="Calibri"/>
          <w:i/>
          <w:sz w:val="26"/>
          <w:szCs w:val="26"/>
        </w:rPr>
        <w:t>May 2018 McCloskey Order</w:t>
      </w:r>
      <w:r w:rsidR="00221B21" w:rsidRPr="00787A9E">
        <w:rPr>
          <w:rFonts w:eastAsia="Calibri"/>
          <w:sz w:val="26"/>
          <w:szCs w:val="26"/>
        </w:rPr>
        <w:t xml:space="preserve"> at 23.</w:t>
      </w:r>
    </w:p>
    <w:p w14:paraId="086E76AB" w14:textId="77777777" w:rsidR="006113DF" w:rsidRPr="00787A9E" w:rsidRDefault="006113DF" w:rsidP="00FD1A00">
      <w:pPr>
        <w:ind w:firstLine="1440"/>
        <w:contextualSpacing/>
        <w:rPr>
          <w:bCs/>
          <w:sz w:val="26"/>
          <w:szCs w:val="26"/>
        </w:rPr>
      </w:pPr>
    </w:p>
    <w:p w14:paraId="10CB2443" w14:textId="79BF00C6" w:rsidR="005904AD" w:rsidRPr="00787A9E" w:rsidRDefault="006113DF" w:rsidP="00FD1A00">
      <w:pPr>
        <w:ind w:firstLine="1440"/>
        <w:contextualSpacing/>
        <w:rPr>
          <w:bCs/>
          <w:sz w:val="26"/>
          <w:szCs w:val="26"/>
        </w:rPr>
      </w:pPr>
      <w:r w:rsidRPr="00787A9E">
        <w:rPr>
          <w:bCs/>
          <w:sz w:val="26"/>
          <w:szCs w:val="26"/>
        </w:rPr>
        <w:t>Regarding the third argument pertaining to an investigation following HVUS</w:t>
      </w:r>
      <w:r w:rsidR="00A424DB">
        <w:rPr>
          <w:bCs/>
          <w:sz w:val="26"/>
          <w:szCs w:val="26"/>
        </w:rPr>
        <w:t>’</w:t>
      </w:r>
      <w:r w:rsidRPr="00787A9E">
        <w:rPr>
          <w:bCs/>
          <w:sz w:val="26"/>
          <w:szCs w:val="26"/>
        </w:rPr>
        <w:t xml:space="preserve">s final status report, </w:t>
      </w:r>
      <w:r w:rsidR="00552325">
        <w:rPr>
          <w:bCs/>
          <w:sz w:val="26"/>
          <w:szCs w:val="26"/>
        </w:rPr>
        <w:t>we</w:t>
      </w:r>
      <w:r w:rsidRPr="00787A9E">
        <w:rPr>
          <w:bCs/>
          <w:sz w:val="26"/>
          <w:szCs w:val="26"/>
        </w:rPr>
        <w:t xml:space="preserve"> granted the Petition as to this issue.  Although the Company failed to raise an objection about this provision during the Exception stage, </w:t>
      </w:r>
      <w:r w:rsidR="00552325">
        <w:rPr>
          <w:bCs/>
          <w:sz w:val="26"/>
          <w:szCs w:val="26"/>
        </w:rPr>
        <w:t>we</w:t>
      </w:r>
      <w:r w:rsidRPr="00787A9E">
        <w:rPr>
          <w:bCs/>
          <w:sz w:val="26"/>
          <w:szCs w:val="26"/>
        </w:rPr>
        <w:t xml:space="preserve"> noted that it appeared </w:t>
      </w:r>
      <w:r w:rsidR="00552325">
        <w:rPr>
          <w:bCs/>
          <w:sz w:val="26"/>
          <w:szCs w:val="26"/>
        </w:rPr>
        <w:t>we</w:t>
      </w:r>
      <w:r w:rsidRPr="00787A9E">
        <w:rPr>
          <w:bCs/>
          <w:sz w:val="26"/>
          <w:szCs w:val="26"/>
        </w:rPr>
        <w:t xml:space="preserve"> overlooked the potential issue of giving a party litigant, such as the OCA, an investigatory role after the submission of the final status report.  Therefore, </w:t>
      </w:r>
      <w:r w:rsidR="005B6721">
        <w:rPr>
          <w:bCs/>
          <w:sz w:val="26"/>
          <w:szCs w:val="26"/>
        </w:rPr>
        <w:t xml:space="preserve">we concluded that </w:t>
      </w:r>
      <w:r w:rsidRPr="00787A9E">
        <w:rPr>
          <w:bCs/>
          <w:sz w:val="26"/>
          <w:szCs w:val="26"/>
        </w:rPr>
        <w:t>upon filing of the final status report</w:t>
      </w:r>
      <w:r w:rsidR="00071DD4" w:rsidRPr="00787A9E">
        <w:rPr>
          <w:bCs/>
          <w:sz w:val="26"/>
          <w:szCs w:val="26"/>
        </w:rPr>
        <w:t>,</w:t>
      </w:r>
      <w:r w:rsidRPr="00787A9E">
        <w:rPr>
          <w:bCs/>
          <w:sz w:val="26"/>
          <w:szCs w:val="26"/>
        </w:rPr>
        <w:t xml:space="preserve"> the examination of the repairs, modifications, and rehabilitative and maintenance procedures, as well as the water quality status, should rest with TUS.  Moreover, </w:t>
      </w:r>
      <w:r w:rsidR="005B6721">
        <w:rPr>
          <w:bCs/>
          <w:sz w:val="26"/>
          <w:szCs w:val="26"/>
        </w:rPr>
        <w:t>we</w:t>
      </w:r>
      <w:r w:rsidRPr="00787A9E">
        <w:rPr>
          <w:bCs/>
          <w:sz w:val="26"/>
          <w:szCs w:val="26"/>
        </w:rPr>
        <w:t xml:space="preserve"> found that if TUS determines and reports that the remedial measures are inadequate or unreasonable, the matter should be referred to the Office of Administrative Law Judge for further evidentiary hearings.  As such, </w:t>
      </w:r>
      <w:r w:rsidR="005B6721">
        <w:rPr>
          <w:bCs/>
          <w:sz w:val="26"/>
          <w:szCs w:val="26"/>
        </w:rPr>
        <w:t>we</w:t>
      </w:r>
      <w:r w:rsidRPr="00787A9E">
        <w:rPr>
          <w:bCs/>
          <w:sz w:val="26"/>
          <w:szCs w:val="26"/>
        </w:rPr>
        <w:t xml:space="preserve"> revised </w:t>
      </w:r>
      <w:r w:rsidR="005B6721">
        <w:rPr>
          <w:bCs/>
          <w:sz w:val="26"/>
          <w:szCs w:val="26"/>
        </w:rPr>
        <w:t>O</w:t>
      </w:r>
      <w:r w:rsidRPr="00787A9E">
        <w:rPr>
          <w:bCs/>
          <w:sz w:val="26"/>
          <w:szCs w:val="26"/>
        </w:rPr>
        <w:t xml:space="preserve">rdering </w:t>
      </w:r>
      <w:r w:rsidR="005B6721">
        <w:rPr>
          <w:bCs/>
          <w:sz w:val="26"/>
          <w:szCs w:val="26"/>
        </w:rPr>
        <w:t>P</w:t>
      </w:r>
      <w:r w:rsidRPr="00787A9E">
        <w:rPr>
          <w:bCs/>
          <w:sz w:val="26"/>
          <w:szCs w:val="26"/>
        </w:rPr>
        <w:t xml:space="preserve">aragraph </w:t>
      </w:r>
      <w:r w:rsidR="005B6721">
        <w:rPr>
          <w:bCs/>
          <w:sz w:val="26"/>
          <w:szCs w:val="26"/>
        </w:rPr>
        <w:t xml:space="preserve">No. 20 </w:t>
      </w:r>
      <w:r w:rsidRPr="00787A9E">
        <w:rPr>
          <w:bCs/>
          <w:sz w:val="26"/>
          <w:szCs w:val="26"/>
        </w:rPr>
        <w:t xml:space="preserve">to delete the references to the OCA pertaining to investigation and reporting.  </w:t>
      </w:r>
      <w:r w:rsidR="00221B21" w:rsidRPr="00787A9E">
        <w:rPr>
          <w:rFonts w:eastAsia="Calibri"/>
          <w:i/>
          <w:sz w:val="26"/>
          <w:szCs w:val="26"/>
        </w:rPr>
        <w:t>May 2018 McCloskey Order</w:t>
      </w:r>
      <w:r w:rsidR="00221B21" w:rsidRPr="00787A9E">
        <w:rPr>
          <w:rFonts w:eastAsia="Calibri"/>
          <w:sz w:val="26"/>
          <w:szCs w:val="26"/>
        </w:rPr>
        <w:t xml:space="preserve"> </w:t>
      </w:r>
      <w:r w:rsidRPr="00787A9E">
        <w:rPr>
          <w:bCs/>
          <w:sz w:val="26"/>
          <w:szCs w:val="26"/>
        </w:rPr>
        <w:t>at 24.</w:t>
      </w:r>
    </w:p>
    <w:p w14:paraId="2AEFF77F" w14:textId="77777777" w:rsidR="00C962BB" w:rsidRPr="00787A9E" w:rsidRDefault="00C962BB" w:rsidP="00FD1A00">
      <w:pPr>
        <w:ind w:firstLine="1440"/>
        <w:contextualSpacing/>
        <w:rPr>
          <w:bCs/>
          <w:sz w:val="26"/>
          <w:szCs w:val="26"/>
        </w:rPr>
      </w:pPr>
    </w:p>
    <w:p w14:paraId="52F69BED" w14:textId="77777777" w:rsidR="00C962BB" w:rsidRPr="00787A9E" w:rsidRDefault="00C962BB" w:rsidP="00FD1A00">
      <w:pPr>
        <w:pStyle w:val="Heading1"/>
        <w:keepNext/>
        <w:keepLines/>
        <w:contextualSpacing/>
      </w:pPr>
      <w:r w:rsidRPr="00787A9E">
        <w:t>VI.</w:t>
      </w:r>
      <w:r w:rsidRPr="00787A9E">
        <w:tab/>
        <w:t xml:space="preserve">Summary of the </w:t>
      </w:r>
      <w:r w:rsidRPr="00787A9E">
        <w:rPr>
          <w:i/>
        </w:rPr>
        <w:t>January 2019 McCloskey Order</w:t>
      </w:r>
    </w:p>
    <w:p w14:paraId="59C8B64D" w14:textId="77777777" w:rsidR="00C962BB" w:rsidRPr="00787A9E" w:rsidRDefault="00C962BB" w:rsidP="00FD1A00">
      <w:pPr>
        <w:keepNext/>
        <w:keepLines/>
        <w:ind w:firstLine="1440"/>
        <w:contextualSpacing/>
        <w:rPr>
          <w:bCs/>
          <w:sz w:val="26"/>
          <w:szCs w:val="26"/>
        </w:rPr>
      </w:pPr>
    </w:p>
    <w:p w14:paraId="040694B3" w14:textId="7EA672A2" w:rsidR="00DD6CFF" w:rsidRPr="00787A9E" w:rsidRDefault="007B1B7B" w:rsidP="00FD1A00">
      <w:pPr>
        <w:autoSpaceDE w:val="0"/>
        <w:autoSpaceDN w:val="0"/>
        <w:ind w:firstLine="1440"/>
        <w:contextualSpacing/>
        <w:rPr>
          <w:sz w:val="26"/>
          <w:szCs w:val="26"/>
        </w:rPr>
      </w:pPr>
      <w:r w:rsidRPr="00787A9E">
        <w:rPr>
          <w:sz w:val="26"/>
          <w:szCs w:val="26"/>
        </w:rPr>
        <w:t xml:space="preserve">On </w:t>
      </w:r>
      <w:r w:rsidR="00300CBF" w:rsidRPr="00787A9E">
        <w:rPr>
          <w:sz w:val="26"/>
          <w:szCs w:val="26"/>
        </w:rPr>
        <w:t>October 18, 2018, HVUS filed a second Petition for Amendment (Second Petition) seeking an amendment of</w:t>
      </w:r>
      <w:r w:rsidR="00566A97" w:rsidRPr="00787A9E">
        <w:rPr>
          <w:sz w:val="26"/>
          <w:szCs w:val="26"/>
        </w:rPr>
        <w:t xml:space="preserve"> the </w:t>
      </w:r>
      <w:r w:rsidR="00300CBF" w:rsidRPr="00787A9E">
        <w:rPr>
          <w:i/>
          <w:sz w:val="26"/>
          <w:szCs w:val="26"/>
        </w:rPr>
        <w:t xml:space="preserve">May 2018 </w:t>
      </w:r>
      <w:r w:rsidR="00566A97" w:rsidRPr="00787A9E">
        <w:rPr>
          <w:i/>
          <w:sz w:val="26"/>
          <w:szCs w:val="26"/>
        </w:rPr>
        <w:t xml:space="preserve">McCloskey </w:t>
      </w:r>
      <w:r w:rsidR="00300CBF" w:rsidRPr="00787A9E">
        <w:rPr>
          <w:i/>
          <w:sz w:val="26"/>
          <w:szCs w:val="26"/>
        </w:rPr>
        <w:t>Order</w:t>
      </w:r>
      <w:r w:rsidR="00300CBF" w:rsidRPr="00787A9E">
        <w:rPr>
          <w:sz w:val="26"/>
          <w:szCs w:val="26"/>
        </w:rPr>
        <w:t>.</w:t>
      </w:r>
      <w:r w:rsidR="003E2346" w:rsidRPr="00787A9E">
        <w:rPr>
          <w:sz w:val="26"/>
          <w:szCs w:val="26"/>
        </w:rPr>
        <w:t xml:space="preserve"> </w:t>
      </w:r>
      <w:r w:rsidR="00300CBF" w:rsidRPr="00787A9E">
        <w:rPr>
          <w:sz w:val="26"/>
          <w:szCs w:val="26"/>
        </w:rPr>
        <w:t xml:space="preserve"> </w:t>
      </w:r>
      <w:r w:rsidR="00566A97" w:rsidRPr="00787A9E">
        <w:rPr>
          <w:sz w:val="26"/>
          <w:szCs w:val="26"/>
        </w:rPr>
        <w:t>I</w:t>
      </w:r>
      <w:r w:rsidR="00DD6CFF" w:rsidRPr="00787A9E">
        <w:rPr>
          <w:sz w:val="26"/>
          <w:szCs w:val="26"/>
        </w:rPr>
        <w:t xml:space="preserve">n </w:t>
      </w:r>
      <w:r w:rsidR="00566A97" w:rsidRPr="00787A9E">
        <w:rPr>
          <w:sz w:val="26"/>
          <w:szCs w:val="26"/>
        </w:rPr>
        <w:t>the</w:t>
      </w:r>
      <w:r w:rsidR="00DD6CFF" w:rsidRPr="00787A9E">
        <w:rPr>
          <w:sz w:val="26"/>
          <w:szCs w:val="26"/>
        </w:rPr>
        <w:t xml:space="preserve"> Second Petition, HVUS explain</w:t>
      </w:r>
      <w:r w:rsidR="0039641E" w:rsidRPr="00787A9E">
        <w:rPr>
          <w:sz w:val="26"/>
          <w:szCs w:val="26"/>
        </w:rPr>
        <w:t>ed</w:t>
      </w:r>
      <w:r w:rsidR="00DD6CFF" w:rsidRPr="00787A9E">
        <w:rPr>
          <w:sz w:val="26"/>
          <w:szCs w:val="26"/>
        </w:rPr>
        <w:t xml:space="preserve"> that the Commission ordered </w:t>
      </w:r>
      <w:r w:rsidR="00177B48">
        <w:rPr>
          <w:sz w:val="26"/>
          <w:szCs w:val="26"/>
        </w:rPr>
        <w:t>it</w:t>
      </w:r>
      <w:r w:rsidR="00DD6CFF" w:rsidRPr="00787A9E">
        <w:rPr>
          <w:sz w:val="26"/>
          <w:szCs w:val="26"/>
        </w:rPr>
        <w:t xml:space="preserve"> to obtain an </w:t>
      </w:r>
      <w:r w:rsidR="003E2346" w:rsidRPr="00787A9E">
        <w:rPr>
          <w:sz w:val="26"/>
          <w:szCs w:val="26"/>
        </w:rPr>
        <w:t>E</w:t>
      </w:r>
      <w:r w:rsidR="00DD6CFF" w:rsidRPr="00787A9E">
        <w:rPr>
          <w:sz w:val="26"/>
          <w:szCs w:val="26"/>
        </w:rPr>
        <w:t>ngineer</w:t>
      </w:r>
      <w:r w:rsidR="00A424DB">
        <w:rPr>
          <w:sz w:val="26"/>
          <w:szCs w:val="26"/>
        </w:rPr>
        <w:t>’</w:t>
      </w:r>
      <w:r w:rsidR="00DD6CFF" w:rsidRPr="00787A9E">
        <w:rPr>
          <w:sz w:val="26"/>
          <w:szCs w:val="26"/>
        </w:rPr>
        <w:t xml:space="preserve">s </w:t>
      </w:r>
      <w:r w:rsidR="003E2346" w:rsidRPr="00787A9E">
        <w:rPr>
          <w:sz w:val="26"/>
          <w:szCs w:val="26"/>
        </w:rPr>
        <w:t>R</w:t>
      </w:r>
      <w:r w:rsidR="00DD6CFF" w:rsidRPr="00787A9E">
        <w:rPr>
          <w:sz w:val="26"/>
          <w:szCs w:val="26"/>
        </w:rPr>
        <w:t xml:space="preserve">eport with recommendations to address iron and manganese in the </w:t>
      </w:r>
      <w:r w:rsidR="0083135C" w:rsidRPr="00787A9E">
        <w:rPr>
          <w:sz w:val="26"/>
          <w:szCs w:val="26"/>
        </w:rPr>
        <w:t>Company</w:t>
      </w:r>
      <w:r w:rsidR="00A424DB">
        <w:rPr>
          <w:sz w:val="26"/>
          <w:szCs w:val="26"/>
        </w:rPr>
        <w:t>’</w:t>
      </w:r>
      <w:r w:rsidR="0083135C" w:rsidRPr="00787A9E">
        <w:rPr>
          <w:sz w:val="26"/>
          <w:szCs w:val="26"/>
        </w:rPr>
        <w:t xml:space="preserve">s </w:t>
      </w:r>
      <w:r w:rsidR="00DD6CFF" w:rsidRPr="00787A9E">
        <w:rPr>
          <w:sz w:val="26"/>
          <w:szCs w:val="26"/>
        </w:rPr>
        <w:t xml:space="preserve">water </w:t>
      </w:r>
      <w:r w:rsidR="00AA454B" w:rsidRPr="00787A9E">
        <w:rPr>
          <w:sz w:val="26"/>
          <w:szCs w:val="26"/>
        </w:rPr>
        <w:t xml:space="preserve">supply </w:t>
      </w:r>
      <w:r w:rsidR="00DD6CFF" w:rsidRPr="00787A9E">
        <w:rPr>
          <w:sz w:val="26"/>
          <w:szCs w:val="26"/>
        </w:rPr>
        <w:t>and to implement the engineer</w:t>
      </w:r>
      <w:r w:rsidR="00A424DB">
        <w:rPr>
          <w:sz w:val="26"/>
          <w:szCs w:val="26"/>
        </w:rPr>
        <w:t>’</w:t>
      </w:r>
      <w:r w:rsidR="00DD6CFF" w:rsidRPr="00787A9E">
        <w:rPr>
          <w:sz w:val="26"/>
          <w:szCs w:val="26"/>
        </w:rPr>
        <w:t>s recommendations within one year.  The Company aver</w:t>
      </w:r>
      <w:r w:rsidR="0039641E" w:rsidRPr="00787A9E">
        <w:rPr>
          <w:sz w:val="26"/>
          <w:szCs w:val="26"/>
        </w:rPr>
        <w:t>red</w:t>
      </w:r>
      <w:r w:rsidR="00DD6CFF" w:rsidRPr="00787A9E">
        <w:rPr>
          <w:sz w:val="26"/>
          <w:szCs w:val="26"/>
        </w:rPr>
        <w:t xml:space="preserve"> that it filed the required </w:t>
      </w:r>
      <w:r w:rsidR="003E2346" w:rsidRPr="00787A9E">
        <w:rPr>
          <w:sz w:val="26"/>
          <w:szCs w:val="26"/>
        </w:rPr>
        <w:t>E</w:t>
      </w:r>
      <w:r w:rsidR="00DD6CFF" w:rsidRPr="00787A9E">
        <w:rPr>
          <w:sz w:val="26"/>
          <w:szCs w:val="26"/>
        </w:rPr>
        <w:t>ngineer</w:t>
      </w:r>
      <w:r w:rsidR="00A424DB">
        <w:rPr>
          <w:sz w:val="26"/>
          <w:szCs w:val="26"/>
        </w:rPr>
        <w:t>’</w:t>
      </w:r>
      <w:r w:rsidR="00DD6CFF" w:rsidRPr="00787A9E">
        <w:rPr>
          <w:sz w:val="26"/>
          <w:szCs w:val="26"/>
        </w:rPr>
        <w:t xml:space="preserve">s </w:t>
      </w:r>
      <w:r w:rsidR="003E2346" w:rsidRPr="00787A9E">
        <w:rPr>
          <w:sz w:val="26"/>
          <w:szCs w:val="26"/>
        </w:rPr>
        <w:t>R</w:t>
      </w:r>
      <w:r w:rsidR="00DD6CFF" w:rsidRPr="00787A9E">
        <w:rPr>
          <w:sz w:val="26"/>
          <w:szCs w:val="26"/>
        </w:rPr>
        <w:t>eport on April</w:t>
      </w:r>
      <w:r w:rsidR="00BB66B8" w:rsidRPr="00787A9E">
        <w:rPr>
          <w:sz w:val="26"/>
          <w:szCs w:val="26"/>
        </w:rPr>
        <w:t> </w:t>
      </w:r>
      <w:r w:rsidR="00DD6CFF" w:rsidRPr="00787A9E">
        <w:rPr>
          <w:sz w:val="26"/>
          <w:szCs w:val="26"/>
        </w:rPr>
        <w:t>18,</w:t>
      </w:r>
      <w:r w:rsidR="00BB66B8" w:rsidRPr="00787A9E">
        <w:rPr>
          <w:sz w:val="26"/>
          <w:szCs w:val="26"/>
        </w:rPr>
        <w:t> </w:t>
      </w:r>
      <w:r w:rsidR="00DD6CFF" w:rsidRPr="00787A9E">
        <w:rPr>
          <w:sz w:val="26"/>
          <w:szCs w:val="26"/>
        </w:rPr>
        <w:t xml:space="preserve">2018, which gave four options for resolving the issues with iron and manganese in the water (two options involve the construction of a treatment plant and two options involve the construction of a pipeline to obtain water from another source).  According to the </w:t>
      </w:r>
      <w:r w:rsidR="00DD6CFF" w:rsidRPr="00787A9E">
        <w:rPr>
          <w:sz w:val="26"/>
          <w:szCs w:val="26"/>
        </w:rPr>
        <w:lastRenderedPageBreak/>
        <w:t xml:space="preserve">Company, implementing any of the recommendations in the </w:t>
      </w:r>
      <w:r w:rsidR="003E2346" w:rsidRPr="00787A9E">
        <w:rPr>
          <w:sz w:val="26"/>
          <w:szCs w:val="26"/>
        </w:rPr>
        <w:t>E</w:t>
      </w:r>
      <w:r w:rsidR="00DD6CFF" w:rsidRPr="00787A9E">
        <w:rPr>
          <w:sz w:val="26"/>
          <w:szCs w:val="26"/>
        </w:rPr>
        <w:t>ngineer</w:t>
      </w:r>
      <w:r w:rsidR="00A424DB">
        <w:rPr>
          <w:sz w:val="26"/>
          <w:szCs w:val="26"/>
        </w:rPr>
        <w:t>’</w:t>
      </w:r>
      <w:r w:rsidR="00DD6CFF" w:rsidRPr="00787A9E">
        <w:rPr>
          <w:sz w:val="26"/>
          <w:szCs w:val="26"/>
        </w:rPr>
        <w:t xml:space="preserve">s </w:t>
      </w:r>
      <w:r w:rsidR="003E2346" w:rsidRPr="00787A9E">
        <w:rPr>
          <w:sz w:val="26"/>
          <w:szCs w:val="26"/>
        </w:rPr>
        <w:t>R</w:t>
      </w:r>
      <w:r w:rsidR="00DD6CFF" w:rsidRPr="00787A9E">
        <w:rPr>
          <w:sz w:val="26"/>
          <w:szCs w:val="26"/>
        </w:rPr>
        <w:t xml:space="preserve">eport will require at least four years.  Additionally, </w:t>
      </w:r>
      <w:r w:rsidR="0039641E" w:rsidRPr="00787A9E">
        <w:rPr>
          <w:sz w:val="26"/>
          <w:szCs w:val="26"/>
        </w:rPr>
        <w:t>HVUS</w:t>
      </w:r>
      <w:r w:rsidR="00DD6CFF" w:rsidRPr="00787A9E">
        <w:rPr>
          <w:sz w:val="26"/>
          <w:szCs w:val="26"/>
        </w:rPr>
        <w:t xml:space="preserve"> assert</w:t>
      </w:r>
      <w:r w:rsidR="00387E00" w:rsidRPr="00787A9E">
        <w:rPr>
          <w:sz w:val="26"/>
          <w:szCs w:val="26"/>
        </w:rPr>
        <w:t>ed</w:t>
      </w:r>
      <w:r w:rsidR="00DD6CFF" w:rsidRPr="00787A9E">
        <w:rPr>
          <w:sz w:val="26"/>
          <w:szCs w:val="26"/>
        </w:rPr>
        <w:t xml:space="preserve"> that the estimated cost of </w:t>
      </w:r>
      <w:r w:rsidR="00387E00" w:rsidRPr="00787A9E">
        <w:rPr>
          <w:sz w:val="26"/>
          <w:szCs w:val="26"/>
        </w:rPr>
        <w:t>the options</w:t>
      </w:r>
      <w:r w:rsidR="00DD6CFF" w:rsidRPr="00787A9E">
        <w:rPr>
          <w:sz w:val="26"/>
          <w:szCs w:val="26"/>
        </w:rPr>
        <w:t xml:space="preserve"> as set forth in the April 2018 </w:t>
      </w:r>
      <w:r w:rsidR="003E2346" w:rsidRPr="00787A9E">
        <w:rPr>
          <w:sz w:val="26"/>
          <w:szCs w:val="26"/>
        </w:rPr>
        <w:t>E</w:t>
      </w:r>
      <w:r w:rsidR="00DD6CFF" w:rsidRPr="00787A9E">
        <w:rPr>
          <w:sz w:val="26"/>
          <w:szCs w:val="26"/>
        </w:rPr>
        <w:t>ngineer</w:t>
      </w:r>
      <w:r w:rsidR="00A424DB">
        <w:rPr>
          <w:sz w:val="26"/>
          <w:szCs w:val="26"/>
        </w:rPr>
        <w:t>’</w:t>
      </w:r>
      <w:r w:rsidR="00DD6CFF" w:rsidRPr="00787A9E">
        <w:rPr>
          <w:sz w:val="26"/>
          <w:szCs w:val="26"/>
        </w:rPr>
        <w:t xml:space="preserve">s </w:t>
      </w:r>
      <w:r w:rsidR="003E2346" w:rsidRPr="00787A9E">
        <w:rPr>
          <w:sz w:val="26"/>
          <w:szCs w:val="26"/>
        </w:rPr>
        <w:t>R</w:t>
      </w:r>
      <w:r w:rsidR="00DD6CFF" w:rsidRPr="00787A9E">
        <w:rPr>
          <w:sz w:val="26"/>
          <w:szCs w:val="26"/>
        </w:rPr>
        <w:t>eport range from approximately $850,000 to almost $2,400,000.  HVUS also state</w:t>
      </w:r>
      <w:r w:rsidR="00387E00" w:rsidRPr="00787A9E">
        <w:rPr>
          <w:sz w:val="26"/>
          <w:szCs w:val="26"/>
        </w:rPr>
        <w:t>d</w:t>
      </w:r>
      <w:r w:rsidR="00DD6CFF" w:rsidRPr="00787A9E">
        <w:rPr>
          <w:sz w:val="26"/>
          <w:szCs w:val="26"/>
        </w:rPr>
        <w:t xml:space="preserve"> that its management is working with its engineers to obtain additional information in order to select the best option for the Company and its customers.  The Company further </w:t>
      </w:r>
      <w:r w:rsidR="00387E00" w:rsidRPr="00787A9E">
        <w:rPr>
          <w:sz w:val="26"/>
          <w:szCs w:val="26"/>
        </w:rPr>
        <w:t>indicated</w:t>
      </w:r>
      <w:r w:rsidR="00DD6CFF" w:rsidRPr="00787A9E">
        <w:rPr>
          <w:sz w:val="26"/>
          <w:szCs w:val="26"/>
        </w:rPr>
        <w:t xml:space="preserve"> that its engineer provided updated cost estimates on October 15, 2018, for two of the recommendations set forth in the originally filed </w:t>
      </w:r>
      <w:r w:rsidR="00BC5758">
        <w:rPr>
          <w:sz w:val="26"/>
          <w:szCs w:val="26"/>
        </w:rPr>
        <w:t>E</w:t>
      </w:r>
      <w:r w:rsidR="00DD6CFF" w:rsidRPr="00787A9E">
        <w:rPr>
          <w:sz w:val="26"/>
          <w:szCs w:val="26"/>
        </w:rPr>
        <w:t>ngineer</w:t>
      </w:r>
      <w:r w:rsidR="00A424DB">
        <w:rPr>
          <w:sz w:val="26"/>
          <w:szCs w:val="26"/>
        </w:rPr>
        <w:t>’</w:t>
      </w:r>
      <w:r w:rsidR="00DD6CFF" w:rsidRPr="00787A9E">
        <w:rPr>
          <w:sz w:val="26"/>
          <w:szCs w:val="26"/>
        </w:rPr>
        <w:t xml:space="preserve">s </w:t>
      </w:r>
      <w:r w:rsidR="00BC5758">
        <w:rPr>
          <w:sz w:val="26"/>
          <w:szCs w:val="26"/>
        </w:rPr>
        <w:t>R</w:t>
      </w:r>
      <w:r w:rsidR="00DD6CFF" w:rsidRPr="00787A9E">
        <w:rPr>
          <w:sz w:val="26"/>
          <w:szCs w:val="26"/>
        </w:rPr>
        <w:t xml:space="preserve">eport.  According to the updated estimates, the cost of the project would now range from approximately $1,150,000 to $2,400,000.  </w:t>
      </w:r>
      <w:r w:rsidR="00387E00" w:rsidRPr="00787A9E">
        <w:rPr>
          <w:i/>
          <w:sz w:val="26"/>
          <w:szCs w:val="26"/>
        </w:rPr>
        <w:t>January 2019 McCloskey Order</w:t>
      </w:r>
      <w:r w:rsidR="00387E00" w:rsidRPr="00787A9E">
        <w:rPr>
          <w:sz w:val="26"/>
          <w:szCs w:val="26"/>
        </w:rPr>
        <w:t xml:space="preserve"> </w:t>
      </w:r>
      <w:r w:rsidR="00DD6CFF" w:rsidRPr="00787A9E">
        <w:rPr>
          <w:sz w:val="26"/>
          <w:szCs w:val="26"/>
        </w:rPr>
        <w:t xml:space="preserve">at </w:t>
      </w:r>
      <w:r w:rsidR="00387E00" w:rsidRPr="00787A9E">
        <w:rPr>
          <w:sz w:val="26"/>
          <w:szCs w:val="26"/>
        </w:rPr>
        <w:t>19</w:t>
      </w:r>
      <w:r w:rsidR="00DD6CFF" w:rsidRPr="00787A9E">
        <w:rPr>
          <w:sz w:val="26"/>
          <w:szCs w:val="26"/>
        </w:rPr>
        <w:t>.</w:t>
      </w:r>
    </w:p>
    <w:p w14:paraId="0B8339A6" w14:textId="77777777" w:rsidR="00387E00" w:rsidRPr="00787A9E" w:rsidRDefault="00387E00" w:rsidP="00FD1A00">
      <w:pPr>
        <w:autoSpaceDE w:val="0"/>
        <w:autoSpaceDN w:val="0"/>
        <w:ind w:firstLine="1440"/>
        <w:contextualSpacing/>
        <w:rPr>
          <w:sz w:val="26"/>
          <w:szCs w:val="26"/>
        </w:rPr>
      </w:pPr>
    </w:p>
    <w:p w14:paraId="08EB6F30" w14:textId="42D6F7B9" w:rsidR="00221B21" w:rsidRPr="00787A9E" w:rsidRDefault="00387E00" w:rsidP="00FD1A00">
      <w:pPr>
        <w:autoSpaceDE w:val="0"/>
        <w:autoSpaceDN w:val="0"/>
        <w:ind w:firstLine="1440"/>
        <w:contextualSpacing/>
        <w:rPr>
          <w:sz w:val="26"/>
          <w:szCs w:val="26"/>
        </w:rPr>
      </w:pPr>
      <w:r w:rsidRPr="00787A9E">
        <w:rPr>
          <w:sz w:val="26"/>
          <w:szCs w:val="26"/>
        </w:rPr>
        <w:t xml:space="preserve">Based on the </w:t>
      </w:r>
      <w:r w:rsidR="00A837E7" w:rsidRPr="00787A9E">
        <w:rPr>
          <w:sz w:val="26"/>
          <w:szCs w:val="26"/>
        </w:rPr>
        <w:t>E</w:t>
      </w:r>
      <w:r w:rsidRPr="00787A9E">
        <w:rPr>
          <w:sz w:val="26"/>
          <w:szCs w:val="26"/>
        </w:rPr>
        <w:t>ngineer</w:t>
      </w:r>
      <w:r w:rsidR="00A424DB">
        <w:rPr>
          <w:sz w:val="26"/>
          <w:szCs w:val="26"/>
        </w:rPr>
        <w:t>’</w:t>
      </w:r>
      <w:r w:rsidRPr="00787A9E">
        <w:rPr>
          <w:sz w:val="26"/>
          <w:szCs w:val="26"/>
        </w:rPr>
        <w:t xml:space="preserve">s </w:t>
      </w:r>
      <w:r w:rsidR="00A837E7" w:rsidRPr="00787A9E">
        <w:rPr>
          <w:sz w:val="26"/>
          <w:szCs w:val="26"/>
        </w:rPr>
        <w:t>R</w:t>
      </w:r>
      <w:r w:rsidRPr="00787A9E">
        <w:rPr>
          <w:sz w:val="26"/>
          <w:szCs w:val="26"/>
        </w:rPr>
        <w:t>eport, the Company request</w:t>
      </w:r>
      <w:r w:rsidR="008748F4" w:rsidRPr="00787A9E">
        <w:rPr>
          <w:sz w:val="26"/>
          <w:szCs w:val="26"/>
        </w:rPr>
        <w:t>ed</w:t>
      </w:r>
      <w:r w:rsidRPr="00787A9E">
        <w:rPr>
          <w:sz w:val="26"/>
          <w:szCs w:val="26"/>
        </w:rPr>
        <w:t xml:space="preserve"> that the one-year deadline in the Order be modified to adopt an approach similar to one which it contends is commonly used in rail-highway crossing cases.  Accordingly, rather than establishing a single deadline for the completion of construction, HVUS request</w:t>
      </w:r>
      <w:r w:rsidR="008748F4" w:rsidRPr="00787A9E">
        <w:rPr>
          <w:sz w:val="26"/>
          <w:szCs w:val="26"/>
        </w:rPr>
        <w:t>ed</w:t>
      </w:r>
      <w:r w:rsidRPr="00787A9E">
        <w:rPr>
          <w:sz w:val="26"/>
          <w:szCs w:val="26"/>
        </w:rPr>
        <w:t xml:space="preserve"> that </w:t>
      </w:r>
      <w:r w:rsidR="00062D5D">
        <w:rPr>
          <w:sz w:val="26"/>
          <w:szCs w:val="26"/>
        </w:rPr>
        <w:t>we</w:t>
      </w:r>
      <w:r w:rsidRPr="00787A9E">
        <w:rPr>
          <w:sz w:val="26"/>
          <w:szCs w:val="26"/>
        </w:rPr>
        <w:t xml:space="preserve"> establish a series of deadlines for important milestones in the design and construction process.  Alternatively, the Company request</w:t>
      </w:r>
      <w:r w:rsidR="008748F4" w:rsidRPr="00787A9E">
        <w:rPr>
          <w:sz w:val="26"/>
          <w:szCs w:val="26"/>
        </w:rPr>
        <w:t>ed</w:t>
      </w:r>
      <w:r w:rsidRPr="00787A9E">
        <w:rPr>
          <w:sz w:val="26"/>
          <w:szCs w:val="26"/>
        </w:rPr>
        <w:t xml:space="preserve"> that the one-year deadline for completion of the engineer</w:t>
      </w:r>
      <w:r w:rsidR="00A424DB">
        <w:rPr>
          <w:sz w:val="26"/>
          <w:szCs w:val="26"/>
        </w:rPr>
        <w:t>’</w:t>
      </w:r>
      <w:r w:rsidRPr="00787A9E">
        <w:rPr>
          <w:sz w:val="26"/>
          <w:szCs w:val="26"/>
        </w:rPr>
        <w:t xml:space="preserve">s recommendation be extended to four years.  </w:t>
      </w:r>
      <w:r w:rsidR="008748F4" w:rsidRPr="00787A9E">
        <w:rPr>
          <w:i/>
          <w:sz w:val="26"/>
          <w:szCs w:val="26"/>
        </w:rPr>
        <w:t>January 2019 McCloskey Order</w:t>
      </w:r>
      <w:r w:rsidR="008748F4" w:rsidRPr="00787A9E">
        <w:rPr>
          <w:sz w:val="26"/>
          <w:szCs w:val="26"/>
        </w:rPr>
        <w:t xml:space="preserve"> at 20</w:t>
      </w:r>
      <w:r w:rsidRPr="00787A9E">
        <w:rPr>
          <w:sz w:val="26"/>
          <w:szCs w:val="26"/>
        </w:rPr>
        <w:t>.</w:t>
      </w:r>
      <w:r w:rsidR="00A837E7" w:rsidRPr="00787A9E">
        <w:rPr>
          <w:sz w:val="26"/>
          <w:szCs w:val="26"/>
        </w:rPr>
        <w:t xml:space="preserve">  In addition, the Company argued that the </w:t>
      </w:r>
      <w:r w:rsidR="00A837E7" w:rsidRPr="00787A9E">
        <w:rPr>
          <w:i/>
          <w:sz w:val="26"/>
          <w:szCs w:val="26"/>
        </w:rPr>
        <w:t xml:space="preserve">McCloskey Orders </w:t>
      </w:r>
      <w:r w:rsidR="00A837E7" w:rsidRPr="00787A9E">
        <w:rPr>
          <w:sz w:val="26"/>
          <w:szCs w:val="26"/>
        </w:rPr>
        <w:t xml:space="preserve">overlooked the need for the Company to investigate and choose a financing plan for the project.  According to HVUS, financing options are critical, considering the rate impact that any of the four options will have on the approximately 1,170 customers of the water system.  </w:t>
      </w:r>
      <w:r w:rsidR="00221B21" w:rsidRPr="00787A9E">
        <w:rPr>
          <w:i/>
          <w:sz w:val="26"/>
          <w:szCs w:val="26"/>
        </w:rPr>
        <w:t>January 2019 McCloskey Order</w:t>
      </w:r>
      <w:r w:rsidR="00221B21" w:rsidRPr="00787A9E">
        <w:rPr>
          <w:sz w:val="26"/>
          <w:szCs w:val="26"/>
        </w:rPr>
        <w:t xml:space="preserve"> at 19.</w:t>
      </w:r>
    </w:p>
    <w:p w14:paraId="7D4737C2" w14:textId="38EA2071" w:rsidR="00C962BB" w:rsidRPr="00787A9E" w:rsidRDefault="00C962BB" w:rsidP="00FD1A00">
      <w:pPr>
        <w:ind w:firstLine="1440"/>
        <w:contextualSpacing/>
        <w:rPr>
          <w:bCs/>
          <w:sz w:val="26"/>
          <w:szCs w:val="26"/>
        </w:rPr>
      </w:pPr>
    </w:p>
    <w:p w14:paraId="3032FA80" w14:textId="090FA8AC" w:rsidR="004A6C33" w:rsidRPr="00787A9E" w:rsidRDefault="004A6C33" w:rsidP="00FD1A00">
      <w:pPr>
        <w:ind w:firstLine="1440"/>
        <w:contextualSpacing/>
        <w:rPr>
          <w:sz w:val="26"/>
          <w:szCs w:val="26"/>
        </w:rPr>
      </w:pPr>
      <w:r w:rsidRPr="00787A9E">
        <w:rPr>
          <w:sz w:val="26"/>
          <w:szCs w:val="26"/>
        </w:rPr>
        <w:t xml:space="preserve">In support of its request to amend the compliance deadline, the </w:t>
      </w:r>
      <w:r w:rsidR="006C477C" w:rsidRPr="00787A9E">
        <w:rPr>
          <w:sz w:val="26"/>
          <w:szCs w:val="26"/>
        </w:rPr>
        <w:t>Company</w:t>
      </w:r>
      <w:r w:rsidRPr="00787A9E">
        <w:rPr>
          <w:sz w:val="26"/>
          <w:szCs w:val="26"/>
        </w:rPr>
        <w:t xml:space="preserve"> submit</w:t>
      </w:r>
      <w:r w:rsidR="006C477C" w:rsidRPr="00787A9E">
        <w:rPr>
          <w:sz w:val="26"/>
          <w:szCs w:val="26"/>
        </w:rPr>
        <w:t>ted</w:t>
      </w:r>
      <w:r w:rsidRPr="00787A9E">
        <w:rPr>
          <w:sz w:val="26"/>
          <w:szCs w:val="26"/>
        </w:rPr>
        <w:t xml:space="preserve"> that the basis for the one-year deadline set forth in Ordering Paragraph No. 8 is unclear.  However, HVUS assert</w:t>
      </w:r>
      <w:r w:rsidR="006C477C" w:rsidRPr="00787A9E">
        <w:rPr>
          <w:sz w:val="26"/>
          <w:szCs w:val="26"/>
        </w:rPr>
        <w:t>ed</w:t>
      </w:r>
      <w:r w:rsidRPr="00787A9E">
        <w:rPr>
          <w:sz w:val="26"/>
          <w:szCs w:val="26"/>
        </w:rPr>
        <w:t xml:space="preserve"> that it is clear from the </w:t>
      </w:r>
      <w:r w:rsidR="006C477C" w:rsidRPr="00787A9E">
        <w:rPr>
          <w:sz w:val="26"/>
          <w:szCs w:val="26"/>
        </w:rPr>
        <w:t>E</w:t>
      </w:r>
      <w:r w:rsidRPr="00787A9E">
        <w:rPr>
          <w:sz w:val="26"/>
          <w:szCs w:val="26"/>
        </w:rPr>
        <w:t>ngineer</w:t>
      </w:r>
      <w:r w:rsidR="00A424DB">
        <w:rPr>
          <w:sz w:val="26"/>
          <w:szCs w:val="26"/>
        </w:rPr>
        <w:t>’</w:t>
      </w:r>
      <w:r w:rsidRPr="00787A9E">
        <w:rPr>
          <w:sz w:val="26"/>
          <w:szCs w:val="26"/>
        </w:rPr>
        <w:t xml:space="preserve">s </w:t>
      </w:r>
      <w:r w:rsidR="006C477C" w:rsidRPr="00787A9E">
        <w:rPr>
          <w:sz w:val="26"/>
          <w:szCs w:val="26"/>
        </w:rPr>
        <w:t>R</w:t>
      </w:r>
      <w:r w:rsidRPr="00787A9E">
        <w:rPr>
          <w:sz w:val="26"/>
          <w:szCs w:val="26"/>
        </w:rPr>
        <w:t>eport that a new water treatment plant or a new pipeline to an alternate water source cannot be constructed and operational prior to April 18, 2019.  Further, the Company reference</w:t>
      </w:r>
      <w:r w:rsidR="006C477C" w:rsidRPr="00787A9E">
        <w:rPr>
          <w:sz w:val="26"/>
          <w:szCs w:val="26"/>
        </w:rPr>
        <w:t>d</w:t>
      </w:r>
      <w:r w:rsidRPr="00787A9E">
        <w:rPr>
          <w:sz w:val="26"/>
          <w:szCs w:val="26"/>
        </w:rPr>
        <w:t xml:space="preserve"> the following </w:t>
      </w:r>
      <w:r w:rsidRPr="00787A9E">
        <w:rPr>
          <w:sz w:val="26"/>
          <w:szCs w:val="26"/>
        </w:rPr>
        <w:lastRenderedPageBreak/>
        <w:t xml:space="preserve">statement contained in the </w:t>
      </w:r>
      <w:r w:rsidRPr="00787A9E">
        <w:rPr>
          <w:i/>
          <w:sz w:val="26"/>
          <w:szCs w:val="26"/>
        </w:rPr>
        <w:t xml:space="preserve">January 2018 </w:t>
      </w:r>
      <w:r w:rsidR="006C477C" w:rsidRPr="00787A9E">
        <w:rPr>
          <w:i/>
          <w:sz w:val="26"/>
          <w:szCs w:val="26"/>
        </w:rPr>
        <w:t xml:space="preserve">McCloskey </w:t>
      </w:r>
      <w:r w:rsidRPr="00787A9E">
        <w:rPr>
          <w:i/>
          <w:sz w:val="26"/>
          <w:szCs w:val="26"/>
        </w:rPr>
        <w:t>Order</w:t>
      </w:r>
      <w:r w:rsidRPr="00787A9E">
        <w:rPr>
          <w:sz w:val="26"/>
          <w:szCs w:val="26"/>
        </w:rPr>
        <w:t xml:space="preserve"> pertaining to the one-year deadline for implementing the corrective measures: </w:t>
      </w:r>
      <w:r w:rsidR="00A424DB">
        <w:rPr>
          <w:sz w:val="26"/>
          <w:szCs w:val="26"/>
        </w:rPr>
        <w:t>“</w:t>
      </w:r>
      <w:r w:rsidRPr="00787A9E">
        <w:rPr>
          <w:sz w:val="26"/>
          <w:szCs w:val="26"/>
        </w:rPr>
        <w:t>If additional time is deemed critical, the Company may petition the Commission for relief to modify the deadline pursuant to Section 5.572(d) of the Code.</w:t>
      </w:r>
      <w:r w:rsidR="00A424DB">
        <w:rPr>
          <w:sz w:val="26"/>
          <w:szCs w:val="26"/>
        </w:rPr>
        <w:t>”</w:t>
      </w:r>
      <w:r w:rsidRPr="00787A9E">
        <w:rPr>
          <w:sz w:val="26"/>
          <w:szCs w:val="26"/>
        </w:rPr>
        <w:t xml:space="preserve">  </w:t>
      </w:r>
      <w:r w:rsidR="00221B21" w:rsidRPr="00787A9E">
        <w:rPr>
          <w:i/>
          <w:sz w:val="26"/>
          <w:szCs w:val="26"/>
        </w:rPr>
        <w:t>January 2019 McCloskey Order</w:t>
      </w:r>
      <w:r w:rsidR="006C477C" w:rsidRPr="00787A9E">
        <w:rPr>
          <w:sz w:val="26"/>
          <w:szCs w:val="26"/>
        </w:rPr>
        <w:t xml:space="preserve"> at 20-21, citing </w:t>
      </w:r>
      <w:r w:rsidRPr="00787A9E">
        <w:rPr>
          <w:sz w:val="26"/>
          <w:szCs w:val="26"/>
        </w:rPr>
        <w:t xml:space="preserve">Second Petition at 6 (quoting </w:t>
      </w:r>
      <w:r w:rsidRPr="00787A9E">
        <w:rPr>
          <w:i/>
          <w:sz w:val="26"/>
          <w:szCs w:val="26"/>
        </w:rPr>
        <w:t xml:space="preserve">January 2018 Order </w:t>
      </w:r>
      <w:r w:rsidRPr="00787A9E">
        <w:rPr>
          <w:sz w:val="26"/>
          <w:szCs w:val="26"/>
        </w:rPr>
        <w:t>at 31).</w:t>
      </w:r>
    </w:p>
    <w:p w14:paraId="2EC0BF11" w14:textId="77777777" w:rsidR="00CE67F5" w:rsidRPr="00787A9E" w:rsidRDefault="00CE67F5" w:rsidP="00FD1A00">
      <w:pPr>
        <w:ind w:firstLine="1440"/>
        <w:contextualSpacing/>
        <w:rPr>
          <w:sz w:val="26"/>
          <w:szCs w:val="26"/>
        </w:rPr>
      </w:pPr>
    </w:p>
    <w:p w14:paraId="336EBC5A" w14:textId="6EF68B11" w:rsidR="004A6C33" w:rsidRPr="00787A9E" w:rsidRDefault="00CE67F5" w:rsidP="00FD1A00">
      <w:pPr>
        <w:pStyle w:val="Heading1"/>
        <w:ind w:firstLine="1440"/>
        <w:contextualSpacing/>
        <w:jc w:val="left"/>
        <w:rPr>
          <w:b w:val="0"/>
        </w:rPr>
      </w:pPr>
      <w:r w:rsidRPr="00787A9E">
        <w:rPr>
          <w:b w:val="0"/>
        </w:rPr>
        <w:t xml:space="preserve">According to the Company, it is significant that HVUS filed its Second Petition more than five months prior to the deadline established in the </w:t>
      </w:r>
      <w:r w:rsidRPr="00787A9E">
        <w:rPr>
          <w:b w:val="0"/>
          <w:i/>
        </w:rPr>
        <w:t xml:space="preserve">January 2018 </w:t>
      </w:r>
      <w:r w:rsidR="00301137" w:rsidRPr="00787A9E">
        <w:rPr>
          <w:b w:val="0"/>
          <w:i/>
        </w:rPr>
        <w:t xml:space="preserve">McCloskey </w:t>
      </w:r>
      <w:r w:rsidRPr="00787A9E">
        <w:rPr>
          <w:b w:val="0"/>
          <w:i/>
        </w:rPr>
        <w:t>Order</w:t>
      </w:r>
      <w:r w:rsidRPr="00787A9E">
        <w:rPr>
          <w:b w:val="0"/>
        </w:rPr>
        <w:t xml:space="preserve">.  Moreover, the Company averred it </w:t>
      </w:r>
      <w:r w:rsidR="00097A44" w:rsidRPr="00787A9E">
        <w:rPr>
          <w:b w:val="0"/>
        </w:rPr>
        <w:t xml:space="preserve">was </w:t>
      </w:r>
      <w:r w:rsidRPr="00787A9E">
        <w:rPr>
          <w:b w:val="0"/>
        </w:rPr>
        <w:t xml:space="preserve">making a good faith effort to comply with the </w:t>
      </w:r>
      <w:r w:rsidRPr="00787A9E">
        <w:rPr>
          <w:b w:val="0"/>
          <w:i/>
        </w:rPr>
        <w:t>January 2018 McCloskey Order</w:t>
      </w:r>
      <w:r w:rsidRPr="00787A9E">
        <w:rPr>
          <w:b w:val="0"/>
        </w:rPr>
        <w:t xml:space="preserve"> and the </w:t>
      </w:r>
      <w:r w:rsidRPr="00787A9E">
        <w:rPr>
          <w:b w:val="0"/>
          <w:i/>
        </w:rPr>
        <w:t>May 2018 McCloskey Order</w:t>
      </w:r>
      <w:r w:rsidRPr="00787A9E">
        <w:rPr>
          <w:b w:val="0"/>
        </w:rPr>
        <w:t>.  The Company submitted that it has filed status reports every sixty days, as required by Ordering Paragraph No. 17, and those reports indicate that the Company has met the deadlines established in the Order, as of the date of its Second Petition.</w:t>
      </w:r>
      <w:r w:rsidRPr="00787A9E">
        <w:rPr>
          <w:rStyle w:val="FootnoteReference"/>
          <w:b w:val="0"/>
        </w:rPr>
        <w:footnoteReference w:id="14"/>
      </w:r>
      <w:r w:rsidRPr="00787A9E">
        <w:rPr>
          <w:b w:val="0"/>
        </w:rPr>
        <w:t xml:space="preserve">  Additionally, the Company reiterated that its management is meeting with its engineer to select the best option for HVUS.  The Company further submitted that its management has also filed </w:t>
      </w:r>
      <w:r w:rsidR="00A22E24" w:rsidRPr="00787A9E">
        <w:rPr>
          <w:b w:val="0"/>
        </w:rPr>
        <w:t xml:space="preserve">the instant </w:t>
      </w:r>
      <w:r w:rsidRPr="00787A9E">
        <w:rPr>
          <w:b w:val="0"/>
        </w:rPr>
        <w:t xml:space="preserve">rate case to enable it to fund the extensive improvements required by the </w:t>
      </w:r>
      <w:r w:rsidRPr="00787A9E">
        <w:rPr>
          <w:b w:val="0"/>
          <w:i/>
        </w:rPr>
        <w:t>McCloskey Orders,</w:t>
      </w:r>
      <w:r w:rsidRPr="00787A9E">
        <w:rPr>
          <w:b w:val="0"/>
        </w:rPr>
        <w:t xml:space="preserve"> </w:t>
      </w:r>
      <w:r w:rsidR="005C23C7" w:rsidRPr="00787A9E">
        <w:rPr>
          <w:b w:val="0"/>
          <w:i/>
        </w:rPr>
        <w:t>January 2019</w:t>
      </w:r>
      <w:r w:rsidRPr="00787A9E">
        <w:rPr>
          <w:b w:val="0"/>
          <w:i/>
        </w:rPr>
        <w:t xml:space="preserve"> McCloskey Order</w:t>
      </w:r>
      <w:r w:rsidRPr="00787A9E">
        <w:rPr>
          <w:b w:val="0"/>
        </w:rPr>
        <w:t xml:space="preserve"> at 21 </w:t>
      </w:r>
      <w:r w:rsidR="00097A44" w:rsidRPr="00787A9E">
        <w:rPr>
          <w:b w:val="0"/>
        </w:rPr>
        <w:t>(</w:t>
      </w:r>
      <w:r w:rsidRPr="00787A9E">
        <w:rPr>
          <w:b w:val="0"/>
        </w:rPr>
        <w:t>citing Second Petition at 7</w:t>
      </w:r>
      <w:r w:rsidR="00097A44" w:rsidRPr="00787A9E">
        <w:rPr>
          <w:b w:val="0"/>
        </w:rPr>
        <w:t>)</w:t>
      </w:r>
      <w:r w:rsidRPr="00787A9E">
        <w:rPr>
          <w:b w:val="0"/>
        </w:rPr>
        <w:t>.</w:t>
      </w:r>
    </w:p>
    <w:p w14:paraId="3A3CA5FB" w14:textId="77777777" w:rsidR="00AA454B" w:rsidRPr="00787A9E" w:rsidRDefault="00AA454B" w:rsidP="00FD1A00">
      <w:pPr>
        <w:contextualSpacing/>
        <w:rPr>
          <w:sz w:val="26"/>
          <w:szCs w:val="26"/>
        </w:rPr>
      </w:pPr>
    </w:p>
    <w:p w14:paraId="43B86D7E" w14:textId="70B293FE" w:rsidR="00AA454B" w:rsidRPr="00787A9E" w:rsidRDefault="004E4543" w:rsidP="00FD1A00">
      <w:pPr>
        <w:ind w:right="72" w:firstLine="1440"/>
        <w:contextualSpacing/>
        <w:textAlignment w:val="baseline"/>
        <w:rPr>
          <w:color w:val="000000"/>
          <w:spacing w:val="7"/>
          <w:sz w:val="26"/>
          <w:szCs w:val="26"/>
        </w:rPr>
      </w:pPr>
      <w:r>
        <w:rPr>
          <w:sz w:val="26"/>
          <w:szCs w:val="26"/>
        </w:rPr>
        <w:t xml:space="preserve">We </w:t>
      </w:r>
      <w:r w:rsidR="00AA454B" w:rsidRPr="00787A9E">
        <w:rPr>
          <w:color w:val="000000"/>
          <w:spacing w:val="3"/>
          <w:sz w:val="26"/>
          <w:szCs w:val="26"/>
        </w:rPr>
        <w:t xml:space="preserve">declined to exercise </w:t>
      </w:r>
      <w:r>
        <w:rPr>
          <w:color w:val="000000"/>
          <w:spacing w:val="3"/>
          <w:sz w:val="26"/>
          <w:szCs w:val="26"/>
        </w:rPr>
        <w:t>our</w:t>
      </w:r>
      <w:r w:rsidR="00097A44" w:rsidRPr="00787A9E">
        <w:rPr>
          <w:color w:val="000000"/>
          <w:spacing w:val="3"/>
          <w:sz w:val="26"/>
          <w:szCs w:val="26"/>
        </w:rPr>
        <w:t xml:space="preserve"> </w:t>
      </w:r>
      <w:r w:rsidR="00AA454B" w:rsidRPr="00787A9E">
        <w:rPr>
          <w:color w:val="000000"/>
          <w:spacing w:val="3"/>
          <w:sz w:val="26"/>
          <w:szCs w:val="26"/>
        </w:rPr>
        <w:t xml:space="preserve">discretion to amend the </w:t>
      </w:r>
      <w:r w:rsidR="00AA454B" w:rsidRPr="00787A9E">
        <w:rPr>
          <w:i/>
          <w:color w:val="000000"/>
          <w:spacing w:val="3"/>
          <w:sz w:val="26"/>
          <w:szCs w:val="26"/>
        </w:rPr>
        <w:t>May 2018 McCloskey Order</w:t>
      </w:r>
      <w:r w:rsidR="00AA454B" w:rsidRPr="00787A9E">
        <w:rPr>
          <w:color w:val="000000"/>
          <w:spacing w:val="3"/>
          <w:sz w:val="26"/>
          <w:szCs w:val="26"/>
        </w:rPr>
        <w:t>.  As to the Company</w:t>
      </w:r>
      <w:r w:rsidR="00A424DB">
        <w:rPr>
          <w:color w:val="000000"/>
          <w:spacing w:val="3"/>
          <w:sz w:val="26"/>
          <w:szCs w:val="26"/>
        </w:rPr>
        <w:t>’</w:t>
      </w:r>
      <w:r w:rsidR="00AA454B" w:rsidRPr="00787A9E">
        <w:rPr>
          <w:color w:val="000000"/>
          <w:spacing w:val="3"/>
          <w:sz w:val="26"/>
          <w:szCs w:val="26"/>
        </w:rPr>
        <w:t xml:space="preserve">s first argument, we noted that the Company previously raised objections to the one-year deadline.  </w:t>
      </w:r>
      <w:r>
        <w:rPr>
          <w:color w:val="000000"/>
          <w:spacing w:val="3"/>
          <w:sz w:val="26"/>
          <w:szCs w:val="26"/>
        </w:rPr>
        <w:t>We</w:t>
      </w:r>
      <w:r w:rsidR="00B92A63" w:rsidRPr="00787A9E">
        <w:rPr>
          <w:color w:val="000000"/>
          <w:spacing w:val="7"/>
          <w:sz w:val="26"/>
          <w:szCs w:val="26"/>
        </w:rPr>
        <w:t xml:space="preserve"> </w:t>
      </w:r>
      <w:r w:rsidR="00AA454B" w:rsidRPr="00787A9E">
        <w:rPr>
          <w:color w:val="000000"/>
          <w:spacing w:val="7"/>
          <w:sz w:val="26"/>
          <w:szCs w:val="26"/>
        </w:rPr>
        <w:t xml:space="preserve">stated that in </w:t>
      </w:r>
      <w:r w:rsidR="00B92A63" w:rsidRPr="00787A9E">
        <w:rPr>
          <w:color w:val="000000"/>
          <w:spacing w:val="7"/>
          <w:sz w:val="26"/>
          <w:szCs w:val="26"/>
        </w:rPr>
        <w:t xml:space="preserve">the </w:t>
      </w:r>
      <w:r w:rsidR="00AA454B" w:rsidRPr="00787A9E">
        <w:rPr>
          <w:i/>
          <w:color w:val="000000"/>
          <w:spacing w:val="7"/>
          <w:sz w:val="26"/>
          <w:szCs w:val="26"/>
        </w:rPr>
        <w:t>January 2018 McCloskey Order</w:t>
      </w:r>
      <w:r w:rsidR="00AA454B" w:rsidRPr="00787A9E">
        <w:rPr>
          <w:color w:val="000000"/>
          <w:spacing w:val="7"/>
          <w:sz w:val="26"/>
          <w:szCs w:val="26"/>
        </w:rPr>
        <w:t xml:space="preserve">, </w:t>
      </w:r>
      <w:r w:rsidR="00A343A9">
        <w:rPr>
          <w:color w:val="000000"/>
          <w:spacing w:val="7"/>
          <w:sz w:val="26"/>
          <w:szCs w:val="26"/>
        </w:rPr>
        <w:t>we</w:t>
      </w:r>
      <w:r w:rsidR="00B92A63" w:rsidRPr="00787A9E">
        <w:rPr>
          <w:color w:val="000000"/>
          <w:spacing w:val="7"/>
          <w:sz w:val="26"/>
          <w:szCs w:val="26"/>
        </w:rPr>
        <w:t xml:space="preserve"> </w:t>
      </w:r>
      <w:r w:rsidR="00AA454B" w:rsidRPr="00787A9E">
        <w:rPr>
          <w:color w:val="000000"/>
          <w:spacing w:val="7"/>
          <w:sz w:val="26"/>
          <w:szCs w:val="26"/>
        </w:rPr>
        <w:t>rejected HVUS</w:t>
      </w:r>
      <w:r w:rsidR="00A424DB">
        <w:rPr>
          <w:color w:val="000000"/>
          <w:spacing w:val="7"/>
          <w:sz w:val="26"/>
          <w:szCs w:val="26"/>
        </w:rPr>
        <w:t>’</w:t>
      </w:r>
      <w:r w:rsidR="00AA454B" w:rsidRPr="00787A9E">
        <w:rPr>
          <w:color w:val="000000"/>
          <w:spacing w:val="7"/>
          <w:sz w:val="26"/>
          <w:szCs w:val="26"/>
        </w:rPr>
        <w:t>s Exception to the one-year deadline for the completion of projects to improve the Company</w:t>
      </w:r>
      <w:r w:rsidR="00A424DB">
        <w:rPr>
          <w:color w:val="000000"/>
          <w:spacing w:val="7"/>
          <w:sz w:val="26"/>
          <w:szCs w:val="26"/>
        </w:rPr>
        <w:t>’</w:t>
      </w:r>
      <w:r w:rsidR="00AA454B" w:rsidRPr="00787A9E">
        <w:rPr>
          <w:color w:val="000000"/>
          <w:spacing w:val="7"/>
          <w:sz w:val="26"/>
          <w:szCs w:val="26"/>
        </w:rPr>
        <w:t xml:space="preserve">s system.  In that Order, </w:t>
      </w:r>
      <w:r w:rsidR="00A343A9">
        <w:rPr>
          <w:color w:val="000000"/>
          <w:spacing w:val="7"/>
          <w:sz w:val="26"/>
          <w:szCs w:val="26"/>
        </w:rPr>
        <w:t>we</w:t>
      </w:r>
      <w:r w:rsidR="00B92A63" w:rsidRPr="00787A9E">
        <w:rPr>
          <w:color w:val="000000"/>
          <w:spacing w:val="7"/>
          <w:sz w:val="26"/>
          <w:szCs w:val="26"/>
        </w:rPr>
        <w:t xml:space="preserve"> </w:t>
      </w:r>
      <w:r w:rsidR="00AA454B" w:rsidRPr="00787A9E">
        <w:rPr>
          <w:color w:val="000000"/>
          <w:spacing w:val="7"/>
          <w:sz w:val="26"/>
          <w:szCs w:val="26"/>
        </w:rPr>
        <w:t>explained that:</w:t>
      </w:r>
    </w:p>
    <w:p w14:paraId="154D566A" w14:textId="77777777" w:rsidR="00AA454B" w:rsidRPr="00787A9E" w:rsidRDefault="00AA454B" w:rsidP="00FD1A00">
      <w:pPr>
        <w:ind w:left="72" w:right="72" w:firstLine="648"/>
        <w:contextualSpacing/>
        <w:jc w:val="both"/>
        <w:textAlignment w:val="baseline"/>
        <w:rPr>
          <w:color w:val="000000"/>
          <w:spacing w:val="7"/>
          <w:sz w:val="26"/>
          <w:szCs w:val="26"/>
        </w:rPr>
      </w:pPr>
    </w:p>
    <w:p w14:paraId="52F8D99A" w14:textId="77777777" w:rsidR="00AA454B" w:rsidRPr="00787A9E" w:rsidRDefault="00AA454B" w:rsidP="00FD1A00">
      <w:pPr>
        <w:spacing w:line="240" w:lineRule="auto"/>
        <w:ind w:left="1440" w:right="1440"/>
        <w:contextualSpacing/>
        <w:textAlignment w:val="baseline"/>
        <w:rPr>
          <w:color w:val="000000"/>
          <w:sz w:val="26"/>
          <w:szCs w:val="26"/>
        </w:rPr>
      </w:pPr>
      <w:r w:rsidRPr="00787A9E">
        <w:rPr>
          <w:color w:val="000000"/>
          <w:sz w:val="26"/>
          <w:szCs w:val="26"/>
        </w:rPr>
        <w:t xml:space="preserve">[D]ue to the extended time-period for compliance with the 2005 Settlement and the lack of resolution of the outstanding service problems, we believe there should be some mechanism for ensuring that further compliance deadlines are met.  Any failure to further comply with the deadlines set </w:t>
      </w:r>
    </w:p>
    <w:p w14:paraId="2FC0D285" w14:textId="0DC04387" w:rsidR="00AA454B" w:rsidRDefault="00AA454B" w:rsidP="00FD1A00">
      <w:pPr>
        <w:keepNext/>
        <w:keepLines/>
        <w:spacing w:line="240" w:lineRule="auto"/>
        <w:ind w:left="1440" w:right="1440"/>
        <w:contextualSpacing/>
        <w:textAlignment w:val="baseline"/>
        <w:rPr>
          <w:color w:val="000000"/>
          <w:sz w:val="26"/>
          <w:szCs w:val="26"/>
        </w:rPr>
      </w:pPr>
      <w:r w:rsidRPr="00787A9E">
        <w:rPr>
          <w:color w:val="000000"/>
          <w:sz w:val="26"/>
          <w:szCs w:val="26"/>
        </w:rPr>
        <w:t>forth in this Opinion and Order could be indicative of the Company</w:t>
      </w:r>
      <w:r w:rsidR="00A424DB">
        <w:rPr>
          <w:color w:val="000000"/>
          <w:sz w:val="26"/>
          <w:szCs w:val="26"/>
        </w:rPr>
        <w:t>’</w:t>
      </w:r>
      <w:r w:rsidRPr="00787A9E">
        <w:rPr>
          <w:color w:val="000000"/>
          <w:sz w:val="26"/>
          <w:szCs w:val="26"/>
        </w:rPr>
        <w:t>s lack of competency to operate and of the ability to provide reasonable and adequate service.</w:t>
      </w:r>
    </w:p>
    <w:p w14:paraId="3E292180" w14:textId="4AF70D6E" w:rsidR="00A343A9" w:rsidRDefault="00A343A9" w:rsidP="00FD1A00">
      <w:pPr>
        <w:keepNext/>
        <w:keepLines/>
        <w:spacing w:line="240" w:lineRule="auto"/>
        <w:ind w:left="1440" w:right="1440"/>
        <w:contextualSpacing/>
        <w:textAlignment w:val="baseline"/>
        <w:rPr>
          <w:color w:val="000000"/>
          <w:sz w:val="26"/>
          <w:szCs w:val="26"/>
        </w:rPr>
      </w:pPr>
    </w:p>
    <w:p w14:paraId="02CB1E50" w14:textId="77777777" w:rsidR="00A343A9" w:rsidRPr="00787A9E" w:rsidRDefault="00A343A9" w:rsidP="00FD1A00">
      <w:pPr>
        <w:keepNext/>
        <w:keepLines/>
        <w:spacing w:line="240" w:lineRule="auto"/>
        <w:ind w:left="1440" w:right="1440"/>
        <w:contextualSpacing/>
        <w:textAlignment w:val="baseline"/>
        <w:rPr>
          <w:color w:val="000000"/>
          <w:sz w:val="26"/>
          <w:szCs w:val="26"/>
        </w:rPr>
      </w:pPr>
    </w:p>
    <w:p w14:paraId="5AB5BEBA" w14:textId="37F2138C" w:rsidR="00AA454B" w:rsidRPr="00787A9E" w:rsidRDefault="000E65FF" w:rsidP="00FD1A00">
      <w:pPr>
        <w:ind w:left="72"/>
        <w:contextualSpacing/>
        <w:textAlignment w:val="baseline"/>
        <w:rPr>
          <w:color w:val="000000"/>
          <w:sz w:val="26"/>
          <w:szCs w:val="26"/>
        </w:rPr>
      </w:pPr>
      <w:r w:rsidRPr="00787A9E">
        <w:rPr>
          <w:i/>
          <w:color w:val="000000"/>
          <w:sz w:val="26"/>
          <w:szCs w:val="26"/>
        </w:rPr>
        <w:t>January 2019 Order McCloskey Order</w:t>
      </w:r>
      <w:r w:rsidRPr="00787A9E">
        <w:rPr>
          <w:color w:val="000000"/>
          <w:sz w:val="26"/>
          <w:szCs w:val="26"/>
        </w:rPr>
        <w:t xml:space="preserve"> at 27-28</w:t>
      </w:r>
      <w:r w:rsidR="00596AB7" w:rsidRPr="00787A9E">
        <w:rPr>
          <w:color w:val="000000"/>
          <w:sz w:val="26"/>
          <w:szCs w:val="26"/>
        </w:rPr>
        <w:t xml:space="preserve"> </w:t>
      </w:r>
      <w:r w:rsidR="00097A44" w:rsidRPr="00787A9E">
        <w:rPr>
          <w:color w:val="000000"/>
          <w:sz w:val="26"/>
          <w:szCs w:val="26"/>
        </w:rPr>
        <w:t>(</w:t>
      </w:r>
      <w:r w:rsidRPr="00787A9E">
        <w:rPr>
          <w:color w:val="000000"/>
          <w:sz w:val="26"/>
          <w:szCs w:val="26"/>
        </w:rPr>
        <w:t xml:space="preserve">citing </w:t>
      </w:r>
      <w:r w:rsidRPr="00787A9E">
        <w:rPr>
          <w:i/>
          <w:color w:val="000000"/>
          <w:sz w:val="26"/>
          <w:szCs w:val="26"/>
        </w:rPr>
        <w:t>January 2018 McCloskey Order</w:t>
      </w:r>
      <w:r w:rsidRPr="00787A9E">
        <w:rPr>
          <w:color w:val="000000"/>
          <w:sz w:val="26"/>
          <w:szCs w:val="26"/>
        </w:rPr>
        <w:t xml:space="preserve"> at</w:t>
      </w:r>
      <w:r w:rsidR="00A343A9">
        <w:rPr>
          <w:color w:val="000000"/>
          <w:sz w:val="26"/>
          <w:szCs w:val="26"/>
        </w:rPr>
        <w:t> </w:t>
      </w:r>
      <w:r w:rsidRPr="00787A9E">
        <w:rPr>
          <w:color w:val="000000"/>
          <w:sz w:val="26"/>
          <w:szCs w:val="26"/>
        </w:rPr>
        <w:t>31</w:t>
      </w:r>
      <w:r w:rsidR="00097A44" w:rsidRPr="00787A9E">
        <w:rPr>
          <w:color w:val="000000"/>
          <w:sz w:val="26"/>
          <w:szCs w:val="26"/>
        </w:rPr>
        <w:t>)</w:t>
      </w:r>
      <w:r w:rsidRPr="00787A9E">
        <w:rPr>
          <w:color w:val="000000"/>
          <w:sz w:val="26"/>
          <w:szCs w:val="26"/>
        </w:rPr>
        <w:t xml:space="preserve">.  </w:t>
      </w:r>
      <w:r w:rsidR="00A343A9">
        <w:rPr>
          <w:color w:val="000000"/>
          <w:sz w:val="26"/>
          <w:szCs w:val="26"/>
        </w:rPr>
        <w:t>We f</w:t>
      </w:r>
      <w:r w:rsidR="00AA454B" w:rsidRPr="00787A9E">
        <w:rPr>
          <w:color w:val="000000"/>
          <w:sz w:val="26"/>
          <w:szCs w:val="26"/>
        </w:rPr>
        <w:t>urther emphasized:</w:t>
      </w:r>
    </w:p>
    <w:p w14:paraId="0962DC1C" w14:textId="77777777" w:rsidR="00AA454B" w:rsidRPr="00787A9E" w:rsidRDefault="00AA454B" w:rsidP="00FD1A00">
      <w:pPr>
        <w:ind w:left="72"/>
        <w:contextualSpacing/>
        <w:textAlignment w:val="baseline"/>
        <w:rPr>
          <w:color w:val="000000"/>
          <w:sz w:val="26"/>
          <w:szCs w:val="26"/>
        </w:rPr>
      </w:pPr>
    </w:p>
    <w:p w14:paraId="30A2DF49" w14:textId="580FFE67" w:rsidR="00AA454B" w:rsidRPr="00787A9E" w:rsidRDefault="00AA454B" w:rsidP="00FD1A00">
      <w:pPr>
        <w:spacing w:line="240" w:lineRule="auto"/>
        <w:ind w:left="1440" w:right="1440"/>
        <w:contextualSpacing/>
        <w:textAlignment w:val="baseline"/>
        <w:rPr>
          <w:color w:val="000000"/>
          <w:sz w:val="26"/>
          <w:szCs w:val="26"/>
        </w:rPr>
      </w:pPr>
      <w:r w:rsidRPr="00787A9E">
        <w:rPr>
          <w:color w:val="000000"/>
          <w:sz w:val="26"/>
          <w:szCs w:val="26"/>
        </w:rPr>
        <w:t>It is apparent that the Company</w:t>
      </w:r>
      <w:r w:rsidR="00A424DB">
        <w:rPr>
          <w:color w:val="000000"/>
          <w:sz w:val="26"/>
          <w:szCs w:val="26"/>
        </w:rPr>
        <w:t>’</w:t>
      </w:r>
      <w:r w:rsidRPr="00787A9E">
        <w:rPr>
          <w:color w:val="000000"/>
          <w:sz w:val="26"/>
          <w:szCs w:val="26"/>
        </w:rPr>
        <w:t xml:space="preserve"> customers have been suffering from poor water quality and unreasonable service for years.  Any subsequent delays in failing to remediate the problems due to the failure to meet compliance deadlines would be unacceptable.  The one-year deadline for implementing the corrective measures established in the engineer</w:t>
      </w:r>
      <w:r w:rsidR="00A424DB">
        <w:rPr>
          <w:color w:val="000000"/>
          <w:sz w:val="26"/>
          <w:szCs w:val="26"/>
        </w:rPr>
        <w:t>’</w:t>
      </w:r>
      <w:r w:rsidRPr="00787A9E">
        <w:rPr>
          <w:color w:val="000000"/>
          <w:sz w:val="26"/>
          <w:szCs w:val="26"/>
        </w:rPr>
        <w:t>s report sets an objective guideline for compliance.</w:t>
      </w:r>
    </w:p>
    <w:p w14:paraId="3C020CAA" w14:textId="5CE4BC26" w:rsidR="00B92A63" w:rsidRDefault="00B92A63" w:rsidP="00FD1A00">
      <w:pPr>
        <w:spacing w:line="240" w:lineRule="auto"/>
        <w:ind w:left="1440" w:right="1440"/>
        <w:contextualSpacing/>
        <w:textAlignment w:val="baseline"/>
        <w:rPr>
          <w:color w:val="000000"/>
          <w:sz w:val="26"/>
          <w:szCs w:val="26"/>
        </w:rPr>
      </w:pPr>
    </w:p>
    <w:p w14:paraId="4E12D2EC" w14:textId="77777777" w:rsidR="00A343A9" w:rsidRPr="00787A9E" w:rsidRDefault="00A343A9" w:rsidP="00FD1A00">
      <w:pPr>
        <w:spacing w:line="240" w:lineRule="auto"/>
        <w:ind w:left="1440" w:right="1440"/>
        <w:contextualSpacing/>
        <w:textAlignment w:val="baseline"/>
        <w:rPr>
          <w:color w:val="000000"/>
          <w:sz w:val="26"/>
          <w:szCs w:val="26"/>
        </w:rPr>
      </w:pPr>
    </w:p>
    <w:p w14:paraId="735CC770" w14:textId="729A89A9" w:rsidR="00616F32" w:rsidRPr="00787A9E" w:rsidRDefault="00AA454B" w:rsidP="00FD1A00">
      <w:pPr>
        <w:contextualSpacing/>
        <w:textAlignment w:val="baseline"/>
        <w:rPr>
          <w:i/>
          <w:sz w:val="26"/>
          <w:szCs w:val="26"/>
        </w:rPr>
      </w:pPr>
      <w:r w:rsidRPr="00787A9E">
        <w:rPr>
          <w:i/>
          <w:color w:val="000000"/>
          <w:sz w:val="26"/>
          <w:szCs w:val="26"/>
        </w:rPr>
        <w:t>January 2019 McCloskey Order</w:t>
      </w:r>
      <w:r w:rsidRPr="00787A9E">
        <w:rPr>
          <w:color w:val="000000"/>
          <w:sz w:val="26"/>
          <w:szCs w:val="26"/>
        </w:rPr>
        <w:t xml:space="preserve"> </w:t>
      </w:r>
      <w:r w:rsidR="000E65FF" w:rsidRPr="00787A9E">
        <w:rPr>
          <w:color w:val="000000"/>
          <w:sz w:val="26"/>
          <w:szCs w:val="26"/>
        </w:rPr>
        <w:t xml:space="preserve">at </w:t>
      </w:r>
      <w:r w:rsidRPr="00787A9E">
        <w:rPr>
          <w:color w:val="000000"/>
          <w:sz w:val="26"/>
          <w:szCs w:val="26"/>
        </w:rPr>
        <w:t xml:space="preserve">28 (citing </w:t>
      </w:r>
      <w:r w:rsidRPr="00787A9E">
        <w:rPr>
          <w:i/>
          <w:color w:val="000000"/>
          <w:sz w:val="26"/>
          <w:szCs w:val="26"/>
        </w:rPr>
        <w:t>January 2018 McCloskey Order</w:t>
      </w:r>
      <w:r w:rsidRPr="00787A9E">
        <w:rPr>
          <w:color w:val="000000"/>
          <w:sz w:val="26"/>
          <w:szCs w:val="26"/>
        </w:rPr>
        <w:t xml:space="preserve"> at 31).</w:t>
      </w:r>
      <w:r w:rsidR="00616F32" w:rsidRPr="00787A9E">
        <w:rPr>
          <w:color w:val="000000"/>
          <w:sz w:val="26"/>
          <w:szCs w:val="26"/>
        </w:rPr>
        <w:t xml:space="preserve">  </w:t>
      </w:r>
      <w:r w:rsidR="00B92A63" w:rsidRPr="00787A9E">
        <w:rPr>
          <w:color w:val="000000"/>
          <w:sz w:val="26"/>
          <w:szCs w:val="26"/>
        </w:rPr>
        <w:t>The Commission</w:t>
      </w:r>
      <w:r w:rsidR="00616F32" w:rsidRPr="00787A9E">
        <w:rPr>
          <w:color w:val="000000"/>
          <w:sz w:val="26"/>
          <w:szCs w:val="26"/>
        </w:rPr>
        <w:t xml:space="preserve"> also pointed out that in its First Petition seeking clarification of the </w:t>
      </w:r>
      <w:r w:rsidR="00616F32" w:rsidRPr="00787A9E">
        <w:rPr>
          <w:i/>
          <w:color w:val="000000"/>
          <w:sz w:val="26"/>
          <w:szCs w:val="26"/>
        </w:rPr>
        <w:t>January 2018 McCloskey Order</w:t>
      </w:r>
      <w:r w:rsidR="00616F32" w:rsidRPr="00787A9E">
        <w:rPr>
          <w:color w:val="000000"/>
          <w:sz w:val="26"/>
          <w:szCs w:val="26"/>
        </w:rPr>
        <w:t xml:space="preserve">, the Company did not specifically object to the one-year compliance deadline and that the Company indicated that the deadline would not be problematic stating </w:t>
      </w:r>
      <w:r w:rsidR="00A424DB">
        <w:rPr>
          <w:color w:val="000000"/>
          <w:sz w:val="26"/>
          <w:szCs w:val="26"/>
        </w:rPr>
        <w:t>“</w:t>
      </w:r>
      <w:r w:rsidR="00616F32" w:rsidRPr="00787A9E">
        <w:rPr>
          <w:color w:val="000000"/>
          <w:sz w:val="26"/>
          <w:szCs w:val="26"/>
        </w:rPr>
        <w:t>[T]he Company is confident that it has already taken many of the steps that would be outlined in any engineering report evaluating the water or wastewater system.  For those measures that HVUS has undertaken already, the one-year deadline would be moot.</w:t>
      </w:r>
      <w:r w:rsidR="00A424DB">
        <w:rPr>
          <w:color w:val="000000"/>
          <w:sz w:val="26"/>
          <w:szCs w:val="26"/>
        </w:rPr>
        <w:t>”</w:t>
      </w:r>
      <w:r w:rsidR="00616F32" w:rsidRPr="00787A9E">
        <w:rPr>
          <w:color w:val="000000"/>
          <w:sz w:val="26"/>
          <w:szCs w:val="26"/>
        </w:rPr>
        <w:t xml:space="preserve">  </w:t>
      </w:r>
      <w:r w:rsidR="00616F32" w:rsidRPr="00787A9E">
        <w:rPr>
          <w:i/>
          <w:color w:val="000000"/>
          <w:sz w:val="26"/>
          <w:szCs w:val="26"/>
        </w:rPr>
        <w:t>January 2019 McCloskey Order</w:t>
      </w:r>
      <w:r w:rsidR="00616F32" w:rsidRPr="00787A9E">
        <w:rPr>
          <w:color w:val="000000"/>
          <w:sz w:val="26"/>
          <w:szCs w:val="26"/>
        </w:rPr>
        <w:t xml:space="preserve"> </w:t>
      </w:r>
      <w:r w:rsidR="00562CB0" w:rsidRPr="00787A9E">
        <w:rPr>
          <w:color w:val="000000"/>
          <w:sz w:val="26"/>
          <w:szCs w:val="26"/>
        </w:rPr>
        <w:t xml:space="preserve">at </w:t>
      </w:r>
      <w:r w:rsidR="00616F32" w:rsidRPr="00787A9E">
        <w:rPr>
          <w:color w:val="000000"/>
          <w:sz w:val="26"/>
          <w:szCs w:val="26"/>
        </w:rPr>
        <w:t>28 (citing First Petition at 3</w:t>
      </w:r>
      <w:r w:rsidR="00562CB0" w:rsidRPr="00787A9E">
        <w:rPr>
          <w:color w:val="000000"/>
          <w:sz w:val="26"/>
          <w:szCs w:val="26"/>
        </w:rPr>
        <w:t>)</w:t>
      </w:r>
      <w:r w:rsidR="00616F32" w:rsidRPr="00787A9E">
        <w:rPr>
          <w:color w:val="000000"/>
          <w:sz w:val="26"/>
          <w:szCs w:val="26"/>
        </w:rPr>
        <w:t xml:space="preserve">.  </w:t>
      </w:r>
      <w:r w:rsidR="00B92A63" w:rsidRPr="00787A9E">
        <w:rPr>
          <w:color w:val="000000"/>
          <w:sz w:val="26"/>
          <w:szCs w:val="26"/>
        </w:rPr>
        <w:t xml:space="preserve">The Commission </w:t>
      </w:r>
      <w:r w:rsidR="00562CB0" w:rsidRPr="00787A9E">
        <w:rPr>
          <w:color w:val="000000"/>
          <w:sz w:val="26"/>
          <w:szCs w:val="26"/>
        </w:rPr>
        <w:t xml:space="preserve">noted that </w:t>
      </w:r>
      <w:r w:rsidR="00931DC7" w:rsidRPr="00787A9E">
        <w:rPr>
          <w:color w:val="000000"/>
          <w:sz w:val="26"/>
          <w:szCs w:val="26"/>
        </w:rPr>
        <w:t>the Company</w:t>
      </w:r>
      <w:r w:rsidR="00616F32" w:rsidRPr="00787A9E">
        <w:rPr>
          <w:color w:val="000000"/>
          <w:sz w:val="26"/>
          <w:szCs w:val="26"/>
        </w:rPr>
        <w:t xml:space="preserve"> argued that the one-year compliance deadline was potentially ambiguous and subject to an alternate interpretation – that </w:t>
      </w:r>
      <w:r w:rsidR="00616F32" w:rsidRPr="00787A9E">
        <w:rPr>
          <w:sz w:val="26"/>
          <w:szCs w:val="26"/>
        </w:rPr>
        <w:t>HVUS would be required to comply with the recommendations contained in the engineer</w:t>
      </w:r>
      <w:r w:rsidR="00A424DB">
        <w:rPr>
          <w:sz w:val="26"/>
          <w:szCs w:val="26"/>
        </w:rPr>
        <w:t>’</w:t>
      </w:r>
      <w:r w:rsidR="00616F32" w:rsidRPr="00787A9E">
        <w:rPr>
          <w:sz w:val="26"/>
          <w:szCs w:val="26"/>
        </w:rPr>
        <w:t xml:space="preserve">s report based on </w:t>
      </w:r>
      <w:r w:rsidR="00616F32" w:rsidRPr="00787A9E">
        <w:rPr>
          <w:sz w:val="26"/>
          <w:szCs w:val="26"/>
        </w:rPr>
        <w:lastRenderedPageBreak/>
        <w:t xml:space="preserve">the timetables and deadlines for completion of the projects set forth in the </w:t>
      </w:r>
      <w:r w:rsidR="00B92A63" w:rsidRPr="00787A9E">
        <w:rPr>
          <w:sz w:val="26"/>
          <w:szCs w:val="26"/>
        </w:rPr>
        <w:t>Engineer</w:t>
      </w:r>
      <w:r w:rsidR="00A424DB">
        <w:rPr>
          <w:sz w:val="26"/>
          <w:szCs w:val="26"/>
        </w:rPr>
        <w:t>’</w:t>
      </w:r>
      <w:r w:rsidR="00B92A63" w:rsidRPr="00787A9E">
        <w:rPr>
          <w:sz w:val="26"/>
          <w:szCs w:val="26"/>
        </w:rPr>
        <w:t>s Report</w:t>
      </w:r>
      <w:r w:rsidR="00616F32" w:rsidRPr="00787A9E">
        <w:rPr>
          <w:sz w:val="26"/>
          <w:szCs w:val="26"/>
        </w:rPr>
        <w:t xml:space="preserve">.  </w:t>
      </w:r>
      <w:r w:rsidR="00A32B18" w:rsidRPr="00787A9E">
        <w:rPr>
          <w:i/>
          <w:color w:val="000000"/>
          <w:sz w:val="26"/>
          <w:szCs w:val="26"/>
        </w:rPr>
        <w:t>January 2019 McCloskey Order</w:t>
      </w:r>
      <w:r w:rsidR="00A32B18" w:rsidRPr="00787A9E">
        <w:rPr>
          <w:color w:val="000000"/>
          <w:sz w:val="26"/>
          <w:szCs w:val="26"/>
        </w:rPr>
        <w:t xml:space="preserve"> at 28</w:t>
      </w:r>
      <w:r w:rsidR="00A32B18">
        <w:rPr>
          <w:color w:val="000000"/>
          <w:sz w:val="26"/>
          <w:szCs w:val="26"/>
        </w:rPr>
        <w:t>.</w:t>
      </w:r>
    </w:p>
    <w:p w14:paraId="495BFE4F" w14:textId="77777777" w:rsidR="00562CB0" w:rsidRPr="00787A9E" w:rsidRDefault="00562CB0" w:rsidP="00FD1A00">
      <w:pPr>
        <w:ind w:left="72"/>
        <w:contextualSpacing/>
        <w:textAlignment w:val="baseline"/>
        <w:rPr>
          <w:color w:val="000000"/>
          <w:sz w:val="26"/>
          <w:szCs w:val="26"/>
        </w:rPr>
      </w:pPr>
    </w:p>
    <w:p w14:paraId="693808D2" w14:textId="30E2AC90" w:rsidR="00562CB0" w:rsidRPr="00787A9E" w:rsidRDefault="00562CB0" w:rsidP="00FD1A00">
      <w:pPr>
        <w:ind w:firstLine="1368"/>
        <w:contextualSpacing/>
        <w:textAlignment w:val="baseline"/>
        <w:rPr>
          <w:color w:val="000000"/>
          <w:sz w:val="26"/>
          <w:szCs w:val="26"/>
        </w:rPr>
      </w:pPr>
      <w:r w:rsidRPr="00787A9E">
        <w:rPr>
          <w:color w:val="000000"/>
          <w:sz w:val="26"/>
          <w:szCs w:val="26"/>
        </w:rPr>
        <w:t xml:space="preserve">Similarly, </w:t>
      </w:r>
      <w:r w:rsidR="00CE7A90">
        <w:rPr>
          <w:color w:val="000000"/>
          <w:sz w:val="26"/>
          <w:szCs w:val="26"/>
        </w:rPr>
        <w:t>we</w:t>
      </w:r>
      <w:r w:rsidR="00B92A63" w:rsidRPr="00787A9E">
        <w:rPr>
          <w:color w:val="000000"/>
          <w:sz w:val="26"/>
          <w:szCs w:val="26"/>
        </w:rPr>
        <w:t xml:space="preserve"> </w:t>
      </w:r>
      <w:r w:rsidRPr="00787A9E">
        <w:rPr>
          <w:color w:val="000000"/>
          <w:sz w:val="26"/>
          <w:szCs w:val="26"/>
        </w:rPr>
        <w:t xml:space="preserve">pointed out that in </w:t>
      </w:r>
      <w:r w:rsidR="00CE7A90">
        <w:rPr>
          <w:color w:val="000000"/>
          <w:sz w:val="26"/>
          <w:szCs w:val="26"/>
        </w:rPr>
        <w:t>our</w:t>
      </w:r>
      <w:r w:rsidR="00B92A63" w:rsidRPr="00787A9E">
        <w:rPr>
          <w:color w:val="000000"/>
          <w:sz w:val="26"/>
          <w:szCs w:val="26"/>
        </w:rPr>
        <w:t xml:space="preserve"> </w:t>
      </w:r>
      <w:r w:rsidRPr="00787A9E">
        <w:rPr>
          <w:i/>
          <w:color w:val="000000"/>
          <w:sz w:val="26"/>
          <w:szCs w:val="26"/>
        </w:rPr>
        <w:t>May 2018 McCloskey Order</w:t>
      </w:r>
      <w:r w:rsidRPr="00787A9E">
        <w:rPr>
          <w:color w:val="000000"/>
          <w:sz w:val="26"/>
          <w:szCs w:val="26"/>
        </w:rPr>
        <w:t xml:space="preserve">, </w:t>
      </w:r>
      <w:r w:rsidR="00CE7A90">
        <w:rPr>
          <w:color w:val="000000"/>
          <w:sz w:val="26"/>
          <w:szCs w:val="26"/>
        </w:rPr>
        <w:t>we</w:t>
      </w:r>
      <w:r w:rsidR="00B92A63" w:rsidRPr="00787A9E">
        <w:rPr>
          <w:color w:val="000000"/>
          <w:sz w:val="26"/>
          <w:szCs w:val="26"/>
        </w:rPr>
        <w:t xml:space="preserve"> </w:t>
      </w:r>
      <w:r w:rsidRPr="00787A9E">
        <w:rPr>
          <w:color w:val="000000"/>
          <w:sz w:val="26"/>
          <w:szCs w:val="26"/>
        </w:rPr>
        <w:t xml:space="preserve">rejected the alternate interpretation offered by the Company and reiterated that any improvements must be implemented within one-year of the </w:t>
      </w:r>
      <w:r w:rsidR="000824F8" w:rsidRPr="00787A9E">
        <w:rPr>
          <w:color w:val="000000"/>
          <w:sz w:val="26"/>
          <w:szCs w:val="26"/>
        </w:rPr>
        <w:t>E</w:t>
      </w:r>
      <w:r w:rsidRPr="00787A9E">
        <w:rPr>
          <w:color w:val="000000"/>
          <w:sz w:val="26"/>
          <w:szCs w:val="26"/>
        </w:rPr>
        <w:t>ngineer</w:t>
      </w:r>
      <w:r w:rsidR="00A424DB">
        <w:rPr>
          <w:color w:val="000000"/>
          <w:sz w:val="26"/>
          <w:szCs w:val="26"/>
        </w:rPr>
        <w:t>’</w:t>
      </w:r>
      <w:r w:rsidRPr="00787A9E">
        <w:rPr>
          <w:color w:val="000000"/>
          <w:sz w:val="26"/>
          <w:szCs w:val="26"/>
        </w:rPr>
        <w:t xml:space="preserve">s </w:t>
      </w:r>
      <w:r w:rsidR="000824F8" w:rsidRPr="00787A9E">
        <w:rPr>
          <w:color w:val="000000"/>
          <w:sz w:val="26"/>
          <w:szCs w:val="26"/>
        </w:rPr>
        <w:t>R</w:t>
      </w:r>
      <w:r w:rsidRPr="00787A9E">
        <w:rPr>
          <w:color w:val="000000"/>
          <w:sz w:val="26"/>
          <w:szCs w:val="26"/>
        </w:rPr>
        <w:t xml:space="preserve">eport.  </w:t>
      </w:r>
      <w:r w:rsidR="00CE7A90">
        <w:rPr>
          <w:color w:val="000000"/>
          <w:sz w:val="26"/>
          <w:szCs w:val="26"/>
        </w:rPr>
        <w:t xml:space="preserve">We </w:t>
      </w:r>
      <w:r w:rsidRPr="00787A9E">
        <w:rPr>
          <w:color w:val="000000"/>
          <w:sz w:val="26"/>
          <w:szCs w:val="26"/>
        </w:rPr>
        <w:t xml:space="preserve">stated that in making this determination, </w:t>
      </w:r>
      <w:r w:rsidR="00CE7A90">
        <w:rPr>
          <w:color w:val="000000"/>
          <w:sz w:val="26"/>
          <w:szCs w:val="26"/>
        </w:rPr>
        <w:t>we</w:t>
      </w:r>
      <w:r w:rsidR="00B92A63" w:rsidRPr="00787A9E">
        <w:rPr>
          <w:color w:val="000000"/>
          <w:sz w:val="26"/>
          <w:szCs w:val="26"/>
        </w:rPr>
        <w:t xml:space="preserve"> </w:t>
      </w:r>
      <w:r w:rsidRPr="00787A9E">
        <w:rPr>
          <w:color w:val="000000"/>
          <w:sz w:val="26"/>
          <w:szCs w:val="26"/>
        </w:rPr>
        <w:t xml:space="preserve">found that the Company provided no new or novel arguments or identified considerations which were overlooked in the </w:t>
      </w:r>
      <w:r w:rsidRPr="00787A9E">
        <w:rPr>
          <w:i/>
          <w:color w:val="000000"/>
          <w:sz w:val="26"/>
          <w:szCs w:val="26"/>
        </w:rPr>
        <w:t>January 2018 McCloskey Order</w:t>
      </w:r>
      <w:r w:rsidRPr="00787A9E">
        <w:rPr>
          <w:color w:val="000000"/>
          <w:sz w:val="26"/>
          <w:szCs w:val="26"/>
        </w:rPr>
        <w:t xml:space="preserve">.  However, in order to avoid any possible confusion, </w:t>
      </w:r>
      <w:r w:rsidR="00CE7A90">
        <w:rPr>
          <w:color w:val="000000"/>
          <w:sz w:val="26"/>
          <w:szCs w:val="26"/>
        </w:rPr>
        <w:t>we</w:t>
      </w:r>
      <w:r w:rsidR="00B92A63" w:rsidRPr="00787A9E">
        <w:rPr>
          <w:color w:val="000000"/>
          <w:sz w:val="26"/>
          <w:szCs w:val="26"/>
        </w:rPr>
        <w:t xml:space="preserve"> </w:t>
      </w:r>
      <w:r w:rsidRPr="00787A9E">
        <w:rPr>
          <w:color w:val="000000"/>
          <w:sz w:val="26"/>
          <w:szCs w:val="26"/>
        </w:rPr>
        <w:t xml:space="preserve">clarified Ordering Paragraph No. 8 of the </w:t>
      </w:r>
      <w:r w:rsidRPr="00787A9E">
        <w:rPr>
          <w:i/>
          <w:color w:val="000000"/>
          <w:sz w:val="26"/>
          <w:szCs w:val="26"/>
        </w:rPr>
        <w:t>May 2018 McCloskey Order</w:t>
      </w:r>
      <w:r w:rsidRPr="00787A9E">
        <w:rPr>
          <w:color w:val="000000"/>
          <w:sz w:val="26"/>
          <w:szCs w:val="26"/>
        </w:rPr>
        <w:t xml:space="preserve"> to emphasize that the proposed improvements must be completed within one-year of the </w:t>
      </w:r>
      <w:r w:rsidR="00BC5758">
        <w:rPr>
          <w:color w:val="000000"/>
          <w:sz w:val="26"/>
          <w:szCs w:val="26"/>
        </w:rPr>
        <w:t>E</w:t>
      </w:r>
      <w:r w:rsidRPr="00787A9E">
        <w:rPr>
          <w:color w:val="000000"/>
          <w:sz w:val="26"/>
          <w:szCs w:val="26"/>
        </w:rPr>
        <w:t>ngineer</w:t>
      </w:r>
      <w:r w:rsidR="00A424DB">
        <w:rPr>
          <w:color w:val="000000"/>
          <w:sz w:val="26"/>
          <w:szCs w:val="26"/>
        </w:rPr>
        <w:t>’</w:t>
      </w:r>
      <w:r w:rsidRPr="00787A9E">
        <w:rPr>
          <w:color w:val="000000"/>
          <w:sz w:val="26"/>
          <w:szCs w:val="26"/>
        </w:rPr>
        <w:t xml:space="preserve">s </w:t>
      </w:r>
      <w:r w:rsidR="00BC5758">
        <w:rPr>
          <w:color w:val="000000"/>
          <w:sz w:val="26"/>
          <w:szCs w:val="26"/>
        </w:rPr>
        <w:t>R</w:t>
      </w:r>
      <w:r w:rsidRPr="00787A9E">
        <w:rPr>
          <w:color w:val="000000"/>
          <w:sz w:val="26"/>
          <w:szCs w:val="26"/>
        </w:rPr>
        <w:t xml:space="preserve">eport.  </w:t>
      </w:r>
      <w:r w:rsidRPr="00787A9E">
        <w:rPr>
          <w:i/>
          <w:color w:val="000000"/>
          <w:sz w:val="26"/>
          <w:szCs w:val="26"/>
        </w:rPr>
        <w:t>January 2019 McCloskey Order</w:t>
      </w:r>
      <w:r w:rsidRPr="00787A9E">
        <w:rPr>
          <w:color w:val="000000"/>
          <w:sz w:val="26"/>
          <w:szCs w:val="26"/>
        </w:rPr>
        <w:t xml:space="preserve"> at 28</w:t>
      </w:r>
      <w:r w:rsidR="00843F0A" w:rsidRPr="00787A9E">
        <w:rPr>
          <w:color w:val="000000"/>
          <w:sz w:val="26"/>
          <w:szCs w:val="26"/>
        </w:rPr>
        <w:t xml:space="preserve"> </w:t>
      </w:r>
      <w:r w:rsidR="00097A44" w:rsidRPr="00787A9E">
        <w:rPr>
          <w:color w:val="000000"/>
          <w:sz w:val="26"/>
          <w:szCs w:val="26"/>
        </w:rPr>
        <w:t>(</w:t>
      </w:r>
      <w:r w:rsidRPr="00787A9E">
        <w:rPr>
          <w:color w:val="000000"/>
          <w:sz w:val="26"/>
          <w:szCs w:val="26"/>
        </w:rPr>
        <w:t xml:space="preserve">citing </w:t>
      </w:r>
      <w:r w:rsidRPr="00787A9E">
        <w:rPr>
          <w:i/>
          <w:color w:val="000000"/>
          <w:sz w:val="26"/>
          <w:szCs w:val="26"/>
        </w:rPr>
        <w:t>May 2018 McCloskey Order</w:t>
      </w:r>
      <w:r w:rsidRPr="00787A9E">
        <w:rPr>
          <w:color w:val="000000"/>
          <w:sz w:val="26"/>
          <w:szCs w:val="26"/>
        </w:rPr>
        <w:t xml:space="preserve"> at 18</w:t>
      </w:r>
      <w:r w:rsidR="00097A44" w:rsidRPr="00787A9E">
        <w:rPr>
          <w:color w:val="000000"/>
          <w:sz w:val="26"/>
          <w:szCs w:val="26"/>
        </w:rPr>
        <w:t>)</w:t>
      </w:r>
      <w:r w:rsidR="00E91AB1" w:rsidRPr="00787A9E">
        <w:rPr>
          <w:color w:val="000000"/>
          <w:sz w:val="26"/>
          <w:szCs w:val="26"/>
        </w:rPr>
        <w:t>.</w:t>
      </w:r>
    </w:p>
    <w:p w14:paraId="25B73E40" w14:textId="77777777" w:rsidR="00E91AB1" w:rsidRPr="00787A9E" w:rsidRDefault="00E91AB1" w:rsidP="00FD1A00">
      <w:pPr>
        <w:ind w:firstLine="1368"/>
        <w:contextualSpacing/>
        <w:textAlignment w:val="baseline"/>
        <w:rPr>
          <w:color w:val="000000"/>
          <w:sz w:val="26"/>
          <w:szCs w:val="26"/>
        </w:rPr>
      </w:pPr>
    </w:p>
    <w:p w14:paraId="01DBEE8D" w14:textId="6C8D3C32" w:rsidR="00E91AB1" w:rsidRPr="00787A9E" w:rsidRDefault="00E91AB1" w:rsidP="00FD1A00">
      <w:pPr>
        <w:ind w:firstLine="1368"/>
        <w:contextualSpacing/>
        <w:textAlignment w:val="baseline"/>
        <w:rPr>
          <w:color w:val="000000"/>
          <w:sz w:val="26"/>
          <w:szCs w:val="26"/>
        </w:rPr>
      </w:pPr>
      <w:r w:rsidRPr="00787A9E">
        <w:rPr>
          <w:color w:val="000000"/>
          <w:sz w:val="26"/>
          <w:szCs w:val="26"/>
        </w:rPr>
        <w:t xml:space="preserve">Therefore, </w:t>
      </w:r>
      <w:r w:rsidR="00CE7A90">
        <w:rPr>
          <w:color w:val="000000"/>
          <w:sz w:val="26"/>
          <w:szCs w:val="26"/>
        </w:rPr>
        <w:t>we</w:t>
      </w:r>
      <w:r w:rsidR="00B92A63" w:rsidRPr="00787A9E">
        <w:rPr>
          <w:color w:val="000000"/>
          <w:sz w:val="26"/>
          <w:szCs w:val="26"/>
        </w:rPr>
        <w:t xml:space="preserve"> </w:t>
      </w:r>
      <w:r w:rsidRPr="00787A9E">
        <w:rPr>
          <w:color w:val="000000"/>
          <w:sz w:val="26"/>
          <w:szCs w:val="26"/>
        </w:rPr>
        <w:t>clarified that the Petitioner</w:t>
      </w:r>
      <w:r w:rsidR="00A424DB">
        <w:rPr>
          <w:color w:val="000000"/>
          <w:sz w:val="26"/>
          <w:szCs w:val="26"/>
        </w:rPr>
        <w:t>’</w:t>
      </w:r>
      <w:r w:rsidRPr="00787A9E">
        <w:rPr>
          <w:color w:val="000000"/>
          <w:sz w:val="26"/>
          <w:szCs w:val="26"/>
        </w:rPr>
        <w:t xml:space="preserve">s argument that the one-year compliance deadline is arbitrary was clearly addressed and rejected in the </w:t>
      </w:r>
      <w:r w:rsidRPr="00787A9E">
        <w:rPr>
          <w:i/>
          <w:color w:val="000000"/>
          <w:sz w:val="26"/>
          <w:szCs w:val="26"/>
        </w:rPr>
        <w:t>January 2018 McCloskey Order</w:t>
      </w:r>
      <w:r w:rsidRPr="00787A9E">
        <w:rPr>
          <w:color w:val="000000"/>
          <w:sz w:val="26"/>
          <w:szCs w:val="26"/>
        </w:rPr>
        <w:t xml:space="preserve">.  </w:t>
      </w:r>
      <w:r w:rsidR="00CA3DF9">
        <w:rPr>
          <w:color w:val="000000"/>
          <w:sz w:val="26"/>
          <w:szCs w:val="26"/>
        </w:rPr>
        <w:t>We</w:t>
      </w:r>
      <w:r w:rsidR="00B92A63" w:rsidRPr="00787A9E">
        <w:rPr>
          <w:color w:val="000000"/>
          <w:sz w:val="26"/>
          <w:szCs w:val="26"/>
        </w:rPr>
        <w:t xml:space="preserve"> </w:t>
      </w:r>
      <w:r w:rsidRPr="00787A9E">
        <w:rPr>
          <w:color w:val="000000"/>
          <w:sz w:val="26"/>
          <w:szCs w:val="26"/>
        </w:rPr>
        <w:t xml:space="preserve">further noted that the Petitioner did not directly challenge the one-year compliance deadline in its First Petition but instead sought a clarification pertaining to a claimed alternate interpretation.  </w:t>
      </w:r>
      <w:r w:rsidR="00CA3DF9">
        <w:rPr>
          <w:color w:val="000000"/>
          <w:sz w:val="26"/>
          <w:szCs w:val="26"/>
        </w:rPr>
        <w:t>We</w:t>
      </w:r>
      <w:r w:rsidR="00B92A63" w:rsidRPr="00787A9E">
        <w:rPr>
          <w:color w:val="000000"/>
          <w:sz w:val="26"/>
          <w:szCs w:val="26"/>
        </w:rPr>
        <w:t xml:space="preserve"> </w:t>
      </w:r>
      <w:r w:rsidRPr="00787A9E">
        <w:rPr>
          <w:color w:val="000000"/>
          <w:sz w:val="26"/>
          <w:szCs w:val="26"/>
        </w:rPr>
        <w:t xml:space="preserve">rejected that alternate argument in the </w:t>
      </w:r>
      <w:r w:rsidRPr="00787A9E">
        <w:rPr>
          <w:i/>
          <w:color w:val="000000"/>
          <w:sz w:val="26"/>
          <w:szCs w:val="26"/>
        </w:rPr>
        <w:t xml:space="preserve">May 2018 McCloskey Order </w:t>
      </w:r>
      <w:r w:rsidRPr="00787A9E">
        <w:rPr>
          <w:color w:val="000000"/>
          <w:sz w:val="26"/>
          <w:szCs w:val="26"/>
        </w:rPr>
        <w:t xml:space="preserve">and reiterated the importance of the compliance deadline date.  </w:t>
      </w:r>
      <w:r w:rsidRPr="00787A9E">
        <w:rPr>
          <w:i/>
          <w:color w:val="000000"/>
          <w:sz w:val="26"/>
          <w:szCs w:val="26"/>
        </w:rPr>
        <w:t>January 2019 McCloskey Order</w:t>
      </w:r>
      <w:r w:rsidRPr="00787A9E">
        <w:rPr>
          <w:color w:val="000000"/>
          <w:sz w:val="26"/>
          <w:szCs w:val="26"/>
        </w:rPr>
        <w:t xml:space="preserve"> at 2</w:t>
      </w:r>
      <w:r w:rsidR="00AF5E57" w:rsidRPr="00787A9E">
        <w:rPr>
          <w:color w:val="000000"/>
          <w:sz w:val="26"/>
          <w:szCs w:val="26"/>
        </w:rPr>
        <w:t>9</w:t>
      </w:r>
      <w:r w:rsidRPr="00787A9E">
        <w:rPr>
          <w:color w:val="000000"/>
          <w:sz w:val="26"/>
          <w:szCs w:val="26"/>
        </w:rPr>
        <w:t>-</w:t>
      </w:r>
      <w:r w:rsidR="00AF5E57" w:rsidRPr="00787A9E">
        <w:rPr>
          <w:color w:val="000000"/>
          <w:sz w:val="26"/>
          <w:szCs w:val="26"/>
        </w:rPr>
        <w:t>30</w:t>
      </w:r>
      <w:r w:rsidRPr="00787A9E">
        <w:rPr>
          <w:color w:val="000000"/>
          <w:sz w:val="26"/>
          <w:szCs w:val="26"/>
        </w:rPr>
        <w:t>.</w:t>
      </w:r>
    </w:p>
    <w:p w14:paraId="6D5B4DC5" w14:textId="77777777" w:rsidR="00E91AB1" w:rsidRPr="00787A9E" w:rsidRDefault="00E91AB1" w:rsidP="00FD1A00">
      <w:pPr>
        <w:ind w:firstLine="1368"/>
        <w:contextualSpacing/>
        <w:textAlignment w:val="baseline"/>
        <w:rPr>
          <w:color w:val="000000"/>
          <w:sz w:val="26"/>
          <w:szCs w:val="26"/>
        </w:rPr>
      </w:pPr>
    </w:p>
    <w:p w14:paraId="62C36166" w14:textId="47E5EDB5" w:rsidR="00E91AB1" w:rsidRPr="00787A9E" w:rsidRDefault="00326880" w:rsidP="00FD1A00">
      <w:pPr>
        <w:ind w:firstLine="1440"/>
        <w:contextualSpacing/>
        <w:textAlignment w:val="baseline"/>
        <w:rPr>
          <w:color w:val="000000"/>
          <w:sz w:val="26"/>
          <w:szCs w:val="26"/>
        </w:rPr>
      </w:pPr>
      <w:r w:rsidRPr="00787A9E">
        <w:rPr>
          <w:color w:val="000000"/>
          <w:sz w:val="26"/>
          <w:szCs w:val="26"/>
        </w:rPr>
        <w:t>Furthermore, a</w:t>
      </w:r>
      <w:r w:rsidR="00E91AB1" w:rsidRPr="00787A9E">
        <w:rPr>
          <w:color w:val="000000"/>
          <w:sz w:val="26"/>
          <w:szCs w:val="26"/>
        </w:rPr>
        <w:t xml:space="preserve">lthough </w:t>
      </w:r>
      <w:r w:rsidR="00CA3DF9">
        <w:rPr>
          <w:color w:val="000000"/>
          <w:sz w:val="26"/>
          <w:szCs w:val="26"/>
        </w:rPr>
        <w:t>we</w:t>
      </w:r>
      <w:r w:rsidR="00B92A63" w:rsidRPr="00787A9E">
        <w:rPr>
          <w:color w:val="000000"/>
          <w:sz w:val="26"/>
          <w:szCs w:val="26"/>
        </w:rPr>
        <w:t xml:space="preserve"> </w:t>
      </w:r>
      <w:r w:rsidR="00E91AB1" w:rsidRPr="00787A9E">
        <w:rPr>
          <w:color w:val="000000"/>
          <w:sz w:val="26"/>
          <w:szCs w:val="26"/>
        </w:rPr>
        <w:t>acknowledge</w:t>
      </w:r>
      <w:r w:rsidR="00B92A63" w:rsidRPr="00787A9E">
        <w:rPr>
          <w:color w:val="000000"/>
          <w:sz w:val="26"/>
          <w:szCs w:val="26"/>
        </w:rPr>
        <w:t>d</w:t>
      </w:r>
      <w:r w:rsidR="00E91AB1" w:rsidRPr="00787A9E">
        <w:rPr>
          <w:color w:val="000000"/>
          <w:sz w:val="26"/>
          <w:szCs w:val="26"/>
        </w:rPr>
        <w:t xml:space="preserve"> that the </w:t>
      </w:r>
      <w:r w:rsidRPr="00787A9E">
        <w:rPr>
          <w:color w:val="000000"/>
          <w:sz w:val="26"/>
          <w:szCs w:val="26"/>
        </w:rPr>
        <w:t>E</w:t>
      </w:r>
      <w:r w:rsidR="00E91AB1" w:rsidRPr="00787A9E">
        <w:rPr>
          <w:color w:val="000000"/>
          <w:sz w:val="26"/>
          <w:szCs w:val="26"/>
        </w:rPr>
        <w:t>ngineer</w:t>
      </w:r>
      <w:r w:rsidR="00A424DB">
        <w:rPr>
          <w:color w:val="000000"/>
          <w:sz w:val="26"/>
          <w:szCs w:val="26"/>
        </w:rPr>
        <w:t>’</w:t>
      </w:r>
      <w:r w:rsidR="00E91AB1" w:rsidRPr="00787A9E">
        <w:rPr>
          <w:color w:val="000000"/>
          <w:sz w:val="26"/>
          <w:szCs w:val="26"/>
        </w:rPr>
        <w:t xml:space="preserve">s </w:t>
      </w:r>
      <w:r w:rsidRPr="00787A9E">
        <w:rPr>
          <w:color w:val="000000"/>
          <w:sz w:val="26"/>
          <w:szCs w:val="26"/>
        </w:rPr>
        <w:t>R</w:t>
      </w:r>
      <w:r w:rsidR="00E91AB1" w:rsidRPr="00787A9E">
        <w:rPr>
          <w:color w:val="000000"/>
          <w:sz w:val="26"/>
          <w:szCs w:val="26"/>
        </w:rPr>
        <w:t xml:space="preserve">eport was filed prior to the issuance of the </w:t>
      </w:r>
      <w:r w:rsidR="00E91AB1" w:rsidRPr="00787A9E">
        <w:rPr>
          <w:i/>
          <w:color w:val="000000"/>
          <w:sz w:val="26"/>
          <w:szCs w:val="26"/>
        </w:rPr>
        <w:t xml:space="preserve">May 2018 </w:t>
      </w:r>
      <w:r w:rsidRPr="00787A9E">
        <w:rPr>
          <w:i/>
          <w:color w:val="000000"/>
          <w:sz w:val="26"/>
          <w:szCs w:val="26"/>
        </w:rPr>
        <w:t xml:space="preserve">McCloskey </w:t>
      </w:r>
      <w:r w:rsidR="00E91AB1" w:rsidRPr="00787A9E">
        <w:rPr>
          <w:i/>
          <w:color w:val="000000"/>
          <w:sz w:val="26"/>
          <w:szCs w:val="26"/>
        </w:rPr>
        <w:t>Order</w:t>
      </w:r>
      <w:r w:rsidR="00E91AB1" w:rsidRPr="00787A9E">
        <w:rPr>
          <w:color w:val="000000"/>
          <w:sz w:val="26"/>
          <w:szCs w:val="26"/>
        </w:rPr>
        <w:t xml:space="preserve">, </w:t>
      </w:r>
      <w:r w:rsidR="00CA3DF9">
        <w:rPr>
          <w:color w:val="000000"/>
          <w:sz w:val="26"/>
          <w:szCs w:val="26"/>
        </w:rPr>
        <w:t>we</w:t>
      </w:r>
      <w:r w:rsidR="00B92A63" w:rsidRPr="00787A9E">
        <w:rPr>
          <w:color w:val="000000"/>
          <w:sz w:val="26"/>
          <w:szCs w:val="26"/>
        </w:rPr>
        <w:t xml:space="preserve"> </w:t>
      </w:r>
      <w:r w:rsidR="00E91AB1" w:rsidRPr="00787A9E">
        <w:rPr>
          <w:color w:val="000000"/>
          <w:sz w:val="26"/>
          <w:szCs w:val="26"/>
        </w:rPr>
        <w:t>note</w:t>
      </w:r>
      <w:r w:rsidRPr="00787A9E">
        <w:rPr>
          <w:color w:val="000000"/>
          <w:sz w:val="26"/>
          <w:szCs w:val="26"/>
        </w:rPr>
        <w:t>d</w:t>
      </w:r>
      <w:r w:rsidR="00E91AB1" w:rsidRPr="00787A9E">
        <w:rPr>
          <w:color w:val="000000"/>
          <w:sz w:val="26"/>
          <w:szCs w:val="26"/>
        </w:rPr>
        <w:t xml:space="preserve"> that the Company did not file its Second Petition until October 18, 2018 – over five months after the issuance of the </w:t>
      </w:r>
      <w:r w:rsidR="00E91AB1" w:rsidRPr="00787A9E">
        <w:rPr>
          <w:i/>
          <w:color w:val="000000"/>
          <w:sz w:val="26"/>
          <w:szCs w:val="26"/>
        </w:rPr>
        <w:t xml:space="preserve">May 2018 </w:t>
      </w:r>
      <w:r w:rsidRPr="00787A9E">
        <w:rPr>
          <w:i/>
          <w:color w:val="000000"/>
          <w:sz w:val="26"/>
          <w:szCs w:val="26"/>
        </w:rPr>
        <w:t xml:space="preserve">McCloskey </w:t>
      </w:r>
      <w:r w:rsidR="00E91AB1" w:rsidRPr="00787A9E">
        <w:rPr>
          <w:i/>
          <w:color w:val="000000"/>
          <w:sz w:val="26"/>
          <w:szCs w:val="26"/>
        </w:rPr>
        <w:t>Order</w:t>
      </w:r>
      <w:r w:rsidR="00E91AB1" w:rsidRPr="00787A9E">
        <w:rPr>
          <w:color w:val="000000"/>
          <w:sz w:val="26"/>
          <w:szCs w:val="26"/>
        </w:rPr>
        <w:t xml:space="preserve"> and six months after the date of the </w:t>
      </w:r>
      <w:r w:rsidRPr="00787A9E">
        <w:rPr>
          <w:color w:val="000000"/>
          <w:sz w:val="26"/>
          <w:szCs w:val="26"/>
        </w:rPr>
        <w:t>E</w:t>
      </w:r>
      <w:r w:rsidR="00E91AB1" w:rsidRPr="00787A9E">
        <w:rPr>
          <w:color w:val="000000"/>
          <w:sz w:val="26"/>
          <w:szCs w:val="26"/>
        </w:rPr>
        <w:t>ngineer</w:t>
      </w:r>
      <w:r w:rsidR="00A424DB">
        <w:rPr>
          <w:color w:val="000000"/>
          <w:sz w:val="26"/>
          <w:szCs w:val="26"/>
        </w:rPr>
        <w:t>’</w:t>
      </w:r>
      <w:r w:rsidR="00E91AB1" w:rsidRPr="00787A9E">
        <w:rPr>
          <w:color w:val="000000"/>
          <w:sz w:val="26"/>
          <w:szCs w:val="26"/>
        </w:rPr>
        <w:t xml:space="preserve">s </w:t>
      </w:r>
      <w:r w:rsidRPr="00787A9E">
        <w:rPr>
          <w:color w:val="000000"/>
          <w:sz w:val="26"/>
          <w:szCs w:val="26"/>
        </w:rPr>
        <w:t>R</w:t>
      </w:r>
      <w:r w:rsidR="00E91AB1" w:rsidRPr="00787A9E">
        <w:rPr>
          <w:color w:val="000000"/>
          <w:sz w:val="26"/>
          <w:szCs w:val="26"/>
        </w:rPr>
        <w:t xml:space="preserve">eport.  </w:t>
      </w:r>
      <w:r w:rsidR="00CA3DF9">
        <w:rPr>
          <w:color w:val="000000"/>
          <w:sz w:val="26"/>
          <w:szCs w:val="26"/>
        </w:rPr>
        <w:t>We</w:t>
      </w:r>
      <w:r w:rsidR="00B92A63" w:rsidRPr="00787A9E">
        <w:rPr>
          <w:color w:val="000000"/>
          <w:sz w:val="26"/>
          <w:szCs w:val="26"/>
        </w:rPr>
        <w:t xml:space="preserve"> </w:t>
      </w:r>
      <w:r w:rsidRPr="00787A9E">
        <w:rPr>
          <w:color w:val="000000"/>
          <w:sz w:val="26"/>
          <w:szCs w:val="26"/>
        </w:rPr>
        <w:t>stated that i</w:t>
      </w:r>
      <w:r w:rsidR="00E91AB1" w:rsidRPr="00787A9E">
        <w:rPr>
          <w:color w:val="000000"/>
          <w:sz w:val="26"/>
          <w:szCs w:val="26"/>
        </w:rPr>
        <w:t xml:space="preserve">t was incumbent upon the </w:t>
      </w:r>
      <w:r w:rsidR="00B862AF" w:rsidRPr="00787A9E">
        <w:rPr>
          <w:color w:val="000000"/>
          <w:sz w:val="26"/>
          <w:szCs w:val="26"/>
        </w:rPr>
        <w:t>Company</w:t>
      </w:r>
      <w:r w:rsidR="00E91AB1" w:rsidRPr="00787A9E">
        <w:rPr>
          <w:color w:val="000000"/>
          <w:sz w:val="26"/>
          <w:szCs w:val="26"/>
        </w:rPr>
        <w:t xml:space="preserve"> to timely notify the Commission of any concerns with the one-year compliance deadline particularly in light of its apparent prior position that compliance would not be problematic.  </w:t>
      </w:r>
      <w:r w:rsidR="00CA3DF9">
        <w:rPr>
          <w:color w:val="000000"/>
          <w:sz w:val="26"/>
          <w:szCs w:val="26"/>
        </w:rPr>
        <w:t>We</w:t>
      </w:r>
      <w:r w:rsidR="00B92A63" w:rsidRPr="00787A9E">
        <w:rPr>
          <w:color w:val="000000"/>
          <w:sz w:val="26"/>
          <w:szCs w:val="26"/>
        </w:rPr>
        <w:t xml:space="preserve"> </w:t>
      </w:r>
      <w:r w:rsidR="00AF5E57" w:rsidRPr="00787A9E">
        <w:rPr>
          <w:color w:val="000000"/>
          <w:sz w:val="26"/>
          <w:szCs w:val="26"/>
        </w:rPr>
        <w:t>noted that t</w:t>
      </w:r>
      <w:r w:rsidR="00E91AB1" w:rsidRPr="00787A9E">
        <w:rPr>
          <w:color w:val="000000"/>
          <w:sz w:val="26"/>
          <w:szCs w:val="26"/>
        </w:rPr>
        <w:t xml:space="preserve">he delayed filing of </w:t>
      </w:r>
      <w:r w:rsidR="00AF5E57" w:rsidRPr="00787A9E">
        <w:rPr>
          <w:color w:val="000000"/>
          <w:sz w:val="26"/>
          <w:szCs w:val="26"/>
        </w:rPr>
        <w:t>the Company</w:t>
      </w:r>
      <w:r w:rsidR="00A424DB">
        <w:rPr>
          <w:color w:val="000000"/>
          <w:sz w:val="26"/>
          <w:szCs w:val="26"/>
        </w:rPr>
        <w:t>’</w:t>
      </w:r>
      <w:r w:rsidR="00AF5E57" w:rsidRPr="00787A9E">
        <w:rPr>
          <w:color w:val="000000"/>
          <w:sz w:val="26"/>
          <w:szCs w:val="26"/>
        </w:rPr>
        <w:t xml:space="preserve">s </w:t>
      </w:r>
      <w:r w:rsidR="00E91AB1" w:rsidRPr="00787A9E">
        <w:rPr>
          <w:color w:val="000000"/>
          <w:sz w:val="26"/>
          <w:szCs w:val="26"/>
        </w:rPr>
        <w:t xml:space="preserve">Second Petition </w:t>
      </w:r>
      <w:r w:rsidR="00AF5E57" w:rsidRPr="00787A9E">
        <w:rPr>
          <w:color w:val="000000"/>
          <w:sz w:val="26"/>
          <w:szCs w:val="26"/>
        </w:rPr>
        <w:t>was</w:t>
      </w:r>
      <w:r w:rsidR="00E91AB1" w:rsidRPr="00787A9E">
        <w:rPr>
          <w:color w:val="000000"/>
          <w:sz w:val="26"/>
          <w:szCs w:val="26"/>
        </w:rPr>
        <w:t xml:space="preserve"> concerning and weigh</w:t>
      </w:r>
      <w:r w:rsidR="00AF5E57" w:rsidRPr="00787A9E">
        <w:rPr>
          <w:color w:val="000000"/>
          <w:sz w:val="26"/>
          <w:szCs w:val="26"/>
        </w:rPr>
        <w:t>ed</w:t>
      </w:r>
      <w:r w:rsidR="00E91AB1" w:rsidRPr="00787A9E">
        <w:rPr>
          <w:color w:val="000000"/>
          <w:sz w:val="26"/>
          <w:szCs w:val="26"/>
        </w:rPr>
        <w:t xml:space="preserve"> </w:t>
      </w:r>
      <w:r w:rsidR="00E91AB1" w:rsidRPr="00787A9E">
        <w:rPr>
          <w:color w:val="000000"/>
          <w:sz w:val="26"/>
          <w:szCs w:val="26"/>
        </w:rPr>
        <w:lastRenderedPageBreak/>
        <w:t xml:space="preserve">against </w:t>
      </w:r>
      <w:r w:rsidR="00CA3DF9">
        <w:rPr>
          <w:color w:val="000000"/>
          <w:sz w:val="26"/>
          <w:szCs w:val="26"/>
        </w:rPr>
        <w:t>our</w:t>
      </w:r>
      <w:r w:rsidR="00E91AB1" w:rsidRPr="00787A9E">
        <w:rPr>
          <w:color w:val="000000"/>
          <w:sz w:val="26"/>
          <w:szCs w:val="26"/>
        </w:rPr>
        <w:t xml:space="preserve"> exercising </w:t>
      </w:r>
      <w:r w:rsidR="00442B64">
        <w:rPr>
          <w:color w:val="000000"/>
          <w:sz w:val="26"/>
          <w:szCs w:val="26"/>
        </w:rPr>
        <w:t>our</w:t>
      </w:r>
      <w:r w:rsidR="00E91AB1" w:rsidRPr="00787A9E">
        <w:rPr>
          <w:color w:val="000000"/>
          <w:sz w:val="26"/>
          <w:szCs w:val="26"/>
        </w:rPr>
        <w:t xml:space="preserve"> discretion to disturb the </w:t>
      </w:r>
      <w:r w:rsidR="00E91AB1" w:rsidRPr="00787A9E">
        <w:rPr>
          <w:i/>
          <w:color w:val="000000"/>
          <w:sz w:val="26"/>
          <w:szCs w:val="26"/>
        </w:rPr>
        <w:t xml:space="preserve">May 2018 </w:t>
      </w:r>
      <w:r w:rsidR="00AF5E57" w:rsidRPr="00787A9E">
        <w:rPr>
          <w:i/>
          <w:color w:val="000000"/>
          <w:sz w:val="26"/>
          <w:szCs w:val="26"/>
        </w:rPr>
        <w:t xml:space="preserve">McCloskey </w:t>
      </w:r>
      <w:r w:rsidR="00E91AB1" w:rsidRPr="00787A9E">
        <w:rPr>
          <w:i/>
          <w:color w:val="000000"/>
          <w:sz w:val="26"/>
          <w:szCs w:val="26"/>
        </w:rPr>
        <w:t>Order</w:t>
      </w:r>
      <w:r w:rsidR="00E91AB1" w:rsidRPr="00787A9E">
        <w:rPr>
          <w:color w:val="000000"/>
          <w:sz w:val="26"/>
          <w:szCs w:val="26"/>
        </w:rPr>
        <w:t>.</w:t>
      </w:r>
      <w:r w:rsidR="00684C33" w:rsidRPr="00787A9E">
        <w:rPr>
          <w:color w:val="000000"/>
          <w:sz w:val="26"/>
          <w:szCs w:val="26"/>
        </w:rPr>
        <w:t xml:space="preserve">  </w:t>
      </w:r>
      <w:r w:rsidR="007531BD" w:rsidRPr="00787A9E">
        <w:rPr>
          <w:i/>
          <w:color w:val="000000"/>
          <w:sz w:val="26"/>
          <w:szCs w:val="26"/>
        </w:rPr>
        <w:t>January 2019 McCloskey Order</w:t>
      </w:r>
      <w:r w:rsidR="00684C33" w:rsidRPr="00787A9E">
        <w:rPr>
          <w:i/>
          <w:color w:val="000000"/>
          <w:sz w:val="26"/>
          <w:szCs w:val="26"/>
        </w:rPr>
        <w:t>.</w:t>
      </w:r>
      <w:r w:rsidR="00684C33" w:rsidRPr="00787A9E">
        <w:rPr>
          <w:color w:val="000000"/>
          <w:sz w:val="26"/>
          <w:szCs w:val="26"/>
        </w:rPr>
        <w:t xml:space="preserve"> at 30.</w:t>
      </w:r>
    </w:p>
    <w:p w14:paraId="7C7C66EF" w14:textId="77777777" w:rsidR="00E91AB1" w:rsidRPr="00787A9E" w:rsidRDefault="00E91AB1" w:rsidP="00FD1A00">
      <w:pPr>
        <w:ind w:left="72"/>
        <w:contextualSpacing/>
        <w:textAlignment w:val="baseline"/>
        <w:rPr>
          <w:color w:val="000000"/>
          <w:sz w:val="26"/>
          <w:szCs w:val="26"/>
        </w:rPr>
      </w:pPr>
    </w:p>
    <w:p w14:paraId="4B85D9B5" w14:textId="7E0EF41D" w:rsidR="001D51BD" w:rsidRPr="00787A9E" w:rsidRDefault="00442B64" w:rsidP="00FD1A00">
      <w:pPr>
        <w:ind w:firstLine="1440"/>
        <w:contextualSpacing/>
        <w:textAlignment w:val="baseline"/>
        <w:rPr>
          <w:color w:val="000000"/>
          <w:sz w:val="26"/>
          <w:szCs w:val="26"/>
        </w:rPr>
      </w:pPr>
      <w:r>
        <w:rPr>
          <w:color w:val="000000"/>
          <w:sz w:val="26"/>
          <w:szCs w:val="26"/>
        </w:rPr>
        <w:t>We</w:t>
      </w:r>
      <w:r w:rsidR="00B92A63" w:rsidRPr="00787A9E">
        <w:rPr>
          <w:color w:val="000000"/>
          <w:sz w:val="26"/>
          <w:szCs w:val="26"/>
        </w:rPr>
        <w:t xml:space="preserve"> </w:t>
      </w:r>
      <w:r w:rsidR="008D3B90" w:rsidRPr="00787A9E">
        <w:rPr>
          <w:color w:val="000000"/>
          <w:sz w:val="26"/>
          <w:szCs w:val="26"/>
        </w:rPr>
        <w:t>a</w:t>
      </w:r>
      <w:r w:rsidR="00E91AB1" w:rsidRPr="00787A9E">
        <w:rPr>
          <w:color w:val="000000"/>
          <w:sz w:val="26"/>
          <w:szCs w:val="26"/>
        </w:rPr>
        <w:t xml:space="preserve">lso </w:t>
      </w:r>
      <w:r w:rsidR="008D3B90" w:rsidRPr="00787A9E">
        <w:rPr>
          <w:color w:val="000000"/>
          <w:sz w:val="26"/>
          <w:szCs w:val="26"/>
        </w:rPr>
        <w:t xml:space="preserve">found </w:t>
      </w:r>
      <w:r w:rsidR="00E91AB1" w:rsidRPr="00787A9E">
        <w:rPr>
          <w:color w:val="000000"/>
          <w:sz w:val="26"/>
          <w:szCs w:val="26"/>
        </w:rPr>
        <w:t>concerning the Petitioner</w:t>
      </w:r>
      <w:r w:rsidR="00A424DB">
        <w:rPr>
          <w:color w:val="000000"/>
          <w:sz w:val="26"/>
          <w:szCs w:val="26"/>
        </w:rPr>
        <w:t>’</w:t>
      </w:r>
      <w:r w:rsidR="00E91AB1" w:rsidRPr="00787A9E">
        <w:rPr>
          <w:color w:val="000000"/>
          <w:sz w:val="26"/>
          <w:szCs w:val="26"/>
        </w:rPr>
        <w:t xml:space="preserve">s second main argument that HVUS needs more time to investigate and choose a financing plan for any of the options proposed in the </w:t>
      </w:r>
      <w:r w:rsidR="008D3B90" w:rsidRPr="00787A9E">
        <w:rPr>
          <w:color w:val="000000"/>
          <w:sz w:val="26"/>
          <w:szCs w:val="26"/>
        </w:rPr>
        <w:t>E</w:t>
      </w:r>
      <w:r w:rsidR="00E91AB1" w:rsidRPr="00787A9E">
        <w:rPr>
          <w:color w:val="000000"/>
          <w:sz w:val="26"/>
          <w:szCs w:val="26"/>
        </w:rPr>
        <w:t>ngineer</w:t>
      </w:r>
      <w:r w:rsidR="00A424DB">
        <w:rPr>
          <w:color w:val="000000"/>
          <w:sz w:val="26"/>
          <w:szCs w:val="26"/>
        </w:rPr>
        <w:t>’</w:t>
      </w:r>
      <w:r w:rsidR="00E91AB1" w:rsidRPr="00787A9E">
        <w:rPr>
          <w:color w:val="000000"/>
          <w:sz w:val="26"/>
          <w:szCs w:val="26"/>
        </w:rPr>
        <w:t xml:space="preserve">s </w:t>
      </w:r>
      <w:r w:rsidR="008D3B90" w:rsidRPr="00787A9E">
        <w:rPr>
          <w:color w:val="000000"/>
          <w:sz w:val="26"/>
          <w:szCs w:val="26"/>
        </w:rPr>
        <w:t>R</w:t>
      </w:r>
      <w:r w:rsidR="00E91AB1" w:rsidRPr="00787A9E">
        <w:rPr>
          <w:color w:val="000000"/>
          <w:sz w:val="26"/>
          <w:szCs w:val="26"/>
        </w:rPr>
        <w:t xml:space="preserve">eport.  </w:t>
      </w:r>
      <w:r>
        <w:rPr>
          <w:color w:val="000000"/>
          <w:sz w:val="26"/>
          <w:szCs w:val="26"/>
        </w:rPr>
        <w:t>We</w:t>
      </w:r>
      <w:r w:rsidR="00B92A63" w:rsidRPr="00787A9E">
        <w:rPr>
          <w:color w:val="000000"/>
          <w:sz w:val="26"/>
          <w:szCs w:val="26"/>
        </w:rPr>
        <w:t xml:space="preserve"> </w:t>
      </w:r>
      <w:r w:rsidR="00684C33" w:rsidRPr="00787A9E">
        <w:rPr>
          <w:color w:val="000000"/>
          <w:sz w:val="26"/>
          <w:szCs w:val="26"/>
        </w:rPr>
        <w:t>acknowledged t</w:t>
      </w:r>
      <w:r w:rsidR="00E91AB1" w:rsidRPr="00787A9E">
        <w:rPr>
          <w:color w:val="000000"/>
          <w:sz w:val="26"/>
          <w:szCs w:val="26"/>
        </w:rPr>
        <w:t>he Company</w:t>
      </w:r>
      <w:r w:rsidR="00A424DB">
        <w:rPr>
          <w:color w:val="000000"/>
          <w:sz w:val="26"/>
          <w:szCs w:val="26"/>
        </w:rPr>
        <w:t>’</w:t>
      </w:r>
      <w:r w:rsidR="00684C33" w:rsidRPr="00787A9E">
        <w:rPr>
          <w:color w:val="000000"/>
          <w:sz w:val="26"/>
          <w:szCs w:val="26"/>
        </w:rPr>
        <w:t>s explanation</w:t>
      </w:r>
      <w:r w:rsidR="00E91AB1" w:rsidRPr="00787A9E">
        <w:rPr>
          <w:color w:val="000000"/>
          <w:sz w:val="26"/>
          <w:szCs w:val="26"/>
        </w:rPr>
        <w:t xml:space="preserve"> that its engineer prepared a revised cost estimate of the remediation proposals on October 15, 2018, and that this document was not available for </w:t>
      </w:r>
      <w:r>
        <w:rPr>
          <w:color w:val="000000"/>
          <w:sz w:val="26"/>
          <w:szCs w:val="26"/>
        </w:rPr>
        <w:t>our</w:t>
      </w:r>
      <w:r w:rsidR="00E91AB1" w:rsidRPr="00787A9E">
        <w:rPr>
          <w:color w:val="000000"/>
          <w:sz w:val="26"/>
          <w:szCs w:val="26"/>
        </w:rPr>
        <w:t xml:space="preserve"> consideration before the issuance of the </w:t>
      </w:r>
      <w:r w:rsidR="00E91AB1" w:rsidRPr="00787A9E">
        <w:rPr>
          <w:i/>
          <w:color w:val="000000"/>
          <w:sz w:val="26"/>
          <w:szCs w:val="26"/>
        </w:rPr>
        <w:t xml:space="preserve">May 2018 </w:t>
      </w:r>
      <w:r w:rsidR="00684C33" w:rsidRPr="00787A9E">
        <w:rPr>
          <w:i/>
          <w:color w:val="000000"/>
          <w:sz w:val="26"/>
          <w:szCs w:val="26"/>
        </w:rPr>
        <w:t xml:space="preserve">McCloskey </w:t>
      </w:r>
      <w:r w:rsidR="00E91AB1" w:rsidRPr="00787A9E">
        <w:rPr>
          <w:i/>
          <w:color w:val="000000"/>
          <w:sz w:val="26"/>
          <w:szCs w:val="26"/>
        </w:rPr>
        <w:t>Order</w:t>
      </w:r>
      <w:r w:rsidR="00E91AB1" w:rsidRPr="00787A9E">
        <w:rPr>
          <w:color w:val="000000"/>
          <w:sz w:val="26"/>
          <w:szCs w:val="26"/>
        </w:rPr>
        <w:t xml:space="preserve">.  </w:t>
      </w:r>
      <w:r>
        <w:rPr>
          <w:color w:val="000000"/>
          <w:sz w:val="26"/>
          <w:szCs w:val="26"/>
        </w:rPr>
        <w:t>We</w:t>
      </w:r>
      <w:r w:rsidR="00B92A63" w:rsidRPr="00787A9E">
        <w:rPr>
          <w:color w:val="000000"/>
          <w:sz w:val="26"/>
          <w:szCs w:val="26"/>
        </w:rPr>
        <w:t xml:space="preserve"> </w:t>
      </w:r>
      <w:r w:rsidR="00684C33" w:rsidRPr="00787A9E">
        <w:rPr>
          <w:color w:val="000000"/>
          <w:sz w:val="26"/>
          <w:szCs w:val="26"/>
        </w:rPr>
        <w:t xml:space="preserve">further acknowledged </w:t>
      </w:r>
      <w:r w:rsidR="00E91AB1" w:rsidRPr="00787A9E">
        <w:rPr>
          <w:color w:val="000000"/>
          <w:sz w:val="26"/>
          <w:szCs w:val="26"/>
        </w:rPr>
        <w:t>the Company</w:t>
      </w:r>
      <w:r w:rsidR="00A424DB">
        <w:rPr>
          <w:color w:val="000000"/>
          <w:sz w:val="26"/>
          <w:szCs w:val="26"/>
        </w:rPr>
        <w:t>’</w:t>
      </w:r>
      <w:r w:rsidR="00684C33" w:rsidRPr="00787A9E">
        <w:rPr>
          <w:color w:val="000000"/>
          <w:sz w:val="26"/>
          <w:szCs w:val="26"/>
        </w:rPr>
        <w:t>s averment that</w:t>
      </w:r>
      <w:r w:rsidR="00E91AB1" w:rsidRPr="00787A9E">
        <w:rPr>
          <w:color w:val="000000"/>
          <w:sz w:val="26"/>
          <w:szCs w:val="26"/>
        </w:rPr>
        <w:t xml:space="preserve"> its proposed rate increases filed in the</w:t>
      </w:r>
      <w:r w:rsidR="00684C33" w:rsidRPr="00787A9E">
        <w:rPr>
          <w:color w:val="000000"/>
          <w:sz w:val="26"/>
          <w:szCs w:val="26"/>
        </w:rPr>
        <w:t xml:space="preserve"> instant proceeding </w:t>
      </w:r>
      <w:r w:rsidR="00E91AB1" w:rsidRPr="00787A9E">
        <w:rPr>
          <w:color w:val="000000"/>
          <w:sz w:val="26"/>
          <w:szCs w:val="26"/>
        </w:rPr>
        <w:t xml:space="preserve">will enable it to fund the extensive improvements required in the </w:t>
      </w:r>
      <w:r w:rsidR="00E91AB1" w:rsidRPr="00787A9E">
        <w:rPr>
          <w:i/>
          <w:color w:val="000000"/>
          <w:sz w:val="26"/>
          <w:szCs w:val="26"/>
        </w:rPr>
        <w:t xml:space="preserve">January 2018 </w:t>
      </w:r>
      <w:r w:rsidR="00684C33" w:rsidRPr="00787A9E">
        <w:rPr>
          <w:i/>
          <w:color w:val="000000"/>
          <w:sz w:val="26"/>
          <w:szCs w:val="26"/>
        </w:rPr>
        <w:t xml:space="preserve">McCloskey </w:t>
      </w:r>
      <w:r w:rsidR="00E91AB1" w:rsidRPr="00787A9E">
        <w:rPr>
          <w:i/>
          <w:color w:val="000000"/>
          <w:sz w:val="26"/>
          <w:szCs w:val="26"/>
        </w:rPr>
        <w:t>Order</w:t>
      </w:r>
      <w:r w:rsidR="00E91AB1" w:rsidRPr="00787A9E">
        <w:rPr>
          <w:color w:val="000000"/>
          <w:sz w:val="26"/>
          <w:szCs w:val="26"/>
        </w:rPr>
        <w:t xml:space="preserve"> and the </w:t>
      </w:r>
      <w:r w:rsidR="00E91AB1" w:rsidRPr="00787A9E">
        <w:rPr>
          <w:i/>
          <w:color w:val="000000"/>
          <w:sz w:val="26"/>
          <w:szCs w:val="26"/>
        </w:rPr>
        <w:t>May 2018</w:t>
      </w:r>
      <w:r w:rsidR="00684C33" w:rsidRPr="00787A9E">
        <w:rPr>
          <w:i/>
          <w:color w:val="000000"/>
          <w:sz w:val="26"/>
          <w:szCs w:val="26"/>
        </w:rPr>
        <w:t xml:space="preserve"> McCloskey</w:t>
      </w:r>
      <w:r w:rsidR="00E91AB1" w:rsidRPr="00787A9E">
        <w:rPr>
          <w:i/>
          <w:color w:val="000000"/>
          <w:sz w:val="26"/>
          <w:szCs w:val="26"/>
        </w:rPr>
        <w:t xml:space="preserve"> Order</w:t>
      </w:r>
      <w:r w:rsidR="00E91AB1" w:rsidRPr="00787A9E">
        <w:rPr>
          <w:color w:val="000000"/>
          <w:sz w:val="26"/>
          <w:szCs w:val="26"/>
        </w:rPr>
        <w:t xml:space="preserve"> but that the proposed increase is pending before the Commission.</w:t>
      </w:r>
      <w:r w:rsidR="00684C33" w:rsidRPr="00787A9E">
        <w:rPr>
          <w:color w:val="000000"/>
          <w:sz w:val="26"/>
          <w:szCs w:val="26"/>
        </w:rPr>
        <w:t xml:space="preserve">  </w:t>
      </w:r>
      <w:r w:rsidR="001D51BD" w:rsidRPr="00787A9E">
        <w:rPr>
          <w:color w:val="000000"/>
          <w:sz w:val="26"/>
          <w:szCs w:val="26"/>
        </w:rPr>
        <w:t>However,</w:t>
      </w:r>
      <w:r w:rsidR="00845E0A" w:rsidRPr="00787A9E">
        <w:rPr>
          <w:color w:val="000000"/>
          <w:sz w:val="26"/>
          <w:szCs w:val="26"/>
        </w:rPr>
        <w:t xml:space="preserve"> in line</w:t>
      </w:r>
      <w:r w:rsidR="001D51BD" w:rsidRPr="00787A9E">
        <w:rPr>
          <w:color w:val="000000"/>
          <w:sz w:val="26"/>
          <w:szCs w:val="26"/>
        </w:rPr>
        <w:t xml:space="preserve"> with the OCA</w:t>
      </w:r>
      <w:r w:rsidR="00A424DB">
        <w:rPr>
          <w:color w:val="000000"/>
          <w:sz w:val="26"/>
          <w:szCs w:val="26"/>
        </w:rPr>
        <w:t>’</w:t>
      </w:r>
      <w:r w:rsidR="001D51BD" w:rsidRPr="00787A9E">
        <w:rPr>
          <w:color w:val="000000"/>
          <w:sz w:val="26"/>
          <w:szCs w:val="26"/>
        </w:rPr>
        <w:t xml:space="preserve">s arguments, </w:t>
      </w:r>
      <w:r>
        <w:rPr>
          <w:color w:val="000000"/>
          <w:sz w:val="26"/>
          <w:szCs w:val="26"/>
        </w:rPr>
        <w:t>we</w:t>
      </w:r>
      <w:r w:rsidR="00B92A63" w:rsidRPr="00787A9E">
        <w:rPr>
          <w:color w:val="000000"/>
          <w:sz w:val="26"/>
          <w:szCs w:val="26"/>
        </w:rPr>
        <w:t xml:space="preserve"> </w:t>
      </w:r>
      <w:r w:rsidR="001D51BD" w:rsidRPr="00787A9E">
        <w:rPr>
          <w:color w:val="000000"/>
          <w:sz w:val="26"/>
          <w:szCs w:val="26"/>
        </w:rPr>
        <w:t>doubted the Company</w:t>
      </w:r>
      <w:r w:rsidR="00A424DB">
        <w:rPr>
          <w:color w:val="000000"/>
          <w:sz w:val="26"/>
          <w:szCs w:val="26"/>
        </w:rPr>
        <w:t>’</w:t>
      </w:r>
      <w:r w:rsidR="001D51BD" w:rsidRPr="00787A9E">
        <w:rPr>
          <w:color w:val="000000"/>
          <w:sz w:val="26"/>
          <w:szCs w:val="26"/>
        </w:rPr>
        <w:t xml:space="preserve">s position as the instant rate increase request used </w:t>
      </w:r>
      <w:r w:rsidR="00DA56AB" w:rsidRPr="00787A9E">
        <w:rPr>
          <w:color w:val="000000"/>
          <w:sz w:val="26"/>
          <w:szCs w:val="26"/>
        </w:rPr>
        <w:t xml:space="preserve">a </w:t>
      </w:r>
      <w:r w:rsidR="001D51BD" w:rsidRPr="00787A9E">
        <w:rPr>
          <w:color w:val="000000"/>
          <w:sz w:val="26"/>
          <w:szCs w:val="26"/>
        </w:rPr>
        <w:t xml:space="preserve">2017 </w:t>
      </w:r>
      <w:r w:rsidR="00411298" w:rsidRPr="00787A9E">
        <w:rPr>
          <w:color w:val="000000"/>
          <w:sz w:val="26"/>
          <w:szCs w:val="26"/>
        </w:rPr>
        <w:t>HTY</w:t>
      </w:r>
      <w:r w:rsidR="001D51BD" w:rsidRPr="00787A9E">
        <w:rPr>
          <w:color w:val="000000"/>
          <w:sz w:val="26"/>
          <w:szCs w:val="26"/>
        </w:rPr>
        <w:t xml:space="preserve"> and there are no claims in that test year which include any expenditures related to the four proposals in the Engineer</w:t>
      </w:r>
      <w:r w:rsidR="00A424DB">
        <w:rPr>
          <w:color w:val="000000"/>
          <w:sz w:val="26"/>
          <w:szCs w:val="26"/>
        </w:rPr>
        <w:t>’</w:t>
      </w:r>
      <w:r w:rsidR="001D51BD" w:rsidRPr="00787A9E">
        <w:rPr>
          <w:color w:val="000000"/>
          <w:sz w:val="26"/>
          <w:szCs w:val="26"/>
        </w:rPr>
        <w:t>s Report.  Moreover, the Company acknowledge</w:t>
      </w:r>
      <w:r w:rsidR="007E4D50" w:rsidRPr="00787A9E">
        <w:rPr>
          <w:color w:val="000000"/>
          <w:sz w:val="26"/>
          <w:szCs w:val="26"/>
        </w:rPr>
        <w:t>d</w:t>
      </w:r>
      <w:r w:rsidR="001D51BD" w:rsidRPr="00787A9E">
        <w:rPr>
          <w:color w:val="000000"/>
          <w:sz w:val="26"/>
          <w:szCs w:val="26"/>
        </w:rPr>
        <w:t xml:space="preserve"> its difficulty in obtaining financing pending the outcome of the </w:t>
      </w:r>
      <w:r w:rsidR="007E4D50" w:rsidRPr="00787A9E">
        <w:rPr>
          <w:color w:val="000000"/>
          <w:sz w:val="26"/>
          <w:szCs w:val="26"/>
        </w:rPr>
        <w:t>instant rate increase proceeding</w:t>
      </w:r>
      <w:r w:rsidR="001D51BD" w:rsidRPr="00787A9E">
        <w:rPr>
          <w:color w:val="000000"/>
          <w:sz w:val="26"/>
          <w:szCs w:val="26"/>
        </w:rPr>
        <w:t xml:space="preserve"> and provide</w:t>
      </w:r>
      <w:r w:rsidR="007E4D50" w:rsidRPr="00787A9E">
        <w:rPr>
          <w:color w:val="000000"/>
          <w:sz w:val="26"/>
          <w:szCs w:val="26"/>
        </w:rPr>
        <w:t>d</w:t>
      </w:r>
      <w:r w:rsidR="001D51BD" w:rsidRPr="00787A9E">
        <w:rPr>
          <w:color w:val="000000"/>
          <w:sz w:val="26"/>
          <w:szCs w:val="26"/>
        </w:rPr>
        <w:t xml:space="preserve"> no proposal or details on how it would secure financing options for expenditures ranging from $1,150,000 to $2,400,000 even if its requested rate increases are granted.  Rather, the Second Petition include</w:t>
      </w:r>
      <w:r w:rsidR="00AD79F0" w:rsidRPr="00787A9E">
        <w:rPr>
          <w:color w:val="000000"/>
          <w:sz w:val="26"/>
          <w:szCs w:val="26"/>
        </w:rPr>
        <w:t>d</w:t>
      </w:r>
      <w:r w:rsidR="001D51BD" w:rsidRPr="00787A9E">
        <w:rPr>
          <w:color w:val="000000"/>
          <w:sz w:val="26"/>
          <w:szCs w:val="26"/>
        </w:rPr>
        <w:t xml:space="preserve"> a proposed amendment to the </w:t>
      </w:r>
      <w:r w:rsidR="001D51BD" w:rsidRPr="00787A9E">
        <w:rPr>
          <w:i/>
          <w:color w:val="000000"/>
          <w:sz w:val="26"/>
          <w:szCs w:val="26"/>
        </w:rPr>
        <w:t xml:space="preserve">May </w:t>
      </w:r>
      <w:r w:rsidR="00AD79F0" w:rsidRPr="00787A9E">
        <w:rPr>
          <w:i/>
          <w:color w:val="000000"/>
          <w:sz w:val="26"/>
          <w:szCs w:val="26"/>
        </w:rPr>
        <w:t xml:space="preserve">McCloskey </w:t>
      </w:r>
      <w:r w:rsidR="001D51BD" w:rsidRPr="00787A9E">
        <w:rPr>
          <w:i/>
          <w:color w:val="000000"/>
          <w:sz w:val="26"/>
          <w:szCs w:val="26"/>
        </w:rPr>
        <w:t>2018 Order</w:t>
      </w:r>
      <w:r w:rsidR="001D51BD" w:rsidRPr="00787A9E">
        <w:rPr>
          <w:color w:val="000000"/>
          <w:sz w:val="26"/>
          <w:szCs w:val="26"/>
        </w:rPr>
        <w:t xml:space="preserve"> which would permit the Company to file plans for the water treatment plant or pipeline with a financing plan with TUS by April 18, 2019.</w:t>
      </w:r>
      <w:r w:rsidR="007E4D50" w:rsidRPr="00787A9E">
        <w:rPr>
          <w:color w:val="000000"/>
          <w:sz w:val="26"/>
          <w:szCs w:val="26"/>
        </w:rPr>
        <w:t xml:space="preserve">  </w:t>
      </w:r>
      <w:r w:rsidR="007531BD" w:rsidRPr="00787A9E">
        <w:rPr>
          <w:i/>
          <w:color w:val="000000"/>
          <w:sz w:val="26"/>
          <w:szCs w:val="26"/>
        </w:rPr>
        <w:t>January 2019 McCloskey Order</w:t>
      </w:r>
      <w:r w:rsidR="007E4D50" w:rsidRPr="00787A9E">
        <w:rPr>
          <w:i/>
          <w:color w:val="000000"/>
          <w:sz w:val="26"/>
          <w:szCs w:val="26"/>
        </w:rPr>
        <w:t>.</w:t>
      </w:r>
      <w:r w:rsidR="007E4D50" w:rsidRPr="00787A9E">
        <w:rPr>
          <w:color w:val="000000"/>
          <w:sz w:val="26"/>
          <w:szCs w:val="26"/>
        </w:rPr>
        <w:t xml:space="preserve"> at 30-31.</w:t>
      </w:r>
    </w:p>
    <w:p w14:paraId="68FDCA65" w14:textId="77777777" w:rsidR="00064EC1" w:rsidRPr="00787A9E" w:rsidRDefault="00064EC1" w:rsidP="00FD1A00">
      <w:pPr>
        <w:ind w:left="72"/>
        <w:contextualSpacing/>
        <w:textAlignment w:val="baseline"/>
        <w:rPr>
          <w:color w:val="000000"/>
          <w:sz w:val="26"/>
          <w:szCs w:val="26"/>
        </w:rPr>
      </w:pPr>
    </w:p>
    <w:p w14:paraId="6B4A7621" w14:textId="009E0E7A" w:rsidR="00064EC1" w:rsidRPr="00787A9E" w:rsidRDefault="00064EC1" w:rsidP="00FD1A00">
      <w:pPr>
        <w:ind w:firstLine="1368"/>
        <w:contextualSpacing/>
        <w:textAlignment w:val="baseline"/>
        <w:rPr>
          <w:color w:val="000000"/>
          <w:sz w:val="26"/>
          <w:szCs w:val="26"/>
        </w:rPr>
      </w:pPr>
      <w:r w:rsidRPr="00787A9E">
        <w:rPr>
          <w:color w:val="000000"/>
          <w:sz w:val="26"/>
          <w:szCs w:val="26"/>
        </w:rPr>
        <w:t xml:space="preserve">Thus, </w:t>
      </w:r>
      <w:r w:rsidR="009410DC">
        <w:rPr>
          <w:color w:val="000000"/>
          <w:sz w:val="26"/>
          <w:szCs w:val="26"/>
        </w:rPr>
        <w:t xml:space="preserve">we stressed </w:t>
      </w:r>
      <w:r w:rsidRPr="00787A9E">
        <w:rPr>
          <w:color w:val="000000"/>
          <w:sz w:val="26"/>
          <w:szCs w:val="26"/>
        </w:rPr>
        <w:t xml:space="preserve">in </w:t>
      </w:r>
      <w:r w:rsidR="00863009" w:rsidRPr="00787A9E">
        <w:rPr>
          <w:color w:val="000000"/>
          <w:sz w:val="26"/>
          <w:szCs w:val="26"/>
        </w:rPr>
        <w:t xml:space="preserve">the </w:t>
      </w:r>
      <w:r w:rsidRPr="00787A9E">
        <w:rPr>
          <w:i/>
          <w:color w:val="000000"/>
          <w:sz w:val="26"/>
          <w:szCs w:val="26"/>
        </w:rPr>
        <w:t>January 2018 McCloskey Order</w:t>
      </w:r>
      <w:r w:rsidR="00863009" w:rsidRPr="00787A9E">
        <w:rPr>
          <w:color w:val="000000"/>
          <w:sz w:val="26"/>
          <w:szCs w:val="26"/>
        </w:rPr>
        <w:t xml:space="preserve"> that</w:t>
      </w:r>
      <w:r w:rsidRPr="00787A9E">
        <w:rPr>
          <w:color w:val="000000"/>
          <w:sz w:val="26"/>
          <w:szCs w:val="26"/>
        </w:rPr>
        <w:t xml:space="preserve"> any further delays in complying with the deadlines of </w:t>
      </w:r>
      <w:r w:rsidR="00863009" w:rsidRPr="00787A9E">
        <w:rPr>
          <w:color w:val="000000"/>
          <w:sz w:val="26"/>
          <w:szCs w:val="26"/>
        </w:rPr>
        <w:t xml:space="preserve">that </w:t>
      </w:r>
      <w:r w:rsidRPr="00787A9E">
        <w:rPr>
          <w:color w:val="000000"/>
          <w:sz w:val="26"/>
          <w:szCs w:val="26"/>
        </w:rPr>
        <w:t>long-standing proceeding</w:t>
      </w:r>
      <w:r w:rsidR="00863009" w:rsidRPr="00787A9E">
        <w:rPr>
          <w:color w:val="000000"/>
          <w:sz w:val="26"/>
          <w:szCs w:val="26"/>
        </w:rPr>
        <w:t xml:space="preserve"> would be viewed</w:t>
      </w:r>
      <w:r w:rsidRPr="00787A9E">
        <w:rPr>
          <w:color w:val="000000"/>
          <w:sz w:val="26"/>
          <w:szCs w:val="26"/>
        </w:rPr>
        <w:t xml:space="preserve"> as possibly indicative of the Company</w:t>
      </w:r>
      <w:r w:rsidR="00A424DB">
        <w:rPr>
          <w:color w:val="000000"/>
          <w:sz w:val="26"/>
          <w:szCs w:val="26"/>
        </w:rPr>
        <w:t>’</w:t>
      </w:r>
      <w:r w:rsidRPr="00787A9E">
        <w:rPr>
          <w:color w:val="000000"/>
          <w:sz w:val="26"/>
          <w:szCs w:val="26"/>
        </w:rPr>
        <w:t xml:space="preserve">s lack of competency to operate and of its </w:t>
      </w:r>
      <w:r w:rsidR="00863009" w:rsidRPr="00787A9E">
        <w:rPr>
          <w:color w:val="000000"/>
          <w:sz w:val="26"/>
          <w:szCs w:val="26"/>
        </w:rPr>
        <w:t>in</w:t>
      </w:r>
      <w:r w:rsidRPr="00787A9E">
        <w:rPr>
          <w:color w:val="000000"/>
          <w:sz w:val="26"/>
          <w:szCs w:val="26"/>
        </w:rPr>
        <w:t xml:space="preserve">ability to provide reasonable and adequate service.  </w:t>
      </w:r>
      <w:r w:rsidR="000B347D">
        <w:rPr>
          <w:color w:val="000000"/>
          <w:sz w:val="26"/>
          <w:szCs w:val="26"/>
        </w:rPr>
        <w:t xml:space="preserve">We </w:t>
      </w:r>
      <w:r w:rsidRPr="00787A9E">
        <w:rPr>
          <w:color w:val="000000"/>
          <w:sz w:val="26"/>
          <w:szCs w:val="26"/>
        </w:rPr>
        <w:t xml:space="preserve">further </w:t>
      </w:r>
      <w:r w:rsidR="000B347D">
        <w:rPr>
          <w:color w:val="000000"/>
          <w:sz w:val="26"/>
          <w:szCs w:val="26"/>
        </w:rPr>
        <w:t xml:space="preserve">found </w:t>
      </w:r>
      <w:r w:rsidRPr="00787A9E">
        <w:rPr>
          <w:color w:val="000000"/>
          <w:sz w:val="26"/>
          <w:szCs w:val="26"/>
        </w:rPr>
        <w:t>that considering the Company</w:t>
      </w:r>
      <w:r w:rsidR="00A424DB">
        <w:rPr>
          <w:color w:val="000000"/>
          <w:sz w:val="26"/>
          <w:szCs w:val="26"/>
        </w:rPr>
        <w:t>’</w:t>
      </w:r>
      <w:r w:rsidRPr="00787A9E">
        <w:rPr>
          <w:color w:val="000000"/>
          <w:sz w:val="26"/>
          <w:szCs w:val="26"/>
        </w:rPr>
        <w:t xml:space="preserve">s admission that it will not be able to comply with the deadline set forth in Ordering Paragraph No. 8 of the </w:t>
      </w:r>
      <w:r w:rsidRPr="00787A9E">
        <w:rPr>
          <w:i/>
          <w:color w:val="000000"/>
          <w:sz w:val="26"/>
          <w:szCs w:val="26"/>
        </w:rPr>
        <w:t>May 2018 McCloskey Order</w:t>
      </w:r>
      <w:r w:rsidRPr="00787A9E">
        <w:rPr>
          <w:color w:val="000000"/>
          <w:sz w:val="26"/>
          <w:szCs w:val="26"/>
        </w:rPr>
        <w:t xml:space="preserve">, and in light of the possible </w:t>
      </w:r>
      <w:r w:rsidRPr="00787A9E">
        <w:rPr>
          <w:color w:val="000000"/>
          <w:sz w:val="26"/>
          <w:szCs w:val="26"/>
        </w:rPr>
        <w:lastRenderedPageBreak/>
        <w:t>evidentiary questions related to the estimated schedules provided by the Company</w:t>
      </w:r>
      <w:r w:rsidR="00A424DB">
        <w:rPr>
          <w:color w:val="000000"/>
          <w:sz w:val="26"/>
          <w:szCs w:val="26"/>
        </w:rPr>
        <w:t>’</w:t>
      </w:r>
      <w:r w:rsidRPr="00787A9E">
        <w:rPr>
          <w:color w:val="000000"/>
          <w:sz w:val="26"/>
          <w:szCs w:val="26"/>
        </w:rPr>
        <w:t xml:space="preserve">s engineer and the financing plans for any of such proposals, it would be appropriate to proceed to the hearing procedures set forth in the </w:t>
      </w:r>
      <w:r w:rsidRPr="00787A9E">
        <w:rPr>
          <w:i/>
          <w:color w:val="000000"/>
          <w:sz w:val="26"/>
          <w:szCs w:val="26"/>
        </w:rPr>
        <w:t>May 2018 McCloskey Order</w:t>
      </w:r>
      <w:r w:rsidRPr="00787A9E">
        <w:rPr>
          <w:color w:val="000000"/>
          <w:sz w:val="26"/>
          <w:szCs w:val="26"/>
        </w:rPr>
        <w:t xml:space="preserve">.  </w:t>
      </w:r>
      <w:r w:rsidR="00177B48">
        <w:rPr>
          <w:color w:val="000000"/>
          <w:sz w:val="26"/>
          <w:szCs w:val="26"/>
        </w:rPr>
        <w:t>We</w:t>
      </w:r>
      <w:r w:rsidR="00863009" w:rsidRPr="00787A9E">
        <w:rPr>
          <w:color w:val="000000"/>
          <w:sz w:val="26"/>
          <w:szCs w:val="26"/>
        </w:rPr>
        <w:t xml:space="preserve"> </w:t>
      </w:r>
      <w:r w:rsidRPr="00787A9E">
        <w:rPr>
          <w:color w:val="000000"/>
          <w:sz w:val="26"/>
          <w:szCs w:val="26"/>
        </w:rPr>
        <w:t xml:space="preserve">stated that adhering to the process outlined in </w:t>
      </w:r>
      <w:r w:rsidR="00177B48">
        <w:rPr>
          <w:color w:val="000000"/>
          <w:sz w:val="26"/>
          <w:szCs w:val="26"/>
        </w:rPr>
        <w:t>our</w:t>
      </w:r>
      <w:r w:rsidR="00863009" w:rsidRPr="00787A9E">
        <w:rPr>
          <w:color w:val="000000"/>
          <w:sz w:val="26"/>
          <w:szCs w:val="26"/>
        </w:rPr>
        <w:t xml:space="preserve"> </w:t>
      </w:r>
      <w:r w:rsidRPr="00787A9E">
        <w:rPr>
          <w:color w:val="000000"/>
          <w:sz w:val="26"/>
          <w:szCs w:val="26"/>
        </w:rPr>
        <w:t xml:space="preserve">prior Orders is preferential to the amendments suggested by HVUS because the requested modifications would result in further delays without any assurances that subsequent compliance deadlines could be met or that proposed improvements could be adequately funded.  Hence, </w:t>
      </w:r>
      <w:r w:rsidR="00177B48">
        <w:rPr>
          <w:color w:val="000000"/>
          <w:sz w:val="26"/>
          <w:szCs w:val="26"/>
        </w:rPr>
        <w:t>we</w:t>
      </w:r>
      <w:r w:rsidR="00863009" w:rsidRPr="00787A9E">
        <w:rPr>
          <w:color w:val="000000"/>
          <w:sz w:val="26"/>
          <w:szCs w:val="26"/>
        </w:rPr>
        <w:t xml:space="preserve"> </w:t>
      </w:r>
      <w:r w:rsidRPr="00787A9E">
        <w:rPr>
          <w:color w:val="000000"/>
          <w:sz w:val="26"/>
          <w:szCs w:val="26"/>
        </w:rPr>
        <w:t>concluded that such an indeterminate approach would appear to be detrimental to the interest of the Company</w:t>
      </w:r>
      <w:r w:rsidR="00A424DB">
        <w:rPr>
          <w:color w:val="000000"/>
          <w:sz w:val="26"/>
          <w:szCs w:val="26"/>
        </w:rPr>
        <w:t>’</w:t>
      </w:r>
      <w:r w:rsidRPr="00787A9E">
        <w:rPr>
          <w:color w:val="000000"/>
          <w:sz w:val="26"/>
          <w:szCs w:val="26"/>
        </w:rPr>
        <w:t xml:space="preserve">s customers who have suffered from the long-term water service problems.  Therefore, </w:t>
      </w:r>
      <w:r w:rsidR="00177B48">
        <w:rPr>
          <w:color w:val="000000"/>
          <w:sz w:val="26"/>
          <w:szCs w:val="26"/>
        </w:rPr>
        <w:t>we</w:t>
      </w:r>
      <w:r w:rsidR="00863009" w:rsidRPr="00787A9E">
        <w:rPr>
          <w:color w:val="000000"/>
          <w:sz w:val="26"/>
          <w:szCs w:val="26"/>
        </w:rPr>
        <w:t xml:space="preserve"> </w:t>
      </w:r>
      <w:r w:rsidRPr="00787A9E">
        <w:rPr>
          <w:color w:val="000000"/>
          <w:sz w:val="26"/>
          <w:szCs w:val="26"/>
        </w:rPr>
        <w:t xml:space="preserve">denied the Second Petition filed by HVUS.  </w:t>
      </w:r>
      <w:r w:rsidR="00822701" w:rsidRPr="00787A9E">
        <w:rPr>
          <w:i/>
          <w:color w:val="000000"/>
          <w:sz w:val="26"/>
          <w:szCs w:val="26"/>
        </w:rPr>
        <w:t>January 2019 McCloskey Order</w:t>
      </w:r>
      <w:r w:rsidRPr="00787A9E">
        <w:rPr>
          <w:i/>
          <w:color w:val="000000"/>
          <w:sz w:val="26"/>
          <w:szCs w:val="26"/>
        </w:rPr>
        <w:t>.</w:t>
      </w:r>
      <w:r w:rsidRPr="00787A9E">
        <w:rPr>
          <w:color w:val="000000"/>
          <w:sz w:val="26"/>
          <w:szCs w:val="26"/>
        </w:rPr>
        <w:t xml:space="preserve"> at 31.</w:t>
      </w:r>
      <w:r w:rsidR="0079366F" w:rsidRPr="00787A9E">
        <w:rPr>
          <w:rStyle w:val="FootnoteReference"/>
          <w:color w:val="000000"/>
          <w:sz w:val="26"/>
          <w:szCs w:val="26"/>
        </w:rPr>
        <w:footnoteReference w:id="15"/>
      </w:r>
    </w:p>
    <w:p w14:paraId="4AE5F03F" w14:textId="77777777" w:rsidR="00AA454B" w:rsidRPr="00787A9E" w:rsidRDefault="00AA454B" w:rsidP="00FD1A00">
      <w:pPr>
        <w:ind w:left="72"/>
        <w:contextualSpacing/>
        <w:textAlignment w:val="baseline"/>
        <w:rPr>
          <w:color w:val="000000"/>
          <w:sz w:val="26"/>
          <w:szCs w:val="26"/>
        </w:rPr>
      </w:pPr>
    </w:p>
    <w:p w14:paraId="723E7A6C" w14:textId="77777777" w:rsidR="0054705B" w:rsidRPr="00787A9E" w:rsidRDefault="00360C51" w:rsidP="00FD1A00">
      <w:pPr>
        <w:pStyle w:val="Heading1"/>
        <w:keepNext/>
        <w:keepLines/>
        <w:contextualSpacing/>
      </w:pPr>
      <w:r w:rsidRPr="00787A9E">
        <w:t>V</w:t>
      </w:r>
      <w:r w:rsidR="0054705B" w:rsidRPr="00787A9E">
        <w:t>I</w:t>
      </w:r>
      <w:r w:rsidR="004B0982" w:rsidRPr="00787A9E">
        <w:t>I</w:t>
      </w:r>
      <w:r w:rsidR="0054705B" w:rsidRPr="00787A9E">
        <w:t>.</w:t>
      </w:r>
      <w:r w:rsidR="0054705B" w:rsidRPr="00787A9E">
        <w:tab/>
      </w:r>
      <w:r w:rsidR="00A85407" w:rsidRPr="00787A9E">
        <w:t xml:space="preserve">Rate Increase </w:t>
      </w:r>
      <w:r w:rsidR="0054705B" w:rsidRPr="00787A9E">
        <w:t>Public Input Hearings</w:t>
      </w:r>
    </w:p>
    <w:p w14:paraId="61EB83C2" w14:textId="77777777" w:rsidR="0054705B" w:rsidRPr="00787A9E" w:rsidRDefault="0054705B" w:rsidP="00FD1A00">
      <w:pPr>
        <w:pStyle w:val="Footer"/>
        <w:keepNext/>
        <w:keepLines/>
        <w:spacing w:line="360" w:lineRule="auto"/>
        <w:ind w:firstLine="1440"/>
        <w:contextualSpacing/>
        <w:rPr>
          <w:sz w:val="26"/>
          <w:szCs w:val="26"/>
        </w:rPr>
      </w:pPr>
    </w:p>
    <w:p w14:paraId="232A9381" w14:textId="419389CF" w:rsidR="0054705B" w:rsidRPr="00787A9E" w:rsidRDefault="0054705B" w:rsidP="00FD1A00">
      <w:pPr>
        <w:keepNext/>
        <w:keepLines/>
        <w:ind w:firstLine="1440"/>
        <w:contextualSpacing/>
        <w:rPr>
          <w:sz w:val="26"/>
          <w:szCs w:val="26"/>
        </w:rPr>
      </w:pPr>
      <w:r w:rsidRPr="00787A9E">
        <w:rPr>
          <w:sz w:val="26"/>
          <w:szCs w:val="26"/>
        </w:rPr>
        <w:t xml:space="preserve">As </w:t>
      </w:r>
      <w:r w:rsidR="00863009" w:rsidRPr="00787A9E">
        <w:rPr>
          <w:sz w:val="26"/>
          <w:szCs w:val="26"/>
        </w:rPr>
        <w:t>previously</w:t>
      </w:r>
      <w:r w:rsidR="002F386A" w:rsidRPr="00787A9E">
        <w:rPr>
          <w:sz w:val="26"/>
          <w:szCs w:val="26"/>
        </w:rPr>
        <w:t xml:space="preserve"> indicated</w:t>
      </w:r>
      <w:r w:rsidRPr="00787A9E">
        <w:rPr>
          <w:sz w:val="26"/>
          <w:szCs w:val="26"/>
        </w:rPr>
        <w:t>, ALJ Hoyer conducted public input hearings on July 27, 2018, at 2:00 p.m. and 6:00 p.m., at the Hidden Valley Resort in Hidden Valley, Pennsylvania.  Present during the hearings were counsel for HVUS, I&amp;E, the OCA and the Foundation.  Also, present were thirty-two HVUS customers who testified in person.  Twenty customers testified during the 2:00 p.m. hearing and twelve customers testified during the 6:00 p.m. hearing.  Four exhibits were marked and introduced into the record as evidence: Sinclair Exhibit 1; Fiola Exhibit 1; Hammer Exhibit 1; and Hammer Exhibit</w:t>
      </w:r>
      <w:r w:rsidR="00D94236">
        <w:rPr>
          <w:sz w:val="26"/>
          <w:szCs w:val="26"/>
        </w:rPr>
        <w:t> </w:t>
      </w:r>
      <w:r w:rsidRPr="00787A9E">
        <w:rPr>
          <w:sz w:val="26"/>
          <w:szCs w:val="26"/>
        </w:rPr>
        <w:t>2.</w:t>
      </w:r>
    </w:p>
    <w:p w14:paraId="3369702A" w14:textId="77777777" w:rsidR="0054705B" w:rsidRPr="00787A9E" w:rsidRDefault="0054705B" w:rsidP="00FD1A00">
      <w:pPr>
        <w:pStyle w:val="Footer"/>
        <w:spacing w:line="360" w:lineRule="auto"/>
        <w:ind w:firstLine="1440"/>
        <w:contextualSpacing/>
        <w:rPr>
          <w:sz w:val="26"/>
          <w:szCs w:val="26"/>
        </w:rPr>
      </w:pPr>
    </w:p>
    <w:p w14:paraId="6F00CCDA" w14:textId="43ADB510" w:rsidR="001911A1" w:rsidRPr="00787A9E" w:rsidRDefault="0054705B" w:rsidP="00FD1A00">
      <w:pPr>
        <w:ind w:firstLine="1440"/>
        <w:contextualSpacing/>
        <w:rPr>
          <w:sz w:val="26"/>
          <w:szCs w:val="26"/>
        </w:rPr>
      </w:pPr>
      <w:r w:rsidRPr="00787A9E">
        <w:rPr>
          <w:sz w:val="26"/>
          <w:szCs w:val="26"/>
        </w:rPr>
        <w:t>In summary, the thirty-two witnesses raised six major issues concerning HVUS</w:t>
      </w:r>
      <w:r w:rsidR="00A424DB">
        <w:rPr>
          <w:sz w:val="26"/>
          <w:szCs w:val="26"/>
        </w:rPr>
        <w:t>’</w:t>
      </w:r>
      <w:r w:rsidRPr="00787A9E">
        <w:rPr>
          <w:sz w:val="26"/>
          <w:szCs w:val="26"/>
        </w:rPr>
        <w:t xml:space="preserve"> handling of its water and wastewater system and its requests for rate increases.  The six issues are: (1) the poor water quality, (2) the damage that the poor water </w:t>
      </w:r>
      <w:r w:rsidR="00B41529" w:rsidRPr="00787A9E">
        <w:rPr>
          <w:sz w:val="26"/>
          <w:szCs w:val="26"/>
        </w:rPr>
        <w:t xml:space="preserve">quality </w:t>
      </w:r>
      <w:r w:rsidRPr="00787A9E">
        <w:rPr>
          <w:sz w:val="26"/>
          <w:szCs w:val="26"/>
        </w:rPr>
        <w:t xml:space="preserve">has done to home appliances, (3) the negative effect that </w:t>
      </w:r>
      <w:r w:rsidR="00B41529" w:rsidRPr="00787A9E">
        <w:rPr>
          <w:sz w:val="26"/>
          <w:szCs w:val="26"/>
        </w:rPr>
        <w:t>the Company</w:t>
      </w:r>
      <w:r w:rsidR="00A424DB">
        <w:rPr>
          <w:sz w:val="26"/>
          <w:szCs w:val="26"/>
        </w:rPr>
        <w:t>’</w:t>
      </w:r>
      <w:r w:rsidR="00B41529" w:rsidRPr="00787A9E">
        <w:rPr>
          <w:sz w:val="26"/>
          <w:szCs w:val="26"/>
        </w:rPr>
        <w:t>s</w:t>
      </w:r>
      <w:r w:rsidRPr="00787A9E">
        <w:rPr>
          <w:sz w:val="26"/>
          <w:szCs w:val="26"/>
        </w:rPr>
        <w:t xml:space="preserve"> system, and the </w:t>
      </w:r>
      <w:r w:rsidRPr="00787A9E">
        <w:rPr>
          <w:sz w:val="26"/>
          <w:szCs w:val="26"/>
        </w:rPr>
        <w:lastRenderedPageBreak/>
        <w:t xml:space="preserve">rate increases, will have on local economic growth, (4) the rate increases are </w:t>
      </w:r>
      <w:r w:rsidR="00B41529" w:rsidRPr="00787A9E">
        <w:rPr>
          <w:sz w:val="26"/>
          <w:szCs w:val="26"/>
        </w:rPr>
        <w:t>significant</w:t>
      </w:r>
      <w:r w:rsidRPr="00787A9E">
        <w:rPr>
          <w:sz w:val="26"/>
          <w:szCs w:val="26"/>
        </w:rPr>
        <w:t xml:space="preserve"> and should </w:t>
      </w:r>
      <w:r w:rsidR="00B41529" w:rsidRPr="00787A9E">
        <w:rPr>
          <w:sz w:val="26"/>
          <w:szCs w:val="26"/>
        </w:rPr>
        <w:t xml:space="preserve">rather </w:t>
      </w:r>
      <w:r w:rsidRPr="00787A9E">
        <w:rPr>
          <w:sz w:val="26"/>
          <w:szCs w:val="26"/>
        </w:rPr>
        <w:t xml:space="preserve">be more incremental over a longer period of time, (5) the poor fiscal management/business practices of HVUS, and (6) the terms of the 2005 Settlement have not been fulfilled. </w:t>
      </w:r>
      <w:r w:rsidR="00E777CB" w:rsidRPr="00787A9E">
        <w:rPr>
          <w:sz w:val="26"/>
          <w:szCs w:val="26"/>
        </w:rPr>
        <w:t xml:space="preserve"> </w:t>
      </w:r>
      <w:r w:rsidR="00360EEE" w:rsidRPr="00787A9E">
        <w:rPr>
          <w:sz w:val="26"/>
          <w:szCs w:val="26"/>
        </w:rPr>
        <w:t>The testimonies of</w:t>
      </w:r>
      <w:r w:rsidR="00BB6A86" w:rsidRPr="00787A9E">
        <w:rPr>
          <w:sz w:val="26"/>
          <w:szCs w:val="26"/>
        </w:rPr>
        <w:t xml:space="preserve"> the thirty-two</w:t>
      </w:r>
      <w:r w:rsidR="00360EEE" w:rsidRPr="00787A9E">
        <w:rPr>
          <w:sz w:val="26"/>
          <w:szCs w:val="26"/>
        </w:rPr>
        <w:t xml:space="preserve"> customers de</w:t>
      </w:r>
      <w:r w:rsidR="00DE641A">
        <w:rPr>
          <w:sz w:val="26"/>
          <w:szCs w:val="26"/>
        </w:rPr>
        <w:t xml:space="preserve">picted </w:t>
      </w:r>
      <w:r w:rsidR="006043A6" w:rsidRPr="00787A9E">
        <w:rPr>
          <w:sz w:val="26"/>
          <w:szCs w:val="26"/>
        </w:rPr>
        <w:t>the quality of the Company</w:t>
      </w:r>
      <w:r w:rsidR="00A424DB">
        <w:rPr>
          <w:sz w:val="26"/>
          <w:szCs w:val="26"/>
        </w:rPr>
        <w:t>’</w:t>
      </w:r>
      <w:r w:rsidR="006043A6" w:rsidRPr="00787A9E">
        <w:rPr>
          <w:sz w:val="26"/>
          <w:szCs w:val="26"/>
        </w:rPr>
        <w:t>s water supply</w:t>
      </w:r>
      <w:r w:rsidR="00DE641A">
        <w:rPr>
          <w:sz w:val="26"/>
          <w:szCs w:val="26"/>
        </w:rPr>
        <w:t>,</w:t>
      </w:r>
      <w:r w:rsidR="006043A6" w:rsidRPr="00787A9E">
        <w:rPr>
          <w:sz w:val="26"/>
          <w:szCs w:val="26"/>
        </w:rPr>
        <w:t xml:space="preserve"> which they described as brown and murky</w:t>
      </w:r>
      <w:r w:rsidR="0055381A">
        <w:rPr>
          <w:sz w:val="26"/>
          <w:szCs w:val="26"/>
        </w:rPr>
        <w:t>,</w:t>
      </w:r>
      <w:r w:rsidR="00DE641A">
        <w:rPr>
          <w:sz w:val="26"/>
          <w:szCs w:val="26"/>
        </w:rPr>
        <w:t xml:space="preserve"> and </w:t>
      </w:r>
      <w:r w:rsidR="006043A6" w:rsidRPr="00787A9E">
        <w:rPr>
          <w:sz w:val="26"/>
          <w:szCs w:val="26"/>
        </w:rPr>
        <w:t xml:space="preserve">complained </w:t>
      </w:r>
      <w:r w:rsidR="0055381A">
        <w:rPr>
          <w:sz w:val="26"/>
          <w:szCs w:val="26"/>
        </w:rPr>
        <w:t xml:space="preserve">that it </w:t>
      </w:r>
      <w:r w:rsidR="006043A6" w:rsidRPr="00787A9E">
        <w:rPr>
          <w:sz w:val="26"/>
          <w:szCs w:val="26"/>
        </w:rPr>
        <w:t>causes damage to their household appliances due to high mineral content</w:t>
      </w:r>
      <w:r w:rsidR="00F17185" w:rsidRPr="00787A9E">
        <w:rPr>
          <w:sz w:val="26"/>
          <w:szCs w:val="26"/>
        </w:rPr>
        <w:t xml:space="preserve"> in the water</w:t>
      </w:r>
      <w:r w:rsidR="006043A6" w:rsidRPr="00787A9E">
        <w:rPr>
          <w:sz w:val="26"/>
          <w:szCs w:val="26"/>
        </w:rPr>
        <w:t xml:space="preserve">.  </w:t>
      </w:r>
      <w:r w:rsidR="0055381A">
        <w:rPr>
          <w:sz w:val="26"/>
          <w:szCs w:val="26"/>
        </w:rPr>
        <w:t>A d</w:t>
      </w:r>
      <w:r w:rsidR="003A6CA7" w:rsidRPr="00787A9E">
        <w:rPr>
          <w:sz w:val="26"/>
          <w:szCs w:val="26"/>
        </w:rPr>
        <w:t xml:space="preserve">escription of </w:t>
      </w:r>
      <w:r w:rsidR="00E777CB" w:rsidRPr="00787A9E">
        <w:rPr>
          <w:sz w:val="26"/>
          <w:szCs w:val="26"/>
        </w:rPr>
        <w:t xml:space="preserve">the testimonies of the thirty-two witnesses can be found on pages 7-17 of the </w:t>
      </w:r>
      <w:r w:rsidR="00B36855" w:rsidRPr="00787A9E">
        <w:rPr>
          <w:sz w:val="26"/>
          <w:szCs w:val="26"/>
        </w:rPr>
        <w:t>ALJs</w:t>
      </w:r>
      <w:r w:rsidR="00A424DB">
        <w:rPr>
          <w:sz w:val="26"/>
          <w:szCs w:val="26"/>
        </w:rPr>
        <w:t>’</w:t>
      </w:r>
      <w:r w:rsidR="00B36855" w:rsidRPr="00787A9E">
        <w:rPr>
          <w:sz w:val="26"/>
          <w:szCs w:val="26"/>
        </w:rPr>
        <w:t xml:space="preserve"> </w:t>
      </w:r>
      <w:r w:rsidR="00E777CB" w:rsidRPr="00787A9E">
        <w:rPr>
          <w:sz w:val="26"/>
          <w:szCs w:val="26"/>
        </w:rPr>
        <w:t>Recommended Decision.</w:t>
      </w:r>
      <w:r w:rsidR="003436DC" w:rsidRPr="00787A9E">
        <w:rPr>
          <w:sz w:val="26"/>
          <w:szCs w:val="26"/>
        </w:rPr>
        <w:t xml:space="preserve">  </w:t>
      </w:r>
      <w:r w:rsidR="004830FC" w:rsidRPr="00787A9E">
        <w:rPr>
          <w:sz w:val="26"/>
          <w:szCs w:val="26"/>
        </w:rPr>
        <w:t>T</w:t>
      </w:r>
      <w:r w:rsidR="003436DC" w:rsidRPr="00787A9E">
        <w:rPr>
          <w:sz w:val="26"/>
          <w:szCs w:val="26"/>
        </w:rPr>
        <w:t xml:space="preserve">able </w:t>
      </w:r>
      <w:r w:rsidR="004830FC" w:rsidRPr="00787A9E">
        <w:rPr>
          <w:sz w:val="26"/>
          <w:szCs w:val="26"/>
        </w:rPr>
        <w:t xml:space="preserve">1 below </w:t>
      </w:r>
      <w:r w:rsidR="003436DC" w:rsidRPr="00787A9E">
        <w:rPr>
          <w:sz w:val="26"/>
          <w:szCs w:val="26"/>
        </w:rPr>
        <w:t>summarizes the number of customers who complained about each issue.</w:t>
      </w:r>
    </w:p>
    <w:p w14:paraId="0CBFBFFC" w14:textId="77777777" w:rsidR="00064EC1" w:rsidRPr="00787A9E" w:rsidRDefault="00064EC1" w:rsidP="00FD1A00">
      <w:pPr>
        <w:ind w:firstLine="1440"/>
        <w:contextualSpacing/>
        <w:rPr>
          <w:sz w:val="26"/>
          <w:szCs w:val="26"/>
        </w:rPr>
      </w:pPr>
    </w:p>
    <w:p w14:paraId="6F1E96B2" w14:textId="04913491" w:rsidR="004830FC" w:rsidRPr="00787A9E" w:rsidRDefault="004830FC" w:rsidP="00FD1A00">
      <w:pPr>
        <w:keepNext/>
        <w:keepLines/>
        <w:contextualSpacing/>
        <w:jc w:val="center"/>
        <w:rPr>
          <w:b/>
          <w:sz w:val="26"/>
          <w:szCs w:val="26"/>
        </w:rPr>
      </w:pPr>
      <w:r w:rsidRPr="00787A9E">
        <w:rPr>
          <w:b/>
          <w:sz w:val="26"/>
          <w:szCs w:val="26"/>
        </w:rPr>
        <w:t xml:space="preserve">Table 1: Summary of </w:t>
      </w:r>
      <w:r w:rsidR="00446F95">
        <w:rPr>
          <w:b/>
          <w:sz w:val="26"/>
          <w:szCs w:val="26"/>
        </w:rPr>
        <w:t>C</w:t>
      </w:r>
      <w:r w:rsidRPr="00787A9E">
        <w:rPr>
          <w:b/>
          <w:sz w:val="26"/>
          <w:szCs w:val="26"/>
        </w:rPr>
        <w:t xml:space="preserve">ustomers and </w:t>
      </w:r>
      <w:r w:rsidR="00446F95">
        <w:rPr>
          <w:b/>
          <w:sz w:val="26"/>
          <w:szCs w:val="26"/>
        </w:rPr>
        <w:t>Compla</w:t>
      </w:r>
      <w:r w:rsidRPr="00787A9E">
        <w:rPr>
          <w:b/>
          <w:sz w:val="26"/>
          <w:szCs w:val="26"/>
        </w:rPr>
        <w:t xml:space="preserve">int </w:t>
      </w:r>
      <w:r w:rsidR="00446F95">
        <w:rPr>
          <w:b/>
          <w:sz w:val="26"/>
          <w:szCs w:val="26"/>
        </w:rPr>
        <w:t>I</w:t>
      </w:r>
      <w:r w:rsidRPr="00787A9E">
        <w:rPr>
          <w:b/>
          <w:sz w:val="26"/>
          <w:szCs w:val="26"/>
        </w:rPr>
        <w:t>ssue</w:t>
      </w:r>
    </w:p>
    <w:tbl>
      <w:tblPr>
        <w:tblStyle w:val="TableGrid"/>
        <w:tblW w:w="0" w:type="auto"/>
        <w:jc w:val="center"/>
        <w:tblLook w:val="0480" w:firstRow="0" w:lastRow="0" w:firstColumn="1" w:lastColumn="0" w:noHBand="0" w:noVBand="1"/>
      </w:tblPr>
      <w:tblGrid>
        <w:gridCol w:w="4315"/>
        <w:gridCol w:w="3690"/>
      </w:tblGrid>
      <w:tr w:rsidR="004830FC" w:rsidRPr="00787A9E" w14:paraId="18960233" w14:textId="77777777" w:rsidTr="00446F95">
        <w:trPr>
          <w:jc w:val="center"/>
        </w:trPr>
        <w:tc>
          <w:tcPr>
            <w:tcW w:w="4315" w:type="dxa"/>
          </w:tcPr>
          <w:p w14:paraId="1624238A" w14:textId="77777777" w:rsidR="004830FC" w:rsidRPr="00787A9E" w:rsidRDefault="004830FC" w:rsidP="00FD1A00">
            <w:pPr>
              <w:keepNext/>
              <w:keepLines/>
              <w:contextualSpacing/>
              <w:jc w:val="center"/>
              <w:rPr>
                <w:b/>
                <w:sz w:val="26"/>
                <w:szCs w:val="26"/>
              </w:rPr>
            </w:pPr>
            <w:r w:rsidRPr="00787A9E">
              <w:rPr>
                <w:b/>
                <w:sz w:val="26"/>
                <w:szCs w:val="26"/>
              </w:rPr>
              <w:t>Problem</w:t>
            </w:r>
          </w:p>
        </w:tc>
        <w:tc>
          <w:tcPr>
            <w:tcW w:w="3690" w:type="dxa"/>
          </w:tcPr>
          <w:p w14:paraId="03741D55" w14:textId="77777777" w:rsidR="004830FC" w:rsidRPr="00787A9E" w:rsidRDefault="004830FC" w:rsidP="00FD1A00">
            <w:pPr>
              <w:keepNext/>
              <w:keepLines/>
              <w:contextualSpacing/>
              <w:jc w:val="center"/>
              <w:rPr>
                <w:b/>
                <w:sz w:val="26"/>
                <w:szCs w:val="26"/>
              </w:rPr>
            </w:pPr>
            <w:r w:rsidRPr="00787A9E">
              <w:rPr>
                <w:b/>
                <w:sz w:val="26"/>
                <w:szCs w:val="26"/>
              </w:rPr>
              <w:t>Number of Customers</w:t>
            </w:r>
          </w:p>
        </w:tc>
      </w:tr>
      <w:tr w:rsidR="004830FC" w:rsidRPr="00787A9E" w14:paraId="4B182A4E" w14:textId="77777777" w:rsidTr="00446F95">
        <w:trPr>
          <w:jc w:val="center"/>
        </w:trPr>
        <w:tc>
          <w:tcPr>
            <w:tcW w:w="4315" w:type="dxa"/>
          </w:tcPr>
          <w:p w14:paraId="4DDF1A78" w14:textId="77777777" w:rsidR="004830FC" w:rsidRPr="00787A9E" w:rsidRDefault="004830FC" w:rsidP="00FD1A00">
            <w:pPr>
              <w:keepNext/>
              <w:keepLines/>
              <w:contextualSpacing/>
              <w:rPr>
                <w:sz w:val="26"/>
                <w:szCs w:val="26"/>
              </w:rPr>
            </w:pPr>
            <w:r w:rsidRPr="00787A9E">
              <w:rPr>
                <w:sz w:val="26"/>
                <w:szCs w:val="26"/>
              </w:rPr>
              <w:t>Water quality</w:t>
            </w:r>
          </w:p>
        </w:tc>
        <w:tc>
          <w:tcPr>
            <w:tcW w:w="3690" w:type="dxa"/>
          </w:tcPr>
          <w:p w14:paraId="0307536D" w14:textId="77777777" w:rsidR="004830FC" w:rsidRPr="00787A9E" w:rsidRDefault="004830FC" w:rsidP="00FD1A00">
            <w:pPr>
              <w:keepNext/>
              <w:keepLines/>
              <w:contextualSpacing/>
              <w:jc w:val="center"/>
              <w:rPr>
                <w:sz w:val="26"/>
                <w:szCs w:val="26"/>
              </w:rPr>
            </w:pPr>
            <w:r w:rsidRPr="00787A9E">
              <w:rPr>
                <w:sz w:val="26"/>
                <w:szCs w:val="26"/>
              </w:rPr>
              <w:t>28</w:t>
            </w:r>
          </w:p>
        </w:tc>
      </w:tr>
      <w:tr w:rsidR="004830FC" w:rsidRPr="00787A9E" w14:paraId="3C5C5CBB" w14:textId="77777777" w:rsidTr="00446F95">
        <w:trPr>
          <w:jc w:val="center"/>
        </w:trPr>
        <w:tc>
          <w:tcPr>
            <w:tcW w:w="4315" w:type="dxa"/>
          </w:tcPr>
          <w:p w14:paraId="791BC488" w14:textId="77777777" w:rsidR="004830FC" w:rsidRPr="00787A9E" w:rsidRDefault="004830FC" w:rsidP="00FD1A00">
            <w:pPr>
              <w:keepNext/>
              <w:keepLines/>
              <w:contextualSpacing/>
              <w:rPr>
                <w:sz w:val="26"/>
                <w:szCs w:val="26"/>
              </w:rPr>
            </w:pPr>
            <w:r w:rsidRPr="00787A9E">
              <w:rPr>
                <w:sz w:val="26"/>
                <w:szCs w:val="26"/>
              </w:rPr>
              <w:t>Appliance damage</w:t>
            </w:r>
          </w:p>
        </w:tc>
        <w:tc>
          <w:tcPr>
            <w:tcW w:w="3690" w:type="dxa"/>
          </w:tcPr>
          <w:p w14:paraId="394F9037" w14:textId="77777777" w:rsidR="004830FC" w:rsidRPr="00787A9E" w:rsidRDefault="004830FC" w:rsidP="00FD1A00">
            <w:pPr>
              <w:keepNext/>
              <w:keepLines/>
              <w:contextualSpacing/>
              <w:jc w:val="center"/>
              <w:rPr>
                <w:sz w:val="26"/>
                <w:szCs w:val="26"/>
              </w:rPr>
            </w:pPr>
            <w:r w:rsidRPr="00787A9E">
              <w:rPr>
                <w:sz w:val="26"/>
                <w:szCs w:val="26"/>
              </w:rPr>
              <w:t>20</w:t>
            </w:r>
          </w:p>
        </w:tc>
      </w:tr>
      <w:tr w:rsidR="004830FC" w:rsidRPr="00787A9E" w14:paraId="370EF4B1" w14:textId="77777777" w:rsidTr="00446F95">
        <w:trPr>
          <w:jc w:val="center"/>
        </w:trPr>
        <w:tc>
          <w:tcPr>
            <w:tcW w:w="4315" w:type="dxa"/>
          </w:tcPr>
          <w:p w14:paraId="3E5E481A" w14:textId="77777777" w:rsidR="004830FC" w:rsidRPr="00787A9E" w:rsidRDefault="004830FC" w:rsidP="00FD1A00">
            <w:pPr>
              <w:keepNext/>
              <w:keepLines/>
              <w:contextualSpacing/>
              <w:rPr>
                <w:sz w:val="26"/>
                <w:szCs w:val="26"/>
              </w:rPr>
            </w:pPr>
            <w:r w:rsidRPr="00787A9E">
              <w:rPr>
                <w:sz w:val="26"/>
                <w:szCs w:val="26"/>
              </w:rPr>
              <w:t>Economic growth</w:t>
            </w:r>
          </w:p>
        </w:tc>
        <w:tc>
          <w:tcPr>
            <w:tcW w:w="3690" w:type="dxa"/>
          </w:tcPr>
          <w:p w14:paraId="4200E2F0" w14:textId="77777777" w:rsidR="004830FC" w:rsidRPr="00787A9E" w:rsidRDefault="004830FC" w:rsidP="00FD1A00">
            <w:pPr>
              <w:keepNext/>
              <w:keepLines/>
              <w:contextualSpacing/>
              <w:jc w:val="center"/>
              <w:rPr>
                <w:sz w:val="26"/>
                <w:szCs w:val="26"/>
              </w:rPr>
            </w:pPr>
            <w:r w:rsidRPr="00787A9E">
              <w:rPr>
                <w:sz w:val="26"/>
                <w:szCs w:val="26"/>
              </w:rPr>
              <w:t>7</w:t>
            </w:r>
          </w:p>
        </w:tc>
      </w:tr>
      <w:tr w:rsidR="004830FC" w:rsidRPr="00787A9E" w14:paraId="454EB4E5" w14:textId="77777777" w:rsidTr="00446F95">
        <w:trPr>
          <w:jc w:val="center"/>
        </w:trPr>
        <w:tc>
          <w:tcPr>
            <w:tcW w:w="4315" w:type="dxa"/>
          </w:tcPr>
          <w:p w14:paraId="53CE0C88" w14:textId="77777777" w:rsidR="004830FC" w:rsidRPr="00787A9E" w:rsidRDefault="004830FC" w:rsidP="00FD1A00">
            <w:pPr>
              <w:keepNext/>
              <w:keepLines/>
              <w:contextualSpacing/>
              <w:rPr>
                <w:sz w:val="26"/>
                <w:szCs w:val="26"/>
              </w:rPr>
            </w:pPr>
            <w:r w:rsidRPr="00787A9E">
              <w:rPr>
                <w:sz w:val="26"/>
                <w:szCs w:val="26"/>
              </w:rPr>
              <w:t>Si</w:t>
            </w:r>
            <w:r w:rsidR="00B41529" w:rsidRPr="00787A9E">
              <w:rPr>
                <w:sz w:val="26"/>
                <w:szCs w:val="26"/>
              </w:rPr>
              <w:t>gnificant</w:t>
            </w:r>
            <w:r w:rsidRPr="00787A9E">
              <w:rPr>
                <w:sz w:val="26"/>
                <w:szCs w:val="26"/>
              </w:rPr>
              <w:t xml:space="preserve"> rate increase</w:t>
            </w:r>
          </w:p>
        </w:tc>
        <w:tc>
          <w:tcPr>
            <w:tcW w:w="3690" w:type="dxa"/>
          </w:tcPr>
          <w:p w14:paraId="22C39C44" w14:textId="77777777" w:rsidR="004830FC" w:rsidRPr="00787A9E" w:rsidRDefault="004830FC" w:rsidP="00FD1A00">
            <w:pPr>
              <w:keepNext/>
              <w:keepLines/>
              <w:contextualSpacing/>
              <w:jc w:val="center"/>
              <w:rPr>
                <w:sz w:val="26"/>
                <w:szCs w:val="26"/>
              </w:rPr>
            </w:pPr>
            <w:r w:rsidRPr="00787A9E">
              <w:rPr>
                <w:sz w:val="26"/>
                <w:szCs w:val="26"/>
              </w:rPr>
              <w:t>15</w:t>
            </w:r>
          </w:p>
        </w:tc>
      </w:tr>
      <w:tr w:rsidR="004830FC" w:rsidRPr="00787A9E" w14:paraId="5F557FED" w14:textId="77777777" w:rsidTr="00446F95">
        <w:trPr>
          <w:jc w:val="center"/>
        </w:trPr>
        <w:tc>
          <w:tcPr>
            <w:tcW w:w="4315" w:type="dxa"/>
          </w:tcPr>
          <w:p w14:paraId="777E8703" w14:textId="77777777" w:rsidR="004830FC" w:rsidRPr="00787A9E" w:rsidRDefault="004830FC" w:rsidP="00FD1A00">
            <w:pPr>
              <w:keepNext/>
              <w:keepLines/>
              <w:contextualSpacing/>
              <w:rPr>
                <w:sz w:val="26"/>
                <w:szCs w:val="26"/>
              </w:rPr>
            </w:pPr>
            <w:r w:rsidRPr="00787A9E">
              <w:rPr>
                <w:sz w:val="26"/>
                <w:szCs w:val="26"/>
              </w:rPr>
              <w:t>Fiscal management/business practices</w:t>
            </w:r>
          </w:p>
        </w:tc>
        <w:tc>
          <w:tcPr>
            <w:tcW w:w="3690" w:type="dxa"/>
          </w:tcPr>
          <w:p w14:paraId="4C0E656A" w14:textId="77777777" w:rsidR="004830FC" w:rsidRPr="00787A9E" w:rsidRDefault="004830FC" w:rsidP="00FD1A00">
            <w:pPr>
              <w:keepNext/>
              <w:keepLines/>
              <w:contextualSpacing/>
              <w:jc w:val="center"/>
              <w:rPr>
                <w:sz w:val="26"/>
                <w:szCs w:val="26"/>
              </w:rPr>
            </w:pPr>
            <w:r w:rsidRPr="00787A9E">
              <w:rPr>
                <w:sz w:val="26"/>
                <w:szCs w:val="26"/>
              </w:rPr>
              <w:t>27</w:t>
            </w:r>
          </w:p>
        </w:tc>
      </w:tr>
      <w:tr w:rsidR="004830FC" w:rsidRPr="00787A9E" w14:paraId="6E8E98B2" w14:textId="77777777" w:rsidTr="00446F95">
        <w:trPr>
          <w:jc w:val="center"/>
        </w:trPr>
        <w:tc>
          <w:tcPr>
            <w:tcW w:w="4315" w:type="dxa"/>
          </w:tcPr>
          <w:p w14:paraId="6E19A0EE" w14:textId="77777777" w:rsidR="004830FC" w:rsidRPr="00787A9E" w:rsidRDefault="004830FC" w:rsidP="00FD1A00">
            <w:pPr>
              <w:keepNext/>
              <w:keepLines/>
              <w:contextualSpacing/>
              <w:rPr>
                <w:sz w:val="26"/>
                <w:szCs w:val="26"/>
              </w:rPr>
            </w:pPr>
            <w:r w:rsidRPr="00787A9E">
              <w:rPr>
                <w:sz w:val="26"/>
                <w:szCs w:val="26"/>
              </w:rPr>
              <w:t>2005 Settlement terms not fulfilled</w:t>
            </w:r>
          </w:p>
        </w:tc>
        <w:tc>
          <w:tcPr>
            <w:tcW w:w="3690" w:type="dxa"/>
          </w:tcPr>
          <w:p w14:paraId="683FB1A3" w14:textId="77777777" w:rsidR="004830FC" w:rsidRPr="00787A9E" w:rsidRDefault="004830FC" w:rsidP="00FD1A00">
            <w:pPr>
              <w:keepNext/>
              <w:keepLines/>
              <w:contextualSpacing/>
              <w:jc w:val="center"/>
              <w:rPr>
                <w:sz w:val="26"/>
                <w:szCs w:val="26"/>
              </w:rPr>
            </w:pPr>
            <w:r w:rsidRPr="00787A9E">
              <w:rPr>
                <w:sz w:val="26"/>
                <w:szCs w:val="26"/>
              </w:rPr>
              <w:t>16</w:t>
            </w:r>
          </w:p>
        </w:tc>
      </w:tr>
    </w:tbl>
    <w:p w14:paraId="6F84E6BD" w14:textId="519A41AB" w:rsidR="001911A1" w:rsidRPr="00787A9E" w:rsidRDefault="001911A1" w:rsidP="00FD1A00">
      <w:pPr>
        <w:tabs>
          <w:tab w:val="left" w:pos="2610"/>
        </w:tabs>
        <w:ind w:firstLine="1440"/>
        <w:contextualSpacing/>
        <w:rPr>
          <w:sz w:val="26"/>
          <w:szCs w:val="26"/>
        </w:rPr>
      </w:pPr>
    </w:p>
    <w:p w14:paraId="5894C716" w14:textId="77777777" w:rsidR="001911A1" w:rsidRPr="00787A9E" w:rsidRDefault="001911A1" w:rsidP="00FD1A00">
      <w:pPr>
        <w:tabs>
          <w:tab w:val="left" w:pos="2610"/>
        </w:tabs>
        <w:ind w:firstLine="1440"/>
        <w:contextualSpacing/>
        <w:rPr>
          <w:sz w:val="26"/>
          <w:szCs w:val="26"/>
        </w:rPr>
      </w:pPr>
    </w:p>
    <w:p w14:paraId="5EA67C85" w14:textId="770B959E" w:rsidR="000D3F8A" w:rsidRPr="00787A9E" w:rsidRDefault="000D3F8A" w:rsidP="00FD1A00">
      <w:pPr>
        <w:pStyle w:val="Heading1"/>
        <w:keepNext/>
        <w:keepLines/>
        <w:contextualSpacing/>
        <w:rPr>
          <w:b w:val="0"/>
        </w:rPr>
      </w:pPr>
      <w:r w:rsidRPr="00787A9E">
        <w:t>V</w:t>
      </w:r>
      <w:r w:rsidR="009A6C53" w:rsidRPr="00787A9E">
        <w:t>II</w:t>
      </w:r>
      <w:r w:rsidR="004B0982" w:rsidRPr="00787A9E">
        <w:t>I</w:t>
      </w:r>
      <w:r w:rsidRPr="00787A9E">
        <w:t>.</w:t>
      </w:r>
      <w:r w:rsidRPr="00787A9E">
        <w:tab/>
        <w:t>Discussion o</w:t>
      </w:r>
      <w:r w:rsidR="005255D3" w:rsidRPr="00787A9E">
        <w:t>f Non-Litigated Issues</w:t>
      </w:r>
    </w:p>
    <w:p w14:paraId="3403D8E1" w14:textId="77777777" w:rsidR="007956BE" w:rsidRPr="00787A9E" w:rsidRDefault="007956BE" w:rsidP="00FD1A00">
      <w:pPr>
        <w:keepNext/>
        <w:keepLines/>
        <w:contextualSpacing/>
        <w:rPr>
          <w:sz w:val="26"/>
          <w:szCs w:val="26"/>
        </w:rPr>
      </w:pPr>
    </w:p>
    <w:p w14:paraId="12A3EC0F" w14:textId="77777777" w:rsidR="007956BE" w:rsidRPr="00787A9E" w:rsidRDefault="007956BE" w:rsidP="00FD1A00">
      <w:pPr>
        <w:keepNext/>
        <w:keepLines/>
        <w:contextualSpacing/>
        <w:rPr>
          <w:sz w:val="26"/>
          <w:szCs w:val="26"/>
          <w:u w:val="single"/>
        </w:rPr>
      </w:pPr>
      <w:r w:rsidRPr="00787A9E">
        <w:rPr>
          <w:b/>
          <w:sz w:val="26"/>
          <w:szCs w:val="26"/>
        </w:rPr>
        <w:t>A.</w:t>
      </w:r>
      <w:r w:rsidRPr="00787A9E">
        <w:rPr>
          <w:sz w:val="26"/>
          <w:szCs w:val="26"/>
        </w:rPr>
        <w:tab/>
      </w:r>
      <w:r w:rsidRPr="00787A9E">
        <w:rPr>
          <w:b/>
          <w:sz w:val="26"/>
          <w:szCs w:val="26"/>
        </w:rPr>
        <w:t>Joint Stipulation for the Admission of Evidence</w:t>
      </w:r>
    </w:p>
    <w:p w14:paraId="35A3B765" w14:textId="77777777" w:rsidR="007956BE" w:rsidRPr="00787A9E" w:rsidRDefault="007956BE" w:rsidP="00FD1A00">
      <w:pPr>
        <w:keepNext/>
        <w:keepLines/>
        <w:contextualSpacing/>
        <w:rPr>
          <w:sz w:val="26"/>
          <w:szCs w:val="26"/>
        </w:rPr>
      </w:pPr>
    </w:p>
    <w:p w14:paraId="64BF5D27" w14:textId="4D9CF01F" w:rsidR="007956BE" w:rsidRPr="00787A9E" w:rsidRDefault="007956BE" w:rsidP="00FD1A00">
      <w:pPr>
        <w:ind w:firstLine="1440"/>
        <w:contextualSpacing/>
        <w:rPr>
          <w:sz w:val="26"/>
          <w:szCs w:val="26"/>
        </w:rPr>
      </w:pPr>
      <w:r w:rsidRPr="00787A9E">
        <w:rPr>
          <w:sz w:val="26"/>
          <w:szCs w:val="26"/>
        </w:rPr>
        <w:t>At the evidentiary hearing, HVUS, I&amp;E, the OCA</w:t>
      </w:r>
      <w:r w:rsidR="00781357" w:rsidRPr="00787A9E">
        <w:rPr>
          <w:sz w:val="26"/>
          <w:szCs w:val="26"/>
        </w:rPr>
        <w:t>,</w:t>
      </w:r>
      <w:r w:rsidRPr="00787A9E">
        <w:rPr>
          <w:sz w:val="26"/>
          <w:szCs w:val="26"/>
        </w:rPr>
        <w:t xml:space="preserve"> and the Foundation (collectively, the Stipulating Parties), offered the Stipulation to Admit and asked that the Stipulation to Admit be marked as </w:t>
      </w:r>
      <w:r w:rsidR="00A424DB">
        <w:rPr>
          <w:sz w:val="26"/>
          <w:szCs w:val="26"/>
        </w:rPr>
        <w:t>“</w:t>
      </w:r>
      <w:r w:rsidRPr="00787A9E">
        <w:rPr>
          <w:sz w:val="26"/>
          <w:szCs w:val="26"/>
        </w:rPr>
        <w:t>Joint Exhibit 1</w:t>
      </w:r>
      <w:r w:rsidR="00A424DB">
        <w:rPr>
          <w:sz w:val="26"/>
          <w:szCs w:val="26"/>
        </w:rPr>
        <w:t>”</w:t>
      </w:r>
      <w:r w:rsidRPr="00787A9E">
        <w:rPr>
          <w:sz w:val="26"/>
          <w:szCs w:val="26"/>
        </w:rPr>
        <w:t xml:space="preserve"> and be admitted into evidence.  No </w:t>
      </w:r>
      <w:r w:rsidR="00D352A2">
        <w:rPr>
          <w:sz w:val="26"/>
          <w:szCs w:val="26"/>
        </w:rPr>
        <w:t>P</w:t>
      </w:r>
      <w:r w:rsidRPr="00787A9E">
        <w:rPr>
          <w:sz w:val="26"/>
          <w:szCs w:val="26"/>
        </w:rPr>
        <w:t xml:space="preserve">arty objected and the ALJs admitted </w:t>
      </w:r>
      <w:r w:rsidR="00543590" w:rsidRPr="00787A9E">
        <w:rPr>
          <w:sz w:val="26"/>
          <w:szCs w:val="26"/>
        </w:rPr>
        <w:t>Joint Exhibit 1</w:t>
      </w:r>
      <w:r w:rsidRPr="00787A9E">
        <w:rPr>
          <w:sz w:val="26"/>
          <w:szCs w:val="26"/>
        </w:rPr>
        <w:t xml:space="preserve"> into the hearing record.</w:t>
      </w:r>
    </w:p>
    <w:p w14:paraId="1C659B9A" w14:textId="77777777" w:rsidR="007956BE" w:rsidRPr="00787A9E" w:rsidRDefault="007956BE" w:rsidP="00FD1A00">
      <w:pPr>
        <w:contextualSpacing/>
        <w:rPr>
          <w:sz w:val="26"/>
          <w:szCs w:val="26"/>
        </w:rPr>
      </w:pPr>
    </w:p>
    <w:p w14:paraId="010F3525" w14:textId="4660A48E" w:rsidR="007956BE" w:rsidRPr="00787A9E" w:rsidRDefault="007956BE" w:rsidP="00FD1A00">
      <w:pPr>
        <w:ind w:firstLine="1440"/>
        <w:contextualSpacing/>
        <w:rPr>
          <w:sz w:val="26"/>
          <w:szCs w:val="26"/>
        </w:rPr>
      </w:pPr>
      <w:r w:rsidRPr="00787A9E">
        <w:rPr>
          <w:sz w:val="26"/>
          <w:szCs w:val="26"/>
        </w:rPr>
        <w:lastRenderedPageBreak/>
        <w:t xml:space="preserve">The Stipulation to Admit was proffered by the Stipulating Parties for two purposes: (1) to admit testimony the Stipulating Parties agreed was authentic and which would not be subject to cross-examination; and (2) to preserve two issues which two of the Stipulating Parties (the OCA and the Foundation) wished to contest.  </w:t>
      </w:r>
      <w:r w:rsidR="00C97B75" w:rsidRPr="00787A9E">
        <w:rPr>
          <w:sz w:val="26"/>
          <w:szCs w:val="26"/>
        </w:rPr>
        <w:t>More specifically, t</w:t>
      </w:r>
      <w:r w:rsidRPr="00787A9E">
        <w:rPr>
          <w:sz w:val="26"/>
          <w:szCs w:val="26"/>
        </w:rPr>
        <w:t xml:space="preserve">he </w:t>
      </w:r>
      <w:r w:rsidR="00637E30" w:rsidRPr="00787A9E">
        <w:rPr>
          <w:sz w:val="26"/>
          <w:szCs w:val="26"/>
        </w:rPr>
        <w:t>OCA and the Foundation</w:t>
      </w:r>
      <w:r w:rsidRPr="00787A9E">
        <w:rPr>
          <w:sz w:val="26"/>
          <w:szCs w:val="26"/>
        </w:rPr>
        <w:t xml:space="preserve"> wished to preserve their right to argue against the rate increase</w:t>
      </w:r>
      <w:r w:rsidR="00CC1C92" w:rsidRPr="00787A9E">
        <w:rPr>
          <w:sz w:val="26"/>
          <w:szCs w:val="26"/>
        </w:rPr>
        <w:t>s</w:t>
      </w:r>
      <w:r w:rsidRPr="00787A9E">
        <w:rPr>
          <w:sz w:val="26"/>
          <w:szCs w:val="26"/>
        </w:rPr>
        <w:t xml:space="preserve"> sought by HVUS and to argue for the need to order HVUS to provide an independent financial audit.  </w:t>
      </w:r>
    </w:p>
    <w:p w14:paraId="3F7689E2" w14:textId="77777777" w:rsidR="00315424" w:rsidRPr="00787A9E" w:rsidRDefault="00315424" w:rsidP="00FD1A00">
      <w:pPr>
        <w:contextualSpacing/>
        <w:rPr>
          <w:sz w:val="26"/>
          <w:szCs w:val="26"/>
        </w:rPr>
      </w:pPr>
    </w:p>
    <w:p w14:paraId="41947AD8" w14:textId="1A15E1CF" w:rsidR="007956BE" w:rsidRPr="00787A9E" w:rsidRDefault="007956BE" w:rsidP="00FD1A00">
      <w:pPr>
        <w:ind w:firstLine="1440"/>
        <w:contextualSpacing/>
        <w:rPr>
          <w:sz w:val="26"/>
          <w:szCs w:val="26"/>
        </w:rPr>
      </w:pPr>
      <w:r w:rsidRPr="00787A9E">
        <w:rPr>
          <w:sz w:val="26"/>
          <w:szCs w:val="26"/>
        </w:rPr>
        <w:t xml:space="preserve">The Stipulating Parties made the following </w:t>
      </w:r>
      <w:r w:rsidRPr="00787A9E">
        <w:rPr>
          <w:i/>
          <w:sz w:val="26"/>
          <w:szCs w:val="26"/>
        </w:rPr>
        <w:t>verbatim</w:t>
      </w:r>
      <w:r w:rsidRPr="00787A9E">
        <w:rPr>
          <w:sz w:val="26"/>
          <w:szCs w:val="26"/>
        </w:rPr>
        <w:t xml:space="preserve"> assertions in the Stipulation to Admit, at Paragraphs 1 and 2:</w:t>
      </w:r>
    </w:p>
    <w:p w14:paraId="78398A4E" w14:textId="77777777" w:rsidR="002C0AFB" w:rsidRPr="00787A9E" w:rsidRDefault="002C0AFB" w:rsidP="00FD1A00">
      <w:pPr>
        <w:contextualSpacing/>
        <w:rPr>
          <w:sz w:val="26"/>
          <w:szCs w:val="26"/>
        </w:rPr>
      </w:pPr>
    </w:p>
    <w:p w14:paraId="527BCA5F" w14:textId="77777777" w:rsidR="007956BE" w:rsidRPr="00787A9E" w:rsidRDefault="007956BE" w:rsidP="00FD1A00">
      <w:pPr>
        <w:pStyle w:val="BodyText"/>
        <w:spacing w:after="0" w:line="240" w:lineRule="auto"/>
        <w:ind w:left="1440" w:right="1440"/>
        <w:contextualSpacing/>
        <w:rPr>
          <w:sz w:val="26"/>
          <w:szCs w:val="26"/>
        </w:rPr>
      </w:pPr>
      <w:r w:rsidRPr="00787A9E">
        <w:rPr>
          <w:sz w:val="26"/>
          <w:szCs w:val="26"/>
        </w:rPr>
        <w:t>In support of the Stipulation, the Stipulating Parties represent</w:t>
      </w:r>
      <w:r w:rsidR="002A6A0D" w:rsidRPr="00787A9E">
        <w:rPr>
          <w:sz w:val="26"/>
          <w:szCs w:val="26"/>
        </w:rPr>
        <w:t>ed</w:t>
      </w:r>
      <w:r w:rsidRPr="00787A9E">
        <w:rPr>
          <w:sz w:val="26"/>
          <w:szCs w:val="26"/>
        </w:rPr>
        <w:t xml:space="preserve"> as follows:</w:t>
      </w:r>
    </w:p>
    <w:p w14:paraId="720F780C" w14:textId="77777777" w:rsidR="007956BE" w:rsidRPr="00787A9E" w:rsidRDefault="007956BE" w:rsidP="00FD1A00">
      <w:pPr>
        <w:pStyle w:val="BodyText"/>
        <w:spacing w:after="0" w:line="240" w:lineRule="auto"/>
        <w:ind w:left="1440" w:right="1440"/>
        <w:contextualSpacing/>
        <w:rPr>
          <w:sz w:val="26"/>
          <w:szCs w:val="26"/>
        </w:rPr>
      </w:pPr>
    </w:p>
    <w:p w14:paraId="567D66E2" w14:textId="77777777" w:rsidR="007956BE" w:rsidRPr="00787A9E" w:rsidRDefault="007956BE" w:rsidP="00FD1A00">
      <w:pPr>
        <w:pStyle w:val="BodyText"/>
        <w:spacing w:after="0" w:line="240" w:lineRule="auto"/>
        <w:ind w:left="1440" w:right="1440"/>
        <w:contextualSpacing/>
        <w:rPr>
          <w:sz w:val="26"/>
          <w:szCs w:val="26"/>
        </w:rPr>
      </w:pPr>
      <w:r w:rsidRPr="00787A9E">
        <w:rPr>
          <w:sz w:val="26"/>
          <w:szCs w:val="26"/>
        </w:rPr>
        <w:tab/>
        <w:t>1.</w:t>
      </w:r>
      <w:r w:rsidRPr="00787A9E">
        <w:rPr>
          <w:sz w:val="26"/>
          <w:szCs w:val="26"/>
        </w:rPr>
        <w:tab/>
        <w:t>The Stipulating Parties hereby jointly stipulate to the authenticity of and admission into the evidentiary record in this matter of the following testimony and exhibits:</w:t>
      </w:r>
    </w:p>
    <w:p w14:paraId="23E0D621" w14:textId="77777777" w:rsidR="007956BE" w:rsidRPr="00787A9E" w:rsidRDefault="007956BE" w:rsidP="00FD1A00">
      <w:pPr>
        <w:pStyle w:val="BodyText"/>
        <w:spacing w:after="0" w:line="240" w:lineRule="auto"/>
        <w:ind w:left="1440" w:right="1440"/>
        <w:contextualSpacing/>
        <w:rPr>
          <w:sz w:val="26"/>
          <w:szCs w:val="26"/>
        </w:rPr>
      </w:pPr>
    </w:p>
    <w:p w14:paraId="0383644B" w14:textId="77777777" w:rsidR="007956BE" w:rsidRPr="00787A9E" w:rsidRDefault="007956BE" w:rsidP="00FD1A00">
      <w:pPr>
        <w:pStyle w:val="BodyText"/>
        <w:spacing w:after="0" w:line="240" w:lineRule="auto"/>
        <w:ind w:left="1440" w:right="1440"/>
        <w:contextualSpacing/>
        <w:rPr>
          <w:sz w:val="26"/>
          <w:szCs w:val="26"/>
        </w:rPr>
      </w:pPr>
      <w:r w:rsidRPr="00787A9E">
        <w:rPr>
          <w:sz w:val="26"/>
          <w:szCs w:val="26"/>
        </w:rPr>
        <w:tab/>
        <w:t>a.</w:t>
      </w:r>
      <w:r w:rsidRPr="00787A9E">
        <w:rPr>
          <w:sz w:val="26"/>
          <w:szCs w:val="26"/>
        </w:rPr>
        <w:tab/>
      </w:r>
      <w:r w:rsidRPr="00787A9E">
        <w:rPr>
          <w:sz w:val="26"/>
          <w:szCs w:val="26"/>
          <w:u w:val="single"/>
        </w:rPr>
        <w:t>On behalf of Hidden Valley</w:t>
      </w:r>
    </w:p>
    <w:p w14:paraId="62AB3C7A" w14:textId="77777777" w:rsidR="007956BE" w:rsidRPr="00787A9E" w:rsidRDefault="007956BE" w:rsidP="00FD1A00">
      <w:pPr>
        <w:pStyle w:val="BodyText"/>
        <w:spacing w:after="0" w:line="240" w:lineRule="auto"/>
        <w:ind w:left="1440" w:right="1440"/>
        <w:contextualSpacing/>
        <w:rPr>
          <w:sz w:val="26"/>
          <w:szCs w:val="26"/>
        </w:rPr>
      </w:pPr>
    </w:p>
    <w:p w14:paraId="5E3C0D1A" w14:textId="3FCF2D38" w:rsidR="007956BE" w:rsidRPr="00787A9E" w:rsidRDefault="007956BE" w:rsidP="00FD1A00">
      <w:pPr>
        <w:pStyle w:val="BodyText"/>
        <w:spacing w:after="0" w:line="240" w:lineRule="auto"/>
        <w:ind w:left="1440" w:right="1440"/>
        <w:contextualSpacing/>
        <w:rPr>
          <w:sz w:val="26"/>
          <w:szCs w:val="26"/>
        </w:rPr>
      </w:pPr>
      <w:r w:rsidRPr="00787A9E">
        <w:rPr>
          <w:sz w:val="26"/>
          <w:szCs w:val="26"/>
        </w:rPr>
        <w:tab/>
      </w:r>
      <w:r w:rsidR="0019487E">
        <w:rPr>
          <w:sz w:val="26"/>
          <w:szCs w:val="26"/>
        </w:rPr>
        <w:tab/>
      </w:r>
      <w:r w:rsidRPr="00787A9E">
        <w:rPr>
          <w:sz w:val="26"/>
          <w:szCs w:val="26"/>
        </w:rPr>
        <w:t>(1)</w:t>
      </w:r>
      <w:r w:rsidRPr="00787A9E">
        <w:rPr>
          <w:sz w:val="26"/>
          <w:szCs w:val="26"/>
        </w:rPr>
        <w:tab/>
        <w:t>Rebuttal Testimony of Harold Walker III in Docket Nos. R</w:t>
      </w:r>
      <w:r w:rsidRPr="00787A9E">
        <w:rPr>
          <w:sz w:val="26"/>
          <w:szCs w:val="26"/>
        </w:rPr>
        <w:noBreakHyphen/>
        <w:t>2018-3001306 and R-2018-3001307, including Appendix A and Exhibit consisting of Schedules 1-20.</w:t>
      </w:r>
    </w:p>
    <w:p w14:paraId="40CF9728" w14:textId="77777777" w:rsidR="007956BE" w:rsidRPr="00787A9E" w:rsidRDefault="007956BE" w:rsidP="00FD1A00">
      <w:pPr>
        <w:pStyle w:val="BodyText"/>
        <w:spacing w:after="0" w:line="240" w:lineRule="auto"/>
        <w:ind w:left="1440" w:right="1440"/>
        <w:contextualSpacing/>
        <w:rPr>
          <w:sz w:val="26"/>
          <w:szCs w:val="26"/>
        </w:rPr>
      </w:pPr>
    </w:p>
    <w:p w14:paraId="76E6A4E8" w14:textId="77777777" w:rsidR="007956BE" w:rsidRPr="00787A9E" w:rsidRDefault="007956BE" w:rsidP="00FD1A00">
      <w:pPr>
        <w:pStyle w:val="BodyText"/>
        <w:spacing w:after="0" w:line="240" w:lineRule="auto"/>
        <w:ind w:left="1440" w:right="1440"/>
        <w:contextualSpacing/>
        <w:rPr>
          <w:sz w:val="26"/>
          <w:szCs w:val="26"/>
        </w:rPr>
      </w:pPr>
      <w:r w:rsidRPr="00787A9E">
        <w:rPr>
          <w:sz w:val="26"/>
          <w:szCs w:val="26"/>
        </w:rPr>
        <w:tab/>
        <w:t>b.</w:t>
      </w:r>
      <w:r w:rsidRPr="00787A9E">
        <w:rPr>
          <w:sz w:val="26"/>
          <w:szCs w:val="26"/>
        </w:rPr>
        <w:tab/>
      </w:r>
      <w:r w:rsidRPr="00787A9E">
        <w:rPr>
          <w:sz w:val="26"/>
          <w:szCs w:val="26"/>
          <w:u w:val="single"/>
        </w:rPr>
        <w:t>On behalf of I&amp;E:</w:t>
      </w:r>
    </w:p>
    <w:p w14:paraId="09514E26" w14:textId="77777777" w:rsidR="007956BE" w:rsidRPr="00787A9E" w:rsidRDefault="007956BE" w:rsidP="00FD1A00">
      <w:pPr>
        <w:pStyle w:val="BodyText"/>
        <w:spacing w:after="0" w:line="240" w:lineRule="auto"/>
        <w:ind w:left="1440" w:right="1440"/>
        <w:contextualSpacing/>
        <w:rPr>
          <w:sz w:val="26"/>
          <w:szCs w:val="26"/>
        </w:rPr>
      </w:pPr>
    </w:p>
    <w:p w14:paraId="0F2FB0A5" w14:textId="77777777" w:rsidR="007956BE" w:rsidRPr="00787A9E" w:rsidRDefault="007956BE" w:rsidP="00FD1A00">
      <w:pPr>
        <w:pStyle w:val="BodyText"/>
        <w:spacing w:after="0" w:line="240" w:lineRule="auto"/>
        <w:ind w:left="1440" w:right="1440"/>
        <w:contextualSpacing/>
        <w:rPr>
          <w:sz w:val="26"/>
          <w:szCs w:val="26"/>
        </w:rPr>
      </w:pPr>
      <w:r w:rsidRPr="00787A9E">
        <w:rPr>
          <w:sz w:val="26"/>
          <w:szCs w:val="26"/>
        </w:rPr>
        <w:tab/>
      </w:r>
      <w:r w:rsidRPr="00787A9E">
        <w:rPr>
          <w:sz w:val="26"/>
          <w:szCs w:val="26"/>
        </w:rPr>
        <w:tab/>
        <w:t>(1)</w:t>
      </w:r>
      <w:r w:rsidRPr="00787A9E">
        <w:rPr>
          <w:sz w:val="26"/>
          <w:szCs w:val="26"/>
        </w:rPr>
        <w:tab/>
        <w:t>Direct Testimony of Christopher M. Henkel at Docket No. R 2018-3001306 including Appendix A and I&amp;E Exhibit No. 2;</w:t>
      </w:r>
    </w:p>
    <w:p w14:paraId="33985D32" w14:textId="77777777" w:rsidR="007956BE" w:rsidRPr="00787A9E" w:rsidRDefault="007956BE" w:rsidP="00FD1A00">
      <w:pPr>
        <w:pStyle w:val="BodyText"/>
        <w:spacing w:after="0" w:line="240" w:lineRule="auto"/>
        <w:ind w:left="1440" w:right="1440"/>
        <w:contextualSpacing/>
        <w:rPr>
          <w:sz w:val="26"/>
          <w:szCs w:val="26"/>
        </w:rPr>
      </w:pPr>
    </w:p>
    <w:p w14:paraId="773C03EE" w14:textId="77777777" w:rsidR="007956BE" w:rsidRPr="00787A9E" w:rsidRDefault="007956BE" w:rsidP="00FD1A00">
      <w:pPr>
        <w:pStyle w:val="BodyText"/>
        <w:spacing w:after="0" w:line="240" w:lineRule="auto"/>
        <w:ind w:left="1440" w:right="1440"/>
        <w:contextualSpacing/>
        <w:rPr>
          <w:sz w:val="26"/>
          <w:szCs w:val="26"/>
        </w:rPr>
      </w:pPr>
      <w:r w:rsidRPr="00787A9E">
        <w:rPr>
          <w:sz w:val="26"/>
          <w:szCs w:val="26"/>
        </w:rPr>
        <w:tab/>
      </w:r>
      <w:r w:rsidRPr="00787A9E">
        <w:rPr>
          <w:sz w:val="26"/>
          <w:szCs w:val="26"/>
        </w:rPr>
        <w:tab/>
        <w:t>(2)</w:t>
      </w:r>
      <w:r w:rsidRPr="00787A9E">
        <w:rPr>
          <w:sz w:val="26"/>
          <w:szCs w:val="26"/>
        </w:rPr>
        <w:tab/>
        <w:t>Surrebuttal Testimony of Christopher M. Henkel at Docket No. R-2018-3001306;</w:t>
      </w:r>
    </w:p>
    <w:p w14:paraId="546FA736" w14:textId="77777777" w:rsidR="007956BE" w:rsidRPr="00787A9E" w:rsidRDefault="007956BE" w:rsidP="00FD1A00">
      <w:pPr>
        <w:pStyle w:val="BodyText"/>
        <w:spacing w:after="0" w:line="240" w:lineRule="auto"/>
        <w:ind w:left="1440" w:right="1440"/>
        <w:contextualSpacing/>
        <w:rPr>
          <w:sz w:val="26"/>
          <w:szCs w:val="26"/>
        </w:rPr>
      </w:pPr>
    </w:p>
    <w:p w14:paraId="5A6EB63B" w14:textId="77777777" w:rsidR="007956BE" w:rsidRPr="00787A9E" w:rsidRDefault="007956BE" w:rsidP="00FD1A00">
      <w:pPr>
        <w:pStyle w:val="BodyText"/>
        <w:spacing w:after="0" w:line="240" w:lineRule="auto"/>
        <w:ind w:left="1440" w:right="1440"/>
        <w:contextualSpacing/>
        <w:rPr>
          <w:sz w:val="26"/>
          <w:szCs w:val="26"/>
        </w:rPr>
      </w:pPr>
      <w:r w:rsidRPr="00787A9E">
        <w:rPr>
          <w:sz w:val="26"/>
          <w:szCs w:val="26"/>
        </w:rPr>
        <w:tab/>
      </w:r>
      <w:r w:rsidRPr="00787A9E">
        <w:rPr>
          <w:sz w:val="26"/>
          <w:szCs w:val="26"/>
        </w:rPr>
        <w:tab/>
        <w:t>(3)</w:t>
      </w:r>
      <w:r w:rsidRPr="00787A9E">
        <w:rPr>
          <w:sz w:val="26"/>
          <w:szCs w:val="26"/>
        </w:rPr>
        <w:tab/>
        <w:t>Direct Testimony of Christopher M. Henkel at Docket No. R 2018-3001307 including Appendix A and I&amp;E Exhibit No. 2; and</w:t>
      </w:r>
    </w:p>
    <w:p w14:paraId="6451D9B0" w14:textId="77777777" w:rsidR="007956BE" w:rsidRPr="00787A9E" w:rsidRDefault="007956BE" w:rsidP="00FD1A00">
      <w:pPr>
        <w:pStyle w:val="BodyText"/>
        <w:spacing w:after="0" w:line="240" w:lineRule="auto"/>
        <w:ind w:left="1440" w:right="1440"/>
        <w:contextualSpacing/>
        <w:rPr>
          <w:sz w:val="26"/>
          <w:szCs w:val="26"/>
        </w:rPr>
      </w:pPr>
    </w:p>
    <w:p w14:paraId="33191020" w14:textId="77777777" w:rsidR="007956BE" w:rsidRPr="00787A9E" w:rsidRDefault="007956BE" w:rsidP="00FD1A00">
      <w:pPr>
        <w:pStyle w:val="BodyText"/>
        <w:spacing w:after="0" w:line="240" w:lineRule="auto"/>
        <w:ind w:left="1440" w:right="1440"/>
        <w:contextualSpacing/>
        <w:rPr>
          <w:sz w:val="26"/>
          <w:szCs w:val="26"/>
        </w:rPr>
      </w:pPr>
      <w:r w:rsidRPr="00787A9E">
        <w:rPr>
          <w:sz w:val="26"/>
          <w:szCs w:val="26"/>
        </w:rPr>
        <w:tab/>
      </w:r>
      <w:r w:rsidRPr="00787A9E">
        <w:rPr>
          <w:sz w:val="26"/>
          <w:szCs w:val="26"/>
        </w:rPr>
        <w:tab/>
        <w:t>(4)</w:t>
      </w:r>
      <w:r w:rsidRPr="00787A9E">
        <w:rPr>
          <w:sz w:val="26"/>
          <w:szCs w:val="26"/>
        </w:rPr>
        <w:tab/>
        <w:t>Surrebuttal Testimony of Christopher M. Henkel at Docket No. R-2018-3001307.</w:t>
      </w:r>
    </w:p>
    <w:p w14:paraId="638C77A3" w14:textId="77777777" w:rsidR="007956BE" w:rsidRPr="00787A9E" w:rsidRDefault="007956BE" w:rsidP="00FD1A00">
      <w:pPr>
        <w:pStyle w:val="BodyText"/>
        <w:spacing w:after="0" w:line="240" w:lineRule="auto"/>
        <w:ind w:left="1440" w:right="1440"/>
        <w:contextualSpacing/>
        <w:rPr>
          <w:sz w:val="26"/>
          <w:szCs w:val="26"/>
        </w:rPr>
      </w:pPr>
    </w:p>
    <w:p w14:paraId="1ED68427" w14:textId="77777777" w:rsidR="007956BE" w:rsidRPr="00787A9E" w:rsidRDefault="007956BE" w:rsidP="00FD1A00">
      <w:pPr>
        <w:pStyle w:val="BodyText"/>
        <w:spacing w:after="0" w:line="240" w:lineRule="auto"/>
        <w:ind w:left="1440" w:right="1440"/>
        <w:contextualSpacing/>
        <w:rPr>
          <w:sz w:val="26"/>
          <w:szCs w:val="26"/>
        </w:rPr>
      </w:pPr>
      <w:r w:rsidRPr="00787A9E">
        <w:rPr>
          <w:sz w:val="26"/>
          <w:szCs w:val="26"/>
        </w:rPr>
        <w:tab/>
        <w:t>c.</w:t>
      </w:r>
      <w:r w:rsidRPr="00787A9E">
        <w:rPr>
          <w:sz w:val="26"/>
          <w:szCs w:val="26"/>
        </w:rPr>
        <w:tab/>
      </w:r>
      <w:r w:rsidRPr="00787A9E">
        <w:rPr>
          <w:sz w:val="26"/>
          <w:szCs w:val="26"/>
          <w:u w:val="single"/>
        </w:rPr>
        <w:t>On behalf of OCA:</w:t>
      </w:r>
    </w:p>
    <w:p w14:paraId="2698A123" w14:textId="77777777" w:rsidR="007956BE" w:rsidRPr="00787A9E" w:rsidRDefault="007956BE" w:rsidP="00FD1A00">
      <w:pPr>
        <w:pStyle w:val="BodyText"/>
        <w:spacing w:after="0" w:line="240" w:lineRule="auto"/>
        <w:ind w:left="1440" w:right="1440"/>
        <w:contextualSpacing/>
        <w:rPr>
          <w:sz w:val="26"/>
          <w:szCs w:val="26"/>
        </w:rPr>
      </w:pPr>
    </w:p>
    <w:p w14:paraId="486A94CE" w14:textId="77777777" w:rsidR="007956BE" w:rsidRPr="00787A9E" w:rsidRDefault="007956BE" w:rsidP="00FD1A00">
      <w:pPr>
        <w:pStyle w:val="BodyText"/>
        <w:spacing w:after="0" w:line="240" w:lineRule="auto"/>
        <w:ind w:left="1440" w:right="1440"/>
        <w:contextualSpacing/>
        <w:rPr>
          <w:sz w:val="26"/>
          <w:szCs w:val="26"/>
        </w:rPr>
      </w:pPr>
      <w:r w:rsidRPr="00787A9E">
        <w:rPr>
          <w:sz w:val="26"/>
          <w:szCs w:val="26"/>
        </w:rPr>
        <w:tab/>
      </w:r>
      <w:r w:rsidRPr="00787A9E">
        <w:rPr>
          <w:sz w:val="26"/>
          <w:szCs w:val="26"/>
        </w:rPr>
        <w:tab/>
        <w:t>(1)</w:t>
      </w:r>
      <w:r w:rsidRPr="00787A9E">
        <w:rPr>
          <w:sz w:val="26"/>
          <w:szCs w:val="26"/>
        </w:rPr>
        <w:tab/>
        <w:t>Direct Testimony of Aaron L. Rothschild in Docket Nos. R</w:t>
      </w:r>
      <w:r w:rsidRPr="00787A9E">
        <w:rPr>
          <w:sz w:val="26"/>
          <w:szCs w:val="26"/>
        </w:rPr>
        <w:noBreakHyphen/>
        <w:t>2018-3001306 and R-2018-3001307 including Resume of Aaron L. Rothschild and Schedules ALR 1 through ALR 9; and</w:t>
      </w:r>
    </w:p>
    <w:p w14:paraId="3BDB7B8D" w14:textId="77777777" w:rsidR="007956BE" w:rsidRPr="00787A9E" w:rsidRDefault="007956BE" w:rsidP="00FD1A00">
      <w:pPr>
        <w:pStyle w:val="BodyText"/>
        <w:spacing w:after="0" w:line="240" w:lineRule="auto"/>
        <w:ind w:left="1440" w:right="1440"/>
        <w:contextualSpacing/>
        <w:rPr>
          <w:sz w:val="26"/>
          <w:szCs w:val="26"/>
        </w:rPr>
      </w:pPr>
    </w:p>
    <w:p w14:paraId="6E1FAC75" w14:textId="77777777" w:rsidR="007956BE" w:rsidRPr="00787A9E" w:rsidRDefault="007956BE" w:rsidP="00FD1A00">
      <w:pPr>
        <w:pStyle w:val="BodyText"/>
        <w:spacing w:after="0" w:line="240" w:lineRule="auto"/>
        <w:ind w:left="1440" w:right="1440"/>
        <w:contextualSpacing/>
        <w:rPr>
          <w:sz w:val="26"/>
          <w:szCs w:val="26"/>
        </w:rPr>
      </w:pPr>
      <w:r w:rsidRPr="00787A9E">
        <w:rPr>
          <w:sz w:val="26"/>
          <w:szCs w:val="26"/>
        </w:rPr>
        <w:tab/>
      </w:r>
      <w:r w:rsidRPr="00787A9E">
        <w:rPr>
          <w:sz w:val="26"/>
          <w:szCs w:val="26"/>
        </w:rPr>
        <w:tab/>
        <w:t>(2)</w:t>
      </w:r>
      <w:r w:rsidRPr="00787A9E">
        <w:rPr>
          <w:sz w:val="26"/>
          <w:szCs w:val="26"/>
        </w:rPr>
        <w:tab/>
        <w:t>Surrebuttal Testimony of Aaron L. Rothschild in Docket Nos. R-2018-3001306 and R-2018-3001307.</w:t>
      </w:r>
    </w:p>
    <w:p w14:paraId="5027F558" w14:textId="77777777" w:rsidR="007956BE" w:rsidRPr="00787A9E" w:rsidRDefault="007956BE" w:rsidP="00FD1A00">
      <w:pPr>
        <w:pStyle w:val="BodyText"/>
        <w:spacing w:after="0" w:line="240" w:lineRule="auto"/>
        <w:ind w:left="1440" w:right="1440"/>
        <w:contextualSpacing/>
        <w:rPr>
          <w:sz w:val="26"/>
          <w:szCs w:val="26"/>
        </w:rPr>
      </w:pPr>
    </w:p>
    <w:p w14:paraId="27FC2017" w14:textId="77777777" w:rsidR="007956BE" w:rsidRPr="00787A9E" w:rsidRDefault="007956BE" w:rsidP="00FD1A00">
      <w:pPr>
        <w:pStyle w:val="BodyText"/>
        <w:spacing w:after="0" w:line="240" w:lineRule="auto"/>
        <w:ind w:left="1440" w:right="1440" w:firstLine="720"/>
        <w:contextualSpacing/>
        <w:rPr>
          <w:sz w:val="26"/>
          <w:szCs w:val="26"/>
        </w:rPr>
      </w:pPr>
      <w:r w:rsidRPr="00787A9E">
        <w:rPr>
          <w:sz w:val="26"/>
          <w:szCs w:val="26"/>
        </w:rPr>
        <w:t>2.</w:t>
      </w:r>
      <w:r w:rsidRPr="00787A9E">
        <w:rPr>
          <w:sz w:val="26"/>
          <w:szCs w:val="26"/>
        </w:rPr>
        <w:tab/>
        <w:t>This Stipulation is being presented only to resolve issues in the above-captioned proceedings.  Regardless of whether this Stipulation is approved, no adverse inference shall be drawn, nor shall prejudice result to any Stipulating Party in this or any future proceeding as a consequence of this Stipulation, or any of its terms or conditions.</w:t>
      </w:r>
    </w:p>
    <w:p w14:paraId="0E67D425" w14:textId="77777777" w:rsidR="007956BE" w:rsidRPr="00787A9E" w:rsidRDefault="007956BE" w:rsidP="00FD1A00">
      <w:pPr>
        <w:contextualSpacing/>
        <w:rPr>
          <w:sz w:val="26"/>
          <w:szCs w:val="26"/>
        </w:rPr>
      </w:pPr>
    </w:p>
    <w:p w14:paraId="4042555A" w14:textId="77777777" w:rsidR="007956BE" w:rsidRPr="00787A9E" w:rsidRDefault="007956BE" w:rsidP="00FD1A00">
      <w:pPr>
        <w:keepNext/>
        <w:keepLines/>
        <w:contextualSpacing/>
        <w:rPr>
          <w:b/>
          <w:sz w:val="26"/>
          <w:szCs w:val="26"/>
          <w:u w:val="single"/>
        </w:rPr>
      </w:pPr>
      <w:r w:rsidRPr="00787A9E">
        <w:rPr>
          <w:b/>
          <w:sz w:val="26"/>
          <w:szCs w:val="26"/>
        </w:rPr>
        <w:t>B.</w:t>
      </w:r>
      <w:r w:rsidRPr="00787A9E">
        <w:rPr>
          <w:b/>
          <w:sz w:val="26"/>
          <w:szCs w:val="26"/>
        </w:rPr>
        <w:tab/>
        <w:t>Joint Stipulation</w:t>
      </w:r>
    </w:p>
    <w:p w14:paraId="4BD1233A" w14:textId="77777777" w:rsidR="007956BE" w:rsidRPr="00787A9E" w:rsidRDefault="007956BE" w:rsidP="00FD1A00">
      <w:pPr>
        <w:keepNext/>
        <w:keepLines/>
        <w:contextualSpacing/>
        <w:rPr>
          <w:sz w:val="26"/>
          <w:szCs w:val="26"/>
        </w:rPr>
      </w:pPr>
    </w:p>
    <w:p w14:paraId="3141577D" w14:textId="142C184F" w:rsidR="007956BE" w:rsidRPr="00787A9E" w:rsidRDefault="007956BE" w:rsidP="00FD1A00">
      <w:pPr>
        <w:ind w:firstLine="1440"/>
        <w:contextualSpacing/>
        <w:rPr>
          <w:sz w:val="26"/>
          <w:szCs w:val="26"/>
        </w:rPr>
      </w:pPr>
      <w:r w:rsidRPr="00787A9E">
        <w:rPr>
          <w:sz w:val="26"/>
          <w:szCs w:val="26"/>
        </w:rPr>
        <w:t xml:space="preserve">At the evidentiary hearing, the Stipulating Parties </w:t>
      </w:r>
      <w:r w:rsidR="0077237A" w:rsidRPr="00787A9E">
        <w:rPr>
          <w:sz w:val="26"/>
          <w:szCs w:val="26"/>
        </w:rPr>
        <w:t xml:space="preserve">also </w:t>
      </w:r>
      <w:r w:rsidRPr="00787A9E">
        <w:rPr>
          <w:sz w:val="26"/>
          <w:szCs w:val="26"/>
        </w:rPr>
        <w:t xml:space="preserve">offered </w:t>
      </w:r>
      <w:r w:rsidR="006F166A" w:rsidRPr="00787A9E">
        <w:rPr>
          <w:sz w:val="26"/>
          <w:szCs w:val="26"/>
        </w:rPr>
        <w:t>a</w:t>
      </w:r>
      <w:r w:rsidRPr="00787A9E">
        <w:rPr>
          <w:sz w:val="26"/>
          <w:szCs w:val="26"/>
        </w:rPr>
        <w:t xml:space="preserve"> Joint Stipulation and asked that the Joint Stipulation be marked as </w:t>
      </w:r>
      <w:r w:rsidR="00A424DB">
        <w:rPr>
          <w:sz w:val="26"/>
          <w:szCs w:val="26"/>
        </w:rPr>
        <w:t>“</w:t>
      </w:r>
      <w:r w:rsidRPr="00787A9E">
        <w:rPr>
          <w:sz w:val="26"/>
          <w:szCs w:val="26"/>
        </w:rPr>
        <w:t>Joint Exhibit 3</w:t>
      </w:r>
      <w:r w:rsidR="00A424DB">
        <w:rPr>
          <w:sz w:val="26"/>
          <w:szCs w:val="26"/>
        </w:rPr>
        <w:t>”</w:t>
      </w:r>
      <w:r w:rsidRPr="00787A9E">
        <w:rPr>
          <w:sz w:val="26"/>
          <w:szCs w:val="26"/>
        </w:rPr>
        <w:t xml:space="preserve"> and be admitted into evidence.  No </w:t>
      </w:r>
      <w:r w:rsidR="008A1F48" w:rsidRPr="00787A9E">
        <w:rPr>
          <w:sz w:val="26"/>
          <w:szCs w:val="26"/>
        </w:rPr>
        <w:t>p</w:t>
      </w:r>
      <w:r w:rsidRPr="00787A9E">
        <w:rPr>
          <w:sz w:val="26"/>
          <w:szCs w:val="26"/>
        </w:rPr>
        <w:t xml:space="preserve">arty objected and the Joint </w:t>
      </w:r>
      <w:r w:rsidR="008A1F48" w:rsidRPr="00787A9E">
        <w:rPr>
          <w:sz w:val="26"/>
          <w:szCs w:val="26"/>
        </w:rPr>
        <w:t>Exhibit 3</w:t>
      </w:r>
      <w:r w:rsidRPr="00787A9E">
        <w:rPr>
          <w:sz w:val="26"/>
          <w:szCs w:val="26"/>
        </w:rPr>
        <w:t xml:space="preserve"> was admitted.  The Stipulating Parties made the following </w:t>
      </w:r>
      <w:r w:rsidRPr="00787A9E">
        <w:rPr>
          <w:i/>
          <w:sz w:val="26"/>
          <w:szCs w:val="26"/>
        </w:rPr>
        <w:t>verbatim</w:t>
      </w:r>
      <w:r w:rsidRPr="00787A9E">
        <w:rPr>
          <w:sz w:val="26"/>
          <w:szCs w:val="26"/>
        </w:rPr>
        <w:t xml:space="preserve"> assertions in the Joint Stipulation:</w:t>
      </w:r>
    </w:p>
    <w:p w14:paraId="32C63412" w14:textId="77777777" w:rsidR="007956BE" w:rsidRPr="00787A9E" w:rsidRDefault="007956BE" w:rsidP="00FD1A00">
      <w:pPr>
        <w:contextualSpacing/>
        <w:rPr>
          <w:sz w:val="26"/>
          <w:szCs w:val="26"/>
        </w:rPr>
      </w:pPr>
    </w:p>
    <w:p w14:paraId="78C87253" w14:textId="72562105" w:rsidR="007956BE" w:rsidRPr="00787A9E" w:rsidRDefault="007956BE" w:rsidP="00FD1A00">
      <w:pPr>
        <w:pStyle w:val="BodyText"/>
        <w:spacing w:after="0" w:line="240" w:lineRule="auto"/>
        <w:ind w:left="1440" w:right="1440"/>
        <w:contextualSpacing/>
        <w:rPr>
          <w:sz w:val="26"/>
          <w:szCs w:val="26"/>
        </w:rPr>
      </w:pPr>
      <w:r w:rsidRPr="00787A9E">
        <w:rPr>
          <w:sz w:val="26"/>
          <w:szCs w:val="26"/>
        </w:rPr>
        <w:t>1.</w:t>
      </w:r>
      <w:r w:rsidRPr="00787A9E">
        <w:rPr>
          <w:sz w:val="26"/>
          <w:szCs w:val="26"/>
        </w:rPr>
        <w:tab/>
        <w:t>Hidden Valley and the Bureau of Investigation and Enforcement have entered into a non-unanimous settlement of all issues in this proceeding (</w:t>
      </w:r>
      <w:r w:rsidR="00A424DB">
        <w:rPr>
          <w:sz w:val="26"/>
          <w:szCs w:val="26"/>
        </w:rPr>
        <w:t>“</w:t>
      </w:r>
      <w:r w:rsidRPr="00787A9E">
        <w:rPr>
          <w:sz w:val="26"/>
          <w:szCs w:val="26"/>
        </w:rPr>
        <w:t>Non-Unanimous Settlement</w:t>
      </w:r>
      <w:r w:rsidR="00A424DB">
        <w:rPr>
          <w:sz w:val="26"/>
          <w:szCs w:val="26"/>
        </w:rPr>
        <w:t>”</w:t>
      </w:r>
      <w:r w:rsidRPr="00787A9E">
        <w:rPr>
          <w:sz w:val="26"/>
          <w:szCs w:val="26"/>
        </w:rPr>
        <w:t>).</w:t>
      </w:r>
    </w:p>
    <w:p w14:paraId="3CD6C78C" w14:textId="77777777" w:rsidR="007956BE" w:rsidRPr="00787A9E" w:rsidRDefault="007956BE" w:rsidP="00FD1A00">
      <w:pPr>
        <w:pStyle w:val="BodyText"/>
        <w:spacing w:after="0" w:line="240" w:lineRule="auto"/>
        <w:ind w:left="1440" w:right="1440"/>
        <w:contextualSpacing/>
        <w:rPr>
          <w:sz w:val="26"/>
          <w:szCs w:val="26"/>
        </w:rPr>
      </w:pPr>
    </w:p>
    <w:p w14:paraId="16B22732" w14:textId="77777777" w:rsidR="007956BE" w:rsidRPr="00787A9E" w:rsidRDefault="007956BE" w:rsidP="00FD1A00">
      <w:pPr>
        <w:pStyle w:val="BodyText"/>
        <w:spacing w:after="0" w:line="240" w:lineRule="auto"/>
        <w:ind w:left="1440" w:right="1440"/>
        <w:contextualSpacing/>
        <w:rPr>
          <w:sz w:val="26"/>
          <w:szCs w:val="26"/>
        </w:rPr>
      </w:pPr>
      <w:r w:rsidRPr="00787A9E">
        <w:rPr>
          <w:sz w:val="26"/>
          <w:szCs w:val="26"/>
        </w:rPr>
        <w:t>2.</w:t>
      </w:r>
      <w:r w:rsidRPr="00787A9E">
        <w:rPr>
          <w:sz w:val="26"/>
          <w:szCs w:val="26"/>
        </w:rPr>
        <w:tab/>
        <w:t xml:space="preserve">The OCA and the Foundation do not join the Settlement Terms proposed in the Joint Petition for Approval of Non-Unanimous Settlement.  To the extent applicable, the OCA and the Foundation will address their reasons for not </w:t>
      </w:r>
      <w:r w:rsidRPr="00787A9E">
        <w:rPr>
          <w:sz w:val="26"/>
          <w:szCs w:val="26"/>
        </w:rPr>
        <w:lastRenderedPageBreak/>
        <w:t>joining the Non-Unanimous Settlement in their Main and Reply Briefs.</w:t>
      </w:r>
    </w:p>
    <w:p w14:paraId="4B965AC4" w14:textId="77777777" w:rsidR="007956BE" w:rsidRPr="00787A9E" w:rsidRDefault="007956BE" w:rsidP="00FD1A00">
      <w:pPr>
        <w:pStyle w:val="BodyText"/>
        <w:spacing w:after="0" w:line="240" w:lineRule="auto"/>
        <w:ind w:left="1440" w:right="1440"/>
        <w:contextualSpacing/>
        <w:rPr>
          <w:sz w:val="26"/>
          <w:szCs w:val="26"/>
        </w:rPr>
      </w:pPr>
    </w:p>
    <w:p w14:paraId="6224F47B" w14:textId="77777777" w:rsidR="007956BE" w:rsidRPr="00787A9E" w:rsidRDefault="007956BE" w:rsidP="00FD1A00">
      <w:pPr>
        <w:pStyle w:val="BodyText"/>
        <w:spacing w:after="0" w:line="240" w:lineRule="auto"/>
        <w:ind w:left="1440" w:right="1440"/>
        <w:contextualSpacing/>
        <w:rPr>
          <w:sz w:val="26"/>
          <w:szCs w:val="26"/>
        </w:rPr>
      </w:pPr>
      <w:r w:rsidRPr="00787A9E">
        <w:rPr>
          <w:sz w:val="26"/>
          <w:szCs w:val="26"/>
        </w:rPr>
        <w:t>3.</w:t>
      </w:r>
      <w:r w:rsidRPr="00787A9E">
        <w:rPr>
          <w:sz w:val="26"/>
          <w:szCs w:val="26"/>
        </w:rPr>
        <w:tab/>
        <w:t>The OCA and the Foundation wish to preserve the following issue for litigation:</w:t>
      </w:r>
    </w:p>
    <w:p w14:paraId="3EC40660" w14:textId="77777777" w:rsidR="007956BE" w:rsidRPr="00787A9E" w:rsidRDefault="007956BE" w:rsidP="00FD1A00">
      <w:pPr>
        <w:pStyle w:val="BodyText"/>
        <w:spacing w:after="0" w:line="240" w:lineRule="auto"/>
        <w:ind w:left="1440" w:right="1440"/>
        <w:contextualSpacing/>
        <w:rPr>
          <w:sz w:val="26"/>
          <w:szCs w:val="26"/>
        </w:rPr>
      </w:pPr>
    </w:p>
    <w:p w14:paraId="013555BD" w14:textId="77777777" w:rsidR="007956BE" w:rsidRPr="00787A9E" w:rsidRDefault="007956BE" w:rsidP="00FD1A00">
      <w:pPr>
        <w:pStyle w:val="BodyText"/>
        <w:spacing w:after="0" w:line="240" w:lineRule="auto"/>
        <w:ind w:left="1440" w:right="1440"/>
        <w:contextualSpacing/>
        <w:rPr>
          <w:sz w:val="26"/>
          <w:szCs w:val="26"/>
        </w:rPr>
      </w:pPr>
      <w:r w:rsidRPr="00787A9E">
        <w:rPr>
          <w:sz w:val="26"/>
          <w:szCs w:val="26"/>
        </w:rPr>
        <w:t>Whether the Commission should deny Hidden Valley Utility Services, L.P., any rate increase for water and wastewater, pursuant to 66 Pa. C.S. §§ 523 and 526, due to quality of service.</w:t>
      </w:r>
    </w:p>
    <w:p w14:paraId="7626E45C" w14:textId="77777777" w:rsidR="007956BE" w:rsidRPr="00787A9E" w:rsidRDefault="007956BE" w:rsidP="00FD1A00">
      <w:pPr>
        <w:pStyle w:val="BodyText"/>
        <w:spacing w:after="0" w:line="240" w:lineRule="auto"/>
        <w:ind w:left="1440" w:right="1440"/>
        <w:contextualSpacing/>
        <w:rPr>
          <w:sz w:val="26"/>
          <w:szCs w:val="26"/>
        </w:rPr>
      </w:pPr>
    </w:p>
    <w:p w14:paraId="4D13A02C" w14:textId="1D89F550" w:rsidR="007956BE" w:rsidRPr="00787A9E" w:rsidRDefault="007956BE" w:rsidP="00FD1A00">
      <w:pPr>
        <w:pStyle w:val="BodyText"/>
        <w:spacing w:after="0" w:line="240" w:lineRule="auto"/>
        <w:ind w:left="1440" w:right="1440"/>
        <w:contextualSpacing/>
        <w:rPr>
          <w:sz w:val="26"/>
          <w:szCs w:val="26"/>
        </w:rPr>
      </w:pPr>
      <w:r w:rsidRPr="00787A9E">
        <w:rPr>
          <w:sz w:val="26"/>
          <w:szCs w:val="26"/>
        </w:rPr>
        <w:t>4.</w:t>
      </w:r>
      <w:r w:rsidRPr="00787A9E">
        <w:rPr>
          <w:sz w:val="26"/>
          <w:szCs w:val="26"/>
        </w:rPr>
        <w:tab/>
        <w:t>The OCA and the Foundation agree that, if the Commission does not deny Hidden Valley</w:t>
      </w:r>
      <w:r w:rsidR="00A424DB">
        <w:rPr>
          <w:sz w:val="26"/>
          <w:szCs w:val="26"/>
        </w:rPr>
        <w:t>’</w:t>
      </w:r>
      <w:r w:rsidRPr="00787A9E">
        <w:rPr>
          <w:sz w:val="26"/>
          <w:szCs w:val="26"/>
        </w:rPr>
        <w:t>s request, in its entirety, pursuant to 66 Pa. C.S. § 526, the Commission should not approve a revenue requirement that is more than the revenue requirement stated in the Non-Unanimous Settlement.</w:t>
      </w:r>
    </w:p>
    <w:p w14:paraId="04F49C04" w14:textId="77777777" w:rsidR="00401CF2" w:rsidRPr="00787A9E" w:rsidRDefault="00401CF2" w:rsidP="00FD1A00">
      <w:pPr>
        <w:pStyle w:val="BodyText"/>
        <w:spacing w:after="0" w:line="240" w:lineRule="auto"/>
        <w:ind w:left="1440" w:right="1440"/>
        <w:contextualSpacing/>
        <w:rPr>
          <w:sz w:val="26"/>
          <w:szCs w:val="26"/>
        </w:rPr>
      </w:pPr>
    </w:p>
    <w:p w14:paraId="37120BBD" w14:textId="77777777" w:rsidR="007956BE" w:rsidRPr="00787A9E" w:rsidRDefault="007956BE" w:rsidP="00FD1A00">
      <w:pPr>
        <w:pStyle w:val="BodyText"/>
        <w:spacing w:after="0" w:line="240" w:lineRule="auto"/>
        <w:ind w:left="1440" w:right="1440"/>
        <w:contextualSpacing/>
        <w:rPr>
          <w:sz w:val="26"/>
          <w:szCs w:val="26"/>
        </w:rPr>
      </w:pPr>
      <w:r w:rsidRPr="00787A9E">
        <w:rPr>
          <w:sz w:val="26"/>
          <w:szCs w:val="26"/>
        </w:rPr>
        <w:t>5.</w:t>
      </w:r>
      <w:r w:rsidRPr="00787A9E">
        <w:rPr>
          <w:sz w:val="26"/>
          <w:szCs w:val="26"/>
        </w:rPr>
        <w:tab/>
        <w:t>The Foundation also wishes to preserve the following issue for litigation:</w:t>
      </w:r>
    </w:p>
    <w:p w14:paraId="4A5913AC" w14:textId="77777777" w:rsidR="007956BE" w:rsidRPr="00787A9E" w:rsidRDefault="007956BE" w:rsidP="00FD1A00">
      <w:pPr>
        <w:pStyle w:val="BodyText"/>
        <w:spacing w:after="0" w:line="240" w:lineRule="auto"/>
        <w:ind w:left="1440" w:right="1440"/>
        <w:contextualSpacing/>
        <w:rPr>
          <w:sz w:val="26"/>
          <w:szCs w:val="26"/>
        </w:rPr>
      </w:pPr>
    </w:p>
    <w:p w14:paraId="5654884C" w14:textId="77777777" w:rsidR="007956BE" w:rsidRPr="00787A9E" w:rsidRDefault="007956BE" w:rsidP="00FD1A00">
      <w:pPr>
        <w:pStyle w:val="BodyText"/>
        <w:spacing w:after="0" w:line="240" w:lineRule="auto"/>
        <w:ind w:left="1440" w:right="1440"/>
        <w:contextualSpacing/>
        <w:rPr>
          <w:sz w:val="26"/>
          <w:szCs w:val="26"/>
        </w:rPr>
      </w:pPr>
      <w:r w:rsidRPr="00787A9E">
        <w:rPr>
          <w:sz w:val="26"/>
          <w:szCs w:val="26"/>
        </w:rPr>
        <w:t>Whether the Commission should order Hidden Valley Utility Services, L.P. to complete an independent financial audit.</w:t>
      </w:r>
    </w:p>
    <w:p w14:paraId="03FDAB26" w14:textId="77777777" w:rsidR="007956BE" w:rsidRPr="00787A9E" w:rsidRDefault="007956BE" w:rsidP="00FD1A00">
      <w:pPr>
        <w:pStyle w:val="BodyText"/>
        <w:spacing w:after="0" w:line="240" w:lineRule="auto"/>
        <w:ind w:left="1440" w:right="1440"/>
        <w:contextualSpacing/>
        <w:rPr>
          <w:sz w:val="26"/>
          <w:szCs w:val="26"/>
        </w:rPr>
      </w:pPr>
    </w:p>
    <w:p w14:paraId="359B749F" w14:textId="77777777" w:rsidR="007956BE" w:rsidRPr="00787A9E" w:rsidRDefault="007956BE" w:rsidP="00FD1A00">
      <w:pPr>
        <w:pStyle w:val="BodyText"/>
        <w:spacing w:after="0" w:line="240" w:lineRule="auto"/>
        <w:ind w:left="1440" w:right="1440"/>
        <w:contextualSpacing/>
        <w:rPr>
          <w:sz w:val="26"/>
          <w:szCs w:val="26"/>
        </w:rPr>
      </w:pPr>
      <w:r w:rsidRPr="00787A9E">
        <w:rPr>
          <w:sz w:val="26"/>
          <w:szCs w:val="26"/>
        </w:rPr>
        <w:t>6.</w:t>
      </w:r>
      <w:r w:rsidRPr="00787A9E">
        <w:rPr>
          <w:sz w:val="26"/>
          <w:szCs w:val="26"/>
        </w:rPr>
        <w:tab/>
        <w:t>The Stipulating Parties agree to preserve the issues identified in Paragraphs 3 and 5 for litigation before, and resolution by, the Pennsylvania Public Utility Commission as part of these pending rate case proceedings.</w:t>
      </w:r>
    </w:p>
    <w:p w14:paraId="27D5CADC" w14:textId="77777777" w:rsidR="007956BE" w:rsidRPr="00787A9E" w:rsidRDefault="007956BE" w:rsidP="00FD1A00">
      <w:pPr>
        <w:pStyle w:val="BodyText"/>
        <w:spacing w:after="0" w:line="240" w:lineRule="auto"/>
        <w:ind w:left="1440" w:right="1440"/>
        <w:contextualSpacing/>
        <w:rPr>
          <w:sz w:val="26"/>
          <w:szCs w:val="26"/>
        </w:rPr>
      </w:pPr>
    </w:p>
    <w:p w14:paraId="4FD41E41" w14:textId="77777777" w:rsidR="007956BE" w:rsidRPr="00787A9E" w:rsidRDefault="007956BE" w:rsidP="00FD1A00">
      <w:pPr>
        <w:pStyle w:val="BodyText"/>
        <w:spacing w:after="0" w:line="240" w:lineRule="auto"/>
        <w:ind w:left="1440" w:right="1440"/>
        <w:contextualSpacing/>
        <w:rPr>
          <w:sz w:val="26"/>
          <w:szCs w:val="26"/>
        </w:rPr>
      </w:pPr>
      <w:r w:rsidRPr="00787A9E">
        <w:rPr>
          <w:sz w:val="26"/>
          <w:szCs w:val="26"/>
        </w:rPr>
        <w:t>7.</w:t>
      </w:r>
      <w:r w:rsidRPr="00787A9E">
        <w:rPr>
          <w:sz w:val="26"/>
          <w:szCs w:val="26"/>
        </w:rPr>
        <w:tab/>
        <w:t xml:space="preserve">The Stipulating Parties waive rejoinder and cross-examination of all witnesses regarding revenue requirement and rate of return.  </w:t>
      </w:r>
    </w:p>
    <w:p w14:paraId="179996A2" w14:textId="77777777" w:rsidR="007956BE" w:rsidRPr="00787A9E" w:rsidRDefault="007956BE" w:rsidP="00FD1A00">
      <w:pPr>
        <w:pStyle w:val="BodyText"/>
        <w:spacing w:after="0" w:line="240" w:lineRule="auto"/>
        <w:ind w:left="1440" w:right="1440"/>
        <w:contextualSpacing/>
        <w:rPr>
          <w:sz w:val="26"/>
          <w:szCs w:val="26"/>
        </w:rPr>
      </w:pPr>
    </w:p>
    <w:p w14:paraId="7A34715B" w14:textId="77777777" w:rsidR="007956BE" w:rsidRPr="00787A9E" w:rsidRDefault="007956BE" w:rsidP="00FD1A00">
      <w:pPr>
        <w:pStyle w:val="BodyText"/>
        <w:spacing w:after="0" w:line="240" w:lineRule="auto"/>
        <w:ind w:left="1440" w:right="1440"/>
        <w:contextualSpacing/>
        <w:rPr>
          <w:sz w:val="26"/>
          <w:szCs w:val="26"/>
        </w:rPr>
      </w:pPr>
      <w:r w:rsidRPr="00787A9E">
        <w:rPr>
          <w:sz w:val="26"/>
          <w:szCs w:val="26"/>
        </w:rPr>
        <w:t>8.</w:t>
      </w:r>
      <w:r w:rsidRPr="00787A9E">
        <w:rPr>
          <w:sz w:val="26"/>
          <w:szCs w:val="26"/>
        </w:rPr>
        <w:tab/>
        <w:t>This Stipulation is being presented to limit and clarify the issues remaining in dispute in the above-captioned proceedings.  Regardless of whether this Stipulation is approved, no adverse inference shall be drawn, nor shall prejudice result to any Stipulating Party in this or any future proceeding as a consequence of this Stipulation, or any of its terms or conditions.</w:t>
      </w:r>
    </w:p>
    <w:p w14:paraId="48EDAC37" w14:textId="77777777" w:rsidR="003436DC" w:rsidRPr="00787A9E" w:rsidRDefault="003436DC" w:rsidP="00FD1A00">
      <w:pPr>
        <w:spacing w:line="240" w:lineRule="auto"/>
        <w:ind w:left="1440" w:right="1440"/>
        <w:contextualSpacing/>
        <w:rPr>
          <w:sz w:val="26"/>
          <w:szCs w:val="26"/>
        </w:rPr>
      </w:pPr>
    </w:p>
    <w:p w14:paraId="1F9B65A3" w14:textId="77777777" w:rsidR="00A0692F" w:rsidRPr="00787A9E" w:rsidRDefault="00A0692F" w:rsidP="00FD1A00">
      <w:pPr>
        <w:ind w:firstLine="1440"/>
        <w:contextualSpacing/>
        <w:rPr>
          <w:sz w:val="26"/>
          <w:szCs w:val="26"/>
        </w:rPr>
      </w:pPr>
    </w:p>
    <w:p w14:paraId="21BAF242" w14:textId="77777777" w:rsidR="003436DC" w:rsidRPr="00787A9E" w:rsidRDefault="004B0982" w:rsidP="00FD1A00">
      <w:pPr>
        <w:pStyle w:val="Heading1"/>
        <w:keepNext/>
        <w:keepLines/>
        <w:contextualSpacing/>
      </w:pPr>
      <w:bookmarkStart w:id="11" w:name="_Toc471747991"/>
      <w:bookmarkStart w:id="12" w:name="_Toc471748129"/>
      <w:r w:rsidRPr="00787A9E">
        <w:lastRenderedPageBreak/>
        <w:t>IX</w:t>
      </w:r>
      <w:r w:rsidR="003436DC" w:rsidRPr="00787A9E">
        <w:t>.</w:t>
      </w:r>
      <w:r w:rsidR="003436DC" w:rsidRPr="00787A9E">
        <w:tab/>
        <w:t xml:space="preserve">Discussion of </w:t>
      </w:r>
      <w:r w:rsidR="00027863" w:rsidRPr="00787A9E">
        <w:t xml:space="preserve">the Non-Unanimous </w:t>
      </w:r>
      <w:r w:rsidR="003436DC" w:rsidRPr="00787A9E">
        <w:t>Settlement</w:t>
      </w:r>
      <w:bookmarkEnd w:id="11"/>
      <w:bookmarkEnd w:id="12"/>
    </w:p>
    <w:p w14:paraId="1BEC83DA" w14:textId="77777777" w:rsidR="003436DC" w:rsidRPr="00787A9E" w:rsidRDefault="003436DC" w:rsidP="00FD1A00">
      <w:pPr>
        <w:keepNext/>
        <w:keepLines/>
        <w:contextualSpacing/>
        <w:jc w:val="center"/>
        <w:rPr>
          <w:b/>
          <w:sz w:val="26"/>
          <w:szCs w:val="26"/>
        </w:rPr>
      </w:pPr>
    </w:p>
    <w:p w14:paraId="00721175" w14:textId="27FADE13" w:rsidR="003436DC" w:rsidRDefault="003436DC" w:rsidP="00FD1A00">
      <w:pPr>
        <w:pStyle w:val="Heading2"/>
        <w:numPr>
          <w:ilvl w:val="0"/>
          <w:numId w:val="9"/>
        </w:numPr>
        <w:contextualSpacing/>
      </w:pPr>
      <w:bookmarkStart w:id="13" w:name="_Toc471747992"/>
      <w:bookmarkStart w:id="14" w:name="_Toc471748130"/>
      <w:r w:rsidRPr="00787A9E">
        <w:t>Terms and Conditions of the Settlement</w:t>
      </w:r>
      <w:bookmarkEnd w:id="13"/>
      <w:bookmarkEnd w:id="14"/>
    </w:p>
    <w:p w14:paraId="5E26469B" w14:textId="77777777" w:rsidR="0019487E" w:rsidRPr="0019487E" w:rsidRDefault="0019487E" w:rsidP="00FD1A00"/>
    <w:p w14:paraId="3314695B" w14:textId="6F738D16" w:rsidR="003436DC" w:rsidRPr="00787A9E" w:rsidRDefault="003436DC" w:rsidP="00FD1A00">
      <w:pPr>
        <w:ind w:firstLine="1440"/>
        <w:contextualSpacing/>
        <w:rPr>
          <w:sz w:val="26"/>
          <w:szCs w:val="26"/>
        </w:rPr>
      </w:pPr>
      <w:r w:rsidRPr="00787A9E">
        <w:rPr>
          <w:sz w:val="26"/>
          <w:szCs w:val="26"/>
        </w:rPr>
        <w:t>In the Settlement,</w:t>
      </w:r>
      <w:r w:rsidR="00ED14FC" w:rsidRPr="00787A9E">
        <w:rPr>
          <w:sz w:val="26"/>
          <w:szCs w:val="26"/>
        </w:rPr>
        <w:t xml:space="preserve"> the Joint Petitioners </w:t>
      </w:r>
      <w:r w:rsidRPr="00787A9E">
        <w:rPr>
          <w:sz w:val="26"/>
          <w:szCs w:val="26"/>
        </w:rPr>
        <w:t xml:space="preserve">agreed to various provisions concerning the revenue requirement, rate design and annual reports.  Attached to the Settlement as Appendix A </w:t>
      </w:r>
      <w:r w:rsidR="00C20030">
        <w:rPr>
          <w:sz w:val="26"/>
          <w:szCs w:val="26"/>
        </w:rPr>
        <w:t xml:space="preserve">was </w:t>
      </w:r>
      <w:r w:rsidRPr="00787A9E">
        <w:rPr>
          <w:sz w:val="26"/>
          <w:szCs w:val="26"/>
        </w:rPr>
        <w:t xml:space="preserve">the revenue requirement and the rate design agreed </w:t>
      </w:r>
      <w:r w:rsidR="00B53C83" w:rsidRPr="00787A9E">
        <w:rPr>
          <w:sz w:val="26"/>
          <w:szCs w:val="26"/>
        </w:rPr>
        <w:t>upon</w:t>
      </w:r>
      <w:r w:rsidRPr="00787A9E">
        <w:rPr>
          <w:sz w:val="26"/>
          <w:szCs w:val="26"/>
        </w:rPr>
        <w:t xml:space="preserve"> by </w:t>
      </w:r>
      <w:r w:rsidR="00B5471F" w:rsidRPr="00787A9E">
        <w:rPr>
          <w:sz w:val="26"/>
          <w:szCs w:val="26"/>
        </w:rPr>
        <w:t>the Joint Petitioners</w:t>
      </w:r>
      <w:r w:rsidRPr="00787A9E">
        <w:rPr>
          <w:sz w:val="26"/>
          <w:szCs w:val="26"/>
        </w:rPr>
        <w:t>.  In support of their agreement, HVUS and I&amp;E provided the following Settlement Terms:</w:t>
      </w:r>
    </w:p>
    <w:p w14:paraId="311A9636" w14:textId="77777777" w:rsidR="003436DC" w:rsidRPr="00787A9E" w:rsidRDefault="003436DC" w:rsidP="00FD1A00">
      <w:pPr>
        <w:pStyle w:val="BodyText"/>
        <w:spacing w:after="0"/>
        <w:contextualSpacing/>
        <w:rPr>
          <w:sz w:val="26"/>
          <w:szCs w:val="26"/>
        </w:rPr>
      </w:pPr>
    </w:p>
    <w:p w14:paraId="640165E7" w14:textId="77777777" w:rsidR="003436DC" w:rsidRPr="00787A9E" w:rsidRDefault="003436DC" w:rsidP="00FD1A00">
      <w:pPr>
        <w:pStyle w:val="ListParagraph"/>
        <w:keepNext/>
        <w:keepLines/>
        <w:numPr>
          <w:ilvl w:val="0"/>
          <w:numId w:val="10"/>
        </w:numPr>
        <w:spacing w:line="240" w:lineRule="auto"/>
        <w:ind w:right="1440"/>
        <w:rPr>
          <w:sz w:val="26"/>
          <w:szCs w:val="26"/>
          <w:u w:val="single"/>
        </w:rPr>
      </w:pPr>
      <w:r w:rsidRPr="00787A9E">
        <w:rPr>
          <w:sz w:val="26"/>
          <w:szCs w:val="26"/>
        </w:rPr>
        <w:t xml:space="preserve"> </w:t>
      </w:r>
      <w:r w:rsidRPr="00787A9E">
        <w:rPr>
          <w:sz w:val="26"/>
          <w:szCs w:val="26"/>
          <w:u w:val="single"/>
        </w:rPr>
        <w:t xml:space="preserve">Revenue Requirement </w:t>
      </w:r>
    </w:p>
    <w:p w14:paraId="24AF2DAB" w14:textId="77777777" w:rsidR="003436DC" w:rsidRPr="00787A9E" w:rsidRDefault="003436DC" w:rsidP="00FD1A00">
      <w:pPr>
        <w:pStyle w:val="BodyText"/>
        <w:keepNext/>
        <w:keepLines/>
        <w:spacing w:after="0"/>
        <w:contextualSpacing/>
        <w:rPr>
          <w:sz w:val="26"/>
          <w:szCs w:val="26"/>
        </w:rPr>
      </w:pPr>
    </w:p>
    <w:p w14:paraId="6F77B3B6" w14:textId="77777777" w:rsidR="003436DC" w:rsidRPr="00787A9E" w:rsidRDefault="003436DC" w:rsidP="00FD1A00">
      <w:pPr>
        <w:pStyle w:val="BodyText"/>
        <w:spacing w:after="0" w:line="240" w:lineRule="auto"/>
        <w:ind w:left="1440" w:right="1440" w:firstLine="360"/>
        <w:contextualSpacing/>
        <w:rPr>
          <w:sz w:val="26"/>
          <w:szCs w:val="26"/>
        </w:rPr>
      </w:pPr>
      <w:r w:rsidRPr="00787A9E">
        <w:rPr>
          <w:sz w:val="26"/>
          <w:szCs w:val="26"/>
        </w:rPr>
        <w:t>(1)</w:t>
      </w:r>
      <w:r w:rsidRPr="00787A9E">
        <w:rPr>
          <w:sz w:val="26"/>
          <w:szCs w:val="26"/>
        </w:rPr>
        <w:tab/>
        <w:t>Following entry of a Commission final order approving this Settlement, Hidden Valley will file compliance tariffs as follows:</w:t>
      </w:r>
    </w:p>
    <w:p w14:paraId="5E364EF7" w14:textId="77777777" w:rsidR="003436DC" w:rsidRPr="00787A9E" w:rsidRDefault="003436DC" w:rsidP="00FD1A00">
      <w:pPr>
        <w:pStyle w:val="BodyText"/>
        <w:spacing w:after="0" w:line="240" w:lineRule="auto"/>
        <w:ind w:left="1440" w:right="1440" w:firstLine="720"/>
        <w:contextualSpacing/>
        <w:rPr>
          <w:sz w:val="26"/>
          <w:szCs w:val="26"/>
        </w:rPr>
      </w:pPr>
    </w:p>
    <w:p w14:paraId="648051B0" w14:textId="77777777" w:rsidR="003436DC" w:rsidRPr="00787A9E" w:rsidRDefault="003436DC" w:rsidP="00FD1A00">
      <w:pPr>
        <w:pStyle w:val="BodyText"/>
        <w:spacing w:after="0" w:line="240" w:lineRule="auto"/>
        <w:ind w:left="1440" w:right="1440"/>
        <w:contextualSpacing/>
        <w:rPr>
          <w:sz w:val="26"/>
          <w:szCs w:val="26"/>
        </w:rPr>
      </w:pPr>
      <w:r w:rsidRPr="00787A9E">
        <w:rPr>
          <w:sz w:val="26"/>
          <w:szCs w:val="26"/>
        </w:rPr>
        <w:tab/>
        <w:t>(a)</w:t>
      </w:r>
      <w:r w:rsidRPr="00787A9E">
        <w:rPr>
          <w:sz w:val="26"/>
          <w:szCs w:val="26"/>
        </w:rPr>
        <w:tab/>
        <w:t>A water tariff with new rates designed to</w:t>
      </w:r>
    </w:p>
    <w:p w14:paraId="29CAC5B9" w14:textId="77777777" w:rsidR="003436DC" w:rsidRPr="00787A9E" w:rsidRDefault="003436DC" w:rsidP="00FD1A00">
      <w:pPr>
        <w:pStyle w:val="BodyText"/>
        <w:spacing w:after="0" w:line="240" w:lineRule="auto"/>
        <w:ind w:left="2880" w:right="1440"/>
        <w:contextualSpacing/>
        <w:rPr>
          <w:sz w:val="26"/>
          <w:szCs w:val="26"/>
        </w:rPr>
      </w:pPr>
      <w:r w:rsidRPr="00787A9E">
        <w:rPr>
          <w:sz w:val="26"/>
          <w:szCs w:val="26"/>
        </w:rPr>
        <w:t>produce $65,557 in additional annual operating revenue over present rates;</w:t>
      </w:r>
      <w:r w:rsidRPr="00787A9E">
        <w:rPr>
          <w:rStyle w:val="FootnoteReference"/>
          <w:sz w:val="26"/>
          <w:szCs w:val="26"/>
        </w:rPr>
        <w:footnoteReference w:id="16"/>
      </w:r>
      <w:r w:rsidRPr="00787A9E">
        <w:rPr>
          <w:sz w:val="26"/>
          <w:szCs w:val="26"/>
        </w:rPr>
        <w:t xml:space="preserve"> and</w:t>
      </w:r>
    </w:p>
    <w:p w14:paraId="63101C8D" w14:textId="77777777" w:rsidR="003436DC" w:rsidRPr="00787A9E" w:rsidRDefault="003436DC" w:rsidP="00FD1A00">
      <w:pPr>
        <w:pStyle w:val="BodyText"/>
        <w:spacing w:after="0" w:line="240" w:lineRule="auto"/>
        <w:ind w:left="1440" w:right="1440" w:firstLine="720"/>
        <w:contextualSpacing/>
        <w:rPr>
          <w:sz w:val="26"/>
          <w:szCs w:val="26"/>
        </w:rPr>
      </w:pPr>
    </w:p>
    <w:p w14:paraId="7C243EF6" w14:textId="77777777" w:rsidR="003436DC" w:rsidRPr="00787A9E" w:rsidRDefault="003436DC" w:rsidP="00FD1A00">
      <w:pPr>
        <w:pStyle w:val="BodyText"/>
        <w:spacing w:after="0" w:line="240" w:lineRule="auto"/>
        <w:ind w:left="1440" w:right="1440"/>
        <w:contextualSpacing/>
        <w:rPr>
          <w:sz w:val="26"/>
          <w:szCs w:val="26"/>
        </w:rPr>
      </w:pPr>
      <w:r w:rsidRPr="00787A9E">
        <w:rPr>
          <w:sz w:val="26"/>
          <w:szCs w:val="26"/>
        </w:rPr>
        <w:tab/>
        <w:t>(b)</w:t>
      </w:r>
      <w:r w:rsidRPr="00787A9E">
        <w:rPr>
          <w:sz w:val="26"/>
          <w:szCs w:val="26"/>
        </w:rPr>
        <w:tab/>
        <w:t xml:space="preserve">A wastewater tariff with new rates designed to </w:t>
      </w:r>
    </w:p>
    <w:p w14:paraId="1590593B" w14:textId="77777777" w:rsidR="003436DC" w:rsidRPr="00787A9E" w:rsidRDefault="003436DC" w:rsidP="00FD1A00">
      <w:pPr>
        <w:pStyle w:val="BodyText"/>
        <w:spacing w:after="0" w:line="240" w:lineRule="auto"/>
        <w:ind w:left="2880" w:right="1440"/>
        <w:contextualSpacing/>
        <w:rPr>
          <w:sz w:val="26"/>
          <w:szCs w:val="26"/>
        </w:rPr>
      </w:pPr>
      <w:r w:rsidRPr="00787A9E">
        <w:rPr>
          <w:sz w:val="26"/>
          <w:szCs w:val="26"/>
        </w:rPr>
        <w:t>produce $82,227 in additional annual operating revenue over present rates.</w:t>
      </w:r>
      <w:r w:rsidRPr="00787A9E">
        <w:rPr>
          <w:rStyle w:val="FootnoteReference"/>
          <w:sz w:val="26"/>
          <w:szCs w:val="26"/>
        </w:rPr>
        <w:footnoteReference w:id="17"/>
      </w:r>
    </w:p>
    <w:p w14:paraId="5DBBFBA2" w14:textId="77777777" w:rsidR="003436DC" w:rsidRPr="00787A9E" w:rsidRDefault="003436DC" w:rsidP="00FD1A00">
      <w:pPr>
        <w:pStyle w:val="BodyText"/>
        <w:spacing w:after="0" w:line="240" w:lineRule="auto"/>
        <w:ind w:left="1440" w:right="1440"/>
        <w:contextualSpacing/>
        <w:rPr>
          <w:sz w:val="26"/>
          <w:szCs w:val="26"/>
        </w:rPr>
      </w:pPr>
    </w:p>
    <w:p w14:paraId="0FB14F78" w14:textId="38A76509" w:rsidR="003436DC" w:rsidRPr="00BC5758" w:rsidRDefault="003436DC" w:rsidP="00FD1A00">
      <w:pPr>
        <w:pStyle w:val="BodyText"/>
        <w:spacing w:after="0" w:line="240" w:lineRule="auto"/>
        <w:ind w:left="1440" w:right="1440" w:firstLine="360"/>
        <w:contextualSpacing/>
        <w:rPr>
          <w:sz w:val="26"/>
          <w:szCs w:val="26"/>
        </w:rPr>
      </w:pPr>
      <w:r w:rsidRPr="00787A9E">
        <w:rPr>
          <w:sz w:val="26"/>
          <w:szCs w:val="26"/>
        </w:rPr>
        <w:t>(2)</w:t>
      </w:r>
      <w:r w:rsidRPr="00787A9E">
        <w:rPr>
          <w:sz w:val="26"/>
          <w:szCs w:val="26"/>
        </w:rPr>
        <w:tab/>
        <w:t>In addition, upon submission of Hidden Valley</w:t>
      </w:r>
      <w:r w:rsidR="00A424DB">
        <w:rPr>
          <w:sz w:val="26"/>
          <w:szCs w:val="26"/>
        </w:rPr>
        <w:t>’</w:t>
      </w:r>
      <w:r w:rsidRPr="00787A9E">
        <w:rPr>
          <w:sz w:val="26"/>
          <w:szCs w:val="26"/>
        </w:rPr>
        <w:t>s report and verification from its engineer stating that all repairs, modifications and improvements to Hidden Valley</w:t>
      </w:r>
      <w:r w:rsidR="00A424DB">
        <w:rPr>
          <w:sz w:val="26"/>
          <w:szCs w:val="26"/>
        </w:rPr>
        <w:t>’</w:t>
      </w:r>
      <w:r w:rsidRPr="00787A9E">
        <w:rPr>
          <w:sz w:val="26"/>
          <w:szCs w:val="26"/>
        </w:rPr>
        <w:t>s wastewater system have been completed, as required by Ordering Paragraphs 11 and 19 of the Commission</w:t>
      </w:r>
      <w:r w:rsidR="00A424DB">
        <w:rPr>
          <w:sz w:val="26"/>
          <w:szCs w:val="26"/>
        </w:rPr>
        <w:t>’</w:t>
      </w:r>
      <w:r w:rsidRPr="00787A9E">
        <w:rPr>
          <w:sz w:val="26"/>
          <w:szCs w:val="26"/>
        </w:rPr>
        <w:t xml:space="preserve">s May 3, 2018 Order on Reconsideration in </w:t>
      </w:r>
      <w:r w:rsidRPr="0019487E">
        <w:rPr>
          <w:sz w:val="26"/>
          <w:szCs w:val="26"/>
        </w:rPr>
        <w:t xml:space="preserve">McCloskey v. Hidden Valley Utility Services, L.P., </w:t>
      </w:r>
      <w:r w:rsidRPr="00787A9E">
        <w:rPr>
          <w:sz w:val="26"/>
          <w:szCs w:val="26"/>
        </w:rPr>
        <w:t xml:space="preserve">Docket Nos. C-2014-2447138 </w:t>
      </w:r>
      <w:r w:rsidRPr="00BC5758">
        <w:rPr>
          <w:sz w:val="26"/>
          <w:szCs w:val="26"/>
        </w:rPr>
        <w:lastRenderedPageBreak/>
        <w:t>and C-2014-2447169, Hidden Valley will file a compliance tariff designed to produce a total of $145,824 in additional annual operating revenue over present rates.</w:t>
      </w:r>
      <w:r w:rsidRPr="00BC5758">
        <w:rPr>
          <w:sz w:val="26"/>
          <w:szCs w:val="26"/>
          <w:vertAlign w:val="superscript"/>
        </w:rPr>
        <w:footnoteReference w:id="18"/>
      </w:r>
    </w:p>
    <w:p w14:paraId="20426B5D" w14:textId="77777777" w:rsidR="003436DC" w:rsidRPr="00787A9E" w:rsidRDefault="003436DC" w:rsidP="00FD1A00">
      <w:pPr>
        <w:contextualSpacing/>
        <w:rPr>
          <w:sz w:val="26"/>
          <w:szCs w:val="26"/>
        </w:rPr>
      </w:pPr>
    </w:p>
    <w:p w14:paraId="2F1D8E2D" w14:textId="77777777" w:rsidR="003436DC" w:rsidRPr="00787A9E" w:rsidRDefault="003436DC" w:rsidP="00FD1A00">
      <w:pPr>
        <w:pStyle w:val="ListParagraph"/>
        <w:keepNext/>
        <w:keepLines/>
        <w:numPr>
          <w:ilvl w:val="0"/>
          <w:numId w:val="10"/>
        </w:numPr>
        <w:spacing w:line="240" w:lineRule="auto"/>
        <w:ind w:right="1440"/>
        <w:rPr>
          <w:sz w:val="26"/>
          <w:szCs w:val="26"/>
          <w:u w:val="single"/>
        </w:rPr>
      </w:pPr>
      <w:r w:rsidRPr="00787A9E">
        <w:rPr>
          <w:sz w:val="26"/>
          <w:szCs w:val="26"/>
          <w:u w:val="single"/>
        </w:rPr>
        <w:t xml:space="preserve">Rate Design </w:t>
      </w:r>
    </w:p>
    <w:p w14:paraId="1BE42174" w14:textId="77777777" w:rsidR="003436DC" w:rsidRPr="00787A9E" w:rsidRDefault="003436DC" w:rsidP="00FD1A00">
      <w:pPr>
        <w:pStyle w:val="BodyText"/>
        <w:keepNext/>
        <w:keepLines/>
        <w:spacing w:after="0"/>
        <w:contextualSpacing/>
        <w:rPr>
          <w:sz w:val="26"/>
          <w:szCs w:val="26"/>
        </w:rPr>
      </w:pPr>
    </w:p>
    <w:p w14:paraId="19E40F19" w14:textId="77777777" w:rsidR="003436DC" w:rsidRPr="00787A9E" w:rsidRDefault="003436DC" w:rsidP="00FD1A00">
      <w:pPr>
        <w:pStyle w:val="BodyText"/>
        <w:spacing w:after="0" w:line="240" w:lineRule="auto"/>
        <w:ind w:left="1440" w:right="1440" w:firstLine="360"/>
        <w:contextualSpacing/>
        <w:rPr>
          <w:sz w:val="26"/>
          <w:szCs w:val="26"/>
        </w:rPr>
      </w:pPr>
      <w:r w:rsidRPr="00787A9E">
        <w:rPr>
          <w:sz w:val="26"/>
          <w:szCs w:val="26"/>
        </w:rPr>
        <w:t>To implement the revenue requirements stated above, the rates proposed by Hidden Valley Utility Services, L.P. shall be scaled back proportionally, as shown on Appendix A.</w:t>
      </w:r>
    </w:p>
    <w:p w14:paraId="5D23EF26" w14:textId="77777777" w:rsidR="003436DC" w:rsidRPr="00787A9E" w:rsidRDefault="003436DC" w:rsidP="00FD1A00">
      <w:pPr>
        <w:pStyle w:val="BodyText"/>
        <w:spacing w:after="0" w:line="240" w:lineRule="auto"/>
        <w:ind w:left="1440" w:right="1440" w:firstLine="360"/>
        <w:contextualSpacing/>
        <w:rPr>
          <w:sz w:val="26"/>
          <w:szCs w:val="26"/>
        </w:rPr>
      </w:pPr>
    </w:p>
    <w:p w14:paraId="469A6011" w14:textId="77777777" w:rsidR="003436DC" w:rsidRPr="00787A9E" w:rsidRDefault="003436DC" w:rsidP="00FD1A00">
      <w:pPr>
        <w:pStyle w:val="BodyText"/>
        <w:spacing w:after="0" w:line="240" w:lineRule="auto"/>
        <w:ind w:left="1440" w:right="1440"/>
        <w:contextualSpacing/>
        <w:rPr>
          <w:sz w:val="26"/>
          <w:szCs w:val="26"/>
        </w:rPr>
      </w:pPr>
    </w:p>
    <w:p w14:paraId="2B644F28" w14:textId="77777777" w:rsidR="003436DC" w:rsidRPr="00787A9E" w:rsidRDefault="003436DC" w:rsidP="00FD1A00">
      <w:pPr>
        <w:pStyle w:val="ListParagraph"/>
        <w:keepNext/>
        <w:keepLines/>
        <w:numPr>
          <w:ilvl w:val="0"/>
          <w:numId w:val="10"/>
        </w:numPr>
        <w:spacing w:line="240" w:lineRule="auto"/>
        <w:ind w:right="1440"/>
        <w:rPr>
          <w:sz w:val="26"/>
          <w:szCs w:val="26"/>
          <w:u w:val="single"/>
        </w:rPr>
      </w:pPr>
      <w:r w:rsidRPr="00787A9E">
        <w:rPr>
          <w:sz w:val="26"/>
          <w:szCs w:val="26"/>
          <w:u w:val="single"/>
        </w:rPr>
        <w:t xml:space="preserve">Annual Reports </w:t>
      </w:r>
    </w:p>
    <w:p w14:paraId="423D8959" w14:textId="77777777" w:rsidR="003436DC" w:rsidRPr="00787A9E" w:rsidRDefault="003436DC" w:rsidP="00FD1A00">
      <w:pPr>
        <w:pStyle w:val="BodyText"/>
        <w:spacing w:after="0" w:line="240" w:lineRule="auto"/>
        <w:ind w:left="1440" w:right="1440"/>
        <w:contextualSpacing/>
        <w:rPr>
          <w:sz w:val="26"/>
          <w:szCs w:val="26"/>
        </w:rPr>
      </w:pPr>
    </w:p>
    <w:p w14:paraId="4DCAF0AD" w14:textId="2A1DF067" w:rsidR="003436DC" w:rsidRDefault="003436DC" w:rsidP="00FD1A00">
      <w:pPr>
        <w:pStyle w:val="BodyText"/>
        <w:spacing w:after="0" w:line="240" w:lineRule="auto"/>
        <w:ind w:left="1440" w:right="1440" w:firstLine="360"/>
        <w:contextualSpacing/>
        <w:rPr>
          <w:sz w:val="26"/>
          <w:szCs w:val="26"/>
        </w:rPr>
      </w:pPr>
      <w:r w:rsidRPr="00787A9E">
        <w:rPr>
          <w:sz w:val="26"/>
          <w:szCs w:val="26"/>
        </w:rPr>
        <w:t>(1)</w:t>
      </w:r>
      <w:r w:rsidR="0007383C">
        <w:rPr>
          <w:sz w:val="26"/>
          <w:szCs w:val="26"/>
        </w:rPr>
        <w:tab/>
      </w:r>
      <w:r w:rsidRPr="00787A9E">
        <w:rPr>
          <w:sz w:val="26"/>
          <w:szCs w:val="26"/>
        </w:rPr>
        <w:t>Hidden Valley will correct its annual reports for the years 2015-2018.  Specifically, Hidden Valley will have these annual reports prepared or reviewed by a rate consultant prior to submission to the Commission.  These corrected annual reports will be filed within six months after the entry of a final Commission Order in this proceeding.</w:t>
      </w:r>
    </w:p>
    <w:p w14:paraId="56B27117" w14:textId="77777777" w:rsidR="0007383C" w:rsidRPr="00787A9E" w:rsidRDefault="0007383C" w:rsidP="00FD1A00">
      <w:pPr>
        <w:pStyle w:val="BodyText"/>
        <w:spacing w:after="0" w:line="240" w:lineRule="auto"/>
        <w:ind w:left="1440" w:right="1440" w:firstLine="360"/>
        <w:contextualSpacing/>
        <w:rPr>
          <w:sz w:val="26"/>
          <w:szCs w:val="26"/>
        </w:rPr>
      </w:pPr>
    </w:p>
    <w:p w14:paraId="7D7FF26A" w14:textId="5BF04D00" w:rsidR="003436DC" w:rsidRDefault="003436DC" w:rsidP="00FD1A00">
      <w:pPr>
        <w:pStyle w:val="BodyText"/>
        <w:spacing w:after="0" w:line="240" w:lineRule="auto"/>
        <w:ind w:left="1440" w:right="1440" w:firstLine="360"/>
        <w:contextualSpacing/>
        <w:rPr>
          <w:sz w:val="26"/>
          <w:szCs w:val="26"/>
        </w:rPr>
      </w:pPr>
      <w:r w:rsidRPr="00787A9E">
        <w:rPr>
          <w:sz w:val="26"/>
          <w:szCs w:val="26"/>
        </w:rPr>
        <w:t>(2)</w:t>
      </w:r>
      <w:r w:rsidR="0007383C">
        <w:rPr>
          <w:sz w:val="26"/>
          <w:szCs w:val="26"/>
        </w:rPr>
        <w:tab/>
      </w:r>
      <w:r w:rsidRPr="00787A9E">
        <w:rPr>
          <w:sz w:val="26"/>
          <w:szCs w:val="26"/>
        </w:rPr>
        <w:t>For annual reports submitted to the Commission during the period 2019-2023, or until its next rate case, whichever is earlier, Hidden Valley shall have its annual reports prepared or reviewed by a rate consultant.</w:t>
      </w:r>
    </w:p>
    <w:p w14:paraId="2CC6E69F" w14:textId="658A31A2" w:rsidR="0007383C" w:rsidRDefault="0007383C" w:rsidP="00FD1A00">
      <w:pPr>
        <w:pStyle w:val="BodyText"/>
        <w:spacing w:after="0" w:line="240" w:lineRule="auto"/>
        <w:ind w:left="1440" w:right="1440" w:firstLine="360"/>
        <w:contextualSpacing/>
        <w:rPr>
          <w:sz w:val="26"/>
          <w:szCs w:val="26"/>
        </w:rPr>
      </w:pPr>
    </w:p>
    <w:p w14:paraId="019F05D2" w14:textId="77777777" w:rsidR="0007383C" w:rsidRPr="00787A9E" w:rsidRDefault="0007383C" w:rsidP="00FD1A00">
      <w:pPr>
        <w:pStyle w:val="BodyText"/>
        <w:spacing w:after="0" w:line="240" w:lineRule="auto"/>
        <w:ind w:left="1440" w:right="1440" w:firstLine="360"/>
        <w:contextualSpacing/>
        <w:rPr>
          <w:sz w:val="26"/>
          <w:szCs w:val="26"/>
        </w:rPr>
      </w:pPr>
    </w:p>
    <w:p w14:paraId="197B915A" w14:textId="744414F0" w:rsidR="003436DC" w:rsidRDefault="00691D45" w:rsidP="00FD1A00">
      <w:pPr>
        <w:contextualSpacing/>
        <w:rPr>
          <w:sz w:val="26"/>
          <w:szCs w:val="26"/>
        </w:rPr>
      </w:pPr>
      <w:r w:rsidRPr="00787A9E">
        <w:rPr>
          <w:sz w:val="26"/>
          <w:szCs w:val="26"/>
        </w:rPr>
        <w:t>Non-Unanimous</w:t>
      </w:r>
      <w:r w:rsidR="003436DC" w:rsidRPr="00787A9E">
        <w:rPr>
          <w:sz w:val="26"/>
          <w:szCs w:val="26"/>
        </w:rPr>
        <w:t xml:space="preserve"> Settlement at 2-3.  The Joint Petitioners acknowledge</w:t>
      </w:r>
      <w:r w:rsidR="008668C4">
        <w:rPr>
          <w:sz w:val="26"/>
          <w:szCs w:val="26"/>
        </w:rPr>
        <w:t>d</w:t>
      </w:r>
      <w:r w:rsidR="003436DC" w:rsidRPr="00787A9E">
        <w:rPr>
          <w:sz w:val="26"/>
          <w:szCs w:val="26"/>
        </w:rPr>
        <w:t xml:space="preserve"> that the Settlement reflects a compromise of competing positions and does not necessarily reflect any Party</w:t>
      </w:r>
      <w:r w:rsidR="00A424DB">
        <w:rPr>
          <w:sz w:val="26"/>
          <w:szCs w:val="26"/>
        </w:rPr>
        <w:t>’</w:t>
      </w:r>
      <w:r w:rsidR="003436DC" w:rsidRPr="00787A9E">
        <w:rPr>
          <w:sz w:val="26"/>
          <w:szCs w:val="26"/>
        </w:rPr>
        <w:t xml:space="preserve">s position with respect to any issues raised in this proceeding.  The Joint Petitioners indicated that the Settlement may not be cited as precedent in any future proceeding, except to the extent required to implement the Settlement.  Finally, the Joint Petitioners requested that the ALJ and the Commission approve the </w:t>
      </w:r>
      <w:r w:rsidRPr="00787A9E">
        <w:rPr>
          <w:sz w:val="26"/>
          <w:szCs w:val="26"/>
        </w:rPr>
        <w:t>Non-Unanimous</w:t>
      </w:r>
      <w:r w:rsidR="003436DC" w:rsidRPr="00787A9E">
        <w:rPr>
          <w:sz w:val="26"/>
          <w:szCs w:val="26"/>
        </w:rPr>
        <w:t xml:space="preserve"> Settlement without modification.  </w:t>
      </w:r>
      <w:r w:rsidR="003436DC" w:rsidRPr="00787A9E">
        <w:rPr>
          <w:i/>
          <w:sz w:val="26"/>
          <w:szCs w:val="26"/>
        </w:rPr>
        <w:t>Id.</w:t>
      </w:r>
      <w:r w:rsidR="003436DC" w:rsidRPr="00787A9E">
        <w:rPr>
          <w:sz w:val="26"/>
          <w:szCs w:val="26"/>
        </w:rPr>
        <w:t xml:space="preserve"> at 3.</w:t>
      </w:r>
    </w:p>
    <w:p w14:paraId="181E1A94" w14:textId="77777777" w:rsidR="004D1C12" w:rsidRPr="00787A9E" w:rsidRDefault="004D1C12" w:rsidP="00FD1A00">
      <w:pPr>
        <w:contextualSpacing/>
        <w:rPr>
          <w:b/>
          <w:sz w:val="26"/>
          <w:szCs w:val="26"/>
        </w:rPr>
      </w:pPr>
    </w:p>
    <w:p w14:paraId="3483FA3F" w14:textId="77777777" w:rsidR="003436DC" w:rsidRPr="00787A9E" w:rsidRDefault="003436DC" w:rsidP="00FD1A00">
      <w:pPr>
        <w:pStyle w:val="Heading2"/>
        <w:contextualSpacing/>
      </w:pPr>
      <w:bookmarkStart w:id="15" w:name="_Toc471747993"/>
      <w:bookmarkStart w:id="16" w:name="_Toc471748131"/>
      <w:r w:rsidRPr="00787A9E">
        <w:lastRenderedPageBreak/>
        <w:t>B.</w:t>
      </w:r>
      <w:r w:rsidRPr="00787A9E">
        <w:tab/>
        <w:t>Legal Standards</w:t>
      </w:r>
      <w:bookmarkEnd w:id="15"/>
      <w:bookmarkEnd w:id="16"/>
    </w:p>
    <w:p w14:paraId="4624007A" w14:textId="77777777" w:rsidR="003436DC" w:rsidRPr="00787A9E" w:rsidRDefault="003436DC" w:rsidP="00FD1A00">
      <w:pPr>
        <w:keepNext/>
        <w:contextualSpacing/>
        <w:rPr>
          <w:b/>
          <w:sz w:val="26"/>
          <w:szCs w:val="26"/>
        </w:rPr>
      </w:pPr>
    </w:p>
    <w:p w14:paraId="6E332DFF" w14:textId="073A8CB2" w:rsidR="003436DC" w:rsidRPr="00787A9E" w:rsidRDefault="003436DC" w:rsidP="00FD1A00">
      <w:pPr>
        <w:ind w:firstLine="1440"/>
        <w:contextualSpacing/>
        <w:rPr>
          <w:sz w:val="26"/>
          <w:szCs w:val="26"/>
        </w:rPr>
      </w:pPr>
      <w:r w:rsidRPr="00787A9E">
        <w:rPr>
          <w:sz w:val="26"/>
          <w:szCs w:val="26"/>
        </w:rPr>
        <w:t xml:space="preserve">The purpose of this investigation is to establish rates for </w:t>
      </w:r>
      <w:r w:rsidR="003B5311" w:rsidRPr="00787A9E">
        <w:rPr>
          <w:sz w:val="26"/>
          <w:szCs w:val="26"/>
        </w:rPr>
        <w:t>HVUS</w:t>
      </w:r>
      <w:r w:rsidR="00A424DB">
        <w:rPr>
          <w:sz w:val="26"/>
          <w:szCs w:val="26"/>
        </w:rPr>
        <w:t>’</w:t>
      </w:r>
      <w:r w:rsidR="003B5311" w:rsidRPr="00787A9E">
        <w:rPr>
          <w:sz w:val="26"/>
          <w:szCs w:val="26"/>
        </w:rPr>
        <w:t>s</w:t>
      </w:r>
      <w:r w:rsidRPr="00787A9E">
        <w:rPr>
          <w:sz w:val="26"/>
          <w:szCs w:val="26"/>
        </w:rPr>
        <w:t xml:space="preserve"> customers that are </w:t>
      </w:r>
      <w:r w:rsidR="00A424DB">
        <w:rPr>
          <w:sz w:val="26"/>
          <w:szCs w:val="26"/>
        </w:rPr>
        <w:t>“</w:t>
      </w:r>
      <w:r w:rsidRPr="00787A9E">
        <w:rPr>
          <w:sz w:val="26"/>
          <w:szCs w:val="26"/>
        </w:rPr>
        <w:t>just and reasonable</w:t>
      </w:r>
      <w:r w:rsidR="00A424DB">
        <w:rPr>
          <w:sz w:val="26"/>
          <w:szCs w:val="26"/>
        </w:rPr>
        <w:t>”</w:t>
      </w:r>
      <w:r w:rsidRPr="00787A9E">
        <w:rPr>
          <w:sz w:val="26"/>
          <w:szCs w:val="26"/>
        </w:rPr>
        <w:t xml:space="preserve"> pursuant to Section 1301 of the Code, 66 Pa. C.S. § 1301.  A public utility seeking a general rate increase is entitled to an opportunity to earn a fair rate of return on the value of the property dedicated to public service.  </w:t>
      </w:r>
      <w:r w:rsidRPr="00787A9E">
        <w:rPr>
          <w:i/>
          <w:sz w:val="26"/>
          <w:szCs w:val="26"/>
        </w:rPr>
        <w:t>Bluefield Water Works and Improvement Co. v. Public Service Comm</w:t>
      </w:r>
      <w:r w:rsidR="00A424DB">
        <w:rPr>
          <w:i/>
          <w:sz w:val="26"/>
          <w:szCs w:val="26"/>
        </w:rPr>
        <w:t>’</w:t>
      </w:r>
      <w:r w:rsidRPr="00787A9E">
        <w:rPr>
          <w:i/>
          <w:sz w:val="26"/>
          <w:szCs w:val="26"/>
        </w:rPr>
        <w:t>n of West Virginia,</w:t>
      </w:r>
      <w:r w:rsidRPr="00787A9E">
        <w:rPr>
          <w:sz w:val="26"/>
          <w:szCs w:val="26"/>
        </w:rPr>
        <w:t xml:space="preserve"> 262 U.S. 679 (1923).</w:t>
      </w:r>
    </w:p>
    <w:p w14:paraId="2F9D40A2" w14:textId="77777777" w:rsidR="0079366F" w:rsidRPr="00787A9E" w:rsidRDefault="0079366F" w:rsidP="00FD1A00">
      <w:pPr>
        <w:ind w:firstLine="1440"/>
        <w:contextualSpacing/>
        <w:rPr>
          <w:sz w:val="26"/>
          <w:szCs w:val="26"/>
        </w:rPr>
      </w:pPr>
    </w:p>
    <w:p w14:paraId="3C787C22" w14:textId="03E3DC36" w:rsidR="003436DC" w:rsidRDefault="003436DC" w:rsidP="00FD1A00">
      <w:pPr>
        <w:ind w:firstLine="1440"/>
        <w:contextualSpacing/>
        <w:rPr>
          <w:sz w:val="26"/>
          <w:szCs w:val="26"/>
        </w:rPr>
      </w:pPr>
      <w:r w:rsidRPr="00787A9E">
        <w:rPr>
          <w:sz w:val="26"/>
          <w:szCs w:val="26"/>
        </w:rPr>
        <w:t xml:space="preserve">In determining what constitutes a fair rate of return, the Commission is guided by the criteria set forth in </w:t>
      </w:r>
      <w:r w:rsidRPr="00787A9E">
        <w:rPr>
          <w:i/>
          <w:sz w:val="26"/>
          <w:szCs w:val="26"/>
        </w:rPr>
        <w:t xml:space="preserve">Bluefield, supra, </w:t>
      </w:r>
      <w:r w:rsidRPr="00787A9E">
        <w:rPr>
          <w:sz w:val="26"/>
          <w:szCs w:val="26"/>
        </w:rPr>
        <w:t xml:space="preserve">and </w:t>
      </w:r>
      <w:r w:rsidRPr="00787A9E">
        <w:rPr>
          <w:i/>
          <w:sz w:val="26"/>
          <w:szCs w:val="26"/>
        </w:rPr>
        <w:t>Federal Power Comm</w:t>
      </w:r>
      <w:r w:rsidR="00A424DB">
        <w:rPr>
          <w:i/>
          <w:sz w:val="26"/>
          <w:szCs w:val="26"/>
        </w:rPr>
        <w:t>’</w:t>
      </w:r>
      <w:r w:rsidRPr="00787A9E">
        <w:rPr>
          <w:i/>
          <w:sz w:val="26"/>
          <w:szCs w:val="26"/>
        </w:rPr>
        <w:t>n v. Hope Natural Gas Co.</w:t>
      </w:r>
      <w:r w:rsidRPr="00787A9E">
        <w:rPr>
          <w:sz w:val="26"/>
          <w:szCs w:val="26"/>
        </w:rPr>
        <w:t xml:space="preserve">, 320 U.S. 591 (1944).  In </w:t>
      </w:r>
      <w:r w:rsidRPr="00787A9E">
        <w:rPr>
          <w:i/>
          <w:sz w:val="26"/>
          <w:szCs w:val="26"/>
        </w:rPr>
        <w:t>Bluefield</w:t>
      </w:r>
      <w:r w:rsidRPr="00787A9E">
        <w:rPr>
          <w:sz w:val="26"/>
          <w:szCs w:val="26"/>
        </w:rPr>
        <w:t xml:space="preserve"> the United States Supreme Court stated:</w:t>
      </w:r>
    </w:p>
    <w:p w14:paraId="349750B4" w14:textId="77777777" w:rsidR="004D1C12" w:rsidRPr="00787A9E" w:rsidRDefault="004D1C12" w:rsidP="00FD1A00">
      <w:pPr>
        <w:ind w:firstLine="1440"/>
        <w:contextualSpacing/>
        <w:rPr>
          <w:sz w:val="26"/>
          <w:szCs w:val="26"/>
        </w:rPr>
      </w:pPr>
    </w:p>
    <w:p w14:paraId="753EFEC9" w14:textId="77777777" w:rsidR="003436DC" w:rsidRPr="00787A9E" w:rsidRDefault="003436DC" w:rsidP="00FD1A00">
      <w:pPr>
        <w:spacing w:line="240" w:lineRule="auto"/>
        <w:ind w:left="1440" w:right="1440"/>
        <w:contextualSpacing/>
        <w:rPr>
          <w:sz w:val="26"/>
          <w:szCs w:val="26"/>
        </w:rPr>
      </w:pPr>
      <w:r w:rsidRPr="00787A9E">
        <w:rPr>
          <w:sz w:val="26"/>
          <w:szCs w:val="26"/>
        </w:rPr>
        <w:tab/>
        <w:t xml:space="preserve">A public utility is entitled to such rates as will permit it to earn a return on the value of the property which it employs for the convenience of the public equal to that generally being made at the same time and in the same general part of the country on investments in other business undertakings which are attended by corresponding risks and uncertainties; but it has no constitutional right to profits such as are realized or anticipated in highly profitable enterprises or speculative ventures.  The return should be reasonably sufficient to assure confidence in the financial soundness of the utility and should be adequate, under efficient and economical management, to maintain and support its credit and enable it to raise the money necessary for the proper discharge of its public duties.  </w:t>
      </w:r>
    </w:p>
    <w:p w14:paraId="0CC16E71" w14:textId="71B90AA3" w:rsidR="003436DC" w:rsidRDefault="003436DC" w:rsidP="00FD1A00">
      <w:pPr>
        <w:keepNext/>
        <w:spacing w:line="240" w:lineRule="auto"/>
        <w:ind w:left="1440" w:right="1440"/>
        <w:contextualSpacing/>
        <w:rPr>
          <w:sz w:val="26"/>
          <w:szCs w:val="26"/>
        </w:rPr>
      </w:pPr>
      <w:r w:rsidRPr="00787A9E">
        <w:rPr>
          <w:sz w:val="26"/>
          <w:szCs w:val="26"/>
        </w:rPr>
        <w:t>A rate of return may be too high or too low by changes affecting opportunities for investment, the money market and business conditions generally.</w:t>
      </w:r>
    </w:p>
    <w:p w14:paraId="62DA14CF" w14:textId="77777777" w:rsidR="0007383C" w:rsidRPr="00787A9E" w:rsidRDefault="0007383C" w:rsidP="00FD1A00">
      <w:pPr>
        <w:keepNext/>
        <w:spacing w:line="240" w:lineRule="auto"/>
        <w:ind w:left="1440" w:right="1440"/>
        <w:contextualSpacing/>
        <w:rPr>
          <w:sz w:val="26"/>
          <w:szCs w:val="26"/>
        </w:rPr>
      </w:pPr>
    </w:p>
    <w:p w14:paraId="3FC9BBEC" w14:textId="77777777" w:rsidR="003436DC" w:rsidRPr="00787A9E" w:rsidRDefault="003436DC" w:rsidP="00FD1A00">
      <w:pPr>
        <w:keepNext/>
        <w:spacing w:line="240" w:lineRule="auto"/>
        <w:ind w:left="1440" w:right="1440"/>
        <w:contextualSpacing/>
        <w:rPr>
          <w:sz w:val="26"/>
          <w:szCs w:val="26"/>
        </w:rPr>
      </w:pPr>
    </w:p>
    <w:p w14:paraId="393B1A96" w14:textId="77777777" w:rsidR="003436DC" w:rsidRPr="00787A9E" w:rsidRDefault="003436DC" w:rsidP="00FD1A00">
      <w:pPr>
        <w:pStyle w:val="BodyText"/>
        <w:keepNext/>
        <w:spacing w:line="240" w:lineRule="auto"/>
        <w:contextualSpacing/>
        <w:jc w:val="both"/>
        <w:rPr>
          <w:sz w:val="26"/>
          <w:szCs w:val="26"/>
        </w:rPr>
      </w:pPr>
      <w:r w:rsidRPr="00787A9E">
        <w:rPr>
          <w:i/>
          <w:sz w:val="26"/>
          <w:szCs w:val="26"/>
        </w:rPr>
        <w:t xml:space="preserve">Bluefield, </w:t>
      </w:r>
      <w:r w:rsidRPr="00787A9E">
        <w:rPr>
          <w:sz w:val="26"/>
          <w:szCs w:val="26"/>
        </w:rPr>
        <w:t>262 U.S. at 692-3.</w:t>
      </w:r>
    </w:p>
    <w:p w14:paraId="2B77BBC5" w14:textId="77777777" w:rsidR="003436DC" w:rsidRPr="00787A9E" w:rsidRDefault="003436DC" w:rsidP="00FD1A00">
      <w:pPr>
        <w:contextualSpacing/>
        <w:rPr>
          <w:sz w:val="26"/>
          <w:szCs w:val="26"/>
        </w:rPr>
      </w:pPr>
    </w:p>
    <w:p w14:paraId="2B6B2ECA" w14:textId="77777777" w:rsidR="003436DC" w:rsidRPr="00787A9E" w:rsidRDefault="003436DC" w:rsidP="00FD1A00">
      <w:pPr>
        <w:ind w:firstLine="1440"/>
        <w:contextualSpacing/>
        <w:rPr>
          <w:sz w:val="26"/>
          <w:szCs w:val="26"/>
        </w:rPr>
      </w:pPr>
      <w:r w:rsidRPr="00787A9E">
        <w:rPr>
          <w:sz w:val="26"/>
          <w:szCs w:val="26"/>
        </w:rPr>
        <w:lastRenderedPageBreak/>
        <w:t>The policy of the Commission is to encourage settlements, and the Commission has stated that settlement rates are often preferable to those achieved at the conclusion of a fully litigated proceeding.  52 Pa. Code §§ 5.231, 69.401.  A full settlement of all the issues in a proceeding eliminates the time, effort and expense that otherwise would have been used in litigating the proceeding, while a partial settlement may significantly reduce the time, effort and expense of litigating a case.  A settlement, whether whole or partial, benefits not only the named parties directly, but, indirectly, all customers of the public utility involved in the case.</w:t>
      </w:r>
    </w:p>
    <w:p w14:paraId="49EEB407" w14:textId="77777777" w:rsidR="003436DC" w:rsidRPr="00787A9E" w:rsidRDefault="003436DC" w:rsidP="00FD1A00">
      <w:pPr>
        <w:ind w:firstLine="1440"/>
        <w:contextualSpacing/>
        <w:rPr>
          <w:sz w:val="26"/>
          <w:szCs w:val="26"/>
        </w:rPr>
      </w:pPr>
    </w:p>
    <w:p w14:paraId="657D56AB" w14:textId="5F825EE0" w:rsidR="003436DC" w:rsidRPr="00787A9E" w:rsidRDefault="003436DC" w:rsidP="00FD1A00">
      <w:pPr>
        <w:ind w:firstLine="1440"/>
        <w:contextualSpacing/>
        <w:rPr>
          <w:sz w:val="26"/>
          <w:szCs w:val="26"/>
        </w:rPr>
      </w:pPr>
      <w:r w:rsidRPr="00787A9E">
        <w:rPr>
          <w:sz w:val="26"/>
          <w:szCs w:val="26"/>
        </w:rPr>
        <w:t xml:space="preserve">The </w:t>
      </w:r>
      <w:r w:rsidR="00C41098" w:rsidRPr="00787A9E">
        <w:rPr>
          <w:sz w:val="26"/>
          <w:szCs w:val="26"/>
        </w:rPr>
        <w:t>Non-Unanimous</w:t>
      </w:r>
      <w:r w:rsidRPr="00787A9E">
        <w:rPr>
          <w:sz w:val="26"/>
          <w:szCs w:val="26"/>
        </w:rPr>
        <w:t xml:space="preserve"> Settlement, in this case, </w:t>
      </w:r>
      <w:r w:rsidR="00C53601" w:rsidRPr="00787A9E">
        <w:rPr>
          <w:sz w:val="26"/>
          <w:szCs w:val="26"/>
        </w:rPr>
        <w:t>is a</w:t>
      </w:r>
      <w:r w:rsidRPr="00787A9E">
        <w:rPr>
          <w:sz w:val="26"/>
          <w:szCs w:val="26"/>
        </w:rPr>
        <w:t xml:space="preserve"> </w:t>
      </w:r>
      <w:r w:rsidR="00A424DB">
        <w:rPr>
          <w:sz w:val="26"/>
          <w:szCs w:val="26"/>
        </w:rPr>
        <w:t>“</w:t>
      </w:r>
      <w:r w:rsidRPr="00787A9E">
        <w:rPr>
          <w:sz w:val="26"/>
          <w:szCs w:val="26"/>
        </w:rPr>
        <w:t>black box</w:t>
      </w:r>
      <w:r w:rsidR="00A424DB">
        <w:rPr>
          <w:sz w:val="26"/>
          <w:szCs w:val="26"/>
        </w:rPr>
        <w:t>”</w:t>
      </w:r>
      <w:r w:rsidRPr="00787A9E">
        <w:rPr>
          <w:sz w:val="26"/>
          <w:szCs w:val="26"/>
        </w:rPr>
        <w:t xml:space="preserve"> settlement.  This means that the Parties </w:t>
      </w:r>
      <w:r w:rsidR="00B8522B">
        <w:rPr>
          <w:sz w:val="26"/>
          <w:szCs w:val="26"/>
        </w:rPr>
        <w:t xml:space="preserve">did not specify </w:t>
      </w:r>
      <w:r w:rsidRPr="00787A9E">
        <w:rPr>
          <w:sz w:val="26"/>
          <w:szCs w:val="26"/>
        </w:rPr>
        <w:t xml:space="preserve">each and every element of the revenue requirement calculations.  The Commission has recognized that </w:t>
      </w:r>
      <w:r w:rsidR="00A424DB">
        <w:rPr>
          <w:sz w:val="26"/>
          <w:szCs w:val="26"/>
        </w:rPr>
        <w:t>“</w:t>
      </w:r>
      <w:r w:rsidRPr="00787A9E">
        <w:rPr>
          <w:sz w:val="26"/>
          <w:szCs w:val="26"/>
        </w:rPr>
        <w:t xml:space="preserve">black box </w:t>
      </w:r>
      <w:r w:rsidR="00A424DB">
        <w:rPr>
          <w:sz w:val="26"/>
          <w:szCs w:val="26"/>
        </w:rPr>
        <w:t>“</w:t>
      </w:r>
      <w:r w:rsidRPr="00787A9E">
        <w:rPr>
          <w:sz w:val="26"/>
          <w:szCs w:val="26"/>
        </w:rPr>
        <w:t>settlements can serve an important purpose in reaching consensus in rate cases:</w:t>
      </w:r>
    </w:p>
    <w:p w14:paraId="1472CE11" w14:textId="77777777" w:rsidR="003436DC" w:rsidRPr="00787A9E" w:rsidRDefault="003436DC" w:rsidP="00FD1A00">
      <w:pPr>
        <w:spacing w:line="240" w:lineRule="auto"/>
        <w:ind w:left="1440" w:right="1440"/>
        <w:contextualSpacing/>
        <w:rPr>
          <w:sz w:val="26"/>
          <w:szCs w:val="26"/>
        </w:rPr>
      </w:pPr>
    </w:p>
    <w:p w14:paraId="135823E4" w14:textId="75BF22B7" w:rsidR="003436DC" w:rsidRPr="00787A9E" w:rsidRDefault="003436DC" w:rsidP="00FD1A00">
      <w:pPr>
        <w:spacing w:line="240" w:lineRule="auto"/>
        <w:ind w:left="1440" w:right="1440"/>
        <w:contextualSpacing/>
        <w:rPr>
          <w:sz w:val="26"/>
          <w:szCs w:val="26"/>
        </w:rPr>
      </w:pPr>
      <w:r w:rsidRPr="00787A9E">
        <w:rPr>
          <w:sz w:val="26"/>
          <w:szCs w:val="26"/>
        </w:rPr>
        <w:t xml:space="preserve">We have historically permitted the use of </w:t>
      </w:r>
      <w:r w:rsidR="00A424DB">
        <w:rPr>
          <w:sz w:val="26"/>
          <w:szCs w:val="26"/>
        </w:rPr>
        <w:t>“</w:t>
      </w:r>
      <w:r w:rsidRPr="00787A9E">
        <w:rPr>
          <w:sz w:val="26"/>
          <w:szCs w:val="26"/>
        </w:rPr>
        <w:t>black box</w:t>
      </w:r>
      <w:r w:rsidR="00A424DB">
        <w:rPr>
          <w:sz w:val="26"/>
          <w:szCs w:val="26"/>
        </w:rPr>
        <w:t>”</w:t>
      </w:r>
      <w:r w:rsidRPr="00787A9E">
        <w:rPr>
          <w:sz w:val="26"/>
          <w:szCs w:val="26"/>
        </w:rPr>
        <w:t xml:space="preserve"> settlements as a means of promoting settlement among the parties in contentious base rate proceedings.  Settlement of rate cases saves a significant amount of time and expense for customers, companies, and the Commission and often results in alternatives that may not have been realized during the litigation process.  Determining a company</w:t>
      </w:r>
      <w:r w:rsidR="00A424DB">
        <w:rPr>
          <w:sz w:val="26"/>
          <w:szCs w:val="26"/>
        </w:rPr>
        <w:t>’</w:t>
      </w:r>
      <w:r w:rsidRPr="00787A9E">
        <w:rPr>
          <w:sz w:val="26"/>
          <w:szCs w:val="26"/>
        </w:rPr>
        <w:t>s revenue requirement is a calculation involving many complex and interrelated adjustments that affect expenses, depreciation, rate base, taxes and the company</w:t>
      </w:r>
      <w:r w:rsidR="00A424DB">
        <w:rPr>
          <w:sz w:val="26"/>
          <w:szCs w:val="26"/>
        </w:rPr>
        <w:t>’</w:t>
      </w:r>
      <w:r w:rsidRPr="00787A9E">
        <w:rPr>
          <w:sz w:val="26"/>
          <w:szCs w:val="26"/>
        </w:rPr>
        <w:t xml:space="preserve">s cost of capital.  Reaching an agreement between various parties on each component of a rate increase can be difficult and impractical in many cases.  </w:t>
      </w:r>
    </w:p>
    <w:p w14:paraId="3765A0C5" w14:textId="77777777" w:rsidR="003436DC" w:rsidRPr="00787A9E" w:rsidRDefault="003436DC" w:rsidP="00FD1A00">
      <w:pPr>
        <w:spacing w:line="240" w:lineRule="auto"/>
        <w:ind w:left="1440" w:right="1440"/>
        <w:contextualSpacing/>
        <w:rPr>
          <w:sz w:val="26"/>
          <w:szCs w:val="26"/>
        </w:rPr>
      </w:pPr>
    </w:p>
    <w:p w14:paraId="50D56F38" w14:textId="77777777" w:rsidR="003436DC" w:rsidRPr="00787A9E" w:rsidRDefault="003436DC" w:rsidP="00FD1A00">
      <w:pPr>
        <w:spacing w:line="240" w:lineRule="auto"/>
        <w:ind w:left="1440" w:right="1440"/>
        <w:contextualSpacing/>
        <w:rPr>
          <w:sz w:val="26"/>
          <w:szCs w:val="26"/>
        </w:rPr>
      </w:pPr>
    </w:p>
    <w:p w14:paraId="2718A664" w14:textId="3ED3FDB3" w:rsidR="003436DC" w:rsidRPr="00787A9E" w:rsidRDefault="0079366F" w:rsidP="00FD1A00">
      <w:pPr>
        <w:contextualSpacing/>
        <w:rPr>
          <w:sz w:val="26"/>
          <w:szCs w:val="26"/>
        </w:rPr>
      </w:pPr>
      <w:r w:rsidRPr="00787A9E">
        <w:rPr>
          <w:i/>
          <w:sz w:val="26"/>
          <w:szCs w:val="26"/>
        </w:rPr>
        <w:t>Pa.</w:t>
      </w:r>
      <w:r w:rsidRPr="00787A9E">
        <w:rPr>
          <w:sz w:val="26"/>
          <w:szCs w:val="26"/>
        </w:rPr>
        <w:t xml:space="preserve"> </w:t>
      </w:r>
      <w:r w:rsidRPr="00787A9E">
        <w:rPr>
          <w:i/>
          <w:sz w:val="26"/>
          <w:szCs w:val="26"/>
        </w:rPr>
        <w:t>PUC v. Peoples TWP LLC</w:t>
      </w:r>
      <w:r w:rsidRPr="00787A9E">
        <w:rPr>
          <w:sz w:val="26"/>
          <w:szCs w:val="26"/>
        </w:rPr>
        <w:t>, Docket No. R-2013-2355886 (Order entered December 19, 2013), at 28 (citations omitted).</w:t>
      </w:r>
      <w:r w:rsidR="003436DC" w:rsidRPr="00787A9E">
        <w:rPr>
          <w:sz w:val="26"/>
          <w:szCs w:val="26"/>
        </w:rPr>
        <w:t xml:space="preserve">  </w:t>
      </w:r>
    </w:p>
    <w:p w14:paraId="77B40525" w14:textId="77777777" w:rsidR="003436DC" w:rsidRPr="00787A9E" w:rsidRDefault="003436DC" w:rsidP="00FD1A00">
      <w:pPr>
        <w:suppressAutoHyphens/>
        <w:contextualSpacing/>
        <w:jc w:val="both"/>
        <w:rPr>
          <w:sz w:val="26"/>
          <w:szCs w:val="26"/>
        </w:rPr>
      </w:pPr>
    </w:p>
    <w:p w14:paraId="50364CD5" w14:textId="2157A7E6" w:rsidR="003436DC" w:rsidRPr="00787A9E" w:rsidRDefault="003436DC" w:rsidP="00FD1A00">
      <w:pPr>
        <w:suppressAutoHyphens/>
        <w:ind w:firstLine="1440"/>
        <w:contextualSpacing/>
        <w:rPr>
          <w:sz w:val="26"/>
          <w:szCs w:val="26"/>
        </w:rPr>
      </w:pPr>
      <w:r w:rsidRPr="00787A9E">
        <w:rPr>
          <w:sz w:val="26"/>
          <w:szCs w:val="26"/>
        </w:rPr>
        <w:t xml:space="preserve">Rate cases are expensive to litigate, and the reasonable cost of such litigation is an operating expense recovered in the rates approved by the Commission.  Partial or full settlements allow the parties to avoid the substantial costs of preparing and </w:t>
      </w:r>
      <w:r w:rsidRPr="00787A9E">
        <w:rPr>
          <w:sz w:val="26"/>
          <w:szCs w:val="26"/>
        </w:rPr>
        <w:lastRenderedPageBreak/>
        <w:t>serving testimony and the cross-examination of witnesses in lengthy hearings, the preparation and service of briefs, reply briefs, exceptions and replies to exceptions, together with the briefs and reply briefs necessitated by any appeal of the Commission</w:t>
      </w:r>
      <w:r w:rsidR="00A424DB">
        <w:rPr>
          <w:sz w:val="26"/>
          <w:szCs w:val="26"/>
        </w:rPr>
        <w:t>’</w:t>
      </w:r>
      <w:r w:rsidRPr="00787A9E">
        <w:rPr>
          <w:sz w:val="26"/>
          <w:szCs w:val="26"/>
        </w:rPr>
        <w:t>s decision, yielding significant expense savings for the company</w:t>
      </w:r>
      <w:r w:rsidR="00A424DB">
        <w:rPr>
          <w:sz w:val="26"/>
          <w:szCs w:val="26"/>
        </w:rPr>
        <w:t>’</w:t>
      </w:r>
      <w:r w:rsidRPr="00787A9E">
        <w:rPr>
          <w:sz w:val="26"/>
          <w:szCs w:val="26"/>
        </w:rPr>
        <w:t>s customers.  For this and other sound reasons, settlements are encouraged by long-standing Commission policy.</w:t>
      </w:r>
    </w:p>
    <w:p w14:paraId="4E2E72E7" w14:textId="77777777" w:rsidR="003436DC" w:rsidRPr="00787A9E" w:rsidRDefault="003436DC" w:rsidP="00FD1A00">
      <w:pPr>
        <w:suppressAutoHyphens/>
        <w:ind w:firstLine="1440"/>
        <w:contextualSpacing/>
        <w:rPr>
          <w:sz w:val="26"/>
          <w:szCs w:val="26"/>
        </w:rPr>
      </w:pPr>
    </w:p>
    <w:p w14:paraId="3FB6D80A" w14:textId="3569192E" w:rsidR="003436DC" w:rsidRPr="00787A9E" w:rsidRDefault="003436DC" w:rsidP="00FD1A00">
      <w:pPr>
        <w:ind w:firstLine="1440"/>
        <w:contextualSpacing/>
        <w:rPr>
          <w:sz w:val="26"/>
          <w:szCs w:val="26"/>
        </w:rPr>
      </w:pPr>
      <w:r w:rsidRPr="00787A9E">
        <w:rPr>
          <w:sz w:val="26"/>
          <w:szCs w:val="26"/>
        </w:rPr>
        <w:t xml:space="preserve">Despite the policy favoring settlements, the Commission does not simply rubber stamp settlements without further inquiry.  In order to accept a rate case settlement such as that proposed here, the Commission must determine that the proposed terms and conditions are in the public interest.  </w:t>
      </w:r>
      <w:r w:rsidRPr="00787A9E">
        <w:rPr>
          <w:i/>
          <w:sz w:val="26"/>
          <w:szCs w:val="26"/>
        </w:rPr>
        <w:t>Pa. PUC v. York Water Co.</w:t>
      </w:r>
      <w:r w:rsidRPr="00787A9E">
        <w:rPr>
          <w:sz w:val="26"/>
          <w:szCs w:val="26"/>
        </w:rPr>
        <w:t>, Docket No. R</w:t>
      </w:r>
      <w:r w:rsidR="0007383C">
        <w:rPr>
          <w:sz w:val="26"/>
          <w:szCs w:val="26"/>
        </w:rPr>
        <w:noBreakHyphen/>
      </w:r>
      <w:r w:rsidRPr="00787A9E">
        <w:rPr>
          <w:sz w:val="26"/>
          <w:szCs w:val="26"/>
        </w:rPr>
        <w:t>00049165 (Order entered October 4, 2004)</w:t>
      </w:r>
      <w:r w:rsidR="0079366F" w:rsidRPr="00787A9E">
        <w:rPr>
          <w:sz w:val="26"/>
          <w:szCs w:val="26"/>
        </w:rPr>
        <w:t xml:space="preserve"> (</w:t>
      </w:r>
      <w:r w:rsidR="0079366F" w:rsidRPr="00787A9E">
        <w:rPr>
          <w:i/>
          <w:sz w:val="26"/>
          <w:szCs w:val="26"/>
        </w:rPr>
        <w:t>York Water</w:t>
      </w:r>
      <w:r w:rsidR="0079366F" w:rsidRPr="00787A9E">
        <w:rPr>
          <w:sz w:val="26"/>
          <w:szCs w:val="26"/>
        </w:rPr>
        <w:t>)</w:t>
      </w:r>
      <w:r w:rsidRPr="00787A9E">
        <w:rPr>
          <w:sz w:val="26"/>
          <w:szCs w:val="26"/>
        </w:rPr>
        <w:t xml:space="preserve">; </w:t>
      </w:r>
      <w:r w:rsidRPr="00787A9E">
        <w:rPr>
          <w:i/>
          <w:sz w:val="26"/>
          <w:szCs w:val="26"/>
        </w:rPr>
        <w:t>Pa. PUC v. C. S. Water and Sewer Assoc.</w:t>
      </w:r>
      <w:r w:rsidRPr="00787A9E">
        <w:rPr>
          <w:sz w:val="26"/>
          <w:szCs w:val="26"/>
        </w:rPr>
        <w:t>, 74 Pa. P.U.C. 767 (1991).</w:t>
      </w:r>
    </w:p>
    <w:p w14:paraId="648AD18B" w14:textId="77777777" w:rsidR="003436DC" w:rsidRPr="00787A9E" w:rsidRDefault="003436DC" w:rsidP="00FD1A00">
      <w:pPr>
        <w:contextualSpacing/>
        <w:rPr>
          <w:sz w:val="26"/>
          <w:szCs w:val="26"/>
        </w:rPr>
      </w:pPr>
    </w:p>
    <w:p w14:paraId="3C95C080" w14:textId="77777777" w:rsidR="003436DC" w:rsidRPr="00787A9E" w:rsidRDefault="003436DC" w:rsidP="00FD1A00">
      <w:pPr>
        <w:ind w:firstLine="1440"/>
        <w:contextualSpacing/>
        <w:rPr>
          <w:sz w:val="26"/>
          <w:szCs w:val="26"/>
        </w:rPr>
      </w:pPr>
      <w:r w:rsidRPr="00787A9E">
        <w:rPr>
          <w:sz w:val="26"/>
          <w:szCs w:val="26"/>
        </w:rPr>
        <w:t>With regard to the burden of proof in this matter, Section 315(a) of the Code provides:</w:t>
      </w:r>
    </w:p>
    <w:p w14:paraId="5806C3C4" w14:textId="77777777" w:rsidR="003436DC" w:rsidRPr="00787A9E" w:rsidRDefault="003436DC" w:rsidP="00FD1A00">
      <w:pPr>
        <w:ind w:firstLine="1440"/>
        <w:contextualSpacing/>
        <w:rPr>
          <w:sz w:val="26"/>
          <w:szCs w:val="26"/>
        </w:rPr>
      </w:pPr>
    </w:p>
    <w:p w14:paraId="16912B2B" w14:textId="77777777" w:rsidR="003436DC" w:rsidRPr="00787A9E" w:rsidRDefault="003436DC" w:rsidP="00FD1A00">
      <w:pPr>
        <w:keepNext/>
        <w:ind w:left="1440"/>
        <w:contextualSpacing/>
        <w:jc w:val="both"/>
        <w:rPr>
          <w:b/>
          <w:sz w:val="26"/>
          <w:szCs w:val="26"/>
        </w:rPr>
      </w:pPr>
      <w:r w:rsidRPr="00787A9E">
        <w:rPr>
          <w:b/>
          <w:sz w:val="26"/>
          <w:szCs w:val="26"/>
        </w:rPr>
        <w:t>§ 315.  Burden of proof</w:t>
      </w:r>
    </w:p>
    <w:p w14:paraId="5A31D8DA" w14:textId="77777777" w:rsidR="003436DC" w:rsidRPr="00787A9E" w:rsidRDefault="003436DC" w:rsidP="00FD1A00">
      <w:pPr>
        <w:keepNext/>
        <w:numPr>
          <w:ilvl w:val="0"/>
          <w:numId w:val="4"/>
        </w:numPr>
        <w:spacing w:line="240" w:lineRule="auto"/>
        <w:ind w:left="1440" w:right="1440" w:firstLine="360"/>
        <w:contextualSpacing/>
        <w:rPr>
          <w:sz w:val="26"/>
          <w:szCs w:val="26"/>
        </w:rPr>
      </w:pPr>
      <w:r w:rsidRPr="00787A9E">
        <w:rPr>
          <w:b/>
          <w:sz w:val="26"/>
          <w:szCs w:val="26"/>
        </w:rPr>
        <w:t>Reasonableness of rates.—</w:t>
      </w:r>
      <w:r w:rsidRPr="00787A9E">
        <w:rPr>
          <w:sz w:val="26"/>
          <w:szCs w:val="26"/>
        </w:rPr>
        <w:t>In any proceeding upon the motion of the commission, involving any proposed or existing rate of any public utility, or in any proceedings upon complaint involving any proposed increase in rates, the burden of proof to show that the rate involved is just and reasonable shall be upon the public utility.  The commission shall give to the hearing and decision of any such proceeding preference over all other proceedings, and decide the same as speedily as possible.</w:t>
      </w:r>
    </w:p>
    <w:p w14:paraId="455900EE" w14:textId="77777777" w:rsidR="003436DC" w:rsidRPr="00787A9E" w:rsidRDefault="003436DC" w:rsidP="00FD1A00">
      <w:pPr>
        <w:ind w:right="1440"/>
        <w:contextualSpacing/>
        <w:rPr>
          <w:sz w:val="26"/>
          <w:szCs w:val="26"/>
        </w:rPr>
      </w:pPr>
    </w:p>
    <w:p w14:paraId="02858D38" w14:textId="1BF7D4D4" w:rsidR="003436DC" w:rsidRPr="00787A9E" w:rsidRDefault="003436DC" w:rsidP="00FD1A00">
      <w:pPr>
        <w:contextualSpacing/>
        <w:rPr>
          <w:sz w:val="26"/>
          <w:szCs w:val="26"/>
        </w:rPr>
      </w:pPr>
      <w:r w:rsidRPr="00787A9E">
        <w:rPr>
          <w:sz w:val="26"/>
          <w:szCs w:val="26"/>
        </w:rPr>
        <w:t xml:space="preserve">66 Pa. C.S. § 315(a).  Consequently, in this proceeding, HVUS has the burden to prove that the rate increases proposed by the </w:t>
      </w:r>
      <w:r w:rsidR="00CE18BE" w:rsidRPr="00787A9E">
        <w:rPr>
          <w:sz w:val="26"/>
          <w:szCs w:val="26"/>
        </w:rPr>
        <w:t>Non-Unanimous</w:t>
      </w:r>
      <w:r w:rsidRPr="00787A9E">
        <w:rPr>
          <w:sz w:val="26"/>
          <w:szCs w:val="26"/>
        </w:rPr>
        <w:t xml:space="preserve"> Settlement are just and reasonable.  The Joint Petitioners have reached an accord on several issues and claims that arose in this proceeding and submitted the Settlement.  The Joint Petitioners have the burden to prove that the Settlement is in the public interest.</w:t>
      </w:r>
    </w:p>
    <w:p w14:paraId="58876041" w14:textId="63A75AE8" w:rsidR="003436DC" w:rsidRPr="00787A9E" w:rsidRDefault="003436DC" w:rsidP="00FD1A00">
      <w:pPr>
        <w:contextualSpacing/>
        <w:rPr>
          <w:sz w:val="26"/>
          <w:szCs w:val="26"/>
        </w:rPr>
      </w:pPr>
    </w:p>
    <w:p w14:paraId="265756DE" w14:textId="7DDCE6F5" w:rsidR="00A825D4" w:rsidRPr="00787A9E" w:rsidRDefault="00E94A87" w:rsidP="00FD1A00">
      <w:pPr>
        <w:keepNext/>
        <w:keepLines/>
        <w:contextualSpacing/>
        <w:rPr>
          <w:b/>
          <w:sz w:val="26"/>
          <w:szCs w:val="26"/>
        </w:rPr>
      </w:pPr>
      <w:r w:rsidRPr="00787A9E">
        <w:rPr>
          <w:b/>
          <w:sz w:val="26"/>
          <w:szCs w:val="26"/>
        </w:rPr>
        <w:t>C.</w:t>
      </w:r>
      <w:r w:rsidRPr="00787A9E">
        <w:rPr>
          <w:b/>
          <w:sz w:val="26"/>
          <w:szCs w:val="26"/>
        </w:rPr>
        <w:tab/>
        <w:t>ALJs</w:t>
      </w:r>
      <w:r w:rsidR="00A424DB">
        <w:rPr>
          <w:b/>
          <w:sz w:val="26"/>
          <w:szCs w:val="26"/>
        </w:rPr>
        <w:t>’</w:t>
      </w:r>
      <w:r w:rsidRPr="00787A9E">
        <w:rPr>
          <w:b/>
          <w:sz w:val="26"/>
          <w:szCs w:val="26"/>
        </w:rPr>
        <w:t xml:space="preserve"> Findings </w:t>
      </w:r>
      <w:r w:rsidR="00931DC7" w:rsidRPr="00787A9E">
        <w:rPr>
          <w:b/>
          <w:sz w:val="26"/>
          <w:szCs w:val="26"/>
        </w:rPr>
        <w:t>R</w:t>
      </w:r>
      <w:r w:rsidRPr="00787A9E">
        <w:rPr>
          <w:b/>
          <w:sz w:val="26"/>
          <w:szCs w:val="26"/>
        </w:rPr>
        <w:t>egarding the Settlement</w:t>
      </w:r>
    </w:p>
    <w:p w14:paraId="792D5B49" w14:textId="77777777" w:rsidR="00E94A87" w:rsidRPr="00787A9E" w:rsidRDefault="00E94A87" w:rsidP="00FD1A00">
      <w:pPr>
        <w:keepNext/>
        <w:keepLines/>
        <w:contextualSpacing/>
        <w:rPr>
          <w:sz w:val="26"/>
          <w:szCs w:val="26"/>
        </w:rPr>
      </w:pPr>
    </w:p>
    <w:p w14:paraId="5C847F52" w14:textId="6C034A0F" w:rsidR="003436DC" w:rsidRPr="00787A9E" w:rsidRDefault="003436DC" w:rsidP="00FD1A00">
      <w:pPr>
        <w:pStyle w:val="Default"/>
        <w:spacing w:line="360" w:lineRule="auto"/>
        <w:ind w:firstLine="1440"/>
        <w:contextualSpacing/>
        <w:rPr>
          <w:sz w:val="26"/>
          <w:szCs w:val="26"/>
        </w:rPr>
      </w:pPr>
      <w:r w:rsidRPr="00787A9E">
        <w:rPr>
          <w:sz w:val="26"/>
          <w:szCs w:val="26"/>
        </w:rPr>
        <w:t>In their analysis of the Settlement, the ALJs acknowledged the Company</w:t>
      </w:r>
      <w:r w:rsidR="00A424DB">
        <w:rPr>
          <w:sz w:val="26"/>
          <w:szCs w:val="26"/>
        </w:rPr>
        <w:t>’</w:t>
      </w:r>
      <w:r w:rsidRPr="00787A9E">
        <w:rPr>
          <w:sz w:val="26"/>
          <w:szCs w:val="26"/>
        </w:rPr>
        <w:t>s</w:t>
      </w:r>
      <w:r w:rsidR="006F3D0F" w:rsidRPr="00787A9E">
        <w:rPr>
          <w:sz w:val="26"/>
          <w:szCs w:val="26"/>
        </w:rPr>
        <w:t xml:space="preserve"> request</w:t>
      </w:r>
      <w:r w:rsidRPr="00787A9E">
        <w:rPr>
          <w:sz w:val="26"/>
          <w:szCs w:val="26"/>
        </w:rPr>
        <w:t xml:space="preserve"> of a 105.4% increase to its water base rate for the average</w:t>
      </w:r>
      <w:r w:rsidR="002C53D7">
        <w:rPr>
          <w:sz w:val="26"/>
          <w:szCs w:val="26"/>
        </w:rPr>
        <w:t xml:space="preserve"> residential</w:t>
      </w:r>
      <w:r w:rsidRPr="00787A9E">
        <w:rPr>
          <w:sz w:val="26"/>
          <w:szCs w:val="26"/>
        </w:rPr>
        <w:t xml:space="preserve"> water customer using 2,100 gallons or an increase from $26.64 to $54.72 per quarter.  The ALJs </w:t>
      </w:r>
      <w:r w:rsidR="004D7A17" w:rsidRPr="00787A9E">
        <w:rPr>
          <w:sz w:val="26"/>
          <w:szCs w:val="26"/>
        </w:rPr>
        <w:t>stated</w:t>
      </w:r>
      <w:r w:rsidRPr="00787A9E">
        <w:rPr>
          <w:sz w:val="26"/>
          <w:szCs w:val="26"/>
        </w:rPr>
        <w:t xml:space="preserve"> that currently, the average </w:t>
      </w:r>
      <w:r w:rsidR="00122965">
        <w:rPr>
          <w:sz w:val="26"/>
          <w:szCs w:val="26"/>
        </w:rPr>
        <w:t xml:space="preserve">residential </w:t>
      </w:r>
      <w:r w:rsidRPr="00787A9E">
        <w:rPr>
          <w:sz w:val="26"/>
          <w:szCs w:val="26"/>
        </w:rPr>
        <w:t xml:space="preserve">water customer of the Company pays $106.56 annually for water which is high in iron and manganese, is brown and murky, and damages household appliances due to high mineral content.  The ALJs noted that Water Supplement No. 1 proposed to </w:t>
      </w:r>
      <w:r w:rsidR="00667450">
        <w:rPr>
          <w:sz w:val="26"/>
          <w:szCs w:val="26"/>
        </w:rPr>
        <w:t xml:space="preserve">have an average </w:t>
      </w:r>
      <w:r w:rsidR="002C53D7">
        <w:rPr>
          <w:sz w:val="26"/>
          <w:szCs w:val="26"/>
        </w:rPr>
        <w:t>residential water</w:t>
      </w:r>
      <w:r w:rsidRPr="00787A9E">
        <w:rPr>
          <w:sz w:val="26"/>
          <w:szCs w:val="26"/>
        </w:rPr>
        <w:t xml:space="preserve"> customer pay $218.88 annually for the same inadequate water which is unsuitable for household use.  R.D. at 46.  The ALJs also noted that Wastewater Supplement No. 1 proposed an increase of 61.3% to the Company</w:t>
      </w:r>
      <w:r w:rsidR="00A424DB">
        <w:rPr>
          <w:sz w:val="26"/>
          <w:szCs w:val="26"/>
        </w:rPr>
        <w:t>’</w:t>
      </w:r>
      <w:r w:rsidRPr="00787A9E">
        <w:rPr>
          <w:sz w:val="26"/>
          <w:szCs w:val="26"/>
        </w:rPr>
        <w:t xml:space="preserve">s wastewater base rate for the average </w:t>
      </w:r>
      <w:r w:rsidR="002C53D7">
        <w:rPr>
          <w:sz w:val="26"/>
          <w:szCs w:val="26"/>
        </w:rPr>
        <w:t xml:space="preserve">residential </w:t>
      </w:r>
      <w:r w:rsidRPr="00787A9E">
        <w:rPr>
          <w:sz w:val="26"/>
          <w:szCs w:val="26"/>
        </w:rPr>
        <w:t>wastewater customer using 2,100 gallons or an increase from $59.76 to $96.42 per quarter.   According to the ALJ</w:t>
      </w:r>
      <w:r w:rsidR="00F110E4" w:rsidRPr="00787A9E">
        <w:rPr>
          <w:sz w:val="26"/>
          <w:szCs w:val="26"/>
        </w:rPr>
        <w:t>s</w:t>
      </w:r>
      <w:r w:rsidRPr="00787A9E">
        <w:rPr>
          <w:sz w:val="26"/>
          <w:szCs w:val="26"/>
        </w:rPr>
        <w:t>, based on the</w:t>
      </w:r>
      <w:r w:rsidR="00596DD7" w:rsidRPr="00787A9E">
        <w:rPr>
          <w:sz w:val="26"/>
          <w:szCs w:val="26"/>
        </w:rPr>
        <w:t xml:space="preserve"> request</w:t>
      </w:r>
      <w:r w:rsidRPr="00787A9E">
        <w:rPr>
          <w:sz w:val="26"/>
          <w:szCs w:val="26"/>
        </w:rPr>
        <w:t xml:space="preserve">, the average rate of a </w:t>
      </w:r>
      <w:r w:rsidR="002C53D7">
        <w:rPr>
          <w:sz w:val="26"/>
          <w:szCs w:val="26"/>
        </w:rPr>
        <w:t xml:space="preserve">residential </w:t>
      </w:r>
      <w:r w:rsidRPr="00787A9E">
        <w:rPr>
          <w:sz w:val="26"/>
          <w:szCs w:val="26"/>
        </w:rPr>
        <w:t xml:space="preserve">customer receiving wastewater services from the Company would increase from $239.04 annually to $385.68 annually.  </w:t>
      </w:r>
      <w:r w:rsidRPr="00787A9E">
        <w:rPr>
          <w:i/>
          <w:sz w:val="26"/>
          <w:szCs w:val="26"/>
        </w:rPr>
        <w:t>Id.</w:t>
      </w:r>
    </w:p>
    <w:p w14:paraId="6215583C" w14:textId="77777777" w:rsidR="003436DC" w:rsidRPr="00787A9E" w:rsidRDefault="003436DC" w:rsidP="00FD1A00">
      <w:pPr>
        <w:pStyle w:val="Default"/>
        <w:spacing w:line="360" w:lineRule="auto"/>
        <w:ind w:firstLine="1440"/>
        <w:contextualSpacing/>
        <w:rPr>
          <w:sz w:val="26"/>
          <w:szCs w:val="26"/>
        </w:rPr>
      </w:pPr>
    </w:p>
    <w:p w14:paraId="67E6E1C4" w14:textId="17EC5EA1" w:rsidR="003436DC" w:rsidRPr="00787A9E" w:rsidRDefault="003436DC" w:rsidP="00FD1A00">
      <w:pPr>
        <w:pStyle w:val="Default"/>
        <w:spacing w:line="360" w:lineRule="auto"/>
        <w:ind w:firstLine="1440"/>
        <w:contextualSpacing/>
        <w:rPr>
          <w:i/>
          <w:sz w:val="26"/>
          <w:szCs w:val="26"/>
        </w:rPr>
      </w:pPr>
      <w:r w:rsidRPr="00787A9E">
        <w:rPr>
          <w:sz w:val="26"/>
          <w:szCs w:val="26"/>
        </w:rPr>
        <w:t>The ALJs stated that under the</w:t>
      </w:r>
      <w:r w:rsidR="003B2D2B" w:rsidRPr="00787A9E">
        <w:rPr>
          <w:sz w:val="26"/>
          <w:szCs w:val="26"/>
        </w:rPr>
        <w:t xml:space="preserve"> </w:t>
      </w:r>
      <w:r w:rsidRPr="00787A9E">
        <w:rPr>
          <w:sz w:val="26"/>
          <w:szCs w:val="26"/>
        </w:rPr>
        <w:t xml:space="preserve">Settlement, the rates of an average </w:t>
      </w:r>
      <w:r w:rsidR="002C53D7">
        <w:rPr>
          <w:sz w:val="26"/>
          <w:szCs w:val="26"/>
        </w:rPr>
        <w:t xml:space="preserve">residential </w:t>
      </w:r>
      <w:r w:rsidRPr="00787A9E">
        <w:rPr>
          <w:sz w:val="26"/>
          <w:szCs w:val="26"/>
        </w:rPr>
        <w:t>water customer using 2,100 gallons would increase from $26.64 per quarter</w:t>
      </w:r>
      <w:r w:rsidR="00246D88" w:rsidRPr="00787A9E">
        <w:rPr>
          <w:sz w:val="26"/>
          <w:szCs w:val="26"/>
        </w:rPr>
        <w:t xml:space="preserve"> (</w:t>
      </w:r>
      <w:r w:rsidRPr="00787A9E">
        <w:rPr>
          <w:sz w:val="26"/>
          <w:szCs w:val="26"/>
        </w:rPr>
        <w:t>$106.56</w:t>
      </w:r>
      <w:r w:rsidR="00745F5A" w:rsidRPr="00787A9E">
        <w:rPr>
          <w:sz w:val="26"/>
          <w:szCs w:val="26"/>
        </w:rPr>
        <w:t xml:space="preserve"> annually</w:t>
      </w:r>
      <w:r w:rsidRPr="00787A9E">
        <w:rPr>
          <w:sz w:val="26"/>
          <w:szCs w:val="26"/>
        </w:rPr>
        <w:t>) to $38.70 per quarter ($154.80</w:t>
      </w:r>
      <w:r w:rsidR="00745F5A" w:rsidRPr="00787A9E">
        <w:rPr>
          <w:sz w:val="26"/>
          <w:szCs w:val="26"/>
        </w:rPr>
        <w:t xml:space="preserve"> annually</w:t>
      </w:r>
      <w:r w:rsidRPr="00787A9E">
        <w:rPr>
          <w:sz w:val="26"/>
          <w:szCs w:val="26"/>
        </w:rPr>
        <w:t xml:space="preserve">) while the average rate of a </w:t>
      </w:r>
      <w:r w:rsidR="002C53D7">
        <w:rPr>
          <w:sz w:val="26"/>
          <w:szCs w:val="26"/>
        </w:rPr>
        <w:t xml:space="preserve">residential </w:t>
      </w:r>
      <w:r w:rsidRPr="00787A9E">
        <w:rPr>
          <w:sz w:val="26"/>
          <w:szCs w:val="26"/>
        </w:rPr>
        <w:t xml:space="preserve">wastewater customer using 2,100 gallons would increase from $59.76 per quarter </w:t>
      </w:r>
      <w:r w:rsidR="00246D88" w:rsidRPr="00787A9E">
        <w:rPr>
          <w:sz w:val="26"/>
          <w:szCs w:val="26"/>
        </w:rPr>
        <w:t>(</w:t>
      </w:r>
      <w:r w:rsidRPr="00787A9E">
        <w:rPr>
          <w:sz w:val="26"/>
          <w:szCs w:val="26"/>
        </w:rPr>
        <w:t>$239.04</w:t>
      </w:r>
      <w:r w:rsidR="00745F5A" w:rsidRPr="00787A9E">
        <w:rPr>
          <w:sz w:val="26"/>
          <w:szCs w:val="26"/>
        </w:rPr>
        <w:t xml:space="preserve"> annually</w:t>
      </w:r>
      <w:r w:rsidRPr="00787A9E">
        <w:rPr>
          <w:sz w:val="26"/>
          <w:szCs w:val="26"/>
        </w:rPr>
        <w:t>) to $88.41 per quarter ($353.64</w:t>
      </w:r>
      <w:r w:rsidR="00745F5A" w:rsidRPr="00787A9E">
        <w:rPr>
          <w:sz w:val="26"/>
          <w:szCs w:val="26"/>
        </w:rPr>
        <w:t xml:space="preserve"> annually</w:t>
      </w:r>
      <w:r w:rsidRPr="00787A9E">
        <w:rPr>
          <w:sz w:val="26"/>
          <w:szCs w:val="26"/>
        </w:rPr>
        <w:t xml:space="preserve">) within a two-tier system.  </w:t>
      </w:r>
      <w:r w:rsidR="001F0BAE" w:rsidRPr="00787A9E">
        <w:rPr>
          <w:sz w:val="26"/>
          <w:szCs w:val="26"/>
        </w:rPr>
        <w:t>The ALJs noted that f</w:t>
      </w:r>
      <w:r w:rsidRPr="00787A9E">
        <w:rPr>
          <w:sz w:val="26"/>
          <w:szCs w:val="26"/>
        </w:rPr>
        <w:t xml:space="preserve">or wastewater, the </w:t>
      </w:r>
      <w:r w:rsidR="002C53D7">
        <w:rPr>
          <w:sz w:val="26"/>
          <w:szCs w:val="26"/>
        </w:rPr>
        <w:t xml:space="preserve">average residential </w:t>
      </w:r>
      <w:r w:rsidRPr="00787A9E">
        <w:rPr>
          <w:sz w:val="26"/>
          <w:szCs w:val="26"/>
        </w:rPr>
        <w:t xml:space="preserve">rates would initially increase from </w:t>
      </w:r>
      <w:r w:rsidR="003B2D2B" w:rsidRPr="00787A9E">
        <w:rPr>
          <w:sz w:val="26"/>
          <w:szCs w:val="26"/>
        </w:rPr>
        <w:t>$</w:t>
      </w:r>
      <w:r w:rsidRPr="00787A9E">
        <w:rPr>
          <w:sz w:val="26"/>
          <w:szCs w:val="26"/>
        </w:rPr>
        <w:t>59.76 per quarter ($239.04</w:t>
      </w:r>
      <w:r w:rsidR="00745F5A" w:rsidRPr="00787A9E">
        <w:rPr>
          <w:sz w:val="26"/>
          <w:szCs w:val="26"/>
        </w:rPr>
        <w:t xml:space="preserve"> annually</w:t>
      </w:r>
      <w:r w:rsidRPr="00787A9E">
        <w:rPr>
          <w:sz w:val="26"/>
          <w:szCs w:val="26"/>
        </w:rPr>
        <w:t xml:space="preserve">) to $75.58 per quarter </w:t>
      </w:r>
      <w:r w:rsidR="00246D88" w:rsidRPr="00787A9E">
        <w:rPr>
          <w:sz w:val="26"/>
          <w:szCs w:val="26"/>
        </w:rPr>
        <w:t>(</w:t>
      </w:r>
      <w:r w:rsidRPr="00787A9E">
        <w:rPr>
          <w:sz w:val="26"/>
          <w:szCs w:val="26"/>
        </w:rPr>
        <w:t>$302.32</w:t>
      </w:r>
      <w:r w:rsidR="00745F5A" w:rsidRPr="00787A9E">
        <w:rPr>
          <w:sz w:val="26"/>
          <w:szCs w:val="26"/>
        </w:rPr>
        <w:t xml:space="preserve"> annually</w:t>
      </w:r>
      <w:r w:rsidRPr="00787A9E">
        <w:rPr>
          <w:sz w:val="26"/>
          <w:szCs w:val="26"/>
        </w:rPr>
        <w:t>) and, after January 31, 2019, would increase to $88.41 per quarter ($353.64</w:t>
      </w:r>
      <w:r w:rsidR="00745F5A" w:rsidRPr="00787A9E">
        <w:rPr>
          <w:sz w:val="26"/>
          <w:szCs w:val="26"/>
        </w:rPr>
        <w:t xml:space="preserve"> annually</w:t>
      </w:r>
      <w:r w:rsidRPr="00787A9E">
        <w:rPr>
          <w:sz w:val="26"/>
          <w:szCs w:val="26"/>
        </w:rPr>
        <w:t>) if HVUS made the required improvements and th</w:t>
      </w:r>
      <w:r w:rsidR="003B2D2B" w:rsidRPr="00787A9E">
        <w:rPr>
          <w:sz w:val="26"/>
          <w:szCs w:val="26"/>
        </w:rPr>
        <w:t>e</w:t>
      </w:r>
      <w:r w:rsidRPr="00787A9E">
        <w:rPr>
          <w:sz w:val="26"/>
          <w:szCs w:val="26"/>
        </w:rPr>
        <w:t xml:space="preserve"> improvements are verified by the Commission.  </w:t>
      </w:r>
      <w:r w:rsidR="002C53D7">
        <w:rPr>
          <w:sz w:val="26"/>
          <w:szCs w:val="26"/>
        </w:rPr>
        <w:t>R.D. at 46.</w:t>
      </w:r>
    </w:p>
    <w:p w14:paraId="1F701298" w14:textId="77777777" w:rsidR="003436DC" w:rsidRPr="00787A9E" w:rsidRDefault="003436DC" w:rsidP="00FD1A00">
      <w:pPr>
        <w:pStyle w:val="Default"/>
        <w:spacing w:line="360" w:lineRule="auto"/>
        <w:ind w:firstLine="1440"/>
        <w:contextualSpacing/>
        <w:rPr>
          <w:sz w:val="26"/>
          <w:szCs w:val="26"/>
        </w:rPr>
      </w:pPr>
    </w:p>
    <w:p w14:paraId="29860465" w14:textId="239A485A" w:rsidR="003436DC" w:rsidRPr="00787A9E" w:rsidRDefault="003436DC" w:rsidP="00FD1A00">
      <w:pPr>
        <w:pStyle w:val="Default"/>
        <w:spacing w:line="360" w:lineRule="auto"/>
        <w:ind w:firstLine="1440"/>
        <w:contextualSpacing/>
        <w:rPr>
          <w:sz w:val="26"/>
          <w:szCs w:val="26"/>
        </w:rPr>
      </w:pPr>
      <w:r w:rsidRPr="00787A9E">
        <w:rPr>
          <w:color w:val="auto"/>
          <w:sz w:val="26"/>
          <w:szCs w:val="26"/>
        </w:rPr>
        <w:lastRenderedPageBreak/>
        <w:t>In deciding whether the provisions of the Settlement are fair, just, reasonable and in the public interest, and</w:t>
      </w:r>
      <w:r w:rsidR="001F0BAE" w:rsidRPr="00787A9E">
        <w:rPr>
          <w:color w:val="auto"/>
          <w:sz w:val="26"/>
          <w:szCs w:val="26"/>
        </w:rPr>
        <w:t xml:space="preserve"> </w:t>
      </w:r>
      <w:r w:rsidRPr="00787A9E">
        <w:rPr>
          <w:color w:val="auto"/>
          <w:sz w:val="26"/>
          <w:szCs w:val="26"/>
        </w:rPr>
        <w:t>whether the Commission should approve the Settlement without modification</w:t>
      </w:r>
      <w:r w:rsidR="007D3697" w:rsidRPr="00787A9E">
        <w:rPr>
          <w:color w:val="auto"/>
          <w:sz w:val="26"/>
          <w:szCs w:val="26"/>
        </w:rPr>
        <w:t xml:space="preserve"> as requested by the Joint Petitioners</w:t>
      </w:r>
      <w:r w:rsidRPr="00787A9E">
        <w:rPr>
          <w:color w:val="auto"/>
          <w:sz w:val="26"/>
          <w:szCs w:val="26"/>
        </w:rPr>
        <w:t>, the ALJs recommended that the Commission approve the Settlement but eliminat</w:t>
      </w:r>
      <w:r w:rsidR="001F0BAE" w:rsidRPr="00787A9E">
        <w:rPr>
          <w:color w:val="auto"/>
          <w:sz w:val="26"/>
          <w:szCs w:val="26"/>
        </w:rPr>
        <w:t>e</w:t>
      </w:r>
      <w:r w:rsidRPr="00787A9E">
        <w:rPr>
          <w:color w:val="auto"/>
          <w:sz w:val="26"/>
          <w:szCs w:val="26"/>
        </w:rPr>
        <w:t xml:space="preserve"> the second step in the</w:t>
      </w:r>
      <w:r w:rsidR="009A4925" w:rsidRPr="00787A9E">
        <w:rPr>
          <w:color w:val="auto"/>
          <w:sz w:val="26"/>
          <w:szCs w:val="26"/>
        </w:rPr>
        <w:t xml:space="preserve"> phased-in </w:t>
      </w:r>
      <w:r w:rsidRPr="00787A9E">
        <w:rPr>
          <w:color w:val="auto"/>
          <w:sz w:val="26"/>
          <w:szCs w:val="26"/>
        </w:rPr>
        <w:t xml:space="preserve">wastewater rates.  </w:t>
      </w:r>
      <w:r w:rsidRPr="00787A9E">
        <w:rPr>
          <w:sz w:val="26"/>
          <w:szCs w:val="26"/>
        </w:rPr>
        <w:t>In</w:t>
      </w:r>
      <w:r w:rsidR="00641071" w:rsidRPr="00787A9E">
        <w:rPr>
          <w:sz w:val="26"/>
          <w:szCs w:val="26"/>
        </w:rPr>
        <w:t xml:space="preserve"> modifying the Settlement</w:t>
      </w:r>
      <w:r w:rsidRPr="00787A9E">
        <w:rPr>
          <w:sz w:val="26"/>
          <w:szCs w:val="26"/>
        </w:rPr>
        <w:t>, the ALJs stated that as a certificated utility, HVUS is entitled to recover all reasonably incurred expenses, including</w:t>
      </w:r>
      <w:r w:rsidR="00FA27C4" w:rsidRPr="00787A9E">
        <w:rPr>
          <w:sz w:val="26"/>
          <w:szCs w:val="26"/>
        </w:rPr>
        <w:t xml:space="preserve"> </w:t>
      </w:r>
      <w:r w:rsidRPr="00787A9E">
        <w:rPr>
          <w:sz w:val="26"/>
          <w:szCs w:val="26"/>
        </w:rPr>
        <w:t>the normal cost of operations, maintenance, labor, fuel, administrative costs, depreciation, taxes and improvements made to the water or wastewater facilities.</w:t>
      </w:r>
      <w:r w:rsidR="000C01DC" w:rsidRPr="00787A9E">
        <w:rPr>
          <w:sz w:val="26"/>
          <w:szCs w:val="26"/>
        </w:rPr>
        <w:t xml:space="preserve">  </w:t>
      </w:r>
      <w:r w:rsidR="002C53D7">
        <w:rPr>
          <w:sz w:val="26"/>
          <w:szCs w:val="26"/>
        </w:rPr>
        <w:t>RD</w:t>
      </w:r>
      <w:r w:rsidRPr="00787A9E">
        <w:rPr>
          <w:i/>
          <w:sz w:val="26"/>
          <w:szCs w:val="26"/>
        </w:rPr>
        <w:t>.</w:t>
      </w:r>
      <w:r w:rsidRPr="00787A9E">
        <w:rPr>
          <w:sz w:val="26"/>
          <w:szCs w:val="26"/>
        </w:rPr>
        <w:t xml:space="preserve"> at</w:t>
      </w:r>
      <w:r w:rsidR="00B00C5C">
        <w:rPr>
          <w:sz w:val="26"/>
          <w:szCs w:val="26"/>
        </w:rPr>
        <w:t> </w:t>
      </w:r>
      <w:r w:rsidRPr="00787A9E">
        <w:rPr>
          <w:sz w:val="26"/>
          <w:szCs w:val="26"/>
        </w:rPr>
        <w:t>47.</w:t>
      </w:r>
      <w:r w:rsidR="0079366F" w:rsidRPr="00787A9E">
        <w:rPr>
          <w:rStyle w:val="FootnoteReference"/>
          <w:sz w:val="26"/>
          <w:szCs w:val="26"/>
        </w:rPr>
        <w:footnoteReference w:id="19"/>
      </w:r>
      <w:r w:rsidRPr="00787A9E">
        <w:rPr>
          <w:sz w:val="26"/>
          <w:szCs w:val="26"/>
        </w:rPr>
        <w:t xml:space="preserve">  However, in determining whether the Settlement is in the public interest, the ALJs </w:t>
      </w:r>
      <w:r w:rsidR="007D3697" w:rsidRPr="00787A9E">
        <w:rPr>
          <w:sz w:val="26"/>
          <w:szCs w:val="26"/>
        </w:rPr>
        <w:t>opined</w:t>
      </w:r>
      <w:r w:rsidRPr="00787A9E">
        <w:rPr>
          <w:sz w:val="26"/>
          <w:szCs w:val="26"/>
        </w:rPr>
        <w:t xml:space="preserve"> that HVUS has not completed all of the</w:t>
      </w:r>
      <w:r w:rsidR="00FA27C4" w:rsidRPr="00787A9E">
        <w:rPr>
          <w:sz w:val="26"/>
          <w:szCs w:val="26"/>
        </w:rPr>
        <w:t xml:space="preserve"> improvements </w:t>
      </w:r>
      <w:r w:rsidRPr="00787A9E">
        <w:rPr>
          <w:sz w:val="26"/>
          <w:szCs w:val="26"/>
        </w:rPr>
        <w:t>required by th</w:t>
      </w:r>
      <w:r w:rsidR="007D3697" w:rsidRPr="00787A9E">
        <w:rPr>
          <w:sz w:val="26"/>
          <w:szCs w:val="26"/>
        </w:rPr>
        <w:t>e</w:t>
      </w:r>
      <w:r w:rsidRPr="00787A9E">
        <w:rPr>
          <w:sz w:val="26"/>
          <w:szCs w:val="26"/>
        </w:rPr>
        <w:t xml:space="preserve"> </w:t>
      </w:r>
      <w:r w:rsidRPr="00787A9E">
        <w:rPr>
          <w:i/>
          <w:sz w:val="26"/>
          <w:szCs w:val="26"/>
        </w:rPr>
        <w:t>January 2018 McCloskey</w:t>
      </w:r>
      <w:r w:rsidRPr="00787A9E">
        <w:rPr>
          <w:sz w:val="26"/>
          <w:szCs w:val="26"/>
        </w:rPr>
        <w:t xml:space="preserve"> </w:t>
      </w:r>
      <w:r w:rsidRPr="00787A9E">
        <w:rPr>
          <w:i/>
          <w:sz w:val="26"/>
          <w:szCs w:val="26"/>
        </w:rPr>
        <w:t xml:space="preserve">Order </w:t>
      </w:r>
      <w:r w:rsidRPr="00787A9E">
        <w:rPr>
          <w:sz w:val="26"/>
          <w:szCs w:val="26"/>
        </w:rPr>
        <w:t xml:space="preserve">and the </w:t>
      </w:r>
      <w:r w:rsidRPr="00787A9E">
        <w:rPr>
          <w:i/>
          <w:sz w:val="26"/>
          <w:szCs w:val="26"/>
        </w:rPr>
        <w:t>May 2018 McCloskey</w:t>
      </w:r>
      <w:r w:rsidRPr="00787A9E">
        <w:rPr>
          <w:sz w:val="26"/>
          <w:szCs w:val="26"/>
        </w:rPr>
        <w:t xml:space="preserve"> </w:t>
      </w:r>
      <w:r w:rsidRPr="00787A9E">
        <w:rPr>
          <w:i/>
          <w:sz w:val="26"/>
          <w:szCs w:val="26"/>
        </w:rPr>
        <w:t>Order</w:t>
      </w:r>
      <w:r w:rsidR="005D4E2E" w:rsidRPr="00787A9E">
        <w:rPr>
          <w:sz w:val="26"/>
          <w:szCs w:val="26"/>
        </w:rPr>
        <w:t xml:space="preserve">.  The ALJs, nonetheless, acknowledged that </w:t>
      </w:r>
      <w:r w:rsidRPr="00787A9E">
        <w:rPr>
          <w:sz w:val="26"/>
          <w:szCs w:val="26"/>
        </w:rPr>
        <w:t xml:space="preserve">some </w:t>
      </w:r>
      <w:r w:rsidR="007D3697" w:rsidRPr="00787A9E">
        <w:rPr>
          <w:sz w:val="26"/>
          <w:szCs w:val="26"/>
        </w:rPr>
        <w:t xml:space="preserve">of the </w:t>
      </w:r>
      <w:r w:rsidRPr="00787A9E">
        <w:rPr>
          <w:sz w:val="26"/>
          <w:szCs w:val="26"/>
        </w:rPr>
        <w:t xml:space="preserve">Commission-mandated deadlines </w:t>
      </w:r>
      <w:r w:rsidR="007D3697" w:rsidRPr="00787A9E">
        <w:rPr>
          <w:sz w:val="26"/>
          <w:szCs w:val="26"/>
        </w:rPr>
        <w:t xml:space="preserve">in the </w:t>
      </w:r>
      <w:r w:rsidR="007D3697" w:rsidRPr="00787A9E">
        <w:rPr>
          <w:i/>
          <w:sz w:val="26"/>
          <w:szCs w:val="26"/>
        </w:rPr>
        <w:t>McCloskey</w:t>
      </w:r>
      <w:r w:rsidR="007D3697" w:rsidRPr="00787A9E">
        <w:rPr>
          <w:sz w:val="26"/>
          <w:szCs w:val="26"/>
        </w:rPr>
        <w:t xml:space="preserve"> </w:t>
      </w:r>
      <w:r w:rsidR="007D3697" w:rsidRPr="00787A9E">
        <w:rPr>
          <w:i/>
          <w:sz w:val="26"/>
          <w:szCs w:val="26"/>
        </w:rPr>
        <w:t>Order</w:t>
      </w:r>
      <w:r w:rsidR="007D3697" w:rsidRPr="00787A9E">
        <w:rPr>
          <w:sz w:val="26"/>
          <w:szCs w:val="26"/>
        </w:rPr>
        <w:t xml:space="preserve">s </w:t>
      </w:r>
      <w:r w:rsidRPr="00787A9E">
        <w:rPr>
          <w:sz w:val="26"/>
          <w:szCs w:val="26"/>
        </w:rPr>
        <w:t xml:space="preserve">have not expired yet and the </w:t>
      </w:r>
      <w:r w:rsidR="000C01DC" w:rsidRPr="00787A9E">
        <w:rPr>
          <w:i/>
          <w:sz w:val="26"/>
          <w:szCs w:val="26"/>
        </w:rPr>
        <w:t>McCloskey</w:t>
      </w:r>
      <w:r w:rsidR="000C01DC" w:rsidRPr="00787A9E">
        <w:rPr>
          <w:sz w:val="26"/>
          <w:szCs w:val="26"/>
        </w:rPr>
        <w:t xml:space="preserve"> </w:t>
      </w:r>
      <w:r w:rsidRPr="00787A9E">
        <w:rPr>
          <w:sz w:val="26"/>
          <w:szCs w:val="26"/>
        </w:rPr>
        <w:t xml:space="preserve">proceedings remain open before the Commission.  The ALJs </w:t>
      </w:r>
      <w:r w:rsidR="005E5BDF">
        <w:rPr>
          <w:sz w:val="26"/>
          <w:szCs w:val="26"/>
        </w:rPr>
        <w:t>foun</w:t>
      </w:r>
      <w:r w:rsidR="000162F2" w:rsidRPr="00787A9E">
        <w:rPr>
          <w:sz w:val="26"/>
          <w:szCs w:val="26"/>
        </w:rPr>
        <w:t>d</w:t>
      </w:r>
      <w:r w:rsidRPr="00787A9E">
        <w:rPr>
          <w:sz w:val="26"/>
          <w:szCs w:val="26"/>
        </w:rPr>
        <w:t xml:space="preserve"> that while HVUS has completed some tasks dictated by the Commission, the level of inadequate service by the </w:t>
      </w:r>
      <w:r w:rsidR="00EA6D28" w:rsidRPr="00787A9E">
        <w:rPr>
          <w:sz w:val="26"/>
          <w:szCs w:val="26"/>
        </w:rPr>
        <w:t>Company</w:t>
      </w:r>
      <w:r w:rsidR="001C29C8" w:rsidRPr="00787A9E">
        <w:rPr>
          <w:sz w:val="26"/>
          <w:szCs w:val="26"/>
        </w:rPr>
        <w:t xml:space="preserve"> is egregious enough to deny a portion of the</w:t>
      </w:r>
      <w:r w:rsidR="007B5D9F" w:rsidRPr="00787A9E">
        <w:rPr>
          <w:sz w:val="26"/>
          <w:szCs w:val="26"/>
        </w:rPr>
        <w:t xml:space="preserve"> Company</w:t>
      </w:r>
      <w:r w:rsidR="00A424DB">
        <w:rPr>
          <w:sz w:val="26"/>
          <w:szCs w:val="26"/>
        </w:rPr>
        <w:t>’</w:t>
      </w:r>
      <w:r w:rsidR="007B5D9F" w:rsidRPr="00787A9E">
        <w:rPr>
          <w:sz w:val="26"/>
          <w:szCs w:val="26"/>
        </w:rPr>
        <w:t xml:space="preserve">s requested </w:t>
      </w:r>
      <w:r w:rsidR="00FA27C4" w:rsidRPr="00787A9E">
        <w:rPr>
          <w:sz w:val="26"/>
          <w:szCs w:val="26"/>
        </w:rPr>
        <w:t>rate</w:t>
      </w:r>
      <w:r w:rsidR="007B5D9F" w:rsidRPr="00787A9E">
        <w:rPr>
          <w:sz w:val="26"/>
          <w:szCs w:val="26"/>
        </w:rPr>
        <w:t xml:space="preserve"> increase</w:t>
      </w:r>
      <w:r w:rsidR="00EA6D28" w:rsidRPr="00787A9E">
        <w:rPr>
          <w:sz w:val="26"/>
          <w:szCs w:val="26"/>
        </w:rPr>
        <w:t xml:space="preserve">.  </w:t>
      </w:r>
      <w:r w:rsidR="0079366F" w:rsidRPr="00787A9E">
        <w:rPr>
          <w:sz w:val="26"/>
          <w:szCs w:val="26"/>
        </w:rPr>
        <w:t>R.D. at 47.</w:t>
      </w:r>
    </w:p>
    <w:p w14:paraId="156372DB" w14:textId="77777777" w:rsidR="003436DC" w:rsidRPr="00787A9E" w:rsidRDefault="003436DC" w:rsidP="00FD1A00">
      <w:pPr>
        <w:pStyle w:val="Default"/>
        <w:spacing w:line="360" w:lineRule="auto"/>
        <w:ind w:firstLine="1440"/>
        <w:contextualSpacing/>
        <w:rPr>
          <w:sz w:val="26"/>
          <w:szCs w:val="26"/>
        </w:rPr>
      </w:pPr>
    </w:p>
    <w:p w14:paraId="2339FF12" w14:textId="5F77354F" w:rsidR="003436DC" w:rsidRPr="00787A9E" w:rsidRDefault="003436DC" w:rsidP="00FD1A00">
      <w:pPr>
        <w:ind w:firstLine="1440"/>
        <w:contextualSpacing/>
        <w:rPr>
          <w:sz w:val="26"/>
          <w:szCs w:val="26"/>
        </w:rPr>
      </w:pPr>
      <w:r w:rsidRPr="00787A9E">
        <w:rPr>
          <w:sz w:val="26"/>
          <w:szCs w:val="26"/>
        </w:rPr>
        <w:t>The ALJs also stated that the Settlement attempts to strike an appropriate balance between the interests of the Company</w:t>
      </w:r>
      <w:r w:rsidR="00A424DB">
        <w:rPr>
          <w:sz w:val="26"/>
          <w:szCs w:val="26"/>
        </w:rPr>
        <w:t>’</w:t>
      </w:r>
      <w:r w:rsidR="000D34A8" w:rsidRPr="00787A9E">
        <w:rPr>
          <w:sz w:val="26"/>
          <w:szCs w:val="26"/>
        </w:rPr>
        <w:t>s request for higher revenue</w:t>
      </w:r>
      <w:r w:rsidRPr="00787A9E">
        <w:rPr>
          <w:sz w:val="26"/>
          <w:szCs w:val="26"/>
        </w:rPr>
        <w:t xml:space="preserve"> to pay for the required improvements versus the ratepayers</w:t>
      </w:r>
      <w:r w:rsidR="00A424DB">
        <w:rPr>
          <w:sz w:val="26"/>
          <w:szCs w:val="26"/>
        </w:rPr>
        <w:t>’</w:t>
      </w:r>
      <w:r w:rsidRPr="00787A9E">
        <w:rPr>
          <w:sz w:val="26"/>
          <w:szCs w:val="26"/>
        </w:rPr>
        <w:t xml:space="preserve"> legitimate need to receive a quality utility service without paying excessive amounts for that service.  The ALJs noted that the Settlement provides HVUS with an increased level of revenue </w:t>
      </w:r>
      <w:r w:rsidR="00F43E86" w:rsidRPr="00787A9E">
        <w:rPr>
          <w:sz w:val="26"/>
          <w:szCs w:val="26"/>
        </w:rPr>
        <w:t>that is needed</w:t>
      </w:r>
      <w:r w:rsidRPr="00787A9E">
        <w:rPr>
          <w:sz w:val="26"/>
          <w:szCs w:val="26"/>
        </w:rPr>
        <w:t xml:space="preserve"> to address the quality of service issues which remain unresolved while denying any return for water services and an unknown level of return for wastewater services</w:t>
      </w:r>
      <w:r w:rsidR="00055D76" w:rsidRPr="00787A9E">
        <w:rPr>
          <w:sz w:val="26"/>
          <w:szCs w:val="26"/>
        </w:rPr>
        <w:t>,</w:t>
      </w:r>
      <w:r w:rsidRPr="00787A9E">
        <w:rPr>
          <w:sz w:val="26"/>
          <w:szCs w:val="26"/>
        </w:rPr>
        <w:t xml:space="preserve"> provided all mandated improvements are made.  </w:t>
      </w:r>
      <w:r w:rsidR="005E5BDF">
        <w:rPr>
          <w:sz w:val="26"/>
          <w:szCs w:val="26"/>
        </w:rPr>
        <w:t>R.D</w:t>
      </w:r>
      <w:r w:rsidRPr="00787A9E">
        <w:rPr>
          <w:i/>
          <w:sz w:val="26"/>
          <w:szCs w:val="26"/>
        </w:rPr>
        <w:t xml:space="preserve">. </w:t>
      </w:r>
      <w:r w:rsidRPr="00787A9E">
        <w:rPr>
          <w:sz w:val="26"/>
          <w:szCs w:val="26"/>
        </w:rPr>
        <w:t>at 47-48.</w:t>
      </w:r>
    </w:p>
    <w:p w14:paraId="02FB2245" w14:textId="77777777" w:rsidR="003436DC" w:rsidRPr="00787A9E" w:rsidRDefault="003436DC" w:rsidP="00FD1A00">
      <w:pPr>
        <w:ind w:firstLine="1440"/>
        <w:contextualSpacing/>
        <w:rPr>
          <w:sz w:val="26"/>
          <w:szCs w:val="26"/>
        </w:rPr>
      </w:pPr>
    </w:p>
    <w:p w14:paraId="775E648A" w14:textId="5AFCB6B9" w:rsidR="003436DC" w:rsidRPr="00787A9E" w:rsidRDefault="003436DC" w:rsidP="00FD1A00">
      <w:pPr>
        <w:ind w:firstLine="1440"/>
        <w:contextualSpacing/>
        <w:rPr>
          <w:sz w:val="26"/>
          <w:szCs w:val="26"/>
        </w:rPr>
      </w:pPr>
      <w:r w:rsidRPr="00787A9E">
        <w:rPr>
          <w:sz w:val="26"/>
          <w:szCs w:val="26"/>
        </w:rPr>
        <w:lastRenderedPageBreak/>
        <w:t xml:space="preserve">Specifically, the ALJs opined that the </w:t>
      </w:r>
      <w:r w:rsidRPr="00787A9E">
        <w:rPr>
          <w:i/>
          <w:sz w:val="26"/>
          <w:szCs w:val="26"/>
        </w:rPr>
        <w:t>water</w:t>
      </w:r>
      <w:r w:rsidRPr="00787A9E">
        <w:rPr>
          <w:sz w:val="26"/>
          <w:szCs w:val="26"/>
        </w:rPr>
        <w:t xml:space="preserve"> revenue increase totaling $65,557, or </w:t>
      </w:r>
      <w:r w:rsidR="00917177" w:rsidRPr="00787A9E">
        <w:rPr>
          <w:sz w:val="26"/>
          <w:szCs w:val="26"/>
        </w:rPr>
        <w:t xml:space="preserve">an </w:t>
      </w:r>
      <w:r w:rsidRPr="00787A9E">
        <w:rPr>
          <w:sz w:val="26"/>
          <w:szCs w:val="26"/>
        </w:rPr>
        <w:t>approximate</w:t>
      </w:r>
      <w:r w:rsidR="00DE5277" w:rsidRPr="00787A9E">
        <w:rPr>
          <w:sz w:val="26"/>
          <w:szCs w:val="26"/>
        </w:rPr>
        <w:t>ly</w:t>
      </w:r>
      <w:r w:rsidRPr="00787A9E">
        <w:rPr>
          <w:sz w:val="26"/>
          <w:szCs w:val="26"/>
        </w:rPr>
        <w:t xml:space="preserve"> 46.6% increase over present rates</w:t>
      </w:r>
      <w:r w:rsidR="00C14322" w:rsidRPr="00787A9E">
        <w:rPr>
          <w:sz w:val="26"/>
          <w:szCs w:val="26"/>
        </w:rPr>
        <w:t xml:space="preserve"> in the Settlement </w:t>
      </w:r>
      <w:r w:rsidRPr="00787A9E">
        <w:rPr>
          <w:sz w:val="26"/>
          <w:szCs w:val="26"/>
        </w:rPr>
        <w:t xml:space="preserve">is significantly less than the original request in which </w:t>
      </w:r>
      <w:r w:rsidR="00DE5277" w:rsidRPr="00787A9E">
        <w:rPr>
          <w:sz w:val="26"/>
          <w:szCs w:val="26"/>
        </w:rPr>
        <w:t>the Company</w:t>
      </w:r>
      <w:r w:rsidRPr="00787A9E">
        <w:rPr>
          <w:sz w:val="26"/>
          <w:szCs w:val="26"/>
        </w:rPr>
        <w:t xml:space="preserve"> asked the Commission to approve an increase totaling $150,629, or approximately 107.2%.  According to the ALJs, if the Settlement </w:t>
      </w:r>
      <w:r w:rsidR="005D1737" w:rsidRPr="00787A9E">
        <w:rPr>
          <w:sz w:val="26"/>
          <w:szCs w:val="26"/>
        </w:rPr>
        <w:t>was</w:t>
      </w:r>
      <w:r w:rsidRPr="00787A9E">
        <w:rPr>
          <w:sz w:val="26"/>
          <w:szCs w:val="26"/>
        </w:rPr>
        <w:t xml:space="preserve"> approved without modification, the average residential water customer using 2,100 gallons per quarter would </w:t>
      </w:r>
      <w:r w:rsidR="005D1737" w:rsidRPr="00787A9E">
        <w:rPr>
          <w:sz w:val="26"/>
          <w:szCs w:val="26"/>
        </w:rPr>
        <w:t xml:space="preserve">have </w:t>
      </w:r>
      <w:r w:rsidRPr="00787A9E">
        <w:rPr>
          <w:sz w:val="26"/>
          <w:szCs w:val="26"/>
        </w:rPr>
        <w:t>pa</w:t>
      </w:r>
      <w:r w:rsidR="005D1737" w:rsidRPr="00787A9E">
        <w:rPr>
          <w:sz w:val="26"/>
          <w:szCs w:val="26"/>
        </w:rPr>
        <w:t>id</w:t>
      </w:r>
      <w:r w:rsidRPr="00787A9E">
        <w:rPr>
          <w:sz w:val="26"/>
          <w:szCs w:val="26"/>
        </w:rPr>
        <w:t xml:space="preserve"> $38.70 per quarter which is an increase totaling $12.06 per quarter (or 45.3%) over current rates.  </w:t>
      </w:r>
      <w:r w:rsidR="005D1737" w:rsidRPr="00787A9E">
        <w:rPr>
          <w:sz w:val="26"/>
          <w:szCs w:val="26"/>
        </w:rPr>
        <w:t>O</w:t>
      </w:r>
      <w:r w:rsidRPr="00787A9E">
        <w:rPr>
          <w:sz w:val="26"/>
          <w:szCs w:val="26"/>
        </w:rPr>
        <w:t xml:space="preserve">n the wastewater side, </w:t>
      </w:r>
      <w:r w:rsidR="005D1737" w:rsidRPr="00787A9E">
        <w:rPr>
          <w:sz w:val="26"/>
          <w:szCs w:val="26"/>
        </w:rPr>
        <w:t xml:space="preserve">the ALJs stated that </w:t>
      </w:r>
      <w:r w:rsidRPr="00787A9E">
        <w:rPr>
          <w:sz w:val="26"/>
          <w:szCs w:val="26"/>
        </w:rPr>
        <w:t>approval of the Settlement would result in a two-</w:t>
      </w:r>
      <w:r w:rsidR="007C50BB" w:rsidRPr="00787A9E">
        <w:rPr>
          <w:sz w:val="26"/>
          <w:szCs w:val="26"/>
        </w:rPr>
        <w:t>step</w:t>
      </w:r>
      <w:r w:rsidRPr="00787A9E">
        <w:rPr>
          <w:sz w:val="26"/>
          <w:szCs w:val="26"/>
        </w:rPr>
        <w:t xml:space="preserve"> increase in rates.  In essence, the wastewater rates would increase, or </w:t>
      </w:r>
      <w:r w:rsidR="00A424DB">
        <w:rPr>
          <w:sz w:val="26"/>
          <w:szCs w:val="26"/>
        </w:rPr>
        <w:t>“</w:t>
      </w:r>
      <w:r w:rsidRPr="00787A9E">
        <w:rPr>
          <w:sz w:val="26"/>
          <w:szCs w:val="26"/>
        </w:rPr>
        <w:t>step up,</w:t>
      </w:r>
      <w:r w:rsidR="00A424DB">
        <w:rPr>
          <w:sz w:val="26"/>
          <w:szCs w:val="26"/>
        </w:rPr>
        <w:t>”</w:t>
      </w:r>
      <w:r w:rsidRPr="00787A9E">
        <w:rPr>
          <w:sz w:val="26"/>
          <w:szCs w:val="26"/>
        </w:rPr>
        <w:t xml:space="preserve"> after HVUS documents </w:t>
      </w:r>
      <w:r w:rsidR="00C14322" w:rsidRPr="00787A9E">
        <w:rPr>
          <w:sz w:val="26"/>
          <w:szCs w:val="26"/>
        </w:rPr>
        <w:t xml:space="preserve">that </w:t>
      </w:r>
      <w:r w:rsidRPr="00787A9E">
        <w:rPr>
          <w:sz w:val="26"/>
          <w:szCs w:val="26"/>
        </w:rPr>
        <w:t xml:space="preserve">it </w:t>
      </w:r>
      <w:r w:rsidR="00C14322" w:rsidRPr="00787A9E">
        <w:rPr>
          <w:sz w:val="26"/>
          <w:szCs w:val="26"/>
        </w:rPr>
        <w:t xml:space="preserve">has </w:t>
      </w:r>
      <w:r w:rsidRPr="00787A9E">
        <w:rPr>
          <w:sz w:val="26"/>
          <w:szCs w:val="26"/>
        </w:rPr>
        <w:t xml:space="preserve">made the wastewater improvements </w:t>
      </w:r>
      <w:r w:rsidR="00C14322" w:rsidRPr="00787A9E">
        <w:rPr>
          <w:sz w:val="26"/>
          <w:szCs w:val="26"/>
        </w:rPr>
        <w:t xml:space="preserve">required </w:t>
      </w:r>
      <w:r w:rsidR="0086647A" w:rsidRPr="00787A9E">
        <w:rPr>
          <w:sz w:val="26"/>
          <w:szCs w:val="26"/>
        </w:rPr>
        <w:t>by</w:t>
      </w:r>
      <w:r w:rsidR="00C14322" w:rsidRPr="00787A9E">
        <w:rPr>
          <w:sz w:val="26"/>
          <w:szCs w:val="26"/>
        </w:rPr>
        <w:t xml:space="preserve"> the</w:t>
      </w:r>
      <w:r w:rsidRPr="00787A9E">
        <w:rPr>
          <w:i/>
          <w:sz w:val="26"/>
          <w:szCs w:val="26"/>
        </w:rPr>
        <w:t xml:space="preserve"> McCloskey Order</w:t>
      </w:r>
      <w:r w:rsidR="00C14322" w:rsidRPr="00787A9E">
        <w:rPr>
          <w:i/>
          <w:sz w:val="26"/>
          <w:szCs w:val="26"/>
        </w:rPr>
        <w:t>s</w:t>
      </w:r>
      <w:r w:rsidRPr="00787A9E">
        <w:rPr>
          <w:sz w:val="26"/>
          <w:szCs w:val="26"/>
        </w:rPr>
        <w:t>.  According to the ALJs, the Company has indicated that it expects to complete th</w:t>
      </w:r>
      <w:r w:rsidR="00F82737" w:rsidRPr="00787A9E">
        <w:rPr>
          <w:sz w:val="26"/>
          <w:szCs w:val="26"/>
        </w:rPr>
        <w:t>e</w:t>
      </w:r>
      <w:r w:rsidRPr="00787A9E">
        <w:rPr>
          <w:sz w:val="26"/>
          <w:szCs w:val="26"/>
        </w:rPr>
        <w:t xml:space="preserve"> improvements by January 31, 2019, because that is the date specified by the Commission in the </w:t>
      </w:r>
      <w:r w:rsidRPr="00787A9E">
        <w:rPr>
          <w:i/>
          <w:sz w:val="26"/>
          <w:szCs w:val="26"/>
        </w:rPr>
        <w:t>McCloskey</w:t>
      </w:r>
      <w:r w:rsidRPr="00787A9E">
        <w:rPr>
          <w:b/>
          <w:sz w:val="26"/>
          <w:szCs w:val="26"/>
        </w:rPr>
        <w:t xml:space="preserve"> </w:t>
      </w:r>
      <w:r w:rsidRPr="00787A9E">
        <w:rPr>
          <w:sz w:val="26"/>
          <w:szCs w:val="26"/>
        </w:rPr>
        <w:t xml:space="preserve">proceedings.  However, the ALJs agreed with I&amp;E that the required improvements will take two years to implement and that HVUS will </w:t>
      </w:r>
      <w:r w:rsidR="00321B89" w:rsidRPr="00787A9E">
        <w:rPr>
          <w:sz w:val="26"/>
          <w:szCs w:val="26"/>
        </w:rPr>
        <w:t xml:space="preserve">not be able </w:t>
      </w:r>
      <w:r w:rsidRPr="00787A9E">
        <w:rPr>
          <w:sz w:val="26"/>
          <w:szCs w:val="26"/>
        </w:rPr>
        <w:t>to meet the requirement to make the mandated improvements for a significant period.</w:t>
      </w:r>
      <w:r w:rsidR="000B3743" w:rsidRPr="00787A9E">
        <w:rPr>
          <w:sz w:val="26"/>
          <w:szCs w:val="26"/>
        </w:rPr>
        <w:t xml:space="preserve">  </w:t>
      </w:r>
      <w:r w:rsidR="0045576A" w:rsidRPr="00787A9E">
        <w:rPr>
          <w:sz w:val="26"/>
          <w:szCs w:val="26"/>
        </w:rPr>
        <w:t xml:space="preserve">The ALJs pointed out that the Joint Petitioners reached the </w:t>
      </w:r>
      <w:r w:rsidR="00947C3B" w:rsidRPr="00787A9E">
        <w:rPr>
          <w:sz w:val="26"/>
          <w:szCs w:val="26"/>
        </w:rPr>
        <w:t>Non-Unanimous</w:t>
      </w:r>
      <w:r w:rsidR="0045576A" w:rsidRPr="00787A9E">
        <w:rPr>
          <w:sz w:val="26"/>
          <w:szCs w:val="26"/>
        </w:rPr>
        <w:t xml:space="preserve"> Settlement despite the Company</w:t>
      </w:r>
      <w:r w:rsidR="00A424DB">
        <w:rPr>
          <w:sz w:val="26"/>
          <w:szCs w:val="26"/>
        </w:rPr>
        <w:t>’</w:t>
      </w:r>
      <w:r w:rsidR="0045576A" w:rsidRPr="00787A9E">
        <w:rPr>
          <w:sz w:val="26"/>
          <w:szCs w:val="26"/>
        </w:rPr>
        <w:t xml:space="preserve">s delay in making the required improvements.  </w:t>
      </w:r>
      <w:r w:rsidR="00CD4D2E">
        <w:rPr>
          <w:sz w:val="26"/>
          <w:szCs w:val="26"/>
        </w:rPr>
        <w:t>R.D</w:t>
      </w:r>
      <w:r w:rsidR="00CD4D2E" w:rsidRPr="00787A9E">
        <w:rPr>
          <w:i/>
          <w:sz w:val="26"/>
          <w:szCs w:val="26"/>
        </w:rPr>
        <w:t xml:space="preserve">. </w:t>
      </w:r>
      <w:r w:rsidR="00CD4D2E" w:rsidRPr="00787A9E">
        <w:rPr>
          <w:sz w:val="26"/>
          <w:szCs w:val="26"/>
        </w:rPr>
        <w:t>at 48.</w:t>
      </w:r>
    </w:p>
    <w:p w14:paraId="7B43FA2B" w14:textId="77777777" w:rsidR="003436DC" w:rsidRPr="00787A9E" w:rsidRDefault="003436DC" w:rsidP="00FD1A00">
      <w:pPr>
        <w:ind w:left="-90" w:firstLine="1530"/>
        <w:contextualSpacing/>
        <w:rPr>
          <w:sz w:val="26"/>
          <w:szCs w:val="26"/>
        </w:rPr>
      </w:pPr>
    </w:p>
    <w:p w14:paraId="79E13416" w14:textId="2977C24B" w:rsidR="0045576A" w:rsidRPr="00787A9E" w:rsidRDefault="0045576A" w:rsidP="00FD1A00">
      <w:pPr>
        <w:ind w:firstLine="1440"/>
        <w:contextualSpacing/>
        <w:rPr>
          <w:sz w:val="26"/>
          <w:szCs w:val="26"/>
        </w:rPr>
      </w:pPr>
      <w:r w:rsidRPr="00787A9E">
        <w:rPr>
          <w:sz w:val="26"/>
          <w:szCs w:val="26"/>
        </w:rPr>
        <w:t xml:space="preserve">Next, the ALJs </w:t>
      </w:r>
      <w:r w:rsidR="001D04B3" w:rsidRPr="00787A9E">
        <w:rPr>
          <w:sz w:val="26"/>
          <w:szCs w:val="26"/>
        </w:rPr>
        <w:t>pointed out</w:t>
      </w:r>
      <w:r w:rsidRPr="00787A9E">
        <w:rPr>
          <w:sz w:val="26"/>
          <w:szCs w:val="26"/>
        </w:rPr>
        <w:t xml:space="preserve"> that the Joint Petitioners acknowledge the Settlement is a </w:t>
      </w:r>
      <w:r w:rsidR="00A424DB">
        <w:rPr>
          <w:sz w:val="26"/>
          <w:szCs w:val="26"/>
        </w:rPr>
        <w:t>“</w:t>
      </w:r>
      <w:r w:rsidRPr="00787A9E">
        <w:rPr>
          <w:sz w:val="26"/>
          <w:szCs w:val="26"/>
        </w:rPr>
        <w:t>black box</w:t>
      </w:r>
      <w:r w:rsidR="00A424DB">
        <w:rPr>
          <w:sz w:val="26"/>
          <w:szCs w:val="26"/>
        </w:rPr>
        <w:t>”</w:t>
      </w:r>
      <w:r w:rsidRPr="00787A9E">
        <w:rPr>
          <w:sz w:val="26"/>
          <w:szCs w:val="26"/>
        </w:rPr>
        <w:t xml:space="preserve"> settlement.  The ALJs also acknowledge</w:t>
      </w:r>
      <w:r w:rsidR="001C288A" w:rsidRPr="00787A9E">
        <w:rPr>
          <w:sz w:val="26"/>
          <w:szCs w:val="26"/>
        </w:rPr>
        <w:t>d</w:t>
      </w:r>
      <w:r w:rsidRPr="00787A9E">
        <w:rPr>
          <w:sz w:val="26"/>
          <w:szCs w:val="26"/>
        </w:rPr>
        <w:t xml:space="preserve"> that for the</w:t>
      </w:r>
      <w:r w:rsidRPr="00787A9E">
        <w:rPr>
          <w:i/>
          <w:sz w:val="26"/>
          <w:szCs w:val="26"/>
        </w:rPr>
        <w:t xml:space="preserve"> water</w:t>
      </w:r>
      <w:r w:rsidRPr="00787A9E">
        <w:rPr>
          <w:sz w:val="26"/>
          <w:szCs w:val="26"/>
        </w:rPr>
        <w:t xml:space="preserve"> rates, I&amp;E initially contended that the Company should be allowed to recover operating expenses and plant claimed in the base rate filing but should not be allowed to earn a return on equity because the Commission has determined </w:t>
      </w:r>
      <w:r w:rsidR="005C4F40" w:rsidRPr="00787A9E">
        <w:rPr>
          <w:sz w:val="26"/>
          <w:szCs w:val="26"/>
        </w:rPr>
        <w:t xml:space="preserve">in the </w:t>
      </w:r>
      <w:r w:rsidR="005C4F40" w:rsidRPr="00787A9E">
        <w:rPr>
          <w:i/>
          <w:sz w:val="26"/>
          <w:szCs w:val="26"/>
        </w:rPr>
        <w:t>McCloskey Orders</w:t>
      </w:r>
      <w:r w:rsidR="005C4F40" w:rsidRPr="00787A9E">
        <w:rPr>
          <w:sz w:val="26"/>
          <w:szCs w:val="26"/>
        </w:rPr>
        <w:t xml:space="preserve"> </w:t>
      </w:r>
      <w:r w:rsidRPr="00787A9E">
        <w:rPr>
          <w:sz w:val="26"/>
          <w:szCs w:val="26"/>
        </w:rPr>
        <w:t>that HVUS did not provide adequate and reasonable water service.  N</w:t>
      </w:r>
      <w:r w:rsidR="001B5E7D" w:rsidRPr="00787A9E">
        <w:rPr>
          <w:sz w:val="26"/>
          <w:szCs w:val="26"/>
        </w:rPr>
        <w:t>ever</w:t>
      </w:r>
      <w:r w:rsidRPr="00787A9E">
        <w:rPr>
          <w:sz w:val="26"/>
          <w:szCs w:val="26"/>
        </w:rPr>
        <w:t xml:space="preserve">theless, according to the </w:t>
      </w:r>
      <w:r w:rsidR="00385FC3" w:rsidRPr="00787A9E">
        <w:rPr>
          <w:sz w:val="26"/>
          <w:szCs w:val="26"/>
        </w:rPr>
        <w:t>ALJs, in</w:t>
      </w:r>
      <w:r w:rsidRPr="00787A9E">
        <w:rPr>
          <w:sz w:val="26"/>
          <w:szCs w:val="26"/>
        </w:rPr>
        <w:t xml:space="preserve"> the Settlement, </w:t>
      </w:r>
      <w:r w:rsidR="005E6AE0" w:rsidRPr="00787A9E">
        <w:rPr>
          <w:sz w:val="26"/>
          <w:szCs w:val="26"/>
        </w:rPr>
        <w:t>the Joint Petitioners</w:t>
      </w:r>
      <w:r w:rsidRPr="00787A9E">
        <w:rPr>
          <w:sz w:val="26"/>
          <w:szCs w:val="26"/>
        </w:rPr>
        <w:t xml:space="preserve"> agree with I&amp;E</w:t>
      </w:r>
      <w:r w:rsidR="00A424DB">
        <w:rPr>
          <w:sz w:val="26"/>
          <w:szCs w:val="26"/>
        </w:rPr>
        <w:t>’</w:t>
      </w:r>
      <w:r w:rsidRPr="00787A9E">
        <w:rPr>
          <w:sz w:val="26"/>
          <w:szCs w:val="26"/>
        </w:rPr>
        <w:t>s secondary litigation position, which is that HVUS be permitted to obtain a return on equity on the wastewater rates after the improvements have been made and verified by the Commission.</w:t>
      </w:r>
      <w:r w:rsidR="00314BA2" w:rsidRPr="00787A9E">
        <w:rPr>
          <w:sz w:val="26"/>
          <w:szCs w:val="26"/>
        </w:rPr>
        <w:t xml:space="preserve">  </w:t>
      </w:r>
      <w:r w:rsidR="00CD4D2E">
        <w:rPr>
          <w:sz w:val="26"/>
          <w:szCs w:val="26"/>
        </w:rPr>
        <w:t>R.D</w:t>
      </w:r>
      <w:r w:rsidR="00314BA2" w:rsidRPr="00787A9E">
        <w:rPr>
          <w:i/>
          <w:sz w:val="26"/>
          <w:szCs w:val="26"/>
        </w:rPr>
        <w:t xml:space="preserve">. </w:t>
      </w:r>
      <w:r w:rsidR="00314BA2" w:rsidRPr="00787A9E">
        <w:rPr>
          <w:sz w:val="26"/>
          <w:szCs w:val="26"/>
        </w:rPr>
        <w:t>at</w:t>
      </w:r>
      <w:r w:rsidR="00021932">
        <w:rPr>
          <w:sz w:val="26"/>
          <w:szCs w:val="26"/>
        </w:rPr>
        <w:t> </w:t>
      </w:r>
      <w:r w:rsidR="00314BA2" w:rsidRPr="00787A9E">
        <w:rPr>
          <w:sz w:val="26"/>
          <w:szCs w:val="26"/>
        </w:rPr>
        <w:t>49.</w:t>
      </w:r>
    </w:p>
    <w:p w14:paraId="4F98228F" w14:textId="77777777" w:rsidR="0076230F" w:rsidRPr="00787A9E" w:rsidRDefault="0076230F" w:rsidP="00FD1A00">
      <w:pPr>
        <w:ind w:firstLine="1440"/>
        <w:contextualSpacing/>
        <w:rPr>
          <w:sz w:val="26"/>
          <w:szCs w:val="26"/>
        </w:rPr>
      </w:pPr>
    </w:p>
    <w:p w14:paraId="603FB98F" w14:textId="4B6C4DC4" w:rsidR="00687554" w:rsidRPr="00787A9E" w:rsidRDefault="00E86312" w:rsidP="00FD1A00">
      <w:pPr>
        <w:ind w:firstLine="1440"/>
        <w:contextualSpacing/>
        <w:rPr>
          <w:sz w:val="26"/>
          <w:szCs w:val="26"/>
        </w:rPr>
      </w:pPr>
      <w:r w:rsidRPr="00787A9E">
        <w:rPr>
          <w:sz w:val="26"/>
          <w:szCs w:val="26"/>
        </w:rPr>
        <w:lastRenderedPageBreak/>
        <w:t>The ALJs further pointed out that t</w:t>
      </w:r>
      <w:r w:rsidR="00314BA2" w:rsidRPr="00787A9E">
        <w:rPr>
          <w:sz w:val="26"/>
          <w:szCs w:val="26"/>
        </w:rPr>
        <w:t>he Settlement also includes an agreement from</w:t>
      </w:r>
      <w:r w:rsidRPr="00787A9E">
        <w:rPr>
          <w:sz w:val="26"/>
          <w:szCs w:val="26"/>
        </w:rPr>
        <w:t xml:space="preserve"> the Company </w:t>
      </w:r>
      <w:r w:rsidR="00314BA2" w:rsidRPr="00787A9E">
        <w:rPr>
          <w:sz w:val="26"/>
          <w:szCs w:val="26"/>
        </w:rPr>
        <w:t xml:space="preserve">to </w:t>
      </w:r>
      <w:r w:rsidR="00CC6E0F" w:rsidRPr="00787A9E">
        <w:rPr>
          <w:sz w:val="26"/>
          <w:szCs w:val="26"/>
        </w:rPr>
        <w:t xml:space="preserve">file </w:t>
      </w:r>
      <w:r w:rsidR="00314BA2" w:rsidRPr="00787A9E">
        <w:rPr>
          <w:sz w:val="26"/>
          <w:szCs w:val="26"/>
        </w:rPr>
        <w:t>correct</w:t>
      </w:r>
      <w:r w:rsidR="00CC6E0F" w:rsidRPr="00787A9E">
        <w:rPr>
          <w:sz w:val="26"/>
          <w:szCs w:val="26"/>
        </w:rPr>
        <w:t>ed</w:t>
      </w:r>
      <w:r w:rsidR="00314BA2" w:rsidRPr="00787A9E">
        <w:rPr>
          <w:sz w:val="26"/>
          <w:szCs w:val="26"/>
        </w:rPr>
        <w:t xml:space="preserve"> annual reports</w:t>
      </w:r>
      <w:r w:rsidR="003F3207" w:rsidRPr="00787A9E">
        <w:rPr>
          <w:sz w:val="26"/>
          <w:szCs w:val="26"/>
        </w:rPr>
        <w:t xml:space="preserve">.  These </w:t>
      </w:r>
      <w:r w:rsidR="00CC6E0F" w:rsidRPr="00787A9E">
        <w:rPr>
          <w:sz w:val="26"/>
          <w:szCs w:val="26"/>
        </w:rPr>
        <w:t xml:space="preserve">corrected </w:t>
      </w:r>
      <w:r w:rsidR="003F3207" w:rsidRPr="00787A9E">
        <w:rPr>
          <w:sz w:val="26"/>
          <w:szCs w:val="26"/>
        </w:rPr>
        <w:t xml:space="preserve">annual reports are intended to correct the errors contained in the annual reports submitted by the Company following </w:t>
      </w:r>
      <w:r w:rsidR="00314BA2" w:rsidRPr="00787A9E">
        <w:rPr>
          <w:sz w:val="26"/>
          <w:szCs w:val="26"/>
        </w:rPr>
        <w:t xml:space="preserve">the </w:t>
      </w:r>
      <w:r w:rsidR="00314BA2" w:rsidRPr="00787A9E">
        <w:rPr>
          <w:i/>
          <w:sz w:val="26"/>
          <w:szCs w:val="26"/>
        </w:rPr>
        <w:t xml:space="preserve">McCloskey </w:t>
      </w:r>
      <w:r w:rsidR="00314BA2" w:rsidRPr="00787A9E">
        <w:rPr>
          <w:sz w:val="26"/>
          <w:szCs w:val="26"/>
        </w:rPr>
        <w:t xml:space="preserve">proceedings.  </w:t>
      </w:r>
      <w:r w:rsidRPr="00787A9E">
        <w:rPr>
          <w:sz w:val="26"/>
          <w:szCs w:val="26"/>
        </w:rPr>
        <w:t xml:space="preserve">According to the ALJs, </w:t>
      </w:r>
      <w:r w:rsidR="00314BA2" w:rsidRPr="00787A9E">
        <w:rPr>
          <w:sz w:val="26"/>
          <w:szCs w:val="26"/>
        </w:rPr>
        <w:t>H</w:t>
      </w:r>
      <w:r w:rsidRPr="00787A9E">
        <w:rPr>
          <w:sz w:val="26"/>
          <w:szCs w:val="26"/>
        </w:rPr>
        <w:t>VUS</w:t>
      </w:r>
      <w:r w:rsidR="00314BA2" w:rsidRPr="00787A9E">
        <w:rPr>
          <w:sz w:val="26"/>
          <w:szCs w:val="26"/>
        </w:rPr>
        <w:t xml:space="preserve"> also agreed that the annual reports </w:t>
      </w:r>
      <w:r w:rsidR="00A13631" w:rsidRPr="00787A9E">
        <w:rPr>
          <w:sz w:val="26"/>
          <w:szCs w:val="26"/>
        </w:rPr>
        <w:t xml:space="preserve">from </w:t>
      </w:r>
      <w:r w:rsidR="00DF1053" w:rsidRPr="00787A9E">
        <w:rPr>
          <w:sz w:val="26"/>
          <w:szCs w:val="26"/>
        </w:rPr>
        <w:t>the years</w:t>
      </w:r>
      <w:r w:rsidR="00314BA2" w:rsidRPr="00787A9E">
        <w:rPr>
          <w:sz w:val="26"/>
          <w:szCs w:val="26"/>
        </w:rPr>
        <w:t xml:space="preserve"> 2015</w:t>
      </w:r>
      <w:r w:rsidR="00DF1053" w:rsidRPr="00787A9E">
        <w:rPr>
          <w:sz w:val="26"/>
          <w:szCs w:val="26"/>
        </w:rPr>
        <w:t xml:space="preserve"> to </w:t>
      </w:r>
      <w:r w:rsidR="00314BA2" w:rsidRPr="00787A9E">
        <w:rPr>
          <w:sz w:val="26"/>
          <w:szCs w:val="26"/>
        </w:rPr>
        <w:t xml:space="preserve">2018 would be prepared by or reviewed by a rate consultant, instead of being prepared only by Mr. Kettler, and would be filed within six months from when the Commission issues a final </w:t>
      </w:r>
      <w:r w:rsidR="002C3872" w:rsidRPr="00787A9E">
        <w:rPr>
          <w:sz w:val="26"/>
          <w:szCs w:val="26"/>
        </w:rPr>
        <w:t>O</w:t>
      </w:r>
      <w:r w:rsidR="00314BA2" w:rsidRPr="00787A9E">
        <w:rPr>
          <w:sz w:val="26"/>
          <w:szCs w:val="26"/>
        </w:rPr>
        <w:t>rder in th</w:t>
      </w:r>
      <w:r w:rsidRPr="00787A9E">
        <w:rPr>
          <w:sz w:val="26"/>
          <w:szCs w:val="26"/>
        </w:rPr>
        <w:t>e instant proceeding</w:t>
      </w:r>
      <w:r w:rsidR="00314BA2" w:rsidRPr="00787A9E">
        <w:rPr>
          <w:sz w:val="26"/>
          <w:szCs w:val="26"/>
        </w:rPr>
        <w:t xml:space="preserve">.  </w:t>
      </w:r>
      <w:r w:rsidRPr="00787A9E">
        <w:rPr>
          <w:sz w:val="26"/>
          <w:szCs w:val="26"/>
        </w:rPr>
        <w:t xml:space="preserve">The ALJs noted that the Company </w:t>
      </w:r>
      <w:r w:rsidR="00314BA2" w:rsidRPr="00787A9E">
        <w:rPr>
          <w:sz w:val="26"/>
          <w:szCs w:val="26"/>
        </w:rPr>
        <w:t xml:space="preserve">acknowledged the annual reports contained errors when its corrected reports were submitted in the </w:t>
      </w:r>
      <w:r w:rsidR="00314BA2" w:rsidRPr="00787A9E">
        <w:rPr>
          <w:i/>
          <w:sz w:val="26"/>
          <w:szCs w:val="26"/>
        </w:rPr>
        <w:t>McCloskey</w:t>
      </w:r>
      <w:r w:rsidR="00314BA2" w:rsidRPr="00787A9E">
        <w:rPr>
          <w:sz w:val="26"/>
          <w:szCs w:val="26"/>
        </w:rPr>
        <w:t xml:space="preserve"> proceedings in 2018 and </w:t>
      </w:r>
      <w:r w:rsidRPr="00787A9E">
        <w:rPr>
          <w:sz w:val="26"/>
          <w:szCs w:val="26"/>
        </w:rPr>
        <w:t xml:space="preserve">the Company further </w:t>
      </w:r>
      <w:r w:rsidR="00314BA2" w:rsidRPr="00787A9E">
        <w:rPr>
          <w:sz w:val="26"/>
          <w:szCs w:val="26"/>
        </w:rPr>
        <w:t xml:space="preserve">agreed that any annual reports submitted to the Commission by HVUS for the time period </w:t>
      </w:r>
      <w:r w:rsidR="00783C0C" w:rsidRPr="00787A9E">
        <w:rPr>
          <w:sz w:val="26"/>
          <w:szCs w:val="26"/>
        </w:rPr>
        <w:t xml:space="preserve">from </w:t>
      </w:r>
      <w:r w:rsidR="00314BA2" w:rsidRPr="00787A9E">
        <w:rPr>
          <w:sz w:val="26"/>
          <w:szCs w:val="26"/>
        </w:rPr>
        <w:t>2019 t</w:t>
      </w:r>
      <w:r w:rsidR="00783C0C" w:rsidRPr="00787A9E">
        <w:rPr>
          <w:sz w:val="26"/>
          <w:szCs w:val="26"/>
        </w:rPr>
        <w:t>o</w:t>
      </w:r>
      <w:r w:rsidR="00314BA2" w:rsidRPr="00787A9E">
        <w:rPr>
          <w:sz w:val="26"/>
          <w:szCs w:val="26"/>
        </w:rPr>
        <w:t xml:space="preserve"> 2023 will be prepared by or reviewed by a rate consultant before their submission.</w:t>
      </w:r>
      <w:r w:rsidR="00687554" w:rsidRPr="00787A9E">
        <w:rPr>
          <w:sz w:val="26"/>
          <w:szCs w:val="26"/>
        </w:rPr>
        <w:t xml:space="preserve">  </w:t>
      </w:r>
      <w:r w:rsidR="00687554">
        <w:rPr>
          <w:sz w:val="26"/>
          <w:szCs w:val="26"/>
        </w:rPr>
        <w:t>R.D</w:t>
      </w:r>
      <w:r w:rsidR="00687554" w:rsidRPr="00787A9E">
        <w:rPr>
          <w:i/>
          <w:sz w:val="26"/>
          <w:szCs w:val="26"/>
        </w:rPr>
        <w:t xml:space="preserve">. </w:t>
      </w:r>
      <w:r w:rsidR="00687554" w:rsidRPr="00787A9E">
        <w:rPr>
          <w:sz w:val="26"/>
          <w:szCs w:val="26"/>
        </w:rPr>
        <w:t>at 49.</w:t>
      </w:r>
    </w:p>
    <w:p w14:paraId="3928E5E7" w14:textId="32256927" w:rsidR="00D96A55" w:rsidRPr="00787A9E" w:rsidRDefault="00D96A55" w:rsidP="00FD1A00">
      <w:pPr>
        <w:ind w:firstLine="1440"/>
        <w:contextualSpacing/>
        <w:rPr>
          <w:i/>
          <w:sz w:val="26"/>
          <w:szCs w:val="26"/>
        </w:rPr>
      </w:pPr>
    </w:p>
    <w:p w14:paraId="7108A190" w14:textId="6F09F120" w:rsidR="00450CFC" w:rsidRPr="00787A9E" w:rsidRDefault="000668CF" w:rsidP="00FD1A00">
      <w:pPr>
        <w:ind w:firstLine="1440"/>
        <w:contextualSpacing/>
        <w:rPr>
          <w:sz w:val="26"/>
          <w:szCs w:val="26"/>
        </w:rPr>
      </w:pPr>
      <w:r w:rsidRPr="00787A9E">
        <w:rPr>
          <w:sz w:val="26"/>
          <w:szCs w:val="26"/>
        </w:rPr>
        <w:t>Therefore</w:t>
      </w:r>
      <w:r w:rsidR="00D96A55" w:rsidRPr="00787A9E">
        <w:rPr>
          <w:sz w:val="26"/>
          <w:szCs w:val="26"/>
        </w:rPr>
        <w:t xml:space="preserve">, the ALJs recommended </w:t>
      </w:r>
      <w:r w:rsidR="00B83042" w:rsidRPr="00787A9E">
        <w:rPr>
          <w:sz w:val="26"/>
          <w:szCs w:val="26"/>
        </w:rPr>
        <w:t>approval of the</w:t>
      </w:r>
      <w:r w:rsidR="00D96A55" w:rsidRPr="00787A9E">
        <w:rPr>
          <w:sz w:val="26"/>
          <w:szCs w:val="26"/>
        </w:rPr>
        <w:t xml:space="preserve"> Settlement but with modification</w:t>
      </w:r>
      <w:r w:rsidR="00B83042" w:rsidRPr="00787A9E">
        <w:rPr>
          <w:sz w:val="26"/>
          <w:szCs w:val="26"/>
        </w:rPr>
        <w:t>s</w:t>
      </w:r>
      <w:r w:rsidR="00D96A55" w:rsidRPr="00787A9E">
        <w:rPr>
          <w:sz w:val="26"/>
          <w:szCs w:val="26"/>
        </w:rPr>
        <w:t>.  The ALJs</w:t>
      </w:r>
      <w:r w:rsidR="00806A84" w:rsidRPr="00787A9E">
        <w:rPr>
          <w:sz w:val="26"/>
          <w:szCs w:val="26"/>
        </w:rPr>
        <w:t xml:space="preserve"> stated that</w:t>
      </w:r>
      <w:r w:rsidR="00D96A55" w:rsidRPr="00787A9E">
        <w:rPr>
          <w:sz w:val="26"/>
          <w:szCs w:val="26"/>
        </w:rPr>
        <w:t xml:space="preserve"> the </w:t>
      </w:r>
      <w:r w:rsidR="00806A84" w:rsidRPr="00787A9E">
        <w:rPr>
          <w:sz w:val="26"/>
          <w:szCs w:val="26"/>
        </w:rPr>
        <w:t xml:space="preserve">recommended </w:t>
      </w:r>
      <w:r w:rsidR="00D96A55" w:rsidRPr="00787A9E">
        <w:rPr>
          <w:sz w:val="26"/>
          <w:szCs w:val="26"/>
        </w:rPr>
        <w:t>modification</w:t>
      </w:r>
      <w:r w:rsidR="003C3EC3" w:rsidRPr="00787A9E">
        <w:rPr>
          <w:sz w:val="26"/>
          <w:szCs w:val="26"/>
        </w:rPr>
        <w:t>s</w:t>
      </w:r>
      <w:r w:rsidR="00D96A55" w:rsidRPr="00787A9E">
        <w:rPr>
          <w:sz w:val="26"/>
          <w:szCs w:val="26"/>
        </w:rPr>
        <w:t xml:space="preserve"> </w:t>
      </w:r>
      <w:r w:rsidR="003C3EC3" w:rsidRPr="00787A9E">
        <w:rPr>
          <w:sz w:val="26"/>
          <w:szCs w:val="26"/>
        </w:rPr>
        <w:t>are</w:t>
      </w:r>
      <w:r w:rsidR="00D96A55" w:rsidRPr="00787A9E">
        <w:rPr>
          <w:sz w:val="26"/>
          <w:szCs w:val="26"/>
        </w:rPr>
        <w:t xml:space="preserve"> in the public interest and </w:t>
      </w:r>
      <w:r w:rsidR="003C3EC3" w:rsidRPr="00787A9E">
        <w:rPr>
          <w:sz w:val="26"/>
          <w:szCs w:val="26"/>
        </w:rPr>
        <w:t>are</w:t>
      </w:r>
      <w:r w:rsidR="00D96A55" w:rsidRPr="00787A9E">
        <w:rPr>
          <w:sz w:val="26"/>
          <w:szCs w:val="26"/>
        </w:rPr>
        <w:t xml:space="preserve"> justified because HVUS</w:t>
      </w:r>
      <w:r w:rsidR="003E039A" w:rsidRPr="00787A9E">
        <w:rPr>
          <w:sz w:val="26"/>
          <w:szCs w:val="26"/>
        </w:rPr>
        <w:t xml:space="preserve"> has </w:t>
      </w:r>
      <w:r w:rsidR="00D96A55" w:rsidRPr="00787A9E">
        <w:rPr>
          <w:sz w:val="26"/>
          <w:szCs w:val="26"/>
        </w:rPr>
        <w:t>for over thirteen years</w:t>
      </w:r>
      <w:r w:rsidR="003E039A" w:rsidRPr="00787A9E">
        <w:rPr>
          <w:sz w:val="26"/>
          <w:szCs w:val="26"/>
        </w:rPr>
        <w:t xml:space="preserve"> failed</w:t>
      </w:r>
      <w:r w:rsidR="00D96A55" w:rsidRPr="00787A9E">
        <w:rPr>
          <w:sz w:val="26"/>
          <w:szCs w:val="26"/>
        </w:rPr>
        <w:t xml:space="preserve"> to provide adequate water and wastewater services.  According to the ALJ</w:t>
      </w:r>
      <w:r w:rsidR="00806A84" w:rsidRPr="00787A9E">
        <w:rPr>
          <w:sz w:val="26"/>
          <w:szCs w:val="26"/>
        </w:rPr>
        <w:t>s</w:t>
      </w:r>
      <w:r w:rsidR="00D96A55" w:rsidRPr="00787A9E">
        <w:rPr>
          <w:sz w:val="26"/>
          <w:szCs w:val="26"/>
        </w:rPr>
        <w:t>, as of the clos</w:t>
      </w:r>
      <w:r w:rsidR="003E039A" w:rsidRPr="00787A9E">
        <w:rPr>
          <w:sz w:val="26"/>
          <w:szCs w:val="26"/>
        </w:rPr>
        <w:t>e of record</w:t>
      </w:r>
      <w:r w:rsidR="00D96A55" w:rsidRPr="00787A9E">
        <w:rPr>
          <w:sz w:val="26"/>
          <w:szCs w:val="26"/>
        </w:rPr>
        <w:t xml:space="preserve"> in the instant proceeding, the </w:t>
      </w:r>
      <w:r w:rsidR="008D3E3B" w:rsidRPr="00787A9E">
        <w:rPr>
          <w:sz w:val="26"/>
          <w:szCs w:val="26"/>
        </w:rPr>
        <w:t xml:space="preserve">Company </w:t>
      </w:r>
      <w:r w:rsidR="00D96A55" w:rsidRPr="00787A9E">
        <w:rPr>
          <w:sz w:val="26"/>
          <w:szCs w:val="26"/>
        </w:rPr>
        <w:t xml:space="preserve">continues to provide inadequate service with water that is unfit for household purposes and which no person should be forced to drink.  The </w:t>
      </w:r>
      <w:r w:rsidR="008D3E3B" w:rsidRPr="00787A9E">
        <w:rPr>
          <w:sz w:val="26"/>
          <w:szCs w:val="26"/>
        </w:rPr>
        <w:t xml:space="preserve">ALJs also noted that the </w:t>
      </w:r>
      <w:r w:rsidR="00D96A55" w:rsidRPr="00787A9E">
        <w:rPr>
          <w:sz w:val="26"/>
          <w:szCs w:val="26"/>
        </w:rPr>
        <w:t xml:space="preserve">revenue requirements for </w:t>
      </w:r>
      <w:r w:rsidR="003C3EC3" w:rsidRPr="00787A9E">
        <w:rPr>
          <w:sz w:val="26"/>
          <w:szCs w:val="26"/>
        </w:rPr>
        <w:t>the Company</w:t>
      </w:r>
      <w:r w:rsidR="00A424DB">
        <w:rPr>
          <w:sz w:val="26"/>
          <w:szCs w:val="26"/>
        </w:rPr>
        <w:t>’</w:t>
      </w:r>
      <w:r w:rsidR="003C3EC3" w:rsidRPr="00787A9E">
        <w:rPr>
          <w:sz w:val="26"/>
          <w:szCs w:val="26"/>
        </w:rPr>
        <w:t xml:space="preserve">s </w:t>
      </w:r>
      <w:r w:rsidR="00D96A55" w:rsidRPr="00787A9E">
        <w:rPr>
          <w:sz w:val="26"/>
          <w:szCs w:val="26"/>
        </w:rPr>
        <w:t xml:space="preserve">water and wastewater </w:t>
      </w:r>
      <w:r w:rsidR="003C3EC3" w:rsidRPr="00787A9E">
        <w:rPr>
          <w:sz w:val="26"/>
          <w:szCs w:val="26"/>
        </w:rPr>
        <w:t xml:space="preserve">services </w:t>
      </w:r>
      <w:r w:rsidR="008D3E3B" w:rsidRPr="00787A9E">
        <w:rPr>
          <w:sz w:val="26"/>
          <w:szCs w:val="26"/>
        </w:rPr>
        <w:t xml:space="preserve">in the Settlement </w:t>
      </w:r>
      <w:r w:rsidR="00D96A55" w:rsidRPr="00787A9E">
        <w:rPr>
          <w:sz w:val="26"/>
          <w:szCs w:val="26"/>
        </w:rPr>
        <w:t>are significantly</w:t>
      </w:r>
      <w:r w:rsidR="008D3E3B" w:rsidRPr="00787A9E">
        <w:rPr>
          <w:sz w:val="26"/>
          <w:szCs w:val="26"/>
        </w:rPr>
        <w:t xml:space="preserve"> lower than </w:t>
      </w:r>
      <w:r w:rsidR="00D96A55" w:rsidRPr="00787A9E">
        <w:rPr>
          <w:sz w:val="26"/>
          <w:szCs w:val="26"/>
        </w:rPr>
        <w:t>th</w:t>
      </w:r>
      <w:r w:rsidR="00B664F5" w:rsidRPr="00787A9E">
        <w:rPr>
          <w:sz w:val="26"/>
          <w:szCs w:val="26"/>
        </w:rPr>
        <w:t>ose</w:t>
      </w:r>
      <w:r w:rsidR="00D96A55" w:rsidRPr="00787A9E">
        <w:rPr>
          <w:sz w:val="26"/>
          <w:szCs w:val="26"/>
        </w:rPr>
        <w:t xml:space="preserve"> original</w:t>
      </w:r>
      <w:r w:rsidR="004434A3">
        <w:rPr>
          <w:sz w:val="26"/>
          <w:szCs w:val="26"/>
        </w:rPr>
        <w:t>ly</w:t>
      </w:r>
      <w:r w:rsidR="00D96A55" w:rsidRPr="00787A9E">
        <w:rPr>
          <w:sz w:val="26"/>
          <w:szCs w:val="26"/>
        </w:rPr>
        <w:t xml:space="preserve"> request</w:t>
      </w:r>
      <w:r w:rsidR="00B664F5" w:rsidRPr="00787A9E">
        <w:rPr>
          <w:sz w:val="26"/>
          <w:szCs w:val="26"/>
        </w:rPr>
        <w:t>ed</w:t>
      </w:r>
      <w:r w:rsidR="00D96A55" w:rsidRPr="00787A9E">
        <w:rPr>
          <w:sz w:val="26"/>
          <w:szCs w:val="26"/>
        </w:rPr>
        <w:t xml:space="preserve"> by HVUS but will provide the funding needed to make the Commission-mandated improvements.  </w:t>
      </w:r>
      <w:bookmarkStart w:id="17" w:name="_Hlk1168643"/>
      <w:r w:rsidR="004434A3">
        <w:rPr>
          <w:sz w:val="26"/>
          <w:szCs w:val="26"/>
        </w:rPr>
        <w:t>R.D</w:t>
      </w:r>
      <w:r w:rsidR="008D3E3B" w:rsidRPr="00787A9E">
        <w:rPr>
          <w:i/>
          <w:sz w:val="26"/>
          <w:szCs w:val="26"/>
        </w:rPr>
        <w:t>.</w:t>
      </w:r>
      <w:r w:rsidR="008D3E3B" w:rsidRPr="00787A9E">
        <w:rPr>
          <w:sz w:val="26"/>
          <w:szCs w:val="26"/>
        </w:rPr>
        <w:t xml:space="preserve"> at 49-50.</w:t>
      </w:r>
      <w:bookmarkEnd w:id="17"/>
    </w:p>
    <w:p w14:paraId="732AF890" w14:textId="77777777" w:rsidR="00450CFC" w:rsidRPr="00787A9E" w:rsidRDefault="00450CFC" w:rsidP="00FD1A00">
      <w:pPr>
        <w:ind w:firstLine="1440"/>
        <w:contextualSpacing/>
        <w:rPr>
          <w:sz w:val="26"/>
          <w:szCs w:val="26"/>
        </w:rPr>
      </w:pPr>
      <w:r w:rsidRPr="00787A9E">
        <w:rPr>
          <w:sz w:val="26"/>
          <w:szCs w:val="26"/>
        </w:rPr>
        <w:t xml:space="preserve"> </w:t>
      </w:r>
    </w:p>
    <w:p w14:paraId="528E91D7" w14:textId="082CEB3D" w:rsidR="00B7206B" w:rsidRPr="00787A9E" w:rsidRDefault="00806A84" w:rsidP="00FD1A00">
      <w:pPr>
        <w:ind w:firstLine="1440"/>
        <w:contextualSpacing/>
        <w:rPr>
          <w:sz w:val="26"/>
          <w:szCs w:val="26"/>
        </w:rPr>
      </w:pPr>
      <w:r w:rsidRPr="00787A9E">
        <w:rPr>
          <w:sz w:val="26"/>
          <w:szCs w:val="26"/>
        </w:rPr>
        <w:t>Furthermore, t</w:t>
      </w:r>
      <w:r w:rsidR="00450CFC" w:rsidRPr="00787A9E">
        <w:rPr>
          <w:sz w:val="26"/>
          <w:szCs w:val="26"/>
        </w:rPr>
        <w:t xml:space="preserve">he ALJs stated that while they did not find the evidence provided by HVUS to be credible as it contained several inaccuracies, they were persuaded by </w:t>
      </w:r>
      <w:r w:rsidR="008C273F" w:rsidRPr="00787A9E">
        <w:rPr>
          <w:sz w:val="26"/>
          <w:szCs w:val="26"/>
        </w:rPr>
        <w:t>I&amp;E</w:t>
      </w:r>
      <w:r w:rsidR="00A424DB">
        <w:rPr>
          <w:sz w:val="26"/>
          <w:szCs w:val="26"/>
        </w:rPr>
        <w:t>’</w:t>
      </w:r>
      <w:r w:rsidR="008C273F" w:rsidRPr="00787A9E">
        <w:rPr>
          <w:sz w:val="26"/>
          <w:szCs w:val="26"/>
        </w:rPr>
        <w:t xml:space="preserve">s </w:t>
      </w:r>
      <w:r w:rsidR="00450CFC" w:rsidRPr="00787A9E">
        <w:rPr>
          <w:sz w:val="26"/>
          <w:szCs w:val="26"/>
        </w:rPr>
        <w:t xml:space="preserve">evidence which provided that $65,557 was needed in additional revenue for water service, and $82,227 was needed in additional revenue for wastewater service in order to cover the costs of service, maintenance and improvements without a </w:t>
      </w:r>
      <w:r w:rsidR="00450CFC" w:rsidRPr="00787A9E">
        <w:rPr>
          <w:sz w:val="26"/>
          <w:szCs w:val="26"/>
        </w:rPr>
        <w:lastRenderedPageBreak/>
        <w:t xml:space="preserve">return on equity.  According to the ALJs, I&amp;E indicated </w:t>
      </w:r>
      <w:r w:rsidR="00FB5B81" w:rsidRPr="00787A9E">
        <w:rPr>
          <w:sz w:val="26"/>
          <w:szCs w:val="26"/>
        </w:rPr>
        <w:t xml:space="preserve">that </w:t>
      </w:r>
      <w:r w:rsidR="00450CFC" w:rsidRPr="00787A9E">
        <w:rPr>
          <w:sz w:val="26"/>
          <w:szCs w:val="26"/>
        </w:rPr>
        <w:t>its secondary litigation position allowed for a slightly higher increase in water revenue than the OCA did because it made corrections to its own calculations.  Therefore, the ALJs recommended that the Commission accept I&amp;E</w:t>
      </w:r>
      <w:r w:rsidR="00A424DB">
        <w:rPr>
          <w:sz w:val="26"/>
          <w:szCs w:val="26"/>
        </w:rPr>
        <w:t>’</w:t>
      </w:r>
      <w:r w:rsidR="00450CFC" w:rsidRPr="00787A9E">
        <w:rPr>
          <w:sz w:val="26"/>
          <w:szCs w:val="26"/>
        </w:rPr>
        <w:t>s</w:t>
      </w:r>
      <w:r w:rsidR="002F643B" w:rsidRPr="00787A9E">
        <w:rPr>
          <w:sz w:val="26"/>
          <w:szCs w:val="26"/>
        </w:rPr>
        <w:t xml:space="preserve"> testimony </w:t>
      </w:r>
      <w:r w:rsidR="00450CFC" w:rsidRPr="00787A9E">
        <w:rPr>
          <w:sz w:val="26"/>
          <w:szCs w:val="26"/>
        </w:rPr>
        <w:t>that an increase totaling $65,557 for water service will result in a 0</w:t>
      </w:r>
      <w:r w:rsidR="003430C1">
        <w:rPr>
          <w:sz w:val="26"/>
          <w:szCs w:val="26"/>
        </w:rPr>
        <w:t>.00</w:t>
      </w:r>
      <w:r w:rsidR="00450CFC" w:rsidRPr="00787A9E">
        <w:rPr>
          <w:sz w:val="26"/>
          <w:szCs w:val="26"/>
        </w:rPr>
        <w:t xml:space="preserve">% return on equity for the Company. </w:t>
      </w:r>
      <w:r w:rsidR="00B7206B" w:rsidRPr="00787A9E">
        <w:rPr>
          <w:sz w:val="26"/>
          <w:szCs w:val="26"/>
        </w:rPr>
        <w:t xml:space="preserve"> </w:t>
      </w:r>
      <w:r w:rsidR="003430C1">
        <w:rPr>
          <w:sz w:val="26"/>
          <w:szCs w:val="26"/>
        </w:rPr>
        <w:t>R.D</w:t>
      </w:r>
      <w:r w:rsidR="00B7206B" w:rsidRPr="00787A9E">
        <w:rPr>
          <w:i/>
          <w:sz w:val="26"/>
          <w:szCs w:val="26"/>
        </w:rPr>
        <w:t>.</w:t>
      </w:r>
      <w:r w:rsidR="00B7206B" w:rsidRPr="00787A9E">
        <w:rPr>
          <w:sz w:val="26"/>
          <w:szCs w:val="26"/>
        </w:rPr>
        <w:t xml:space="preserve"> at 50.</w:t>
      </w:r>
    </w:p>
    <w:p w14:paraId="0CA22CCB" w14:textId="77777777" w:rsidR="004B2238" w:rsidRPr="00787A9E" w:rsidRDefault="004B2238" w:rsidP="00FD1A00">
      <w:pPr>
        <w:ind w:firstLine="1440"/>
        <w:contextualSpacing/>
        <w:rPr>
          <w:sz w:val="26"/>
          <w:szCs w:val="26"/>
        </w:rPr>
      </w:pPr>
    </w:p>
    <w:p w14:paraId="427DC3BD" w14:textId="7B6A7DBB" w:rsidR="00450CFC" w:rsidRPr="00787A9E" w:rsidRDefault="00450CFC" w:rsidP="00FD1A00">
      <w:pPr>
        <w:ind w:firstLine="1440"/>
        <w:contextualSpacing/>
        <w:rPr>
          <w:sz w:val="26"/>
          <w:szCs w:val="26"/>
        </w:rPr>
      </w:pPr>
      <w:r w:rsidRPr="00787A9E">
        <w:rPr>
          <w:sz w:val="26"/>
          <w:szCs w:val="26"/>
        </w:rPr>
        <w:t xml:space="preserve">However, the ALJs </w:t>
      </w:r>
      <w:r w:rsidR="00760ABF" w:rsidRPr="00787A9E">
        <w:rPr>
          <w:sz w:val="26"/>
          <w:szCs w:val="26"/>
        </w:rPr>
        <w:t>disagreed</w:t>
      </w:r>
      <w:r w:rsidRPr="00787A9E">
        <w:rPr>
          <w:sz w:val="26"/>
          <w:szCs w:val="26"/>
        </w:rPr>
        <w:t xml:space="preserve"> with I&amp;E </w:t>
      </w:r>
      <w:r w:rsidR="001130C6" w:rsidRPr="00787A9E">
        <w:rPr>
          <w:sz w:val="26"/>
          <w:szCs w:val="26"/>
        </w:rPr>
        <w:t>regarding</w:t>
      </w:r>
      <w:r w:rsidRPr="00787A9E">
        <w:rPr>
          <w:sz w:val="26"/>
          <w:szCs w:val="26"/>
        </w:rPr>
        <w:t xml:space="preserve"> the need for a two-</w:t>
      </w:r>
      <w:r w:rsidR="006647E1" w:rsidRPr="00787A9E">
        <w:rPr>
          <w:sz w:val="26"/>
          <w:szCs w:val="26"/>
        </w:rPr>
        <w:t>step</w:t>
      </w:r>
      <w:r w:rsidRPr="00787A9E">
        <w:rPr>
          <w:sz w:val="26"/>
          <w:szCs w:val="26"/>
        </w:rPr>
        <w:t xml:space="preserve"> </w:t>
      </w:r>
      <w:r w:rsidR="00045D29" w:rsidRPr="00787A9E">
        <w:rPr>
          <w:sz w:val="26"/>
          <w:szCs w:val="26"/>
        </w:rPr>
        <w:t xml:space="preserve">increase </w:t>
      </w:r>
      <w:r w:rsidRPr="00787A9E">
        <w:rPr>
          <w:sz w:val="26"/>
          <w:szCs w:val="26"/>
        </w:rPr>
        <w:t>to implement a revenue increase that results in a 47.9% increase in wastewater rates and permits H</w:t>
      </w:r>
      <w:r w:rsidR="00B7206B" w:rsidRPr="00787A9E">
        <w:rPr>
          <w:sz w:val="26"/>
          <w:szCs w:val="26"/>
        </w:rPr>
        <w:t>VUS</w:t>
      </w:r>
      <w:r w:rsidRPr="00787A9E">
        <w:rPr>
          <w:sz w:val="26"/>
          <w:szCs w:val="26"/>
        </w:rPr>
        <w:t xml:space="preserve"> to obtain an unknown return on equity.</w:t>
      </w:r>
      <w:r w:rsidR="00B7206B" w:rsidRPr="00787A9E">
        <w:rPr>
          <w:sz w:val="26"/>
          <w:szCs w:val="26"/>
        </w:rPr>
        <w:t xml:space="preserve">  The ALJs</w:t>
      </w:r>
      <w:r w:rsidR="008E00BF" w:rsidRPr="00787A9E">
        <w:rPr>
          <w:sz w:val="26"/>
          <w:szCs w:val="26"/>
        </w:rPr>
        <w:t xml:space="preserve"> opined that a</w:t>
      </w:r>
      <w:r w:rsidRPr="00787A9E">
        <w:rPr>
          <w:sz w:val="26"/>
          <w:szCs w:val="26"/>
        </w:rPr>
        <w:t>s of</w:t>
      </w:r>
      <w:r w:rsidR="008E00BF" w:rsidRPr="00787A9E">
        <w:rPr>
          <w:sz w:val="26"/>
          <w:szCs w:val="26"/>
        </w:rPr>
        <w:t xml:space="preserve"> the date of close of record in this proceeding</w:t>
      </w:r>
      <w:r w:rsidRPr="00787A9E">
        <w:rPr>
          <w:sz w:val="26"/>
          <w:szCs w:val="26"/>
        </w:rPr>
        <w:t>, H</w:t>
      </w:r>
      <w:r w:rsidR="008E00BF" w:rsidRPr="00787A9E">
        <w:rPr>
          <w:sz w:val="26"/>
          <w:szCs w:val="26"/>
        </w:rPr>
        <w:t>VUS</w:t>
      </w:r>
      <w:r w:rsidRPr="00787A9E">
        <w:rPr>
          <w:sz w:val="26"/>
          <w:szCs w:val="26"/>
        </w:rPr>
        <w:t xml:space="preserve"> had not implemented </w:t>
      </w:r>
      <w:r w:rsidR="004073B8" w:rsidRPr="00787A9E">
        <w:rPr>
          <w:sz w:val="26"/>
          <w:szCs w:val="26"/>
        </w:rPr>
        <w:t>all</w:t>
      </w:r>
      <w:r w:rsidRPr="00787A9E">
        <w:rPr>
          <w:sz w:val="26"/>
          <w:szCs w:val="26"/>
        </w:rPr>
        <w:t xml:space="preserve"> of the wastewater improvements mandated by the Commission</w:t>
      </w:r>
      <w:r w:rsidR="008E00BF" w:rsidRPr="00787A9E">
        <w:rPr>
          <w:sz w:val="26"/>
          <w:szCs w:val="26"/>
        </w:rPr>
        <w:t xml:space="preserve"> in the </w:t>
      </w:r>
      <w:r w:rsidR="008E00BF" w:rsidRPr="00787A9E">
        <w:rPr>
          <w:i/>
          <w:sz w:val="26"/>
          <w:szCs w:val="26"/>
        </w:rPr>
        <w:t>McCloskey Orders</w:t>
      </w:r>
      <w:r w:rsidRPr="00787A9E">
        <w:rPr>
          <w:sz w:val="26"/>
          <w:szCs w:val="26"/>
        </w:rPr>
        <w:t xml:space="preserve">.  </w:t>
      </w:r>
      <w:r w:rsidR="008E00BF" w:rsidRPr="00787A9E">
        <w:rPr>
          <w:sz w:val="26"/>
          <w:szCs w:val="26"/>
        </w:rPr>
        <w:t>The ALJs disagreed with the Joint Petitioners</w:t>
      </w:r>
      <w:r w:rsidR="00A424DB">
        <w:rPr>
          <w:sz w:val="26"/>
          <w:szCs w:val="26"/>
        </w:rPr>
        <w:t>’</w:t>
      </w:r>
      <w:r w:rsidR="008E00BF" w:rsidRPr="00787A9E">
        <w:rPr>
          <w:sz w:val="26"/>
          <w:szCs w:val="26"/>
        </w:rPr>
        <w:t xml:space="preserve"> justification for the </w:t>
      </w:r>
      <w:r w:rsidR="00E81FCE" w:rsidRPr="00787A9E">
        <w:rPr>
          <w:sz w:val="26"/>
          <w:szCs w:val="26"/>
        </w:rPr>
        <w:t xml:space="preserve">second </w:t>
      </w:r>
      <w:r w:rsidR="008E00BF" w:rsidRPr="00787A9E">
        <w:rPr>
          <w:sz w:val="26"/>
          <w:szCs w:val="26"/>
        </w:rPr>
        <w:t xml:space="preserve">step </w:t>
      </w:r>
      <w:r w:rsidR="00E81FCE" w:rsidRPr="00787A9E">
        <w:rPr>
          <w:sz w:val="26"/>
          <w:szCs w:val="26"/>
        </w:rPr>
        <w:t xml:space="preserve">increase </w:t>
      </w:r>
      <w:r w:rsidR="008E00BF" w:rsidRPr="00787A9E">
        <w:rPr>
          <w:sz w:val="26"/>
          <w:szCs w:val="26"/>
        </w:rPr>
        <w:t>stating that i</w:t>
      </w:r>
      <w:r w:rsidRPr="00787A9E">
        <w:rPr>
          <w:sz w:val="26"/>
          <w:szCs w:val="26"/>
        </w:rPr>
        <w:t>f</w:t>
      </w:r>
      <w:r w:rsidR="008E00BF" w:rsidRPr="00787A9E">
        <w:rPr>
          <w:sz w:val="26"/>
          <w:szCs w:val="26"/>
        </w:rPr>
        <w:t xml:space="preserve"> the Company</w:t>
      </w:r>
      <w:r w:rsidR="002407CF" w:rsidRPr="00787A9E">
        <w:rPr>
          <w:sz w:val="26"/>
          <w:szCs w:val="26"/>
        </w:rPr>
        <w:t xml:space="preserve"> wants to obtain</w:t>
      </w:r>
      <w:r w:rsidRPr="00787A9E">
        <w:rPr>
          <w:sz w:val="26"/>
          <w:szCs w:val="26"/>
        </w:rPr>
        <w:t xml:space="preserve"> the second step increase </w:t>
      </w:r>
      <w:r w:rsidR="004F266F" w:rsidRPr="00787A9E">
        <w:rPr>
          <w:sz w:val="26"/>
          <w:szCs w:val="26"/>
        </w:rPr>
        <w:t>for the</w:t>
      </w:r>
      <w:r w:rsidRPr="00787A9E">
        <w:rPr>
          <w:sz w:val="26"/>
          <w:szCs w:val="26"/>
        </w:rPr>
        <w:t xml:space="preserve"> wastewater revenue, then</w:t>
      </w:r>
      <w:r w:rsidR="008E00BF" w:rsidRPr="00787A9E">
        <w:rPr>
          <w:sz w:val="26"/>
          <w:szCs w:val="26"/>
        </w:rPr>
        <w:t xml:space="preserve"> it </w:t>
      </w:r>
      <w:r w:rsidRPr="00787A9E">
        <w:rPr>
          <w:sz w:val="26"/>
          <w:szCs w:val="26"/>
        </w:rPr>
        <w:t xml:space="preserve">needs to provide quality wastewater service.  </w:t>
      </w:r>
      <w:r w:rsidR="008E00BF" w:rsidRPr="00787A9E">
        <w:rPr>
          <w:sz w:val="26"/>
          <w:szCs w:val="26"/>
        </w:rPr>
        <w:t>Therefore, the ALJs recommended that HVUS be permitted to increase its revenue requirement for water and wastewater service but not to the extent specified in the Settlement.  Although the</w:t>
      </w:r>
      <w:r w:rsidR="001876E7" w:rsidRPr="00787A9E">
        <w:rPr>
          <w:sz w:val="26"/>
          <w:szCs w:val="26"/>
        </w:rPr>
        <w:t>y</w:t>
      </w:r>
      <w:r w:rsidR="008E00BF" w:rsidRPr="00787A9E">
        <w:rPr>
          <w:sz w:val="26"/>
          <w:szCs w:val="26"/>
        </w:rPr>
        <w:t xml:space="preserve"> acknowledged that there is sufficient evidence</w:t>
      </w:r>
      <w:r w:rsidR="001876E7" w:rsidRPr="00787A9E">
        <w:rPr>
          <w:sz w:val="26"/>
          <w:szCs w:val="26"/>
        </w:rPr>
        <w:t xml:space="preserve"> in this proceeding </w:t>
      </w:r>
      <w:r w:rsidR="008E00BF" w:rsidRPr="00787A9E">
        <w:rPr>
          <w:sz w:val="26"/>
          <w:szCs w:val="26"/>
        </w:rPr>
        <w:t xml:space="preserve">to </w:t>
      </w:r>
      <w:r w:rsidR="001876E7" w:rsidRPr="00787A9E">
        <w:rPr>
          <w:sz w:val="26"/>
          <w:szCs w:val="26"/>
        </w:rPr>
        <w:t>meet the Company</w:t>
      </w:r>
      <w:r w:rsidR="00A424DB">
        <w:rPr>
          <w:sz w:val="26"/>
          <w:szCs w:val="26"/>
        </w:rPr>
        <w:t>’</w:t>
      </w:r>
      <w:r w:rsidR="001876E7" w:rsidRPr="00787A9E">
        <w:rPr>
          <w:sz w:val="26"/>
          <w:szCs w:val="26"/>
        </w:rPr>
        <w:t xml:space="preserve">s </w:t>
      </w:r>
      <w:r w:rsidR="008E00BF" w:rsidRPr="00787A9E">
        <w:rPr>
          <w:sz w:val="26"/>
          <w:szCs w:val="26"/>
        </w:rPr>
        <w:t xml:space="preserve">burden of proving that additional </w:t>
      </w:r>
      <w:r w:rsidR="008E7E46" w:rsidRPr="00787A9E">
        <w:rPr>
          <w:sz w:val="26"/>
          <w:szCs w:val="26"/>
        </w:rPr>
        <w:t xml:space="preserve">revenue is </w:t>
      </w:r>
      <w:r w:rsidR="008E00BF" w:rsidRPr="00787A9E">
        <w:rPr>
          <w:sz w:val="26"/>
          <w:szCs w:val="26"/>
        </w:rPr>
        <w:t>needed in order to effectuate th</w:t>
      </w:r>
      <w:r w:rsidR="008E7E46" w:rsidRPr="00787A9E">
        <w:rPr>
          <w:sz w:val="26"/>
          <w:szCs w:val="26"/>
        </w:rPr>
        <w:t xml:space="preserve">e several </w:t>
      </w:r>
      <w:r w:rsidR="008E00BF" w:rsidRPr="00787A9E">
        <w:rPr>
          <w:sz w:val="26"/>
          <w:szCs w:val="26"/>
        </w:rPr>
        <w:t xml:space="preserve">improvements required </w:t>
      </w:r>
      <w:r w:rsidR="009F71A5" w:rsidRPr="00787A9E">
        <w:rPr>
          <w:sz w:val="26"/>
          <w:szCs w:val="26"/>
        </w:rPr>
        <w:t>by</w:t>
      </w:r>
      <w:r w:rsidR="008E00BF" w:rsidRPr="00787A9E">
        <w:rPr>
          <w:sz w:val="26"/>
          <w:szCs w:val="26"/>
        </w:rPr>
        <w:t xml:space="preserve"> the </w:t>
      </w:r>
      <w:r w:rsidR="008E00BF" w:rsidRPr="00787A9E">
        <w:rPr>
          <w:i/>
          <w:sz w:val="26"/>
          <w:szCs w:val="26"/>
        </w:rPr>
        <w:t>McCloskey</w:t>
      </w:r>
      <w:r w:rsidR="001876E7" w:rsidRPr="00787A9E">
        <w:rPr>
          <w:i/>
          <w:sz w:val="26"/>
          <w:szCs w:val="26"/>
        </w:rPr>
        <w:t xml:space="preserve"> Orders,</w:t>
      </w:r>
      <w:r w:rsidR="001876E7" w:rsidRPr="00787A9E">
        <w:rPr>
          <w:sz w:val="26"/>
          <w:szCs w:val="26"/>
        </w:rPr>
        <w:t xml:space="preserve"> the ALJs, nonetheless, stated that </w:t>
      </w:r>
      <w:r w:rsidR="008E00BF" w:rsidRPr="00787A9E">
        <w:rPr>
          <w:sz w:val="26"/>
          <w:szCs w:val="26"/>
        </w:rPr>
        <w:t>HVUS should not be permitted to earn a return on equity for either water or wastewater service due to the plethora of service issues</w:t>
      </w:r>
      <w:r w:rsidR="005F2A9E" w:rsidRPr="00787A9E">
        <w:rPr>
          <w:sz w:val="26"/>
          <w:szCs w:val="26"/>
        </w:rPr>
        <w:t xml:space="preserve"> </w:t>
      </w:r>
      <w:r w:rsidR="000A353F" w:rsidRPr="00787A9E">
        <w:rPr>
          <w:sz w:val="26"/>
          <w:szCs w:val="26"/>
        </w:rPr>
        <w:t>prevalent in the Company</w:t>
      </w:r>
      <w:r w:rsidR="00A424DB">
        <w:rPr>
          <w:sz w:val="26"/>
          <w:szCs w:val="26"/>
        </w:rPr>
        <w:t>’</w:t>
      </w:r>
      <w:r w:rsidR="000A353F" w:rsidRPr="00787A9E">
        <w:rPr>
          <w:sz w:val="26"/>
          <w:szCs w:val="26"/>
        </w:rPr>
        <w:t>s</w:t>
      </w:r>
      <w:r w:rsidR="005F2A9E" w:rsidRPr="00787A9E">
        <w:rPr>
          <w:sz w:val="26"/>
          <w:szCs w:val="26"/>
        </w:rPr>
        <w:t xml:space="preserve"> water and wastewater systems</w:t>
      </w:r>
      <w:r w:rsidR="001876E7" w:rsidRPr="00787A9E">
        <w:rPr>
          <w:sz w:val="26"/>
          <w:szCs w:val="26"/>
        </w:rPr>
        <w:t>.  Hence, the</w:t>
      </w:r>
      <w:r w:rsidR="00BE0C61" w:rsidRPr="00787A9E">
        <w:rPr>
          <w:sz w:val="26"/>
          <w:szCs w:val="26"/>
        </w:rPr>
        <w:t xml:space="preserve"> ALJs</w:t>
      </w:r>
      <w:r w:rsidR="001876E7" w:rsidRPr="00787A9E">
        <w:rPr>
          <w:sz w:val="26"/>
          <w:szCs w:val="26"/>
        </w:rPr>
        <w:t xml:space="preserve"> recommended that </w:t>
      </w:r>
      <w:r w:rsidR="008E00BF" w:rsidRPr="00787A9E">
        <w:rPr>
          <w:sz w:val="26"/>
          <w:szCs w:val="26"/>
        </w:rPr>
        <w:t xml:space="preserve">HVUS should only be permitted the first-step increase </w:t>
      </w:r>
      <w:r w:rsidR="008E7E46" w:rsidRPr="00787A9E">
        <w:rPr>
          <w:sz w:val="26"/>
          <w:szCs w:val="26"/>
        </w:rPr>
        <w:t xml:space="preserve">for the wastewater rates </w:t>
      </w:r>
      <w:r w:rsidR="008E00BF" w:rsidRPr="00787A9E">
        <w:rPr>
          <w:sz w:val="26"/>
          <w:szCs w:val="26"/>
        </w:rPr>
        <w:t xml:space="preserve">proposed in the Settlement.  </w:t>
      </w:r>
      <w:r w:rsidR="003430C1">
        <w:rPr>
          <w:sz w:val="26"/>
          <w:szCs w:val="26"/>
        </w:rPr>
        <w:t>R.D</w:t>
      </w:r>
      <w:r w:rsidRPr="00787A9E">
        <w:rPr>
          <w:i/>
          <w:sz w:val="26"/>
          <w:szCs w:val="26"/>
        </w:rPr>
        <w:t>.</w:t>
      </w:r>
      <w:r w:rsidRPr="00787A9E">
        <w:rPr>
          <w:sz w:val="26"/>
          <w:szCs w:val="26"/>
        </w:rPr>
        <w:t xml:space="preserve"> at 50</w:t>
      </w:r>
      <w:r w:rsidR="001876E7" w:rsidRPr="00787A9E">
        <w:rPr>
          <w:sz w:val="26"/>
          <w:szCs w:val="26"/>
        </w:rPr>
        <w:t>-51</w:t>
      </w:r>
      <w:r w:rsidRPr="00787A9E">
        <w:rPr>
          <w:sz w:val="26"/>
          <w:szCs w:val="26"/>
        </w:rPr>
        <w:t>.</w:t>
      </w:r>
    </w:p>
    <w:p w14:paraId="6DCB134E" w14:textId="77777777" w:rsidR="00450CFC" w:rsidRPr="00787A9E" w:rsidRDefault="00450CFC" w:rsidP="00FD1A00">
      <w:pPr>
        <w:ind w:firstLine="1440"/>
        <w:contextualSpacing/>
        <w:rPr>
          <w:sz w:val="26"/>
          <w:szCs w:val="26"/>
        </w:rPr>
      </w:pPr>
    </w:p>
    <w:p w14:paraId="22B09BE3" w14:textId="64363B03" w:rsidR="008A5740" w:rsidRPr="00787A9E" w:rsidRDefault="00BE7BC2" w:rsidP="00FD1A00">
      <w:pPr>
        <w:ind w:firstLine="1440"/>
        <w:contextualSpacing/>
        <w:rPr>
          <w:sz w:val="26"/>
          <w:szCs w:val="26"/>
        </w:rPr>
      </w:pPr>
      <w:r w:rsidRPr="00787A9E">
        <w:rPr>
          <w:sz w:val="26"/>
          <w:szCs w:val="26"/>
        </w:rPr>
        <w:t xml:space="preserve">Consistent with </w:t>
      </w:r>
      <w:r w:rsidR="006945D5" w:rsidRPr="00787A9E">
        <w:rPr>
          <w:sz w:val="26"/>
          <w:szCs w:val="26"/>
        </w:rPr>
        <w:t>their</w:t>
      </w:r>
      <w:r w:rsidRPr="00787A9E">
        <w:rPr>
          <w:sz w:val="26"/>
          <w:szCs w:val="26"/>
        </w:rPr>
        <w:t xml:space="preserve"> recommended approval of the </w:t>
      </w:r>
      <w:r w:rsidR="00A81681" w:rsidRPr="00787A9E">
        <w:rPr>
          <w:sz w:val="26"/>
          <w:szCs w:val="26"/>
        </w:rPr>
        <w:t>Non-Unanimous</w:t>
      </w:r>
      <w:r w:rsidRPr="00787A9E">
        <w:rPr>
          <w:sz w:val="26"/>
          <w:szCs w:val="26"/>
        </w:rPr>
        <w:t xml:space="preserve"> Settlement with modification</w:t>
      </w:r>
      <w:r w:rsidR="00A81681" w:rsidRPr="00787A9E">
        <w:rPr>
          <w:sz w:val="26"/>
          <w:szCs w:val="26"/>
        </w:rPr>
        <w:t>s</w:t>
      </w:r>
      <w:r w:rsidRPr="00787A9E">
        <w:rPr>
          <w:sz w:val="26"/>
          <w:szCs w:val="26"/>
        </w:rPr>
        <w:t>, the ALJs stated that the average residential water customer using 2,100 gallons per quarter should pay $38.70 per quarter or an increase of $12.0</w:t>
      </w:r>
      <w:r w:rsidR="006945D5" w:rsidRPr="00787A9E">
        <w:rPr>
          <w:sz w:val="26"/>
          <w:szCs w:val="26"/>
        </w:rPr>
        <w:t>9</w:t>
      </w:r>
      <w:r w:rsidRPr="00787A9E">
        <w:rPr>
          <w:b/>
          <w:sz w:val="26"/>
          <w:szCs w:val="26"/>
        </w:rPr>
        <w:t xml:space="preserve"> </w:t>
      </w:r>
      <w:r w:rsidRPr="00787A9E">
        <w:rPr>
          <w:sz w:val="26"/>
          <w:szCs w:val="26"/>
        </w:rPr>
        <w:t>per</w:t>
      </w:r>
      <w:r w:rsidR="006945D5" w:rsidRPr="00787A9E">
        <w:rPr>
          <w:sz w:val="26"/>
          <w:szCs w:val="26"/>
        </w:rPr>
        <w:t xml:space="preserve"> </w:t>
      </w:r>
      <w:r w:rsidR="003D49CA" w:rsidRPr="00787A9E">
        <w:rPr>
          <w:sz w:val="26"/>
          <w:szCs w:val="26"/>
        </w:rPr>
        <w:t>quarter</w:t>
      </w:r>
      <w:r w:rsidRPr="00787A9E">
        <w:rPr>
          <w:sz w:val="26"/>
          <w:szCs w:val="26"/>
        </w:rPr>
        <w:t xml:space="preserve"> (or 45.3%) over current water rates.  In addition, the ALJs recommended that the average residential wastewater customer using 2,100 gallons per </w:t>
      </w:r>
      <w:r w:rsidRPr="00787A9E">
        <w:rPr>
          <w:sz w:val="26"/>
          <w:szCs w:val="26"/>
        </w:rPr>
        <w:lastRenderedPageBreak/>
        <w:t>quarter should pay $75.58 per quarter or an increase of $</w:t>
      </w:r>
      <w:r w:rsidR="006945D5" w:rsidRPr="00787A9E">
        <w:rPr>
          <w:sz w:val="26"/>
          <w:szCs w:val="26"/>
        </w:rPr>
        <w:t>25</w:t>
      </w:r>
      <w:r w:rsidRPr="00787A9E">
        <w:rPr>
          <w:sz w:val="26"/>
          <w:szCs w:val="26"/>
        </w:rPr>
        <w:t>.</w:t>
      </w:r>
      <w:r w:rsidR="006945D5" w:rsidRPr="00787A9E">
        <w:rPr>
          <w:sz w:val="26"/>
          <w:szCs w:val="26"/>
        </w:rPr>
        <w:t>19</w:t>
      </w:r>
      <w:r w:rsidRPr="00787A9E">
        <w:rPr>
          <w:b/>
          <w:sz w:val="26"/>
          <w:szCs w:val="26"/>
        </w:rPr>
        <w:t xml:space="preserve"> </w:t>
      </w:r>
      <w:r w:rsidRPr="00787A9E">
        <w:rPr>
          <w:sz w:val="26"/>
          <w:szCs w:val="26"/>
        </w:rPr>
        <w:t>per</w:t>
      </w:r>
      <w:r w:rsidR="006945D5" w:rsidRPr="00787A9E">
        <w:rPr>
          <w:sz w:val="26"/>
          <w:szCs w:val="26"/>
        </w:rPr>
        <w:t xml:space="preserve"> </w:t>
      </w:r>
      <w:r w:rsidR="00C10EB0" w:rsidRPr="00787A9E">
        <w:rPr>
          <w:sz w:val="26"/>
          <w:szCs w:val="26"/>
        </w:rPr>
        <w:t>quarter</w:t>
      </w:r>
      <w:r w:rsidRPr="00787A9E">
        <w:rPr>
          <w:sz w:val="26"/>
          <w:szCs w:val="26"/>
        </w:rPr>
        <w:t xml:space="preserve"> (or 26.5%) over current wastewater rates.</w:t>
      </w:r>
      <w:r w:rsidR="00C97F55" w:rsidRPr="00787A9E">
        <w:rPr>
          <w:sz w:val="26"/>
          <w:szCs w:val="26"/>
        </w:rPr>
        <w:t xml:space="preserve"> </w:t>
      </w:r>
      <w:r w:rsidR="0079366F" w:rsidRPr="00787A9E">
        <w:rPr>
          <w:sz w:val="26"/>
          <w:szCs w:val="26"/>
        </w:rPr>
        <w:t xml:space="preserve"> </w:t>
      </w:r>
      <w:r w:rsidR="00C97F55" w:rsidRPr="00787A9E">
        <w:rPr>
          <w:sz w:val="26"/>
          <w:szCs w:val="26"/>
        </w:rPr>
        <w:t xml:space="preserve">According to the ALJs, </w:t>
      </w:r>
      <w:r w:rsidR="008A5740" w:rsidRPr="00787A9E">
        <w:rPr>
          <w:sz w:val="26"/>
          <w:szCs w:val="26"/>
        </w:rPr>
        <w:t xml:space="preserve">while these recommended rate increases are no doubt frustrating and aggravating for the customers who still do not have quality service, they are just and reasonable because: (1) this increase is the first increase for the Company in over thirteen years; (2) HVUS </w:t>
      </w:r>
      <w:r w:rsidR="00066986" w:rsidRPr="00787A9E">
        <w:rPr>
          <w:sz w:val="26"/>
          <w:szCs w:val="26"/>
        </w:rPr>
        <w:t>has made</w:t>
      </w:r>
      <w:r w:rsidR="008A5740" w:rsidRPr="00787A9E">
        <w:rPr>
          <w:sz w:val="26"/>
          <w:szCs w:val="26"/>
        </w:rPr>
        <w:t xml:space="preserve"> some improvements</w:t>
      </w:r>
      <w:r w:rsidR="00202A96" w:rsidRPr="00787A9E">
        <w:rPr>
          <w:sz w:val="26"/>
          <w:szCs w:val="26"/>
        </w:rPr>
        <w:t xml:space="preserve"> to its water and wastewater systems</w:t>
      </w:r>
      <w:r w:rsidR="008A5740" w:rsidRPr="00787A9E">
        <w:rPr>
          <w:sz w:val="26"/>
          <w:szCs w:val="26"/>
        </w:rPr>
        <w:t>; and (3) the</w:t>
      </w:r>
      <w:r w:rsidR="00E0214C" w:rsidRPr="00787A9E">
        <w:rPr>
          <w:sz w:val="26"/>
          <w:szCs w:val="26"/>
        </w:rPr>
        <w:t xml:space="preserve"> approved</w:t>
      </w:r>
      <w:r w:rsidR="008A5740" w:rsidRPr="00787A9E">
        <w:rPr>
          <w:sz w:val="26"/>
          <w:szCs w:val="26"/>
        </w:rPr>
        <w:t xml:space="preserve"> increases are intended to eliminate or limit the return on equity which </w:t>
      </w:r>
      <w:r w:rsidR="00DE39D3" w:rsidRPr="00787A9E">
        <w:rPr>
          <w:sz w:val="26"/>
          <w:szCs w:val="26"/>
        </w:rPr>
        <w:t>the Company</w:t>
      </w:r>
      <w:r w:rsidR="008A5740" w:rsidRPr="00787A9E">
        <w:rPr>
          <w:sz w:val="26"/>
          <w:szCs w:val="26"/>
        </w:rPr>
        <w:t xml:space="preserve"> can earn</w:t>
      </w:r>
      <w:r w:rsidR="006459AA">
        <w:rPr>
          <w:sz w:val="26"/>
          <w:szCs w:val="26"/>
        </w:rPr>
        <w:t>.  R.D.</w:t>
      </w:r>
      <w:r w:rsidR="008A5740" w:rsidRPr="00787A9E">
        <w:rPr>
          <w:sz w:val="26"/>
          <w:szCs w:val="26"/>
        </w:rPr>
        <w:t xml:space="preserve"> at 51.</w:t>
      </w:r>
    </w:p>
    <w:p w14:paraId="6C591360" w14:textId="77777777" w:rsidR="00066986" w:rsidRPr="00787A9E" w:rsidRDefault="00066986" w:rsidP="00FD1A00">
      <w:pPr>
        <w:ind w:firstLine="1440"/>
        <w:contextualSpacing/>
        <w:rPr>
          <w:sz w:val="26"/>
          <w:szCs w:val="26"/>
        </w:rPr>
      </w:pPr>
    </w:p>
    <w:p w14:paraId="304947C1" w14:textId="54588AC7" w:rsidR="008A5740" w:rsidRPr="00787A9E" w:rsidRDefault="00AB53A5" w:rsidP="00FD1A00">
      <w:pPr>
        <w:ind w:firstLine="1440"/>
        <w:contextualSpacing/>
        <w:rPr>
          <w:sz w:val="26"/>
          <w:szCs w:val="26"/>
        </w:rPr>
      </w:pPr>
      <w:r w:rsidRPr="00787A9E">
        <w:rPr>
          <w:sz w:val="26"/>
          <w:szCs w:val="26"/>
        </w:rPr>
        <w:t>Next</w:t>
      </w:r>
      <w:r w:rsidR="00495D18" w:rsidRPr="00787A9E">
        <w:rPr>
          <w:sz w:val="26"/>
          <w:szCs w:val="26"/>
        </w:rPr>
        <w:t>, the ALJs indicated that it is important to note that the recommended increase shows the Company</w:t>
      </w:r>
      <w:r w:rsidR="008A5740" w:rsidRPr="00787A9E">
        <w:rPr>
          <w:sz w:val="26"/>
          <w:szCs w:val="26"/>
        </w:rPr>
        <w:t xml:space="preserve"> will </w:t>
      </w:r>
      <w:r w:rsidR="00495D18" w:rsidRPr="00787A9E">
        <w:rPr>
          <w:sz w:val="26"/>
          <w:szCs w:val="26"/>
        </w:rPr>
        <w:t xml:space="preserve">not </w:t>
      </w:r>
      <w:r w:rsidR="008A5740" w:rsidRPr="00787A9E">
        <w:rPr>
          <w:sz w:val="26"/>
          <w:szCs w:val="26"/>
        </w:rPr>
        <w:t>receive</w:t>
      </w:r>
      <w:r w:rsidR="00495D18" w:rsidRPr="00787A9E">
        <w:rPr>
          <w:sz w:val="26"/>
          <w:szCs w:val="26"/>
        </w:rPr>
        <w:t xml:space="preserve"> any </w:t>
      </w:r>
      <w:r w:rsidR="008A5740" w:rsidRPr="00787A9E">
        <w:rPr>
          <w:sz w:val="26"/>
          <w:szCs w:val="26"/>
        </w:rPr>
        <w:t xml:space="preserve">return, </w:t>
      </w:r>
      <w:r w:rsidR="008A5740" w:rsidRPr="00787A9E">
        <w:rPr>
          <w:i/>
          <w:sz w:val="26"/>
          <w:szCs w:val="26"/>
        </w:rPr>
        <w:t>i.e.,</w:t>
      </w:r>
      <w:r w:rsidR="008A5740" w:rsidRPr="00787A9E">
        <w:rPr>
          <w:sz w:val="26"/>
          <w:szCs w:val="26"/>
        </w:rPr>
        <w:t xml:space="preserve"> profit, from the increased water and wastewater revenues.  </w:t>
      </w:r>
      <w:r w:rsidR="00495D18" w:rsidRPr="00787A9E">
        <w:rPr>
          <w:sz w:val="26"/>
          <w:szCs w:val="26"/>
        </w:rPr>
        <w:t>The ALJs emphasized that a</w:t>
      </w:r>
      <w:r w:rsidR="008A5740" w:rsidRPr="00787A9E">
        <w:rPr>
          <w:sz w:val="26"/>
          <w:szCs w:val="26"/>
        </w:rPr>
        <w:t xml:space="preserve"> Commission-approved rate which does not allow for any return on equity is no small feat and</w:t>
      </w:r>
      <w:r w:rsidR="00495D18" w:rsidRPr="00787A9E">
        <w:rPr>
          <w:sz w:val="26"/>
          <w:szCs w:val="26"/>
        </w:rPr>
        <w:t xml:space="preserve"> that </w:t>
      </w:r>
      <w:r w:rsidR="008A5740" w:rsidRPr="00787A9E">
        <w:rPr>
          <w:sz w:val="26"/>
          <w:szCs w:val="26"/>
        </w:rPr>
        <w:t>although permitted under the law, the Commission</w:t>
      </w:r>
      <w:r w:rsidR="00F623F3" w:rsidRPr="00787A9E">
        <w:rPr>
          <w:sz w:val="26"/>
          <w:szCs w:val="26"/>
        </w:rPr>
        <w:t xml:space="preserve"> rarely</w:t>
      </w:r>
      <w:r w:rsidR="008A5740" w:rsidRPr="00787A9E">
        <w:rPr>
          <w:sz w:val="26"/>
          <w:szCs w:val="26"/>
        </w:rPr>
        <w:t xml:space="preserve"> exercises its discretionary authority to eliminate a</w:t>
      </w:r>
      <w:r w:rsidR="00F623F3" w:rsidRPr="00787A9E">
        <w:rPr>
          <w:sz w:val="26"/>
          <w:szCs w:val="26"/>
        </w:rPr>
        <w:t xml:space="preserve"> utility</w:t>
      </w:r>
      <w:r w:rsidR="00A424DB">
        <w:rPr>
          <w:sz w:val="26"/>
          <w:szCs w:val="26"/>
        </w:rPr>
        <w:t>’</w:t>
      </w:r>
      <w:r w:rsidR="00F623F3" w:rsidRPr="00787A9E">
        <w:rPr>
          <w:sz w:val="26"/>
          <w:szCs w:val="26"/>
        </w:rPr>
        <w:t>s</w:t>
      </w:r>
      <w:r w:rsidR="008A5740" w:rsidRPr="00787A9E">
        <w:rPr>
          <w:sz w:val="26"/>
          <w:szCs w:val="26"/>
        </w:rPr>
        <w:t xml:space="preserve"> return on equity.  However, </w:t>
      </w:r>
      <w:r w:rsidR="00261FCC" w:rsidRPr="00787A9E">
        <w:rPr>
          <w:sz w:val="26"/>
          <w:szCs w:val="26"/>
        </w:rPr>
        <w:t xml:space="preserve">in this case, </w:t>
      </w:r>
      <w:r w:rsidR="008A5740" w:rsidRPr="00787A9E">
        <w:rPr>
          <w:sz w:val="26"/>
          <w:szCs w:val="26"/>
        </w:rPr>
        <w:t>the</w:t>
      </w:r>
      <w:r w:rsidR="00495D18" w:rsidRPr="00787A9E">
        <w:rPr>
          <w:sz w:val="26"/>
          <w:szCs w:val="26"/>
        </w:rPr>
        <w:t xml:space="preserve"> ALJs </w:t>
      </w:r>
      <w:r w:rsidR="008A5740" w:rsidRPr="00787A9E">
        <w:rPr>
          <w:sz w:val="26"/>
          <w:szCs w:val="26"/>
        </w:rPr>
        <w:t>recommend</w:t>
      </w:r>
      <w:r w:rsidR="00495D18" w:rsidRPr="00787A9E">
        <w:rPr>
          <w:sz w:val="26"/>
          <w:szCs w:val="26"/>
        </w:rPr>
        <w:t>ed that</w:t>
      </w:r>
      <w:r w:rsidR="008A5740" w:rsidRPr="00787A9E">
        <w:rPr>
          <w:sz w:val="26"/>
          <w:szCs w:val="26"/>
        </w:rPr>
        <w:t xml:space="preserve"> the Commission take this unusual step due to the plethora of </w:t>
      </w:r>
      <w:r w:rsidR="00DA44E8" w:rsidRPr="00787A9E">
        <w:rPr>
          <w:sz w:val="26"/>
          <w:szCs w:val="26"/>
        </w:rPr>
        <w:t>poor-quality</w:t>
      </w:r>
      <w:r w:rsidR="008A5740" w:rsidRPr="00787A9E">
        <w:rPr>
          <w:sz w:val="26"/>
          <w:szCs w:val="26"/>
        </w:rPr>
        <w:t xml:space="preserve"> service issues </w:t>
      </w:r>
      <w:r w:rsidR="00F516D7" w:rsidRPr="00787A9E">
        <w:rPr>
          <w:sz w:val="26"/>
          <w:szCs w:val="26"/>
        </w:rPr>
        <w:t xml:space="preserve">by the Company </w:t>
      </w:r>
      <w:r w:rsidR="008A5740" w:rsidRPr="00787A9E">
        <w:rPr>
          <w:sz w:val="26"/>
          <w:szCs w:val="26"/>
        </w:rPr>
        <w:t xml:space="preserve">over the past </w:t>
      </w:r>
      <w:r w:rsidR="00495D18" w:rsidRPr="00787A9E">
        <w:rPr>
          <w:sz w:val="26"/>
          <w:szCs w:val="26"/>
        </w:rPr>
        <w:t xml:space="preserve">thirteen </w:t>
      </w:r>
      <w:r w:rsidR="008A5740" w:rsidRPr="00787A9E">
        <w:rPr>
          <w:sz w:val="26"/>
          <w:szCs w:val="26"/>
        </w:rPr>
        <w:t>years.</w:t>
      </w:r>
      <w:r w:rsidR="00495D18" w:rsidRPr="00787A9E">
        <w:rPr>
          <w:rStyle w:val="FootnoteReference"/>
          <w:sz w:val="26"/>
          <w:szCs w:val="26"/>
        </w:rPr>
        <w:footnoteReference w:id="20"/>
      </w:r>
      <w:r w:rsidR="008A5740" w:rsidRPr="00787A9E">
        <w:rPr>
          <w:sz w:val="26"/>
          <w:szCs w:val="26"/>
        </w:rPr>
        <w:t xml:space="preserve"> </w:t>
      </w:r>
      <w:r w:rsidR="0017536E" w:rsidRPr="00787A9E">
        <w:rPr>
          <w:sz w:val="26"/>
          <w:szCs w:val="26"/>
        </w:rPr>
        <w:t xml:space="preserve"> </w:t>
      </w:r>
      <w:r w:rsidR="00D61739">
        <w:rPr>
          <w:sz w:val="26"/>
          <w:szCs w:val="26"/>
        </w:rPr>
        <w:t>R.D.</w:t>
      </w:r>
      <w:r w:rsidR="00D61739" w:rsidRPr="00787A9E">
        <w:rPr>
          <w:sz w:val="26"/>
          <w:szCs w:val="26"/>
        </w:rPr>
        <w:t xml:space="preserve"> at 51.</w:t>
      </w:r>
    </w:p>
    <w:p w14:paraId="065296F3" w14:textId="77777777" w:rsidR="00BE7BC2" w:rsidRPr="00787A9E" w:rsidRDefault="00BE7BC2" w:rsidP="00FD1A00">
      <w:pPr>
        <w:ind w:firstLine="1440"/>
        <w:contextualSpacing/>
        <w:rPr>
          <w:sz w:val="26"/>
          <w:szCs w:val="26"/>
        </w:rPr>
      </w:pPr>
    </w:p>
    <w:p w14:paraId="2975A7F8" w14:textId="3497CD8D" w:rsidR="004F17C0" w:rsidRPr="00787A9E" w:rsidRDefault="0017536E" w:rsidP="00FD1A00">
      <w:pPr>
        <w:ind w:firstLine="1440"/>
        <w:contextualSpacing/>
        <w:rPr>
          <w:sz w:val="26"/>
          <w:szCs w:val="26"/>
        </w:rPr>
      </w:pPr>
      <w:r w:rsidRPr="00787A9E">
        <w:rPr>
          <w:sz w:val="26"/>
          <w:szCs w:val="26"/>
        </w:rPr>
        <w:t xml:space="preserve">On the issue of the annual reports, </w:t>
      </w:r>
      <w:r w:rsidR="004F17C0" w:rsidRPr="00787A9E">
        <w:rPr>
          <w:sz w:val="26"/>
          <w:szCs w:val="26"/>
        </w:rPr>
        <w:t xml:space="preserve">the ALJs supported </w:t>
      </w:r>
      <w:r w:rsidR="00BC5758">
        <w:rPr>
          <w:sz w:val="26"/>
          <w:szCs w:val="26"/>
        </w:rPr>
        <w:t>the refiling</w:t>
      </w:r>
      <w:r w:rsidR="004F17C0" w:rsidRPr="00787A9E">
        <w:rPr>
          <w:sz w:val="26"/>
          <w:szCs w:val="26"/>
        </w:rPr>
        <w:t xml:space="preserve"> of the Company</w:t>
      </w:r>
      <w:r w:rsidR="00A424DB">
        <w:rPr>
          <w:sz w:val="26"/>
          <w:szCs w:val="26"/>
        </w:rPr>
        <w:t>’</w:t>
      </w:r>
      <w:r w:rsidR="004F17C0" w:rsidRPr="00787A9E">
        <w:rPr>
          <w:sz w:val="26"/>
          <w:szCs w:val="26"/>
        </w:rPr>
        <w:t xml:space="preserve">s reviewed </w:t>
      </w:r>
      <w:r w:rsidR="0018608C" w:rsidRPr="00787A9E">
        <w:rPr>
          <w:sz w:val="26"/>
          <w:szCs w:val="26"/>
        </w:rPr>
        <w:t xml:space="preserve">and </w:t>
      </w:r>
      <w:r w:rsidR="004F17C0" w:rsidRPr="00787A9E">
        <w:rPr>
          <w:sz w:val="26"/>
          <w:szCs w:val="26"/>
        </w:rPr>
        <w:t>corrected annual reports.  According to the ALJs, the Company</w:t>
      </w:r>
      <w:r w:rsidR="00A424DB">
        <w:rPr>
          <w:sz w:val="26"/>
          <w:szCs w:val="26"/>
        </w:rPr>
        <w:t>’</w:t>
      </w:r>
      <w:r w:rsidR="004F17C0" w:rsidRPr="00787A9E">
        <w:rPr>
          <w:sz w:val="26"/>
          <w:szCs w:val="26"/>
        </w:rPr>
        <w:t>s agreement to refile corrected annual reports using the services of a rate consultant will provide the customers and the Commission with some reassurance and it will also provide a means by which the Company</w:t>
      </w:r>
      <w:r w:rsidR="00A424DB">
        <w:rPr>
          <w:sz w:val="26"/>
          <w:szCs w:val="26"/>
        </w:rPr>
        <w:t>’</w:t>
      </w:r>
      <w:r w:rsidR="004F17C0" w:rsidRPr="00787A9E">
        <w:rPr>
          <w:sz w:val="26"/>
          <w:szCs w:val="26"/>
        </w:rPr>
        <w:t xml:space="preserve">s improvements can be verified.  However, the ALJs </w:t>
      </w:r>
      <w:r w:rsidR="005D13B9" w:rsidRPr="00787A9E">
        <w:rPr>
          <w:sz w:val="26"/>
          <w:szCs w:val="26"/>
        </w:rPr>
        <w:t xml:space="preserve">also </w:t>
      </w:r>
      <w:r w:rsidR="004F17C0" w:rsidRPr="00787A9E">
        <w:rPr>
          <w:sz w:val="26"/>
          <w:szCs w:val="26"/>
        </w:rPr>
        <w:t>a</w:t>
      </w:r>
      <w:r w:rsidR="001672DE" w:rsidRPr="00787A9E">
        <w:rPr>
          <w:sz w:val="26"/>
          <w:szCs w:val="26"/>
        </w:rPr>
        <w:t xml:space="preserve">cknowledged </w:t>
      </w:r>
      <w:r w:rsidR="004F17C0" w:rsidRPr="00787A9E">
        <w:rPr>
          <w:sz w:val="26"/>
          <w:szCs w:val="26"/>
        </w:rPr>
        <w:t>the Foundation</w:t>
      </w:r>
      <w:r w:rsidR="00A424DB">
        <w:rPr>
          <w:sz w:val="26"/>
          <w:szCs w:val="26"/>
        </w:rPr>
        <w:t>’</w:t>
      </w:r>
      <w:r w:rsidR="004F17C0" w:rsidRPr="00787A9E">
        <w:rPr>
          <w:sz w:val="26"/>
          <w:szCs w:val="26"/>
        </w:rPr>
        <w:t>s lack of confidence in the Company</w:t>
      </w:r>
      <w:r w:rsidR="00A424DB">
        <w:rPr>
          <w:sz w:val="26"/>
          <w:szCs w:val="26"/>
        </w:rPr>
        <w:t>’</w:t>
      </w:r>
      <w:r w:rsidR="004F17C0" w:rsidRPr="00787A9E">
        <w:rPr>
          <w:sz w:val="26"/>
          <w:szCs w:val="26"/>
        </w:rPr>
        <w:t xml:space="preserve">s ability to timely refile the corrected annual reports.  The ALJs </w:t>
      </w:r>
      <w:r w:rsidR="001672DE" w:rsidRPr="00787A9E">
        <w:rPr>
          <w:sz w:val="26"/>
          <w:szCs w:val="26"/>
        </w:rPr>
        <w:t>noted</w:t>
      </w:r>
      <w:r w:rsidR="004F17C0" w:rsidRPr="00787A9E">
        <w:rPr>
          <w:sz w:val="26"/>
          <w:szCs w:val="26"/>
        </w:rPr>
        <w:t xml:space="preserve"> the Foundation</w:t>
      </w:r>
      <w:r w:rsidR="00A424DB">
        <w:rPr>
          <w:sz w:val="26"/>
          <w:szCs w:val="26"/>
        </w:rPr>
        <w:t>’</w:t>
      </w:r>
      <w:r w:rsidR="004F17C0" w:rsidRPr="00787A9E">
        <w:rPr>
          <w:sz w:val="26"/>
          <w:szCs w:val="26"/>
        </w:rPr>
        <w:t>s argument that it took HVUS a long time to provide correct</w:t>
      </w:r>
      <w:r w:rsidR="005D13B9" w:rsidRPr="00787A9E">
        <w:rPr>
          <w:sz w:val="26"/>
          <w:szCs w:val="26"/>
        </w:rPr>
        <w:t>ed</w:t>
      </w:r>
      <w:r w:rsidR="004F17C0" w:rsidRPr="00787A9E">
        <w:rPr>
          <w:sz w:val="26"/>
          <w:szCs w:val="26"/>
        </w:rPr>
        <w:t xml:space="preserve"> reports, especially, given the fact that not only has the Company already submitted corrected </w:t>
      </w:r>
      <w:r w:rsidR="004F17C0" w:rsidRPr="00787A9E">
        <w:rPr>
          <w:sz w:val="26"/>
          <w:szCs w:val="26"/>
        </w:rPr>
        <w:lastRenderedPageBreak/>
        <w:t xml:space="preserve">reports once but that there is little confidence in the financial numbers provided by HVUS in this proceeding.  </w:t>
      </w:r>
      <w:r w:rsidR="005D13B9" w:rsidRPr="00787A9E">
        <w:rPr>
          <w:sz w:val="26"/>
          <w:szCs w:val="26"/>
        </w:rPr>
        <w:t>Therefore</w:t>
      </w:r>
      <w:r w:rsidR="004F17C0" w:rsidRPr="00787A9E">
        <w:rPr>
          <w:sz w:val="26"/>
          <w:szCs w:val="26"/>
        </w:rPr>
        <w:t>, the ALJs recommended that the Company obtain a financial audit for 2015</w:t>
      </w:r>
      <w:r w:rsidR="001672DE" w:rsidRPr="00787A9E">
        <w:rPr>
          <w:sz w:val="26"/>
          <w:szCs w:val="26"/>
        </w:rPr>
        <w:t xml:space="preserve"> to </w:t>
      </w:r>
      <w:r w:rsidR="004F17C0" w:rsidRPr="00787A9E">
        <w:rPr>
          <w:sz w:val="26"/>
          <w:szCs w:val="26"/>
        </w:rPr>
        <w:t xml:space="preserve">2018 from an outside independent financial accounting firm or office which has not previously provided auditing services to HVUS.  </w:t>
      </w:r>
      <w:r w:rsidR="008B5682">
        <w:rPr>
          <w:sz w:val="26"/>
          <w:szCs w:val="26"/>
        </w:rPr>
        <w:t>R.D</w:t>
      </w:r>
      <w:r w:rsidR="004F17C0" w:rsidRPr="00787A9E">
        <w:rPr>
          <w:i/>
          <w:sz w:val="26"/>
          <w:szCs w:val="26"/>
        </w:rPr>
        <w:t xml:space="preserve">. </w:t>
      </w:r>
      <w:r w:rsidR="004F17C0" w:rsidRPr="00787A9E">
        <w:rPr>
          <w:sz w:val="26"/>
          <w:szCs w:val="26"/>
        </w:rPr>
        <w:t>at 51-52.</w:t>
      </w:r>
    </w:p>
    <w:p w14:paraId="21B997B5" w14:textId="77777777" w:rsidR="0017536E" w:rsidRPr="00787A9E" w:rsidRDefault="0017536E" w:rsidP="00FD1A00">
      <w:pPr>
        <w:ind w:firstLine="1440"/>
        <w:contextualSpacing/>
        <w:rPr>
          <w:sz w:val="26"/>
          <w:szCs w:val="26"/>
        </w:rPr>
      </w:pPr>
    </w:p>
    <w:p w14:paraId="67FDC096" w14:textId="7E968DE5" w:rsidR="00BE46E8" w:rsidRPr="00787A9E" w:rsidRDefault="00BE46E8" w:rsidP="00FD1A00">
      <w:pPr>
        <w:ind w:firstLine="1440"/>
        <w:contextualSpacing/>
        <w:rPr>
          <w:sz w:val="26"/>
          <w:szCs w:val="26"/>
        </w:rPr>
      </w:pPr>
      <w:r w:rsidRPr="00787A9E">
        <w:rPr>
          <w:sz w:val="26"/>
          <w:szCs w:val="26"/>
        </w:rPr>
        <w:t xml:space="preserve">Based on all of the above reasons, the ALJs recommended that the Commission approve the </w:t>
      </w:r>
      <w:r w:rsidR="00A81681" w:rsidRPr="00787A9E">
        <w:rPr>
          <w:sz w:val="26"/>
          <w:szCs w:val="26"/>
        </w:rPr>
        <w:t xml:space="preserve">Non-Unanimous </w:t>
      </w:r>
      <w:r w:rsidRPr="00787A9E">
        <w:rPr>
          <w:sz w:val="26"/>
          <w:szCs w:val="26"/>
        </w:rPr>
        <w:t>Settlement but with modifications</w:t>
      </w:r>
      <w:r w:rsidR="008B5682">
        <w:rPr>
          <w:sz w:val="26"/>
          <w:szCs w:val="26"/>
        </w:rPr>
        <w:t>.  R.D.</w:t>
      </w:r>
      <w:r w:rsidRPr="00787A9E">
        <w:rPr>
          <w:sz w:val="26"/>
          <w:szCs w:val="26"/>
        </w:rPr>
        <w:t xml:space="preserve"> at 52. </w:t>
      </w:r>
    </w:p>
    <w:p w14:paraId="66E0B15B" w14:textId="117972F4" w:rsidR="00F80369" w:rsidRPr="00787A9E" w:rsidRDefault="00F80369" w:rsidP="00FD1A00">
      <w:pPr>
        <w:ind w:firstLine="1440"/>
        <w:contextualSpacing/>
        <w:rPr>
          <w:sz w:val="26"/>
          <w:szCs w:val="26"/>
        </w:rPr>
      </w:pPr>
    </w:p>
    <w:p w14:paraId="7B3BB0E3" w14:textId="58923227" w:rsidR="00060B7C" w:rsidRPr="00787A9E" w:rsidRDefault="00060B7C" w:rsidP="00FD1A00">
      <w:pPr>
        <w:contextualSpacing/>
        <w:rPr>
          <w:b/>
          <w:sz w:val="26"/>
          <w:szCs w:val="26"/>
        </w:rPr>
      </w:pPr>
      <w:r w:rsidRPr="00787A9E">
        <w:rPr>
          <w:b/>
          <w:sz w:val="26"/>
          <w:szCs w:val="26"/>
        </w:rPr>
        <w:t>D.</w:t>
      </w:r>
      <w:r w:rsidRPr="00787A9E">
        <w:rPr>
          <w:b/>
          <w:sz w:val="26"/>
          <w:szCs w:val="26"/>
        </w:rPr>
        <w:tab/>
        <w:t>Disposition</w:t>
      </w:r>
    </w:p>
    <w:p w14:paraId="15CBB676" w14:textId="7B9AE43F" w:rsidR="00060B7C" w:rsidRPr="00787A9E" w:rsidRDefault="00060B7C" w:rsidP="00FD1A00">
      <w:pPr>
        <w:ind w:firstLine="1440"/>
        <w:contextualSpacing/>
        <w:rPr>
          <w:sz w:val="26"/>
          <w:szCs w:val="26"/>
        </w:rPr>
      </w:pPr>
    </w:p>
    <w:p w14:paraId="19FD59CE" w14:textId="628673E2" w:rsidR="00060B7C" w:rsidRPr="00787A9E" w:rsidRDefault="0079366F" w:rsidP="00FD1A00">
      <w:pPr>
        <w:ind w:firstLine="1440"/>
        <w:contextualSpacing/>
        <w:rPr>
          <w:sz w:val="26"/>
          <w:szCs w:val="26"/>
        </w:rPr>
      </w:pPr>
      <w:r w:rsidRPr="00787A9E">
        <w:rPr>
          <w:sz w:val="26"/>
          <w:szCs w:val="26"/>
        </w:rPr>
        <w:t>As noted above, it is t</w:t>
      </w:r>
      <w:r w:rsidR="00060B7C" w:rsidRPr="00787A9E">
        <w:rPr>
          <w:sz w:val="26"/>
          <w:szCs w:val="26"/>
        </w:rPr>
        <w:t xml:space="preserve">he policy of the Commission to encourage settlements, and the Commission has stated that settlement rates are often preferable to those achieved at the conclusion of a fully litigated proceeding.  52 Pa. Code §§ 5.231, 69.401.  Despite the policy favoring settlements, the Commission does not simply rubber stamp settlements without further inquiry.  In order to accept a settlement such as those proposed here, the Commission must determine that the proposed terms and conditions are in the public interest.  </w:t>
      </w:r>
      <w:r w:rsidRPr="00787A9E">
        <w:rPr>
          <w:i/>
          <w:sz w:val="26"/>
          <w:szCs w:val="26"/>
        </w:rPr>
        <w:t xml:space="preserve">See </w:t>
      </w:r>
      <w:r w:rsidR="00EA6D43" w:rsidRPr="00787A9E">
        <w:rPr>
          <w:i/>
          <w:sz w:val="26"/>
          <w:szCs w:val="26"/>
        </w:rPr>
        <w:t>e.g.</w:t>
      </w:r>
      <w:r w:rsidRPr="00787A9E">
        <w:rPr>
          <w:sz w:val="26"/>
          <w:szCs w:val="26"/>
        </w:rPr>
        <w:t xml:space="preserve">, </w:t>
      </w:r>
      <w:r w:rsidR="00060B7C" w:rsidRPr="00787A9E">
        <w:rPr>
          <w:i/>
          <w:sz w:val="26"/>
          <w:szCs w:val="26"/>
        </w:rPr>
        <w:t>York Water</w:t>
      </w:r>
      <w:r w:rsidR="006739D6">
        <w:rPr>
          <w:i/>
          <w:sz w:val="26"/>
          <w:szCs w:val="26"/>
        </w:rPr>
        <w:t>.</w:t>
      </w:r>
    </w:p>
    <w:p w14:paraId="14858DF3" w14:textId="77777777" w:rsidR="00060B7C" w:rsidRPr="00787A9E" w:rsidRDefault="00060B7C" w:rsidP="00FD1A00">
      <w:pPr>
        <w:ind w:firstLine="1440"/>
        <w:contextualSpacing/>
        <w:rPr>
          <w:sz w:val="26"/>
          <w:szCs w:val="26"/>
        </w:rPr>
      </w:pPr>
    </w:p>
    <w:p w14:paraId="1E30E17B" w14:textId="5C762A15" w:rsidR="00F80369" w:rsidRPr="00787A9E" w:rsidRDefault="00F80369" w:rsidP="00FD1A00">
      <w:pPr>
        <w:ind w:firstLine="1440"/>
        <w:contextualSpacing/>
        <w:rPr>
          <w:sz w:val="26"/>
          <w:szCs w:val="26"/>
        </w:rPr>
      </w:pPr>
      <w:r w:rsidRPr="00787A9E">
        <w:rPr>
          <w:sz w:val="26"/>
          <w:szCs w:val="26"/>
        </w:rPr>
        <w:t xml:space="preserve">As will be more fully explained below, we </w:t>
      </w:r>
      <w:r w:rsidR="00A61E93">
        <w:rPr>
          <w:sz w:val="26"/>
          <w:szCs w:val="26"/>
        </w:rPr>
        <w:t xml:space="preserve">shall </w:t>
      </w:r>
      <w:r w:rsidRPr="00787A9E">
        <w:rPr>
          <w:sz w:val="26"/>
          <w:szCs w:val="26"/>
        </w:rPr>
        <w:t>adopt the ALJs</w:t>
      </w:r>
      <w:r w:rsidR="00A424DB">
        <w:rPr>
          <w:sz w:val="26"/>
          <w:szCs w:val="26"/>
        </w:rPr>
        <w:t>’</w:t>
      </w:r>
      <w:r w:rsidRPr="00787A9E">
        <w:rPr>
          <w:sz w:val="26"/>
          <w:szCs w:val="26"/>
        </w:rPr>
        <w:t xml:space="preserve"> recommendation </w:t>
      </w:r>
      <w:r w:rsidR="0079366F" w:rsidRPr="00787A9E">
        <w:rPr>
          <w:sz w:val="26"/>
          <w:szCs w:val="26"/>
        </w:rPr>
        <w:t xml:space="preserve">as being in the public interest </w:t>
      </w:r>
      <w:r w:rsidRPr="00787A9E">
        <w:rPr>
          <w:sz w:val="26"/>
          <w:szCs w:val="26"/>
        </w:rPr>
        <w:t xml:space="preserve">and </w:t>
      </w:r>
      <w:r w:rsidR="0094159C" w:rsidRPr="00787A9E">
        <w:rPr>
          <w:sz w:val="26"/>
          <w:szCs w:val="26"/>
        </w:rPr>
        <w:t>approve the Non-Unanimous Settlement, with modification.</w:t>
      </w:r>
    </w:p>
    <w:p w14:paraId="0CD21F6D" w14:textId="77777777" w:rsidR="00D33CCE" w:rsidRPr="00787A9E" w:rsidRDefault="00D33CCE" w:rsidP="00FD1A00">
      <w:pPr>
        <w:contextualSpacing/>
        <w:rPr>
          <w:sz w:val="26"/>
          <w:szCs w:val="26"/>
        </w:rPr>
      </w:pPr>
    </w:p>
    <w:p w14:paraId="740C3F68" w14:textId="28A295CA" w:rsidR="007D6E74" w:rsidRPr="00787A9E" w:rsidRDefault="004B0982" w:rsidP="00FD1A00">
      <w:pPr>
        <w:pStyle w:val="Heading1"/>
        <w:keepNext/>
        <w:keepLines/>
        <w:contextualSpacing/>
      </w:pPr>
      <w:r w:rsidRPr="00787A9E">
        <w:t>X</w:t>
      </w:r>
      <w:r w:rsidR="007D6E74" w:rsidRPr="00787A9E">
        <w:t>.</w:t>
      </w:r>
      <w:r w:rsidR="007D6E74" w:rsidRPr="00787A9E">
        <w:tab/>
        <w:t>Discussion of</w:t>
      </w:r>
      <w:r w:rsidR="009A6C53" w:rsidRPr="00787A9E">
        <w:t xml:space="preserve"> Contested</w:t>
      </w:r>
      <w:r w:rsidR="007D6E74" w:rsidRPr="00787A9E">
        <w:t xml:space="preserve"> Issues</w:t>
      </w:r>
    </w:p>
    <w:p w14:paraId="14E97C6F" w14:textId="77777777" w:rsidR="007D6E74" w:rsidRPr="00787A9E" w:rsidRDefault="007D6E74" w:rsidP="00FD1A00">
      <w:pPr>
        <w:keepNext/>
        <w:keepLines/>
        <w:ind w:firstLine="1440"/>
        <w:contextualSpacing/>
        <w:rPr>
          <w:sz w:val="26"/>
          <w:szCs w:val="26"/>
        </w:rPr>
      </w:pPr>
    </w:p>
    <w:p w14:paraId="5C576758" w14:textId="2986944E" w:rsidR="007D6E74" w:rsidRPr="00787A9E" w:rsidRDefault="007D6E74" w:rsidP="00FD1A00">
      <w:pPr>
        <w:pStyle w:val="Default"/>
        <w:spacing w:line="360" w:lineRule="auto"/>
        <w:ind w:firstLine="1440"/>
        <w:contextualSpacing/>
        <w:rPr>
          <w:sz w:val="26"/>
          <w:szCs w:val="26"/>
        </w:rPr>
      </w:pPr>
      <w:r w:rsidRPr="00787A9E">
        <w:rPr>
          <w:sz w:val="26"/>
          <w:szCs w:val="26"/>
        </w:rPr>
        <w:t xml:space="preserve">Two issues were fully litigated in this proceeding: (1) the contention of the OCA and the Foundation that </w:t>
      </w:r>
      <w:r w:rsidR="00810D7C" w:rsidRPr="00787A9E">
        <w:rPr>
          <w:sz w:val="26"/>
          <w:szCs w:val="26"/>
        </w:rPr>
        <w:t xml:space="preserve">pursuant to provisions at 66 Pa. C.S. § 523 and § 526, </w:t>
      </w:r>
      <w:r w:rsidRPr="00787A9E">
        <w:rPr>
          <w:sz w:val="26"/>
          <w:szCs w:val="26"/>
        </w:rPr>
        <w:t xml:space="preserve">the Commission </w:t>
      </w:r>
      <w:r w:rsidR="00891FD3" w:rsidRPr="00787A9E">
        <w:rPr>
          <w:sz w:val="26"/>
          <w:szCs w:val="26"/>
        </w:rPr>
        <w:t xml:space="preserve">should </w:t>
      </w:r>
      <w:r w:rsidRPr="00787A9E">
        <w:rPr>
          <w:sz w:val="26"/>
          <w:szCs w:val="26"/>
        </w:rPr>
        <w:t>deny any rate increase requested by HVUS for both water and wastewater services</w:t>
      </w:r>
      <w:r w:rsidR="005B0468" w:rsidRPr="00787A9E">
        <w:rPr>
          <w:sz w:val="26"/>
          <w:szCs w:val="26"/>
        </w:rPr>
        <w:t xml:space="preserve"> </w:t>
      </w:r>
      <w:r w:rsidRPr="00787A9E">
        <w:rPr>
          <w:sz w:val="26"/>
          <w:szCs w:val="26"/>
        </w:rPr>
        <w:t xml:space="preserve">due to inadequate quality of service </w:t>
      </w:r>
      <w:r w:rsidR="00E201EA" w:rsidRPr="00787A9E">
        <w:rPr>
          <w:sz w:val="26"/>
          <w:szCs w:val="26"/>
        </w:rPr>
        <w:t xml:space="preserve">provided </w:t>
      </w:r>
      <w:r w:rsidRPr="00787A9E">
        <w:rPr>
          <w:sz w:val="26"/>
          <w:szCs w:val="26"/>
        </w:rPr>
        <w:t>by the Company; and (2)</w:t>
      </w:r>
      <w:r w:rsidR="00A23A88">
        <w:rPr>
          <w:sz w:val="26"/>
          <w:szCs w:val="26"/>
        </w:rPr>
        <w:t> </w:t>
      </w:r>
      <w:r w:rsidRPr="00787A9E">
        <w:rPr>
          <w:sz w:val="26"/>
          <w:szCs w:val="26"/>
        </w:rPr>
        <w:t>the contention</w:t>
      </w:r>
      <w:r w:rsidR="00145814" w:rsidRPr="00787A9E">
        <w:rPr>
          <w:sz w:val="26"/>
          <w:szCs w:val="26"/>
        </w:rPr>
        <w:t xml:space="preserve"> </w:t>
      </w:r>
      <w:r w:rsidR="0002490D">
        <w:rPr>
          <w:sz w:val="26"/>
          <w:szCs w:val="26"/>
        </w:rPr>
        <w:t xml:space="preserve">initially </w:t>
      </w:r>
      <w:r w:rsidRPr="00787A9E">
        <w:rPr>
          <w:sz w:val="26"/>
          <w:szCs w:val="26"/>
        </w:rPr>
        <w:t xml:space="preserve">made by the Foundation and joined by the OCA, that the </w:t>
      </w:r>
      <w:r w:rsidRPr="00787A9E">
        <w:rPr>
          <w:sz w:val="26"/>
          <w:szCs w:val="26"/>
        </w:rPr>
        <w:lastRenderedPageBreak/>
        <w:t xml:space="preserve">Commission order HVUS to complete an independent financial audit of its records.  </w:t>
      </w:r>
      <w:r w:rsidR="00B260D9" w:rsidRPr="00787A9E">
        <w:rPr>
          <w:sz w:val="26"/>
          <w:szCs w:val="26"/>
        </w:rPr>
        <w:t>These contested issues will be addressed as discussed below</w:t>
      </w:r>
      <w:r w:rsidR="00626769">
        <w:rPr>
          <w:sz w:val="26"/>
          <w:szCs w:val="26"/>
        </w:rPr>
        <w:t>.</w:t>
      </w:r>
    </w:p>
    <w:p w14:paraId="20247D94" w14:textId="77777777" w:rsidR="00CF1107" w:rsidRPr="00787A9E" w:rsidRDefault="00CF1107" w:rsidP="00FD1A00">
      <w:pPr>
        <w:pStyle w:val="Default"/>
        <w:spacing w:line="360" w:lineRule="auto"/>
        <w:contextualSpacing/>
        <w:rPr>
          <w:sz w:val="26"/>
          <w:szCs w:val="26"/>
        </w:rPr>
      </w:pPr>
    </w:p>
    <w:p w14:paraId="14507B9D" w14:textId="7E6B94E1" w:rsidR="007D6E74" w:rsidRPr="00787A9E" w:rsidRDefault="009D6499" w:rsidP="00FD1A00">
      <w:pPr>
        <w:pStyle w:val="Default"/>
        <w:keepNext/>
        <w:keepLines/>
        <w:numPr>
          <w:ilvl w:val="0"/>
          <w:numId w:val="33"/>
        </w:numPr>
        <w:ind w:hanging="720"/>
        <w:contextualSpacing/>
        <w:rPr>
          <w:b/>
          <w:sz w:val="26"/>
          <w:szCs w:val="26"/>
        </w:rPr>
      </w:pPr>
      <w:r w:rsidRPr="00787A9E">
        <w:rPr>
          <w:b/>
          <w:sz w:val="26"/>
          <w:szCs w:val="26"/>
        </w:rPr>
        <w:t xml:space="preserve">Denial of the </w:t>
      </w:r>
      <w:r w:rsidR="0079606E" w:rsidRPr="00787A9E">
        <w:rPr>
          <w:b/>
          <w:sz w:val="26"/>
          <w:szCs w:val="26"/>
        </w:rPr>
        <w:t>Revenue Requirement and Rate Design</w:t>
      </w:r>
      <w:r w:rsidR="006C6612" w:rsidRPr="00787A9E">
        <w:rPr>
          <w:b/>
          <w:sz w:val="26"/>
          <w:szCs w:val="26"/>
        </w:rPr>
        <w:t xml:space="preserve"> of </w:t>
      </w:r>
      <w:r w:rsidRPr="00787A9E">
        <w:rPr>
          <w:b/>
          <w:sz w:val="26"/>
          <w:szCs w:val="26"/>
        </w:rPr>
        <w:t>HVUS</w:t>
      </w:r>
      <w:r w:rsidR="00A424DB">
        <w:rPr>
          <w:b/>
          <w:sz w:val="26"/>
          <w:szCs w:val="26"/>
        </w:rPr>
        <w:t>’</w:t>
      </w:r>
      <w:r w:rsidRPr="00787A9E">
        <w:rPr>
          <w:b/>
          <w:sz w:val="26"/>
          <w:szCs w:val="26"/>
        </w:rPr>
        <w:t xml:space="preserve">s </w:t>
      </w:r>
      <w:r w:rsidR="006C6612" w:rsidRPr="00787A9E">
        <w:rPr>
          <w:b/>
          <w:sz w:val="26"/>
          <w:szCs w:val="26"/>
        </w:rPr>
        <w:t>Requested Rate Increase</w:t>
      </w:r>
      <w:r w:rsidR="007958BB" w:rsidRPr="00787A9E">
        <w:rPr>
          <w:b/>
          <w:sz w:val="26"/>
          <w:szCs w:val="26"/>
        </w:rPr>
        <w:t>s</w:t>
      </w:r>
    </w:p>
    <w:p w14:paraId="530C0D46" w14:textId="77777777" w:rsidR="00066317" w:rsidRPr="00787A9E" w:rsidRDefault="00066317" w:rsidP="00FD1A00">
      <w:pPr>
        <w:pStyle w:val="Default"/>
        <w:keepNext/>
        <w:keepLines/>
        <w:ind w:left="720"/>
        <w:contextualSpacing/>
        <w:rPr>
          <w:sz w:val="26"/>
          <w:szCs w:val="26"/>
        </w:rPr>
      </w:pPr>
    </w:p>
    <w:p w14:paraId="6EA2E35D" w14:textId="2AF43A05" w:rsidR="007D6E74" w:rsidRPr="00787A9E" w:rsidRDefault="007D6E74" w:rsidP="00FD1A00">
      <w:pPr>
        <w:pStyle w:val="Heading4"/>
        <w:keepLines/>
        <w:numPr>
          <w:ilvl w:val="0"/>
          <w:numId w:val="14"/>
        </w:numPr>
        <w:ind w:left="1800"/>
        <w:contextualSpacing/>
        <w:jc w:val="left"/>
      </w:pPr>
      <w:r w:rsidRPr="00787A9E">
        <w:tab/>
        <w:t>Positions of the Parties</w:t>
      </w:r>
    </w:p>
    <w:p w14:paraId="79F962DD" w14:textId="77777777" w:rsidR="007D6E74" w:rsidRPr="00787A9E" w:rsidRDefault="007D6E74" w:rsidP="00FD1A00">
      <w:pPr>
        <w:pStyle w:val="Default"/>
        <w:keepNext/>
        <w:keepLines/>
        <w:spacing w:line="360" w:lineRule="auto"/>
        <w:ind w:firstLine="1440"/>
        <w:contextualSpacing/>
        <w:rPr>
          <w:sz w:val="26"/>
          <w:szCs w:val="26"/>
        </w:rPr>
      </w:pPr>
    </w:p>
    <w:p w14:paraId="6F52B0B1" w14:textId="02261FB9" w:rsidR="008E1D45" w:rsidRPr="00787A9E" w:rsidRDefault="005826EC" w:rsidP="00FD1A00">
      <w:pPr>
        <w:pStyle w:val="Default"/>
        <w:keepNext/>
        <w:keepLines/>
        <w:numPr>
          <w:ilvl w:val="0"/>
          <w:numId w:val="23"/>
        </w:numPr>
        <w:spacing w:line="360" w:lineRule="auto"/>
        <w:ind w:left="2520"/>
        <w:contextualSpacing/>
        <w:rPr>
          <w:b/>
          <w:sz w:val="26"/>
          <w:szCs w:val="26"/>
        </w:rPr>
      </w:pPr>
      <w:r w:rsidRPr="00787A9E">
        <w:rPr>
          <w:b/>
          <w:sz w:val="26"/>
          <w:szCs w:val="26"/>
        </w:rPr>
        <w:tab/>
      </w:r>
      <w:r w:rsidR="00E973B0" w:rsidRPr="00787A9E">
        <w:rPr>
          <w:b/>
          <w:sz w:val="26"/>
          <w:szCs w:val="26"/>
        </w:rPr>
        <w:t>HVUS</w:t>
      </w:r>
      <w:r w:rsidR="00A424DB">
        <w:rPr>
          <w:b/>
          <w:sz w:val="26"/>
          <w:szCs w:val="26"/>
        </w:rPr>
        <w:t>’</w:t>
      </w:r>
      <w:r w:rsidR="00E973B0" w:rsidRPr="00787A9E">
        <w:rPr>
          <w:b/>
          <w:sz w:val="26"/>
          <w:szCs w:val="26"/>
        </w:rPr>
        <w:t>s</w:t>
      </w:r>
      <w:r w:rsidR="008E1D45" w:rsidRPr="00787A9E">
        <w:rPr>
          <w:b/>
          <w:sz w:val="26"/>
          <w:szCs w:val="26"/>
        </w:rPr>
        <w:t xml:space="preserve"> Position</w:t>
      </w:r>
    </w:p>
    <w:p w14:paraId="5251729B" w14:textId="77777777" w:rsidR="008E1D45" w:rsidRPr="00787A9E" w:rsidRDefault="008E1D45" w:rsidP="00FD1A00">
      <w:pPr>
        <w:pStyle w:val="Default"/>
        <w:keepNext/>
        <w:keepLines/>
        <w:spacing w:line="360" w:lineRule="auto"/>
        <w:ind w:left="1440"/>
        <w:contextualSpacing/>
        <w:rPr>
          <w:b/>
          <w:sz w:val="26"/>
          <w:szCs w:val="26"/>
        </w:rPr>
      </w:pPr>
    </w:p>
    <w:p w14:paraId="19A68B56" w14:textId="058AC0BE" w:rsidR="008E1D45" w:rsidRPr="00787A9E" w:rsidRDefault="008E1D45" w:rsidP="00FD1A00">
      <w:pPr>
        <w:pStyle w:val="Default"/>
        <w:spacing w:line="360" w:lineRule="auto"/>
        <w:ind w:firstLine="1440"/>
        <w:contextualSpacing/>
        <w:rPr>
          <w:sz w:val="26"/>
          <w:szCs w:val="26"/>
        </w:rPr>
      </w:pPr>
      <w:r w:rsidRPr="00787A9E">
        <w:rPr>
          <w:sz w:val="26"/>
          <w:szCs w:val="26"/>
        </w:rPr>
        <w:t xml:space="preserve">HVUS argued that pursuant to the Settlement, it has agreed to reduce its proposed water rate increase from $150,629 to $65,557.  The Company averred it also agreed to reduce its proposed wastewater increase from $185,432 to: (1) an initial step increase of $82,227 following entry of a Commission </w:t>
      </w:r>
      <w:r w:rsidR="00627202" w:rsidRPr="00787A9E">
        <w:rPr>
          <w:sz w:val="26"/>
          <w:szCs w:val="26"/>
        </w:rPr>
        <w:t>O</w:t>
      </w:r>
      <w:r w:rsidRPr="00787A9E">
        <w:rPr>
          <w:sz w:val="26"/>
          <w:szCs w:val="26"/>
        </w:rPr>
        <w:t>rder approving the Settlement, and (2) a second step increase of an additional $63,537 for a total increase of $145,824, upon submission of the Company</w:t>
      </w:r>
      <w:r w:rsidR="00A424DB">
        <w:rPr>
          <w:sz w:val="26"/>
          <w:szCs w:val="26"/>
        </w:rPr>
        <w:t>’</w:t>
      </w:r>
      <w:r w:rsidRPr="00787A9E">
        <w:rPr>
          <w:sz w:val="26"/>
          <w:szCs w:val="26"/>
        </w:rPr>
        <w:t>s report with a verification from its engineer, stating that all repairs, modifications and improvements to HVUS</w:t>
      </w:r>
      <w:r w:rsidR="00A424DB">
        <w:rPr>
          <w:sz w:val="26"/>
          <w:szCs w:val="26"/>
        </w:rPr>
        <w:t>’</w:t>
      </w:r>
      <w:r w:rsidRPr="00787A9E">
        <w:rPr>
          <w:sz w:val="26"/>
          <w:szCs w:val="26"/>
        </w:rPr>
        <w:t xml:space="preserve">s wastewater system have been completed, as required by Ordering Paragraph Nos. 11 and 19 of the </w:t>
      </w:r>
      <w:r w:rsidRPr="00787A9E">
        <w:rPr>
          <w:i/>
          <w:sz w:val="26"/>
          <w:szCs w:val="26"/>
        </w:rPr>
        <w:t>May 2018 McCloskey Order</w:t>
      </w:r>
      <w:r w:rsidRPr="00787A9E">
        <w:rPr>
          <w:sz w:val="26"/>
          <w:szCs w:val="26"/>
        </w:rPr>
        <w:t xml:space="preserve">.  HVUS averred that the total amount of the increase </w:t>
      </w:r>
      <w:r w:rsidR="00863B07" w:rsidRPr="00787A9E">
        <w:rPr>
          <w:sz w:val="26"/>
          <w:szCs w:val="26"/>
        </w:rPr>
        <w:t xml:space="preserve">in the Settlement </w:t>
      </w:r>
      <w:r w:rsidRPr="00787A9E">
        <w:rPr>
          <w:sz w:val="26"/>
          <w:szCs w:val="26"/>
        </w:rPr>
        <w:t>is approximately 62.9% of the Company</w:t>
      </w:r>
      <w:r w:rsidR="00A424DB">
        <w:rPr>
          <w:sz w:val="26"/>
          <w:szCs w:val="26"/>
        </w:rPr>
        <w:t>’</w:t>
      </w:r>
      <w:r w:rsidRPr="00787A9E">
        <w:rPr>
          <w:sz w:val="26"/>
          <w:szCs w:val="26"/>
        </w:rPr>
        <w:t xml:space="preserve">s total </w:t>
      </w:r>
      <w:r w:rsidR="00201839">
        <w:rPr>
          <w:sz w:val="26"/>
          <w:szCs w:val="26"/>
        </w:rPr>
        <w:t xml:space="preserve">originally </w:t>
      </w:r>
      <w:r w:rsidRPr="00787A9E">
        <w:rPr>
          <w:sz w:val="26"/>
          <w:szCs w:val="26"/>
        </w:rPr>
        <w:t>requested water and wastewater rate increase</w:t>
      </w:r>
      <w:r w:rsidR="00CA32C2" w:rsidRPr="00787A9E">
        <w:rPr>
          <w:sz w:val="26"/>
          <w:szCs w:val="26"/>
        </w:rPr>
        <w:t>s</w:t>
      </w:r>
      <w:r w:rsidRPr="00787A9E">
        <w:rPr>
          <w:sz w:val="26"/>
          <w:szCs w:val="26"/>
        </w:rPr>
        <w:t xml:space="preserve">.  HVUS M.B. at 16.  </w:t>
      </w:r>
    </w:p>
    <w:p w14:paraId="253C32B8" w14:textId="77777777" w:rsidR="008E1D45" w:rsidRPr="00787A9E" w:rsidRDefault="008E1D45" w:rsidP="00FD1A00">
      <w:pPr>
        <w:pStyle w:val="Default"/>
        <w:spacing w:line="360" w:lineRule="auto"/>
        <w:contextualSpacing/>
        <w:rPr>
          <w:sz w:val="26"/>
          <w:szCs w:val="26"/>
        </w:rPr>
      </w:pPr>
    </w:p>
    <w:p w14:paraId="11727378" w14:textId="2540BB93" w:rsidR="008E1D45" w:rsidRPr="00787A9E" w:rsidRDefault="008E1D45" w:rsidP="00FD1A00">
      <w:pPr>
        <w:pStyle w:val="Default"/>
        <w:spacing w:line="360" w:lineRule="auto"/>
        <w:ind w:firstLine="1440"/>
        <w:contextualSpacing/>
        <w:rPr>
          <w:sz w:val="26"/>
          <w:szCs w:val="26"/>
        </w:rPr>
      </w:pPr>
      <w:r w:rsidRPr="00787A9E">
        <w:rPr>
          <w:sz w:val="26"/>
          <w:szCs w:val="26"/>
        </w:rPr>
        <w:t xml:space="preserve">HVUS stated that while this is a </w:t>
      </w:r>
      <w:r w:rsidR="00A424DB">
        <w:rPr>
          <w:sz w:val="26"/>
          <w:szCs w:val="26"/>
        </w:rPr>
        <w:t>“</w:t>
      </w:r>
      <w:r w:rsidRPr="00787A9E">
        <w:rPr>
          <w:sz w:val="26"/>
          <w:szCs w:val="26"/>
        </w:rPr>
        <w:t>black box</w:t>
      </w:r>
      <w:r w:rsidR="00A424DB">
        <w:rPr>
          <w:sz w:val="26"/>
          <w:szCs w:val="26"/>
        </w:rPr>
        <w:t>”</w:t>
      </w:r>
      <w:r w:rsidRPr="00787A9E">
        <w:rPr>
          <w:sz w:val="26"/>
          <w:szCs w:val="26"/>
        </w:rPr>
        <w:t xml:space="preserve"> settlement, the amount of the increase for the water system is almost identical to I&amp;E</w:t>
      </w:r>
      <w:r w:rsidR="00A424DB">
        <w:rPr>
          <w:sz w:val="26"/>
          <w:szCs w:val="26"/>
        </w:rPr>
        <w:t>’</w:t>
      </w:r>
      <w:r w:rsidRPr="00787A9E">
        <w:rPr>
          <w:sz w:val="26"/>
          <w:szCs w:val="26"/>
        </w:rPr>
        <w:t xml:space="preserve">s primary litigation position, </w:t>
      </w:r>
      <w:r w:rsidR="006718F8" w:rsidRPr="00787A9E">
        <w:rPr>
          <w:i/>
          <w:sz w:val="26"/>
          <w:szCs w:val="26"/>
        </w:rPr>
        <w:t>infra</w:t>
      </w:r>
      <w:r w:rsidR="006718F8" w:rsidRPr="00787A9E">
        <w:rPr>
          <w:sz w:val="26"/>
          <w:szCs w:val="26"/>
        </w:rPr>
        <w:t xml:space="preserve">, </w:t>
      </w:r>
      <w:r w:rsidRPr="00787A9E">
        <w:rPr>
          <w:sz w:val="26"/>
          <w:szCs w:val="26"/>
        </w:rPr>
        <w:t xml:space="preserve">which was that the Company should </w:t>
      </w:r>
      <w:r w:rsidR="00ED2274" w:rsidRPr="00787A9E">
        <w:rPr>
          <w:sz w:val="26"/>
          <w:szCs w:val="26"/>
        </w:rPr>
        <w:t xml:space="preserve">not </w:t>
      </w:r>
      <w:r w:rsidRPr="00787A9E">
        <w:rPr>
          <w:sz w:val="26"/>
          <w:szCs w:val="26"/>
        </w:rPr>
        <w:t xml:space="preserve">be allowed to receive any return on equity because the </w:t>
      </w:r>
      <w:r w:rsidRPr="00787A9E">
        <w:rPr>
          <w:i/>
          <w:sz w:val="26"/>
          <w:szCs w:val="26"/>
        </w:rPr>
        <w:t>McCloskey</w:t>
      </w:r>
      <w:r w:rsidRPr="00787A9E">
        <w:rPr>
          <w:sz w:val="26"/>
          <w:szCs w:val="26"/>
        </w:rPr>
        <w:t xml:space="preserve"> </w:t>
      </w:r>
      <w:r w:rsidRPr="00787A9E">
        <w:rPr>
          <w:i/>
          <w:sz w:val="26"/>
          <w:szCs w:val="26"/>
        </w:rPr>
        <w:t xml:space="preserve">Orders </w:t>
      </w:r>
      <w:r w:rsidRPr="00787A9E">
        <w:rPr>
          <w:sz w:val="26"/>
          <w:szCs w:val="26"/>
        </w:rPr>
        <w:t>held that HVUS is in violation of Section 1501 of the Code.  Similarly, the Company averred the first step of the increase for the wastewater system is also almost identical to I&amp;E</w:t>
      </w:r>
      <w:r w:rsidR="00A424DB">
        <w:rPr>
          <w:sz w:val="26"/>
          <w:szCs w:val="26"/>
        </w:rPr>
        <w:t>’</w:t>
      </w:r>
      <w:r w:rsidRPr="00787A9E">
        <w:rPr>
          <w:sz w:val="26"/>
          <w:szCs w:val="26"/>
        </w:rPr>
        <w:t xml:space="preserve">s primary litigation position, which also indicated that the Company should be allowed to increase rates to cover its costs, but should not be permitted to receive any return on equity because the </w:t>
      </w:r>
      <w:r w:rsidRPr="00787A9E">
        <w:rPr>
          <w:i/>
          <w:sz w:val="26"/>
          <w:szCs w:val="26"/>
        </w:rPr>
        <w:t>McCloskey</w:t>
      </w:r>
      <w:r w:rsidRPr="00787A9E">
        <w:rPr>
          <w:sz w:val="26"/>
          <w:szCs w:val="26"/>
        </w:rPr>
        <w:t xml:space="preserve"> </w:t>
      </w:r>
      <w:r w:rsidRPr="00787A9E">
        <w:rPr>
          <w:i/>
          <w:sz w:val="26"/>
          <w:szCs w:val="26"/>
        </w:rPr>
        <w:t xml:space="preserve">Orders </w:t>
      </w:r>
      <w:r w:rsidRPr="00787A9E">
        <w:rPr>
          <w:sz w:val="26"/>
          <w:szCs w:val="26"/>
        </w:rPr>
        <w:t xml:space="preserve">held that HVUS </w:t>
      </w:r>
      <w:r w:rsidRPr="00787A9E">
        <w:rPr>
          <w:sz w:val="26"/>
          <w:szCs w:val="26"/>
        </w:rPr>
        <w:lastRenderedPageBreak/>
        <w:t xml:space="preserve">is in violation of Section 1501 of the Code.  The Company further argued that the second step increase for </w:t>
      </w:r>
      <w:r w:rsidR="00201839">
        <w:rPr>
          <w:sz w:val="26"/>
          <w:szCs w:val="26"/>
        </w:rPr>
        <w:t>its</w:t>
      </w:r>
      <w:r w:rsidRPr="00787A9E">
        <w:rPr>
          <w:sz w:val="26"/>
          <w:szCs w:val="26"/>
        </w:rPr>
        <w:t xml:space="preserve"> wastewater</w:t>
      </w:r>
      <w:r w:rsidR="00201839">
        <w:rPr>
          <w:sz w:val="26"/>
          <w:szCs w:val="26"/>
        </w:rPr>
        <w:t xml:space="preserve"> service</w:t>
      </w:r>
      <w:r w:rsidRPr="00787A9E">
        <w:rPr>
          <w:sz w:val="26"/>
          <w:szCs w:val="26"/>
        </w:rPr>
        <w:t xml:space="preserve"> is almost identical to I&amp;E</w:t>
      </w:r>
      <w:r w:rsidR="00A424DB">
        <w:rPr>
          <w:sz w:val="26"/>
          <w:szCs w:val="26"/>
        </w:rPr>
        <w:t>’</w:t>
      </w:r>
      <w:r w:rsidRPr="00787A9E">
        <w:rPr>
          <w:sz w:val="26"/>
          <w:szCs w:val="26"/>
        </w:rPr>
        <w:t xml:space="preserve">s secondary litigation position, which </w:t>
      </w:r>
      <w:r w:rsidR="004E208C" w:rsidRPr="00787A9E">
        <w:rPr>
          <w:sz w:val="26"/>
          <w:szCs w:val="26"/>
        </w:rPr>
        <w:t>i</w:t>
      </w:r>
      <w:r w:rsidRPr="00787A9E">
        <w:rPr>
          <w:sz w:val="26"/>
          <w:szCs w:val="26"/>
        </w:rPr>
        <w:t xml:space="preserve">s that HVUS should be permitted to increase rates to cover its costs, as well as earn a return on equity.  The Company </w:t>
      </w:r>
      <w:r w:rsidR="00AB0A54" w:rsidRPr="00787A9E">
        <w:rPr>
          <w:sz w:val="26"/>
          <w:szCs w:val="26"/>
        </w:rPr>
        <w:t xml:space="preserve">reasoned </w:t>
      </w:r>
      <w:r w:rsidRPr="00787A9E">
        <w:rPr>
          <w:sz w:val="26"/>
          <w:szCs w:val="26"/>
        </w:rPr>
        <w:t xml:space="preserve">that </w:t>
      </w:r>
      <w:r w:rsidR="000243B5" w:rsidRPr="00787A9E">
        <w:rPr>
          <w:sz w:val="26"/>
          <w:szCs w:val="26"/>
        </w:rPr>
        <w:t xml:space="preserve">because </w:t>
      </w:r>
      <w:r w:rsidRPr="00787A9E">
        <w:rPr>
          <w:sz w:val="26"/>
          <w:szCs w:val="26"/>
        </w:rPr>
        <w:t xml:space="preserve">the second step increase would only occur after HVUS complies with the mandates of the </w:t>
      </w:r>
      <w:r w:rsidRPr="00787A9E">
        <w:rPr>
          <w:i/>
          <w:sz w:val="26"/>
          <w:szCs w:val="26"/>
        </w:rPr>
        <w:t>McCloskey</w:t>
      </w:r>
      <w:r w:rsidRPr="00787A9E">
        <w:rPr>
          <w:sz w:val="26"/>
          <w:szCs w:val="26"/>
        </w:rPr>
        <w:t xml:space="preserve"> </w:t>
      </w:r>
      <w:r w:rsidRPr="00787A9E">
        <w:rPr>
          <w:i/>
          <w:sz w:val="26"/>
          <w:szCs w:val="26"/>
        </w:rPr>
        <w:t>Orders</w:t>
      </w:r>
      <w:r w:rsidR="00501EA8" w:rsidRPr="00787A9E">
        <w:rPr>
          <w:sz w:val="26"/>
          <w:szCs w:val="26"/>
        </w:rPr>
        <w:t xml:space="preserve">,  </w:t>
      </w:r>
      <w:r w:rsidRPr="00787A9E">
        <w:rPr>
          <w:sz w:val="26"/>
          <w:szCs w:val="26"/>
        </w:rPr>
        <w:t xml:space="preserve">there is no reason to deny HVUS a return on equity.  HVUS asserted that the Commission should approve the Settlement because it is supported by substantial evidence on the record.  </w:t>
      </w:r>
      <w:r w:rsidR="007F51A9" w:rsidRPr="00787A9E">
        <w:rPr>
          <w:sz w:val="26"/>
          <w:szCs w:val="26"/>
        </w:rPr>
        <w:t xml:space="preserve">HVUS M.B. </w:t>
      </w:r>
      <w:r w:rsidRPr="00787A9E">
        <w:rPr>
          <w:sz w:val="26"/>
          <w:szCs w:val="26"/>
        </w:rPr>
        <w:t xml:space="preserve">at 16-17.  </w:t>
      </w:r>
    </w:p>
    <w:p w14:paraId="6EC48607" w14:textId="77777777" w:rsidR="008E1D45" w:rsidRPr="00787A9E" w:rsidRDefault="008E1D45" w:rsidP="00FD1A00">
      <w:pPr>
        <w:pStyle w:val="Default"/>
        <w:spacing w:line="360" w:lineRule="auto"/>
        <w:contextualSpacing/>
        <w:rPr>
          <w:sz w:val="26"/>
          <w:szCs w:val="26"/>
        </w:rPr>
      </w:pPr>
    </w:p>
    <w:p w14:paraId="0456A6AB" w14:textId="1A638F91" w:rsidR="008E1D45" w:rsidRPr="00787A9E" w:rsidRDefault="008E1D45" w:rsidP="00FD1A00">
      <w:pPr>
        <w:pStyle w:val="Default"/>
        <w:spacing w:line="360" w:lineRule="auto"/>
        <w:ind w:firstLine="1440"/>
        <w:contextualSpacing/>
        <w:rPr>
          <w:sz w:val="26"/>
          <w:szCs w:val="26"/>
        </w:rPr>
      </w:pPr>
      <w:r w:rsidRPr="00787A9E">
        <w:rPr>
          <w:sz w:val="26"/>
          <w:szCs w:val="26"/>
        </w:rPr>
        <w:t>Furthermore, the Company stated that pursuant to the Stipulation, the</w:t>
      </w:r>
      <w:r w:rsidR="00C644E8" w:rsidRPr="00787A9E">
        <w:rPr>
          <w:sz w:val="26"/>
          <w:szCs w:val="26"/>
        </w:rPr>
        <w:t xml:space="preserve"> </w:t>
      </w:r>
      <w:r w:rsidRPr="00787A9E">
        <w:rPr>
          <w:sz w:val="26"/>
          <w:szCs w:val="26"/>
        </w:rPr>
        <w:t>agreed-</w:t>
      </w:r>
      <w:r w:rsidR="00AD2C5C" w:rsidRPr="00787A9E">
        <w:rPr>
          <w:sz w:val="26"/>
          <w:szCs w:val="26"/>
        </w:rPr>
        <w:t>upon</w:t>
      </w:r>
      <w:r w:rsidRPr="00787A9E">
        <w:rPr>
          <w:sz w:val="26"/>
          <w:szCs w:val="26"/>
        </w:rPr>
        <w:t xml:space="preserve"> revenue requirement is a </w:t>
      </w:r>
      <w:r w:rsidR="00A424DB">
        <w:rPr>
          <w:sz w:val="26"/>
          <w:szCs w:val="26"/>
        </w:rPr>
        <w:t>“</w:t>
      </w:r>
      <w:r w:rsidRPr="00787A9E">
        <w:rPr>
          <w:sz w:val="26"/>
          <w:szCs w:val="26"/>
        </w:rPr>
        <w:t>ceiling</w:t>
      </w:r>
      <w:r w:rsidR="00A424DB">
        <w:rPr>
          <w:sz w:val="26"/>
          <w:szCs w:val="26"/>
        </w:rPr>
        <w:t>”</w:t>
      </w:r>
      <w:r w:rsidRPr="00787A9E">
        <w:rPr>
          <w:sz w:val="26"/>
          <w:szCs w:val="26"/>
        </w:rPr>
        <w:t xml:space="preserve"> and </w:t>
      </w:r>
      <w:r w:rsidR="00ED2274" w:rsidRPr="00787A9E">
        <w:rPr>
          <w:sz w:val="26"/>
          <w:szCs w:val="26"/>
        </w:rPr>
        <w:t xml:space="preserve">that </w:t>
      </w:r>
      <w:r w:rsidRPr="00787A9E">
        <w:rPr>
          <w:sz w:val="26"/>
          <w:szCs w:val="26"/>
        </w:rPr>
        <w:t>the OCA and the Foundation reserved for litigation whether the Commission should deny HVUS any rate increase for water and wastewater pursuant to 66 Pa. C.S. §§ 523 and 526, due to quality of service</w:t>
      </w:r>
      <w:r w:rsidR="007258B4" w:rsidRPr="00787A9E">
        <w:rPr>
          <w:sz w:val="26"/>
          <w:szCs w:val="26"/>
        </w:rPr>
        <w:t xml:space="preserve"> issues</w:t>
      </w:r>
      <w:r w:rsidRPr="00787A9E">
        <w:rPr>
          <w:sz w:val="26"/>
          <w:szCs w:val="26"/>
        </w:rPr>
        <w:t>.  From the Company</w:t>
      </w:r>
      <w:r w:rsidR="00A424DB">
        <w:rPr>
          <w:sz w:val="26"/>
          <w:szCs w:val="26"/>
        </w:rPr>
        <w:t>’</w:t>
      </w:r>
      <w:r w:rsidRPr="00787A9E">
        <w:rPr>
          <w:sz w:val="26"/>
          <w:szCs w:val="26"/>
        </w:rPr>
        <w:t xml:space="preserve">s perspective, by combining a modest increase in rates with the improvement plan established by the Commission in the </w:t>
      </w:r>
      <w:bookmarkStart w:id="18" w:name="_Hlk1208035"/>
      <w:r w:rsidRPr="00787A9E">
        <w:rPr>
          <w:i/>
          <w:sz w:val="26"/>
          <w:szCs w:val="26"/>
        </w:rPr>
        <w:t>McCloskey Orders</w:t>
      </w:r>
      <w:bookmarkEnd w:id="18"/>
      <w:r w:rsidRPr="00787A9E">
        <w:rPr>
          <w:i/>
          <w:sz w:val="26"/>
          <w:szCs w:val="26"/>
        </w:rPr>
        <w:t>,</w:t>
      </w:r>
      <w:r w:rsidRPr="00787A9E">
        <w:rPr>
          <w:sz w:val="26"/>
          <w:szCs w:val="26"/>
        </w:rPr>
        <w:t xml:space="preserve"> the Settlement represents an appropriate balancing of the interests of the utility and the ratepayer</w:t>
      </w:r>
      <w:r w:rsidR="006F6E45" w:rsidRPr="00787A9E">
        <w:rPr>
          <w:sz w:val="26"/>
          <w:szCs w:val="26"/>
        </w:rPr>
        <w:t>s</w:t>
      </w:r>
      <w:r w:rsidRPr="00787A9E">
        <w:rPr>
          <w:sz w:val="26"/>
          <w:szCs w:val="26"/>
        </w:rPr>
        <w:t xml:space="preserve">.  The Company further argued that the Settlement presents a practical way of addressing the present </w:t>
      </w:r>
      <w:r w:rsidR="00A424DB">
        <w:rPr>
          <w:sz w:val="26"/>
          <w:szCs w:val="26"/>
        </w:rPr>
        <w:t>“</w:t>
      </w:r>
      <w:r w:rsidRPr="00787A9E">
        <w:rPr>
          <w:sz w:val="26"/>
          <w:szCs w:val="26"/>
        </w:rPr>
        <w:t>Catch-22</w:t>
      </w:r>
      <w:r w:rsidR="00A424DB">
        <w:rPr>
          <w:sz w:val="26"/>
          <w:szCs w:val="26"/>
        </w:rPr>
        <w:t>”</w:t>
      </w:r>
      <w:r w:rsidRPr="00787A9E">
        <w:rPr>
          <w:sz w:val="26"/>
          <w:szCs w:val="26"/>
        </w:rPr>
        <w:t xml:space="preserve"> by allowing the Company a modest increase in rates that will be used to improve service to ratepayers.  Therefore, HVUS requested that the Commission approve the Settlement.  </w:t>
      </w:r>
      <w:bookmarkStart w:id="19" w:name="_Hlk1208751"/>
      <w:r w:rsidR="00046963">
        <w:rPr>
          <w:sz w:val="26"/>
          <w:szCs w:val="26"/>
        </w:rPr>
        <w:t>HVUS M.B</w:t>
      </w:r>
      <w:r w:rsidRPr="00787A9E">
        <w:rPr>
          <w:i/>
          <w:sz w:val="26"/>
          <w:szCs w:val="26"/>
        </w:rPr>
        <w:t>.</w:t>
      </w:r>
      <w:r w:rsidRPr="00787A9E">
        <w:rPr>
          <w:sz w:val="26"/>
          <w:szCs w:val="26"/>
        </w:rPr>
        <w:t xml:space="preserve"> at </w:t>
      </w:r>
      <w:r w:rsidR="00046963">
        <w:rPr>
          <w:sz w:val="26"/>
          <w:szCs w:val="26"/>
        </w:rPr>
        <w:t>17-</w:t>
      </w:r>
      <w:r w:rsidRPr="00787A9E">
        <w:rPr>
          <w:sz w:val="26"/>
          <w:szCs w:val="26"/>
        </w:rPr>
        <w:t>18, 26-30.</w:t>
      </w:r>
      <w:bookmarkEnd w:id="19"/>
    </w:p>
    <w:p w14:paraId="0B44A5CC" w14:textId="77777777" w:rsidR="008E1D45" w:rsidRPr="00787A9E" w:rsidRDefault="008E1D45" w:rsidP="00FD1A00">
      <w:pPr>
        <w:pStyle w:val="Default"/>
        <w:spacing w:line="360" w:lineRule="auto"/>
        <w:contextualSpacing/>
        <w:rPr>
          <w:sz w:val="26"/>
          <w:szCs w:val="26"/>
        </w:rPr>
      </w:pPr>
    </w:p>
    <w:p w14:paraId="63993503" w14:textId="55E8405D" w:rsidR="008E1D45" w:rsidRPr="00787A9E" w:rsidRDefault="008E1D45" w:rsidP="00FD1A00">
      <w:pPr>
        <w:pStyle w:val="Default"/>
        <w:spacing w:line="360" w:lineRule="auto"/>
        <w:ind w:firstLine="1440"/>
        <w:contextualSpacing/>
        <w:rPr>
          <w:sz w:val="26"/>
          <w:szCs w:val="26"/>
        </w:rPr>
      </w:pPr>
      <w:r w:rsidRPr="00787A9E">
        <w:rPr>
          <w:sz w:val="26"/>
          <w:szCs w:val="26"/>
        </w:rPr>
        <w:t>Additionally, the Company averred that similar to the Commission</w:t>
      </w:r>
      <w:r w:rsidR="00A424DB">
        <w:rPr>
          <w:sz w:val="26"/>
          <w:szCs w:val="26"/>
        </w:rPr>
        <w:t>’</w:t>
      </w:r>
      <w:r w:rsidRPr="00787A9E">
        <w:rPr>
          <w:sz w:val="26"/>
          <w:szCs w:val="26"/>
        </w:rPr>
        <w:t xml:space="preserve">s concern in the </w:t>
      </w:r>
      <w:r w:rsidRPr="00787A9E">
        <w:rPr>
          <w:i/>
          <w:sz w:val="26"/>
          <w:szCs w:val="26"/>
        </w:rPr>
        <w:t xml:space="preserve">McCloskey Orders, </w:t>
      </w:r>
      <w:r w:rsidRPr="00787A9E">
        <w:rPr>
          <w:sz w:val="26"/>
          <w:szCs w:val="26"/>
        </w:rPr>
        <w:t>not only would a rejection of the proposed rate increase prevent the Company from complying with the</w:t>
      </w:r>
      <w:r w:rsidR="006F6E45" w:rsidRPr="00787A9E">
        <w:rPr>
          <w:sz w:val="26"/>
          <w:szCs w:val="26"/>
        </w:rPr>
        <w:t xml:space="preserve"> directives in the</w:t>
      </w:r>
      <w:r w:rsidRPr="00787A9E">
        <w:rPr>
          <w:sz w:val="26"/>
          <w:szCs w:val="26"/>
        </w:rPr>
        <w:t xml:space="preserve"> </w:t>
      </w:r>
      <w:r w:rsidRPr="00787A9E">
        <w:rPr>
          <w:i/>
          <w:sz w:val="26"/>
          <w:szCs w:val="26"/>
        </w:rPr>
        <w:t xml:space="preserve">McCloskey Orders, </w:t>
      </w:r>
      <w:r w:rsidRPr="00787A9E">
        <w:rPr>
          <w:sz w:val="26"/>
          <w:szCs w:val="26"/>
        </w:rPr>
        <w:t>it would be unreasonably harsh for the Commission to impose a costly</w:t>
      </w:r>
      <w:r w:rsidR="003C00A6" w:rsidRPr="00787A9E">
        <w:rPr>
          <w:sz w:val="26"/>
          <w:szCs w:val="26"/>
        </w:rPr>
        <w:t xml:space="preserve"> and</w:t>
      </w:r>
      <w:r w:rsidRPr="00787A9E">
        <w:rPr>
          <w:sz w:val="26"/>
          <w:szCs w:val="26"/>
        </w:rPr>
        <w:t xml:space="preserve"> expensive improvement plan on a Company that is already losing money and then deny the Company rate relief </w:t>
      </w:r>
      <w:r w:rsidR="001424F8" w:rsidRPr="00787A9E">
        <w:rPr>
          <w:sz w:val="26"/>
          <w:szCs w:val="26"/>
        </w:rPr>
        <w:t xml:space="preserve">that would </w:t>
      </w:r>
      <w:r w:rsidRPr="00787A9E">
        <w:rPr>
          <w:sz w:val="26"/>
          <w:szCs w:val="26"/>
        </w:rPr>
        <w:t xml:space="preserve">enable it </w:t>
      </w:r>
      <w:r w:rsidR="00F8084F">
        <w:rPr>
          <w:sz w:val="26"/>
          <w:szCs w:val="26"/>
        </w:rPr>
        <w:t xml:space="preserve">to </w:t>
      </w:r>
      <w:r w:rsidRPr="00787A9E">
        <w:rPr>
          <w:sz w:val="26"/>
          <w:szCs w:val="26"/>
        </w:rPr>
        <w:t xml:space="preserve">comply with the improvement plan.  In addition, HVUS argued that while prior Commission decisions have held that a denial of rate relief is only warranted where the Commission finds serious deficiencies in the </w:t>
      </w:r>
      <w:r w:rsidRPr="00787A9E">
        <w:rPr>
          <w:sz w:val="26"/>
          <w:szCs w:val="26"/>
        </w:rPr>
        <w:lastRenderedPageBreak/>
        <w:t>utility</w:t>
      </w:r>
      <w:r w:rsidR="00A424DB">
        <w:rPr>
          <w:sz w:val="26"/>
          <w:szCs w:val="26"/>
        </w:rPr>
        <w:t>’</w:t>
      </w:r>
      <w:r w:rsidRPr="00787A9E">
        <w:rPr>
          <w:sz w:val="26"/>
          <w:szCs w:val="26"/>
        </w:rPr>
        <w:t xml:space="preserve">s services, the evidence in this case does not support that the Company is currently providing wastewater service that is so poor as to warrant the extreme remedy of denying any rate relief.  </w:t>
      </w:r>
      <w:r w:rsidR="00F8084F" w:rsidRPr="00F8084F">
        <w:rPr>
          <w:sz w:val="26"/>
          <w:szCs w:val="26"/>
        </w:rPr>
        <w:t>HVUS M.B</w:t>
      </w:r>
      <w:r w:rsidR="00F8084F">
        <w:rPr>
          <w:sz w:val="26"/>
          <w:szCs w:val="26"/>
        </w:rPr>
        <w:t>.</w:t>
      </w:r>
      <w:r w:rsidRPr="00787A9E">
        <w:rPr>
          <w:sz w:val="26"/>
          <w:szCs w:val="26"/>
        </w:rPr>
        <w:t xml:space="preserve"> at </w:t>
      </w:r>
      <w:r w:rsidR="00F8084F">
        <w:rPr>
          <w:sz w:val="26"/>
          <w:szCs w:val="26"/>
        </w:rPr>
        <w:t>18-</w:t>
      </w:r>
      <w:r w:rsidRPr="00787A9E">
        <w:rPr>
          <w:sz w:val="26"/>
          <w:szCs w:val="26"/>
        </w:rPr>
        <w:t>19, 33-36.</w:t>
      </w:r>
    </w:p>
    <w:p w14:paraId="07938CE2" w14:textId="77777777" w:rsidR="008E1D45" w:rsidRPr="00787A9E" w:rsidRDefault="008E1D45" w:rsidP="00FD1A00">
      <w:pPr>
        <w:pStyle w:val="Default"/>
        <w:spacing w:line="360" w:lineRule="auto"/>
        <w:contextualSpacing/>
        <w:rPr>
          <w:sz w:val="26"/>
          <w:szCs w:val="26"/>
        </w:rPr>
      </w:pPr>
    </w:p>
    <w:p w14:paraId="429076F2" w14:textId="18EE29B0" w:rsidR="008E1D45" w:rsidRPr="00787A9E" w:rsidRDefault="008E1D45" w:rsidP="00FD1A00">
      <w:pPr>
        <w:pStyle w:val="Default"/>
        <w:spacing w:line="360" w:lineRule="auto"/>
        <w:ind w:firstLine="1440"/>
        <w:contextualSpacing/>
        <w:rPr>
          <w:sz w:val="26"/>
          <w:szCs w:val="26"/>
        </w:rPr>
      </w:pPr>
      <w:r w:rsidRPr="00787A9E">
        <w:rPr>
          <w:sz w:val="26"/>
          <w:szCs w:val="26"/>
        </w:rPr>
        <w:t>Next, the Company indicated that it is presently not covering the costs of providing service, largely because it has not raised its rates since 2005.  According to the Company, in 2017, its net operating income available for return for the Company</w:t>
      </w:r>
      <w:r w:rsidR="00A424DB">
        <w:rPr>
          <w:sz w:val="26"/>
          <w:szCs w:val="26"/>
        </w:rPr>
        <w:t>’</w:t>
      </w:r>
      <w:r w:rsidRPr="00787A9E">
        <w:rPr>
          <w:sz w:val="26"/>
          <w:szCs w:val="26"/>
        </w:rPr>
        <w:t xml:space="preserve">s wastewater system was </w:t>
      </w:r>
      <w:r w:rsidR="00294EB2" w:rsidRPr="00787A9E">
        <w:rPr>
          <w:sz w:val="26"/>
          <w:szCs w:val="26"/>
        </w:rPr>
        <w:t xml:space="preserve">a negative </w:t>
      </w:r>
      <w:r w:rsidRPr="00787A9E">
        <w:rPr>
          <w:sz w:val="26"/>
          <w:szCs w:val="26"/>
        </w:rPr>
        <w:t xml:space="preserve">$105,045 while that of the water system was </w:t>
      </w:r>
      <w:r w:rsidR="00294EB2" w:rsidRPr="00787A9E">
        <w:rPr>
          <w:sz w:val="26"/>
          <w:szCs w:val="26"/>
        </w:rPr>
        <w:t xml:space="preserve">a negative </w:t>
      </w:r>
      <w:r w:rsidRPr="00787A9E">
        <w:rPr>
          <w:sz w:val="26"/>
          <w:szCs w:val="26"/>
        </w:rPr>
        <w:t xml:space="preserve">$51,736 for a total system loss of $156,781.  The </w:t>
      </w:r>
      <w:r w:rsidR="00182CE3" w:rsidRPr="00787A9E">
        <w:rPr>
          <w:sz w:val="26"/>
          <w:szCs w:val="26"/>
        </w:rPr>
        <w:t xml:space="preserve">Company </w:t>
      </w:r>
      <w:r w:rsidRPr="00787A9E">
        <w:rPr>
          <w:sz w:val="26"/>
          <w:szCs w:val="26"/>
        </w:rPr>
        <w:t xml:space="preserve">stated that the Commission </w:t>
      </w:r>
      <w:r w:rsidR="001F4382" w:rsidRPr="00787A9E">
        <w:rPr>
          <w:sz w:val="26"/>
          <w:szCs w:val="26"/>
        </w:rPr>
        <w:t xml:space="preserve">should </w:t>
      </w:r>
      <w:r w:rsidRPr="00787A9E">
        <w:rPr>
          <w:sz w:val="26"/>
          <w:szCs w:val="26"/>
        </w:rPr>
        <w:t>permit the modest rate increase</w:t>
      </w:r>
      <w:r w:rsidR="006F6E45" w:rsidRPr="00787A9E">
        <w:rPr>
          <w:sz w:val="26"/>
          <w:szCs w:val="26"/>
        </w:rPr>
        <w:t>s</w:t>
      </w:r>
      <w:r w:rsidRPr="00787A9E">
        <w:rPr>
          <w:sz w:val="26"/>
          <w:szCs w:val="26"/>
        </w:rPr>
        <w:t xml:space="preserve"> </w:t>
      </w:r>
      <w:r w:rsidR="00CB0BF2" w:rsidRPr="00787A9E">
        <w:rPr>
          <w:sz w:val="26"/>
          <w:szCs w:val="26"/>
        </w:rPr>
        <w:t xml:space="preserve">set forth </w:t>
      </w:r>
      <w:r w:rsidRPr="00787A9E">
        <w:rPr>
          <w:sz w:val="26"/>
          <w:szCs w:val="26"/>
        </w:rPr>
        <w:t xml:space="preserve">in the Settlement because if the Company is not permitted to raise rates at all until it complies with the </w:t>
      </w:r>
      <w:r w:rsidRPr="00787A9E">
        <w:rPr>
          <w:i/>
          <w:sz w:val="26"/>
          <w:szCs w:val="26"/>
        </w:rPr>
        <w:t>McCloskey Orders,</w:t>
      </w:r>
      <w:r w:rsidRPr="00787A9E">
        <w:rPr>
          <w:sz w:val="26"/>
          <w:szCs w:val="26"/>
        </w:rPr>
        <w:t xml:space="preserve"> as </w:t>
      </w:r>
      <w:r w:rsidR="00E13EC4" w:rsidRPr="00787A9E">
        <w:rPr>
          <w:sz w:val="26"/>
          <w:szCs w:val="26"/>
        </w:rPr>
        <w:t xml:space="preserve">advocated </w:t>
      </w:r>
      <w:r w:rsidRPr="00787A9E">
        <w:rPr>
          <w:sz w:val="26"/>
          <w:szCs w:val="26"/>
        </w:rPr>
        <w:t xml:space="preserve">by the opposing </w:t>
      </w:r>
      <w:r w:rsidR="001C720C">
        <w:rPr>
          <w:sz w:val="26"/>
          <w:szCs w:val="26"/>
        </w:rPr>
        <w:t>P</w:t>
      </w:r>
      <w:r w:rsidRPr="00787A9E">
        <w:rPr>
          <w:sz w:val="26"/>
          <w:szCs w:val="26"/>
        </w:rPr>
        <w:t>arties, the instant rate increase</w:t>
      </w:r>
      <w:r w:rsidR="001F4382" w:rsidRPr="00787A9E">
        <w:rPr>
          <w:sz w:val="26"/>
          <w:szCs w:val="26"/>
        </w:rPr>
        <w:t>s</w:t>
      </w:r>
      <w:r w:rsidRPr="00787A9E">
        <w:rPr>
          <w:sz w:val="26"/>
          <w:szCs w:val="26"/>
        </w:rPr>
        <w:t xml:space="preserve"> will be re-filed at the same time that the Company seeks to recover the costs of complying with the </w:t>
      </w:r>
      <w:r w:rsidRPr="00787A9E">
        <w:rPr>
          <w:i/>
          <w:sz w:val="26"/>
          <w:szCs w:val="26"/>
        </w:rPr>
        <w:t>McCloskey Orders</w:t>
      </w:r>
      <w:r w:rsidRPr="00787A9E">
        <w:rPr>
          <w:sz w:val="26"/>
          <w:szCs w:val="26"/>
        </w:rPr>
        <w:t>.  Therefore, the Company requested that the Commission approve the Settlement because it more appropriately balances the interests of the Company and its ratepayers.</w:t>
      </w:r>
      <w:r w:rsidR="00931DC7" w:rsidRPr="00787A9E">
        <w:rPr>
          <w:sz w:val="26"/>
          <w:szCs w:val="26"/>
        </w:rPr>
        <w:t xml:space="preserve"> </w:t>
      </w:r>
      <w:r w:rsidR="00295DAF">
        <w:rPr>
          <w:sz w:val="26"/>
          <w:szCs w:val="26"/>
        </w:rPr>
        <w:t xml:space="preserve"> HVUS M.B. at 19-21, 36-38</w:t>
      </w:r>
      <w:r w:rsidRPr="00787A9E">
        <w:rPr>
          <w:sz w:val="26"/>
          <w:szCs w:val="26"/>
        </w:rPr>
        <w:t>.</w:t>
      </w:r>
    </w:p>
    <w:p w14:paraId="3B2FE846" w14:textId="77777777" w:rsidR="008E1D45" w:rsidRPr="00787A9E" w:rsidRDefault="008E1D45" w:rsidP="00FD1A00">
      <w:pPr>
        <w:pStyle w:val="Default"/>
        <w:spacing w:line="360" w:lineRule="auto"/>
        <w:ind w:firstLine="1440"/>
        <w:contextualSpacing/>
        <w:rPr>
          <w:sz w:val="26"/>
          <w:szCs w:val="26"/>
        </w:rPr>
      </w:pPr>
    </w:p>
    <w:p w14:paraId="37EE8E69" w14:textId="43D9A6E1" w:rsidR="008E1D45" w:rsidRPr="00787A9E" w:rsidRDefault="00BF50C8" w:rsidP="00FD1A00">
      <w:pPr>
        <w:pStyle w:val="Default"/>
        <w:keepNext/>
        <w:keepLines/>
        <w:numPr>
          <w:ilvl w:val="0"/>
          <w:numId w:val="23"/>
        </w:numPr>
        <w:spacing w:line="360" w:lineRule="auto"/>
        <w:ind w:left="2520"/>
        <w:contextualSpacing/>
        <w:rPr>
          <w:b/>
          <w:sz w:val="26"/>
          <w:szCs w:val="26"/>
        </w:rPr>
      </w:pPr>
      <w:r w:rsidRPr="00787A9E">
        <w:rPr>
          <w:b/>
          <w:sz w:val="26"/>
          <w:szCs w:val="26"/>
        </w:rPr>
        <w:tab/>
      </w:r>
      <w:r w:rsidR="008E1D45" w:rsidRPr="00787A9E">
        <w:rPr>
          <w:b/>
          <w:sz w:val="26"/>
          <w:szCs w:val="26"/>
        </w:rPr>
        <w:t>I&amp;E</w:t>
      </w:r>
      <w:r w:rsidR="00A424DB">
        <w:rPr>
          <w:b/>
          <w:sz w:val="26"/>
          <w:szCs w:val="26"/>
        </w:rPr>
        <w:t>’</w:t>
      </w:r>
      <w:r w:rsidR="008E1D45" w:rsidRPr="00787A9E">
        <w:rPr>
          <w:b/>
          <w:sz w:val="26"/>
          <w:szCs w:val="26"/>
        </w:rPr>
        <w:t>s Position</w:t>
      </w:r>
    </w:p>
    <w:p w14:paraId="55DA28D6" w14:textId="77777777" w:rsidR="008E1D45" w:rsidRPr="00787A9E" w:rsidRDefault="008E1D45" w:rsidP="00FD1A00">
      <w:pPr>
        <w:pStyle w:val="Default"/>
        <w:keepNext/>
        <w:keepLines/>
        <w:spacing w:line="360" w:lineRule="auto"/>
        <w:contextualSpacing/>
        <w:rPr>
          <w:sz w:val="26"/>
          <w:szCs w:val="26"/>
        </w:rPr>
      </w:pPr>
    </w:p>
    <w:p w14:paraId="2D5D79A7" w14:textId="24C97E4E" w:rsidR="008E1D45" w:rsidRPr="00787A9E" w:rsidRDefault="008E1D45" w:rsidP="00FD1A00">
      <w:pPr>
        <w:pStyle w:val="Default"/>
        <w:spacing w:line="360" w:lineRule="auto"/>
        <w:ind w:firstLine="1440"/>
        <w:contextualSpacing/>
        <w:rPr>
          <w:sz w:val="26"/>
          <w:szCs w:val="26"/>
        </w:rPr>
      </w:pPr>
      <w:r w:rsidRPr="00787A9E">
        <w:rPr>
          <w:sz w:val="26"/>
          <w:szCs w:val="26"/>
        </w:rPr>
        <w:t xml:space="preserve">In its direct and surrebuttal testimonies, I&amp;E argued that the Company </w:t>
      </w:r>
      <w:r w:rsidR="007A0F7C" w:rsidRPr="00787A9E">
        <w:rPr>
          <w:sz w:val="26"/>
          <w:szCs w:val="26"/>
        </w:rPr>
        <w:t xml:space="preserve">should </w:t>
      </w:r>
      <w:r w:rsidRPr="00787A9E">
        <w:rPr>
          <w:sz w:val="26"/>
          <w:szCs w:val="26"/>
        </w:rPr>
        <w:t xml:space="preserve">not be permitted to earn a return on equity until it complies with the </w:t>
      </w:r>
      <w:r w:rsidRPr="00787A9E">
        <w:rPr>
          <w:i/>
          <w:sz w:val="26"/>
          <w:szCs w:val="26"/>
        </w:rPr>
        <w:t>McCloskey Orders</w:t>
      </w:r>
      <w:r w:rsidRPr="00787A9E">
        <w:rPr>
          <w:sz w:val="26"/>
          <w:szCs w:val="26"/>
        </w:rPr>
        <w:t xml:space="preserve"> and </w:t>
      </w:r>
      <w:r w:rsidR="00EC0A3E" w:rsidRPr="00787A9E">
        <w:rPr>
          <w:sz w:val="26"/>
          <w:szCs w:val="26"/>
        </w:rPr>
        <w:t xml:space="preserve">until </w:t>
      </w:r>
      <w:r w:rsidRPr="00787A9E">
        <w:rPr>
          <w:sz w:val="26"/>
          <w:szCs w:val="26"/>
        </w:rPr>
        <w:t>HVUS</w:t>
      </w:r>
      <w:r w:rsidR="00A424DB">
        <w:rPr>
          <w:sz w:val="26"/>
          <w:szCs w:val="26"/>
        </w:rPr>
        <w:t>’</w:t>
      </w:r>
      <w:r w:rsidRPr="00787A9E">
        <w:rPr>
          <w:sz w:val="26"/>
          <w:szCs w:val="26"/>
        </w:rPr>
        <w:t xml:space="preserve">s customers have begun to receive adequate and reasonable water and wastewater services.  According to I&amp;E, the 0.00% </w:t>
      </w:r>
      <w:r w:rsidR="00AD5031" w:rsidRPr="00787A9E">
        <w:rPr>
          <w:sz w:val="26"/>
          <w:szCs w:val="26"/>
        </w:rPr>
        <w:t xml:space="preserve">return on </w:t>
      </w:r>
      <w:r w:rsidRPr="00787A9E">
        <w:rPr>
          <w:sz w:val="26"/>
          <w:szCs w:val="26"/>
        </w:rPr>
        <w:t>equity recommendation resulted in I&amp;E</w:t>
      </w:r>
      <w:r w:rsidR="00A424DB">
        <w:rPr>
          <w:sz w:val="26"/>
          <w:szCs w:val="26"/>
        </w:rPr>
        <w:t>’</w:t>
      </w:r>
      <w:r w:rsidRPr="00787A9E">
        <w:rPr>
          <w:sz w:val="26"/>
          <w:szCs w:val="26"/>
        </w:rPr>
        <w:t xml:space="preserve">s primary revenue requirement recommendation of $65,544 for water and $82,236 for wastewater.  I&amp;E M.B. at 8 </w:t>
      </w:r>
      <w:r w:rsidR="00294EB2" w:rsidRPr="00787A9E">
        <w:rPr>
          <w:sz w:val="26"/>
          <w:szCs w:val="26"/>
        </w:rPr>
        <w:t>(</w:t>
      </w:r>
      <w:r w:rsidRPr="00787A9E">
        <w:rPr>
          <w:sz w:val="26"/>
          <w:szCs w:val="26"/>
        </w:rPr>
        <w:t>citing I&amp;E St. 1-SR (Water) at 3; I&amp;E St. 1-SR (Wastewater) at 3</w:t>
      </w:r>
      <w:r w:rsidR="00294EB2" w:rsidRPr="00787A9E">
        <w:rPr>
          <w:sz w:val="26"/>
          <w:szCs w:val="26"/>
        </w:rPr>
        <w:t>)</w:t>
      </w:r>
      <w:r w:rsidRPr="00787A9E">
        <w:rPr>
          <w:sz w:val="26"/>
          <w:szCs w:val="26"/>
        </w:rPr>
        <w:t>.</w:t>
      </w:r>
      <w:r w:rsidR="002B69A8" w:rsidRPr="00787A9E">
        <w:rPr>
          <w:sz w:val="26"/>
          <w:szCs w:val="26"/>
        </w:rPr>
        <w:t xml:space="preserve">  </w:t>
      </w:r>
      <w:r w:rsidRPr="00787A9E">
        <w:rPr>
          <w:sz w:val="26"/>
          <w:szCs w:val="26"/>
        </w:rPr>
        <w:t xml:space="preserve">I&amp;E argued this recommendation serves the public interest because it allows the Company to recover prudent operating expenses and used and useful plant but does not allow the Company to earn a profit, which is appropriate given that the Commission recently determined that HVUS is not providing </w:t>
      </w:r>
      <w:r w:rsidRPr="00787A9E">
        <w:rPr>
          <w:sz w:val="26"/>
          <w:szCs w:val="26"/>
        </w:rPr>
        <w:lastRenderedPageBreak/>
        <w:t>adequate and reasonable water and wastewater service in violation of Section 1501 of the Code.  I&amp;E M.B. at 8.</w:t>
      </w:r>
    </w:p>
    <w:p w14:paraId="7610C253" w14:textId="77777777" w:rsidR="008E1D45" w:rsidRPr="00787A9E" w:rsidRDefault="008E1D45" w:rsidP="00FD1A00">
      <w:pPr>
        <w:pStyle w:val="Default"/>
        <w:spacing w:line="360" w:lineRule="auto"/>
        <w:contextualSpacing/>
        <w:rPr>
          <w:sz w:val="26"/>
          <w:szCs w:val="26"/>
        </w:rPr>
      </w:pPr>
    </w:p>
    <w:p w14:paraId="7BFBCF01" w14:textId="5DBB503A" w:rsidR="008E1D45" w:rsidRPr="00787A9E" w:rsidRDefault="008E1D45" w:rsidP="00FD1A00">
      <w:pPr>
        <w:pStyle w:val="Default"/>
        <w:spacing w:line="360" w:lineRule="auto"/>
        <w:ind w:firstLine="1440"/>
        <w:contextualSpacing/>
        <w:rPr>
          <w:sz w:val="26"/>
          <w:szCs w:val="26"/>
        </w:rPr>
      </w:pPr>
      <w:r w:rsidRPr="00787A9E">
        <w:rPr>
          <w:sz w:val="26"/>
          <w:szCs w:val="26"/>
        </w:rPr>
        <w:t>I&amp;E averred that it engaged in extensive settlement negotiations during the pendency of this proceeding and reached a revenue requirement that closely aligns with the revenue requirements recommended in its testimony.  According to I&amp;E, the Settlement contains an agreed-upon water increase of $65,557 and a two-step wastewater increase of $82,227 initially</w:t>
      </w:r>
      <w:r w:rsidR="00BE62FF" w:rsidRPr="00787A9E">
        <w:rPr>
          <w:sz w:val="26"/>
          <w:szCs w:val="26"/>
        </w:rPr>
        <w:t>,</w:t>
      </w:r>
      <w:r w:rsidRPr="00787A9E">
        <w:rPr>
          <w:sz w:val="26"/>
          <w:szCs w:val="26"/>
        </w:rPr>
        <w:t xml:space="preserve"> and $145,842 in additional annual operating revenue over present rates when all repairs, modifications and improvements to the wastewater system have been completed as required </w:t>
      </w:r>
      <w:r w:rsidR="006F7B61" w:rsidRPr="00787A9E">
        <w:rPr>
          <w:sz w:val="26"/>
          <w:szCs w:val="26"/>
        </w:rPr>
        <w:t>by</w:t>
      </w:r>
      <w:r w:rsidRPr="00787A9E">
        <w:rPr>
          <w:sz w:val="26"/>
          <w:szCs w:val="26"/>
        </w:rPr>
        <w:t xml:space="preserve"> the </w:t>
      </w:r>
      <w:r w:rsidRPr="00787A9E">
        <w:rPr>
          <w:i/>
          <w:sz w:val="26"/>
          <w:szCs w:val="26"/>
        </w:rPr>
        <w:t>McCloskey Orders</w:t>
      </w:r>
      <w:r w:rsidRPr="00787A9E">
        <w:rPr>
          <w:sz w:val="26"/>
          <w:szCs w:val="26"/>
        </w:rPr>
        <w:t xml:space="preserve">.  I&amp;E further indicated that although it is a black box Settlement, the agreed-upon revenue requirements are supported by its testimony.  As such, I&amp;E believes the Settlement is in the public interest because it provides the Company </w:t>
      </w:r>
      <w:r w:rsidR="00B43653" w:rsidRPr="00787A9E">
        <w:rPr>
          <w:sz w:val="26"/>
          <w:szCs w:val="26"/>
        </w:rPr>
        <w:t xml:space="preserve">with </w:t>
      </w:r>
      <w:r w:rsidRPr="00787A9E">
        <w:rPr>
          <w:sz w:val="26"/>
          <w:szCs w:val="26"/>
        </w:rPr>
        <w:t xml:space="preserve">a reasonable increase to recover operating expenses and plant in rates while </w:t>
      </w:r>
      <w:r w:rsidR="00AE4F4F" w:rsidRPr="00787A9E">
        <w:rPr>
          <w:sz w:val="26"/>
          <w:szCs w:val="26"/>
        </w:rPr>
        <w:t xml:space="preserve">allowing only a </w:t>
      </w:r>
      <w:r w:rsidRPr="00787A9E">
        <w:rPr>
          <w:sz w:val="26"/>
          <w:szCs w:val="26"/>
        </w:rPr>
        <w:t>moderat</w:t>
      </w:r>
      <w:r w:rsidR="00AE4F4F" w:rsidRPr="00787A9E">
        <w:rPr>
          <w:sz w:val="26"/>
          <w:szCs w:val="26"/>
        </w:rPr>
        <w:t xml:space="preserve">e increase </w:t>
      </w:r>
      <w:r w:rsidRPr="00787A9E">
        <w:rPr>
          <w:sz w:val="26"/>
          <w:szCs w:val="26"/>
        </w:rPr>
        <w:t xml:space="preserve">due to the ongoing service issues.  </w:t>
      </w:r>
      <w:r w:rsidR="008C7ECE" w:rsidRPr="00787A9E">
        <w:rPr>
          <w:sz w:val="26"/>
          <w:szCs w:val="26"/>
        </w:rPr>
        <w:t>I&amp;E M.B.</w:t>
      </w:r>
      <w:r w:rsidRPr="00787A9E">
        <w:rPr>
          <w:sz w:val="26"/>
          <w:szCs w:val="26"/>
        </w:rPr>
        <w:t xml:space="preserve"> at 8-9.</w:t>
      </w:r>
    </w:p>
    <w:p w14:paraId="183DDCB1" w14:textId="77777777" w:rsidR="004B2238" w:rsidRPr="00787A9E" w:rsidRDefault="004B2238" w:rsidP="00FD1A00">
      <w:pPr>
        <w:pStyle w:val="Default"/>
        <w:spacing w:line="360" w:lineRule="auto"/>
        <w:ind w:firstLine="1440"/>
        <w:contextualSpacing/>
        <w:rPr>
          <w:sz w:val="26"/>
          <w:szCs w:val="26"/>
        </w:rPr>
      </w:pPr>
    </w:p>
    <w:p w14:paraId="06414617" w14:textId="3907D5D2" w:rsidR="008F03ED" w:rsidRPr="00787A9E" w:rsidRDefault="001A3B6A" w:rsidP="00FD1A00">
      <w:pPr>
        <w:pStyle w:val="Default"/>
        <w:keepNext/>
        <w:keepLines/>
        <w:numPr>
          <w:ilvl w:val="0"/>
          <w:numId w:val="23"/>
        </w:numPr>
        <w:spacing w:line="360" w:lineRule="auto"/>
        <w:ind w:left="2520"/>
        <w:contextualSpacing/>
        <w:rPr>
          <w:b/>
          <w:sz w:val="26"/>
          <w:szCs w:val="26"/>
        </w:rPr>
      </w:pPr>
      <w:r w:rsidRPr="00787A9E">
        <w:rPr>
          <w:b/>
          <w:sz w:val="26"/>
          <w:szCs w:val="26"/>
        </w:rPr>
        <w:tab/>
      </w:r>
      <w:r w:rsidR="007D6E74" w:rsidRPr="00787A9E">
        <w:rPr>
          <w:b/>
          <w:sz w:val="26"/>
          <w:szCs w:val="26"/>
        </w:rPr>
        <w:t>OCA</w:t>
      </w:r>
      <w:r w:rsidR="00A424DB">
        <w:rPr>
          <w:b/>
          <w:sz w:val="26"/>
          <w:szCs w:val="26"/>
        </w:rPr>
        <w:t>’</w:t>
      </w:r>
      <w:r w:rsidR="00770A7A" w:rsidRPr="00787A9E">
        <w:rPr>
          <w:b/>
          <w:sz w:val="26"/>
          <w:szCs w:val="26"/>
        </w:rPr>
        <w:t>s Position</w:t>
      </w:r>
    </w:p>
    <w:p w14:paraId="112A830D" w14:textId="77777777" w:rsidR="007D6E74" w:rsidRPr="00787A9E" w:rsidRDefault="007D6E74" w:rsidP="00FD1A00">
      <w:pPr>
        <w:pStyle w:val="Default"/>
        <w:keepNext/>
        <w:keepLines/>
        <w:spacing w:line="360" w:lineRule="auto"/>
        <w:ind w:firstLine="1440"/>
        <w:contextualSpacing/>
        <w:rPr>
          <w:sz w:val="26"/>
          <w:szCs w:val="26"/>
        </w:rPr>
      </w:pPr>
    </w:p>
    <w:p w14:paraId="26F24106" w14:textId="61729F9B" w:rsidR="00A70847" w:rsidRPr="00787A9E" w:rsidRDefault="00096D68" w:rsidP="00FD1A00">
      <w:pPr>
        <w:ind w:firstLine="1440"/>
        <w:contextualSpacing/>
        <w:rPr>
          <w:sz w:val="26"/>
          <w:szCs w:val="26"/>
        </w:rPr>
      </w:pPr>
      <w:r w:rsidRPr="00787A9E">
        <w:rPr>
          <w:sz w:val="26"/>
          <w:szCs w:val="26"/>
        </w:rPr>
        <w:t>On the other hand, t</w:t>
      </w:r>
      <w:r w:rsidR="00A70847" w:rsidRPr="00787A9E">
        <w:rPr>
          <w:sz w:val="26"/>
          <w:szCs w:val="26"/>
        </w:rPr>
        <w:t>he OCA asseverated that</w:t>
      </w:r>
      <w:r w:rsidR="00AD5031" w:rsidRPr="00787A9E">
        <w:rPr>
          <w:sz w:val="26"/>
          <w:szCs w:val="26"/>
        </w:rPr>
        <w:t xml:space="preserve"> because</w:t>
      </w:r>
      <w:r w:rsidR="00A70847" w:rsidRPr="00787A9E">
        <w:rPr>
          <w:sz w:val="26"/>
          <w:szCs w:val="26"/>
        </w:rPr>
        <w:t xml:space="preserve"> HVUS does not currently provide safe, adequate and reliable service to its customers as is required under Section 1501 of the Code</w:t>
      </w:r>
      <w:r w:rsidR="00AD5031" w:rsidRPr="00787A9E">
        <w:rPr>
          <w:sz w:val="26"/>
          <w:szCs w:val="26"/>
        </w:rPr>
        <w:t>, the Company should not be afforded any increase to its water or wastewater rates</w:t>
      </w:r>
      <w:r w:rsidR="00A70847" w:rsidRPr="00787A9E">
        <w:rPr>
          <w:sz w:val="26"/>
          <w:szCs w:val="26"/>
        </w:rPr>
        <w:t>.  OCA M.B. at 16, 49.  The OCA cited to the testimony of its witness Mr. Fought who explained that the levels of iron and manganese in HVUS</w:t>
      </w:r>
      <w:r w:rsidR="00A424DB">
        <w:rPr>
          <w:sz w:val="26"/>
          <w:szCs w:val="26"/>
        </w:rPr>
        <w:t>’</w:t>
      </w:r>
      <w:r w:rsidR="00A70847" w:rsidRPr="00787A9E">
        <w:rPr>
          <w:sz w:val="26"/>
          <w:szCs w:val="26"/>
        </w:rPr>
        <w:t>s well and in its distribution system have had detrimental effects on the Company</w:t>
      </w:r>
      <w:r w:rsidR="00A424DB">
        <w:rPr>
          <w:sz w:val="26"/>
          <w:szCs w:val="26"/>
        </w:rPr>
        <w:t>’</w:t>
      </w:r>
      <w:r w:rsidR="00A70847" w:rsidRPr="00787A9E">
        <w:rPr>
          <w:sz w:val="26"/>
          <w:szCs w:val="26"/>
        </w:rPr>
        <w:t>s customers since at least 2004.  Namely, Mr. Fought testified that HVUS</w:t>
      </w:r>
      <w:r w:rsidR="00A424DB">
        <w:rPr>
          <w:sz w:val="26"/>
          <w:szCs w:val="26"/>
        </w:rPr>
        <w:t>’</w:t>
      </w:r>
      <w:r w:rsidR="00A70847" w:rsidRPr="00787A9E">
        <w:rPr>
          <w:sz w:val="26"/>
          <w:szCs w:val="26"/>
        </w:rPr>
        <w:t xml:space="preserve">s method of sequestering the iron and manganese has proven to be an inadequate treatment method.  </w:t>
      </w:r>
      <w:r w:rsidR="00A70847" w:rsidRPr="00787A9E">
        <w:rPr>
          <w:i/>
          <w:sz w:val="26"/>
          <w:szCs w:val="26"/>
        </w:rPr>
        <w:t>Id.</w:t>
      </w:r>
      <w:r w:rsidR="00A70847" w:rsidRPr="00787A9E">
        <w:rPr>
          <w:sz w:val="26"/>
          <w:szCs w:val="26"/>
        </w:rPr>
        <w:t xml:space="preserve"> at 26-28 </w:t>
      </w:r>
      <w:r w:rsidR="00527265">
        <w:rPr>
          <w:sz w:val="26"/>
          <w:szCs w:val="26"/>
        </w:rPr>
        <w:t>(</w:t>
      </w:r>
      <w:r w:rsidR="00A70847" w:rsidRPr="00787A9E">
        <w:rPr>
          <w:sz w:val="26"/>
          <w:szCs w:val="26"/>
        </w:rPr>
        <w:t>citing OCA St. 3 at 2-5</w:t>
      </w:r>
      <w:r w:rsidR="005D6545">
        <w:rPr>
          <w:sz w:val="26"/>
          <w:szCs w:val="26"/>
        </w:rPr>
        <w:t>)</w:t>
      </w:r>
      <w:r w:rsidR="00A70847" w:rsidRPr="00787A9E">
        <w:rPr>
          <w:sz w:val="26"/>
          <w:szCs w:val="26"/>
        </w:rPr>
        <w:t>.  The OCA asserted that the testimony of HVUS</w:t>
      </w:r>
      <w:r w:rsidR="00A424DB">
        <w:rPr>
          <w:sz w:val="26"/>
          <w:szCs w:val="26"/>
        </w:rPr>
        <w:t>’</w:t>
      </w:r>
      <w:r w:rsidR="00A70847" w:rsidRPr="00787A9E">
        <w:rPr>
          <w:sz w:val="26"/>
          <w:szCs w:val="26"/>
        </w:rPr>
        <w:t xml:space="preserve">s customers, provided at </w:t>
      </w:r>
      <w:r w:rsidR="00781ED7" w:rsidRPr="00787A9E">
        <w:rPr>
          <w:sz w:val="26"/>
          <w:szCs w:val="26"/>
        </w:rPr>
        <w:t xml:space="preserve">the </w:t>
      </w:r>
      <w:r w:rsidR="00A70847" w:rsidRPr="00787A9E">
        <w:rPr>
          <w:sz w:val="26"/>
          <w:szCs w:val="26"/>
        </w:rPr>
        <w:t xml:space="preserve">two public input hearings in this proceeding, confirms that sequestration has not been effective and that the water HVUS provides is not suitable to be used for household </w:t>
      </w:r>
      <w:r w:rsidR="00A70847" w:rsidRPr="00787A9E">
        <w:rPr>
          <w:sz w:val="26"/>
          <w:szCs w:val="26"/>
        </w:rPr>
        <w:lastRenderedPageBreak/>
        <w:t>purposes.  More specifically, the OCA noted that HVUS</w:t>
      </w:r>
      <w:r w:rsidR="00A424DB">
        <w:rPr>
          <w:sz w:val="26"/>
          <w:szCs w:val="26"/>
        </w:rPr>
        <w:t>’</w:t>
      </w:r>
      <w:r w:rsidR="00A70847" w:rsidRPr="00787A9E">
        <w:rPr>
          <w:sz w:val="26"/>
          <w:szCs w:val="26"/>
        </w:rPr>
        <w:t xml:space="preserve">s customers testified, </w:t>
      </w:r>
      <w:r w:rsidR="00A70847" w:rsidRPr="00787A9E">
        <w:rPr>
          <w:i/>
          <w:sz w:val="26"/>
          <w:szCs w:val="26"/>
        </w:rPr>
        <w:t xml:space="preserve">inter alia, </w:t>
      </w:r>
      <w:r w:rsidR="00A70847" w:rsidRPr="00787A9E">
        <w:rPr>
          <w:sz w:val="26"/>
          <w:szCs w:val="26"/>
        </w:rPr>
        <w:t>(1) that the water is discolored and brown; (2) that the water pressure is low or inconsistent; (3) that they only use bottled water for drinking, cooking, and other household activities because the water provided by HVUS is not safe to drink and has caused dirty or ruined laundry; (4) that the poor water quality has stained toilets, bathtubs, and other appliances which has caused reduced appliance life and has required that these items be replaced; and (5) that although some of HVUS</w:t>
      </w:r>
      <w:r w:rsidR="00A424DB">
        <w:rPr>
          <w:sz w:val="26"/>
          <w:szCs w:val="26"/>
        </w:rPr>
        <w:t>’</w:t>
      </w:r>
      <w:r w:rsidR="00A70847" w:rsidRPr="00787A9E">
        <w:rPr>
          <w:sz w:val="26"/>
          <w:szCs w:val="26"/>
        </w:rPr>
        <w:t xml:space="preserve">s customers have purchased home filtration systems, the dirty water has caused the customers to need to quickly replace these systems.  OCA M.B. at 29-31 </w:t>
      </w:r>
      <w:r w:rsidR="00294EB2" w:rsidRPr="00787A9E">
        <w:rPr>
          <w:sz w:val="26"/>
          <w:szCs w:val="26"/>
        </w:rPr>
        <w:t>(</w:t>
      </w:r>
      <w:r w:rsidR="00A70847" w:rsidRPr="00787A9E">
        <w:rPr>
          <w:sz w:val="26"/>
          <w:szCs w:val="26"/>
        </w:rPr>
        <w:t>citing Tr. at 36-206</w:t>
      </w:r>
      <w:r w:rsidR="00294EB2" w:rsidRPr="00787A9E">
        <w:rPr>
          <w:sz w:val="26"/>
          <w:szCs w:val="26"/>
        </w:rPr>
        <w:t>)</w:t>
      </w:r>
      <w:r w:rsidR="00A70847" w:rsidRPr="00787A9E">
        <w:rPr>
          <w:sz w:val="26"/>
          <w:szCs w:val="26"/>
        </w:rPr>
        <w:t>.</w:t>
      </w:r>
    </w:p>
    <w:p w14:paraId="36B5389B" w14:textId="77777777" w:rsidR="00A70847" w:rsidRPr="00787A9E" w:rsidRDefault="00A70847" w:rsidP="00FD1A00">
      <w:pPr>
        <w:ind w:firstLine="1440"/>
        <w:contextualSpacing/>
        <w:rPr>
          <w:sz w:val="26"/>
          <w:szCs w:val="26"/>
        </w:rPr>
      </w:pPr>
    </w:p>
    <w:p w14:paraId="61495957" w14:textId="196D119A" w:rsidR="00A70847" w:rsidRPr="00787A9E" w:rsidRDefault="00A70847" w:rsidP="00FD1A00">
      <w:pPr>
        <w:ind w:firstLine="1440"/>
        <w:contextualSpacing/>
        <w:rPr>
          <w:sz w:val="26"/>
          <w:szCs w:val="26"/>
        </w:rPr>
      </w:pPr>
      <w:r w:rsidRPr="00787A9E">
        <w:rPr>
          <w:sz w:val="26"/>
          <w:szCs w:val="26"/>
        </w:rPr>
        <w:t>Similarly, the OCA alleged that HVUS improperly operates and equips its wastewater treatment and pumping facilities.  Namely, the OCA pointed out that HVUS does not have backup pumps installed at its pumping stations.  The OCA emphasized that proper operation of these facilities is important in preventing contamination of streams and groundwater.  Additionally, the OCA averred that as a result of the Company</w:t>
      </w:r>
      <w:r w:rsidR="00A424DB">
        <w:rPr>
          <w:sz w:val="26"/>
          <w:szCs w:val="26"/>
        </w:rPr>
        <w:t>’</w:t>
      </w:r>
      <w:r w:rsidRPr="00787A9E">
        <w:rPr>
          <w:sz w:val="26"/>
          <w:szCs w:val="26"/>
        </w:rPr>
        <w:t>s improper maintenance of its pumping stations, it is possible for sewage to back up into customer homes and buildings.  OCA M.B. at 40-42.</w:t>
      </w:r>
    </w:p>
    <w:p w14:paraId="2677D7A4" w14:textId="77777777" w:rsidR="004B2238" w:rsidRPr="00787A9E" w:rsidRDefault="004B2238" w:rsidP="00FD1A00">
      <w:pPr>
        <w:ind w:firstLine="1440"/>
        <w:contextualSpacing/>
        <w:rPr>
          <w:sz w:val="26"/>
          <w:szCs w:val="26"/>
        </w:rPr>
      </w:pPr>
    </w:p>
    <w:p w14:paraId="55F53FF0" w14:textId="4027C59F" w:rsidR="00A70847" w:rsidRPr="00787A9E" w:rsidRDefault="00A70847" w:rsidP="00FD1A00">
      <w:pPr>
        <w:ind w:firstLine="1440"/>
        <w:contextualSpacing/>
        <w:rPr>
          <w:sz w:val="26"/>
          <w:szCs w:val="26"/>
        </w:rPr>
      </w:pPr>
      <w:r w:rsidRPr="00787A9E">
        <w:rPr>
          <w:sz w:val="26"/>
          <w:szCs w:val="26"/>
        </w:rPr>
        <w:t xml:space="preserve">The OCA </w:t>
      </w:r>
      <w:r w:rsidR="00B54ABF" w:rsidRPr="00787A9E">
        <w:rPr>
          <w:sz w:val="26"/>
          <w:szCs w:val="26"/>
        </w:rPr>
        <w:t>stressed</w:t>
      </w:r>
      <w:r w:rsidRPr="00787A9E">
        <w:rPr>
          <w:sz w:val="26"/>
          <w:szCs w:val="26"/>
        </w:rPr>
        <w:t xml:space="preserve"> that the Company has had longstanding water quality issues.  As background, the OCA explained that many of the same issues raised in the instant case were also raised both in the 2004 Application</w:t>
      </w:r>
      <w:r w:rsidR="00781ED7" w:rsidRPr="00787A9E">
        <w:rPr>
          <w:sz w:val="26"/>
          <w:szCs w:val="26"/>
        </w:rPr>
        <w:t>s</w:t>
      </w:r>
      <w:r w:rsidRPr="00787A9E">
        <w:rPr>
          <w:sz w:val="26"/>
          <w:szCs w:val="26"/>
        </w:rPr>
        <w:t xml:space="preserve"> </w:t>
      </w:r>
      <w:r w:rsidR="00781ED7" w:rsidRPr="00787A9E">
        <w:rPr>
          <w:sz w:val="26"/>
          <w:szCs w:val="26"/>
        </w:rPr>
        <w:t>p</w:t>
      </w:r>
      <w:r w:rsidRPr="00787A9E">
        <w:rPr>
          <w:sz w:val="26"/>
          <w:szCs w:val="26"/>
        </w:rPr>
        <w:t>roceeding</w:t>
      </w:r>
      <w:r w:rsidR="00781ED7" w:rsidRPr="00787A9E">
        <w:rPr>
          <w:sz w:val="26"/>
          <w:szCs w:val="26"/>
        </w:rPr>
        <w:t>s</w:t>
      </w:r>
      <w:r w:rsidRPr="00787A9E">
        <w:rPr>
          <w:sz w:val="26"/>
          <w:szCs w:val="26"/>
        </w:rPr>
        <w:t xml:space="preserve"> that established HVUS as a public utility and in the </w:t>
      </w:r>
      <w:r w:rsidRPr="00787A9E">
        <w:rPr>
          <w:i/>
          <w:sz w:val="26"/>
          <w:szCs w:val="26"/>
        </w:rPr>
        <w:t xml:space="preserve">McCloskey </w:t>
      </w:r>
      <w:r w:rsidRPr="00787A9E">
        <w:rPr>
          <w:sz w:val="26"/>
          <w:szCs w:val="26"/>
        </w:rPr>
        <w:t>proceeding</w:t>
      </w:r>
      <w:r w:rsidR="009D079D">
        <w:rPr>
          <w:sz w:val="26"/>
          <w:szCs w:val="26"/>
        </w:rPr>
        <w:t>s</w:t>
      </w:r>
      <w:r w:rsidRPr="00787A9E">
        <w:rPr>
          <w:sz w:val="26"/>
          <w:szCs w:val="26"/>
        </w:rPr>
        <w:t xml:space="preserve">.  The OCA noted that in the </w:t>
      </w:r>
      <w:r w:rsidRPr="00787A9E">
        <w:rPr>
          <w:i/>
          <w:sz w:val="26"/>
          <w:szCs w:val="26"/>
        </w:rPr>
        <w:t xml:space="preserve">January 2018 McCloskey Order, </w:t>
      </w:r>
      <w:r w:rsidRPr="00787A9E">
        <w:rPr>
          <w:sz w:val="26"/>
          <w:szCs w:val="26"/>
        </w:rPr>
        <w:t xml:space="preserve">the Commission determined that HVUS violated Section 1501 of the Code by failing to provide reasonable and adequate service to its water and wastewater customers and applied a one-year deadline for the Company to take corrective measures.  Further, the OCA noted that in the </w:t>
      </w:r>
      <w:r w:rsidRPr="00787A9E">
        <w:rPr>
          <w:i/>
          <w:sz w:val="26"/>
          <w:szCs w:val="26"/>
        </w:rPr>
        <w:t xml:space="preserve">January 2018 McCloskey Order, </w:t>
      </w:r>
      <w:r w:rsidRPr="00787A9E">
        <w:rPr>
          <w:sz w:val="26"/>
          <w:szCs w:val="26"/>
        </w:rPr>
        <w:t>the Commission ruled that HVUS failed to properly maintain its wastewater treatment plant and directed the Company to file an Engineer</w:t>
      </w:r>
      <w:r w:rsidR="00A424DB">
        <w:rPr>
          <w:sz w:val="26"/>
          <w:szCs w:val="26"/>
        </w:rPr>
        <w:t>’</w:t>
      </w:r>
      <w:r w:rsidRPr="00787A9E">
        <w:rPr>
          <w:sz w:val="26"/>
          <w:szCs w:val="26"/>
        </w:rPr>
        <w:t xml:space="preserve">s Report by April of 2018.  OCA M.B. at 35, 41-46 </w:t>
      </w:r>
      <w:r w:rsidR="00294EB2" w:rsidRPr="00787A9E">
        <w:rPr>
          <w:sz w:val="26"/>
          <w:szCs w:val="26"/>
        </w:rPr>
        <w:t>(</w:t>
      </w:r>
      <w:r w:rsidRPr="00787A9E">
        <w:rPr>
          <w:sz w:val="26"/>
          <w:szCs w:val="26"/>
        </w:rPr>
        <w:t xml:space="preserve">citing </w:t>
      </w:r>
      <w:r w:rsidRPr="00787A9E">
        <w:rPr>
          <w:i/>
          <w:sz w:val="26"/>
          <w:szCs w:val="26"/>
        </w:rPr>
        <w:t xml:space="preserve">January 2018 McCloskey Order </w:t>
      </w:r>
      <w:r w:rsidRPr="00787A9E">
        <w:rPr>
          <w:sz w:val="26"/>
          <w:szCs w:val="26"/>
        </w:rPr>
        <w:t>at 23, 31, 50, 62</w:t>
      </w:r>
      <w:r w:rsidR="00294EB2" w:rsidRPr="00787A9E">
        <w:rPr>
          <w:sz w:val="26"/>
          <w:szCs w:val="26"/>
        </w:rPr>
        <w:t>)</w:t>
      </w:r>
      <w:r w:rsidRPr="00787A9E">
        <w:rPr>
          <w:sz w:val="26"/>
          <w:szCs w:val="26"/>
        </w:rPr>
        <w:t xml:space="preserve">.  The OCA </w:t>
      </w:r>
      <w:r w:rsidR="00B54ABF" w:rsidRPr="00787A9E">
        <w:rPr>
          <w:sz w:val="26"/>
          <w:szCs w:val="26"/>
        </w:rPr>
        <w:lastRenderedPageBreak/>
        <w:t xml:space="preserve">explained </w:t>
      </w:r>
      <w:r w:rsidRPr="00787A9E">
        <w:rPr>
          <w:sz w:val="26"/>
          <w:szCs w:val="26"/>
        </w:rPr>
        <w:t>that the Engineer</w:t>
      </w:r>
      <w:r w:rsidR="00A424DB">
        <w:rPr>
          <w:sz w:val="26"/>
          <w:szCs w:val="26"/>
        </w:rPr>
        <w:t>’</w:t>
      </w:r>
      <w:r w:rsidRPr="00787A9E">
        <w:rPr>
          <w:sz w:val="26"/>
          <w:szCs w:val="26"/>
        </w:rPr>
        <w:t>s Report identified seventy-five projects that need to be completed by HVUS, but that sixty-four have not yet been started.  Further, the OCA noted that the Engineer</w:t>
      </w:r>
      <w:r w:rsidR="00A424DB">
        <w:rPr>
          <w:sz w:val="26"/>
          <w:szCs w:val="26"/>
        </w:rPr>
        <w:t>’</w:t>
      </w:r>
      <w:r w:rsidRPr="00787A9E">
        <w:rPr>
          <w:sz w:val="26"/>
          <w:szCs w:val="26"/>
        </w:rPr>
        <w:t xml:space="preserve">s Report contained no remedy to address the iron and manganese problems.  OCA M.B. at 34, 41.  </w:t>
      </w:r>
    </w:p>
    <w:p w14:paraId="3CA2B227" w14:textId="77777777" w:rsidR="00A70847" w:rsidRPr="00787A9E" w:rsidRDefault="00A70847" w:rsidP="00FD1A00">
      <w:pPr>
        <w:ind w:firstLine="1440"/>
        <w:contextualSpacing/>
        <w:rPr>
          <w:sz w:val="26"/>
          <w:szCs w:val="26"/>
        </w:rPr>
      </w:pPr>
    </w:p>
    <w:p w14:paraId="48996573" w14:textId="380B2674" w:rsidR="00A70847" w:rsidRPr="00787A9E" w:rsidRDefault="00A70847" w:rsidP="00FD1A00">
      <w:pPr>
        <w:ind w:firstLine="1440"/>
        <w:contextualSpacing/>
        <w:rPr>
          <w:sz w:val="26"/>
          <w:szCs w:val="26"/>
        </w:rPr>
      </w:pPr>
      <w:r w:rsidRPr="00787A9E">
        <w:rPr>
          <w:sz w:val="26"/>
          <w:szCs w:val="26"/>
        </w:rPr>
        <w:t>The OCA argued that part of the rates that the Company</w:t>
      </w:r>
      <w:r w:rsidR="00A424DB">
        <w:rPr>
          <w:sz w:val="26"/>
          <w:szCs w:val="26"/>
        </w:rPr>
        <w:t>’</w:t>
      </w:r>
      <w:r w:rsidRPr="00787A9E">
        <w:rPr>
          <w:sz w:val="26"/>
          <w:szCs w:val="26"/>
        </w:rPr>
        <w:t>s customers pay goes toward the maintenance of the water and wastewater system.  However, the OCA pointed out that in the instant case, HVUS does not include any expenses or capital projects that will improve its service by solving the iron and manganese problems or to address the myriad of issues identified in the Engineer</w:t>
      </w:r>
      <w:r w:rsidR="00A424DB">
        <w:rPr>
          <w:sz w:val="26"/>
          <w:szCs w:val="26"/>
        </w:rPr>
        <w:t>’</w:t>
      </w:r>
      <w:r w:rsidRPr="00787A9E">
        <w:rPr>
          <w:sz w:val="26"/>
          <w:szCs w:val="26"/>
        </w:rPr>
        <w:t>s Report.  Accordingly, in light of the Company</w:t>
      </w:r>
      <w:r w:rsidR="00A424DB">
        <w:rPr>
          <w:sz w:val="26"/>
          <w:szCs w:val="26"/>
        </w:rPr>
        <w:t>’</w:t>
      </w:r>
      <w:r w:rsidRPr="00787A9E">
        <w:rPr>
          <w:sz w:val="26"/>
          <w:szCs w:val="26"/>
        </w:rPr>
        <w:t>s continued failure to provide safe, adequate, and reliable service, the OCA opposed the Non-Unanimous Settlement reached by HVUS and I&amp;E.  In the OCA</w:t>
      </w:r>
      <w:r w:rsidR="00A424DB">
        <w:rPr>
          <w:sz w:val="26"/>
          <w:szCs w:val="26"/>
        </w:rPr>
        <w:t>’</w:t>
      </w:r>
      <w:r w:rsidRPr="00787A9E">
        <w:rPr>
          <w:sz w:val="26"/>
          <w:szCs w:val="26"/>
        </w:rPr>
        <w:t>s view, the Commission should exercise its authority under Sections 523 and 526 of the Code and should deny HVUS</w:t>
      </w:r>
      <w:r w:rsidR="00A424DB">
        <w:rPr>
          <w:sz w:val="26"/>
          <w:szCs w:val="26"/>
        </w:rPr>
        <w:t>’</w:t>
      </w:r>
      <w:r w:rsidRPr="00787A9E">
        <w:rPr>
          <w:sz w:val="26"/>
          <w:szCs w:val="26"/>
        </w:rPr>
        <w:t>s proposed rate increase</w:t>
      </w:r>
      <w:r w:rsidR="00E6483B" w:rsidRPr="00787A9E">
        <w:rPr>
          <w:sz w:val="26"/>
          <w:szCs w:val="26"/>
        </w:rPr>
        <w:t>s</w:t>
      </w:r>
      <w:r w:rsidRPr="00787A9E">
        <w:rPr>
          <w:sz w:val="26"/>
          <w:szCs w:val="26"/>
        </w:rPr>
        <w:t xml:space="preserve"> until such time as the Company</w:t>
      </w:r>
      <w:r w:rsidR="00A424DB">
        <w:rPr>
          <w:sz w:val="26"/>
          <w:szCs w:val="26"/>
        </w:rPr>
        <w:t>’</w:t>
      </w:r>
      <w:r w:rsidRPr="00787A9E">
        <w:rPr>
          <w:sz w:val="26"/>
          <w:szCs w:val="26"/>
        </w:rPr>
        <w:t xml:space="preserve">s </w:t>
      </w:r>
      <w:r w:rsidR="00E6483B" w:rsidRPr="00787A9E">
        <w:rPr>
          <w:sz w:val="26"/>
          <w:szCs w:val="26"/>
        </w:rPr>
        <w:t>c</w:t>
      </w:r>
      <w:r w:rsidRPr="00787A9E">
        <w:rPr>
          <w:sz w:val="26"/>
          <w:szCs w:val="26"/>
        </w:rPr>
        <w:t xml:space="preserve">ustomers are receiving safe, adequate, and reliable service.  The OCA took the position that the denial of a rate increase at this time is not a </w:t>
      </w:r>
      <w:r w:rsidR="00A424DB">
        <w:rPr>
          <w:sz w:val="26"/>
          <w:szCs w:val="26"/>
        </w:rPr>
        <w:t>“</w:t>
      </w:r>
      <w:r w:rsidRPr="00787A9E">
        <w:rPr>
          <w:sz w:val="26"/>
          <w:szCs w:val="26"/>
        </w:rPr>
        <w:t>sanction</w:t>
      </w:r>
      <w:r w:rsidR="00A424DB">
        <w:rPr>
          <w:sz w:val="26"/>
          <w:szCs w:val="26"/>
        </w:rPr>
        <w:t>”</w:t>
      </w:r>
      <w:r w:rsidRPr="00787A9E">
        <w:rPr>
          <w:sz w:val="26"/>
          <w:szCs w:val="26"/>
        </w:rPr>
        <w:t xml:space="preserve"> against the Company, but rather, is a regulatory response grounded in the Code and in Commission precedent based upon the Company</w:t>
      </w:r>
      <w:r w:rsidR="00A424DB">
        <w:rPr>
          <w:sz w:val="26"/>
          <w:szCs w:val="26"/>
        </w:rPr>
        <w:t>’</w:t>
      </w:r>
      <w:r w:rsidRPr="00787A9E">
        <w:rPr>
          <w:sz w:val="26"/>
          <w:szCs w:val="26"/>
        </w:rPr>
        <w:t>s obligation to comply with Section 1501 in exchange for the ability to charge Commission</w:t>
      </w:r>
      <w:r w:rsidRPr="00787A9E">
        <w:rPr>
          <w:sz w:val="26"/>
          <w:szCs w:val="26"/>
        </w:rPr>
        <w:noBreakHyphen/>
        <w:t xml:space="preserve">made rates.  OCA M.B. at 18, 24, 34, 49.  </w:t>
      </w:r>
    </w:p>
    <w:p w14:paraId="3FD5BA1B" w14:textId="77777777" w:rsidR="007D6E74" w:rsidRPr="00787A9E" w:rsidRDefault="007D6E74" w:rsidP="00FD1A00">
      <w:pPr>
        <w:pStyle w:val="Default"/>
        <w:spacing w:line="360" w:lineRule="auto"/>
        <w:ind w:firstLine="1440"/>
        <w:contextualSpacing/>
        <w:rPr>
          <w:sz w:val="26"/>
          <w:szCs w:val="26"/>
        </w:rPr>
      </w:pPr>
    </w:p>
    <w:p w14:paraId="055162AC" w14:textId="6582BE79" w:rsidR="00AA4610" w:rsidRPr="00787A9E" w:rsidRDefault="00057DC7" w:rsidP="00FD1A00">
      <w:pPr>
        <w:pStyle w:val="Default"/>
        <w:keepNext/>
        <w:keepLines/>
        <w:numPr>
          <w:ilvl w:val="0"/>
          <w:numId w:val="23"/>
        </w:numPr>
        <w:spacing w:line="360" w:lineRule="auto"/>
        <w:ind w:left="2520"/>
        <w:contextualSpacing/>
        <w:rPr>
          <w:b/>
          <w:sz w:val="26"/>
          <w:szCs w:val="26"/>
        </w:rPr>
      </w:pPr>
      <w:r w:rsidRPr="00787A9E">
        <w:rPr>
          <w:b/>
          <w:sz w:val="26"/>
          <w:szCs w:val="26"/>
        </w:rPr>
        <w:tab/>
      </w:r>
      <w:r w:rsidR="00AA4610" w:rsidRPr="00787A9E">
        <w:rPr>
          <w:b/>
          <w:sz w:val="26"/>
          <w:szCs w:val="26"/>
        </w:rPr>
        <w:t>The Foundation</w:t>
      </w:r>
      <w:r w:rsidR="00A424DB">
        <w:rPr>
          <w:b/>
          <w:sz w:val="26"/>
          <w:szCs w:val="26"/>
        </w:rPr>
        <w:t>’</w:t>
      </w:r>
      <w:r w:rsidR="00AA4610" w:rsidRPr="00787A9E">
        <w:rPr>
          <w:b/>
          <w:sz w:val="26"/>
          <w:szCs w:val="26"/>
        </w:rPr>
        <w:t>s Position</w:t>
      </w:r>
    </w:p>
    <w:p w14:paraId="1E431131" w14:textId="77777777" w:rsidR="00AA4610" w:rsidRPr="00787A9E" w:rsidRDefault="00AA4610" w:rsidP="00FD1A00">
      <w:pPr>
        <w:pStyle w:val="Default"/>
        <w:keepNext/>
        <w:keepLines/>
        <w:spacing w:line="360" w:lineRule="auto"/>
        <w:ind w:firstLine="1440"/>
        <w:contextualSpacing/>
        <w:rPr>
          <w:sz w:val="26"/>
          <w:szCs w:val="26"/>
        </w:rPr>
      </w:pPr>
    </w:p>
    <w:p w14:paraId="0DF73AD4" w14:textId="6D431D69" w:rsidR="00A70847" w:rsidRPr="00787A9E" w:rsidRDefault="00A70847" w:rsidP="00FD1A00">
      <w:pPr>
        <w:ind w:firstLine="1440"/>
        <w:contextualSpacing/>
        <w:rPr>
          <w:sz w:val="26"/>
          <w:szCs w:val="26"/>
        </w:rPr>
      </w:pPr>
      <w:r w:rsidRPr="00787A9E">
        <w:rPr>
          <w:sz w:val="26"/>
          <w:szCs w:val="26"/>
        </w:rPr>
        <w:t>The Foundation joined the OCA in opposing the Non-Unanimous Settlement.  Like the OCA, the Foundation contended that the Commission should deny HVUS</w:t>
      </w:r>
      <w:r w:rsidR="00A424DB">
        <w:rPr>
          <w:sz w:val="26"/>
          <w:szCs w:val="26"/>
        </w:rPr>
        <w:t>’</w:t>
      </w:r>
      <w:r w:rsidRPr="00787A9E">
        <w:rPr>
          <w:sz w:val="26"/>
          <w:szCs w:val="26"/>
        </w:rPr>
        <w:t>s request for increases to its water and wastewater service rates because the Company continues to provide inadequate, unsafe, and unreasonable service, which runs contrary to a public utility</w:t>
      </w:r>
      <w:r w:rsidR="00A424DB">
        <w:rPr>
          <w:sz w:val="26"/>
          <w:szCs w:val="26"/>
        </w:rPr>
        <w:t>’</w:t>
      </w:r>
      <w:r w:rsidRPr="00787A9E">
        <w:rPr>
          <w:sz w:val="26"/>
          <w:szCs w:val="26"/>
        </w:rPr>
        <w:t>s obligations under Section 1501 of the Code.  The Foundation echoed the OCA in highlighting the testimony of HVUS</w:t>
      </w:r>
      <w:r w:rsidR="00A424DB">
        <w:rPr>
          <w:sz w:val="26"/>
          <w:szCs w:val="26"/>
        </w:rPr>
        <w:t>’</w:t>
      </w:r>
      <w:r w:rsidRPr="00787A9E">
        <w:rPr>
          <w:sz w:val="26"/>
          <w:szCs w:val="26"/>
        </w:rPr>
        <w:t>s customers as to the wide range of problems they have experienced with the Company</w:t>
      </w:r>
      <w:r w:rsidR="00A424DB">
        <w:rPr>
          <w:sz w:val="26"/>
          <w:szCs w:val="26"/>
        </w:rPr>
        <w:t>’</w:t>
      </w:r>
      <w:r w:rsidRPr="00787A9E">
        <w:rPr>
          <w:sz w:val="26"/>
          <w:szCs w:val="26"/>
        </w:rPr>
        <w:t xml:space="preserve">s water service.  The Foundation </w:t>
      </w:r>
      <w:r w:rsidRPr="00787A9E">
        <w:rPr>
          <w:sz w:val="26"/>
          <w:szCs w:val="26"/>
        </w:rPr>
        <w:lastRenderedPageBreak/>
        <w:t>emphasized that although the water has been deemed technically safe for drinking, it is undrinkable for practical purposes and is not suitable for other basic household purposes because of the continued presence of high levels of impurities.  Further, the Foundation pointed out that HVUS has failed to meet its burden of proving that its rates are just and reasonable under Section 1301 of the Code.  The Foundation noted that a series of cases in Pennsylvania have held that, until the quality of service improved, it would be impermissible for a utility</w:t>
      </w:r>
      <w:r w:rsidR="00A424DB">
        <w:rPr>
          <w:sz w:val="26"/>
          <w:szCs w:val="26"/>
        </w:rPr>
        <w:t>’</w:t>
      </w:r>
      <w:r w:rsidRPr="00787A9E">
        <w:rPr>
          <w:sz w:val="26"/>
          <w:szCs w:val="26"/>
        </w:rPr>
        <w:t>s effective rates to provide a return that might be considered to be confiscatory.  The Foundation stressed that because HVUS has failed to resolve its adequacy of service issues that were raised in the 2004 Application</w:t>
      </w:r>
      <w:r w:rsidR="004B48E7" w:rsidRPr="00787A9E">
        <w:rPr>
          <w:sz w:val="26"/>
          <w:szCs w:val="26"/>
        </w:rPr>
        <w:t>s</w:t>
      </w:r>
      <w:r w:rsidRPr="00787A9E">
        <w:rPr>
          <w:sz w:val="26"/>
          <w:szCs w:val="26"/>
        </w:rPr>
        <w:t xml:space="preserve"> </w:t>
      </w:r>
      <w:r w:rsidR="004B48E7" w:rsidRPr="00787A9E">
        <w:rPr>
          <w:sz w:val="26"/>
          <w:szCs w:val="26"/>
        </w:rPr>
        <w:t>p</w:t>
      </w:r>
      <w:r w:rsidRPr="00787A9E">
        <w:rPr>
          <w:sz w:val="26"/>
          <w:szCs w:val="26"/>
        </w:rPr>
        <w:t>roceeding</w:t>
      </w:r>
      <w:r w:rsidR="004B48E7" w:rsidRPr="00787A9E">
        <w:rPr>
          <w:sz w:val="26"/>
          <w:szCs w:val="26"/>
        </w:rPr>
        <w:t>s</w:t>
      </w:r>
      <w:r w:rsidRPr="00787A9E">
        <w:rPr>
          <w:sz w:val="26"/>
          <w:szCs w:val="26"/>
        </w:rPr>
        <w:t xml:space="preserve">, the </w:t>
      </w:r>
      <w:r w:rsidR="005D6545">
        <w:rPr>
          <w:i/>
          <w:sz w:val="26"/>
          <w:szCs w:val="26"/>
        </w:rPr>
        <w:t xml:space="preserve">McCloskey </w:t>
      </w:r>
      <w:r w:rsidR="005D6545">
        <w:rPr>
          <w:sz w:val="26"/>
          <w:szCs w:val="26"/>
        </w:rPr>
        <w:t>proceeding</w:t>
      </w:r>
      <w:r w:rsidR="009D079D">
        <w:rPr>
          <w:sz w:val="26"/>
          <w:szCs w:val="26"/>
        </w:rPr>
        <w:t>s</w:t>
      </w:r>
      <w:r w:rsidRPr="00787A9E">
        <w:rPr>
          <w:sz w:val="26"/>
          <w:szCs w:val="26"/>
        </w:rPr>
        <w:t>, and again in the instant case, the Commission is obligated to set rates which reflect such inadequacy of service.  The Foundation insisted that ratepayers should not be required to provide funds to a utility so that the utility may at some future time provide adequate service.  Instead, the Foundation contended that only after improvements are made to ensure such service is provided should the ratepayers then have the obligation to pay for these improvements.  Foundation M.B. at 4-11.</w:t>
      </w:r>
    </w:p>
    <w:p w14:paraId="60988911" w14:textId="77777777" w:rsidR="00A70847" w:rsidRPr="00787A9E" w:rsidRDefault="00A70847" w:rsidP="00FD1A00">
      <w:pPr>
        <w:ind w:firstLine="1440"/>
        <w:contextualSpacing/>
        <w:rPr>
          <w:sz w:val="26"/>
          <w:szCs w:val="26"/>
        </w:rPr>
      </w:pPr>
    </w:p>
    <w:p w14:paraId="56CF37E7" w14:textId="2D03ED54" w:rsidR="007D6E74" w:rsidRPr="00787A9E" w:rsidRDefault="007D6E74" w:rsidP="00FD1A00">
      <w:pPr>
        <w:pStyle w:val="Heading4"/>
        <w:keepLines/>
        <w:numPr>
          <w:ilvl w:val="0"/>
          <w:numId w:val="14"/>
        </w:numPr>
        <w:ind w:left="1800"/>
        <w:contextualSpacing/>
        <w:jc w:val="left"/>
      </w:pPr>
      <w:r w:rsidRPr="00787A9E">
        <w:tab/>
        <w:t>ALJs</w:t>
      </w:r>
      <w:r w:rsidR="00A424DB">
        <w:t>’</w:t>
      </w:r>
      <w:r w:rsidRPr="00787A9E">
        <w:t xml:space="preserve"> Recommendation</w:t>
      </w:r>
    </w:p>
    <w:p w14:paraId="66A073E1" w14:textId="77777777" w:rsidR="008F03ED" w:rsidRPr="00787A9E" w:rsidRDefault="008F03ED" w:rsidP="00FD1A00">
      <w:pPr>
        <w:pStyle w:val="Default"/>
        <w:keepNext/>
        <w:keepLines/>
        <w:spacing w:line="360" w:lineRule="auto"/>
        <w:ind w:firstLine="1440"/>
        <w:contextualSpacing/>
        <w:rPr>
          <w:sz w:val="26"/>
          <w:szCs w:val="26"/>
        </w:rPr>
      </w:pPr>
    </w:p>
    <w:p w14:paraId="348A6C36" w14:textId="488AF650" w:rsidR="00B86F24" w:rsidRPr="00787A9E" w:rsidRDefault="00B86F24" w:rsidP="00FD1A00">
      <w:pPr>
        <w:autoSpaceDE w:val="0"/>
        <w:autoSpaceDN w:val="0"/>
        <w:adjustRightInd w:val="0"/>
        <w:ind w:firstLine="1440"/>
        <w:contextualSpacing/>
        <w:rPr>
          <w:sz w:val="26"/>
          <w:szCs w:val="26"/>
          <w:lang w:val="en"/>
        </w:rPr>
      </w:pPr>
      <w:r w:rsidRPr="00787A9E">
        <w:rPr>
          <w:sz w:val="26"/>
          <w:szCs w:val="26"/>
          <w:lang w:val="en"/>
        </w:rPr>
        <w:t xml:space="preserve">Similar to their analysis </w:t>
      </w:r>
      <w:r w:rsidR="00916E13" w:rsidRPr="00787A9E">
        <w:rPr>
          <w:sz w:val="26"/>
          <w:szCs w:val="26"/>
          <w:lang w:val="en"/>
        </w:rPr>
        <w:t>of</w:t>
      </w:r>
      <w:r w:rsidRPr="00787A9E">
        <w:rPr>
          <w:sz w:val="26"/>
          <w:szCs w:val="26"/>
          <w:lang w:val="en"/>
        </w:rPr>
        <w:t xml:space="preserve"> the </w:t>
      </w:r>
      <w:r w:rsidR="00916E13" w:rsidRPr="00787A9E">
        <w:rPr>
          <w:sz w:val="26"/>
          <w:szCs w:val="26"/>
          <w:lang w:val="en"/>
        </w:rPr>
        <w:t>Non-Unanimous</w:t>
      </w:r>
      <w:r w:rsidRPr="00787A9E">
        <w:rPr>
          <w:sz w:val="26"/>
          <w:szCs w:val="26"/>
          <w:lang w:val="en"/>
        </w:rPr>
        <w:t xml:space="preserve"> Settlement, </w:t>
      </w:r>
      <w:r w:rsidR="00AF0104" w:rsidRPr="00787A9E">
        <w:rPr>
          <w:i/>
          <w:sz w:val="26"/>
          <w:szCs w:val="26"/>
          <w:lang w:val="en"/>
        </w:rPr>
        <w:t xml:space="preserve">supra, </w:t>
      </w:r>
      <w:r w:rsidRPr="00787A9E">
        <w:rPr>
          <w:sz w:val="26"/>
          <w:szCs w:val="26"/>
          <w:lang w:val="en"/>
        </w:rPr>
        <w:t>the ALJs found the OCA</w:t>
      </w:r>
      <w:r w:rsidR="00A424DB">
        <w:rPr>
          <w:sz w:val="26"/>
          <w:szCs w:val="26"/>
          <w:lang w:val="en"/>
        </w:rPr>
        <w:t>’</w:t>
      </w:r>
      <w:r w:rsidRPr="00787A9E">
        <w:rPr>
          <w:sz w:val="26"/>
          <w:szCs w:val="26"/>
          <w:lang w:val="en"/>
        </w:rPr>
        <w:t>s arguments to be persuasive</w:t>
      </w:r>
      <w:r w:rsidR="00C748AF" w:rsidRPr="00787A9E">
        <w:rPr>
          <w:sz w:val="26"/>
          <w:szCs w:val="26"/>
          <w:lang w:val="en"/>
        </w:rPr>
        <w:t>.  According to the ALJs,</w:t>
      </w:r>
      <w:r w:rsidRPr="00787A9E">
        <w:rPr>
          <w:sz w:val="26"/>
          <w:szCs w:val="26"/>
          <w:lang w:val="en"/>
        </w:rPr>
        <w:t xml:space="preserve"> the Commission is empowered to deny a request for an increase in rates, in whole or in part, and </w:t>
      </w:r>
      <w:r w:rsidR="00C4098C" w:rsidRPr="00787A9E">
        <w:rPr>
          <w:sz w:val="26"/>
          <w:szCs w:val="26"/>
          <w:lang w:val="en"/>
        </w:rPr>
        <w:t>because</w:t>
      </w:r>
      <w:r w:rsidRPr="00787A9E">
        <w:rPr>
          <w:sz w:val="26"/>
          <w:szCs w:val="26"/>
          <w:lang w:val="en"/>
        </w:rPr>
        <w:t xml:space="preserve"> the circumstances in this proceeding closely </w:t>
      </w:r>
      <w:r w:rsidR="00917976" w:rsidRPr="00787A9E">
        <w:rPr>
          <w:sz w:val="26"/>
          <w:szCs w:val="26"/>
          <w:lang w:val="en"/>
        </w:rPr>
        <w:t xml:space="preserve">follow the </w:t>
      </w:r>
      <w:r w:rsidRPr="00787A9E">
        <w:rPr>
          <w:i/>
          <w:iCs/>
          <w:sz w:val="26"/>
          <w:szCs w:val="26"/>
          <w:lang w:val="en"/>
        </w:rPr>
        <w:t>McCloskey Orders</w:t>
      </w:r>
      <w:r w:rsidR="00C4098C" w:rsidRPr="00787A9E">
        <w:rPr>
          <w:sz w:val="26"/>
          <w:szCs w:val="26"/>
          <w:lang w:val="en"/>
        </w:rPr>
        <w:t xml:space="preserve"> and </w:t>
      </w:r>
      <w:r w:rsidRPr="00787A9E">
        <w:rPr>
          <w:sz w:val="26"/>
          <w:szCs w:val="26"/>
          <w:lang w:val="en"/>
        </w:rPr>
        <w:t>are unusual</w:t>
      </w:r>
      <w:r w:rsidR="00C4098C" w:rsidRPr="00787A9E">
        <w:rPr>
          <w:sz w:val="26"/>
          <w:szCs w:val="26"/>
          <w:lang w:val="en"/>
        </w:rPr>
        <w:t>,</w:t>
      </w:r>
      <w:r w:rsidRPr="00787A9E">
        <w:rPr>
          <w:sz w:val="26"/>
          <w:szCs w:val="26"/>
          <w:lang w:val="en"/>
        </w:rPr>
        <w:t xml:space="preserve"> </w:t>
      </w:r>
      <w:r w:rsidR="00C4098C" w:rsidRPr="00787A9E">
        <w:rPr>
          <w:sz w:val="26"/>
          <w:szCs w:val="26"/>
          <w:lang w:val="en"/>
        </w:rPr>
        <w:t xml:space="preserve">they </w:t>
      </w:r>
      <w:r w:rsidRPr="00787A9E">
        <w:rPr>
          <w:sz w:val="26"/>
          <w:szCs w:val="26"/>
          <w:lang w:val="en"/>
        </w:rPr>
        <w:t xml:space="preserve">necessitate disallowing some of the requested </w:t>
      </w:r>
      <w:r w:rsidR="000531F7" w:rsidRPr="00787A9E">
        <w:rPr>
          <w:sz w:val="26"/>
          <w:szCs w:val="26"/>
          <w:lang w:val="en"/>
        </w:rPr>
        <w:t xml:space="preserve">rate </w:t>
      </w:r>
      <w:r w:rsidRPr="00787A9E">
        <w:rPr>
          <w:sz w:val="26"/>
          <w:szCs w:val="26"/>
          <w:lang w:val="en"/>
        </w:rPr>
        <w:t>increase</w:t>
      </w:r>
      <w:r w:rsidR="003029AC" w:rsidRPr="00787A9E">
        <w:rPr>
          <w:sz w:val="26"/>
          <w:szCs w:val="26"/>
          <w:lang w:val="en"/>
        </w:rPr>
        <w:t>s</w:t>
      </w:r>
      <w:r w:rsidRPr="00787A9E">
        <w:rPr>
          <w:sz w:val="26"/>
          <w:szCs w:val="26"/>
          <w:lang w:val="en"/>
        </w:rPr>
        <w:t>.  The ALJs emphasized that HVUS had over thirteen years to correct the issues with its water and wastewater service but refused to</w:t>
      </w:r>
      <w:r w:rsidR="00C14A30" w:rsidRPr="00787A9E">
        <w:rPr>
          <w:sz w:val="26"/>
          <w:szCs w:val="26"/>
          <w:lang w:val="en"/>
        </w:rPr>
        <w:t xml:space="preserve"> correct them</w:t>
      </w:r>
      <w:r w:rsidRPr="00787A9E">
        <w:rPr>
          <w:sz w:val="26"/>
          <w:szCs w:val="26"/>
          <w:lang w:val="en"/>
        </w:rPr>
        <w:t xml:space="preserve">.  </w:t>
      </w:r>
      <w:r w:rsidR="000531F7" w:rsidRPr="00787A9E">
        <w:rPr>
          <w:sz w:val="26"/>
          <w:szCs w:val="26"/>
          <w:lang w:val="en"/>
        </w:rPr>
        <w:t>R.D. at 33.</w:t>
      </w:r>
    </w:p>
    <w:p w14:paraId="3D66158E" w14:textId="77777777" w:rsidR="00B86F24" w:rsidRPr="00787A9E" w:rsidRDefault="00B86F24" w:rsidP="00FD1A00">
      <w:pPr>
        <w:autoSpaceDE w:val="0"/>
        <w:autoSpaceDN w:val="0"/>
        <w:adjustRightInd w:val="0"/>
        <w:ind w:firstLine="1440"/>
        <w:contextualSpacing/>
        <w:rPr>
          <w:sz w:val="26"/>
          <w:szCs w:val="26"/>
          <w:lang w:val="en"/>
        </w:rPr>
      </w:pPr>
    </w:p>
    <w:p w14:paraId="1055BC6F" w14:textId="74BEFAE6" w:rsidR="00B86F24" w:rsidRPr="005D6545" w:rsidRDefault="00B86F24" w:rsidP="00FD1A00">
      <w:pPr>
        <w:autoSpaceDE w:val="0"/>
        <w:autoSpaceDN w:val="0"/>
        <w:adjustRightInd w:val="0"/>
        <w:ind w:firstLine="1440"/>
        <w:contextualSpacing/>
        <w:rPr>
          <w:sz w:val="26"/>
          <w:szCs w:val="26"/>
          <w:lang w:val="en"/>
        </w:rPr>
      </w:pPr>
      <w:r w:rsidRPr="00787A9E">
        <w:rPr>
          <w:sz w:val="26"/>
          <w:szCs w:val="26"/>
          <w:lang w:val="en"/>
        </w:rPr>
        <w:t xml:space="preserve">The ALJs stated that they </w:t>
      </w:r>
      <w:r w:rsidR="002E3063" w:rsidRPr="00787A9E">
        <w:rPr>
          <w:sz w:val="26"/>
          <w:szCs w:val="26"/>
          <w:lang w:val="en"/>
        </w:rPr>
        <w:t>we</w:t>
      </w:r>
      <w:r w:rsidRPr="00787A9E">
        <w:rPr>
          <w:sz w:val="26"/>
          <w:szCs w:val="26"/>
          <w:lang w:val="en"/>
        </w:rPr>
        <w:t>re not persuaded by the Company</w:t>
      </w:r>
      <w:r w:rsidR="00A424DB">
        <w:rPr>
          <w:sz w:val="26"/>
          <w:szCs w:val="26"/>
          <w:lang w:val="en"/>
        </w:rPr>
        <w:t>’</w:t>
      </w:r>
      <w:r w:rsidRPr="00787A9E">
        <w:rPr>
          <w:sz w:val="26"/>
          <w:szCs w:val="26"/>
          <w:lang w:val="en"/>
        </w:rPr>
        <w:t xml:space="preserve">s testimony that a </w:t>
      </w:r>
      <w:r w:rsidR="00090320" w:rsidRPr="00787A9E">
        <w:rPr>
          <w:sz w:val="26"/>
          <w:szCs w:val="26"/>
          <w:lang w:val="en"/>
        </w:rPr>
        <w:t>significant</w:t>
      </w:r>
      <w:r w:rsidRPr="00787A9E">
        <w:rPr>
          <w:sz w:val="26"/>
          <w:szCs w:val="26"/>
          <w:lang w:val="en"/>
        </w:rPr>
        <w:t xml:space="preserve"> amount of money is needed to make the improvements required by the </w:t>
      </w:r>
      <w:r w:rsidRPr="00787A9E">
        <w:rPr>
          <w:i/>
          <w:iCs/>
          <w:sz w:val="26"/>
          <w:szCs w:val="26"/>
          <w:lang w:val="en"/>
        </w:rPr>
        <w:t>McCloskey Orders</w:t>
      </w:r>
      <w:r w:rsidRPr="00787A9E">
        <w:rPr>
          <w:sz w:val="26"/>
          <w:szCs w:val="26"/>
          <w:lang w:val="en"/>
        </w:rPr>
        <w:t>.  The ALJs dis</w:t>
      </w:r>
      <w:r w:rsidR="00231AE9" w:rsidRPr="00787A9E">
        <w:rPr>
          <w:sz w:val="26"/>
          <w:szCs w:val="26"/>
          <w:lang w:val="en"/>
        </w:rPr>
        <w:t>agreed with</w:t>
      </w:r>
      <w:r w:rsidRPr="00787A9E">
        <w:rPr>
          <w:sz w:val="26"/>
          <w:szCs w:val="26"/>
          <w:lang w:val="en"/>
        </w:rPr>
        <w:t xml:space="preserve"> the Company</w:t>
      </w:r>
      <w:r w:rsidR="00A424DB">
        <w:rPr>
          <w:sz w:val="26"/>
          <w:szCs w:val="26"/>
          <w:lang w:val="en"/>
        </w:rPr>
        <w:t>’</w:t>
      </w:r>
      <w:r w:rsidRPr="00787A9E">
        <w:rPr>
          <w:sz w:val="26"/>
          <w:szCs w:val="26"/>
          <w:lang w:val="en"/>
        </w:rPr>
        <w:t xml:space="preserve">s attempt to blame the </w:t>
      </w:r>
      <w:r w:rsidRPr="00787A9E">
        <w:rPr>
          <w:sz w:val="26"/>
          <w:szCs w:val="26"/>
          <w:lang w:val="en"/>
        </w:rPr>
        <w:lastRenderedPageBreak/>
        <w:t xml:space="preserve">Commission for its failure to meet its responsibilities as a certificated utility, which </w:t>
      </w:r>
      <w:r w:rsidR="00EC2AAC" w:rsidRPr="00787A9E">
        <w:rPr>
          <w:sz w:val="26"/>
          <w:szCs w:val="26"/>
          <w:lang w:val="en"/>
        </w:rPr>
        <w:t xml:space="preserve">includes its obligation </w:t>
      </w:r>
      <w:r w:rsidRPr="00787A9E">
        <w:rPr>
          <w:sz w:val="26"/>
          <w:szCs w:val="26"/>
          <w:lang w:val="en"/>
        </w:rPr>
        <w:t>to provide quality service</w:t>
      </w:r>
      <w:r w:rsidR="002B2500" w:rsidRPr="00787A9E">
        <w:rPr>
          <w:sz w:val="26"/>
          <w:szCs w:val="26"/>
          <w:lang w:val="en"/>
        </w:rPr>
        <w:t xml:space="preserve">.  The ALJs further </w:t>
      </w:r>
      <w:r w:rsidR="00D53C2B" w:rsidRPr="00787A9E">
        <w:rPr>
          <w:sz w:val="26"/>
          <w:szCs w:val="26"/>
          <w:lang w:val="en"/>
        </w:rPr>
        <w:t>rejected</w:t>
      </w:r>
      <w:r w:rsidR="002B2500" w:rsidRPr="00787A9E">
        <w:rPr>
          <w:sz w:val="26"/>
          <w:szCs w:val="26"/>
          <w:lang w:val="en"/>
        </w:rPr>
        <w:t xml:space="preserve"> the Company</w:t>
      </w:r>
      <w:r w:rsidR="00A424DB">
        <w:rPr>
          <w:sz w:val="26"/>
          <w:szCs w:val="26"/>
          <w:lang w:val="en"/>
        </w:rPr>
        <w:t>’</w:t>
      </w:r>
      <w:r w:rsidR="002B2500" w:rsidRPr="00787A9E">
        <w:rPr>
          <w:sz w:val="26"/>
          <w:szCs w:val="26"/>
          <w:lang w:val="en"/>
        </w:rPr>
        <w:t xml:space="preserve">s attempt to </w:t>
      </w:r>
      <w:r w:rsidRPr="00787A9E">
        <w:rPr>
          <w:sz w:val="26"/>
          <w:szCs w:val="26"/>
          <w:lang w:val="en"/>
        </w:rPr>
        <w:t>evok</w:t>
      </w:r>
      <w:r w:rsidR="002B2500" w:rsidRPr="00787A9E">
        <w:rPr>
          <w:sz w:val="26"/>
          <w:szCs w:val="26"/>
          <w:lang w:val="en"/>
        </w:rPr>
        <w:t>e</w:t>
      </w:r>
      <w:r w:rsidRPr="00787A9E">
        <w:rPr>
          <w:sz w:val="26"/>
          <w:szCs w:val="26"/>
          <w:lang w:val="en"/>
        </w:rPr>
        <w:t xml:space="preserve"> arguments that its due process rights will be adversely affected or that the facts in this case somehow present a </w:t>
      </w:r>
      <w:r w:rsidR="00A424DB">
        <w:rPr>
          <w:sz w:val="26"/>
          <w:szCs w:val="26"/>
          <w:lang w:val="en"/>
        </w:rPr>
        <w:t>“</w:t>
      </w:r>
      <w:r w:rsidRPr="00787A9E">
        <w:rPr>
          <w:sz w:val="26"/>
          <w:szCs w:val="26"/>
          <w:lang w:val="en"/>
        </w:rPr>
        <w:t>Catch-22</w:t>
      </w:r>
      <w:r w:rsidR="00A424DB">
        <w:rPr>
          <w:sz w:val="26"/>
          <w:szCs w:val="26"/>
          <w:lang w:val="en"/>
        </w:rPr>
        <w:t>”</w:t>
      </w:r>
      <w:r w:rsidRPr="00787A9E">
        <w:rPr>
          <w:sz w:val="26"/>
          <w:szCs w:val="26"/>
          <w:lang w:val="en"/>
        </w:rPr>
        <w:t xml:space="preserve"> for the Company.</w:t>
      </w:r>
      <w:r w:rsidR="00090320" w:rsidRPr="00787A9E">
        <w:rPr>
          <w:sz w:val="26"/>
          <w:szCs w:val="26"/>
          <w:lang w:val="en"/>
        </w:rPr>
        <w:t xml:space="preserve">  </w:t>
      </w:r>
      <w:r w:rsidRPr="00787A9E">
        <w:rPr>
          <w:sz w:val="26"/>
          <w:szCs w:val="26"/>
          <w:lang w:val="en"/>
        </w:rPr>
        <w:t xml:space="preserve">According to the ALJs, if there is a </w:t>
      </w:r>
      <w:r w:rsidR="00A424DB">
        <w:rPr>
          <w:sz w:val="26"/>
          <w:szCs w:val="26"/>
          <w:lang w:val="en"/>
        </w:rPr>
        <w:t>“</w:t>
      </w:r>
      <w:r w:rsidRPr="00787A9E">
        <w:rPr>
          <w:sz w:val="26"/>
          <w:szCs w:val="26"/>
          <w:lang w:val="en"/>
        </w:rPr>
        <w:t>Catch-22</w:t>
      </w:r>
      <w:r w:rsidR="00A424DB">
        <w:rPr>
          <w:sz w:val="26"/>
          <w:szCs w:val="26"/>
          <w:lang w:val="en"/>
        </w:rPr>
        <w:t>”</w:t>
      </w:r>
      <w:r w:rsidRPr="00787A9E">
        <w:rPr>
          <w:sz w:val="26"/>
          <w:szCs w:val="26"/>
          <w:lang w:val="en"/>
        </w:rPr>
        <w:t xml:space="preserve"> in this situation, it </w:t>
      </w:r>
      <w:r w:rsidR="005C1600" w:rsidRPr="00787A9E">
        <w:rPr>
          <w:sz w:val="26"/>
          <w:szCs w:val="26"/>
          <w:lang w:val="en"/>
        </w:rPr>
        <w:t>was</w:t>
      </w:r>
      <w:r w:rsidRPr="00787A9E">
        <w:rPr>
          <w:sz w:val="26"/>
          <w:szCs w:val="26"/>
          <w:lang w:val="en"/>
        </w:rPr>
        <w:t xml:space="preserve"> felt by the utility</w:t>
      </w:r>
      <w:r w:rsidR="00A424DB">
        <w:rPr>
          <w:sz w:val="26"/>
          <w:szCs w:val="26"/>
          <w:lang w:val="en"/>
        </w:rPr>
        <w:t>’</w:t>
      </w:r>
      <w:r w:rsidRPr="00787A9E">
        <w:rPr>
          <w:sz w:val="26"/>
          <w:szCs w:val="26"/>
          <w:lang w:val="en"/>
        </w:rPr>
        <w:t>s customers</w:t>
      </w:r>
      <w:r w:rsidR="00FE34FB" w:rsidRPr="00787A9E">
        <w:rPr>
          <w:sz w:val="26"/>
          <w:szCs w:val="26"/>
          <w:lang w:val="en"/>
        </w:rPr>
        <w:t xml:space="preserve"> and </w:t>
      </w:r>
      <w:r w:rsidRPr="00787A9E">
        <w:rPr>
          <w:sz w:val="26"/>
          <w:szCs w:val="26"/>
          <w:lang w:val="en"/>
        </w:rPr>
        <w:t>not</w:t>
      </w:r>
      <w:r w:rsidR="00FE34FB" w:rsidRPr="00787A9E">
        <w:rPr>
          <w:sz w:val="26"/>
          <w:szCs w:val="26"/>
          <w:lang w:val="en"/>
        </w:rPr>
        <w:t xml:space="preserve"> by</w:t>
      </w:r>
      <w:r w:rsidRPr="00787A9E">
        <w:rPr>
          <w:sz w:val="26"/>
          <w:szCs w:val="26"/>
          <w:lang w:val="en"/>
        </w:rPr>
        <w:t xml:space="preserve"> the utility</w:t>
      </w:r>
      <w:r w:rsidR="00FE34FB" w:rsidRPr="00787A9E">
        <w:rPr>
          <w:sz w:val="26"/>
          <w:szCs w:val="26"/>
          <w:lang w:val="en"/>
        </w:rPr>
        <w:t xml:space="preserve"> </w:t>
      </w:r>
      <w:r w:rsidRPr="00787A9E">
        <w:rPr>
          <w:sz w:val="26"/>
          <w:szCs w:val="26"/>
          <w:lang w:val="en"/>
        </w:rPr>
        <w:t>because the</w:t>
      </w:r>
      <w:r w:rsidR="00090320" w:rsidRPr="00787A9E">
        <w:rPr>
          <w:sz w:val="26"/>
          <w:szCs w:val="26"/>
          <w:lang w:val="en"/>
        </w:rPr>
        <w:t xml:space="preserve"> customers</w:t>
      </w:r>
      <w:r w:rsidRPr="00787A9E">
        <w:rPr>
          <w:sz w:val="26"/>
          <w:szCs w:val="26"/>
          <w:lang w:val="en"/>
        </w:rPr>
        <w:t xml:space="preserve"> have suffered and endured brown, murky water that, though potable, should not be forced upon any customer</w:t>
      </w:r>
      <w:r w:rsidR="00A7593A" w:rsidRPr="00787A9E">
        <w:rPr>
          <w:sz w:val="26"/>
          <w:szCs w:val="26"/>
          <w:lang w:val="en"/>
        </w:rPr>
        <w:t xml:space="preserve"> for thirteen years</w:t>
      </w:r>
      <w:r w:rsidRPr="00787A9E">
        <w:rPr>
          <w:sz w:val="26"/>
          <w:szCs w:val="26"/>
          <w:lang w:val="en"/>
        </w:rPr>
        <w:t xml:space="preserve">.  The ALJs stated that they were not </w:t>
      </w:r>
      <w:r w:rsidR="000C1E60" w:rsidRPr="00787A9E">
        <w:rPr>
          <w:sz w:val="26"/>
          <w:szCs w:val="26"/>
          <w:lang w:val="en"/>
        </w:rPr>
        <w:t>convinced</w:t>
      </w:r>
      <w:r w:rsidRPr="00787A9E">
        <w:rPr>
          <w:sz w:val="26"/>
          <w:szCs w:val="26"/>
          <w:lang w:val="en"/>
        </w:rPr>
        <w:t xml:space="preserve"> by the Company</w:t>
      </w:r>
      <w:r w:rsidR="00A424DB">
        <w:rPr>
          <w:sz w:val="26"/>
          <w:szCs w:val="26"/>
          <w:lang w:val="en"/>
        </w:rPr>
        <w:t>’</w:t>
      </w:r>
      <w:r w:rsidRPr="00787A9E">
        <w:rPr>
          <w:sz w:val="26"/>
          <w:szCs w:val="26"/>
          <w:lang w:val="en"/>
        </w:rPr>
        <w:t>s arguments in support of the proposed rate increase</w:t>
      </w:r>
      <w:r w:rsidR="003029AC" w:rsidRPr="00787A9E">
        <w:rPr>
          <w:sz w:val="26"/>
          <w:szCs w:val="26"/>
          <w:lang w:val="en"/>
        </w:rPr>
        <w:t>s</w:t>
      </w:r>
      <w:r w:rsidRPr="00787A9E">
        <w:rPr>
          <w:sz w:val="26"/>
          <w:szCs w:val="26"/>
          <w:lang w:val="en"/>
        </w:rPr>
        <w:t>, especially, because HVUS</w:t>
      </w:r>
      <w:r w:rsidR="00A424DB">
        <w:rPr>
          <w:sz w:val="26"/>
          <w:szCs w:val="26"/>
          <w:lang w:val="en"/>
        </w:rPr>
        <w:t>’</w:t>
      </w:r>
      <w:r w:rsidRPr="00787A9E">
        <w:rPr>
          <w:sz w:val="26"/>
          <w:szCs w:val="26"/>
          <w:lang w:val="en"/>
        </w:rPr>
        <w:t xml:space="preserve">s customers who currently pay, on average, $345.60 annually, must now pay $508.44 annually, for the same brown, murky water that is unfit for household use and for wastewater service that is very poor.  </w:t>
      </w:r>
      <w:r w:rsidR="007933AC" w:rsidRPr="00787A9E">
        <w:rPr>
          <w:sz w:val="26"/>
          <w:szCs w:val="26"/>
          <w:lang w:val="en"/>
        </w:rPr>
        <w:t>Further, the ALJs emphasized the record evidence that indicates the Company is not well managed and that the Company</w:t>
      </w:r>
      <w:r w:rsidR="00A424DB">
        <w:rPr>
          <w:sz w:val="26"/>
          <w:szCs w:val="26"/>
          <w:lang w:val="en"/>
        </w:rPr>
        <w:t>’</w:t>
      </w:r>
      <w:r w:rsidR="007933AC" w:rsidRPr="00787A9E">
        <w:rPr>
          <w:sz w:val="26"/>
          <w:szCs w:val="26"/>
          <w:lang w:val="en"/>
        </w:rPr>
        <w:t xml:space="preserve">s annual reports continue to be untrustworthy.  </w:t>
      </w:r>
      <w:r w:rsidR="005D6545">
        <w:rPr>
          <w:sz w:val="26"/>
          <w:szCs w:val="26"/>
          <w:lang w:val="en"/>
        </w:rPr>
        <w:t>R.D. at 33</w:t>
      </w:r>
    </w:p>
    <w:p w14:paraId="15BA4745" w14:textId="77777777" w:rsidR="007933AC" w:rsidRPr="00787A9E" w:rsidRDefault="007933AC" w:rsidP="00FD1A00">
      <w:pPr>
        <w:autoSpaceDE w:val="0"/>
        <w:autoSpaceDN w:val="0"/>
        <w:adjustRightInd w:val="0"/>
        <w:ind w:firstLine="1440"/>
        <w:contextualSpacing/>
        <w:rPr>
          <w:sz w:val="26"/>
          <w:szCs w:val="26"/>
          <w:lang w:val="en"/>
        </w:rPr>
      </w:pPr>
    </w:p>
    <w:p w14:paraId="34069634" w14:textId="402C0ECF" w:rsidR="00B86F24" w:rsidRPr="00787A9E" w:rsidRDefault="007933AC" w:rsidP="00FD1A00">
      <w:pPr>
        <w:autoSpaceDE w:val="0"/>
        <w:autoSpaceDN w:val="0"/>
        <w:adjustRightInd w:val="0"/>
        <w:ind w:firstLine="1440"/>
        <w:contextualSpacing/>
        <w:rPr>
          <w:sz w:val="26"/>
          <w:szCs w:val="26"/>
          <w:lang w:val="en"/>
        </w:rPr>
      </w:pPr>
      <w:r w:rsidRPr="00787A9E">
        <w:rPr>
          <w:sz w:val="26"/>
          <w:szCs w:val="26"/>
          <w:lang w:val="en"/>
        </w:rPr>
        <w:t>Notwithstanding the above</w:t>
      </w:r>
      <w:r w:rsidR="008456D2" w:rsidRPr="00787A9E">
        <w:rPr>
          <w:sz w:val="26"/>
          <w:szCs w:val="26"/>
          <w:lang w:val="en"/>
        </w:rPr>
        <w:t xml:space="preserve">, the ALJs also found persuasive the assertions of I&amp;E in the Settlement that HVUS needs additional revenue to comply with the totality of the requirements in the </w:t>
      </w:r>
      <w:r w:rsidR="008456D2" w:rsidRPr="00787A9E">
        <w:rPr>
          <w:i/>
          <w:iCs/>
          <w:sz w:val="26"/>
          <w:szCs w:val="26"/>
          <w:lang w:val="en"/>
        </w:rPr>
        <w:t>McCloskey Orders</w:t>
      </w:r>
      <w:r w:rsidR="008456D2" w:rsidRPr="00787A9E">
        <w:rPr>
          <w:sz w:val="26"/>
          <w:szCs w:val="26"/>
          <w:lang w:val="en"/>
        </w:rPr>
        <w:t xml:space="preserve">.  </w:t>
      </w:r>
      <w:r w:rsidRPr="00787A9E">
        <w:rPr>
          <w:sz w:val="26"/>
          <w:szCs w:val="26"/>
          <w:lang w:val="en"/>
        </w:rPr>
        <w:t>The ALJs acknowledged that while denying the requested increase</w:t>
      </w:r>
      <w:r w:rsidR="00EC2AAC" w:rsidRPr="00787A9E">
        <w:rPr>
          <w:sz w:val="26"/>
          <w:szCs w:val="26"/>
          <w:lang w:val="en"/>
        </w:rPr>
        <w:t>s</w:t>
      </w:r>
      <w:r w:rsidRPr="00787A9E">
        <w:rPr>
          <w:sz w:val="26"/>
          <w:szCs w:val="26"/>
          <w:lang w:val="en"/>
        </w:rPr>
        <w:t xml:space="preserve"> in their entirety might appease some </w:t>
      </w:r>
      <w:r w:rsidR="001C720C">
        <w:rPr>
          <w:sz w:val="26"/>
          <w:szCs w:val="26"/>
          <w:lang w:val="en"/>
        </w:rPr>
        <w:t>P</w:t>
      </w:r>
      <w:r w:rsidRPr="00787A9E">
        <w:rPr>
          <w:sz w:val="26"/>
          <w:szCs w:val="26"/>
          <w:lang w:val="en"/>
        </w:rPr>
        <w:t xml:space="preserve">arties in this proceeding, the goal of the Commission must be to do what is generally best for the public and specifically for the customers.  </w:t>
      </w:r>
      <w:r w:rsidR="00EC2AAC" w:rsidRPr="00787A9E">
        <w:rPr>
          <w:sz w:val="26"/>
          <w:szCs w:val="26"/>
          <w:lang w:val="en"/>
        </w:rPr>
        <w:t>T</w:t>
      </w:r>
      <w:r w:rsidRPr="00787A9E">
        <w:rPr>
          <w:sz w:val="26"/>
          <w:szCs w:val="26"/>
          <w:lang w:val="en"/>
        </w:rPr>
        <w:t xml:space="preserve">he ALJs concluded that the Commission must ensure that HVUS has the needed revenue to make the repairs directed in the </w:t>
      </w:r>
      <w:r w:rsidRPr="00787A9E">
        <w:rPr>
          <w:i/>
          <w:sz w:val="26"/>
          <w:szCs w:val="26"/>
          <w:lang w:val="en"/>
        </w:rPr>
        <w:t xml:space="preserve">McCloskey Orders.  </w:t>
      </w:r>
      <w:r w:rsidR="008456D2" w:rsidRPr="00787A9E">
        <w:rPr>
          <w:sz w:val="26"/>
          <w:szCs w:val="26"/>
          <w:lang w:val="en"/>
        </w:rPr>
        <w:t xml:space="preserve">As such, the ALJs </w:t>
      </w:r>
      <w:r w:rsidRPr="00787A9E">
        <w:rPr>
          <w:sz w:val="26"/>
          <w:szCs w:val="26"/>
          <w:lang w:val="en"/>
        </w:rPr>
        <w:t>recommended that the Company</w:t>
      </w:r>
      <w:r w:rsidR="00A424DB">
        <w:rPr>
          <w:sz w:val="26"/>
          <w:szCs w:val="26"/>
          <w:lang w:val="en"/>
        </w:rPr>
        <w:t>’</w:t>
      </w:r>
      <w:r w:rsidRPr="00787A9E">
        <w:rPr>
          <w:sz w:val="26"/>
          <w:szCs w:val="26"/>
          <w:lang w:val="en"/>
        </w:rPr>
        <w:t xml:space="preserve">s rate increase requests be granted, in part, and denied, in part.  According to the ALJs, the requested increases should be granted, in part, </w:t>
      </w:r>
      <w:r w:rsidR="00EC2AAC" w:rsidRPr="00787A9E">
        <w:rPr>
          <w:sz w:val="26"/>
          <w:szCs w:val="26"/>
          <w:lang w:val="en"/>
        </w:rPr>
        <w:t>consistent with their recommendation regarding the Non</w:t>
      </w:r>
      <w:r w:rsidR="00EC2AAC" w:rsidRPr="00787A9E">
        <w:rPr>
          <w:sz w:val="26"/>
          <w:szCs w:val="26"/>
          <w:lang w:val="en"/>
        </w:rPr>
        <w:noBreakHyphen/>
        <w:t xml:space="preserve">Unanimous Settlement, outlined, </w:t>
      </w:r>
      <w:r w:rsidR="00EC2AAC" w:rsidRPr="00787A9E">
        <w:rPr>
          <w:i/>
          <w:sz w:val="26"/>
          <w:szCs w:val="26"/>
          <w:lang w:val="en"/>
        </w:rPr>
        <w:t xml:space="preserve">supra.  </w:t>
      </w:r>
      <w:r w:rsidR="00EC2AAC" w:rsidRPr="00787A9E">
        <w:rPr>
          <w:sz w:val="26"/>
          <w:szCs w:val="26"/>
          <w:lang w:val="en"/>
        </w:rPr>
        <w:t xml:space="preserve">However, the ALJs concluded that the rate increases should be denied, in part, by not allowing the Company to earn a return on equity until all mandated improvements are made and the Commission has verified that the improvements have been made.  </w:t>
      </w:r>
      <w:r w:rsidR="0011541C">
        <w:rPr>
          <w:sz w:val="26"/>
          <w:szCs w:val="26"/>
          <w:lang w:val="en"/>
        </w:rPr>
        <w:t>R.D</w:t>
      </w:r>
      <w:r w:rsidR="00E22B85" w:rsidRPr="00787A9E">
        <w:rPr>
          <w:i/>
          <w:sz w:val="26"/>
          <w:szCs w:val="26"/>
          <w:lang w:val="en"/>
        </w:rPr>
        <w:t>.</w:t>
      </w:r>
      <w:r w:rsidR="00EC2AAC" w:rsidRPr="00787A9E">
        <w:rPr>
          <w:i/>
          <w:sz w:val="26"/>
          <w:szCs w:val="26"/>
          <w:lang w:val="en"/>
        </w:rPr>
        <w:t xml:space="preserve"> </w:t>
      </w:r>
      <w:r w:rsidR="00EC2AAC" w:rsidRPr="00787A9E">
        <w:rPr>
          <w:sz w:val="26"/>
          <w:szCs w:val="26"/>
          <w:lang w:val="en"/>
        </w:rPr>
        <w:t>at 33-34.</w:t>
      </w:r>
    </w:p>
    <w:p w14:paraId="2AAA177A" w14:textId="77777777" w:rsidR="00D262F1" w:rsidRPr="00787A9E" w:rsidRDefault="00D262F1" w:rsidP="00FD1A00">
      <w:pPr>
        <w:ind w:firstLine="1440"/>
        <w:contextualSpacing/>
        <w:rPr>
          <w:sz w:val="26"/>
          <w:szCs w:val="26"/>
        </w:rPr>
      </w:pPr>
    </w:p>
    <w:p w14:paraId="5A536867" w14:textId="77777777" w:rsidR="00D262F1" w:rsidRPr="00787A9E" w:rsidRDefault="00D262F1" w:rsidP="00FD1A00">
      <w:pPr>
        <w:pStyle w:val="Heading4"/>
        <w:keepLines/>
        <w:numPr>
          <w:ilvl w:val="0"/>
          <w:numId w:val="14"/>
        </w:numPr>
        <w:ind w:left="1800"/>
        <w:contextualSpacing/>
        <w:jc w:val="left"/>
      </w:pPr>
      <w:r w:rsidRPr="00787A9E">
        <w:tab/>
        <w:t>Exceptions and Replies</w:t>
      </w:r>
    </w:p>
    <w:p w14:paraId="4CD92364" w14:textId="77777777" w:rsidR="00D262F1" w:rsidRPr="00787A9E" w:rsidRDefault="00D262F1" w:rsidP="00FD1A00">
      <w:pPr>
        <w:keepNext/>
        <w:keepLines/>
        <w:contextualSpacing/>
        <w:rPr>
          <w:sz w:val="26"/>
          <w:szCs w:val="26"/>
        </w:rPr>
      </w:pPr>
    </w:p>
    <w:p w14:paraId="412F835A" w14:textId="5DAC4FF9" w:rsidR="005C1600" w:rsidRPr="00787A9E" w:rsidRDefault="00BD31C7" w:rsidP="00FD1A00">
      <w:pPr>
        <w:pStyle w:val="Default"/>
        <w:keepNext/>
        <w:keepLines/>
        <w:numPr>
          <w:ilvl w:val="0"/>
          <w:numId w:val="15"/>
        </w:numPr>
        <w:spacing w:line="360" w:lineRule="auto"/>
        <w:ind w:left="2520"/>
        <w:contextualSpacing/>
        <w:rPr>
          <w:b/>
          <w:sz w:val="26"/>
          <w:szCs w:val="26"/>
        </w:rPr>
      </w:pPr>
      <w:r w:rsidRPr="00787A9E">
        <w:rPr>
          <w:b/>
          <w:sz w:val="26"/>
          <w:szCs w:val="26"/>
        </w:rPr>
        <w:tab/>
      </w:r>
      <w:r w:rsidR="005C1600" w:rsidRPr="00787A9E">
        <w:rPr>
          <w:b/>
          <w:sz w:val="26"/>
          <w:szCs w:val="26"/>
        </w:rPr>
        <w:t>HVUS</w:t>
      </w:r>
      <w:r w:rsidR="00A424DB">
        <w:rPr>
          <w:b/>
          <w:sz w:val="26"/>
          <w:szCs w:val="26"/>
        </w:rPr>
        <w:t>’</w:t>
      </w:r>
      <w:r w:rsidR="00DD73F5" w:rsidRPr="00787A9E">
        <w:rPr>
          <w:b/>
          <w:sz w:val="26"/>
          <w:szCs w:val="26"/>
        </w:rPr>
        <w:t>s</w:t>
      </w:r>
      <w:r w:rsidR="005C1600" w:rsidRPr="00787A9E">
        <w:rPr>
          <w:b/>
          <w:sz w:val="26"/>
          <w:szCs w:val="26"/>
        </w:rPr>
        <w:t xml:space="preserve"> Exception</w:t>
      </w:r>
      <w:r w:rsidRPr="00787A9E">
        <w:rPr>
          <w:b/>
          <w:sz w:val="26"/>
          <w:szCs w:val="26"/>
        </w:rPr>
        <w:t xml:space="preserve"> No. 1</w:t>
      </w:r>
    </w:p>
    <w:p w14:paraId="56CEED3C" w14:textId="77777777" w:rsidR="005C1600" w:rsidRPr="00787A9E" w:rsidRDefault="005C1600" w:rsidP="00FD1A00">
      <w:pPr>
        <w:pStyle w:val="Default"/>
        <w:keepNext/>
        <w:keepLines/>
        <w:spacing w:line="360" w:lineRule="auto"/>
        <w:ind w:left="1800"/>
        <w:contextualSpacing/>
        <w:rPr>
          <w:sz w:val="26"/>
          <w:szCs w:val="26"/>
        </w:rPr>
      </w:pPr>
    </w:p>
    <w:p w14:paraId="5B6FF2F5" w14:textId="3C1A8003" w:rsidR="005C1600" w:rsidRPr="00787A9E" w:rsidRDefault="005C1600" w:rsidP="00FD1A00">
      <w:pPr>
        <w:ind w:firstLine="1440"/>
        <w:contextualSpacing/>
        <w:rPr>
          <w:sz w:val="26"/>
          <w:szCs w:val="26"/>
        </w:rPr>
      </w:pPr>
      <w:r w:rsidRPr="00787A9E">
        <w:rPr>
          <w:sz w:val="26"/>
          <w:szCs w:val="26"/>
        </w:rPr>
        <w:t>In its Exception No. 1, HVUS disagrees with the ALJs</w:t>
      </w:r>
      <w:r w:rsidR="00A424DB">
        <w:rPr>
          <w:sz w:val="26"/>
          <w:szCs w:val="26"/>
        </w:rPr>
        <w:t>’</w:t>
      </w:r>
      <w:r w:rsidRPr="00787A9E">
        <w:rPr>
          <w:sz w:val="26"/>
          <w:szCs w:val="26"/>
        </w:rPr>
        <w:t xml:space="preserve"> recommendation which modified the Settlement rates by allowing the initial increase of $82,227 for Wastewater Supplement No.1 but disallow</w:t>
      </w:r>
      <w:r w:rsidR="00F82B7B" w:rsidRPr="00787A9E">
        <w:rPr>
          <w:sz w:val="26"/>
          <w:szCs w:val="26"/>
        </w:rPr>
        <w:t>ed</w:t>
      </w:r>
      <w:r w:rsidRPr="00787A9E">
        <w:rPr>
          <w:sz w:val="26"/>
          <w:szCs w:val="26"/>
        </w:rPr>
        <w:t xml:space="preserve"> the second step increase to $145,842, in the phased-in </w:t>
      </w:r>
      <w:r w:rsidR="002847C7">
        <w:rPr>
          <w:sz w:val="26"/>
          <w:szCs w:val="26"/>
        </w:rPr>
        <w:t>wastewater rates</w:t>
      </w:r>
      <w:r w:rsidRPr="00787A9E">
        <w:rPr>
          <w:sz w:val="26"/>
          <w:szCs w:val="26"/>
        </w:rPr>
        <w:t>.  The Company argues the Commission should reject the ALJs</w:t>
      </w:r>
      <w:r w:rsidR="00A424DB">
        <w:rPr>
          <w:sz w:val="26"/>
          <w:szCs w:val="26"/>
        </w:rPr>
        <w:t>’</w:t>
      </w:r>
      <w:r w:rsidRPr="00787A9E">
        <w:rPr>
          <w:sz w:val="26"/>
          <w:szCs w:val="26"/>
        </w:rPr>
        <w:t xml:space="preserve"> recommendation because it is in error and approve the entire wastewater rate increase proposed in the Settlement.  In the alternative, the Company also proposes that a different trigger be used for the second step of the wastewater rate increase.  HVUS Exc. at 8-10.</w:t>
      </w:r>
    </w:p>
    <w:p w14:paraId="70C88AE0" w14:textId="77777777" w:rsidR="005C1600" w:rsidRPr="00787A9E" w:rsidRDefault="005C1600" w:rsidP="00FD1A00">
      <w:pPr>
        <w:contextualSpacing/>
        <w:rPr>
          <w:sz w:val="26"/>
          <w:szCs w:val="26"/>
        </w:rPr>
      </w:pPr>
    </w:p>
    <w:p w14:paraId="5884A677" w14:textId="7E8FB448" w:rsidR="005C1600" w:rsidRPr="00787A9E" w:rsidRDefault="005C1600" w:rsidP="00FD1A00">
      <w:pPr>
        <w:ind w:firstLine="1440"/>
        <w:contextualSpacing/>
        <w:rPr>
          <w:sz w:val="26"/>
          <w:szCs w:val="26"/>
        </w:rPr>
      </w:pPr>
      <w:r w:rsidRPr="00787A9E">
        <w:rPr>
          <w:sz w:val="26"/>
          <w:szCs w:val="26"/>
        </w:rPr>
        <w:t>First, HVUS argues the ALJs erred in reducing the Company</w:t>
      </w:r>
      <w:r w:rsidR="00A424DB">
        <w:rPr>
          <w:sz w:val="26"/>
          <w:szCs w:val="26"/>
        </w:rPr>
        <w:t>’</w:t>
      </w:r>
      <w:r w:rsidRPr="00787A9E">
        <w:rPr>
          <w:sz w:val="26"/>
          <w:szCs w:val="26"/>
        </w:rPr>
        <w:t>s wastewater rate increase based on the Company</w:t>
      </w:r>
      <w:r w:rsidR="00A424DB">
        <w:rPr>
          <w:sz w:val="26"/>
          <w:szCs w:val="26"/>
        </w:rPr>
        <w:t>’</w:t>
      </w:r>
      <w:r w:rsidRPr="00787A9E">
        <w:rPr>
          <w:sz w:val="26"/>
          <w:szCs w:val="26"/>
        </w:rPr>
        <w:t xml:space="preserve">s </w:t>
      </w:r>
      <w:r w:rsidR="008D1827" w:rsidRPr="00787A9E">
        <w:rPr>
          <w:sz w:val="26"/>
          <w:szCs w:val="26"/>
        </w:rPr>
        <w:t xml:space="preserve">inadequate </w:t>
      </w:r>
      <w:r w:rsidRPr="00787A9E">
        <w:rPr>
          <w:sz w:val="26"/>
          <w:szCs w:val="26"/>
        </w:rPr>
        <w:t>water service.  According to the Company, the ALJs explained the reason for their modification of the Settlement as follows:</w:t>
      </w:r>
    </w:p>
    <w:p w14:paraId="73F2FD11" w14:textId="77777777" w:rsidR="005C1600" w:rsidRPr="00787A9E" w:rsidRDefault="005C1600" w:rsidP="00FD1A00">
      <w:pPr>
        <w:contextualSpacing/>
        <w:rPr>
          <w:sz w:val="26"/>
          <w:szCs w:val="26"/>
        </w:rPr>
      </w:pPr>
    </w:p>
    <w:p w14:paraId="4BE36D36" w14:textId="064C1595" w:rsidR="005C1600" w:rsidRDefault="005C1600" w:rsidP="00FD1A00">
      <w:pPr>
        <w:spacing w:line="240" w:lineRule="auto"/>
        <w:ind w:left="1440" w:right="1440"/>
        <w:contextualSpacing/>
        <w:rPr>
          <w:sz w:val="26"/>
          <w:szCs w:val="26"/>
        </w:rPr>
      </w:pPr>
      <w:r w:rsidRPr="00787A9E">
        <w:rPr>
          <w:sz w:val="26"/>
          <w:szCs w:val="26"/>
        </w:rPr>
        <w:t>This modification is in the public interest and justified because Hidden Valley failed for over thirteen years to provide adequate water and wastewater services.  As of the closing date in this proceeding, Hidden Valley continues to provide inadequate service with water that is unfit for household purposes and which no person should be forced to drink.</w:t>
      </w:r>
    </w:p>
    <w:p w14:paraId="2FE4AED3" w14:textId="7313A93E" w:rsidR="005A61A7" w:rsidRDefault="005A61A7" w:rsidP="00FD1A00">
      <w:pPr>
        <w:spacing w:line="240" w:lineRule="auto"/>
        <w:ind w:left="1440" w:right="1440"/>
        <w:contextualSpacing/>
        <w:rPr>
          <w:sz w:val="26"/>
          <w:szCs w:val="26"/>
        </w:rPr>
      </w:pPr>
    </w:p>
    <w:p w14:paraId="5450B27F" w14:textId="77777777" w:rsidR="005A61A7" w:rsidRPr="00787A9E" w:rsidRDefault="005A61A7" w:rsidP="00FD1A00">
      <w:pPr>
        <w:spacing w:line="240" w:lineRule="auto"/>
        <w:ind w:left="1440" w:right="1440"/>
        <w:contextualSpacing/>
        <w:rPr>
          <w:sz w:val="26"/>
          <w:szCs w:val="26"/>
        </w:rPr>
      </w:pPr>
    </w:p>
    <w:p w14:paraId="5D7DFCB1" w14:textId="6BCF6A0B" w:rsidR="005C1600" w:rsidRPr="00787A9E" w:rsidRDefault="00B630E4" w:rsidP="00FD1A00">
      <w:pPr>
        <w:contextualSpacing/>
        <w:rPr>
          <w:sz w:val="26"/>
          <w:szCs w:val="26"/>
        </w:rPr>
      </w:pPr>
      <w:r>
        <w:rPr>
          <w:sz w:val="26"/>
          <w:szCs w:val="26"/>
        </w:rPr>
        <w:t>HVUS Exc</w:t>
      </w:r>
      <w:r w:rsidR="005C1600" w:rsidRPr="00787A9E">
        <w:rPr>
          <w:i/>
          <w:sz w:val="26"/>
          <w:szCs w:val="26"/>
        </w:rPr>
        <w:t>.</w:t>
      </w:r>
      <w:r w:rsidR="005C1600" w:rsidRPr="00787A9E">
        <w:rPr>
          <w:sz w:val="26"/>
          <w:szCs w:val="26"/>
        </w:rPr>
        <w:t xml:space="preserve"> at 10 (citing R.D. at 49-50).</w:t>
      </w:r>
      <w:r w:rsidR="00931DC7" w:rsidRPr="00787A9E">
        <w:rPr>
          <w:sz w:val="26"/>
          <w:szCs w:val="26"/>
        </w:rPr>
        <w:t xml:space="preserve">  </w:t>
      </w:r>
      <w:r w:rsidR="005C1600" w:rsidRPr="00787A9E">
        <w:rPr>
          <w:sz w:val="26"/>
          <w:szCs w:val="26"/>
        </w:rPr>
        <w:t xml:space="preserve">In disagreeing with the ALJs, the Company avers that even though the cases were consolidated in this proceeding for the purpose of hearing and adjudication, </w:t>
      </w:r>
      <w:r w:rsidR="00652FEE" w:rsidRPr="00787A9E">
        <w:rPr>
          <w:sz w:val="26"/>
          <w:szCs w:val="26"/>
        </w:rPr>
        <w:t xml:space="preserve">the </w:t>
      </w:r>
      <w:r w:rsidR="005C1600" w:rsidRPr="00787A9E">
        <w:rPr>
          <w:sz w:val="26"/>
          <w:szCs w:val="26"/>
        </w:rPr>
        <w:t xml:space="preserve">wastewater system is different from </w:t>
      </w:r>
      <w:r w:rsidR="00652FEE" w:rsidRPr="00787A9E">
        <w:rPr>
          <w:sz w:val="26"/>
          <w:szCs w:val="26"/>
        </w:rPr>
        <w:t xml:space="preserve">the </w:t>
      </w:r>
      <w:r w:rsidR="005C1600" w:rsidRPr="00787A9E">
        <w:rPr>
          <w:sz w:val="26"/>
          <w:szCs w:val="26"/>
        </w:rPr>
        <w:t xml:space="preserve">water system.  HVUS contends it is not seeking to allocate any of the costs of operating its wastewater </w:t>
      </w:r>
      <w:r w:rsidR="005C1600" w:rsidRPr="00787A9E">
        <w:rPr>
          <w:sz w:val="26"/>
          <w:szCs w:val="26"/>
        </w:rPr>
        <w:lastRenderedPageBreak/>
        <w:t>system to its water customers as allowed by 66 Pa. C.S. §1311(c), and that the revenue requirement for the wastewater system should be established based on the costs and revenues of operating the wastewater system and not on the costs and revenues of operating the water system.  In the same vein,</w:t>
      </w:r>
      <w:r>
        <w:rPr>
          <w:sz w:val="26"/>
          <w:szCs w:val="26"/>
        </w:rPr>
        <w:t xml:space="preserve"> HVUS reasons that</w:t>
      </w:r>
      <w:r w:rsidR="005C1600" w:rsidRPr="00787A9E">
        <w:rPr>
          <w:sz w:val="26"/>
          <w:szCs w:val="26"/>
        </w:rPr>
        <w:t xml:space="preserve"> the amount of rate relief for the wastewater system should be based on the quality of wastewater service rendered, not the quality of water service rendered.  To this end, HVUS argues, to the extent that the ALJs are recommending a reduction of the wastewater rates based on the quality of the Company</w:t>
      </w:r>
      <w:r w:rsidR="00A424DB">
        <w:rPr>
          <w:sz w:val="26"/>
          <w:szCs w:val="26"/>
        </w:rPr>
        <w:t>’</w:t>
      </w:r>
      <w:r w:rsidR="005C1600" w:rsidRPr="00787A9E">
        <w:rPr>
          <w:sz w:val="26"/>
          <w:szCs w:val="26"/>
        </w:rPr>
        <w:t>s water service, the ALJs are wrong and the Commission should reject the ALJs</w:t>
      </w:r>
      <w:r w:rsidR="00A424DB">
        <w:rPr>
          <w:sz w:val="26"/>
          <w:szCs w:val="26"/>
        </w:rPr>
        <w:t>’</w:t>
      </w:r>
      <w:r w:rsidR="005C1600" w:rsidRPr="00787A9E">
        <w:rPr>
          <w:sz w:val="26"/>
          <w:szCs w:val="26"/>
        </w:rPr>
        <w:t xml:space="preserve"> modification and approve the revenue requirement in the Settlement, as filed.  HVUS Exc. at 10-11.</w:t>
      </w:r>
    </w:p>
    <w:p w14:paraId="4553FC53" w14:textId="77777777" w:rsidR="005C1600" w:rsidRPr="00787A9E" w:rsidRDefault="005C1600" w:rsidP="00FD1A00">
      <w:pPr>
        <w:contextualSpacing/>
        <w:rPr>
          <w:sz w:val="26"/>
          <w:szCs w:val="26"/>
        </w:rPr>
      </w:pPr>
    </w:p>
    <w:p w14:paraId="4203D6D1" w14:textId="048FBFF7" w:rsidR="005C1600" w:rsidRPr="00787A9E" w:rsidRDefault="005C1600" w:rsidP="00FD1A00">
      <w:pPr>
        <w:ind w:firstLine="1440"/>
        <w:contextualSpacing/>
        <w:rPr>
          <w:sz w:val="26"/>
          <w:szCs w:val="26"/>
        </w:rPr>
      </w:pPr>
      <w:r w:rsidRPr="00787A9E">
        <w:rPr>
          <w:sz w:val="26"/>
          <w:szCs w:val="26"/>
        </w:rPr>
        <w:t>Secondly, the Company argues the ALJs</w:t>
      </w:r>
      <w:r w:rsidR="00A424DB">
        <w:rPr>
          <w:sz w:val="26"/>
          <w:szCs w:val="26"/>
        </w:rPr>
        <w:t>’</w:t>
      </w:r>
      <w:r w:rsidRPr="00787A9E">
        <w:rPr>
          <w:sz w:val="26"/>
          <w:szCs w:val="26"/>
        </w:rPr>
        <w:t xml:space="preserve"> decision to modify the Settlement is not supported by evidence in the record.  According to the Company, although the Commission found in the </w:t>
      </w:r>
      <w:r w:rsidRPr="00787A9E">
        <w:rPr>
          <w:i/>
          <w:sz w:val="26"/>
          <w:szCs w:val="26"/>
        </w:rPr>
        <w:t>McCloskey Orders</w:t>
      </w:r>
      <w:r w:rsidRPr="00787A9E">
        <w:rPr>
          <w:sz w:val="26"/>
          <w:szCs w:val="26"/>
        </w:rPr>
        <w:t xml:space="preserve"> that HVUS is not providing reasonable and adequate wastewater service, not every violation of Section 1501 merits a reduction in a utility</w:t>
      </w:r>
      <w:r w:rsidR="00A424DB">
        <w:rPr>
          <w:sz w:val="26"/>
          <w:szCs w:val="26"/>
        </w:rPr>
        <w:t>’</w:t>
      </w:r>
      <w:r w:rsidRPr="00787A9E">
        <w:rPr>
          <w:sz w:val="26"/>
          <w:szCs w:val="26"/>
        </w:rPr>
        <w:t>s request for rate relief.  HVUS contends the Commission has held that this remedy is only warranted where the Commission finds serious deficiencies in the utility</w:t>
      </w:r>
      <w:r w:rsidR="00A424DB">
        <w:rPr>
          <w:sz w:val="26"/>
          <w:szCs w:val="26"/>
        </w:rPr>
        <w:t>’</w:t>
      </w:r>
      <w:r w:rsidRPr="00787A9E">
        <w:rPr>
          <w:sz w:val="26"/>
          <w:szCs w:val="26"/>
        </w:rPr>
        <w:t xml:space="preserve">s service.  </w:t>
      </w:r>
      <w:r w:rsidRPr="00787A9E">
        <w:rPr>
          <w:i/>
          <w:sz w:val="26"/>
          <w:szCs w:val="26"/>
        </w:rPr>
        <w:t>Id.</w:t>
      </w:r>
      <w:r w:rsidRPr="00787A9E">
        <w:rPr>
          <w:sz w:val="26"/>
          <w:szCs w:val="26"/>
        </w:rPr>
        <w:t xml:space="preserve"> at 11 (citing </w:t>
      </w:r>
      <w:r w:rsidRPr="00787A9E">
        <w:rPr>
          <w:i/>
          <w:sz w:val="26"/>
          <w:szCs w:val="26"/>
        </w:rPr>
        <w:t>Pa. Pub. Util. Comm</w:t>
      </w:r>
      <w:r w:rsidR="00A424DB">
        <w:rPr>
          <w:i/>
          <w:sz w:val="26"/>
          <w:szCs w:val="26"/>
        </w:rPr>
        <w:t>’</w:t>
      </w:r>
      <w:r w:rsidRPr="00787A9E">
        <w:rPr>
          <w:i/>
          <w:sz w:val="26"/>
          <w:szCs w:val="26"/>
        </w:rPr>
        <w:t>n v. Pennsylvania Gas &amp; Water Co.,</w:t>
      </w:r>
      <w:r w:rsidRPr="00787A9E">
        <w:rPr>
          <w:sz w:val="26"/>
          <w:szCs w:val="26"/>
        </w:rPr>
        <w:t xml:space="preserve"> 1986 Pa. PUC LEXIS 113 (Order entered April 25, 1986) at *30 </w:t>
      </w:r>
      <w:r w:rsidRPr="00787A9E">
        <w:rPr>
          <w:i/>
          <w:sz w:val="26"/>
          <w:szCs w:val="26"/>
        </w:rPr>
        <w:t>(</w:t>
      </w:r>
      <w:r w:rsidR="00DC017F" w:rsidRPr="00787A9E">
        <w:rPr>
          <w:i/>
          <w:sz w:val="26"/>
          <w:szCs w:val="26"/>
        </w:rPr>
        <w:t>PG&amp;W 1986</w:t>
      </w:r>
      <w:r w:rsidRPr="00787A9E">
        <w:rPr>
          <w:i/>
          <w:sz w:val="26"/>
          <w:szCs w:val="26"/>
        </w:rPr>
        <w:t>)</w:t>
      </w:r>
      <w:r w:rsidRPr="00787A9E">
        <w:rPr>
          <w:sz w:val="26"/>
          <w:szCs w:val="26"/>
        </w:rPr>
        <w:t xml:space="preserve">; </w:t>
      </w:r>
      <w:r w:rsidRPr="00787A9E">
        <w:rPr>
          <w:i/>
          <w:sz w:val="26"/>
          <w:szCs w:val="26"/>
        </w:rPr>
        <w:t>Pa. Pub. Util. Comm</w:t>
      </w:r>
      <w:r w:rsidR="00A424DB">
        <w:rPr>
          <w:i/>
          <w:sz w:val="26"/>
          <w:szCs w:val="26"/>
        </w:rPr>
        <w:t>’</w:t>
      </w:r>
      <w:r w:rsidRPr="00787A9E">
        <w:rPr>
          <w:i/>
          <w:sz w:val="26"/>
          <w:szCs w:val="26"/>
        </w:rPr>
        <w:t>n v. National Utilities, Inc..,</w:t>
      </w:r>
      <w:r w:rsidRPr="00787A9E">
        <w:rPr>
          <w:sz w:val="26"/>
          <w:szCs w:val="26"/>
        </w:rPr>
        <w:t xml:space="preserve"> 1997 Pa. PUC LEXIS 1000 (Order entered January 16, 1997) at *9 and *15</w:t>
      </w:r>
      <w:r w:rsidR="00294EB2" w:rsidRPr="00787A9E">
        <w:rPr>
          <w:sz w:val="26"/>
          <w:szCs w:val="26"/>
        </w:rPr>
        <w:t>)</w:t>
      </w:r>
      <w:r w:rsidRPr="00787A9E">
        <w:rPr>
          <w:sz w:val="26"/>
          <w:szCs w:val="26"/>
        </w:rPr>
        <w:t xml:space="preserve">.  The Company argues that the reasons offered by the ALJs to support their decision to modify the Settlement are more </w:t>
      </w:r>
      <w:r w:rsidR="00626769">
        <w:rPr>
          <w:sz w:val="26"/>
          <w:szCs w:val="26"/>
        </w:rPr>
        <w:t>relevant</w:t>
      </w:r>
      <w:r w:rsidRPr="00787A9E">
        <w:rPr>
          <w:sz w:val="26"/>
          <w:szCs w:val="26"/>
        </w:rPr>
        <w:t xml:space="preserve"> to the water system.  Therefore, HVUS contends the Company</w:t>
      </w:r>
      <w:r w:rsidR="00A424DB">
        <w:rPr>
          <w:sz w:val="26"/>
          <w:szCs w:val="26"/>
        </w:rPr>
        <w:t>’</w:t>
      </w:r>
      <w:r w:rsidRPr="00787A9E">
        <w:rPr>
          <w:sz w:val="26"/>
          <w:szCs w:val="26"/>
        </w:rPr>
        <w:t>s wastewater rate relief should not be further reduced based on the quality of its water system.  HVUS Exc. at 11.</w:t>
      </w:r>
    </w:p>
    <w:p w14:paraId="2854E186" w14:textId="77777777" w:rsidR="003029AC" w:rsidRPr="00787A9E" w:rsidRDefault="003029AC" w:rsidP="00FD1A00">
      <w:pPr>
        <w:contextualSpacing/>
        <w:rPr>
          <w:sz w:val="26"/>
          <w:szCs w:val="26"/>
        </w:rPr>
      </w:pPr>
    </w:p>
    <w:p w14:paraId="5B5CA419" w14:textId="3316342C" w:rsidR="005C1600" w:rsidRPr="00787A9E" w:rsidRDefault="005C1600" w:rsidP="00FD1A00">
      <w:pPr>
        <w:ind w:firstLine="1440"/>
        <w:contextualSpacing/>
        <w:rPr>
          <w:sz w:val="26"/>
          <w:szCs w:val="26"/>
        </w:rPr>
      </w:pPr>
      <w:r w:rsidRPr="00787A9E">
        <w:rPr>
          <w:sz w:val="26"/>
          <w:szCs w:val="26"/>
        </w:rPr>
        <w:t xml:space="preserve">HVUS </w:t>
      </w:r>
      <w:r w:rsidR="00975C96" w:rsidRPr="00787A9E">
        <w:rPr>
          <w:sz w:val="26"/>
          <w:szCs w:val="26"/>
        </w:rPr>
        <w:t>also</w:t>
      </w:r>
      <w:r w:rsidRPr="00787A9E">
        <w:rPr>
          <w:sz w:val="26"/>
          <w:szCs w:val="26"/>
        </w:rPr>
        <w:t xml:space="preserve"> argues that the </w:t>
      </w:r>
      <w:r w:rsidRPr="00787A9E">
        <w:rPr>
          <w:i/>
          <w:sz w:val="26"/>
          <w:szCs w:val="26"/>
        </w:rPr>
        <w:t>July 2005 Order</w:t>
      </w:r>
      <w:r w:rsidR="00584E01">
        <w:rPr>
          <w:i/>
          <w:sz w:val="26"/>
          <w:szCs w:val="26"/>
        </w:rPr>
        <w:t>,</w:t>
      </w:r>
      <w:r w:rsidRPr="00787A9E">
        <w:rPr>
          <w:sz w:val="26"/>
          <w:szCs w:val="26"/>
        </w:rPr>
        <w:t xml:space="preserve"> which required several improvements in the Company</w:t>
      </w:r>
      <w:r w:rsidR="00A424DB">
        <w:rPr>
          <w:sz w:val="26"/>
          <w:szCs w:val="26"/>
        </w:rPr>
        <w:t>’</w:t>
      </w:r>
      <w:r w:rsidRPr="00787A9E">
        <w:rPr>
          <w:sz w:val="26"/>
          <w:szCs w:val="26"/>
        </w:rPr>
        <w:t>s water system</w:t>
      </w:r>
      <w:r w:rsidR="00584E01">
        <w:rPr>
          <w:sz w:val="26"/>
          <w:szCs w:val="26"/>
        </w:rPr>
        <w:t>,</w:t>
      </w:r>
      <w:r w:rsidRPr="00787A9E">
        <w:rPr>
          <w:sz w:val="26"/>
          <w:szCs w:val="26"/>
        </w:rPr>
        <w:t xml:space="preserve"> did not require any improvements in the wastewater system and that the finding of inadequate wastewater service only came to </w:t>
      </w:r>
      <w:r w:rsidR="00975C96" w:rsidRPr="00787A9E">
        <w:rPr>
          <w:sz w:val="26"/>
          <w:szCs w:val="26"/>
        </w:rPr>
        <w:t>light</w:t>
      </w:r>
      <w:r w:rsidRPr="00787A9E">
        <w:rPr>
          <w:sz w:val="26"/>
          <w:szCs w:val="26"/>
        </w:rPr>
        <w:t xml:space="preserve"> during the </w:t>
      </w:r>
      <w:r w:rsidRPr="00787A9E">
        <w:rPr>
          <w:i/>
          <w:sz w:val="26"/>
          <w:szCs w:val="26"/>
        </w:rPr>
        <w:t>McCloskey</w:t>
      </w:r>
      <w:r w:rsidRPr="00787A9E">
        <w:rPr>
          <w:sz w:val="26"/>
          <w:szCs w:val="26"/>
        </w:rPr>
        <w:t xml:space="preserve"> proceedings.  Therefore, HVUS avers that the ALJs</w:t>
      </w:r>
      <w:r w:rsidR="00A424DB">
        <w:rPr>
          <w:sz w:val="26"/>
          <w:szCs w:val="26"/>
        </w:rPr>
        <w:t>’</w:t>
      </w:r>
      <w:r w:rsidRPr="00787A9E">
        <w:rPr>
          <w:sz w:val="26"/>
          <w:szCs w:val="26"/>
        </w:rPr>
        <w:t xml:space="preserve"> </w:t>
      </w:r>
      <w:r w:rsidRPr="00787A9E">
        <w:rPr>
          <w:sz w:val="26"/>
          <w:szCs w:val="26"/>
        </w:rPr>
        <w:lastRenderedPageBreak/>
        <w:t>statement that the wastewater system has provided inadequate service for an extended period and that the Company refused to make the necessary improvements</w:t>
      </w:r>
      <w:r w:rsidR="00975C96" w:rsidRPr="00787A9E">
        <w:rPr>
          <w:sz w:val="26"/>
          <w:szCs w:val="26"/>
        </w:rPr>
        <w:t>,</w:t>
      </w:r>
      <w:r w:rsidRPr="00787A9E">
        <w:rPr>
          <w:sz w:val="26"/>
          <w:szCs w:val="26"/>
        </w:rPr>
        <w:t xml:space="preserve"> is not supported by </w:t>
      </w:r>
      <w:r w:rsidR="00750048" w:rsidRPr="00787A9E">
        <w:rPr>
          <w:sz w:val="26"/>
          <w:szCs w:val="26"/>
        </w:rPr>
        <w:t xml:space="preserve">the record </w:t>
      </w:r>
      <w:r w:rsidRPr="00787A9E">
        <w:rPr>
          <w:sz w:val="26"/>
          <w:szCs w:val="26"/>
        </w:rPr>
        <w:t xml:space="preserve">evidence. </w:t>
      </w:r>
      <w:r w:rsidRPr="00787A9E">
        <w:rPr>
          <w:i/>
          <w:sz w:val="26"/>
          <w:szCs w:val="26"/>
        </w:rPr>
        <w:t xml:space="preserve"> </w:t>
      </w:r>
      <w:r w:rsidR="00BE7332">
        <w:rPr>
          <w:sz w:val="26"/>
          <w:szCs w:val="26"/>
        </w:rPr>
        <w:t>HVUS Exc</w:t>
      </w:r>
      <w:r w:rsidRPr="00787A9E">
        <w:rPr>
          <w:i/>
          <w:sz w:val="26"/>
          <w:szCs w:val="26"/>
        </w:rPr>
        <w:t xml:space="preserve">. </w:t>
      </w:r>
      <w:r w:rsidRPr="00787A9E">
        <w:rPr>
          <w:sz w:val="26"/>
          <w:szCs w:val="26"/>
        </w:rPr>
        <w:t xml:space="preserve">at 12.  In addition, the Company contends the </w:t>
      </w:r>
      <w:r w:rsidRPr="00787A9E">
        <w:rPr>
          <w:i/>
          <w:sz w:val="26"/>
          <w:szCs w:val="26"/>
        </w:rPr>
        <w:t>January 2018 McCloskey Order</w:t>
      </w:r>
      <w:r w:rsidRPr="00787A9E">
        <w:rPr>
          <w:sz w:val="26"/>
          <w:szCs w:val="26"/>
        </w:rPr>
        <w:t xml:space="preserve"> was based on </w:t>
      </w:r>
      <w:r w:rsidR="00C45130" w:rsidRPr="00787A9E">
        <w:rPr>
          <w:sz w:val="26"/>
          <w:szCs w:val="26"/>
        </w:rPr>
        <w:t xml:space="preserve">the </w:t>
      </w:r>
      <w:r w:rsidRPr="00787A9E">
        <w:rPr>
          <w:sz w:val="26"/>
          <w:szCs w:val="26"/>
        </w:rPr>
        <w:t>record in a hearing held in November 2015 and so the Company</w:t>
      </w:r>
      <w:r w:rsidR="00A424DB">
        <w:rPr>
          <w:sz w:val="26"/>
          <w:szCs w:val="26"/>
        </w:rPr>
        <w:t>’</w:t>
      </w:r>
      <w:r w:rsidRPr="00787A9E">
        <w:rPr>
          <w:sz w:val="26"/>
          <w:szCs w:val="26"/>
        </w:rPr>
        <w:t>s wastewater rate relief should not be further reduced in 2019 based on a stale record.  From the Company</w:t>
      </w:r>
      <w:r w:rsidR="00A424DB">
        <w:rPr>
          <w:sz w:val="26"/>
          <w:szCs w:val="26"/>
        </w:rPr>
        <w:t>’</w:t>
      </w:r>
      <w:r w:rsidRPr="00787A9E">
        <w:rPr>
          <w:sz w:val="26"/>
          <w:szCs w:val="26"/>
        </w:rPr>
        <w:t xml:space="preserve">s point of view, the </w:t>
      </w:r>
      <w:r w:rsidRPr="00787A9E">
        <w:rPr>
          <w:i/>
          <w:sz w:val="26"/>
          <w:szCs w:val="26"/>
        </w:rPr>
        <w:t xml:space="preserve">January 2018 McCloskey Order </w:t>
      </w:r>
      <w:r w:rsidRPr="00787A9E">
        <w:rPr>
          <w:sz w:val="26"/>
          <w:szCs w:val="26"/>
        </w:rPr>
        <w:t xml:space="preserve">failed to acknowledge the several improvements the Company has made to its wastewater system since November 2015.  </w:t>
      </w:r>
      <w:r w:rsidRPr="00787A9E">
        <w:rPr>
          <w:i/>
          <w:sz w:val="26"/>
          <w:szCs w:val="26"/>
        </w:rPr>
        <w:t>Id</w:t>
      </w:r>
      <w:r w:rsidR="00714D6B" w:rsidRPr="00787A9E">
        <w:rPr>
          <w:i/>
          <w:sz w:val="26"/>
          <w:szCs w:val="26"/>
        </w:rPr>
        <w:t>.</w:t>
      </w:r>
      <w:r w:rsidR="00714D6B" w:rsidRPr="00787A9E">
        <w:rPr>
          <w:sz w:val="26"/>
          <w:szCs w:val="26"/>
        </w:rPr>
        <w:t xml:space="preserve"> </w:t>
      </w:r>
      <w:r w:rsidR="00294EB2" w:rsidRPr="00787A9E">
        <w:rPr>
          <w:sz w:val="26"/>
          <w:szCs w:val="26"/>
        </w:rPr>
        <w:t>(</w:t>
      </w:r>
      <w:r w:rsidRPr="00787A9E">
        <w:rPr>
          <w:sz w:val="26"/>
          <w:szCs w:val="26"/>
        </w:rPr>
        <w:t>citing HVUS M.B. at 31</w:t>
      </w:r>
      <w:r w:rsidR="00FE464E" w:rsidRPr="00787A9E">
        <w:rPr>
          <w:sz w:val="26"/>
          <w:szCs w:val="26"/>
        </w:rPr>
        <w:t>;</w:t>
      </w:r>
      <w:r w:rsidRPr="00787A9E">
        <w:rPr>
          <w:sz w:val="26"/>
          <w:szCs w:val="26"/>
        </w:rPr>
        <w:t xml:space="preserve"> HVUS St. 4-R (Wastewater)</w:t>
      </w:r>
      <w:r w:rsidR="00294EB2" w:rsidRPr="00787A9E">
        <w:rPr>
          <w:sz w:val="26"/>
          <w:szCs w:val="26"/>
        </w:rPr>
        <w:t>)</w:t>
      </w:r>
      <w:r w:rsidRPr="00787A9E">
        <w:rPr>
          <w:sz w:val="26"/>
          <w:szCs w:val="26"/>
        </w:rPr>
        <w:t>.  For instance, according to HVUS, its witness, Mr.</w:t>
      </w:r>
      <w:r w:rsidR="000C7612">
        <w:rPr>
          <w:sz w:val="26"/>
          <w:szCs w:val="26"/>
        </w:rPr>
        <w:t> </w:t>
      </w:r>
      <w:r w:rsidRPr="00787A9E">
        <w:rPr>
          <w:sz w:val="26"/>
          <w:szCs w:val="26"/>
        </w:rPr>
        <w:t>Kettler, testified that in 2016, the Company replaced the pump at the North Summit Lagoon, installed four liquid chlorine pumps and replaced the flow charge, and installed a new pressure transducer and pump controller for the equalization tank.  HVUS Exc. at 12</w:t>
      </w:r>
      <w:r w:rsidR="00FE464E" w:rsidRPr="00787A9E">
        <w:rPr>
          <w:sz w:val="26"/>
          <w:szCs w:val="26"/>
        </w:rPr>
        <w:t xml:space="preserve">, </w:t>
      </w:r>
      <w:r w:rsidR="00294EB2" w:rsidRPr="00787A9E">
        <w:rPr>
          <w:sz w:val="26"/>
          <w:szCs w:val="26"/>
        </w:rPr>
        <w:t>(</w:t>
      </w:r>
      <w:r w:rsidRPr="00787A9E">
        <w:rPr>
          <w:sz w:val="26"/>
          <w:szCs w:val="26"/>
        </w:rPr>
        <w:t>citing HVUS St. 1-R (Wastewater) at 9</w:t>
      </w:r>
      <w:r w:rsidR="00294EB2" w:rsidRPr="00787A9E">
        <w:rPr>
          <w:sz w:val="26"/>
          <w:szCs w:val="26"/>
        </w:rPr>
        <w:t>)</w:t>
      </w:r>
      <w:r w:rsidRPr="00787A9E">
        <w:rPr>
          <w:sz w:val="26"/>
          <w:szCs w:val="26"/>
        </w:rPr>
        <w:t xml:space="preserve">.  HVUS concludes that based on the testimonies in the instant proceeding and the record it produced in the </w:t>
      </w:r>
      <w:r w:rsidRPr="00787A9E">
        <w:rPr>
          <w:i/>
          <w:sz w:val="26"/>
          <w:szCs w:val="26"/>
        </w:rPr>
        <w:t xml:space="preserve">McCloskey </w:t>
      </w:r>
      <w:r w:rsidRPr="00787A9E">
        <w:rPr>
          <w:sz w:val="26"/>
          <w:szCs w:val="26"/>
        </w:rPr>
        <w:t>proceedings regarding its wastewater system, there is no support for the ALJs</w:t>
      </w:r>
      <w:r w:rsidR="00A424DB">
        <w:rPr>
          <w:sz w:val="26"/>
          <w:szCs w:val="26"/>
        </w:rPr>
        <w:t>’</w:t>
      </w:r>
      <w:r w:rsidRPr="00787A9E">
        <w:rPr>
          <w:sz w:val="26"/>
          <w:szCs w:val="26"/>
        </w:rPr>
        <w:t xml:space="preserve"> determination that the Company</w:t>
      </w:r>
      <w:r w:rsidR="00A424DB">
        <w:rPr>
          <w:sz w:val="26"/>
          <w:szCs w:val="26"/>
        </w:rPr>
        <w:t>’</w:t>
      </w:r>
      <w:r w:rsidRPr="00787A9E">
        <w:rPr>
          <w:sz w:val="26"/>
          <w:szCs w:val="26"/>
        </w:rPr>
        <w:t>s wastewater service is so egregious to warrant a further reduction in rate</w:t>
      </w:r>
      <w:r w:rsidR="00975C96" w:rsidRPr="00787A9E">
        <w:rPr>
          <w:sz w:val="26"/>
          <w:szCs w:val="26"/>
        </w:rPr>
        <w:t>s</w:t>
      </w:r>
      <w:r w:rsidRPr="00787A9E">
        <w:rPr>
          <w:sz w:val="26"/>
          <w:szCs w:val="26"/>
        </w:rPr>
        <w:t>.  HVUS Exc. at 12-14.</w:t>
      </w:r>
    </w:p>
    <w:p w14:paraId="0C104BCC" w14:textId="77777777" w:rsidR="005C1600" w:rsidRPr="00787A9E" w:rsidRDefault="005C1600" w:rsidP="00FD1A00">
      <w:pPr>
        <w:contextualSpacing/>
        <w:rPr>
          <w:sz w:val="26"/>
          <w:szCs w:val="26"/>
        </w:rPr>
      </w:pPr>
    </w:p>
    <w:p w14:paraId="6838761F" w14:textId="14029F41" w:rsidR="005C1600" w:rsidRPr="00787A9E" w:rsidRDefault="005C1600" w:rsidP="00FD1A00">
      <w:pPr>
        <w:ind w:firstLine="1440"/>
        <w:contextualSpacing/>
        <w:rPr>
          <w:sz w:val="26"/>
          <w:szCs w:val="26"/>
        </w:rPr>
      </w:pPr>
      <w:r w:rsidRPr="00787A9E">
        <w:rPr>
          <w:sz w:val="26"/>
          <w:szCs w:val="26"/>
        </w:rPr>
        <w:t xml:space="preserve">Next, HVUS contends that the improvements mandated by the Commission in the </w:t>
      </w:r>
      <w:r w:rsidRPr="00787A9E">
        <w:rPr>
          <w:i/>
          <w:sz w:val="26"/>
          <w:szCs w:val="26"/>
        </w:rPr>
        <w:t>McCloskey</w:t>
      </w:r>
      <w:r w:rsidRPr="00787A9E">
        <w:rPr>
          <w:sz w:val="26"/>
          <w:szCs w:val="26"/>
        </w:rPr>
        <w:t xml:space="preserve"> Orders were intended to result in reasonable and adequate wastewater service, and so completion of these improvements should be considered an appropriate trigger for the second-step increase in the phased-in increase in the Settlement.  </w:t>
      </w:r>
      <w:r w:rsidR="00993885" w:rsidRPr="00993885">
        <w:rPr>
          <w:sz w:val="26"/>
          <w:szCs w:val="26"/>
        </w:rPr>
        <w:t>HVUS Exc.</w:t>
      </w:r>
      <w:r w:rsidRPr="00993885">
        <w:rPr>
          <w:sz w:val="26"/>
          <w:szCs w:val="26"/>
        </w:rPr>
        <w:t xml:space="preserve"> at 14.   HVUS disagrees with the ALJs</w:t>
      </w:r>
      <w:r w:rsidR="00A424DB">
        <w:rPr>
          <w:sz w:val="26"/>
          <w:szCs w:val="26"/>
        </w:rPr>
        <w:t>’</w:t>
      </w:r>
      <w:r w:rsidRPr="00993885">
        <w:rPr>
          <w:sz w:val="26"/>
          <w:szCs w:val="26"/>
        </w:rPr>
        <w:t xml:space="preserve"> distinction of the completion of the</w:t>
      </w:r>
      <w:r w:rsidRPr="00787A9E">
        <w:rPr>
          <w:sz w:val="26"/>
          <w:szCs w:val="26"/>
        </w:rPr>
        <w:t xml:space="preserve"> improvement</w:t>
      </w:r>
      <w:r w:rsidR="008370D6" w:rsidRPr="00787A9E">
        <w:rPr>
          <w:sz w:val="26"/>
          <w:szCs w:val="26"/>
        </w:rPr>
        <w:t xml:space="preserve">s </w:t>
      </w:r>
      <w:r w:rsidRPr="00787A9E">
        <w:rPr>
          <w:sz w:val="26"/>
          <w:szCs w:val="26"/>
        </w:rPr>
        <w:t>from the provision of reasonable and adequate wastewater service in their Recommended Decision.  According to the Company, the ALJs stated:</w:t>
      </w:r>
    </w:p>
    <w:p w14:paraId="5918791F" w14:textId="77777777" w:rsidR="005C1600" w:rsidRPr="00787A9E" w:rsidRDefault="005C1600" w:rsidP="00FD1A00">
      <w:pPr>
        <w:contextualSpacing/>
        <w:rPr>
          <w:sz w:val="26"/>
          <w:szCs w:val="26"/>
        </w:rPr>
      </w:pPr>
    </w:p>
    <w:p w14:paraId="1AEB8FC0" w14:textId="054ABEC3" w:rsidR="005C1600" w:rsidRDefault="005C1600" w:rsidP="00FD1A00">
      <w:pPr>
        <w:spacing w:line="240" w:lineRule="auto"/>
        <w:ind w:left="1440" w:right="1440"/>
        <w:contextualSpacing/>
        <w:rPr>
          <w:b/>
          <w:i/>
          <w:sz w:val="26"/>
          <w:szCs w:val="26"/>
        </w:rPr>
      </w:pPr>
      <w:r w:rsidRPr="00787A9E">
        <w:rPr>
          <w:sz w:val="26"/>
          <w:szCs w:val="26"/>
        </w:rPr>
        <w:t xml:space="preserve">While the presiding officers agree with </w:t>
      </w:r>
      <w:r w:rsidR="00634398">
        <w:rPr>
          <w:sz w:val="26"/>
          <w:szCs w:val="26"/>
        </w:rPr>
        <w:t>[</w:t>
      </w:r>
      <w:r w:rsidR="00634398" w:rsidRPr="00634398">
        <w:rPr>
          <w:sz w:val="26"/>
          <w:szCs w:val="26"/>
        </w:rPr>
        <w:t>I&amp;E</w:t>
      </w:r>
      <w:r w:rsidR="00634398">
        <w:rPr>
          <w:sz w:val="26"/>
          <w:szCs w:val="26"/>
        </w:rPr>
        <w:t>]</w:t>
      </w:r>
      <w:r w:rsidR="00A424DB">
        <w:rPr>
          <w:sz w:val="26"/>
          <w:szCs w:val="26"/>
        </w:rPr>
        <w:t>’</w:t>
      </w:r>
      <w:r w:rsidRPr="00787A9E">
        <w:rPr>
          <w:sz w:val="26"/>
          <w:szCs w:val="26"/>
        </w:rPr>
        <w:t xml:space="preserve">s assertions in support of the Partial Settlement for water revenue, the presiding officers do not agree with </w:t>
      </w:r>
      <w:r w:rsidR="00634398">
        <w:rPr>
          <w:sz w:val="26"/>
          <w:szCs w:val="26"/>
        </w:rPr>
        <w:t>[</w:t>
      </w:r>
      <w:r w:rsidR="00634398" w:rsidRPr="00634398">
        <w:rPr>
          <w:sz w:val="26"/>
          <w:szCs w:val="26"/>
        </w:rPr>
        <w:t>I&amp;E</w:t>
      </w:r>
      <w:r w:rsidR="00634398">
        <w:rPr>
          <w:sz w:val="26"/>
          <w:szCs w:val="26"/>
        </w:rPr>
        <w:t>]</w:t>
      </w:r>
      <w:r w:rsidRPr="00787A9E">
        <w:rPr>
          <w:sz w:val="26"/>
          <w:szCs w:val="26"/>
        </w:rPr>
        <w:t xml:space="preserve"> about the need for a two-tier process to implement a revenue increase that results </w:t>
      </w:r>
      <w:r w:rsidRPr="00787A9E">
        <w:rPr>
          <w:sz w:val="26"/>
          <w:szCs w:val="26"/>
        </w:rPr>
        <w:lastRenderedPageBreak/>
        <w:t xml:space="preserve">in a 47.9% increase in wastewater rates and permits Hidden Valley to obtain an unknown return on equity.  As of the date the hearing record closed in this proceeding, Hidden Valley had not implemented the totality of the wastewater improvements mandated by the Commission to be done.  Once those improvements have been made – and verified as having been made – then Hidden Valley may be able to justify the second step increase.  However, the presiding officers disagree with Hidden Valley and BIE.  </w:t>
      </w:r>
      <w:r w:rsidRPr="00787A9E">
        <w:rPr>
          <w:b/>
          <w:i/>
          <w:sz w:val="26"/>
          <w:szCs w:val="26"/>
        </w:rPr>
        <w:t>If Hidden Valley wants to realize the second step increase in wastewater revenue, then Hidden Valley needs to provide quality wastewater services.</w:t>
      </w:r>
    </w:p>
    <w:p w14:paraId="1F84F40B" w14:textId="4A92FC1F" w:rsidR="000C7612" w:rsidRPr="000C7612" w:rsidRDefault="000C7612" w:rsidP="00FD1A00">
      <w:pPr>
        <w:spacing w:line="240" w:lineRule="auto"/>
        <w:ind w:left="1440" w:right="1440"/>
        <w:contextualSpacing/>
        <w:rPr>
          <w:i/>
          <w:sz w:val="26"/>
          <w:szCs w:val="26"/>
        </w:rPr>
      </w:pPr>
    </w:p>
    <w:p w14:paraId="03DF1EF6" w14:textId="77777777" w:rsidR="000C7612" w:rsidRPr="000C7612" w:rsidRDefault="000C7612" w:rsidP="00FD1A00">
      <w:pPr>
        <w:spacing w:line="240" w:lineRule="auto"/>
        <w:ind w:left="1440" w:right="1440"/>
        <w:contextualSpacing/>
        <w:rPr>
          <w:i/>
          <w:sz w:val="26"/>
          <w:szCs w:val="26"/>
        </w:rPr>
      </w:pPr>
    </w:p>
    <w:p w14:paraId="624E88F1" w14:textId="17B72B9E" w:rsidR="005C1600" w:rsidRPr="00787A9E" w:rsidRDefault="005C1600" w:rsidP="00FD1A00">
      <w:pPr>
        <w:contextualSpacing/>
        <w:rPr>
          <w:sz w:val="26"/>
          <w:szCs w:val="26"/>
        </w:rPr>
      </w:pPr>
      <w:r w:rsidRPr="00787A9E">
        <w:rPr>
          <w:i/>
          <w:sz w:val="26"/>
          <w:szCs w:val="26"/>
        </w:rPr>
        <w:t>Id.</w:t>
      </w:r>
      <w:r w:rsidRPr="00787A9E">
        <w:rPr>
          <w:sz w:val="26"/>
          <w:szCs w:val="26"/>
        </w:rPr>
        <w:t xml:space="preserve"> at 14-15 (citing R.D. at 50) (emphasis </w:t>
      </w:r>
      <w:r w:rsidR="002D19B0" w:rsidRPr="00787A9E">
        <w:rPr>
          <w:sz w:val="26"/>
          <w:szCs w:val="26"/>
        </w:rPr>
        <w:t>in original</w:t>
      </w:r>
      <w:r w:rsidRPr="00787A9E">
        <w:rPr>
          <w:sz w:val="26"/>
          <w:szCs w:val="26"/>
        </w:rPr>
        <w:t>).  From the Company</w:t>
      </w:r>
      <w:r w:rsidR="00A424DB">
        <w:rPr>
          <w:sz w:val="26"/>
          <w:szCs w:val="26"/>
        </w:rPr>
        <w:t>’</w:t>
      </w:r>
      <w:r w:rsidRPr="00787A9E">
        <w:rPr>
          <w:sz w:val="26"/>
          <w:szCs w:val="26"/>
        </w:rPr>
        <w:t xml:space="preserve">s point of view, the distinction made by the ALJs is in error because clearly the Commission intended to mandate the Company to complete improvements that would result in the provision of reasonable and adequate wastewater service when it directed in Ordering Paragraph No. 11 of the </w:t>
      </w:r>
      <w:r w:rsidRPr="00787A9E">
        <w:rPr>
          <w:i/>
          <w:sz w:val="26"/>
          <w:szCs w:val="26"/>
        </w:rPr>
        <w:t>May 2018 McCloskey Order</w:t>
      </w:r>
      <w:r w:rsidRPr="00787A9E">
        <w:rPr>
          <w:sz w:val="26"/>
          <w:szCs w:val="26"/>
        </w:rPr>
        <w:t xml:space="preserve"> </w:t>
      </w:r>
      <w:r w:rsidR="00A424DB">
        <w:rPr>
          <w:sz w:val="26"/>
          <w:szCs w:val="26"/>
        </w:rPr>
        <w:t>“</w:t>
      </w:r>
      <w:r w:rsidRPr="00787A9E">
        <w:rPr>
          <w:sz w:val="26"/>
          <w:szCs w:val="26"/>
        </w:rPr>
        <w:t>[t]hat Hidden Valley Utility Services, L.P., shall comply with all recommendations from the engineer with regard to wastewater services in order to ensure that customers shall receive adequate and reasonable wastewater service, on or before January 31, 2019.</w:t>
      </w:r>
      <w:r w:rsidR="00A424DB">
        <w:rPr>
          <w:sz w:val="26"/>
          <w:szCs w:val="26"/>
        </w:rPr>
        <w:t>”</w:t>
      </w:r>
      <w:r w:rsidRPr="00787A9E">
        <w:rPr>
          <w:sz w:val="26"/>
          <w:szCs w:val="26"/>
        </w:rPr>
        <w:t xml:space="preserve">  HVUS Exc. at 15</w:t>
      </w:r>
      <w:r w:rsidR="002C613E" w:rsidRPr="00787A9E">
        <w:rPr>
          <w:sz w:val="26"/>
          <w:szCs w:val="26"/>
        </w:rPr>
        <w:t xml:space="preserve"> </w:t>
      </w:r>
      <w:r w:rsidR="00294EB2" w:rsidRPr="00787A9E">
        <w:rPr>
          <w:sz w:val="26"/>
          <w:szCs w:val="26"/>
        </w:rPr>
        <w:t>(</w:t>
      </w:r>
      <w:r w:rsidRPr="00787A9E">
        <w:rPr>
          <w:sz w:val="26"/>
          <w:szCs w:val="26"/>
        </w:rPr>
        <w:t xml:space="preserve">citing </w:t>
      </w:r>
      <w:r w:rsidRPr="00787A9E">
        <w:rPr>
          <w:i/>
          <w:sz w:val="26"/>
          <w:szCs w:val="26"/>
        </w:rPr>
        <w:t>May 2018 McCloskey Order</w:t>
      </w:r>
      <w:r w:rsidRPr="00787A9E">
        <w:rPr>
          <w:sz w:val="26"/>
          <w:szCs w:val="26"/>
        </w:rPr>
        <w:t xml:space="preserve"> at 29</w:t>
      </w:r>
      <w:r w:rsidR="00294EB2" w:rsidRPr="00787A9E">
        <w:rPr>
          <w:sz w:val="26"/>
          <w:szCs w:val="26"/>
        </w:rPr>
        <w:t>)</w:t>
      </w:r>
      <w:r w:rsidRPr="00787A9E">
        <w:rPr>
          <w:sz w:val="26"/>
          <w:szCs w:val="26"/>
        </w:rPr>
        <w:t xml:space="preserve">.  According to HVUS, the </w:t>
      </w:r>
      <w:r w:rsidR="00B84524" w:rsidRPr="00787A9E">
        <w:rPr>
          <w:sz w:val="26"/>
          <w:szCs w:val="26"/>
        </w:rPr>
        <w:t xml:space="preserve">agreed-upon </w:t>
      </w:r>
      <w:r w:rsidRPr="00787A9E">
        <w:rPr>
          <w:sz w:val="26"/>
          <w:szCs w:val="26"/>
        </w:rPr>
        <w:t>Settlement rates</w:t>
      </w:r>
      <w:r w:rsidR="00B84524" w:rsidRPr="00787A9E">
        <w:rPr>
          <w:sz w:val="26"/>
          <w:szCs w:val="26"/>
        </w:rPr>
        <w:t xml:space="preserve"> </w:t>
      </w:r>
      <w:r w:rsidRPr="00787A9E">
        <w:rPr>
          <w:sz w:val="26"/>
          <w:szCs w:val="26"/>
        </w:rPr>
        <w:t xml:space="preserve">by the Joint Petitioners were intended to incentivize the Company to complete the improvements required by the </w:t>
      </w:r>
      <w:r w:rsidRPr="00787A9E">
        <w:rPr>
          <w:i/>
          <w:sz w:val="26"/>
          <w:szCs w:val="26"/>
        </w:rPr>
        <w:t>McCloskey Orders,</w:t>
      </w:r>
      <w:r w:rsidRPr="00787A9E">
        <w:rPr>
          <w:sz w:val="26"/>
          <w:szCs w:val="26"/>
        </w:rPr>
        <w:t xml:space="preserve"> as quickly as possible, even if they were not completed by the January 31, 2019 deadline.  HVUS further argues </w:t>
      </w:r>
      <w:r w:rsidR="00EC3449" w:rsidRPr="00787A9E">
        <w:rPr>
          <w:sz w:val="26"/>
          <w:szCs w:val="26"/>
        </w:rPr>
        <w:t xml:space="preserve">that </w:t>
      </w:r>
      <w:r w:rsidRPr="00787A9E">
        <w:rPr>
          <w:sz w:val="26"/>
          <w:szCs w:val="26"/>
        </w:rPr>
        <w:t xml:space="preserve">considering the Commission will not enter its </w:t>
      </w:r>
      <w:r w:rsidR="003423D0" w:rsidRPr="00787A9E">
        <w:rPr>
          <w:sz w:val="26"/>
          <w:szCs w:val="26"/>
        </w:rPr>
        <w:t>f</w:t>
      </w:r>
      <w:r w:rsidRPr="00787A9E">
        <w:rPr>
          <w:sz w:val="26"/>
          <w:szCs w:val="26"/>
        </w:rPr>
        <w:t>inal Order in this case until well after January 31, 2019, there would be no need for a two-step increase if the Parties intended to permit HVUS to implement the second-step increase on January 31, 2019.  HVUS Exc. at 15-16.</w:t>
      </w:r>
    </w:p>
    <w:p w14:paraId="79E86AED" w14:textId="77777777" w:rsidR="003423D0" w:rsidRPr="00787A9E" w:rsidRDefault="003423D0" w:rsidP="00FD1A00">
      <w:pPr>
        <w:contextualSpacing/>
        <w:rPr>
          <w:sz w:val="26"/>
          <w:szCs w:val="26"/>
        </w:rPr>
      </w:pPr>
    </w:p>
    <w:p w14:paraId="645AFD15" w14:textId="7CA51BEA" w:rsidR="005C1600" w:rsidRPr="00787A9E" w:rsidRDefault="005C1600" w:rsidP="00FD1A00">
      <w:pPr>
        <w:ind w:firstLine="1440"/>
        <w:contextualSpacing/>
        <w:rPr>
          <w:sz w:val="26"/>
          <w:szCs w:val="26"/>
        </w:rPr>
      </w:pPr>
      <w:r w:rsidRPr="00787A9E">
        <w:rPr>
          <w:sz w:val="26"/>
          <w:szCs w:val="26"/>
        </w:rPr>
        <w:t>Finally, HVUS avers that if the Commission agrees with the ALJs and decides to modify the Settlement, rather than eliminate the second step of the wastewater</w:t>
      </w:r>
      <w:r w:rsidR="00CB501C">
        <w:rPr>
          <w:sz w:val="26"/>
          <w:szCs w:val="26"/>
        </w:rPr>
        <w:t xml:space="preserve"> </w:t>
      </w:r>
      <w:r w:rsidR="00CB501C">
        <w:rPr>
          <w:sz w:val="26"/>
          <w:szCs w:val="26"/>
        </w:rPr>
        <w:lastRenderedPageBreak/>
        <w:t>increase</w:t>
      </w:r>
      <w:r w:rsidRPr="00787A9E">
        <w:rPr>
          <w:sz w:val="26"/>
          <w:szCs w:val="26"/>
        </w:rPr>
        <w:t xml:space="preserve">, the Commission should use Ordering Paragraph No. 20 of the </w:t>
      </w:r>
      <w:r w:rsidRPr="00787A9E">
        <w:rPr>
          <w:i/>
          <w:sz w:val="26"/>
          <w:szCs w:val="26"/>
        </w:rPr>
        <w:t>May 2018 McCloskey Order</w:t>
      </w:r>
      <w:r w:rsidRPr="00787A9E">
        <w:rPr>
          <w:sz w:val="26"/>
          <w:szCs w:val="26"/>
        </w:rPr>
        <w:t xml:space="preserve"> to determine when the Company may implement the second step of the wastewater rate increase.</w:t>
      </w:r>
      <w:r w:rsidRPr="00787A9E">
        <w:rPr>
          <w:rStyle w:val="FootnoteReference"/>
          <w:sz w:val="26"/>
          <w:szCs w:val="26"/>
        </w:rPr>
        <w:footnoteReference w:id="21"/>
      </w:r>
      <w:r w:rsidRPr="00787A9E">
        <w:rPr>
          <w:sz w:val="26"/>
          <w:szCs w:val="26"/>
        </w:rPr>
        <w:t xml:space="preserve">  In other words, HVUS contends the Commission should </w:t>
      </w:r>
      <w:r w:rsidRPr="00787A9E">
        <w:rPr>
          <w:sz w:val="26"/>
          <w:szCs w:val="26"/>
        </w:rPr>
        <w:lastRenderedPageBreak/>
        <w:t xml:space="preserve">modify the event that triggers that rate increase based on the quality of wastewater service, as suggested by the ALJs.  According to the Company, on January 31, 2019, it submitted its </w:t>
      </w:r>
      <w:r w:rsidR="00EF75D0" w:rsidRPr="00787A9E">
        <w:rPr>
          <w:sz w:val="26"/>
          <w:szCs w:val="26"/>
        </w:rPr>
        <w:t>E</w:t>
      </w:r>
      <w:r w:rsidRPr="00787A9E">
        <w:rPr>
          <w:sz w:val="26"/>
          <w:szCs w:val="26"/>
        </w:rPr>
        <w:t>ngineer</w:t>
      </w:r>
      <w:r w:rsidR="00A424DB">
        <w:rPr>
          <w:sz w:val="26"/>
          <w:szCs w:val="26"/>
        </w:rPr>
        <w:t>’</w:t>
      </w:r>
      <w:r w:rsidRPr="00787A9E">
        <w:rPr>
          <w:sz w:val="26"/>
          <w:szCs w:val="26"/>
        </w:rPr>
        <w:t xml:space="preserve">s </w:t>
      </w:r>
      <w:r w:rsidR="00EF75D0" w:rsidRPr="00787A9E">
        <w:rPr>
          <w:sz w:val="26"/>
          <w:szCs w:val="26"/>
        </w:rPr>
        <w:t>R</w:t>
      </w:r>
      <w:r w:rsidRPr="00787A9E">
        <w:rPr>
          <w:sz w:val="26"/>
          <w:szCs w:val="26"/>
        </w:rPr>
        <w:t xml:space="preserve">eport and verification (also attached to its Exceptions as Attachment A) indicating that several items in the wastewater </w:t>
      </w:r>
      <w:r w:rsidR="00EF75D0" w:rsidRPr="00787A9E">
        <w:rPr>
          <w:sz w:val="26"/>
          <w:szCs w:val="26"/>
        </w:rPr>
        <w:t>E</w:t>
      </w:r>
      <w:r w:rsidRPr="00787A9E">
        <w:rPr>
          <w:sz w:val="26"/>
          <w:szCs w:val="26"/>
        </w:rPr>
        <w:t>ngineer</w:t>
      </w:r>
      <w:r w:rsidR="00A424DB">
        <w:rPr>
          <w:sz w:val="26"/>
          <w:szCs w:val="26"/>
        </w:rPr>
        <w:t>’</w:t>
      </w:r>
      <w:r w:rsidRPr="00787A9E">
        <w:rPr>
          <w:sz w:val="26"/>
          <w:szCs w:val="26"/>
        </w:rPr>
        <w:t xml:space="preserve">s </w:t>
      </w:r>
      <w:r w:rsidR="00EF75D0" w:rsidRPr="00787A9E">
        <w:rPr>
          <w:sz w:val="26"/>
          <w:szCs w:val="26"/>
        </w:rPr>
        <w:t>R</w:t>
      </w:r>
      <w:r w:rsidRPr="00787A9E">
        <w:rPr>
          <w:sz w:val="26"/>
          <w:szCs w:val="26"/>
        </w:rPr>
        <w:t>eport were not yet complete</w:t>
      </w:r>
      <w:r w:rsidR="00294EB2" w:rsidRPr="00787A9E">
        <w:rPr>
          <w:sz w:val="26"/>
          <w:szCs w:val="26"/>
        </w:rPr>
        <w:t>.</w:t>
      </w:r>
      <w:r w:rsidRPr="00787A9E">
        <w:rPr>
          <w:sz w:val="26"/>
          <w:szCs w:val="26"/>
        </w:rPr>
        <w:t xml:space="preserve"> </w:t>
      </w:r>
      <w:r w:rsidR="00294EB2" w:rsidRPr="00787A9E">
        <w:rPr>
          <w:sz w:val="26"/>
          <w:szCs w:val="26"/>
        </w:rPr>
        <w:t xml:space="preserve"> The Company acknowledged </w:t>
      </w:r>
      <w:r w:rsidRPr="00787A9E">
        <w:rPr>
          <w:sz w:val="26"/>
          <w:szCs w:val="26"/>
        </w:rPr>
        <w:t>that as a general rule, new evidence should not be appended to Exceptions</w:t>
      </w:r>
      <w:r w:rsidR="00294EB2" w:rsidRPr="00787A9E">
        <w:rPr>
          <w:sz w:val="26"/>
          <w:szCs w:val="26"/>
        </w:rPr>
        <w:t>, but that the Commission could take judicial notice of its own records indicating the previously filed Engineer</w:t>
      </w:r>
      <w:r w:rsidR="00A424DB">
        <w:rPr>
          <w:sz w:val="26"/>
          <w:szCs w:val="26"/>
        </w:rPr>
        <w:t>’</w:t>
      </w:r>
      <w:r w:rsidR="00294EB2" w:rsidRPr="00787A9E">
        <w:rPr>
          <w:sz w:val="26"/>
          <w:szCs w:val="26"/>
        </w:rPr>
        <w:t>s Report</w:t>
      </w:r>
      <w:r w:rsidRPr="00787A9E">
        <w:rPr>
          <w:sz w:val="26"/>
          <w:szCs w:val="26"/>
        </w:rPr>
        <w:t xml:space="preserve">.  </w:t>
      </w:r>
      <w:r w:rsidR="00CB501C" w:rsidRPr="00CB501C">
        <w:rPr>
          <w:sz w:val="26"/>
          <w:szCs w:val="26"/>
        </w:rPr>
        <w:t>HVUS Exc.</w:t>
      </w:r>
      <w:r w:rsidRPr="00CB501C">
        <w:rPr>
          <w:sz w:val="26"/>
          <w:szCs w:val="26"/>
        </w:rPr>
        <w:t xml:space="preserve"> at</w:t>
      </w:r>
      <w:r w:rsidRPr="00787A9E">
        <w:rPr>
          <w:sz w:val="26"/>
          <w:szCs w:val="26"/>
        </w:rPr>
        <w:t xml:space="preserve"> 16-17.  </w:t>
      </w:r>
    </w:p>
    <w:p w14:paraId="11ABF98E" w14:textId="77777777" w:rsidR="005C1600" w:rsidRPr="00787A9E" w:rsidRDefault="005C1600" w:rsidP="00FD1A00">
      <w:pPr>
        <w:contextualSpacing/>
        <w:rPr>
          <w:sz w:val="26"/>
          <w:szCs w:val="26"/>
        </w:rPr>
      </w:pPr>
    </w:p>
    <w:p w14:paraId="0D9177C8" w14:textId="3C7C5A58" w:rsidR="005C1600" w:rsidRPr="00787A9E" w:rsidRDefault="005C1600" w:rsidP="00FD1A00">
      <w:pPr>
        <w:ind w:firstLine="1440"/>
        <w:contextualSpacing/>
        <w:rPr>
          <w:sz w:val="26"/>
          <w:szCs w:val="26"/>
        </w:rPr>
      </w:pPr>
      <w:r w:rsidRPr="00787A9E">
        <w:rPr>
          <w:sz w:val="26"/>
          <w:szCs w:val="26"/>
        </w:rPr>
        <w:t xml:space="preserve">Furthermore, the Company contends that pursuant to Ordering Paragraph No. 20 of the </w:t>
      </w:r>
      <w:r w:rsidRPr="00787A9E">
        <w:rPr>
          <w:i/>
          <w:sz w:val="26"/>
          <w:szCs w:val="26"/>
        </w:rPr>
        <w:t xml:space="preserve">May 2018 McCloskey Order, </w:t>
      </w:r>
      <w:r w:rsidRPr="00787A9E">
        <w:rPr>
          <w:sz w:val="26"/>
          <w:szCs w:val="26"/>
        </w:rPr>
        <w:t>after March 31, 2019, upon TUS</w:t>
      </w:r>
      <w:r w:rsidR="00A424DB">
        <w:rPr>
          <w:sz w:val="26"/>
          <w:szCs w:val="26"/>
        </w:rPr>
        <w:t>’</w:t>
      </w:r>
      <w:r w:rsidRPr="00787A9E">
        <w:rPr>
          <w:sz w:val="26"/>
          <w:szCs w:val="26"/>
        </w:rPr>
        <w:t>s determination that HVUS is in fact providing reasonable and adequate wastewater service, the Commission should permit the Company to implement the second step of the wastewater increase at that time.  Similarly, the Company states that if an evidentiary hearing is required and the ALJ ultimately concludes that HVUS is providing reasonable and adequate wastewater service, the Company should be permitted to implement the second step of the wastewater increase at that time.  HVUS believes this approach is consistent with Sections 523 and 526 of the Code which give the Commission discretion to disapprove a rate increase request, in whole or in part, based on the quality of service.  HVUS concludes that when it is found to be providing reasonable and adequate wastewater service, these sections provide no basis for a reduction of the Company</w:t>
      </w:r>
      <w:r w:rsidR="00A424DB">
        <w:rPr>
          <w:sz w:val="26"/>
          <w:szCs w:val="26"/>
        </w:rPr>
        <w:t>’</w:t>
      </w:r>
      <w:r w:rsidRPr="00787A9E">
        <w:rPr>
          <w:sz w:val="26"/>
          <w:szCs w:val="26"/>
        </w:rPr>
        <w:t xml:space="preserve">s wastewater rates.  Therefore, HVUS requests that if TUS or the ALJ find that the Company is providing reasonable and adequate wastewater service, the Commission should permit the Company to implement the second step of its wastewater rate increases at that time.  </w:t>
      </w:r>
      <w:r w:rsidR="00031FB2">
        <w:rPr>
          <w:sz w:val="26"/>
          <w:szCs w:val="26"/>
        </w:rPr>
        <w:t>HVUS Exc.</w:t>
      </w:r>
      <w:r w:rsidRPr="00787A9E">
        <w:rPr>
          <w:sz w:val="26"/>
          <w:szCs w:val="26"/>
        </w:rPr>
        <w:t xml:space="preserve"> at 17.</w:t>
      </w:r>
    </w:p>
    <w:p w14:paraId="20ACFA2A" w14:textId="77777777" w:rsidR="008F03ED" w:rsidRPr="00787A9E" w:rsidRDefault="008F03ED" w:rsidP="00FD1A00">
      <w:pPr>
        <w:pStyle w:val="Default"/>
        <w:spacing w:line="360" w:lineRule="auto"/>
        <w:ind w:firstLine="1440"/>
        <w:contextualSpacing/>
        <w:rPr>
          <w:sz w:val="26"/>
          <w:szCs w:val="26"/>
        </w:rPr>
      </w:pPr>
    </w:p>
    <w:p w14:paraId="2705F42D" w14:textId="5F18E806" w:rsidR="007D3009" w:rsidRPr="00787A9E" w:rsidRDefault="00BD31C7" w:rsidP="00FD1A00">
      <w:pPr>
        <w:pStyle w:val="Default"/>
        <w:keepNext/>
        <w:keepLines/>
        <w:numPr>
          <w:ilvl w:val="0"/>
          <w:numId w:val="15"/>
        </w:numPr>
        <w:spacing w:line="360" w:lineRule="auto"/>
        <w:ind w:left="2520"/>
        <w:contextualSpacing/>
        <w:rPr>
          <w:b/>
          <w:sz w:val="26"/>
          <w:szCs w:val="26"/>
        </w:rPr>
      </w:pPr>
      <w:r w:rsidRPr="00787A9E">
        <w:rPr>
          <w:b/>
          <w:sz w:val="26"/>
          <w:szCs w:val="26"/>
        </w:rPr>
        <w:tab/>
      </w:r>
      <w:r w:rsidR="00D262F1" w:rsidRPr="00787A9E">
        <w:rPr>
          <w:b/>
          <w:sz w:val="26"/>
          <w:szCs w:val="26"/>
        </w:rPr>
        <w:t>I&amp;E</w:t>
      </w:r>
      <w:r w:rsidR="00A424DB">
        <w:rPr>
          <w:b/>
          <w:sz w:val="26"/>
          <w:szCs w:val="26"/>
        </w:rPr>
        <w:t>’</w:t>
      </w:r>
      <w:r w:rsidR="00D262F1" w:rsidRPr="00787A9E">
        <w:rPr>
          <w:b/>
          <w:sz w:val="26"/>
          <w:szCs w:val="26"/>
        </w:rPr>
        <w:t>s Exception</w:t>
      </w:r>
      <w:r w:rsidR="007848D6" w:rsidRPr="00787A9E">
        <w:rPr>
          <w:b/>
          <w:sz w:val="26"/>
          <w:szCs w:val="26"/>
        </w:rPr>
        <w:t xml:space="preserve"> No.</w:t>
      </w:r>
      <w:r w:rsidR="009232F6" w:rsidRPr="00787A9E">
        <w:rPr>
          <w:b/>
          <w:sz w:val="26"/>
          <w:szCs w:val="26"/>
        </w:rPr>
        <w:t xml:space="preserve"> </w:t>
      </w:r>
      <w:r w:rsidR="007848D6" w:rsidRPr="00787A9E">
        <w:rPr>
          <w:b/>
          <w:sz w:val="26"/>
          <w:szCs w:val="26"/>
        </w:rPr>
        <w:t>1</w:t>
      </w:r>
    </w:p>
    <w:p w14:paraId="2A7530CD" w14:textId="77777777" w:rsidR="002C6FAF" w:rsidRPr="00787A9E" w:rsidRDefault="002C6FAF" w:rsidP="00FD1A00">
      <w:pPr>
        <w:pStyle w:val="Default"/>
        <w:keepNext/>
        <w:keepLines/>
        <w:spacing w:line="360" w:lineRule="auto"/>
        <w:ind w:left="1800"/>
        <w:contextualSpacing/>
        <w:rPr>
          <w:b/>
          <w:sz w:val="26"/>
          <w:szCs w:val="26"/>
        </w:rPr>
      </w:pPr>
    </w:p>
    <w:p w14:paraId="6CDDE2C4" w14:textId="52C2AC85" w:rsidR="007D3009" w:rsidRPr="00787A9E" w:rsidRDefault="007D3009" w:rsidP="00FD1A00">
      <w:pPr>
        <w:ind w:firstLine="1440"/>
        <w:contextualSpacing/>
        <w:rPr>
          <w:sz w:val="26"/>
          <w:szCs w:val="26"/>
        </w:rPr>
      </w:pPr>
      <w:r w:rsidRPr="00787A9E">
        <w:rPr>
          <w:sz w:val="26"/>
          <w:szCs w:val="26"/>
        </w:rPr>
        <w:t xml:space="preserve">In its Exception No.1, I&amp;E </w:t>
      </w:r>
      <w:r w:rsidR="00E46054" w:rsidRPr="00787A9E">
        <w:rPr>
          <w:sz w:val="26"/>
          <w:szCs w:val="26"/>
        </w:rPr>
        <w:t xml:space="preserve">also </w:t>
      </w:r>
      <w:r w:rsidRPr="00787A9E">
        <w:rPr>
          <w:sz w:val="26"/>
          <w:szCs w:val="26"/>
        </w:rPr>
        <w:t xml:space="preserve">contends the ALJs improperly modified the Settlement by rejecting the </w:t>
      </w:r>
      <w:r w:rsidR="002C6FAF" w:rsidRPr="00787A9E">
        <w:rPr>
          <w:sz w:val="26"/>
          <w:szCs w:val="26"/>
        </w:rPr>
        <w:t xml:space="preserve">second-step increase of the </w:t>
      </w:r>
      <w:r w:rsidRPr="00787A9E">
        <w:rPr>
          <w:sz w:val="26"/>
          <w:szCs w:val="26"/>
        </w:rPr>
        <w:t xml:space="preserve">proposed phased-in wastewater rates.  First, I&amp;E emphasizes the fact that the Commission encourages settlement and requests that the Settlement not be disturbed because it is preferable to the results that would </w:t>
      </w:r>
      <w:r w:rsidR="000630D5" w:rsidRPr="00787A9E">
        <w:rPr>
          <w:sz w:val="26"/>
          <w:szCs w:val="26"/>
        </w:rPr>
        <w:t xml:space="preserve">have </w:t>
      </w:r>
      <w:r w:rsidRPr="00787A9E">
        <w:rPr>
          <w:sz w:val="26"/>
          <w:szCs w:val="26"/>
        </w:rPr>
        <w:t>be</w:t>
      </w:r>
      <w:r w:rsidR="00BA65AF" w:rsidRPr="00787A9E">
        <w:rPr>
          <w:sz w:val="26"/>
          <w:szCs w:val="26"/>
        </w:rPr>
        <w:t>en</w:t>
      </w:r>
      <w:r w:rsidRPr="00787A9E">
        <w:rPr>
          <w:sz w:val="26"/>
          <w:szCs w:val="26"/>
        </w:rPr>
        <w:t xml:space="preserve"> achieved if the issues in this proceeding were </w:t>
      </w:r>
      <w:r w:rsidR="002C6FAF" w:rsidRPr="00787A9E">
        <w:rPr>
          <w:sz w:val="26"/>
          <w:szCs w:val="26"/>
        </w:rPr>
        <w:t xml:space="preserve">to be </w:t>
      </w:r>
      <w:r w:rsidRPr="00787A9E">
        <w:rPr>
          <w:sz w:val="26"/>
          <w:szCs w:val="26"/>
        </w:rPr>
        <w:t>fully litigated.  I&amp;E posits it did not enter into the Settlement lightly given the complexity of the service issues and the impact of the service issues on the Company</w:t>
      </w:r>
      <w:r w:rsidR="00A424DB">
        <w:rPr>
          <w:sz w:val="26"/>
          <w:szCs w:val="26"/>
        </w:rPr>
        <w:t>’</w:t>
      </w:r>
      <w:r w:rsidRPr="00787A9E">
        <w:rPr>
          <w:sz w:val="26"/>
          <w:szCs w:val="26"/>
        </w:rPr>
        <w:t xml:space="preserve">s customers.  I&amp;E avers that it </w:t>
      </w:r>
      <w:r w:rsidR="0056397C" w:rsidRPr="00787A9E">
        <w:rPr>
          <w:sz w:val="26"/>
          <w:szCs w:val="26"/>
        </w:rPr>
        <w:t>strongly</w:t>
      </w:r>
      <w:r w:rsidRPr="00787A9E">
        <w:rPr>
          <w:sz w:val="26"/>
          <w:szCs w:val="26"/>
        </w:rPr>
        <w:t xml:space="preserve"> represented its positions in this proceeding by engaging in extensive formal and informal discovery, attending two mediation sessions that failed to result in a resolution of the issues, preparing multiple rounds of testimony, attending two public input hearings</w:t>
      </w:r>
      <w:r w:rsidR="00B313E9" w:rsidRPr="00787A9E">
        <w:rPr>
          <w:sz w:val="26"/>
          <w:szCs w:val="26"/>
        </w:rPr>
        <w:t>,</w:t>
      </w:r>
      <w:r w:rsidRPr="00787A9E">
        <w:rPr>
          <w:sz w:val="26"/>
          <w:szCs w:val="26"/>
        </w:rPr>
        <w:t xml:space="preserve"> and engaging in lengthy settlement discussions.  And that in all of these efforts and in reaching the Settle</w:t>
      </w:r>
      <w:r w:rsidR="002C6FAF" w:rsidRPr="00787A9E">
        <w:rPr>
          <w:sz w:val="26"/>
          <w:szCs w:val="26"/>
        </w:rPr>
        <w:t>ment</w:t>
      </w:r>
      <w:r w:rsidRPr="00787A9E">
        <w:rPr>
          <w:sz w:val="26"/>
          <w:szCs w:val="26"/>
        </w:rPr>
        <w:t xml:space="preserve"> rates, it focused on how best to reflect the service concerns experienced by</w:t>
      </w:r>
      <w:r w:rsidR="00B313E9" w:rsidRPr="00787A9E">
        <w:rPr>
          <w:sz w:val="26"/>
          <w:szCs w:val="26"/>
        </w:rPr>
        <w:t xml:space="preserve"> the Company</w:t>
      </w:r>
      <w:r w:rsidR="00A424DB">
        <w:rPr>
          <w:sz w:val="26"/>
          <w:szCs w:val="26"/>
        </w:rPr>
        <w:t>’</w:t>
      </w:r>
      <w:r w:rsidR="00B313E9" w:rsidRPr="00787A9E">
        <w:rPr>
          <w:sz w:val="26"/>
          <w:szCs w:val="26"/>
        </w:rPr>
        <w:t>s</w:t>
      </w:r>
      <w:r w:rsidRPr="00787A9E">
        <w:rPr>
          <w:sz w:val="26"/>
          <w:szCs w:val="26"/>
        </w:rPr>
        <w:t xml:space="preserve"> customers while also recognizing that</w:t>
      </w:r>
      <w:r w:rsidR="00B313E9" w:rsidRPr="00787A9E">
        <w:rPr>
          <w:sz w:val="26"/>
          <w:szCs w:val="26"/>
        </w:rPr>
        <w:t xml:space="preserve"> HVUS </w:t>
      </w:r>
      <w:r w:rsidRPr="00787A9E">
        <w:rPr>
          <w:sz w:val="26"/>
          <w:szCs w:val="26"/>
        </w:rPr>
        <w:t xml:space="preserve">had not increased </w:t>
      </w:r>
      <w:r w:rsidR="002C6FAF" w:rsidRPr="00787A9E">
        <w:rPr>
          <w:sz w:val="26"/>
          <w:szCs w:val="26"/>
        </w:rPr>
        <w:t xml:space="preserve">its </w:t>
      </w:r>
      <w:r w:rsidRPr="00787A9E">
        <w:rPr>
          <w:sz w:val="26"/>
          <w:szCs w:val="26"/>
        </w:rPr>
        <w:t>rates for approximately thirteen years.  I&amp;E Exc. at 4-5.</w:t>
      </w:r>
    </w:p>
    <w:p w14:paraId="17515F2F" w14:textId="77777777" w:rsidR="007D3009" w:rsidRPr="00787A9E" w:rsidRDefault="007D3009" w:rsidP="00FD1A00">
      <w:pPr>
        <w:ind w:left="720" w:firstLine="720"/>
        <w:contextualSpacing/>
        <w:rPr>
          <w:sz w:val="26"/>
          <w:szCs w:val="26"/>
        </w:rPr>
      </w:pPr>
    </w:p>
    <w:p w14:paraId="27BD49CB" w14:textId="5E6902B5" w:rsidR="007D3009" w:rsidRPr="00787A9E" w:rsidRDefault="007D3009" w:rsidP="00FD1A00">
      <w:pPr>
        <w:ind w:firstLine="1440"/>
        <w:contextualSpacing/>
        <w:rPr>
          <w:sz w:val="26"/>
          <w:szCs w:val="26"/>
        </w:rPr>
      </w:pPr>
      <w:r w:rsidRPr="00787A9E">
        <w:rPr>
          <w:sz w:val="26"/>
          <w:szCs w:val="26"/>
        </w:rPr>
        <w:t>I&amp;E avers that while it weighed the ability of the Company to recover reasonable expenses, plant, and taxes, but not</w:t>
      </w:r>
      <w:r w:rsidR="00C26020">
        <w:rPr>
          <w:sz w:val="26"/>
          <w:szCs w:val="26"/>
        </w:rPr>
        <w:t xml:space="preserve"> to</w:t>
      </w:r>
      <w:r w:rsidRPr="00787A9E">
        <w:rPr>
          <w:sz w:val="26"/>
          <w:szCs w:val="26"/>
        </w:rPr>
        <w:t xml:space="preserve"> allow recovery of any return on equity given that the</w:t>
      </w:r>
      <w:r w:rsidR="008F5723" w:rsidRPr="00787A9E">
        <w:rPr>
          <w:sz w:val="26"/>
          <w:szCs w:val="26"/>
        </w:rPr>
        <w:t xml:space="preserve"> Commission</w:t>
      </w:r>
      <w:r w:rsidRPr="00787A9E">
        <w:rPr>
          <w:sz w:val="26"/>
          <w:szCs w:val="26"/>
        </w:rPr>
        <w:t xml:space="preserve"> found violation of Section 1501 for </w:t>
      </w:r>
      <w:r w:rsidR="00C84104" w:rsidRPr="00787A9E">
        <w:rPr>
          <w:sz w:val="26"/>
          <w:szCs w:val="26"/>
        </w:rPr>
        <w:t xml:space="preserve">both </w:t>
      </w:r>
      <w:r w:rsidRPr="00787A9E">
        <w:rPr>
          <w:sz w:val="26"/>
          <w:szCs w:val="26"/>
        </w:rPr>
        <w:t>water and wastewater service</w:t>
      </w:r>
      <w:r w:rsidR="00C84104" w:rsidRPr="00787A9E">
        <w:rPr>
          <w:sz w:val="26"/>
          <w:szCs w:val="26"/>
        </w:rPr>
        <w:t>s</w:t>
      </w:r>
      <w:r w:rsidRPr="00787A9E">
        <w:rPr>
          <w:sz w:val="26"/>
          <w:szCs w:val="26"/>
        </w:rPr>
        <w:t xml:space="preserve"> provided by the Company</w:t>
      </w:r>
      <w:r w:rsidR="008F5723" w:rsidRPr="00787A9E">
        <w:rPr>
          <w:sz w:val="26"/>
          <w:szCs w:val="26"/>
        </w:rPr>
        <w:t xml:space="preserve"> in the</w:t>
      </w:r>
      <w:r w:rsidR="008F5723" w:rsidRPr="00787A9E">
        <w:rPr>
          <w:i/>
          <w:sz w:val="26"/>
          <w:szCs w:val="26"/>
        </w:rPr>
        <w:t xml:space="preserve"> McCloskey</w:t>
      </w:r>
      <w:r w:rsidR="008F5723" w:rsidRPr="00787A9E">
        <w:rPr>
          <w:sz w:val="26"/>
          <w:szCs w:val="26"/>
        </w:rPr>
        <w:t xml:space="preserve"> proceedings</w:t>
      </w:r>
      <w:r w:rsidRPr="00787A9E">
        <w:rPr>
          <w:sz w:val="26"/>
          <w:szCs w:val="26"/>
        </w:rPr>
        <w:t xml:space="preserve">, it believed </w:t>
      </w:r>
      <w:r w:rsidR="000872FE" w:rsidRPr="00787A9E">
        <w:rPr>
          <w:sz w:val="26"/>
          <w:szCs w:val="26"/>
        </w:rPr>
        <w:t xml:space="preserve">that </w:t>
      </w:r>
      <w:r w:rsidRPr="00787A9E">
        <w:rPr>
          <w:sz w:val="26"/>
          <w:szCs w:val="26"/>
        </w:rPr>
        <w:t>for settlement purposes, it was important to differentiate betwee</w:t>
      </w:r>
      <w:r w:rsidR="000872FE" w:rsidRPr="00787A9E">
        <w:rPr>
          <w:sz w:val="26"/>
          <w:szCs w:val="26"/>
        </w:rPr>
        <w:t>n the Company</w:t>
      </w:r>
      <w:r w:rsidR="00A424DB">
        <w:rPr>
          <w:sz w:val="26"/>
          <w:szCs w:val="26"/>
        </w:rPr>
        <w:t>’</w:t>
      </w:r>
      <w:r w:rsidR="000872FE" w:rsidRPr="00787A9E">
        <w:rPr>
          <w:sz w:val="26"/>
          <w:szCs w:val="26"/>
        </w:rPr>
        <w:t xml:space="preserve">s </w:t>
      </w:r>
      <w:r w:rsidRPr="00787A9E">
        <w:rPr>
          <w:sz w:val="26"/>
          <w:szCs w:val="26"/>
        </w:rPr>
        <w:t xml:space="preserve">water and wastewater services.  Specifically, I&amp;E argues that most of the testimonies </w:t>
      </w:r>
      <w:r w:rsidR="00764A80" w:rsidRPr="00787A9E">
        <w:rPr>
          <w:sz w:val="26"/>
          <w:szCs w:val="26"/>
        </w:rPr>
        <w:t xml:space="preserve">of </w:t>
      </w:r>
      <w:r w:rsidRPr="00787A9E">
        <w:rPr>
          <w:sz w:val="26"/>
          <w:szCs w:val="26"/>
        </w:rPr>
        <w:t>the Company</w:t>
      </w:r>
      <w:r w:rsidR="00A424DB">
        <w:rPr>
          <w:sz w:val="26"/>
          <w:szCs w:val="26"/>
        </w:rPr>
        <w:t>’</w:t>
      </w:r>
      <w:r w:rsidRPr="00787A9E">
        <w:rPr>
          <w:sz w:val="26"/>
          <w:szCs w:val="26"/>
        </w:rPr>
        <w:t>s customers detailing service concerns overwhelmingly point to inadequate water service and not wastewater service.  I&amp;E further avers that while the Settlement is not intended to undermine the Commission</w:t>
      </w:r>
      <w:r w:rsidR="00A424DB">
        <w:rPr>
          <w:sz w:val="26"/>
          <w:szCs w:val="26"/>
        </w:rPr>
        <w:t>’</w:t>
      </w:r>
      <w:r w:rsidRPr="00787A9E">
        <w:rPr>
          <w:sz w:val="26"/>
          <w:szCs w:val="26"/>
        </w:rPr>
        <w:t xml:space="preserve">s finding in the </w:t>
      </w:r>
      <w:r w:rsidR="000872FE" w:rsidRPr="00787A9E">
        <w:rPr>
          <w:i/>
          <w:sz w:val="26"/>
          <w:szCs w:val="26"/>
        </w:rPr>
        <w:t xml:space="preserve">January 2018 </w:t>
      </w:r>
      <w:r w:rsidR="008E02CC" w:rsidRPr="00787A9E">
        <w:rPr>
          <w:i/>
          <w:sz w:val="26"/>
          <w:szCs w:val="26"/>
        </w:rPr>
        <w:t xml:space="preserve">McCloskey Order </w:t>
      </w:r>
      <w:r w:rsidR="000872FE" w:rsidRPr="00787A9E">
        <w:rPr>
          <w:sz w:val="26"/>
          <w:szCs w:val="26"/>
        </w:rPr>
        <w:t>and</w:t>
      </w:r>
      <w:r w:rsidR="008E02CC" w:rsidRPr="00787A9E">
        <w:rPr>
          <w:sz w:val="26"/>
          <w:szCs w:val="26"/>
        </w:rPr>
        <w:t xml:space="preserve"> the</w:t>
      </w:r>
      <w:r w:rsidR="000872FE" w:rsidRPr="00787A9E">
        <w:rPr>
          <w:i/>
          <w:sz w:val="26"/>
          <w:szCs w:val="26"/>
        </w:rPr>
        <w:t xml:space="preserve"> May 2018 McCloskey</w:t>
      </w:r>
      <w:r w:rsidRPr="00787A9E">
        <w:rPr>
          <w:i/>
          <w:sz w:val="26"/>
          <w:szCs w:val="26"/>
        </w:rPr>
        <w:t xml:space="preserve"> Order</w:t>
      </w:r>
      <w:r w:rsidRPr="00787A9E">
        <w:rPr>
          <w:sz w:val="26"/>
          <w:szCs w:val="26"/>
        </w:rPr>
        <w:t xml:space="preserve"> that HVUS is currently providing inadequate wastewater service, it also recognizes the fact that the second step in the Settlement can </w:t>
      </w:r>
      <w:r w:rsidRPr="00787A9E">
        <w:rPr>
          <w:sz w:val="26"/>
          <w:szCs w:val="26"/>
        </w:rPr>
        <w:lastRenderedPageBreak/>
        <w:t xml:space="preserve">only be </w:t>
      </w:r>
      <w:r w:rsidR="00C84104" w:rsidRPr="00787A9E">
        <w:rPr>
          <w:sz w:val="26"/>
          <w:szCs w:val="26"/>
        </w:rPr>
        <w:t>implemented</w:t>
      </w:r>
      <w:r w:rsidRPr="00787A9E">
        <w:rPr>
          <w:sz w:val="26"/>
          <w:szCs w:val="26"/>
        </w:rPr>
        <w:t xml:space="preserve"> upon the Company</w:t>
      </w:r>
      <w:r w:rsidR="00A424DB">
        <w:rPr>
          <w:sz w:val="26"/>
          <w:szCs w:val="26"/>
        </w:rPr>
        <w:t>’</w:t>
      </w:r>
      <w:r w:rsidRPr="00787A9E">
        <w:rPr>
          <w:sz w:val="26"/>
          <w:szCs w:val="26"/>
        </w:rPr>
        <w:t xml:space="preserve">s compliance with the requirements of the </w:t>
      </w:r>
      <w:r w:rsidR="005431D1" w:rsidRPr="00787A9E">
        <w:rPr>
          <w:i/>
          <w:sz w:val="26"/>
          <w:szCs w:val="26"/>
        </w:rPr>
        <w:t>McCloskey Orders</w:t>
      </w:r>
      <w:r w:rsidRPr="00787A9E">
        <w:rPr>
          <w:sz w:val="26"/>
          <w:szCs w:val="26"/>
        </w:rPr>
        <w:t xml:space="preserve">.  </w:t>
      </w:r>
      <w:r w:rsidR="00CB75B4" w:rsidRPr="00CB75B4">
        <w:rPr>
          <w:sz w:val="26"/>
          <w:szCs w:val="26"/>
        </w:rPr>
        <w:t>I&amp;E</w:t>
      </w:r>
      <w:r w:rsidR="00CB75B4">
        <w:rPr>
          <w:sz w:val="26"/>
          <w:szCs w:val="26"/>
        </w:rPr>
        <w:t xml:space="preserve"> Exc</w:t>
      </w:r>
      <w:r w:rsidRPr="00787A9E">
        <w:rPr>
          <w:i/>
          <w:sz w:val="26"/>
          <w:szCs w:val="26"/>
        </w:rPr>
        <w:t xml:space="preserve">. </w:t>
      </w:r>
      <w:r w:rsidRPr="00787A9E">
        <w:rPr>
          <w:sz w:val="26"/>
          <w:szCs w:val="26"/>
        </w:rPr>
        <w:t>at 5-6.</w:t>
      </w:r>
    </w:p>
    <w:p w14:paraId="23C4C1AC" w14:textId="77777777" w:rsidR="007D3009" w:rsidRPr="00787A9E" w:rsidRDefault="007D3009" w:rsidP="00FD1A00">
      <w:pPr>
        <w:ind w:left="720" w:firstLine="720"/>
        <w:contextualSpacing/>
        <w:rPr>
          <w:sz w:val="26"/>
          <w:szCs w:val="26"/>
        </w:rPr>
      </w:pPr>
    </w:p>
    <w:p w14:paraId="4E469D8E" w14:textId="4A5BB557" w:rsidR="007D3009" w:rsidRPr="00787A9E" w:rsidRDefault="007D3009" w:rsidP="00FD1A00">
      <w:pPr>
        <w:ind w:firstLine="1440"/>
        <w:contextualSpacing/>
        <w:rPr>
          <w:sz w:val="26"/>
          <w:szCs w:val="26"/>
        </w:rPr>
      </w:pPr>
      <w:r w:rsidRPr="00787A9E">
        <w:rPr>
          <w:sz w:val="26"/>
          <w:szCs w:val="26"/>
        </w:rPr>
        <w:t xml:space="preserve">Additionally, I&amp;E states that per the </w:t>
      </w:r>
      <w:r w:rsidR="00E66B66" w:rsidRPr="00787A9E">
        <w:rPr>
          <w:sz w:val="26"/>
          <w:szCs w:val="26"/>
        </w:rPr>
        <w:t>w</w:t>
      </w:r>
      <w:r w:rsidRPr="00787A9E">
        <w:rPr>
          <w:sz w:val="26"/>
          <w:szCs w:val="26"/>
        </w:rPr>
        <w:t>astewater Engineer</w:t>
      </w:r>
      <w:r w:rsidR="00A424DB">
        <w:rPr>
          <w:sz w:val="26"/>
          <w:szCs w:val="26"/>
        </w:rPr>
        <w:t>’</w:t>
      </w:r>
      <w:r w:rsidRPr="00787A9E">
        <w:rPr>
          <w:sz w:val="26"/>
          <w:szCs w:val="26"/>
        </w:rPr>
        <w:t>s Report filed by HVUS on April 19, 2018, the total cost needed to address the wastewater deficiencies is approximately $228,000.</w:t>
      </w:r>
      <w:r w:rsidRPr="00787A9E">
        <w:rPr>
          <w:rStyle w:val="FootnoteReference"/>
          <w:sz w:val="26"/>
          <w:szCs w:val="26"/>
        </w:rPr>
        <w:footnoteReference w:id="22"/>
      </w:r>
      <w:r w:rsidRPr="00787A9E">
        <w:rPr>
          <w:sz w:val="26"/>
          <w:szCs w:val="26"/>
        </w:rPr>
        <w:t xml:space="preserve">  </w:t>
      </w:r>
      <w:r w:rsidR="00595C25" w:rsidRPr="00595C25">
        <w:rPr>
          <w:sz w:val="26"/>
          <w:szCs w:val="26"/>
        </w:rPr>
        <w:t>I&amp;E</w:t>
      </w:r>
      <w:r w:rsidR="00595C25">
        <w:rPr>
          <w:sz w:val="26"/>
          <w:szCs w:val="26"/>
        </w:rPr>
        <w:t xml:space="preserve"> Exc</w:t>
      </w:r>
      <w:r w:rsidRPr="00787A9E">
        <w:rPr>
          <w:i/>
          <w:sz w:val="26"/>
          <w:szCs w:val="26"/>
        </w:rPr>
        <w:t xml:space="preserve">. </w:t>
      </w:r>
      <w:r w:rsidRPr="00787A9E">
        <w:rPr>
          <w:sz w:val="26"/>
          <w:szCs w:val="26"/>
        </w:rPr>
        <w:t>at 6-7</w:t>
      </w:r>
      <w:r w:rsidR="00774592" w:rsidRPr="00787A9E">
        <w:rPr>
          <w:sz w:val="26"/>
          <w:szCs w:val="26"/>
        </w:rPr>
        <w:t xml:space="preserve"> </w:t>
      </w:r>
      <w:r w:rsidR="00582C1C" w:rsidRPr="00787A9E">
        <w:rPr>
          <w:sz w:val="26"/>
          <w:szCs w:val="26"/>
        </w:rPr>
        <w:t>(</w:t>
      </w:r>
      <w:r w:rsidRPr="00787A9E">
        <w:rPr>
          <w:sz w:val="26"/>
          <w:szCs w:val="26"/>
        </w:rPr>
        <w:t>citing I&amp;E Exh. 3, Sch. 2 at 4-8, 53</w:t>
      </w:r>
      <w:r w:rsidR="00582C1C" w:rsidRPr="00787A9E">
        <w:rPr>
          <w:sz w:val="26"/>
          <w:szCs w:val="26"/>
        </w:rPr>
        <w:t>)</w:t>
      </w:r>
      <w:r w:rsidRPr="00787A9E">
        <w:rPr>
          <w:sz w:val="26"/>
          <w:szCs w:val="26"/>
        </w:rPr>
        <w:t>.  According to I&amp;E, pursuant to the</w:t>
      </w:r>
      <w:r w:rsidR="00A57EBC" w:rsidRPr="00787A9E">
        <w:rPr>
          <w:sz w:val="26"/>
          <w:szCs w:val="26"/>
        </w:rPr>
        <w:t xml:space="preserve"> </w:t>
      </w:r>
      <w:r w:rsidRPr="00787A9E">
        <w:rPr>
          <w:sz w:val="26"/>
          <w:szCs w:val="26"/>
        </w:rPr>
        <w:t xml:space="preserve">Settlement, the second phase of the wastewater rate increase from $82,227 to $145,842, will not be implemented until all of the recommendations in the </w:t>
      </w:r>
      <w:r w:rsidR="00E66B66" w:rsidRPr="00787A9E">
        <w:rPr>
          <w:sz w:val="26"/>
          <w:szCs w:val="26"/>
        </w:rPr>
        <w:t>Engineer</w:t>
      </w:r>
      <w:r w:rsidR="00A424DB">
        <w:rPr>
          <w:sz w:val="26"/>
          <w:szCs w:val="26"/>
        </w:rPr>
        <w:t>’</w:t>
      </w:r>
      <w:r w:rsidR="00E66B66" w:rsidRPr="00787A9E">
        <w:rPr>
          <w:sz w:val="26"/>
          <w:szCs w:val="26"/>
        </w:rPr>
        <w:t xml:space="preserve">s </w:t>
      </w:r>
      <w:r w:rsidRPr="00787A9E">
        <w:rPr>
          <w:sz w:val="26"/>
          <w:szCs w:val="26"/>
        </w:rPr>
        <w:t xml:space="preserve">Report have been completed, which the </w:t>
      </w:r>
      <w:r w:rsidR="00E66B66" w:rsidRPr="00787A9E">
        <w:rPr>
          <w:sz w:val="26"/>
          <w:szCs w:val="26"/>
        </w:rPr>
        <w:t>engineer</w:t>
      </w:r>
      <w:r w:rsidRPr="00787A9E">
        <w:rPr>
          <w:sz w:val="26"/>
          <w:szCs w:val="26"/>
        </w:rPr>
        <w:t xml:space="preserve"> estimated will take approximately two years to complete.  Finally, I&amp;E avers that consistent with the Commission</w:t>
      </w:r>
      <w:r w:rsidR="00A424DB">
        <w:rPr>
          <w:sz w:val="26"/>
          <w:szCs w:val="26"/>
        </w:rPr>
        <w:t>’</w:t>
      </w:r>
      <w:r w:rsidRPr="00787A9E">
        <w:rPr>
          <w:sz w:val="26"/>
          <w:szCs w:val="26"/>
        </w:rPr>
        <w:t xml:space="preserve">s policy encouraging settlement, it engaged in good faith settlement negotiations to determine if a full or partial settlement of the contested issues was possible.  I&amp;E therefore believes the </w:t>
      </w:r>
      <w:r w:rsidR="00774592" w:rsidRPr="00787A9E">
        <w:rPr>
          <w:sz w:val="26"/>
          <w:szCs w:val="26"/>
        </w:rPr>
        <w:t>Non-Unanimous</w:t>
      </w:r>
      <w:r w:rsidRPr="00787A9E">
        <w:rPr>
          <w:sz w:val="26"/>
          <w:szCs w:val="26"/>
        </w:rPr>
        <w:t xml:space="preserve"> Settlement is in the public interest and should not be modified because it fully addressed the concerns of the Joint Petitioners.  I&amp;E Exc. at 7-8.</w:t>
      </w:r>
    </w:p>
    <w:p w14:paraId="061721AA" w14:textId="77777777" w:rsidR="007D3009" w:rsidRPr="00787A9E" w:rsidRDefault="007D3009" w:rsidP="00FD1A00">
      <w:pPr>
        <w:ind w:left="720" w:firstLine="720"/>
        <w:contextualSpacing/>
        <w:rPr>
          <w:sz w:val="26"/>
          <w:szCs w:val="26"/>
        </w:rPr>
      </w:pPr>
    </w:p>
    <w:p w14:paraId="40731867" w14:textId="41758053" w:rsidR="007D3009" w:rsidRPr="00787A9E" w:rsidRDefault="007D3009" w:rsidP="00FD1A00">
      <w:pPr>
        <w:ind w:firstLine="1440"/>
        <w:contextualSpacing/>
        <w:rPr>
          <w:sz w:val="26"/>
          <w:szCs w:val="26"/>
        </w:rPr>
      </w:pPr>
      <w:r w:rsidRPr="00787A9E">
        <w:rPr>
          <w:sz w:val="26"/>
          <w:szCs w:val="26"/>
        </w:rPr>
        <w:t xml:space="preserve">Next, I&amp;E argues the Settlement rates are just and reasonable because the primary revenue requirement recommendation in the Settlement was based on a revenue increase that did not allow the Company to earn a return on equity due to the ongoing service issues </w:t>
      </w:r>
      <w:r w:rsidR="00145DCE" w:rsidRPr="00787A9E">
        <w:rPr>
          <w:sz w:val="26"/>
          <w:szCs w:val="26"/>
        </w:rPr>
        <w:t>with</w:t>
      </w:r>
      <w:r w:rsidRPr="00787A9E">
        <w:rPr>
          <w:sz w:val="26"/>
          <w:szCs w:val="26"/>
        </w:rPr>
        <w:t xml:space="preserve"> the Company.  </w:t>
      </w:r>
      <w:bookmarkStart w:id="20" w:name="_Hlk556664"/>
      <w:r w:rsidR="004C308C" w:rsidRPr="004C308C">
        <w:rPr>
          <w:sz w:val="26"/>
          <w:szCs w:val="26"/>
        </w:rPr>
        <w:t>I&amp;E</w:t>
      </w:r>
      <w:r w:rsidR="004C308C">
        <w:rPr>
          <w:sz w:val="26"/>
          <w:szCs w:val="26"/>
        </w:rPr>
        <w:t xml:space="preserve"> Exc</w:t>
      </w:r>
      <w:r w:rsidRPr="00787A9E">
        <w:rPr>
          <w:i/>
          <w:sz w:val="26"/>
          <w:szCs w:val="26"/>
        </w:rPr>
        <w:t xml:space="preserve">. </w:t>
      </w:r>
      <w:r w:rsidRPr="00787A9E">
        <w:rPr>
          <w:sz w:val="26"/>
          <w:szCs w:val="26"/>
        </w:rPr>
        <w:t>at 8</w:t>
      </w:r>
      <w:bookmarkEnd w:id="20"/>
      <w:r w:rsidRPr="00787A9E">
        <w:rPr>
          <w:sz w:val="26"/>
          <w:szCs w:val="26"/>
        </w:rPr>
        <w:t>.  For instance, I&amp;E</w:t>
      </w:r>
      <w:r w:rsidR="00A424DB">
        <w:rPr>
          <w:sz w:val="26"/>
          <w:szCs w:val="26"/>
        </w:rPr>
        <w:t>’</w:t>
      </w:r>
      <w:r w:rsidRPr="00787A9E">
        <w:rPr>
          <w:sz w:val="26"/>
          <w:szCs w:val="26"/>
        </w:rPr>
        <w:t xml:space="preserve">s primary recommended water revenue requirement was $65,544 and the primary wastewater revenue requirement was $82,236.  According to I&amp;E, in the event that the Commission rejects its primary recommendation of 0.00% cost of equity, it conducted a traditional rate of return analysis which resulted in a recommended revenue increase of $111,119 for water service, and a $145,807 increase for wastewater service.  </w:t>
      </w:r>
      <w:r w:rsidRPr="00787A9E">
        <w:rPr>
          <w:i/>
          <w:sz w:val="26"/>
          <w:szCs w:val="26"/>
        </w:rPr>
        <w:t xml:space="preserve">Id. </w:t>
      </w:r>
      <w:r w:rsidRPr="00787A9E">
        <w:rPr>
          <w:sz w:val="26"/>
          <w:szCs w:val="26"/>
        </w:rPr>
        <w:t>at 8-9</w:t>
      </w:r>
      <w:r w:rsidR="00A96AC3" w:rsidRPr="00787A9E">
        <w:rPr>
          <w:sz w:val="26"/>
          <w:szCs w:val="26"/>
        </w:rPr>
        <w:t xml:space="preserve"> </w:t>
      </w:r>
      <w:r w:rsidR="00582C1C" w:rsidRPr="00787A9E">
        <w:rPr>
          <w:sz w:val="26"/>
          <w:szCs w:val="26"/>
        </w:rPr>
        <w:t>(</w:t>
      </w:r>
      <w:r w:rsidR="00A96AC3" w:rsidRPr="00787A9E">
        <w:rPr>
          <w:sz w:val="26"/>
          <w:szCs w:val="26"/>
        </w:rPr>
        <w:t xml:space="preserve">citing </w:t>
      </w:r>
      <w:r w:rsidRPr="00787A9E">
        <w:rPr>
          <w:sz w:val="26"/>
          <w:szCs w:val="26"/>
        </w:rPr>
        <w:t xml:space="preserve">I&amp;E </w:t>
      </w:r>
      <w:r w:rsidRPr="00787A9E">
        <w:rPr>
          <w:sz w:val="26"/>
          <w:szCs w:val="26"/>
        </w:rPr>
        <w:lastRenderedPageBreak/>
        <w:t>St.1-SR (Water) at 3-4; I&amp;E St.1-SR (Wastewater) at 3-4</w:t>
      </w:r>
      <w:r w:rsidR="00582C1C" w:rsidRPr="00787A9E">
        <w:rPr>
          <w:sz w:val="26"/>
          <w:szCs w:val="26"/>
        </w:rPr>
        <w:t>)</w:t>
      </w:r>
      <w:r w:rsidRPr="00787A9E">
        <w:rPr>
          <w:sz w:val="26"/>
          <w:szCs w:val="26"/>
        </w:rPr>
        <w:t xml:space="preserve">.  I&amp;E avers that although this is a black box </w:t>
      </w:r>
      <w:r w:rsidR="009F334C" w:rsidRPr="00787A9E">
        <w:rPr>
          <w:sz w:val="26"/>
          <w:szCs w:val="26"/>
        </w:rPr>
        <w:t>s</w:t>
      </w:r>
      <w:r w:rsidRPr="00787A9E">
        <w:rPr>
          <w:sz w:val="26"/>
          <w:szCs w:val="26"/>
        </w:rPr>
        <w:t>ettlement, the agreed upon revenue requirements for water service in the amount of $65,557</w:t>
      </w:r>
      <w:r w:rsidR="00B844D4" w:rsidRPr="00787A9E">
        <w:rPr>
          <w:sz w:val="26"/>
          <w:szCs w:val="26"/>
        </w:rPr>
        <w:t>,</w:t>
      </w:r>
      <w:r w:rsidRPr="00787A9E">
        <w:rPr>
          <w:sz w:val="26"/>
          <w:szCs w:val="26"/>
        </w:rPr>
        <w:t xml:space="preserve"> and the initial increase of $82,227 for wastewater service, </w:t>
      </w:r>
      <w:r w:rsidR="00B844D4" w:rsidRPr="00787A9E">
        <w:rPr>
          <w:sz w:val="26"/>
          <w:szCs w:val="26"/>
        </w:rPr>
        <w:t>including the</w:t>
      </w:r>
      <w:r w:rsidRPr="00787A9E">
        <w:rPr>
          <w:sz w:val="26"/>
          <w:szCs w:val="26"/>
        </w:rPr>
        <w:t xml:space="preserve"> subsequent increase to $145,824 when improvements are made, are supported by the primary and secondary litigation positions contained in its testimony.  I&amp;E Exc. at 9.</w:t>
      </w:r>
    </w:p>
    <w:p w14:paraId="1A7BF040" w14:textId="77777777" w:rsidR="00C97869" w:rsidRPr="00787A9E" w:rsidRDefault="00C97869" w:rsidP="00FD1A00">
      <w:pPr>
        <w:ind w:firstLine="1440"/>
        <w:contextualSpacing/>
        <w:rPr>
          <w:sz w:val="26"/>
          <w:szCs w:val="26"/>
        </w:rPr>
      </w:pPr>
    </w:p>
    <w:p w14:paraId="1FBC9002" w14:textId="61D15174" w:rsidR="007D3009" w:rsidRPr="00787A9E" w:rsidRDefault="007D3009" w:rsidP="00FD1A00">
      <w:pPr>
        <w:ind w:firstLine="1440"/>
        <w:contextualSpacing/>
        <w:rPr>
          <w:sz w:val="26"/>
          <w:szCs w:val="26"/>
        </w:rPr>
      </w:pPr>
      <w:r w:rsidRPr="00787A9E">
        <w:rPr>
          <w:sz w:val="26"/>
          <w:szCs w:val="26"/>
        </w:rPr>
        <w:t xml:space="preserve">Specifically, I&amp;E contends that for the water service, the position it advanced in its testimony is essentially what was agreed upon in the Settlement.  According to I&amp;E, in its testimony, it recommended a 0.00% return on equity resulting in a revenue increase of $65,544, and the agreed-upon Settlement increase for water </w:t>
      </w:r>
      <w:r w:rsidR="009155E9">
        <w:rPr>
          <w:sz w:val="26"/>
          <w:szCs w:val="26"/>
        </w:rPr>
        <w:t xml:space="preserve">services </w:t>
      </w:r>
      <w:r w:rsidRPr="00787A9E">
        <w:rPr>
          <w:sz w:val="26"/>
          <w:szCs w:val="26"/>
        </w:rPr>
        <w:t>of $65,557, is very closely aligned to its proposed revenue requirement.  From I&amp;E</w:t>
      </w:r>
      <w:r w:rsidR="00A424DB">
        <w:rPr>
          <w:sz w:val="26"/>
          <w:szCs w:val="26"/>
        </w:rPr>
        <w:t>’</w:t>
      </w:r>
      <w:r w:rsidRPr="00787A9E">
        <w:rPr>
          <w:sz w:val="26"/>
          <w:szCs w:val="26"/>
        </w:rPr>
        <w:t>s perspective, the unusual step of not including a return on equity in the Settlement for the Company</w:t>
      </w:r>
      <w:r w:rsidR="00A424DB">
        <w:rPr>
          <w:sz w:val="26"/>
          <w:szCs w:val="26"/>
        </w:rPr>
        <w:t>’</w:t>
      </w:r>
      <w:r w:rsidRPr="00787A9E">
        <w:rPr>
          <w:sz w:val="26"/>
          <w:szCs w:val="26"/>
        </w:rPr>
        <w:t xml:space="preserve">s water service is justified, considering the well documented and longstanding history of service concerns for the water service provided by the Company.  </w:t>
      </w:r>
      <w:r w:rsidR="002C1F66" w:rsidRPr="002C1F66">
        <w:rPr>
          <w:sz w:val="26"/>
          <w:szCs w:val="26"/>
        </w:rPr>
        <w:t>I&amp;E</w:t>
      </w:r>
      <w:r w:rsidR="002C1F66">
        <w:rPr>
          <w:sz w:val="26"/>
          <w:szCs w:val="26"/>
        </w:rPr>
        <w:t xml:space="preserve"> Exc</w:t>
      </w:r>
      <w:r w:rsidRPr="00787A9E">
        <w:rPr>
          <w:i/>
          <w:sz w:val="26"/>
          <w:szCs w:val="26"/>
        </w:rPr>
        <w:t>.</w:t>
      </w:r>
      <w:r w:rsidRPr="00787A9E">
        <w:rPr>
          <w:sz w:val="26"/>
          <w:szCs w:val="26"/>
        </w:rPr>
        <w:t xml:space="preserve"> at</w:t>
      </w:r>
      <w:r w:rsidR="0005773D">
        <w:rPr>
          <w:sz w:val="26"/>
          <w:szCs w:val="26"/>
        </w:rPr>
        <w:t> </w:t>
      </w:r>
      <w:r w:rsidRPr="00787A9E">
        <w:rPr>
          <w:sz w:val="26"/>
          <w:szCs w:val="26"/>
        </w:rPr>
        <w:t xml:space="preserve">10 </w:t>
      </w:r>
      <w:r w:rsidR="00582C1C" w:rsidRPr="00787A9E">
        <w:rPr>
          <w:sz w:val="26"/>
          <w:szCs w:val="26"/>
        </w:rPr>
        <w:t>(</w:t>
      </w:r>
      <w:r w:rsidRPr="00787A9E">
        <w:rPr>
          <w:sz w:val="26"/>
          <w:szCs w:val="26"/>
        </w:rPr>
        <w:t>citing I&amp;E St. 1-SR</w:t>
      </w:r>
      <w:r w:rsidR="00582C1C" w:rsidRPr="00787A9E">
        <w:rPr>
          <w:sz w:val="26"/>
          <w:szCs w:val="26"/>
        </w:rPr>
        <w:t>)</w:t>
      </w:r>
      <w:r w:rsidRPr="00787A9E">
        <w:rPr>
          <w:sz w:val="26"/>
          <w:szCs w:val="26"/>
        </w:rPr>
        <w:t>.</w:t>
      </w:r>
      <w:r w:rsidR="007F313F" w:rsidRPr="00787A9E">
        <w:rPr>
          <w:sz w:val="26"/>
          <w:szCs w:val="26"/>
        </w:rPr>
        <w:t xml:space="preserve">  </w:t>
      </w:r>
      <w:r w:rsidRPr="00787A9E">
        <w:rPr>
          <w:sz w:val="26"/>
          <w:szCs w:val="26"/>
        </w:rPr>
        <w:t>Similarly, I&amp;E argues that for HVUS</w:t>
      </w:r>
      <w:r w:rsidR="00A424DB">
        <w:rPr>
          <w:sz w:val="26"/>
          <w:szCs w:val="26"/>
        </w:rPr>
        <w:t>’</w:t>
      </w:r>
      <w:r w:rsidR="00FE6A87">
        <w:rPr>
          <w:sz w:val="26"/>
          <w:szCs w:val="26"/>
        </w:rPr>
        <w:t>s</w:t>
      </w:r>
      <w:r w:rsidR="00E76E1A" w:rsidRPr="00787A9E">
        <w:rPr>
          <w:sz w:val="26"/>
          <w:szCs w:val="26"/>
        </w:rPr>
        <w:t xml:space="preserve"> </w:t>
      </w:r>
      <w:r w:rsidRPr="00787A9E">
        <w:rPr>
          <w:sz w:val="26"/>
          <w:szCs w:val="26"/>
        </w:rPr>
        <w:t>wastewater service, the first step of the increase of $82,227 in the Settlement mirrors I&amp;E</w:t>
      </w:r>
      <w:r w:rsidR="00A424DB">
        <w:rPr>
          <w:sz w:val="26"/>
          <w:szCs w:val="26"/>
        </w:rPr>
        <w:t>’</w:t>
      </w:r>
      <w:r w:rsidRPr="00787A9E">
        <w:rPr>
          <w:sz w:val="26"/>
          <w:szCs w:val="26"/>
        </w:rPr>
        <w:t>s primary wastewater revenue requirement of $82,236 which allowed a 0.00% return on equity due to the Company</w:t>
      </w:r>
      <w:r w:rsidR="00A424DB">
        <w:rPr>
          <w:sz w:val="26"/>
          <w:szCs w:val="26"/>
        </w:rPr>
        <w:t>’</w:t>
      </w:r>
      <w:r w:rsidRPr="00787A9E">
        <w:rPr>
          <w:sz w:val="26"/>
          <w:szCs w:val="26"/>
        </w:rPr>
        <w:t>s failure to comply with Section 1501 of the Code.  I&amp;E further avers that the proposed second step increase to $145,842 for wastewater service once the engineer</w:t>
      </w:r>
      <w:r w:rsidR="00A424DB">
        <w:rPr>
          <w:sz w:val="26"/>
          <w:szCs w:val="26"/>
        </w:rPr>
        <w:t>’</w:t>
      </w:r>
      <w:r w:rsidRPr="00787A9E">
        <w:rPr>
          <w:sz w:val="26"/>
          <w:szCs w:val="26"/>
        </w:rPr>
        <w:t xml:space="preserve">s recommendations are completed in compliance with the </w:t>
      </w:r>
      <w:r w:rsidRPr="00787A9E">
        <w:rPr>
          <w:i/>
          <w:sz w:val="26"/>
          <w:szCs w:val="26"/>
        </w:rPr>
        <w:t>McCloskey Order</w:t>
      </w:r>
      <w:r w:rsidR="00771F29" w:rsidRPr="00787A9E">
        <w:rPr>
          <w:i/>
          <w:sz w:val="26"/>
          <w:szCs w:val="26"/>
        </w:rPr>
        <w:t>s</w:t>
      </w:r>
      <w:r w:rsidRPr="00787A9E">
        <w:rPr>
          <w:i/>
          <w:sz w:val="26"/>
          <w:szCs w:val="26"/>
        </w:rPr>
        <w:t>,</w:t>
      </w:r>
      <w:r w:rsidRPr="00787A9E">
        <w:rPr>
          <w:sz w:val="26"/>
          <w:szCs w:val="26"/>
        </w:rPr>
        <w:t xml:space="preserve"> also mirror</w:t>
      </w:r>
      <w:r w:rsidR="00776C00" w:rsidRPr="00787A9E">
        <w:rPr>
          <w:sz w:val="26"/>
          <w:szCs w:val="26"/>
        </w:rPr>
        <w:t>s</w:t>
      </w:r>
      <w:r w:rsidRPr="00787A9E">
        <w:rPr>
          <w:sz w:val="26"/>
          <w:szCs w:val="26"/>
        </w:rPr>
        <w:t xml:space="preserve"> the traditional rate of return analysis that it conducted in its testimony.  I&amp;E Exc. at 10 </w:t>
      </w:r>
      <w:r w:rsidR="00582C1C" w:rsidRPr="00787A9E">
        <w:rPr>
          <w:sz w:val="26"/>
          <w:szCs w:val="26"/>
        </w:rPr>
        <w:t>(</w:t>
      </w:r>
      <w:r w:rsidRPr="00787A9E">
        <w:rPr>
          <w:sz w:val="26"/>
          <w:szCs w:val="26"/>
        </w:rPr>
        <w:t>citing I&amp;E St. 1-SR (Wastewater) at 3</w:t>
      </w:r>
      <w:r w:rsidR="00582C1C" w:rsidRPr="00787A9E">
        <w:rPr>
          <w:sz w:val="26"/>
          <w:szCs w:val="26"/>
        </w:rPr>
        <w:t>)</w:t>
      </w:r>
      <w:r w:rsidRPr="00787A9E">
        <w:rPr>
          <w:sz w:val="26"/>
          <w:szCs w:val="26"/>
        </w:rPr>
        <w:t xml:space="preserve">. </w:t>
      </w:r>
    </w:p>
    <w:p w14:paraId="1FED5E84" w14:textId="77777777" w:rsidR="007D3009" w:rsidRPr="00787A9E" w:rsidRDefault="007D3009" w:rsidP="00FD1A00">
      <w:pPr>
        <w:ind w:left="720" w:firstLine="720"/>
        <w:contextualSpacing/>
        <w:rPr>
          <w:sz w:val="26"/>
          <w:szCs w:val="26"/>
        </w:rPr>
      </w:pPr>
    </w:p>
    <w:p w14:paraId="704FB3DC" w14:textId="202D8050" w:rsidR="007D3009" w:rsidRPr="00787A9E" w:rsidRDefault="007D3009" w:rsidP="00FD1A00">
      <w:pPr>
        <w:ind w:firstLine="1440"/>
        <w:contextualSpacing/>
        <w:rPr>
          <w:sz w:val="26"/>
          <w:szCs w:val="26"/>
        </w:rPr>
      </w:pPr>
      <w:r w:rsidRPr="00787A9E">
        <w:rPr>
          <w:sz w:val="26"/>
          <w:szCs w:val="26"/>
        </w:rPr>
        <w:t xml:space="preserve">According to I&amp;E, its analysis determined that if HVUS had been providing adequate and reasonable wastewater service, it would have recommended a 9.13% cost </w:t>
      </w:r>
      <w:r w:rsidR="00A708CC">
        <w:rPr>
          <w:sz w:val="26"/>
          <w:szCs w:val="26"/>
        </w:rPr>
        <w:t>rate</w:t>
      </w:r>
      <w:r w:rsidRPr="00787A9E">
        <w:rPr>
          <w:sz w:val="26"/>
          <w:szCs w:val="26"/>
        </w:rPr>
        <w:t xml:space="preserve"> of common equity, resulting in a wastewater increase of $145,807.  I&amp;E asserts that the proposed phased-in rates for wastewater service in the Settlement is appropriate for two reasons.  First, while the record contains overwhelming evidence of ongoing inadequate water service, there are no similar customer concerns regarding wastewater </w:t>
      </w:r>
      <w:r w:rsidRPr="00787A9E">
        <w:rPr>
          <w:sz w:val="26"/>
          <w:szCs w:val="26"/>
        </w:rPr>
        <w:lastRenderedPageBreak/>
        <w:t>service.  I&amp;E argues that while the Recommended Decision highlighted that the record is beset with compelling testimonies of negative impacts of the Company</w:t>
      </w:r>
      <w:r w:rsidR="00A424DB">
        <w:rPr>
          <w:sz w:val="26"/>
          <w:szCs w:val="26"/>
        </w:rPr>
        <w:t>’</w:t>
      </w:r>
      <w:r w:rsidRPr="00787A9E">
        <w:rPr>
          <w:sz w:val="26"/>
          <w:szCs w:val="26"/>
        </w:rPr>
        <w:t xml:space="preserve">s inadequate water service including, but not limited to, brown or rusty water that customers cannot drink and causing damaged clothing, permanent stains on bathroom and kitchen fixtures, etc., no such testimonies were provided against </w:t>
      </w:r>
      <w:r w:rsidR="00CA28EA" w:rsidRPr="00787A9E">
        <w:rPr>
          <w:sz w:val="26"/>
          <w:szCs w:val="26"/>
        </w:rPr>
        <w:t xml:space="preserve">the </w:t>
      </w:r>
      <w:r w:rsidRPr="00787A9E">
        <w:rPr>
          <w:sz w:val="26"/>
          <w:szCs w:val="26"/>
        </w:rPr>
        <w:t>wastewater service by the</w:t>
      </w:r>
      <w:r w:rsidR="003011B8" w:rsidRPr="00787A9E">
        <w:rPr>
          <w:sz w:val="26"/>
          <w:szCs w:val="26"/>
        </w:rPr>
        <w:t xml:space="preserve"> customers</w:t>
      </w:r>
      <w:r w:rsidRPr="00787A9E">
        <w:rPr>
          <w:sz w:val="26"/>
          <w:szCs w:val="26"/>
        </w:rPr>
        <w:t>.  I&amp;E avers that while it is in no way indicating that HVUS is currently providing adequate and reasonable wastewater service, the record shows that HVUS customers are not as significantly impacted by the Company</w:t>
      </w:r>
      <w:r w:rsidR="00A424DB">
        <w:rPr>
          <w:sz w:val="26"/>
          <w:szCs w:val="26"/>
        </w:rPr>
        <w:t>’</w:t>
      </w:r>
      <w:r w:rsidRPr="00787A9E">
        <w:rPr>
          <w:sz w:val="26"/>
          <w:szCs w:val="26"/>
        </w:rPr>
        <w:t>s wastewater service as they are by the water service.  I&amp;E Exc. at 10-11</w:t>
      </w:r>
      <w:r w:rsidR="00903C1D" w:rsidRPr="00787A9E">
        <w:rPr>
          <w:sz w:val="26"/>
          <w:szCs w:val="26"/>
        </w:rPr>
        <w:t xml:space="preserve"> </w:t>
      </w:r>
      <w:r w:rsidR="00582C1C" w:rsidRPr="00787A9E">
        <w:rPr>
          <w:sz w:val="26"/>
          <w:szCs w:val="26"/>
        </w:rPr>
        <w:t>(</w:t>
      </w:r>
      <w:r w:rsidRPr="00787A9E">
        <w:rPr>
          <w:sz w:val="26"/>
          <w:szCs w:val="26"/>
        </w:rPr>
        <w:t>citing R.D. at 6-17</w:t>
      </w:r>
      <w:r w:rsidR="00582C1C" w:rsidRPr="00787A9E">
        <w:rPr>
          <w:sz w:val="26"/>
          <w:szCs w:val="26"/>
        </w:rPr>
        <w:t>)</w:t>
      </w:r>
      <w:r w:rsidRPr="00787A9E">
        <w:rPr>
          <w:sz w:val="26"/>
          <w:szCs w:val="26"/>
        </w:rPr>
        <w:t xml:space="preserve">.  Secondly, I&amp;E clarifies that the second step of the increase in the phased-in rates will not become effective until HVUS has complied with the extensive requirements in the </w:t>
      </w:r>
      <w:r w:rsidRPr="00787A9E">
        <w:rPr>
          <w:i/>
          <w:sz w:val="26"/>
          <w:szCs w:val="26"/>
        </w:rPr>
        <w:t>McCloskey Order</w:t>
      </w:r>
      <w:r w:rsidR="00776C00" w:rsidRPr="00787A9E">
        <w:rPr>
          <w:i/>
          <w:sz w:val="26"/>
          <w:szCs w:val="26"/>
        </w:rPr>
        <w:t>s</w:t>
      </w:r>
      <w:r w:rsidRPr="00787A9E">
        <w:rPr>
          <w:sz w:val="26"/>
          <w:szCs w:val="26"/>
        </w:rPr>
        <w:t xml:space="preserve">.  This means that, under the Settlement, HVUS will not be permitted to earn a return on equity until the Company has made significant improvements to its wastewater system.  Therefore, I&amp;E requests that the Commission reject the ALJs modification and approve the Settlement, </w:t>
      </w:r>
      <w:r w:rsidR="000C3D0E" w:rsidRPr="00787A9E">
        <w:rPr>
          <w:sz w:val="26"/>
          <w:szCs w:val="26"/>
        </w:rPr>
        <w:t xml:space="preserve">as filed, </w:t>
      </w:r>
      <w:r w:rsidRPr="00787A9E">
        <w:rPr>
          <w:sz w:val="26"/>
          <w:szCs w:val="26"/>
        </w:rPr>
        <w:t>including the second step of the phased-in rates for wastewater service provided by the Company.  I&amp;E Exc. at 11.</w:t>
      </w:r>
    </w:p>
    <w:p w14:paraId="3CB3EAD2" w14:textId="77777777" w:rsidR="00576779" w:rsidRPr="00787A9E" w:rsidRDefault="00576779" w:rsidP="00FD1A00">
      <w:pPr>
        <w:contextualSpacing/>
        <w:rPr>
          <w:sz w:val="26"/>
          <w:szCs w:val="26"/>
        </w:rPr>
      </w:pPr>
    </w:p>
    <w:p w14:paraId="5D444358" w14:textId="2B4A2073" w:rsidR="00576779" w:rsidRPr="00787A9E" w:rsidRDefault="00152827" w:rsidP="00FD1A00">
      <w:pPr>
        <w:pStyle w:val="Default"/>
        <w:keepNext/>
        <w:keepLines/>
        <w:numPr>
          <w:ilvl w:val="0"/>
          <w:numId w:val="15"/>
        </w:numPr>
        <w:spacing w:line="360" w:lineRule="auto"/>
        <w:ind w:left="2520"/>
        <w:contextualSpacing/>
        <w:rPr>
          <w:b/>
          <w:sz w:val="26"/>
          <w:szCs w:val="26"/>
        </w:rPr>
      </w:pPr>
      <w:r w:rsidRPr="00787A9E">
        <w:rPr>
          <w:b/>
          <w:sz w:val="26"/>
          <w:szCs w:val="26"/>
        </w:rPr>
        <w:tab/>
      </w:r>
      <w:r w:rsidR="00576779" w:rsidRPr="00787A9E">
        <w:rPr>
          <w:b/>
          <w:sz w:val="26"/>
          <w:szCs w:val="26"/>
        </w:rPr>
        <w:t>OCA</w:t>
      </w:r>
      <w:r w:rsidR="00A424DB">
        <w:rPr>
          <w:b/>
          <w:sz w:val="26"/>
          <w:szCs w:val="26"/>
        </w:rPr>
        <w:t>’</w:t>
      </w:r>
      <w:r w:rsidR="00576779" w:rsidRPr="00787A9E">
        <w:rPr>
          <w:b/>
          <w:sz w:val="26"/>
          <w:szCs w:val="26"/>
        </w:rPr>
        <w:t>s Replies to HVUS</w:t>
      </w:r>
      <w:r w:rsidR="00A424DB">
        <w:rPr>
          <w:b/>
          <w:sz w:val="26"/>
          <w:szCs w:val="26"/>
        </w:rPr>
        <w:t>’</w:t>
      </w:r>
      <w:r w:rsidR="00952D3D" w:rsidRPr="00787A9E">
        <w:rPr>
          <w:b/>
          <w:sz w:val="26"/>
          <w:szCs w:val="26"/>
        </w:rPr>
        <w:t>s</w:t>
      </w:r>
      <w:r w:rsidR="00576779" w:rsidRPr="00787A9E">
        <w:rPr>
          <w:b/>
          <w:sz w:val="26"/>
          <w:szCs w:val="26"/>
        </w:rPr>
        <w:t xml:space="preserve"> and I&amp;E</w:t>
      </w:r>
      <w:r w:rsidR="00A424DB">
        <w:rPr>
          <w:b/>
          <w:sz w:val="26"/>
          <w:szCs w:val="26"/>
        </w:rPr>
        <w:t>’</w:t>
      </w:r>
      <w:r w:rsidR="00576779" w:rsidRPr="00787A9E">
        <w:rPr>
          <w:b/>
          <w:sz w:val="26"/>
          <w:szCs w:val="26"/>
        </w:rPr>
        <w:t>s Exception</w:t>
      </w:r>
      <w:r w:rsidR="0050288F">
        <w:rPr>
          <w:b/>
          <w:sz w:val="26"/>
          <w:szCs w:val="26"/>
        </w:rPr>
        <w:t xml:space="preserve">s </w:t>
      </w:r>
      <w:r w:rsidR="00576779" w:rsidRPr="00787A9E">
        <w:rPr>
          <w:b/>
          <w:sz w:val="26"/>
          <w:szCs w:val="26"/>
        </w:rPr>
        <w:t>No. 1</w:t>
      </w:r>
    </w:p>
    <w:p w14:paraId="1ED864A2" w14:textId="77777777" w:rsidR="00576779" w:rsidRPr="00787A9E" w:rsidRDefault="00576779" w:rsidP="00FD1A00">
      <w:pPr>
        <w:pStyle w:val="Default"/>
        <w:keepNext/>
        <w:keepLines/>
        <w:spacing w:line="360" w:lineRule="auto"/>
        <w:contextualSpacing/>
        <w:rPr>
          <w:b/>
          <w:sz w:val="26"/>
          <w:szCs w:val="26"/>
        </w:rPr>
      </w:pPr>
    </w:p>
    <w:p w14:paraId="6E995046" w14:textId="203BC523" w:rsidR="00E15C9B" w:rsidRPr="00787A9E" w:rsidRDefault="00576779" w:rsidP="00FD1A00">
      <w:pPr>
        <w:pStyle w:val="Default"/>
        <w:spacing w:line="360" w:lineRule="auto"/>
        <w:ind w:firstLine="1440"/>
        <w:contextualSpacing/>
        <w:rPr>
          <w:sz w:val="26"/>
          <w:szCs w:val="26"/>
        </w:rPr>
      </w:pPr>
      <w:r w:rsidRPr="00787A9E">
        <w:rPr>
          <w:sz w:val="26"/>
          <w:szCs w:val="26"/>
        </w:rPr>
        <w:t xml:space="preserve">In its Replies, the OCA avers the ALJs </w:t>
      </w:r>
      <w:r w:rsidR="003D4A00" w:rsidRPr="00787A9E">
        <w:rPr>
          <w:sz w:val="26"/>
          <w:szCs w:val="26"/>
        </w:rPr>
        <w:t>properly</w:t>
      </w:r>
      <w:r w:rsidRPr="00787A9E">
        <w:rPr>
          <w:sz w:val="26"/>
          <w:szCs w:val="26"/>
        </w:rPr>
        <w:t xml:space="preserve"> rejected the second step increase</w:t>
      </w:r>
      <w:r w:rsidR="003D4A00" w:rsidRPr="00787A9E">
        <w:rPr>
          <w:sz w:val="26"/>
          <w:szCs w:val="26"/>
        </w:rPr>
        <w:t xml:space="preserve"> in the phased-in rates for </w:t>
      </w:r>
      <w:r w:rsidRPr="00787A9E">
        <w:rPr>
          <w:sz w:val="26"/>
          <w:szCs w:val="26"/>
        </w:rPr>
        <w:t>Wastewater Supplement No. 1 in their Recommended Decision.  According to the OCA,</w:t>
      </w:r>
      <w:r w:rsidR="00202E70" w:rsidRPr="00787A9E">
        <w:rPr>
          <w:sz w:val="26"/>
          <w:szCs w:val="26"/>
        </w:rPr>
        <w:t xml:space="preserve"> not only</w:t>
      </w:r>
      <w:r w:rsidRPr="00787A9E">
        <w:rPr>
          <w:sz w:val="26"/>
          <w:szCs w:val="26"/>
        </w:rPr>
        <w:t xml:space="preserve"> is </w:t>
      </w:r>
      <w:r w:rsidR="00202E70" w:rsidRPr="00787A9E">
        <w:rPr>
          <w:sz w:val="26"/>
          <w:szCs w:val="26"/>
        </w:rPr>
        <w:t xml:space="preserve">there </w:t>
      </w:r>
      <w:r w:rsidRPr="00787A9E">
        <w:rPr>
          <w:sz w:val="26"/>
          <w:szCs w:val="26"/>
        </w:rPr>
        <w:t xml:space="preserve">substantial evidence in the record to </w:t>
      </w:r>
      <w:r w:rsidR="00202E70" w:rsidRPr="00787A9E">
        <w:rPr>
          <w:sz w:val="26"/>
          <w:szCs w:val="26"/>
        </w:rPr>
        <w:t>reject the second step increase</w:t>
      </w:r>
      <w:r w:rsidR="004937BE">
        <w:rPr>
          <w:sz w:val="26"/>
          <w:szCs w:val="26"/>
        </w:rPr>
        <w:t>,</w:t>
      </w:r>
      <w:r w:rsidR="00202E70" w:rsidRPr="00787A9E">
        <w:rPr>
          <w:sz w:val="26"/>
          <w:szCs w:val="26"/>
        </w:rPr>
        <w:t xml:space="preserve"> there </w:t>
      </w:r>
      <w:r w:rsidR="008F436E" w:rsidRPr="00787A9E">
        <w:rPr>
          <w:sz w:val="26"/>
          <w:szCs w:val="26"/>
        </w:rPr>
        <w:t xml:space="preserve">is </w:t>
      </w:r>
      <w:r w:rsidR="004937BE">
        <w:rPr>
          <w:sz w:val="26"/>
          <w:szCs w:val="26"/>
        </w:rPr>
        <w:t xml:space="preserve">also </w:t>
      </w:r>
      <w:r w:rsidR="002C6EA4" w:rsidRPr="00787A9E">
        <w:rPr>
          <w:sz w:val="26"/>
          <w:szCs w:val="26"/>
        </w:rPr>
        <w:t>enough</w:t>
      </w:r>
      <w:r w:rsidR="008F436E" w:rsidRPr="00787A9E">
        <w:rPr>
          <w:sz w:val="26"/>
          <w:szCs w:val="26"/>
        </w:rPr>
        <w:t xml:space="preserve"> evidence to reject the entire </w:t>
      </w:r>
      <w:r w:rsidR="00952D3D" w:rsidRPr="00787A9E">
        <w:rPr>
          <w:sz w:val="26"/>
          <w:szCs w:val="26"/>
        </w:rPr>
        <w:t xml:space="preserve">rate </w:t>
      </w:r>
      <w:r w:rsidR="008F436E" w:rsidRPr="00787A9E">
        <w:rPr>
          <w:sz w:val="26"/>
          <w:szCs w:val="26"/>
        </w:rPr>
        <w:t>increase</w:t>
      </w:r>
      <w:r w:rsidR="002C6EA4" w:rsidRPr="00787A9E">
        <w:rPr>
          <w:sz w:val="26"/>
          <w:szCs w:val="26"/>
        </w:rPr>
        <w:t xml:space="preserve"> </w:t>
      </w:r>
      <w:r w:rsidR="00892B51" w:rsidRPr="00787A9E">
        <w:rPr>
          <w:sz w:val="26"/>
          <w:szCs w:val="26"/>
        </w:rPr>
        <w:t xml:space="preserve">request </w:t>
      </w:r>
      <w:r w:rsidR="002C6EA4" w:rsidRPr="00787A9E">
        <w:rPr>
          <w:sz w:val="26"/>
          <w:szCs w:val="26"/>
        </w:rPr>
        <w:t>filed by the Company</w:t>
      </w:r>
      <w:r w:rsidR="008F436E" w:rsidRPr="00787A9E">
        <w:rPr>
          <w:sz w:val="26"/>
          <w:szCs w:val="26"/>
        </w:rPr>
        <w:t>.  The OCA</w:t>
      </w:r>
      <w:r w:rsidR="00517281" w:rsidRPr="00787A9E">
        <w:rPr>
          <w:sz w:val="26"/>
          <w:szCs w:val="26"/>
        </w:rPr>
        <w:t xml:space="preserve"> avers that</w:t>
      </w:r>
      <w:r w:rsidR="008F436E" w:rsidRPr="00787A9E">
        <w:rPr>
          <w:sz w:val="26"/>
          <w:szCs w:val="26"/>
        </w:rPr>
        <w:t xml:space="preserve"> the completion of the </w:t>
      </w:r>
      <w:r w:rsidR="00E251C2" w:rsidRPr="00787A9E">
        <w:rPr>
          <w:sz w:val="26"/>
          <w:szCs w:val="26"/>
        </w:rPr>
        <w:t>Commission</w:t>
      </w:r>
      <w:r w:rsidR="00A424DB">
        <w:rPr>
          <w:sz w:val="26"/>
          <w:szCs w:val="26"/>
        </w:rPr>
        <w:t>’</w:t>
      </w:r>
      <w:r w:rsidR="00E251C2" w:rsidRPr="00787A9E">
        <w:rPr>
          <w:sz w:val="26"/>
          <w:szCs w:val="26"/>
        </w:rPr>
        <w:t xml:space="preserve">s directives </w:t>
      </w:r>
      <w:r w:rsidR="008F436E" w:rsidRPr="00787A9E">
        <w:rPr>
          <w:sz w:val="26"/>
          <w:szCs w:val="26"/>
        </w:rPr>
        <w:t xml:space="preserve">in the </w:t>
      </w:r>
      <w:r w:rsidR="008F436E" w:rsidRPr="00787A9E">
        <w:rPr>
          <w:i/>
          <w:sz w:val="26"/>
          <w:szCs w:val="26"/>
        </w:rPr>
        <w:t>McCloskey Orders</w:t>
      </w:r>
      <w:r w:rsidR="008F436E" w:rsidRPr="00787A9E">
        <w:rPr>
          <w:sz w:val="26"/>
          <w:szCs w:val="26"/>
        </w:rPr>
        <w:t xml:space="preserve"> </w:t>
      </w:r>
      <w:r w:rsidR="00E251C2" w:rsidRPr="00787A9E">
        <w:rPr>
          <w:sz w:val="26"/>
          <w:szCs w:val="26"/>
        </w:rPr>
        <w:t xml:space="preserve">by the Company </w:t>
      </w:r>
      <w:r w:rsidR="008F436E" w:rsidRPr="00787A9E">
        <w:rPr>
          <w:sz w:val="26"/>
          <w:szCs w:val="26"/>
        </w:rPr>
        <w:t>does not automatically equate to a determination that service is safe, adequate and reliable.  OCA R. Exc. at 3</w:t>
      </w:r>
      <w:r w:rsidR="00BB7C3B" w:rsidRPr="00787A9E">
        <w:rPr>
          <w:sz w:val="26"/>
          <w:szCs w:val="26"/>
        </w:rPr>
        <w:t xml:space="preserve"> </w:t>
      </w:r>
      <w:r w:rsidR="00582C1C" w:rsidRPr="00787A9E">
        <w:rPr>
          <w:sz w:val="26"/>
          <w:szCs w:val="26"/>
        </w:rPr>
        <w:t>(</w:t>
      </w:r>
      <w:r w:rsidR="008F436E" w:rsidRPr="00787A9E">
        <w:rPr>
          <w:sz w:val="26"/>
          <w:szCs w:val="26"/>
        </w:rPr>
        <w:t xml:space="preserve">citing </w:t>
      </w:r>
      <w:r w:rsidR="008F436E" w:rsidRPr="00787A9E">
        <w:rPr>
          <w:i/>
          <w:sz w:val="26"/>
          <w:szCs w:val="26"/>
        </w:rPr>
        <w:t>January 2018 McCloskey Order</w:t>
      </w:r>
      <w:r w:rsidR="008F436E" w:rsidRPr="00787A9E">
        <w:rPr>
          <w:sz w:val="26"/>
          <w:szCs w:val="26"/>
        </w:rPr>
        <w:t xml:space="preserve"> at 31-32</w:t>
      </w:r>
      <w:r w:rsidR="00582C1C" w:rsidRPr="00787A9E">
        <w:rPr>
          <w:sz w:val="26"/>
          <w:szCs w:val="26"/>
        </w:rPr>
        <w:t>)</w:t>
      </w:r>
      <w:r w:rsidR="008F436E" w:rsidRPr="00787A9E">
        <w:rPr>
          <w:sz w:val="26"/>
          <w:szCs w:val="26"/>
        </w:rPr>
        <w:t>.</w:t>
      </w:r>
      <w:r w:rsidR="006124E6" w:rsidRPr="00787A9E">
        <w:rPr>
          <w:sz w:val="26"/>
          <w:szCs w:val="26"/>
        </w:rPr>
        <w:t xml:space="preserve">  The OCA disputes the Company</w:t>
      </w:r>
      <w:r w:rsidR="00A424DB">
        <w:rPr>
          <w:sz w:val="26"/>
          <w:szCs w:val="26"/>
        </w:rPr>
        <w:t>’</w:t>
      </w:r>
      <w:r w:rsidR="006124E6" w:rsidRPr="00787A9E">
        <w:rPr>
          <w:sz w:val="26"/>
          <w:szCs w:val="26"/>
        </w:rPr>
        <w:t>s argument that the ALJs</w:t>
      </w:r>
      <w:r w:rsidR="00A424DB">
        <w:rPr>
          <w:sz w:val="26"/>
          <w:szCs w:val="26"/>
        </w:rPr>
        <w:t>’</w:t>
      </w:r>
      <w:r w:rsidR="00071AAC" w:rsidRPr="00787A9E">
        <w:rPr>
          <w:sz w:val="26"/>
          <w:szCs w:val="26"/>
        </w:rPr>
        <w:t xml:space="preserve"> </w:t>
      </w:r>
      <w:r w:rsidR="006124E6" w:rsidRPr="00787A9E">
        <w:rPr>
          <w:sz w:val="26"/>
          <w:szCs w:val="26"/>
        </w:rPr>
        <w:t xml:space="preserve">decision to reject the second step increase </w:t>
      </w:r>
      <w:r w:rsidR="00071AAC" w:rsidRPr="00787A9E">
        <w:rPr>
          <w:sz w:val="26"/>
          <w:szCs w:val="26"/>
        </w:rPr>
        <w:t xml:space="preserve">is based </w:t>
      </w:r>
      <w:r w:rsidR="006124E6" w:rsidRPr="00787A9E">
        <w:rPr>
          <w:sz w:val="26"/>
          <w:szCs w:val="26"/>
        </w:rPr>
        <w:t xml:space="preserve">on their finding of inadequate water service by the Company.  </w:t>
      </w:r>
      <w:r w:rsidR="00952D3D" w:rsidRPr="00787A9E">
        <w:rPr>
          <w:sz w:val="26"/>
          <w:szCs w:val="26"/>
        </w:rPr>
        <w:t>Rather, t</w:t>
      </w:r>
      <w:r w:rsidR="006124E6" w:rsidRPr="00787A9E">
        <w:rPr>
          <w:sz w:val="26"/>
          <w:szCs w:val="26"/>
        </w:rPr>
        <w:t xml:space="preserve">he OCA argues </w:t>
      </w:r>
      <w:r w:rsidR="006124E6" w:rsidRPr="00787A9E">
        <w:rPr>
          <w:sz w:val="26"/>
          <w:szCs w:val="26"/>
        </w:rPr>
        <w:lastRenderedPageBreak/>
        <w:t>the ALJs</w:t>
      </w:r>
      <w:r w:rsidR="00A424DB">
        <w:rPr>
          <w:sz w:val="26"/>
          <w:szCs w:val="26"/>
        </w:rPr>
        <w:t>’</w:t>
      </w:r>
      <w:r w:rsidR="006124E6" w:rsidRPr="00787A9E">
        <w:rPr>
          <w:sz w:val="26"/>
          <w:szCs w:val="26"/>
        </w:rPr>
        <w:t xml:space="preserve"> decision was based on the evidence developed in th</w:t>
      </w:r>
      <w:r w:rsidR="00952D3D" w:rsidRPr="00787A9E">
        <w:rPr>
          <w:sz w:val="26"/>
          <w:szCs w:val="26"/>
        </w:rPr>
        <w:t xml:space="preserve">e instant proceeding </w:t>
      </w:r>
      <w:r w:rsidR="00071AAC" w:rsidRPr="00787A9E">
        <w:rPr>
          <w:sz w:val="26"/>
          <w:szCs w:val="26"/>
        </w:rPr>
        <w:t>regarding the Company</w:t>
      </w:r>
      <w:r w:rsidR="00A424DB">
        <w:rPr>
          <w:sz w:val="26"/>
          <w:szCs w:val="26"/>
        </w:rPr>
        <w:t>’</w:t>
      </w:r>
      <w:r w:rsidR="00071AAC" w:rsidRPr="00787A9E">
        <w:rPr>
          <w:sz w:val="26"/>
          <w:szCs w:val="26"/>
        </w:rPr>
        <w:t xml:space="preserve">s wastewater service </w:t>
      </w:r>
      <w:r w:rsidR="006124E6" w:rsidRPr="00787A9E">
        <w:rPr>
          <w:sz w:val="26"/>
          <w:szCs w:val="26"/>
        </w:rPr>
        <w:t xml:space="preserve">and in the </w:t>
      </w:r>
      <w:r w:rsidR="006124E6" w:rsidRPr="00787A9E">
        <w:rPr>
          <w:i/>
          <w:sz w:val="26"/>
          <w:szCs w:val="26"/>
        </w:rPr>
        <w:t>McCloskey</w:t>
      </w:r>
      <w:r w:rsidR="006124E6" w:rsidRPr="00787A9E">
        <w:rPr>
          <w:sz w:val="26"/>
          <w:szCs w:val="26"/>
        </w:rPr>
        <w:t xml:space="preserve"> proceedings</w:t>
      </w:r>
      <w:r w:rsidR="00071AAC" w:rsidRPr="00787A9E">
        <w:rPr>
          <w:sz w:val="26"/>
          <w:szCs w:val="26"/>
        </w:rPr>
        <w:t>,</w:t>
      </w:r>
      <w:r w:rsidR="002432C2" w:rsidRPr="00787A9E">
        <w:rPr>
          <w:sz w:val="26"/>
          <w:szCs w:val="26"/>
        </w:rPr>
        <w:t xml:space="preserve"> in which the Commission found inadequate wastewater service.  The OCA argues that similar to </w:t>
      </w:r>
      <w:r w:rsidR="00254729" w:rsidRPr="00787A9E">
        <w:rPr>
          <w:sz w:val="26"/>
          <w:szCs w:val="26"/>
        </w:rPr>
        <w:t>the water</w:t>
      </w:r>
      <w:r w:rsidR="002432C2" w:rsidRPr="00787A9E">
        <w:rPr>
          <w:sz w:val="26"/>
          <w:szCs w:val="26"/>
        </w:rPr>
        <w:t xml:space="preserve"> system, the </w:t>
      </w:r>
      <w:r w:rsidR="002C6EA4" w:rsidRPr="00787A9E">
        <w:rPr>
          <w:sz w:val="26"/>
          <w:szCs w:val="26"/>
        </w:rPr>
        <w:t>Company</w:t>
      </w:r>
      <w:r w:rsidR="00A424DB">
        <w:rPr>
          <w:sz w:val="26"/>
          <w:szCs w:val="26"/>
        </w:rPr>
        <w:t>’</w:t>
      </w:r>
      <w:r w:rsidR="002C6EA4" w:rsidRPr="00787A9E">
        <w:rPr>
          <w:sz w:val="26"/>
          <w:szCs w:val="26"/>
        </w:rPr>
        <w:t xml:space="preserve">s </w:t>
      </w:r>
      <w:r w:rsidR="002432C2" w:rsidRPr="00787A9E">
        <w:rPr>
          <w:sz w:val="26"/>
          <w:szCs w:val="26"/>
        </w:rPr>
        <w:t>wastewater system is also in need of repair and the Company</w:t>
      </w:r>
      <w:r w:rsidR="00A424DB">
        <w:rPr>
          <w:sz w:val="26"/>
          <w:szCs w:val="26"/>
        </w:rPr>
        <w:t>’</w:t>
      </w:r>
      <w:r w:rsidR="002432C2" w:rsidRPr="00787A9E">
        <w:rPr>
          <w:sz w:val="26"/>
          <w:szCs w:val="26"/>
        </w:rPr>
        <w:t xml:space="preserve">s failure to maintain and </w:t>
      </w:r>
      <w:r w:rsidR="00853AA3" w:rsidRPr="00787A9E">
        <w:rPr>
          <w:sz w:val="26"/>
          <w:szCs w:val="26"/>
        </w:rPr>
        <w:t xml:space="preserve">to </w:t>
      </w:r>
      <w:r w:rsidR="002432C2" w:rsidRPr="00787A9E">
        <w:rPr>
          <w:sz w:val="26"/>
          <w:szCs w:val="26"/>
        </w:rPr>
        <w:t>make</w:t>
      </w:r>
      <w:r w:rsidR="00E15C9B" w:rsidRPr="00787A9E">
        <w:rPr>
          <w:sz w:val="26"/>
          <w:szCs w:val="26"/>
        </w:rPr>
        <w:t xml:space="preserve"> </w:t>
      </w:r>
      <w:r w:rsidR="00D42E40" w:rsidRPr="00787A9E">
        <w:rPr>
          <w:sz w:val="26"/>
          <w:szCs w:val="26"/>
        </w:rPr>
        <w:t xml:space="preserve">the </w:t>
      </w:r>
      <w:r w:rsidR="00E15C9B" w:rsidRPr="00787A9E">
        <w:rPr>
          <w:sz w:val="26"/>
          <w:szCs w:val="26"/>
        </w:rPr>
        <w:t>necessary improvements to its collection and treatment facilities is a violation of Section 1501</w:t>
      </w:r>
      <w:r w:rsidR="00153AF4" w:rsidRPr="00787A9E">
        <w:rPr>
          <w:sz w:val="26"/>
          <w:szCs w:val="26"/>
        </w:rPr>
        <w:t xml:space="preserve"> of the Code</w:t>
      </w:r>
      <w:r w:rsidR="00E15C9B" w:rsidRPr="00787A9E">
        <w:rPr>
          <w:sz w:val="26"/>
          <w:szCs w:val="26"/>
        </w:rPr>
        <w:t xml:space="preserve">.  </w:t>
      </w:r>
      <w:r w:rsidR="001F427C" w:rsidRPr="00787A9E">
        <w:rPr>
          <w:sz w:val="26"/>
          <w:szCs w:val="26"/>
        </w:rPr>
        <w:t xml:space="preserve">OCA </w:t>
      </w:r>
      <w:r w:rsidR="00E15C9B" w:rsidRPr="00787A9E">
        <w:rPr>
          <w:sz w:val="26"/>
          <w:szCs w:val="26"/>
        </w:rPr>
        <w:t>R. Exc. at 4.</w:t>
      </w:r>
    </w:p>
    <w:p w14:paraId="0AA97AD4" w14:textId="77777777" w:rsidR="00E15C9B" w:rsidRPr="00787A9E" w:rsidRDefault="00E15C9B" w:rsidP="00FD1A00">
      <w:pPr>
        <w:pStyle w:val="Default"/>
        <w:spacing w:line="360" w:lineRule="auto"/>
        <w:ind w:firstLine="1440"/>
        <w:contextualSpacing/>
        <w:rPr>
          <w:sz w:val="26"/>
          <w:szCs w:val="26"/>
        </w:rPr>
      </w:pPr>
    </w:p>
    <w:p w14:paraId="22D9D1FC" w14:textId="182B1BC6" w:rsidR="00576779" w:rsidRPr="00787A9E" w:rsidRDefault="00E15C9B" w:rsidP="00FD1A00">
      <w:pPr>
        <w:pStyle w:val="Default"/>
        <w:spacing w:line="360" w:lineRule="auto"/>
        <w:ind w:firstLine="1440"/>
        <w:contextualSpacing/>
        <w:rPr>
          <w:sz w:val="26"/>
          <w:szCs w:val="26"/>
        </w:rPr>
      </w:pPr>
      <w:r w:rsidRPr="00787A9E">
        <w:rPr>
          <w:sz w:val="26"/>
          <w:szCs w:val="26"/>
        </w:rPr>
        <w:t>Additionally, the OCA references the evidence it presented against the Company</w:t>
      </w:r>
      <w:r w:rsidR="00A424DB">
        <w:rPr>
          <w:sz w:val="26"/>
          <w:szCs w:val="26"/>
        </w:rPr>
        <w:t>’</w:t>
      </w:r>
      <w:r w:rsidRPr="00787A9E">
        <w:rPr>
          <w:sz w:val="26"/>
          <w:szCs w:val="26"/>
        </w:rPr>
        <w:t xml:space="preserve">s wastewater service in the </w:t>
      </w:r>
      <w:r w:rsidRPr="00787A9E">
        <w:rPr>
          <w:i/>
          <w:sz w:val="26"/>
          <w:szCs w:val="26"/>
        </w:rPr>
        <w:t>McCloskey</w:t>
      </w:r>
      <w:r w:rsidRPr="00787A9E">
        <w:rPr>
          <w:sz w:val="26"/>
          <w:szCs w:val="26"/>
        </w:rPr>
        <w:t xml:space="preserve"> proceedings including inadequate maintenance and replacement, sewage odors and sewage overflows, financial and managerial issues </w:t>
      </w:r>
      <w:r w:rsidR="00B645E4" w:rsidRPr="00787A9E">
        <w:rPr>
          <w:sz w:val="26"/>
          <w:szCs w:val="26"/>
        </w:rPr>
        <w:t>such as</w:t>
      </w:r>
      <w:r w:rsidRPr="00787A9E">
        <w:rPr>
          <w:sz w:val="26"/>
          <w:szCs w:val="26"/>
        </w:rPr>
        <w:t xml:space="preserve"> inadequate financial resources, </w:t>
      </w:r>
      <w:r w:rsidR="003643E3" w:rsidRPr="00787A9E">
        <w:rPr>
          <w:sz w:val="26"/>
          <w:szCs w:val="26"/>
        </w:rPr>
        <w:t xml:space="preserve">inadequate </w:t>
      </w:r>
      <w:r w:rsidRPr="00787A9E">
        <w:rPr>
          <w:sz w:val="26"/>
          <w:szCs w:val="26"/>
        </w:rPr>
        <w:t xml:space="preserve">management of utility revenue, </w:t>
      </w:r>
      <w:r w:rsidR="003643E3" w:rsidRPr="00787A9E">
        <w:rPr>
          <w:sz w:val="26"/>
          <w:szCs w:val="26"/>
        </w:rPr>
        <w:t xml:space="preserve">inadequate </w:t>
      </w:r>
      <w:r w:rsidRPr="00787A9E">
        <w:rPr>
          <w:sz w:val="26"/>
          <w:szCs w:val="26"/>
        </w:rPr>
        <w:t>reporting and billing</w:t>
      </w:r>
      <w:r w:rsidR="003643E3" w:rsidRPr="00787A9E">
        <w:rPr>
          <w:sz w:val="26"/>
          <w:szCs w:val="26"/>
        </w:rPr>
        <w:t xml:space="preserve">, and inadequate customer service and complaint handling.  </w:t>
      </w:r>
      <w:r w:rsidR="00EE297A" w:rsidRPr="00787A9E">
        <w:rPr>
          <w:sz w:val="26"/>
          <w:szCs w:val="26"/>
        </w:rPr>
        <w:t>OCA R. Exc. at 4</w:t>
      </w:r>
      <w:r w:rsidR="003643E3" w:rsidRPr="00787A9E">
        <w:rPr>
          <w:i/>
          <w:sz w:val="26"/>
          <w:szCs w:val="26"/>
        </w:rPr>
        <w:t>.</w:t>
      </w:r>
      <w:r w:rsidR="003643E3" w:rsidRPr="00787A9E">
        <w:rPr>
          <w:sz w:val="26"/>
          <w:szCs w:val="26"/>
        </w:rPr>
        <w:t xml:space="preserve">  According to the OCA, the Commission</w:t>
      </w:r>
      <w:r w:rsidR="00A424DB">
        <w:rPr>
          <w:sz w:val="26"/>
          <w:szCs w:val="26"/>
        </w:rPr>
        <w:t>’</w:t>
      </w:r>
      <w:r w:rsidR="003643E3" w:rsidRPr="00787A9E">
        <w:rPr>
          <w:sz w:val="26"/>
          <w:szCs w:val="26"/>
        </w:rPr>
        <w:t xml:space="preserve">s finding of inadequate wastewater service in the </w:t>
      </w:r>
      <w:r w:rsidR="003643E3" w:rsidRPr="00787A9E">
        <w:rPr>
          <w:i/>
          <w:sz w:val="26"/>
          <w:szCs w:val="26"/>
        </w:rPr>
        <w:t>McCloskey Orders</w:t>
      </w:r>
      <w:r w:rsidR="00A47AA9" w:rsidRPr="00787A9E">
        <w:rPr>
          <w:i/>
          <w:sz w:val="26"/>
          <w:szCs w:val="26"/>
        </w:rPr>
        <w:t xml:space="preserve"> </w:t>
      </w:r>
      <w:r w:rsidR="003643E3" w:rsidRPr="00787A9E">
        <w:rPr>
          <w:sz w:val="26"/>
          <w:szCs w:val="26"/>
        </w:rPr>
        <w:t xml:space="preserve">were based on the above identified problems which also impact the wastewater system.  </w:t>
      </w:r>
      <w:r w:rsidR="003643E3" w:rsidRPr="00787A9E">
        <w:rPr>
          <w:i/>
          <w:sz w:val="26"/>
          <w:szCs w:val="26"/>
        </w:rPr>
        <w:t>Id.</w:t>
      </w:r>
      <w:r w:rsidR="00BB7C3B" w:rsidRPr="00787A9E">
        <w:rPr>
          <w:sz w:val="26"/>
          <w:szCs w:val="26"/>
        </w:rPr>
        <w:t xml:space="preserve"> </w:t>
      </w:r>
      <w:r w:rsidR="00582C1C" w:rsidRPr="00787A9E">
        <w:rPr>
          <w:sz w:val="26"/>
          <w:szCs w:val="26"/>
        </w:rPr>
        <w:t>(</w:t>
      </w:r>
      <w:r w:rsidR="003643E3" w:rsidRPr="00787A9E">
        <w:rPr>
          <w:sz w:val="26"/>
          <w:szCs w:val="26"/>
        </w:rPr>
        <w:t xml:space="preserve">citing </w:t>
      </w:r>
      <w:r w:rsidR="003643E3" w:rsidRPr="00787A9E">
        <w:rPr>
          <w:i/>
          <w:sz w:val="26"/>
          <w:szCs w:val="26"/>
        </w:rPr>
        <w:t>January 2018 McCloskey Order</w:t>
      </w:r>
      <w:r w:rsidR="003643E3" w:rsidRPr="00787A9E">
        <w:rPr>
          <w:sz w:val="26"/>
          <w:szCs w:val="26"/>
        </w:rPr>
        <w:t xml:space="preserve"> at 50</w:t>
      </w:r>
      <w:r w:rsidR="00582C1C" w:rsidRPr="00787A9E">
        <w:rPr>
          <w:sz w:val="26"/>
          <w:szCs w:val="26"/>
        </w:rPr>
        <w:t>)</w:t>
      </w:r>
      <w:r w:rsidR="003643E3" w:rsidRPr="00787A9E">
        <w:rPr>
          <w:sz w:val="26"/>
          <w:szCs w:val="26"/>
        </w:rPr>
        <w:t xml:space="preserve">.  </w:t>
      </w:r>
      <w:r w:rsidR="0000330D" w:rsidRPr="00787A9E">
        <w:rPr>
          <w:sz w:val="26"/>
          <w:szCs w:val="26"/>
        </w:rPr>
        <w:t xml:space="preserve">Specifically, the OCA argues </w:t>
      </w:r>
      <w:r w:rsidR="005C2EF5" w:rsidRPr="00787A9E">
        <w:rPr>
          <w:sz w:val="26"/>
          <w:szCs w:val="26"/>
        </w:rPr>
        <w:t xml:space="preserve">that </w:t>
      </w:r>
      <w:r w:rsidR="0000330D" w:rsidRPr="00787A9E">
        <w:rPr>
          <w:sz w:val="26"/>
          <w:szCs w:val="26"/>
        </w:rPr>
        <w:t xml:space="preserve">in the </w:t>
      </w:r>
      <w:r w:rsidR="0000330D" w:rsidRPr="00787A9E">
        <w:rPr>
          <w:i/>
          <w:sz w:val="26"/>
          <w:szCs w:val="26"/>
        </w:rPr>
        <w:t>January 2018 McCloskey Order</w:t>
      </w:r>
      <w:r w:rsidR="0000330D" w:rsidRPr="00787A9E">
        <w:rPr>
          <w:sz w:val="26"/>
          <w:szCs w:val="26"/>
        </w:rPr>
        <w:t xml:space="preserve">, the Commission adopted </w:t>
      </w:r>
      <w:r w:rsidR="00EE0B88">
        <w:rPr>
          <w:sz w:val="26"/>
          <w:szCs w:val="26"/>
        </w:rPr>
        <w:t>ALJ Watson</w:t>
      </w:r>
      <w:r w:rsidR="00A424DB">
        <w:rPr>
          <w:sz w:val="26"/>
          <w:szCs w:val="26"/>
        </w:rPr>
        <w:t>’</w:t>
      </w:r>
      <w:r w:rsidR="00EE0B88">
        <w:rPr>
          <w:sz w:val="26"/>
          <w:szCs w:val="26"/>
        </w:rPr>
        <w:t>s</w:t>
      </w:r>
      <w:r w:rsidR="0000330D" w:rsidRPr="00787A9E">
        <w:rPr>
          <w:sz w:val="26"/>
          <w:szCs w:val="26"/>
        </w:rPr>
        <w:t xml:space="preserve"> finding in the Recommended Decision in which </w:t>
      </w:r>
      <w:r w:rsidR="00EE0B88">
        <w:rPr>
          <w:sz w:val="26"/>
          <w:szCs w:val="26"/>
        </w:rPr>
        <w:t>he</w:t>
      </w:r>
      <w:r w:rsidR="0000330D" w:rsidRPr="00787A9E">
        <w:rPr>
          <w:sz w:val="26"/>
          <w:szCs w:val="26"/>
        </w:rPr>
        <w:t xml:space="preserve"> stated that </w:t>
      </w:r>
      <w:r w:rsidR="00A424DB">
        <w:rPr>
          <w:sz w:val="26"/>
          <w:szCs w:val="26"/>
        </w:rPr>
        <w:t>“</w:t>
      </w:r>
      <w:r w:rsidR="0000330D" w:rsidRPr="00787A9E">
        <w:rPr>
          <w:sz w:val="26"/>
          <w:szCs w:val="26"/>
        </w:rPr>
        <w:t>[a]s of the date of hearing, the project to install or maintain backup pumps at the pumping stations and working alarms had not been entirely completed.  This work is necessary in order to prevent sewage overflow from the system.</w:t>
      </w:r>
      <w:r w:rsidR="00A424DB">
        <w:rPr>
          <w:sz w:val="26"/>
          <w:szCs w:val="26"/>
        </w:rPr>
        <w:t>”</w:t>
      </w:r>
      <w:r w:rsidR="005C2EF5" w:rsidRPr="00787A9E">
        <w:rPr>
          <w:sz w:val="26"/>
          <w:szCs w:val="26"/>
        </w:rPr>
        <w:t xml:space="preserve">  T</w:t>
      </w:r>
      <w:r w:rsidR="0000330D" w:rsidRPr="00787A9E">
        <w:rPr>
          <w:sz w:val="26"/>
          <w:szCs w:val="26"/>
        </w:rPr>
        <w:t xml:space="preserve">he OCA </w:t>
      </w:r>
      <w:r w:rsidR="00793C33" w:rsidRPr="00787A9E">
        <w:rPr>
          <w:sz w:val="26"/>
          <w:szCs w:val="26"/>
        </w:rPr>
        <w:t xml:space="preserve">restates </w:t>
      </w:r>
      <w:r w:rsidR="00E550D5" w:rsidRPr="00787A9E">
        <w:rPr>
          <w:sz w:val="26"/>
          <w:szCs w:val="26"/>
        </w:rPr>
        <w:t>that essentially,</w:t>
      </w:r>
      <w:r w:rsidR="0000330D" w:rsidRPr="00787A9E">
        <w:rPr>
          <w:sz w:val="26"/>
          <w:szCs w:val="26"/>
        </w:rPr>
        <w:t xml:space="preserve"> the Company failed to provide safe, adequate, and reasonable wastewater service, in violation of Section 1501.  </w:t>
      </w:r>
      <w:r w:rsidR="001F427C" w:rsidRPr="00787A9E">
        <w:rPr>
          <w:sz w:val="26"/>
          <w:szCs w:val="26"/>
        </w:rPr>
        <w:t xml:space="preserve">OCA </w:t>
      </w:r>
      <w:r w:rsidR="00E50F16" w:rsidRPr="00787A9E">
        <w:rPr>
          <w:sz w:val="26"/>
          <w:szCs w:val="26"/>
        </w:rPr>
        <w:t xml:space="preserve">R. Exc. </w:t>
      </w:r>
      <w:r w:rsidR="0000330D" w:rsidRPr="00787A9E">
        <w:rPr>
          <w:sz w:val="26"/>
          <w:szCs w:val="26"/>
        </w:rPr>
        <w:t>at</w:t>
      </w:r>
      <w:r w:rsidR="009F1C65">
        <w:rPr>
          <w:sz w:val="26"/>
          <w:szCs w:val="26"/>
        </w:rPr>
        <w:t> </w:t>
      </w:r>
      <w:r w:rsidR="0000330D" w:rsidRPr="00787A9E">
        <w:rPr>
          <w:sz w:val="26"/>
          <w:szCs w:val="26"/>
        </w:rPr>
        <w:t>4-5</w:t>
      </w:r>
      <w:r w:rsidR="00BB7C3B" w:rsidRPr="00787A9E">
        <w:rPr>
          <w:sz w:val="26"/>
          <w:szCs w:val="26"/>
        </w:rPr>
        <w:t xml:space="preserve"> </w:t>
      </w:r>
      <w:r w:rsidR="00582C1C" w:rsidRPr="00787A9E">
        <w:rPr>
          <w:sz w:val="26"/>
          <w:szCs w:val="26"/>
        </w:rPr>
        <w:t>(</w:t>
      </w:r>
      <w:r w:rsidR="0000330D" w:rsidRPr="00787A9E">
        <w:rPr>
          <w:sz w:val="26"/>
          <w:szCs w:val="26"/>
        </w:rPr>
        <w:t>citing 66 Pa. C.S. § 1501</w:t>
      </w:r>
      <w:r w:rsidR="00582C1C" w:rsidRPr="00787A9E">
        <w:rPr>
          <w:sz w:val="26"/>
          <w:szCs w:val="26"/>
        </w:rPr>
        <w:t>)</w:t>
      </w:r>
      <w:r w:rsidR="0000330D" w:rsidRPr="00787A9E">
        <w:rPr>
          <w:sz w:val="26"/>
          <w:szCs w:val="26"/>
        </w:rPr>
        <w:t>.</w:t>
      </w:r>
    </w:p>
    <w:p w14:paraId="19598884" w14:textId="77777777" w:rsidR="00890EE5" w:rsidRPr="00787A9E" w:rsidRDefault="00890EE5" w:rsidP="00FD1A00">
      <w:pPr>
        <w:pStyle w:val="Default"/>
        <w:spacing w:line="360" w:lineRule="auto"/>
        <w:ind w:firstLine="1440"/>
        <w:contextualSpacing/>
        <w:rPr>
          <w:sz w:val="26"/>
          <w:szCs w:val="26"/>
        </w:rPr>
      </w:pPr>
    </w:p>
    <w:p w14:paraId="1AD6ECDF" w14:textId="48D533A6" w:rsidR="007D3009" w:rsidRPr="00787A9E" w:rsidRDefault="00E50F16" w:rsidP="00FD1A00">
      <w:pPr>
        <w:pStyle w:val="Default"/>
        <w:spacing w:line="360" w:lineRule="auto"/>
        <w:ind w:firstLine="1440"/>
        <w:contextualSpacing/>
        <w:rPr>
          <w:sz w:val="26"/>
          <w:szCs w:val="26"/>
        </w:rPr>
      </w:pPr>
      <w:r w:rsidRPr="00787A9E">
        <w:rPr>
          <w:sz w:val="26"/>
          <w:szCs w:val="26"/>
        </w:rPr>
        <w:t xml:space="preserve">The OCA further points out that the </w:t>
      </w:r>
      <w:r w:rsidRPr="00787A9E">
        <w:rPr>
          <w:i/>
          <w:sz w:val="26"/>
          <w:szCs w:val="26"/>
        </w:rPr>
        <w:t xml:space="preserve">January 2018 McCloskey Order </w:t>
      </w:r>
      <w:r w:rsidRPr="00787A9E">
        <w:rPr>
          <w:sz w:val="26"/>
          <w:szCs w:val="26"/>
        </w:rPr>
        <w:t xml:space="preserve">required an </w:t>
      </w:r>
      <w:r w:rsidR="003C7A4E" w:rsidRPr="00787A9E">
        <w:rPr>
          <w:sz w:val="26"/>
          <w:szCs w:val="26"/>
        </w:rPr>
        <w:t>E</w:t>
      </w:r>
      <w:r w:rsidRPr="00787A9E">
        <w:rPr>
          <w:sz w:val="26"/>
          <w:szCs w:val="26"/>
        </w:rPr>
        <w:t>ngineer</w:t>
      </w:r>
      <w:r w:rsidR="00A424DB">
        <w:rPr>
          <w:sz w:val="26"/>
          <w:szCs w:val="26"/>
        </w:rPr>
        <w:t>’</w:t>
      </w:r>
      <w:r w:rsidRPr="00787A9E">
        <w:rPr>
          <w:sz w:val="26"/>
          <w:szCs w:val="26"/>
        </w:rPr>
        <w:t xml:space="preserve">s </w:t>
      </w:r>
      <w:r w:rsidR="003C7A4E" w:rsidRPr="00787A9E">
        <w:rPr>
          <w:sz w:val="26"/>
          <w:szCs w:val="26"/>
        </w:rPr>
        <w:t>R</w:t>
      </w:r>
      <w:r w:rsidRPr="00787A9E">
        <w:rPr>
          <w:sz w:val="26"/>
          <w:szCs w:val="26"/>
        </w:rPr>
        <w:t xml:space="preserve">eport for the wastewater system within </w:t>
      </w:r>
      <w:r w:rsidR="00206A98" w:rsidRPr="00787A9E">
        <w:rPr>
          <w:sz w:val="26"/>
          <w:szCs w:val="26"/>
        </w:rPr>
        <w:t>ninety</w:t>
      </w:r>
      <w:r w:rsidRPr="00787A9E">
        <w:rPr>
          <w:sz w:val="26"/>
          <w:szCs w:val="26"/>
        </w:rPr>
        <w:t xml:space="preserve"> days </w:t>
      </w:r>
      <w:r w:rsidR="00E546ED">
        <w:rPr>
          <w:sz w:val="26"/>
          <w:szCs w:val="26"/>
        </w:rPr>
        <w:t>mandat</w:t>
      </w:r>
      <w:r w:rsidRPr="00787A9E">
        <w:rPr>
          <w:sz w:val="26"/>
          <w:szCs w:val="26"/>
        </w:rPr>
        <w:t>ing</w:t>
      </w:r>
      <w:r w:rsidR="00206A98" w:rsidRPr="00787A9E">
        <w:rPr>
          <w:sz w:val="26"/>
          <w:szCs w:val="26"/>
        </w:rPr>
        <w:t xml:space="preserve">, </w:t>
      </w:r>
      <w:r w:rsidR="00185E51" w:rsidRPr="00787A9E">
        <w:rPr>
          <w:i/>
          <w:sz w:val="26"/>
          <w:szCs w:val="26"/>
        </w:rPr>
        <w:t>inter alia</w:t>
      </w:r>
      <w:r w:rsidR="00206A98" w:rsidRPr="00787A9E">
        <w:rPr>
          <w:i/>
          <w:sz w:val="26"/>
          <w:szCs w:val="26"/>
        </w:rPr>
        <w:t>,</w:t>
      </w:r>
      <w:r w:rsidR="00E14BE1" w:rsidRPr="00787A9E">
        <w:rPr>
          <w:sz w:val="26"/>
          <w:szCs w:val="26"/>
        </w:rPr>
        <w:t xml:space="preserve"> </w:t>
      </w:r>
      <w:r w:rsidR="00886AE5" w:rsidRPr="00787A9E">
        <w:rPr>
          <w:sz w:val="26"/>
          <w:szCs w:val="26"/>
        </w:rPr>
        <w:t xml:space="preserve">a </w:t>
      </w:r>
      <w:r w:rsidR="00E14BE1" w:rsidRPr="00787A9E">
        <w:rPr>
          <w:sz w:val="26"/>
          <w:szCs w:val="26"/>
        </w:rPr>
        <w:t>report on</w:t>
      </w:r>
      <w:r w:rsidR="00206A98" w:rsidRPr="00787A9E">
        <w:rPr>
          <w:sz w:val="26"/>
          <w:szCs w:val="26"/>
        </w:rPr>
        <w:t xml:space="preserve"> back up pumps and alarms, inspection of all wastewater facilities, tanks and equipment</w:t>
      </w:r>
      <w:r w:rsidR="00B6043F">
        <w:rPr>
          <w:sz w:val="26"/>
          <w:szCs w:val="26"/>
        </w:rPr>
        <w:t>,</w:t>
      </w:r>
      <w:r w:rsidR="00206A98" w:rsidRPr="00787A9E">
        <w:rPr>
          <w:sz w:val="26"/>
          <w:szCs w:val="26"/>
        </w:rPr>
        <w:t xml:space="preserve"> and a report of the findings.  </w:t>
      </w:r>
      <w:r w:rsidR="001F427C" w:rsidRPr="00787A9E">
        <w:rPr>
          <w:sz w:val="26"/>
          <w:szCs w:val="26"/>
        </w:rPr>
        <w:t xml:space="preserve">OCA </w:t>
      </w:r>
      <w:r w:rsidR="00206A98" w:rsidRPr="00787A9E">
        <w:rPr>
          <w:sz w:val="26"/>
          <w:szCs w:val="26"/>
        </w:rPr>
        <w:t>R. Exc. at 4-5</w:t>
      </w:r>
      <w:r w:rsidR="00E25DC2" w:rsidRPr="00787A9E">
        <w:rPr>
          <w:sz w:val="26"/>
          <w:szCs w:val="26"/>
        </w:rPr>
        <w:t xml:space="preserve"> </w:t>
      </w:r>
      <w:r w:rsidR="00582C1C" w:rsidRPr="00787A9E">
        <w:rPr>
          <w:sz w:val="26"/>
          <w:szCs w:val="26"/>
        </w:rPr>
        <w:t>(</w:t>
      </w:r>
      <w:r w:rsidR="00206A98" w:rsidRPr="00787A9E">
        <w:rPr>
          <w:sz w:val="26"/>
          <w:szCs w:val="26"/>
        </w:rPr>
        <w:t xml:space="preserve">citing </w:t>
      </w:r>
      <w:r w:rsidR="00206A98" w:rsidRPr="00787A9E">
        <w:rPr>
          <w:i/>
          <w:sz w:val="26"/>
          <w:szCs w:val="26"/>
        </w:rPr>
        <w:t>January 2018 McCloskey Order</w:t>
      </w:r>
      <w:r w:rsidR="00206A98" w:rsidRPr="00787A9E">
        <w:rPr>
          <w:sz w:val="26"/>
          <w:szCs w:val="26"/>
        </w:rPr>
        <w:t xml:space="preserve"> at 62-63</w:t>
      </w:r>
      <w:r w:rsidR="00582C1C" w:rsidRPr="00787A9E">
        <w:rPr>
          <w:sz w:val="26"/>
          <w:szCs w:val="26"/>
        </w:rPr>
        <w:t>)</w:t>
      </w:r>
      <w:r w:rsidR="00206A98" w:rsidRPr="00787A9E">
        <w:rPr>
          <w:sz w:val="26"/>
          <w:szCs w:val="26"/>
        </w:rPr>
        <w:t xml:space="preserve">.  The OCA argues the Commission further required, </w:t>
      </w:r>
      <w:r w:rsidR="00206A98" w:rsidRPr="00787A9E">
        <w:rPr>
          <w:i/>
          <w:sz w:val="26"/>
          <w:szCs w:val="26"/>
        </w:rPr>
        <w:lastRenderedPageBreak/>
        <w:t>inter alia,</w:t>
      </w:r>
      <w:r w:rsidR="00206A98" w:rsidRPr="00787A9E">
        <w:rPr>
          <w:sz w:val="26"/>
          <w:szCs w:val="26"/>
        </w:rPr>
        <w:t xml:space="preserve"> modifications to the billing system to comply with Commission rules, corrected information in the Company</w:t>
      </w:r>
      <w:r w:rsidR="00A424DB">
        <w:rPr>
          <w:sz w:val="26"/>
          <w:szCs w:val="26"/>
        </w:rPr>
        <w:t>’</w:t>
      </w:r>
      <w:r w:rsidR="00206A98" w:rsidRPr="00787A9E">
        <w:rPr>
          <w:sz w:val="26"/>
          <w:szCs w:val="26"/>
        </w:rPr>
        <w:t xml:space="preserve">s annual reports, and a status report every sixty days.  </w:t>
      </w:r>
      <w:r w:rsidR="00EB156B">
        <w:rPr>
          <w:sz w:val="26"/>
          <w:szCs w:val="26"/>
        </w:rPr>
        <w:t xml:space="preserve">OCA </w:t>
      </w:r>
      <w:r w:rsidR="00206A98" w:rsidRPr="00787A9E">
        <w:rPr>
          <w:sz w:val="26"/>
          <w:szCs w:val="26"/>
        </w:rPr>
        <w:t>R. Exc. at 5</w:t>
      </w:r>
      <w:r w:rsidR="00A4775A" w:rsidRPr="00787A9E">
        <w:rPr>
          <w:sz w:val="26"/>
          <w:szCs w:val="26"/>
        </w:rPr>
        <w:t xml:space="preserve"> </w:t>
      </w:r>
      <w:r w:rsidR="00582C1C" w:rsidRPr="00787A9E">
        <w:rPr>
          <w:sz w:val="26"/>
          <w:szCs w:val="26"/>
        </w:rPr>
        <w:t>(</w:t>
      </w:r>
      <w:r w:rsidR="00206A98" w:rsidRPr="00787A9E">
        <w:rPr>
          <w:sz w:val="26"/>
          <w:szCs w:val="26"/>
        </w:rPr>
        <w:t xml:space="preserve">citing </w:t>
      </w:r>
      <w:r w:rsidR="00206A98" w:rsidRPr="00787A9E">
        <w:rPr>
          <w:i/>
          <w:sz w:val="26"/>
          <w:szCs w:val="26"/>
        </w:rPr>
        <w:t>January 2018 McCloskey Order</w:t>
      </w:r>
      <w:r w:rsidR="00206A98" w:rsidRPr="00787A9E">
        <w:rPr>
          <w:sz w:val="26"/>
          <w:szCs w:val="26"/>
        </w:rPr>
        <w:t xml:space="preserve"> at 63-65</w:t>
      </w:r>
      <w:r w:rsidR="00582C1C" w:rsidRPr="00787A9E">
        <w:rPr>
          <w:sz w:val="26"/>
          <w:szCs w:val="26"/>
        </w:rPr>
        <w:t>)</w:t>
      </w:r>
      <w:r w:rsidR="00206A98" w:rsidRPr="00787A9E">
        <w:rPr>
          <w:sz w:val="26"/>
          <w:szCs w:val="26"/>
        </w:rPr>
        <w:t xml:space="preserve">.  </w:t>
      </w:r>
      <w:r w:rsidR="00D913A6" w:rsidRPr="00787A9E">
        <w:rPr>
          <w:sz w:val="26"/>
          <w:szCs w:val="26"/>
        </w:rPr>
        <w:t>The OCA also points out the Commission</w:t>
      </w:r>
      <w:r w:rsidR="00A424DB">
        <w:rPr>
          <w:sz w:val="26"/>
          <w:szCs w:val="26"/>
        </w:rPr>
        <w:t>’</w:t>
      </w:r>
      <w:r w:rsidR="00D913A6" w:rsidRPr="00787A9E">
        <w:rPr>
          <w:sz w:val="26"/>
          <w:szCs w:val="26"/>
        </w:rPr>
        <w:t xml:space="preserve">s </w:t>
      </w:r>
      <w:r w:rsidR="003716EB" w:rsidRPr="00787A9E">
        <w:rPr>
          <w:sz w:val="26"/>
          <w:szCs w:val="26"/>
        </w:rPr>
        <w:t>emphasis</w:t>
      </w:r>
      <w:r w:rsidR="00D913A6" w:rsidRPr="00787A9E">
        <w:rPr>
          <w:sz w:val="26"/>
          <w:szCs w:val="26"/>
        </w:rPr>
        <w:t xml:space="preserve"> </w:t>
      </w:r>
      <w:r w:rsidR="00DB5219" w:rsidRPr="00787A9E">
        <w:rPr>
          <w:sz w:val="26"/>
          <w:szCs w:val="26"/>
        </w:rPr>
        <w:t xml:space="preserve">in the </w:t>
      </w:r>
      <w:r w:rsidR="00DB5219" w:rsidRPr="00787A9E">
        <w:rPr>
          <w:i/>
          <w:sz w:val="26"/>
          <w:szCs w:val="26"/>
        </w:rPr>
        <w:t xml:space="preserve">January 2018 McCloskey Order, </w:t>
      </w:r>
      <w:r w:rsidR="00D913A6" w:rsidRPr="00787A9E">
        <w:rPr>
          <w:sz w:val="26"/>
          <w:szCs w:val="26"/>
        </w:rPr>
        <w:t>to institute an investigation under Section 529 of the Code, 66 Pa. C.S. § 529, if necessary.  From the OCA</w:t>
      </w:r>
      <w:r w:rsidR="00A424DB">
        <w:rPr>
          <w:sz w:val="26"/>
          <w:szCs w:val="26"/>
        </w:rPr>
        <w:t>’</w:t>
      </w:r>
      <w:r w:rsidR="00D913A6" w:rsidRPr="00787A9E">
        <w:rPr>
          <w:sz w:val="26"/>
          <w:szCs w:val="26"/>
        </w:rPr>
        <w:t>s point of view, the Commission envisioned that HVUS may not meet the deadline to comply with the engineer</w:t>
      </w:r>
      <w:r w:rsidR="00A424DB">
        <w:rPr>
          <w:sz w:val="26"/>
          <w:szCs w:val="26"/>
        </w:rPr>
        <w:t>’</w:t>
      </w:r>
      <w:r w:rsidR="00D913A6" w:rsidRPr="00787A9E">
        <w:rPr>
          <w:sz w:val="26"/>
          <w:szCs w:val="26"/>
        </w:rPr>
        <w:t>s recommendations and that even if it di</w:t>
      </w:r>
      <w:r w:rsidR="00EE1FA8" w:rsidRPr="00787A9E">
        <w:rPr>
          <w:sz w:val="26"/>
          <w:szCs w:val="26"/>
        </w:rPr>
        <w:t>d</w:t>
      </w:r>
      <w:r w:rsidR="00D913A6" w:rsidRPr="00787A9E">
        <w:rPr>
          <w:sz w:val="26"/>
          <w:szCs w:val="26"/>
        </w:rPr>
        <w:t xml:space="preserve">, </w:t>
      </w:r>
      <w:r w:rsidR="00EE1FA8" w:rsidRPr="00787A9E">
        <w:rPr>
          <w:sz w:val="26"/>
          <w:szCs w:val="26"/>
        </w:rPr>
        <w:t>such compliance</w:t>
      </w:r>
      <w:r w:rsidR="00D913A6" w:rsidRPr="00787A9E">
        <w:rPr>
          <w:sz w:val="26"/>
          <w:szCs w:val="26"/>
        </w:rPr>
        <w:t xml:space="preserve"> may not result in safe and adequate wastewater service.  </w:t>
      </w:r>
      <w:r w:rsidR="001F427C" w:rsidRPr="00787A9E">
        <w:rPr>
          <w:sz w:val="26"/>
          <w:szCs w:val="26"/>
        </w:rPr>
        <w:t xml:space="preserve">OCA </w:t>
      </w:r>
      <w:r w:rsidR="00D913A6" w:rsidRPr="00787A9E">
        <w:rPr>
          <w:sz w:val="26"/>
          <w:szCs w:val="26"/>
        </w:rPr>
        <w:t>R. Exc. at 5-6.</w:t>
      </w:r>
    </w:p>
    <w:p w14:paraId="4249F457" w14:textId="77777777" w:rsidR="001E546B" w:rsidRPr="00787A9E" w:rsidRDefault="001E546B" w:rsidP="00FD1A00">
      <w:pPr>
        <w:pStyle w:val="Default"/>
        <w:spacing w:line="360" w:lineRule="auto"/>
        <w:ind w:firstLine="1440"/>
        <w:contextualSpacing/>
        <w:rPr>
          <w:sz w:val="26"/>
          <w:szCs w:val="26"/>
        </w:rPr>
      </w:pPr>
    </w:p>
    <w:p w14:paraId="2A2F7277" w14:textId="03C11CBA" w:rsidR="001E546B" w:rsidRPr="00787A9E" w:rsidRDefault="001E546B" w:rsidP="00FD1A00">
      <w:pPr>
        <w:pStyle w:val="Default"/>
        <w:spacing w:line="360" w:lineRule="auto"/>
        <w:ind w:firstLine="1440"/>
        <w:contextualSpacing/>
        <w:rPr>
          <w:sz w:val="26"/>
          <w:szCs w:val="26"/>
        </w:rPr>
      </w:pPr>
      <w:r w:rsidRPr="00787A9E">
        <w:rPr>
          <w:sz w:val="26"/>
          <w:szCs w:val="26"/>
        </w:rPr>
        <w:t>Furthermore, in addition to providing a description of the Company</w:t>
      </w:r>
      <w:r w:rsidR="00A424DB">
        <w:rPr>
          <w:sz w:val="26"/>
          <w:szCs w:val="26"/>
        </w:rPr>
        <w:t>’</w:t>
      </w:r>
      <w:r w:rsidRPr="00787A9E">
        <w:rPr>
          <w:sz w:val="26"/>
          <w:szCs w:val="26"/>
        </w:rPr>
        <w:t>s wastewater system based on its inspection and the responses to</w:t>
      </w:r>
      <w:r w:rsidR="00A340C9" w:rsidRPr="00787A9E">
        <w:rPr>
          <w:sz w:val="26"/>
          <w:szCs w:val="26"/>
        </w:rPr>
        <w:t xml:space="preserve"> questions by</w:t>
      </w:r>
      <w:r w:rsidRPr="00787A9E">
        <w:rPr>
          <w:sz w:val="26"/>
          <w:szCs w:val="26"/>
        </w:rPr>
        <w:t xml:space="preserve"> the OCA</w:t>
      </w:r>
      <w:r w:rsidR="00A424DB">
        <w:rPr>
          <w:sz w:val="26"/>
          <w:szCs w:val="26"/>
        </w:rPr>
        <w:t>’</w:t>
      </w:r>
      <w:r w:rsidRPr="00787A9E">
        <w:rPr>
          <w:sz w:val="26"/>
          <w:szCs w:val="26"/>
        </w:rPr>
        <w:t xml:space="preserve">s witness Mr. Fought in the </w:t>
      </w:r>
      <w:r w:rsidRPr="00787A9E">
        <w:rPr>
          <w:i/>
          <w:sz w:val="26"/>
          <w:szCs w:val="26"/>
        </w:rPr>
        <w:t>McCloskey</w:t>
      </w:r>
      <w:r w:rsidRPr="00787A9E">
        <w:rPr>
          <w:sz w:val="26"/>
          <w:szCs w:val="26"/>
        </w:rPr>
        <w:t xml:space="preserve"> proceedings,</w:t>
      </w:r>
      <w:r w:rsidR="00A340C9" w:rsidRPr="00787A9E">
        <w:rPr>
          <w:sz w:val="26"/>
          <w:szCs w:val="26"/>
        </w:rPr>
        <w:t xml:space="preserve"> the OCA </w:t>
      </w:r>
      <w:r w:rsidR="00471900" w:rsidRPr="00787A9E">
        <w:rPr>
          <w:sz w:val="26"/>
          <w:szCs w:val="26"/>
        </w:rPr>
        <w:t>reiterates that</w:t>
      </w:r>
      <w:r w:rsidR="00A340C9" w:rsidRPr="00787A9E">
        <w:rPr>
          <w:sz w:val="26"/>
          <w:szCs w:val="26"/>
        </w:rPr>
        <w:t xml:space="preserve"> HVUS continues to improperly operate and equip its wastewater treatment and pumping</w:t>
      </w:r>
      <w:r w:rsidR="00CC3625" w:rsidRPr="00787A9E">
        <w:rPr>
          <w:sz w:val="26"/>
          <w:szCs w:val="26"/>
        </w:rPr>
        <w:t xml:space="preserve">.  According to the OCA, </w:t>
      </w:r>
      <w:r w:rsidR="007F43E5" w:rsidRPr="00787A9E">
        <w:rPr>
          <w:sz w:val="26"/>
          <w:szCs w:val="26"/>
        </w:rPr>
        <w:t>the Company</w:t>
      </w:r>
      <w:r w:rsidR="00A424DB">
        <w:rPr>
          <w:sz w:val="26"/>
          <w:szCs w:val="26"/>
        </w:rPr>
        <w:t>’</w:t>
      </w:r>
      <w:r w:rsidR="007F43E5" w:rsidRPr="00787A9E">
        <w:rPr>
          <w:sz w:val="26"/>
          <w:szCs w:val="26"/>
        </w:rPr>
        <w:t>s improper maintenance of its pumping stations could result in sewage back up into customer homes and buildings.  Further, the OCA points out that the Engineer</w:t>
      </w:r>
      <w:r w:rsidR="00A424DB">
        <w:rPr>
          <w:sz w:val="26"/>
          <w:szCs w:val="26"/>
        </w:rPr>
        <w:t>’</w:t>
      </w:r>
      <w:r w:rsidR="007F43E5" w:rsidRPr="00787A9E">
        <w:rPr>
          <w:sz w:val="26"/>
          <w:szCs w:val="26"/>
        </w:rPr>
        <w:t xml:space="preserve">s Report </w:t>
      </w:r>
      <w:r w:rsidR="00582C1C" w:rsidRPr="00787A9E">
        <w:rPr>
          <w:sz w:val="26"/>
          <w:szCs w:val="26"/>
        </w:rPr>
        <w:t xml:space="preserve">required by </w:t>
      </w:r>
      <w:r w:rsidR="007F43E5" w:rsidRPr="00787A9E">
        <w:rPr>
          <w:sz w:val="26"/>
          <w:szCs w:val="26"/>
        </w:rPr>
        <w:t xml:space="preserve">the </w:t>
      </w:r>
      <w:r w:rsidR="007F43E5" w:rsidRPr="00787A9E">
        <w:rPr>
          <w:i/>
          <w:sz w:val="26"/>
          <w:szCs w:val="26"/>
        </w:rPr>
        <w:t>January 2018 McCloskey Order</w:t>
      </w:r>
      <w:r w:rsidR="0008710B" w:rsidRPr="00787A9E">
        <w:rPr>
          <w:sz w:val="26"/>
          <w:szCs w:val="26"/>
        </w:rPr>
        <w:t xml:space="preserve"> identified deficiencies, made recommendations, estimated costs, and prioritized recommended repairs and replacements to the Company</w:t>
      </w:r>
      <w:r w:rsidR="00A424DB">
        <w:rPr>
          <w:sz w:val="26"/>
          <w:szCs w:val="26"/>
        </w:rPr>
        <w:t>’</w:t>
      </w:r>
      <w:r w:rsidR="0008710B" w:rsidRPr="00787A9E">
        <w:rPr>
          <w:sz w:val="26"/>
          <w:szCs w:val="26"/>
        </w:rPr>
        <w:t xml:space="preserve">s wastewater pumping and treatment facilities.  </w:t>
      </w:r>
      <w:r w:rsidR="00793C33" w:rsidRPr="00787A9E">
        <w:rPr>
          <w:sz w:val="26"/>
          <w:szCs w:val="26"/>
        </w:rPr>
        <w:t>The OCA restates that</w:t>
      </w:r>
      <w:r w:rsidR="0008710B" w:rsidRPr="00787A9E">
        <w:rPr>
          <w:sz w:val="26"/>
          <w:szCs w:val="26"/>
        </w:rPr>
        <w:t xml:space="preserve"> the </w:t>
      </w:r>
      <w:r w:rsidR="00886AE5" w:rsidRPr="00787A9E">
        <w:rPr>
          <w:sz w:val="26"/>
          <w:szCs w:val="26"/>
        </w:rPr>
        <w:t>Engineer</w:t>
      </w:r>
      <w:r w:rsidR="00A424DB">
        <w:rPr>
          <w:sz w:val="26"/>
          <w:szCs w:val="26"/>
        </w:rPr>
        <w:t>’</w:t>
      </w:r>
      <w:r w:rsidR="00886AE5" w:rsidRPr="00787A9E">
        <w:rPr>
          <w:sz w:val="26"/>
          <w:szCs w:val="26"/>
        </w:rPr>
        <w:t xml:space="preserve">s </w:t>
      </w:r>
      <w:r w:rsidR="0008710B" w:rsidRPr="00787A9E">
        <w:rPr>
          <w:sz w:val="26"/>
          <w:szCs w:val="26"/>
        </w:rPr>
        <w:t>Report identified seventy-five projects that need</w:t>
      </w:r>
      <w:r w:rsidR="001D248D" w:rsidRPr="00787A9E">
        <w:rPr>
          <w:sz w:val="26"/>
          <w:szCs w:val="26"/>
        </w:rPr>
        <w:t>ed to be</w:t>
      </w:r>
      <w:r w:rsidR="0008710B" w:rsidRPr="00787A9E">
        <w:rPr>
          <w:sz w:val="26"/>
          <w:szCs w:val="26"/>
        </w:rPr>
        <w:t xml:space="preserve"> completed by the Company.  </w:t>
      </w:r>
      <w:r w:rsidR="00DF1737" w:rsidRPr="00787A9E">
        <w:rPr>
          <w:sz w:val="26"/>
          <w:szCs w:val="26"/>
        </w:rPr>
        <w:t>The OCA emphasizes that</w:t>
      </w:r>
      <w:r w:rsidR="0008710B" w:rsidRPr="00787A9E">
        <w:rPr>
          <w:sz w:val="26"/>
          <w:szCs w:val="26"/>
        </w:rPr>
        <w:t>, as of July 27, 2018, only eight projects were completed</w:t>
      </w:r>
      <w:r w:rsidR="001D248D" w:rsidRPr="00787A9E">
        <w:rPr>
          <w:sz w:val="26"/>
          <w:szCs w:val="26"/>
        </w:rPr>
        <w:t xml:space="preserve"> </w:t>
      </w:r>
      <w:r w:rsidR="0008710B" w:rsidRPr="00787A9E">
        <w:rPr>
          <w:sz w:val="26"/>
          <w:szCs w:val="26"/>
        </w:rPr>
        <w:t>while sixty-four projects</w:t>
      </w:r>
      <w:r w:rsidR="00BB18B3" w:rsidRPr="00787A9E">
        <w:rPr>
          <w:sz w:val="26"/>
          <w:szCs w:val="26"/>
        </w:rPr>
        <w:t xml:space="preserve"> </w:t>
      </w:r>
      <w:r w:rsidR="008712A3">
        <w:rPr>
          <w:sz w:val="26"/>
          <w:szCs w:val="26"/>
        </w:rPr>
        <w:t>had not yet commenced</w:t>
      </w:r>
      <w:r w:rsidR="008C657C" w:rsidRPr="00787A9E">
        <w:rPr>
          <w:sz w:val="26"/>
          <w:szCs w:val="26"/>
        </w:rPr>
        <w:t xml:space="preserve">.  Based on the above, the OCA does not believe the Company </w:t>
      </w:r>
      <w:r w:rsidR="001D248D" w:rsidRPr="00787A9E">
        <w:rPr>
          <w:sz w:val="26"/>
          <w:szCs w:val="26"/>
        </w:rPr>
        <w:t>will</w:t>
      </w:r>
      <w:r w:rsidR="008C657C" w:rsidRPr="00787A9E">
        <w:rPr>
          <w:sz w:val="26"/>
          <w:szCs w:val="26"/>
        </w:rPr>
        <w:t xml:space="preserve"> </w:t>
      </w:r>
      <w:r w:rsidR="00F472DC" w:rsidRPr="00787A9E">
        <w:rPr>
          <w:sz w:val="26"/>
          <w:szCs w:val="26"/>
        </w:rPr>
        <w:t xml:space="preserve">be able to </w:t>
      </w:r>
      <w:r w:rsidR="008C657C" w:rsidRPr="00787A9E">
        <w:rPr>
          <w:sz w:val="26"/>
          <w:szCs w:val="26"/>
        </w:rPr>
        <w:t>compl</w:t>
      </w:r>
      <w:r w:rsidR="001D248D" w:rsidRPr="00787A9E">
        <w:rPr>
          <w:sz w:val="26"/>
          <w:szCs w:val="26"/>
        </w:rPr>
        <w:t>y</w:t>
      </w:r>
      <w:r w:rsidR="008C657C" w:rsidRPr="00787A9E">
        <w:rPr>
          <w:sz w:val="26"/>
          <w:szCs w:val="26"/>
        </w:rPr>
        <w:t xml:space="preserve"> with the completion of these projects by January 31, 2019.</w:t>
      </w:r>
      <w:r w:rsidR="008C3E8F" w:rsidRPr="00787A9E">
        <w:rPr>
          <w:sz w:val="26"/>
          <w:szCs w:val="26"/>
        </w:rPr>
        <w:t xml:space="preserve">  </w:t>
      </w:r>
      <w:r w:rsidR="00F076A5" w:rsidRPr="00787A9E">
        <w:rPr>
          <w:sz w:val="26"/>
          <w:szCs w:val="26"/>
        </w:rPr>
        <w:t>OCA R. Exc.</w:t>
      </w:r>
      <w:r w:rsidR="00F076A5">
        <w:rPr>
          <w:sz w:val="26"/>
          <w:szCs w:val="26"/>
        </w:rPr>
        <w:t xml:space="preserve"> at 6-9</w:t>
      </w:r>
    </w:p>
    <w:p w14:paraId="7947164B" w14:textId="77777777" w:rsidR="00BF584C" w:rsidRPr="00787A9E" w:rsidRDefault="00BF584C" w:rsidP="00FD1A00">
      <w:pPr>
        <w:pStyle w:val="Default"/>
        <w:spacing w:line="360" w:lineRule="auto"/>
        <w:ind w:firstLine="1440"/>
        <w:contextualSpacing/>
        <w:rPr>
          <w:sz w:val="26"/>
          <w:szCs w:val="26"/>
        </w:rPr>
      </w:pPr>
    </w:p>
    <w:p w14:paraId="372F3DFF" w14:textId="18E94EE2" w:rsidR="00BF584C" w:rsidRPr="00787A9E" w:rsidRDefault="00BF584C" w:rsidP="00FD1A00">
      <w:pPr>
        <w:pStyle w:val="Default"/>
        <w:spacing w:line="360" w:lineRule="auto"/>
        <w:ind w:firstLine="1440"/>
        <w:contextualSpacing/>
        <w:rPr>
          <w:sz w:val="26"/>
          <w:szCs w:val="26"/>
        </w:rPr>
      </w:pPr>
      <w:r w:rsidRPr="00787A9E">
        <w:rPr>
          <w:sz w:val="26"/>
          <w:szCs w:val="26"/>
        </w:rPr>
        <w:t>Additionally, the OCA dis</w:t>
      </w:r>
      <w:r w:rsidR="00886AE5" w:rsidRPr="00787A9E">
        <w:rPr>
          <w:sz w:val="26"/>
          <w:szCs w:val="26"/>
        </w:rPr>
        <w:t>agrees with</w:t>
      </w:r>
      <w:r w:rsidRPr="00787A9E">
        <w:rPr>
          <w:sz w:val="26"/>
          <w:szCs w:val="26"/>
        </w:rPr>
        <w:t xml:space="preserve"> the Company</w:t>
      </w:r>
      <w:r w:rsidR="00A424DB">
        <w:rPr>
          <w:sz w:val="26"/>
          <w:szCs w:val="26"/>
        </w:rPr>
        <w:t>’</w:t>
      </w:r>
      <w:r w:rsidRPr="00787A9E">
        <w:rPr>
          <w:sz w:val="26"/>
          <w:szCs w:val="26"/>
        </w:rPr>
        <w:t xml:space="preserve">s argument that there has not been any incident </w:t>
      </w:r>
      <w:r w:rsidR="005C5AEC" w:rsidRPr="00787A9E">
        <w:rPr>
          <w:sz w:val="26"/>
          <w:szCs w:val="26"/>
        </w:rPr>
        <w:t>of</w:t>
      </w:r>
      <w:r w:rsidRPr="00787A9E">
        <w:rPr>
          <w:sz w:val="26"/>
          <w:szCs w:val="26"/>
        </w:rPr>
        <w:t xml:space="preserve"> raw </w:t>
      </w:r>
      <w:r w:rsidR="002A5225" w:rsidRPr="00787A9E">
        <w:rPr>
          <w:sz w:val="26"/>
          <w:szCs w:val="26"/>
        </w:rPr>
        <w:t xml:space="preserve">sewage causing contamination in its wastewater system.  According to the OCA, </w:t>
      </w:r>
      <w:r w:rsidR="00A424DB">
        <w:rPr>
          <w:sz w:val="26"/>
          <w:szCs w:val="26"/>
        </w:rPr>
        <w:t>“</w:t>
      </w:r>
      <w:r w:rsidR="002A5225" w:rsidRPr="00787A9E">
        <w:rPr>
          <w:sz w:val="26"/>
          <w:szCs w:val="26"/>
        </w:rPr>
        <w:t xml:space="preserve">that does not mean that the Company acted appropriately.  It had not equipped all stations with back-up pumps and operating alarms.  All of the pumping stations should have primary back-up pumps installed and in operating condition, </w:t>
      </w:r>
      <w:r w:rsidR="002A5225" w:rsidRPr="00787A9E">
        <w:rPr>
          <w:sz w:val="26"/>
          <w:szCs w:val="26"/>
        </w:rPr>
        <w:lastRenderedPageBreak/>
        <w:t>together with an alarm that properly activates.</w:t>
      </w:r>
      <w:r w:rsidR="00A424DB">
        <w:rPr>
          <w:sz w:val="26"/>
          <w:szCs w:val="26"/>
        </w:rPr>
        <w:t>”</w:t>
      </w:r>
      <w:r w:rsidR="002A5225" w:rsidRPr="00787A9E">
        <w:rPr>
          <w:sz w:val="26"/>
          <w:szCs w:val="26"/>
        </w:rPr>
        <w:t xml:space="preserve">  </w:t>
      </w:r>
      <w:r w:rsidR="00ED4B87">
        <w:rPr>
          <w:sz w:val="26"/>
          <w:szCs w:val="26"/>
        </w:rPr>
        <w:t>OCA R. Exc. at 8</w:t>
      </w:r>
      <w:r w:rsidR="001051B9" w:rsidRPr="00787A9E">
        <w:rPr>
          <w:i/>
          <w:sz w:val="26"/>
          <w:szCs w:val="26"/>
        </w:rPr>
        <w:t>.</w:t>
      </w:r>
      <w:r w:rsidR="001051B9" w:rsidRPr="00787A9E">
        <w:rPr>
          <w:sz w:val="26"/>
          <w:szCs w:val="26"/>
        </w:rPr>
        <w:t xml:space="preserve"> </w:t>
      </w:r>
      <w:r w:rsidR="00582C1C" w:rsidRPr="00787A9E">
        <w:rPr>
          <w:sz w:val="26"/>
          <w:szCs w:val="26"/>
        </w:rPr>
        <w:t>(</w:t>
      </w:r>
      <w:r w:rsidR="002A5225" w:rsidRPr="00787A9E">
        <w:rPr>
          <w:sz w:val="26"/>
          <w:szCs w:val="26"/>
        </w:rPr>
        <w:t>citing OCA St. 3S (Wastewater) at 2</w:t>
      </w:r>
      <w:r w:rsidR="00582C1C" w:rsidRPr="00787A9E">
        <w:rPr>
          <w:sz w:val="26"/>
          <w:szCs w:val="26"/>
        </w:rPr>
        <w:t>)</w:t>
      </w:r>
      <w:r w:rsidR="002A5225" w:rsidRPr="00787A9E">
        <w:rPr>
          <w:sz w:val="26"/>
          <w:szCs w:val="26"/>
        </w:rPr>
        <w:t>.</w:t>
      </w:r>
      <w:r w:rsidR="00ED7C35" w:rsidRPr="00787A9E">
        <w:rPr>
          <w:sz w:val="26"/>
          <w:szCs w:val="26"/>
        </w:rPr>
        <w:t xml:space="preserve">  </w:t>
      </w:r>
      <w:r w:rsidR="00582C1C" w:rsidRPr="00787A9E">
        <w:rPr>
          <w:sz w:val="26"/>
          <w:szCs w:val="26"/>
        </w:rPr>
        <w:t xml:space="preserve">The </w:t>
      </w:r>
      <w:r w:rsidR="001065E0" w:rsidRPr="00787A9E">
        <w:rPr>
          <w:sz w:val="26"/>
          <w:szCs w:val="26"/>
        </w:rPr>
        <w:t xml:space="preserve">OCA argues that a review of the January 31, 2019 </w:t>
      </w:r>
      <w:r w:rsidR="00890EE5" w:rsidRPr="00787A9E">
        <w:rPr>
          <w:sz w:val="26"/>
          <w:szCs w:val="26"/>
        </w:rPr>
        <w:t>S</w:t>
      </w:r>
      <w:r w:rsidR="001065E0" w:rsidRPr="00787A9E">
        <w:rPr>
          <w:sz w:val="26"/>
          <w:szCs w:val="26"/>
        </w:rPr>
        <w:t xml:space="preserve">tatus </w:t>
      </w:r>
      <w:r w:rsidR="00357B4C" w:rsidRPr="00787A9E">
        <w:rPr>
          <w:sz w:val="26"/>
          <w:szCs w:val="26"/>
        </w:rPr>
        <w:t>R</w:t>
      </w:r>
      <w:r w:rsidR="005C5AEC" w:rsidRPr="00787A9E">
        <w:rPr>
          <w:sz w:val="26"/>
          <w:szCs w:val="26"/>
        </w:rPr>
        <w:t xml:space="preserve">eport </w:t>
      </w:r>
      <w:r w:rsidR="001065E0" w:rsidRPr="00787A9E">
        <w:rPr>
          <w:sz w:val="26"/>
          <w:szCs w:val="26"/>
        </w:rPr>
        <w:t xml:space="preserve">the Company </w:t>
      </w:r>
      <w:r w:rsidR="00357B4C" w:rsidRPr="00787A9E">
        <w:rPr>
          <w:sz w:val="26"/>
          <w:szCs w:val="26"/>
        </w:rPr>
        <w:t>submitted along with</w:t>
      </w:r>
      <w:r w:rsidR="001065E0" w:rsidRPr="00787A9E">
        <w:rPr>
          <w:sz w:val="26"/>
          <w:szCs w:val="26"/>
        </w:rPr>
        <w:t xml:space="preserve"> its Exceptions shows that the Company has not completed </w:t>
      </w:r>
      <w:r w:rsidR="00357B4C" w:rsidRPr="00787A9E">
        <w:rPr>
          <w:sz w:val="26"/>
          <w:szCs w:val="26"/>
        </w:rPr>
        <w:t>all</w:t>
      </w:r>
      <w:r w:rsidR="001065E0" w:rsidRPr="00787A9E">
        <w:rPr>
          <w:sz w:val="26"/>
          <w:szCs w:val="26"/>
        </w:rPr>
        <w:t xml:space="preserve"> the recommendations in the</w:t>
      </w:r>
      <w:r w:rsidR="00890EE5" w:rsidRPr="00787A9E">
        <w:rPr>
          <w:sz w:val="26"/>
          <w:szCs w:val="26"/>
        </w:rPr>
        <w:t xml:space="preserve"> Engineer</w:t>
      </w:r>
      <w:r w:rsidR="00A424DB">
        <w:rPr>
          <w:sz w:val="26"/>
          <w:szCs w:val="26"/>
        </w:rPr>
        <w:t>’</w:t>
      </w:r>
      <w:r w:rsidR="00890EE5" w:rsidRPr="00787A9E">
        <w:rPr>
          <w:sz w:val="26"/>
          <w:szCs w:val="26"/>
        </w:rPr>
        <w:t>s Report</w:t>
      </w:r>
      <w:r w:rsidR="001065E0" w:rsidRPr="00787A9E">
        <w:rPr>
          <w:sz w:val="26"/>
          <w:szCs w:val="26"/>
        </w:rPr>
        <w:t xml:space="preserve">.  </w:t>
      </w:r>
      <w:r w:rsidR="00214ED0" w:rsidRPr="00787A9E">
        <w:rPr>
          <w:sz w:val="26"/>
          <w:szCs w:val="26"/>
        </w:rPr>
        <w:t>According to the OCA, t</w:t>
      </w:r>
      <w:r w:rsidR="001065E0" w:rsidRPr="00787A9E">
        <w:rPr>
          <w:sz w:val="26"/>
          <w:szCs w:val="26"/>
        </w:rPr>
        <w:t>his affirms that the Company continues to provide inadequate wastewater service</w:t>
      </w:r>
      <w:r w:rsidR="00214ED0" w:rsidRPr="00787A9E">
        <w:rPr>
          <w:sz w:val="26"/>
          <w:szCs w:val="26"/>
        </w:rPr>
        <w:t xml:space="preserve">. </w:t>
      </w:r>
      <w:r w:rsidR="001065E0" w:rsidRPr="00787A9E">
        <w:rPr>
          <w:sz w:val="26"/>
          <w:szCs w:val="26"/>
        </w:rPr>
        <w:t xml:space="preserve"> </w:t>
      </w:r>
      <w:r w:rsidR="001F427C" w:rsidRPr="00787A9E">
        <w:rPr>
          <w:sz w:val="26"/>
          <w:szCs w:val="26"/>
        </w:rPr>
        <w:t>OCA R. Exc.</w:t>
      </w:r>
      <w:r w:rsidR="001065E0" w:rsidRPr="00787A9E">
        <w:rPr>
          <w:sz w:val="26"/>
          <w:szCs w:val="26"/>
        </w:rPr>
        <w:t xml:space="preserve"> at 9.  </w:t>
      </w:r>
    </w:p>
    <w:p w14:paraId="2A6A3821" w14:textId="77777777" w:rsidR="009E1408" w:rsidRPr="00787A9E" w:rsidRDefault="009E1408" w:rsidP="00FD1A00">
      <w:pPr>
        <w:pStyle w:val="Default"/>
        <w:spacing w:line="360" w:lineRule="auto"/>
        <w:ind w:firstLine="1440"/>
        <w:contextualSpacing/>
        <w:rPr>
          <w:sz w:val="26"/>
          <w:szCs w:val="26"/>
        </w:rPr>
      </w:pPr>
    </w:p>
    <w:p w14:paraId="47F81152" w14:textId="1FAF1BA0" w:rsidR="003408AC" w:rsidRPr="00787A9E" w:rsidRDefault="001F427C" w:rsidP="00FD1A00">
      <w:pPr>
        <w:pStyle w:val="Default"/>
        <w:spacing w:line="360" w:lineRule="auto"/>
        <w:ind w:firstLine="1440"/>
        <w:contextualSpacing/>
        <w:rPr>
          <w:sz w:val="26"/>
          <w:szCs w:val="26"/>
        </w:rPr>
      </w:pPr>
      <w:r w:rsidRPr="00787A9E">
        <w:rPr>
          <w:sz w:val="26"/>
          <w:szCs w:val="26"/>
        </w:rPr>
        <w:t>T</w:t>
      </w:r>
      <w:r w:rsidR="00BB61E5" w:rsidRPr="00787A9E">
        <w:rPr>
          <w:sz w:val="26"/>
          <w:szCs w:val="26"/>
        </w:rPr>
        <w:t xml:space="preserve">he OCA </w:t>
      </w:r>
      <w:r w:rsidRPr="00787A9E">
        <w:rPr>
          <w:sz w:val="26"/>
          <w:szCs w:val="26"/>
        </w:rPr>
        <w:t>asserts</w:t>
      </w:r>
      <w:r w:rsidR="00BB61E5" w:rsidRPr="00787A9E">
        <w:rPr>
          <w:sz w:val="26"/>
          <w:szCs w:val="26"/>
        </w:rPr>
        <w:t xml:space="preserve"> the </w:t>
      </w:r>
      <w:r w:rsidR="00E92717" w:rsidRPr="00787A9E">
        <w:rPr>
          <w:sz w:val="26"/>
          <w:szCs w:val="26"/>
        </w:rPr>
        <w:t>Company</w:t>
      </w:r>
      <w:r w:rsidR="00A424DB">
        <w:rPr>
          <w:sz w:val="26"/>
          <w:szCs w:val="26"/>
        </w:rPr>
        <w:t>’</w:t>
      </w:r>
      <w:r w:rsidR="00E92717" w:rsidRPr="00787A9E">
        <w:rPr>
          <w:sz w:val="26"/>
          <w:szCs w:val="26"/>
        </w:rPr>
        <w:t xml:space="preserve">s </w:t>
      </w:r>
      <w:r w:rsidR="005965B4" w:rsidRPr="00787A9E">
        <w:rPr>
          <w:sz w:val="26"/>
          <w:szCs w:val="26"/>
        </w:rPr>
        <w:t>request</w:t>
      </w:r>
      <w:r w:rsidR="009C4007" w:rsidRPr="00787A9E">
        <w:rPr>
          <w:sz w:val="26"/>
          <w:szCs w:val="26"/>
        </w:rPr>
        <w:t xml:space="preserve"> that the</w:t>
      </w:r>
      <w:r w:rsidR="00E92717" w:rsidRPr="00787A9E">
        <w:rPr>
          <w:sz w:val="26"/>
          <w:szCs w:val="26"/>
        </w:rPr>
        <w:t xml:space="preserve"> </w:t>
      </w:r>
      <w:r w:rsidR="00BB61E5" w:rsidRPr="00787A9E">
        <w:rPr>
          <w:sz w:val="26"/>
          <w:szCs w:val="26"/>
        </w:rPr>
        <w:t>ALJ</w:t>
      </w:r>
      <w:r w:rsidR="009C4007" w:rsidRPr="00787A9E">
        <w:rPr>
          <w:sz w:val="26"/>
          <w:szCs w:val="26"/>
        </w:rPr>
        <w:t>s</w:t>
      </w:r>
      <w:r w:rsidR="00A424DB">
        <w:rPr>
          <w:sz w:val="26"/>
          <w:szCs w:val="26"/>
        </w:rPr>
        <w:t>’</w:t>
      </w:r>
      <w:r w:rsidR="009C4007" w:rsidRPr="00787A9E">
        <w:rPr>
          <w:sz w:val="26"/>
          <w:szCs w:val="26"/>
        </w:rPr>
        <w:t xml:space="preserve"> modification to </w:t>
      </w:r>
      <w:r w:rsidR="00BB61E5" w:rsidRPr="00787A9E">
        <w:rPr>
          <w:sz w:val="26"/>
          <w:szCs w:val="26"/>
        </w:rPr>
        <w:t xml:space="preserve">the Settlement rate </w:t>
      </w:r>
      <w:r w:rsidR="009C4007" w:rsidRPr="00787A9E">
        <w:rPr>
          <w:sz w:val="26"/>
          <w:szCs w:val="26"/>
        </w:rPr>
        <w:t xml:space="preserve">be reversed </w:t>
      </w:r>
      <w:r w:rsidR="00BB61E5" w:rsidRPr="00787A9E">
        <w:rPr>
          <w:sz w:val="26"/>
          <w:szCs w:val="26"/>
        </w:rPr>
        <w:t xml:space="preserve">is not supported by evidence in the record and that </w:t>
      </w:r>
      <w:r w:rsidR="009C4007" w:rsidRPr="00787A9E">
        <w:rPr>
          <w:sz w:val="26"/>
          <w:szCs w:val="26"/>
        </w:rPr>
        <w:t>the Company</w:t>
      </w:r>
      <w:r w:rsidR="00A424DB">
        <w:rPr>
          <w:sz w:val="26"/>
          <w:szCs w:val="26"/>
        </w:rPr>
        <w:t>’</w:t>
      </w:r>
      <w:r w:rsidR="009C4007" w:rsidRPr="00787A9E">
        <w:rPr>
          <w:sz w:val="26"/>
          <w:szCs w:val="26"/>
        </w:rPr>
        <w:t xml:space="preserve">s request for </w:t>
      </w:r>
      <w:r w:rsidR="00BB61E5" w:rsidRPr="00787A9E">
        <w:rPr>
          <w:sz w:val="26"/>
          <w:szCs w:val="26"/>
        </w:rPr>
        <w:t>the second step increase in the Settlement</w:t>
      </w:r>
      <w:r w:rsidR="009C4007" w:rsidRPr="00787A9E">
        <w:rPr>
          <w:sz w:val="26"/>
          <w:szCs w:val="26"/>
        </w:rPr>
        <w:t xml:space="preserve"> be approved, is </w:t>
      </w:r>
      <w:r w:rsidR="000E6D4A" w:rsidRPr="00787A9E">
        <w:rPr>
          <w:sz w:val="26"/>
          <w:szCs w:val="26"/>
        </w:rPr>
        <w:t xml:space="preserve">also </w:t>
      </w:r>
      <w:r w:rsidR="009C4007" w:rsidRPr="00787A9E">
        <w:rPr>
          <w:sz w:val="26"/>
          <w:szCs w:val="26"/>
        </w:rPr>
        <w:t xml:space="preserve">without merit because the issues </w:t>
      </w:r>
      <w:r w:rsidRPr="00787A9E">
        <w:rPr>
          <w:sz w:val="26"/>
          <w:szCs w:val="26"/>
        </w:rPr>
        <w:t>regarding</w:t>
      </w:r>
      <w:r w:rsidR="009C4007" w:rsidRPr="00787A9E">
        <w:rPr>
          <w:sz w:val="26"/>
          <w:szCs w:val="26"/>
        </w:rPr>
        <w:t xml:space="preserve"> the Company</w:t>
      </w:r>
      <w:r w:rsidR="00A424DB">
        <w:rPr>
          <w:sz w:val="26"/>
          <w:szCs w:val="26"/>
        </w:rPr>
        <w:t>’</w:t>
      </w:r>
      <w:r w:rsidR="009C4007" w:rsidRPr="00787A9E">
        <w:rPr>
          <w:sz w:val="26"/>
          <w:szCs w:val="26"/>
        </w:rPr>
        <w:t xml:space="preserve">s wastewater system identified in the </w:t>
      </w:r>
      <w:r w:rsidR="009C4007" w:rsidRPr="00787A9E">
        <w:rPr>
          <w:i/>
          <w:sz w:val="26"/>
          <w:szCs w:val="26"/>
        </w:rPr>
        <w:t>McCloskey Order</w:t>
      </w:r>
      <w:r w:rsidRPr="00787A9E">
        <w:rPr>
          <w:i/>
          <w:sz w:val="26"/>
          <w:szCs w:val="26"/>
        </w:rPr>
        <w:t>s</w:t>
      </w:r>
      <w:r w:rsidR="00BD08C3" w:rsidRPr="00787A9E">
        <w:rPr>
          <w:sz w:val="26"/>
          <w:szCs w:val="26"/>
        </w:rPr>
        <w:t xml:space="preserve"> still remain</w:t>
      </w:r>
      <w:r w:rsidR="005F5AD5" w:rsidRPr="00787A9E">
        <w:rPr>
          <w:sz w:val="26"/>
          <w:szCs w:val="26"/>
        </w:rPr>
        <w:t>s</w:t>
      </w:r>
      <w:r w:rsidR="00BD08C3" w:rsidRPr="00787A9E">
        <w:rPr>
          <w:sz w:val="26"/>
          <w:szCs w:val="26"/>
        </w:rPr>
        <w:t>.  Specifically, the OCA agrees with the ALJs</w:t>
      </w:r>
      <w:r w:rsidR="00A424DB">
        <w:rPr>
          <w:sz w:val="26"/>
          <w:szCs w:val="26"/>
        </w:rPr>
        <w:t>’</w:t>
      </w:r>
      <w:r w:rsidR="00BD08C3" w:rsidRPr="00787A9E">
        <w:rPr>
          <w:sz w:val="26"/>
          <w:szCs w:val="26"/>
        </w:rPr>
        <w:t xml:space="preserve"> opinion that </w:t>
      </w:r>
      <w:r w:rsidR="005F5AD5" w:rsidRPr="00787A9E">
        <w:rPr>
          <w:sz w:val="26"/>
          <w:szCs w:val="26"/>
        </w:rPr>
        <w:t>complying</w:t>
      </w:r>
      <w:r w:rsidR="00BD08C3" w:rsidRPr="00787A9E">
        <w:rPr>
          <w:sz w:val="26"/>
          <w:szCs w:val="26"/>
        </w:rPr>
        <w:t xml:space="preserve"> </w:t>
      </w:r>
      <w:r w:rsidR="005F5AD5" w:rsidRPr="00787A9E">
        <w:rPr>
          <w:sz w:val="26"/>
          <w:szCs w:val="26"/>
        </w:rPr>
        <w:t xml:space="preserve">with </w:t>
      </w:r>
      <w:r w:rsidR="00BD08C3" w:rsidRPr="00787A9E">
        <w:rPr>
          <w:sz w:val="26"/>
          <w:szCs w:val="26"/>
        </w:rPr>
        <w:t>the recommendations will not, on its own, equate to safe, adequate, and reliable service.  From the OCA</w:t>
      </w:r>
      <w:r w:rsidR="00A424DB">
        <w:rPr>
          <w:sz w:val="26"/>
          <w:szCs w:val="26"/>
        </w:rPr>
        <w:t>’</w:t>
      </w:r>
      <w:r w:rsidR="00BD08C3" w:rsidRPr="00787A9E">
        <w:rPr>
          <w:sz w:val="26"/>
          <w:szCs w:val="26"/>
        </w:rPr>
        <w:t>s perspective, the Commission did not assume that wastewater service would meet the requirements of Section 1501 solely because the Company completes the recommendations in the Engineer</w:t>
      </w:r>
      <w:r w:rsidR="00A424DB">
        <w:rPr>
          <w:sz w:val="26"/>
          <w:szCs w:val="26"/>
        </w:rPr>
        <w:t>’</w:t>
      </w:r>
      <w:r w:rsidR="00BD08C3" w:rsidRPr="00787A9E">
        <w:rPr>
          <w:sz w:val="26"/>
          <w:szCs w:val="26"/>
        </w:rPr>
        <w:t>s Report</w:t>
      </w:r>
      <w:r w:rsidR="00C2638A" w:rsidRPr="00787A9E">
        <w:rPr>
          <w:sz w:val="26"/>
          <w:szCs w:val="26"/>
        </w:rPr>
        <w:t xml:space="preserve">.  Rather, </w:t>
      </w:r>
      <w:r w:rsidR="00676BA2">
        <w:rPr>
          <w:sz w:val="26"/>
          <w:szCs w:val="26"/>
        </w:rPr>
        <w:t xml:space="preserve">the OCA reasons that </w:t>
      </w:r>
      <w:r w:rsidR="00C2638A" w:rsidRPr="00787A9E">
        <w:rPr>
          <w:sz w:val="26"/>
          <w:szCs w:val="26"/>
        </w:rPr>
        <w:t>the Commission</w:t>
      </w:r>
      <w:r w:rsidR="00BD08C3" w:rsidRPr="00787A9E">
        <w:rPr>
          <w:sz w:val="26"/>
          <w:szCs w:val="26"/>
        </w:rPr>
        <w:t xml:space="preserve"> </w:t>
      </w:r>
      <w:r w:rsidR="0028180F" w:rsidRPr="00787A9E">
        <w:rPr>
          <w:sz w:val="26"/>
          <w:szCs w:val="26"/>
        </w:rPr>
        <w:t>required</w:t>
      </w:r>
      <w:r w:rsidR="00BD08C3" w:rsidRPr="00787A9E">
        <w:rPr>
          <w:sz w:val="26"/>
          <w:szCs w:val="26"/>
        </w:rPr>
        <w:t xml:space="preserve"> an inspection and possibly a hearing, after HVUS meets </w:t>
      </w:r>
      <w:r w:rsidR="003408AC" w:rsidRPr="00787A9E">
        <w:rPr>
          <w:sz w:val="26"/>
          <w:szCs w:val="26"/>
        </w:rPr>
        <w:t>the recommendation</w:t>
      </w:r>
      <w:r w:rsidR="00201104" w:rsidRPr="00787A9E">
        <w:rPr>
          <w:sz w:val="26"/>
          <w:szCs w:val="26"/>
        </w:rPr>
        <w:t>s</w:t>
      </w:r>
      <w:r w:rsidR="003408AC" w:rsidRPr="00787A9E">
        <w:rPr>
          <w:sz w:val="26"/>
          <w:szCs w:val="26"/>
        </w:rPr>
        <w:t xml:space="preserve">.  The OCA points out that the </w:t>
      </w:r>
      <w:r w:rsidR="003408AC" w:rsidRPr="00787A9E">
        <w:rPr>
          <w:i/>
          <w:sz w:val="26"/>
          <w:szCs w:val="26"/>
        </w:rPr>
        <w:t>May 2018 McCloskey Order</w:t>
      </w:r>
      <w:r w:rsidR="003408AC" w:rsidRPr="00787A9E">
        <w:rPr>
          <w:sz w:val="26"/>
          <w:szCs w:val="26"/>
        </w:rPr>
        <w:t xml:space="preserve"> provides for a </w:t>
      </w:r>
      <w:r w:rsidR="0028180F" w:rsidRPr="00787A9E">
        <w:rPr>
          <w:sz w:val="26"/>
          <w:szCs w:val="26"/>
        </w:rPr>
        <w:t xml:space="preserve">possible </w:t>
      </w:r>
      <w:r w:rsidR="003408AC" w:rsidRPr="00787A9E">
        <w:rPr>
          <w:sz w:val="26"/>
          <w:szCs w:val="26"/>
        </w:rPr>
        <w:t xml:space="preserve">Section 529 </w:t>
      </w:r>
      <w:r w:rsidR="008B3EAF" w:rsidRPr="00787A9E">
        <w:rPr>
          <w:sz w:val="26"/>
          <w:szCs w:val="26"/>
        </w:rPr>
        <w:t>Proceeding</w:t>
      </w:r>
      <w:r w:rsidR="003408AC" w:rsidRPr="00787A9E">
        <w:rPr>
          <w:sz w:val="26"/>
          <w:szCs w:val="26"/>
        </w:rPr>
        <w:t xml:space="preserve">, if HVUS does not meet all of the recommendations.  </w:t>
      </w:r>
      <w:r w:rsidR="009470AA">
        <w:rPr>
          <w:sz w:val="26"/>
          <w:szCs w:val="26"/>
        </w:rPr>
        <w:t>OCA R. Exc</w:t>
      </w:r>
      <w:r w:rsidR="003408AC" w:rsidRPr="00787A9E">
        <w:rPr>
          <w:i/>
          <w:sz w:val="26"/>
          <w:szCs w:val="26"/>
        </w:rPr>
        <w:t>.</w:t>
      </w:r>
      <w:r w:rsidR="003408AC" w:rsidRPr="00787A9E">
        <w:rPr>
          <w:sz w:val="26"/>
          <w:szCs w:val="26"/>
        </w:rPr>
        <w:t xml:space="preserve"> at 9-10</w:t>
      </w:r>
      <w:r w:rsidR="003C653B" w:rsidRPr="00787A9E">
        <w:rPr>
          <w:sz w:val="26"/>
          <w:szCs w:val="26"/>
        </w:rPr>
        <w:t xml:space="preserve"> </w:t>
      </w:r>
      <w:r w:rsidR="00582C1C" w:rsidRPr="00787A9E">
        <w:rPr>
          <w:sz w:val="26"/>
          <w:szCs w:val="26"/>
        </w:rPr>
        <w:t>(</w:t>
      </w:r>
      <w:r w:rsidR="003408AC" w:rsidRPr="00787A9E">
        <w:rPr>
          <w:sz w:val="26"/>
          <w:szCs w:val="26"/>
        </w:rPr>
        <w:t xml:space="preserve">citing </w:t>
      </w:r>
      <w:r w:rsidR="003408AC" w:rsidRPr="00787A9E">
        <w:rPr>
          <w:i/>
          <w:sz w:val="26"/>
          <w:szCs w:val="26"/>
        </w:rPr>
        <w:t>May 2018 McCloskey Order</w:t>
      </w:r>
      <w:r w:rsidR="003408AC" w:rsidRPr="00787A9E">
        <w:rPr>
          <w:sz w:val="26"/>
          <w:szCs w:val="26"/>
        </w:rPr>
        <w:t xml:space="preserve"> at 33</w:t>
      </w:r>
      <w:r w:rsidR="00582C1C" w:rsidRPr="00787A9E">
        <w:rPr>
          <w:sz w:val="26"/>
          <w:szCs w:val="26"/>
        </w:rPr>
        <w:t>)</w:t>
      </w:r>
      <w:r w:rsidR="003408AC" w:rsidRPr="00787A9E">
        <w:rPr>
          <w:sz w:val="26"/>
          <w:szCs w:val="26"/>
        </w:rPr>
        <w:t>.</w:t>
      </w:r>
      <w:r w:rsidR="00906F1F" w:rsidRPr="00787A9E">
        <w:rPr>
          <w:sz w:val="26"/>
          <w:szCs w:val="26"/>
        </w:rPr>
        <w:t xml:space="preserve">  </w:t>
      </w:r>
    </w:p>
    <w:p w14:paraId="12BD4DA2" w14:textId="77777777" w:rsidR="00906F1F" w:rsidRPr="00787A9E" w:rsidRDefault="00906F1F" w:rsidP="00FD1A00">
      <w:pPr>
        <w:pStyle w:val="Default"/>
        <w:spacing w:line="360" w:lineRule="auto"/>
        <w:ind w:firstLine="1440"/>
        <w:contextualSpacing/>
        <w:rPr>
          <w:sz w:val="26"/>
          <w:szCs w:val="26"/>
        </w:rPr>
      </w:pPr>
    </w:p>
    <w:p w14:paraId="03580756" w14:textId="7954299C" w:rsidR="00BB61E5" w:rsidRPr="00787A9E" w:rsidRDefault="00906F1F" w:rsidP="00FD1A00">
      <w:pPr>
        <w:pStyle w:val="Default"/>
        <w:spacing w:line="360" w:lineRule="auto"/>
        <w:ind w:firstLine="1440"/>
        <w:contextualSpacing/>
        <w:rPr>
          <w:sz w:val="26"/>
          <w:szCs w:val="26"/>
        </w:rPr>
      </w:pPr>
      <w:r w:rsidRPr="00787A9E">
        <w:rPr>
          <w:sz w:val="26"/>
          <w:szCs w:val="26"/>
        </w:rPr>
        <w:t xml:space="preserve">Finally, </w:t>
      </w:r>
      <w:r w:rsidR="00D86C18" w:rsidRPr="00787A9E">
        <w:rPr>
          <w:sz w:val="26"/>
          <w:szCs w:val="26"/>
        </w:rPr>
        <w:t>the OCA responds to</w:t>
      </w:r>
      <w:r w:rsidRPr="00787A9E">
        <w:rPr>
          <w:sz w:val="26"/>
          <w:szCs w:val="26"/>
        </w:rPr>
        <w:t xml:space="preserve"> the Company</w:t>
      </w:r>
      <w:r w:rsidR="00A424DB">
        <w:rPr>
          <w:sz w:val="26"/>
          <w:szCs w:val="26"/>
        </w:rPr>
        <w:t>’</w:t>
      </w:r>
      <w:r w:rsidRPr="00787A9E">
        <w:rPr>
          <w:sz w:val="26"/>
          <w:szCs w:val="26"/>
        </w:rPr>
        <w:t xml:space="preserve">s alternative request that </w:t>
      </w:r>
      <w:r w:rsidR="005F5AD5" w:rsidRPr="00787A9E">
        <w:rPr>
          <w:sz w:val="26"/>
          <w:szCs w:val="26"/>
        </w:rPr>
        <w:t xml:space="preserve">if </w:t>
      </w:r>
      <w:r w:rsidRPr="00787A9E">
        <w:rPr>
          <w:sz w:val="26"/>
          <w:szCs w:val="26"/>
        </w:rPr>
        <w:t>the Commission decide</w:t>
      </w:r>
      <w:r w:rsidR="005F5AD5" w:rsidRPr="00787A9E">
        <w:rPr>
          <w:sz w:val="26"/>
          <w:szCs w:val="26"/>
        </w:rPr>
        <w:t>s</w:t>
      </w:r>
      <w:r w:rsidRPr="00787A9E">
        <w:rPr>
          <w:sz w:val="26"/>
          <w:szCs w:val="26"/>
        </w:rPr>
        <w:t xml:space="preserve"> to modify the Settlement, then the trigger</w:t>
      </w:r>
      <w:r w:rsidR="00D86C18" w:rsidRPr="00787A9E">
        <w:rPr>
          <w:sz w:val="26"/>
          <w:szCs w:val="26"/>
        </w:rPr>
        <w:t>ing event for</w:t>
      </w:r>
      <w:r w:rsidRPr="00787A9E">
        <w:rPr>
          <w:sz w:val="26"/>
          <w:szCs w:val="26"/>
        </w:rPr>
        <w:t xml:space="preserve"> the second</w:t>
      </w:r>
      <w:r w:rsidR="00201104" w:rsidRPr="00787A9E">
        <w:rPr>
          <w:sz w:val="26"/>
          <w:szCs w:val="26"/>
        </w:rPr>
        <w:t xml:space="preserve"> </w:t>
      </w:r>
      <w:r w:rsidRPr="00787A9E">
        <w:rPr>
          <w:sz w:val="26"/>
          <w:szCs w:val="26"/>
        </w:rPr>
        <w:t xml:space="preserve">step </w:t>
      </w:r>
      <w:r w:rsidR="00D86C18" w:rsidRPr="00787A9E">
        <w:rPr>
          <w:sz w:val="26"/>
          <w:szCs w:val="26"/>
        </w:rPr>
        <w:t xml:space="preserve">increase </w:t>
      </w:r>
      <w:r w:rsidRPr="00787A9E">
        <w:rPr>
          <w:sz w:val="26"/>
          <w:szCs w:val="26"/>
        </w:rPr>
        <w:t xml:space="preserve">should be dependent on the result of </w:t>
      </w:r>
      <w:r w:rsidR="005F5AD5" w:rsidRPr="00787A9E">
        <w:rPr>
          <w:sz w:val="26"/>
          <w:szCs w:val="26"/>
        </w:rPr>
        <w:t xml:space="preserve">the </w:t>
      </w:r>
      <w:r w:rsidRPr="00787A9E">
        <w:rPr>
          <w:sz w:val="26"/>
          <w:szCs w:val="26"/>
        </w:rPr>
        <w:t xml:space="preserve">TUS report rather than the date that HVUS completes the recommendations in the </w:t>
      </w:r>
      <w:r w:rsidR="005F5AD5" w:rsidRPr="00787A9E">
        <w:rPr>
          <w:sz w:val="26"/>
          <w:szCs w:val="26"/>
        </w:rPr>
        <w:t>E</w:t>
      </w:r>
      <w:r w:rsidRPr="00787A9E">
        <w:rPr>
          <w:sz w:val="26"/>
          <w:szCs w:val="26"/>
        </w:rPr>
        <w:t>ngineer</w:t>
      </w:r>
      <w:r w:rsidR="00A424DB">
        <w:rPr>
          <w:sz w:val="26"/>
          <w:szCs w:val="26"/>
        </w:rPr>
        <w:t>’</w:t>
      </w:r>
      <w:r w:rsidRPr="00787A9E">
        <w:rPr>
          <w:sz w:val="26"/>
          <w:szCs w:val="26"/>
        </w:rPr>
        <w:t xml:space="preserve">s </w:t>
      </w:r>
      <w:r w:rsidR="005F5AD5" w:rsidRPr="00787A9E">
        <w:rPr>
          <w:sz w:val="26"/>
          <w:szCs w:val="26"/>
        </w:rPr>
        <w:t>R</w:t>
      </w:r>
      <w:r w:rsidRPr="00787A9E">
        <w:rPr>
          <w:sz w:val="26"/>
          <w:szCs w:val="26"/>
        </w:rPr>
        <w:t>eport</w:t>
      </w:r>
      <w:r w:rsidR="00D86C18" w:rsidRPr="00787A9E">
        <w:rPr>
          <w:sz w:val="26"/>
          <w:szCs w:val="26"/>
        </w:rPr>
        <w:t>.  According to the OCA,</w:t>
      </w:r>
      <w:r w:rsidRPr="00787A9E">
        <w:rPr>
          <w:sz w:val="26"/>
          <w:szCs w:val="26"/>
        </w:rPr>
        <w:t xml:space="preserve"> since the </w:t>
      </w:r>
      <w:r w:rsidRPr="00787A9E">
        <w:rPr>
          <w:i/>
          <w:sz w:val="26"/>
          <w:szCs w:val="26"/>
        </w:rPr>
        <w:t>January 2018 McCloskey Order</w:t>
      </w:r>
      <w:r w:rsidRPr="00787A9E">
        <w:rPr>
          <w:sz w:val="26"/>
          <w:szCs w:val="26"/>
        </w:rPr>
        <w:t xml:space="preserve"> makes a provision for the possibility of a hearing following the issuance of the TUS report, it would be illogical to increase rates, as proposed by</w:t>
      </w:r>
      <w:r w:rsidR="00B778BC" w:rsidRPr="00787A9E">
        <w:rPr>
          <w:sz w:val="26"/>
          <w:szCs w:val="26"/>
        </w:rPr>
        <w:t xml:space="preserve"> the Company</w:t>
      </w:r>
      <w:r w:rsidRPr="00787A9E">
        <w:rPr>
          <w:sz w:val="26"/>
          <w:szCs w:val="26"/>
        </w:rPr>
        <w:t xml:space="preserve"> while proceeding to a hearing</w:t>
      </w:r>
      <w:r w:rsidR="000E2128" w:rsidRPr="00787A9E">
        <w:rPr>
          <w:sz w:val="26"/>
          <w:szCs w:val="26"/>
        </w:rPr>
        <w:t>,</w:t>
      </w:r>
      <w:r w:rsidRPr="00787A9E">
        <w:rPr>
          <w:sz w:val="26"/>
          <w:szCs w:val="26"/>
        </w:rPr>
        <w:t xml:space="preserve"> as set forth in </w:t>
      </w:r>
      <w:r w:rsidR="003C653B" w:rsidRPr="00787A9E">
        <w:rPr>
          <w:sz w:val="26"/>
          <w:szCs w:val="26"/>
        </w:rPr>
        <w:t>Ordering</w:t>
      </w:r>
      <w:r w:rsidRPr="00787A9E">
        <w:rPr>
          <w:sz w:val="26"/>
          <w:szCs w:val="26"/>
        </w:rPr>
        <w:t xml:space="preserve"> </w:t>
      </w:r>
      <w:r w:rsidR="003C653B" w:rsidRPr="00787A9E">
        <w:rPr>
          <w:sz w:val="26"/>
          <w:szCs w:val="26"/>
        </w:rPr>
        <w:lastRenderedPageBreak/>
        <w:t>P</w:t>
      </w:r>
      <w:r w:rsidRPr="00787A9E">
        <w:rPr>
          <w:sz w:val="26"/>
          <w:szCs w:val="26"/>
        </w:rPr>
        <w:t xml:space="preserve">aragraph </w:t>
      </w:r>
      <w:r w:rsidR="003C653B" w:rsidRPr="00787A9E">
        <w:rPr>
          <w:sz w:val="26"/>
          <w:szCs w:val="26"/>
        </w:rPr>
        <w:t xml:space="preserve">No. </w:t>
      </w:r>
      <w:r w:rsidRPr="00787A9E">
        <w:rPr>
          <w:sz w:val="26"/>
          <w:szCs w:val="26"/>
        </w:rPr>
        <w:t xml:space="preserve">20 of the </w:t>
      </w:r>
      <w:r w:rsidR="00FE33D2" w:rsidRPr="00787A9E">
        <w:rPr>
          <w:i/>
          <w:sz w:val="26"/>
          <w:szCs w:val="26"/>
        </w:rPr>
        <w:t>May 2018 McCloskey Order</w:t>
      </w:r>
      <w:r w:rsidR="00FE33D2" w:rsidRPr="00787A9E">
        <w:rPr>
          <w:sz w:val="26"/>
          <w:szCs w:val="26"/>
        </w:rPr>
        <w:t xml:space="preserve">.  </w:t>
      </w:r>
      <w:r w:rsidR="00900DFD" w:rsidRPr="00787A9E">
        <w:rPr>
          <w:sz w:val="26"/>
          <w:szCs w:val="26"/>
        </w:rPr>
        <w:t>The OCA reiterates its belief that</w:t>
      </w:r>
      <w:r w:rsidR="000E2128" w:rsidRPr="00787A9E">
        <w:rPr>
          <w:sz w:val="26"/>
          <w:szCs w:val="26"/>
        </w:rPr>
        <w:t xml:space="preserve"> the Company is </w:t>
      </w:r>
      <w:r w:rsidR="00900DFD" w:rsidRPr="00787A9E">
        <w:rPr>
          <w:sz w:val="26"/>
          <w:szCs w:val="26"/>
        </w:rPr>
        <w:t xml:space="preserve">not </w:t>
      </w:r>
      <w:r w:rsidR="000E2128" w:rsidRPr="00787A9E">
        <w:rPr>
          <w:sz w:val="26"/>
          <w:szCs w:val="26"/>
        </w:rPr>
        <w:t xml:space="preserve">entitled to any rate increase while it continues to provide inadequate service.  </w:t>
      </w:r>
      <w:r w:rsidR="00FE33D2" w:rsidRPr="00787A9E">
        <w:rPr>
          <w:sz w:val="26"/>
          <w:szCs w:val="26"/>
        </w:rPr>
        <w:t>OCA R. Exc. at 10-11.</w:t>
      </w:r>
      <w:r w:rsidRPr="00787A9E">
        <w:rPr>
          <w:sz w:val="26"/>
          <w:szCs w:val="26"/>
        </w:rPr>
        <w:t xml:space="preserve"> </w:t>
      </w:r>
    </w:p>
    <w:p w14:paraId="631E2CA8" w14:textId="77777777" w:rsidR="00871D15" w:rsidRPr="00787A9E" w:rsidRDefault="00871D15" w:rsidP="00FD1A00">
      <w:pPr>
        <w:pStyle w:val="Default"/>
        <w:spacing w:line="360" w:lineRule="auto"/>
        <w:ind w:firstLine="1440"/>
        <w:contextualSpacing/>
        <w:rPr>
          <w:sz w:val="26"/>
          <w:szCs w:val="26"/>
        </w:rPr>
      </w:pPr>
    </w:p>
    <w:p w14:paraId="17A40EA3" w14:textId="3A494EB9" w:rsidR="00E819FF" w:rsidRPr="00787A9E" w:rsidRDefault="003C653B" w:rsidP="00FD1A00">
      <w:pPr>
        <w:pStyle w:val="Default"/>
        <w:keepNext/>
        <w:keepLines/>
        <w:numPr>
          <w:ilvl w:val="0"/>
          <w:numId w:val="15"/>
        </w:numPr>
        <w:ind w:left="2880" w:hanging="720"/>
        <w:contextualSpacing/>
        <w:rPr>
          <w:b/>
          <w:sz w:val="26"/>
          <w:szCs w:val="26"/>
        </w:rPr>
      </w:pPr>
      <w:r w:rsidRPr="00787A9E">
        <w:rPr>
          <w:b/>
          <w:sz w:val="26"/>
          <w:szCs w:val="26"/>
        </w:rPr>
        <w:t xml:space="preserve">The </w:t>
      </w:r>
      <w:r w:rsidR="00E819FF" w:rsidRPr="00787A9E">
        <w:rPr>
          <w:b/>
          <w:sz w:val="26"/>
          <w:szCs w:val="26"/>
        </w:rPr>
        <w:t>Foundation</w:t>
      </w:r>
      <w:r w:rsidR="00A424DB">
        <w:rPr>
          <w:b/>
          <w:sz w:val="26"/>
          <w:szCs w:val="26"/>
        </w:rPr>
        <w:t>’</w:t>
      </w:r>
      <w:r w:rsidR="00E819FF" w:rsidRPr="00787A9E">
        <w:rPr>
          <w:b/>
          <w:sz w:val="26"/>
          <w:szCs w:val="26"/>
        </w:rPr>
        <w:t>s Replies to HVUS</w:t>
      </w:r>
      <w:r w:rsidR="00A424DB">
        <w:rPr>
          <w:b/>
          <w:sz w:val="26"/>
          <w:szCs w:val="26"/>
        </w:rPr>
        <w:t>’</w:t>
      </w:r>
      <w:r w:rsidR="00BA59C9" w:rsidRPr="00787A9E">
        <w:rPr>
          <w:b/>
          <w:sz w:val="26"/>
          <w:szCs w:val="26"/>
        </w:rPr>
        <w:t>s</w:t>
      </w:r>
      <w:r w:rsidR="00E819FF" w:rsidRPr="00787A9E">
        <w:rPr>
          <w:b/>
          <w:sz w:val="26"/>
          <w:szCs w:val="26"/>
        </w:rPr>
        <w:t xml:space="preserve"> and I&amp;E</w:t>
      </w:r>
      <w:r w:rsidR="00A424DB">
        <w:rPr>
          <w:b/>
          <w:sz w:val="26"/>
          <w:szCs w:val="26"/>
        </w:rPr>
        <w:t>’</w:t>
      </w:r>
      <w:r w:rsidR="00E819FF" w:rsidRPr="00787A9E">
        <w:rPr>
          <w:b/>
          <w:sz w:val="26"/>
          <w:szCs w:val="26"/>
        </w:rPr>
        <w:t>s Exception</w:t>
      </w:r>
      <w:r w:rsidR="0050288F">
        <w:rPr>
          <w:b/>
          <w:sz w:val="26"/>
          <w:szCs w:val="26"/>
        </w:rPr>
        <w:t>s</w:t>
      </w:r>
      <w:r w:rsidR="00E819FF" w:rsidRPr="00787A9E">
        <w:rPr>
          <w:b/>
          <w:sz w:val="26"/>
          <w:szCs w:val="26"/>
        </w:rPr>
        <w:t xml:space="preserve"> No. 1</w:t>
      </w:r>
    </w:p>
    <w:p w14:paraId="192F637C" w14:textId="77777777" w:rsidR="004B2238" w:rsidRPr="00787A9E" w:rsidRDefault="004B2238" w:rsidP="00FD1A00">
      <w:pPr>
        <w:pStyle w:val="Default"/>
        <w:keepNext/>
        <w:keepLines/>
        <w:spacing w:line="360" w:lineRule="auto"/>
        <w:ind w:left="1800"/>
        <w:contextualSpacing/>
        <w:rPr>
          <w:b/>
          <w:sz w:val="26"/>
          <w:szCs w:val="26"/>
        </w:rPr>
      </w:pPr>
    </w:p>
    <w:p w14:paraId="0BD24262" w14:textId="5BEEBCF1" w:rsidR="00E819FF" w:rsidRPr="00787A9E" w:rsidRDefault="00E819FF" w:rsidP="00FD1A00">
      <w:pPr>
        <w:pStyle w:val="Default"/>
        <w:spacing w:line="360" w:lineRule="auto"/>
        <w:ind w:firstLine="1440"/>
        <w:contextualSpacing/>
        <w:rPr>
          <w:sz w:val="26"/>
          <w:szCs w:val="26"/>
        </w:rPr>
      </w:pPr>
      <w:r w:rsidRPr="00787A9E">
        <w:rPr>
          <w:sz w:val="26"/>
          <w:szCs w:val="26"/>
        </w:rPr>
        <w:t xml:space="preserve">Similar to the OCA, the Foundation </w:t>
      </w:r>
      <w:r w:rsidR="002A408A" w:rsidRPr="00787A9E">
        <w:rPr>
          <w:sz w:val="26"/>
          <w:szCs w:val="26"/>
        </w:rPr>
        <w:t>restates its opposition to</w:t>
      </w:r>
      <w:r w:rsidRPr="00787A9E">
        <w:rPr>
          <w:sz w:val="26"/>
          <w:szCs w:val="26"/>
        </w:rPr>
        <w:t xml:space="preserve"> any increase </w:t>
      </w:r>
      <w:r w:rsidR="00166115" w:rsidRPr="00787A9E">
        <w:rPr>
          <w:sz w:val="26"/>
          <w:szCs w:val="26"/>
        </w:rPr>
        <w:t>to</w:t>
      </w:r>
      <w:r w:rsidRPr="00787A9E">
        <w:rPr>
          <w:sz w:val="26"/>
          <w:szCs w:val="26"/>
        </w:rPr>
        <w:t xml:space="preserve"> the Company</w:t>
      </w:r>
      <w:r w:rsidR="00A424DB">
        <w:rPr>
          <w:sz w:val="26"/>
          <w:szCs w:val="26"/>
        </w:rPr>
        <w:t>’</w:t>
      </w:r>
      <w:r w:rsidRPr="00787A9E">
        <w:rPr>
          <w:sz w:val="26"/>
          <w:szCs w:val="26"/>
        </w:rPr>
        <w:t xml:space="preserve">s water and wastewater rates unless and until HVUS is found to be </w:t>
      </w:r>
      <w:r w:rsidR="00166115" w:rsidRPr="00787A9E">
        <w:rPr>
          <w:sz w:val="26"/>
          <w:szCs w:val="26"/>
        </w:rPr>
        <w:t xml:space="preserve">capable of </w:t>
      </w:r>
      <w:r w:rsidRPr="00787A9E">
        <w:rPr>
          <w:sz w:val="26"/>
          <w:szCs w:val="26"/>
        </w:rPr>
        <w:t xml:space="preserve">providing adequate service.  </w:t>
      </w:r>
      <w:r w:rsidR="006C072A" w:rsidRPr="00787A9E">
        <w:rPr>
          <w:sz w:val="26"/>
          <w:szCs w:val="26"/>
        </w:rPr>
        <w:t>However, the Foundation also supports the ALJs</w:t>
      </w:r>
      <w:r w:rsidR="00A424DB">
        <w:rPr>
          <w:sz w:val="26"/>
          <w:szCs w:val="26"/>
        </w:rPr>
        <w:t>’</w:t>
      </w:r>
      <w:r w:rsidR="006C072A" w:rsidRPr="00787A9E">
        <w:rPr>
          <w:sz w:val="26"/>
          <w:szCs w:val="26"/>
        </w:rPr>
        <w:t xml:space="preserve"> modification of the phased-in rates for Wastewater Supplement No. 1.  </w:t>
      </w:r>
      <w:r w:rsidRPr="00787A9E">
        <w:rPr>
          <w:sz w:val="26"/>
          <w:szCs w:val="26"/>
        </w:rPr>
        <w:t>From the Foundation</w:t>
      </w:r>
      <w:r w:rsidR="00A424DB">
        <w:rPr>
          <w:sz w:val="26"/>
          <w:szCs w:val="26"/>
        </w:rPr>
        <w:t>’</w:t>
      </w:r>
      <w:r w:rsidRPr="00787A9E">
        <w:rPr>
          <w:sz w:val="26"/>
          <w:szCs w:val="26"/>
        </w:rPr>
        <w:t>s perspective, HVUS has failed to comply with the Commission</w:t>
      </w:r>
      <w:r w:rsidR="00A424DB">
        <w:rPr>
          <w:sz w:val="26"/>
          <w:szCs w:val="26"/>
        </w:rPr>
        <w:t>’</w:t>
      </w:r>
      <w:r w:rsidRPr="00787A9E">
        <w:rPr>
          <w:sz w:val="26"/>
          <w:szCs w:val="26"/>
        </w:rPr>
        <w:t xml:space="preserve">s directives in the </w:t>
      </w:r>
      <w:r w:rsidRPr="00787A9E">
        <w:rPr>
          <w:i/>
          <w:sz w:val="26"/>
          <w:szCs w:val="26"/>
        </w:rPr>
        <w:t>McCloskey Orders</w:t>
      </w:r>
      <w:r w:rsidR="00166115" w:rsidRPr="00787A9E">
        <w:rPr>
          <w:i/>
          <w:sz w:val="26"/>
          <w:szCs w:val="26"/>
        </w:rPr>
        <w:t xml:space="preserve"> </w:t>
      </w:r>
      <w:r w:rsidR="00166115" w:rsidRPr="00787A9E">
        <w:rPr>
          <w:sz w:val="26"/>
          <w:szCs w:val="26"/>
        </w:rPr>
        <w:t>and</w:t>
      </w:r>
      <w:r w:rsidRPr="00787A9E">
        <w:rPr>
          <w:sz w:val="26"/>
          <w:szCs w:val="26"/>
        </w:rPr>
        <w:t xml:space="preserve"> is in direct violation of Ordering Paragraph </w:t>
      </w:r>
      <w:r w:rsidR="00940DFC" w:rsidRPr="00787A9E">
        <w:rPr>
          <w:sz w:val="26"/>
          <w:szCs w:val="26"/>
        </w:rPr>
        <w:t xml:space="preserve">No. </w:t>
      </w:r>
      <w:r w:rsidRPr="00787A9E">
        <w:rPr>
          <w:sz w:val="26"/>
          <w:szCs w:val="26"/>
        </w:rPr>
        <w:t xml:space="preserve">11 of the </w:t>
      </w:r>
      <w:r w:rsidRPr="00787A9E">
        <w:rPr>
          <w:i/>
          <w:sz w:val="26"/>
          <w:szCs w:val="26"/>
        </w:rPr>
        <w:t>May 2018 McCloskey Order</w:t>
      </w:r>
      <w:r w:rsidRPr="00787A9E">
        <w:rPr>
          <w:sz w:val="26"/>
          <w:szCs w:val="26"/>
        </w:rPr>
        <w:t xml:space="preserve"> because </w:t>
      </w:r>
      <w:r w:rsidR="009039E3" w:rsidRPr="00787A9E">
        <w:rPr>
          <w:sz w:val="26"/>
          <w:szCs w:val="26"/>
        </w:rPr>
        <w:t xml:space="preserve">the Company </w:t>
      </w:r>
      <w:r w:rsidRPr="00787A9E">
        <w:rPr>
          <w:sz w:val="26"/>
          <w:szCs w:val="26"/>
        </w:rPr>
        <w:t xml:space="preserve">continues to provide </w:t>
      </w:r>
      <w:r w:rsidR="00BA59C9" w:rsidRPr="00787A9E">
        <w:rPr>
          <w:sz w:val="26"/>
          <w:szCs w:val="26"/>
        </w:rPr>
        <w:t>in</w:t>
      </w:r>
      <w:r w:rsidRPr="00787A9E">
        <w:rPr>
          <w:sz w:val="26"/>
          <w:szCs w:val="26"/>
        </w:rPr>
        <w:t>adequate wastewater service after January 31, 2019.</w:t>
      </w:r>
      <w:r w:rsidR="00296478" w:rsidRPr="00787A9E">
        <w:rPr>
          <w:rStyle w:val="FootnoteReference"/>
          <w:sz w:val="26"/>
          <w:szCs w:val="26"/>
        </w:rPr>
        <w:footnoteReference w:id="23"/>
      </w:r>
      <w:r w:rsidRPr="00787A9E">
        <w:rPr>
          <w:sz w:val="26"/>
          <w:szCs w:val="26"/>
        </w:rPr>
        <w:t xml:space="preserve">  Foundation R. Exc. at 3</w:t>
      </w:r>
      <w:r w:rsidR="00FA503A" w:rsidRPr="00787A9E">
        <w:rPr>
          <w:sz w:val="26"/>
          <w:szCs w:val="26"/>
        </w:rPr>
        <w:t>-4</w:t>
      </w:r>
      <w:r w:rsidRPr="00787A9E">
        <w:rPr>
          <w:sz w:val="26"/>
          <w:szCs w:val="26"/>
        </w:rPr>
        <w:t xml:space="preserve">. </w:t>
      </w:r>
    </w:p>
    <w:p w14:paraId="1C4961CD" w14:textId="77777777" w:rsidR="00FA503A" w:rsidRPr="00787A9E" w:rsidRDefault="00FA503A" w:rsidP="00FD1A00">
      <w:pPr>
        <w:pStyle w:val="Default"/>
        <w:spacing w:line="360" w:lineRule="auto"/>
        <w:ind w:firstLine="720"/>
        <w:contextualSpacing/>
        <w:rPr>
          <w:sz w:val="26"/>
          <w:szCs w:val="26"/>
        </w:rPr>
      </w:pPr>
    </w:p>
    <w:p w14:paraId="4639B1CA" w14:textId="209F8E19" w:rsidR="00FA503A" w:rsidRPr="00787A9E" w:rsidRDefault="00FA503A" w:rsidP="00FD1A00">
      <w:pPr>
        <w:pStyle w:val="Default"/>
        <w:spacing w:line="360" w:lineRule="auto"/>
        <w:ind w:firstLine="1440"/>
        <w:contextualSpacing/>
        <w:rPr>
          <w:sz w:val="26"/>
          <w:szCs w:val="26"/>
        </w:rPr>
      </w:pPr>
      <w:r w:rsidRPr="00787A9E">
        <w:rPr>
          <w:sz w:val="26"/>
          <w:szCs w:val="26"/>
        </w:rPr>
        <w:t xml:space="preserve">Disputing </w:t>
      </w:r>
      <w:r w:rsidR="00A06B13" w:rsidRPr="00787A9E">
        <w:rPr>
          <w:sz w:val="26"/>
          <w:szCs w:val="26"/>
        </w:rPr>
        <w:t>the Company</w:t>
      </w:r>
      <w:r w:rsidR="00A424DB">
        <w:rPr>
          <w:sz w:val="26"/>
          <w:szCs w:val="26"/>
        </w:rPr>
        <w:t>’</w:t>
      </w:r>
      <w:r w:rsidR="00A06B13" w:rsidRPr="00787A9E">
        <w:rPr>
          <w:sz w:val="26"/>
          <w:szCs w:val="26"/>
        </w:rPr>
        <w:t>s</w:t>
      </w:r>
      <w:r w:rsidRPr="00787A9E">
        <w:rPr>
          <w:sz w:val="26"/>
          <w:szCs w:val="26"/>
        </w:rPr>
        <w:t xml:space="preserve"> and I&amp;E</w:t>
      </w:r>
      <w:r w:rsidR="00A424DB">
        <w:rPr>
          <w:sz w:val="26"/>
          <w:szCs w:val="26"/>
        </w:rPr>
        <w:t>’</w:t>
      </w:r>
      <w:r w:rsidRPr="00787A9E">
        <w:rPr>
          <w:sz w:val="26"/>
          <w:szCs w:val="26"/>
        </w:rPr>
        <w:t>s arguments that the ALJs</w:t>
      </w:r>
      <w:r w:rsidR="00A424DB">
        <w:rPr>
          <w:sz w:val="26"/>
          <w:szCs w:val="26"/>
        </w:rPr>
        <w:t>’</w:t>
      </w:r>
      <w:r w:rsidRPr="00787A9E">
        <w:rPr>
          <w:sz w:val="26"/>
          <w:szCs w:val="26"/>
        </w:rPr>
        <w:t xml:space="preserve"> basis of modifying the </w:t>
      </w:r>
      <w:r w:rsidR="00BA3AC7" w:rsidRPr="00787A9E">
        <w:rPr>
          <w:sz w:val="26"/>
          <w:szCs w:val="26"/>
        </w:rPr>
        <w:t xml:space="preserve">wastewater </w:t>
      </w:r>
      <w:r w:rsidRPr="00787A9E">
        <w:rPr>
          <w:sz w:val="26"/>
          <w:szCs w:val="26"/>
        </w:rPr>
        <w:t xml:space="preserve">Settlement rate is due to the inadequate water supply, the Foundation argues there is substantial evidence </w:t>
      </w:r>
      <w:r w:rsidR="00CD7DC6" w:rsidRPr="00787A9E">
        <w:rPr>
          <w:sz w:val="26"/>
          <w:szCs w:val="26"/>
        </w:rPr>
        <w:t>i</w:t>
      </w:r>
      <w:r w:rsidRPr="00787A9E">
        <w:rPr>
          <w:sz w:val="26"/>
          <w:szCs w:val="26"/>
        </w:rPr>
        <w:t>n the record to support the ALJs</w:t>
      </w:r>
      <w:r w:rsidR="00A424DB">
        <w:rPr>
          <w:sz w:val="26"/>
          <w:szCs w:val="26"/>
        </w:rPr>
        <w:t>’</w:t>
      </w:r>
      <w:r w:rsidRPr="00787A9E">
        <w:rPr>
          <w:sz w:val="26"/>
          <w:szCs w:val="26"/>
        </w:rPr>
        <w:t xml:space="preserve"> decision.  Specifically, the Foundation avers the ALJs clearly stated that:</w:t>
      </w:r>
    </w:p>
    <w:p w14:paraId="2E6674B1" w14:textId="77777777" w:rsidR="00FA503A" w:rsidRPr="00787A9E" w:rsidRDefault="00FA503A" w:rsidP="00FD1A00">
      <w:pPr>
        <w:pStyle w:val="Default"/>
        <w:spacing w:line="360" w:lineRule="auto"/>
        <w:ind w:firstLine="720"/>
        <w:contextualSpacing/>
        <w:rPr>
          <w:sz w:val="26"/>
          <w:szCs w:val="26"/>
        </w:rPr>
      </w:pPr>
    </w:p>
    <w:p w14:paraId="2B9769C4" w14:textId="414D8FB5" w:rsidR="00FA503A" w:rsidRDefault="00FA503A" w:rsidP="00FD1A00">
      <w:pPr>
        <w:spacing w:line="240" w:lineRule="auto"/>
        <w:ind w:left="1440" w:right="1440"/>
        <w:contextualSpacing/>
        <w:rPr>
          <w:b/>
          <w:i/>
          <w:sz w:val="26"/>
          <w:szCs w:val="26"/>
        </w:rPr>
      </w:pPr>
      <w:r w:rsidRPr="00787A9E">
        <w:rPr>
          <w:b/>
          <w:i/>
          <w:sz w:val="26"/>
          <w:szCs w:val="26"/>
        </w:rPr>
        <w:t>As of the date the hearing record closed in this proceeding, Hidden Valley had not implemented the totality of the wastewater improvements mandated by the Commission to be done.</w:t>
      </w:r>
      <w:r w:rsidRPr="00787A9E">
        <w:rPr>
          <w:sz w:val="26"/>
          <w:szCs w:val="26"/>
        </w:rPr>
        <w:t xml:space="preserve">  Once those improvements have been made – and verified as having been made – then Hidden Valley may be able to justify the second step increase.  However, the </w:t>
      </w:r>
      <w:r w:rsidRPr="00787A9E">
        <w:rPr>
          <w:sz w:val="26"/>
          <w:szCs w:val="26"/>
        </w:rPr>
        <w:lastRenderedPageBreak/>
        <w:t xml:space="preserve">presiding officers disagree with Hidden Valley and </w:t>
      </w:r>
      <w:r w:rsidR="00A0682E">
        <w:rPr>
          <w:sz w:val="26"/>
          <w:szCs w:val="26"/>
        </w:rPr>
        <w:t>[</w:t>
      </w:r>
      <w:r w:rsidR="00A0682E" w:rsidRPr="00A0682E">
        <w:rPr>
          <w:sz w:val="26"/>
          <w:szCs w:val="26"/>
        </w:rPr>
        <w:t>I&amp;E</w:t>
      </w:r>
      <w:r w:rsidR="00A0682E">
        <w:rPr>
          <w:sz w:val="26"/>
          <w:szCs w:val="26"/>
        </w:rPr>
        <w:t>]</w:t>
      </w:r>
      <w:r w:rsidRPr="00787A9E">
        <w:rPr>
          <w:sz w:val="26"/>
          <w:szCs w:val="26"/>
        </w:rPr>
        <w:t xml:space="preserve">.  </w:t>
      </w:r>
      <w:r w:rsidRPr="00787A9E">
        <w:rPr>
          <w:b/>
          <w:i/>
          <w:sz w:val="26"/>
          <w:szCs w:val="26"/>
        </w:rPr>
        <w:t>If Hidden Valley wants to realize the second step increase in wastewater revenue, then Hidden Valley needs to provide quality wastewater services.</w:t>
      </w:r>
    </w:p>
    <w:p w14:paraId="578EE1A7" w14:textId="1F73A7C6" w:rsidR="00F971EA" w:rsidRPr="00F971EA" w:rsidRDefault="00F971EA" w:rsidP="00FD1A00">
      <w:pPr>
        <w:spacing w:line="240" w:lineRule="auto"/>
        <w:ind w:left="1440" w:right="1440"/>
        <w:contextualSpacing/>
        <w:rPr>
          <w:sz w:val="26"/>
          <w:szCs w:val="26"/>
        </w:rPr>
      </w:pPr>
    </w:p>
    <w:p w14:paraId="32F8242F" w14:textId="77777777" w:rsidR="00F971EA" w:rsidRPr="00F971EA" w:rsidRDefault="00F971EA" w:rsidP="00FD1A00">
      <w:pPr>
        <w:spacing w:line="240" w:lineRule="auto"/>
        <w:ind w:left="1440" w:right="1440"/>
        <w:contextualSpacing/>
        <w:rPr>
          <w:sz w:val="26"/>
          <w:szCs w:val="26"/>
        </w:rPr>
      </w:pPr>
    </w:p>
    <w:p w14:paraId="166447A1" w14:textId="7479CAEA" w:rsidR="00FA503A" w:rsidRPr="00787A9E" w:rsidRDefault="00FA503A" w:rsidP="00FD1A00">
      <w:pPr>
        <w:pStyle w:val="Default"/>
        <w:spacing w:line="360" w:lineRule="auto"/>
        <w:contextualSpacing/>
        <w:rPr>
          <w:sz w:val="26"/>
          <w:szCs w:val="26"/>
        </w:rPr>
      </w:pPr>
      <w:r w:rsidRPr="00787A9E">
        <w:rPr>
          <w:sz w:val="26"/>
          <w:szCs w:val="26"/>
        </w:rPr>
        <w:t xml:space="preserve">Foundation at </w:t>
      </w:r>
      <w:r w:rsidR="00A0682E">
        <w:rPr>
          <w:sz w:val="26"/>
          <w:szCs w:val="26"/>
        </w:rPr>
        <w:t xml:space="preserve">R. Exc. </w:t>
      </w:r>
      <w:r w:rsidRPr="00787A9E">
        <w:rPr>
          <w:sz w:val="26"/>
          <w:szCs w:val="26"/>
        </w:rPr>
        <w:t>4</w:t>
      </w:r>
      <w:r w:rsidR="00293DD1" w:rsidRPr="00787A9E">
        <w:rPr>
          <w:sz w:val="26"/>
          <w:szCs w:val="26"/>
        </w:rPr>
        <w:t xml:space="preserve"> </w:t>
      </w:r>
      <w:r w:rsidR="00582C1C" w:rsidRPr="00787A9E">
        <w:rPr>
          <w:sz w:val="26"/>
          <w:szCs w:val="26"/>
        </w:rPr>
        <w:t>(</w:t>
      </w:r>
      <w:r w:rsidRPr="00787A9E">
        <w:rPr>
          <w:sz w:val="26"/>
          <w:szCs w:val="26"/>
        </w:rPr>
        <w:t>citing R.D. at 50</w:t>
      </w:r>
      <w:r w:rsidR="00582C1C" w:rsidRPr="00787A9E">
        <w:rPr>
          <w:sz w:val="26"/>
          <w:szCs w:val="26"/>
        </w:rPr>
        <w:t>)</w:t>
      </w:r>
      <w:r w:rsidRPr="00787A9E">
        <w:rPr>
          <w:sz w:val="26"/>
          <w:szCs w:val="26"/>
        </w:rPr>
        <w:t xml:space="preserve"> (emphasis </w:t>
      </w:r>
      <w:r w:rsidR="00A13A9C" w:rsidRPr="00787A9E">
        <w:rPr>
          <w:sz w:val="26"/>
          <w:szCs w:val="26"/>
        </w:rPr>
        <w:t>in original</w:t>
      </w:r>
      <w:r w:rsidRPr="00787A9E">
        <w:rPr>
          <w:sz w:val="26"/>
          <w:szCs w:val="26"/>
        </w:rPr>
        <w:t xml:space="preserve">). </w:t>
      </w:r>
      <w:r w:rsidR="00E21590" w:rsidRPr="00787A9E">
        <w:rPr>
          <w:sz w:val="26"/>
          <w:szCs w:val="26"/>
        </w:rPr>
        <w:t xml:space="preserve"> The Foundation emphasizes the Company</w:t>
      </w:r>
      <w:r w:rsidR="00A424DB">
        <w:rPr>
          <w:sz w:val="26"/>
          <w:szCs w:val="26"/>
        </w:rPr>
        <w:t>’</w:t>
      </w:r>
      <w:r w:rsidR="00E21590" w:rsidRPr="00787A9E">
        <w:rPr>
          <w:sz w:val="26"/>
          <w:szCs w:val="26"/>
        </w:rPr>
        <w:t xml:space="preserve">s failure </w:t>
      </w:r>
      <w:r w:rsidR="00A06B13" w:rsidRPr="00787A9E">
        <w:rPr>
          <w:sz w:val="26"/>
          <w:szCs w:val="26"/>
        </w:rPr>
        <w:t xml:space="preserve">to </w:t>
      </w:r>
      <w:r w:rsidR="00E21590" w:rsidRPr="00787A9E">
        <w:rPr>
          <w:sz w:val="26"/>
          <w:szCs w:val="26"/>
        </w:rPr>
        <w:t xml:space="preserve">comply with the directives in the </w:t>
      </w:r>
      <w:r w:rsidR="00E21590" w:rsidRPr="00787A9E">
        <w:rPr>
          <w:i/>
          <w:sz w:val="26"/>
          <w:szCs w:val="26"/>
        </w:rPr>
        <w:t>July 2005 Order</w:t>
      </w:r>
      <w:r w:rsidR="00E21590" w:rsidRPr="00787A9E">
        <w:rPr>
          <w:sz w:val="26"/>
          <w:szCs w:val="26"/>
        </w:rPr>
        <w:t xml:space="preserve"> and the </w:t>
      </w:r>
      <w:r w:rsidR="00E21590" w:rsidRPr="00787A9E">
        <w:rPr>
          <w:i/>
          <w:sz w:val="26"/>
          <w:szCs w:val="26"/>
        </w:rPr>
        <w:t>McCloskey Orders</w:t>
      </w:r>
      <w:r w:rsidR="00E21590" w:rsidRPr="00787A9E">
        <w:rPr>
          <w:sz w:val="26"/>
          <w:szCs w:val="26"/>
        </w:rPr>
        <w:t xml:space="preserve"> and does not see any justification for granting a rate increase to HVUS until it complies with all the directives in these Orders.  Foundation at </w:t>
      </w:r>
      <w:r w:rsidR="00DE65EA" w:rsidRPr="00787A9E">
        <w:rPr>
          <w:sz w:val="26"/>
          <w:szCs w:val="26"/>
        </w:rPr>
        <w:t>R. Exc. at</w:t>
      </w:r>
      <w:r w:rsidR="00F971EA">
        <w:rPr>
          <w:sz w:val="26"/>
          <w:szCs w:val="26"/>
        </w:rPr>
        <w:t> </w:t>
      </w:r>
      <w:r w:rsidR="00E21590" w:rsidRPr="00787A9E">
        <w:rPr>
          <w:sz w:val="26"/>
          <w:szCs w:val="26"/>
        </w:rPr>
        <w:t>5.</w:t>
      </w:r>
    </w:p>
    <w:p w14:paraId="201CA8EF" w14:textId="77777777" w:rsidR="00BF0DC3" w:rsidRPr="00787A9E" w:rsidRDefault="00BF0DC3" w:rsidP="00FD1A00">
      <w:pPr>
        <w:pStyle w:val="Default"/>
        <w:spacing w:line="360" w:lineRule="auto"/>
        <w:contextualSpacing/>
        <w:rPr>
          <w:sz w:val="26"/>
          <w:szCs w:val="26"/>
        </w:rPr>
      </w:pPr>
    </w:p>
    <w:p w14:paraId="06898A35" w14:textId="7578B585" w:rsidR="0026451A" w:rsidRPr="00787A9E" w:rsidRDefault="0026451A" w:rsidP="00FD1A00">
      <w:pPr>
        <w:pStyle w:val="Default"/>
        <w:spacing w:line="360" w:lineRule="auto"/>
        <w:ind w:firstLine="1440"/>
        <w:contextualSpacing/>
        <w:rPr>
          <w:sz w:val="26"/>
          <w:szCs w:val="26"/>
        </w:rPr>
      </w:pPr>
      <w:r w:rsidRPr="00787A9E">
        <w:rPr>
          <w:sz w:val="26"/>
          <w:szCs w:val="26"/>
        </w:rPr>
        <w:t>Finally, the Foundation disagrees with both HVUS</w:t>
      </w:r>
      <w:r w:rsidR="00A424DB">
        <w:rPr>
          <w:sz w:val="26"/>
          <w:szCs w:val="26"/>
        </w:rPr>
        <w:t>’</w:t>
      </w:r>
      <w:r w:rsidR="00290CE0" w:rsidRPr="00787A9E">
        <w:rPr>
          <w:sz w:val="26"/>
          <w:szCs w:val="26"/>
        </w:rPr>
        <w:t>s</w:t>
      </w:r>
      <w:r w:rsidRPr="00787A9E">
        <w:rPr>
          <w:sz w:val="26"/>
          <w:szCs w:val="26"/>
        </w:rPr>
        <w:t xml:space="preserve"> and I&amp;E</w:t>
      </w:r>
      <w:r w:rsidR="00A424DB">
        <w:rPr>
          <w:sz w:val="26"/>
          <w:szCs w:val="26"/>
        </w:rPr>
        <w:t>’</w:t>
      </w:r>
      <w:r w:rsidRPr="00787A9E">
        <w:rPr>
          <w:sz w:val="26"/>
          <w:szCs w:val="26"/>
        </w:rPr>
        <w:t xml:space="preserve">s argument that the Settlement is reasonable and </w:t>
      </w:r>
      <w:r w:rsidR="00DE7E9C" w:rsidRPr="00787A9E">
        <w:rPr>
          <w:sz w:val="26"/>
          <w:szCs w:val="26"/>
        </w:rPr>
        <w:t xml:space="preserve">is </w:t>
      </w:r>
      <w:r w:rsidRPr="00787A9E">
        <w:rPr>
          <w:sz w:val="26"/>
          <w:szCs w:val="26"/>
        </w:rPr>
        <w:t xml:space="preserve">in the </w:t>
      </w:r>
      <w:r w:rsidR="007C1D2A" w:rsidRPr="00787A9E">
        <w:rPr>
          <w:sz w:val="26"/>
          <w:szCs w:val="26"/>
        </w:rPr>
        <w:t xml:space="preserve">public </w:t>
      </w:r>
      <w:r w:rsidRPr="00787A9E">
        <w:rPr>
          <w:sz w:val="26"/>
          <w:szCs w:val="26"/>
        </w:rPr>
        <w:t xml:space="preserve">interest.  </w:t>
      </w:r>
      <w:r w:rsidR="00B13BF7" w:rsidRPr="00787A9E">
        <w:rPr>
          <w:sz w:val="26"/>
          <w:szCs w:val="26"/>
        </w:rPr>
        <w:t xml:space="preserve">According to the Foundation, </w:t>
      </w:r>
      <w:r w:rsidR="007C1D2A" w:rsidRPr="00787A9E">
        <w:rPr>
          <w:sz w:val="26"/>
          <w:szCs w:val="26"/>
        </w:rPr>
        <w:t xml:space="preserve">similar to </w:t>
      </w:r>
      <w:r w:rsidR="00B13BF7" w:rsidRPr="00787A9E">
        <w:rPr>
          <w:sz w:val="26"/>
          <w:szCs w:val="26"/>
        </w:rPr>
        <w:t>the OCA</w:t>
      </w:r>
      <w:r w:rsidR="00A931F2" w:rsidRPr="00787A9E">
        <w:rPr>
          <w:sz w:val="26"/>
          <w:szCs w:val="26"/>
        </w:rPr>
        <w:t>, it</w:t>
      </w:r>
      <w:r w:rsidR="00B13BF7" w:rsidRPr="00787A9E">
        <w:rPr>
          <w:sz w:val="26"/>
          <w:szCs w:val="26"/>
        </w:rPr>
        <w:t xml:space="preserve"> refuse</w:t>
      </w:r>
      <w:r w:rsidR="001C720C">
        <w:rPr>
          <w:sz w:val="26"/>
          <w:szCs w:val="26"/>
        </w:rPr>
        <w:t>d</w:t>
      </w:r>
      <w:r w:rsidR="00B13BF7" w:rsidRPr="00787A9E">
        <w:rPr>
          <w:sz w:val="26"/>
          <w:szCs w:val="26"/>
        </w:rPr>
        <w:t xml:space="preserve"> to be </w:t>
      </w:r>
      <w:r w:rsidR="001C720C">
        <w:rPr>
          <w:sz w:val="26"/>
          <w:szCs w:val="26"/>
        </w:rPr>
        <w:t xml:space="preserve">a </w:t>
      </w:r>
      <w:r w:rsidR="00B13BF7" w:rsidRPr="00787A9E">
        <w:rPr>
          <w:sz w:val="26"/>
          <w:szCs w:val="26"/>
        </w:rPr>
        <w:t>part</w:t>
      </w:r>
      <w:r w:rsidR="001C720C">
        <w:rPr>
          <w:sz w:val="26"/>
          <w:szCs w:val="26"/>
        </w:rPr>
        <w:t>y</w:t>
      </w:r>
      <w:r w:rsidR="00B13BF7" w:rsidRPr="00787A9E">
        <w:rPr>
          <w:sz w:val="26"/>
          <w:szCs w:val="26"/>
        </w:rPr>
        <w:t xml:space="preserve"> to the Settlement </w:t>
      </w:r>
      <w:r w:rsidR="00E034F7">
        <w:rPr>
          <w:sz w:val="26"/>
          <w:szCs w:val="26"/>
        </w:rPr>
        <w:t>because it does not b</w:t>
      </w:r>
      <w:r w:rsidR="006E09F1" w:rsidRPr="00787A9E">
        <w:rPr>
          <w:sz w:val="26"/>
          <w:szCs w:val="26"/>
        </w:rPr>
        <w:t>elieve the Settlement is reasonable and in the best interest of the public for the following reasons:</w:t>
      </w:r>
    </w:p>
    <w:p w14:paraId="6587BB43" w14:textId="77777777" w:rsidR="006E09F1" w:rsidRPr="00787A9E" w:rsidRDefault="006E09F1" w:rsidP="00FD1A00">
      <w:pPr>
        <w:pStyle w:val="Default"/>
        <w:spacing w:line="360" w:lineRule="auto"/>
        <w:contextualSpacing/>
        <w:rPr>
          <w:sz w:val="26"/>
          <w:szCs w:val="26"/>
        </w:rPr>
      </w:pPr>
    </w:p>
    <w:p w14:paraId="2327F965" w14:textId="3B822DB4" w:rsidR="006E09F1" w:rsidRPr="00787A9E" w:rsidRDefault="006E09F1" w:rsidP="00FD1A00">
      <w:pPr>
        <w:pStyle w:val="Default"/>
        <w:numPr>
          <w:ilvl w:val="0"/>
          <w:numId w:val="22"/>
        </w:numPr>
        <w:spacing w:after="240" w:line="360" w:lineRule="auto"/>
        <w:rPr>
          <w:sz w:val="26"/>
          <w:szCs w:val="26"/>
        </w:rPr>
      </w:pPr>
      <w:r w:rsidRPr="00787A9E">
        <w:rPr>
          <w:sz w:val="26"/>
          <w:szCs w:val="26"/>
        </w:rPr>
        <w:t xml:space="preserve">Under the </w:t>
      </w:r>
      <w:r w:rsidR="00215A05" w:rsidRPr="00787A9E">
        <w:rPr>
          <w:sz w:val="26"/>
          <w:szCs w:val="26"/>
        </w:rPr>
        <w:t xml:space="preserve">Non-Unanimous </w:t>
      </w:r>
      <w:r w:rsidRPr="00787A9E">
        <w:rPr>
          <w:sz w:val="26"/>
          <w:szCs w:val="26"/>
        </w:rPr>
        <w:t xml:space="preserve">Settlement, </w:t>
      </w:r>
      <w:r w:rsidR="00290CE0" w:rsidRPr="00787A9E">
        <w:rPr>
          <w:sz w:val="26"/>
          <w:szCs w:val="26"/>
        </w:rPr>
        <w:t>the Company</w:t>
      </w:r>
      <w:r w:rsidR="00A424DB">
        <w:rPr>
          <w:sz w:val="26"/>
          <w:szCs w:val="26"/>
        </w:rPr>
        <w:t>’</w:t>
      </w:r>
      <w:r w:rsidR="00290CE0" w:rsidRPr="00787A9E">
        <w:rPr>
          <w:sz w:val="26"/>
          <w:szCs w:val="26"/>
        </w:rPr>
        <w:t>s</w:t>
      </w:r>
      <w:r w:rsidRPr="00787A9E">
        <w:rPr>
          <w:sz w:val="26"/>
          <w:szCs w:val="26"/>
        </w:rPr>
        <w:t xml:space="preserve"> customers would face substantial increase (46.6% for water rates and 28% for Phase 1 of the wastewater rates and an additional 49.7% for Phase 2 of the wastewater rates</w:t>
      </w:r>
      <w:r w:rsidR="0031786A" w:rsidRPr="00787A9E">
        <w:rPr>
          <w:sz w:val="26"/>
          <w:szCs w:val="26"/>
        </w:rPr>
        <w:t>)</w:t>
      </w:r>
      <w:r w:rsidRPr="00787A9E">
        <w:rPr>
          <w:sz w:val="26"/>
          <w:szCs w:val="26"/>
        </w:rPr>
        <w:t>.</w:t>
      </w:r>
    </w:p>
    <w:p w14:paraId="4F975B6D" w14:textId="4B057151" w:rsidR="006E09F1" w:rsidRPr="00787A9E" w:rsidRDefault="006E09F1" w:rsidP="00FD1A00">
      <w:pPr>
        <w:pStyle w:val="Default"/>
        <w:numPr>
          <w:ilvl w:val="0"/>
          <w:numId w:val="22"/>
        </w:numPr>
        <w:spacing w:after="240" w:line="360" w:lineRule="auto"/>
        <w:rPr>
          <w:sz w:val="26"/>
          <w:szCs w:val="26"/>
        </w:rPr>
      </w:pPr>
      <w:r w:rsidRPr="00787A9E">
        <w:rPr>
          <w:sz w:val="26"/>
          <w:szCs w:val="26"/>
        </w:rPr>
        <w:t>The rates that are paid today by the Company</w:t>
      </w:r>
      <w:r w:rsidR="00A424DB">
        <w:rPr>
          <w:sz w:val="26"/>
          <w:szCs w:val="26"/>
        </w:rPr>
        <w:t>’</w:t>
      </w:r>
      <w:r w:rsidRPr="00787A9E">
        <w:rPr>
          <w:sz w:val="26"/>
          <w:szCs w:val="26"/>
        </w:rPr>
        <w:t xml:space="preserve">s customers and have been paid by the customers since 2005, were set to reflect adequate water and wastewater service which the customers </w:t>
      </w:r>
      <w:r w:rsidRPr="00787A9E">
        <w:rPr>
          <w:b/>
          <w:i/>
          <w:sz w:val="26"/>
          <w:szCs w:val="26"/>
        </w:rPr>
        <w:t>never</w:t>
      </w:r>
      <w:r w:rsidRPr="00787A9E">
        <w:rPr>
          <w:sz w:val="26"/>
          <w:szCs w:val="26"/>
        </w:rPr>
        <w:t xml:space="preserve"> received at any time</w:t>
      </w:r>
      <w:r w:rsidR="00B32E1E" w:rsidRPr="00787A9E">
        <w:rPr>
          <w:sz w:val="26"/>
          <w:szCs w:val="26"/>
        </w:rPr>
        <w:t xml:space="preserve"> during this period</w:t>
      </w:r>
      <w:r w:rsidRPr="00787A9E">
        <w:rPr>
          <w:sz w:val="26"/>
          <w:szCs w:val="26"/>
        </w:rPr>
        <w:t>.</w:t>
      </w:r>
    </w:p>
    <w:p w14:paraId="7C9B463A" w14:textId="77777777" w:rsidR="006E09F1" w:rsidRPr="00787A9E" w:rsidRDefault="006E09F1" w:rsidP="00F971EA">
      <w:pPr>
        <w:pStyle w:val="Default"/>
        <w:keepNext/>
        <w:keepLines/>
        <w:numPr>
          <w:ilvl w:val="0"/>
          <w:numId w:val="22"/>
        </w:numPr>
        <w:spacing w:after="240" w:line="360" w:lineRule="auto"/>
        <w:rPr>
          <w:sz w:val="26"/>
          <w:szCs w:val="26"/>
        </w:rPr>
      </w:pPr>
      <w:r w:rsidRPr="00787A9E">
        <w:rPr>
          <w:sz w:val="26"/>
          <w:szCs w:val="26"/>
        </w:rPr>
        <w:t>The Settlement rates are premised on customers receiving adequate service, which, as the record clearly indicates, they are not receiving and will not receive in future year</w:t>
      </w:r>
      <w:r w:rsidR="00D5067D" w:rsidRPr="00787A9E">
        <w:rPr>
          <w:sz w:val="26"/>
          <w:szCs w:val="26"/>
        </w:rPr>
        <w:t>s</w:t>
      </w:r>
      <w:r w:rsidRPr="00787A9E">
        <w:rPr>
          <w:sz w:val="26"/>
          <w:szCs w:val="26"/>
        </w:rPr>
        <w:t xml:space="preserve"> and beyond.</w:t>
      </w:r>
    </w:p>
    <w:p w14:paraId="6BE212E8" w14:textId="77777777" w:rsidR="000D7B86" w:rsidRPr="00787A9E" w:rsidRDefault="000D7B86" w:rsidP="00F971EA">
      <w:pPr>
        <w:pStyle w:val="Default"/>
        <w:keepNext/>
        <w:keepLines/>
        <w:spacing w:line="360" w:lineRule="auto"/>
        <w:ind w:left="1080"/>
        <w:contextualSpacing/>
        <w:rPr>
          <w:sz w:val="26"/>
          <w:szCs w:val="26"/>
        </w:rPr>
      </w:pPr>
    </w:p>
    <w:p w14:paraId="5AFC4797" w14:textId="77777777" w:rsidR="00D262F1" w:rsidRPr="00787A9E" w:rsidRDefault="006E09F1" w:rsidP="00FD1A00">
      <w:pPr>
        <w:pStyle w:val="Default"/>
        <w:spacing w:line="360" w:lineRule="auto"/>
        <w:contextualSpacing/>
        <w:rPr>
          <w:sz w:val="26"/>
          <w:szCs w:val="26"/>
        </w:rPr>
      </w:pPr>
      <w:r w:rsidRPr="00787A9E">
        <w:rPr>
          <w:sz w:val="26"/>
          <w:szCs w:val="26"/>
        </w:rPr>
        <w:t xml:space="preserve">Foundation R. Exc. at 5. </w:t>
      </w:r>
    </w:p>
    <w:p w14:paraId="1B5348B2" w14:textId="77777777" w:rsidR="004A2FB1" w:rsidRPr="00787A9E" w:rsidRDefault="004A2FB1" w:rsidP="00FD1A00">
      <w:pPr>
        <w:pStyle w:val="Default"/>
        <w:spacing w:line="360" w:lineRule="auto"/>
        <w:contextualSpacing/>
        <w:rPr>
          <w:sz w:val="26"/>
          <w:szCs w:val="26"/>
        </w:rPr>
      </w:pPr>
    </w:p>
    <w:p w14:paraId="65188A29" w14:textId="33185C7B" w:rsidR="004A2FB1" w:rsidRPr="00787A9E" w:rsidRDefault="00A84CB4" w:rsidP="00FD1A00">
      <w:pPr>
        <w:pStyle w:val="Default"/>
        <w:keepNext/>
        <w:keepLines/>
        <w:numPr>
          <w:ilvl w:val="0"/>
          <w:numId w:val="15"/>
        </w:numPr>
        <w:ind w:left="2520"/>
        <w:contextualSpacing/>
        <w:rPr>
          <w:b/>
          <w:sz w:val="26"/>
          <w:szCs w:val="26"/>
        </w:rPr>
      </w:pPr>
      <w:r w:rsidRPr="00787A9E">
        <w:rPr>
          <w:b/>
          <w:sz w:val="26"/>
          <w:szCs w:val="26"/>
        </w:rPr>
        <w:t>OCA</w:t>
      </w:r>
      <w:r w:rsidR="00A424DB">
        <w:rPr>
          <w:b/>
          <w:sz w:val="26"/>
          <w:szCs w:val="26"/>
        </w:rPr>
        <w:t>’</w:t>
      </w:r>
      <w:r w:rsidRPr="00787A9E">
        <w:rPr>
          <w:b/>
          <w:sz w:val="26"/>
          <w:szCs w:val="26"/>
        </w:rPr>
        <w:t xml:space="preserve">s Exception Nos. 1 &amp; 2 and </w:t>
      </w:r>
      <w:r w:rsidR="004A2FB1" w:rsidRPr="00787A9E">
        <w:rPr>
          <w:b/>
          <w:sz w:val="26"/>
          <w:szCs w:val="26"/>
        </w:rPr>
        <w:t>HVUS</w:t>
      </w:r>
      <w:r w:rsidR="00A424DB">
        <w:rPr>
          <w:b/>
          <w:sz w:val="26"/>
          <w:szCs w:val="26"/>
        </w:rPr>
        <w:t>’</w:t>
      </w:r>
      <w:r w:rsidR="004A2FB1" w:rsidRPr="00787A9E">
        <w:rPr>
          <w:b/>
          <w:sz w:val="26"/>
          <w:szCs w:val="26"/>
        </w:rPr>
        <w:t>s</w:t>
      </w:r>
      <w:r w:rsidRPr="00787A9E">
        <w:rPr>
          <w:b/>
          <w:sz w:val="26"/>
          <w:szCs w:val="26"/>
        </w:rPr>
        <w:t xml:space="preserve"> and I&amp;E</w:t>
      </w:r>
      <w:r w:rsidR="00A424DB">
        <w:rPr>
          <w:b/>
          <w:sz w:val="26"/>
          <w:szCs w:val="26"/>
        </w:rPr>
        <w:t>’</w:t>
      </w:r>
      <w:r w:rsidRPr="00787A9E">
        <w:rPr>
          <w:b/>
          <w:sz w:val="26"/>
          <w:szCs w:val="26"/>
        </w:rPr>
        <w:t>s</w:t>
      </w:r>
      <w:r w:rsidR="004A2FB1" w:rsidRPr="00787A9E">
        <w:rPr>
          <w:b/>
          <w:sz w:val="26"/>
          <w:szCs w:val="26"/>
        </w:rPr>
        <w:t xml:space="preserve"> </w:t>
      </w:r>
      <w:r w:rsidRPr="00787A9E">
        <w:rPr>
          <w:b/>
          <w:sz w:val="26"/>
          <w:szCs w:val="26"/>
        </w:rPr>
        <w:t>Replies</w:t>
      </w:r>
    </w:p>
    <w:p w14:paraId="79793B41" w14:textId="77777777" w:rsidR="004A2FB1" w:rsidRPr="00787A9E" w:rsidRDefault="004A2FB1" w:rsidP="00FD1A00">
      <w:pPr>
        <w:pStyle w:val="Default"/>
        <w:keepNext/>
        <w:keepLines/>
        <w:spacing w:line="360" w:lineRule="auto"/>
        <w:ind w:left="1800"/>
        <w:contextualSpacing/>
        <w:rPr>
          <w:b/>
          <w:sz w:val="26"/>
          <w:szCs w:val="26"/>
        </w:rPr>
      </w:pPr>
    </w:p>
    <w:p w14:paraId="3AE33030" w14:textId="6AE6E331" w:rsidR="00A84CB4" w:rsidRPr="00787A9E" w:rsidRDefault="00A84CB4" w:rsidP="00FD1A00">
      <w:pPr>
        <w:ind w:firstLine="1440"/>
        <w:contextualSpacing/>
        <w:rPr>
          <w:sz w:val="26"/>
          <w:szCs w:val="26"/>
        </w:rPr>
      </w:pPr>
      <w:r w:rsidRPr="00787A9E">
        <w:rPr>
          <w:sz w:val="26"/>
          <w:szCs w:val="26"/>
        </w:rPr>
        <w:t xml:space="preserve">In its first Exception, the OCA remains of the opinion that the inadequate water and wastewater service provided by HVUS supports the disallowance of the entire rate increase that HVUS and I&amp;E agreed to in the Non-Unanimous Settlement.  OCA Exc. at 3.  Citing to </w:t>
      </w:r>
      <w:r w:rsidRPr="00787A9E">
        <w:rPr>
          <w:i/>
          <w:sz w:val="26"/>
          <w:szCs w:val="26"/>
        </w:rPr>
        <w:t>PG&amp;W 1986</w:t>
      </w:r>
      <w:r w:rsidRPr="00787A9E">
        <w:rPr>
          <w:sz w:val="26"/>
          <w:szCs w:val="26"/>
        </w:rPr>
        <w:t xml:space="preserve">, the OCA maintains that under the Code, ratemaking requires that a utility provide adequate service and that a utility is entitled to a rate increase only after making actual improvements to its service.  The OCA notes that in </w:t>
      </w:r>
      <w:r w:rsidRPr="00787A9E">
        <w:rPr>
          <w:i/>
          <w:sz w:val="26"/>
          <w:szCs w:val="26"/>
        </w:rPr>
        <w:t>PG&amp;W 1986</w:t>
      </w:r>
      <w:r w:rsidRPr="00787A9E">
        <w:rPr>
          <w:sz w:val="26"/>
          <w:szCs w:val="26"/>
        </w:rPr>
        <w:t>, the Commission found that PG&amp;W failed to demonstrate that it was providing adequate service and denied PG&amp;W</w:t>
      </w:r>
      <w:r w:rsidR="00A424DB">
        <w:rPr>
          <w:sz w:val="26"/>
          <w:szCs w:val="26"/>
        </w:rPr>
        <w:t>’</w:t>
      </w:r>
      <w:r w:rsidRPr="00787A9E">
        <w:rPr>
          <w:sz w:val="26"/>
          <w:szCs w:val="26"/>
        </w:rPr>
        <w:t xml:space="preserve">s rate increase request in its entirety.  OCA Exc. at 3-4 </w:t>
      </w:r>
      <w:r w:rsidR="00582C1C" w:rsidRPr="00787A9E">
        <w:rPr>
          <w:sz w:val="26"/>
          <w:szCs w:val="26"/>
        </w:rPr>
        <w:t>(</w:t>
      </w:r>
      <w:r w:rsidRPr="00787A9E">
        <w:rPr>
          <w:sz w:val="26"/>
          <w:szCs w:val="26"/>
        </w:rPr>
        <w:t xml:space="preserve">citing </w:t>
      </w:r>
      <w:r w:rsidRPr="00787A9E">
        <w:rPr>
          <w:i/>
          <w:sz w:val="26"/>
          <w:szCs w:val="26"/>
        </w:rPr>
        <w:t xml:space="preserve">PG&amp;W 1986 </w:t>
      </w:r>
      <w:r w:rsidRPr="00787A9E">
        <w:rPr>
          <w:sz w:val="26"/>
          <w:szCs w:val="26"/>
        </w:rPr>
        <w:t>at 426-27</w:t>
      </w:r>
      <w:r w:rsidR="00582C1C" w:rsidRPr="00787A9E">
        <w:rPr>
          <w:sz w:val="26"/>
          <w:szCs w:val="26"/>
        </w:rPr>
        <w:t>)</w:t>
      </w:r>
      <w:r w:rsidRPr="00787A9E">
        <w:rPr>
          <w:sz w:val="26"/>
          <w:szCs w:val="26"/>
        </w:rPr>
        <w:t>.  Further, the OCA submits that in reviewing PG&amp;W</w:t>
      </w:r>
      <w:r w:rsidR="00A424DB">
        <w:rPr>
          <w:sz w:val="26"/>
          <w:szCs w:val="26"/>
        </w:rPr>
        <w:t>’</w:t>
      </w:r>
      <w:r w:rsidRPr="00787A9E">
        <w:rPr>
          <w:sz w:val="26"/>
          <w:szCs w:val="26"/>
        </w:rPr>
        <w:t xml:space="preserve">s next base rate increase request in </w:t>
      </w:r>
      <w:r w:rsidRPr="00787A9E">
        <w:rPr>
          <w:i/>
          <w:sz w:val="26"/>
          <w:szCs w:val="26"/>
        </w:rPr>
        <w:t>Pa. PUC. v. Pa. Gas &amp; Water Co.,</w:t>
      </w:r>
      <w:r w:rsidRPr="00787A9E">
        <w:rPr>
          <w:sz w:val="26"/>
          <w:szCs w:val="26"/>
        </w:rPr>
        <w:t xml:space="preserve"> 68 Pa. P</w:t>
      </w:r>
      <w:r w:rsidR="00582C1C" w:rsidRPr="00787A9E">
        <w:rPr>
          <w:sz w:val="26"/>
          <w:szCs w:val="26"/>
        </w:rPr>
        <w:t>.</w:t>
      </w:r>
      <w:r w:rsidRPr="00787A9E">
        <w:rPr>
          <w:sz w:val="26"/>
          <w:szCs w:val="26"/>
        </w:rPr>
        <w:t>U</w:t>
      </w:r>
      <w:r w:rsidR="00582C1C" w:rsidRPr="00787A9E">
        <w:rPr>
          <w:sz w:val="26"/>
          <w:szCs w:val="26"/>
        </w:rPr>
        <w:t>.</w:t>
      </w:r>
      <w:r w:rsidRPr="00787A9E">
        <w:rPr>
          <w:sz w:val="26"/>
          <w:szCs w:val="26"/>
        </w:rPr>
        <w:t>C</w:t>
      </w:r>
      <w:r w:rsidR="00582C1C" w:rsidRPr="00787A9E">
        <w:rPr>
          <w:sz w:val="26"/>
          <w:szCs w:val="26"/>
        </w:rPr>
        <w:t>.</w:t>
      </w:r>
      <w:r w:rsidRPr="00787A9E">
        <w:rPr>
          <w:sz w:val="26"/>
          <w:szCs w:val="26"/>
        </w:rPr>
        <w:t xml:space="preserve"> 191, 1988 Pa. PUC LEXIS 457 (Sept. 30, 1988) (</w:t>
      </w:r>
      <w:r w:rsidRPr="00787A9E">
        <w:rPr>
          <w:i/>
          <w:sz w:val="26"/>
          <w:szCs w:val="26"/>
        </w:rPr>
        <w:t>PG&amp;W 1988</w:t>
      </w:r>
      <w:r w:rsidRPr="00787A9E">
        <w:rPr>
          <w:sz w:val="26"/>
          <w:szCs w:val="26"/>
        </w:rPr>
        <w:t>), the Commission found that PG&amp;W did not demonstrate any service improvements such that PG&amp;W</w:t>
      </w:r>
      <w:r w:rsidR="00A424DB">
        <w:rPr>
          <w:sz w:val="26"/>
          <w:szCs w:val="26"/>
        </w:rPr>
        <w:t>’</w:t>
      </w:r>
      <w:r w:rsidRPr="00787A9E">
        <w:rPr>
          <w:sz w:val="26"/>
          <w:szCs w:val="26"/>
        </w:rPr>
        <w:t>s ratepayers were receiving adequate service and again denied PG&amp;W</w:t>
      </w:r>
      <w:r w:rsidR="00A424DB">
        <w:rPr>
          <w:sz w:val="26"/>
          <w:szCs w:val="26"/>
        </w:rPr>
        <w:t>’</w:t>
      </w:r>
      <w:r w:rsidRPr="00787A9E">
        <w:rPr>
          <w:sz w:val="26"/>
          <w:szCs w:val="26"/>
        </w:rPr>
        <w:t>s rate request increase in its entirety.  OCA Exc. at 4</w:t>
      </w:r>
      <w:r w:rsidRPr="00787A9E">
        <w:rPr>
          <w:sz w:val="26"/>
          <w:szCs w:val="26"/>
        </w:rPr>
        <w:noBreakHyphen/>
        <w:t xml:space="preserve">5 </w:t>
      </w:r>
      <w:r w:rsidR="00582C1C" w:rsidRPr="00787A9E">
        <w:rPr>
          <w:sz w:val="26"/>
          <w:szCs w:val="26"/>
        </w:rPr>
        <w:t>(</w:t>
      </w:r>
      <w:r w:rsidRPr="00787A9E">
        <w:rPr>
          <w:sz w:val="26"/>
          <w:szCs w:val="26"/>
        </w:rPr>
        <w:t>citing</w:t>
      </w:r>
      <w:r w:rsidRPr="00787A9E">
        <w:rPr>
          <w:i/>
          <w:sz w:val="26"/>
          <w:szCs w:val="26"/>
        </w:rPr>
        <w:t xml:space="preserve"> PG&amp;W 1988</w:t>
      </w:r>
      <w:r w:rsidRPr="00787A9E">
        <w:rPr>
          <w:sz w:val="26"/>
          <w:szCs w:val="26"/>
        </w:rPr>
        <w:t xml:space="preserve"> at 421</w:t>
      </w:r>
      <w:r w:rsidR="00582C1C" w:rsidRPr="00787A9E">
        <w:rPr>
          <w:sz w:val="26"/>
          <w:szCs w:val="26"/>
        </w:rPr>
        <w:t>)</w:t>
      </w:r>
      <w:r w:rsidRPr="00787A9E">
        <w:rPr>
          <w:sz w:val="26"/>
          <w:szCs w:val="26"/>
        </w:rPr>
        <w:t>.</w:t>
      </w:r>
    </w:p>
    <w:p w14:paraId="38BC79C7" w14:textId="77777777" w:rsidR="00A84CB4" w:rsidRPr="00787A9E" w:rsidRDefault="00A84CB4" w:rsidP="00FD1A00">
      <w:pPr>
        <w:contextualSpacing/>
        <w:rPr>
          <w:sz w:val="26"/>
          <w:szCs w:val="26"/>
        </w:rPr>
      </w:pPr>
    </w:p>
    <w:p w14:paraId="3198A70D" w14:textId="0A2144C4" w:rsidR="00A84CB4" w:rsidRPr="00787A9E" w:rsidRDefault="00A84CB4" w:rsidP="00FD1A00">
      <w:pPr>
        <w:ind w:firstLine="1440"/>
        <w:contextualSpacing/>
        <w:rPr>
          <w:sz w:val="26"/>
          <w:szCs w:val="26"/>
        </w:rPr>
      </w:pPr>
      <w:r w:rsidRPr="00787A9E">
        <w:rPr>
          <w:sz w:val="26"/>
          <w:szCs w:val="26"/>
        </w:rPr>
        <w:t xml:space="preserve">Applying the above to the instant case, the OCA submits that the ALJs erroneously concluded that HVUS needs additional revenue in order to comply with the requirements set forth in the </w:t>
      </w:r>
      <w:r w:rsidRPr="00787A9E">
        <w:rPr>
          <w:i/>
          <w:sz w:val="26"/>
          <w:szCs w:val="26"/>
        </w:rPr>
        <w:t xml:space="preserve">McCloskey Orders.  </w:t>
      </w:r>
      <w:r w:rsidRPr="00787A9E">
        <w:rPr>
          <w:sz w:val="26"/>
          <w:szCs w:val="26"/>
        </w:rPr>
        <w:t>According to the OCA, the current rates that the HVUS customers are paying are based on a legal presumption that they are receiving safe, adequate and reliable water and wastewater service.  As such, the OCA reasons that given the ALJs</w:t>
      </w:r>
      <w:r w:rsidR="00A424DB">
        <w:rPr>
          <w:sz w:val="26"/>
          <w:szCs w:val="26"/>
        </w:rPr>
        <w:t>’</w:t>
      </w:r>
      <w:r w:rsidRPr="00787A9E">
        <w:rPr>
          <w:sz w:val="26"/>
          <w:szCs w:val="26"/>
        </w:rPr>
        <w:t xml:space="preserve"> finding that HVUS is not providing adequate service, there is no basis for granting HVUS an increase to its water or wastewater rates.  OCA Exc. at</w:t>
      </w:r>
      <w:r w:rsidR="00F971EA">
        <w:rPr>
          <w:sz w:val="26"/>
          <w:szCs w:val="26"/>
        </w:rPr>
        <w:t> </w:t>
      </w:r>
      <w:r w:rsidRPr="00787A9E">
        <w:rPr>
          <w:sz w:val="26"/>
          <w:szCs w:val="26"/>
        </w:rPr>
        <w:t xml:space="preserve">3-4. </w:t>
      </w:r>
    </w:p>
    <w:p w14:paraId="484D7CCE" w14:textId="77777777" w:rsidR="00A84CB4" w:rsidRPr="00787A9E" w:rsidRDefault="00A84CB4" w:rsidP="00FD1A00">
      <w:pPr>
        <w:contextualSpacing/>
        <w:rPr>
          <w:sz w:val="26"/>
          <w:szCs w:val="26"/>
        </w:rPr>
      </w:pPr>
    </w:p>
    <w:p w14:paraId="5FB9D7EE" w14:textId="24041F5B" w:rsidR="00A84CB4" w:rsidRPr="00787A9E" w:rsidRDefault="00A84CB4" w:rsidP="00FD1A00">
      <w:pPr>
        <w:ind w:firstLine="1440"/>
        <w:contextualSpacing/>
        <w:rPr>
          <w:sz w:val="26"/>
          <w:szCs w:val="26"/>
        </w:rPr>
      </w:pPr>
      <w:r w:rsidRPr="00787A9E">
        <w:rPr>
          <w:sz w:val="26"/>
          <w:szCs w:val="26"/>
        </w:rPr>
        <w:t xml:space="preserve">The OCA opines that there is no evidence that the additional revenue amounts recommended by the ALJs will be used to comply with the </w:t>
      </w:r>
      <w:r w:rsidRPr="00787A9E">
        <w:rPr>
          <w:i/>
          <w:sz w:val="26"/>
          <w:szCs w:val="26"/>
        </w:rPr>
        <w:t>McCloskey Orders</w:t>
      </w:r>
      <w:r w:rsidRPr="00787A9E">
        <w:rPr>
          <w:sz w:val="26"/>
          <w:szCs w:val="26"/>
        </w:rPr>
        <w:t xml:space="preserve">.  </w:t>
      </w:r>
      <w:r w:rsidRPr="00787A9E">
        <w:rPr>
          <w:sz w:val="26"/>
          <w:szCs w:val="26"/>
        </w:rPr>
        <w:lastRenderedPageBreak/>
        <w:t xml:space="preserve">The OCA emphasizes that the instant rate case utilizes a 2017 </w:t>
      </w:r>
      <w:r w:rsidR="00B840B3" w:rsidRPr="00787A9E">
        <w:rPr>
          <w:sz w:val="26"/>
          <w:szCs w:val="26"/>
        </w:rPr>
        <w:t>HTY</w:t>
      </w:r>
      <w:r w:rsidRPr="00787A9E">
        <w:rPr>
          <w:sz w:val="26"/>
          <w:szCs w:val="26"/>
        </w:rPr>
        <w:t>, and as such, HVUS</w:t>
      </w:r>
      <w:r w:rsidR="00A424DB">
        <w:rPr>
          <w:sz w:val="26"/>
          <w:szCs w:val="26"/>
        </w:rPr>
        <w:t>’</w:t>
      </w:r>
      <w:r w:rsidRPr="00787A9E">
        <w:rPr>
          <w:sz w:val="26"/>
          <w:szCs w:val="26"/>
        </w:rPr>
        <w:t xml:space="preserve">s requested rate relief is devoid of any expenses or capital projects related to improving the service HVUS provides to its customers as directed in the </w:t>
      </w:r>
      <w:r w:rsidRPr="00787A9E">
        <w:rPr>
          <w:i/>
          <w:sz w:val="26"/>
          <w:szCs w:val="26"/>
        </w:rPr>
        <w:t>McCloskey Orders</w:t>
      </w:r>
      <w:r w:rsidRPr="00787A9E">
        <w:rPr>
          <w:sz w:val="26"/>
          <w:szCs w:val="26"/>
        </w:rPr>
        <w:t xml:space="preserve">.  Further, the OCA argues that there is no evidence that HVUS has sought and secured funding or that it will be able to secure funding in the future to make the improvements.  OCA Exc. at 4-7.  The OCA points out that in the </w:t>
      </w:r>
      <w:r w:rsidRPr="00787A9E">
        <w:rPr>
          <w:i/>
          <w:sz w:val="26"/>
          <w:szCs w:val="26"/>
        </w:rPr>
        <w:t xml:space="preserve">January 2019 McCloskey Order, </w:t>
      </w:r>
      <w:r w:rsidRPr="00787A9E">
        <w:rPr>
          <w:sz w:val="26"/>
          <w:szCs w:val="26"/>
        </w:rPr>
        <w:t xml:space="preserve">the Commission recognized this and stated that a Section 529 Proceeding, in which it would investigate whether a mandatory takeover would be appropriate, would be recommended if HVUS did not comply with the deadlines set forth in the </w:t>
      </w:r>
      <w:r w:rsidRPr="00787A9E">
        <w:rPr>
          <w:i/>
          <w:sz w:val="26"/>
          <w:szCs w:val="26"/>
        </w:rPr>
        <w:t xml:space="preserve">January 2018 McCloskey Order </w:t>
      </w:r>
      <w:r w:rsidRPr="00787A9E">
        <w:rPr>
          <w:sz w:val="26"/>
          <w:szCs w:val="26"/>
        </w:rPr>
        <w:t xml:space="preserve">and the </w:t>
      </w:r>
      <w:r w:rsidRPr="00787A9E">
        <w:rPr>
          <w:i/>
          <w:sz w:val="26"/>
          <w:szCs w:val="26"/>
        </w:rPr>
        <w:t>May 2018 McCloskey Order.</w:t>
      </w:r>
      <w:r w:rsidRPr="00787A9E">
        <w:rPr>
          <w:sz w:val="26"/>
          <w:szCs w:val="26"/>
        </w:rPr>
        <w:t xml:space="preserve">  OCA Exc. at</w:t>
      </w:r>
      <w:r w:rsidR="002E3F91">
        <w:rPr>
          <w:sz w:val="26"/>
          <w:szCs w:val="26"/>
        </w:rPr>
        <w:t> </w:t>
      </w:r>
      <w:r w:rsidRPr="00787A9E">
        <w:rPr>
          <w:sz w:val="26"/>
          <w:szCs w:val="26"/>
        </w:rPr>
        <w:t xml:space="preserve">6-7 </w:t>
      </w:r>
      <w:r w:rsidR="00582C1C" w:rsidRPr="00787A9E">
        <w:rPr>
          <w:sz w:val="26"/>
          <w:szCs w:val="26"/>
        </w:rPr>
        <w:t>(</w:t>
      </w:r>
      <w:r w:rsidRPr="00787A9E">
        <w:rPr>
          <w:sz w:val="26"/>
          <w:szCs w:val="26"/>
        </w:rPr>
        <w:t xml:space="preserve">citing </w:t>
      </w:r>
      <w:r w:rsidRPr="00787A9E">
        <w:rPr>
          <w:i/>
          <w:sz w:val="26"/>
          <w:szCs w:val="26"/>
        </w:rPr>
        <w:t xml:space="preserve">January 2019 McCloskey Order </w:t>
      </w:r>
      <w:r w:rsidRPr="00787A9E">
        <w:rPr>
          <w:sz w:val="26"/>
          <w:szCs w:val="26"/>
        </w:rPr>
        <w:t>at 31</w:t>
      </w:r>
      <w:r w:rsidR="00582C1C" w:rsidRPr="00787A9E">
        <w:rPr>
          <w:sz w:val="26"/>
          <w:szCs w:val="26"/>
        </w:rPr>
        <w:t>)</w:t>
      </w:r>
      <w:r w:rsidRPr="00787A9E">
        <w:rPr>
          <w:sz w:val="26"/>
          <w:szCs w:val="26"/>
        </w:rPr>
        <w:t>.</w:t>
      </w:r>
    </w:p>
    <w:p w14:paraId="779DB148" w14:textId="77777777" w:rsidR="00A84CB4" w:rsidRPr="00787A9E" w:rsidRDefault="00A84CB4" w:rsidP="00FD1A00">
      <w:pPr>
        <w:contextualSpacing/>
        <w:rPr>
          <w:sz w:val="26"/>
          <w:szCs w:val="26"/>
        </w:rPr>
      </w:pPr>
    </w:p>
    <w:p w14:paraId="77A6FF9A" w14:textId="51D4D493" w:rsidR="00A84CB4" w:rsidRPr="00787A9E" w:rsidRDefault="00A84CB4" w:rsidP="00FD1A00">
      <w:pPr>
        <w:ind w:firstLine="1440"/>
        <w:contextualSpacing/>
        <w:rPr>
          <w:sz w:val="26"/>
          <w:szCs w:val="26"/>
        </w:rPr>
      </w:pPr>
      <w:r w:rsidRPr="00787A9E">
        <w:rPr>
          <w:sz w:val="26"/>
          <w:szCs w:val="26"/>
        </w:rPr>
        <w:t>In its Second Exception, the OCA points out that although the resulting rate of return is not provided with the Non-Unanimous Settlement, the resulting revenue increases are higher than the revenue increases indicated by I&amp;E</w:t>
      </w:r>
      <w:r w:rsidR="00A424DB">
        <w:rPr>
          <w:sz w:val="26"/>
          <w:szCs w:val="26"/>
        </w:rPr>
        <w:t>’</w:t>
      </w:r>
      <w:r w:rsidRPr="00787A9E">
        <w:rPr>
          <w:sz w:val="26"/>
          <w:szCs w:val="26"/>
        </w:rPr>
        <w:t>s primary litigation position wherein it advocated for a 0.00% return on equity.  The OCA elaborates that in its testimony, I&amp;E</w:t>
      </w:r>
      <w:r w:rsidR="00A424DB">
        <w:rPr>
          <w:sz w:val="26"/>
          <w:szCs w:val="26"/>
        </w:rPr>
        <w:t>’</w:t>
      </w:r>
      <w:r w:rsidRPr="00787A9E">
        <w:rPr>
          <w:sz w:val="26"/>
          <w:szCs w:val="26"/>
        </w:rPr>
        <w:t>s recommended revenue increases using a 0.00% return on equity were $57,753 for water and $69,175 for wastewater.  As such, the OCA argues that because the Non</w:t>
      </w:r>
      <w:r w:rsidRPr="00787A9E">
        <w:rPr>
          <w:sz w:val="26"/>
          <w:szCs w:val="26"/>
        </w:rPr>
        <w:noBreakHyphen/>
        <w:t xml:space="preserve">Unanimous Settlement allows for increases greater than these amounts, it appears that the revenue requirements provide HVUS with a positive return on equity.  OCA Exc. at 7, n.4 </w:t>
      </w:r>
      <w:r w:rsidR="00582C1C" w:rsidRPr="00787A9E">
        <w:rPr>
          <w:sz w:val="26"/>
          <w:szCs w:val="26"/>
        </w:rPr>
        <w:t>(</w:t>
      </w:r>
      <w:r w:rsidRPr="00787A9E">
        <w:rPr>
          <w:sz w:val="26"/>
          <w:szCs w:val="26"/>
        </w:rPr>
        <w:t>citing I&amp;E St. No. 1 (W</w:t>
      </w:r>
      <w:r w:rsidR="00727C1A" w:rsidRPr="00787A9E">
        <w:rPr>
          <w:sz w:val="26"/>
          <w:szCs w:val="26"/>
        </w:rPr>
        <w:t>ater</w:t>
      </w:r>
      <w:r w:rsidRPr="00787A9E">
        <w:rPr>
          <w:sz w:val="26"/>
          <w:szCs w:val="26"/>
        </w:rPr>
        <w:t xml:space="preserve">) at 3 </w:t>
      </w:r>
      <w:r w:rsidR="00582C1C" w:rsidRPr="00787A9E">
        <w:rPr>
          <w:sz w:val="26"/>
          <w:szCs w:val="26"/>
        </w:rPr>
        <w:t xml:space="preserve">and </w:t>
      </w:r>
      <w:r w:rsidRPr="00787A9E">
        <w:rPr>
          <w:sz w:val="26"/>
          <w:szCs w:val="26"/>
        </w:rPr>
        <w:t>I&amp;E St. No. 1 (</w:t>
      </w:r>
      <w:r w:rsidR="00727C1A" w:rsidRPr="00787A9E">
        <w:rPr>
          <w:sz w:val="26"/>
          <w:szCs w:val="26"/>
        </w:rPr>
        <w:t>Wastewater</w:t>
      </w:r>
      <w:r w:rsidRPr="00787A9E">
        <w:rPr>
          <w:sz w:val="26"/>
          <w:szCs w:val="26"/>
        </w:rPr>
        <w:t>) at</w:t>
      </w:r>
      <w:r w:rsidR="002E3F91">
        <w:rPr>
          <w:sz w:val="26"/>
          <w:szCs w:val="26"/>
        </w:rPr>
        <w:t> </w:t>
      </w:r>
      <w:r w:rsidRPr="00787A9E">
        <w:rPr>
          <w:sz w:val="26"/>
          <w:szCs w:val="26"/>
        </w:rPr>
        <w:t>3</w:t>
      </w:r>
      <w:r w:rsidR="00582C1C" w:rsidRPr="00787A9E">
        <w:rPr>
          <w:sz w:val="26"/>
          <w:szCs w:val="26"/>
        </w:rPr>
        <w:t>)</w:t>
      </w:r>
      <w:r w:rsidRPr="00787A9E">
        <w:rPr>
          <w:sz w:val="26"/>
          <w:szCs w:val="26"/>
        </w:rPr>
        <w:t>.  However, the OCA contends that even if the revenue requirement results in no return on equity, the Code requires that the utility invest in the capital needed to provide adequate service and then receive rates that reflect the utility</w:t>
      </w:r>
      <w:r w:rsidR="00A424DB">
        <w:rPr>
          <w:sz w:val="26"/>
          <w:szCs w:val="26"/>
        </w:rPr>
        <w:t>’</w:t>
      </w:r>
      <w:r w:rsidRPr="00787A9E">
        <w:rPr>
          <w:sz w:val="26"/>
          <w:szCs w:val="26"/>
        </w:rPr>
        <w:t xml:space="preserve">s used and useful, prudent investments before receiving rate increases related to the investments.  Citing to </w:t>
      </w:r>
      <w:r w:rsidRPr="00787A9E">
        <w:rPr>
          <w:i/>
          <w:sz w:val="26"/>
          <w:szCs w:val="26"/>
        </w:rPr>
        <w:t>PG&amp;W 1986</w:t>
      </w:r>
      <w:r w:rsidRPr="00787A9E">
        <w:rPr>
          <w:sz w:val="26"/>
          <w:szCs w:val="26"/>
        </w:rPr>
        <w:t xml:space="preserve"> and </w:t>
      </w:r>
      <w:r w:rsidRPr="00787A9E">
        <w:rPr>
          <w:i/>
          <w:sz w:val="26"/>
          <w:szCs w:val="26"/>
        </w:rPr>
        <w:t>PG&amp;W 1988</w:t>
      </w:r>
      <w:r w:rsidRPr="00787A9E">
        <w:rPr>
          <w:sz w:val="26"/>
          <w:szCs w:val="26"/>
        </w:rPr>
        <w:t xml:space="preserve">, the OCA restates its position that this will ensure that the rates are not increased while service is inadequate and that the utility will actually make the investments and improve service before receiving additional revenues.  According to the OCA, to do otherwise would be in conflict with the Code.  Therefore, the OCA maintains </w:t>
      </w:r>
      <w:r w:rsidRPr="00787A9E">
        <w:rPr>
          <w:sz w:val="26"/>
          <w:szCs w:val="26"/>
        </w:rPr>
        <w:lastRenderedPageBreak/>
        <w:t xml:space="preserve">its position that there is no support for HVUS to increase its rates when it is not providing adequate service.  OCA Exc. at 7-10. </w:t>
      </w:r>
    </w:p>
    <w:p w14:paraId="5CA8BF3D" w14:textId="77777777" w:rsidR="00A84CB4" w:rsidRPr="00787A9E" w:rsidRDefault="00A84CB4" w:rsidP="00FD1A00">
      <w:pPr>
        <w:ind w:firstLine="1440"/>
        <w:contextualSpacing/>
        <w:rPr>
          <w:sz w:val="26"/>
          <w:szCs w:val="26"/>
        </w:rPr>
      </w:pPr>
    </w:p>
    <w:p w14:paraId="50BD7095" w14:textId="33ABEBD5" w:rsidR="00A84CB4" w:rsidRPr="00787A9E" w:rsidRDefault="00A84CB4" w:rsidP="00FD1A00">
      <w:pPr>
        <w:ind w:firstLine="1440"/>
        <w:contextualSpacing/>
        <w:rPr>
          <w:sz w:val="26"/>
          <w:szCs w:val="26"/>
        </w:rPr>
      </w:pPr>
      <w:r w:rsidRPr="00787A9E">
        <w:rPr>
          <w:sz w:val="26"/>
          <w:szCs w:val="26"/>
        </w:rPr>
        <w:t>In its Reply to the OCA</w:t>
      </w:r>
      <w:r w:rsidR="00A424DB">
        <w:rPr>
          <w:sz w:val="26"/>
          <w:szCs w:val="26"/>
        </w:rPr>
        <w:t>’</w:t>
      </w:r>
      <w:r w:rsidRPr="00787A9E">
        <w:rPr>
          <w:sz w:val="26"/>
          <w:szCs w:val="26"/>
        </w:rPr>
        <w:t>s Exceptions, HVUS argues that the Non</w:t>
      </w:r>
      <w:r w:rsidR="002E3F91">
        <w:rPr>
          <w:sz w:val="26"/>
          <w:szCs w:val="26"/>
        </w:rPr>
        <w:t>-</w:t>
      </w:r>
      <w:r w:rsidRPr="00787A9E">
        <w:rPr>
          <w:sz w:val="26"/>
          <w:szCs w:val="26"/>
        </w:rPr>
        <w:t>Unanimous Settlement represents a significant decrease to HVUS</w:t>
      </w:r>
      <w:r w:rsidR="00A424DB">
        <w:rPr>
          <w:sz w:val="26"/>
          <w:szCs w:val="26"/>
        </w:rPr>
        <w:t>’</w:t>
      </w:r>
      <w:r w:rsidRPr="00787A9E">
        <w:rPr>
          <w:sz w:val="26"/>
          <w:szCs w:val="26"/>
        </w:rPr>
        <w:t>s original request for rate relief for both its water and wastewater services.  Therefore, HVUS frames the issue in this proceeding to be whether HVUS</w:t>
      </w:r>
      <w:r w:rsidR="00A424DB">
        <w:rPr>
          <w:sz w:val="26"/>
          <w:szCs w:val="26"/>
        </w:rPr>
        <w:t>’</w:t>
      </w:r>
      <w:r w:rsidRPr="00787A9E">
        <w:rPr>
          <w:sz w:val="26"/>
          <w:szCs w:val="26"/>
        </w:rPr>
        <w:t>s request for rate relief should be reduced further beyond the reduction agreed upon in the Settlement, based on the Company</w:t>
      </w:r>
      <w:r w:rsidR="00A424DB">
        <w:rPr>
          <w:sz w:val="26"/>
          <w:szCs w:val="26"/>
        </w:rPr>
        <w:t>’</w:t>
      </w:r>
      <w:r w:rsidRPr="00787A9E">
        <w:rPr>
          <w:sz w:val="26"/>
          <w:szCs w:val="26"/>
        </w:rPr>
        <w:t xml:space="preserve">s quality of service.  HVUS </w:t>
      </w:r>
      <w:r w:rsidR="00BC4CF6" w:rsidRPr="00787A9E">
        <w:rPr>
          <w:sz w:val="26"/>
          <w:szCs w:val="26"/>
        </w:rPr>
        <w:t>restates its</w:t>
      </w:r>
      <w:r w:rsidRPr="00787A9E">
        <w:rPr>
          <w:sz w:val="26"/>
          <w:szCs w:val="26"/>
        </w:rPr>
        <w:t xml:space="preserve"> position that Sections 523 and 526 of the Code give the Commission discretion over whether to deny a utility</w:t>
      </w:r>
      <w:r w:rsidR="00A424DB">
        <w:rPr>
          <w:sz w:val="26"/>
          <w:szCs w:val="26"/>
        </w:rPr>
        <w:t>’</w:t>
      </w:r>
      <w:r w:rsidRPr="00787A9E">
        <w:rPr>
          <w:sz w:val="26"/>
          <w:szCs w:val="26"/>
        </w:rPr>
        <w:t>s rate increase, in whole or in part, based on the quality of service.  According to HVUS, this is analogous to when the Commission considers a variety of factors when deciding the amount (if any) of a civil penalty</w:t>
      </w:r>
      <w:r w:rsidR="00344DFC" w:rsidRPr="00787A9E">
        <w:rPr>
          <w:sz w:val="26"/>
          <w:szCs w:val="26"/>
        </w:rPr>
        <w:t xml:space="preserve"> to assess on a utility</w:t>
      </w:r>
      <w:r w:rsidRPr="00787A9E">
        <w:rPr>
          <w:sz w:val="26"/>
          <w:szCs w:val="26"/>
        </w:rPr>
        <w:t xml:space="preserve"> for violating the C</w:t>
      </w:r>
      <w:bookmarkStart w:id="21" w:name="_BA_Cite_6BD0D4_001089"/>
      <w:bookmarkEnd w:id="21"/>
      <w:r w:rsidRPr="00787A9E">
        <w:rPr>
          <w:sz w:val="26"/>
          <w:szCs w:val="26"/>
        </w:rPr>
        <w:t>ode, a Commission regulation or order pursuant to 5</w:t>
      </w:r>
      <w:bookmarkStart w:id="22" w:name="_BA_Cite_6BD0D4_000957"/>
      <w:bookmarkEnd w:id="22"/>
      <w:r w:rsidRPr="00787A9E">
        <w:rPr>
          <w:sz w:val="26"/>
          <w:szCs w:val="26"/>
        </w:rPr>
        <w:t>2 Pa. Code § 69.1201</w:t>
      </w:r>
      <w:r w:rsidR="00BC4CF6" w:rsidRPr="00787A9E">
        <w:rPr>
          <w:sz w:val="26"/>
          <w:szCs w:val="26"/>
        </w:rPr>
        <w:t xml:space="preserve">, </w:t>
      </w:r>
      <w:r w:rsidR="00BC4CF6" w:rsidRPr="00787A9E">
        <w:rPr>
          <w:i/>
          <w:sz w:val="26"/>
          <w:szCs w:val="26"/>
        </w:rPr>
        <w:t>supra.</w:t>
      </w:r>
      <w:r w:rsidRPr="00787A9E">
        <w:rPr>
          <w:sz w:val="26"/>
          <w:szCs w:val="26"/>
        </w:rPr>
        <w:t xml:space="preserve">  HVUS R. Exc. at 3-4.</w:t>
      </w:r>
    </w:p>
    <w:p w14:paraId="2D3201BA" w14:textId="77777777" w:rsidR="003A6BC4" w:rsidRPr="00787A9E" w:rsidRDefault="003A6BC4" w:rsidP="00FD1A00">
      <w:pPr>
        <w:ind w:firstLine="1440"/>
        <w:contextualSpacing/>
        <w:rPr>
          <w:sz w:val="26"/>
          <w:szCs w:val="26"/>
        </w:rPr>
      </w:pPr>
    </w:p>
    <w:p w14:paraId="0358BF23" w14:textId="6EE3FA1F" w:rsidR="00A84CB4" w:rsidRPr="00787A9E" w:rsidRDefault="00A84CB4" w:rsidP="00FD1A00">
      <w:pPr>
        <w:ind w:firstLine="1440"/>
        <w:contextualSpacing/>
        <w:rPr>
          <w:sz w:val="26"/>
          <w:szCs w:val="26"/>
        </w:rPr>
      </w:pPr>
      <w:r w:rsidRPr="00787A9E">
        <w:rPr>
          <w:sz w:val="26"/>
          <w:szCs w:val="26"/>
        </w:rPr>
        <w:t xml:space="preserve">Namely, HVUS </w:t>
      </w:r>
      <w:r w:rsidR="00344DFC" w:rsidRPr="00787A9E">
        <w:rPr>
          <w:sz w:val="26"/>
          <w:szCs w:val="26"/>
        </w:rPr>
        <w:t xml:space="preserve">argues that the Commission should consider </w:t>
      </w:r>
      <w:r w:rsidRPr="00787A9E">
        <w:rPr>
          <w:sz w:val="26"/>
          <w:szCs w:val="26"/>
        </w:rPr>
        <w:t>the following factors and standards when determining whether to deny a rate increase, in whole or in part, based on the utility</w:t>
      </w:r>
      <w:r w:rsidR="00A424DB">
        <w:rPr>
          <w:sz w:val="26"/>
          <w:szCs w:val="26"/>
        </w:rPr>
        <w:t>’</w:t>
      </w:r>
      <w:r w:rsidRPr="00787A9E">
        <w:rPr>
          <w:sz w:val="26"/>
          <w:szCs w:val="26"/>
        </w:rPr>
        <w:t>s quality of service: (1) the seriousness of the deficiency; (2)</w:t>
      </w:r>
      <w:r w:rsidR="002E3F91">
        <w:rPr>
          <w:sz w:val="26"/>
          <w:szCs w:val="26"/>
        </w:rPr>
        <w:t> </w:t>
      </w:r>
      <w:r w:rsidRPr="00787A9E">
        <w:rPr>
          <w:sz w:val="26"/>
          <w:szCs w:val="26"/>
        </w:rPr>
        <w:t>the seriousness of the consequences for customers; (3) the Company</w:t>
      </w:r>
      <w:r w:rsidR="00A424DB">
        <w:rPr>
          <w:sz w:val="26"/>
          <w:szCs w:val="26"/>
        </w:rPr>
        <w:t>’</w:t>
      </w:r>
      <w:r w:rsidRPr="00787A9E">
        <w:rPr>
          <w:sz w:val="26"/>
          <w:szCs w:val="26"/>
        </w:rPr>
        <w:t>s compliance history; (4) the Company</w:t>
      </w:r>
      <w:r w:rsidR="00A424DB">
        <w:rPr>
          <w:sz w:val="26"/>
          <w:szCs w:val="26"/>
        </w:rPr>
        <w:t>’</w:t>
      </w:r>
      <w:r w:rsidRPr="00787A9E">
        <w:rPr>
          <w:sz w:val="26"/>
          <w:szCs w:val="26"/>
        </w:rPr>
        <w:t>s efforts to address the conduct at issue and prevent similar conduct in the future; (5) consequences of the Commission</w:t>
      </w:r>
      <w:r w:rsidR="00A424DB">
        <w:rPr>
          <w:sz w:val="26"/>
          <w:szCs w:val="26"/>
        </w:rPr>
        <w:t>’</w:t>
      </w:r>
      <w:r w:rsidRPr="00787A9E">
        <w:rPr>
          <w:sz w:val="26"/>
          <w:szCs w:val="26"/>
        </w:rPr>
        <w:t xml:space="preserve">s Decision; (6) the Constitutional rights of the utility; (7) the need for deterrence; (8) consistency with prior Commission decisions; and (9) </w:t>
      </w:r>
      <w:r w:rsidR="00B70B2D" w:rsidRPr="00787A9E">
        <w:rPr>
          <w:sz w:val="26"/>
          <w:szCs w:val="26"/>
        </w:rPr>
        <w:t>o</w:t>
      </w:r>
      <w:r w:rsidRPr="00787A9E">
        <w:rPr>
          <w:sz w:val="26"/>
          <w:szCs w:val="26"/>
        </w:rPr>
        <w:t>ther relevant factors.  HVUS submits that, on balance, when applied to the instant case, these factors and standards demonstrate that the Commission should not further reduce the Company</w:t>
      </w:r>
      <w:r w:rsidR="00A424DB">
        <w:rPr>
          <w:sz w:val="26"/>
          <w:szCs w:val="26"/>
        </w:rPr>
        <w:t>’</w:t>
      </w:r>
      <w:r w:rsidRPr="00787A9E">
        <w:rPr>
          <w:sz w:val="26"/>
          <w:szCs w:val="26"/>
        </w:rPr>
        <w:t>s rate relief.  HVUS restates its position that the Non</w:t>
      </w:r>
      <w:r w:rsidR="003F327F">
        <w:rPr>
          <w:sz w:val="26"/>
          <w:szCs w:val="26"/>
        </w:rPr>
        <w:noBreakHyphen/>
      </w:r>
      <w:r w:rsidRPr="00787A9E">
        <w:rPr>
          <w:sz w:val="26"/>
          <w:szCs w:val="26"/>
        </w:rPr>
        <w:t>Unanimous Settlement appropriately balances the interests of customers and the C</w:t>
      </w:r>
      <w:bookmarkStart w:id="23" w:name="_BA_Cite_6BD0D4_001125"/>
      <w:bookmarkEnd w:id="23"/>
      <w:r w:rsidRPr="00787A9E">
        <w:rPr>
          <w:sz w:val="26"/>
          <w:szCs w:val="26"/>
        </w:rPr>
        <w:t>ompany by reducing the water and wastewater rate increases, appropriately reflecting the Commission</w:t>
      </w:r>
      <w:r w:rsidR="00A424DB">
        <w:rPr>
          <w:sz w:val="26"/>
          <w:szCs w:val="26"/>
        </w:rPr>
        <w:t>’</w:t>
      </w:r>
      <w:r w:rsidRPr="00787A9E">
        <w:rPr>
          <w:sz w:val="26"/>
          <w:szCs w:val="26"/>
        </w:rPr>
        <w:t xml:space="preserve">s findings and enforcement mechanisms in the </w:t>
      </w:r>
      <w:r w:rsidRPr="00787A9E">
        <w:rPr>
          <w:i/>
          <w:sz w:val="26"/>
          <w:szCs w:val="26"/>
        </w:rPr>
        <w:t>M</w:t>
      </w:r>
      <w:bookmarkStart w:id="24" w:name="_BA_Cite_6BD0D4_001076"/>
      <w:bookmarkEnd w:id="24"/>
      <w:r w:rsidRPr="00787A9E">
        <w:rPr>
          <w:i/>
          <w:sz w:val="26"/>
          <w:szCs w:val="26"/>
        </w:rPr>
        <w:t xml:space="preserve">cCloskey Orders, </w:t>
      </w:r>
      <w:r w:rsidRPr="00787A9E">
        <w:rPr>
          <w:sz w:val="26"/>
          <w:szCs w:val="26"/>
        </w:rPr>
        <w:t xml:space="preserve">while also permitting the Company to cover the cost of providing service.  HVUS reemphasizes </w:t>
      </w:r>
      <w:r w:rsidRPr="00787A9E">
        <w:rPr>
          <w:sz w:val="26"/>
          <w:szCs w:val="26"/>
        </w:rPr>
        <w:lastRenderedPageBreak/>
        <w:t xml:space="preserve">that the Settlement appropriately differentiates between the rates that can be charged for water service as compared to wastewater service, based on the quality of each type of service being provided.  HVUS states that once the Company complies with the </w:t>
      </w:r>
      <w:r w:rsidRPr="00787A9E">
        <w:rPr>
          <w:i/>
          <w:sz w:val="26"/>
          <w:szCs w:val="26"/>
        </w:rPr>
        <w:t>M</w:t>
      </w:r>
      <w:bookmarkStart w:id="25" w:name="_BA_Cite_6BD0D4_001079"/>
      <w:bookmarkEnd w:id="25"/>
      <w:r w:rsidRPr="00787A9E">
        <w:rPr>
          <w:i/>
          <w:sz w:val="26"/>
          <w:szCs w:val="26"/>
        </w:rPr>
        <w:t>cCloskey Orders</w:t>
      </w:r>
      <w:r w:rsidR="00A424DB">
        <w:rPr>
          <w:i/>
          <w:sz w:val="26"/>
          <w:szCs w:val="26"/>
        </w:rPr>
        <w:t>’</w:t>
      </w:r>
      <w:r w:rsidRPr="00787A9E">
        <w:rPr>
          <w:sz w:val="26"/>
          <w:szCs w:val="26"/>
        </w:rPr>
        <w:t xml:space="preserve"> requirements for the wastewater system, the Non-Unanimous Settlement presumes that the Company will be providing reasonable and adequate service in compliance with the C</w:t>
      </w:r>
      <w:bookmarkStart w:id="26" w:name="_BA_Cite_6BD0D4_001099"/>
      <w:bookmarkEnd w:id="26"/>
      <w:r w:rsidRPr="00787A9E">
        <w:rPr>
          <w:sz w:val="26"/>
          <w:szCs w:val="26"/>
        </w:rPr>
        <w:t>ode.  Therefore, HVUS submits that there is no basis under S</w:t>
      </w:r>
      <w:bookmarkStart w:id="27" w:name="_BA_Cite_6BD0D4_001149"/>
      <w:bookmarkEnd w:id="27"/>
      <w:r w:rsidRPr="00787A9E">
        <w:rPr>
          <w:sz w:val="26"/>
          <w:szCs w:val="26"/>
        </w:rPr>
        <w:t>ection 523 and 526 of the Code to further reduce the Company</w:t>
      </w:r>
      <w:r w:rsidR="00A424DB">
        <w:rPr>
          <w:sz w:val="26"/>
          <w:szCs w:val="26"/>
        </w:rPr>
        <w:t>’</w:t>
      </w:r>
      <w:r w:rsidRPr="00787A9E">
        <w:rPr>
          <w:sz w:val="26"/>
          <w:szCs w:val="26"/>
        </w:rPr>
        <w:t>s requested water and wastewater increases</w:t>
      </w:r>
      <w:r w:rsidR="00EB4BAC" w:rsidRPr="00787A9E">
        <w:rPr>
          <w:sz w:val="26"/>
          <w:szCs w:val="26"/>
        </w:rPr>
        <w:t xml:space="preserve"> beyond </w:t>
      </w:r>
      <w:r w:rsidR="00F85B7B" w:rsidRPr="00787A9E">
        <w:rPr>
          <w:sz w:val="26"/>
          <w:szCs w:val="26"/>
        </w:rPr>
        <w:t>the reductions agreed upon in the Non-Unanimous Settlement</w:t>
      </w:r>
      <w:r w:rsidRPr="00787A9E">
        <w:rPr>
          <w:sz w:val="26"/>
          <w:szCs w:val="26"/>
        </w:rPr>
        <w:t xml:space="preserve">.  </w:t>
      </w:r>
      <w:r w:rsidR="0091783E" w:rsidRPr="00787A9E">
        <w:rPr>
          <w:sz w:val="26"/>
          <w:szCs w:val="26"/>
        </w:rPr>
        <w:t>Moreover,</w:t>
      </w:r>
      <w:r w:rsidRPr="00787A9E">
        <w:rPr>
          <w:sz w:val="26"/>
          <w:szCs w:val="26"/>
        </w:rPr>
        <w:t xml:space="preserve"> HVUS contends that a complete denial of rate relief would virtually ensure that its customers would receive no improvement in service for the foreseeable future.  HVUS R. Exc. at 3-19</w:t>
      </w:r>
      <w:r w:rsidR="0091783E" w:rsidRPr="00787A9E">
        <w:rPr>
          <w:sz w:val="26"/>
          <w:szCs w:val="26"/>
        </w:rPr>
        <w:t>.</w:t>
      </w:r>
    </w:p>
    <w:p w14:paraId="7EA94AC6" w14:textId="77777777" w:rsidR="00A84CB4" w:rsidRPr="00787A9E" w:rsidRDefault="00A84CB4" w:rsidP="00FD1A00">
      <w:pPr>
        <w:contextualSpacing/>
        <w:rPr>
          <w:sz w:val="26"/>
          <w:szCs w:val="26"/>
        </w:rPr>
      </w:pPr>
    </w:p>
    <w:p w14:paraId="3FA67C73" w14:textId="587050E1" w:rsidR="00A84CB4" w:rsidRPr="00787A9E" w:rsidRDefault="00A84CB4" w:rsidP="00FD1A00">
      <w:pPr>
        <w:ind w:firstLine="1440"/>
        <w:contextualSpacing/>
        <w:rPr>
          <w:sz w:val="26"/>
          <w:szCs w:val="26"/>
        </w:rPr>
      </w:pPr>
      <w:r w:rsidRPr="00787A9E">
        <w:rPr>
          <w:sz w:val="26"/>
          <w:szCs w:val="26"/>
        </w:rPr>
        <w:t xml:space="preserve">Additionally, HVUS claims that the OCA has erroneously relied on </w:t>
      </w:r>
      <w:r w:rsidRPr="00787A9E">
        <w:rPr>
          <w:i/>
          <w:sz w:val="26"/>
          <w:szCs w:val="26"/>
        </w:rPr>
        <w:t>PG&amp;W 1986</w:t>
      </w:r>
      <w:r w:rsidRPr="00787A9E">
        <w:rPr>
          <w:sz w:val="26"/>
          <w:szCs w:val="26"/>
        </w:rPr>
        <w:t xml:space="preserve"> and </w:t>
      </w:r>
      <w:r w:rsidRPr="00787A9E">
        <w:rPr>
          <w:i/>
          <w:sz w:val="26"/>
          <w:szCs w:val="26"/>
        </w:rPr>
        <w:t xml:space="preserve">PG&amp;W 1988 </w:t>
      </w:r>
      <w:r w:rsidRPr="00787A9E">
        <w:rPr>
          <w:sz w:val="26"/>
          <w:szCs w:val="26"/>
        </w:rPr>
        <w:t xml:space="preserve">to support a faulty premise that the Commission is required to deny HVUS any increase in rates.  Rather, HVUS contends that the Commission has applied Sections 523 and 526 of the Code in many decisions since the release of its Order in </w:t>
      </w:r>
      <w:r w:rsidRPr="00787A9E">
        <w:rPr>
          <w:i/>
          <w:sz w:val="26"/>
          <w:szCs w:val="26"/>
        </w:rPr>
        <w:t>PG&amp;W 1988,</w:t>
      </w:r>
      <w:r w:rsidRPr="00787A9E">
        <w:rPr>
          <w:sz w:val="26"/>
          <w:szCs w:val="26"/>
        </w:rPr>
        <w:t xml:space="preserve"> which reinforces that the Commission considers a variety of factors and standards when deciding whether to decrease a utility</w:t>
      </w:r>
      <w:r w:rsidR="00A424DB">
        <w:rPr>
          <w:sz w:val="26"/>
          <w:szCs w:val="26"/>
        </w:rPr>
        <w:t>’</w:t>
      </w:r>
      <w:r w:rsidRPr="00787A9E">
        <w:rPr>
          <w:sz w:val="26"/>
          <w:szCs w:val="26"/>
        </w:rPr>
        <w:t xml:space="preserve">s request for rate relief.  Further, HVUS submits that in </w:t>
      </w:r>
      <w:r w:rsidRPr="00787A9E">
        <w:rPr>
          <w:i/>
          <w:sz w:val="26"/>
          <w:szCs w:val="26"/>
        </w:rPr>
        <w:t xml:space="preserve">PG&amp;W 1986 </w:t>
      </w:r>
      <w:r w:rsidRPr="00787A9E">
        <w:rPr>
          <w:sz w:val="26"/>
          <w:szCs w:val="26"/>
        </w:rPr>
        <w:t xml:space="preserve">and </w:t>
      </w:r>
      <w:r w:rsidRPr="00787A9E">
        <w:rPr>
          <w:i/>
          <w:sz w:val="26"/>
          <w:szCs w:val="26"/>
        </w:rPr>
        <w:t xml:space="preserve">PG&amp;W 1988, </w:t>
      </w:r>
      <w:r w:rsidRPr="00787A9E">
        <w:rPr>
          <w:sz w:val="26"/>
          <w:szCs w:val="26"/>
        </w:rPr>
        <w:t>the Commission denied a rate increase to a large company that had the financial means to make the necessary improvements in service without a rate increase.  In contrast, HVUS argues that it is a small company that consistently generates a negative net operating income available for return.  As such, HVUS maintains that a complete denial of rate relief will not allow the Company to even cover the costs of providing service.  Accordingly, HVUS submits that the Commission should deny the OCA</w:t>
      </w:r>
      <w:r w:rsidR="00A424DB">
        <w:rPr>
          <w:sz w:val="26"/>
          <w:szCs w:val="26"/>
        </w:rPr>
        <w:t>’</w:t>
      </w:r>
      <w:r w:rsidRPr="00787A9E">
        <w:rPr>
          <w:sz w:val="26"/>
          <w:szCs w:val="26"/>
        </w:rPr>
        <w:t>s Exceptions and its related request to apply only the Commission</w:t>
      </w:r>
      <w:r w:rsidR="00A424DB">
        <w:rPr>
          <w:sz w:val="26"/>
          <w:szCs w:val="26"/>
        </w:rPr>
        <w:t>’</w:t>
      </w:r>
      <w:r w:rsidRPr="00787A9E">
        <w:rPr>
          <w:sz w:val="26"/>
          <w:szCs w:val="26"/>
        </w:rPr>
        <w:t xml:space="preserve">s decisions in </w:t>
      </w:r>
      <w:r w:rsidRPr="00787A9E">
        <w:rPr>
          <w:i/>
          <w:sz w:val="26"/>
          <w:szCs w:val="26"/>
        </w:rPr>
        <w:t xml:space="preserve">PG&amp;W 1986 </w:t>
      </w:r>
      <w:r w:rsidRPr="00787A9E">
        <w:rPr>
          <w:sz w:val="26"/>
          <w:szCs w:val="26"/>
        </w:rPr>
        <w:t xml:space="preserve">and </w:t>
      </w:r>
      <w:r w:rsidRPr="00787A9E">
        <w:rPr>
          <w:i/>
          <w:sz w:val="26"/>
          <w:szCs w:val="26"/>
        </w:rPr>
        <w:t xml:space="preserve">PG&amp;W 1988 </w:t>
      </w:r>
      <w:r w:rsidRPr="00787A9E">
        <w:rPr>
          <w:sz w:val="26"/>
          <w:szCs w:val="26"/>
        </w:rPr>
        <w:t>to the instant proceeding.  HVUS R. Exc. at 3</w:t>
      </w:r>
      <w:r w:rsidRPr="00787A9E">
        <w:rPr>
          <w:sz w:val="26"/>
          <w:szCs w:val="26"/>
        </w:rPr>
        <w:noBreakHyphen/>
        <w:t>4.</w:t>
      </w:r>
    </w:p>
    <w:p w14:paraId="71011E9E" w14:textId="77777777" w:rsidR="00A84CB4" w:rsidRPr="00787A9E" w:rsidRDefault="00A84CB4" w:rsidP="00FD1A00">
      <w:pPr>
        <w:ind w:firstLine="1440"/>
        <w:contextualSpacing/>
        <w:rPr>
          <w:sz w:val="26"/>
          <w:szCs w:val="26"/>
        </w:rPr>
      </w:pPr>
    </w:p>
    <w:p w14:paraId="5300813E" w14:textId="60C75496" w:rsidR="00A84CB4" w:rsidRPr="00787A9E" w:rsidRDefault="00A84CB4" w:rsidP="00FD1A00">
      <w:pPr>
        <w:ind w:firstLine="1440"/>
        <w:contextualSpacing/>
        <w:rPr>
          <w:sz w:val="26"/>
          <w:szCs w:val="26"/>
        </w:rPr>
      </w:pPr>
      <w:r w:rsidRPr="00787A9E">
        <w:rPr>
          <w:sz w:val="26"/>
          <w:szCs w:val="26"/>
        </w:rPr>
        <w:lastRenderedPageBreak/>
        <w:t>In its Replies to Exceptions, I&amp;E contends that the OCA has incorrectly argued that because the revenue requirements agreed to in the Non-Unanimous Settlement are higher than those set forth in I&amp;E</w:t>
      </w:r>
      <w:r w:rsidR="00A424DB">
        <w:rPr>
          <w:sz w:val="26"/>
          <w:szCs w:val="26"/>
        </w:rPr>
        <w:t>’</w:t>
      </w:r>
      <w:r w:rsidRPr="00787A9E">
        <w:rPr>
          <w:sz w:val="26"/>
          <w:szCs w:val="26"/>
        </w:rPr>
        <w:t>s litigated position, the Settlement affords the Company a positive return on equity.  More specifically, I&amp;E claims that the OCA has erroneously cited to the original position I&amp;E proffered in its Direct Testimony rather than the updated position I&amp;E presented in its Surrebuttal Testimony.  I&amp;E clarifies that it continued to recommend a 0.00% return on equity in its Surrebuttal Testimony, but that its overall revenue requirement recommendation increased because I&amp;E removed some of its prior expense adjustments.  I&amp;E submits that although the Non</w:t>
      </w:r>
      <w:r w:rsidRPr="00787A9E">
        <w:rPr>
          <w:sz w:val="26"/>
          <w:szCs w:val="26"/>
        </w:rPr>
        <w:noBreakHyphen/>
        <w:t xml:space="preserve">Unanimous Settlement is a </w:t>
      </w:r>
      <w:r w:rsidR="00A424DB">
        <w:rPr>
          <w:sz w:val="26"/>
          <w:szCs w:val="26"/>
        </w:rPr>
        <w:t>“</w:t>
      </w:r>
      <w:r w:rsidRPr="00787A9E">
        <w:rPr>
          <w:sz w:val="26"/>
          <w:szCs w:val="26"/>
        </w:rPr>
        <w:t>black box</w:t>
      </w:r>
      <w:r w:rsidR="00A424DB">
        <w:rPr>
          <w:sz w:val="26"/>
          <w:szCs w:val="26"/>
        </w:rPr>
        <w:t>”</w:t>
      </w:r>
      <w:r w:rsidRPr="00787A9E">
        <w:rPr>
          <w:sz w:val="26"/>
          <w:szCs w:val="26"/>
        </w:rPr>
        <w:t xml:space="preserve"> settlement that does not specify a return on equity, the agreed upon Settlement increases of $65,557 for water and $82,227 for wastewater that the ALJs approved in the RD achieve the goal of a 0.00% return on equity.  Further, I&amp;E </w:t>
      </w:r>
      <w:r w:rsidR="00D97682" w:rsidRPr="00787A9E">
        <w:rPr>
          <w:sz w:val="26"/>
          <w:szCs w:val="26"/>
        </w:rPr>
        <w:t xml:space="preserve">reiterates </w:t>
      </w:r>
      <w:r w:rsidRPr="00787A9E">
        <w:rPr>
          <w:sz w:val="26"/>
          <w:szCs w:val="26"/>
        </w:rPr>
        <w:t>that these amounts are closely aligned with I&amp;E</w:t>
      </w:r>
      <w:r w:rsidR="00A424DB">
        <w:rPr>
          <w:sz w:val="26"/>
          <w:szCs w:val="26"/>
        </w:rPr>
        <w:t>’</w:t>
      </w:r>
      <w:r w:rsidRPr="00787A9E">
        <w:rPr>
          <w:sz w:val="26"/>
          <w:szCs w:val="26"/>
        </w:rPr>
        <w:t>s pre</w:t>
      </w:r>
      <w:r w:rsidRPr="00787A9E">
        <w:rPr>
          <w:sz w:val="26"/>
          <w:szCs w:val="26"/>
        </w:rPr>
        <w:noBreakHyphen/>
        <w:t>settlement recommendation of $65,544 for water and $82,263 for wastewater, as set forth in its Surrebuttal Testimony.  I&amp;E R. Exc. at 2-5.</w:t>
      </w:r>
    </w:p>
    <w:p w14:paraId="556B0C73" w14:textId="77777777" w:rsidR="00A84CB4" w:rsidRPr="00787A9E" w:rsidRDefault="00A84CB4" w:rsidP="00FD1A00">
      <w:pPr>
        <w:ind w:firstLine="1440"/>
        <w:contextualSpacing/>
        <w:rPr>
          <w:sz w:val="26"/>
          <w:szCs w:val="26"/>
        </w:rPr>
      </w:pPr>
    </w:p>
    <w:p w14:paraId="06C98B52" w14:textId="7E80BC62" w:rsidR="00A84CB4" w:rsidRPr="00787A9E" w:rsidRDefault="00A84CB4" w:rsidP="00FD1A00">
      <w:pPr>
        <w:pStyle w:val="Default"/>
        <w:keepNext/>
        <w:keepLines/>
        <w:numPr>
          <w:ilvl w:val="0"/>
          <w:numId w:val="15"/>
        </w:numPr>
        <w:ind w:left="2520"/>
        <w:contextualSpacing/>
        <w:rPr>
          <w:b/>
          <w:sz w:val="26"/>
          <w:szCs w:val="26"/>
        </w:rPr>
      </w:pPr>
      <w:r w:rsidRPr="00787A9E">
        <w:rPr>
          <w:b/>
          <w:sz w:val="26"/>
          <w:szCs w:val="26"/>
        </w:rPr>
        <w:t>Mr. Kollar</w:t>
      </w:r>
      <w:r w:rsidR="00A424DB">
        <w:rPr>
          <w:b/>
          <w:sz w:val="26"/>
          <w:szCs w:val="26"/>
        </w:rPr>
        <w:t>’</w:t>
      </w:r>
      <w:r w:rsidRPr="00787A9E">
        <w:rPr>
          <w:b/>
          <w:sz w:val="26"/>
          <w:szCs w:val="26"/>
        </w:rPr>
        <w:t>s Exceptions and HVUS</w:t>
      </w:r>
      <w:r w:rsidR="00A424DB">
        <w:rPr>
          <w:b/>
          <w:sz w:val="26"/>
          <w:szCs w:val="26"/>
        </w:rPr>
        <w:t>’</w:t>
      </w:r>
      <w:r w:rsidRPr="00787A9E">
        <w:rPr>
          <w:b/>
          <w:sz w:val="26"/>
          <w:szCs w:val="26"/>
        </w:rPr>
        <w:t xml:space="preserve">s Replies </w:t>
      </w:r>
    </w:p>
    <w:p w14:paraId="7CF27FB5" w14:textId="77777777" w:rsidR="00A84CB4" w:rsidRPr="00787A9E" w:rsidRDefault="00A84CB4" w:rsidP="00FD1A00">
      <w:pPr>
        <w:keepNext/>
        <w:keepLines/>
        <w:ind w:left="360" w:firstLine="720"/>
        <w:contextualSpacing/>
        <w:rPr>
          <w:b/>
          <w:sz w:val="26"/>
          <w:szCs w:val="26"/>
        </w:rPr>
      </w:pPr>
    </w:p>
    <w:p w14:paraId="7E1A486C" w14:textId="2FBDFA7C" w:rsidR="00A84CB4" w:rsidRPr="00787A9E" w:rsidRDefault="00A84CB4" w:rsidP="00FD1A00">
      <w:pPr>
        <w:ind w:firstLine="1440"/>
        <w:contextualSpacing/>
        <w:rPr>
          <w:sz w:val="26"/>
          <w:szCs w:val="26"/>
        </w:rPr>
      </w:pPr>
      <w:r w:rsidRPr="00787A9E">
        <w:rPr>
          <w:sz w:val="26"/>
          <w:szCs w:val="26"/>
        </w:rPr>
        <w:t>In his first Exception, Mr. Kollar takes issue with Ordering Paragraph Nos.</w:t>
      </w:r>
      <w:r w:rsidR="00E510E0">
        <w:rPr>
          <w:sz w:val="26"/>
          <w:szCs w:val="26"/>
        </w:rPr>
        <w:t> </w:t>
      </w:r>
      <w:r w:rsidRPr="00787A9E">
        <w:rPr>
          <w:sz w:val="26"/>
          <w:szCs w:val="26"/>
        </w:rPr>
        <w:t>4 and 5 of the Recommended Decision.</w:t>
      </w:r>
      <w:r w:rsidRPr="00787A9E">
        <w:rPr>
          <w:rStyle w:val="FootnoteReference"/>
          <w:sz w:val="26"/>
          <w:szCs w:val="26"/>
        </w:rPr>
        <w:footnoteReference w:id="24"/>
      </w:r>
      <w:r w:rsidRPr="00787A9E">
        <w:rPr>
          <w:sz w:val="26"/>
          <w:szCs w:val="26"/>
        </w:rPr>
        <w:t xml:space="preserve">  These Ordering paragraphs state, as follows:</w:t>
      </w:r>
    </w:p>
    <w:p w14:paraId="5159593C" w14:textId="77777777" w:rsidR="00A84CB4" w:rsidRPr="00787A9E" w:rsidRDefault="00A84CB4" w:rsidP="00FD1A00">
      <w:pPr>
        <w:contextualSpacing/>
        <w:rPr>
          <w:sz w:val="26"/>
          <w:szCs w:val="26"/>
        </w:rPr>
      </w:pPr>
    </w:p>
    <w:p w14:paraId="6BC13254" w14:textId="77777777" w:rsidR="00A84CB4" w:rsidRPr="00787A9E" w:rsidRDefault="00A84CB4" w:rsidP="00E510E0">
      <w:pPr>
        <w:keepNext/>
        <w:keepLines/>
        <w:spacing w:line="240" w:lineRule="auto"/>
        <w:ind w:left="1440" w:right="1440"/>
        <w:contextualSpacing/>
        <w:rPr>
          <w:sz w:val="26"/>
          <w:szCs w:val="26"/>
        </w:rPr>
      </w:pPr>
      <w:r w:rsidRPr="00787A9E">
        <w:rPr>
          <w:sz w:val="26"/>
          <w:szCs w:val="26"/>
        </w:rPr>
        <w:t xml:space="preserve">4. </w:t>
      </w:r>
      <w:r w:rsidRPr="00787A9E">
        <w:rPr>
          <w:sz w:val="26"/>
          <w:szCs w:val="26"/>
        </w:rPr>
        <w:tab/>
        <w:t>That, upon entry of a final Commission Order in this proceeding, Hidden Valley Utility Services, L.P. - Water, is authorized to file water tariffs, tariff supplements or tariff revisions containing rates, rules and regulations, consistent with the findings herein, to produce annual revenues not in excess of $206,112, which is an increase over present revenues of $65,557.</w:t>
      </w:r>
    </w:p>
    <w:p w14:paraId="6DB4B10E" w14:textId="77777777" w:rsidR="00A84CB4" w:rsidRPr="00787A9E" w:rsidRDefault="00A84CB4" w:rsidP="00FD1A00">
      <w:pPr>
        <w:spacing w:line="240" w:lineRule="auto"/>
        <w:ind w:left="1440" w:right="1440"/>
        <w:contextualSpacing/>
        <w:rPr>
          <w:sz w:val="26"/>
          <w:szCs w:val="26"/>
        </w:rPr>
      </w:pPr>
    </w:p>
    <w:p w14:paraId="47F95FB2" w14:textId="263F2E3B" w:rsidR="00A84CB4" w:rsidRDefault="00A84CB4" w:rsidP="00FD1A00">
      <w:pPr>
        <w:spacing w:line="240" w:lineRule="auto"/>
        <w:ind w:left="1440" w:right="1440"/>
        <w:contextualSpacing/>
        <w:rPr>
          <w:sz w:val="26"/>
          <w:szCs w:val="26"/>
        </w:rPr>
      </w:pPr>
      <w:r w:rsidRPr="00787A9E">
        <w:rPr>
          <w:sz w:val="26"/>
          <w:szCs w:val="26"/>
        </w:rPr>
        <w:lastRenderedPageBreak/>
        <w:t xml:space="preserve">5. </w:t>
      </w:r>
      <w:r w:rsidRPr="00787A9E">
        <w:rPr>
          <w:sz w:val="26"/>
          <w:szCs w:val="26"/>
        </w:rPr>
        <w:tab/>
        <w:t>That, upon entry of a final Commission Order in this proceeding, Hidden Valley Utility Services, L.P.- Wastewater, is authorized to file wastewater tariffs, tariff supplements or tariff revisions containing rates, rules and regulations, consistent with the findings herein, to produce annual revenues not in excess of $375,866, which is an increase over present revenues of $82,227.</w:t>
      </w:r>
    </w:p>
    <w:p w14:paraId="60DD5656" w14:textId="77777777" w:rsidR="00E510E0" w:rsidRPr="00787A9E" w:rsidRDefault="00E510E0" w:rsidP="00FD1A00">
      <w:pPr>
        <w:spacing w:line="240" w:lineRule="auto"/>
        <w:ind w:left="1440" w:right="1440"/>
        <w:contextualSpacing/>
        <w:rPr>
          <w:sz w:val="26"/>
          <w:szCs w:val="26"/>
        </w:rPr>
      </w:pPr>
    </w:p>
    <w:p w14:paraId="44D90203" w14:textId="77777777" w:rsidR="00A84CB4" w:rsidRPr="00787A9E" w:rsidRDefault="00A84CB4" w:rsidP="00FD1A00">
      <w:pPr>
        <w:spacing w:line="240" w:lineRule="auto"/>
        <w:ind w:left="1440" w:right="1440"/>
        <w:contextualSpacing/>
        <w:rPr>
          <w:sz w:val="26"/>
          <w:szCs w:val="26"/>
        </w:rPr>
      </w:pPr>
    </w:p>
    <w:p w14:paraId="542EF878" w14:textId="77777777" w:rsidR="00A84CB4" w:rsidRPr="00787A9E" w:rsidRDefault="00A84CB4" w:rsidP="00FD1A00">
      <w:pPr>
        <w:contextualSpacing/>
        <w:rPr>
          <w:sz w:val="26"/>
          <w:szCs w:val="26"/>
        </w:rPr>
      </w:pPr>
      <w:r w:rsidRPr="00787A9E">
        <w:rPr>
          <w:sz w:val="26"/>
          <w:szCs w:val="26"/>
        </w:rPr>
        <w:t>Mr. Kollar Exc. at 2-4.</w:t>
      </w:r>
    </w:p>
    <w:p w14:paraId="28FEE318" w14:textId="77777777" w:rsidR="007956EF" w:rsidRPr="00787A9E" w:rsidRDefault="007956EF" w:rsidP="00FD1A00">
      <w:pPr>
        <w:contextualSpacing/>
        <w:rPr>
          <w:sz w:val="26"/>
          <w:szCs w:val="26"/>
        </w:rPr>
      </w:pPr>
    </w:p>
    <w:p w14:paraId="555ADED8" w14:textId="75FD43EC" w:rsidR="00A84CB4" w:rsidRPr="00787A9E" w:rsidRDefault="00A84CB4" w:rsidP="00FD1A00">
      <w:pPr>
        <w:ind w:firstLine="1440"/>
        <w:contextualSpacing/>
        <w:rPr>
          <w:sz w:val="26"/>
          <w:szCs w:val="26"/>
        </w:rPr>
      </w:pPr>
      <w:r w:rsidRPr="00787A9E">
        <w:rPr>
          <w:sz w:val="26"/>
          <w:szCs w:val="26"/>
        </w:rPr>
        <w:t>Mr. Kollar argues that given the Commission</w:t>
      </w:r>
      <w:r w:rsidR="00A424DB">
        <w:rPr>
          <w:sz w:val="26"/>
          <w:szCs w:val="26"/>
        </w:rPr>
        <w:t>’</w:t>
      </w:r>
      <w:r w:rsidRPr="00787A9E">
        <w:rPr>
          <w:sz w:val="26"/>
          <w:szCs w:val="26"/>
        </w:rPr>
        <w:t xml:space="preserve">s findings in the </w:t>
      </w:r>
      <w:r w:rsidRPr="00787A9E">
        <w:rPr>
          <w:i/>
          <w:sz w:val="26"/>
          <w:szCs w:val="26"/>
        </w:rPr>
        <w:t>McCloskey Orders</w:t>
      </w:r>
      <w:r w:rsidRPr="00787A9E">
        <w:rPr>
          <w:sz w:val="26"/>
          <w:szCs w:val="26"/>
        </w:rPr>
        <w:t xml:space="preserve"> and the ALJs</w:t>
      </w:r>
      <w:r w:rsidR="00A424DB">
        <w:rPr>
          <w:sz w:val="26"/>
          <w:szCs w:val="26"/>
        </w:rPr>
        <w:t>’</w:t>
      </w:r>
      <w:r w:rsidRPr="00787A9E">
        <w:rPr>
          <w:sz w:val="26"/>
          <w:szCs w:val="26"/>
        </w:rPr>
        <w:t xml:space="preserve"> findings in the instant case that HVUS continues to provide inadequate water and wastewater service, it is difficult to understand why the ALJs recommended that HVUS receive </w:t>
      </w:r>
      <w:r w:rsidRPr="00787A9E">
        <w:rPr>
          <w:i/>
          <w:sz w:val="26"/>
          <w:szCs w:val="26"/>
        </w:rPr>
        <w:t>any</w:t>
      </w:r>
      <w:r w:rsidRPr="00787A9E">
        <w:rPr>
          <w:sz w:val="26"/>
          <w:szCs w:val="26"/>
        </w:rPr>
        <w:t xml:space="preserve"> increase to either its water or its wastewater rates.  According to Mr. Kollar, this recommendation is akin to rewarding the Company for thirteen years of refusing to address the significant water and wastewater issues facing its customers.  Mr. Kollar points out that the ALJs</w:t>
      </w:r>
      <w:r w:rsidR="00A424DB">
        <w:rPr>
          <w:sz w:val="26"/>
          <w:szCs w:val="26"/>
        </w:rPr>
        <w:t>’</w:t>
      </w:r>
      <w:r w:rsidRPr="00787A9E">
        <w:rPr>
          <w:sz w:val="26"/>
          <w:szCs w:val="26"/>
        </w:rPr>
        <w:t xml:space="preserve"> ruling contains no requirement for the Commission to monitor how the additional revenues will be utilized by HVUS once enacted.  Mr. Kollar also alleges that given the Company</w:t>
      </w:r>
      <w:r w:rsidR="00A424DB">
        <w:rPr>
          <w:sz w:val="26"/>
          <w:szCs w:val="26"/>
        </w:rPr>
        <w:t>’</w:t>
      </w:r>
      <w:r w:rsidRPr="00787A9E">
        <w:rPr>
          <w:sz w:val="26"/>
          <w:szCs w:val="26"/>
        </w:rPr>
        <w:t>s track record, it is highly probable that the revenue increase granted to the Company will be utilized solely by HVUS to retire indebtedness or to pay additional distributions to the Company</w:t>
      </w:r>
      <w:r w:rsidR="00A424DB">
        <w:rPr>
          <w:sz w:val="26"/>
          <w:szCs w:val="26"/>
        </w:rPr>
        <w:t>’</w:t>
      </w:r>
      <w:r w:rsidRPr="00787A9E">
        <w:rPr>
          <w:sz w:val="26"/>
          <w:szCs w:val="26"/>
        </w:rPr>
        <w:t>s owners rather than to address the water and wastewater quality issues.  Therefore, Mr. Kollar submits that any recommended increase to the Company</w:t>
      </w:r>
      <w:r w:rsidR="00A424DB">
        <w:rPr>
          <w:sz w:val="26"/>
          <w:szCs w:val="26"/>
        </w:rPr>
        <w:t>’</w:t>
      </w:r>
      <w:r w:rsidRPr="00787A9E">
        <w:rPr>
          <w:sz w:val="26"/>
          <w:szCs w:val="26"/>
        </w:rPr>
        <w:t xml:space="preserve">s water or wastewater rates should be denied and postponed until the final outcome of the hearing procedures described in the </w:t>
      </w:r>
      <w:r w:rsidRPr="00787A9E">
        <w:rPr>
          <w:i/>
          <w:sz w:val="26"/>
          <w:szCs w:val="26"/>
        </w:rPr>
        <w:t xml:space="preserve">January 2019 McCloskey Order.  </w:t>
      </w:r>
      <w:r w:rsidRPr="00787A9E">
        <w:rPr>
          <w:sz w:val="26"/>
          <w:szCs w:val="26"/>
        </w:rPr>
        <w:t xml:space="preserve">Alternatively, Mr. Kollar contends that if the Commission decides to implement the recommended rate increases, then controls and periodic monitoring must be implemented to ensure that the additional revenues are used for operations and to address the long-term water and wastewater issues.  More specifically, Mr. Kollar recommends that an independent receiver should be appointed to take over all financial activities of the Company and that HVUS must be directed to file monthly financial reports with the Commission to verify that it is not making any </w:t>
      </w:r>
      <w:r w:rsidRPr="00787A9E">
        <w:rPr>
          <w:sz w:val="26"/>
          <w:szCs w:val="26"/>
        </w:rPr>
        <w:lastRenderedPageBreak/>
        <w:t>distributions to its owners or making payments on related party indebtedness.  Mr. Kollar Exc. at 3-6.</w:t>
      </w:r>
    </w:p>
    <w:p w14:paraId="1A23D71E" w14:textId="77777777" w:rsidR="00A84CB4" w:rsidRPr="00787A9E" w:rsidRDefault="00A84CB4" w:rsidP="00FD1A00">
      <w:pPr>
        <w:ind w:left="360" w:firstLine="720"/>
        <w:contextualSpacing/>
        <w:rPr>
          <w:sz w:val="26"/>
          <w:szCs w:val="26"/>
        </w:rPr>
      </w:pPr>
    </w:p>
    <w:p w14:paraId="6C005AC9" w14:textId="3FE3A8F8" w:rsidR="00A84CB4" w:rsidRPr="00787A9E" w:rsidRDefault="00A84CB4" w:rsidP="00FD1A00">
      <w:pPr>
        <w:ind w:firstLine="1440"/>
        <w:contextualSpacing/>
        <w:rPr>
          <w:sz w:val="26"/>
          <w:szCs w:val="26"/>
        </w:rPr>
      </w:pPr>
      <w:r w:rsidRPr="00787A9E">
        <w:rPr>
          <w:sz w:val="26"/>
          <w:szCs w:val="26"/>
        </w:rPr>
        <w:t>In its Replies to Mr. Kollar</w:t>
      </w:r>
      <w:r w:rsidR="00A424DB">
        <w:rPr>
          <w:sz w:val="26"/>
          <w:szCs w:val="26"/>
        </w:rPr>
        <w:t>’</w:t>
      </w:r>
      <w:r w:rsidRPr="00787A9E">
        <w:rPr>
          <w:sz w:val="26"/>
          <w:szCs w:val="26"/>
        </w:rPr>
        <w:t xml:space="preserve">s Exceptions, HVUS points out that although Mr. Kollar claims to be a </w:t>
      </w:r>
      <w:r w:rsidRPr="00787A9E">
        <w:rPr>
          <w:i/>
          <w:sz w:val="26"/>
          <w:szCs w:val="26"/>
        </w:rPr>
        <w:t xml:space="preserve">pro se </w:t>
      </w:r>
      <w:r w:rsidRPr="00787A9E">
        <w:rPr>
          <w:sz w:val="26"/>
          <w:szCs w:val="26"/>
        </w:rPr>
        <w:t>complainant, he is a member of the Board of the Foundation, which is represented by counsel in this proceeding and that the Foundation has referenced some of Mr. Kollar</w:t>
      </w:r>
      <w:r w:rsidR="00A424DB">
        <w:rPr>
          <w:sz w:val="26"/>
          <w:szCs w:val="26"/>
        </w:rPr>
        <w:t>’</w:t>
      </w:r>
      <w:r w:rsidRPr="00787A9E">
        <w:rPr>
          <w:sz w:val="26"/>
          <w:szCs w:val="26"/>
        </w:rPr>
        <w:t>s positions in its own Exceptions.  According to HVUS, Mr. Kollar</w:t>
      </w:r>
      <w:r w:rsidR="00A424DB">
        <w:rPr>
          <w:sz w:val="26"/>
          <w:szCs w:val="26"/>
        </w:rPr>
        <w:t>’</w:t>
      </w:r>
      <w:r w:rsidRPr="00787A9E">
        <w:rPr>
          <w:sz w:val="26"/>
          <w:szCs w:val="26"/>
        </w:rPr>
        <w:t xml:space="preserve">s Exceptions are explicitly based on his own opinions and operations, and not on the law or the evidence in the record.  HVUS further notes that although Mr. Kollar was included on the full service list in these proceedings, he chose not to participate until filing his Exceptions.  HVUS reasons that while </w:t>
      </w:r>
      <w:r w:rsidR="0008779C" w:rsidRPr="00787A9E">
        <w:rPr>
          <w:sz w:val="26"/>
          <w:szCs w:val="26"/>
        </w:rPr>
        <w:t xml:space="preserve">Mr. Kollar </w:t>
      </w:r>
      <w:r w:rsidRPr="00787A9E">
        <w:rPr>
          <w:sz w:val="26"/>
          <w:szCs w:val="26"/>
        </w:rPr>
        <w:t>has a right to file Exceptions, he does not have the right to introduce new issues into this proceeding in his Exceptions.  Therefore, HVUS submits that any issues not raised in testimony or briefs before the ALJ are waived, and the Commission should not consider any of the new issues raised by Mr. Kollar including</w:t>
      </w:r>
      <w:r w:rsidR="00E11268" w:rsidRPr="00787A9E">
        <w:rPr>
          <w:sz w:val="26"/>
          <w:szCs w:val="26"/>
        </w:rPr>
        <w:t>,</w:t>
      </w:r>
      <w:r w:rsidRPr="00787A9E">
        <w:rPr>
          <w:sz w:val="26"/>
          <w:szCs w:val="26"/>
        </w:rPr>
        <w:t xml:space="preserve"> but not limited to</w:t>
      </w:r>
      <w:r w:rsidR="00E11268" w:rsidRPr="00787A9E">
        <w:rPr>
          <w:sz w:val="26"/>
          <w:szCs w:val="26"/>
        </w:rPr>
        <w:t>,</w:t>
      </w:r>
      <w:r w:rsidRPr="00787A9E">
        <w:rPr>
          <w:sz w:val="26"/>
          <w:szCs w:val="26"/>
        </w:rPr>
        <w:t xml:space="preserve"> his requests for: the appointment of a receiver, the prohibition of any payments to HVUS</w:t>
      </w:r>
      <w:r w:rsidR="00A424DB">
        <w:rPr>
          <w:sz w:val="26"/>
          <w:szCs w:val="26"/>
        </w:rPr>
        <w:t>’</w:t>
      </w:r>
      <w:r w:rsidRPr="00787A9E">
        <w:rPr>
          <w:sz w:val="26"/>
          <w:szCs w:val="26"/>
        </w:rPr>
        <w:t xml:space="preserve">s owners, and the imposition of special reporting requirements.  HVUS R. Exc. at 20-21.  </w:t>
      </w:r>
    </w:p>
    <w:p w14:paraId="64A7B665" w14:textId="77777777" w:rsidR="00A84CB4" w:rsidRPr="00787A9E" w:rsidRDefault="00A84CB4" w:rsidP="00FD1A00">
      <w:pPr>
        <w:ind w:left="360" w:firstLine="720"/>
        <w:contextualSpacing/>
        <w:rPr>
          <w:sz w:val="26"/>
          <w:szCs w:val="26"/>
        </w:rPr>
      </w:pPr>
    </w:p>
    <w:p w14:paraId="110D37C1" w14:textId="6535CAEB" w:rsidR="00400D89" w:rsidRPr="00787A9E" w:rsidRDefault="00421799" w:rsidP="00FD1A00">
      <w:pPr>
        <w:pStyle w:val="Default"/>
        <w:keepNext/>
        <w:keepLines/>
        <w:numPr>
          <w:ilvl w:val="0"/>
          <w:numId w:val="15"/>
        </w:numPr>
        <w:ind w:left="2880" w:hanging="720"/>
        <w:contextualSpacing/>
        <w:rPr>
          <w:b/>
          <w:sz w:val="26"/>
          <w:szCs w:val="26"/>
        </w:rPr>
      </w:pPr>
      <w:r w:rsidRPr="00787A9E">
        <w:rPr>
          <w:b/>
          <w:sz w:val="26"/>
          <w:szCs w:val="26"/>
        </w:rPr>
        <w:t xml:space="preserve">The </w:t>
      </w:r>
      <w:r w:rsidR="00400D89" w:rsidRPr="00787A9E">
        <w:rPr>
          <w:b/>
          <w:sz w:val="26"/>
          <w:szCs w:val="26"/>
        </w:rPr>
        <w:t>Foundation</w:t>
      </w:r>
      <w:r w:rsidR="00A424DB">
        <w:rPr>
          <w:b/>
          <w:sz w:val="26"/>
          <w:szCs w:val="26"/>
        </w:rPr>
        <w:t>’</w:t>
      </w:r>
      <w:r w:rsidR="00400D89" w:rsidRPr="00787A9E">
        <w:rPr>
          <w:b/>
          <w:sz w:val="26"/>
          <w:szCs w:val="26"/>
        </w:rPr>
        <w:t>s Exceptions and HVUS</w:t>
      </w:r>
      <w:r w:rsidR="00A424DB">
        <w:rPr>
          <w:b/>
          <w:sz w:val="26"/>
          <w:szCs w:val="26"/>
        </w:rPr>
        <w:t>’</w:t>
      </w:r>
      <w:r w:rsidR="00400D89" w:rsidRPr="00787A9E">
        <w:rPr>
          <w:b/>
          <w:sz w:val="26"/>
          <w:szCs w:val="26"/>
        </w:rPr>
        <w:t xml:space="preserve">s Replies </w:t>
      </w:r>
    </w:p>
    <w:p w14:paraId="4320B2A4" w14:textId="77777777" w:rsidR="00400D89" w:rsidRPr="00787A9E" w:rsidRDefault="00400D89" w:rsidP="00FD1A00">
      <w:pPr>
        <w:keepNext/>
        <w:keepLines/>
        <w:ind w:left="360" w:firstLine="720"/>
        <w:contextualSpacing/>
        <w:rPr>
          <w:b/>
          <w:sz w:val="26"/>
          <w:szCs w:val="26"/>
        </w:rPr>
      </w:pPr>
    </w:p>
    <w:p w14:paraId="58721B03" w14:textId="1588E97C" w:rsidR="00400D89" w:rsidRPr="00787A9E" w:rsidRDefault="00400D89" w:rsidP="00FD1A00">
      <w:pPr>
        <w:ind w:firstLine="1440"/>
        <w:contextualSpacing/>
        <w:rPr>
          <w:sz w:val="26"/>
          <w:szCs w:val="26"/>
        </w:rPr>
      </w:pPr>
      <w:r w:rsidRPr="00787A9E">
        <w:rPr>
          <w:sz w:val="26"/>
          <w:szCs w:val="26"/>
        </w:rPr>
        <w:t>In its Exceptions,</w:t>
      </w:r>
      <w:r w:rsidRPr="00787A9E">
        <w:rPr>
          <w:rStyle w:val="FootnoteReference"/>
          <w:sz w:val="26"/>
          <w:szCs w:val="26"/>
        </w:rPr>
        <w:footnoteReference w:id="25"/>
      </w:r>
      <w:r w:rsidRPr="00787A9E">
        <w:rPr>
          <w:sz w:val="26"/>
          <w:szCs w:val="26"/>
        </w:rPr>
        <w:t xml:space="preserve"> the Foundation takes issue with the ALJs</w:t>
      </w:r>
      <w:r w:rsidR="00A424DB">
        <w:rPr>
          <w:sz w:val="26"/>
          <w:szCs w:val="26"/>
        </w:rPr>
        <w:t>’</w:t>
      </w:r>
      <w:r w:rsidRPr="00787A9E">
        <w:rPr>
          <w:sz w:val="26"/>
          <w:szCs w:val="26"/>
        </w:rPr>
        <w:t xml:space="preserve"> recommendation that the Company</w:t>
      </w:r>
      <w:r w:rsidR="00A424DB">
        <w:rPr>
          <w:sz w:val="26"/>
          <w:szCs w:val="26"/>
        </w:rPr>
        <w:t>’</w:t>
      </w:r>
      <w:r w:rsidRPr="00787A9E">
        <w:rPr>
          <w:sz w:val="26"/>
          <w:szCs w:val="26"/>
        </w:rPr>
        <w:t>s water division be permitted to increase its annual revenues by $65,557 and that its wastewater division be permitted to increase its annual revenues by $82,227.  By extension, the Foundation objects to the ALJs</w:t>
      </w:r>
      <w:r w:rsidR="00A424DB">
        <w:rPr>
          <w:sz w:val="26"/>
          <w:szCs w:val="26"/>
        </w:rPr>
        <w:t>’</w:t>
      </w:r>
      <w:r w:rsidRPr="00787A9E">
        <w:rPr>
          <w:sz w:val="26"/>
          <w:szCs w:val="26"/>
        </w:rPr>
        <w:t xml:space="preserve"> recommendation that the Non-Unanimous Settlement be approved, with modification, </w:t>
      </w:r>
      <w:r w:rsidRPr="00787A9E">
        <w:rPr>
          <w:sz w:val="26"/>
          <w:szCs w:val="26"/>
        </w:rPr>
        <w:lastRenderedPageBreak/>
        <w:t>and to their recommendation that HVUS be authorized to file tariffs, tariff supplements, or tariff revisions that will produce revenues not in excess of those outlined in the Non</w:t>
      </w:r>
      <w:r w:rsidRPr="00787A9E">
        <w:rPr>
          <w:sz w:val="26"/>
          <w:szCs w:val="26"/>
        </w:rPr>
        <w:noBreakHyphen/>
        <w:t>Unanimous Settlement.  Foundation Exc. at 7</w:t>
      </w:r>
      <w:r w:rsidRPr="00787A9E">
        <w:rPr>
          <w:sz w:val="26"/>
          <w:szCs w:val="26"/>
        </w:rPr>
        <w:noBreakHyphen/>
        <w:t>8, 9.</w:t>
      </w:r>
    </w:p>
    <w:p w14:paraId="2C832F56" w14:textId="77777777" w:rsidR="00400D89" w:rsidRPr="00787A9E" w:rsidRDefault="00400D89" w:rsidP="00FD1A00">
      <w:pPr>
        <w:contextualSpacing/>
        <w:rPr>
          <w:sz w:val="26"/>
          <w:szCs w:val="26"/>
        </w:rPr>
      </w:pPr>
    </w:p>
    <w:p w14:paraId="3FBBC9A3" w14:textId="4416D40F" w:rsidR="00400D89" w:rsidRPr="00787A9E" w:rsidRDefault="00400D89" w:rsidP="00FD1A00">
      <w:pPr>
        <w:ind w:firstLine="1440"/>
        <w:contextualSpacing/>
        <w:rPr>
          <w:sz w:val="26"/>
          <w:szCs w:val="26"/>
        </w:rPr>
      </w:pPr>
      <w:r w:rsidRPr="00787A9E">
        <w:rPr>
          <w:sz w:val="26"/>
          <w:szCs w:val="26"/>
        </w:rPr>
        <w:t>The Foundation submits that the ALJs erred in finding that the Non</w:t>
      </w:r>
      <w:r w:rsidRPr="00787A9E">
        <w:rPr>
          <w:sz w:val="26"/>
          <w:szCs w:val="26"/>
        </w:rPr>
        <w:noBreakHyphen/>
        <w:t>Unanimous Settlement represents a fair, just, lawful, and reasonable resolution of this proceeding.  The Foundation asserts that the rates produced by the Non-Unanimous Settlement are not in the public interest.  The Foundation reasons that requiring customers of HVUS to pay more for the Company</w:t>
      </w:r>
      <w:r w:rsidR="00A424DB">
        <w:rPr>
          <w:sz w:val="26"/>
          <w:szCs w:val="26"/>
        </w:rPr>
        <w:t>’</w:t>
      </w:r>
      <w:r w:rsidRPr="00787A9E">
        <w:rPr>
          <w:sz w:val="26"/>
          <w:szCs w:val="26"/>
        </w:rPr>
        <w:t xml:space="preserve">s inadequate service does not provide any guarantee that HVUS will use the additional revenues to make the necessary repairs and improvements that were required in the </w:t>
      </w:r>
      <w:r w:rsidRPr="00787A9E">
        <w:rPr>
          <w:i/>
          <w:sz w:val="26"/>
          <w:szCs w:val="26"/>
        </w:rPr>
        <w:t xml:space="preserve">McCloskey Orders.  </w:t>
      </w:r>
      <w:r w:rsidRPr="00787A9E">
        <w:rPr>
          <w:sz w:val="26"/>
          <w:szCs w:val="26"/>
        </w:rPr>
        <w:t xml:space="preserve">Moreover, the Foundation argues that the Company should be prohibited from receiving any rate increases until it can demonstrate that it is able to provide adequate, safe, and reasonable water and wastewater service to its customers.  However, the Foundation is of the opinion that it is unlikely that HVUS will be able to meet this requirement for the foreseeable future.  The Foundation points out that in our </w:t>
      </w:r>
      <w:r w:rsidRPr="00787A9E">
        <w:rPr>
          <w:i/>
          <w:sz w:val="26"/>
          <w:szCs w:val="26"/>
        </w:rPr>
        <w:t xml:space="preserve">January 2019 McCloskey Order, </w:t>
      </w:r>
      <w:r w:rsidRPr="00787A9E">
        <w:rPr>
          <w:sz w:val="26"/>
          <w:szCs w:val="26"/>
        </w:rPr>
        <w:t>we reiterated our view that HVUS</w:t>
      </w:r>
      <w:r w:rsidR="00A424DB">
        <w:rPr>
          <w:sz w:val="26"/>
          <w:szCs w:val="26"/>
        </w:rPr>
        <w:t>’</w:t>
      </w:r>
      <w:r w:rsidR="00273023">
        <w:rPr>
          <w:sz w:val="26"/>
          <w:szCs w:val="26"/>
        </w:rPr>
        <w:t>s</w:t>
      </w:r>
      <w:r w:rsidRPr="00787A9E">
        <w:rPr>
          <w:sz w:val="26"/>
          <w:szCs w:val="26"/>
        </w:rPr>
        <w:t xml:space="preserve"> continued delay in complying with the deadlines outlined in the </w:t>
      </w:r>
      <w:r w:rsidRPr="00787A9E">
        <w:rPr>
          <w:i/>
          <w:sz w:val="26"/>
          <w:szCs w:val="26"/>
        </w:rPr>
        <w:t>McCloskey Orders</w:t>
      </w:r>
      <w:r w:rsidRPr="00787A9E">
        <w:rPr>
          <w:sz w:val="26"/>
          <w:szCs w:val="26"/>
        </w:rPr>
        <w:t xml:space="preserve"> was possibly indicative of HVUS</w:t>
      </w:r>
      <w:r w:rsidR="00A424DB">
        <w:rPr>
          <w:sz w:val="26"/>
          <w:szCs w:val="26"/>
        </w:rPr>
        <w:t>’</w:t>
      </w:r>
      <w:r w:rsidR="00310C81">
        <w:rPr>
          <w:sz w:val="26"/>
          <w:szCs w:val="26"/>
        </w:rPr>
        <w:t>s</w:t>
      </w:r>
      <w:r w:rsidRPr="00787A9E">
        <w:rPr>
          <w:sz w:val="26"/>
          <w:szCs w:val="26"/>
        </w:rPr>
        <w:t xml:space="preserve"> inability to operate and to provide reasonable and adequate service such that it might be appropriate to proceed to a Section 529 </w:t>
      </w:r>
      <w:r w:rsidR="000F4D29" w:rsidRPr="00787A9E">
        <w:rPr>
          <w:sz w:val="26"/>
          <w:szCs w:val="26"/>
        </w:rPr>
        <w:t>P</w:t>
      </w:r>
      <w:r w:rsidRPr="00787A9E">
        <w:rPr>
          <w:sz w:val="26"/>
          <w:szCs w:val="26"/>
        </w:rPr>
        <w:t xml:space="preserve">roceeding.  Therefore, the Foundation mirrors the argument of the OCA that the Commission should proceed with a Section 529 </w:t>
      </w:r>
      <w:r w:rsidR="00310C81">
        <w:rPr>
          <w:sz w:val="26"/>
          <w:szCs w:val="26"/>
        </w:rPr>
        <w:t>P</w:t>
      </w:r>
      <w:r w:rsidRPr="00787A9E">
        <w:rPr>
          <w:sz w:val="26"/>
          <w:szCs w:val="26"/>
        </w:rPr>
        <w:t>roceeding and should exercise its discretion to completely deny any increase due to inadequate service pursuant to Section 526 of the Code.  Foundation Exc. at 4-7.</w:t>
      </w:r>
    </w:p>
    <w:p w14:paraId="2233526D" w14:textId="77777777" w:rsidR="00400D89" w:rsidRPr="00787A9E" w:rsidRDefault="00400D89" w:rsidP="00FD1A00">
      <w:pPr>
        <w:ind w:left="360" w:firstLine="720"/>
        <w:contextualSpacing/>
        <w:rPr>
          <w:sz w:val="26"/>
          <w:szCs w:val="26"/>
        </w:rPr>
      </w:pPr>
    </w:p>
    <w:p w14:paraId="25EDDBC4" w14:textId="6E0DE895" w:rsidR="00A84CB4" w:rsidRPr="00787A9E" w:rsidRDefault="00400D89" w:rsidP="00FD1A00">
      <w:pPr>
        <w:ind w:firstLine="1440"/>
        <w:contextualSpacing/>
        <w:rPr>
          <w:sz w:val="26"/>
          <w:szCs w:val="26"/>
        </w:rPr>
      </w:pPr>
      <w:r w:rsidRPr="00787A9E">
        <w:rPr>
          <w:sz w:val="26"/>
          <w:szCs w:val="26"/>
        </w:rPr>
        <w:t>In its Replies to Exceptions, HVUS submits that to the extent the Foundation</w:t>
      </w:r>
      <w:r w:rsidR="00A424DB">
        <w:rPr>
          <w:sz w:val="26"/>
          <w:szCs w:val="26"/>
        </w:rPr>
        <w:t>’</w:t>
      </w:r>
      <w:r w:rsidRPr="00787A9E">
        <w:rPr>
          <w:sz w:val="26"/>
          <w:szCs w:val="26"/>
        </w:rPr>
        <w:t xml:space="preserve">s Exceptions take issue with the fact that the ALJs recommended that the Company receive </w:t>
      </w:r>
      <w:r w:rsidRPr="00787A9E">
        <w:rPr>
          <w:i/>
          <w:sz w:val="26"/>
          <w:szCs w:val="26"/>
        </w:rPr>
        <w:t>any</w:t>
      </w:r>
      <w:r w:rsidRPr="00787A9E">
        <w:rPr>
          <w:sz w:val="26"/>
          <w:szCs w:val="26"/>
        </w:rPr>
        <w:t xml:space="preserve"> rate relief, the Commission should deny such Exceptions for the same reasons HVUS set forth in its Replies to the Exceptions of the OCA.  Additionally, HVUS points out that the Foundation has attempted to raise other issues in its </w:t>
      </w:r>
      <w:r w:rsidRPr="00787A9E">
        <w:rPr>
          <w:sz w:val="26"/>
          <w:szCs w:val="26"/>
        </w:rPr>
        <w:lastRenderedPageBreak/>
        <w:t>Exceptions.  Namely, HVUS contends that the Foundation</w:t>
      </w:r>
      <w:r w:rsidR="00A424DB">
        <w:rPr>
          <w:sz w:val="26"/>
          <w:szCs w:val="26"/>
        </w:rPr>
        <w:t>’</w:t>
      </w:r>
      <w:r w:rsidRPr="00787A9E">
        <w:rPr>
          <w:sz w:val="26"/>
          <w:szCs w:val="26"/>
        </w:rPr>
        <w:t>s argument that the Commission should commence a Section 529 Proceeding was not within the scope of the two issues preserved for litigation in the Joint Stipulation in this proceeding.  HVUS argues that it is imperative that the Commission enforce the Joint Stipulation and refuse to consider the additional issues raised in the Foundation</w:t>
      </w:r>
      <w:r w:rsidR="00A424DB">
        <w:rPr>
          <w:sz w:val="26"/>
          <w:szCs w:val="26"/>
        </w:rPr>
        <w:t>’</w:t>
      </w:r>
      <w:r w:rsidRPr="00787A9E">
        <w:rPr>
          <w:sz w:val="26"/>
          <w:szCs w:val="26"/>
        </w:rPr>
        <w:t>s Exceptions.  Alternatively, HVUS submits that if the Commission considers the issues raised by the Foundation, the Commission should reject the relief requested</w:t>
      </w:r>
      <w:r w:rsidR="00AA424A" w:rsidRPr="00787A9E">
        <w:rPr>
          <w:sz w:val="26"/>
          <w:szCs w:val="26"/>
        </w:rPr>
        <w:t xml:space="preserve"> by the Foundation</w:t>
      </w:r>
      <w:r w:rsidRPr="00787A9E">
        <w:rPr>
          <w:sz w:val="26"/>
          <w:szCs w:val="26"/>
        </w:rPr>
        <w:t xml:space="preserve">.  According to HVUS, an order of the Commission directing its prosecutor to institute a Section 529 </w:t>
      </w:r>
      <w:r w:rsidR="000F4D29" w:rsidRPr="00787A9E">
        <w:rPr>
          <w:sz w:val="26"/>
          <w:szCs w:val="26"/>
        </w:rPr>
        <w:t>P</w:t>
      </w:r>
      <w:r w:rsidRPr="00787A9E">
        <w:rPr>
          <w:sz w:val="26"/>
          <w:szCs w:val="26"/>
        </w:rPr>
        <w:t xml:space="preserve">roceeding would be an unconstitutional commingling of adjudicatory and </w:t>
      </w:r>
      <w:proofErr w:type="spellStart"/>
      <w:r w:rsidRPr="00787A9E">
        <w:rPr>
          <w:sz w:val="26"/>
          <w:szCs w:val="26"/>
        </w:rPr>
        <w:t>prosecutor</w:t>
      </w:r>
      <w:r w:rsidR="006B1F3C">
        <w:rPr>
          <w:sz w:val="26"/>
          <w:szCs w:val="26"/>
        </w:rPr>
        <w:t>y</w:t>
      </w:r>
      <w:proofErr w:type="spellEnd"/>
      <w:r w:rsidRPr="00787A9E">
        <w:rPr>
          <w:sz w:val="26"/>
          <w:szCs w:val="26"/>
        </w:rPr>
        <w:t xml:space="preserve"> functions, as outlined in </w:t>
      </w:r>
      <w:r w:rsidRPr="00787A9E">
        <w:rPr>
          <w:i/>
          <w:sz w:val="26"/>
          <w:szCs w:val="26"/>
        </w:rPr>
        <w:t xml:space="preserve">Lyness v. State Board of Medicine, </w:t>
      </w:r>
      <w:r w:rsidRPr="00787A9E">
        <w:rPr>
          <w:sz w:val="26"/>
          <w:szCs w:val="26"/>
        </w:rPr>
        <w:t>529 Pa. 535 (1992).  Further, HVUS reasons that a Commission order directing the commencement of a Section 529 proceeding would violate the Company</w:t>
      </w:r>
      <w:r w:rsidR="00A424DB">
        <w:rPr>
          <w:sz w:val="26"/>
          <w:szCs w:val="26"/>
        </w:rPr>
        <w:t>’</w:t>
      </w:r>
      <w:r w:rsidRPr="00787A9E">
        <w:rPr>
          <w:sz w:val="26"/>
          <w:szCs w:val="26"/>
        </w:rPr>
        <w:t>s due process rights.  HVUS R. Exc. at 19-20.</w:t>
      </w:r>
    </w:p>
    <w:p w14:paraId="3114C293" w14:textId="77777777" w:rsidR="00EF1315" w:rsidRPr="00787A9E" w:rsidRDefault="00EF1315" w:rsidP="00FD1A00">
      <w:pPr>
        <w:pStyle w:val="Default"/>
        <w:spacing w:line="360" w:lineRule="auto"/>
        <w:contextualSpacing/>
        <w:rPr>
          <w:sz w:val="26"/>
          <w:szCs w:val="26"/>
        </w:rPr>
      </w:pPr>
    </w:p>
    <w:p w14:paraId="0479491D" w14:textId="77777777" w:rsidR="00D262F1" w:rsidRPr="00787A9E" w:rsidRDefault="00D262F1" w:rsidP="00FD1A00">
      <w:pPr>
        <w:pStyle w:val="Heading4"/>
        <w:keepLines/>
        <w:numPr>
          <w:ilvl w:val="0"/>
          <w:numId w:val="14"/>
        </w:numPr>
        <w:ind w:left="1800"/>
        <w:contextualSpacing/>
        <w:jc w:val="left"/>
      </w:pPr>
      <w:r w:rsidRPr="00787A9E">
        <w:tab/>
        <w:t>Disposition</w:t>
      </w:r>
    </w:p>
    <w:p w14:paraId="3BF68A7E" w14:textId="32C1255E" w:rsidR="008F03ED" w:rsidRPr="00787A9E" w:rsidRDefault="008F03ED" w:rsidP="00FD1A00">
      <w:pPr>
        <w:pStyle w:val="Default"/>
        <w:keepNext/>
        <w:keepLines/>
        <w:spacing w:line="360" w:lineRule="auto"/>
        <w:ind w:firstLine="1440"/>
        <w:contextualSpacing/>
        <w:rPr>
          <w:sz w:val="26"/>
          <w:szCs w:val="26"/>
        </w:rPr>
      </w:pPr>
    </w:p>
    <w:p w14:paraId="16533B7B" w14:textId="77777777" w:rsidR="00E032CD" w:rsidRPr="00787A9E" w:rsidRDefault="00E032CD" w:rsidP="00FD1A00">
      <w:pPr>
        <w:spacing w:after="200"/>
        <w:ind w:firstLine="1440"/>
        <w:contextualSpacing/>
        <w:rPr>
          <w:rFonts w:eastAsiaTheme="minorHAnsi"/>
          <w:sz w:val="26"/>
          <w:szCs w:val="26"/>
        </w:rPr>
      </w:pPr>
      <w:r w:rsidRPr="00787A9E">
        <w:rPr>
          <w:rFonts w:eastAsiaTheme="minorHAnsi"/>
          <w:sz w:val="26"/>
          <w:szCs w:val="26"/>
        </w:rPr>
        <w:t>On consideration of the positions of the Parties, we reject the arguments of the OCA, Mr. Kollar, and the Foundation that the ALJs erred in recommending that HVUS be granted rate relief.  Section 523(a) of the Code provides, as follows:</w:t>
      </w:r>
    </w:p>
    <w:p w14:paraId="121D8A58" w14:textId="77777777" w:rsidR="00E032CD" w:rsidRPr="00787A9E" w:rsidRDefault="00E032CD" w:rsidP="00FD1A00">
      <w:pPr>
        <w:spacing w:after="200"/>
        <w:contextualSpacing/>
        <w:rPr>
          <w:rFonts w:eastAsiaTheme="minorHAnsi"/>
          <w:sz w:val="26"/>
          <w:szCs w:val="26"/>
        </w:rPr>
      </w:pPr>
    </w:p>
    <w:p w14:paraId="12510F57" w14:textId="40F55BE6" w:rsidR="00E032CD" w:rsidRDefault="00E032CD" w:rsidP="00FD1A00">
      <w:pPr>
        <w:spacing w:after="200" w:line="240" w:lineRule="auto"/>
        <w:ind w:left="1440" w:right="1440"/>
        <w:contextualSpacing/>
        <w:rPr>
          <w:color w:val="000000"/>
          <w:spacing w:val="1"/>
          <w:sz w:val="26"/>
          <w:szCs w:val="26"/>
        </w:rPr>
      </w:pPr>
      <w:r w:rsidRPr="00787A9E">
        <w:rPr>
          <w:color w:val="000000"/>
          <w:spacing w:val="1"/>
          <w:sz w:val="26"/>
          <w:szCs w:val="26"/>
        </w:rPr>
        <w:t>The commission shall consider, in addition to all other relevant evidence of record, the efficiency, effectiveness and adequacy of service of each utility when determining just and reasonable rates under this title. On the basis of the commission</w:t>
      </w:r>
      <w:r w:rsidR="00A424DB">
        <w:rPr>
          <w:color w:val="000000"/>
          <w:spacing w:val="1"/>
          <w:sz w:val="26"/>
          <w:szCs w:val="26"/>
        </w:rPr>
        <w:t>’</w:t>
      </w:r>
      <w:r w:rsidRPr="00787A9E">
        <w:rPr>
          <w:color w:val="000000"/>
          <w:spacing w:val="1"/>
          <w:sz w:val="26"/>
          <w:szCs w:val="26"/>
        </w:rPr>
        <w:t>s consideration of such evidence, it shall give effect to this section by making such adjustments to specific components of the utility</w:t>
      </w:r>
      <w:r w:rsidR="00A424DB">
        <w:rPr>
          <w:color w:val="000000"/>
          <w:spacing w:val="1"/>
          <w:sz w:val="26"/>
          <w:szCs w:val="26"/>
        </w:rPr>
        <w:t>’</w:t>
      </w:r>
      <w:r w:rsidRPr="00787A9E">
        <w:rPr>
          <w:color w:val="000000"/>
          <w:spacing w:val="1"/>
          <w:sz w:val="26"/>
          <w:szCs w:val="26"/>
        </w:rPr>
        <w:t>s claimed cost of service as it may determine to be proper and appropriate. Any adjustment made under this section shall be made on the basis of specific findings upon evidence of record, which findings shall be set forth explicitly, together with their underlying rationale, in the final order of the commission.</w:t>
      </w:r>
    </w:p>
    <w:p w14:paraId="1FD35289" w14:textId="09120C4B" w:rsidR="004C3B86" w:rsidRDefault="004C3B86" w:rsidP="00FD1A00">
      <w:pPr>
        <w:spacing w:after="200" w:line="240" w:lineRule="auto"/>
        <w:ind w:left="1440" w:right="1440"/>
        <w:contextualSpacing/>
        <w:rPr>
          <w:color w:val="000000"/>
          <w:spacing w:val="1"/>
          <w:sz w:val="26"/>
          <w:szCs w:val="26"/>
        </w:rPr>
      </w:pPr>
    </w:p>
    <w:p w14:paraId="146E4768" w14:textId="77777777" w:rsidR="004C3B86" w:rsidRPr="00787A9E" w:rsidRDefault="004C3B86" w:rsidP="00FD1A00">
      <w:pPr>
        <w:spacing w:after="200" w:line="240" w:lineRule="auto"/>
        <w:ind w:left="1440" w:right="1440"/>
        <w:contextualSpacing/>
        <w:rPr>
          <w:color w:val="000000"/>
          <w:spacing w:val="1"/>
          <w:sz w:val="26"/>
          <w:szCs w:val="26"/>
        </w:rPr>
      </w:pPr>
    </w:p>
    <w:p w14:paraId="2ED396F3" w14:textId="77777777" w:rsidR="00E032CD" w:rsidRPr="00787A9E" w:rsidRDefault="00E032CD" w:rsidP="00FD1A00">
      <w:pPr>
        <w:spacing w:after="200"/>
        <w:contextualSpacing/>
        <w:rPr>
          <w:rFonts w:eastAsiaTheme="minorHAnsi"/>
          <w:sz w:val="26"/>
          <w:szCs w:val="26"/>
        </w:rPr>
      </w:pPr>
      <w:r w:rsidRPr="00787A9E">
        <w:rPr>
          <w:rFonts w:eastAsiaTheme="minorHAnsi"/>
          <w:sz w:val="26"/>
          <w:szCs w:val="26"/>
        </w:rPr>
        <w:lastRenderedPageBreak/>
        <w:t>Additionally, Section 526(a) of the Code states:</w:t>
      </w:r>
    </w:p>
    <w:p w14:paraId="0652C199" w14:textId="77777777" w:rsidR="00E032CD" w:rsidRPr="00787A9E" w:rsidRDefault="00E032CD" w:rsidP="00FD1A00">
      <w:pPr>
        <w:spacing w:after="200"/>
        <w:contextualSpacing/>
        <w:rPr>
          <w:rFonts w:eastAsiaTheme="minorHAnsi"/>
          <w:sz w:val="26"/>
          <w:szCs w:val="26"/>
        </w:rPr>
      </w:pPr>
    </w:p>
    <w:p w14:paraId="2FD9AB7A" w14:textId="65B6100F" w:rsidR="00E032CD" w:rsidRDefault="00E032CD" w:rsidP="00FD1A00">
      <w:pPr>
        <w:spacing w:after="200" w:line="240" w:lineRule="auto"/>
        <w:ind w:left="1440" w:right="1440"/>
        <w:contextualSpacing/>
        <w:rPr>
          <w:color w:val="000000"/>
          <w:sz w:val="26"/>
          <w:szCs w:val="26"/>
        </w:rPr>
      </w:pPr>
      <w:r w:rsidRPr="00787A9E">
        <w:rPr>
          <w:color w:val="000000"/>
          <w:sz w:val="26"/>
          <w:szCs w:val="26"/>
        </w:rPr>
        <w:t>The commission may reject, in whole or in part, a public utility</w:t>
      </w:r>
      <w:r w:rsidR="00A424DB">
        <w:rPr>
          <w:color w:val="000000"/>
          <w:sz w:val="26"/>
          <w:szCs w:val="26"/>
        </w:rPr>
        <w:t>’</w:t>
      </w:r>
      <w:r w:rsidRPr="00787A9E">
        <w:rPr>
          <w:color w:val="000000"/>
          <w:sz w:val="26"/>
          <w:szCs w:val="26"/>
        </w:rPr>
        <w:t>s request to increase its rates where the commission concludes, after hearing, that the service rendered by the public utility is inadequate in that it fails to meet quantity or quality for the type of service provided</w:t>
      </w:r>
    </w:p>
    <w:p w14:paraId="149300E5" w14:textId="77777777" w:rsidR="004C3B86" w:rsidRPr="00787A9E" w:rsidRDefault="004C3B86" w:rsidP="00FD1A00">
      <w:pPr>
        <w:spacing w:after="200" w:line="240" w:lineRule="auto"/>
        <w:ind w:left="1440" w:right="1440"/>
        <w:contextualSpacing/>
        <w:rPr>
          <w:color w:val="000000"/>
          <w:sz w:val="26"/>
          <w:szCs w:val="26"/>
        </w:rPr>
      </w:pPr>
    </w:p>
    <w:p w14:paraId="4C943732" w14:textId="77777777" w:rsidR="00E032CD" w:rsidRPr="00787A9E" w:rsidRDefault="00E032CD" w:rsidP="00FD1A00">
      <w:pPr>
        <w:spacing w:after="200" w:line="240" w:lineRule="auto"/>
        <w:ind w:left="1440" w:right="1440"/>
        <w:contextualSpacing/>
        <w:rPr>
          <w:rFonts w:eastAsiaTheme="minorHAnsi"/>
          <w:sz w:val="26"/>
          <w:szCs w:val="26"/>
        </w:rPr>
      </w:pPr>
    </w:p>
    <w:p w14:paraId="6D1644C4" w14:textId="63C7B838" w:rsidR="00E032CD" w:rsidRPr="00787A9E" w:rsidRDefault="00E032CD" w:rsidP="00FD1A00">
      <w:pPr>
        <w:spacing w:after="200"/>
        <w:contextualSpacing/>
        <w:rPr>
          <w:rFonts w:eastAsiaTheme="minorHAnsi"/>
          <w:sz w:val="26"/>
          <w:szCs w:val="26"/>
        </w:rPr>
      </w:pPr>
      <w:r w:rsidRPr="00787A9E">
        <w:rPr>
          <w:rFonts w:eastAsiaTheme="minorHAnsi"/>
          <w:sz w:val="26"/>
          <w:szCs w:val="26"/>
        </w:rPr>
        <w:t xml:space="preserve">Therefore, as </w:t>
      </w:r>
      <w:r w:rsidR="00310C81">
        <w:rPr>
          <w:rFonts w:eastAsiaTheme="minorHAnsi"/>
          <w:sz w:val="26"/>
          <w:szCs w:val="26"/>
        </w:rPr>
        <w:t xml:space="preserve">the ALJ and </w:t>
      </w:r>
      <w:r w:rsidRPr="00787A9E">
        <w:rPr>
          <w:rFonts w:eastAsiaTheme="minorHAnsi"/>
          <w:sz w:val="26"/>
          <w:szCs w:val="26"/>
        </w:rPr>
        <w:t>HVUS noted, the Commission has the discretion to reduce a utility</w:t>
      </w:r>
      <w:r w:rsidR="00A424DB">
        <w:rPr>
          <w:rFonts w:eastAsiaTheme="minorHAnsi"/>
          <w:sz w:val="26"/>
          <w:szCs w:val="26"/>
        </w:rPr>
        <w:t>’</w:t>
      </w:r>
      <w:r w:rsidRPr="00787A9E">
        <w:rPr>
          <w:rFonts w:eastAsiaTheme="minorHAnsi"/>
          <w:sz w:val="26"/>
          <w:szCs w:val="26"/>
        </w:rPr>
        <w:t xml:space="preserve">s rate request, in part, or in whole, based on the quality of service it is providing to its customers.  </w:t>
      </w:r>
    </w:p>
    <w:p w14:paraId="0A58F79C" w14:textId="77777777" w:rsidR="00E032CD" w:rsidRPr="00787A9E" w:rsidRDefault="00E032CD" w:rsidP="00FD1A00">
      <w:pPr>
        <w:spacing w:after="200"/>
        <w:contextualSpacing/>
        <w:rPr>
          <w:rFonts w:eastAsiaTheme="minorHAnsi"/>
          <w:sz w:val="26"/>
          <w:szCs w:val="26"/>
        </w:rPr>
      </w:pPr>
    </w:p>
    <w:p w14:paraId="121FDE70" w14:textId="669604D1" w:rsidR="00E032CD" w:rsidRPr="00787A9E" w:rsidRDefault="00E032CD" w:rsidP="00FD1A00">
      <w:pPr>
        <w:spacing w:after="200"/>
        <w:ind w:firstLine="1440"/>
        <w:contextualSpacing/>
        <w:rPr>
          <w:rFonts w:eastAsiaTheme="minorHAnsi"/>
          <w:sz w:val="26"/>
          <w:szCs w:val="26"/>
        </w:rPr>
      </w:pPr>
      <w:r w:rsidRPr="00787A9E">
        <w:rPr>
          <w:rFonts w:eastAsiaTheme="minorHAnsi"/>
          <w:sz w:val="26"/>
          <w:szCs w:val="26"/>
        </w:rPr>
        <w:t>We are cognizant of the Company</w:t>
      </w:r>
      <w:r w:rsidR="00A424DB">
        <w:rPr>
          <w:rFonts w:eastAsiaTheme="minorHAnsi"/>
          <w:sz w:val="26"/>
          <w:szCs w:val="26"/>
        </w:rPr>
        <w:t>’</w:t>
      </w:r>
      <w:r w:rsidRPr="00787A9E">
        <w:rPr>
          <w:rFonts w:eastAsiaTheme="minorHAnsi"/>
          <w:sz w:val="26"/>
          <w:szCs w:val="26"/>
        </w:rPr>
        <w:t xml:space="preserve">s failure to provide reasonable and adequate service </w:t>
      </w:r>
      <w:r w:rsidR="004D0ED4">
        <w:rPr>
          <w:rFonts w:eastAsiaTheme="minorHAnsi"/>
          <w:sz w:val="26"/>
          <w:szCs w:val="26"/>
        </w:rPr>
        <w:t>since at least 2005</w:t>
      </w:r>
      <w:r w:rsidRPr="00787A9E">
        <w:rPr>
          <w:rFonts w:eastAsiaTheme="minorHAnsi"/>
          <w:sz w:val="26"/>
          <w:szCs w:val="26"/>
        </w:rPr>
        <w:t xml:space="preserve">.  Namely, we formally determined in the </w:t>
      </w:r>
      <w:r w:rsidRPr="00787A9E">
        <w:rPr>
          <w:rFonts w:eastAsiaTheme="minorHAnsi"/>
          <w:i/>
          <w:sz w:val="26"/>
          <w:szCs w:val="26"/>
        </w:rPr>
        <w:t>McCloskey</w:t>
      </w:r>
      <w:r w:rsidRPr="00787A9E">
        <w:rPr>
          <w:rFonts w:eastAsiaTheme="minorHAnsi"/>
          <w:sz w:val="26"/>
          <w:szCs w:val="26"/>
        </w:rPr>
        <w:t xml:space="preserve"> proceedings that HVUS provides unreasonable service and have clearly stated that failure by the Company to improve its service by a date certain could result in the commence</w:t>
      </w:r>
      <w:r w:rsidR="004C3B86">
        <w:rPr>
          <w:rFonts w:eastAsiaTheme="minorHAnsi"/>
          <w:sz w:val="26"/>
          <w:szCs w:val="26"/>
        </w:rPr>
        <w:t>-</w:t>
      </w:r>
      <w:r w:rsidRPr="00787A9E">
        <w:rPr>
          <w:rFonts w:eastAsiaTheme="minorHAnsi"/>
          <w:sz w:val="26"/>
          <w:szCs w:val="26"/>
        </w:rPr>
        <w:t xml:space="preserve">ment of a Section 529 Proceeding and the takeover and transfer of ownership of the Company to a competent utility.  In short, the current quality of service being rendered by HVUS has not changed since we found it inadequate in our </w:t>
      </w:r>
      <w:r w:rsidRPr="00787A9E">
        <w:rPr>
          <w:rFonts w:eastAsiaTheme="minorHAnsi"/>
          <w:i/>
          <w:sz w:val="26"/>
          <w:szCs w:val="26"/>
        </w:rPr>
        <w:t xml:space="preserve">January 2018 McCloskey Order.  </w:t>
      </w:r>
      <w:r w:rsidRPr="00787A9E">
        <w:rPr>
          <w:rFonts w:eastAsiaTheme="minorHAnsi"/>
          <w:sz w:val="26"/>
          <w:szCs w:val="26"/>
        </w:rPr>
        <w:t>As noted above, during the public input hearings in this proceeding, customers of HVUS testified as to the Company</w:t>
      </w:r>
      <w:r w:rsidR="00A424DB">
        <w:rPr>
          <w:rFonts w:eastAsiaTheme="minorHAnsi"/>
          <w:sz w:val="26"/>
          <w:szCs w:val="26"/>
        </w:rPr>
        <w:t>’</w:t>
      </w:r>
      <w:r w:rsidRPr="00787A9E">
        <w:rPr>
          <w:rFonts w:eastAsiaTheme="minorHAnsi"/>
          <w:sz w:val="26"/>
          <w:szCs w:val="26"/>
        </w:rPr>
        <w:t>s ongoing inadequate service.  Specifically, these customers testified that they are not able to use water for basic household purposes, including drinking, cooking, washing, and bathing.  The frustration of these customers is understandable, and we agree that the Company</w:t>
      </w:r>
      <w:r w:rsidR="00A424DB">
        <w:rPr>
          <w:rFonts w:eastAsiaTheme="minorHAnsi"/>
          <w:sz w:val="26"/>
          <w:szCs w:val="26"/>
        </w:rPr>
        <w:t>’</w:t>
      </w:r>
      <w:r w:rsidRPr="00787A9E">
        <w:rPr>
          <w:rFonts w:eastAsiaTheme="minorHAnsi"/>
          <w:sz w:val="26"/>
          <w:szCs w:val="26"/>
        </w:rPr>
        <w:t>s ongoing service issues warrant a rejection of its requested increase, in part.</w:t>
      </w:r>
    </w:p>
    <w:p w14:paraId="6BA51C17" w14:textId="77777777" w:rsidR="00E032CD" w:rsidRPr="00787A9E" w:rsidRDefault="00E032CD" w:rsidP="00FD1A00">
      <w:pPr>
        <w:spacing w:after="200"/>
        <w:contextualSpacing/>
        <w:rPr>
          <w:rFonts w:eastAsiaTheme="minorHAnsi"/>
          <w:sz w:val="26"/>
          <w:szCs w:val="26"/>
        </w:rPr>
      </w:pPr>
    </w:p>
    <w:p w14:paraId="3833A168" w14:textId="446659F0" w:rsidR="00E032CD" w:rsidRPr="00787A9E" w:rsidRDefault="00E032CD" w:rsidP="00FD1A00">
      <w:pPr>
        <w:spacing w:after="200"/>
        <w:ind w:firstLine="1440"/>
        <w:contextualSpacing/>
        <w:rPr>
          <w:rFonts w:eastAsiaTheme="minorHAnsi"/>
          <w:sz w:val="26"/>
          <w:szCs w:val="26"/>
        </w:rPr>
      </w:pPr>
      <w:r w:rsidRPr="00787A9E">
        <w:rPr>
          <w:rFonts w:eastAsiaTheme="minorHAnsi"/>
          <w:sz w:val="26"/>
          <w:szCs w:val="26"/>
        </w:rPr>
        <w:t xml:space="preserve">Nonetheless, the record indicates that the Company has not raised rates since 2005 and is not presently covering its costs of providing service.  As such, we agree with the ALJs that I&amp;E provided persuasive evidence that HVUS is currently operating at a loss and that there is a need for the Company to receive some additional revenue to </w:t>
      </w:r>
      <w:r w:rsidRPr="00787A9E">
        <w:rPr>
          <w:rFonts w:eastAsiaTheme="minorHAnsi"/>
          <w:sz w:val="26"/>
          <w:szCs w:val="26"/>
        </w:rPr>
        <w:lastRenderedPageBreak/>
        <w:t xml:space="preserve">cover the cost of service maintenance and to make the mandatory improvements, as directed in the </w:t>
      </w:r>
      <w:r w:rsidRPr="00787A9E">
        <w:rPr>
          <w:rFonts w:eastAsiaTheme="minorHAnsi"/>
          <w:i/>
          <w:sz w:val="26"/>
          <w:szCs w:val="26"/>
        </w:rPr>
        <w:t xml:space="preserve">McCloskey Orders.  </w:t>
      </w:r>
      <w:r w:rsidRPr="00787A9E">
        <w:rPr>
          <w:rFonts w:eastAsiaTheme="minorHAnsi"/>
          <w:sz w:val="26"/>
          <w:szCs w:val="26"/>
        </w:rPr>
        <w:t>The Non-Unanimous Settlement substantially reduces the amount of HVUS</w:t>
      </w:r>
      <w:r w:rsidR="00A424DB">
        <w:rPr>
          <w:rFonts w:eastAsiaTheme="minorHAnsi"/>
          <w:sz w:val="26"/>
          <w:szCs w:val="26"/>
        </w:rPr>
        <w:t>’</w:t>
      </w:r>
      <w:r w:rsidRPr="00787A9E">
        <w:rPr>
          <w:rFonts w:eastAsiaTheme="minorHAnsi"/>
          <w:sz w:val="26"/>
          <w:szCs w:val="26"/>
        </w:rPr>
        <w:t xml:space="preserve">s originally requested rate increase and denies the Company the opportunity to earn a return on equity, resulting in only a modest rate increase.  We note that in prior cases before this Commission, we have permitted a company modest rate relief even though the company was not providing reasonable and adequate service.  In such cases, we recognized that the utility must provide service to customers and must incur expenses to provide that service.  For example, in </w:t>
      </w:r>
      <w:r w:rsidRPr="00787A9E">
        <w:rPr>
          <w:rFonts w:eastAsiaTheme="minorHAnsi"/>
          <w:i/>
          <w:sz w:val="26"/>
          <w:szCs w:val="26"/>
        </w:rPr>
        <w:t>Pennsylvania Public Utility Commission, et al. v Delaware Sewer Company</w:t>
      </w:r>
      <w:r w:rsidRPr="00787A9E">
        <w:rPr>
          <w:rFonts w:eastAsiaTheme="minorHAnsi"/>
          <w:sz w:val="26"/>
          <w:szCs w:val="26"/>
        </w:rPr>
        <w:t>, Docket No. R-2014-2452705 (Order entered July 30, 2015) (</w:t>
      </w:r>
      <w:r w:rsidRPr="00787A9E">
        <w:rPr>
          <w:rFonts w:eastAsiaTheme="minorHAnsi"/>
          <w:i/>
          <w:sz w:val="26"/>
          <w:szCs w:val="26"/>
        </w:rPr>
        <w:t>Delaware Sewer</w:t>
      </w:r>
      <w:r w:rsidRPr="00787A9E">
        <w:rPr>
          <w:rFonts w:eastAsiaTheme="minorHAnsi"/>
          <w:sz w:val="26"/>
          <w:szCs w:val="26"/>
        </w:rPr>
        <w:t>), we stated as follows:</w:t>
      </w:r>
    </w:p>
    <w:p w14:paraId="2FC3E0C8" w14:textId="77777777" w:rsidR="00E032CD" w:rsidRPr="00787A9E" w:rsidRDefault="00E032CD" w:rsidP="00FD1A00">
      <w:pPr>
        <w:spacing w:after="200"/>
        <w:contextualSpacing/>
        <w:rPr>
          <w:rFonts w:eastAsiaTheme="minorHAnsi"/>
          <w:sz w:val="26"/>
          <w:szCs w:val="26"/>
        </w:rPr>
      </w:pPr>
    </w:p>
    <w:p w14:paraId="089335DF" w14:textId="6E4A8B58" w:rsidR="00E032CD" w:rsidRDefault="00E032CD" w:rsidP="00FD1A00">
      <w:pPr>
        <w:spacing w:after="200" w:line="240" w:lineRule="auto"/>
        <w:ind w:left="1440" w:right="1440"/>
        <w:contextualSpacing/>
        <w:rPr>
          <w:sz w:val="26"/>
          <w:szCs w:val="26"/>
        </w:rPr>
      </w:pPr>
      <w:r w:rsidRPr="00787A9E">
        <w:rPr>
          <w:sz w:val="26"/>
          <w:szCs w:val="26"/>
        </w:rPr>
        <w:t xml:space="preserve">[Delaware Sewer Company] is not providing adequate service, has not presented plans to address the service issues raised in this proceeding, and has not sought funds to make necessary changes.  Moreover, other than including a claim for [Cash Working Capital], the Company has not claimed any rate base or debt.  Therefore, we shall provide sufficient revenue to cover reasonable expenses, addressed, </w:t>
      </w:r>
      <w:r w:rsidRPr="00787A9E">
        <w:rPr>
          <w:i/>
          <w:sz w:val="26"/>
          <w:szCs w:val="26"/>
        </w:rPr>
        <w:t>supra</w:t>
      </w:r>
      <w:r w:rsidRPr="00787A9E">
        <w:rPr>
          <w:sz w:val="26"/>
          <w:szCs w:val="26"/>
        </w:rPr>
        <w:t>, and allow a modest operating income.</w:t>
      </w:r>
    </w:p>
    <w:p w14:paraId="3CD09A0B" w14:textId="29B26134" w:rsidR="004C3B86" w:rsidRDefault="004C3B86" w:rsidP="00FD1A00">
      <w:pPr>
        <w:spacing w:after="200" w:line="240" w:lineRule="auto"/>
        <w:ind w:left="1440" w:right="1440"/>
        <w:contextualSpacing/>
        <w:rPr>
          <w:sz w:val="26"/>
          <w:szCs w:val="26"/>
        </w:rPr>
      </w:pPr>
    </w:p>
    <w:p w14:paraId="3B47CD20" w14:textId="77777777" w:rsidR="004C3B86" w:rsidRPr="00787A9E" w:rsidRDefault="004C3B86" w:rsidP="00FD1A00">
      <w:pPr>
        <w:spacing w:after="200" w:line="240" w:lineRule="auto"/>
        <w:ind w:left="1440" w:right="1440"/>
        <w:contextualSpacing/>
        <w:rPr>
          <w:rFonts w:eastAsiaTheme="minorHAnsi"/>
          <w:sz w:val="26"/>
          <w:szCs w:val="26"/>
        </w:rPr>
      </w:pPr>
    </w:p>
    <w:p w14:paraId="47D092AB" w14:textId="77777777" w:rsidR="00E032CD" w:rsidRPr="00787A9E" w:rsidRDefault="00E032CD" w:rsidP="00FD1A00">
      <w:pPr>
        <w:spacing w:after="200"/>
        <w:contextualSpacing/>
        <w:rPr>
          <w:rFonts w:eastAsiaTheme="minorHAnsi"/>
          <w:sz w:val="26"/>
          <w:szCs w:val="26"/>
        </w:rPr>
      </w:pPr>
      <w:r w:rsidRPr="00787A9E">
        <w:rPr>
          <w:rFonts w:eastAsiaTheme="minorHAnsi"/>
          <w:i/>
          <w:sz w:val="26"/>
          <w:szCs w:val="26"/>
        </w:rPr>
        <w:t xml:space="preserve">Delaware Sewer </w:t>
      </w:r>
      <w:r w:rsidRPr="00787A9E">
        <w:rPr>
          <w:rFonts w:eastAsiaTheme="minorHAnsi"/>
          <w:sz w:val="26"/>
          <w:szCs w:val="26"/>
        </w:rPr>
        <w:t>at 36.</w:t>
      </w:r>
    </w:p>
    <w:p w14:paraId="27978935" w14:textId="77777777" w:rsidR="00E032CD" w:rsidRPr="00787A9E" w:rsidRDefault="00E032CD" w:rsidP="00FD1A00">
      <w:pPr>
        <w:spacing w:after="200"/>
        <w:contextualSpacing/>
        <w:rPr>
          <w:rFonts w:eastAsiaTheme="minorHAnsi"/>
          <w:sz w:val="26"/>
          <w:szCs w:val="26"/>
        </w:rPr>
      </w:pPr>
    </w:p>
    <w:p w14:paraId="7B777CFC" w14:textId="4A506EE2" w:rsidR="00E032CD" w:rsidRPr="00787A9E" w:rsidRDefault="00E032CD" w:rsidP="00FD1A00">
      <w:pPr>
        <w:spacing w:after="200"/>
        <w:ind w:firstLine="1440"/>
        <w:contextualSpacing/>
        <w:rPr>
          <w:rFonts w:eastAsiaTheme="minorHAnsi"/>
          <w:sz w:val="26"/>
          <w:szCs w:val="26"/>
        </w:rPr>
      </w:pPr>
      <w:r w:rsidRPr="00787A9E">
        <w:rPr>
          <w:rFonts w:eastAsiaTheme="minorHAnsi"/>
          <w:sz w:val="26"/>
          <w:szCs w:val="26"/>
        </w:rPr>
        <w:t>At the same time, however, we also reject the arguments of HVUS and I&amp;E that the ALJs erred by modifying the Non-Unanimous Settlement to eliminate the second step increase to the Company</w:t>
      </w:r>
      <w:r w:rsidR="00A424DB">
        <w:rPr>
          <w:rFonts w:eastAsiaTheme="minorHAnsi"/>
          <w:sz w:val="26"/>
          <w:szCs w:val="26"/>
        </w:rPr>
        <w:t>’</w:t>
      </w:r>
      <w:r w:rsidRPr="00787A9E">
        <w:rPr>
          <w:rFonts w:eastAsiaTheme="minorHAnsi"/>
          <w:sz w:val="26"/>
          <w:szCs w:val="26"/>
        </w:rPr>
        <w:t>s wastewater rates, designed to produce an additional $63,537 in annual revenues.  According to HVUS, the ALJs reduced the Company</w:t>
      </w:r>
      <w:r w:rsidR="00A424DB">
        <w:rPr>
          <w:rFonts w:eastAsiaTheme="minorHAnsi"/>
          <w:sz w:val="26"/>
          <w:szCs w:val="26"/>
        </w:rPr>
        <w:t>’</w:t>
      </w:r>
      <w:r w:rsidRPr="00787A9E">
        <w:rPr>
          <w:rFonts w:eastAsiaTheme="minorHAnsi"/>
          <w:sz w:val="26"/>
          <w:szCs w:val="26"/>
        </w:rPr>
        <w:t>s requested increase to its wastewater rates based on the Company</w:t>
      </w:r>
      <w:r w:rsidR="00A424DB">
        <w:rPr>
          <w:rFonts w:eastAsiaTheme="minorHAnsi"/>
          <w:sz w:val="26"/>
          <w:szCs w:val="26"/>
        </w:rPr>
        <w:t>’</w:t>
      </w:r>
      <w:r w:rsidRPr="00787A9E">
        <w:rPr>
          <w:rFonts w:eastAsiaTheme="minorHAnsi"/>
          <w:sz w:val="26"/>
          <w:szCs w:val="26"/>
        </w:rPr>
        <w:t xml:space="preserve">s inadequate water service.  However, although HVUS is correct that its wastewater system is different from its water system, we find ample evidence in the record to demonstrate that the Company is also providing inadequate wastewater service.  For example, as the OCA pointed out, HVUS has failed to complete, or even to commence, many of the projects identified in </w:t>
      </w:r>
      <w:r w:rsidRPr="00787A9E">
        <w:rPr>
          <w:rFonts w:eastAsiaTheme="minorHAnsi"/>
          <w:sz w:val="26"/>
          <w:szCs w:val="26"/>
        </w:rPr>
        <w:lastRenderedPageBreak/>
        <w:t>the Engineer</w:t>
      </w:r>
      <w:r w:rsidR="00A424DB">
        <w:rPr>
          <w:rFonts w:eastAsiaTheme="minorHAnsi"/>
          <w:sz w:val="26"/>
          <w:szCs w:val="26"/>
        </w:rPr>
        <w:t>’</w:t>
      </w:r>
      <w:r w:rsidRPr="00787A9E">
        <w:rPr>
          <w:rFonts w:eastAsiaTheme="minorHAnsi"/>
          <w:sz w:val="26"/>
          <w:szCs w:val="26"/>
        </w:rPr>
        <w:t xml:space="preserve">s </w:t>
      </w:r>
      <w:r w:rsidR="00C05298">
        <w:rPr>
          <w:rFonts w:eastAsiaTheme="minorHAnsi"/>
          <w:sz w:val="26"/>
          <w:szCs w:val="26"/>
        </w:rPr>
        <w:t>R</w:t>
      </w:r>
      <w:r w:rsidRPr="00787A9E">
        <w:rPr>
          <w:rFonts w:eastAsiaTheme="minorHAnsi"/>
          <w:sz w:val="26"/>
          <w:szCs w:val="26"/>
        </w:rPr>
        <w:t>eport.  As such, the Company has not yet properly equipped</w:t>
      </w:r>
      <w:r w:rsidR="00C05298">
        <w:rPr>
          <w:rFonts w:eastAsiaTheme="minorHAnsi"/>
          <w:sz w:val="26"/>
          <w:szCs w:val="26"/>
        </w:rPr>
        <w:t xml:space="preserve"> all of</w:t>
      </w:r>
      <w:r w:rsidRPr="00787A9E">
        <w:rPr>
          <w:rFonts w:eastAsiaTheme="minorHAnsi"/>
          <w:sz w:val="26"/>
          <w:szCs w:val="26"/>
        </w:rPr>
        <w:t xml:space="preserve"> its wastewater pumping and treatment facilities.  Because the Company still, </w:t>
      </w:r>
      <w:r w:rsidRPr="00787A9E">
        <w:rPr>
          <w:rFonts w:eastAsiaTheme="minorHAnsi"/>
          <w:i/>
          <w:sz w:val="26"/>
          <w:szCs w:val="26"/>
        </w:rPr>
        <w:t xml:space="preserve">inter alia, </w:t>
      </w:r>
      <w:r w:rsidRPr="00787A9E">
        <w:rPr>
          <w:rFonts w:eastAsiaTheme="minorHAnsi"/>
          <w:sz w:val="26"/>
          <w:szCs w:val="26"/>
        </w:rPr>
        <w:t xml:space="preserve">currently </w:t>
      </w:r>
      <w:r w:rsidR="001D7802" w:rsidRPr="00787A9E">
        <w:rPr>
          <w:rFonts w:eastAsiaTheme="minorHAnsi"/>
          <w:sz w:val="26"/>
          <w:szCs w:val="26"/>
        </w:rPr>
        <w:t xml:space="preserve">does not operate all of </w:t>
      </w:r>
      <w:r w:rsidRPr="00787A9E">
        <w:rPr>
          <w:rFonts w:eastAsiaTheme="minorHAnsi"/>
          <w:sz w:val="26"/>
          <w:szCs w:val="26"/>
        </w:rPr>
        <w:t xml:space="preserve">its pumping stations with backup pumps </w:t>
      </w:r>
      <w:r w:rsidR="001D7802" w:rsidRPr="00787A9E">
        <w:rPr>
          <w:rFonts w:eastAsiaTheme="minorHAnsi"/>
          <w:sz w:val="26"/>
          <w:szCs w:val="26"/>
        </w:rPr>
        <w:t>and</w:t>
      </w:r>
      <w:r w:rsidRPr="00787A9E">
        <w:rPr>
          <w:rFonts w:eastAsiaTheme="minorHAnsi"/>
          <w:sz w:val="26"/>
          <w:szCs w:val="26"/>
        </w:rPr>
        <w:t xml:space="preserve"> operating alarms, we agree with the OCA that HVUS continues to run the risk of having sewage contaminate customer homes and buildings.  Further, we concur with the ALJ and the OCA that even after HVUS complies with the recommendations set forth in the Engineer</w:t>
      </w:r>
      <w:r w:rsidR="00A424DB">
        <w:rPr>
          <w:rFonts w:eastAsiaTheme="minorHAnsi"/>
          <w:sz w:val="26"/>
          <w:szCs w:val="26"/>
        </w:rPr>
        <w:t>’</w:t>
      </w:r>
      <w:r w:rsidRPr="00787A9E">
        <w:rPr>
          <w:rFonts w:eastAsiaTheme="minorHAnsi"/>
          <w:sz w:val="26"/>
          <w:szCs w:val="26"/>
        </w:rPr>
        <w:t>s Report, this will not, on its own, equate to the Company rendering safe, adequate and reliable wastewater service.  Accordingly, we cannot, at this time, grant the Company an additional increase to its wastewater revenues that will provide an unknown return on equity and an increase in revenues beyond that which is necessary to cover its current operating costs.  For this reason, the request of HVUS and I&amp;E that we overturn the ALJs</w:t>
      </w:r>
      <w:r w:rsidR="00A424DB">
        <w:rPr>
          <w:rFonts w:eastAsiaTheme="minorHAnsi"/>
          <w:sz w:val="26"/>
          <w:szCs w:val="26"/>
        </w:rPr>
        <w:t>’</w:t>
      </w:r>
      <w:r w:rsidRPr="00787A9E">
        <w:rPr>
          <w:rFonts w:eastAsiaTheme="minorHAnsi"/>
          <w:sz w:val="26"/>
          <w:szCs w:val="26"/>
        </w:rPr>
        <w:t xml:space="preserve"> recommended modification to the Non-Unanimous Settlement is denied.</w:t>
      </w:r>
    </w:p>
    <w:p w14:paraId="3202BB5F" w14:textId="77777777" w:rsidR="00E032CD" w:rsidRPr="00787A9E" w:rsidRDefault="00E032CD" w:rsidP="00FD1A00">
      <w:pPr>
        <w:spacing w:after="200"/>
        <w:ind w:firstLine="1440"/>
        <w:contextualSpacing/>
        <w:rPr>
          <w:rFonts w:eastAsiaTheme="minorHAnsi"/>
          <w:sz w:val="26"/>
          <w:szCs w:val="26"/>
        </w:rPr>
      </w:pPr>
    </w:p>
    <w:p w14:paraId="2DDAEDAD" w14:textId="4C95182B" w:rsidR="00E032CD" w:rsidRPr="00787A9E" w:rsidRDefault="00E032CD" w:rsidP="00FD1A00">
      <w:pPr>
        <w:spacing w:after="200"/>
        <w:ind w:firstLine="1440"/>
        <w:contextualSpacing/>
        <w:rPr>
          <w:rFonts w:eastAsiaTheme="minorHAnsi"/>
          <w:sz w:val="26"/>
          <w:szCs w:val="26"/>
        </w:rPr>
      </w:pPr>
      <w:r w:rsidRPr="00787A9E">
        <w:rPr>
          <w:rFonts w:eastAsiaTheme="minorHAnsi"/>
          <w:sz w:val="26"/>
          <w:szCs w:val="26"/>
        </w:rPr>
        <w:t>In light of the above, we shall adopt the ALJs</w:t>
      </w:r>
      <w:r w:rsidR="00A424DB">
        <w:rPr>
          <w:rFonts w:eastAsiaTheme="minorHAnsi"/>
          <w:sz w:val="26"/>
          <w:szCs w:val="26"/>
        </w:rPr>
        <w:t>’</w:t>
      </w:r>
      <w:r w:rsidRPr="00787A9E">
        <w:rPr>
          <w:rFonts w:eastAsiaTheme="minorHAnsi"/>
          <w:sz w:val="26"/>
          <w:szCs w:val="26"/>
        </w:rPr>
        <w:t xml:space="preserve"> recommendation that the Non-Unanimous Settlement be modified by reducing the total wastewater revenue requirement set forth therein.  This will result in an approved increase of $65,557 to the Company</w:t>
      </w:r>
      <w:r w:rsidR="00A424DB">
        <w:rPr>
          <w:rFonts w:eastAsiaTheme="minorHAnsi"/>
          <w:sz w:val="26"/>
          <w:szCs w:val="26"/>
        </w:rPr>
        <w:t>’</w:t>
      </w:r>
      <w:r w:rsidRPr="00787A9E">
        <w:rPr>
          <w:rFonts w:eastAsiaTheme="minorHAnsi"/>
          <w:sz w:val="26"/>
          <w:szCs w:val="26"/>
        </w:rPr>
        <w:t>s water revenues and an increase of $82,227 to the Company</w:t>
      </w:r>
      <w:r w:rsidR="00A424DB">
        <w:rPr>
          <w:rFonts w:eastAsiaTheme="minorHAnsi"/>
          <w:sz w:val="26"/>
          <w:szCs w:val="26"/>
        </w:rPr>
        <w:t>’</w:t>
      </w:r>
      <w:r w:rsidRPr="00787A9E">
        <w:rPr>
          <w:rFonts w:eastAsiaTheme="minorHAnsi"/>
          <w:sz w:val="26"/>
          <w:szCs w:val="26"/>
        </w:rPr>
        <w:t>s wastewater revenues, on an annual basis.</w:t>
      </w:r>
      <w:r w:rsidR="00B56B62" w:rsidRPr="00787A9E">
        <w:rPr>
          <w:rStyle w:val="FootnoteReference"/>
          <w:sz w:val="26"/>
          <w:szCs w:val="26"/>
        </w:rPr>
        <w:footnoteReference w:id="26"/>
      </w:r>
      <w:r w:rsidR="00B56B62" w:rsidRPr="00787A9E">
        <w:rPr>
          <w:sz w:val="26"/>
          <w:szCs w:val="26"/>
        </w:rPr>
        <w:t xml:space="preserve"> </w:t>
      </w:r>
      <w:r w:rsidRPr="00787A9E">
        <w:rPr>
          <w:rFonts w:eastAsiaTheme="minorHAnsi"/>
          <w:sz w:val="26"/>
          <w:szCs w:val="26"/>
        </w:rPr>
        <w:t xml:space="preserve"> All Exceptions to the contrary are denied.</w:t>
      </w:r>
    </w:p>
    <w:p w14:paraId="0ECD5746" w14:textId="77777777" w:rsidR="004B2238" w:rsidRPr="00787A9E" w:rsidRDefault="004B2238" w:rsidP="00FD1A00">
      <w:pPr>
        <w:pStyle w:val="Default"/>
        <w:spacing w:line="360" w:lineRule="auto"/>
        <w:ind w:firstLine="1440"/>
        <w:contextualSpacing/>
        <w:rPr>
          <w:sz w:val="26"/>
          <w:szCs w:val="26"/>
        </w:rPr>
      </w:pPr>
    </w:p>
    <w:p w14:paraId="7C2BDD02" w14:textId="4632EBED" w:rsidR="00D262F1" w:rsidRPr="00787A9E" w:rsidRDefault="00AC6D57" w:rsidP="00FD1A00">
      <w:pPr>
        <w:pStyle w:val="Default"/>
        <w:keepNext/>
        <w:keepLines/>
        <w:numPr>
          <w:ilvl w:val="0"/>
          <w:numId w:val="33"/>
        </w:numPr>
        <w:ind w:hanging="720"/>
        <w:contextualSpacing/>
        <w:rPr>
          <w:b/>
          <w:sz w:val="26"/>
          <w:szCs w:val="26"/>
        </w:rPr>
      </w:pPr>
      <w:r w:rsidRPr="00787A9E">
        <w:rPr>
          <w:b/>
          <w:sz w:val="26"/>
          <w:szCs w:val="26"/>
        </w:rPr>
        <w:lastRenderedPageBreak/>
        <w:t>I</w:t>
      </w:r>
      <w:r w:rsidR="00D262F1" w:rsidRPr="00787A9E">
        <w:rPr>
          <w:b/>
          <w:sz w:val="26"/>
          <w:szCs w:val="26"/>
        </w:rPr>
        <w:t>ndependent Financial Audit</w:t>
      </w:r>
      <w:r w:rsidR="0079606E" w:rsidRPr="00787A9E">
        <w:rPr>
          <w:b/>
          <w:sz w:val="26"/>
          <w:szCs w:val="26"/>
        </w:rPr>
        <w:t xml:space="preserve"> </w:t>
      </w:r>
    </w:p>
    <w:p w14:paraId="39CAA2BE" w14:textId="77777777" w:rsidR="00D262F1" w:rsidRPr="00787A9E" w:rsidRDefault="00D262F1" w:rsidP="00FD1A00">
      <w:pPr>
        <w:pStyle w:val="Heading4"/>
        <w:keepLines/>
        <w:contextualSpacing/>
        <w:jc w:val="left"/>
      </w:pPr>
    </w:p>
    <w:p w14:paraId="2DD2272B" w14:textId="0ECD17C5" w:rsidR="00D262F1" w:rsidRPr="00787A9E" w:rsidRDefault="00D262F1" w:rsidP="00FD1A00">
      <w:pPr>
        <w:pStyle w:val="Heading4"/>
        <w:keepLines/>
        <w:numPr>
          <w:ilvl w:val="0"/>
          <w:numId w:val="16"/>
        </w:numPr>
        <w:ind w:left="1800"/>
        <w:contextualSpacing/>
        <w:jc w:val="left"/>
      </w:pPr>
      <w:r w:rsidRPr="00787A9E">
        <w:tab/>
        <w:t>Positions of the Parties</w:t>
      </w:r>
    </w:p>
    <w:p w14:paraId="723575C8" w14:textId="77777777" w:rsidR="00D262F1" w:rsidRPr="00787A9E" w:rsidRDefault="00D262F1" w:rsidP="00FD1A00">
      <w:pPr>
        <w:pStyle w:val="Default"/>
        <w:keepNext/>
        <w:keepLines/>
        <w:spacing w:line="360" w:lineRule="auto"/>
        <w:ind w:firstLine="1440"/>
        <w:contextualSpacing/>
        <w:rPr>
          <w:sz w:val="26"/>
          <w:szCs w:val="26"/>
        </w:rPr>
      </w:pPr>
    </w:p>
    <w:p w14:paraId="07F47FB5" w14:textId="050A6EFC" w:rsidR="002758F9" w:rsidRPr="00787A9E" w:rsidRDefault="002758F9" w:rsidP="00FD1A00">
      <w:pPr>
        <w:pStyle w:val="Default"/>
        <w:keepNext/>
        <w:keepLines/>
        <w:numPr>
          <w:ilvl w:val="0"/>
          <w:numId w:val="24"/>
        </w:numPr>
        <w:spacing w:line="360" w:lineRule="auto"/>
        <w:ind w:left="2880" w:hanging="720"/>
        <w:contextualSpacing/>
        <w:rPr>
          <w:b/>
          <w:sz w:val="26"/>
          <w:szCs w:val="26"/>
        </w:rPr>
      </w:pPr>
      <w:r w:rsidRPr="00787A9E">
        <w:rPr>
          <w:b/>
          <w:sz w:val="26"/>
          <w:szCs w:val="26"/>
        </w:rPr>
        <w:t>HVUS</w:t>
      </w:r>
      <w:r w:rsidR="00A424DB">
        <w:rPr>
          <w:b/>
          <w:sz w:val="26"/>
          <w:szCs w:val="26"/>
        </w:rPr>
        <w:t>’</w:t>
      </w:r>
      <w:r w:rsidRPr="00787A9E">
        <w:rPr>
          <w:b/>
          <w:sz w:val="26"/>
          <w:szCs w:val="26"/>
        </w:rPr>
        <w:t>s Position</w:t>
      </w:r>
    </w:p>
    <w:p w14:paraId="49D3F495" w14:textId="77777777" w:rsidR="002758F9" w:rsidRPr="00787A9E" w:rsidRDefault="002758F9" w:rsidP="00FD1A00">
      <w:pPr>
        <w:pStyle w:val="Default"/>
        <w:keepNext/>
        <w:keepLines/>
        <w:spacing w:line="360" w:lineRule="auto"/>
        <w:ind w:left="1800"/>
        <w:contextualSpacing/>
        <w:rPr>
          <w:b/>
          <w:sz w:val="26"/>
          <w:szCs w:val="26"/>
        </w:rPr>
      </w:pPr>
    </w:p>
    <w:p w14:paraId="635AC9F3" w14:textId="63706FFF" w:rsidR="002758F9" w:rsidRPr="00787A9E" w:rsidRDefault="00CF2281" w:rsidP="00FD1A00">
      <w:pPr>
        <w:pStyle w:val="Default"/>
        <w:spacing w:line="360" w:lineRule="auto"/>
        <w:ind w:firstLine="1440"/>
        <w:contextualSpacing/>
        <w:rPr>
          <w:sz w:val="26"/>
          <w:szCs w:val="26"/>
        </w:rPr>
      </w:pPr>
      <w:r w:rsidRPr="00787A9E">
        <w:rPr>
          <w:sz w:val="26"/>
          <w:szCs w:val="26"/>
        </w:rPr>
        <w:t xml:space="preserve">HVUS noted that </w:t>
      </w:r>
      <w:r w:rsidR="003B4700" w:rsidRPr="00787A9E">
        <w:rPr>
          <w:sz w:val="26"/>
          <w:szCs w:val="26"/>
        </w:rPr>
        <w:t>a</w:t>
      </w:r>
      <w:r w:rsidR="002758F9" w:rsidRPr="00787A9E">
        <w:rPr>
          <w:sz w:val="26"/>
          <w:szCs w:val="26"/>
        </w:rPr>
        <w:t xml:space="preserve">t the public input hearing, Mr. Kollar testified that he believed the fourteen corrected annual reports filed by the Company in compliance with </w:t>
      </w:r>
      <w:r w:rsidR="004039B1" w:rsidRPr="00787A9E">
        <w:rPr>
          <w:sz w:val="26"/>
          <w:szCs w:val="26"/>
        </w:rPr>
        <w:t xml:space="preserve">the </w:t>
      </w:r>
      <w:r w:rsidR="002758F9" w:rsidRPr="00787A9E">
        <w:rPr>
          <w:i/>
          <w:sz w:val="26"/>
          <w:szCs w:val="26"/>
        </w:rPr>
        <w:t>McCloskey Orders</w:t>
      </w:r>
      <w:r w:rsidR="002758F9" w:rsidRPr="00787A9E">
        <w:rPr>
          <w:sz w:val="26"/>
          <w:szCs w:val="26"/>
        </w:rPr>
        <w:t xml:space="preserve"> contained errors.  I&amp;E</w:t>
      </w:r>
      <w:r w:rsidR="00A424DB">
        <w:rPr>
          <w:sz w:val="26"/>
          <w:szCs w:val="26"/>
        </w:rPr>
        <w:t>’</w:t>
      </w:r>
      <w:r w:rsidR="002758F9" w:rsidRPr="00787A9E">
        <w:rPr>
          <w:sz w:val="26"/>
          <w:szCs w:val="26"/>
        </w:rPr>
        <w:t>s witness</w:t>
      </w:r>
      <w:r w:rsidR="00DE32C1" w:rsidRPr="00787A9E">
        <w:rPr>
          <w:sz w:val="26"/>
          <w:szCs w:val="26"/>
        </w:rPr>
        <w:t xml:space="preserve"> Mr.</w:t>
      </w:r>
      <w:r w:rsidR="002758F9" w:rsidRPr="00787A9E">
        <w:rPr>
          <w:sz w:val="26"/>
          <w:szCs w:val="26"/>
        </w:rPr>
        <w:t xml:space="preserve"> Zalesky concur</w:t>
      </w:r>
      <w:r w:rsidR="00C2505D" w:rsidRPr="00787A9E">
        <w:rPr>
          <w:sz w:val="26"/>
          <w:szCs w:val="26"/>
        </w:rPr>
        <w:t>red</w:t>
      </w:r>
      <w:r w:rsidR="002758F9" w:rsidRPr="00787A9E">
        <w:rPr>
          <w:sz w:val="26"/>
          <w:szCs w:val="26"/>
        </w:rPr>
        <w:t xml:space="preserve"> with Mr.</w:t>
      </w:r>
      <w:r w:rsidR="004C3B86">
        <w:rPr>
          <w:sz w:val="26"/>
          <w:szCs w:val="26"/>
        </w:rPr>
        <w:t> </w:t>
      </w:r>
      <w:r w:rsidR="002758F9" w:rsidRPr="00787A9E">
        <w:rPr>
          <w:sz w:val="26"/>
          <w:szCs w:val="26"/>
        </w:rPr>
        <w:t>Kollar</w:t>
      </w:r>
      <w:r w:rsidR="00A424DB">
        <w:rPr>
          <w:sz w:val="26"/>
          <w:szCs w:val="26"/>
        </w:rPr>
        <w:t>’</w:t>
      </w:r>
      <w:r w:rsidR="002758F9" w:rsidRPr="00787A9E">
        <w:rPr>
          <w:sz w:val="26"/>
          <w:szCs w:val="26"/>
        </w:rPr>
        <w:t>s observation and recommended that an independent financial audit and management efficiency audit be conducted to bring transparency and accuracy to the Company</w:t>
      </w:r>
      <w:r w:rsidR="00A424DB">
        <w:rPr>
          <w:sz w:val="26"/>
          <w:szCs w:val="26"/>
        </w:rPr>
        <w:t>’</w:t>
      </w:r>
      <w:r w:rsidR="002758F9" w:rsidRPr="00787A9E">
        <w:rPr>
          <w:sz w:val="26"/>
          <w:szCs w:val="26"/>
        </w:rPr>
        <w:t xml:space="preserve">s accounting statements.  </w:t>
      </w:r>
      <w:r w:rsidR="0038205A" w:rsidRPr="00787A9E">
        <w:rPr>
          <w:sz w:val="26"/>
          <w:szCs w:val="26"/>
        </w:rPr>
        <w:t xml:space="preserve">HVUS </w:t>
      </w:r>
      <w:r w:rsidR="002758F9" w:rsidRPr="00787A9E">
        <w:rPr>
          <w:sz w:val="26"/>
          <w:szCs w:val="26"/>
        </w:rPr>
        <w:t xml:space="preserve">M.B. at 50 </w:t>
      </w:r>
      <w:r w:rsidR="005F0211" w:rsidRPr="00787A9E">
        <w:rPr>
          <w:sz w:val="26"/>
          <w:szCs w:val="26"/>
        </w:rPr>
        <w:t>(</w:t>
      </w:r>
      <w:r w:rsidR="002758F9" w:rsidRPr="00787A9E">
        <w:rPr>
          <w:sz w:val="26"/>
          <w:szCs w:val="26"/>
        </w:rPr>
        <w:t>citing Tr. at 167-170; I&amp;E St.</w:t>
      </w:r>
      <w:r w:rsidR="004C3B86">
        <w:rPr>
          <w:sz w:val="26"/>
          <w:szCs w:val="26"/>
        </w:rPr>
        <w:t> </w:t>
      </w:r>
      <w:r w:rsidR="002758F9" w:rsidRPr="00787A9E">
        <w:rPr>
          <w:sz w:val="26"/>
          <w:szCs w:val="26"/>
        </w:rPr>
        <w:t>1 (Water) at 13-15; I&amp;E St. 1-SR (Water) at 17-22; I&amp;E St. 1 (Wastewater) at 11-13; I&amp;E St.</w:t>
      </w:r>
      <w:r w:rsidR="004C3B86">
        <w:rPr>
          <w:sz w:val="26"/>
          <w:szCs w:val="26"/>
        </w:rPr>
        <w:t> </w:t>
      </w:r>
      <w:r w:rsidR="002758F9" w:rsidRPr="00787A9E">
        <w:rPr>
          <w:sz w:val="26"/>
          <w:szCs w:val="26"/>
        </w:rPr>
        <w:t>1-R (Wastewater) at 15-20</w:t>
      </w:r>
      <w:r w:rsidR="005F0211" w:rsidRPr="00787A9E">
        <w:rPr>
          <w:sz w:val="26"/>
          <w:szCs w:val="26"/>
        </w:rPr>
        <w:t>)</w:t>
      </w:r>
      <w:r w:rsidR="002758F9" w:rsidRPr="00787A9E">
        <w:rPr>
          <w:sz w:val="26"/>
          <w:szCs w:val="26"/>
        </w:rPr>
        <w:t>.</w:t>
      </w:r>
    </w:p>
    <w:p w14:paraId="2D02569B" w14:textId="77777777" w:rsidR="002758F9" w:rsidRPr="00787A9E" w:rsidRDefault="002758F9" w:rsidP="00FD1A00">
      <w:pPr>
        <w:pStyle w:val="Default"/>
        <w:spacing w:line="360" w:lineRule="auto"/>
        <w:contextualSpacing/>
        <w:rPr>
          <w:sz w:val="26"/>
          <w:szCs w:val="26"/>
        </w:rPr>
      </w:pPr>
    </w:p>
    <w:p w14:paraId="4DC13E4B" w14:textId="55093691" w:rsidR="002758F9" w:rsidRPr="00787A9E" w:rsidRDefault="002758F9" w:rsidP="00FD1A00">
      <w:pPr>
        <w:pStyle w:val="Default"/>
        <w:spacing w:line="360" w:lineRule="auto"/>
        <w:ind w:firstLine="1440"/>
        <w:contextualSpacing/>
        <w:rPr>
          <w:sz w:val="26"/>
          <w:szCs w:val="26"/>
        </w:rPr>
      </w:pPr>
      <w:r w:rsidRPr="00787A9E">
        <w:rPr>
          <w:sz w:val="26"/>
          <w:szCs w:val="26"/>
        </w:rPr>
        <w:t xml:space="preserve">HVUS </w:t>
      </w:r>
      <w:r w:rsidR="004039B1" w:rsidRPr="00787A9E">
        <w:rPr>
          <w:sz w:val="26"/>
          <w:szCs w:val="26"/>
        </w:rPr>
        <w:t xml:space="preserve">contended </w:t>
      </w:r>
      <w:r w:rsidRPr="00787A9E">
        <w:rPr>
          <w:sz w:val="26"/>
          <w:szCs w:val="26"/>
        </w:rPr>
        <w:t xml:space="preserve">that while it </w:t>
      </w:r>
      <w:r w:rsidR="007572A5" w:rsidRPr="00787A9E">
        <w:rPr>
          <w:sz w:val="26"/>
          <w:szCs w:val="26"/>
        </w:rPr>
        <w:t>is</w:t>
      </w:r>
      <w:r w:rsidRPr="00787A9E">
        <w:rPr>
          <w:sz w:val="26"/>
          <w:szCs w:val="26"/>
        </w:rPr>
        <w:t xml:space="preserve"> not oppose</w:t>
      </w:r>
      <w:r w:rsidR="007572A5" w:rsidRPr="00787A9E">
        <w:rPr>
          <w:sz w:val="26"/>
          <w:szCs w:val="26"/>
        </w:rPr>
        <w:t>d to</w:t>
      </w:r>
      <w:r w:rsidRPr="00787A9E">
        <w:rPr>
          <w:sz w:val="26"/>
          <w:szCs w:val="26"/>
        </w:rPr>
        <w:t xml:space="preserve"> I&amp;E</w:t>
      </w:r>
      <w:r w:rsidR="00A424DB">
        <w:rPr>
          <w:sz w:val="26"/>
          <w:szCs w:val="26"/>
        </w:rPr>
        <w:t>’</w:t>
      </w:r>
      <w:r w:rsidRPr="00787A9E">
        <w:rPr>
          <w:sz w:val="26"/>
          <w:szCs w:val="26"/>
        </w:rPr>
        <w:t xml:space="preserve">s </w:t>
      </w:r>
      <w:r w:rsidR="00BB02EF" w:rsidRPr="00787A9E">
        <w:rPr>
          <w:sz w:val="26"/>
          <w:szCs w:val="26"/>
        </w:rPr>
        <w:t xml:space="preserve">independent financial audit </w:t>
      </w:r>
      <w:r w:rsidRPr="00787A9E">
        <w:rPr>
          <w:sz w:val="26"/>
          <w:szCs w:val="26"/>
        </w:rPr>
        <w:t>recommendation, the Company should</w:t>
      </w:r>
      <w:r w:rsidR="004039B1" w:rsidRPr="00787A9E">
        <w:rPr>
          <w:sz w:val="26"/>
          <w:szCs w:val="26"/>
        </w:rPr>
        <w:t xml:space="preserve"> </w:t>
      </w:r>
      <w:r w:rsidRPr="00787A9E">
        <w:rPr>
          <w:sz w:val="26"/>
          <w:szCs w:val="26"/>
        </w:rPr>
        <w:t xml:space="preserve">be given the management discretion to select the auditor.  HVUS stated that it should be </w:t>
      </w:r>
      <w:r w:rsidR="0041143A" w:rsidRPr="00787A9E">
        <w:rPr>
          <w:sz w:val="26"/>
          <w:szCs w:val="26"/>
        </w:rPr>
        <w:t>allowed</w:t>
      </w:r>
      <w:r w:rsidRPr="00787A9E">
        <w:rPr>
          <w:sz w:val="26"/>
          <w:szCs w:val="26"/>
        </w:rPr>
        <w:t xml:space="preserve"> to issue a request for proposal and to enter into a contract with the lowest possible bidder.  HVUS argued that like any other contract for professional services, the Company</w:t>
      </w:r>
      <w:r w:rsidR="00A424DB">
        <w:rPr>
          <w:sz w:val="26"/>
          <w:szCs w:val="26"/>
        </w:rPr>
        <w:t>’</w:t>
      </w:r>
      <w:r w:rsidRPr="00787A9E">
        <w:rPr>
          <w:sz w:val="26"/>
          <w:szCs w:val="26"/>
        </w:rPr>
        <w:t>s management should have the discretion to hire the person or firm with whom it is most comfortable.  HVUS M.B. at 45.</w:t>
      </w:r>
    </w:p>
    <w:p w14:paraId="097F8FC0" w14:textId="77777777" w:rsidR="002758F9" w:rsidRPr="00787A9E" w:rsidRDefault="002758F9" w:rsidP="00FD1A00">
      <w:pPr>
        <w:pStyle w:val="Default"/>
        <w:spacing w:line="360" w:lineRule="auto"/>
        <w:contextualSpacing/>
        <w:rPr>
          <w:sz w:val="26"/>
          <w:szCs w:val="26"/>
        </w:rPr>
      </w:pPr>
    </w:p>
    <w:p w14:paraId="7DBA7DAE" w14:textId="1BCB2482" w:rsidR="002758F9" w:rsidRPr="00787A9E" w:rsidRDefault="002758F9" w:rsidP="00FD1A00">
      <w:pPr>
        <w:pStyle w:val="Default"/>
        <w:spacing w:line="360" w:lineRule="auto"/>
        <w:ind w:firstLine="1440"/>
        <w:contextualSpacing/>
        <w:rPr>
          <w:sz w:val="26"/>
          <w:szCs w:val="26"/>
        </w:rPr>
      </w:pPr>
      <w:r w:rsidRPr="00787A9E">
        <w:rPr>
          <w:sz w:val="26"/>
          <w:szCs w:val="26"/>
        </w:rPr>
        <w:t>Furthermore, HVUS argued the results of the audit would be proprietary and so</w:t>
      </w:r>
      <w:r w:rsidR="00C2505D" w:rsidRPr="00787A9E">
        <w:rPr>
          <w:sz w:val="26"/>
          <w:szCs w:val="26"/>
        </w:rPr>
        <w:t xml:space="preserve"> the Company</w:t>
      </w:r>
      <w:r w:rsidRPr="00787A9E">
        <w:rPr>
          <w:sz w:val="26"/>
          <w:szCs w:val="26"/>
        </w:rPr>
        <w:t xml:space="preserve"> should be allowed to keep the results confidential.  </w:t>
      </w:r>
      <w:r w:rsidR="00670F4B" w:rsidRPr="00787A9E">
        <w:rPr>
          <w:sz w:val="26"/>
          <w:szCs w:val="26"/>
        </w:rPr>
        <w:t>The</w:t>
      </w:r>
      <w:r w:rsidRPr="00787A9E">
        <w:rPr>
          <w:sz w:val="26"/>
          <w:szCs w:val="26"/>
        </w:rPr>
        <w:t xml:space="preserve"> Company believes it should be required to notify the Commission and the </w:t>
      </w:r>
      <w:r w:rsidR="00E034F7">
        <w:rPr>
          <w:sz w:val="26"/>
          <w:szCs w:val="26"/>
        </w:rPr>
        <w:t>P</w:t>
      </w:r>
      <w:r w:rsidRPr="00787A9E">
        <w:rPr>
          <w:sz w:val="26"/>
          <w:szCs w:val="26"/>
        </w:rPr>
        <w:t xml:space="preserve">arties to this proceeding that the audit has been </w:t>
      </w:r>
      <w:r w:rsidR="00670F4B" w:rsidRPr="00787A9E">
        <w:rPr>
          <w:sz w:val="26"/>
          <w:szCs w:val="26"/>
        </w:rPr>
        <w:t>completed but</w:t>
      </w:r>
      <w:r w:rsidRPr="00787A9E">
        <w:rPr>
          <w:sz w:val="26"/>
          <w:szCs w:val="26"/>
        </w:rPr>
        <w:t xml:space="preserve"> should not be required to share the results of the audit with the parties.  Finally, the Company argued the audit should be financed by </w:t>
      </w:r>
      <w:r w:rsidRPr="00787A9E">
        <w:rPr>
          <w:sz w:val="26"/>
          <w:szCs w:val="26"/>
        </w:rPr>
        <w:lastRenderedPageBreak/>
        <w:t xml:space="preserve">ratepayers and requested that the Commission allow </w:t>
      </w:r>
      <w:r w:rsidR="00670F4B" w:rsidRPr="00787A9E">
        <w:rPr>
          <w:sz w:val="26"/>
          <w:szCs w:val="26"/>
        </w:rPr>
        <w:t>HVUS</w:t>
      </w:r>
      <w:r w:rsidRPr="00787A9E">
        <w:rPr>
          <w:sz w:val="26"/>
          <w:szCs w:val="26"/>
        </w:rPr>
        <w:t xml:space="preserve"> to submit a claim in its next base rate </w:t>
      </w:r>
      <w:r w:rsidR="00007289" w:rsidRPr="00787A9E">
        <w:rPr>
          <w:sz w:val="26"/>
          <w:szCs w:val="26"/>
        </w:rPr>
        <w:t xml:space="preserve">case </w:t>
      </w:r>
      <w:r w:rsidRPr="00787A9E">
        <w:rPr>
          <w:sz w:val="26"/>
          <w:szCs w:val="26"/>
        </w:rPr>
        <w:t xml:space="preserve">for the costs of the audit.  </w:t>
      </w:r>
      <w:r w:rsidR="00820313" w:rsidRPr="00787A9E">
        <w:rPr>
          <w:sz w:val="26"/>
          <w:szCs w:val="26"/>
        </w:rPr>
        <w:t>HVUS M.B. at 45</w:t>
      </w:r>
      <w:r w:rsidRPr="00787A9E">
        <w:rPr>
          <w:sz w:val="26"/>
          <w:szCs w:val="26"/>
        </w:rPr>
        <w:t>-46.</w:t>
      </w:r>
    </w:p>
    <w:p w14:paraId="7674809B" w14:textId="77777777" w:rsidR="002758F9" w:rsidRPr="00787A9E" w:rsidRDefault="002758F9" w:rsidP="00FD1A00">
      <w:pPr>
        <w:pStyle w:val="Default"/>
        <w:spacing w:line="360" w:lineRule="auto"/>
        <w:contextualSpacing/>
        <w:rPr>
          <w:sz w:val="26"/>
          <w:szCs w:val="26"/>
        </w:rPr>
      </w:pPr>
    </w:p>
    <w:p w14:paraId="6E76B903" w14:textId="15875CEA" w:rsidR="002758F9" w:rsidRPr="00787A9E" w:rsidRDefault="002758F9" w:rsidP="00FD1A00">
      <w:pPr>
        <w:pStyle w:val="Default"/>
        <w:spacing w:line="360" w:lineRule="auto"/>
        <w:ind w:firstLine="1440"/>
        <w:contextualSpacing/>
        <w:rPr>
          <w:sz w:val="26"/>
          <w:szCs w:val="26"/>
        </w:rPr>
      </w:pPr>
      <w:r w:rsidRPr="00787A9E">
        <w:rPr>
          <w:sz w:val="26"/>
          <w:szCs w:val="26"/>
        </w:rPr>
        <w:t>Consequently, the</w:t>
      </w:r>
      <w:r w:rsidR="003F050F">
        <w:rPr>
          <w:sz w:val="26"/>
          <w:szCs w:val="26"/>
        </w:rPr>
        <w:t xml:space="preserve"> HVUS states that</w:t>
      </w:r>
      <w:r w:rsidRPr="00787A9E">
        <w:rPr>
          <w:sz w:val="26"/>
          <w:szCs w:val="26"/>
        </w:rPr>
        <w:t xml:space="preserve"> </w:t>
      </w:r>
      <w:r w:rsidR="00626769">
        <w:rPr>
          <w:sz w:val="26"/>
          <w:szCs w:val="26"/>
        </w:rPr>
        <w:t xml:space="preserve">the </w:t>
      </w:r>
      <w:r w:rsidRPr="00787A9E">
        <w:rPr>
          <w:sz w:val="26"/>
          <w:szCs w:val="26"/>
        </w:rPr>
        <w:t>Settlement includes a provision to address the annual report</w:t>
      </w:r>
      <w:r w:rsidR="001D28EF" w:rsidRPr="00787A9E">
        <w:rPr>
          <w:sz w:val="26"/>
          <w:szCs w:val="26"/>
        </w:rPr>
        <w:t>s</w:t>
      </w:r>
      <w:r w:rsidRPr="00787A9E">
        <w:rPr>
          <w:sz w:val="26"/>
          <w:szCs w:val="26"/>
        </w:rPr>
        <w:t xml:space="preserve"> and </w:t>
      </w:r>
      <w:r w:rsidR="00F838E4" w:rsidRPr="00787A9E">
        <w:rPr>
          <w:sz w:val="26"/>
          <w:szCs w:val="26"/>
        </w:rPr>
        <w:t xml:space="preserve">the </w:t>
      </w:r>
      <w:r w:rsidRPr="00787A9E">
        <w:rPr>
          <w:sz w:val="26"/>
          <w:szCs w:val="26"/>
        </w:rPr>
        <w:t xml:space="preserve">independent audit.  The Settlement provides that HVUS will submit corrected annual reports for </w:t>
      </w:r>
      <w:r w:rsidR="00C2505D" w:rsidRPr="00787A9E">
        <w:rPr>
          <w:sz w:val="26"/>
          <w:szCs w:val="26"/>
        </w:rPr>
        <w:t xml:space="preserve">the years </w:t>
      </w:r>
      <w:r w:rsidRPr="00787A9E">
        <w:rPr>
          <w:sz w:val="26"/>
          <w:szCs w:val="26"/>
        </w:rPr>
        <w:t>2015</w:t>
      </w:r>
      <w:r w:rsidR="00F838E4" w:rsidRPr="00787A9E">
        <w:rPr>
          <w:sz w:val="26"/>
          <w:szCs w:val="26"/>
        </w:rPr>
        <w:t xml:space="preserve"> to </w:t>
      </w:r>
      <w:r w:rsidRPr="00787A9E">
        <w:rPr>
          <w:sz w:val="26"/>
          <w:szCs w:val="26"/>
        </w:rPr>
        <w:t>2018.  According</w:t>
      </w:r>
      <w:r w:rsidR="009426BC">
        <w:rPr>
          <w:sz w:val="26"/>
          <w:szCs w:val="26"/>
        </w:rPr>
        <w:t xml:space="preserve"> HVUS, the Settlement includes the provision that</w:t>
      </w:r>
      <w:r w:rsidRPr="00787A9E">
        <w:rPr>
          <w:sz w:val="26"/>
          <w:szCs w:val="26"/>
        </w:rPr>
        <w:t xml:space="preserve">, to ensure that these annual reports are in fact correct, they are to be prepared or reviewed by a rate consultant prior to submission </w:t>
      </w:r>
      <w:r w:rsidR="003B4700" w:rsidRPr="00787A9E">
        <w:rPr>
          <w:sz w:val="26"/>
          <w:szCs w:val="26"/>
        </w:rPr>
        <w:t>to</w:t>
      </w:r>
      <w:r w:rsidRPr="00787A9E">
        <w:rPr>
          <w:sz w:val="26"/>
          <w:szCs w:val="26"/>
        </w:rPr>
        <w:t xml:space="preserve"> the Commission.  </w:t>
      </w:r>
      <w:r w:rsidR="009426BC">
        <w:rPr>
          <w:sz w:val="26"/>
          <w:szCs w:val="26"/>
        </w:rPr>
        <w:t>HVUS M.B</w:t>
      </w:r>
      <w:r w:rsidRPr="00787A9E">
        <w:rPr>
          <w:i/>
          <w:sz w:val="26"/>
          <w:szCs w:val="26"/>
        </w:rPr>
        <w:t xml:space="preserve">. </w:t>
      </w:r>
      <w:r w:rsidRPr="00787A9E">
        <w:rPr>
          <w:sz w:val="26"/>
          <w:szCs w:val="26"/>
        </w:rPr>
        <w:t>at 50.  In addition, the Joint Petitioners agreed that for the annual reports submitted to the Commission during the period 2019</w:t>
      </w:r>
      <w:r w:rsidR="00F838E4" w:rsidRPr="00787A9E">
        <w:rPr>
          <w:sz w:val="26"/>
          <w:szCs w:val="26"/>
        </w:rPr>
        <w:t xml:space="preserve"> to </w:t>
      </w:r>
      <w:r w:rsidRPr="00787A9E">
        <w:rPr>
          <w:sz w:val="26"/>
          <w:szCs w:val="26"/>
        </w:rPr>
        <w:t>2023, or until the Company</w:t>
      </w:r>
      <w:r w:rsidR="00A424DB">
        <w:rPr>
          <w:sz w:val="26"/>
          <w:szCs w:val="26"/>
        </w:rPr>
        <w:t>’</w:t>
      </w:r>
      <w:r w:rsidRPr="00787A9E">
        <w:rPr>
          <w:sz w:val="26"/>
          <w:szCs w:val="26"/>
        </w:rPr>
        <w:t xml:space="preserve">s next rate case, whichever is earlier, HVUS is to have its annual reports prepared or reviewed by a rate consultant.  </w:t>
      </w:r>
      <w:r w:rsidRPr="00787A9E">
        <w:rPr>
          <w:i/>
          <w:sz w:val="26"/>
          <w:szCs w:val="26"/>
        </w:rPr>
        <w:t>Id.</w:t>
      </w:r>
    </w:p>
    <w:p w14:paraId="5BA487EC" w14:textId="77777777" w:rsidR="002758F9" w:rsidRPr="00787A9E" w:rsidRDefault="002758F9" w:rsidP="00FD1A00">
      <w:pPr>
        <w:ind w:firstLine="1440"/>
        <w:contextualSpacing/>
        <w:rPr>
          <w:sz w:val="26"/>
          <w:szCs w:val="26"/>
        </w:rPr>
      </w:pPr>
    </w:p>
    <w:p w14:paraId="51FF4EDC" w14:textId="0BA283C9" w:rsidR="002758F9" w:rsidRPr="00787A9E" w:rsidRDefault="002758F9" w:rsidP="00FD1A00">
      <w:pPr>
        <w:pStyle w:val="Default"/>
        <w:keepNext/>
        <w:keepLines/>
        <w:numPr>
          <w:ilvl w:val="0"/>
          <w:numId w:val="24"/>
        </w:numPr>
        <w:spacing w:line="360" w:lineRule="auto"/>
        <w:ind w:left="2880" w:hanging="720"/>
        <w:contextualSpacing/>
        <w:rPr>
          <w:b/>
          <w:sz w:val="26"/>
          <w:szCs w:val="26"/>
        </w:rPr>
      </w:pPr>
      <w:r w:rsidRPr="00787A9E">
        <w:rPr>
          <w:b/>
          <w:sz w:val="26"/>
          <w:szCs w:val="26"/>
        </w:rPr>
        <w:t>I&amp;E</w:t>
      </w:r>
      <w:r w:rsidR="00A424DB">
        <w:rPr>
          <w:b/>
          <w:sz w:val="26"/>
          <w:szCs w:val="26"/>
        </w:rPr>
        <w:t>’</w:t>
      </w:r>
      <w:r w:rsidRPr="00787A9E">
        <w:rPr>
          <w:b/>
          <w:sz w:val="26"/>
          <w:szCs w:val="26"/>
        </w:rPr>
        <w:t>s Position</w:t>
      </w:r>
    </w:p>
    <w:p w14:paraId="4A813DDD" w14:textId="77777777" w:rsidR="002758F9" w:rsidRPr="00787A9E" w:rsidRDefault="002758F9" w:rsidP="00FD1A00">
      <w:pPr>
        <w:keepNext/>
        <w:keepLines/>
        <w:contextualSpacing/>
        <w:rPr>
          <w:sz w:val="26"/>
          <w:szCs w:val="26"/>
        </w:rPr>
      </w:pPr>
    </w:p>
    <w:p w14:paraId="5B2F2F5C" w14:textId="2E3B698B" w:rsidR="002758F9" w:rsidRPr="00787A9E" w:rsidRDefault="002758F9" w:rsidP="00FD1A00">
      <w:pPr>
        <w:ind w:firstLine="1440"/>
        <w:contextualSpacing/>
        <w:rPr>
          <w:sz w:val="26"/>
          <w:szCs w:val="26"/>
        </w:rPr>
      </w:pPr>
      <w:r w:rsidRPr="00787A9E">
        <w:rPr>
          <w:sz w:val="26"/>
          <w:szCs w:val="26"/>
        </w:rPr>
        <w:t>I&amp;E stated that given the potential inaccuracies that continue to exist in HVUS</w:t>
      </w:r>
      <w:r w:rsidR="00A424DB">
        <w:rPr>
          <w:sz w:val="26"/>
          <w:szCs w:val="26"/>
        </w:rPr>
        <w:t>’</w:t>
      </w:r>
      <w:r w:rsidRPr="00787A9E">
        <w:rPr>
          <w:sz w:val="26"/>
          <w:szCs w:val="26"/>
        </w:rPr>
        <w:t>s annual reports filed with the Commission</w:t>
      </w:r>
      <w:r w:rsidR="00901634" w:rsidRPr="00787A9E">
        <w:rPr>
          <w:sz w:val="26"/>
          <w:szCs w:val="26"/>
        </w:rPr>
        <w:t xml:space="preserve"> in compliance with </w:t>
      </w:r>
      <w:r w:rsidR="00245E9E" w:rsidRPr="00787A9E">
        <w:rPr>
          <w:sz w:val="26"/>
          <w:szCs w:val="26"/>
        </w:rPr>
        <w:t xml:space="preserve">the </w:t>
      </w:r>
      <w:r w:rsidR="00F8710D" w:rsidRPr="00787A9E">
        <w:rPr>
          <w:i/>
          <w:sz w:val="26"/>
          <w:szCs w:val="26"/>
        </w:rPr>
        <w:t>McCloskey Orders</w:t>
      </w:r>
      <w:r w:rsidRPr="00787A9E">
        <w:rPr>
          <w:sz w:val="26"/>
          <w:szCs w:val="26"/>
        </w:rPr>
        <w:t xml:space="preserve">, the term </w:t>
      </w:r>
      <w:r w:rsidR="00590FA4" w:rsidRPr="00787A9E">
        <w:rPr>
          <w:sz w:val="26"/>
          <w:szCs w:val="26"/>
        </w:rPr>
        <w:t xml:space="preserve">in the Non-Unanimous </w:t>
      </w:r>
      <w:r w:rsidR="002C76E9" w:rsidRPr="00787A9E">
        <w:rPr>
          <w:sz w:val="26"/>
          <w:szCs w:val="26"/>
        </w:rPr>
        <w:t xml:space="preserve">Settlement </w:t>
      </w:r>
      <w:r w:rsidR="00590FA4" w:rsidRPr="00787A9E">
        <w:rPr>
          <w:sz w:val="26"/>
          <w:szCs w:val="26"/>
        </w:rPr>
        <w:t xml:space="preserve">relating to this issue </w:t>
      </w:r>
      <w:r w:rsidRPr="00787A9E">
        <w:rPr>
          <w:sz w:val="26"/>
          <w:szCs w:val="26"/>
        </w:rPr>
        <w:t xml:space="preserve">appropriately requires </w:t>
      </w:r>
      <w:r w:rsidR="00202378" w:rsidRPr="00787A9E">
        <w:rPr>
          <w:sz w:val="26"/>
          <w:szCs w:val="26"/>
        </w:rPr>
        <w:t xml:space="preserve">the Company to file </w:t>
      </w:r>
      <w:r w:rsidRPr="00787A9E">
        <w:rPr>
          <w:sz w:val="26"/>
          <w:szCs w:val="26"/>
        </w:rPr>
        <w:t xml:space="preserve">annual reports from 2015 and beyond </w:t>
      </w:r>
      <w:r w:rsidR="00202378" w:rsidRPr="00787A9E">
        <w:rPr>
          <w:sz w:val="26"/>
          <w:szCs w:val="26"/>
        </w:rPr>
        <w:t xml:space="preserve">and for the annual reports </w:t>
      </w:r>
      <w:r w:rsidRPr="00787A9E">
        <w:rPr>
          <w:sz w:val="26"/>
          <w:szCs w:val="26"/>
        </w:rPr>
        <w:t>to be prepared or reviewed by a rate consultant.  I&amp;E believes th</w:t>
      </w:r>
      <w:r w:rsidR="002E3927" w:rsidRPr="00787A9E">
        <w:rPr>
          <w:sz w:val="26"/>
          <w:szCs w:val="26"/>
        </w:rPr>
        <w:t>is</w:t>
      </w:r>
      <w:r w:rsidRPr="00787A9E">
        <w:rPr>
          <w:sz w:val="26"/>
          <w:szCs w:val="26"/>
        </w:rPr>
        <w:t xml:space="preserve"> Settlement term </w:t>
      </w:r>
      <w:r w:rsidR="00590FA4" w:rsidRPr="00787A9E">
        <w:rPr>
          <w:sz w:val="26"/>
          <w:szCs w:val="26"/>
        </w:rPr>
        <w:t>is</w:t>
      </w:r>
      <w:r w:rsidRPr="00787A9E">
        <w:rPr>
          <w:sz w:val="26"/>
          <w:szCs w:val="26"/>
        </w:rPr>
        <w:t xml:space="preserve"> in the public interest as it will help the Company </w:t>
      </w:r>
      <w:r w:rsidR="00B93B67" w:rsidRPr="00787A9E">
        <w:rPr>
          <w:sz w:val="26"/>
          <w:szCs w:val="26"/>
        </w:rPr>
        <w:t xml:space="preserve">to </w:t>
      </w:r>
      <w:r w:rsidR="000B3C75" w:rsidRPr="00787A9E">
        <w:rPr>
          <w:sz w:val="26"/>
          <w:szCs w:val="26"/>
        </w:rPr>
        <w:t xml:space="preserve">adequately </w:t>
      </w:r>
      <w:r w:rsidR="00B93B67" w:rsidRPr="00787A9E">
        <w:rPr>
          <w:sz w:val="26"/>
          <w:szCs w:val="26"/>
        </w:rPr>
        <w:t xml:space="preserve">comply </w:t>
      </w:r>
      <w:r w:rsidRPr="00787A9E">
        <w:rPr>
          <w:sz w:val="26"/>
          <w:szCs w:val="26"/>
        </w:rPr>
        <w:t xml:space="preserve">with the </w:t>
      </w:r>
      <w:r w:rsidRPr="00787A9E">
        <w:rPr>
          <w:i/>
          <w:sz w:val="26"/>
          <w:szCs w:val="26"/>
        </w:rPr>
        <w:t>McCloskey Orders</w:t>
      </w:r>
      <w:r w:rsidRPr="00787A9E">
        <w:rPr>
          <w:sz w:val="26"/>
          <w:szCs w:val="26"/>
        </w:rPr>
        <w:t xml:space="preserve"> and ensure that accurate information is </w:t>
      </w:r>
      <w:r w:rsidR="000B3C75" w:rsidRPr="00787A9E">
        <w:rPr>
          <w:sz w:val="26"/>
          <w:szCs w:val="26"/>
        </w:rPr>
        <w:t xml:space="preserve">being </w:t>
      </w:r>
      <w:r w:rsidRPr="00787A9E">
        <w:rPr>
          <w:sz w:val="26"/>
          <w:szCs w:val="26"/>
        </w:rPr>
        <w:t>provided to the Commission.  I&amp;E M.B. at 17-18</w:t>
      </w:r>
      <w:r w:rsidR="009E1408" w:rsidRPr="00787A9E">
        <w:rPr>
          <w:sz w:val="26"/>
          <w:szCs w:val="26"/>
        </w:rPr>
        <w:t>; I&amp;E R.B. at 5-6</w:t>
      </w:r>
      <w:r w:rsidRPr="00787A9E">
        <w:rPr>
          <w:sz w:val="26"/>
          <w:szCs w:val="26"/>
        </w:rPr>
        <w:t>.</w:t>
      </w:r>
    </w:p>
    <w:p w14:paraId="3C38C1BA" w14:textId="77777777" w:rsidR="00202378" w:rsidRPr="00787A9E" w:rsidRDefault="00202378" w:rsidP="00FD1A00">
      <w:pPr>
        <w:ind w:firstLine="1440"/>
        <w:contextualSpacing/>
        <w:rPr>
          <w:sz w:val="26"/>
          <w:szCs w:val="26"/>
        </w:rPr>
      </w:pPr>
    </w:p>
    <w:p w14:paraId="686CC639" w14:textId="75CA621E" w:rsidR="00D262F1" w:rsidRPr="00787A9E" w:rsidRDefault="00D262F1" w:rsidP="00FD1A00">
      <w:pPr>
        <w:pStyle w:val="Default"/>
        <w:keepNext/>
        <w:keepLines/>
        <w:numPr>
          <w:ilvl w:val="0"/>
          <w:numId w:val="24"/>
        </w:numPr>
        <w:spacing w:line="360" w:lineRule="auto"/>
        <w:ind w:left="2880" w:hanging="720"/>
        <w:contextualSpacing/>
        <w:rPr>
          <w:b/>
          <w:sz w:val="26"/>
          <w:szCs w:val="26"/>
        </w:rPr>
      </w:pPr>
      <w:r w:rsidRPr="00787A9E">
        <w:rPr>
          <w:b/>
          <w:sz w:val="26"/>
          <w:szCs w:val="26"/>
        </w:rPr>
        <w:t>OCA</w:t>
      </w:r>
      <w:r w:rsidR="00A424DB">
        <w:rPr>
          <w:b/>
          <w:sz w:val="26"/>
          <w:szCs w:val="26"/>
        </w:rPr>
        <w:t>’</w:t>
      </w:r>
      <w:r w:rsidR="00C97869" w:rsidRPr="00787A9E">
        <w:rPr>
          <w:b/>
          <w:sz w:val="26"/>
          <w:szCs w:val="26"/>
        </w:rPr>
        <w:t>s Position</w:t>
      </w:r>
    </w:p>
    <w:p w14:paraId="2FFD67C1" w14:textId="77777777" w:rsidR="00C97869" w:rsidRPr="00787A9E" w:rsidRDefault="00C97869" w:rsidP="00FD1A00">
      <w:pPr>
        <w:pStyle w:val="Default"/>
        <w:keepNext/>
        <w:keepLines/>
        <w:spacing w:line="360" w:lineRule="auto"/>
        <w:contextualSpacing/>
        <w:rPr>
          <w:b/>
          <w:sz w:val="26"/>
          <w:szCs w:val="26"/>
        </w:rPr>
      </w:pPr>
    </w:p>
    <w:p w14:paraId="278211EF" w14:textId="3D3F81E0" w:rsidR="00EF16C6" w:rsidRPr="00787A9E" w:rsidRDefault="00EF16C6" w:rsidP="00FD1A00">
      <w:pPr>
        <w:ind w:firstLine="1440"/>
        <w:contextualSpacing/>
        <w:rPr>
          <w:sz w:val="26"/>
          <w:szCs w:val="26"/>
        </w:rPr>
      </w:pPr>
      <w:r w:rsidRPr="00787A9E">
        <w:rPr>
          <w:sz w:val="26"/>
          <w:szCs w:val="26"/>
        </w:rPr>
        <w:t xml:space="preserve">The OCA stated that it is not opposed to an audit conducted by an independent auditor.  However, the OCA argued that the conditions HVUS outlined would render an audit meaningless.  More specifically, the OCA explained that although </w:t>
      </w:r>
      <w:r w:rsidRPr="00787A9E">
        <w:rPr>
          <w:sz w:val="26"/>
          <w:szCs w:val="26"/>
        </w:rPr>
        <w:lastRenderedPageBreak/>
        <w:t>HVUS claimed that it would select the auditor and that the audit findings would be proprietary, there is no support for this approach in the Code.  In the OCA</w:t>
      </w:r>
      <w:r w:rsidR="00A424DB">
        <w:rPr>
          <w:sz w:val="26"/>
          <w:szCs w:val="26"/>
        </w:rPr>
        <w:t>’</w:t>
      </w:r>
      <w:r w:rsidRPr="00787A9E">
        <w:rPr>
          <w:sz w:val="26"/>
          <w:szCs w:val="26"/>
        </w:rPr>
        <w:t>s view, it would be inappropriate for an audit to be considered proprietary given the requirement under Section 523 of the Code that the Commission is to consider the efficiency and effectiveness of a utility</w:t>
      </w:r>
      <w:r w:rsidR="00A424DB">
        <w:rPr>
          <w:sz w:val="26"/>
          <w:szCs w:val="26"/>
        </w:rPr>
        <w:t>’</w:t>
      </w:r>
      <w:r w:rsidRPr="00787A9E">
        <w:rPr>
          <w:sz w:val="26"/>
          <w:szCs w:val="26"/>
        </w:rPr>
        <w:t>s management.  OCA M.B. at 47; OCA R.B. at 26-27.</w:t>
      </w:r>
    </w:p>
    <w:p w14:paraId="43F6C7DA" w14:textId="77777777" w:rsidR="00EF16C6" w:rsidRPr="00787A9E" w:rsidRDefault="00EF16C6" w:rsidP="00FD1A00">
      <w:pPr>
        <w:contextualSpacing/>
        <w:rPr>
          <w:sz w:val="26"/>
          <w:szCs w:val="26"/>
        </w:rPr>
      </w:pPr>
    </w:p>
    <w:p w14:paraId="6D5DE1B7" w14:textId="77679EFC" w:rsidR="00EF16C6" w:rsidRPr="00787A9E" w:rsidRDefault="00EF16C6" w:rsidP="00FD1A00">
      <w:pPr>
        <w:ind w:firstLine="1440"/>
        <w:contextualSpacing/>
        <w:rPr>
          <w:sz w:val="26"/>
          <w:szCs w:val="26"/>
        </w:rPr>
      </w:pPr>
      <w:r w:rsidRPr="00787A9E">
        <w:rPr>
          <w:sz w:val="26"/>
          <w:szCs w:val="26"/>
        </w:rPr>
        <w:t>Additionally, the OCA supported the provision of the Non-Unanimous Settlement that would require HVUS to correct any existing annual reports on file with the Commission and to have a consultant review the reports.  However, the OCA stressed that its support of this provision should not be construed</w:t>
      </w:r>
      <w:r w:rsidR="00253839" w:rsidRPr="00787A9E">
        <w:rPr>
          <w:sz w:val="26"/>
          <w:szCs w:val="26"/>
        </w:rPr>
        <w:t xml:space="preserve"> as</w:t>
      </w:r>
      <w:r w:rsidRPr="00787A9E">
        <w:rPr>
          <w:sz w:val="26"/>
          <w:szCs w:val="26"/>
        </w:rPr>
        <w:t xml:space="preserve"> to mean that it supports any revenue requirement increase in </w:t>
      </w:r>
      <w:r w:rsidR="003B4700" w:rsidRPr="00787A9E">
        <w:rPr>
          <w:sz w:val="26"/>
          <w:szCs w:val="26"/>
        </w:rPr>
        <w:t>this proceeding</w:t>
      </w:r>
      <w:r w:rsidRPr="00787A9E">
        <w:rPr>
          <w:sz w:val="26"/>
          <w:szCs w:val="26"/>
        </w:rPr>
        <w:t>.  OCA M.B. at 50.</w:t>
      </w:r>
    </w:p>
    <w:p w14:paraId="45A91C6C" w14:textId="77777777" w:rsidR="00176EFB" w:rsidRPr="00787A9E" w:rsidRDefault="00176EFB" w:rsidP="00FD1A00">
      <w:pPr>
        <w:ind w:firstLine="1440"/>
        <w:contextualSpacing/>
        <w:rPr>
          <w:sz w:val="26"/>
          <w:szCs w:val="26"/>
        </w:rPr>
      </w:pPr>
    </w:p>
    <w:p w14:paraId="03B4274A" w14:textId="1571C8BA" w:rsidR="00BD719E" w:rsidRPr="00787A9E" w:rsidRDefault="005A2627" w:rsidP="00FD1A00">
      <w:pPr>
        <w:pStyle w:val="Default"/>
        <w:keepNext/>
        <w:keepLines/>
        <w:numPr>
          <w:ilvl w:val="0"/>
          <w:numId w:val="24"/>
        </w:numPr>
        <w:spacing w:line="360" w:lineRule="auto"/>
        <w:ind w:left="2520"/>
        <w:contextualSpacing/>
        <w:rPr>
          <w:b/>
          <w:sz w:val="26"/>
          <w:szCs w:val="26"/>
        </w:rPr>
      </w:pPr>
      <w:r w:rsidRPr="00787A9E">
        <w:rPr>
          <w:b/>
          <w:sz w:val="26"/>
          <w:szCs w:val="26"/>
        </w:rPr>
        <w:t xml:space="preserve"> </w:t>
      </w:r>
      <w:r w:rsidR="00253839" w:rsidRPr="00787A9E">
        <w:rPr>
          <w:b/>
          <w:sz w:val="26"/>
          <w:szCs w:val="26"/>
        </w:rPr>
        <w:t xml:space="preserve">The </w:t>
      </w:r>
      <w:r w:rsidR="00C5274A" w:rsidRPr="00787A9E">
        <w:rPr>
          <w:b/>
          <w:sz w:val="26"/>
          <w:szCs w:val="26"/>
        </w:rPr>
        <w:t>Foundation</w:t>
      </w:r>
      <w:r w:rsidR="00A424DB">
        <w:rPr>
          <w:b/>
          <w:sz w:val="26"/>
          <w:szCs w:val="26"/>
        </w:rPr>
        <w:t>’</w:t>
      </w:r>
      <w:r w:rsidR="00BD719E" w:rsidRPr="00787A9E">
        <w:rPr>
          <w:b/>
          <w:sz w:val="26"/>
          <w:szCs w:val="26"/>
        </w:rPr>
        <w:t>s Position</w:t>
      </w:r>
    </w:p>
    <w:p w14:paraId="3154035F" w14:textId="77777777" w:rsidR="00BD719E" w:rsidRPr="00787A9E" w:rsidRDefault="00BD719E" w:rsidP="00FD1A00">
      <w:pPr>
        <w:pStyle w:val="Default"/>
        <w:keepNext/>
        <w:keepLines/>
        <w:spacing w:line="360" w:lineRule="auto"/>
        <w:ind w:left="1800"/>
        <w:contextualSpacing/>
        <w:rPr>
          <w:b/>
          <w:sz w:val="26"/>
          <w:szCs w:val="26"/>
        </w:rPr>
      </w:pPr>
    </w:p>
    <w:p w14:paraId="7F1223E8" w14:textId="008B7D96" w:rsidR="00EF16C6" w:rsidRPr="00787A9E" w:rsidRDefault="00EF16C6" w:rsidP="00FD1A00">
      <w:pPr>
        <w:ind w:firstLine="1440"/>
        <w:contextualSpacing/>
        <w:rPr>
          <w:sz w:val="26"/>
          <w:szCs w:val="26"/>
        </w:rPr>
      </w:pPr>
      <w:r w:rsidRPr="00787A9E">
        <w:rPr>
          <w:sz w:val="26"/>
          <w:szCs w:val="26"/>
        </w:rPr>
        <w:t xml:space="preserve">The Foundation argued that HVUS is unable to prove that its rates are just and reasonable, in part, because the financial information used to calculate such rates is unreliable at best and completely dubious at worst.  According to the Foundation, HVUS has consistently filed inaccurate annual reports with the Commission and has shown no ability to remedy this, as illustrated by the errors in its recently-filed </w:t>
      </w:r>
      <w:r w:rsidR="00A424DB">
        <w:rPr>
          <w:sz w:val="26"/>
          <w:szCs w:val="26"/>
        </w:rPr>
        <w:t>“</w:t>
      </w:r>
      <w:r w:rsidRPr="00787A9E">
        <w:rPr>
          <w:sz w:val="26"/>
          <w:szCs w:val="26"/>
        </w:rPr>
        <w:t>corrected</w:t>
      </w:r>
      <w:r w:rsidR="00A424DB">
        <w:rPr>
          <w:sz w:val="26"/>
          <w:szCs w:val="26"/>
        </w:rPr>
        <w:t>”</w:t>
      </w:r>
      <w:r w:rsidRPr="00787A9E">
        <w:rPr>
          <w:sz w:val="26"/>
          <w:szCs w:val="26"/>
        </w:rPr>
        <w:t xml:space="preserve"> annual reports filed in response to the </w:t>
      </w:r>
      <w:r w:rsidR="002E0B3D" w:rsidRPr="00787A9E">
        <w:rPr>
          <w:i/>
          <w:sz w:val="26"/>
          <w:szCs w:val="26"/>
        </w:rPr>
        <w:t>January</w:t>
      </w:r>
      <w:r w:rsidR="002E0B3D" w:rsidRPr="00787A9E">
        <w:rPr>
          <w:sz w:val="26"/>
          <w:szCs w:val="26"/>
        </w:rPr>
        <w:t xml:space="preserve"> </w:t>
      </w:r>
      <w:r w:rsidRPr="00787A9E">
        <w:rPr>
          <w:i/>
          <w:sz w:val="26"/>
          <w:szCs w:val="26"/>
        </w:rPr>
        <w:t>2018 McCloskey Order</w:t>
      </w:r>
      <w:r w:rsidRPr="00787A9E">
        <w:rPr>
          <w:sz w:val="26"/>
          <w:szCs w:val="26"/>
        </w:rPr>
        <w:t>.  Foundation M.B. at 5.  The Foundation also noted the testimony of I&amp;E</w:t>
      </w:r>
      <w:r w:rsidR="00A424DB">
        <w:rPr>
          <w:sz w:val="26"/>
          <w:szCs w:val="26"/>
        </w:rPr>
        <w:t>’</w:t>
      </w:r>
      <w:r w:rsidRPr="00787A9E">
        <w:rPr>
          <w:sz w:val="26"/>
          <w:szCs w:val="26"/>
        </w:rPr>
        <w:t>s witness Mr. Zalesky that the Company</w:t>
      </w:r>
      <w:r w:rsidR="00A424DB">
        <w:rPr>
          <w:sz w:val="26"/>
          <w:szCs w:val="26"/>
        </w:rPr>
        <w:t>’</w:t>
      </w:r>
      <w:r w:rsidRPr="00787A9E">
        <w:rPr>
          <w:sz w:val="26"/>
          <w:szCs w:val="26"/>
        </w:rPr>
        <w:t>s annual reports contain numerous errors that call into question the accuracy of the company</w:t>
      </w:r>
      <w:r w:rsidR="00A424DB">
        <w:rPr>
          <w:sz w:val="26"/>
          <w:szCs w:val="26"/>
        </w:rPr>
        <w:t>’</w:t>
      </w:r>
      <w:r w:rsidRPr="00787A9E">
        <w:rPr>
          <w:sz w:val="26"/>
          <w:szCs w:val="26"/>
        </w:rPr>
        <w:t xml:space="preserve">s financial position.  </w:t>
      </w:r>
      <w:r w:rsidRPr="00787A9E">
        <w:rPr>
          <w:i/>
          <w:sz w:val="26"/>
          <w:szCs w:val="26"/>
        </w:rPr>
        <w:t>Id.</w:t>
      </w:r>
      <w:r w:rsidRPr="00787A9E">
        <w:rPr>
          <w:sz w:val="26"/>
          <w:szCs w:val="26"/>
        </w:rPr>
        <w:t xml:space="preserve"> at 11-12 </w:t>
      </w:r>
      <w:r w:rsidR="005F0211" w:rsidRPr="00787A9E">
        <w:rPr>
          <w:sz w:val="26"/>
          <w:szCs w:val="26"/>
        </w:rPr>
        <w:t>(</w:t>
      </w:r>
      <w:r w:rsidRPr="00787A9E">
        <w:rPr>
          <w:sz w:val="26"/>
          <w:szCs w:val="26"/>
        </w:rPr>
        <w:t>citing I&amp;E St. 1 (Water) at 13-15, St 1-SR (Water) at 17-22, St 1 (Wastewater) at 11-13, and 1-SR (Wastewater) at 15-20</w:t>
      </w:r>
      <w:r w:rsidR="005F0211" w:rsidRPr="00787A9E">
        <w:rPr>
          <w:sz w:val="26"/>
          <w:szCs w:val="26"/>
        </w:rPr>
        <w:t>)</w:t>
      </w:r>
      <w:r w:rsidRPr="00787A9E">
        <w:rPr>
          <w:sz w:val="26"/>
          <w:szCs w:val="26"/>
        </w:rPr>
        <w:t>.  Additionally, the Foundation noted the testimony of HVUS</w:t>
      </w:r>
      <w:r w:rsidR="00A424DB">
        <w:rPr>
          <w:sz w:val="26"/>
          <w:szCs w:val="26"/>
        </w:rPr>
        <w:t>’</w:t>
      </w:r>
      <w:r w:rsidRPr="00787A9E">
        <w:rPr>
          <w:sz w:val="26"/>
          <w:szCs w:val="26"/>
        </w:rPr>
        <w:t>s own witness Mr. Kettler, who prepares the Company</w:t>
      </w:r>
      <w:r w:rsidR="00A424DB">
        <w:rPr>
          <w:sz w:val="26"/>
          <w:szCs w:val="26"/>
        </w:rPr>
        <w:t>’</w:t>
      </w:r>
      <w:r w:rsidRPr="00787A9E">
        <w:rPr>
          <w:sz w:val="26"/>
          <w:szCs w:val="26"/>
        </w:rPr>
        <w:t xml:space="preserve">s financial reports, that, </w:t>
      </w:r>
      <w:r w:rsidRPr="00787A9E">
        <w:rPr>
          <w:i/>
          <w:sz w:val="26"/>
          <w:szCs w:val="26"/>
        </w:rPr>
        <w:t xml:space="preserve">inter alia, </w:t>
      </w:r>
      <w:r w:rsidRPr="00787A9E">
        <w:rPr>
          <w:sz w:val="26"/>
          <w:szCs w:val="26"/>
        </w:rPr>
        <w:t xml:space="preserve">he is not an accountant and has not received any training as an accountant, that he has not reviewed or corrected the revised annual reports that still contain errors and inaccuracies, and that he does not know whether his transcribing errors have resulted in differences of </w:t>
      </w:r>
      <w:r w:rsidR="00A424DB">
        <w:rPr>
          <w:sz w:val="26"/>
          <w:szCs w:val="26"/>
        </w:rPr>
        <w:t>“</w:t>
      </w:r>
      <w:r w:rsidRPr="00787A9E">
        <w:rPr>
          <w:sz w:val="26"/>
          <w:szCs w:val="26"/>
        </w:rPr>
        <w:t xml:space="preserve">dollars or tens of </w:t>
      </w:r>
      <w:r w:rsidRPr="00787A9E">
        <w:rPr>
          <w:sz w:val="26"/>
          <w:szCs w:val="26"/>
        </w:rPr>
        <w:lastRenderedPageBreak/>
        <w:t>thousands of dollars or hundreds.</w:t>
      </w:r>
      <w:r w:rsidR="00A424DB">
        <w:rPr>
          <w:sz w:val="26"/>
          <w:szCs w:val="26"/>
        </w:rPr>
        <w:t>”</w:t>
      </w:r>
      <w:r w:rsidRPr="00787A9E">
        <w:rPr>
          <w:sz w:val="26"/>
          <w:szCs w:val="26"/>
        </w:rPr>
        <w:t xml:space="preserve">  Therefore, the Foundation submitted that the need for the Commission to order an independent audit of HVUS is abundantly clear to all Parties in this matter.  Foundation M.B. at 12-13 </w:t>
      </w:r>
      <w:r w:rsidR="005F0211" w:rsidRPr="00787A9E">
        <w:rPr>
          <w:sz w:val="26"/>
          <w:szCs w:val="26"/>
        </w:rPr>
        <w:t>(</w:t>
      </w:r>
      <w:r w:rsidRPr="00787A9E">
        <w:rPr>
          <w:sz w:val="26"/>
          <w:szCs w:val="26"/>
        </w:rPr>
        <w:t>citing Tr. at 276-80</w:t>
      </w:r>
      <w:r w:rsidR="005F0211" w:rsidRPr="00787A9E">
        <w:rPr>
          <w:sz w:val="26"/>
          <w:szCs w:val="26"/>
        </w:rPr>
        <w:t>)</w:t>
      </w:r>
      <w:r w:rsidRPr="00787A9E">
        <w:rPr>
          <w:sz w:val="26"/>
          <w:szCs w:val="26"/>
        </w:rPr>
        <w:t xml:space="preserve">.  </w:t>
      </w:r>
    </w:p>
    <w:p w14:paraId="75F877A9" w14:textId="77777777" w:rsidR="00EF16C6" w:rsidRPr="00787A9E" w:rsidRDefault="00EF16C6" w:rsidP="00FD1A00">
      <w:pPr>
        <w:contextualSpacing/>
        <w:rPr>
          <w:sz w:val="26"/>
          <w:szCs w:val="26"/>
        </w:rPr>
      </w:pPr>
    </w:p>
    <w:p w14:paraId="58137C50" w14:textId="22C8A129" w:rsidR="00EF16C6" w:rsidRPr="00787A9E" w:rsidRDefault="00EF16C6" w:rsidP="00FD1A00">
      <w:pPr>
        <w:ind w:firstLine="1440"/>
        <w:contextualSpacing/>
        <w:rPr>
          <w:sz w:val="26"/>
          <w:szCs w:val="26"/>
        </w:rPr>
      </w:pPr>
      <w:r w:rsidRPr="00787A9E">
        <w:rPr>
          <w:sz w:val="26"/>
          <w:szCs w:val="26"/>
        </w:rPr>
        <w:t>The Foundation noted the record evidence that the Company has never been profitable, has an outstanding loan of $750,000 on which it has paid no interest, and that it has paid Mr. Kettler $857,849 in distributions through 2017.  As such, the Foundation submitted that an independent financial audit by a neutral third-party with no prior connection to the Company or Mr. Kettler is paramount in fairly evaluating the financial position of the Company.  Foundation M.B. at 13.</w:t>
      </w:r>
    </w:p>
    <w:p w14:paraId="7E94F4E1" w14:textId="77777777" w:rsidR="00EF16C6" w:rsidRPr="00787A9E" w:rsidRDefault="00EF16C6" w:rsidP="00FD1A00">
      <w:pPr>
        <w:contextualSpacing/>
        <w:rPr>
          <w:sz w:val="26"/>
          <w:szCs w:val="26"/>
        </w:rPr>
      </w:pPr>
    </w:p>
    <w:p w14:paraId="33836A8D" w14:textId="2D39F1C7" w:rsidR="00D262F1" w:rsidRPr="00787A9E" w:rsidRDefault="00D262F1" w:rsidP="00FD1A00">
      <w:pPr>
        <w:pStyle w:val="Heading4"/>
        <w:keepLines/>
        <w:numPr>
          <w:ilvl w:val="0"/>
          <w:numId w:val="16"/>
        </w:numPr>
        <w:ind w:left="1800"/>
        <w:contextualSpacing/>
        <w:jc w:val="left"/>
      </w:pPr>
      <w:r w:rsidRPr="00787A9E">
        <w:tab/>
        <w:t>ALJs</w:t>
      </w:r>
      <w:r w:rsidR="00A424DB">
        <w:t>’</w:t>
      </w:r>
      <w:r w:rsidRPr="00787A9E">
        <w:t xml:space="preserve"> Recommendation</w:t>
      </w:r>
    </w:p>
    <w:p w14:paraId="539B8527" w14:textId="77777777" w:rsidR="008F03ED" w:rsidRPr="00787A9E" w:rsidRDefault="008F03ED" w:rsidP="00FD1A00">
      <w:pPr>
        <w:pStyle w:val="Default"/>
        <w:keepNext/>
        <w:keepLines/>
        <w:spacing w:line="360" w:lineRule="auto"/>
        <w:ind w:firstLine="1440"/>
        <w:contextualSpacing/>
        <w:rPr>
          <w:sz w:val="26"/>
          <w:szCs w:val="26"/>
        </w:rPr>
      </w:pPr>
    </w:p>
    <w:p w14:paraId="10501285" w14:textId="376350D0" w:rsidR="008A3A1B" w:rsidRPr="00787A9E" w:rsidRDefault="00025FFF" w:rsidP="00FD1A00">
      <w:pPr>
        <w:ind w:firstLine="1440"/>
        <w:contextualSpacing/>
        <w:rPr>
          <w:sz w:val="26"/>
          <w:szCs w:val="26"/>
        </w:rPr>
      </w:pPr>
      <w:r w:rsidRPr="00787A9E">
        <w:rPr>
          <w:sz w:val="26"/>
          <w:szCs w:val="26"/>
        </w:rPr>
        <w:t>T</w:t>
      </w:r>
      <w:r w:rsidR="0078746B" w:rsidRPr="00787A9E">
        <w:rPr>
          <w:sz w:val="26"/>
          <w:szCs w:val="26"/>
        </w:rPr>
        <w:t xml:space="preserve">he ALJs supported </w:t>
      </w:r>
      <w:r w:rsidR="006B1F3C">
        <w:rPr>
          <w:sz w:val="26"/>
          <w:szCs w:val="26"/>
        </w:rPr>
        <w:t>the refiling</w:t>
      </w:r>
      <w:r w:rsidR="0078746B" w:rsidRPr="00787A9E">
        <w:rPr>
          <w:sz w:val="26"/>
          <w:szCs w:val="26"/>
        </w:rPr>
        <w:t xml:space="preserve"> of the Company</w:t>
      </w:r>
      <w:r w:rsidR="00A424DB">
        <w:rPr>
          <w:sz w:val="26"/>
          <w:szCs w:val="26"/>
        </w:rPr>
        <w:t>’</w:t>
      </w:r>
      <w:r w:rsidR="0078746B" w:rsidRPr="00787A9E">
        <w:rPr>
          <w:sz w:val="26"/>
          <w:szCs w:val="26"/>
        </w:rPr>
        <w:t xml:space="preserve">s reviewed </w:t>
      </w:r>
      <w:r w:rsidR="005F0211" w:rsidRPr="00787A9E">
        <w:rPr>
          <w:sz w:val="26"/>
          <w:szCs w:val="26"/>
        </w:rPr>
        <w:t xml:space="preserve">and </w:t>
      </w:r>
      <w:r w:rsidR="0078746B" w:rsidRPr="00787A9E">
        <w:rPr>
          <w:sz w:val="26"/>
          <w:szCs w:val="26"/>
        </w:rPr>
        <w:t>corrected annual reports.  According to the ALJs, the Company</w:t>
      </w:r>
      <w:r w:rsidR="00A424DB">
        <w:rPr>
          <w:sz w:val="26"/>
          <w:szCs w:val="26"/>
        </w:rPr>
        <w:t>’</w:t>
      </w:r>
      <w:r w:rsidR="0078746B" w:rsidRPr="00787A9E">
        <w:rPr>
          <w:sz w:val="26"/>
          <w:szCs w:val="26"/>
        </w:rPr>
        <w:t>s agreement</w:t>
      </w:r>
      <w:r w:rsidR="008A3A1B" w:rsidRPr="00787A9E">
        <w:rPr>
          <w:sz w:val="26"/>
          <w:szCs w:val="26"/>
        </w:rPr>
        <w:t xml:space="preserve"> to refile corrected annual reports using the services of a rate consultant will provide the customers and the Commission with some reassurance</w:t>
      </w:r>
      <w:r w:rsidR="00AD4012" w:rsidRPr="00787A9E">
        <w:rPr>
          <w:sz w:val="26"/>
          <w:szCs w:val="26"/>
        </w:rPr>
        <w:t xml:space="preserve"> and</w:t>
      </w:r>
      <w:r w:rsidR="0078746B" w:rsidRPr="00787A9E">
        <w:rPr>
          <w:sz w:val="26"/>
          <w:szCs w:val="26"/>
        </w:rPr>
        <w:t xml:space="preserve"> </w:t>
      </w:r>
      <w:r w:rsidR="008A3A1B" w:rsidRPr="00787A9E">
        <w:rPr>
          <w:sz w:val="26"/>
          <w:szCs w:val="26"/>
        </w:rPr>
        <w:t>a</w:t>
      </w:r>
      <w:r w:rsidR="00F63B1C" w:rsidRPr="00787A9E">
        <w:rPr>
          <w:sz w:val="26"/>
          <w:szCs w:val="26"/>
        </w:rPr>
        <w:t>lso provide a</w:t>
      </w:r>
      <w:r w:rsidR="008A3A1B" w:rsidRPr="00787A9E">
        <w:rPr>
          <w:sz w:val="26"/>
          <w:szCs w:val="26"/>
        </w:rPr>
        <w:t xml:space="preserve"> means by which </w:t>
      </w:r>
      <w:r w:rsidR="0078746B" w:rsidRPr="00787A9E">
        <w:rPr>
          <w:sz w:val="26"/>
          <w:szCs w:val="26"/>
        </w:rPr>
        <w:t>the Company</w:t>
      </w:r>
      <w:r w:rsidR="00A424DB">
        <w:rPr>
          <w:sz w:val="26"/>
          <w:szCs w:val="26"/>
        </w:rPr>
        <w:t>’</w:t>
      </w:r>
      <w:r w:rsidR="0078746B" w:rsidRPr="00787A9E">
        <w:rPr>
          <w:sz w:val="26"/>
          <w:szCs w:val="26"/>
        </w:rPr>
        <w:t>s</w:t>
      </w:r>
      <w:r w:rsidR="008A3A1B" w:rsidRPr="00787A9E">
        <w:rPr>
          <w:sz w:val="26"/>
          <w:szCs w:val="26"/>
        </w:rPr>
        <w:t xml:space="preserve"> improvements can be verified.  </w:t>
      </w:r>
      <w:r w:rsidR="00F636D8" w:rsidRPr="00787A9E">
        <w:rPr>
          <w:sz w:val="26"/>
          <w:szCs w:val="26"/>
        </w:rPr>
        <w:t>T</w:t>
      </w:r>
      <w:r w:rsidR="0078746B" w:rsidRPr="00787A9E">
        <w:rPr>
          <w:sz w:val="26"/>
          <w:szCs w:val="26"/>
        </w:rPr>
        <w:t>he ALJs</w:t>
      </w:r>
      <w:r w:rsidR="00AD4012" w:rsidRPr="00787A9E">
        <w:rPr>
          <w:sz w:val="26"/>
          <w:szCs w:val="26"/>
        </w:rPr>
        <w:t xml:space="preserve"> </w:t>
      </w:r>
      <w:r w:rsidR="00A81B78" w:rsidRPr="00787A9E">
        <w:rPr>
          <w:sz w:val="26"/>
          <w:szCs w:val="26"/>
        </w:rPr>
        <w:t xml:space="preserve">also </w:t>
      </w:r>
      <w:r w:rsidR="0078746B" w:rsidRPr="00787A9E">
        <w:rPr>
          <w:sz w:val="26"/>
          <w:szCs w:val="26"/>
        </w:rPr>
        <w:t>agreed with</w:t>
      </w:r>
      <w:r w:rsidR="008A3A1B" w:rsidRPr="00787A9E">
        <w:rPr>
          <w:sz w:val="26"/>
          <w:szCs w:val="26"/>
        </w:rPr>
        <w:t xml:space="preserve"> the Foundation</w:t>
      </w:r>
      <w:r w:rsidR="00A424DB">
        <w:rPr>
          <w:sz w:val="26"/>
          <w:szCs w:val="26"/>
        </w:rPr>
        <w:t>’</w:t>
      </w:r>
      <w:r w:rsidR="008A3A1B" w:rsidRPr="00787A9E">
        <w:rPr>
          <w:sz w:val="26"/>
          <w:szCs w:val="26"/>
        </w:rPr>
        <w:t xml:space="preserve">s </w:t>
      </w:r>
      <w:r w:rsidR="006356C8" w:rsidRPr="00787A9E">
        <w:rPr>
          <w:sz w:val="26"/>
          <w:szCs w:val="26"/>
        </w:rPr>
        <w:t>lack of confidence in the Company</w:t>
      </w:r>
      <w:r w:rsidR="00A424DB">
        <w:rPr>
          <w:sz w:val="26"/>
          <w:szCs w:val="26"/>
        </w:rPr>
        <w:t>’</w:t>
      </w:r>
      <w:r w:rsidR="006356C8" w:rsidRPr="00787A9E">
        <w:rPr>
          <w:sz w:val="26"/>
          <w:szCs w:val="26"/>
        </w:rPr>
        <w:t xml:space="preserve">s ability to </w:t>
      </w:r>
      <w:r w:rsidR="00713612" w:rsidRPr="00787A9E">
        <w:rPr>
          <w:sz w:val="26"/>
          <w:szCs w:val="26"/>
        </w:rPr>
        <w:t xml:space="preserve">timely </w:t>
      </w:r>
      <w:r w:rsidR="006356C8" w:rsidRPr="00787A9E">
        <w:rPr>
          <w:sz w:val="26"/>
          <w:szCs w:val="26"/>
        </w:rPr>
        <w:t>refile the corrected annual reports.  The ALJs</w:t>
      </w:r>
      <w:r w:rsidR="00490E31" w:rsidRPr="00787A9E">
        <w:rPr>
          <w:sz w:val="26"/>
          <w:szCs w:val="26"/>
        </w:rPr>
        <w:t xml:space="preserve"> </w:t>
      </w:r>
      <w:r w:rsidR="00237AC1" w:rsidRPr="00787A9E">
        <w:rPr>
          <w:sz w:val="26"/>
          <w:szCs w:val="26"/>
        </w:rPr>
        <w:t>stressed</w:t>
      </w:r>
      <w:r w:rsidR="00BF3384" w:rsidRPr="00787A9E">
        <w:rPr>
          <w:sz w:val="26"/>
          <w:szCs w:val="26"/>
        </w:rPr>
        <w:t xml:space="preserve"> </w:t>
      </w:r>
      <w:r w:rsidR="006356C8" w:rsidRPr="00787A9E">
        <w:rPr>
          <w:sz w:val="26"/>
          <w:szCs w:val="26"/>
        </w:rPr>
        <w:t>the Foundation</w:t>
      </w:r>
      <w:r w:rsidR="00A424DB">
        <w:rPr>
          <w:sz w:val="26"/>
          <w:szCs w:val="26"/>
        </w:rPr>
        <w:t>’</w:t>
      </w:r>
      <w:r w:rsidR="006356C8" w:rsidRPr="00787A9E">
        <w:rPr>
          <w:sz w:val="26"/>
          <w:szCs w:val="26"/>
        </w:rPr>
        <w:t xml:space="preserve">s </w:t>
      </w:r>
      <w:r w:rsidR="008A3A1B" w:rsidRPr="00787A9E">
        <w:rPr>
          <w:sz w:val="26"/>
          <w:szCs w:val="26"/>
        </w:rPr>
        <w:t>argument</w:t>
      </w:r>
      <w:r w:rsidR="0078746B" w:rsidRPr="00787A9E">
        <w:rPr>
          <w:sz w:val="26"/>
          <w:szCs w:val="26"/>
        </w:rPr>
        <w:t xml:space="preserve"> that </w:t>
      </w:r>
      <w:r w:rsidR="00BF3384" w:rsidRPr="00787A9E">
        <w:rPr>
          <w:sz w:val="26"/>
          <w:szCs w:val="26"/>
        </w:rPr>
        <w:t>it took HVUS a long time to</w:t>
      </w:r>
      <w:r w:rsidR="008A3A1B" w:rsidRPr="00787A9E">
        <w:rPr>
          <w:sz w:val="26"/>
          <w:szCs w:val="26"/>
        </w:rPr>
        <w:t xml:space="preserve"> provide </w:t>
      </w:r>
      <w:r w:rsidR="00A81B78" w:rsidRPr="00787A9E">
        <w:rPr>
          <w:sz w:val="26"/>
          <w:szCs w:val="26"/>
        </w:rPr>
        <w:t>accurate</w:t>
      </w:r>
      <w:r w:rsidR="008A3A1B" w:rsidRPr="00787A9E">
        <w:rPr>
          <w:sz w:val="26"/>
          <w:szCs w:val="26"/>
        </w:rPr>
        <w:t xml:space="preserve"> reports</w:t>
      </w:r>
      <w:r w:rsidR="00713612" w:rsidRPr="00787A9E">
        <w:rPr>
          <w:sz w:val="26"/>
          <w:szCs w:val="26"/>
        </w:rPr>
        <w:t xml:space="preserve">, especially, given the fact </w:t>
      </w:r>
      <w:r w:rsidR="00BF3384" w:rsidRPr="00787A9E">
        <w:rPr>
          <w:sz w:val="26"/>
          <w:szCs w:val="26"/>
        </w:rPr>
        <w:t xml:space="preserve">that the Company </w:t>
      </w:r>
      <w:r w:rsidR="005F0211" w:rsidRPr="00787A9E">
        <w:rPr>
          <w:sz w:val="26"/>
          <w:szCs w:val="26"/>
        </w:rPr>
        <w:t xml:space="preserve">previously </w:t>
      </w:r>
      <w:r w:rsidR="008A3A1B" w:rsidRPr="00787A9E">
        <w:rPr>
          <w:sz w:val="26"/>
          <w:szCs w:val="26"/>
        </w:rPr>
        <w:t>submitted corrected reports</w:t>
      </w:r>
      <w:r w:rsidR="006638F1" w:rsidRPr="00787A9E">
        <w:rPr>
          <w:sz w:val="26"/>
          <w:szCs w:val="26"/>
        </w:rPr>
        <w:t>.  The ALJs acknowledged the Foundation</w:t>
      </w:r>
      <w:r w:rsidR="00A424DB">
        <w:rPr>
          <w:sz w:val="26"/>
          <w:szCs w:val="26"/>
        </w:rPr>
        <w:t>’</w:t>
      </w:r>
      <w:r w:rsidR="006638F1" w:rsidRPr="00787A9E">
        <w:rPr>
          <w:sz w:val="26"/>
          <w:szCs w:val="26"/>
        </w:rPr>
        <w:t>s averment</w:t>
      </w:r>
      <w:r w:rsidR="00713612" w:rsidRPr="00787A9E">
        <w:rPr>
          <w:sz w:val="26"/>
          <w:szCs w:val="26"/>
        </w:rPr>
        <w:t xml:space="preserve"> that </w:t>
      </w:r>
      <w:r w:rsidR="008A3A1B" w:rsidRPr="00787A9E">
        <w:rPr>
          <w:sz w:val="26"/>
          <w:szCs w:val="26"/>
        </w:rPr>
        <w:t xml:space="preserve">there is little confidence in the </w:t>
      </w:r>
      <w:r w:rsidR="005F0211" w:rsidRPr="00787A9E">
        <w:rPr>
          <w:sz w:val="26"/>
          <w:szCs w:val="26"/>
        </w:rPr>
        <w:t xml:space="preserve">accuracy of the </w:t>
      </w:r>
      <w:r w:rsidR="008A3A1B" w:rsidRPr="00787A9E">
        <w:rPr>
          <w:sz w:val="26"/>
          <w:szCs w:val="26"/>
        </w:rPr>
        <w:t xml:space="preserve">financial numbers </w:t>
      </w:r>
      <w:r w:rsidR="00BF3384" w:rsidRPr="00787A9E">
        <w:rPr>
          <w:sz w:val="26"/>
          <w:szCs w:val="26"/>
        </w:rPr>
        <w:t xml:space="preserve">provided by </w:t>
      </w:r>
      <w:r w:rsidR="0078746B" w:rsidRPr="00787A9E">
        <w:rPr>
          <w:sz w:val="26"/>
          <w:szCs w:val="26"/>
        </w:rPr>
        <w:t>HVUS</w:t>
      </w:r>
      <w:r w:rsidR="00BF3384" w:rsidRPr="00787A9E">
        <w:rPr>
          <w:sz w:val="26"/>
          <w:szCs w:val="26"/>
        </w:rPr>
        <w:t xml:space="preserve"> </w:t>
      </w:r>
      <w:r w:rsidR="008A3A1B" w:rsidRPr="00787A9E">
        <w:rPr>
          <w:sz w:val="26"/>
          <w:szCs w:val="26"/>
        </w:rPr>
        <w:t>in this proceeding</w:t>
      </w:r>
      <w:r w:rsidR="00713612" w:rsidRPr="00787A9E">
        <w:rPr>
          <w:sz w:val="26"/>
          <w:szCs w:val="26"/>
        </w:rPr>
        <w:t xml:space="preserve">.  Based on the above, the ALJs recommended that the </w:t>
      </w:r>
      <w:r w:rsidR="0078746B" w:rsidRPr="00787A9E">
        <w:rPr>
          <w:sz w:val="26"/>
          <w:szCs w:val="26"/>
        </w:rPr>
        <w:t xml:space="preserve">Company </w:t>
      </w:r>
      <w:r w:rsidR="008A3A1B" w:rsidRPr="00787A9E">
        <w:rPr>
          <w:sz w:val="26"/>
          <w:szCs w:val="26"/>
        </w:rPr>
        <w:t xml:space="preserve">obtain a financial audit for </w:t>
      </w:r>
      <w:r w:rsidR="00A71F8F" w:rsidRPr="00787A9E">
        <w:rPr>
          <w:sz w:val="26"/>
          <w:szCs w:val="26"/>
        </w:rPr>
        <w:t xml:space="preserve">the annual reports for the years </w:t>
      </w:r>
      <w:r w:rsidR="008A3A1B" w:rsidRPr="00787A9E">
        <w:rPr>
          <w:sz w:val="26"/>
          <w:szCs w:val="26"/>
        </w:rPr>
        <w:t xml:space="preserve">2015 </w:t>
      </w:r>
      <w:r w:rsidR="00A71F8F" w:rsidRPr="00787A9E">
        <w:rPr>
          <w:sz w:val="26"/>
          <w:szCs w:val="26"/>
        </w:rPr>
        <w:t xml:space="preserve">to </w:t>
      </w:r>
      <w:r w:rsidR="008A3A1B" w:rsidRPr="00787A9E">
        <w:rPr>
          <w:sz w:val="26"/>
          <w:szCs w:val="26"/>
        </w:rPr>
        <w:t>2018 from an outside independent financial accounting firm or office which has not previously provided auditing services to H</w:t>
      </w:r>
      <w:r w:rsidR="007B501E" w:rsidRPr="00787A9E">
        <w:rPr>
          <w:sz w:val="26"/>
          <w:szCs w:val="26"/>
        </w:rPr>
        <w:t>VUS</w:t>
      </w:r>
      <w:r w:rsidR="008A3A1B" w:rsidRPr="00787A9E">
        <w:rPr>
          <w:sz w:val="26"/>
          <w:szCs w:val="26"/>
        </w:rPr>
        <w:t xml:space="preserve">.  </w:t>
      </w:r>
      <w:r w:rsidR="00E92800" w:rsidRPr="00787A9E">
        <w:rPr>
          <w:sz w:val="26"/>
          <w:szCs w:val="26"/>
        </w:rPr>
        <w:t>R.D. at 51-52.</w:t>
      </w:r>
    </w:p>
    <w:p w14:paraId="2A4D02D0" w14:textId="77777777" w:rsidR="008A3A1B" w:rsidRPr="00787A9E" w:rsidRDefault="008A3A1B" w:rsidP="00FD1A00">
      <w:pPr>
        <w:pStyle w:val="Default"/>
        <w:spacing w:line="360" w:lineRule="auto"/>
        <w:contextualSpacing/>
        <w:rPr>
          <w:color w:val="auto"/>
          <w:sz w:val="26"/>
          <w:szCs w:val="26"/>
        </w:rPr>
      </w:pPr>
    </w:p>
    <w:p w14:paraId="6771B49C" w14:textId="6B81D505" w:rsidR="00203022" w:rsidRPr="00787A9E" w:rsidRDefault="00D262F1" w:rsidP="00FD1A00">
      <w:pPr>
        <w:pStyle w:val="Heading4"/>
        <w:keepLines/>
        <w:numPr>
          <w:ilvl w:val="0"/>
          <w:numId w:val="16"/>
        </w:numPr>
        <w:ind w:left="2160" w:hanging="720"/>
        <w:contextualSpacing/>
        <w:jc w:val="left"/>
      </w:pPr>
      <w:r w:rsidRPr="00787A9E">
        <w:lastRenderedPageBreak/>
        <w:t>Exceptions and Replies</w:t>
      </w:r>
    </w:p>
    <w:p w14:paraId="102AB6B7" w14:textId="77777777" w:rsidR="00203022" w:rsidRPr="00787A9E" w:rsidRDefault="00203022" w:rsidP="00FD1A00">
      <w:pPr>
        <w:keepNext/>
        <w:keepLines/>
        <w:contextualSpacing/>
        <w:rPr>
          <w:sz w:val="26"/>
          <w:szCs w:val="26"/>
        </w:rPr>
      </w:pPr>
    </w:p>
    <w:p w14:paraId="51B04F7D" w14:textId="7B5E2D5C" w:rsidR="00671901" w:rsidRPr="00787A9E" w:rsidRDefault="002B073C" w:rsidP="00FD1A00">
      <w:pPr>
        <w:keepNext/>
        <w:keepLines/>
        <w:ind w:left="2880" w:hanging="720"/>
        <w:contextualSpacing/>
        <w:rPr>
          <w:b/>
          <w:sz w:val="26"/>
          <w:szCs w:val="26"/>
        </w:rPr>
      </w:pPr>
      <w:r w:rsidRPr="00787A9E">
        <w:rPr>
          <w:b/>
          <w:sz w:val="26"/>
          <w:szCs w:val="26"/>
        </w:rPr>
        <w:t>a</w:t>
      </w:r>
      <w:r w:rsidR="00671901" w:rsidRPr="00787A9E">
        <w:rPr>
          <w:b/>
          <w:sz w:val="26"/>
          <w:szCs w:val="26"/>
        </w:rPr>
        <w:t>.</w:t>
      </w:r>
      <w:r w:rsidR="00671901" w:rsidRPr="00787A9E">
        <w:rPr>
          <w:b/>
          <w:sz w:val="26"/>
          <w:szCs w:val="26"/>
        </w:rPr>
        <w:tab/>
        <w:t>HVUS Exception No. 2 and the Foundation</w:t>
      </w:r>
      <w:r w:rsidR="00A424DB">
        <w:rPr>
          <w:b/>
          <w:sz w:val="26"/>
          <w:szCs w:val="26"/>
        </w:rPr>
        <w:t>’</w:t>
      </w:r>
      <w:r w:rsidR="00671901" w:rsidRPr="00787A9E">
        <w:rPr>
          <w:b/>
          <w:sz w:val="26"/>
          <w:szCs w:val="26"/>
        </w:rPr>
        <w:t>s Replies</w:t>
      </w:r>
    </w:p>
    <w:p w14:paraId="73E65369" w14:textId="77777777" w:rsidR="00671901" w:rsidRPr="00787A9E" w:rsidRDefault="00671901" w:rsidP="00FD1A00">
      <w:pPr>
        <w:pStyle w:val="ListParagraph"/>
        <w:keepNext/>
        <w:keepLines/>
        <w:ind w:left="1440"/>
        <w:rPr>
          <w:sz w:val="26"/>
          <w:szCs w:val="26"/>
        </w:rPr>
      </w:pPr>
    </w:p>
    <w:p w14:paraId="77A46EBF" w14:textId="40C85C82" w:rsidR="00CB621B" w:rsidRPr="00CB621B" w:rsidRDefault="00CB621B" w:rsidP="00FD1A00">
      <w:pPr>
        <w:ind w:firstLine="1440"/>
        <w:contextualSpacing/>
        <w:rPr>
          <w:sz w:val="26"/>
          <w:szCs w:val="26"/>
        </w:rPr>
      </w:pPr>
      <w:r w:rsidRPr="00CB621B">
        <w:rPr>
          <w:sz w:val="26"/>
          <w:szCs w:val="26"/>
        </w:rPr>
        <w:t>In its Exception No. 2, HVUS takes issue with the deadline the ALJs set for the Company to complete an independent financial audit for the years 2015 to 2018.  Specifically, HVUS objects to Ordering Paragraph Nos. 7 and 9 of the Recommended Decision, which state as follows:</w:t>
      </w:r>
    </w:p>
    <w:p w14:paraId="7A399FED" w14:textId="77777777" w:rsidR="00CB621B" w:rsidRPr="00CB621B" w:rsidRDefault="00CB621B" w:rsidP="00FD1A00">
      <w:pPr>
        <w:contextualSpacing/>
        <w:rPr>
          <w:sz w:val="26"/>
          <w:szCs w:val="26"/>
        </w:rPr>
      </w:pPr>
    </w:p>
    <w:p w14:paraId="0FB941C2" w14:textId="3158A99B" w:rsidR="00CB621B" w:rsidRPr="00CB621B" w:rsidRDefault="00CB621B" w:rsidP="00FD1A00">
      <w:pPr>
        <w:spacing w:line="240" w:lineRule="auto"/>
        <w:ind w:left="1440" w:right="1440"/>
        <w:contextualSpacing/>
        <w:rPr>
          <w:sz w:val="26"/>
          <w:szCs w:val="26"/>
        </w:rPr>
      </w:pPr>
      <w:r w:rsidRPr="00CB621B">
        <w:rPr>
          <w:sz w:val="26"/>
          <w:szCs w:val="26"/>
        </w:rPr>
        <w:t>7.</w:t>
      </w:r>
      <w:r w:rsidRPr="00CB621B">
        <w:rPr>
          <w:sz w:val="26"/>
          <w:szCs w:val="26"/>
        </w:rPr>
        <w:tab/>
        <w:t>That, within 90 days after the entry of the Commission</w:t>
      </w:r>
      <w:r w:rsidR="00A424DB">
        <w:rPr>
          <w:sz w:val="26"/>
          <w:szCs w:val="26"/>
        </w:rPr>
        <w:t>’</w:t>
      </w:r>
      <w:r w:rsidRPr="00CB621B">
        <w:rPr>
          <w:sz w:val="26"/>
          <w:szCs w:val="26"/>
        </w:rPr>
        <w:t>s final order in this proceeding, Hidden Valley Utility Services, L.P shall submit to the Commission</w:t>
      </w:r>
      <w:r w:rsidR="00A424DB">
        <w:rPr>
          <w:sz w:val="26"/>
          <w:szCs w:val="26"/>
        </w:rPr>
        <w:t>’</w:t>
      </w:r>
      <w:r w:rsidRPr="00CB621B">
        <w:rPr>
          <w:sz w:val="26"/>
          <w:szCs w:val="26"/>
        </w:rPr>
        <w:t>s Secretary</w:t>
      </w:r>
      <w:r w:rsidR="00A424DB">
        <w:rPr>
          <w:sz w:val="26"/>
          <w:szCs w:val="26"/>
        </w:rPr>
        <w:t>’</w:t>
      </w:r>
      <w:r w:rsidRPr="00CB621B">
        <w:rPr>
          <w:sz w:val="26"/>
          <w:szCs w:val="26"/>
        </w:rPr>
        <w:t>s Bureau and the Commission</w:t>
      </w:r>
      <w:r w:rsidR="00A424DB">
        <w:rPr>
          <w:sz w:val="26"/>
          <w:szCs w:val="26"/>
        </w:rPr>
        <w:t>’</w:t>
      </w:r>
      <w:r w:rsidRPr="00CB621B">
        <w:rPr>
          <w:sz w:val="26"/>
          <w:szCs w:val="26"/>
        </w:rPr>
        <w:t>s Bureau of Technical Utility Services corrected annual reports for the years 2015-2018.  These annual reports will be prepared or reviewed by a rate consultant prior to submission to the Commission.</w:t>
      </w:r>
    </w:p>
    <w:p w14:paraId="511C704A" w14:textId="77777777" w:rsidR="00CB621B" w:rsidRPr="00CB621B" w:rsidRDefault="00CB621B" w:rsidP="00FD1A00">
      <w:pPr>
        <w:spacing w:line="240" w:lineRule="auto"/>
        <w:ind w:left="1440" w:right="1440"/>
        <w:contextualSpacing/>
        <w:rPr>
          <w:sz w:val="26"/>
          <w:szCs w:val="26"/>
        </w:rPr>
      </w:pPr>
    </w:p>
    <w:p w14:paraId="4B0CA54B" w14:textId="5C49B8D0" w:rsidR="00CB621B" w:rsidRDefault="00CB621B" w:rsidP="00FD1A00">
      <w:pPr>
        <w:spacing w:line="240" w:lineRule="auto"/>
        <w:ind w:left="1440" w:right="1440"/>
        <w:contextualSpacing/>
        <w:rPr>
          <w:sz w:val="26"/>
          <w:szCs w:val="26"/>
        </w:rPr>
      </w:pPr>
      <w:r w:rsidRPr="00CB621B">
        <w:rPr>
          <w:sz w:val="26"/>
          <w:szCs w:val="26"/>
        </w:rPr>
        <w:t>9.</w:t>
      </w:r>
      <w:r w:rsidRPr="00CB621B">
        <w:rPr>
          <w:sz w:val="26"/>
          <w:szCs w:val="26"/>
        </w:rPr>
        <w:tab/>
        <w:t>That, within 120 days after the entry of the Commission</w:t>
      </w:r>
      <w:r w:rsidR="00A424DB">
        <w:rPr>
          <w:sz w:val="26"/>
          <w:szCs w:val="26"/>
        </w:rPr>
        <w:t>’</w:t>
      </w:r>
      <w:r w:rsidRPr="00CB621B">
        <w:rPr>
          <w:sz w:val="26"/>
          <w:szCs w:val="26"/>
        </w:rPr>
        <w:t>s final order in this proceeding, Hidden Valley Utility Services, L.P shall cause to be conducted an independent financial audit of its records from 2015 through 2018 by an outside independent financial accounting firm or office which has not previously provided auditing services to Hidden Valley Utility Services, L.P.  The Company shall file a notice at this docket number and serve a copy of said notice on all parties to this proceeding, stating that the independent financial audit has been completed.  The Company shall submit the independent financial audit to the Commission</w:t>
      </w:r>
      <w:r w:rsidR="00A424DB">
        <w:rPr>
          <w:sz w:val="26"/>
          <w:szCs w:val="26"/>
        </w:rPr>
        <w:t>’</w:t>
      </w:r>
      <w:r w:rsidRPr="00CB621B">
        <w:rPr>
          <w:sz w:val="26"/>
          <w:szCs w:val="26"/>
        </w:rPr>
        <w:t>s Secretary</w:t>
      </w:r>
      <w:r w:rsidR="00A424DB">
        <w:rPr>
          <w:sz w:val="26"/>
          <w:szCs w:val="26"/>
        </w:rPr>
        <w:t>’</w:t>
      </w:r>
      <w:r w:rsidRPr="00CB621B">
        <w:rPr>
          <w:sz w:val="26"/>
          <w:szCs w:val="26"/>
        </w:rPr>
        <w:t>s Bureau and the Commission</w:t>
      </w:r>
      <w:r w:rsidR="00A424DB">
        <w:rPr>
          <w:sz w:val="26"/>
          <w:szCs w:val="26"/>
        </w:rPr>
        <w:t>’</w:t>
      </w:r>
      <w:r w:rsidRPr="00CB621B">
        <w:rPr>
          <w:sz w:val="26"/>
          <w:szCs w:val="26"/>
        </w:rPr>
        <w:t>s Bureau of Technical Utility Services.</w:t>
      </w:r>
    </w:p>
    <w:p w14:paraId="1343F72E" w14:textId="316E5D9A" w:rsidR="003F7FE0" w:rsidRDefault="003F7FE0" w:rsidP="00FD1A00">
      <w:pPr>
        <w:spacing w:line="240" w:lineRule="auto"/>
        <w:ind w:left="1440" w:right="1440"/>
        <w:contextualSpacing/>
        <w:rPr>
          <w:sz w:val="26"/>
          <w:szCs w:val="26"/>
        </w:rPr>
      </w:pPr>
    </w:p>
    <w:p w14:paraId="3F2E02FE" w14:textId="77777777" w:rsidR="00CB621B" w:rsidRPr="00CB621B" w:rsidRDefault="00CB621B" w:rsidP="00FD1A00">
      <w:pPr>
        <w:ind w:firstLine="1440"/>
        <w:contextualSpacing/>
        <w:rPr>
          <w:sz w:val="26"/>
          <w:szCs w:val="26"/>
        </w:rPr>
      </w:pPr>
    </w:p>
    <w:p w14:paraId="63358E75" w14:textId="05E30782" w:rsidR="00CB621B" w:rsidRPr="00CB621B" w:rsidRDefault="003F7FE0" w:rsidP="00FD1A00">
      <w:pPr>
        <w:contextualSpacing/>
        <w:rPr>
          <w:sz w:val="26"/>
          <w:szCs w:val="26"/>
        </w:rPr>
      </w:pPr>
      <w:r w:rsidRPr="003F7FE0">
        <w:rPr>
          <w:sz w:val="26"/>
          <w:szCs w:val="26"/>
        </w:rPr>
        <w:t>R.D.</w:t>
      </w:r>
      <w:r w:rsidR="00B92CE9">
        <w:rPr>
          <w:sz w:val="26"/>
          <w:szCs w:val="26"/>
        </w:rPr>
        <w:t> </w:t>
      </w:r>
      <w:r w:rsidRPr="003F7FE0">
        <w:rPr>
          <w:sz w:val="26"/>
          <w:szCs w:val="26"/>
        </w:rPr>
        <w:t xml:space="preserve">at 57.  </w:t>
      </w:r>
      <w:r w:rsidR="00CB621B" w:rsidRPr="00CB621B">
        <w:rPr>
          <w:sz w:val="26"/>
          <w:szCs w:val="26"/>
        </w:rPr>
        <w:t xml:space="preserve">According to HVUS, the ALJs erred by establishing an unreasonably short deadline for completion of the audit.  HVUS claims that the 120-day deadline recommended by the ALJs is shorter than the deadline recommended by any of the </w:t>
      </w:r>
      <w:r w:rsidR="00822757">
        <w:rPr>
          <w:sz w:val="26"/>
          <w:szCs w:val="26"/>
        </w:rPr>
        <w:lastRenderedPageBreak/>
        <w:t>P</w:t>
      </w:r>
      <w:r w:rsidR="00CB621B" w:rsidRPr="00CB621B">
        <w:rPr>
          <w:sz w:val="26"/>
          <w:szCs w:val="26"/>
        </w:rPr>
        <w:t>arties to this proceeding.  Further, HVUS points out that the ALJs provided no basis for why they shortened the deadline.  HVUS Exc. at 18-19.</w:t>
      </w:r>
    </w:p>
    <w:p w14:paraId="18A70396" w14:textId="77777777" w:rsidR="00CB621B" w:rsidRPr="00CB621B" w:rsidRDefault="00CB621B" w:rsidP="00FD1A00">
      <w:pPr>
        <w:contextualSpacing/>
        <w:rPr>
          <w:sz w:val="26"/>
          <w:szCs w:val="26"/>
        </w:rPr>
      </w:pPr>
    </w:p>
    <w:p w14:paraId="5A41463E" w14:textId="7ECD7DFB" w:rsidR="00CB621B" w:rsidRPr="00CB621B" w:rsidRDefault="00CB621B" w:rsidP="00FD1A00">
      <w:pPr>
        <w:ind w:firstLine="1440"/>
        <w:contextualSpacing/>
        <w:rPr>
          <w:sz w:val="26"/>
          <w:szCs w:val="26"/>
        </w:rPr>
      </w:pPr>
      <w:r w:rsidRPr="00CB621B">
        <w:rPr>
          <w:sz w:val="26"/>
          <w:szCs w:val="26"/>
        </w:rPr>
        <w:t>HVUS acknowledges the need to cause the audit to be completed in a timely manner and stresses that it is not opposed to the recommendation that the audit be conducted by an outside independent accounting firm that has not previously provided auditing services to the Company.  However, HVUS submits that the process of identifying and retaining a satisfactory firm takes time.  HVUS points out that a final Commission Order in the instant proceeding will likely not be issued until February or March when many accounting firms are busy preparing tax returns.  Additionally, HVUS contends that the 120-day deadline is unreasonably short, given that the Company must select a new auditor who will need to prepare an audit of three years of data and will need to complete an audit report within this time period.  HVUS asserts that the Commission should not deny the Company its due process by requiring a deadline that the Company cannot meet.  As such, HVUS requests that the Commission modify the ALJs</w:t>
      </w:r>
      <w:r w:rsidR="00A424DB">
        <w:rPr>
          <w:sz w:val="26"/>
          <w:szCs w:val="26"/>
        </w:rPr>
        <w:t>’</w:t>
      </w:r>
      <w:r w:rsidRPr="00CB621B">
        <w:rPr>
          <w:sz w:val="26"/>
          <w:szCs w:val="26"/>
        </w:rPr>
        <w:t xml:space="preserve"> recommendation and establish a deadline for completion of the audit report of twelve months after the entry date of the Commission</w:t>
      </w:r>
      <w:r w:rsidR="00A424DB">
        <w:rPr>
          <w:sz w:val="26"/>
          <w:szCs w:val="26"/>
        </w:rPr>
        <w:t>’</w:t>
      </w:r>
      <w:r w:rsidRPr="00CB621B">
        <w:rPr>
          <w:sz w:val="26"/>
          <w:szCs w:val="26"/>
        </w:rPr>
        <w:t xml:space="preserve">s final Order in this proceeding.  </w:t>
      </w:r>
      <w:r w:rsidRPr="00CB621B">
        <w:rPr>
          <w:i/>
          <w:sz w:val="26"/>
          <w:szCs w:val="26"/>
        </w:rPr>
        <w:t>Id.</w:t>
      </w:r>
      <w:r w:rsidRPr="00CB621B">
        <w:rPr>
          <w:sz w:val="26"/>
          <w:szCs w:val="26"/>
        </w:rPr>
        <w:t xml:space="preserve"> at</w:t>
      </w:r>
      <w:r w:rsidR="003F7FE0">
        <w:rPr>
          <w:sz w:val="26"/>
          <w:szCs w:val="26"/>
        </w:rPr>
        <w:t> </w:t>
      </w:r>
      <w:r w:rsidRPr="00CB621B">
        <w:rPr>
          <w:sz w:val="26"/>
          <w:szCs w:val="26"/>
        </w:rPr>
        <w:t>19</w:t>
      </w:r>
      <w:r w:rsidRPr="00CB621B">
        <w:rPr>
          <w:sz w:val="26"/>
          <w:szCs w:val="26"/>
        </w:rPr>
        <w:noBreakHyphen/>
        <w:t>20.</w:t>
      </w:r>
    </w:p>
    <w:p w14:paraId="15308D92" w14:textId="77777777" w:rsidR="00CB621B" w:rsidRPr="00CB621B" w:rsidRDefault="00CB621B" w:rsidP="00FD1A00">
      <w:pPr>
        <w:contextualSpacing/>
        <w:rPr>
          <w:sz w:val="26"/>
          <w:szCs w:val="26"/>
        </w:rPr>
      </w:pPr>
    </w:p>
    <w:p w14:paraId="02B3D3BD" w14:textId="38CC6028" w:rsidR="00CB621B" w:rsidRPr="00CB621B" w:rsidRDefault="00CB621B" w:rsidP="00FD1A00">
      <w:pPr>
        <w:ind w:firstLine="1440"/>
        <w:contextualSpacing/>
        <w:rPr>
          <w:sz w:val="26"/>
          <w:szCs w:val="26"/>
        </w:rPr>
      </w:pPr>
      <w:r w:rsidRPr="00CB621B">
        <w:rPr>
          <w:sz w:val="26"/>
          <w:szCs w:val="26"/>
        </w:rPr>
        <w:t>Finally, HVUS clarifies that it is not specifically opposed to the ALJs</w:t>
      </w:r>
      <w:r w:rsidR="00A424DB">
        <w:rPr>
          <w:sz w:val="26"/>
          <w:szCs w:val="26"/>
        </w:rPr>
        <w:t>’</w:t>
      </w:r>
      <w:r w:rsidRPr="00CB621B">
        <w:rPr>
          <w:sz w:val="26"/>
          <w:szCs w:val="26"/>
        </w:rPr>
        <w:t xml:space="preserve"> recommendation that the Settlement be modified to shorten the time period for filing the corrected annual reports for the years 2015 to 2018 from six months to ninety days.  Rather, the Company submits, as it has presented throughout this proceeding, that while it is not opposed to the independent financial audit, it should be given the option to prepare the financial audit after the submission of its corrected annual reports, rather than be required to prepare both simultaneously.  HVUS Exc. at 19.</w:t>
      </w:r>
    </w:p>
    <w:p w14:paraId="47CEA7E4" w14:textId="77777777" w:rsidR="00CB621B" w:rsidRPr="00CB621B" w:rsidRDefault="00CB621B" w:rsidP="00FD1A00">
      <w:pPr>
        <w:contextualSpacing/>
        <w:rPr>
          <w:sz w:val="26"/>
          <w:szCs w:val="26"/>
        </w:rPr>
      </w:pPr>
    </w:p>
    <w:p w14:paraId="6EE2599A" w14:textId="4FB901F6" w:rsidR="00671901" w:rsidRPr="00787A9E" w:rsidRDefault="00671901" w:rsidP="00FD1A00">
      <w:pPr>
        <w:ind w:firstLine="1440"/>
        <w:contextualSpacing/>
        <w:rPr>
          <w:sz w:val="26"/>
          <w:szCs w:val="26"/>
        </w:rPr>
      </w:pPr>
      <w:r w:rsidRPr="00787A9E">
        <w:rPr>
          <w:sz w:val="26"/>
          <w:szCs w:val="26"/>
        </w:rPr>
        <w:t>In its Replies to the Company</w:t>
      </w:r>
      <w:r w:rsidR="00A424DB">
        <w:rPr>
          <w:sz w:val="26"/>
          <w:szCs w:val="26"/>
        </w:rPr>
        <w:t>’</w:t>
      </w:r>
      <w:r w:rsidRPr="00787A9E">
        <w:rPr>
          <w:sz w:val="26"/>
          <w:szCs w:val="26"/>
        </w:rPr>
        <w:t xml:space="preserve">s Exception No. </w:t>
      </w:r>
      <w:r w:rsidR="00CB621B">
        <w:rPr>
          <w:sz w:val="26"/>
          <w:szCs w:val="26"/>
        </w:rPr>
        <w:t>2</w:t>
      </w:r>
      <w:r w:rsidRPr="00787A9E">
        <w:rPr>
          <w:sz w:val="26"/>
          <w:szCs w:val="26"/>
        </w:rPr>
        <w:t>, the Foundation agrees with the ALJs</w:t>
      </w:r>
      <w:r w:rsidR="00A424DB">
        <w:rPr>
          <w:sz w:val="26"/>
          <w:szCs w:val="26"/>
        </w:rPr>
        <w:t>’</w:t>
      </w:r>
      <w:r w:rsidRPr="00787A9E">
        <w:rPr>
          <w:sz w:val="26"/>
          <w:szCs w:val="26"/>
        </w:rPr>
        <w:t xml:space="preserve"> recommendation.  According to the Foundation, given the Company</w:t>
      </w:r>
      <w:r w:rsidR="00A424DB">
        <w:rPr>
          <w:sz w:val="26"/>
          <w:szCs w:val="26"/>
        </w:rPr>
        <w:t>’</w:t>
      </w:r>
      <w:r w:rsidRPr="00787A9E">
        <w:rPr>
          <w:sz w:val="26"/>
          <w:szCs w:val="26"/>
        </w:rPr>
        <w:t xml:space="preserve">s </w:t>
      </w:r>
      <w:r w:rsidR="006B1F3C">
        <w:rPr>
          <w:sz w:val="26"/>
          <w:szCs w:val="26"/>
        </w:rPr>
        <w:lastRenderedPageBreak/>
        <w:t xml:space="preserve">prior actions </w:t>
      </w:r>
      <w:r w:rsidRPr="00787A9E">
        <w:rPr>
          <w:sz w:val="26"/>
          <w:szCs w:val="26"/>
        </w:rPr>
        <w:t xml:space="preserve">and propensity of not complying with deadlines, there is no basis for the Commission to extend the deadline for filing the audited reports </w:t>
      </w:r>
      <w:r w:rsidR="00CB621B">
        <w:rPr>
          <w:sz w:val="26"/>
          <w:szCs w:val="26"/>
        </w:rPr>
        <w:t xml:space="preserve">beyond the 120 days </w:t>
      </w:r>
      <w:r w:rsidRPr="00787A9E">
        <w:rPr>
          <w:sz w:val="26"/>
          <w:szCs w:val="26"/>
        </w:rPr>
        <w:t>recommended by the ALJs.  The Foundation asserts that the Commission should deny the Company</w:t>
      </w:r>
      <w:r w:rsidR="00A424DB">
        <w:rPr>
          <w:sz w:val="26"/>
          <w:szCs w:val="26"/>
        </w:rPr>
        <w:t>’</w:t>
      </w:r>
      <w:r w:rsidRPr="00787A9E">
        <w:rPr>
          <w:sz w:val="26"/>
          <w:szCs w:val="26"/>
        </w:rPr>
        <w:t>s request for extension of time to file the reports by applying the same rationale</w:t>
      </w:r>
      <w:r w:rsidR="00CB621B">
        <w:rPr>
          <w:sz w:val="26"/>
          <w:szCs w:val="26"/>
        </w:rPr>
        <w:t xml:space="preserve"> as it did</w:t>
      </w:r>
      <w:r w:rsidRPr="00787A9E">
        <w:rPr>
          <w:sz w:val="26"/>
          <w:szCs w:val="26"/>
        </w:rPr>
        <w:t xml:space="preserve"> in its denial of HVUS</w:t>
      </w:r>
      <w:r w:rsidR="00A424DB">
        <w:rPr>
          <w:sz w:val="26"/>
          <w:szCs w:val="26"/>
        </w:rPr>
        <w:t>’</w:t>
      </w:r>
      <w:r w:rsidRPr="00787A9E">
        <w:rPr>
          <w:sz w:val="26"/>
          <w:szCs w:val="26"/>
        </w:rPr>
        <w:t xml:space="preserve">s request in the </w:t>
      </w:r>
      <w:r w:rsidRPr="00787A9E">
        <w:rPr>
          <w:i/>
          <w:sz w:val="26"/>
          <w:szCs w:val="26"/>
        </w:rPr>
        <w:t>January 2019 McCloskey Order</w:t>
      </w:r>
      <w:r w:rsidRPr="00787A9E">
        <w:rPr>
          <w:sz w:val="26"/>
          <w:szCs w:val="26"/>
        </w:rPr>
        <w:t>.  The Foundation believes any failure to comply with the ALJs</w:t>
      </w:r>
      <w:r w:rsidR="00A424DB">
        <w:rPr>
          <w:sz w:val="26"/>
          <w:szCs w:val="26"/>
        </w:rPr>
        <w:t>’</w:t>
      </w:r>
      <w:r w:rsidRPr="00787A9E">
        <w:rPr>
          <w:sz w:val="26"/>
          <w:szCs w:val="26"/>
        </w:rPr>
        <w:t xml:space="preserve"> recommendation is a clear indication of the Company</w:t>
      </w:r>
      <w:r w:rsidR="00A424DB">
        <w:rPr>
          <w:sz w:val="26"/>
          <w:szCs w:val="26"/>
        </w:rPr>
        <w:t>’</w:t>
      </w:r>
      <w:r w:rsidRPr="00787A9E">
        <w:rPr>
          <w:sz w:val="26"/>
          <w:szCs w:val="26"/>
        </w:rPr>
        <w:t xml:space="preserve">s lack of competency to operate and of its </w:t>
      </w:r>
      <w:r w:rsidR="00D96250" w:rsidRPr="00787A9E">
        <w:rPr>
          <w:sz w:val="26"/>
          <w:szCs w:val="26"/>
        </w:rPr>
        <w:t>in</w:t>
      </w:r>
      <w:r w:rsidRPr="00787A9E">
        <w:rPr>
          <w:sz w:val="26"/>
          <w:szCs w:val="26"/>
        </w:rPr>
        <w:t xml:space="preserve">ability to provide reasonable and adequate service.  The Foundation </w:t>
      </w:r>
      <w:r w:rsidR="00D96250" w:rsidRPr="00787A9E">
        <w:rPr>
          <w:sz w:val="26"/>
          <w:szCs w:val="26"/>
        </w:rPr>
        <w:t xml:space="preserve">is of the opinion that </w:t>
      </w:r>
      <w:r w:rsidRPr="00787A9E">
        <w:rPr>
          <w:sz w:val="26"/>
          <w:szCs w:val="26"/>
        </w:rPr>
        <w:t xml:space="preserve">if the Commission extends the deadline after strictly enforcing the deadlines in the </w:t>
      </w:r>
      <w:r w:rsidRPr="00787A9E">
        <w:rPr>
          <w:i/>
          <w:sz w:val="26"/>
          <w:szCs w:val="26"/>
        </w:rPr>
        <w:t>McCloskey Orders</w:t>
      </w:r>
      <w:r w:rsidRPr="00787A9E">
        <w:rPr>
          <w:sz w:val="26"/>
          <w:szCs w:val="26"/>
        </w:rPr>
        <w:t xml:space="preserve">, it would send the wrong message to the Company that its delay tactics are </w:t>
      </w:r>
      <w:r w:rsidR="00D96250" w:rsidRPr="00787A9E">
        <w:rPr>
          <w:sz w:val="26"/>
          <w:szCs w:val="26"/>
        </w:rPr>
        <w:t>acceptable</w:t>
      </w:r>
      <w:r w:rsidRPr="00787A9E">
        <w:rPr>
          <w:sz w:val="26"/>
          <w:szCs w:val="26"/>
        </w:rPr>
        <w:t xml:space="preserve">.  Foundation R. Exc. at 5-6. </w:t>
      </w:r>
    </w:p>
    <w:p w14:paraId="7C9449E6" w14:textId="77777777" w:rsidR="00671901" w:rsidRPr="00787A9E" w:rsidRDefault="00671901" w:rsidP="00FD1A00">
      <w:pPr>
        <w:contextualSpacing/>
        <w:rPr>
          <w:sz w:val="26"/>
          <w:szCs w:val="26"/>
        </w:rPr>
      </w:pPr>
    </w:p>
    <w:p w14:paraId="5FE3FE8E" w14:textId="53C7B88C" w:rsidR="00203022" w:rsidRPr="00787A9E" w:rsidRDefault="002B073C" w:rsidP="00FD1A00">
      <w:pPr>
        <w:pStyle w:val="ListParagraph"/>
        <w:keepNext/>
        <w:keepLines/>
        <w:ind w:left="2880" w:hanging="720"/>
        <w:rPr>
          <w:b/>
          <w:sz w:val="26"/>
          <w:szCs w:val="26"/>
        </w:rPr>
      </w:pPr>
      <w:r w:rsidRPr="00787A9E">
        <w:rPr>
          <w:b/>
          <w:sz w:val="26"/>
          <w:szCs w:val="26"/>
        </w:rPr>
        <w:t>b</w:t>
      </w:r>
      <w:r w:rsidR="00BF3A2F" w:rsidRPr="00787A9E">
        <w:rPr>
          <w:b/>
          <w:sz w:val="26"/>
          <w:szCs w:val="26"/>
        </w:rPr>
        <w:t>.</w:t>
      </w:r>
      <w:r w:rsidR="00BF3A2F" w:rsidRPr="00787A9E">
        <w:rPr>
          <w:b/>
          <w:sz w:val="26"/>
          <w:szCs w:val="26"/>
        </w:rPr>
        <w:tab/>
      </w:r>
      <w:r w:rsidR="00203022" w:rsidRPr="00787A9E">
        <w:rPr>
          <w:b/>
          <w:sz w:val="26"/>
          <w:szCs w:val="26"/>
        </w:rPr>
        <w:t>Mr. Kollar</w:t>
      </w:r>
      <w:r w:rsidR="00A424DB">
        <w:rPr>
          <w:b/>
          <w:sz w:val="26"/>
          <w:szCs w:val="26"/>
        </w:rPr>
        <w:t>’</w:t>
      </w:r>
      <w:r w:rsidR="00203022" w:rsidRPr="00787A9E">
        <w:rPr>
          <w:b/>
          <w:sz w:val="26"/>
          <w:szCs w:val="26"/>
        </w:rPr>
        <w:t>s Exception</w:t>
      </w:r>
      <w:r w:rsidR="008D206F" w:rsidRPr="00787A9E">
        <w:rPr>
          <w:b/>
          <w:sz w:val="26"/>
          <w:szCs w:val="26"/>
        </w:rPr>
        <w:t>s and HVUS</w:t>
      </w:r>
      <w:r w:rsidR="00A424DB">
        <w:rPr>
          <w:b/>
          <w:sz w:val="26"/>
          <w:szCs w:val="26"/>
        </w:rPr>
        <w:t>’</w:t>
      </w:r>
      <w:r w:rsidR="008D206F" w:rsidRPr="00787A9E">
        <w:rPr>
          <w:b/>
          <w:sz w:val="26"/>
          <w:szCs w:val="26"/>
        </w:rPr>
        <w:t>s Replies</w:t>
      </w:r>
    </w:p>
    <w:p w14:paraId="48A96D1F" w14:textId="77777777" w:rsidR="00203022" w:rsidRPr="00787A9E" w:rsidRDefault="00203022" w:rsidP="00FD1A00">
      <w:pPr>
        <w:keepNext/>
        <w:keepLines/>
        <w:contextualSpacing/>
        <w:rPr>
          <w:sz w:val="26"/>
          <w:szCs w:val="26"/>
        </w:rPr>
      </w:pPr>
    </w:p>
    <w:p w14:paraId="26CC0871" w14:textId="075FB1CB" w:rsidR="00203022" w:rsidRPr="00787A9E" w:rsidRDefault="00203022" w:rsidP="00FD1A00">
      <w:pPr>
        <w:ind w:firstLine="1440"/>
        <w:contextualSpacing/>
        <w:rPr>
          <w:sz w:val="26"/>
          <w:szCs w:val="26"/>
        </w:rPr>
      </w:pPr>
      <w:r w:rsidRPr="00787A9E">
        <w:rPr>
          <w:sz w:val="26"/>
          <w:szCs w:val="26"/>
        </w:rPr>
        <w:t>In his second Exception, Mr. Kollar finds fault with Ordering Paragraph No. 7</w:t>
      </w:r>
      <w:r w:rsidR="00814D04" w:rsidRPr="00787A9E">
        <w:rPr>
          <w:sz w:val="26"/>
          <w:szCs w:val="26"/>
        </w:rPr>
        <w:t xml:space="preserve"> of the Recommended Decision, </w:t>
      </w:r>
      <w:r w:rsidR="00814D04" w:rsidRPr="00787A9E">
        <w:rPr>
          <w:i/>
          <w:sz w:val="26"/>
          <w:szCs w:val="26"/>
        </w:rPr>
        <w:t>supra,</w:t>
      </w:r>
      <w:r w:rsidRPr="00787A9E">
        <w:rPr>
          <w:sz w:val="26"/>
          <w:szCs w:val="26"/>
        </w:rPr>
        <w:t xml:space="preserve"> and </w:t>
      </w:r>
      <w:r w:rsidR="00814D04" w:rsidRPr="00787A9E">
        <w:rPr>
          <w:sz w:val="26"/>
          <w:szCs w:val="26"/>
        </w:rPr>
        <w:t xml:space="preserve">Ordering Paragraph No. </w:t>
      </w:r>
      <w:r w:rsidRPr="00787A9E">
        <w:rPr>
          <w:sz w:val="26"/>
          <w:szCs w:val="26"/>
        </w:rPr>
        <w:t>8 of the Recommended Decision, which state</w:t>
      </w:r>
      <w:r w:rsidR="00814D04" w:rsidRPr="00787A9E">
        <w:rPr>
          <w:sz w:val="26"/>
          <w:szCs w:val="26"/>
        </w:rPr>
        <w:t>s</w:t>
      </w:r>
      <w:r w:rsidRPr="00787A9E">
        <w:rPr>
          <w:sz w:val="26"/>
          <w:szCs w:val="26"/>
        </w:rPr>
        <w:t xml:space="preserve"> as follows:</w:t>
      </w:r>
    </w:p>
    <w:p w14:paraId="6F1E89BA" w14:textId="77777777" w:rsidR="00203022" w:rsidRPr="00787A9E" w:rsidRDefault="00203022" w:rsidP="00FD1A00">
      <w:pPr>
        <w:spacing w:line="240" w:lineRule="auto"/>
        <w:ind w:left="1440" w:right="1440"/>
        <w:contextualSpacing/>
        <w:rPr>
          <w:sz w:val="26"/>
          <w:szCs w:val="26"/>
        </w:rPr>
      </w:pPr>
    </w:p>
    <w:p w14:paraId="01969DE2" w14:textId="7D345F55" w:rsidR="00203022" w:rsidRDefault="00203022" w:rsidP="00FD1A00">
      <w:pPr>
        <w:spacing w:line="240" w:lineRule="auto"/>
        <w:ind w:left="1440" w:right="1440"/>
        <w:contextualSpacing/>
        <w:rPr>
          <w:sz w:val="26"/>
          <w:szCs w:val="26"/>
        </w:rPr>
      </w:pPr>
      <w:r w:rsidRPr="00787A9E">
        <w:rPr>
          <w:sz w:val="26"/>
          <w:szCs w:val="26"/>
        </w:rPr>
        <w:t>8.</w:t>
      </w:r>
      <w:r w:rsidRPr="00787A9E">
        <w:rPr>
          <w:sz w:val="26"/>
          <w:szCs w:val="26"/>
        </w:rPr>
        <w:tab/>
        <w:t>That, during the period 2019-2023 or until its next rate case, whichever is earlier, Hidden Valley Utility Services, L.P. shall have its annual report prepared or reviewed by a rate consultant prior to submission to the Commission.</w:t>
      </w:r>
    </w:p>
    <w:p w14:paraId="5D3A2E9F" w14:textId="1C1B7596" w:rsidR="00B92CE9" w:rsidRDefault="00B92CE9" w:rsidP="00FD1A00">
      <w:pPr>
        <w:spacing w:line="240" w:lineRule="auto"/>
        <w:ind w:left="1440" w:right="1440"/>
        <w:contextualSpacing/>
        <w:rPr>
          <w:sz w:val="26"/>
          <w:szCs w:val="26"/>
        </w:rPr>
      </w:pPr>
    </w:p>
    <w:p w14:paraId="647ABD94" w14:textId="77777777" w:rsidR="00B92CE9" w:rsidRPr="00787A9E" w:rsidRDefault="00B92CE9" w:rsidP="00FD1A00">
      <w:pPr>
        <w:spacing w:line="240" w:lineRule="auto"/>
        <w:ind w:left="1440" w:right="1440"/>
        <w:contextualSpacing/>
        <w:rPr>
          <w:sz w:val="26"/>
          <w:szCs w:val="26"/>
        </w:rPr>
      </w:pPr>
    </w:p>
    <w:p w14:paraId="7930EC43" w14:textId="317C9B8A" w:rsidR="00203022" w:rsidRPr="00787A9E" w:rsidRDefault="00B92CE9" w:rsidP="00FD1A00">
      <w:pPr>
        <w:contextualSpacing/>
        <w:rPr>
          <w:sz w:val="26"/>
          <w:szCs w:val="26"/>
        </w:rPr>
      </w:pPr>
      <w:r w:rsidRPr="00072807">
        <w:rPr>
          <w:sz w:val="26"/>
          <w:szCs w:val="26"/>
        </w:rPr>
        <w:t>R.D.</w:t>
      </w:r>
      <w:r>
        <w:rPr>
          <w:sz w:val="26"/>
          <w:szCs w:val="26"/>
        </w:rPr>
        <w:t> </w:t>
      </w:r>
      <w:r w:rsidRPr="00072807">
        <w:rPr>
          <w:sz w:val="26"/>
          <w:szCs w:val="26"/>
        </w:rPr>
        <w:t>at 58.</w:t>
      </w:r>
      <w:r>
        <w:rPr>
          <w:sz w:val="26"/>
          <w:szCs w:val="26"/>
        </w:rPr>
        <w:t xml:space="preserve">  </w:t>
      </w:r>
      <w:r w:rsidR="00203022" w:rsidRPr="00787A9E">
        <w:rPr>
          <w:sz w:val="26"/>
          <w:szCs w:val="26"/>
        </w:rPr>
        <w:t>According to Mr. Kollar, HVUS has filed inaccurate reports for many years.  Mr. Kollar claims that the requirement to utilize a rate consultant will not solve the problem of inaccurate annual financial reports.  As such, Mr. Kollar submits that the above ordering paragraphs should be modified to require HVUS to use the services of a certified public accountant (CPA) to ensure that its annual reports are prepared accurately and in accordance with Generally Accepted Accounting Principles (GAAP) applied on a consistent basis.  Mr. Kollar Exc. at 6-7.</w:t>
      </w:r>
    </w:p>
    <w:p w14:paraId="2BBA9CAE" w14:textId="77777777" w:rsidR="004B2238" w:rsidRPr="00787A9E" w:rsidRDefault="004B2238" w:rsidP="00FD1A00">
      <w:pPr>
        <w:contextualSpacing/>
        <w:rPr>
          <w:sz w:val="26"/>
          <w:szCs w:val="26"/>
        </w:rPr>
      </w:pPr>
    </w:p>
    <w:p w14:paraId="50FB0252" w14:textId="17FFCD80" w:rsidR="00203022" w:rsidRPr="00787A9E" w:rsidRDefault="00203022" w:rsidP="00FD1A00">
      <w:pPr>
        <w:ind w:firstLine="1440"/>
        <w:contextualSpacing/>
        <w:rPr>
          <w:sz w:val="26"/>
          <w:szCs w:val="26"/>
        </w:rPr>
      </w:pPr>
      <w:r w:rsidRPr="00787A9E">
        <w:rPr>
          <w:sz w:val="26"/>
          <w:szCs w:val="26"/>
        </w:rPr>
        <w:t>In his third Exception, Mr. Kollar makes suggested edits to Ordering Paragraph No. 9,</w:t>
      </w:r>
      <w:r w:rsidR="00814D04" w:rsidRPr="00787A9E">
        <w:rPr>
          <w:sz w:val="26"/>
          <w:szCs w:val="26"/>
        </w:rPr>
        <w:t xml:space="preserve"> </w:t>
      </w:r>
      <w:r w:rsidR="00814D04" w:rsidRPr="00787A9E">
        <w:rPr>
          <w:i/>
          <w:sz w:val="26"/>
          <w:szCs w:val="26"/>
        </w:rPr>
        <w:t xml:space="preserve">supra.  </w:t>
      </w:r>
      <w:r w:rsidRPr="00787A9E">
        <w:rPr>
          <w:sz w:val="26"/>
          <w:szCs w:val="26"/>
        </w:rPr>
        <w:t>Mr. Kollar claims that although the requirement for an independent audit of the Company</w:t>
      </w:r>
      <w:r w:rsidR="00A424DB">
        <w:rPr>
          <w:sz w:val="26"/>
          <w:szCs w:val="26"/>
        </w:rPr>
        <w:t>’</w:t>
      </w:r>
      <w:r w:rsidRPr="00787A9E">
        <w:rPr>
          <w:sz w:val="26"/>
          <w:szCs w:val="26"/>
        </w:rPr>
        <w:t>s financial statements is an important step, the above ordering paragraph should be amended to enhance the effectiveness of this step.  More specifically, Mr. Kollar claims that the following should be added to Ordering Paragraph No. 9: (1) that a CPA firm should conduct the independent financial audit; (2) that HVUS provide the Commission with notice, which will be posted to the docket for this case, once it selects an auditing firm and has estimated a timeline for completion; (3) that the complete audit report and accompanying financial statements be filed with the Commission</w:t>
      </w:r>
      <w:r w:rsidR="00A424DB">
        <w:rPr>
          <w:sz w:val="26"/>
          <w:szCs w:val="26"/>
        </w:rPr>
        <w:t>’</w:t>
      </w:r>
      <w:r w:rsidRPr="00787A9E">
        <w:rPr>
          <w:sz w:val="26"/>
          <w:szCs w:val="26"/>
        </w:rPr>
        <w:t>s Secretary</w:t>
      </w:r>
      <w:r w:rsidR="00A424DB">
        <w:rPr>
          <w:sz w:val="26"/>
          <w:szCs w:val="26"/>
        </w:rPr>
        <w:t>’</w:t>
      </w:r>
      <w:r w:rsidRPr="00787A9E">
        <w:rPr>
          <w:sz w:val="26"/>
          <w:szCs w:val="26"/>
        </w:rPr>
        <w:t>s Bureau and TUS and posted at this docket; (4) that within sixty days of receiving the audited financial statements, TUS shall provide a report to the Commission indicating its receipt and review of the audited financial statements and shall include a list of any concerns it has regarding the financial viability of HVUS; and (5)</w:t>
      </w:r>
      <w:r w:rsidR="00B24D6E">
        <w:rPr>
          <w:sz w:val="26"/>
          <w:szCs w:val="26"/>
        </w:rPr>
        <w:t> </w:t>
      </w:r>
      <w:r w:rsidRPr="00787A9E">
        <w:rPr>
          <w:sz w:val="26"/>
          <w:szCs w:val="26"/>
        </w:rPr>
        <w:t xml:space="preserve">that the audit requirement remain in effect until all requirements of the </w:t>
      </w:r>
      <w:r w:rsidRPr="00787A9E">
        <w:rPr>
          <w:i/>
          <w:sz w:val="26"/>
          <w:szCs w:val="26"/>
        </w:rPr>
        <w:t>McCloskey Orders</w:t>
      </w:r>
      <w:r w:rsidRPr="00787A9E">
        <w:rPr>
          <w:sz w:val="26"/>
          <w:szCs w:val="26"/>
        </w:rPr>
        <w:t xml:space="preserve"> are met.  Mr. Kollar Exc. at 7-9.</w:t>
      </w:r>
    </w:p>
    <w:p w14:paraId="4894EDAA" w14:textId="77777777" w:rsidR="008D206F" w:rsidRPr="00787A9E" w:rsidRDefault="008D206F" w:rsidP="00FD1A00">
      <w:pPr>
        <w:contextualSpacing/>
        <w:rPr>
          <w:sz w:val="26"/>
          <w:szCs w:val="26"/>
        </w:rPr>
      </w:pPr>
    </w:p>
    <w:p w14:paraId="146E5F7D" w14:textId="065D8A49" w:rsidR="00203022" w:rsidRPr="00787A9E" w:rsidRDefault="00203022" w:rsidP="00FD1A00">
      <w:pPr>
        <w:ind w:firstLine="1440"/>
        <w:contextualSpacing/>
        <w:rPr>
          <w:sz w:val="26"/>
          <w:szCs w:val="26"/>
        </w:rPr>
      </w:pPr>
      <w:r w:rsidRPr="00787A9E">
        <w:rPr>
          <w:sz w:val="26"/>
          <w:szCs w:val="26"/>
        </w:rPr>
        <w:t>HVUS did not reply specifically to Mr. Kollar</w:t>
      </w:r>
      <w:r w:rsidR="00A424DB">
        <w:rPr>
          <w:sz w:val="26"/>
          <w:szCs w:val="26"/>
        </w:rPr>
        <w:t>’</w:t>
      </w:r>
      <w:r w:rsidRPr="00787A9E">
        <w:rPr>
          <w:sz w:val="26"/>
          <w:szCs w:val="26"/>
        </w:rPr>
        <w:t>s Exception Nos. 2 and 3.</w:t>
      </w:r>
    </w:p>
    <w:p w14:paraId="6951F1E2" w14:textId="77777777" w:rsidR="00203022" w:rsidRPr="00787A9E" w:rsidRDefault="00203022" w:rsidP="00FD1A00">
      <w:pPr>
        <w:contextualSpacing/>
        <w:rPr>
          <w:sz w:val="26"/>
          <w:szCs w:val="26"/>
        </w:rPr>
      </w:pPr>
    </w:p>
    <w:p w14:paraId="07B96324" w14:textId="1A50E2BF" w:rsidR="003408BA" w:rsidRPr="00787A9E" w:rsidRDefault="002B073C" w:rsidP="00FD1A00">
      <w:pPr>
        <w:pStyle w:val="ListParagraph"/>
        <w:keepNext/>
        <w:keepLines/>
        <w:ind w:left="2880" w:hanging="720"/>
        <w:rPr>
          <w:sz w:val="26"/>
          <w:szCs w:val="26"/>
        </w:rPr>
      </w:pPr>
      <w:r w:rsidRPr="00787A9E">
        <w:rPr>
          <w:b/>
          <w:sz w:val="26"/>
          <w:szCs w:val="26"/>
        </w:rPr>
        <w:t>c</w:t>
      </w:r>
      <w:r w:rsidR="003408BA" w:rsidRPr="00787A9E">
        <w:rPr>
          <w:b/>
          <w:sz w:val="26"/>
          <w:szCs w:val="26"/>
        </w:rPr>
        <w:t>.</w:t>
      </w:r>
      <w:r w:rsidR="003408BA" w:rsidRPr="00787A9E">
        <w:rPr>
          <w:b/>
          <w:sz w:val="26"/>
          <w:szCs w:val="26"/>
        </w:rPr>
        <w:tab/>
      </w:r>
      <w:r w:rsidR="00ED5A92" w:rsidRPr="00787A9E">
        <w:rPr>
          <w:b/>
          <w:sz w:val="26"/>
          <w:szCs w:val="26"/>
        </w:rPr>
        <w:t xml:space="preserve">The </w:t>
      </w:r>
      <w:r w:rsidR="003408BA" w:rsidRPr="00787A9E">
        <w:rPr>
          <w:b/>
          <w:sz w:val="26"/>
          <w:szCs w:val="26"/>
        </w:rPr>
        <w:t>Foundation</w:t>
      </w:r>
      <w:r w:rsidR="00A424DB">
        <w:rPr>
          <w:b/>
          <w:sz w:val="26"/>
          <w:szCs w:val="26"/>
        </w:rPr>
        <w:t>’</w:t>
      </w:r>
      <w:r w:rsidR="003408BA" w:rsidRPr="00787A9E">
        <w:rPr>
          <w:b/>
          <w:sz w:val="26"/>
          <w:szCs w:val="26"/>
        </w:rPr>
        <w:t>s Exceptions</w:t>
      </w:r>
      <w:r w:rsidR="003408BA" w:rsidRPr="00787A9E">
        <w:rPr>
          <w:sz w:val="26"/>
          <w:szCs w:val="26"/>
        </w:rPr>
        <w:t xml:space="preserve"> </w:t>
      </w:r>
      <w:r w:rsidR="00ED5A92" w:rsidRPr="00787A9E">
        <w:rPr>
          <w:b/>
          <w:sz w:val="26"/>
          <w:szCs w:val="26"/>
        </w:rPr>
        <w:t>and HVUS</w:t>
      </w:r>
      <w:r w:rsidR="00A424DB">
        <w:rPr>
          <w:b/>
          <w:sz w:val="26"/>
          <w:szCs w:val="26"/>
        </w:rPr>
        <w:t>’</w:t>
      </w:r>
      <w:r w:rsidR="00ED5A92" w:rsidRPr="00787A9E">
        <w:rPr>
          <w:b/>
          <w:sz w:val="26"/>
          <w:szCs w:val="26"/>
        </w:rPr>
        <w:t>s Replies</w:t>
      </w:r>
    </w:p>
    <w:p w14:paraId="6E1D0F1A" w14:textId="77777777" w:rsidR="003408BA" w:rsidRPr="00787A9E" w:rsidRDefault="003408BA" w:rsidP="00FD1A00">
      <w:pPr>
        <w:pStyle w:val="ListParagraph"/>
        <w:keepNext/>
        <w:keepLines/>
        <w:ind w:left="1440"/>
        <w:rPr>
          <w:sz w:val="26"/>
          <w:szCs w:val="26"/>
        </w:rPr>
      </w:pPr>
    </w:p>
    <w:p w14:paraId="6BD94D08" w14:textId="1CD18844" w:rsidR="003408BA" w:rsidRPr="00787A9E" w:rsidRDefault="003408BA" w:rsidP="00FD1A00">
      <w:pPr>
        <w:ind w:firstLine="1440"/>
        <w:contextualSpacing/>
        <w:rPr>
          <w:sz w:val="26"/>
          <w:szCs w:val="26"/>
        </w:rPr>
      </w:pPr>
      <w:r w:rsidRPr="00787A9E">
        <w:rPr>
          <w:sz w:val="26"/>
          <w:szCs w:val="26"/>
        </w:rPr>
        <w:t>In its Exception Nos. 4, 9, and 10, the Foundation takes issue with the ALJs</w:t>
      </w:r>
      <w:r w:rsidR="00A424DB">
        <w:rPr>
          <w:sz w:val="26"/>
          <w:szCs w:val="26"/>
        </w:rPr>
        <w:t>’</w:t>
      </w:r>
      <w:r w:rsidRPr="00787A9E">
        <w:rPr>
          <w:sz w:val="26"/>
          <w:szCs w:val="26"/>
        </w:rPr>
        <w:t xml:space="preserve"> recommendation that HVUS be ordered to file corrected annual reports from 2015 to 2018 that are prepared by or reviewed by a rate consultant.  </w:t>
      </w:r>
      <w:r w:rsidR="006F4F47" w:rsidRPr="00787A9E">
        <w:rPr>
          <w:sz w:val="26"/>
          <w:szCs w:val="26"/>
        </w:rPr>
        <w:t xml:space="preserve">The Foundation </w:t>
      </w:r>
      <w:r w:rsidRPr="00787A9E">
        <w:rPr>
          <w:sz w:val="26"/>
          <w:szCs w:val="26"/>
        </w:rPr>
        <w:t xml:space="preserve">is of the same opinion as Mr. Kollar that such annual reports should be prepared by or reviewed by a CPA.  Therefore, the Foundation argues that Ordering Paragraph Nos. 7 and 8 of the Recommended Decision, </w:t>
      </w:r>
      <w:r w:rsidRPr="00787A9E">
        <w:rPr>
          <w:i/>
          <w:sz w:val="26"/>
          <w:szCs w:val="26"/>
        </w:rPr>
        <w:t>supra,</w:t>
      </w:r>
      <w:r w:rsidRPr="00787A9E">
        <w:rPr>
          <w:sz w:val="26"/>
          <w:szCs w:val="26"/>
        </w:rPr>
        <w:t xml:space="preserve"> should be modified </w:t>
      </w:r>
      <w:r w:rsidR="00315911">
        <w:rPr>
          <w:sz w:val="26"/>
          <w:szCs w:val="26"/>
        </w:rPr>
        <w:t xml:space="preserve">to state </w:t>
      </w:r>
      <w:r w:rsidRPr="00787A9E">
        <w:rPr>
          <w:sz w:val="26"/>
          <w:szCs w:val="26"/>
        </w:rPr>
        <w:t>as follows:</w:t>
      </w:r>
    </w:p>
    <w:p w14:paraId="0A6D1E07" w14:textId="77777777" w:rsidR="003408BA" w:rsidRPr="00787A9E" w:rsidRDefault="003408BA" w:rsidP="00FD1A00">
      <w:pPr>
        <w:contextualSpacing/>
        <w:rPr>
          <w:sz w:val="26"/>
          <w:szCs w:val="26"/>
        </w:rPr>
      </w:pPr>
    </w:p>
    <w:p w14:paraId="1725983C" w14:textId="5601C847" w:rsidR="003408BA" w:rsidRPr="00787A9E" w:rsidRDefault="003408BA" w:rsidP="00FD1A00">
      <w:pPr>
        <w:spacing w:before="2" w:line="240" w:lineRule="auto"/>
        <w:ind w:left="1440" w:right="1440"/>
        <w:contextualSpacing/>
        <w:textAlignment w:val="baseline"/>
        <w:rPr>
          <w:color w:val="000000"/>
          <w:sz w:val="26"/>
          <w:szCs w:val="26"/>
        </w:rPr>
      </w:pPr>
      <w:r w:rsidRPr="00787A9E">
        <w:rPr>
          <w:color w:val="000000"/>
          <w:sz w:val="26"/>
          <w:szCs w:val="26"/>
        </w:rPr>
        <w:lastRenderedPageBreak/>
        <w:t>7.</w:t>
      </w:r>
      <w:r w:rsidRPr="00787A9E">
        <w:rPr>
          <w:color w:val="000000"/>
          <w:sz w:val="26"/>
          <w:szCs w:val="26"/>
        </w:rPr>
        <w:tab/>
        <w:t>That, within 90 days after the entry of the Commission</w:t>
      </w:r>
      <w:r w:rsidR="00A424DB">
        <w:rPr>
          <w:color w:val="000000"/>
          <w:sz w:val="26"/>
          <w:szCs w:val="26"/>
        </w:rPr>
        <w:t>’</w:t>
      </w:r>
      <w:r w:rsidRPr="00787A9E">
        <w:rPr>
          <w:color w:val="000000"/>
          <w:sz w:val="26"/>
          <w:szCs w:val="26"/>
        </w:rPr>
        <w:t>s final order in this proceeding, Hidden Valley Utility Services, L.P. shall submit to the Commission</w:t>
      </w:r>
      <w:r w:rsidR="00A424DB">
        <w:rPr>
          <w:color w:val="000000"/>
          <w:sz w:val="26"/>
          <w:szCs w:val="26"/>
        </w:rPr>
        <w:t>’</w:t>
      </w:r>
      <w:r w:rsidRPr="00787A9E">
        <w:rPr>
          <w:color w:val="000000"/>
          <w:sz w:val="26"/>
          <w:szCs w:val="26"/>
        </w:rPr>
        <w:t>s Secretary</w:t>
      </w:r>
      <w:r w:rsidR="00A424DB">
        <w:rPr>
          <w:color w:val="000000"/>
          <w:sz w:val="26"/>
          <w:szCs w:val="26"/>
        </w:rPr>
        <w:t>’</w:t>
      </w:r>
      <w:r w:rsidRPr="00787A9E">
        <w:rPr>
          <w:color w:val="000000"/>
          <w:sz w:val="26"/>
          <w:szCs w:val="26"/>
        </w:rPr>
        <w:t>s Bureau and the Commission</w:t>
      </w:r>
      <w:r w:rsidR="00A424DB">
        <w:rPr>
          <w:color w:val="000000"/>
          <w:sz w:val="26"/>
          <w:szCs w:val="26"/>
        </w:rPr>
        <w:t>’</w:t>
      </w:r>
      <w:r w:rsidRPr="00787A9E">
        <w:rPr>
          <w:color w:val="000000"/>
          <w:sz w:val="26"/>
          <w:szCs w:val="26"/>
        </w:rPr>
        <w:t>s Bureau of Technical Utility Services corrected annual reports for the years 2015-2018 prepared by a Certified Public Accountant (CPA) to ensure that its annual reports are prepared accurately and in accordance with Generally Accepted Accounting Principles (GAAP) applied on a consistent basis prior to submission to the Commission.</w:t>
      </w:r>
    </w:p>
    <w:p w14:paraId="184DF749" w14:textId="77777777" w:rsidR="003408BA" w:rsidRPr="00787A9E" w:rsidRDefault="003408BA" w:rsidP="00FD1A00">
      <w:pPr>
        <w:contextualSpacing/>
        <w:rPr>
          <w:sz w:val="26"/>
          <w:szCs w:val="26"/>
        </w:rPr>
      </w:pPr>
    </w:p>
    <w:p w14:paraId="02147BEC" w14:textId="4B7B78A6" w:rsidR="003408BA" w:rsidRDefault="003408BA" w:rsidP="00FD1A00">
      <w:pPr>
        <w:spacing w:line="240" w:lineRule="auto"/>
        <w:ind w:left="1440" w:right="1440"/>
        <w:contextualSpacing/>
        <w:rPr>
          <w:color w:val="000000"/>
          <w:sz w:val="26"/>
          <w:szCs w:val="26"/>
        </w:rPr>
      </w:pPr>
      <w:r w:rsidRPr="00787A9E">
        <w:rPr>
          <w:color w:val="000000"/>
          <w:sz w:val="26"/>
          <w:szCs w:val="26"/>
        </w:rPr>
        <w:t>8.</w:t>
      </w:r>
      <w:r w:rsidRPr="00787A9E">
        <w:rPr>
          <w:color w:val="000000"/>
          <w:sz w:val="26"/>
          <w:szCs w:val="26"/>
        </w:rPr>
        <w:tab/>
        <w:t>That, during the period 2019-2023 or until its next rate case, whichever is earlier, Hidden Valley Utility Services, L.P. shall have its annual report prepared by a Certified Public Accountant (CPA) to ensure that its annual reports are prepared accurately and in accordance with Generally Accepted Accounting Principles (GAAP) applied on a consistent basis prior to submission to the Commission.</w:t>
      </w:r>
    </w:p>
    <w:p w14:paraId="5AD04747" w14:textId="034B59DF" w:rsidR="00B24D6E" w:rsidRDefault="00B24D6E" w:rsidP="00FD1A00">
      <w:pPr>
        <w:spacing w:line="240" w:lineRule="auto"/>
        <w:ind w:left="1440" w:right="1440"/>
        <w:contextualSpacing/>
        <w:rPr>
          <w:color w:val="000000"/>
          <w:sz w:val="26"/>
          <w:szCs w:val="26"/>
        </w:rPr>
      </w:pPr>
    </w:p>
    <w:p w14:paraId="7CC362C6" w14:textId="77777777" w:rsidR="00B24D6E" w:rsidRPr="00787A9E" w:rsidRDefault="00B24D6E" w:rsidP="00FD1A00">
      <w:pPr>
        <w:spacing w:line="240" w:lineRule="auto"/>
        <w:ind w:left="1440" w:right="1440"/>
        <w:contextualSpacing/>
        <w:rPr>
          <w:sz w:val="26"/>
          <w:szCs w:val="26"/>
        </w:rPr>
      </w:pPr>
    </w:p>
    <w:p w14:paraId="23620FE4" w14:textId="77777777" w:rsidR="003408BA" w:rsidRPr="00787A9E" w:rsidRDefault="003408BA" w:rsidP="00FD1A00">
      <w:pPr>
        <w:contextualSpacing/>
        <w:rPr>
          <w:sz w:val="26"/>
          <w:szCs w:val="26"/>
        </w:rPr>
      </w:pPr>
      <w:r w:rsidRPr="00787A9E">
        <w:rPr>
          <w:sz w:val="26"/>
          <w:szCs w:val="26"/>
        </w:rPr>
        <w:t>In support of its position, the Foundation states that it adopts the reasoning Mr. Kollar set forth in his Exceptions regarding the modifications to Ordering Paragraph Nos. 7 and 8.  Foundation Exc. at 8, 9-10.</w:t>
      </w:r>
    </w:p>
    <w:p w14:paraId="040853DB" w14:textId="77777777" w:rsidR="003408BA" w:rsidRPr="00787A9E" w:rsidRDefault="003408BA" w:rsidP="00FD1A00">
      <w:pPr>
        <w:contextualSpacing/>
        <w:rPr>
          <w:sz w:val="26"/>
          <w:szCs w:val="26"/>
        </w:rPr>
      </w:pPr>
    </w:p>
    <w:p w14:paraId="4E85AA9C" w14:textId="4658566C" w:rsidR="003408BA" w:rsidRPr="00787A9E" w:rsidRDefault="003408BA" w:rsidP="00FD1A00">
      <w:pPr>
        <w:ind w:firstLine="1440"/>
        <w:contextualSpacing/>
        <w:rPr>
          <w:sz w:val="26"/>
          <w:szCs w:val="26"/>
        </w:rPr>
      </w:pPr>
      <w:r w:rsidRPr="00787A9E">
        <w:rPr>
          <w:sz w:val="26"/>
          <w:szCs w:val="26"/>
        </w:rPr>
        <w:t>Similarly, in its Exception Nos. 5 and 11, the Foundation takes issue with the ALJs</w:t>
      </w:r>
      <w:r w:rsidR="00A424DB">
        <w:rPr>
          <w:sz w:val="26"/>
          <w:szCs w:val="26"/>
        </w:rPr>
        <w:t>’</w:t>
      </w:r>
      <w:r w:rsidRPr="00787A9E">
        <w:rPr>
          <w:sz w:val="26"/>
          <w:szCs w:val="26"/>
        </w:rPr>
        <w:t xml:space="preserve"> recommendation that an independent financial audit of HVUS</w:t>
      </w:r>
      <w:r w:rsidR="00A424DB">
        <w:rPr>
          <w:sz w:val="26"/>
          <w:szCs w:val="26"/>
        </w:rPr>
        <w:t>’</w:t>
      </w:r>
      <w:r w:rsidRPr="00787A9E">
        <w:rPr>
          <w:sz w:val="26"/>
          <w:szCs w:val="26"/>
        </w:rPr>
        <w:t>s records should be conducted by an outside independent financial accounting firm.  The Foundation insists that the independent financial audit should be conducted by a CPA firm.  A</w:t>
      </w:r>
      <w:r w:rsidR="00ED5A92" w:rsidRPr="00787A9E">
        <w:rPr>
          <w:sz w:val="26"/>
          <w:szCs w:val="26"/>
        </w:rPr>
        <w:t>s</w:t>
      </w:r>
      <w:r w:rsidRPr="00787A9E">
        <w:rPr>
          <w:sz w:val="26"/>
          <w:szCs w:val="26"/>
        </w:rPr>
        <w:t xml:space="preserve"> such, the Foundation argues that Ordering Paragraph No. 9 of the Recommended Decision, </w:t>
      </w:r>
      <w:r w:rsidRPr="00787A9E">
        <w:rPr>
          <w:i/>
          <w:sz w:val="26"/>
          <w:szCs w:val="26"/>
        </w:rPr>
        <w:t xml:space="preserve">supra, </w:t>
      </w:r>
      <w:r w:rsidRPr="00787A9E">
        <w:rPr>
          <w:sz w:val="26"/>
          <w:szCs w:val="26"/>
        </w:rPr>
        <w:t xml:space="preserve">should be modified </w:t>
      </w:r>
      <w:r w:rsidR="00315911">
        <w:rPr>
          <w:sz w:val="26"/>
          <w:szCs w:val="26"/>
        </w:rPr>
        <w:t xml:space="preserve">to state </w:t>
      </w:r>
      <w:r w:rsidRPr="00787A9E">
        <w:rPr>
          <w:sz w:val="26"/>
          <w:szCs w:val="26"/>
        </w:rPr>
        <w:t>as follows:</w:t>
      </w:r>
    </w:p>
    <w:p w14:paraId="78EF0965" w14:textId="77777777" w:rsidR="003408BA" w:rsidRPr="00787A9E" w:rsidRDefault="003408BA" w:rsidP="00FD1A00">
      <w:pPr>
        <w:contextualSpacing/>
        <w:rPr>
          <w:sz w:val="26"/>
          <w:szCs w:val="26"/>
        </w:rPr>
      </w:pPr>
    </w:p>
    <w:p w14:paraId="05486906" w14:textId="6EB150EC" w:rsidR="003408BA" w:rsidRDefault="003408BA" w:rsidP="00FD1A00">
      <w:pPr>
        <w:spacing w:line="240" w:lineRule="auto"/>
        <w:ind w:left="1440" w:right="1440"/>
        <w:contextualSpacing/>
        <w:rPr>
          <w:color w:val="000000"/>
          <w:spacing w:val="5"/>
          <w:sz w:val="26"/>
          <w:szCs w:val="26"/>
        </w:rPr>
      </w:pPr>
      <w:r w:rsidRPr="00787A9E">
        <w:rPr>
          <w:color w:val="000000"/>
          <w:spacing w:val="1"/>
          <w:sz w:val="26"/>
          <w:szCs w:val="26"/>
        </w:rPr>
        <w:tab/>
        <w:t>9</w:t>
      </w:r>
      <w:r w:rsidRPr="00787A9E">
        <w:rPr>
          <w:color w:val="000000"/>
          <w:spacing w:val="1"/>
          <w:sz w:val="26"/>
          <w:szCs w:val="26"/>
        </w:rPr>
        <w:tab/>
        <w:t>That, within 120 days of the Commission</w:t>
      </w:r>
      <w:r w:rsidR="00A424DB">
        <w:rPr>
          <w:color w:val="000000"/>
          <w:spacing w:val="1"/>
          <w:sz w:val="26"/>
          <w:szCs w:val="26"/>
        </w:rPr>
        <w:t>’</w:t>
      </w:r>
      <w:r w:rsidRPr="00787A9E">
        <w:rPr>
          <w:color w:val="000000"/>
          <w:spacing w:val="1"/>
          <w:sz w:val="26"/>
          <w:szCs w:val="26"/>
        </w:rPr>
        <w:t>s final order in these proceedings, Hidden Valley Utility Services, L.P. shall cause to be conducted an independent financial audit of its records from 2015 through 2018 by an outside independent Certified Public Accounting Fi</w:t>
      </w:r>
      <w:r w:rsidR="0047220A">
        <w:rPr>
          <w:color w:val="000000"/>
          <w:spacing w:val="1"/>
          <w:sz w:val="26"/>
          <w:szCs w:val="26"/>
        </w:rPr>
        <w:t>rm</w:t>
      </w:r>
      <w:r w:rsidRPr="00787A9E">
        <w:rPr>
          <w:color w:val="000000"/>
          <w:spacing w:val="1"/>
          <w:sz w:val="26"/>
          <w:szCs w:val="26"/>
        </w:rPr>
        <w:t xml:space="preserve"> which has not previously provided auditing or accounting services </w:t>
      </w:r>
      <w:r w:rsidRPr="00787A9E">
        <w:rPr>
          <w:color w:val="000000"/>
          <w:spacing w:val="1"/>
          <w:sz w:val="26"/>
          <w:szCs w:val="26"/>
        </w:rPr>
        <w:lastRenderedPageBreak/>
        <w:t>to Hidden Valley Utility Services, L.P., or to any business entity in which the owners of Hidden Valley have a financial interest, or to the individual owners of Hidden Valley.</w:t>
      </w:r>
      <w:r w:rsidR="00A926C2">
        <w:rPr>
          <w:color w:val="000000"/>
          <w:spacing w:val="1"/>
          <w:sz w:val="26"/>
          <w:szCs w:val="26"/>
        </w:rPr>
        <w:t xml:space="preserve"> </w:t>
      </w:r>
      <w:r w:rsidRPr="00787A9E">
        <w:rPr>
          <w:color w:val="000000"/>
          <w:spacing w:val="1"/>
          <w:sz w:val="26"/>
          <w:szCs w:val="26"/>
        </w:rPr>
        <w:t xml:space="preserve"> That the Firm selected shall have the necessary expertise in accounting and auditing of small utilities in order to perform the audit.</w:t>
      </w:r>
      <w:r w:rsidR="00A926C2">
        <w:rPr>
          <w:color w:val="000000"/>
          <w:spacing w:val="1"/>
          <w:sz w:val="26"/>
          <w:szCs w:val="26"/>
        </w:rPr>
        <w:t xml:space="preserve"> </w:t>
      </w:r>
      <w:r w:rsidRPr="00787A9E">
        <w:rPr>
          <w:color w:val="000000"/>
          <w:spacing w:val="1"/>
          <w:sz w:val="26"/>
          <w:szCs w:val="26"/>
        </w:rPr>
        <w:t xml:space="preserve"> That the Company shall file a notice at this docket number and serve a copy of said notice on all parties to this proceeding, stating that identity of the auditing firm selected to complete the audits </w:t>
      </w:r>
      <w:r w:rsidRPr="00787A9E">
        <w:rPr>
          <w:color w:val="000000"/>
          <w:spacing w:val="5"/>
          <w:sz w:val="26"/>
          <w:szCs w:val="26"/>
        </w:rPr>
        <w:t>along with an estimated timetable for their completion.</w:t>
      </w:r>
      <w:r w:rsidR="00A926C2">
        <w:rPr>
          <w:color w:val="000000"/>
          <w:spacing w:val="5"/>
          <w:sz w:val="26"/>
          <w:szCs w:val="26"/>
        </w:rPr>
        <w:t xml:space="preserve"> </w:t>
      </w:r>
      <w:r w:rsidRPr="00787A9E">
        <w:rPr>
          <w:color w:val="000000"/>
          <w:spacing w:val="5"/>
          <w:sz w:val="26"/>
          <w:szCs w:val="26"/>
        </w:rPr>
        <w:t xml:space="preserve"> That the complete audit report, including financial statements and footnotes, shall be filed and made available for review by all parties to the proceeding at this docket number in addition to being filed with the Commission</w:t>
      </w:r>
      <w:r w:rsidR="00A424DB">
        <w:rPr>
          <w:color w:val="000000"/>
          <w:spacing w:val="5"/>
          <w:sz w:val="26"/>
          <w:szCs w:val="26"/>
        </w:rPr>
        <w:t>’</w:t>
      </w:r>
      <w:r w:rsidRPr="00787A9E">
        <w:rPr>
          <w:color w:val="000000"/>
          <w:spacing w:val="5"/>
          <w:sz w:val="26"/>
          <w:szCs w:val="26"/>
        </w:rPr>
        <w:t>s Secretary</w:t>
      </w:r>
      <w:r w:rsidR="00A424DB">
        <w:rPr>
          <w:color w:val="000000"/>
          <w:spacing w:val="5"/>
          <w:sz w:val="26"/>
          <w:szCs w:val="26"/>
        </w:rPr>
        <w:t>’</w:t>
      </w:r>
      <w:r w:rsidRPr="00787A9E">
        <w:rPr>
          <w:color w:val="000000"/>
          <w:spacing w:val="5"/>
          <w:sz w:val="26"/>
          <w:szCs w:val="26"/>
        </w:rPr>
        <w:t xml:space="preserve">s Bureau and the Bureau of Technical Utility Services. </w:t>
      </w:r>
      <w:r w:rsidR="00A926C2">
        <w:rPr>
          <w:color w:val="000000"/>
          <w:spacing w:val="5"/>
          <w:sz w:val="26"/>
          <w:szCs w:val="26"/>
        </w:rPr>
        <w:t xml:space="preserve"> </w:t>
      </w:r>
      <w:r w:rsidRPr="00787A9E">
        <w:rPr>
          <w:color w:val="000000"/>
          <w:spacing w:val="5"/>
          <w:sz w:val="26"/>
          <w:szCs w:val="26"/>
        </w:rPr>
        <w:t xml:space="preserve">That, within 60 days of receiving the audited financial statements, the Bureau of Technical Utility Services shall provide a report to the Commission which shall be filed an made available for review by all parties to this proceeding at this docket number indicating the following: (a) its receipt of the audited financial statements; and (b) that it has reviewed the audited financial statements and include a list of any concerns it has regarding the financial ability of Hidden Valley as a result of its review. </w:t>
      </w:r>
      <w:r w:rsidR="00A926C2">
        <w:rPr>
          <w:color w:val="000000"/>
          <w:spacing w:val="5"/>
          <w:sz w:val="26"/>
          <w:szCs w:val="26"/>
        </w:rPr>
        <w:t xml:space="preserve"> </w:t>
      </w:r>
      <w:r w:rsidRPr="00787A9E">
        <w:rPr>
          <w:color w:val="000000"/>
          <w:spacing w:val="5"/>
          <w:sz w:val="26"/>
          <w:szCs w:val="26"/>
        </w:rPr>
        <w:t>That the audit requirement shall remain in effect until all requirements of the McCloskey case have been met.</w:t>
      </w:r>
    </w:p>
    <w:p w14:paraId="237A5C68" w14:textId="2837C033" w:rsidR="00B24D6E" w:rsidRDefault="00B24D6E" w:rsidP="00FD1A00">
      <w:pPr>
        <w:spacing w:line="240" w:lineRule="auto"/>
        <w:ind w:left="1440" w:right="1440"/>
        <w:contextualSpacing/>
        <w:rPr>
          <w:color w:val="000000"/>
          <w:spacing w:val="5"/>
          <w:sz w:val="26"/>
          <w:szCs w:val="26"/>
        </w:rPr>
      </w:pPr>
    </w:p>
    <w:p w14:paraId="7DD523C3" w14:textId="77777777" w:rsidR="00B24D6E" w:rsidRPr="00787A9E" w:rsidRDefault="00B24D6E" w:rsidP="00FD1A00">
      <w:pPr>
        <w:spacing w:line="240" w:lineRule="auto"/>
        <w:ind w:left="1440" w:right="1440"/>
        <w:contextualSpacing/>
        <w:rPr>
          <w:rFonts w:eastAsia="PMingLiU"/>
          <w:sz w:val="26"/>
          <w:szCs w:val="26"/>
        </w:rPr>
      </w:pPr>
    </w:p>
    <w:p w14:paraId="636324C6" w14:textId="77777777" w:rsidR="00203022" w:rsidRPr="00787A9E" w:rsidRDefault="003408BA" w:rsidP="00FD1A00">
      <w:pPr>
        <w:contextualSpacing/>
        <w:rPr>
          <w:sz w:val="26"/>
          <w:szCs w:val="26"/>
        </w:rPr>
      </w:pPr>
      <w:r w:rsidRPr="00787A9E">
        <w:rPr>
          <w:sz w:val="26"/>
          <w:szCs w:val="26"/>
        </w:rPr>
        <w:t>In support of its position, the Foundation states that it adopts the reasoning Mr. Kollar set forth in his Exceptions regarding the modification to Ordering Paragraph No. 9.  Foundation Exc. at 8, 10-11.</w:t>
      </w:r>
    </w:p>
    <w:p w14:paraId="6D86B1E5" w14:textId="77777777" w:rsidR="008B705A" w:rsidRPr="00787A9E" w:rsidRDefault="008B705A" w:rsidP="00FD1A00">
      <w:pPr>
        <w:contextualSpacing/>
        <w:rPr>
          <w:sz w:val="26"/>
          <w:szCs w:val="26"/>
        </w:rPr>
      </w:pPr>
    </w:p>
    <w:p w14:paraId="63638298" w14:textId="57937843" w:rsidR="00EC273C" w:rsidRPr="00787A9E" w:rsidRDefault="00EC273C" w:rsidP="00FD1A00">
      <w:pPr>
        <w:ind w:firstLine="1440"/>
        <w:contextualSpacing/>
        <w:rPr>
          <w:sz w:val="26"/>
          <w:szCs w:val="26"/>
        </w:rPr>
      </w:pPr>
      <w:r w:rsidRPr="00787A9E">
        <w:rPr>
          <w:sz w:val="26"/>
          <w:szCs w:val="26"/>
        </w:rPr>
        <w:t>In its Replies to the Foundation</w:t>
      </w:r>
      <w:r w:rsidR="00A424DB">
        <w:rPr>
          <w:sz w:val="26"/>
          <w:szCs w:val="26"/>
        </w:rPr>
        <w:t>’</w:t>
      </w:r>
      <w:r w:rsidRPr="00787A9E">
        <w:rPr>
          <w:sz w:val="26"/>
          <w:szCs w:val="26"/>
        </w:rPr>
        <w:t>s Exceptions, HVUS argues that to the extent such Exceptions adopt the positions Mr. Kollar set forth in his Exceptions, the Foundation</w:t>
      </w:r>
      <w:r w:rsidR="00A424DB">
        <w:rPr>
          <w:sz w:val="26"/>
          <w:szCs w:val="26"/>
        </w:rPr>
        <w:t>’</w:t>
      </w:r>
      <w:r w:rsidRPr="00787A9E">
        <w:rPr>
          <w:sz w:val="26"/>
          <w:szCs w:val="26"/>
        </w:rPr>
        <w:t>s Exceptions must be denied for the reasons HVUS outlined in response to Mr. Kollar</w:t>
      </w:r>
      <w:r w:rsidR="00A424DB">
        <w:rPr>
          <w:sz w:val="26"/>
          <w:szCs w:val="26"/>
        </w:rPr>
        <w:t>’</w:t>
      </w:r>
      <w:r w:rsidRPr="00787A9E">
        <w:rPr>
          <w:sz w:val="26"/>
          <w:szCs w:val="26"/>
        </w:rPr>
        <w:t>s Exceptions.  HVUS R. Exc. at 20.</w:t>
      </w:r>
    </w:p>
    <w:p w14:paraId="414C05BD" w14:textId="77777777" w:rsidR="00D262F1" w:rsidRPr="00787A9E" w:rsidRDefault="00D262F1" w:rsidP="00FD1A00">
      <w:pPr>
        <w:contextualSpacing/>
        <w:rPr>
          <w:sz w:val="26"/>
          <w:szCs w:val="26"/>
        </w:rPr>
      </w:pPr>
    </w:p>
    <w:p w14:paraId="1C850080" w14:textId="4B38C59C" w:rsidR="00D262F1" w:rsidRPr="00787A9E" w:rsidRDefault="00D262F1" w:rsidP="00FD1A00">
      <w:pPr>
        <w:pStyle w:val="Heading4"/>
        <w:keepLines/>
        <w:numPr>
          <w:ilvl w:val="0"/>
          <w:numId w:val="16"/>
        </w:numPr>
        <w:ind w:left="1800"/>
        <w:contextualSpacing/>
        <w:jc w:val="left"/>
      </w:pPr>
      <w:r w:rsidRPr="00787A9E">
        <w:lastRenderedPageBreak/>
        <w:t>Disposition</w:t>
      </w:r>
    </w:p>
    <w:p w14:paraId="5C01BE3F" w14:textId="49EC6927" w:rsidR="004B2238" w:rsidRPr="00B85561" w:rsidRDefault="004B2238" w:rsidP="00FD1A00">
      <w:pPr>
        <w:keepNext/>
        <w:keepLines/>
        <w:ind w:firstLine="1440"/>
        <w:contextualSpacing/>
        <w:rPr>
          <w:sz w:val="26"/>
          <w:szCs w:val="26"/>
        </w:rPr>
      </w:pPr>
    </w:p>
    <w:p w14:paraId="0066A358" w14:textId="48BEB651" w:rsidR="00BF4399" w:rsidRPr="00BF4399" w:rsidRDefault="00BF4399" w:rsidP="00FD1A00">
      <w:pPr>
        <w:spacing w:after="200"/>
        <w:ind w:firstLine="1440"/>
        <w:contextualSpacing/>
        <w:rPr>
          <w:rFonts w:eastAsiaTheme="minorHAnsi"/>
          <w:sz w:val="26"/>
          <w:szCs w:val="26"/>
        </w:rPr>
      </w:pPr>
      <w:r w:rsidRPr="00BF4399">
        <w:rPr>
          <w:rFonts w:eastAsiaTheme="minorHAnsi"/>
          <w:sz w:val="26"/>
          <w:szCs w:val="26"/>
        </w:rPr>
        <w:t>As</w:t>
      </w:r>
      <w:r w:rsidR="00AA4487">
        <w:rPr>
          <w:rFonts w:eastAsiaTheme="minorHAnsi"/>
          <w:sz w:val="26"/>
          <w:szCs w:val="26"/>
        </w:rPr>
        <w:t xml:space="preserve"> the ALJs and</w:t>
      </w:r>
      <w:r w:rsidRPr="00BF4399">
        <w:rPr>
          <w:rFonts w:eastAsiaTheme="minorHAnsi"/>
          <w:sz w:val="26"/>
          <w:szCs w:val="26"/>
        </w:rPr>
        <w:t xml:space="preserve"> all </w:t>
      </w:r>
      <w:r w:rsidR="00822757">
        <w:rPr>
          <w:rFonts w:eastAsiaTheme="minorHAnsi"/>
          <w:sz w:val="26"/>
          <w:szCs w:val="26"/>
        </w:rPr>
        <w:t>P</w:t>
      </w:r>
      <w:r w:rsidRPr="00BF4399">
        <w:rPr>
          <w:rFonts w:eastAsiaTheme="minorHAnsi"/>
          <w:sz w:val="26"/>
          <w:szCs w:val="26"/>
        </w:rPr>
        <w:t>arties to this proceeding agree</w:t>
      </w:r>
      <w:r w:rsidR="00AA4487">
        <w:rPr>
          <w:rFonts w:eastAsiaTheme="minorHAnsi"/>
          <w:sz w:val="26"/>
          <w:szCs w:val="26"/>
        </w:rPr>
        <w:t>d</w:t>
      </w:r>
      <w:r w:rsidRPr="00BF4399">
        <w:rPr>
          <w:rFonts w:eastAsiaTheme="minorHAnsi"/>
          <w:sz w:val="26"/>
          <w:szCs w:val="26"/>
        </w:rPr>
        <w:t>, given the Company</w:t>
      </w:r>
      <w:r w:rsidR="00A424DB">
        <w:rPr>
          <w:rFonts w:eastAsiaTheme="minorHAnsi"/>
          <w:sz w:val="26"/>
          <w:szCs w:val="26"/>
        </w:rPr>
        <w:t>’</w:t>
      </w:r>
      <w:r w:rsidRPr="00BF4399">
        <w:rPr>
          <w:rFonts w:eastAsiaTheme="minorHAnsi"/>
          <w:sz w:val="26"/>
          <w:szCs w:val="26"/>
        </w:rPr>
        <w:t>s ongoing issues with filing inaccurate financial information, it would be in the public interest for HVUS to file corrected annual reports and to obtain an independent financial audit.  However, we are not persuaded by the assertion of HVUS that the deadline set forth by the ALJs for the Company to complete the independent financial audit is unreasonable.  Although the Company contends that many accounting firms are presently busy preparing tax returns, the entry date of this Opinion and Order will be in late March 2019.  Therefore, HVUS will have 120 days from the entry of this Opinion and Order, or until late July 2019, to cause the audit to be conducted and completed.  The end point of this time period will be several months after the end of the tax season in mid-April.  Similarly, we find no merit in the Company</w:t>
      </w:r>
      <w:r w:rsidR="00A424DB">
        <w:rPr>
          <w:rFonts w:eastAsiaTheme="minorHAnsi"/>
          <w:sz w:val="26"/>
          <w:szCs w:val="26"/>
        </w:rPr>
        <w:t>’</w:t>
      </w:r>
      <w:r w:rsidRPr="00BF4399">
        <w:rPr>
          <w:rFonts w:eastAsiaTheme="minorHAnsi"/>
          <w:sz w:val="26"/>
          <w:szCs w:val="26"/>
        </w:rPr>
        <w:t>s contention that the ALJs erred in modifying the time period set forth in the Non-Unanimous Settlement for the Company to file corrected annual reports for the years 2015 to 2018</w:t>
      </w:r>
      <w:r w:rsidR="008250FE">
        <w:rPr>
          <w:rFonts w:eastAsiaTheme="minorHAnsi"/>
          <w:sz w:val="26"/>
          <w:szCs w:val="26"/>
        </w:rPr>
        <w:t>,</w:t>
      </w:r>
      <w:r w:rsidR="009342D9">
        <w:rPr>
          <w:rFonts w:eastAsiaTheme="minorHAnsi"/>
          <w:sz w:val="26"/>
          <w:szCs w:val="26"/>
        </w:rPr>
        <w:t xml:space="preserve"> such that the Company must file corrected annual reports simultaneously with the completion of the independent financial audit</w:t>
      </w:r>
      <w:r w:rsidRPr="00BF4399">
        <w:rPr>
          <w:rFonts w:eastAsiaTheme="minorHAnsi"/>
          <w:sz w:val="26"/>
          <w:szCs w:val="26"/>
        </w:rPr>
        <w:t xml:space="preserve">.  As the Foundation pointed out, in our </w:t>
      </w:r>
      <w:r w:rsidRPr="00BF4399">
        <w:rPr>
          <w:rFonts w:eastAsiaTheme="minorHAnsi"/>
          <w:i/>
          <w:sz w:val="26"/>
          <w:szCs w:val="26"/>
        </w:rPr>
        <w:t xml:space="preserve">January 2019 McCloskey Order, </w:t>
      </w:r>
      <w:r w:rsidRPr="00BF4399">
        <w:rPr>
          <w:rFonts w:eastAsiaTheme="minorHAnsi"/>
          <w:sz w:val="26"/>
          <w:szCs w:val="26"/>
        </w:rPr>
        <w:t xml:space="preserve">we reiterated our position that further delays in complying with the deadlines set forth in the </w:t>
      </w:r>
      <w:r w:rsidRPr="00BF4399">
        <w:rPr>
          <w:rFonts w:eastAsiaTheme="minorHAnsi"/>
          <w:i/>
          <w:sz w:val="26"/>
          <w:szCs w:val="26"/>
        </w:rPr>
        <w:t>McCloskey</w:t>
      </w:r>
      <w:r w:rsidRPr="00BF4399">
        <w:rPr>
          <w:rFonts w:eastAsiaTheme="minorHAnsi"/>
          <w:sz w:val="26"/>
          <w:szCs w:val="26"/>
        </w:rPr>
        <w:t xml:space="preserve"> proceedings would be viewed as possibly indicative of the Company</w:t>
      </w:r>
      <w:r w:rsidR="00A424DB">
        <w:rPr>
          <w:rFonts w:eastAsiaTheme="minorHAnsi"/>
          <w:sz w:val="26"/>
          <w:szCs w:val="26"/>
        </w:rPr>
        <w:t>’</w:t>
      </w:r>
      <w:r w:rsidRPr="00BF4399">
        <w:rPr>
          <w:rFonts w:eastAsiaTheme="minorHAnsi"/>
          <w:sz w:val="26"/>
          <w:szCs w:val="26"/>
        </w:rPr>
        <w:t xml:space="preserve">s lack of competency to operate.  </w:t>
      </w:r>
      <w:r w:rsidRPr="00BF4399">
        <w:rPr>
          <w:rFonts w:eastAsiaTheme="minorHAnsi"/>
          <w:i/>
          <w:sz w:val="26"/>
          <w:szCs w:val="26"/>
        </w:rPr>
        <w:t xml:space="preserve">January 2019 McCloskey Order </w:t>
      </w:r>
      <w:r w:rsidRPr="00BF4399">
        <w:rPr>
          <w:rFonts w:eastAsiaTheme="minorHAnsi"/>
          <w:sz w:val="26"/>
          <w:szCs w:val="26"/>
        </w:rPr>
        <w:t>at 31.  Our same reasoning applies here in rejecting HVUS</w:t>
      </w:r>
      <w:r w:rsidR="00A424DB">
        <w:rPr>
          <w:rFonts w:eastAsiaTheme="minorHAnsi"/>
          <w:sz w:val="26"/>
          <w:szCs w:val="26"/>
        </w:rPr>
        <w:t>’</w:t>
      </w:r>
      <w:r w:rsidRPr="00BF4399">
        <w:rPr>
          <w:rFonts w:eastAsiaTheme="minorHAnsi"/>
          <w:sz w:val="26"/>
          <w:szCs w:val="26"/>
        </w:rPr>
        <w:t>s request for a longer period of time to file corrected annual reports.  Therefore, we shall deny the Company</w:t>
      </w:r>
      <w:r w:rsidR="00A424DB">
        <w:rPr>
          <w:rFonts w:eastAsiaTheme="minorHAnsi"/>
          <w:sz w:val="26"/>
          <w:szCs w:val="26"/>
        </w:rPr>
        <w:t>’</w:t>
      </w:r>
      <w:r w:rsidRPr="00BF4399">
        <w:rPr>
          <w:rFonts w:eastAsiaTheme="minorHAnsi"/>
          <w:sz w:val="26"/>
          <w:szCs w:val="26"/>
        </w:rPr>
        <w:t>s Exception No. 2.</w:t>
      </w:r>
    </w:p>
    <w:p w14:paraId="7C950F0D" w14:textId="77777777" w:rsidR="00BF4399" w:rsidRPr="00BF4399" w:rsidRDefault="00BF4399" w:rsidP="00FD1A00">
      <w:pPr>
        <w:spacing w:after="200"/>
        <w:ind w:firstLine="1440"/>
        <w:contextualSpacing/>
        <w:rPr>
          <w:rFonts w:eastAsiaTheme="minorHAnsi"/>
          <w:sz w:val="26"/>
          <w:szCs w:val="26"/>
        </w:rPr>
      </w:pPr>
    </w:p>
    <w:p w14:paraId="7D6F6CBE" w14:textId="500B7E40" w:rsidR="00BF4399" w:rsidRPr="00BF4399" w:rsidRDefault="00BF4399" w:rsidP="00FD1A00">
      <w:pPr>
        <w:spacing w:after="200"/>
        <w:ind w:firstLine="1440"/>
        <w:contextualSpacing/>
        <w:rPr>
          <w:rFonts w:eastAsiaTheme="minorHAnsi"/>
          <w:sz w:val="26"/>
          <w:szCs w:val="26"/>
        </w:rPr>
      </w:pPr>
      <w:r w:rsidRPr="00BF4399">
        <w:rPr>
          <w:rFonts w:eastAsiaTheme="minorHAnsi"/>
          <w:sz w:val="26"/>
          <w:szCs w:val="26"/>
        </w:rPr>
        <w:t>At the same time, however, we decline to grant the Exceptions of Mr.</w:t>
      </w:r>
      <w:r w:rsidR="00AC2F57">
        <w:rPr>
          <w:rFonts w:eastAsiaTheme="minorHAnsi"/>
          <w:sz w:val="26"/>
          <w:szCs w:val="26"/>
        </w:rPr>
        <w:t> </w:t>
      </w:r>
      <w:r w:rsidRPr="00BF4399">
        <w:rPr>
          <w:rFonts w:eastAsiaTheme="minorHAnsi"/>
          <w:sz w:val="26"/>
          <w:szCs w:val="26"/>
        </w:rPr>
        <w:t xml:space="preserve">Kollar or the Foundation.  </w:t>
      </w:r>
      <w:r w:rsidRPr="00BF4399">
        <w:rPr>
          <w:rFonts w:eastAsia="Calibri"/>
          <w:sz w:val="26"/>
          <w:szCs w:val="24"/>
        </w:rPr>
        <w:t xml:space="preserve">It is axiomatic that this Commission base its decisions on the evidence in the record, and we are prohibited from looking beyond the record for evidence not previously supplied to support a desired finding of fact or conclusion of law.  52 </w:t>
      </w:r>
      <w:r w:rsidRPr="00BF4399">
        <w:rPr>
          <w:rFonts w:eastAsiaTheme="minorHAnsi"/>
          <w:sz w:val="26"/>
          <w:szCs w:val="24"/>
        </w:rPr>
        <w:t>Pa. Code § 5.431</w:t>
      </w:r>
      <w:r w:rsidRPr="00BF4399">
        <w:rPr>
          <w:rFonts w:eastAsiaTheme="minorHAnsi"/>
          <w:sz w:val="26"/>
          <w:szCs w:val="26"/>
        </w:rPr>
        <w:t>.  As HVUS noted in its Replies to Mr. Kollar</w:t>
      </w:r>
      <w:r w:rsidR="00A424DB">
        <w:rPr>
          <w:rFonts w:eastAsiaTheme="minorHAnsi"/>
          <w:sz w:val="26"/>
          <w:szCs w:val="26"/>
        </w:rPr>
        <w:t>’</w:t>
      </w:r>
      <w:r w:rsidRPr="00BF4399">
        <w:rPr>
          <w:rFonts w:eastAsiaTheme="minorHAnsi"/>
          <w:sz w:val="26"/>
          <w:szCs w:val="26"/>
        </w:rPr>
        <w:t xml:space="preserve">s Exception No. 1, </w:t>
      </w:r>
      <w:r w:rsidRPr="00BF4399">
        <w:rPr>
          <w:rFonts w:eastAsiaTheme="minorHAnsi"/>
          <w:i/>
          <w:sz w:val="26"/>
          <w:szCs w:val="26"/>
        </w:rPr>
        <w:t xml:space="preserve">supra, </w:t>
      </w:r>
      <w:r w:rsidRPr="00BF4399">
        <w:rPr>
          <w:rFonts w:eastAsiaTheme="minorHAnsi"/>
          <w:sz w:val="26"/>
          <w:szCs w:val="26"/>
        </w:rPr>
        <w:t xml:space="preserve">the requests of Mr. Kollar and the Foundation that, </w:t>
      </w:r>
      <w:r w:rsidRPr="00BF4399">
        <w:rPr>
          <w:rFonts w:eastAsiaTheme="minorHAnsi"/>
          <w:i/>
          <w:sz w:val="26"/>
          <w:szCs w:val="26"/>
        </w:rPr>
        <w:t xml:space="preserve">inter alia, </w:t>
      </w:r>
      <w:r w:rsidRPr="00BF4399">
        <w:rPr>
          <w:rFonts w:eastAsiaTheme="minorHAnsi"/>
          <w:sz w:val="26"/>
          <w:szCs w:val="26"/>
        </w:rPr>
        <w:t xml:space="preserve">the Commission </w:t>
      </w:r>
      <w:r w:rsidRPr="00BF4399">
        <w:rPr>
          <w:rFonts w:eastAsiaTheme="minorHAnsi"/>
          <w:sz w:val="26"/>
          <w:szCs w:val="26"/>
        </w:rPr>
        <w:lastRenderedPageBreak/>
        <w:t xml:space="preserve">direct HVUS to employ the services of a CPA and to file special reports were not raised by any party in the record developed in this proceeding and constitute extra record evidence.  </w:t>
      </w:r>
      <w:r w:rsidR="00626769">
        <w:rPr>
          <w:rFonts w:eastAsiaTheme="minorHAnsi"/>
          <w:sz w:val="26"/>
          <w:szCs w:val="26"/>
        </w:rPr>
        <w:t xml:space="preserve">Moreover, Mr. Kollar and the Foundation have not shown good cause for the introduction of such extra record information.  </w:t>
      </w:r>
      <w:r w:rsidRPr="00BF4399">
        <w:rPr>
          <w:rFonts w:eastAsiaTheme="minorHAnsi"/>
          <w:sz w:val="26"/>
          <w:szCs w:val="26"/>
        </w:rPr>
        <w:t xml:space="preserve">Accordingly, such Exceptions must be denied.  </w:t>
      </w:r>
    </w:p>
    <w:p w14:paraId="36ABA963" w14:textId="77777777" w:rsidR="00BF4399" w:rsidRPr="00BF4399" w:rsidRDefault="00BF4399" w:rsidP="00FD1A00">
      <w:pPr>
        <w:spacing w:after="200"/>
        <w:ind w:firstLine="1440"/>
        <w:contextualSpacing/>
        <w:rPr>
          <w:rFonts w:eastAsiaTheme="minorHAnsi"/>
          <w:sz w:val="26"/>
          <w:szCs w:val="26"/>
        </w:rPr>
      </w:pPr>
    </w:p>
    <w:p w14:paraId="728E183F" w14:textId="078D20F3" w:rsidR="00BF4399" w:rsidRPr="00BF4399" w:rsidRDefault="00BF4399" w:rsidP="00FD1A00">
      <w:pPr>
        <w:spacing w:after="200"/>
        <w:ind w:firstLine="1440"/>
        <w:contextualSpacing/>
        <w:rPr>
          <w:rFonts w:eastAsiaTheme="minorHAnsi"/>
          <w:sz w:val="26"/>
          <w:szCs w:val="26"/>
        </w:rPr>
      </w:pPr>
      <w:r w:rsidRPr="00BF4399">
        <w:rPr>
          <w:rFonts w:eastAsiaTheme="minorHAnsi"/>
          <w:sz w:val="26"/>
          <w:szCs w:val="26"/>
        </w:rPr>
        <w:t>Based on the for</w:t>
      </w:r>
      <w:r w:rsidR="006B1F3C">
        <w:rPr>
          <w:rFonts w:eastAsiaTheme="minorHAnsi"/>
          <w:sz w:val="26"/>
          <w:szCs w:val="26"/>
        </w:rPr>
        <w:t>e</w:t>
      </w:r>
      <w:r w:rsidRPr="00BF4399">
        <w:rPr>
          <w:rFonts w:eastAsiaTheme="minorHAnsi"/>
          <w:sz w:val="26"/>
          <w:szCs w:val="26"/>
        </w:rPr>
        <w:t>going, we shall adopt the ALJs</w:t>
      </w:r>
      <w:r w:rsidR="00A424DB">
        <w:rPr>
          <w:rFonts w:eastAsiaTheme="minorHAnsi"/>
          <w:sz w:val="26"/>
          <w:szCs w:val="26"/>
        </w:rPr>
        <w:t>’</w:t>
      </w:r>
      <w:r w:rsidRPr="00BF4399">
        <w:rPr>
          <w:rFonts w:eastAsiaTheme="minorHAnsi"/>
          <w:sz w:val="26"/>
          <w:szCs w:val="26"/>
        </w:rPr>
        <w:t xml:space="preserve"> recommendation and shall modify the Non-Unanimous Settlement by directing HVUS </w:t>
      </w:r>
      <w:r w:rsidR="00824E66">
        <w:rPr>
          <w:rFonts w:eastAsiaTheme="minorHAnsi"/>
          <w:sz w:val="26"/>
          <w:szCs w:val="26"/>
        </w:rPr>
        <w:t xml:space="preserve">to, </w:t>
      </w:r>
      <w:r w:rsidRPr="00BF4399">
        <w:rPr>
          <w:rFonts w:eastAsiaTheme="minorHAnsi"/>
          <w:sz w:val="26"/>
          <w:szCs w:val="26"/>
        </w:rPr>
        <w:t>within ninety (90) days of the entry</w:t>
      </w:r>
      <w:r w:rsidR="00824E66">
        <w:rPr>
          <w:rFonts w:eastAsiaTheme="minorHAnsi"/>
          <w:sz w:val="26"/>
          <w:szCs w:val="26"/>
        </w:rPr>
        <w:t xml:space="preserve"> date</w:t>
      </w:r>
      <w:r w:rsidRPr="00BF4399">
        <w:rPr>
          <w:rFonts w:eastAsiaTheme="minorHAnsi"/>
          <w:sz w:val="26"/>
          <w:szCs w:val="26"/>
        </w:rPr>
        <w:t xml:space="preserve"> of this Opinion and Order</w:t>
      </w:r>
      <w:r w:rsidR="00824E66">
        <w:rPr>
          <w:rFonts w:eastAsiaTheme="minorHAnsi"/>
          <w:sz w:val="26"/>
          <w:szCs w:val="26"/>
        </w:rPr>
        <w:t>,</w:t>
      </w:r>
      <w:r w:rsidRPr="00BF4399">
        <w:rPr>
          <w:rFonts w:eastAsiaTheme="minorHAnsi"/>
          <w:sz w:val="26"/>
          <w:szCs w:val="26"/>
        </w:rPr>
        <w:t xml:space="preserve"> file with the Secretary</w:t>
      </w:r>
      <w:r w:rsidR="00A424DB">
        <w:rPr>
          <w:rFonts w:eastAsiaTheme="minorHAnsi"/>
          <w:sz w:val="26"/>
          <w:szCs w:val="26"/>
        </w:rPr>
        <w:t>’</w:t>
      </w:r>
      <w:r w:rsidRPr="00BF4399">
        <w:rPr>
          <w:rFonts w:eastAsiaTheme="minorHAnsi"/>
          <w:sz w:val="26"/>
          <w:szCs w:val="26"/>
        </w:rPr>
        <w:t>s Bureau and TUS corrected annual reports for the years 2015 to 2018 that are prepared by or reviewed by a rate consultant prior to submission to the Commission</w:t>
      </w:r>
      <w:r w:rsidR="00824E66">
        <w:rPr>
          <w:rFonts w:eastAsiaTheme="minorHAnsi"/>
          <w:sz w:val="26"/>
          <w:szCs w:val="26"/>
        </w:rPr>
        <w:t>.  Additionally, we shall adopt the ALJs</w:t>
      </w:r>
      <w:r w:rsidR="00A424DB">
        <w:rPr>
          <w:rFonts w:eastAsiaTheme="minorHAnsi"/>
          <w:sz w:val="26"/>
          <w:szCs w:val="26"/>
        </w:rPr>
        <w:t>’</w:t>
      </w:r>
      <w:r w:rsidR="00824E66">
        <w:rPr>
          <w:rFonts w:eastAsiaTheme="minorHAnsi"/>
          <w:sz w:val="26"/>
          <w:szCs w:val="26"/>
        </w:rPr>
        <w:t xml:space="preserve"> recommendation that,</w:t>
      </w:r>
      <w:r w:rsidRPr="00BF4399">
        <w:rPr>
          <w:rFonts w:eastAsiaTheme="minorHAnsi"/>
          <w:sz w:val="26"/>
          <w:szCs w:val="26"/>
        </w:rPr>
        <w:t xml:space="preserve"> within one hundred and twenty (120) days of the entry of this Opinion and Order</w:t>
      </w:r>
      <w:r w:rsidR="00824E66">
        <w:rPr>
          <w:rFonts w:eastAsiaTheme="minorHAnsi"/>
          <w:sz w:val="26"/>
          <w:szCs w:val="26"/>
        </w:rPr>
        <w:t>, the Company</w:t>
      </w:r>
      <w:r w:rsidRPr="00BF4399">
        <w:rPr>
          <w:rFonts w:eastAsiaTheme="minorHAnsi"/>
          <w:sz w:val="26"/>
          <w:szCs w:val="26"/>
        </w:rPr>
        <w:t xml:space="preserve"> shall cause to be conducted an independent financial audit of </w:t>
      </w:r>
      <w:r w:rsidR="00824E66">
        <w:rPr>
          <w:rFonts w:eastAsiaTheme="minorHAnsi"/>
          <w:sz w:val="26"/>
          <w:szCs w:val="26"/>
        </w:rPr>
        <w:t>its</w:t>
      </w:r>
      <w:r w:rsidRPr="00BF4399">
        <w:rPr>
          <w:rFonts w:eastAsiaTheme="minorHAnsi"/>
          <w:sz w:val="26"/>
          <w:szCs w:val="26"/>
        </w:rPr>
        <w:t xml:space="preserve"> records from 2015 through 2018 by an outside independent financial accounting firm or office which has not previously provided</w:t>
      </w:r>
      <w:r w:rsidR="00824E66">
        <w:rPr>
          <w:rFonts w:eastAsiaTheme="minorHAnsi"/>
          <w:sz w:val="26"/>
          <w:szCs w:val="26"/>
        </w:rPr>
        <w:t xml:space="preserve"> any services</w:t>
      </w:r>
      <w:r w:rsidRPr="00BF4399">
        <w:rPr>
          <w:rFonts w:eastAsiaTheme="minorHAnsi"/>
          <w:sz w:val="26"/>
          <w:szCs w:val="26"/>
        </w:rPr>
        <w:t xml:space="preserve"> to HVUS.  </w:t>
      </w:r>
      <w:r w:rsidR="00824E66">
        <w:rPr>
          <w:rFonts w:eastAsiaTheme="minorHAnsi"/>
          <w:sz w:val="26"/>
          <w:szCs w:val="26"/>
        </w:rPr>
        <w:t>We shall direct HVUS to</w:t>
      </w:r>
      <w:r w:rsidRPr="00BF4399">
        <w:rPr>
          <w:rFonts w:eastAsiaTheme="minorHAnsi"/>
          <w:sz w:val="26"/>
          <w:szCs w:val="26"/>
        </w:rPr>
        <w:t xml:space="preserve"> file this completed independent audit with the Secretary</w:t>
      </w:r>
      <w:r w:rsidR="00A424DB">
        <w:rPr>
          <w:rFonts w:eastAsiaTheme="minorHAnsi"/>
          <w:sz w:val="26"/>
          <w:szCs w:val="26"/>
        </w:rPr>
        <w:t>’</w:t>
      </w:r>
      <w:r w:rsidRPr="00BF4399">
        <w:rPr>
          <w:rFonts w:eastAsiaTheme="minorHAnsi"/>
          <w:sz w:val="26"/>
          <w:szCs w:val="26"/>
        </w:rPr>
        <w:t>s Bureau and TUS.</w:t>
      </w:r>
    </w:p>
    <w:p w14:paraId="46E7A200" w14:textId="58667DA0" w:rsidR="0045062E" w:rsidRPr="00B85561" w:rsidRDefault="0045062E" w:rsidP="00FD1A00">
      <w:pPr>
        <w:ind w:firstLine="1440"/>
        <w:contextualSpacing/>
        <w:rPr>
          <w:b/>
          <w:sz w:val="26"/>
          <w:szCs w:val="26"/>
        </w:rPr>
      </w:pPr>
    </w:p>
    <w:p w14:paraId="3F3EB736" w14:textId="77777777" w:rsidR="00A44992" w:rsidRPr="00787A9E" w:rsidRDefault="004B0982" w:rsidP="00FD1A00">
      <w:pPr>
        <w:pStyle w:val="Heading1"/>
        <w:keepNext/>
        <w:keepLines/>
        <w:contextualSpacing/>
      </w:pPr>
      <w:bookmarkStart w:id="28" w:name="_Toc471748001"/>
      <w:bookmarkStart w:id="29" w:name="_Toc471748139"/>
      <w:r w:rsidRPr="00787A9E">
        <w:t>XI</w:t>
      </w:r>
      <w:r w:rsidR="00A44992" w:rsidRPr="00787A9E">
        <w:t>.</w:t>
      </w:r>
      <w:r w:rsidR="00A44992" w:rsidRPr="00787A9E">
        <w:tab/>
        <w:t>Conclusion</w:t>
      </w:r>
      <w:bookmarkEnd w:id="28"/>
      <w:bookmarkEnd w:id="29"/>
    </w:p>
    <w:p w14:paraId="64076AF5" w14:textId="77777777" w:rsidR="00A44992" w:rsidRPr="00787A9E" w:rsidRDefault="00A44992" w:rsidP="00FD1A00">
      <w:pPr>
        <w:keepNext/>
        <w:keepLines/>
        <w:contextualSpacing/>
        <w:jc w:val="center"/>
        <w:rPr>
          <w:b/>
          <w:sz w:val="26"/>
          <w:szCs w:val="26"/>
        </w:rPr>
      </w:pPr>
    </w:p>
    <w:p w14:paraId="0B9F18C4" w14:textId="4B2EC1E3" w:rsidR="00A44992" w:rsidRPr="00787A9E" w:rsidRDefault="00A44992" w:rsidP="00FD1A00">
      <w:pPr>
        <w:pStyle w:val="BodyText2"/>
        <w:spacing w:after="0" w:line="360" w:lineRule="auto"/>
        <w:ind w:firstLine="1440"/>
        <w:contextualSpacing/>
        <w:rPr>
          <w:sz w:val="26"/>
          <w:szCs w:val="26"/>
        </w:rPr>
      </w:pPr>
      <w:r w:rsidRPr="00787A9E">
        <w:rPr>
          <w:sz w:val="26"/>
          <w:szCs w:val="26"/>
        </w:rPr>
        <w:t xml:space="preserve">Based on our review of the record and the positions of the Parties, we shall: (1) </w:t>
      </w:r>
      <w:r w:rsidR="00FA3F5A" w:rsidRPr="00787A9E">
        <w:rPr>
          <w:sz w:val="26"/>
          <w:szCs w:val="26"/>
        </w:rPr>
        <w:t xml:space="preserve">deny the Exceptions filed by HVUS, the OCA, I&amp;E, the Foundation, and Mr. Kollar; (2) adopt the Recommended Decision of ALJs </w:t>
      </w:r>
      <w:r w:rsidR="00787A9E" w:rsidRPr="00787A9E">
        <w:rPr>
          <w:sz w:val="26"/>
          <w:szCs w:val="26"/>
        </w:rPr>
        <w:t>Hoyer and Dunderdale; and (3) approve the Joint Petition for approval of a Non-Unanimous Settlement, with modification</w:t>
      </w:r>
      <w:r w:rsidRPr="00787A9E">
        <w:rPr>
          <w:sz w:val="26"/>
          <w:szCs w:val="26"/>
        </w:rPr>
        <w:t xml:space="preserve">; </w:t>
      </w:r>
      <w:r w:rsidRPr="00787A9E">
        <w:rPr>
          <w:b/>
          <w:sz w:val="26"/>
          <w:szCs w:val="26"/>
        </w:rPr>
        <w:t>THEREFORE,</w:t>
      </w:r>
    </w:p>
    <w:p w14:paraId="7185CFEC" w14:textId="4F141CB3" w:rsidR="00716494" w:rsidRDefault="00716494" w:rsidP="00FD1A00">
      <w:pPr>
        <w:spacing w:after="200" w:line="276" w:lineRule="auto"/>
        <w:rPr>
          <w:sz w:val="26"/>
          <w:szCs w:val="26"/>
        </w:rPr>
      </w:pPr>
      <w:r>
        <w:rPr>
          <w:sz w:val="26"/>
          <w:szCs w:val="26"/>
        </w:rPr>
        <w:br w:type="page"/>
      </w:r>
    </w:p>
    <w:p w14:paraId="306A0F32" w14:textId="77777777" w:rsidR="00A96FB4" w:rsidRPr="00787A9E" w:rsidRDefault="00A96FB4" w:rsidP="00FD1A00">
      <w:pPr>
        <w:keepNext/>
        <w:keepLines/>
        <w:contextualSpacing/>
        <w:rPr>
          <w:b/>
          <w:sz w:val="26"/>
          <w:szCs w:val="26"/>
        </w:rPr>
      </w:pPr>
    </w:p>
    <w:p w14:paraId="6FD5AC94" w14:textId="77777777" w:rsidR="00A44992" w:rsidRPr="00787A9E" w:rsidRDefault="00A44992" w:rsidP="00FD1A00">
      <w:pPr>
        <w:keepNext/>
        <w:keepLines/>
        <w:contextualSpacing/>
        <w:rPr>
          <w:b/>
          <w:sz w:val="26"/>
          <w:szCs w:val="26"/>
        </w:rPr>
      </w:pPr>
      <w:r w:rsidRPr="00787A9E">
        <w:rPr>
          <w:b/>
          <w:sz w:val="26"/>
          <w:szCs w:val="26"/>
        </w:rPr>
        <w:tab/>
      </w:r>
      <w:r w:rsidRPr="00787A9E">
        <w:rPr>
          <w:b/>
          <w:sz w:val="26"/>
          <w:szCs w:val="26"/>
        </w:rPr>
        <w:tab/>
        <w:t>IT IS ORDERED:</w:t>
      </w:r>
    </w:p>
    <w:p w14:paraId="734AAB8A" w14:textId="14156F18" w:rsidR="00A44992" w:rsidRPr="00787A9E" w:rsidRDefault="00A44992" w:rsidP="00FD1A00">
      <w:pPr>
        <w:contextualSpacing/>
        <w:rPr>
          <w:sz w:val="26"/>
          <w:szCs w:val="26"/>
        </w:rPr>
      </w:pPr>
    </w:p>
    <w:p w14:paraId="0D2C2F2C" w14:textId="77777777" w:rsidR="007A401D" w:rsidRDefault="00657E4F" w:rsidP="007A401D">
      <w:pPr>
        <w:numPr>
          <w:ilvl w:val="0"/>
          <w:numId w:val="26"/>
        </w:numPr>
        <w:ind w:left="0" w:firstLine="1440"/>
        <w:contextualSpacing/>
        <w:rPr>
          <w:sz w:val="26"/>
          <w:szCs w:val="26"/>
        </w:rPr>
      </w:pPr>
      <w:r w:rsidRPr="00657E4F">
        <w:rPr>
          <w:sz w:val="26"/>
          <w:szCs w:val="26"/>
        </w:rPr>
        <w:t xml:space="preserve">That the Exceptions filed by </w:t>
      </w:r>
      <w:bookmarkStart w:id="30" w:name="_Hlk3964059"/>
      <w:r w:rsidRPr="00657E4F">
        <w:rPr>
          <w:sz w:val="26"/>
          <w:szCs w:val="26"/>
        </w:rPr>
        <w:t>Hidden Valley Utility Services, L.P. – Water and Hidden Valley Utility Services, L.P. – Wastewater</w:t>
      </w:r>
      <w:bookmarkEnd w:id="30"/>
      <w:r w:rsidR="007A401D">
        <w:rPr>
          <w:sz w:val="26"/>
          <w:szCs w:val="26"/>
        </w:rPr>
        <w:t xml:space="preserve">, </w:t>
      </w:r>
      <w:r w:rsidR="002B30D1" w:rsidRPr="00657E4F">
        <w:rPr>
          <w:sz w:val="26"/>
          <w:szCs w:val="26"/>
        </w:rPr>
        <w:t>the Commission</w:t>
      </w:r>
      <w:r w:rsidR="002B30D1">
        <w:rPr>
          <w:sz w:val="26"/>
          <w:szCs w:val="26"/>
        </w:rPr>
        <w:t>’</w:t>
      </w:r>
      <w:r w:rsidR="002B30D1" w:rsidRPr="00657E4F">
        <w:rPr>
          <w:sz w:val="26"/>
          <w:szCs w:val="26"/>
        </w:rPr>
        <w:t>s Bureau of Investigation and Enforcement</w:t>
      </w:r>
      <w:r w:rsidR="007A401D">
        <w:rPr>
          <w:sz w:val="26"/>
          <w:szCs w:val="26"/>
        </w:rPr>
        <w:t xml:space="preserve">, </w:t>
      </w:r>
      <w:r w:rsidR="002B30D1" w:rsidRPr="00657E4F">
        <w:rPr>
          <w:sz w:val="26"/>
          <w:szCs w:val="26"/>
        </w:rPr>
        <w:t>the Office of Consumer Advocate</w:t>
      </w:r>
      <w:r w:rsidR="007A401D">
        <w:rPr>
          <w:sz w:val="26"/>
          <w:szCs w:val="26"/>
        </w:rPr>
        <w:t xml:space="preserve">, </w:t>
      </w:r>
      <w:r w:rsidR="002B30D1" w:rsidRPr="00657E4F">
        <w:rPr>
          <w:sz w:val="26"/>
          <w:szCs w:val="26"/>
        </w:rPr>
        <w:t>and Robert Kollar</w:t>
      </w:r>
      <w:r w:rsidR="007A401D">
        <w:rPr>
          <w:sz w:val="26"/>
          <w:szCs w:val="26"/>
        </w:rPr>
        <w:t>,</w:t>
      </w:r>
      <w:r w:rsidR="005D467C">
        <w:rPr>
          <w:sz w:val="26"/>
          <w:szCs w:val="26"/>
        </w:rPr>
        <w:t xml:space="preserve"> on </w:t>
      </w:r>
      <w:r w:rsidR="005D467C" w:rsidRPr="00657E4F">
        <w:rPr>
          <w:sz w:val="26"/>
          <w:szCs w:val="26"/>
        </w:rPr>
        <w:t>February 4, 2019</w:t>
      </w:r>
      <w:r w:rsidR="005D467C">
        <w:rPr>
          <w:sz w:val="26"/>
          <w:szCs w:val="26"/>
        </w:rPr>
        <w:t xml:space="preserve">, and by </w:t>
      </w:r>
      <w:r w:rsidR="005D467C" w:rsidRPr="00657E4F">
        <w:rPr>
          <w:sz w:val="26"/>
          <w:szCs w:val="26"/>
        </w:rPr>
        <w:t>Hidden Valley Foundation</w:t>
      </w:r>
      <w:r w:rsidR="007A401D">
        <w:rPr>
          <w:sz w:val="26"/>
          <w:szCs w:val="26"/>
        </w:rPr>
        <w:t>,</w:t>
      </w:r>
      <w:r w:rsidR="005D467C" w:rsidRPr="00657E4F">
        <w:rPr>
          <w:sz w:val="26"/>
          <w:szCs w:val="26"/>
        </w:rPr>
        <w:t xml:space="preserve"> on February 5, 2019, are denied, consistent with this Opinion and Order.</w:t>
      </w:r>
    </w:p>
    <w:p w14:paraId="64C03914" w14:textId="5EC02A86" w:rsidR="00657E4F" w:rsidRPr="00657E4F" w:rsidRDefault="007A401D" w:rsidP="007A401D">
      <w:pPr>
        <w:ind w:left="1440"/>
        <w:contextualSpacing/>
        <w:rPr>
          <w:sz w:val="26"/>
          <w:szCs w:val="26"/>
        </w:rPr>
      </w:pPr>
      <w:r w:rsidRPr="00657E4F">
        <w:rPr>
          <w:sz w:val="26"/>
          <w:szCs w:val="26"/>
        </w:rPr>
        <w:t xml:space="preserve"> </w:t>
      </w:r>
    </w:p>
    <w:p w14:paraId="3D5AAC9A" w14:textId="536605AA" w:rsidR="00657E4F" w:rsidRPr="00657E4F" w:rsidRDefault="00657E4F" w:rsidP="00FD1A00">
      <w:pPr>
        <w:numPr>
          <w:ilvl w:val="0"/>
          <w:numId w:val="26"/>
        </w:numPr>
        <w:ind w:left="0" w:firstLine="1440"/>
        <w:contextualSpacing/>
        <w:rPr>
          <w:sz w:val="26"/>
          <w:szCs w:val="26"/>
        </w:rPr>
      </w:pPr>
      <w:r w:rsidRPr="00657E4F">
        <w:rPr>
          <w:sz w:val="26"/>
          <w:szCs w:val="26"/>
        </w:rPr>
        <w:t>That the Recommended Decision of Administrative Law Judges Mark A. Hoyer and Katrina L. Dunderdale, issued on January 25, 2019, is adopted, consistent with this Opinion and Order.</w:t>
      </w:r>
    </w:p>
    <w:p w14:paraId="5A9C5ED8" w14:textId="77777777" w:rsidR="00657E4F" w:rsidRPr="00657E4F" w:rsidRDefault="00657E4F" w:rsidP="00FD1A00">
      <w:pPr>
        <w:ind w:left="720"/>
        <w:contextualSpacing/>
        <w:rPr>
          <w:sz w:val="26"/>
          <w:szCs w:val="26"/>
        </w:rPr>
      </w:pPr>
    </w:p>
    <w:p w14:paraId="3BEF6893" w14:textId="731A7250" w:rsidR="00657E4F" w:rsidRPr="00657E4F" w:rsidRDefault="00657E4F" w:rsidP="00FD1A00">
      <w:pPr>
        <w:numPr>
          <w:ilvl w:val="0"/>
          <w:numId w:val="26"/>
        </w:numPr>
        <w:ind w:left="0" w:firstLine="1440"/>
        <w:contextualSpacing/>
        <w:rPr>
          <w:sz w:val="26"/>
          <w:szCs w:val="26"/>
        </w:rPr>
      </w:pPr>
      <w:r w:rsidRPr="00657E4F">
        <w:rPr>
          <w:sz w:val="26"/>
          <w:szCs w:val="26"/>
        </w:rPr>
        <w:t>That the Joint Petition for Approval of a Non-Unanimous Settlement filed by Hidden Valley Utility Services, L.P. – Water and Hidden Valley Utility Services, L.P. – Wastewater and by the Commission</w:t>
      </w:r>
      <w:r w:rsidR="00A424DB">
        <w:rPr>
          <w:sz w:val="26"/>
          <w:szCs w:val="26"/>
        </w:rPr>
        <w:t>’</w:t>
      </w:r>
      <w:r w:rsidRPr="00657E4F">
        <w:rPr>
          <w:sz w:val="26"/>
          <w:szCs w:val="26"/>
        </w:rPr>
        <w:t>s Bureau of Investigation and Enforcement is adopted, as modified, consistent with this Opinion and Order.</w:t>
      </w:r>
    </w:p>
    <w:p w14:paraId="6A8B9CA7" w14:textId="77777777" w:rsidR="00657E4F" w:rsidRPr="00657E4F" w:rsidRDefault="00657E4F" w:rsidP="00FD1A00">
      <w:pPr>
        <w:ind w:left="1440"/>
        <w:contextualSpacing/>
        <w:rPr>
          <w:sz w:val="26"/>
          <w:szCs w:val="26"/>
        </w:rPr>
      </w:pPr>
    </w:p>
    <w:p w14:paraId="090596ED" w14:textId="3938DF2E" w:rsidR="00657E4F" w:rsidRPr="004C3628" w:rsidRDefault="00657E4F" w:rsidP="004C3628">
      <w:pPr>
        <w:numPr>
          <w:ilvl w:val="0"/>
          <w:numId w:val="26"/>
        </w:numPr>
        <w:ind w:left="0" w:firstLine="1440"/>
        <w:contextualSpacing/>
        <w:rPr>
          <w:sz w:val="26"/>
          <w:szCs w:val="26"/>
        </w:rPr>
      </w:pPr>
      <w:r w:rsidRPr="00657E4F">
        <w:rPr>
          <w:sz w:val="26"/>
          <w:szCs w:val="26"/>
        </w:rPr>
        <w:t xml:space="preserve">That Hidden Valley Utility Services, L.P. </w:t>
      </w:r>
      <w:r w:rsidR="004C3628">
        <w:rPr>
          <w:sz w:val="26"/>
          <w:szCs w:val="26"/>
        </w:rPr>
        <w:t>–</w:t>
      </w:r>
      <w:r w:rsidRPr="004C3628">
        <w:rPr>
          <w:sz w:val="26"/>
          <w:szCs w:val="26"/>
        </w:rPr>
        <w:t xml:space="preserve"> Water, shall not place into effect the rules, rates and regulations contained in Supplement No. 1 to Tariff Water-Pa. P.U.C. No. 1. </w:t>
      </w:r>
    </w:p>
    <w:p w14:paraId="367BB6EC" w14:textId="77777777" w:rsidR="00657E4F" w:rsidRPr="00657E4F" w:rsidRDefault="00657E4F" w:rsidP="00FD1A00">
      <w:pPr>
        <w:contextualSpacing/>
        <w:rPr>
          <w:sz w:val="26"/>
          <w:szCs w:val="26"/>
        </w:rPr>
      </w:pPr>
      <w:r w:rsidRPr="00657E4F">
        <w:rPr>
          <w:sz w:val="26"/>
          <w:szCs w:val="26"/>
        </w:rPr>
        <w:t xml:space="preserve"> </w:t>
      </w:r>
    </w:p>
    <w:p w14:paraId="432557BF" w14:textId="6E76227F" w:rsidR="00657E4F" w:rsidRPr="004C3628" w:rsidRDefault="00657E4F" w:rsidP="00472001">
      <w:pPr>
        <w:numPr>
          <w:ilvl w:val="0"/>
          <w:numId w:val="26"/>
        </w:numPr>
        <w:ind w:left="0" w:firstLine="1440"/>
        <w:contextualSpacing/>
        <w:rPr>
          <w:sz w:val="26"/>
          <w:szCs w:val="26"/>
        </w:rPr>
      </w:pPr>
      <w:r w:rsidRPr="004C3628">
        <w:rPr>
          <w:sz w:val="26"/>
          <w:szCs w:val="26"/>
        </w:rPr>
        <w:t>That Hidden Valley Utility Services, L.P.</w:t>
      </w:r>
      <w:r w:rsidR="004C3628" w:rsidRPr="004C3628">
        <w:rPr>
          <w:sz w:val="26"/>
          <w:szCs w:val="26"/>
        </w:rPr>
        <w:t xml:space="preserve"> – </w:t>
      </w:r>
      <w:r w:rsidRPr="004C3628">
        <w:rPr>
          <w:sz w:val="26"/>
          <w:szCs w:val="26"/>
        </w:rPr>
        <w:t xml:space="preserve">Wastewater, shall not place into effect the rules, rates and regulations contained in Supplement No. 1 to Tariff Wastewater-Pa. P.U.C. No. 1. </w:t>
      </w:r>
    </w:p>
    <w:p w14:paraId="0AA41654" w14:textId="77777777" w:rsidR="00657E4F" w:rsidRPr="00657E4F" w:rsidRDefault="00657E4F" w:rsidP="00FD1A00">
      <w:pPr>
        <w:contextualSpacing/>
        <w:rPr>
          <w:sz w:val="26"/>
          <w:szCs w:val="26"/>
        </w:rPr>
      </w:pPr>
    </w:p>
    <w:p w14:paraId="53F9431F" w14:textId="330CC03C" w:rsidR="00657E4F" w:rsidRPr="00657E4F" w:rsidRDefault="00A51333" w:rsidP="00FD1A00">
      <w:pPr>
        <w:ind w:firstLine="1440"/>
        <w:contextualSpacing/>
        <w:rPr>
          <w:sz w:val="26"/>
          <w:szCs w:val="26"/>
        </w:rPr>
      </w:pPr>
      <w:r>
        <w:rPr>
          <w:sz w:val="26"/>
          <w:szCs w:val="26"/>
        </w:rPr>
        <w:t>6</w:t>
      </w:r>
      <w:r w:rsidR="00657E4F" w:rsidRPr="00657E4F">
        <w:rPr>
          <w:sz w:val="26"/>
          <w:szCs w:val="26"/>
        </w:rPr>
        <w:t>.</w:t>
      </w:r>
      <w:r w:rsidR="00657E4F" w:rsidRPr="00657E4F">
        <w:rPr>
          <w:sz w:val="26"/>
          <w:szCs w:val="26"/>
        </w:rPr>
        <w:tab/>
        <w:t xml:space="preserve">That Hidden Valley Utility Services, L.P. – Water </w:t>
      </w:r>
      <w:r w:rsidR="00FF5835">
        <w:rPr>
          <w:sz w:val="26"/>
          <w:szCs w:val="26"/>
        </w:rPr>
        <w:t xml:space="preserve">is authorized to </w:t>
      </w:r>
      <w:r w:rsidR="00657E4F" w:rsidRPr="00657E4F">
        <w:rPr>
          <w:sz w:val="26"/>
          <w:szCs w:val="26"/>
        </w:rPr>
        <w:t xml:space="preserve">file water tariffs, tariff supplements or tariff revisions containing rates, rules and </w:t>
      </w:r>
      <w:r w:rsidR="00657E4F" w:rsidRPr="00657E4F">
        <w:rPr>
          <w:sz w:val="26"/>
          <w:szCs w:val="26"/>
        </w:rPr>
        <w:lastRenderedPageBreak/>
        <w:t>regulations to produce annual revenues not in excess of $206,112, which is an increase over present revenues of $65,557</w:t>
      </w:r>
      <w:r w:rsidR="00FF5835">
        <w:rPr>
          <w:sz w:val="26"/>
          <w:szCs w:val="26"/>
        </w:rPr>
        <w:t xml:space="preserve">, </w:t>
      </w:r>
      <w:r w:rsidR="00FF5835" w:rsidRPr="00657E4F">
        <w:rPr>
          <w:sz w:val="26"/>
          <w:szCs w:val="26"/>
        </w:rPr>
        <w:t>consistent with this Opinion and Order</w:t>
      </w:r>
      <w:r w:rsidR="00657E4F" w:rsidRPr="00657E4F">
        <w:rPr>
          <w:sz w:val="26"/>
          <w:szCs w:val="26"/>
        </w:rPr>
        <w:t>.</w:t>
      </w:r>
    </w:p>
    <w:p w14:paraId="1C90D55B" w14:textId="77777777" w:rsidR="00657E4F" w:rsidRPr="00657E4F" w:rsidRDefault="00657E4F" w:rsidP="00FD1A00">
      <w:pPr>
        <w:ind w:firstLine="1440"/>
        <w:contextualSpacing/>
        <w:rPr>
          <w:sz w:val="26"/>
          <w:szCs w:val="26"/>
        </w:rPr>
      </w:pPr>
    </w:p>
    <w:p w14:paraId="7B55B668" w14:textId="6BA7BD94" w:rsidR="00657E4F" w:rsidRPr="00657E4F" w:rsidRDefault="00A51333" w:rsidP="00FD1A00">
      <w:pPr>
        <w:ind w:firstLine="1440"/>
        <w:contextualSpacing/>
        <w:rPr>
          <w:sz w:val="26"/>
          <w:szCs w:val="26"/>
        </w:rPr>
      </w:pPr>
      <w:r>
        <w:rPr>
          <w:sz w:val="26"/>
          <w:szCs w:val="26"/>
        </w:rPr>
        <w:t>7</w:t>
      </w:r>
      <w:r w:rsidR="00417969">
        <w:rPr>
          <w:sz w:val="26"/>
          <w:szCs w:val="26"/>
        </w:rPr>
        <w:t>.</w:t>
      </w:r>
      <w:r w:rsidR="00657E4F" w:rsidRPr="00657E4F">
        <w:rPr>
          <w:sz w:val="26"/>
          <w:szCs w:val="26"/>
        </w:rPr>
        <w:tab/>
        <w:t>That Hidden Valley Utility Services, L.P.</w:t>
      </w:r>
      <w:r w:rsidR="004C3628">
        <w:rPr>
          <w:sz w:val="26"/>
          <w:szCs w:val="26"/>
        </w:rPr>
        <w:t xml:space="preserve"> –</w:t>
      </w:r>
      <w:r w:rsidR="00657E4F" w:rsidRPr="00657E4F">
        <w:rPr>
          <w:sz w:val="26"/>
          <w:szCs w:val="26"/>
        </w:rPr>
        <w:t xml:space="preserve"> Wastewater </w:t>
      </w:r>
      <w:r w:rsidR="004C3628">
        <w:rPr>
          <w:sz w:val="26"/>
          <w:szCs w:val="26"/>
        </w:rPr>
        <w:t xml:space="preserve">is authorized to </w:t>
      </w:r>
      <w:r w:rsidR="00657E4F" w:rsidRPr="00657E4F">
        <w:rPr>
          <w:sz w:val="26"/>
          <w:szCs w:val="26"/>
        </w:rPr>
        <w:t>file wastewater tariffs, tariff supplements or tariff revisions containing rates, rules and regulations, to produce annual revenues not in excess of $375,866, which is an increase over present revenues of $82,227</w:t>
      </w:r>
      <w:r w:rsidR="00E00941">
        <w:rPr>
          <w:sz w:val="26"/>
          <w:szCs w:val="26"/>
        </w:rPr>
        <w:t>,</w:t>
      </w:r>
      <w:r w:rsidR="00E00941" w:rsidRPr="00657E4F">
        <w:rPr>
          <w:sz w:val="26"/>
          <w:szCs w:val="26"/>
        </w:rPr>
        <w:t xml:space="preserve"> consistent with this Opinion and Order</w:t>
      </w:r>
      <w:r w:rsidR="00657E4F" w:rsidRPr="00657E4F">
        <w:rPr>
          <w:sz w:val="26"/>
          <w:szCs w:val="26"/>
        </w:rPr>
        <w:t>.</w:t>
      </w:r>
    </w:p>
    <w:p w14:paraId="2243B662" w14:textId="77777777" w:rsidR="00657E4F" w:rsidRPr="00657E4F" w:rsidRDefault="00657E4F" w:rsidP="00FD1A00">
      <w:pPr>
        <w:contextualSpacing/>
        <w:rPr>
          <w:sz w:val="26"/>
          <w:szCs w:val="26"/>
        </w:rPr>
      </w:pPr>
      <w:r w:rsidRPr="00657E4F">
        <w:rPr>
          <w:sz w:val="26"/>
          <w:szCs w:val="26"/>
        </w:rPr>
        <w:t xml:space="preserve"> </w:t>
      </w:r>
    </w:p>
    <w:p w14:paraId="1AB89828" w14:textId="0DCD11E6" w:rsidR="00657E4F" w:rsidRPr="00657E4F" w:rsidRDefault="00A51333" w:rsidP="00FD1A00">
      <w:pPr>
        <w:ind w:firstLine="1440"/>
        <w:contextualSpacing/>
        <w:rPr>
          <w:sz w:val="26"/>
          <w:szCs w:val="26"/>
        </w:rPr>
      </w:pPr>
      <w:r>
        <w:rPr>
          <w:sz w:val="26"/>
          <w:szCs w:val="26"/>
        </w:rPr>
        <w:t>8</w:t>
      </w:r>
      <w:r w:rsidR="00657E4F" w:rsidRPr="00657E4F">
        <w:rPr>
          <w:sz w:val="26"/>
          <w:szCs w:val="26"/>
        </w:rPr>
        <w:t>.</w:t>
      </w:r>
      <w:r w:rsidR="00657E4F" w:rsidRPr="00657E4F">
        <w:rPr>
          <w:sz w:val="26"/>
          <w:szCs w:val="26"/>
        </w:rPr>
        <w:tab/>
        <w:t>That said tariffs or tariff supplements may be filed on at least one</w:t>
      </w:r>
      <w:r w:rsidR="00E00941">
        <w:rPr>
          <w:sz w:val="26"/>
          <w:szCs w:val="26"/>
        </w:rPr>
        <w:t xml:space="preserve"> (1) </w:t>
      </w:r>
      <w:r w:rsidR="00657E4F" w:rsidRPr="00657E4F">
        <w:rPr>
          <w:sz w:val="26"/>
          <w:szCs w:val="26"/>
        </w:rPr>
        <w:t>day</w:t>
      </w:r>
      <w:r w:rsidR="00A424DB">
        <w:rPr>
          <w:sz w:val="26"/>
          <w:szCs w:val="26"/>
        </w:rPr>
        <w:t>’</w:t>
      </w:r>
      <w:r w:rsidR="00657E4F" w:rsidRPr="00657E4F">
        <w:rPr>
          <w:sz w:val="26"/>
          <w:szCs w:val="26"/>
        </w:rPr>
        <w:t>s notice</w:t>
      </w:r>
      <w:r w:rsidR="00E00941">
        <w:rPr>
          <w:sz w:val="26"/>
          <w:szCs w:val="26"/>
        </w:rPr>
        <w:t xml:space="preserve">, </w:t>
      </w:r>
      <w:r w:rsidR="00657E4F" w:rsidRPr="00657E4F">
        <w:rPr>
          <w:sz w:val="26"/>
          <w:szCs w:val="26"/>
        </w:rPr>
        <w:t xml:space="preserve">to become effective for service rendered on and after the date </w:t>
      </w:r>
      <w:r w:rsidR="00E00941">
        <w:rPr>
          <w:sz w:val="26"/>
          <w:szCs w:val="26"/>
        </w:rPr>
        <w:t xml:space="preserve">of entry of this </w:t>
      </w:r>
      <w:r w:rsidR="00657E4F" w:rsidRPr="00657E4F">
        <w:rPr>
          <w:sz w:val="26"/>
          <w:szCs w:val="26"/>
        </w:rPr>
        <w:t>Opinion and Order</w:t>
      </w:r>
      <w:r w:rsidR="00E00941">
        <w:rPr>
          <w:sz w:val="26"/>
          <w:szCs w:val="26"/>
        </w:rPr>
        <w:t>.</w:t>
      </w:r>
    </w:p>
    <w:p w14:paraId="36B2061B" w14:textId="77777777" w:rsidR="00657E4F" w:rsidRPr="00657E4F" w:rsidRDefault="00657E4F" w:rsidP="00FD1A00">
      <w:pPr>
        <w:contextualSpacing/>
        <w:rPr>
          <w:sz w:val="26"/>
          <w:szCs w:val="26"/>
        </w:rPr>
      </w:pPr>
    </w:p>
    <w:p w14:paraId="66A10FE6" w14:textId="6C116CBC" w:rsidR="00657E4F" w:rsidRPr="00657E4F" w:rsidRDefault="00A51333" w:rsidP="00FD1A00">
      <w:pPr>
        <w:ind w:firstLine="1440"/>
        <w:contextualSpacing/>
        <w:rPr>
          <w:sz w:val="26"/>
          <w:szCs w:val="26"/>
        </w:rPr>
      </w:pPr>
      <w:r>
        <w:rPr>
          <w:sz w:val="26"/>
          <w:szCs w:val="26"/>
        </w:rPr>
        <w:t>9</w:t>
      </w:r>
      <w:r w:rsidR="00657E4F" w:rsidRPr="00657E4F">
        <w:rPr>
          <w:sz w:val="26"/>
          <w:szCs w:val="26"/>
        </w:rPr>
        <w:t>.</w:t>
      </w:r>
      <w:r w:rsidR="00657E4F" w:rsidRPr="00657E4F">
        <w:rPr>
          <w:sz w:val="26"/>
          <w:szCs w:val="26"/>
        </w:rPr>
        <w:tab/>
        <w:t xml:space="preserve">That, within ninety (90) days after the </w:t>
      </w:r>
      <w:r w:rsidR="00350BEF">
        <w:rPr>
          <w:sz w:val="26"/>
          <w:szCs w:val="26"/>
        </w:rPr>
        <w:t xml:space="preserve">date of </w:t>
      </w:r>
      <w:r w:rsidR="00657E4F" w:rsidRPr="00657E4F">
        <w:rPr>
          <w:sz w:val="26"/>
          <w:szCs w:val="26"/>
        </w:rPr>
        <w:t>entry of th</w:t>
      </w:r>
      <w:r w:rsidR="00350BEF">
        <w:rPr>
          <w:sz w:val="26"/>
          <w:szCs w:val="26"/>
        </w:rPr>
        <w:t>is Opinion and Order</w:t>
      </w:r>
      <w:r w:rsidR="00657E4F" w:rsidRPr="00657E4F">
        <w:rPr>
          <w:sz w:val="26"/>
          <w:szCs w:val="26"/>
        </w:rPr>
        <w:t xml:space="preserve"> in this proceeding, Hidden Valley Utility Services, L.P shall file with the Commission</w:t>
      </w:r>
      <w:r w:rsidR="00A424DB">
        <w:rPr>
          <w:sz w:val="26"/>
          <w:szCs w:val="26"/>
        </w:rPr>
        <w:t>’</w:t>
      </w:r>
      <w:r w:rsidR="00657E4F" w:rsidRPr="00657E4F">
        <w:rPr>
          <w:sz w:val="26"/>
          <w:szCs w:val="26"/>
        </w:rPr>
        <w:t>s Secretary</w:t>
      </w:r>
      <w:r w:rsidR="00A424DB">
        <w:rPr>
          <w:sz w:val="26"/>
          <w:szCs w:val="26"/>
        </w:rPr>
        <w:t>’</w:t>
      </w:r>
      <w:r w:rsidR="00657E4F" w:rsidRPr="00657E4F">
        <w:rPr>
          <w:sz w:val="26"/>
          <w:szCs w:val="26"/>
        </w:rPr>
        <w:t>s Bureau and the Commission</w:t>
      </w:r>
      <w:r w:rsidR="00A424DB">
        <w:rPr>
          <w:sz w:val="26"/>
          <w:szCs w:val="26"/>
        </w:rPr>
        <w:t>’</w:t>
      </w:r>
      <w:r w:rsidR="00657E4F" w:rsidRPr="00657E4F">
        <w:rPr>
          <w:sz w:val="26"/>
          <w:szCs w:val="26"/>
        </w:rPr>
        <w:t>s Bureau of Technical Utility Services corrected annual reports for the years 2015-2018.  These annual reports shall be prepared or reviewed by a rate consultant prior to submission to the Commission.</w:t>
      </w:r>
    </w:p>
    <w:p w14:paraId="4BEBDF71" w14:textId="77777777" w:rsidR="00657E4F" w:rsidRPr="00657E4F" w:rsidRDefault="00657E4F" w:rsidP="00FD1A00">
      <w:pPr>
        <w:contextualSpacing/>
        <w:rPr>
          <w:sz w:val="26"/>
          <w:szCs w:val="26"/>
        </w:rPr>
      </w:pPr>
    </w:p>
    <w:p w14:paraId="32E7D9AD" w14:textId="5CDC2CB7" w:rsidR="00657E4F" w:rsidRPr="00657E4F" w:rsidRDefault="00657E4F" w:rsidP="00FD1A00">
      <w:pPr>
        <w:ind w:firstLine="1440"/>
        <w:contextualSpacing/>
        <w:rPr>
          <w:sz w:val="26"/>
          <w:szCs w:val="26"/>
        </w:rPr>
      </w:pPr>
      <w:r w:rsidRPr="00657E4F">
        <w:rPr>
          <w:sz w:val="26"/>
          <w:szCs w:val="26"/>
        </w:rPr>
        <w:t>1</w:t>
      </w:r>
      <w:r w:rsidR="00A51333">
        <w:rPr>
          <w:sz w:val="26"/>
          <w:szCs w:val="26"/>
        </w:rPr>
        <w:t>0</w:t>
      </w:r>
      <w:r w:rsidRPr="00657E4F">
        <w:rPr>
          <w:sz w:val="26"/>
          <w:szCs w:val="26"/>
        </w:rPr>
        <w:t>.</w:t>
      </w:r>
      <w:r w:rsidRPr="00657E4F">
        <w:rPr>
          <w:sz w:val="26"/>
          <w:szCs w:val="26"/>
        </w:rPr>
        <w:tab/>
        <w:t>That, during the years 2019-2023 or until its next rate case, whichever is earlier, Hidden Valley Utility Services, L.P. shall have its annual reports prepared or reviewed by a rate consultant prior to submission to the Commission.</w:t>
      </w:r>
    </w:p>
    <w:p w14:paraId="0396A3B5" w14:textId="77777777" w:rsidR="00657E4F" w:rsidRPr="00657E4F" w:rsidRDefault="00657E4F" w:rsidP="00FD1A00">
      <w:pPr>
        <w:contextualSpacing/>
        <w:rPr>
          <w:sz w:val="26"/>
          <w:szCs w:val="26"/>
        </w:rPr>
      </w:pPr>
    </w:p>
    <w:p w14:paraId="451312C6" w14:textId="3F2536AF" w:rsidR="00657E4F" w:rsidRPr="00657E4F" w:rsidRDefault="00657E4F" w:rsidP="00FD1A00">
      <w:pPr>
        <w:ind w:firstLine="1440"/>
        <w:contextualSpacing/>
        <w:rPr>
          <w:sz w:val="26"/>
          <w:szCs w:val="26"/>
        </w:rPr>
      </w:pPr>
      <w:r w:rsidRPr="00657E4F">
        <w:rPr>
          <w:sz w:val="26"/>
          <w:szCs w:val="26"/>
        </w:rPr>
        <w:t>1</w:t>
      </w:r>
      <w:r w:rsidR="00A51333">
        <w:rPr>
          <w:sz w:val="26"/>
          <w:szCs w:val="26"/>
        </w:rPr>
        <w:t>1</w:t>
      </w:r>
      <w:r w:rsidRPr="00657E4F">
        <w:rPr>
          <w:sz w:val="26"/>
          <w:szCs w:val="26"/>
        </w:rPr>
        <w:t>.</w:t>
      </w:r>
      <w:r w:rsidRPr="00657E4F">
        <w:rPr>
          <w:sz w:val="26"/>
          <w:szCs w:val="26"/>
        </w:rPr>
        <w:tab/>
        <w:t xml:space="preserve">That, within one hundred twenty (120) days after the </w:t>
      </w:r>
      <w:r w:rsidR="00917212">
        <w:rPr>
          <w:sz w:val="26"/>
          <w:szCs w:val="26"/>
        </w:rPr>
        <w:t xml:space="preserve">date of </w:t>
      </w:r>
      <w:r w:rsidRPr="00657E4F">
        <w:rPr>
          <w:sz w:val="26"/>
          <w:szCs w:val="26"/>
        </w:rPr>
        <w:t xml:space="preserve">entry of </w:t>
      </w:r>
      <w:r w:rsidR="00824E66">
        <w:rPr>
          <w:sz w:val="26"/>
          <w:szCs w:val="26"/>
        </w:rPr>
        <w:t xml:space="preserve">this </w:t>
      </w:r>
      <w:r w:rsidRPr="00657E4F">
        <w:rPr>
          <w:sz w:val="26"/>
          <w:szCs w:val="26"/>
        </w:rPr>
        <w:t xml:space="preserve">Opinion and Order, Hidden Valley Utility Services, L.P. shall cause to be conducted an independent financial audit of its records from 2015 through 2018 by an outside independent financial accounting firm or office which has not previously provided auditing services to Hidden Valley Utility Services, L.P.  Upon completion of the independent financial audit, Hidden Valley Utility Services, L.P. shall file a notice at this docket number and serve a copy of said notice on all </w:t>
      </w:r>
      <w:r w:rsidR="00822757">
        <w:rPr>
          <w:sz w:val="26"/>
          <w:szCs w:val="26"/>
        </w:rPr>
        <w:t>P</w:t>
      </w:r>
      <w:r w:rsidRPr="00657E4F">
        <w:rPr>
          <w:sz w:val="26"/>
          <w:szCs w:val="26"/>
        </w:rPr>
        <w:t xml:space="preserve">arties to this proceeding stating </w:t>
      </w:r>
      <w:r w:rsidRPr="00657E4F">
        <w:rPr>
          <w:sz w:val="26"/>
          <w:szCs w:val="26"/>
        </w:rPr>
        <w:lastRenderedPageBreak/>
        <w:t>that the independent financial audit has been completed.  Hidden Valley Utility Services, L.P. shall file the independent financial audit with the Commission</w:t>
      </w:r>
      <w:r w:rsidR="00A424DB">
        <w:rPr>
          <w:sz w:val="26"/>
          <w:szCs w:val="26"/>
        </w:rPr>
        <w:t>’</w:t>
      </w:r>
      <w:r w:rsidRPr="00657E4F">
        <w:rPr>
          <w:sz w:val="26"/>
          <w:szCs w:val="26"/>
        </w:rPr>
        <w:t>s Secretary</w:t>
      </w:r>
      <w:r w:rsidR="00A424DB">
        <w:rPr>
          <w:sz w:val="26"/>
          <w:szCs w:val="26"/>
        </w:rPr>
        <w:t>’</w:t>
      </w:r>
      <w:r w:rsidRPr="00657E4F">
        <w:rPr>
          <w:sz w:val="26"/>
          <w:szCs w:val="26"/>
        </w:rPr>
        <w:t>s Bureau and the Commission</w:t>
      </w:r>
      <w:r w:rsidR="00A424DB">
        <w:rPr>
          <w:sz w:val="26"/>
          <w:szCs w:val="26"/>
        </w:rPr>
        <w:t>’</w:t>
      </w:r>
      <w:r w:rsidRPr="00657E4F">
        <w:rPr>
          <w:sz w:val="26"/>
          <w:szCs w:val="26"/>
        </w:rPr>
        <w:t>s Bureau of Technical Utility Services.</w:t>
      </w:r>
    </w:p>
    <w:p w14:paraId="07C3FC5E" w14:textId="77777777" w:rsidR="00657E4F" w:rsidRPr="00657E4F" w:rsidRDefault="00657E4F" w:rsidP="00FD1A00">
      <w:pPr>
        <w:contextualSpacing/>
        <w:rPr>
          <w:sz w:val="26"/>
          <w:szCs w:val="26"/>
        </w:rPr>
      </w:pPr>
    </w:p>
    <w:p w14:paraId="04B54BBD" w14:textId="18E32776" w:rsidR="00657E4F" w:rsidRPr="00657E4F" w:rsidRDefault="00657E4F" w:rsidP="00FD1A00">
      <w:pPr>
        <w:ind w:firstLine="1440"/>
        <w:contextualSpacing/>
        <w:rPr>
          <w:sz w:val="26"/>
          <w:szCs w:val="26"/>
        </w:rPr>
      </w:pPr>
      <w:r w:rsidRPr="00657E4F">
        <w:rPr>
          <w:sz w:val="26"/>
          <w:szCs w:val="26"/>
        </w:rPr>
        <w:t>1</w:t>
      </w:r>
      <w:r w:rsidR="00A51333">
        <w:rPr>
          <w:sz w:val="26"/>
          <w:szCs w:val="26"/>
        </w:rPr>
        <w:t>2</w:t>
      </w:r>
      <w:r w:rsidRPr="00657E4F">
        <w:rPr>
          <w:sz w:val="26"/>
          <w:szCs w:val="26"/>
        </w:rPr>
        <w:t>.</w:t>
      </w:r>
      <w:r w:rsidRPr="00657E4F">
        <w:rPr>
          <w:sz w:val="26"/>
          <w:szCs w:val="26"/>
        </w:rPr>
        <w:tab/>
        <w:t xml:space="preserve">That, within </w:t>
      </w:r>
      <w:r w:rsidR="00AB2D54">
        <w:rPr>
          <w:sz w:val="26"/>
          <w:szCs w:val="26"/>
        </w:rPr>
        <w:t xml:space="preserve">ninety (90) </w:t>
      </w:r>
      <w:r w:rsidRPr="00657E4F">
        <w:rPr>
          <w:sz w:val="26"/>
          <w:szCs w:val="26"/>
        </w:rPr>
        <w:t xml:space="preserve">days </w:t>
      </w:r>
      <w:r w:rsidR="00917212">
        <w:rPr>
          <w:sz w:val="26"/>
          <w:szCs w:val="26"/>
        </w:rPr>
        <w:t xml:space="preserve">after the date of entry of this </w:t>
      </w:r>
      <w:r w:rsidRPr="00657E4F">
        <w:rPr>
          <w:sz w:val="26"/>
          <w:szCs w:val="26"/>
        </w:rPr>
        <w:t>Opinion and Order, Hidden Valley Utility Services, L.P. shall file with the Secretary</w:t>
      </w:r>
      <w:r w:rsidR="00A424DB">
        <w:rPr>
          <w:sz w:val="26"/>
          <w:szCs w:val="26"/>
        </w:rPr>
        <w:t>’</w:t>
      </w:r>
      <w:r w:rsidRPr="00657E4F">
        <w:rPr>
          <w:sz w:val="26"/>
          <w:szCs w:val="26"/>
        </w:rPr>
        <w:t>s Bureau and the Bureau of Technical Utility Services corrections of the numerical errors in Appendix</w:t>
      </w:r>
      <w:r w:rsidR="00917212">
        <w:rPr>
          <w:sz w:val="26"/>
          <w:szCs w:val="26"/>
        </w:rPr>
        <w:t> </w:t>
      </w:r>
      <w:r w:rsidRPr="00657E4F">
        <w:rPr>
          <w:sz w:val="26"/>
          <w:szCs w:val="26"/>
        </w:rPr>
        <w:t>A to the Joint Petition for Approval of a Non-Unanimous Settlement concerning consumption over or under 30,000 as well as the Private Fire customers at Column D, rows 20 and 21; Column K, rows 20 and 21; Columns F and M, row 57 for Water 2018 and for Sewer 2017-2018; and Columns D and K, rows 22 and 23 for Sewer 2017 Phase II.</w:t>
      </w:r>
    </w:p>
    <w:p w14:paraId="3A273DDE" w14:textId="77777777" w:rsidR="00657E4F" w:rsidRPr="00657E4F" w:rsidRDefault="00657E4F" w:rsidP="00FD1A00">
      <w:pPr>
        <w:contextualSpacing/>
        <w:rPr>
          <w:sz w:val="26"/>
          <w:szCs w:val="26"/>
        </w:rPr>
      </w:pPr>
    </w:p>
    <w:p w14:paraId="0E7D4DEF" w14:textId="5357C6A7" w:rsidR="00657E4F" w:rsidRPr="00657E4F" w:rsidRDefault="00657E4F" w:rsidP="00FD1A00">
      <w:pPr>
        <w:keepNext/>
        <w:keepLines/>
        <w:ind w:firstLine="1440"/>
        <w:contextualSpacing/>
        <w:outlineLvl w:val="4"/>
        <w:rPr>
          <w:rFonts w:eastAsiaTheme="majorEastAsia"/>
          <w:sz w:val="26"/>
          <w:szCs w:val="26"/>
        </w:rPr>
      </w:pPr>
      <w:r w:rsidRPr="00657E4F">
        <w:rPr>
          <w:rFonts w:eastAsiaTheme="majorEastAsia"/>
          <w:sz w:val="26"/>
          <w:szCs w:val="26"/>
        </w:rPr>
        <w:t>1</w:t>
      </w:r>
      <w:r w:rsidR="00A51333">
        <w:rPr>
          <w:rFonts w:eastAsiaTheme="majorEastAsia"/>
          <w:sz w:val="26"/>
          <w:szCs w:val="26"/>
        </w:rPr>
        <w:t>3</w:t>
      </w:r>
      <w:r w:rsidRPr="00657E4F">
        <w:rPr>
          <w:rFonts w:eastAsiaTheme="majorEastAsia"/>
          <w:sz w:val="26"/>
          <w:szCs w:val="26"/>
        </w:rPr>
        <w:t xml:space="preserve">. </w:t>
      </w:r>
      <w:r w:rsidRPr="00657E4F">
        <w:rPr>
          <w:rFonts w:eastAsiaTheme="majorEastAsia"/>
          <w:sz w:val="26"/>
          <w:szCs w:val="26"/>
        </w:rPr>
        <w:tab/>
      </w:r>
      <w:bookmarkStart w:id="31" w:name="_Hlk3967516"/>
      <w:r w:rsidRPr="00657E4F">
        <w:rPr>
          <w:rFonts w:eastAsiaTheme="majorEastAsia"/>
          <w:sz w:val="26"/>
          <w:szCs w:val="26"/>
        </w:rPr>
        <w:t>That the following Formal Complaints filed against</w:t>
      </w:r>
      <w:r w:rsidRPr="00657E4F">
        <w:rPr>
          <w:rFonts w:eastAsiaTheme="majorEastAsia"/>
          <w:color w:val="365F91" w:themeColor="accent1" w:themeShade="BF"/>
          <w:sz w:val="26"/>
          <w:szCs w:val="26"/>
        </w:rPr>
        <w:t xml:space="preserve"> </w:t>
      </w:r>
      <w:r w:rsidRPr="00657E4F">
        <w:rPr>
          <w:rFonts w:eastAsiaTheme="majorEastAsia"/>
          <w:sz w:val="26"/>
          <w:szCs w:val="26"/>
        </w:rPr>
        <w:t xml:space="preserve">Hidden Valley Utility Services, L.P. – Water </w:t>
      </w:r>
      <w:r w:rsidR="00917212">
        <w:rPr>
          <w:rFonts w:eastAsiaTheme="majorEastAsia"/>
          <w:sz w:val="26"/>
          <w:szCs w:val="26"/>
        </w:rPr>
        <w:t>are</w:t>
      </w:r>
      <w:r w:rsidR="006D7034">
        <w:rPr>
          <w:rFonts w:eastAsiaTheme="majorEastAsia"/>
          <w:sz w:val="26"/>
          <w:szCs w:val="26"/>
        </w:rPr>
        <w:t>, hereby,</w:t>
      </w:r>
      <w:r w:rsidRPr="00657E4F">
        <w:rPr>
          <w:rFonts w:eastAsiaTheme="majorEastAsia"/>
          <w:sz w:val="26"/>
          <w:szCs w:val="26"/>
        </w:rPr>
        <w:t xml:space="preserve"> dismissed:</w:t>
      </w:r>
      <w:bookmarkEnd w:id="31"/>
    </w:p>
    <w:p w14:paraId="78238CF5" w14:textId="77777777" w:rsidR="00657E4F" w:rsidRPr="00657E4F" w:rsidRDefault="00657E4F" w:rsidP="00FD1A00">
      <w:pPr>
        <w:contextualSpacing/>
        <w:rPr>
          <w:sz w:val="26"/>
          <w:szCs w:val="26"/>
        </w:rPr>
      </w:pPr>
    </w:p>
    <w:p w14:paraId="06E3899F" w14:textId="77777777" w:rsidR="00657E4F" w:rsidRPr="00657E4F" w:rsidRDefault="00657E4F" w:rsidP="00FD1A00">
      <w:pPr>
        <w:tabs>
          <w:tab w:val="left" w:pos="6480"/>
        </w:tabs>
        <w:spacing w:line="240" w:lineRule="auto"/>
        <w:ind w:left="1440"/>
        <w:contextualSpacing/>
        <w:jc w:val="both"/>
        <w:rPr>
          <w:sz w:val="26"/>
          <w:szCs w:val="26"/>
        </w:rPr>
      </w:pPr>
      <w:r w:rsidRPr="00657E4F">
        <w:rPr>
          <w:sz w:val="26"/>
          <w:szCs w:val="26"/>
        </w:rPr>
        <w:t>Office of Consumer Advocate</w:t>
      </w:r>
      <w:r w:rsidRPr="00657E4F">
        <w:rPr>
          <w:sz w:val="26"/>
          <w:szCs w:val="26"/>
        </w:rPr>
        <w:tab/>
        <w:t>C-2018-3001841</w:t>
      </w:r>
    </w:p>
    <w:p w14:paraId="62233A8D" w14:textId="77777777" w:rsidR="00657E4F" w:rsidRPr="00657E4F" w:rsidRDefault="00657E4F" w:rsidP="00FD1A00">
      <w:pPr>
        <w:tabs>
          <w:tab w:val="left" w:pos="6480"/>
        </w:tabs>
        <w:spacing w:line="240" w:lineRule="auto"/>
        <w:ind w:left="1440"/>
        <w:contextualSpacing/>
        <w:jc w:val="both"/>
        <w:rPr>
          <w:sz w:val="26"/>
          <w:szCs w:val="26"/>
        </w:rPr>
      </w:pPr>
      <w:r w:rsidRPr="00657E4F">
        <w:rPr>
          <w:sz w:val="26"/>
          <w:szCs w:val="26"/>
        </w:rPr>
        <w:t>Hidden Valley Foundation, Inc.</w:t>
      </w:r>
      <w:r w:rsidRPr="00657E4F">
        <w:rPr>
          <w:sz w:val="26"/>
          <w:szCs w:val="26"/>
        </w:rPr>
        <w:tab/>
        <w:t>C-2018-3003528</w:t>
      </w:r>
    </w:p>
    <w:p w14:paraId="7C8A3059" w14:textId="77777777" w:rsidR="00657E4F" w:rsidRPr="00657E4F" w:rsidRDefault="00657E4F" w:rsidP="00FD1A00">
      <w:pPr>
        <w:tabs>
          <w:tab w:val="left" w:pos="6480"/>
        </w:tabs>
        <w:spacing w:line="240" w:lineRule="auto"/>
        <w:ind w:left="1440"/>
        <w:contextualSpacing/>
        <w:jc w:val="both"/>
        <w:rPr>
          <w:sz w:val="26"/>
          <w:szCs w:val="26"/>
        </w:rPr>
      </w:pPr>
      <w:r w:rsidRPr="00657E4F">
        <w:rPr>
          <w:sz w:val="26"/>
          <w:szCs w:val="26"/>
        </w:rPr>
        <w:t>Robert J. Kollar</w:t>
      </w:r>
      <w:r w:rsidRPr="00657E4F">
        <w:rPr>
          <w:sz w:val="26"/>
          <w:szCs w:val="26"/>
        </w:rPr>
        <w:tab/>
        <w:t>C-2018-3003370</w:t>
      </w:r>
    </w:p>
    <w:p w14:paraId="5C6DD392" w14:textId="77777777" w:rsidR="00657E4F" w:rsidRPr="00657E4F" w:rsidRDefault="00657E4F" w:rsidP="00FD1A00">
      <w:pPr>
        <w:tabs>
          <w:tab w:val="left" w:pos="6480"/>
        </w:tabs>
        <w:spacing w:line="240" w:lineRule="auto"/>
        <w:ind w:left="1440"/>
        <w:contextualSpacing/>
        <w:jc w:val="both"/>
        <w:rPr>
          <w:sz w:val="26"/>
          <w:szCs w:val="26"/>
        </w:rPr>
      </w:pPr>
      <w:r w:rsidRPr="00657E4F">
        <w:rPr>
          <w:sz w:val="26"/>
          <w:szCs w:val="26"/>
        </w:rPr>
        <w:t>Gerry and Melissa Pindroh</w:t>
      </w:r>
      <w:r w:rsidRPr="00657E4F">
        <w:rPr>
          <w:sz w:val="26"/>
          <w:szCs w:val="26"/>
        </w:rPr>
        <w:tab/>
        <w:t>C-2018-3001787</w:t>
      </w:r>
    </w:p>
    <w:p w14:paraId="7C5A7103" w14:textId="77777777" w:rsidR="00657E4F" w:rsidRPr="00657E4F" w:rsidRDefault="00657E4F" w:rsidP="00FD1A00">
      <w:pPr>
        <w:tabs>
          <w:tab w:val="left" w:pos="6480"/>
        </w:tabs>
        <w:spacing w:line="240" w:lineRule="auto"/>
        <w:ind w:left="1440"/>
        <w:contextualSpacing/>
        <w:jc w:val="both"/>
        <w:rPr>
          <w:sz w:val="26"/>
          <w:szCs w:val="26"/>
        </w:rPr>
      </w:pPr>
      <w:r w:rsidRPr="00657E4F">
        <w:rPr>
          <w:sz w:val="26"/>
          <w:szCs w:val="26"/>
        </w:rPr>
        <w:t>Debra J. Simpson</w:t>
      </w:r>
      <w:r w:rsidRPr="00657E4F">
        <w:rPr>
          <w:sz w:val="26"/>
          <w:szCs w:val="26"/>
        </w:rPr>
        <w:tab/>
        <w:t>C-2018-3002179</w:t>
      </w:r>
    </w:p>
    <w:p w14:paraId="34AE6C4A" w14:textId="77777777" w:rsidR="00657E4F" w:rsidRPr="00657E4F" w:rsidRDefault="00657E4F" w:rsidP="00FD1A00">
      <w:pPr>
        <w:tabs>
          <w:tab w:val="left" w:pos="6480"/>
        </w:tabs>
        <w:spacing w:line="240" w:lineRule="auto"/>
        <w:ind w:left="1440"/>
        <w:contextualSpacing/>
        <w:jc w:val="both"/>
        <w:rPr>
          <w:sz w:val="26"/>
          <w:szCs w:val="26"/>
        </w:rPr>
      </w:pPr>
      <w:r w:rsidRPr="00657E4F">
        <w:rPr>
          <w:sz w:val="26"/>
          <w:szCs w:val="26"/>
        </w:rPr>
        <w:t>Tom and Shelley Conroy</w:t>
      </w:r>
      <w:r w:rsidRPr="00657E4F">
        <w:rPr>
          <w:sz w:val="26"/>
          <w:szCs w:val="26"/>
        </w:rPr>
        <w:tab/>
        <w:t>C-2018-3002198</w:t>
      </w:r>
    </w:p>
    <w:p w14:paraId="227D1173" w14:textId="77777777" w:rsidR="00657E4F" w:rsidRPr="00657E4F" w:rsidRDefault="00657E4F" w:rsidP="00FD1A00">
      <w:pPr>
        <w:tabs>
          <w:tab w:val="left" w:pos="6480"/>
        </w:tabs>
        <w:spacing w:line="240" w:lineRule="auto"/>
        <w:ind w:left="1440"/>
        <w:contextualSpacing/>
        <w:jc w:val="both"/>
        <w:rPr>
          <w:sz w:val="26"/>
          <w:szCs w:val="26"/>
        </w:rPr>
      </w:pPr>
      <w:r w:rsidRPr="00657E4F">
        <w:rPr>
          <w:sz w:val="26"/>
          <w:szCs w:val="26"/>
        </w:rPr>
        <w:t>John Cupps</w:t>
      </w:r>
      <w:r w:rsidRPr="00657E4F">
        <w:rPr>
          <w:sz w:val="26"/>
          <w:szCs w:val="26"/>
        </w:rPr>
        <w:tab/>
        <w:t>C-2018-3002468</w:t>
      </w:r>
    </w:p>
    <w:p w14:paraId="331335F4" w14:textId="77777777" w:rsidR="00657E4F" w:rsidRPr="00657E4F" w:rsidRDefault="00657E4F" w:rsidP="00FD1A00">
      <w:pPr>
        <w:tabs>
          <w:tab w:val="left" w:pos="6480"/>
        </w:tabs>
        <w:spacing w:line="240" w:lineRule="auto"/>
        <w:ind w:left="1440"/>
        <w:contextualSpacing/>
        <w:jc w:val="both"/>
        <w:rPr>
          <w:sz w:val="26"/>
          <w:szCs w:val="26"/>
        </w:rPr>
      </w:pPr>
      <w:r w:rsidRPr="00657E4F">
        <w:rPr>
          <w:sz w:val="26"/>
          <w:szCs w:val="26"/>
        </w:rPr>
        <w:t>David Oster</w:t>
      </w:r>
      <w:r w:rsidRPr="00657E4F">
        <w:rPr>
          <w:sz w:val="26"/>
          <w:szCs w:val="26"/>
        </w:rPr>
        <w:tab/>
        <w:t>C-2018-3002470</w:t>
      </w:r>
    </w:p>
    <w:p w14:paraId="0309AEEE" w14:textId="77777777" w:rsidR="00657E4F" w:rsidRPr="00657E4F" w:rsidRDefault="00657E4F" w:rsidP="00FD1A00">
      <w:pPr>
        <w:tabs>
          <w:tab w:val="left" w:pos="6480"/>
        </w:tabs>
        <w:spacing w:line="240" w:lineRule="auto"/>
        <w:ind w:left="1440"/>
        <w:contextualSpacing/>
        <w:jc w:val="both"/>
        <w:rPr>
          <w:sz w:val="26"/>
          <w:szCs w:val="26"/>
        </w:rPr>
      </w:pPr>
      <w:r w:rsidRPr="00657E4F">
        <w:rPr>
          <w:sz w:val="26"/>
          <w:szCs w:val="26"/>
        </w:rPr>
        <w:t>Toni Gorenc</w:t>
      </w:r>
      <w:r w:rsidRPr="00657E4F">
        <w:rPr>
          <w:sz w:val="26"/>
          <w:szCs w:val="26"/>
        </w:rPr>
        <w:tab/>
        <w:t>C-2018-3002480</w:t>
      </w:r>
    </w:p>
    <w:p w14:paraId="25889969" w14:textId="77777777" w:rsidR="00657E4F" w:rsidRPr="00657E4F" w:rsidRDefault="00657E4F" w:rsidP="00FD1A00">
      <w:pPr>
        <w:tabs>
          <w:tab w:val="left" w:pos="6480"/>
        </w:tabs>
        <w:spacing w:line="240" w:lineRule="auto"/>
        <w:ind w:left="1440"/>
        <w:contextualSpacing/>
        <w:jc w:val="both"/>
        <w:rPr>
          <w:sz w:val="26"/>
          <w:szCs w:val="26"/>
        </w:rPr>
      </w:pPr>
      <w:r w:rsidRPr="00657E4F">
        <w:rPr>
          <w:sz w:val="26"/>
          <w:szCs w:val="26"/>
        </w:rPr>
        <w:t>David Brodland</w:t>
      </w:r>
      <w:r w:rsidRPr="00657E4F">
        <w:rPr>
          <w:sz w:val="26"/>
          <w:szCs w:val="26"/>
        </w:rPr>
        <w:tab/>
        <w:t>C-2018-3002485</w:t>
      </w:r>
    </w:p>
    <w:p w14:paraId="0472066D" w14:textId="77777777" w:rsidR="00657E4F" w:rsidRPr="00657E4F" w:rsidRDefault="00657E4F" w:rsidP="00FD1A00">
      <w:pPr>
        <w:tabs>
          <w:tab w:val="left" w:pos="6480"/>
        </w:tabs>
        <w:spacing w:line="240" w:lineRule="auto"/>
        <w:ind w:left="1440"/>
        <w:contextualSpacing/>
        <w:jc w:val="both"/>
        <w:rPr>
          <w:sz w:val="26"/>
          <w:szCs w:val="26"/>
        </w:rPr>
      </w:pPr>
      <w:r w:rsidRPr="00657E4F">
        <w:rPr>
          <w:sz w:val="26"/>
          <w:szCs w:val="26"/>
        </w:rPr>
        <w:t>Robert and Katherine Bair</w:t>
      </w:r>
      <w:r w:rsidRPr="00657E4F">
        <w:rPr>
          <w:sz w:val="26"/>
          <w:szCs w:val="26"/>
        </w:rPr>
        <w:tab/>
        <w:t>C-2018-3002587</w:t>
      </w:r>
    </w:p>
    <w:p w14:paraId="256D2D56" w14:textId="77777777" w:rsidR="00657E4F" w:rsidRPr="00657E4F" w:rsidRDefault="00657E4F" w:rsidP="00FD1A00">
      <w:pPr>
        <w:tabs>
          <w:tab w:val="left" w:pos="6480"/>
        </w:tabs>
        <w:spacing w:line="240" w:lineRule="auto"/>
        <w:ind w:left="1440"/>
        <w:contextualSpacing/>
        <w:jc w:val="both"/>
        <w:rPr>
          <w:sz w:val="26"/>
          <w:szCs w:val="26"/>
        </w:rPr>
      </w:pPr>
      <w:r w:rsidRPr="00657E4F">
        <w:rPr>
          <w:sz w:val="26"/>
          <w:szCs w:val="26"/>
        </w:rPr>
        <w:t>Jerome and Barbary Cypher</w:t>
      </w:r>
      <w:r w:rsidRPr="00657E4F">
        <w:rPr>
          <w:sz w:val="26"/>
          <w:szCs w:val="26"/>
        </w:rPr>
        <w:tab/>
        <w:t>C-2018-3002671</w:t>
      </w:r>
    </w:p>
    <w:p w14:paraId="6870F662" w14:textId="77777777" w:rsidR="00657E4F" w:rsidRPr="00657E4F" w:rsidRDefault="00657E4F" w:rsidP="00FD1A00">
      <w:pPr>
        <w:tabs>
          <w:tab w:val="left" w:pos="6480"/>
        </w:tabs>
        <w:spacing w:line="240" w:lineRule="auto"/>
        <w:ind w:left="1440"/>
        <w:contextualSpacing/>
        <w:jc w:val="both"/>
        <w:rPr>
          <w:sz w:val="26"/>
          <w:szCs w:val="26"/>
        </w:rPr>
      </w:pPr>
      <w:r w:rsidRPr="00657E4F">
        <w:rPr>
          <w:sz w:val="26"/>
          <w:szCs w:val="26"/>
        </w:rPr>
        <w:t>Jon and Nina Lewis</w:t>
      </w:r>
      <w:r w:rsidRPr="00657E4F">
        <w:rPr>
          <w:sz w:val="26"/>
          <w:szCs w:val="26"/>
        </w:rPr>
        <w:tab/>
        <w:t>C-2018-3002701</w:t>
      </w:r>
    </w:p>
    <w:p w14:paraId="50A90C01" w14:textId="77777777" w:rsidR="00657E4F" w:rsidRPr="00657E4F" w:rsidRDefault="00657E4F" w:rsidP="00FD1A00">
      <w:pPr>
        <w:spacing w:line="240" w:lineRule="auto"/>
        <w:ind w:left="720" w:firstLine="720"/>
        <w:contextualSpacing/>
        <w:rPr>
          <w:sz w:val="26"/>
          <w:szCs w:val="26"/>
        </w:rPr>
      </w:pPr>
      <w:r w:rsidRPr="00657E4F">
        <w:rPr>
          <w:sz w:val="26"/>
          <w:szCs w:val="26"/>
        </w:rPr>
        <w:t>Celeste Emrick</w:t>
      </w:r>
      <w:r w:rsidRPr="00657E4F">
        <w:rPr>
          <w:sz w:val="26"/>
          <w:szCs w:val="26"/>
        </w:rPr>
        <w:tab/>
      </w:r>
      <w:r w:rsidRPr="00657E4F">
        <w:rPr>
          <w:sz w:val="26"/>
          <w:szCs w:val="26"/>
        </w:rPr>
        <w:tab/>
      </w:r>
      <w:r w:rsidRPr="00657E4F">
        <w:rPr>
          <w:sz w:val="26"/>
          <w:szCs w:val="26"/>
        </w:rPr>
        <w:tab/>
      </w:r>
      <w:r w:rsidRPr="00657E4F">
        <w:rPr>
          <w:sz w:val="26"/>
          <w:szCs w:val="26"/>
        </w:rPr>
        <w:tab/>
      </w:r>
      <w:r w:rsidRPr="00657E4F">
        <w:rPr>
          <w:sz w:val="26"/>
          <w:szCs w:val="26"/>
        </w:rPr>
        <w:tab/>
        <w:t>C-2018-3003020</w:t>
      </w:r>
    </w:p>
    <w:p w14:paraId="003E6C9E" w14:textId="77777777" w:rsidR="00657E4F" w:rsidRPr="00657E4F" w:rsidRDefault="00657E4F" w:rsidP="00FD1A00">
      <w:pPr>
        <w:contextualSpacing/>
        <w:rPr>
          <w:sz w:val="26"/>
          <w:szCs w:val="26"/>
        </w:rPr>
      </w:pPr>
    </w:p>
    <w:p w14:paraId="75D98C3D" w14:textId="0D1BAFD6" w:rsidR="00657E4F" w:rsidRPr="00657E4F" w:rsidRDefault="00657E4F" w:rsidP="00FD1A00">
      <w:pPr>
        <w:keepNext/>
        <w:keepLines/>
        <w:ind w:firstLine="1440"/>
        <w:contextualSpacing/>
        <w:outlineLvl w:val="4"/>
        <w:rPr>
          <w:rFonts w:eastAsiaTheme="majorEastAsia"/>
          <w:sz w:val="26"/>
          <w:szCs w:val="26"/>
        </w:rPr>
      </w:pPr>
      <w:r w:rsidRPr="00657E4F">
        <w:rPr>
          <w:rFonts w:eastAsiaTheme="majorEastAsia"/>
          <w:sz w:val="26"/>
          <w:szCs w:val="26"/>
        </w:rPr>
        <w:lastRenderedPageBreak/>
        <w:t>1</w:t>
      </w:r>
      <w:r w:rsidR="00A51333">
        <w:rPr>
          <w:rFonts w:eastAsiaTheme="majorEastAsia"/>
          <w:sz w:val="26"/>
          <w:szCs w:val="26"/>
        </w:rPr>
        <w:t>4</w:t>
      </w:r>
      <w:r w:rsidRPr="00657E4F">
        <w:rPr>
          <w:rFonts w:eastAsiaTheme="majorEastAsia"/>
          <w:sz w:val="26"/>
          <w:szCs w:val="26"/>
        </w:rPr>
        <w:t xml:space="preserve">. </w:t>
      </w:r>
      <w:r w:rsidRPr="00657E4F">
        <w:rPr>
          <w:rFonts w:eastAsiaTheme="majorEastAsia"/>
          <w:sz w:val="26"/>
          <w:szCs w:val="26"/>
        </w:rPr>
        <w:tab/>
        <w:t>That the following Formal Complaints filed against</w:t>
      </w:r>
      <w:r w:rsidRPr="00657E4F">
        <w:rPr>
          <w:rFonts w:eastAsiaTheme="majorEastAsia"/>
          <w:color w:val="365F91" w:themeColor="accent1" w:themeShade="BF"/>
          <w:sz w:val="26"/>
          <w:szCs w:val="26"/>
        </w:rPr>
        <w:t xml:space="preserve"> </w:t>
      </w:r>
      <w:r w:rsidRPr="00657E4F">
        <w:rPr>
          <w:rFonts w:eastAsiaTheme="majorEastAsia"/>
          <w:sz w:val="26"/>
          <w:szCs w:val="26"/>
        </w:rPr>
        <w:t xml:space="preserve">Hidden Valley Utility Services, L.P. – Wastewater </w:t>
      </w:r>
      <w:r w:rsidR="00917212">
        <w:rPr>
          <w:rFonts w:eastAsiaTheme="majorEastAsia"/>
          <w:sz w:val="26"/>
          <w:szCs w:val="26"/>
        </w:rPr>
        <w:t>are</w:t>
      </w:r>
      <w:r w:rsidR="006D7034">
        <w:rPr>
          <w:rFonts w:eastAsiaTheme="majorEastAsia"/>
          <w:sz w:val="26"/>
          <w:szCs w:val="26"/>
        </w:rPr>
        <w:t>, hereby,</w:t>
      </w:r>
      <w:r w:rsidRPr="00657E4F">
        <w:rPr>
          <w:rFonts w:eastAsiaTheme="majorEastAsia"/>
          <w:sz w:val="26"/>
          <w:szCs w:val="26"/>
        </w:rPr>
        <w:t xml:space="preserve"> dismissed:</w:t>
      </w:r>
    </w:p>
    <w:p w14:paraId="35E5EBC2" w14:textId="77777777" w:rsidR="00657E4F" w:rsidRPr="00657E4F" w:rsidRDefault="00657E4F" w:rsidP="00FD1A00">
      <w:pPr>
        <w:spacing w:line="240" w:lineRule="auto"/>
        <w:contextualSpacing/>
        <w:rPr>
          <w:sz w:val="26"/>
          <w:szCs w:val="26"/>
        </w:rPr>
      </w:pPr>
    </w:p>
    <w:p w14:paraId="50925368" w14:textId="77777777" w:rsidR="00657E4F" w:rsidRPr="00657E4F" w:rsidRDefault="00657E4F" w:rsidP="00FD1A00">
      <w:pPr>
        <w:tabs>
          <w:tab w:val="left" w:pos="6480"/>
        </w:tabs>
        <w:spacing w:line="240" w:lineRule="auto"/>
        <w:ind w:left="1440"/>
        <w:contextualSpacing/>
        <w:jc w:val="both"/>
        <w:rPr>
          <w:sz w:val="26"/>
          <w:szCs w:val="26"/>
        </w:rPr>
      </w:pPr>
      <w:r w:rsidRPr="00657E4F">
        <w:rPr>
          <w:sz w:val="26"/>
          <w:szCs w:val="26"/>
        </w:rPr>
        <w:t>Office of Consumer Advocate</w:t>
      </w:r>
      <w:r w:rsidRPr="00657E4F">
        <w:rPr>
          <w:sz w:val="26"/>
          <w:szCs w:val="26"/>
        </w:rPr>
        <w:tab/>
        <w:t>C-2018-3001843</w:t>
      </w:r>
    </w:p>
    <w:p w14:paraId="1896A622" w14:textId="77777777" w:rsidR="00657E4F" w:rsidRPr="00657E4F" w:rsidRDefault="00657E4F" w:rsidP="00FD1A00">
      <w:pPr>
        <w:tabs>
          <w:tab w:val="left" w:pos="6480"/>
        </w:tabs>
        <w:spacing w:line="240" w:lineRule="auto"/>
        <w:ind w:left="1440"/>
        <w:contextualSpacing/>
        <w:jc w:val="both"/>
        <w:rPr>
          <w:sz w:val="26"/>
          <w:szCs w:val="26"/>
        </w:rPr>
      </w:pPr>
      <w:r w:rsidRPr="00657E4F">
        <w:rPr>
          <w:sz w:val="26"/>
          <w:szCs w:val="26"/>
        </w:rPr>
        <w:t>Hidden Valley Foundation, Inc.</w:t>
      </w:r>
      <w:r w:rsidRPr="00657E4F">
        <w:rPr>
          <w:sz w:val="26"/>
          <w:szCs w:val="26"/>
        </w:rPr>
        <w:tab/>
        <w:t>C-2018-3003529</w:t>
      </w:r>
    </w:p>
    <w:p w14:paraId="667028A9" w14:textId="77777777" w:rsidR="00657E4F" w:rsidRPr="00657E4F" w:rsidRDefault="00657E4F" w:rsidP="00FD1A00">
      <w:pPr>
        <w:tabs>
          <w:tab w:val="left" w:pos="6480"/>
        </w:tabs>
        <w:spacing w:line="240" w:lineRule="auto"/>
        <w:ind w:left="1440"/>
        <w:contextualSpacing/>
        <w:jc w:val="both"/>
        <w:rPr>
          <w:sz w:val="26"/>
          <w:szCs w:val="26"/>
        </w:rPr>
      </w:pPr>
      <w:r w:rsidRPr="00657E4F">
        <w:rPr>
          <w:sz w:val="26"/>
          <w:szCs w:val="26"/>
        </w:rPr>
        <w:t>Robert J. Kollar</w:t>
      </w:r>
      <w:r w:rsidRPr="00657E4F">
        <w:rPr>
          <w:sz w:val="26"/>
          <w:szCs w:val="26"/>
        </w:rPr>
        <w:tab/>
        <w:t>C-2018-3003372</w:t>
      </w:r>
    </w:p>
    <w:p w14:paraId="77D4D214" w14:textId="77777777" w:rsidR="00657E4F" w:rsidRPr="00657E4F" w:rsidRDefault="00657E4F" w:rsidP="00FD1A00">
      <w:pPr>
        <w:tabs>
          <w:tab w:val="left" w:pos="6480"/>
        </w:tabs>
        <w:spacing w:line="240" w:lineRule="auto"/>
        <w:ind w:left="1440"/>
        <w:contextualSpacing/>
        <w:jc w:val="both"/>
        <w:rPr>
          <w:sz w:val="26"/>
          <w:szCs w:val="26"/>
        </w:rPr>
      </w:pPr>
      <w:r w:rsidRPr="00657E4F">
        <w:rPr>
          <w:sz w:val="26"/>
          <w:szCs w:val="26"/>
        </w:rPr>
        <w:t>Tom and Shelley Conroy</w:t>
      </w:r>
      <w:r w:rsidRPr="00657E4F">
        <w:rPr>
          <w:sz w:val="26"/>
          <w:szCs w:val="26"/>
        </w:rPr>
        <w:tab/>
        <w:t>C-2018-3002200</w:t>
      </w:r>
    </w:p>
    <w:p w14:paraId="3A8C3EAE" w14:textId="77777777" w:rsidR="00657E4F" w:rsidRPr="00657E4F" w:rsidRDefault="00657E4F" w:rsidP="00FD1A00">
      <w:pPr>
        <w:tabs>
          <w:tab w:val="left" w:pos="6480"/>
        </w:tabs>
        <w:spacing w:line="240" w:lineRule="auto"/>
        <w:ind w:left="1440"/>
        <w:contextualSpacing/>
        <w:jc w:val="both"/>
        <w:rPr>
          <w:sz w:val="26"/>
          <w:szCs w:val="26"/>
        </w:rPr>
      </w:pPr>
      <w:r w:rsidRPr="00657E4F">
        <w:rPr>
          <w:sz w:val="26"/>
          <w:szCs w:val="26"/>
        </w:rPr>
        <w:t>John Cupps</w:t>
      </w:r>
      <w:r w:rsidRPr="00657E4F">
        <w:rPr>
          <w:sz w:val="26"/>
          <w:szCs w:val="26"/>
        </w:rPr>
        <w:tab/>
        <w:t>C-2018-3002459</w:t>
      </w:r>
    </w:p>
    <w:p w14:paraId="314D64F7" w14:textId="77777777" w:rsidR="00657E4F" w:rsidRPr="00657E4F" w:rsidRDefault="00657E4F" w:rsidP="00FD1A00">
      <w:pPr>
        <w:tabs>
          <w:tab w:val="left" w:pos="6480"/>
        </w:tabs>
        <w:spacing w:line="240" w:lineRule="auto"/>
        <w:ind w:left="1440"/>
        <w:contextualSpacing/>
        <w:jc w:val="both"/>
        <w:rPr>
          <w:sz w:val="26"/>
          <w:szCs w:val="26"/>
        </w:rPr>
      </w:pPr>
      <w:r w:rsidRPr="00657E4F">
        <w:rPr>
          <w:sz w:val="26"/>
          <w:szCs w:val="26"/>
        </w:rPr>
        <w:t>David Oster</w:t>
      </w:r>
      <w:r w:rsidRPr="00657E4F">
        <w:rPr>
          <w:sz w:val="26"/>
          <w:szCs w:val="26"/>
        </w:rPr>
        <w:tab/>
        <w:t>C-2018-3002475</w:t>
      </w:r>
    </w:p>
    <w:p w14:paraId="012723B6" w14:textId="77777777" w:rsidR="00657E4F" w:rsidRPr="00657E4F" w:rsidRDefault="00657E4F" w:rsidP="00FD1A00">
      <w:pPr>
        <w:tabs>
          <w:tab w:val="left" w:pos="6480"/>
        </w:tabs>
        <w:spacing w:line="240" w:lineRule="auto"/>
        <w:ind w:left="1440"/>
        <w:contextualSpacing/>
        <w:jc w:val="both"/>
        <w:rPr>
          <w:sz w:val="26"/>
          <w:szCs w:val="26"/>
        </w:rPr>
      </w:pPr>
      <w:r w:rsidRPr="00657E4F">
        <w:rPr>
          <w:sz w:val="26"/>
          <w:szCs w:val="26"/>
        </w:rPr>
        <w:t>Toni Gorenc</w:t>
      </w:r>
      <w:r w:rsidRPr="00657E4F">
        <w:rPr>
          <w:sz w:val="26"/>
          <w:szCs w:val="26"/>
        </w:rPr>
        <w:tab/>
        <w:t>C-2018-3002481</w:t>
      </w:r>
    </w:p>
    <w:p w14:paraId="5591B7A3" w14:textId="77777777" w:rsidR="00657E4F" w:rsidRPr="00657E4F" w:rsidRDefault="00657E4F" w:rsidP="00FD1A00">
      <w:pPr>
        <w:tabs>
          <w:tab w:val="left" w:pos="6480"/>
        </w:tabs>
        <w:spacing w:line="240" w:lineRule="auto"/>
        <w:ind w:left="1440"/>
        <w:contextualSpacing/>
        <w:jc w:val="both"/>
        <w:rPr>
          <w:sz w:val="26"/>
          <w:szCs w:val="26"/>
        </w:rPr>
      </w:pPr>
      <w:r w:rsidRPr="00657E4F">
        <w:rPr>
          <w:sz w:val="26"/>
          <w:szCs w:val="26"/>
        </w:rPr>
        <w:t>David Brodland</w:t>
      </w:r>
      <w:r w:rsidRPr="00657E4F">
        <w:rPr>
          <w:sz w:val="26"/>
          <w:szCs w:val="26"/>
        </w:rPr>
        <w:tab/>
        <w:t>C-2018-3002487</w:t>
      </w:r>
    </w:p>
    <w:p w14:paraId="523EBCBC" w14:textId="77777777" w:rsidR="00657E4F" w:rsidRPr="00657E4F" w:rsidRDefault="00657E4F" w:rsidP="00FD1A00">
      <w:pPr>
        <w:tabs>
          <w:tab w:val="left" w:pos="6480"/>
        </w:tabs>
        <w:spacing w:line="240" w:lineRule="auto"/>
        <w:ind w:left="1440"/>
        <w:contextualSpacing/>
        <w:jc w:val="both"/>
        <w:rPr>
          <w:sz w:val="26"/>
          <w:szCs w:val="26"/>
        </w:rPr>
      </w:pPr>
      <w:r w:rsidRPr="00657E4F">
        <w:rPr>
          <w:sz w:val="26"/>
          <w:szCs w:val="26"/>
        </w:rPr>
        <w:t>Jerome and Barbara Cypher</w:t>
      </w:r>
      <w:r w:rsidRPr="00657E4F">
        <w:rPr>
          <w:sz w:val="26"/>
          <w:szCs w:val="26"/>
        </w:rPr>
        <w:tab/>
        <w:t>C-2018-3002683</w:t>
      </w:r>
    </w:p>
    <w:p w14:paraId="4BDB5967" w14:textId="77777777" w:rsidR="00657E4F" w:rsidRPr="00657E4F" w:rsidRDefault="00657E4F" w:rsidP="00FD1A00">
      <w:pPr>
        <w:tabs>
          <w:tab w:val="left" w:pos="6480"/>
        </w:tabs>
        <w:spacing w:line="240" w:lineRule="auto"/>
        <w:ind w:left="1440"/>
        <w:contextualSpacing/>
        <w:jc w:val="both"/>
        <w:rPr>
          <w:sz w:val="26"/>
          <w:szCs w:val="26"/>
        </w:rPr>
      </w:pPr>
      <w:r w:rsidRPr="00657E4F">
        <w:rPr>
          <w:sz w:val="26"/>
          <w:szCs w:val="26"/>
        </w:rPr>
        <w:t>Jon and Nina Lewis</w:t>
      </w:r>
      <w:r w:rsidRPr="00657E4F">
        <w:rPr>
          <w:sz w:val="26"/>
          <w:szCs w:val="26"/>
        </w:rPr>
        <w:tab/>
        <w:t>C-2018-3002698</w:t>
      </w:r>
    </w:p>
    <w:p w14:paraId="3901ADD8" w14:textId="77777777" w:rsidR="00657E4F" w:rsidRPr="00657E4F" w:rsidRDefault="00657E4F" w:rsidP="00FD1A00">
      <w:pPr>
        <w:contextualSpacing/>
        <w:rPr>
          <w:sz w:val="26"/>
          <w:szCs w:val="26"/>
        </w:rPr>
      </w:pPr>
    </w:p>
    <w:p w14:paraId="107700C0" w14:textId="69F97FDC" w:rsidR="00657E4F" w:rsidRPr="00657E4F" w:rsidRDefault="00657E4F" w:rsidP="00FD1A00">
      <w:pPr>
        <w:ind w:firstLine="1440"/>
        <w:contextualSpacing/>
        <w:rPr>
          <w:sz w:val="26"/>
          <w:szCs w:val="26"/>
        </w:rPr>
      </w:pPr>
      <w:r w:rsidRPr="00657E4F">
        <w:rPr>
          <w:sz w:val="26"/>
          <w:szCs w:val="26"/>
        </w:rPr>
        <w:t>1</w:t>
      </w:r>
      <w:r w:rsidR="00A51333">
        <w:rPr>
          <w:sz w:val="26"/>
          <w:szCs w:val="26"/>
        </w:rPr>
        <w:t>5</w:t>
      </w:r>
      <w:r w:rsidRPr="00657E4F">
        <w:rPr>
          <w:sz w:val="26"/>
          <w:szCs w:val="26"/>
        </w:rPr>
        <w:t xml:space="preserve">. </w:t>
      </w:r>
      <w:r w:rsidRPr="00657E4F">
        <w:rPr>
          <w:sz w:val="26"/>
          <w:szCs w:val="26"/>
        </w:rPr>
        <w:tab/>
      </w:r>
      <w:bookmarkStart w:id="32" w:name="_Hlk3968012"/>
      <w:r w:rsidRPr="00657E4F">
        <w:rPr>
          <w:sz w:val="26"/>
          <w:szCs w:val="26"/>
        </w:rPr>
        <w:t xml:space="preserve">That, upon Commission approval of the tariff or tariff supplement filed by Hidden Valley Utility Services, L.P. </w:t>
      </w:r>
      <w:r w:rsidR="006D7034">
        <w:rPr>
          <w:sz w:val="26"/>
          <w:szCs w:val="26"/>
        </w:rPr>
        <w:t>–</w:t>
      </w:r>
      <w:r w:rsidRPr="00657E4F">
        <w:rPr>
          <w:sz w:val="26"/>
          <w:szCs w:val="26"/>
        </w:rPr>
        <w:t xml:space="preserve"> Water in compliance with this Opinion and Order, the investigation at Docket No. R-2018-3001306 shall be marked closed. </w:t>
      </w:r>
      <w:bookmarkEnd w:id="32"/>
    </w:p>
    <w:p w14:paraId="406491F4" w14:textId="77777777" w:rsidR="00657E4F" w:rsidRPr="00657E4F" w:rsidRDefault="00657E4F" w:rsidP="00FD1A00">
      <w:pPr>
        <w:contextualSpacing/>
        <w:rPr>
          <w:sz w:val="26"/>
          <w:szCs w:val="26"/>
        </w:rPr>
      </w:pPr>
    </w:p>
    <w:p w14:paraId="6D400D10" w14:textId="752878B6" w:rsidR="00657E4F" w:rsidRPr="00657E4F" w:rsidRDefault="00657E4F" w:rsidP="00FD1A00">
      <w:pPr>
        <w:keepNext/>
        <w:keepLines/>
        <w:ind w:firstLine="1440"/>
        <w:contextualSpacing/>
        <w:rPr>
          <w:sz w:val="26"/>
          <w:szCs w:val="26"/>
        </w:rPr>
      </w:pPr>
      <w:r w:rsidRPr="00657E4F">
        <w:rPr>
          <w:sz w:val="26"/>
          <w:szCs w:val="26"/>
        </w:rPr>
        <w:t>1</w:t>
      </w:r>
      <w:r w:rsidR="00A51333">
        <w:rPr>
          <w:sz w:val="26"/>
          <w:szCs w:val="26"/>
        </w:rPr>
        <w:t>6</w:t>
      </w:r>
      <w:r w:rsidRPr="00657E4F">
        <w:rPr>
          <w:sz w:val="26"/>
          <w:szCs w:val="26"/>
        </w:rPr>
        <w:t xml:space="preserve">. </w:t>
      </w:r>
      <w:r w:rsidRPr="00657E4F">
        <w:rPr>
          <w:sz w:val="26"/>
          <w:szCs w:val="26"/>
        </w:rPr>
        <w:tab/>
        <w:t xml:space="preserve">That, upon Commission approval of the tariff or tariff supplement filed by Hidden Valley Utility Services, L.P. </w:t>
      </w:r>
      <w:r w:rsidR="006D7034">
        <w:rPr>
          <w:sz w:val="26"/>
          <w:szCs w:val="26"/>
        </w:rPr>
        <w:t>–</w:t>
      </w:r>
      <w:r w:rsidRPr="00657E4F">
        <w:rPr>
          <w:sz w:val="26"/>
          <w:szCs w:val="26"/>
        </w:rPr>
        <w:t xml:space="preserve"> Wastewater in compliance with this Opinion and Order, the investigation at Docket No. R-2018-3001307 shall be marked closed.</w:t>
      </w:r>
    </w:p>
    <w:p w14:paraId="695FF247" w14:textId="0FB7382A" w:rsidR="000B2126" w:rsidRPr="00787A9E" w:rsidRDefault="000B2126" w:rsidP="00FD1A00">
      <w:pPr>
        <w:keepNext/>
        <w:keepLines/>
        <w:spacing w:after="200"/>
        <w:ind w:firstLine="1440"/>
        <w:contextualSpacing/>
        <w:rPr>
          <w:rFonts w:eastAsiaTheme="minorHAnsi"/>
          <w:sz w:val="26"/>
          <w:szCs w:val="26"/>
        </w:rPr>
      </w:pPr>
    </w:p>
    <w:p w14:paraId="20DE7B6A" w14:textId="02F24C79" w:rsidR="000B2126" w:rsidRPr="00787A9E" w:rsidRDefault="00EA5A2C" w:rsidP="00FD1A00">
      <w:pPr>
        <w:keepNext/>
        <w:keepLines/>
        <w:tabs>
          <w:tab w:val="left" w:pos="-720"/>
        </w:tabs>
        <w:suppressAutoHyphens/>
        <w:spacing w:line="240" w:lineRule="auto"/>
        <w:contextualSpacing/>
        <w:rPr>
          <w:sz w:val="26"/>
          <w:szCs w:val="26"/>
        </w:rPr>
      </w:pPr>
      <w:r>
        <w:rPr>
          <w:noProof/>
        </w:rPr>
        <w:drawing>
          <wp:anchor distT="0" distB="0" distL="114300" distR="114300" simplePos="0" relativeHeight="251659264" behindDoc="1" locked="0" layoutInCell="1" allowOverlap="1" wp14:anchorId="5F4E69B9" wp14:editId="2C8D02B7">
            <wp:simplePos x="0" y="0"/>
            <wp:positionH relativeFrom="column">
              <wp:posOffset>3238500</wp:posOffset>
            </wp:positionH>
            <wp:positionV relativeFrom="paragraph">
              <wp:posOffset>153035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B2126" w:rsidRPr="00787A9E">
        <w:rPr>
          <w:sz w:val="26"/>
          <w:szCs w:val="26"/>
        </w:rPr>
        <w:tab/>
      </w:r>
      <w:r w:rsidR="000B2126" w:rsidRPr="00787A9E">
        <w:rPr>
          <w:sz w:val="26"/>
          <w:szCs w:val="26"/>
        </w:rPr>
        <w:tab/>
      </w:r>
      <w:r w:rsidR="000B2126" w:rsidRPr="00787A9E">
        <w:rPr>
          <w:sz w:val="26"/>
          <w:szCs w:val="26"/>
        </w:rPr>
        <w:tab/>
      </w:r>
      <w:r w:rsidR="000B2126" w:rsidRPr="00787A9E">
        <w:rPr>
          <w:sz w:val="26"/>
          <w:szCs w:val="26"/>
        </w:rPr>
        <w:tab/>
      </w:r>
      <w:r w:rsidR="000B2126" w:rsidRPr="00787A9E">
        <w:rPr>
          <w:sz w:val="26"/>
          <w:szCs w:val="26"/>
        </w:rPr>
        <w:tab/>
      </w:r>
      <w:r w:rsidR="000B2126" w:rsidRPr="00787A9E">
        <w:rPr>
          <w:sz w:val="26"/>
          <w:szCs w:val="26"/>
        </w:rPr>
        <w:tab/>
      </w:r>
      <w:r w:rsidR="000B2126" w:rsidRPr="00787A9E">
        <w:rPr>
          <w:sz w:val="26"/>
          <w:szCs w:val="26"/>
        </w:rPr>
        <w:tab/>
      </w:r>
      <w:r w:rsidR="000B2126" w:rsidRPr="00787A9E">
        <w:rPr>
          <w:b/>
          <w:sz w:val="26"/>
          <w:szCs w:val="26"/>
        </w:rPr>
        <w:t>BY THE COMMISSION,</w:t>
      </w:r>
    </w:p>
    <w:p w14:paraId="12316162" w14:textId="45D7691C" w:rsidR="000B2126" w:rsidRPr="00787A9E" w:rsidRDefault="000B2126" w:rsidP="00FD1A00">
      <w:pPr>
        <w:keepNext/>
        <w:keepLines/>
        <w:tabs>
          <w:tab w:val="left" w:pos="-720"/>
        </w:tabs>
        <w:suppressAutoHyphens/>
        <w:spacing w:line="240" w:lineRule="auto"/>
        <w:contextualSpacing/>
        <w:rPr>
          <w:sz w:val="26"/>
          <w:szCs w:val="26"/>
        </w:rPr>
      </w:pPr>
    </w:p>
    <w:p w14:paraId="0B71B835" w14:textId="77777777" w:rsidR="000B2126" w:rsidRPr="00787A9E" w:rsidRDefault="000B2126" w:rsidP="00FD1A00">
      <w:pPr>
        <w:keepNext/>
        <w:keepLines/>
        <w:tabs>
          <w:tab w:val="left" w:pos="-720"/>
        </w:tabs>
        <w:suppressAutoHyphens/>
        <w:spacing w:line="240" w:lineRule="auto"/>
        <w:contextualSpacing/>
        <w:rPr>
          <w:sz w:val="26"/>
          <w:szCs w:val="26"/>
        </w:rPr>
      </w:pPr>
    </w:p>
    <w:p w14:paraId="24B4874C" w14:textId="77777777" w:rsidR="000B2126" w:rsidRPr="00787A9E" w:rsidRDefault="000B2126" w:rsidP="00FD1A00">
      <w:pPr>
        <w:keepNext/>
        <w:keepLines/>
        <w:tabs>
          <w:tab w:val="left" w:pos="-720"/>
        </w:tabs>
        <w:suppressAutoHyphens/>
        <w:spacing w:line="240" w:lineRule="auto"/>
        <w:contextualSpacing/>
        <w:rPr>
          <w:sz w:val="26"/>
          <w:szCs w:val="26"/>
        </w:rPr>
      </w:pPr>
    </w:p>
    <w:p w14:paraId="3CB7315F" w14:textId="77777777" w:rsidR="000B2126" w:rsidRPr="00787A9E" w:rsidRDefault="000B2126" w:rsidP="00FD1A00">
      <w:pPr>
        <w:keepNext/>
        <w:keepLines/>
        <w:tabs>
          <w:tab w:val="left" w:pos="-720"/>
        </w:tabs>
        <w:suppressAutoHyphens/>
        <w:spacing w:line="240" w:lineRule="auto"/>
        <w:contextualSpacing/>
        <w:rPr>
          <w:sz w:val="26"/>
          <w:szCs w:val="26"/>
        </w:rPr>
      </w:pPr>
    </w:p>
    <w:p w14:paraId="5AEDDD48" w14:textId="77777777" w:rsidR="000B2126" w:rsidRPr="00787A9E" w:rsidRDefault="000B2126" w:rsidP="00FD1A00">
      <w:pPr>
        <w:keepNext/>
        <w:keepLines/>
        <w:tabs>
          <w:tab w:val="left" w:pos="-720"/>
        </w:tabs>
        <w:suppressAutoHyphens/>
        <w:spacing w:line="240" w:lineRule="auto"/>
        <w:contextualSpacing/>
        <w:rPr>
          <w:sz w:val="26"/>
          <w:szCs w:val="26"/>
        </w:rPr>
      </w:pPr>
      <w:r w:rsidRPr="00787A9E">
        <w:rPr>
          <w:sz w:val="26"/>
          <w:szCs w:val="26"/>
        </w:rPr>
        <w:tab/>
      </w:r>
      <w:r w:rsidRPr="00787A9E">
        <w:rPr>
          <w:sz w:val="26"/>
          <w:szCs w:val="26"/>
        </w:rPr>
        <w:tab/>
      </w:r>
      <w:r w:rsidRPr="00787A9E">
        <w:rPr>
          <w:sz w:val="26"/>
          <w:szCs w:val="26"/>
        </w:rPr>
        <w:tab/>
      </w:r>
      <w:r w:rsidRPr="00787A9E">
        <w:rPr>
          <w:sz w:val="26"/>
          <w:szCs w:val="26"/>
        </w:rPr>
        <w:tab/>
      </w:r>
      <w:r w:rsidRPr="00787A9E">
        <w:rPr>
          <w:sz w:val="26"/>
          <w:szCs w:val="26"/>
        </w:rPr>
        <w:tab/>
      </w:r>
      <w:r w:rsidRPr="00787A9E">
        <w:rPr>
          <w:sz w:val="26"/>
          <w:szCs w:val="26"/>
        </w:rPr>
        <w:tab/>
      </w:r>
      <w:r w:rsidRPr="00787A9E">
        <w:rPr>
          <w:sz w:val="26"/>
          <w:szCs w:val="26"/>
        </w:rPr>
        <w:tab/>
        <w:t>Rosemary Chiavetta</w:t>
      </w:r>
    </w:p>
    <w:p w14:paraId="724EEFD7" w14:textId="77777777" w:rsidR="000B2126" w:rsidRPr="00787A9E" w:rsidRDefault="000B2126" w:rsidP="00FD1A00">
      <w:pPr>
        <w:keepNext/>
        <w:keepLines/>
        <w:tabs>
          <w:tab w:val="left" w:pos="-720"/>
        </w:tabs>
        <w:suppressAutoHyphens/>
        <w:spacing w:line="240" w:lineRule="auto"/>
        <w:contextualSpacing/>
        <w:rPr>
          <w:sz w:val="26"/>
          <w:szCs w:val="26"/>
        </w:rPr>
      </w:pPr>
      <w:r w:rsidRPr="00787A9E">
        <w:rPr>
          <w:sz w:val="26"/>
          <w:szCs w:val="26"/>
        </w:rPr>
        <w:tab/>
      </w:r>
      <w:r w:rsidRPr="00787A9E">
        <w:rPr>
          <w:sz w:val="26"/>
          <w:szCs w:val="26"/>
        </w:rPr>
        <w:tab/>
      </w:r>
      <w:r w:rsidRPr="00787A9E">
        <w:rPr>
          <w:sz w:val="26"/>
          <w:szCs w:val="26"/>
        </w:rPr>
        <w:tab/>
      </w:r>
      <w:r w:rsidRPr="00787A9E">
        <w:rPr>
          <w:sz w:val="26"/>
          <w:szCs w:val="26"/>
        </w:rPr>
        <w:tab/>
      </w:r>
      <w:r w:rsidRPr="00787A9E">
        <w:rPr>
          <w:sz w:val="26"/>
          <w:szCs w:val="26"/>
        </w:rPr>
        <w:tab/>
      </w:r>
      <w:r w:rsidRPr="00787A9E">
        <w:rPr>
          <w:sz w:val="26"/>
          <w:szCs w:val="26"/>
        </w:rPr>
        <w:tab/>
      </w:r>
      <w:r w:rsidRPr="00787A9E">
        <w:rPr>
          <w:sz w:val="26"/>
          <w:szCs w:val="26"/>
        </w:rPr>
        <w:tab/>
        <w:t>Secretary</w:t>
      </w:r>
    </w:p>
    <w:p w14:paraId="5953FF65" w14:textId="77777777" w:rsidR="000B2126" w:rsidRPr="00787A9E" w:rsidRDefault="000B2126" w:rsidP="00FD1A00">
      <w:pPr>
        <w:keepNext/>
        <w:keepLines/>
        <w:tabs>
          <w:tab w:val="left" w:pos="-720"/>
        </w:tabs>
        <w:suppressAutoHyphens/>
        <w:spacing w:line="240" w:lineRule="auto"/>
        <w:contextualSpacing/>
        <w:rPr>
          <w:sz w:val="26"/>
          <w:szCs w:val="26"/>
        </w:rPr>
      </w:pPr>
    </w:p>
    <w:p w14:paraId="06799BF0" w14:textId="77777777" w:rsidR="000B2126" w:rsidRPr="00787A9E" w:rsidRDefault="000B2126" w:rsidP="00FD1A00">
      <w:pPr>
        <w:keepNext/>
        <w:keepLines/>
        <w:tabs>
          <w:tab w:val="left" w:pos="-720"/>
        </w:tabs>
        <w:suppressAutoHyphens/>
        <w:spacing w:line="240" w:lineRule="auto"/>
        <w:contextualSpacing/>
        <w:rPr>
          <w:sz w:val="26"/>
          <w:szCs w:val="26"/>
        </w:rPr>
      </w:pPr>
      <w:r w:rsidRPr="00787A9E">
        <w:rPr>
          <w:sz w:val="26"/>
          <w:szCs w:val="26"/>
        </w:rPr>
        <w:t>(SEAL)</w:t>
      </w:r>
    </w:p>
    <w:p w14:paraId="025FFC4A" w14:textId="77777777" w:rsidR="000B2126" w:rsidRPr="00787A9E" w:rsidRDefault="000B2126" w:rsidP="00FD1A00">
      <w:pPr>
        <w:keepNext/>
        <w:keepLines/>
        <w:tabs>
          <w:tab w:val="left" w:pos="-720"/>
        </w:tabs>
        <w:suppressAutoHyphens/>
        <w:spacing w:line="240" w:lineRule="auto"/>
        <w:contextualSpacing/>
        <w:rPr>
          <w:sz w:val="26"/>
          <w:szCs w:val="26"/>
        </w:rPr>
      </w:pPr>
    </w:p>
    <w:p w14:paraId="375E5BE7" w14:textId="679F96DC" w:rsidR="000B2126" w:rsidRPr="00787A9E" w:rsidRDefault="000B2126" w:rsidP="00FD1A00">
      <w:pPr>
        <w:keepNext/>
        <w:keepLines/>
        <w:tabs>
          <w:tab w:val="left" w:pos="-720"/>
        </w:tabs>
        <w:suppressAutoHyphens/>
        <w:spacing w:line="240" w:lineRule="auto"/>
        <w:contextualSpacing/>
        <w:rPr>
          <w:sz w:val="26"/>
          <w:szCs w:val="26"/>
        </w:rPr>
      </w:pPr>
      <w:r w:rsidRPr="00787A9E">
        <w:rPr>
          <w:sz w:val="26"/>
          <w:szCs w:val="26"/>
        </w:rPr>
        <w:t>ORDER ADOPTED:  March 14, 2019</w:t>
      </w:r>
    </w:p>
    <w:p w14:paraId="39F88F87" w14:textId="77777777" w:rsidR="000B2126" w:rsidRPr="00787A9E" w:rsidRDefault="000B2126" w:rsidP="00FD1A00">
      <w:pPr>
        <w:keepNext/>
        <w:keepLines/>
        <w:tabs>
          <w:tab w:val="left" w:pos="-720"/>
        </w:tabs>
        <w:suppressAutoHyphens/>
        <w:spacing w:line="240" w:lineRule="auto"/>
        <w:contextualSpacing/>
        <w:rPr>
          <w:sz w:val="26"/>
          <w:szCs w:val="26"/>
        </w:rPr>
      </w:pPr>
    </w:p>
    <w:p w14:paraId="0FA6FA06" w14:textId="7D788FCE" w:rsidR="000B2126" w:rsidRPr="00787A9E" w:rsidRDefault="000B2126" w:rsidP="00FD1A00">
      <w:pPr>
        <w:keepNext/>
        <w:keepLines/>
        <w:tabs>
          <w:tab w:val="left" w:pos="-720"/>
        </w:tabs>
        <w:suppressAutoHyphens/>
        <w:spacing w:line="240" w:lineRule="auto"/>
        <w:contextualSpacing/>
        <w:rPr>
          <w:sz w:val="26"/>
          <w:szCs w:val="26"/>
        </w:rPr>
      </w:pPr>
      <w:r w:rsidRPr="00787A9E">
        <w:rPr>
          <w:sz w:val="26"/>
          <w:szCs w:val="26"/>
        </w:rPr>
        <w:t xml:space="preserve">ORDER ENTERED:  </w:t>
      </w:r>
      <w:r w:rsidR="00EA5A2C">
        <w:rPr>
          <w:sz w:val="26"/>
          <w:szCs w:val="26"/>
        </w:rPr>
        <w:t>March 29, 2019</w:t>
      </w:r>
    </w:p>
    <w:p w14:paraId="0D398263" w14:textId="77777777" w:rsidR="00364C45" w:rsidRPr="00787A9E" w:rsidRDefault="00364C45" w:rsidP="00FD1A00">
      <w:pPr>
        <w:keepNext/>
        <w:keepLines/>
        <w:tabs>
          <w:tab w:val="left" w:pos="-720"/>
        </w:tabs>
        <w:suppressAutoHyphens/>
        <w:spacing w:line="240" w:lineRule="auto"/>
        <w:contextualSpacing/>
        <w:rPr>
          <w:b/>
          <w:sz w:val="26"/>
          <w:szCs w:val="26"/>
        </w:rPr>
      </w:pPr>
    </w:p>
    <w:p w14:paraId="1C145164" w14:textId="77777777" w:rsidR="00364C45" w:rsidRPr="00787A9E" w:rsidRDefault="00364C45" w:rsidP="00FD1A00">
      <w:pPr>
        <w:ind w:firstLine="1440"/>
        <w:contextualSpacing/>
        <w:rPr>
          <w:sz w:val="26"/>
          <w:szCs w:val="26"/>
        </w:rPr>
        <w:sectPr w:rsidR="00364C45" w:rsidRPr="00787A9E" w:rsidSect="00EE199C">
          <w:footerReference w:type="default" r:id="rId10"/>
          <w:footerReference w:type="first" r:id="rId11"/>
          <w:pgSz w:w="12240" w:h="15840"/>
          <w:pgMar w:top="1440" w:right="1440" w:bottom="1440" w:left="1440" w:header="720" w:footer="720" w:gutter="0"/>
          <w:pgNumType w:start="2"/>
          <w:cols w:space="720"/>
          <w:docGrid w:linePitch="360"/>
        </w:sectPr>
      </w:pPr>
    </w:p>
    <w:p w14:paraId="27FC2B97" w14:textId="77777777" w:rsidR="009F7CF4" w:rsidRPr="009F7CF4" w:rsidRDefault="009F7CF4" w:rsidP="00FD1A00">
      <w:pPr>
        <w:spacing w:after="200" w:line="240" w:lineRule="auto"/>
        <w:contextualSpacing/>
        <w:jc w:val="center"/>
        <w:rPr>
          <w:rFonts w:eastAsiaTheme="minorHAnsi"/>
          <w:b/>
          <w:sz w:val="32"/>
          <w:szCs w:val="32"/>
        </w:rPr>
      </w:pPr>
      <w:r w:rsidRPr="009F7CF4">
        <w:rPr>
          <w:rFonts w:eastAsiaTheme="minorHAnsi"/>
          <w:b/>
          <w:sz w:val="32"/>
          <w:szCs w:val="32"/>
        </w:rPr>
        <w:lastRenderedPageBreak/>
        <w:t>APPENDIX A</w:t>
      </w:r>
    </w:p>
    <w:p w14:paraId="1020FFEC" w14:textId="77777777" w:rsidR="009F7CF4" w:rsidRPr="009F7CF4" w:rsidRDefault="009F7CF4" w:rsidP="00FD1A00">
      <w:pPr>
        <w:spacing w:after="200" w:line="240" w:lineRule="auto"/>
        <w:contextualSpacing/>
        <w:jc w:val="center"/>
        <w:rPr>
          <w:rFonts w:eastAsiaTheme="minorHAnsi"/>
          <w:b/>
          <w:sz w:val="26"/>
          <w:szCs w:val="26"/>
        </w:rPr>
      </w:pPr>
    </w:p>
    <w:p w14:paraId="5D06BFD3" w14:textId="77777777" w:rsidR="009F7CF4" w:rsidRPr="009F7CF4" w:rsidRDefault="009F7CF4" w:rsidP="00FD1A00">
      <w:pPr>
        <w:spacing w:after="200" w:line="276" w:lineRule="auto"/>
        <w:contextualSpacing/>
        <w:jc w:val="center"/>
        <w:rPr>
          <w:rFonts w:eastAsiaTheme="minorHAnsi"/>
          <w:sz w:val="26"/>
          <w:szCs w:val="26"/>
        </w:rPr>
      </w:pPr>
    </w:p>
    <w:p w14:paraId="66F9D93E" w14:textId="77777777" w:rsidR="009F7CF4" w:rsidRPr="009F7CF4" w:rsidRDefault="009F7CF4" w:rsidP="00FD1A00">
      <w:pPr>
        <w:keepNext/>
        <w:keepLines/>
        <w:spacing w:after="200" w:line="276" w:lineRule="auto"/>
        <w:contextualSpacing/>
        <w:jc w:val="center"/>
        <w:rPr>
          <w:rFonts w:eastAsiaTheme="minorHAnsi"/>
          <w:b/>
          <w:sz w:val="26"/>
          <w:szCs w:val="26"/>
        </w:rPr>
      </w:pPr>
      <w:r w:rsidRPr="009F7CF4">
        <w:rPr>
          <w:rFonts w:eastAsiaTheme="minorHAnsi"/>
          <w:b/>
          <w:sz w:val="26"/>
          <w:szCs w:val="26"/>
        </w:rPr>
        <w:t>Pennsylvania Public Utility Commission</w:t>
      </w:r>
    </w:p>
    <w:p w14:paraId="1A100654" w14:textId="77777777" w:rsidR="009F7CF4" w:rsidRPr="009F7CF4" w:rsidRDefault="009F7CF4" w:rsidP="00FD1A00">
      <w:pPr>
        <w:keepNext/>
        <w:keepLines/>
        <w:spacing w:after="200" w:line="276" w:lineRule="auto"/>
        <w:contextualSpacing/>
        <w:jc w:val="center"/>
        <w:rPr>
          <w:rFonts w:eastAsiaTheme="minorHAnsi"/>
          <w:b/>
          <w:sz w:val="26"/>
          <w:szCs w:val="26"/>
        </w:rPr>
      </w:pPr>
    </w:p>
    <w:p w14:paraId="73CF8015" w14:textId="77777777" w:rsidR="009F7CF4" w:rsidRPr="009F7CF4" w:rsidRDefault="009F7CF4" w:rsidP="00FD1A00">
      <w:pPr>
        <w:keepNext/>
        <w:keepLines/>
        <w:spacing w:after="200" w:line="276" w:lineRule="auto"/>
        <w:contextualSpacing/>
        <w:jc w:val="center"/>
        <w:rPr>
          <w:rFonts w:eastAsiaTheme="minorHAnsi"/>
          <w:b/>
          <w:sz w:val="26"/>
          <w:szCs w:val="26"/>
        </w:rPr>
      </w:pPr>
      <w:r w:rsidRPr="009F7CF4">
        <w:rPr>
          <w:rFonts w:eastAsiaTheme="minorHAnsi"/>
          <w:b/>
          <w:sz w:val="26"/>
          <w:szCs w:val="26"/>
        </w:rPr>
        <w:t>v.</w:t>
      </w:r>
    </w:p>
    <w:p w14:paraId="7A718EFA" w14:textId="77777777" w:rsidR="009F7CF4" w:rsidRPr="009F7CF4" w:rsidRDefault="009F7CF4" w:rsidP="00FD1A00">
      <w:pPr>
        <w:keepNext/>
        <w:keepLines/>
        <w:spacing w:after="200" w:line="276" w:lineRule="auto"/>
        <w:contextualSpacing/>
        <w:jc w:val="center"/>
        <w:rPr>
          <w:rFonts w:eastAsiaTheme="minorHAnsi"/>
          <w:b/>
          <w:sz w:val="26"/>
          <w:szCs w:val="26"/>
        </w:rPr>
      </w:pPr>
    </w:p>
    <w:p w14:paraId="7186F5A4" w14:textId="77777777" w:rsidR="009F7CF4" w:rsidRPr="009F7CF4" w:rsidRDefault="009F7CF4" w:rsidP="00FD1A00">
      <w:pPr>
        <w:keepNext/>
        <w:keepLines/>
        <w:spacing w:after="200" w:line="276" w:lineRule="auto"/>
        <w:contextualSpacing/>
        <w:jc w:val="center"/>
        <w:rPr>
          <w:rFonts w:eastAsiaTheme="minorHAnsi"/>
          <w:b/>
          <w:sz w:val="26"/>
          <w:szCs w:val="26"/>
        </w:rPr>
      </w:pPr>
      <w:r w:rsidRPr="009F7CF4">
        <w:rPr>
          <w:rFonts w:eastAsiaTheme="minorHAnsi"/>
          <w:b/>
          <w:sz w:val="26"/>
          <w:szCs w:val="26"/>
        </w:rPr>
        <w:t xml:space="preserve">Hidden Valley Utility Services, L.P. </w:t>
      </w:r>
      <w:r w:rsidRPr="009F7CF4">
        <w:rPr>
          <w:rFonts w:eastAsiaTheme="minorHAnsi"/>
          <w:b/>
          <w:sz w:val="26"/>
          <w:szCs w:val="26"/>
        </w:rPr>
        <w:noBreakHyphen/>
        <w:t xml:space="preserve"> Water</w:t>
      </w:r>
    </w:p>
    <w:p w14:paraId="618A9946" w14:textId="77777777" w:rsidR="009F7CF4" w:rsidRPr="009F7CF4" w:rsidRDefault="009F7CF4" w:rsidP="00FD1A00">
      <w:pPr>
        <w:keepNext/>
        <w:keepLines/>
        <w:spacing w:after="200" w:line="276" w:lineRule="auto"/>
        <w:contextualSpacing/>
        <w:jc w:val="center"/>
        <w:rPr>
          <w:rFonts w:eastAsiaTheme="minorHAnsi"/>
          <w:b/>
          <w:sz w:val="26"/>
          <w:szCs w:val="26"/>
        </w:rPr>
      </w:pPr>
      <w:r w:rsidRPr="009F7CF4">
        <w:rPr>
          <w:rFonts w:eastAsiaTheme="minorHAnsi"/>
          <w:b/>
          <w:sz w:val="26"/>
          <w:szCs w:val="26"/>
        </w:rPr>
        <w:t>Docket No. R-2018-3001306</w:t>
      </w:r>
    </w:p>
    <w:p w14:paraId="1D2706A5" w14:textId="77777777" w:rsidR="009F7CF4" w:rsidRPr="009F7CF4" w:rsidRDefault="009F7CF4" w:rsidP="00FD1A00">
      <w:pPr>
        <w:keepNext/>
        <w:keepLines/>
        <w:spacing w:after="200" w:line="240" w:lineRule="auto"/>
        <w:contextualSpacing/>
        <w:jc w:val="center"/>
        <w:rPr>
          <w:rFonts w:eastAsiaTheme="minorHAnsi"/>
          <w:b/>
          <w:sz w:val="26"/>
          <w:szCs w:val="26"/>
        </w:rPr>
      </w:pPr>
    </w:p>
    <w:p w14:paraId="7D36B736" w14:textId="77777777" w:rsidR="009F7CF4" w:rsidRPr="009F7CF4" w:rsidRDefault="009F7CF4" w:rsidP="00FD1A00">
      <w:pPr>
        <w:keepNext/>
        <w:keepLines/>
        <w:spacing w:after="200" w:line="240" w:lineRule="auto"/>
        <w:contextualSpacing/>
        <w:jc w:val="center"/>
        <w:rPr>
          <w:rFonts w:eastAsiaTheme="minorHAnsi"/>
          <w:b/>
          <w:sz w:val="26"/>
          <w:szCs w:val="26"/>
        </w:rPr>
      </w:pPr>
    </w:p>
    <w:p w14:paraId="371F9990" w14:textId="77777777" w:rsidR="009F7CF4" w:rsidRPr="009F7CF4" w:rsidRDefault="009F7CF4" w:rsidP="00FD1A00">
      <w:pPr>
        <w:spacing w:after="200" w:line="240" w:lineRule="auto"/>
        <w:contextualSpacing/>
        <w:jc w:val="center"/>
        <w:rPr>
          <w:rFonts w:eastAsiaTheme="minorHAnsi"/>
          <w:b/>
          <w:sz w:val="26"/>
          <w:szCs w:val="26"/>
        </w:rPr>
      </w:pPr>
    </w:p>
    <w:p w14:paraId="52530865" w14:textId="77777777" w:rsidR="009F7CF4" w:rsidRPr="009F7CF4" w:rsidRDefault="009F7CF4" w:rsidP="00FD1A00">
      <w:pPr>
        <w:spacing w:after="200" w:line="240" w:lineRule="auto"/>
        <w:contextualSpacing/>
        <w:jc w:val="center"/>
        <w:rPr>
          <w:rFonts w:eastAsiaTheme="minorHAnsi"/>
          <w:b/>
          <w:sz w:val="26"/>
          <w:szCs w:val="26"/>
        </w:rPr>
      </w:pPr>
    </w:p>
    <w:p w14:paraId="5675F7C9" w14:textId="77777777" w:rsidR="009F7CF4" w:rsidRPr="009F7CF4" w:rsidRDefault="009F7CF4" w:rsidP="00FD1A00">
      <w:pPr>
        <w:keepNext/>
        <w:keepLines/>
        <w:spacing w:after="200" w:line="276" w:lineRule="auto"/>
        <w:contextualSpacing/>
        <w:jc w:val="center"/>
        <w:rPr>
          <w:rFonts w:eastAsiaTheme="minorHAnsi"/>
          <w:b/>
          <w:sz w:val="26"/>
          <w:szCs w:val="26"/>
        </w:rPr>
      </w:pPr>
      <w:r w:rsidRPr="009F7CF4">
        <w:rPr>
          <w:rFonts w:eastAsiaTheme="minorHAnsi"/>
          <w:b/>
          <w:sz w:val="26"/>
          <w:szCs w:val="26"/>
        </w:rPr>
        <w:t>Pennsylvania Public Utility Commission</w:t>
      </w:r>
    </w:p>
    <w:p w14:paraId="06AFC5D8" w14:textId="77777777" w:rsidR="009F7CF4" w:rsidRPr="009F7CF4" w:rsidRDefault="009F7CF4" w:rsidP="00FD1A00">
      <w:pPr>
        <w:keepNext/>
        <w:keepLines/>
        <w:spacing w:after="200" w:line="276" w:lineRule="auto"/>
        <w:contextualSpacing/>
        <w:jc w:val="center"/>
        <w:rPr>
          <w:rFonts w:eastAsiaTheme="minorHAnsi"/>
          <w:b/>
          <w:sz w:val="26"/>
          <w:szCs w:val="26"/>
        </w:rPr>
      </w:pPr>
    </w:p>
    <w:p w14:paraId="2045B18F" w14:textId="77777777" w:rsidR="009F7CF4" w:rsidRPr="009F7CF4" w:rsidRDefault="009F7CF4" w:rsidP="00FD1A00">
      <w:pPr>
        <w:keepNext/>
        <w:keepLines/>
        <w:spacing w:after="200" w:line="276" w:lineRule="auto"/>
        <w:contextualSpacing/>
        <w:jc w:val="center"/>
        <w:rPr>
          <w:rFonts w:eastAsiaTheme="minorHAnsi"/>
          <w:b/>
          <w:sz w:val="26"/>
          <w:szCs w:val="26"/>
        </w:rPr>
      </w:pPr>
      <w:r w:rsidRPr="009F7CF4">
        <w:rPr>
          <w:rFonts w:eastAsiaTheme="minorHAnsi"/>
          <w:b/>
          <w:sz w:val="26"/>
          <w:szCs w:val="26"/>
        </w:rPr>
        <w:t>v.</w:t>
      </w:r>
    </w:p>
    <w:p w14:paraId="2CB9765E" w14:textId="77777777" w:rsidR="009F7CF4" w:rsidRPr="009F7CF4" w:rsidRDefault="009F7CF4" w:rsidP="00FD1A00">
      <w:pPr>
        <w:keepNext/>
        <w:keepLines/>
        <w:spacing w:after="200" w:line="276" w:lineRule="auto"/>
        <w:contextualSpacing/>
        <w:jc w:val="center"/>
        <w:rPr>
          <w:rFonts w:eastAsiaTheme="minorHAnsi"/>
          <w:b/>
          <w:sz w:val="26"/>
          <w:szCs w:val="26"/>
        </w:rPr>
      </w:pPr>
    </w:p>
    <w:p w14:paraId="61FECF8F" w14:textId="77777777" w:rsidR="009F7CF4" w:rsidRPr="009F7CF4" w:rsidRDefault="009F7CF4" w:rsidP="00FD1A00">
      <w:pPr>
        <w:keepNext/>
        <w:keepLines/>
        <w:spacing w:after="200" w:line="276" w:lineRule="auto"/>
        <w:contextualSpacing/>
        <w:jc w:val="center"/>
        <w:rPr>
          <w:rFonts w:eastAsiaTheme="minorHAnsi"/>
          <w:b/>
          <w:sz w:val="26"/>
          <w:szCs w:val="26"/>
        </w:rPr>
      </w:pPr>
      <w:r w:rsidRPr="009F7CF4">
        <w:rPr>
          <w:rFonts w:eastAsiaTheme="minorHAnsi"/>
          <w:b/>
          <w:sz w:val="26"/>
          <w:szCs w:val="26"/>
        </w:rPr>
        <w:t xml:space="preserve">Hidden Valley Utility Services, L.P. </w:t>
      </w:r>
      <w:r w:rsidRPr="009F7CF4">
        <w:rPr>
          <w:rFonts w:eastAsiaTheme="minorHAnsi"/>
          <w:b/>
          <w:sz w:val="26"/>
          <w:szCs w:val="26"/>
        </w:rPr>
        <w:noBreakHyphen/>
        <w:t xml:space="preserve"> Wastewater</w:t>
      </w:r>
    </w:p>
    <w:p w14:paraId="076D91DF" w14:textId="77777777" w:rsidR="009F7CF4" w:rsidRPr="009F7CF4" w:rsidRDefault="009F7CF4" w:rsidP="00FD1A00">
      <w:pPr>
        <w:keepNext/>
        <w:keepLines/>
        <w:spacing w:after="200" w:line="276" w:lineRule="auto"/>
        <w:contextualSpacing/>
        <w:jc w:val="center"/>
        <w:rPr>
          <w:rFonts w:eastAsiaTheme="minorHAnsi"/>
          <w:b/>
          <w:sz w:val="26"/>
          <w:szCs w:val="26"/>
        </w:rPr>
      </w:pPr>
      <w:r w:rsidRPr="009F7CF4">
        <w:rPr>
          <w:rFonts w:eastAsiaTheme="minorHAnsi"/>
          <w:b/>
          <w:sz w:val="26"/>
          <w:szCs w:val="26"/>
        </w:rPr>
        <w:t>Docket No. R-2018-3001307</w:t>
      </w:r>
    </w:p>
    <w:p w14:paraId="1181C13A" w14:textId="77777777" w:rsidR="009F7CF4" w:rsidRPr="009F7CF4" w:rsidRDefault="009F7CF4" w:rsidP="00FD1A00">
      <w:pPr>
        <w:spacing w:after="200" w:line="240" w:lineRule="auto"/>
        <w:contextualSpacing/>
        <w:jc w:val="center"/>
        <w:rPr>
          <w:rFonts w:eastAsiaTheme="minorHAnsi"/>
          <w:b/>
          <w:sz w:val="26"/>
          <w:szCs w:val="26"/>
        </w:rPr>
      </w:pPr>
    </w:p>
    <w:p w14:paraId="39DE7DCD" w14:textId="77777777" w:rsidR="009F7CF4" w:rsidRPr="009F7CF4" w:rsidRDefault="009F7CF4" w:rsidP="00FD1A00">
      <w:pPr>
        <w:spacing w:after="200" w:line="240" w:lineRule="auto"/>
        <w:contextualSpacing/>
        <w:jc w:val="center"/>
        <w:rPr>
          <w:rFonts w:eastAsiaTheme="minorHAnsi"/>
          <w:b/>
          <w:sz w:val="26"/>
          <w:szCs w:val="26"/>
        </w:rPr>
      </w:pPr>
    </w:p>
    <w:p w14:paraId="278CF000" w14:textId="77777777" w:rsidR="009F7CF4" w:rsidRPr="009F7CF4" w:rsidRDefault="009F7CF4" w:rsidP="00FD1A00">
      <w:pPr>
        <w:spacing w:after="200" w:line="240" w:lineRule="auto"/>
        <w:contextualSpacing/>
        <w:jc w:val="center"/>
        <w:rPr>
          <w:rFonts w:eastAsiaTheme="minorHAnsi"/>
          <w:b/>
          <w:sz w:val="26"/>
          <w:szCs w:val="26"/>
        </w:rPr>
      </w:pPr>
    </w:p>
    <w:p w14:paraId="64DFF143" w14:textId="77777777" w:rsidR="009F7CF4" w:rsidRPr="009F7CF4" w:rsidRDefault="009F7CF4" w:rsidP="00FD1A00">
      <w:pPr>
        <w:spacing w:after="200" w:line="240" w:lineRule="auto"/>
        <w:contextualSpacing/>
        <w:jc w:val="center"/>
        <w:rPr>
          <w:rFonts w:eastAsiaTheme="minorHAnsi"/>
          <w:b/>
          <w:sz w:val="26"/>
          <w:szCs w:val="26"/>
        </w:rPr>
      </w:pPr>
    </w:p>
    <w:p w14:paraId="7E377931" w14:textId="77777777" w:rsidR="009F7CF4" w:rsidRPr="009F7CF4" w:rsidRDefault="009F7CF4" w:rsidP="00FD1A00">
      <w:pPr>
        <w:spacing w:after="200" w:line="240" w:lineRule="auto"/>
        <w:contextualSpacing/>
        <w:jc w:val="center"/>
        <w:rPr>
          <w:rFonts w:eastAsiaTheme="minorHAnsi"/>
          <w:b/>
          <w:sz w:val="26"/>
          <w:szCs w:val="26"/>
        </w:rPr>
      </w:pPr>
      <w:r w:rsidRPr="009F7CF4">
        <w:rPr>
          <w:rFonts w:eastAsiaTheme="minorHAnsi"/>
          <w:b/>
          <w:sz w:val="26"/>
          <w:szCs w:val="26"/>
          <w:u w:val="single"/>
        </w:rPr>
        <w:t>Settlement Rates and Revenues, as modified</w:t>
      </w:r>
    </w:p>
    <w:p w14:paraId="3131558C" w14:textId="77777777" w:rsidR="009F7CF4" w:rsidRPr="009F7CF4" w:rsidRDefault="009F7CF4" w:rsidP="00FD1A00">
      <w:pPr>
        <w:spacing w:after="200" w:line="240" w:lineRule="auto"/>
        <w:contextualSpacing/>
        <w:rPr>
          <w:rFonts w:eastAsiaTheme="minorHAnsi"/>
          <w:b/>
          <w:sz w:val="26"/>
          <w:szCs w:val="26"/>
        </w:rPr>
      </w:pPr>
    </w:p>
    <w:p w14:paraId="4CABA25E" w14:textId="77777777" w:rsidR="009F7CF4" w:rsidRPr="009F7CF4" w:rsidRDefault="009F7CF4" w:rsidP="00FD1A00">
      <w:pPr>
        <w:spacing w:after="200" w:line="240" w:lineRule="auto"/>
        <w:ind w:firstLine="2160"/>
        <w:contextualSpacing/>
        <w:rPr>
          <w:rFonts w:eastAsiaTheme="minorHAnsi"/>
          <w:b/>
          <w:sz w:val="26"/>
          <w:szCs w:val="26"/>
        </w:rPr>
      </w:pPr>
      <w:r w:rsidRPr="009F7CF4">
        <w:rPr>
          <w:rFonts w:eastAsiaTheme="minorHAnsi"/>
          <w:b/>
          <w:sz w:val="26"/>
          <w:szCs w:val="26"/>
        </w:rPr>
        <w:t>Table I</w:t>
      </w:r>
      <w:r w:rsidRPr="009F7CF4">
        <w:rPr>
          <w:rFonts w:eastAsiaTheme="minorHAnsi"/>
          <w:b/>
          <w:sz w:val="26"/>
          <w:szCs w:val="26"/>
        </w:rPr>
        <w:tab/>
        <w:t>Water Rates</w:t>
      </w:r>
    </w:p>
    <w:p w14:paraId="6F80C710" w14:textId="77777777" w:rsidR="009F7CF4" w:rsidRPr="009F7CF4" w:rsidRDefault="009F7CF4" w:rsidP="00FD1A00">
      <w:pPr>
        <w:spacing w:after="200" w:line="240" w:lineRule="auto"/>
        <w:ind w:firstLine="2160"/>
        <w:contextualSpacing/>
        <w:rPr>
          <w:rFonts w:eastAsiaTheme="minorHAnsi"/>
          <w:b/>
          <w:sz w:val="26"/>
          <w:szCs w:val="26"/>
        </w:rPr>
      </w:pPr>
      <w:r w:rsidRPr="009F7CF4">
        <w:rPr>
          <w:rFonts w:eastAsiaTheme="minorHAnsi"/>
          <w:b/>
          <w:sz w:val="26"/>
          <w:szCs w:val="26"/>
        </w:rPr>
        <w:t>Table II</w:t>
      </w:r>
      <w:r w:rsidRPr="009F7CF4">
        <w:rPr>
          <w:rFonts w:eastAsiaTheme="minorHAnsi"/>
          <w:b/>
          <w:sz w:val="26"/>
          <w:szCs w:val="26"/>
        </w:rPr>
        <w:tab/>
        <w:t>Wastewater Rates</w:t>
      </w:r>
    </w:p>
    <w:p w14:paraId="3A61A5A0" w14:textId="77777777" w:rsidR="009F7CF4" w:rsidRPr="009F7CF4" w:rsidRDefault="009F7CF4" w:rsidP="00FD1A00">
      <w:pPr>
        <w:spacing w:after="200" w:line="240" w:lineRule="auto"/>
        <w:ind w:left="3600" w:hanging="1440"/>
        <w:contextualSpacing/>
        <w:rPr>
          <w:rFonts w:eastAsiaTheme="minorHAnsi"/>
          <w:b/>
          <w:sz w:val="26"/>
          <w:szCs w:val="26"/>
        </w:rPr>
      </w:pPr>
      <w:r w:rsidRPr="009F7CF4">
        <w:rPr>
          <w:rFonts w:eastAsiaTheme="minorHAnsi"/>
          <w:b/>
          <w:sz w:val="26"/>
          <w:szCs w:val="26"/>
        </w:rPr>
        <w:t>Table III</w:t>
      </w:r>
      <w:r w:rsidRPr="009F7CF4">
        <w:rPr>
          <w:rFonts w:eastAsiaTheme="minorHAnsi"/>
          <w:b/>
          <w:sz w:val="26"/>
          <w:szCs w:val="26"/>
        </w:rPr>
        <w:tab/>
        <w:t xml:space="preserve">Revenue Increase Summary </w:t>
      </w:r>
    </w:p>
    <w:p w14:paraId="4F1BCBDB" w14:textId="77777777" w:rsidR="009F7CF4" w:rsidRPr="009F7CF4" w:rsidRDefault="009F7CF4" w:rsidP="00FD1A00">
      <w:pPr>
        <w:spacing w:after="200" w:line="240" w:lineRule="auto"/>
        <w:ind w:left="3600" w:hanging="1440"/>
        <w:contextualSpacing/>
        <w:rPr>
          <w:rFonts w:eastAsiaTheme="minorHAnsi"/>
          <w:b/>
          <w:sz w:val="26"/>
          <w:szCs w:val="26"/>
        </w:rPr>
        <w:sectPr w:rsidR="009F7CF4" w:rsidRPr="009F7CF4" w:rsidSect="002E38F9">
          <w:pgSz w:w="12240" w:h="15840"/>
          <w:pgMar w:top="1440" w:right="1440" w:bottom="1440" w:left="1440" w:header="720" w:footer="720" w:gutter="0"/>
          <w:pgNumType w:start="1"/>
          <w:cols w:space="720"/>
          <w:titlePg/>
          <w:docGrid w:linePitch="360"/>
        </w:sectPr>
      </w:pPr>
    </w:p>
    <w:p w14:paraId="78687D80" w14:textId="118F45DC" w:rsidR="009F7CF4" w:rsidRPr="009F7CF4" w:rsidRDefault="006B35E8" w:rsidP="00FD1A00">
      <w:pPr>
        <w:spacing w:after="200" w:line="240" w:lineRule="auto"/>
        <w:contextualSpacing/>
        <w:jc w:val="center"/>
        <w:rPr>
          <w:rFonts w:eastAsiaTheme="minorHAnsi"/>
          <w:b/>
          <w:sz w:val="26"/>
          <w:szCs w:val="26"/>
        </w:rPr>
      </w:pPr>
      <w:r w:rsidRPr="00787A9E">
        <w:rPr>
          <w:noProof/>
          <w:sz w:val="26"/>
          <w:szCs w:val="26"/>
        </w:rPr>
        <w:lastRenderedPageBreak/>
        <w:drawing>
          <wp:inline distT="0" distB="0" distL="0" distR="0" wp14:anchorId="4077B2CF" wp14:editId="4B137748">
            <wp:extent cx="8126512" cy="554355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6481" t="22730" r="31250" b="7169"/>
                    <a:stretch/>
                  </pic:blipFill>
                  <pic:spPr bwMode="auto">
                    <a:xfrm>
                      <a:off x="0" y="0"/>
                      <a:ext cx="8145643" cy="5556600"/>
                    </a:xfrm>
                    <a:prstGeom prst="rect">
                      <a:avLst/>
                    </a:prstGeom>
                    <a:ln>
                      <a:noFill/>
                    </a:ln>
                    <a:extLst>
                      <a:ext uri="{53640926-AAD7-44D8-BBD7-CCE9431645EC}">
                        <a14:shadowObscured xmlns:a14="http://schemas.microsoft.com/office/drawing/2010/main"/>
                      </a:ext>
                    </a:extLst>
                  </pic:spPr>
                </pic:pic>
              </a:graphicData>
            </a:graphic>
          </wp:inline>
        </w:drawing>
      </w:r>
    </w:p>
    <w:p w14:paraId="5BA39BBF" w14:textId="77777777" w:rsidR="009F7CF4" w:rsidRPr="009F7CF4" w:rsidRDefault="009F7CF4" w:rsidP="00FD1A00">
      <w:pPr>
        <w:spacing w:after="200" w:line="240" w:lineRule="auto"/>
        <w:ind w:left="3600" w:hanging="1440"/>
        <w:contextualSpacing/>
        <w:rPr>
          <w:rFonts w:eastAsiaTheme="minorHAnsi"/>
          <w:b/>
          <w:sz w:val="26"/>
          <w:szCs w:val="26"/>
        </w:rPr>
        <w:sectPr w:rsidR="009F7CF4" w:rsidRPr="009F7CF4" w:rsidSect="00954F12">
          <w:pgSz w:w="15840" w:h="12240" w:orient="landscape"/>
          <w:pgMar w:top="1440" w:right="1440" w:bottom="1440" w:left="1440" w:header="720" w:footer="720" w:gutter="0"/>
          <w:cols w:space="720"/>
          <w:docGrid w:linePitch="360"/>
        </w:sectPr>
      </w:pPr>
    </w:p>
    <w:p w14:paraId="2E9ADF28" w14:textId="77777777" w:rsidR="009F7CF4" w:rsidRPr="009F7CF4" w:rsidRDefault="009F7CF4" w:rsidP="00FD1A00">
      <w:pPr>
        <w:spacing w:after="200" w:line="240" w:lineRule="auto"/>
        <w:contextualSpacing/>
        <w:jc w:val="center"/>
        <w:rPr>
          <w:rFonts w:eastAsiaTheme="minorHAnsi"/>
          <w:b/>
          <w:sz w:val="26"/>
          <w:szCs w:val="26"/>
        </w:rPr>
        <w:sectPr w:rsidR="009F7CF4" w:rsidRPr="009F7CF4" w:rsidSect="00954F12">
          <w:pgSz w:w="15840" w:h="12240" w:orient="landscape"/>
          <w:pgMar w:top="1440" w:right="1440" w:bottom="1440" w:left="1440" w:header="720" w:footer="720" w:gutter="0"/>
          <w:cols w:space="720"/>
          <w:docGrid w:linePitch="360"/>
        </w:sectPr>
      </w:pPr>
      <w:r w:rsidRPr="009F7CF4">
        <w:rPr>
          <w:rFonts w:eastAsiaTheme="minorHAnsi"/>
          <w:noProof/>
          <w:sz w:val="26"/>
          <w:szCs w:val="26"/>
        </w:rPr>
        <w:lastRenderedPageBreak/>
        <w:drawing>
          <wp:inline distT="0" distB="0" distL="0" distR="0" wp14:anchorId="73C28AF6" wp14:editId="0959E413">
            <wp:extent cx="8155422" cy="54768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5903" t="22659" r="30092" b="6406"/>
                    <a:stretch/>
                  </pic:blipFill>
                  <pic:spPr bwMode="auto">
                    <a:xfrm>
                      <a:off x="0" y="0"/>
                      <a:ext cx="8181455" cy="5494358"/>
                    </a:xfrm>
                    <a:prstGeom prst="rect">
                      <a:avLst/>
                    </a:prstGeom>
                    <a:ln>
                      <a:noFill/>
                    </a:ln>
                    <a:extLst>
                      <a:ext uri="{53640926-AAD7-44D8-BBD7-CCE9431645EC}">
                        <a14:shadowObscured xmlns:a14="http://schemas.microsoft.com/office/drawing/2010/main"/>
                      </a:ext>
                    </a:extLst>
                  </pic:spPr>
                </pic:pic>
              </a:graphicData>
            </a:graphic>
          </wp:inline>
        </w:drawing>
      </w:r>
    </w:p>
    <w:p w14:paraId="032D6D8F" w14:textId="5A085CE3" w:rsidR="000B2126" w:rsidRPr="00787A9E" w:rsidRDefault="00C756AF" w:rsidP="00FD1A00">
      <w:pPr>
        <w:spacing w:after="200" w:line="240" w:lineRule="auto"/>
        <w:contextualSpacing/>
        <w:jc w:val="center"/>
        <w:rPr>
          <w:rFonts w:eastAsiaTheme="minorHAnsi"/>
          <w:b/>
          <w:sz w:val="26"/>
          <w:szCs w:val="26"/>
        </w:rPr>
      </w:pPr>
      <w:r>
        <w:rPr>
          <w:noProof/>
        </w:rPr>
        <w:lastRenderedPageBreak/>
        <w:drawing>
          <wp:inline distT="0" distB="0" distL="0" distR="0" wp14:anchorId="0DE05925" wp14:editId="72C88A66">
            <wp:extent cx="7677150" cy="58307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587" t="22539" r="41551" b="8697"/>
                    <a:stretch/>
                  </pic:blipFill>
                  <pic:spPr bwMode="auto">
                    <a:xfrm>
                      <a:off x="0" y="0"/>
                      <a:ext cx="7708116" cy="5854267"/>
                    </a:xfrm>
                    <a:prstGeom prst="rect">
                      <a:avLst/>
                    </a:prstGeom>
                    <a:ln>
                      <a:noFill/>
                    </a:ln>
                    <a:extLst>
                      <a:ext uri="{53640926-AAD7-44D8-BBD7-CCE9431645EC}">
                        <a14:shadowObscured xmlns:a14="http://schemas.microsoft.com/office/drawing/2010/main"/>
                      </a:ext>
                    </a:extLst>
                  </pic:spPr>
                </pic:pic>
              </a:graphicData>
            </a:graphic>
          </wp:inline>
        </w:drawing>
      </w:r>
    </w:p>
    <w:sectPr w:rsidR="000B2126" w:rsidRPr="00787A9E" w:rsidSect="00954F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26680" w14:textId="77777777" w:rsidR="008F7BA2" w:rsidRDefault="008F7BA2" w:rsidP="00792C5F">
      <w:pPr>
        <w:spacing w:line="240" w:lineRule="auto"/>
      </w:pPr>
      <w:r>
        <w:separator/>
      </w:r>
    </w:p>
  </w:endnote>
  <w:endnote w:type="continuationSeparator" w:id="0">
    <w:p w14:paraId="77F334C1" w14:textId="77777777" w:rsidR="008F7BA2" w:rsidRDefault="008F7BA2" w:rsidP="00792C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2EF96" w14:textId="77777777" w:rsidR="00676113" w:rsidRDefault="00676113">
    <w:pPr>
      <w:pStyle w:val="Footer"/>
      <w:jc w:val="center"/>
    </w:pPr>
  </w:p>
  <w:p w14:paraId="0FDE538B" w14:textId="77777777" w:rsidR="00676113" w:rsidRDefault="006761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1672810"/>
      <w:docPartObj>
        <w:docPartGallery w:val="Page Numbers (Bottom of Page)"/>
        <w:docPartUnique/>
      </w:docPartObj>
    </w:sdtPr>
    <w:sdtEndPr>
      <w:rPr>
        <w:noProof/>
      </w:rPr>
    </w:sdtEndPr>
    <w:sdtContent>
      <w:p w14:paraId="76011AF9" w14:textId="77777777" w:rsidR="00676113" w:rsidRDefault="00676113">
        <w:pPr>
          <w:pStyle w:val="Footer"/>
          <w:jc w:val="center"/>
        </w:pPr>
        <w:r w:rsidRPr="002F386A">
          <w:rPr>
            <w:sz w:val="26"/>
            <w:szCs w:val="26"/>
          </w:rPr>
          <w:fldChar w:fldCharType="begin"/>
        </w:r>
        <w:r w:rsidRPr="002F386A">
          <w:rPr>
            <w:sz w:val="26"/>
            <w:szCs w:val="26"/>
          </w:rPr>
          <w:instrText xml:space="preserve"> PAGE   \* MERGEFORMAT </w:instrText>
        </w:r>
        <w:r w:rsidRPr="002F386A">
          <w:rPr>
            <w:sz w:val="26"/>
            <w:szCs w:val="26"/>
          </w:rPr>
          <w:fldChar w:fldCharType="separate"/>
        </w:r>
        <w:r w:rsidRPr="002F386A">
          <w:rPr>
            <w:noProof/>
            <w:sz w:val="26"/>
            <w:szCs w:val="26"/>
          </w:rPr>
          <w:t>47</w:t>
        </w:r>
        <w:r w:rsidRPr="002F386A">
          <w:rPr>
            <w:noProof/>
            <w:sz w:val="26"/>
            <w:szCs w:val="26"/>
          </w:rPr>
          <w:fldChar w:fldCharType="end"/>
        </w:r>
      </w:p>
    </w:sdtContent>
  </w:sdt>
  <w:p w14:paraId="2374A9C9" w14:textId="77777777" w:rsidR="00676113" w:rsidRDefault="006761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0B4BC" w14:textId="77777777" w:rsidR="00676113" w:rsidRDefault="00676113">
    <w:pPr>
      <w:pStyle w:val="Footer"/>
      <w:jc w:val="center"/>
    </w:pPr>
  </w:p>
  <w:p w14:paraId="44227779" w14:textId="77777777" w:rsidR="00676113" w:rsidRDefault="00676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3AF63" w14:textId="77777777" w:rsidR="008F7BA2" w:rsidRDefault="008F7BA2" w:rsidP="00792C5F">
      <w:pPr>
        <w:spacing w:line="240" w:lineRule="auto"/>
      </w:pPr>
      <w:r>
        <w:separator/>
      </w:r>
    </w:p>
  </w:footnote>
  <w:footnote w:type="continuationSeparator" w:id="0">
    <w:p w14:paraId="27D6D2F9" w14:textId="77777777" w:rsidR="008F7BA2" w:rsidRDefault="008F7BA2" w:rsidP="00792C5F">
      <w:pPr>
        <w:spacing w:line="240" w:lineRule="auto"/>
      </w:pPr>
      <w:r>
        <w:continuationSeparator/>
      </w:r>
    </w:p>
  </w:footnote>
  <w:footnote w:type="continuationNotice" w:id="1">
    <w:p w14:paraId="7A067E86" w14:textId="77777777" w:rsidR="008F7BA2" w:rsidRDefault="008F7BA2">
      <w:pPr>
        <w:spacing w:line="240" w:lineRule="auto"/>
      </w:pPr>
    </w:p>
  </w:footnote>
  <w:footnote w:id="2">
    <w:p w14:paraId="4C66441B" w14:textId="621A1400" w:rsidR="00676113" w:rsidRPr="00072807" w:rsidRDefault="00676113" w:rsidP="00FD1A00">
      <w:pPr>
        <w:pStyle w:val="FootnoteText"/>
      </w:pPr>
      <w:r w:rsidRPr="00072807">
        <w:rPr>
          <w:rStyle w:val="FootnoteReference"/>
        </w:rPr>
        <w:footnoteRef/>
      </w:r>
      <w:r w:rsidRPr="00072807">
        <w:tab/>
        <w:t>The Hidden Valley Foundation, Inc. is a non-profit corporation established in 1984 to provide maintenance and recreational services associated with the operation of the Hidden Valley homeowner community.  It is a master homeowners</w:t>
      </w:r>
      <w:r>
        <w:t>’</w:t>
      </w:r>
      <w:r w:rsidRPr="00072807">
        <w:t xml:space="preserve"> association, also managing four condominium associations, all located within the Hidden Valley resort.  The property totals approximately 1,700 acres with single family homes, towns house and condominium units throughout.  HVUS Exhibit JMK-1 (Water), Affiliations Attachment of James M. Kettler.</w:t>
      </w:r>
    </w:p>
  </w:footnote>
  <w:footnote w:id="3">
    <w:p w14:paraId="77AD6A73" w14:textId="684CD3F5" w:rsidR="00676113" w:rsidRPr="00072807" w:rsidRDefault="00676113" w:rsidP="00FD1A00">
      <w:pPr>
        <w:pStyle w:val="FootnoteText"/>
      </w:pPr>
      <w:r w:rsidRPr="00072807">
        <w:rPr>
          <w:rStyle w:val="FootnoteReference"/>
        </w:rPr>
        <w:footnoteRef/>
      </w:r>
      <w:r w:rsidRPr="00072807">
        <w:tab/>
        <w:t xml:space="preserve">The </w:t>
      </w:r>
      <w:r w:rsidRPr="00072807">
        <w:rPr>
          <w:i/>
        </w:rPr>
        <w:t>January 2018 McCloskey Order</w:t>
      </w:r>
      <w:r w:rsidRPr="00072807">
        <w:t xml:space="preserve"> addressed both the water and wastewater cases.  As noted below, following issuance of the </w:t>
      </w:r>
      <w:r w:rsidRPr="00072807">
        <w:rPr>
          <w:i/>
        </w:rPr>
        <w:t>January 2018 McCloskey Order</w:t>
      </w:r>
      <w:r w:rsidRPr="00072807">
        <w:t xml:space="preserve">, the Company filed a Petition for Clarification, Reconsideration and Amendment (Petition).  The Commission entered an Opinion and Order addressing the Petition on May 3, 2018 </w:t>
      </w:r>
      <w:r w:rsidRPr="00072807">
        <w:rPr>
          <w:i/>
        </w:rPr>
        <w:t>(May 2018 McCloskey Order)</w:t>
      </w:r>
      <w:r w:rsidRPr="00072807">
        <w:t xml:space="preserve">.  Next, pursuant to a Petition for Amendment filed by the Company following issuance of the </w:t>
      </w:r>
      <w:r w:rsidRPr="00072807">
        <w:rPr>
          <w:i/>
        </w:rPr>
        <w:t>May 2018 McCloskey Order</w:t>
      </w:r>
      <w:r w:rsidRPr="00072807">
        <w:t xml:space="preserve">, the Commission entered another Opinion and Order on January 17, 2019 </w:t>
      </w:r>
      <w:r w:rsidRPr="00072807">
        <w:rPr>
          <w:i/>
        </w:rPr>
        <w:t>(January 2019 McCloskey Order).</w:t>
      </w:r>
      <w:r w:rsidRPr="00072807">
        <w:t xml:space="preserve">  For the purpose of this document, the </w:t>
      </w:r>
      <w:r w:rsidRPr="00072807">
        <w:rPr>
          <w:i/>
        </w:rPr>
        <w:t xml:space="preserve">January 2018 McCloskey Order, </w:t>
      </w:r>
      <w:r w:rsidRPr="00072807">
        <w:t xml:space="preserve">the </w:t>
      </w:r>
      <w:r w:rsidRPr="00072807">
        <w:rPr>
          <w:i/>
        </w:rPr>
        <w:t xml:space="preserve">May 2018 McCloskey Order, </w:t>
      </w:r>
      <w:r w:rsidRPr="00072807">
        <w:t xml:space="preserve">and the </w:t>
      </w:r>
      <w:r w:rsidRPr="00072807">
        <w:rPr>
          <w:i/>
        </w:rPr>
        <w:t>January 2019 McCloskey Order</w:t>
      </w:r>
      <w:r w:rsidRPr="00072807">
        <w:t xml:space="preserve"> will be collectively referred to as the </w:t>
      </w:r>
      <w:r w:rsidRPr="00072807">
        <w:rPr>
          <w:i/>
        </w:rPr>
        <w:t>McCloskey Orders</w:t>
      </w:r>
      <w:r w:rsidRPr="00072807">
        <w:t xml:space="preserve"> and the proceedings for these matters will be referred to as the </w:t>
      </w:r>
      <w:r w:rsidRPr="00072807">
        <w:rPr>
          <w:i/>
        </w:rPr>
        <w:t>McCloskey</w:t>
      </w:r>
      <w:r w:rsidRPr="00072807">
        <w:t xml:space="preserve"> proceedings.</w:t>
      </w:r>
    </w:p>
  </w:footnote>
  <w:footnote w:id="4">
    <w:p w14:paraId="52D9A9D3" w14:textId="14B37619" w:rsidR="00676113" w:rsidRPr="00072807" w:rsidRDefault="00676113" w:rsidP="00FD1A00">
      <w:pPr>
        <w:pStyle w:val="FootnoteText"/>
      </w:pPr>
      <w:r w:rsidRPr="00072807">
        <w:rPr>
          <w:rStyle w:val="FootnoteReference"/>
        </w:rPr>
        <w:footnoteRef/>
      </w:r>
      <w:r w:rsidRPr="00072807">
        <w:tab/>
        <w:t>The Parties agreed to a shortened period for filing Exceptions and Replies.  Therefore, the Recommended Decision required the Parties to file their Exceptions by February 5, 2019, and Replies by February 8, 2019.</w:t>
      </w:r>
    </w:p>
  </w:footnote>
  <w:footnote w:id="5">
    <w:p w14:paraId="0354DACC" w14:textId="06ABCB2E" w:rsidR="00676113" w:rsidRPr="00072807" w:rsidRDefault="00676113" w:rsidP="00FD1A00">
      <w:pPr>
        <w:pStyle w:val="FootnoteText"/>
      </w:pPr>
      <w:r w:rsidRPr="00072807">
        <w:rPr>
          <w:rStyle w:val="FootnoteReference"/>
        </w:rPr>
        <w:footnoteRef/>
      </w:r>
      <w:r w:rsidRPr="00072807">
        <w:tab/>
        <w:t>HVUS’s limited partnership consists of two partners: James M. Kettler who owns a 99% ownership interest; and the Kettler Brothers of Hidden Valley which owns a 1% ownership interest.  HVUS M.B. at 4.</w:t>
      </w:r>
    </w:p>
  </w:footnote>
  <w:footnote w:id="6">
    <w:p w14:paraId="695A8119" w14:textId="77777777" w:rsidR="00676113" w:rsidRPr="00072807" w:rsidRDefault="00676113" w:rsidP="00FD1A00">
      <w:pPr>
        <w:pStyle w:val="FootnoteText"/>
      </w:pPr>
      <w:r w:rsidRPr="00072807">
        <w:rPr>
          <w:rStyle w:val="FootnoteReference"/>
        </w:rPr>
        <w:footnoteRef/>
      </w:r>
      <w:r w:rsidRPr="00072807">
        <w:tab/>
        <w:t xml:space="preserve">Pursuant to the </w:t>
      </w:r>
      <w:r w:rsidRPr="00072807">
        <w:rPr>
          <w:i/>
        </w:rPr>
        <w:t>July 2005 Order</w:t>
      </w:r>
      <w:r w:rsidRPr="00072807">
        <w:t>, a residential customer using 5,000 gallons per quarter would pay $116.55 for water service and $261.00 per quarter for wastewater service.</w:t>
      </w:r>
    </w:p>
  </w:footnote>
  <w:footnote w:id="7">
    <w:p w14:paraId="501796BE" w14:textId="23F963D2" w:rsidR="00676113" w:rsidRPr="00072807" w:rsidRDefault="00676113" w:rsidP="00FD1A00">
      <w:pPr>
        <w:pStyle w:val="FootnoteText"/>
      </w:pPr>
      <w:r w:rsidRPr="00072807">
        <w:rPr>
          <w:rStyle w:val="FootnoteReference"/>
        </w:rPr>
        <w:footnoteRef/>
      </w:r>
      <w:r w:rsidRPr="00072807">
        <w:tab/>
        <w:t xml:space="preserve">For a summary of the Initial Decision in that proceeding, see pages 9 to 19 of the </w:t>
      </w:r>
      <w:r w:rsidRPr="00072807">
        <w:rPr>
          <w:i/>
          <w:color w:val="000000"/>
        </w:rPr>
        <w:t>January 2018 McCloskey Order.</w:t>
      </w:r>
    </w:p>
  </w:footnote>
  <w:footnote w:id="8">
    <w:p w14:paraId="33FECEC4" w14:textId="674BB611" w:rsidR="00676113" w:rsidRPr="00072807" w:rsidRDefault="00676113" w:rsidP="00FD1A00">
      <w:pPr>
        <w:pStyle w:val="FootnoteText"/>
      </w:pPr>
      <w:r w:rsidRPr="00072807">
        <w:rPr>
          <w:rStyle w:val="FootnoteReference"/>
        </w:rPr>
        <w:footnoteRef/>
      </w:r>
      <w:r w:rsidRPr="00072807">
        <w:tab/>
        <w:t xml:space="preserve">For a summary of the recommended adjustments to the Initial Decision ordering paragraphs, see pages 31-39 of the </w:t>
      </w:r>
      <w:r w:rsidRPr="00072807">
        <w:rPr>
          <w:i/>
        </w:rPr>
        <w:t>January 2018 McCloskey Order</w:t>
      </w:r>
      <w:r w:rsidRPr="00072807">
        <w:t>.</w:t>
      </w:r>
    </w:p>
  </w:footnote>
  <w:footnote w:id="9">
    <w:p w14:paraId="514F0394" w14:textId="1DAD7F4D" w:rsidR="00676113" w:rsidRPr="00072807" w:rsidRDefault="00676113" w:rsidP="00FD1A00">
      <w:pPr>
        <w:pStyle w:val="FootnoteText"/>
      </w:pPr>
      <w:r w:rsidRPr="00072807">
        <w:rPr>
          <w:rStyle w:val="FootnoteReference"/>
        </w:rPr>
        <w:footnoteRef/>
      </w:r>
      <w:r w:rsidRPr="00072807">
        <w:tab/>
        <w:t xml:space="preserve">The </w:t>
      </w:r>
      <w:r w:rsidRPr="00072807">
        <w:rPr>
          <w:rFonts w:eastAsia="Calibri"/>
          <w:i/>
        </w:rPr>
        <w:t>January 2018 McCloskey Order</w:t>
      </w:r>
      <w:r w:rsidRPr="00072807">
        <w:rPr>
          <w:rFonts w:eastAsia="Calibri"/>
        </w:rPr>
        <w:t xml:space="preserve"> contained errors in the </w:t>
      </w:r>
      <w:r w:rsidRPr="00072807">
        <w:t xml:space="preserve">numbering of the Ordering Paragraphs beginning on page 67.  Ordering Paragraph No. 22 on page 67 should be numbered Ordering Paragraph No. 23 and the remaining paragraph numbers should be corrected accordingly.  Therefore, we restated the Ordering Paragraphs in the </w:t>
      </w:r>
      <w:r w:rsidRPr="00072807">
        <w:rPr>
          <w:i/>
        </w:rPr>
        <w:t>May 2018 McCloskey Order</w:t>
      </w:r>
      <w:r w:rsidRPr="00072807">
        <w:t xml:space="preserve"> to correct this error.</w:t>
      </w:r>
    </w:p>
  </w:footnote>
  <w:footnote w:id="10">
    <w:p w14:paraId="5F491E74" w14:textId="77777777" w:rsidR="00676113" w:rsidRPr="00072807" w:rsidRDefault="00676113" w:rsidP="00FD1A00">
      <w:pPr>
        <w:pStyle w:val="FootnoteText"/>
      </w:pPr>
      <w:r w:rsidRPr="00072807">
        <w:rPr>
          <w:rStyle w:val="FootnoteReference"/>
        </w:rPr>
        <w:footnoteRef/>
      </w:r>
      <w:r w:rsidRPr="00072807">
        <w:tab/>
        <w:t>Ordering Paragraph No. 3(a) of the Initial Decision provided that HVUS shall replace 1,500 feet of three-inch line to the Heights neighborhood and 1,000 feet of two-inch line to the Valley View neighborhood in Hidden Valley.</w:t>
      </w:r>
    </w:p>
  </w:footnote>
  <w:footnote w:id="11">
    <w:p w14:paraId="1322323E" w14:textId="40D536C4" w:rsidR="00676113" w:rsidRPr="00072807" w:rsidRDefault="00676113" w:rsidP="00FD1A00">
      <w:pPr>
        <w:pStyle w:val="FootnoteText"/>
      </w:pPr>
      <w:r w:rsidRPr="00072807">
        <w:rPr>
          <w:rStyle w:val="FootnoteReference"/>
        </w:rPr>
        <w:footnoteRef/>
      </w:r>
      <w:r w:rsidRPr="00072807">
        <w:tab/>
        <w:t xml:space="preserve">However, the Commission denied HVUS Exception No. 1 to the extent that it attempted to limit the topics of the public meetings to </w:t>
      </w:r>
      <w:r w:rsidRPr="00072807">
        <w:rPr>
          <w:rFonts w:eastAsia="Calibri"/>
        </w:rPr>
        <w:t xml:space="preserve">the line replacement work to be completed.  </w:t>
      </w:r>
      <w:r w:rsidRPr="00072807">
        <w:rPr>
          <w:rFonts w:eastAsia="Calibri"/>
          <w:i/>
        </w:rPr>
        <w:t xml:space="preserve">January 2018 McCloskey Order </w:t>
      </w:r>
      <w:r w:rsidRPr="00072807">
        <w:rPr>
          <w:rFonts w:eastAsia="Calibri"/>
        </w:rPr>
        <w:t>at 48.</w:t>
      </w:r>
    </w:p>
  </w:footnote>
  <w:footnote w:id="12">
    <w:p w14:paraId="21EE2FCB" w14:textId="62FEE187" w:rsidR="00676113" w:rsidRPr="00072807" w:rsidRDefault="00676113" w:rsidP="00FD1A00">
      <w:pPr>
        <w:pStyle w:val="FootnoteText"/>
      </w:pPr>
      <w:r w:rsidRPr="00072807">
        <w:rPr>
          <w:rStyle w:val="FootnoteReference"/>
        </w:rPr>
        <w:footnoteRef/>
      </w:r>
      <w:r w:rsidRPr="00072807">
        <w:tab/>
        <w:t xml:space="preserve">We also held that the Commission’s discretion is </w:t>
      </w:r>
      <w:r w:rsidRPr="00072807">
        <w:rPr>
          <w:rFonts w:eastAsia="Calibri"/>
        </w:rPr>
        <w:t xml:space="preserve">informed by our enabling legislation under 66 Pa. Code § 3301, our policy statement under 52 Pa. Code § 69.1201, and long-standing case law that not only reflects our regulatory policy but also affirms our statutory discretion.  </w:t>
      </w:r>
      <w:r w:rsidRPr="00072807">
        <w:rPr>
          <w:rFonts w:eastAsia="Calibri"/>
          <w:i/>
        </w:rPr>
        <w:t>Pa. PUC v. HIKO Energy</w:t>
      </w:r>
      <w:r w:rsidRPr="00072807">
        <w:rPr>
          <w:rFonts w:eastAsia="Calibri"/>
        </w:rPr>
        <w:t>, LLC, Docket Nos. P-2015-2519419 and C-2014-2431410 (Order entered January 28, 2016) at 22.</w:t>
      </w:r>
    </w:p>
  </w:footnote>
  <w:footnote w:id="13">
    <w:p w14:paraId="49AC4C39" w14:textId="34A449BC" w:rsidR="00676113" w:rsidRPr="00072807" w:rsidRDefault="00676113" w:rsidP="00FD1A00">
      <w:pPr>
        <w:pStyle w:val="FootnoteText"/>
      </w:pPr>
      <w:r w:rsidRPr="00072807">
        <w:rPr>
          <w:rStyle w:val="FootnoteReference"/>
        </w:rPr>
        <w:footnoteRef/>
      </w:r>
      <w:r w:rsidRPr="00072807">
        <w:tab/>
        <w:t>The Company asserts that it initially attempted to file a status report with the Commission, through a filing dated March 19, 2018, but that the wrong docket numbers were listed on the document.</w:t>
      </w:r>
    </w:p>
  </w:footnote>
  <w:footnote w:id="14">
    <w:p w14:paraId="71F4F980" w14:textId="25E1AEC4" w:rsidR="00676113" w:rsidRPr="00072807" w:rsidRDefault="00676113" w:rsidP="00FD1A00">
      <w:pPr>
        <w:pStyle w:val="FootnoteText"/>
      </w:pPr>
      <w:r w:rsidRPr="00072807">
        <w:rPr>
          <w:rStyle w:val="FootnoteReference"/>
        </w:rPr>
        <w:footnoteRef/>
      </w:r>
      <w:r w:rsidRPr="00072807">
        <w:tab/>
        <w:t>However, the Company indicated that it was reviewing the corrected annual reports submitted in compliance with Ordering Paragraph No. 14 and will file further revised reports, if necessary.  The Company argued that even if those reports contain inadvertent errors, the Company’s filing of fourteen revised annual reports by the required deadlines demonstrates a good faith effort to comply with the Commission’s Order.  Second Petition at 7.</w:t>
      </w:r>
    </w:p>
  </w:footnote>
  <w:footnote w:id="15">
    <w:p w14:paraId="77D2872D" w14:textId="729AB87B" w:rsidR="00676113" w:rsidRPr="00072807" w:rsidRDefault="00676113" w:rsidP="00FD1A00">
      <w:pPr>
        <w:pStyle w:val="FootnoteText"/>
      </w:pPr>
      <w:r w:rsidRPr="00072807">
        <w:rPr>
          <w:rStyle w:val="FootnoteReference"/>
        </w:rPr>
        <w:footnoteRef/>
      </w:r>
      <w:r w:rsidRPr="00072807">
        <w:tab/>
        <w:t xml:space="preserve">On February 19, 2019, the Company filed a petition for review of the </w:t>
      </w:r>
      <w:r w:rsidRPr="00072807">
        <w:rPr>
          <w:i/>
        </w:rPr>
        <w:t>January 2019 McCloskey Order</w:t>
      </w:r>
      <w:r w:rsidRPr="00072807">
        <w:t xml:space="preserve"> with the Commonwealth Court.  </w:t>
      </w:r>
      <w:r w:rsidRPr="00072807">
        <w:rPr>
          <w:i/>
        </w:rPr>
        <w:t>Hidden Valley Utility Services, L.P. v. Pa. PUC</w:t>
      </w:r>
      <w:r w:rsidRPr="00072807">
        <w:t>, 187 C.D. 2019 (Pa. Cmwlth., filed February 19, 2019).</w:t>
      </w:r>
    </w:p>
  </w:footnote>
  <w:footnote w:id="16">
    <w:p w14:paraId="5E1498B0" w14:textId="57DB95C5" w:rsidR="00676113" w:rsidRPr="00072807" w:rsidRDefault="00676113" w:rsidP="00FD1A00">
      <w:pPr>
        <w:pStyle w:val="FootnoteText"/>
      </w:pPr>
      <w:r w:rsidRPr="00072807">
        <w:rPr>
          <w:rStyle w:val="FootnoteReference"/>
        </w:rPr>
        <w:footnoteRef/>
      </w:r>
      <w:r w:rsidRPr="00072807">
        <w:tab/>
        <w:t>Based on this increase, an average residential water customer’s rates would increase by $12.06 per quarter or $4.02 per month.</w:t>
      </w:r>
    </w:p>
  </w:footnote>
  <w:footnote w:id="17">
    <w:p w14:paraId="57327513" w14:textId="3202EC2E" w:rsidR="00676113" w:rsidRPr="00072807" w:rsidRDefault="00676113" w:rsidP="00FD1A00">
      <w:pPr>
        <w:pStyle w:val="FootnoteText"/>
      </w:pPr>
      <w:r w:rsidRPr="00072807">
        <w:rPr>
          <w:rStyle w:val="FootnoteReference"/>
        </w:rPr>
        <w:footnoteRef/>
      </w:r>
      <w:r w:rsidRPr="00072807">
        <w:tab/>
        <w:t>Based on this increase, an average residential wastewater customer’s rates would increase by $15.82 per quarter or $5.27 per month.</w:t>
      </w:r>
    </w:p>
  </w:footnote>
  <w:footnote w:id="18">
    <w:p w14:paraId="4503004F" w14:textId="1E0D9623" w:rsidR="00676113" w:rsidRPr="00072807" w:rsidRDefault="00676113" w:rsidP="00FD1A00">
      <w:pPr>
        <w:pStyle w:val="FootnoteText"/>
      </w:pPr>
      <w:r w:rsidRPr="00072807">
        <w:rPr>
          <w:rStyle w:val="FootnoteReference"/>
        </w:rPr>
        <w:footnoteRef/>
      </w:r>
      <w:r w:rsidRPr="00072807">
        <w:tab/>
        <w:t>Based on this increase, an average residential wastewater customer’s rates would increase to $28.65 per quarter or $9.95 per month.</w:t>
      </w:r>
    </w:p>
  </w:footnote>
  <w:footnote w:id="19">
    <w:p w14:paraId="5079E18A" w14:textId="3A4AF5C6" w:rsidR="00676113" w:rsidRPr="00072807" w:rsidRDefault="00676113" w:rsidP="00FD1A00">
      <w:pPr>
        <w:pStyle w:val="FootnoteText"/>
      </w:pPr>
      <w:r w:rsidRPr="00072807">
        <w:rPr>
          <w:rStyle w:val="FootnoteReference"/>
        </w:rPr>
        <w:footnoteRef/>
      </w:r>
      <w:r w:rsidRPr="00072807">
        <w:tab/>
        <w:t xml:space="preserve">Citing, </w:t>
      </w:r>
      <w:r w:rsidRPr="00072807">
        <w:rPr>
          <w:i/>
        </w:rPr>
        <w:t>UGI Corp. v. Pa. Pub. Util. Comm’n,</w:t>
      </w:r>
      <w:r w:rsidRPr="00072807">
        <w:t xml:space="preserve"> 410 A.2d 923 (Pa. Cmwlth. 1980); </w:t>
      </w:r>
      <w:r w:rsidRPr="00072807">
        <w:rPr>
          <w:i/>
        </w:rPr>
        <w:t>Pa. Power Company v. Pa. Pub. Util. Comm’n,</w:t>
      </w:r>
      <w:r w:rsidRPr="00072807">
        <w:t xml:space="preserve"> 561 A.2d 43, 47 (Pa. Cmwlth. 1989).</w:t>
      </w:r>
    </w:p>
  </w:footnote>
  <w:footnote w:id="20">
    <w:p w14:paraId="2BED998E" w14:textId="0A4581F4" w:rsidR="00676113" w:rsidRPr="00072807" w:rsidRDefault="00676113" w:rsidP="00072807">
      <w:pPr>
        <w:keepNext/>
        <w:keepLines/>
        <w:spacing w:line="240" w:lineRule="auto"/>
        <w:ind w:firstLine="720"/>
        <w:contextualSpacing/>
        <w:rPr>
          <w:sz w:val="26"/>
          <w:szCs w:val="26"/>
        </w:rPr>
      </w:pPr>
      <w:r w:rsidRPr="00072807">
        <w:rPr>
          <w:rStyle w:val="FootnoteReference"/>
          <w:sz w:val="26"/>
          <w:szCs w:val="26"/>
        </w:rPr>
        <w:footnoteRef/>
      </w:r>
      <w:r w:rsidRPr="00072807">
        <w:rPr>
          <w:sz w:val="26"/>
          <w:szCs w:val="26"/>
        </w:rPr>
        <w:tab/>
        <w:t>The ALJs also attached to the Recommended Decision, as “Appendix A," a chart outlining the impacts of the current rates, the as-filed rates, and the Settlement rates.</w:t>
      </w:r>
    </w:p>
  </w:footnote>
  <w:footnote w:id="21">
    <w:p w14:paraId="552899A7" w14:textId="15E5E9AF" w:rsidR="00676113" w:rsidRPr="00072807" w:rsidRDefault="00676113" w:rsidP="00FD1A00">
      <w:pPr>
        <w:pStyle w:val="FootnoteText"/>
      </w:pPr>
      <w:r w:rsidRPr="00072807">
        <w:rPr>
          <w:rStyle w:val="FootnoteReference"/>
        </w:rPr>
        <w:footnoteRef/>
      </w:r>
      <w:r w:rsidRPr="00072807">
        <w:tab/>
        <w:t xml:space="preserve">Ordering Paragraph Nos. 19 and 20 of the </w:t>
      </w:r>
      <w:r w:rsidRPr="00072807">
        <w:rPr>
          <w:i/>
        </w:rPr>
        <w:t>May 2018 McCloskey Order</w:t>
      </w:r>
      <w:r w:rsidRPr="00072807">
        <w:t xml:space="preserve"> state:</w:t>
      </w:r>
    </w:p>
    <w:p w14:paraId="142E6B72" w14:textId="7C70134F" w:rsidR="00676113" w:rsidRPr="00072807" w:rsidRDefault="00676113" w:rsidP="000C7612">
      <w:pPr>
        <w:autoSpaceDE w:val="0"/>
        <w:autoSpaceDN w:val="0"/>
        <w:spacing w:after="240" w:line="240" w:lineRule="auto"/>
        <w:ind w:left="1440" w:right="1440" w:firstLine="720"/>
        <w:rPr>
          <w:b/>
          <w:sz w:val="26"/>
          <w:szCs w:val="26"/>
        </w:rPr>
      </w:pPr>
      <w:r w:rsidRPr="00072807">
        <w:rPr>
          <w:sz w:val="26"/>
          <w:szCs w:val="26"/>
        </w:rPr>
        <w:t>19.</w:t>
      </w:r>
      <w:r w:rsidRPr="00072807">
        <w:rPr>
          <w:sz w:val="26"/>
          <w:szCs w:val="26"/>
        </w:rPr>
        <w:tab/>
        <w:t>That on or before January 31, 2019, or as soon as all repairs, modifications and improvements have been made, as ordered herein, Hidden Valley Utility Services, L.P., shall file a final detailed status report with the Secretary of the Commission, along with a verification from its engineer outlining the details of what has and has not been completed, and provide copies to the Office of Consumer Advocate and to the Commission’s Bureau of Technical Utility Services, in writing, at the time of filing, identifying in detail the extent of compliance and any incomplete matters as ordered herein.  If any matters ordered herein have not been completed, Hidden Valley Utility Services, L.P., and its engineer shall state in said report, in detail, the reasons for the same.</w:t>
      </w:r>
    </w:p>
    <w:p w14:paraId="2BB687D8" w14:textId="61A1244E" w:rsidR="00676113" w:rsidRPr="00072807" w:rsidRDefault="00676113" w:rsidP="00FD1A00">
      <w:pPr>
        <w:autoSpaceDE w:val="0"/>
        <w:autoSpaceDN w:val="0"/>
        <w:spacing w:after="240" w:line="240" w:lineRule="auto"/>
        <w:ind w:left="1440" w:right="1440" w:firstLine="720"/>
        <w:rPr>
          <w:sz w:val="26"/>
          <w:szCs w:val="26"/>
        </w:rPr>
      </w:pPr>
      <w:r w:rsidRPr="00072807">
        <w:rPr>
          <w:sz w:val="26"/>
          <w:szCs w:val="26"/>
        </w:rPr>
        <w:t>20.</w:t>
      </w:r>
      <w:r w:rsidRPr="00072807">
        <w:rPr>
          <w:sz w:val="26"/>
          <w:szCs w:val="26"/>
        </w:rPr>
        <w:tab/>
        <w:t xml:space="preserve">That on or before March 31, 2019, or within sixty (60) days after receipt of a written report of all completed rehabilitative measures from Hidden Valley Utility Services, L.P. and its engineer, the Bureau of Technical Utility Services shall investigate the quality of the water as well as of the water and wastewater services being received by Hidden Valley Utility Services, L.P.’s customers.  </w:t>
      </w:r>
      <w:r w:rsidRPr="00072807">
        <w:rPr>
          <w:b/>
          <w:i/>
          <w:sz w:val="26"/>
          <w:szCs w:val="26"/>
        </w:rPr>
        <w:t>If the recommended repairs, modifications, rehabilitative and maintenance procedures have not been accomplished within the time frame structured herein, or if the water quality or water and wastewater service as reported by the Bureau of Technical Utility Services is not adequate and reasonable,</w:t>
      </w:r>
      <w:r w:rsidRPr="00072807">
        <w:rPr>
          <w:sz w:val="26"/>
          <w:szCs w:val="26"/>
        </w:rPr>
        <w:t xml:space="preserve"> an evidentiary hearing shall forthwith be scheduled by the Office of Administrative Law Judge for purposes of addressing one or more of the following issues:  the adequacy of the water system, the adequacy of the wastewater system, the quality of the water, the appropriateness of penalties to be imposed against Hidden Valley Utility Services, L.P., the appropriateness of ratepayer refunds, and any other issue relative to these ordering paragraphs.  The burden of proof in the evidentiary hearing as to these issues shall be upon Hidden Valley Utility Services, L.P.  The Commission shall retain jurisdiction for that purpose.</w:t>
      </w:r>
    </w:p>
    <w:p w14:paraId="6A1DC49B" w14:textId="12A9F4FD" w:rsidR="00676113" w:rsidRPr="00072807" w:rsidRDefault="00676113" w:rsidP="00FD1A00">
      <w:pPr>
        <w:pStyle w:val="FootnoteText"/>
      </w:pPr>
      <w:r w:rsidRPr="00072807">
        <w:rPr>
          <w:i/>
        </w:rPr>
        <w:t>May 2018 McCloskey Order</w:t>
      </w:r>
      <w:r w:rsidRPr="00072807">
        <w:t xml:space="preserve"> at 31-32 (emphasis added).</w:t>
      </w:r>
    </w:p>
  </w:footnote>
  <w:footnote w:id="22">
    <w:p w14:paraId="130C696B" w14:textId="25F6F2BD" w:rsidR="00676113" w:rsidRPr="00072807" w:rsidRDefault="00676113" w:rsidP="00FD1A00">
      <w:pPr>
        <w:pStyle w:val="FootnoteText"/>
      </w:pPr>
      <w:r w:rsidRPr="00072807">
        <w:rPr>
          <w:rStyle w:val="FootnoteReference"/>
        </w:rPr>
        <w:footnoteRef/>
      </w:r>
      <w:r w:rsidRPr="00072807">
        <w:tab/>
        <w:t>The Engineer Report estimated the maintenance and repair costs as follows: (1) Sewage Treatment Plant No. 1 - $104,250; (2) Sewage Treatment Plant No. 2 - $51,900; (3) Spray field, Snowmaking and Storage Lagoon - $13,000, Pump Stations - $58,750.  I&amp;E Exh. 3, Sch. 2 at 53.</w:t>
      </w:r>
    </w:p>
  </w:footnote>
  <w:footnote w:id="23">
    <w:p w14:paraId="5E34F20E" w14:textId="7AE088E5" w:rsidR="00676113" w:rsidRPr="00072807" w:rsidRDefault="00676113" w:rsidP="00FD1A00">
      <w:pPr>
        <w:pStyle w:val="FootnoteText"/>
      </w:pPr>
      <w:r w:rsidRPr="00072807">
        <w:rPr>
          <w:rStyle w:val="FootnoteReference"/>
        </w:rPr>
        <w:footnoteRef/>
      </w:r>
      <w:r w:rsidRPr="00072807">
        <w:tab/>
        <w:t xml:space="preserve">Ordering Paragraph No. 11 of the </w:t>
      </w:r>
      <w:r w:rsidRPr="00072807">
        <w:rPr>
          <w:i/>
        </w:rPr>
        <w:t>May 2018 McCloskey Order</w:t>
      </w:r>
      <w:r w:rsidRPr="00072807">
        <w:t xml:space="preserve"> states:</w:t>
      </w:r>
    </w:p>
    <w:p w14:paraId="45756E5F" w14:textId="27971AD3" w:rsidR="00676113" w:rsidRPr="00072807" w:rsidRDefault="00676113" w:rsidP="00072807">
      <w:pPr>
        <w:keepNext/>
        <w:keepLines/>
        <w:autoSpaceDE w:val="0"/>
        <w:autoSpaceDN w:val="0"/>
        <w:spacing w:line="240" w:lineRule="auto"/>
        <w:ind w:left="1440"/>
        <w:contextualSpacing/>
        <w:rPr>
          <w:sz w:val="26"/>
          <w:szCs w:val="26"/>
        </w:rPr>
      </w:pPr>
      <w:r w:rsidRPr="00072807">
        <w:rPr>
          <w:sz w:val="26"/>
          <w:szCs w:val="26"/>
        </w:rPr>
        <w:t xml:space="preserve">That Hidden Valley Utility Services, L.P., shall comply with all recommendations from the engineer with regard to wastewater services in order to ensure that customers shall receive adequate and reasonable wastewater service, on or before </w:t>
      </w:r>
      <w:r w:rsidRPr="00072807">
        <w:rPr>
          <w:b/>
          <w:i/>
          <w:sz w:val="26"/>
          <w:szCs w:val="26"/>
        </w:rPr>
        <w:t>January 31, 2019.</w:t>
      </w:r>
    </w:p>
  </w:footnote>
  <w:footnote w:id="24">
    <w:p w14:paraId="4518078E" w14:textId="242F444D" w:rsidR="00676113" w:rsidRPr="00072807" w:rsidRDefault="00676113" w:rsidP="00FD1A00">
      <w:pPr>
        <w:pStyle w:val="FootnoteText"/>
      </w:pPr>
      <w:r w:rsidRPr="00072807">
        <w:rPr>
          <w:rStyle w:val="FootnoteReference"/>
        </w:rPr>
        <w:footnoteRef/>
      </w:r>
      <w:r w:rsidRPr="00072807">
        <w:tab/>
        <w:t>R.D. at 57-58.</w:t>
      </w:r>
    </w:p>
  </w:footnote>
  <w:footnote w:id="25">
    <w:p w14:paraId="3E603889" w14:textId="6AECD86E" w:rsidR="00676113" w:rsidRPr="00072807" w:rsidRDefault="00676113" w:rsidP="00FD1A00">
      <w:pPr>
        <w:pStyle w:val="FootnoteText"/>
      </w:pPr>
      <w:r w:rsidRPr="00072807">
        <w:rPr>
          <w:rStyle w:val="FootnoteReference"/>
        </w:rPr>
        <w:footnoteRef/>
      </w:r>
      <w:r w:rsidRPr="00072807">
        <w:tab/>
        <w:t>The Foundation’s Exception Nos. 1-3 and 6-8 discuss its objection to the ALJs’ recommendations regarding the revenue requirement and rate design as set forth in the Non-Unanimous Settlement.  The Foundation outlined its arguments in its Exception No. 1 and referenced these arguments in Exception Nos. 2-3 and 6-8.</w:t>
      </w:r>
    </w:p>
  </w:footnote>
  <w:footnote w:id="26">
    <w:p w14:paraId="6D097C7B" w14:textId="6B856D84" w:rsidR="00676113" w:rsidRPr="00072807" w:rsidRDefault="00676113" w:rsidP="00FD1A00">
      <w:pPr>
        <w:pStyle w:val="FootnoteText"/>
      </w:pPr>
      <w:r w:rsidRPr="00072807">
        <w:rPr>
          <w:rStyle w:val="FootnoteReference"/>
        </w:rPr>
        <w:footnoteRef/>
      </w:r>
      <w:r w:rsidRPr="00072807">
        <w:tab/>
        <w:t>Appendix A is attached to this Opinion and Order and shows a listing and comparison of the various rates as proposed and as settled, as modified by the Recommended Decision and adopted in this Opinion and Order.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A7B31"/>
    <w:multiLevelType w:val="hybridMultilevel"/>
    <w:tmpl w:val="2CAE63E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8E0D01"/>
    <w:multiLevelType w:val="hybridMultilevel"/>
    <w:tmpl w:val="FF5AC5E8"/>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BA2108"/>
    <w:multiLevelType w:val="hybridMultilevel"/>
    <w:tmpl w:val="82624E2C"/>
    <w:lvl w:ilvl="0" w:tplc="5896F3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EE731C"/>
    <w:multiLevelType w:val="hybridMultilevel"/>
    <w:tmpl w:val="0DEA0AEE"/>
    <w:lvl w:ilvl="0" w:tplc="04090015">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3E318A"/>
    <w:multiLevelType w:val="hybridMultilevel"/>
    <w:tmpl w:val="BA3AF7D8"/>
    <w:lvl w:ilvl="0" w:tplc="04090019">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E83688"/>
    <w:multiLevelType w:val="hybridMultilevel"/>
    <w:tmpl w:val="C01A2136"/>
    <w:lvl w:ilvl="0" w:tplc="42202D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A847974"/>
    <w:multiLevelType w:val="hybridMultilevel"/>
    <w:tmpl w:val="AA5649B8"/>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E3F18A9"/>
    <w:multiLevelType w:val="hybridMultilevel"/>
    <w:tmpl w:val="3FEC8AF6"/>
    <w:lvl w:ilvl="0" w:tplc="89027386">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E56FD2"/>
    <w:multiLevelType w:val="hybridMultilevel"/>
    <w:tmpl w:val="46A0CEE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B36DF6"/>
    <w:multiLevelType w:val="hybridMultilevel"/>
    <w:tmpl w:val="7A9EA282"/>
    <w:lvl w:ilvl="0" w:tplc="0F0489D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202BCC"/>
    <w:multiLevelType w:val="hybridMultilevel"/>
    <w:tmpl w:val="4F9A5944"/>
    <w:lvl w:ilvl="0" w:tplc="B2B8B61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F11532C"/>
    <w:multiLevelType w:val="hybridMultilevel"/>
    <w:tmpl w:val="14289E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B332C9"/>
    <w:multiLevelType w:val="hybridMultilevel"/>
    <w:tmpl w:val="891EE3A8"/>
    <w:lvl w:ilvl="0" w:tplc="8EE469F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C805E6"/>
    <w:multiLevelType w:val="hybridMultilevel"/>
    <w:tmpl w:val="0582CEAA"/>
    <w:lvl w:ilvl="0" w:tplc="29446B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B864F35"/>
    <w:multiLevelType w:val="hybridMultilevel"/>
    <w:tmpl w:val="94FACFB0"/>
    <w:lvl w:ilvl="0" w:tplc="DA849E4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F55F8D"/>
    <w:multiLevelType w:val="hybridMultilevel"/>
    <w:tmpl w:val="EEAE31F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1064C78"/>
    <w:multiLevelType w:val="hybridMultilevel"/>
    <w:tmpl w:val="0E9E0D5A"/>
    <w:lvl w:ilvl="0" w:tplc="93BE72F4">
      <w:start w:val="1"/>
      <w:numFmt w:val="decimal"/>
      <w:lvlText w:val="%1."/>
      <w:lvlJc w:val="left"/>
      <w:pPr>
        <w:ind w:left="1440" w:hanging="360"/>
      </w:pPr>
    </w:lvl>
    <w:lvl w:ilvl="1" w:tplc="04090019">
      <w:start w:val="1"/>
      <w:numFmt w:val="lowerLetter"/>
      <w:lvlText w:val="%2."/>
      <w:lvlJc w:val="left"/>
      <w:pPr>
        <w:ind w:left="2160" w:hanging="360"/>
      </w:pPr>
    </w:lvl>
    <w:lvl w:ilvl="2" w:tplc="D3FABFC4">
      <w:start w:val="2"/>
      <w:numFmt w:val="upperLetter"/>
      <w:lvlText w:val="%3."/>
      <w:lvlJc w:val="left"/>
      <w:pPr>
        <w:ind w:left="3060" w:hanging="360"/>
      </w:pPr>
      <w:rPr>
        <w:rFonts w:hint="default"/>
      </w:rPr>
    </w:lvl>
    <w:lvl w:ilvl="3" w:tplc="02F848EE">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1326591"/>
    <w:multiLevelType w:val="hybridMultilevel"/>
    <w:tmpl w:val="C01A2136"/>
    <w:lvl w:ilvl="0" w:tplc="42202D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6A038A1"/>
    <w:multiLevelType w:val="hybridMultilevel"/>
    <w:tmpl w:val="43EE7B2E"/>
    <w:lvl w:ilvl="0" w:tplc="17D0E1E8">
      <w:start w:val="1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81A5DAA"/>
    <w:multiLevelType w:val="hybridMultilevel"/>
    <w:tmpl w:val="4CB88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3702F5"/>
    <w:multiLevelType w:val="hybridMultilevel"/>
    <w:tmpl w:val="43C6678C"/>
    <w:lvl w:ilvl="0" w:tplc="11D8CBF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15F728C"/>
    <w:multiLevelType w:val="hybridMultilevel"/>
    <w:tmpl w:val="76E48CEE"/>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3C750B6"/>
    <w:multiLevelType w:val="hybridMultilevel"/>
    <w:tmpl w:val="F7A6283C"/>
    <w:lvl w:ilvl="0" w:tplc="F0E63A10">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84D37AA"/>
    <w:multiLevelType w:val="hybridMultilevel"/>
    <w:tmpl w:val="D8967E58"/>
    <w:lvl w:ilvl="0" w:tplc="E522F6F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78E073B"/>
    <w:multiLevelType w:val="hybridMultilevel"/>
    <w:tmpl w:val="6E6CB124"/>
    <w:lvl w:ilvl="0" w:tplc="B6E626F2">
      <w:start w:val="1"/>
      <w:numFmt w:val="lowerRoman"/>
      <w:lvlText w:val="(%1)"/>
      <w:lvlJc w:val="left"/>
      <w:pPr>
        <w:ind w:left="5760" w:hanging="72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5" w15:restartNumberingAfterBreak="0">
    <w:nsid w:val="68F07E64"/>
    <w:multiLevelType w:val="hybridMultilevel"/>
    <w:tmpl w:val="D188CF7E"/>
    <w:lvl w:ilvl="0" w:tplc="BC76B3BC">
      <w:start w:val="1"/>
      <w:numFmt w:val="decimal"/>
      <w:lvlText w:val="%1."/>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7C8CF76">
      <w:start w:val="1"/>
      <w:numFmt w:val="lowerLetter"/>
      <w:lvlText w:val="%2"/>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1A93BA">
      <w:start w:val="1"/>
      <w:numFmt w:val="lowerRoman"/>
      <w:lvlText w:val="%3"/>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4425A6">
      <w:start w:val="1"/>
      <w:numFmt w:val="decimal"/>
      <w:lvlText w:val="%4"/>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E027DE">
      <w:start w:val="1"/>
      <w:numFmt w:val="lowerLetter"/>
      <w:lvlText w:val="%5"/>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5C2DE6">
      <w:start w:val="1"/>
      <w:numFmt w:val="lowerRoman"/>
      <w:lvlText w:val="%6"/>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78AAF4">
      <w:start w:val="1"/>
      <w:numFmt w:val="decimal"/>
      <w:lvlText w:val="%7"/>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285D78">
      <w:start w:val="1"/>
      <w:numFmt w:val="lowerLetter"/>
      <w:lvlText w:val="%8"/>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3C3B06">
      <w:start w:val="1"/>
      <w:numFmt w:val="lowerRoman"/>
      <w:lvlText w:val="%9"/>
      <w:lvlJc w:val="left"/>
      <w:pPr>
        <w:ind w:left="8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BE75B10"/>
    <w:multiLevelType w:val="hybridMultilevel"/>
    <w:tmpl w:val="910AAE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4E6962"/>
    <w:multiLevelType w:val="hybridMultilevel"/>
    <w:tmpl w:val="26166126"/>
    <w:lvl w:ilvl="0" w:tplc="60FAB6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321B71"/>
    <w:multiLevelType w:val="hybridMultilevel"/>
    <w:tmpl w:val="023C155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15:restartNumberingAfterBreak="0">
    <w:nsid w:val="787A40CB"/>
    <w:multiLevelType w:val="hybridMultilevel"/>
    <w:tmpl w:val="BA5E2F0C"/>
    <w:lvl w:ilvl="0" w:tplc="BA0AAB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AEE56E2"/>
    <w:multiLevelType w:val="hybridMultilevel"/>
    <w:tmpl w:val="43C6678C"/>
    <w:lvl w:ilvl="0" w:tplc="11D8CBF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CF3589F"/>
    <w:multiLevelType w:val="hybridMultilevel"/>
    <w:tmpl w:val="B29E0A42"/>
    <w:lvl w:ilvl="0" w:tplc="B86EFE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DF74AE6"/>
    <w:multiLevelType w:val="hybridMultilevel"/>
    <w:tmpl w:val="427AA794"/>
    <w:lvl w:ilvl="0" w:tplc="EEFE3002">
      <w:start w:val="7"/>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16"/>
  </w:num>
  <w:num w:numId="3">
    <w:abstractNumId w:val="27"/>
  </w:num>
  <w:num w:numId="4">
    <w:abstractNumId w:val="12"/>
  </w:num>
  <w:num w:numId="5">
    <w:abstractNumId w:val="24"/>
  </w:num>
  <w:num w:numId="6">
    <w:abstractNumId w:val="22"/>
  </w:num>
  <w:num w:numId="7">
    <w:abstractNumId w:val="23"/>
  </w:num>
  <w:num w:numId="8">
    <w:abstractNumId w:val="18"/>
  </w:num>
  <w:num w:numId="9">
    <w:abstractNumId w:val="14"/>
  </w:num>
  <w:num w:numId="10">
    <w:abstractNumId w:val="30"/>
  </w:num>
  <w:num w:numId="11">
    <w:abstractNumId w:val="20"/>
  </w:num>
  <w:num w:numId="12">
    <w:abstractNumId w:val="9"/>
  </w:num>
  <w:num w:numId="13">
    <w:abstractNumId w:val="19"/>
  </w:num>
  <w:num w:numId="14">
    <w:abstractNumId w:val="8"/>
  </w:num>
  <w:num w:numId="15">
    <w:abstractNumId w:val="21"/>
  </w:num>
  <w:num w:numId="16">
    <w:abstractNumId w:val="0"/>
  </w:num>
  <w:num w:numId="17">
    <w:abstractNumId w:val="4"/>
  </w:num>
  <w:num w:numId="18">
    <w:abstractNumId w:val="3"/>
  </w:num>
  <w:num w:numId="19">
    <w:abstractNumId w:val="31"/>
  </w:num>
  <w:num w:numId="20">
    <w:abstractNumId w:val="29"/>
  </w:num>
  <w:num w:numId="21">
    <w:abstractNumId w:val="5"/>
  </w:num>
  <w:num w:numId="22">
    <w:abstractNumId w:val="2"/>
  </w:num>
  <w:num w:numId="23">
    <w:abstractNumId w:val="1"/>
  </w:num>
  <w:num w:numId="24">
    <w:abstractNumId w:val="6"/>
  </w:num>
  <w:num w:numId="25">
    <w:abstractNumId w:val="10"/>
  </w:num>
  <w:num w:numId="26">
    <w:abstractNumId w:val="25"/>
  </w:num>
  <w:num w:numId="27">
    <w:abstractNumId w:val="32"/>
  </w:num>
  <w:num w:numId="28">
    <w:abstractNumId w:val="28"/>
  </w:num>
  <w:num w:numId="29">
    <w:abstractNumId w:val="17"/>
  </w:num>
  <w:num w:numId="30">
    <w:abstractNumId w:val="13"/>
  </w:num>
  <w:num w:numId="31">
    <w:abstractNumId w:val="26"/>
  </w:num>
  <w:num w:numId="32">
    <w:abstractNumId w:val="11"/>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583"/>
    <w:rsid w:val="00000DE2"/>
    <w:rsid w:val="00002784"/>
    <w:rsid w:val="0000330D"/>
    <w:rsid w:val="00003658"/>
    <w:rsid w:val="000037F3"/>
    <w:rsid w:val="00003DD6"/>
    <w:rsid w:val="00006499"/>
    <w:rsid w:val="00007289"/>
    <w:rsid w:val="0001004F"/>
    <w:rsid w:val="000100DD"/>
    <w:rsid w:val="0001164E"/>
    <w:rsid w:val="00011970"/>
    <w:rsid w:val="00012DBA"/>
    <w:rsid w:val="000137A9"/>
    <w:rsid w:val="00013AB1"/>
    <w:rsid w:val="0001451D"/>
    <w:rsid w:val="00015BEC"/>
    <w:rsid w:val="00015EA9"/>
    <w:rsid w:val="00016291"/>
    <w:rsid w:val="000162F2"/>
    <w:rsid w:val="0001659F"/>
    <w:rsid w:val="000167CD"/>
    <w:rsid w:val="00021932"/>
    <w:rsid w:val="00022C77"/>
    <w:rsid w:val="00023173"/>
    <w:rsid w:val="0002318A"/>
    <w:rsid w:val="000243B5"/>
    <w:rsid w:val="0002490D"/>
    <w:rsid w:val="00024D72"/>
    <w:rsid w:val="00025807"/>
    <w:rsid w:val="00025FFF"/>
    <w:rsid w:val="00026DFA"/>
    <w:rsid w:val="00026F88"/>
    <w:rsid w:val="00027078"/>
    <w:rsid w:val="000272E1"/>
    <w:rsid w:val="00027863"/>
    <w:rsid w:val="00027F74"/>
    <w:rsid w:val="00030391"/>
    <w:rsid w:val="00031FB2"/>
    <w:rsid w:val="00033557"/>
    <w:rsid w:val="0003455A"/>
    <w:rsid w:val="000346D9"/>
    <w:rsid w:val="00034896"/>
    <w:rsid w:val="00035619"/>
    <w:rsid w:val="00035BC9"/>
    <w:rsid w:val="00040FE2"/>
    <w:rsid w:val="0004198D"/>
    <w:rsid w:val="00042982"/>
    <w:rsid w:val="00043FED"/>
    <w:rsid w:val="000448C4"/>
    <w:rsid w:val="00045D29"/>
    <w:rsid w:val="00046006"/>
    <w:rsid w:val="0004691F"/>
    <w:rsid w:val="00046963"/>
    <w:rsid w:val="00050707"/>
    <w:rsid w:val="00050D68"/>
    <w:rsid w:val="00050D88"/>
    <w:rsid w:val="0005113C"/>
    <w:rsid w:val="0005197B"/>
    <w:rsid w:val="000531F7"/>
    <w:rsid w:val="000532D4"/>
    <w:rsid w:val="000532FE"/>
    <w:rsid w:val="00055D76"/>
    <w:rsid w:val="0005604B"/>
    <w:rsid w:val="0005637E"/>
    <w:rsid w:val="000563ED"/>
    <w:rsid w:val="00056ED6"/>
    <w:rsid w:val="000570FA"/>
    <w:rsid w:val="0005773D"/>
    <w:rsid w:val="00057AEA"/>
    <w:rsid w:val="00057DC7"/>
    <w:rsid w:val="00060669"/>
    <w:rsid w:val="00060B7C"/>
    <w:rsid w:val="00062444"/>
    <w:rsid w:val="00062D5D"/>
    <w:rsid w:val="00062EA2"/>
    <w:rsid w:val="000630D5"/>
    <w:rsid w:val="00064329"/>
    <w:rsid w:val="00064CDB"/>
    <w:rsid w:val="00064EC1"/>
    <w:rsid w:val="0006508F"/>
    <w:rsid w:val="000655FC"/>
    <w:rsid w:val="00066317"/>
    <w:rsid w:val="00066819"/>
    <w:rsid w:val="000668CF"/>
    <w:rsid w:val="0006694B"/>
    <w:rsid w:val="00066986"/>
    <w:rsid w:val="0007090D"/>
    <w:rsid w:val="00070B8D"/>
    <w:rsid w:val="00071AAC"/>
    <w:rsid w:val="00071B26"/>
    <w:rsid w:val="00071C56"/>
    <w:rsid w:val="00071DD4"/>
    <w:rsid w:val="00072807"/>
    <w:rsid w:val="000737D4"/>
    <w:rsid w:val="0007383C"/>
    <w:rsid w:val="00076724"/>
    <w:rsid w:val="00080796"/>
    <w:rsid w:val="000824F8"/>
    <w:rsid w:val="0008350B"/>
    <w:rsid w:val="00084A34"/>
    <w:rsid w:val="00085A91"/>
    <w:rsid w:val="0008710B"/>
    <w:rsid w:val="000872FE"/>
    <w:rsid w:val="0008779C"/>
    <w:rsid w:val="00087CD6"/>
    <w:rsid w:val="00090320"/>
    <w:rsid w:val="0009066B"/>
    <w:rsid w:val="00093EDD"/>
    <w:rsid w:val="0009479F"/>
    <w:rsid w:val="00094D38"/>
    <w:rsid w:val="00095AAE"/>
    <w:rsid w:val="00096D68"/>
    <w:rsid w:val="00097A44"/>
    <w:rsid w:val="000A21FC"/>
    <w:rsid w:val="000A3252"/>
    <w:rsid w:val="000A353F"/>
    <w:rsid w:val="000A4E99"/>
    <w:rsid w:val="000A5CD1"/>
    <w:rsid w:val="000A735D"/>
    <w:rsid w:val="000A7CB7"/>
    <w:rsid w:val="000B1BAD"/>
    <w:rsid w:val="000B1DB6"/>
    <w:rsid w:val="000B2126"/>
    <w:rsid w:val="000B230D"/>
    <w:rsid w:val="000B24E9"/>
    <w:rsid w:val="000B3214"/>
    <w:rsid w:val="000B322B"/>
    <w:rsid w:val="000B347D"/>
    <w:rsid w:val="000B3743"/>
    <w:rsid w:val="000B3C75"/>
    <w:rsid w:val="000B66A7"/>
    <w:rsid w:val="000B6A0A"/>
    <w:rsid w:val="000B6C14"/>
    <w:rsid w:val="000B7E30"/>
    <w:rsid w:val="000B7F12"/>
    <w:rsid w:val="000C01DC"/>
    <w:rsid w:val="000C0707"/>
    <w:rsid w:val="000C1A97"/>
    <w:rsid w:val="000C1E60"/>
    <w:rsid w:val="000C2118"/>
    <w:rsid w:val="000C2C06"/>
    <w:rsid w:val="000C3D0E"/>
    <w:rsid w:val="000C414A"/>
    <w:rsid w:val="000C47C8"/>
    <w:rsid w:val="000C5390"/>
    <w:rsid w:val="000C667F"/>
    <w:rsid w:val="000C6ECF"/>
    <w:rsid w:val="000C7612"/>
    <w:rsid w:val="000C7903"/>
    <w:rsid w:val="000C7C19"/>
    <w:rsid w:val="000D0EC7"/>
    <w:rsid w:val="000D1386"/>
    <w:rsid w:val="000D14AC"/>
    <w:rsid w:val="000D17DD"/>
    <w:rsid w:val="000D2E34"/>
    <w:rsid w:val="000D34A8"/>
    <w:rsid w:val="000D3F8A"/>
    <w:rsid w:val="000D4E51"/>
    <w:rsid w:val="000D54CD"/>
    <w:rsid w:val="000D5BDF"/>
    <w:rsid w:val="000D65C7"/>
    <w:rsid w:val="000D7B86"/>
    <w:rsid w:val="000E01F5"/>
    <w:rsid w:val="000E0863"/>
    <w:rsid w:val="000E1314"/>
    <w:rsid w:val="000E2128"/>
    <w:rsid w:val="000E4BF2"/>
    <w:rsid w:val="000E65A7"/>
    <w:rsid w:val="000E65FF"/>
    <w:rsid w:val="000E6BEC"/>
    <w:rsid w:val="000E6D4A"/>
    <w:rsid w:val="000E72AF"/>
    <w:rsid w:val="000F1E54"/>
    <w:rsid w:val="000F2211"/>
    <w:rsid w:val="000F41A4"/>
    <w:rsid w:val="000F48FB"/>
    <w:rsid w:val="000F4D29"/>
    <w:rsid w:val="000F509F"/>
    <w:rsid w:val="000F5BF0"/>
    <w:rsid w:val="000F7AC3"/>
    <w:rsid w:val="00100287"/>
    <w:rsid w:val="00101185"/>
    <w:rsid w:val="001012D5"/>
    <w:rsid w:val="0010255B"/>
    <w:rsid w:val="0010276B"/>
    <w:rsid w:val="00102EB0"/>
    <w:rsid w:val="0010378D"/>
    <w:rsid w:val="001051B9"/>
    <w:rsid w:val="001065E0"/>
    <w:rsid w:val="00106955"/>
    <w:rsid w:val="00106F06"/>
    <w:rsid w:val="001105D0"/>
    <w:rsid w:val="001113BF"/>
    <w:rsid w:val="00112877"/>
    <w:rsid w:val="001130C6"/>
    <w:rsid w:val="001133D5"/>
    <w:rsid w:val="00115035"/>
    <w:rsid w:val="0011541C"/>
    <w:rsid w:val="001173B5"/>
    <w:rsid w:val="00117E49"/>
    <w:rsid w:val="001212FD"/>
    <w:rsid w:val="001221AE"/>
    <w:rsid w:val="00122204"/>
    <w:rsid w:val="00122965"/>
    <w:rsid w:val="0012296B"/>
    <w:rsid w:val="00122BAA"/>
    <w:rsid w:val="0012405A"/>
    <w:rsid w:val="0012426F"/>
    <w:rsid w:val="001244C9"/>
    <w:rsid w:val="001248BF"/>
    <w:rsid w:val="00125E24"/>
    <w:rsid w:val="001262E5"/>
    <w:rsid w:val="001263E1"/>
    <w:rsid w:val="00126BA6"/>
    <w:rsid w:val="00127072"/>
    <w:rsid w:val="00131342"/>
    <w:rsid w:val="001318A0"/>
    <w:rsid w:val="00131B31"/>
    <w:rsid w:val="00131E7C"/>
    <w:rsid w:val="001346A6"/>
    <w:rsid w:val="00134B50"/>
    <w:rsid w:val="00135958"/>
    <w:rsid w:val="00137730"/>
    <w:rsid w:val="0014126C"/>
    <w:rsid w:val="00141429"/>
    <w:rsid w:val="00141FBF"/>
    <w:rsid w:val="001424F8"/>
    <w:rsid w:val="00142B96"/>
    <w:rsid w:val="001435EB"/>
    <w:rsid w:val="00143D08"/>
    <w:rsid w:val="00144310"/>
    <w:rsid w:val="00144568"/>
    <w:rsid w:val="001446D8"/>
    <w:rsid w:val="00145814"/>
    <w:rsid w:val="00145DCE"/>
    <w:rsid w:val="00147AE0"/>
    <w:rsid w:val="00151CED"/>
    <w:rsid w:val="00152827"/>
    <w:rsid w:val="00152CA9"/>
    <w:rsid w:val="00153AF4"/>
    <w:rsid w:val="001541F4"/>
    <w:rsid w:val="001564D6"/>
    <w:rsid w:val="00161723"/>
    <w:rsid w:val="00162561"/>
    <w:rsid w:val="001625DC"/>
    <w:rsid w:val="0016477D"/>
    <w:rsid w:val="001652CA"/>
    <w:rsid w:val="001656D9"/>
    <w:rsid w:val="001657AA"/>
    <w:rsid w:val="00166115"/>
    <w:rsid w:val="0016726D"/>
    <w:rsid w:val="001672DE"/>
    <w:rsid w:val="00170121"/>
    <w:rsid w:val="00170864"/>
    <w:rsid w:val="001715D1"/>
    <w:rsid w:val="00174B68"/>
    <w:rsid w:val="00174C6E"/>
    <w:rsid w:val="00174F7C"/>
    <w:rsid w:val="001752A6"/>
    <w:rsid w:val="0017536E"/>
    <w:rsid w:val="00176C15"/>
    <w:rsid w:val="00176C9A"/>
    <w:rsid w:val="00176EFB"/>
    <w:rsid w:val="00177B48"/>
    <w:rsid w:val="00182BE9"/>
    <w:rsid w:val="00182CE3"/>
    <w:rsid w:val="00182F23"/>
    <w:rsid w:val="00183BE3"/>
    <w:rsid w:val="00185E51"/>
    <w:rsid w:val="0018608C"/>
    <w:rsid w:val="00186354"/>
    <w:rsid w:val="0018648A"/>
    <w:rsid w:val="00186D02"/>
    <w:rsid w:val="00187463"/>
    <w:rsid w:val="001876E7"/>
    <w:rsid w:val="00187A42"/>
    <w:rsid w:val="001911A1"/>
    <w:rsid w:val="00192B4A"/>
    <w:rsid w:val="001930D2"/>
    <w:rsid w:val="0019487E"/>
    <w:rsid w:val="00195B6C"/>
    <w:rsid w:val="001A049A"/>
    <w:rsid w:val="001A054A"/>
    <w:rsid w:val="001A108D"/>
    <w:rsid w:val="001A3B6A"/>
    <w:rsid w:val="001A3F66"/>
    <w:rsid w:val="001A6F32"/>
    <w:rsid w:val="001A7755"/>
    <w:rsid w:val="001B087F"/>
    <w:rsid w:val="001B1701"/>
    <w:rsid w:val="001B2F75"/>
    <w:rsid w:val="001B43A7"/>
    <w:rsid w:val="001B4611"/>
    <w:rsid w:val="001B5E7D"/>
    <w:rsid w:val="001B6685"/>
    <w:rsid w:val="001B7969"/>
    <w:rsid w:val="001C045B"/>
    <w:rsid w:val="001C0F73"/>
    <w:rsid w:val="001C1CB1"/>
    <w:rsid w:val="001C288A"/>
    <w:rsid w:val="001C29C8"/>
    <w:rsid w:val="001C3C30"/>
    <w:rsid w:val="001C44A4"/>
    <w:rsid w:val="001C48D1"/>
    <w:rsid w:val="001C5B8C"/>
    <w:rsid w:val="001C720C"/>
    <w:rsid w:val="001C74A5"/>
    <w:rsid w:val="001C78EE"/>
    <w:rsid w:val="001D04B3"/>
    <w:rsid w:val="001D248D"/>
    <w:rsid w:val="001D2628"/>
    <w:rsid w:val="001D26BE"/>
    <w:rsid w:val="001D28EF"/>
    <w:rsid w:val="001D3336"/>
    <w:rsid w:val="001D4120"/>
    <w:rsid w:val="001D421F"/>
    <w:rsid w:val="001D4BFD"/>
    <w:rsid w:val="001D4E03"/>
    <w:rsid w:val="001D51BD"/>
    <w:rsid w:val="001D5996"/>
    <w:rsid w:val="001D7802"/>
    <w:rsid w:val="001E0BE6"/>
    <w:rsid w:val="001E1A2F"/>
    <w:rsid w:val="001E26C6"/>
    <w:rsid w:val="001E2A7D"/>
    <w:rsid w:val="001E300A"/>
    <w:rsid w:val="001E3495"/>
    <w:rsid w:val="001E3606"/>
    <w:rsid w:val="001E3865"/>
    <w:rsid w:val="001E546B"/>
    <w:rsid w:val="001E5771"/>
    <w:rsid w:val="001E58B4"/>
    <w:rsid w:val="001E5C07"/>
    <w:rsid w:val="001E6926"/>
    <w:rsid w:val="001F0AB5"/>
    <w:rsid w:val="001F0BAE"/>
    <w:rsid w:val="001F19BC"/>
    <w:rsid w:val="001F1DBE"/>
    <w:rsid w:val="001F21AC"/>
    <w:rsid w:val="001F274B"/>
    <w:rsid w:val="001F3049"/>
    <w:rsid w:val="001F427C"/>
    <w:rsid w:val="001F4382"/>
    <w:rsid w:val="001F4EC9"/>
    <w:rsid w:val="001F53D1"/>
    <w:rsid w:val="001F6370"/>
    <w:rsid w:val="001F6E41"/>
    <w:rsid w:val="001F76F1"/>
    <w:rsid w:val="00201104"/>
    <w:rsid w:val="00201839"/>
    <w:rsid w:val="00201F73"/>
    <w:rsid w:val="00202378"/>
    <w:rsid w:val="002025EC"/>
    <w:rsid w:val="00202A96"/>
    <w:rsid w:val="00202E70"/>
    <w:rsid w:val="00202F15"/>
    <w:rsid w:val="00203022"/>
    <w:rsid w:val="00203175"/>
    <w:rsid w:val="002040DF"/>
    <w:rsid w:val="00206A98"/>
    <w:rsid w:val="0021056B"/>
    <w:rsid w:val="00210D10"/>
    <w:rsid w:val="00211EB8"/>
    <w:rsid w:val="002125A8"/>
    <w:rsid w:val="0021320F"/>
    <w:rsid w:val="002136E3"/>
    <w:rsid w:val="00213753"/>
    <w:rsid w:val="002140BB"/>
    <w:rsid w:val="00214ED0"/>
    <w:rsid w:val="002154AE"/>
    <w:rsid w:val="00215A05"/>
    <w:rsid w:val="0021647B"/>
    <w:rsid w:val="00216E51"/>
    <w:rsid w:val="00220618"/>
    <w:rsid w:val="002206D7"/>
    <w:rsid w:val="0022070A"/>
    <w:rsid w:val="002218FF"/>
    <w:rsid w:val="00221B21"/>
    <w:rsid w:val="002233BD"/>
    <w:rsid w:val="0022408B"/>
    <w:rsid w:val="002242FD"/>
    <w:rsid w:val="002248F2"/>
    <w:rsid w:val="002249D5"/>
    <w:rsid w:val="00226CE9"/>
    <w:rsid w:val="002306E4"/>
    <w:rsid w:val="00230E5C"/>
    <w:rsid w:val="00231765"/>
    <w:rsid w:val="00231AE9"/>
    <w:rsid w:val="00231D0D"/>
    <w:rsid w:val="00235200"/>
    <w:rsid w:val="0023528E"/>
    <w:rsid w:val="00237AC1"/>
    <w:rsid w:val="00240638"/>
    <w:rsid w:val="002407CF"/>
    <w:rsid w:val="00240A0B"/>
    <w:rsid w:val="00241BEB"/>
    <w:rsid w:val="00242110"/>
    <w:rsid w:val="0024297C"/>
    <w:rsid w:val="002432C2"/>
    <w:rsid w:val="00243CA8"/>
    <w:rsid w:val="00245709"/>
    <w:rsid w:val="0024593F"/>
    <w:rsid w:val="00245E9E"/>
    <w:rsid w:val="00246D88"/>
    <w:rsid w:val="0024796D"/>
    <w:rsid w:val="00250A3D"/>
    <w:rsid w:val="002518E3"/>
    <w:rsid w:val="00253839"/>
    <w:rsid w:val="00254729"/>
    <w:rsid w:val="00254FFF"/>
    <w:rsid w:val="0025662A"/>
    <w:rsid w:val="0025796C"/>
    <w:rsid w:val="0026040C"/>
    <w:rsid w:val="00260707"/>
    <w:rsid w:val="00261FCC"/>
    <w:rsid w:val="00262224"/>
    <w:rsid w:val="00262F29"/>
    <w:rsid w:val="00263E45"/>
    <w:rsid w:val="0026451A"/>
    <w:rsid w:val="002645E4"/>
    <w:rsid w:val="0026536B"/>
    <w:rsid w:val="00265DE6"/>
    <w:rsid w:val="002669F3"/>
    <w:rsid w:val="00267921"/>
    <w:rsid w:val="0027133E"/>
    <w:rsid w:val="00272227"/>
    <w:rsid w:val="00273023"/>
    <w:rsid w:val="00273418"/>
    <w:rsid w:val="002758F9"/>
    <w:rsid w:val="00276402"/>
    <w:rsid w:val="00276BDF"/>
    <w:rsid w:val="00277D89"/>
    <w:rsid w:val="002810E8"/>
    <w:rsid w:val="0028180F"/>
    <w:rsid w:val="00281AA8"/>
    <w:rsid w:val="002821AF"/>
    <w:rsid w:val="00282CE8"/>
    <w:rsid w:val="002847C7"/>
    <w:rsid w:val="002847C8"/>
    <w:rsid w:val="00285995"/>
    <w:rsid w:val="002859A8"/>
    <w:rsid w:val="002859DD"/>
    <w:rsid w:val="00290CE0"/>
    <w:rsid w:val="00291FB5"/>
    <w:rsid w:val="0029296F"/>
    <w:rsid w:val="00293DD1"/>
    <w:rsid w:val="00294A2A"/>
    <w:rsid w:val="00294EB2"/>
    <w:rsid w:val="00295166"/>
    <w:rsid w:val="00295DAF"/>
    <w:rsid w:val="00296478"/>
    <w:rsid w:val="00296659"/>
    <w:rsid w:val="00296D40"/>
    <w:rsid w:val="002A3FDD"/>
    <w:rsid w:val="002A408A"/>
    <w:rsid w:val="002A4CA6"/>
    <w:rsid w:val="002A4FB0"/>
    <w:rsid w:val="002A5225"/>
    <w:rsid w:val="002A5390"/>
    <w:rsid w:val="002A53EC"/>
    <w:rsid w:val="002A6A0D"/>
    <w:rsid w:val="002A71DF"/>
    <w:rsid w:val="002A7694"/>
    <w:rsid w:val="002B073C"/>
    <w:rsid w:val="002B1704"/>
    <w:rsid w:val="002B1906"/>
    <w:rsid w:val="002B2500"/>
    <w:rsid w:val="002B30D1"/>
    <w:rsid w:val="002B39D2"/>
    <w:rsid w:val="002B3EF0"/>
    <w:rsid w:val="002B404A"/>
    <w:rsid w:val="002B4961"/>
    <w:rsid w:val="002B4E2A"/>
    <w:rsid w:val="002B69A8"/>
    <w:rsid w:val="002C0554"/>
    <w:rsid w:val="002C0AFB"/>
    <w:rsid w:val="002C0FA3"/>
    <w:rsid w:val="002C19F6"/>
    <w:rsid w:val="002C1F66"/>
    <w:rsid w:val="002C27B8"/>
    <w:rsid w:val="002C2B76"/>
    <w:rsid w:val="002C3872"/>
    <w:rsid w:val="002C53D7"/>
    <w:rsid w:val="002C548B"/>
    <w:rsid w:val="002C613E"/>
    <w:rsid w:val="002C691C"/>
    <w:rsid w:val="002C6EA4"/>
    <w:rsid w:val="002C6FAF"/>
    <w:rsid w:val="002C76E9"/>
    <w:rsid w:val="002D14CA"/>
    <w:rsid w:val="002D19B0"/>
    <w:rsid w:val="002D1D60"/>
    <w:rsid w:val="002D41A5"/>
    <w:rsid w:val="002D4EA8"/>
    <w:rsid w:val="002D5324"/>
    <w:rsid w:val="002D5D42"/>
    <w:rsid w:val="002D6B12"/>
    <w:rsid w:val="002E09E1"/>
    <w:rsid w:val="002E0B3D"/>
    <w:rsid w:val="002E3063"/>
    <w:rsid w:val="002E38F9"/>
    <w:rsid w:val="002E3927"/>
    <w:rsid w:val="002E39EC"/>
    <w:rsid w:val="002E3F77"/>
    <w:rsid w:val="002E3F91"/>
    <w:rsid w:val="002E4EFD"/>
    <w:rsid w:val="002E6EA2"/>
    <w:rsid w:val="002E730C"/>
    <w:rsid w:val="002F0356"/>
    <w:rsid w:val="002F10EC"/>
    <w:rsid w:val="002F166D"/>
    <w:rsid w:val="002F2DC5"/>
    <w:rsid w:val="002F2EA9"/>
    <w:rsid w:val="002F33B9"/>
    <w:rsid w:val="002F386A"/>
    <w:rsid w:val="002F3E89"/>
    <w:rsid w:val="002F4EDC"/>
    <w:rsid w:val="002F589A"/>
    <w:rsid w:val="002F643B"/>
    <w:rsid w:val="0030048C"/>
    <w:rsid w:val="00300AA6"/>
    <w:rsid w:val="00300CBF"/>
    <w:rsid w:val="00301137"/>
    <w:rsid w:val="003011B8"/>
    <w:rsid w:val="00301CA1"/>
    <w:rsid w:val="003029AC"/>
    <w:rsid w:val="0030372F"/>
    <w:rsid w:val="003062C7"/>
    <w:rsid w:val="003062CA"/>
    <w:rsid w:val="00306657"/>
    <w:rsid w:val="00306706"/>
    <w:rsid w:val="00310C81"/>
    <w:rsid w:val="00313C2A"/>
    <w:rsid w:val="00314BA2"/>
    <w:rsid w:val="00315424"/>
    <w:rsid w:val="003154D7"/>
    <w:rsid w:val="003154E3"/>
    <w:rsid w:val="00315911"/>
    <w:rsid w:val="0031701B"/>
    <w:rsid w:val="003173BF"/>
    <w:rsid w:val="0031786A"/>
    <w:rsid w:val="003207FF"/>
    <w:rsid w:val="00321743"/>
    <w:rsid w:val="00321B89"/>
    <w:rsid w:val="003227FE"/>
    <w:rsid w:val="003236C0"/>
    <w:rsid w:val="00323798"/>
    <w:rsid w:val="00323817"/>
    <w:rsid w:val="00324E77"/>
    <w:rsid w:val="00326880"/>
    <w:rsid w:val="00327033"/>
    <w:rsid w:val="00327588"/>
    <w:rsid w:val="00330340"/>
    <w:rsid w:val="00333824"/>
    <w:rsid w:val="00334667"/>
    <w:rsid w:val="00335940"/>
    <w:rsid w:val="003379E5"/>
    <w:rsid w:val="003408AC"/>
    <w:rsid w:val="003408BA"/>
    <w:rsid w:val="00341AF5"/>
    <w:rsid w:val="003423D0"/>
    <w:rsid w:val="003430C1"/>
    <w:rsid w:val="003436DC"/>
    <w:rsid w:val="00344DFC"/>
    <w:rsid w:val="00345F94"/>
    <w:rsid w:val="003469CA"/>
    <w:rsid w:val="00350BEF"/>
    <w:rsid w:val="003513E4"/>
    <w:rsid w:val="003539FB"/>
    <w:rsid w:val="003556CD"/>
    <w:rsid w:val="00355BE4"/>
    <w:rsid w:val="00355C2D"/>
    <w:rsid w:val="00355CA6"/>
    <w:rsid w:val="00355E5D"/>
    <w:rsid w:val="0035790B"/>
    <w:rsid w:val="00357B4C"/>
    <w:rsid w:val="00360C51"/>
    <w:rsid w:val="00360EEE"/>
    <w:rsid w:val="00361D7F"/>
    <w:rsid w:val="003643E3"/>
    <w:rsid w:val="00364640"/>
    <w:rsid w:val="003649F9"/>
    <w:rsid w:val="00364C45"/>
    <w:rsid w:val="0036552C"/>
    <w:rsid w:val="00367217"/>
    <w:rsid w:val="0036738E"/>
    <w:rsid w:val="00367510"/>
    <w:rsid w:val="003716EB"/>
    <w:rsid w:val="00371FA1"/>
    <w:rsid w:val="003721B6"/>
    <w:rsid w:val="0037225A"/>
    <w:rsid w:val="003728FB"/>
    <w:rsid w:val="00373212"/>
    <w:rsid w:val="00373FFC"/>
    <w:rsid w:val="00380499"/>
    <w:rsid w:val="00380895"/>
    <w:rsid w:val="0038169E"/>
    <w:rsid w:val="0038205A"/>
    <w:rsid w:val="00383714"/>
    <w:rsid w:val="00383FE0"/>
    <w:rsid w:val="0038518B"/>
    <w:rsid w:val="00385FC3"/>
    <w:rsid w:val="003868D2"/>
    <w:rsid w:val="00387E00"/>
    <w:rsid w:val="003908A4"/>
    <w:rsid w:val="003923F9"/>
    <w:rsid w:val="00392FD3"/>
    <w:rsid w:val="00393A0E"/>
    <w:rsid w:val="00393C29"/>
    <w:rsid w:val="0039408D"/>
    <w:rsid w:val="00394A5B"/>
    <w:rsid w:val="00395C18"/>
    <w:rsid w:val="0039641E"/>
    <w:rsid w:val="00397FC2"/>
    <w:rsid w:val="003A4166"/>
    <w:rsid w:val="003A5859"/>
    <w:rsid w:val="003A6BC4"/>
    <w:rsid w:val="003A6C7B"/>
    <w:rsid w:val="003A6CA7"/>
    <w:rsid w:val="003A6FA1"/>
    <w:rsid w:val="003A7F5A"/>
    <w:rsid w:val="003B2D2B"/>
    <w:rsid w:val="003B34F7"/>
    <w:rsid w:val="003B41DA"/>
    <w:rsid w:val="003B4700"/>
    <w:rsid w:val="003B4CCE"/>
    <w:rsid w:val="003B5311"/>
    <w:rsid w:val="003B5473"/>
    <w:rsid w:val="003B5D6F"/>
    <w:rsid w:val="003B6F24"/>
    <w:rsid w:val="003B73BF"/>
    <w:rsid w:val="003C004B"/>
    <w:rsid w:val="003C00A6"/>
    <w:rsid w:val="003C0CF7"/>
    <w:rsid w:val="003C19F0"/>
    <w:rsid w:val="003C1B45"/>
    <w:rsid w:val="003C2103"/>
    <w:rsid w:val="003C2F2B"/>
    <w:rsid w:val="003C2FF3"/>
    <w:rsid w:val="003C3CB1"/>
    <w:rsid w:val="003C3EC3"/>
    <w:rsid w:val="003C653B"/>
    <w:rsid w:val="003C72A3"/>
    <w:rsid w:val="003C7A4E"/>
    <w:rsid w:val="003C7B53"/>
    <w:rsid w:val="003D08AA"/>
    <w:rsid w:val="003D1FDB"/>
    <w:rsid w:val="003D2195"/>
    <w:rsid w:val="003D2F2F"/>
    <w:rsid w:val="003D3107"/>
    <w:rsid w:val="003D3B0F"/>
    <w:rsid w:val="003D49CA"/>
    <w:rsid w:val="003D4A00"/>
    <w:rsid w:val="003D7739"/>
    <w:rsid w:val="003D7F1C"/>
    <w:rsid w:val="003E039A"/>
    <w:rsid w:val="003E0D07"/>
    <w:rsid w:val="003E1741"/>
    <w:rsid w:val="003E2346"/>
    <w:rsid w:val="003E23BE"/>
    <w:rsid w:val="003E515A"/>
    <w:rsid w:val="003E551D"/>
    <w:rsid w:val="003E61C9"/>
    <w:rsid w:val="003E61D7"/>
    <w:rsid w:val="003E6C84"/>
    <w:rsid w:val="003E7D95"/>
    <w:rsid w:val="003F001F"/>
    <w:rsid w:val="003F050F"/>
    <w:rsid w:val="003F073A"/>
    <w:rsid w:val="003F266A"/>
    <w:rsid w:val="003F3207"/>
    <w:rsid w:val="003F327F"/>
    <w:rsid w:val="003F3B97"/>
    <w:rsid w:val="003F48AE"/>
    <w:rsid w:val="003F5E1A"/>
    <w:rsid w:val="003F6D6C"/>
    <w:rsid w:val="003F75BB"/>
    <w:rsid w:val="003F7FE0"/>
    <w:rsid w:val="00400D89"/>
    <w:rsid w:val="00401CF2"/>
    <w:rsid w:val="00403957"/>
    <w:rsid w:val="004039B1"/>
    <w:rsid w:val="00403D09"/>
    <w:rsid w:val="00404010"/>
    <w:rsid w:val="00404F4F"/>
    <w:rsid w:val="004050A3"/>
    <w:rsid w:val="004059BB"/>
    <w:rsid w:val="004073B8"/>
    <w:rsid w:val="00411148"/>
    <w:rsid w:val="00411298"/>
    <w:rsid w:val="0041143A"/>
    <w:rsid w:val="00412086"/>
    <w:rsid w:val="004137E2"/>
    <w:rsid w:val="00413911"/>
    <w:rsid w:val="0041469A"/>
    <w:rsid w:val="00414B9A"/>
    <w:rsid w:val="004150CA"/>
    <w:rsid w:val="004156AA"/>
    <w:rsid w:val="00417969"/>
    <w:rsid w:val="0042092E"/>
    <w:rsid w:val="0042117F"/>
    <w:rsid w:val="00421799"/>
    <w:rsid w:val="00422458"/>
    <w:rsid w:val="0042298A"/>
    <w:rsid w:val="0042333B"/>
    <w:rsid w:val="00423F4E"/>
    <w:rsid w:val="0042465F"/>
    <w:rsid w:val="00424761"/>
    <w:rsid w:val="00425524"/>
    <w:rsid w:val="004266B0"/>
    <w:rsid w:val="004267DC"/>
    <w:rsid w:val="00427038"/>
    <w:rsid w:val="00427F7D"/>
    <w:rsid w:val="00431212"/>
    <w:rsid w:val="0043347D"/>
    <w:rsid w:val="004338B9"/>
    <w:rsid w:val="00434B06"/>
    <w:rsid w:val="004362E4"/>
    <w:rsid w:val="00437E31"/>
    <w:rsid w:val="00437EDE"/>
    <w:rsid w:val="0044040B"/>
    <w:rsid w:val="004421D6"/>
    <w:rsid w:val="00442517"/>
    <w:rsid w:val="00442B64"/>
    <w:rsid w:val="00442E1B"/>
    <w:rsid w:val="004434A3"/>
    <w:rsid w:val="00443694"/>
    <w:rsid w:val="00443C2E"/>
    <w:rsid w:val="0044454B"/>
    <w:rsid w:val="004457B5"/>
    <w:rsid w:val="00446C0C"/>
    <w:rsid w:val="00446F95"/>
    <w:rsid w:val="00447EB6"/>
    <w:rsid w:val="0045062E"/>
    <w:rsid w:val="00450CFC"/>
    <w:rsid w:val="00452EFC"/>
    <w:rsid w:val="0045576A"/>
    <w:rsid w:val="00456041"/>
    <w:rsid w:val="00460715"/>
    <w:rsid w:val="00461DEA"/>
    <w:rsid w:val="004635BE"/>
    <w:rsid w:val="004651FF"/>
    <w:rsid w:val="00465438"/>
    <w:rsid w:val="004660E9"/>
    <w:rsid w:val="004667BC"/>
    <w:rsid w:val="00466BCF"/>
    <w:rsid w:val="0047053D"/>
    <w:rsid w:val="00471188"/>
    <w:rsid w:val="00471900"/>
    <w:rsid w:val="00472001"/>
    <w:rsid w:val="0047220A"/>
    <w:rsid w:val="00472E28"/>
    <w:rsid w:val="00474A3D"/>
    <w:rsid w:val="00476280"/>
    <w:rsid w:val="0048039A"/>
    <w:rsid w:val="004812F0"/>
    <w:rsid w:val="004830FC"/>
    <w:rsid w:val="00484D9D"/>
    <w:rsid w:val="00484F15"/>
    <w:rsid w:val="0048711F"/>
    <w:rsid w:val="00487334"/>
    <w:rsid w:val="00490DCC"/>
    <w:rsid w:val="00490E12"/>
    <w:rsid w:val="00490E31"/>
    <w:rsid w:val="00490FC1"/>
    <w:rsid w:val="00491966"/>
    <w:rsid w:val="0049264C"/>
    <w:rsid w:val="004937BE"/>
    <w:rsid w:val="0049395B"/>
    <w:rsid w:val="00493B74"/>
    <w:rsid w:val="00493E41"/>
    <w:rsid w:val="00495075"/>
    <w:rsid w:val="00495D18"/>
    <w:rsid w:val="00495F85"/>
    <w:rsid w:val="004A086B"/>
    <w:rsid w:val="004A1663"/>
    <w:rsid w:val="004A2B42"/>
    <w:rsid w:val="004A2C3C"/>
    <w:rsid w:val="004A2E8F"/>
    <w:rsid w:val="004A2FB1"/>
    <w:rsid w:val="004A3552"/>
    <w:rsid w:val="004A3E29"/>
    <w:rsid w:val="004A53ED"/>
    <w:rsid w:val="004A6C33"/>
    <w:rsid w:val="004B0982"/>
    <w:rsid w:val="004B0EF6"/>
    <w:rsid w:val="004B12B2"/>
    <w:rsid w:val="004B2238"/>
    <w:rsid w:val="004B22E4"/>
    <w:rsid w:val="004B2D88"/>
    <w:rsid w:val="004B3F74"/>
    <w:rsid w:val="004B4847"/>
    <w:rsid w:val="004B48E7"/>
    <w:rsid w:val="004B4C78"/>
    <w:rsid w:val="004B4CF7"/>
    <w:rsid w:val="004B7B4E"/>
    <w:rsid w:val="004C0E56"/>
    <w:rsid w:val="004C1DE1"/>
    <w:rsid w:val="004C272B"/>
    <w:rsid w:val="004C2CDE"/>
    <w:rsid w:val="004C308C"/>
    <w:rsid w:val="004C3247"/>
    <w:rsid w:val="004C329A"/>
    <w:rsid w:val="004C3628"/>
    <w:rsid w:val="004C3810"/>
    <w:rsid w:val="004C3B86"/>
    <w:rsid w:val="004C4398"/>
    <w:rsid w:val="004C4FAA"/>
    <w:rsid w:val="004C5B00"/>
    <w:rsid w:val="004C7208"/>
    <w:rsid w:val="004C77C1"/>
    <w:rsid w:val="004C783E"/>
    <w:rsid w:val="004C793E"/>
    <w:rsid w:val="004D0351"/>
    <w:rsid w:val="004D0ED4"/>
    <w:rsid w:val="004D1163"/>
    <w:rsid w:val="004D18E7"/>
    <w:rsid w:val="004D1C12"/>
    <w:rsid w:val="004D2D0E"/>
    <w:rsid w:val="004D5AD8"/>
    <w:rsid w:val="004D718C"/>
    <w:rsid w:val="004D7A17"/>
    <w:rsid w:val="004E0780"/>
    <w:rsid w:val="004E208C"/>
    <w:rsid w:val="004E29B1"/>
    <w:rsid w:val="004E303A"/>
    <w:rsid w:val="004E4543"/>
    <w:rsid w:val="004E49E5"/>
    <w:rsid w:val="004F1475"/>
    <w:rsid w:val="004F17C0"/>
    <w:rsid w:val="004F17E0"/>
    <w:rsid w:val="004F266F"/>
    <w:rsid w:val="004F4D1D"/>
    <w:rsid w:val="004F603F"/>
    <w:rsid w:val="004F7928"/>
    <w:rsid w:val="004F7B5A"/>
    <w:rsid w:val="00501EA8"/>
    <w:rsid w:val="0050257A"/>
    <w:rsid w:val="00502696"/>
    <w:rsid w:val="0050288F"/>
    <w:rsid w:val="00502AFF"/>
    <w:rsid w:val="005040C3"/>
    <w:rsid w:val="005070C4"/>
    <w:rsid w:val="005079C8"/>
    <w:rsid w:val="00510308"/>
    <w:rsid w:val="00511666"/>
    <w:rsid w:val="00511F7D"/>
    <w:rsid w:val="0051282B"/>
    <w:rsid w:val="00512E8A"/>
    <w:rsid w:val="0051428E"/>
    <w:rsid w:val="0051470E"/>
    <w:rsid w:val="00515B9C"/>
    <w:rsid w:val="005165D6"/>
    <w:rsid w:val="005166C7"/>
    <w:rsid w:val="00516B13"/>
    <w:rsid w:val="00517281"/>
    <w:rsid w:val="00520598"/>
    <w:rsid w:val="005207DF"/>
    <w:rsid w:val="0052266C"/>
    <w:rsid w:val="00522931"/>
    <w:rsid w:val="0052453A"/>
    <w:rsid w:val="00524B4E"/>
    <w:rsid w:val="005253E0"/>
    <w:rsid w:val="005255D3"/>
    <w:rsid w:val="00525DD5"/>
    <w:rsid w:val="00527265"/>
    <w:rsid w:val="00527B51"/>
    <w:rsid w:val="00530335"/>
    <w:rsid w:val="00533F9A"/>
    <w:rsid w:val="00534C39"/>
    <w:rsid w:val="00534C94"/>
    <w:rsid w:val="0053702B"/>
    <w:rsid w:val="00537EB2"/>
    <w:rsid w:val="0054032D"/>
    <w:rsid w:val="005414F8"/>
    <w:rsid w:val="00541D1E"/>
    <w:rsid w:val="00542770"/>
    <w:rsid w:val="00542D3B"/>
    <w:rsid w:val="005431D1"/>
    <w:rsid w:val="00543590"/>
    <w:rsid w:val="00543626"/>
    <w:rsid w:val="00545AC9"/>
    <w:rsid w:val="00545F98"/>
    <w:rsid w:val="00546922"/>
    <w:rsid w:val="0054705B"/>
    <w:rsid w:val="00547CE1"/>
    <w:rsid w:val="00551035"/>
    <w:rsid w:val="0055177B"/>
    <w:rsid w:val="00551F91"/>
    <w:rsid w:val="00552325"/>
    <w:rsid w:val="00553561"/>
    <w:rsid w:val="0055381A"/>
    <w:rsid w:val="00553D37"/>
    <w:rsid w:val="00553D7F"/>
    <w:rsid w:val="005543B7"/>
    <w:rsid w:val="00555A18"/>
    <w:rsid w:val="00556A77"/>
    <w:rsid w:val="00556BAF"/>
    <w:rsid w:val="00557066"/>
    <w:rsid w:val="0055792E"/>
    <w:rsid w:val="00557F3A"/>
    <w:rsid w:val="0056027F"/>
    <w:rsid w:val="00560DC2"/>
    <w:rsid w:val="00561CE8"/>
    <w:rsid w:val="0056241C"/>
    <w:rsid w:val="00562A49"/>
    <w:rsid w:val="00562CB0"/>
    <w:rsid w:val="0056397C"/>
    <w:rsid w:val="00564626"/>
    <w:rsid w:val="005648CC"/>
    <w:rsid w:val="00564A88"/>
    <w:rsid w:val="00564ADB"/>
    <w:rsid w:val="005663F2"/>
    <w:rsid w:val="00566831"/>
    <w:rsid w:val="00566A97"/>
    <w:rsid w:val="005673EE"/>
    <w:rsid w:val="005675B7"/>
    <w:rsid w:val="0057056D"/>
    <w:rsid w:val="00570F00"/>
    <w:rsid w:val="005719DA"/>
    <w:rsid w:val="00571F86"/>
    <w:rsid w:val="0057297F"/>
    <w:rsid w:val="00572FE2"/>
    <w:rsid w:val="005734F5"/>
    <w:rsid w:val="0057421E"/>
    <w:rsid w:val="0057619A"/>
    <w:rsid w:val="00576779"/>
    <w:rsid w:val="005768E6"/>
    <w:rsid w:val="00580574"/>
    <w:rsid w:val="0058089C"/>
    <w:rsid w:val="005826D0"/>
    <w:rsid w:val="005826EC"/>
    <w:rsid w:val="00582C1C"/>
    <w:rsid w:val="00584E01"/>
    <w:rsid w:val="00584FBE"/>
    <w:rsid w:val="005859BA"/>
    <w:rsid w:val="00586404"/>
    <w:rsid w:val="00586A4E"/>
    <w:rsid w:val="00586C6D"/>
    <w:rsid w:val="005874BC"/>
    <w:rsid w:val="00590044"/>
    <w:rsid w:val="005904AD"/>
    <w:rsid w:val="00590FA4"/>
    <w:rsid w:val="005910C3"/>
    <w:rsid w:val="00592C5B"/>
    <w:rsid w:val="005934D4"/>
    <w:rsid w:val="00594692"/>
    <w:rsid w:val="00594F6C"/>
    <w:rsid w:val="00595C25"/>
    <w:rsid w:val="00596380"/>
    <w:rsid w:val="005965B4"/>
    <w:rsid w:val="00596AB7"/>
    <w:rsid w:val="00596DD7"/>
    <w:rsid w:val="00597021"/>
    <w:rsid w:val="005975AF"/>
    <w:rsid w:val="005A034D"/>
    <w:rsid w:val="005A1B78"/>
    <w:rsid w:val="005A2627"/>
    <w:rsid w:val="005A29E5"/>
    <w:rsid w:val="005A32AB"/>
    <w:rsid w:val="005A3ED0"/>
    <w:rsid w:val="005A5279"/>
    <w:rsid w:val="005A5AF4"/>
    <w:rsid w:val="005A6049"/>
    <w:rsid w:val="005A61A7"/>
    <w:rsid w:val="005A78E9"/>
    <w:rsid w:val="005B0468"/>
    <w:rsid w:val="005B197C"/>
    <w:rsid w:val="005B2101"/>
    <w:rsid w:val="005B6721"/>
    <w:rsid w:val="005B75A3"/>
    <w:rsid w:val="005C1600"/>
    <w:rsid w:val="005C23C7"/>
    <w:rsid w:val="005C241C"/>
    <w:rsid w:val="005C2451"/>
    <w:rsid w:val="005C25D5"/>
    <w:rsid w:val="005C27D3"/>
    <w:rsid w:val="005C2EF5"/>
    <w:rsid w:val="005C3519"/>
    <w:rsid w:val="005C3579"/>
    <w:rsid w:val="005C397B"/>
    <w:rsid w:val="005C4396"/>
    <w:rsid w:val="005C4F40"/>
    <w:rsid w:val="005C5AEC"/>
    <w:rsid w:val="005C7546"/>
    <w:rsid w:val="005C7753"/>
    <w:rsid w:val="005D13B9"/>
    <w:rsid w:val="005D1675"/>
    <w:rsid w:val="005D1737"/>
    <w:rsid w:val="005D1C0A"/>
    <w:rsid w:val="005D34A1"/>
    <w:rsid w:val="005D35CA"/>
    <w:rsid w:val="005D467C"/>
    <w:rsid w:val="005D4A33"/>
    <w:rsid w:val="005D4AD7"/>
    <w:rsid w:val="005D4E2E"/>
    <w:rsid w:val="005D6545"/>
    <w:rsid w:val="005E0486"/>
    <w:rsid w:val="005E04E4"/>
    <w:rsid w:val="005E063C"/>
    <w:rsid w:val="005E07FC"/>
    <w:rsid w:val="005E0F20"/>
    <w:rsid w:val="005E1317"/>
    <w:rsid w:val="005E2472"/>
    <w:rsid w:val="005E259E"/>
    <w:rsid w:val="005E25D6"/>
    <w:rsid w:val="005E3690"/>
    <w:rsid w:val="005E473E"/>
    <w:rsid w:val="005E5BDF"/>
    <w:rsid w:val="005E6556"/>
    <w:rsid w:val="005E6583"/>
    <w:rsid w:val="005E67F7"/>
    <w:rsid w:val="005E6AE0"/>
    <w:rsid w:val="005F0211"/>
    <w:rsid w:val="005F101B"/>
    <w:rsid w:val="005F1859"/>
    <w:rsid w:val="005F234C"/>
    <w:rsid w:val="005F2703"/>
    <w:rsid w:val="005F2759"/>
    <w:rsid w:val="005F2A9E"/>
    <w:rsid w:val="005F2B7B"/>
    <w:rsid w:val="005F2BDC"/>
    <w:rsid w:val="005F3D20"/>
    <w:rsid w:val="005F3DDD"/>
    <w:rsid w:val="005F5AD5"/>
    <w:rsid w:val="005F5D1E"/>
    <w:rsid w:val="005F6450"/>
    <w:rsid w:val="005F74B9"/>
    <w:rsid w:val="005F7834"/>
    <w:rsid w:val="0060093D"/>
    <w:rsid w:val="00600FC7"/>
    <w:rsid w:val="00603576"/>
    <w:rsid w:val="006043A6"/>
    <w:rsid w:val="006047B5"/>
    <w:rsid w:val="0060797C"/>
    <w:rsid w:val="00607A38"/>
    <w:rsid w:val="006104DE"/>
    <w:rsid w:val="00610FA9"/>
    <w:rsid w:val="006113DF"/>
    <w:rsid w:val="00611A3D"/>
    <w:rsid w:val="006124E6"/>
    <w:rsid w:val="00616BE3"/>
    <w:rsid w:val="00616CBE"/>
    <w:rsid w:val="00616D8E"/>
    <w:rsid w:val="00616F32"/>
    <w:rsid w:val="0061721D"/>
    <w:rsid w:val="00617B5B"/>
    <w:rsid w:val="00617E16"/>
    <w:rsid w:val="006202FB"/>
    <w:rsid w:val="00620380"/>
    <w:rsid w:val="006209A2"/>
    <w:rsid w:val="00620EA5"/>
    <w:rsid w:val="00621181"/>
    <w:rsid w:val="0062157E"/>
    <w:rsid w:val="006225DC"/>
    <w:rsid w:val="00622D30"/>
    <w:rsid w:val="006230E7"/>
    <w:rsid w:val="00623AC6"/>
    <w:rsid w:val="00625B0D"/>
    <w:rsid w:val="00626359"/>
    <w:rsid w:val="00626769"/>
    <w:rsid w:val="006270A7"/>
    <w:rsid w:val="00627202"/>
    <w:rsid w:val="00634398"/>
    <w:rsid w:val="00634680"/>
    <w:rsid w:val="00634CC7"/>
    <w:rsid w:val="00634FA4"/>
    <w:rsid w:val="006356C8"/>
    <w:rsid w:val="00637E30"/>
    <w:rsid w:val="006409E5"/>
    <w:rsid w:val="00641071"/>
    <w:rsid w:val="0064350C"/>
    <w:rsid w:val="00644F70"/>
    <w:rsid w:val="00645164"/>
    <w:rsid w:val="0064585F"/>
    <w:rsid w:val="006459AA"/>
    <w:rsid w:val="00647865"/>
    <w:rsid w:val="00652FEE"/>
    <w:rsid w:val="00653572"/>
    <w:rsid w:val="006535A3"/>
    <w:rsid w:val="0065495E"/>
    <w:rsid w:val="006568AA"/>
    <w:rsid w:val="00657ACC"/>
    <w:rsid w:val="00657E4F"/>
    <w:rsid w:val="0066002A"/>
    <w:rsid w:val="00660162"/>
    <w:rsid w:val="006603BE"/>
    <w:rsid w:val="00662BB7"/>
    <w:rsid w:val="006638F1"/>
    <w:rsid w:val="006647E1"/>
    <w:rsid w:val="00664F8D"/>
    <w:rsid w:val="006654D6"/>
    <w:rsid w:val="00665C7C"/>
    <w:rsid w:val="006668B7"/>
    <w:rsid w:val="00667450"/>
    <w:rsid w:val="00667E11"/>
    <w:rsid w:val="00670E98"/>
    <w:rsid w:val="00670F4B"/>
    <w:rsid w:val="006711A1"/>
    <w:rsid w:val="0067125B"/>
    <w:rsid w:val="006717CC"/>
    <w:rsid w:val="006718F8"/>
    <w:rsid w:val="00671901"/>
    <w:rsid w:val="006739D6"/>
    <w:rsid w:val="00673D00"/>
    <w:rsid w:val="0067416F"/>
    <w:rsid w:val="0067418F"/>
    <w:rsid w:val="00674C46"/>
    <w:rsid w:val="00675FA2"/>
    <w:rsid w:val="00676113"/>
    <w:rsid w:val="00676BA2"/>
    <w:rsid w:val="00677383"/>
    <w:rsid w:val="00677CE4"/>
    <w:rsid w:val="00680692"/>
    <w:rsid w:val="00680A3E"/>
    <w:rsid w:val="00680E72"/>
    <w:rsid w:val="00682558"/>
    <w:rsid w:val="00682743"/>
    <w:rsid w:val="00682C2E"/>
    <w:rsid w:val="006838D0"/>
    <w:rsid w:val="00683E27"/>
    <w:rsid w:val="00684C33"/>
    <w:rsid w:val="00686ECB"/>
    <w:rsid w:val="00687554"/>
    <w:rsid w:val="00687826"/>
    <w:rsid w:val="00687C38"/>
    <w:rsid w:val="00691D45"/>
    <w:rsid w:val="0069277E"/>
    <w:rsid w:val="00693818"/>
    <w:rsid w:val="0069396D"/>
    <w:rsid w:val="00693987"/>
    <w:rsid w:val="00693DF1"/>
    <w:rsid w:val="00693F31"/>
    <w:rsid w:val="006945D5"/>
    <w:rsid w:val="00694C65"/>
    <w:rsid w:val="00696AED"/>
    <w:rsid w:val="006A0A09"/>
    <w:rsid w:val="006A0EB6"/>
    <w:rsid w:val="006A1AC4"/>
    <w:rsid w:val="006A1E8C"/>
    <w:rsid w:val="006A3489"/>
    <w:rsid w:val="006A3DA8"/>
    <w:rsid w:val="006A4112"/>
    <w:rsid w:val="006A4F02"/>
    <w:rsid w:val="006A57CF"/>
    <w:rsid w:val="006A6706"/>
    <w:rsid w:val="006A7861"/>
    <w:rsid w:val="006A7F7E"/>
    <w:rsid w:val="006B02A8"/>
    <w:rsid w:val="006B0B52"/>
    <w:rsid w:val="006B195C"/>
    <w:rsid w:val="006B1DB5"/>
    <w:rsid w:val="006B1F3C"/>
    <w:rsid w:val="006B1FC2"/>
    <w:rsid w:val="006B35E8"/>
    <w:rsid w:val="006B39AF"/>
    <w:rsid w:val="006B3E2C"/>
    <w:rsid w:val="006B442F"/>
    <w:rsid w:val="006B4640"/>
    <w:rsid w:val="006B5676"/>
    <w:rsid w:val="006B59C2"/>
    <w:rsid w:val="006B76C4"/>
    <w:rsid w:val="006B7C1A"/>
    <w:rsid w:val="006C0015"/>
    <w:rsid w:val="006C01E4"/>
    <w:rsid w:val="006C072A"/>
    <w:rsid w:val="006C177B"/>
    <w:rsid w:val="006C363A"/>
    <w:rsid w:val="006C477C"/>
    <w:rsid w:val="006C6612"/>
    <w:rsid w:val="006C69CD"/>
    <w:rsid w:val="006C6ECF"/>
    <w:rsid w:val="006C7698"/>
    <w:rsid w:val="006C7F32"/>
    <w:rsid w:val="006D04F6"/>
    <w:rsid w:val="006D09E3"/>
    <w:rsid w:val="006D3E94"/>
    <w:rsid w:val="006D4AE7"/>
    <w:rsid w:val="006D50C3"/>
    <w:rsid w:val="006D68A1"/>
    <w:rsid w:val="006D6A30"/>
    <w:rsid w:val="006D6B14"/>
    <w:rsid w:val="006D7034"/>
    <w:rsid w:val="006E050E"/>
    <w:rsid w:val="006E09F1"/>
    <w:rsid w:val="006E1791"/>
    <w:rsid w:val="006E21AA"/>
    <w:rsid w:val="006E2B73"/>
    <w:rsid w:val="006E7652"/>
    <w:rsid w:val="006F02C2"/>
    <w:rsid w:val="006F166A"/>
    <w:rsid w:val="006F3D0F"/>
    <w:rsid w:val="006F3ED1"/>
    <w:rsid w:val="006F4F47"/>
    <w:rsid w:val="006F6E3D"/>
    <w:rsid w:val="006F6E45"/>
    <w:rsid w:val="006F77F9"/>
    <w:rsid w:val="006F7B61"/>
    <w:rsid w:val="00701817"/>
    <w:rsid w:val="007029D0"/>
    <w:rsid w:val="00702E29"/>
    <w:rsid w:val="00702E4B"/>
    <w:rsid w:val="00703592"/>
    <w:rsid w:val="007059A1"/>
    <w:rsid w:val="00705C38"/>
    <w:rsid w:val="007061E8"/>
    <w:rsid w:val="007068AE"/>
    <w:rsid w:val="0070770F"/>
    <w:rsid w:val="00710625"/>
    <w:rsid w:val="00710C7C"/>
    <w:rsid w:val="0071133F"/>
    <w:rsid w:val="00712BE2"/>
    <w:rsid w:val="0071318C"/>
    <w:rsid w:val="00713612"/>
    <w:rsid w:val="00714366"/>
    <w:rsid w:val="00714614"/>
    <w:rsid w:val="00714D6B"/>
    <w:rsid w:val="00715D00"/>
    <w:rsid w:val="00715FEC"/>
    <w:rsid w:val="00716494"/>
    <w:rsid w:val="00716993"/>
    <w:rsid w:val="00716DFB"/>
    <w:rsid w:val="007213B0"/>
    <w:rsid w:val="0072412D"/>
    <w:rsid w:val="007245D0"/>
    <w:rsid w:val="007258B4"/>
    <w:rsid w:val="00727635"/>
    <w:rsid w:val="0072764D"/>
    <w:rsid w:val="00727C1A"/>
    <w:rsid w:val="007307E1"/>
    <w:rsid w:val="00731D61"/>
    <w:rsid w:val="007342ED"/>
    <w:rsid w:val="00735116"/>
    <w:rsid w:val="00735BA1"/>
    <w:rsid w:val="00735CC5"/>
    <w:rsid w:val="007405C2"/>
    <w:rsid w:val="00741834"/>
    <w:rsid w:val="00742790"/>
    <w:rsid w:val="00742E58"/>
    <w:rsid w:val="00743DE8"/>
    <w:rsid w:val="0074498C"/>
    <w:rsid w:val="007449C9"/>
    <w:rsid w:val="00745F5A"/>
    <w:rsid w:val="00746702"/>
    <w:rsid w:val="00747734"/>
    <w:rsid w:val="00747FE1"/>
    <w:rsid w:val="00750048"/>
    <w:rsid w:val="0075060A"/>
    <w:rsid w:val="007528CF"/>
    <w:rsid w:val="007531BD"/>
    <w:rsid w:val="00753896"/>
    <w:rsid w:val="0075569C"/>
    <w:rsid w:val="00755D53"/>
    <w:rsid w:val="00756891"/>
    <w:rsid w:val="00756C15"/>
    <w:rsid w:val="007572A5"/>
    <w:rsid w:val="0076047E"/>
    <w:rsid w:val="00760ABF"/>
    <w:rsid w:val="00761718"/>
    <w:rsid w:val="0076230F"/>
    <w:rsid w:val="00763310"/>
    <w:rsid w:val="00764A80"/>
    <w:rsid w:val="00770A7A"/>
    <w:rsid w:val="007712EE"/>
    <w:rsid w:val="00771F29"/>
    <w:rsid w:val="0077237A"/>
    <w:rsid w:val="00774592"/>
    <w:rsid w:val="00774898"/>
    <w:rsid w:val="00775C76"/>
    <w:rsid w:val="00775CF1"/>
    <w:rsid w:val="00775CF9"/>
    <w:rsid w:val="00775D09"/>
    <w:rsid w:val="00776AA7"/>
    <w:rsid w:val="00776C00"/>
    <w:rsid w:val="00777194"/>
    <w:rsid w:val="00777244"/>
    <w:rsid w:val="007775D7"/>
    <w:rsid w:val="0078062A"/>
    <w:rsid w:val="00781357"/>
    <w:rsid w:val="00781900"/>
    <w:rsid w:val="00781ED7"/>
    <w:rsid w:val="007828A1"/>
    <w:rsid w:val="00783C0C"/>
    <w:rsid w:val="007848D6"/>
    <w:rsid w:val="007859F8"/>
    <w:rsid w:val="00785D55"/>
    <w:rsid w:val="0078691A"/>
    <w:rsid w:val="0078746B"/>
    <w:rsid w:val="00787A9E"/>
    <w:rsid w:val="00790DA4"/>
    <w:rsid w:val="00792967"/>
    <w:rsid w:val="00792C5F"/>
    <w:rsid w:val="00792EC1"/>
    <w:rsid w:val="007933AC"/>
    <w:rsid w:val="0079366F"/>
    <w:rsid w:val="00793C33"/>
    <w:rsid w:val="00794C19"/>
    <w:rsid w:val="007956BE"/>
    <w:rsid w:val="007956EF"/>
    <w:rsid w:val="007958BB"/>
    <w:rsid w:val="0079606E"/>
    <w:rsid w:val="00796A72"/>
    <w:rsid w:val="00796E24"/>
    <w:rsid w:val="00796EE7"/>
    <w:rsid w:val="00797D9C"/>
    <w:rsid w:val="007A0F7C"/>
    <w:rsid w:val="007A1486"/>
    <w:rsid w:val="007A27DC"/>
    <w:rsid w:val="007A401D"/>
    <w:rsid w:val="007A4F8F"/>
    <w:rsid w:val="007A5D96"/>
    <w:rsid w:val="007A73F4"/>
    <w:rsid w:val="007B1327"/>
    <w:rsid w:val="007B1B7B"/>
    <w:rsid w:val="007B3648"/>
    <w:rsid w:val="007B501E"/>
    <w:rsid w:val="007B5D9F"/>
    <w:rsid w:val="007B6E38"/>
    <w:rsid w:val="007B776E"/>
    <w:rsid w:val="007C082D"/>
    <w:rsid w:val="007C1CFA"/>
    <w:rsid w:val="007C1D2A"/>
    <w:rsid w:val="007C200D"/>
    <w:rsid w:val="007C26DD"/>
    <w:rsid w:val="007C28AC"/>
    <w:rsid w:val="007C4855"/>
    <w:rsid w:val="007C4BFF"/>
    <w:rsid w:val="007C50BB"/>
    <w:rsid w:val="007C7312"/>
    <w:rsid w:val="007C7863"/>
    <w:rsid w:val="007C7B03"/>
    <w:rsid w:val="007D1158"/>
    <w:rsid w:val="007D12F9"/>
    <w:rsid w:val="007D3009"/>
    <w:rsid w:val="007D3116"/>
    <w:rsid w:val="007D3697"/>
    <w:rsid w:val="007D3982"/>
    <w:rsid w:val="007D3E04"/>
    <w:rsid w:val="007D41C7"/>
    <w:rsid w:val="007D469C"/>
    <w:rsid w:val="007D5224"/>
    <w:rsid w:val="007D65AA"/>
    <w:rsid w:val="007D690C"/>
    <w:rsid w:val="007D6E74"/>
    <w:rsid w:val="007E06FA"/>
    <w:rsid w:val="007E0F20"/>
    <w:rsid w:val="007E271C"/>
    <w:rsid w:val="007E3C73"/>
    <w:rsid w:val="007E43A8"/>
    <w:rsid w:val="007E4904"/>
    <w:rsid w:val="007E4D05"/>
    <w:rsid w:val="007E4D50"/>
    <w:rsid w:val="007E4E43"/>
    <w:rsid w:val="007E503E"/>
    <w:rsid w:val="007E573B"/>
    <w:rsid w:val="007E5986"/>
    <w:rsid w:val="007E6669"/>
    <w:rsid w:val="007F1365"/>
    <w:rsid w:val="007F1380"/>
    <w:rsid w:val="007F313F"/>
    <w:rsid w:val="007F37E0"/>
    <w:rsid w:val="007F3961"/>
    <w:rsid w:val="007F4160"/>
    <w:rsid w:val="007F43E5"/>
    <w:rsid w:val="007F4788"/>
    <w:rsid w:val="007F4F15"/>
    <w:rsid w:val="007F5079"/>
    <w:rsid w:val="007F51A9"/>
    <w:rsid w:val="007F7B73"/>
    <w:rsid w:val="008011B8"/>
    <w:rsid w:val="008017FB"/>
    <w:rsid w:val="0080386D"/>
    <w:rsid w:val="00804138"/>
    <w:rsid w:val="00806798"/>
    <w:rsid w:val="00806A84"/>
    <w:rsid w:val="00810D7C"/>
    <w:rsid w:val="00810FDA"/>
    <w:rsid w:val="00811B9D"/>
    <w:rsid w:val="00812ADF"/>
    <w:rsid w:val="00813A3E"/>
    <w:rsid w:val="00814167"/>
    <w:rsid w:val="00814D04"/>
    <w:rsid w:val="00815284"/>
    <w:rsid w:val="00815548"/>
    <w:rsid w:val="0081686C"/>
    <w:rsid w:val="00820313"/>
    <w:rsid w:val="008207E3"/>
    <w:rsid w:val="00820EA5"/>
    <w:rsid w:val="00822701"/>
    <w:rsid w:val="00822757"/>
    <w:rsid w:val="00822DCE"/>
    <w:rsid w:val="008243AB"/>
    <w:rsid w:val="00824B31"/>
    <w:rsid w:val="00824E66"/>
    <w:rsid w:val="008250FE"/>
    <w:rsid w:val="008253B8"/>
    <w:rsid w:val="0082567E"/>
    <w:rsid w:val="00826C4F"/>
    <w:rsid w:val="00826E9C"/>
    <w:rsid w:val="00827BB1"/>
    <w:rsid w:val="0083135C"/>
    <w:rsid w:val="00831FC4"/>
    <w:rsid w:val="00832EA5"/>
    <w:rsid w:val="00833165"/>
    <w:rsid w:val="00833316"/>
    <w:rsid w:val="0083335C"/>
    <w:rsid w:val="008342D6"/>
    <w:rsid w:val="008343DF"/>
    <w:rsid w:val="008370D6"/>
    <w:rsid w:val="00841BED"/>
    <w:rsid w:val="00842443"/>
    <w:rsid w:val="008435FC"/>
    <w:rsid w:val="008438E0"/>
    <w:rsid w:val="00843F0A"/>
    <w:rsid w:val="00845289"/>
    <w:rsid w:val="008456D2"/>
    <w:rsid w:val="00845E0A"/>
    <w:rsid w:val="00851631"/>
    <w:rsid w:val="00851E13"/>
    <w:rsid w:val="00852900"/>
    <w:rsid w:val="00853AA3"/>
    <w:rsid w:val="00854BFE"/>
    <w:rsid w:val="008578F8"/>
    <w:rsid w:val="00857FE9"/>
    <w:rsid w:val="00860D0D"/>
    <w:rsid w:val="00863009"/>
    <w:rsid w:val="00863B07"/>
    <w:rsid w:val="008648EB"/>
    <w:rsid w:val="00864C53"/>
    <w:rsid w:val="00864F5A"/>
    <w:rsid w:val="00866204"/>
    <w:rsid w:val="0086647A"/>
    <w:rsid w:val="008668C4"/>
    <w:rsid w:val="00867697"/>
    <w:rsid w:val="00867AE9"/>
    <w:rsid w:val="00867B2B"/>
    <w:rsid w:val="00870D76"/>
    <w:rsid w:val="008712A3"/>
    <w:rsid w:val="00871D15"/>
    <w:rsid w:val="008729F4"/>
    <w:rsid w:val="00873FEA"/>
    <w:rsid w:val="008748F4"/>
    <w:rsid w:val="00874B3A"/>
    <w:rsid w:val="00874D0E"/>
    <w:rsid w:val="00875E5E"/>
    <w:rsid w:val="00880A2D"/>
    <w:rsid w:val="00881F44"/>
    <w:rsid w:val="0088241E"/>
    <w:rsid w:val="00882F2C"/>
    <w:rsid w:val="00883477"/>
    <w:rsid w:val="00884DA4"/>
    <w:rsid w:val="008850BB"/>
    <w:rsid w:val="00886306"/>
    <w:rsid w:val="008867C6"/>
    <w:rsid w:val="00886AE5"/>
    <w:rsid w:val="00886BBC"/>
    <w:rsid w:val="00886E12"/>
    <w:rsid w:val="00887821"/>
    <w:rsid w:val="00887C15"/>
    <w:rsid w:val="00887C36"/>
    <w:rsid w:val="00890252"/>
    <w:rsid w:val="00890781"/>
    <w:rsid w:val="00890EE5"/>
    <w:rsid w:val="00891E32"/>
    <w:rsid w:val="00891FD3"/>
    <w:rsid w:val="008926E8"/>
    <w:rsid w:val="00892B51"/>
    <w:rsid w:val="00893192"/>
    <w:rsid w:val="00893A20"/>
    <w:rsid w:val="008A1F48"/>
    <w:rsid w:val="008A32BA"/>
    <w:rsid w:val="008A3A1B"/>
    <w:rsid w:val="008A4A2A"/>
    <w:rsid w:val="008A4FA7"/>
    <w:rsid w:val="008A5106"/>
    <w:rsid w:val="008A5740"/>
    <w:rsid w:val="008A6A18"/>
    <w:rsid w:val="008B1021"/>
    <w:rsid w:val="008B1478"/>
    <w:rsid w:val="008B393A"/>
    <w:rsid w:val="008B3EAF"/>
    <w:rsid w:val="008B424D"/>
    <w:rsid w:val="008B4530"/>
    <w:rsid w:val="008B47B9"/>
    <w:rsid w:val="008B5682"/>
    <w:rsid w:val="008B60C6"/>
    <w:rsid w:val="008B63C6"/>
    <w:rsid w:val="008B705A"/>
    <w:rsid w:val="008C0FA8"/>
    <w:rsid w:val="008C16C7"/>
    <w:rsid w:val="008C1B85"/>
    <w:rsid w:val="008C2259"/>
    <w:rsid w:val="008C273F"/>
    <w:rsid w:val="008C3E8F"/>
    <w:rsid w:val="008C41F2"/>
    <w:rsid w:val="008C4531"/>
    <w:rsid w:val="008C5321"/>
    <w:rsid w:val="008C611C"/>
    <w:rsid w:val="008C657C"/>
    <w:rsid w:val="008C725D"/>
    <w:rsid w:val="008C7ECE"/>
    <w:rsid w:val="008D00D2"/>
    <w:rsid w:val="008D0E8F"/>
    <w:rsid w:val="008D15EF"/>
    <w:rsid w:val="008D1827"/>
    <w:rsid w:val="008D1B43"/>
    <w:rsid w:val="008D206F"/>
    <w:rsid w:val="008D288B"/>
    <w:rsid w:val="008D3B90"/>
    <w:rsid w:val="008D3E3B"/>
    <w:rsid w:val="008D619D"/>
    <w:rsid w:val="008D6283"/>
    <w:rsid w:val="008E00BF"/>
    <w:rsid w:val="008E02CC"/>
    <w:rsid w:val="008E12D6"/>
    <w:rsid w:val="008E1D45"/>
    <w:rsid w:val="008E379A"/>
    <w:rsid w:val="008E451B"/>
    <w:rsid w:val="008E492F"/>
    <w:rsid w:val="008E4934"/>
    <w:rsid w:val="008E5694"/>
    <w:rsid w:val="008E6AD2"/>
    <w:rsid w:val="008E7E46"/>
    <w:rsid w:val="008F03ED"/>
    <w:rsid w:val="008F04A8"/>
    <w:rsid w:val="008F1111"/>
    <w:rsid w:val="008F137A"/>
    <w:rsid w:val="008F150C"/>
    <w:rsid w:val="008F20E6"/>
    <w:rsid w:val="008F2815"/>
    <w:rsid w:val="008F2AE7"/>
    <w:rsid w:val="008F415C"/>
    <w:rsid w:val="008F436E"/>
    <w:rsid w:val="008F4AEC"/>
    <w:rsid w:val="008F5723"/>
    <w:rsid w:val="008F7BA2"/>
    <w:rsid w:val="0090044C"/>
    <w:rsid w:val="00900DFD"/>
    <w:rsid w:val="009014AF"/>
    <w:rsid w:val="00901634"/>
    <w:rsid w:val="00901A28"/>
    <w:rsid w:val="00902AF9"/>
    <w:rsid w:val="00902EBB"/>
    <w:rsid w:val="009034F0"/>
    <w:rsid w:val="00903899"/>
    <w:rsid w:val="009039E3"/>
    <w:rsid w:val="00903C1D"/>
    <w:rsid w:val="009058BB"/>
    <w:rsid w:val="009059B5"/>
    <w:rsid w:val="00906F1F"/>
    <w:rsid w:val="009072D6"/>
    <w:rsid w:val="00907BB3"/>
    <w:rsid w:val="009118C6"/>
    <w:rsid w:val="0091208F"/>
    <w:rsid w:val="00912D55"/>
    <w:rsid w:val="00912D7D"/>
    <w:rsid w:val="00913073"/>
    <w:rsid w:val="00913665"/>
    <w:rsid w:val="00913C77"/>
    <w:rsid w:val="00913C9A"/>
    <w:rsid w:val="00914136"/>
    <w:rsid w:val="009141BB"/>
    <w:rsid w:val="00914D4B"/>
    <w:rsid w:val="009155E9"/>
    <w:rsid w:val="0091699F"/>
    <w:rsid w:val="00916E13"/>
    <w:rsid w:val="00917177"/>
    <w:rsid w:val="00917212"/>
    <w:rsid w:val="0091783E"/>
    <w:rsid w:val="00917976"/>
    <w:rsid w:val="00917B1C"/>
    <w:rsid w:val="00917FF6"/>
    <w:rsid w:val="009204BD"/>
    <w:rsid w:val="00920DD4"/>
    <w:rsid w:val="00920F36"/>
    <w:rsid w:val="00921F90"/>
    <w:rsid w:val="0092323C"/>
    <w:rsid w:val="009232F6"/>
    <w:rsid w:val="00925D16"/>
    <w:rsid w:val="00927634"/>
    <w:rsid w:val="00927B34"/>
    <w:rsid w:val="0093061F"/>
    <w:rsid w:val="0093065F"/>
    <w:rsid w:val="00931DC7"/>
    <w:rsid w:val="00932DDC"/>
    <w:rsid w:val="00933FC8"/>
    <w:rsid w:val="009342D9"/>
    <w:rsid w:val="00934982"/>
    <w:rsid w:val="009360DA"/>
    <w:rsid w:val="00936C39"/>
    <w:rsid w:val="00937FBA"/>
    <w:rsid w:val="00940220"/>
    <w:rsid w:val="00940411"/>
    <w:rsid w:val="00940DFC"/>
    <w:rsid w:val="009410DC"/>
    <w:rsid w:val="0094159C"/>
    <w:rsid w:val="009426BC"/>
    <w:rsid w:val="00944681"/>
    <w:rsid w:val="00944A91"/>
    <w:rsid w:val="009457DB"/>
    <w:rsid w:val="00945AFA"/>
    <w:rsid w:val="009470AA"/>
    <w:rsid w:val="009476B1"/>
    <w:rsid w:val="00947C3B"/>
    <w:rsid w:val="00951A4A"/>
    <w:rsid w:val="00952D3D"/>
    <w:rsid w:val="00953772"/>
    <w:rsid w:val="00954F12"/>
    <w:rsid w:val="00955DDE"/>
    <w:rsid w:val="00956552"/>
    <w:rsid w:val="00960A61"/>
    <w:rsid w:val="00960CAD"/>
    <w:rsid w:val="00960FF6"/>
    <w:rsid w:val="00963F1C"/>
    <w:rsid w:val="00964E7C"/>
    <w:rsid w:val="00965F79"/>
    <w:rsid w:val="0096721A"/>
    <w:rsid w:val="009710AA"/>
    <w:rsid w:val="0097185E"/>
    <w:rsid w:val="009723D6"/>
    <w:rsid w:val="00973246"/>
    <w:rsid w:val="009744E2"/>
    <w:rsid w:val="009745BF"/>
    <w:rsid w:val="00975338"/>
    <w:rsid w:val="00975C96"/>
    <w:rsid w:val="00980067"/>
    <w:rsid w:val="00980D91"/>
    <w:rsid w:val="009833FE"/>
    <w:rsid w:val="00983F97"/>
    <w:rsid w:val="009840AF"/>
    <w:rsid w:val="00984E43"/>
    <w:rsid w:val="0098584E"/>
    <w:rsid w:val="0098587D"/>
    <w:rsid w:val="009868B3"/>
    <w:rsid w:val="00986F96"/>
    <w:rsid w:val="009873FB"/>
    <w:rsid w:val="009878ED"/>
    <w:rsid w:val="00987B68"/>
    <w:rsid w:val="00990081"/>
    <w:rsid w:val="009906EF"/>
    <w:rsid w:val="00991B9F"/>
    <w:rsid w:val="00991DE8"/>
    <w:rsid w:val="00992CF8"/>
    <w:rsid w:val="00993045"/>
    <w:rsid w:val="009936D6"/>
    <w:rsid w:val="00993885"/>
    <w:rsid w:val="00994240"/>
    <w:rsid w:val="0099548A"/>
    <w:rsid w:val="00995BF0"/>
    <w:rsid w:val="00997837"/>
    <w:rsid w:val="00997889"/>
    <w:rsid w:val="009A00B3"/>
    <w:rsid w:val="009A068C"/>
    <w:rsid w:val="009A1031"/>
    <w:rsid w:val="009A13D6"/>
    <w:rsid w:val="009A14DD"/>
    <w:rsid w:val="009A2F25"/>
    <w:rsid w:val="009A313E"/>
    <w:rsid w:val="009A4925"/>
    <w:rsid w:val="009A5090"/>
    <w:rsid w:val="009A5647"/>
    <w:rsid w:val="009A5FF8"/>
    <w:rsid w:val="009A6C53"/>
    <w:rsid w:val="009B05FB"/>
    <w:rsid w:val="009B0650"/>
    <w:rsid w:val="009B0C35"/>
    <w:rsid w:val="009B1B53"/>
    <w:rsid w:val="009B20B5"/>
    <w:rsid w:val="009B2922"/>
    <w:rsid w:val="009B2C5E"/>
    <w:rsid w:val="009B2D47"/>
    <w:rsid w:val="009B691A"/>
    <w:rsid w:val="009B6C19"/>
    <w:rsid w:val="009B6EAA"/>
    <w:rsid w:val="009C026A"/>
    <w:rsid w:val="009C3243"/>
    <w:rsid w:val="009C3699"/>
    <w:rsid w:val="009C4007"/>
    <w:rsid w:val="009C4A29"/>
    <w:rsid w:val="009C4FCD"/>
    <w:rsid w:val="009C5AC8"/>
    <w:rsid w:val="009C6CA5"/>
    <w:rsid w:val="009C741C"/>
    <w:rsid w:val="009C7B3F"/>
    <w:rsid w:val="009D079D"/>
    <w:rsid w:val="009D1540"/>
    <w:rsid w:val="009D15C7"/>
    <w:rsid w:val="009D338C"/>
    <w:rsid w:val="009D6439"/>
    <w:rsid w:val="009D6499"/>
    <w:rsid w:val="009D6BFA"/>
    <w:rsid w:val="009D712E"/>
    <w:rsid w:val="009E050E"/>
    <w:rsid w:val="009E1408"/>
    <w:rsid w:val="009E1F63"/>
    <w:rsid w:val="009E2C0C"/>
    <w:rsid w:val="009E466D"/>
    <w:rsid w:val="009E5583"/>
    <w:rsid w:val="009E6119"/>
    <w:rsid w:val="009F0693"/>
    <w:rsid w:val="009F1C65"/>
    <w:rsid w:val="009F334C"/>
    <w:rsid w:val="009F4AA3"/>
    <w:rsid w:val="009F5C10"/>
    <w:rsid w:val="009F5FD0"/>
    <w:rsid w:val="009F6CDA"/>
    <w:rsid w:val="009F6ED8"/>
    <w:rsid w:val="009F6EF0"/>
    <w:rsid w:val="009F718C"/>
    <w:rsid w:val="009F71A5"/>
    <w:rsid w:val="009F7CF4"/>
    <w:rsid w:val="00A01549"/>
    <w:rsid w:val="00A01C0F"/>
    <w:rsid w:val="00A0267B"/>
    <w:rsid w:val="00A05528"/>
    <w:rsid w:val="00A058F8"/>
    <w:rsid w:val="00A0682E"/>
    <w:rsid w:val="00A0683C"/>
    <w:rsid w:val="00A0692F"/>
    <w:rsid w:val="00A06B13"/>
    <w:rsid w:val="00A06F3A"/>
    <w:rsid w:val="00A07D4C"/>
    <w:rsid w:val="00A104DE"/>
    <w:rsid w:val="00A10AFC"/>
    <w:rsid w:val="00A11089"/>
    <w:rsid w:val="00A1213E"/>
    <w:rsid w:val="00A13631"/>
    <w:rsid w:val="00A13A9C"/>
    <w:rsid w:val="00A14E46"/>
    <w:rsid w:val="00A14E4C"/>
    <w:rsid w:val="00A14E58"/>
    <w:rsid w:val="00A157C1"/>
    <w:rsid w:val="00A16161"/>
    <w:rsid w:val="00A22ACB"/>
    <w:rsid w:val="00A22E24"/>
    <w:rsid w:val="00A23A88"/>
    <w:rsid w:val="00A26822"/>
    <w:rsid w:val="00A26F18"/>
    <w:rsid w:val="00A27A59"/>
    <w:rsid w:val="00A30BA1"/>
    <w:rsid w:val="00A30D5A"/>
    <w:rsid w:val="00A30FC4"/>
    <w:rsid w:val="00A31647"/>
    <w:rsid w:val="00A31AAD"/>
    <w:rsid w:val="00A325DE"/>
    <w:rsid w:val="00A32A78"/>
    <w:rsid w:val="00A32B18"/>
    <w:rsid w:val="00A32EF8"/>
    <w:rsid w:val="00A33A4A"/>
    <w:rsid w:val="00A340C9"/>
    <w:rsid w:val="00A343A9"/>
    <w:rsid w:val="00A35885"/>
    <w:rsid w:val="00A35E13"/>
    <w:rsid w:val="00A37A2C"/>
    <w:rsid w:val="00A41658"/>
    <w:rsid w:val="00A41A28"/>
    <w:rsid w:val="00A424DB"/>
    <w:rsid w:val="00A4315A"/>
    <w:rsid w:val="00A43966"/>
    <w:rsid w:val="00A43E76"/>
    <w:rsid w:val="00A44324"/>
    <w:rsid w:val="00A44992"/>
    <w:rsid w:val="00A465AD"/>
    <w:rsid w:val="00A4775A"/>
    <w:rsid w:val="00A47AA9"/>
    <w:rsid w:val="00A502BD"/>
    <w:rsid w:val="00A51333"/>
    <w:rsid w:val="00A5180F"/>
    <w:rsid w:val="00A52129"/>
    <w:rsid w:val="00A523C1"/>
    <w:rsid w:val="00A526CC"/>
    <w:rsid w:val="00A52840"/>
    <w:rsid w:val="00A53810"/>
    <w:rsid w:val="00A57A6A"/>
    <w:rsid w:val="00A57EBC"/>
    <w:rsid w:val="00A60561"/>
    <w:rsid w:val="00A61E93"/>
    <w:rsid w:val="00A62AE9"/>
    <w:rsid w:val="00A64C1B"/>
    <w:rsid w:val="00A64D3B"/>
    <w:rsid w:val="00A6679F"/>
    <w:rsid w:val="00A67533"/>
    <w:rsid w:val="00A70847"/>
    <w:rsid w:val="00A708CC"/>
    <w:rsid w:val="00A71342"/>
    <w:rsid w:val="00A71B7B"/>
    <w:rsid w:val="00A71F8F"/>
    <w:rsid w:val="00A725FB"/>
    <w:rsid w:val="00A72FAF"/>
    <w:rsid w:val="00A7319D"/>
    <w:rsid w:val="00A73A4C"/>
    <w:rsid w:val="00A744B4"/>
    <w:rsid w:val="00A7593A"/>
    <w:rsid w:val="00A76849"/>
    <w:rsid w:val="00A81681"/>
    <w:rsid w:val="00A8184A"/>
    <w:rsid w:val="00A81B78"/>
    <w:rsid w:val="00A825D4"/>
    <w:rsid w:val="00A831CD"/>
    <w:rsid w:val="00A837E7"/>
    <w:rsid w:val="00A849A6"/>
    <w:rsid w:val="00A84C94"/>
    <w:rsid w:val="00A84CB4"/>
    <w:rsid w:val="00A84DB9"/>
    <w:rsid w:val="00A84EC4"/>
    <w:rsid w:val="00A85407"/>
    <w:rsid w:val="00A878A8"/>
    <w:rsid w:val="00A90778"/>
    <w:rsid w:val="00A9124C"/>
    <w:rsid w:val="00A923B0"/>
    <w:rsid w:val="00A9264D"/>
    <w:rsid w:val="00A926C2"/>
    <w:rsid w:val="00A931F2"/>
    <w:rsid w:val="00A93E6F"/>
    <w:rsid w:val="00A94217"/>
    <w:rsid w:val="00A94819"/>
    <w:rsid w:val="00A9535B"/>
    <w:rsid w:val="00A954C1"/>
    <w:rsid w:val="00A96AC3"/>
    <w:rsid w:val="00A96FB4"/>
    <w:rsid w:val="00A9786C"/>
    <w:rsid w:val="00AA05DA"/>
    <w:rsid w:val="00AA2281"/>
    <w:rsid w:val="00AA3D16"/>
    <w:rsid w:val="00AA424A"/>
    <w:rsid w:val="00AA4487"/>
    <w:rsid w:val="00AA454B"/>
    <w:rsid w:val="00AA4610"/>
    <w:rsid w:val="00AA4F8E"/>
    <w:rsid w:val="00AA5D8A"/>
    <w:rsid w:val="00AA76F4"/>
    <w:rsid w:val="00AB0473"/>
    <w:rsid w:val="00AB0A54"/>
    <w:rsid w:val="00AB14DD"/>
    <w:rsid w:val="00AB1E61"/>
    <w:rsid w:val="00AB259B"/>
    <w:rsid w:val="00AB2D54"/>
    <w:rsid w:val="00AB36EB"/>
    <w:rsid w:val="00AB3D2B"/>
    <w:rsid w:val="00AB4099"/>
    <w:rsid w:val="00AB4681"/>
    <w:rsid w:val="00AB53A5"/>
    <w:rsid w:val="00AB58C9"/>
    <w:rsid w:val="00AB63D8"/>
    <w:rsid w:val="00AB6E73"/>
    <w:rsid w:val="00AB73B8"/>
    <w:rsid w:val="00AC0CDB"/>
    <w:rsid w:val="00AC0EA4"/>
    <w:rsid w:val="00AC2F57"/>
    <w:rsid w:val="00AC4002"/>
    <w:rsid w:val="00AC4330"/>
    <w:rsid w:val="00AC559A"/>
    <w:rsid w:val="00AC677A"/>
    <w:rsid w:val="00AC6D57"/>
    <w:rsid w:val="00AC74A2"/>
    <w:rsid w:val="00AC7864"/>
    <w:rsid w:val="00AC7963"/>
    <w:rsid w:val="00AC7A2A"/>
    <w:rsid w:val="00AD1BFE"/>
    <w:rsid w:val="00AD2C5C"/>
    <w:rsid w:val="00AD3781"/>
    <w:rsid w:val="00AD3F44"/>
    <w:rsid w:val="00AD4012"/>
    <w:rsid w:val="00AD5031"/>
    <w:rsid w:val="00AD578B"/>
    <w:rsid w:val="00AD6635"/>
    <w:rsid w:val="00AD7978"/>
    <w:rsid w:val="00AD79F0"/>
    <w:rsid w:val="00AE050C"/>
    <w:rsid w:val="00AE0D94"/>
    <w:rsid w:val="00AE10E3"/>
    <w:rsid w:val="00AE2051"/>
    <w:rsid w:val="00AE2460"/>
    <w:rsid w:val="00AE2FA7"/>
    <w:rsid w:val="00AE3A27"/>
    <w:rsid w:val="00AE3AC5"/>
    <w:rsid w:val="00AE41B4"/>
    <w:rsid w:val="00AE437F"/>
    <w:rsid w:val="00AE45E4"/>
    <w:rsid w:val="00AE4F4F"/>
    <w:rsid w:val="00AE5827"/>
    <w:rsid w:val="00AE6104"/>
    <w:rsid w:val="00AE7AEE"/>
    <w:rsid w:val="00AF0104"/>
    <w:rsid w:val="00AF1273"/>
    <w:rsid w:val="00AF1398"/>
    <w:rsid w:val="00AF13DE"/>
    <w:rsid w:val="00AF1C90"/>
    <w:rsid w:val="00AF35B7"/>
    <w:rsid w:val="00AF40B5"/>
    <w:rsid w:val="00AF519F"/>
    <w:rsid w:val="00AF5E57"/>
    <w:rsid w:val="00AF6B27"/>
    <w:rsid w:val="00AF6C9E"/>
    <w:rsid w:val="00B001D4"/>
    <w:rsid w:val="00B002DF"/>
    <w:rsid w:val="00B00C5C"/>
    <w:rsid w:val="00B01EB5"/>
    <w:rsid w:val="00B05216"/>
    <w:rsid w:val="00B05F09"/>
    <w:rsid w:val="00B06374"/>
    <w:rsid w:val="00B06EDB"/>
    <w:rsid w:val="00B1016A"/>
    <w:rsid w:val="00B11194"/>
    <w:rsid w:val="00B124A2"/>
    <w:rsid w:val="00B1358E"/>
    <w:rsid w:val="00B13BF7"/>
    <w:rsid w:val="00B13E9F"/>
    <w:rsid w:val="00B1478C"/>
    <w:rsid w:val="00B155E8"/>
    <w:rsid w:val="00B156C2"/>
    <w:rsid w:val="00B15C4B"/>
    <w:rsid w:val="00B16318"/>
    <w:rsid w:val="00B16721"/>
    <w:rsid w:val="00B179E7"/>
    <w:rsid w:val="00B224D6"/>
    <w:rsid w:val="00B228D2"/>
    <w:rsid w:val="00B23897"/>
    <w:rsid w:val="00B24D6E"/>
    <w:rsid w:val="00B260D9"/>
    <w:rsid w:val="00B276DA"/>
    <w:rsid w:val="00B27723"/>
    <w:rsid w:val="00B279DB"/>
    <w:rsid w:val="00B30E9B"/>
    <w:rsid w:val="00B313E9"/>
    <w:rsid w:val="00B324EE"/>
    <w:rsid w:val="00B32E1E"/>
    <w:rsid w:val="00B32F87"/>
    <w:rsid w:val="00B345BB"/>
    <w:rsid w:val="00B36855"/>
    <w:rsid w:val="00B36C22"/>
    <w:rsid w:val="00B36E62"/>
    <w:rsid w:val="00B37304"/>
    <w:rsid w:val="00B377FC"/>
    <w:rsid w:val="00B4138D"/>
    <w:rsid w:val="00B41529"/>
    <w:rsid w:val="00B4250B"/>
    <w:rsid w:val="00B425E0"/>
    <w:rsid w:val="00B426D5"/>
    <w:rsid w:val="00B43653"/>
    <w:rsid w:val="00B51CE1"/>
    <w:rsid w:val="00B52AF3"/>
    <w:rsid w:val="00B53C83"/>
    <w:rsid w:val="00B5471F"/>
    <w:rsid w:val="00B54ABF"/>
    <w:rsid w:val="00B554A0"/>
    <w:rsid w:val="00B5624E"/>
    <w:rsid w:val="00B56A4D"/>
    <w:rsid w:val="00B56B62"/>
    <w:rsid w:val="00B57A05"/>
    <w:rsid w:val="00B6043F"/>
    <w:rsid w:val="00B630E4"/>
    <w:rsid w:val="00B63371"/>
    <w:rsid w:val="00B644FA"/>
    <w:rsid w:val="00B645E4"/>
    <w:rsid w:val="00B664F5"/>
    <w:rsid w:val="00B70B2D"/>
    <w:rsid w:val="00B7206B"/>
    <w:rsid w:val="00B72339"/>
    <w:rsid w:val="00B73413"/>
    <w:rsid w:val="00B7475B"/>
    <w:rsid w:val="00B76A0A"/>
    <w:rsid w:val="00B76A1D"/>
    <w:rsid w:val="00B778B7"/>
    <w:rsid w:val="00B778BC"/>
    <w:rsid w:val="00B77B2B"/>
    <w:rsid w:val="00B77CD7"/>
    <w:rsid w:val="00B77DA8"/>
    <w:rsid w:val="00B80F76"/>
    <w:rsid w:val="00B816F2"/>
    <w:rsid w:val="00B8177E"/>
    <w:rsid w:val="00B83042"/>
    <w:rsid w:val="00B840B3"/>
    <w:rsid w:val="00B844D4"/>
    <w:rsid w:val="00B84524"/>
    <w:rsid w:val="00B8522B"/>
    <w:rsid w:val="00B85561"/>
    <w:rsid w:val="00B85A45"/>
    <w:rsid w:val="00B862AF"/>
    <w:rsid w:val="00B86708"/>
    <w:rsid w:val="00B86F24"/>
    <w:rsid w:val="00B902F2"/>
    <w:rsid w:val="00B904AB"/>
    <w:rsid w:val="00B9126E"/>
    <w:rsid w:val="00B91E4D"/>
    <w:rsid w:val="00B92A63"/>
    <w:rsid w:val="00B92C70"/>
    <w:rsid w:val="00B92CE9"/>
    <w:rsid w:val="00B92F2A"/>
    <w:rsid w:val="00B93B67"/>
    <w:rsid w:val="00B949E3"/>
    <w:rsid w:val="00B95639"/>
    <w:rsid w:val="00B95A19"/>
    <w:rsid w:val="00BA0049"/>
    <w:rsid w:val="00BA19C7"/>
    <w:rsid w:val="00BA3AC7"/>
    <w:rsid w:val="00BA4722"/>
    <w:rsid w:val="00BA59C9"/>
    <w:rsid w:val="00BA638D"/>
    <w:rsid w:val="00BA65AF"/>
    <w:rsid w:val="00BB02EF"/>
    <w:rsid w:val="00BB0ADA"/>
    <w:rsid w:val="00BB0BF2"/>
    <w:rsid w:val="00BB178D"/>
    <w:rsid w:val="00BB18B3"/>
    <w:rsid w:val="00BB2889"/>
    <w:rsid w:val="00BB4032"/>
    <w:rsid w:val="00BB61E5"/>
    <w:rsid w:val="00BB66B8"/>
    <w:rsid w:val="00BB6A86"/>
    <w:rsid w:val="00BB7C3B"/>
    <w:rsid w:val="00BC001A"/>
    <w:rsid w:val="00BC0055"/>
    <w:rsid w:val="00BC039B"/>
    <w:rsid w:val="00BC0505"/>
    <w:rsid w:val="00BC1005"/>
    <w:rsid w:val="00BC10B3"/>
    <w:rsid w:val="00BC3ED2"/>
    <w:rsid w:val="00BC4CF6"/>
    <w:rsid w:val="00BC56B0"/>
    <w:rsid w:val="00BC5758"/>
    <w:rsid w:val="00BC6879"/>
    <w:rsid w:val="00BD08C3"/>
    <w:rsid w:val="00BD1739"/>
    <w:rsid w:val="00BD187B"/>
    <w:rsid w:val="00BD18C0"/>
    <w:rsid w:val="00BD31C7"/>
    <w:rsid w:val="00BD3980"/>
    <w:rsid w:val="00BD45CE"/>
    <w:rsid w:val="00BD45DD"/>
    <w:rsid w:val="00BD556A"/>
    <w:rsid w:val="00BD59C5"/>
    <w:rsid w:val="00BD5AF6"/>
    <w:rsid w:val="00BD67D4"/>
    <w:rsid w:val="00BD719E"/>
    <w:rsid w:val="00BD7242"/>
    <w:rsid w:val="00BD72AE"/>
    <w:rsid w:val="00BE0776"/>
    <w:rsid w:val="00BE0781"/>
    <w:rsid w:val="00BE0AA5"/>
    <w:rsid w:val="00BE0C61"/>
    <w:rsid w:val="00BE145B"/>
    <w:rsid w:val="00BE15C6"/>
    <w:rsid w:val="00BE243B"/>
    <w:rsid w:val="00BE3AA9"/>
    <w:rsid w:val="00BE439A"/>
    <w:rsid w:val="00BE46E8"/>
    <w:rsid w:val="00BE4AD6"/>
    <w:rsid w:val="00BE62FF"/>
    <w:rsid w:val="00BE64A5"/>
    <w:rsid w:val="00BE7332"/>
    <w:rsid w:val="00BE7BC2"/>
    <w:rsid w:val="00BE7D04"/>
    <w:rsid w:val="00BF0230"/>
    <w:rsid w:val="00BF0DC3"/>
    <w:rsid w:val="00BF0E90"/>
    <w:rsid w:val="00BF1EEF"/>
    <w:rsid w:val="00BF3384"/>
    <w:rsid w:val="00BF3A2F"/>
    <w:rsid w:val="00BF3A7A"/>
    <w:rsid w:val="00BF4399"/>
    <w:rsid w:val="00BF50C8"/>
    <w:rsid w:val="00BF5646"/>
    <w:rsid w:val="00BF584C"/>
    <w:rsid w:val="00BF59A1"/>
    <w:rsid w:val="00BF6E72"/>
    <w:rsid w:val="00BF7443"/>
    <w:rsid w:val="00BF7990"/>
    <w:rsid w:val="00BF7C8F"/>
    <w:rsid w:val="00C007B0"/>
    <w:rsid w:val="00C00862"/>
    <w:rsid w:val="00C03668"/>
    <w:rsid w:val="00C03A2B"/>
    <w:rsid w:val="00C03AC8"/>
    <w:rsid w:val="00C05298"/>
    <w:rsid w:val="00C063A3"/>
    <w:rsid w:val="00C103A6"/>
    <w:rsid w:val="00C10EB0"/>
    <w:rsid w:val="00C112AB"/>
    <w:rsid w:val="00C12A36"/>
    <w:rsid w:val="00C13592"/>
    <w:rsid w:val="00C14322"/>
    <w:rsid w:val="00C14A30"/>
    <w:rsid w:val="00C14D86"/>
    <w:rsid w:val="00C15296"/>
    <w:rsid w:val="00C154AE"/>
    <w:rsid w:val="00C15B7B"/>
    <w:rsid w:val="00C20030"/>
    <w:rsid w:val="00C209FC"/>
    <w:rsid w:val="00C20F5A"/>
    <w:rsid w:val="00C22298"/>
    <w:rsid w:val="00C22501"/>
    <w:rsid w:val="00C248B9"/>
    <w:rsid w:val="00C24CB6"/>
    <w:rsid w:val="00C2505D"/>
    <w:rsid w:val="00C2506C"/>
    <w:rsid w:val="00C25B6D"/>
    <w:rsid w:val="00C26020"/>
    <w:rsid w:val="00C2638A"/>
    <w:rsid w:val="00C26B9E"/>
    <w:rsid w:val="00C26BBB"/>
    <w:rsid w:val="00C3020C"/>
    <w:rsid w:val="00C303C2"/>
    <w:rsid w:val="00C3210B"/>
    <w:rsid w:val="00C32D14"/>
    <w:rsid w:val="00C3339C"/>
    <w:rsid w:val="00C333F1"/>
    <w:rsid w:val="00C3366A"/>
    <w:rsid w:val="00C341EB"/>
    <w:rsid w:val="00C35216"/>
    <w:rsid w:val="00C35510"/>
    <w:rsid w:val="00C36BAC"/>
    <w:rsid w:val="00C37DE5"/>
    <w:rsid w:val="00C405AE"/>
    <w:rsid w:val="00C4098C"/>
    <w:rsid w:val="00C41098"/>
    <w:rsid w:val="00C41534"/>
    <w:rsid w:val="00C42B0A"/>
    <w:rsid w:val="00C42BE2"/>
    <w:rsid w:val="00C446F1"/>
    <w:rsid w:val="00C45130"/>
    <w:rsid w:val="00C4624C"/>
    <w:rsid w:val="00C47AD0"/>
    <w:rsid w:val="00C47B0A"/>
    <w:rsid w:val="00C47B32"/>
    <w:rsid w:val="00C47C71"/>
    <w:rsid w:val="00C50756"/>
    <w:rsid w:val="00C5232E"/>
    <w:rsid w:val="00C5274A"/>
    <w:rsid w:val="00C52BE1"/>
    <w:rsid w:val="00C53601"/>
    <w:rsid w:val="00C53A52"/>
    <w:rsid w:val="00C53D60"/>
    <w:rsid w:val="00C542C8"/>
    <w:rsid w:val="00C60111"/>
    <w:rsid w:val="00C60AA2"/>
    <w:rsid w:val="00C60E6E"/>
    <w:rsid w:val="00C61024"/>
    <w:rsid w:val="00C621DE"/>
    <w:rsid w:val="00C62525"/>
    <w:rsid w:val="00C626E4"/>
    <w:rsid w:val="00C644E8"/>
    <w:rsid w:val="00C66396"/>
    <w:rsid w:val="00C6639D"/>
    <w:rsid w:val="00C669D1"/>
    <w:rsid w:val="00C67A7D"/>
    <w:rsid w:val="00C67D8B"/>
    <w:rsid w:val="00C70485"/>
    <w:rsid w:val="00C704AB"/>
    <w:rsid w:val="00C712B4"/>
    <w:rsid w:val="00C718AA"/>
    <w:rsid w:val="00C71B74"/>
    <w:rsid w:val="00C74643"/>
    <w:rsid w:val="00C748AF"/>
    <w:rsid w:val="00C750A1"/>
    <w:rsid w:val="00C751E1"/>
    <w:rsid w:val="00C756AF"/>
    <w:rsid w:val="00C77FAF"/>
    <w:rsid w:val="00C84104"/>
    <w:rsid w:val="00C844C3"/>
    <w:rsid w:val="00C8455F"/>
    <w:rsid w:val="00C86E8A"/>
    <w:rsid w:val="00C872C7"/>
    <w:rsid w:val="00C91640"/>
    <w:rsid w:val="00C92539"/>
    <w:rsid w:val="00C926E1"/>
    <w:rsid w:val="00C92CAA"/>
    <w:rsid w:val="00C933D7"/>
    <w:rsid w:val="00C95B96"/>
    <w:rsid w:val="00C96076"/>
    <w:rsid w:val="00C962BB"/>
    <w:rsid w:val="00C96B3C"/>
    <w:rsid w:val="00C9701A"/>
    <w:rsid w:val="00C9721C"/>
    <w:rsid w:val="00C97869"/>
    <w:rsid w:val="00C97B75"/>
    <w:rsid w:val="00C97F55"/>
    <w:rsid w:val="00CA07A9"/>
    <w:rsid w:val="00CA28EA"/>
    <w:rsid w:val="00CA29C2"/>
    <w:rsid w:val="00CA32C2"/>
    <w:rsid w:val="00CA369B"/>
    <w:rsid w:val="00CA3DF9"/>
    <w:rsid w:val="00CA3FEA"/>
    <w:rsid w:val="00CA4EED"/>
    <w:rsid w:val="00CA5930"/>
    <w:rsid w:val="00CB09FC"/>
    <w:rsid w:val="00CB0BF2"/>
    <w:rsid w:val="00CB120A"/>
    <w:rsid w:val="00CB19B5"/>
    <w:rsid w:val="00CB2217"/>
    <w:rsid w:val="00CB2D25"/>
    <w:rsid w:val="00CB2DB8"/>
    <w:rsid w:val="00CB395D"/>
    <w:rsid w:val="00CB501C"/>
    <w:rsid w:val="00CB57C9"/>
    <w:rsid w:val="00CB621B"/>
    <w:rsid w:val="00CB67DC"/>
    <w:rsid w:val="00CB7043"/>
    <w:rsid w:val="00CB75B4"/>
    <w:rsid w:val="00CC0B66"/>
    <w:rsid w:val="00CC1C92"/>
    <w:rsid w:val="00CC3625"/>
    <w:rsid w:val="00CC3E99"/>
    <w:rsid w:val="00CC4471"/>
    <w:rsid w:val="00CC5386"/>
    <w:rsid w:val="00CC5606"/>
    <w:rsid w:val="00CC6E0F"/>
    <w:rsid w:val="00CC6F7D"/>
    <w:rsid w:val="00CC7B97"/>
    <w:rsid w:val="00CC7C42"/>
    <w:rsid w:val="00CD06C2"/>
    <w:rsid w:val="00CD0B18"/>
    <w:rsid w:val="00CD258B"/>
    <w:rsid w:val="00CD296C"/>
    <w:rsid w:val="00CD4D2E"/>
    <w:rsid w:val="00CD60C2"/>
    <w:rsid w:val="00CD61DF"/>
    <w:rsid w:val="00CD656F"/>
    <w:rsid w:val="00CD7D67"/>
    <w:rsid w:val="00CD7DC6"/>
    <w:rsid w:val="00CE0E4C"/>
    <w:rsid w:val="00CE18BE"/>
    <w:rsid w:val="00CE1BD2"/>
    <w:rsid w:val="00CE1F2A"/>
    <w:rsid w:val="00CE4FED"/>
    <w:rsid w:val="00CE5955"/>
    <w:rsid w:val="00CE5BA7"/>
    <w:rsid w:val="00CE67F5"/>
    <w:rsid w:val="00CE7A90"/>
    <w:rsid w:val="00CE7ACD"/>
    <w:rsid w:val="00CE7DCB"/>
    <w:rsid w:val="00CF1107"/>
    <w:rsid w:val="00CF2281"/>
    <w:rsid w:val="00CF2A64"/>
    <w:rsid w:val="00CF635A"/>
    <w:rsid w:val="00CF6B04"/>
    <w:rsid w:val="00CF71D9"/>
    <w:rsid w:val="00CF76DD"/>
    <w:rsid w:val="00CF77DB"/>
    <w:rsid w:val="00D000B3"/>
    <w:rsid w:val="00D00F8E"/>
    <w:rsid w:val="00D0401E"/>
    <w:rsid w:val="00D061BE"/>
    <w:rsid w:val="00D10EC2"/>
    <w:rsid w:val="00D11DCB"/>
    <w:rsid w:val="00D12055"/>
    <w:rsid w:val="00D135C4"/>
    <w:rsid w:val="00D1492F"/>
    <w:rsid w:val="00D163C6"/>
    <w:rsid w:val="00D1666F"/>
    <w:rsid w:val="00D1718E"/>
    <w:rsid w:val="00D205F1"/>
    <w:rsid w:val="00D228CA"/>
    <w:rsid w:val="00D230F0"/>
    <w:rsid w:val="00D232E3"/>
    <w:rsid w:val="00D2433E"/>
    <w:rsid w:val="00D24C5A"/>
    <w:rsid w:val="00D262F1"/>
    <w:rsid w:val="00D2670F"/>
    <w:rsid w:val="00D2694A"/>
    <w:rsid w:val="00D27C2E"/>
    <w:rsid w:val="00D30725"/>
    <w:rsid w:val="00D30DC5"/>
    <w:rsid w:val="00D3123E"/>
    <w:rsid w:val="00D31C17"/>
    <w:rsid w:val="00D3249B"/>
    <w:rsid w:val="00D334EC"/>
    <w:rsid w:val="00D33CCE"/>
    <w:rsid w:val="00D352A2"/>
    <w:rsid w:val="00D354E4"/>
    <w:rsid w:val="00D35507"/>
    <w:rsid w:val="00D364BA"/>
    <w:rsid w:val="00D368B1"/>
    <w:rsid w:val="00D36C9E"/>
    <w:rsid w:val="00D36E3C"/>
    <w:rsid w:val="00D378BB"/>
    <w:rsid w:val="00D400C7"/>
    <w:rsid w:val="00D424E3"/>
    <w:rsid w:val="00D42E40"/>
    <w:rsid w:val="00D42F7A"/>
    <w:rsid w:val="00D43446"/>
    <w:rsid w:val="00D43C9E"/>
    <w:rsid w:val="00D4413E"/>
    <w:rsid w:val="00D45EB1"/>
    <w:rsid w:val="00D4694E"/>
    <w:rsid w:val="00D46BEF"/>
    <w:rsid w:val="00D46D26"/>
    <w:rsid w:val="00D5067D"/>
    <w:rsid w:val="00D513C3"/>
    <w:rsid w:val="00D52918"/>
    <w:rsid w:val="00D53C2B"/>
    <w:rsid w:val="00D54DFE"/>
    <w:rsid w:val="00D56054"/>
    <w:rsid w:val="00D56DC8"/>
    <w:rsid w:val="00D6019F"/>
    <w:rsid w:val="00D60D44"/>
    <w:rsid w:val="00D60F3E"/>
    <w:rsid w:val="00D61739"/>
    <w:rsid w:val="00D63267"/>
    <w:rsid w:val="00D6356F"/>
    <w:rsid w:val="00D64017"/>
    <w:rsid w:val="00D64D3C"/>
    <w:rsid w:val="00D64DB7"/>
    <w:rsid w:val="00D66C94"/>
    <w:rsid w:val="00D66CD6"/>
    <w:rsid w:val="00D67653"/>
    <w:rsid w:val="00D72C5C"/>
    <w:rsid w:val="00D7477D"/>
    <w:rsid w:val="00D7773D"/>
    <w:rsid w:val="00D777D6"/>
    <w:rsid w:val="00D81018"/>
    <w:rsid w:val="00D819FB"/>
    <w:rsid w:val="00D81FFF"/>
    <w:rsid w:val="00D83705"/>
    <w:rsid w:val="00D837A2"/>
    <w:rsid w:val="00D83F9B"/>
    <w:rsid w:val="00D84A4B"/>
    <w:rsid w:val="00D853F9"/>
    <w:rsid w:val="00D86C18"/>
    <w:rsid w:val="00D87AF1"/>
    <w:rsid w:val="00D90485"/>
    <w:rsid w:val="00D913A6"/>
    <w:rsid w:val="00D931DE"/>
    <w:rsid w:val="00D94236"/>
    <w:rsid w:val="00D94929"/>
    <w:rsid w:val="00D9531D"/>
    <w:rsid w:val="00D96250"/>
    <w:rsid w:val="00D966B0"/>
    <w:rsid w:val="00D96A55"/>
    <w:rsid w:val="00D97682"/>
    <w:rsid w:val="00DA023B"/>
    <w:rsid w:val="00DA15BB"/>
    <w:rsid w:val="00DA1F4D"/>
    <w:rsid w:val="00DA2622"/>
    <w:rsid w:val="00DA44E8"/>
    <w:rsid w:val="00DA56AB"/>
    <w:rsid w:val="00DA5D85"/>
    <w:rsid w:val="00DA69A9"/>
    <w:rsid w:val="00DB075C"/>
    <w:rsid w:val="00DB20DF"/>
    <w:rsid w:val="00DB49B0"/>
    <w:rsid w:val="00DB5219"/>
    <w:rsid w:val="00DB64A6"/>
    <w:rsid w:val="00DB65F1"/>
    <w:rsid w:val="00DB7C30"/>
    <w:rsid w:val="00DC017F"/>
    <w:rsid w:val="00DC0EDE"/>
    <w:rsid w:val="00DC117B"/>
    <w:rsid w:val="00DC34EA"/>
    <w:rsid w:val="00DC42F9"/>
    <w:rsid w:val="00DC43C6"/>
    <w:rsid w:val="00DC56D7"/>
    <w:rsid w:val="00DC5D5C"/>
    <w:rsid w:val="00DC6455"/>
    <w:rsid w:val="00DC772C"/>
    <w:rsid w:val="00DC7AFC"/>
    <w:rsid w:val="00DC7DEE"/>
    <w:rsid w:val="00DD02D0"/>
    <w:rsid w:val="00DD592D"/>
    <w:rsid w:val="00DD5C71"/>
    <w:rsid w:val="00DD5E2E"/>
    <w:rsid w:val="00DD5F8C"/>
    <w:rsid w:val="00DD6CFF"/>
    <w:rsid w:val="00DD73F5"/>
    <w:rsid w:val="00DE1326"/>
    <w:rsid w:val="00DE2361"/>
    <w:rsid w:val="00DE31A7"/>
    <w:rsid w:val="00DE32C1"/>
    <w:rsid w:val="00DE39D3"/>
    <w:rsid w:val="00DE5277"/>
    <w:rsid w:val="00DE641A"/>
    <w:rsid w:val="00DE65EA"/>
    <w:rsid w:val="00DE7095"/>
    <w:rsid w:val="00DE7E9C"/>
    <w:rsid w:val="00DF0500"/>
    <w:rsid w:val="00DF08D0"/>
    <w:rsid w:val="00DF1016"/>
    <w:rsid w:val="00DF1053"/>
    <w:rsid w:val="00DF1737"/>
    <w:rsid w:val="00DF7007"/>
    <w:rsid w:val="00E00941"/>
    <w:rsid w:val="00E00DFF"/>
    <w:rsid w:val="00E0103B"/>
    <w:rsid w:val="00E0214C"/>
    <w:rsid w:val="00E024B4"/>
    <w:rsid w:val="00E02F47"/>
    <w:rsid w:val="00E03010"/>
    <w:rsid w:val="00E032CD"/>
    <w:rsid w:val="00E034F7"/>
    <w:rsid w:val="00E03AD7"/>
    <w:rsid w:val="00E042E8"/>
    <w:rsid w:val="00E05194"/>
    <w:rsid w:val="00E05523"/>
    <w:rsid w:val="00E06432"/>
    <w:rsid w:val="00E06652"/>
    <w:rsid w:val="00E07143"/>
    <w:rsid w:val="00E07514"/>
    <w:rsid w:val="00E11268"/>
    <w:rsid w:val="00E1344F"/>
    <w:rsid w:val="00E13EC4"/>
    <w:rsid w:val="00E1439D"/>
    <w:rsid w:val="00E14749"/>
    <w:rsid w:val="00E14BE1"/>
    <w:rsid w:val="00E14C5C"/>
    <w:rsid w:val="00E15753"/>
    <w:rsid w:val="00E15860"/>
    <w:rsid w:val="00E15C9B"/>
    <w:rsid w:val="00E15E22"/>
    <w:rsid w:val="00E160C4"/>
    <w:rsid w:val="00E168B1"/>
    <w:rsid w:val="00E201EA"/>
    <w:rsid w:val="00E20541"/>
    <w:rsid w:val="00E2098C"/>
    <w:rsid w:val="00E21590"/>
    <w:rsid w:val="00E22B85"/>
    <w:rsid w:val="00E23BC6"/>
    <w:rsid w:val="00E248D1"/>
    <w:rsid w:val="00E24E70"/>
    <w:rsid w:val="00E251C2"/>
    <w:rsid w:val="00E25DC2"/>
    <w:rsid w:val="00E26249"/>
    <w:rsid w:val="00E26B82"/>
    <w:rsid w:val="00E27A0F"/>
    <w:rsid w:val="00E32590"/>
    <w:rsid w:val="00E35FAE"/>
    <w:rsid w:val="00E35FE2"/>
    <w:rsid w:val="00E36386"/>
    <w:rsid w:val="00E36872"/>
    <w:rsid w:val="00E374E3"/>
    <w:rsid w:val="00E379F3"/>
    <w:rsid w:val="00E37DAA"/>
    <w:rsid w:val="00E41A51"/>
    <w:rsid w:val="00E43AD2"/>
    <w:rsid w:val="00E43C34"/>
    <w:rsid w:val="00E452C4"/>
    <w:rsid w:val="00E4558B"/>
    <w:rsid w:val="00E46054"/>
    <w:rsid w:val="00E462B6"/>
    <w:rsid w:val="00E47FF7"/>
    <w:rsid w:val="00E5004B"/>
    <w:rsid w:val="00E50520"/>
    <w:rsid w:val="00E50F16"/>
    <w:rsid w:val="00E510E0"/>
    <w:rsid w:val="00E518C5"/>
    <w:rsid w:val="00E51B2C"/>
    <w:rsid w:val="00E52BF0"/>
    <w:rsid w:val="00E53DED"/>
    <w:rsid w:val="00E53F2C"/>
    <w:rsid w:val="00E546ED"/>
    <w:rsid w:val="00E54F45"/>
    <w:rsid w:val="00E550D5"/>
    <w:rsid w:val="00E55984"/>
    <w:rsid w:val="00E55CEF"/>
    <w:rsid w:val="00E56485"/>
    <w:rsid w:val="00E57582"/>
    <w:rsid w:val="00E57651"/>
    <w:rsid w:val="00E57C79"/>
    <w:rsid w:val="00E60261"/>
    <w:rsid w:val="00E60A07"/>
    <w:rsid w:val="00E61775"/>
    <w:rsid w:val="00E62191"/>
    <w:rsid w:val="00E6483B"/>
    <w:rsid w:val="00E64CD0"/>
    <w:rsid w:val="00E66823"/>
    <w:rsid w:val="00E66B66"/>
    <w:rsid w:val="00E71A79"/>
    <w:rsid w:val="00E72CA9"/>
    <w:rsid w:val="00E75D24"/>
    <w:rsid w:val="00E76E1A"/>
    <w:rsid w:val="00E77268"/>
    <w:rsid w:val="00E777CB"/>
    <w:rsid w:val="00E779CE"/>
    <w:rsid w:val="00E8054C"/>
    <w:rsid w:val="00E819FF"/>
    <w:rsid w:val="00E81FCE"/>
    <w:rsid w:val="00E8305B"/>
    <w:rsid w:val="00E83921"/>
    <w:rsid w:val="00E85D0A"/>
    <w:rsid w:val="00E861E4"/>
    <w:rsid w:val="00E86312"/>
    <w:rsid w:val="00E865E8"/>
    <w:rsid w:val="00E86FAF"/>
    <w:rsid w:val="00E900E2"/>
    <w:rsid w:val="00E90DA3"/>
    <w:rsid w:val="00E9102D"/>
    <w:rsid w:val="00E91AB1"/>
    <w:rsid w:val="00E92692"/>
    <w:rsid w:val="00E92717"/>
    <w:rsid w:val="00E92800"/>
    <w:rsid w:val="00E93221"/>
    <w:rsid w:val="00E939A6"/>
    <w:rsid w:val="00E94A87"/>
    <w:rsid w:val="00E9588A"/>
    <w:rsid w:val="00E9699B"/>
    <w:rsid w:val="00E973B0"/>
    <w:rsid w:val="00EA18F2"/>
    <w:rsid w:val="00EA3345"/>
    <w:rsid w:val="00EA5A2C"/>
    <w:rsid w:val="00EA5EF5"/>
    <w:rsid w:val="00EA6D28"/>
    <w:rsid w:val="00EA6D43"/>
    <w:rsid w:val="00EB03F1"/>
    <w:rsid w:val="00EB11AA"/>
    <w:rsid w:val="00EB156B"/>
    <w:rsid w:val="00EB3C65"/>
    <w:rsid w:val="00EB3FBE"/>
    <w:rsid w:val="00EB4BAC"/>
    <w:rsid w:val="00EB50A1"/>
    <w:rsid w:val="00EB51F5"/>
    <w:rsid w:val="00EB5C28"/>
    <w:rsid w:val="00EC0310"/>
    <w:rsid w:val="00EC0A3E"/>
    <w:rsid w:val="00EC24E6"/>
    <w:rsid w:val="00EC273C"/>
    <w:rsid w:val="00EC2AAC"/>
    <w:rsid w:val="00EC2D02"/>
    <w:rsid w:val="00EC3449"/>
    <w:rsid w:val="00EC541A"/>
    <w:rsid w:val="00EC595D"/>
    <w:rsid w:val="00EC5A9A"/>
    <w:rsid w:val="00EC5E8E"/>
    <w:rsid w:val="00EC7091"/>
    <w:rsid w:val="00EC7210"/>
    <w:rsid w:val="00ED11EC"/>
    <w:rsid w:val="00ED14FC"/>
    <w:rsid w:val="00ED2274"/>
    <w:rsid w:val="00ED34BD"/>
    <w:rsid w:val="00ED3E34"/>
    <w:rsid w:val="00ED4B87"/>
    <w:rsid w:val="00ED55B9"/>
    <w:rsid w:val="00ED5A92"/>
    <w:rsid w:val="00ED6409"/>
    <w:rsid w:val="00ED776B"/>
    <w:rsid w:val="00ED7C35"/>
    <w:rsid w:val="00ED7ED6"/>
    <w:rsid w:val="00EE01CB"/>
    <w:rsid w:val="00EE0B88"/>
    <w:rsid w:val="00EE199C"/>
    <w:rsid w:val="00EE1FA8"/>
    <w:rsid w:val="00EE297A"/>
    <w:rsid w:val="00EE3E9B"/>
    <w:rsid w:val="00EE518F"/>
    <w:rsid w:val="00EE6E64"/>
    <w:rsid w:val="00EF033D"/>
    <w:rsid w:val="00EF057E"/>
    <w:rsid w:val="00EF0AA7"/>
    <w:rsid w:val="00EF1315"/>
    <w:rsid w:val="00EF160E"/>
    <w:rsid w:val="00EF16C6"/>
    <w:rsid w:val="00EF2069"/>
    <w:rsid w:val="00EF2803"/>
    <w:rsid w:val="00EF3B72"/>
    <w:rsid w:val="00EF4040"/>
    <w:rsid w:val="00EF75D0"/>
    <w:rsid w:val="00EF7CFB"/>
    <w:rsid w:val="00EF7D44"/>
    <w:rsid w:val="00F00C81"/>
    <w:rsid w:val="00F00DB0"/>
    <w:rsid w:val="00F01198"/>
    <w:rsid w:val="00F0167B"/>
    <w:rsid w:val="00F01707"/>
    <w:rsid w:val="00F01D27"/>
    <w:rsid w:val="00F02694"/>
    <w:rsid w:val="00F02E1F"/>
    <w:rsid w:val="00F040F0"/>
    <w:rsid w:val="00F046C0"/>
    <w:rsid w:val="00F0533A"/>
    <w:rsid w:val="00F05ECB"/>
    <w:rsid w:val="00F076A5"/>
    <w:rsid w:val="00F10175"/>
    <w:rsid w:val="00F110E4"/>
    <w:rsid w:val="00F11A86"/>
    <w:rsid w:val="00F11EBB"/>
    <w:rsid w:val="00F12782"/>
    <w:rsid w:val="00F12AFC"/>
    <w:rsid w:val="00F144F0"/>
    <w:rsid w:val="00F15A4F"/>
    <w:rsid w:val="00F15B82"/>
    <w:rsid w:val="00F17185"/>
    <w:rsid w:val="00F17F89"/>
    <w:rsid w:val="00F204A5"/>
    <w:rsid w:val="00F2148A"/>
    <w:rsid w:val="00F2283E"/>
    <w:rsid w:val="00F24847"/>
    <w:rsid w:val="00F24C54"/>
    <w:rsid w:val="00F25AD6"/>
    <w:rsid w:val="00F262E1"/>
    <w:rsid w:val="00F26BB6"/>
    <w:rsid w:val="00F273BB"/>
    <w:rsid w:val="00F27F74"/>
    <w:rsid w:val="00F313B8"/>
    <w:rsid w:val="00F31B63"/>
    <w:rsid w:val="00F32BB0"/>
    <w:rsid w:val="00F3307A"/>
    <w:rsid w:val="00F330CE"/>
    <w:rsid w:val="00F333BD"/>
    <w:rsid w:val="00F335DF"/>
    <w:rsid w:val="00F33698"/>
    <w:rsid w:val="00F337F7"/>
    <w:rsid w:val="00F35DB8"/>
    <w:rsid w:val="00F364EA"/>
    <w:rsid w:val="00F37BA6"/>
    <w:rsid w:val="00F37D34"/>
    <w:rsid w:val="00F4195D"/>
    <w:rsid w:val="00F42044"/>
    <w:rsid w:val="00F42284"/>
    <w:rsid w:val="00F4243F"/>
    <w:rsid w:val="00F42FA3"/>
    <w:rsid w:val="00F43922"/>
    <w:rsid w:val="00F43E86"/>
    <w:rsid w:val="00F4540F"/>
    <w:rsid w:val="00F472DC"/>
    <w:rsid w:val="00F50158"/>
    <w:rsid w:val="00F50595"/>
    <w:rsid w:val="00F510E2"/>
    <w:rsid w:val="00F516D7"/>
    <w:rsid w:val="00F529F4"/>
    <w:rsid w:val="00F52CA0"/>
    <w:rsid w:val="00F53459"/>
    <w:rsid w:val="00F53B40"/>
    <w:rsid w:val="00F54326"/>
    <w:rsid w:val="00F578C3"/>
    <w:rsid w:val="00F60246"/>
    <w:rsid w:val="00F60E41"/>
    <w:rsid w:val="00F610E0"/>
    <w:rsid w:val="00F623F3"/>
    <w:rsid w:val="00F636D8"/>
    <w:rsid w:val="00F63B1C"/>
    <w:rsid w:val="00F6565E"/>
    <w:rsid w:val="00F65ED8"/>
    <w:rsid w:val="00F6729E"/>
    <w:rsid w:val="00F67FFC"/>
    <w:rsid w:val="00F70504"/>
    <w:rsid w:val="00F72765"/>
    <w:rsid w:val="00F72980"/>
    <w:rsid w:val="00F73C73"/>
    <w:rsid w:val="00F74F42"/>
    <w:rsid w:val="00F757A7"/>
    <w:rsid w:val="00F77B6D"/>
    <w:rsid w:val="00F77B85"/>
    <w:rsid w:val="00F80369"/>
    <w:rsid w:val="00F8084F"/>
    <w:rsid w:val="00F80F53"/>
    <w:rsid w:val="00F82737"/>
    <w:rsid w:val="00F82B7B"/>
    <w:rsid w:val="00F838E4"/>
    <w:rsid w:val="00F8429C"/>
    <w:rsid w:val="00F84A31"/>
    <w:rsid w:val="00F85B7B"/>
    <w:rsid w:val="00F8710D"/>
    <w:rsid w:val="00F906DC"/>
    <w:rsid w:val="00F90D0E"/>
    <w:rsid w:val="00F92AAC"/>
    <w:rsid w:val="00F92EAE"/>
    <w:rsid w:val="00F953C8"/>
    <w:rsid w:val="00F95FD2"/>
    <w:rsid w:val="00F96701"/>
    <w:rsid w:val="00F971EA"/>
    <w:rsid w:val="00FA08FA"/>
    <w:rsid w:val="00FA1A26"/>
    <w:rsid w:val="00FA27C4"/>
    <w:rsid w:val="00FA3F5A"/>
    <w:rsid w:val="00FA41E5"/>
    <w:rsid w:val="00FA46DF"/>
    <w:rsid w:val="00FA4B61"/>
    <w:rsid w:val="00FA503A"/>
    <w:rsid w:val="00FA5C81"/>
    <w:rsid w:val="00FB03E7"/>
    <w:rsid w:val="00FB347D"/>
    <w:rsid w:val="00FB3605"/>
    <w:rsid w:val="00FB3804"/>
    <w:rsid w:val="00FB5450"/>
    <w:rsid w:val="00FB58F4"/>
    <w:rsid w:val="00FB5B81"/>
    <w:rsid w:val="00FB62B9"/>
    <w:rsid w:val="00FB6ABE"/>
    <w:rsid w:val="00FC14C7"/>
    <w:rsid w:val="00FC1CB3"/>
    <w:rsid w:val="00FC2B71"/>
    <w:rsid w:val="00FC4362"/>
    <w:rsid w:val="00FC46B0"/>
    <w:rsid w:val="00FC7120"/>
    <w:rsid w:val="00FC7E54"/>
    <w:rsid w:val="00FD189A"/>
    <w:rsid w:val="00FD1A00"/>
    <w:rsid w:val="00FD4142"/>
    <w:rsid w:val="00FD4351"/>
    <w:rsid w:val="00FD480D"/>
    <w:rsid w:val="00FD5365"/>
    <w:rsid w:val="00FD71E6"/>
    <w:rsid w:val="00FD7451"/>
    <w:rsid w:val="00FD758E"/>
    <w:rsid w:val="00FE16C8"/>
    <w:rsid w:val="00FE17A0"/>
    <w:rsid w:val="00FE300C"/>
    <w:rsid w:val="00FE33D2"/>
    <w:rsid w:val="00FE34FB"/>
    <w:rsid w:val="00FE3A29"/>
    <w:rsid w:val="00FE4041"/>
    <w:rsid w:val="00FE4144"/>
    <w:rsid w:val="00FE464E"/>
    <w:rsid w:val="00FE47CB"/>
    <w:rsid w:val="00FE49A7"/>
    <w:rsid w:val="00FE6A87"/>
    <w:rsid w:val="00FF074A"/>
    <w:rsid w:val="00FF2654"/>
    <w:rsid w:val="00FF2684"/>
    <w:rsid w:val="00FF329A"/>
    <w:rsid w:val="00FF4191"/>
    <w:rsid w:val="00FF4505"/>
    <w:rsid w:val="00FF5835"/>
    <w:rsid w:val="00FF609A"/>
    <w:rsid w:val="00FF723F"/>
    <w:rsid w:val="00FF7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DBBB6"/>
  <w15:docId w15:val="{4161A07D-6CB2-4543-8DD5-9E3BC4280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040C"/>
    <w:pPr>
      <w:spacing w:after="0" w:line="360" w:lineRule="auto"/>
    </w:pPr>
    <w:rPr>
      <w:rFonts w:ascii="Times New Roman" w:eastAsia="Times New Roman" w:hAnsi="Times New Roman" w:cs="Times New Roman"/>
      <w:sz w:val="24"/>
      <w:szCs w:val="20"/>
    </w:rPr>
  </w:style>
  <w:style w:type="paragraph" w:styleId="Heading1">
    <w:name w:val="heading 1"/>
    <w:basedOn w:val="ListParagraph"/>
    <w:next w:val="Normal"/>
    <w:link w:val="Heading1Char"/>
    <w:uiPriority w:val="9"/>
    <w:qFormat/>
    <w:rsid w:val="00BE145B"/>
    <w:pPr>
      <w:ind w:left="0"/>
      <w:contextualSpacing w:val="0"/>
      <w:jc w:val="center"/>
      <w:outlineLvl w:val="0"/>
    </w:pPr>
    <w:rPr>
      <w:b/>
      <w:sz w:val="26"/>
      <w:szCs w:val="26"/>
    </w:rPr>
  </w:style>
  <w:style w:type="paragraph" w:styleId="Heading2">
    <w:name w:val="heading 2"/>
    <w:basedOn w:val="Normal"/>
    <w:next w:val="Normal"/>
    <w:link w:val="Heading2Char"/>
    <w:uiPriority w:val="9"/>
    <w:unhideWhenUsed/>
    <w:qFormat/>
    <w:rsid w:val="00BE145B"/>
    <w:pPr>
      <w:keepNext/>
      <w:outlineLvl w:val="1"/>
    </w:pPr>
    <w:rPr>
      <w:b/>
      <w:sz w:val="26"/>
      <w:szCs w:val="26"/>
    </w:rPr>
  </w:style>
  <w:style w:type="paragraph" w:styleId="Heading3">
    <w:name w:val="heading 3"/>
    <w:basedOn w:val="Heading1"/>
    <w:next w:val="Normal"/>
    <w:link w:val="Heading3Char"/>
    <w:uiPriority w:val="9"/>
    <w:unhideWhenUsed/>
    <w:qFormat/>
    <w:rsid w:val="00600FC7"/>
    <w:pPr>
      <w:outlineLvl w:val="2"/>
    </w:pPr>
  </w:style>
  <w:style w:type="paragraph" w:styleId="Heading4">
    <w:name w:val="heading 4"/>
    <w:basedOn w:val="Normal"/>
    <w:next w:val="Normal"/>
    <w:link w:val="Heading4Char"/>
    <w:uiPriority w:val="9"/>
    <w:unhideWhenUsed/>
    <w:qFormat/>
    <w:rsid w:val="00600FC7"/>
    <w:pPr>
      <w:keepNext/>
      <w:jc w:val="center"/>
      <w:outlineLvl w:val="3"/>
    </w:pPr>
    <w:rPr>
      <w:b/>
      <w:sz w:val="26"/>
      <w:szCs w:val="26"/>
    </w:rPr>
  </w:style>
  <w:style w:type="paragraph" w:styleId="Heading5">
    <w:name w:val="heading 5"/>
    <w:basedOn w:val="Normal"/>
    <w:next w:val="Normal"/>
    <w:link w:val="Heading5Char"/>
    <w:uiPriority w:val="9"/>
    <w:unhideWhenUsed/>
    <w:qFormat/>
    <w:rsid w:val="00600FC7"/>
    <w:pPr>
      <w:keepNext/>
      <w:keepLines/>
      <w:jc w:val="center"/>
      <w:outlineLvl w:val="4"/>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9E5583"/>
    <w:pPr>
      <w:spacing w:line="240" w:lineRule="auto"/>
      <w:jc w:val="center"/>
    </w:pPr>
    <w:rPr>
      <w:b/>
    </w:rPr>
  </w:style>
  <w:style w:type="character" w:customStyle="1" w:styleId="SubtitleChar">
    <w:name w:val="Subtitle Char"/>
    <w:basedOn w:val="DefaultParagraphFont"/>
    <w:link w:val="Subtitle"/>
    <w:rsid w:val="009E5583"/>
    <w:rPr>
      <w:rFonts w:ascii="CG Times" w:eastAsia="Times New Roman" w:hAnsi="CG Times" w:cs="Times New Roman"/>
      <w:b/>
      <w:sz w:val="24"/>
      <w:szCs w:val="20"/>
    </w:rPr>
  </w:style>
  <w:style w:type="character" w:customStyle="1" w:styleId="Heading1Char">
    <w:name w:val="Heading 1 Char"/>
    <w:basedOn w:val="DefaultParagraphFont"/>
    <w:link w:val="Heading1"/>
    <w:uiPriority w:val="9"/>
    <w:rsid w:val="00BE145B"/>
    <w:rPr>
      <w:rFonts w:ascii="Times New Roman" w:eastAsia="Times New Roman" w:hAnsi="Times New Roman" w:cs="Times New Roman"/>
      <w:b/>
      <w:sz w:val="26"/>
      <w:szCs w:val="26"/>
    </w:rPr>
  </w:style>
  <w:style w:type="paragraph" w:styleId="BodyTextIndent">
    <w:name w:val="Body Text Indent"/>
    <w:basedOn w:val="Normal"/>
    <w:link w:val="BodyTextIndentChar"/>
    <w:uiPriority w:val="99"/>
    <w:unhideWhenUsed/>
    <w:rsid w:val="009E5583"/>
    <w:pPr>
      <w:spacing w:after="120"/>
      <w:ind w:left="360"/>
    </w:pPr>
  </w:style>
  <w:style w:type="character" w:customStyle="1" w:styleId="BodyTextIndentChar">
    <w:name w:val="Body Text Indent Char"/>
    <w:basedOn w:val="DefaultParagraphFont"/>
    <w:link w:val="BodyTextIndent"/>
    <w:uiPriority w:val="99"/>
    <w:rsid w:val="009E5583"/>
    <w:rPr>
      <w:rFonts w:ascii="CG Times" w:eastAsia="Times New Roman" w:hAnsi="CG Times" w:cs="Times New Roman"/>
      <w:sz w:val="24"/>
      <w:szCs w:val="20"/>
    </w:rPr>
  </w:style>
  <w:style w:type="paragraph" w:styleId="ListParagraph">
    <w:name w:val="List Paragraph"/>
    <w:basedOn w:val="Normal"/>
    <w:uiPriority w:val="34"/>
    <w:qFormat/>
    <w:rsid w:val="009E5583"/>
    <w:pPr>
      <w:ind w:left="720"/>
      <w:contextualSpacing/>
    </w:pPr>
  </w:style>
  <w:style w:type="character" w:styleId="FootnoteReference">
    <w:name w:val="footnote reference"/>
    <w:aliases w:val="o,fr,Style 13,Style 12,Style 15,Style 17,Style 9,o1,fr1,o2,fr2,o3,fr3,Style 18,(NECG) Footnote Reference,Style 20,Style 7,Style 8,Style 19,Style 28,Style 11,Style 16,Styl,Footnote Reference (EIS),fnr,Footnote reference (EA),Style 30,."/>
    <w:basedOn w:val="DefaultParagraphFont"/>
    <w:uiPriority w:val="99"/>
    <w:unhideWhenUsed/>
    <w:qFormat/>
    <w:rsid w:val="00792C5F"/>
    <w:rPr>
      <w:rFonts w:ascii="Times New Roman" w:hAnsi="Times New Roman"/>
      <w:vertAlign w:val="superscript"/>
    </w:rPr>
  </w:style>
  <w:style w:type="paragraph" w:styleId="FootnoteText">
    <w:name w:val="footnote text"/>
    <w:aliases w:val="Car,fn,ALTS FOOTNOTE,Footnote Text 2,Footnote text,FOOTNOTE,fn Char Char,fn Char,Footnote Text Char1 Char,Footnote Text Char Char Char,ALTS FOOTNOTE Char Char Char,Footnote Text Char2 Char Char Char,Footnote Text Char1,ft,Style 14"/>
    <w:basedOn w:val="Normal"/>
    <w:link w:val="FootnoteTextChar"/>
    <w:autoRedefine/>
    <w:uiPriority w:val="99"/>
    <w:unhideWhenUsed/>
    <w:qFormat/>
    <w:rsid w:val="00FD1A00"/>
    <w:pPr>
      <w:spacing w:after="120" w:line="240" w:lineRule="auto"/>
      <w:ind w:firstLine="720"/>
    </w:pPr>
    <w:rPr>
      <w:sz w:val="26"/>
      <w:szCs w:val="26"/>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ft Char"/>
    <w:basedOn w:val="DefaultParagraphFont"/>
    <w:link w:val="FootnoteText"/>
    <w:uiPriority w:val="99"/>
    <w:qFormat/>
    <w:rsid w:val="00FD1A00"/>
    <w:rPr>
      <w:rFonts w:ascii="Times New Roman" w:eastAsia="Times New Roman" w:hAnsi="Times New Roman" w:cs="Times New Roman"/>
      <w:sz w:val="26"/>
      <w:szCs w:val="26"/>
    </w:rPr>
  </w:style>
  <w:style w:type="paragraph" w:styleId="Footer">
    <w:name w:val="footer"/>
    <w:basedOn w:val="Normal"/>
    <w:link w:val="FooterChar"/>
    <w:uiPriority w:val="99"/>
    <w:rsid w:val="00792C5F"/>
    <w:pPr>
      <w:tabs>
        <w:tab w:val="center" w:pos="4320"/>
        <w:tab w:val="right" w:pos="8640"/>
      </w:tabs>
      <w:spacing w:line="240" w:lineRule="auto"/>
    </w:pPr>
    <w:rPr>
      <w:sz w:val="20"/>
    </w:rPr>
  </w:style>
  <w:style w:type="character" w:customStyle="1" w:styleId="FooterChar">
    <w:name w:val="Footer Char"/>
    <w:basedOn w:val="DefaultParagraphFont"/>
    <w:link w:val="Footer"/>
    <w:uiPriority w:val="99"/>
    <w:rsid w:val="00792C5F"/>
    <w:rPr>
      <w:rFonts w:ascii="Times New Roman" w:eastAsia="Times New Roman" w:hAnsi="Times New Roman" w:cs="Times New Roman"/>
      <w:sz w:val="20"/>
      <w:szCs w:val="20"/>
    </w:rPr>
  </w:style>
  <w:style w:type="paragraph" w:styleId="BodyText2">
    <w:name w:val="Body Text 2"/>
    <w:basedOn w:val="Normal"/>
    <w:link w:val="BodyText2Char"/>
    <w:unhideWhenUsed/>
    <w:rsid w:val="00AB259B"/>
    <w:pPr>
      <w:spacing w:after="120" w:line="480" w:lineRule="auto"/>
    </w:pPr>
  </w:style>
  <w:style w:type="character" w:customStyle="1" w:styleId="BodyText2Char">
    <w:name w:val="Body Text 2 Char"/>
    <w:basedOn w:val="DefaultParagraphFont"/>
    <w:link w:val="BodyText2"/>
    <w:rsid w:val="00AB259B"/>
    <w:rPr>
      <w:rFonts w:ascii="CG Times" w:eastAsia="Times New Roman" w:hAnsi="CG Times" w:cs="Times New Roman"/>
      <w:sz w:val="24"/>
      <w:szCs w:val="20"/>
    </w:rPr>
  </w:style>
  <w:style w:type="paragraph" w:styleId="Header">
    <w:name w:val="header"/>
    <w:basedOn w:val="Normal"/>
    <w:link w:val="HeaderChar"/>
    <w:uiPriority w:val="99"/>
    <w:unhideWhenUsed/>
    <w:rsid w:val="00C2506C"/>
    <w:pPr>
      <w:tabs>
        <w:tab w:val="center" w:pos="4680"/>
        <w:tab w:val="right" w:pos="9360"/>
      </w:tabs>
      <w:spacing w:line="240" w:lineRule="auto"/>
    </w:pPr>
  </w:style>
  <w:style w:type="character" w:customStyle="1" w:styleId="HeaderChar">
    <w:name w:val="Header Char"/>
    <w:basedOn w:val="DefaultParagraphFont"/>
    <w:link w:val="Header"/>
    <w:uiPriority w:val="99"/>
    <w:rsid w:val="00C2506C"/>
    <w:rPr>
      <w:rFonts w:ascii="CG Times" w:eastAsia="Times New Roman" w:hAnsi="CG Times" w:cs="Times New Roman"/>
      <w:sz w:val="24"/>
      <w:szCs w:val="20"/>
    </w:rPr>
  </w:style>
  <w:style w:type="paragraph" w:styleId="EndnoteText">
    <w:name w:val="endnote text"/>
    <w:basedOn w:val="Normal"/>
    <w:link w:val="EndnoteTextChar"/>
    <w:uiPriority w:val="99"/>
    <w:semiHidden/>
    <w:unhideWhenUsed/>
    <w:rsid w:val="00A52840"/>
    <w:pPr>
      <w:spacing w:line="240" w:lineRule="auto"/>
    </w:pPr>
    <w:rPr>
      <w:sz w:val="20"/>
    </w:rPr>
  </w:style>
  <w:style w:type="character" w:customStyle="1" w:styleId="EndnoteTextChar">
    <w:name w:val="Endnote Text Char"/>
    <w:basedOn w:val="DefaultParagraphFont"/>
    <w:link w:val="EndnoteText"/>
    <w:uiPriority w:val="99"/>
    <w:semiHidden/>
    <w:rsid w:val="00A52840"/>
    <w:rPr>
      <w:rFonts w:ascii="CG Times" w:eastAsia="Times New Roman" w:hAnsi="CG Times" w:cs="Times New Roman"/>
      <w:sz w:val="20"/>
      <w:szCs w:val="20"/>
    </w:rPr>
  </w:style>
  <w:style w:type="character" w:styleId="EndnoteReference">
    <w:name w:val="endnote reference"/>
    <w:basedOn w:val="DefaultParagraphFont"/>
    <w:uiPriority w:val="99"/>
    <w:semiHidden/>
    <w:unhideWhenUsed/>
    <w:rsid w:val="00A52840"/>
    <w:rPr>
      <w:vertAlign w:val="superscript"/>
    </w:rPr>
  </w:style>
  <w:style w:type="paragraph" w:styleId="BodyText3">
    <w:name w:val="Body Text 3"/>
    <w:basedOn w:val="Normal"/>
    <w:link w:val="BodyText3Char"/>
    <w:uiPriority w:val="99"/>
    <w:unhideWhenUsed/>
    <w:rsid w:val="003C2103"/>
    <w:pPr>
      <w:spacing w:after="120"/>
    </w:pPr>
    <w:rPr>
      <w:sz w:val="16"/>
      <w:szCs w:val="16"/>
    </w:rPr>
  </w:style>
  <w:style w:type="character" w:customStyle="1" w:styleId="BodyText3Char">
    <w:name w:val="Body Text 3 Char"/>
    <w:basedOn w:val="DefaultParagraphFont"/>
    <w:link w:val="BodyText3"/>
    <w:uiPriority w:val="99"/>
    <w:rsid w:val="003C2103"/>
    <w:rPr>
      <w:rFonts w:ascii="CG Times" w:eastAsia="Times New Roman" w:hAnsi="CG Times" w:cs="Times New Roman"/>
      <w:sz w:val="16"/>
      <w:szCs w:val="16"/>
    </w:rPr>
  </w:style>
  <w:style w:type="paragraph" w:styleId="NoSpacing">
    <w:name w:val="No Spacing"/>
    <w:uiPriority w:val="1"/>
    <w:qFormat/>
    <w:rsid w:val="003C2103"/>
    <w:pPr>
      <w:spacing w:after="0" w:line="240" w:lineRule="auto"/>
    </w:pPr>
    <w:rPr>
      <w:rFonts w:ascii="Times New Roman" w:eastAsia="Calibri" w:hAnsi="Times New Roman" w:cs="Times New Roman"/>
      <w:sz w:val="24"/>
    </w:rPr>
  </w:style>
  <w:style w:type="paragraph" w:styleId="BalloonText">
    <w:name w:val="Balloon Text"/>
    <w:basedOn w:val="Normal"/>
    <w:link w:val="BalloonTextChar"/>
    <w:uiPriority w:val="99"/>
    <w:unhideWhenUsed/>
    <w:rsid w:val="003672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67217"/>
    <w:rPr>
      <w:rFonts w:ascii="Tahoma" w:eastAsia="Times New Roman" w:hAnsi="Tahoma" w:cs="Tahoma"/>
      <w:sz w:val="16"/>
      <w:szCs w:val="16"/>
    </w:rPr>
  </w:style>
  <w:style w:type="table" w:styleId="TableGrid">
    <w:name w:val="Table Grid"/>
    <w:basedOn w:val="TableNormal"/>
    <w:uiPriority w:val="39"/>
    <w:rsid w:val="00DA2622"/>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12055"/>
    <w:pPr>
      <w:spacing w:after="120"/>
    </w:pPr>
  </w:style>
  <w:style w:type="character" w:customStyle="1" w:styleId="BodyTextChar">
    <w:name w:val="Body Text Char"/>
    <w:basedOn w:val="DefaultParagraphFont"/>
    <w:link w:val="BodyText"/>
    <w:rsid w:val="00D12055"/>
    <w:rPr>
      <w:rFonts w:ascii="CG Times" w:eastAsia="Times New Roman" w:hAnsi="CG Times" w:cs="Times New Roman"/>
      <w:sz w:val="24"/>
      <w:szCs w:val="20"/>
    </w:rPr>
  </w:style>
  <w:style w:type="character" w:styleId="CommentReference">
    <w:name w:val="annotation reference"/>
    <w:basedOn w:val="DefaultParagraphFont"/>
    <w:uiPriority w:val="99"/>
    <w:semiHidden/>
    <w:unhideWhenUsed/>
    <w:rsid w:val="006F02C2"/>
    <w:rPr>
      <w:sz w:val="16"/>
      <w:szCs w:val="16"/>
    </w:rPr>
  </w:style>
  <w:style w:type="paragraph" w:styleId="CommentText">
    <w:name w:val="annotation text"/>
    <w:basedOn w:val="Normal"/>
    <w:link w:val="CommentTextChar"/>
    <w:uiPriority w:val="99"/>
    <w:semiHidden/>
    <w:unhideWhenUsed/>
    <w:rsid w:val="006F02C2"/>
    <w:pPr>
      <w:spacing w:line="240" w:lineRule="auto"/>
    </w:pPr>
    <w:rPr>
      <w:sz w:val="20"/>
    </w:rPr>
  </w:style>
  <w:style w:type="character" w:customStyle="1" w:styleId="CommentTextChar">
    <w:name w:val="Comment Text Char"/>
    <w:basedOn w:val="DefaultParagraphFont"/>
    <w:link w:val="CommentText"/>
    <w:uiPriority w:val="99"/>
    <w:semiHidden/>
    <w:rsid w:val="006F02C2"/>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6F02C2"/>
    <w:rPr>
      <w:b/>
      <w:bCs/>
    </w:rPr>
  </w:style>
  <w:style w:type="character" w:customStyle="1" w:styleId="CommentSubjectChar">
    <w:name w:val="Comment Subject Char"/>
    <w:basedOn w:val="CommentTextChar"/>
    <w:link w:val="CommentSubject"/>
    <w:uiPriority w:val="99"/>
    <w:semiHidden/>
    <w:rsid w:val="006F02C2"/>
    <w:rPr>
      <w:rFonts w:ascii="CG Times" w:eastAsia="Times New Roman" w:hAnsi="CG Times" w:cs="Times New Roman"/>
      <w:b/>
      <w:bCs/>
      <w:sz w:val="20"/>
      <w:szCs w:val="20"/>
    </w:rPr>
  </w:style>
  <w:style w:type="character" w:styleId="Strong">
    <w:name w:val="Strong"/>
    <w:basedOn w:val="DefaultParagraphFont"/>
    <w:uiPriority w:val="22"/>
    <w:qFormat/>
    <w:rsid w:val="00A44992"/>
    <w:rPr>
      <w:b/>
      <w:bCs/>
    </w:rPr>
  </w:style>
  <w:style w:type="character" w:customStyle="1" w:styleId="Heading2Char">
    <w:name w:val="Heading 2 Char"/>
    <w:basedOn w:val="DefaultParagraphFont"/>
    <w:link w:val="Heading2"/>
    <w:uiPriority w:val="9"/>
    <w:rsid w:val="00BE145B"/>
    <w:rPr>
      <w:rFonts w:ascii="Times New Roman" w:eastAsia="Times New Roman" w:hAnsi="Times New Roman" w:cs="Times New Roman"/>
      <w:b/>
      <w:sz w:val="26"/>
      <w:szCs w:val="26"/>
    </w:rPr>
  </w:style>
  <w:style w:type="character" w:customStyle="1" w:styleId="Heading3Char">
    <w:name w:val="Heading 3 Char"/>
    <w:basedOn w:val="DefaultParagraphFont"/>
    <w:link w:val="Heading3"/>
    <w:uiPriority w:val="9"/>
    <w:rsid w:val="00600FC7"/>
    <w:rPr>
      <w:rFonts w:ascii="Times New Roman" w:eastAsia="Times New Roman" w:hAnsi="Times New Roman" w:cs="Times New Roman"/>
      <w:b/>
      <w:sz w:val="26"/>
      <w:szCs w:val="26"/>
    </w:rPr>
  </w:style>
  <w:style w:type="character" w:customStyle="1" w:styleId="Heading4Char">
    <w:name w:val="Heading 4 Char"/>
    <w:basedOn w:val="DefaultParagraphFont"/>
    <w:link w:val="Heading4"/>
    <w:uiPriority w:val="9"/>
    <w:rsid w:val="00600FC7"/>
    <w:rPr>
      <w:rFonts w:ascii="Times New Roman" w:eastAsia="Times New Roman" w:hAnsi="Times New Roman" w:cs="Times New Roman"/>
      <w:b/>
      <w:sz w:val="26"/>
      <w:szCs w:val="26"/>
    </w:rPr>
  </w:style>
  <w:style w:type="character" w:customStyle="1" w:styleId="Heading5Char">
    <w:name w:val="Heading 5 Char"/>
    <w:basedOn w:val="DefaultParagraphFont"/>
    <w:link w:val="Heading5"/>
    <w:uiPriority w:val="9"/>
    <w:rsid w:val="00600FC7"/>
    <w:rPr>
      <w:rFonts w:ascii="Times New Roman" w:eastAsia="Times New Roman" w:hAnsi="Times New Roman" w:cs="Times New Roman"/>
      <w:b/>
      <w:sz w:val="26"/>
      <w:szCs w:val="26"/>
    </w:rPr>
  </w:style>
  <w:style w:type="paragraph" w:styleId="TOC1">
    <w:name w:val="toc 1"/>
    <w:basedOn w:val="Normal"/>
    <w:next w:val="Normal"/>
    <w:autoRedefine/>
    <w:uiPriority w:val="39"/>
    <w:unhideWhenUsed/>
    <w:rsid w:val="00296659"/>
    <w:pPr>
      <w:tabs>
        <w:tab w:val="left" w:pos="440"/>
        <w:tab w:val="right" w:leader="dot" w:pos="9350"/>
      </w:tabs>
      <w:spacing w:before="360"/>
    </w:pPr>
    <w:rPr>
      <w:b/>
      <w:noProof/>
    </w:rPr>
  </w:style>
  <w:style w:type="paragraph" w:styleId="TOC2">
    <w:name w:val="toc 2"/>
    <w:basedOn w:val="Normal"/>
    <w:next w:val="Normal"/>
    <w:autoRedefine/>
    <w:uiPriority w:val="39"/>
    <w:unhideWhenUsed/>
    <w:rsid w:val="009745BF"/>
    <w:pPr>
      <w:tabs>
        <w:tab w:val="left" w:pos="880"/>
        <w:tab w:val="right" w:leader="dot" w:pos="9350"/>
      </w:tabs>
      <w:spacing w:after="100"/>
      <w:ind w:left="432"/>
    </w:pPr>
  </w:style>
  <w:style w:type="character" w:customStyle="1" w:styleId="apple-tab-span">
    <w:name w:val="apple-tab-span"/>
    <w:basedOn w:val="DefaultParagraphFont"/>
    <w:rsid w:val="0054705B"/>
  </w:style>
  <w:style w:type="paragraph" w:customStyle="1" w:styleId="Default">
    <w:name w:val="Default"/>
    <w:rsid w:val="00F31B63"/>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946581">
      <w:bodyDiv w:val="1"/>
      <w:marLeft w:val="0"/>
      <w:marRight w:val="0"/>
      <w:marTop w:val="0"/>
      <w:marBottom w:val="0"/>
      <w:divBdr>
        <w:top w:val="none" w:sz="0" w:space="0" w:color="auto"/>
        <w:left w:val="none" w:sz="0" w:space="0" w:color="auto"/>
        <w:bottom w:val="none" w:sz="0" w:space="0" w:color="auto"/>
        <w:right w:val="none" w:sz="0" w:space="0" w:color="auto"/>
      </w:divBdr>
    </w:div>
    <w:div w:id="310403686">
      <w:bodyDiv w:val="1"/>
      <w:marLeft w:val="0"/>
      <w:marRight w:val="0"/>
      <w:marTop w:val="0"/>
      <w:marBottom w:val="0"/>
      <w:divBdr>
        <w:top w:val="none" w:sz="0" w:space="0" w:color="auto"/>
        <w:left w:val="none" w:sz="0" w:space="0" w:color="auto"/>
        <w:bottom w:val="none" w:sz="0" w:space="0" w:color="auto"/>
        <w:right w:val="none" w:sz="0" w:space="0" w:color="auto"/>
      </w:divBdr>
    </w:div>
    <w:div w:id="367797539">
      <w:bodyDiv w:val="1"/>
      <w:marLeft w:val="0"/>
      <w:marRight w:val="0"/>
      <w:marTop w:val="0"/>
      <w:marBottom w:val="0"/>
      <w:divBdr>
        <w:top w:val="none" w:sz="0" w:space="0" w:color="auto"/>
        <w:left w:val="none" w:sz="0" w:space="0" w:color="auto"/>
        <w:bottom w:val="none" w:sz="0" w:space="0" w:color="auto"/>
        <w:right w:val="none" w:sz="0" w:space="0" w:color="auto"/>
      </w:divBdr>
    </w:div>
    <w:div w:id="396510277">
      <w:bodyDiv w:val="1"/>
      <w:marLeft w:val="0"/>
      <w:marRight w:val="0"/>
      <w:marTop w:val="0"/>
      <w:marBottom w:val="0"/>
      <w:divBdr>
        <w:top w:val="none" w:sz="0" w:space="0" w:color="auto"/>
        <w:left w:val="none" w:sz="0" w:space="0" w:color="auto"/>
        <w:bottom w:val="none" w:sz="0" w:space="0" w:color="auto"/>
        <w:right w:val="none" w:sz="0" w:space="0" w:color="auto"/>
      </w:divBdr>
    </w:div>
    <w:div w:id="543832982">
      <w:bodyDiv w:val="1"/>
      <w:marLeft w:val="0"/>
      <w:marRight w:val="0"/>
      <w:marTop w:val="0"/>
      <w:marBottom w:val="0"/>
      <w:divBdr>
        <w:top w:val="none" w:sz="0" w:space="0" w:color="auto"/>
        <w:left w:val="none" w:sz="0" w:space="0" w:color="auto"/>
        <w:bottom w:val="none" w:sz="0" w:space="0" w:color="auto"/>
        <w:right w:val="none" w:sz="0" w:space="0" w:color="auto"/>
      </w:divBdr>
    </w:div>
    <w:div w:id="585845547">
      <w:bodyDiv w:val="1"/>
      <w:marLeft w:val="0"/>
      <w:marRight w:val="0"/>
      <w:marTop w:val="0"/>
      <w:marBottom w:val="0"/>
      <w:divBdr>
        <w:top w:val="none" w:sz="0" w:space="0" w:color="auto"/>
        <w:left w:val="none" w:sz="0" w:space="0" w:color="auto"/>
        <w:bottom w:val="none" w:sz="0" w:space="0" w:color="auto"/>
        <w:right w:val="none" w:sz="0" w:space="0" w:color="auto"/>
      </w:divBdr>
    </w:div>
    <w:div w:id="737627704">
      <w:bodyDiv w:val="1"/>
      <w:marLeft w:val="0"/>
      <w:marRight w:val="0"/>
      <w:marTop w:val="0"/>
      <w:marBottom w:val="0"/>
      <w:divBdr>
        <w:top w:val="none" w:sz="0" w:space="0" w:color="auto"/>
        <w:left w:val="none" w:sz="0" w:space="0" w:color="auto"/>
        <w:bottom w:val="none" w:sz="0" w:space="0" w:color="auto"/>
        <w:right w:val="none" w:sz="0" w:space="0" w:color="auto"/>
      </w:divBdr>
    </w:div>
    <w:div w:id="805392532">
      <w:bodyDiv w:val="1"/>
      <w:marLeft w:val="0"/>
      <w:marRight w:val="0"/>
      <w:marTop w:val="0"/>
      <w:marBottom w:val="0"/>
      <w:divBdr>
        <w:top w:val="none" w:sz="0" w:space="0" w:color="auto"/>
        <w:left w:val="none" w:sz="0" w:space="0" w:color="auto"/>
        <w:bottom w:val="none" w:sz="0" w:space="0" w:color="auto"/>
        <w:right w:val="none" w:sz="0" w:space="0" w:color="auto"/>
      </w:divBdr>
    </w:div>
    <w:div w:id="886381610">
      <w:bodyDiv w:val="1"/>
      <w:marLeft w:val="0"/>
      <w:marRight w:val="0"/>
      <w:marTop w:val="0"/>
      <w:marBottom w:val="0"/>
      <w:divBdr>
        <w:top w:val="none" w:sz="0" w:space="0" w:color="auto"/>
        <w:left w:val="none" w:sz="0" w:space="0" w:color="auto"/>
        <w:bottom w:val="none" w:sz="0" w:space="0" w:color="auto"/>
        <w:right w:val="none" w:sz="0" w:space="0" w:color="auto"/>
      </w:divBdr>
    </w:div>
    <w:div w:id="1105268352">
      <w:bodyDiv w:val="1"/>
      <w:marLeft w:val="0"/>
      <w:marRight w:val="0"/>
      <w:marTop w:val="0"/>
      <w:marBottom w:val="0"/>
      <w:divBdr>
        <w:top w:val="none" w:sz="0" w:space="0" w:color="auto"/>
        <w:left w:val="none" w:sz="0" w:space="0" w:color="auto"/>
        <w:bottom w:val="none" w:sz="0" w:space="0" w:color="auto"/>
        <w:right w:val="none" w:sz="0" w:space="0" w:color="auto"/>
      </w:divBdr>
    </w:div>
    <w:div w:id="1346904018">
      <w:bodyDiv w:val="1"/>
      <w:marLeft w:val="0"/>
      <w:marRight w:val="0"/>
      <w:marTop w:val="0"/>
      <w:marBottom w:val="0"/>
      <w:divBdr>
        <w:top w:val="none" w:sz="0" w:space="0" w:color="auto"/>
        <w:left w:val="none" w:sz="0" w:space="0" w:color="auto"/>
        <w:bottom w:val="none" w:sz="0" w:space="0" w:color="auto"/>
        <w:right w:val="none" w:sz="0" w:space="0" w:color="auto"/>
      </w:divBdr>
    </w:div>
    <w:div w:id="1567229206">
      <w:bodyDiv w:val="1"/>
      <w:marLeft w:val="0"/>
      <w:marRight w:val="0"/>
      <w:marTop w:val="0"/>
      <w:marBottom w:val="0"/>
      <w:divBdr>
        <w:top w:val="none" w:sz="0" w:space="0" w:color="auto"/>
        <w:left w:val="none" w:sz="0" w:space="0" w:color="auto"/>
        <w:bottom w:val="none" w:sz="0" w:space="0" w:color="auto"/>
        <w:right w:val="none" w:sz="0" w:space="0" w:color="auto"/>
      </w:divBdr>
    </w:div>
    <w:div w:id="1619792648">
      <w:bodyDiv w:val="1"/>
      <w:marLeft w:val="0"/>
      <w:marRight w:val="0"/>
      <w:marTop w:val="0"/>
      <w:marBottom w:val="0"/>
      <w:divBdr>
        <w:top w:val="none" w:sz="0" w:space="0" w:color="auto"/>
        <w:left w:val="none" w:sz="0" w:space="0" w:color="auto"/>
        <w:bottom w:val="none" w:sz="0" w:space="0" w:color="auto"/>
        <w:right w:val="none" w:sz="0" w:space="0" w:color="auto"/>
      </w:divBdr>
    </w:div>
    <w:div w:id="1707287884">
      <w:bodyDiv w:val="1"/>
      <w:marLeft w:val="0"/>
      <w:marRight w:val="0"/>
      <w:marTop w:val="0"/>
      <w:marBottom w:val="0"/>
      <w:divBdr>
        <w:top w:val="none" w:sz="0" w:space="0" w:color="auto"/>
        <w:left w:val="none" w:sz="0" w:space="0" w:color="auto"/>
        <w:bottom w:val="none" w:sz="0" w:space="0" w:color="auto"/>
        <w:right w:val="none" w:sz="0" w:space="0" w:color="auto"/>
      </w:divBdr>
    </w:div>
    <w:div w:id="1804612880">
      <w:bodyDiv w:val="1"/>
      <w:marLeft w:val="0"/>
      <w:marRight w:val="0"/>
      <w:marTop w:val="0"/>
      <w:marBottom w:val="0"/>
      <w:divBdr>
        <w:top w:val="none" w:sz="0" w:space="0" w:color="auto"/>
        <w:left w:val="none" w:sz="0" w:space="0" w:color="auto"/>
        <w:bottom w:val="none" w:sz="0" w:space="0" w:color="auto"/>
        <w:right w:val="none" w:sz="0" w:space="0" w:color="auto"/>
      </w:divBdr>
    </w:div>
    <w:div w:id="188228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1A3E4-3B00-4024-B19A-19C4DDCA7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98</Pages>
  <Words>25751</Words>
  <Characters>146785</Characters>
  <Application>Microsoft Office Word</Application>
  <DocSecurity>0</DocSecurity>
  <Lines>1223</Lines>
  <Paragraphs>344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rocarran</dc:creator>
  <cp:keywords/>
  <dc:description/>
  <cp:lastModifiedBy>Wagner, Nathan R</cp:lastModifiedBy>
  <cp:revision>7</cp:revision>
  <cp:lastPrinted>2019-03-29T19:25:00Z</cp:lastPrinted>
  <dcterms:created xsi:type="dcterms:W3CDTF">2019-03-29T12:41:00Z</dcterms:created>
  <dcterms:modified xsi:type="dcterms:W3CDTF">2019-03-29T19:36:00Z</dcterms:modified>
</cp:coreProperties>
</file>