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67CAD" w14:textId="77777777" w:rsidR="00781209" w:rsidRDefault="00781209" w:rsidP="00C91A02">
      <w:pPr>
        <w:autoSpaceDE w:val="0"/>
        <w:autoSpaceDN w:val="0"/>
        <w:spacing w:line="240" w:lineRule="auto"/>
        <w:rPr>
          <w:b/>
        </w:rPr>
      </w:pPr>
      <w:r>
        <w:rPr>
          <w:b/>
        </w:rPr>
        <w:t>BEFORE THE</w:t>
      </w:r>
    </w:p>
    <w:p w14:paraId="76A9D635" w14:textId="77777777" w:rsidR="00781209" w:rsidRDefault="00781209" w:rsidP="00C91A02">
      <w:pPr>
        <w:tabs>
          <w:tab w:val="center" w:pos="4680"/>
        </w:tabs>
        <w:suppressAutoHyphens/>
        <w:autoSpaceDE w:val="0"/>
        <w:autoSpaceDN w:val="0"/>
        <w:spacing w:line="240" w:lineRule="auto"/>
        <w:rPr>
          <w:b/>
          <w:bCs/>
          <w:spacing w:val="-3"/>
        </w:rPr>
      </w:pPr>
      <w:r>
        <w:rPr>
          <w:b/>
          <w:bCs/>
          <w:spacing w:val="-3"/>
        </w:rPr>
        <w:t>PENNSYLVANIA PUBLIC UTILITY COMMISSION</w:t>
      </w:r>
    </w:p>
    <w:p w14:paraId="6C8B9587" w14:textId="77777777" w:rsidR="00781209" w:rsidRDefault="00781209" w:rsidP="00C91A02">
      <w:pPr>
        <w:tabs>
          <w:tab w:val="left" w:pos="-720"/>
        </w:tabs>
        <w:suppressAutoHyphens/>
        <w:autoSpaceDE w:val="0"/>
        <w:autoSpaceDN w:val="0"/>
        <w:spacing w:line="240" w:lineRule="auto"/>
        <w:jc w:val="both"/>
        <w:rPr>
          <w:spacing w:val="-3"/>
        </w:rPr>
      </w:pPr>
    </w:p>
    <w:p w14:paraId="41F459FF" w14:textId="77777777" w:rsidR="00781209" w:rsidRDefault="00781209" w:rsidP="00C91A02">
      <w:pPr>
        <w:tabs>
          <w:tab w:val="left" w:pos="-720"/>
        </w:tabs>
        <w:suppressAutoHyphens/>
        <w:autoSpaceDE w:val="0"/>
        <w:autoSpaceDN w:val="0"/>
        <w:spacing w:line="240" w:lineRule="auto"/>
        <w:jc w:val="both"/>
        <w:rPr>
          <w:spacing w:val="-3"/>
        </w:rPr>
      </w:pPr>
    </w:p>
    <w:p w14:paraId="562D7283" w14:textId="77777777" w:rsidR="00781209" w:rsidRDefault="00781209" w:rsidP="00C91A02">
      <w:pPr>
        <w:tabs>
          <w:tab w:val="left" w:pos="-720"/>
        </w:tabs>
        <w:suppressAutoHyphens/>
        <w:autoSpaceDE w:val="0"/>
        <w:autoSpaceDN w:val="0"/>
        <w:spacing w:line="240" w:lineRule="auto"/>
        <w:jc w:val="both"/>
        <w:rPr>
          <w:spacing w:val="-3"/>
        </w:rPr>
      </w:pPr>
    </w:p>
    <w:p w14:paraId="288EF47E" w14:textId="77777777" w:rsidR="00781209" w:rsidRDefault="00781209" w:rsidP="00C91A02">
      <w:pPr>
        <w:tabs>
          <w:tab w:val="left" w:pos="-720"/>
        </w:tabs>
        <w:suppressAutoHyphens/>
        <w:autoSpaceDE w:val="0"/>
        <w:autoSpaceDN w:val="0"/>
        <w:spacing w:line="240" w:lineRule="auto"/>
        <w:jc w:val="both"/>
        <w:rPr>
          <w:spacing w:val="-3"/>
        </w:rPr>
      </w:pPr>
      <w:r>
        <w:rPr>
          <w:spacing w:val="-3"/>
        </w:rPr>
        <w:t>Elsie Stevens</w:t>
      </w:r>
      <w:r>
        <w:rPr>
          <w:spacing w:val="-3"/>
        </w:rPr>
        <w:tab/>
      </w:r>
      <w:r>
        <w:rPr>
          <w:spacing w:val="-3"/>
        </w:rPr>
        <w:tab/>
      </w:r>
      <w:r>
        <w:rPr>
          <w:spacing w:val="-3"/>
        </w:rPr>
        <w:tab/>
      </w:r>
      <w:r>
        <w:rPr>
          <w:spacing w:val="-3"/>
        </w:rPr>
        <w:tab/>
      </w:r>
      <w:r>
        <w:rPr>
          <w:spacing w:val="-3"/>
        </w:rPr>
        <w:tab/>
      </w:r>
      <w:r>
        <w:rPr>
          <w:spacing w:val="-3"/>
        </w:rPr>
        <w:tab/>
        <w:t>:</w:t>
      </w:r>
    </w:p>
    <w:p w14:paraId="0F4644A4" w14:textId="77777777" w:rsidR="00781209" w:rsidRDefault="00781209" w:rsidP="00C91A02">
      <w:pPr>
        <w:tabs>
          <w:tab w:val="left" w:pos="-720"/>
        </w:tabs>
        <w:suppressAutoHyphens/>
        <w:autoSpaceDE w:val="0"/>
        <w:autoSpaceDN w:val="0"/>
        <w:spacing w:line="240" w:lineRule="auto"/>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t>:</w:t>
      </w:r>
    </w:p>
    <w:p w14:paraId="15C40A44" w14:textId="77777777" w:rsidR="00781209" w:rsidRDefault="00781209" w:rsidP="00C91A02">
      <w:pPr>
        <w:tabs>
          <w:tab w:val="left" w:pos="-720"/>
        </w:tabs>
        <w:suppressAutoHyphens/>
        <w:autoSpaceDE w:val="0"/>
        <w:autoSpaceDN w:val="0"/>
        <w:spacing w:line="240" w:lineRule="auto"/>
        <w:jc w:val="both"/>
        <w:rPr>
          <w:spacing w:val="-3"/>
        </w:rPr>
      </w:pPr>
      <w:r>
        <w:rPr>
          <w:spacing w:val="-3"/>
        </w:rPr>
        <w:tab/>
        <w:t>v.</w:t>
      </w:r>
      <w:r>
        <w:rPr>
          <w:spacing w:val="-3"/>
        </w:rPr>
        <w:tab/>
      </w:r>
      <w:r>
        <w:rPr>
          <w:spacing w:val="-3"/>
        </w:rPr>
        <w:tab/>
      </w:r>
      <w:r>
        <w:rPr>
          <w:spacing w:val="-3"/>
        </w:rPr>
        <w:tab/>
      </w:r>
      <w:r>
        <w:rPr>
          <w:spacing w:val="-3"/>
        </w:rPr>
        <w:tab/>
      </w:r>
      <w:r>
        <w:rPr>
          <w:spacing w:val="-3"/>
        </w:rPr>
        <w:tab/>
      </w:r>
      <w:r>
        <w:rPr>
          <w:spacing w:val="-3"/>
        </w:rPr>
        <w:tab/>
        <w:t>:</w:t>
      </w:r>
      <w:r>
        <w:rPr>
          <w:spacing w:val="-3"/>
        </w:rPr>
        <w:tab/>
      </w:r>
      <w:r>
        <w:rPr>
          <w:spacing w:val="-3"/>
        </w:rPr>
        <w:tab/>
        <w:t xml:space="preserve">C-2019-3007630 </w:t>
      </w:r>
    </w:p>
    <w:p w14:paraId="1CCA9F82" w14:textId="77777777" w:rsidR="00781209" w:rsidRDefault="00781209" w:rsidP="00C91A02">
      <w:pPr>
        <w:tabs>
          <w:tab w:val="left" w:pos="-720"/>
        </w:tabs>
        <w:suppressAutoHyphens/>
        <w:autoSpaceDE w:val="0"/>
        <w:autoSpaceDN w:val="0"/>
        <w:spacing w:line="240" w:lineRule="auto"/>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t>:</w:t>
      </w:r>
    </w:p>
    <w:p w14:paraId="2455F8AC" w14:textId="77777777" w:rsidR="00781209" w:rsidRDefault="00781209" w:rsidP="00C91A02">
      <w:pPr>
        <w:tabs>
          <w:tab w:val="left" w:pos="-720"/>
        </w:tabs>
        <w:suppressAutoHyphens/>
        <w:autoSpaceDE w:val="0"/>
        <w:autoSpaceDN w:val="0"/>
        <w:spacing w:line="240" w:lineRule="auto"/>
        <w:jc w:val="both"/>
        <w:rPr>
          <w:spacing w:val="-3"/>
        </w:rPr>
      </w:pPr>
      <w:r>
        <w:rPr>
          <w:spacing w:val="-3"/>
        </w:rPr>
        <w:t>PECO Energy Company</w:t>
      </w:r>
      <w:r>
        <w:rPr>
          <w:spacing w:val="-3"/>
        </w:rPr>
        <w:tab/>
      </w:r>
      <w:r>
        <w:rPr>
          <w:spacing w:val="-3"/>
        </w:rPr>
        <w:tab/>
      </w:r>
      <w:r>
        <w:rPr>
          <w:spacing w:val="-3"/>
        </w:rPr>
        <w:tab/>
      </w:r>
      <w:r>
        <w:rPr>
          <w:spacing w:val="-3"/>
        </w:rPr>
        <w:tab/>
        <w:t>:</w:t>
      </w:r>
    </w:p>
    <w:p w14:paraId="781FEBB5" w14:textId="62E087E2" w:rsidR="00691063" w:rsidRDefault="00691063" w:rsidP="00C91A02">
      <w:pPr>
        <w:spacing w:line="240" w:lineRule="auto"/>
        <w:jc w:val="left"/>
      </w:pPr>
    </w:p>
    <w:p w14:paraId="5AC9C5B6" w14:textId="09B2C471" w:rsidR="00ED116B" w:rsidRDefault="00ED116B" w:rsidP="00C91A02">
      <w:pPr>
        <w:spacing w:line="240" w:lineRule="auto"/>
        <w:jc w:val="left"/>
      </w:pPr>
    </w:p>
    <w:p w14:paraId="2A26D70D" w14:textId="77777777" w:rsidR="00ED116B" w:rsidRDefault="00ED116B" w:rsidP="00C91A02">
      <w:pPr>
        <w:spacing w:line="240" w:lineRule="auto"/>
        <w:jc w:val="left"/>
      </w:pPr>
    </w:p>
    <w:p w14:paraId="2304794E" w14:textId="77777777" w:rsidR="00691063" w:rsidRDefault="00691063" w:rsidP="00C91A02">
      <w:pPr>
        <w:spacing w:line="240" w:lineRule="auto"/>
        <w:rPr>
          <w:b/>
          <w:u w:val="single"/>
        </w:rPr>
      </w:pPr>
      <w:r>
        <w:rPr>
          <w:b/>
          <w:u w:val="single"/>
        </w:rPr>
        <w:t xml:space="preserve">ORDER DENYING IN PART AND GRANTING IN PART PECO ENERGY COMPANY’S PRELIMINARY OBJECTIONS </w:t>
      </w:r>
    </w:p>
    <w:p w14:paraId="7DAE5AE8" w14:textId="77777777" w:rsidR="00691063" w:rsidRPr="00BD6D4C" w:rsidRDefault="00691063" w:rsidP="00BD6D4C"/>
    <w:p w14:paraId="2E185B66" w14:textId="77777777" w:rsidR="003A117F" w:rsidRDefault="00691063" w:rsidP="003A117F">
      <w:pPr>
        <w:pStyle w:val="NoSpacing"/>
        <w:spacing w:line="360" w:lineRule="auto"/>
      </w:pPr>
      <w:r>
        <w:tab/>
      </w:r>
      <w:r>
        <w:tab/>
      </w:r>
      <w:r w:rsidR="003A117F">
        <w:t xml:space="preserve">On January 26, 2019, Elsie Stevens (Complainant) filed a formal Complaint (Complaint) against PECO Energy Company (PECO or respondent) with the Pennsylvania Public Utility Commission (Commission).  In the Complaint, Ms. Stevens contends that there were incorrect charges on her bills.  Specifically, the Complainant alleges that although there was foreign wiring at the premises that she owned, PECO erred in transferring the full amount of the outstanding balance of her tenant to a new account in her name as the foreign wiring was </w:t>
      </w:r>
      <w:r w:rsidR="003A117F">
        <w:rPr>
          <w:i/>
        </w:rPr>
        <w:t>de minimus</w:t>
      </w:r>
      <w:r w:rsidR="003A117F">
        <w:t xml:space="preserve"> in nature.  </w:t>
      </w:r>
    </w:p>
    <w:p w14:paraId="77773410" w14:textId="77777777" w:rsidR="003A117F" w:rsidRDefault="003A117F" w:rsidP="003A117F">
      <w:pPr>
        <w:pStyle w:val="NoSpacing"/>
        <w:spacing w:line="360" w:lineRule="auto"/>
      </w:pPr>
    </w:p>
    <w:p w14:paraId="33154C1D" w14:textId="77777777" w:rsidR="003A117F" w:rsidRDefault="003A117F" w:rsidP="003A117F">
      <w:pPr>
        <w:pStyle w:val="NoSpacing"/>
        <w:spacing w:line="360" w:lineRule="auto"/>
        <w:ind w:firstLine="1440"/>
      </w:pPr>
      <w:r>
        <w:t xml:space="preserve">On February 6, 2019, PECO filed an Answer denying the material allegations of the Complaint. </w:t>
      </w:r>
    </w:p>
    <w:p w14:paraId="5315C994" w14:textId="77777777" w:rsidR="003A117F" w:rsidRDefault="003A117F" w:rsidP="003A117F">
      <w:pPr>
        <w:pStyle w:val="NoSpacing"/>
        <w:spacing w:line="360" w:lineRule="auto"/>
        <w:ind w:firstLine="720"/>
      </w:pPr>
    </w:p>
    <w:p w14:paraId="05E312D4" w14:textId="77777777" w:rsidR="003A117F" w:rsidRDefault="003A117F" w:rsidP="003A117F">
      <w:pPr>
        <w:pStyle w:val="NoSpacing"/>
        <w:spacing w:line="360" w:lineRule="auto"/>
        <w:ind w:firstLine="720"/>
      </w:pPr>
      <w:r>
        <w:tab/>
        <w:t xml:space="preserve">On February 6, 2019, PECO filed Preliminary Objections seeking that the matter be dismissed. </w:t>
      </w:r>
    </w:p>
    <w:p w14:paraId="7355FD3E" w14:textId="77777777" w:rsidR="003A117F" w:rsidRDefault="003A117F" w:rsidP="003A117F">
      <w:pPr>
        <w:pStyle w:val="NoSpacing"/>
        <w:spacing w:line="360" w:lineRule="auto"/>
        <w:ind w:firstLine="720"/>
      </w:pPr>
    </w:p>
    <w:p w14:paraId="44E13680" w14:textId="77777777" w:rsidR="003A117F" w:rsidRDefault="003A117F" w:rsidP="003A117F">
      <w:pPr>
        <w:pStyle w:val="NoSpacing"/>
        <w:spacing w:line="360" w:lineRule="auto"/>
        <w:ind w:left="720" w:firstLine="720"/>
      </w:pPr>
      <w:r>
        <w:t>On February 28, 2019, the Preliminary Objections were assigned to me.</w:t>
      </w:r>
    </w:p>
    <w:p w14:paraId="0EF49376" w14:textId="77777777" w:rsidR="003A117F" w:rsidRDefault="003A117F" w:rsidP="003A117F">
      <w:pPr>
        <w:pStyle w:val="NoSpacing"/>
        <w:spacing w:line="360" w:lineRule="auto"/>
        <w:ind w:firstLine="720"/>
      </w:pPr>
    </w:p>
    <w:p w14:paraId="57C9C9DE" w14:textId="2FB8BCC5" w:rsidR="003A117F" w:rsidRDefault="003A117F" w:rsidP="003A117F">
      <w:pPr>
        <w:pStyle w:val="NoSpacing"/>
        <w:spacing w:line="360" w:lineRule="auto"/>
        <w:ind w:firstLine="720"/>
      </w:pPr>
      <w:r>
        <w:tab/>
        <w:t xml:space="preserve">The Complainant did not file a response to PECO’s Preliminary Objections and the matter is ready for a decision.  For the reasons set forth below, PECO’s Preliminary Objections </w:t>
      </w:r>
      <w:r w:rsidR="000B67E7">
        <w:t xml:space="preserve">are </w:t>
      </w:r>
      <w:r w:rsidR="002A03F4">
        <w:t>denied,</w:t>
      </w:r>
      <w:r w:rsidR="000B67E7">
        <w:t xml:space="preserve"> and the matter should be scheduled for hearing</w:t>
      </w:r>
      <w:r>
        <w:t>.</w:t>
      </w:r>
    </w:p>
    <w:p w14:paraId="5014F502" w14:textId="592651AE" w:rsidR="00691063" w:rsidRDefault="00691063" w:rsidP="003A117F">
      <w:pPr>
        <w:jc w:val="left"/>
      </w:pPr>
    </w:p>
    <w:p w14:paraId="4F083BDF" w14:textId="77777777" w:rsidR="00691063" w:rsidRDefault="00691063" w:rsidP="00691063">
      <w:pPr>
        <w:rPr>
          <w:u w:val="single"/>
        </w:rPr>
      </w:pPr>
      <w:r>
        <w:rPr>
          <w:u w:val="single"/>
        </w:rPr>
        <w:lastRenderedPageBreak/>
        <w:t>DISCUSSION</w:t>
      </w:r>
    </w:p>
    <w:p w14:paraId="09EDB44E" w14:textId="77777777" w:rsidR="00691063" w:rsidRDefault="00691063" w:rsidP="00691063">
      <w:pPr>
        <w:rPr>
          <w:u w:val="single"/>
        </w:rPr>
      </w:pPr>
    </w:p>
    <w:p w14:paraId="7F2AC316" w14:textId="77777777" w:rsidR="00691063" w:rsidRDefault="00691063" w:rsidP="00691063">
      <w:pPr>
        <w:jc w:val="left"/>
      </w:pPr>
      <w:r>
        <w:tab/>
      </w:r>
      <w:r>
        <w:tab/>
        <w:t xml:space="preserve">Commission preliminary objection practice is </w:t>
      </w:r>
      <w:proofErr w:type="gramStart"/>
      <w:r>
        <w:t>similar to</w:t>
      </w:r>
      <w:proofErr w:type="gramEnd"/>
      <w:r>
        <w:t xml:space="preserve"> Pennsylvania civil practice.  </w:t>
      </w:r>
      <w:r>
        <w:rPr>
          <w:i/>
        </w:rPr>
        <w:t xml:space="preserve">Equitable Small Transportation Interveners v. Equitable Gas Company, </w:t>
      </w:r>
      <w:r>
        <w:t xml:space="preserve">1994 Pa. PUC LEXIS 69, Docket No. C-000935435 (July 18, 1994).  When considering the preliminary objection, the Commission must determine “whether the law says with certainty, based on well-pleaded factual averments . . . that no recovery or relief is possible.  </w:t>
      </w:r>
      <w:r>
        <w:rPr>
          <w:i/>
        </w:rPr>
        <w:t xml:space="preserve">P. J. S. v. Pa. State Ethics Commission, </w:t>
      </w:r>
      <w:r>
        <w:t xml:space="preserve">669 A.2d 1105 (Pa. Cmwlth. 1996).  Any doubt must be resolved in favor of the non-moving party by refusing to sustain the preliminary objections.  </w:t>
      </w:r>
      <w:r>
        <w:rPr>
          <w:i/>
        </w:rPr>
        <w:t xml:space="preserve">Boyd v. Ward, </w:t>
      </w:r>
      <w:r>
        <w:t xml:space="preserve">802 A.2d 705 (Pa. Cmwlth. 2002).”  </w:t>
      </w:r>
      <w:r>
        <w:rPr>
          <w:i/>
        </w:rPr>
        <w:t xml:space="preserve">Dept. of Auditor General, et al. v. State Employees’ Retirement System, et al., </w:t>
      </w:r>
      <w:r>
        <w:t xml:space="preserve">836 A.2d 1053, 1064 (Pa. Cmwlth. 2003).  All of the non-moving party’s averments in the complaint must be viewed as true for purposes of deciding the preliminary objections, and only those facts specifically admitted may be considered against the non-moving party.  </w:t>
      </w:r>
      <w:r>
        <w:rPr>
          <w:i/>
        </w:rPr>
        <w:t>Ridge v. State Employees’ Retirement Board</w:t>
      </w:r>
      <w:r>
        <w:t>, 690 A.2d 1312 (Pa. Cmwlth. 1997).</w:t>
      </w:r>
    </w:p>
    <w:p w14:paraId="268B3062" w14:textId="77777777" w:rsidR="00691063" w:rsidRDefault="00691063" w:rsidP="00691063">
      <w:pPr>
        <w:jc w:val="both"/>
      </w:pPr>
    </w:p>
    <w:p w14:paraId="44CBF026" w14:textId="77777777" w:rsidR="00691063" w:rsidRDefault="00691063" w:rsidP="00691063">
      <w:pPr>
        <w:jc w:val="left"/>
      </w:pPr>
      <w:r>
        <w:tab/>
      </w:r>
      <w:r>
        <w:tab/>
        <w:t>The regulation reads as follows:</w:t>
      </w:r>
    </w:p>
    <w:p w14:paraId="5EC8C5C2" w14:textId="77777777" w:rsidR="00691063" w:rsidRDefault="00691063" w:rsidP="00691063">
      <w:pPr>
        <w:jc w:val="left"/>
      </w:pPr>
    </w:p>
    <w:p w14:paraId="57578927" w14:textId="77777777" w:rsidR="00691063" w:rsidRDefault="00691063" w:rsidP="00691063">
      <w:pPr>
        <w:spacing w:line="240" w:lineRule="auto"/>
        <w:ind w:left="1440" w:right="1440"/>
        <w:contextualSpacing/>
        <w:jc w:val="left"/>
        <w:rPr>
          <w:b/>
        </w:rPr>
      </w:pPr>
      <w:r>
        <w:rPr>
          <w:b/>
        </w:rPr>
        <w:t>§ 5.101.  Preliminary objections.</w:t>
      </w:r>
    </w:p>
    <w:p w14:paraId="543589AA" w14:textId="77777777" w:rsidR="00691063" w:rsidRDefault="00691063" w:rsidP="00691063">
      <w:pPr>
        <w:spacing w:line="240" w:lineRule="auto"/>
        <w:ind w:left="1440" w:right="1440"/>
        <w:contextualSpacing/>
        <w:jc w:val="left"/>
        <w:rPr>
          <w:b/>
        </w:rPr>
      </w:pPr>
    </w:p>
    <w:p w14:paraId="24EF1933" w14:textId="77777777" w:rsidR="00691063" w:rsidRDefault="00691063" w:rsidP="00691063">
      <w:pPr>
        <w:spacing w:line="240" w:lineRule="auto"/>
        <w:ind w:left="1440" w:right="1440"/>
        <w:contextualSpacing/>
        <w:jc w:val="left"/>
      </w:pPr>
      <w:r>
        <w:t>(a)</w:t>
      </w:r>
      <w:r>
        <w:tab/>
      </w:r>
      <w:r>
        <w:rPr>
          <w:i/>
        </w:rPr>
        <w:t>Grounds.</w:t>
      </w:r>
      <w: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03A67639" w14:textId="77777777" w:rsidR="00691063" w:rsidRDefault="00691063" w:rsidP="00691063">
      <w:pPr>
        <w:spacing w:line="240" w:lineRule="auto"/>
        <w:ind w:right="1440"/>
        <w:contextualSpacing/>
        <w:jc w:val="left"/>
      </w:pPr>
      <w:r>
        <w:tab/>
      </w:r>
      <w:r>
        <w:tab/>
      </w:r>
    </w:p>
    <w:p w14:paraId="24122121" w14:textId="77777777" w:rsidR="00691063" w:rsidRDefault="00691063" w:rsidP="00691063">
      <w:pPr>
        <w:spacing w:line="240" w:lineRule="auto"/>
        <w:ind w:left="1440" w:right="1440" w:firstLine="720"/>
        <w:contextualSpacing/>
        <w:jc w:val="left"/>
      </w:pPr>
      <w:r>
        <w:t>(1)</w:t>
      </w:r>
      <w:r>
        <w:tab/>
        <w:t>Lack of Commission jurisdiction or improper service of the pleading initiating the proceeding.</w:t>
      </w:r>
    </w:p>
    <w:p w14:paraId="668DC035" w14:textId="77777777" w:rsidR="00691063" w:rsidRDefault="00691063" w:rsidP="00691063">
      <w:pPr>
        <w:spacing w:line="240" w:lineRule="auto"/>
        <w:ind w:left="1440" w:right="1440"/>
        <w:contextualSpacing/>
        <w:jc w:val="left"/>
      </w:pPr>
    </w:p>
    <w:p w14:paraId="6713AD8F" w14:textId="77777777" w:rsidR="00691063" w:rsidRDefault="00691063" w:rsidP="00691063">
      <w:pPr>
        <w:spacing w:line="240" w:lineRule="auto"/>
        <w:ind w:left="1440" w:right="1440" w:firstLine="720"/>
        <w:contextualSpacing/>
        <w:jc w:val="left"/>
      </w:pPr>
      <w:r>
        <w:t>(2)</w:t>
      </w:r>
      <w:r>
        <w:tab/>
        <w:t>Failure of a pleading to conform to this chapter or the inclusion of scandalous or impertinent matter.</w:t>
      </w:r>
    </w:p>
    <w:p w14:paraId="78F62DE6" w14:textId="77777777" w:rsidR="00691063" w:rsidRDefault="00691063" w:rsidP="00691063">
      <w:pPr>
        <w:spacing w:line="240" w:lineRule="auto"/>
        <w:ind w:left="1440" w:right="1440"/>
        <w:contextualSpacing/>
        <w:jc w:val="left"/>
      </w:pPr>
    </w:p>
    <w:p w14:paraId="174BC06D" w14:textId="77777777" w:rsidR="00691063" w:rsidRDefault="00691063" w:rsidP="00691063">
      <w:pPr>
        <w:spacing w:line="240" w:lineRule="auto"/>
        <w:ind w:left="1440" w:right="1440" w:firstLine="720"/>
        <w:contextualSpacing/>
        <w:jc w:val="left"/>
      </w:pPr>
      <w:r>
        <w:t>(3)</w:t>
      </w:r>
      <w:r>
        <w:tab/>
        <w:t>Insufficient specificity of a pleading.</w:t>
      </w:r>
    </w:p>
    <w:p w14:paraId="5021D06A" w14:textId="77777777" w:rsidR="00691063" w:rsidRDefault="00691063" w:rsidP="00691063">
      <w:pPr>
        <w:spacing w:line="240" w:lineRule="auto"/>
        <w:ind w:left="1440" w:right="1440"/>
        <w:contextualSpacing/>
        <w:jc w:val="left"/>
      </w:pPr>
    </w:p>
    <w:p w14:paraId="3C4562E7" w14:textId="77777777" w:rsidR="00691063" w:rsidRDefault="00691063" w:rsidP="00691063">
      <w:pPr>
        <w:spacing w:line="240" w:lineRule="auto"/>
        <w:ind w:left="1440" w:right="1440" w:firstLine="720"/>
        <w:contextualSpacing/>
        <w:jc w:val="left"/>
      </w:pPr>
      <w:r>
        <w:t>(4)</w:t>
      </w:r>
      <w:r>
        <w:tab/>
        <w:t>Legal insufficiency of a pleading.</w:t>
      </w:r>
    </w:p>
    <w:p w14:paraId="4CEFFD14" w14:textId="77777777" w:rsidR="00691063" w:rsidRDefault="00691063" w:rsidP="00691063">
      <w:pPr>
        <w:spacing w:line="240" w:lineRule="auto"/>
        <w:ind w:left="1440" w:right="1440"/>
        <w:contextualSpacing/>
        <w:jc w:val="left"/>
      </w:pPr>
    </w:p>
    <w:p w14:paraId="2DCCB4D8" w14:textId="77777777" w:rsidR="00691063" w:rsidRDefault="00691063" w:rsidP="00691063">
      <w:pPr>
        <w:spacing w:line="240" w:lineRule="auto"/>
        <w:ind w:left="1440" w:right="1440" w:firstLine="720"/>
        <w:contextualSpacing/>
        <w:jc w:val="left"/>
      </w:pPr>
      <w:r>
        <w:t>(5)</w:t>
      </w:r>
      <w:r>
        <w:tab/>
        <w:t>Lack of capacity to sue, nonjoinder of a necessary party or misjoinder of a cause of action.</w:t>
      </w:r>
    </w:p>
    <w:p w14:paraId="115CAC6E" w14:textId="288B852F" w:rsidR="00691063" w:rsidRDefault="00691063" w:rsidP="00691063">
      <w:pPr>
        <w:spacing w:line="240" w:lineRule="auto"/>
        <w:ind w:left="1440" w:right="1440" w:firstLine="720"/>
        <w:contextualSpacing/>
        <w:jc w:val="left"/>
      </w:pPr>
      <w:r>
        <w:lastRenderedPageBreak/>
        <w:t>(6)</w:t>
      </w:r>
      <w:r>
        <w:tab/>
        <w:t>Pendency of a prior proceeding or agreement for alternative dispute resolution.</w:t>
      </w:r>
    </w:p>
    <w:p w14:paraId="2B4FAA3D" w14:textId="77777777" w:rsidR="00691063" w:rsidRDefault="00691063" w:rsidP="00691063">
      <w:pPr>
        <w:spacing w:line="240" w:lineRule="auto"/>
        <w:ind w:left="1440" w:right="1440" w:firstLine="720"/>
        <w:contextualSpacing/>
        <w:jc w:val="left"/>
      </w:pPr>
    </w:p>
    <w:p w14:paraId="2A42BB6E" w14:textId="77777777" w:rsidR="00691063" w:rsidRDefault="00691063" w:rsidP="00691063">
      <w:pPr>
        <w:spacing w:line="240" w:lineRule="auto"/>
        <w:ind w:left="1440" w:right="1440" w:firstLine="720"/>
        <w:contextualSpacing/>
        <w:jc w:val="left"/>
      </w:pPr>
      <w:r>
        <w:t>(7)</w:t>
      </w:r>
      <w:r>
        <w:tab/>
        <w:t>Standing of a party to participate in the proceeding.</w:t>
      </w:r>
    </w:p>
    <w:p w14:paraId="5D1D398F" w14:textId="77777777" w:rsidR="00691063" w:rsidRDefault="00691063" w:rsidP="00864597">
      <w:pPr>
        <w:ind w:right="1440"/>
        <w:contextualSpacing/>
        <w:jc w:val="left"/>
      </w:pPr>
    </w:p>
    <w:p w14:paraId="4536118B" w14:textId="77777777" w:rsidR="00691063" w:rsidRDefault="00691063" w:rsidP="00691063">
      <w:pPr>
        <w:spacing w:line="240" w:lineRule="auto"/>
        <w:ind w:left="1440" w:right="1440"/>
        <w:contextualSpacing/>
      </w:pPr>
      <w:r>
        <w:t>* * *</w:t>
      </w:r>
    </w:p>
    <w:p w14:paraId="67BFBD30" w14:textId="77777777" w:rsidR="00691063" w:rsidRDefault="00691063" w:rsidP="00691063">
      <w:pPr>
        <w:ind w:left="1440" w:right="1440"/>
        <w:contextualSpacing/>
        <w:jc w:val="left"/>
      </w:pPr>
      <w:r>
        <w:t>52 Pa.Code § 5.101(a).</w:t>
      </w:r>
    </w:p>
    <w:p w14:paraId="41C9C3B6" w14:textId="77777777" w:rsidR="00691063" w:rsidRDefault="00691063" w:rsidP="00691063">
      <w:pPr>
        <w:ind w:left="1440" w:right="1440"/>
        <w:jc w:val="left"/>
      </w:pPr>
    </w:p>
    <w:p w14:paraId="7465FED2" w14:textId="32D548F4" w:rsidR="00691063" w:rsidRDefault="00691063" w:rsidP="00691063">
      <w:pPr>
        <w:ind w:firstLine="1440"/>
        <w:jc w:val="left"/>
      </w:pPr>
      <w:r>
        <w:t xml:space="preserve">Therefore, it is only the facts in the Complaint which can be presumed to be true in order to determine whether the Complaint can move forward.  The Complainant made </w:t>
      </w:r>
      <w:r w:rsidR="006956FD">
        <w:t>several</w:t>
      </w:r>
      <w:r>
        <w:t xml:space="preserve"> allegations in </w:t>
      </w:r>
      <w:r w:rsidR="006956FD">
        <w:t xml:space="preserve">her </w:t>
      </w:r>
      <w:r>
        <w:t xml:space="preserve">Complaint in this matter.  </w:t>
      </w:r>
    </w:p>
    <w:p w14:paraId="07EDB91A" w14:textId="77777777" w:rsidR="00691063" w:rsidRDefault="00691063" w:rsidP="00691063">
      <w:pPr>
        <w:ind w:firstLine="1440"/>
        <w:jc w:val="left"/>
      </w:pPr>
    </w:p>
    <w:p w14:paraId="761A2FF0" w14:textId="77777777" w:rsidR="00925A35" w:rsidRDefault="00925A35" w:rsidP="00925A35">
      <w:pPr>
        <w:ind w:firstLine="1440"/>
        <w:jc w:val="left"/>
        <w:rPr>
          <w:color w:val="000000"/>
        </w:rPr>
      </w:pPr>
      <w:r>
        <w:rPr>
          <w:color w:val="000000"/>
        </w:rPr>
        <w:t>To begin, Section 1529.1 of the Public Utility Code governs the payment of utility services in rental properties.  This Section reads as follows:</w:t>
      </w:r>
    </w:p>
    <w:p w14:paraId="65AE1075" w14:textId="77777777" w:rsidR="00925A35" w:rsidRDefault="00925A35" w:rsidP="00543B50">
      <w:pPr>
        <w:spacing w:line="240" w:lineRule="auto"/>
        <w:rPr>
          <w:rFonts w:eastAsia="Times New Roman"/>
          <w:color w:val="000000"/>
        </w:rPr>
      </w:pPr>
    </w:p>
    <w:p w14:paraId="61BA4586" w14:textId="77777777" w:rsidR="00925A35" w:rsidRDefault="00925A35" w:rsidP="00925A35">
      <w:pPr>
        <w:tabs>
          <w:tab w:val="left" w:pos="7920"/>
        </w:tabs>
        <w:spacing w:line="240" w:lineRule="auto"/>
        <w:ind w:left="1440" w:right="1440"/>
        <w:jc w:val="left"/>
        <w:rPr>
          <w:color w:val="000000"/>
        </w:rPr>
      </w:pPr>
      <w:r>
        <w:rPr>
          <w:b/>
          <w:bCs/>
          <w:color w:val="000000"/>
        </w:rPr>
        <w:t>§ 1529.1. Duty of owners of rental property</w:t>
      </w:r>
    </w:p>
    <w:p w14:paraId="420A0A89" w14:textId="77777777" w:rsidR="00925A35" w:rsidRDefault="00925A35" w:rsidP="00925A35">
      <w:pPr>
        <w:tabs>
          <w:tab w:val="left" w:pos="7920"/>
        </w:tabs>
        <w:spacing w:line="240" w:lineRule="auto"/>
        <w:ind w:left="1440" w:right="1440"/>
        <w:jc w:val="left"/>
        <w:rPr>
          <w:color w:val="000000"/>
        </w:rPr>
      </w:pPr>
    </w:p>
    <w:p w14:paraId="1642EFFB" w14:textId="77777777" w:rsidR="00925A35" w:rsidRDefault="00925A35" w:rsidP="00925A35">
      <w:pPr>
        <w:tabs>
          <w:tab w:val="left" w:pos="7920"/>
        </w:tabs>
        <w:spacing w:line="240" w:lineRule="auto"/>
        <w:ind w:left="1440" w:right="1440"/>
        <w:jc w:val="left"/>
        <w:rPr>
          <w:color w:val="000000"/>
        </w:rPr>
      </w:pPr>
      <w:r>
        <w:rPr>
          <w:b/>
          <w:bCs/>
          <w:color w:val="000000"/>
        </w:rPr>
        <w:t>(a) Notice to public utility.</w:t>
      </w:r>
      <w:r>
        <w:rPr>
          <w:color w:val="000000"/>
        </w:rPr>
        <w:t xml:space="preserve"> - It is the duty of every owner of a residential building or mobile home park which contains one or more dwelling units, not individually metered, to notify each public utility from whom utility service is received of their ownership and the fact that the premises served are used for rental purposes.</w:t>
      </w:r>
    </w:p>
    <w:p w14:paraId="20FD2B3B" w14:textId="77777777" w:rsidR="00925A35" w:rsidRDefault="00925A35" w:rsidP="00925A35">
      <w:pPr>
        <w:tabs>
          <w:tab w:val="left" w:pos="7920"/>
        </w:tabs>
        <w:spacing w:line="240" w:lineRule="auto"/>
        <w:ind w:left="1440" w:right="1440"/>
        <w:jc w:val="left"/>
        <w:rPr>
          <w:color w:val="000000"/>
        </w:rPr>
      </w:pPr>
    </w:p>
    <w:p w14:paraId="2B702F02" w14:textId="77777777" w:rsidR="00925A35" w:rsidRDefault="00925A35" w:rsidP="00925A35">
      <w:pPr>
        <w:tabs>
          <w:tab w:val="left" w:pos="7920"/>
        </w:tabs>
        <w:spacing w:line="240" w:lineRule="auto"/>
        <w:ind w:left="1440" w:right="1440"/>
        <w:jc w:val="left"/>
        <w:rPr>
          <w:color w:val="000000"/>
        </w:rPr>
      </w:pPr>
      <w:r>
        <w:rPr>
          <w:b/>
          <w:bCs/>
          <w:color w:val="000000"/>
        </w:rPr>
        <w:t>(b) History of account.</w:t>
      </w:r>
      <w:r>
        <w:rPr>
          <w:color w:val="000000"/>
        </w:rPr>
        <w:t xml:space="preserve"> - Upon receipt of the notice provided in this section, if the mobile home park or residential building contains one or more dwelling units not individually metered, an affected public utility shall forthwith list the account for the premises in question in the name of the owner, and the owner shall thereafter be responsible for the payment for the utility services rendered thereunto.  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p>
    <w:p w14:paraId="09C81887" w14:textId="77777777" w:rsidR="00925A35" w:rsidRDefault="00925A35" w:rsidP="00925A35">
      <w:pPr>
        <w:tabs>
          <w:tab w:val="left" w:pos="7920"/>
        </w:tabs>
        <w:spacing w:line="240" w:lineRule="auto"/>
        <w:ind w:left="1440" w:right="1440"/>
        <w:jc w:val="left"/>
        <w:rPr>
          <w:color w:val="000000"/>
        </w:rPr>
      </w:pPr>
    </w:p>
    <w:p w14:paraId="5C619A61" w14:textId="77777777" w:rsidR="00925A35" w:rsidRDefault="00925A35" w:rsidP="00925A35">
      <w:pPr>
        <w:tabs>
          <w:tab w:val="left" w:pos="7920"/>
        </w:tabs>
        <w:spacing w:line="240" w:lineRule="auto"/>
        <w:ind w:left="1440" w:right="1440"/>
        <w:jc w:val="left"/>
        <w:rPr>
          <w:color w:val="000000"/>
        </w:rPr>
      </w:pPr>
      <w:r>
        <w:rPr>
          <w:b/>
          <w:bCs/>
          <w:color w:val="000000"/>
        </w:rPr>
        <w:t>(c) Failure to give notice.</w:t>
      </w:r>
      <w:r>
        <w:rPr>
          <w:color w:val="000000"/>
        </w:rPr>
        <w:t xml:space="preserve"> - Any owner of a residential building or mobile home park failing to notify affected public utilities as required by this section shall nonetheless be responsible for payment of the utility services as if the required notice had been given.</w:t>
      </w:r>
    </w:p>
    <w:p w14:paraId="041C7A04" w14:textId="77777777" w:rsidR="00925A35" w:rsidRDefault="00925A35" w:rsidP="00925A35">
      <w:pPr>
        <w:spacing w:line="240" w:lineRule="auto"/>
        <w:ind w:right="600"/>
        <w:jc w:val="left"/>
        <w:rPr>
          <w:color w:val="000000"/>
        </w:rPr>
      </w:pPr>
      <w:r>
        <w:rPr>
          <w:color w:val="000000"/>
        </w:rPr>
        <w:lastRenderedPageBreak/>
        <w:t>66 Pa.C.S. § 1529.1.</w:t>
      </w:r>
    </w:p>
    <w:p w14:paraId="5381A359" w14:textId="77777777" w:rsidR="00925A35" w:rsidRDefault="00925A35" w:rsidP="00925A35">
      <w:pPr>
        <w:tabs>
          <w:tab w:val="left" w:pos="-720"/>
        </w:tabs>
        <w:suppressAutoHyphens/>
        <w:autoSpaceDE w:val="0"/>
        <w:autoSpaceDN w:val="0"/>
        <w:ind w:firstLine="1440"/>
      </w:pPr>
    </w:p>
    <w:p w14:paraId="2F647A81" w14:textId="77777777" w:rsidR="00925A35" w:rsidRDefault="00925A35" w:rsidP="00925A35">
      <w:pPr>
        <w:tabs>
          <w:tab w:val="left" w:pos="-720"/>
        </w:tabs>
        <w:suppressAutoHyphens/>
        <w:autoSpaceDE w:val="0"/>
        <w:autoSpaceDN w:val="0"/>
        <w:ind w:firstLine="1440"/>
        <w:jc w:val="left"/>
      </w:pPr>
      <w:r>
        <w:t xml:space="preserve">The present case raises the issue of whether Respondent utility acted properly in placing the balance of the account for gas service for the tenant at the Service Address in Complainant’s name.  In doing so, Respondent followed </w:t>
      </w:r>
      <w:bookmarkStart w:id="0" w:name="_Hlk524419289"/>
      <w:r>
        <w:t>66 Pa.C.S. § 1529.1(b)</w:t>
      </w:r>
      <w:bookmarkEnd w:id="0"/>
      <w:r>
        <w:t xml:space="preserve"> of the Public Utility Code, which provides in pertinent part that, “if the mobile home or residential building contains one or more dwelling units not individually metered, an affected public utility shall </w:t>
      </w:r>
      <w:r>
        <w:rPr>
          <w:u w:val="single"/>
        </w:rPr>
        <w:t>forthwith</w:t>
      </w:r>
      <w:r>
        <w:t xml:space="preserve"> list the account for the premises in question in the name of the owner, and the owner shall thereafter be responsible for the payment for the utility services rendered thereunto.”  (Emphasis added).  </w:t>
      </w:r>
      <w:r>
        <w:rPr>
          <w:i/>
        </w:rPr>
        <w:t>See also</w:t>
      </w:r>
      <w:r>
        <w:t xml:space="preserve">, </w:t>
      </w:r>
      <w:r>
        <w:rPr>
          <w:i/>
        </w:rPr>
        <w:t>Del Vecchio v. PPL Electric Utilities Corp</w:t>
      </w:r>
      <w:r>
        <w:t xml:space="preserve">., Docket No. Z 01464793 (Order entered September 13, 2005).  In </w:t>
      </w:r>
      <w:r>
        <w:rPr>
          <w:i/>
        </w:rPr>
        <w:t>Del Vecchio</w:t>
      </w:r>
      <w:r>
        <w:t>, the Commission found the utility violated 66 Pa.C.S. § 1529.1, because it failed to transfer complainant’s electric account to the landlord when it found foreign load on complainant’s meter.</w:t>
      </w:r>
    </w:p>
    <w:p w14:paraId="3CBC734A" w14:textId="77777777" w:rsidR="00925A35" w:rsidRDefault="00925A35" w:rsidP="00925A35">
      <w:pPr>
        <w:ind w:firstLine="720"/>
        <w:jc w:val="left"/>
      </w:pPr>
    </w:p>
    <w:p w14:paraId="249FC237" w14:textId="77777777" w:rsidR="00925A35" w:rsidRDefault="00925A35" w:rsidP="00925A35">
      <w:pPr>
        <w:ind w:firstLine="1440"/>
        <w:jc w:val="left"/>
      </w:pPr>
      <w:r>
        <w:t xml:space="preserve">Hence, a plain reading of 66 Pa.C.S. § 1529.1 holds a property owner financially responsible for a tenant’s entire account, once foreign load is verified on the tenant’s utility service.  </w:t>
      </w:r>
      <w:r>
        <w:rPr>
          <w:i/>
        </w:rPr>
        <w:t>Santos v. Metropolitan Edison Co.</w:t>
      </w:r>
      <w:r>
        <w:t xml:space="preserve">, Docket No. C-00967757 (Order entered August 7, 1997).  Upon finding foreign load, the utility must list the account, including any arrearage, in the name of the landlord.  The landlord bears the responsibility of paying the utility bills until the foreign load is corrected.  Once the foreign load is corrected by the landlord and verified by the utility, the utility places the account back in the name of the tenant.  However, the arrearage, if any, remains with the landlord.  </w:t>
      </w:r>
      <w:r>
        <w:rPr>
          <w:i/>
        </w:rPr>
        <w:t>Ace Check Cashing Inc. v. Philadelphia Gas Works</w:t>
      </w:r>
      <w:r>
        <w:t xml:space="preserve">, Docket No. C-2008-2056428 (Order entered May 21, 2010).  There is no </w:t>
      </w:r>
      <w:r>
        <w:rPr>
          <w:i/>
        </w:rPr>
        <w:t>de minimus</w:t>
      </w:r>
      <w:r>
        <w:t xml:space="preserve"> exception.  Any dispute between the landlord and tenant regarding the financial responsibilities of the parties is a matter to be resolved in the Court of Common Pleas and is outside this Commission’s jurisdiction.  </w:t>
      </w:r>
      <w:r>
        <w:rPr>
          <w:i/>
        </w:rPr>
        <w:t>Id.</w:t>
      </w:r>
    </w:p>
    <w:p w14:paraId="1FEA73C7" w14:textId="77777777" w:rsidR="00925A35" w:rsidRDefault="00925A35" w:rsidP="00925A35">
      <w:pPr>
        <w:ind w:firstLine="1440"/>
        <w:jc w:val="left"/>
        <w:rPr>
          <w:color w:val="000000"/>
        </w:rPr>
      </w:pPr>
    </w:p>
    <w:p w14:paraId="00684AD3" w14:textId="77777777" w:rsidR="00925A35" w:rsidRDefault="00925A35" w:rsidP="00925A35">
      <w:pPr>
        <w:ind w:firstLine="1440"/>
        <w:jc w:val="left"/>
        <w:rPr>
          <w:color w:val="000000"/>
        </w:rPr>
      </w:pPr>
      <w:r>
        <w:rPr>
          <w:color w:val="000000"/>
        </w:rPr>
        <w:t xml:space="preserve">As such, when applying Section 1529.1 and </w:t>
      </w:r>
      <w:r>
        <w:rPr>
          <w:i/>
          <w:color w:val="000000"/>
        </w:rPr>
        <w:t>Ace</w:t>
      </w:r>
      <w:r>
        <w:rPr>
          <w:color w:val="000000"/>
        </w:rPr>
        <w:t xml:space="preserve"> to the facts presented in this case, even when accepting as true all well pleaded, materials facts contained in the Complaint, as well as every reasonable inference from those facts, and viewing the Complaint in the light most favorable to Ms. Stevens, as is required when disposing of PECO’s Preliminary Objection, </w:t>
      </w:r>
      <w:r>
        <w:rPr>
          <w:color w:val="000000"/>
        </w:rPr>
        <w:lastRenderedPageBreak/>
        <w:t>Ms. Stevens would not be entitled to relief under any circumstances as a matter of law and her Complaint should be dismissed.  Granting PECO’s Preliminary Objection is free and clear of doubt and dismissing the Complaint is clearly warranted by the record.</w:t>
      </w:r>
    </w:p>
    <w:p w14:paraId="3C0B369A" w14:textId="77777777" w:rsidR="00925A35" w:rsidRDefault="00925A35" w:rsidP="00925A35">
      <w:pPr>
        <w:ind w:firstLine="1440"/>
        <w:jc w:val="left"/>
        <w:rPr>
          <w:color w:val="000000"/>
        </w:rPr>
      </w:pPr>
    </w:p>
    <w:p w14:paraId="153A8366" w14:textId="77777777" w:rsidR="00925A35" w:rsidRDefault="00925A35" w:rsidP="00925A35">
      <w:pPr>
        <w:pStyle w:val="Style"/>
        <w:widowControl/>
        <w:spacing w:line="360" w:lineRule="auto"/>
        <w:ind w:firstLine="1440"/>
      </w:pPr>
      <w:r>
        <w:rPr>
          <w:color w:val="000000"/>
        </w:rPr>
        <w:t xml:space="preserve">Ms. Stevens claims that she should not be held responsible for the tenant’s portion of the shared usage.  This is precisely the issue, however, that the Commission lacks jurisdiction to hear.  The Commission has made it clear in </w:t>
      </w:r>
      <w:r>
        <w:rPr>
          <w:i/>
          <w:color w:val="000000"/>
        </w:rPr>
        <w:t xml:space="preserve">Ace </w:t>
      </w:r>
      <w:r>
        <w:rPr>
          <w:color w:val="000000"/>
        </w:rPr>
        <w:t>that Section 1529.1 of the Public Utility Code divests the Commission of jurisdiction to hear these issues and that the proper forum for determining who owes how much of an outstanding balance when foreign load is found is the Court of Common Pleas, regardless of the amount being disputed.</w:t>
      </w:r>
    </w:p>
    <w:p w14:paraId="00CF8C91" w14:textId="77777777" w:rsidR="00925A35" w:rsidRDefault="00925A35" w:rsidP="00925A35">
      <w:pPr>
        <w:ind w:firstLine="1440"/>
        <w:jc w:val="left"/>
        <w:rPr>
          <w:color w:val="000000"/>
        </w:rPr>
      </w:pPr>
    </w:p>
    <w:p w14:paraId="3550461B" w14:textId="77777777" w:rsidR="00925A35" w:rsidRDefault="00925A35" w:rsidP="00925A35">
      <w:pPr>
        <w:ind w:firstLine="1440"/>
        <w:jc w:val="left"/>
        <w:rPr>
          <w:color w:val="000000"/>
        </w:rPr>
      </w:pPr>
      <w:r>
        <w:rPr>
          <w:color w:val="000000"/>
        </w:rPr>
        <w:t xml:space="preserve">PECO acted reasonably by transferring the entire amount of the arrearage pursuant to Section 1529.1 and </w:t>
      </w:r>
      <w:r>
        <w:rPr>
          <w:i/>
          <w:color w:val="000000"/>
        </w:rPr>
        <w:t>Ace</w:t>
      </w:r>
      <w:r>
        <w:rPr>
          <w:color w:val="000000"/>
        </w:rPr>
        <w:t>, regardless of what a reasonable amount may be to charge Ms. Stevens for the portion of service associated with the shared lighting.  The Commission has no jurisdiction as a matter of law over the issue Ms. Stevens raised in her Complaint.</w:t>
      </w:r>
      <w:r>
        <w:rPr>
          <w:bCs/>
          <w:color w:val="000000"/>
        </w:rPr>
        <w:t xml:space="preserve">  </w:t>
      </w:r>
      <w:r>
        <w:rPr>
          <w:color w:val="000000"/>
        </w:rPr>
        <w:t xml:space="preserve">Furthermore, the Commission stated in </w:t>
      </w:r>
      <w:r>
        <w:rPr>
          <w:i/>
          <w:color w:val="000000"/>
        </w:rPr>
        <w:t>Ace</w:t>
      </w:r>
      <w:r>
        <w:rPr>
          <w:color w:val="000000"/>
        </w:rPr>
        <w:t xml:space="preserve"> that there is “no </w:t>
      </w:r>
      <w:r>
        <w:rPr>
          <w:i/>
          <w:color w:val="000000"/>
        </w:rPr>
        <w:t>de minimus</w:t>
      </w:r>
      <w:r>
        <w:rPr>
          <w:color w:val="000000"/>
        </w:rPr>
        <w:t xml:space="preserve"> exception,” noting that the reason for the change in policy was to incent the landlord to correct the foreign load situation.  </w:t>
      </w:r>
      <w:r>
        <w:rPr>
          <w:i/>
          <w:color w:val="000000"/>
        </w:rPr>
        <w:t>Ace</w:t>
      </w:r>
      <w:r>
        <w:t xml:space="preserve"> at 8. </w:t>
      </w:r>
      <w:r>
        <w:rPr>
          <w:color w:val="000000"/>
        </w:rPr>
        <w:t xml:space="preserve"> Commission precedent requires that the entire balance, including arrearages, be transferred to the landlord.  </w:t>
      </w:r>
      <w:r>
        <w:rPr>
          <w:bCs/>
          <w:color w:val="000000"/>
        </w:rPr>
        <w:t>These arguments may be relevant to a proceeding before a Court of Common Pleas but do not justify a hearing before the Commission.</w:t>
      </w:r>
    </w:p>
    <w:p w14:paraId="639E52D3" w14:textId="77777777" w:rsidR="00925A35" w:rsidRDefault="00925A35" w:rsidP="00925A35">
      <w:pPr>
        <w:pStyle w:val="Style"/>
        <w:widowControl/>
        <w:spacing w:line="360" w:lineRule="auto"/>
        <w:ind w:firstLine="1440"/>
        <w:rPr>
          <w:bCs/>
          <w:color w:val="000000"/>
        </w:rPr>
      </w:pPr>
    </w:p>
    <w:p w14:paraId="4BDC45E6" w14:textId="2BBE94F2" w:rsidR="00925A35" w:rsidRDefault="00925A35" w:rsidP="00925A35">
      <w:pPr>
        <w:tabs>
          <w:tab w:val="left" w:pos="-720"/>
        </w:tabs>
        <w:suppressAutoHyphens/>
        <w:autoSpaceDE w:val="0"/>
        <w:autoSpaceDN w:val="0"/>
        <w:ind w:firstLine="1440"/>
        <w:jc w:val="left"/>
        <w:rPr>
          <w:color w:val="000000"/>
        </w:rPr>
      </w:pPr>
      <w:r>
        <w:rPr>
          <w:color w:val="000000"/>
        </w:rPr>
        <w:t xml:space="preserve">As a result, Section 1529.1 of the Public Utility Code and applicable Commission precedent are clear that any dispute regarding the financial responsibilities of the parties in a case where foreign load is present is a matter to be resolved in the Court of Common Pleas and is outside the Commission’s jurisdiction, regardless of the size of the amount in dispute.  Even when accepting as true all well pleaded, materials facts contained in the Complaint, as well as every reasonable inference from those facts, and viewing the Complaint in the light most favorable to Ms. Stevens, as is required when disposing of PECO’s Preliminary Objection, Ms. Stevens would not be entitled to relief </w:t>
      </w:r>
      <w:r w:rsidR="007F3066">
        <w:rPr>
          <w:color w:val="000000"/>
        </w:rPr>
        <w:t>regarding this particular issue as a matter of law</w:t>
      </w:r>
      <w:r>
        <w:rPr>
          <w:color w:val="000000"/>
        </w:rPr>
        <w:t>.</w:t>
      </w:r>
    </w:p>
    <w:p w14:paraId="2E6309C4" w14:textId="1D80A107" w:rsidR="00925A35" w:rsidRDefault="007F3066" w:rsidP="00925A35">
      <w:pPr>
        <w:ind w:firstLine="1440"/>
        <w:jc w:val="left"/>
        <w:rPr>
          <w:color w:val="000000"/>
        </w:rPr>
      </w:pPr>
      <w:r>
        <w:rPr>
          <w:color w:val="000000"/>
        </w:rPr>
        <w:t xml:space="preserve">However, </w:t>
      </w:r>
      <w:r w:rsidR="00925A35">
        <w:rPr>
          <w:color w:val="000000"/>
        </w:rPr>
        <w:t xml:space="preserve">Ms. Stevens </w:t>
      </w:r>
      <w:r w:rsidR="00925A35">
        <w:rPr>
          <w:bCs/>
          <w:color w:val="000000"/>
        </w:rPr>
        <w:t xml:space="preserve">has </w:t>
      </w:r>
      <w:r w:rsidR="003371B2">
        <w:rPr>
          <w:bCs/>
          <w:color w:val="000000"/>
        </w:rPr>
        <w:t xml:space="preserve">indicated in her </w:t>
      </w:r>
      <w:r w:rsidR="00DA18D8">
        <w:rPr>
          <w:bCs/>
          <w:color w:val="000000"/>
        </w:rPr>
        <w:t>C</w:t>
      </w:r>
      <w:r w:rsidR="003371B2">
        <w:rPr>
          <w:bCs/>
          <w:color w:val="000000"/>
        </w:rPr>
        <w:t xml:space="preserve">omplaint that there </w:t>
      </w:r>
      <w:r w:rsidR="00DA18D8">
        <w:rPr>
          <w:bCs/>
          <w:color w:val="000000"/>
        </w:rPr>
        <w:t>are issues</w:t>
      </w:r>
      <w:r w:rsidR="003371B2">
        <w:rPr>
          <w:bCs/>
          <w:color w:val="000000"/>
        </w:rPr>
        <w:t xml:space="preserve"> regarding </w:t>
      </w:r>
      <w:r w:rsidR="0098772B">
        <w:rPr>
          <w:bCs/>
          <w:color w:val="000000"/>
        </w:rPr>
        <w:t>a high bill dispute and the quality of service that she received, r</w:t>
      </w:r>
      <w:r w:rsidR="00DA18D8">
        <w:rPr>
          <w:bCs/>
          <w:color w:val="000000"/>
        </w:rPr>
        <w:t>elated</w:t>
      </w:r>
      <w:r w:rsidR="00750385">
        <w:rPr>
          <w:bCs/>
          <w:color w:val="000000"/>
        </w:rPr>
        <w:t xml:space="preserve"> to</w:t>
      </w:r>
      <w:r w:rsidR="0098772B">
        <w:rPr>
          <w:bCs/>
          <w:color w:val="000000"/>
        </w:rPr>
        <w:t xml:space="preserve"> PECO’s </w:t>
      </w:r>
      <w:r w:rsidR="0098772B">
        <w:rPr>
          <w:bCs/>
          <w:color w:val="000000"/>
        </w:rPr>
        <w:lastRenderedPageBreak/>
        <w:t xml:space="preserve">actions </w:t>
      </w:r>
      <w:r w:rsidR="00750385">
        <w:rPr>
          <w:bCs/>
          <w:color w:val="000000"/>
        </w:rPr>
        <w:t>with respect to</w:t>
      </w:r>
      <w:r w:rsidR="0098772B">
        <w:rPr>
          <w:bCs/>
          <w:color w:val="000000"/>
        </w:rPr>
        <w:t xml:space="preserve"> the tenant account</w:t>
      </w:r>
      <w:r w:rsidR="00925A35">
        <w:rPr>
          <w:color w:val="000000"/>
        </w:rPr>
        <w:t>.</w:t>
      </w:r>
      <w:r w:rsidR="00750385">
        <w:rPr>
          <w:color w:val="000000"/>
        </w:rPr>
        <w:t xml:space="preserve">  </w:t>
      </w:r>
      <w:r w:rsidR="002025BF">
        <w:rPr>
          <w:color w:val="000000"/>
        </w:rPr>
        <w:t>The</w:t>
      </w:r>
      <w:r w:rsidR="00750385">
        <w:rPr>
          <w:color w:val="000000"/>
        </w:rPr>
        <w:t xml:space="preserve"> Commission does have jurisdiction </w:t>
      </w:r>
      <w:r w:rsidR="006F669C">
        <w:rPr>
          <w:color w:val="000000"/>
        </w:rPr>
        <w:t xml:space="preserve">over high bill disputes as explained in </w:t>
      </w:r>
      <w:r w:rsidR="006F669C">
        <w:rPr>
          <w:i/>
        </w:rPr>
        <w:t>Waldron v. Philadelphia Electric Company</w:t>
      </w:r>
      <w:r w:rsidR="006F669C">
        <w:t xml:space="preserve">, 54 Pa. PUC 98 (1980).  Further, the Commission </w:t>
      </w:r>
      <w:r w:rsidR="00B868B8">
        <w:t>also has</w:t>
      </w:r>
      <w:r w:rsidR="006F669C">
        <w:t xml:space="preserve"> jurisdiction over the quality of service provided by public utilities under Section 1501 of the Public Utility Code.  </w:t>
      </w:r>
      <w:r w:rsidR="00B868B8">
        <w:t>66 Pa.C.S. §1501.</w:t>
      </w:r>
    </w:p>
    <w:p w14:paraId="428B82C3" w14:textId="77777777" w:rsidR="00691063" w:rsidRDefault="00691063" w:rsidP="00691063">
      <w:pPr>
        <w:ind w:firstLine="1440"/>
        <w:jc w:val="left"/>
      </w:pPr>
    </w:p>
    <w:p w14:paraId="7D245AB0" w14:textId="77777777" w:rsidR="00691063" w:rsidRDefault="00691063" w:rsidP="00691063">
      <w:pPr>
        <w:outlineLvl w:val="0"/>
        <w:rPr>
          <w:u w:val="single"/>
        </w:rPr>
      </w:pPr>
      <w:r>
        <w:rPr>
          <w:u w:val="single"/>
        </w:rPr>
        <w:t>CONCLUSIONS OF LAW</w:t>
      </w:r>
    </w:p>
    <w:p w14:paraId="76B808B2" w14:textId="77777777" w:rsidR="00691063" w:rsidRDefault="00691063" w:rsidP="00691063">
      <w:pPr>
        <w:outlineLvl w:val="0"/>
        <w:rPr>
          <w:u w:val="single"/>
        </w:rPr>
      </w:pPr>
    </w:p>
    <w:p w14:paraId="0D329120" w14:textId="77777777" w:rsidR="00691063" w:rsidRDefault="00691063" w:rsidP="00691063">
      <w:pPr>
        <w:pStyle w:val="p5"/>
        <w:numPr>
          <w:ilvl w:val="0"/>
          <w:numId w:val="1"/>
        </w:numPr>
        <w:spacing w:line="360" w:lineRule="auto"/>
        <w:ind w:left="0" w:firstLine="1440"/>
      </w:pPr>
      <w:r>
        <w:t>The Commission has jurisdiction over the parties and subject matter in this proceeding.  66 Pa.C.S. §701.</w:t>
      </w:r>
    </w:p>
    <w:p w14:paraId="67F620DC" w14:textId="77777777" w:rsidR="00691063" w:rsidRDefault="00691063" w:rsidP="00691063">
      <w:pPr>
        <w:pStyle w:val="p5"/>
        <w:spacing w:line="360" w:lineRule="auto"/>
      </w:pPr>
    </w:p>
    <w:p w14:paraId="68578684" w14:textId="77777777" w:rsidR="00691063" w:rsidRDefault="00691063" w:rsidP="00691063">
      <w:pPr>
        <w:ind w:firstLine="1440"/>
        <w:jc w:val="left"/>
      </w:pPr>
      <w:r>
        <w:t>2.</w:t>
      </w:r>
      <w:r>
        <w:tab/>
        <w:t xml:space="preserve">Commission preliminary objection practice is </w:t>
      </w:r>
      <w:proofErr w:type="gramStart"/>
      <w:r>
        <w:t>similar to</w:t>
      </w:r>
      <w:proofErr w:type="gramEnd"/>
      <w:r>
        <w:t xml:space="preserve"> Pennsylvania civil practice.  </w:t>
      </w:r>
      <w:r>
        <w:rPr>
          <w:i/>
        </w:rPr>
        <w:t xml:space="preserve">Equitable Small Transportation Interveners v. Equitable Gas Company, </w:t>
      </w:r>
      <w:r>
        <w:t>1994 Pa. PUC LEXIS 69, Docket No. C-000935435 (July 18, 1994).</w:t>
      </w:r>
    </w:p>
    <w:p w14:paraId="00D053B1" w14:textId="77777777" w:rsidR="00691063" w:rsidRDefault="00691063" w:rsidP="00691063">
      <w:pPr>
        <w:jc w:val="left"/>
      </w:pPr>
    </w:p>
    <w:p w14:paraId="532769B1" w14:textId="64C2D337" w:rsidR="00691063" w:rsidRDefault="00691063" w:rsidP="00691063">
      <w:pPr>
        <w:jc w:val="left"/>
      </w:pPr>
      <w:r>
        <w:tab/>
      </w:r>
      <w:r>
        <w:tab/>
        <w:t>3.</w:t>
      </w:r>
      <w:r>
        <w:tab/>
        <w:t xml:space="preserve">When considering the preliminary objection, the Commission must determine “whether the law says with certainty, based on well-pleaded factual averments . . . that no recovery or relief is possible.  </w:t>
      </w:r>
      <w:r>
        <w:rPr>
          <w:i/>
        </w:rPr>
        <w:t xml:space="preserve">P. J. S. v. Pa. State Ethics Commission, </w:t>
      </w:r>
      <w:r>
        <w:t xml:space="preserve">669 A.2d 1105 (Pa. Cmwlth. 1996).  Any doubt must be resolved in favor of the non-moving party by refusing to sustain the preliminary objections.  </w:t>
      </w:r>
      <w:r>
        <w:rPr>
          <w:i/>
        </w:rPr>
        <w:t xml:space="preserve">Boyd v. Ward, </w:t>
      </w:r>
      <w:r>
        <w:t xml:space="preserve">802 A.2d 705 (Pa. Cmwlth. 2002).”  </w:t>
      </w:r>
      <w:r>
        <w:rPr>
          <w:i/>
        </w:rPr>
        <w:t xml:space="preserve">Dept. of Auditor General, et al. v. State Employees’ Retirement System, et al., </w:t>
      </w:r>
      <w:r>
        <w:t>836 A.2d 1053, 1064 (Pa.</w:t>
      </w:r>
      <w:r w:rsidR="00674DF6">
        <w:t> </w:t>
      </w:r>
      <w:r>
        <w:t>Cmwlth. 2003).</w:t>
      </w:r>
    </w:p>
    <w:p w14:paraId="2A0E9494" w14:textId="77777777" w:rsidR="00691063" w:rsidRDefault="00691063" w:rsidP="00691063">
      <w:pPr>
        <w:jc w:val="both"/>
      </w:pPr>
    </w:p>
    <w:p w14:paraId="33C28474" w14:textId="63E0A14D" w:rsidR="00A966E6" w:rsidRDefault="00A966E6" w:rsidP="00D57D3B">
      <w:pPr>
        <w:pStyle w:val="ListParagraph"/>
        <w:widowControl/>
        <w:numPr>
          <w:ilvl w:val="0"/>
          <w:numId w:val="6"/>
        </w:numPr>
        <w:tabs>
          <w:tab w:val="left" w:pos="-720"/>
        </w:tabs>
        <w:suppressAutoHyphens/>
        <w:autoSpaceDE w:val="0"/>
        <w:autoSpaceDN w:val="0"/>
        <w:spacing w:line="360" w:lineRule="auto"/>
        <w:ind w:left="0" w:firstLine="1440"/>
        <w:rPr>
          <w:sz w:val="24"/>
          <w:szCs w:val="24"/>
        </w:rPr>
      </w:pPr>
      <w:r>
        <w:rPr>
          <w:color w:val="000000"/>
          <w:sz w:val="24"/>
          <w:szCs w:val="24"/>
        </w:rPr>
        <w:t>Upon receipt of the notice provided in Section 1529.1(a), if the mobile home park or residential building contains one or more dwelling units not individually metered, an affected public utility shall forthwith list the account for the premises in question in the name of the owner, and the owner shall thereafter be responsible for the payment for the utility services rendered thereunto.  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  66 Pa.C.S. § 1529.1(b).</w:t>
      </w:r>
    </w:p>
    <w:p w14:paraId="48601FCC" w14:textId="77777777" w:rsidR="00A966E6" w:rsidRDefault="00A966E6" w:rsidP="00A966E6">
      <w:pPr>
        <w:pStyle w:val="ListParagraph"/>
        <w:spacing w:line="360" w:lineRule="auto"/>
        <w:ind w:left="0"/>
        <w:rPr>
          <w:sz w:val="24"/>
          <w:szCs w:val="24"/>
        </w:rPr>
      </w:pPr>
    </w:p>
    <w:p w14:paraId="2AB09DCB" w14:textId="7E80A615" w:rsidR="00A966E6" w:rsidRPr="00DC5B1B" w:rsidRDefault="00A966E6" w:rsidP="00D57D3B">
      <w:pPr>
        <w:pStyle w:val="ListParagraph"/>
        <w:widowControl/>
        <w:numPr>
          <w:ilvl w:val="0"/>
          <w:numId w:val="6"/>
        </w:numPr>
        <w:tabs>
          <w:tab w:val="left" w:pos="-720"/>
        </w:tabs>
        <w:suppressAutoHyphens/>
        <w:autoSpaceDE w:val="0"/>
        <w:autoSpaceDN w:val="0"/>
        <w:spacing w:line="360" w:lineRule="auto"/>
        <w:ind w:left="0" w:firstLine="1440"/>
        <w:rPr>
          <w:sz w:val="24"/>
          <w:szCs w:val="24"/>
        </w:rPr>
      </w:pPr>
      <w:r>
        <w:rPr>
          <w:color w:val="000000"/>
          <w:sz w:val="24"/>
          <w:szCs w:val="24"/>
        </w:rPr>
        <w:lastRenderedPageBreak/>
        <w:t>The Commission does not have jurisdiction to adjudicate every dispute that involves a utility, e.g., personal injury case, discrimination case, etc., and does not have the authority to settle disputes on every contract to which a public utility is a party.  Accordingly, the Commission does not have subject matter jurisdiction over a dispute between a property owner and a tenant – two non-utility parties.  While such a dispute may involve utility rates, when the charges owed to the utility for past service are settled, the only issue to be decided is financial responsibility for the charges.  That matter should be handled by the courts</w:t>
      </w:r>
      <w:r>
        <w:rPr>
          <w:i/>
          <w:color w:val="000000"/>
          <w:sz w:val="24"/>
          <w:szCs w:val="24"/>
        </w:rPr>
        <w:t>.  Ace Check Cashing Inc. v. Philadelphia Gas Works</w:t>
      </w:r>
      <w:r>
        <w:rPr>
          <w:color w:val="000000"/>
          <w:sz w:val="24"/>
          <w:szCs w:val="24"/>
        </w:rPr>
        <w:t xml:space="preserve">, Docket No. C-2008-2056428, Opinion and Order (entered May 21, 2010); </w:t>
      </w:r>
      <w:r>
        <w:rPr>
          <w:i/>
          <w:color w:val="000000"/>
          <w:sz w:val="24"/>
          <w:szCs w:val="24"/>
        </w:rPr>
        <w:t>see also</w:t>
      </w:r>
      <w:r>
        <w:rPr>
          <w:color w:val="000000"/>
          <w:sz w:val="24"/>
          <w:szCs w:val="24"/>
        </w:rPr>
        <w:t xml:space="preserve">, </w:t>
      </w:r>
      <w:r>
        <w:rPr>
          <w:i/>
          <w:color w:val="000000"/>
          <w:sz w:val="24"/>
          <w:szCs w:val="24"/>
        </w:rPr>
        <w:t>Del Vecchio v. PPL Electric Utilities Corp.</w:t>
      </w:r>
      <w:r>
        <w:rPr>
          <w:color w:val="000000"/>
          <w:sz w:val="24"/>
          <w:szCs w:val="24"/>
        </w:rPr>
        <w:t xml:space="preserve">, Docket No. Z-01464793 (Order entered September 13, 2005); </w:t>
      </w:r>
      <w:r>
        <w:rPr>
          <w:i/>
          <w:color w:val="000000"/>
          <w:sz w:val="24"/>
          <w:szCs w:val="24"/>
        </w:rPr>
        <w:t>Santos v. Metropolitan Edison Co.</w:t>
      </w:r>
      <w:r>
        <w:rPr>
          <w:color w:val="000000"/>
          <w:sz w:val="24"/>
          <w:szCs w:val="24"/>
        </w:rPr>
        <w:t>, Docket No. C-00967757 (Order entered August 7, 1997).</w:t>
      </w:r>
      <w:r>
        <w:rPr>
          <w:color w:val="000000"/>
          <w:sz w:val="24"/>
          <w:szCs w:val="24"/>
          <w:u w:val="single"/>
        </w:rPr>
        <w:t xml:space="preserve">  </w:t>
      </w:r>
    </w:p>
    <w:p w14:paraId="7CD3873A" w14:textId="77777777" w:rsidR="00DC5B1B" w:rsidRPr="00DC5B1B" w:rsidRDefault="00DC5B1B" w:rsidP="00DC5B1B">
      <w:pPr>
        <w:pStyle w:val="ListParagraph"/>
        <w:rPr>
          <w:sz w:val="24"/>
          <w:szCs w:val="24"/>
        </w:rPr>
      </w:pPr>
    </w:p>
    <w:p w14:paraId="28707209" w14:textId="25FB4949" w:rsidR="00DC5B1B" w:rsidRPr="00DC5B1B" w:rsidRDefault="00DC5B1B" w:rsidP="00DC5B1B">
      <w:pPr>
        <w:pStyle w:val="ListParagraph"/>
        <w:widowControl/>
        <w:numPr>
          <w:ilvl w:val="0"/>
          <w:numId w:val="6"/>
        </w:numPr>
        <w:tabs>
          <w:tab w:val="left" w:pos="-720"/>
        </w:tabs>
        <w:suppressAutoHyphens/>
        <w:autoSpaceDE w:val="0"/>
        <w:autoSpaceDN w:val="0"/>
        <w:spacing w:line="360" w:lineRule="auto"/>
        <w:ind w:left="0" w:firstLine="1440"/>
        <w:rPr>
          <w:sz w:val="24"/>
          <w:szCs w:val="24"/>
        </w:rPr>
      </w:pPr>
      <w:r w:rsidRPr="00DC5B1B">
        <w:rPr>
          <w:color w:val="000000"/>
          <w:sz w:val="24"/>
          <w:szCs w:val="24"/>
        </w:rPr>
        <w:t xml:space="preserve">The Commission </w:t>
      </w:r>
      <w:r w:rsidR="004B52F3">
        <w:rPr>
          <w:color w:val="000000"/>
          <w:sz w:val="24"/>
          <w:szCs w:val="24"/>
        </w:rPr>
        <w:t>has</w:t>
      </w:r>
      <w:r w:rsidRPr="00DC5B1B">
        <w:rPr>
          <w:color w:val="000000"/>
          <w:sz w:val="24"/>
          <w:szCs w:val="24"/>
        </w:rPr>
        <w:t xml:space="preserve"> jurisdiction over high bill disputes</w:t>
      </w:r>
      <w:r w:rsidR="004B52F3">
        <w:rPr>
          <w:color w:val="000000"/>
          <w:sz w:val="24"/>
          <w:szCs w:val="24"/>
        </w:rPr>
        <w:t xml:space="preserve">.  </w:t>
      </w:r>
      <w:r w:rsidRPr="00DC5B1B">
        <w:rPr>
          <w:i/>
          <w:sz w:val="24"/>
          <w:szCs w:val="24"/>
        </w:rPr>
        <w:t>Waldron v. Philadelphia Electric Company</w:t>
      </w:r>
      <w:r w:rsidRPr="00DC5B1B">
        <w:rPr>
          <w:sz w:val="24"/>
          <w:szCs w:val="24"/>
        </w:rPr>
        <w:t xml:space="preserve">, 54 Pa. PUC 98 (1980).  </w:t>
      </w:r>
    </w:p>
    <w:p w14:paraId="0822245A" w14:textId="77777777" w:rsidR="00DC5B1B" w:rsidRPr="00DC5B1B" w:rsidRDefault="00DC5B1B" w:rsidP="00DC5B1B">
      <w:pPr>
        <w:pStyle w:val="ListParagraph"/>
        <w:spacing w:line="360" w:lineRule="auto"/>
        <w:rPr>
          <w:sz w:val="24"/>
          <w:szCs w:val="24"/>
        </w:rPr>
      </w:pPr>
    </w:p>
    <w:p w14:paraId="06BA0FCE" w14:textId="454626DA" w:rsidR="005E57AE" w:rsidRPr="005E57AE" w:rsidRDefault="00DC5B1B" w:rsidP="005E57AE">
      <w:pPr>
        <w:pStyle w:val="ListParagraph"/>
        <w:numPr>
          <w:ilvl w:val="0"/>
          <w:numId w:val="6"/>
        </w:numPr>
        <w:spacing w:line="360" w:lineRule="auto"/>
        <w:ind w:left="0" w:firstLine="1468"/>
        <w:rPr>
          <w:color w:val="000000"/>
          <w:sz w:val="24"/>
          <w:szCs w:val="24"/>
        </w:rPr>
      </w:pPr>
      <w:r>
        <w:rPr>
          <w:sz w:val="24"/>
          <w:szCs w:val="24"/>
        </w:rPr>
        <w:t>The</w:t>
      </w:r>
      <w:r w:rsidRPr="00DC5B1B">
        <w:rPr>
          <w:sz w:val="24"/>
          <w:szCs w:val="24"/>
        </w:rPr>
        <w:t xml:space="preserve"> Commission has jurisdiction over the quality of service provided by public utilities under Section 1501 of the Public Utility Code.  66 Pa.C.S. §1501.</w:t>
      </w:r>
      <w:r w:rsidR="005E57AE">
        <w:rPr>
          <w:sz w:val="24"/>
          <w:szCs w:val="24"/>
        </w:rPr>
        <w:t xml:space="preserve">  </w:t>
      </w:r>
    </w:p>
    <w:p w14:paraId="2AFCFF05" w14:textId="77777777" w:rsidR="005E57AE" w:rsidRDefault="005E57AE" w:rsidP="005E57AE">
      <w:pPr>
        <w:pStyle w:val="ListParagraph"/>
      </w:pPr>
    </w:p>
    <w:p w14:paraId="2F7AA757" w14:textId="6C54A7E6" w:rsidR="005E57AE" w:rsidRPr="005E57AE" w:rsidRDefault="005E57AE" w:rsidP="005E57AE">
      <w:pPr>
        <w:pStyle w:val="ListParagraph"/>
        <w:numPr>
          <w:ilvl w:val="0"/>
          <w:numId w:val="6"/>
        </w:numPr>
        <w:spacing w:line="360" w:lineRule="auto"/>
        <w:ind w:left="0" w:firstLine="1468"/>
        <w:rPr>
          <w:color w:val="000000"/>
          <w:sz w:val="24"/>
          <w:szCs w:val="24"/>
        </w:rPr>
      </w:pPr>
      <w:r w:rsidRPr="005E57AE">
        <w:rPr>
          <w:sz w:val="24"/>
          <w:szCs w:val="24"/>
        </w:rPr>
        <w:t>Even when accepting as true all well pleaded material facts, as well as every reasonable inference from those facts, and viewing the Complaint in the light most favorable to Ms. Stevens, it is clear that Ms. Stevens will not be entitled to relief under any circumstances as a matter of law.</w:t>
      </w:r>
    </w:p>
    <w:p w14:paraId="517635AA" w14:textId="54A3FBCA" w:rsidR="00C63F01" w:rsidRDefault="00C63F01">
      <w:pPr>
        <w:spacing w:after="200" w:line="276" w:lineRule="auto"/>
        <w:jc w:val="left"/>
        <w:rPr>
          <w:rFonts w:cs="Calibri"/>
          <w:bCs/>
        </w:rPr>
      </w:pPr>
      <w:r>
        <w:rPr>
          <w:rFonts w:cs="Calibri"/>
          <w:bCs/>
        </w:rPr>
        <w:br w:type="page"/>
      </w:r>
    </w:p>
    <w:p w14:paraId="1C1F3C6A" w14:textId="77777777" w:rsidR="002A3995" w:rsidRDefault="002A3995" w:rsidP="002A3995">
      <w:pPr>
        <w:pStyle w:val="ListParagraph"/>
        <w:spacing w:line="360" w:lineRule="auto"/>
        <w:ind w:left="0"/>
        <w:jc w:val="center"/>
        <w:rPr>
          <w:sz w:val="24"/>
          <w:szCs w:val="24"/>
          <w:u w:val="single"/>
        </w:rPr>
      </w:pPr>
      <w:r>
        <w:rPr>
          <w:sz w:val="24"/>
          <w:szCs w:val="24"/>
          <w:u w:val="single"/>
        </w:rPr>
        <w:lastRenderedPageBreak/>
        <w:t>ORDER</w:t>
      </w:r>
    </w:p>
    <w:p w14:paraId="755D6C8C" w14:textId="77777777" w:rsidR="002A3995" w:rsidRDefault="002A3995" w:rsidP="002A3995">
      <w:pPr>
        <w:pStyle w:val="NoSpacing"/>
        <w:spacing w:line="360" w:lineRule="auto"/>
        <w:rPr>
          <w:u w:val="single"/>
        </w:rPr>
      </w:pPr>
    </w:p>
    <w:p w14:paraId="1C1A1FFC" w14:textId="77777777" w:rsidR="002A3995" w:rsidRDefault="002A3995" w:rsidP="002A3995">
      <w:pPr>
        <w:pStyle w:val="NoSpacing"/>
        <w:spacing w:line="360" w:lineRule="auto"/>
        <w:rPr>
          <w:u w:val="single"/>
        </w:rPr>
      </w:pPr>
    </w:p>
    <w:p w14:paraId="3149DA65" w14:textId="77777777" w:rsidR="002A3995" w:rsidRDefault="002A3995" w:rsidP="002A3995">
      <w:pPr>
        <w:pStyle w:val="NoSpacing"/>
        <w:spacing w:line="360" w:lineRule="auto"/>
      </w:pPr>
      <w:r>
        <w:tab/>
      </w:r>
      <w:r>
        <w:tab/>
        <w:t>THEREFORE,</w:t>
      </w:r>
    </w:p>
    <w:p w14:paraId="794C11FB" w14:textId="77777777" w:rsidR="002A3995" w:rsidRDefault="002A3995" w:rsidP="002A3995">
      <w:pPr>
        <w:pStyle w:val="NoSpacing"/>
        <w:spacing w:line="360" w:lineRule="auto"/>
      </w:pPr>
    </w:p>
    <w:p w14:paraId="765ABA59" w14:textId="77777777" w:rsidR="002A3995" w:rsidRDefault="002A3995" w:rsidP="002A3995">
      <w:pPr>
        <w:pStyle w:val="NoSpacing"/>
        <w:spacing w:line="360" w:lineRule="auto"/>
      </w:pPr>
      <w:r>
        <w:tab/>
      </w:r>
      <w:r>
        <w:tab/>
        <w:t>IT IS ORDERED:</w:t>
      </w:r>
    </w:p>
    <w:p w14:paraId="11ABE564" w14:textId="77777777" w:rsidR="002A3995" w:rsidRDefault="002A3995" w:rsidP="002A3995">
      <w:pPr>
        <w:pStyle w:val="NoSpacing"/>
        <w:spacing w:line="360" w:lineRule="auto"/>
      </w:pPr>
    </w:p>
    <w:p w14:paraId="0A8BE6F4" w14:textId="0AD3579E" w:rsidR="002A3995" w:rsidRDefault="002A3995" w:rsidP="002A3995">
      <w:pPr>
        <w:pStyle w:val="ListParagraph"/>
        <w:widowControl/>
        <w:numPr>
          <w:ilvl w:val="0"/>
          <w:numId w:val="2"/>
        </w:numPr>
        <w:spacing w:line="360" w:lineRule="auto"/>
        <w:ind w:left="0" w:firstLine="1440"/>
        <w:rPr>
          <w:sz w:val="24"/>
          <w:szCs w:val="24"/>
        </w:rPr>
      </w:pPr>
      <w:r>
        <w:rPr>
          <w:sz w:val="24"/>
          <w:szCs w:val="24"/>
        </w:rPr>
        <w:t xml:space="preserve">That the preliminary objection filed by PECO Energy Company in the matter captioned </w:t>
      </w:r>
      <w:r>
        <w:rPr>
          <w:i/>
          <w:spacing w:val="-3"/>
          <w:sz w:val="24"/>
          <w:szCs w:val="24"/>
        </w:rPr>
        <w:t>Elsie Stevens</w:t>
      </w:r>
      <w:r>
        <w:rPr>
          <w:i/>
          <w:sz w:val="24"/>
          <w:szCs w:val="24"/>
        </w:rPr>
        <w:t xml:space="preserve"> v. PECO Energy Company </w:t>
      </w:r>
      <w:r>
        <w:rPr>
          <w:sz w:val="24"/>
          <w:szCs w:val="24"/>
        </w:rPr>
        <w:t xml:space="preserve">at Docket Number </w:t>
      </w:r>
      <w:r>
        <w:rPr>
          <w:spacing w:val="-3"/>
          <w:sz w:val="24"/>
          <w:szCs w:val="24"/>
        </w:rPr>
        <w:t xml:space="preserve">C-2019-3007630 </w:t>
      </w:r>
      <w:r w:rsidR="004303A1">
        <w:rPr>
          <w:spacing w:val="-3"/>
          <w:sz w:val="24"/>
          <w:szCs w:val="24"/>
        </w:rPr>
        <w:t xml:space="preserve">are granted in </w:t>
      </w:r>
      <w:r w:rsidR="002E54C6">
        <w:rPr>
          <w:spacing w:val="-3"/>
          <w:sz w:val="24"/>
          <w:szCs w:val="24"/>
        </w:rPr>
        <w:t>part and denied in part</w:t>
      </w:r>
      <w:r>
        <w:rPr>
          <w:sz w:val="24"/>
          <w:szCs w:val="24"/>
        </w:rPr>
        <w:t xml:space="preserve">; </w:t>
      </w:r>
    </w:p>
    <w:p w14:paraId="68D4ED90" w14:textId="77777777" w:rsidR="008878C9" w:rsidRDefault="008878C9" w:rsidP="008878C9">
      <w:pPr>
        <w:pStyle w:val="ListParagraph"/>
        <w:widowControl/>
        <w:spacing w:line="360" w:lineRule="auto"/>
        <w:ind w:left="1440"/>
        <w:rPr>
          <w:sz w:val="24"/>
          <w:szCs w:val="24"/>
        </w:rPr>
      </w:pPr>
    </w:p>
    <w:p w14:paraId="4D211FF2" w14:textId="499E15F6" w:rsidR="008878C9" w:rsidRDefault="004A0ADD" w:rsidP="002A3995">
      <w:pPr>
        <w:pStyle w:val="ListParagraph"/>
        <w:widowControl/>
        <w:numPr>
          <w:ilvl w:val="0"/>
          <w:numId w:val="2"/>
        </w:numPr>
        <w:spacing w:line="360" w:lineRule="auto"/>
        <w:ind w:left="0" w:firstLine="1440"/>
        <w:rPr>
          <w:sz w:val="24"/>
          <w:szCs w:val="24"/>
        </w:rPr>
      </w:pPr>
      <w:r w:rsidRPr="006840D6">
        <w:rPr>
          <w:sz w:val="24"/>
          <w:szCs w:val="24"/>
        </w:rPr>
        <w:t xml:space="preserve">That any allegations of the Complaint filed by </w:t>
      </w:r>
      <w:r w:rsidR="006840D6" w:rsidRPr="006840D6">
        <w:rPr>
          <w:sz w:val="24"/>
          <w:szCs w:val="24"/>
        </w:rPr>
        <w:t>Elsie Stevens</w:t>
      </w:r>
      <w:r w:rsidRPr="006840D6">
        <w:rPr>
          <w:sz w:val="24"/>
          <w:szCs w:val="24"/>
        </w:rPr>
        <w:t xml:space="preserve"> against PECO Energy Company at Docket No. </w:t>
      </w:r>
      <w:r w:rsidR="006840D6" w:rsidRPr="006840D6">
        <w:rPr>
          <w:spacing w:val="-3"/>
          <w:sz w:val="24"/>
          <w:szCs w:val="24"/>
        </w:rPr>
        <w:t xml:space="preserve">C-2019-3007630 </w:t>
      </w:r>
      <w:r w:rsidRPr="006840D6">
        <w:rPr>
          <w:sz w:val="24"/>
          <w:szCs w:val="24"/>
        </w:rPr>
        <w:t>dealing</w:t>
      </w:r>
      <w:r w:rsidRPr="004A0ADD">
        <w:rPr>
          <w:sz w:val="24"/>
          <w:szCs w:val="24"/>
        </w:rPr>
        <w:t xml:space="preserve"> </w:t>
      </w:r>
      <w:r w:rsidR="007A3376">
        <w:rPr>
          <w:sz w:val="24"/>
          <w:szCs w:val="24"/>
        </w:rPr>
        <w:t xml:space="preserve">with the issue of whether PECO properly transferred the tenant account to the Complainant’s account due to foreign wiring </w:t>
      </w:r>
      <w:r w:rsidR="00360E60">
        <w:rPr>
          <w:sz w:val="24"/>
          <w:szCs w:val="24"/>
        </w:rPr>
        <w:t>is dismissed</w:t>
      </w:r>
      <w:r w:rsidRPr="004A0ADD">
        <w:rPr>
          <w:sz w:val="24"/>
          <w:szCs w:val="24"/>
        </w:rPr>
        <w:t>.</w:t>
      </w:r>
    </w:p>
    <w:p w14:paraId="08FF512C" w14:textId="77777777" w:rsidR="00360E60" w:rsidRPr="00360E60" w:rsidRDefault="00360E60" w:rsidP="00252D21">
      <w:pPr>
        <w:pStyle w:val="ListParagraph"/>
        <w:spacing w:line="360" w:lineRule="auto"/>
        <w:rPr>
          <w:sz w:val="24"/>
          <w:szCs w:val="24"/>
        </w:rPr>
      </w:pPr>
    </w:p>
    <w:p w14:paraId="50BD4B51" w14:textId="06F65DFA" w:rsidR="00360E60" w:rsidRPr="00BD639E" w:rsidRDefault="00BD639E" w:rsidP="002A3995">
      <w:pPr>
        <w:pStyle w:val="ListParagraph"/>
        <w:widowControl/>
        <w:numPr>
          <w:ilvl w:val="0"/>
          <w:numId w:val="2"/>
        </w:numPr>
        <w:spacing w:line="360" w:lineRule="auto"/>
        <w:ind w:left="0" w:firstLine="1440"/>
        <w:rPr>
          <w:sz w:val="24"/>
          <w:szCs w:val="24"/>
        </w:rPr>
      </w:pPr>
      <w:r w:rsidRPr="00BD639E">
        <w:rPr>
          <w:sz w:val="24"/>
          <w:szCs w:val="24"/>
        </w:rPr>
        <w:t xml:space="preserve">That the allegations that </w:t>
      </w:r>
      <w:r w:rsidR="009C4228">
        <w:rPr>
          <w:sz w:val="24"/>
          <w:szCs w:val="24"/>
        </w:rPr>
        <w:t>there was a high bill at the Service Address and that PECO provided the Complainant with in</w:t>
      </w:r>
      <w:r w:rsidR="007F5DA6">
        <w:rPr>
          <w:sz w:val="24"/>
          <w:szCs w:val="24"/>
        </w:rPr>
        <w:t xml:space="preserve">adequate or unreasonable service </w:t>
      </w:r>
      <w:r w:rsidR="00C77E0C">
        <w:rPr>
          <w:sz w:val="24"/>
          <w:szCs w:val="24"/>
        </w:rPr>
        <w:t xml:space="preserve">related to </w:t>
      </w:r>
      <w:r w:rsidR="00405773">
        <w:rPr>
          <w:sz w:val="24"/>
          <w:szCs w:val="24"/>
        </w:rPr>
        <w:t>the Service Address should be set for hearing</w:t>
      </w:r>
      <w:r w:rsidRPr="00BD639E">
        <w:rPr>
          <w:sz w:val="24"/>
          <w:szCs w:val="24"/>
        </w:rPr>
        <w:t>.</w:t>
      </w:r>
    </w:p>
    <w:p w14:paraId="3427C5E7" w14:textId="77777777" w:rsidR="002A3995" w:rsidRDefault="002A3995" w:rsidP="002A3995">
      <w:pPr>
        <w:pStyle w:val="ListParagraph"/>
        <w:widowControl/>
        <w:spacing w:line="360" w:lineRule="auto"/>
        <w:ind w:left="1440"/>
        <w:rPr>
          <w:sz w:val="24"/>
          <w:szCs w:val="24"/>
        </w:rPr>
      </w:pPr>
    </w:p>
    <w:p w14:paraId="74E00FA6" w14:textId="7DB5DBAC" w:rsidR="002A3995" w:rsidRDefault="002A3995" w:rsidP="002A3995">
      <w:pPr>
        <w:pStyle w:val="ListParagraph"/>
        <w:widowControl/>
        <w:numPr>
          <w:ilvl w:val="0"/>
          <w:numId w:val="2"/>
        </w:numPr>
        <w:spacing w:line="360" w:lineRule="auto"/>
        <w:ind w:left="0" w:firstLine="1440"/>
        <w:rPr>
          <w:sz w:val="24"/>
          <w:szCs w:val="24"/>
        </w:rPr>
      </w:pPr>
      <w:r>
        <w:rPr>
          <w:sz w:val="24"/>
          <w:szCs w:val="24"/>
        </w:rPr>
        <w:t xml:space="preserve">That the Complaint filed in </w:t>
      </w:r>
      <w:r>
        <w:rPr>
          <w:i/>
          <w:spacing w:val="-3"/>
          <w:sz w:val="24"/>
          <w:szCs w:val="24"/>
        </w:rPr>
        <w:t>Elsie Stevens</w:t>
      </w:r>
      <w:r>
        <w:rPr>
          <w:i/>
          <w:sz w:val="24"/>
          <w:szCs w:val="24"/>
        </w:rPr>
        <w:t xml:space="preserve"> v. PECO Energy Company </w:t>
      </w:r>
      <w:r>
        <w:rPr>
          <w:sz w:val="24"/>
          <w:szCs w:val="24"/>
        </w:rPr>
        <w:t xml:space="preserve">at Docket Number </w:t>
      </w:r>
      <w:r>
        <w:rPr>
          <w:spacing w:val="-3"/>
          <w:sz w:val="24"/>
          <w:szCs w:val="24"/>
        </w:rPr>
        <w:t>C-2019-3007630 should be scheduled for hearing</w:t>
      </w:r>
      <w:r>
        <w:rPr>
          <w:sz w:val="24"/>
          <w:szCs w:val="24"/>
        </w:rPr>
        <w:t>.</w:t>
      </w:r>
    </w:p>
    <w:p w14:paraId="6FF062AB" w14:textId="74062C89" w:rsidR="002A3995" w:rsidRDefault="002A3995" w:rsidP="002A3995">
      <w:pPr>
        <w:pStyle w:val="ListParagraph"/>
        <w:widowControl/>
        <w:spacing w:line="360" w:lineRule="auto"/>
        <w:rPr>
          <w:sz w:val="24"/>
          <w:szCs w:val="24"/>
        </w:rPr>
      </w:pPr>
    </w:p>
    <w:p w14:paraId="2BE76BB2" w14:textId="77777777" w:rsidR="002A3995" w:rsidRDefault="002A3995" w:rsidP="002A3995">
      <w:pPr>
        <w:pStyle w:val="ListParagraph"/>
        <w:widowControl/>
        <w:spacing w:line="360" w:lineRule="auto"/>
        <w:rPr>
          <w:sz w:val="24"/>
          <w:szCs w:val="24"/>
        </w:rPr>
      </w:pPr>
    </w:p>
    <w:p w14:paraId="455AE9F3" w14:textId="608554B8" w:rsidR="00691063" w:rsidRPr="008A7C67" w:rsidRDefault="00691063" w:rsidP="00543B50">
      <w:pPr>
        <w:spacing w:line="240" w:lineRule="auto"/>
        <w:jc w:val="left"/>
        <w:rPr>
          <w:u w:val="single"/>
        </w:rPr>
      </w:pPr>
      <w:r>
        <w:t>Dated:</w:t>
      </w:r>
      <w:r>
        <w:tab/>
      </w:r>
      <w:r w:rsidR="008A7C67">
        <w:rPr>
          <w:u w:val="single"/>
        </w:rPr>
        <w:t>April 5, 2019</w:t>
      </w:r>
      <w:r>
        <w:tab/>
      </w:r>
      <w:r>
        <w:tab/>
      </w:r>
      <w:r>
        <w:tab/>
      </w:r>
      <w:r>
        <w:tab/>
      </w:r>
      <w:r w:rsidR="008A7C67">
        <w:rPr>
          <w:u w:val="single"/>
        </w:rPr>
        <w:tab/>
      </w:r>
      <w:r w:rsidR="008A7C67">
        <w:rPr>
          <w:u w:val="single"/>
        </w:rPr>
        <w:tab/>
        <w:t>/s/</w:t>
      </w:r>
      <w:r w:rsidR="008A7C67">
        <w:rPr>
          <w:u w:val="single"/>
        </w:rPr>
        <w:tab/>
      </w:r>
      <w:r w:rsidR="008A7C67">
        <w:rPr>
          <w:u w:val="single"/>
        </w:rPr>
        <w:tab/>
      </w:r>
      <w:r w:rsidR="008A7C67">
        <w:rPr>
          <w:u w:val="single"/>
        </w:rPr>
        <w:tab/>
      </w:r>
    </w:p>
    <w:p w14:paraId="4BCDE78B" w14:textId="56035532" w:rsidR="00691063" w:rsidRDefault="00691063" w:rsidP="00543B50">
      <w:pPr>
        <w:spacing w:line="240" w:lineRule="auto"/>
        <w:jc w:val="left"/>
      </w:pPr>
      <w:r>
        <w:tab/>
      </w:r>
      <w:r>
        <w:tab/>
      </w:r>
      <w:r>
        <w:tab/>
      </w:r>
      <w:r>
        <w:tab/>
      </w:r>
      <w:r>
        <w:tab/>
      </w:r>
      <w:r>
        <w:tab/>
        <w:t>Marta Guhl</w:t>
      </w:r>
    </w:p>
    <w:p w14:paraId="35389849" w14:textId="58E832DC" w:rsidR="00691063" w:rsidRDefault="00691063" w:rsidP="00543B50">
      <w:pPr>
        <w:spacing w:line="240" w:lineRule="auto"/>
        <w:jc w:val="left"/>
      </w:pPr>
      <w:r>
        <w:tab/>
      </w:r>
      <w:r>
        <w:tab/>
      </w:r>
      <w:r>
        <w:tab/>
      </w:r>
      <w:r>
        <w:tab/>
      </w:r>
      <w:r>
        <w:tab/>
      </w:r>
      <w:r>
        <w:tab/>
        <w:t>Administrative Law Judge</w:t>
      </w:r>
    </w:p>
    <w:p w14:paraId="5CF5D6B8" w14:textId="77777777" w:rsidR="00691063" w:rsidRDefault="00691063" w:rsidP="00543B50">
      <w:pPr>
        <w:spacing w:line="240" w:lineRule="auto"/>
        <w:jc w:val="left"/>
      </w:pPr>
    </w:p>
    <w:p w14:paraId="75C9A4ED" w14:textId="728F2CAA" w:rsidR="008A7C67" w:rsidRDefault="008A7C67">
      <w:pPr>
        <w:spacing w:after="200" w:line="276" w:lineRule="auto"/>
        <w:jc w:val="left"/>
      </w:pPr>
      <w:r>
        <w:br w:type="page"/>
      </w:r>
    </w:p>
    <w:p w14:paraId="28F00591" w14:textId="77777777" w:rsidR="008A7C67" w:rsidRPr="00145E3E" w:rsidRDefault="008A7C67" w:rsidP="00543B50">
      <w:pPr>
        <w:spacing w:line="240" w:lineRule="auto"/>
        <w:jc w:val="left"/>
        <w:rPr>
          <w:rFonts w:eastAsia="Microsoft Sans Serif"/>
        </w:rPr>
      </w:pPr>
      <w:r w:rsidRPr="00145E3E">
        <w:rPr>
          <w:rFonts w:eastAsia="Microsoft Sans Serif"/>
          <w:b/>
          <w:u w:val="single"/>
        </w:rPr>
        <w:lastRenderedPageBreak/>
        <w:t>C-2019-3007630 - ELSIE STEVENS v. PECO ENERGY COMPANY</w:t>
      </w:r>
      <w:r w:rsidRPr="00145E3E">
        <w:rPr>
          <w:rFonts w:eastAsia="Microsoft Sans Serif"/>
          <w:b/>
          <w:u w:val="single"/>
        </w:rPr>
        <w:cr/>
      </w:r>
      <w:r w:rsidRPr="0059388C">
        <w:rPr>
          <w:rFonts w:eastAsia="Microsoft Sans Serif"/>
          <w:u w:val="single"/>
        </w:rPr>
        <w:cr/>
      </w:r>
      <w:bookmarkStart w:id="1" w:name="_Hlk5374542"/>
      <w:r w:rsidRPr="00145E3E">
        <w:rPr>
          <w:rFonts w:eastAsia="Microsoft Sans Serif"/>
        </w:rPr>
        <w:t>ELSIE STEVENS</w:t>
      </w:r>
      <w:r w:rsidRPr="00145E3E">
        <w:rPr>
          <w:rFonts w:eastAsia="Microsoft Sans Serif"/>
        </w:rPr>
        <w:cr/>
        <w:t>2733 AXE FACTORY RD</w:t>
      </w:r>
      <w:r w:rsidRPr="00145E3E">
        <w:rPr>
          <w:rFonts w:eastAsia="Microsoft Sans Serif"/>
        </w:rPr>
        <w:cr/>
        <w:t>PHILADELPHIA PA  19152</w:t>
      </w:r>
      <w:bookmarkEnd w:id="1"/>
      <w:r w:rsidRPr="00145E3E">
        <w:rPr>
          <w:rFonts w:eastAsia="Microsoft Sans Serif"/>
        </w:rPr>
        <w:cr/>
      </w:r>
      <w:r w:rsidRPr="00145E3E">
        <w:rPr>
          <w:rFonts w:eastAsia="Microsoft Sans Serif"/>
          <w:b/>
        </w:rPr>
        <w:t>215.671.9829</w:t>
      </w:r>
      <w:r w:rsidRPr="00145E3E">
        <w:rPr>
          <w:rFonts w:eastAsia="Microsoft Sans Serif"/>
        </w:rPr>
        <w:cr/>
      </w:r>
      <w:bookmarkStart w:id="2" w:name="_GoBack"/>
      <w:bookmarkEnd w:id="2"/>
    </w:p>
    <w:p w14:paraId="1B124A3E" w14:textId="77777777" w:rsidR="008A7C67" w:rsidRPr="00145E3E" w:rsidRDefault="008A7C67" w:rsidP="00543B50">
      <w:pPr>
        <w:spacing w:line="240" w:lineRule="auto"/>
        <w:jc w:val="left"/>
        <w:rPr>
          <w:rFonts w:eastAsia="Microsoft Sans Serif"/>
          <w:b/>
        </w:rPr>
      </w:pPr>
      <w:r w:rsidRPr="00145E3E">
        <w:rPr>
          <w:rFonts w:eastAsia="Microsoft Sans Serif"/>
        </w:rPr>
        <w:t>SHAWANE L LEE ESQUIRE</w:t>
      </w:r>
      <w:r w:rsidRPr="00145E3E">
        <w:rPr>
          <w:rFonts w:eastAsia="Microsoft Sans Serif"/>
        </w:rPr>
        <w:cr/>
        <w:t>EXELON BUSINESS SERVICES</w:t>
      </w:r>
      <w:r w:rsidRPr="00145E3E">
        <w:rPr>
          <w:rFonts w:eastAsia="Microsoft Sans Serif"/>
        </w:rPr>
        <w:cr/>
        <w:t xml:space="preserve">LEGAL DEPT S23-1 </w:t>
      </w:r>
      <w:r w:rsidRPr="00145E3E">
        <w:rPr>
          <w:rFonts w:eastAsia="Microsoft Sans Serif"/>
        </w:rPr>
        <w:cr/>
        <w:t>2301 MARKET STREET</w:t>
      </w:r>
      <w:r w:rsidRPr="00145E3E">
        <w:rPr>
          <w:rFonts w:eastAsia="Microsoft Sans Serif"/>
        </w:rPr>
        <w:cr/>
        <w:t>PHILADELPHIA PA  19101</w:t>
      </w:r>
      <w:r w:rsidRPr="00145E3E">
        <w:rPr>
          <w:rFonts w:eastAsia="Microsoft Sans Serif"/>
        </w:rPr>
        <w:cr/>
      </w:r>
      <w:r w:rsidRPr="00145E3E">
        <w:rPr>
          <w:rFonts w:eastAsia="Microsoft Sans Serif"/>
          <w:b/>
        </w:rPr>
        <w:t>215.841.6841</w:t>
      </w:r>
      <w:r w:rsidRPr="00145E3E">
        <w:rPr>
          <w:rFonts w:eastAsia="Microsoft Sans Serif"/>
          <w:b/>
        </w:rPr>
        <w:cr/>
      </w:r>
      <w:r w:rsidRPr="00145E3E">
        <w:rPr>
          <w:rFonts w:eastAsia="Microsoft Sans Serif"/>
          <w:b/>
          <w:i/>
        </w:rPr>
        <w:t>Accept eService</w:t>
      </w:r>
    </w:p>
    <w:p w14:paraId="79B17C07" w14:textId="77777777" w:rsidR="00691063" w:rsidRDefault="00691063" w:rsidP="008A7C67">
      <w:pPr>
        <w:jc w:val="left"/>
      </w:pPr>
    </w:p>
    <w:sectPr w:rsidR="00691063" w:rsidSect="00A4320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95A7C" w14:textId="77777777" w:rsidR="00046419" w:rsidRDefault="00046419" w:rsidP="00691063">
      <w:pPr>
        <w:spacing w:line="240" w:lineRule="auto"/>
      </w:pPr>
      <w:r>
        <w:separator/>
      </w:r>
    </w:p>
  </w:endnote>
  <w:endnote w:type="continuationSeparator" w:id="0">
    <w:p w14:paraId="20E15F74" w14:textId="77777777" w:rsidR="00046419" w:rsidRDefault="00046419" w:rsidP="006910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527AD" w14:textId="77777777" w:rsidR="00A4320B" w:rsidRPr="00A4320B" w:rsidRDefault="00A4320B">
    <w:pPr>
      <w:pStyle w:val="Footer"/>
      <w:tabs>
        <w:tab w:val="clear" w:pos="4680"/>
        <w:tab w:val="clear" w:pos="9360"/>
      </w:tabs>
      <w:rPr>
        <w:caps/>
        <w:noProof/>
        <w:sz w:val="20"/>
        <w:szCs w:val="20"/>
      </w:rPr>
    </w:pPr>
    <w:r w:rsidRPr="00A4320B">
      <w:rPr>
        <w:caps/>
        <w:sz w:val="20"/>
        <w:szCs w:val="20"/>
      </w:rPr>
      <w:fldChar w:fldCharType="begin"/>
    </w:r>
    <w:r w:rsidRPr="00A4320B">
      <w:rPr>
        <w:caps/>
        <w:sz w:val="20"/>
        <w:szCs w:val="20"/>
      </w:rPr>
      <w:instrText xml:space="preserve"> PAGE   \* MERGEFORMAT </w:instrText>
    </w:r>
    <w:r w:rsidRPr="00A4320B">
      <w:rPr>
        <w:caps/>
        <w:sz w:val="20"/>
        <w:szCs w:val="20"/>
      </w:rPr>
      <w:fldChar w:fldCharType="separate"/>
    </w:r>
    <w:r w:rsidRPr="00A4320B">
      <w:rPr>
        <w:caps/>
        <w:noProof/>
        <w:sz w:val="20"/>
        <w:szCs w:val="20"/>
      </w:rPr>
      <w:t>2</w:t>
    </w:r>
    <w:r w:rsidRPr="00A4320B">
      <w:rPr>
        <w:caps/>
        <w:noProof/>
        <w:sz w:val="20"/>
        <w:szCs w:val="20"/>
      </w:rPr>
      <w:fldChar w:fldCharType="end"/>
    </w:r>
  </w:p>
  <w:p w14:paraId="0A5957EE" w14:textId="01B2A373" w:rsidR="007F091F" w:rsidRPr="007F091F" w:rsidRDefault="007F091F">
    <w:pPr>
      <w:pStyle w:val="Footer"/>
      <w:tabs>
        <w:tab w:val="clear" w:pos="4680"/>
        <w:tab w:val="clear" w:pos="9360"/>
      </w:tabs>
      <w:rPr>
        <w:caps/>
        <w:noProo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32F8F" w14:textId="77777777" w:rsidR="00046419" w:rsidRDefault="00046419" w:rsidP="00691063">
      <w:pPr>
        <w:spacing w:line="240" w:lineRule="auto"/>
      </w:pPr>
      <w:r>
        <w:separator/>
      </w:r>
    </w:p>
  </w:footnote>
  <w:footnote w:type="continuationSeparator" w:id="0">
    <w:p w14:paraId="39DD5926" w14:textId="77777777" w:rsidR="00046419" w:rsidRDefault="00046419" w:rsidP="0069106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AD6348"/>
    <w:multiLevelType w:val="hybridMultilevel"/>
    <w:tmpl w:val="37FC517E"/>
    <w:lvl w:ilvl="0" w:tplc="7B12EA56">
      <w:start w:val="4"/>
      <w:numFmt w:val="decimal"/>
      <w:lvlText w:val="%1."/>
      <w:lvlJc w:val="left"/>
      <w:pPr>
        <w:ind w:left="18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933606"/>
    <w:multiLevelType w:val="hybridMultilevel"/>
    <w:tmpl w:val="D3AC2C44"/>
    <w:lvl w:ilvl="0" w:tplc="F850A142">
      <w:start w:val="1"/>
      <w:numFmt w:val="decimal"/>
      <w:lvlText w:val="%1."/>
      <w:lvlJc w:val="left"/>
      <w:pPr>
        <w:ind w:left="1828" w:hanging="360"/>
      </w:pPr>
    </w:lvl>
    <w:lvl w:ilvl="1" w:tplc="04090019">
      <w:start w:val="1"/>
      <w:numFmt w:val="lowerLetter"/>
      <w:lvlText w:val="%2."/>
      <w:lvlJc w:val="left"/>
      <w:pPr>
        <w:ind w:left="2548" w:hanging="360"/>
      </w:pPr>
    </w:lvl>
    <w:lvl w:ilvl="2" w:tplc="0409001B">
      <w:start w:val="1"/>
      <w:numFmt w:val="lowerRoman"/>
      <w:lvlText w:val="%3."/>
      <w:lvlJc w:val="right"/>
      <w:pPr>
        <w:ind w:left="3268" w:hanging="180"/>
      </w:pPr>
    </w:lvl>
    <w:lvl w:ilvl="3" w:tplc="0409000F">
      <w:start w:val="1"/>
      <w:numFmt w:val="decimal"/>
      <w:lvlText w:val="%4."/>
      <w:lvlJc w:val="left"/>
      <w:pPr>
        <w:ind w:left="3988" w:hanging="360"/>
      </w:pPr>
    </w:lvl>
    <w:lvl w:ilvl="4" w:tplc="04090019">
      <w:start w:val="1"/>
      <w:numFmt w:val="lowerLetter"/>
      <w:lvlText w:val="%5."/>
      <w:lvlJc w:val="left"/>
      <w:pPr>
        <w:ind w:left="4708" w:hanging="360"/>
      </w:pPr>
    </w:lvl>
    <w:lvl w:ilvl="5" w:tplc="0409001B">
      <w:start w:val="1"/>
      <w:numFmt w:val="lowerRoman"/>
      <w:lvlText w:val="%6."/>
      <w:lvlJc w:val="right"/>
      <w:pPr>
        <w:ind w:left="5428" w:hanging="180"/>
      </w:pPr>
    </w:lvl>
    <w:lvl w:ilvl="6" w:tplc="0409000F">
      <w:start w:val="1"/>
      <w:numFmt w:val="decimal"/>
      <w:lvlText w:val="%7."/>
      <w:lvlJc w:val="left"/>
      <w:pPr>
        <w:ind w:left="6148" w:hanging="360"/>
      </w:pPr>
    </w:lvl>
    <w:lvl w:ilvl="7" w:tplc="04090019">
      <w:start w:val="1"/>
      <w:numFmt w:val="lowerLetter"/>
      <w:lvlText w:val="%8."/>
      <w:lvlJc w:val="left"/>
      <w:pPr>
        <w:ind w:left="6868" w:hanging="360"/>
      </w:pPr>
    </w:lvl>
    <w:lvl w:ilvl="8" w:tplc="0409001B">
      <w:start w:val="1"/>
      <w:numFmt w:val="lowerRoman"/>
      <w:lvlText w:val="%9."/>
      <w:lvlJc w:val="right"/>
      <w:pPr>
        <w:ind w:left="7588" w:hanging="180"/>
      </w:pPr>
    </w:lvl>
  </w:abstractNum>
  <w:abstractNum w:abstractNumId="2" w15:restartNumberingAfterBreak="0">
    <w:nsid w:val="42B86131"/>
    <w:multiLevelType w:val="hybridMultilevel"/>
    <w:tmpl w:val="22A44BB6"/>
    <w:lvl w:ilvl="0" w:tplc="11A083AE">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063"/>
    <w:rsid w:val="00046419"/>
    <w:rsid w:val="000B67E7"/>
    <w:rsid w:val="00174D98"/>
    <w:rsid w:val="002025BF"/>
    <w:rsid w:val="00246428"/>
    <w:rsid w:val="00252D21"/>
    <w:rsid w:val="002A03F4"/>
    <w:rsid w:val="002A3995"/>
    <w:rsid w:val="002E54C6"/>
    <w:rsid w:val="003371B2"/>
    <w:rsid w:val="00360E60"/>
    <w:rsid w:val="003A117F"/>
    <w:rsid w:val="003B6687"/>
    <w:rsid w:val="003E10E2"/>
    <w:rsid w:val="003F5219"/>
    <w:rsid w:val="003F7889"/>
    <w:rsid w:val="00405773"/>
    <w:rsid w:val="004303A1"/>
    <w:rsid w:val="00433D7D"/>
    <w:rsid w:val="004A0ADD"/>
    <w:rsid w:val="004B52F3"/>
    <w:rsid w:val="00543B50"/>
    <w:rsid w:val="0059388C"/>
    <w:rsid w:val="005A31D2"/>
    <w:rsid w:val="005E57AE"/>
    <w:rsid w:val="00662214"/>
    <w:rsid w:val="00674DF6"/>
    <w:rsid w:val="00681CD5"/>
    <w:rsid w:val="006840D6"/>
    <w:rsid w:val="00691063"/>
    <w:rsid w:val="006956FD"/>
    <w:rsid w:val="006F669C"/>
    <w:rsid w:val="00750385"/>
    <w:rsid w:val="00781209"/>
    <w:rsid w:val="007A3376"/>
    <w:rsid w:val="007F091F"/>
    <w:rsid w:val="007F3066"/>
    <w:rsid w:val="007F5DA6"/>
    <w:rsid w:val="00835945"/>
    <w:rsid w:val="00864597"/>
    <w:rsid w:val="00874E7A"/>
    <w:rsid w:val="008878C9"/>
    <w:rsid w:val="008A7C67"/>
    <w:rsid w:val="00925A35"/>
    <w:rsid w:val="0098772B"/>
    <w:rsid w:val="009C4228"/>
    <w:rsid w:val="00A4320B"/>
    <w:rsid w:val="00A966E6"/>
    <w:rsid w:val="00B733F5"/>
    <w:rsid w:val="00B868B8"/>
    <w:rsid w:val="00BD639E"/>
    <w:rsid w:val="00BD6D4C"/>
    <w:rsid w:val="00C63F01"/>
    <w:rsid w:val="00C77E0C"/>
    <w:rsid w:val="00C91A02"/>
    <w:rsid w:val="00D57D3B"/>
    <w:rsid w:val="00DA18D8"/>
    <w:rsid w:val="00DC5B1B"/>
    <w:rsid w:val="00DC5FC3"/>
    <w:rsid w:val="00E62129"/>
    <w:rsid w:val="00ED116B"/>
    <w:rsid w:val="00F6028D"/>
    <w:rsid w:val="00FB2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F906F"/>
  <w15:chartTrackingRefBased/>
  <w15:docId w15:val="{824BEFC7-CC04-47D7-A2ED-89D26AC8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063"/>
    <w:pPr>
      <w:spacing w:after="0" w:line="360" w:lineRule="auto"/>
      <w:jc w:val="center"/>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691063"/>
    <w:pPr>
      <w:autoSpaceDE w:val="0"/>
      <w:autoSpaceDN w:val="0"/>
      <w:spacing w:line="240" w:lineRule="auto"/>
      <w:jc w:val="left"/>
    </w:pPr>
    <w:rPr>
      <w:rFonts w:eastAsia="Times New Roman"/>
    </w:rPr>
  </w:style>
  <w:style w:type="character" w:customStyle="1" w:styleId="FootnoteTextChar">
    <w:name w:val="Footnote Text Char"/>
    <w:basedOn w:val="DefaultParagraphFont"/>
    <w:link w:val="FootnoteText"/>
    <w:semiHidden/>
    <w:rsid w:val="00691063"/>
    <w:rPr>
      <w:rFonts w:ascii="Times New Roman" w:eastAsia="Times New Roman" w:hAnsi="Times New Roman" w:cs="Times New Roman"/>
      <w:sz w:val="24"/>
      <w:szCs w:val="24"/>
    </w:rPr>
  </w:style>
  <w:style w:type="paragraph" w:customStyle="1" w:styleId="p5">
    <w:name w:val="p5"/>
    <w:basedOn w:val="Normal"/>
    <w:rsid w:val="00691063"/>
    <w:pPr>
      <w:widowControl w:val="0"/>
      <w:tabs>
        <w:tab w:val="left" w:pos="1468"/>
      </w:tabs>
      <w:autoSpaceDE w:val="0"/>
      <w:autoSpaceDN w:val="0"/>
      <w:adjustRightInd w:val="0"/>
      <w:spacing w:line="240" w:lineRule="auto"/>
      <w:ind w:firstLine="1468"/>
      <w:jc w:val="left"/>
    </w:pPr>
    <w:rPr>
      <w:rFonts w:eastAsia="Times New Roman"/>
    </w:rPr>
  </w:style>
  <w:style w:type="paragraph" w:customStyle="1" w:styleId="p6">
    <w:name w:val="p6"/>
    <w:basedOn w:val="Normal"/>
    <w:rsid w:val="00691063"/>
    <w:pPr>
      <w:widowControl w:val="0"/>
      <w:tabs>
        <w:tab w:val="left" w:pos="459"/>
      </w:tabs>
      <w:autoSpaceDE w:val="0"/>
      <w:autoSpaceDN w:val="0"/>
      <w:adjustRightInd w:val="0"/>
      <w:spacing w:line="240" w:lineRule="auto"/>
      <w:ind w:left="981"/>
      <w:jc w:val="left"/>
    </w:pPr>
    <w:rPr>
      <w:rFonts w:eastAsia="Times New Roman"/>
    </w:rPr>
  </w:style>
  <w:style w:type="paragraph" w:customStyle="1" w:styleId="p7">
    <w:name w:val="p7"/>
    <w:basedOn w:val="Normal"/>
    <w:rsid w:val="00691063"/>
    <w:pPr>
      <w:widowControl w:val="0"/>
      <w:tabs>
        <w:tab w:val="left" w:pos="4711"/>
      </w:tabs>
      <w:autoSpaceDE w:val="0"/>
      <w:autoSpaceDN w:val="0"/>
      <w:adjustRightInd w:val="0"/>
      <w:spacing w:line="240" w:lineRule="auto"/>
      <w:ind w:left="3271" w:hanging="4711"/>
      <w:jc w:val="left"/>
    </w:pPr>
    <w:rPr>
      <w:rFonts w:eastAsia="Times New Roman"/>
    </w:rPr>
  </w:style>
  <w:style w:type="character" w:styleId="FootnoteReference">
    <w:name w:val="footnote reference"/>
    <w:basedOn w:val="DefaultParagraphFont"/>
    <w:semiHidden/>
    <w:unhideWhenUsed/>
    <w:rsid w:val="00691063"/>
    <w:rPr>
      <w:vertAlign w:val="superscript"/>
    </w:rPr>
  </w:style>
  <w:style w:type="character" w:customStyle="1" w:styleId="NoSpacingChar">
    <w:name w:val="No Spacing Char"/>
    <w:link w:val="NoSpacing"/>
    <w:uiPriority w:val="1"/>
    <w:locked/>
    <w:rsid w:val="003A117F"/>
    <w:rPr>
      <w:rFonts w:ascii="Times New Roman" w:hAnsi="Times New Roman" w:cs="Times New Roman"/>
      <w:sz w:val="24"/>
      <w:szCs w:val="24"/>
    </w:rPr>
  </w:style>
  <w:style w:type="paragraph" w:styleId="NoSpacing">
    <w:name w:val="No Spacing"/>
    <w:link w:val="NoSpacingChar"/>
    <w:uiPriority w:val="1"/>
    <w:qFormat/>
    <w:rsid w:val="003A117F"/>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A3995"/>
    <w:pPr>
      <w:widowControl w:val="0"/>
      <w:spacing w:line="240" w:lineRule="auto"/>
      <w:ind w:left="720"/>
      <w:contextualSpacing/>
      <w:jc w:val="left"/>
    </w:pPr>
    <w:rPr>
      <w:rFonts w:eastAsia="Times New Roman"/>
      <w:sz w:val="20"/>
      <w:szCs w:val="20"/>
    </w:rPr>
  </w:style>
  <w:style w:type="paragraph" w:customStyle="1" w:styleId="Style">
    <w:name w:val="Style"/>
    <w:rsid w:val="00925A3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091F"/>
    <w:pPr>
      <w:tabs>
        <w:tab w:val="center" w:pos="4680"/>
        <w:tab w:val="right" w:pos="9360"/>
      </w:tabs>
      <w:spacing w:line="240" w:lineRule="auto"/>
    </w:pPr>
  </w:style>
  <w:style w:type="character" w:customStyle="1" w:styleId="HeaderChar">
    <w:name w:val="Header Char"/>
    <w:basedOn w:val="DefaultParagraphFont"/>
    <w:link w:val="Header"/>
    <w:uiPriority w:val="99"/>
    <w:rsid w:val="007F091F"/>
    <w:rPr>
      <w:rFonts w:ascii="Times New Roman" w:hAnsi="Times New Roman" w:cs="Times New Roman"/>
      <w:sz w:val="24"/>
      <w:szCs w:val="24"/>
    </w:rPr>
  </w:style>
  <w:style w:type="paragraph" w:styleId="Footer">
    <w:name w:val="footer"/>
    <w:basedOn w:val="Normal"/>
    <w:link w:val="FooterChar"/>
    <w:uiPriority w:val="99"/>
    <w:unhideWhenUsed/>
    <w:rsid w:val="007F091F"/>
    <w:pPr>
      <w:tabs>
        <w:tab w:val="center" w:pos="4680"/>
        <w:tab w:val="right" w:pos="9360"/>
      </w:tabs>
      <w:spacing w:line="240" w:lineRule="auto"/>
    </w:pPr>
  </w:style>
  <w:style w:type="character" w:customStyle="1" w:styleId="FooterChar">
    <w:name w:val="Footer Char"/>
    <w:basedOn w:val="DefaultParagraphFont"/>
    <w:link w:val="Footer"/>
    <w:uiPriority w:val="99"/>
    <w:rsid w:val="007F091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74D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D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148109">
      <w:bodyDiv w:val="1"/>
      <w:marLeft w:val="0"/>
      <w:marRight w:val="0"/>
      <w:marTop w:val="0"/>
      <w:marBottom w:val="0"/>
      <w:divBdr>
        <w:top w:val="none" w:sz="0" w:space="0" w:color="auto"/>
        <w:left w:val="none" w:sz="0" w:space="0" w:color="auto"/>
        <w:bottom w:val="none" w:sz="0" w:space="0" w:color="auto"/>
        <w:right w:val="none" w:sz="0" w:space="0" w:color="auto"/>
      </w:divBdr>
    </w:div>
    <w:div w:id="510409607">
      <w:bodyDiv w:val="1"/>
      <w:marLeft w:val="0"/>
      <w:marRight w:val="0"/>
      <w:marTop w:val="0"/>
      <w:marBottom w:val="0"/>
      <w:divBdr>
        <w:top w:val="none" w:sz="0" w:space="0" w:color="auto"/>
        <w:left w:val="none" w:sz="0" w:space="0" w:color="auto"/>
        <w:bottom w:val="none" w:sz="0" w:space="0" w:color="auto"/>
        <w:right w:val="none" w:sz="0" w:space="0" w:color="auto"/>
      </w:divBdr>
    </w:div>
    <w:div w:id="697777756">
      <w:bodyDiv w:val="1"/>
      <w:marLeft w:val="0"/>
      <w:marRight w:val="0"/>
      <w:marTop w:val="0"/>
      <w:marBottom w:val="0"/>
      <w:divBdr>
        <w:top w:val="none" w:sz="0" w:space="0" w:color="auto"/>
        <w:left w:val="none" w:sz="0" w:space="0" w:color="auto"/>
        <w:bottom w:val="none" w:sz="0" w:space="0" w:color="auto"/>
        <w:right w:val="none" w:sz="0" w:space="0" w:color="auto"/>
      </w:divBdr>
    </w:div>
    <w:div w:id="812331473">
      <w:bodyDiv w:val="1"/>
      <w:marLeft w:val="0"/>
      <w:marRight w:val="0"/>
      <w:marTop w:val="0"/>
      <w:marBottom w:val="0"/>
      <w:divBdr>
        <w:top w:val="none" w:sz="0" w:space="0" w:color="auto"/>
        <w:left w:val="none" w:sz="0" w:space="0" w:color="auto"/>
        <w:bottom w:val="none" w:sz="0" w:space="0" w:color="auto"/>
        <w:right w:val="none" w:sz="0" w:space="0" w:color="auto"/>
      </w:divBdr>
    </w:div>
    <w:div w:id="1186943348">
      <w:bodyDiv w:val="1"/>
      <w:marLeft w:val="0"/>
      <w:marRight w:val="0"/>
      <w:marTop w:val="0"/>
      <w:marBottom w:val="0"/>
      <w:divBdr>
        <w:top w:val="none" w:sz="0" w:space="0" w:color="auto"/>
        <w:left w:val="none" w:sz="0" w:space="0" w:color="auto"/>
        <w:bottom w:val="none" w:sz="0" w:space="0" w:color="auto"/>
        <w:right w:val="none" w:sz="0" w:space="0" w:color="auto"/>
      </w:divBdr>
    </w:div>
    <w:div w:id="1276404959">
      <w:bodyDiv w:val="1"/>
      <w:marLeft w:val="0"/>
      <w:marRight w:val="0"/>
      <w:marTop w:val="0"/>
      <w:marBottom w:val="0"/>
      <w:divBdr>
        <w:top w:val="none" w:sz="0" w:space="0" w:color="auto"/>
        <w:left w:val="none" w:sz="0" w:space="0" w:color="auto"/>
        <w:bottom w:val="none" w:sz="0" w:space="0" w:color="auto"/>
        <w:right w:val="none" w:sz="0" w:space="0" w:color="auto"/>
      </w:divBdr>
    </w:div>
    <w:div w:id="1621061007">
      <w:bodyDiv w:val="1"/>
      <w:marLeft w:val="0"/>
      <w:marRight w:val="0"/>
      <w:marTop w:val="0"/>
      <w:marBottom w:val="0"/>
      <w:divBdr>
        <w:top w:val="none" w:sz="0" w:space="0" w:color="auto"/>
        <w:left w:val="none" w:sz="0" w:space="0" w:color="auto"/>
        <w:bottom w:val="none" w:sz="0" w:space="0" w:color="auto"/>
        <w:right w:val="none" w:sz="0" w:space="0" w:color="auto"/>
      </w:divBdr>
    </w:div>
    <w:div w:id="178680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9</Pages>
  <Words>2203</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Harvell, Diane</cp:lastModifiedBy>
  <cp:revision>34</cp:revision>
  <cp:lastPrinted>2019-04-05T20:39:00Z</cp:lastPrinted>
  <dcterms:created xsi:type="dcterms:W3CDTF">2019-04-05T19:59:00Z</dcterms:created>
  <dcterms:modified xsi:type="dcterms:W3CDTF">2019-04-05T20:40:00Z</dcterms:modified>
</cp:coreProperties>
</file>