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00D8F" w14:textId="77777777" w:rsidR="005D711E" w:rsidRPr="00925F30" w:rsidRDefault="005D711E">
      <w:pPr>
        <w:rPr>
          <w:b/>
        </w:rPr>
      </w:pPr>
    </w:p>
    <w:p w14:paraId="556513F8" w14:textId="77777777" w:rsidR="005D711E" w:rsidRDefault="005D711E">
      <w:pPr>
        <w:rPr>
          <w:b/>
        </w:rPr>
      </w:pPr>
    </w:p>
    <w:p w14:paraId="21BBF606" w14:textId="77777777" w:rsidR="004B4861" w:rsidRDefault="004B4861">
      <w:pPr>
        <w:pStyle w:val="Heading8"/>
        <w:ind w:left="270"/>
        <w:jc w:val="center"/>
        <w:rPr>
          <w:sz w:val="32"/>
          <w:szCs w:val="32"/>
        </w:rPr>
      </w:pPr>
    </w:p>
    <w:p w14:paraId="42DA115B" w14:textId="77777777" w:rsidR="004B4861" w:rsidRDefault="004B4861">
      <w:pPr>
        <w:pStyle w:val="Heading8"/>
        <w:ind w:left="270"/>
        <w:jc w:val="center"/>
        <w:rPr>
          <w:sz w:val="32"/>
          <w:szCs w:val="32"/>
        </w:rPr>
      </w:pPr>
    </w:p>
    <w:p w14:paraId="516CA66B" w14:textId="77777777" w:rsidR="006D7B1B" w:rsidRDefault="006D7B1B" w:rsidP="001032C8">
      <w:pPr>
        <w:jc w:val="center"/>
        <w:rPr>
          <w:rFonts w:ascii="Arial" w:hAnsi="Arial" w:cs="Arial"/>
          <w:b/>
          <w:sz w:val="40"/>
          <w:szCs w:val="24"/>
        </w:rPr>
      </w:pPr>
    </w:p>
    <w:p w14:paraId="50394072" w14:textId="77777777" w:rsidR="001032C8" w:rsidRPr="006D7B1B" w:rsidRDefault="00834DF8" w:rsidP="001032C8">
      <w:pPr>
        <w:jc w:val="center"/>
        <w:rPr>
          <w:rFonts w:ascii="Arial" w:hAnsi="Arial" w:cs="Arial"/>
          <w:b/>
          <w:sz w:val="36"/>
          <w:szCs w:val="36"/>
        </w:rPr>
      </w:pPr>
      <w:r w:rsidRPr="006D7B1B">
        <w:rPr>
          <w:rFonts w:ascii="Arial" w:hAnsi="Arial" w:cs="Arial"/>
          <w:b/>
          <w:sz w:val="36"/>
          <w:szCs w:val="36"/>
        </w:rPr>
        <w:t>PECO ENERGY COMPANY</w:t>
      </w:r>
    </w:p>
    <w:p w14:paraId="3F6A2CA2" w14:textId="77777777" w:rsidR="005D711E" w:rsidRPr="00BE0936" w:rsidRDefault="005D711E" w:rsidP="007B2F04">
      <w:pPr>
        <w:pStyle w:val="Heading8"/>
        <w:jc w:val="center"/>
        <w:rPr>
          <w:rFonts w:ascii="Arial" w:hAnsi="Arial" w:cs="Arial"/>
          <w:sz w:val="24"/>
          <w:szCs w:val="24"/>
        </w:rPr>
      </w:pPr>
    </w:p>
    <w:p w14:paraId="673F06CF" w14:textId="77777777" w:rsidR="005D711E" w:rsidRPr="00BE0936" w:rsidRDefault="005D711E" w:rsidP="007B2F04">
      <w:pPr>
        <w:pStyle w:val="BodyText2"/>
        <w:rPr>
          <w:rFonts w:ascii="Arial" w:hAnsi="Arial" w:cs="Arial"/>
          <w:sz w:val="24"/>
          <w:szCs w:val="24"/>
        </w:rPr>
      </w:pPr>
    </w:p>
    <w:p w14:paraId="77F529BC" w14:textId="77777777" w:rsidR="004B4861" w:rsidRDefault="004B4861" w:rsidP="007B2F04">
      <w:pPr>
        <w:pStyle w:val="BodyText2"/>
        <w:tabs>
          <w:tab w:val="clear" w:pos="4680"/>
        </w:tabs>
        <w:rPr>
          <w:rFonts w:ascii="Arial" w:hAnsi="Arial" w:cs="Arial"/>
          <w:sz w:val="24"/>
          <w:szCs w:val="24"/>
        </w:rPr>
      </w:pPr>
    </w:p>
    <w:p w14:paraId="134EF8C7" w14:textId="177F2735" w:rsidR="00BE0936" w:rsidRDefault="00BE0936" w:rsidP="007B2F04">
      <w:pPr>
        <w:pStyle w:val="BodyText2"/>
        <w:tabs>
          <w:tab w:val="clear" w:pos="4680"/>
        </w:tabs>
        <w:rPr>
          <w:rFonts w:ascii="Arial" w:hAnsi="Arial" w:cs="Arial"/>
          <w:sz w:val="24"/>
          <w:szCs w:val="24"/>
        </w:rPr>
      </w:pPr>
    </w:p>
    <w:p w14:paraId="040FEC0E" w14:textId="71DF99B8" w:rsidR="00CC15F2" w:rsidRDefault="00CC15F2" w:rsidP="007B2F04">
      <w:pPr>
        <w:pStyle w:val="BodyText2"/>
        <w:tabs>
          <w:tab w:val="clear" w:pos="4680"/>
        </w:tabs>
        <w:rPr>
          <w:rFonts w:ascii="Arial" w:hAnsi="Arial" w:cs="Arial"/>
          <w:sz w:val="24"/>
          <w:szCs w:val="24"/>
        </w:rPr>
      </w:pPr>
    </w:p>
    <w:p w14:paraId="2A19105F" w14:textId="1E95CEFA" w:rsidR="00CC15F2" w:rsidRDefault="00CC15F2" w:rsidP="007B2F04">
      <w:pPr>
        <w:pStyle w:val="BodyText2"/>
        <w:tabs>
          <w:tab w:val="clear" w:pos="4680"/>
        </w:tabs>
        <w:rPr>
          <w:rFonts w:ascii="Arial" w:hAnsi="Arial" w:cs="Arial"/>
          <w:sz w:val="24"/>
          <w:szCs w:val="24"/>
        </w:rPr>
      </w:pPr>
    </w:p>
    <w:p w14:paraId="57AA97EC" w14:textId="77777777" w:rsidR="00BE0936" w:rsidRDefault="00BE0936" w:rsidP="007B2F04">
      <w:pPr>
        <w:pStyle w:val="BodyText2"/>
        <w:tabs>
          <w:tab w:val="clear" w:pos="4680"/>
        </w:tabs>
        <w:rPr>
          <w:rFonts w:ascii="Arial" w:hAnsi="Arial" w:cs="Arial"/>
          <w:sz w:val="24"/>
          <w:szCs w:val="24"/>
        </w:rPr>
      </w:pPr>
    </w:p>
    <w:p w14:paraId="46932A53" w14:textId="77777777" w:rsidR="00BE0936" w:rsidRDefault="00BE0936" w:rsidP="007B2F04">
      <w:pPr>
        <w:pStyle w:val="BodyText2"/>
        <w:tabs>
          <w:tab w:val="clear" w:pos="4680"/>
        </w:tabs>
        <w:rPr>
          <w:rFonts w:ascii="Arial" w:hAnsi="Arial" w:cs="Arial"/>
          <w:sz w:val="24"/>
          <w:szCs w:val="24"/>
        </w:rPr>
      </w:pPr>
    </w:p>
    <w:p w14:paraId="16CB9A15" w14:textId="77777777" w:rsidR="00DB0C40" w:rsidRDefault="00DB0C40" w:rsidP="00DB0C40">
      <w:pPr>
        <w:suppressAutoHyphens/>
        <w:jc w:val="center"/>
        <w:rPr>
          <w:rFonts w:ascii="Arial" w:hAnsi="Arial" w:cs="Arial"/>
          <w:b/>
          <w:sz w:val="28"/>
          <w:szCs w:val="28"/>
        </w:rPr>
      </w:pPr>
      <w:r w:rsidRPr="006D7B1B">
        <w:rPr>
          <w:rFonts w:ascii="Arial" w:hAnsi="Arial" w:cs="Arial"/>
          <w:b/>
          <w:sz w:val="28"/>
          <w:szCs w:val="28"/>
        </w:rPr>
        <w:t xml:space="preserve">REPORT ON THE </w:t>
      </w:r>
      <w:r>
        <w:rPr>
          <w:rFonts w:ascii="Arial" w:hAnsi="Arial" w:cs="Arial"/>
          <w:b/>
          <w:sz w:val="28"/>
          <w:szCs w:val="28"/>
        </w:rPr>
        <w:t xml:space="preserve">STATEMENTS OF </w:t>
      </w:r>
    </w:p>
    <w:p w14:paraId="1BE2C8A2" w14:textId="77777777" w:rsidR="004B39C7" w:rsidRPr="00BE0936" w:rsidRDefault="004B39C7" w:rsidP="007B2F04">
      <w:pPr>
        <w:pStyle w:val="BodyText2"/>
        <w:tabs>
          <w:tab w:val="clear" w:pos="4680"/>
        </w:tabs>
        <w:rPr>
          <w:rFonts w:ascii="Arial" w:hAnsi="Arial" w:cs="Arial"/>
          <w:sz w:val="24"/>
          <w:szCs w:val="24"/>
        </w:rPr>
      </w:pPr>
    </w:p>
    <w:p w14:paraId="6637C0BF" w14:textId="391D793E" w:rsidR="004B4861" w:rsidRPr="00BE0936" w:rsidRDefault="008B69EC" w:rsidP="007B2F04">
      <w:pPr>
        <w:pStyle w:val="BodyText2"/>
        <w:tabs>
          <w:tab w:val="clear" w:pos="4680"/>
        </w:tabs>
        <w:rPr>
          <w:rFonts w:ascii="Arial" w:hAnsi="Arial" w:cs="Arial"/>
          <w:sz w:val="24"/>
          <w:szCs w:val="24"/>
        </w:rPr>
      </w:pPr>
      <w:r>
        <w:rPr>
          <w:rFonts w:ascii="Arial" w:hAnsi="Arial" w:cs="Arial"/>
          <w:sz w:val="28"/>
          <w:szCs w:val="28"/>
        </w:rPr>
        <w:t xml:space="preserve">NON-BYPASSABLE </w:t>
      </w:r>
      <w:r w:rsidR="00DB0C40" w:rsidRPr="006D7B1B">
        <w:rPr>
          <w:rFonts w:ascii="Arial" w:hAnsi="Arial" w:cs="Arial"/>
          <w:sz w:val="28"/>
          <w:szCs w:val="28"/>
        </w:rPr>
        <w:t>TRANSMISSION SERVICE CHARGE</w:t>
      </w:r>
    </w:p>
    <w:p w14:paraId="03EA4DAF" w14:textId="77777777" w:rsidR="00061843" w:rsidRPr="006D7B1B" w:rsidRDefault="00061843" w:rsidP="00554B9B">
      <w:pPr>
        <w:suppressAutoHyphens/>
        <w:jc w:val="center"/>
        <w:rPr>
          <w:rFonts w:ascii="Arial" w:hAnsi="Arial" w:cs="Arial"/>
          <w:sz w:val="28"/>
          <w:szCs w:val="28"/>
        </w:rPr>
      </w:pPr>
    </w:p>
    <w:p w14:paraId="4EB2F470" w14:textId="77777777" w:rsidR="003E468D" w:rsidRDefault="00554B9B" w:rsidP="00554B9B">
      <w:pPr>
        <w:suppressAutoHyphens/>
        <w:jc w:val="center"/>
        <w:rPr>
          <w:rFonts w:ascii="Arial" w:hAnsi="Arial" w:cs="Arial"/>
          <w:b/>
          <w:sz w:val="28"/>
          <w:szCs w:val="28"/>
        </w:rPr>
      </w:pPr>
      <w:r w:rsidRPr="006D7B1B">
        <w:rPr>
          <w:rFonts w:ascii="Arial" w:hAnsi="Arial" w:cs="Arial"/>
          <w:b/>
          <w:sz w:val="28"/>
          <w:szCs w:val="28"/>
        </w:rPr>
        <w:t xml:space="preserve">FOR THE </w:t>
      </w:r>
      <w:r w:rsidR="00A31DF6">
        <w:rPr>
          <w:rFonts w:ascii="Arial" w:hAnsi="Arial" w:cs="Arial"/>
          <w:b/>
          <w:sz w:val="28"/>
          <w:szCs w:val="28"/>
        </w:rPr>
        <w:t>TWELVE</w:t>
      </w:r>
      <w:r w:rsidR="003E468D">
        <w:rPr>
          <w:rFonts w:ascii="Arial" w:hAnsi="Arial" w:cs="Arial"/>
          <w:b/>
          <w:sz w:val="28"/>
          <w:szCs w:val="28"/>
        </w:rPr>
        <w:t>-</w:t>
      </w:r>
      <w:r w:rsidR="00061843" w:rsidRPr="006D7B1B">
        <w:rPr>
          <w:rFonts w:ascii="Arial" w:hAnsi="Arial" w:cs="Arial"/>
          <w:b/>
          <w:sz w:val="28"/>
          <w:szCs w:val="28"/>
        </w:rPr>
        <w:t>MONTH</w:t>
      </w:r>
      <w:r w:rsidR="003E468D">
        <w:rPr>
          <w:rFonts w:ascii="Arial" w:hAnsi="Arial" w:cs="Arial"/>
          <w:b/>
          <w:sz w:val="28"/>
          <w:szCs w:val="28"/>
        </w:rPr>
        <w:t xml:space="preserve"> PERIOD</w:t>
      </w:r>
      <w:r w:rsidR="00061843" w:rsidRPr="006D7B1B">
        <w:rPr>
          <w:rFonts w:ascii="Arial" w:hAnsi="Arial" w:cs="Arial"/>
          <w:b/>
          <w:sz w:val="28"/>
          <w:szCs w:val="28"/>
        </w:rPr>
        <w:t xml:space="preserve">S ENDED </w:t>
      </w:r>
    </w:p>
    <w:p w14:paraId="42583990" w14:textId="77777777" w:rsidR="003E468D" w:rsidRDefault="003E468D" w:rsidP="00554B9B">
      <w:pPr>
        <w:suppressAutoHyphens/>
        <w:jc w:val="center"/>
        <w:rPr>
          <w:rFonts w:ascii="Arial" w:hAnsi="Arial" w:cs="Arial"/>
          <w:b/>
          <w:sz w:val="28"/>
          <w:szCs w:val="28"/>
        </w:rPr>
      </w:pPr>
    </w:p>
    <w:p w14:paraId="4DA53116" w14:textId="6856F4C3" w:rsidR="00061843" w:rsidRPr="006D7B1B" w:rsidRDefault="00E77C51" w:rsidP="00554B9B">
      <w:pPr>
        <w:suppressAutoHyphens/>
        <w:jc w:val="center"/>
        <w:rPr>
          <w:rFonts w:ascii="Arial" w:hAnsi="Arial" w:cs="Arial"/>
          <w:b/>
          <w:sz w:val="28"/>
          <w:szCs w:val="28"/>
        </w:rPr>
      </w:pPr>
      <w:r>
        <w:rPr>
          <w:rFonts w:ascii="Arial" w:hAnsi="Arial" w:cs="Arial"/>
          <w:b/>
          <w:sz w:val="28"/>
          <w:szCs w:val="28"/>
        </w:rPr>
        <w:t>NOVEMBER</w:t>
      </w:r>
      <w:r w:rsidR="009C0A77" w:rsidRPr="006D7B1B">
        <w:rPr>
          <w:rFonts w:ascii="Arial" w:hAnsi="Arial" w:cs="Arial"/>
          <w:b/>
          <w:sz w:val="28"/>
          <w:szCs w:val="28"/>
        </w:rPr>
        <w:t xml:space="preserve"> 3</w:t>
      </w:r>
      <w:r>
        <w:rPr>
          <w:rFonts w:ascii="Arial" w:hAnsi="Arial" w:cs="Arial"/>
          <w:b/>
          <w:sz w:val="28"/>
          <w:szCs w:val="28"/>
        </w:rPr>
        <w:t>0</w:t>
      </w:r>
      <w:r w:rsidR="009C0A77" w:rsidRPr="006D7B1B">
        <w:rPr>
          <w:rFonts w:ascii="Arial" w:hAnsi="Arial" w:cs="Arial"/>
          <w:b/>
          <w:sz w:val="28"/>
          <w:szCs w:val="28"/>
        </w:rPr>
        <w:t>,</w:t>
      </w:r>
      <w:r w:rsidR="00061843" w:rsidRPr="006D7B1B">
        <w:rPr>
          <w:rFonts w:ascii="Arial" w:hAnsi="Arial" w:cs="Arial"/>
          <w:b/>
          <w:sz w:val="28"/>
          <w:szCs w:val="28"/>
        </w:rPr>
        <w:t xml:space="preserve"> 20</w:t>
      </w:r>
      <w:r w:rsidR="00834DF8" w:rsidRPr="006D7B1B">
        <w:rPr>
          <w:rFonts w:ascii="Arial" w:hAnsi="Arial" w:cs="Arial"/>
          <w:b/>
          <w:sz w:val="28"/>
          <w:szCs w:val="28"/>
        </w:rPr>
        <w:t>1</w:t>
      </w:r>
      <w:r w:rsidR="00472DB8">
        <w:rPr>
          <w:rFonts w:ascii="Arial" w:hAnsi="Arial" w:cs="Arial"/>
          <w:b/>
          <w:sz w:val="28"/>
          <w:szCs w:val="28"/>
        </w:rPr>
        <w:t>7</w:t>
      </w:r>
      <w:r>
        <w:rPr>
          <w:rFonts w:ascii="Arial" w:hAnsi="Arial" w:cs="Arial"/>
          <w:b/>
          <w:sz w:val="28"/>
          <w:szCs w:val="28"/>
        </w:rPr>
        <w:t xml:space="preserve"> AND </w:t>
      </w:r>
      <w:r w:rsidR="00A31DF6">
        <w:rPr>
          <w:rFonts w:ascii="Arial" w:hAnsi="Arial" w:cs="Arial"/>
          <w:b/>
          <w:sz w:val="28"/>
          <w:szCs w:val="28"/>
        </w:rPr>
        <w:t>NOVEMBER</w:t>
      </w:r>
      <w:r>
        <w:rPr>
          <w:rFonts w:ascii="Arial" w:hAnsi="Arial" w:cs="Arial"/>
          <w:b/>
          <w:sz w:val="28"/>
          <w:szCs w:val="28"/>
        </w:rPr>
        <w:t xml:space="preserve"> 30, 201</w:t>
      </w:r>
      <w:r w:rsidR="00472DB8">
        <w:rPr>
          <w:rFonts w:ascii="Arial" w:hAnsi="Arial" w:cs="Arial"/>
          <w:b/>
          <w:sz w:val="28"/>
          <w:szCs w:val="28"/>
        </w:rPr>
        <w:t>6</w:t>
      </w:r>
    </w:p>
    <w:p w14:paraId="555908C9" w14:textId="77777777" w:rsidR="005D711E" w:rsidRPr="00BE0936" w:rsidRDefault="005D711E" w:rsidP="007B2F04">
      <w:pPr>
        <w:pStyle w:val="BodyText2"/>
        <w:tabs>
          <w:tab w:val="clear" w:pos="4680"/>
        </w:tabs>
        <w:outlineLvl w:val="0"/>
        <w:rPr>
          <w:rFonts w:ascii="Arial" w:hAnsi="Arial" w:cs="Arial"/>
          <w:sz w:val="24"/>
          <w:szCs w:val="24"/>
        </w:rPr>
      </w:pPr>
    </w:p>
    <w:p w14:paraId="53B2E128" w14:textId="77777777" w:rsidR="005D711E" w:rsidRPr="00BE0936" w:rsidRDefault="005D711E" w:rsidP="007B2F04">
      <w:pPr>
        <w:pStyle w:val="BodyText2"/>
        <w:rPr>
          <w:rFonts w:ascii="Arial" w:hAnsi="Arial" w:cs="Arial"/>
          <w:sz w:val="24"/>
          <w:szCs w:val="24"/>
        </w:rPr>
      </w:pPr>
    </w:p>
    <w:p w14:paraId="1074A914" w14:textId="77777777" w:rsidR="005D711E" w:rsidRPr="00BE0936" w:rsidRDefault="005D711E" w:rsidP="007B2F04">
      <w:pPr>
        <w:pStyle w:val="BodyText2"/>
        <w:rPr>
          <w:rFonts w:ascii="Arial" w:hAnsi="Arial" w:cs="Arial"/>
          <w:sz w:val="24"/>
          <w:szCs w:val="24"/>
        </w:rPr>
      </w:pPr>
    </w:p>
    <w:p w14:paraId="66872D2B" w14:textId="77777777" w:rsidR="005D711E" w:rsidRPr="00BE0936" w:rsidRDefault="005D711E" w:rsidP="007B2F04">
      <w:pPr>
        <w:tabs>
          <w:tab w:val="left" w:pos="-720"/>
        </w:tabs>
        <w:suppressAutoHyphens/>
        <w:jc w:val="center"/>
        <w:rPr>
          <w:rFonts w:ascii="Arial" w:hAnsi="Arial" w:cs="Arial"/>
          <w:b/>
          <w:szCs w:val="24"/>
        </w:rPr>
      </w:pPr>
    </w:p>
    <w:p w14:paraId="6ADCC0B5" w14:textId="77777777" w:rsidR="005D711E" w:rsidRPr="00BE0936" w:rsidRDefault="005D711E" w:rsidP="007B2F04">
      <w:pPr>
        <w:tabs>
          <w:tab w:val="left" w:pos="-720"/>
        </w:tabs>
        <w:suppressAutoHyphens/>
        <w:jc w:val="center"/>
        <w:rPr>
          <w:rFonts w:ascii="Arial" w:hAnsi="Arial" w:cs="Arial"/>
          <w:b/>
          <w:szCs w:val="24"/>
        </w:rPr>
      </w:pPr>
    </w:p>
    <w:p w14:paraId="31D9C3C9" w14:textId="77777777" w:rsidR="004B39C7" w:rsidRPr="00BE0936" w:rsidRDefault="004B39C7" w:rsidP="007B2F04">
      <w:pPr>
        <w:tabs>
          <w:tab w:val="left" w:pos="-720"/>
        </w:tabs>
        <w:suppressAutoHyphens/>
        <w:jc w:val="center"/>
        <w:rPr>
          <w:rFonts w:ascii="Arial" w:hAnsi="Arial" w:cs="Arial"/>
          <w:b/>
          <w:szCs w:val="24"/>
        </w:rPr>
      </w:pPr>
    </w:p>
    <w:p w14:paraId="0A38BC61" w14:textId="77777777" w:rsidR="00BE0936" w:rsidRDefault="00BE0936" w:rsidP="007B2F04">
      <w:pPr>
        <w:tabs>
          <w:tab w:val="left" w:pos="-720"/>
        </w:tabs>
        <w:suppressAutoHyphens/>
        <w:jc w:val="center"/>
        <w:rPr>
          <w:rFonts w:ascii="Arial" w:hAnsi="Arial" w:cs="Arial"/>
          <w:b/>
          <w:szCs w:val="24"/>
        </w:rPr>
      </w:pPr>
    </w:p>
    <w:p w14:paraId="3D9F9E38" w14:textId="77777777" w:rsidR="005D711E" w:rsidRPr="00BE0936" w:rsidRDefault="005D711E" w:rsidP="007B2F04">
      <w:pPr>
        <w:tabs>
          <w:tab w:val="center" w:pos="4680"/>
        </w:tabs>
        <w:suppressAutoHyphens/>
        <w:jc w:val="center"/>
        <w:rPr>
          <w:rFonts w:ascii="Arial" w:hAnsi="Arial" w:cs="Arial"/>
          <w:b/>
          <w:szCs w:val="24"/>
        </w:rPr>
      </w:pPr>
    </w:p>
    <w:p w14:paraId="2F85A10A" w14:textId="77777777" w:rsidR="005D711E" w:rsidRPr="00BE0936" w:rsidRDefault="005D711E" w:rsidP="007B2F04">
      <w:pPr>
        <w:tabs>
          <w:tab w:val="center" w:pos="4680"/>
        </w:tabs>
        <w:suppressAutoHyphens/>
        <w:jc w:val="center"/>
        <w:rPr>
          <w:rFonts w:ascii="Arial" w:hAnsi="Arial" w:cs="Arial"/>
          <w:b/>
          <w:szCs w:val="24"/>
        </w:rPr>
      </w:pPr>
    </w:p>
    <w:p w14:paraId="347FB62E" w14:textId="77777777" w:rsidR="00E0213C" w:rsidRDefault="00E0213C" w:rsidP="007B2F04">
      <w:pPr>
        <w:tabs>
          <w:tab w:val="center" w:pos="4680"/>
        </w:tabs>
        <w:suppressAutoHyphens/>
        <w:jc w:val="center"/>
        <w:outlineLvl w:val="0"/>
        <w:rPr>
          <w:rFonts w:ascii="Arial" w:hAnsi="Arial" w:cs="Arial"/>
          <w:b/>
          <w:sz w:val="28"/>
          <w:szCs w:val="24"/>
        </w:rPr>
      </w:pPr>
    </w:p>
    <w:p w14:paraId="227CC95F" w14:textId="77777777" w:rsidR="00816BC6" w:rsidRDefault="00816BC6" w:rsidP="007B2F04">
      <w:pPr>
        <w:tabs>
          <w:tab w:val="center" w:pos="4680"/>
        </w:tabs>
        <w:suppressAutoHyphens/>
        <w:jc w:val="center"/>
        <w:outlineLvl w:val="0"/>
        <w:rPr>
          <w:rFonts w:ascii="Arial" w:hAnsi="Arial" w:cs="Arial"/>
          <w:b/>
          <w:sz w:val="28"/>
          <w:szCs w:val="24"/>
        </w:rPr>
      </w:pPr>
    </w:p>
    <w:p w14:paraId="28460001" w14:textId="77777777" w:rsidR="00816BC6" w:rsidRDefault="00816BC6" w:rsidP="007B2F04">
      <w:pPr>
        <w:tabs>
          <w:tab w:val="center" w:pos="4680"/>
        </w:tabs>
        <w:suppressAutoHyphens/>
        <w:jc w:val="center"/>
        <w:outlineLvl w:val="0"/>
        <w:rPr>
          <w:rFonts w:ascii="Arial" w:hAnsi="Arial" w:cs="Arial"/>
          <w:b/>
          <w:sz w:val="28"/>
          <w:szCs w:val="24"/>
        </w:rPr>
      </w:pPr>
    </w:p>
    <w:p w14:paraId="207AEC93" w14:textId="77777777" w:rsidR="00816BC6" w:rsidRDefault="00816BC6" w:rsidP="007B2F04">
      <w:pPr>
        <w:tabs>
          <w:tab w:val="center" w:pos="4680"/>
        </w:tabs>
        <w:suppressAutoHyphens/>
        <w:jc w:val="center"/>
        <w:outlineLvl w:val="0"/>
        <w:rPr>
          <w:rFonts w:ascii="Arial" w:hAnsi="Arial" w:cs="Arial"/>
          <w:b/>
          <w:sz w:val="28"/>
          <w:szCs w:val="24"/>
        </w:rPr>
      </w:pPr>
    </w:p>
    <w:p w14:paraId="26D27E73" w14:textId="77777777" w:rsidR="00816BC6" w:rsidRDefault="00816BC6" w:rsidP="007B2F04">
      <w:pPr>
        <w:tabs>
          <w:tab w:val="center" w:pos="4680"/>
        </w:tabs>
        <w:suppressAutoHyphens/>
        <w:jc w:val="center"/>
        <w:outlineLvl w:val="0"/>
        <w:rPr>
          <w:rFonts w:ascii="Arial" w:hAnsi="Arial" w:cs="Arial"/>
          <w:b/>
          <w:sz w:val="28"/>
          <w:szCs w:val="24"/>
        </w:rPr>
      </w:pPr>
    </w:p>
    <w:p w14:paraId="1A3D4C2C" w14:textId="77777777" w:rsidR="00CC15F2" w:rsidRDefault="00CC15F2" w:rsidP="007B2F04">
      <w:pPr>
        <w:tabs>
          <w:tab w:val="center" w:pos="4680"/>
        </w:tabs>
        <w:suppressAutoHyphens/>
        <w:jc w:val="center"/>
        <w:outlineLvl w:val="0"/>
        <w:rPr>
          <w:rFonts w:ascii="Arial" w:hAnsi="Arial" w:cs="Arial"/>
          <w:b/>
          <w:sz w:val="28"/>
          <w:szCs w:val="24"/>
        </w:rPr>
      </w:pPr>
    </w:p>
    <w:p w14:paraId="601D2D68" w14:textId="77777777" w:rsidR="00CC15F2" w:rsidRDefault="00CC15F2" w:rsidP="007B2F04">
      <w:pPr>
        <w:tabs>
          <w:tab w:val="center" w:pos="4680"/>
        </w:tabs>
        <w:suppressAutoHyphens/>
        <w:jc w:val="center"/>
        <w:outlineLvl w:val="0"/>
        <w:rPr>
          <w:rFonts w:ascii="Arial" w:hAnsi="Arial" w:cs="Arial"/>
          <w:b/>
          <w:sz w:val="28"/>
          <w:szCs w:val="24"/>
        </w:rPr>
      </w:pPr>
    </w:p>
    <w:p w14:paraId="40D7F026" w14:textId="77777777" w:rsidR="00CC15F2" w:rsidRDefault="00CC15F2" w:rsidP="007B2F04">
      <w:pPr>
        <w:tabs>
          <w:tab w:val="center" w:pos="4680"/>
        </w:tabs>
        <w:suppressAutoHyphens/>
        <w:jc w:val="center"/>
        <w:outlineLvl w:val="0"/>
        <w:rPr>
          <w:rFonts w:ascii="Arial" w:hAnsi="Arial" w:cs="Arial"/>
          <w:b/>
          <w:sz w:val="28"/>
          <w:szCs w:val="24"/>
        </w:rPr>
      </w:pPr>
    </w:p>
    <w:p w14:paraId="7449BA58" w14:textId="5A63C70C" w:rsidR="005D711E" w:rsidRPr="0043668B" w:rsidRDefault="005D711E" w:rsidP="007B2F04">
      <w:pPr>
        <w:tabs>
          <w:tab w:val="center" w:pos="4680"/>
        </w:tabs>
        <w:suppressAutoHyphens/>
        <w:jc w:val="center"/>
        <w:outlineLvl w:val="0"/>
        <w:rPr>
          <w:rFonts w:ascii="Arial" w:hAnsi="Arial" w:cs="Arial"/>
          <w:b/>
          <w:sz w:val="28"/>
          <w:szCs w:val="24"/>
        </w:rPr>
      </w:pPr>
      <w:r w:rsidRPr="0043668B">
        <w:rPr>
          <w:rFonts w:ascii="Arial" w:hAnsi="Arial" w:cs="Arial"/>
          <w:b/>
          <w:sz w:val="28"/>
          <w:szCs w:val="24"/>
        </w:rPr>
        <w:t>Pennsylvania Public Utility Commission</w:t>
      </w:r>
    </w:p>
    <w:p w14:paraId="4B7EC77E" w14:textId="77777777" w:rsidR="005D711E" w:rsidRPr="0043668B" w:rsidRDefault="00C06521" w:rsidP="00C06521">
      <w:pPr>
        <w:tabs>
          <w:tab w:val="center" w:pos="4680"/>
        </w:tabs>
        <w:suppressAutoHyphens/>
        <w:rPr>
          <w:rFonts w:ascii="Arial" w:hAnsi="Arial" w:cs="Arial"/>
          <w:b/>
          <w:sz w:val="28"/>
          <w:szCs w:val="24"/>
        </w:rPr>
      </w:pPr>
      <w:r w:rsidRPr="0043668B">
        <w:rPr>
          <w:rFonts w:ascii="Arial" w:hAnsi="Arial" w:cs="Arial"/>
          <w:b/>
          <w:sz w:val="28"/>
          <w:szCs w:val="24"/>
        </w:rPr>
        <w:tab/>
      </w:r>
      <w:r w:rsidR="005D711E" w:rsidRPr="0043668B">
        <w:rPr>
          <w:rFonts w:ascii="Arial" w:hAnsi="Arial" w:cs="Arial"/>
          <w:b/>
          <w:sz w:val="28"/>
          <w:szCs w:val="24"/>
        </w:rPr>
        <w:t xml:space="preserve">Bureau </w:t>
      </w:r>
      <w:r w:rsidR="006D7B1B">
        <w:rPr>
          <w:rFonts w:ascii="Arial" w:hAnsi="Arial" w:cs="Arial"/>
          <w:b/>
          <w:sz w:val="28"/>
          <w:szCs w:val="24"/>
        </w:rPr>
        <w:t>o</w:t>
      </w:r>
      <w:r w:rsidR="005D711E" w:rsidRPr="0043668B">
        <w:rPr>
          <w:rFonts w:ascii="Arial" w:hAnsi="Arial" w:cs="Arial"/>
          <w:b/>
          <w:sz w:val="28"/>
          <w:szCs w:val="24"/>
        </w:rPr>
        <w:t>f Audits</w:t>
      </w:r>
    </w:p>
    <w:p w14:paraId="59B7FA9F" w14:textId="41DB6F35" w:rsidR="006D7B1B" w:rsidRDefault="00C06521" w:rsidP="006D7B1B">
      <w:pPr>
        <w:tabs>
          <w:tab w:val="center" w:pos="4680"/>
        </w:tabs>
        <w:suppressAutoHyphens/>
        <w:rPr>
          <w:rFonts w:ascii="Arial" w:hAnsi="Arial" w:cs="Arial"/>
          <w:b/>
          <w:sz w:val="28"/>
          <w:szCs w:val="28"/>
        </w:rPr>
      </w:pPr>
      <w:r w:rsidRPr="0043668B">
        <w:rPr>
          <w:rFonts w:ascii="Arial" w:hAnsi="Arial" w:cs="Arial"/>
          <w:b/>
          <w:sz w:val="28"/>
          <w:szCs w:val="24"/>
        </w:rPr>
        <w:tab/>
      </w:r>
      <w:r w:rsidR="00785CEB">
        <w:rPr>
          <w:rFonts w:ascii="Arial" w:hAnsi="Arial" w:cs="Arial"/>
          <w:b/>
          <w:sz w:val="28"/>
          <w:szCs w:val="24"/>
        </w:rPr>
        <w:t xml:space="preserve">April </w:t>
      </w:r>
      <w:r w:rsidR="00471874">
        <w:rPr>
          <w:rFonts w:ascii="Arial" w:hAnsi="Arial" w:cs="Arial"/>
          <w:b/>
          <w:sz w:val="28"/>
          <w:szCs w:val="24"/>
        </w:rPr>
        <w:t>15</w:t>
      </w:r>
      <w:r w:rsidR="00C90AA9" w:rsidRPr="00E0213C">
        <w:rPr>
          <w:rFonts w:ascii="Arial" w:hAnsi="Arial" w:cs="Arial"/>
          <w:b/>
          <w:sz w:val="28"/>
          <w:szCs w:val="28"/>
        </w:rPr>
        <w:t>, 20</w:t>
      </w:r>
      <w:r w:rsidR="00785CEB">
        <w:rPr>
          <w:rFonts w:ascii="Arial" w:hAnsi="Arial" w:cs="Arial"/>
          <w:b/>
          <w:sz w:val="28"/>
          <w:szCs w:val="28"/>
        </w:rPr>
        <w:t>19</w:t>
      </w:r>
    </w:p>
    <w:p w14:paraId="02169B67" w14:textId="77777777" w:rsidR="006D7B1B" w:rsidRDefault="006D7B1B" w:rsidP="006D7B1B">
      <w:pPr>
        <w:tabs>
          <w:tab w:val="center" w:pos="4680"/>
        </w:tabs>
        <w:suppressAutoHyphens/>
        <w:rPr>
          <w:rFonts w:ascii="Arial" w:hAnsi="Arial" w:cs="Arial"/>
          <w:b/>
          <w:sz w:val="28"/>
          <w:szCs w:val="28"/>
        </w:rPr>
      </w:pPr>
    </w:p>
    <w:p w14:paraId="385478A3" w14:textId="7F29590B" w:rsidR="005D711E" w:rsidRPr="0043668B" w:rsidRDefault="00C06521" w:rsidP="00BB133D">
      <w:pPr>
        <w:tabs>
          <w:tab w:val="center" w:pos="4680"/>
        </w:tabs>
        <w:suppressAutoHyphens/>
        <w:rPr>
          <w:rFonts w:ascii="Arial" w:hAnsi="Arial" w:cs="Arial"/>
          <w:b/>
          <w:sz w:val="28"/>
          <w:szCs w:val="24"/>
        </w:rPr>
        <w:sectPr w:rsidR="005D711E" w:rsidRPr="0043668B" w:rsidSect="003439CD">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1008" w:left="1440" w:header="0" w:footer="720" w:gutter="0"/>
          <w:cols w:space="720"/>
          <w:noEndnote/>
          <w:docGrid w:linePitch="326"/>
        </w:sectPr>
      </w:pPr>
      <w:r w:rsidRPr="0043668B">
        <w:rPr>
          <w:rFonts w:ascii="Arial" w:hAnsi="Arial" w:cs="Arial"/>
          <w:b/>
          <w:sz w:val="28"/>
          <w:szCs w:val="24"/>
        </w:rPr>
        <w:tab/>
        <w:t>Docket</w:t>
      </w:r>
      <w:r w:rsidR="00E807BD">
        <w:rPr>
          <w:rFonts w:ascii="Arial" w:hAnsi="Arial" w:cs="Arial"/>
          <w:b/>
          <w:sz w:val="28"/>
          <w:szCs w:val="24"/>
        </w:rPr>
        <w:t>:</w:t>
      </w:r>
      <w:r w:rsidR="006D7B1B">
        <w:rPr>
          <w:rFonts w:ascii="Arial" w:hAnsi="Arial" w:cs="Arial"/>
          <w:b/>
          <w:sz w:val="28"/>
          <w:szCs w:val="24"/>
        </w:rPr>
        <w:t xml:space="preserve"> </w:t>
      </w:r>
      <w:r w:rsidRPr="0043668B">
        <w:rPr>
          <w:rFonts w:ascii="Arial" w:hAnsi="Arial" w:cs="Arial"/>
          <w:b/>
          <w:sz w:val="28"/>
          <w:szCs w:val="24"/>
        </w:rPr>
        <w:t xml:space="preserve"> </w:t>
      </w:r>
      <w:r w:rsidR="00E807BD" w:rsidRPr="0034317E">
        <w:rPr>
          <w:rFonts w:ascii="Arial" w:hAnsi="Arial" w:cs="Arial"/>
          <w:b/>
          <w:sz w:val="28"/>
          <w:szCs w:val="24"/>
        </w:rPr>
        <w:t>D-</w:t>
      </w:r>
      <w:r w:rsidR="00A972DB" w:rsidRPr="0034317E">
        <w:rPr>
          <w:rFonts w:ascii="Arial" w:hAnsi="Arial" w:cs="Arial"/>
          <w:b/>
          <w:sz w:val="28"/>
          <w:szCs w:val="24"/>
        </w:rPr>
        <w:t>201</w:t>
      </w:r>
      <w:r w:rsidR="00472DB8">
        <w:rPr>
          <w:rFonts w:ascii="Arial" w:hAnsi="Arial" w:cs="Arial"/>
          <w:b/>
          <w:sz w:val="28"/>
          <w:szCs w:val="24"/>
        </w:rPr>
        <w:t>8</w:t>
      </w:r>
      <w:r w:rsidR="00A972DB" w:rsidRPr="0034317E">
        <w:rPr>
          <w:rFonts w:ascii="Arial" w:hAnsi="Arial" w:cs="Arial"/>
          <w:b/>
          <w:sz w:val="28"/>
          <w:szCs w:val="24"/>
        </w:rPr>
        <w:t>-</w:t>
      </w:r>
      <w:r w:rsidR="00AA6D05">
        <w:rPr>
          <w:rFonts w:ascii="Arial" w:hAnsi="Arial" w:cs="Arial"/>
          <w:b/>
          <w:sz w:val="28"/>
          <w:szCs w:val="24"/>
        </w:rPr>
        <w:t>300</w:t>
      </w:r>
      <w:r w:rsidR="00D34CB1">
        <w:rPr>
          <w:rFonts w:ascii="Arial" w:hAnsi="Arial" w:cs="Arial"/>
          <w:b/>
          <w:sz w:val="28"/>
          <w:szCs w:val="24"/>
        </w:rPr>
        <w:t>367</w:t>
      </w:r>
      <w:r w:rsidR="00293CD4">
        <w:rPr>
          <w:rFonts w:ascii="Arial" w:hAnsi="Arial" w:cs="Arial"/>
          <w:b/>
          <w:sz w:val="28"/>
          <w:szCs w:val="24"/>
        </w:rPr>
        <w:t>4</w:t>
      </w:r>
    </w:p>
    <w:p w14:paraId="1BA4E43B" w14:textId="77777777" w:rsidR="005D711E" w:rsidRPr="005440A5" w:rsidRDefault="005440A5" w:rsidP="009F6861">
      <w:pPr>
        <w:jc w:val="center"/>
        <w:rPr>
          <w:rFonts w:ascii="Arial" w:hAnsi="Arial" w:cs="Arial"/>
          <w:b/>
          <w:sz w:val="26"/>
          <w:szCs w:val="26"/>
        </w:rPr>
      </w:pPr>
      <w:r>
        <w:rPr>
          <w:rFonts w:ascii="Arial" w:hAnsi="Arial" w:cs="Arial"/>
          <w:b/>
          <w:sz w:val="26"/>
          <w:szCs w:val="26"/>
        </w:rPr>
        <w:lastRenderedPageBreak/>
        <w:t xml:space="preserve">Table of </w:t>
      </w:r>
      <w:r w:rsidR="005D711E" w:rsidRPr="005440A5">
        <w:rPr>
          <w:rFonts w:ascii="Arial" w:hAnsi="Arial" w:cs="Arial"/>
          <w:b/>
          <w:sz w:val="26"/>
          <w:szCs w:val="26"/>
        </w:rPr>
        <w:t>Contents</w:t>
      </w:r>
    </w:p>
    <w:tbl>
      <w:tblPr>
        <w:tblW w:w="9486" w:type="dxa"/>
        <w:tblLayout w:type="fixed"/>
        <w:tblLook w:val="0000" w:firstRow="0" w:lastRow="0" w:firstColumn="0" w:lastColumn="0" w:noHBand="0" w:noVBand="0"/>
      </w:tblPr>
      <w:tblGrid>
        <w:gridCol w:w="18"/>
        <w:gridCol w:w="8190"/>
        <w:gridCol w:w="1260"/>
        <w:gridCol w:w="18"/>
      </w:tblGrid>
      <w:tr w:rsidR="005D711E" w:rsidRPr="00BE0936" w14:paraId="5135214C" w14:textId="77777777" w:rsidTr="00CE36C6">
        <w:trPr>
          <w:trHeight w:val="603"/>
        </w:trPr>
        <w:tc>
          <w:tcPr>
            <w:tcW w:w="8208" w:type="dxa"/>
            <w:gridSpan w:val="2"/>
          </w:tcPr>
          <w:p w14:paraId="1FD45BD7" w14:textId="77777777" w:rsidR="005D711E" w:rsidRPr="00BE0936" w:rsidRDefault="005D711E">
            <w:pPr>
              <w:tabs>
                <w:tab w:val="left" w:pos="-720"/>
                <w:tab w:val="left" w:pos="180"/>
                <w:tab w:val="left" w:pos="270"/>
              </w:tabs>
              <w:suppressAutoHyphens/>
              <w:rPr>
                <w:rFonts w:ascii="Arial" w:hAnsi="Arial" w:cs="Arial"/>
                <w:b/>
                <w:szCs w:val="24"/>
              </w:rPr>
            </w:pPr>
          </w:p>
        </w:tc>
        <w:tc>
          <w:tcPr>
            <w:tcW w:w="1278" w:type="dxa"/>
            <w:gridSpan w:val="2"/>
          </w:tcPr>
          <w:p w14:paraId="30D4079F" w14:textId="77777777" w:rsidR="005D711E" w:rsidRPr="00BE0936" w:rsidRDefault="005D711E" w:rsidP="00101D15">
            <w:pPr>
              <w:pStyle w:val="EndnoteText"/>
              <w:tabs>
                <w:tab w:val="right" w:pos="562"/>
              </w:tabs>
              <w:suppressAutoHyphens/>
              <w:rPr>
                <w:rFonts w:ascii="Arial" w:hAnsi="Arial" w:cs="Arial"/>
                <w:szCs w:val="24"/>
              </w:rPr>
            </w:pPr>
          </w:p>
        </w:tc>
      </w:tr>
      <w:tr w:rsidR="00101D15" w:rsidRPr="00BE0936" w14:paraId="5DA837B2" w14:textId="77777777" w:rsidTr="007765A6">
        <w:tc>
          <w:tcPr>
            <w:tcW w:w="8208" w:type="dxa"/>
            <w:gridSpan w:val="2"/>
          </w:tcPr>
          <w:p w14:paraId="7E4B45D6" w14:textId="77777777" w:rsidR="00101D15" w:rsidRPr="00BE0936" w:rsidRDefault="00101D15">
            <w:pPr>
              <w:pStyle w:val="EndnoteText"/>
              <w:tabs>
                <w:tab w:val="left" w:pos="-720"/>
                <w:tab w:val="left" w:pos="360"/>
                <w:tab w:val="left" w:pos="540"/>
                <w:tab w:val="left" w:pos="810"/>
                <w:tab w:val="left" w:pos="9180"/>
              </w:tabs>
              <w:suppressAutoHyphens/>
              <w:rPr>
                <w:rFonts w:ascii="Arial" w:hAnsi="Arial" w:cs="Arial"/>
                <w:szCs w:val="24"/>
              </w:rPr>
            </w:pPr>
          </w:p>
        </w:tc>
        <w:tc>
          <w:tcPr>
            <w:tcW w:w="1278" w:type="dxa"/>
            <w:gridSpan w:val="2"/>
            <w:vAlign w:val="bottom"/>
          </w:tcPr>
          <w:p w14:paraId="28C30BCB" w14:textId="77777777" w:rsidR="00101D15" w:rsidRPr="005440A5" w:rsidRDefault="005440A5" w:rsidP="00DB0C40">
            <w:pPr>
              <w:pStyle w:val="EndnoteText"/>
              <w:suppressAutoHyphens/>
              <w:jc w:val="center"/>
              <w:rPr>
                <w:rFonts w:ascii="Arial" w:hAnsi="Arial" w:cs="Arial"/>
                <w:b/>
                <w:szCs w:val="24"/>
                <w:u w:val="single"/>
              </w:rPr>
            </w:pPr>
            <w:r w:rsidRPr="005440A5">
              <w:rPr>
                <w:rFonts w:ascii="Arial" w:hAnsi="Arial" w:cs="Arial"/>
                <w:b/>
                <w:szCs w:val="24"/>
                <w:u w:val="single"/>
              </w:rPr>
              <w:t>Page</w:t>
            </w:r>
          </w:p>
        </w:tc>
      </w:tr>
      <w:tr w:rsidR="009668FF" w:rsidRPr="008C3E74" w14:paraId="7867DFA7" w14:textId="77777777" w:rsidTr="007765A6">
        <w:tc>
          <w:tcPr>
            <w:tcW w:w="8208" w:type="dxa"/>
            <w:gridSpan w:val="2"/>
            <w:vAlign w:val="bottom"/>
          </w:tcPr>
          <w:p w14:paraId="196D9669" w14:textId="0B4192AA" w:rsidR="009668FF" w:rsidRPr="00245DB5" w:rsidRDefault="009668FF" w:rsidP="00DB0C40">
            <w:pPr>
              <w:pStyle w:val="EndnoteText"/>
              <w:tabs>
                <w:tab w:val="left" w:pos="9180"/>
              </w:tabs>
              <w:rPr>
                <w:rFonts w:ascii="Arial" w:hAnsi="Arial" w:cs="Arial"/>
                <w:b/>
                <w:szCs w:val="24"/>
              </w:rPr>
            </w:pPr>
          </w:p>
        </w:tc>
        <w:tc>
          <w:tcPr>
            <w:tcW w:w="1278" w:type="dxa"/>
            <w:gridSpan w:val="2"/>
          </w:tcPr>
          <w:p w14:paraId="1C2FFF75" w14:textId="77777777" w:rsidR="009668FF" w:rsidRPr="008C3E74" w:rsidRDefault="009668FF" w:rsidP="00DD0B3A">
            <w:pPr>
              <w:pStyle w:val="EndnoteText"/>
              <w:tabs>
                <w:tab w:val="right" w:pos="562"/>
              </w:tabs>
              <w:suppressAutoHyphens/>
              <w:rPr>
                <w:rFonts w:ascii="Arial" w:hAnsi="Arial" w:cs="Arial"/>
                <w:szCs w:val="24"/>
              </w:rPr>
            </w:pPr>
          </w:p>
        </w:tc>
      </w:tr>
      <w:tr w:rsidR="00951609" w:rsidRPr="008C3E74" w14:paraId="097D3F82" w14:textId="77777777" w:rsidTr="007765A6">
        <w:tc>
          <w:tcPr>
            <w:tcW w:w="8208" w:type="dxa"/>
            <w:gridSpan w:val="2"/>
            <w:vAlign w:val="bottom"/>
          </w:tcPr>
          <w:p w14:paraId="097BEF14" w14:textId="31FE4B1B" w:rsidR="00951609" w:rsidRPr="008C3E74" w:rsidRDefault="00951609" w:rsidP="00951609">
            <w:pPr>
              <w:pStyle w:val="EndnoteText"/>
              <w:tabs>
                <w:tab w:val="left" w:pos="360"/>
              </w:tabs>
              <w:suppressAutoHyphens/>
              <w:ind w:left="360" w:hanging="360"/>
              <w:rPr>
                <w:rFonts w:ascii="Arial" w:hAnsi="Arial" w:cs="Arial"/>
                <w:szCs w:val="24"/>
              </w:rPr>
            </w:pPr>
            <w:r>
              <w:rPr>
                <w:rFonts w:ascii="Arial" w:hAnsi="Arial" w:cs="Arial"/>
                <w:b/>
                <w:szCs w:val="24"/>
              </w:rPr>
              <w:t xml:space="preserve">BACKGROUND </w:t>
            </w:r>
          </w:p>
        </w:tc>
        <w:tc>
          <w:tcPr>
            <w:tcW w:w="1278" w:type="dxa"/>
            <w:gridSpan w:val="2"/>
            <w:vAlign w:val="bottom"/>
          </w:tcPr>
          <w:p w14:paraId="728F9613" w14:textId="044B2834" w:rsidR="00951609" w:rsidRPr="008C3E74" w:rsidRDefault="00951609" w:rsidP="00951609">
            <w:pPr>
              <w:pStyle w:val="EndnoteText"/>
              <w:tabs>
                <w:tab w:val="decimal" w:pos="576"/>
              </w:tabs>
              <w:suppressAutoHyphens/>
              <w:rPr>
                <w:rFonts w:ascii="Arial" w:hAnsi="Arial" w:cs="Arial"/>
                <w:szCs w:val="24"/>
              </w:rPr>
            </w:pPr>
            <w:r>
              <w:rPr>
                <w:rFonts w:ascii="Arial" w:hAnsi="Arial" w:cs="Arial"/>
                <w:szCs w:val="24"/>
              </w:rPr>
              <w:t>1</w:t>
            </w:r>
          </w:p>
        </w:tc>
      </w:tr>
      <w:tr w:rsidR="0073225D" w:rsidRPr="008C3E74" w14:paraId="10EF44F7" w14:textId="77777777" w:rsidTr="007765A6">
        <w:tc>
          <w:tcPr>
            <w:tcW w:w="8208" w:type="dxa"/>
            <w:gridSpan w:val="2"/>
            <w:vAlign w:val="bottom"/>
          </w:tcPr>
          <w:p w14:paraId="5A81EE4A" w14:textId="77777777" w:rsidR="0073225D" w:rsidRPr="008C3E74" w:rsidRDefault="0073225D" w:rsidP="00951609">
            <w:pPr>
              <w:pStyle w:val="EndnoteText"/>
              <w:tabs>
                <w:tab w:val="left" w:pos="360"/>
              </w:tabs>
              <w:suppressAutoHyphens/>
              <w:ind w:left="360"/>
              <w:rPr>
                <w:rFonts w:ascii="Arial" w:hAnsi="Arial" w:cs="Arial"/>
                <w:szCs w:val="24"/>
              </w:rPr>
            </w:pPr>
          </w:p>
        </w:tc>
        <w:tc>
          <w:tcPr>
            <w:tcW w:w="1278" w:type="dxa"/>
            <w:gridSpan w:val="2"/>
            <w:vAlign w:val="bottom"/>
          </w:tcPr>
          <w:p w14:paraId="459F7243" w14:textId="77777777" w:rsidR="0073225D" w:rsidRPr="008C3E74" w:rsidRDefault="0073225D" w:rsidP="00951609">
            <w:pPr>
              <w:pStyle w:val="EndnoteText"/>
              <w:tabs>
                <w:tab w:val="decimal" w:pos="576"/>
              </w:tabs>
              <w:suppressAutoHyphens/>
              <w:rPr>
                <w:rFonts w:ascii="Arial" w:hAnsi="Arial" w:cs="Arial"/>
                <w:szCs w:val="24"/>
              </w:rPr>
            </w:pPr>
          </w:p>
        </w:tc>
      </w:tr>
      <w:tr w:rsidR="0073225D" w:rsidRPr="008C3E74" w14:paraId="5072F819" w14:textId="77777777" w:rsidTr="007765A6">
        <w:tc>
          <w:tcPr>
            <w:tcW w:w="8208" w:type="dxa"/>
            <w:gridSpan w:val="2"/>
            <w:vAlign w:val="bottom"/>
          </w:tcPr>
          <w:p w14:paraId="222D298F" w14:textId="6F7C815F" w:rsidR="0073225D" w:rsidRPr="008C3E74" w:rsidRDefault="0073225D" w:rsidP="0073225D">
            <w:pPr>
              <w:pStyle w:val="EndnoteText"/>
              <w:tabs>
                <w:tab w:val="left" w:pos="360"/>
              </w:tabs>
              <w:suppressAutoHyphens/>
              <w:ind w:left="360" w:hanging="360"/>
              <w:rPr>
                <w:rFonts w:ascii="Arial" w:hAnsi="Arial" w:cs="Arial"/>
                <w:szCs w:val="24"/>
              </w:rPr>
            </w:pPr>
            <w:r w:rsidRPr="00245DB5">
              <w:rPr>
                <w:rFonts w:ascii="Arial" w:hAnsi="Arial" w:cs="Arial"/>
                <w:b/>
                <w:szCs w:val="24"/>
              </w:rPr>
              <w:t xml:space="preserve">FINANCIAL REVIEW </w:t>
            </w:r>
          </w:p>
        </w:tc>
        <w:tc>
          <w:tcPr>
            <w:tcW w:w="1278" w:type="dxa"/>
            <w:gridSpan w:val="2"/>
            <w:vAlign w:val="bottom"/>
          </w:tcPr>
          <w:p w14:paraId="39A029DE" w14:textId="77777777" w:rsidR="0073225D" w:rsidRPr="008C3E74" w:rsidRDefault="0073225D" w:rsidP="0073225D">
            <w:pPr>
              <w:pStyle w:val="EndnoteText"/>
              <w:tabs>
                <w:tab w:val="decimal" w:pos="576"/>
              </w:tabs>
              <w:suppressAutoHyphens/>
              <w:rPr>
                <w:rFonts w:ascii="Arial" w:hAnsi="Arial" w:cs="Arial"/>
                <w:szCs w:val="24"/>
              </w:rPr>
            </w:pPr>
          </w:p>
        </w:tc>
      </w:tr>
      <w:tr w:rsidR="0073225D" w:rsidRPr="008C3E74" w14:paraId="79A59204" w14:textId="77777777" w:rsidTr="007765A6">
        <w:tc>
          <w:tcPr>
            <w:tcW w:w="8208" w:type="dxa"/>
            <w:gridSpan w:val="2"/>
            <w:vAlign w:val="bottom"/>
          </w:tcPr>
          <w:p w14:paraId="352F99F9" w14:textId="77777777" w:rsidR="0073225D" w:rsidRPr="008C3E74" w:rsidRDefault="0073225D" w:rsidP="0073225D">
            <w:pPr>
              <w:pStyle w:val="EndnoteText"/>
              <w:tabs>
                <w:tab w:val="left" w:pos="360"/>
              </w:tabs>
              <w:suppressAutoHyphens/>
              <w:ind w:left="360"/>
              <w:rPr>
                <w:rFonts w:ascii="Arial" w:hAnsi="Arial" w:cs="Arial"/>
                <w:szCs w:val="24"/>
              </w:rPr>
            </w:pPr>
          </w:p>
        </w:tc>
        <w:tc>
          <w:tcPr>
            <w:tcW w:w="1278" w:type="dxa"/>
            <w:gridSpan w:val="2"/>
            <w:vAlign w:val="bottom"/>
          </w:tcPr>
          <w:p w14:paraId="7E32B062" w14:textId="77777777" w:rsidR="0073225D" w:rsidRPr="008C3E74" w:rsidRDefault="0073225D" w:rsidP="0073225D">
            <w:pPr>
              <w:pStyle w:val="EndnoteText"/>
              <w:tabs>
                <w:tab w:val="decimal" w:pos="576"/>
              </w:tabs>
              <w:suppressAutoHyphens/>
              <w:rPr>
                <w:rFonts w:ascii="Arial" w:hAnsi="Arial" w:cs="Arial"/>
                <w:szCs w:val="24"/>
              </w:rPr>
            </w:pPr>
          </w:p>
        </w:tc>
      </w:tr>
      <w:tr w:rsidR="0073225D" w:rsidRPr="008C3E74" w14:paraId="09E662FC" w14:textId="77777777" w:rsidTr="007765A6">
        <w:tc>
          <w:tcPr>
            <w:tcW w:w="8208" w:type="dxa"/>
            <w:gridSpan w:val="2"/>
            <w:vAlign w:val="bottom"/>
          </w:tcPr>
          <w:p w14:paraId="46A652D4" w14:textId="77777777" w:rsidR="0073225D" w:rsidRPr="008C3E74" w:rsidRDefault="0073225D" w:rsidP="0073225D">
            <w:pPr>
              <w:pStyle w:val="EndnoteText"/>
              <w:tabs>
                <w:tab w:val="left" w:pos="360"/>
              </w:tabs>
              <w:suppressAutoHyphens/>
              <w:ind w:left="360"/>
              <w:rPr>
                <w:rFonts w:ascii="Arial" w:hAnsi="Arial" w:cs="Arial"/>
                <w:szCs w:val="24"/>
              </w:rPr>
            </w:pPr>
            <w:r w:rsidRPr="008C3E74">
              <w:rPr>
                <w:rFonts w:ascii="Arial" w:hAnsi="Arial" w:cs="Arial"/>
                <w:szCs w:val="24"/>
              </w:rPr>
              <w:t>Independent Auditor's Report</w:t>
            </w:r>
          </w:p>
        </w:tc>
        <w:tc>
          <w:tcPr>
            <w:tcW w:w="1278" w:type="dxa"/>
            <w:gridSpan w:val="2"/>
            <w:vAlign w:val="bottom"/>
          </w:tcPr>
          <w:p w14:paraId="75C461BC" w14:textId="2E300851" w:rsidR="0073225D" w:rsidRPr="008C3E74" w:rsidRDefault="0073225D" w:rsidP="0073225D">
            <w:pPr>
              <w:pStyle w:val="EndnoteText"/>
              <w:tabs>
                <w:tab w:val="decimal" w:pos="576"/>
              </w:tabs>
              <w:suppressAutoHyphens/>
              <w:rPr>
                <w:rFonts w:ascii="Arial" w:hAnsi="Arial" w:cs="Arial"/>
                <w:szCs w:val="24"/>
              </w:rPr>
            </w:pPr>
            <w:r>
              <w:rPr>
                <w:rFonts w:ascii="Arial" w:hAnsi="Arial" w:cs="Arial"/>
                <w:szCs w:val="24"/>
              </w:rPr>
              <w:t>2</w:t>
            </w:r>
          </w:p>
        </w:tc>
      </w:tr>
      <w:tr w:rsidR="0073225D" w:rsidRPr="008C3E74" w14:paraId="5FAA0975" w14:textId="77777777" w:rsidTr="007765A6">
        <w:tc>
          <w:tcPr>
            <w:tcW w:w="8208" w:type="dxa"/>
            <w:gridSpan w:val="2"/>
            <w:vAlign w:val="bottom"/>
          </w:tcPr>
          <w:p w14:paraId="6670106C" w14:textId="77777777" w:rsidR="0073225D" w:rsidRPr="008C3E74" w:rsidRDefault="0073225D" w:rsidP="0073225D">
            <w:pPr>
              <w:pStyle w:val="EndnoteText"/>
              <w:suppressAutoHyphens/>
              <w:rPr>
                <w:rFonts w:ascii="Arial" w:hAnsi="Arial" w:cs="Arial"/>
                <w:szCs w:val="24"/>
              </w:rPr>
            </w:pPr>
          </w:p>
        </w:tc>
        <w:tc>
          <w:tcPr>
            <w:tcW w:w="1278" w:type="dxa"/>
            <w:gridSpan w:val="2"/>
            <w:vAlign w:val="bottom"/>
          </w:tcPr>
          <w:p w14:paraId="7432E5E2" w14:textId="77777777" w:rsidR="0073225D" w:rsidRPr="008C3E74" w:rsidRDefault="0073225D" w:rsidP="0073225D">
            <w:pPr>
              <w:pStyle w:val="EndnoteText"/>
              <w:tabs>
                <w:tab w:val="decimal" w:pos="576"/>
              </w:tabs>
              <w:suppressAutoHyphens/>
              <w:rPr>
                <w:rFonts w:ascii="Arial" w:hAnsi="Arial" w:cs="Arial"/>
                <w:szCs w:val="24"/>
              </w:rPr>
            </w:pPr>
          </w:p>
        </w:tc>
      </w:tr>
      <w:tr w:rsidR="0073225D" w:rsidRPr="00DB0C40" w14:paraId="42C47233" w14:textId="77777777" w:rsidTr="007765A6">
        <w:trPr>
          <w:gridBefore w:val="1"/>
          <w:gridAfter w:val="1"/>
          <w:wBefore w:w="18" w:type="dxa"/>
          <w:wAfter w:w="18" w:type="dxa"/>
        </w:trPr>
        <w:tc>
          <w:tcPr>
            <w:tcW w:w="8190" w:type="dxa"/>
            <w:vAlign w:val="bottom"/>
          </w:tcPr>
          <w:p w14:paraId="1939BF2C" w14:textId="116E869B" w:rsidR="0073225D" w:rsidRPr="008C3E74" w:rsidRDefault="0073225D" w:rsidP="0073225D">
            <w:pPr>
              <w:pStyle w:val="EndnoteText"/>
              <w:suppressAutoHyphens/>
              <w:ind w:left="360"/>
              <w:rPr>
                <w:rFonts w:ascii="Arial" w:hAnsi="Arial" w:cs="Arial"/>
                <w:szCs w:val="24"/>
              </w:rPr>
            </w:pPr>
            <w:r>
              <w:rPr>
                <w:rFonts w:ascii="Arial" w:hAnsi="Arial" w:cs="Arial"/>
                <w:szCs w:val="24"/>
              </w:rPr>
              <w:t xml:space="preserve">Condensed </w:t>
            </w:r>
            <w:r w:rsidRPr="00936DE2">
              <w:rPr>
                <w:rFonts w:ascii="Arial" w:hAnsi="Arial" w:cs="Arial"/>
                <w:szCs w:val="24"/>
              </w:rPr>
              <w:t xml:space="preserve">Statement </w:t>
            </w:r>
            <w:r>
              <w:rPr>
                <w:rFonts w:ascii="Arial" w:hAnsi="Arial" w:cs="Arial"/>
                <w:szCs w:val="24"/>
              </w:rPr>
              <w:t>o</w:t>
            </w:r>
            <w:r w:rsidRPr="00936DE2">
              <w:rPr>
                <w:rFonts w:ascii="Arial" w:hAnsi="Arial" w:cs="Arial"/>
                <w:szCs w:val="24"/>
              </w:rPr>
              <w:t xml:space="preserve">f </w:t>
            </w:r>
            <w:r>
              <w:rPr>
                <w:rFonts w:ascii="Arial" w:hAnsi="Arial" w:cs="Arial"/>
                <w:szCs w:val="24"/>
              </w:rPr>
              <w:t>Non-</w:t>
            </w:r>
            <w:proofErr w:type="spellStart"/>
            <w:r>
              <w:rPr>
                <w:rFonts w:ascii="Arial" w:hAnsi="Arial" w:cs="Arial"/>
                <w:szCs w:val="24"/>
              </w:rPr>
              <w:t>Bypassable</w:t>
            </w:r>
            <w:proofErr w:type="spellEnd"/>
            <w:r>
              <w:rPr>
                <w:rFonts w:ascii="Arial" w:hAnsi="Arial" w:cs="Arial"/>
                <w:szCs w:val="24"/>
              </w:rPr>
              <w:t xml:space="preserve"> </w:t>
            </w:r>
            <w:r w:rsidRPr="008C3E74">
              <w:rPr>
                <w:rFonts w:ascii="Arial" w:hAnsi="Arial" w:cs="Arial"/>
                <w:szCs w:val="24"/>
              </w:rPr>
              <w:t xml:space="preserve">Transmission Service Charge </w:t>
            </w:r>
            <w:r>
              <w:rPr>
                <w:rFonts w:ascii="Arial" w:hAnsi="Arial" w:cs="Arial"/>
                <w:szCs w:val="24"/>
              </w:rPr>
              <w:t xml:space="preserve">(NBT) </w:t>
            </w:r>
            <w:r w:rsidRPr="00936DE2">
              <w:rPr>
                <w:rFonts w:ascii="Arial" w:hAnsi="Arial" w:cs="Arial"/>
                <w:szCs w:val="24"/>
              </w:rPr>
              <w:t>Over/(Under) Collections</w:t>
            </w:r>
            <w:r>
              <w:rPr>
                <w:rFonts w:ascii="Arial" w:hAnsi="Arial" w:cs="Arial"/>
                <w:szCs w:val="24"/>
              </w:rPr>
              <w:t xml:space="preserve"> (Section 1307(e))</w:t>
            </w:r>
            <w:r w:rsidRPr="00936DE2">
              <w:rPr>
                <w:rFonts w:ascii="Arial" w:hAnsi="Arial" w:cs="Arial"/>
                <w:szCs w:val="24"/>
              </w:rPr>
              <w:t xml:space="preserve"> </w:t>
            </w:r>
            <w:r>
              <w:rPr>
                <w:rFonts w:ascii="Arial" w:hAnsi="Arial" w:cs="Arial"/>
                <w:szCs w:val="24"/>
              </w:rPr>
              <w:t>f</w:t>
            </w:r>
            <w:r w:rsidRPr="008C3E74">
              <w:rPr>
                <w:rFonts w:ascii="Arial" w:hAnsi="Arial" w:cs="Arial"/>
                <w:szCs w:val="24"/>
              </w:rPr>
              <w:t xml:space="preserve">or </w:t>
            </w:r>
            <w:r>
              <w:rPr>
                <w:rFonts w:ascii="Arial" w:hAnsi="Arial" w:cs="Arial"/>
                <w:szCs w:val="24"/>
              </w:rPr>
              <w:t>t</w:t>
            </w:r>
            <w:r w:rsidRPr="008C3E74">
              <w:rPr>
                <w:rFonts w:ascii="Arial" w:hAnsi="Arial" w:cs="Arial"/>
                <w:szCs w:val="24"/>
              </w:rPr>
              <w:t xml:space="preserve">he </w:t>
            </w:r>
            <w:r>
              <w:rPr>
                <w:rFonts w:ascii="Arial" w:hAnsi="Arial" w:cs="Arial"/>
                <w:szCs w:val="24"/>
              </w:rPr>
              <w:t>twelve</w:t>
            </w:r>
            <w:r w:rsidRPr="008C3E74">
              <w:rPr>
                <w:rFonts w:ascii="Arial" w:hAnsi="Arial" w:cs="Arial"/>
                <w:szCs w:val="24"/>
              </w:rPr>
              <w:t xml:space="preserve"> </w:t>
            </w:r>
            <w:r>
              <w:rPr>
                <w:rFonts w:ascii="Arial" w:hAnsi="Arial" w:cs="Arial"/>
                <w:szCs w:val="24"/>
              </w:rPr>
              <w:t>m</w:t>
            </w:r>
            <w:r w:rsidRPr="008C3E74">
              <w:rPr>
                <w:rFonts w:ascii="Arial" w:hAnsi="Arial" w:cs="Arial"/>
                <w:szCs w:val="24"/>
              </w:rPr>
              <w:t xml:space="preserve">onths </w:t>
            </w:r>
            <w:r>
              <w:rPr>
                <w:rFonts w:ascii="Arial" w:hAnsi="Arial" w:cs="Arial"/>
                <w:szCs w:val="24"/>
              </w:rPr>
              <w:t>e</w:t>
            </w:r>
            <w:r w:rsidRPr="008C3E74">
              <w:rPr>
                <w:rFonts w:ascii="Arial" w:hAnsi="Arial" w:cs="Arial"/>
                <w:szCs w:val="24"/>
              </w:rPr>
              <w:t xml:space="preserve">nded </w:t>
            </w:r>
            <w:r>
              <w:rPr>
                <w:rFonts w:ascii="Arial" w:hAnsi="Arial" w:cs="Arial"/>
                <w:szCs w:val="24"/>
              </w:rPr>
              <w:t>November</w:t>
            </w:r>
            <w:r w:rsidRPr="008C3E74">
              <w:rPr>
                <w:rFonts w:ascii="Arial" w:hAnsi="Arial" w:cs="Arial"/>
                <w:szCs w:val="24"/>
              </w:rPr>
              <w:t xml:space="preserve"> 3</w:t>
            </w:r>
            <w:r>
              <w:rPr>
                <w:rFonts w:ascii="Arial" w:hAnsi="Arial" w:cs="Arial"/>
                <w:szCs w:val="24"/>
              </w:rPr>
              <w:t>0</w:t>
            </w:r>
            <w:r w:rsidRPr="008C3E74">
              <w:rPr>
                <w:rFonts w:ascii="Arial" w:hAnsi="Arial" w:cs="Arial"/>
                <w:szCs w:val="24"/>
              </w:rPr>
              <w:t>, 201</w:t>
            </w:r>
            <w:r>
              <w:rPr>
                <w:rFonts w:ascii="Arial" w:hAnsi="Arial" w:cs="Arial"/>
                <w:szCs w:val="24"/>
              </w:rPr>
              <w:t>7</w:t>
            </w:r>
          </w:p>
        </w:tc>
        <w:tc>
          <w:tcPr>
            <w:tcW w:w="1260" w:type="dxa"/>
            <w:vAlign w:val="bottom"/>
          </w:tcPr>
          <w:p w14:paraId="5767C384" w14:textId="5699FE70" w:rsidR="0073225D" w:rsidRPr="008C3E74" w:rsidRDefault="0073225D" w:rsidP="0073225D">
            <w:pPr>
              <w:pStyle w:val="EndnoteText"/>
              <w:tabs>
                <w:tab w:val="decimal" w:pos="576"/>
              </w:tabs>
              <w:suppressAutoHyphens/>
              <w:rPr>
                <w:rFonts w:ascii="Arial" w:hAnsi="Arial" w:cs="Arial"/>
                <w:szCs w:val="24"/>
              </w:rPr>
            </w:pPr>
            <w:r>
              <w:rPr>
                <w:rFonts w:ascii="Arial" w:hAnsi="Arial" w:cs="Arial"/>
                <w:szCs w:val="24"/>
              </w:rPr>
              <w:t>4</w:t>
            </w:r>
          </w:p>
        </w:tc>
      </w:tr>
      <w:tr w:rsidR="0073225D" w:rsidRPr="008C3E74" w14:paraId="13779DB9" w14:textId="77777777" w:rsidTr="007765A6">
        <w:tc>
          <w:tcPr>
            <w:tcW w:w="8208" w:type="dxa"/>
            <w:gridSpan w:val="2"/>
            <w:vAlign w:val="bottom"/>
          </w:tcPr>
          <w:p w14:paraId="055DE0CD" w14:textId="77777777" w:rsidR="0073225D" w:rsidRDefault="0073225D" w:rsidP="0073225D">
            <w:pPr>
              <w:pStyle w:val="EndnoteText"/>
              <w:tabs>
                <w:tab w:val="left" w:pos="-720"/>
                <w:tab w:val="left" w:pos="360"/>
                <w:tab w:val="left" w:pos="540"/>
                <w:tab w:val="left" w:pos="810"/>
                <w:tab w:val="left" w:pos="9180"/>
              </w:tabs>
              <w:suppressAutoHyphens/>
              <w:rPr>
                <w:rFonts w:ascii="Arial" w:hAnsi="Arial" w:cs="Arial"/>
                <w:szCs w:val="24"/>
              </w:rPr>
            </w:pPr>
          </w:p>
        </w:tc>
        <w:tc>
          <w:tcPr>
            <w:tcW w:w="1278" w:type="dxa"/>
            <w:gridSpan w:val="2"/>
            <w:vAlign w:val="bottom"/>
          </w:tcPr>
          <w:p w14:paraId="7D85DCE1" w14:textId="77777777" w:rsidR="0073225D" w:rsidRPr="008C3E74" w:rsidRDefault="0073225D" w:rsidP="0073225D">
            <w:pPr>
              <w:pStyle w:val="EndnoteText"/>
              <w:tabs>
                <w:tab w:val="decimal" w:pos="576"/>
              </w:tabs>
              <w:suppressAutoHyphens/>
              <w:rPr>
                <w:rFonts w:ascii="Arial" w:hAnsi="Arial" w:cs="Arial"/>
                <w:szCs w:val="24"/>
              </w:rPr>
            </w:pPr>
          </w:p>
        </w:tc>
      </w:tr>
      <w:tr w:rsidR="0073225D" w:rsidRPr="008C3E74" w14:paraId="097CB6A2" w14:textId="77777777" w:rsidTr="007765A6">
        <w:tc>
          <w:tcPr>
            <w:tcW w:w="8208" w:type="dxa"/>
            <w:gridSpan w:val="2"/>
            <w:vAlign w:val="bottom"/>
          </w:tcPr>
          <w:p w14:paraId="336973E0" w14:textId="77777777" w:rsidR="0073225D" w:rsidRDefault="0073225D" w:rsidP="0073225D">
            <w:pPr>
              <w:pStyle w:val="EndnoteText"/>
              <w:suppressAutoHyphens/>
              <w:ind w:left="360"/>
              <w:rPr>
                <w:rFonts w:ascii="Arial" w:hAnsi="Arial" w:cs="Arial"/>
                <w:szCs w:val="24"/>
              </w:rPr>
            </w:pPr>
            <w:r>
              <w:rPr>
                <w:rFonts w:ascii="Arial" w:hAnsi="Arial" w:cs="Arial"/>
                <w:szCs w:val="24"/>
              </w:rPr>
              <w:t xml:space="preserve">Condensed </w:t>
            </w:r>
            <w:r w:rsidRPr="00936DE2">
              <w:rPr>
                <w:rFonts w:ascii="Arial" w:hAnsi="Arial" w:cs="Arial"/>
                <w:szCs w:val="24"/>
              </w:rPr>
              <w:t xml:space="preserve">Statement </w:t>
            </w:r>
            <w:r>
              <w:rPr>
                <w:rFonts w:ascii="Arial" w:hAnsi="Arial" w:cs="Arial"/>
                <w:szCs w:val="24"/>
              </w:rPr>
              <w:t>o</w:t>
            </w:r>
            <w:r w:rsidRPr="00936DE2">
              <w:rPr>
                <w:rFonts w:ascii="Arial" w:hAnsi="Arial" w:cs="Arial"/>
                <w:szCs w:val="24"/>
              </w:rPr>
              <w:t xml:space="preserve">f </w:t>
            </w:r>
            <w:r>
              <w:rPr>
                <w:rFonts w:ascii="Arial" w:hAnsi="Arial" w:cs="Arial"/>
                <w:szCs w:val="24"/>
              </w:rPr>
              <w:t>Non-</w:t>
            </w:r>
            <w:proofErr w:type="spellStart"/>
            <w:r>
              <w:rPr>
                <w:rFonts w:ascii="Arial" w:hAnsi="Arial" w:cs="Arial"/>
                <w:szCs w:val="24"/>
              </w:rPr>
              <w:t>Bypassable</w:t>
            </w:r>
            <w:proofErr w:type="spellEnd"/>
            <w:r>
              <w:rPr>
                <w:rFonts w:ascii="Arial" w:hAnsi="Arial" w:cs="Arial"/>
                <w:szCs w:val="24"/>
              </w:rPr>
              <w:t xml:space="preserve"> </w:t>
            </w:r>
            <w:r w:rsidRPr="008C3E74">
              <w:rPr>
                <w:rFonts w:ascii="Arial" w:hAnsi="Arial" w:cs="Arial"/>
                <w:szCs w:val="24"/>
              </w:rPr>
              <w:t xml:space="preserve">Transmission Service Charge </w:t>
            </w:r>
            <w:r>
              <w:rPr>
                <w:rFonts w:ascii="Arial" w:hAnsi="Arial" w:cs="Arial"/>
                <w:szCs w:val="24"/>
              </w:rPr>
              <w:t xml:space="preserve">(NBT) </w:t>
            </w:r>
            <w:r w:rsidRPr="00936DE2">
              <w:rPr>
                <w:rFonts w:ascii="Arial" w:hAnsi="Arial" w:cs="Arial"/>
                <w:szCs w:val="24"/>
              </w:rPr>
              <w:t>Over/(Under) Collections</w:t>
            </w:r>
            <w:r>
              <w:rPr>
                <w:rFonts w:ascii="Arial" w:hAnsi="Arial" w:cs="Arial"/>
                <w:szCs w:val="24"/>
              </w:rPr>
              <w:t xml:space="preserve"> (Section 1307(e))</w:t>
            </w:r>
            <w:r w:rsidRPr="00936DE2">
              <w:rPr>
                <w:rFonts w:ascii="Arial" w:hAnsi="Arial" w:cs="Arial"/>
                <w:szCs w:val="24"/>
              </w:rPr>
              <w:t xml:space="preserve"> </w:t>
            </w:r>
            <w:r>
              <w:rPr>
                <w:rFonts w:ascii="Arial" w:hAnsi="Arial" w:cs="Arial"/>
                <w:szCs w:val="24"/>
              </w:rPr>
              <w:t>f</w:t>
            </w:r>
            <w:r w:rsidRPr="008C3E74">
              <w:rPr>
                <w:rFonts w:ascii="Arial" w:hAnsi="Arial" w:cs="Arial"/>
                <w:szCs w:val="24"/>
              </w:rPr>
              <w:t xml:space="preserve">or </w:t>
            </w:r>
            <w:r>
              <w:rPr>
                <w:rFonts w:ascii="Arial" w:hAnsi="Arial" w:cs="Arial"/>
                <w:szCs w:val="24"/>
              </w:rPr>
              <w:t>t</w:t>
            </w:r>
            <w:r w:rsidRPr="008C3E74">
              <w:rPr>
                <w:rFonts w:ascii="Arial" w:hAnsi="Arial" w:cs="Arial"/>
                <w:szCs w:val="24"/>
              </w:rPr>
              <w:t xml:space="preserve">he </w:t>
            </w:r>
          </w:p>
          <w:p w14:paraId="6EEA90F4" w14:textId="5F2AEBD4" w:rsidR="0073225D" w:rsidRPr="008C3E74" w:rsidRDefault="0073225D" w:rsidP="0073225D">
            <w:pPr>
              <w:pStyle w:val="EndnoteText"/>
              <w:suppressAutoHyphens/>
              <w:ind w:left="360"/>
              <w:rPr>
                <w:rFonts w:ascii="Arial" w:hAnsi="Arial" w:cs="Arial"/>
                <w:szCs w:val="24"/>
              </w:rPr>
            </w:pPr>
            <w:r>
              <w:rPr>
                <w:rFonts w:ascii="Arial" w:hAnsi="Arial" w:cs="Arial"/>
                <w:szCs w:val="24"/>
              </w:rPr>
              <w:t>twelve</w:t>
            </w:r>
            <w:r w:rsidRPr="008C3E74">
              <w:rPr>
                <w:rFonts w:ascii="Arial" w:hAnsi="Arial" w:cs="Arial"/>
                <w:szCs w:val="24"/>
              </w:rPr>
              <w:t xml:space="preserve"> </w:t>
            </w:r>
            <w:r>
              <w:rPr>
                <w:rFonts w:ascii="Arial" w:hAnsi="Arial" w:cs="Arial"/>
                <w:szCs w:val="24"/>
              </w:rPr>
              <w:t>m</w:t>
            </w:r>
            <w:r w:rsidRPr="008C3E74">
              <w:rPr>
                <w:rFonts w:ascii="Arial" w:hAnsi="Arial" w:cs="Arial"/>
                <w:szCs w:val="24"/>
              </w:rPr>
              <w:t xml:space="preserve">onths </w:t>
            </w:r>
            <w:r>
              <w:rPr>
                <w:rFonts w:ascii="Arial" w:hAnsi="Arial" w:cs="Arial"/>
                <w:szCs w:val="24"/>
              </w:rPr>
              <w:t>e</w:t>
            </w:r>
            <w:r w:rsidRPr="008C3E74">
              <w:rPr>
                <w:rFonts w:ascii="Arial" w:hAnsi="Arial" w:cs="Arial"/>
                <w:szCs w:val="24"/>
              </w:rPr>
              <w:t xml:space="preserve">nded </w:t>
            </w:r>
            <w:r>
              <w:rPr>
                <w:rFonts w:ascii="Arial" w:hAnsi="Arial" w:cs="Arial"/>
                <w:szCs w:val="24"/>
              </w:rPr>
              <w:t>November</w:t>
            </w:r>
            <w:r w:rsidRPr="008C3E74">
              <w:rPr>
                <w:rFonts w:ascii="Arial" w:hAnsi="Arial" w:cs="Arial"/>
                <w:szCs w:val="24"/>
              </w:rPr>
              <w:t xml:space="preserve"> 3</w:t>
            </w:r>
            <w:r>
              <w:rPr>
                <w:rFonts w:ascii="Arial" w:hAnsi="Arial" w:cs="Arial"/>
                <w:szCs w:val="24"/>
              </w:rPr>
              <w:t>0</w:t>
            </w:r>
            <w:r w:rsidRPr="008C3E74">
              <w:rPr>
                <w:rFonts w:ascii="Arial" w:hAnsi="Arial" w:cs="Arial"/>
                <w:szCs w:val="24"/>
              </w:rPr>
              <w:t>, 201</w:t>
            </w:r>
            <w:r>
              <w:rPr>
                <w:rFonts w:ascii="Arial" w:hAnsi="Arial" w:cs="Arial"/>
                <w:szCs w:val="24"/>
              </w:rPr>
              <w:t>6</w:t>
            </w:r>
          </w:p>
        </w:tc>
        <w:tc>
          <w:tcPr>
            <w:tcW w:w="1278" w:type="dxa"/>
            <w:gridSpan w:val="2"/>
            <w:vAlign w:val="bottom"/>
          </w:tcPr>
          <w:p w14:paraId="37C7DD2C" w14:textId="10BD8269" w:rsidR="0073225D" w:rsidRPr="008C3E74" w:rsidRDefault="0073225D" w:rsidP="0073225D">
            <w:pPr>
              <w:pStyle w:val="EndnoteText"/>
              <w:tabs>
                <w:tab w:val="decimal" w:pos="576"/>
              </w:tabs>
              <w:suppressAutoHyphens/>
              <w:rPr>
                <w:rFonts w:ascii="Arial" w:hAnsi="Arial" w:cs="Arial"/>
                <w:szCs w:val="24"/>
              </w:rPr>
            </w:pPr>
            <w:r>
              <w:rPr>
                <w:rFonts w:ascii="Arial" w:hAnsi="Arial" w:cs="Arial"/>
                <w:szCs w:val="24"/>
              </w:rPr>
              <w:t>5</w:t>
            </w:r>
          </w:p>
        </w:tc>
      </w:tr>
      <w:tr w:rsidR="0073225D" w:rsidRPr="008C3E74" w14:paraId="1EC92E5E" w14:textId="77777777" w:rsidTr="007765A6">
        <w:tc>
          <w:tcPr>
            <w:tcW w:w="8208" w:type="dxa"/>
            <w:gridSpan w:val="2"/>
            <w:vAlign w:val="bottom"/>
          </w:tcPr>
          <w:p w14:paraId="10770992" w14:textId="77777777" w:rsidR="0073225D" w:rsidRDefault="0073225D" w:rsidP="0073225D">
            <w:pPr>
              <w:pStyle w:val="EndnoteText"/>
              <w:tabs>
                <w:tab w:val="left" w:pos="-720"/>
                <w:tab w:val="left" w:pos="360"/>
                <w:tab w:val="left" w:pos="540"/>
                <w:tab w:val="left" w:pos="810"/>
                <w:tab w:val="left" w:pos="9180"/>
              </w:tabs>
              <w:suppressAutoHyphens/>
              <w:rPr>
                <w:rFonts w:ascii="Arial" w:hAnsi="Arial" w:cs="Arial"/>
                <w:szCs w:val="24"/>
              </w:rPr>
            </w:pPr>
          </w:p>
        </w:tc>
        <w:tc>
          <w:tcPr>
            <w:tcW w:w="1278" w:type="dxa"/>
            <w:gridSpan w:val="2"/>
            <w:vAlign w:val="bottom"/>
          </w:tcPr>
          <w:p w14:paraId="41B6D9AA" w14:textId="77777777" w:rsidR="0073225D" w:rsidRPr="008C3E74" w:rsidRDefault="0073225D" w:rsidP="0073225D">
            <w:pPr>
              <w:pStyle w:val="EndnoteText"/>
              <w:tabs>
                <w:tab w:val="decimal" w:pos="576"/>
              </w:tabs>
              <w:suppressAutoHyphens/>
              <w:rPr>
                <w:rFonts w:ascii="Arial" w:hAnsi="Arial" w:cs="Arial"/>
                <w:szCs w:val="24"/>
              </w:rPr>
            </w:pPr>
          </w:p>
        </w:tc>
      </w:tr>
      <w:tr w:rsidR="0073225D" w:rsidRPr="008C3E74" w14:paraId="37E1AE34" w14:textId="77777777" w:rsidTr="007765A6">
        <w:tc>
          <w:tcPr>
            <w:tcW w:w="8208" w:type="dxa"/>
            <w:gridSpan w:val="2"/>
            <w:vAlign w:val="bottom"/>
          </w:tcPr>
          <w:p w14:paraId="27049D4C" w14:textId="77777777" w:rsidR="0073225D" w:rsidRPr="008C3E74" w:rsidRDefault="0073225D" w:rsidP="0073225D">
            <w:pPr>
              <w:pStyle w:val="EndnoteText"/>
              <w:ind w:left="360"/>
              <w:rPr>
                <w:rFonts w:ascii="Arial" w:hAnsi="Arial" w:cs="Arial"/>
                <w:szCs w:val="24"/>
              </w:rPr>
            </w:pPr>
            <w:r w:rsidRPr="008C3E74">
              <w:rPr>
                <w:rFonts w:ascii="Arial" w:hAnsi="Arial" w:cs="Arial"/>
                <w:szCs w:val="24"/>
              </w:rPr>
              <w:t xml:space="preserve">Notes </w:t>
            </w:r>
            <w:r>
              <w:rPr>
                <w:rFonts w:ascii="Arial" w:hAnsi="Arial" w:cs="Arial"/>
                <w:szCs w:val="24"/>
              </w:rPr>
              <w:t>t</w:t>
            </w:r>
            <w:r w:rsidRPr="008C3E74">
              <w:rPr>
                <w:rFonts w:ascii="Arial" w:hAnsi="Arial" w:cs="Arial"/>
                <w:szCs w:val="24"/>
              </w:rPr>
              <w:t xml:space="preserve">o </w:t>
            </w:r>
            <w:r>
              <w:rPr>
                <w:rFonts w:ascii="Arial" w:hAnsi="Arial" w:cs="Arial"/>
                <w:szCs w:val="24"/>
              </w:rPr>
              <w:t>t</w:t>
            </w:r>
            <w:r w:rsidRPr="008C3E74">
              <w:rPr>
                <w:rFonts w:ascii="Arial" w:hAnsi="Arial" w:cs="Arial"/>
                <w:szCs w:val="24"/>
              </w:rPr>
              <w:t>he Financial Statement</w:t>
            </w:r>
            <w:r>
              <w:rPr>
                <w:rFonts w:ascii="Arial" w:hAnsi="Arial" w:cs="Arial"/>
                <w:szCs w:val="24"/>
              </w:rPr>
              <w:t>s</w:t>
            </w:r>
          </w:p>
        </w:tc>
        <w:tc>
          <w:tcPr>
            <w:tcW w:w="1278" w:type="dxa"/>
            <w:gridSpan w:val="2"/>
            <w:vAlign w:val="bottom"/>
          </w:tcPr>
          <w:p w14:paraId="77133B95" w14:textId="39E2FCFC" w:rsidR="0073225D" w:rsidRPr="008C3E74" w:rsidRDefault="0073225D" w:rsidP="0073225D">
            <w:pPr>
              <w:pStyle w:val="EndnoteText"/>
              <w:tabs>
                <w:tab w:val="decimal" w:pos="576"/>
              </w:tabs>
              <w:suppressAutoHyphens/>
              <w:rPr>
                <w:rFonts w:ascii="Arial" w:hAnsi="Arial" w:cs="Arial"/>
                <w:szCs w:val="24"/>
              </w:rPr>
            </w:pPr>
            <w:r>
              <w:rPr>
                <w:rFonts w:ascii="Arial" w:hAnsi="Arial" w:cs="Arial"/>
                <w:szCs w:val="24"/>
              </w:rPr>
              <w:t>6</w:t>
            </w:r>
          </w:p>
        </w:tc>
      </w:tr>
      <w:tr w:rsidR="0073225D" w:rsidRPr="008C3E74" w14:paraId="157584F9" w14:textId="77777777" w:rsidTr="007765A6">
        <w:tc>
          <w:tcPr>
            <w:tcW w:w="8208" w:type="dxa"/>
            <w:gridSpan w:val="2"/>
            <w:vAlign w:val="bottom"/>
          </w:tcPr>
          <w:p w14:paraId="67E4CA18" w14:textId="77777777" w:rsidR="0073225D" w:rsidRPr="009668FF" w:rsidRDefault="0073225D" w:rsidP="0073225D">
            <w:pPr>
              <w:pStyle w:val="EndnoteText"/>
              <w:tabs>
                <w:tab w:val="left" w:pos="540"/>
                <w:tab w:val="left" w:pos="810"/>
              </w:tabs>
              <w:rPr>
                <w:rFonts w:ascii="Arial" w:hAnsi="Arial" w:cs="Arial"/>
                <w:szCs w:val="24"/>
              </w:rPr>
            </w:pPr>
          </w:p>
        </w:tc>
        <w:tc>
          <w:tcPr>
            <w:tcW w:w="1278" w:type="dxa"/>
            <w:gridSpan w:val="2"/>
            <w:vAlign w:val="bottom"/>
          </w:tcPr>
          <w:p w14:paraId="4F29E651" w14:textId="77777777" w:rsidR="0073225D" w:rsidRPr="008C3E74" w:rsidRDefault="0073225D" w:rsidP="0073225D">
            <w:pPr>
              <w:pStyle w:val="EndnoteText"/>
              <w:tabs>
                <w:tab w:val="decimal" w:pos="576"/>
              </w:tabs>
              <w:suppressAutoHyphens/>
              <w:rPr>
                <w:rFonts w:ascii="Arial" w:hAnsi="Arial" w:cs="Arial"/>
                <w:szCs w:val="24"/>
              </w:rPr>
            </w:pPr>
          </w:p>
        </w:tc>
      </w:tr>
      <w:tr w:rsidR="0073225D" w:rsidRPr="008C3E74" w14:paraId="7A47C2E5" w14:textId="77777777" w:rsidTr="007765A6">
        <w:tc>
          <w:tcPr>
            <w:tcW w:w="8208" w:type="dxa"/>
            <w:gridSpan w:val="2"/>
            <w:vAlign w:val="bottom"/>
          </w:tcPr>
          <w:p w14:paraId="587B0C3D" w14:textId="04613D55" w:rsidR="0073225D" w:rsidRPr="00340C22" w:rsidRDefault="0073225D" w:rsidP="0073225D">
            <w:pPr>
              <w:pStyle w:val="EndnoteText"/>
              <w:tabs>
                <w:tab w:val="left" w:pos="540"/>
                <w:tab w:val="left" w:pos="810"/>
              </w:tabs>
              <w:rPr>
                <w:rFonts w:ascii="Arial" w:hAnsi="Arial" w:cs="Arial"/>
                <w:b/>
                <w:szCs w:val="24"/>
              </w:rPr>
            </w:pPr>
            <w:r w:rsidRPr="006C0444">
              <w:rPr>
                <w:rFonts w:ascii="Arial" w:hAnsi="Arial" w:cs="Arial"/>
                <w:b/>
                <w:szCs w:val="24"/>
              </w:rPr>
              <w:t>ACKNOWLEDGEMENT</w:t>
            </w:r>
          </w:p>
        </w:tc>
        <w:tc>
          <w:tcPr>
            <w:tcW w:w="1278" w:type="dxa"/>
            <w:gridSpan w:val="2"/>
            <w:vAlign w:val="bottom"/>
          </w:tcPr>
          <w:p w14:paraId="03915A74" w14:textId="77777777" w:rsidR="0073225D" w:rsidRPr="008C3E74" w:rsidRDefault="0073225D" w:rsidP="0073225D">
            <w:pPr>
              <w:pStyle w:val="EndnoteText"/>
              <w:tabs>
                <w:tab w:val="decimal" w:pos="576"/>
              </w:tabs>
              <w:suppressAutoHyphens/>
              <w:rPr>
                <w:rFonts w:ascii="Arial" w:hAnsi="Arial" w:cs="Arial"/>
                <w:szCs w:val="24"/>
              </w:rPr>
            </w:pPr>
            <w:r>
              <w:rPr>
                <w:rFonts w:ascii="Arial" w:hAnsi="Arial" w:cs="Arial"/>
                <w:szCs w:val="24"/>
              </w:rPr>
              <w:t>6</w:t>
            </w:r>
          </w:p>
        </w:tc>
      </w:tr>
    </w:tbl>
    <w:p w14:paraId="633E6E02" w14:textId="0A1AD8FC" w:rsidR="00EA0DAE" w:rsidRDefault="00EA0DAE" w:rsidP="00FB1D8B">
      <w:pPr>
        <w:tabs>
          <w:tab w:val="center" w:pos="4680"/>
        </w:tabs>
        <w:suppressAutoHyphens/>
        <w:rPr>
          <w:rFonts w:ascii="Arial" w:hAnsi="Arial" w:cs="Arial"/>
          <w:szCs w:val="24"/>
        </w:rPr>
      </w:pPr>
    </w:p>
    <w:p w14:paraId="3AB739AB" w14:textId="77777777" w:rsidR="00EA0DAE" w:rsidRDefault="00EA0DAE">
      <w:pPr>
        <w:overflowPunct/>
        <w:autoSpaceDE/>
        <w:autoSpaceDN/>
        <w:adjustRightInd/>
        <w:textAlignment w:val="auto"/>
        <w:rPr>
          <w:rFonts w:ascii="Arial" w:hAnsi="Arial" w:cs="Arial"/>
          <w:szCs w:val="24"/>
        </w:rPr>
        <w:sectPr w:rsidR="00EA0DAE" w:rsidSect="00C22987">
          <w:headerReference w:type="even" r:id="rId14"/>
          <w:headerReference w:type="default" r:id="rId15"/>
          <w:footerReference w:type="default" r:id="rId16"/>
          <w:headerReference w:type="first" r:id="rId17"/>
          <w:endnotePr>
            <w:numFmt w:val="decimal"/>
          </w:endnotePr>
          <w:pgSz w:w="12240" w:h="15840" w:code="1"/>
          <w:pgMar w:top="1440" w:right="1440" w:bottom="1008" w:left="1440" w:header="720" w:footer="720" w:gutter="0"/>
          <w:pgNumType w:start="1"/>
          <w:cols w:space="720"/>
          <w:noEndnote/>
          <w:docGrid w:linePitch="326"/>
        </w:sectPr>
      </w:pPr>
      <w:r>
        <w:rPr>
          <w:rFonts w:ascii="Arial" w:hAnsi="Arial" w:cs="Arial"/>
          <w:szCs w:val="24"/>
        </w:rPr>
        <w:br w:type="page"/>
      </w:r>
    </w:p>
    <w:p w14:paraId="1617F914" w14:textId="1B74641C" w:rsidR="00B61028" w:rsidRPr="0082428F" w:rsidRDefault="00846F2B" w:rsidP="00B61028">
      <w:pPr>
        <w:tabs>
          <w:tab w:val="left" w:pos="-1440"/>
          <w:tab w:val="left" w:pos="-720"/>
        </w:tabs>
        <w:suppressAutoHyphens/>
        <w:jc w:val="center"/>
        <w:rPr>
          <w:rFonts w:ascii="Arial" w:hAnsi="Arial" w:cs="Arial"/>
          <w:sz w:val="26"/>
          <w:szCs w:val="26"/>
        </w:rPr>
      </w:pPr>
      <w:r>
        <w:rPr>
          <w:rFonts w:ascii="Arial" w:hAnsi="Arial" w:cs="Arial"/>
          <w:b/>
          <w:sz w:val="26"/>
          <w:szCs w:val="26"/>
        </w:rPr>
        <w:lastRenderedPageBreak/>
        <w:t>B</w:t>
      </w:r>
      <w:r w:rsidR="00B61028" w:rsidRPr="0082428F">
        <w:rPr>
          <w:rFonts w:ascii="Arial" w:hAnsi="Arial" w:cs="Arial"/>
          <w:b/>
          <w:sz w:val="26"/>
          <w:szCs w:val="26"/>
        </w:rPr>
        <w:t>ackground</w:t>
      </w:r>
    </w:p>
    <w:p w14:paraId="30BB3DEC" w14:textId="77777777" w:rsidR="00B61028" w:rsidRDefault="00B61028" w:rsidP="00B61028">
      <w:pPr>
        <w:tabs>
          <w:tab w:val="left" w:pos="-1440"/>
          <w:tab w:val="left" w:pos="-720"/>
        </w:tabs>
        <w:suppressAutoHyphens/>
        <w:rPr>
          <w:rFonts w:ascii="Arial" w:hAnsi="Arial" w:cs="Arial"/>
          <w:szCs w:val="24"/>
        </w:rPr>
      </w:pPr>
    </w:p>
    <w:p w14:paraId="1A434F6B" w14:textId="77777777" w:rsidR="00B61028" w:rsidRDefault="00B61028" w:rsidP="00B61028">
      <w:pPr>
        <w:rPr>
          <w:rFonts w:ascii="Arial" w:hAnsi="Arial" w:cs="Arial"/>
        </w:rPr>
      </w:pPr>
    </w:p>
    <w:p w14:paraId="712763AC" w14:textId="77777777" w:rsidR="00E23261" w:rsidRDefault="00E23261" w:rsidP="00E23261">
      <w:pPr>
        <w:ind w:firstLine="720"/>
        <w:rPr>
          <w:rFonts w:ascii="Arial" w:hAnsi="Arial" w:cs="Arial"/>
        </w:rPr>
      </w:pPr>
      <w:r>
        <w:rPr>
          <w:rFonts w:ascii="Arial" w:hAnsi="Arial" w:cs="Arial"/>
          <w:szCs w:val="26"/>
        </w:rPr>
        <w:t>PECO Energy Company</w:t>
      </w:r>
      <w:r>
        <w:rPr>
          <w:rFonts w:ascii="Arial" w:hAnsi="Arial" w:cs="Arial"/>
          <w:szCs w:val="24"/>
        </w:rPr>
        <w:t xml:space="preserve">’s (PECO) </w:t>
      </w:r>
      <w:r w:rsidRPr="00406891">
        <w:rPr>
          <w:rFonts w:ascii="Arial" w:hAnsi="Arial" w:cs="Arial"/>
        </w:rPr>
        <w:t xml:space="preserve">is </w:t>
      </w:r>
      <w:r>
        <w:rPr>
          <w:rFonts w:ascii="Arial" w:hAnsi="Arial" w:cs="Arial"/>
        </w:rPr>
        <w:t xml:space="preserve">a company </w:t>
      </w:r>
      <w:r w:rsidRPr="00406891">
        <w:rPr>
          <w:rFonts w:ascii="Arial" w:hAnsi="Arial" w:cs="Arial"/>
        </w:rPr>
        <w:t>principally engaged in providing transmission and distribution of electric and natural gas services to retail customers in southeastern Pennsylvania.</w:t>
      </w:r>
      <w:r>
        <w:rPr>
          <w:rFonts w:ascii="Arial" w:hAnsi="Arial" w:cs="Arial"/>
        </w:rPr>
        <w:t xml:space="preserve"> </w:t>
      </w:r>
      <w:r w:rsidRPr="00406891">
        <w:rPr>
          <w:rFonts w:ascii="Arial" w:hAnsi="Arial" w:cs="Arial"/>
        </w:rPr>
        <w:t xml:space="preserve"> </w:t>
      </w:r>
      <w:r>
        <w:rPr>
          <w:rFonts w:ascii="Arial" w:hAnsi="Arial" w:cs="Arial"/>
        </w:rPr>
        <w:t>A</w:t>
      </w:r>
      <w:r w:rsidRPr="00406891">
        <w:rPr>
          <w:rFonts w:ascii="Arial" w:hAnsi="Arial" w:cs="Arial"/>
        </w:rPr>
        <w:t>s an electric distribution and natural gas distribution company</w:t>
      </w:r>
      <w:r>
        <w:rPr>
          <w:rFonts w:ascii="Arial" w:hAnsi="Arial" w:cs="Arial"/>
        </w:rPr>
        <w:t>, PECO’s operations</w:t>
      </w:r>
      <w:r w:rsidRPr="00406891">
        <w:rPr>
          <w:rFonts w:ascii="Arial" w:hAnsi="Arial" w:cs="Arial"/>
        </w:rPr>
        <w:t xml:space="preserve"> are subject to regulation by the Commission. </w:t>
      </w:r>
      <w:r>
        <w:rPr>
          <w:rFonts w:ascii="Arial" w:hAnsi="Arial" w:cs="Arial"/>
        </w:rPr>
        <w:t xml:space="preserve"> </w:t>
      </w:r>
      <w:r w:rsidRPr="00406891">
        <w:rPr>
          <w:rFonts w:ascii="Arial" w:hAnsi="Arial" w:cs="Arial"/>
        </w:rPr>
        <w:t>PECO is a wholly</w:t>
      </w:r>
      <w:r>
        <w:rPr>
          <w:rFonts w:ascii="Arial" w:hAnsi="Arial" w:cs="Arial"/>
        </w:rPr>
        <w:noBreakHyphen/>
      </w:r>
      <w:r w:rsidRPr="00406891">
        <w:rPr>
          <w:rFonts w:ascii="Arial" w:hAnsi="Arial" w:cs="Arial"/>
        </w:rPr>
        <w:t>owned subsidiary of Exelon Corporation headquartered in Chicago, Illinois.</w:t>
      </w:r>
      <w:r>
        <w:rPr>
          <w:rFonts w:ascii="Arial" w:hAnsi="Arial" w:cs="Arial"/>
        </w:rPr>
        <w:t xml:space="preserve"> </w:t>
      </w:r>
      <w:r w:rsidRPr="00406891">
        <w:rPr>
          <w:rFonts w:ascii="Arial" w:hAnsi="Arial" w:cs="Arial"/>
        </w:rPr>
        <w:t xml:space="preserve"> </w:t>
      </w:r>
      <w:r>
        <w:rPr>
          <w:rFonts w:ascii="Arial" w:hAnsi="Arial" w:cs="Arial"/>
        </w:rPr>
        <w:t xml:space="preserve">According to </w:t>
      </w:r>
      <w:r>
        <w:rPr>
          <w:rFonts w:ascii="Arial" w:hAnsi="Arial" w:cs="Arial"/>
          <w:color w:val="000000"/>
        </w:rPr>
        <w:t xml:space="preserve">PECO’s annual reports filed with the </w:t>
      </w:r>
      <w:r>
        <w:rPr>
          <w:rFonts w:ascii="Arial" w:hAnsi="Arial" w:cs="Arial"/>
          <w:szCs w:val="24"/>
        </w:rPr>
        <w:t>Pennsylvania Public Utility Commission (PUC or Commission)</w:t>
      </w:r>
      <w:r>
        <w:rPr>
          <w:rFonts w:ascii="Arial" w:hAnsi="Arial" w:cs="Arial"/>
          <w:color w:val="000000"/>
        </w:rPr>
        <w:t xml:space="preserve">, for the years 2017 and 2016, PECO’s total </w:t>
      </w:r>
      <w:r w:rsidRPr="00E113B3">
        <w:rPr>
          <w:rFonts w:ascii="Arial" w:hAnsi="Arial" w:cs="Arial"/>
        </w:rPr>
        <w:t>electric distribution revenues</w:t>
      </w:r>
      <w:r>
        <w:rPr>
          <w:rFonts w:ascii="Arial" w:hAnsi="Arial" w:cs="Arial"/>
        </w:rPr>
        <w:t xml:space="preserve"> from customers, including default service sales, were      </w:t>
      </w:r>
      <w:r w:rsidRPr="002979CA">
        <w:rPr>
          <w:rFonts w:ascii="Arial" w:hAnsi="Arial" w:cs="Arial"/>
        </w:rPr>
        <w:t>$2,160,</w:t>
      </w:r>
      <w:r>
        <w:rPr>
          <w:rFonts w:ascii="Arial" w:hAnsi="Arial" w:cs="Arial"/>
        </w:rPr>
        <w:t>037</w:t>
      </w:r>
      <w:r w:rsidRPr="002979CA">
        <w:rPr>
          <w:rFonts w:ascii="Arial" w:hAnsi="Arial" w:cs="Arial"/>
        </w:rPr>
        <w:t>,</w:t>
      </w:r>
      <w:r>
        <w:rPr>
          <w:rFonts w:ascii="Arial" w:hAnsi="Arial" w:cs="Arial"/>
        </w:rPr>
        <w:t>278</w:t>
      </w:r>
      <w:r w:rsidRPr="002979CA">
        <w:rPr>
          <w:rFonts w:ascii="Arial" w:hAnsi="Arial" w:cs="Arial"/>
        </w:rPr>
        <w:t xml:space="preserve"> and $2,</w:t>
      </w:r>
      <w:r>
        <w:rPr>
          <w:rFonts w:ascii="Arial" w:hAnsi="Arial" w:cs="Arial"/>
        </w:rPr>
        <w:t>32</w:t>
      </w:r>
      <w:r w:rsidRPr="002979CA">
        <w:rPr>
          <w:rFonts w:ascii="Arial" w:hAnsi="Arial" w:cs="Arial"/>
        </w:rPr>
        <w:t>8,</w:t>
      </w:r>
      <w:r>
        <w:rPr>
          <w:rFonts w:ascii="Arial" w:hAnsi="Arial" w:cs="Arial"/>
        </w:rPr>
        <w:t>457</w:t>
      </w:r>
      <w:r w:rsidRPr="002979CA">
        <w:rPr>
          <w:rFonts w:ascii="Arial" w:hAnsi="Arial" w:cs="Arial"/>
        </w:rPr>
        <w:t>,2</w:t>
      </w:r>
      <w:r>
        <w:rPr>
          <w:rFonts w:ascii="Arial" w:hAnsi="Arial" w:cs="Arial"/>
        </w:rPr>
        <w:t>7</w:t>
      </w:r>
      <w:r w:rsidRPr="002979CA">
        <w:rPr>
          <w:rFonts w:ascii="Arial" w:hAnsi="Arial" w:cs="Arial"/>
        </w:rPr>
        <w:t>3</w:t>
      </w:r>
      <w:r>
        <w:rPr>
          <w:rFonts w:ascii="Arial" w:hAnsi="Arial" w:cs="Arial"/>
        </w:rPr>
        <w:t>, respectively.</w:t>
      </w:r>
    </w:p>
    <w:p w14:paraId="06D6380B" w14:textId="77777777" w:rsidR="00B61028" w:rsidRDefault="00B61028" w:rsidP="00B61028">
      <w:pPr>
        <w:ind w:firstLine="720"/>
        <w:rPr>
          <w:rFonts w:ascii="Arial" w:hAnsi="Arial" w:cs="Arial"/>
        </w:rPr>
      </w:pPr>
    </w:p>
    <w:p w14:paraId="6330A448" w14:textId="77777777" w:rsidR="00B61028" w:rsidRDefault="00B61028" w:rsidP="00B61028">
      <w:pPr>
        <w:rPr>
          <w:rFonts w:ascii="Arial" w:hAnsi="Arial" w:cs="Arial"/>
        </w:rPr>
      </w:pPr>
      <w:r>
        <w:rPr>
          <w:rFonts w:ascii="Arial" w:hAnsi="Arial" w:cs="Arial"/>
        </w:rPr>
        <w:tab/>
      </w:r>
      <w:r w:rsidRPr="000E03E3">
        <w:rPr>
          <w:rFonts w:ascii="Arial" w:hAnsi="Arial" w:cs="Arial"/>
        </w:rPr>
        <w:t xml:space="preserve">PECO provides electric distribution service in an area of approximately </w:t>
      </w:r>
      <w:r w:rsidRPr="00DB1B12">
        <w:rPr>
          <w:rFonts w:ascii="Arial" w:hAnsi="Arial" w:cs="Arial"/>
        </w:rPr>
        <w:t>1,900 square miles with a population of approximately 4 million, including 1.6 million</w:t>
      </w:r>
      <w:r w:rsidRPr="000E03E3">
        <w:rPr>
          <w:rFonts w:ascii="Arial" w:hAnsi="Arial" w:cs="Arial"/>
        </w:rPr>
        <w:t xml:space="preserve"> in the city of Philadelphia.  During </w:t>
      </w:r>
      <w:r w:rsidRPr="000740FE">
        <w:rPr>
          <w:rFonts w:ascii="Arial" w:hAnsi="Arial" w:cs="Arial"/>
        </w:rPr>
        <w:t>201</w:t>
      </w:r>
      <w:r>
        <w:rPr>
          <w:rFonts w:ascii="Arial" w:hAnsi="Arial" w:cs="Arial"/>
        </w:rPr>
        <w:t>7</w:t>
      </w:r>
      <w:r w:rsidRPr="000E03E3">
        <w:rPr>
          <w:rFonts w:ascii="Arial" w:hAnsi="Arial" w:cs="Arial"/>
        </w:rPr>
        <w:t xml:space="preserve">, PECO delivered electricity to approximately </w:t>
      </w:r>
      <w:r w:rsidRPr="00257288">
        <w:rPr>
          <w:rFonts w:ascii="Arial" w:hAnsi="Arial" w:cs="Arial"/>
        </w:rPr>
        <w:t>1.6 million</w:t>
      </w:r>
      <w:r w:rsidRPr="000E03E3">
        <w:rPr>
          <w:rFonts w:ascii="Arial" w:hAnsi="Arial" w:cs="Arial"/>
        </w:rPr>
        <w:t xml:space="preserve"> residential, commercial</w:t>
      </w:r>
      <w:r>
        <w:rPr>
          <w:rFonts w:ascii="Arial" w:hAnsi="Arial" w:cs="Arial"/>
        </w:rPr>
        <w:t>,</w:t>
      </w:r>
      <w:r w:rsidRPr="000E03E3">
        <w:rPr>
          <w:rFonts w:ascii="Arial" w:hAnsi="Arial" w:cs="Arial"/>
        </w:rPr>
        <w:t xml:space="preserve"> and industrial customers</w:t>
      </w:r>
      <w:r>
        <w:rPr>
          <w:rFonts w:ascii="Arial" w:hAnsi="Arial" w:cs="Arial"/>
        </w:rPr>
        <w:t>.</w:t>
      </w:r>
    </w:p>
    <w:p w14:paraId="5C1B5764" w14:textId="77777777" w:rsidR="00B61028" w:rsidRDefault="00B61028" w:rsidP="00B61028">
      <w:pPr>
        <w:rPr>
          <w:rFonts w:ascii="Arial" w:hAnsi="Arial" w:cs="Arial"/>
          <w:szCs w:val="24"/>
        </w:rPr>
      </w:pPr>
    </w:p>
    <w:p w14:paraId="1FF46D20" w14:textId="3436B1E7" w:rsidR="00B61028" w:rsidRPr="00F8280B" w:rsidRDefault="00B61028" w:rsidP="00B61028">
      <w:pPr>
        <w:ind w:firstLine="720"/>
        <w:rPr>
          <w:rFonts w:ascii="Arial" w:hAnsi="Arial" w:cs="Arial"/>
        </w:rPr>
      </w:pPr>
      <w:r w:rsidRPr="00CC0826">
        <w:rPr>
          <w:rFonts w:ascii="Arial" w:hAnsi="Arial" w:cs="Arial"/>
          <w:szCs w:val="24"/>
        </w:rPr>
        <w:t>By Order entered December 4, 2014</w:t>
      </w:r>
      <w:r>
        <w:rPr>
          <w:rFonts w:ascii="Arial" w:hAnsi="Arial" w:cs="Arial"/>
          <w:szCs w:val="24"/>
        </w:rPr>
        <w:t>,</w:t>
      </w:r>
      <w:r w:rsidRPr="00CC0826">
        <w:rPr>
          <w:rFonts w:ascii="Arial" w:hAnsi="Arial" w:cs="Arial"/>
          <w:szCs w:val="24"/>
        </w:rPr>
        <w:t xml:space="preserve"> at Docket No. P-2014-2409362, the Commission allowed PECO to establish a Non-</w:t>
      </w:r>
      <w:proofErr w:type="spellStart"/>
      <w:r w:rsidRPr="00CC0826">
        <w:rPr>
          <w:rFonts w:ascii="Arial" w:hAnsi="Arial" w:cs="Arial"/>
          <w:szCs w:val="24"/>
        </w:rPr>
        <w:t>Bypassable</w:t>
      </w:r>
      <w:proofErr w:type="spellEnd"/>
      <w:r w:rsidRPr="00CC0826">
        <w:rPr>
          <w:rFonts w:ascii="Arial" w:hAnsi="Arial" w:cs="Arial"/>
          <w:szCs w:val="24"/>
        </w:rPr>
        <w:t xml:space="preserve"> Transmission Service Charge (NBT) applicable to all PECO distribution customers, effective June 1, 2015. The NBT permits PECO to recover Regional Transmission Expansion Plan</w:t>
      </w:r>
      <w:r>
        <w:rPr>
          <w:rFonts w:ascii="Arial" w:hAnsi="Arial" w:cs="Arial"/>
          <w:szCs w:val="24"/>
        </w:rPr>
        <w:t xml:space="preserve"> costs</w:t>
      </w:r>
      <w:r w:rsidRPr="00CC0826">
        <w:rPr>
          <w:rFonts w:ascii="Arial" w:hAnsi="Arial" w:cs="Arial"/>
          <w:szCs w:val="24"/>
        </w:rPr>
        <w:t>, Expansion Cost Recovery</w:t>
      </w:r>
      <w:r>
        <w:rPr>
          <w:rFonts w:ascii="Arial" w:hAnsi="Arial" w:cs="Arial"/>
          <w:szCs w:val="24"/>
        </w:rPr>
        <w:t xml:space="preserve"> costs</w:t>
      </w:r>
      <w:r w:rsidRPr="00CC0826">
        <w:rPr>
          <w:rFonts w:ascii="Arial" w:hAnsi="Arial" w:cs="Arial"/>
          <w:szCs w:val="24"/>
        </w:rPr>
        <w:t>, and Generation Deactivation/Reliability Must Run</w:t>
      </w:r>
      <w:r>
        <w:rPr>
          <w:rFonts w:ascii="Arial" w:hAnsi="Arial" w:cs="Arial"/>
          <w:szCs w:val="24"/>
        </w:rPr>
        <w:t xml:space="preserve"> costs</w:t>
      </w:r>
      <w:r w:rsidRPr="00CC0826">
        <w:rPr>
          <w:rFonts w:ascii="Arial" w:hAnsi="Arial" w:cs="Arial"/>
          <w:szCs w:val="24"/>
        </w:rPr>
        <w:t xml:space="preserve">.  These costs were originally recovered </w:t>
      </w:r>
      <w:r>
        <w:rPr>
          <w:rFonts w:ascii="Arial" w:hAnsi="Arial" w:cs="Arial"/>
          <w:szCs w:val="24"/>
        </w:rPr>
        <w:t>through</w:t>
      </w:r>
      <w:r w:rsidRPr="00CC0826">
        <w:rPr>
          <w:rFonts w:ascii="Arial" w:hAnsi="Arial" w:cs="Arial"/>
          <w:szCs w:val="24"/>
        </w:rPr>
        <w:t xml:space="preserve"> the T</w:t>
      </w:r>
      <w:r w:rsidR="000E6F6B">
        <w:rPr>
          <w:rFonts w:ascii="Arial" w:hAnsi="Arial" w:cs="Arial"/>
          <w:szCs w:val="24"/>
        </w:rPr>
        <w:t xml:space="preserve">ransmission </w:t>
      </w:r>
      <w:r w:rsidRPr="00CC0826">
        <w:rPr>
          <w:rFonts w:ascii="Arial" w:hAnsi="Arial" w:cs="Arial"/>
          <w:szCs w:val="24"/>
        </w:rPr>
        <w:t>S</w:t>
      </w:r>
      <w:r w:rsidR="000E6F6B">
        <w:rPr>
          <w:rFonts w:ascii="Arial" w:hAnsi="Arial" w:cs="Arial"/>
          <w:szCs w:val="24"/>
        </w:rPr>
        <w:t xml:space="preserve">ervice </w:t>
      </w:r>
      <w:r w:rsidRPr="00CC0826">
        <w:rPr>
          <w:rFonts w:ascii="Arial" w:hAnsi="Arial" w:cs="Arial"/>
          <w:szCs w:val="24"/>
        </w:rPr>
        <w:t>C</w:t>
      </w:r>
      <w:r w:rsidR="000E6F6B">
        <w:rPr>
          <w:rFonts w:ascii="Arial" w:hAnsi="Arial" w:cs="Arial"/>
          <w:szCs w:val="24"/>
        </w:rPr>
        <w:t>harge (TSC)</w:t>
      </w:r>
      <w:r w:rsidRPr="00CC0826">
        <w:rPr>
          <w:rFonts w:ascii="Arial" w:hAnsi="Arial" w:cs="Arial"/>
          <w:szCs w:val="24"/>
        </w:rPr>
        <w:t>.</w:t>
      </w:r>
      <w:r w:rsidRPr="00CC0826">
        <w:rPr>
          <w:rFonts w:ascii="Arial" w:hAnsi="Arial" w:cs="Arial"/>
        </w:rPr>
        <w:t xml:space="preserve">  A</w:t>
      </w:r>
      <w:r w:rsidRPr="00CC0826">
        <w:rPr>
          <w:rFonts w:ascii="Arial" w:hAnsi="Arial" w:cs="Arial"/>
          <w:szCs w:val="24"/>
        </w:rPr>
        <w:t>s of June 1, 2015, the TSC allows PECO to recover PJM Network Integration Transmission Service costs, Non-Firm Point to Point Transmission costs, and the cost for working capital associated with the purchase of transmission service from PJ</w:t>
      </w:r>
      <w:r>
        <w:rPr>
          <w:rFonts w:ascii="Arial" w:hAnsi="Arial" w:cs="Arial"/>
          <w:szCs w:val="24"/>
        </w:rPr>
        <w:t>M.  The audit of the TSC for the twelve-month periods ended November 30, 2017 and November 30, 2016 can be found at Docket No. D-2018-3003673</w:t>
      </w:r>
      <w:r w:rsidR="00AB71AB">
        <w:rPr>
          <w:rFonts w:ascii="Arial" w:hAnsi="Arial" w:cs="Arial"/>
          <w:szCs w:val="24"/>
        </w:rPr>
        <w:t xml:space="preserve"> </w:t>
      </w:r>
      <w:r w:rsidR="00AB71AB">
        <w:rPr>
          <w:rFonts w:ascii="Arial" w:hAnsi="Arial" w:cs="Arial"/>
          <w:szCs w:val="26"/>
        </w:rPr>
        <w:t>on the PUC’s website (</w:t>
      </w:r>
      <w:hyperlink r:id="rId18" w:history="1">
        <w:r w:rsidR="00AB71AB">
          <w:rPr>
            <w:rStyle w:val="Hyperlink"/>
            <w:rFonts w:ascii="Arial" w:hAnsi="Arial" w:cs="Arial"/>
            <w:szCs w:val="26"/>
          </w:rPr>
          <w:t>http://www.puc.pa.gov</w:t>
        </w:r>
      </w:hyperlink>
      <w:r w:rsidR="00AB71AB">
        <w:rPr>
          <w:rFonts w:ascii="Arial" w:hAnsi="Arial" w:cs="Arial"/>
          <w:szCs w:val="26"/>
        </w:rPr>
        <w:t>)</w:t>
      </w:r>
    </w:p>
    <w:p w14:paraId="119B33B1" w14:textId="37DD424C" w:rsidR="00EA0DAE" w:rsidRDefault="00EA0DAE" w:rsidP="00FB1D8B">
      <w:pPr>
        <w:tabs>
          <w:tab w:val="center" w:pos="4680"/>
        </w:tabs>
        <w:suppressAutoHyphens/>
        <w:rPr>
          <w:rFonts w:ascii="Arial" w:hAnsi="Arial" w:cs="Arial"/>
          <w:szCs w:val="24"/>
        </w:rPr>
      </w:pPr>
    </w:p>
    <w:p w14:paraId="3E4539D9" w14:textId="77777777" w:rsidR="00EA0DAE" w:rsidRDefault="00EA0DAE">
      <w:pPr>
        <w:overflowPunct/>
        <w:autoSpaceDE/>
        <w:autoSpaceDN/>
        <w:adjustRightInd/>
        <w:textAlignment w:val="auto"/>
        <w:rPr>
          <w:rFonts w:ascii="Arial" w:hAnsi="Arial" w:cs="Arial"/>
          <w:szCs w:val="24"/>
        </w:rPr>
      </w:pPr>
      <w:r>
        <w:rPr>
          <w:rFonts w:ascii="Arial" w:hAnsi="Arial" w:cs="Arial"/>
          <w:szCs w:val="24"/>
        </w:rPr>
        <w:br w:type="page"/>
      </w:r>
    </w:p>
    <w:p w14:paraId="198FAC9A" w14:textId="77777777" w:rsidR="003662F1" w:rsidRDefault="003662F1" w:rsidP="00FB1D8B">
      <w:pPr>
        <w:tabs>
          <w:tab w:val="center" w:pos="4680"/>
        </w:tabs>
        <w:suppressAutoHyphens/>
        <w:rPr>
          <w:rFonts w:ascii="Arial" w:hAnsi="Arial" w:cs="Arial"/>
          <w:szCs w:val="24"/>
        </w:rPr>
        <w:sectPr w:rsidR="003662F1" w:rsidSect="0004118A">
          <w:headerReference w:type="even" r:id="rId19"/>
          <w:headerReference w:type="default" r:id="rId20"/>
          <w:footerReference w:type="default" r:id="rId21"/>
          <w:headerReference w:type="first" r:id="rId22"/>
          <w:endnotePr>
            <w:numFmt w:val="decimal"/>
          </w:endnotePr>
          <w:pgSz w:w="12240" w:h="15840" w:code="1"/>
          <w:pgMar w:top="1440" w:right="1440" w:bottom="1008" w:left="1440" w:header="720" w:footer="720" w:gutter="0"/>
          <w:pgNumType w:fmt="numberInDash" w:start="1"/>
          <w:cols w:space="720"/>
          <w:noEndnote/>
          <w:titlePg/>
          <w:docGrid w:linePitch="326"/>
        </w:sectPr>
      </w:pPr>
    </w:p>
    <w:tbl>
      <w:tblPr>
        <w:tblpPr w:leftFromText="180" w:rightFromText="180" w:horzAnchor="margin" w:tblpXSpec="center" w:tblpY="-768"/>
        <w:tblW w:w="10890" w:type="dxa"/>
        <w:tblLayout w:type="fixed"/>
        <w:tblLook w:val="0000" w:firstRow="0" w:lastRow="0" w:firstColumn="0" w:lastColumn="0" w:noHBand="0" w:noVBand="0"/>
      </w:tblPr>
      <w:tblGrid>
        <w:gridCol w:w="1363"/>
        <w:gridCol w:w="8075"/>
        <w:gridCol w:w="1452"/>
      </w:tblGrid>
      <w:tr w:rsidR="005D711E" w:rsidRPr="00BE0936" w14:paraId="58E3EA03" w14:textId="77777777" w:rsidTr="00AD5ADE">
        <w:trPr>
          <w:trHeight w:val="990"/>
        </w:trPr>
        <w:tc>
          <w:tcPr>
            <w:tcW w:w="1363" w:type="dxa"/>
          </w:tcPr>
          <w:p w14:paraId="7893CF2A" w14:textId="77777777" w:rsidR="005D711E" w:rsidRPr="000A6589" w:rsidRDefault="00AD48B6" w:rsidP="00AD5ADE">
            <w:pPr>
              <w:rPr>
                <w:rFonts w:ascii="Arial" w:hAnsi="Arial" w:cs="Arial"/>
                <w:szCs w:val="24"/>
              </w:rPr>
            </w:pPr>
            <w:r>
              <w:rPr>
                <w:rFonts w:ascii="Arial" w:hAnsi="Arial" w:cs="Arial"/>
                <w:noProof/>
                <w:spacing w:val="-2"/>
                <w:szCs w:val="24"/>
              </w:rPr>
              <w:lastRenderedPageBreak/>
              <w:drawing>
                <wp:inline distT="0" distB="0" distL="0" distR="0" wp14:anchorId="7E8AF864" wp14:editId="34680C70">
                  <wp:extent cx="730250" cy="73025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30250" cy="730250"/>
                          </a:xfrm>
                          <a:prstGeom prst="rect">
                            <a:avLst/>
                          </a:prstGeom>
                          <a:noFill/>
                          <a:ln>
                            <a:noFill/>
                          </a:ln>
                        </pic:spPr>
                      </pic:pic>
                    </a:graphicData>
                  </a:graphic>
                </wp:inline>
              </w:drawing>
            </w:r>
          </w:p>
        </w:tc>
        <w:tc>
          <w:tcPr>
            <w:tcW w:w="8075" w:type="dxa"/>
          </w:tcPr>
          <w:p w14:paraId="597F6608" w14:textId="77777777" w:rsidR="005D711E" w:rsidRPr="000A6589" w:rsidRDefault="005D711E" w:rsidP="00AD5ADE">
            <w:pPr>
              <w:suppressAutoHyphens/>
              <w:spacing w:line="204" w:lineRule="auto"/>
              <w:jc w:val="center"/>
              <w:rPr>
                <w:rFonts w:ascii="Arial" w:hAnsi="Arial" w:cs="Arial"/>
                <w:color w:val="000080"/>
                <w:spacing w:val="-3"/>
                <w:szCs w:val="24"/>
              </w:rPr>
            </w:pPr>
          </w:p>
          <w:p w14:paraId="38F5B29A" w14:textId="77777777" w:rsidR="00806CD3" w:rsidRDefault="00806CD3" w:rsidP="00806CD3">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44D1814E" w14:textId="77777777" w:rsidR="00806CD3" w:rsidRDefault="00806CD3" w:rsidP="00806CD3">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14:paraId="29861505" w14:textId="345A727D" w:rsidR="005D711E" w:rsidRPr="000A6589" w:rsidRDefault="00806CD3" w:rsidP="00806CD3">
            <w:pPr>
              <w:jc w:val="center"/>
              <w:rPr>
                <w:rFonts w:ascii="Arial" w:hAnsi="Arial" w:cs="Arial"/>
                <w:szCs w:val="24"/>
              </w:rPr>
            </w:pPr>
            <w:r>
              <w:rPr>
                <w:rFonts w:ascii="Arial" w:hAnsi="Arial"/>
                <w:color w:val="000080"/>
                <w:spacing w:val="-3"/>
                <w:sz w:val="26"/>
              </w:rPr>
              <w:t>400 NORTH STREET, HARRISBURG, PA  17120</w:t>
            </w:r>
          </w:p>
        </w:tc>
        <w:tc>
          <w:tcPr>
            <w:tcW w:w="1452" w:type="dxa"/>
          </w:tcPr>
          <w:p w14:paraId="17E133FD" w14:textId="77777777" w:rsidR="005D711E" w:rsidRPr="000A6589" w:rsidRDefault="005D711E" w:rsidP="00AD5ADE">
            <w:pPr>
              <w:rPr>
                <w:rFonts w:ascii="Arial" w:hAnsi="Arial" w:cs="Arial"/>
                <w:szCs w:val="24"/>
              </w:rPr>
            </w:pPr>
          </w:p>
          <w:p w14:paraId="35943C37" w14:textId="77777777" w:rsidR="005D711E" w:rsidRPr="000A6589" w:rsidRDefault="005D711E" w:rsidP="00AD5ADE">
            <w:pPr>
              <w:rPr>
                <w:rFonts w:ascii="Arial" w:hAnsi="Arial" w:cs="Arial"/>
                <w:szCs w:val="24"/>
              </w:rPr>
            </w:pPr>
          </w:p>
          <w:p w14:paraId="12D6D284" w14:textId="77777777" w:rsidR="00B61414" w:rsidRPr="000A6589" w:rsidRDefault="00B61414" w:rsidP="00AD5ADE">
            <w:pPr>
              <w:rPr>
                <w:rFonts w:ascii="Arial" w:hAnsi="Arial" w:cs="Arial"/>
                <w:szCs w:val="24"/>
              </w:rPr>
            </w:pPr>
          </w:p>
          <w:p w14:paraId="5656BED6" w14:textId="77777777" w:rsidR="005D711E" w:rsidRPr="00BE0936" w:rsidRDefault="005D711E" w:rsidP="00AD5ADE">
            <w:pPr>
              <w:jc w:val="center"/>
              <w:rPr>
                <w:rFonts w:ascii="Arial" w:hAnsi="Arial" w:cs="Arial"/>
                <w:szCs w:val="24"/>
              </w:rPr>
            </w:pPr>
            <w:r w:rsidRPr="000A6589">
              <w:rPr>
                <w:rFonts w:ascii="Arial" w:hAnsi="Arial" w:cs="Arial"/>
                <w:b/>
                <w:spacing w:val="-1"/>
                <w:sz w:val="12"/>
                <w:szCs w:val="24"/>
              </w:rPr>
              <w:t>IN REPLY PLEASE REFER TO OUR FILE</w:t>
            </w:r>
          </w:p>
        </w:tc>
      </w:tr>
    </w:tbl>
    <w:p w14:paraId="3A955FDD" w14:textId="77777777" w:rsidR="00BF0E3F" w:rsidRDefault="00BF0E3F">
      <w:pPr>
        <w:pStyle w:val="Heading1"/>
        <w:tabs>
          <w:tab w:val="clear" w:pos="4680"/>
        </w:tabs>
        <w:rPr>
          <w:rFonts w:ascii="Arial" w:hAnsi="Arial" w:cs="Arial"/>
          <w:sz w:val="26"/>
          <w:szCs w:val="24"/>
        </w:rPr>
      </w:pPr>
    </w:p>
    <w:p w14:paraId="7410B707" w14:textId="578CB4BE" w:rsidR="005D711E" w:rsidRPr="000272B6" w:rsidRDefault="00214215" w:rsidP="00324340">
      <w:pPr>
        <w:pStyle w:val="Heading1"/>
        <w:tabs>
          <w:tab w:val="clear" w:pos="4680"/>
        </w:tabs>
        <w:rPr>
          <w:rFonts w:ascii="Arial" w:hAnsi="Arial" w:cs="Arial"/>
          <w:b w:val="0"/>
          <w:sz w:val="26"/>
          <w:szCs w:val="26"/>
        </w:rPr>
      </w:pPr>
      <w:r w:rsidRPr="000272B6">
        <w:rPr>
          <w:rFonts w:ascii="Arial" w:hAnsi="Arial" w:cs="Arial"/>
          <w:sz w:val="26"/>
          <w:szCs w:val="26"/>
          <w:u w:val="none"/>
        </w:rPr>
        <w:t xml:space="preserve">INDEPENDENT </w:t>
      </w:r>
      <w:r w:rsidR="005D711E" w:rsidRPr="000272B6">
        <w:rPr>
          <w:rFonts w:ascii="Arial" w:hAnsi="Arial" w:cs="Arial"/>
          <w:sz w:val="26"/>
          <w:szCs w:val="26"/>
          <w:u w:val="none"/>
        </w:rPr>
        <w:t>AUDITOR'S REPORT</w:t>
      </w:r>
    </w:p>
    <w:p w14:paraId="404A8413" w14:textId="3574493D" w:rsidR="005D711E" w:rsidRPr="000272B6" w:rsidRDefault="00D70B45" w:rsidP="00CF2F5B">
      <w:pPr>
        <w:pStyle w:val="Heading1"/>
        <w:tabs>
          <w:tab w:val="clear" w:pos="4680"/>
        </w:tabs>
        <w:rPr>
          <w:rFonts w:ascii="Arial" w:hAnsi="Arial" w:cs="Arial"/>
          <w:sz w:val="26"/>
          <w:szCs w:val="26"/>
          <w:u w:val="none"/>
        </w:rPr>
      </w:pPr>
      <w:r>
        <w:rPr>
          <w:rFonts w:ascii="Arial" w:hAnsi="Arial" w:cs="Arial"/>
          <w:sz w:val="26"/>
          <w:szCs w:val="26"/>
          <w:u w:val="none"/>
        </w:rPr>
        <w:t>t</w:t>
      </w:r>
      <w:r w:rsidRPr="000272B6">
        <w:rPr>
          <w:rFonts w:ascii="Arial" w:hAnsi="Arial" w:cs="Arial"/>
          <w:sz w:val="26"/>
          <w:szCs w:val="26"/>
          <w:u w:val="none"/>
        </w:rPr>
        <w:t xml:space="preserve">o </w:t>
      </w:r>
      <w:r>
        <w:rPr>
          <w:rFonts w:ascii="Arial" w:hAnsi="Arial" w:cs="Arial"/>
          <w:sz w:val="26"/>
          <w:szCs w:val="26"/>
          <w:u w:val="none"/>
        </w:rPr>
        <w:t>t</w:t>
      </w:r>
      <w:r w:rsidRPr="000272B6">
        <w:rPr>
          <w:rFonts w:ascii="Arial" w:hAnsi="Arial" w:cs="Arial"/>
          <w:sz w:val="26"/>
          <w:szCs w:val="26"/>
          <w:u w:val="none"/>
        </w:rPr>
        <w:t xml:space="preserve">he </w:t>
      </w:r>
      <w:r>
        <w:rPr>
          <w:rFonts w:ascii="Arial" w:hAnsi="Arial" w:cs="Arial"/>
          <w:sz w:val="26"/>
          <w:szCs w:val="26"/>
          <w:u w:val="none"/>
        </w:rPr>
        <w:t>P</w:t>
      </w:r>
      <w:r w:rsidRPr="000272B6">
        <w:rPr>
          <w:rFonts w:ascii="Arial" w:hAnsi="Arial" w:cs="Arial"/>
          <w:sz w:val="26"/>
          <w:szCs w:val="26"/>
          <w:u w:val="none"/>
        </w:rPr>
        <w:t xml:space="preserve">ublic </w:t>
      </w:r>
      <w:r>
        <w:rPr>
          <w:rFonts w:ascii="Arial" w:hAnsi="Arial" w:cs="Arial"/>
          <w:sz w:val="26"/>
          <w:szCs w:val="26"/>
          <w:u w:val="none"/>
        </w:rPr>
        <w:t>U</w:t>
      </w:r>
      <w:r w:rsidRPr="000272B6">
        <w:rPr>
          <w:rFonts w:ascii="Arial" w:hAnsi="Arial" w:cs="Arial"/>
          <w:sz w:val="26"/>
          <w:szCs w:val="26"/>
          <w:u w:val="none"/>
        </w:rPr>
        <w:t xml:space="preserve">tility </w:t>
      </w:r>
      <w:r>
        <w:rPr>
          <w:rFonts w:ascii="Arial" w:hAnsi="Arial" w:cs="Arial"/>
          <w:sz w:val="26"/>
          <w:szCs w:val="26"/>
          <w:u w:val="none"/>
        </w:rPr>
        <w:t>C</w:t>
      </w:r>
      <w:r w:rsidRPr="000272B6">
        <w:rPr>
          <w:rFonts w:ascii="Arial" w:hAnsi="Arial" w:cs="Arial"/>
          <w:sz w:val="26"/>
          <w:szCs w:val="26"/>
          <w:u w:val="none"/>
        </w:rPr>
        <w:t>ommission</w:t>
      </w:r>
    </w:p>
    <w:p w14:paraId="05B9A28D" w14:textId="77777777" w:rsidR="005D711E" w:rsidRPr="001B1FF2" w:rsidRDefault="005D711E" w:rsidP="00CF2F5B">
      <w:pPr>
        <w:suppressAutoHyphens/>
        <w:rPr>
          <w:rFonts w:ascii="Arial" w:hAnsi="Arial" w:cs="Arial"/>
          <w:sz w:val="20"/>
          <w:szCs w:val="24"/>
        </w:rPr>
      </w:pPr>
    </w:p>
    <w:p w14:paraId="3D9D9FF0" w14:textId="77777777" w:rsidR="00CF2F5B" w:rsidRPr="001B1FF2" w:rsidRDefault="00CF2F5B" w:rsidP="00CF2F5B">
      <w:pPr>
        <w:suppressAutoHyphens/>
        <w:rPr>
          <w:rFonts w:ascii="Arial" w:hAnsi="Arial" w:cs="Arial"/>
          <w:sz w:val="20"/>
          <w:szCs w:val="24"/>
        </w:rPr>
      </w:pPr>
    </w:p>
    <w:p w14:paraId="630D942D" w14:textId="77777777" w:rsidR="003469AD" w:rsidRPr="004F00DD" w:rsidRDefault="003469AD" w:rsidP="003469AD">
      <w:pPr>
        <w:overflowPunct/>
        <w:autoSpaceDE/>
        <w:autoSpaceDN/>
        <w:adjustRightInd/>
        <w:textAlignment w:val="auto"/>
        <w:rPr>
          <w:rFonts w:ascii="Arial" w:hAnsi="Arial" w:cs="Arial"/>
          <w:b/>
          <w:bCs/>
          <w:szCs w:val="24"/>
        </w:rPr>
      </w:pPr>
      <w:r w:rsidRPr="004F00DD">
        <w:rPr>
          <w:rFonts w:ascii="Arial" w:hAnsi="Arial" w:cs="Arial"/>
          <w:b/>
          <w:bCs/>
          <w:szCs w:val="24"/>
        </w:rPr>
        <w:t>Report on the Financial Statements</w:t>
      </w:r>
    </w:p>
    <w:p w14:paraId="1AFA61F5" w14:textId="77777777" w:rsidR="003469AD" w:rsidRPr="004F00DD" w:rsidRDefault="003469AD" w:rsidP="003469AD">
      <w:pPr>
        <w:overflowPunct/>
        <w:autoSpaceDE/>
        <w:autoSpaceDN/>
        <w:adjustRightInd/>
        <w:textAlignment w:val="auto"/>
        <w:rPr>
          <w:rFonts w:ascii="Arial" w:hAnsi="Arial" w:cs="Arial"/>
          <w:b/>
          <w:bCs/>
          <w:szCs w:val="24"/>
        </w:rPr>
      </w:pPr>
    </w:p>
    <w:p w14:paraId="128CC528" w14:textId="064FD66F" w:rsidR="003469AD" w:rsidRPr="004F00DD" w:rsidRDefault="003469AD" w:rsidP="003469AD">
      <w:pPr>
        <w:tabs>
          <w:tab w:val="left" w:pos="720"/>
        </w:tabs>
        <w:overflowPunct/>
        <w:autoSpaceDE/>
        <w:autoSpaceDN/>
        <w:adjustRightInd/>
        <w:textAlignment w:val="auto"/>
        <w:rPr>
          <w:rFonts w:ascii="Arial" w:hAnsi="Arial" w:cs="Arial"/>
          <w:szCs w:val="24"/>
        </w:rPr>
      </w:pPr>
      <w:r w:rsidRPr="004F00DD">
        <w:rPr>
          <w:rFonts w:ascii="CG Times" w:hAnsi="CG Times"/>
          <w:szCs w:val="24"/>
        </w:rPr>
        <w:tab/>
      </w:r>
      <w:r w:rsidRPr="00F16976">
        <w:rPr>
          <w:rFonts w:ascii="Arial" w:hAnsi="Arial" w:cs="Arial"/>
          <w:szCs w:val="24"/>
        </w:rPr>
        <w:t xml:space="preserve">We have audited PECO Energy Company’s Statements of </w:t>
      </w:r>
      <w:r w:rsidR="00293CD4">
        <w:rPr>
          <w:rFonts w:ascii="Arial" w:hAnsi="Arial" w:cs="Arial"/>
          <w:szCs w:val="24"/>
        </w:rPr>
        <w:t>Non-</w:t>
      </w:r>
      <w:proofErr w:type="spellStart"/>
      <w:r w:rsidR="00293CD4">
        <w:rPr>
          <w:rFonts w:ascii="Arial" w:hAnsi="Arial" w:cs="Arial"/>
          <w:szCs w:val="24"/>
        </w:rPr>
        <w:t>Bypassable</w:t>
      </w:r>
      <w:proofErr w:type="spellEnd"/>
      <w:r w:rsidR="00293CD4">
        <w:rPr>
          <w:rFonts w:ascii="Arial" w:hAnsi="Arial" w:cs="Arial"/>
          <w:szCs w:val="24"/>
        </w:rPr>
        <w:t xml:space="preserve"> </w:t>
      </w:r>
      <w:r>
        <w:rPr>
          <w:rFonts w:ascii="Arial" w:hAnsi="Arial" w:cs="Arial"/>
          <w:szCs w:val="24"/>
        </w:rPr>
        <w:t>Transmission Service C</w:t>
      </w:r>
      <w:r w:rsidRPr="00F16976">
        <w:rPr>
          <w:rFonts w:ascii="Arial" w:hAnsi="Arial" w:cs="Arial"/>
          <w:szCs w:val="24"/>
        </w:rPr>
        <w:t xml:space="preserve">harge Over/Under Collections for the </w:t>
      </w:r>
      <w:r w:rsidR="00D2068D">
        <w:rPr>
          <w:rFonts w:ascii="Arial" w:hAnsi="Arial" w:cs="Arial"/>
          <w:szCs w:val="24"/>
        </w:rPr>
        <w:t>twelve</w:t>
      </w:r>
      <w:r w:rsidR="00914017">
        <w:rPr>
          <w:rFonts w:ascii="Arial" w:hAnsi="Arial" w:cs="Arial"/>
          <w:szCs w:val="24"/>
        </w:rPr>
        <w:t>-</w:t>
      </w:r>
      <w:r w:rsidRPr="00F16976">
        <w:rPr>
          <w:rFonts w:ascii="Arial" w:hAnsi="Arial" w:cs="Arial"/>
          <w:szCs w:val="24"/>
        </w:rPr>
        <w:t>month</w:t>
      </w:r>
      <w:r w:rsidR="008D2AE7">
        <w:rPr>
          <w:rFonts w:ascii="Arial" w:hAnsi="Arial" w:cs="Arial"/>
          <w:szCs w:val="24"/>
        </w:rPr>
        <w:t xml:space="preserve"> periods</w:t>
      </w:r>
      <w:r w:rsidRPr="00F16976">
        <w:rPr>
          <w:rFonts w:ascii="Arial" w:hAnsi="Arial" w:cs="Arial"/>
          <w:szCs w:val="24"/>
        </w:rPr>
        <w:t xml:space="preserve"> ended </w:t>
      </w:r>
      <w:r w:rsidR="00AC5F64">
        <w:rPr>
          <w:rFonts w:ascii="Arial" w:hAnsi="Arial" w:cs="Arial"/>
          <w:szCs w:val="24"/>
        </w:rPr>
        <w:t xml:space="preserve">November </w:t>
      </w:r>
      <w:r w:rsidRPr="00F16976">
        <w:rPr>
          <w:rFonts w:ascii="Arial" w:hAnsi="Arial" w:cs="Arial"/>
          <w:szCs w:val="24"/>
        </w:rPr>
        <w:t>3</w:t>
      </w:r>
      <w:r>
        <w:rPr>
          <w:rFonts w:ascii="Arial" w:hAnsi="Arial" w:cs="Arial"/>
          <w:szCs w:val="24"/>
        </w:rPr>
        <w:t>0</w:t>
      </w:r>
      <w:r w:rsidRPr="00F16976">
        <w:rPr>
          <w:rFonts w:ascii="Arial" w:hAnsi="Arial" w:cs="Arial"/>
          <w:szCs w:val="24"/>
        </w:rPr>
        <w:t>, 201</w:t>
      </w:r>
      <w:r w:rsidR="00AA6D05">
        <w:rPr>
          <w:rFonts w:ascii="Arial" w:hAnsi="Arial" w:cs="Arial"/>
          <w:szCs w:val="24"/>
        </w:rPr>
        <w:t>7</w:t>
      </w:r>
      <w:r w:rsidRPr="00F16976">
        <w:rPr>
          <w:rFonts w:ascii="Arial" w:hAnsi="Arial" w:cs="Arial"/>
          <w:szCs w:val="24"/>
        </w:rPr>
        <w:t xml:space="preserve"> and </w:t>
      </w:r>
      <w:r w:rsidR="00D2068D">
        <w:rPr>
          <w:rFonts w:ascii="Arial" w:hAnsi="Arial" w:cs="Arial"/>
          <w:szCs w:val="24"/>
        </w:rPr>
        <w:t>November</w:t>
      </w:r>
      <w:r w:rsidR="00AC5F64">
        <w:rPr>
          <w:rFonts w:ascii="Arial" w:hAnsi="Arial" w:cs="Arial"/>
          <w:szCs w:val="24"/>
        </w:rPr>
        <w:t xml:space="preserve"> 30, 201</w:t>
      </w:r>
      <w:r w:rsidR="00AA6D05">
        <w:rPr>
          <w:rFonts w:ascii="Arial" w:hAnsi="Arial" w:cs="Arial"/>
          <w:szCs w:val="24"/>
        </w:rPr>
        <w:t>6</w:t>
      </w:r>
      <w:r w:rsidRPr="00F16976">
        <w:rPr>
          <w:rFonts w:ascii="Arial" w:hAnsi="Arial" w:cs="Arial"/>
          <w:szCs w:val="24"/>
        </w:rPr>
        <w:t>.</w:t>
      </w:r>
    </w:p>
    <w:p w14:paraId="3D743825" w14:textId="77777777" w:rsidR="003469AD" w:rsidRPr="004F00DD" w:rsidRDefault="003469AD" w:rsidP="003469AD">
      <w:pPr>
        <w:overflowPunct/>
        <w:autoSpaceDE/>
        <w:autoSpaceDN/>
        <w:adjustRightInd/>
        <w:textAlignment w:val="auto"/>
        <w:rPr>
          <w:rFonts w:ascii="Arial" w:hAnsi="Arial" w:cs="Arial"/>
          <w:i/>
          <w:szCs w:val="24"/>
        </w:rPr>
      </w:pPr>
    </w:p>
    <w:p w14:paraId="2E9AA827" w14:textId="77777777" w:rsidR="003469AD" w:rsidRPr="004F00DD" w:rsidRDefault="003469AD" w:rsidP="003469AD">
      <w:pPr>
        <w:overflowPunct/>
        <w:autoSpaceDE/>
        <w:autoSpaceDN/>
        <w:adjustRightInd/>
        <w:textAlignment w:val="auto"/>
        <w:rPr>
          <w:rFonts w:ascii="Arial" w:hAnsi="Arial" w:cs="Arial"/>
          <w:szCs w:val="24"/>
        </w:rPr>
      </w:pPr>
      <w:r w:rsidRPr="004F00DD">
        <w:rPr>
          <w:rFonts w:ascii="Arial" w:hAnsi="Arial" w:cs="Arial"/>
          <w:b/>
          <w:bCs/>
          <w:iCs/>
          <w:szCs w:val="24"/>
        </w:rPr>
        <w:t>Management’s Responsibility for the Financial Statements</w:t>
      </w:r>
    </w:p>
    <w:p w14:paraId="7E31A94B" w14:textId="77777777" w:rsidR="003469AD" w:rsidRPr="004F00DD" w:rsidRDefault="003469AD" w:rsidP="003469AD">
      <w:pPr>
        <w:overflowPunct/>
        <w:autoSpaceDE/>
        <w:autoSpaceDN/>
        <w:adjustRightInd/>
        <w:textAlignment w:val="auto"/>
        <w:rPr>
          <w:rFonts w:ascii="Arial" w:hAnsi="Arial" w:cs="Arial"/>
          <w:i/>
          <w:szCs w:val="24"/>
        </w:rPr>
      </w:pPr>
    </w:p>
    <w:p w14:paraId="5238AD3D" w14:textId="77777777" w:rsidR="003469AD" w:rsidRPr="004F00DD" w:rsidRDefault="003469AD" w:rsidP="003469AD">
      <w:pPr>
        <w:overflowPunct/>
        <w:autoSpaceDE/>
        <w:autoSpaceDN/>
        <w:adjustRightInd/>
        <w:ind w:firstLine="720"/>
        <w:textAlignment w:val="auto"/>
        <w:rPr>
          <w:rFonts w:ascii="Arial" w:hAnsi="Arial" w:cs="Arial"/>
          <w:szCs w:val="24"/>
        </w:rPr>
      </w:pPr>
      <w:r w:rsidRPr="004F00DD">
        <w:rPr>
          <w:rFonts w:ascii="Arial" w:hAnsi="Arial" w:cs="Arial"/>
          <w:szCs w:val="24"/>
        </w:rPr>
        <w:t>Management is responsible for the preparation and fair presentation of these statements in accordance with accounting principles generally accepted in the United States of America; this includes the design, implementation, and maintenance of internal control relevant to the preparation and fair presentation of financial statements that are free from material misstatement, whether due to fraud or error.</w:t>
      </w:r>
    </w:p>
    <w:p w14:paraId="635AD4E6" w14:textId="77777777" w:rsidR="003469AD" w:rsidRPr="004F00DD" w:rsidRDefault="003469AD" w:rsidP="003469AD">
      <w:pPr>
        <w:overflowPunct/>
        <w:autoSpaceDE/>
        <w:autoSpaceDN/>
        <w:adjustRightInd/>
        <w:textAlignment w:val="auto"/>
        <w:rPr>
          <w:rFonts w:ascii="Arial" w:hAnsi="Arial" w:cs="Arial"/>
          <w:i/>
          <w:szCs w:val="24"/>
        </w:rPr>
      </w:pPr>
    </w:p>
    <w:p w14:paraId="2EA6704B" w14:textId="77777777" w:rsidR="003469AD" w:rsidRPr="004F00DD" w:rsidRDefault="003469AD" w:rsidP="003469AD">
      <w:pPr>
        <w:overflowPunct/>
        <w:autoSpaceDE/>
        <w:autoSpaceDN/>
        <w:adjustRightInd/>
        <w:textAlignment w:val="auto"/>
        <w:rPr>
          <w:rFonts w:ascii="Arial" w:hAnsi="Arial" w:cs="Arial"/>
          <w:b/>
          <w:bCs/>
          <w:iCs/>
          <w:szCs w:val="24"/>
        </w:rPr>
      </w:pPr>
      <w:r w:rsidRPr="004F00DD">
        <w:rPr>
          <w:rFonts w:ascii="Arial" w:hAnsi="Arial" w:cs="Arial"/>
          <w:b/>
          <w:bCs/>
          <w:iCs/>
          <w:szCs w:val="24"/>
        </w:rPr>
        <w:t>Auditor’s Responsibility</w:t>
      </w:r>
    </w:p>
    <w:p w14:paraId="422EC6EF" w14:textId="77777777" w:rsidR="003469AD" w:rsidRPr="004F00DD" w:rsidRDefault="003469AD" w:rsidP="003469AD">
      <w:pPr>
        <w:overflowPunct/>
        <w:autoSpaceDE/>
        <w:autoSpaceDN/>
        <w:adjustRightInd/>
        <w:textAlignment w:val="auto"/>
        <w:rPr>
          <w:rFonts w:ascii="Arial" w:hAnsi="Arial" w:cs="Arial"/>
          <w:szCs w:val="24"/>
        </w:rPr>
      </w:pPr>
    </w:p>
    <w:p w14:paraId="1792A8ED" w14:textId="38FB1D04" w:rsidR="003469AD" w:rsidRDefault="003469AD" w:rsidP="003469AD">
      <w:pPr>
        <w:ind w:firstLine="720"/>
        <w:rPr>
          <w:rFonts w:ascii="Arial" w:hAnsi="Arial" w:cs="Arial"/>
          <w:szCs w:val="24"/>
        </w:rPr>
      </w:pPr>
      <w:r w:rsidRPr="00982C30">
        <w:rPr>
          <w:rFonts w:ascii="Arial" w:hAnsi="Arial" w:cs="Arial"/>
          <w:szCs w:val="24"/>
        </w:rPr>
        <w:t xml:space="preserve">Our responsibility is to express an opinion on these statements based on our audit.  We conducted our audit in accordance with auditing standards generally accepted in the United States of America.  </w:t>
      </w:r>
      <w:r w:rsidR="00721DD1">
        <w:rPr>
          <w:rFonts w:ascii="Arial" w:hAnsi="Arial" w:cs="Arial"/>
          <w:szCs w:val="24"/>
        </w:rPr>
        <w:t>These</w:t>
      </w:r>
      <w:r w:rsidR="00721DD1" w:rsidRPr="00982C30">
        <w:rPr>
          <w:rFonts w:ascii="Arial" w:hAnsi="Arial" w:cs="Arial"/>
          <w:szCs w:val="24"/>
        </w:rPr>
        <w:t xml:space="preserve"> </w:t>
      </w:r>
      <w:r w:rsidRPr="00982C30">
        <w:rPr>
          <w:rFonts w:ascii="Arial" w:hAnsi="Arial" w:cs="Arial"/>
          <w:szCs w:val="24"/>
        </w:rPr>
        <w:t>standards require that we plan and perform the audit to obtain reasonable assurance about whether these statements are free from material misstatement.  An audit involves performing procedures to obtain audit evidence about the amounts and disclosures in these statements.  The procedures selected depend on the auditor’s judgment, including the assessment of the risks of material misstatement of these statements, whether due to fraud or error.  In making those risk assessments, the auditor considers internal control relevant to the entity’s preparation and fair presentation of these statements in order to design audit procedures that are appropriate in the circumstances, but not for the purpose of expressing an opinion on the effectiveness of the entity’s internal control</w:t>
      </w:r>
      <w:r w:rsidR="002C5B24">
        <w:rPr>
          <w:rFonts w:ascii="Arial" w:hAnsi="Arial" w:cs="Arial"/>
          <w:szCs w:val="24"/>
        </w:rPr>
        <w:t>.</w:t>
      </w:r>
      <w:r w:rsidRPr="00982C30">
        <w:rPr>
          <w:rFonts w:ascii="Arial" w:hAnsi="Arial" w:cs="Arial"/>
          <w:szCs w:val="24"/>
        </w:rPr>
        <w:t xml:space="preserve">  </w:t>
      </w:r>
      <w:r w:rsidR="003C3892">
        <w:rPr>
          <w:rFonts w:ascii="Arial" w:hAnsi="Arial" w:cs="Arial"/>
          <w:szCs w:val="24"/>
        </w:rPr>
        <w:t xml:space="preserve">Accordingly, we express no such opinion.  </w:t>
      </w:r>
      <w:r w:rsidRPr="00982C30">
        <w:rPr>
          <w:rFonts w:ascii="Arial" w:hAnsi="Arial" w:cs="Arial"/>
          <w:szCs w:val="24"/>
        </w:rPr>
        <w:t>An audit also includes evaluating the appropriateness of accounting policies used and the reasonableness of significant accounting estimates made by management, as well as evaluating the overall presentation of these statements.  We believe that the audit evidence we have obtained is sufficient and appropriate to provide a basis for our audit opinion.</w:t>
      </w:r>
    </w:p>
    <w:p w14:paraId="7067475D" w14:textId="77777777" w:rsidR="003469AD" w:rsidRDefault="003469AD" w:rsidP="003469AD">
      <w:pPr>
        <w:ind w:firstLine="720"/>
        <w:rPr>
          <w:rFonts w:ascii="Arial" w:hAnsi="Arial" w:cs="Arial"/>
          <w:szCs w:val="24"/>
        </w:rPr>
      </w:pPr>
    </w:p>
    <w:p w14:paraId="4529AEA0" w14:textId="03AC6359" w:rsidR="003469AD" w:rsidRDefault="003469AD" w:rsidP="003469AD">
      <w:pPr>
        <w:ind w:firstLine="720"/>
        <w:rPr>
          <w:rFonts w:ascii="Arial" w:hAnsi="Arial" w:cs="Arial"/>
          <w:szCs w:val="24"/>
        </w:rPr>
      </w:pPr>
    </w:p>
    <w:p w14:paraId="076BF26D" w14:textId="533FEFB3" w:rsidR="002C5B24" w:rsidRDefault="002C5B24" w:rsidP="003469AD">
      <w:pPr>
        <w:ind w:firstLine="720"/>
        <w:rPr>
          <w:rFonts w:ascii="Arial" w:hAnsi="Arial" w:cs="Arial"/>
          <w:szCs w:val="24"/>
        </w:rPr>
      </w:pPr>
    </w:p>
    <w:p w14:paraId="56DB9765" w14:textId="414BD0B6" w:rsidR="002C5B24" w:rsidRDefault="002C5B24" w:rsidP="003469AD">
      <w:pPr>
        <w:ind w:firstLine="720"/>
        <w:rPr>
          <w:rFonts w:ascii="Arial" w:hAnsi="Arial" w:cs="Arial"/>
          <w:szCs w:val="24"/>
        </w:rPr>
      </w:pPr>
    </w:p>
    <w:p w14:paraId="1492B9DA" w14:textId="77777777" w:rsidR="002C5B24" w:rsidRDefault="002C5B24" w:rsidP="003469AD">
      <w:pPr>
        <w:ind w:firstLine="720"/>
        <w:rPr>
          <w:rFonts w:ascii="Arial" w:hAnsi="Arial" w:cs="Arial"/>
          <w:szCs w:val="24"/>
        </w:rPr>
      </w:pPr>
    </w:p>
    <w:p w14:paraId="6B1D0311" w14:textId="32B18240" w:rsidR="003469AD" w:rsidRDefault="003469AD" w:rsidP="003469AD">
      <w:pPr>
        <w:ind w:firstLine="720"/>
        <w:rPr>
          <w:rFonts w:ascii="Arial" w:hAnsi="Arial" w:cs="Arial"/>
          <w:szCs w:val="24"/>
        </w:rPr>
      </w:pPr>
    </w:p>
    <w:p w14:paraId="5EDE9ECD" w14:textId="77777777" w:rsidR="00A96C32" w:rsidRDefault="00A96C32" w:rsidP="003469AD">
      <w:pPr>
        <w:ind w:firstLine="720"/>
        <w:rPr>
          <w:rFonts w:ascii="Arial" w:hAnsi="Arial" w:cs="Arial"/>
          <w:szCs w:val="24"/>
        </w:rPr>
      </w:pPr>
    </w:p>
    <w:p w14:paraId="530BA64D" w14:textId="77777777" w:rsidR="003469AD" w:rsidRDefault="003469AD" w:rsidP="003469AD">
      <w:pPr>
        <w:ind w:firstLine="720"/>
        <w:rPr>
          <w:rFonts w:ascii="Arial" w:hAnsi="Arial" w:cs="Arial"/>
          <w:szCs w:val="24"/>
        </w:rPr>
      </w:pPr>
    </w:p>
    <w:p w14:paraId="64232CAF" w14:textId="77777777" w:rsidR="00445AE3" w:rsidRDefault="00445AE3" w:rsidP="003469AD">
      <w:pPr>
        <w:overflowPunct/>
        <w:autoSpaceDE/>
        <w:autoSpaceDN/>
        <w:adjustRightInd/>
        <w:textAlignment w:val="auto"/>
        <w:rPr>
          <w:rFonts w:ascii="Arial" w:hAnsi="Arial" w:cs="Arial"/>
          <w:b/>
          <w:bCs/>
          <w:iCs/>
          <w:szCs w:val="24"/>
        </w:rPr>
      </w:pPr>
    </w:p>
    <w:p w14:paraId="00F7AD05" w14:textId="7FB88069" w:rsidR="003469AD" w:rsidRPr="004F00DD" w:rsidRDefault="003469AD" w:rsidP="003469AD">
      <w:pPr>
        <w:overflowPunct/>
        <w:autoSpaceDE/>
        <w:autoSpaceDN/>
        <w:adjustRightInd/>
        <w:textAlignment w:val="auto"/>
        <w:rPr>
          <w:rFonts w:ascii="Arial" w:hAnsi="Arial" w:cs="Arial"/>
          <w:szCs w:val="24"/>
        </w:rPr>
      </w:pPr>
      <w:r w:rsidRPr="004F00DD">
        <w:rPr>
          <w:rFonts w:ascii="Arial" w:hAnsi="Arial" w:cs="Arial"/>
          <w:b/>
          <w:bCs/>
          <w:iCs/>
          <w:szCs w:val="24"/>
        </w:rPr>
        <w:lastRenderedPageBreak/>
        <w:t>Opinion</w:t>
      </w:r>
    </w:p>
    <w:p w14:paraId="38B55283" w14:textId="77777777" w:rsidR="003469AD" w:rsidRPr="004F00DD" w:rsidRDefault="003469AD" w:rsidP="003469AD">
      <w:pPr>
        <w:overflowPunct/>
        <w:autoSpaceDE/>
        <w:autoSpaceDN/>
        <w:adjustRightInd/>
        <w:textAlignment w:val="auto"/>
        <w:rPr>
          <w:rFonts w:ascii="Arial" w:hAnsi="Arial" w:cs="Arial"/>
          <w:szCs w:val="24"/>
        </w:rPr>
      </w:pPr>
    </w:p>
    <w:p w14:paraId="1F2B4030" w14:textId="3358B5D2" w:rsidR="003469AD" w:rsidRPr="004F00DD" w:rsidRDefault="003469AD" w:rsidP="003469AD">
      <w:pPr>
        <w:tabs>
          <w:tab w:val="left" w:pos="720"/>
        </w:tabs>
        <w:overflowPunct/>
        <w:autoSpaceDE/>
        <w:autoSpaceDN/>
        <w:adjustRightInd/>
        <w:textAlignment w:val="auto"/>
        <w:rPr>
          <w:rFonts w:ascii="Arial" w:hAnsi="Arial" w:cs="Arial"/>
          <w:szCs w:val="24"/>
        </w:rPr>
      </w:pPr>
      <w:r>
        <w:rPr>
          <w:rFonts w:ascii="Arial" w:hAnsi="Arial" w:cs="Arial"/>
          <w:szCs w:val="24"/>
        </w:rPr>
        <w:tab/>
      </w:r>
      <w:r w:rsidRPr="004F00DD">
        <w:rPr>
          <w:rFonts w:ascii="Arial" w:hAnsi="Arial" w:cs="Arial"/>
          <w:szCs w:val="24"/>
        </w:rPr>
        <w:t xml:space="preserve">In our opinion, the information set forth in the accompanying </w:t>
      </w:r>
      <w:r>
        <w:rPr>
          <w:rFonts w:ascii="Arial" w:hAnsi="Arial" w:cs="Arial"/>
          <w:szCs w:val="24"/>
        </w:rPr>
        <w:t>C</w:t>
      </w:r>
      <w:r w:rsidRPr="004F00DD">
        <w:rPr>
          <w:rFonts w:ascii="Arial" w:hAnsi="Arial" w:cs="Arial"/>
          <w:szCs w:val="24"/>
        </w:rPr>
        <w:t>ondensed Statements of</w:t>
      </w:r>
      <w:r w:rsidR="001D0F9C">
        <w:rPr>
          <w:rFonts w:ascii="Arial" w:hAnsi="Arial" w:cs="Arial"/>
          <w:szCs w:val="24"/>
        </w:rPr>
        <w:t xml:space="preserve"> Non-</w:t>
      </w:r>
      <w:proofErr w:type="spellStart"/>
      <w:r w:rsidR="001D0F9C">
        <w:rPr>
          <w:rFonts w:ascii="Arial" w:hAnsi="Arial" w:cs="Arial"/>
          <w:szCs w:val="24"/>
        </w:rPr>
        <w:t>Bypassable</w:t>
      </w:r>
      <w:proofErr w:type="spellEnd"/>
      <w:r w:rsidRPr="004F00DD">
        <w:rPr>
          <w:rFonts w:ascii="Arial" w:hAnsi="Arial" w:cs="Arial"/>
          <w:szCs w:val="24"/>
        </w:rPr>
        <w:t xml:space="preserve"> </w:t>
      </w:r>
      <w:r w:rsidR="0083158E">
        <w:rPr>
          <w:rFonts w:ascii="Arial" w:hAnsi="Arial" w:cs="Arial"/>
          <w:szCs w:val="24"/>
        </w:rPr>
        <w:t>Transmission Service C</w:t>
      </w:r>
      <w:r w:rsidR="0083158E" w:rsidRPr="00F16976">
        <w:rPr>
          <w:rFonts w:ascii="Arial" w:hAnsi="Arial" w:cs="Arial"/>
          <w:szCs w:val="24"/>
        </w:rPr>
        <w:t xml:space="preserve">harge Over/Under Collections for the </w:t>
      </w:r>
      <w:r w:rsidR="00D2068D">
        <w:rPr>
          <w:rFonts w:ascii="Arial" w:hAnsi="Arial" w:cs="Arial"/>
          <w:szCs w:val="24"/>
        </w:rPr>
        <w:t>twelve</w:t>
      </w:r>
      <w:r w:rsidR="009D1DF4">
        <w:rPr>
          <w:rFonts w:ascii="Arial" w:hAnsi="Arial" w:cs="Arial"/>
          <w:szCs w:val="24"/>
        </w:rPr>
        <w:noBreakHyphen/>
      </w:r>
      <w:r w:rsidR="0083158E" w:rsidRPr="00F16976">
        <w:rPr>
          <w:rFonts w:ascii="Arial" w:hAnsi="Arial" w:cs="Arial"/>
          <w:szCs w:val="24"/>
        </w:rPr>
        <w:t>month</w:t>
      </w:r>
      <w:r w:rsidR="001F3BBB">
        <w:rPr>
          <w:rFonts w:ascii="Arial" w:hAnsi="Arial" w:cs="Arial"/>
          <w:szCs w:val="24"/>
        </w:rPr>
        <w:t xml:space="preserve"> periods</w:t>
      </w:r>
      <w:r w:rsidR="0083158E" w:rsidRPr="00F16976">
        <w:rPr>
          <w:rFonts w:ascii="Arial" w:hAnsi="Arial" w:cs="Arial"/>
          <w:szCs w:val="24"/>
        </w:rPr>
        <w:t xml:space="preserve"> ended </w:t>
      </w:r>
      <w:r w:rsidR="0083158E">
        <w:rPr>
          <w:rFonts w:ascii="Arial" w:hAnsi="Arial" w:cs="Arial"/>
          <w:szCs w:val="24"/>
        </w:rPr>
        <w:t xml:space="preserve">November </w:t>
      </w:r>
      <w:r w:rsidR="0083158E" w:rsidRPr="00F16976">
        <w:rPr>
          <w:rFonts w:ascii="Arial" w:hAnsi="Arial" w:cs="Arial"/>
          <w:szCs w:val="24"/>
        </w:rPr>
        <w:t>3</w:t>
      </w:r>
      <w:r w:rsidR="0083158E">
        <w:rPr>
          <w:rFonts w:ascii="Arial" w:hAnsi="Arial" w:cs="Arial"/>
          <w:szCs w:val="24"/>
        </w:rPr>
        <w:t>0</w:t>
      </w:r>
      <w:r w:rsidR="0083158E" w:rsidRPr="00F16976">
        <w:rPr>
          <w:rFonts w:ascii="Arial" w:hAnsi="Arial" w:cs="Arial"/>
          <w:szCs w:val="24"/>
        </w:rPr>
        <w:t>, 201</w:t>
      </w:r>
      <w:r w:rsidR="00946B75">
        <w:rPr>
          <w:rFonts w:ascii="Arial" w:hAnsi="Arial" w:cs="Arial"/>
          <w:szCs w:val="24"/>
        </w:rPr>
        <w:t>7</w:t>
      </w:r>
      <w:r w:rsidR="0083158E" w:rsidRPr="00F16976">
        <w:rPr>
          <w:rFonts w:ascii="Arial" w:hAnsi="Arial" w:cs="Arial"/>
          <w:szCs w:val="24"/>
        </w:rPr>
        <w:t xml:space="preserve"> and </w:t>
      </w:r>
      <w:r w:rsidR="00D2068D">
        <w:rPr>
          <w:rFonts w:ascii="Arial" w:hAnsi="Arial" w:cs="Arial"/>
          <w:szCs w:val="24"/>
        </w:rPr>
        <w:t>November</w:t>
      </w:r>
      <w:r w:rsidR="0083158E">
        <w:rPr>
          <w:rFonts w:ascii="Arial" w:hAnsi="Arial" w:cs="Arial"/>
          <w:szCs w:val="24"/>
        </w:rPr>
        <w:t xml:space="preserve"> 30, 201</w:t>
      </w:r>
      <w:r w:rsidR="00946B75">
        <w:rPr>
          <w:rFonts w:ascii="Arial" w:hAnsi="Arial" w:cs="Arial"/>
          <w:szCs w:val="24"/>
        </w:rPr>
        <w:t>6</w:t>
      </w:r>
      <w:r>
        <w:rPr>
          <w:rFonts w:ascii="Arial" w:hAnsi="Arial" w:cs="Arial"/>
          <w:szCs w:val="24"/>
        </w:rPr>
        <w:t xml:space="preserve"> </w:t>
      </w:r>
      <w:r w:rsidRPr="004F00DD">
        <w:rPr>
          <w:rFonts w:ascii="Arial" w:hAnsi="Arial" w:cs="Arial"/>
          <w:szCs w:val="24"/>
        </w:rPr>
        <w:t xml:space="preserve">of </w:t>
      </w:r>
      <w:r w:rsidRPr="00B94ACC">
        <w:rPr>
          <w:rFonts w:ascii="Arial" w:hAnsi="Arial" w:cs="Arial"/>
          <w:szCs w:val="24"/>
        </w:rPr>
        <w:t>PECO Energy</w:t>
      </w:r>
      <w:r>
        <w:rPr>
          <w:rFonts w:ascii="Arial" w:hAnsi="Arial" w:cs="Arial"/>
          <w:szCs w:val="24"/>
        </w:rPr>
        <w:t xml:space="preserve"> Company</w:t>
      </w:r>
      <w:r w:rsidRPr="004F00DD">
        <w:rPr>
          <w:rFonts w:ascii="Arial" w:hAnsi="Arial" w:cs="Arial"/>
          <w:szCs w:val="24"/>
        </w:rPr>
        <w:t xml:space="preserve"> present fairly, in all material respects.</w:t>
      </w:r>
    </w:p>
    <w:p w14:paraId="594A3326" w14:textId="77777777" w:rsidR="003469AD" w:rsidRPr="004F00DD" w:rsidRDefault="003469AD" w:rsidP="003469AD">
      <w:pPr>
        <w:overflowPunct/>
        <w:autoSpaceDE/>
        <w:autoSpaceDN/>
        <w:adjustRightInd/>
        <w:textAlignment w:val="auto"/>
        <w:rPr>
          <w:rFonts w:ascii="Arial" w:hAnsi="Arial" w:cs="Arial"/>
          <w:szCs w:val="24"/>
        </w:rPr>
      </w:pPr>
    </w:p>
    <w:p w14:paraId="0E991E1C" w14:textId="77777777" w:rsidR="003469AD" w:rsidRPr="004F00DD" w:rsidRDefault="003469AD" w:rsidP="003469AD">
      <w:pPr>
        <w:overflowPunct/>
        <w:autoSpaceDE/>
        <w:autoSpaceDN/>
        <w:adjustRightInd/>
        <w:textAlignment w:val="auto"/>
        <w:rPr>
          <w:rFonts w:ascii="Arial" w:hAnsi="Arial" w:cs="Arial"/>
          <w:szCs w:val="24"/>
        </w:rPr>
      </w:pPr>
      <w:r w:rsidRPr="004F00DD">
        <w:rPr>
          <w:rFonts w:ascii="Arial" w:hAnsi="Arial" w:cs="Arial"/>
          <w:b/>
          <w:bCs/>
          <w:szCs w:val="24"/>
        </w:rPr>
        <w:t>Report on Other Legal and Regulatory Requirements</w:t>
      </w:r>
    </w:p>
    <w:p w14:paraId="2324E1D4" w14:textId="77777777" w:rsidR="003469AD" w:rsidRPr="004F00DD" w:rsidRDefault="003469AD" w:rsidP="003469AD">
      <w:pPr>
        <w:overflowPunct/>
        <w:autoSpaceDE/>
        <w:autoSpaceDN/>
        <w:adjustRightInd/>
        <w:textAlignment w:val="auto"/>
        <w:rPr>
          <w:rFonts w:ascii="Arial" w:hAnsi="Arial" w:cs="Arial"/>
          <w:szCs w:val="24"/>
        </w:rPr>
      </w:pPr>
    </w:p>
    <w:p w14:paraId="58F84AB2" w14:textId="77777777" w:rsidR="003469AD" w:rsidRPr="004F00DD" w:rsidRDefault="003469AD" w:rsidP="003469AD">
      <w:pPr>
        <w:overflowPunct/>
        <w:autoSpaceDE/>
        <w:autoSpaceDN/>
        <w:adjustRightInd/>
        <w:textAlignment w:val="auto"/>
        <w:rPr>
          <w:rFonts w:ascii="Arial" w:hAnsi="Arial" w:cs="Arial"/>
          <w:szCs w:val="24"/>
        </w:rPr>
      </w:pPr>
      <w:r w:rsidRPr="004F00DD">
        <w:rPr>
          <w:rFonts w:ascii="Arial" w:hAnsi="Arial" w:cs="Arial"/>
          <w:szCs w:val="24"/>
        </w:rPr>
        <w:tab/>
        <w:t xml:space="preserve">The accompanying statements were prepared for the purpose of complying with the rules and regulations of the Pennsylvania Public Utility Commission and are not intended to be a complete presentation of the </w:t>
      </w:r>
      <w:r>
        <w:rPr>
          <w:rFonts w:ascii="Arial" w:hAnsi="Arial" w:cs="Arial"/>
          <w:szCs w:val="24"/>
        </w:rPr>
        <w:t>PECO Energy Company’s</w:t>
      </w:r>
      <w:r w:rsidRPr="004F00DD">
        <w:rPr>
          <w:rFonts w:ascii="Arial" w:hAnsi="Arial" w:cs="Arial"/>
          <w:szCs w:val="24"/>
        </w:rPr>
        <w:t xml:space="preserve"> revenues and expenses.</w:t>
      </w:r>
    </w:p>
    <w:p w14:paraId="48566FD9" w14:textId="77777777" w:rsidR="003469AD" w:rsidRPr="00982C30" w:rsidRDefault="003469AD" w:rsidP="003469AD">
      <w:pPr>
        <w:ind w:firstLine="720"/>
        <w:rPr>
          <w:rFonts w:ascii="Arial" w:hAnsi="Arial" w:cs="Arial"/>
          <w:szCs w:val="24"/>
        </w:rPr>
      </w:pPr>
    </w:p>
    <w:p w14:paraId="370DA1DD" w14:textId="77777777" w:rsidR="007C6911" w:rsidRDefault="007C6911" w:rsidP="007C6911">
      <w:pPr>
        <w:suppressAutoHyphens/>
        <w:rPr>
          <w:rFonts w:ascii="Arial" w:hAnsi="Arial" w:cs="Arial"/>
          <w:szCs w:val="24"/>
        </w:rPr>
      </w:pPr>
    </w:p>
    <w:p w14:paraId="21076072" w14:textId="77777777" w:rsidR="00C059D2" w:rsidRDefault="00C059D2" w:rsidP="007C6911">
      <w:pPr>
        <w:suppressAutoHyphens/>
        <w:rPr>
          <w:rFonts w:ascii="Arial" w:hAnsi="Arial" w:cs="Arial"/>
          <w:szCs w:val="24"/>
        </w:rPr>
      </w:pPr>
    </w:p>
    <w:p w14:paraId="330BC1FE" w14:textId="77777777" w:rsidR="00630B6A" w:rsidRPr="00936DE2" w:rsidRDefault="00630B6A" w:rsidP="007C6911">
      <w:pPr>
        <w:suppressAutoHyphens/>
        <w:rPr>
          <w:rFonts w:ascii="Arial" w:hAnsi="Arial" w:cs="Arial"/>
          <w:szCs w:val="24"/>
        </w:rPr>
      </w:pPr>
    </w:p>
    <w:p w14:paraId="3F5C5EDC" w14:textId="77777777" w:rsidR="009C3F5A" w:rsidRDefault="00C11F14" w:rsidP="00C11F14">
      <w:pPr>
        <w:tabs>
          <w:tab w:val="left" w:pos="5220"/>
        </w:tabs>
        <w:rPr>
          <w:rFonts w:ascii="CG Times" w:hAnsi="CG Times"/>
          <w:szCs w:val="24"/>
        </w:rPr>
      </w:pPr>
      <w:r>
        <w:rPr>
          <w:rFonts w:ascii="CG Times" w:hAnsi="CG Times"/>
          <w:szCs w:val="24"/>
        </w:rPr>
        <w:tab/>
      </w:r>
    </w:p>
    <w:p w14:paraId="651DF92D" w14:textId="06C1BF25" w:rsidR="00C11F14" w:rsidRPr="00982C30" w:rsidRDefault="009C3F5A" w:rsidP="00C11F14">
      <w:pPr>
        <w:tabs>
          <w:tab w:val="left" w:pos="5220"/>
        </w:tabs>
        <w:rPr>
          <w:rFonts w:ascii="Arial" w:hAnsi="Arial" w:cs="Arial"/>
          <w:szCs w:val="24"/>
        </w:rPr>
      </w:pPr>
      <w:r>
        <w:rPr>
          <w:rFonts w:ascii="CG Times" w:hAnsi="CG Times"/>
          <w:szCs w:val="24"/>
        </w:rPr>
        <w:tab/>
      </w:r>
      <w:r w:rsidR="00C11F14" w:rsidRPr="00D0095A">
        <w:rPr>
          <w:rFonts w:ascii="Arial" w:hAnsi="Arial" w:cs="Arial"/>
          <w:szCs w:val="24"/>
        </w:rPr>
        <w:t>Kelly A.</w:t>
      </w:r>
      <w:r w:rsidR="00C11F14">
        <w:rPr>
          <w:rFonts w:ascii="Arial" w:hAnsi="Arial" w:cs="Arial"/>
          <w:szCs w:val="24"/>
        </w:rPr>
        <w:t xml:space="preserve"> </w:t>
      </w:r>
      <w:r w:rsidR="00C11F14" w:rsidRPr="00D0095A">
        <w:rPr>
          <w:rFonts w:ascii="Arial" w:hAnsi="Arial" w:cs="Arial"/>
          <w:szCs w:val="24"/>
        </w:rPr>
        <w:t>Monaghan, CPA, CGFM, CFE</w:t>
      </w:r>
    </w:p>
    <w:p w14:paraId="49ED0D43" w14:textId="77777777" w:rsidR="00C11F14" w:rsidRPr="00982C30" w:rsidRDefault="00C11F14" w:rsidP="00C11F14">
      <w:pPr>
        <w:tabs>
          <w:tab w:val="left" w:pos="5220"/>
        </w:tabs>
        <w:rPr>
          <w:rFonts w:ascii="Arial" w:hAnsi="Arial" w:cs="Arial"/>
          <w:szCs w:val="24"/>
        </w:rPr>
      </w:pPr>
      <w:r w:rsidRPr="00982C30">
        <w:rPr>
          <w:rFonts w:ascii="Arial" w:hAnsi="Arial" w:cs="Arial"/>
          <w:szCs w:val="24"/>
        </w:rPr>
        <w:tab/>
        <w:t>Director</w:t>
      </w:r>
    </w:p>
    <w:p w14:paraId="26229BFB" w14:textId="77777777" w:rsidR="00C11F14" w:rsidRPr="00982C30" w:rsidRDefault="00C11F14" w:rsidP="00C11F14">
      <w:pPr>
        <w:tabs>
          <w:tab w:val="left" w:pos="5220"/>
        </w:tabs>
        <w:rPr>
          <w:rFonts w:ascii="Arial" w:hAnsi="Arial" w:cs="Arial"/>
          <w:szCs w:val="24"/>
        </w:rPr>
      </w:pPr>
      <w:r w:rsidRPr="00982C30">
        <w:rPr>
          <w:rFonts w:ascii="Arial" w:hAnsi="Arial" w:cs="Arial"/>
          <w:szCs w:val="24"/>
        </w:rPr>
        <w:tab/>
        <w:t>Bureau of Audits</w:t>
      </w:r>
    </w:p>
    <w:p w14:paraId="18C6C174" w14:textId="77777777" w:rsidR="00C11F14" w:rsidRPr="00982C30" w:rsidRDefault="00C11F14" w:rsidP="00C11F14">
      <w:pPr>
        <w:tabs>
          <w:tab w:val="left" w:pos="5220"/>
        </w:tabs>
        <w:rPr>
          <w:rFonts w:ascii="Arial" w:hAnsi="Arial" w:cs="Arial"/>
          <w:szCs w:val="24"/>
        </w:rPr>
      </w:pPr>
      <w:r w:rsidRPr="00982C30">
        <w:rPr>
          <w:rFonts w:ascii="Arial" w:hAnsi="Arial" w:cs="Arial"/>
          <w:szCs w:val="24"/>
        </w:rPr>
        <w:tab/>
        <w:t>Harrisburg, PA</w:t>
      </w:r>
    </w:p>
    <w:p w14:paraId="1BF84DBE" w14:textId="7E507AA3" w:rsidR="00C11F14" w:rsidRPr="00036BF6" w:rsidRDefault="00C11F14" w:rsidP="00C11F14">
      <w:pPr>
        <w:tabs>
          <w:tab w:val="left" w:pos="5220"/>
        </w:tabs>
        <w:rPr>
          <w:rFonts w:ascii="Arial" w:hAnsi="Arial" w:cs="Arial"/>
          <w:szCs w:val="24"/>
        </w:rPr>
      </w:pPr>
      <w:r w:rsidRPr="00982C30">
        <w:rPr>
          <w:rFonts w:ascii="Arial" w:hAnsi="Arial" w:cs="Arial"/>
          <w:szCs w:val="24"/>
        </w:rPr>
        <w:tab/>
      </w:r>
      <w:r w:rsidR="00963D10">
        <w:rPr>
          <w:rFonts w:ascii="Arial" w:hAnsi="Arial" w:cs="Arial"/>
          <w:szCs w:val="24"/>
        </w:rPr>
        <w:t>April 15, 2019</w:t>
      </w:r>
      <w:bookmarkStart w:id="0" w:name="_GoBack"/>
      <w:bookmarkEnd w:id="0"/>
    </w:p>
    <w:p w14:paraId="1FCB3A42" w14:textId="77777777" w:rsidR="007C6911" w:rsidRPr="00936DE2" w:rsidRDefault="007C6911" w:rsidP="007C6911">
      <w:pPr>
        <w:suppressAutoHyphens/>
        <w:rPr>
          <w:rFonts w:ascii="Arial" w:hAnsi="Arial" w:cs="Arial"/>
          <w:szCs w:val="24"/>
        </w:rPr>
      </w:pPr>
    </w:p>
    <w:p w14:paraId="5286AD59" w14:textId="77777777" w:rsidR="007C6911" w:rsidRPr="00936DE2" w:rsidRDefault="007C6911" w:rsidP="003469AD">
      <w:pPr>
        <w:suppressAutoHyphens/>
        <w:outlineLvl w:val="0"/>
        <w:rPr>
          <w:rFonts w:ascii="Arial" w:hAnsi="Arial" w:cs="Arial"/>
          <w:szCs w:val="24"/>
        </w:rPr>
      </w:pP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t xml:space="preserve"> </w:t>
      </w:r>
    </w:p>
    <w:p w14:paraId="13B51217" w14:textId="77777777" w:rsidR="007C6911" w:rsidRPr="00936DE2" w:rsidRDefault="007C6911" w:rsidP="007C6911">
      <w:pPr>
        <w:suppressAutoHyphens/>
        <w:rPr>
          <w:rFonts w:ascii="Arial" w:hAnsi="Arial" w:cs="Arial"/>
          <w:szCs w:val="24"/>
        </w:rPr>
      </w:pP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r>
    </w:p>
    <w:p w14:paraId="2483BF45" w14:textId="77777777" w:rsidR="005D711E" w:rsidRPr="00BE0936" w:rsidRDefault="005D711E" w:rsidP="007C6911">
      <w:pPr>
        <w:suppressAutoHyphens/>
        <w:rPr>
          <w:rFonts w:ascii="Arial" w:hAnsi="Arial" w:cs="Arial"/>
          <w:szCs w:val="24"/>
        </w:rPr>
      </w:pPr>
    </w:p>
    <w:p w14:paraId="4F9E1197" w14:textId="77777777" w:rsidR="0047509D" w:rsidRPr="00BE0936" w:rsidRDefault="0047509D" w:rsidP="00CF2F5B">
      <w:pPr>
        <w:suppressAutoHyphens/>
        <w:rPr>
          <w:rFonts w:ascii="Arial" w:hAnsi="Arial" w:cs="Arial"/>
          <w:szCs w:val="24"/>
        </w:rPr>
        <w:sectPr w:rsidR="0047509D" w:rsidRPr="00BE0936" w:rsidSect="003C3892">
          <w:headerReference w:type="even" r:id="rId24"/>
          <w:headerReference w:type="default" r:id="rId25"/>
          <w:footerReference w:type="default" r:id="rId26"/>
          <w:headerReference w:type="first" r:id="rId27"/>
          <w:endnotePr>
            <w:numFmt w:val="decimal"/>
          </w:endnotePr>
          <w:pgSz w:w="12240" w:h="15840" w:code="1"/>
          <w:pgMar w:top="1440" w:right="1440" w:bottom="1008" w:left="1440" w:header="720" w:footer="720" w:gutter="0"/>
          <w:pgNumType w:fmt="numberInDash"/>
          <w:cols w:space="720"/>
          <w:noEndnote/>
          <w:docGrid w:linePitch="326"/>
        </w:sectPr>
      </w:pPr>
    </w:p>
    <w:tbl>
      <w:tblPr>
        <w:tblW w:w="9315" w:type="dxa"/>
        <w:jc w:val="center"/>
        <w:tblLook w:val="0000" w:firstRow="0" w:lastRow="0" w:firstColumn="0" w:lastColumn="0" w:noHBand="0" w:noVBand="0"/>
      </w:tblPr>
      <w:tblGrid>
        <w:gridCol w:w="9315"/>
      </w:tblGrid>
      <w:tr w:rsidR="008B2A09" w:rsidRPr="00BE0936" w14:paraId="67336A33" w14:textId="77777777" w:rsidTr="00675DE8">
        <w:trPr>
          <w:trHeight w:val="990"/>
          <w:jc w:val="center"/>
        </w:trPr>
        <w:tc>
          <w:tcPr>
            <w:tcW w:w="9315" w:type="dxa"/>
            <w:tcBorders>
              <w:top w:val="nil"/>
              <w:left w:val="nil"/>
              <w:bottom w:val="nil"/>
              <w:right w:val="nil"/>
            </w:tcBorders>
            <w:shd w:val="clear" w:color="auto" w:fill="auto"/>
            <w:noWrap/>
            <w:vAlign w:val="bottom"/>
          </w:tcPr>
          <w:p w14:paraId="0D417C3E" w14:textId="345F35D6" w:rsidR="00675DE8" w:rsidRDefault="00440FBF" w:rsidP="00675DE8">
            <w:pPr>
              <w:overflowPunct/>
              <w:autoSpaceDE/>
              <w:autoSpaceDN/>
              <w:adjustRightInd/>
              <w:jc w:val="center"/>
              <w:textAlignment w:val="auto"/>
              <w:rPr>
                <w:rFonts w:ascii="Arial" w:hAnsi="Arial" w:cs="Arial"/>
                <w:b/>
                <w:sz w:val="26"/>
                <w:szCs w:val="26"/>
              </w:rPr>
            </w:pPr>
            <w:r>
              <w:rPr>
                <w:rFonts w:ascii="Arial" w:hAnsi="Arial" w:cs="Arial"/>
                <w:b/>
                <w:sz w:val="26"/>
                <w:szCs w:val="26"/>
              </w:rPr>
              <w:lastRenderedPageBreak/>
              <w:t xml:space="preserve">Condensed </w:t>
            </w:r>
            <w:r w:rsidRPr="00470786">
              <w:rPr>
                <w:rFonts w:ascii="Arial" w:hAnsi="Arial" w:cs="Arial"/>
                <w:b/>
                <w:sz w:val="26"/>
                <w:szCs w:val="26"/>
              </w:rPr>
              <w:t>Statement</w:t>
            </w:r>
            <w:r w:rsidR="004C06BB">
              <w:rPr>
                <w:rStyle w:val="FootnoteReference"/>
                <w:rFonts w:ascii="Arial" w:hAnsi="Arial" w:cs="Arial"/>
                <w:b/>
                <w:sz w:val="26"/>
                <w:szCs w:val="26"/>
              </w:rPr>
              <w:footnoteReference w:id="1"/>
            </w:r>
            <w:r w:rsidRPr="00470786">
              <w:rPr>
                <w:rFonts w:ascii="Arial" w:hAnsi="Arial" w:cs="Arial"/>
                <w:b/>
                <w:sz w:val="26"/>
                <w:szCs w:val="26"/>
              </w:rPr>
              <w:t xml:space="preserve"> </w:t>
            </w:r>
            <w:r w:rsidR="000E6532">
              <w:rPr>
                <w:rFonts w:ascii="Arial" w:hAnsi="Arial" w:cs="Arial"/>
                <w:b/>
                <w:sz w:val="26"/>
                <w:szCs w:val="26"/>
              </w:rPr>
              <w:t>o</w:t>
            </w:r>
            <w:r w:rsidRPr="00470786">
              <w:rPr>
                <w:rFonts w:ascii="Arial" w:hAnsi="Arial" w:cs="Arial"/>
                <w:b/>
                <w:sz w:val="26"/>
                <w:szCs w:val="26"/>
              </w:rPr>
              <w:t xml:space="preserve">f </w:t>
            </w:r>
          </w:p>
          <w:p w14:paraId="4D4B2630" w14:textId="733C7DD0" w:rsidR="00440FBF" w:rsidRDefault="001D0F9C" w:rsidP="00675DE8">
            <w:pPr>
              <w:overflowPunct/>
              <w:autoSpaceDE/>
              <w:autoSpaceDN/>
              <w:adjustRightInd/>
              <w:jc w:val="center"/>
              <w:textAlignment w:val="auto"/>
              <w:rPr>
                <w:rFonts w:ascii="Arial" w:hAnsi="Arial" w:cs="Arial"/>
                <w:b/>
                <w:sz w:val="26"/>
                <w:szCs w:val="26"/>
              </w:rPr>
            </w:pPr>
            <w:r>
              <w:rPr>
                <w:rFonts w:ascii="Arial" w:hAnsi="Arial" w:cs="Arial"/>
                <w:b/>
                <w:sz w:val="26"/>
                <w:szCs w:val="26"/>
              </w:rPr>
              <w:t>Non-</w:t>
            </w:r>
            <w:proofErr w:type="spellStart"/>
            <w:r>
              <w:rPr>
                <w:rFonts w:ascii="Arial" w:hAnsi="Arial" w:cs="Arial"/>
                <w:b/>
                <w:sz w:val="26"/>
                <w:szCs w:val="26"/>
              </w:rPr>
              <w:t>Bypassable</w:t>
            </w:r>
            <w:proofErr w:type="spellEnd"/>
            <w:r>
              <w:rPr>
                <w:rFonts w:ascii="Arial" w:hAnsi="Arial" w:cs="Arial"/>
                <w:b/>
                <w:sz w:val="26"/>
                <w:szCs w:val="26"/>
              </w:rPr>
              <w:t xml:space="preserve"> </w:t>
            </w:r>
            <w:r w:rsidR="00440FBF" w:rsidRPr="00440FBF">
              <w:rPr>
                <w:rFonts w:ascii="Arial" w:hAnsi="Arial" w:cs="Arial"/>
                <w:b/>
                <w:sz w:val="26"/>
                <w:szCs w:val="26"/>
              </w:rPr>
              <w:t>Transmission Service Charge</w:t>
            </w:r>
            <w:r w:rsidR="00440FBF">
              <w:rPr>
                <w:rFonts w:ascii="Arial" w:hAnsi="Arial" w:cs="Arial"/>
                <w:b/>
                <w:sz w:val="26"/>
                <w:szCs w:val="26"/>
              </w:rPr>
              <w:t xml:space="preserve"> (</w:t>
            </w:r>
            <w:r>
              <w:rPr>
                <w:rFonts w:ascii="Arial" w:hAnsi="Arial" w:cs="Arial"/>
                <w:b/>
                <w:sz w:val="26"/>
                <w:szCs w:val="26"/>
              </w:rPr>
              <w:t>NBT</w:t>
            </w:r>
            <w:r w:rsidR="00440FBF">
              <w:rPr>
                <w:rFonts w:ascii="Arial" w:hAnsi="Arial" w:cs="Arial"/>
                <w:b/>
                <w:sz w:val="26"/>
                <w:szCs w:val="26"/>
              </w:rPr>
              <w:t>)</w:t>
            </w:r>
          </w:p>
          <w:p w14:paraId="5704DF0B" w14:textId="77777777" w:rsidR="00D50737" w:rsidRDefault="00440FBF" w:rsidP="00440FBF">
            <w:pPr>
              <w:overflowPunct/>
              <w:autoSpaceDE/>
              <w:autoSpaceDN/>
              <w:adjustRightInd/>
              <w:jc w:val="center"/>
              <w:textAlignment w:val="auto"/>
              <w:rPr>
                <w:rFonts w:ascii="Arial" w:hAnsi="Arial" w:cs="Arial"/>
                <w:b/>
                <w:sz w:val="26"/>
                <w:szCs w:val="26"/>
              </w:rPr>
            </w:pPr>
            <w:r w:rsidRPr="00470786">
              <w:rPr>
                <w:rFonts w:ascii="Arial" w:hAnsi="Arial" w:cs="Arial"/>
                <w:b/>
                <w:sz w:val="26"/>
                <w:szCs w:val="26"/>
              </w:rPr>
              <w:t>Over/(Under) Collections</w:t>
            </w:r>
            <w:r>
              <w:rPr>
                <w:rFonts w:ascii="Arial" w:hAnsi="Arial" w:cs="Arial"/>
                <w:b/>
                <w:sz w:val="26"/>
                <w:szCs w:val="26"/>
              </w:rPr>
              <w:t xml:space="preserve"> </w:t>
            </w:r>
            <w:r w:rsidRPr="00470786">
              <w:rPr>
                <w:rFonts w:ascii="Arial" w:hAnsi="Arial" w:cs="Arial"/>
                <w:b/>
                <w:sz w:val="26"/>
                <w:szCs w:val="26"/>
              </w:rPr>
              <w:t>(Section 1307(e))</w:t>
            </w:r>
          </w:p>
          <w:p w14:paraId="70EDA081" w14:textId="1A8E376F" w:rsidR="008B2A09" w:rsidRPr="00440FBF" w:rsidRDefault="00675DE8" w:rsidP="009F26D8">
            <w:pPr>
              <w:tabs>
                <w:tab w:val="left" w:pos="9101"/>
              </w:tabs>
              <w:overflowPunct/>
              <w:autoSpaceDE/>
              <w:autoSpaceDN/>
              <w:adjustRightInd/>
              <w:jc w:val="center"/>
              <w:textAlignment w:val="auto"/>
              <w:rPr>
                <w:rFonts w:ascii="Arial" w:hAnsi="Arial" w:cs="Arial"/>
                <w:b/>
                <w:sz w:val="26"/>
                <w:szCs w:val="26"/>
              </w:rPr>
            </w:pPr>
            <w:r>
              <w:rPr>
                <w:rFonts w:ascii="Arial" w:hAnsi="Arial" w:cs="Arial"/>
                <w:b/>
                <w:sz w:val="26"/>
                <w:szCs w:val="26"/>
              </w:rPr>
              <w:t>f</w:t>
            </w:r>
            <w:r w:rsidR="00440FBF" w:rsidRPr="00440FBF">
              <w:rPr>
                <w:rFonts w:ascii="Arial" w:hAnsi="Arial" w:cs="Arial"/>
                <w:b/>
                <w:sz w:val="26"/>
                <w:szCs w:val="26"/>
              </w:rPr>
              <w:t xml:space="preserve">or the </w:t>
            </w:r>
            <w:r w:rsidR="001D1B89">
              <w:rPr>
                <w:rFonts w:ascii="Arial" w:hAnsi="Arial" w:cs="Arial"/>
                <w:b/>
                <w:sz w:val="26"/>
                <w:szCs w:val="26"/>
              </w:rPr>
              <w:t>t</w:t>
            </w:r>
            <w:r w:rsidR="00B84E25">
              <w:rPr>
                <w:rFonts w:ascii="Arial" w:hAnsi="Arial" w:cs="Arial"/>
                <w:b/>
                <w:sz w:val="26"/>
                <w:szCs w:val="26"/>
              </w:rPr>
              <w:t>welve</w:t>
            </w:r>
            <w:r w:rsidR="00440FBF" w:rsidRPr="00440FBF">
              <w:rPr>
                <w:rFonts w:ascii="Arial" w:hAnsi="Arial" w:cs="Arial"/>
                <w:b/>
                <w:sz w:val="26"/>
                <w:szCs w:val="26"/>
              </w:rPr>
              <w:t xml:space="preserve"> </w:t>
            </w:r>
            <w:r w:rsidR="001D1B89">
              <w:rPr>
                <w:rFonts w:ascii="Arial" w:hAnsi="Arial" w:cs="Arial"/>
                <w:b/>
                <w:sz w:val="26"/>
                <w:szCs w:val="26"/>
              </w:rPr>
              <w:t>m</w:t>
            </w:r>
            <w:r w:rsidR="00440FBF" w:rsidRPr="00440FBF">
              <w:rPr>
                <w:rFonts w:ascii="Arial" w:hAnsi="Arial" w:cs="Arial"/>
                <w:b/>
                <w:sz w:val="26"/>
                <w:szCs w:val="26"/>
              </w:rPr>
              <w:t xml:space="preserve">onths </w:t>
            </w:r>
            <w:r w:rsidR="00C96782">
              <w:rPr>
                <w:rFonts w:ascii="Arial" w:hAnsi="Arial" w:cs="Arial"/>
                <w:b/>
                <w:sz w:val="26"/>
                <w:szCs w:val="26"/>
              </w:rPr>
              <w:t>e</w:t>
            </w:r>
            <w:r w:rsidR="00440FBF" w:rsidRPr="00440FBF">
              <w:rPr>
                <w:rFonts w:ascii="Arial" w:hAnsi="Arial" w:cs="Arial"/>
                <w:b/>
                <w:sz w:val="26"/>
                <w:szCs w:val="26"/>
              </w:rPr>
              <w:t xml:space="preserve">nded </w:t>
            </w:r>
            <w:r w:rsidR="00710127">
              <w:rPr>
                <w:rFonts w:ascii="Arial" w:hAnsi="Arial" w:cs="Arial"/>
                <w:b/>
                <w:sz w:val="26"/>
                <w:szCs w:val="26"/>
              </w:rPr>
              <w:t>November</w:t>
            </w:r>
            <w:r w:rsidR="00440FBF" w:rsidRPr="00440FBF">
              <w:rPr>
                <w:rFonts w:ascii="Arial" w:hAnsi="Arial" w:cs="Arial"/>
                <w:b/>
                <w:sz w:val="26"/>
                <w:szCs w:val="26"/>
              </w:rPr>
              <w:t xml:space="preserve"> 3</w:t>
            </w:r>
            <w:r w:rsidR="00710127">
              <w:rPr>
                <w:rFonts w:ascii="Arial" w:hAnsi="Arial" w:cs="Arial"/>
                <w:b/>
                <w:sz w:val="26"/>
                <w:szCs w:val="26"/>
              </w:rPr>
              <w:t>0</w:t>
            </w:r>
            <w:r w:rsidR="00440FBF" w:rsidRPr="00440FBF">
              <w:rPr>
                <w:rFonts w:ascii="Arial" w:hAnsi="Arial" w:cs="Arial"/>
                <w:b/>
                <w:sz w:val="26"/>
                <w:szCs w:val="26"/>
              </w:rPr>
              <w:t>, 201</w:t>
            </w:r>
            <w:r w:rsidR="00996C30">
              <w:rPr>
                <w:rFonts w:ascii="Arial" w:hAnsi="Arial" w:cs="Arial"/>
                <w:b/>
                <w:sz w:val="26"/>
                <w:szCs w:val="26"/>
              </w:rPr>
              <w:t>7</w:t>
            </w:r>
            <w:r w:rsidR="004C06BB">
              <w:rPr>
                <w:rStyle w:val="FootnoteReference"/>
                <w:rFonts w:ascii="Arial" w:hAnsi="Arial" w:cs="Arial"/>
                <w:b/>
                <w:sz w:val="26"/>
                <w:szCs w:val="26"/>
              </w:rPr>
              <w:footnoteReference w:id="2"/>
            </w:r>
          </w:p>
        </w:tc>
      </w:tr>
      <w:tr w:rsidR="008B2A09" w:rsidRPr="00BE0936" w14:paraId="117BC9D2" w14:textId="77777777" w:rsidTr="00D60026">
        <w:trPr>
          <w:trHeight w:val="277"/>
          <w:jc w:val="center"/>
        </w:trPr>
        <w:tc>
          <w:tcPr>
            <w:tcW w:w="9315" w:type="dxa"/>
            <w:tcBorders>
              <w:top w:val="nil"/>
              <w:left w:val="nil"/>
              <w:bottom w:val="nil"/>
              <w:right w:val="nil"/>
            </w:tcBorders>
            <w:shd w:val="clear" w:color="auto" w:fill="auto"/>
            <w:noWrap/>
            <w:vAlign w:val="bottom"/>
          </w:tcPr>
          <w:p w14:paraId="3A7E11C0" w14:textId="77777777" w:rsidR="008B2A09" w:rsidRPr="00440FBF" w:rsidRDefault="008B2A09" w:rsidP="00BF0E3F">
            <w:pPr>
              <w:overflowPunct/>
              <w:autoSpaceDE/>
              <w:autoSpaceDN/>
              <w:adjustRightInd/>
              <w:jc w:val="center"/>
              <w:textAlignment w:val="auto"/>
              <w:rPr>
                <w:rFonts w:ascii="Arial" w:hAnsi="Arial" w:cs="Arial"/>
                <w:b/>
                <w:sz w:val="26"/>
                <w:szCs w:val="26"/>
              </w:rPr>
            </w:pPr>
          </w:p>
        </w:tc>
      </w:tr>
    </w:tbl>
    <w:p w14:paraId="54FA3350" w14:textId="77777777" w:rsidR="00B852ED" w:rsidRDefault="00B852ED">
      <w:pPr>
        <w:rPr>
          <w:rFonts w:ascii="Arial" w:hAnsi="Arial" w:cs="Arial"/>
          <w:szCs w:val="24"/>
        </w:rPr>
      </w:pPr>
    </w:p>
    <w:p w14:paraId="1D8F5C7B" w14:textId="77777777" w:rsidR="000A6589" w:rsidRDefault="000A6589">
      <w:pPr>
        <w:rPr>
          <w:rFonts w:ascii="Arial" w:hAnsi="Arial" w:cs="Arial"/>
          <w:szCs w:val="24"/>
        </w:rPr>
      </w:pPr>
    </w:p>
    <w:tbl>
      <w:tblPr>
        <w:tblW w:w="9707" w:type="dxa"/>
        <w:jc w:val="center"/>
        <w:tblLook w:val="0000" w:firstRow="0" w:lastRow="0" w:firstColumn="0" w:lastColumn="0" w:noHBand="0" w:noVBand="0"/>
      </w:tblPr>
      <w:tblGrid>
        <w:gridCol w:w="2718"/>
        <w:gridCol w:w="236"/>
        <w:gridCol w:w="2077"/>
        <w:gridCol w:w="270"/>
        <w:gridCol w:w="1983"/>
        <w:gridCol w:w="270"/>
        <w:gridCol w:w="2153"/>
      </w:tblGrid>
      <w:tr w:rsidR="000F0B3C" w:rsidRPr="00BE0936" w14:paraId="4BD9AC8B" w14:textId="77777777" w:rsidTr="002A203E">
        <w:trPr>
          <w:trHeight w:val="288"/>
          <w:jc w:val="center"/>
        </w:trPr>
        <w:tc>
          <w:tcPr>
            <w:tcW w:w="2718" w:type="dxa"/>
            <w:tcBorders>
              <w:top w:val="nil"/>
              <w:left w:val="nil"/>
              <w:right w:val="nil"/>
            </w:tcBorders>
            <w:shd w:val="clear" w:color="auto" w:fill="auto"/>
            <w:noWrap/>
            <w:vAlign w:val="bottom"/>
          </w:tcPr>
          <w:p w14:paraId="1FDB9B0D" w14:textId="77777777" w:rsidR="000F0B3C" w:rsidRPr="00BE0936" w:rsidRDefault="000F0B3C" w:rsidP="005E047A">
            <w:pPr>
              <w:jc w:val="center"/>
              <w:rPr>
                <w:rFonts w:ascii="Arial" w:hAnsi="Arial" w:cs="Arial"/>
                <w:b/>
                <w:bCs/>
                <w:szCs w:val="24"/>
              </w:rPr>
            </w:pPr>
          </w:p>
        </w:tc>
        <w:tc>
          <w:tcPr>
            <w:tcW w:w="236" w:type="dxa"/>
            <w:tcBorders>
              <w:top w:val="nil"/>
              <w:left w:val="nil"/>
              <w:right w:val="nil"/>
            </w:tcBorders>
          </w:tcPr>
          <w:p w14:paraId="46D7F652" w14:textId="77777777" w:rsidR="000F0B3C" w:rsidRPr="00BE0936" w:rsidRDefault="000F0B3C" w:rsidP="005E047A">
            <w:pPr>
              <w:jc w:val="center"/>
              <w:rPr>
                <w:rFonts w:ascii="Arial" w:hAnsi="Arial" w:cs="Arial"/>
                <w:bCs/>
                <w:szCs w:val="24"/>
              </w:rPr>
            </w:pPr>
          </w:p>
        </w:tc>
        <w:tc>
          <w:tcPr>
            <w:tcW w:w="2077" w:type="dxa"/>
            <w:tcBorders>
              <w:top w:val="nil"/>
              <w:left w:val="nil"/>
              <w:right w:val="nil"/>
            </w:tcBorders>
            <w:shd w:val="clear" w:color="auto" w:fill="auto"/>
            <w:vAlign w:val="bottom"/>
          </w:tcPr>
          <w:p w14:paraId="66119542" w14:textId="77777777" w:rsidR="000F0B3C" w:rsidRPr="003B5995" w:rsidRDefault="000F0B3C" w:rsidP="000F0B3C">
            <w:pPr>
              <w:jc w:val="center"/>
              <w:rPr>
                <w:rFonts w:ascii="Arial" w:hAnsi="Arial" w:cs="Arial"/>
                <w:bCs/>
                <w:szCs w:val="24"/>
              </w:rPr>
            </w:pPr>
          </w:p>
        </w:tc>
        <w:tc>
          <w:tcPr>
            <w:tcW w:w="270" w:type="dxa"/>
            <w:tcBorders>
              <w:top w:val="nil"/>
              <w:left w:val="nil"/>
              <w:right w:val="nil"/>
            </w:tcBorders>
          </w:tcPr>
          <w:p w14:paraId="4B97ED47" w14:textId="77777777" w:rsidR="000F0B3C" w:rsidRPr="00BE0936" w:rsidRDefault="000F0B3C" w:rsidP="005E047A">
            <w:pPr>
              <w:jc w:val="center"/>
              <w:rPr>
                <w:rFonts w:ascii="Arial" w:hAnsi="Arial" w:cs="Arial"/>
                <w:bCs/>
                <w:szCs w:val="24"/>
              </w:rPr>
            </w:pPr>
          </w:p>
        </w:tc>
        <w:tc>
          <w:tcPr>
            <w:tcW w:w="1983" w:type="dxa"/>
            <w:tcBorders>
              <w:top w:val="nil"/>
              <w:left w:val="nil"/>
              <w:right w:val="nil"/>
            </w:tcBorders>
            <w:shd w:val="clear" w:color="auto" w:fill="auto"/>
            <w:vAlign w:val="bottom"/>
          </w:tcPr>
          <w:p w14:paraId="1E7690A4" w14:textId="77777777" w:rsidR="000F0B3C" w:rsidRPr="00BE0936" w:rsidRDefault="000F0B3C" w:rsidP="005E047A">
            <w:pPr>
              <w:jc w:val="center"/>
              <w:rPr>
                <w:rFonts w:ascii="Arial" w:hAnsi="Arial" w:cs="Arial"/>
                <w:bCs/>
                <w:szCs w:val="24"/>
              </w:rPr>
            </w:pPr>
          </w:p>
        </w:tc>
        <w:tc>
          <w:tcPr>
            <w:tcW w:w="270" w:type="dxa"/>
            <w:tcBorders>
              <w:top w:val="nil"/>
              <w:left w:val="nil"/>
              <w:right w:val="nil"/>
            </w:tcBorders>
          </w:tcPr>
          <w:p w14:paraId="4597A0DF" w14:textId="77777777" w:rsidR="000F0B3C" w:rsidRPr="00BE0936" w:rsidRDefault="000F0B3C" w:rsidP="005E047A">
            <w:pPr>
              <w:jc w:val="center"/>
              <w:rPr>
                <w:rFonts w:ascii="Arial" w:hAnsi="Arial" w:cs="Arial"/>
                <w:bCs/>
                <w:szCs w:val="24"/>
              </w:rPr>
            </w:pPr>
          </w:p>
        </w:tc>
        <w:tc>
          <w:tcPr>
            <w:tcW w:w="2153" w:type="dxa"/>
            <w:tcBorders>
              <w:top w:val="nil"/>
              <w:left w:val="nil"/>
              <w:right w:val="nil"/>
            </w:tcBorders>
            <w:shd w:val="clear" w:color="auto" w:fill="auto"/>
            <w:vAlign w:val="bottom"/>
          </w:tcPr>
          <w:p w14:paraId="650354D0" w14:textId="77777777" w:rsidR="000F0B3C" w:rsidRPr="005B4D6A" w:rsidRDefault="000F0B3C" w:rsidP="005E047A">
            <w:pPr>
              <w:jc w:val="center"/>
              <w:rPr>
                <w:rFonts w:ascii="Arial" w:hAnsi="Arial" w:cs="Arial"/>
                <w:b/>
                <w:bCs/>
                <w:szCs w:val="24"/>
              </w:rPr>
            </w:pPr>
          </w:p>
        </w:tc>
      </w:tr>
      <w:tr w:rsidR="000F0B3C" w:rsidRPr="00F7605F" w14:paraId="13A8948E" w14:textId="77777777" w:rsidTr="002A203E">
        <w:trPr>
          <w:trHeight w:val="288"/>
          <w:jc w:val="center"/>
        </w:trPr>
        <w:tc>
          <w:tcPr>
            <w:tcW w:w="2718" w:type="dxa"/>
            <w:tcBorders>
              <w:top w:val="nil"/>
              <w:left w:val="nil"/>
              <w:bottom w:val="single" w:sz="12" w:space="0" w:color="auto"/>
              <w:right w:val="nil"/>
            </w:tcBorders>
            <w:shd w:val="clear" w:color="auto" w:fill="auto"/>
            <w:noWrap/>
            <w:vAlign w:val="bottom"/>
          </w:tcPr>
          <w:p w14:paraId="78BD296F" w14:textId="77777777" w:rsidR="000F0B3C" w:rsidRPr="00853925" w:rsidRDefault="000F0B3C" w:rsidP="00D84293">
            <w:pPr>
              <w:rPr>
                <w:rFonts w:ascii="Arial" w:hAnsi="Arial" w:cs="Arial"/>
                <w:b/>
                <w:bCs/>
                <w:szCs w:val="24"/>
                <w:highlight w:val="yellow"/>
              </w:rPr>
            </w:pPr>
            <w:r w:rsidRPr="00853925">
              <w:rPr>
                <w:rFonts w:ascii="Arial" w:hAnsi="Arial" w:cs="Arial"/>
                <w:b/>
                <w:bCs/>
                <w:szCs w:val="24"/>
              </w:rPr>
              <w:t>Rate</w:t>
            </w:r>
            <w:r w:rsidR="00767BA0" w:rsidRPr="00853925">
              <w:rPr>
                <w:rFonts w:ascii="Arial" w:hAnsi="Arial" w:cs="Arial"/>
                <w:b/>
                <w:bCs/>
                <w:szCs w:val="24"/>
              </w:rPr>
              <w:t xml:space="preserve"> Class</w:t>
            </w:r>
          </w:p>
        </w:tc>
        <w:tc>
          <w:tcPr>
            <w:tcW w:w="236" w:type="dxa"/>
            <w:tcBorders>
              <w:top w:val="nil"/>
              <w:left w:val="nil"/>
              <w:right w:val="nil"/>
            </w:tcBorders>
          </w:tcPr>
          <w:p w14:paraId="0BEB7878" w14:textId="77777777" w:rsidR="000F0B3C" w:rsidRPr="00853925" w:rsidRDefault="000F0B3C" w:rsidP="005E047A">
            <w:pPr>
              <w:jc w:val="center"/>
              <w:rPr>
                <w:rFonts w:ascii="Arial" w:hAnsi="Arial" w:cs="Arial"/>
                <w:bCs/>
                <w:szCs w:val="24"/>
                <w:highlight w:val="yellow"/>
              </w:rPr>
            </w:pPr>
          </w:p>
        </w:tc>
        <w:tc>
          <w:tcPr>
            <w:tcW w:w="2077" w:type="dxa"/>
            <w:tcBorders>
              <w:top w:val="nil"/>
              <w:left w:val="nil"/>
              <w:bottom w:val="single" w:sz="12" w:space="0" w:color="auto"/>
              <w:right w:val="nil"/>
            </w:tcBorders>
            <w:shd w:val="clear" w:color="auto" w:fill="auto"/>
            <w:vAlign w:val="bottom"/>
          </w:tcPr>
          <w:p w14:paraId="637951DB" w14:textId="3D1C44A8" w:rsidR="00044925" w:rsidRPr="00853925" w:rsidRDefault="00965F26" w:rsidP="000F0B3C">
            <w:pPr>
              <w:jc w:val="center"/>
              <w:rPr>
                <w:rFonts w:ascii="Arial" w:hAnsi="Arial" w:cs="Arial"/>
                <w:b/>
                <w:bCs/>
                <w:szCs w:val="24"/>
              </w:rPr>
            </w:pPr>
            <w:r>
              <w:rPr>
                <w:rFonts w:ascii="Arial" w:hAnsi="Arial" w:cs="Arial"/>
                <w:b/>
                <w:bCs/>
                <w:szCs w:val="24"/>
              </w:rPr>
              <w:t>NBT</w:t>
            </w:r>
            <w:r w:rsidR="00767BA0" w:rsidRPr="00853925">
              <w:rPr>
                <w:rFonts w:ascii="Arial" w:hAnsi="Arial" w:cs="Arial"/>
                <w:b/>
                <w:bCs/>
                <w:szCs w:val="24"/>
              </w:rPr>
              <w:t xml:space="preserve"> </w:t>
            </w:r>
          </w:p>
          <w:p w14:paraId="40463C97" w14:textId="3D7AACC1" w:rsidR="000F0B3C" w:rsidRPr="00853925" w:rsidRDefault="00767BA0" w:rsidP="000F0B3C">
            <w:pPr>
              <w:jc w:val="center"/>
              <w:rPr>
                <w:rFonts w:ascii="Arial" w:hAnsi="Arial" w:cs="Arial"/>
                <w:b/>
                <w:bCs/>
                <w:szCs w:val="24"/>
              </w:rPr>
            </w:pPr>
            <w:r w:rsidRPr="00853925">
              <w:rPr>
                <w:rFonts w:ascii="Arial" w:hAnsi="Arial" w:cs="Arial"/>
                <w:b/>
                <w:bCs/>
                <w:szCs w:val="24"/>
              </w:rPr>
              <w:t>Revenue</w:t>
            </w:r>
          </w:p>
        </w:tc>
        <w:tc>
          <w:tcPr>
            <w:tcW w:w="270" w:type="dxa"/>
            <w:tcBorders>
              <w:top w:val="nil"/>
              <w:left w:val="nil"/>
              <w:right w:val="nil"/>
            </w:tcBorders>
          </w:tcPr>
          <w:p w14:paraId="618F3443" w14:textId="77777777" w:rsidR="000F0B3C" w:rsidRPr="00853925" w:rsidRDefault="000F0B3C" w:rsidP="005E047A">
            <w:pPr>
              <w:jc w:val="center"/>
              <w:rPr>
                <w:rFonts w:ascii="Arial" w:hAnsi="Arial" w:cs="Arial"/>
                <w:bCs/>
                <w:szCs w:val="24"/>
                <w:highlight w:val="yellow"/>
              </w:rPr>
            </w:pPr>
          </w:p>
        </w:tc>
        <w:tc>
          <w:tcPr>
            <w:tcW w:w="1983" w:type="dxa"/>
            <w:tcBorders>
              <w:top w:val="nil"/>
              <w:left w:val="nil"/>
              <w:bottom w:val="single" w:sz="12" w:space="0" w:color="auto"/>
              <w:right w:val="nil"/>
            </w:tcBorders>
            <w:shd w:val="clear" w:color="auto" w:fill="auto"/>
            <w:vAlign w:val="bottom"/>
          </w:tcPr>
          <w:p w14:paraId="4DD4CC26" w14:textId="01F0C0FF" w:rsidR="00044925" w:rsidRPr="00853925" w:rsidRDefault="00965F26" w:rsidP="005E047A">
            <w:pPr>
              <w:jc w:val="center"/>
              <w:rPr>
                <w:rFonts w:ascii="Arial" w:hAnsi="Arial" w:cs="Arial"/>
                <w:b/>
                <w:bCs/>
                <w:szCs w:val="24"/>
              </w:rPr>
            </w:pPr>
            <w:r>
              <w:rPr>
                <w:rFonts w:ascii="Arial" w:hAnsi="Arial" w:cs="Arial"/>
                <w:b/>
                <w:bCs/>
                <w:szCs w:val="24"/>
              </w:rPr>
              <w:t>NBT</w:t>
            </w:r>
            <w:r w:rsidR="00767BA0" w:rsidRPr="00853925">
              <w:rPr>
                <w:rFonts w:ascii="Arial" w:hAnsi="Arial" w:cs="Arial"/>
                <w:b/>
                <w:bCs/>
                <w:szCs w:val="24"/>
              </w:rPr>
              <w:t xml:space="preserve"> </w:t>
            </w:r>
          </w:p>
          <w:p w14:paraId="77A8B787" w14:textId="77777777" w:rsidR="000F0B3C" w:rsidRPr="00853925" w:rsidRDefault="00767BA0" w:rsidP="005E047A">
            <w:pPr>
              <w:jc w:val="center"/>
              <w:rPr>
                <w:rFonts w:ascii="Arial" w:hAnsi="Arial" w:cs="Arial"/>
                <w:b/>
                <w:bCs/>
                <w:szCs w:val="24"/>
              </w:rPr>
            </w:pPr>
            <w:r w:rsidRPr="00853925">
              <w:rPr>
                <w:rFonts w:ascii="Arial" w:hAnsi="Arial" w:cs="Arial"/>
                <w:b/>
                <w:bCs/>
                <w:szCs w:val="24"/>
              </w:rPr>
              <w:t>Costs</w:t>
            </w:r>
          </w:p>
        </w:tc>
        <w:tc>
          <w:tcPr>
            <w:tcW w:w="270" w:type="dxa"/>
            <w:tcBorders>
              <w:top w:val="nil"/>
              <w:left w:val="nil"/>
              <w:right w:val="nil"/>
            </w:tcBorders>
          </w:tcPr>
          <w:p w14:paraId="1E959B33" w14:textId="77777777" w:rsidR="000F0B3C" w:rsidRPr="00853925" w:rsidRDefault="000F0B3C" w:rsidP="005E047A">
            <w:pPr>
              <w:jc w:val="center"/>
              <w:rPr>
                <w:rFonts w:ascii="Arial" w:hAnsi="Arial" w:cs="Arial"/>
                <w:bCs/>
                <w:szCs w:val="24"/>
                <w:highlight w:val="yellow"/>
              </w:rPr>
            </w:pPr>
          </w:p>
        </w:tc>
        <w:tc>
          <w:tcPr>
            <w:tcW w:w="2153" w:type="dxa"/>
            <w:tcBorders>
              <w:top w:val="nil"/>
              <w:left w:val="nil"/>
              <w:bottom w:val="single" w:sz="12" w:space="0" w:color="auto"/>
              <w:right w:val="nil"/>
            </w:tcBorders>
            <w:shd w:val="clear" w:color="auto" w:fill="auto"/>
            <w:vAlign w:val="bottom"/>
          </w:tcPr>
          <w:p w14:paraId="6C6FAF65" w14:textId="77777777" w:rsidR="000F0B3C" w:rsidRPr="00853925" w:rsidRDefault="00044925" w:rsidP="005E047A">
            <w:pPr>
              <w:jc w:val="center"/>
              <w:rPr>
                <w:rFonts w:ascii="Arial" w:hAnsi="Arial" w:cs="Arial"/>
                <w:b/>
                <w:bCs/>
                <w:szCs w:val="24"/>
              </w:rPr>
            </w:pPr>
            <w:r w:rsidRPr="00853925">
              <w:rPr>
                <w:rFonts w:ascii="Arial" w:hAnsi="Arial" w:cs="Arial"/>
                <w:b/>
                <w:bCs/>
                <w:szCs w:val="24"/>
              </w:rPr>
              <w:t xml:space="preserve">Over/(Under) </w:t>
            </w:r>
            <w:r w:rsidR="000F0B3C" w:rsidRPr="00853925">
              <w:rPr>
                <w:rFonts w:ascii="Arial" w:hAnsi="Arial" w:cs="Arial"/>
                <w:b/>
                <w:bCs/>
                <w:szCs w:val="24"/>
              </w:rPr>
              <w:t>Collections</w:t>
            </w:r>
          </w:p>
        </w:tc>
      </w:tr>
      <w:tr w:rsidR="000F0B3C" w:rsidRPr="00F7605F" w14:paraId="58E506FF" w14:textId="77777777" w:rsidTr="000760EC">
        <w:trPr>
          <w:trHeight w:val="231"/>
          <w:jc w:val="center"/>
        </w:trPr>
        <w:tc>
          <w:tcPr>
            <w:tcW w:w="2718" w:type="dxa"/>
            <w:tcBorders>
              <w:top w:val="single" w:sz="12" w:space="0" w:color="auto"/>
              <w:left w:val="nil"/>
              <w:bottom w:val="nil"/>
              <w:right w:val="nil"/>
            </w:tcBorders>
            <w:shd w:val="clear" w:color="auto" w:fill="auto"/>
            <w:noWrap/>
            <w:vAlign w:val="bottom"/>
          </w:tcPr>
          <w:p w14:paraId="4557BD90" w14:textId="77777777" w:rsidR="000F0B3C" w:rsidRPr="00D86D43" w:rsidRDefault="000F0B3C" w:rsidP="005E047A">
            <w:pPr>
              <w:jc w:val="center"/>
              <w:rPr>
                <w:rFonts w:ascii="Arial" w:hAnsi="Arial" w:cs="Arial"/>
                <w:b/>
                <w:bCs/>
                <w:sz w:val="20"/>
                <w:highlight w:val="yellow"/>
              </w:rPr>
            </w:pPr>
          </w:p>
        </w:tc>
        <w:tc>
          <w:tcPr>
            <w:tcW w:w="236" w:type="dxa"/>
            <w:tcBorders>
              <w:left w:val="nil"/>
              <w:bottom w:val="nil"/>
              <w:right w:val="nil"/>
            </w:tcBorders>
          </w:tcPr>
          <w:p w14:paraId="52101D12" w14:textId="77777777" w:rsidR="000F0B3C" w:rsidRPr="00D86D43" w:rsidRDefault="000F0B3C" w:rsidP="005E047A">
            <w:pPr>
              <w:jc w:val="center"/>
              <w:rPr>
                <w:rFonts w:ascii="Arial" w:hAnsi="Arial" w:cs="Arial"/>
                <w:bCs/>
                <w:sz w:val="20"/>
                <w:highlight w:val="yellow"/>
              </w:rPr>
            </w:pPr>
          </w:p>
        </w:tc>
        <w:tc>
          <w:tcPr>
            <w:tcW w:w="2077" w:type="dxa"/>
            <w:tcBorders>
              <w:top w:val="single" w:sz="12" w:space="0" w:color="auto"/>
              <w:left w:val="nil"/>
              <w:bottom w:val="nil"/>
              <w:right w:val="nil"/>
            </w:tcBorders>
            <w:shd w:val="clear" w:color="auto" w:fill="auto"/>
            <w:vAlign w:val="bottom"/>
          </w:tcPr>
          <w:p w14:paraId="4F381A9F" w14:textId="77777777" w:rsidR="000F0B3C" w:rsidRPr="00D86D43" w:rsidRDefault="00767BA0" w:rsidP="00DD52FF">
            <w:pPr>
              <w:jc w:val="center"/>
              <w:rPr>
                <w:rFonts w:ascii="Arial" w:hAnsi="Arial" w:cs="Arial"/>
                <w:bCs/>
                <w:sz w:val="20"/>
              </w:rPr>
            </w:pPr>
            <w:r w:rsidRPr="00D86D43">
              <w:rPr>
                <w:rFonts w:ascii="Arial" w:hAnsi="Arial" w:cs="Arial"/>
                <w:bCs/>
                <w:sz w:val="20"/>
              </w:rPr>
              <w:t>(1)</w:t>
            </w:r>
          </w:p>
        </w:tc>
        <w:tc>
          <w:tcPr>
            <w:tcW w:w="270" w:type="dxa"/>
            <w:tcBorders>
              <w:left w:val="nil"/>
              <w:bottom w:val="nil"/>
              <w:right w:val="nil"/>
            </w:tcBorders>
          </w:tcPr>
          <w:p w14:paraId="366232DC" w14:textId="77777777" w:rsidR="000F0B3C" w:rsidRPr="00D86D43" w:rsidRDefault="000F0B3C" w:rsidP="005E047A">
            <w:pPr>
              <w:jc w:val="center"/>
              <w:rPr>
                <w:rFonts w:ascii="Arial" w:hAnsi="Arial" w:cs="Arial"/>
                <w:bCs/>
                <w:sz w:val="20"/>
                <w:highlight w:val="yellow"/>
              </w:rPr>
            </w:pPr>
          </w:p>
        </w:tc>
        <w:tc>
          <w:tcPr>
            <w:tcW w:w="1983" w:type="dxa"/>
            <w:tcBorders>
              <w:top w:val="single" w:sz="12" w:space="0" w:color="auto"/>
              <w:left w:val="nil"/>
              <w:bottom w:val="nil"/>
              <w:right w:val="nil"/>
            </w:tcBorders>
            <w:shd w:val="clear" w:color="auto" w:fill="auto"/>
            <w:vAlign w:val="bottom"/>
          </w:tcPr>
          <w:p w14:paraId="7045E761" w14:textId="77777777" w:rsidR="000F0B3C" w:rsidRPr="00D86D43" w:rsidRDefault="00767BA0" w:rsidP="00DD52FF">
            <w:pPr>
              <w:jc w:val="center"/>
              <w:rPr>
                <w:rFonts w:ascii="Arial" w:hAnsi="Arial" w:cs="Arial"/>
                <w:bCs/>
                <w:sz w:val="20"/>
              </w:rPr>
            </w:pPr>
            <w:r w:rsidRPr="00D86D43">
              <w:rPr>
                <w:rFonts w:ascii="Arial" w:hAnsi="Arial" w:cs="Arial"/>
                <w:bCs/>
                <w:sz w:val="20"/>
              </w:rPr>
              <w:t>(2)</w:t>
            </w:r>
          </w:p>
        </w:tc>
        <w:tc>
          <w:tcPr>
            <w:tcW w:w="270" w:type="dxa"/>
            <w:tcBorders>
              <w:left w:val="nil"/>
              <w:bottom w:val="nil"/>
              <w:right w:val="nil"/>
            </w:tcBorders>
          </w:tcPr>
          <w:p w14:paraId="44CA5CB0" w14:textId="77777777" w:rsidR="000F0B3C" w:rsidRPr="00D86D43" w:rsidRDefault="000F0B3C" w:rsidP="005E047A">
            <w:pPr>
              <w:jc w:val="center"/>
              <w:rPr>
                <w:rFonts w:ascii="Arial" w:hAnsi="Arial" w:cs="Arial"/>
                <w:bCs/>
                <w:sz w:val="20"/>
                <w:highlight w:val="yellow"/>
              </w:rPr>
            </w:pPr>
          </w:p>
        </w:tc>
        <w:tc>
          <w:tcPr>
            <w:tcW w:w="2153" w:type="dxa"/>
            <w:tcBorders>
              <w:top w:val="single" w:sz="12" w:space="0" w:color="auto"/>
              <w:left w:val="nil"/>
              <w:bottom w:val="nil"/>
              <w:right w:val="nil"/>
            </w:tcBorders>
            <w:shd w:val="clear" w:color="auto" w:fill="auto"/>
            <w:vAlign w:val="bottom"/>
          </w:tcPr>
          <w:p w14:paraId="2252ADDF" w14:textId="293DD1C4" w:rsidR="000F0B3C" w:rsidRPr="00D86D43" w:rsidRDefault="00767BA0" w:rsidP="00DD52FF">
            <w:pPr>
              <w:jc w:val="center"/>
              <w:rPr>
                <w:rFonts w:ascii="Arial" w:hAnsi="Arial" w:cs="Arial"/>
                <w:bCs/>
                <w:sz w:val="20"/>
              </w:rPr>
            </w:pPr>
            <w:r w:rsidRPr="00D86D43">
              <w:rPr>
                <w:rFonts w:ascii="Arial" w:hAnsi="Arial" w:cs="Arial"/>
                <w:bCs/>
                <w:sz w:val="20"/>
              </w:rPr>
              <w:t>(3)</w:t>
            </w:r>
            <w:r w:rsidR="008A5CB9">
              <w:rPr>
                <w:rFonts w:ascii="Arial" w:hAnsi="Arial" w:cs="Arial"/>
                <w:bCs/>
                <w:sz w:val="20"/>
              </w:rPr>
              <w:t xml:space="preserve"> </w:t>
            </w:r>
            <w:r w:rsidRPr="00D86D43">
              <w:rPr>
                <w:rFonts w:ascii="Arial" w:hAnsi="Arial" w:cs="Arial"/>
                <w:bCs/>
                <w:sz w:val="20"/>
              </w:rPr>
              <w:t>=</w:t>
            </w:r>
            <w:r w:rsidR="008A5CB9">
              <w:rPr>
                <w:rFonts w:ascii="Arial" w:hAnsi="Arial" w:cs="Arial"/>
                <w:bCs/>
                <w:sz w:val="20"/>
              </w:rPr>
              <w:t xml:space="preserve"> </w:t>
            </w:r>
            <w:r w:rsidRPr="00D86D43">
              <w:rPr>
                <w:rFonts w:ascii="Arial" w:hAnsi="Arial" w:cs="Arial"/>
                <w:bCs/>
                <w:sz w:val="20"/>
              </w:rPr>
              <w:t>(1)</w:t>
            </w:r>
            <w:r w:rsidR="008A5CB9">
              <w:rPr>
                <w:rFonts w:ascii="Arial" w:hAnsi="Arial" w:cs="Arial"/>
                <w:bCs/>
                <w:sz w:val="20"/>
              </w:rPr>
              <w:t xml:space="preserve"> </w:t>
            </w:r>
            <w:r w:rsidRPr="00D86D43">
              <w:rPr>
                <w:rFonts w:ascii="Arial" w:hAnsi="Arial" w:cs="Arial"/>
                <w:bCs/>
                <w:sz w:val="20"/>
              </w:rPr>
              <w:t>-</w:t>
            </w:r>
            <w:r w:rsidR="008A5CB9">
              <w:rPr>
                <w:rFonts w:ascii="Arial" w:hAnsi="Arial" w:cs="Arial"/>
                <w:bCs/>
                <w:sz w:val="20"/>
              </w:rPr>
              <w:t xml:space="preserve"> </w:t>
            </w:r>
            <w:r w:rsidRPr="00D86D43">
              <w:rPr>
                <w:rFonts w:ascii="Arial" w:hAnsi="Arial" w:cs="Arial"/>
                <w:bCs/>
                <w:sz w:val="20"/>
              </w:rPr>
              <w:t>(2)</w:t>
            </w:r>
          </w:p>
        </w:tc>
      </w:tr>
      <w:tr w:rsidR="000F0B3C" w:rsidRPr="00F7605F" w14:paraId="3F2DE9DF" w14:textId="77777777" w:rsidTr="002A203E">
        <w:trPr>
          <w:trHeight w:val="288"/>
          <w:jc w:val="center"/>
        </w:trPr>
        <w:tc>
          <w:tcPr>
            <w:tcW w:w="2718" w:type="dxa"/>
            <w:tcBorders>
              <w:top w:val="nil"/>
              <w:left w:val="nil"/>
              <w:bottom w:val="nil"/>
              <w:right w:val="nil"/>
            </w:tcBorders>
            <w:shd w:val="clear" w:color="auto" w:fill="auto"/>
            <w:noWrap/>
            <w:vAlign w:val="bottom"/>
          </w:tcPr>
          <w:p w14:paraId="6BBDD565" w14:textId="77777777" w:rsidR="000F0B3C" w:rsidRPr="00F7605F" w:rsidRDefault="000F0B3C" w:rsidP="00C7694F">
            <w:pPr>
              <w:ind w:right="-180"/>
              <w:rPr>
                <w:rFonts w:ascii="Arial" w:hAnsi="Arial" w:cs="Arial"/>
                <w:szCs w:val="24"/>
                <w:highlight w:val="yellow"/>
              </w:rPr>
            </w:pPr>
          </w:p>
        </w:tc>
        <w:tc>
          <w:tcPr>
            <w:tcW w:w="236" w:type="dxa"/>
            <w:tcBorders>
              <w:top w:val="nil"/>
              <w:left w:val="nil"/>
              <w:bottom w:val="nil"/>
              <w:right w:val="nil"/>
            </w:tcBorders>
          </w:tcPr>
          <w:p w14:paraId="6CB06F83" w14:textId="77777777" w:rsidR="000F0B3C" w:rsidRPr="00F7605F" w:rsidRDefault="000F0B3C" w:rsidP="00770CB2">
            <w:pPr>
              <w:jc w:val="right"/>
              <w:rPr>
                <w:rFonts w:ascii="Arial" w:hAnsi="Arial" w:cs="Arial"/>
                <w:szCs w:val="24"/>
                <w:highlight w:val="yellow"/>
              </w:rPr>
            </w:pPr>
          </w:p>
        </w:tc>
        <w:tc>
          <w:tcPr>
            <w:tcW w:w="2077" w:type="dxa"/>
            <w:tcBorders>
              <w:top w:val="nil"/>
              <w:left w:val="nil"/>
              <w:bottom w:val="nil"/>
              <w:right w:val="nil"/>
            </w:tcBorders>
            <w:shd w:val="clear" w:color="auto" w:fill="auto"/>
            <w:noWrap/>
            <w:vAlign w:val="bottom"/>
          </w:tcPr>
          <w:p w14:paraId="47B2DD1D" w14:textId="77777777" w:rsidR="000F0B3C" w:rsidRPr="00F7605F" w:rsidRDefault="000F0B3C" w:rsidP="00921081">
            <w:pPr>
              <w:tabs>
                <w:tab w:val="decimal" w:pos="1569"/>
              </w:tabs>
              <w:rPr>
                <w:rFonts w:ascii="Arial" w:hAnsi="Arial" w:cs="Arial"/>
                <w:szCs w:val="24"/>
                <w:highlight w:val="yellow"/>
              </w:rPr>
            </w:pPr>
          </w:p>
        </w:tc>
        <w:tc>
          <w:tcPr>
            <w:tcW w:w="270" w:type="dxa"/>
            <w:tcBorders>
              <w:top w:val="nil"/>
              <w:left w:val="nil"/>
              <w:bottom w:val="nil"/>
              <w:right w:val="nil"/>
            </w:tcBorders>
          </w:tcPr>
          <w:p w14:paraId="33D98A5C" w14:textId="77777777" w:rsidR="000F0B3C" w:rsidRPr="00F7605F" w:rsidRDefault="000F0B3C">
            <w:pPr>
              <w:jc w:val="right"/>
              <w:rPr>
                <w:rFonts w:ascii="Arial" w:hAnsi="Arial" w:cs="Arial"/>
                <w:szCs w:val="24"/>
                <w:highlight w:val="yellow"/>
              </w:rPr>
            </w:pPr>
          </w:p>
        </w:tc>
        <w:tc>
          <w:tcPr>
            <w:tcW w:w="1983" w:type="dxa"/>
            <w:tcBorders>
              <w:top w:val="nil"/>
              <w:left w:val="nil"/>
              <w:bottom w:val="nil"/>
              <w:right w:val="nil"/>
            </w:tcBorders>
            <w:shd w:val="clear" w:color="auto" w:fill="auto"/>
            <w:noWrap/>
            <w:vAlign w:val="bottom"/>
          </w:tcPr>
          <w:p w14:paraId="3B9DC9AF" w14:textId="77777777" w:rsidR="000F0B3C" w:rsidRPr="00F7605F" w:rsidRDefault="000F0B3C" w:rsidP="00B61414">
            <w:pPr>
              <w:tabs>
                <w:tab w:val="decimal" w:pos="1476"/>
              </w:tabs>
              <w:rPr>
                <w:rFonts w:ascii="Arial" w:hAnsi="Arial" w:cs="Arial"/>
                <w:szCs w:val="24"/>
                <w:highlight w:val="yellow"/>
              </w:rPr>
            </w:pPr>
          </w:p>
        </w:tc>
        <w:tc>
          <w:tcPr>
            <w:tcW w:w="270" w:type="dxa"/>
            <w:tcBorders>
              <w:top w:val="nil"/>
              <w:left w:val="nil"/>
              <w:bottom w:val="nil"/>
              <w:right w:val="nil"/>
            </w:tcBorders>
          </w:tcPr>
          <w:p w14:paraId="2F4F0562" w14:textId="77777777" w:rsidR="000F0B3C" w:rsidRPr="00F7605F" w:rsidRDefault="000F0B3C" w:rsidP="00D60026">
            <w:pPr>
              <w:jc w:val="right"/>
              <w:rPr>
                <w:rFonts w:ascii="Arial" w:hAnsi="Arial" w:cs="Arial"/>
                <w:szCs w:val="24"/>
                <w:highlight w:val="yellow"/>
              </w:rPr>
            </w:pPr>
          </w:p>
        </w:tc>
        <w:tc>
          <w:tcPr>
            <w:tcW w:w="2153" w:type="dxa"/>
            <w:tcBorders>
              <w:top w:val="nil"/>
              <w:left w:val="nil"/>
              <w:bottom w:val="nil"/>
              <w:right w:val="nil"/>
            </w:tcBorders>
            <w:shd w:val="clear" w:color="auto" w:fill="auto"/>
            <w:noWrap/>
            <w:vAlign w:val="bottom"/>
          </w:tcPr>
          <w:p w14:paraId="058E4D08" w14:textId="77777777" w:rsidR="000F0B3C" w:rsidRPr="00F7605F" w:rsidRDefault="000F0B3C" w:rsidP="00B61414">
            <w:pPr>
              <w:tabs>
                <w:tab w:val="decimal" w:pos="1431"/>
              </w:tabs>
              <w:rPr>
                <w:rFonts w:ascii="Arial" w:hAnsi="Arial" w:cs="Arial"/>
                <w:szCs w:val="24"/>
                <w:highlight w:val="yellow"/>
              </w:rPr>
            </w:pPr>
          </w:p>
        </w:tc>
      </w:tr>
      <w:tr w:rsidR="000F0B3C" w:rsidRPr="00F7605F" w14:paraId="3B8AECF5" w14:textId="77777777" w:rsidTr="002A203E">
        <w:trPr>
          <w:trHeight w:val="288"/>
          <w:jc w:val="center"/>
        </w:trPr>
        <w:tc>
          <w:tcPr>
            <w:tcW w:w="2718" w:type="dxa"/>
            <w:tcBorders>
              <w:top w:val="nil"/>
              <w:left w:val="nil"/>
              <w:bottom w:val="nil"/>
              <w:right w:val="nil"/>
            </w:tcBorders>
            <w:shd w:val="clear" w:color="auto" w:fill="auto"/>
            <w:noWrap/>
            <w:vAlign w:val="bottom"/>
          </w:tcPr>
          <w:p w14:paraId="5F71F22B" w14:textId="77777777" w:rsidR="000F0B3C" w:rsidRPr="00F7605F" w:rsidRDefault="000F0B3C" w:rsidP="00E75F1F">
            <w:pPr>
              <w:rPr>
                <w:rFonts w:ascii="Arial" w:hAnsi="Arial" w:cs="Arial"/>
                <w:szCs w:val="24"/>
                <w:highlight w:val="yellow"/>
              </w:rPr>
            </w:pPr>
            <w:r w:rsidRPr="006B2D2A">
              <w:rPr>
                <w:rFonts w:ascii="Arial" w:hAnsi="Arial" w:cs="Arial"/>
                <w:szCs w:val="24"/>
              </w:rPr>
              <w:t>Rate</w:t>
            </w:r>
            <w:r w:rsidR="006A66FE" w:rsidRPr="006B2D2A">
              <w:rPr>
                <w:rFonts w:ascii="Arial" w:hAnsi="Arial" w:cs="Arial"/>
                <w:szCs w:val="24"/>
              </w:rPr>
              <w:t>s</w:t>
            </w:r>
            <w:r w:rsidRPr="006B2D2A">
              <w:rPr>
                <w:rFonts w:ascii="Arial" w:hAnsi="Arial" w:cs="Arial"/>
                <w:szCs w:val="24"/>
              </w:rPr>
              <w:t xml:space="preserve"> R</w:t>
            </w:r>
            <w:r w:rsidR="00710127" w:rsidRPr="006B2D2A">
              <w:rPr>
                <w:rFonts w:ascii="Arial" w:hAnsi="Arial" w:cs="Arial"/>
                <w:szCs w:val="24"/>
              </w:rPr>
              <w:t>, RH</w:t>
            </w:r>
          </w:p>
        </w:tc>
        <w:tc>
          <w:tcPr>
            <w:tcW w:w="236" w:type="dxa"/>
            <w:tcBorders>
              <w:top w:val="nil"/>
              <w:left w:val="nil"/>
              <w:bottom w:val="nil"/>
              <w:right w:val="nil"/>
            </w:tcBorders>
          </w:tcPr>
          <w:p w14:paraId="31643383" w14:textId="77777777" w:rsidR="000F0B3C" w:rsidRPr="00F7605F" w:rsidRDefault="000F0B3C">
            <w:pPr>
              <w:jc w:val="right"/>
              <w:rPr>
                <w:rFonts w:ascii="Arial" w:hAnsi="Arial" w:cs="Arial"/>
                <w:szCs w:val="24"/>
                <w:highlight w:val="yellow"/>
              </w:rPr>
            </w:pPr>
          </w:p>
        </w:tc>
        <w:tc>
          <w:tcPr>
            <w:tcW w:w="2077" w:type="dxa"/>
            <w:tcBorders>
              <w:top w:val="nil"/>
              <w:left w:val="nil"/>
              <w:bottom w:val="nil"/>
              <w:right w:val="nil"/>
            </w:tcBorders>
            <w:shd w:val="clear" w:color="auto" w:fill="auto"/>
            <w:noWrap/>
            <w:vAlign w:val="bottom"/>
          </w:tcPr>
          <w:p w14:paraId="6C1904E6" w14:textId="779E3839" w:rsidR="000F0B3C" w:rsidRPr="006B2D2A" w:rsidRDefault="001C4463" w:rsidP="002A203E">
            <w:pPr>
              <w:jc w:val="right"/>
              <w:rPr>
                <w:rFonts w:ascii="Arial" w:hAnsi="Arial" w:cs="Arial"/>
                <w:szCs w:val="24"/>
              </w:rPr>
            </w:pPr>
            <w:r w:rsidRPr="006B2D2A">
              <w:rPr>
                <w:rFonts w:ascii="Arial" w:hAnsi="Arial" w:cs="Arial"/>
                <w:szCs w:val="24"/>
              </w:rPr>
              <w:t xml:space="preserve">  </w:t>
            </w:r>
            <w:r w:rsidR="000F0B3C" w:rsidRPr="006B2D2A">
              <w:rPr>
                <w:rFonts w:ascii="Arial" w:hAnsi="Arial" w:cs="Arial"/>
                <w:szCs w:val="24"/>
              </w:rPr>
              <w:t xml:space="preserve">$    </w:t>
            </w:r>
            <w:r w:rsidR="007D39A7">
              <w:rPr>
                <w:rFonts w:ascii="Arial" w:hAnsi="Arial" w:cs="Arial"/>
                <w:szCs w:val="24"/>
              </w:rPr>
              <w:t>39</w:t>
            </w:r>
            <w:r w:rsidR="000F0B3C" w:rsidRPr="006B2D2A">
              <w:rPr>
                <w:rFonts w:ascii="Arial" w:hAnsi="Arial" w:cs="Arial"/>
                <w:szCs w:val="24"/>
              </w:rPr>
              <w:t>,</w:t>
            </w:r>
            <w:r w:rsidR="007D39A7">
              <w:rPr>
                <w:rFonts w:ascii="Arial" w:hAnsi="Arial" w:cs="Arial"/>
                <w:szCs w:val="24"/>
              </w:rPr>
              <w:t>881</w:t>
            </w:r>
            <w:r w:rsidR="000F0B3C" w:rsidRPr="006B2D2A">
              <w:rPr>
                <w:rFonts w:ascii="Arial" w:hAnsi="Arial" w:cs="Arial"/>
                <w:szCs w:val="24"/>
              </w:rPr>
              <w:t>,</w:t>
            </w:r>
            <w:r w:rsidR="007D39A7">
              <w:rPr>
                <w:rFonts w:ascii="Arial" w:hAnsi="Arial" w:cs="Arial"/>
                <w:szCs w:val="24"/>
              </w:rPr>
              <w:t>788</w:t>
            </w:r>
          </w:p>
        </w:tc>
        <w:tc>
          <w:tcPr>
            <w:tcW w:w="270" w:type="dxa"/>
            <w:tcBorders>
              <w:top w:val="nil"/>
              <w:left w:val="nil"/>
              <w:bottom w:val="nil"/>
              <w:right w:val="nil"/>
            </w:tcBorders>
          </w:tcPr>
          <w:p w14:paraId="16DDE35E" w14:textId="77777777" w:rsidR="000F0B3C" w:rsidRPr="006B2D2A" w:rsidRDefault="000F0B3C">
            <w:pPr>
              <w:jc w:val="right"/>
              <w:rPr>
                <w:rFonts w:ascii="Arial" w:hAnsi="Arial" w:cs="Arial"/>
                <w:szCs w:val="24"/>
              </w:rPr>
            </w:pPr>
          </w:p>
        </w:tc>
        <w:tc>
          <w:tcPr>
            <w:tcW w:w="1983" w:type="dxa"/>
            <w:tcBorders>
              <w:top w:val="nil"/>
              <w:left w:val="nil"/>
              <w:bottom w:val="nil"/>
              <w:right w:val="nil"/>
            </w:tcBorders>
            <w:shd w:val="clear" w:color="auto" w:fill="auto"/>
            <w:noWrap/>
            <w:vAlign w:val="bottom"/>
          </w:tcPr>
          <w:p w14:paraId="596851B5" w14:textId="4AFE328E" w:rsidR="000F0B3C" w:rsidRPr="006B2D2A" w:rsidRDefault="000F0B3C" w:rsidP="002A203E">
            <w:pPr>
              <w:tabs>
                <w:tab w:val="decimal" w:pos="1476"/>
              </w:tabs>
              <w:ind w:right="-96"/>
              <w:jc w:val="right"/>
              <w:rPr>
                <w:rFonts w:ascii="Arial" w:hAnsi="Arial" w:cs="Arial"/>
                <w:szCs w:val="24"/>
              </w:rPr>
            </w:pPr>
            <w:r w:rsidRPr="006B2D2A">
              <w:rPr>
                <w:rFonts w:ascii="Arial" w:hAnsi="Arial" w:cs="Arial"/>
                <w:szCs w:val="24"/>
              </w:rPr>
              <w:t xml:space="preserve"> $</w:t>
            </w:r>
            <w:r w:rsidR="001C4463" w:rsidRPr="006B2D2A">
              <w:rPr>
                <w:rFonts w:ascii="Arial" w:hAnsi="Arial" w:cs="Arial"/>
                <w:szCs w:val="24"/>
              </w:rPr>
              <w:t xml:space="preserve"> </w:t>
            </w:r>
            <w:r w:rsidRPr="006B2D2A">
              <w:rPr>
                <w:rFonts w:ascii="Arial" w:hAnsi="Arial" w:cs="Arial"/>
                <w:szCs w:val="24"/>
              </w:rPr>
              <w:t xml:space="preserve">   </w:t>
            </w:r>
            <w:r w:rsidR="007D39A7">
              <w:rPr>
                <w:rFonts w:ascii="Arial" w:hAnsi="Arial" w:cs="Arial"/>
                <w:szCs w:val="24"/>
              </w:rPr>
              <w:t>34</w:t>
            </w:r>
            <w:r w:rsidRPr="006B2D2A">
              <w:rPr>
                <w:rFonts w:ascii="Arial" w:hAnsi="Arial" w:cs="Arial"/>
                <w:szCs w:val="24"/>
              </w:rPr>
              <w:t>,</w:t>
            </w:r>
            <w:r w:rsidR="007D39A7">
              <w:rPr>
                <w:rFonts w:ascii="Arial" w:hAnsi="Arial" w:cs="Arial"/>
                <w:szCs w:val="24"/>
              </w:rPr>
              <w:t>383</w:t>
            </w:r>
            <w:r w:rsidRPr="006B2D2A">
              <w:rPr>
                <w:rFonts w:ascii="Arial" w:hAnsi="Arial" w:cs="Arial"/>
                <w:szCs w:val="24"/>
              </w:rPr>
              <w:t>,</w:t>
            </w:r>
            <w:r w:rsidR="007D39A7">
              <w:rPr>
                <w:rFonts w:ascii="Arial" w:hAnsi="Arial" w:cs="Arial"/>
                <w:szCs w:val="24"/>
              </w:rPr>
              <w:t>722</w:t>
            </w:r>
            <w:r w:rsidRPr="006B2D2A">
              <w:rPr>
                <w:rFonts w:ascii="Arial" w:hAnsi="Arial" w:cs="Arial"/>
                <w:szCs w:val="24"/>
              </w:rPr>
              <w:t xml:space="preserve"> </w:t>
            </w:r>
          </w:p>
        </w:tc>
        <w:tc>
          <w:tcPr>
            <w:tcW w:w="270" w:type="dxa"/>
            <w:tcBorders>
              <w:top w:val="nil"/>
              <w:left w:val="nil"/>
              <w:bottom w:val="nil"/>
              <w:right w:val="nil"/>
            </w:tcBorders>
          </w:tcPr>
          <w:p w14:paraId="12136E50" w14:textId="77777777" w:rsidR="000F0B3C" w:rsidRPr="006B2D2A" w:rsidRDefault="000F0B3C">
            <w:pPr>
              <w:jc w:val="right"/>
              <w:rPr>
                <w:rFonts w:ascii="Arial" w:hAnsi="Arial" w:cs="Arial"/>
                <w:szCs w:val="24"/>
              </w:rPr>
            </w:pPr>
          </w:p>
        </w:tc>
        <w:tc>
          <w:tcPr>
            <w:tcW w:w="2153" w:type="dxa"/>
            <w:tcBorders>
              <w:top w:val="nil"/>
              <w:left w:val="nil"/>
              <w:bottom w:val="nil"/>
              <w:right w:val="nil"/>
            </w:tcBorders>
            <w:shd w:val="clear" w:color="auto" w:fill="auto"/>
            <w:noWrap/>
            <w:vAlign w:val="bottom"/>
          </w:tcPr>
          <w:p w14:paraId="0E7BB993" w14:textId="42ACFE2E" w:rsidR="000F0B3C" w:rsidRPr="006B2D2A" w:rsidRDefault="000F0B3C" w:rsidP="004A2F4E">
            <w:pPr>
              <w:ind w:left="-822" w:right="64" w:firstLine="822"/>
              <w:jc w:val="right"/>
              <w:rPr>
                <w:rFonts w:ascii="Arial" w:hAnsi="Arial" w:cs="Arial"/>
                <w:szCs w:val="24"/>
              </w:rPr>
            </w:pPr>
            <w:r w:rsidRPr="006B2D2A">
              <w:rPr>
                <w:rFonts w:ascii="Arial" w:hAnsi="Arial" w:cs="Arial"/>
                <w:szCs w:val="24"/>
              </w:rPr>
              <w:t>$</w:t>
            </w:r>
            <w:r w:rsidR="00CD0C8C" w:rsidRPr="006B2D2A">
              <w:rPr>
                <w:rFonts w:ascii="Arial" w:hAnsi="Arial" w:cs="Arial"/>
                <w:szCs w:val="24"/>
              </w:rPr>
              <w:t xml:space="preserve">   </w:t>
            </w:r>
            <w:r w:rsidR="0014799E" w:rsidRPr="006B2D2A">
              <w:rPr>
                <w:rFonts w:ascii="Arial" w:hAnsi="Arial" w:cs="Arial"/>
                <w:szCs w:val="24"/>
              </w:rPr>
              <w:t xml:space="preserve"> </w:t>
            </w:r>
            <w:r w:rsidR="00322811">
              <w:rPr>
                <w:rFonts w:ascii="Arial" w:hAnsi="Arial" w:cs="Arial"/>
                <w:szCs w:val="24"/>
              </w:rPr>
              <w:t xml:space="preserve"> </w:t>
            </w:r>
            <w:r w:rsidR="00B42798">
              <w:rPr>
                <w:rFonts w:ascii="Arial" w:hAnsi="Arial" w:cs="Arial"/>
                <w:szCs w:val="24"/>
              </w:rPr>
              <w:t xml:space="preserve"> </w:t>
            </w:r>
            <w:r w:rsidR="004A2F4E">
              <w:rPr>
                <w:rFonts w:ascii="Arial" w:hAnsi="Arial" w:cs="Arial"/>
                <w:szCs w:val="24"/>
              </w:rPr>
              <w:t>5</w:t>
            </w:r>
            <w:r w:rsidRPr="006B2D2A">
              <w:rPr>
                <w:rFonts w:ascii="Arial" w:hAnsi="Arial" w:cs="Arial"/>
                <w:szCs w:val="24"/>
              </w:rPr>
              <w:t>,</w:t>
            </w:r>
            <w:r w:rsidR="007D39A7">
              <w:rPr>
                <w:rFonts w:ascii="Arial" w:hAnsi="Arial" w:cs="Arial"/>
                <w:szCs w:val="24"/>
              </w:rPr>
              <w:t>498</w:t>
            </w:r>
            <w:r w:rsidRPr="006B2D2A">
              <w:rPr>
                <w:rFonts w:ascii="Arial" w:hAnsi="Arial" w:cs="Arial"/>
                <w:szCs w:val="24"/>
              </w:rPr>
              <w:t>,</w:t>
            </w:r>
            <w:r w:rsidR="004A2F4E">
              <w:rPr>
                <w:rFonts w:ascii="Arial" w:hAnsi="Arial" w:cs="Arial"/>
                <w:szCs w:val="24"/>
              </w:rPr>
              <w:t>066</w:t>
            </w:r>
          </w:p>
        </w:tc>
      </w:tr>
      <w:tr w:rsidR="000F0B3C" w:rsidRPr="00F7605F" w14:paraId="08E376D1" w14:textId="77777777" w:rsidTr="002A203E">
        <w:trPr>
          <w:trHeight w:val="144"/>
          <w:jc w:val="center"/>
        </w:trPr>
        <w:tc>
          <w:tcPr>
            <w:tcW w:w="2718" w:type="dxa"/>
            <w:tcBorders>
              <w:top w:val="nil"/>
              <w:left w:val="nil"/>
              <w:bottom w:val="nil"/>
              <w:right w:val="nil"/>
            </w:tcBorders>
            <w:shd w:val="clear" w:color="auto" w:fill="auto"/>
            <w:noWrap/>
            <w:vAlign w:val="bottom"/>
          </w:tcPr>
          <w:p w14:paraId="5BB14174" w14:textId="77777777" w:rsidR="000F0B3C" w:rsidRPr="00F7605F" w:rsidRDefault="000F0B3C" w:rsidP="00E75F1F">
            <w:pPr>
              <w:rPr>
                <w:rFonts w:ascii="Arial" w:hAnsi="Arial" w:cs="Arial"/>
                <w:szCs w:val="24"/>
                <w:highlight w:val="yellow"/>
              </w:rPr>
            </w:pPr>
          </w:p>
        </w:tc>
        <w:tc>
          <w:tcPr>
            <w:tcW w:w="236" w:type="dxa"/>
            <w:tcBorders>
              <w:top w:val="nil"/>
              <w:left w:val="nil"/>
              <w:bottom w:val="nil"/>
              <w:right w:val="nil"/>
            </w:tcBorders>
          </w:tcPr>
          <w:p w14:paraId="3A28DFCC" w14:textId="77777777" w:rsidR="000F0B3C" w:rsidRPr="00F7605F" w:rsidRDefault="000F0B3C">
            <w:pPr>
              <w:jc w:val="right"/>
              <w:rPr>
                <w:rFonts w:ascii="Arial" w:hAnsi="Arial" w:cs="Arial"/>
                <w:szCs w:val="24"/>
                <w:highlight w:val="yellow"/>
              </w:rPr>
            </w:pPr>
          </w:p>
        </w:tc>
        <w:tc>
          <w:tcPr>
            <w:tcW w:w="2077" w:type="dxa"/>
            <w:tcBorders>
              <w:top w:val="nil"/>
              <w:left w:val="nil"/>
              <w:bottom w:val="nil"/>
              <w:right w:val="nil"/>
            </w:tcBorders>
            <w:shd w:val="clear" w:color="auto" w:fill="auto"/>
            <w:noWrap/>
            <w:vAlign w:val="bottom"/>
          </w:tcPr>
          <w:p w14:paraId="4D1E7B16" w14:textId="77777777" w:rsidR="000F0B3C" w:rsidRPr="00F7605F" w:rsidRDefault="000F0B3C" w:rsidP="002A203E">
            <w:pPr>
              <w:tabs>
                <w:tab w:val="decimal" w:pos="1569"/>
              </w:tabs>
              <w:jc w:val="right"/>
              <w:rPr>
                <w:rFonts w:ascii="Arial" w:hAnsi="Arial" w:cs="Arial"/>
                <w:szCs w:val="24"/>
                <w:highlight w:val="yellow"/>
              </w:rPr>
            </w:pPr>
          </w:p>
        </w:tc>
        <w:tc>
          <w:tcPr>
            <w:tcW w:w="270" w:type="dxa"/>
            <w:tcBorders>
              <w:top w:val="nil"/>
              <w:left w:val="nil"/>
              <w:bottom w:val="nil"/>
              <w:right w:val="nil"/>
            </w:tcBorders>
          </w:tcPr>
          <w:p w14:paraId="2564DD00" w14:textId="77777777" w:rsidR="000F0B3C" w:rsidRPr="00F7605F" w:rsidRDefault="000F0B3C">
            <w:pPr>
              <w:jc w:val="right"/>
              <w:rPr>
                <w:rFonts w:ascii="Arial" w:hAnsi="Arial" w:cs="Arial"/>
                <w:szCs w:val="24"/>
                <w:highlight w:val="yellow"/>
              </w:rPr>
            </w:pPr>
          </w:p>
        </w:tc>
        <w:tc>
          <w:tcPr>
            <w:tcW w:w="1983" w:type="dxa"/>
            <w:tcBorders>
              <w:top w:val="nil"/>
              <w:left w:val="nil"/>
              <w:bottom w:val="nil"/>
              <w:right w:val="nil"/>
            </w:tcBorders>
            <w:shd w:val="clear" w:color="auto" w:fill="auto"/>
            <w:noWrap/>
            <w:vAlign w:val="bottom"/>
          </w:tcPr>
          <w:p w14:paraId="297F12F5" w14:textId="77777777" w:rsidR="000F0B3C" w:rsidRPr="00F7605F" w:rsidRDefault="000F0B3C" w:rsidP="002A203E">
            <w:pPr>
              <w:tabs>
                <w:tab w:val="decimal" w:pos="1476"/>
              </w:tabs>
              <w:ind w:right="-96"/>
              <w:jc w:val="right"/>
              <w:rPr>
                <w:rFonts w:ascii="Arial" w:hAnsi="Arial" w:cs="Arial"/>
                <w:szCs w:val="24"/>
                <w:highlight w:val="yellow"/>
              </w:rPr>
            </w:pPr>
          </w:p>
        </w:tc>
        <w:tc>
          <w:tcPr>
            <w:tcW w:w="270" w:type="dxa"/>
            <w:tcBorders>
              <w:top w:val="nil"/>
              <w:left w:val="nil"/>
              <w:bottom w:val="nil"/>
              <w:right w:val="nil"/>
            </w:tcBorders>
          </w:tcPr>
          <w:p w14:paraId="0B06FF33" w14:textId="77777777" w:rsidR="000F0B3C" w:rsidRPr="00F7605F" w:rsidRDefault="000F0B3C">
            <w:pPr>
              <w:jc w:val="right"/>
              <w:rPr>
                <w:rFonts w:ascii="Arial" w:hAnsi="Arial" w:cs="Arial"/>
                <w:szCs w:val="24"/>
                <w:highlight w:val="yellow"/>
              </w:rPr>
            </w:pPr>
          </w:p>
        </w:tc>
        <w:tc>
          <w:tcPr>
            <w:tcW w:w="2153" w:type="dxa"/>
            <w:tcBorders>
              <w:top w:val="nil"/>
              <w:left w:val="nil"/>
              <w:bottom w:val="nil"/>
              <w:right w:val="nil"/>
            </w:tcBorders>
            <w:shd w:val="clear" w:color="auto" w:fill="auto"/>
            <w:noWrap/>
            <w:vAlign w:val="bottom"/>
          </w:tcPr>
          <w:p w14:paraId="2678F1DD" w14:textId="77777777" w:rsidR="000F0B3C" w:rsidRPr="00F7605F" w:rsidRDefault="000F0B3C" w:rsidP="002A203E">
            <w:pPr>
              <w:ind w:right="58"/>
              <w:jc w:val="right"/>
              <w:rPr>
                <w:rFonts w:ascii="Arial" w:hAnsi="Arial" w:cs="Arial"/>
                <w:szCs w:val="24"/>
                <w:highlight w:val="yellow"/>
              </w:rPr>
            </w:pPr>
          </w:p>
        </w:tc>
      </w:tr>
      <w:tr w:rsidR="000F0B3C" w:rsidRPr="00F7605F" w14:paraId="7EE5E188" w14:textId="77777777" w:rsidTr="002A203E">
        <w:trPr>
          <w:trHeight w:val="288"/>
          <w:jc w:val="center"/>
        </w:trPr>
        <w:tc>
          <w:tcPr>
            <w:tcW w:w="2718" w:type="dxa"/>
            <w:tcBorders>
              <w:top w:val="nil"/>
              <w:left w:val="nil"/>
              <w:bottom w:val="nil"/>
              <w:right w:val="nil"/>
            </w:tcBorders>
            <w:shd w:val="clear" w:color="auto" w:fill="auto"/>
            <w:noWrap/>
            <w:vAlign w:val="bottom"/>
          </w:tcPr>
          <w:p w14:paraId="1951E700" w14:textId="14420E49" w:rsidR="000F0B3C" w:rsidRPr="00F7605F" w:rsidRDefault="000F0B3C" w:rsidP="00E75F1F">
            <w:pPr>
              <w:rPr>
                <w:rFonts w:ascii="Arial" w:hAnsi="Arial" w:cs="Arial"/>
                <w:szCs w:val="24"/>
                <w:highlight w:val="yellow"/>
              </w:rPr>
            </w:pPr>
            <w:r w:rsidRPr="00422113">
              <w:rPr>
                <w:rFonts w:ascii="Arial" w:hAnsi="Arial" w:cs="Arial"/>
                <w:szCs w:val="24"/>
              </w:rPr>
              <w:t>Rate GS</w:t>
            </w:r>
          </w:p>
        </w:tc>
        <w:tc>
          <w:tcPr>
            <w:tcW w:w="236" w:type="dxa"/>
            <w:tcBorders>
              <w:top w:val="nil"/>
              <w:left w:val="nil"/>
              <w:bottom w:val="nil"/>
              <w:right w:val="nil"/>
            </w:tcBorders>
          </w:tcPr>
          <w:p w14:paraId="7617B1E1" w14:textId="77777777" w:rsidR="000F0B3C" w:rsidRPr="00F7605F" w:rsidRDefault="000F0B3C">
            <w:pPr>
              <w:jc w:val="right"/>
              <w:rPr>
                <w:rFonts w:ascii="Arial" w:hAnsi="Arial" w:cs="Arial"/>
                <w:szCs w:val="24"/>
                <w:highlight w:val="yellow"/>
              </w:rPr>
            </w:pPr>
          </w:p>
        </w:tc>
        <w:tc>
          <w:tcPr>
            <w:tcW w:w="2077" w:type="dxa"/>
            <w:tcBorders>
              <w:top w:val="nil"/>
              <w:left w:val="nil"/>
              <w:bottom w:val="nil"/>
              <w:right w:val="nil"/>
            </w:tcBorders>
            <w:shd w:val="clear" w:color="auto" w:fill="auto"/>
            <w:noWrap/>
            <w:vAlign w:val="bottom"/>
          </w:tcPr>
          <w:p w14:paraId="060FFE80" w14:textId="091AA2D2" w:rsidR="000F0B3C" w:rsidRPr="00F7605F" w:rsidRDefault="00880253" w:rsidP="002A203E">
            <w:pPr>
              <w:jc w:val="right"/>
              <w:rPr>
                <w:rFonts w:ascii="Arial" w:hAnsi="Arial" w:cs="Arial"/>
                <w:szCs w:val="24"/>
                <w:highlight w:val="yellow"/>
              </w:rPr>
            </w:pPr>
            <w:r w:rsidRPr="006B2D2A">
              <w:rPr>
                <w:rFonts w:ascii="Arial" w:hAnsi="Arial" w:cs="Arial"/>
                <w:szCs w:val="24"/>
              </w:rPr>
              <w:t xml:space="preserve">       </w:t>
            </w:r>
            <w:r w:rsidR="0046648C">
              <w:rPr>
                <w:rFonts w:ascii="Arial" w:hAnsi="Arial" w:cs="Arial"/>
                <w:szCs w:val="24"/>
              </w:rPr>
              <w:t>23</w:t>
            </w:r>
            <w:r w:rsidR="000F0B3C" w:rsidRPr="006B2D2A">
              <w:rPr>
                <w:rFonts w:ascii="Arial" w:hAnsi="Arial" w:cs="Arial"/>
                <w:szCs w:val="24"/>
              </w:rPr>
              <w:t>,</w:t>
            </w:r>
            <w:r w:rsidR="0046648C">
              <w:rPr>
                <w:rFonts w:ascii="Arial" w:hAnsi="Arial" w:cs="Arial"/>
                <w:szCs w:val="24"/>
              </w:rPr>
              <w:t>644</w:t>
            </w:r>
            <w:r w:rsidR="000F0B3C" w:rsidRPr="006B2D2A">
              <w:rPr>
                <w:rFonts w:ascii="Arial" w:hAnsi="Arial" w:cs="Arial"/>
                <w:szCs w:val="24"/>
              </w:rPr>
              <w:t>,</w:t>
            </w:r>
            <w:r w:rsidR="0046648C">
              <w:rPr>
                <w:rFonts w:ascii="Arial" w:hAnsi="Arial" w:cs="Arial"/>
                <w:szCs w:val="24"/>
              </w:rPr>
              <w:t>926</w:t>
            </w:r>
          </w:p>
        </w:tc>
        <w:tc>
          <w:tcPr>
            <w:tcW w:w="270" w:type="dxa"/>
            <w:tcBorders>
              <w:top w:val="nil"/>
              <w:left w:val="nil"/>
              <w:bottom w:val="nil"/>
              <w:right w:val="nil"/>
            </w:tcBorders>
          </w:tcPr>
          <w:p w14:paraId="2EA32E6C" w14:textId="77777777" w:rsidR="000F0B3C" w:rsidRPr="00F7605F" w:rsidRDefault="000F0B3C">
            <w:pPr>
              <w:jc w:val="right"/>
              <w:rPr>
                <w:rFonts w:ascii="Arial" w:hAnsi="Arial" w:cs="Arial"/>
                <w:szCs w:val="24"/>
                <w:highlight w:val="yellow"/>
              </w:rPr>
            </w:pPr>
          </w:p>
        </w:tc>
        <w:tc>
          <w:tcPr>
            <w:tcW w:w="1983" w:type="dxa"/>
            <w:tcBorders>
              <w:top w:val="nil"/>
              <w:left w:val="nil"/>
              <w:bottom w:val="nil"/>
              <w:right w:val="nil"/>
            </w:tcBorders>
            <w:shd w:val="clear" w:color="auto" w:fill="auto"/>
            <w:noWrap/>
            <w:vAlign w:val="bottom"/>
          </w:tcPr>
          <w:p w14:paraId="4538A85F" w14:textId="6ED18EC2" w:rsidR="000F0B3C" w:rsidRPr="00F7605F" w:rsidRDefault="001C4463" w:rsidP="002A203E">
            <w:pPr>
              <w:ind w:right="-96"/>
              <w:jc w:val="right"/>
              <w:rPr>
                <w:rFonts w:ascii="Arial" w:hAnsi="Arial" w:cs="Arial"/>
                <w:szCs w:val="24"/>
                <w:highlight w:val="yellow"/>
              </w:rPr>
            </w:pPr>
            <w:r w:rsidRPr="006B2D2A">
              <w:rPr>
                <w:rFonts w:ascii="Arial" w:hAnsi="Arial" w:cs="Arial"/>
                <w:szCs w:val="24"/>
              </w:rPr>
              <w:t xml:space="preserve">       </w:t>
            </w:r>
            <w:r w:rsidR="006B2D2A" w:rsidRPr="006B2D2A">
              <w:rPr>
                <w:rFonts w:ascii="Arial" w:hAnsi="Arial" w:cs="Arial"/>
                <w:szCs w:val="24"/>
              </w:rPr>
              <w:t>1</w:t>
            </w:r>
            <w:r w:rsidR="0046648C">
              <w:rPr>
                <w:rFonts w:ascii="Arial" w:hAnsi="Arial" w:cs="Arial"/>
                <w:szCs w:val="24"/>
              </w:rPr>
              <w:t>6</w:t>
            </w:r>
            <w:r w:rsidR="000F0B3C" w:rsidRPr="006B2D2A">
              <w:rPr>
                <w:rFonts w:ascii="Arial" w:hAnsi="Arial" w:cs="Arial"/>
                <w:szCs w:val="24"/>
              </w:rPr>
              <w:t>,</w:t>
            </w:r>
            <w:r w:rsidR="0046648C">
              <w:rPr>
                <w:rFonts w:ascii="Arial" w:hAnsi="Arial" w:cs="Arial"/>
                <w:szCs w:val="24"/>
              </w:rPr>
              <w:t>229</w:t>
            </w:r>
            <w:r w:rsidR="000F0B3C" w:rsidRPr="006B2D2A">
              <w:rPr>
                <w:rFonts w:ascii="Arial" w:hAnsi="Arial" w:cs="Arial"/>
                <w:szCs w:val="24"/>
              </w:rPr>
              <w:t>,</w:t>
            </w:r>
            <w:r w:rsidR="0046648C">
              <w:rPr>
                <w:rFonts w:ascii="Arial" w:hAnsi="Arial" w:cs="Arial"/>
                <w:szCs w:val="24"/>
              </w:rPr>
              <w:t>190</w:t>
            </w:r>
          </w:p>
        </w:tc>
        <w:tc>
          <w:tcPr>
            <w:tcW w:w="270" w:type="dxa"/>
            <w:tcBorders>
              <w:top w:val="nil"/>
              <w:left w:val="nil"/>
              <w:bottom w:val="nil"/>
              <w:right w:val="nil"/>
            </w:tcBorders>
          </w:tcPr>
          <w:p w14:paraId="29A014C3" w14:textId="77777777" w:rsidR="000F0B3C" w:rsidRPr="00F7605F" w:rsidRDefault="000F0B3C">
            <w:pPr>
              <w:jc w:val="right"/>
              <w:rPr>
                <w:rFonts w:ascii="Arial" w:hAnsi="Arial" w:cs="Arial"/>
                <w:szCs w:val="24"/>
                <w:highlight w:val="yellow"/>
              </w:rPr>
            </w:pPr>
          </w:p>
        </w:tc>
        <w:tc>
          <w:tcPr>
            <w:tcW w:w="2153" w:type="dxa"/>
            <w:tcBorders>
              <w:top w:val="nil"/>
              <w:left w:val="nil"/>
              <w:bottom w:val="nil"/>
              <w:right w:val="nil"/>
            </w:tcBorders>
            <w:shd w:val="clear" w:color="auto" w:fill="auto"/>
            <w:noWrap/>
            <w:vAlign w:val="bottom"/>
          </w:tcPr>
          <w:p w14:paraId="7D4944EB" w14:textId="339D462A" w:rsidR="000F0B3C" w:rsidRPr="00F7605F" w:rsidRDefault="00CD0C8C" w:rsidP="002A203E">
            <w:pPr>
              <w:ind w:right="60"/>
              <w:jc w:val="right"/>
              <w:rPr>
                <w:rFonts w:ascii="Arial" w:hAnsi="Arial" w:cs="Arial"/>
                <w:szCs w:val="24"/>
                <w:highlight w:val="yellow"/>
              </w:rPr>
            </w:pPr>
            <w:r w:rsidRPr="001B78FD">
              <w:rPr>
                <w:rFonts w:ascii="Arial" w:hAnsi="Arial" w:cs="Arial"/>
                <w:szCs w:val="24"/>
              </w:rPr>
              <w:t xml:space="preserve"> </w:t>
            </w:r>
            <w:r w:rsidR="00F97064">
              <w:rPr>
                <w:rFonts w:ascii="Arial" w:hAnsi="Arial" w:cs="Arial"/>
                <w:szCs w:val="24"/>
              </w:rPr>
              <w:t xml:space="preserve">       </w:t>
            </w:r>
            <w:r w:rsidR="0046648C">
              <w:rPr>
                <w:rFonts w:ascii="Arial" w:hAnsi="Arial" w:cs="Arial"/>
                <w:szCs w:val="24"/>
              </w:rPr>
              <w:t>7</w:t>
            </w:r>
            <w:r w:rsidR="00322811">
              <w:rPr>
                <w:rFonts w:ascii="Arial" w:hAnsi="Arial" w:cs="Arial"/>
                <w:szCs w:val="24"/>
              </w:rPr>
              <w:t>,</w:t>
            </w:r>
            <w:r w:rsidR="0046648C">
              <w:rPr>
                <w:rFonts w:ascii="Arial" w:hAnsi="Arial" w:cs="Arial"/>
                <w:szCs w:val="24"/>
              </w:rPr>
              <w:t>415</w:t>
            </w:r>
            <w:r w:rsidR="000F0B3C" w:rsidRPr="001B78FD">
              <w:rPr>
                <w:rFonts w:ascii="Arial" w:hAnsi="Arial" w:cs="Arial"/>
                <w:szCs w:val="24"/>
              </w:rPr>
              <w:t>,</w:t>
            </w:r>
            <w:r w:rsidR="00322811">
              <w:rPr>
                <w:rFonts w:ascii="Arial" w:hAnsi="Arial" w:cs="Arial"/>
                <w:szCs w:val="24"/>
              </w:rPr>
              <w:t>7</w:t>
            </w:r>
            <w:r w:rsidR="002F7E88">
              <w:rPr>
                <w:rFonts w:ascii="Arial" w:hAnsi="Arial" w:cs="Arial"/>
                <w:szCs w:val="24"/>
              </w:rPr>
              <w:t>3</w:t>
            </w:r>
            <w:r w:rsidR="00322811">
              <w:rPr>
                <w:rFonts w:ascii="Arial" w:hAnsi="Arial" w:cs="Arial"/>
                <w:szCs w:val="24"/>
              </w:rPr>
              <w:t>6</w:t>
            </w:r>
          </w:p>
        </w:tc>
      </w:tr>
      <w:tr w:rsidR="000F0B3C" w:rsidRPr="00F7605F" w14:paraId="7407180A" w14:textId="77777777" w:rsidTr="002A203E">
        <w:trPr>
          <w:trHeight w:val="144"/>
          <w:jc w:val="center"/>
        </w:trPr>
        <w:tc>
          <w:tcPr>
            <w:tcW w:w="2718" w:type="dxa"/>
            <w:tcBorders>
              <w:top w:val="nil"/>
              <w:left w:val="nil"/>
              <w:bottom w:val="nil"/>
              <w:right w:val="nil"/>
            </w:tcBorders>
            <w:shd w:val="clear" w:color="auto" w:fill="auto"/>
            <w:noWrap/>
            <w:vAlign w:val="bottom"/>
          </w:tcPr>
          <w:p w14:paraId="540A097A" w14:textId="77777777" w:rsidR="000F0B3C" w:rsidRPr="00F7605F" w:rsidRDefault="000F0B3C" w:rsidP="00E75F1F">
            <w:pPr>
              <w:rPr>
                <w:rFonts w:ascii="Arial" w:hAnsi="Arial" w:cs="Arial"/>
                <w:szCs w:val="24"/>
                <w:highlight w:val="yellow"/>
              </w:rPr>
            </w:pPr>
          </w:p>
        </w:tc>
        <w:tc>
          <w:tcPr>
            <w:tcW w:w="236" w:type="dxa"/>
            <w:tcBorders>
              <w:top w:val="nil"/>
              <w:left w:val="nil"/>
              <w:bottom w:val="nil"/>
              <w:right w:val="nil"/>
            </w:tcBorders>
          </w:tcPr>
          <w:p w14:paraId="201A7CE4" w14:textId="77777777" w:rsidR="000F0B3C" w:rsidRPr="00F7605F" w:rsidRDefault="000F0B3C">
            <w:pPr>
              <w:jc w:val="right"/>
              <w:rPr>
                <w:rFonts w:ascii="Arial" w:hAnsi="Arial" w:cs="Arial"/>
                <w:szCs w:val="24"/>
                <w:highlight w:val="yellow"/>
              </w:rPr>
            </w:pPr>
          </w:p>
        </w:tc>
        <w:tc>
          <w:tcPr>
            <w:tcW w:w="2077" w:type="dxa"/>
            <w:tcBorders>
              <w:top w:val="nil"/>
              <w:left w:val="nil"/>
              <w:bottom w:val="nil"/>
              <w:right w:val="nil"/>
            </w:tcBorders>
            <w:shd w:val="clear" w:color="auto" w:fill="auto"/>
            <w:noWrap/>
            <w:vAlign w:val="bottom"/>
          </w:tcPr>
          <w:p w14:paraId="3335FC10" w14:textId="77777777" w:rsidR="000F0B3C" w:rsidRPr="00F7605F" w:rsidRDefault="000F0B3C" w:rsidP="002A203E">
            <w:pPr>
              <w:tabs>
                <w:tab w:val="decimal" w:pos="1569"/>
              </w:tabs>
              <w:jc w:val="right"/>
              <w:rPr>
                <w:rFonts w:ascii="Arial" w:hAnsi="Arial" w:cs="Arial"/>
                <w:szCs w:val="24"/>
                <w:highlight w:val="yellow"/>
              </w:rPr>
            </w:pPr>
          </w:p>
        </w:tc>
        <w:tc>
          <w:tcPr>
            <w:tcW w:w="270" w:type="dxa"/>
            <w:tcBorders>
              <w:top w:val="nil"/>
              <w:left w:val="nil"/>
              <w:bottom w:val="nil"/>
              <w:right w:val="nil"/>
            </w:tcBorders>
          </w:tcPr>
          <w:p w14:paraId="3913C55C" w14:textId="77777777" w:rsidR="000F0B3C" w:rsidRPr="00F7605F" w:rsidRDefault="000F0B3C">
            <w:pPr>
              <w:jc w:val="right"/>
              <w:rPr>
                <w:rFonts w:ascii="Arial" w:hAnsi="Arial" w:cs="Arial"/>
                <w:szCs w:val="24"/>
                <w:highlight w:val="yellow"/>
              </w:rPr>
            </w:pPr>
          </w:p>
        </w:tc>
        <w:tc>
          <w:tcPr>
            <w:tcW w:w="1983" w:type="dxa"/>
            <w:tcBorders>
              <w:top w:val="nil"/>
              <w:left w:val="nil"/>
              <w:bottom w:val="nil"/>
              <w:right w:val="nil"/>
            </w:tcBorders>
            <w:shd w:val="clear" w:color="auto" w:fill="auto"/>
            <w:noWrap/>
            <w:vAlign w:val="bottom"/>
          </w:tcPr>
          <w:p w14:paraId="46872234" w14:textId="77777777" w:rsidR="000F0B3C" w:rsidRPr="00F7605F" w:rsidRDefault="000F0B3C" w:rsidP="002A203E">
            <w:pPr>
              <w:tabs>
                <w:tab w:val="decimal" w:pos="1476"/>
              </w:tabs>
              <w:ind w:right="-96"/>
              <w:jc w:val="right"/>
              <w:rPr>
                <w:rFonts w:ascii="Arial" w:hAnsi="Arial" w:cs="Arial"/>
                <w:szCs w:val="24"/>
                <w:highlight w:val="yellow"/>
              </w:rPr>
            </w:pPr>
          </w:p>
        </w:tc>
        <w:tc>
          <w:tcPr>
            <w:tcW w:w="270" w:type="dxa"/>
            <w:tcBorders>
              <w:top w:val="nil"/>
              <w:left w:val="nil"/>
              <w:bottom w:val="nil"/>
              <w:right w:val="nil"/>
            </w:tcBorders>
          </w:tcPr>
          <w:p w14:paraId="4937FF2E" w14:textId="77777777" w:rsidR="000F0B3C" w:rsidRPr="00F7605F" w:rsidRDefault="000F0B3C">
            <w:pPr>
              <w:jc w:val="right"/>
              <w:rPr>
                <w:rFonts w:ascii="Arial" w:hAnsi="Arial" w:cs="Arial"/>
                <w:szCs w:val="24"/>
                <w:highlight w:val="yellow"/>
              </w:rPr>
            </w:pPr>
          </w:p>
        </w:tc>
        <w:tc>
          <w:tcPr>
            <w:tcW w:w="2153" w:type="dxa"/>
            <w:tcBorders>
              <w:top w:val="nil"/>
              <w:left w:val="nil"/>
              <w:bottom w:val="nil"/>
              <w:right w:val="nil"/>
            </w:tcBorders>
            <w:shd w:val="clear" w:color="auto" w:fill="auto"/>
            <w:noWrap/>
            <w:vAlign w:val="bottom"/>
          </w:tcPr>
          <w:p w14:paraId="04455CD5" w14:textId="77777777" w:rsidR="000F0B3C" w:rsidRPr="00F7605F" w:rsidRDefault="000F0B3C" w:rsidP="002A203E">
            <w:pPr>
              <w:ind w:right="58"/>
              <w:jc w:val="right"/>
              <w:rPr>
                <w:rFonts w:ascii="Arial" w:hAnsi="Arial" w:cs="Arial"/>
                <w:szCs w:val="24"/>
                <w:highlight w:val="yellow"/>
              </w:rPr>
            </w:pPr>
          </w:p>
        </w:tc>
      </w:tr>
      <w:tr w:rsidR="000F0B3C" w:rsidRPr="00F7605F" w14:paraId="58CBDCE1" w14:textId="77777777" w:rsidTr="002A203E">
        <w:trPr>
          <w:trHeight w:val="288"/>
          <w:jc w:val="center"/>
        </w:trPr>
        <w:tc>
          <w:tcPr>
            <w:tcW w:w="2718" w:type="dxa"/>
            <w:tcBorders>
              <w:top w:val="nil"/>
              <w:left w:val="nil"/>
              <w:bottom w:val="nil"/>
              <w:right w:val="nil"/>
            </w:tcBorders>
            <w:shd w:val="clear" w:color="auto" w:fill="auto"/>
            <w:noWrap/>
            <w:vAlign w:val="bottom"/>
          </w:tcPr>
          <w:p w14:paraId="4F322E78" w14:textId="77777777" w:rsidR="000F0B3C" w:rsidRPr="00F7605F" w:rsidRDefault="000F0B3C" w:rsidP="00E75F1F">
            <w:pPr>
              <w:rPr>
                <w:rFonts w:ascii="Arial" w:hAnsi="Arial" w:cs="Arial"/>
                <w:szCs w:val="24"/>
                <w:highlight w:val="yellow"/>
              </w:rPr>
            </w:pPr>
            <w:r w:rsidRPr="00422113">
              <w:rPr>
                <w:rFonts w:ascii="Arial" w:hAnsi="Arial" w:cs="Arial"/>
                <w:szCs w:val="24"/>
              </w:rPr>
              <w:t>Rate</w:t>
            </w:r>
            <w:r w:rsidR="006A66FE" w:rsidRPr="00422113">
              <w:rPr>
                <w:rFonts w:ascii="Arial" w:hAnsi="Arial" w:cs="Arial"/>
                <w:szCs w:val="24"/>
              </w:rPr>
              <w:t>s</w:t>
            </w:r>
            <w:r w:rsidRPr="00422113">
              <w:rPr>
                <w:rFonts w:ascii="Arial" w:hAnsi="Arial" w:cs="Arial"/>
                <w:szCs w:val="24"/>
              </w:rPr>
              <w:t xml:space="preserve"> PD, HT, EP</w:t>
            </w:r>
          </w:p>
        </w:tc>
        <w:tc>
          <w:tcPr>
            <w:tcW w:w="236" w:type="dxa"/>
            <w:tcBorders>
              <w:top w:val="nil"/>
              <w:left w:val="nil"/>
              <w:bottom w:val="nil"/>
              <w:right w:val="nil"/>
            </w:tcBorders>
          </w:tcPr>
          <w:p w14:paraId="532D8EBB" w14:textId="77777777" w:rsidR="000F0B3C" w:rsidRPr="00F7605F" w:rsidRDefault="000F0B3C">
            <w:pPr>
              <w:jc w:val="right"/>
              <w:rPr>
                <w:rFonts w:ascii="Arial" w:hAnsi="Arial" w:cs="Arial"/>
                <w:szCs w:val="24"/>
                <w:highlight w:val="yellow"/>
              </w:rPr>
            </w:pPr>
          </w:p>
        </w:tc>
        <w:tc>
          <w:tcPr>
            <w:tcW w:w="2077" w:type="dxa"/>
            <w:tcBorders>
              <w:top w:val="nil"/>
              <w:left w:val="nil"/>
              <w:bottom w:val="nil"/>
              <w:right w:val="nil"/>
            </w:tcBorders>
            <w:shd w:val="clear" w:color="auto" w:fill="auto"/>
            <w:noWrap/>
            <w:vAlign w:val="bottom"/>
          </w:tcPr>
          <w:p w14:paraId="15C96D4F" w14:textId="23793D05" w:rsidR="000F0B3C" w:rsidRPr="002528E2" w:rsidRDefault="00880253" w:rsidP="002A203E">
            <w:pPr>
              <w:jc w:val="right"/>
              <w:rPr>
                <w:rFonts w:ascii="Arial" w:hAnsi="Arial" w:cs="Arial"/>
                <w:szCs w:val="24"/>
              </w:rPr>
            </w:pPr>
            <w:r w:rsidRPr="002528E2">
              <w:rPr>
                <w:rFonts w:ascii="Arial" w:hAnsi="Arial" w:cs="Arial"/>
                <w:szCs w:val="24"/>
              </w:rPr>
              <w:t xml:space="preserve">    </w:t>
            </w:r>
            <w:r w:rsidR="00245DB5" w:rsidRPr="002528E2">
              <w:rPr>
                <w:rFonts w:ascii="Arial" w:hAnsi="Arial" w:cs="Arial"/>
                <w:szCs w:val="24"/>
              </w:rPr>
              <w:t xml:space="preserve"> </w:t>
            </w:r>
            <w:r w:rsidRPr="002528E2">
              <w:rPr>
                <w:rFonts w:ascii="Arial" w:hAnsi="Arial" w:cs="Arial"/>
                <w:szCs w:val="24"/>
              </w:rPr>
              <w:t xml:space="preserve">  </w:t>
            </w:r>
            <w:r w:rsidR="002F7E88">
              <w:rPr>
                <w:rFonts w:ascii="Arial" w:hAnsi="Arial" w:cs="Arial"/>
                <w:szCs w:val="24"/>
              </w:rPr>
              <w:t>27</w:t>
            </w:r>
            <w:r w:rsidR="000F0B3C" w:rsidRPr="002528E2">
              <w:rPr>
                <w:rFonts w:ascii="Arial" w:hAnsi="Arial" w:cs="Arial"/>
                <w:szCs w:val="24"/>
              </w:rPr>
              <w:t>,</w:t>
            </w:r>
            <w:r w:rsidR="00B42798">
              <w:rPr>
                <w:rFonts w:ascii="Arial" w:hAnsi="Arial" w:cs="Arial"/>
                <w:szCs w:val="24"/>
              </w:rPr>
              <w:t>8</w:t>
            </w:r>
            <w:r w:rsidR="002F7E88">
              <w:rPr>
                <w:rFonts w:ascii="Arial" w:hAnsi="Arial" w:cs="Arial"/>
                <w:szCs w:val="24"/>
              </w:rPr>
              <w:t>24</w:t>
            </w:r>
            <w:r w:rsidR="000F0B3C" w:rsidRPr="002528E2">
              <w:rPr>
                <w:rFonts w:ascii="Arial" w:hAnsi="Arial" w:cs="Arial"/>
                <w:szCs w:val="24"/>
              </w:rPr>
              <w:t>,</w:t>
            </w:r>
            <w:r w:rsidR="002F7E88">
              <w:rPr>
                <w:rFonts w:ascii="Arial" w:hAnsi="Arial" w:cs="Arial"/>
                <w:szCs w:val="24"/>
              </w:rPr>
              <w:t>989</w:t>
            </w:r>
          </w:p>
        </w:tc>
        <w:tc>
          <w:tcPr>
            <w:tcW w:w="270" w:type="dxa"/>
            <w:tcBorders>
              <w:top w:val="nil"/>
              <w:left w:val="nil"/>
              <w:bottom w:val="nil"/>
              <w:right w:val="nil"/>
            </w:tcBorders>
          </w:tcPr>
          <w:p w14:paraId="6B732D37" w14:textId="77777777" w:rsidR="000F0B3C" w:rsidRPr="00F7605F" w:rsidRDefault="000F0B3C">
            <w:pPr>
              <w:jc w:val="right"/>
              <w:rPr>
                <w:rFonts w:ascii="Arial" w:hAnsi="Arial" w:cs="Arial"/>
                <w:szCs w:val="24"/>
                <w:highlight w:val="yellow"/>
              </w:rPr>
            </w:pPr>
          </w:p>
        </w:tc>
        <w:tc>
          <w:tcPr>
            <w:tcW w:w="1983" w:type="dxa"/>
            <w:tcBorders>
              <w:top w:val="nil"/>
              <w:left w:val="nil"/>
              <w:bottom w:val="nil"/>
              <w:right w:val="nil"/>
            </w:tcBorders>
            <w:shd w:val="clear" w:color="auto" w:fill="auto"/>
            <w:noWrap/>
            <w:vAlign w:val="bottom"/>
          </w:tcPr>
          <w:p w14:paraId="3C9A75B1" w14:textId="58B47428" w:rsidR="000F0B3C" w:rsidRPr="002528E2" w:rsidRDefault="001C4463" w:rsidP="002A203E">
            <w:pPr>
              <w:ind w:right="-96"/>
              <w:jc w:val="right"/>
              <w:rPr>
                <w:rFonts w:ascii="Arial" w:hAnsi="Arial" w:cs="Arial"/>
                <w:szCs w:val="24"/>
              </w:rPr>
            </w:pPr>
            <w:r w:rsidRPr="002528E2">
              <w:rPr>
                <w:rFonts w:ascii="Arial" w:hAnsi="Arial" w:cs="Arial"/>
                <w:szCs w:val="24"/>
              </w:rPr>
              <w:t xml:space="preserve">       </w:t>
            </w:r>
            <w:r w:rsidR="002F7E88">
              <w:rPr>
                <w:rFonts w:ascii="Arial" w:hAnsi="Arial" w:cs="Arial"/>
                <w:szCs w:val="24"/>
              </w:rPr>
              <w:t>22</w:t>
            </w:r>
            <w:r w:rsidR="000F0B3C" w:rsidRPr="002528E2">
              <w:rPr>
                <w:rFonts w:ascii="Arial" w:hAnsi="Arial" w:cs="Arial"/>
                <w:szCs w:val="24"/>
              </w:rPr>
              <w:t>,</w:t>
            </w:r>
            <w:r w:rsidR="002F7E88">
              <w:rPr>
                <w:rFonts w:ascii="Arial" w:hAnsi="Arial" w:cs="Arial"/>
                <w:szCs w:val="24"/>
              </w:rPr>
              <w:t>624</w:t>
            </w:r>
            <w:r w:rsidR="000F0B3C" w:rsidRPr="002528E2">
              <w:rPr>
                <w:rFonts w:ascii="Arial" w:hAnsi="Arial" w:cs="Arial"/>
                <w:szCs w:val="24"/>
              </w:rPr>
              <w:t>,</w:t>
            </w:r>
            <w:r w:rsidR="002F7E88">
              <w:rPr>
                <w:rFonts w:ascii="Arial" w:hAnsi="Arial" w:cs="Arial"/>
                <w:szCs w:val="24"/>
              </w:rPr>
              <w:t>645</w:t>
            </w:r>
          </w:p>
        </w:tc>
        <w:tc>
          <w:tcPr>
            <w:tcW w:w="270" w:type="dxa"/>
            <w:tcBorders>
              <w:top w:val="nil"/>
              <w:left w:val="nil"/>
              <w:bottom w:val="nil"/>
              <w:right w:val="nil"/>
            </w:tcBorders>
          </w:tcPr>
          <w:p w14:paraId="0CA1D18F" w14:textId="77777777" w:rsidR="000F0B3C" w:rsidRPr="00F7605F" w:rsidRDefault="000F0B3C">
            <w:pPr>
              <w:jc w:val="right"/>
              <w:rPr>
                <w:rFonts w:ascii="Arial" w:hAnsi="Arial" w:cs="Arial"/>
                <w:szCs w:val="24"/>
                <w:highlight w:val="yellow"/>
              </w:rPr>
            </w:pPr>
          </w:p>
        </w:tc>
        <w:tc>
          <w:tcPr>
            <w:tcW w:w="2153" w:type="dxa"/>
            <w:tcBorders>
              <w:top w:val="nil"/>
              <w:left w:val="nil"/>
              <w:bottom w:val="nil"/>
              <w:right w:val="nil"/>
            </w:tcBorders>
            <w:shd w:val="clear" w:color="auto" w:fill="auto"/>
            <w:noWrap/>
            <w:vAlign w:val="bottom"/>
          </w:tcPr>
          <w:p w14:paraId="36F10EA7" w14:textId="164B6B2E" w:rsidR="000F0B3C" w:rsidRPr="00F7605F" w:rsidRDefault="00CD0C8C" w:rsidP="002A203E">
            <w:pPr>
              <w:ind w:right="60"/>
              <w:jc w:val="right"/>
              <w:rPr>
                <w:rFonts w:ascii="Arial" w:hAnsi="Arial" w:cs="Arial"/>
                <w:szCs w:val="24"/>
                <w:highlight w:val="yellow"/>
              </w:rPr>
            </w:pPr>
            <w:r w:rsidRPr="00A613E8">
              <w:rPr>
                <w:rFonts w:ascii="Arial" w:hAnsi="Arial" w:cs="Arial"/>
                <w:szCs w:val="24"/>
              </w:rPr>
              <w:t xml:space="preserve">           </w:t>
            </w:r>
            <w:r w:rsidR="002F7E88">
              <w:rPr>
                <w:rFonts w:ascii="Arial" w:hAnsi="Arial" w:cs="Arial"/>
                <w:szCs w:val="24"/>
              </w:rPr>
              <w:t>5,200</w:t>
            </w:r>
            <w:r w:rsidR="000F0B3C" w:rsidRPr="00A613E8">
              <w:rPr>
                <w:rFonts w:ascii="Arial" w:hAnsi="Arial" w:cs="Arial"/>
                <w:szCs w:val="24"/>
              </w:rPr>
              <w:t>,</w:t>
            </w:r>
            <w:r w:rsidR="002F7E88">
              <w:rPr>
                <w:rFonts w:ascii="Arial" w:hAnsi="Arial" w:cs="Arial"/>
                <w:szCs w:val="24"/>
              </w:rPr>
              <w:t>34</w:t>
            </w:r>
            <w:r w:rsidR="00B42798">
              <w:rPr>
                <w:rFonts w:ascii="Arial" w:hAnsi="Arial" w:cs="Arial"/>
                <w:szCs w:val="24"/>
              </w:rPr>
              <w:t>4</w:t>
            </w:r>
          </w:p>
        </w:tc>
      </w:tr>
      <w:tr w:rsidR="000F0B3C" w:rsidRPr="00F7605F" w14:paraId="43657D53" w14:textId="77777777" w:rsidTr="002A203E">
        <w:trPr>
          <w:trHeight w:val="144"/>
          <w:jc w:val="center"/>
        </w:trPr>
        <w:tc>
          <w:tcPr>
            <w:tcW w:w="2718" w:type="dxa"/>
            <w:tcBorders>
              <w:top w:val="nil"/>
              <w:left w:val="nil"/>
              <w:bottom w:val="nil"/>
              <w:right w:val="nil"/>
            </w:tcBorders>
            <w:shd w:val="clear" w:color="auto" w:fill="auto"/>
            <w:noWrap/>
            <w:vAlign w:val="bottom"/>
          </w:tcPr>
          <w:p w14:paraId="1FE59721" w14:textId="77777777" w:rsidR="000F0B3C" w:rsidRPr="00F7605F" w:rsidRDefault="000F0B3C" w:rsidP="00E75F1F">
            <w:pPr>
              <w:rPr>
                <w:rFonts w:ascii="Arial" w:hAnsi="Arial" w:cs="Arial"/>
                <w:szCs w:val="24"/>
                <w:highlight w:val="yellow"/>
              </w:rPr>
            </w:pPr>
          </w:p>
        </w:tc>
        <w:tc>
          <w:tcPr>
            <w:tcW w:w="236" w:type="dxa"/>
            <w:tcBorders>
              <w:top w:val="nil"/>
              <w:left w:val="nil"/>
              <w:bottom w:val="nil"/>
              <w:right w:val="nil"/>
            </w:tcBorders>
          </w:tcPr>
          <w:p w14:paraId="45E39C56" w14:textId="77777777" w:rsidR="000F0B3C" w:rsidRPr="00F7605F" w:rsidRDefault="000F0B3C">
            <w:pPr>
              <w:jc w:val="right"/>
              <w:rPr>
                <w:rFonts w:ascii="Arial" w:hAnsi="Arial" w:cs="Arial"/>
                <w:szCs w:val="24"/>
                <w:highlight w:val="yellow"/>
              </w:rPr>
            </w:pPr>
          </w:p>
        </w:tc>
        <w:tc>
          <w:tcPr>
            <w:tcW w:w="2077" w:type="dxa"/>
            <w:tcBorders>
              <w:top w:val="nil"/>
              <w:left w:val="nil"/>
              <w:bottom w:val="nil"/>
              <w:right w:val="nil"/>
            </w:tcBorders>
            <w:shd w:val="clear" w:color="auto" w:fill="auto"/>
            <w:noWrap/>
            <w:vAlign w:val="bottom"/>
          </w:tcPr>
          <w:p w14:paraId="47F176CB" w14:textId="77777777" w:rsidR="000F0B3C" w:rsidRPr="00F7605F" w:rsidRDefault="000F0B3C" w:rsidP="002A203E">
            <w:pPr>
              <w:tabs>
                <w:tab w:val="decimal" w:pos="1569"/>
              </w:tabs>
              <w:jc w:val="right"/>
              <w:rPr>
                <w:rFonts w:ascii="Arial" w:hAnsi="Arial" w:cs="Arial"/>
                <w:szCs w:val="24"/>
                <w:highlight w:val="yellow"/>
              </w:rPr>
            </w:pPr>
          </w:p>
        </w:tc>
        <w:tc>
          <w:tcPr>
            <w:tcW w:w="270" w:type="dxa"/>
            <w:tcBorders>
              <w:top w:val="nil"/>
              <w:left w:val="nil"/>
              <w:bottom w:val="nil"/>
              <w:right w:val="nil"/>
            </w:tcBorders>
          </w:tcPr>
          <w:p w14:paraId="156724A3" w14:textId="77777777" w:rsidR="000F0B3C" w:rsidRPr="00F7605F" w:rsidRDefault="000F0B3C">
            <w:pPr>
              <w:jc w:val="right"/>
              <w:rPr>
                <w:rFonts w:ascii="Arial" w:hAnsi="Arial" w:cs="Arial"/>
                <w:szCs w:val="24"/>
                <w:highlight w:val="yellow"/>
              </w:rPr>
            </w:pPr>
          </w:p>
        </w:tc>
        <w:tc>
          <w:tcPr>
            <w:tcW w:w="1983" w:type="dxa"/>
            <w:tcBorders>
              <w:top w:val="nil"/>
              <w:left w:val="nil"/>
              <w:bottom w:val="nil"/>
              <w:right w:val="nil"/>
            </w:tcBorders>
            <w:shd w:val="clear" w:color="auto" w:fill="auto"/>
            <w:noWrap/>
            <w:vAlign w:val="bottom"/>
          </w:tcPr>
          <w:p w14:paraId="30F5415B" w14:textId="77777777" w:rsidR="000F0B3C" w:rsidRPr="00F7605F" w:rsidRDefault="000F0B3C" w:rsidP="002A203E">
            <w:pPr>
              <w:tabs>
                <w:tab w:val="decimal" w:pos="1476"/>
              </w:tabs>
              <w:ind w:right="-96"/>
              <w:jc w:val="right"/>
              <w:rPr>
                <w:rFonts w:ascii="Arial" w:hAnsi="Arial" w:cs="Arial"/>
                <w:szCs w:val="24"/>
                <w:highlight w:val="yellow"/>
              </w:rPr>
            </w:pPr>
          </w:p>
        </w:tc>
        <w:tc>
          <w:tcPr>
            <w:tcW w:w="270" w:type="dxa"/>
            <w:tcBorders>
              <w:top w:val="nil"/>
              <w:left w:val="nil"/>
              <w:bottom w:val="nil"/>
              <w:right w:val="nil"/>
            </w:tcBorders>
          </w:tcPr>
          <w:p w14:paraId="4BD9061E" w14:textId="77777777" w:rsidR="000F0B3C" w:rsidRPr="00F7605F" w:rsidRDefault="000F0B3C">
            <w:pPr>
              <w:jc w:val="right"/>
              <w:rPr>
                <w:rFonts w:ascii="Arial" w:hAnsi="Arial" w:cs="Arial"/>
                <w:szCs w:val="24"/>
                <w:highlight w:val="yellow"/>
              </w:rPr>
            </w:pPr>
          </w:p>
        </w:tc>
        <w:tc>
          <w:tcPr>
            <w:tcW w:w="2153" w:type="dxa"/>
            <w:tcBorders>
              <w:top w:val="nil"/>
              <w:left w:val="nil"/>
              <w:bottom w:val="nil"/>
              <w:right w:val="nil"/>
            </w:tcBorders>
            <w:shd w:val="clear" w:color="auto" w:fill="auto"/>
            <w:noWrap/>
            <w:vAlign w:val="bottom"/>
          </w:tcPr>
          <w:p w14:paraId="5FCC805E" w14:textId="77777777" w:rsidR="000F0B3C" w:rsidRPr="00F7605F" w:rsidRDefault="000F0B3C" w:rsidP="002A203E">
            <w:pPr>
              <w:ind w:right="58"/>
              <w:jc w:val="right"/>
              <w:rPr>
                <w:rFonts w:ascii="Arial" w:hAnsi="Arial" w:cs="Arial"/>
                <w:szCs w:val="24"/>
                <w:highlight w:val="yellow"/>
              </w:rPr>
            </w:pPr>
          </w:p>
        </w:tc>
      </w:tr>
      <w:tr w:rsidR="000F0B3C" w:rsidRPr="00F7605F" w14:paraId="50DDD1B9" w14:textId="77777777" w:rsidTr="002A203E">
        <w:trPr>
          <w:trHeight w:val="288"/>
          <w:jc w:val="center"/>
        </w:trPr>
        <w:tc>
          <w:tcPr>
            <w:tcW w:w="2718" w:type="dxa"/>
            <w:tcBorders>
              <w:top w:val="nil"/>
              <w:left w:val="nil"/>
              <w:bottom w:val="nil"/>
              <w:right w:val="nil"/>
            </w:tcBorders>
            <w:shd w:val="clear" w:color="auto" w:fill="auto"/>
            <w:noWrap/>
            <w:vAlign w:val="bottom"/>
          </w:tcPr>
          <w:p w14:paraId="2785B790" w14:textId="77777777" w:rsidR="006A66FE" w:rsidRPr="00D77890" w:rsidRDefault="000F0B3C" w:rsidP="00B03D93">
            <w:pPr>
              <w:ind w:right="-270"/>
              <w:rPr>
                <w:rFonts w:ascii="Arial" w:hAnsi="Arial" w:cs="Arial"/>
                <w:szCs w:val="24"/>
              </w:rPr>
            </w:pPr>
            <w:r w:rsidRPr="00D77890">
              <w:rPr>
                <w:rFonts w:ascii="Arial" w:hAnsi="Arial" w:cs="Arial"/>
                <w:szCs w:val="24"/>
              </w:rPr>
              <w:t>Rate</w:t>
            </w:r>
            <w:r w:rsidR="006A66FE" w:rsidRPr="00D77890">
              <w:rPr>
                <w:rFonts w:ascii="Arial" w:hAnsi="Arial" w:cs="Arial"/>
                <w:szCs w:val="24"/>
              </w:rPr>
              <w:t>s</w:t>
            </w:r>
            <w:r w:rsidRPr="00D77890">
              <w:rPr>
                <w:rFonts w:ascii="Arial" w:hAnsi="Arial" w:cs="Arial"/>
                <w:szCs w:val="24"/>
              </w:rPr>
              <w:t xml:space="preserve"> SLE, </w:t>
            </w:r>
            <w:r w:rsidR="00CB5752" w:rsidRPr="00D77890">
              <w:rPr>
                <w:rFonts w:ascii="Arial" w:hAnsi="Arial" w:cs="Arial"/>
                <w:szCs w:val="24"/>
              </w:rPr>
              <w:t>SLS, POL</w:t>
            </w:r>
            <w:r w:rsidRPr="00D77890">
              <w:rPr>
                <w:rFonts w:ascii="Arial" w:hAnsi="Arial" w:cs="Arial"/>
                <w:szCs w:val="24"/>
              </w:rPr>
              <w:t xml:space="preserve">, </w:t>
            </w:r>
          </w:p>
          <w:p w14:paraId="4FDFE40E" w14:textId="77777777" w:rsidR="000F0B3C" w:rsidRPr="00F7605F" w:rsidRDefault="000F0B3C" w:rsidP="00B03D93">
            <w:pPr>
              <w:ind w:right="-270"/>
              <w:rPr>
                <w:rFonts w:ascii="Arial" w:hAnsi="Arial" w:cs="Arial"/>
                <w:szCs w:val="24"/>
                <w:highlight w:val="yellow"/>
              </w:rPr>
            </w:pPr>
            <w:r w:rsidRPr="00D77890">
              <w:rPr>
                <w:rFonts w:ascii="Arial" w:hAnsi="Arial" w:cs="Arial"/>
                <w:szCs w:val="24"/>
              </w:rPr>
              <w:t>AL, TLCL</w:t>
            </w:r>
          </w:p>
        </w:tc>
        <w:tc>
          <w:tcPr>
            <w:tcW w:w="236" w:type="dxa"/>
            <w:tcBorders>
              <w:top w:val="nil"/>
              <w:left w:val="nil"/>
              <w:bottom w:val="nil"/>
              <w:right w:val="nil"/>
            </w:tcBorders>
          </w:tcPr>
          <w:p w14:paraId="5B3CD7A2" w14:textId="77777777" w:rsidR="000F0B3C" w:rsidRPr="00F7605F" w:rsidRDefault="000F0B3C">
            <w:pPr>
              <w:jc w:val="right"/>
              <w:rPr>
                <w:rFonts w:ascii="Arial" w:hAnsi="Arial" w:cs="Arial"/>
                <w:szCs w:val="24"/>
                <w:highlight w:val="yellow"/>
              </w:rPr>
            </w:pPr>
          </w:p>
        </w:tc>
        <w:tc>
          <w:tcPr>
            <w:tcW w:w="2077" w:type="dxa"/>
            <w:tcBorders>
              <w:top w:val="nil"/>
              <w:left w:val="nil"/>
              <w:bottom w:val="single" w:sz="4" w:space="0" w:color="auto"/>
              <w:right w:val="nil"/>
            </w:tcBorders>
            <w:shd w:val="clear" w:color="auto" w:fill="auto"/>
            <w:noWrap/>
            <w:vAlign w:val="bottom"/>
          </w:tcPr>
          <w:p w14:paraId="482946EE" w14:textId="5CE82425" w:rsidR="000F0B3C" w:rsidRPr="00853925" w:rsidRDefault="00880253" w:rsidP="002A203E">
            <w:pPr>
              <w:jc w:val="right"/>
              <w:rPr>
                <w:rFonts w:ascii="Arial" w:hAnsi="Arial" w:cs="Arial"/>
                <w:szCs w:val="24"/>
              </w:rPr>
            </w:pPr>
            <w:r w:rsidRPr="00853925">
              <w:rPr>
                <w:rFonts w:ascii="Arial" w:hAnsi="Arial" w:cs="Arial"/>
                <w:szCs w:val="24"/>
              </w:rPr>
              <w:t xml:space="preserve">  </w:t>
            </w:r>
            <w:r w:rsidR="00205553" w:rsidRPr="00853925">
              <w:rPr>
                <w:rFonts w:ascii="Arial" w:hAnsi="Arial" w:cs="Arial"/>
                <w:szCs w:val="24"/>
              </w:rPr>
              <w:t xml:space="preserve">            </w:t>
            </w:r>
            <w:r w:rsidR="00C10102">
              <w:rPr>
                <w:rFonts w:ascii="Arial" w:hAnsi="Arial" w:cs="Arial"/>
                <w:szCs w:val="24"/>
              </w:rPr>
              <w:t>60</w:t>
            </w:r>
            <w:r w:rsidR="00205553" w:rsidRPr="00853925">
              <w:rPr>
                <w:rFonts w:ascii="Arial" w:hAnsi="Arial" w:cs="Arial"/>
                <w:szCs w:val="24"/>
              </w:rPr>
              <w:t>,</w:t>
            </w:r>
            <w:r w:rsidR="00A9618A">
              <w:rPr>
                <w:rFonts w:ascii="Arial" w:hAnsi="Arial" w:cs="Arial"/>
                <w:szCs w:val="24"/>
              </w:rPr>
              <w:t>54</w:t>
            </w:r>
            <w:r w:rsidR="00C10102">
              <w:rPr>
                <w:rFonts w:ascii="Arial" w:hAnsi="Arial" w:cs="Arial"/>
                <w:szCs w:val="24"/>
              </w:rPr>
              <w:t>3</w:t>
            </w:r>
          </w:p>
        </w:tc>
        <w:tc>
          <w:tcPr>
            <w:tcW w:w="270" w:type="dxa"/>
            <w:tcBorders>
              <w:top w:val="nil"/>
              <w:left w:val="nil"/>
              <w:bottom w:val="nil"/>
              <w:right w:val="nil"/>
            </w:tcBorders>
          </w:tcPr>
          <w:p w14:paraId="7292F392" w14:textId="77777777" w:rsidR="000F0B3C" w:rsidRPr="00853925" w:rsidRDefault="000F0B3C">
            <w:pPr>
              <w:jc w:val="right"/>
              <w:rPr>
                <w:rFonts w:ascii="Arial" w:hAnsi="Arial" w:cs="Arial"/>
                <w:szCs w:val="24"/>
              </w:rPr>
            </w:pPr>
          </w:p>
        </w:tc>
        <w:tc>
          <w:tcPr>
            <w:tcW w:w="1983" w:type="dxa"/>
            <w:tcBorders>
              <w:top w:val="nil"/>
              <w:left w:val="nil"/>
              <w:bottom w:val="single" w:sz="4" w:space="0" w:color="auto"/>
              <w:right w:val="nil"/>
            </w:tcBorders>
            <w:shd w:val="clear" w:color="auto" w:fill="auto"/>
            <w:noWrap/>
            <w:vAlign w:val="bottom"/>
          </w:tcPr>
          <w:p w14:paraId="0A972373" w14:textId="26870C9F" w:rsidR="000F0B3C" w:rsidRPr="00853925" w:rsidRDefault="001C4463" w:rsidP="002A203E">
            <w:pPr>
              <w:ind w:right="-96"/>
              <w:jc w:val="right"/>
              <w:rPr>
                <w:rFonts w:ascii="Arial" w:hAnsi="Arial" w:cs="Arial"/>
                <w:szCs w:val="24"/>
              </w:rPr>
            </w:pPr>
            <w:r w:rsidRPr="00853925">
              <w:rPr>
                <w:rFonts w:ascii="Arial" w:hAnsi="Arial" w:cs="Arial"/>
                <w:szCs w:val="24"/>
              </w:rPr>
              <w:t xml:space="preserve">      </w:t>
            </w:r>
            <w:r w:rsidR="0014799E" w:rsidRPr="00853925">
              <w:rPr>
                <w:rFonts w:ascii="Arial" w:hAnsi="Arial" w:cs="Arial"/>
                <w:szCs w:val="24"/>
              </w:rPr>
              <w:t xml:space="preserve">  </w:t>
            </w:r>
            <w:r w:rsidRPr="00853925">
              <w:rPr>
                <w:rFonts w:ascii="Arial" w:hAnsi="Arial" w:cs="Arial"/>
                <w:szCs w:val="24"/>
              </w:rPr>
              <w:t xml:space="preserve">   </w:t>
            </w:r>
            <w:r w:rsidR="00C10102">
              <w:rPr>
                <w:rFonts w:ascii="Arial" w:hAnsi="Arial" w:cs="Arial"/>
                <w:szCs w:val="24"/>
              </w:rPr>
              <w:t>54</w:t>
            </w:r>
            <w:r w:rsidR="000F0B3C" w:rsidRPr="00853925">
              <w:rPr>
                <w:rFonts w:ascii="Arial" w:hAnsi="Arial" w:cs="Arial"/>
                <w:szCs w:val="24"/>
              </w:rPr>
              <w:t>,</w:t>
            </w:r>
            <w:r w:rsidR="00C10102">
              <w:rPr>
                <w:rFonts w:ascii="Arial" w:hAnsi="Arial" w:cs="Arial"/>
                <w:szCs w:val="24"/>
              </w:rPr>
              <w:t>973</w:t>
            </w:r>
          </w:p>
        </w:tc>
        <w:tc>
          <w:tcPr>
            <w:tcW w:w="270" w:type="dxa"/>
            <w:tcBorders>
              <w:top w:val="nil"/>
              <w:left w:val="nil"/>
              <w:bottom w:val="nil"/>
              <w:right w:val="nil"/>
            </w:tcBorders>
          </w:tcPr>
          <w:p w14:paraId="6337AC8C" w14:textId="77777777" w:rsidR="000F0B3C" w:rsidRPr="00853925" w:rsidRDefault="000F0B3C">
            <w:pPr>
              <w:jc w:val="right"/>
              <w:rPr>
                <w:rFonts w:ascii="Arial" w:hAnsi="Arial" w:cs="Arial"/>
                <w:szCs w:val="24"/>
              </w:rPr>
            </w:pPr>
          </w:p>
        </w:tc>
        <w:tc>
          <w:tcPr>
            <w:tcW w:w="2153" w:type="dxa"/>
            <w:tcBorders>
              <w:top w:val="nil"/>
              <w:left w:val="nil"/>
              <w:bottom w:val="single" w:sz="4" w:space="0" w:color="auto"/>
              <w:right w:val="nil"/>
            </w:tcBorders>
            <w:shd w:val="clear" w:color="auto" w:fill="auto"/>
            <w:noWrap/>
            <w:vAlign w:val="bottom"/>
          </w:tcPr>
          <w:p w14:paraId="69E3526B" w14:textId="1CF2FD09" w:rsidR="000F0B3C" w:rsidRPr="00853925" w:rsidRDefault="0014799E" w:rsidP="00A4423F">
            <w:pPr>
              <w:ind w:left="428" w:right="64" w:hanging="270"/>
              <w:jc w:val="right"/>
              <w:rPr>
                <w:rFonts w:ascii="Arial" w:hAnsi="Arial" w:cs="Arial"/>
                <w:szCs w:val="24"/>
                <w:highlight w:val="yellow"/>
              </w:rPr>
            </w:pPr>
            <w:r w:rsidRPr="00853925">
              <w:rPr>
                <w:rFonts w:ascii="Arial" w:hAnsi="Arial" w:cs="Arial"/>
                <w:szCs w:val="24"/>
              </w:rPr>
              <w:t xml:space="preserve">  </w:t>
            </w:r>
            <w:r w:rsidR="006D173E" w:rsidRPr="00853925">
              <w:rPr>
                <w:rFonts w:ascii="Arial" w:hAnsi="Arial" w:cs="Arial"/>
                <w:szCs w:val="24"/>
              </w:rPr>
              <w:t xml:space="preserve">             </w:t>
            </w:r>
            <w:r w:rsidR="00C10102">
              <w:rPr>
                <w:rFonts w:ascii="Arial" w:hAnsi="Arial" w:cs="Arial"/>
                <w:szCs w:val="24"/>
              </w:rPr>
              <w:t>5</w:t>
            </w:r>
            <w:r w:rsidRPr="00853925">
              <w:rPr>
                <w:rFonts w:ascii="Arial" w:hAnsi="Arial" w:cs="Arial"/>
                <w:szCs w:val="24"/>
              </w:rPr>
              <w:t>,</w:t>
            </w:r>
            <w:r w:rsidR="00E7486D">
              <w:rPr>
                <w:rFonts w:ascii="Arial" w:hAnsi="Arial" w:cs="Arial"/>
                <w:szCs w:val="24"/>
              </w:rPr>
              <w:t>5</w:t>
            </w:r>
            <w:r w:rsidR="00C10102">
              <w:rPr>
                <w:rFonts w:ascii="Arial" w:hAnsi="Arial" w:cs="Arial"/>
                <w:szCs w:val="24"/>
              </w:rPr>
              <w:t>70</w:t>
            </w:r>
          </w:p>
        </w:tc>
      </w:tr>
      <w:tr w:rsidR="000F0B3C" w:rsidRPr="00F7605F" w14:paraId="6BB76329" w14:textId="77777777" w:rsidTr="002A203E">
        <w:trPr>
          <w:trHeight w:val="144"/>
          <w:jc w:val="center"/>
        </w:trPr>
        <w:tc>
          <w:tcPr>
            <w:tcW w:w="2718" w:type="dxa"/>
            <w:tcBorders>
              <w:top w:val="nil"/>
              <w:left w:val="nil"/>
              <w:bottom w:val="nil"/>
              <w:right w:val="nil"/>
            </w:tcBorders>
            <w:shd w:val="clear" w:color="auto" w:fill="auto"/>
            <w:noWrap/>
            <w:vAlign w:val="bottom"/>
          </w:tcPr>
          <w:p w14:paraId="68C393E6" w14:textId="77777777" w:rsidR="000F0B3C" w:rsidRPr="00F7605F" w:rsidRDefault="000F0B3C" w:rsidP="00E75F1F">
            <w:pPr>
              <w:rPr>
                <w:rFonts w:ascii="Arial" w:hAnsi="Arial" w:cs="Arial"/>
                <w:szCs w:val="24"/>
                <w:highlight w:val="yellow"/>
              </w:rPr>
            </w:pPr>
          </w:p>
        </w:tc>
        <w:tc>
          <w:tcPr>
            <w:tcW w:w="236" w:type="dxa"/>
            <w:tcBorders>
              <w:top w:val="nil"/>
              <w:left w:val="nil"/>
              <w:bottom w:val="nil"/>
              <w:right w:val="nil"/>
            </w:tcBorders>
          </w:tcPr>
          <w:p w14:paraId="320DDBC3" w14:textId="77777777" w:rsidR="000F0B3C" w:rsidRPr="00F7605F" w:rsidRDefault="000F0B3C">
            <w:pPr>
              <w:jc w:val="right"/>
              <w:rPr>
                <w:rFonts w:ascii="Arial" w:hAnsi="Arial" w:cs="Arial"/>
                <w:szCs w:val="24"/>
                <w:highlight w:val="yellow"/>
              </w:rPr>
            </w:pPr>
          </w:p>
        </w:tc>
        <w:tc>
          <w:tcPr>
            <w:tcW w:w="2077" w:type="dxa"/>
            <w:tcBorders>
              <w:top w:val="single" w:sz="4" w:space="0" w:color="auto"/>
              <w:left w:val="nil"/>
              <w:right w:val="nil"/>
            </w:tcBorders>
            <w:shd w:val="clear" w:color="auto" w:fill="auto"/>
            <w:noWrap/>
            <w:vAlign w:val="bottom"/>
          </w:tcPr>
          <w:p w14:paraId="58B48F52" w14:textId="77777777" w:rsidR="000F0B3C" w:rsidRPr="00853925" w:rsidRDefault="000F0B3C" w:rsidP="002A203E">
            <w:pPr>
              <w:tabs>
                <w:tab w:val="decimal" w:pos="1569"/>
              </w:tabs>
              <w:jc w:val="right"/>
              <w:rPr>
                <w:rFonts w:ascii="Arial" w:hAnsi="Arial" w:cs="Arial"/>
                <w:szCs w:val="24"/>
                <w:highlight w:val="yellow"/>
                <w:u w:val="single"/>
              </w:rPr>
            </w:pPr>
          </w:p>
        </w:tc>
        <w:tc>
          <w:tcPr>
            <w:tcW w:w="270" w:type="dxa"/>
            <w:tcBorders>
              <w:top w:val="nil"/>
              <w:left w:val="nil"/>
              <w:right w:val="nil"/>
            </w:tcBorders>
          </w:tcPr>
          <w:p w14:paraId="21EB2192" w14:textId="77777777" w:rsidR="000F0B3C" w:rsidRPr="00853925" w:rsidRDefault="000F0B3C">
            <w:pPr>
              <w:jc w:val="right"/>
              <w:rPr>
                <w:rFonts w:ascii="Arial" w:hAnsi="Arial" w:cs="Arial"/>
                <w:szCs w:val="24"/>
                <w:highlight w:val="yellow"/>
                <w:u w:val="single"/>
              </w:rPr>
            </w:pPr>
          </w:p>
        </w:tc>
        <w:tc>
          <w:tcPr>
            <w:tcW w:w="1983" w:type="dxa"/>
            <w:tcBorders>
              <w:top w:val="single" w:sz="4" w:space="0" w:color="auto"/>
              <w:left w:val="nil"/>
              <w:right w:val="nil"/>
            </w:tcBorders>
            <w:shd w:val="clear" w:color="auto" w:fill="auto"/>
            <w:noWrap/>
            <w:vAlign w:val="bottom"/>
          </w:tcPr>
          <w:p w14:paraId="54739D47" w14:textId="77777777" w:rsidR="000F0B3C" w:rsidRPr="00853925" w:rsidRDefault="000F0B3C" w:rsidP="002A203E">
            <w:pPr>
              <w:tabs>
                <w:tab w:val="decimal" w:pos="1476"/>
              </w:tabs>
              <w:ind w:right="-96"/>
              <w:jc w:val="right"/>
              <w:rPr>
                <w:rFonts w:ascii="Arial" w:hAnsi="Arial" w:cs="Arial"/>
                <w:szCs w:val="24"/>
                <w:highlight w:val="yellow"/>
                <w:u w:val="single"/>
              </w:rPr>
            </w:pPr>
          </w:p>
        </w:tc>
        <w:tc>
          <w:tcPr>
            <w:tcW w:w="270" w:type="dxa"/>
            <w:tcBorders>
              <w:top w:val="nil"/>
              <w:left w:val="nil"/>
              <w:right w:val="nil"/>
            </w:tcBorders>
          </w:tcPr>
          <w:p w14:paraId="72659251" w14:textId="77777777" w:rsidR="000F0B3C" w:rsidRPr="00853925" w:rsidRDefault="000F0B3C">
            <w:pPr>
              <w:jc w:val="right"/>
              <w:rPr>
                <w:rFonts w:ascii="Arial" w:hAnsi="Arial" w:cs="Arial"/>
                <w:szCs w:val="24"/>
                <w:highlight w:val="yellow"/>
                <w:u w:val="single"/>
              </w:rPr>
            </w:pPr>
          </w:p>
        </w:tc>
        <w:tc>
          <w:tcPr>
            <w:tcW w:w="2153" w:type="dxa"/>
            <w:tcBorders>
              <w:top w:val="single" w:sz="4" w:space="0" w:color="auto"/>
              <w:left w:val="nil"/>
              <w:right w:val="nil"/>
            </w:tcBorders>
            <w:shd w:val="clear" w:color="auto" w:fill="auto"/>
            <w:noWrap/>
            <w:vAlign w:val="bottom"/>
          </w:tcPr>
          <w:p w14:paraId="3DAB3259" w14:textId="77777777" w:rsidR="000F0B3C" w:rsidRPr="00853925" w:rsidRDefault="000F0B3C" w:rsidP="002A203E">
            <w:pPr>
              <w:ind w:right="58"/>
              <w:jc w:val="right"/>
              <w:rPr>
                <w:rFonts w:ascii="Arial" w:hAnsi="Arial" w:cs="Arial"/>
                <w:szCs w:val="24"/>
                <w:highlight w:val="yellow"/>
                <w:u w:val="single"/>
              </w:rPr>
            </w:pPr>
          </w:p>
        </w:tc>
      </w:tr>
      <w:tr w:rsidR="000F0B3C" w:rsidRPr="00BE0936" w14:paraId="37D7150D" w14:textId="77777777" w:rsidTr="002A203E">
        <w:trPr>
          <w:trHeight w:val="288"/>
          <w:jc w:val="center"/>
        </w:trPr>
        <w:tc>
          <w:tcPr>
            <w:tcW w:w="2718" w:type="dxa"/>
            <w:tcBorders>
              <w:top w:val="nil"/>
              <w:left w:val="nil"/>
              <w:bottom w:val="nil"/>
              <w:right w:val="nil"/>
            </w:tcBorders>
            <w:shd w:val="clear" w:color="auto" w:fill="auto"/>
            <w:vAlign w:val="bottom"/>
          </w:tcPr>
          <w:p w14:paraId="75640C22" w14:textId="02AA7960" w:rsidR="000F0B3C" w:rsidRPr="00F7605F" w:rsidRDefault="006A66FE">
            <w:pPr>
              <w:rPr>
                <w:rFonts w:ascii="Arial" w:hAnsi="Arial" w:cs="Arial"/>
                <w:szCs w:val="24"/>
                <w:highlight w:val="yellow"/>
              </w:rPr>
            </w:pPr>
            <w:r w:rsidRPr="003B5995">
              <w:rPr>
                <w:rFonts w:ascii="Arial" w:hAnsi="Arial" w:cs="Arial"/>
                <w:szCs w:val="24"/>
              </w:rPr>
              <w:t xml:space="preserve">     </w:t>
            </w:r>
            <w:r w:rsidR="000F0B3C" w:rsidRPr="003B5995">
              <w:rPr>
                <w:rFonts w:ascii="Arial" w:hAnsi="Arial" w:cs="Arial"/>
                <w:szCs w:val="24"/>
              </w:rPr>
              <w:t>Total</w:t>
            </w:r>
          </w:p>
        </w:tc>
        <w:tc>
          <w:tcPr>
            <w:tcW w:w="236" w:type="dxa"/>
            <w:tcBorders>
              <w:top w:val="nil"/>
              <w:left w:val="nil"/>
              <w:bottom w:val="nil"/>
              <w:right w:val="nil"/>
            </w:tcBorders>
          </w:tcPr>
          <w:p w14:paraId="1A327874" w14:textId="77777777" w:rsidR="000F0B3C" w:rsidRPr="003B5995" w:rsidRDefault="000F0B3C">
            <w:pPr>
              <w:jc w:val="right"/>
              <w:rPr>
                <w:rFonts w:ascii="Arial" w:hAnsi="Arial" w:cs="Arial"/>
                <w:szCs w:val="24"/>
                <w:u w:val="double"/>
              </w:rPr>
            </w:pPr>
          </w:p>
        </w:tc>
        <w:tc>
          <w:tcPr>
            <w:tcW w:w="2077" w:type="dxa"/>
            <w:tcBorders>
              <w:left w:val="nil"/>
              <w:bottom w:val="double" w:sz="4" w:space="0" w:color="auto"/>
              <w:right w:val="nil"/>
            </w:tcBorders>
            <w:shd w:val="clear" w:color="auto" w:fill="auto"/>
            <w:noWrap/>
            <w:vAlign w:val="bottom"/>
          </w:tcPr>
          <w:p w14:paraId="1D43B69C" w14:textId="5A38C37D" w:rsidR="000F0B3C" w:rsidRPr="00853925" w:rsidRDefault="001C4463" w:rsidP="002A203E">
            <w:pPr>
              <w:tabs>
                <w:tab w:val="decimal" w:pos="1569"/>
              </w:tabs>
              <w:jc w:val="right"/>
              <w:rPr>
                <w:rFonts w:ascii="Arial" w:hAnsi="Arial" w:cs="Arial"/>
                <w:szCs w:val="24"/>
              </w:rPr>
            </w:pPr>
            <w:r w:rsidRPr="00853925">
              <w:rPr>
                <w:rFonts w:ascii="Arial" w:hAnsi="Arial" w:cs="Arial"/>
                <w:szCs w:val="24"/>
              </w:rPr>
              <w:t xml:space="preserve"> </w:t>
            </w:r>
            <w:r w:rsidR="000F0B3C" w:rsidRPr="00853925">
              <w:rPr>
                <w:rFonts w:ascii="Arial" w:hAnsi="Arial" w:cs="Arial"/>
                <w:szCs w:val="24"/>
              </w:rPr>
              <w:t xml:space="preserve">$ </w:t>
            </w:r>
            <w:r w:rsidR="00880253" w:rsidRPr="00853925">
              <w:rPr>
                <w:rFonts w:ascii="Arial" w:hAnsi="Arial" w:cs="Arial"/>
                <w:szCs w:val="24"/>
              </w:rPr>
              <w:t xml:space="preserve"> </w:t>
            </w:r>
            <w:r w:rsidR="003B5995" w:rsidRPr="00853925">
              <w:rPr>
                <w:rFonts w:ascii="Arial" w:hAnsi="Arial" w:cs="Arial"/>
                <w:szCs w:val="24"/>
              </w:rPr>
              <w:t xml:space="preserve"> </w:t>
            </w:r>
            <w:r w:rsidR="002906D0">
              <w:rPr>
                <w:rFonts w:ascii="Arial" w:hAnsi="Arial" w:cs="Arial"/>
                <w:szCs w:val="24"/>
              </w:rPr>
              <w:t>91</w:t>
            </w:r>
            <w:r w:rsidR="00205553" w:rsidRPr="00853925">
              <w:rPr>
                <w:rFonts w:ascii="Arial" w:hAnsi="Arial" w:cs="Arial"/>
                <w:szCs w:val="24"/>
              </w:rPr>
              <w:t>,</w:t>
            </w:r>
            <w:r w:rsidR="002906D0">
              <w:rPr>
                <w:rFonts w:ascii="Arial" w:hAnsi="Arial" w:cs="Arial"/>
                <w:szCs w:val="24"/>
              </w:rPr>
              <w:t>412</w:t>
            </w:r>
            <w:r w:rsidR="000F0B3C" w:rsidRPr="00853925">
              <w:rPr>
                <w:rFonts w:ascii="Arial" w:hAnsi="Arial" w:cs="Arial"/>
                <w:szCs w:val="24"/>
              </w:rPr>
              <w:t>,</w:t>
            </w:r>
            <w:r w:rsidR="00052559">
              <w:rPr>
                <w:rFonts w:ascii="Arial" w:hAnsi="Arial" w:cs="Arial"/>
                <w:szCs w:val="24"/>
              </w:rPr>
              <w:t>24</w:t>
            </w:r>
            <w:r w:rsidR="003A1E2B">
              <w:rPr>
                <w:rFonts w:ascii="Arial" w:hAnsi="Arial" w:cs="Arial"/>
                <w:szCs w:val="24"/>
              </w:rPr>
              <w:t>6</w:t>
            </w:r>
          </w:p>
        </w:tc>
        <w:tc>
          <w:tcPr>
            <w:tcW w:w="270" w:type="dxa"/>
            <w:tcBorders>
              <w:top w:val="nil"/>
              <w:left w:val="nil"/>
              <w:right w:val="nil"/>
            </w:tcBorders>
          </w:tcPr>
          <w:p w14:paraId="49C1488D" w14:textId="77777777" w:rsidR="000F0B3C" w:rsidRPr="00853925" w:rsidRDefault="000F0B3C">
            <w:pPr>
              <w:jc w:val="right"/>
              <w:rPr>
                <w:rFonts w:ascii="Arial" w:hAnsi="Arial" w:cs="Arial"/>
                <w:szCs w:val="24"/>
                <w:highlight w:val="yellow"/>
              </w:rPr>
            </w:pPr>
          </w:p>
        </w:tc>
        <w:tc>
          <w:tcPr>
            <w:tcW w:w="1983" w:type="dxa"/>
            <w:tcBorders>
              <w:left w:val="nil"/>
              <w:bottom w:val="double" w:sz="4" w:space="0" w:color="auto"/>
            </w:tcBorders>
            <w:shd w:val="clear" w:color="auto" w:fill="auto"/>
            <w:noWrap/>
            <w:vAlign w:val="bottom"/>
          </w:tcPr>
          <w:p w14:paraId="170926D0" w14:textId="004FEED8" w:rsidR="000F0B3C" w:rsidRPr="00853925" w:rsidRDefault="00F6068B" w:rsidP="002A203E">
            <w:pPr>
              <w:ind w:right="-96"/>
              <w:jc w:val="right"/>
              <w:rPr>
                <w:rFonts w:ascii="Arial" w:hAnsi="Arial" w:cs="Arial"/>
                <w:szCs w:val="24"/>
              </w:rPr>
            </w:pPr>
            <w:r w:rsidRPr="00853925">
              <w:rPr>
                <w:rFonts w:ascii="Arial" w:hAnsi="Arial" w:cs="Arial"/>
                <w:szCs w:val="24"/>
              </w:rPr>
              <w:t xml:space="preserve"> </w:t>
            </w:r>
            <w:r w:rsidR="000F0B3C" w:rsidRPr="00853925">
              <w:rPr>
                <w:rFonts w:ascii="Arial" w:hAnsi="Arial" w:cs="Arial"/>
                <w:szCs w:val="24"/>
              </w:rPr>
              <w:t xml:space="preserve">$ </w:t>
            </w:r>
            <w:r w:rsidR="001C4463" w:rsidRPr="00853925">
              <w:rPr>
                <w:rFonts w:ascii="Arial" w:hAnsi="Arial" w:cs="Arial"/>
                <w:szCs w:val="24"/>
              </w:rPr>
              <w:t xml:space="preserve">  </w:t>
            </w:r>
            <w:r w:rsidR="00C10102">
              <w:rPr>
                <w:rFonts w:ascii="Arial" w:hAnsi="Arial" w:cs="Arial"/>
                <w:szCs w:val="24"/>
              </w:rPr>
              <w:t>73</w:t>
            </w:r>
            <w:r w:rsidR="000F0B3C" w:rsidRPr="00853925">
              <w:rPr>
                <w:rFonts w:ascii="Arial" w:hAnsi="Arial" w:cs="Arial"/>
                <w:szCs w:val="24"/>
              </w:rPr>
              <w:t>,</w:t>
            </w:r>
            <w:r w:rsidR="00C10102">
              <w:rPr>
                <w:rFonts w:ascii="Arial" w:hAnsi="Arial" w:cs="Arial"/>
                <w:szCs w:val="24"/>
              </w:rPr>
              <w:t>292</w:t>
            </w:r>
            <w:r w:rsidR="000F0B3C" w:rsidRPr="00853925">
              <w:rPr>
                <w:rFonts w:ascii="Arial" w:hAnsi="Arial" w:cs="Arial"/>
                <w:szCs w:val="24"/>
              </w:rPr>
              <w:t>,</w:t>
            </w:r>
            <w:r w:rsidR="00C10102">
              <w:rPr>
                <w:rFonts w:ascii="Arial" w:hAnsi="Arial" w:cs="Arial"/>
                <w:szCs w:val="24"/>
              </w:rPr>
              <w:t>53</w:t>
            </w:r>
            <w:r w:rsidR="00771235">
              <w:rPr>
                <w:rFonts w:ascii="Arial" w:hAnsi="Arial" w:cs="Arial"/>
                <w:szCs w:val="24"/>
              </w:rPr>
              <w:t>0</w:t>
            </w:r>
            <w:r w:rsidR="000F0B3C" w:rsidRPr="00853925">
              <w:rPr>
                <w:rFonts w:ascii="Arial" w:hAnsi="Arial" w:cs="Arial"/>
                <w:szCs w:val="24"/>
              </w:rPr>
              <w:t xml:space="preserve"> </w:t>
            </w:r>
          </w:p>
        </w:tc>
        <w:tc>
          <w:tcPr>
            <w:tcW w:w="270" w:type="dxa"/>
            <w:tcBorders>
              <w:top w:val="nil"/>
              <w:left w:val="nil"/>
              <w:right w:val="nil"/>
            </w:tcBorders>
          </w:tcPr>
          <w:p w14:paraId="5522A804" w14:textId="77777777" w:rsidR="000F0B3C" w:rsidRPr="00853925" w:rsidRDefault="000F0B3C">
            <w:pPr>
              <w:jc w:val="right"/>
              <w:rPr>
                <w:rFonts w:ascii="Arial" w:hAnsi="Arial" w:cs="Arial"/>
                <w:szCs w:val="24"/>
              </w:rPr>
            </w:pPr>
          </w:p>
        </w:tc>
        <w:tc>
          <w:tcPr>
            <w:tcW w:w="2153" w:type="dxa"/>
            <w:tcBorders>
              <w:left w:val="nil"/>
              <w:bottom w:val="double" w:sz="4" w:space="0" w:color="auto"/>
              <w:right w:val="nil"/>
            </w:tcBorders>
            <w:shd w:val="clear" w:color="auto" w:fill="auto"/>
            <w:noWrap/>
            <w:vAlign w:val="bottom"/>
          </w:tcPr>
          <w:p w14:paraId="2D9492F9" w14:textId="2F573018" w:rsidR="000F0B3C" w:rsidRPr="00853925" w:rsidRDefault="00CD0C8C" w:rsidP="00C10102">
            <w:pPr>
              <w:ind w:right="64"/>
              <w:jc w:val="right"/>
              <w:rPr>
                <w:rFonts w:ascii="Arial" w:hAnsi="Arial" w:cs="Arial"/>
                <w:szCs w:val="24"/>
              </w:rPr>
            </w:pPr>
            <w:r w:rsidRPr="00853925">
              <w:rPr>
                <w:rFonts w:ascii="Arial" w:hAnsi="Arial" w:cs="Arial"/>
                <w:szCs w:val="24"/>
              </w:rPr>
              <w:t xml:space="preserve">    </w:t>
            </w:r>
            <w:proofErr w:type="gramStart"/>
            <w:r w:rsidR="000F0B3C" w:rsidRPr="00853925">
              <w:rPr>
                <w:rFonts w:ascii="Arial" w:hAnsi="Arial" w:cs="Arial"/>
                <w:szCs w:val="24"/>
              </w:rPr>
              <w:t>$</w:t>
            </w:r>
            <w:r w:rsidRPr="00853925">
              <w:rPr>
                <w:rFonts w:ascii="Arial" w:hAnsi="Arial" w:cs="Arial"/>
                <w:szCs w:val="24"/>
              </w:rPr>
              <w:t xml:space="preserve">  </w:t>
            </w:r>
            <w:r w:rsidR="00C10102">
              <w:rPr>
                <w:rFonts w:ascii="Arial" w:hAnsi="Arial" w:cs="Arial"/>
                <w:szCs w:val="24"/>
              </w:rPr>
              <w:t>18</w:t>
            </w:r>
            <w:r w:rsidR="000F0B3C" w:rsidRPr="00853925">
              <w:rPr>
                <w:rFonts w:ascii="Arial" w:hAnsi="Arial" w:cs="Arial"/>
                <w:szCs w:val="24"/>
              </w:rPr>
              <w:t>,</w:t>
            </w:r>
            <w:r w:rsidR="00C10102">
              <w:rPr>
                <w:rFonts w:ascii="Arial" w:hAnsi="Arial" w:cs="Arial"/>
                <w:szCs w:val="24"/>
              </w:rPr>
              <w:t>119</w:t>
            </w:r>
            <w:r w:rsidR="000F0B3C" w:rsidRPr="00853925">
              <w:rPr>
                <w:rFonts w:ascii="Arial" w:hAnsi="Arial" w:cs="Arial"/>
                <w:szCs w:val="24"/>
              </w:rPr>
              <w:t>,</w:t>
            </w:r>
            <w:r w:rsidR="00C10102">
              <w:rPr>
                <w:rFonts w:ascii="Arial" w:hAnsi="Arial" w:cs="Arial"/>
                <w:szCs w:val="24"/>
              </w:rPr>
              <w:t>716</w:t>
            </w:r>
            <w:proofErr w:type="gramEnd"/>
          </w:p>
        </w:tc>
      </w:tr>
    </w:tbl>
    <w:p w14:paraId="0054A6BF" w14:textId="77777777" w:rsidR="00DD1E89" w:rsidRPr="00BE0936" w:rsidRDefault="00DD1E89" w:rsidP="001B78F9">
      <w:pPr>
        <w:tabs>
          <w:tab w:val="center" w:pos="4680"/>
        </w:tabs>
        <w:suppressAutoHyphens/>
        <w:rPr>
          <w:rFonts w:ascii="Arial" w:hAnsi="Arial" w:cs="Arial"/>
          <w:szCs w:val="24"/>
        </w:rPr>
      </w:pPr>
    </w:p>
    <w:p w14:paraId="4A8DA309" w14:textId="77777777" w:rsidR="00EE601A" w:rsidRDefault="00EE601A" w:rsidP="001B78F9">
      <w:pPr>
        <w:tabs>
          <w:tab w:val="center" w:pos="4680"/>
        </w:tabs>
        <w:suppressAutoHyphens/>
        <w:rPr>
          <w:rFonts w:ascii="Arial" w:hAnsi="Arial" w:cs="Arial"/>
          <w:szCs w:val="24"/>
        </w:rPr>
      </w:pPr>
    </w:p>
    <w:p w14:paraId="4D2B5757" w14:textId="77777777" w:rsidR="00710127" w:rsidRDefault="00710127" w:rsidP="003439CD">
      <w:pPr>
        <w:suppressAutoHyphens/>
        <w:rPr>
          <w:rFonts w:ascii="Arial" w:hAnsi="Arial" w:cs="Arial"/>
          <w:szCs w:val="24"/>
        </w:rPr>
      </w:pPr>
    </w:p>
    <w:p w14:paraId="12C28D35" w14:textId="77777777" w:rsidR="00710127" w:rsidRPr="00BE0936" w:rsidRDefault="00710127" w:rsidP="003439CD">
      <w:pPr>
        <w:suppressAutoHyphens/>
        <w:rPr>
          <w:rFonts w:ascii="Arial" w:hAnsi="Arial" w:cs="Arial"/>
          <w:szCs w:val="24"/>
        </w:rPr>
      </w:pPr>
    </w:p>
    <w:p w14:paraId="4CAFF39C" w14:textId="77777777" w:rsidR="005C66F7" w:rsidRDefault="005C66F7" w:rsidP="001B78F9">
      <w:pPr>
        <w:tabs>
          <w:tab w:val="center" w:pos="4680"/>
        </w:tabs>
        <w:suppressAutoHyphens/>
        <w:rPr>
          <w:rFonts w:ascii="Arial" w:hAnsi="Arial" w:cs="Arial"/>
          <w:szCs w:val="24"/>
        </w:rPr>
      </w:pPr>
    </w:p>
    <w:p w14:paraId="15217AD8" w14:textId="77777777" w:rsidR="00400C49" w:rsidRDefault="00400C49" w:rsidP="001B78F9">
      <w:pPr>
        <w:tabs>
          <w:tab w:val="center" w:pos="4680"/>
        </w:tabs>
        <w:suppressAutoHyphens/>
        <w:rPr>
          <w:rFonts w:ascii="Arial" w:hAnsi="Arial" w:cs="Arial"/>
          <w:szCs w:val="24"/>
        </w:rPr>
      </w:pPr>
    </w:p>
    <w:p w14:paraId="40727BC6" w14:textId="77777777" w:rsidR="00400C49" w:rsidRDefault="00400C49" w:rsidP="001B78F9">
      <w:pPr>
        <w:tabs>
          <w:tab w:val="center" w:pos="4680"/>
        </w:tabs>
        <w:suppressAutoHyphens/>
        <w:rPr>
          <w:rFonts w:ascii="Arial" w:hAnsi="Arial" w:cs="Arial"/>
          <w:szCs w:val="24"/>
        </w:rPr>
      </w:pPr>
    </w:p>
    <w:p w14:paraId="03032377" w14:textId="77777777" w:rsidR="00400C49" w:rsidRDefault="00400C49" w:rsidP="001B78F9">
      <w:pPr>
        <w:tabs>
          <w:tab w:val="center" w:pos="4680"/>
        </w:tabs>
        <w:suppressAutoHyphens/>
        <w:rPr>
          <w:rFonts w:ascii="Arial" w:hAnsi="Arial" w:cs="Arial"/>
          <w:szCs w:val="24"/>
        </w:rPr>
      </w:pPr>
    </w:p>
    <w:p w14:paraId="2A74391D" w14:textId="4D63C8C9" w:rsidR="00400C49" w:rsidRDefault="00400C49" w:rsidP="001B78F9">
      <w:pPr>
        <w:tabs>
          <w:tab w:val="center" w:pos="4680"/>
        </w:tabs>
        <w:suppressAutoHyphens/>
        <w:rPr>
          <w:rFonts w:ascii="Arial" w:hAnsi="Arial" w:cs="Arial"/>
          <w:szCs w:val="24"/>
        </w:rPr>
      </w:pPr>
    </w:p>
    <w:p w14:paraId="081AA343" w14:textId="00F5E576" w:rsidR="004C06BB" w:rsidRDefault="004C06BB" w:rsidP="001B78F9">
      <w:pPr>
        <w:tabs>
          <w:tab w:val="center" w:pos="4680"/>
        </w:tabs>
        <w:suppressAutoHyphens/>
        <w:rPr>
          <w:rFonts w:ascii="Arial" w:hAnsi="Arial" w:cs="Arial"/>
          <w:szCs w:val="24"/>
        </w:rPr>
      </w:pPr>
    </w:p>
    <w:p w14:paraId="7470821B" w14:textId="1B3C4664" w:rsidR="004C06BB" w:rsidRDefault="004C06BB" w:rsidP="001B78F9">
      <w:pPr>
        <w:tabs>
          <w:tab w:val="center" w:pos="4680"/>
        </w:tabs>
        <w:suppressAutoHyphens/>
        <w:rPr>
          <w:rFonts w:ascii="Arial" w:hAnsi="Arial" w:cs="Arial"/>
          <w:szCs w:val="24"/>
        </w:rPr>
      </w:pPr>
    </w:p>
    <w:p w14:paraId="72651DA7" w14:textId="77777777" w:rsidR="004C06BB" w:rsidRDefault="004C06BB" w:rsidP="001B78F9">
      <w:pPr>
        <w:tabs>
          <w:tab w:val="center" w:pos="4680"/>
        </w:tabs>
        <w:suppressAutoHyphens/>
        <w:rPr>
          <w:rFonts w:ascii="Arial" w:hAnsi="Arial" w:cs="Arial"/>
          <w:szCs w:val="24"/>
        </w:rPr>
      </w:pPr>
    </w:p>
    <w:p w14:paraId="47BFDFCF" w14:textId="33A4AF0C" w:rsidR="0006510D" w:rsidRDefault="0006510D" w:rsidP="001B78F9">
      <w:pPr>
        <w:tabs>
          <w:tab w:val="center" w:pos="4680"/>
        </w:tabs>
        <w:suppressAutoHyphens/>
        <w:rPr>
          <w:rFonts w:ascii="Arial" w:hAnsi="Arial" w:cs="Arial"/>
          <w:szCs w:val="24"/>
        </w:rPr>
      </w:pPr>
    </w:p>
    <w:p w14:paraId="4FDC366D" w14:textId="77777777" w:rsidR="000E6532" w:rsidRDefault="000E6532" w:rsidP="001B78F9">
      <w:pPr>
        <w:tabs>
          <w:tab w:val="center" w:pos="4680"/>
        </w:tabs>
        <w:suppressAutoHyphens/>
        <w:rPr>
          <w:rFonts w:ascii="Arial" w:hAnsi="Arial" w:cs="Arial"/>
          <w:szCs w:val="24"/>
        </w:rPr>
      </w:pPr>
    </w:p>
    <w:p w14:paraId="26F9E39D" w14:textId="77777777" w:rsidR="0006510D" w:rsidRDefault="0006510D" w:rsidP="001B78F9">
      <w:pPr>
        <w:tabs>
          <w:tab w:val="center" w:pos="4680"/>
        </w:tabs>
        <w:suppressAutoHyphens/>
        <w:rPr>
          <w:rFonts w:ascii="Arial" w:hAnsi="Arial" w:cs="Arial"/>
          <w:szCs w:val="24"/>
        </w:rPr>
      </w:pPr>
    </w:p>
    <w:p w14:paraId="5B9DC896" w14:textId="77777777" w:rsidR="00400C49" w:rsidRDefault="00400C49" w:rsidP="001B78F9">
      <w:pPr>
        <w:tabs>
          <w:tab w:val="center" w:pos="4680"/>
        </w:tabs>
        <w:suppressAutoHyphens/>
        <w:rPr>
          <w:rFonts w:ascii="Arial" w:hAnsi="Arial" w:cs="Arial"/>
          <w:szCs w:val="24"/>
        </w:rPr>
      </w:pPr>
    </w:p>
    <w:p w14:paraId="4F25186E" w14:textId="77777777" w:rsidR="00400C49" w:rsidRDefault="00400C49" w:rsidP="001B78F9">
      <w:pPr>
        <w:tabs>
          <w:tab w:val="center" w:pos="4680"/>
        </w:tabs>
        <w:suppressAutoHyphens/>
        <w:rPr>
          <w:rFonts w:ascii="Arial" w:hAnsi="Arial" w:cs="Arial"/>
          <w:szCs w:val="24"/>
        </w:rPr>
      </w:pPr>
    </w:p>
    <w:p w14:paraId="5D270A0D" w14:textId="099C1215" w:rsidR="00A461B4" w:rsidRDefault="00A461B4" w:rsidP="001B78F9">
      <w:pPr>
        <w:tabs>
          <w:tab w:val="center" w:pos="4680"/>
        </w:tabs>
        <w:suppressAutoHyphens/>
        <w:rPr>
          <w:rFonts w:ascii="Arial" w:hAnsi="Arial" w:cs="Arial"/>
          <w:szCs w:val="24"/>
        </w:rPr>
      </w:pPr>
    </w:p>
    <w:p w14:paraId="436E6E45" w14:textId="7E892135" w:rsidR="00445AE3" w:rsidRDefault="00445AE3" w:rsidP="001B78F9">
      <w:pPr>
        <w:tabs>
          <w:tab w:val="center" w:pos="4680"/>
        </w:tabs>
        <w:suppressAutoHyphens/>
        <w:rPr>
          <w:rFonts w:ascii="Arial" w:hAnsi="Arial" w:cs="Arial"/>
          <w:szCs w:val="24"/>
        </w:rPr>
      </w:pPr>
    </w:p>
    <w:p w14:paraId="6DCBEDC8" w14:textId="436DF17D" w:rsidR="00445AE3" w:rsidRDefault="00445AE3" w:rsidP="001B78F9">
      <w:pPr>
        <w:tabs>
          <w:tab w:val="center" w:pos="4680"/>
        </w:tabs>
        <w:suppressAutoHyphens/>
        <w:rPr>
          <w:rFonts w:ascii="Arial" w:hAnsi="Arial" w:cs="Arial"/>
          <w:szCs w:val="24"/>
        </w:rPr>
      </w:pPr>
    </w:p>
    <w:p w14:paraId="6BD62E89" w14:textId="12C42DB7" w:rsidR="00445AE3" w:rsidRDefault="00445AE3" w:rsidP="001B78F9">
      <w:pPr>
        <w:tabs>
          <w:tab w:val="center" w:pos="4680"/>
        </w:tabs>
        <w:suppressAutoHyphens/>
        <w:rPr>
          <w:rFonts w:ascii="Arial" w:hAnsi="Arial" w:cs="Arial"/>
          <w:szCs w:val="24"/>
        </w:rPr>
      </w:pPr>
    </w:p>
    <w:p w14:paraId="0B1A8759" w14:textId="77777777" w:rsidR="00445AE3" w:rsidRDefault="00445AE3" w:rsidP="001B78F9">
      <w:pPr>
        <w:tabs>
          <w:tab w:val="center" w:pos="4680"/>
        </w:tabs>
        <w:suppressAutoHyphens/>
        <w:rPr>
          <w:rFonts w:ascii="Arial" w:hAnsi="Arial" w:cs="Arial"/>
          <w:szCs w:val="24"/>
        </w:rPr>
      </w:pPr>
    </w:p>
    <w:tbl>
      <w:tblPr>
        <w:tblW w:w="9315" w:type="dxa"/>
        <w:jc w:val="center"/>
        <w:tblLook w:val="0000" w:firstRow="0" w:lastRow="0" w:firstColumn="0" w:lastColumn="0" w:noHBand="0" w:noVBand="0"/>
      </w:tblPr>
      <w:tblGrid>
        <w:gridCol w:w="9315"/>
      </w:tblGrid>
      <w:tr w:rsidR="00710127" w:rsidRPr="00BE0936" w14:paraId="0116EEF0" w14:textId="77777777" w:rsidTr="00364D14">
        <w:trPr>
          <w:trHeight w:val="990"/>
          <w:jc w:val="center"/>
        </w:trPr>
        <w:tc>
          <w:tcPr>
            <w:tcW w:w="9315" w:type="dxa"/>
            <w:tcBorders>
              <w:top w:val="nil"/>
              <w:left w:val="nil"/>
              <w:bottom w:val="nil"/>
              <w:right w:val="nil"/>
            </w:tcBorders>
            <w:shd w:val="clear" w:color="auto" w:fill="auto"/>
            <w:noWrap/>
            <w:vAlign w:val="bottom"/>
          </w:tcPr>
          <w:p w14:paraId="16B6D36B" w14:textId="22A99375" w:rsidR="00806CD3" w:rsidRDefault="00710127" w:rsidP="00364D14">
            <w:pPr>
              <w:overflowPunct/>
              <w:autoSpaceDE/>
              <w:autoSpaceDN/>
              <w:adjustRightInd/>
              <w:jc w:val="center"/>
              <w:textAlignment w:val="auto"/>
              <w:rPr>
                <w:rFonts w:ascii="Arial" w:hAnsi="Arial" w:cs="Arial"/>
                <w:b/>
                <w:sz w:val="26"/>
                <w:szCs w:val="26"/>
              </w:rPr>
            </w:pPr>
            <w:r>
              <w:rPr>
                <w:rFonts w:ascii="Arial" w:hAnsi="Arial" w:cs="Arial"/>
                <w:b/>
                <w:sz w:val="26"/>
                <w:szCs w:val="26"/>
              </w:rPr>
              <w:lastRenderedPageBreak/>
              <w:t xml:space="preserve">Condensed </w:t>
            </w:r>
            <w:r w:rsidRPr="00470786">
              <w:rPr>
                <w:rFonts w:ascii="Arial" w:hAnsi="Arial" w:cs="Arial"/>
                <w:b/>
                <w:sz w:val="26"/>
                <w:szCs w:val="26"/>
              </w:rPr>
              <w:t>Statement</w:t>
            </w:r>
            <w:r w:rsidR="00806CD3">
              <w:rPr>
                <w:rStyle w:val="FootnoteReference"/>
                <w:rFonts w:ascii="Arial" w:hAnsi="Arial" w:cs="Arial"/>
                <w:b/>
                <w:sz w:val="26"/>
                <w:szCs w:val="26"/>
              </w:rPr>
              <w:footnoteReference w:id="3"/>
            </w:r>
            <w:r w:rsidRPr="00470786">
              <w:rPr>
                <w:rFonts w:ascii="Arial" w:hAnsi="Arial" w:cs="Arial"/>
                <w:b/>
                <w:sz w:val="26"/>
                <w:szCs w:val="26"/>
              </w:rPr>
              <w:t xml:space="preserve"> </w:t>
            </w:r>
            <w:r w:rsidR="000E6532">
              <w:rPr>
                <w:rFonts w:ascii="Arial" w:hAnsi="Arial" w:cs="Arial"/>
                <w:b/>
                <w:sz w:val="26"/>
                <w:szCs w:val="26"/>
              </w:rPr>
              <w:t>o</w:t>
            </w:r>
            <w:r w:rsidRPr="00470786">
              <w:rPr>
                <w:rFonts w:ascii="Arial" w:hAnsi="Arial" w:cs="Arial"/>
                <w:b/>
                <w:sz w:val="26"/>
                <w:szCs w:val="26"/>
              </w:rPr>
              <w:t>f</w:t>
            </w:r>
          </w:p>
          <w:p w14:paraId="13033679" w14:textId="5440DD59" w:rsidR="00710127" w:rsidRDefault="00710127" w:rsidP="00364D14">
            <w:pPr>
              <w:overflowPunct/>
              <w:autoSpaceDE/>
              <w:autoSpaceDN/>
              <w:adjustRightInd/>
              <w:jc w:val="center"/>
              <w:textAlignment w:val="auto"/>
              <w:rPr>
                <w:rFonts w:ascii="Arial" w:hAnsi="Arial" w:cs="Arial"/>
                <w:b/>
                <w:sz w:val="26"/>
                <w:szCs w:val="26"/>
              </w:rPr>
            </w:pPr>
            <w:r w:rsidRPr="00470786">
              <w:rPr>
                <w:rFonts w:ascii="Arial" w:hAnsi="Arial" w:cs="Arial"/>
                <w:b/>
                <w:sz w:val="26"/>
                <w:szCs w:val="26"/>
              </w:rPr>
              <w:t xml:space="preserve"> </w:t>
            </w:r>
            <w:r w:rsidR="00965F26">
              <w:rPr>
                <w:rFonts w:ascii="Arial" w:hAnsi="Arial" w:cs="Arial"/>
                <w:b/>
                <w:sz w:val="26"/>
                <w:szCs w:val="26"/>
              </w:rPr>
              <w:t>Non-</w:t>
            </w:r>
            <w:proofErr w:type="spellStart"/>
            <w:r w:rsidR="00965F26">
              <w:rPr>
                <w:rFonts w:ascii="Arial" w:hAnsi="Arial" w:cs="Arial"/>
                <w:b/>
                <w:sz w:val="26"/>
                <w:szCs w:val="26"/>
              </w:rPr>
              <w:t>Bypassable</w:t>
            </w:r>
            <w:proofErr w:type="spellEnd"/>
            <w:r w:rsidR="00965F26">
              <w:rPr>
                <w:rFonts w:ascii="Arial" w:hAnsi="Arial" w:cs="Arial"/>
                <w:b/>
                <w:sz w:val="26"/>
                <w:szCs w:val="26"/>
              </w:rPr>
              <w:t xml:space="preserve"> </w:t>
            </w:r>
            <w:r w:rsidRPr="00440FBF">
              <w:rPr>
                <w:rFonts w:ascii="Arial" w:hAnsi="Arial" w:cs="Arial"/>
                <w:b/>
                <w:sz w:val="26"/>
                <w:szCs w:val="26"/>
              </w:rPr>
              <w:t>Transmission Service Charge</w:t>
            </w:r>
            <w:r>
              <w:rPr>
                <w:rFonts w:ascii="Arial" w:hAnsi="Arial" w:cs="Arial"/>
                <w:b/>
                <w:sz w:val="26"/>
                <w:szCs w:val="26"/>
              </w:rPr>
              <w:t xml:space="preserve"> (</w:t>
            </w:r>
            <w:r w:rsidR="00965F26">
              <w:rPr>
                <w:rFonts w:ascii="Arial" w:hAnsi="Arial" w:cs="Arial"/>
                <w:b/>
                <w:sz w:val="26"/>
                <w:szCs w:val="26"/>
              </w:rPr>
              <w:t>NBT</w:t>
            </w:r>
            <w:r>
              <w:rPr>
                <w:rFonts w:ascii="Arial" w:hAnsi="Arial" w:cs="Arial"/>
                <w:b/>
                <w:sz w:val="26"/>
                <w:szCs w:val="26"/>
              </w:rPr>
              <w:t>)</w:t>
            </w:r>
          </w:p>
          <w:p w14:paraId="7D4D809E" w14:textId="77777777" w:rsidR="00710127" w:rsidRDefault="00710127" w:rsidP="00154CF8">
            <w:pPr>
              <w:overflowPunct/>
              <w:autoSpaceDE/>
              <w:autoSpaceDN/>
              <w:adjustRightInd/>
              <w:jc w:val="center"/>
              <w:textAlignment w:val="auto"/>
              <w:rPr>
                <w:rFonts w:ascii="Arial" w:hAnsi="Arial" w:cs="Arial"/>
                <w:b/>
                <w:sz w:val="26"/>
                <w:szCs w:val="26"/>
              </w:rPr>
            </w:pPr>
            <w:r w:rsidRPr="00470786">
              <w:rPr>
                <w:rFonts w:ascii="Arial" w:hAnsi="Arial" w:cs="Arial"/>
                <w:b/>
                <w:sz w:val="26"/>
                <w:szCs w:val="26"/>
              </w:rPr>
              <w:t>Over/(Under) Collections</w:t>
            </w:r>
            <w:r>
              <w:rPr>
                <w:rFonts w:ascii="Arial" w:hAnsi="Arial" w:cs="Arial"/>
                <w:b/>
                <w:sz w:val="26"/>
                <w:szCs w:val="26"/>
              </w:rPr>
              <w:t xml:space="preserve"> </w:t>
            </w:r>
            <w:r w:rsidRPr="00470786">
              <w:rPr>
                <w:rFonts w:ascii="Arial" w:hAnsi="Arial" w:cs="Arial"/>
                <w:b/>
                <w:sz w:val="26"/>
                <w:szCs w:val="26"/>
              </w:rPr>
              <w:t>(Section 1307(e))</w:t>
            </w:r>
          </w:p>
          <w:p w14:paraId="214C243D" w14:textId="21CB0D17" w:rsidR="00710127" w:rsidRPr="00440FBF" w:rsidRDefault="000E6532" w:rsidP="00893569">
            <w:pPr>
              <w:overflowPunct/>
              <w:autoSpaceDE/>
              <w:autoSpaceDN/>
              <w:adjustRightInd/>
              <w:jc w:val="center"/>
              <w:textAlignment w:val="auto"/>
              <w:rPr>
                <w:rFonts w:ascii="Arial" w:hAnsi="Arial" w:cs="Arial"/>
                <w:b/>
                <w:sz w:val="26"/>
                <w:szCs w:val="26"/>
              </w:rPr>
            </w:pPr>
            <w:r>
              <w:rPr>
                <w:rFonts w:ascii="Arial" w:hAnsi="Arial" w:cs="Arial"/>
                <w:b/>
                <w:sz w:val="26"/>
                <w:szCs w:val="26"/>
              </w:rPr>
              <w:t>f</w:t>
            </w:r>
            <w:r w:rsidR="00710127" w:rsidRPr="00440FBF">
              <w:rPr>
                <w:rFonts w:ascii="Arial" w:hAnsi="Arial" w:cs="Arial"/>
                <w:b/>
                <w:sz w:val="26"/>
                <w:szCs w:val="26"/>
              </w:rPr>
              <w:t xml:space="preserve">or the </w:t>
            </w:r>
            <w:r w:rsidR="00702C75">
              <w:rPr>
                <w:rFonts w:ascii="Arial" w:hAnsi="Arial" w:cs="Arial"/>
                <w:b/>
                <w:sz w:val="26"/>
                <w:szCs w:val="26"/>
              </w:rPr>
              <w:t>t</w:t>
            </w:r>
            <w:r w:rsidR="00765953">
              <w:rPr>
                <w:rFonts w:ascii="Arial" w:hAnsi="Arial" w:cs="Arial"/>
                <w:b/>
                <w:sz w:val="26"/>
                <w:szCs w:val="26"/>
              </w:rPr>
              <w:t>welve</w:t>
            </w:r>
            <w:r w:rsidR="00710127" w:rsidRPr="00440FBF">
              <w:rPr>
                <w:rFonts w:ascii="Arial" w:hAnsi="Arial" w:cs="Arial"/>
                <w:b/>
                <w:sz w:val="26"/>
                <w:szCs w:val="26"/>
              </w:rPr>
              <w:t xml:space="preserve"> </w:t>
            </w:r>
            <w:r w:rsidR="00702C75">
              <w:rPr>
                <w:rFonts w:ascii="Arial" w:hAnsi="Arial" w:cs="Arial"/>
                <w:b/>
                <w:sz w:val="26"/>
                <w:szCs w:val="26"/>
              </w:rPr>
              <w:t>m</w:t>
            </w:r>
            <w:r w:rsidR="00710127" w:rsidRPr="00440FBF">
              <w:rPr>
                <w:rFonts w:ascii="Arial" w:hAnsi="Arial" w:cs="Arial"/>
                <w:b/>
                <w:sz w:val="26"/>
                <w:szCs w:val="26"/>
              </w:rPr>
              <w:t xml:space="preserve">onths </w:t>
            </w:r>
            <w:r>
              <w:rPr>
                <w:rFonts w:ascii="Arial" w:hAnsi="Arial" w:cs="Arial"/>
                <w:b/>
                <w:sz w:val="26"/>
                <w:szCs w:val="26"/>
              </w:rPr>
              <w:t>e</w:t>
            </w:r>
            <w:r w:rsidR="00710127" w:rsidRPr="00440FBF">
              <w:rPr>
                <w:rFonts w:ascii="Arial" w:hAnsi="Arial" w:cs="Arial"/>
                <w:b/>
                <w:sz w:val="26"/>
                <w:szCs w:val="26"/>
              </w:rPr>
              <w:t xml:space="preserve">nded </w:t>
            </w:r>
            <w:r w:rsidR="00765953">
              <w:rPr>
                <w:rFonts w:ascii="Arial" w:hAnsi="Arial" w:cs="Arial"/>
                <w:b/>
                <w:sz w:val="26"/>
                <w:szCs w:val="26"/>
              </w:rPr>
              <w:t>November</w:t>
            </w:r>
            <w:r w:rsidR="00893569">
              <w:rPr>
                <w:rFonts w:ascii="Arial" w:hAnsi="Arial" w:cs="Arial"/>
                <w:b/>
                <w:sz w:val="26"/>
                <w:szCs w:val="26"/>
              </w:rPr>
              <w:t xml:space="preserve"> </w:t>
            </w:r>
            <w:r w:rsidR="00710127" w:rsidRPr="00440FBF">
              <w:rPr>
                <w:rFonts w:ascii="Arial" w:hAnsi="Arial" w:cs="Arial"/>
                <w:b/>
                <w:sz w:val="26"/>
                <w:szCs w:val="26"/>
              </w:rPr>
              <w:t>3</w:t>
            </w:r>
            <w:r w:rsidR="00893569">
              <w:rPr>
                <w:rFonts w:ascii="Arial" w:hAnsi="Arial" w:cs="Arial"/>
                <w:b/>
                <w:sz w:val="26"/>
                <w:szCs w:val="26"/>
              </w:rPr>
              <w:t>0</w:t>
            </w:r>
            <w:r w:rsidR="00710127" w:rsidRPr="00440FBF">
              <w:rPr>
                <w:rFonts w:ascii="Arial" w:hAnsi="Arial" w:cs="Arial"/>
                <w:b/>
                <w:sz w:val="26"/>
                <w:szCs w:val="26"/>
              </w:rPr>
              <w:t>, 201</w:t>
            </w:r>
            <w:r w:rsidR="00996C30">
              <w:rPr>
                <w:rFonts w:ascii="Arial" w:hAnsi="Arial" w:cs="Arial"/>
                <w:b/>
                <w:sz w:val="26"/>
                <w:szCs w:val="26"/>
              </w:rPr>
              <w:t>6</w:t>
            </w:r>
            <w:r w:rsidR="00806CD3">
              <w:rPr>
                <w:rStyle w:val="FootnoteReference"/>
                <w:rFonts w:ascii="Arial" w:hAnsi="Arial" w:cs="Arial"/>
                <w:b/>
                <w:sz w:val="26"/>
                <w:szCs w:val="26"/>
              </w:rPr>
              <w:footnoteReference w:id="4"/>
            </w:r>
          </w:p>
        </w:tc>
      </w:tr>
      <w:tr w:rsidR="00710127" w:rsidRPr="00BE0936" w14:paraId="0E821A0C" w14:textId="77777777" w:rsidTr="00154CF8">
        <w:trPr>
          <w:trHeight w:val="277"/>
          <w:jc w:val="center"/>
        </w:trPr>
        <w:tc>
          <w:tcPr>
            <w:tcW w:w="9315" w:type="dxa"/>
            <w:tcBorders>
              <w:top w:val="nil"/>
              <w:left w:val="nil"/>
              <w:bottom w:val="nil"/>
              <w:right w:val="nil"/>
            </w:tcBorders>
            <w:shd w:val="clear" w:color="auto" w:fill="auto"/>
            <w:noWrap/>
            <w:vAlign w:val="bottom"/>
          </w:tcPr>
          <w:p w14:paraId="67D91832" w14:textId="77777777" w:rsidR="00710127" w:rsidRPr="00440FBF" w:rsidRDefault="00710127" w:rsidP="00154CF8">
            <w:pPr>
              <w:overflowPunct/>
              <w:autoSpaceDE/>
              <w:autoSpaceDN/>
              <w:adjustRightInd/>
              <w:jc w:val="center"/>
              <w:textAlignment w:val="auto"/>
              <w:rPr>
                <w:rFonts w:ascii="Arial" w:hAnsi="Arial" w:cs="Arial"/>
                <w:b/>
                <w:sz w:val="26"/>
                <w:szCs w:val="26"/>
              </w:rPr>
            </w:pPr>
          </w:p>
        </w:tc>
      </w:tr>
    </w:tbl>
    <w:p w14:paraId="70161438" w14:textId="77777777" w:rsidR="00710127" w:rsidRDefault="00710127" w:rsidP="00710127">
      <w:pPr>
        <w:rPr>
          <w:rFonts w:ascii="Arial" w:hAnsi="Arial" w:cs="Arial"/>
          <w:szCs w:val="24"/>
        </w:rPr>
      </w:pPr>
    </w:p>
    <w:tbl>
      <w:tblPr>
        <w:tblW w:w="9513" w:type="dxa"/>
        <w:jc w:val="center"/>
        <w:tblLook w:val="0000" w:firstRow="0" w:lastRow="0" w:firstColumn="0" w:lastColumn="0" w:noHBand="0" w:noVBand="0"/>
      </w:tblPr>
      <w:tblGrid>
        <w:gridCol w:w="2718"/>
        <w:gridCol w:w="236"/>
        <w:gridCol w:w="2077"/>
        <w:gridCol w:w="270"/>
        <w:gridCol w:w="1809"/>
        <w:gridCol w:w="261"/>
        <w:gridCol w:w="2142"/>
      </w:tblGrid>
      <w:tr w:rsidR="00710127" w:rsidRPr="00BE0936" w14:paraId="6D3F4121" w14:textId="77777777" w:rsidTr="003439CD">
        <w:trPr>
          <w:trHeight w:val="288"/>
          <w:jc w:val="center"/>
        </w:trPr>
        <w:tc>
          <w:tcPr>
            <w:tcW w:w="2718" w:type="dxa"/>
            <w:tcBorders>
              <w:top w:val="nil"/>
              <w:left w:val="nil"/>
              <w:right w:val="nil"/>
            </w:tcBorders>
            <w:shd w:val="clear" w:color="auto" w:fill="auto"/>
            <w:noWrap/>
            <w:vAlign w:val="bottom"/>
          </w:tcPr>
          <w:p w14:paraId="1A129811" w14:textId="77777777" w:rsidR="00710127" w:rsidRPr="00BE0936" w:rsidRDefault="00710127" w:rsidP="00154CF8">
            <w:pPr>
              <w:jc w:val="center"/>
              <w:rPr>
                <w:rFonts w:ascii="Arial" w:hAnsi="Arial" w:cs="Arial"/>
                <w:b/>
                <w:bCs/>
                <w:szCs w:val="24"/>
              </w:rPr>
            </w:pPr>
          </w:p>
        </w:tc>
        <w:tc>
          <w:tcPr>
            <w:tcW w:w="236" w:type="dxa"/>
            <w:tcBorders>
              <w:top w:val="nil"/>
              <w:left w:val="nil"/>
              <w:right w:val="nil"/>
            </w:tcBorders>
          </w:tcPr>
          <w:p w14:paraId="5660710F" w14:textId="77777777" w:rsidR="00710127" w:rsidRPr="00BE0936" w:rsidRDefault="00710127" w:rsidP="00154CF8">
            <w:pPr>
              <w:jc w:val="center"/>
              <w:rPr>
                <w:rFonts w:ascii="Arial" w:hAnsi="Arial" w:cs="Arial"/>
                <w:bCs/>
                <w:szCs w:val="24"/>
              </w:rPr>
            </w:pPr>
          </w:p>
        </w:tc>
        <w:tc>
          <w:tcPr>
            <w:tcW w:w="2077" w:type="dxa"/>
            <w:tcBorders>
              <w:top w:val="nil"/>
              <w:left w:val="nil"/>
              <w:right w:val="nil"/>
            </w:tcBorders>
            <w:shd w:val="clear" w:color="auto" w:fill="auto"/>
            <w:vAlign w:val="bottom"/>
          </w:tcPr>
          <w:p w14:paraId="4CDE1EB8" w14:textId="77777777" w:rsidR="00710127" w:rsidRPr="00BE0936" w:rsidRDefault="00710127" w:rsidP="00154CF8">
            <w:pPr>
              <w:jc w:val="center"/>
              <w:rPr>
                <w:rFonts w:ascii="Arial" w:hAnsi="Arial" w:cs="Arial"/>
                <w:bCs/>
                <w:szCs w:val="24"/>
              </w:rPr>
            </w:pPr>
          </w:p>
        </w:tc>
        <w:tc>
          <w:tcPr>
            <w:tcW w:w="270" w:type="dxa"/>
            <w:tcBorders>
              <w:top w:val="nil"/>
              <w:left w:val="nil"/>
              <w:right w:val="nil"/>
            </w:tcBorders>
          </w:tcPr>
          <w:p w14:paraId="004D639F" w14:textId="77777777" w:rsidR="00710127" w:rsidRPr="00BE0936" w:rsidRDefault="00710127" w:rsidP="00154CF8">
            <w:pPr>
              <w:jc w:val="center"/>
              <w:rPr>
                <w:rFonts w:ascii="Arial" w:hAnsi="Arial" w:cs="Arial"/>
                <w:bCs/>
                <w:szCs w:val="24"/>
              </w:rPr>
            </w:pPr>
          </w:p>
        </w:tc>
        <w:tc>
          <w:tcPr>
            <w:tcW w:w="1809" w:type="dxa"/>
            <w:tcBorders>
              <w:top w:val="nil"/>
              <w:left w:val="nil"/>
              <w:right w:val="nil"/>
            </w:tcBorders>
            <w:shd w:val="clear" w:color="auto" w:fill="auto"/>
            <w:vAlign w:val="bottom"/>
          </w:tcPr>
          <w:p w14:paraId="33F37805" w14:textId="77777777" w:rsidR="00710127" w:rsidRPr="00BE0936" w:rsidRDefault="00710127" w:rsidP="00154CF8">
            <w:pPr>
              <w:jc w:val="center"/>
              <w:rPr>
                <w:rFonts w:ascii="Arial" w:hAnsi="Arial" w:cs="Arial"/>
                <w:bCs/>
                <w:szCs w:val="24"/>
              </w:rPr>
            </w:pPr>
          </w:p>
        </w:tc>
        <w:tc>
          <w:tcPr>
            <w:tcW w:w="261" w:type="dxa"/>
            <w:tcBorders>
              <w:top w:val="nil"/>
              <w:left w:val="nil"/>
              <w:right w:val="nil"/>
            </w:tcBorders>
          </w:tcPr>
          <w:p w14:paraId="1E502692" w14:textId="77777777" w:rsidR="00710127" w:rsidRPr="00BE0936" w:rsidRDefault="00710127" w:rsidP="00154CF8">
            <w:pPr>
              <w:jc w:val="center"/>
              <w:rPr>
                <w:rFonts w:ascii="Arial" w:hAnsi="Arial" w:cs="Arial"/>
                <w:bCs/>
                <w:szCs w:val="24"/>
              </w:rPr>
            </w:pPr>
          </w:p>
        </w:tc>
        <w:tc>
          <w:tcPr>
            <w:tcW w:w="2142" w:type="dxa"/>
            <w:tcBorders>
              <w:top w:val="nil"/>
              <w:left w:val="nil"/>
              <w:right w:val="nil"/>
            </w:tcBorders>
            <w:shd w:val="clear" w:color="auto" w:fill="auto"/>
            <w:vAlign w:val="bottom"/>
          </w:tcPr>
          <w:p w14:paraId="03E46D3C" w14:textId="77777777" w:rsidR="00710127" w:rsidRPr="00BE0936" w:rsidRDefault="00710127" w:rsidP="00154CF8">
            <w:pPr>
              <w:jc w:val="center"/>
              <w:rPr>
                <w:rFonts w:ascii="Arial" w:hAnsi="Arial" w:cs="Arial"/>
                <w:bCs/>
                <w:szCs w:val="24"/>
              </w:rPr>
            </w:pPr>
          </w:p>
        </w:tc>
      </w:tr>
      <w:tr w:rsidR="00A461B4" w:rsidRPr="000C6B5B" w14:paraId="10C07C74" w14:textId="77777777" w:rsidTr="00AD12B8">
        <w:trPr>
          <w:trHeight w:val="288"/>
          <w:jc w:val="center"/>
        </w:trPr>
        <w:tc>
          <w:tcPr>
            <w:tcW w:w="2718" w:type="dxa"/>
            <w:tcBorders>
              <w:top w:val="nil"/>
              <w:left w:val="nil"/>
              <w:bottom w:val="single" w:sz="12" w:space="0" w:color="auto"/>
              <w:right w:val="nil"/>
            </w:tcBorders>
            <w:shd w:val="clear" w:color="auto" w:fill="auto"/>
            <w:noWrap/>
            <w:vAlign w:val="bottom"/>
          </w:tcPr>
          <w:p w14:paraId="2EB280E1" w14:textId="77777777" w:rsidR="00A461B4" w:rsidRPr="00AD12B8" w:rsidRDefault="00A461B4" w:rsidP="00AD12B8">
            <w:pPr>
              <w:rPr>
                <w:rFonts w:ascii="Arial" w:hAnsi="Arial" w:cs="Arial"/>
                <w:b/>
                <w:bCs/>
                <w:szCs w:val="24"/>
              </w:rPr>
            </w:pPr>
            <w:r w:rsidRPr="00AD12B8">
              <w:rPr>
                <w:rFonts w:ascii="Arial" w:hAnsi="Arial" w:cs="Arial"/>
                <w:b/>
                <w:bCs/>
                <w:szCs w:val="24"/>
              </w:rPr>
              <w:t>Rate Class</w:t>
            </w:r>
          </w:p>
        </w:tc>
        <w:tc>
          <w:tcPr>
            <w:tcW w:w="236" w:type="dxa"/>
            <w:tcBorders>
              <w:top w:val="nil"/>
              <w:left w:val="nil"/>
              <w:right w:val="nil"/>
            </w:tcBorders>
          </w:tcPr>
          <w:p w14:paraId="1107152D" w14:textId="77777777" w:rsidR="00A461B4" w:rsidRPr="00AD12B8" w:rsidRDefault="00A461B4" w:rsidP="00941B23">
            <w:pPr>
              <w:jc w:val="center"/>
              <w:rPr>
                <w:rFonts w:ascii="Arial" w:hAnsi="Arial" w:cs="Arial"/>
                <w:bCs/>
                <w:szCs w:val="24"/>
              </w:rPr>
            </w:pPr>
          </w:p>
        </w:tc>
        <w:tc>
          <w:tcPr>
            <w:tcW w:w="2077" w:type="dxa"/>
            <w:tcBorders>
              <w:top w:val="nil"/>
              <w:left w:val="nil"/>
              <w:bottom w:val="single" w:sz="12" w:space="0" w:color="auto"/>
              <w:right w:val="nil"/>
            </w:tcBorders>
            <w:shd w:val="clear" w:color="auto" w:fill="auto"/>
            <w:vAlign w:val="bottom"/>
          </w:tcPr>
          <w:p w14:paraId="57C4263B" w14:textId="40D2130A" w:rsidR="00A461B4" w:rsidRPr="00AD12B8" w:rsidRDefault="00965F26" w:rsidP="00941B23">
            <w:pPr>
              <w:jc w:val="center"/>
              <w:rPr>
                <w:rFonts w:ascii="Arial" w:hAnsi="Arial" w:cs="Arial"/>
                <w:b/>
                <w:bCs/>
                <w:szCs w:val="24"/>
              </w:rPr>
            </w:pPr>
            <w:r>
              <w:rPr>
                <w:rFonts w:ascii="Arial" w:hAnsi="Arial" w:cs="Arial"/>
                <w:b/>
                <w:bCs/>
                <w:szCs w:val="24"/>
              </w:rPr>
              <w:t>NBT</w:t>
            </w:r>
            <w:r w:rsidR="00A461B4" w:rsidRPr="00AD12B8">
              <w:rPr>
                <w:rFonts w:ascii="Arial" w:hAnsi="Arial" w:cs="Arial"/>
                <w:b/>
                <w:bCs/>
                <w:szCs w:val="24"/>
              </w:rPr>
              <w:t xml:space="preserve"> </w:t>
            </w:r>
          </w:p>
          <w:p w14:paraId="1AFB78D5" w14:textId="61F3F6B1" w:rsidR="00A461B4" w:rsidRPr="00AD12B8" w:rsidRDefault="00A461B4" w:rsidP="00941B23">
            <w:pPr>
              <w:jc w:val="center"/>
              <w:rPr>
                <w:rFonts w:ascii="Arial" w:hAnsi="Arial" w:cs="Arial"/>
                <w:b/>
                <w:bCs/>
                <w:szCs w:val="24"/>
              </w:rPr>
            </w:pPr>
            <w:r w:rsidRPr="00AD12B8">
              <w:rPr>
                <w:rFonts w:ascii="Arial" w:hAnsi="Arial" w:cs="Arial"/>
                <w:b/>
                <w:bCs/>
                <w:szCs w:val="24"/>
              </w:rPr>
              <w:t>Revenue</w:t>
            </w:r>
          </w:p>
        </w:tc>
        <w:tc>
          <w:tcPr>
            <w:tcW w:w="270" w:type="dxa"/>
            <w:tcBorders>
              <w:top w:val="nil"/>
              <w:left w:val="nil"/>
              <w:right w:val="nil"/>
            </w:tcBorders>
          </w:tcPr>
          <w:p w14:paraId="3C573D39" w14:textId="77777777" w:rsidR="00A461B4" w:rsidRPr="00AD12B8" w:rsidRDefault="00A461B4" w:rsidP="00941B23">
            <w:pPr>
              <w:jc w:val="center"/>
              <w:rPr>
                <w:rFonts w:ascii="Arial" w:hAnsi="Arial" w:cs="Arial"/>
                <w:bCs/>
                <w:szCs w:val="24"/>
              </w:rPr>
            </w:pPr>
          </w:p>
        </w:tc>
        <w:tc>
          <w:tcPr>
            <w:tcW w:w="1809" w:type="dxa"/>
            <w:tcBorders>
              <w:top w:val="nil"/>
              <w:left w:val="nil"/>
              <w:bottom w:val="single" w:sz="12" w:space="0" w:color="auto"/>
              <w:right w:val="nil"/>
            </w:tcBorders>
            <w:shd w:val="clear" w:color="auto" w:fill="auto"/>
            <w:vAlign w:val="bottom"/>
          </w:tcPr>
          <w:p w14:paraId="79D4963C" w14:textId="01248CA7" w:rsidR="00A461B4" w:rsidRPr="00AD12B8" w:rsidRDefault="00965F26" w:rsidP="00941B23">
            <w:pPr>
              <w:jc w:val="center"/>
              <w:rPr>
                <w:rFonts w:ascii="Arial" w:hAnsi="Arial" w:cs="Arial"/>
                <w:b/>
                <w:bCs/>
                <w:szCs w:val="24"/>
              </w:rPr>
            </w:pPr>
            <w:r>
              <w:rPr>
                <w:rFonts w:ascii="Arial" w:hAnsi="Arial" w:cs="Arial"/>
                <w:b/>
                <w:bCs/>
                <w:szCs w:val="24"/>
              </w:rPr>
              <w:t>NBT</w:t>
            </w:r>
            <w:r w:rsidR="00A461B4" w:rsidRPr="00AD12B8">
              <w:rPr>
                <w:rFonts w:ascii="Arial" w:hAnsi="Arial" w:cs="Arial"/>
                <w:b/>
                <w:bCs/>
                <w:szCs w:val="24"/>
              </w:rPr>
              <w:t xml:space="preserve"> </w:t>
            </w:r>
          </w:p>
          <w:p w14:paraId="6B947687" w14:textId="77777777" w:rsidR="00A461B4" w:rsidRPr="00AD12B8" w:rsidRDefault="00A461B4" w:rsidP="00941B23">
            <w:pPr>
              <w:jc w:val="center"/>
              <w:rPr>
                <w:rFonts w:ascii="Arial" w:hAnsi="Arial" w:cs="Arial"/>
                <w:b/>
                <w:bCs/>
                <w:szCs w:val="24"/>
              </w:rPr>
            </w:pPr>
            <w:r w:rsidRPr="00AD12B8">
              <w:rPr>
                <w:rFonts w:ascii="Arial" w:hAnsi="Arial" w:cs="Arial"/>
                <w:b/>
                <w:bCs/>
                <w:szCs w:val="24"/>
              </w:rPr>
              <w:t>Costs</w:t>
            </w:r>
          </w:p>
        </w:tc>
        <w:tc>
          <w:tcPr>
            <w:tcW w:w="261" w:type="dxa"/>
            <w:tcBorders>
              <w:top w:val="nil"/>
              <w:left w:val="nil"/>
              <w:right w:val="nil"/>
            </w:tcBorders>
          </w:tcPr>
          <w:p w14:paraId="39940743" w14:textId="77777777" w:rsidR="00A461B4" w:rsidRPr="00AD12B8" w:rsidRDefault="00A461B4" w:rsidP="00941B23">
            <w:pPr>
              <w:jc w:val="center"/>
              <w:rPr>
                <w:rFonts w:ascii="Arial" w:hAnsi="Arial" w:cs="Arial"/>
                <w:bCs/>
                <w:szCs w:val="24"/>
              </w:rPr>
            </w:pPr>
          </w:p>
        </w:tc>
        <w:tc>
          <w:tcPr>
            <w:tcW w:w="2142" w:type="dxa"/>
            <w:tcBorders>
              <w:top w:val="nil"/>
              <w:left w:val="nil"/>
              <w:bottom w:val="single" w:sz="12" w:space="0" w:color="auto"/>
              <w:right w:val="nil"/>
            </w:tcBorders>
            <w:shd w:val="clear" w:color="auto" w:fill="auto"/>
            <w:vAlign w:val="bottom"/>
          </w:tcPr>
          <w:p w14:paraId="7EE776AB" w14:textId="77777777" w:rsidR="00A461B4" w:rsidRPr="00AD12B8" w:rsidRDefault="00A461B4" w:rsidP="00941B23">
            <w:pPr>
              <w:jc w:val="center"/>
              <w:rPr>
                <w:rFonts w:ascii="Arial" w:hAnsi="Arial" w:cs="Arial"/>
                <w:b/>
                <w:bCs/>
                <w:szCs w:val="24"/>
              </w:rPr>
            </w:pPr>
            <w:r w:rsidRPr="00AD12B8">
              <w:rPr>
                <w:rFonts w:ascii="Arial" w:hAnsi="Arial" w:cs="Arial"/>
                <w:b/>
                <w:bCs/>
                <w:szCs w:val="24"/>
              </w:rPr>
              <w:t>Over/(Under) Collections</w:t>
            </w:r>
          </w:p>
        </w:tc>
      </w:tr>
      <w:tr w:rsidR="00A461B4" w:rsidRPr="000C6B5B" w14:paraId="0E982787" w14:textId="77777777" w:rsidTr="00C4523C">
        <w:trPr>
          <w:trHeight w:val="141"/>
          <w:jc w:val="center"/>
        </w:trPr>
        <w:tc>
          <w:tcPr>
            <w:tcW w:w="2718" w:type="dxa"/>
            <w:tcBorders>
              <w:top w:val="single" w:sz="12" w:space="0" w:color="auto"/>
              <w:left w:val="nil"/>
              <w:bottom w:val="nil"/>
              <w:right w:val="nil"/>
            </w:tcBorders>
            <w:shd w:val="clear" w:color="auto" w:fill="auto"/>
            <w:noWrap/>
            <w:vAlign w:val="bottom"/>
          </w:tcPr>
          <w:p w14:paraId="43732B35" w14:textId="77777777" w:rsidR="00A461B4" w:rsidRPr="000C6B5B" w:rsidRDefault="00A461B4" w:rsidP="00941B23">
            <w:pPr>
              <w:jc w:val="center"/>
              <w:rPr>
                <w:rFonts w:ascii="Arial" w:hAnsi="Arial" w:cs="Arial"/>
                <w:b/>
                <w:bCs/>
                <w:szCs w:val="24"/>
              </w:rPr>
            </w:pPr>
          </w:p>
        </w:tc>
        <w:tc>
          <w:tcPr>
            <w:tcW w:w="236" w:type="dxa"/>
            <w:tcBorders>
              <w:left w:val="nil"/>
              <w:bottom w:val="nil"/>
              <w:right w:val="nil"/>
            </w:tcBorders>
          </w:tcPr>
          <w:p w14:paraId="344D6B85" w14:textId="77777777" w:rsidR="00A461B4" w:rsidRPr="000C6B5B" w:rsidRDefault="00A461B4" w:rsidP="00941B23">
            <w:pPr>
              <w:jc w:val="center"/>
              <w:rPr>
                <w:rFonts w:ascii="Arial" w:hAnsi="Arial" w:cs="Arial"/>
                <w:bCs/>
                <w:szCs w:val="24"/>
              </w:rPr>
            </w:pPr>
          </w:p>
        </w:tc>
        <w:tc>
          <w:tcPr>
            <w:tcW w:w="2077" w:type="dxa"/>
            <w:tcBorders>
              <w:top w:val="single" w:sz="12" w:space="0" w:color="auto"/>
              <w:left w:val="nil"/>
              <w:bottom w:val="nil"/>
              <w:right w:val="nil"/>
            </w:tcBorders>
            <w:shd w:val="clear" w:color="auto" w:fill="auto"/>
            <w:vAlign w:val="bottom"/>
          </w:tcPr>
          <w:p w14:paraId="192289F0" w14:textId="77777777" w:rsidR="00A461B4" w:rsidRPr="00DB3853" w:rsidRDefault="00A461B4" w:rsidP="00941B23">
            <w:pPr>
              <w:jc w:val="center"/>
              <w:rPr>
                <w:rFonts w:ascii="Arial" w:hAnsi="Arial" w:cs="Arial"/>
                <w:bCs/>
                <w:sz w:val="20"/>
              </w:rPr>
            </w:pPr>
            <w:r w:rsidRPr="00DB3853">
              <w:rPr>
                <w:rFonts w:ascii="Arial" w:hAnsi="Arial" w:cs="Arial"/>
                <w:bCs/>
                <w:sz w:val="20"/>
              </w:rPr>
              <w:t>(1)</w:t>
            </w:r>
          </w:p>
        </w:tc>
        <w:tc>
          <w:tcPr>
            <w:tcW w:w="270" w:type="dxa"/>
            <w:tcBorders>
              <w:left w:val="nil"/>
              <w:bottom w:val="nil"/>
              <w:right w:val="nil"/>
            </w:tcBorders>
          </w:tcPr>
          <w:p w14:paraId="5D126DA4" w14:textId="77777777" w:rsidR="00A461B4" w:rsidRPr="00DB3853" w:rsidRDefault="00A461B4" w:rsidP="00941B23">
            <w:pPr>
              <w:jc w:val="center"/>
              <w:rPr>
                <w:rFonts w:ascii="Arial" w:hAnsi="Arial" w:cs="Arial"/>
                <w:bCs/>
                <w:sz w:val="20"/>
              </w:rPr>
            </w:pPr>
          </w:p>
        </w:tc>
        <w:tc>
          <w:tcPr>
            <w:tcW w:w="1809" w:type="dxa"/>
            <w:tcBorders>
              <w:top w:val="single" w:sz="12" w:space="0" w:color="auto"/>
              <w:left w:val="nil"/>
              <w:bottom w:val="nil"/>
              <w:right w:val="nil"/>
            </w:tcBorders>
            <w:shd w:val="clear" w:color="auto" w:fill="auto"/>
            <w:vAlign w:val="bottom"/>
          </w:tcPr>
          <w:p w14:paraId="270501EC" w14:textId="77777777" w:rsidR="00A461B4" w:rsidRPr="00DB3853" w:rsidRDefault="00A461B4" w:rsidP="00941B23">
            <w:pPr>
              <w:jc w:val="center"/>
              <w:rPr>
                <w:rFonts w:ascii="Arial" w:hAnsi="Arial" w:cs="Arial"/>
                <w:bCs/>
                <w:sz w:val="20"/>
              </w:rPr>
            </w:pPr>
            <w:r w:rsidRPr="00DB3853">
              <w:rPr>
                <w:rFonts w:ascii="Arial" w:hAnsi="Arial" w:cs="Arial"/>
                <w:bCs/>
                <w:sz w:val="20"/>
              </w:rPr>
              <w:t>(2)</w:t>
            </w:r>
          </w:p>
        </w:tc>
        <w:tc>
          <w:tcPr>
            <w:tcW w:w="261" w:type="dxa"/>
            <w:tcBorders>
              <w:left w:val="nil"/>
              <w:bottom w:val="nil"/>
              <w:right w:val="nil"/>
            </w:tcBorders>
          </w:tcPr>
          <w:p w14:paraId="0627904E" w14:textId="77777777" w:rsidR="00A461B4" w:rsidRPr="00DB3853" w:rsidRDefault="00A461B4" w:rsidP="00941B23">
            <w:pPr>
              <w:jc w:val="center"/>
              <w:rPr>
                <w:rFonts w:ascii="Arial" w:hAnsi="Arial" w:cs="Arial"/>
                <w:bCs/>
                <w:sz w:val="20"/>
              </w:rPr>
            </w:pPr>
          </w:p>
        </w:tc>
        <w:tc>
          <w:tcPr>
            <w:tcW w:w="2142" w:type="dxa"/>
            <w:tcBorders>
              <w:top w:val="single" w:sz="12" w:space="0" w:color="auto"/>
              <w:left w:val="nil"/>
              <w:bottom w:val="nil"/>
              <w:right w:val="nil"/>
            </w:tcBorders>
            <w:shd w:val="clear" w:color="auto" w:fill="auto"/>
            <w:vAlign w:val="bottom"/>
          </w:tcPr>
          <w:p w14:paraId="36D7C472" w14:textId="532777B7" w:rsidR="00A461B4" w:rsidRPr="00DB3853" w:rsidRDefault="00A461B4" w:rsidP="00941B23">
            <w:pPr>
              <w:jc w:val="center"/>
              <w:rPr>
                <w:rFonts w:ascii="Arial" w:hAnsi="Arial" w:cs="Arial"/>
                <w:bCs/>
                <w:sz w:val="20"/>
              </w:rPr>
            </w:pPr>
            <w:r w:rsidRPr="00DB3853">
              <w:rPr>
                <w:rFonts w:ascii="Arial" w:hAnsi="Arial" w:cs="Arial"/>
                <w:bCs/>
                <w:sz w:val="20"/>
              </w:rPr>
              <w:t>(3)</w:t>
            </w:r>
            <w:r w:rsidR="005030BD" w:rsidRPr="00DB3853">
              <w:rPr>
                <w:rFonts w:ascii="Arial" w:hAnsi="Arial" w:cs="Arial"/>
                <w:bCs/>
                <w:sz w:val="20"/>
              </w:rPr>
              <w:t xml:space="preserve"> </w:t>
            </w:r>
            <w:r w:rsidRPr="00DB3853">
              <w:rPr>
                <w:rFonts w:ascii="Arial" w:hAnsi="Arial" w:cs="Arial"/>
                <w:bCs/>
                <w:sz w:val="20"/>
              </w:rPr>
              <w:t>=</w:t>
            </w:r>
            <w:r w:rsidR="005030BD" w:rsidRPr="00DB3853">
              <w:rPr>
                <w:rFonts w:ascii="Arial" w:hAnsi="Arial" w:cs="Arial"/>
                <w:bCs/>
                <w:sz w:val="20"/>
              </w:rPr>
              <w:t xml:space="preserve"> </w:t>
            </w:r>
            <w:r w:rsidRPr="00DB3853">
              <w:rPr>
                <w:rFonts w:ascii="Arial" w:hAnsi="Arial" w:cs="Arial"/>
                <w:bCs/>
                <w:sz w:val="20"/>
              </w:rPr>
              <w:t>(1)</w:t>
            </w:r>
            <w:r w:rsidR="005030BD" w:rsidRPr="00DB3853">
              <w:rPr>
                <w:rFonts w:ascii="Arial" w:hAnsi="Arial" w:cs="Arial"/>
                <w:bCs/>
                <w:sz w:val="20"/>
              </w:rPr>
              <w:t xml:space="preserve"> </w:t>
            </w:r>
            <w:r w:rsidRPr="00DB3853">
              <w:rPr>
                <w:rFonts w:ascii="Arial" w:hAnsi="Arial" w:cs="Arial"/>
                <w:bCs/>
                <w:sz w:val="20"/>
              </w:rPr>
              <w:t>-</w:t>
            </w:r>
            <w:r w:rsidR="005030BD" w:rsidRPr="00DB3853">
              <w:rPr>
                <w:rFonts w:ascii="Arial" w:hAnsi="Arial" w:cs="Arial"/>
                <w:bCs/>
                <w:sz w:val="20"/>
              </w:rPr>
              <w:t xml:space="preserve"> </w:t>
            </w:r>
            <w:r w:rsidRPr="00DB3853">
              <w:rPr>
                <w:rFonts w:ascii="Arial" w:hAnsi="Arial" w:cs="Arial"/>
                <w:bCs/>
                <w:sz w:val="20"/>
              </w:rPr>
              <w:t>(2)</w:t>
            </w:r>
          </w:p>
        </w:tc>
      </w:tr>
      <w:tr w:rsidR="00A461B4" w:rsidRPr="000C6B5B" w14:paraId="4AE76B87" w14:textId="77777777" w:rsidTr="00154CF8">
        <w:trPr>
          <w:trHeight w:val="288"/>
          <w:jc w:val="center"/>
        </w:trPr>
        <w:tc>
          <w:tcPr>
            <w:tcW w:w="2718" w:type="dxa"/>
            <w:tcBorders>
              <w:top w:val="nil"/>
              <w:left w:val="nil"/>
              <w:bottom w:val="nil"/>
              <w:right w:val="nil"/>
            </w:tcBorders>
            <w:shd w:val="clear" w:color="auto" w:fill="auto"/>
            <w:noWrap/>
            <w:vAlign w:val="bottom"/>
          </w:tcPr>
          <w:p w14:paraId="02FB2AD3" w14:textId="77777777" w:rsidR="00A461B4" w:rsidRPr="000C6B5B" w:rsidRDefault="00A461B4" w:rsidP="00154CF8">
            <w:pPr>
              <w:ind w:right="-180"/>
              <w:rPr>
                <w:rFonts w:ascii="Arial" w:hAnsi="Arial" w:cs="Arial"/>
                <w:szCs w:val="24"/>
              </w:rPr>
            </w:pPr>
          </w:p>
        </w:tc>
        <w:tc>
          <w:tcPr>
            <w:tcW w:w="236" w:type="dxa"/>
            <w:tcBorders>
              <w:top w:val="nil"/>
              <w:left w:val="nil"/>
              <w:bottom w:val="nil"/>
              <w:right w:val="nil"/>
            </w:tcBorders>
          </w:tcPr>
          <w:p w14:paraId="78A69EB1" w14:textId="77777777" w:rsidR="00A461B4" w:rsidRPr="000C6B5B" w:rsidRDefault="00A461B4" w:rsidP="00154CF8">
            <w:pPr>
              <w:jc w:val="right"/>
              <w:rPr>
                <w:rFonts w:ascii="Arial" w:hAnsi="Arial" w:cs="Arial"/>
                <w:szCs w:val="24"/>
              </w:rPr>
            </w:pPr>
          </w:p>
        </w:tc>
        <w:tc>
          <w:tcPr>
            <w:tcW w:w="2077" w:type="dxa"/>
            <w:tcBorders>
              <w:top w:val="nil"/>
              <w:left w:val="nil"/>
              <w:bottom w:val="nil"/>
              <w:right w:val="nil"/>
            </w:tcBorders>
            <w:shd w:val="clear" w:color="auto" w:fill="auto"/>
            <w:noWrap/>
            <w:vAlign w:val="bottom"/>
          </w:tcPr>
          <w:p w14:paraId="2B22D56E" w14:textId="77777777" w:rsidR="00A461B4" w:rsidRPr="000C6B5B" w:rsidRDefault="00A461B4" w:rsidP="00154CF8">
            <w:pPr>
              <w:tabs>
                <w:tab w:val="decimal" w:pos="1569"/>
              </w:tabs>
              <w:rPr>
                <w:rFonts w:ascii="Arial" w:hAnsi="Arial" w:cs="Arial"/>
                <w:szCs w:val="24"/>
              </w:rPr>
            </w:pPr>
          </w:p>
        </w:tc>
        <w:tc>
          <w:tcPr>
            <w:tcW w:w="270" w:type="dxa"/>
            <w:tcBorders>
              <w:top w:val="nil"/>
              <w:left w:val="nil"/>
              <w:bottom w:val="nil"/>
              <w:right w:val="nil"/>
            </w:tcBorders>
          </w:tcPr>
          <w:p w14:paraId="7262A15E" w14:textId="77777777" w:rsidR="00A461B4" w:rsidRPr="000C6B5B" w:rsidRDefault="00A461B4" w:rsidP="00154CF8">
            <w:pPr>
              <w:jc w:val="right"/>
              <w:rPr>
                <w:rFonts w:ascii="Arial" w:hAnsi="Arial" w:cs="Arial"/>
                <w:szCs w:val="24"/>
              </w:rPr>
            </w:pPr>
          </w:p>
        </w:tc>
        <w:tc>
          <w:tcPr>
            <w:tcW w:w="1809" w:type="dxa"/>
            <w:tcBorders>
              <w:top w:val="nil"/>
              <w:left w:val="nil"/>
              <w:bottom w:val="nil"/>
              <w:right w:val="nil"/>
            </w:tcBorders>
            <w:shd w:val="clear" w:color="auto" w:fill="auto"/>
            <w:noWrap/>
            <w:vAlign w:val="bottom"/>
          </w:tcPr>
          <w:p w14:paraId="4CD58D22" w14:textId="77777777" w:rsidR="00A461B4" w:rsidRPr="000C6B5B" w:rsidRDefault="00A461B4" w:rsidP="00154CF8">
            <w:pPr>
              <w:tabs>
                <w:tab w:val="decimal" w:pos="1476"/>
              </w:tabs>
              <w:rPr>
                <w:rFonts w:ascii="Arial" w:hAnsi="Arial" w:cs="Arial"/>
                <w:szCs w:val="24"/>
              </w:rPr>
            </w:pPr>
          </w:p>
        </w:tc>
        <w:tc>
          <w:tcPr>
            <w:tcW w:w="261" w:type="dxa"/>
            <w:tcBorders>
              <w:top w:val="nil"/>
              <w:left w:val="nil"/>
              <w:bottom w:val="nil"/>
              <w:right w:val="nil"/>
            </w:tcBorders>
          </w:tcPr>
          <w:p w14:paraId="3794201A" w14:textId="77777777" w:rsidR="00A461B4" w:rsidRPr="000C6B5B" w:rsidRDefault="00A461B4" w:rsidP="00154CF8">
            <w:pPr>
              <w:jc w:val="right"/>
              <w:rPr>
                <w:rFonts w:ascii="Arial" w:hAnsi="Arial" w:cs="Arial"/>
                <w:szCs w:val="24"/>
              </w:rPr>
            </w:pPr>
          </w:p>
        </w:tc>
        <w:tc>
          <w:tcPr>
            <w:tcW w:w="2142" w:type="dxa"/>
            <w:tcBorders>
              <w:top w:val="nil"/>
              <w:left w:val="nil"/>
              <w:bottom w:val="nil"/>
              <w:right w:val="nil"/>
            </w:tcBorders>
            <w:shd w:val="clear" w:color="auto" w:fill="auto"/>
            <w:noWrap/>
            <w:vAlign w:val="bottom"/>
          </w:tcPr>
          <w:p w14:paraId="48A05B9D" w14:textId="77777777" w:rsidR="00A461B4" w:rsidRPr="000C6B5B" w:rsidRDefault="00A461B4" w:rsidP="00154CF8">
            <w:pPr>
              <w:tabs>
                <w:tab w:val="decimal" w:pos="1431"/>
              </w:tabs>
              <w:rPr>
                <w:rFonts w:ascii="Arial" w:hAnsi="Arial" w:cs="Arial"/>
                <w:szCs w:val="24"/>
              </w:rPr>
            </w:pPr>
          </w:p>
        </w:tc>
      </w:tr>
      <w:tr w:rsidR="00A461B4" w:rsidRPr="000C6B5B" w14:paraId="4FD11006" w14:textId="77777777" w:rsidTr="00154CF8">
        <w:trPr>
          <w:trHeight w:val="288"/>
          <w:jc w:val="center"/>
        </w:trPr>
        <w:tc>
          <w:tcPr>
            <w:tcW w:w="2718" w:type="dxa"/>
            <w:tcBorders>
              <w:top w:val="nil"/>
              <w:left w:val="nil"/>
              <w:bottom w:val="nil"/>
              <w:right w:val="nil"/>
            </w:tcBorders>
            <w:shd w:val="clear" w:color="auto" w:fill="auto"/>
            <w:noWrap/>
            <w:vAlign w:val="bottom"/>
          </w:tcPr>
          <w:p w14:paraId="2B14FD8D" w14:textId="77777777" w:rsidR="00A461B4" w:rsidRPr="000C6B5B" w:rsidRDefault="00A461B4" w:rsidP="00154CF8">
            <w:pPr>
              <w:rPr>
                <w:rFonts w:ascii="Arial" w:hAnsi="Arial" w:cs="Arial"/>
                <w:szCs w:val="24"/>
              </w:rPr>
            </w:pPr>
            <w:r w:rsidRPr="000C6B5B">
              <w:rPr>
                <w:rFonts w:ascii="Arial" w:hAnsi="Arial" w:cs="Arial"/>
                <w:szCs w:val="24"/>
              </w:rPr>
              <w:t>Rate R</w:t>
            </w:r>
            <w:r w:rsidR="000B36D1" w:rsidRPr="000C6B5B">
              <w:rPr>
                <w:rFonts w:ascii="Arial" w:hAnsi="Arial" w:cs="Arial"/>
                <w:szCs w:val="24"/>
              </w:rPr>
              <w:t>, RH</w:t>
            </w:r>
          </w:p>
        </w:tc>
        <w:tc>
          <w:tcPr>
            <w:tcW w:w="236" w:type="dxa"/>
            <w:tcBorders>
              <w:top w:val="nil"/>
              <w:left w:val="nil"/>
              <w:bottom w:val="nil"/>
              <w:right w:val="nil"/>
            </w:tcBorders>
          </w:tcPr>
          <w:p w14:paraId="5F4FC617" w14:textId="77777777" w:rsidR="00A461B4" w:rsidRPr="000C6B5B" w:rsidRDefault="00A461B4" w:rsidP="00154CF8">
            <w:pPr>
              <w:jc w:val="right"/>
              <w:rPr>
                <w:rFonts w:ascii="Arial" w:hAnsi="Arial" w:cs="Arial"/>
                <w:szCs w:val="24"/>
              </w:rPr>
            </w:pPr>
          </w:p>
        </w:tc>
        <w:tc>
          <w:tcPr>
            <w:tcW w:w="2077" w:type="dxa"/>
            <w:tcBorders>
              <w:top w:val="nil"/>
              <w:left w:val="nil"/>
              <w:bottom w:val="nil"/>
              <w:right w:val="nil"/>
            </w:tcBorders>
            <w:shd w:val="clear" w:color="auto" w:fill="auto"/>
            <w:noWrap/>
            <w:vAlign w:val="bottom"/>
          </w:tcPr>
          <w:p w14:paraId="126F3F38" w14:textId="63525370" w:rsidR="00A461B4" w:rsidRPr="000C6B5B" w:rsidRDefault="00A461B4" w:rsidP="00312926">
            <w:pPr>
              <w:jc w:val="center"/>
              <w:rPr>
                <w:rFonts w:ascii="Arial" w:hAnsi="Arial" w:cs="Arial"/>
                <w:szCs w:val="24"/>
              </w:rPr>
            </w:pPr>
            <w:r w:rsidRPr="000C6B5B">
              <w:rPr>
                <w:rFonts w:ascii="Arial" w:hAnsi="Arial" w:cs="Arial"/>
                <w:szCs w:val="24"/>
              </w:rPr>
              <w:t xml:space="preserve">  </w:t>
            </w:r>
            <w:r w:rsidR="0021790A" w:rsidRPr="000C6B5B">
              <w:rPr>
                <w:rFonts w:ascii="Arial" w:hAnsi="Arial" w:cs="Arial"/>
                <w:szCs w:val="24"/>
              </w:rPr>
              <w:t xml:space="preserve"> </w:t>
            </w:r>
            <w:r w:rsidRPr="000C6B5B">
              <w:rPr>
                <w:rFonts w:ascii="Arial" w:hAnsi="Arial" w:cs="Arial"/>
                <w:szCs w:val="24"/>
              </w:rPr>
              <w:t xml:space="preserve">$   </w:t>
            </w:r>
            <w:r w:rsidR="00E90AB0">
              <w:rPr>
                <w:rFonts w:ascii="Arial" w:hAnsi="Arial" w:cs="Arial"/>
                <w:szCs w:val="24"/>
              </w:rPr>
              <w:t>3</w:t>
            </w:r>
            <w:r w:rsidR="000C5138">
              <w:rPr>
                <w:rFonts w:ascii="Arial" w:hAnsi="Arial" w:cs="Arial"/>
                <w:szCs w:val="24"/>
              </w:rPr>
              <w:t>5</w:t>
            </w:r>
            <w:r w:rsidRPr="000C6B5B">
              <w:rPr>
                <w:rFonts w:ascii="Arial" w:hAnsi="Arial" w:cs="Arial"/>
                <w:szCs w:val="24"/>
              </w:rPr>
              <w:t>,</w:t>
            </w:r>
            <w:r w:rsidR="008A7304">
              <w:rPr>
                <w:rFonts w:ascii="Arial" w:hAnsi="Arial" w:cs="Arial"/>
                <w:szCs w:val="24"/>
              </w:rPr>
              <w:t>203</w:t>
            </w:r>
            <w:r w:rsidRPr="000C6B5B">
              <w:rPr>
                <w:rFonts w:ascii="Arial" w:hAnsi="Arial" w:cs="Arial"/>
                <w:szCs w:val="24"/>
              </w:rPr>
              <w:t>,</w:t>
            </w:r>
            <w:r w:rsidR="008A7304">
              <w:rPr>
                <w:rFonts w:ascii="Arial" w:hAnsi="Arial" w:cs="Arial"/>
                <w:szCs w:val="24"/>
              </w:rPr>
              <w:t>155</w:t>
            </w:r>
          </w:p>
        </w:tc>
        <w:tc>
          <w:tcPr>
            <w:tcW w:w="270" w:type="dxa"/>
            <w:tcBorders>
              <w:top w:val="nil"/>
              <w:left w:val="nil"/>
              <w:bottom w:val="nil"/>
              <w:right w:val="nil"/>
            </w:tcBorders>
          </w:tcPr>
          <w:p w14:paraId="50D8F92C" w14:textId="77777777" w:rsidR="00A461B4" w:rsidRPr="000C6B5B" w:rsidRDefault="00A461B4" w:rsidP="00154CF8">
            <w:pPr>
              <w:jc w:val="right"/>
              <w:rPr>
                <w:rFonts w:ascii="Arial" w:hAnsi="Arial" w:cs="Arial"/>
                <w:szCs w:val="24"/>
              </w:rPr>
            </w:pPr>
          </w:p>
        </w:tc>
        <w:tc>
          <w:tcPr>
            <w:tcW w:w="1809" w:type="dxa"/>
            <w:tcBorders>
              <w:top w:val="nil"/>
              <w:left w:val="nil"/>
              <w:bottom w:val="nil"/>
              <w:right w:val="nil"/>
            </w:tcBorders>
            <w:shd w:val="clear" w:color="auto" w:fill="auto"/>
            <w:noWrap/>
            <w:vAlign w:val="bottom"/>
          </w:tcPr>
          <w:p w14:paraId="2EDBDECF" w14:textId="60FFB299" w:rsidR="00A461B4" w:rsidRPr="000C6B5B" w:rsidRDefault="00A461B4" w:rsidP="0021790A">
            <w:pPr>
              <w:tabs>
                <w:tab w:val="decimal" w:pos="1476"/>
              </w:tabs>
              <w:ind w:right="-108"/>
              <w:rPr>
                <w:rFonts w:ascii="Arial" w:hAnsi="Arial" w:cs="Arial"/>
                <w:szCs w:val="24"/>
              </w:rPr>
            </w:pPr>
            <w:r w:rsidRPr="000C6B5B">
              <w:rPr>
                <w:rFonts w:ascii="Arial" w:hAnsi="Arial" w:cs="Arial"/>
                <w:szCs w:val="24"/>
              </w:rPr>
              <w:t xml:space="preserve"> </w:t>
            </w:r>
            <w:r w:rsidR="0021790A" w:rsidRPr="000C6B5B">
              <w:rPr>
                <w:rFonts w:ascii="Arial" w:hAnsi="Arial" w:cs="Arial"/>
                <w:szCs w:val="24"/>
              </w:rPr>
              <w:t xml:space="preserve"> </w:t>
            </w:r>
            <w:r w:rsidRPr="000C6B5B">
              <w:rPr>
                <w:rFonts w:ascii="Arial" w:hAnsi="Arial" w:cs="Arial"/>
                <w:szCs w:val="24"/>
              </w:rPr>
              <w:t xml:space="preserve">$   </w:t>
            </w:r>
            <w:r w:rsidR="008A7304">
              <w:rPr>
                <w:rFonts w:ascii="Arial" w:hAnsi="Arial" w:cs="Arial"/>
                <w:szCs w:val="24"/>
              </w:rPr>
              <w:t>32</w:t>
            </w:r>
            <w:r w:rsidRPr="000C6B5B">
              <w:rPr>
                <w:rFonts w:ascii="Arial" w:hAnsi="Arial" w:cs="Arial"/>
                <w:szCs w:val="24"/>
              </w:rPr>
              <w:t>,</w:t>
            </w:r>
            <w:r w:rsidR="008A7304">
              <w:rPr>
                <w:rFonts w:ascii="Arial" w:hAnsi="Arial" w:cs="Arial"/>
                <w:szCs w:val="24"/>
              </w:rPr>
              <w:t>122</w:t>
            </w:r>
            <w:r w:rsidRPr="000C6B5B">
              <w:rPr>
                <w:rFonts w:ascii="Arial" w:hAnsi="Arial" w:cs="Arial"/>
                <w:szCs w:val="24"/>
              </w:rPr>
              <w:t>,</w:t>
            </w:r>
            <w:r w:rsidR="008A7304">
              <w:rPr>
                <w:rFonts w:ascii="Arial" w:hAnsi="Arial" w:cs="Arial"/>
                <w:szCs w:val="24"/>
              </w:rPr>
              <w:t>516</w:t>
            </w:r>
            <w:r w:rsidRPr="000C6B5B">
              <w:rPr>
                <w:rFonts w:ascii="Arial" w:hAnsi="Arial" w:cs="Arial"/>
                <w:szCs w:val="24"/>
              </w:rPr>
              <w:t xml:space="preserve"> </w:t>
            </w:r>
          </w:p>
        </w:tc>
        <w:tc>
          <w:tcPr>
            <w:tcW w:w="261" w:type="dxa"/>
            <w:tcBorders>
              <w:top w:val="nil"/>
              <w:left w:val="nil"/>
              <w:bottom w:val="nil"/>
              <w:right w:val="nil"/>
            </w:tcBorders>
          </w:tcPr>
          <w:p w14:paraId="43FF6C2A" w14:textId="77777777" w:rsidR="00A461B4" w:rsidRPr="000C6B5B" w:rsidRDefault="00A461B4" w:rsidP="00154CF8">
            <w:pPr>
              <w:jc w:val="right"/>
              <w:rPr>
                <w:rFonts w:ascii="Arial" w:hAnsi="Arial" w:cs="Arial"/>
                <w:szCs w:val="24"/>
              </w:rPr>
            </w:pPr>
          </w:p>
        </w:tc>
        <w:tc>
          <w:tcPr>
            <w:tcW w:w="2142" w:type="dxa"/>
            <w:tcBorders>
              <w:top w:val="nil"/>
              <w:left w:val="nil"/>
              <w:bottom w:val="nil"/>
              <w:right w:val="nil"/>
            </w:tcBorders>
            <w:shd w:val="clear" w:color="auto" w:fill="auto"/>
            <w:noWrap/>
            <w:vAlign w:val="bottom"/>
          </w:tcPr>
          <w:p w14:paraId="38E54D3E" w14:textId="52C350B8" w:rsidR="00A461B4" w:rsidRPr="000C6B5B" w:rsidRDefault="00A461B4" w:rsidP="00026D84">
            <w:pPr>
              <w:ind w:right="49"/>
              <w:jc w:val="right"/>
              <w:rPr>
                <w:rFonts w:ascii="Arial" w:hAnsi="Arial" w:cs="Arial"/>
                <w:szCs w:val="24"/>
              </w:rPr>
            </w:pPr>
            <w:r w:rsidRPr="000C6B5B">
              <w:rPr>
                <w:rFonts w:ascii="Arial" w:hAnsi="Arial" w:cs="Arial"/>
                <w:szCs w:val="24"/>
              </w:rPr>
              <w:t xml:space="preserve">  $</w:t>
            </w:r>
            <w:r w:rsidR="00EC3F12">
              <w:rPr>
                <w:rFonts w:ascii="Arial" w:hAnsi="Arial" w:cs="Arial"/>
                <w:szCs w:val="24"/>
              </w:rPr>
              <w:t xml:space="preserve">  </w:t>
            </w:r>
            <w:r w:rsidRPr="000C6B5B">
              <w:rPr>
                <w:rFonts w:ascii="Arial" w:hAnsi="Arial" w:cs="Arial"/>
                <w:szCs w:val="24"/>
              </w:rPr>
              <w:t xml:space="preserve">    </w:t>
            </w:r>
            <w:r w:rsidR="008A7304">
              <w:rPr>
                <w:rFonts w:ascii="Arial" w:hAnsi="Arial" w:cs="Arial"/>
                <w:szCs w:val="24"/>
              </w:rPr>
              <w:t>3</w:t>
            </w:r>
            <w:r w:rsidRPr="000C6B5B">
              <w:rPr>
                <w:rFonts w:ascii="Arial" w:hAnsi="Arial" w:cs="Arial"/>
                <w:szCs w:val="24"/>
              </w:rPr>
              <w:t>,</w:t>
            </w:r>
            <w:r w:rsidR="008A7304">
              <w:rPr>
                <w:rFonts w:ascii="Arial" w:hAnsi="Arial" w:cs="Arial"/>
                <w:szCs w:val="24"/>
              </w:rPr>
              <w:t>0</w:t>
            </w:r>
            <w:r w:rsidR="006F7E84">
              <w:rPr>
                <w:rFonts w:ascii="Arial" w:hAnsi="Arial" w:cs="Arial"/>
                <w:szCs w:val="24"/>
              </w:rPr>
              <w:t>8</w:t>
            </w:r>
            <w:r w:rsidR="009A4A19" w:rsidRPr="000C6B5B">
              <w:rPr>
                <w:rFonts w:ascii="Arial" w:hAnsi="Arial" w:cs="Arial"/>
                <w:szCs w:val="24"/>
              </w:rPr>
              <w:t>0</w:t>
            </w:r>
            <w:r w:rsidRPr="000C6B5B">
              <w:rPr>
                <w:rFonts w:ascii="Arial" w:hAnsi="Arial" w:cs="Arial"/>
                <w:szCs w:val="24"/>
              </w:rPr>
              <w:t>,</w:t>
            </w:r>
            <w:r w:rsidR="008A7304">
              <w:rPr>
                <w:rFonts w:ascii="Arial" w:hAnsi="Arial" w:cs="Arial"/>
                <w:szCs w:val="24"/>
              </w:rPr>
              <w:t>639</w:t>
            </w:r>
          </w:p>
        </w:tc>
      </w:tr>
      <w:tr w:rsidR="00A461B4" w:rsidRPr="000C6B5B" w14:paraId="26539AA4" w14:textId="77777777" w:rsidTr="00154CF8">
        <w:trPr>
          <w:trHeight w:val="144"/>
          <w:jc w:val="center"/>
        </w:trPr>
        <w:tc>
          <w:tcPr>
            <w:tcW w:w="2718" w:type="dxa"/>
            <w:tcBorders>
              <w:top w:val="nil"/>
              <w:left w:val="nil"/>
              <w:bottom w:val="nil"/>
              <w:right w:val="nil"/>
            </w:tcBorders>
            <w:shd w:val="clear" w:color="auto" w:fill="auto"/>
            <w:noWrap/>
            <w:vAlign w:val="bottom"/>
          </w:tcPr>
          <w:p w14:paraId="2260A17B" w14:textId="77777777" w:rsidR="00A461B4" w:rsidRPr="000C6B5B" w:rsidRDefault="00A461B4" w:rsidP="00154CF8">
            <w:pPr>
              <w:rPr>
                <w:rFonts w:ascii="Arial" w:hAnsi="Arial" w:cs="Arial"/>
                <w:szCs w:val="24"/>
              </w:rPr>
            </w:pPr>
          </w:p>
        </w:tc>
        <w:tc>
          <w:tcPr>
            <w:tcW w:w="236" w:type="dxa"/>
            <w:tcBorders>
              <w:top w:val="nil"/>
              <w:left w:val="nil"/>
              <w:bottom w:val="nil"/>
              <w:right w:val="nil"/>
            </w:tcBorders>
          </w:tcPr>
          <w:p w14:paraId="701FA35A" w14:textId="77777777" w:rsidR="00A461B4" w:rsidRPr="000C6B5B" w:rsidRDefault="00A461B4" w:rsidP="00154CF8">
            <w:pPr>
              <w:jc w:val="right"/>
              <w:rPr>
                <w:rFonts w:ascii="Arial" w:hAnsi="Arial" w:cs="Arial"/>
                <w:szCs w:val="24"/>
              </w:rPr>
            </w:pPr>
          </w:p>
        </w:tc>
        <w:tc>
          <w:tcPr>
            <w:tcW w:w="2077" w:type="dxa"/>
            <w:tcBorders>
              <w:top w:val="nil"/>
              <w:left w:val="nil"/>
              <w:bottom w:val="nil"/>
              <w:right w:val="nil"/>
            </w:tcBorders>
            <w:shd w:val="clear" w:color="auto" w:fill="auto"/>
            <w:noWrap/>
            <w:vAlign w:val="bottom"/>
          </w:tcPr>
          <w:p w14:paraId="08CAB254" w14:textId="77777777" w:rsidR="00A461B4" w:rsidRPr="000C6B5B" w:rsidRDefault="00A461B4" w:rsidP="0021790A">
            <w:pPr>
              <w:tabs>
                <w:tab w:val="decimal" w:pos="1569"/>
              </w:tabs>
              <w:ind w:right="76"/>
              <w:jc w:val="center"/>
              <w:rPr>
                <w:rFonts w:ascii="Arial" w:hAnsi="Arial" w:cs="Arial"/>
                <w:szCs w:val="24"/>
              </w:rPr>
            </w:pPr>
          </w:p>
        </w:tc>
        <w:tc>
          <w:tcPr>
            <w:tcW w:w="270" w:type="dxa"/>
            <w:tcBorders>
              <w:top w:val="nil"/>
              <w:left w:val="nil"/>
              <w:bottom w:val="nil"/>
              <w:right w:val="nil"/>
            </w:tcBorders>
          </w:tcPr>
          <w:p w14:paraId="6327F317" w14:textId="77777777" w:rsidR="00A461B4" w:rsidRPr="000C6B5B" w:rsidRDefault="00A461B4" w:rsidP="00154CF8">
            <w:pPr>
              <w:jc w:val="right"/>
              <w:rPr>
                <w:rFonts w:ascii="Arial" w:hAnsi="Arial" w:cs="Arial"/>
                <w:szCs w:val="24"/>
              </w:rPr>
            </w:pPr>
          </w:p>
        </w:tc>
        <w:tc>
          <w:tcPr>
            <w:tcW w:w="1809" w:type="dxa"/>
            <w:tcBorders>
              <w:top w:val="nil"/>
              <w:left w:val="nil"/>
              <w:bottom w:val="nil"/>
              <w:right w:val="nil"/>
            </w:tcBorders>
            <w:shd w:val="clear" w:color="auto" w:fill="auto"/>
            <w:noWrap/>
            <w:vAlign w:val="bottom"/>
          </w:tcPr>
          <w:p w14:paraId="0EA5AA80" w14:textId="77777777" w:rsidR="00A461B4" w:rsidRPr="000C6B5B" w:rsidRDefault="00A461B4" w:rsidP="00154CF8">
            <w:pPr>
              <w:tabs>
                <w:tab w:val="decimal" w:pos="1476"/>
              </w:tabs>
              <w:rPr>
                <w:rFonts w:ascii="Arial" w:hAnsi="Arial" w:cs="Arial"/>
                <w:szCs w:val="24"/>
              </w:rPr>
            </w:pPr>
          </w:p>
        </w:tc>
        <w:tc>
          <w:tcPr>
            <w:tcW w:w="261" w:type="dxa"/>
            <w:tcBorders>
              <w:top w:val="nil"/>
              <w:left w:val="nil"/>
              <w:bottom w:val="nil"/>
              <w:right w:val="nil"/>
            </w:tcBorders>
          </w:tcPr>
          <w:p w14:paraId="048AAE9F" w14:textId="77777777" w:rsidR="00A461B4" w:rsidRPr="000C6B5B" w:rsidRDefault="00A461B4" w:rsidP="00154CF8">
            <w:pPr>
              <w:jc w:val="right"/>
              <w:rPr>
                <w:rFonts w:ascii="Arial" w:hAnsi="Arial" w:cs="Arial"/>
                <w:szCs w:val="24"/>
              </w:rPr>
            </w:pPr>
          </w:p>
        </w:tc>
        <w:tc>
          <w:tcPr>
            <w:tcW w:w="2142" w:type="dxa"/>
            <w:tcBorders>
              <w:top w:val="nil"/>
              <w:left w:val="nil"/>
              <w:bottom w:val="nil"/>
              <w:right w:val="nil"/>
            </w:tcBorders>
            <w:shd w:val="clear" w:color="auto" w:fill="auto"/>
            <w:noWrap/>
            <w:vAlign w:val="bottom"/>
          </w:tcPr>
          <w:p w14:paraId="5759AD20" w14:textId="77777777" w:rsidR="00A461B4" w:rsidRPr="000C6B5B" w:rsidRDefault="00A461B4" w:rsidP="00154CF8">
            <w:pPr>
              <w:rPr>
                <w:rFonts w:ascii="Arial" w:hAnsi="Arial" w:cs="Arial"/>
                <w:szCs w:val="24"/>
              </w:rPr>
            </w:pPr>
          </w:p>
        </w:tc>
      </w:tr>
      <w:tr w:rsidR="00A461B4" w:rsidRPr="000C6B5B" w14:paraId="5ABEE60B" w14:textId="77777777" w:rsidTr="00154CF8">
        <w:trPr>
          <w:trHeight w:val="288"/>
          <w:jc w:val="center"/>
        </w:trPr>
        <w:tc>
          <w:tcPr>
            <w:tcW w:w="2718" w:type="dxa"/>
            <w:tcBorders>
              <w:top w:val="nil"/>
              <w:left w:val="nil"/>
              <w:bottom w:val="nil"/>
              <w:right w:val="nil"/>
            </w:tcBorders>
            <w:shd w:val="clear" w:color="auto" w:fill="auto"/>
            <w:noWrap/>
            <w:vAlign w:val="bottom"/>
          </w:tcPr>
          <w:p w14:paraId="70603C46" w14:textId="77777777" w:rsidR="00A461B4" w:rsidRPr="000C6B5B" w:rsidRDefault="00A461B4" w:rsidP="00154CF8">
            <w:pPr>
              <w:rPr>
                <w:rFonts w:ascii="Arial" w:hAnsi="Arial" w:cs="Arial"/>
                <w:szCs w:val="24"/>
              </w:rPr>
            </w:pPr>
            <w:r w:rsidRPr="000C6B5B">
              <w:rPr>
                <w:rFonts w:ascii="Arial" w:hAnsi="Arial" w:cs="Arial"/>
                <w:szCs w:val="24"/>
              </w:rPr>
              <w:t>Rate GS</w:t>
            </w:r>
          </w:p>
        </w:tc>
        <w:tc>
          <w:tcPr>
            <w:tcW w:w="236" w:type="dxa"/>
            <w:tcBorders>
              <w:top w:val="nil"/>
              <w:left w:val="nil"/>
              <w:bottom w:val="nil"/>
              <w:right w:val="nil"/>
            </w:tcBorders>
          </w:tcPr>
          <w:p w14:paraId="36F53A33" w14:textId="77777777" w:rsidR="00A461B4" w:rsidRPr="000C6B5B" w:rsidRDefault="00A461B4" w:rsidP="00154CF8">
            <w:pPr>
              <w:jc w:val="right"/>
              <w:rPr>
                <w:rFonts w:ascii="Arial" w:hAnsi="Arial" w:cs="Arial"/>
                <w:szCs w:val="24"/>
              </w:rPr>
            </w:pPr>
          </w:p>
        </w:tc>
        <w:tc>
          <w:tcPr>
            <w:tcW w:w="2077" w:type="dxa"/>
            <w:tcBorders>
              <w:top w:val="nil"/>
              <w:left w:val="nil"/>
              <w:bottom w:val="nil"/>
              <w:right w:val="nil"/>
            </w:tcBorders>
            <w:shd w:val="clear" w:color="auto" w:fill="auto"/>
            <w:noWrap/>
            <w:vAlign w:val="bottom"/>
          </w:tcPr>
          <w:p w14:paraId="78C6783C" w14:textId="5CDED2CD" w:rsidR="00A461B4" w:rsidRPr="000C6B5B" w:rsidRDefault="00A461B4" w:rsidP="00245DB5">
            <w:pPr>
              <w:jc w:val="center"/>
              <w:rPr>
                <w:rFonts w:ascii="Arial" w:hAnsi="Arial" w:cs="Arial"/>
                <w:szCs w:val="24"/>
              </w:rPr>
            </w:pPr>
            <w:r w:rsidRPr="000C6B5B">
              <w:rPr>
                <w:rFonts w:ascii="Arial" w:hAnsi="Arial" w:cs="Arial"/>
                <w:szCs w:val="24"/>
              </w:rPr>
              <w:t xml:space="preserve">        </w:t>
            </w:r>
            <w:r w:rsidR="00BF4323">
              <w:rPr>
                <w:rFonts w:ascii="Arial" w:hAnsi="Arial" w:cs="Arial"/>
                <w:szCs w:val="24"/>
              </w:rPr>
              <w:t>20</w:t>
            </w:r>
            <w:r w:rsidRPr="000C6B5B">
              <w:rPr>
                <w:rFonts w:ascii="Arial" w:hAnsi="Arial" w:cs="Arial"/>
                <w:szCs w:val="24"/>
              </w:rPr>
              <w:t>,</w:t>
            </w:r>
            <w:r w:rsidR="006F7E84">
              <w:rPr>
                <w:rFonts w:ascii="Arial" w:hAnsi="Arial" w:cs="Arial"/>
                <w:szCs w:val="24"/>
              </w:rPr>
              <w:t>8</w:t>
            </w:r>
            <w:r w:rsidR="00BF4323">
              <w:rPr>
                <w:rFonts w:ascii="Arial" w:hAnsi="Arial" w:cs="Arial"/>
                <w:szCs w:val="24"/>
              </w:rPr>
              <w:t>09</w:t>
            </w:r>
            <w:r w:rsidRPr="000C6B5B">
              <w:rPr>
                <w:rFonts w:ascii="Arial" w:hAnsi="Arial" w:cs="Arial"/>
                <w:szCs w:val="24"/>
              </w:rPr>
              <w:t>,</w:t>
            </w:r>
            <w:r w:rsidR="00BF4323">
              <w:rPr>
                <w:rFonts w:ascii="Arial" w:hAnsi="Arial" w:cs="Arial"/>
                <w:szCs w:val="24"/>
              </w:rPr>
              <w:t>094</w:t>
            </w:r>
          </w:p>
        </w:tc>
        <w:tc>
          <w:tcPr>
            <w:tcW w:w="270" w:type="dxa"/>
            <w:tcBorders>
              <w:top w:val="nil"/>
              <w:left w:val="nil"/>
              <w:bottom w:val="nil"/>
              <w:right w:val="nil"/>
            </w:tcBorders>
          </w:tcPr>
          <w:p w14:paraId="70FFA176" w14:textId="77777777" w:rsidR="00A461B4" w:rsidRPr="000C6B5B" w:rsidRDefault="00A461B4" w:rsidP="00154CF8">
            <w:pPr>
              <w:jc w:val="right"/>
              <w:rPr>
                <w:rFonts w:ascii="Arial" w:hAnsi="Arial" w:cs="Arial"/>
                <w:szCs w:val="24"/>
              </w:rPr>
            </w:pPr>
          </w:p>
        </w:tc>
        <w:tc>
          <w:tcPr>
            <w:tcW w:w="1809" w:type="dxa"/>
            <w:tcBorders>
              <w:top w:val="nil"/>
              <w:left w:val="nil"/>
              <w:bottom w:val="nil"/>
              <w:right w:val="nil"/>
            </w:tcBorders>
            <w:shd w:val="clear" w:color="auto" w:fill="auto"/>
            <w:noWrap/>
            <w:vAlign w:val="bottom"/>
          </w:tcPr>
          <w:p w14:paraId="19E21BE3" w14:textId="4336DD97" w:rsidR="00A461B4" w:rsidRPr="000C6B5B" w:rsidRDefault="00A461B4" w:rsidP="00893569">
            <w:pPr>
              <w:ind w:right="-351"/>
              <w:rPr>
                <w:rFonts w:ascii="Arial" w:hAnsi="Arial" w:cs="Arial"/>
                <w:szCs w:val="24"/>
              </w:rPr>
            </w:pPr>
            <w:r w:rsidRPr="000C6B5B">
              <w:rPr>
                <w:rFonts w:ascii="Arial" w:hAnsi="Arial" w:cs="Arial"/>
                <w:szCs w:val="24"/>
              </w:rPr>
              <w:t xml:space="preserve">       1</w:t>
            </w:r>
            <w:r w:rsidR="00BF4323">
              <w:rPr>
                <w:rFonts w:ascii="Arial" w:hAnsi="Arial" w:cs="Arial"/>
                <w:szCs w:val="24"/>
              </w:rPr>
              <w:t>6</w:t>
            </w:r>
            <w:r w:rsidRPr="000C6B5B">
              <w:rPr>
                <w:rFonts w:ascii="Arial" w:hAnsi="Arial" w:cs="Arial"/>
                <w:szCs w:val="24"/>
              </w:rPr>
              <w:t>,</w:t>
            </w:r>
            <w:r w:rsidR="00BF4323">
              <w:rPr>
                <w:rFonts w:ascii="Arial" w:hAnsi="Arial" w:cs="Arial"/>
                <w:szCs w:val="24"/>
              </w:rPr>
              <w:t>98</w:t>
            </w:r>
            <w:r w:rsidR="00494A9D">
              <w:rPr>
                <w:rFonts w:ascii="Arial" w:hAnsi="Arial" w:cs="Arial"/>
                <w:szCs w:val="24"/>
              </w:rPr>
              <w:t>3</w:t>
            </w:r>
            <w:r w:rsidRPr="000C6B5B">
              <w:rPr>
                <w:rFonts w:ascii="Arial" w:hAnsi="Arial" w:cs="Arial"/>
                <w:szCs w:val="24"/>
              </w:rPr>
              <w:t>,</w:t>
            </w:r>
            <w:r w:rsidR="00BF4323">
              <w:rPr>
                <w:rFonts w:ascii="Arial" w:hAnsi="Arial" w:cs="Arial"/>
                <w:szCs w:val="24"/>
              </w:rPr>
              <w:t>172</w:t>
            </w:r>
          </w:p>
        </w:tc>
        <w:tc>
          <w:tcPr>
            <w:tcW w:w="261" w:type="dxa"/>
            <w:tcBorders>
              <w:top w:val="nil"/>
              <w:left w:val="nil"/>
              <w:bottom w:val="nil"/>
              <w:right w:val="nil"/>
            </w:tcBorders>
          </w:tcPr>
          <w:p w14:paraId="12549C39" w14:textId="77777777" w:rsidR="00A461B4" w:rsidRPr="000C6B5B" w:rsidRDefault="00A461B4" w:rsidP="00154CF8">
            <w:pPr>
              <w:jc w:val="right"/>
              <w:rPr>
                <w:rFonts w:ascii="Arial" w:hAnsi="Arial" w:cs="Arial"/>
                <w:szCs w:val="24"/>
              </w:rPr>
            </w:pPr>
          </w:p>
        </w:tc>
        <w:tc>
          <w:tcPr>
            <w:tcW w:w="2142" w:type="dxa"/>
            <w:tcBorders>
              <w:top w:val="nil"/>
              <w:left w:val="nil"/>
              <w:bottom w:val="nil"/>
              <w:right w:val="nil"/>
            </w:tcBorders>
            <w:shd w:val="clear" w:color="auto" w:fill="auto"/>
            <w:noWrap/>
            <w:vAlign w:val="bottom"/>
          </w:tcPr>
          <w:p w14:paraId="52F9F87E" w14:textId="56CFA6C0" w:rsidR="00A461B4" w:rsidRPr="000C6B5B" w:rsidRDefault="00A461B4" w:rsidP="00334224">
            <w:pPr>
              <w:ind w:right="49"/>
              <w:jc w:val="right"/>
              <w:rPr>
                <w:rFonts w:ascii="Arial" w:hAnsi="Arial" w:cs="Arial"/>
                <w:szCs w:val="24"/>
              </w:rPr>
            </w:pPr>
            <w:r w:rsidRPr="000C6B5B">
              <w:rPr>
                <w:rFonts w:ascii="Arial" w:hAnsi="Arial" w:cs="Arial"/>
                <w:szCs w:val="24"/>
              </w:rPr>
              <w:t xml:space="preserve">     </w:t>
            </w:r>
            <w:r w:rsidR="00031AC5" w:rsidRPr="000C6B5B">
              <w:rPr>
                <w:rFonts w:ascii="Arial" w:hAnsi="Arial" w:cs="Arial"/>
                <w:szCs w:val="24"/>
              </w:rPr>
              <w:t xml:space="preserve">  </w:t>
            </w:r>
            <w:r w:rsidR="00026D84">
              <w:rPr>
                <w:rFonts w:ascii="Arial" w:hAnsi="Arial" w:cs="Arial"/>
                <w:szCs w:val="24"/>
              </w:rPr>
              <w:t>3</w:t>
            </w:r>
            <w:r w:rsidR="003241A4">
              <w:rPr>
                <w:rFonts w:ascii="Arial" w:hAnsi="Arial" w:cs="Arial"/>
                <w:szCs w:val="24"/>
              </w:rPr>
              <w:t>,</w:t>
            </w:r>
            <w:r w:rsidR="00BF4323">
              <w:rPr>
                <w:rFonts w:ascii="Arial" w:hAnsi="Arial" w:cs="Arial"/>
                <w:szCs w:val="24"/>
              </w:rPr>
              <w:t>825</w:t>
            </w:r>
            <w:r w:rsidRPr="000C6B5B">
              <w:rPr>
                <w:rFonts w:ascii="Arial" w:hAnsi="Arial" w:cs="Arial"/>
                <w:szCs w:val="24"/>
              </w:rPr>
              <w:t>,</w:t>
            </w:r>
            <w:r w:rsidR="00BF4323">
              <w:rPr>
                <w:rFonts w:ascii="Arial" w:hAnsi="Arial" w:cs="Arial"/>
                <w:szCs w:val="24"/>
              </w:rPr>
              <w:t>92</w:t>
            </w:r>
            <w:r w:rsidR="003241A4">
              <w:rPr>
                <w:rFonts w:ascii="Arial" w:hAnsi="Arial" w:cs="Arial"/>
                <w:szCs w:val="24"/>
              </w:rPr>
              <w:t>3</w:t>
            </w:r>
          </w:p>
        </w:tc>
      </w:tr>
      <w:tr w:rsidR="00A461B4" w:rsidRPr="000C6B5B" w14:paraId="0074246F" w14:textId="77777777" w:rsidTr="00154CF8">
        <w:trPr>
          <w:trHeight w:val="144"/>
          <w:jc w:val="center"/>
        </w:trPr>
        <w:tc>
          <w:tcPr>
            <w:tcW w:w="2718" w:type="dxa"/>
            <w:tcBorders>
              <w:top w:val="nil"/>
              <w:left w:val="nil"/>
              <w:bottom w:val="nil"/>
              <w:right w:val="nil"/>
            </w:tcBorders>
            <w:shd w:val="clear" w:color="auto" w:fill="auto"/>
            <w:noWrap/>
            <w:vAlign w:val="bottom"/>
          </w:tcPr>
          <w:p w14:paraId="688C1FE4" w14:textId="77777777" w:rsidR="00A461B4" w:rsidRPr="000C6B5B" w:rsidRDefault="00A461B4" w:rsidP="00154CF8">
            <w:pPr>
              <w:rPr>
                <w:rFonts w:ascii="Arial" w:hAnsi="Arial" w:cs="Arial"/>
                <w:szCs w:val="24"/>
              </w:rPr>
            </w:pPr>
          </w:p>
        </w:tc>
        <w:tc>
          <w:tcPr>
            <w:tcW w:w="236" w:type="dxa"/>
            <w:tcBorders>
              <w:top w:val="nil"/>
              <w:left w:val="nil"/>
              <w:bottom w:val="nil"/>
              <w:right w:val="nil"/>
            </w:tcBorders>
          </w:tcPr>
          <w:p w14:paraId="62B05D3F" w14:textId="77777777" w:rsidR="00A461B4" w:rsidRPr="000C6B5B" w:rsidRDefault="00A461B4" w:rsidP="00154CF8">
            <w:pPr>
              <w:jc w:val="right"/>
              <w:rPr>
                <w:rFonts w:ascii="Arial" w:hAnsi="Arial" w:cs="Arial"/>
                <w:szCs w:val="24"/>
              </w:rPr>
            </w:pPr>
          </w:p>
        </w:tc>
        <w:tc>
          <w:tcPr>
            <w:tcW w:w="2077" w:type="dxa"/>
            <w:tcBorders>
              <w:top w:val="nil"/>
              <w:left w:val="nil"/>
              <w:bottom w:val="nil"/>
              <w:right w:val="nil"/>
            </w:tcBorders>
            <w:shd w:val="clear" w:color="auto" w:fill="auto"/>
            <w:noWrap/>
            <w:vAlign w:val="bottom"/>
          </w:tcPr>
          <w:p w14:paraId="22F6178D" w14:textId="77777777" w:rsidR="00A461B4" w:rsidRPr="000C6B5B" w:rsidRDefault="00A461B4" w:rsidP="00154CF8">
            <w:pPr>
              <w:tabs>
                <w:tab w:val="decimal" w:pos="1569"/>
              </w:tabs>
              <w:jc w:val="center"/>
              <w:rPr>
                <w:rFonts w:ascii="Arial" w:hAnsi="Arial" w:cs="Arial"/>
                <w:szCs w:val="24"/>
              </w:rPr>
            </w:pPr>
          </w:p>
        </w:tc>
        <w:tc>
          <w:tcPr>
            <w:tcW w:w="270" w:type="dxa"/>
            <w:tcBorders>
              <w:top w:val="nil"/>
              <w:left w:val="nil"/>
              <w:bottom w:val="nil"/>
              <w:right w:val="nil"/>
            </w:tcBorders>
          </w:tcPr>
          <w:p w14:paraId="55F231A5" w14:textId="77777777" w:rsidR="00A461B4" w:rsidRPr="000C6B5B" w:rsidRDefault="00A461B4" w:rsidP="00154CF8">
            <w:pPr>
              <w:jc w:val="right"/>
              <w:rPr>
                <w:rFonts w:ascii="Arial" w:hAnsi="Arial" w:cs="Arial"/>
                <w:szCs w:val="24"/>
              </w:rPr>
            </w:pPr>
          </w:p>
        </w:tc>
        <w:tc>
          <w:tcPr>
            <w:tcW w:w="1809" w:type="dxa"/>
            <w:tcBorders>
              <w:top w:val="nil"/>
              <w:left w:val="nil"/>
              <w:bottom w:val="nil"/>
              <w:right w:val="nil"/>
            </w:tcBorders>
            <w:shd w:val="clear" w:color="auto" w:fill="auto"/>
            <w:noWrap/>
            <w:vAlign w:val="bottom"/>
          </w:tcPr>
          <w:p w14:paraId="47677456" w14:textId="77777777" w:rsidR="00A461B4" w:rsidRPr="000C6B5B" w:rsidRDefault="00A461B4" w:rsidP="00154CF8">
            <w:pPr>
              <w:tabs>
                <w:tab w:val="decimal" w:pos="1476"/>
              </w:tabs>
              <w:rPr>
                <w:rFonts w:ascii="Arial" w:hAnsi="Arial" w:cs="Arial"/>
                <w:szCs w:val="24"/>
              </w:rPr>
            </w:pPr>
          </w:p>
        </w:tc>
        <w:tc>
          <w:tcPr>
            <w:tcW w:w="261" w:type="dxa"/>
            <w:tcBorders>
              <w:top w:val="nil"/>
              <w:left w:val="nil"/>
              <w:bottom w:val="nil"/>
              <w:right w:val="nil"/>
            </w:tcBorders>
          </w:tcPr>
          <w:p w14:paraId="66E6E892" w14:textId="77777777" w:rsidR="00A461B4" w:rsidRPr="000C6B5B" w:rsidRDefault="00A461B4" w:rsidP="00154CF8">
            <w:pPr>
              <w:jc w:val="right"/>
              <w:rPr>
                <w:rFonts w:ascii="Arial" w:hAnsi="Arial" w:cs="Arial"/>
                <w:szCs w:val="24"/>
              </w:rPr>
            </w:pPr>
          </w:p>
        </w:tc>
        <w:tc>
          <w:tcPr>
            <w:tcW w:w="2142" w:type="dxa"/>
            <w:tcBorders>
              <w:top w:val="nil"/>
              <w:left w:val="nil"/>
              <w:bottom w:val="nil"/>
              <w:right w:val="nil"/>
            </w:tcBorders>
            <w:shd w:val="clear" w:color="auto" w:fill="auto"/>
            <w:noWrap/>
            <w:vAlign w:val="bottom"/>
          </w:tcPr>
          <w:p w14:paraId="4375275E" w14:textId="77777777" w:rsidR="00A461B4" w:rsidRPr="000C6B5B" w:rsidRDefault="00A461B4" w:rsidP="00154CF8">
            <w:pPr>
              <w:rPr>
                <w:rFonts w:ascii="Arial" w:hAnsi="Arial" w:cs="Arial"/>
                <w:szCs w:val="24"/>
              </w:rPr>
            </w:pPr>
          </w:p>
        </w:tc>
      </w:tr>
      <w:tr w:rsidR="00A461B4" w:rsidRPr="000C6B5B" w14:paraId="2A4293AF" w14:textId="77777777" w:rsidTr="00154CF8">
        <w:trPr>
          <w:trHeight w:val="288"/>
          <w:jc w:val="center"/>
        </w:trPr>
        <w:tc>
          <w:tcPr>
            <w:tcW w:w="2718" w:type="dxa"/>
            <w:tcBorders>
              <w:top w:val="nil"/>
              <w:left w:val="nil"/>
              <w:bottom w:val="nil"/>
              <w:right w:val="nil"/>
            </w:tcBorders>
            <w:shd w:val="clear" w:color="auto" w:fill="auto"/>
            <w:noWrap/>
            <w:vAlign w:val="bottom"/>
          </w:tcPr>
          <w:p w14:paraId="02A65D4A" w14:textId="77777777" w:rsidR="00A461B4" w:rsidRPr="000C6B5B" w:rsidRDefault="00A461B4" w:rsidP="00154CF8">
            <w:pPr>
              <w:rPr>
                <w:rFonts w:ascii="Arial" w:hAnsi="Arial" w:cs="Arial"/>
                <w:szCs w:val="24"/>
              </w:rPr>
            </w:pPr>
            <w:r w:rsidRPr="000C6B5B">
              <w:rPr>
                <w:rFonts w:ascii="Arial" w:hAnsi="Arial" w:cs="Arial"/>
                <w:szCs w:val="24"/>
              </w:rPr>
              <w:t>Rates PD, HT, EP</w:t>
            </w:r>
          </w:p>
        </w:tc>
        <w:tc>
          <w:tcPr>
            <w:tcW w:w="236" w:type="dxa"/>
            <w:tcBorders>
              <w:top w:val="nil"/>
              <w:left w:val="nil"/>
              <w:bottom w:val="nil"/>
              <w:right w:val="nil"/>
            </w:tcBorders>
          </w:tcPr>
          <w:p w14:paraId="4355A4BE" w14:textId="77777777" w:rsidR="00A461B4" w:rsidRPr="000C6B5B" w:rsidRDefault="00A461B4" w:rsidP="00154CF8">
            <w:pPr>
              <w:jc w:val="right"/>
              <w:rPr>
                <w:rFonts w:ascii="Arial" w:hAnsi="Arial" w:cs="Arial"/>
                <w:szCs w:val="24"/>
              </w:rPr>
            </w:pPr>
          </w:p>
        </w:tc>
        <w:tc>
          <w:tcPr>
            <w:tcW w:w="2077" w:type="dxa"/>
            <w:tcBorders>
              <w:top w:val="nil"/>
              <w:left w:val="nil"/>
              <w:bottom w:val="nil"/>
              <w:right w:val="nil"/>
            </w:tcBorders>
            <w:shd w:val="clear" w:color="auto" w:fill="auto"/>
            <w:noWrap/>
            <w:vAlign w:val="bottom"/>
          </w:tcPr>
          <w:p w14:paraId="479DEF97" w14:textId="7E1A424A" w:rsidR="00A461B4" w:rsidRPr="000C6B5B" w:rsidRDefault="00A461B4" w:rsidP="00975900">
            <w:pPr>
              <w:jc w:val="center"/>
              <w:rPr>
                <w:rFonts w:ascii="Arial" w:hAnsi="Arial" w:cs="Arial"/>
                <w:szCs w:val="24"/>
              </w:rPr>
            </w:pPr>
            <w:r w:rsidRPr="000C6B5B">
              <w:rPr>
                <w:rFonts w:ascii="Arial" w:hAnsi="Arial" w:cs="Arial"/>
                <w:szCs w:val="24"/>
              </w:rPr>
              <w:t xml:space="preserve">         </w:t>
            </w:r>
            <w:r w:rsidR="0057395D" w:rsidRPr="000C6B5B">
              <w:rPr>
                <w:rFonts w:ascii="Arial" w:hAnsi="Arial" w:cs="Arial"/>
                <w:szCs w:val="24"/>
              </w:rPr>
              <w:t>2</w:t>
            </w:r>
            <w:r w:rsidR="005A56F4">
              <w:rPr>
                <w:rFonts w:ascii="Arial" w:hAnsi="Arial" w:cs="Arial"/>
                <w:szCs w:val="24"/>
              </w:rPr>
              <w:t>6</w:t>
            </w:r>
            <w:r w:rsidRPr="000C6B5B">
              <w:rPr>
                <w:rFonts w:ascii="Arial" w:hAnsi="Arial" w:cs="Arial"/>
                <w:szCs w:val="24"/>
              </w:rPr>
              <w:t>,</w:t>
            </w:r>
            <w:r w:rsidR="005A56F4">
              <w:rPr>
                <w:rFonts w:ascii="Arial" w:hAnsi="Arial" w:cs="Arial"/>
                <w:szCs w:val="24"/>
              </w:rPr>
              <w:t>098</w:t>
            </w:r>
            <w:r w:rsidRPr="000C6B5B">
              <w:rPr>
                <w:rFonts w:ascii="Arial" w:hAnsi="Arial" w:cs="Arial"/>
                <w:szCs w:val="24"/>
              </w:rPr>
              <w:t>,</w:t>
            </w:r>
            <w:r w:rsidR="00F35223">
              <w:rPr>
                <w:rFonts w:ascii="Arial" w:hAnsi="Arial" w:cs="Arial"/>
                <w:szCs w:val="24"/>
              </w:rPr>
              <w:t>985</w:t>
            </w:r>
          </w:p>
        </w:tc>
        <w:tc>
          <w:tcPr>
            <w:tcW w:w="270" w:type="dxa"/>
            <w:tcBorders>
              <w:top w:val="nil"/>
              <w:left w:val="nil"/>
              <w:bottom w:val="nil"/>
              <w:right w:val="nil"/>
            </w:tcBorders>
          </w:tcPr>
          <w:p w14:paraId="10FD47EE" w14:textId="77777777" w:rsidR="00A461B4" w:rsidRPr="000C6B5B" w:rsidRDefault="00A461B4" w:rsidP="00154CF8">
            <w:pPr>
              <w:jc w:val="right"/>
              <w:rPr>
                <w:rFonts w:ascii="Arial" w:hAnsi="Arial" w:cs="Arial"/>
                <w:szCs w:val="24"/>
              </w:rPr>
            </w:pPr>
          </w:p>
        </w:tc>
        <w:tc>
          <w:tcPr>
            <w:tcW w:w="1809" w:type="dxa"/>
            <w:tcBorders>
              <w:top w:val="nil"/>
              <w:left w:val="nil"/>
              <w:bottom w:val="nil"/>
              <w:right w:val="nil"/>
            </w:tcBorders>
            <w:shd w:val="clear" w:color="auto" w:fill="auto"/>
            <w:noWrap/>
            <w:vAlign w:val="bottom"/>
          </w:tcPr>
          <w:p w14:paraId="5FBD214B" w14:textId="7FFD0B04" w:rsidR="00A461B4" w:rsidRPr="000C6B5B" w:rsidRDefault="00A461B4" w:rsidP="00975900">
            <w:pPr>
              <w:ind w:right="-261"/>
              <w:rPr>
                <w:rFonts w:ascii="Arial" w:hAnsi="Arial" w:cs="Arial"/>
                <w:szCs w:val="24"/>
              </w:rPr>
            </w:pPr>
            <w:r w:rsidRPr="000C6B5B">
              <w:rPr>
                <w:rFonts w:ascii="Arial" w:hAnsi="Arial" w:cs="Arial"/>
                <w:szCs w:val="24"/>
              </w:rPr>
              <w:t xml:space="preserve">       </w:t>
            </w:r>
            <w:r w:rsidR="00F35223">
              <w:rPr>
                <w:rFonts w:ascii="Arial" w:hAnsi="Arial" w:cs="Arial"/>
                <w:szCs w:val="24"/>
              </w:rPr>
              <w:t>22</w:t>
            </w:r>
            <w:r w:rsidRPr="000C6B5B">
              <w:rPr>
                <w:rFonts w:ascii="Arial" w:hAnsi="Arial" w:cs="Arial"/>
                <w:szCs w:val="24"/>
              </w:rPr>
              <w:t>,</w:t>
            </w:r>
            <w:r w:rsidR="00F35223">
              <w:rPr>
                <w:rFonts w:ascii="Arial" w:hAnsi="Arial" w:cs="Arial"/>
                <w:szCs w:val="24"/>
              </w:rPr>
              <w:t>451</w:t>
            </w:r>
            <w:r w:rsidRPr="000C6B5B">
              <w:rPr>
                <w:rFonts w:ascii="Arial" w:hAnsi="Arial" w:cs="Arial"/>
                <w:szCs w:val="24"/>
              </w:rPr>
              <w:t>,</w:t>
            </w:r>
            <w:r w:rsidR="00F35223">
              <w:rPr>
                <w:rFonts w:ascii="Arial" w:hAnsi="Arial" w:cs="Arial"/>
                <w:szCs w:val="24"/>
              </w:rPr>
              <w:t>142</w:t>
            </w:r>
          </w:p>
        </w:tc>
        <w:tc>
          <w:tcPr>
            <w:tcW w:w="261" w:type="dxa"/>
            <w:tcBorders>
              <w:top w:val="nil"/>
              <w:left w:val="nil"/>
              <w:bottom w:val="nil"/>
              <w:right w:val="nil"/>
            </w:tcBorders>
          </w:tcPr>
          <w:p w14:paraId="75B31E0C" w14:textId="77777777" w:rsidR="00A461B4" w:rsidRPr="000C6B5B" w:rsidRDefault="00A461B4" w:rsidP="00154CF8">
            <w:pPr>
              <w:jc w:val="right"/>
              <w:rPr>
                <w:rFonts w:ascii="Arial" w:hAnsi="Arial" w:cs="Arial"/>
                <w:szCs w:val="24"/>
              </w:rPr>
            </w:pPr>
          </w:p>
        </w:tc>
        <w:tc>
          <w:tcPr>
            <w:tcW w:w="2142" w:type="dxa"/>
            <w:tcBorders>
              <w:top w:val="nil"/>
              <w:left w:val="nil"/>
              <w:bottom w:val="nil"/>
              <w:right w:val="nil"/>
            </w:tcBorders>
            <w:shd w:val="clear" w:color="auto" w:fill="auto"/>
            <w:noWrap/>
            <w:vAlign w:val="bottom"/>
          </w:tcPr>
          <w:p w14:paraId="7394B076" w14:textId="2D966C9B" w:rsidR="00A461B4" w:rsidRPr="000C6B5B" w:rsidRDefault="00A461B4" w:rsidP="00F35223">
            <w:pPr>
              <w:ind w:right="49"/>
              <w:jc w:val="right"/>
              <w:rPr>
                <w:rFonts w:ascii="Arial" w:hAnsi="Arial" w:cs="Arial"/>
                <w:szCs w:val="24"/>
              </w:rPr>
            </w:pPr>
            <w:r w:rsidRPr="000C6B5B">
              <w:rPr>
                <w:rFonts w:ascii="Arial" w:hAnsi="Arial" w:cs="Arial"/>
                <w:szCs w:val="24"/>
              </w:rPr>
              <w:t xml:space="preserve">            </w:t>
            </w:r>
            <w:r w:rsidR="00F35223">
              <w:rPr>
                <w:rFonts w:ascii="Arial" w:hAnsi="Arial" w:cs="Arial"/>
                <w:szCs w:val="24"/>
              </w:rPr>
              <w:t>3,64</w:t>
            </w:r>
            <w:r w:rsidR="003241A4">
              <w:rPr>
                <w:rFonts w:ascii="Arial" w:hAnsi="Arial" w:cs="Arial"/>
                <w:szCs w:val="24"/>
              </w:rPr>
              <w:t>7</w:t>
            </w:r>
            <w:r w:rsidRPr="000C6B5B">
              <w:rPr>
                <w:rFonts w:ascii="Arial" w:hAnsi="Arial" w:cs="Arial"/>
                <w:szCs w:val="24"/>
              </w:rPr>
              <w:t>,</w:t>
            </w:r>
            <w:r w:rsidR="00F35223">
              <w:rPr>
                <w:rFonts w:ascii="Arial" w:hAnsi="Arial" w:cs="Arial"/>
                <w:szCs w:val="24"/>
              </w:rPr>
              <w:t>843</w:t>
            </w:r>
          </w:p>
        </w:tc>
      </w:tr>
      <w:tr w:rsidR="00A461B4" w:rsidRPr="000C6B5B" w14:paraId="07513A67" w14:textId="77777777" w:rsidTr="00154CF8">
        <w:trPr>
          <w:trHeight w:val="144"/>
          <w:jc w:val="center"/>
        </w:trPr>
        <w:tc>
          <w:tcPr>
            <w:tcW w:w="2718" w:type="dxa"/>
            <w:tcBorders>
              <w:top w:val="nil"/>
              <w:left w:val="nil"/>
              <w:bottom w:val="nil"/>
              <w:right w:val="nil"/>
            </w:tcBorders>
            <w:shd w:val="clear" w:color="auto" w:fill="auto"/>
            <w:noWrap/>
            <w:vAlign w:val="bottom"/>
          </w:tcPr>
          <w:p w14:paraId="57285AF1" w14:textId="77777777" w:rsidR="00A461B4" w:rsidRPr="000C6B5B" w:rsidRDefault="00A461B4" w:rsidP="00154CF8">
            <w:pPr>
              <w:rPr>
                <w:rFonts w:ascii="Arial" w:hAnsi="Arial" w:cs="Arial"/>
                <w:szCs w:val="24"/>
              </w:rPr>
            </w:pPr>
          </w:p>
        </w:tc>
        <w:tc>
          <w:tcPr>
            <w:tcW w:w="236" w:type="dxa"/>
            <w:tcBorders>
              <w:top w:val="nil"/>
              <w:left w:val="nil"/>
              <w:bottom w:val="nil"/>
              <w:right w:val="nil"/>
            </w:tcBorders>
          </w:tcPr>
          <w:p w14:paraId="4235BC7F" w14:textId="77777777" w:rsidR="00A461B4" w:rsidRPr="000C6B5B" w:rsidRDefault="00A461B4" w:rsidP="00154CF8">
            <w:pPr>
              <w:jc w:val="right"/>
              <w:rPr>
                <w:rFonts w:ascii="Arial" w:hAnsi="Arial" w:cs="Arial"/>
                <w:szCs w:val="24"/>
              </w:rPr>
            </w:pPr>
          </w:p>
        </w:tc>
        <w:tc>
          <w:tcPr>
            <w:tcW w:w="2077" w:type="dxa"/>
            <w:tcBorders>
              <w:top w:val="nil"/>
              <w:left w:val="nil"/>
              <w:bottom w:val="nil"/>
              <w:right w:val="nil"/>
            </w:tcBorders>
            <w:shd w:val="clear" w:color="auto" w:fill="auto"/>
            <w:noWrap/>
            <w:vAlign w:val="bottom"/>
          </w:tcPr>
          <w:p w14:paraId="228D3206" w14:textId="77777777" w:rsidR="00A461B4" w:rsidRPr="000C6B5B" w:rsidRDefault="00A461B4" w:rsidP="00154CF8">
            <w:pPr>
              <w:tabs>
                <w:tab w:val="decimal" w:pos="1569"/>
              </w:tabs>
              <w:jc w:val="center"/>
              <w:rPr>
                <w:rFonts w:ascii="Arial" w:hAnsi="Arial" w:cs="Arial"/>
                <w:szCs w:val="24"/>
              </w:rPr>
            </w:pPr>
          </w:p>
        </w:tc>
        <w:tc>
          <w:tcPr>
            <w:tcW w:w="270" w:type="dxa"/>
            <w:tcBorders>
              <w:top w:val="nil"/>
              <w:left w:val="nil"/>
              <w:bottom w:val="nil"/>
              <w:right w:val="nil"/>
            </w:tcBorders>
          </w:tcPr>
          <w:p w14:paraId="1DC4DA83" w14:textId="77777777" w:rsidR="00A461B4" w:rsidRPr="000C6B5B" w:rsidRDefault="00A461B4" w:rsidP="00154CF8">
            <w:pPr>
              <w:jc w:val="right"/>
              <w:rPr>
                <w:rFonts w:ascii="Arial" w:hAnsi="Arial" w:cs="Arial"/>
                <w:szCs w:val="24"/>
              </w:rPr>
            </w:pPr>
          </w:p>
        </w:tc>
        <w:tc>
          <w:tcPr>
            <w:tcW w:w="1809" w:type="dxa"/>
            <w:tcBorders>
              <w:top w:val="nil"/>
              <w:left w:val="nil"/>
              <w:bottom w:val="nil"/>
              <w:right w:val="nil"/>
            </w:tcBorders>
            <w:shd w:val="clear" w:color="auto" w:fill="auto"/>
            <w:noWrap/>
            <w:vAlign w:val="bottom"/>
          </w:tcPr>
          <w:p w14:paraId="23FF8E43" w14:textId="77777777" w:rsidR="00A461B4" w:rsidRPr="000C6B5B" w:rsidRDefault="00A461B4" w:rsidP="00154CF8">
            <w:pPr>
              <w:tabs>
                <w:tab w:val="decimal" w:pos="1476"/>
              </w:tabs>
              <w:rPr>
                <w:rFonts w:ascii="Arial" w:hAnsi="Arial" w:cs="Arial"/>
                <w:szCs w:val="24"/>
              </w:rPr>
            </w:pPr>
          </w:p>
        </w:tc>
        <w:tc>
          <w:tcPr>
            <w:tcW w:w="261" w:type="dxa"/>
            <w:tcBorders>
              <w:top w:val="nil"/>
              <w:left w:val="nil"/>
              <w:bottom w:val="nil"/>
              <w:right w:val="nil"/>
            </w:tcBorders>
          </w:tcPr>
          <w:p w14:paraId="1E015C6F" w14:textId="77777777" w:rsidR="00A461B4" w:rsidRPr="000C6B5B" w:rsidRDefault="00A461B4" w:rsidP="00154CF8">
            <w:pPr>
              <w:jc w:val="right"/>
              <w:rPr>
                <w:rFonts w:ascii="Arial" w:hAnsi="Arial" w:cs="Arial"/>
                <w:szCs w:val="24"/>
              </w:rPr>
            </w:pPr>
          </w:p>
        </w:tc>
        <w:tc>
          <w:tcPr>
            <w:tcW w:w="2142" w:type="dxa"/>
            <w:tcBorders>
              <w:top w:val="nil"/>
              <w:left w:val="nil"/>
              <w:bottom w:val="nil"/>
              <w:right w:val="nil"/>
            </w:tcBorders>
            <w:shd w:val="clear" w:color="auto" w:fill="auto"/>
            <w:noWrap/>
            <w:vAlign w:val="bottom"/>
          </w:tcPr>
          <w:p w14:paraId="3543DBBA" w14:textId="77777777" w:rsidR="00A461B4" w:rsidRPr="000C6B5B" w:rsidRDefault="00A461B4" w:rsidP="00154CF8">
            <w:pPr>
              <w:rPr>
                <w:rFonts w:ascii="Arial" w:hAnsi="Arial" w:cs="Arial"/>
                <w:szCs w:val="24"/>
              </w:rPr>
            </w:pPr>
          </w:p>
        </w:tc>
      </w:tr>
      <w:tr w:rsidR="00A461B4" w:rsidRPr="000C6B5B" w14:paraId="34E70A44" w14:textId="77777777" w:rsidTr="00AD12B8">
        <w:trPr>
          <w:trHeight w:val="288"/>
          <w:jc w:val="center"/>
        </w:trPr>
        <w:tc>
          <w:tcPr>
            <w:tcW w:w="2718" w:type="dxa"/>
            <w:tcBorders>
              <w:top w:val="nil"/>
              <w:left w:val="nil"/>
              <w:bottom w:val="nil"/>
              <w:right w:val="nil"/>
            </w:tcBorders>
            <w:shd w:val="clear" w:color="auto" w:fill="auto"/>
            <w:noWrap/>
            <w:vAlign w:val="bottom"/>
          </w:tcPr>
          <w:p w14:paraId="523A2E00" w14:textId="77777777" w:rsidR="00A461B4" w:rsidRPr="000C6B5B" w:rsidRDefault="00A461B4" w:rsidP="00154CF8">
            <w:pPr>
              <w:ind w:right="-270"/>
              <w:rPr>
                <w:rFonts w:ascii="Arial" w:hAnsi="Arial" w:cs="Arial"/>
                <w:szCs w:val="24"/>
              </w:rPr>
            </w:pPr>
            <w:r w:rsidRPr="000C6B5B">
              <w:rPr>
                <w:rFonts w:ascii="Arial" w:hAnsi="Arial" w:cs="Arial"/>
                <w:szCs w:val="24"/>
              </w:rPr>
              <w:t xml:space="preserve">Rates SLE, </w:t>
            </w:r>
            <w:r w:rsidR="00CB5752" w:rsidRPr="000C6B5B">
              <w:rPr>
                <w:rFonts w:ascii="Arial" w:hAnsi="Arial" w:cs="Arial"/>
                <w:szCs w:val="24"/>
              </w:rPr>
              <w:t>SLS, POL</w:t>
            </w:r>
            <w:r w:rsidRPr="000C6B5B">
              <w:rPr>
                <w:rFonts w:ascii="Arial" w:hAnsi="Arial" w:cs="Arial"/>
                <w:szCs w:val="24"/>
              </w:rPr>
              <w:t>, AL, TLCL</w:t>
            </w:r>
          </w:p>
        </w:tc>
        <w:tc>
          <w:tcPr>
            <w:tcW w:w="236" w:type="dxa"/>
            <w:tcBorders>
              <w:top w:val="nil"/>
              <w:left w:val="nil"/>
              <w:bottom w:val="nil"/>
              <w:right w:val="nil"/>
            </w:tcBorders>
          </w:tcPr>
          <w:p w14:paraId="1D0392C4" w14:textId="77777777" w:rsidR="00A461B4" w:rsidRPr="000C6B5B" w:rsidRDefault="00A461B4" w:rsidP="00154CF8">
            <w:pPr>
              <w:jc w:val="right"/>
              <w:rPr>
                <w:rFonts w:ascii="Arial" w:hAnsi="Arial" w:cs="Arial"/>
                <w:szCs w:val="24"/>
              </w:rPr>
            </w:pPr>
          </w:p>
        </w:tc>
        <w:tc>
          <w:tcPr>
            <w:tcW w:w="2077" w:type="dxa"/>
            <w:tcBorders>
              <w:top w:val="nil"/>
              <w:left w:val="nil"/>
              <w:bottom w:val="single" w:sz="4" w:space="0" w:color="auto"/>
              <w:right w:val="nil"/>
            </w:tcBorders>
            <w:shd w:val="clear" w:color="auto" w:fill="auto"/>
            <w:noWrap/>
            <w:vAlign w:val="bottom"/>
          </w:tcPr>
          <w:p w14:paraId="2D2217BC" w14:textId="43EEC303" w:rsidR="00A461B4" w:rsidRPr="00AD12B8" w:rsidRDefault="00A461B4" w:rsidP="00BF6A1D">
            <w:pPr>
              <w:tabs>
                <w:tab w:val="left" w:pos="1784"/>
              </w:tabs>
              <w:ind w:right="76"/>
              <w:jc w:val="right"/>
              <w:rPr>
                <w:rFonts w:ascii="Arial" w:hAnsi="Arial" w:cs="Arial"/>
                <w:szCs w:val="24"/>
              </w:rPr>
            </w:pPr>
            <w:r w:rsidRPr="00AD12B8">
              <w:rPr>
                <w:rFonts w:ascii="Arial" w:hAnsi="Arial" w:cs="Arial"/>
                <w:szCs w:val="24"/>
              </w:rPr>
              <w:t xml:space="preserve">              </w:t>
            </w:r>
            <w:r w:rsidR="00887D7C">
              <w:rPr>
                <w:rFonts w:ascii="Arial" w:hAnsi="Arial" w:cs="Arial"/>
                <w:szCs w:val="24"/>
              </w:rPr>
              <w:t xml:space="preserve"> </w:t>
            </w:r>
            <w:r w:rsidR="009C309E">
              <w:rPr>
                <w:rFonts w:ascii="Arial" w:hAnsi="Arial" w:cs="Arial"/>
                <w:szCs w:val="24"/>
              </w:rPr>
              <w:t>57</w:t>
            </w:r>
            <w:r w:rsidRPr="00AD12B8">
              <w:rPr>
                <w:rFonts w:ascii="Arial" w:hAnsi="Arial" w:cs="Arial"/>
                <w:szCs w:val="24"/>
              </w:rPr>
              <w:t>,</w:t>
            </w:r>
            <w:r w:rsidR="0077055C">
              <w:rPr>
                <w:rFonts w:ascii="Arial" w:hAnsi="Arial" w:cs="Arial"/>
                <w:szCs w:val="24"/>
              </w:rPr>
              <w:t>10</w:t>
            </w:r>
            <w:r w:rsidR="009C309E">
              <w:rPr>
                <w:rFonts w:ascii="Arial" w:hAnsi="Arial" w:cs="Arial"/>
                <w:szCs w:val="24"/>
              </w:rPr>
              <w:t>4</w:t>
            </w:r>
          </w:p>
        </w:tc>
        <w:tc>
          <w:tcPr>
            <w:tcW w:w="270" w:type="dxa"/>
            <w:tcBorders>
              <w:top w:val="nil"/>
              <w:left w:val="nil"/>
              <w:bottom w:val="nil"/>
              <w:right w:val="nil"/>
            </w:tcBorders>
          </w:tcPr>
          <w:p w14:paraId="0FF5596C" w14:textId="77777777" w:rsidR="00A461B4" w:rsidRPr="00AD12B8" w:rsidRDefault="00A461B4" w:rsidP="00154CF8">
            <w:pPr>
              <w:jc w:val="right"/>
              <w:rPr>
                <w:rFonts w:ascii="Arial" w:hAnsi="Arial" w:cs="Arial"/>
                <w:szCs w:val="24"/>
              </w:rPr>
            </w:pPr>
          </w:p>
        </w:tc>
        <w:tc>
          <w:tcPr>
            <w:tcW w:w="1809" w:type="dxa"/>
            <w:tcBorders>
              <w:top w:val="nil"/>
              <w:left w:val="nil"/>
              <w:bottom w:val="single" w:sz="4" w:space="0" w:color="auto"/>
              <w:right w:val="nil"/>
            </w:tcBorders>
            <w:shd w:val="clear" w:color="auto" w:fill="auto"/>
            <w:noWrap/>
            <w:vAlign w:val="bottom"/>
          </w:tcPr>
          <w:p w14:paraId="52743AB5" w14:textId="6D539502" w:rsidR="00A461B4" w:rsidRPr="00AD12B8" w:rsidRDefault="00A461B4" w:rsidP="00975900">
            <w:pPr>
              <w:ind w:right="-351"/>
              <w:rPr>
                <w:rFonts w:ascii="Arial" w:hAnsi="Arial" w:cs="Arial"/>
                <w:szCs w:val="24"/>
              </w:rPr>
            </w:pPr>
            <w:r w:rsidRPr="00AD12B8">
              <w:rPr>
                <w:rFonts w:ascii="Arial" w:hAnsi="Arial" w:cs="Arial"/>
                <w:szCs w:val="24"/>
              </w:rPr>
              <w:t xml:space="preserve">              </w:t>
            </w:r>
            <w:r w:rsidR="009E6831">
              <w:rPr>
                <w:rFonts w:ascii="Arial" w:hAnsi="Arial" w:cs="Arial"/>
                <w:szCs w:val="24"/>
              </w:rPr>
              <w:t>5</w:t>
            </w:r>
            <w:r w:rsidR="0077055C">
              <w:rPr>
                <w:rFonts w:ascii="Arial" w:hAnsi="Arial" w:cs="Arial"/>
                <w:szCs w:val="24"/>
              </w:rPr>
              <w:t>2</w:t>
            </w:r>
            <w:r w:rsidRPr="00AD12B8">
              <w:rPr>
                <w:rFonts w:ascii="Arial" w:hAnsi="Arial" w:cs="Arial"/>
                <w:szCs w:val="24"/>
              </w:rPr>
              <w:t>,</w:t>
            </w:r>
            <w:r w:rsidR="009E6831">
              <w:rPr>
                <w:rFonts w:ascii="Arial" w:hAnsi="Arial" w:cs="Arial"/>
                <w:szCs w:val="24"/>
              </w:rPr>
              <w:t>830</w:t>
            </w:r>
          </w:p>
        </w:tc>
        <w:tc>
          <w:tcPr>
            <w:tcW w:w="261" w:type="dxa"/>
            <w:tcBorders>
              <w:top w:val="nil"/>
              <w:left w:val="nil"/>
              <w:bottom w:val="nil"/>
              <w:right w:val="nil"/>
            </w:tcBorders>
          </w:tcPr>
          <w:p w14:paraId="4FFD0D9E" w14:textId="77777777" w:rsidR="00A461B4" w:rsidRPr="00AD12B8" w:rsidRDefault="00A461B4" w:rsidP="00154CF8">
            <w:pPr>
              <w:jc w:val="right"/>
              <w:rPr>
                <w:rFonts w:ascii="Arial" w:hAnsi="Arial" w:cs="Arial"/>
                <w:szCs w:val="24"/>
              </w:rPr>
            </w:pPr>
          </w:p>
        </w:tc>
        <w:tc>
          <w:tcPr>
            <w:tcW w:w="2142" w:type="dxa"/>
            <w:tcBorders>
              <w:top w:val="nil"/>
              <w:left w:val="nil"/>
              <w:bottom w:val="single" w:sz="4" w:space="0" w:color="auto"/>
              <w:right w:val="nil"/>
            </w:tcBorders>
            <w:shd w:val="clear" w:color="auto" w:fill="auto"/>
            <w:noWrap/>
            <w:vAlign w:val="bottom"/>
          </w:tcPr>
          <w:p w14:paraId="3A003466" w14:textId="7123A9EA" w:rsidR="00A461B4" w:rsidRPr="00AD12B8" w:rsidRDefault="00A461B4" w:rsidP="00975900">
            <w:pPr>
              <w:ind w:right="-572"/>
              <w:rPr>
                <w:rFonts w:ascii="Arial" w:hAnsi="Arial" w:cs="Arial"/>
                <w:szCs w:val="24"/>
              </w:rPr>
            </w:pPr>
            <w:r w:rsidRPr="00AD12B8">
              <w:rPr>
                <w:rFonts w:ascii="Arial" w:hAnsi="Arial" w:cs="Arial"/>
                <w:szCs w:val="24"/>
              </w:rPr>
              <w:t xml:space="preserve">                 </w:t>
            </w:r>
            <w:r w:rsidR="000949C3" w:rsidRPr="00AD12B8">
              <w:rPr>
                <w:rFonts w:ascii="Arial" w:hAnsi="Arial" w:cs="Arial"/>
                <w:szCs w:val="24"/>
              </w:rPr>
              <w:t xml:space="preserve"> </w:t>
            </w:r>
            <w:r w:rsidR="00BF6A1D">
              <w:rPr>
                <w:rFonts w:ascii="Arial" w:hAnsi="Arial" w:cs="Arial"/>
                <w:szCs w:val="24"/>
              </w:rPr>
              <w:t xml:space="preserve"> </w:t>
            </w:r>
            <w:r w:rsidR="00EC3F12">
              <w:rPr>
                <w:rFonts w:ascii="Arial" w:hAnsi="Arial" w:cs="Arial"/>
                <w:szCs w:val="24"/>
              </w:rPr>
              <w:t>4</w:t>
            </w:r>
            <w:r w:rsidRPr="00AD12B8">
              <w:rPr>
                <w:rFonts w:ascii="Arial" w:hAnsi="Arial" w:cs="Arial"/>
                <w:szCs w:val="24"/>
              </w:rPr>
              <w:t>,</w:t>
            </w:r>
            <w:r w:rsidR="00EC3F12">
              <w:rPr>
                <w:rFonts w:ascii="Arial" w:hAnsi="Arial" w:cs="Arial"/>
                <w:szCs w:val="24"/>
              </w:rPr>
              <w:t>27</w:t>
            </w:r>
            <w:r w:rsidR="00E45CDC">
              <w:rPr>
                <w:rFonts w:ascii="Arial" w:hAnsi="Arial" w:cs="Arial"/>
                <w:szCs w:val="24"/>
              </w:rPr>
              <w:t>4</w:t>
            </w:r>
          </w:p>
        </w:tc>
      </w:tr>
      <w:tr w:rsidR="00A461B4" w:rsidRPr="000C6B5B" w14:paraId="10B98EB8" w14:textId="77777777" w:rsidTr="00AD12B8">
        <w:trPr>
          <w:trHeight w:val="144"/>
          <w:jc w:val="center"/>
        </w:trPr>
        <w:tc>
          <w:tcPr>
            <w:tcW w:w="2718" w:type="dxa"/>
            <w:tcBorders>
              <w:top w:val="nil"/>
              <w:left w:val="nil"/>
              <w:bottom w:val="nil"/>
              <w:right w:val="nil"/>
            </w:tcBorders>
            <w:shd w:val="clear" w:color="auto" w:fill="auto"/>
            <w:noWrap/>
            <w:vAlign w:val="bottom"/>
          </w:tcPr>
          <w:p w14:paraId="1E81AB0C" w14:textId="77777777" w:rsidR="00A461B4" w:rsidRPr="000C6B5B" w:rsidRDefault="00A461B4" w:rsidP="00154CF8">
            <w:pPr>
              <w:rPr>
                <w:rFonts w:ascii="Arial" w:hAnsi="Arial" w:cs="Arial"/>
                <w:szCs w:val="24"/>
              </w:rPr>
            </w:pPr>
          </w:p>
        </w:tc>
        <w:tc>
          <w:tcPr>
            <w:tcW w:w="236" w:type="dxa"/>
            <w:tcBorders>
              <w:top w:val="nil"/>
              <w:left w:val="nil"/>
              <w:bottom w:val="nil"/>
              <w:right w:val="nil"/>
            </w:tcBorders>
          </w:tcPr>
          <w:p w14:paraId="6F8BA4C0" w14:textId="77777777" w:rsidR="00A461B4" w:rsidRPr="000C6B5B" w:rsidRDefault="00A461B4" w:rsidP="00154CF8">
            <w:pPr>
              <w:jc w:val="right"/>
              <w:rPr>
                <w:rFonts w:ascii="Arial" w:hAnsi="Arial" w:cs="Arial"/>
                <w:szCs w:val="24"/>
              </w:rPr>
            </w:pPr>
          </w:p>
        </w:tc>
        <w:tc>
          <w:tcPr>
            <w:tcW w:w="2077" w:type="dxa"/>
            <w:tcBorders>
              <w:top w:val="single" w:sz="4" w:space="0" w:color="auto"/>
              <w:left w:val="nil"/>
              <w:right w:val="nil"/>
            </w:tcBorders>
            <w:shd w:val="clear" w:color="auto" w:fill="auto"/>
            <w:noWrap/>
            <w:vAlign w:val="bottom"/>
          </w:tcPr>
          <w:p w14:paraId="5B3C5F32" w14:textId="77777777" w:rsidR="00A461B4" w:rsidRPr="00AD12B8" w:rsidRDefault="00A461B4" w:rsidP="00154CF8">
            <w:pPr>
              <w:tabs>
                <w:tab w:val="decimal" w:pos="1569"/>
              </w:tabs>
              <w:rPr>
                <w:rFonts w:ascii="Arial" w:hAnsi="Arial" w:cs="Arial"/>
                <w:szCs w:val="24"/>
              </w:rPr>
            </w:pPr>
          </w:p>
        </w:tc>
        <w:tc>
          <w:tcPr>
            <w:tcW w:w="270" w:type="dxa"/>
            <w:tcBorders>
              <w:top w:val="nil"/>
              <w:left w:val="nil"/>
              <w:right w:val="nil"/>
            </w:tcBorders>
          </w:tcPr>
          <w:p w14:paraId="361CEE56" w14:textId="77777777" w:rsidR="00A461B4" w:rsidRPr="00AD12B8" w:rsidRDefault="00A461B4" w:rsidP="00154CF8">
            <w:pPr>
              <w:jc w:val="right"/>
              <w:rPr>
                <w:rFonts w:ascii="Arial" w:hAnsi="Arial" w:cs="Arial"/>
                <w:szCs w:val="24"/>
              </w:rPr>
            </w:pPr>
          </w:p>
        </w:tc>
        <w:tc>
          <w:tcPr>
            <w:tcW w:w="1809" w:type="dxa"/>
            <w:tcBorders>
              <w:top w:val="single" w:sz="4" w:space="0" w:color="auto"/>
              <w:left w:val="nil"/>
              <w:right w:val="nil"/>
            </w:tcBorders>
            <w:shd w:val="clear" w:color="auto" w:fill="auto"/>
            <w:noWrap/>
            <w:vAlign w:val="bottom"/>
          </w:tcPr>
          <w:p w14:paraId="0EF025AC" w14:textId="77777777" w:rsidR="00A461B4" w:rsidRPr="00AD12B8" w:rsidRDefault="00A461B4" w:rsidP="00154CF8">
            <w:pPr>
              <w:tabs>
                <w:tab w:val="decimal" w:pos="1476"/>
              </w:tabs>
              <w:rPr>
                <w:rFonts w:ascii="Arial" w:hAnsi="Arial" w:cs="Arial"/>
                <w:szCs w:val="24"/>
              </w:rPr>
            </w:pPr>
          </w:p>
        </w:tc>
        <w:tc>
          <w:tcPr>
            <w:tcW w:w="261" w:type="dxa"/>
            <w:tcBorders>
              <w:top w:val="nil"/>
              <w:left w:val="nil"/>
              <w:right w:val="nil"/>
            </w:tcBorders>
          </w:tcPr>
          <w:p w14:paraId="2DE1F574" w14:textId="77777777" w:rsidR="00A461B4" w:rsidRPr="00AD12B8" w:rsidRDefault="00A461B4" w:rsidP="00154CF8">
            <w:pPr>
              <w:jc w:val="right"/>
              <w:rPr>
                <w:rFonts w:ascii="Arial" w:hAnsi="Arial" w:cs="Arial"/>
                <w:szCs w:val="24"/>
              </w:rPr>
            </w:pPr>
          </w:p>
        </w:tc>
        <w:tc>
          <w:tcPr>
            <w:tcW w:w="2142" w:type="dxa"/>
            <w:tcBorders>
              <w:top w:val="single" w:sz="4" w:space="0" w:color="auto"/>
              <w:left w:val="nil"/>
              <w:right w:val="nil"/>
            </w:tcBorders>
            <w:shd w:val="clear" w:color="auto" w:fill="auto"/>
            <w:noWrap/>
            <w:vAlign w:val="bottom"/>
          </w:tcPr>
          <w:p w14:paraId="50921EEF" w14:textId="77777777" w:rsidR="00A461B4" w:rsidRPr="00AD12B8" w:rsidRDefault="00A461B4" w:rsidP="00154CF8">
            <w:pPr>
              <w:rPr>
                <w:rFonts w:ascii="Arial" w:hAnsi="Arial" w:cs="Arial"/>
                <w:szCs w:val="24"/>
              </w:rPr>
            </w:pPr>
          </w:p>
        </w:tc>
      </w:tr>
      <w:tr w:rsidR="00A461B4" w:rsidRPr="000C6B5B" w14:paraId="0BB2C6C0" w14:textId="77777777" w:rsidTr="00AD12B8">
        <w:trPr>
          <w:trHeight w:val="288"/>
          <w:jc w:val="center"/>
        </w:trPr>
        <w:tc>
          <w:tcPr>
            <w:tcW w:w="2718" w:type="dxa"/>
            <w:tcBorders>
              <w:top w:val="nil"/>
              <w:left w:val="nil"/>
              <w:bottom w:val="nil"/>
              <w:right w:val="nil"/>
            </w:tcBorders>
            <w:shd w:val="clear" w:color="auto" w:fill="auto"/>
            <w:vAlign w:val="bottom"/>
          </w:tcPr>
          <w:p w14:paraId="39A4DECB" w14:textId="22DFE6EB" w:rsidR="00A461B4" w:rsidRPr="000C6B5B" w:rsidRDefault="00A461B4" w:rsidP="00154CF8">
            <w:pPr>
              <w:rPr>
                <w:rFonts w:ascii="Arial" w:hAnsi="Arial" w:cs="Arial"/>
                <w:szCs w:val="24"/>
              </w:rPr>
            </w:pPr>
            <w:r w:rsidRPr="000C6B5B">
              <w:rPr>
                <w:rFonts w:ascii="Arial" w:hAnsi="Arial" w:cs="Arial"/>
                <w:szCs w:val="24"/>
              </w:rPr>
              <w:t xml:space="preserve">     Total</w:t>
            </w:r>
          </w:p>
        </w:tc>
        <w:tc>
          <w:tcPr>
            <w:tcW w:w="236" w:type="dxa"/>
            <w:tcBorders>
              <w:top w:val="nil"/>
              <w:left w:val="nil"/>
              <w:bottom w:val="nil"/>
              <w:right w:val="nil"/>
            </w:tcBorders>
          </w:tcPr>
          <w:p w14:paraId="0503E332" w14:textId="77777777" w:rsidR="00A461B4" w:rsidRPr="000C6B5B" w:rsidRDefault="00A461B4" w:rsidP="00154CF8">
            <w:pPr>
              <w:jc w:val="right"/>
              <w:rPr>
                <w:rFonts w:ascii="Arial" w:hAnsi="Arial" w:cs="Arial"/>
                <w:szCs w:val="24"/>
                <w:u w:val="double"/>
              </w:rPr>
            </w:pPr>
          </w:p>
        </w:tc>
        <w:tc>
          <w:tcPr>
            <w:tcW w:w="2077" w:type="dxa"/>
            <w:tcBorders>
              <w:left w:val="nil"/>
              <w:bottom w:val="double" w:sz="4" w:space="0" w:color="auto"/>
              <w:right w:val="nil"/>
            </w:tcBorders>
            <w:shd w:val="clear" w:color="auto" w:fill="auto"/>
            <w:noWrap/>
            <w:vAlign w:val="bottom"/>
          </w:tcPr>
          <w:p w14:paraId="012FB9A7" w14:textId="5BBF7BE6" w:rsidR="00A461B4" w:rsidRPr="00AD12B8" w:rsidRDefault="00A461B4" w:rsidP="0021790A">
            <w:pPr>
              <w:jc w:val="center"/>
              <w:rPr>
                <w:rFonts w:ascii="Arial" w:hAnsi="Arial" w:cs="Arial"/>
                <w:szCs w:val="24"/>
              </w:rPr>
            </w:pPr>
            <w:r w:rsidRPr="00AD12B8">
              <w:rPr>
                <w:rFonts w:ascii="Arial" w:hAnsi="Arial" w:cs="Arial"/>
                <w:szCs w:val="24"/>
              </w:rPr>
              <w:t xml:space="preserve"> </w:t>
            </w:r>
            <w:r w:rsidR="0021790A" w:rsidRPr="00AD12B8">
              <w:rPr>
                <w:rFonts w:ascii="Arial" w:hAnsi="Arial" w:cs="Arial"/>
                <w:szCs w:val="24"/>
              </w:rPr>
              <w:t xml:space="preserve"> </w:t>
            </w:r>
            <w:r w:rsidRPr="00AD12B8">
              <w:rPr>
                <w:rFonts w:ascii="Arial" w:hAnsi="Arial" w:cs="Arial"/>
                <w:szCs w:val="24"/>
              </w:rPr>
              <w:t xml:space="preserve">$   </w:t>
            </w:r>
            <w:r w:rsidR="008D751C">
              <w:rPr>
                <w:rFonts w:ascii="Arial" w:hAnsi="Arial" w:cs="Arial"/>
                <w:szCs w:val="24"/>
              </w:rPr>
              <w:t>82</w:t>
            </w:r>
            <w:r w:rsidRPr="00AD12B8">
              <w:rPr>
                <w:rFonts w:ascii="Arial" w:hAnsi="Arial" w:cs="Arial"/>
                <w:szCs w:val="24"/>
              </w:rPr>
              <w:t>,</w:t>
            </w:r>
            <w:r w:rsidR="008D751C">
              <w:rPr>
                <w:rFonts w:ascii="Arial" w:hAnsi="Arial" w:cs="Arial"/>
                <w:szCs w:val="24"/>
              </w:rPr>
              <w:t>168</w:t>
            </w:r>
            <w:r w:rsidRPr="00AD12B8">
              <w:rPr>
                <w:rFonts w:ascii="Arial" w:hAnsi="Arial" w:cs="Arial"/>
                <w:szCs w:val="24"/>
              </w:rPr>
              <w:t>,</w:t>
            </w:r>
            <w:r w:rsidR="008D751C">
              <w:rPr>
                <w:rFonts w:ascii="Arial" w:hAnsi="Arial" w:cs="Arial"/>
                <w:szCs w:val="24"/>
              </w:rPr>
              <w:t>338</w:t>
            </w:r>
          </w:p>
        </w:tc>
        <w:tc>
          <w:tcPr>
            <w:tcW w:w="270" w:type="dxa"/>
            <w:tcBorders>
              <w:top w:val="nil"/>
              <w:left w:val="nil"/>
              <w:right w:val="nil"/>
            </w:tcBorders>
          </w:tcPr>
          <w:p w14:paraId="1EF1EFE5" w14:textId="77777777" w:rsidR="00A461B4" w:rsidRPr="00AD12B8" w:rsidRDefault="00A461B4" w:rsidP="00154CF8">
            <w:pPr>
              <w:jc w:val="right"/>
              <w:rPr>
                <w:rFonts w:ascii="Arial" w:hAnsi="Arial" w:cs="Arial"/>
                <w:szCs w:val="24"/>
              </w:rPr>
            </w:pPr>
          </w:p>
        </w:tc>
        <w:tc>
          <w:tcPr>
            <w:tcW w:w="1809" w:type="dxa"/>
            <w:tcBorders>
              <w:left w:val="nil"/>
              <w:bottom w:val="double" w:sz="4" w:space="0" w:color="auto"/>
              <w:right w:val="nil"/>
            </w:tcBorders>
            <w:shd w:val="clear" w:color="auto" w:fill="auto"/>
            <w:noWrap/>
            <w:vAlign w:val="bottom"/>
          </w:tcPr>
          <w:p w14:paraId="428CEED2" w14:textId="48CBE2DD" w:rsidR="00A461B4" w:rsidRPr="00AD12B8" w:rsidRDefault="00A461B4" w:rsidP="0021790A">
            <w:pPr>
              <w:ind w:right="-261"/>
              <w:rPr>
                <w:rFonts w:ascii="Arial" w:hAnsi="Arial" w:cs="Arial"/>
                <w:szCs w:val="24"/>
              </w:rPr>
            </w:pPr>
            <w:r w:rsidRPr="00AD12B8">
              <w:rPr>
                <w:rFonts w:ascii="Arial" w:hAnsi="Arial" w:cs="Arial"/>
                <w:szCs w:val="24"/>
              </w:rPr>
              <w:t xml:space="preserve"> </w:t>
            </w:r>
            <w:r w:rsidR="0021790A" w:rsidRPr="00AD12B8">
              <w:rPr>
                <w:rFonts w:ascii="Arial" w:hAnsi="Arial" w:cs="Arial"/>
                <w:szCs w:val="24"/>
              </w:rPr>
              <w:t xml:space="preserve"> </w:t>
            </w:r>
            <w:r w:rsidRPr="00AD12B8">
              <w:rPr>
                <w:rFonts w:ascii="Arial" w:hAnsi="Arial" w:cs="Arial"/>
                <w:szCs w:val="24"/>
              </w:rPr>
              <w:t xml:space="preserve">$   </w:t>
            </w:r>
            <w:r w:rsidR="00437ACD">
              <w:rPr>
                <w:rFonts w:ascii="Arial" w:hAnsi="Arial" w:cs="Arial"/>
                <w:szCs w:val="24"/>
              </w:rPr>
              <w:t>71</w:t>
            </w:r>
            <w:r w:rsidRPr="00AD12B8">
              <w:rPr>
                <w:rFonts w:ascii="Arial" w:hAnsi="Arial" w:cs="Arial"/>
                <w:szCs w:val="24"/>
              </w:rPr>
              <w:t>,</w:t>
            </w:r>
            <w:r w:rsidR="00437ACD">
              <w:rPr>
                <w:rFonts w:ascii="Arial" w:hAnsi="Arial" w:cs="Arial"/>
                <w:szCs w:val="24"/>
              </w:rPr>
              <w:t>609</w:t>
            </w:r>
            <w:r w:rsidRPr="00AD12B8">
              <w:rPr>
                <w:rFonts w:ascii="Arial" w:hAnsi="Arial" w:cs="Arial"/>
                <w:szCs w:val="24"/>
              </w:rPr>
              <w:t>,</w:t>
            </w:r>
            <w:r w:rsidR="00437ACD">
              <w:rPr>
                <w:rFonts w:ascii="Arial" w:hAnsi="Arial" w:cs="Arial"/>
                <w:szCs w:val="24"/>
              </w:rPr>
              <w:t>6</w:t>
            </w:r>
            <w:r w:rsidR="00647A8A">
              <w:rPr>
                <w:rFonts w:ascii="Arial" w:hAnsi="Arial" w:cs="Arial"/>
                <w:szCs w:val="24"/>
              </w:rPr>
              <w:t>60</w:t>
            </w:r>
            <w:r w:rsidRPr="00AD12B8">
              <w:rPr>
                <w:rFonts w:ascii="Arial" w:hAnsi="Arial" w:cs="Arial"/>
                <w:szCs w:val="24"/>
              </w:rPr>
              <w:t xml:space="preserve"> </w:t>
            </w:r>
          </w:p>
        </w:tc>
        <w:tc>
          <w:tcPr>
            <w:tcW w:w="261" w:type="dxa"/>
            <w:tcBorders>
              <w:top w:val="nil"/>
              <w:left w:val="nil"/>
              <w:right w:val="nil"/>
            </w:tcBorders>
          </w:tcPr>
          <w:p w14:paraId="33B2D055" w14:textId="77777777" w:rsidR="00A461B4" w:rsidRPr="00AD12B8" w:rsidRDefault="00A461B4" w:rsidP="00154CF8">
            <w:pPr>
              <w:jc w:val="right"/>
              <w:rPr>
                <w:rFonts w:ascii="Arial" w:hAnsi="Arial" w:cs="Arial"/>
                <w:szCs w:val="24"/>
              </w:rPr>
            </w:pPr>
          </w:p>
        </w:tc>
        <w:tc>
          <w:tcPr>
            <w:tcW w:w="2142" w:type="dxa"/>
            <w:tcBorders>
              <w:left w:val="nil"/>
              <w:bottom w:val="double" w:sz="4" w:space="0" w:color="auto"/>
              <w:right w:val="nil"/>
            </w:tcBorders>
            <w:shd w:val="clear" w:color="auto" w:fill="auto"/>
            <w:noWrap/>
            <w:vAlign w:val="bottom"/>
          </w:tcPr>
          <w:p w14:paraId="6DEF2D89" w14:textId="5B495547" w:rsidR="00A461B4" w:rsidRPr="00AD12B8" w:rsidRDefault="00A461B4" w:rsidP="0021790A">
            <w:pPr>
              <w:ind w:right="-73"/>
              <w:rPr>
                <w:rFonts w:ascii="Arial" w:hAnsi="Arial" w:cs="Arial"/>
                <w:szCs w:val="24"/>
              </w:rPr>
            </w:pPr>
            <w:r w:rsidRPr="00AD12B8">
              <w:rPr>
                <w:rFonts w:ascii="Arial" w:hAnsi="Arial" w:cs="Arial"/>
                <w:szCs w:val="24"/>
              </w:rPr>
              <w:t xml:space="preserve">    $  </w:t>
            </w:r>
            <w:r w:rsidR="00EB3B35" w:rsidRPr="00AD12B8">
              <w:rPr>
                <w:rFonts w:ascii="Arial" w:hAnsi="Arial" w:cs="Arial"/>
                <w:szCs w:val="24"/>
              </w:rPr>
              <w:t xml:space="preserve"> </w:t>
            </w:r>
            <w:r w:rsidR="00BF6A1D">
              <w:rPr>
                <w:rFonts w:ascii="Arial" w:hAnsi="Arial" w:cs="Arial"/>
                <w:szCs w:val="24"/>
              </w:rPr>
              <w:t xml:space="preserve"> </w:t>
            </w:r>
            <w:r w:rsidR="00EB3B35" w:rsidRPr="00AD12B8">
              <w:rPr>
                <w:rFonts w:ascii="Arial" w:hAnsi="Arial" w:cs="Arial"/>
                <w:szCs w:val="24"/>
              </w:rPr>
              <w:t>1</w:t>
            </w:r>
            <w:r w:rsidR="00EC3F12">
              <w:rPr>
                <w:rFonts w:ascii="Arial" w:hAnsi="Arial" w:cs="Arial"/>
                <w:szCs w:val="24"/>
              </w:rPr>
              <w:t>0</w:t>
            </w:r>
            <w:r w:rsidRPr="00AD12B8">
              <w:rPr>
                <w:rFonts w:ascii="Arial" w:hAnsi="Arial" w:cs="Arial"/>
                <w:szCs w:val="24"/>
              </w:rPr>
              <w:t>,</w:t>
            </w:r>
            <w:r w:rsidR="00EC3F12">
              <w:rPr>
                <w:rFonts w:ascii="Arial" w:hAnsi="Arial" w:cs="Arial"/>
                <w:szCs w:val="24"/>
              </w:rPr>
              <w:t>558</w:t>
            </w:r>
            <w:r w:rsidRPr="00AD12B8">
              <w:rPr>
                <w:rFonts w:ascii="Arial" w:hAnsi="Arial" w:cs="Arial"/>
                <w:szCs w:val="24"/>
              </w:rPr>
              <w:t>,</w:t>
            </w:r>
            <w:r w:rsidR="00EB3B35" w:rsidRPr="00AD12B8">
              <w:rPr>
                <w:rFonts w:ascii="Arial" w:hAnsi="Arial" w:cs="Arial"/>
                <w:szCs w:val="24"/>
              </w:rPr>
              <w:t>6</w:t>
            </w:r>
            <w:r w:rsidR="00437ACD">
              <w:rPr>
                <w:rFonts w:ascii="Arial" w:hAnsi="Arial" w:cs="Arial"/>
                <w:szCs w:val="24"/>
              </w:rPr>
              <w:t>79</w:t>
            </w:r>
          </w:p>
        </w:tc>
      </w:tr>
    </w:tbl>
    <w:p w14:paraId="025B3D89" w14:textId="77777777" w:rsidR="00710127" w:rsidRPr="00BE0936" w:rsidRDefault="00710127" w:rsidP="00710127">
      <w:pPr>
        <w:tabs>
          <w:tab w:val="center" w:pos="4680"/>
        </w:tabs>
        <w:suppressAutoHyphens/>
        <w:rPr>
          <w:rFonts w:ascii="Arial" w:hAnsi="Arial" w:cs="Arial"/>
          <w:szCs w:val="24"/>
        </w:rPr>
      </w:pPr>
    </w:p>
    <w:p w14:paraId="01547230" w14:textId="77777777" w:rsidR="00710127" w:rsidRDefault="00710127" w:rsidP="00710127">
      <w:pPr>
        <w:tabs>
          <w:tab w:val="center" w:pos="4680"/>
        </w:tabs>
        <w:suppressAutoHyphens/>
        <w:rPr>
          <w:rFonts w:ascii="Arial" w:hAnsi="Arial" w:cs="Arial"/>
          <w:szCs w:val="24"/>
        </w:rPr>
      </w:pPr>
    </w:p>
    <w:p w14:paraId="48B01565" w14:textId="1CDC171C" w:rsidR="00806CD3" w:rsidRDefault="00806CD3" w:rsidP="00245AE1">
      <w:pPr>
        <w:pStyle w:val="Heading1"/>
        <w:rPr>
          <w:rFonts w:ascii="Arial" w:hAnsi="Arial" w:cs="Arial"/>
          <w:sz w:val="26"/>
          <w:szCs w:val="26"/>
          <w:u w:val="none"/>
        </w:rPr>
      </w:pPr>
    </w:p>
    <w:p w14:paraId="426F473E" w14:textId="77777777" w:rsidR="00806CD3" w:rsidRPr="00806CD3" w:rsidRDefault="00806CD3" w:rsidP="00806CD3"/>
    <w:p w14:paraId="566733BE" w14:textId="77777777" w:rsidR="00806CD3" w:rsidRDefault="00806CD3" w:rsidP="00245AE1">
      <w:pPr>
        <w:pStyle w:val="Heading1"/>
        <w:rPr>
          <w:rFonts w:ascii="Arial" w:hAnsi="Arial" w:cs="Arial"/>
          <w:sz w:val="26"/>
          <w:szCs w:val="26"/>
          <w:u w:val="none"/>
        </w:rPr>
      </w:pPr>
    </w:p>
    <w:p w14:paraId="33C23A27" w14:textId="77777777" w:rsidR="00806CD3" w:rsidRDefault="00806CD3" w:rsidP="00245AE1">
      <w:pPr>
        <w:pStyle w:val="Heading1"/>
        <w:rPr>
          <w:rFonts w:ascii="Arial" w:hAnsi="Arial" w:cs="Arial"/>
          <w:sz w:val="26"/>
          <w:szCs w:val="26"/>
          <w:u w:val="none"/>
        </w:rPr>
      </w:pPr>
    </w:p>
    <w:p w14:paraId="0250D809" w14:textId="77777777" w:rsidR="00806CD3" w:rsidRDefault="00806CD3" w:rsidP="00245AE1">
      <w:pPr>
        <w:pStyle w:val="Heading1"/>
        <w:rPr>
          <w:rFonts w:ascii="Arial" w:hAnsi="Arial" w:cs="Arial"/>
          <w:sz w:val="26"/>
          <w:szCs w:val="26"/>
          <w:u w:val="none"/>
        </w:rPr>
      </w:pPr>
    </w:p>
    <w:p w14:paraId="2F6A74A3" w14:textId="77777777" w:rsidR="00806CD3" w:rsidRDefault="00806CD3" w:rsidP="00245AE1">
      <w:pPr>
        <w:pStyle w:val="Heading1"/>
        <w:rPr>
          <w:rFonts w:ascii="Arial" w:hAnsi="Arial" w:cs="Arial"/>
          <w:sz w:val="26"/>
          <w:szCs w:val="26"/>
          <w:u w:val="none"/>
        </w:rPr>
      </w:pPr>
    </w:p>
    <w:p w14:paraId="5E0C4D61" w14:textId="77777777" w:rsidR="00806CD3" w:rsidRDefault="00806CD3" w:rsidP="00245AE1">
      <w:pPr>
        <w:pStyle w:val="Heading1"/>
        <w:rPr>
          <w:rFonts w:ascii="Arial" w:hAnsi="Arial" w:cs="Arial"/>
          <w:sz w:val="26"/>
          <w:szCs w:val="26"/>
          <w:u w:val="none"/>
        </w:rPr>
      </w:pPr>
    </w:p>
    <w:p w14:paraId="64307D32" w14:textId="77777777" w:rsidR="00806CD3" w:rsidRDefault="00806CD3" w:rsidP="00245AE1">
      <w:pPr>
        <w:pStyle w:val="Heading1"/>
        <w:rPr>
          <w:rFonts w:ascii="Arial" w:hAnsi="Arial" w:cs="Arial"/>
          <w:sz w:val="26"/>
          <w:szCs w:val="26"/>
          <w:u w:val="none"/>
        </w:rPr>
      </w:pPr>
    </w:p>
    <w:p w14:paraId="31070796" w14:textId="77777777" w:rsidR="00806CD3" w:rsidRDefault="00806CD3" w:rsidP="00245AE1">
      <w:pPr>
        <w:pStyle w:val="Heading1"/>
        <w:rPr>
          <w:rFonts w:ascii="Arial" w:hAnsi="Arial" w:cs="Arial"/>
          <w:sz w:val="26"/>
          <w:szCs w:val="26"/>
          <w:u w:val="none"/>
        </w:rPr>
      </w:pPr>
    </w:p>
    <w:p w14:paraId="1C085DB6" w14:textId="77777777" w:rsidR="00806CD3" w:rsidRDefault="00806CD3" w:rsidP="00245AE1">
      <w:pPr>
        <w:pStyle w:val="Heading1"/>
        <w:rPr>
          <w:rFonts w:ascii="Arial" w:hAnsi="Arial" w:cs="Arial"/>
          <w:sz w:val="26"/>
          <w:szCs w:val="26"/>
          <w:u w:val="none"/>
        </w:rPr>
      </w:pPr>
    </w:p>
    <w:p w14:paraId="7A578D32" w14:textId="77777777" w:rsidR="00806CD3" w:rsidRDefault="00806CD3" w:rsidP="00245AE1">
      <w:pPr>
        <w:pStyle w:val="Heading1"/>
        <w:rPr>
          <w:rFonts w:ascii="Arial" w:hAnsi="Arial" w:cs="Arial"/>
          <w:sz w:val="26"/>
          <w:szCs w:val="26"/>
          <w:u w:val="none"/>
        </w:rPr>
      </w:pPr>
    </w:p>
    <w:p w14:paraId="62989190" w14:textId="77777777" w:rsidR="00806CD3" w:rsidRDefault="00806CD3" w:rsidP="00245AE1">
      <w:pPr>
        <w:pStyle w:val="Heading1"/>
        <w:rPr>
          <w:rFonts w:ascii="Arial" w:hAnsi="Arial" w:cs="Arial"/>
          <w:sz w:val="26"/>
          <w:szCs w:val="26"/>
          <w:u w:val="none"/>
        </w:rPr>
      </w:pPr>
    </w:p>
    <w:p w14:paraId="5334A57F" w14:textId="77777777" w:rsidR="00806CD3" w:rsidRDefault="00806CD3" w:rsidP="00245AE1">
      <w:pPr>
        <w:pStyle w:val="Heading1"/>
        <w:rPr>
          <w:rFonts w:ascii="Arial" w:hAnsi="Arial" w:cs="Arial"/>
          <w:sz w:val="26"/>
          <w:szCs w:val="26"/>
          <w:u w:val="none"/>
        </w:rPr>
      </w:pPr>
    </w:p>
    <w:p w14:paraId="004A9BDD" w14:textId="77777777" w:rsidR="00806CD3" w:rsidRDefault="00806CD3" w:rsidP="00245AE1">
      <w:pPr>
        <w:pStyle w:val="Heading1"/>
        <w:rPr>
          <w:rFonts w:ascii="Arial" w:hAnsi="Arial" w:cs="Arial"/>
          <w:sz w:val="26"/>
          <w:szCs w:val="26"/>
          <w:u w:val="none"/>
        </w:rPr>
      </w:pPr>
    </w:p>
    <w:p w14:paraId="3CEE7DF8" w14:textId="507D74D1" w:rsidR="00806CD3" w:rsidRDefault="00806CD3" w:rsidP="00621FB8">
      <w:pPr>
        <w:pStyle w:val="Heading1"/>
        <w:ind w:right="90"/>
        <w:rPr>
          <w:rFonts w:ascii="Arial" w:hAnsi="Arial" w:cs="Arial"/>
          <w:sz w:val="26"/>
          <w:szCs w:val="26"/>
          <w:u w:val="none"/>
        </w:rPr>
      </w:pPr>
    </w:p>
    <w:p w14:paraId="77F74C04" w14:textId="77777777" w:rsidR="00F638F2" w:rsidRPr="00F638F2" w:rsidRDefault="00F638F2" w:rsidP="00F638F2"/>
    <w:p w14:paraId="3113E302" w14:textId="68948AB0" w:rsidR="00445AE3" w:rsidRDefault="00445AE3" w:rsidP="00445AE3">
      <w:pPr>
        <w:pStyle w:val="Heading1"/>
        <w:jc w:val="left"/>
        <w:rPr>
          <w:rFonts w:ascii="Arial" w:hAnsi="Arial" w:cs="Arial"/>
          <w:sz w:val="26"/>
          <w:szCs w:val="26"/>
          <w:u w:val="none"/>
        </w:rPr>
      </w:pPr>
    </w:p>
    <w:p w14:paraId="25996F2F" w14:textId="77777777" w:rsidR="00D82C8A" w:rsidRPr="00D82C8A" w:rsidRDefault="00D82C8A" w:rsidP="00D82C8A"/>
    <w:p w14:paraId="7A75248B" w14:textId="77777777" w:rsidR="005B4B79" w:rsidRPr="005B4B79" w:rsidRDefault="005B4B79" w:rsidP="005B4B79"/>
    <w:p w14:paraId="7275DFBD" w14:textId="35B9B9A6" w:rsidR="005D711E" w:rsidRPr="00C87157" w:rsidRDefault="00C87157" w:rsidP="005B4B79">
      <w:pPr>
        <w:pStyle w:val="Heading1"/>
        <w:rPr>
          <w:rFonts w:ascii="Arial" w:hAnsi="Arial" w:cs="Arial"/>
          <w:sz w:val="26"/>
          <w:szCs w:val="26"/>
          <w:u w:val="none"/>
        </w:rPr>
      </w:pPr>
      <w:r>
        <w:rPr>
          <w:rFonts w:ascii="Arial" w:hAnsi="Arial" w:cs="Arial"/>
          <w:sz w:val="26"/>
          <w:szCs w:val="26"/>
          <w:u w:val="none"/>
        </w:rPr>
        <w:lastRenderedPageBreak/>
        <w:t>Notes t</w:t>
      </w:r>
      <w:r w:rsidR="009F33F0">
        <w:rPr>
          <w:rFonts w:ascii="Arial" w:hAnsi="Arial" w:cs="Arial"/>
          <w:sz w:val="26"/>
          <w:szCs w:val="26"/>
          <w:u w:val="none"/>
        </w:rPr>
        <w:t>o t</w:t>
      </w:r>
      <w:r w:rsidR="005D711E" w:rsidRPr="00C87157">
        <w:rPr>
          <w:rFonts w:ascii="Arial" w:hAnsi="Arial" w:cs="Arial"/>
          <w:sz w:val="26"/>
          <w:szCs w:val="26"/>
          <w:u w:val="none"/>
        </w:rPr>
        <w:t>he Financial Statement</w:t>
      </w:r>
      <w:r w:rsidR="002064E8">
        <w:rPr>
          <w:rFonts w:ascii="Arial" w:hAnsi="Arial" w:cs="Arial"/>
          <w:sz w:val="26"/>
          <w:szCs w:val="26"/>
          <w:u w:val="none"/>
        </w:rPr>
        <w:t>s</w:t>
      </w:r>
    </w:p>
    <w:p w14:paraId="2F155B7C" w14:textId="77777777" w:rsidR="00BF0E3F" w:rsidRDefault="00BF0E3F" w:rsidP="00BF0E3F">
      <w:pPr>
        <w:pStyle w:val="EndnoteText"/>
        <w:tabs>
          <w:tab w:val="left" w:pos="475"/>
        </w:tabs>
        <w:suppressAutoHyphens/>
        <w:jc w:val="both"/>
        <w:rPr>
          <w:rFonts w:ascii="Arial" w:hAnsi="Arial" w:cs="Arial"/>
          <w:b/>
          <w:szCs w:val="24"/>
          <w:u w:val="single"/>
        </w:rPr>
      </w:pPr>
    </w:p>
    <w:p w14:paraId="763B1204" w14:textId="77777777" w:rsidR="005B4B79" w:rsidRDefault="005B4B79" w:rsidP="00EC04F8">
      <w:pPr>
        <w:jc w:val="both"/>
        <w:rPr>
          <w:rFonts w:ascii="Arial" w:hAnsi="Arial" w:cs="Arial"/>
          <w:b/>
          <w:szCs w:val="24"/>
          <w:u w:val="single"/>
        </w:rPr>
      </w:pPr>
    </w:p>
    <w:p w14:paraId="61636768" w14:textId="16FE2DE3" w:rsidR="00EC04F8" w:rsidRPr="00936DE2" w:rsidRDefault="00EC04F8" w:rsidP="00EC04F8">
      <w:pPr>
        <w:jc w:val="both"/>
        <w:rPr>
          <w:rFonts w:ascii="Arial" w:hAnsi="Arial" w:cs="Arial"/>
          <w:b/>
          <w:szCs w:val="24"/>
          <w:u w:val="single"/>
        </w:rPr>
      </w:pPr>
      <w:r>
        <w:rPr>
          <w:rFonts w:ascii="Arial" w:hAnsi="Arial" w:cs="Arial"/>
          <w:b/>
          <w:szCs w:val="24"/>
          <w:u w:val="single"/>
        </w:rPr>
        <w:t xml:space="preserve">1 </w:t>
      </w:r>
      <w:r w:rsidR="00975FE0">
        <w:rPr>
          <w:rFonts w:ascii="Arial" w:hAnsi="Arial" w:cs="Arial"/>
          <w:b/>
          <w:szCs w:val="24"/>
          <w:u w:val="single"/>
        </w:rPr>
        <w:t>-</w:t>
      </w:r>
      <w:r>
        <w:rPr>
          <w:rFonts w:ascii="Arial" w:hAnsi="Arial" w:cs="Arial"/>
          <w:b/>
          <w:szCs w:val="24"/>
          <w:u w:val="single"/>
        </w:rPr>
        <w:t xml:space="preserve"> Condensed Statement</w:t>
      </w:r>
      <w:r w:rsidR="00B13656">
        <w:rPr>
          <w:rFonts w:ascii="Arial" w:hAnsi="Arial" w:cs="Arial"/>
          <w:b/>
          <w:szCs w:val="24"/>
          <w:u w:val="single"/>
        </w:rPr>
        <w:t>s</w:t>
      </w:r>
    </w:p>
    <w:p w14:paraId="3D82E5EF" w14:textId="77777777" w:rsidR="00EC04F8" w:rsidRPr="00EC04F8" w:rsidRDefault="00EC04F8" w:rsidP="00EC04F8">
      <w:pPr>
        <w:tabs>
          <w:tab w:val="left" w:pos="360"/>
        </w:tabs>
        <w:jc w:val="both"/>
        <w:rPr>
          <w:rFonts w:ascii="Arial" w:hAnsi="Arial" w:cs="Arial"/>
          <w:b/>
          <w:szCs w:val="24"/>
          <w:highlight w:val="lightGray"/>
          <w:u w:val="single"/>
        </w:rPr>
      </w:pPr>
    </w:p>
    <w:p w14:paraId="61BBE3E7" w14:textId="190A6207" w:rsidR="00EC04F8" w:rsidRPr="007D5DFB" w:rsidRDefault="00EC04F8" w:rsidP="00EC04F8">
      <w:pPr>
        <w:pStyle w:val="EndnoteText"/>
        <w:tabs>
          <w:tab w:val="left" w:pos="9180"/>
        </w:tabs>
        <w:suppressAutoHyphens/>
        <w:ind w:left="360"/>
        <w:rPr>
          <w:rFonts w:ascii="Arial" w:hAnsi="Arial" w:cs="Arial"/>
          <w:szCs w:val="26"/>
        </w:rPr>
      </w:pPr>
      <w:r>
        <w:rPr>
          <w:rFonts w:ascii="Arial" w:hAnsi="Arial" w:cs="Arial"/>
          <w:szCs w:val="24"/>
        </w:rPr>
        <w:t xml:space="preserve">The </w:t>
      </w:r>
      <w:r w:rsidRPr="00936DE2">
        <w:rPr>
          <w:rFonts w:ascii="Arial" w:hAnsi="Arial" w:cs="Arial"/>
          <w:szCs w:val="24"/>
        </w:rPr>
        <w:t>Statement</w:t>
      </w:r>
      <w:r w:rsidR="004C3BAD">
        <w:rPr>
          <w:rFonts w:ascii="Arial" w:hAnsi="Arial" w:cs="Arial"/>
          <w:szCs w:val="24"/>
        </w:rPr>
        <w:t>s</w:t>
      </w:r>
      <w:r w:rsidRPr="00936DE2">
        <w:rPr>
          <w:rFonts w:ascii="Arial" w:hAnsi="Arial" w:cs="Arial"/>
          <w:szCs w:val="24"/>
        </w:rPr>
        <w:t xml:space="preserve"> </w:t>
      </w:r>
      <w:r>
        <w:rPr>
          <w:rFonts w:ascii="Arial" w:hAnsi="Arial" w:cs="Arial"/>
          <w:szCs w:val="24"/>
        </w:rPr>
        <w:t>o</w:t>
      </w:r>
      <w:r w:rsidRPr="00936DE2">
        <w:rPr>
          <w:rFonts w:ascii="Arial" w:hAnsi="Arial" w:cs="Arial"/>
          <w:szCs w:val="24"/>
        </w:rPr>
        <w:t>f</w:t>
      </w:r>
      <w:r>
        <w:rPr>
          <w:rFonts w:ascii="Arial" w:hAnsi="Arial" w:cs="Arial"/>
          <w:szCs w:val="24"/>
        </w:rPr>
        <w:t xml:space="preserve"> </w:t>
      </w:r>
      <w:r w:rsidR="00965F26">
        <w:rPr>
          <w:rFonts w:ascii="Arial" w:hAnsi="Arial" w:cs="Arial"/>
          <w:szCs w:val="24"/>
        </w:rPr>
        <w:t>Non-</w:t>
      </w:r>
      <w:proofErr w:type="spellStart"/>
      <w:r w:rsidR="00965F26">
        <w:rPr>
          <w:rFonts w:ascii="Arial" w:hAnsi="Arial" w:cs="Arial"/>
          <w:szCs w:val="24"/>
        </w:rPr>
        <w:t>Bypassable</w:t>
      </w:r>
      <w:proofErr w:type="spellEnd"/>
      <w:r w:rsidR="00965F26">
        <w:rPr>
          <w:rFonts w:ascii="Arial" w:hAnsi="Arial" w:cs="Arial"/>
          <w:szCs w:val="24"/>
        </w:rPr>
        <w:t xml:space="preserve"> </w:t>
      </w:r>
      <w:r w:rsidR="00015364">
        <w:rPr>
          <w:rFonts w:ascii="Arial" w:hAnsi="Arial" w:cs="Arial"/>
          <w:szCs w:val="24"/>
        </w:rPr>
        <w:t>Transmission Service Charge</w:t>
      </w:r>
      <w:r w:rsidR="00381BFC">
        <w:rPr>
          <w:rFonts w:ascii="Arial" w:hAnsi="Arial" w:cs="Arial"/>
          <w:szCs w:val="24"/>
        </w:rPr>
        <w:t xml:space="preserve"> (</w:t>
      </w:r>
      <w:r w:rsidR="00965F26">
        <w:rPr>
          <w:rFonts w:ascii="Arial" w:hAnsi="Arial" w:cs="Arial"/>
          <w:szCs w:val="24"/>
        </w:rPr>
        <w:t>NBT</w:t>
      </w:r>
      <w:r w:rsidR="00381BFC">
        <w:rPr>
          <w:rFonts w:ascii="Arial" w:hAnsi="Arial" w:cs="Arial"/>
          <w:szCs w:val="24"/>
        </w:rPr>
        <w:t>)</w:t>
      </w:r>
      <w:r>
        <w:rPr>
          <w:rFonts w:ascii="Arial" w:hAnsi="Arial" w:cs="Arial"/>
          <w:szCs w:val="24"/>
        </w:rPr>
        <w:t xml:space="preserve"> </w:t>
      </w:r>
      <w:r w:rsidRPr="00936DE2">
        <w:rPr>
          <w:rFonts w:ascii="Arial" w:hAnsi="Arial" w:cs="Arial"/>
          <w:szCs w:val="24"/>
        </w:rPr>
        <w:t>Over/(Under) Collections</w:t>
      </w:r>
      <w:r>
        <w:rPr>
          <w:rFonts w:ascii="Arial" w:hAnsi="Arial" w:cs="Arial"/>
          <w:szCs w:val="24"/>
        </w:rPr>
        <w:t xml:space="preserve"> </w:t>
      </w:r>
      <w:r w:rsidRPr="007D5DFB">
        <w:rPr>
          <w:rFonts w:ascii="Arial" w:hAnsi="Arial" w:cs="Arial"/>
          <w:szCs w:val="26"/>
        </w:rPr>
        <w:t xml:space="preserve">presented </w:t>
      </w:r>
      <w:r>
        <w:rPr>
          <w:rFonts w:ascii="Arial" w:hAnsi="Arial" w:cs="Arial"/>
          <w:szCs w:val="26"/>
        </w:rPr>
        <w:t>in this</w:t>
      </w:r>
      <w:r w:rsidR="00102E74">
        <w:rPr>
          <w:rFonts w:ascii="Arial" w:hAnsi="Arial" w:cs="Arial"/>
          <w:szCs w:val="26"/>
        </w:rPr>
        <w:t xml:space="preserve"> report are</w:t>
      </w:r>
      <w:r w:rsidRPr="007D5DFB">
        <w:rPr>
          <w:rFonts w:ascii="Arial" w:hAnsi="Arial" w:cs="Arial"/>
          <w:szCs w:val="26"/>
        </w:rPr>
        <w:t xml:space="preserve"> condensed from the officially filed statement</w:t>
      </w:r>
      <w:r w:rsidR="00102E74">
        <w:rPr>
          <w:rFonts w:ascii="Arial" w:hAnsi="Arial" w:cs="Arial"/>
          <w:szCs w:val="26"/>
        </w:rPr>
        <w:t>s</w:t>
      </w:r>
      <w:r w:rsidRPr="007D5DFB">
        <w:rPr>
          <w:rFonts w:ascii="Arial" w:hAnsi="Arial" w:cs="Arial"/>
          <w:szCs w:val="26"/>
        </w:rPr>
        <w:t xml:space="preserve">. </w:t>
      </w:r>
      <w:r>
        <w:rPr>
          <w:rFonts w:ascii="Arial" w:hAnsi="Arial" w:cs="Arial"/>
          <w:szCs w:val="26"/>
        </w:rPr>
        <w:t xml:space="preserve"> </w:t>
      </w:r>
      <w:r w:rsidRPr="007D5DFB">
        <w:rPr>
          <w:rFonts w:ascii="Arial" w:hAnsi="Arial" w:cs="Arial"/>
          <w:szCs w:val="26"/>
        </w:rPr>
        <w:t xml:space="preserve">The audit was conducted on </w:t>
      </w:r>
      <w:r w:rsidR="00DC7A12">
        <w:rPr>
          <w:rFonts w:ascii="Arial" w:hAnsi="Arial" w:cs="Arial"/>
          <w:szCs w:val="26"/>
        </w:rPr>
        <w:t>PECO</w:t>
      </w:r>
      <w:r w:rsidR="000F4EE7">
        <w:rPr>
          <w:rFonts w:ascii="Arial" w:hAnsi="Arial" w:cs="Arial"/>
          <w:szCs w:val="26"/>
        </w:rPr>
        <w:t>’s</w:t>
      </w:r>
      <w:r>
        <w:rPr>
          <w:rFonts w:ascii="Arial" w:hAnsi="Arial" w:cs="Arial"/>
          <w:szCs w:val="24"/>
        </w:rPr>
        <w:t xml:space="preserve"> </w:t>
      </w:r>
      <w:r w:rsidRPr="007D5DFB">
        <w:rPr>
          <w:rFonts w:ascii="Arial" w:hAnsi="Arial" w:cs="Arial"/>
          <w:szCs w:val="26"/>
        </w:rPr>
        <w:t xml:space="preserve">officially filed 1307(e) </w:t>
      </w:r>
      <w:r>
        <w:rPr>
          <w:rFonts w:ascii="Arial" w:hAnsi="Arial" w:cs="Arial"/>
          <w:szCs w:val="26"/>
        </w:rPr>
        <w:t>statement</w:t>
      </w:r>
      <w:r w:rsidR="004C3BAD">
        <w:rPr>
          <w:rFonts w:ascii="Arial" w:hAnsi="Arial" w:cs="Arial"/>
          <w:szCs w:val="26"/>
        </w:rPr>
        <w:t>s</w:t>
      </w:r>
      <w:r w:rsidR="00102E74">
        <w:rPr>
          <w:rFonts w:ascii="Arial" w:hAnsi="Arial" w:cs="Arial"/>
          <w:szCs w:val="26"/>
        </w:rPr>
        <w:t xml:space="preserve"> </w:t>
      </w:r>
      <w:r w:rsidRPr="007D5DFB">
        <w:rPr>
          <w:rFonts w:ascii="Arial" w:hAnsi="Arial" w:cs="Arial"/>
          <w:szCs w:val="26"/>
        </w:rPr>
        <w:t xml:space="preserve">submitted to the </w:t>
      </w:r>
      <w:r w:rsidR="009E03A7">
        <w:rPr>
          <w:rFonts w:ascii="Arial" w:hAnsi="Arial" w:cs="Arial"/>
          <w:szCs w:val="24"/>
        </w:rPr>
        <w:t xml:space="preserve">PUC in accordance with Section </w:t>
      </w:r>
      <w:r w:rsidR="009E03A7" w:rsidRPr="00E729D3">
        <w:rPr>
          <w:rFonts w:ascii="Arial" w:hAnsi="Arial" w:cs="Arial"/>
          <w:szCs w:val="24"/>
        </w:rPr>
        <w:t>1307(</w:t>
      </w:r>
      <w:r w:rsidR="009E03A7">
        <w:rPr>
          <w:rFonts w:ascii="Arial" w:hAnsi="Arial" w:cs="Arial"/>
          <w:szCs w:val="24"/>
        </w:rPr>
        <w:t>e</w:t>
      </w:r>
      <w:r w:rsidR="009E03A7" w:rsidRPr="00E729D3">
        <w:rPr>
          <w:rFonts w:ascii="Arial" w:hAnsi="Arial" w:cs="Arial"/>
          <w:szCs w:val="24"/>
        </w:rPr>
        <w:t>)</w:t>
      </w:r>
      <w:r w:rsidR="009E03A7">
        <w:rPr>
          <w:rFonts w:ascii="Arial" w:hAnsi="Arial" w:cs="Arial"/>
          <w:szCs w:val="24"/>
        </w:rPr>
        <w:t>(1)</w:t>
      </w:r>
      <w:r w:rsidR="009E03A7" w:rsidRPr="00E729D3">
        <w:rPr>
          <w:rFonts w:ascii="Arial" w:hAnsi="Arial" w:cs="Arial"/>
          <w:szCs w:val="24"/>
        </w:rPr>
        <w:t xml:space="preserve"> </w:t>
      </w:r>
      <w:r w:rsidR="009E03A7">
        <w:rPr>
          <w:rFonts w:ascii="Arial" w:hAnsi="Arial" w:cs="Arial"/>
          <w:szCs w:val="24"/>
        </w:rPr>
        <w:t xml:space="preserve">of the Public Utility Code on </w:t>
      </w:r>
      <w:r w:rsidR="00485619" w:rsidRPr="00E6771F">
        <w:rPr>
          <w:rFonts w:ascii="Arial" w:hAnsi="Arial" w:cs="Arial"/>
          <w:szCs w:val="26"/>
        </w:rPr>
        <w:t xml:space="preserve">December </w:t>
      </w:r>
      <w:r w:rsidR="00734E1C">
        <w:rPr>
          <w:rFonts w:ascii="Arial" w:hAnsi="Arial" w:cs="Arial"/>
          <w:szCs w:val="26"/>
        </w:rPr>
        <w:t>14</w:t>
      </w:r>
      <w:r w:rsidR="00485619" w:rsidRPr="00E6771F">
        <w:rPr>
          <w:rFonts w:ascii="Arial" w:hAnsi="Arial" w:cs="Arial"/>
          <w:szCs w:val="26"/>
        </w:rPr>
        <w:t>, 201</w:t>
      </w:r>
      <w:r w:rsidR="003E3F14">
        <w:rPr>
          <w:rFonts w:ascii="Arial" w:hAnsi="Arial" w:cs="Arial"/>
          <w:szCs w:val="26"/>
        </w:rPr>
        <w:t>7</w:t>
      </w:r>
      <w:r w:rsidR="00485619" w:rsidRPr="00E6771F">
        <w:rPr>
          <w:rFonts w:ascii="Arial" w:hAnsi="Arial" w:cs="Arial"/>
          <w:szCs w:val="26"/>
        </w:rPr>
        <w:t xml:space="preserve"> and </w:t>
      </w:r>
      <w:r w:rsidR="00E6771F" w:rsidRPr="00E6771F">
        <w:rPr>
          <w:rFonts w:ascii="Arial" w:hAnsi="Arial" w:cs="Arial"/>
          <w:szCs w:val="26"/>
        </w:rPr>
        <w:t>December</w:t>
      </w:r>
      <w:r w:rsidR="004C3BAD" w:rsidRPr="00E6771F">
        <w:rPr>
          <w:rFonts w:ascii="Arial" w:hAnsi="Arial" w:cs="Arial"/>
          <w:szCs w:val="26"/>
        </w:rPr>
        <w:t xml:space="preserve"> </w:t>
      </w:r>
      <w:r w:rsidR="00E6771F" w:rsidRPr="00E6771F">
        <w:rPr>
          <w:rFonts w:ascii="Arial" w:hAnsi="Arial" w:cs="Arial"/>
          <w:szCs w:val="26"/>
        </w:rPr>
        <w:t>1</w:t>
      </w:r>
      <w:r w:rsidR="003E3F14">
        <w:rPr>
          <w:rFonts w:ascii="Arial" w:hAnsi="Arial" w:cs="Arial"/>
          <w:szCs w:val="26"/>
        </w:rPr>
        <w:t>5</w:t>
      </w:r>
      <w:r w:rsidR="004C3BAD" w:rsidRPr="00E6771F">
        <w:rPr>
          <w:rFonts w:ascii="Arial" w:hAnsi="Arial" w:cs="Arial"/>
          <w:szCs w:val="26"/>
        </w:rPr>
        <w:t>, 201</w:t>
      </w:r>
      <w:r w:rsidR="003E3F14">
        <w:rPr>
          <w:rFonts w:ascii="Arial" w:hAnsi="Arial" w:cs="Arial"/>
          <w:szCs w:val="26"/>
        </w:rPr>
        <w:t>6</w:t>
      </w:r>
      <w:r w:rsidR="009E03A7">
        <w:rPr>
          <w:rFonts w:ascii="Arial" w:hAnsi="Arial" w:cs="Arial"/>
          <w:szCs w:val="26"/>
        </w:rPr>
        <w:t>.  The statements are available on the PUC’s website (</w:t>
      </w:r>
      <w:hyperlink r:id="rId28" w:history="1">
        <w:r w:rsidR="006B7F37" w:rsidRPr="00235CDA">
          <w:rPr>
            <w:rStyle w:val="Hyperlink"/>
            <w:rFonts w:ascii="Arial" w:hAnsi="Arial" w:cs="Arial"/>
            <w:szCs w:val="26"/>
          </w:rPr>
          <w:t>http://www.puc.pa.gov</w:t>
        </w:r>
      </w:hyperlink>
      <w:r w:rsidR="009E03A7">
        <w:rPr>
          <w:rFonts w:ascii="Arial" w:hAnsi="Arial" w:cs="Arial"/>
          <w:szCs w:val="26"/>
        </w:rPr>
        <w:t xml:space="preserve">) at Docket Nos. </w:t>
      </w:r>
      <w:r w:rsidR="001643C2" w:rsidRPr="00656ADB">
        <w:rPr>
          <w:rFonts w:ascii="Arial" w:hAnsi="Arial" w:cs="Arial"/>
          <w:szCs w:val="26"/>
        </w:rPr>
        <w:t>M</w:t>
      </w:r>
      <w:r w:rsidR="005F4E56" w:rsidRPr="00656ADB">
        <w:rPr>
          <w:rFonts w:ascii="Arial" w:hAnsi="Arial" w:cs="Arial"/>
          <w:szCs w:val="26"/>
        </w:rPr>
        <w:noBreakHyphen/>
      </w:r>
      <w:r w:rsidR="00485619" w:rsidRPr="00656ADB">
        <w:rPr>
          <w:rFonts w:ascii="Arial" w:hAnsi="Arial" w:cs="Arial"/>
          <w:szCs w:val="26"/>
        </w:rPr>
        <w:t>201</w:t>
      </w:r>
      <w:r w:rsidR="003E3F14">
        <w:rPr>
          <w:rFonts w:ascii="Arial" w:hAnsi="Arial" w:cs="Arial"/>
          <w:szCs w:val="26"/>
        </w:rPr>
        <w:t>7</w:t>
      </w:r>
      <w:r w:rsidR="005F4E56" w:rsidRPr="00656ADB">
        <w:rPr>
          <w:rFonts w:ascii="Arial" w:hAnsi="Arial" w:cs="Arial"/>
          <w:szCs w:val="26"/>
        </w:rPr>
        <w:noBreakHyphen/>
      </w:r>
      <w:r w:rsidR="002F765F" w:rsidRPr="00656ADB">
        <w:rPr>
          <w:rFonts w:ascii="Arial" w:hAnsi="Arial" w:cs="Arial"/>
          <w:szCs w:val="26"/>
        </w:rPr>
        <w:t>2</w:t>
      </w:r>
      <w:r w:rsidR="00786BC1">
        <w:rPr>
          <w:rFonts w:ascii="Arial" w:hAnsi="Arial" w:cs="Arial"/>
          <w:szCs w:val="26"/>
        </w:rPr>
        <w:t>6381</w:t>
      </w:r>
      <w:r w:rsidR="00E01E34">
        <w:rPr>
          <w:rFonts w:ascii="Arial" w:hAnsi="Arial" w:cs="Arial"/>
          <w:szCs w:val="26"/>
        </w:rPr>
        <w:t>60</w:t>
      </w:r>
      <w:r w:rsidR="00485619" w:rsidRPr="002F765F">
        <w:rPr>
          <w:rFonts w:ascii="Arial" w:hAnsi="Arial" w:cs="Arial"/>
          <w:szCs w:val="26"/>
        </w:rPr>
        <w:t xml:space="preserve"> </w:t>
      </w:r>
      <w:r w:rsidR="00485619" w:rsidRPr="00102E74">
        <w:rPr>
          <w:rFonts w:ascii="Arial" w:hAnsi="Arial" w:cs="Arial"/>
          <w:szCs w:val="26"/>
        </w:rPr>
        <w:t xml:space="preserve">and </w:t>
      </w:r>
      <w:r w:rsidR="002F765F" w:rsidRPr="00656ADB">
        <w:rPr>
          <w:rFonts w:ascii="Arial" w:hAnsi="Arial" w:cs="Arial"/>
          <w:szCs w:val="26"/>
        </w:rPr>
        <w:t>M</w:t>
      </w:r>
      <w:r w:rsidR="005F4E56" w:rsidRPr="00656ADB">
        <w:rPr>
          <w:rFonts w:ascii="Arial" w:hAnsi="Arial" w:cs="Arial"/>
          <w:szCs w:val="26"/>
        </w:rPr>
        <w:noBreakHyphen/>
      </w:r>
      <w:r w:rsidRPr="00656ADB">
        <w:rPr>
          <w:rFonts w:ascii="Arial" w:hAnsi="Arial" w:cs="Arial"/>
          <w:szCs w:val="26"/>
        </w:rPr>
        <w:t>20</w:t>
      </w:r>
      <w:r w:rsidR="00DC7A12" w:rsidRPr="00656ADB">
        <w:rPr>
          <w:rFonts w:ascii="Arial" w:hAnsi="Arial" w:cs="Arial"/>
          <w:szCs w:val="26"/>
        </w:rPr>
        <w:t>1</w:t>
      </w:r>
      <w:r w:rsidR="003E3F14">
        <w:rPr>
          <w:rFonts w:ascii="Arial" w:hAnsi="Arial" w:cs="Arial"/>
          <w:szCs w:val="26"/>
        </w:rPr>
        <w:t>6</w:t>
      </w:r>
      <w:r w:rsidR="005F4E56" w:rsidRPr="00656ADB">
        <w:rPr>
          <w:rFonts w:ascii="Arial" w:hAnsi="Arial" w:cs="Arial"/>
          <w:szCs w:val="26"/>
        </w:rPr>
        <w:noBreakHyphen/>
      </w:r>
      <w:r w:rsidR="004C3BAD" w:rsidRPr="00656ADB">
        <w:rPr>
          <w:rFonts w:ascii="Arial" w:hAnsi="Arial" w:cs="Arial"/>
          <w:szCs w:val="26"/>
        </w:rPr>
        <w:t>2</w:t>
      </w:r>
      <w:r w:rsidR="003E3F14">
        <w:rPr>
          <w:rFonts w:ascii="Arial" w:hAnsi="Arial" w:cs="Arial"/>
          <w:szCs w:val="26"/>
        </w:rPr>
        <w:t>57999</w:t>
      </w:r>
      <w:r w:rsidR="00A66858">
        <w:rPr>
          <w:rFonts w:ascii="Arial" w:hAnsi="Arial" w:cs="Arial"/>
          <w:szCs w:val="26"/>
        </w:rPr>
        <w:t>3</w:t>
      </w:r>
      <w:r w:rsidR="009E03A7">
        <w:rPr>
          <w:rFonts w:ascii="Arial" w:hAnsi="Arial" w:cs="Arial"/>
          <w:szCs w:val="26"/>
        </w:rPr>
        <w:t>.</w:t>
      </w:r>
    </w:p>
    <w:p w14:paraId="00230C35" w14:textId="77777777" w:rsidR="003731A5" w:rsidRPr="00BE0936" w:rsidRDefault="003731A5" w:rsidP="00245AE1">
      <w:pPr>
        <w:tabs>
          <w:tab w:val="center" w:pos="4680"/>
        </w:tabs>
        <w:suppressAutoHyphens/>
        <w:outlineLvl w:val="0"/>
        <w:rPr>
          <w:rFonts w:ascii="Arial" w:hAnsi="Arial" w:cs="Arial"/>
          <w:b/>
          <w:szCs w:val="24"/>
        </w:rPr>
      </w:pPr>
    </w:p>
    <w:p w14:paraId="5B980752" w14:textId="64D7B2A8" w:rsidR="00E85E8B" w:rsidRPr="00BE0936" w:rsidRDefault="00BF0E3F" w:rsidP="00E85E8B">
      <w:pPr>
        <w:tabs>
          <w:tab w:val="left" w:pos="360"/>
        </w:tabs>
        <w:jc w:val="both"/>
        <w:rPr>
          <w:rFonts w:ascii="Arial" w:hAnsi="Arial" w:cs="Arial"/>
          <w:b/>
          <w:szCs w:val="24"/>
          <w:u w:val="single"/>
        </w:rPr>
      </w:pPr>
      <w:r>
        <w:rPr>
          <w:rFonts w:ascii="Arial" w:hAnsi="Arial" w:cs="Arial"/>
          <w:b/>
          <w:szCs w:val="24"/>
          <w:u w:val="single"/>
        </w:rPr>
        <w:t>2</w:t>
      </w:r>
      <w:r w:rsidR="00BB544B">
        <w:rPr>
          <w:rFonts w:ascii="Arial" w:hAnsi="Arial" w:cs="Arial"/>
          <w:b/>
          <w:szCs w:val="24"/>
          <w:u w:val="single"/>
        </w:rPr>
        <w:t xml:space="preserve"> -</w:t>
      </w:r>
      <w:r w:rsidR="00BB544B">
        <w:rPr>
          <w:rFonts w:ascii="Arial" w:hAnsi="Arial" w:cs="Arial"/>
          <w:b/>
          <w:szCs w:val="24"/>
          <w:u w:val="single"/>
        </w:rPr>
        <w:tab/>
      </w:r>
      <w:r w:rsidR="00B26CA8">
        <w:rPr>
          <w:rFonts w:ascii="Arial" w:hAnsi="Arial" w:cs="Arial"/>
          <w:b/>
          <w:szCs w:val="24"/>
          <w:u w:val="single"/>
        </w:rPr>
        <w:t>NBT</w:t>
      </w:r>
      <w:r w:rsidR="00BB544B">
        <w:rPr>
          <w:rFonts w:ascii="Arial" w:hAnsi="Arial" w:cs="Arial"/>
          <w:b/>
          <w:szCs w:val="24"/>
          <w:u w:val="single"/>
        </w:rPr>
        <w:t xml:space="preserve"> Revenue</w:t>
      </w:r>
    </w:p>
    <w:p w14:paraId="725DCC39" w14:textId="77777777" w:rsidR="00E85E8B" w:rsidRPr="00BE0936" w:rsidRDefault="00E85E8B" w:rsidP="00E85E8B">
      <w:pPr>
        <w:tabs>
          <w:tab w:val="left" w:pos="360"/>
        </w:tabs>
        <w:jc w:val="both"/>
        <w:rPr>
          <w:rFonts w:ascii="Arial" w:hAnsi="Arial" w:cs="Arial"/>
          <w:b/>
          <w:szCs w:val="24"/>
          <w:highlight w:val="lightGray"/>
          <w:u w:val="single"/>
        </w:rPr>
      </w:pPr>
    </w:p>
    <w:p w14:paraId="5CA41E29" w14:textId="7335F97F" w:rsidR="00C3329F" w:rsidRDefault="00B26CA8" w:rsidP="00E85E8B">
      <w:pPr>
        <w:tabs>
          <w:tab w:val="left" w:pos="360"/>
        </w:tabs>
        <w:ind w:left="360"/>
        <w:rPr>
          <w:rFonts w:ascii="Arial" w:hAnsi="Arial" w:cs="Arial"/>
          <w:szCs w:val="24"/>
        </w:rPr>
      </w:pPr>
      <w:r>
        <w:rPr>
          <w:rFonts w:ascii="Arial" w:hAnsi="Arial" w:cs="Arial"/>
          <w:szCs w:val="24"/>
        </w:rPr>
        <w:t>NBT</w:t>
      </w:r>
      <w:r w:rsidR="00C3329F" w:rsidRPr="002D0A9C">
        <w:rPr>
          <w:rFonts w:ascii="Arial" w:hAnsi="Arial" w:cs="Arial"/>
          <w:szCs w:val="24"/>
        </w:rPr>
        <w:t xml:space="preserve"> Revenue</w:t>
      </w:r>
      <w:r w:rsidR="00C3329F">
        <w:rPr>
          <w:rFonts w:ascii="Arial" w:hAnsi="Arial" w:cs="Arial"/>
          <w:szCs w:val="24"/>
        </w:rPr>
        <w:t xml:space="preserve"> is </w:t>
      </w:r>
      <w:r w:rsidR="00C3329F" w:rsidRPr="002D0A9C">
        <w:rPr>
          <w:rFonts w:ascii="Arial" w:hAnsi="Arial" w:cs="Arial"/>
          <w:szCs w:val="24"/>
        </w:rPr>
        <w:t xml:space="preserve">derived by multiplying the sales volumes billed during the month by the applicable </w:t>
      </w:r>
      <w:r w:rsidR="00115E1C">
        <w:rPr>
          <w:rFonts w:ascii="Arial" w:hAnsi="Arial" w:cs="Arial"/>
          <w:szCs w:val="24"/>
        </w:rPr>
        <w:t>NBT</w:t>
      </w:r>
      <w:r w:rsidR="00C3329F" w:rsidRPr="002D0A9C">
        <w:rPr>
          <w:rFonts w:ascii="Arial" w:hAnsi="Arial" w:cs="Arial"/>
          <w:szCs w:val="24"/>
        </w:rPr>
        <w:t xml:space="preserve"> rate, excluding E-Factor, to each kilowatt-hour (kWh) of energy or kilowatt (kW) of demand supplied to customers who receive </w:t>
      </w:r>
      <w:r w:rsidR="00C3329F">
        <w:rPr>
          <w:rFonts w:ascii="Arial" w:hAnsi="Arial" w:cs="Arial"/>
          <w:szCs w:val="24"/>
        </w:rPr>
        <w:t>d</w:t>
      </w:r>
      <w:r w:rsidR="00F77C1F">
        <w:rPr>
          <w:rFonts w:ascii="Arial" w:hAnsi="Arial" w:cs="Arial"/>
          <w:szCs w:val="24"/>
        </w:rPr>
        <w:t>i</w:t>
      </w:r>
      <w:r w:rsidR="00B70EFE">
        <w:rPr>
          <w:rFonts w:ascii="Arial" w:hAnsi="Arial" w:cs="Arial"/>
          <w:szCs w:val="24"/>
        </w:rPr>
        <w:t>s</w:t>
      </w:r>
      <w:r w:rsidR="00F77C1F">
        <w:rPr>
          <w:rFonts w:ascii="Arial" w:hAnsi="Arial" w:cs="Arial"/>
          <w:szCs w:val="24"/>
        </w:rPr>
        <w:t>tribution</w:t>
      </w:r>
      <w:r w:rsidR="00C3329F">
        <w:rPr>
          <w:rFonts w:ascii="Arial" w:hAnsi="Arial" w:cs="Arial"/>
          <w:szCs w:val="24"/>
        </w:rPr>
        <w:t xml:space="preserve"> service from PECO.</w:t>
      </w:r>
    </w:p>
    <w:p w14:paraId="0B8874B0" w14:textId="77777777" w:rsidR="00C3329F" w:rsidRDefault="00C3329F" w:rsidP="00E85E8B">
      <w:pPr>
        <w:tabs>
          <w:tab w:val="left" w:pos="360"/>
        </w:tabs>
        <w:ind w:left="360"/>
        <w:rPr>
          <w:rFonts w:ascii="Arial" w:hAnsi="Arial" w:cs="Arial"/>
          <w:szCs w:val="24"/>
        </w:rPr>
      </w:pPr>
    </w:p>
    <w:p w14:paraId="08B477B8" w14:textId="51A62688" w:rsidR="00E85E8B" w:rsidRPr="00BE0936" w:rsidRDefault="00BF0E3F" w:rsidP="00E85E8B">
      <w:pPr>
        <w:pStyle w:val="EndnoteText"/>
        <w:tabs>
          <w:tab w:val="left" w:pos="360"/>
        </w:tabs>
        <w:suppressAutoHyphens/>
        <w:rPr>
          <w:rFonts w:ascii="Arial" w:hAnsi="Arial" w:cs="Arial"/>
          <w:b/>
          <w:szCs w:val="24"/>
          <w:u w:val="single"/>
        </w:rPr>
      </w:pPr>
      <w:r>
        <w:rPr>
          <w:rFonts w:ascii="Arial" w:hAnsi="Arial" w:cs="Arial"/>
          <w:b/>
          <w:szCs w:val="24"/>
          <w:u w:val="single"/>
        </w:rPr>
        <w:t>3</w:t>
      </w:r>
      <w:r w:rsidR="00E85E8B" w:rsidRPr="00BE0936">
        <w:rPr>
          <w:rFonts w:ascii="Arial" w:hAnsi="Arial" w:cs="Arial"/>
          <w:b/>
          <w:szCs w:val="24"/>
          <w:u w:val="single"/>
        </w:rPr>
        <w:t xml:space="preserve"> -</w:t>
      </w:r>
      <w:r w:rsidR="00E85E8B" w:rsidRPr="00BE0936">
        <w:rPr>
          <w:rFonts w:ascii="Arial" w:hAnsi="Arial" w:cs="Arial"/>
          <w:b/>
          <w:szCs w:val="24"/>
          <w:u w:val="single"/>
        </w:rPr>
        <w:tab/>
      </w:r>
      <w:r w:rsidR="00562289">
        <w:rPr>
          <w:rFonts w:ascii="Arial" w:hAnsi="Arial" w:cs="Arial"/>
          <w:b/>
          <w:szCs w:val="24"/>
          <w:u w:val="single"/>
        </w:rPr>
        <w:t>NBT</w:t>
      </w:r>
      <w:r w:rsidR="00725EC7">
        <w:rPr>
          <w:rFonts w:ascii="Arial" w:hAnsi="Arial" w:cs="Arial"/>
          <w:b/>
          <w:szCs w:val="24"/>
          <w:u w:val="single"/>
        </w:rPr>
        <w:t xml:space="preserve"> </w:t>
      </w:r>
      <w:r w:rsidR="00E85E8B" w:rsidRPr="00BE0936">
        <w:rPr>
          <w:rFonts w:ascii="Arial" w:hAnsi="Arial" w:cs="Arial"/>
          <w:b/>
          <w:szCs w:val="24"/>
          <w:u w:val="single"/>
        </w:rPr>
        <w:t xml:space="preserve">Costs </w:t>
      </w:r>
    </w:p>
    <w:p w14:paraId="0E6186B8" w14:textId="77777777" w:rsidR="00E85E8B" w:rsidRPr="00BE0936" w:rsidRDefault="00E85E8B" w:rsidP="00E85E8B">
      <w:pPr>
        <w:tabs>
          <w:tab w:val="left" w:pos="360"/>
        </w:tabs>
        <w:ind w:left="360"/>
        <w:rPr>
          <w:rFonts w:ascii="Arial" w:hAnsi="Arial" w:cs="Arial"/>
          <w:szCs w:val="24"/>
          <w:highlight w:val="lightGray"/>
        </w:rPr>
      </w:pPr>
    </w:p>
    <w:p w14:paraId="34125D38" w14:textId="4206B2D2" w:rsidR="006A7112" w:rsidRDefault="006A7112" w:rsidP="006A7112">
      <w:pPr>
        <w:tabs>
          <w:tab w:val="left" w:pos="360"/>
        </w:tabs>
        <w:ind w:left="360"/>
        <w:rPr>
          <w:rFonts w:ascii="Arial" w:hAnsi="Arial" w:cs="Arial"/>
          <w:szCs w:val="24"/>
        </w:rPr>
      </w:pPr>
      <w:r>
        <w:rPr>
          <w:rFonts w:ascii="Arial" w:hAnsi="Arial" w:cs="Arial"/>
          <w:szCs w:val="24"/>
        </w:rPr>
        <w:t>The NBT</w:t>
      </w:r>
      <w:r w:rsidRPr="00BE0936">
        <w:rPr>
          <w:rFonts w:ascii="Arial" w:hAnsi="Arial" w:cs="Arial"/>
          <w:szCs w:val="24"/>
        </w:rPr>
        <w:t xml:space="preserve"> Costs are the charges incurred by </w:t>
      </w:r>
      <w:r>
        <w:rPr>
          <w:rFonts w:ascii="Arial" w:hAnsi="Arial" w:cs="Arial"/>
          <w:szCs w:val="24"/>
        </w:rPr>
        <w:t>PECO</w:t>
      </w:r>
      <w:r w:rsidRPr="00BE0936">
        <w:rPr>
          <w:rFonts w:ascii="Arial" w:hAnsi="Arial" w:cs="Arial"/>
          <w:szCs w:val="24"/>
        </w:rPr>
        <w:t xml:space="preserve"> to acquire </w:t>
      </w:r>
      <w:r>
        <w:rPr>
          <w:rFonts w:ascii="Arial" w:hAnsi="Arial" w:cs="Arial"/>
          <w:szCs w:val="24"/>
        </w:rPr>
        <w:t xml:space="preserve">applicable </w:t>
      </w:r>
      <w:r w:rsidRPr="00BE0936">
        <w:rPr>
          <w:rFonts w:ascii="Arial" w:hAnsi="Arial" w:cs="Arial"/>
          <w:szCs w:val="24"/>
        </w:rPr>
        <w:t>transmission service</w:t>
      </w:r>
      <w:r>
        <w:rPr>
          <w:rFonts w:ascii="Arial" w:hAnsi="Arial" w:cs="Arial"/>
          <w:szCs w:val="24"/>
        </w:rPr>
        <w:t>s</w:t>
      </w:r>
      <w:r w:rsidRPr="00BE0936">
        <w:rPr>
          <w:rFonts w:ascii="Arial" w:hAnsi="Arial" w:cs="Arial"/>
          <w:szCs w:val="24"/>
        </w:rPr>
        <w:t xml:space="preserve"> under the PJM </w:t>
      </w:r>
      <w:r w:rsidRPr="00F51FF0">
        <w:rPr>
          <w:rFonts w:ascii="Arial" w:hAnsi="Arial" w:cs="Arial"/>
          <w:szCs w:val="24"/>
        </w:rPr>
        <w:t>O</w:t>
      </w:r>
      <w:r>
        <w:rPr>
          <w:rFonts w:ascii="Arial" w:hAnsi="Arial" w:cs="Arial"/>
          <w:szCs w:val="24"/>
        </w:rPr>
        <w:t xml:space="preserve">pen </w:t>
      </w:r>
      <w:r w:rsidRPr="00F51FF0">
        <w:rPr>
          <w:rFonts w:ascii="Arial" w:hAnsi="Arial" w:cs="Arial"/>
          <w:szCs w:val="24"/>
        </w:rPr>
        <w:t>A</w:t>
      </w:r>
      <w:r>
        <w:rPr>
          <w:rFonts w:ascii="Arial" w:hAnsi="Arial" w:cs="Arial"/>
          <w:szCs w:val="24"/>
        </w:rPr>
        <w:t xml:space="preserve">ccess </w:t>
      </w:r>
      <w:r w:rsidRPr="00F51FF0">
        <w:rPr>
          <w:rFonts w:ascii="Arial" w:hAnsi="Arial" w:cs="Arial"/>
          <w:szCs w:val="24"/>
        </w:rPr>
        <w:t>T</w:t>
      </w:r>
      <w:r>
        <w:rPr>
          <w:rFonts w:ascii="Arial" w:hAnsi="Arial" w:cs="Arial"/>
          <w:szCs w:val="24"/>
        </w:rPr>
        <w:t xml:space="preserve">ransmission </w:t>
      </w:r>
      <w:r w:rsidRPr="00F51FF0">
        <w:rPr>
          <w:rFonts w:ascii="Arial" w:hAnsi="Arial" w:cs="Arial"/>
          <w:szCs w:val="24"/>
        </w:rPr>
        <w:t>T</w:t>
      </w:r>
      <w:r>
        <w:rPr>
          <w:rFonts w:ascii="Arial" w:hAnsi="Arial" w:cs="Arial"/>
          <w:szCs w:val="24"/>
        </w:rPr>
        <w:t>ariff</w:t>
      </w:r>
      <w:r w:rsidRPr="00F51FF0">
        <w:rPr>
          <w:rFonts w:ascii="Arial" w:hAnsi="Arial" w:cs="Arial"/>
          <w:szCs w:val="24"/>
        </w:rPr>
        <w:t xml:space="preserve"> </w:t>
      </w:r>
      <w:r>
        <w:rPr>
          <w:rFonts w:ascii="Arial" w:hAnsi="Arial" w:cs="Arial"/>
          <w:szCs w:val="24"/>
        </w:rPr>
        <w:t>(OATT) on behalf of PECO’s distribution service customers</w:t>
      </w:r>
      <w:r w:rsidRPr="00BE0936">
        <w:rPr>
          <w:rFonts w:ascii="Arial" w:hAnsi="Arial" w:cs="Arial"/>
          <w:szCs w:val="24"/>
        </w:rPr>
        <w:t>.</w:t>
      </w:r>
      <w:r>
        <w:rPr>
          <w:rFonts w:ascii="Arial" w:hAnsi="Arial" w:cs="Arial"/>
          <w:szCs w:val="24"/>
        </w:rPr>
        <w:t xml:space="preserve"> </w:t>
      </w:r>
      <w:r w:rsidRPr="00BE0936">
        <w:rPr>
          <w:rFonts w:ascii="Arial" w:hAnsi="Arial" w:cs="Arial"/>
          <w:szCs w:val="24"/>
        </w:rPr>
        <w:t xml:space="preserve"> </w:t>
      </w:r>
    </w:p>
    <w:p w14:paraId="5DCEF1DE" w14:textId="6721B6F3" w:rsidR="006A7112" w:rsidRDefault="006A7112" w:rsidP="006A7112">
      <w:pPr>
        <w:tabs>
          <w:tab w:val="left" w:pos="360"/>
        </w:tabs>
        <w:ind w:left="360"/>
        <w:rPr>
          <w:rFonts w:ascii="Arial" w:hAnsi="Arial" w:cs="Arial"/>
          <w:szCs w:val="24"/>
        </w:rPr>
      </w:pPr>
    </w:p>
    <w:p w14:paraId="272960CD" w14:textId="77777777" w:rsidR="00E85E8B" w:rsidRPr="00BE0936" w:rsidRDefault="00BF0E3F" w:rsidP="00E85E8B">
      <w:pPr>
        <w:tabs>
          <w:tab w:val="left" w:pos="360"/>
        </w:tabs>
        <w:jc w:val="both"/>
        <w:rPr>
          <w:rFonts w:ascii="Arial" w:hAnsi="Arial" w:cs="Arial"/>
          <w:b/>
          <w:szCs w:val="24"/>
          <w:u w:val="single"/>
        </w:rPr>
      </w:pPr>
      <w:r>
        <w:rPr>
          <w:rFonts w:ascii="Arial" w:hAnsi="Arial" w:cs="Arial"/>
          <w:b/>
          <w:szCs w:val="24"/>
          <w:u w:val="single"/>
        </w:rPr>
        <w:t>4</w:t>
      </w:r>
      <w:r w:rsidR="00E85E8B" w:rsidRPr="00BE0936">
        <w:rPr>
          <w:rFonts w:ascii="Arial" w:hAnsi="Arial" w:cs="Arial"/>
          <w:b/>
          <w:szCs w:val="24"/>
          <w:u w:val="single"/>
        </w:rPr>
        <w:t xml:space="preserve"> -</w:t>
      </w:r>
      <w:r w:rsidR="00E85E8B" w:rsidRPr="00BE0936">
        <w:rPr>
          <w:rFonts w:ascii="Arial" w:hAnsi="Arial" w:cs="Arial"/>
          <w:b/>
          <w:szCs w:val="24"/>
          <w:u w:val="single"/>
        </w:rPr>
        <w:tab/>
        <w:t>Over</w:t>
      </w:r>
      <w:r w:rsidR="00D954E3" w:rsidRPr="00BE0936">
        <w:rPr>
          <w:rFonts w:ascii="Arial" w:hAnsi="Arial" w:cs="Arial"/>
          <w:b/>
          <w:szCs w:val="24"/>
          <w:u w:val="single"/>
        </w:rPr>
        <w:t>/</w:t>
      </w:r>
      <w:r w:rsidR="00D954E3">
        <w:rPr>
          <w:rFonts w:ascii="Arial" w:hAnsi="Arial" w:cs="Arial"/>
          <w:b/>
          <w:szCs w:val="24"/>
          <w:u w:val="single"/>
        </w:rPr>
        <w:t>(</w:t>
      </w:r>
      <w:r w:rsidR="00E85E8B" w:rsidRPr="00BE0936">
        <w:rPr>
          <w:rFonts w:ascii="Arial" w:hAnsi="Arial" w:cs="Arial"/>
          <w:b/>
          <w:szCs w:val="24"/>
          <w:u w:val="single"/>
        </w:rPr>
        <w:t>Under</w:t>
      </w:r>
      <w:r w:rsidR="00712E5A">
        <w:rPr>
          <w:rFonts w:ascii="Arial" w:hAnsi="Arial" w:cs="Arial"/>
          <w:b/>
          <w:szCs w:val="24"/>
          <w:u w:val="single"/>
        </w:rPr>
        <w:t>)</w:t>
      </w:r>
      <w:r w:rsidR="00E85E8B" w:rsidRPr="00BE0936">
        <w:rPr>
          <w:rFonts w:ascii="Arial" w:hAnsi="Arial" w:cs="Arial"/>
          <w:b/>
          <w:szCs w:val="24"/>
          <w:u w:val="single"/>
        </w:rPr>
        <w:t xml:space="preserve"> Collection</w:t>
      </w:r>
      <w:r w:rsidR="0097220F">
        <w:rPr>
          <w:rFonts w:ascii="Arial" w:hAnsi="Arial" w:cs="Arial"/>
          <w:b/>
          <w:szCs w:val="24"/>
          <w:u w:val="single"/>
        </w:rPr>
        <w:t>s</w:t>
      </w:r>
    </w:p>
    <w:p w14:paraId="79737335" w14:textId="77777777" w:rsidR="00E85E8B" w:rsidRPr="00BE0936" w:rsidRDefault="00E85E8B" w:rsidP="00BA1B4A">
      <w:pPr>
        <w:jc w:val="both"/>
        <w:rPr>
          <w:rFonts w:ascii="Arial" w:hAnsi="Arial" w:cs="Arial"/>
          <w:b/>
          <w:szCs w:val="24"/>
          <w:highlight w:val="lightGray"/>
          <w:u w:val="single"/>
        </w:rPr>
      </w:pPr>
    </w:p>
    <w:p w14:paraId="5D17B72E" w14:textId="4FB4291B" w:rsidR="00876C7A" w:rsidRPr="00115E1C" w:rsidRDefault="00DD7CF1" w:rsidP="00115E1C">
      <w:pPr>
        <w:pStyle w:val="EndnoteText"/>
        <w:tabs>
          <w:tab w:val="left" w:pos="-720"/>
        </w:tabs>
        <w:suppressAutoHyphens/>
        <w:ind w:left="360"/>
        <w:rPr>
          <w:rFonts w:ascii="Arial" w:hAnsi="Arial" w:cs="Arial"/>
        </w:rPr>
      </w:pPr>
      <w:r>
        <w:rPr>
          <w:rFonts w:ascii="Arial" w:hAnsi="Arial" w:cs="Arial"/>
          <w:szCs w:val="24"/>
        </w:rPr>
        <w:t xml:space="preserve">The </w:t>
      </w:r>
      <w:r w:rsidR="00BA1B4A" w:rsidRPr="00936DE2">
        <w:rPr>
          <w:rFonts w:ascii="Arial" w:hAnsi="Arial" w:cs="Arial"/>
          <w:szCs w:val="24"/>
        </w:rPr>
        <w:t xml:space="preserve">Over/(Under) Collection </w:t>
      </w:r>
      <w:r>
        <w:rPr>
          <w:rFonts w:ascii="Arial" w:hAnsi="Arial" w:cs="Arial"/>
          <w:szCs w:val="24"/>
        </w:rPr>
        <w:t>is</w:t>
      </w:r>
      <w:r w:rsidR="00BA1B4A">
        <w:rPr>
          <w:rFonts w:ascii="Arial" w:hAnsi="Arial" w:cs="Arial"/>
          <w:szCs w:val="24"/>
        </w:rPr>
        <w:t xml:space="preserve"> the</w:t>
      </w:r>
      <w:r w:rsidR="00BA1B4A" w:rsidRPr="00936DE2">
        <w:rPr>
          <w:rFonts w:ascii="Arial" w:hAnsi="Arial" w:cs="Arial"/>
          <w:szCs w:val="24"/>
        </w:rPr>
        <w:t xml:space="preserve"> difference between the </w:t>
      </w:r>
      <w:r w:rsidR="00115E1C">
        <w:rPr>
          <w:rFonts w:ascii="Arial" w:hAnsi="Arial" w:cs="Arial"/>
          <w:szCs w:val="24"/>
        </w:rPr>
        <w:t>NBT</w:t>
      </w:r>
      <w:r w:rsidR="00BA1B4A">
        <w:rPr>
          <w:rFonts w:ascii="Arial" w:hAnsi="Arial" w:cs="Arial"/>
          <w:szCs w:val="24"/>
        </w:rPr>
        <w:t xml:space="preserve"> </w:t>
      </w:r>
      <w:r w:rsidR="00BA1B4A" w:rsidRPr="00936DE2">
        <w:rPr>
          <w:rFonts w:ascii="Arial" w:hAnsi="Arial" w:cs="Arial"/>
          <w:szCs w:val="24"/>
        </w:rPr>
        <w:t>Revenue</w:t>
      </w:r>
      <w:r w:rsidR="00BA1B4A">
        <w:rPr>
          <w:rFonts w:ascii="Arial" w:hAnsi="Arial" w:cs="Arial"/>
          <w:szCs w:val="24"/>
        </w:rPr>
        <w:t xml:space="preserve"> </w:t>
      </w:r>
      <w:r w:rsidR="00BA1B4A" w:rsidRPr="00936DE2">
        <w:rPr>
          <w:rFonts w:ascii="Arial" w:hAnsi="Arial" w:cs="Arial"/>
          <w:szCs w:val="24"/>
        </w:rPr>
        <w:t xml:space="preserve">and </w:t>
      </w:r>
      <w:r w:rsidR="00115E1C">
        <w:rPr>
          <w:rFonts w:ascii="Arial" w:hAnsi="Arial" w:cs="Arial"/>
          <w:szCs w:val="24"/>
        </w:rPr>
        <w:t>NBT</w:t>
      </w:r>
      <w:r w:rsidR="00BA1B4A">
        <w:rPr>
          <w:rFonts w:ascii="Arial" w:hAnsi="Arial" w:cs="Arial"/>
          <w:szCs w:val="24"/>
        </w:rPr>
        <w:t xml:space="preserve"> </w:t>
      </w:r>
      <w:r w:rsidR="00840700">
        <w:rPr>
          <w:rFonts w:ascii="Arial" w:hAnsi="Arial" w:cs="Arial"/>
          <w:szCs w:val="24"/>
        </w:rPr>
        <w:t>Costs</w:t>
      </w:r>
      <w:r w:rsidR="00BA1B4A" w:rsidRPr="00936DE2">
        <w:rPr>
          <w:rFonts w:ascii="Arial" w:hAnsi="Arial" w:cs="Arial"/>
          <w:szCs w:val="24"/>
        </w:rPr>
        <w:t>.  The resulting amount represent</w:t>
      </w:r>
      <w:r w:rsidR="00CD328B">
        <w:rPr>
          <w:rFonts w:ascii="Arial" w:hAnsi="Arial" w:cs="Arial"/>
          <w:szCs w:val="24"/>
        </w:rPr>
        <w:t>s</w:t>
      </w:r>
      <w:r w:rsidR="00BA1B4A" w:rsidRPr="00936DE2">
        <w:rPr>
          <w:rFonts w:ascii="Arial" w:hAnsi="Arial" w:cs="Arial"/>
          <w:szCs w:val="24"/>
        </w:rPr>
        <w:t xml:space="preserve"> the portion of </w:t>
      </w:r>
      <w:r w:rsidR="00BE672A">
        <w:rPr>
          <w:rFonts w:ascii="Arial" w:hAnsi="Arial" w:cs="Arial"/>
          <w:szCs w:val="24"/>
        </w:rPr>
        <w:t>NBT</w:t>
      </w:r>
      <w:r w:rsidR="00BA1B4A">
        <w:rPr>
          <w:rFonts w:ascii="Arial" w:hAnsi="Arial" w:cs="Arial"/>
          <w:szCs w:val="24"/>
        </w:rPr>
        <w:t xml:space="preserve"> Revenue </w:t>
      </w:r>
      <w:r w:rsidR="00BA1B4A" w:rsidRPr="00DF518D">
        <w:rPr>
          <w:rFonts w:ascii="Arial" w:hAnsi="Arial" w:cs="Arial"/>
        </w:rPr>
        <w:t>refundable</w:t>
      </w:r>
      <w:r w:rsidR="00BA1B4A">
        <w:rPr>
          <w:rFonts w:ascii="Arial" w:hAnsi="Arial" w:cs="Arial"/>
        </w:rPr>
        <w:t xml:space="preserve"> or </w:t>
      </w:r>
      <w:r w:rsidR="00115E1C">
        <w:rPr>
          <w:rFonts w:ascii="Arial" w:hAnsi="Arial" w:cs="Arial"/>
        </w:rPr>
        <w:t>NBT</w:t>
      </w:r>
      <w:r w:rsidR="00876C7A">
        <w:rPr>
          <w:rFonts w:ascii="Arial" w:hAnsi="Arial" w:cs="Arial"/>
        </w:rPr>
        <w:t xml:space="preserve"> Costs</w:t>
      </w:r>
      <w:r w:rsidR="00BA1B4A">
        <w:rPr>
          <w:rFonts w:ascii="Arial" w:hAnsi="Arial" w:cs="Arial"/>
        </w:rPr>
        <w:t xml:space="preserve"> </w:t>
      </w:r>
      <w:r w:rsidR="00876C7A">
        <w:rPr>
          <w:rFonts w:ascii="Arial" w:hAnsi="Arial" w:cs="Arial"/>
        </w:rPr>
        <w:t xml:space="preserve">recoverable </w:t>
      </w:r>
      <w:r w:rsidR="00BA1B4A">
        <w:rPr>
          <w:rFonts w:ascii="Arial" w:hAnsi="Arial" w:cs="Arial"/>
        </w:rPr>
        <w:t xml:space="preserve">through subsequent </w:t>
      </w:r>
      <w:r w:rsidR="00115E1C">
        <w:rPr>
          <w:rFonts w:ascii="Arial" w:hAnsi="Arial" w:cs="Arial"/>
        </w:rPr>
        <w:t>NBT</w:t>
      </w:r>
      <w:r w:rsidR="00BA1B4A">
        <w:rPr>
          <w:rFonts w:ascii="Arial" w:hAnsi="Arial" w:cs="Arial"/>
        </w:rPr>
        <w:t xml:space="preserve"> </w:t>
      </w:r>
      <w:r w:rsidR="002F283E">
        <w:rPr>
          <w:rFonts w:ascii="Arial" w:hAnsi="Arial" w:cs="Arial"/>
        </w:rPr>
        <w:t>rate</w:t>
      </w:r>
      <w:r w:rsidR="00BA1B4A">
        <w:rPr>
          <w:rFonts w:ascii="Arial" w:hAnsi="Arial" w:cs="Arial"/>
        </w:rPr>
        <w:t xml:space="preserve">s. </w:t>
      </w:r>
      <w:r w:rsidR="00483E8C">
        <w:rPr>
          <w:rFonts w:ascii="Arial" w:hAnsi="Arial" w:cs="Arial"/>
        </w:rPr>
        <w:t xml:space="preserve">  </w:t>
      </w:r>
      <w:r w:rsidR="00876C7A">
        <w:rPr>
          <w:rFonts w:ascii="Arial" w:hAnsi="Arial" w:cs="Arial"/>
          <w:szCs w:val="24"/>
        </w:rPr>
        <w:t>Differences arise for two</w:t>
      </w:r>
      <w:r w:rsidR="00876C7A" w:rsidRPr="00B13816">
        <w:rPr>
          <w:rFonts w:ascii="Arial" w:hAnsi="Arial" w:cs="Arial"/>
          <w:szCs w:val="24"/>
        </w:rPr>
        <w:t xml:space="preserve"> primary reasons:</w:t>
      </w:r>
    </w:p>
    <w:p w14:paraId="71DB5485" w14:textId="77777777" w:rsidR="00BA1B4A" w:rsidRDefault="00BA1B4A" w:rsidP="00BA1B4A">
      <w:pPr>
        <w:ind w:left="360"/>
        <w:rPr>
          <w:rFonts w:ascii="Arial" w:hAnsi="Arial" w:cs="Arial"/>
        </w:rPr>
      </w:pPr>
    </w:p>
    <w:p w14:paraId="58E2C8BB" w14:textId="66EE7FB6" w:rsidR="00483E8C" w:rsidRDefault="007F2316" w:rsidP="00483E8C">
      <w:pPr>
        <w:numPr>
          <w:ilvl w:val="0"/>
          <w:numId w:val="6"/>
        </w:numPr>
        <w:tabs>
          <w:tab w:val="left" w:pos="360"/>
        </w:tabs>
        <w:rPr>
          <w:rFonts w:ascii="Arial" w:hAnsi="Arial" w:cs="Arial"/>
          <w:szCs w:val="24"/>
        </w:rPr>
      </w:pPr>
      <w:r w:rsidRPr="00936DE2">
        <w:rPr>
          <w:rFonts w:ascii="Arial" w:hAnsi="Arial" w:cs="Arial"/>
          <w:szCs w:val="24"/>
        </w:rPr>
        <w:t xml:space="preserve">Variation between the actual </w:t>
      </w:r>
      <w:r>
        <w:rPr>
          <w:rFonts w:ascii="Arial" w:hAnsi="Arial" w:cs="Arial"/>
          <w:szCs w:val="24"/>
        </w:rPr>
        <w:t>volumes</w:t>
      </w:r>
      <w:r w:rsidRPr="00936DE2">
        <w:rPr>
          <w:rFonts w:ascii="Arial" w:hAnsi="Arial" w:cs="Arial"/>
          <w:szCs w:val="24"/>
        </w:rPr>
        <w:t xml:space="preserve"> </w:t>
      </w:r>
      <w:r>
        <w:rPr>
          <w:rFonts w:ascii="Arial" w:hAnsi="Arial" w:cs="Arial"/>
          <w:szCs w:val="24"/>
        </w:rPr>
        <w:t xml:space="preserve">billed to </w:t>
      </w:r>
      <w:r w:rsidRPr="00936DE2">
        <w:rPr>
          <w:rFonts w:ascii="Arial" w:hAnsi="Arial" w:cs="Arial"/>
          <w:szCs w:val="24"/>
        </w:rPr>
        <w:t xml:space="preserve">customers and the </w:t>
      </w:r>
      <w:r>
        <w:rPr>
          <w:rFonts w:ascii="Arial" w:hAnsi="Arial" w:cs="Arial"/>
          <w:szCs w:val="24"/>
        </w:rPr>
        <w:t xml:space="preserve">estimates used to determine the </w:t>
      </w:r>
      <w:r w:rsidR="00965F26">
        <w:rPr>
          <w:rFonts w:ascii="Arial" w:hAnsi="Arial" w:cs="Arial"/>
          <w:szCs w:val="24"/>
        </w:rPr>
        <w:t>NBT</w:t>
      </w:r>
      <w:r w:rsidRPr="00936DE2">
        <w:rPr>
          <w:rFonts w:ascii="Arial" w:hAnsi="Arial" w:cs="Arial"/>
          <w:szCs w:val="24"/>
        </w:rPr>
        <w:t xml:space="preserve"> rate</w:t>
      </w:r>
      <w:r>
        <w:rPr>
          <w:rFonts w:ascii="Arial" w:hAnsi="Arial" w:cs="Arial"/>
          <w:szCs w:val="24"/>
        </w:rPr>
        <w:t>s</w:t>
      </w:r>
      <w:r w:rsidR="00BC5680">
        <w:rPr>
          <w:rFonts w:ascii="Arial" w:hAnsi="Arial" w:cs="Arial"/>
          <w:szCs w:val="24"/>
        </w:rPr>
        <w:t>; and,</w:t>
      </w:r>
    </w:p>
    <w:p w14:paraId="21405087" w14:textId="77777777" w:rsidR="00483E8C" w:rsidRDefault="00483E8C" w:rsidP="00483E8C">
      <w:pPr>
        <w:tabs>
          <w:tab w:val="left" w:pos="360"/>
        </w:tabs>
        <w:ind w:left="1080"/>
        <w:rPr>
          <w:rFonts w:ascii="Arial" w:hAnsi="Arial" w:cs="Arial"/>
          <w:szCs w:val="24"/>
        </w:rPr>
      </w:pPr>
    </w:p>
    <w:p w14:paraId="02F90C18" w14:textId="1046144F" w:rsidR="00026BD3" w:rsidRPr="00483E8C" w:rsidRDefault="007F2316" w:rsidP="00483E8C">
      <w:pPr>
        <w:numPr>
          <w:ilvl w:val="0"/>
          <w:numId w:val="6"/>
        </w:numPr>
        <w:tabs>
          <w:tab w:val="left" w:pos="360"/>
        </w:tabs>
        <w:rPr>
          <w:rFonts w:ascii="Arial" w:hAnsi="Arial" w:cs="Arial"/>
          <w:szCs w:val="24"/>
        </w:rPr>
      </w:pPr>
      <w:r w:rsidRPr="00483E8C">
        <w:rPr>
          <w:rFonts w:ascii="Arial" w:hAnsi="Arial" w:cs="Arial"/>
          <w:szCs w:val="24"/>
        </w:rPr>
        <w:t xml:space="preserve">Variation between the actual </w:t>
      </w:r>
      <w:r w:rsidR="00965F26">
        <w:rPr>
          <w:rFonts w:ascii="Arial" w:hAnsi="Arial" w:cs="Arial"/>
          <w:szCs w:val="24"/>
        </w:rPr>
        <w:t>NBT</w:t>
      </w:r>
      <w:r w:rsidRPr="00483E8C">
        <w:rPr>
          <w:rFonts w:ascii="Arial" w:hAnsi="Arial" w:cs="Arial"/>
          <w:szCs w:val="24"/>
        </w:rPr>
        <w:t xml:space="preserve"> </w:t>
      </w:r>
      <w:r w:rsidR="009F7D23" w:rsidRPr="00483E8C">
        <w:rPr>
          <w:rFonts w:ascii="Arial" w:hAnsi="Arial" w:cs="Arial"/>
          <w:szCs w:val="24"/>
        </w:rPr>
        <w:t>costs</w:t>
      </w:r>
      <w:r w:rsidRPr="00483E8C">
        <w:rPr>
          <w:rFonts w:ascii="Arial" w:hAnsi="Arial" w:cs="Arial"/>
          <w:szCs w:val="24"/>
        </w:rPr>
        <w:t xml:space="preserve"> and the estimate</w:t>
      </w:r>
      <w:r w:rsidR="00876C7A" w:rsidRPr="00483E8C">
        <w:rPr>
          <w:rFonts w:ascii="Arial" w:hAnsi="Arial" w:cs="Arial"/>
          <w:szCs w:val="24"/>
        </w:rPr>
        <w:t>s</w:t>
      </w:r>
      <w:r w:rsidRPr="00483E8C">
        <w:rPr>
          <w:rFonts w:ascii="Arial" w:hAnsi="Arial" w:cs="Arial"/>
          <w:szCs w:val="24"/>
        </w:rPr>
        <w:t xml:space="preserve"> used to determine the </w:t>
      </w:r>
      <w:r w:rsidR="00965F26">
        <w:rPr>
          <w:rFonts w:ascii="Arial" w:hAnsi="Arial" w:cs="Arial"/>
          <w:szCs w:val="24"/>
        </w:rPr>
        <w:t>NBT</w:t>
      </w:r>
      <w:r w:rsidRPr="00483E8C">
        <w:rPr>
          <w:rFonts w:ascii="Arial" w:hAnsi="Arial" w:cs="Arial"/>
          <w:szCs w:val="24"/>
        </w:rPr>
        <w:t xml:space="preserve"> rates.  </w:t>
      </w:r>
    </w:p>
    <w:p w14:paraId="2751B66F" w14:textId="77777777" w:rsidR="00026BD3" w:rsidRDefault="00026BD3" w:rsidP="00026BD3">
      <w:pPr>
        <w:pStyle w:val="ListParagraph"/>
        <w:rPr>
          <w:rFonts w:ascii="Arial" w:hAnsi="Arial" w:cs="Arial"/>
          <w:b/>
          <w:sz w:val="36"/>
          <w:szCs w:val="24"/>
        </w:rPr>
      </w:pPr>
    </w:p>
    <w:p w14:paraId="5226AB82" w14:textId="77777777" w:rsidR="00DD0015" w:rsidRDefault="00DD0015" w:rsidP="00DD0015">
      <w:pPr>
        <w:pStyle w:val="Heading1"/>
        <w:rPr>
          <w:rFonts w:ascii="Arial" w:hAnsi="Arial" w:cs="Arial"/>
          <w:b w:val="0"/>
          <w:szCs w:val="24"/>
        </w:rPr>
      </w:pPr>
      <w:r w:rsidRPr="00DC2F45">
        <w:rPr>
          <w:rFonts w:ascii="Arial" w:hAnsi="Arial" w:cs="Arial"/>
          <w:sz w:val="26"/>
          <w:szCs w:val="26"/>
          <w:u w:val="none"/>
        </w:rPr>
        <w:t>Acknowledgement</w:t>
      </w:r>
    </w:p>
    <w:p w14:paraId="308E71AB" w14:textId="77777777" w:rsidR="00DD0015" w:rsidRPr="00BE0936" w:rsidRDefault="00DD0015" w:rsidP="00DD0015">
      <w:pPr>
        <w:rPr>
          <w:rFonts w:ascii="Arial" w:hAnsi="Arial" w:cs="Arial"/>
          <w:b/>
          <w:szCs w:val="24"/>
          <w:u w:val="single"/>
        </w:rPr>
      </w:pPr>
    </w:p>
    <w:p w14:paraId="72E3D6BF" w14:textId="0D8DA2A9" w:rsidR="00504764" w:rsidRDefault="00DD0015" w:rsidP="00DD0015">
      <w:pPr>
        <w:rPr>
          <w:rFonts w:ascii="Arial" w:hAnsi="Arial" w:cs="Arial"/>
          <w:sz w:val="26"/>
          <w:szCs w:val="26"/>
        </w:rPr>
      </w:pPr>
      <w:r w:rsidRPr="00BE0936">
        <w:rPr>
          <w:rFonts w:ascii="Arial" w:hAnsi="Arial" w:cs="Arial"/>
          <w:szCs w:val="24"/>
        </w:rPr>
        <w:tab/>
        <w:t xml:space="preserve">We wish to express our appreciation to the officers and staff of </w:t>
      </w:r>
      <w:r>
        <w:rPr>
          <w:rFonts w:ascii="Arial" w:hAnsi="Arial" w:cs="Arial"/>
          <w:szCs w:val="24"/>
        </w:rPr>
        <w:t>PECO Energy Company</w:t>
      </w:r>
      <w:r w:rsidRPr="00BE0936">
        <w:rPr>
          <w:rFonts w:ascii="Arial" w:hAnsi="Arial" w:cs="Arial"/>
          <w:szCs w:val="24"/>
        </w:rPr>
        <w:t xml:space="preserve"> for the</w:t>
      </w:r>
      <w:r>
        <w:rPr>
          <w:rFonts w:ascii="Arial" w:hAnsi="Arial" w:cs="Arial"/>
          <w:szCs w:val="24"/>
        </w:rPr>
        <w:t>ir</w:t>
      </w:r>
      <w:r w:rsidRPr="00BE0936">
        <w:rPr>
          <w:rFonts w:ascii="Arial" w:hAnsi="Arial" w:cs="Arial"/>
          <w:szCs w:val="24"/>
        </w:rPr>
        <w:t xml:space="preserve"> cooperation and assistance</w:t>
      </w:r>
      <w:r>
        <w:rPr>
          <w:rFonts w:ascii="Arial" w:hAnsi="Arial" w:cs="Arial"/>
          <w:szCs w:val="24"/>
        </w:rPr>
        <w:t>.</w:t>
      </w:r>
      <w:r w:rsidRPr="00BE0936">
        <w:rPr>
          <w:rFonts w:ascii="Arial" w:hAnsi="Arial" w:cs="Arial"/>
          <w:szCs w:val="24"/>
        </w:rPr>
        <w:t xml:space="preserve">  The audit was conducted by </w:t>
      </w:r>
      <w:r w:rsidRPr="00020CCB">
        <w:rPr>
          <w:rFonts w:ascii="Arial" w:hAnsi="Arial" w:cs="Arial"/>
          <w:szCs w:val="24"/>
        </w:rPr>
        <w:t>Kenneth W</w:t>
      </w:r>
      <w:r>
        <w:rPr>
          <w:rFonts w:ascii="Arial" w:hAnsi="Arial" w:cs="Arial"/>
          <w:szCs w:val="24"/>
        </w:rPr>
        <w:t>. Raffensperger, assisted by Danielle M. Gumby.</w:t>
      </w:r>
    </w:p>
    <w:sectPr w:rsidR="00504764" w:rsidSect="00EF6FEB">
      <w:headerReference w:type="even" r:id="rId29"/>
      <w:headerReference w:type="default" r:id="rId30"/>
      <w:headerReference w:type="first" r:id="rId31"/>
      <w:endnotePr>
        <w:numFmt w:val="decimal"/>
      </w:endnotePr>
      <w:pgSz w:w="12240" w:h="15840" w:code="1"/>
      <w:pgMar w:top="1440" w:right="1440" w:bottom="1008" w:left="1440" w:header="720" w:footer="720" w:gutter="0"/>
      <w:pgNumType w:fmt="numberInDash"/>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57D9C" w14:textId="77777777" w:rsidR="00753FB8" w:rsidRDefault="00753FB8">
      <w:r>
        <w:separator/>
      </w:r>
    </w:p>
  </w:endnote>
  <w:endnote w:type="continuationSeparator" w:id="0">
    <w:p w14:paraId="2BF799A7" w14:textId="77777777" w:rsidR="00753FB8" w:rsidRDefault="00753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3C4A8" w14:textId="77777777" w:rsidR="00A02662" w:rsidRDefault="00A02662" w:rsidP="004858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B5C297D" w14:textId="77777777" w:rsidR="00A02662" w:rsidRDefault="00A026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67255" w14:textId="77777777" w:rsidR="00A02662" w:rsidRDefault="00A02662">
    <w:pPr>
      <w:pStyle w:val="Footer"/>
      <w:tabs>
        <w:tab w:val="clear" w:pos="4320"/>
        <w:tab w:val="clear" w:pos="86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3465955"/>
      <w:docPartObj>
        <w:docPartGallery w:val="Page Numbers (Bottom of Page)"/>
        <w:docPartUnique/>
      </w:docPartObj>
    </w:sdtPr>
    <w:sdtEndPr>
      <w:rPr>
        <w:rFonts w:ascii="Arial" w:hAnsi="Arial" w:cs="Arial"/>
        <w:noProof/>
      </w:rPr>
    </w:sdtEndPr>
    <w:sdtContent>
      <w:p w14:paraId="0020154C" w14:textId="79BDF7BB" w:rsidR="00A02662" w:rsidRPr="00F855B8" w:rsidRDefault="00A02662">
        <w:pPr>
          <w:pStyle w:val="Footer"/>
          <w:jc w:val="center"/>
          <w:rPr>
            <w:rFonts w:ascii="Arial" w:hAnsi="Arial" w:cs="Arial"/>
          </w:rPr>
        </w:pPr>
        <w:r w:rsidRPr="00F855B8">
          <w:rPr>
            <w:rFonts w:ascii="Arial" w:hAnsi="Arial" w:cs="Arial"/>
          </w:rPr>
          <w:fldChar w:fldCharType="begin"/>
        </w:r>
        <w:r w:rsidRPr="00F855B8">
          <w:rPr>
            <w:rFonts w:ascii="Arial" w:hAnsi="Arial" w:cs="Arial"/>
          </w:rPr>
          <w:instrText xml:space="preserve"> PAGE   \* MERGEFORMAT </w:instrText>
        </w:r>
        <w:r w:rsidRPr="00F855B8">
          <w:rPr>
            <w:rFonts w:ascii="Arial" w:hAnsi="Arial" w:cs="Arial"/>
          </w:rPr>
          <w:fldChar w:fldCharType="separate"/>
        </w:r>
        <w:r w:rsidRPr="00F855B8">
          <w:rPr>
            <w:rFonts w:ascii="Arial" w:hAnsi="Arial" w:cs="Arial"/>
            <w:noProof/>
          </w:rPr>
          <w:t>2</w:t>
        </w:r>
        <w:r w:rsidRPr="00F855B8">
          <w:rPr>
            <w:rFonts w:ascii="Arial" w:hAnsi="Arial" w:cs="Arial"/>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31858" w14:textId="77777777" w:rsidR="00A02662" w:rsidRDefault="00A02662">
    <w:pPr>
      <w:pStyle w:val="Footer"/>
      <w:tabs>
        <w:tab w:val="clear" w:pos="4320"/>
        <w:tab w:val="clear" w:pos="8640"/>
      </w:tabs>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EB800" w14:textId="77777777" w:rsidR="0004118A" w:rsidRDefault="0004118A">
    <w:pPr>
      <w:pStyle w:val="Footer"/>
      <w:tabs>
        <w:tab w:val="clear" w:pos="4320"/>
        <w:tab w:val="clear" w:pos="8640"/>
      </w:tabs>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24E0E" w14:textId="77777777" w:rsidR="00A02662" w:rsidRPr="00017F0B" w:rsidRDefault="00A02662" w:rsidP="00017F0B">
    <w:pPr>
      <w:pStyle w:val="Footer"/>
      <w:jc w:val="center"/>
      <w:rPr>
        <w:rFonts w:ascii="Arial" w:hAnsi="Arial" w:cs="Arial"/>
      </w:rPr>
    </w:pPr>
    <w:r w:rsidRPr="00017F0B">
      <w:rPr>
        <w:rFonts w:ascii="Arial" w:hAnsi="Arial" w:cs="Arial"/>
      </w:rPr>
      <w:fldChar w:fldCharType="begin"/>
    </w:r>
    <w:r w:rsidRPr="00017F0B">
      <w:rPr>
        <w:rFonts w:ascii="Arial" w:hAnsi="Arial" w:cs="Arial"/>
      </w:rPr>
      <w:instrText xml:space="preserve"> PAGE   \* MERGEFORMAT </w:instrText>
    </w:r>
    <w:r w:rsidRPr="00017F0B">
      <w:rPr>
        <w:rFonts w:ascii="Arial" w:hAnsi="Arial" w:cs="Arial"/>
      </w:rPr>
      <w:fldChar w:fldCharType="separate"/>
    </w:r>
    <w:r>
      <w:rPr>
        <w:rFonts w:ascii="Arial" w:hAnsi="Arial" w:cs="Arial"/>
        <w:noProof/>
      </w:rPr>
      <w:t>- 2 -</w:t>
    </w:r>
    <w:r w:rsidRPr="00017F0B">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E2110" w14:textId="77777777" w:rsidR="00753FB8" w:rsidRDefault="00753FB8">
      <w:r>
        <w:separator/>
      </w:r>
    </w:p>
  </w:footnote>
  <w:footnote w:type="continuationSeparator" w:id="0">
    <w:p w14:paraId="0BF6FD7D" w14:textId="77777777" w:rsidR="00753FB8" w:rsidRDefault="00753FB8">
      <w:r>
        <w:continuationSeparator/>
      </w:r>
    </w:p>
  </w:footnote>
  <w:footnote w:id="1">
    <w:p w14:paraId="43A12038" w14:textId="07186999" w:rsidR="00A02662" w:rsidRPr="004C06BB" w:rsidRDefault="00A02662" w:rsidP="00F855B8">
      <w:pPr>
        <w:tabs>
          <w:tab w:val="left" w:pos="270"/>
        </w:tabs>
        <w:suppressAutoHyphens/>
        <w:ind w:left="270" w:hanging="270"/>
        <w:rPr>
          <w:rFonts w:ascii="Arial" w:hAnsi="Arial" w:cs="Arial"/>
          <w:sz w:val="16"/>
          <w:szCs w:val="16"/>
        </w:rPr>
      </w:pPr>
      <w:r w:rsidRPr="004C06BB">
        <w:rPr>
          <w:rStyle w:val="FootnoteReference"/>
          <w:rFonts w:ascii="Arial" w:hAnsi="Arial" w:cs="Arial"/>
          <w:sz w:val="16"/>
          <w:szCs w:val="16"/>
        </w:rPr>
        <w:footnoteRef/>
      </w:r>
      <w:r w:rsidRPr="004C06BB">
        <w:rPr>
          <w:rFonts w:ascii="Arial" w:hAnsi="Arial" w:cs="Arial"/>
          <w:sz w:val="16"/>
          <w:szCs w:val="16"/>
        </w:rPr>
        <w:t xml:space="preserve"> As reported to the Commission at Docket No. M</w:t>
      </w:r>
      <w:r w:rsidRPr="004C06BB">
        <w:rPr>
          <w:rFonts w:ascii="Arial" w:hAnsi="Arial" w:cs="Arial"/>
          <w:sz w:val="16"/>
          <w:szCs w:val="16"/>
        </w:rPr>
        <w:noBreakHyphen/>
        <w:t>201</w:t>
      </w:r>
      <w:r w:rsidR="0045122A">
        <w:rPr>
          <w:rFonts w:ascii="Arial" w:hAnsi="Arial" w:cs="Arial"/>
          <w:sz w:val="16"/>
          <w:szCs w:val="16"/>
        </w:rPr>
        <w:t>7</w:t>
      </w:r>
      <w:r w:rsidRPr="004C06BB">
        <w:rPr>
          <w:rFonts w:ascii="Arial" w:hAnsi="Arial" w:cs="Arial"/>
          <w:sz w:val="16"/>
          <w:szCs w:val="16"/>
        </w:rPr>
        <w:noBreakHyphen/>
      </w:r>
      <w:r w:rsidR="00DA5267" w:rsidRPr="00DA5267">
        <w:rPr>
          <w:rFonts w:ascii="Arial" w:hAnsi="Arial" w:cs="Arial"/>
          <w:sz w:val="16"/>
          <w:szCs w:val="16"/>
        </w:rPr>
        <w:t>2638160</w:t>
      </w:r>
      <w:r w:rsidRPr="004C06BB">
        <w:rPr>
          <w:rFonts w:ascii="Arial" w:hAnsi="Arial" w:cs="Arial"/>
          <w:sz w:val="16"/>
          <w:szCs w:val="16"/>
        </w:rPr>
        <w:t>.</w:t>
      </w:r>
      <w:r>
        <w:rPr>
          <w:rFonts w:ascii="Arial" w:hAnsi="Arial" w:cs="Arial"/>
          <w:sz w:val="16"/>
          <w:szCs w:val="16"/>
        </w:rPr>
        <w:t xml:space="preserve">  </w:t>
      </w:r>
    </w:p>
  </w:footnote>
  <w:footnote w:id="2">
    <w:p w14:paraId="4BD2994F" w14:textId="50C5C6FC" w:rsidR="00A02662" w:rsidRDefault="00A02662">
      <w:pPr>
        <w:pStyle w:val="FootnoteText"/>
      </w:pPr>
      <w:r w:rsidRPr="004C06BB">
        <w:rPr>
          <w:rStyle w:val="FootnoteReference"/>
          <w:rFonts w:ascii="Arial" w:hAnsi="Arial" w:cs="Arial"/>
          <w:sz w:val="16"/>
          <w:szCs w:val="16"/>
        </w:rPr>
        <w:footnoteRef/>
      </w:r>
      <w:r w:rsidRPr="004C06BB">
        <w:rPr>
          <w:rFonts w:ascii="Arial" w:hAnsi="Arial" w:cs="Arial"/>
          <w:sz w:val="16"/>
          <w:szCs w:val="16"/>
        </w:rPr>
        <w:t xml:space="preserve"> Notes to the Financial Statements are an integral part of this report.</w:t>
      </w:r>
    </w:p>
  </w:footnote>
  <w:footnote w:id="3">
    <w:p w14:paraId="5E8AAF7E" w14:textId="6F85D391" w:rsidR="00A02662" w:rsidRPr="00806CD3" w:rsidRDefault="00A02662">
      <w:pPr>
        <w:pStyle w:val="FootnoteText"/>
        <w:rPr>
          <w:rFonts w:ascii="Arial" w:hAnsi="Arial" w:cs="Arial"/>
          <w:sz w:val="16"/>
          <w:szCs w:val="16"/>
        </w:rPr>
      </w:pPr>
      <w:r w:rsidRPr="00806CD3">
        <w:rPr>
          <w:rStyle w:val="FootnoteReference"/>
          <w:rFonts w:ascii="Arial" w:hAnsi="Arial" w:cs="Arial"/>
          <w:sz w:val="16"/>
          <w:szCs w:val="16"/>
        </w:rPr>
        <w:footnoteRef/>
      </w:r>
      <w:r w:rsidRPr="00806CD3">
        <w:rPr>
          <w:rFonts w:ascii="Arial" w:hAnsi="Arial" w:cs="Arial"/>
          <w:sz w:val="16"/>
          <w:szCs w:val="16"/>
        </w:rPr>
        <w:t xml:space="preserve"> As reported to the Commission, at Docket No. M</w:t>
      </w:r>
      <w:r w:rsidRPr="00806CD3">
        <w:rPr>
          <w:rFonts w:ascii="Arial" w:hAnsi="Arial" w:cs="Arial"/>
          <w:sz w:val="16"/>
          <w:szCs w:val="16"/>
        </w:rPr>
        <w:noBreakHyphen/>
        <w:t>201</w:t>
      </w:r>
      <w:r w:rsidR="0045122A">
        <w:rPr>
          <w:rFonts w:ascii="Arial" w:hAnsi="Arial" w:cs="Arial"/>
          <w:sz w:val="16"/>
          <w:szCs w:val="16"/>
        </w:rPr>
        <w:t>6</w:t>
      </w:r>
      <w:r w:rsidRPr="00806CD3">
        <w:rPr>
          <w:rFonts w:ascii="Arial" w:hAnsi="Arial" w:cs="Arial"/>
          <w:sz w:val="16"/>
          <w:szCs w:val="16"/>
        </w:rPr>
        <w:noBreakHyphen/>
      </w:r>
      <w:r w:rsidR="005A1FD3" w:rsidRPr="005A1FD3">
        <w:rPr>
          <w:rFonts w:ascii="Arial" w:hAnsi="Arial" w:cs="Arial"/>
          <w:sz w:val="16"/>
          <w:szCs w:val="16"/>
        </w:rPr>
        <w:t>2579993</w:t>
      </w:r>
      <w:r w:rsidRPr="00806CD3">
        <w:rPr>
          <w:rFonts w:ascii="Arial" w:hAnsi="Arial" w:cs="Arial"/>
          <w:sz w:val="16"/>
          <w:szCs w:val="16"/>
        </w:rPr>
        <w:t>.</w:t>
      </w:r>
      <w:r w:rsidR="00647A8A">
        <w:rPr>
          <w:rFonts w:ascii="Arial" w:hAnsi="Arial" w:cs="Arial"/>
          <w:sz w:val="16"/>
          <w:szCs w:val="16"/>
        </w:rPr>
        <w:t xml:space="preserve">  Arithmetic differences are due to rounding.</w:t>
      </w:r>
      <w:r>
        <w:rPr>
          <w:rFonts w:ascii="Arial" w:hAnsi="Arial" w:cs="Arial"/>
          <w:sz w:val="16"/>
          <w:szCs w:val="16"/>
        </w:rPr>
        <w:t xml:space="preserve">  </w:t>
      </w:r>
    </w:p>
  </w:footnote>
  <w:footnote w:id="4">
    <w:p w14:paraId="515FF205" w14:textId="67861B30" w:rsidR="00A02662" w:rsidRDefault="00A02662">
      <w:pPr>
        <w:pStyle w:val="FootnoteText"/>
      </w:pPr>
      <w:r w:rsidRPr="00806CD3">
        <w:rPr>
          <w:rStyle w:val="FootnoteReference"/>
          <w:rFonts w:ascii="Arial" w:hAnsi="Arial" w:cs="Arial"/>
          <w:sz w:val="16"/>
          <w:szCs w:val="16"/>
        </w:rPr>
        <w:footnoteRef/>
      </w:r>
      <w:r w:rsidRPr="00806CD3">
        <w:rPr>
          <w:rFonts w:ascii="Arial" w:hAnsi="Arial" w:cs="Arial"/>
          <w:sz w:val="16"/>
          <w:szCs w:val="16"/>
        </w:rPr>
        <w:t xml:space="preserve"> Notes to the Financial Statements are an integral part of this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286E4" w14:textId="16DC38A9" w:rsidR="006441F9" w:rsidRDefault="006441F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D921B" w14:textId="6C5276FA" w:rsidR="00A02662" w:rsidRDefault="00A0266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D2BCE" w14:textId="32AB4656" w:rsidR="00A02662" w:rsidRDefault="00A0266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E08A2" w14:textId="6F56B45E" w:rsidR="00A02662" w:rsidRDefault="00A0266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42990" w14:textId="3BB389E3" w:rsidR="00A02662" w:rsidRDefault="00A0266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F6727" w14:textId="71BD9703" w:rsidR="00A02662" w:rsidRPr="005440A5" w:rsidRDefault="00A02662" w:rsidP="00445AE3">
    <w:pPr>
      <w:pStyle w:val="Heading1"/>
      <w:tabs>
        <w:tab w:val="left" w:pos="180"/>
        <w:tab w:val="left" w:pos="270"/>
      </w:tabs>
      <w:rPr>
        <w:rFonts w:ascii="Arial" w:hAnsi="Arial" w:cs="Arial"/>
        <w:sz w:val="26"/>
        <w:szCs w:val="26"/>
        <w:u w:val="none"/>
      </w:rPr>
    </w:pPr>
    <w:r w:rsidRPr="005440A5">
      <w:rPr>
        <w:rFonts w:ascii="Arial" w:hAnsi="Arial" w:cs="Arial"/>
        <w:sz w:val="26"/>
        <w:szCs w:val="26"/>
        <w:u w:val="none"/>
      </w:rPr>
      <w:t>PECO ENERGY COMPANY</w:t>
    </w:r>
  </w:p>
  <w:p w14:paraId="1BB5F617" w14:textId="77777777" w:rsidR="00A02662" w:rsidRDefault="00A0266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F3FAB" w14:textId="6FB63246" w:rsidR="00A02662" w:rsidRPr="005440A5" w:rsidRDefault="00A02662" w:rsidP="00806CD3">
    <w:pPr>
      <w:pStyle w:val="Heading1"/>
      <w:tabs>
        <w:tab w:val="left" w:pos="180"/>
        <w:tab w:val="left" w:pos="270"/>
      </w:tabs>
      <w:rPr>
        <w:rFonts w:ascii="Arial" w:hAnsi="Arial" w:cs="Arial"/>
        <w:sz w:val="26"/>
        <w:szCs w:val="26"/>
        <w:u w:val="none"/>
      </w:rPr>
    </w:pPr>
    <w:r w:rsidRPr="005440A5">
      <w:rPr>
        <w:rFonts w:ascii="Arial" w:hAnsi="Arial" w:cs="Arial"/>
        <w:sz w:val="26"/>
        <w:szCs w:val="26"/>
        <w:u w:val="none"/>
      </w:rPr>
      <w:t>PECO ENERGY COMPANY</w:t>
    </w:r>
  </w:p>
  <w:p w14:paraId="779718F6" w14:textId="77777777" w:rsidR="00A02662" w:rsidRDefault="00A026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AD22B" w14:textId="19765CC6" w:rsidR="006441F9" w:rsidRDefault="006441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61DDD" w14:textId="74F284C4" w:rsidR="006441F9" w:rsidRDefault="006441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6D431" w14:textId="4B7D1806" w:rsidR="00A02662" w:rsidRDefault="00A0266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19172" w14:textId="190F885B" w:rsidR="00A02662" w:rsidRPr="005440A5" w:rsidRDefault="00A02662" w:rsidP="00CE36C6">
    <w:pPr>
      <w:pStyle w:val="Heading1"/>
      <w:tabs>
        <w:tab w:val="left" w:pos="180"/>
        <w:tab w:val="left" w:pos="270"/>
      </w:tabs>
      <w:rPr>
        <w:rFonts w:ascii="Arial" w:hAnsi="Arial" w:cs="Arial"/>
        <w:sz w:val="26"/>
        <w:szCs w:val="26"/>
        <w:u w:val="none"/>
      </w:rPr>
    </w:pPr>
    <w:r w:rsidRPr="005440A5">
      <w:rPr>
        <w:rFonts w:ascii="Arial" w:hAnsi="Arial" w:cs="Arial"/>
        <w:sz w:val="26"/>
        <w:szCs w:val="26"/>
        <w:u w:val="none"/>
      </w:rPr>
      <w:t>PECO ENERGY COMPANY</w:t>
    </w:r>
  </w:p>
  <w:p w14:paraId="12059729" w14:textId="77777777" w:rsidR="00A02662" w:rsidRDefault="00A0266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C6E32" w14:textId="6CD1E64D" w:rsidR="003C3892" w:rsidRPr="005440A5" w:rsidRDefault="003C3892" w:rsidP="003C3892">
    <w:pPr>
      <w:pStyle w:val="Heading1"/>
      <w:tabs>
        <w:tab w:val="left" w:pos="180"/>
        <w:tab w:val="left" w:pos="270"/>
      </w:tabs>
      <w:rPr>
        <w:rFonts w:ascii="Arial" w:hAnsi="Arial" w:cs="Arial"/>
        <w:sz w:val="26"/>
        <w:szCs w:val="26"/>
        <w:u w:val="none"/>
      </w:rPr>
    </w:pPr>
    <w:r w:rsidRPr="005440A5">
      <w:rPr>
        <w:rFonts w:ascii="Arial" w:hAnsi="Arial" w:cs="Arial"/>
        <w:sz w:val="26"/>
        <w:szCs w:val="26"/>
        <w:u w:val="none"/>
      </w:rPr>
      <w:t>PECO ENERGY COMPANY</w:t>
    </w:r>
  </w:p>
  <w:p w14:paraId="16B0B18C" w14:textId="77AFF822" w:rsidR="00A02662" w:rsidRDefault="00A02662" w:rsidP="003C3892">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FC65D" w14:textId="7B46A5F6" w:rsidR="006441F9" w:rsidRDefault="006441F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BBE98" w14:textId="6059C7E6" w:rsidR="006441F9" w:rsidRDefault="006441F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3EFBC" w14:textId="7200DCCE" w:rsidR="00CC0980" w:rsidRPr="005440A5" w:rsidRDefault="00CC0980" w:rsidP="00CC0980">
    <w:pPr>
      <w:pStyle w:val="Heading1"/>
      <w:tabs>
        <w:tab w:val="left" w:pos="180"/>
        <w:tab w:val="left" w:pos="270"/>
      </w:tabs>
      <w:rPr>
        <w:rFonts w:ascii="Arial" w:hAnsi="Arial" w:cs="Arial"/>
        <w:sz w:val="26"/>
        <w:szCs w:val="26"/>
        <w:u w:val="none"/>
      </w:rPr>
    </w:pPr>
    <w:r>
      <w:rPr>
        <w:rFonts w:ascii="Arial" w:hAnsi="Arial" w:cs="Arial"/>
        <w:sz w:val="26"/>
        <w:szCs w:val="26"/>
        <w:u w:val="none"/>
      </w:rPr>
      <w:t>P</w:t>
    </w:r>
    <w:r w:rsidRPr="005440A5">
      <w:rPr>
        <w:rFonts w:ascii="Arial" w:hAnsi="Arial" w:cs="Arial"/>
        <w:sz w:val="26"/>
        <w:szCs w:val="26"/>
        <w:u w:val="none"/>
      </w:rPr>
      <w:t>ECO ENERGY COMPANY</w:t>
    </w:r>
  </w:p>
  <w:p w14:paraId="463CA925" w14:textId="03EECD4D" w:rsidR="006441F9" w:rsidRDefault="006441F9" w:rsidP="00CC098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11906"/>
    <w:multiLevelType w:val="hybridMultilevel"/>
    <w:tmpl w:val="EF541E3E"/>
    <w:lvl w:ilvl="0" w:tplc="635C27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031871"/>
    <w:multiLevelType w:val="multilevel"/>
    <w:tmpl w:val="14D0DD74"/>
    <w:lvl w:ilvl="0">
      <w:start w:val="2005"/>
      <w:numFmt w:val="decimal"/>
      <w:lvlText w:val="%1"/>
      <w:lvlJc w:val="left"/>
      <w:pPr>
        <w:tabs>
          <w:tab w:val="num" w:pos="4320"/>
        </w:tabs>
        <w:ind w:left="4320" w:hanging="720"/>
      </w:pPr>
      <w:rPr>
        <w:rFonts w:hint="default"/>
      </w:rPr>
    </w:lvl>
    <w:lvl w:ilvl="1">
      <w:start w:val="1"/>
      <w:numFmt w:val="lowerLetter"/>
      <w:lvlText w:val="%2."/>
      <w:lvlJc w:val="left"/>
      <w:pPr>
        <w:tabs>
          <w:tab w:val="num" w:pos="4680"/>
        </w:tabs>
        <w:ind w:left="4680" w:hanging="360"/>
      </w:pPr>
    </w:lvl>
    <w:lvl w:ilvl="2">
      <w:start w:val="1"/>
      <w:numFmt w:val="lowerRoman"/>
      <w:lvlText w:val="%3."/>
      <w:lvlJc w:val="right"/>
      <w:pPr>
        <w:tabs>
          <w:tab w:val="num" w:pos="5400"/>
        </w:tabs>
        <w:ind w:left="5400" w:hanging="180"/>
      </w:pPr>
    </w:lvl>
    <w:lvl w:ilvl="3">
      <w:start w:val="1"/>
      <w:numFmt w:val="decimal"/>
      <w:lvlText w:val="%4."/>
      <w:lvlJc w:val="left"/>
      <w:pPr>
        <w:tabs>
          <w:tab w:val="num" w:pos="6120"/>
        </w:tabs>
        <w:ind w:left="6120" w:hanging="360"/>
      </w:pPr>
    </w:lvl>
    <w:lvl w:ilvl="4">
      <w:start w:val="1"/>
      <w:numFmt w:val="lowerLetter"/>
      <w:lvlText w:val="%5."/>
      <w:lvlJc w:val="left"/>
      <w:pPr>
        <w:tabs>
          <w:tab w:val="num" w:pos="6840"/>
        </w:tabs>
        <w:ind w:left="6840" w:hanging="360"/>
      </w:pPr>
    </w:lvl>
    <w:lvl w:ilvl="5">
      <w:start w:val="1"/>
      <w:numFmt w:val="lowerRoman"/>
      <w:lvlText w:val="%6."/>
      <w:lvlJc w:val="right"/>
      <w:pPr>
        <w:tabs>
          <w:tab w:val="num" w:pos="7560"/>
        </w:tabs>
        <w:ind w:left="7560" w:hanging="180"/>
      </w:pPr>
    </w:lvl>
    <w:lvl w:ilvl="6">
      <w:start w:val="1"/>
      <w:numFmt w:val="decimal"/>
      <w:lvlText w:val="%7."/>
      <w:lvlJc w:val="left"/>
      <w:pPr>
        <w:tabs>
          <w:tab w:val="num" w:pos="8280"/>
        </w:tabs>
        <w:ind w:left="8280" w:hanging="360"/>
      </w:pPr>
    </w:lvl>
    <w:lvl w:ilvl="7">
      <w:start w:val="1"/>
      <w:numFmt w:val="lowerLetter"/>
      <w:lvlText w:val="%8."/>
      <w:lvlJc w:val="left"/>
      <w:pPr>
        <w:tabs>
          <w:tab w:val="num" w:pos="9000"/>
        </w:tabs>
        <w:ind w:left="9000" w:hanging="360"/>
      </w:pPr>
    </w:lvl>
    <w:lvl w:ilvl="8">
      <w:start w:val="1"/>
      <w:numFmt w:val="lowerRoman"/>
      <w:lvlText w:val="%9."/>
      <w:lvlJc w:val="right"/>
      <w:pPr>
        <w:tabs>
          <w:tab w:val="num" w:pos="9720"/>
        </w:tabs>
        <w:ind w:left="9720" w:hanging="180"/>
      </w:pPr>
    </w:lvl>
  </w:abstractNum>
  <w:abstractNum w:abstractNumId="2" w15:restartNumberingAfterBreak="0">
    <w:nsid w:val="1A887742"/>
    <w:multiLevelType w:val="multilevel"/>
    <w:tmpl w:val="14D0DD74"/>
    <w:lvl w:ilvl="0">
      <w:start w:val="2005"/>
      <w:numFmt w:val="decimal"/>
      <w:lvlText w:val="%1"/>
      <w:lvlJc w:val="left"/>
      <w:pPr>
        <w:tabs>
          <w:tab w:val="num" w:pos="4320"/>
        </w:tabs>
        <w:ind w:left="4320" w:hanging="720"/>
      </w:pPr>
      <w:rPr>
        <w:rFonts w:hint="default"/>
      </w:rPr>
    </w:lvl>
    <w:lvl w:ilvl="1">
      <w:start w:val="1"/>
      <w:numFmt w:val="lowerLetter"/>
      <w:lvlText w:val="%2."/>
      <w:lvlJc w:val="left"/>
      <w:pPr>
        <w:tabs>
          <w:tab w:val="num" w:pos="4680"/>
        </w:tabs>
        <w:ind w:left="4680" w:hanging="360"/>
      </w:pPr>
    </w:lvl>
    <w:lvl w:ilvl="2">
      <w:start w:val="1"/>
      <w:numFmt w:val="lowerRoman"/>
      <w:lvlText w:val="%3."/>
      <w:lvlJc w:val="right"/>
      <w:pPr>
        <w:tabs>
          <w:tab w:val="num" w:pos="5400"/>
        </w:tabs>
        <w:ind w:left="5400" w:hanging="180"/>
      </w:pPr>
    </w:lvl>
    <w:lvl w:ilvl="3">
      <w:start w:val="1"/>
      <w:numFmt w:val="decimal"/>
      <w:lvlText w:val="%4."/>
      <w:lvlJc w:val="left"/>
      <w:pPr>
        <w:tabs>
          <w:tab w:val="num" w:pos="6120"/>
        </w:tabs>
        <w:ind w:left="6120" w:hanging="360"/>
      </w:pPr>
    </w:lvl>
    <w:lvl w:ilvl="4">
      <w:start w:val="1"/>
      <w:numFmt w:val="lowerLetter"/>
      <w:lvlText w:val="%5."/>
      <w:lvlJc w:val="left"/>
      <w:pPr>
        <w:tabs>
          <w:tab w:val="num" w:pos="6840"/>
        </w:tabs>
        <w:ind w:left="6840" w:hanging="360"/>
      </w:pPr>
    </w:lvl>
    <w:lvl w:ilvl="5">
      <w:start w:val="1"/>
      <w:numFmt w:val="lowerRoman"/>
      <w:lvlText w:val="%6."/>
      <w:lvlJc w:val="right"/>
      <w:pPr>
        <w:tabs>
          <w:tab w:val="num" w:pos="7560"/>
        </w:tabs>
        <w:ind w:left="7560" w:hanging="180"/>
      </w:pPr>
    </w:lvl>
    <w:lvl w:ilvl="6">
      <w:start w:val="1"/>
      <w:numFmt w:val="decimal"/>
      <w:lvlText w:val="%7."/>
      <w:lvlJc w:val="left"/>
      <w:pPr>
        <w:tabs>
          <w:tab w:val="num" w:pos="8280"/>
        </w:tabs>
        <w:ind w:left="8280" w:hanging="360"/>
      </w:pPr>
    </w:lvl>
    <w:lvl w:ilvl="7">
      <w:start w:val="1"/>
      <w:numFmt w:val="lowerLetter"/>
      <w:lvlText w:val="%8."/>
      <w:lvlJc w:val="left"/>
      <w:pPr>
        <w:tabs>
          <w:tab w:val="num" w:pos="9000"/>
        </w:tabs>
        <w:ind w:left="9000" w:hanging="360"/>
      </w:pPr>
    </w:lvl>
    <w:lvl w:ilvl="8">
      <w:start w:val="1"/>
      <w:numFmt w:val="lowerRoman"/>
      <w:lvlText w:val="%9."/>
      <w:lvlJc w:val="right"/>
      <w:pPr>
        <w:tabs>
          <w:tab w:val="num" w:pos="9720"/>
        </w:tabs>
        <w:ind w:left="9720" w:hanging="180"/>
      </w:pPr>
    </w:lvl>
  </w:abstractNum>
  <w:abstractNum w:abstractNumId="3" w15:restartNumberingAfterBreak="0">
    <w:nsid w:val="36BE59C6"/>
    <w:multiLevelType w:val="hybridMultilevel"/>
    <w:tmpl w:val="AF0C005E"/>
    <w:lvl w:ilvl="0" w:tplc="5994E04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1675DB"/>
    <w:multiLevelType w:val="hybridMultilevel"/>
    <w:tmpl w:val="14D0DD74"/>
    <w:lvl w:ilvl="0" w:tplc="FB824B2A">
      <w:start w:val="2005"/>
      <w:numFmt w:val="decimal"/>
      <w:lvlText w:val="%1"/>
      <w:lvlJc w:val="left"/>
      <w:pPr>
        <w:tabs>
          <w:tab w:val="num" w:pos="5040"/>
        </w:tabs>
        <w:ind w:left="5040" w:hanging="720"/>
      </w:pPr>
      <w:rPr>
        <w:rFonts w:hint="default"/>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5" w15:restartNumberingAfterBreak="0">
    <w:nsid w:val="38E6146A"/>
    <w:multiLevelType w:val="singleLevel"/>
    <w:tmpl w:val="0409000F"/>
    <w:lvl w:ilvl="0">
      <w:start w:val="6"/>
      <w:numFmt w:val="decimal"/>
      <w:lvlText w:val="%1."/>
      <w:lvlJc w:val="left"/>
      <w:pPr>
        <w:tabs>
          <w:tab w:val="num" w:pos="360"/>
        </w:tabs>
        <w:ind w:left="360" w:hanging="360"/>
      </w:pPr>
      <w:rPr>
        <w:rFonts w:hint="default"/>
      </w:rPr>
    </w:lvl>
  </w:abstractNum>
  <w:abstractNum w:abstractNumId="6" w15:restartNumberingAfterBreak="0">
    <w:nsid w:val="71884D6A"/>
    <w:multiLevelType w:val="hybridMultilevel"/>
    <w:tmpl w:val="B88A21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4"/>
  </w:num>
  <w:num w:numId="4">
    <w:abstractNumId w:val="1"/>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11E"/>
    <w:rsid w:val="00000053"/>
    <w:rsid w:val="000008D8"/>
    <w:rsid w:val="000058DD"/>
    <w:rsid w:val="000065D6"/>
    <w:rsid w:val="000068CE"/>
    <w:rsid w:val="00007999"/>
    <w:rsid w:val="00007E3A"/>
    <w:rsid w:val="00011623"/>
    <w:rsid w:val="00013201"/>
    <w:rsid w:val="00015364"/>
    <w:rsid w:val="00015CB1"/>
    <w:rsid w:val="000162AB"/>
    <w:rsid w:val="00017F0B"/>
    <w:rsid w:val="00020CCB"/>
    <w:rsid w:val="00020E5C"/>
    <w:rsid w:val="000244C4"/>
    <w:rsid w:val="0002626A"/>
    <w:rsid w:val="00026BD3"/>
    <w:rsid w:val="00026D84"/>
    <w:rsid w:val="000272B6"/>
    <w:rsid w:val="00030D7C"/>
    <w:rsid w:val="00031AC5"/>
    <w:rsid w:val="00031D01"/>
    <w:rsid w:val="00032917"/>
    <w:rsid w:val="0003354D"/>
    <w:rsid w:val="00036ADE"/>
    <w:rsid w:val="0004118A"/>
    <w:rsid w:val="000419CC"/>
    <w:rsid w:val="000442F2"/>
    <w:rsid w:val="00044925"/>
    <w:rsid w:val="00044F2B"/>
    <w:rsid w:val="000453E2"/>
    <w:rsid w:val="0004663E"/>
    <w:rsid w:val="00046640"/>
    <w:rsid w:val="000468AE"/>
    <w:rsid w:val="00047479"/>
    <w:rsid w:val="00047EF9"/>
    <w:rsid w:val="000502A5"/>
    <w:rsid w:val="00052156"/>
    <w:rsid w:val="00052559"/>
    <w:rsid w:val="00052968"/>
    <w:rsid w:val="00054EF6"/>
    <w:rsid w:val="00061843"/>
    <w:rsid w:val="000623CB"/>
    <w:rsid w:val="00063D5B"/>
    <w:rsid w:val="00064A95"/>
    <w:rsid w:val="0006510D"/>
    <w:rsid w:val="00066F74"/>
    <w:rsid w:val="000674B6"/>
    <w:rsid w:val="00070064"/>
    <w:rsid w:val="00073222"/>
    <w:rsid w:val="00075B84"/>
    <w:rsid w:val="000760EC"/>
    <w:rsid w:val="00081148"/>
    <w:rsid w:val="00082BDC"/>
    <w:rsid w:val="00086802"/>
    <w:rsid w:val="000935FF"/>
    <w:rsid w:val="000949C3"/>
    <w:rsid w:val="00097B77"/>
    <w:rsid w:val="000A0594"/>
    <w:rsid w:val="000A09E9"/>
    <w:rsid w:val="000A2022"/>
    <w:rsid w:val="000A3382"/>
    <w:rsid w:val="000A3B9C"/>
    <w:rsid w:val="000A6589"/>
    <w:rsid w:val="000A7783"/>
    <w:rsid w:val="000A78C7"/>
    <w:rsid w:val="000B0314"/>
    <w:rsid w:val="000B0FA7"/>
    <w:rsid w:val="000B104C"/>
    <w:rsid w:val="000B14A4"/>
    <w:rsid w:val="000B36D1"/>
    <w:rsid w:val="000B5397"/>
    <w:rsid w:val="000C0673"/>
    <w:rsid w:val="000C3A96"/>
    <w:rsid w:val="000C43FB"/>
    <w:rsid w:val="000C5138"/>
    <w:rsid w:val="000C6A2D"/>
    <w:rsid w:val="000C6B5B"/>
    <w:rsid w:val="000C7C23"/>
    <w:rsid w:val="000D3162"/>
    <w:rsid w:val="000D389D"/>
    <w:rsid w:val="000D69CE"/>
    <w:rsid w:val="000E1C96"/>
    <w:rsid w:val="000E3E48"/>
    <w:rsid w:val="000E52A4"/>
    <w:rsid w:val="000E6532"/>
    <w:rsid w:val="000E6571"/>
    <w:rsid w:val="000E6F6B"/>
    <w:rsid w:val="000E76F1"/>
    <w:rsid w:val="000E7FF1"/>
    <w:rsid w:val="000F0B3C"/>
    <w:rsid w:val="000F11FD"/>
    <w:rsid w:val="000F2F3B"/>
    <w:rsid w:val="000F4EE7"/>
    <w:rsid w:val="000F5CE4"/>
    <w:rsid w:val="000F6806"/>
    <w:rsid w:val="000F6F8A"/>
    <w:rsid w:val="000F7BED"/>
    <w:rsid w:val="00101D15"/>
    <w:rsid w:val="00102E74"/>
    <w:rsid w:val="001032C8"/>
    <w:rsid w:val="001039CB"/>
    <w:rsid w:val="0010499E"/>
    <w:rsid w:val="00106ADD"/>
    <w:rsid w:val="0010729F"/>
    <w:rsid w:val="00107CAA"/>
    <w:rsid w:val="00111A5D"/>
    <w:rsid w:val="00114448"/>
    <w:rsid w:val="00115A82"/>
    <w:rsid w:val="00115E1C"/>
    <w:rsid w:val="00117F13"/>
    <w:rsid w:val="0012026E"/>
    <w:rsid w:val="00121586"/>
    <w:rsid w:val="001239D2"/>
    <w:rsid w:val="00123DA5"/>
    <w:rsid w:val="00124112"/>
    <w:rsid w:val="00125A5B"/>
    <w:rsid w:val="0013081F"/>
    <w:rsid w:val="00131E66"/>
    <w:rsid w:val="00132D90"/>
    <w:rsid w:val="00133126"/>
    <w:rsid w:val="00136B75"/>
    <w:rsid w:val="00136C52"/>
    <w:rsid w:val="0013769B"/>
    <w:rsid w:val="00141370"/>
    <w:rsid w:val="001428D7"/>
    <w:rsid w:val="0014334C"/>
    <w:rsid w:val="0014482D"/>
    <w:rsid w:val="0014799E"/>
    <w:rsid w:val="00150332"/>
    <w:rsid w:val="0015062A"/>
    <w:rsid w:val="00150CFD"/>
    <w:rsid w:val="00154CF8"/>
    <w:rsid w:val="00157380"/>
    <w:rsid w:val="00157397"/>
    <w:rsid w:val="001574B0"/>
    <w:rsid w:val="00160FFA"/>
    <w:rsid w:val="00161B74"/>
    <w:rsid w:val="0016213A"/>
    <w:rsid w:val="0016361B"/>
    <w:rsid w:val="001643C2"/>
    <w:rsid w:val="00164754"/>
    <w:rsid w:val="001657F8"/>
    <w:rsid w:val="001704DD"/>
    <w:rsid w:val="00173A1E"/>
    <w:rsid w:val="00173D64"/>
    <w:rsid w:val="00173F1D"/>
    <w:rsid w:val="0017608D"/>
    <w:rsid w:val="0017628B"/>
    <w:rsid w:val="00177533"/>
    <w:rsid w:val="00180395"/>
    <w:rsid w:val="00182328"/>
    <w:rsid w:val="001832AE"/>
    <w:rsid w:val="001841C6"/>
    <w:rsid w:val="00184208"/>
    <w:rsid w:val="00186FF1"/>
    <w:rsid w:val="001877B4"/>
    <w:rsid w:val="00187979"/>
    <w:rsid w:val="0019208C"/>
    <w:rsid w:val="00192144"/>
    <w:rsid w:val="001A10E7"/>
    <w:rsid w:val="001A1B0A"/>
    <w:rsid w:val="001A379A"/>
    <w:rsid w:val="001A3EEE"/>
    <w:rsid w:val="001A43D4"/>
    <w:rsid w:val="001A7108"/>
    <w:rsid w:val="001A7BB5"/>
    <w:rsid w:val="001B1FF2"/>
    <w:rsid w:val="001B78F9"/>
    <w:rsid w:val="001B78FD"/>
    <w:rsid w:val="001C1A64"/>
    <w:rsid w:val="001C1B3F"/>
    <w:rsid w:val="001C26EA"/>
    <w:rsid w:val="001C347D"/>
    <w:rsid w:val="001C4463"/>
    <w:rsid w:val="001C56E6"/>
    <w:rsid w:val="001C5737"/>
    <w:rsid w:val="001C7D51"/>
    <w:rsid w:val="001D0889"/>
    <w:rsid w:val="001D0F9C"/>
    <w:rsid w:val="001D1B89"/>
    <w:rsid w:val="001D2546"/>
    <w:rsid w:val="001D3846"/>
    <w:rsid w:val="001D52A4"/>
    <w:rsid w:val="001D5D06"/>
    <w:rsid w:val="001D60BF"/>
    <w:rsid w:val="001D6360"/>
    <w:rsid w:val="001D6F30"/>
    <w:rsid w:val="001D7FF5"/>
    <w:rsid w:val="001E0223"/>
    <w:rsid w:val="001E0698"/>
    <w:rsid w:val="001E21D0"/>
    <w:rsid w:val="001E2CC6"/>
    <w:rsid w:val="001E3348"/>
    <w:rsid w:val="001E3A8D"/>
    <w:rsid w:val="001F09A0"/>
    <w:rsid w:val="001F176D"/>
    <w:rsid w:val="001F3BBB"/>
    <w:rsid w:val="001F49D3"/>
    <w:rsid w:val="001F781E"/>
    <w:rsid w:val="00205553"/>
    <w:rsid w:val="002064E8"/>
    <w:rsid w:val="00212D01"/>
    <w:rsid w:val="002141D8"/>
    <w:rsid w:val="00214215"/>
    <w:rsid w:val="00214E11"/>
    <w:rsid w:val="00216132"/>
    <w:rsid w:val="0021790A"/>
    <w:rsid w:val="00217DF9"/>
    <w:rsid w:val="0022155A"/>
    <w:rsid w:val="0022228F"/>
    <w:rsid w:val="00222511"/>
    <w:rsid w:val="00230938"/>
    <w:rsid w:val="00230F78"/>
    <w:rsid w:val="00234BCB"/>
    <w:rsid w:val="0023522A"/>
    <w:rsid w:val="00235730"/>
    <w:rsid w:val="00237568"/>
    <w:rsid w:val="002377F4"/>
    <w:rsid w:val="002414F4"/>
    <w:rsid w:val="002429F0"/>
    <w:rsid w:val="002452DF"/>
    <w:rsid w:val="00245AE1"/>
    <w:rsid w:val="00245DB5"/>
    <w:rsid w:val="00250177"/>
    <w:rsid w:val="002519D6"/>
    <w:rsid w:val="002528E2"/>
    <w:rsid w:val="00252B00"/>
    <w:rsid w:val="00252B74"/>
    <w:rsid w:val="002538F3"/>
    <w:rsid w:val="00253B13"/>
    <w:rsid w:val="00254EA8"/>
    <w:rsid w:val="00257288"/>
    <w:rsid w:val="0025778E"/>
    <w:rsid w:val="00260F97"/>
    <w:rsid w:val="00261451"/>
    <w:rsid w:val="002620FD"/>
    <w:rsid w:val="00266105"/>
    <w:rsid w:val="00266BB5"/>
    <w:rsid w:val="002675D2"/>
    <w:rsid w:val="0027100F"/>
    <w:rsid w:val="00273213"/>
    <w:rsid w:val="0027540D"/>
    <w:rsid w:val="00275DC6"/>
    <w:rsid w:val="002763DC"/>
    <w:rsid w:val="00282A8A"/>
    <w:rsid w:val="002831D2"/>
    <w:rsid w:val="002874D2"/>
    <w:rsid w:val="002906D0"/>
    <w:rsid w:val="002910CA"/>
    <w:rsid w:val="00291849"/>
    <w:rsid w:val="00291895"/>
    <w:rsid w:val="00291BD5"/>
    <w:rsid w:val="00293CD4"/>
    <w:rsid w:val="00295927"/>
    <w:rsid w:val="002979CA"/>
    <w:rsid w:val="00297D96"/>
    <w:rsid w:val="002A203E"/>
    <w:rsid w:val="002A2EC8"/>
    <w:rsid w:val="002A31D3"/>
    <w:rsid w:val="002A3361"/>
    <w:rsid w:val="002A476C"/>
    <w:rsid w:val="002A54B2"/>
    <w:rsid w:val="002B6042"/>
    <w:rsid w:val="002B751E"/>
    <w:rsid w:val="002C0E2D"/>
    <w:rsid w:val="002C1FC4"/>
    <w:rsid w:val="002C5A41"/>
    <w:rsid w:val="002C5B24"/>
    <w:rsid w:val="002C6C45"/>
    <w:rsid w:val="002D03F1"/>
    <w:rsid w:val="002D15BF"/>
    <w:rsid w:val="002D27C7"/>
    <w:rsid w:val="002D27FE"/>
    <w:rsid w:val="002D3DD6"/>
    <w:rsid w:val="002D3E0C"/>
    <w:rsid w:val="002D3F7A"/>
    <w:rsid w:val="002D42ED"/>
    <w:rsid w:val="002D7327"/>
    <w:rsid w:val="002D7FE7"/>
    <w:rsid w:val="002E0448"/>
    <w:rsid w:val="002E0F06"/>
    <w:rsid w:val="002E1150"/>
    <w:rsid w:val="002E119D"/>
    <w:rsid w:val="002E32E8"/>
    <w:rsid w:val="002E4942"/>
    <w:rsid w:val="002E55D4"/>
    <w:rsid w:val="002E6D73"/>
    <w:rsid w:val="002F069E"/>
    <w:rsid w:val="002F0C82"/>
    <w:rsid w:val="002F283E"/>
    <w:rsid w:val="002F4079"/>
    <w:rsid w:val="002F5E97"/>
    <w:rsid w:val="002F765F"/>
    <w:rsid w:val="002F7968"/>
    <w:rsid w:val="002F7AC1"/>
    <w:rsid w:val="002F7CE3"/>
    <w:rsid w:val="002F7E88"/>
    <w:rsid w:val="003015D0"/>
    <w:rsid w:val="00301D0E"/>
    <w:rsid w:val="00304C93"/>
    <w:rsid w:val="00307929"/>
    <w:rsid w:val="00307972"/>
    <w:rsid w:val="00310692"/>
    <w:rsid w:val="00311682"/>
    <w:rsid w:val="00312926"/>
    <w:rsid w:val="00316BC6"/>
    <w:rsid w:val="00316D8B"/>
    <w:rsid w:val="003201D6"/>
    <w:rsid w:val="00321C2D"/>
    <w:rsid w:val="00322811"/>
    <w:rsid w:val="00323651"/>
    <w:rsid w:val="003241A4"/>
    <w:rsid w:val="003242BA"/>
    <w:rsid w:val="00324340"/>
    <w:rsid w:val="003262ED"/>
    <w:rsid w:val="00326DB4"/>
    <w:rsid w:val="0032733A"/>
    <w:rsid w:val="003276AC"/>
    <w:rsid w:val="0033197E"/>
    <w:rsid w:val="00334224"/>
    <w:rsid w:val="003344D7"/>
    <w:rsid w:val="00335C44"/>
    <w:rsid w:val="00340C22"/>
    <w:rsid w:val="00342746"/>
    <w:rsid w:val="003427D4"/>
    <w:rsid w:val="00342A9E"/>
    <w:rsid w:val="0034317E"/>
    <w:rsid w:val="003439CD"/>
    <w:rsid w:val="00344C6D"/>
    <w:rsid w:val="003469AD"/>
    <w:rsid w:val="0035017F"/>
    <w:rsid w:val="00351C9C"/>
    <w:rsid w:val="0035218A"/>
    <w:rsid w:val="0035565D"/>
    <w:rsid w:val="00355B6F"/>
    <w:rsid w:val="00356922"/>
    <w:rsid w:val="00357DE5"/>
    <w:rsid w:val="00360974"/>
    <w:rsid w:val="00361CAF"/>
    <w:rsid w:val="00361DBA"/>
    <w:rsid w:val="00362F3F"/>
    <w:rsid w:val="00363CAE"/>
    <w:rsid w:val="00364D14"/>
    <w:rsid w:val="003662F1"/>
    <w:rsid w:val="003679A9"/>
    <w:rsid w:val="00367C8F"/>
    <w:rsid w:val="00372CE0"/>
    <w:rsid w:val="003731A5"/>
    <w:rsid w:val="003749BC"/>
    <w:rsid w:val="003802FE"/>
    <w:rsid w:val="00381BFC"/>
    <w:rsid w:val="0038239E"/>
    <w:rsid w:val="00384DA9"/>
    <w:rsid w:val="00385B52"/>
    <w:rsid w:val="00385F9F"/>
    <w:rsid w:val="00387064"/>
    <w:rsid w:val="003901AF"/>
    <w:rsid w:val="00391027"/>
    <w:rsid w:val="003930C8"/>
    <w:rsid w:val="0039358B"/>
    <w:rsid w:val="003960F2"/>
    <w:rsid w:val="003A0C3B"/>
    <w:rsid w:val="003A1C5F"/>
    <w:rsid w:val="003A1E2B"/>
    <w:rsid w:val="003A4AC6"/>
    <w:rsid w:val="003A4AFE"/>
    <w:rsid w:val="003B0254"/>
    <w:rsid w:val="003B0C5E"/>
    <w:rsid w:val="003B13FA"/>
    <w:rsid w:val="003B303A"/>
    <w:rsid w:val="003B3D2D"/>
    <w:rsid w:val="003B3F53"/>
    <w:rsid w:val="003B443E"/>
    <w:rsid w:val="003B5995"/>
    <w:rsid w:val="003B7861"/>
    <w:rsid w:val="003C1D39"/>
    <w:rsid w:val="003C2F08"/>
    <w:rsid w:val="003C3017"/>
    <w:rsid w:val="003C3892"/>
    <w:rsid w:val="003C3DC4"/>
    <w:rsid w:val="003C52E3"/>
    <w:rsid w:val="003D1D59"/>
    <w:rsid w:val="003D2564"/>
    <w:rsid w:val="003D7AC4"/>
    <w:rsid w:val="003E0515"/>
    <w:rsid w:val="003E16F5"/>
    <w:rsid w:val="003E2E29"/>
    <w:rsid w:val="003E33E2"/>
    <w:rsid w:val="003E391F"/>
    <w:rsid w:val="003E3F14"/>
    <w:rsid w:val="003E468D"/>
    <w:rsid w:val="003E5960"/>
    <w:rsid w:val="003E644B"/>
    <w:rsid w:val="003F35F8"/>
    <w:rsid w:val="003F746B"/>
    <w:rsid w:val="00400C49"/>
    <w:rsid w:val="004021FB"/>
    <w:rsid w:val="0040359F"/>
    <w:rsid w:val="00403944"/>
    <w:rsid w:val="0041121B"/>
    <w:rsid w:val="00411754"/>
    <w:rsid w:val="00420F93"/>
    <w:rsid w:val="00422113"/>
    <w:rsid w:val="0042256B"/>
    <w:rsid w:val="00423EEA"/>
    <w:rsid w:val="004240A0"/>
    <w:rsid w:val="004245EE"/>
    <w:rsid w:val="00424F93"/>
    <w:rsid w:val="004253C2"/>
    <w:rsid w:val="00430251"/>
    <w:rsid w:val="0043028A"/>
    <w:rsid w:val="004316FF"/>
    <w:rsid w:val="004318ED"/>
    <w:rsid w:val="0043587B"/>
    <w:rsid w:val="0043668B"/>
    <w:rsid w:val="00436C21"/>
    <w:rsid w:val="004376C4"/>
    <w:rsid w:val="004377B1"/>
    <w:rsid w:val="00437ACD"/>
    <w:rsid w:val="00440FBF"/>
    <w:rsid w:val="00441128"/>
    <w:rsid w:val="0044137A"/>
    <w:rsid w:val="00444490"/>
    <w:rsid w:val="00445142"/>
    <w:rsid w:val="00445300"/>
    <w:rsid w:val="00445ACD"/>
    <w:rsid w:val="00445AE3"/>
    <w:rsid w:val="00445FF8"/>
    <w:rsid w:val="004470AA"/>
    <w:rsid w:val="0045122A"/>
    <w:rsid w:val="00452F47"/>
    <w:rsid w:val="00455785"/>
    <w:rsid w:val="00455D25"/>
    <w:rsid w:val="00460158"/>
    <w:rsid w:val="004602B7"/>
    <w:rsid w:val="0046648C"/>
    <w:rsid w:val="00470C21"/>
    <w:rsid w:val="00471874"/>
    <w:rsid w:val="00472C70"/>
    <w:rsid w:val="00472DB8"/>
    <w:rsid w:val="0047509D"/>
    <w:rsid w:val="0048119C"/>
    <w:rsid w:val="00483E8C"/>
    <w:rsid w:val="00485619"/>
    <w:rsid w:val="004857D7"/>
    <w:rsid w:val="004858E3"/>
    <w:rsid w:val="00486C56"/>
    <w:rsid w:val="00487733"/>
    <w:rsid w:val="004927B0"/>
    <w:rsid w:val="00492AC9"/>
    <w:rsid w:val="00492FB0"/>
    <w:rsid w:val="00493F12"/>
    <w:rsid w:val="00494A9D"/>
    <w:rsid w:val="00495071"/>
    <w:rsid w:val="00495609"/>
    <w:rsid w:val="00496F59"/>
    <w:rsid w:val="004A0144"/>
    <w:rsid w:val="004A1A02"/>
    <w:rsid w:val="004A2F4E"/>
    <w:rsid w:val="004A36BA"/>
    <w:rsid w:val="004A3A3E"/>
    <w:rsid w:val="004A5224"/>
    <w:rsid w:val="004A7A64"/>
    <w:rsid w:val="004A7BE9"/>
    <w:rsid w:val="004B2020"/>
    <w:rsid w:val="004B31BE"/>
    <w:rsid w:val="004B3651"/>
    <w:rsid w:val="004B39C7"/>
    <w:rsid w:val="004B3F28"/>
    <w:rsid w:val="004B4861"/>
    <w:rsid w:val="004B4CBD"/>
    <w:rsid w:val="004C06BB"/>
    <w:rsid w:val="004C0A64"/>
    <w:rsid w:val="004C17BB"/>
    <w:rsid w:val="004C19F0"/>
    <w:rsid w:val="004C386C"/>
    <w:rsid w:val="004C3BAD"/>
    <w:rsid w:val="004C4B10"/>
    <w:rsid w:val="004D1051"/>
    <w:rsid w:val="004D2740"/>
    <w:rsid w:val="004D29F4"/>
    <w:rsid w:val="004D3DD4"/>
    <w:rsid w:val="004D3FC1"/>
    <w:rsid w:val="004D5BD4"/>
    <w:rsid w:val="004E141D"/>
    <w:rsid w:val="004E6B95"/>
    <w:rsid w:val="004E73D7"/>
    <w:rsid w:val="004F0882"/>
    <w:rsid w:val="004F263B"/>
    <w:rsid w:val="004F79E7"/>
    <w:rsid w:val="00500349"/>
    <w:rsid w:val="005005F5"/>
    <w:rsid w:val="00500E36"/>
    <w:rsid w:val="00501A6C"/>
    <w:rsid w:val="005030BD"/>
    <w:rsid w:val="00504764"/>
    <w:rsid w:val="00505373"/>
    <w:rsid w:val="00514FA0"/>
    <w:rsid w:val="00515FC5"/>
    <w:rsid w:val="005173A0"/>
    <w:rsid w:val="005234BE"/>
    <w:rsid w:val="00526B35"/>
    <w:rsid w:val="00531263"/>
    <w:rsid w:val="00532849"/>
    <w:rsid w:val="005332C0"/>
    <w:rsid w:val="00535AD0"/>
    <w:rsid w:val="005374DD"/>
    <w:rsid w:val="00537A1F"/>
    <w:rsid w:val="005403D7"/>
    <w:rsid w:val="005407AE"/>
    <w:rsid w:val="005421EE"/>
    <w:rsid w:val="005440A5"/>
    <w:rsid w:val="005447BA"/>
    <w:rsid w:val="00544883"/>
    <w:rsid w:val="00544B90"/>
    <w:rsid w:val="0054539C"/>
    <w:rsid w:val="00553FB4"/>
    <w:rsid w:val="00554B9B"/>
    <w:rsid w:val="00554C9D"/>
    <w:rsid w:val="00555001"/>
    <w:rsid w:val="00555F8F"/>
    <w:rsid w:val="00555FE4"/>
    <w:rsid w:val="0055798B"/>
    <w:rsid w:val="00561001"/>
    <w:rsid w:val="005614D4"/>
    <w:rsid w:val="00562289"/>
    <w:rsid w:val="00566C8A"/>
    <w:rsid w:val="00571F48"/>
    <w:rsid w:val="0057395D"/>
    <w:rsid w:val="00574F4B"/>
    <w:rsid w:val="00575E31"/>
    <w:rsid w:val="00576D28"/>
    <w:rsid w:val="00576E48"/>
    <w:rsid w:val="00580B56"/>
    <w:rsid w:val="005818DF"/>
    <w:rsid w:val="005825BA"/>
    <w:rsid w:val="0058323E"/>
    <w:rsid w:val="00583E35"/>
    <w:rsid w:val="00583FDA"/>
    <w:rsid w:val="005849D6"/>
    <w:rsid w:val="00586E3E"/>
    <w:rsid w:val="005871D3"/>
    <w:rsid w:val="00590BA2"/>
    <w:rsid w:val="00590D6C"/>
    <w:rsid w:val="0059168E"/>
    <w:rsid w:val="00592592"/>
    <w:rsid w:val="00592663"/>
    <w:rsid w:val="00592F67"/>
    <w:rsid w:val="00592F8D"/>
    <w:rsid w:val="0059711D"/>
    <w:rsid w:val="005A1973"/>
    <w:rsid w:val="005A1FD3"/>
    <w:rsid w:val="005A56F4"/>
    <w:rsid w:val="005A5BF6"/>
    <w:rsid w:val="005A7162"/>
    <w:rsid w:val="005B0B0E"/>
    <w:rsid w:val="005B113F"/>
    <w:rsid w:val="005B125C"/>
    <w:rsid w:val="005B28E4"/>
    <w:rsid w:val="005B35E4"/>
    <w:rsid w:val="005B4858"/>
    <w:rsid w:val="005B4B79"/>
    <w:rsid w:val="005B4D6A"/>
    <w:rsid w:val="005B54A8"/>
    <w:rsid w:val="005C0FBD"/>
    <w:rsid w:val="005C33C4"/>
    <w:rsid w:val="005C3A56"/>
    <w:rsid w:val="005C5B0F"/>
    <w:rsid w:val="005C6620"/>
    <w:rsid w:val="005C66F7"/>
    <w:rsid w:val="005C748D"/>
    <w:rsid w:val="005C7DC9"/>
    <w:rsid w:val="005D0648"/>
    <w:rsid w:val="005D2160"/>
    <w:rsid w:val="005D3701"/>
    <w:rsid w:val="005D3DA1"/>
    <w:rsid w:val="005D52DB"/>
    <w:rsid w:val="005D711E"/>
    <w:rsid w:val="005E047A"/>
    <w:rsid w:val="005E07F4"/>
    <w:rsid w:val="005E1292"/>
    <w:rsid w:val="005E320F"/>
    <w:rsid w:val="005E3917"/>
    <w:rsid w:val="005E5817"/>
    <w:rsid w:val="005E5F65"/>
    <w:rsid w:val="005E6452"/>
    <w:rsid w:val="005E7842"/>
    <w:rsid w:val="005F0299"/>
    <w:rsid w:val="005F18B4"/>
    <w:rsid w:val="005F4E56"/>
    <w:rsid w:val="005F5323"/>
    <w:rsid w:val="005F6124"/>
    <w:rsid w:val="005F7B74"/>
    <w:rsid w:val="00600004"/>
    <w:rsid w:val="00603178"/>
    <w:rsid w:val="0060335E"/>
    <w:rsid w:val="00603DA9"/>
    <w:rsid w:val="00605269"/>
    <w:rsid w:val="00605511"/>
    <w:rsid w:val="006067DE"/>
    <w:rsid w:val="00610067"/>
    <w:rsid w:val="00611530"/>
    <w:rsid w:val="0061371D"/>
    <w:rsid w:val="00615083"/>
    <w:rsid w:val="00616C41"/>
    <w:rsid w:val="00617984"/>
    <w:rsid w:val="00621FB8"/>
    <w:rsid w:val="006234E6"/>
    <w:rsid w:val="00623AC4"/>
    <w:rsid w:val="00625F07"/>
    <w:rsid w:val="00630251"/>
    <w:rsid w:val="00630B6A"/>
    <w:rsid w:val="0063169E"/>
    <w:rsid w:val="00632579"/>
    <w:rsid w:val="00632924"/>
    <w:rsid w:val="0063521D"/>
    <w:rsid w:val="0064007D"/>
    <w:rsid w:val="00643356"/>
    <w:rsid w:val="006441F9"/>
    <w:rsid w:val="00644EFC"/>
    <w:rsid w:val="00647A8A"/>
    <w:rsid w:val="006520AA"/>
    <w:rsid w:val="00652C2D"/>
    <w:rsid w:val="00653EED"/>
    <w:rsid w:val="006545F0"/>
    <w:rsid w:val="00654F7C"/>
    <w:rsid w:val="00656ADB"/>
    <w:rsid w:val="00661854"/>
    <w:rsid w:val="00661E32"/>
    <w:rsid w:val="00662297"/>
    <w:rsid w:val="00662A08"/>
    <w:rsid w:val="00664314"/>
    <w:rsid w:val="0066596A"/>
    <w:rsid w:val="00665AF5"/>
    <w:rsid w:val="00671823"/>
    <w:rsid w:val="0067371F"/>
    <w:rsid w:val="006753BD"/>
    <w:rsid w:val="00675DE8"/>
    <w:rsid w:val="00680A3E"/>
    <w:rsid w:val="00684737"/>
    <w:rsid w:val="00685167"/>
    <w:rsid w:val="006867DB"/>
    <w:rsid w:val="00691323"/>
    <w:rsid w:val="00691DAF"/>
    <w:rsid w:val="00693FCB"/>
    <w:rsid w:val="006A0815"/>
    <w:rsid w:val="006A0EBC"/>
    <w:rsid w:val="006A32F2"/>
    <w:rsid w:val="006A41BF"/>
    <w:rsid w:val="006A66FE"/>
    <w:rsid w:val="006A7112"/>
    <w:rsid w:val="006B0A81"/>
    <w:rsid w:val="006B2D2A"/>
    <w:rsid w:val="006B3E0C"/>
    <w:rsid w:val="006B675E"/>
    <w:rsid w:val="006B6ABB"/>
    <w:rsid w:val="006B7F37"/>
    <w:rsid w:val="006C0444"/>
    <w:rsid w:val="006C061F"/>
    <w:rsid w:val="006C166D"/>
    <w:rsid w:val="006C1FD9"/>
    <w:rsid w:val="006C2439"/>
    <w:rsid w:val="006D0AB8"/>
    <w:rsid w:val="006D173E"/>
    <w:rsid w:val="006D1F5A"/>
    <w:rsid w:val="006D2A3F"/>
    <w:rsid w:val="006D3F92"/>
    <w:rsid w:val="006D4292"/>
    <w:rsid w:val="006D7B1B"/>
    <w:rsid w:val="006E17FB"/>
    <w:rsid w:val="006E1E8D"/>
    <w:rsid w:val="006E2CE6"/>
    <w:rsid w:val="006E4A8B"/>
    <w:rsid w:val="006E62CD"/>
    <w:rsid w:val="006F1D99"/>
    <w:rsid w:val="006F1DF4"/>
    <w:rsid w:val="006F3515"/>
    <w:rsid w:val="006F4759"/>
    <w:rsid w:val="006F6139"/>
    <w:rsid w:val="006F61BC"/>
    <w:rsid w:val="006F7E84"/>
    <w:rsid w:val="006F7ED6"/>
    <w:rsid w:val="00700B5B"/>
    <w:rsid w:val="0070132F"/>
    <w:rsid w:val="007015D2"/>
    <w:rsid w:val="007025CC"/>
    <w:rsid w:val="00702C75"/>
    <w:rsid w:val="007046F7"/>
    <w:rsid w:val="00706CFE"/>
    <w:rsid w:val="00710127"/>
    <w:rsid w:val="00712A0F"/>
    <w:rsid w:val="00712E5A"/>
    <w:rsid w:val="00716960"/>
    <w:rsid w:val="0072188C"/>
    <w:rsid w:val="00721DD1"/>
    <w:rsid w:val="00723477"/>
    <w:rsid w:val="00724D68"/>
    <w:rsid w:val="0072553E"/>
    <w:rsid w:val="00725EC7"/>
    <w:rsid w:val="0073225D"/>
    <w:rsid w:val="0073359D"/>
    <w:rsid w:val="00734738"/>
    <w:rsid w:val="0073486D"/>
    <w:rsid w:val="00734E1C"/>
    <w:rsid w:val="00735C95"/>
    <w:rsid w:val="00740C7A"/>
    <w:rsid w:val="00742A08"/>
    <w:rsid w:val="00750DBA"/>
    <w:rsid w:val="00753A79"/>
    <w:rsid w:val="00753FB8"/>
    <w:rsid w:val="007555C2"/>
    <w:rsid w:val="00755C03"/>
    <w:rsid w:val="007603E9"/>
    <w:rsid w:val="007643BA"/>
    <w:rsid w:val="00765953"/>
    <w:rsid w:val="00765AFD"/>
    <w:rsid w:val="0076602E"/>
    <w:rsid w:val="00767729"/>
    <w:rsid w:val="00767BA0"/>
    <w:rsid w:val="0077055C"/>
    <w:rsid w:val="00770CB2"/>
    <w:rsid w:val="00771235"/>
    <w:rsid w:val="007715E0"/>
    <w:rsid w:val="00775F5F"/>
    <w:rsid w:val="0077606C"/>
    <w:rsid w:val="007763C0"/>
    <w:rsid w:val="007765A6"/>
    <w:rsid w:val="00777246"/>
    <w:rsid w:val="007806A6"/>
    <w:rsid w:val="007831A6"/>
    <w:rsid w:val="007834DA"/>
    <w:rsid w:val="00784F0A"/>
    <w:rsid w:val="00784F7C"/>
    <w:rsid w:val="00784F82"/>
    <w:rsid w:val="00785CEB"/>
    <w:rsid w:val="00786920"/>
    <w:rsid w:val="00786BC1"/>
    <w:rsid w:val="007879DD"/>
    <w:rsid w:val="00792451"/>
    <w:rsid w:val="007931ED"/>
    <w:rsid w:val="00794D80"/>
    <w:rsid w:val="0079750D"/>
    <w:rsid w:val="007A06B9"/>
    <w:rsid w:val="007A0E55"/>
    <w:rsid w:val="007A160D"/>
    <w:rsid w:val="007A56D9"/>
    <w:rsid w:val="007A5A37"/>
    <w:rsid w:val="007A79CC"/>
    <w:rsid w:val="007B2F04"/>
    <w:rsid w:val="007B3F93"/>
    <w:rsid w:val="007B77B9"/>
    <w:rsid w:val="007C0D37"/>
    <w:rsid w:val="007C2855"/>
    <w:rsid w:val="007C3098"/>
    <w:rsid w:val="007C5192"/>
    <w:rsid w:val="007C59F8"/>
    <w:rsid w:val="007C616F"/>
    <w:rsid w:val="007C6911"/>
    <w:rsid w:val="007D1B26"/>
    <w:rsid w:val="007D3802"/>
    <w:rsid w:val="007D39A7"/>
    <w:rsid w:val="007D7327"/>
    <w:rsid w:val="007D7383"/>
    <w:rsid w:val="007D7CA5"/>
    <w:rsid w:val="007F1605"/>
    <w:rsid w:val="007F1FCA"/>
    <w:rsid w:val="007F2316"/>
    <w:rsid w:val="007F5E1F"/>
    <w:rsid w:val="007F65D9"/>
    <w:rsid w:val="007F66C8"/>
    <w:rsid w:val="007F73D3"/>
    <w:rsid w:val="00801743"/>
    <w:rsid w:val="00801920"/>
    <w:rsid w:val="008019ED"/>
    <w:rsid w:val="0080226E"/>
    <w:rsid w:val="00805024"/>
    <w:rsid w:val="00806CD3"/>
    <w:rsid w:val="008074D5"/>
    <w:rsid w:val="00810F9E"/>
    <w:rsid w:val="0081158B"/>
    <w:rsid w:val="00813F37"/>
    <w:rsid w:val="00816518"/>
    <w:rsid w:val="00816BC6"/>
    <w:rsid w:val="00816EBC"/>
    <w:rsid w:val="00816F02"/>
    <w:rsid w:val="0081700E"/>
    <w:rsid w:val="00817833"/>
    <w:rsid w:val="00821061"/>
    <w:rsid w:val="00821BDE"/>
    <w:rsid w:val="00822ADF"/>
    <w:rsid w:val="0082428F"/>
    <w:rsid w:val="00824F6B"/>
    <w:rsid w:val="00826089"/>
    <w:rsid w:val="00831569"/>
    <w:rsid w:val="0083158E"/>
    <w:rsid w:val="0083428E"/>
    <w:rsid w:val="00834DF8"/>
    <w:rsid w:val="00835C89"/>
    <w:rsid w:val="0083667A"/>
    <w:rsid w:val="0083688C"/>
    <w:rsid w:val="00837ACD"/>
    <w:rsid w:val="00840700"/>
    <w:rsid w:val="008410F0"/>
    <w:rsid w:val="0084217B"/>
    <w:rsid w:val="00844448"/>
    <w:rsid w:val="008461BF"/>
    <w:rsid w:val="00846F2B"/>
    <w:rsid w:val="0085151E"/>
    <w:rsid w:val="00853008"/>
    <w:rsid w:val="008531DF"/>
    <w:rsid w:val="00853925"/>
    <w:rsid w:val="00854102"/>
    <w:rsid w:val="00854316"/>
    <w:rsid w:val="00855897"/>
    <w:rsid w:val="00855CF7"/>
    <w:rsid w:val="00864D25"/>
    <w:rsid w:val="008706D7"/>
    <w:rsid w:val="0087128A"/>
    <w:rsid w:val="00871836"/>
    <w:rsid w:val="00872000"/>
    <w:rsid w:val="00872343"/>
    <w:rsid w:val="008735C8"/>
    <w:rsid w:val="00874DA9"/>
    <w:rsid w:val="00876BA5"/>
    <w:rsid w:val="00876C7A"/>
    <w:rsid w:val="00880253"/>
    <w:rsid w:val="00882529"/>
    <w:rsid w:val="008866BE"/>
    <w:rsid w:val="0088750C"/>
    <w:rsid w:val="00887D4B"/>
    <w:rsid w:val="00887D7C"/>
    <w:rsid w:val="00891368"/>
    <w:rsid w:val="008913DB"/>
    <w:rsid w:val="008920D9"/>
    <w:rsid w:val="00892639"/>
    <w:rsid w:val="0089271B"/>
    <w:rsid w:val="00893569"/>
    <w:rsid w:val="00897B02"/>
    <w:rsid w:val="008A001C"/>
    <w:rsid w:val="008A00F3"/>
    <w:rsid w:val="008A14FF"/>
    <w:rsid w:val="008A2423"/>
    <w:rsid w:val="008A409C"/>
    <w:rsid w:val="008A5CB9"/>
    <w:rsid w:val="008A7304"/>
    <w:rsid w:val="008B1BB2"/>
    <w:rsid w:val="008B2540"/>
    <w:rsid w:val="008B2A09"/>
    <w:rsid w:val="008B2CB0"/>
    <w:rsid w:val="008B6543"/>
    <w:rsid w:val="008B69EC"/>
    <w:rsid w:val="008B72FD"/>
    <w:rsid w:val="008C1241"/>
    <w:rsid w:val="008C25A7"/>
    <w:rsid w:val="008C3229"/>
    <w:rsid w:val="008C4DA9"/>
    <w:rsid w:val="008C5757"/>
    <w:rsid w:val="008D078A"/>
    <w:rsid w:val="008D14D4"/>
    <w:rsid w:val="008D1FB8"/>
    <w:rsid w:val="008D2AE7"/>
    <w:rsid w:val="008D6BA7"/>
    <w:rsid w:val="008D751C"/>
    <w:rsid w:val="008D7534"/>
    <w:rsid w:val="008D7927"/>
    <w:rsid w:val="008E6056"/>
    <w:rsid w:val="008E662D"/>
    <w:rsid w:val="008E68A5"/>
    <w:rsid w:val="008E7347"/>
    <w:rsid w:val="008F422A"/>
    <w:rsid w:val="008F666E"/>
    <w:rsid w:val="008F66C5"/>
    <w:rsid w:val="00900CE8"/>
    <w:rsid w:val="00901A3F"/>
    <w:rsid w:val="00902648"/>
    <w:rsid w:val="00902754"/>
    <w:rsid w:val="00902770"/>
    <w:rsid w:val="00903DD5"/>
    <w:rsid w:val="00904907"/>
    <w:rsid w:val="0090726C"/>
    <w:rsid w:val="009075E7"/>
    <w:rsid w:val="00910191"/>
    <w:rsid w:val="00910F97"/>
    <w:rsid w:val="009112B6"/>
    <w:rsid w:val="009114C4"/>
    <w:rsid w:val="009117E6"/>
    <w:rsid w:val="00912883"/>
    <w:rsid w:val="00914017"/>
    <w:rsid w:val="00914AFA"/>
    <w:rsid w:val="0091691E"/>
    <w:rsid w:val="009173DA"/>
    <w:rsid w:val="00921081"/>
    <w:rsid w:val="00925F30"/>
    <w:rsid w:val="00926789"/>
    <w:rsid w:val="00926D6C"/>
    <w:rsid w:val="0092798C"/>
    <w:rsid w:val="00932ECB"/>
    <w:rsid w:val="0093458D"/>
    <w:rsid w:val="0093483F"/>
    <w:rsid w:val="00936392"/>
    <w:rsid w:val="00937F1C"/>
    <w:rsid w:val="00941B23"/>
    <w:rsid w:val="00941F06"/>
    <w:rsid w:val="009428A2"/>
    <w:rsid w:val="0094513D"/>
    <w:rsid w:val="00946B75"/>
    <w:rsid w:val="009473B0"/>
    <w:rsid w:val="00947F96"/>
    <w:rsid w:val="00950B59"/>
    <w:rsid w:val="009514FA"/>
    <w:rsid w:val="00951609"/>
    <w:rsid w:val="00953A95"/>
    <w:rsid w:val="0095798D"/>
    <w:rsid w:val="009605A3"/>
    <w:rsid w:val="009606B3"/>
    <w:rsid w:val="00963D10"/>
    <w:rsid w:val="00965F26"/>
    <w:rsid w:val="009668FF"/>
    <w:rsid w:val="00966F11"/>
    <w:rsid w:val="0096766A"/>
    <w:rsid w:val="00970B3B"/>
    <w:rsid w:val="00970F02"/>
    <w:rsid w:val="00970FEF"/>
    <w:rsid w:val="0097220F"/>
    <w:rsid w:val="0097310A"/>
    <w:rsid w:val="00973883"/>
    <w:rsid w:val="00973B32"/>
    <w:rsid w:val="00973D31"/>
    <w:rsid w:val="00974D79"/>
    <w:rsid w:val="00975900"/>
    <w:rsid w:val="00975FE0"/>
    <w:rsid w:val="009761C4"/>
    <w:rsid w:val="0097630B"/>
    <w:rsid w:val="00981B3B"/>
    <w:rsid w:val="00982958"/>
    <w:rsid w:val="00982B42"/>
    <w:rsid w:val="00984CD8"/>
    <w:rsid w:val="0098587E"/>
    <w:rsid w:val="00990933"/>
    <w:rsid w:val="00995400"/>
    <w:rsid w:val="00996C30"/>
    <w:rsid w:val="00997736"/>
    <w:rsid w:val="009A0418"/>
    <w:rsid w:val="009A09E2"/>
    <w:rsid w:val="009A4A19"/>
    <w:rsid w:val="009A6AFD"/>
    <w:rsid w:val="009A7234"/>
    <w:rsid w:val="009B0770"/>
    <w:rsid w:val="009B0F62"/>
    <w:rsid w:val="009B137B"/>
    <w:rsid w:val="009B212C"/>
    <w:rsid w:val="009B5259"/>
    <w:rsid w:val="009B5AD2"/>
    <w:rsid w:val="009B7A49"/>
    <w:rsid w:val="009C05E4"/>
    <w:rsid w:val="009C0822"/>
    <w:rsid w:val="009C0A77"/>
    <w:rsid w:val="009C2FEF"/>
    <w:rsid w:val="009C309E"/>
    <w:rsid w:val="009C35B9"/>
    <w:rsid w:val="009C3F5A"/>
    <w:rsid w:val="009C48E8"/>
    <w:rsid w:val="009C610F"/>
    <w:rsid w:val="009C6915"/>
    <w:rsid w:val="009D05F4"/>
    <w:rsid w:val="009D1319"/>
    <w:rsid w:val="009D1DF4"/>
    <w:rsid w:val="009D2B6F"/>
    <w:rsid w:val="009D2E47"/>
    <w:rsid w:val="009D5AB4"/>
    <w:rsid w:val="009E03A7"/>
    <w:rsid w:val="009E1499"/>
    <w:rsid w:val="009E3032"/>
    <w:rsid w:val="009E32C6"/>
    <w:rsid w:val="009E65FA"/>
    <w:rsid w:val="009E6831"/>
    <w:rsid w:val="009E7B26"/>
    <w:rsid w:val="009F0453"/>
    <w:rsid w:val="009F069C"/>
    <w:rsid w:val="009F0DB2"/>
    <w:rsid w:val="009F253A"/>
    <w:rsid w:val="009F26D8"/>
    <w:rsid w:val="009F3168"/>
    <w:rsid w:val="009F33F0"/>
    <w:rsid w:val="009F3BE9"/>
    <w:rsid w:val="009F536A"/>
    <w:rsid w:val="009F6024"/>
    <w:rsid w:val="009F6861"/>
    <w:rsid w:val="009F7D23"/>
    <w:rsid w:val="00A00D16"/>
    <w:rsid w:val="00A02662"/>
    <w:rsid w:val="00A03916"/>
    <w:rsid w:val="00A11529"/>
    <w:rsid w:val="00A1199B"/>
    <w:rsid w:val="00A12916"/>
    <w:rsid w:val="00A16598"/>
    <w:rsid w:val="00A16AC3"/>
    <w:rsid w:val="00A16CCA"/>
    <w:rsid w:val="00A21075"/>
    <w:rsid w:val="00A21B51"/>
    <w:rsid w:val="00A22804"/>
    <w:rsid w:val="00A24794"/>
    <w:rsid w:val="00A25ECD"/>
    <w:rsid w:val="00A27F48"/>
    <w:rsid w:val="00A302A3"/>
    <w:rsid w:val="00A31DF6"/>
    <w:rsid w:val="00A328DD"/>
    <w:rsid w:val="00A339F3"/>
    <w:rsid w:val="00A357AE"/>
    <w:rsid w:val="00A35867"/>
    <w:rsid w:val="00A36A73"/>
    <w:rsid w:val="00A41329"/>
    <w:rsid w:val="00A4423F"/>
    <w:rsid w:val="00A461B4"/>
    <w:rsid w:val="00A47EAF"/>
    <w:rsid w:val="00A507DA"/>
    <w:rsid w:val="00A544A4"/>
    <w:rsid w:val="00A54A97"/>
    <w:rsid w:val="00A564C8"/>
    <w:rsid w:val="00A56DC7"/>
    <w:rsid w:val="00A613E8"/>
    <w:rsid w:val="00A64342"/>
    <w:rsid w:val="00A65F22"/>
    <w:rsid w:val="00A66858"/>
    <w:rsid w:val="00A7509F"/>
    <w:rsid w:val="00A75438"/>
    <w:rsid w:val="00A755B0"/>
    <w:rsid w:val="00A81F67"/>
    <w:rsid w:val="00A8202D"/>
    <w:rsid w:val="00A87FC2"/>
    <w:rsid w:val="00A909BC"/>
    <w:rsid w:val="00A93E54"/>
    <w:rsid w:val="00A9474F"/>
    <w:rsid w:val="00A9618A"/>
    <w:rsid w:val="00A96B4E"/>
    <w:rsid w:val="00A96C32"/>
    <w:rsid w:val="00A972DB"/>
    <w:rsid w:val="00AA0E9D"/>
    <w:rsid w:val="00AA3F96"/>
    <w:rsid w:val="00AA6D05"/>
    <w:rsid w:val="00AB08D6"/>
    <w:rsid w:val="00AB1283"/>
    <w:rsid w:val="00AB1FC0"/>
    <w:rsid w:val="00AB3B4D"/>
    <w:rsid w:val="00AB3E64"/>
    <w:rsid w:val="00AB4099"/>
    <w:rsid w:val="00AB42B1"/>
    <w:rsid w:val="00AB71AB"/>
    <w:rsid w:val="00AC0C24"/>
    <w:rsid w:val="00AC0F89"/>
    <w:rsid w:val="00AC143E"/>
    <w:rsid w:val="00AC1E23"/>
    <w:rsid w:val="00AC5F64"/>
    <w:rsid w:val="00AC7708"/>
    <w:rsid w:val="00AC7B6F"/>
    <w:rsid w:val="00AC7F46"/>
    <w:rsid w:val="00AD12B8"/>
    <w:rsid w:val="00AD1CC6"/>
    <w:rsid w:val="00AD48B6"/>
    <w:rsid w:val="00AD5ADE"/>
    <w:rsid w:val="00AD6317"/>
    <w:rsid w:val="00AD70D0"/>
    <w:rsid w:val="00AD7C85"/>
    <w:rsid w:val="00AE0C38"/>
    <w:rsid w:val="00AE2D19"/>
    <w:rsid w:val="00AE4091"/>
    <w:rsid w:val="00AE5C4B"/>
    <w:rsid w:val="00AE7857"/>
    <w:rsid w:val="00AF2A71"/>
    <w:rsid w:val="00AF3833"/>
    <w:rsid w:val="00AF5405"/>
    <w:rsid w:val="00AF66A5"/>
    <w:rsid w:val="00B023CC"/>
    <w:rsid w:val="00B029A5"/>
    <w:rsid w:val="00B03D93"/>
    <w:rsid w:val="00B06446"/>
    <w:rsid w:val="00B107EC"/>
    <w:rsid w:val="00B13656"/>
    <w:rsid w:val="00B16057"/>
    <w:rsid w:val="00B16550"/>
    <w:rsid w:val="00B16F0F"/>
    <w:rsid w:val="00B176AF"/>
    <w:rsid w:val="00B202B2"/>
    <w:rsid w:val="00B2033F"/>
    <w:rsid w:val="00B2092B"/>
    <w:rsid w:val="00B21E1C"/>
    <w:rsid w:val="00B21EA4"/>
    <w:rsid w:val="00B25C99"/>
    <w:rsid w:val="00B26244"/>
    <w:rsid w:val="00B26C56"/>
    <w:rsid w:val="00B26CA8"/>
    <w:rsid w:val="00B33C1E"/>
    <w:rsid w:val="00B36665"/>
    <w:rsid w:val="00B37855"/>
    <w:rsid w:val="00B40F27"/>
    <w:rsid w:val="00B42798"/>
    <w:rsid w:val="00B43023"/>
    <w:rsid w:val="00B46C41"/>
    <w:rsid w:val="00B46D06"/>
    <w:rsid w:val="00B53432"/>
    <w:rsid w:val="00B56BCC"/>
    <w:rsid w:val="00B61028"/>
    <w:rsid w:val="00B61414"/>
    <w:rsid w:val="00B61810"/>
    <w:rsid w:val="00B62271"/>
    <w:rsid w:val="00B62FEE"/>
    <w:rsid w:val="00B632A0"/>
    <w:rsid w:val="00B6419D"/>
    <w:rsid w:val="00B65CCB"/>
    <w:rsid w:val="00B66F39"/>
    <w:rsid w:val="00B6715F"/>
    <w:rsid w:val="00B67B15"/>
    <w:rsid w:val="00B70EFE"/>
    <w:rsid w:val="00B75F17"/>
    <w:rsid w:val="00B765FF"/>
    <w:rsid w:val="00B7669E"/>
    <w:rsid w:val="00B84C46"/>
    <w:rsid w:val="00B84E25"/>
    <w:rsid w:val="00B852ED"/>
    <w:rsid w:val="00B87B2F"/>
    <w:rsid w:val="00B90DC1"/>
    <w:rsid w:val="00B91265"/>
    <w:rsid w:val="00B924FE"/>
    <w:rsid w:val="00B94F97"/>
    <w:rsid w:val="00B958D6"/>
    <w:rsid w:val="00B96379"/>
    <w:rsid w:val="00B97104"/>
    <w:rsid w:val="00B97252"/>
    <w:rsid w:val="00BA064A"/>
    <w:rsid w:val="00BA0B6E"/>
    <w:rsid w:val="00BA0E6D"/>
    <w:rsid w:val="00BA1B4A"/>
    <w:rsid w:val="00BA2497"/>
    <w:rsid w:val="00BA25FE"/>
    <w:rsid w:val="00BA651C"/>
    <w:rsid w:val="00BA6F5F"/>
    <w:rsid w:val="00BA764F"/>
    <w:rsid w:val="00BA7A2D"/>
    <w:rsid w:val="00BB133D"/>
    <w:rsid w:val="00BB1555"/>
    <w:rsid w:val="00BB544B"/>
    <w:rsid w:val="00BB7760"/>
    <w:rsid w:val="00BC0918"/>
    <w:rsid w:val="00BC2B50"/>
    <w:rsid w:val="00BC304C"/>
    <w:rsid w:val="00BC5680"/>
    <w:rsid w:val="00BC7C6B"/>
    <w:rsid w:val="00BC7F34"/>
    <w:rsid w:val="00BD0DC7"/>
    <w:rsid w:val="00BD1207"/>
    <w:rsid w:val="00BD3EB0"/>
    <w:rsid w:val="00BD69A8"/>
    <w:rsid w:val="00BD700D"/>
    <w:rsid w:val="00BD72EB"/>
    <w:rsid w:val="00BD7B61"/>
    <w:rsid w:val="00BE0936"/>
    <w:rsid w:val="00BE1317"/>
    <w:rsid w:val="00BE147C"/>
    <w:rsid w:val="00BE37C1"/>
    <w:rsid w:val="00BE3E1B"/>
    <w:rsid w:val="00BE65CC"/>
    <w:rsid w:val="00BE672A"/>
    <w:rsid w:val="00BE74C6"/>
    <w:rsid w:val="00BF0983"/>
    <w:rsid w:val="00BF0E3F"/>
    <w:rsid w:val="00BF3BC1"/>
    <w:rsid w:val="00BF4323"/>
    <w:rsid w:val="00BF64D9"/>
    <w:rsid w:val="00BF6A1D"/>
    <w:rsid w:val="00BF7221"/>
    <w:rsid w:val="00BF75F3"/>
    <w:rsid w:val="00C0036A"/>
    <w:rsid w:val="00C01243"/>
    <w:rsid w:val="00C01BC1"/>
    <w:rsid w:val="00C02622"/>
    <w:rsid w:val="00C035F8"/>
    <w:rsid w:val="00C0423B"/>
    <w:rsid w:val="00C04963"/>
    <w:rsid w:val="00C057DF"/>
    <w:rsid w:val="00C059D2"/>
    <w:rsid w:val="00C06521"/>
    <w:rsid w:val="00C0762F"/>
    <w:rsid w:val="00C07D99"/>
    <w:rsid w:val="00C10102"/>
    <w:rsid w:val="00C11F14"/>
    <w:rsid w:val="00C12EE5"/>
    <w:rsid w:val="00C13FD8"/>
    <w:rsid w:val="00C149A3"/>
    <w:rsid w:val="00C158EE"/>
    <w:rsid w:val="00C16A17"/>
    <w:rsid w:val="00C176F5"/>
    <w:rsid w:val="00C17C3B"/>
    <w:rsid w:val="00C208DE"/>
    <w:rsid w:val="00C20E4D"/>
    <w:rsid w:val="00C22987"/>
    <w:rsid w:val="00C23768"/>
    <w:rsid w:val="00C26D6D"/>
    <w:rsid w:val="00C275B7"/>
    <w:rsid w:val="00C31399"/>
    <w:rsid w:val="00C3329F"/>
    <w:rsid w:val="00C3535A"/>
    <w:rsid w:val="00C354B5"/>
    <w:rsid w:val="00C3560D"/>
    <w:rsid w:val="00C36047"/>
    <w:rsid w:val="00C41BFF"/>
    <w:rsid w:val="00C423CF"/>
    <w:rsid w:val="00C42805"/>
    <w:rsid w:val="00C429BC"/>
    <w:rsid w:val="00C4523C"/>
    <w:rsid w:val="00C46B81"/>
    <w:rsid w:val="00C5159E"/>
    <w:rsid w:val="00C52DC3"/>
    <w:rsid w:val="00C55AB9"/>
    <w:rsid w:val="00C602E6"/>
    <w:rsid w:val="00C62381"/>
    <w:rsid w:val="00C6244A"/>
    <w:rsid w:val="00C62486"/>
    <w:rsid w:val="00C64838"/>
    <w:rsid w:val="00C67FAA"/>
    <w:rsid w:val="00C71115"/>
    <w:rsid w:val="00C72207"/>
    <w:rsid w:val="00C72942"/>
    <w:rsid w:val="00C75FAF"/>
    <w:rsid w:val="00C7694F"/>
    <w:rsid w:val="00C8277F"/>
    <w:rsid w:val="00C87157"/>
    <w:rsid w:val="00C87DDC"/>
    <w:rsid w:val="00C90A61"/>
    <w:rsid w:val="00C90AA9"/>
    <w:rsid w:val="00C91090"/>
    <w:rsid w:val="00C91FFD"/>
    <w:rsid w:val="00C92778"/>
    <w:rsid w:val="00C92D8E"/>
    <w:rsid w:val="00C93C01"/>
    <w:rsid w:val="00C9426D"/>
    <w:rsid w:val="00C9523D"/>
    <w:rsid w:val="00C96782"/>
    <w:rsid w:val="00C971F3"/>
    <w:rsid w:val="00CA086C"/>
    <w:rsid w:val="00CB0371"/>
    <w:rsid w:val="00CB1A75"/>
    <w:rsid w:val="00CB1DD9"/>
    <w:rsid w:val="00CB2346"/>
    <w:rsid w:val="00CB3751"/>
    <w:rsid w:val="00CB389D"/>
    <w:rsid w:val="00CB5752"/>
    <w:rsid w:val="00CB6ED5"/>
    <w:rsid w:val="00CC0219"/>
    <w:rsid w:val="00CC0268"/>
    <w:rsid w:val="00CC0826"/>
    <w:rsid w:val="00CC0980"/>
    <w:rsid w:val="00CC15F2"/>
    <w:rsid w:val="00CC1ADB"/>
    <w:rsid w:val="00CC1D99"/>
    <w:rsid w:val="00CC211F"/>
    <w:rsid w:val="00CC372F"/>
    <w:rsid w:val="00CC4844"/>
    <w:rsid w:val="00CC58BC"/>
    <w:rsid w:val="00CC5CB9"/>
    <w:rsid w:val="00CC67ED"/>
    <w:rsid w:val="00CC702A"/>
    <w:rsid w:val="00CC7969"/>
    <w:rsid w:val="00CD03FB"/>
    <w:rsid w:val="00CD04CD"/>
    <w:rsid w:val="00CD0C8C"/>
    <w:rsid w:val="00CD258E"/>
    <w:rsid w:val="00CD328B"/>
    <w:rsid w:val="00CD3B02"/>
    <w:rsid w:val="00CE00F7"/>
    <w:rsid w:val="00CE0F32"/>
    <w:rsid w:val="00CE2A85"/>
    <w:rsid w:val="00CE36C6"/>
    <w:rsid w:val="00CE3997"/>
    <w:rsid w:val="00CF1CE5"/>
    <w:rsid w:val="00CF2AC5"/>
    <w:rsid w:val="00CF2F5B"/>
    <w:rsid w:val="00CF73ED"/>
    <w:rsid w:val="00CF7432"/>
    <w:rsid w:val="00CF7CE8"/>
    <w:rsid w:val="00D0110A"/>
    <w:rsid w:val="00D0355C"/>
    <w:rsid w:val="00D0474E"/>
    <w:rsid w:val="00D066F8"/>
    <w:rsid w:val="00D107D0"/>
    <w:rsid w:val="00D1121C"/>
    <w:rsid w:val="00D144D7"/>
    <w:rsid w:val="00D14717"/>
    <w:rsid w:val="00D16443"/>
    <w:rsid w:val="00D16736"/>
    <w:rsid w:val="00D17BE9"/>
    <w:rsid w:val="00D17DBB"/>
    <w:rsid w:val="00D2068D"/>
    <w:rsid w:val="00D21BB1"/>
    <w:rsid w:val="00D21E7D"/>
    <w:rsid w:val="00D22128"/>
    <w:rsid w:val="00D226A6"/>
    <w:rsid w:val="00D23044"/>
    <w:rsid w:val="00D25A73"/>
    <w:rsid w:val="00D261F6"/>
    <w:rsid w:val="00D26F1B"/>
    <w:rsid w:val="00D3035B"/>
    <w:rsid w:val="00D308D9"/>
    <w:rsid w:val="00D34249"/>
    <w:rsid w:val="00D34CB1"/>
    <w:rsid w:val="00D359DA"/>
    <w:rsid w:val="00D36DAF"/>
    <w:rsid w:val="00D4048E"/>
    <w:rsid w:val="00D42F77"/>
    <w:rsid w:val="00D445E8"/>
    <w:rsid w:val="00D46B08"/>
    <w:rsid w:val="00D50737"/>
    <w:rsid w:val="00D507E8"/>
    <w:rsid w:val="00D50A9A"/>
    <w:rsid w:val="00D50FE2"/>
    <w:rsid w:val="00D55489"/>
    <w:rsid w:val="00D57128"/>
    <w:rsid w:val="00D60026"/>
    <w:rsid w:val="00D605BF"/>
    <w:rsid w:val="00D6163A"/>
    <w:rsid w:val="00D62A5C"/>
    <w:rsid w:val="00D62D03"/>
    <w:rsid w:val="00D6412C"/>
    <w:rsid w:val="00D658FB"/>
    <w:rsid w:val="00D666B1"/>
    <w:rsid w:val="00D70B45"/>
    <w:rsid w:val="00D72273"/>
    <w:rsid w:val="00D727AE"/>
    <w:rsid w:val="00D728B8"/>
    <w:rsid w:val="00D75032"/>
    <w:rsid w:val="00D75FBD"/>
    <w:rsid w:val="00D77890"/>
    <w:rsid w:val="00D80B41"/>
    <w:rsid w:val="00D80EFD"/>
    <w:rsid w:val="00D826E4"/>
    <w:rsid w:val="00D82C8A"/>
    <w:rsid w:val="00D83FAE"/>
    <w:rsid w:val="00D84293"/>
    <w:rsid w:val="00D84896"/>
    <w:rsid w:val="00D84CF7"/>
    <w:rsid w:val="00D85805"/>
    <w:rsid w:val="00D86D43"/>
    <w:rsid w:val="00D8719C"/>
    <w:rsid w:val="00D92864"/>
    <w:rsid w:val="00D93978"/>
    <w:rsid w:val="00D939DD"/>
    <w:rsid w:val="00D954E3"/>
    <w:rsid w:val="00D97C34"/>
    <w:rsid w:val="00DA1675"/>
    <w:rsid w:val="00DA5267"/>
    <w:rsid w:val="00DA5A6B"/>
    <w:rsid w:val="00DA5E7F"/>
    <w:rsid w:val="00DA6F85"/>
    <w:rsid w:val="00DA770C"/>
    <w:rsid w:val="00DB0C40"/>
    <w:rsid w:val="00DB1674"/>
    <w:rsid w:val="00DB1B12"/>
    <w:rsid w:val="00DB2446"/>
    <w:rsid w:val="00DB309B"/>
    <w:rsid w:val="00DB33B5"/>
    <w:rsid w:val="00DB3853"/>
    <w:rsid w:val="00DB568D"/>
    <w:rsid w:val="00DB5E50"/>
    <w:rsid w:val="00DC0E09"/>
    <w:rsid w:val="00DC1BAF"/>
    <w:rsid w:val="00DC2F45"/>
    <w:rsid w:val="00DC411C"/>
    <w:rsid w:val="00DC511E"/>
    <w:rsid w:val="00DC54B3"/>
    <w:rsid w:val="00DC71BD"/>
    <w:rsid w:val="00DC7213"/>
    <w:rsid w:val="00DC7A12"/>
    <w:rsid w:val="00DC7D28"/>
    <w:rsid w:val="00DD0015"/>
    <w:rsid w:val="00DD0B3A"/>
    <w:rsid w:val="00DD143A"/>
    <w:rsid w:val="00DD1E89"/>
    <w:rsid w:val="00DD4E67"/>
    <w:rsid w:val="00DD5181"/>
    <w:rsid w:val="00DD5191"/>
    <w:rsid w:val="00DD52FF"/>
    <w:rsid w:val="00DD5D89"/>
    <w:rsid w:val="00DD69F0"/>
    <w:rsid w:val="00DD7CF1"/>
    <w:rsid w:val="00DD7D05"/>
    <w:rsid w:val="00DE14E0"/>
    <w:rsid w:val="00DE1742"/>
    <w:rsid w:val="00DE607B"/>
    <w:rsid w:val="00DE6B96"/>
    <w:rsid w:val="00DE76F1"/>
    <w:rsid w:val="00DE7D53"/>
    <w:rsid w:val="00DF071D"/>
    <w:rsid w:val="00DF1566"/>
    <w:rsid w:val="00DF4D27"/>
    <w:rsid w:val="00DF6B44"/>
    <w:rsid w:val="00E011E8"/>
    <w:rsid w:val="00E01E34"/>
    <w:rsid w:val="00E0213C"/>
    <w:rsid w:val="00E022D2"/>
    <w:rsid w:val="00E03782"/>
    <w:rsid w:val="00E04359"/>
    <w:rsid w:val="00E06C23"/>
    <w:rsid w:val="00E1389A"/>
    <w:rsid w:val="00E139AD"/>
    <w:rsid w:val="00E164EF"/>
    <w:rsid w:val="00E205B4"/>
    <w:rsid w:val="00E21FC2"/>
    <w:rsid w:val="00E22EC4"/>
    <w:rsid w:val="00E23261"/>
    <w:rsid w:val="00E30B21"/>
    <w:rsid w:val="00E36419"/>
    <w:rsid w:val="00E3642B"/>
    <w:rsid w:val="00E42E56"/>
    <w:rsid w:val="00E42FEF"/>
    <w:rsid w:val="00E45021"/>
    <w:rsid w:val="00E45CDC"/>
    <w:rsid w:val="00E46760"/>
    <w:rsid w:val="00E477D4"/>
    <w:rsid w:val="00E479CE"/>
    <w:rsid w:val="00E50BDE"/>
    <w:rsid w:val="00E50D08"/>
    <w:rsid w:val="00E51462"/>
    <w:rsid w:val="00E52393"/>
    <w:rsid w:val="00E5265E"/>
    <w:rsid w:val="00E52F3A"/>
    <w:rsid w:val="00E55749"/>
    <w:rsid w:val="00E55F5F"/>
    <w:rsid w:val="00E57357"/>
    <w:rsid w:val="00E5743B"/>
    <w:rsid w:val="00E60072"/>
    <w:rsid w:val="00E62FD1"/>
    <w:rsid w:val="00E63726"/>
    <w:rsid w:val="00E6771F"/>
    <w:rsid w:val="00E712CA"/>
    <w:rsid w:val="00E7451E"/>
    <w:rsid w:val="00E7486D"/>
    <w:rsid w:val="00E75F1F"/>
    <w:rsid w:val="00E77C51"/>
    <w:rsid w:val="00E807BD"/>
    <w:rsid w:val="00E8154D"/>
    <w:rsid w:val="00E815E9"/>
    <w:rsid w:val="00E83460"/>
    <w:rsid w:val="00E85E8B"/>
    <w:rsid w:val="00E90AB0"/>
    <w:rsid w:val="00E91C02"/>
    <w:rsid w:val="00E92E1E"/>
    <w:rsid w:val="00E93CCA"/>
    <w:rsid w:val="00E941A5"/>
    <w:rsid w:val="00E94B67"/>
    <w:rsid w:val="00EA0DAE"/>
    <w:rsid w:val="00EA135E"/>
    <w:rsid w:val="00EA138A"/>
    <w:rsid w:val="00EA19B2"/>
    <w:rsid w:val="00EA268F"/>
    <w:rsid w:val="00EA49E5"/>
    <w:rsid w:val="00EB0586"/>
    <w:rsid w:val="00EB0845"/>
    <w:rsid w:val="00EB3B35"/>
    <w:rsid w:val="00EB3F8E"/>
    <w:rsid w:val="00EB4282"/>
    <w:rsid w:val="00EB4347"/>
    <w:rsid w:val="00EB7AEA"/>
    <w:rsid w:val="00EB7B39"/>
    <w:rsid w:val="00EC032A"/>
    <w:rsid w:val="00EC04F8"/>
    <w:rsid w:val="00EC0D01"/>
    <w:rsid w:val="00EC268F"/>
    <w:rsid w:val="00EC3F12"/>
    <w:rsid w:val="00EC4EB6"/>
    <w:rsid w:val="00EC5A79"/>
    <w:rsid w:val="00EC6E80"/>
    <w:rsid w:val="00ED2E0E"/>
    <w:rsid w:val="00ED741E"/>
    <w:rsid w:val="00EE601A"/>
    <w:rsid w:val="00EE6437"/>
    <w:rsid w:val="00EF0761"/>
    <w:rsid w:val="00EF190F"/>
    <w:rsid w:val="00EF1A16"/>
    <w:rsid w:val="00EF298F"/>
    <w:rsid w:val="00EF3E2A"/>
    <w:rsid w:val="00EF4396"/>
    <w:rsid w:val="00EF6FEB"/>
    <w:rsid w:val="00F01268"/>
    <w:rsid w:val="00F024E1"/>
    <w:rsid w:val="00F03959"/>
    <w:rsid w:val="00F057F3"/>
    <w:rsid w:val="00F15BBE"/>
    <w:rsid w:val="00F211A1"/>
    <w:rsid w:val="00F21C72"/>
    <w:rsid w:val="00F26906"/>
    <w:rsid w:val="00F27DDA"/>
    <w:rsid w:val="00F30704"/>
    <w:rsid w:val="00F30BAB"/>
    <w:rsid w:val="00F31A7C"/>
    <w:rsid w:val="00F35179"/>
    <w:rsid w:val="00F35223"/>
    <w:rsid w:val="00F36B56"/>
    <w:rsid w:val="00F36EFB"/>
    <w:rsid w:val="00F41A13"/>
    <w:rsid w:val="00F42CA5"/>
    <w:rsid w:val="00F45DAA"/>
    <w:rsid w:val="00F46084"/>
    <w:rsid w:val="00F46B93"/>
    <w:rsid w:val="00F47DED"/>
    <w:rsid w:val="00F542D7"/>
    <w:rsid w:val="00F5721A"/>
    <w:rsid w:val="00F6068B"/>
    <w:rsid w:val="00F61145"/>
    <w:rsid w:val="00F62A81"/>
    <w:rsid w:val="00F638F2"/>
    <w:rsid w:val="00F6730A"/>
    <w:rsid w:val="00F7605F"/>
    <w:rsid w:val="00F77C1F"/>
    <w:rsid w:val="00F8236D"/>
    <w:rsid w:val="00F83D71"/>
    <w:rsid w:val="00F84F38"/>
    <w:rsid w:val="00F855B8"/>
    <w:rsid w:val="00F85DCD"/>
    <w:rsid w:val="00F86FA2"/>
    <w:rsid w:val="00F926B8"/>
    <w:rsid w:val="00F95475"/>
    <w:rsid w:val="00F954BD"/>
    <w:rsid w:val="00F97064"/>
    <w:rsid w:val="00F9761A"/>
    <w:rsid w:val="00FA05DA"/>
    <w:rsid w:val="00FA1E47"/>
    <w:rsid w:val="00FA4B09"/>
    <w:rsid w:val="00FA51EA"/>
    <w:rsid w:val="00FA59ED"/>
    <w:rsid w:val="00FA61A4"/>
    <w:rsid w:val="00FB1D8B"/>
    <w:rsid w:val="00FB2F00"/>
    <w:rsid w:val="00FB3EDD"/>
    <w:rsid w:val="00FB5368"/>
    <w:rsid w:val="00FC08D6"/>
    <w:rsid w:val="00FC13C0"/>
    <w:rsid w:val="00FC2082"/>
    <w:rsid w:val="00FC2D9B"/>
    <w:rsid w:val="00FC5333"/>
    <w:rsid w:val="00FC626A"/>
    <w:rsid w:val="00FC65A5"/>
    <w:rsid w:val="00FC6E36"/>
    <w:rsid w:val="00FC7657"/>
    <w:rsid w:val="00FC7827"/>
    <w:rsid w:val="00FC78F0"/>
    <w:rsid w:val="00FD3124"/>
    <w:rsid w:val="00FD3DED"/>
    <w:rsid w:val="00FD5080"/>
    <w:rsid w:val="00FD53E0"/>
    <w:rsid w:val="00FD78FC"/>
    <w:rsid w:val="00FE29E4"/>
    <w:rsid w:val="00FE3DCA"/>
    <w:rsid w:val="00FE473A"/>
    <w:rsid w:val="00FE6F85"/>
    <w:rsid w:val="00FE7054"/>
    <w:rsid w:val="00FF07C8"/>
    <w:rsid w:val="00FF10C9"/>
    <w:rsid w:val="00FF2C69"/>
    <w:rsid w:val="00FF3465"/>
    <w:rsid w:val="00FF3C80"/>
    <w:rsid w:val="00FF7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C14D18"/>
  <w15:docId w15:val="{BBF88F97-A1ED-4536-8ED0-0B2E6BADB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Book Antiqua" w:hAnsi="Book Antiqua"/>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3">
    <w:name w:val="heading 3"/>
    <w:basedOn w:val="Normal"/>
    <w:next w:val="Normal"/>
    <w:qFormat/>
    <w:rsid w:val="004F79E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tabs>
        <w:tab w:val="center" w:pos="4680"/>
      </w:tabs>
      <w:suppressAutoHyphens/>
      <w:jc w:val="center"/>
      <w:outlineLvl w:val="3"/>
    </w:pPr>
    <w:rPr>
      <w:b/>
      <w:sz w:val="32"/>
      <w:u w:val="single"/>
    </w:rPr>
  </w:style>
  <w:style w:type="paragraph" w:styleId="Heading8">
    <w:name w:val="heading 8"/>
    <w:basedOn w:val="Normal"/>
    <w:next w:val="Normal"/>
    <w:qFormat/>
    <w:pPr>
      <w:keepNext/>
      <w:suppressAutoHyphens/>
      <w:outlineLvl w:val="7"/>
    </w:pPr>
    <w:rPr>
      <w:b/>
      <w:sz w:val="36"/>
    </w:rPr>
  </w:style>
  <w:style w:type="paragraph" w:styleId="Heading9">
    <w:name w:val="heading 9"/>
    <w:basedOn w:val="Normal"/>
    <w:next w:val="Normal"/>
    <w:qFormat/>
    <w:pPr>
      <w:keepNext/>
      <w:tabs>
        <w:tab w:val="left" w:pos="-810"/>
        <w:tab w:val="center" w:pos="4680"/>
      </w:tabs>
      <w:suppressAutoHyphens/>
      <w:ind w:left="-810"/>
      <w:jc w:val="cente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center" w:pos="4680"/>
      </w:tabs>
      <w:suppressAutoHyphens/>
      <w:jc w:val="center"/>
    </w:pPr>
    <w:rPr>
      <w:b/>
      <w:sz w:val="36"/>
    </w:rPr>
  </w:style>
  <w:style w:type="paragraph" w:styleId="EndnoteText">
    <w:name w:val="endnote text"/>
    <w:basedOn w:val="Normal"/>
    <w:link w:val="EndnoteTextChar"/>
    <w:semiHidden/>
  </w:style>
  <w:style w:type="character" w:styleId="FootnoteReference">
    <w:name w:val="footnote reference"/>
    <w:semiHidden/>
    <w:rPr>
      <w:vertAlign w:val="superscript"/>
    </w:rPr>
  </w:style>
  <w:style w:type="paragraph" w:styleId="BodyTextIndent2">
    <w:name w:val="Body Text Indent 2"/>
    <w:basedOn w:val="Normal"/>
    <w:pPr>
      <w:tabs>
        <w:tab w:val="left" w:pos="-1440"/>
        <w:tab w:val="left" w:pos="-720"/>
        <w:tab w:val="left" w:pos="576"/>
        <w:tab w:val="left" w:pos="1008"/>
      </w:tabs>
      <w:suppressAutoHyphens/>
      <w:ind w:left="576" w:hanging="36"/>
    </w:pPr>
  </w:style>
  <w:style w:type="character" w:styleId="PageNumber">
    <w:name w:val="page number"/>
    <w:basedOn w:val="DefaultParagraphFont"/>
    <w:rsid w:val="009C2FEF"/>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sid w:val="00295927"/>
    <w:rPr>
      <w:sz w:val="20"/>
    </w:rPr>
  </w:style>
  <w:style w:type="paragraph" w:styleId="BodyTextIndent">
    <w:name w:val="Body Text Indent"/>
    <w:basedOn w:val="Normal"/>
    <w:rsid w:val="00344C6D"/>
    <w:pPr>
      <w:spacing w:after="120"/>
      <w:ind w:left="360"/>
    </w:pPr>
  </w:style>
  <w:style w:type="paragraph" w:styleId="Title">
    <w:name w:val="Title"/>
    <w:basedOn w:val="Normal"/>
    <w:qFormat/>
    <w:rsid w:val="001032C8"/>
    <w:pPr>
      <w:overflowPunct/>
      <w:autoSpaceDE/>
      <w:autoSpaceDN/>
      <w:adjustRightInd/>
      <w:jc w:val="center"/>
      <w:textAlignment w:val="auto"/>
    </w:pPr>
    <w:rPr>
      <w:rFonts w:ascii="Times New Roman" w:hAnsi="Times New Roman"/>
      <w:b/>
      <w:sz w:val="32"/>
      <w:u w:val="single"/>
    </w:rPr>
  </w:style>
  <w:style w:type="character" w:customStyle="1" w:styleId="EndnoteTextChar">
    <w:name w:val="Endnote Text Char"/>
    <w:link w:val="EndnoteText"/>
    <w:semiHidden/>
    <w:rsid w:val="00A1199B"/>
    <w:rPr>
      <w:rFonts w:ascii="Book Antiqua" w:hAnsi="Book Antiqua"/>
      <w:sz w:val="24"/>
    </w:rPr>
  </w:style>
  <w:style w:type="character" w:customStyle="1" w:styleId="Heading4Char">
    <w:name w:val="Heading 4 Char"/>
    <w:link w:val="Heading4"/>
    <w:rsid w:val="00A1199B"/>
    <w:rPr>
      <w:rFonts w:ascii="Book Antiqua" w:hAnsi="Book Antiqua"/>
      <w:b/>
      <w:sz w:val="32"/>
      <w:u w:val="single"/>
    </w:rPr>
  </w:style>
  <w:style w:type="paragraph" w:styleId="TOC1">
    <w:name w:val="toc 1"/>
    <w:basedOn w:val="Normal"/>
    <w:next w:val="Normal"/>
    <w:autoRedefine/>
    <w:uiPriority w:val="39"/>
    <w:rsid w:val="00B97104"/>
    <w:pPr>
      <w:spacing w:before="360"/>
    </w:pPr>
    <w:rPr>
      <w:rFonts w:ascii="Cambria" w:hAnsi="Cambria"/>
      <w:b/>
      <w:bCs/>
      <w:caps/>
      <w:szCs w:val="24"/>
    </w:rPr>
  </w:style>
  <w:style w:type="paragraph" w:styleId="TOC2">
    <w:name w:val="toc 2"/>
    <w:basedOn w:val="Normal"/>
    <w:next w:val="Normal"/>
    <w:autoRedefine/>
    <w:rsid w:val="00B97104"/>
    <w:pPr>
      <w:spacing w:before="240"/>
    </w:pPr>
    <w:rPr>
      <w:rFonts w:ascii="Calibri" w:hAnsi="Calibri"/>
      <w:b/>
      <w:bCs/>
      <w:sz w:val="20"/>
    </w:rPr>
  </w:style>
  <w:style w:type="paragraph" w:styleId="TOC3">
    <w:name w:val="toc 3"/>
    <w:basedOn w:val="Normal"/>
    <w:next w:val="Normal"/>
    <w:autoRedefine/>
    <w:rsid w:val="00B97104"/>
    <w:pPr>
      <w:ind w:left="240"/>
    </w:pPr>
    <w:rPr>
      <w:rFonts w:ascii="Calibri" w:hAnsi="Calibri"/>
      <w:sz w:val="20"/>
    </w:rPr>
  </w:style>
  <w:style w:type="paragraph" w:styleId="TOC4">
    <w:name w:val="toc 4"/>
    <w:basedOn w:val="Normal"/>
    <w:next w:val="Normal"/>
    <w:autoRedefine/>
    <w:uiPriority w:val="39"/>
    <w:rsid w:val="00B97104"/>
    <w:pPr>
      <w:ind w:left="480"/>
    </w:pPr>
    <w:rPr>
      <w:rFonts w:ascii="Calibri" w:hAnsi="Calibri"/>
      <w:sz w:val="20"/>
    </w:rPr>
  </w:style>
  <w:style w:type="paragraph" w:styleId="TOC5">
    <w:name w:val="toc 5"/>
    <w:basedOn w:val="Normal"/>
    <w:next w:val="Normal"/>
    <w:autoRedefine/>
    <w:rsid w:val="00B97104"/>
    <w:pPr>
      <w:ind w:left="720"/>
    </w:pPr>
    <w:rPr>
      <w:rFonts w:ascii="Calibri" w:hAnsi="Calibri"/>
      <w:sz w:val="20"/>
    </w:rPr>
  </w:style>
  <w:style w:type="paragraph" w:styleId="TOC6">
    <w:name w:val="toc 6"/>
    <w:basedOn w:val="Normal"/>
    <w:next w:val="Normal"/>
    <w:autoRedefine/>
    <w:rsid w:val="00B97104"/>
    <w:pPr>
      <w:ind w:left="960"/>
    </w:pPr>
    <w:rPr>
      <w:rFonts w:ascii="Calibri" w:hAnsi="Calibri"/>
      <w:sz w:val="20"/>
    </w:rPr>
  </w:style>
  <w:style w:type="paragraph" w:styleId="TOC7">
    <w:name w:val="toc 7"/>
    <w:basedOn w:val="Normal"/>
    <w:next w:val="Normal"/>
    <w:autoRedefine/>
    <w:rsid w:val="00B97104"/>
    <w:pPr>
      <w:ind w:left="1200"/>
    </w:pPr>
    <w:rPr>
      <w:rFonts w:ascii="Calibri" w:hAnsi="Calibri"/>
      <w:sz w:val="20"/>
    </w:rPr>
  </w:style>
  <w:style w:type="paragraph" w:styleId="TOC8">
    <w:name w:val="toc 8"/>
    <w:basedOn w:val="Normal"/>
    <w:next w:val="Normal"/>
    <w:autoRedefine/>
    <w:rsid w:val="00B97104"/>
    <w:pPr>
      <w:ind w:left="1440"/>
    </w:pPr>
    <w:rPr>
      <w:rFonts w:ascii="Calibri" w:hAnsi="Calibri"/>
      <w:sz w:val="20"/>
    </w:rPr>
  </w:style>
  <w:style w:type="paragraph" w:styleId="TOC9">
    <w:name w:val="toc 9"/>
    <w:basedOn w:val="Normal"/>
    <w:next w:val="Normal"/>
    <w:autoRedefine/>
    <w:rsid w:val="00B97104"/>
    <w:pPr>
      <w:ind w:left="1680"/>
    </w:pPr>
    <w:rPr>
      <w:rFonts w:ascii="Calibri" w:hAnsi="Calibri"/>
      <w:sz w:val="20"/>
    </w:rPr>
  </w:style>
  <w:style w:type="character" w:styleId="Hyperlink">
    <w:name w:val="Hyperlink"/>
    <w:uiPriority w:val="99"/>
    <w:unhideWhenUsed/>
    <w:rsid w:val="00B97104"/>
    <w:rPr>
      <w:color w:val="0000FF"/>
      <w:u w:val="single"/>
    </w:rPr>
  </w:style>
  <w:style w:type="character" w:customStyle="1" w:styleId="FooterChar">
    <w:name w:val="Footer Char"/>
    <w:link w:val="Footer"/>
    <w:uiPriority w:val="99"/>
    <w:rsid w:val="00837ACD"/>
    <w:rPr>
      <w:rFonts w:ascii="Book Antiqua" w:hAnsi="Book Antiqua"/>
      <w:sz w:val="24"/>
    </w:rPr>
  </w:style>
  <w:style w:type="character" w:styleId="CommentReference">
    <w:name w:val="annotation reference"/>
    <w:basedOn w:val="DefaultParagraphFont"/>
    <w:rsid w:val="00721DD1"/>
    <w:rPr>
      <w:sz w:val="16"/>
      <w:szCs w:val="16"/>
    </w:rPr>
  </w:style>
  <w:style w:type="paragraph" w:styleId="CommentText">
    <w:name w:val="annotation text"/>
    <w:basedOn w:val="Normal"/>
    <w:link w:val="CommentTextChar"/>
    <w:rsid w:val="00721DD1"/>
    <w:rPr>
      <w:sz w:val="20"/>
    </w:rPr>
  </w:style>
  <w:style w:type="character" w:customStyle="1" w:styleId="CommentTextChar">
    <w:name w:val="Comment Text Char"/>
    <w:basedOn w:val="DefaultParagraphFont"/>
    <w:link w:val="CommentText"/>
    <w:rsid w:val="00721DD1"/>
    <w:rPr>
      <w:rFonts w:ascii="Book Antiqua" w:hAnsi="Book Antiqua"/>
    </w:rPr>
  </w:style>
  <w:style w:type="paragraph" w:styleId="CommentSubject">
    <w:name w:val="annotation subject"/>
    <w:basedOn w:val="CommentText"/>
    <w:next w:val="CommentText"/>
    <w:link w:val="CommentSubjectChar"/>
    <w:rsid w:val="00721DD1"/>
    <w:rPr>
      <w:b/>
      <w:bCs/>
    </w:rPr>
  </w:style>
  <w:style w:type="character" w:customStyle="1" w:styleId="CommentSubjectChar">
    <w:name w:val="Comment Subject Char"/>
    <w:basedOn w:val="CommentTextChar"/>
    <w:link w:val="CommentSubject"/>
    <w:rsid w:val="00721DD1"/>
    <w:rPr>
      <w:rFonts w:ascii="Book Antiqua" w:hAnsi="Book Antiqua"/>
      <w:b/>
      <w:bCs/>
    </w:rPr>
  </w:style>
  <w:style w:type="paragraph" w:styleId="ListParagraph">
    <w:name w:val="List Paragraph"/>
    <w:basedOn w:val="Normal"/>
    <w:uiPriority w:val="34"/>
    <w:qFormat/>
    <w:rsid w:val="00026BD3"/>
    <w:pPr>
      <w:ind w:left="720"/>
      <w:contextualSpacing/>
    </w:pPr>
  </w:style>
  <w:style w:type="character" w:styleId="UnresolvedMention">
    <w:name w:val="Unresolved Mention"/>
    <w:basedOn w:val="DefaultParagraphFont"/>
    <w:uiPriority w:val="99"/>
    <w:semiHidden/>
    <w:unhideWhenUsed/>
    <w:rsid w:val="00E477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5843">
      <w:bodyDiv w:val="1"/>
      <w:marLeft w:val="0"/>
      <w:marRight w:val="0"/>
      <w:marTop w:val="0"/>
      <w:marBottom w:val="0"/>
      <w:divBdr>
        <w:top w:val="none" w:sz="0" w:space="0" w:color="auto"/>
        <w:left w:val="none" w:sz="0" w:space="0" w:color="auto"/>
        <w:bottom w:val="none" w:sz="0" w:space="0" w:color="auto"/>
        <w:right w:val="none" w:sz="0" w:space="0" w:color="auto"/>
      </w:divBdr>
    </w:div>
    <w:div w:id="262689349">
      <w:bodyDiv w:val="1"/>
      <w:marLeft w:val="0"/>
      <w:marRight w:val="0"/>
      <w:marTop w:val="0"/>
      <w:marBottom w:val="0"/>
      <w:divBdr>
        <w:top w:val="none" w:sz="0" w:space="0" w:color="auto"/>
        <w:left w:val="none" w:sz="0" w:space="0" w:color="auto"/>
        <w:bottom w:val="none" w:sz="0" w:space="0" w:color="auto"/>
        <w:right w:val="none" w:sz="0" w:space="0" w:color="auto"/>
      </w:divBdr>
    </w:div>
    <w:div w:id="398089744">
      <w:bodyDiv w:val="1"/>
      <w:marLeft w:val="0"/>
      <w:marRight w:val="0"/>
      <w:marTop w:val="0"/>
      <w:marBottom w:val="0"/>
      <w:divBdr>
        <w:top w:val="none" w:sz="0" w:space="0" w:color="auto"/>
        <w:left w:val="none" w:sz="0" w:space="0" w:color="auto"/>
        <w:bottom w:val="none" w:sz="0" w:space="0" w:color="auto"/>
        <w:right w:val="none" w:sz="0" w:space="0" w:color="auto"/>
      </w:divBdr>
    </w:div>
    <w:div w:id="536743879">
      <w:bodyDiv w:val="1"/>
      <w:marLeft w:val="0"/>
      <w:marRight w:val="0"/>
      <w:marTop w:val="0"/>
      <w:marBottom w:val="0"/>
      <w:divBdr>
        <w:top w:val="none" w:sz="0" w:space="0" w:color="auto"/>
        <w:left w:val="none" w:sz="0" w:space="0" w:color="auto"/>
        <w:bottom w:val="none" w:sz="0" w:space="0" w:color="auto"/>
        <w:right w:val="none" w:sz="0" w:space="0" w:color="auto"/>
      </w:divBdr>
    </w:div>
    <w:div w:id="616374176">
      <w:bodyDiv w:val="1"/>
      <w:marLeft w:val="0"/>
      <w:marRight w:val="0"/>
      <w:marTop w:val="0"/>
      <w:marBottom w:val="0"/>
      <w:divBdr>
        <w:top w:val="none" w:sz="0" w:space="0" w:color="auto"/>
        <w:left w:val="none" w:sz="0" w:space="0" w:color="auto"/>
        <w:bottom w:val="none" w:sz="0" w:space="0" w:color="auto"/>
        <w:right w:val="none" w:sz="0" w:space="0" w:color="auto"/>
      </w:divBdr>
    </w:div>
    <w:div w:id="727269508">
      <w:bodyDiv w:val="1"/>
      <w:marLeft w:val="0"/>
      <w:marRight w:val="0"/>
      <w:marTop w:val="0"/>
      <w:marBottom w:val="0"/>
      <w:divBdr>
        <w:top w:val="none" w:sz="0" w:space="0" w:color="auto"/>
        <w:left w:val="none" w:sz="0" w:space="0" w:color="auto"/>
        <w:bottom w:val="none" w:sz="0" w:space="0" w:color="auto"/>
        <w:right w:val="none" w:sz="0" w:space="0" w:color="auto"/>
      </w:divBdr>
    </w:div>
    <w:div w:id="1046296128">
      <w:bodyDiv w:val="1"/>
      <w:marLeft w:val="0"/>
      <w:marRight w:val="0"/>
      <w:marTop w:val="0"/>
      <w:marBottom w:val="0"/>
      <w:divBdr>
        <w:top w:val="none" w:sz="0" w:space="0" w:color="auto"/>
        <w:left w:val="none" w:sz="0" w:space="0" w:color="auto"/>
        <w:bottom w:val="none" w:sz="0" w:space="0" w:color="auto"/>
        <w:right w:val="none" w:sz="0" w:space="0" w:color="auto"/>
      </w:divBdr>
    </w:div>
    <w:div w:id="1087505918">
      <w:bodyDiv w:val="1"/>
      <w:marLeft w:val="0"/>
      <w:marRight w:val="0"/>
      <w:marTop w:val="0"/>
      <w:marBottom w:val="0"/>
      <w:divBdr>
        <w:top w:val="none" w:sz="0" w:space="0" w:color="auto"/>
        <w:left w:val="none" w:sz="0" w:space="0" w:color="auto"/>
        <w:bottom w:val="none" w:sz="0" w:space="0" w:color="auto"/>
        <w:right w:val="none" w:sz="0" w:space="0" w:color="auto"/>
      </w:divBdr>
    </w:div>
    <w:div w:id="1109163140">
      <w:bodyDiv w:val="1"/>
      <w:marLeft w:val="0"/>
      <w:marRight w:val="0"/>
      <w:marTop w:val="0"/>
      <w:marBottom w:val="0"/>
      <w:divBdr>
        <w:top w:val="none" w:sz="0" w:space="0" w:color="auto"/>
        <w:left w:val="none" w:sz="0" w:space="0" w:color="auto"/>
        <w:bottom w:val="none" w:sz="0" w:space="0" w:color="auto"/>
        <w:right w:val="none" w:sz="0" w:space="0" w:color="auto"/>
      </w:divBdr>
    </w:div>
    <w:div w:id="1264846520">
      <w:bodyDiv w:val="1"/>
      <w:marLeft w:val="0"/>
      <w:marRight w:val="0"/>
      <w:marTop w:val="0"/>
      <w:marBottom w:val="0"/>
      <w:divBdr>
        <w:top w:val="none" w:sz="0" w:space="0" w:color="auto"/>
        <w:left w:val="none" w:sz="0" w:space="0" w:color="auto"/>
        <w:bottom w:val="none" w:sz="0" w:space="0" w:color="auto"/>
        <w:right w:val="none" w:sz="0" w:space="0" w:color="auto"/>
      </w:divBdr>
    </w:div>
    <w:div w:id="1281961056">
      <w:bodyDiv w:val="1"/>
      <w:marLeft w:val="0"/>
      <w:marRight w:val="0"/>
      <w:marTop w:val="0"/>
      <w:marBottom w:val="0"/>
      <w:divBdr>
        <w:top w:val="none" w:sz="0" w:space="0" w:color="auto"/>
        <w:left w:val="none" w:sz="0" w:space="0" w:color="auto"/>
        <w:bottom w:val="none" w:sz="0" w:space="0" w:color="auto"/>
        <w:right w:val="none" w:sz="0" w:space="0" w:color="auto"/>
      </w:divBdr>
    </w:div>
    <w:div w:id="1337071901">
      <w:bodyDiv w:val="1"/>
      <w:marLeft w:val="0"/>
      <w:marRight w:val="0"/>
      <w:marTop w:val="0"/>
      <w:marBottom w:val="0"/>
      <w:divBdr>
        <w:top w:val="none" w:sz="0" w:space="0" w:color="auto"/>
        <w:left w:val="none" w:sz="0" w:space="0" w:color="auto"/>
        <w:bottom w:val="none" w:sz="0" w:space="0" w:color="auto"/>
        <w:right w:val="none" w:sz="0" w:space="0" w:color="auto"/>
      </w:divBdr>
    </w:div>
    <w:div w:id="1397436909">
      <w:bodyDiv w:val="1"/>
      <w:marLeft w:val="0"/>
      <w:marRight w:val="0"/>
      <w:marTop w:val="0"/>
      <w:marBottom w:val="0"/>
      <w:divBdr>
        <w:top w:val="none" w:sz="0" w:space="0" w:color="auto"/>
        <w:left w:val="none" w:sz="0" w:space="0" w:color="auto"/>
        <w:bottom w:val="none" w:sz="0" w:space="0" w:color="auto"/>
        <w:right w:val="none" w:sz="0" w:space="0" w:color="auto"/>
      </w:divBdr>
    </w:div>
    <w:div w:id="1508322406">
      <w:bodyDiv w:val="1"/>
      <w:marLeft w:val="0"/>
      <w:marRight w:val="0"/>
      <w:marTop w:val="0"/>
      <w:marBottom w:val="0"/>
      <w:divBdr>
        <w:top w:val="none" w:sz="0" w:space="0" w:color="auto"/>
        <w:left w:val="none" w:sz="0" w:space="0" w:color="auto"/>
        <w:bottom w:val="none" w:sz="0" w:space="0" w:color="auto"/>
        <w:right w:val="none" w:sz="0" w:space="0" w:color="auto"/>
      </w:divBdr>
    </w:div>
    <w:div w:id="1820800725">
      <w:bodyDiv w:val="1"/>
      <w:marLeft w:val="0"/>
      <w:marRight w:val="0"/>
      <w:marTop w:val="0"/>
      <w:marBottom w:val="0"/>
      <w:divBdr>
        <w:top w:val="none" w:sz="0" w:space="0" w:color="auto"/>
        <w:left w:val="none" w:sz="0" w:space="0" w:color="auto"/>
        <w:bottom w:val="none" w:sz="0" w:space="0" w:color="auto"/>
        <w:right w:val="none" w:sz="0" w:space="0" w:color="auto"/>
      </w:divBdr>
    </w:div>
    <w:div w:id="194622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puc.pa.gov"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1.png"/><Relationship Id="rId28" Type="http://schemas.openxmlformats.org/officeDocument/2006/relationships/hyperlink" Target="http://www.puc.pa.gov" TargetMode="Externa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91500-FCE0-495D-BDCB-9754DB516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8</Pages>
  <Words>1354</Words>
  <Characters>7722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PPL CTC - 2005</vt:lpstr>
    </vt:vector>
  </TitlesOfParts>
  <Company>Pa Public Utility Commission</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PPL CTC - 2005</dc:title>
  <dc:subject/>
  <dc:creator>J  Hess</dc:creator>
  <cp:keywords/>
  <cp:lastModifiedBy>Burger, Lori</cp:lastModifiedBy>
  <cp:revision>80</cp:revision>
  <cp:lastPrinted>2019-03-20T15:23:00Z</cp:lastPrinted>
  <dcterms:created xsi:type="dcterms:W3CDTF">2019-01-07T15:09:00Z</dcterms:created>
  <dcterms:modified xsi:type="dcterms:W3CDTF">2019-04-15T18:47:00Z</dcterms:modified>
</cp:coreProperties>
</file>