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37B23" w14:textId="77777777" w:rsidR="00011700" w:rsidRPr="003B0637" w:rsidRDefault="002E493D" w:rsidP="00502FC8">
      <w:pPr>
        <w:pStyle w:val="NoSpacing"/>
        <w:jc w:val="center"/>
        <w:rPr>
          <w:b/>
          <w:sz w:val="26"/>
          <w:szCs w:val="26"/>
        </w:rPr>
      </w:pPr>
      <w:r w:rsidRPr="003B0637">
        <w:rPr>
          <w:b/>
          <w:sz w:val="26"/>
          <w:szCs w:val="26"/>
        </w:rPr>
        <w:t>P</w:t>
      </w:r>
      <w:r w:rsidR="005C7F9B" w:rsidRPr="003B0637">
        <w:rPr>
          <w:b/>
          <w:sz w:val="26"/>
          <w:szCs w:val="26"/>
        </w:rPr>
        <w:t>ENNSYLVANIA</w:t>
      </w:r>
    </w:p>
    <w:p w14:paraId="6627D27E" w14:textId="77777777" w:rsidR="00DA4630" w:rsidRPr="003B0637" w:rsidRDefault="00DA4630" w:rsidP="00502FC8">
      <w:pPr>
        <w:pStyle w:val="NoSpacing"/>
        <w:jc w:val="center"/>
        <w:rPr>
          <w:b/>
          <w:sz w:val="26"/>
          <w:szCs w:val="26"/>
        </w:rPr>
      </w:pPr>
      <w:r w:rsidRPr="003B0637">
        <w:rPr>
          <w:b/>
          <w:sz w:val="26"/>
          <w:szCs w:val="26"/>
        </w:rPr>
        <w:t>PUBLIC UT</w:t>
      </w:r>
      <w:r w:rsidR="003771AA">
        <w:rPr>
          <w:b/>
          <w:sz w:val="26"/>
          <w:szCs w:val="26"/>
        </w:rPr>
        <w:t>I</w:t>
      </w:r>
      <w:r w:rsidRPr="003B0637">
        <w:rPr>
          <w:b/>
          <w:sz w:val="26"/>
          <w:szCs w:val="26"/>
        </w:rPr>
        <w:t>LITY COMMISSION</w:t>
      </w:r>
    </w:p>
    <w:p w14:paraId="20C31161" w14:textId="77777777" w:rsidR="00011700" w:rsidRPr="003B0637" w:rsidRDefault="00011700" w:rsidP="00502FC8">
      <w:pPr>
        <w:pStyle w:val="NoSpacing"/>
        <w:jc w:val="center"/>
        <w:rPr>
          <w:b/>
          <w:sz w:val="26"/>
          <w:szCs w:val="26"/>
        </w:rPr>
      </w:pPr>
      <w:r w:rsidRPr="003B0637">
        <w:rPr>
          <w:b/>
          <w:sz w:val="26"/>
          <w:szCs w:val="26"/>
        </w:rPr>
        <w:t>Harrisburg, PA 17105-3265</w:t>
      </w:r>
    </w:p>
    <w:p w14:paraId="767E7566" w14:textId="77777777" w:rsidR="00DD5506" w:rsidRPr="008A492D" w:rsidRDefault="00DD5506" w:rsidP="008A492D">
      <w:pPr>
        <w:pStyle w:val="NoSpacing"/>
        <w:rPr>
          <w:sz w:val="26"/>
          <w:szCs w:val="26"/>
        </w:rPr>
      </w:pPr>
    </w:p>
    <w:p w14:paraId="6C6ACEFA" w14:textId="77777777" w:rsidR="00DA4630" w:rsidRPr="008A492D" w:rsidRDefault="00DA4630" w:rsidP="008A492D">
      <w:pPr>
        <w:pStyle w:val="NoSpacing"/>
        <w:rPr>
          <w:sz w:val="26"/>
          <w:szCs w:val="26"/>
        </w:rPr>
      </w:pPr>
    </w:p>
    <w:p w14:paraId="58932FA6" w14:textId="12CEA232" w:rsidR="00D945A0" w:rsidRPr="003B0637" w:rsidRDefault="00D945A0" w:rsidP="00502FC8">
      <w:pPr>
        <w:pStyle w:val="NoSpacing"/>
        <w:ind w:left="4320" w:firstLine="720"/>
        <w:jc w:val="right"/>
        <w:rPr>
          <w:sz w:val="26"/>
          <w:szCs w:val="26"/>
        </w:rPr>
      </w:pPr>
      <w:r w:rsidRPr="003B0637">
        <w:rPr>
          <w:sz w:val="26"/>
          <w:szCs w:val="26"/>
        </w:rPr>
        <w:t xml:space="preserve">Public </w:t>
      </w:r>
      <w:r w:rsidR="00AC66F0" w:rsidRPr="003B0637">
        <w:rPr>
          <w:sz w:val="26"/>
          <w:szCs w:val="26"/>
        </w:rPr>
        <w:t>M</w:t>
      </w:r>
      <w:r w:rsidR="006A4296" w:rsidRPr="003B0637">
        <w:rPr>
          <w:sz w:val="26"/>
          <w:szCs w:val="26"/>
        </w:rPr>
        <w:t xml:space="preserve">eeting held </w:t>
      </w:r>
      <w:r w:rsidR="003E018C">
        <w:rPr>
          <w:sz w:val="26"/>
          <w:szCs w:val="26"/>
        </w:rPr>
        <w:t>April 2</w:t>
      </w:r>
      <w:r w:rsidR="00080F70">
        <w:rPr>
          <w:sz w:val="26"/>
          <w:szCs w:val="26"/>
        </w:rPr>
        <w:t>5</w:t>
      </w:r>
      <w:r w:rsidR="006B4653" w:rsidRPr="003B0637">
        <w:rPr>
          <w:sz w:val="26"/>
          <w:szCs w:val="26"/>
        </w:rPr>
        <w:t>, 201</w:t>
      </w:r>
      <w:r w:rsidR="00012BD0" w:rsidRPr="003B0637">
        <w:rPr>
          <w:sz w:val="26"/>
          <w:szCs w:val="26"/>
        </w:rPr>
        <w:t>9</w:t>
      </w:r>
    </w:p>
    <w:p w14:paraId="2197E3A0" w14:textId="77777777" w:rsidR="00D945A0" w:rsidRDefault="00D945A0" w:rsidP="00502FC8">
      <w:pPr>
        <w:pStyle w:val="NoSpacing"/>
        <w:rPr>
          <w:sz w:val="26"/>
          <w:szCs w:val="26"/>
        </w:rPr>
      </w:pPr>
    </w:p>
    <w:p w14:paraId="5B042F50" w14:textId="77777777" w:rsidR="008A492D" w:rsidRPr="003B0637" w:rsidRDefault="008A492D" w:rsidP="00502FC8">
      <w:pPr>
        <w:pStyle w:val="NoSpacing"/>
        <w:rPr>
          <w:sz w:val="26"/>
          <w:szCs w:val="26"/>
        </w:rPr>
      </w:pPr>
    </w:p>
    <w:p w14:paraId="4A980720" w14:textId="77777777" w:rsidR="00D945A0" w:rsidRPr="003B0637" w:rsidRDefault="00D945A0" w:rsidP="00502FC8">
      <w:pPr>
        <w:tabs>
          <w:tab w:val="left" w:pos="-720"/>
        </w:tabs>
        <w:suppressAutoHyphens/>
        <w:spacing w:line="240" w:lineRule="auto"/>
        <w:ind w:firstLine="0"/>
      </w:pPr>
      <w:r w:rsidRPr="003B0637">
        <w:t>Commissioners Present:</w:t>
      </w:r>
    </w:p>
    <w:p w14:paraId="45562227" w14:textId="77777777" w:rsidR="00DD5506" w:rsidRPr="003B0637" w:rsidRDefault="00DD5506" w:rsidP="00502FC8">
      <w:pPr>
        <w:tabs>
          <w:tab w:val="left" w:pos="-720"/>
        </w:tabs>
        <w:suppressAutoHyphens/>
        <w:spacing w:line="240" w:lineRule="auto"/>
        <w:ind w:firstLine="0"/>
      </w:pPr>
    </w:p>
    <w:p w14:paraId="14690F9B" w14:textId="77777777" w:rsidR="00012BD0" w:rsidRPr="003B0637" w:rsidRDefault="00012BD0" w:rsidP="00502FC8">
      <w:pPr>
        <w:tabs>
          <w:tab w:val="left" w:pos="-720"/>
        </w:tabs>
        <w:suppressAutoHyphens/>
        <w:spacing w:line="240" w:lineRule="auto"/>
        <w:ind w:firstLine="0"/>
      </w:pPr>
    </w:p>
    <w:p w14:paraId="1D887431" w14:textId="77777777" w:rsidR="00012BD0" w:rsidRPr="003B0637" w:rsidRDefault="00012BD0" w:rsidP="00502FC8">
      <w:pPr>
        <w:tabs>
          <w:tab w:val="left" w:pos="705"/>
        </w:tabs>
        <w:spacing w:line="240" w:lineRule="auto"/>
        <w:ind w:firstLine="720"/>
        <w:rPr>
          <w:szCs w:val="26"/>
        </w:rPr>
      </w:pPr>
      <w:r w:rsidRPr="003B0637">
        <w:rPr>
          <w:szCs w:val="26"/>
        </w:rPr>
        <w:t>Gladys M. Brown, Chairman</w:t>
      </w:r>
    </w:p>
    <w:p w14:paraId="16DE4F33" w14:textId="22EF34DC" w:rsidR="00012BD0" w:rsidRPr="003B0637" w:rsidRDefault="00012BD0" w:rsidP="00502FC8">
      <w:pPr>
        <w:tabs>
          <w:tab w:val="left" w:pos="705"/>
        </w:tabs>
        <w:spacing w:line="240" w:lineRule="auto"/>
        <w:ind w:firstLine="720"/>
        <w:rPr>
          <w:szCs w:val="26"/>
        </w:rPr>
      </w:pPr>
      <w:r w:rsidRPr="003B0637">
        <w:rPr>
          <w:szCs w:val="26"/>
        </w:rPr>
        <w:t>David W. Sweet, Vice Chairman</w:t>
      </w:r>
      <w:r w:rsidR="00D91580">
        <w:rPr>
          <w:szCs w:val="26"/>
        </w:rPr>
        <w:t>, Statement</w:t>
      </w:r>
    </w:p>
    <w:p w14:paraId="6991115F" w14:textId="157ACF9C" w:rsidR="00012BD0" w:rsidRPr="003B0637" w:rsidRDefault="00012BD0" w:rsidP="00502FC8">
      <w:pPr>
        <w:tabs>
          <w:tab w:val="left" w:pos="705"/>
        </w:tabs>
        <w:spacing w:line="240" w:lineRule="auto"/>
        <w:ind w:firstLine="720"/>
        <w:rPr>
          <w:szCs w:val="26"/>
        </w:rPr>
      </w:pPr>
      <w:r w:rsidRPr="003B0637">
        <w:rPr>
          <w:szCs w:val="26"/>
        </w:rPr>
        <w:t>Norman J. Kennard</w:t>
      </w:r>
      <w:r w:rsidR="00D91580">
        <w:rPr>
          <w:szCs w:val="26"/>
        </w:rPr>
        <w:t>, Statements</w:t>
      </w:r>
      <w:r w:rsidR="00C94DB0">
        <w:rPr>
          <w:szCs w:val="26"/>
        </w:rPr>
        <w:t>, Dissenting</w:t>
      </w:r>
    </w:p>
    <w:p w14:paraId="7D544C0A" w14:textId="7B92657F" w:rsidR="00012BD0" w:rsidRPr="003B0637" w:rsidRDefault="00012BD0" w:rsidP="00502FC8">
      <w:pPr>
        <w:tabs>
          <w:tab w:val="left" w:pos="705"/>
        </w:tabs>
        <w:spacing w:line="240" w:lineRule="auto"/>
        <w:ind w:firstLine="720"/>
        <w:rPr>
          <w:szCs w:val="26"/>
        </w:rPr>
      </w:pPr>
      <w:r w:rsidRPr="003B0637">
        <w:rPr>
          <w:szCs w:val="26"/>
        </w:rPr>
        <w:t xml:space="preserve">Andrew G. Place, </w:t>
      </w:r>
      <w:r w:rsidR="00D91580">
        <w:rPr>
          <w:szCs w:val="26"/>
        </w:rPr>
        <w:t>Statement</w:t>
      </w:r>
    </w:p>
    <w:p w14:paraId="25F6165E" w14:textId="347B0C3A" w:rsidR="00012BD0" w:rsidRPr="003B0637" w:rsidRDefault="00012BD0" w:rsidP="00502FC8">
      <w:pPr>
        <w:tabs>
          <w:tab w:val="left" w:pos="705"/>
        </w:tabs>
        <w:spacing w:line="240" w:lineRule="auto"/>
        <w:ind w:firstLine="720"/>
        <w:rPr>
          <w:szCs w:val="26"/>
        </w:rPr>
      </w:pPr>
      <w:r w:rsidRPr="003B0637">
        <w:rPr>
          <w:szCs w:val="26"/>
        </w:rPr>
        <w:t>John F. Coleman, Jr.</w:t>
      </w:r>
      <w:r w:rsidR="00D91580">
        <w:rPr>
          <w:szCs w:val="26"/>
        </w:rPr>
        <w:t>, Statement</w:t>
      </w:r>
      <w:r w:rsidR="00C94DB0">
        <w:rPr>
          <w:szCs w:val="26"/>
        </w:rPr>
        <w:t>, Dissenting</w:t>
      </w:r>
      <w:bookmarkStart w:id="0" w:name="_GoBack"/>
      <w:bookmarkEnd w:id="0"/>
    </w:p>
    <w:p w14:paraId="6CC4DC01" w14:textId="77777777" w:rsidR="002226FB" w:rsidRPr="003B0637" w:rsidRDefault="002226FB" w:rsidP="00502FC8">
      <w:pPr>
        <w:tabs>
          <w:tab w:val="left" w:pos="-720"/>
        </w:tabs>
        <w:suppressAutoHyphens/>
        <w:spacing w:line="240" w:lineRule="auto"/>
        <w:ind w:firstLine="0"/>
        <w:rPr>
          <w:szCs w:val="26"/>
        </w:rPr>
      </w:pPr>
    </w:p>
    <w:p w14:paraId="5738F39E" w14:textId="77777777" w:rsidR="002E7739" w:rsidRDefault="002E7739" w:rsidP="00502FC8">
      <w:pPr>
        <w:pStyle w:val="NoSpacing"/>
        <w:rPr>
          <w:sz w:val="26"/>
          <w:szCs w:val="26"/>
        </w:rPr>
      </w:pPr>
    </w:p>
    <w:p w14:paraId="3EE6EBE9" w14:textId="77777777" w:rsidR="008A492D" w:rsidRPr="003B0637" w:rsidRDefault="008A492D" w:rsidP="00502FC8">
      <w:pPr>
        <w:pStyle w:val="NoSpacing"/>
        <w:rPr>
          <w:sz w:val="26"/>
          <w:szCs w:val="26"/>
        </w:rPr>
      </w:pPr>
    </w:p>
    <w:p w14:paraId="3BF5189F" w14:textId="77777777" w:rsidR="005D702E" w:rsidRPr="003B0637" w:rsidRDefault="00012BD0" w:rsidP="00502FC8">
      <w:pPr>
        <w:pStyle w:val="NoSpacing"/>
        <w:rPr>
          <w:sz w:val="26"/>
          <w:szCs w:val="26"/>
        </w:rPr>
      </w:pPr>
      <w:r w:rsidRPr="003B0637">
        <w:rPr>
          <w:sz w:val="26"/>
          <w:szCs w:val="26"/>
        </w:rPr>
        <w:t>Application</w:t>
      </w:r>
      <w:r w:rsidR="005D702E" w:rsidRPr="003B0637">
        <w:rPr>
          <w:sz w:val="26"/>
          <w:szCs w:val="26"/>
        </w:rPr>
        <w:t xml:space="preserve"> of </w:t>
      </w:r>
      <w:r w:rsidR="00FC138F" w:rsidRPr="003B0637">
        <w:rPr>
          <w:sz w:val="26"/>
          <w:szCs w:val="26"/>
        </w:rPr>
        <w:t xml:space="preserve">PPL Electric Utilities Corporation </w:t>
      </w:r>
      <w:r w:rsidR="002226FB" w:rsidRPr="003B0637">
        <w:rPr>
          <w:sz w:val="26"/>
          <w:szCs w:val="26"/>
        </w:rPr>
        <w:t>for</w:t>
      </w:r>
      <w:r w:rsidR="002226FB" w:rsidRPr="003B0637">
        <w:rPr>
          <w:sz w:val="26"/>
          <w:szCs w:val="26"/>
        </w:rPr>
        <w:tab/>
      </w:r>
      <w:r w:rsidR="002226FB" w:rsidRPr="003B0637">
        <w:rPr>
          <w:sz w:val="26"/>
          <w:szCs w:val="26"/>
        </w:rPr>
        <w:tab/>
      </w:r>
      <w:r w:rsidR="00190E44" w:rsidRPr="003B0637">
        <w:rPr>
          <w:sz w:val="26"/>
          <w:szCs w:val="26"/>
        </w:rPr>
        <w:tab/>
        <w:t xml:space="preserve">     </w:t>
      </w:r>
      <w:r w:rsidR="008C1291" w:rsidRPr="003B0637">
        <w:rPr>
          <w:sz w:val="26"/>
          <w:szCs w:val="26"/>
        </w:rPr>
        <w:t>A</w:t>
      </w:r>
      <w:r w:rsidR="00FC138F" w:rsidRPr="003B0637">
        <w:rPr>
          <w:sz w:val="26"/>
          <w:szCs w:val="26"/>
        </w:rPr>
        <w:t>-201</w:t>
      </w:r>
      <w:r w:rsidR="008C1291" w:rsidRPr="003B0637">
        <w:rPr>
          <w:sz w:val="26"/>
          <w:szCs w:val="26"/>
        </w:rPr>
        <w:t>7</w:t>
      </w:r>
      <w:r w:rsidR="00FC138F" w:rsidRPr="003B0637">
        <w:rPr>
          <w:sz w:val="26"/>
          <w:szCs w:val="26"/>
        </w:rPr>
        <w:t>-2</w:t>
      </w:r>
      <w:r w:rsidR="008C1291" w:rsidRPr="003B0637">
        <w:rPr>
          <w:sz w:val="26"/>
          <w:szCs w:val="26"/>
        </w:rPr>
        <w:t>629534</w:t>
      </w:r>
    </w:p>
    <w:p w14:paraId="44BE5079" w14:textId="77777777" w:rsidR="005D702E" w:rsidRPr="003B0637" w:rsidRDefault="005D702E" w:rsidP="00502FC8">
      <w:pPr>
        <w:pStyle w:val="NoSpacing"/>
        <w:rPr>
          <w:sz w:val="26"/>
          <w:szCs w:val="26"/>
        </w:rPr>
      </w:pPr>
      <w:r w:rsidRPr="003B0637">
        <w:rPr>
          <w:sz w:val="26"/>
          <w:szCs w:val="26"/>
        </w:rPr>
        <w:t>Approval of</w:t>
      </w:r>
      <w:r w:rsidR="00012BD0" w:rsidRPr="003B0637">
        <w:rPr>
          <w:sz w:val="26"/>
          <w:szCs w:val="26"/>
        </w:rPr>
        <w:t xml:space="preserve"> Intercompany Restructuring</w:t>
      </w:r>
      <w:r w:rsidRPr="003B0637">
        <w:rPr>
          <w:sz w:val="26"/>
          <w:szCs w:val="26"/>
        </w:rPr>
        <w:t xml:space="preserve"> </w:t>
      </w:r>
    </w:p>
    <w:p w14:paraId="5421FB16" w14:textId="77777777" w:rsidR="006248C1" w:rsidRPr="008A492D" w:rsidRDefault="006248C1" w:rsidP="008A492D">
      <w:pPr>
        <w:pStyle w:val="ListParagraph"/>
        <w:ind w:left="0"/>
        <w:rPr>
          <w:sz w:val="26"/>
          <w:szCs w:val="26"/>
        </w:rPr>
      </w:pPr>
    </w:p>
    <w:p w14:paraId="36AA5F9F" w14:textId="77777777" w:rsidR="002226FB" w:rsidRPr="008A492D" w:rsidRDefault="002226FB" w:rsidP="008A492D">
      <w:pPr>
        <w:pStyle w:val="ListParagraph"/>
        <w:ind w:left="0"/>
        <w:rPr>
          <w:sz w:val="26"/>
          <w:szCs w:val="26"/>
        </w:rPr>
      </w:pPr>
    </w:p>
    <w:p w14:paraId="41232E6E" w14:textId="77777777" w:rsidR="006B4653" w:rsidRPr="008A492D" w:rsidRDefault="006B4653" w:rsidP="008A492D">
      <w:pPr>
        <w:pStyle w:val="ListParagraph"/>
        <w:ind w:left="0"/>
        <w:rPr>
          <w:sz w:val="26"/>
          <w:szCs w:val="26"/>
        </w:rPr>
      </w:pPr>
    </w:p>
    <w:p w14:paraId="7DB8F95D" w14:textId="77777777" w:rsidR="006B4653" w:rsidRPr="008A492D" w:rsidRDefault="006B4653" w:rsidP="008A492D">
      <w:pPr>
        <w:pStyle w:val="ListParagraph"/>
        <w:ind w:left="0"/>
        <w:rPr>
          <w:sz w:val="26"/>
          <w:szCs w:val="26"/>
        </w:rPr>
      </w:pPr>
    </w:p>
    <w:p w14:paraId="3C4368F6" w14:textId="77777777" w:rsidR="000675EE" w:rsidRPr="003B0637" w:rsidRDefault="000675EE" w:rsidP="00502FC8">
      <w:pPr>
        <w:pStyle w:val="ListParagraph"/>
        <w:ind w:left="0" w:firstLine="0"/>
        <w:jc w:val="center"/>
        <w:rPr>
          <w:b/>
          <w:sz w:val="26"/>
          <w:szCs w:val="26"/>
        </w:rPr>
      </w:pPr>
      <w:r w:rsidRPr="003B0637">
        <w:rPr>
          <w:b/>
          <w:sz w:val="26"/>
          <w:szCs w:val="26"/>
        </w:rPr>
        <w:t>OPINION AND ORDER</w:t>
      </w:r>
    </w:p>
    <w:p w14:paraId="011E68BB" w14:textId="77777777" w:rsidR="000675EE" w:rsidRDefault="000675EE" w:rsidP="00502FC8">
      <w:pPr>
        <w:pStyle w:val="ListParagraph"/>
        <w:ind w:left="0"/>
        <w:rPr>
          <w:sz w:val="26"/>
          <w:szCs w:val="26"/>
        </w:rPr>
      </w:pPr>
    </w:p>
    <w:p w14:paraId="06A48CBA" w14:textId="77777777" w:rsidR="008A492D" w:rsidRDefault="008A492D" w:rsidP="00502FC8">
      <w:pPr>
        <w:pStyle w:val="ListParagraph"/>
        <w:ind w:left="0"/>
        <w:rPr>
          <w:sz w:val="26"/>
          <w:szCs w:val="26"/>
        </w:rPr>
      </w:pPr>
    </w:p>
    <w:p w14:paraId="71B77749" w14:textId="77777777" w:rsidR="008A492D" w:rsidRPr="003B0637" w:rsidRDefault="008A492D" w:rsidP="00502FC8">
      <w:pPr>
        <w:pStyle w:val="ListParagraph"/>
        <w:ind w:left="0"/>
        <w:rPr>
          <w:sz w:val="26"/>
          <w:szCs w:val="26"/>
        </w:rPr>
      </w:pPr>
    </w:p>
    <w:p w14:paraId="26682E4E" w14:textId="77777777" w:rsidR="00DD5506" w:rsidRPr="003B0637" w:rsidRDefault="00DD5506" w:rsidP="00502FC8">
      <w:pPr>
        <w:pStyle w:val="ListParagraph"/>
        <w:ind w:left="0"/>
        <w:rPr>
          <w:sz w:val="26"/>
          <w:szCs w:val="26"/>
        </w:rPr>
      </w:pPr>
    </w:p>
    <w:p w14:paraId="05C52774" w14:textId="77777777" w:rsidR="00976791" w:rsidRPr="003B0637" w:rsidRDefault="000F06E6" w:rsidP="00502FC8">
      <w:pPr>
        <w:pStyle w:val="ListParagraph"/>
        <w:ind w:left="0" w:firstLine="0"/>
        <w:rPr>
          <w:sz w:val="26"/>
          <w:szCs w:val="26"/>
        </w:rPr>
      </w:pPr>
      <w:r w:rsidRPr="003B0637">
        <w:rPr>
          <w:b/>
          <w:sz w:val="26"/>
          <w:szCs w:val="26"/>
        </w:rPr>
        <w:t>BY THE COMMISSION:</w:t>
      </w:r>
    </w:p>
    <w:p w14:paraId="77873AB2" w14:textId="77777777" w:rsidR="00976791" w:rsidRPr="003B0637" w:rsidRDefault="00976791" w:rsidP="00502FC8">
      <w:pPr>
        <w:pStyle w:val="ListParagraph"/>
        <w:spacing w:line="360" w:lineRule="auto"/>
        <w:ind w:left="0"/>
        <w:rPr>
          <w:sz w:val="26"/>
          <w:szCs w:val="26"/>
        </w:rPr>
      </w:pPr>
    </w:p>
    <w:p w14:paraId="19E3A94A" w14:textId="77777777" w:rsidR="009A4487" w:rsidRPr="003B0637" w:rsidRDefault="00FC138F" w:rsidP="00502FC8">
      <w:pPr>
        <w:pStyle w:val="ListParagraph"/>
        <w:spacing w:line="360" w:lineRule="auto"/>
        <w:ind w:left="0"/>
        <w:rPr>
          <w:sz w:val="26"/>
          <w:szCs w:val="26"/>
        </w:rPr>
      </w:pPr>
      <w:r w:rsidRPr="003B0637">
        <w:rPr>
          <w:sz w:val="26"/>
          <w:szCs w:val="26"/>
        </w:rPr>
        <w:t>Before the Pennsylvania Public Utility Commission (Commission) for consideration and disposition are the Exceptions of PPL Electric Utilities Corporation (</w:t>
      </w:r>
      <w:r w:rsidR="00FA1D29" w:rsidRPr="003B0637">
        <w:rPr>
          <w:sz w:val="26"/>
          <w:szCs w:val="26"/>
        </w:rPr>
        <w:t>PPL</w:t>
      </w:r>
      <w:r w:rsidR="00A679CD" w:rsidRPr="003B0637">
        <w:rPr>
          <w:sz w:val="26"/>
          <w:szCs w:val="26"/>
        </w:rPr>
        <w:t xml:space="preserve"> EU</w:t>
      </w:r>
      <w:r w:rsidR="003771AA">
        <w:rPr>
          <w:sz w:val="26"/>
          <w:szCs w:val="26"/>
        </w:rPr>
        <w:t>)</w:t>
      </w:r>
      <w:r w:rsidR="003D5B90" w:rsidRPr="003B0637">
        <w:rPr>
          <w:sz w:val="26"/>
          <w:szCs w:val="26"/>
        </w:rPr>
        <w:t xml:space="preserve"> </w:t>
      </w:r>
      <w:r w:rsidRPr="003B0637">
        <w:rPr>
          <w:sz w:val="26"/>
          <w:szCs w:val="26"/>
        </w:rPr>
        <w:t>filed on</w:t>
      </w:r>
      <w:r w:rsidR="003D5B90" w:rsidRPr="003B0637">
        <w:rPr>
          <w:sz w:val="26"/>
          <w:szCs w:val="26"/>
        </w:rPr>
        <w:t xml:space="preserve"> October 1</w:t>
      </w:r>
      <w:r w:rsidRPr="003B0637">
        <w:rPr>
          <w:sz w:val="26"/>
          <w:szCs w:val="26"/>
        </w:rPr>
        <w:t>, 201</w:t>
      </w:r>
      <w:r w:rsidR="003D5B90" w:rsidRPr="003B0637">
        <w:rPr>
          <w:sz w:val="26"/>
          <w:szCs w:val="26"/>
        </w:rPr>
        <w:t>8</w:t>
      </w:r>
      <w:r w:rsidRPr="003B0637">
        <w:rPr>
          <w:sz w:val="26"/>
          <w:szCs w:val="26"/>
        </w:rPr>
        <w:t>, to the Recommended Decision (R.D.) of Administrative Law Judge</w:t>
      </w:r>
      <w:r w:rsidR="003D5B90" w:rsidRPr="003B0637">
        <w:rPr>
          <w:sz w:val="26"/>
          <w:szCs w:val="26"/>
        </w:rPr>
        <w:t>s</w:t>
      </w:r>
      <w:r w:rsidRPr="003B0637">
        <w:rPr>
          <w:sz w:val="26"/>
          <w:szCs w:val="26"/>
        </w:rPr>
        <w:t xml:space="preserve"> (ALJ</w:t>
      </w:r>
      <w:r w:rsidR="003D5B90" w:rsidRPr="003B0637">
        <w:rPr>
          <w:sz w:val="26"/>
          <w:szCs w:val="26"/>
        </w:rPr>
        <w:t>s</w:t>
      </w:r>
      <w:r w:rsidRPr="003B0637">
        <w:rPr>
          <w:sz w:val="26"/>
          <w:szCs w:val="26"/>
        </w:rPr>
        <w:t>)</w:t>
      </w:r>
      <w:r w:rsidR="003D5B90" w:rsidRPr="003B0637">
        <w:rPr>
          <w:sz w:val="26"/>
          <w:szCs w:val="26"/>
        </w:rPr>
        <w:t xml:space="preserve"> Benjamin J. Myers and Joel</w:t>
      </w:r>
      <w:r w:rsidR="00F13163" w:rsidRPr="003B0637">
        <w:rPr>
          <w:sz w:val="26"/>
          <w:szCs w:val="26"/>
        </w:rPr>
        <w:t> </w:t>
      </w:r>
      <w:r w:rsidR="003D5B90" w:rsidRPr="003B0637">
        <w:rPr>
          <w:sz w:val="26"/>
          <w:szCs w:val="26"/>
        </w:rPr>
        <w:t>H.</w:t>
      </w:r>
      <w:r w:rsidR="00F13163" w:rsidRPr="003B0637">
        <w:rPr>
          <w:sz w:val="26"/>
          <w:szCs w:val="26"/>
        </w:rPr>
        <w:t> </w:t>
      </w:r>
      <w:r w:rsidR="003D5B90" w:rsidRPr="003B0637">
        <w:rPr>
          <w:sz w:val="26"/>
          <w:szCs w:val="26"/>
        </w:rPr>
        <w:t>Cheskis</w:t>
      </w:r>
      <w:r w:rsidRPr="003B0637">
        <w:rPr>
          <w:sz w:val="26"/>
          <w:szCs w:val="26"/>
        </w:rPr>
        <w:t>, issued on</w:t>
      </w:r>
      <w:r w:rsidR="003D5B90" w:rsidRPr="003B0637">
        <w:rPr>
          <w:sz w:val="26"/>
          <w:szCs w:val="26"/>
        </w:rPr>
        <w:t xml:space="preserve"> September</w:t>
      </w:r>
      <w:r w:rsidRPr="003B0637">
        <w:rPr>
          <w:sz w:val="26"/>
          <w:szCs w:val="26"/>
        </w:rPr>
        <w:t xml:space="preserve"> </w:t>
      </w:r>
      <w:r w:rsidR="003D5B90" w:rsidRPr="003B0637">
        <w:rPr>
          <w:sz w:val="26"/>
          <w:szCs w:val="26"/>
        </w:rPr>
        <w:t>1</w:t>
      </w:r>
      <w:r w:rsidRPr="003B0637">
        <w:rPr>
          <w:sz w:val="26"/>
          <w:szCs w:val="26"/>
        </w:rPr>
        <w:t>1, 201</w:t>
      </w:r>
      <w:r w:rsidR="003D5B90" w:rsidRPr="003B0637">
        <w:rPr>
          <w:sz w:val="26"/>
          <w:szCs w:val="26"/>
        </w:rPr>
        <w:t>8</w:t>
      </w:r>
      <w:r w:rsidRPr="003B0637">
        <w:rPr>
          <w:sz w:val="26"/>
          <w:szCs w:val="26"/>
        </w:rPr>
        <w:t>, relative to the above-captioned proceeding.</w:t>
      </w:r>
      <w:r w:rsidR="003F6BDB" w:rsidRPr="003B0637">
        <w:rPr>
          <w:sz w:val="26"/>
          <w:szCs w:val="26"/>
        </w:rPr>
        <w:t xml:space="preserve">  </w:t>
      </w:r>
      <w:r w:rsidR="00BB0C29" w:rsidRPr="003B0637">
        <w:rPr>
          <w:sz w:val="26"/>
          <w:szCs w:val="26"/>
        </w:rPr>
        <w:t>On</w:t>
      </w:r>
      <w:r w:rsidR="003D5B90" w:rsidRPr="003B0637">
        <w:rPr>
          <w:sz w:val="26"/>
          <w:szCs w:val="26"/>
        </w:rPr>
        <w:t xml:space="preserve"> October</w:t>
      </w:r>
      <w:r w:rsidR="00C247D4" w:rsidRPr="003B0637">
        <w:rPr>
          <w:sz w:val="26"/>
          <w:szCs w:val="26"/>
        </w:rPr>
        <w:t> </w:t>
      </w:r>
      <w:r w:rsidR="003D5B90" w:rsidRPr="003B0637">
        <w:rPr>
          <w:sz w:val="26"/>
          <w:szCs w:val="26"/>
        </w:rPr>
        <w:t>11</w:t>
      </w:r>
      <w:r w:rsidR="00EA31B3" w:rsidRPr="003B0637">
        <w:rPr>
          <w:sz w:val="26"/>
          <w:szCs w:val="26"/>
        </w:rPr>
        <w:t>, 201</w:t>
      </w:r>
      <w:r w:rsidR="003D5B90" w:rsidRPr="003B0637">
        <w:rPr>
          <w:sz w:val="26"/>
          <w:szCs w:val="26"/>
        </w:rPr>
        <w:t>8</w:t>
      </w:r>
      <w:r w:rsidR="00EA31B3" w:rsidRPr="003B0637">
        <w:rPr>
          <w:sz w:val="26"/>
          <w:szCs w:val="26"/>
        </w:rPr>
        <w:t xml:space="preserve">, </w:t>
      </w:r>
      <w:r w:rsidR="003D5B90" w:rsidRPr="003B0637">
        <w:rPr>
          <w:sz w:val="26"/>
          <w:szCs w:val="26"/>
        </w:rPr>
        <w:t>the Office of Small Business Advocate</w:t>
      </w:r>
      <w:r w:rsidR="00F87D7C" w:rsidRPr="003B0637">
        <w:rPr>
          <w:sz w:val="26"/>
          <w:szCs w:val="26"/>
        </w:rPr>
        <w:t xml:space="preserve"> (</w:t>
      </w:r>
      <w:r w:rsidR="003D5B90" w:rsidRPr="003B0637">
        <w:rPr>
          <w:sz w:val="26"/>
          <w:szCs w:val="26"/>
        </w:rPr>
        <w:t>O</w:t>
      </w:r>
      <w:r w:rsidR="000D6E2B" w:rsidRPr="003B0637">
        <w:rPr>
          <w:sz w:val="26"/>
          <w:szCs w:val="26"/>
        </w:rPr>
        <w:t>SB</w:t>
      </w:r>
      <w:r w:rsidR="00472433" w:rsidRPr="003B0637">
        <w:rPr>
          <w:sz w:val="26"/>
          <w:szCs w:val="26"/>
        </w:rPr>
        <w:t>A</w:t>
      </w:r>
      <w:r w:rsidR="00F87D7C" w:rsidRPr="003B0637">
        <w:rPr>
          <w:sz w:val="26"/>
          <w:szCs w:val="26"/>
        </w:rPr>
        <w:t>)</w:t>
      </w:r>
      <w:r w:rsidR="00837E79" w:rsidRPr="003B0637">
        <w:rPr>
          <w:sz w:val="26"/>
          <w:szCs w:val="26"/>
        </w:rPr>
        <w:t xml:space="preserve"> filed Replies to Exceptions.  </w:t>
      </w:r>
      <w:r w:rsidR="009A4487" w:rsidRPr="003B0637">
        <w:rPr>
          <w:sz w:val="26"/>
          <w:szCs w:val="26"/>
        </w:rPr>
        <w:t xml:space="preserve">The Recommended Decision </w:t>
      </w:r>
      <w:r w:rsidR="008C27B3" w:rsidRPr="003B0637">
        <w:rPr>
          <w:sz w:val="26"/>
          <w:szCs w:val="26"/>
        </w:rPr>
        <w:t xml:space="preserve">addresses </w:t>
      </w:r>
      <w:r w:rsidR="009A4487" w:rsidRPr="003B0637">
        <w:rPr>
          <w:sz w:val="26"/>
          <w:szCs w:val="26"/>
        </w:rPr>
        <w:t>the Application of PPL E</w:t>
      </w:r>
      <w:r w:rsidR="00564130" w:rsidRPr="003B0637">
        <w:rPr>
          <w:sz w:val="26"/>
          <w:szCs w:val="26"/>
        </w:rPr>
        <w:t>U</w:t>
      </w:r>
      <w:r w:rsidR="009A4487" w:rsidRPr="003B0637">
        <w:rPr>
          <w:sz w:val="26"/>
          <w:szCs w:val="26"/>
        </w:rPr>
        <w:t xml:space="preserve"> for Approval </w:t>
      </w:r>
      <w:r w:rsidR="00D76FEB" w:rsidRPr="003B0637">
        <w:rPr>
          <w:sz w:val="26"/>
          <w:szCs w:val="26"/>
        </w:rPr>
        <w:t xml:space="preserve">of </w:t>
      </w:r>
      <w:r w:rsidR="00D76FEB" w:rsidRPr="003B0637">
        <w:rPr>
          <w:sz w:val="26"/>
          <w:szCs w:val="26"/>
        </w:rPr>
        <w:lastRenderedPageBreak/>
        <w:t xml:space="preserve">Intercompany Restructuring (Application) </w:t>
      </w:r>
      <w:r w:rsidR="00D37012" w:rsidRPr="003B0637">
        <w:rPr>
          <w:sz w:val="26"/>
          <w:szCs w:val="26"/>
        </w:rPr>
        <w:t xml:space="preserve">in which PPL EU is requesting approval of </w:t>
      </w:r>
      <w:r w:rsidR="00D76FEB" w:rsidRPr="003B0637">
        <w:rPr>
          <w:sz w:val="26"/>
          <w:szCs w:val="26"/>
        </w:rPr>
        <w:t xml:space="preserve">the </w:t>
      </w:r>
      <w:r w:rsidR="00E4270D" w:rsidRPr="003B0637">
        <w:rPr>
          <w:sz w:val="26"/>
          <w:szCs w:val="26"/>
        </w:rPr>
        <w:t>c</w:t>
      </w:r>
      <w:r w:rsidR="009A4487" w:rsidRPr="003B0637">
        <w:rPr>
          <w:sz w:val="26"/>
          <w:szCs w:val="26"/>
        </w:rPr>
        <w:t xml:space="preserve">orporate restructuring </w:t>
      </w:r>
      <w:r w:rsidR="00D37012" w:rsidRPr="003B0637">
        <w:rPr>
          <w:sz w:val="26"/>
          <w:szCs w:val="26"/>
        </w:rPr>
        <w:t xml:space="preserve">which </w:t>
      </w:r>
      <w:r w:rsidR="009A4487" w:rsidRPr="003B0637">
        <w:rPr>
          <w:sz w:val="26"/>
          <w:szCs w:val="26"/>
        </w:rPr>
        <w:t>would interject two new Delaware holding companies</w:t>
      </w:r>
      <w:r w:rsidR="00457A20" w:rsidRPr="003B0637">
        <w:rPr>
          <w:sz w:val="26"/>
          <w:szCs w:val="26"/>
        </w:rPr>
        <w:t xml:space="preserve"> –</w:t>
      </w:r>
      <w:r w:rsidR="009A4487" w:rsidRPr="003B0637">
        <w:rPr>
          <w:sz w:val="26"/>
          <w:szCs w:val="26"/>
        </w:rPr>
        <w:t xml:space="preserve"> PPL Subsidiary Holdings, LLC </w:t>
      </w:r>
      <w:r w:rsidR="00545F30" w:rsidRPr="003B0637">
        <w:rPr>
          <w:sz w:val="26"/>
          <w:szCs w:val="26"/>
        </w:rPr>
        <w:t>(N</w:t>
      </w:r>
      <w:r w:rsidR="00D37012" w:rsidRPr="003B0637">
        <w:rPr>
          <w:sz w:val="26"/>
          <w:szCs w:val="26"/>
        </w:rPr>
        <w:t>ewco 1)</w:t>
      </w:r>
      <w:r w:rsidR="00545F30" w:rsidRPr="003B0637">
        <w:rPr>
          <w:sz w:val="26"/>
          <w:szCs w:val="26"/>
        </w:rPr>
        <w:t xml:space="preserve"> </w:t>
      </w:r>
      <w:r w:rsidR="009A4487" w:rsidRPr="003B0637">
        <w:rPr>
          <w:sz w:val="26"/>
          <w:szCs w:val="26"/>
        </w:rPr>
        <w:t>and PPL Energy Holdings, LLC</w:t>
      </w:r>
      <w:r w:rsidR="00457A20" w:rsidRPr="003B0637">
        <w:rPr>
          <w:sz w:val="26"/>
          <w:szCs w:val="26"/>
        </w:rPr>
        <w:t xml:space="preserve"> </w:t>
      </w:r>
      <w:r w:rsidR="00545F30" w:rsidRPr="003B0637">
        <w:rPr>
          <w:sz w:val="26"/>
          <w:szCs w:val="26"/>
        </w:rPr>
        <w:t>(N</w:t>
      </w:r>
      <w:r w:rsidR="00D37012" w:rsidRPr="003B0637">
        <w:rPr>
          <w:sz w:val="26"/>
          <w:szCs w:val="26"/>
        </w:rPr>
        <w:t xml:space="preserve">ewco </w:t>
      </w:r>
      <w:r w:rsidR="00545F30" w:rsidRPr="003B0637">
        <w:rPr>
          <w:sz w:val="26"/>
          <w:szCs w:val="26"/>
        </w:rPr>
        <w:t xml:space="preserve">2) </w:t>
      </w:r>
      <w:r w:rsidR="00457A20" w:rsidRPr="003B0637">
        <w:rPr>
          <w:sz w:val="26"/>
          <w:szCs w:val="26"/>
        </w:rPr>
        <w:t>–</w:t>
      </w:r>
      <w:r w:rsidR="009A4487" w:rsidRPr="003B0637">
        <w:rPr>
          <w:sz w:val="26"/>
          <w:szCs w:val="26"/>
        </w:rPr>
        <w:t xml:space="preserve"> between </w:t>
      </w:r>
      <w:r w:rsidR="00E4270D" w:rsidRPr="003B0637">
        <w:rPr>
          <w:sz w:val="26"/>
          <w:szCs w:val="26"/>
        </w:rPr>
        <w:t>PPL EU and i</w:t>
      </w:r>
      <w:r w:rsidR="009A4487" w:rsidRPr="003B0637">
        <w:rPr>
          <w:sz w:val="26"/>
          <w:szCs w:val="26"/>
        </w:rPr>
        <w:t>ts current parent, PPL Corporation.</w:t>
      </w:r>
      <w:r w:rsidR="008C27B3" w:rsidRPr="003B0637">
        <w:rPr>
          <w:sz w:val="26"/>
          <w:szCs w:val="26"/>
        </w:rPr>
        <w:t xml:space="preserve">  The ALJs </w:t>
      </w:r>
      <w:r w:rsidR="00F80536" w:rsidRPr="003B0637">
        <w:rPr>
          <w:sz w:val="26"/>
          <w:szCs w:val="26"/>
        </w:rPr>
        <w:t xml:space="preserve">recommended that PPL’s </w:t>
      </w:r>
      <w:r w:rsidR="001679C0" w:rsidRPr="003B0637">
        <w:rPr>
          <w:sz w:val="26"/>
          <w:szCs w:val="26"/>
        </w:rPr>
        <w:t>A</w:t>
      </w:r>
      <w:r w:rsidR="00F80536" w:rsidRPr="003B0637">
        <w:rPr>
          <w:sz w:val="26"/>
          <w:szCs w:val="26"/>
        </w:rPr>
        <w:t>pplicati</w:t>
      </w:r>
      <w:r w:rsidR="001679C0" w:rsidRPr="003B0637">
        <w:rPr>
          <w:sz w:val="26"/>
          <w:szCs w:val="26"/>
        </w:rPr>
        <w:t xml:space="preserve">on be denied because PPL-EU failed to show that the proposed intercompany restructuring is necessary or proper for the service, accommodation, convenience, or safety of the public pursuant to Section </w:t>
      </w:r>
      <w:r w:rsidR="00465A8F" w:rsidRPr="003B0637">
        <w:rPr>
          <w:sz w:val="26"/>
          <w:szCs w:val="26"/>
        </w:rPr>
        <w:t>1103 of the Public Utility Code (Code), 66 Pa. C.S. § 1103.</w:t>
      </w:r>
    </w:p>
    <w:p w14:paraId="4DE241A4" w14:textId="77777777" w:rsidR="002C374A" w:rsidRPr="003B0637" w:rsidRDefault="002C374A" w:rsidP="00502FC8">
      <w:pPr>
        <w:pStyle w:val="ListParagraph"/>
        <w:spacing w:line="360" w:lineRule="auto"/>
        <w:ind w:left="0"/>
        <w:rPr>
          <w:sz w:val="26"/>
          <w:szCs w:val="26"/>
        </w:rPr>
      </w:pPr>
    </w:p>
    <w:p w14:paraId="7BFD0E89" w14:textId="77777777" w:rsidR="00FC138F" w:rsidRPr="003B0637" w:rsidRDefault="009A4487" w:rsidP="00502FC8">
      <w:pPr>
        <w:pStyle w:val="ListParagraph"/>
        <w:spacing w:line="360" w:lineRule="auto"/>
        <w:ind w:left="0"/>
        <w:rPr>
          <w:sz w:val="26"/>
          <w:szCs w:val="26"/>
        </w:rPr>
      </w:pPr>
      <w:r w:rsidRPr="003B0637">
        <w:rPr>
          <w:sz w:val="26"/>
          <w:szCs w:val="26"/>
        </w:rPr>
        <w:t>F</w:t>
      </w:r>
      <w:r w:rsidR="00FC138F" w:rsidRPr="003B0637">
        <w:rPr>
          <w:sz w:val="26"/>
          <w:szCs w:val="26"/>
        </w:rPr>
        <w:t>or the reasons</w:t>
      </w:r>
      <w:r w:rsidR="001125EC" w:rsidRPr="003B0637">
        <w:rPr>
          <w:sz w:val="26"/>
          <w:szCs w:val="26"/>
        </w:rPr>
        <w:t xml:space="preserve"> </w:t>
      </w:r>
      <w:r w:rsidR="006321A4" w:rsidRPr="003B0637">
        <w:rPr>
          <w:sz w:val="26"/>
          <w:szCs w:val="26"/>
        </w:rPr>
        <w:t>below,</w:t>
      </w:r>
      <w:r w:rsidR="003D5B90" w:rsidRPr="003B0637">
        <w:rPr>
          <w:sz w:val="26"/>
          <w:szCs w:val="26"/>
        </w:rPr>
        <w:t xml:space="preserve"> we shall deny PPL</w:t>
      </w:r>
      <w:r w:rsidR="00D31DD9" w:rsidRPr="003B0637">
        <w:rPr>
          <w:sz w:val="26"/>
          <w:szCs w:val="26"/>
        </w:rPr>
        <w:t xml:space="preserve"> E</w:t>
      </w:r>
      <w:r w:rsidR="00A679CD" w:rsidRPr="003B0637">
        <w:rPr>
          <w:sz w:val="26"/>
          <w:szCs w:val="26"/>
        </w:rPr>
        <w:t xml:space="preserve">U’s Exceptions </w:t>
      </w:r>
      <w:r w:rsidR="003D5B90" w:rsidRPr="003B0637">
        <w:rPr>
          <w:sz w:val="26"/>
          <w:szCs w:val="26"/>
        </w:rPr>
        <w:t>and adopt</w:t>
      </w:r>
      <w:r w:rsidR="00F87D7C" w:rsidRPr="003B0637">
        <w:rPr>
          <w:sz w:val="26"/>
          <w:szCs w:val="26"/>
        </w:rPr>
        <w:t xml:space="preserve"> </w:t>
      </w:r>
      <w:r w:rsidR="00E16D31" w:rsidRPr="003B0637">
        <w:rPr>
          <w:sz w:val="26"/>
          <w:szCs w:val="26"/>
        </w:rPr>
        <w:t xml:space="preserve">the </w:t>
      </w:r>
      <w:r w:rsidR="00457A20" w:rsidRPr="003B0637">
        <w:rPr>
          <w:sz w:val="26"/>
          <w:szCs w:val="26"/>
        </w:rPr>
        <w:t xml:space="preserve">ALJs’ </w:t>
      </w:r>
      <w:r w:rsidR="00E16D31" w:rsidRPr="003B0637">
        <w:rPr>
          <w:sz w:val="26"/>
          <w:szCs w:val="26"/>
        </w:rPr>
        <w:t>Recommended</w:t>
      </w:r>
      <w:r w:rsidR="008D2B7B" w:rsidRPr="003B0637">
        <w:rPr>
          <w:sz w:val="26"/>
          <w:szCs w:val="26"/>
        </w:rPr>
        <w:t xml:space="preserve"> Decision</w:t>
      </w:r>
      <w:r w:rsidR="007B2E56" w:rsidRPr="003B0637">
        <w:rPr>
          <w:sz w:val="26"/>
          <w:szCs w:val="26"/>
        </w:rPr>
        <w:t xml:space="preserve"> consistent with this Opinion and Order</w:t>
      </w:r>
      <w:r w:rsidR="00F87D7C" w:rsidRPr="003B0637">
        <w:rPr>
          <w:sz w:val="26"/>
          <w:szCs w:val="26"/>
        </w:rPr>
        <w:t>.</w:t>
      </w:r>
    </w:p>
    <w:p w14:paraId="3623956E" w14:textId="77777777" w:rsidR="00FC138F" w:rsidRPr="003B0637" w:rsidRDefault="00FC138F" w:rsidP="00502FC8">
      <w:pPr>
        <w:pStyle w:val="ListParagraph"/>
        <w:spacing w:line="360" w:lineRule="auto"/>
        <w:ind w:left="0"/>
        <w:rPr>
          <w:sz w:val="26"/>
          <w:szCs w:val="26"/>
        </w:rPr>
      </w:pPr>
    </w:p>
    <w:p w14:paraId="0E2879F3" w14:textId="77777777" w:rsidR="00836C47" w:rsidRPr="003B0637" w:rsidRDefault="000675EE" w:rsidP="00502FC8">
      <w:pPr>
        <w:pStyle w:val="Heading1"/>
        <w:keepLines/>
        <w:spacing w:line="360" w:lineRule="auto"/>
        <w:rPr>
          <w:rStyle w:val="Heading1Char"/>
        </w:rPr>
      </w:pPr>
      <w:bookmarkStart w:id="1" w:name="_Toc415316181"/>
      <w:r w:rsidRPr="003B0637">
        <w:t>I.</w:t>
      </w:r>
      <w:r w:rsidRPr="003B0637">
        <w:tab/>
      </w:r>
      <w:r w:rsidR="00976791" w:rsidRPr="003B0637">
        <w:rPr>
          <w:rStyle w:val="Heading1Char"/>
          <w:b/>
        </w:rPr>
        <w:t>History of the Proceeding</w:t>
      </w:r>
      <w:bookmarkEnd w:id="1"/>
    </w:p>
    <w:p w14:paraId="41DB22B7" w14:textId="77777777" w:rsidR="003C30EB" w:rsidRPr="003B0637" w:rsidRDefault="003C30EB" w:rsidP="00502FC8">
      <w:pPr>
        <w:pStyle w:val="Default"/>
        <w:keepNext/>
        <w:keepLines/>
        <w:spacing w:line="360" w:lineRule="auto"/>
        <w:rPr>
          <w:sz w:val="26"/>
        </w:rPr>
      </w:pPr>
    </w:p>
    <w:p w14:paraId="0ECF8C3E" w14:textId="77777777" w:rsidR="001B7F86" w:rsidRPr="003B0637" w:rsidRDefault="003C30EB" w:rsidP="00502FC8">
      <w:pPr>
        <w:rPr>
          <w:szCs w:val="26"/>
        </w:rPr>
      </w:pPr>
      <w:r w:rsidRPr="003B0637">
        <w:rPr>
          <w:szCs w:val="26"/>
        </w:rPr>
        <w:t xml:space="preserve">On October 16, 2017, </w:t>
      </w:r>
      <w:r w:rsidR="00564130" w:rsidRPr="003B0637">
        <w:rPr>
          <w:szCs w:val="26"/>
        </w:rPr>
        <w:t>PPL EU</w:t>
      </w:r>
      <w:r w:rsidR="00D31DD9" w:rsidRPr="003B0637">
        <w:rPr>
          <w:szCs w:val="26"/>
        </w:rPr>
        <w:t xml:space="preserve"> </w:t>
      </w:r>
      <w:r w:rsidRPr="003B0637">
        <w:rPr>
          <w:szCs w:val="26"/>
        </w:rPr>
        <w:t xml:space="preserve">filed </w:t>
      </w:r>
      <w:r w:rsidR="00787E22" w:rsidRPr="003B0637">
        <w:rPr>
          <w:szCs w:val="26"/>
        </w:rPr>
        <w:t xml:space="preserve">the aforementioned </w:t>
      </w:r>
      <w:r w:rsidR="00122023" w:rsidRPr="003B0637">
        <w:rPr>
          <w:szCs w:val="26"/>
        </w:rPr>
        <w:t xml:space="preserve">Application </w:t>
      </w:r>
      <w:r w:rsidRPr="003B0637">
        <w:rPr>
          <w:szCs w:val="26"/>
        </w:rPr>
        <w:t xml:space="preserve">seeking </w:t>
      </w:r>
      <w:r w:rsidR="00026EB2" w:rsidRPr="003B0637">
        <w:rPr>
          <w:szCs w:val="26"/>
        </w:rPr>
        <w:t xml:space="preserve">the Commission’s approval of </w:t>
      </w:r>
      <w:r w:rsidR="00CC137B" w:rsidRPr="003B0637">
        <w:rPr>
          <w:szCs w:val="26"/>
        </w:rPr>
        <w:t>PPL</w:t>
      </w:r>
      <w:r w:rsidR="00787E22" w:rsidRPr="003B0637">
        <w:rPr>
          <w:szCs w:val="26"/>
        </w:rPr>
        <w:t xml:space="preserve"> Corporation</w:t>
      </w:r>
      <w:r w:rsidR="00CC137B" w:rsidRPr="003B0637">
        <w:rPr>
          <w:szCs w:val="26"/>
        </w:rPr>
        <w:t>’s</w:t>
      </w:r>
      <w:r w:rsidRPr="003B0637">
        <w:rPr>
          <w:szCs w:val="26"/>
        </w:rPr>
        <w:t xml:space="preserve"> proposed </w:t>
      </w:r>
      <w:r w:rsidR="00026EB2" w:rsidRPr="003B0637">
        <w:rPr>
          <w:szCs w:val="26"/>
        </w:rPr>
        <w:t xml:space="preserve">internal corporate </w:t>
      </w:r>
      <w:r w:rsidRPr="003B0637">
        <w:rPr>
          <w:szCs w:val="26"/>
        </w:rPr>
        <w:t>restructur</w:t>
      </w:r>
      <w:r w:rsidR="00026EB2" w:rsidRPr="003B0637">
        <w:rPr>
          <w:szCs w:val="26"/>
        </w:rPr>
        <w:t>ing</w:t>
      </w:r>
      <w:r w:rsidR="00574670" w:rsidRPr="003B0637">
        <w:rPr>
          <w:szCs w:val="26"/>
        </w:rPr>
        <w:t xml:space="preserve"> (</w:t>
      </w:r>
      <w:r w:rsidR="00C96F1E" w:rsidRPr="003B0637">
        <w:rPr>
          <w:szCs w:val="26"/>
        </w:rPr>
        <w:t>Proposed Restructuring</w:t>
      </w:r>
      <w:r w:rsidR="00574670" w:rsidRPr="003B0637">
        <w:rPr>
          <w:szCs w:val="26"/>
        </w:rPr>
        <w:t>)</w:t>
      </w:r>
      <w:r w:rsidRPr="003B0637">
        <w:rPr>
          <w:szCs w:val="26"/>
        </w:rPr>
        <w:t>.</w:t>
      </w:r>
      <w:r w:rsidR="00F823DE" w:rsidRPr="003B0637">
        <w:rPr>
          <w:szCs w:val="26"/>
        </w:rPr>
        <w:t xml:space="preserve">  </w:t>
      </w:r>
      <w:r w:rsidRPr="003B0637">
        <w:rPr>
          <w:szCs w:val="26"/>
        </w:rPr>
        <w:t>Th</w:t>
      </w:r>
      <w:r w:rsidR="00D406FF" w:rsidRPr="003B0637">
        <w:rPr>
          <w:szCs w:val="26"/>
        </w:rPr>
        <w:t>e Application</w:t>
      </w:r>
      <w:r w:rsidRPr="003B0637">
        <w:rPr>
          <w:szCs w:val="26"/>
        </w:rPr>
        <w:t xml:space="preserve"> was </w:t>
      </w:r>
      <w:r w:rsidR="00AB2318" w:rsidRPr="003B0637">
        <w:rPr>
          <w:szCs w:val="26"/>
        </w:rPr>
        <w:t>submitted</w:t>
      </w:r>
      <w:r w:rsidRPr="003B0637">
        <w:rPr>
          <w:szCs w:val="26"/>
        </w:rPr>
        <w:t xml:space="preserve"> pursuant to Section 1102</w:t>
      </w:r>
      <w:r w:rsidR="00AB2318" w:rsidRPr="003B0637">
        <w:rPr>
          <w:szCs w:val="26"/>
        </w:rPr>
        <w:t>(a)(3)</w:t>
      </w:r>
      <w:r w:rsidRPr="003B0637">
        <w:rPr>
          <w:szCs w:val="26"/>
        </w:rPr>
        <w:t xml:space="preserve"> of the </w:t>
      </w:r>
      <w:r w:rsidR="00D406FF" w:rsidRPr="003B0637">
        <w:rPr>
          <w:szCs w:val="26"/>
        </w:rPr>
        <w:t>Code</w:t>
      </w:r>
      <w:r w:rsidRPr="003B0637">
        <w:rPr>
          <w:szCs w:val="26"/>
        </w:rPr>
        <w:t>, 66 Pa. C.S. §</w:t>
      </w:r>
      <w:r w:rsidR="00CC137B" w:rsidRPr="003B0637">
        <w:rPr>
          <w:szCs w:val="26"/>
        </w:rPr>
        <w:t> </w:t>
      </w:r>
      <w:r w:rsidRPr="003B0637">
        <w:rPr>
          <w:szCs w:val="26"/>
        </w:rPr>
        <w:t>1102</w:t>
      </w:r>
      <w:r w:rsidR="00AB2318" w:rsidRPr="003B0637">
        <w:rPr>
          <w:szCs w:val="26"/>
        </w:rPr>
        <w:t>(a)(3)</w:t>
      </w:r>
      <w:r w:rsidRPr="003B0637">
        <w:rPr>
          <w:szCs w:val="26"/>
        </w:rPr>
        <w:t>, and</w:t>
      </w:r>
      <w:r w:rsidR="00AB2318" w:rsidRPr="003B0637">
        <w:rPr>
          <w:szCs w:val="26"/>
        </w:rPr>
        <w:t xml:space="preserve"> the Commission’s Statement of Policy </w:t>
      </w:r>
      <w:r w:rsidR="00CC137B" w:rsidRPr="003B0637">
        <w:rPr>
          <w:szCs w:val="26"/>
        </w:rPr>
        <w:t>in</w:t>
      </w:r>
      <w:r w:rsidRPr="003B0637">
        <w:rPr>
          <w:szCs w:val="26"/>
        </w:rPr>
        <w:t xml:space="preserve"> Section 69.901 of the Commission’s </w:t>
      </w:r>
      <w:r w:rsidR="00D406FF" w:rsidRPr="003B0637">
        <w:rPr>
          <w:szCs w:val="26"/>
        </w:rPr>
        <w:t>R</w:t>
      </w:r>
      <w:r w:rsidRPr="003B0637">
        <w:rPr>
          <w:szCs w:val="26"/>
        </w:rPr>
        <w:t>egulations, 52 Pa. Code §</w:t>
      </w:r>
      <w:r w:rsidR="00787E22" w:rsidRPr="003B0637">
        <w:rPr>
          <w:szCs w:val="26"/>
        </w:rPr>
        <w:t> </w:t>
      </w:r>
      <w:r w:rsidRPr="003B0637">
        <w:rPr>
          <w:szCs w:val="26"/>
        </w:rPr>
        <w:t>69.901</w:t>
      </w:r>
      <w:r w:rsidR="00D406FF" w:rsidRPr="003B0637">
        <w:rPr>
          <w:szCs w:val="26"/>
        </w:rPr>
        <w:t>.</w:t>
      </w:r>
    </w:p>
    <w:p w14:paraId="4B43DE1F" w14:textId="77777777" w:rsidR="00C560BD" w:rsidRPr="003B0637" w:rsidRDefault="00C560BD" w:rsidP="00502FC8">
      <w:pPr>
        <w:pStyle w:val="Default"/>
        <w:spacing w:line="360" w:lineRule="auto"/>
        <w:rPr>
          <w:sz w:val="26"/>
        </w:rPr>
      </w:pPr>
    </w:p>
    <w:p w14:paraId="05AD1C90" w14:textId="77777777" w:rsidR="001F0DAF" w:rsidRPr="003B0637" w:rsidRDefault="00C560BD" w:rsidP="00502FC8">
      <w:pPr>
        <w:rPr>
          <w:szCs w:val="26"/>
        </w:rPr>
      </w:pPr>
      <w:r w:rsidRPr="003B0637">
        <w:rPr>
          <w:szCs w:val="26"/>
        </w:rPr>
        <w:t xml:space="preserve">On October 28, 2017, </w:t>
      </w:r>
      <w:r w:rsidR="00787E22" w:rsidRPr="003B0637">
        <w:rPr>
          <w:szCs w:val="26"/>
        </w:rPr>
        <w:t xml:space="preserve">notice of the Application was published in the </w:t>
      </w:r>
      <w:r w:rsidR="00787E22" w:rsidRPr="003B0637">
        <w:rPr>
          <w:i/>
          <w:szCs w:val="26"/>
        </w:rPr>
        <w:t>Pennsylvania Bulletin</w:t>
      </w:r>
      <w:r w:rsidR="00787E22" w:rsidRPr="003B0637">
        <w:rPr>
          <w:szCs w:val="26"/>
        </w:rPr>
        <w:t xml:space="preserve"> </w:t>
      </w:r>
      <w:r w:rsidRPr="003B0637">
        <w:rPr>
          <w:szCs w:val="26"/>
        </w:rPr>
        <w:t xml:space="preserve">in accordance with </w:t>
      </w:r>
      <w:r w:rsidR="00CC137B" w:rsidRPr="003B0637">
        <w:rPr>
          <w:szCs w:val="26"/>
        </w:rPr>
        <w:t>Section 5.14</w:t>
      </w:r>
      <w:r w:rsidR="004E34D3" w:rsidRPr="003B0637">
        <w:rPr>
          <w:szCs w:val="26"/>
        </w:rPr>
        <w:t xml:space="preserve"> of the Commission’s Regulations, </w:t>
      </w:r>
      <w:r w:rsidRPr="003B0637">
        <w:rPr>
          <w:szCs w:val="26"/>
        </w:rPr>
        <w:t>52 Pa. Code § 5.14</w:t>
      </w:r>
      <w:r w:rsidR="00D15505" w:rsidRPr="003B0637">
        <w:rPr>
          <w:i/>
          <w:szCs w:val="26"/>
        </w:rPr>
        <w:t>.</w:t>
      </w:r>
    </w:p>
    <w:p w14:paraId="5D2D76DC" w14:textId="77777777" w:rsidR="001F0DAF" w:rsidRPr="003B0637" w:rsidRDefault="001F0DAF" w:rsidP="00502FC8">
      <w:pPr>
        <w:rPr>
          <w:szCs w:val="26"/>
        </w:rPr>
      </w:pPr>
    </w:p>
    <w:p w14:paraId="3435B8C1" w14:textId="77777777" w:rsidR="001B7F86" w:rsidRPr="003B0637" w:rsidRDefault="00FC138F" w:rsidP="00502FC8">
      <w:pPr>
        <w:rPr>
          <w:szCs w:val="26"/>
        </w:rPr>
      </w:pPr>
      <w:r w:rsidRPr="003B0637">
        <w:rPr>
          <w:szCs w:val="26"/>
        </w:rPr>
        <w:t>On</w:t>
      </w:r>
      <w:r w:rsidR="00D15505" w:rsidRPr="003B0637">
        <w:rPr>
          <w:szCs w:val="26"/>
        </w:rPr>
        <w:t xml:space="preserve"> November 21</w:t>
      </w:r>
      <w:r w:rsidRPr="003B0637">
        <w:rPr>
          <w:szCs w:val="26"/>
        </w:rPr>
        <w:t>, 201</w:t>
      </w:r>
      <w:r w:rsidR="00D15505" w:rsidRPr="003B0637">
        <w:rPr>
          <w:szCs w:val="26"/>
        </w:rPr>
        <w:t>7</w:t>
      </w:r>
      <w:r w:rsidRPr="003B0637">
        <w:rPr>
          <w:szCs w:val="26"/>
        </w:rPr>
        <w:t xml:space="preserve">, </w:t>
      </w:r>
      <w:r w:rsidR="00D15505" w:rsidRPr="003B0637">
        <w:rPr>
          <w:szCs w:val="26"/>
        </w:rPr>
        <w:t xml:space="preserve">the OSBA filed a Notice of Intervention and Protest, </w:t>
      </w:r>
      <w:r w:rsidR="00B0399A" w:rsidRPr="003B0637">
        <w:rPr>
          <w:szCs w:val="26"/>
        </w:rPr>
        <w:t xml:space="preserve">and a </w:t>
      </w:r>
      <w:r w:rsidR="00D15505" w:rsidRPr="003B0637">
        <w:rPr>
          <w:szCs w:val="26"/>
        </w:rPr>
        <w:t>Public Statement and Verification.</w:t>
      </w:r>
    </w:p>
    <w:p w14:paraId="0BFD8DFF" w14:textId="77777777" w:rsidR="00D15505" w:rsidRPr="003B0637" w:rsidRDefault="00D15505" w:rsidP="00502FC8">
      <w:pPr>
        <w:rPr>
          <w:szCs w:val="26"/>
        </w:rPr>
      </w:pPr>
    </w:p>
    <w:p w14:paraId="193D26DD" w14:textId="77777777" w:rsidR="0071547E" w:rsidRPr="003B0637" w:rsidRDefault="00825B2D" w:rsidP="00502FC8">
      <w:pPr>
        <w:rPr>
          <w:szCs w:val="26"/>
        </w:rPr>
      </w:pPr>
      <w:r w:rsidRPr="003B0637">
        <w:rPr>
          <w:szCs w:val="26"/>
        </w:rPr>
        <w:lastRenderedPageBreak/>
        <w:t>On May 29, 2018, the</w:t>
      </w:r>
      <w:r w:rsidR="001F0DAF" w:rsidRPr="003B0637">
        <w:rPr>
          <w:szCs w:val="26"/>
        </w:rPr>
        <w:t xml:space="preserve"> ALJs granted </w:t>
      </w:r>
      <w:r w:rsidR="00564130" w:rsidRPr="003B0637">
        <w:rPr>
          <w:szCs w:val="26"/>
        </w:rPr>
        <w:t>PPL EU</w:t>
      </w:r>
      <w:r w:rsidR="001F0DAF" w:rsidRPr="003B0637">
        <w:rPr>
          <w:szCs w:val="26"/>
        </w:rPr>
        <w:t xml:space="preserve">’s and </w:t>
      </w:r>
      <w:r w:rsidR="00C05E41" w:rsidRPr="003B0637">
        <w:rPr>
          <w:szCs w:val="26"/>
        </w:rPr>
        <w:t xml:space="preserve">the </w:t>
      </w:r>
      <w:r w:rsidR="001F0DAF" w:rsidRPr="003B0637">
        <w:rPr>
          <w:szCs w:val="26"/>
        </w:rPr>
        <w:t xml:space="preserve">OSBA’s </w:t>
      </w:r>
      <w:r w:rsidR="00D31DD9" w:rsidRPr="003B0637">
        <w:rPr>
          <w:szCs w:val="26"/>
        </w:rPr>
        <w:t xml:space="preserve">joint </w:t>
      </w:r>
      <w:r w:rsidR="001F0DAF" w:rsidRPr="003B0637">
        <w:rPr>
          <w:szCs w:val="26"/>
        </w:rPr>
        <w:t xml:space="preserve">request </w:t>
      </w:r>
      <w:r w:rsidRPr="003B0637">
        <w:rPr>
          <w:szCs w:val="26"/>
        </w:rPr>
        <w:t>to waive cross</w:t>
      </w:r>
      <w:r w:rsidR="00573594" w:rsidRPr="003B0637">
        <w:rPr>
          <w:szCs w:val="26"/>
        </w:rPr>
        <w:t>-</w:t>
      </w:r>
      <w:r w:rsidRPr="003B0637">
        <w:rPr>
          <w:szCs w:val="26"/>
        </w:rPr>
        <w:t>examination of all witnesses</w:t>
      </w:r>
      <w:r w:rsidR="001F0DAF" w:rsidRPr="003B0637">
        <w:rPr>
          <w:szCs w:val="26"/>
        </w:rPr>
        <w:t xml:space="preserve"> and </w:t>
      </w:r>
      <w:r w:rsidRPr="003B0637">
        <w:rPr>
          <w:szCs w:val="26"/>
        </w:rPr>
        <w:t>admit evidence into the reco</w:t>
      </w:r>
      <w:r w:rsidR="00837E79" w:rsidRPr="003B0637">
        <w:rPr>
          <w:szCs w:val="26"/>
        </w:rPr>
        <w:t>rd by writ</w:t>
      </w:r>
      <w:r w:rsidR="001F0DAF" w:rsidRPr="003B0637">
        <w:rPr>
          <w:szCs w:val="26"/>
        </w:rPr>
        <w:t xml:space="preserve">ten stipulation.  The </w:t>
      </w:r>
      <w:r w:rsidRPr="003B0637">
        <w:rPr>
          <w:szCs w:val="26"/>
        </w:rPr>
        <w:t>evidentiary hearing scheduled for May 30, 2018</w:t>
      </w:r>
      <w:r w:rsidR="001F0DAF" w:rsidRPr="003B0637">
        <w:rPr>
          <w:szCs w:val="26"/>
        </w:rPr>
        <w:t>, was cancelled</w:t>
      </w:r>
      <w:r w:rsidRPr="003B0637">
        <w:rPr>
          <w:szCs w:val="26"/>
        </w:rPr>
        <w:t>.</w:t>
      </w:r>
      <w:r w:rsidR="000D6E2B" w:rsidRPr="003B0637">
        <w:rPr>
          <w:szCs w:val="26"/>
        </w:rPr>
        <w:t xml:space="preserve"> </w:t>
      </w:r>
      <w:r w:rsidR="00837E79" w:rsidRPr="003B0637">
        <w:rPr>
          <w:szCs w:val="26"/>
        </w:rPr>
        <w:t xml:space="preserve"> </w:t>
      </w:r>
    </w:p>
    <w:p w14:paraId="5A089ABD" w14:textId="77777777" w:rsidR="0071547E" w:rsidRPr="003B0637" w:rsidRDefault="0071547E" w:rsidP="00502FC8">
      <w:pPr>
        <w:rPr>
          <w:szCs w:val="26"/>
        </w:rPr>
      </w:pPr>
    </w:p>
    <w:p w14:paraId="1725362E" w14:textId="77777777" w:rsidR="00B94A3F" w:rsidRPr="003B0637" w:rsidRDefault="00825B2D" w:rsidP="00502FC8">
      <w:pPr>
        <w:rPr>
          <w:szCs w:val="26"/>
        </w:rPr>
      </w:pPr>
      <w:r w:rsidRPr="003B0637">
        <w:rPr>
          <w:szCs w:val="26"/>
        </w:rPr>
        <w:t xml:space="preserve">On June 13, 2018, </w:t>
      </w:r>
      <w:r w:rsidR="00564130" w:rsidRPr="003B0637">
        <w:rPr>
          <w:szCs w:val="26"/>
        </w:rPr>
        <w:t>PPL EU</w:t>
      </w:r>
      <w:r w:rsidR="00D31DD9" w:rsidRPr="003B0637">
        <w:rPr>
          <w:szCs w:val="26"/>
        </w:rPr>
        <w:t xml:space="preserve"> </w:t>
      </w:r>
      <w:r w:rsidRPr="003B0637">
        <w:rPr>
          <w:szCs w:val="26"/>
        </w:rPr>
        <w:t xml:space="preserve">and </w:t>
      </w:r>
      <w:r w:rsidR="00D66488" w:rsidRPr="003B0637">
        <w:rPr>
          <w:szCs w:val="26"/>
        </w:rPr>
        <w:t xml:space="preserve">the </w:t>
      </w:r>
      <w:r w:rsidRPr="003B0637">
        <w:rPr>
          <w:szCs w:val="26"/>
        </w:rPr>
        <w:t xml:space="preserve">OSBA </w:t>
      </w:r>
      <w:r w:rsidR="00C05E41" w:rsidRPr="003B0637">
        <w:rPr>
          <w:szCs w:val="26"/>
        </w:rPr>
        <w:t xml:space="preserve">jointly </w:t>
      </w:r>
      <w:r w:rsidRPr="003B0637">
        <w:rPr>
          <w:szCs w:val="26"/>
        </w:rPr>
        <w:t xml:space="preserve">filed a </w:t>
      </w:r>
      <w:r w:rsidR="00C05E41" w:rsidRPr="003B0637">
        <w:rPr>
          <w:szCs w:val="26"/>
        </w:rPr>
        <w:t>S</w:t>
      </w:r>
      <w:r w:rsidRPr="003B0637">
        <w:rPr>
          <w:szCs w:val="26"/>
        </w:rPr>
        <w:t xml:space="preserve">tipulation for </w:t>
      </w:r>
      <w:r w:rsidR="00C05E41" w:rsidRPr="003B0637">
        <w:rPr>
          <w:szCs w:val="26"/>
        </w:rPr>
        <w:t>A</w:t>
      </w:r>
      <w:r w:rsidRPr="003B0637">
        <w:rPr>
          <w:szCs w:val="26"/>
        </w:rPr>
        <w:t xml:space="preserve">dmission of </w:t>
      </w:r>
      <w:r w:rsidR="00C05E41" w:rsidRPr="003B0637">
        <w:rPr>
          <w:szCs w:val="26"/>
        </w:rPr>
        <w:t>E</w:t>
      </w:r>
      <w:r w:rsidRPr="003B0637">
        <w:rPr>
          <w:szCs w:val="26"/>
        </w:rPr>
        <w:t>vidence</w:t>
      </w:r>
      <w:r w:rsidR="00C05E41" w:rsidRPr="003B0637">
        <w:rPr>
          <w:szCs w:val="26"/>
        </w:rPr>
        <w:t xml:space="preserve"> (Stipulation)</w:t>
      </w:r>
      <w:r w:rsidRPr="003B0637">
        <w:rPr>
          <w:szCs w:val="26"/>
        </w:rPr>
        <w:t>.</w:t>
      </w:r>
      <w:r w:rsidR="005457F8" w:rsidRPr="003B0637">
        <w:rPr>
          <w:szCs w:val="26"/>
        </w:rPr>
        <w:t xml:space="preserve">  </w:t>
      </w:r>
      <w:r w:rsidRPr="003B0637">
        <w:rPr>
          <w:szCs w:val="26"/>
        </w:rPr>
        <w:t xml:space="preserve">The Stipulation requested </w:t>
      </w:r>
      <w:r w:rsidR="00FB5348" w:rsidRPr="003B0637">
        <w:rPr>
          <w:szCs w:val="26"/>
        </w:rPr>
        <w:t xml:space="preserve">that the following </w:t>
      </w:r>
      <w:r w:rsidR="007654EF" w:rsidRPr="003B0637">
        <w:rPr>
          <w:szCs w:val="26"/>
        </w:rPr>
        <w:t>evidence be admitted i</w:t>
      </w:r>
      <w:r w:rsidRPr="003B0637">
        <w:rPr>
          <w:szCs w:val="26"/>
        </w:rPr>
        <w:t>nto the record</w:t>
      </w:r>
      <w:r w:rsidR="007654EF" w:rsidRPr="003B0637">
        <w:rPr>
          <w:szCs w:val="26"/>
        </w:rPr>
        <w:t>:</w:t>
      </w:r>
      <w:r w:rsidRPr="003B0637">
        <w:rPr>
          <w:szCs w:val="26"/>
        </w:rPr>
        <w:t xml:space="preserve"> </w:t>
      </w:r>
      <w:r w:rsidR="007654EF" w:rsidRPr="003B0637">
        <w:rPr>
          <w:szCs w:val="26"/>
        </w:rPr>
        <w:t xml:space="preserve">(1) </w:t>
      </w:r>
      <w:r w:rsidR="00564130" w:rsidRPr="003B0637">
        <w:rPr>
          <w:szCs w:val="26"/>
        </w:rPr>
        <w:t>PPL EU</w:t>
      </w:r>
      <w:r w:rsidR="00D31DD9" w:rsidRPr="003B0637">
        <w:rPr>
          <w:szCs w:val="26"/>
        </w:rPr>
        <w:t xml:space="preserve"> </w:t>
      </w:r>
      <w:r w:rsidRPr="003B0637">
        <w:rPr>
          <w:szCs w:val="26"/>
        </w:rPr>
        <w:t xml:space="preserve">Direct Testimony; </w:t>
      </w:r>
      <w:r w:rsidR="007654EF" w:rsidRPr="003B0637">
        <w:rPr>
          <w:szCs w:val="26"/>
        </w:rPr>
        <w:t xml:space="preserve">(2) </w:t>
      </w:r>
      <w:r w:rsidR="00564130" w:rsidRPr="003B0637">
        <w:rPr>
          <w:szCs w:val="26"/>
        </w:rPr>
        <w:t>PPL EU</w:t>
      </w:r>
      <w:r w:rsidR="00D31DD9" w:rsidRPr="003B0637">
        <w:rPr>
          <w:szCs w:val="26"/>
        </w:rPr>
        <w:t xml:space="preserve"> </w:t>
      </w:r>
      <w:r w:rsidRPr="003B0637">
        <w:rPr>
          <w:szCs w:val="26"/>
        </w:rPr>
        <w:t xml:space="preserve">Rebuttal Testimony; </w:t>
      </w:r>
      <w:r w:rsidR="007654EF" w:rsidRPr="003B0637">
        <w:rPr>
          <w:szCs w:val="26"/>
        </w:rPr>
        <w:t xml:space="preserve">(3) </w:t>
      </w:r>
      <w:r w:rsidRPr="003B0637">
        <w:rPr>
          <w:szCs w:val="26"/>
        </w:rPr>
        <w:t xml:space="preserve">OSBA Direct Testimony; </w:t>
      </w:r>
      <w:r w:rsidR="007654EF" w:rsidRPr="003B0637">
        <w:rPr>
          <w:szCs w:val="26"/>
        </w:rPr>
        <w:t xml:space="preserve">(4) </w:t>
      </w:r>
      <w:r w:rsidRPr="003B0637">
        <w:rPr>
          <w:szCs w:val="26"/>
        </w:rPr>
        <w:t xml:space="preserve">OSBA Exhibits IEc-1 and IEc-2; </w:t>
      </w:r>
      <w:r w:rsidR="007654EF" w:rsidRPr="003B0637">
        <w:rPr>
          <w:szCs w:val="26"/>
        </w:rPr>
        <w:t xml:space="preserve">(5) </w:t>
      </w:r>
      <w:r w:rsidR="00564130" w:rsidRPr="003B0637">
        <w:rPr>
          <w:szCs w:val="26"/>
        </w:rPr>
        <w:t>PPL EU</w:t>
      </w:r>
      <w:r w:rsidRPr="003B0637">
        <w:rPr>
          <w:szCs w:val="26"/>
        </w:rPr>
        <w:t xml:space="preserve">’s Application; and </w:t>
      </w:r>
      <w:r w:rsidR="007654EF" w:rsidRPr="003B0637">
        <w:rPr>
          <w:szCs w:val="26"/>
        </w:rPr>
        <w:t xml:space="preserve">(6) </w:t>
      </w:r>
      <w:r w:rsidRPr="003B0637">
        <w:rPr>
          <w:szCs w:val="26"/>
        </w:rPr>
        <w:t>PPL Exhibit No. 1-A.</w:t>
      </w:r>
      <w:r w:rsidR="00837E79" w:rsidRPr="003B0637">
        <w:rPr>
          <w:szCs w:val="26"/>
        </w:rPr>
        <w:t xml:space="preserve">  </w:t>
      </w:r>
      <w:r w:rsidR="00B94A3F" w:rsidRPr="003B0637">
        <w:rPr>
          <w:szCs w:val="26"/>
        </w:rPr>
        <w:t xml:space="preserve">On June 29, 2018, </w:t>
      </w:r>
      <w:r w:rsidR="00564130" w:rsidRPr="003B0637">
        <w:rPr>
          <w:szCs w:val="26"/>
        </w:rPr>
        <w:t>PPL EU</w:t>
      </w:r>
      <w:r w:rsidR="00D31DD9" w:rsidRPr="003B0637">
        <w:rPr>
          <w:szCs w:val="26"/>
        </w:rPr>
        <w:t xml:space="preserve"> </w:t>
      </w:r>
      <w:r w:rsidR="00B94A3F" w:rsidRPr="003B0637">
        <w:rPr>
          <w:szCs w:val="26"/>
        </w:rPr>
        <w:t xml:space="preserve">and </w:t>
      </w:r>
      <w:r w:rsidR="00D66488" w:rsidRPr="003B0637">
        <w:rPr>
          <w:szCs w:val="26"/>
        </w:rPr>
        <w:t xml:space="preserve">the </w:t>
      </w:r>
      <w:r w:rsidR="00B94A3F" w:rsidRPr="003B0637">
        <w:rPr>
          <w:szCs w:val="26"/>
        </w:rPr>
        <w:t xml:space="preserve">OSBA filed their </w:t>
      </w:r>
      <w:r w:rsidR="005457F8" w:rsidRPr="003B0637">
        <w:rPr>
          <w:szCs w:val="26"/>
        </w:rPr>
        <w:t>M</w:t>
      </w:r>
      <w:r w:rsidR="00B94A3F" w:rsidRPr="003B0637">
        <w:rPr>
          <w:szCs w:val="26"/>
        </w:rPr>
        <w:t xml:space="preserve">ain </w:t>
      </w:r>
      <w:r w:rsidR="005457F8" w:rsidRPr="003B0637">
        <w:rPr>
          <w:szCs w:val="26"/>
        </w:rPr>
        <w:t>B</w:t>
      </w:r>
      <w:r w:rsidR="00B94A3F" w:rsidRPr="003B0637">
        <w:rPr>
          <w:szCs w:val="26"/>
        </w:rPr>
        <w:t>rief</w:t>
      </w:r>
      <w:r w:rsidR="005457F8" w:rsidRPr="003B0637">
        <w:rPr>
          <w:szCs w:val="26"/>
        </w:rPr>
        <w:t>s</w:t>
      </w:r>
      <w:r w:rsidR="00B94A3F" w:rsidRPr="003B0637">
        <w:rPr>
          <w:szCs w:val="26"/>
        </w:rPr>
        <w:t>.</w:t>
      </w:r>
      <w:r w:rsidR="005457F8" w:rsidRPr="003B0637">
        <w:rPr>
          <w:szCs w:val="26"/>
        </w:rPr>
        <w:t xml:space="preserve">  On July 13, 2018, the record in this matter was closed after the Parties filed their Reply Briefs.</w:t>
      </w:r>
    </w:p>
    <w:p w14:paraId="099C3D4F" w14:textId="77777777" w:rsidR="00825B2D" w:rsidRPr="003B0637" w:rsidRDefault="00825B2D" w:rsidP="00502FC8"/>
    <w:p w14:paraId="49E8B4D3" w14:textId="77777777" w:rsidR="00D03381" w:rsidRPr="003B0637" w:rsidRDefault="00757BE6" w:rsidP="00502FC8">
      <w:pPr>
        <w:tabs>
          <w:tab w:val="left" w:pos="-720"/>
        </w:tabs>
        <w:suppressAutoHyphens/>
        <w:rPr>
          <w:spacing w:val="-3"/>
        </w:rPr>
      </w:pPr>
      <w:r w:rsidRPr="003B0637">
        <w:rPr>
          <w:spacing w:val="-3"/>
        </w:rPr>
        <w:t>In the</w:t>
      </w:r>
      <w:r w:rsidR="005457F8" w:rsidRPr="003B0637">
        <w:rPr>
          <w:spacing w:val="-3"/>
        </w:rPr>
        <w:t>ir</w:t>
      </w:r>
      <w:r w:rsidRPr="003B0637">
        <w:rPr>
          <w:spacing w:val="-3"/>
        </w:rPr>
        <w:t xml:space="preserve"> </w:t>
      </w:r>
      <w:r w:rsidR="008D2B7B" w:rsidRPr="003B0637">
        <w:rPr>
          <w:spacing w:val="-3"/>
        </w:rPr>
        <w:t xml:space="preserve">Recommended Decision </w:t>
      </w:r>
      <w:r w:rsidR="00E45E65" w:rsidRPr="003B0637">
        <w:rPr>
          <w:spacing w:val="-3"/>
        </w:rPr>
        <w:t xml:space="preserve">issued </w:t>
      </w:r>
      <w:r w:rsidR="00DB1097" w:rsidRPr="003B0637">
        <w:rPr>
          <w:spacing w:val="-3"/>
        </w:rPr>
        <w:t xml:space="preserve">on </w:t>
      </w:r>
      <w:r w:rsidR="00D03381" w:rsidRPr="003B0637">
        <w:rPr>
          <w:spacing w:val="-3"/>
        </w:rPr>
        <w:t>September</w:t>
      </w:r>
      <w:r w:rsidR="00DB1097" w:rsidRPr="003B0637">
        <w:rPr>
          <w:spacing w:val="-3"/>
        </w:rPr>
        <w:t xml:space="preserve"> </w:t>
      </w:r>
      <w:r w:rsidR="000E02F6" w:rsidRPr="003B0637">
        <w:rPr>
          <w:spacing w:val="-3"/>
        </w:rPr>
        <w:t>1</w:t>
      </w:r>
      <w:r w:rsidR="00DB1097" w:rsidRPr="003B0637">
        <w:rPr>
          <w:spacing w:val="-3"/>
        </w:rPr>
        <w:t>1</w:t>
      </w:r>
      <w:r w:rsidRPr="003B0637">
        <w:rPr>
          <w:spacing w:val="-3"/>
        </w:rPr>
        <w:t>, 201</w:t>
      </w:r>
      <w:r w:rsidR="00D03381" w:rsidRPr="003B0637">
        <w:rPr>
          <w:spacing w:val="-3"/>
        </w:rPr>
        <w:t>8</w:t>
      </w:r>
      <w:r w:rsidRPr="003B0637">
        <w:rPr>
          <w:spacing w:val="-3"/>
        </w:rPr>
        <w:t xml:space="preserve">, </w:t>
      </w:r>
      <w:r w:rsidR="00DB1097" w:rsidRPr="003B0637">
        <w:rPr>
          <w:spacing w:val="-3"/>
        </w:rPr>
        <w:t>ALJ</w:t>
      </w:r>
      <w:r w:rsidR="00D03381" w:rsidRPr="003B0637">
        <w:rPr>
          <w:spacing w:val="-3"/>
        </w:rPr>
        <w:t xml:space="preserve">s Myers and Cheskis </w:t>
      </w:r>
      <w:r w:rsidR="00C96F1E" w:rsidRPr="003B0637">
        <w:rPr>
          <w:spacing w:val="-3"/>
        </w:rPr>
        <w:t xml:space="preserve">recommended </w:t>
      </w:r>
      <w:r w:rsidR="00E45E65" w:rsidRPr="003B0637">
        <w:rPr>
          <w:spacing w:val="-3"/>
        </w:rPr>
        <w:t xml:space="preserve">(1) that </w:t>
      </w:r>
      <w:r w:rsidR="00761C3A" w:rsidRPr="003B0637">
        <w:rPr>
          <w:spacing w:val="-3"/>
        </w:rPr>
        <w:t xml:space="preserve">the Stipulation be granted, and (2) that the Application be denied in its entirety.  </w:t>
      </w:r>
      <w:r w:rsidR="00D03381" w:rsidRPr="003B0637">
        <w:rPr>
          <w:spacing w:val="-3"/>
        </w:rPr>
        <w:t xml:space="preserve">R.D. at </w:t>
      </w:r>
      <w:r w:rsidR="00F80E1B" w:rsidRPr="003B0637">
        <w:rPr>
          <w:spacing w:val="-3"/>
        </w:rPr>
        <w:t>20-25</w:t>
      </w:r>
      <w:r w:rsidR="00D03381" w:rsidRPr="003B0637">
        <w:rPr>
          <w:spacing w:val="-3"/>
        </w:rPr>
        <w:t>.</w:t>
      </w:r>
    </w:p>
    <w:p w14:paraId="7F6DD42C" w14:textId="77777777" w:rsidR="00EF5063" w:rsidRPr="003B0637" w:rsidRDefault="00EF5063" w:rsidP="00502FC8">
      <w:pPr>
        <w:tabs>
          <w:tab w:val="left" w:pos="-720"/>
        </w:tabs>
        <w:suppressAutoHyphens/>
        <w:rPr>
          <w:spacing w:val="-3"/>
        </w:rPr>
      </w:pPr>
    </w:p>
    <w:p w14:paraId="33718DCD" w14:textId="77777777" w:rsidR="002E7978" w:rsidRPr="003B0637" w:rsidRDefault="00757BE6" w:rsidP="00502FC8">
      <w:pPr>
        <w:tabs>
          <w:tab w:val="left" w:pos="-720"/>
        </w:tabs>
        <w:suppressAutoHyphens/>
        <w:rPr>
          <w:szCs w:val="26"/>
        </w:rPr>
      </w:pPr>
      <w:r w:rsidRPr="003B0637">
        <w:rPr>
          <w:spacing w:val="-3"/>
        </w:rPr>
        <w:t>As noted,</w:t>
      </w:r>
      <w:r w:rsidR="00837E79" w:rsidRPr="003B0637">
        <w:rPr>
          <w:szCs w:val="26"/>
        </w:rPr>
        <w:t xml:space="preserve"> on October 1, 2018,</w:t>
      </w:r>
      <w:r w:rsidR="00162C1C" w:rsidRPr="003B0637">
        <w:rPr>
          <w:szCs w:val="26"/>
        </w:rPr>
        <w:t xml:space="preserve"> </w:t>
      </w:r>
      <w:r w:rsidR="00F80E1B" w:rsidRPr="003B0637">
        <w:rPr>
          <w:szCs w:val="26"/>
        </w:rPr>
        <w:t>PPL-</w:t>
      </w:r>
      <w:r w:rsidR="00564130" w:rsidRPr="003B0637">
        <w:rPr>
          <w:szCs w:val="26"/>
        </w:rPr>
        <w:t>EU</w:t>
      </w:r>
      <w:r w:rsidR="00D31DD9" w:rsidRPr="003B0637">
        <w:rPr>
          <w:szCs w:val="26"/>
        </w:rPr>
        <w:t xml:space="preserve"> </w:t>
      </w:r>
      <w:r w:rsidR="00EF5063" w:rsidRPr="003B0637">
        <w:rPr>
          <w:szCs w:val="26"/>
        </w:rPr>
        <w:t xml:space="preserve">filed Exceptions </w:t>
      </w:r>
      <w:r w:rsidR="00837E79" w:rsidRPr="003B0637">
        <w:rPr>
          <w:szCs w:val="26"/>
        </w:rPr>
        <w:t>to the ALJs’ Recommended Decision</w:t>
      </w:r>
      <w:r w:rsidR="00076645" w:rsidRPr="003B0637">
        <w:rPr>
          <w:szCs w:val="26"/>
        </w:rPr>
        <w:t>.</w:t>
      </w:r>
      <w:r w:rsidR="00D03381" w:rsidRPr="003B0637">
        <w:rPr>
          <w:szCs w:val="26"/>
        </w:rPr>
        <w:t xml:space="preserve">  </w:t>
      </w:r>
      <w:r w:rsidR="00837E79" w:rsidRPr="003B0637">
        <w:rPr>
          <w:szCs w:val="26"/>
        </w:rPr>
        <w:t>On October 11, 2018, t</w:t>
      </w:r>
      <w:r w:rsidR="00B576E2" w:rsidRPr="003B0637">
        <w:rPr>
          <w:szCs w:val="26"/>
        </w:rPr>
        <w:t xml:space="preserve">he </w:t>
      </w:r>
      <w:r w:rsidR="00D03381" w:rsidRPr="003B0637">
        <w:rPr>
          <w:szCs w:val="26"/>
        </w:rPr>
        <w:t xml:space="preserve">OSBA </w:t>
      </w:r>
      <w:r w:rsidR="00EF5063" w:rsidRPr="003B0637">
        <w:rPr>
          <w:szCs w:val="26"/>
        </w:rPr>
        <w:t xml:space="preserve">filed </w:t>
      </w:r>
      <w:r w:rsidR="0095325D" w:rsidRPr="003B0637">
        <w:rPr>
          <w:szCs w:val="26"/>
        </w:rPr>
        <w:t>Replies to Exceptions</w:t>
      </w:r>
      <w:r w:rsidR="00D03381" w:rsidRPr="003B0637">
        <w:rPr>
          <w:szCs w:val="26"/>
        </w:rPr>
        <w:t>.</w:t>
      </w:r>
    </w:p>
    <w:p w14:paraId="2659C804" w14:textId="77777777" w:rsidR="0095325D" w:rsidRPr="003B0637" w:rsidRDefault="0095325D" w:rsidP="00502FC8">
      <w:pPr>
        <w:tabs>
          <w:tab w:val="left" w:pos="-720"/>
        </w:tabs>
        <w:suppressAutoHyphens/>
        <w:rPr>
          <w:szCs w:val="26"/>
        </w:rPr>
      </w:pPr>
    </w:p>
    <w:p w14:paraId="5D5B136C" w14:textId="77777777" w:rsidR="00B22C03" w:rsidRPr="003B0637" w:rsidRDefault="00B22C03" w:rsidP="008A492D">
      <w:pPr>
        <w:pStyle w:val="Heading1"/>
        <w:spacing w:line="360" w:lineRule="auto"/>
      </w:pPr>
      <w:bookmarkStart w:id="2" w:name="_Toc415316182"/>
      <w:r w:rsidRPr="003B0637">
        <w:t>II.</w:t>
      </w:r>
      <w:r w:rsidRPr="003B0637">
        <w:tab/>
      </w:r>
      <w:bookmarkEnd w:id="2"/>
      <w:r w:rsidR="008C2FE0" w:rsidRPr="003B0637">
        <w:t>Overview of</w:t>
      </w:r>
      <w:r w:rsidR="00837E79" w:rsidRPr="003B0637">
        <w:t xml:space="preserve"> </w:t>
      </w:r>
      <w:r w:rsidR="00313FD8">
        <w:t>the Application</w:t>
      </w:r>
    </w:p>
    <w:p w14:paraId="0A050B80" w14:textId="77777777" w:rsidR="00B22C03" w:rsidRPr="003B0637" w:rsidRDefault="00B22C03" w:rsidP="00502FC8">
      <w:pPr>
        <w:pStyle w:val="BodyText"/>
        <w:keepNext/>
        <w:spacing w:after="0"/>
        <w:rPr>
          <w:b/>
          <w:szCs w:val="24"/>
        </w:rPr>
      </w:pPr>
    </w:p>
    <w:p w14:paraId="7E96EB3D" w14:textId="77777777" w:rsidR="00AD4950" w:rsidRPr="003B0637" w:rsidRDefault="00564130" w:rsidP="00502FC8">
      <w:pPr>
        <w:autoSpaceDE w:val="0"/>
        <w:autoSpaceDN w:val="0"/>
        <w:adjustRightInd w:val="0"/>
        <w:rPr>
          <w:szCs w:val="26"/>
        </w:rPr>
      </w:pPr>
      <w:r w:rsidRPr="003B0637">
        <w:rPr>
          <w:color w:val="000000"/>
          <w:szCs w:val="26"/>
        </w:rPr>
        <w:t>PPL EU</w:t>
      </w:r>
      <w:r w:rsidR="00D31DD9" w:rsidRPr="003B0637">
        <w:rPr>
          <w:color w:val="000000"/>
          <w:szCs w:val="26"/>
        </w:rPr>
        <w:t xml:space="preserve"> </w:t>
      </w:r>
      <w:r w:rsidR="008365BD" w:rsidRPr="003B0637">
        <w:rPr>
          <w:color w:val="000000"/>
          <w:szCs w:val="26"/>
        </w:rPr>
        <w:t xml:space="preserve">explained in the Application that it </w:t>
      </w:r>
      <w:r w:rsidR="00E92FEC" w:rsidRPr="003B0637">
        <w:rPr>
          <w:color w:val="000000"/>
          <w:szCs w:val="26"/>
        </w:rPr>
        <w:t xml:space="preserve">is a Pennsylvania business corporation formed in 1920, and a public utility as defined in Section 102 of the Code, </w:t>
      </w:r>
      <w:r w:rsidR="00E92FEC" w:rsidRPr="003B0637">
        <w:rPr>
          <w:szCs w:val="26"/>
        </w:rPr>
        <w:t>66</w:t>
      </w:r>
      <w:r w:rsidR="00B21C12" w:rsidRPr="003B0637">
        <w:rPr>
          <w:szCs w:val="26"/>
        </w:rPr>
        <w:t> </w:t>
      </w:r>
      <w:r w:rsidR="00E92FEC" w:rsidRPr="003B0637">
        <w:rPr>
          <w:szCs w:val="26"/>
        </w:rPr>
        <w:t xml:space="preserve">Pa. C.S. § 102.  </w:t>
      </w:r>
      <w:r w:rsidRPr="003B0637">
        <w:rPr>
          <w:szCs w:val="26"/>
        </w:rPr>
        <w:t>PPL EU</w:t>
      </w:r>
      <w:r w:rsidR="00E92FEC" w:rsidRPr="003B0637">
        <w:rPr>
          <w:szCs w:val="26"/>
        </w:rPr>
        <w:t xml:space="preserve"> provides electric service to approximately 1.4 million customers in eastern and central Pennsylvania.  Application at 2.</w:t>
      </w:r>
    </w:p>
    <w:p w14:paraId="7ECB76C5" w14:textId="77777777" w:rsidR="00AD4950" w:rsidRPr="003B0637" w:rsidRDefault="00AD4950" w:rsidP="00502FC8">
      <w:pPr>
        <w:autoSpaceDE w:val="0"/>
        <w:autoSpaceDN w:val="0"/>
        <w:adjustRightInd w:val="0"/>
        <w:rPr>
          <w:szCs w:val="26"/>
        </w:rPr>
      </w:pPr>
    </w:p>
    <w:p w14:paraId="5E986E42" w14:textId="4EAF3235" w:rsidR="00EB248A" w:rsidRPr="003B0637" w:rsidRDefault="00E92FEC" w:rsidP="00502FC8">
      <w:pPr>
        <w:autoSpaceDE w:val="0"/>
        <w:autoSpaceDN w:val="0"/>
        <w:adjustRightInd w:val="0"/>
        <w:rPr>
          <w:szCs w:val="26"/>
        </w:rPr>
      </w:pPr>
      <w:r w:rsidRPr="003B0637">
        <w:rPr>
          <w:color w:val="000000"/>
          <w:szCs w:val="26"/>
        </w:rPr>
        <w:t xml:space="preserve">PPL Corporation </w:t>
      </w:r>
      <w:r w:rsidR="00A443A8" w:rsidRPr="003B0637">
        <w:rPr>
          <w:color w:val="000000"/>
          <w:szCs w:val="26"/>
        </w:rPr>
        <w:t>was formed in 1994 as a utility holding company</w:t>
      </w:r>
      <w:r w:rsidR="00D31DD9" w:rsidRPr="003B0637">
        <w:rPr>
          <w:color w:val="000000"/>
          <w:szCs w:val="26"/>
        </w:rPr>
        <w:t xml:space="preserve"> and is incorporated in Pennsylvania.  PPL Corporation</w:t>
      </w:r>
      <w:r w:rsidR="00AD4950" w:rsidRPr="003B0637">
        <w:rPr>
          <w:color w:val="000000"/>
          <w:szCs w:val="26"/>
        </w:rPr>
        <w:t xml:space="preserve"> </w:t>
      </w:r>
      <w:r w:rsidR="00B76A79" w:rsidRPr="003B0637">
        <w:rPr>
          <w:color w:val="000000"/>
          <w:szCs w:val="26"/>
        </w:rPr>
        <w:t xml:space="preserve">currently </w:t>
      </w:r>
      <w:r w:rsidRPr="003B0637">
        <w:rPr>
          <w:color w:val="000000"/>
          <w:szCs w:val="26"/>
        </w:rPr>
        <w:t xml:space="preserve">directly owns all </w:t>
      </w:r>
      <w:r w:rsidR="005041CE" w:rsidRPr="003B0637">
        <w:rPr>
          <w:color w:val="000000"/>
          <w:szCs w:val="26"/>
        </w:rPr>
        <w:t>interests</w:t>
      </w:r>
      <w:r w:rsidRPr="003B0637">
        <w:rPr>
          <w:color w:val="000000"/>
          <w:szCs w:val="26"/>
        </w:rPr>
        <w:t xml:space="preserve"> </w:t>
      </w:r>
      <w:r w:rsidR="008C0D3F" w:rsidRPr="003B0637">
        <w:rPr>
          <w:color w:val="000000"/>
          <w:szCs w:val="26"/>
        </w:rPr>
        <w:t xml:space="preserve">in the seven following </w:t>
      </w:r>
      <w:r w:rsidR="00795C4E" w:rsidRPr="003B0637">
        <w:rPr>
          <w:color w:val="000000"/>
          <w:szCs w:val="26"/>
        </w:rPr>
        <w:t>subsidiar</w:t>
      </w:r>
      <w:r w:rsidR="008C0D3F" w:rsidRPr="003B0637">
        <w:rPr>
          <w:color w:val="000000"/>
          <w:szCs w:val="26"/>
        </w:rPr>
        <w:t>y companies:</w:t>
      </w:r>
      <w:r w:rsidR="00795C4E" w:rsidRPr="003B0637">
        <w:rPr>
          <w:color w:val="000000"/>
          <w:szCs w:val="26"/>
        </w:rPr>
        <w:t xml:space="preserve"> </w:t>
      </w:r>
      <w:r w:rsidR="008840BE" w:rsidRPr="003B0637">
        <w:rPr>
          <w:color w:val="000000"/>
          <w:szCs w:val="26"/>
        </w:rPr>
        <w:t>(</w:t>
      </w:r>
      <w:r w:rsidR="00795C4E" w:rsidRPr="003B0637">
        <w:rPr>
          <w:color w:val="000000"/>
          <w:szCs w:val="26"/>
        </w:rPr>
        <w:t>1</w:t>
      </w:r>
      <w:r w:rsidR="008840BE" w:rsidRPr="003B0637">
        <w:rPr>
          <w:color w:val="000000"/>
          <w:szCs w:val="26"/>
        </w:rPr>
        <w:t xml:space="preserve">) </w:t>
      </w:r>
      <w:r w:rsidR="00D31DD9" w:rsidRPr="003B0637">
        <w:rPr>
          <w:color w:val="000000"/>
          <w:szCs w:val="26"/>
        </w:rPr>
        <w:t>PPL Capital Funding, Inc.</w:t>
      </w:r>
      <w:r w:rsidR="000244D6" w:rsidRPr="003B0637">
        <w:rPr>
          <w:color w:val="000000"/>
          <w:szCs w:val="26"/>
        </w:rPr>
        <w:t xml:space="preserve">, </w:t>
      </w:r>
      <w:r w:rsidR="008C0D3F" w:rsidRPr="003B0637">
        <w:rPr>
          <w:color w:val="000000"/>
          <w:szCs w:val="26"/>
        </w:rPr>
        <w:t xml:space="preserve">(2) LG&amp;E and </w:t>
      </w:r>
      <w:r w:rsidR="008C0D3F" w:rsidRPr="003B0637">
        <w:rPr>
          <w:color w:val="000000"/>
          <w:szCs w:val="26"/>
        </w:rPr>
        <w:lastRenderedPageBreak/>
        <w:t xml:space="preserve">KU Energy LLC, </w:t>
      </w:r>
      <w:r w:rsidR="00D300D4">
        <w:rPr>
          <w:szCs w:val="26"/>
        </w:rPr>
        <w:t>(two domestic, non-Pennsylvania electric distribution companies)</w:t>
      </w:r>
      <w:r w:rsidR="008C0D3F" w:rsidRPr="003B0637">
        <w:rPr>
          <w:szCs w:val="26"/>
        </w:rPr>
        <w:t xml:space="preserve">, </w:t>
      </w:r>
      <w:r w:rsidR="008C0D3F" w:rsidRPr="003B0637">
        <w:rPr>
          <w:color w:val="000000"/>
          <w:szCs w:val="26"/>
        </w:rPr>
        <w:t>(3)</w:t>
      </w:r>
      <w:r w:rsidR="00CA5EB1">
        <w:rPr>
          <w:color w:val="000000"/>
          <w:szCs w:val="26"/>
        </w:rPr>
        <w:t> </w:t>
      </w:r>
      <w:r w:rsidR="008C0D3F" w:rsidRPr="003B0637">
        <w:rPr>
          <w:color w:val="000000"/>
          <w:szCs w:val="26"/>
        </w:rPr>
        <w:t xml:space="preserve">PPL Energy Funding Corporation (“PPL EF”), </w:t>
      </w:r>
      <w:r w:rsidR="008840BE" w:rsidRPr="003B0637">
        <w:rPr>
          <w:color w:val="000000"/>
          <w:szCs w:val="26"/>
        </w:rPr>
        <w:t>(4)</w:t>
      </w:r>
      <w:r w:rsidR="008C0D3F" w:rsidRPr="003B0637">
        <w:rPr>
          <w:color w:val="000000"/>
          <w:szCs w:val="26"/>
        </w:rPr>
        <w:t> </w:t>
      </w:r>
      <w:r w:rsidR="008840BE" w:rsidRPr="003B0637">
        <w:rPr>
          <w:color w:val="000000"/>
          <w:szCs w:val="26"/>
        </w:rPr>
        <w:t>PPL Services Corporation, (5) PPL TransLink, Inc.</w:t>
      </w:r>
      <w:r w:rsidR="00D300D4">
        <w:rPr>
          <w:color w:val="000000"/>
          <w:szCs w:val="26"/>
        </w:rPr>
        <w:t>,</w:t>
      </w:r>
      <w:r w:rsidR="00F07E4F" w:rsidRPr="003B0637">
        <w:rPr>
          <w:color w:val="000000"/>
          <w:szCs w:val="26"/>
        </w:rPr>
        <w:t xml:space="preserve"> </w:t>
      </w:r>
      <w:r w:rsidR="008840BE" w:rsidRPr="003B0637">
        <w:rPr>
          <w:color w:val="000000"/>
          <w:szCs w:val="26"/>
        </w:rPr>
        <w:t>(6) PPL EU Services Corporation</w:t>
      </w:r>
      <w:r w:rsidR="00B76A79" w:rsidRPr="003B0637">
        <w:rPr>
          <w:color w:val="000000"/>
          <w:szCs w:val="26"/>
        </w:rPr>
        <w:t>,</w:t>
      </w:r>
      <w:r w:rsidR="00D300D4">
        <w:rPr>
          <w:color w:val="000000"/>
          <w:szCs w:val="26"/>
        </w:rPr>
        <w:t xml:space="preserve"> and (7) PPL EU,</w:t>
      </w:r>
      <w:r w:rsidR="00B76A79" w:rsidRPr="003B0637">
        <w:rPr>
          <w:color w:val="000000"/>
          <w:szCs w:val="26"/>
        </w:rPr>
        <w:t xml:space="preserve"> </w:t>
      </w:r>
      <w:r w:rsidR="00D31DD9" w:rsidRPr="003B0637">
        <w:rPr>
          <w:color w:val="000000"/>
          <w:szCs w:val="26"/>
        </w:rPr>
        <w:t>collectively</w:t>
      </w:r>
      <w:r w:rsidRPr="003B0637">
        <w:rPr>
          <w:color w:val="000000"/>
          <w:szCs w:val="26"/>
        </w:rPr>
        <w:t xml:space="preserve"> </w:t>
      </w:r>
      <w:r w:rsidR="00B76A79" w:rsidRPr="003B0637">
        <w:rPr>
          <w:color w:val="000000"/>
          <w:szCs w:val="26"/>
        </w:rPr>
        <w:t xml:space="preserve">referred to as </w:t>
      </w:r>
      <w:r w:rsidRPr="003B0637">
        <w:rPr>
          <w:color w:val="000000"/>
          <w:szCs w:val="26"/>
        </w:rPr>
        <w:t xml:space="preserve">the PPL Group.  </w:t>
      </w:r>
      <w:r w:rsidR="00D31DD9" w:rsidRPr="003B0637">
        <w:rPr>
          <w:szCs w:val="26"/>
        </w:rPr>
        <w:t>Application at 2; Exhibit A to Application.</w:t>
      </w:r>
      <w:r w:rsidR="00FA11CC" w:rsidRPr="003B0637">
        <w:rPr>
          <w:szCs w:val="26"/>
        </w:rPr>
        <w:t xml:space="preserve">  Organization Chart No. 1, below</w:t>
      </w:r>
      <w:r w:rsidR="00D37012" w:rsidRPr="003B0637">
        <w:rPr>
          <w:szCs w:val="26"/>
        </w:rPr>
        <w:t>,</w:t>
      </w:r>
      <w:r w:rsidR="00B76A79" w:rsidRPr="003B0637">
        <w:rPr>
          <w:szCs w:val="26"/>
        </w:rPr>
        <w:t xml:space="preserve"> shows </w:t>
      </w:r>
      <w:r w:rsidR="003274AF" w:rsidRPr="003B0637">
        <w:rPr>
          <w:szCs w:val="26"/>
        </w:rPr>
        <w:t xml:space="preserve">PPL Corporation’s current </w:t>
      </w:r>
      <w:r w:rsidR="004B5163" w:rsidRPr="003B0637">
        <w:rPr>
          <w:szCs w:val="26"/>
        </w:rPr>
        <w:t xml:space="preserve">organizational </w:t>
      </w:r>
      <w:r w:rsidR="003274AF" w:rsidRPr="003B0637">
        <w:rPr>
          <w:szCs w:val="26"/>
        </w:rPr>
        <w:t>structure</w:t>
      </w:r>
      <w:r w:rsidR="00FA11CC" w:rsidRPr="003B0637">
        <w:rPr>
          <w:szCs w:val="26"/>
        </w:rPr>
        <w:t>:</w:t>
      </w:r>
    </w:p>
    <w:p w14:paraId="18CABC36" w14:textId="77777777" w:rsidR="00AC01E7" w:rsidRPr="003B0637" w:rsidRDefault="00AC01E7" w:rsidP="00502FC8">
      <w:pPr>
        <w:autoSpaceDE w:val="0"/>
        <w:autoSpaceDN w:val="0"/>
        <w:adjustRightInd w:val="0"/>
        <w:rPr>
          <w:szCs w:val="26"/>
        </w:rPr>
      </w:pPr>
    </w:p>
    <w:p w14:paraId="34A31C1D" w14:textId="77777777" w:rsidR="00AC01E7" w:rsidRPr="003B0637" w:rsidRDefault="009F3B53" w:rsidP="00502FC8">
      <w:pPr>
        <w:autoSpaceDE w:val="0"/>
        <w:autoSpaceDN w:val="0"/>
        <w:adjustRightInd w:val="0"/>
        <w:ind w:firstLine="0"/>
        <w:jc w:val="center"/>
        <w:rPr>
          <w:noProof/>
        </w:rPr>
      </w:pPr>
      <w:r w:rsidRPr="003B0637">
        <w:rPr>
          <w:noProof/>
        </w:rPr>
        <w:drawing>
          <wp:inline distT="0" distB="0" distL="0" distR="0" wp14:anchorId="0A3C6F33" wp14:editId="4B82A157">
            <wp:extent cx="5943600" cy="3978910"/>
            <wp:effectExtent l="19050" t="19050" r="19050" b="215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1800" cy="3997788"/>
                    </a:xfrm>
                    <a:prstGeom prst="rect">
                      <a:avLst/>
                    </a:prstGeom>
                    <a:ln>
                      <a:solidFill>
                        <a:srgbClr val="002060"/>
                      </a:solidFill>
                    </a:ln>
                  </pic:spPr>
                </pic:pic>
              </a:graphicData>
            </a:graphic>
          </wp:inline>
        </w:drawing>
      </w:r>
    </w:p>
    <w:p w14:paraId="707A5CB9" w14:textId="77777777" w:rsidR="00AC01E7" w:rsidRPr="003B0637" w:rsidRDefault="00AA2D1A" w:rsidP="00313FD8">
      <w:pPr>
        <w:autoSpaceDE w:val="0"/>
        <w:autoSpaceDN w:val="0"/>
        <w:adjustRightInd w:val="0"/>
        <w:spacing w:line="240" w:lineRule="auto"/>
        <w:ind w:firstLine="0"/>
        <w:rPr>
          <w:noProof/>
          <w:szCs w:val="26"/>
        </w:rPr>
      </w:pPr>
      <w:r w:rsidRPr="003B0637">
        <w:rPr>
          <w:noProof/>
        </w:rPr>
        <w:t>Chart No. 1 – PPL Corporation’s Current Corporate Organization Structure (October 2017)</w:t>
      </w:r>
      <w:r w:rsidR="00313FD8">
        <w:rPr>
          <w:noProof/>
        </w:rPr>
        <w:t xml:space="preserve">;  </w:t>
      </w:r>
      <w:r w:rsidR="00BB1238" w:rsidRPr="003B0637">
        <w:rPr>
          <w:noProof/>
          <w:szCs w:val="26"/>
        </w:rPr>
        <w:t>Application, Exhibit A</w:t>
      </w:r>
      <w:r w:rsidR="00795C4E" w:rsidRPr="003B0637">
        <w:rPr>
          <w:noProof/>
          <w:szCs w:val="26"/>
        </w:rPr>
        <w:t xml:space="preserve"> at </w:t>
      </w:r>
      <w:r w:rsidR="00BB1238" w:rsidRPr="003B0637">
        <w:rPr>
          <w:noProof/>
          <w:szCs w:val="26"/>
        </w:rPr>
        <w:t>1.</w:t>
      </w:r>
    </w:p>
    <w:p w14:paraId="21441D65" w14:textId="77777777" w:rsidR="004B5163" w:rsidRPr="003B0637" w:rsidRDefault="004B5163" w:rsidP="00502FC8">
      <w:pPr>
        <w:autoSpaceDE w:val="0"/>
        <w:autoSpaceDN w:val="0"/>
        <w:adjustRightInd w:val="0"/>
        <w:ind w:firstLine="0"/>
        <w:rPr>
          <w:noProof/>
        </w:rPr>
      </w:pPr>
    </w:p>
    <w:p w14:paraId="4D286CA7" w14:textId="77777777" w:rsidR="00D31DD9" w:rsidRPr="003B0637" w:rsidRDefault="00D37012" w:rsidP="00502FC8">
      <w:pPr>
        <w:autoSpaceDE w:val="0"/>
        <w:autoSpaceDN w:val="0"/>
        <w:adjustRightInd w:val="0"/>
        <w:rPr>
          <w:color w:val="000000"/>
          <w:szCs w:val="26"/>
        </w:rPr>
      </w:pPr>
      <w:r w:rsidRPr="003B0637">
        <w:rPr>
          <w:szCs w:val="26"/>
        </w:rPr>
        <w:t>PPL EU noted in the</w:t>
      </w:r>
      <w:r w:rsidR="00B46833" w:rsidRPr="003B0637">
        <w:rPr>
          <w:szCs w:val="26"/>
        </w:rPr>
        <w:t xml:space="preserve"> Application </w:t>
      </w:r>
      <w:r w:rsidR="00D31DD9" w:rsidRPr="003B0637">
        <w:rPr>
          <w:szCs w:val="26"/>
        </w:rPr>
        <w:t>that PPL EF is a holding company that owns PPL Corporation’s interests in the electricity distributio</w:t>
      </w:r>
      <w:r w:rsidR="00B46833" w:rsidRPr="003B0637">
        <w:rPr>
          <w:szCs w:val="26"/>
        </w:rPr>
        <w:t>n business in the United Kingdom</w:t>
      </w:r>
      <w:r w:rsidR="00D31DD9" w:rsidRPr="003B0637">
        <w:rPr>
          <w:szCs w:val="26"/>
        </w:rPr>
        <w:t>.  PPL EF previously</w:t>
      </w:r>
      <w:r w:rsidR="00E27F55" w:rsidRPr="003B0637">
        <w:rPr>
          <w:szCs w:val="26"/>
        </w:rPr>
        <w:t xml:space="preserve"> owned PPL Corporation’s generation</w:t>
      </w:r>
      <w:r w:rsidR="00D31DD9" w:rsidRPr="003B0637">
        <w:rPr>
          <w:szCs w:val="26"/>
        </w:rPr>
        <w:t xml:space="preserve"> business prior to the 2015 spinoff of the generation assets to Talen Energy Corporation.  Application at </w:t>
      </w:r>
      <w:r w:rsidR="00E27F55" w:rsidRPr="003B0637">
        <w:rPr>
          <w:szCs w:val="26"/>
        </w:rPr>
        <w:t>2, 7</w:t>
      </w:r>
      <w:r w:rsidR="00D31DD9" w:rsidRPr="003B0637">
        <w:rPr>
          <w:szCs w:val="26"/>
        </w:rPr>
        <w:t xml:space="preserve">; </w:t>
      </w:r>
      <w:r w:rsidR="00C96F1E" w:rsidRPr="003B0637">
        <w:rPr>
          <w:i/>
          <w:szCs w:val="26"/>
        </w:rPr>
        <w:t>s</w:t>
      </w:r>
      <w:r w:rsidR="00D31DD9" w:rsidRPr="003B0637">
        <w:rPr>
          <w:i/>
          <w:szCs w:val="26"/>
        </w:rPr>
        <w:t>ee</w:t>
      </w:r>
      <w:r w:rsidR="00D31DD9" w:rsidRPr="003B0637">
        <w:rPr>
          <w:szCs w:val="26"/>
        </w:rPr>
        <w:t xml:space="preserve"> Docket Nos. A-2014-2435752 and A-2014-2435833.</w:t>
      </w:r>
    </w:p>
    <w:p w14:paraId="22DD2F04" w14:textId="77777777" w:rsidR="00A443A8" w:rsidRPr="003B0637" w:rsidRDefault="00A443A8" w:rsidP="00502FC8">
      <w:pPr>
        <w:autoSpaceDE w:val="0"/>
        <w:autoSpaceDN w:val="0"/>
        <w:adjustRightInd w:val="0"/>
        <w:ind w:firstLine="0"/>
        <w:rPr>
          <w:color w:val="000000"/>
          <w:szCs w:val="26"/>
        </w:rPr>
      </w:pPr>
    </w:p>
    <w:p w14:paraId="1A6178F5" w14:textId="77777777" w:rsidR="00DD5C6A" w:rsidRPr="003B0637" w:rsidRDefault="00B46833" w:rsidP="00502FC8">
      <w:pPr>
        <w:autoSpaceDE w:val="0"/>
        <w:autoSpaceDN w:val="0"/>
        <w:adjustRightInd w:val="0"/>
        <w:rPr>
          <w:szCs w:val="26"/>
        </w:rPr>
      </w:pPr>
      <w:r w:rsidRPr="003B0637">
        <w:rPr>
          <w:szCs w:val="26"/>
        </w:rPr>
        <w:lastRenderedPageBreak/>
        <w:t xml:space="preserve">After the </w:t>
      </w:r>
      <w:r w:rsidR="00C96F1E" w:rsidRPr="003B0637">
        <w:rPr>
          <w:szCs w:val="26"/>
        </w:rPr>
        <w:t>Proposed Restructuring</w:t>
      </w:r>
      <w:r w:rsidRPr="003B0637">
        <w:rPr>
          <w:szCs w:val="26"/>
        </w:rPr>
        <w:t xml:space="preserve">, PPL Capital Funding, Inc. will remain a direct subsidiary of PPL Corporation, but </w:t>
      </w:r>
      <w:r w:rsidR="00564130" w:rsidRPr="003B0637">
        <w:rPr>
          <w:szCs w:val="26"/>
        </w:rPr>
        <w:t>PPL EU</w:t>
      </w:r>
      <w:r w:rsidRPr="003B0637">
        <w:rPr>
          <w:szCs w:val="26"/>
        </w:rPr>
        <w:t xml:space="preserve">, PPL EF and </w:t>
      </w:r>
      <w:r w:rsidR="004B5163" w:rsidRPr="003B0637">
        <w:rPr>
          <w:szCs w:val="26"/>
        </w:rPr>
        <w:t xml:space="preserve">the </w:t>
      </w:r>
      <w:r w:rsidRPr="003B0637">
        <w:rPr>
          <w:szCs w:val="26"/>
        </w:rPr>
        <w:t>other subsidiaries will become indirect subsidiaries of PPL Corporation.</w:t>
      </w:r>
      <w:r w:rsidR="00E27F55" w:rsidRPr="003B0637">
        <w:rPr>
          <w:szCs w:val="26"/>
        </w:rPr>
        <w:t xml:space="preserve"> </w:t>
      </w:r>
      <w:r w:rsidRPr="003B0637">
        <w:rPr>
          <w:szCs w:val="26"/>
        </w:rPr>
        <w:t xml:space="preserve"> </w:t>
      </w:r>
      <w:r w:rsidR="00E92FEC" w:rsidRPr="003B0637">
        <w:rPr>
          <w:color w:val="000000"/>
          <w:szCs w:val="26"/>
        </w:rPr>
        <w:t xml:space="preserve">As explained in </w:t>
      </w:r>
      <w:r w:rsidR="00D37012" w:rsidRPr="003B0637">
        <w:rPr>
          <w:color w:val="000000"/>
          <w:szCs w:val="26"/>
        </w:rPr>
        <w:t>the</w:t>
      </w:r>
      <w:r w:rsidR="006763A9" w:rsidRPr="003B0637">
        <w:rPr>
          <w:color w:val="000000"/>
          <w:szCs w:val="26"/>
        </w:rPr>
        <w:t xml:space="preserve"> </w:t>
      </w:r>
      <w:r w:rsidR="001B66DB" w:rsidRPr="003B0637">
        <w:rPr>
          <w:color w:val="000000"/>
          <w:szCs w:val="26"/>
        </w:rPr>
        <w:t>A</w:t>
      </w:r>
      <w:r w:rsidR="006763A9" w:rsidRPr="003B0637">
        <w:rPr>
          <w:color w:val="000000"/>
          <w:szCs w:val="26"/>
        </w:rPr>
        <w:t xml:space="preserve">pplication, </w:t>
      </w:r>
      <w:r w:rsidR="00E27F55" w:rsidRPr="003B0637">
        <w:rPr>
          <w:color w:val="000000"/>
          <w:szCs w:val="26"/>
        </w:rPr>
        <w:t>i</w:t>
      </w:r>
      <w:r w:rsidR="000E6E60" w:rsidRPr="003B0637">
        <w:rPr>
          <w:color w:val="000000"/>
          <w:szCs w:val="26"/>
        </w:rPr>
        <w:t xml:space="preserve">n the first step, PPL Corporation will form </w:t>
      </w:r>
      <w:r w:rsidR="006763A9" w:rsidRPr="003B0637">
        <w:rPr>
          <w:color w:val="000000"/>
          <w:szCs w:val="26"/>
        </w:rPr>
        <w:t xml:space="preserve">two new </w:t>
      </w:r>
      <w:r w:rsidR="000E6E60" w:rsidRPr="003B0637">
        <w:rPr>
          <w:color w:val="000000"/>
          <w:szCs w:val="26"/>
        </w:rPr>
        <w:t xml:space="preserve">Delaware </w:t>
      </w:r>
      <w:r w:rsidR="00C54B7E" w:rsidRPr="003B0637">
        <w:rPr>
          <w:color w:val="000000"/>
          <w:szCs w:val="26"/>
        </w:rPr>
        <w:t>h</w:t>
      </w:r>
      <w:r w:rsidR="006763A9" w:rsidRPr="003B0637">
        <w:rPr>
          <w:color w:val="000000"/>
          <w:szCs w:val="26"/>
        </w:rPr>
        <w:t xml:space="preserve">olding </w:t>
      </w:r>
      <w:r w:rsidR="00C54B7E" w:rsidRPr="003B0637">
        <w:rPr>
          <w:szCs w:val="26"/>
        </w:rPr>
        <w:t>c</w:t>
      </w:r>
      <w:r w:rsidR="006763A9" w:rsidRPr="003B0637">
        <w:rPr>
          <w:szCs w:val="26"/>
        </w:rPr>
        <w:t>ompanies,</w:t>
      </w:r>
      <w:r w:rsidR="00003D90" w:rsidRPr="003B0637">
        <w:rPr>
          <w:szCs w:val="26"/>
        </w:rPr>
        <w:t xml:space="preserve"> “Newco</w:t>
      </w:r>
      <w:r w:rsidR="00983EA0" w:rsidRPr="003B0637">
        <w:rPr>
          <w:szCs w:val="26"/>
        </w:rPr>
        <w:t> </w:t>
      </w:r>
      <w:r w:rsidR="00003D90" w:rsidRPr="003B0637">
        <w:rPr>
          <w:szCs w:val="26"/>
        </w:rPr>
        <w:t>1” and “Newco 2.”  Newco 1 will be owned directly by PPL Corporation and Newco 2 will be owned directly by Newco 1.</w:t>
      </w:r>
      <w:r w:rsidR="00524592" w:rsidRPr="003B0637">
        <w:rPr>
          <w:szCs w:val="26"/>
        </w:rPr>
        <w:t xml:space="preserve"> </w:t>
      </w:r>
      <w:r w:rsidR="009C23D0" w:rsidRPr="003B0637">
        <w:rPr>
          <w:szCs w:val="26"/>
        </w:rPr>
        <w:t xml:space="preserve"> I</w:t>
      </w:r>
      <w:r w:rsidR="00003D90" w:rsidRPr="003B0637">
        <w:rPr>
          <w:szCs w:val="26"/>
        </w:rPr>
        <w:t xml:space="preserve">n the second step, PPL Corporation will contribute all of the interests it holds in </w:t>
      </w:r>
      <w:r w:rsidR="00564130" w:rsidRPr="003B0637">
        <w:rPr>
          <w:szCs w:val="26"/>
        </w:rPr>
        <w:t>PPL EU</w:t>
      </w:r>
      <w:r w:rsidRPr="003B0637">
        <w:rPr>
          <w:szCs w:val="26"/>
        </w:rPr>
        <w:t xml:space="preserve"> </w:t>
      </w:r>
      <w:r w:rsidR="00003D90" w:rsidRPr="003B0637">
        <w:rPr>
          <w:szCs w:val="26"/>
        </w:rPr>
        <w:t xml:space="preserve">and </w:t>
      </w:r>
      <w:r w:rsidR="006763A9" w:rsidRPr="003B0637">
        <w:rPr>
          <w:szCs w:val="26"/>
        </w:rPr>
        <w:t xml:space="preserve">certain other subsidiaries </w:t>
      </w:r>
      <w:r w:rsidR="00003D90" w:rsidRPr="003B0637">
        <w:rPr>
          <w:szCs w:val="26"/>
        </w:rPr>
        <w:t xml:space="preserve">to Newco 1.  </w:t>
      </w:r>
      <w:r w:rsidR="0018605D" w:rsidRPr="003B0637">
        <w:rPr>
          <w:szCs w:val="26"/>
        </w:rPr>
        <w:t>Newco 1 will then contribute all of the shares received from PPL Corporation to Newco 2</w:t>
      </w:r>
      <w:r w:rsidR="00EE6C72" w:rsidRPr="003B0637">
        <w:rPr>
          <w:szCs w:val="26"/>
        </w:rPr>
        <w:t xml:space="preserve">.  </w:t>
      </w:r>
      <w:bookmarkStart w:id="3" w:name="_Hlk2592995"/>
      <w:r w:rsidR="00003D90" w:rsidRPr="003B0637">
        <w:rPr>
          <w:szCs w:val="26"/>
        </w:rPr>
        <w:t xml:space="preserve">Newco 1 will be named PPL Subsidiary Holdings, LLC and Newco 2 will be named PPL Energy Holdings, LLC.  </w:t>
      </w:r>
      <w:bookmarkEnd w:id="3"/>
      <w:r w:rsidR="003B2E02" w:rsidRPr="003B0637">
        <w:rPr>
          <w:szCs w:val="26"/>
        </w:rPr>
        <w:t xml:space="preserve">Application </w:t>
      </w:r>
      <w:r w:rsidRPr="003B0637">
        <w:rPr>
          <w:szCs w:val="26"/>
        </w:rPr>
        <w:t>at 2-3; Exhibit B to Application.</w:t>
      </w:r>
      <w:r w:rsidR="00DD5C6A" w:rsidRPr="003B0637">
        <w:rPr>
          <w:szCs w:val="26"/>
        </w:rPr>
        <w:t xml:space="preserve">  </w:t>
      </w:r>
      <w:r w:rsidR="00975EAD" w:rsidRPr="003B0637">
        <w:rPr>
          <w:szCs w:val="26"/>
        </w:rPr>
        <w:t>See Chart No. 2, below.</w:t>
      </w:r>
    </w:p>
    <w:p w14:paraId="286A13F1" w14:textId="77777777" w:rsidR="00975EAD" w:rsidRPr="003B0637" w:rsidRDefault="00975EAD" w:rsidP="00502FC8">
      <w:pPr>
        <w:autoSpaceDE w:val="0"/>
        <w:autoSpaceDN w:val="0"/>
        <w:adjustRightInd w:val="0"/>
        <w:rPr>
          <w:szCs w:val="26"/>
        </w:rPr>
      </w:pPr>
    </w:p>
    <w:p w14:paraId="088BBC3A" w14:textId="77777777" w:rsidR="00975EAD" w:rsidRPr="003B0637" w:rsidRDefault="00DE287F" w:rsidP="00502FC8">
      <w:pPr>
        <w:autoSpaceDE w:val="0"/>
        <w:autoSpaceDN w:val="0"/>
        <w:adjustRightInd w:val="0"/>
        <w:ind w:firstLine="0"/>
        <w:rPr>
          <w:szCs w:val="26"/>
        </w:rPr>
      </w:pPr>
      <w:r w:rsidRPr="003B0637">
        <w:rPr>
          <w:noProof/>
        </w:rPr>
        <w:drawing>
          <wp:inline distT="0" distB="0" distL="0" distR="0" wp14:anchorId="6D745EB6" wp14:editId="24624E0D">
            <wp:extent cx="5943600" cy="3985895"/>
            <wp:effectExtent l="19050" t="19050" r="1905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985895"/>
                    </a:xfrm>
                    <a:prstGeom prst="rect">
                      <a:avLst/>
                    </a:prstGeom>
                    <a:ln>
                      <a:solidFill>
                        <a:sysClr val="windowText" lastClr="000000"/>
                      </a:solidFill>
                    </a:ln>
                  </pic:spPr>
                </pic:pic>
              </a:graphicData>
            </a:graphic>
          </wp:inline>
        </w:drawing>
      </w:r>
    </w:p>
    <w:p w14:paraId="73C0AEF8" w14:textId="77777777" w:rsidR="00DE287F" w:rsidRPr="003B0637" w:rsidRDefault="00DE287F" w:rsidP="00313FD8">
      <w:pPr>
        <w:autoSpaceDE w:val="0"/>
        <w:autoSpaceDN w:val="0"/>
        <w:adjustRightInd w:val="0"/>
        <w:spacing w:line="240" w:lineRule="auto"/>
        <w:ind w:firstLine="0"/>
        <w:rPr>
          <w:szCs w:val="26"/>
        </w:rPr>
      </w:pPr>
      <w:r w:rsidRPr="003B0637">
        <w:rPr>
          <w:noProof/>
        </w:rPr>
        <w:t>Chart No. 2 – PPL Corporation’s Proposed Corporate Organization Structure (October 2017)</w:t>
      </w:r>
      <w:r w:rsidR="00313FD8">
        <w:rPr>
          <w:noProof/>
        </w:rPr>
        <w:t xml:space="preserve">; </w:t>
      </w:r>
      <w:r w:rsidRPr="003B0637">
        <w:rPr>
          <w:noProof/>
          <w:szCs w:val="26"/>
        </w:rPr>
        <w:t xml:space="preserve">Application, Exhibit </w:t>
      </w:r>
      <w:r w:rsidR="00545F30" w:rsidRPr="003B0637">
        <w:rPr>
          <w:noProof/>
          <w:szCs w:val="26"/>
        </w:rPr>
        <w:t>B</w:t>
      </w:r>
      <w:r w:rsidRPr="003B0637">
        <w:rPr>
          <w:noProof/>
          <w:szCs w:val="26"/>
        </w:rPr>
        <w:t xml:space="preserve"> at 1.</w:t>
      </w:r>
    </w:p>
    <w:p w14:paraId="42055F3F" w14:textId="77777777" w:rsidR="00DD5C6A" w:rsidRPr="003B0637" w:rsidRDefault="00DD5C6A" w:rsidP="00502FC8">
      <w:pPr>
        <w:autoSpaceDE w:val="0"/>
        <w:autoSpaceDN w:val="0"/>
        <w:adjustRightInd w:val="0"/>
        <w:rPr>
          <w:szCs w:val="26"/>
        </w:rPr>
      </w:pPr>
    </w:p>
    <w:p w14:paraId="6323D72A" w14:textId="77777777" w:rsidR="00003D90" w:rsidRPr="003B0637" w:rsidRDefault="00564130" w:rsidP="00502FC8">
      <w:pPr>
        <w:autoSpaceDE w:val="0"/>
        <w:autoSpaceDN w:val="0"/>
        <w:adjustRightInd w:val="0"/>
        <w:rPr>
          <w:szCs w:val="26"/>
        </w:rPr>
      </w:pPr>
      <w:r w:rsidRPr="003B0637">
        <w:rPr>
          <w:szCs w:val="26"/>
        </w:rPr>
        <w:lastRenderedPageBreak/>
        <w:t>PPL EU</w:t>
      </w:r>
      <w:r w:rsidR="00DD5C6A" w:rsidRPr="003B0637">
        <w:rPr>
          <w:szCs w:val="26"/>
        </w:rPr>
        <w:t xml:space="preserve"> </w:t>
      </w:r>
      <w:r w:rsidR="00956759" w:rsidRPr="003B0637">
        <w:rPr>
          <w:szCs w:val="26"/>
        </w:rPr>
        <w:t>will</w:t>
      </w:r>
      <w:r w:rsidR="00DD5C6A" w:rsidRPr="003B0637">
        <w:rPr>
          <w:szCs w:val="26"/>
        </w:rPr>
        <w:t xml:space="preserve"> go from being a wholly-owned direct subsidiary of PPL Corporation</w:t>
      </w:r>
      <w:r w:rsidR="009415EF" w:rsidRPr="003B0637">
        <w:rPr>
          <w:szCs w:val="26"/>
        </w:rPr>
        <w:t xml:space="preserve"> before the </w:t>
      </w:r>
      <w:r w:rsidR="00C96F1E" w:rsidRPr="003B0637">
        <w:rPr>
          <w:szCs w:val="26"/>
        </w:rPr>
        <w:t>Proposed Restructuring</w:t>
      </w:r>
      <w:r w:rsidR="00DD5C6A" w:rsidRPr="003B0637">
        <w:rPr>
          <w:szCs w:val="26"/>
        </w:rPr>
        <w:t xml:space="preserve"> to a wholly-owned</w:t>
      </w:r>
      <w:r w:rsidR="009415EF" w:rsidRPr="003B0637">
        <w:rPr>
          <w:szCs w:val="26"/>
        </w:rPr>
        <w:t xml:space="preserve"> indirect subsidiary of PPL Corporation after the </w:t>
      </w:r>
      <w:r w:rsidR="00C96F1E" w:rsidRPr="003B0637">
        <w:rPr>
          <w:szCs w:val="26"/>
        </w:rPr>
        <w:t>Proposed Restructuring</w:t>
      </w:r>
      <w:r w:rsidR="009415EF" w:rsidRPr="003B0637">
        <w:rPr>
          <w:szCs w:val="26"/>
        </w:rPr>
        <w:t xml:space="preserve">.  After the </w:t>
      </w:r>
      <w:r w:rsidR="00C96F1E" w:rsidRPr="003B0637">
        <w:rPr>
          <w:szCs w:val="26"/>
        </w:rPr>
        <w:t>Proposed Restructuring</w:t>
      </w:r>
      <w:r w:rsidR="009415EF" w:rsidRPr="003B0637">
        <w:rPr>
          <w:szCs w:val="26"/>
        </w:rPr>
        <w:t xml:space="preserve">, </w:t>
      </w:r>
      <w:r w:rsidR="002B0A14" w:rsidRPr="003B0637">
        <w:rPr>
          <w:szCs w:val="26"/>
        </w:rPr>
        <w:t>two new holding companies, PPL Subsidiary Holdings, LLC (Newco 1) and PPL Energy Holdings, LLC (Newco 2), w</w:t>
      </w:r>
      <w:r w:rsidR="00956759" w:rsidRPr="003B0637">
        <w:rPr>
          <w:szCs w:val="26"/>
        </w:rPr>
        <w:t xml:space="preserve">ill </w:t>
      </w:r>
      <w:r w:rsidR="002B0A14" w:rsidRPr="003B0637">
        <w:rPr>
          <w:szCs w:val="26"/>
        </w:rPr>
        <w:t xml:space="preserve">be placed between PPL Corporation and </w:t>
      </w:r>
      <w:r w:rsidRPr="003B0637">
        <w:rPr>
          <w:szCs w:val="26"/>
        </w:rPr>
        <w:t>PPL EU</w:t>
      </w:r>
      <w:r w:rsidR="00DD5C6A" w:rsidRPr="003B0637">
        <w:rPr>
          <w:szCs w:val="26"/>
        </w:rPr>
        <w:t>.  Application at 3; Exhibit B to Application.</w:t>
      </w:r>
      <w:r w:rsidR="00E27F55" w:rsidRPr="003B0637">
        <w:rPr>
          <w:szCs w:val="26"/>
        </w:rPr>
        <w:t xml:space="preserve">  The Application stated that the </w:t>
      </w:r>
      <w:r w:rsidR="00C96F1E" w:rsidRPr="003B0637">
        <w:rPr>
          <w:szCs w:val="26"/>
        </w:rPr>
        <w:t>Proposed Restructuring</w:t>
      </w:r>
      <w:r w:rsidR="00E27F55" w:rsidRPr="003B0637">
        <w:rPr>
          <w:szCs w:val="26"/>
        </w:rPr>
        <w:t xml:space="preserve"> involves no change in PPL Corporation’s ultimate control of </w:t>
      </w:r>
      <w:r w:rsidRPr="003B0637">
        <w:rPr>
          <w:szCs w:val="26"/>
        </w:rPr>
        <w:t>PPL EU</w:t>
      </w:r>
      <w:r w:rsidR="00E27F55" w:rsidRPr="003B0637">
        <w:rPr>
          <w:szCs w:val="26"/>
        </w:rPr>
        <w:t xml:space="preserve"> or any of the other entities involved. </w:t>
      </w:r>
      <w:r w:rsidR="009415EF" w:rsidRPr="003B0637">
        <w:rPr>
          <w:szCs w:val="26"/>
        </w:rPr>
        <w:t xml:space="preserve"> Application at 3.  T</w:t>
      </w:r>
      <w:r w:rsidR="003B2E02" w:rsidRPr="003B0637">
        <w:rPr>
          <w:szCs w:val="26"/>
        </w:rPr>
        <w:t>he Application</w:t>
      </w:r>
      <w:r w:rsidR="009415EF" w:rsidRPr="003B0637">
        <w:rPr>
          <w:szCs w:val="26"/>
        </w:rPr>
        <w:t xml:space="preserve"> also</w:t>
      </w:r>
      <w:r w:rsidR="00DD5C6A" w:rsidRPr="003B0637">
        <w:rPr>
          <w:szCs w:val="26"/>
        </w:rPr>
        <w:t xml:space="preserve"> stated</w:t>
      </w:r>
      <w:r w:rsidR="003B2E02" w:rsidRPr="003B0637">
        <w:rPr>
          <w:szCs w:val="26"/>
        </w:rPr>
        <w:t xml:space="preserve"> that there will be no changes in</w:t>
      </w:r>
      <w:r w:rsidR="00AD4950" w:rsidRPr="003B0637">
        <w:rPr>
          <w:szCs w:val="26"/>
        </w:rPr>
        <w:t xml:space="preserve"> </w:t>
      </w:r>
      <w:r w:rsidR="003B2E02" w:rsidRPr="003B0637">
        <w:rPr>
          <w:szCs w:val="26"/>
        </w:rPr>
        <w:t xml:space="preserve">the management or operations of </w:t>
      </w:r>
      <w:r w:rsidRPr="003B0637">
        <w:rPr>
          <w:szCs w:val="26"/>
        </w:rPr>
        <w:t>PPL EU</w:t>
      </w:r>
      <w:r w:rsidR="009415EF" w:rsidRPr="003B0637">
        <w:rPr>
          <w:szCs w:val="26"/>
        </w:rPr>
        <w:t xml:space="preserve"> and, accordingly, there </w:t>
      </w:r>
      <w:r w:rsidR="00D37012" w:rsidRPr="003B0637">
        <w:rPr>
          <w:szCs w:val="26"/>
        </w:rPr>
        <w:t>will be</w:t>
      </w:r>
      <w:r w:rsidR="009415EF" w:rsidRPr="003B0637">
        <w:rPr>
          <w:szCs w:val="26"/>
        </w:rPr>
        <w:t xml:space="preserve"> no change in control.  Application at 3.</w:t>
      </w:r>
    </w:p>
    <w:p w14:paraId="710259F2" w14:textId="77777777" w:rsidR="009C23D0" w:rsidRPr="003B0637" w:rsidRDefault="009C23D0" w:rsidP="00502FC8">
      <w:pPr>
        <w:autoSpaceDE w:val="0"/>
        <w:autoSpaceDN w:val="0"/>
        <w:adjustRightInd w:val="0"/>
        <w:ind w:firstLine="0"/>
        <w:rPr>
          <w:szCs w:val="26"/>
        </w:rPr>
      </w:pPr>
    </w:p>
    <w:p w14:paraId="02418424" w14:textId="18F6AC05" w:rsidR="005E1830" w:rsidRDefault="00AD4950" w:rsidP="00502FC8">
      <w:pPr>
        <w:autoSpaceDE w:val="0"/>
        <w:autoSpaceDN w:val="0"/>
        <w:adjustRightInd w:val="0"/>
        <w:rPr>
          <w:szCs w:val="26"/>
        </w:rPr>
      </w:pPr>
      <w:r w:rsidRPr="003B0637">
        <w:rPr>
          <w:szCs w:val="26"/>
        </w:rPr>
        <w:t xml:space="preserve">The stated purpose </w:t>
      </w:r>
      <w:r w:rsidR="001F0DAF" w:rsidRPr="003B0637">
        <w:rPr>
          <w:szCs w:val="26"/>
        </w:rPr>
        <w:t xml:space="preserve">in the Application </w:t>
      </w:r>
      <w:r w:rsidRPr="003B0637">
        <w:rPr>
          <w:szCs w:val="26"/>
        </w:rPr>
        <w:t>of the Proposed Restructur</w:t>
      </w:r>
      <w:r w:rsidR="00BF1B77" w:rsidRPr="003B0637">
        <w:rPr>
          <w:szCs w:val="26"/>
        </w:rPr>
        <w:t>ing</w:t>
      </w:r>
      <w:r w:rsidRPr="003B0637">
        <w:rPr>
          <w:szCs w:val="26"/>
        </w:rPr>
        <w:t xml:space="preserve"> is to allow PPL Corporation to effectively manage the movement of cash within the PPL Group.  </w:t>
      </w:r>
      <w:r w:rsidR="001F0DAF" w:rsidRPr="003B0637">
        <w:rPr>
          <w:szCs w:val="26"/>
        </w:rPr>
        <w:t>As explained in the Application, i</w:t>
      </w:r>
      <w:r w:rsidRPr="003B0637">
        <w:rPr>
          <w:szCs w:val="26"/>
        </w:rPr>
        <w:t xml:space="preserve">n order to fund capital expenditures as well as dividends to shareholders of PPL Corporation, subsidiaries of PPL Corporation must regularly distribute cash to PPL Corporation.  In its existing structure, </w:t>
      </w:r>
      <w:r w:rsidR="004C4FD6" w:rsidRPr="003B0637">
        <w:rPr>
          <w:szCs w:val="26"/>
        </w:rPr>
        <w:t xml:space="preserve">PPL Corporation is </w:t>
      </w:r>
      <w:r w:rsidRPr="003B0637">
        <w:rPr>
          <w:szCs w:val="26"/>
        </w:rPr>
        <w:t xml:space="preserve">faced with potential future limitations on </w:t>
      </w:r>
      <w:r w:rsidR="004C4FD6" w:rsidRPr="003B0637">
        <w:rPr>
          <w:szCs w:val="26"/>
        </w:rPr>
        <w:t xml:space="preserve">its ability to distribute cash from certain of its subsidiaries </w:t>
      </w:r>
      <w:r w:rsidR="00863754" w:rsidRPr="003B0637">
        <w:rPr>
          <w:szCs w:val="26"/>
        </w:rPr>
        <w:t xml:space="preserve">without creating negative </w:t>
      </w:r>
      <w:r w:rsidR="00D300D4">
        <w:rPr>
          <w:szCs w:val="26"/>
        </w:rPr>
        <w:t>f</w:t>
      </w:r>
      <w:r w:rsidR="00863754" w:rsidRPr="003B0637">
        <w:rPr>
          <w:szCs w:val="26"/>
        </w:rPr>
        <w:t xml:space="preserve">ederal or </w:t>
      </w:r>
      <w:r w:rsidR="00D300D4">
        <w:rPr>
          <w:szCs w:val="26"/>
        </w:rPr>
        <w:t>s</w:t>
      </w:r>
      <w:r w:rsidR="00863754" w:rsidRPr="003B0637">
        <w:rPr>
          <w:szCs w:val="26"/>
        </w:rPr>
        <w:t xml:space="preserve">tate income consequences due to limited tax basis in those subsidiaries.  </w:t>
      </w:r>
      <w:r w:rsidRPr="003B0637">
        <w:rPr>
          <w:szCs w:val="26"/>
        </w:rPr>
        <w:t xml:space="preserve">More specifically, to the extent that such distributions exceed accumulated earnings and profits, the distributions will be characterized as returns of basis to the extent thereof and then as capital gains.  While returns of basis are “tax neutral” from both a </w:t>
      </w:r>
      <w:r w:rsidR="00D300D4">
        <w:rPr>
          <w:szCs w:val="26"/>
        </w:rPr>
        <w:t>f</w:t>
      </w:r>
      <w:r w:rsidRPr="003B0637">
        <w:rPr>
          <w:szCs w:val="26"/>
        </w:rPr>
        <w:t xml:space="preserve">ederal and </w:t>
      </w:r>
      <w:r w:rsidR="00D300D4">
        <w:rPr>
          <w:szCs w:val="26"/>
        </w:rPr>
        <w:t>s</w:t>
      </w:r>
      <w:r w:rsidRPr="003B0637">
        <w:rPr>
          <w:szCs w:val="26"/>
        </w:rPr>
        <w:t xml:space="preserve">tate income tax perspective, capital gains may trigger a tax cost.  </w:t>
      </w:r>
      <w:r w:rsidR="001F0DAF" w:rsidRPr="003B0637">
        <w:rPr>
          <w:szCs w:val="26"/>
        </w:rPr>
        <w:t>A</w:t>
      </w:r>
      <w:r w:rsidRPr="003B0637">
        <w:rPr>
          <w:szCs w:val="26"/>
        </w:rPr>
        <w:t xml:space="preserve">ccording to PPL’s Application, </w:t>
      </w:r>
      <w:r w:rsidR="001F0DAF" w:rsidRPr="003B0637">
        <w:rPr>
          <w:szCs w:val="26"/>
        </w:rPr>
        <w:t xml:space="preserve">this cost </w:t>
      </w:r>
      <w:r w:rsidRPr="003B0637">
        <w:rPr>
          <w:szCs w:val="26"/>
        </w:rPr>
        <w:t xml:space="preserve">poses a clear impediment on the PPL Group’s options for efficiently mobilizing cash to serve its needs.  </w:t>
      </w:r>
      <w:r w:rsidR="00D6761C" w:rsidRPr="003B0637">
        <w:rPr>
          <w:szCs w:val="26"/>
        </w:rPr>
        <w:t xml:space="preserve">However, according to PPL, the </w:t>
      </w:r>
      <w:r w:rsidR="00C96F1E" w:rsidRPr="003B0637">
        <w:rPr>
          <w:szCs w:val="26"/>
        </w:rPr>
        <w:t>Proposed Restructuring</w:t>
      </w:r>
      <w:r w:rsidR="00D6761C" w:rsidRPr="003B0637">
        <w:rPr>
          <w:szCs w:val="26"/>
        </w:rPr>
        <w:t xml:space="preserve"> significantly mitigates this potential cost by consolidating the tax basis of the relevant subsidiaries within both Newco</w:t>
      </w:r>
      <w:r w:rsidR="002558E6" w:rsidRPr="003B0637">
        <w:rPr>
          <w:szCs w:val="26"/>
        </w:rPr>
        <w:t xml:space="preserve"> </w:t>
      </w:r>
      <w:r w:rsidR="00D6761C" w:rsidRPr="003B0637">
        <w:rPr>
          <w:szCs w:val="26"/>
        </w:rPr>
        <w:t>1 and Newco</w:t>
      </w:r>
      <w:r w:rsidR="00597B7A" w:rsidRPr="003B0637">
        <w:rPr>
          <w:szCs w:val="26"/>
        </w:rPr>
        <w:t xml:space="preserve"> </w:t>
      </w:r>
      <w:r w:rsidR="00D6761C" w:rsidRPr="003B0637">
        <w:rPr>
          <w:szCs w:val="26"/>
        </w:rPr>
        <w:t xml:space="preserve">2.  In turn, this proposed new structure will allow for more </w:t>
      </w:r>
    </w:p>
    <w:p w14:paraId="267709DC" w14:textId="77777777" w:rsidR="00815475" w:rsidRPr="003B0637" w:rsidRDefault="00D6761C" w:rsidP="005E1830">
      <w:pPr>
        <w:autoSpaceDE w:val="0"/>
        <w:autoSpaceDN w:val="0"/>
        <w:adjustRightInd w:val="0"/>
        <w:ind w:firstLine="0"/>
        <w:rPr>
          <w:szCs w:val="26"/>
        </w:rPr>
      </w:pPr>
      <w:r w:rsidRPr="003B0637">
        <w:rPr>
          <w:szCs w:val="26"/>
        </w:rPr>
        <w:t>flexibility in making future cash distributions without triggering a negative t</w:t>
      </w:r>
      <w:r w:rsidR="00815475" w:rsidRPr="003B0637">
        <w:rPr>
          <w:szCs w:val="26"/>
        </w:rPr>
        <w:t>ax impact.  Application at 6.</w:t>
      </w:r>
    </w:p>
    <w:p w14:paraId="3FC1F9EB" w14:textId="77777777" w:rsidR="00815475" w:rsidRPr="003B0637" w:rsidRDefault="00815475" w:rsidP="005E1830">
      <w:pPr>
        <w:keepNext/>
        <w:keepLines/>
        <w:autoSpaceDE w:val="0"/>
        <w:autoSpaceDN w:val="0"/>
        <w:adjustRightInd w:val="0"/>
        <w:rPr>
          <w:szCs w:val="26"/>
        </w:rPr>
      </w:pPr>
    </w:p>
    <w:p w14:paraId="0F9D714F" w14:textId="77777777" w:rsidR="00D6761C" w:rsidRPr="003B0637" w:rsidRDefault="005E36B4" w:rsidP="00502FC8">
      <w:pPr>
        <w:autoSpaceDE w:val="0"/>
        <w:autoSpaceDN w:val="0"/>
        <w:adjustRightInd w:val="0"/>
        <w:rPr>
          <w:szCs w:val="26"/>
        </w:rPr>
      </w:pPr>
      <w:r w:rsidRPr="003B0637">
        <w:rPr>
          <w:szCs w:val="26"/>
        </w:rPr>
        <w:t xml:space="preserve">As for the benefits of the </w:t>
      </w:r>
      <w:r w:rsidR="00C96F1E" w:rsidRPr="003B0637">
        <w:rPr>
          <w:szCs w:val="26"/>
        </w:rPr>
        <w:t>Proposed Restructuring</w:t>
      </w:r>
      <w:r w:rsidRPr="003B0637">
        <w:rPr>
          <w:szCs w:val="26"/>
        </w:rPr>
        <w:t xml:space="preserve">, </w:t>
      </w:r>
      <w:r w:rsidR="00D6761C" w:rsidRPr="003B0637">
        <w:rPr>
          <w:szCs w:val="26"/>
        </w:rPr>
        <w:t xml:space="preserve">PPL Corporation believes the proposed structure </w:t>
      </w:r>
      <w:r w:rsidR="002558E6" w:rsidRPr="003B0637">
        <w:rPr>
          <w:szCs w:val="26"/>
        </w:rPr>
        <w:t xml:space="preserve">will make </w:t>
      </w:r>
      <w:r w:rsidR="00D6761C" w:rsidRPr="003B0637">
        <w:rPr>
          <w:szCs w:val="26"/>
        </w:rPr>
        <w:t>operating its</w:t>
      </w:r>
      <w:r w:rsidR="00815475" w:rsidRPr="003B0637">
        <w:rPr>
          <w:szCs w:val="26"/>
        </w:rPr>
        <w:t xml:space="preserve"> </w:t>
      </w:r>
      <w:r w:rsidR="00D6761C" w:rsidRPr="003B0637">
        <w:rPr>
          <w:szCs w:val="26"/>
        </w:rPr>
        <w:t>regulated businesses</w:t>
      </w:r>
      <w:r w:rsidR="002558E6" w:rsidRPr="003B0637">
        <w:rPr>
          <w:szCs w:val="26"/>
        </w:rPr>
        <w:t xml:space="preserve"> more effective</w:t>
      </w:r>
      <w:r w:rsidR="00D6761C" w:rsidRPr="003B0637">
        <w:rPr>
          <w:szCs w:val="26"/>
        </w:rPr>
        <w:t xml:space="preserve">.  </w:t>
      </w:r>
      <w:r w:rsidR="006763A9" w:rsidRPr="003B0637">
        <w:rPr>
          <w:szCs w:val="26"/>
        </w:rPr>
        <w:t xml:space="preserve">PPL Corporation </w:t>
      </w:r>
      <w:r w:rsidR="00D6761C" w:rsidRPr="003B0637">
        <w:rPr>
          <w:szCs w:val="26"/>
        </w:rPr>
        <w:t>will be positioned as a pure holding company.  I</w:t>
      </w:r>
      <w:r w:rsidR="006763A9" w:rsidRPr="003B0637">
        <w:rPr>
          <w:szCs w:val="26"/>
        </w:rPr>
        <w:t>ntercompany financing</w:t>
      </w:r>
      <w:r w:rsidR="00D6761C" w:rsidRPr="003B0637">
        <w:rPr>
          <w:szCs w:val="26"/>
        </w:rPr>
        <w:t xml:space="preserve">, including </w:t>
      </w:r>
      <w:r w:rsidR="002558E6" w:rsidRPr="003B0637">
        <w:rPr>
          <w:szCs w:val="26"/>
        </w:rPr>
        <w:t xml:space="preserve">management of </w:t>
      </w:r>
      <w:r w:rsidR="00D6761C" w:rsidRPr="003B0637">
        <w:rPr>
          <w:szCs w:val="26"/>
        </w:rPr>
        <w:t xml:space="preserve">the </w:t>
      </w:r>
      <w:r w:rsidR="003B0637" w:rsidRPr="003B0637">
        <w:rPr>
          <w:szCs w:val="26"/>
        </w:rPr>
        <w:t xml:space="preserve">regulated </w:t>
      </w:r>
      <w:r w:rsidR="00D6761C" w:rsidRPr="003B0637">
        <w:rPr>
          <w:szCs w:val="26"/>
        </w:rPr>
        <w:t xml:space="preserve">utility </w:t>
      </w:r>
      <w:r w:rsidR="003B0637" w:rsidRPr="003B0637">
        <w:rPr>
          <w:szCs w:val="26"/>
        </w:rPr>
        <w:t xml:space="preserve">capital structure and associated regulatory requirements </w:t>
      </w:r>
      <w:r w:rsidR="00D6761C" w:rsidRPr="003B0637">
        <w:rPr>
          <w:szCs w:val="26"/>
        </w:rPr>
        <w:t>will be facilitated through the lower</w:t>
      </w:r>
      <w:r w:rsidR="003B0637" w:rsidRPr="003B0637">
        <w:rPr>
          <w:szCs w:val="26"/>
        </w:rPr>
        <w:t>-</w:t>
      </w:r>
      <w:r w:rsidR="00D6761C" w:rsidRPr="003B0637">
        <w:rPr>
          <w:szCs w:val="26"/>
        </w:rPr>
        <w:t>tier holding companies rather than PPL Corporation.</w:t>
      </w:r>
      <w:r w:rsidRPr="003B0637">
        <w:rPr>
          <w:szCs w:val="26"/>
        </w:rPr>
        <w:t xml:space="preserve">  </w:t>
      </w:r>
      <w:r w:rsidR="00D6761C" w:rsidRPr="003B0637">
        <w:rPr>
          <w:szCs w:val="26"/>
        </w:rPr>
        <w:t>Application at 7.</w:t>
      </w:r>
    </w:p>
    <w:p w14:paraId="26109B5F" w14:textId="77777777" w:rsidR="00D6761C" w:rsidRPr="003B0637" w:rsidRDefault="00D6761C" w:rsidP="00502FC8">
      <w:pPr>
        <w:autoSpaceDE w:val="0"/>
        <w:autoSpaceDN w:val="0"/>
        <w:adjustRightInd w:val="0"/>
        <w:rPr>
          <w:szCs w:val="26"/>
        </w:rPr>
      </w:pPr>
    </w:p>
    <w:p w14:paraId="662563C6" w14:textId="77777777" w:rsidR="00D22EA9" w:rsidRPr="003B0637" w:rsidRDefault="003B0637" w:rsidP="00502FC8">
      <w:pPr>
        <w:autoSpaceDE w:val="0"/>
        <w:autoSpaceDN w:val="0"/>
        <w:adjustRightInd w:val="0"/>
        <w:rPr>
          <w:szCs w:val="26"/>
        </w:rPr>
      </w:pPr>
      <w:r w:rsidRPr="003B0637">
        <w:rPr>
          <w:szCs w:val="26"/>
        </w:rPr>
        <w:t xml:space="preserve">The proposed restructuring will have no effect on </w:t>
      </w:r>
      <w:r w:rsidR="00E27F55" w:rsidRPr="003B0637">
        <w:rPr>
          <w:szCs w:val="26"/>
        </w:rPr>
        <w:t xml:space="preserve">the management or operations of </w:t>
      </w:r>
      <w:r w:rsidR="00564130" w:rsidRPr="003B0637">
        <w:rPr>
          <w:szCs w:val="26"/>
        </w:rPr>
        <w:t>PPL EU</w:t>
      </w:r>
      <w:r w:rsidR="00E27F55" w:rsidRPr="003B0637">
        <w:rPr>
          <w:szCs w:val="26"/>
        </w:rPr>
        <w:t xml:space="preserve">. Application at 3, 6, 8.  </w:t>
      </w:r>
      <w:r w:rsidRPr="003B0637">
        <w:rPr>
          <w:szCs w:val="26"/>
        </w:rPr>
        <w:t xml:space="preserve">After the Proposed Restructuring is consummated, </w:t>
      </w:r>
      <w:r w:rsidR="00564130" w:rsidRPr="003B0637">
        <w:rPr>
          <w:szCs w:val="26"/>
        </w:rPr>
        <w:t>PPL EU</w:t>
      </w:r>
      <w:r w:rsidR="00D22EA9" w:rsidRPr="003B0637">
        <w:rPr>
          <w:szCs w:val="26"/>
        </w:rPr>
        <w:t xml:space="preserve"> </w:t>
      </w:r>
      <w:r w:rsidRPr="003B0637">
        <w:rPr>
          <w:szCs w:val="26"/>
        </w:rPr>
        <w:t xml:space="preserve">avers that it </w:t>
      </w:r>
      <w:r w:rsidR="00D22EA9" w:rsidRPr="003B0637">
        <w:rPr>
          <w:szCs w:val="26"/>
        </w:rPr>
        <w:t>will remain legally, technically and financially fi</w:t>
      </w:r>
      <w:r w:rsidR="00E27F55" w:rsidRPr="003B0637">
        <w:rPr>
          <w:szCs w:val="26"/>
        </w:rPr>
        <w:t xml:space="preserve">t </w:t>
      </w:r>
      <w:r w:rsidRPr="003B0637">
        <w:rPr>
          <w:szCs w:val="26"/>
        </w:rPr>
        <w:t>and that</w:t>
      </w:r>
      <w:r w:rsidR="00D22EA9" w:rsidRPr="003B0637">
        <w:rPr>
          <w:szCs w:val="26"/>
        </w:rPr>
        <w:t xml:space="preserve"> the </w:t>
      </w:r>
      <w:r w:rsidR="00C96F1E" w:rsidRPr="003B0637">
        <w:rPr>
          <w:szCs w:val="26"/>
        </w:rPr>
        <w:t>Proposed Restructuring</w:t>
      </w:r>
      <w:r w:rsidR="00D22EA9" w:rsidRPr="003B0637">
        <w:rPr>
          <w:szCs w:val="26"/>
        </w:rPr>
        <w:t xml:space="preserve"> will have no impact on </w:t>
      </w:r>
      <w:r w:rsidR="00564130" w:rsidRPr="003B0637">
        <w:rPr>
          <w:szCs w:val="26"/>
        </w:rPr>
        <w:t>PPL EU</w:t>
      </w:r>
      <w:r w:rsidR="00D22EA9" w:rsidRPr="003B0637">
        <w:rPr>
          <w:szCs w:val="26"/>
        </w:rPr>
        <w:t>’s ability to provide service</w:t>
      </w:r>
      <w:r w:rsidRPr="003B0637">
        <w:rPr>
          <w:szCs w:val="26"/>
        </w:rPr>
        <w:t xml:space="preserve"> as it will </w:t>
      </w:r>
      <w:r w:rsidR="00815475" w:rsidRPr="003B0637">
        <w:rPr>
          <w:szCs w:val="26"/>
        </w:rPr>
        <w:t xml:space="preserve">maintain the same employees that it has currently and provide the same services to </w:t>
      </w:r>
      <w:r w:rsidRPr="003B0637">
        <w:rPr>
          <w:szCs w:val="26"/>
        </w:rPr>
        <w:t xml:space="preserve">its </w:t>
      </w:r>
      <w:r w:rsidR="00815475" w:rsidRPr="003B0637">
        <w:rPr>
          <w:szCs w:val="26"/>
        </w:rPr>
        <w:t xml:space="preserve">customers.  </w:t>
      </w:r>
      <w:r w:rsidRPr="003B0637">
        <w:rPr>
          <w:szCs w:val="26"/>
        </w:rPr>
        <w:t xml:space="preserve">In addition, </w:t>
      </w:r>
      <w:r w:rsidR="00564130" w:rsidRPr="003B0637">
        <w:rPr>
          <w:szCs w:val="26"/>
        </w:rPr>
        <w:t>PPL EU</w:t>
      </w:r>
      <w:r w:rsidR="00E27F55" w:rsidRPr="003B0637">
        <w:rPr>
          <w:szCs w:val="26"/>
        </w:rPr>
        <w:t xml:space="preserve"> </w:t>
      </w:r>
      <w:r w:rsidR="00815475" w:rsidRPr="003B0637">
        <w:rPr>
          <w:szCs w:val="26"/>
        </w:rPr>
        <w:t>will maintain a separate investment grade rati</w:t>
      </w:r>
      <w:r w:rsidR="00E27F55" w:rsidRPr="003B0637">
        <w:rPr>
          <w:szCs w:val="26"/>
        </w:rPr>
        <w:t>ng from credit rating agencies.  Application at 7-8.</w:t>
      </w:r>
    </w:p>
    <w:p w14:paraId="4371A215" w14:textId="77777777" w:rsidR="00815475" w:rsidRPr="003B0637" w:rsidRDefault="00815475" w:rsidP="00502FC8">
      <w:pPr>
        <w:autoSpaceDE w:val="0"/>
        <w:autoSpaceDN w:val="0"/>
        <w:adjustRightInd w:val="0"/>
        <w:rPr>
          <w:szCs w:val="26"/>
        </w:rPr>
      </w:pPr>
    </w:p>
    <w:p w14:paraId="7963E2D5" w14:textId="77777777" w:rsidR="0026616B" w:rsidRPr="003B0637" w:rsidRDefault="003B0637" w:rsidP="00502FC8">
      <w:pPr>
        <w:autoSpaceDE w:val="0"/>
        <w:autoSpaceDN w:val="0"/>
        <w:adjustRightInd w:val="0"/>
        <w:rPr>
          <w:szCs w:val="26"/>
        </w:rPr>
      </w:pPr>
      <w:r w:rsidRPr="003B0637">
        <w:rPr>
          <w:szCs w:val="26"/>
        </w:rPr>
        <w:t>PPL EU also avers in t</w:t>
      </w:r>
      <w:r w:rsidR="00815475" w:rsidRPr="003B0637">
        <w:rPr>
          <w:szCs w:val="26"/>
        </w:rPr>
        <w:t>he Application</w:t>
      </w:r>
      <w:r w:rsidR="009415EF" w:rsidRPr="003B0637">
        <w:rPr>
          <w:szCs w:val="26"/>
        </w:rPr>
        <w:t xml:space="preserve"> </w:t>
      </w:r>
      <w:r w:rsidR="00815475" w:rsidRPr="003B0637">
        <w:rPr>
          <w:szCs w:val="26"/>
        </w:rPr>
        <w:t xml:space="preserve">that the </w:t>
      </w:r>
      <w:r w:rsidR="00C96F1E" w:rsidRPr="003B0637">
        <w:rPr>
          <w:szCs w:val="26"/>
        </w:rPr>
        <w:t>Proposed Restructuring</w:t>
      </w:r>
      <w:r w:rsidR="00815475" w:rsidRPr="003B0637">
        <w:rPr>
          <w:szCs w:val="26"/>
        </w:rPr>
        <w:t xml:space="preserve"> </w:t>
      </w:r>
      <w:r w:rsidRPr="003B0637">
        <w:rPr>
          <w:szCs w:val="26"/>
        </w:rPr>
        <w:t xml:space="preserve">will </w:t>
      </w:r>
      <w:r w:rsidR="00815475" w:rsidRPr="003B0637">
        <w:rPr>
          <w:szCs w:val="26"/>
        </w:rPr>
        <w:t xml:space="preserve">promote the public interest because it will enable </w:t>
      </w:r>
      <w:r w:rsidRPr="003B0637">
        <w:rPr>
          <w:szCs w:val="26"/>
        </w:rPr>
        <w:t xml:space="preserve">a </w:t>
      </w:r>
      <w:r w:rsidR="00815475" w:rsidRPr="003B0637">
        <w:rPr>
          <w:szCs w:val="26"/>
        </w:rPr>
        <w:t xml:space="preserve">more effective distribution of cash from </w:t>
      </w:r>
      <w:r w:rsidR="00564130" w:rsidRPr="003B0637">
        <w:rPr>
          <w:szCs w:val="26"/>
        </w:rPr>
        <w:t>PPL EU</w:t>
      </w:r>
      <w:r w:rsidR="005A1A51" w:rsidRPr="003B0637">
        <w:rPr>
          <w:szCs w:val="26"/>
        </w:rPr>
        <w:t xml:space="preserve"> </w:t>
      </w:r>
      <w:r w:rsidR="00815475" w:rsidRPr="003B0637">
        <w:rPr>
          <w:szCs w:val="26"/>
        </w:rPr>
        <w:t xml:space="preserve">to PPL Corporation for purposes of funding capital expenditures within the PPL Group, including PPL’s capital projects. </w:t>
      </w:r>
      <w:r w:rsidRPr="003B0637">
        <w:rPr>
          <w:szCs w:val="26"/>
        </w:rPr>
        <w:t xml:space="preserve"> </w:t>
      </w:r>
      <w:r w:rsidR="00815475" w:rsidRPr="003B0637">
        <w:rPr>
          <w:szCs w:val="26"/>
        </w:rPr>
        <w:t xml:space="preserve">Additionally, </w:t>
      </w:r>
      <w:r w:rsidRPr="003B0637">
        <w:rPr>
          <w:szCs w:val="26"/>
        </w:rPr>
        <w:t xml:space="preserve">PPL EU claims that </w:t>
      </w:r>
      <w:r w:rsidR="00815475" w:rsidRPr="003B0637">
        <w:rPr>
          <w:szCs w:val="26"/>
        </w:rPr>
        <w:t xml:space="preserve">the creation of subsidiary holding companies will promote efficiency by providing a more effective structure to facilitate any future business acquisitions that PPL Corporation may wish to undertake, </w:t>
      </w:r>
      <w:r w:rsidRPr="003B0637">
        <w:rPr>
          <w:szCs w:val="26"/>
        </w:rPr>
        <w:t>including the</w:t>
      </w:r>
      <w:r w:rsidR="00815475" w:rsidRPr="003B0637">
        <w:rPr>
          <w:szCs w:val="26"/>
        </w:rPr>
        <w:t xml:space="preserve"> combination or merger of existing non-regulated corporate entities to gain efficiencies.  Application at 7, 8. </w:t>
      </w:r>
    </w:p>
    <w:p w14:paraId="0801F21B" w14:textId="77777777" w:rsidR="00815475" w:rsidRPr="003B0637" w:rsidRDefault="00815475" w:rsidP="00502FC8">
      <w:pPr>
        <w:autoSpaceDE w:val="0"/>
        <w:autoSpaceDN w:val="0"/>
        <w:adjustRightInd w:val="0"/>
        <w:rPr>
          <w:szCs w:val="26"/>
        </w:rPr>
      </w:pPr>
    </w:p>
    <w:p w14:paraId="4DB19880" w14:textId="77777777" w:rsidR="00815475" w:rsidRPr="003B0637" w:rsidRDefault="0011253C" w:rsidP="00502FC8">
      <w:pPr>
        <w:autoSpaceDE w:val="0"/>
        <w:autoSpaceDN w:val="0"/>
        <w:adjustRightInd w:val="0"/>
        <w:rPr>
          <w:szCs w:val="26"/>
        </w:rPr>
      </w:pPr>
      <w:r w:rsidRPr="003B0637">
        <w:rPr>
          <w:szCs w:val="26"/>
        </w:rPr>
        <w:t xml:space="preserve">PPL EU </w:t>
      </w:r>
      <w:r w:rsidR="00815475" w:rsidRPr="003B0637">
        <w:rPr>
          <w:szCs w:val="26"/>
        </w:rPr>
        <w:t xml:space="preserve">further asserted that </w:t>
      </w:r>
      <w:r w:rsidR="003B0637" w:rsidRPr="003B0637">
        <w:rPr>
          <w:szCs w:val="26"/>
        </w:rPr>
        <w:t xml:space="preserve">approval of </w:t>
      </w:r>
      <w:r w:rsidR="00815475" w:rsidRPr="003B0637">
        <w:rPr>
          <w:szCs w:val="26"/>
        </w:rPr>
        <w:t xml:space="preserve">the new structure would allow for </w:t>
      </w:r>
      <w:r w:rsidR="003B0637" w:rsidRPr="003B0637">
        <w:rPr>
          <w:szCs w:val="26"/>
        </w:rPr>
        <w:t xml:space="preserve">a </w:t>
      </w:r>
      <w:r w:rsidR="00815475" w:rsidRPr="003B0637">
        <w:rPr>
          <w:szCs w:val="26"/>
        </w:rPr>
        <w:t>more efficient operation of PPL Corporation’s businesses</w:t>
      </w:r>
      <w:r w:rsidR="002B0A14" w:rsidRPr="003B0637">
        <w:rPr>
          <w:szCs w:val="26"/>
        </w:rPr>
        <w:t xml:space="preserve"> </w:t>
      </w:r>
      <w:r w:rsidR="003B0637" w:rsidRPr="003B0637">
        <w:rPr>
          <w:szCs w:val="26"/>
        </w:rPr>
        <w:t>that would</w:t>
      </w:r>
      <w:r w:rsidR="002B0A14" w:rsidRPr="003B0637">
        <w:rPr>
          <w:szCs w:val="26"/>
        </w:rPr>
        <w:t xml:space="preserve"> </w:t>
      </w:r>
      <w:r w:rsidR="003B0637" w:rsidRPr="003B0637">
        <w:rPr>
          <w:szCs w:val="26"/>
        </w:rPr>
        <w:t xml:space="preserve">permit </w:t>
      </w:r>
      <w:r w:rsidR="002B0A14" w:rsidRPr="003B0637">
        <w:rPr>
          <w:szCs w:val="26"/>
        </w:rPr>
        <w:t>it to</w:t>
      </w:r>
      <w:r w:rsidR="00815475" w:rsidRPr="003B0637">
        <w:rPr>
          <w:szCs w:val="26"/>
        </w:rPr>
        <w:t xml:space="preserve"> prudently manage its tax liabilities.  PPL St.</w:t>
      </w:r>
      <w:r w:rsidRPr="003B0637">
        <w:rPr>
          <w:szCs w:val="26"/>
        </w:rPr>
        <w:t xml:space="preserve"> </w:t>
      </w:r>
      <w:r w:rsidR="00815475" w:rsidRPr="003B0637">
        <w:rPr>
          <w:szCs w:val="26"/>
        </w:rPr>
        <w:t>1 at 4-5; Exh. 1 at 2-3.</w:t>
      </w:r>
    </w:p>
    <w:p w14:paraId="31344429" w14:textId="77777777" w:rsidR="00A0149F" w:rsidRPr="003B0637" w:rsidRDefault="00A0149F" w:rsidP="00502FC8">
      <w:pPr>
        <w:autoSpaceDE w:val="0"/>
        <w:autoSpaceDN w:val="0"/>
        <w:adjustRightInd w:val="0"/>
        <w:rPr>
          <w:szCs w:val="26"/>
        </w:rPr>
      </w:pPr>
    </w:p>
    <w:p w14:paraId="3D27B4AF" w14:textId="77777777" w:rsidR="00767179" w:rsidRPr="003B0637" w:rsidRDefault="00767179" w:rsidP="00313FD8">
      <w:pPr>
        <w:pStyle w:val="Heading1"/>
        <w:keepLines/>
        <w:spacing w:line="360" w:lineRule="auto"/>
      </w:pPr>
      <w:bookmarkStart w:id="4" w:name="_Toc415316183"/>
      <w:r w:rsidRPr="003B0637">
        <w:lastRenderedPageBreak/>
        <w:t>III.</w:t>
      </w:r>
      <w:r w:rsidR="00D76B63" w:rsidRPr="003B0637">
        <w:tab/>
      </w:r>
      <w:r w:rsidRPr="003B0637">
        <w:t>Discussion</w:t>
      </w:r>
      <w:bookmarkEnd w:id="4"/>
    </w:p>
    <w:p w14:paraId="374B649B" w14:textId="77777777" w:rsidR="00AE5D31" w:rsidRPr="003B0637" w:rsidRDefault="00AE5D31" w:rsidP="00313FD8">
      <w:pPr>
        <w:pStyle w:val="BodyText"/>
        <w:keepNext/>
        <w:keepLines/>
        <w:spacing w:after="0"/>
        <w:ind w:firstLine="0"/>
        <w:rPr>
          <w:b/>
          <w:szCs w:val="24"/>
        </w:rPr>
      </w:pPr>
    </w:p>
    <w:p w14:paraId="625F6FA4" w14:textId="77777777" w:rsidR="00E97404" w:rsidRPr="003B0637" w:rsidRDefault="00AE5D31" w:rsidP="00313FD8">
      <w:pPr>
        <w:pStyle w:val="Heading2"/>
        <w:keepLines/>
        <w:spacing w:line="360" w:lineRule="auto"/>
        <w:ind w:left="0" w:firstLine="0"/>
        <w:rPr>
          <w:sz w:val="26"/>
        </w:rPr>
      </w:pPr>
      <w:bookmarkStart w:id="5" w:name="_Toc415316184"/>
      <w:r w:rsidRPr="003B0637">
        <w:rPr>
          <w:sz w:val="26"/>
        </w:rPr>
        <w:t>Legal Standards</w:t>
      </w:r>
      <w:bookmarkEnd w:id="5"/>
    </w:p>
    <w:p w14:paraId="024ABE8C" w14:textId="77777777" w:rsidR="00E97404" w:rsidRPr="003B0637" w:rsidRDefault="00E97404" w:rsidP="00313FD8">
      <w:pPr>
        <w:keepNext/>
        <w:keepLines/>
        <w:tabs>
          <w:tab w:val="left" w:pos="-720"/>
        </w:tabs>
        <w:suppressAutoHyphens/>
        <w:ind w:firstLine="0"/>
        <w:rPr>
          <w:rFonts w:eastAsia="Times New Roman"/>
          <w:szCs w:val="24"/>
        </w:rPr>
      </w:pPr>
    </w:p>
    <w:p w14:paraId="087CBDC8" w14:textId="77777777" w:rsidR="005F22CB" w:rsidRPr="003B0637" w:rsidRDefault="002F2F9B" w:rsidP="00080F70">
      <w:pPr>
        <w:rPr>
          <w:szCs w:val="26"/>
        </w:rPr>
      </w:pPr>
      <w:r w:rsidRPr="003B0637">
        <w:rPr>
          <w:szCs w:val="26"/>
        </w:rPr>
        <w:t>Section 1102(a)(3) of the Code provides, in pertinent part, that the</w:t>
      </w:r>
      <w:r w:rsidR="00AB2318" w:rsidRPr="003B0637">
        <w:rPr>
          <w:szCs w:val="26"/>
        </w:rPr>
        <w:t xml:space="preserve"> Commission</w:t>
      </w:r>
      <w:r w:rsidRPr="003B0637">
        <w:rPr>
          <w:szCs w:val="26"/>
        </w:rPr>
        <w:t>’</w:t>
      </w:r>
      <w:r w:rsidR="00AB2318" w:rsidRPr="003B0637">
        <w:rPr>
          <w:szCs w:val="26"/>
        </w:rPr>
        <w:t>s</w:t>
      </w:r>
      <w:r w:rsidRPr="003B0637">
        <w:rPr>
          <w:szCs w:val="26"/>
        </w:rPr>
        <w:t xml:space="preserve"> prior approval, evidenced by a certificate of public convenience first had and obtained, is required:</w:t>
      </w:r>
    </w:p>
    <w:p w14:paraId="3489489F" w14:textId="77777777" w:rsidR="005F22CB" w:rsidRPr="003B0637" w:rsidRDefault="005F22CB" w:rsidP="00502FC8">
      <w:pPr>
        <w:spacing w:after="120" w:line="240" w:lineRule="auto"/>
        <w:ind w:left="1440" w:right="1440"/>
      </w:pPr>
    </w:p>
    <w:p w14:paraId="11B3D79E" w14:textId="77777777" w:rsidR="005F22CB" w:rsidRPr="003B0637" w:rsidRDefault="005F22CB" w:rsidP="00502FC8">
      <w:pPr>
        <w:spacing w:line="240" w:lineRule="auto"/>
        <w:ind w:left="1440" w:right="1440" w:firstLine="0"/>
      </w:pPr>
      <w:r w:rsidRPr="003B0637">
        <w:t xml:space="preserve">For any public utility </w:t>
      </w:r>
      <w:r w:rsidR="003B0637" w:rsidRPr="003B0637">
        <w:t>. . .</w:t>
      </w:r>
      <w:r w:rsidRPr="003B0637">
        <w:t xml:space="preserve"> to acquire from, or to transfer to, any person or corporation, including a municipal corporation, by any method or device whatsoever, including the sale or transfer of stock and including a consolidation, merger, sale or lease, the title to, or the possession or use of, any tangible or intangible property used or useful in the public service.</w:t>
      </w:r>
    </w:p>
    <w:p w14:paraId="3B638727" w14:textId="77777777" w:rsidR="003B0637" w:rsidRPr="003B0637" w:rsidRDefault="003B0637" w:rsidP="00502FC8">
      <w:pPr>
        <w:spacing w:line="240" w:lineRule="auto"/>
        <w:ind w:left="1440" w:right="1440" w:firstLine="0"/>
      </w:pPr>
    </w:p>
    <w:p w14:paraId="7444AE95" w14:textId="77777777" w:rsidR="005F22CB" w:rsidRPr="003B0637" w:rsidRDefault="005F22CB" w:rsidP="00502FC8">
      <w:pPr>
        <w:spacing w:line="240" w:lineRule="auto"/>
      </w:pPr>
    </w:p>
    <w:p w14:paraId="09EA7056" w14:textId="77777777" w:rsidR="005F22CB" w:rsidRPr="003B0637" w:rsidRDefault="005F22CB" w:rsidP="00502FC8">
      <w:pPr>
        <w:ind w:firstLine="0"/>
      </w:pPr>
      <w:r w:rsidRPr="003B0637">
        <w:t>66 Pa. C.S. § 1102(a)(3).</w:t>
      </w:r>
    </w:p>
    <w:p w14:paraId="01E43D6E" w14:textId="77777777" w:rsidR="005F22CB" w:rsidRPr="003B0637" w:rsidRDefault="005F22CB" w:rsidP="00502FC8">
      <w:pPr>
        <w:autoSpaceDE w:val="0"/>
        <w:autoSpaceDN w:val="0"/>
        <w:adjustRightInd w:val="0"/>
        <w:ind w:left="720" w:firstLine="720"/>
        <w:rPr>
          <w:color w:val="000000"/>
          <w:szCs w:val="26"/>
        </w:rPr>
      </w:pPr>
    </w:p>
    <w:p w14:paraId="2C15628E" w14:textId="77777777" w:rsidR="002F2F9B" w:rsidRPr="003B0637" w:rsidRDefault="0026408F" w:rsidP="00502FC8">
      <w:pPr>
        <w:autoSpaceDE w:val="0"/>
        <w:autoSpaceDN w:val="0"/>
        <w:adjustRightInd w:val="0"/>
        <w:rPr>
          <w:color w:val="000000"/>
          <w:szCs w:val="26"/>
        </w:rPr>
      </w:pPr>
      <w:r w:rsidRPr="003B0637">
        <w:rPr>
          <w:color w:val="000000"/>
          <w:szCs w:val="26"/>
        </w:rPr>
        <w:t xml:space="preserve">A utility is required to obtain a certificate of public convenience under Section 1102(a)(3) </w:t>
      </w:r>
      <w:r w:rsidR="003B0637">
        <w:rPr>
          <w:color w:val="000000"/>
          <w:szCs w:val="26"/>
        </w:rPr>
        <w:t xml:space="preserve">of the Code </w:t>
      </w:r>
      <w:r w:rsidRPr="003B0637">
        <w:rPr>
          <w:color w:val="000000"/>
          <w:szCs w:val="26"/>
        </w:rPr>
        <w:t>when a</w:t>
      </w:r>
      <w:r w:rsidR="002F2F9B" w:rsidRPr="003B0637">
        <w:rPr>
          <w:color w:val="000000"/>
          <w:szCs w:val="26"/>
        </w:rPr>
        <w:t xml:space="preserve"> transfer of voting interest constitutes a change in </w:t>
      </w:r>
      <w:r w:rsidR="002F2F9B" w:rsidRPr="003B0637">
        <w:rPr>
          <w:i/>
          <w:color w:val="000000"/>
          <w:szCs w:val="26"/>
        </w:rPr>
        <w:t>de facto</w:t>
      </w:r>
      <w:r w:rsidR="002F2F9B" w:rsidRPr="003B0637">
        <w:rPr>
          <w:color w:val="000000"/>
          <w:szCs w:val="26"/>
        </w:rPr>
        <w:t xml:space="preserve"> control of the utility</w:t>
      </w:r>
      <w:r w:rsidRPr="003B0637">
        <w:rPr>
          <w:color w:val="000000"/>
          <w:szCs w:val="26"/>
        </w:rPr>
        <w:t xml:space="preserve"> or its parent</w:t>
      </w:r>
      <w:r w:rsidR="002F2F9B" w:rsidRPr="003B0637">
        <w:rPr>
          <w:color w:val="000000"/>
          <w:szCs w:val="26"/>
        </w:rPr>
        <w:t xml:space="preserve">.  </w:t>
      </w:r>
      <w:r w:rsidR="00AB2318" w:rsidRPr="003B0637">
        <w:rPr>
          <w:i/>
          <w:color w:val="000000"/>
          <w:szCs w:val="26"/>
        </w:rPr>
        <w:t>See</w:t>
      </w:r>
      <w:r w:rsidR="00AB2318" w:rsidRPr="003B0637">
        <w:rPr>
          <w:color w:val="000000"/>
          <w:szCs w:val="26"/>
        </w:rPr>
        <w:t xml:space="preserve"> 52 Pa. Code § 69.901</w:t>
      </w:r>
      <w:r w:rsidR="000C0491" w:rsidRPr="003B0637">
        <w:rPr>
          <w:color w:val="000000"/>
          <w:szCs w:val="26"/>
        </w:rPr>
        <w:t xml:space="preserve">; </w:t>
      </w:r>
      <w:r w:rsidR="00AB2318" w:rsidRPr="003B0637">
        <w:rPr>
          <w:i/>
          <w:color w:val="000000"/>
          <w:szCs w:val="26"/>
        </w:rPr>
        <w:t>see also Policy Statement Regarding Interpretation of 66 Pa. C.S. § 1102(a)(3)</w:t>
      </w:r>
      <w:r w:rsidR="00AB2318" w:rsidRPr="003B0637">
        <w:rPr>
          <w:color w:val="000000"/>
          <w:szCs w:val="26"/>
        </w:rPr>
        <w:t>, Docket No. M-93049</w:t>
      </w:r>
      <w:r w:rsidR="00AB2318" w:rsidRPr="003B0637">
        <w:rPr>
          <w:szCs w:val="26"/>
        </w:rPr>
        <w:t xml:space="preserve">0, </w:t>
      </w:r>
      <w:r w:rsidR="00C3750D" w:rsidRPr="003B0637">
        <w:rPr>
          <w:szCs w:val="26"/>
        </w:rPr>
        <w:t>1994 WL 932348 (Pa.P.U.C.)</w:t>
      </w:r>
      <w:r w:rsidR="00D300D4">
        <w:rPr>
          <w:szCs w:val="26"/>
        </w:rPr>
        <w:t xml:space="preserve">, </w:t>
      </w:r>
      <w:r w:rsidR="00D300D4" w:rsidRPr="003B0637">
        <w:t>1994 Pa. PUC LEXIS 56</w:t>
      </w:r>
      <w:r w:rsidR="00C3750D" w:rsidRPr="003B0637">
        <w:rPr>
          <w:szCs w:val="26"/>
        </w:rPr>
        <w:t xml:space="preserve"> </w:t>
      </w:r>
      <w:r w:rsidR="00AB2318" w:rsidRPr="003B0637">
        <w:rPr>
          <w:color w:val="000000"/>
          <w:szCs w:val="26"/>
        </w:rPr>
        <w:t>(Order entered September 13, 1994) (</w:t>
      </w:r>
      <w:r w:rsidR="00AB2318" w:rsidRPr="003B0637">
        <w:rPr>
          <w:i/>
          <w:color w:val="000000"/>
          <w:szCs w:val="26"/>
        </w:rPr>
        <w:t>Policy Statement Order</w:t>
      </w:r>
      <w:r w:rsidR="00AB2318" w:rsidRPr="003B0637">
        <w:rPr>
          <w:color w:val="000000"/>
          <w:szCs w:val="26"/>
        </w:rPr>
        <w:t xml:space="preserve">).  </w:t>
      </w:r>
      <w:r w:rsidR="0015609C">
        <w:rPr>
          <w:color w:val="000000"/>
          <w:szCs w:val="26"/>
        </w:rPr>
        <w:t xml:space="preserve">The Policy Statement in </w:t>
      </w:r>
      <w:r w:rsidR="00AB2318" w:rsidRPr="003B0637">
        <w:rPr>
          <w:color w:val="000000"/>
          <w:szCs w:val="26"/>
        </w:rPr>
        <w:t xml:space="preserve">Section 69.901 </w:t>
      </w:r>
      <w:r w:rsidR="0015609C">
        <w:rPr>
          <w:color w:val="000000"/>
          <w:szCs w:val="26"/>
        </w:rPr>
        <w:t xml:space="preserve">of our Regulations </w:t>
      </w:r>
      <w:r w:rsidR="00AB2318" w:rsidRPr="003B0637">
        <w:rPr>
          <w:color w:val="000000"/>
          <w:szCs w:val="26"/>
        </w:rPr>
        <w:t>provides, in pertinent part, as follows:</w:t>
      </w:r>
    </w:p>
    <w:p w14:paraId="4B72A0E7" w14:textId="77777777" w:rsidR="002F2F9B" w:rsidRPr="003B0637" w:rsidRDefault="002F2F9B" w:rsidP="00502FC8">
      <w:pPr>
        <w:autoSpaceDE w:val="0"/>
        <w:autoSpaceDN w:val="0"/>
        <w:adjustRightInd w:val="0"/>
        <w:spacing w:line="240" w:lineRule="auto"/>
        <w:ind w:firstLine="0"/>
        <w:rPr>
          <w:color w:val="000000"/>
          <w:szCs w:val="23"/>
        </w:rPr>
      </w:pPr>
    </w:p>
    <w:p w14:paraId="07939B0F" w14:textId="77777777" w:rsidR="002F2F9B" w:rsidRPr="003B0637" w:rsidRDefault="002F2F9B" w:rsidP="00502FC8">
      <w:pPr>
        <w:keepNext/>
        <w:keepLines/>
        <w:autoSpaceDE w:val="0"/>
        <w:autoSpaceDN w:val="0"/>
        <w:adjustRightInd w:val="0"/>
        <w:spacing w:line="240" w:lineRule="auto"/>
        <w:ind w:left="720" w:firstLine="720"/>
        <w:rPr>
          <w:color w:val="000000"/>
          <w:szCs w:val="26"/>
        </w:rPr>
      </w:pPr>
      <w:bookmarkStart w:id="6" w:name="_Hlk2590425"/>
      <w:r w:rsidRPr="003B0637">
        <w:rPr>
          <w:color w:val="000000"/>
          <w:szCs w:val="26"/>
        </w:rPr>
        <w:t xml:space="preserve">69.901. </w:t>
      </w:r>
      <w:r w:rsidR="003B0637">
        <w:rPr>
          <w:color w:val="000000"/>
          <w:szCs w:val="26"/>
        </w:rPr>
        <w:t xml:space="preserve"> </w:t>
      </w:r>
      <w:r w:rsidRPr="003B0637">
        <w:rPr>
          <w:color w:val="000000"/>
          <w:szCs w:val="26"/>
        </w:rPr>
        <w:t>Utility stock transfer under 66 Pa. C.S. § 1102(a)(3).</w:t>
      </w:r>
    </w:p>
    <w:p w14:paraId="44B03975" w14:textId="77777777" w:rsidR="002F2F9B" w:rsidRPr="003B0637" w:rsidRDefault="002F2F9B" w:rsidP="00502FC8">
      <w:pPr>
        <w:keepNext/>
        <w:keepLines/>
        <w:autoSpaceDE w:val="0"/>
        <w:autoSpaceDN w:val="0"/>
        <w:adjustRightInd w:val="0"/>
        <w:spacing w:line="240" w:lineRule="auto"/>
        <w:ind w:left="1440" w:right="1440" w:firstLine="0"/>
        <w:rPr>
          <w:color w:val="000000"/>
          <w:szCs w:val="26"/>
        </w:rPr>
      </w:pPr>
    </w:p>
    <w:p w14:paraId="37992162" w14:textId="77777777" w:rsidR="002F2F9B" w:rsidRPr="003B0637" w:rsidRDefault="002F2F9B" w:rsidP="00502FC8">
      <w:pPr>
        <w:pStyle w:val="ListParagraph"/>
        <w:keepNext/>
        <w:keepLines/>
        <w:numPr>
          <w:ilvl w:val="0"/>
          <w:numId w:val="34"/>
        </w:numPr>
        <w:autoSpaceDE w:val="0"/>
        <w:autoSpaceDN w:val="0"/>
        <w:adjustRightInd w:val="0"/>
        <w:ind w:right="1440"/>
        <w:rPr>
          <w:color w:val="000000"/>
          <w:sz w:val="26"/>
          <w:szCs w:val="26"/>
        </w:rPr>
      </w:pPr>
      <w:r w:rsidRPr="003B0637">
        <w:rPr>
          <w:color w:val="000000"/>
          <w:sz w:val="26"/>
          <w:szCs w:val="26"/>
        </w:rPr>
        <w:t>Background.</w:t>
      </w:r>
    </w:p>
    <w:p w14:paraId="08A28B51" w14:textId="77777777" w:rsidR="002F2F9B" w:rsidRPr="003B0637" w:rsidRDefault="002F2F9B" w:rsidP="00502FC8">
      <w:pPr>
        <w:pStyle w:val="ListParagraph"/>
        <w:keepNext/>
        <w:keepLines/>
        <w:autoSpaceDE w:val="0"/>
        <w:autoSpaceDN w:val="0"/>
        <w:adjustRightInd w:val="0"/>
        <w:ind w:left="1440" w:right="1440" w:firstLine="0"/>
        <w:rPr>
          <w:color w:val="000000"/>
          <w:sz w:val="26"/>
          <w:szCs w:val="26"/>
        </w:rPr>
      </w:pPr>
    </w:p>
    <w:p w14:paraId="5EC74651" w14:textId="77777777" w:rsidR="002F2F9B" w:rsidRPr="003B0637" w:rsidRDefault="002F2F9B" w:rsidP="00502FC8">
      <w:pPr>
        <w:autoSpaceDE w:val="0"/>
        <w:autoSpaceDN w:val="0"/>
        <w:adjustRightInd w:val="0"/>
        <w:spacing w:line="240" w:lineRule="auto"/>
        <w:ind w:left="1440" w:right="1440" w:firstLine="0"/>
        <w:rPr>
          <w:color w:val="000000"/>
          <w:szCs w:val="26"/>
        </w:rPr>
      </w:pPr>
      <w:r w:rsidRPr="003B0637">
        <w:rPr>
          <w:color w:val="000000"/>
          <w:szCs w:val="26"/>
        </w:rPr>
        <w:t xml:space="preserve">(1) </w:t>
      </w:r>
      <w:r w:rsidR="0015609C">
        <w:rPr>
          <w:color w:val="000000"/>
          <w:szCs w:val="26"/>
        </w:rPr>
        <w:t xml:space="preserve"> </w:t>
      </w:r>
      <w:r w:rsidRPr="003B0637">
        <w:rPr>
          <w:color w:val="000000"/>
          <w:szCs w:val="26"/>
        </w:rPr>
        <w:t>Commission jurisdiction over the acquisition or transfer of public utility property is governed by 66 Pa. C.S. §</w:t>
      </w:r>
      <w:r w:rsidR="0015609C">
        <w:rPr>
          <w:color w:val="000000"/>
          <w:szCs w:val="26"/>
        </w:rPr>
        <w:t> </w:t>
      </w:r>
      <w:r w:rsidRPr="003B0637">
        <w:rPr>
          <w:color w:val="000000"/>
          <w:szCs w:val="26"/>
        </w:rPr>
        <w:t xml:space="preserve">1102(a)(3) (relating to enumeration of acts requiring certificate). </w:t>
      </w:r>
      <w:r w:rsidR="0015609C">
        <w:rPr>
          <w:color w:val="000000"/>
          <w:szCs w:val="26"/>
        </w:rPr>
        <w:t xml:space="preserve"> </w:t>
      </w:r>
      <w:r w:rsidRPr="003B0637">
        <w:rPr>
          <w:color w:val="000000"/>
          <w:szCs w:val="26"/>
        </w:rPr>
        <w:t xml:space="preserve">The ambiguous language in 66 Pa. C.S. </w:t>
      </w:r>
      <w:r w:rsidRPr="003B0637">
        <w:rPr>
          <w:color w:val="000000"/>
          <w:szCs w:val="26"/>
        </w:rPr>
        <w:lastRenderedPageBreak/>
        <w:t>§</w:t>
      </w:r>
      <w:r w:rsidR="0015609C">
        <w:rPr>
          <w:color w:val="000000"/>
          <w:szCs w:val="26"/>
        </w:rPr>
        <w:t> </w:t>
      </w:r>
      <w:r w:rsidRPr="003B0637">
        <w:rPr>
          <w:color w:val="000000"/>
          <w:szCs w:val="26"/>
        </w:rPr>
        <w:t xml:space="preserve">1102(a)(3) has historically caused considerable uncertainty among the Commission, its staff and the industry regarding what type of transaction requires Commission approval. </w:t>
      </w:r>
      <w:r w:rsidR="003B0637">
        <w:rPr>
          <w:color w:val="000000"/>
          <w:szCs w:val="26"/>
        </w:rPr>
        <w:t xml:space="preserve"> </w:t>
      </w:r>
      <w:r w:rsidRPr="003B0637">
        <w:rPr>
          <w:color w:val="000000"/>
          <w:szCs w:val="26"/>
        </w:rPr>
        <w:t>This uncertainty has been particularly apparent regarding stock transfers which may equate to the transfer of utility property.</w:t>
      </w:r>
    </w:p>
    <w:p w14:paraId="1DE16B7E" w14:textId="77777777" w:rsidR="002F2F9B" w:rsidRPr="003B0637" w:rsidRDefault="002F2F9B" w:rsidP="00502FC8">
      <w:pPr>
        <w:autoSpaceDE w:val="0"/>
        <w:autoSpaceDN w:val="0"/>
        <w:adjustRightInd w:val="0"/>
        <w:spacing w:line="240" w:lineRule="auto"/>
        <w:ind w:left="1440" w:right="1440" w:firstLine="0"/>
        <w:rPr>
          <w:color w:val="000000"/>
          <w:szCs w:val="26"/>
        </w:rPr>
      </w:pPr>
    </w:p>
    <w:p w14:paraId="6BE580FC" w14:textId="77777777" w:rsidR="002F2F9B" w:rsidRPr="003B0637" w:rsidRDefault="002F2F9B" w:rsidP="00502FC8">
      <w:pPr>
        <w:autoSpaceDE w:val="0"/>
        <w:autoSpaceDN w:val="0"/>
        <w:adjustRightInd w:val="0"/>
        <w:spacing w:line="240" w:lineRule="auto"/>
        <w:ind w:left="1440" w:right="1440" w:firstLine="0"/>
        <w:rPr>
          <w:color w:val="000000"/>
          <w:szCs w:val="26"/>
        </w:rPr>
      </w:pPr>
      <w:r w:rsidRPr="003B0637">
        <w:rPr>
          <w:color w:val="000000"/>
          <w:szCs w:val="26"/>
        </w:rPr>
        <w:t xml:space="preserve">(2) </w:t>
      </w:r>
      <w:r w:rsidR="0015609C">
        <w:rPr>
          <w:color w:val="000000"/>
          <w:szCs w:val="26"/>
        </w:rPr>
        <w:t xml:space="preserve"> </w:t>
      </w:r>
      <w:r w:rsidRPr="003B0637">
        <w:rPr>
          <w:color w:val="000000"/>
          <w:szCs w:val="26"/>
        </w:rPr>
        <w:t>Recently, the Commission has examined 66 Pa. C.S. §</w:t>
      </w:r>
      <w:r w:rsidR="0015609C">
        <w:rPr>
          <w:color w:val="000000"/>
          <w:szCs w:val="26"/>
        </w:rPr>
        <w:t> </w:t>
      </w:r>
      <w:r w:rsidRPr="003B0637">
        <w:rPr>
          <w:color w:val="000000"/>
          <w:szCs w:val="26"/>
        </w:rPr>
        <w:t xml:space="preserve">1102(a)(3) and determined that the transfer of stock or other voting interest of a utility’s parent is jurisdictional regardless of the remoteness of the transaction if the effect of the transaction is to change the control of a utility. </w:t>
      </w:r>
      <w:r w:rsidR="0015609C">
        <w:rPr>
          <w:color w:val="000000"/>
          <w:szCs w:val="26"/>
        </w:rPr>
        <w:t xml:space="preserve"> </w:t>
      </w:r>
      <w:r w:rsidRPr="003B0637">
        <w:rPr>
          <w:i/>
          <w:iCs/>
          <w:color w:val="000000"/>
          <w:szCs w:val="26"/>
        </w:rPr>
        <w:t>Joint Application of Commonwealth Telephone Company, et al.</w:t>
      </w:r>
      <w:r w:rsidRPr="003B0637">
        <w:rPr>
          <w:color w:val="000000"/>
          <w:szCs w:val="26"/>
        </w:rPr>
        <w:t>, A</w:t>
      </w:r>
      <w:r w:rsidR="0015609C">
        <w:rPr>
          <w:color w:val="000000"/>
          <w:szCs w:val="26"/>
        </w:rPr>
        <w:noBreakHyphen/>
      </w:r>
      <w:r w:rsidRPr="003B0637">
        <w:rPr>
          <w:color w:val="000000"/>
          <w:szCs w:val="26"/>
        </w:rPr>
        <w:t xml:space="preserve">310800, F.0006, (October 22, 1993). </w:t>
      </w:r>
      <w:r w:rsidR="0015609C">
        <w:rPr>
          <w:color w:val="000000"/>
          <w:szCs w:val="26"/>
        </w:rPr>
        <w:t xml:space="preserve"> </w:t>
      </w:r>
      <w:r w:rsidRPr="003B0637">
        <w:rPr>
          <w:color w:val="000000"/>
          <w:szCs w:val="26"/>
        </w:rPr>
        <w:t>Furthermore, the Commission has held that a transaction resulting in a change of the de facto controlling interest in a utility or its parent, regardless of the tier in the corporate organization, constitutes a change of control of the utility and is jurisdictional under 66</w:t>
      </w:r>
      <w:r w:rsidR="0015609C">
        <w:rPr>
          <w:color w:val="000000"/>
          <w:szCs w:val="26"/>
        </w:rPr>
        <w:t> </w:t>
      </w:r>
      <w:r w:rsidRPr="003B0637">
        <w:rPr>
          <w:color w:val="000000"/>
          <w:szCs w:val="26"/>
        </w:rPr>
        <w:t xml:space="preserve"> Pa. C.S. § 1102(a)(3). </w:t>
      </w:r>
      <w:r w:rsidR="0015609C">
        <w:rPr>
          <w:color w:val="000000"/>
          <w:szCs w:val="26"/>
        </w:rPr>
        <w:t xml:space="preserve"> </w:t>
      </w:r>
      <w:r w:rsidRPr="003B0637">
        <w:rPr>
          <w:i/>
          <w:iCs/>
          <w:color w:val="000000"/>
          <w:szCs w:val="26"/>
        </w:rPr>
        <w:t>Joint Application of Paging Network of Pittsburgh, Inc. et al</w:t>
      </w:r>
      <w:r w:rsidRPr="003B0637">
        <w:rPr>
          <w:color w:val="000000"/>
          <w:szCs w:val="26"/>
        </w:rPr>
        <w:t>., A-330013, F.0005.</w:t>
      </w:r>
      <w:r w:rsidR="0015609C">
        <w:rPr>
          <w:color w:val="000000"/>
          <w:szCs w:val="26"/>
        </w:rPr>
        <w:t xml:space="preserve"> </w:t>
      </w:r>
      <w:r w:rsidRPr="003B0637">
        <w:rPr>
          <w:color w:val="000000"/>
          <w:szCs w:val="26"/>
        </w:rPr>
        <w:t xml:space="preserve"> In view of these Commission holdings, it is necessary to further define and establish clear standards regarding what transfer of voting interest constitutes a change in de facto control and thereby constitutes the transfer or acquisition of utility property within the intendment of 66 Pa. C.S. § 1102(a)(3). </w:t>
      </w:r>
    </w:p>
    <w:p w14:paraId="5E9236EF" w14:textId="77777777" w:rsidR="002F2F9B" w:rsidRPr="003B0637" w:rsidRDefault="002F2F9B" w:rsidP="00502FC8">
      <w:pPr>
        <w:autoSpaceDE w:val="0"/>
        <w:autoSpaceDN w:val="0"/>
        <w:adjustRightInd w:val="0"/>
        <w:spacing w:line="240" w:lineRule="auto"/>
        <w:ind w:left="1440" w:right="1440" w:firstLine="0"/>
        <w:rPr>
          <w:szCs w:val="26"/>
        </w:rPr>
      </w:pPr>
    </w:p>
    <w:p w14:paraId="2A52648A" w14:textId="77777777" w:rsidR="002F2F9B" w:rsidRPr="003B0637" w:rsidRDefault="002F2F9B" w:rsidP="00502FC8">
      <w:pPr>
        <w:autoSpaceDE w:val="0"/>
        <w:autoSpaceDN w:val="0"/>
        <w:adjustRightInd w:val="0"/>
        <w:spacing w:line="240" w:lineRule="auto"/>
        <w:ind w:left="1440" w:right="1440" w:firstLine="0"/>
        <w:rPr>
          <w:color w:val="000000"/>
          <w:szCs w:val="26"/>
        </w:rPr>
      </w:pPr>
      <w:r w:rsidRPr="003B0637">
        <w:rPr>
          <w:color w:val="000000"/>
          <w:szCs w:val="26"/>
        </w:rPr>
        <w:t xml:space="preserve">(b) Policy. </w:t>
      </w:r>
    </w:p>
    <w:p w14:paraId="35E7C352" w14:textId="77777777" w:rsidR="002F2F9B" w:rsidRPr="003B0637" w:rsidRDefault="002F2F9B" w:rsidP="00502FC8">
      <w:pPr>
        <w:autoSpaceDE w:val="0"/>
        <w:autoSpaceDN w:val="0"/>
        <w:adjustRightInd w:val="0"/>
        <w:spacing w:line="240" w:lineRule="auto"/>
        <w:ind w:left="1440" w:right="1440" w:firstLine="0"/>
        <w:rPr>
          <w:color w:val="000000"/>
          <w:szCs w:val="26"/>
        </w:rPr>
      </w:pPr>
    </w:p>
    <w:p w14:paraId="173CFBAE" w14:textId="77777777" w:rsidR="005E1830" w:rsidRDefault="002F2F9B" w:rsidP="00502FC8">
      <w:pPr>
        <w:autoSpaceDE w:val="0"/>
        <w:autoSpaceDN w:val="0"/>
        <w:adjustRightInd w:val="0"/>
        <w:spacing w:line="240" w:lineRule="auto"/>
        <w:ind w:left="1440" w:right="1440" w:firstLine="0"/>
        <w:rPr>
          <w:color w:val="000000"/>
          <w:szCs w:val="26"/>
        </w:rPr>
      </w:pPr>
      <w:r w:rsidRPr="003B0637">
        <w:rPr>
          <w:color w:val="000000"/>
          <w:szCs w:val="26"/>
        </w:rPr>
        <w:t xml:space="preserve">(1) </w:t>
      </w:r>
      <w:r w:rsidR="0015609C">
        <w:rPr>
          <w:color w:val="000000"/>
          <w:szCs w:val="26"/>
        </w:rPr>
        <w:t xml:space="preserve"> </w:t>
      </w:r>
      <w:r w:rsidRPr="003B0637">
        <w:rPr>
          <w:color w:val="000000"/>
          <w:szCs w:val="26"/>
        </w:rPr>
        <w:t xml:space="preserve">A transaction or series of transactions resulting in a new controlling interest is jurisdictional when the transaction or transactions result in a different entity becoming the beneficial holder of the largest voting interest in the utility or parent, regardless of the tier. A transaction or series of </w:t>
      </w:r>
    </w:p>
    <w:p w14:paraId="1990025A" w14:textId="77777777" w:rsidR="002F2F9B" w:rsidRPr="003B0637" w:rsidRDefault="002F2F9B" w:rsidP="005E1830">
      <w:pPr>
        <w:keepNext/>
        <w:keepLines/>
        <w:autoSpaceDE w:val="0"/>
        <w:autoSpaceDN w:val="0"/>
        <w:adjustRightInd w:val="0"/>
        <w:spacing w:line="240" w:lineRule="auto"/>
        <w:ind w:left="1440" w:right="1440" w:firstLine="0"/>
        <w:rPr>
          <w:color w:val="000000"/>
          <w:szCs w:val="26"/>
        </w:rPr>
      </w:pPr>
      <w:r w:rsidRPr="003B0637">
        <w:rPr>
          <w:color w:val="000000"/>
          <w:szCs w:val="26"/>
        </w:rPr>
        <w:t>transactions resulting in the elimination of a controlling interest is jurisdictional when the transaction or transactions result in the dissipation of the largest voting interest in the utility or parent, regardless of the tier.</w:t>
      </w:r>
    </w:p>
    <w:p w14:paraId="44B6FCC1" w14:textId="77777777" w:rsidR="002F2F9B" w:rsidRPr="003B0637" w:rsidRDefault="002F2F9B" w:rsidP="00502FC8">
      <w:pPr>
        <w:autoSpaceDE w:val="0"/>
        <w:autoSpaceDN w:val="0"/>
        <w:adjustRightInd w:val="0"/>
        <w:spacing w:line="240" w:lineRule="auto"/>
        <w:ind w:left="1440" w:right="1440" w:firstLine="0"/>
        <w:rPr>
          <w:color w:val="000000"/>
          <w:szCs w:val="26"/>
        </w:rPr>
      </w:pPr>
    </w:p>
    <w:p w14:paraId="3B0B4B96" w14:textId="77777777" w:rsidR="002F2F9B" w:rsidRPr="003B0637" w:rsidRDefault="002F2F9B" w:rsidP="00502FC8">
      <w:pPr>
        <w:autoSpaceDE w:val="0"/>
        <w:autoSpaceDN w:val="0"/>
        <w:adjustRightInd w:val="0"/>
        <w:spacing w:line="240" w:lineRule="auto"/>
        <w:ind w:left="1440" w:right="1440" w:firstLine="0"/>
        <w:rPr>
          <w:szCs w:val="26"/>
        </w:rPr>
      </w:pPr>
      <w:r w:rsidRPr="003B0637">
        <w:rPr>
          <w:color w:val="000000"/>
          <w:szCs w:val="26"/>
        </w:rPr>
        <w:t xml:space="preserve">(2) </w:t>
      </w:r>
      <w:r w:rsidR="0015609C">
        <w:rPr>
          <w:color w:val="000000"/>
          <w:szCs w:val="26"/>
        </w:rPr>
        <w:t xml:space="preserve"> </w:t>
      </w:r>
      <w:r w:rsidRPr="003B0637">
        <w:rPr>
          <w:color w:val="000000"/>
          <w:szCs w:val="26"/>
        </w:rPr>
        <w:t xml:space="preserve">For purposes of this section, a controlling interest is an interest, held by a person or a group acting in concert, which enables the beneficial holders to control at least 20% of the voting interest in the utility or its parent, regardless of the remoteness of the transaction. In determining whether a </w:t>
      </w:r>
      <w:r w:rsidRPr="003B0637">
        <w:rPr>
          <w:color w:val="000000"/>
          <w:szCs w:val="26"/>
        </w:rPr>
        <w:lastRenderedPageBreak/>
        <w:t>controlling interest is present, voting power arising from a contingent right shall be disregarded.</w:t>
      </w:r>
    </w:p>
    <w:p w14:paraId="3B5F7A4E" w14:textId="77777777" w:rsidR="002F2F9B" w:rsidRDefault="002F2F9B" w:rsidP="00502FC8">
      <w:pPr>
        <w:autoSpaceDE w:val="0"/>
        <w:autoSpaceDN w:val="0"/>
        <w:adjustRightInd w:val="0"/>
        <w:spacing w:line="240" w:lineRule="auto"/>
        <w:ind w:left="1440" w:right="1440" w:firstLine="0"/>
        <w:rPr>
          <w:szCs w:val="26"/>
        </w:rPr>
      </w:pPr>
    </w:p>
    <w:p w14:paraId="58E3E0BF" w14:textId="77777777" w:rsidR="0015609C" w:rsidRPr="003B0637" w:rsidRDefault="0015609C" w:rsidP="00502FC8">
      <w:pPr>
        <w:autoSpaceDE w:val="0"/>
        <w:autoSpaceDN w:val="0"/>
        <w:adjustRightInd w:val="0"/>
        <w:spacing w:line="240" w:lineRule="auto"/>
        <w:ind w:left="1440" w:right="1440" w:firstLine="0"/>
        <w:rPr>
          <w:szCs w:val="26"/>
        </w:rPr>
      </w:pPr>
    </w:p>
    <w:p w14:paraId="3931D422" w14:textId="77777777" w:rsidR="002F2F9B" w:rsidRPr="003B0637" w:rsidRDefault="002F2F9B" w:rsidP="00502FC8">
      <w:pPr>
        <w:autoSpaceDE w:val="0"/>
        <w:autoSpaceDN w:val="0"/>
        <w:adjustRightInd w:val="0"/>
        <w:spacing w:line="240" w:lineRule="auto"/>
        <w:ind w:right="1440" w:firstLine="0"/>
        <w:rPr>
          <w:color w:val="000000"/>
          <w:szCs w:val="26"/>
        </w:rPr>
      </w:pPr>
      <w:r w:rsidRPr="003B0637">
        <w:rPr>
          <w:color w:val="000000"/>
          <w:szCs w:val="26"/>
        </w:rPr>
        <w:t>52 Pa. Code § 69.901.</w:t>
      </w:r>
    </w:p>
    <w:bookmarkEnd w:id="6"/>
    <w:p w14:paraId="47A3E089" w14:textId="77777777" w:rsidR="002F2F9B" w:rsidRPr="003B0637" w:rsidRDefault="002F2F9B" w:rsidP="00502FC8">
      <w:pPr>
        <w:autoSpaceDE w:val="0"/>
        <w:autoSpaceDN w:val="0"/>
        <w:adjustRightInd w:val="0"/>
        <w:ind w:right="1440" w:firstLine="0"/>
        <w:rPr>
          <w:color w:val="000000"/>
          <w:szCs w:val="26"/>
        </w:rPr>
      </w:pPr>
    </w:p>
    <w:p w14:paraId="74E9CCD8" w14:textId="77777777" w:rsidR="00BC7E4C" w:rsidRPr="003B0637" w:rsidRDefault="00AB2318" w:rsidP="00502FC8">
      <w:r w:rsidRPr="003B0637">
        <w:t>Section 1103</w:t>
      </w:r>
      <w:r w:rsidR="00616058" w:rsidRPr="003B0637">
        <w:t>(a)</w:t>
      </w:r>
      <w:r w:rsidRPr="003B0637">
        <w:t xml:space="preserve"> of the Code establishes the standard for granting a certificate o</w:t>
      </w:r>
      <w:r w:rsidR="00BC7E4C" w:rsidRPr="003B0637">
        <w:t>f public convenience:</w:t>
      </w:r>
    </w:p>
    <w:p w14:paraId="48647BF2" w14:textId="77777777" w:rsidR="00BC7E4C" w:rsidRPr="003B0637" w:rsidRDefault="00BC7E4C" w:rsidP="00502FC8">
      <w:pPr>
        <w:ind w:firstLine="0"/>
      </w:pPr>
    </w:p>
    <w:p w14:paraId="51F3C7F5" w14:textId="77777777" w:rsidR="00BC7E4C" w:rsidRDefault="002A5A05" w:rsidP="00502FC8">
      <w:pPr>
        <w:spacing w:line="240" w:lineRule="auto"/>
        <w:ind w:left="1440" w:right="1440" w:firstLine="0"/>
        <w:rPr>
          <w:szCs w:val="26"/>
          <w:lang w:val="en"/>
        </w:rPr>
      </w:pPr>
      <w:r w:rsidRPr="003B0637">
        <w:rPr>
          <w:szCs w:val="26"/>
          <w:lang w:val="en"/>
        </w:rPr>
        <w:t>A certificate of public convenien</w:t>
      </w:r>
      <w:r w:rsidR="00BF7683" w:rsidRPr="003B0637">
        <w:rPr>
          <w:szCs w:val="26"/>
          <w:lang w:val="en"/>
        </w:rPr>
        <w:t>ce shall be granted</w:t>
      </w:r>
      <w:r w:rsidR="0015609C">
        <w:rPr>
          <w:szCs w:val="26"/>
          <w:lang w:val="en"/>
        </w:rPr>
        <w:t xml:space="preserve"> . . . </w:t>
      </w:r>
      <w:r w:rsidR="00BF7683" w:rsidRPr="003B0637">
        <w:rPr>
          <w:szCs w:val="26"/>
          <w:lang w:val="en"/>
        </w:rPr>
        <w:t xml:space="preserve">only if the </w:t>
      </w:r>
      <w:r w:rsidRPr="003B0637">
        <w:rPr>
          <w:szCs w:val="26"/>
          <w:lang w:val="en"/>
        </w:rPr>
        <w:t xml:space="preserve">commission shall find or determine that the granting </w:t>
      </w:r>
      <w:r w:rsidR="005F22CB" w:rsidRPr="003B0637">
        <w:rPr>
          <w:szCs w:val="26"/>
          <w:lang w:val="en"/>
        </w:rPr>
        <w:t xml:space="preserve">of such certificate </w:t>
      </w:r>
      <w:r w:rsidR="005F22CB" w:rsidRPr="003B0637">
        <w:rPr>
          <w:i/>
          <w:szCs w:val="26"/>
          <w:lang w:val="en"/>
        </w:rPr>
        <w:t>is necessary or proper for the service, accommodation, convenience or safety of the public</w:t>
      </w:r>
      <w:r w:rsidR="005F22CB" w:rsidRPr="003B0637">
        <w:rPr>
          <w:szCs w:val="26"/>
          <w:lang w:val="en"/>
        </w:rPr>
        <w:t>.</w:t>
      </w:r>
      <w:r w:rsidR="00BF7683" w:rsidRPr="003B0637">
        <w:rPr>
          <w:szCs w:val="26"/>
          <w:lang w:val="en"/>
        </w:rPr>
        <w:t xml:space="preserve">  </w:t>
      </w:r>
      <w:r w:rsidR="00BC7E4C" w:rsidRPr="003B0637">
        <w:rPr>
          <w:szCs w:val="26"/>
          <w:lang w:val="en"/>
        </w:rPr>
        <w:t>The commission, in granting such certificate, may impose such conditions as it may deem to be just and reasonable.</w:t>
      </w:r>
    </w:p>
    <w:p w14:paraId="104AE211" w14:textId="77777777" w:rsidR="0015609C" w:rsidRDefault="0015609C" w:rsidP="00502FC8">
      <w:pPr>
        <w:spacing w:line="240" w:lineRule="auto"/>
        <w:ind w:left="1440" w:right="1440" w:firstLine="0"/>
        <w:rPr>
          <w:szCs w:val="26"/>
          <w:lang w:val="en"/>
        </w:rPr>
      </w:pPr>
    </w:p>
    <w:p w14:paraId="23CF5469" w14:textId="77777777" w:rsidR="0015609C" w:rsidRPr="003B0637" w:rsidRDefault="0015609C" w:rsidP="00502FC8">
      <w:pPr>
        <w:spacing w:line="240" w:lineRule="auto"/>
        <w:ind w:left="1440" w:right="1440" w:firstLine="0"/>
        <w:rPr>
          <w:szCs w:val="26"/>
          <w:lang w:val="en"/>
        </w:rPr>
      </w:pPr>
    </w:p>
    <w:p w14:paraId="63E5F664" w14:textId="77777777" w:rsidR="00E76883" w:rsidRPr="003B0637" w:rsidRDefault="00BF7683" w:rsidP="00502FC8">
      <w:pPr>
        <w:ind w:firstLine="0"/>
        <w:rPr>
          <w:szCs w:val="26"/>
          <w:lang w:val="en"/>
        </w:rPr>
      </w:pPr>
      <w:r w:rsidRPr="003B0637">
        <w:rPr>
          <w:szCs w:val="26"/>
          <w:lang w:val="en"/>
        </w:rPr>
        <w:t>6</w:t>
      </w:r>
      <w:r w:rsidR="00AB2318" w:rsidRPr="003B0637">
        <w:rPr>
          <w:szCs w:val="26"/>
          <w:lang w:val="en"/>
        </w:rPr>
        <w:t>6 Pa. C.S. § 1103(a)</w:t>
      </w:r>
      <w:r w:rsidR="00D300D4">
        <w:rPr>
          <w:szCs w:val="26"/>
          <w:lang w:val="en"/>
        </w:rPr>
        <w:t>(emphasis added)</w:t>
      </w:r>
      <w:r w:rsidR="00BC7E4C" w:rsidRPr="003B0637">
        <w:rPr>
          <w:szCs w:val="26"/>
          <w:lang w:val="en"/>
        </w:rPr>
        <w:t>.</w:t>
      </w:r>
    </w:p>
    <w:p w14:paraId="082A47A7" w14:textId="77777777" w:rsidR="000C0491" w:rsidRPr="003B0637" w:rsidRDefault="000C0491" w:rsidP="00502FC8">
      <w:pPr>
        <w:rPr>
          <w:szCs w:val="26"/>
          <w:lang w:val="en"/>
        </w:rPr>
      </w:pPr>
    </w:p>
    <w:p w14:paraId="590B85AB" w14:textId="77777777" w:rsidR="005E1830" w:rsidRDefault="00F9225B" w:rsidP="007B7B4D">
      <w:pPr>
        <w:rPr>
          <w:szCs w:val="26"/>
          <w:lang w:val="en"/>
        </w:rPr>
      </w:pPr>
      <w:r w:rsidRPr="003B0637">
        <w:rPr>
          <w:szCs w:val="26"/>
          <w:lang w:val="en"/>
        </w:rPr>
        <w:t>According to the Pennsylvania Supreme Court, sat</w:t>
      </w:r>
      <w:r w:rsidR="00B64067" w:rsidRPr="003B0637">
        <w:rPr>
          <w:szCs w:val="26"/>
          <w:lang w:val="en"/>
        </w:rPr>
        <w:t>isfying the</w:t>
      </w:r>
      <w:r w:rsidRPr="003B0637">
        <w:rPr>
          <w:szCs w:val="26"/>
          <w:lang w:val="en"/>
        </w:rPr>
        <w:t xml:space="preserve"> standard</w:t>
      </w:r>
      <w:r w:rsidR="00B64067" w:rsidRPr="003B0637">
        <w:rPr>
          <w:szCs w:val="26"/>
          <w:lang w:val="en"/>
        </w:rPr>
        <w:t xml:space="preserve"> of Section 1103(a)</w:t>
      </w:r>
      <w:r w:rsidRPr="003B0637">
        <w:rPr>
          <w:szCs w:val="26"/>
          <w:lang w:val="en"/>
        </w:rPr>
        <w:t xml:space="preserve"> requires the Commission to find that the proposed transaction will “affirmatively promote the service, accommodation, convenience, or safety of the pubic in some substantial way.”  </w:t>
      </w:r>
      <w:r w:rsidRPr="003B0637">
        <w:rPr>
          <w:i/>
          <w:szCs w:val="26"/>
          <w:lang w:val="en"/>
        </w:rPr>
        <w:t>City of York v. Pa. PUC</w:t>
      </w:r>
      <w:r w:rsidRPr="003B0637">
        <w:rPr>
          <w:szCs w:val="26"/>
          <w:lang w:val="en"/>
        </w:rPr>
        <w:t>, 449 Pa. 136, 141, 295 A.2d 825, 828 (1972) (</w:t>
      </w:r>
      <w:r w:rsidRPr="003B0637">
        <w:rPr>
          <w:i/>
          <w:szCs w:val="26"/>
          <w:lang w:val="en"/>
        </w:rPr>
        <w:t>City of York</w:t>
      </w:r>
      <w:r w:rsidRPr="003B0637">
        <w:rPr>
          <w:szCs w:val="26"/>
          <w:lang w:val="en"/>
        </w:rPr>
        <w:t xml:space="preserve">). </w:t>
      </w:r>
      <w:r w:rsidR="00BF7683" w:rsidRPr="003B0637">
        <w:rPr>
          <w:szCs w:val="26"/>
          <w:lang w:val="en"/>
        </w:rPr>
        <w:t xml:space="preserve"> In establishing this precedent, </w:t>
      </w:r>
      <w:r w:rsidR="00E916EF" w:rsidRPr="003B0637">
        <w:rPr>
          <w:szCs w:val="26"/>
          <w:lang w:val="en"/>
        </w:rPr>
        <w:t xml:space="preserve">the Court </w:t>
      </w:r>
      <w:r w:rsidR="00BF7683" w:rsidRPr="003B0637">
        <w:rPr>
          <w:szCs w:val="26"/>
          <w:lang w:val="en"/>
        </w:rPr>
        <w:t xml:space="preserve">in </w:t>
      </w:r>
      <w:r w:rsidR="00BF7683" w:rsidRPr="003B0637">
        <w:rPr>
          <w:i/>
          <w:szCs w:val="26"/>
          <w:lang w:val="en"/>
        </w:rPr>
        <w:t>City of York</w:t>
      </w:r>
      <w:r w:rsidR="00BF7683" w:rsidRPr="003B0637">
        <w:rPr>
          <w:szCs w:val="26"/>
          <w:lang w:val="en"/>
        </w:rPr>
        <w:t xml:space="preserve"> </w:t>
      </w:r>
    </w:p>
    <w:p w14:paraId="2A13CD36" w14:textId="4A320C4A" w:rsidR="00FE03CF" w:rsidRPr="003B0637" w:rsidRDefault="00BE175D" w:rsidP="005E1830">
      <w:pPr>
        <w:keepNext/>
        <w:keepLines/>
        <w:ind w:firstLine="0"/>
        <w:rPr>
          <w:szCs w:val="26"/>
          <w:lang w:val="en"/>
        </w:rPr>
      </w:pPr>
      <w:r w:rsidRPr="003B0637">
        <w:rPr>
          <w:szCs w:val="26"/>
          <w:lang w:val="en"/>
        </w:rPr>
        <w:t>“</w:t>
      </w:r>
      <w:r w:rsidR="00616058" w:rsidRPr="003B0637">
        <w:rPr>
          <w:szCs w:val="26"/>
          <w:lang w:val="en"/>
        </w:rPr>
        <w:t>abandoned</w:t>
      </w:r>
      <w:r w:rsidRPr="003B0637">
        <w:rPr>
          <w:szCs w:val="26"/>
          <w:lang w:val="en"/>
        </w:rPr>
        <w:t>”</w:t>
      </w:r>
      <w:r w:rsidR="00616058" w:rsidRPr="003B0637">
        <w:rPr>
          <w:szCs w:val="26"/>
          <w:lang w:val="en"/>
        </w:rPr>
        <w:t xml:space="preserve"> </w:t>
      </w:r>
      <w:r w:rsidR="00BF7683" w:rsidRPr="003B0637">
        <w:rPr>
          <w:szCs w:val="26"/>
          <w:lang w:val="en"/>
        </w:rPr>
        <w:t>its own pr</w:t>
      </w:r>
      <w:r w:rsidR="00616058" w:rsidRPr="003B0637">
        <w:rPr>
          <w:szCs w:val="26"/>
          <w:lang w:val="en"/>
        </w:rPr>
        <w:t xml:space="preserve">evious </w:t>
      </w:r>
      <w:r w:rsidR="00BF7683" w:rsidRPr="003B0637">
        <w:rPr>
          <w:szCs w:val="26"/>
          <w:lang w:val="en"/>
        </w:rPr>
        <w:t xml:space="preserve">standard that upheld granting a certificate upon a finding of no adverse effect from the transaction, explaining </w:t>
      </w:r>
      <w:r w:rsidR="00E916EF" w:rsidRPr="003B0637">
        <w:rPr>
          <w:szCs w:val="26"/>
          <w:lang w:val="en"/>
        </w:rPr>
        <w:t>that the statute’s</w:t>
      </w:r>
      <w:r w:rsidR="00B64067" w:rsidRPr="003B0637">
        <w:rPr>
          <w:szCs w:val="26"/>
          <w:lang w:val="en"/>
        </w:rPr>
        <w:t xml:space="preserve"> clear</w:t>
      </w:r>
      <w:r w:rsidR="00E916EF" w:rsidRPr="003B0637">
        <w:rPr>
          <w:szCs w:val="26"/>
          <w:lang w:val="en"/>
        </w:rPr>
        <w:t xml:space="preserve"> command is that the Commission must find that the granting of a certificate “will affirmatively benefit the public.”  </w:t>
      </w:r>
      <w:r w:rsidR="00E916EF" w:rsidRPr="003B0637">
        <w:rPr>
          <w:i/>
          <w:szCs w:val="26"/>
          <w:lang w:val="en"/>
        </w:rPr>
        <w:t>Id</w:t>
      </w:r>
      <w:r w:rsidR="00E916EF" w:rsidRPr="003B0637">
        <w:rPr>
          <w:szCs w:val="26"/>
          <w:lang w:val="en"/>
        </w:rPr>
        <w:t>. (</w:t>
      </w:r>
      <w:r w:rsidR="00B64067" w:rsidRPr="003B0637">
        <w:rPr>
          <w:szCs w:val="26"/>
          <w:lang w:val="en"/>
        </w:rPr>
        <w:t xml:space="preserve">overruling in part, </w:t>
      </w:r>
      <w:r w:rsidR="00E916EF" w:rsidRPr="003B0637">
        <w:rPr>
          <w:i/>
          <w:szCs w:val="26"/>
          <w:lang w:val="en"/>
        </w:rPr>
        <w:t>Northern Pennsylvania Power Co</w:t>
      </w:r>
      <w:r w:rsidR="00E916EF" w:rsidRPr="003B0637">
        <w:rPr>
          <w:szCs w:val="26"/>
          <w:lang w:val="en"/>
        </w:rPr>
        <w:t>.</w:t>
      </w:r>
      <w:r w:rsidR="00B64067" w:rsidRPr="003B0637">
        <w:rPr>
          <w:szCs w:val="26"/>
          <w:lang w:val="en"/>
        </w:rPr>
        <w:t xml:space="preserve"> v. Pa. P.U.C., </w:t>
      </w:r>
      <w:r w:rsidR="00E916EF" w:rsidRPr="003B0637">
        <w:rPr>
          <w:szCs w:val="26"/>
          <w:lang w:val="en"/>
        </w:rPr>
        <w:t xml:space="preserve">333 Pa. </w:t>
      </w:r>
      <w:r w:rsidR="00B64067" w:rsidRPr="003B0637">
        <w:rPr>
          <w:szCs w:val="26"/>
          <w:lang w:val="en"/>
        </w:rPr>
        <w:t xml:space="preserve">265, </w:t>
      </w:r>
      <w:r w:rsidR="00E916EF" w:rsidRPr="003B0637">
        <w:rPr>
          <w:szCs w:val="26"/>
          <w:lang w:val="en"/>
        </w:rPr>
        <w:t>267, 5</w:t>
      </w:r>
      <w:r w:rsidR="00B64067" w:rsidRPr="003B0637">
        <w:rPr>
          <w:szCs w:val="26"/>
          <w:lang w:val="en"/>
        </w:rPr>
        <w:t xml:space="preserve"> </w:t>
      </w:r>
      <w:r w:rsidR="00E916EF" w:rsidRPr="003B0637">
        <w:rPr>
          <w:szCs w:val="26"/>
          <w:lang w:val="en"/>
        </w:rPr>
        <w:t>A.2d</w:t>
      </w:r>
      <w:r w:rsidR="00B64067" w:rsidRPr="003B0637">
        <w:rPr>
          <w:szCs w:val="26"/>
          <w:lang w:val="en"/>
        </w:rPr>
        <w:t xml:space="preserve"> 133,</w:t>
      </w:r>
      <w:r w:rsidR="00E916EF" w:rsidRPr="003B0637">
        <w:rPr>
          <w:szCs w:val="26"/>
          <w:lang w:val="en"/>
        </w:rPr>
        <w:t xml:space="preserve"> 134</w:t>
      </w:r>
      <w:r w:rsidR="00B64067" w:rsidRPr="003B0637">
        <w:rPr>
          <w:szCs w:val="26"/>
          <w:lang w:val="en"/>
        </w:rPr>
        <w:t>)</w:t>
      </w:r>
      <w:r w:rsidR="00FE03CF" w:rsidRPr="003B0637">
        <w:rPr>
          <w:i/>
          <w:szCs w:val="26"/>
          <w:lang w:val="en"/>
        </w:rPr>
        <w:t xml:space="preserve"> </w:t>
      </w:r>
      <w:r w:rsidR="00FE03CF" w:rsidRPr="003B0637">
        <w:rPr>
          <w:szCs w:val="26"/>
          <w:lang w:val="en"/>
        </w:rPr>
        <w:t>(</w:t>
      </w:r>
      <w:r w:rsidR="00FE03CF" w:rsidRPr="003B0637">
        <w:rPr>
          <w:i/>
          <w:szCs w:val="26"/>
          <w:lang w:val="en"/>
        </w:rPr>
        <w:t>Northern Pennsylvania Power Co</w:t>
      </w:r>
      <w:r w:rsidR="00BF7683" w:rsidRPr="003B0637">
        <w:rPr>
          <w:szCs w:val="26"/>
          <w:lang w:val="en"/>
        </w:rPr>
        <w:t>.) (</w:t>
      </w:r>
      <w:r w:rsidR="00616058" w:rsidRPr="003B0637">
        <w:rPr>
          <w:szCs w:val="26"/>
          <w:lang w:val="en"/>
        </w:rPr>
        <w:t xml:space="preserve">ruling that the </w:t>
      </w:r>
      <w:r w:rsidR="00BF7683" w:rsidRPr="003B0637">
        <w:rPr>
          <w:szCs w:val="26"/>
          <w:lang w:val="en"/>
        </w:rPr>
        <w:t>granting of a certificate</w:t>
      </w:r>
      <w:r w:rsidR="00616058" w:rsidRPr="003B0637">
        <w:rPr>
          <w:szCs w:val="26"/>
          <w:lang w:val="en"/>
        </w:rPr>
        <w:t xml:space="preserve"> will be upheld</w:t>
      </w:r>
      <w:r w:rsidR="00BF7683" w:rsidRPr="003B0637">
        <w:rPr>
          <w:szCs w:val="26"/>
          <w:lang w:val="en"/>
        </w:rPr>
        <w:t xml:space="preserve"> “unless it is established, by competent evidence, that the sale will adversely affect the public in some substantial way</w:t>
      </w:r>
      <w:r w:rsidR="0015609C">
        <w:rPr>
          <w:szCs w:val="26"/>
          <w:lang w:val="en"/>
        </w:rPr>
        <w:t xml:space="preserve"> . . .</w:t>
      </w:r>
      <w:r w:rsidR="00BF7683" w:rsidRPr="003B0637">
        <w:rPr>
          <w:szCs w:val="26"/>
          <w:lang w:val="en"/>
        </w:rPr>
        <w:t>”)</w:t>
      </w:r>
      <w:r w:rsidR="00616058" w:rsidRPr="003B0637">
        <w:rPr>
          <w:szCs w:val="26"/>
          <w:lang w:val="en"/>
        </w:rPr>
        <w:t>)</w:t>
      </w:r>
      <w:r w:rsidR="00BF7683" w:rsidRPr="003B0637">
        <w:rPr>
          <w:szCs w:val="26"/>
          <w:lang w:val="en"/>
        </w:rPr>
        <w:t>.</w:t>
      </w:r>
      <w:r w:rsidR="007B7B4D">
        <w:rPr>
          <w:szCs w:val="26"/>
          <w:lang w:val="en"/>
        </w:rPr>
        <w:t xml:space="preserve">  </w:t>
      </w:r>
      <w:r w:rsidR="00D300D4">
        <w:rPr>
          <w:szCs w:val="26"/>
          <w:lang w:val="en"/>
        </w:rPr>
        <w:t>More recently, t</w:t>
      </w:r>
      <w:r w:rsidR="00B64067" w:rsidRPr="003B0637">
        <w:rPr>
          <w:szCs w:val="26"/>
          <w:lang w:val="en"/>
        </w:rPr>
        <w:t>he Supreme Court explained</w:t>
      </w:r>
      <w:r w:rsidR="00FE03CF" w:rsidRPr="003B0637">
        <w:rPr>
          <w:szCs w:val="26"/>
          <w:lang w:val="en"/>
        </w:rPr>
        <w:t>:</w:t>
      </w:r>
    </w:p>
    <w:p w14:paraId="54B44D29" w14:textId="77777777" w:rsidR="00FE03CF" w:rsidRPr="003B0637" w:rsidRDefault="00FE03CF" w:rsidP="005E1830">
      <w:pPr>
        <w:rPr>
          <w:szCs w:val="26"/>
          <w:lang w:val="en"/>
        </w:rPr>
      </w:pPr>
      <w:bookmarkStart w:id="7" w:name="_Hlk2857694"/>
    </w:p>
    <w:p w14:paraId="2400EEBF" w14:textId="77777777" w:rsidR="00FE03CF" w:rsidRDefault="0063626E" w:rsidP="00502FC8">
      <w:pPr>
        <w:spacing w:line="240" w:lineRule="auto"/>
        <w:ind w:left="1440" w:right="1440" w:firstLine="0"/>
        <w:rPr>
          <w:color w:val="212121"/>
          <w:szCs w:val="26"/>
        </w:rPr>
      </w:pPr>
      <w:r w:rsidRPr="003B0637">
        <w:rPr>
          <w:szCs w:val="26"/>
          <w:lang w:val="en"/>
        </w:rPr>
        <w:lastRenderedPageBreak/>
        <w:t>In conducting the underlying inquiry, t</w:t>
      </w:r>
      <w:r w:rsidR="00FE03CF" w:rsidRPr="003B0637">
        <w:rPr>
          <w:szCs w:val="26"/>
          <w:lang w:val="en"/>
        </w:rPr>
        <w:t xml:space="preserve">he Commission is </w:t>
      </w:r>
      <w:r w:rsidR="00FE03CF" w:rsidRPr="003B0637">
        <w:rPr>
          <w:color w:val="212121"/>
          <w:szCs w:val="26"/>
        </w:rPr>
        <w:t>not required to secure legally binding commitments or to quantify benefits where this may be impractical, burdensome, or impossible; rather, the PUC properly applies a preponderance of the evidence standard to make factually-based determinations (including predictive ones informed by expert judgment) concerning certification matters.</w:t>
      </w:r>
    </w:p>
    <w:p w14:paraId="52D3C87D" w14:textId="77777777" w:rsidR="0015609C" w:rsidRDefault="0015609C" w:rsidP="00502FC8">
      <w:pPr>
        <w:spacing w:line="240" w:lineRule="auto"/>
        <w:ind w:left="1440" w:right="1440" w:firstLine="0"/>
        <w:rPr>
          <w:color w:val="212121"/>
          <w:szCs w:val="26"/>
        </w:rPr>
      </w:pPr>
    </w:p>
    <w:p w14:paraId="21BF389B" w14:textId="77777777" w:rsidR="0015609C" w:rsidRPr="003B0637" w:rsidRDefault="0015609C" w:rsidP="00502FC8">
      <w:pPr>
        <w:spacing w:line="240" w:lineRule="auto"/>
        <w:ind w:left="1440" w:right="1440" w:firstLine="0"/>
        <w:rPr>
          <w:szCs w:val="26"/>
          <w:lang w:val="en"/>
        </w:rPr>
      </w:pPr>
    </w:p>
    <w:p w14:paraId="3FEB59F1" w14:textId="7D0E4FDE" w:rsidR="00F9225B" w:rsidRPr="003B0637" w:rsidRDefault="00F9225B" w:rsidP="00502FC8">
      <w:pPr>
        <w:ind w:firstLine="0"/>
        <w:rPr>
          <w:szCs w:val="26"/>
          <w:lang w:val="en"/>
        </w:rPr>
      </w:pPr>
      <w:r w:rsidRPr="003B0637">
        <w:rPr>
          <w:i/>
          <w:szCs w:val="26"/>
          <w:lang w:val="en"/>
        </w:rPr>
        <w:t>Popowsky v. Pa. PUC</w:t>
      </w:r>
      <w:r w:rsidRPr="003B0637">
        <w:rPr>
          <w:szCs w:val="26"/>
          <w:lang w:val="en"/>
        </w:rPr>
        <w:t xml:space="preserve">, 594 Pa. 583, 611, 937 A.2d 1040, 1057 (2007) </w:t>
      </w:r>
      <w:r w:rsidRPr="003B0637">
        <w:rPr>
          <w:i/>
          <w:szCs w:val="26"/>
          <w:lang w:val="en"/>
        </w:rPr>
        <w:t>(Popowsky).</w:t>
      </w:r>
      <w:r w:rsidR="005323A7" w:rsidRPr="003B0637">
        <w:rPr>
          <w:i/>
          <w:szCs w:val="26"/>
          <w:lang w:val="en"/>
        </w:rPr>
        <w:t xml:space="preserve">  </w:t>
      </w:r>
      <w:bookmarkEnd w:id="7"/>
      <w:r w:rsidR="00FE03CF" w:rsidRPr="003B0637">
        <w:rPr>
          <w:szCs w:val="26"/>
          <w:lang w:val="en"/>
        </w:rPr>
        <w:t xml:space="preserve">Further, </w:t>
      </w:r>
      <w:r w:rsidR="002A5A05" w:rsidRPr="003B0637">
        <w:rPr>
          <w:szCs w:val="26"/>
          <w:lang w:val="en"/>
        </w:rPr>
        <w:t>the Court explained that demonstration of</w:t>
      </w:r>
      <w:r w:rsidR="00FE03CF" w:rsidRPr="003B0637">
        <w:rPr>
          <w:szCs w:val="26"/>
          <w:lang w:val="en"/>
        </w:rPr>
        <w:t xml:space="preserve"> </w:t>
      </w:r>
      <w:r w:rsidR="002A5A05" w:rsidRPr="003B0637">
        <w:rPr>
          <w:szCs w:val="26"/>
          <w:lang w:val="en"/>
        </w:rPr>
        <w:t xml:space="preserve">the </w:t>
      </w:r>
      <w:r w:rsidR="00D666E4" w:rsidRPr="003B0637">
        <w:rPr>
          <w:szCs w:val="26"/>
          <w:lang w:val="en"/>
        </w:rPr>
        <w:t xml:space="preserve">affirmative </w:t>
      </w:r>
      <w:r w:rsidR="00FE03CF" w:rsidRPr="003B0637">
        <w:rPr>
          <w:szCs w:val="26"/>
          <w:lang w:val="en"/>
        </w:rPr>
        <w:t xml:space="preserve">public benefit </w:t>
      </w:r>
      <w:r w:rsidRPr="003B0637">
        <w:rPr>
          <w:szCs w:val="26"/>
          <w:lang w:val="en"/>
        </w:rPr>
        <w:t xml:space="preserve">does not require that every customer receive a benefit from the proposed transaction.  </w:t>
      </w:r>
      <w:r w:rsidR="00FE03CF" w:rsidRPr="003B0637">
        <w:rPr>
          <w:i/>
          <w:szCs w:val="26"/>
          <w:lang w:val="en"/>
        </w:rPr>
        <w:t>Id</w:t>
      </w:r>
      <w:r w:rsidR="00FE03CF" w:rsidRPr="003B0637">
        <w:rPr>
          <w:szCs w:val="26"/>
          <w:lang w:val="en"/>
        </w:rPr>
        <w:t>.</w:t>
      </w:r>
      <w:r w:rsidRPr="003B0637">
        <w:rPr>
          <w:color w:val="000000"/>
          <w:szCs w:val="26"/>
        </w:rPr>
        <w:t xml:space="preserve"> </w:t>
      </w:r>
      <w:r w:rsidR="00D300D4">
        <w:rPr>
          <w:color w:val="000000"/>
          <w:szCs w:val="26"/>
        </w:rPr>
        <w:t xml:space="preserve">at </w:t>
      </w:r>
      <w:r w:rsidRPr="003B0637">
        <w:rPr>
          <w:color w:val="000000"/>
          <w:szCs w:val="26"/>
        </w:rPr>
        <w:t>617-18, 937 A.2d at 1061.</w:t>
      </w:r>
    </w:p>
    <w:p w14:paraId="42E63EE7" w14:textId="77777777" w:rsidR="00F9225B" w:rsidRPr="003B0637" w:rsidRDefault="00F9225B" w:rsidP="00502FC8">
      <w:pPr>
        <w:rPr>
          <w:color w:val="000000"/>
          <w:szCs w:val="26"/>
        </w:rPr>
      </w:pPr>
    </w:p>
    <w:p w14:paraId="16080148" w14:textId="77777777" w:rsidR="00D836D9" w:rsidRPr="003B0637" w:rsidRDefault="00E76883" w:rsidP="00502FC8">
      <w:pPr>
        <w:rPr>
          <w:szCs w:val="26"/>
        </w:rPr>
      </w:pPr>
      <w:r w:rsidRPr="003B0637">
        <w:rPr>
          <w:szCs w:val="26"/>
        </w:rPr>
        <w:t>T</w:t>
      </w:r>
      <w:r w:rsidR="004521DB" w:rsidRPr="003B0637">
        <w:rPr>
          <w:szCs w:val="26"/>
        </w:rPr>
        <w:t>he</w:t>
      </w:r>
      <w:r w:rsidR="00D836D9" w:rsidRPr="003B0637">
        <w:rPr>
          <w:szCs w:val="26"/>
        </w:rPr>
        <w:t xml:space="preserve"> Supreme Court has </w:t>
      </w:r>
      <w:r w:rsidR="004521DB" w:rsidRPr="003B0637">
        <w:rPr>
          <w:szCs w:val="26"/>
        </w:rPr>
        <w:t>further</w:t>
      </w:r>
      <w:r w:rsidR="00D836D9" w:rsidRPr="003B0637">
        <w:rPr>
          <w:szCs w:val="26"/>
        </w:rPr>
        <w:t xml:space="preserve"> </w:t>
      </w:r>
      <w:r w:rsidR="00D011B5" w:rsidRPr="003B0637">
        <w:rPr>
          <w:szCs w:val="26"/>
        </w:rPr>
        <w:t>explained</w:t>
      </w:r>
      <w:r w:rsidR="00D836D9" w:rsidRPr="003B0637">
        <w:rPr>
          <w:szCs w:val="26"/>
        </w:rPr>
        <w:t>:</w:t>
      </w:r>
    </w:p>
    <w:p w14:paraId="4C25E712" w14:textId="77777777" w:rsidR="00D836D9" w:rsidRPr="003B0637" w:rsidRDefault="00D836D9" w:rsidP="00502FC8">
      <w:pPr>
        <w:rPr>
          <w:szCs w:val="26"/>
        </w:rPr>
      </w:pPr>
    </w:p>
    <w:p w14:paraId="651E750E" w14:textId="77777777" w:rsidR="00D836D9" w:rsidRDefault="00D836D9" w:rsidP="00502FC8">
      <w:pPr>
        <w:spacing w:line="240" w:lineRule="auto"/>
        <w:ind w:left="1440" w:right="1440" w:firstLine="0"/>
        <w:rPr>
          <w:rFonts w:eastAsiaTheme="minorHAnsi"/>
          <w:szCs w:val="26"/>
        </w:rPr>
      </w:pPr>
      <w:r w:rsidRPr="003B0637">
        <w:rPr>
          <w:rFonts w:eastAsiaTheme="minorHAnsi"/>
          <w:szCs w:val="26"/>
        </w:rPr>
        <w:t xml:space="preserve">The PUC’s mandate with respect to the granting of certificates of public convenience is a broad one </w:t>
      </w:r>
      <w:r w:rsidRPr="003B0637">
        <w:rPr>
          <w:rFonts w:eastAsiaTheme="minorHAnsi"/>
          <w:i/>
          <w:szCs w:val="26"/>
        </w:rPr>
        <w:t xml:space="preserve">. . . </w:t>
      </w:r>
      <w:r w:rsidRPr="003B0637">
        <w:rPr>
          <w:rFonts w:eastAsiaTheme="minorHAnsi"/>
          <w:szCs w:val="26"/>
        </w:rPr>
        <w:t xml:space="preserve">The legislature, however, provided no definition of specifically what the criteria were to be in determining the propriety of granting a certificate, leaving the formulation of such criteria to the PUC </w:t>
      </w:r>
      <w:r w:rsidR="0010055B">
        <w:rPr>
          <w:rFonts w:eastAsiaTheme="minorHAnsi"/>
          <w:szCs w:val="26"/>
        </w:rPr>
        <w:t xml:space="preserve">. . . </w:t>
      </w:r>
    </w:p>
    <w:p w14:paraId="5C7D79EB" w14:textId="77777777" w:rsidR="0010055B" w:rsidRDefault="0010055B" w:rsidP="00502FC8">
      <w:pPr>
        <w:spacing w:line="240" w:lineRule="auto"/>
        <w:ind w:left="1440" w:right="1440" w:firstLine="0"/>
        <w:rPr>
          <w:rFonts w:eastAsiaTheme="minorHAnsi"/>
          <w:szCs w:val="26"/>
        </w:rPr>
      </w:pPr>
    </w:p>
    <w:p w14:paraId="54BB126C" w14:textId="77777777" w:rsidR="0010055B" w:rsidRPr="003B0637" w:rsidRDefault="0010055B" w:rsidP="00502FC8">
      <w:pPr>
        <w:spacing w:line="240" w:lineRule="auto"/>
        <w:ind w:left="1440" w:right="1440" w:firstLine="0"/>
        <w:rPr>
          <w:rFonts w:eastAsiaTheme="minorHAnsi"/>
          <w:szCs w:val="26"/>
        </w:rPr>
      </w:pPr>
    </w:p>
    <w:p w14:paraId="27BEA236" w14:textId="2375D259" w:rsidR="004521DB" w:rsidRPr="003B0637" w:rsidRDefault="00D836D9" w:rsidP="00502FC8">
      <w:pPr>
        <w:ind w:firstLine="0"/>
        <w:rPr>
          <w:szCs w:val="26"/>
        </w:rPr>
      </w:pPr>
      <w:r w:rsidRPr="003B0637">
        <w:rPr>
          <w:i/>
          <w:szCs w:val="26"/>
        </w:rPr>
        <w:t xml:space="preserve">Elite Industries, Inc. v. Pa. </w:t>
      </w:r>
      <w:r w:rsidR="00D300D4">
        <w:rPr>
          <w:i/>
          <w:szCs w:val="26"/>
        </w:rPr>
        <w:t>PUC</w:t>
      </w:r>
      <w:r w:rsidRPr="003B0637">
        <w:rPr>
          <w:szCs w:val="26"/>
        </w:rPr>
        <w:t xml:space="preserve">, </w:t>
      </w:r>
      <w:r w:rsidR="0026408F" w:rsidRPr="003B0637">
        <w:rPr>
          <w:szCs w:val="26"/>
        </w:rPr>
        <w:t xml:space="preserve">574 Pa. 476, 483, </w:t>
      </w:r>
      <w:r w:rsidRPr="003B0637">
        <w:rPr>
          <w:szCs w:val="26"/>
        </w:rPr>
        <w:t>832 A.2d 428, 432 (2003) (</w:t>
      </w:r>
      <w:r w:rsidRPr="003B0637">
        <w:rPr>
          <w:i/>
          <w:szCs w:val="26"/>
        </w:rPr>
        <w:t>Elite</w:t>
      </w:r>
      <w:r w:rsidRPr="003B0637">
        <w:rPr>
          <w:szCs w:val="26"/>
        </w:rPr>
        <w:t>)</w:t>
      </w:r>
      <w:r w:rsidR="00E76883" w:rsidRPr="003B0637">
        <w:rPr>
          <w:szCs w:val="26"/>
        </w:rPr>
        <w:t xml:space="preserve"> (</w:t>
      </w:r>
      <w:r w:rsidR="00E57A58" w:rsidRPr="003B0637">
        <w:rPr>
          <w:rFonts w:eastAsiaTheme="minorHAnsi"/>
          <w:szCs w:val="26"/>
        </w:rPr>
        <w:t xml:space="preserve">quoting </w:t>
      </w:r>
      <w:r w:rsidR="00E57A58" w:rsidRPr="003B0637">
        <w:rPr>
          <w:i/>
          <w:szCs w:val="26"/>
        </w:rPr>
        <w:t xml:space="preserve">Seaboard Tank Lines v. Pa. </w:t>
      </w:r>
      <w:r w:rsidR="00D300D4">
        <w:rPr>
          <w:i/>
          <w:szCs w:val="26"/>
        </w:rPr>
        <w:t>PUC</w:t>
      </w:r>
      <w:r w:rsidR="00E57A58" w:rsidRPr="003B0637">
        <w:rPr>
          <w:szCs w:val="26"/>
        </w:rPr>
        <w:t>, 502 A.2d 762, 764-65 (Pa. Cmwlth. 1985) (</w:t>
      </w:r>
      <w:r w:rsidR="00E57A58" w:rsidRPr="003B0637">
        <w:rPr>
          <w:i/>
          <w:szCs w:val="26"/>
        </w:rPr>
        <w:t>Seaboard</w:t>
      </w:r>
      <w:r w:rsidR="00E57A58" w:rsidRPr="003B0637">
        <w:rPr>
          <w:szCs w:val="26"/>
        </w:rPr>
        <w:t>)</w:t>
      </w:r>
      <w:r w:rsidR="003734F7" w:rsidRPr="003B0637">
        <w:rPr>
          <w:szCs w:val="26"/>
        </w:rPr>
        <w:t>)</w:t>
      </w:r>
      <w:r w:rsidR="00E76883" w:rsidRPr="003B0637">
        <w:rPr>
          <w:rFonts w:eastAsiaTheme="minorHAnsi"/>
          <w:szCs w:val="26"/>
        </w:rPr>
        <w:t xml:space="preserve">. </w:t>
      </w:r>
      <w:r w:rsidRPr="003B0637">
        <w:rPr>
          <w:rFonts w:eastAsiaTheme="minorHAnsi"/>
          <w:szCs w:val="26"/>
        </w:rPr>
        <w:t xml:space="preserve"> </w:t>
      </w:r>
      <w:r w:rsidR="00B628CB" w:rsidRPr="003B0637">
        <w:rPr>
          <w:rFonts w:eastAsiaTheme="minorHAnsi"/>
          <w:szCs w:val="26"/>
        </w:rPr>
        <w:t xml:space="preserve">In </w:t>
      </w:r>
      <w:r w:rsidR="00B628CB" w:rsidRPr="003B0637">
        <w:rPr>
          <w:rFonts w:eastAsiaTheme="minorHAnsi"/>
          <w:i/>
          <w:szCs w:val="26"/>
        </w:rPr>
        <w:t>Elite</w:t>
      </w:r>
      <w:r w:rsidR="00B628CB" w:rsidRPr="003B0637">
        <w:rPr>
          <w:rFonts w:eastAsiaTheme="minorHAnsi"/>
          <w:szCs w:val="26"/>
        </w:rPr>
        <w:t>, the Court upheld the C</w:t>
      </w:r>
      <w:r w:rsidR="00A51673" w:rsidRPr="003B0637">
        <w:rPr>
          <w:rFonts w:eastAsiaTheme="minorHAnsi"/>
          <w:szCs w:val="26"/>
        </w:rPr>
        <w:t xml:space="preserve">ommission’s elimination of the requirement that a common carrier demonstrate public need for the proposed service </w:t>
      </w:r>
      <w:r w:rsidR="00B628CB" w:rsidRPr="003B0637">
        <w:rPr>
          <w:rFonts w:eastAsiaTheme="minorHAnsi"/>
          <w:szCs w:val="26"/>
        </w:rPr>
        <w:t>in order to be granted a certificate of public convenience because such changes “were made in consideration of the public interest”</w:t>
      </w:r>
      <w:r w:rsidR="004521DB" w:rsidRPr="003B0637">
        <w:rPr>
          <w:rFonts w:eastAsiaTheme="minorHAnsi"/>
          <w:szCs w:val="26"/>
        </w:rPr>
        <w:t xml:space="preserve"> and because the Commission</w:t>
      </w:r>
      <w:r w:rsidR="00E96977" w:rsidRPr="003B0637">
        <w:rPr>
          <w:rFonts w:eastAsiaTheme="minorHAnsi"/>
          <w:szCs w:val="26"/>
        </w:rPr>
        <w:t xml:space="preserve"> “acted in public interest</w:t>
      </w:r>
      <w:r w:rsidR="00D300D4">
        <w:rPr>
          <w:rFonts w:eastAsiaTheme="minorHAnsi"/>
          <w:szCs w:val="26"/>
        </w:rPr>
        <w:t>[.]</w:t>
      </w:r>
      <w:r w:rsidR="00E96977" w:rsidRPr="003B0637">
        <w:rPr>
          <w:rFonts w:eastAsiaTheme="minorHAnsi"/>
          <w:szCs w:val="26"/>
        </w:rPr>
        <w:t>”</w:t>
      </w:r>
      <w:r w:rsidR="00B628CB" w:rsidRPr="003B0637">
        <w:rPr>
          <w:rFonts w:eastAsiaTheme="minorHAnsi"/>
          <w:szCs w:val="26"/>
        </w:rPr>
        <w:t xml:space="preserve">  </w:t>
      </w:r>
      <w:r w:rsidR="00E96977" w:rsidRPr="003B0637">
        <w:rPr>
          <w:rFonts w:eastAsiaTheme="minorHAnsi"/>
          <w:i/>
          <w:szCs w:val="26"/>
        </w:rPr>
        <w:t>Elite</w:t>
      </w:r>
      <w:r w:rsidR="00E96977" w:rsidRPr="003B0637">
        <w:rPr>
          <w:rFonts w:eastAsiaTheme="minorHAnsi"/>
          <w:szCs w:val="26"/>
        </w:rPr>
        <w:t xml:space="preserve">, </w:t>
      </w:r>
      <w:r w:rsidR="00E96977" w:rsidRPr="003B0637">
        <w:rPr>
          <w:szCs w:val="26"/>
        </w:rPr>
        <w:t>574 Pa. at 484.</w:t>
      </w:r>
    </w:p>
    <w:p w14:paraId="5761B773" w14:textId="77777777" w:rsidR="004521DB" w:rsidRPr="003B0637" w:rsidRDefault="004521DB" w:rsidP="00502FC8">
      <w:pPr>
        <w:ind w:firstLine="0"/>
        <w:rPr>
          <w:szCs w:val="26"/>
        </w:rPr>
      </w:pPr>
    </w:p>
    <w:p w14:paraId="5AC79BB4" w14:textId="77777777" w:rsidR="002A5A05" w:rsidRPr="003B0637" w:rsidRDefault="004521DB" w:rsidP="00313FD8">
      <w:pPr>
        <w:keepNext/>
        <w:keepLines/>
        <w:rPr>
          <w:rFonts w:eastAsiaTheme="minorHAnsi"/>
          <w:szCs w:val="26"/>
        </w:rPr>
      </w:pPr>
      <w:r w:rsidRPr="003B0637">
        <w:rPr>
          <w:szCs w:val="26"/>
        </w:rPr>
        <w:lastRenderedPageBreak/>
        <w:t xml:space="preserve">Regarding the Court’s decision in </w:t>
      </w:r>
      <w:r w:rsidRPr="003B0637">
        <w:rPr>
          <w:i/>
          <w:szCs w:val="26"/>
        </w:rPr>
        <w:t>Elite</w:t>
      </w:r>
      <w:r w:rsidRPr="003B0637">
        <w:rPr>
          <w:szCs w:val="26"/>
        </w:rPr>
        <w:t xml:space="preserve">, </w:t>
      </w:r>
      <w:r w:rsidR="002A5A05" w:rsidRPr="003B0637">
        <w:rPr>
          <w:szCs w:val="26"/>
        </w:rPr>
        <w:t>w</w:t>
      </w:r>
      <w:r w:rsidR="00D836D9" w:rsidRPr="003B0637">
        <w:rPr>
          <w:rFonts w:eastAsiaTheme="minorHAnsi"/>
          <w:szCs w:val="26"/>
        </w:rPr>
        <w:t xml:space="preserve">e have previously </w:t>
      </w:r>
      <w:r w:rsidR="002A5A05" w:rsidRPr="003B0637">
        <w:rPr>
          <w:rFonts w:eastAsiaTheme="minorHAnsi"/>
          <w:szCs w:val="26"/>
        </w:rPr>
        <w:t>stated:</w:t>
      </w:r>
    </w:p>
    <w:p w14:paraId="36AD3BEE" w14:textId="77777777" w:rsidR="002A5A05" w:rsidRPr="003B0637" w:rsidRDefault="002A5A05" w:rsidP="00313FD8">
      <w:pPr>
        <w:keepNext/>
        <w:keepLines/>
        <w:ind w:firstLine="0"/>
        <w:rPr>
          <w:rFonts w:eastAsiaTheme="minorHAnsi"/>
          <w:szCs w:val="26"/>
        </w:rPr>
      </w:pPr>
    </w:p>
    <w:p w14:paraId="2EE0F6BF" w14:textId="2A3A41E6" w:rsidR="002A5A05" w:rsidRDefault="002A5A05" w:rsidP="00502FC8">
      <w:pPr>
        <w:spacing w:line="240" w:lineRule="auto"/>
        <w:ind w:left="1440" w:right="1440" w:firstLine="0"/>
        <w:rPr>
          <w:rFonts w:eastAsiaTheme="minorHAnsi"/>
          <w:szCs w:val="26"/>
        </w:rPr>
      </w:pPr>
      <w:r w:rsidRPr="003B0637">
        <w:rPr>
          <w:rFonts w:eastAsiaTheme="minorHAnsi"/>
          <w:szCs w:val="26"/>
        </w:rPr>
        <w:t>[T]</w:t>
      </w:r>
      <w:r w:rsidR="00D836D9" w:rsidRPr="003B0637">
        <w:rPr>
          <w:rFonts w:eastAsiaTheme="minorHAnsi"/>
          <w:szCs w:val="26"/>
        </w:rPr>
        <w:t xml:space="preserve">he </w:t>
      </w:r>
      <w:r w:rsidR="00D836D9" w:rsidRPr="003B0637">
        <w:rPr>
          <w:rFonts w:eastAsiaTheme="minorHAnsi"/>
          <w:i/>
          <w:szCs w:val="26"/>
        </w:rPr>
        <w:t>Elite</w:t>
      </w:r>
      <w:r w:rsidR="00D836D9" w:rsidRPr="003B0637">
        <w:rPr>
          <w:rFonts w:eastAsiaTheme="minorHAnsi"/>
          <w:szCs w:val="26"/>
        </w:rPr>
        <w:t xml:space="preserve"> and </w:t>
      </w:r>
      <w:r w:rsidR="00D836D9" w:rsidRPr="003B0637">
        <w:rPr>
          <w:rFonts w:eastAsiaTheme="minorHAnsi"/>
          <w:i/>
          <w:szCs w:val="26"/>
        </w:rPr>
        <w:t>Seaboard</w:t>
      </w:r>
      <w:r w:rsidR="00D836D9" w:rsidRPr="003B0637">
        <w:rPr>
          <w:rFonts w:eastAsiaTheme="minorHAnsi"/>
          <w:szCs w:val="26"/>
        </w:rPr>
        <w:t xml:space="preserve"> cases hold that the various and sp</w:t>
      </w:r>
      <w:r w:rsidR="00E76883" w:rsidRPr="003B0637">
        <w:rPr>
          <w:rFonts w:eastAsiaTheme="minorHAnsi"/>
          <w:szCs w:val="26"/>
        </w:rPr>
        <w:t>ecific factors t</w:t>
      </w:r>
      <w:r w:rsidR="003734F7" w:rsidRPr="003B0637">
        <w:rPr>
          <w:rFonts w:eastAsiaTheme="minorHAnsi"/>
          <w:szCs w:val="26"/>
        </w:rPr>
        <w:t xml:space="preserve">o be considered </w:t>
      </w:r>
      <w:r w:rsidR="00D836D9" w:rsidRPr="003B0637">
        <w:rPr>
          <w:rFonts w:eastAsiaTheme="minorHAnsi"/>
          <w:szCs w:val="26"/>
        </w:rPr>
        <w:t>in</w:t>
      </w:r>
      <w:r w:rsidR="00E96977" w:rsidRPr="003B0637">
        <w:rPr>
          <w:rFonts w:eastAsiaTheme="minorHAnsi"/>
          <w:szCs w:val="26"/>
        </w:rPr>
        <w:t xml:space="preserve"> determining whether to grant a certificate of public convenience </w:t>
      </w:r>
      <w:r w:rsidR="00D836D9" w:rsidRPr="003B0637">
        <w:rPr>
          <w:rFonts w:eastAsiaTheme="minorHAnsi"/>
          <w:szCs w:val="26"/>
        </w:rPr>
        <w:t>to an applicant</w:t>
      </w:r>
      <w:r w:rsidR="0010055B">
        <w:rPr>
          <w:rFonts w:eastAsiaTheme="minorHAnsi"/>
          <w:szCs w:val="26"/>
        </w:rPr>
        <w:t xml:space="preserve"> . . .</w:t>
      </w:r>
      <w:r w:rsidR="00D836D9" w:rsidRPr="003B0637">
        <w:rPr>
          <w:rFonts w:eastAsiaTheme="minorHAnsi"/>
          <w:szCs w:val="26"/>
        </w:rPr>
        <w:t xml:space="preserve">, beyond those expressly stated in </w:t>
      </w:r>
      <w:r w:rsidR="00E96977" w:rsidRPr="003B0637">
        <w:rPr>
          <w:rFonts w:eastAsiaTheme="minorHAnsi"/>
          <w:szCs w:val="26"/>
        </w:rPr>
        <w:t>the statute</w:t>
      </w:r>
      <w:r w:rsidR="00D836D9" w:rsidRPr="003B0637">
        <w:rPr>
          <w:rFonts w:eastAsiaTheme="minorHAnsi"/>
          <w:szCs w:val="26"/>
        </w:rPr>
        <w:t>, are matters left to the administrative expertise, sound discretion, and good judgement of the Commission.</w:t>
      </w:r>
    </w:p>
    <w:p w14:paraId="17FEE122" w14:textId="280FA141" w:rsidR="00013454" w:rsidRDefault="00013454" w:rsidP="00502FC8">
      <w:pPr>
        <w:spacing w:line="240" w:lineRule="auto"/>
        <w:ind w:left="1440" w:right="1440" w:firstLine="0"/>
        <w:rPr>
          <w:rFonts w:eastAsiaTheme="minorHAnsi"/>
          <w:szCs w:val="26"/>
        </w:rPr>
      </w:pPr>
    </w:p>
    <w:p w14:paraId="7AAA1486" w14:textId="77777777" w:rsidR="00013454" w:rsidRPr="003B0637" w:rsidRDefault="00013454" w:rsidP="00502FC8">
      <w:pPr>
        <w:spacing w:line="240" w:lineRule="auto"/>
        <w:ind w:left="1440" w:right="1440" w:firstLine="0"/>
        <w:rPr>
          <w:rFonts w:eastAsiaTheme="minorHAnsi"/>
          <w:szCs w:val="26"/>
        </w:rPr>
      </w:pPr>
    </w:p>
    <w:p w14:paraId="102D744E" w14:textId="77777777" w:rsidR="00D71161" w:rsidRPr="003B0637" w:rsidRDefault="00D836D9" w:rsidP="00502FC8">
      <w:pPr>
        <w:ind w:firstLine="0"/>
        <w:rPr>
          <w:rFonts w:eastAsiaTheme="minorHAnsi"/>
          <w:szCs w:val="26"/>
        </w:rPr>
      </w:pPr>
      <w:r w:rsidRPr="003B0637">
        <w:rPr>
          <w:rFonts w:eastAsiaTheme="minorHAnsi"/>
          <w:i/>
          <w:szCs w:val="26"/>
        </w:rPr>
        <w:t>See Final Rulemaking Amending 52 Pa. Code Chapters 1, 3, 5, 23 and 29 to Reduce Barriers to Entry for Passenger Motor Carriers</w:t>
      </w:r>
      <w:r w:rsidRPr="003B0637">
        <w:rPr>
          <w:rFonts w:eastAsiaTheme="minorHAnsi"/>
          <w:szCs w:val="26"/>
        </w:rPr>
        <w:t>, Docket No. L-2015-2507592 (Final Rulemaking Order entered October 27, 2016)</w:t>
      </w:r>
      <w:r w:rsidR="00CE4EC5" w:rsidRPr="003B0637">
        <w:rPr>
          <w:rFonts w:eastAsiaTheme="minorHAnsi"/>
          <w:szCs w:val="26"/>
        </w:rPr>
        <w:t xml:space="preserve"> (</w:t>
      </w:r>
      <w:r w:rsidR="00CE4EC5" w:rsidRPr="003B0637">
        <w:rPr>
          <w:rFonts w:eastAsiaTheme="minorHAnsi"/>
          <w:i/>
          <w:szCs w:val="26"/>
        </w:rPr>
        <w:t>Final Rulemaking</w:t>
      </w:r>
      <w:r w:rsidR="00CE4EC5" w:rsidRPr="003B0637">
        <w:rPr>
          <w:rFonts w:eastAsiaTheme="minorHAnsi"/>
          <w:szCs w:val="26"/>
        </w:rPr>
        <w:t>)</w:t>
      </w:r>
      <w:r w:rsidR="00D300D4">
        <w:rPr>
          <w:rFonts w:eastAsiaTheme="minorHAnsi"/>
          <w:szCs w:val="26"/>
        </w:rPr>
        <w:t>, slip op. at 6-7</w:t>
      </w:r>
      <w:r w:rsidRPr="003B0637">
        <w:rPr>
          <w:rFonts w:eastAsiaTheme="minorHAnsi"/>
          <w:szCs w:val="26"/>
        </w:rPr>
        <w:t>.</w:t>
      </w:r>
      <w:r w:rsidR="0093478F" w:rsidRPr="003B0637">
        <w:rPr>
          <w:rFonts w:eastAsiaTheme="minorHAnsi"/>
          <w:szCs w:val="26"/>
        </w:rPr>
        <w:t xml:space="preserve">  </w:t>
      </w:r>
    </w:p>
    <w:p w14:paraId="3AD38D6F" w14:textId="77777777" w:rsidR="00D71161" w:rsidRPr="003B0637" w:rsidRDefault="00D71161" w:rsidP="00502FC8">
      <w:pPr>
        <w:ind w:firstLine="0"/>
        <w:rPr>
          <w:rFonts w:eastAsiaTheme="minorHAnsi"/>
          <w:szCs w:val="26"/>
        </w:rPr>
      </w:pPr>
    </w:p>
    <w:p w14:paraId="60E59E89" w14:textId="7A135CCC" w:rsidR="00D71161" w:rsidRPr="003B0637" w:rsidRDefault="00D71161" w:rsidP="00502FC8">
      <w:pPr>
        <w:rPr>
          <w:rFonts w:eastAsiaTheme="minorHAnsi"/>
          <w:szCs w:val="26"/>
        </w:rPr>
      </w:pPr>
      <w:r w:rsidRPr="003B0637">
        <w:rPr>
          <w:szCs w:val="26"/>
        </w:rPr>
        <w:t xml:space="preserve">As the proponent of a rule or order by the Commission, </w:t>
      </w:r>
      <w:r w:rsidR="00C247D4" w:rsidRPr="003B0637">
        <w:rPr>
          <w:szCs w:val="26"/>
        </w:rPr>
        <w:t>PPL EU</w:t>
      </w:r>
      <w:r w:rsidRPr="003B0637">
        <w:rPr>
          <w:szCs w:val="26"/>
        </w:rPr>
        <w:t xml:space="preserve"> bears the burden of proof in this proceeding, pursuant to Section 332(a) of the Code.  66 Pa. C.S. §</w:t>
      </w:r>
      <w:r w:rsidR="0010055B">
        <w:rPr>
          <w:szCs w:val="26"/>
        </w:rPr>
        <w:t> </w:t>
      </w:r>
      <w:r w:rsidRPr="003B0637">
        <w:rPr>
          <w:szCs w:val="26"/>
        </w:rPr>
        <w:t xml:space="preserve">332(a).  To meet its burden of proof, </w:t>
      </w:r>
      <w:r w:rsidR="0011253C" w:rsidRPr="003B0637">
        <w:rPr>
          <w:szCs w:val="26"/>
        </w:rPr>
        <w:t>PPL EU</w:t>
      </w:r>
      <w:r w:rsidR="0010055B">
        <w:rPr>
          <w:szCs w:val="26"/>
        </w:rPr>
        <w:t xml:space="preserve"> </w:t>
      </w:r>
      <w:r w:rsidRPr="003B0637">
        <w:rPr>
          <w:szCs w:val="26"/>
        </w:rPr>
        <w:t xml:space="preserve">must establish its case by a preponderance of the evidence. </w:t>
      </w:r>
      <w:r w:rsidRPr="003B0637">
        <w:rPr>
          <w:i/>
          <w:szCs w:val="26"/>
        </w:rPr>
        <w:t>Samuel J. Lansberry, Inc. v. Pa. P</w:t>
      </w:r>
      <w:r w:rsidR="00D300D4">
        <w:rPr>
          <w:i/>
          <w:szCs w:val="26"/>
        </w:rPr>
        <w:t>UC</w:t>
      </w:r>
      <w:r w:rsidRPr="003B0637">
        <w:rPr>
          <w:szCs w:val="26"/>
        </w:rPr>
        <w:t>, 578 A.2d 600 (Pa.</w:t>
      </w:r>
      <w:r w:rsidR="00D300D4">
        <w:rPr>
          <w:szCs w:val="26"/>
        </w:rPr>
        <w:t xml:space="preserve"> </w:t>
      </w:r>
      <w:r w:rsidRPr="003B0637">
        <w:rPr>
          <w:szCs w:val="26"/>
        </w:rPr>
        <w:t xml:space="preserve">Cmwlth. 1990), </w:t>
      </w:r>
      <w:r w:rsidRPr="003B0637">
        <w:rPr>
          <w:i/>
          <w:szCs w:val="26"/>
        </w:rPr>
        <w:t>alloc. den</w:t>
      </w:r>
      <w:r w:rsidRPr="003B0637">
        <w:rPr>
          <w:szCs w:val="26"/>
        </w:rPr>
        <w:t xml:space="preserve">., 602 A.2d 863 (Pa. 1992).  That is, </w:t>
      </w:r>
      <w:r w:rsidR="00C247D4" w:rsidRPr="003B0637">
        <w:rPr>
          <w:szCs w:val="26"/>
        </w:rPr>
        <w:t>PPL EU</w:t>
      </w:r>
      <w:r w:rsidRPr="003B0637">
        <w:rPr>
          <w:szCs w:val="26"/>
        </w:rPr>
        <w:t xml:space="preserve"> must present evidence more convincing, by even the smallest amount, than that presented by any opposing party. </w:t>
      </w:r>
      <w:r w:rsidRPr="003B0637">
        <w:rPr>
          <w:i/>
          <w:szCs w:val="26"/>
        </w:rPr>
        <w:t>Se-Ling Hosiery v. Margulies</w:t>
      </w:r>
      <w:r w:rsidRPr="003B0637">
        <w:rPr>
          <w:szCs w:val="26"/>
        </w:rPr>
        <w:t>, 70 A.2d 854 (Pa. 1950).</w:t>
      </w:r>
    </w:p>
    <w:p w14:paraId="63FFC4FC" w14:textId="77777777" w:rsidR="00D71161" w:rsidRPr="003B0637" w:rsidRDefault="00D71161" w:rsidP="005E1830">
      <w:pPr>
        <w:rPr>
          <w:rFonts w:eastAsiaTheme="minorHAnsi"/>
          <w:szCs w:val="26"/>
        </w:rPr>
      </w:pPr>
    </w:p>
    <w:p w14:paraId="6634E1DE" w14:textId="77777777" w:rsidR="00D71161" w:rsidRPr="003B0637" w:rsidRDefault="00D71161" w:rsidP="005E1830">
      <w:pPr>
        <w:rPr>
          <w:szCs w:val="26"/>
        </w:rPr>
      </w:pPr>
      <w:r w:rsidRPr="003B0637">
        <w:rPr>
          <w:rFonts w:eastAsiaTheme="minorHAnsi"/>
          <w:szCs w:val="26"/>
        </w:rPr>
        <w:t>Adjudications by the Commission must be supported by substantial evidence in the record.  2 Pa.</w:t>
      </w:r>
      <w:r w:rsidR="00597B7A" w:rsidRPr="003B0637">
        <w:rPr>
          <w:rFonts w:eastAsiaTheme="minorHAnsi"/>
          <w:szCs w:val="26"/>
        </w:rPr>
        <w:t xml:space="preserve"> </w:t>
      </w:r>
      <w:r w:rsidRPr="003B0637">
        <w:rPr>
          <w:rFonts w:eastAsiaTheme="minorHAnsi"/>
          <w:szCs w:val="26"/>
        </w:rPr>
        <w:t xml:space="preserve">C.S. § 704.  </w:t>
      </w:r>
      <w:r w:rsidRPr="003B0637">
        <w:rPr>
          <w:szCs w:val="26"/>
        </w:rPr>
        <w:t xml:space="preserve">Substantial evidence is such relevant evidence that a reasonable mind might accept as adequate to support a conclusion.  </w:t>
      </w:r>
      <w:r w:rsidRPr="003B0637">
        <w:rPr>
          <w:i/>
          <w:szCs w:val="26"/>
        </w:rPr>
        <w:t>Consolidated Edison Company of New York v. National Labor Relations Board</w:t>
      </w:r>
      <w:r w:rsidRPr="003B0637">
        <w:rPr>
          <w:szCs w:val="26"/>
        </w:rPr>
        <w:t xml:space="preserve">, 305 U.S. 197, 229, 59 S.Ct. 206, 217.  More is required than a mere trace of evidence or a suspicion of the existence of a fact sought to be established.  </w:t>
      </w:r>
      <w:r w:rsidRPr="003B0637">
        <w:rPr>
          <w:i/>
          <w:szCs w:val="26"/>
        </w:rPr>
        <w:t xml:space="preserve">Norfolk &amp; Western Ry. Co. v. Pa. PUC, </w:t>
      </w:r>
      <w:r w:rsidRPr="003B0637">
        <w:rPr>
          <w:szCs w:val="26"/>
        </w:rPr>
        <w:t xml:space="preserve">489 Pa. 109, 413 A.2d 1037 (1980); </w:t>
      </w:r>
      <w:r w:rsidRPr="003B0637">
        <w:rPr>
          <w:i/>
          <w:szCs w:val="26"/>
        </w:rPr>
        <w:t>Erie Resistor Corp. v. Unemployment Comp. Bd. of Review</w:t>
      </w:r>
      <w:r w:rsidRPr="003B0637">
        <w:rPr>
          <w:szCs w:val="26"/>
        </w:rPr>
        <w:t xml:space="preserve">, 166 A.2d 96 (Pa. Super. 1961); </w:t>
      </w:r>
      <w:r w:rsidRPr="003B0637">
        <w:rPr>
          <w:i/>
          <w:szCs w:val="26"/>
        </w:rPr>
        <w:t>Murphy v. Comm. Dept. of Public Welfare, White Haven Center</w:t>
      </w:r>
      <w:r w:rsidRPr="003B0637">
        <w:rPr>
          <w:szCs w:val="26"/>
        </w:rPr>
        <w:t xml:space="preserve">, 480 A.2d 382 (Pa. Cmwlth. 1984). </w:t>
      </w:r>
    </w:p>
    <w:p w14:paraId="15C9F830" w14:textId="77777777" w:rsidR="00D71161" w:rsidRPr="003B0637" w:rsidRDefault="00D71161" w:rsidP="00502FC8">
      <w:pPr>
        <w:rPr>
          <w:rFonts w:eastAsiaTheme="minorHAnsi"/>
          <w:szCs w:val="26"/>
        </w:rPr>
      </w:pPr>
    </w:p>
    <w:p w14:paraId="00430A8E" w14:textId="0631D8D4" w:rsidR="00711B0E" w:rsidRPr="003B0637" w:rsidRDefault="00711B0E" w:rsidP="00502FC8">
      <w:pPr>
        <w:rPr>
          <w:rStyle w:val="Hyperlink"/>
          <w:color w:val="000000"/>
          <w:szCs w:val="26"/>
        </w:rPr>
      </w:pPr>
      <w:r w:rsidRPr="003B0637">
        <w:rPr>
          <w:rFonts w:eastAsiaTheme="minorHAnsi"/>
          <w:szCs w:val="26"/>
        </w:rPr>
        <w:t xml:space="preserve">As we proceed to review the litigated issues in this proceeding, we </w:t>
      </w:r>
      <w:r w:rsidRPr="003B0637">
        <w:rPr>
          <w:szCs w:val="26"/>
        </w:rPr>
        <w:t xml:space="preserve">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3B0637">
          <w:rPr>
            <w:rStyle w:val="Emphasis"/>
            <w:color w:val="000000"/>
            <w:szCs w:val="26"/>
          </w:rPr>
          <w:t xml:space="preserve">Consolidated Rail Corp. v. Pa. PUC, </w:t>
        </w:r>
        <w:r w:rsidRPr="003B0637">
          <w:rPr>
            <w:rStyle w:val="Hyperlink"/>
            <w:color w:val="000000"/>
            <w:szCs w:val="26"/>
          </w:rPr>
          <w:t>625 A.2d 741 (Pa. Cmwlth. 1993);</w:t>
        </w:r>
      </w:hyperlink>
      <w:r w:rsidRPr="003B0637">
        <w:rPr>
          <w:color w:val="000000"/>
          <w:szCs w:val="26"/>
        </w:rPr>
        <w:t xml:space="preserve"> </w:t>
      </w:r>
      <w:r w:rsidRPr="003B0637">
        <w:rPr>
          <w:i/>
          <w:color w:val="000000"/>
          <w:szCs w:val="26"/>
        </w:rPr>
        <w:t xml:space="preserve">also </w:t>
      </w:r>
      <w:r w:rsidRPr="003B0637">
        <w:rPr>
          <w:rStyle w:val="Emphasis"/>
          <w:color w:val="000000"/>
          <w:szCs w:val="26"/>
        </w:rPr>
        <w:t xml:space="preserve">see, generally, </w:t>
      </w:r>
      <w:hyperlink r:id="rId11" w:history="1">
        <w:r w:rsidRPr="003B0637">
          <w:rPr>
            <w:rStyle w:val="Emphasis"/>
            <w:color w:val="000000"/>
            <w:szCs w:val="26"/>
          </w:rPr>
          <w:t>University of Pennsylvania v. Pa. PUC</w:t>
        </w:r>
        <w:r w:rsidRPr="003B0637">
          <w:rPr>
            <w:rStyle w:val="Hyperlink"/>
            <w:color w:val="000000"/>
            <w:szCs w:val="26"/>
          </w:rPr>
          <w:t>, 485 A.2d 1217 (Pa. Cmwlth. 1984).</w:t>
        </w:r>
      </w:hyperlink>
    </w:p>
    <w:p w14:paraId="26F89725" w14:textId="77777777" w:rsidR="00711B0E" w:rsidRPr="003B0637" w:rsidRDefault="00711B0E" w:rsidP="00502FC8">
      <w:pPr>
        <w:rPr>
          <w:rStyle w:val="Hyperlink"/>
          <w:color w:val="000000"/>
          <w:szCs w:val="26"/>
        </w:rPr>
      </w:pPr>
    </w:p>
    <w:p w14:paraId="29CB2AB4" w14:textId="77777777" w:rsidR="00711B0E" w:rsidRPr="003B0637" w:rsidRDefault="00711B0E" w:rsidP="00502FC8">
      <w:pPr>
        <w:rPr>
          <w:szCs w:val="26"/>
        </w:rPr>
      </w:pPr>
      <w:r w:rsidRPr="003B0637">
        <w:rPr>
          <w:szCs w:val="26"/>
        </w:rPr>
        <w:t>ALJs Myers and Cheskis made eight Findings of Fact and reached thirteen Conclusions of Law.  R.D. at 3-4, 22-24.  The Findings of Fact and Conclusions of Law are incorporated herein by reference and are adopted without comment unless they are either expressly or by necessary implication rejected or modified by this Opinion and Order.</w:t>
      </w:r>
    </w:p>
    <w:p w14:paraId="72320F75" w14:textId="77777777" w:rsidR="00070A6C" w:rsidRPr="003B0637" w:rsidRDefault="00070A6C" w:rsidP="00502FC8">
      <w:pPr>
        <w:ind w:firstLine="0"/>
        <w:rPr>
          <w:i/>
          <w:szCs w:val="26"/>
        </w:rPr>
      </w:pPr>
    </w:p>
    <w:p w14:paraId="0587F411" w14:textId="77777777" w:rsidR="002430BD" w:rsidRPr="003B0637" w:rsidRDefault="00076AC4" w:rsidP="00502FC8">
      <w:pPr>
        <w:pStyle w:val="Heading2"/>
        <w:keepLines/>
        <w:rPr>
          <w:sz w:val="26"/>
          <w:szCs w:val="26"/>
        </w:rPr>
      </w:pPr>
      <w:bookmarkStart w:id="8" w:name="_Toc482969305"/>
      <w:bookmarkStart w:id="9" w:name="_Toc415316185"/>
      <w:r w:rsidRPr="003B0637">
        <w:rPr>
          <w:sz w:val="26"/>
          <w:szCs w:val="26"/>
        </w:rPr>
        <w:t>Litigated Issues</w:t>
      </w:r>
    </w:p>
    <w:p w14:paraId="4BAAEDB1" w14:textId="77777777" w:rsidR="009E1336" w:rsidRPr="003B0637" w:rsidRDefault="009E1336" w:rsidP="00502FC8">
      <w:pPr>
        <w:keepNext/>
        <w:keepLines/>
        <w:ind w:firstLine="0"/>
      </w:pPr>
    </w:p>
    <w:p w14:paraId="776D7E02" w14:textId="77777777" w:rsidR="00076AC4" w:rsidRPr="003B0637" w:rsidRDefault="005169BB" w:rsidP="00D36019">
      <w:pPr>
        <w:pStyle w:val="Heading2"/>
        <w:numPr>
          <w:ilvl w:val="0"/>
          <w:numId w:val="0"/>
        </w:numPr>
        <w:ind w:left="1440" w:hanging="720"/>
        <w:rPr>
          <w:sz w:val="26"/>
          <w:szCs w:val="26"/>
        </w:rPr>
      </w:pPr>
      <w:r>
        <w:rPr>
          <w:sz w:val="26"/>
          <w:szCs w:val="26"/>
        </w:rPr>
        <w:t>1.</w:t>
      </w:r>
      <w:r>
        <w:rPr>
          <w:sz w:val="26"/>
          <w:szCs w:val="26"/>
        </w:rPr>
        <w:tab/>
      </w:r>
      <w:r w:rsidR="00984C82" w:rsidRPr="003B0637">
        <w:rPr>
          <w:sz w:val="26"/>
          <w:szCs w:val="26"/>
        </w:rPr>
        <w:t>Appl</w:t>
      </w:r>
      <w:r w:rsidR="00A6265A">
        <w:rPr>
          <w:sz w:val="26"/>
          <w:szCs w:val="26"/>
        </w:rPr>
        <w:t xml:space="preserve">ication of </w:t>
      </w:r>
      <w:r w:rsidR="00984C82" w:rsidRPr="003B0637">
        <w:rPr>
          <w:sz w:val="26"/>
          <w:szCs w:val="26"/>
        </w:rPr>
        <w:t xml:space="preserve">Sections 1102 and 1103 of the Code </w:t>
      </w:r>
      <w:r w:rsidR="003734F7" w:rsidRPr="003B0637">
        <w:rPr>
          <w:sz w:val="26"/>
          <w:szCs w:val="26"/>
        </w:rPr>
        <w:t xml:space="preserve">to the </w:t>
      </w:r>
      <w:r w:rsidR="00C96F1E" w:rsidRPr="003B0637">
        <w:rPr>
          <w:sz w:val="26"/>
          <w:szCs w:val="26"/>
        </w:rPr>
        <w:t>Proposed Restructuring</w:t>
      </w:r>
    </w:p>
    <w:p w14:paraId="3E880358" w14:textId="77777777" w:rsidR="002B6789" w:rsidRPr="003B0637" w:rsidRDefault="002B6789" w:rsidP="00502FC8"/>
    <w:p w14:paraId="02F5211D" w14:textId="77777777" w:rsidR="002B6789" w:rsidRPr="003B0637" w:rsidRDefault="005169BB" w:rsidP="005169BB">
      <w:pPr>
        <w:pStyle w:val="Heading2"/>
        <w:numPr>
          <w:ilvl w:val="0"/>
          <w:numId w:val="0"/>
        </w:numPr>
        <w:ind w:left="1800" w:hanging="360"/>
        <w:rPr>
          <w:sz w:val="26"/>
          <w:szCs w:val="26"/>
        </w:rPr>
      </w:pPr>
      <w:bookmarkStart w:id="10" w:name="_Hlk2078005"/>
      <w:r>
        <w:rPr>
          <w:sz w:val="26"/>
          <w:szCs w:val="26"/>
        </w:rPr>
        <w:t>a.</w:t>
      </w:r>
      <w:r>
        <w:rPr>
          <w:sz w:val="26"/>
          <w:szCs w:val="26"/>
        </w:rPr>
        <w:tab/>
      </w:r>
      <w:r w:rsidR="002B6789" w:rsidRPr="003B0637">
        <w:rPr>
          <w:sz w:val="26"/>
          <w:szCs w:val="26"/>
        </w:rPr>
        <w:t>Positions of the Parties</w:t>
      </w:r>
    </w:p>
    <w:p w14:paraId="1103F65B" w14:textId="77777777" w:rsidR="002B6789" w:rsidRPr="003B0637" w:rsidRDefault="002B6789" w:rsidP="00502FC8">
      <w:pPr>
        <w:ind w:firstLine="0"/>
      </w:pPr>
    </w:p>
    <w:p w14:paraId="600EC9F7" w14:textId="77777777" w:rsidR="002B0A14" w:rsidRPr="003B0637" w:rsidRDefault="00564130" w:rsidP="00502FC8">
      <w:r w:rsidRPr="003B0637">
        <w:t>PPL EU</w:t>
      </w:r>
      <w:r w:rsidR="002B0A14" w:rsidRPr="003B0637">
        <w:t xml:space="preserve"> argued that it should not be required to obtain a certificate of public convenience, because the </w:t>
      </w:r>
      <w:r w:rsidR="00C96F1E" w:rsidRPr="003B0637">
        <w:t>Proposed Restructuring</w:t>
      </w:r>
      <w:r w:rsidR="002B0A14" w:rsidRPr="003B0637">
        <w:t xml:space="preserve"> amounts to a technical change in control and will have no negative effect on utility operations.  PPL M.B. at 5.</w:t>
      </w:r>
    </w:p>
    <w:p w14:paraId="3266EF75" w14:textId="77777777" w:rsidR="002B0A14" w:rsidRPr="003B0637" w:rsidRDefault="002B0A14" w:rsidP="00502FC8"/>
    <w:p w14:paraId="31FD3678" w14:textId="77777777" w:rsidR="002B6789" w:rsidRPr="003B0637" w:rsidRDefault="0011253C" w:rsidP="00502FC8">
      <w:r w:rsidRPr="003B0637">
        <w:t xml:space="preserve">PPL EU </w:t>
      </w:r>
      <w:r w:rsidR="00DF7DD0">
        <w:t xml:space="preserve">submitted </w:t>
      </w:r>
      <w:r w:rsidR="002B6789" w:rsidRPr="003B0637">
        <w:t>the Commission</w:t>
      </w:r>
      <w:r w:rsidR="00B01594">
        <w:t>,</w:t>
      </w:r>
      <w:r w:rsidR="002B6789" w:rsidRPr="003B0637">
        <w:t xml:space="preserve"> in its evaluation of Section 1102 Applications involving a proposed internal restructuring, </w:t>
      </w:r>
      <w:r w:rsidR="00B01594">
        <w:t xml:space="preserve">has </w:t>
      </w:r>
      <w:r w:rsidR="002B6789" w:rsidRPr="003B0637">
        <w:t xml:space="preserve">focused on whether the </w:t>
      </w:r>
      <w:r w:rsidR="00C96F1E" w:rsidRPr="003B0637">
        <w:t>Proposed Restructuring</w:t>
      </w:r>
      <w:r w:rsidR="002B6789" w:rsidRPr="003B0637">
        <w:t xml:space="preserve"> would result in ultimate change in control of a utility.  According to PPL, where there is no change in ultimate control and no impact on the management and operations of a utility, the utility should not be required to show that a </w:t>
      </w:r>
      <w:r w:rsidR="00C96F1E" w:rsidRPr="003B0637">
        <w:t xml:space="preserve">Proposed </w:t>
      </w:r>
      <w:r w:rsidR="00C96F1E" w:rsidRPr="003B0637">
        <w:lastRenderedPageBreak/>
        <w:t>Restructuring</w:t>
      </w:r>
      <w:r w:rsidR="002B6789" w:rsidRPr="003B0637">
        <w:t xml:space="preserve"> will result in affirmative public benefit</w:t>
      </w:r>
      <w:r w:rsidR="00DF7DD0">
        <w:t>s</w:t>
      </w:r>
      <w:r w:rsidR="002B6789" w:rsidRPr="003B0637">
        <w:t xml:space="preserve">.  </w:t>
      </w:r>
      <w:r w:rsidRPr="003B0637">
        <w:t xml:space="preserve">PPL EU </w:t>
      </w:r>
      <w:r w:rsidR="002B6789" w:rsidRPr="003B0637">
        <w:t xml:space="preserve">contended that in the instant Application, </w:t>
      </w:r>
      <w:r w:rsidR="00DF7DD0">
        <w:t>its</w:t>
      </w:r>
      <w:r w:rsidR="002B6789" w:rsidRPr="003B0637">
        <w:t xml:space="preserve"> fundamental management and operations will remain unchanged and the Application should </w:t>
      </w:r>
      <w:r w:rsidR="00DF7DD0">
        <w:t xml:space="preserve">therefore </w:t>
      </w:r>
      <w:r w:rsidR="002B6789" w:rsidRPr="003B0637">
        <w:t>be approved on that basis alone.  PPL M.B. at</w:t>
      </w:r>
      <w:r w:rsidR="00145496" w:rsidRPr="003B0637">
        <w:t> </w:t>
      </w:r>
      <w:r w:rsidR="002B6789" w:rsidRPr="003B0637">
        <w:t>4.</w:t>
      </w:r>
    </w:p>
    <w:p w14:paraId="5A1F60B3" w14:textId="77777777" w:rsidR="002B6789" w:rsidRPr="003B0637" w:rsidRDefault="002B6789" w:rsidP="00502FC8"/>
    <w:p w14:paraId="00CD9B55" w14:textId="77777777" w:rsidR="002B6789" w:rsidRPr="003B0637" w:rsidRDefault="002B6789" w:rsidP="00502FC8">
      <w:r w:rsidRPr="003B0637">
        <w:t xml:space="preserve">Additionally, PPL </w:t>
      </w:r>
      <w:r w:rsidR="00DF7DD0">
        <w:t>contended</w:t>
      </w:r>
      <w:r w:rsidRPr="003B0637">
        <w:t xml:space="preserve"> that the </w:t>
      </w:r>
      <w:r w:rsidR="00C96F1E" w:rsidRPr="003B0637">
        <w:t>Proposed Restructuring</w:t>
      </w:r>
      <w:r w:rsidRPr="003B0637">
        <w:t xml:space="preserve"> is merely a technical change in control because PPL Corporation will no lo</w:t>
      </w:r>
      <w:r w:rsidR="005920C5" w:rsidRPr="003B0637">
        <w:t xml:space="preserve">nger hold </w:t>
      </w:r>
      <w:r w:rsidR="00145496" w:rsidRPr="003B0637">
        <w:t>PPL EU</w:t>
      </w:r>
      <w:r w:rsidR="005920C5" w:rsidRPr="003B0637">
        <w:t xml:space="preserve">’s stock directly – </w:t>
      </w:r>
      <w:r w:rsidRPr="003B0637">
        <w:t xml:space="preserve">rather, two holding companies will be inserted between PPL Corporation and </w:t>
      </w:r>
      <w:r w:rsidR="00145496" w:rsidRPr="003B0637">
        <w:t>PPL EU</w:t>
      </w:r>
      <w:r w:rsidRPr="003B0637">
        <w:t xml:space="preserve">.  </w:t>
      </w:r>
      <w:r w:rsidR="00145496" w:rsidRPr="003B0637">
        <w:t>PPL EU</w:t>
      </w:r>
      <w:r w:rsidRPr="003B0637">
        <w:t xml:space="preserve"> pointed out that despite this insertion and change in structure, there will be no negative impact on the day-to-day management or operations of the </w:t>
      </w:r>
      <w:r w:rsidR="00DF7DD0">
        <w:t xml:space="preserve">regulated </w:t>
      </w:r>
      <w:r w:rsidRPr="003B0637">
        <w:t xml:space="preserve">utility.  </w:t>
      </w:r>
      <w:r w:rsidRPr="003B0637">
        <w:rPr>
          <w:i/>
        </w:rPr>
        <w:t>Id.</w:t>
      </w:r>
      <w:r w:rsidRPr="003B0637">
        <w:t xml:space="preserve"> at</w:t>
      </w:r>
      <w:r w:rsidR="00DF7DD0">
        <w:t> </w:t>
      </w:r>
      <w:r w:rsidRPr="003B0637">
        <w:t xml:space="preserve">5.  </w:t>
      </w:r>
      <w:r w:rsidR="00145496" w:rsidRPr="003B0637">
        <w:t>PPL EU</w:t>
      </w:r>
      <w:r w:rsidRPr="003B0637">
        <w:t xml:space="preserve"> averred that </w:t>
      </w:r>
      <w:r w:rsidR="00DF7DD0">
        <w:t xml:space="preserve">the Commission expressly stated in its </w:t>
      </w:r>
      <w:r w:rsidR="00DF7DD0">
        <w:rPr>
          <w:i/>
        </w:rPr>
        <w:t>Policy Statement Order</w:t>
      </w:r>
      <w:r w:rsidR="00DF7DD0">
        <w:t>, which addresses the</w:t>
      </w:r>
      <w:r w:rsidRPr="003B0637">
        <w:t xml:space="preserve"> review</w:t>
      </w:r>
      <w:r w:rsidR="00DF7DD0">
        <w:t xml:space="preserve"> of</w:t>
      </w:r>
      <w:r w:rsidRPr="003B0637">
        <w:t xml:space="preserve"> internal reorganizations or changes of control</w:t>
      </w:r>
      <w:r w:rsidR="00DF7DD0">
        <w:t xml:space="preserve">, </w:t>
      </w:r>
      <w:r w:rsidRPr="003B0637">
        <w:t xml:space="preserve">that such reviews are to determine whether the proposed transaction would have a fundamental effect on the management and operations of a utility.  </w:t>
      </w:r>
      <w:r w:rsidRPr="003B0637">
        <w:rPr>
          <w:i/>
        </w:rPr>
        <w:t>Id.</w:t>
      </w:r>
      <w:r w:rsidRPr="003B0637">
        <w:t xml:space="preserve"> (citing </w:t>
      </w:r>
      <w:r w:rsidRPr="003B0637">
        <w:rPr>
          <w:i/>
        </w:rPr>
        <w:t>Policy Statement</w:t>
      </w:r>
      <w:r w:rsidR="00D300D4">
        <w:rPr>
          <w:i/>
        </w:rPr>
        <w:t xml:space="preserve"> Order</w:t>
      </w:r>
      <w:r w:rsidRPr="003B0637">
        <w:rPr>
          <w:i/>
        </w:rPr>
        <w:t>,</w:t>
      </w:r>
      <w:r w:rsidRPr="003B0637">
        <w:t xml:space="preserve"> 1994 Pa. PUC LEXIS 56 at *11).</w:t>
      </w:r>
    </w:p>
    <w:p w14:paraId="6ACCB95C" w14:textId="77777777" w:rsidR="002B6789" w:rsidRPr="003B0637" w:rsidRDefault="002B6789" w:rsidP="00502FC8"/>
    <w:p w14:paraId="4AEFE214" w14:textId="77777777" w:rsidR="00DE53BC" w:rsidRPr="003B0637" w:rsidRDefault="00145496" w:rsidP="00502FC8">
      <w:r w:rsidRPr="003B0637">
        <w:t>PPL EU</w:t>
      </w:r>
      <w:r w:rsidR="002B6789" w:rsidRPr="003B0637">
        <w:t xml:space="preserve"> </w:t>
      </w:r>
      <w:r w:rsidR="00DF7DD0">
        <w:t xml:space="preserve">specifically </w:t>
      </w:r>
      <w:r w:rsidR="002B6789" w:rsidRPr="003B0637">
        <w:t xml:space="preserve">noted that the </w:t>
      </w:r>
      <w:r w:rsidR="002B6789" w:rsidRPr="00214C7D">
        <w:rPr>
          <w:i/>
        </w:rPr>
        <w:t>Policy Statement Order</w:t>
      </w:r>
      <w:r w:rsidR="002B6789" w:rsidRPr="003B0637">
        <w:t>, for the most part, focuse</w:t>
      </w:r>
      <w:r w:rsidR="00B01594">
        <w:t>s</w:t>
      </w:r>
      <w:r w:rsidR="002B6789" w:rsidRPr="003B0637">
        <w:t xml:space="preserve"> on transfers of utility property accomplished by mergers of utility parents or selling utility stock and changing ultimate ownership of utility property.  However, in the instant Application, </w:t>
      </w:r>
      <w:r w:rsidRPr="003B0637">
        <w:t>PPL EU</w:t>
      </w:r>
      <w:r w:rsidR="002B6789" w:rsidRPr="003B0637">
        <w:t xml:space="preserve"> </w:t>
      </w:r>
      <w:r w:rsidR="00DF7DD0">
        <w:t xml:space="preserve">asserted </w:t>
      </w:r>
      <w:r w:rsidR="002B6789" w:rsidRPr="003B0637">
        <w:t xml:space="preserve">there is no transfer of property to a new ultimate owner.  In this regard, </w:t>
      </w:r>
      <w:r w:rsidRPr="003B0637">
        <w:t>PPL EU</w:t>
      </w:r>
      <w:r w:rsidR="002B6789" w:rsidRPr="003B0637">
        <w:t xml:space="preserve"> noted that the Policy Statement is not binding</w:t>
      </w:r>
      <w:r w:rsidR="00DF7DD0">
        <w:t>,</w:t>
      </w:r>
      <w:r w:rsidR="002B6789" w:rsidRPr="003B0637">
        <w:t xml:space="preserve"> and the determination of whether a certificate under Section 1102 (a)(3) of the Code is needed depends on whether the transaction results in transfer of</w:t>
      </w:r>
      <w:r w:rsidR="00DE53BC" w:rsidRPr="003B0637">
        <w:t xml:space="preserve"> ownership.  PPL M.B. at 5-6.</w:t>
      </w:r>
    </w:p>
    <w:p w14:paraId="6FC0EE9B" w14:textId="77777777" w:rsidR="00DE53BC" w:rsidRPr="003B0637" w:rsidRDefault="00DE53BC" w:rsidP="00502FC8"/>
    <w:p w14:paraId="578EAC3D" w14:textId="77777777" w:rsidR="00DE53BC" w:rsidRPr="003B0637" w:rsidRDefault="002B6789" w:rsidP="00502FC8">
      <w:r w:rsidRPr="003B0637">
        <w:t xml:space="preserve">In addition, </w:t>
      </w:r>
      <w:r w:rsidR="00145496" w:rsidRPr="003B0637">
        <w:t>PPL EU</w:t>
      </w:r>
      <w:r w:rsidRPr="003B0637">
        <w:t xml:space="preserve"> averred that similar to </w:t>
      </w:r>
      <w:r w:rsidRPr="003B0637">
        <w:rPr>
          <w:i/>
        </w:rPr>
        <w:t>Duquesne,</w:t>
      </w:r>
      <w:r w:rsidRPr="003B0637">
        <w:rPr>
          <w:rStyle w:val="FootnoteReference"/>
          <w:szCs w:val="26"/>
        </w:rPr>
        <w:footnoteReference w:id="1"/>
      </w:r>
      <w:r w:rsidRPr="003B0637">
        <w:rPr>
          <w:szCs w:val="26"/>
        </w:rPr>
        <w:t xml:space="preserve"> </w:t>
      </w:r>
      <w:r w:rsidRPr="003B0637">
        <w:t xml:space="preserve">because there is no change in management and operations and no change in ultimate ownership in the instant </w:t>
      </w:r>
      <w:r w:rsidRPr="003B0637">
        <w:lastRenderedPageBreak/>
        <w:t xml:space="preserve">Application, the Commission should conclude that there is no requirement to obtain a certificate of public convenience under Section 1102(a)(3).  </w:t>
      </w:r>
      <w:r w:rsidR="00DE53BC" w:rsidRPr="003B0637">
        <w:t xml:space="preserve">In addition, </w:t>
      </w:r>
      <w:r w:rsidR="00145496" w:rsidRPr="003B0637">
        <w:t>PPL EU</w:t>
      </w:r>
      <w:r w:rsidR="00DE53BC" w:rsidRPr="003B0637">
        <w:t xml:space="preserve"> argued that similar to </w:t>
      </w:r>
      <w:r w:rsidR="00DE53BC" w:rsidRPr="003B0637">
        <w:rPr>
          <w:i/>
        </w:rPr>
        <w:t>Frontier</w:t>
      </w:r>
      <w:r w:rsidR="00DE53BC" w:rsidRPr="00080F70">
        <w:t>,</w:t>
      </w:r>
      <w:r w:rsidR="00C80796" w:rsidRPr="00080F70">
        <w:rPr>
          <w:rStyle w:val="FootnoteReference"/>
        </w:rPr>
        <w:footnoteReference w:id="2"/>
      </w:r>
      <w:r w:rsidR="00DE53BC" w:rsidRPr="003B0637">
        <w:t xml:space="preserve"> there should be no basis for </w:t>
      </w:r>
      <w:r w:rsidR="00145496" w:rsidRPr="003B0637">
        <w:t>PPL EU</w:t>
      </w:r>
      <w:r w:rsidR="00DE53BC" w:rsidRPr="003B0637">
        <w:t xml:space="preserve"> to demonstrate affirmative public benefit in this proceeding as the </w:t>
      </w:r>
      <w:r w:rsidR="00C96F1E" w:rsidRPr="003B0637">
        <w:t>Proposed Restructuring</w:t>
      </w:r>
      <w:r w:rsidR="00DE53BC" w:rsidRPr="003B0637">
        <w:t xml:space="preserve"> is simply an internal reorganization that does not result in a fundamental change in control.  PPL M.B. at 6-8 (citing</w:t>
      </w:r>
      <w:r w:rsidR="00DE53BC" w:rsidRPr="003B0637">
        <w:rPr>
          <w:i/>
        </w:rPr>
        <w:t xml:space="preserve"> Duquesne</w:t>
      </w:r>
      <w:r w:rsidR="00DE53BC" w:rsidRPr="003B0637">
        <w:t xml:space="preserve">; </w:t>
      </w:r>
      <w:r w:rsidR="00DE53BC" w:rsidRPr="003B0637">
        <w:rPr>
          <w:i/>
        </w:rPr>
        <w:t>Frontier</w:t>
      </w:r>
      <w:r w:rsidR="00DE53BC" w:rsidRPr="00B01594">
        <w:t>)</w:t>
      </w:r>
      <w:r w:rsidR="00DE53BC" w:rsidRPr="003B0637">
        <w:rPr>
          <w:i/>
        </w:rPr>
        <w:t>.</w:t>
      </w:r>
      <w:r w:rsidR="002B0A14" w:rsidRPr="003B0637">
        <w:rPr>
          <w:i/>
        </w:rPr>
        <w:t xml:space="preserve">  </w:t>
      </w:r>
      <w:r w:rsidR="00145496" w:rsidRPr="003B0637">
        <w:t>PPL EU</w:t>
      </w:r>
      <w:r w:rsidR="002B0A14" w:rsidRPr="003B0637">
        <w:t xml:space="preserve"> noted that the Commission approved Frontier’s application but did not issue a certificate of public convenience, suggesting that Section 1102 approval is not required at all for internal reorganizations that do not result in an ultimate change in control.  PPL M.B. at 7.</w:t>
      </w:r>
    </w:p>
    <w:p w14:paraId="17728AC9" w14:textId="77777777" w:rsidR="002B6789" w:rsidRPr="003B0637" w:rsidRDefault="002B6789" w:rsidP="00502FC8">
      <w:pPr>
        <w:rPr>
          <w:i/>
        </w:rPr>
      </w:pPr>
    </w:p>
    <w:p w14:paraId="204306B5" w14:textId="77777777" w:rsidR="002B6789" w:rsidRPr="003B0637" w:rsidRDefault="002B6789" w:rsidP="00502FC8">
      <w:r w:rsidRPr="003B0637">
        <w:t xml:space="preserve">The OSBA disagreed with </w:t>
      </w:r>
      <w:r w:rsidR="00DF7DD0">
        <w:t xml:space="preserve">PPL EU </w:t>
      </w:r>
      <w:r w:rsidRPr="003B0637">
        <w:t xml:space="preserve">arguments in support of its request for approval of the instant Application.  </w:t>
      </w:r>
      <w:r w:rsidR="00837E79" w:rsidRPr="003B0637">
        <w:t>T</w:t>
      </w:r>
      <w:r w:rsidRPr="003B0637">
        <w:t xml:space="preserve">he OSBA argued that </w:t>
      </w:r>
      <w:r w:rsidR="00661A66" w:rsidRPr="003B0637">
        <w:t>the Proposed Restructuring produces no affirmative public benefits and that only PPL Corporation and its shareholders would benefit from i</w:t>
      </w:r>
      <w:r w:rsidR="00661A66">
        <w:t>t</w:t>
      </w:r>
      <w:r w:rsidR="00661A66" w:rsidRPr="003B0637">
        <w:t xml:space="preserve">.  </w:t>
      </w:r>
      <w:r w:rsidR="00661A66">
        <w:t xml:space="preserve">In addition, the OSBA argued that </w:t>
      </w:r>
      <w:r w:rsidR="00502FC8">
        <w:t>if the Commission approved t</w:t>
      </w:r>
      <w:r w:rsidR="00661A66">
        <w:t xml:space="preserve">he </w:t>
      </w:r>
      <w:r w:rsidR="00C96F1E" w:rsidRPr="003B0637">
        <w:t>Proposed Restructuring</w:t>
      </w:r>
      <w:r w:rsidR="00502FC8">
        <w:t xml:space="preserve">, such approval </w:t>
      </w:r>
      <w:r w:rsidR="00661A66">
        <w:t>would require that the Commission issue a certifica</w:t>
      </w:r>
      <w:r w:rsidR="00502FC8">
        <w:t xml:space="preserve">te of public convenience pursuant to Section 1102(a)(3) of the Code </w:t>
      </w:r>
      <w:r w:rsidR="00502FC8" w:rsidRPr="003B0637">
        <w:t>66 Pa. C.S. §</w:t>
      </w:r>
      <w:r w:rsidR="00502FC8">
        <w:t> </w:t>
      </w:r>
      <w:r w:rsidR="00502FC8" w:rsidRPr="003B0637">
        <w:t>1102(a)(3)</w:t>
      </w:r>
      <w:r w:rsidR="00502FC8">
        <w:t>,</w:t>
      </w:r>
      <w:r w:rsidR="00502FC8">
        <w:rPr>
          <w:rStyle w:val="FootnoteReference"/>
        </w:rPr>
        <w:footnoteReference w:id="3"/>
      </w:r>
      <w:r w:rsidR="00502FC8" w:rsidRPr="003B0637">
        <w:t xml:space="preserve"> </w:t>
      </w:r>
      <w:r w:rsidR="00502FC8">
        <w:t xml:space="preserve">because it would </w:t>
      </w:r>
      <w:r w:rsidR="00AC6017" w:rsidRPr="003B0637">
        <w:t>involve</w:t>
      </w:r>
      <w:r w:rsidRPr="003B0637">
        <w:t xml:space="preserve"> a utility stock transfer and </w:t>
      </w:r>
      <w:r w:rsidR="00502FC8">
        <w:t xml:space="preserve">would </w:t>
      </w:r>
      <w:r w:rsidRPr="003B0637">
        <w:t>result in a change of control</w:t>
      </w:r>
      <w:r w:rsidR="00502FC8">
        <w:t>.</w:t>
      </w:r>
      <w:r w:rsidRPr="003B0637">
        <w:t xml:space="preserve">  </w:t>
      </w:r>
      <w:bookmarkStart w:id="11" w:name="_Hlk2080947"/>
      <w:r w:rsidRPr="003B0637">
        <w:t xml:space="preserve">OSBA M.B. </w:t>
      </w:r>
      <w:bookmarkEnd w:id="11"/>
      <w:r w:rsidRPr="003B0637">
        <w:t>at 3.</w:t>
      </w:r>
      <w:r w:rsidR="00502FC8">
        <w:t xml:space="preserve">  Thus, t</w:t>
      </w:r>
      <w:r w:rsidR="00661A66" w:rsidRPr="003B0637">
        <w:t xml:space="preserve">he OSBA argued that the Proposed Restructuring falls squarely under Section 66 Pa. C.S. § 1102(a)(3) because PPL Corporation plans to contribute all of the interests it holds in certain of its direct, wholly owned subsidiaries, including its shares in PPL EU and PPL EF, to Newco 1, which will </w:t>
      </w:r>
      <w:r w:rsidR="00661A66" w:rsidRPr="003B0637">
        <w:lastRenderedPageBreak/>
        <w:t>then contribute all of the shares received from PPL Corporation to Newco 2.  OSBA M.B. at 6 (citing 52 Pa. Code 69.901(b)(1)).</w:t>
      </w:r>
    </w:p>
    <w:p w14:paraId="4664FE62" w14:textId="77777777" w:rsidR="002B6789" w:rsidRPr="003B0637" w:rsidRDefault="002B6789" w:rsidP="00502FC8"/>
    <w:p w14:paraId="2B7FCB05" w14:textId="77777777" w:rsidR="00DE53BC" w:rsidRPr="003B0637" w:rsidRDefault="00DE53BC" w:rsidP="00502FC8">
      <w:r w:rsidRPr="003B0637">
        <w:t xml:space="preserve">Furthermore, the OSBA disputes </w:t>
      </w:r>
      <w:r w:rsidR="00145496" w:rsidRPr="003B0637">
        <w:t>PPL EU</w:t>
      </w:r>
      <w:r w:rsidRPr="003B0637">
        <w:t xml:space="preserve">’s attempt to focus this case on the “fundamental effect” language of the Commission’s Policy Statement rather the application of the </w:t>
      </w:r>
      <w:r w:rsidRPr="003B0637">
        <w:rPr>
          <w:i/>
        </w:rPr>
        <w:t>City of York</w:t>
      </w:r>
      <w:r w:rsidRPr="003B0637">
        <w:t xml:space="preserve"> standard.  According to the OSBA, the “fundamental effect” of the </w:t>
      </w:r>
      <w:r w:rsidR="00C96F1E" w:rsidRPr="003B0637">
        <w:t>Proposed Restructuring</w:t>
      </w:r>
      <w:r w:rsidRPr="003B0637">
        <w:t xml:space="preserve"> is that the Application meets the legal standard for a change of control of a utility and is therefore jurisdictional under 66 Pa. C.S. §</w:t>
      </w:r>
      <w:r w:rsidR="00502FC8">
        <w:t> </w:t>
      </w:r>
      <w:r w:rsidRPr="003B0637">
        <w:t xml:space="preserve">1102(a)(3) and 52 Pa. Code 69.901(a) and (b)(1).  </w:t>
      </w:r>
      <w:r w:rsidRPr="003B0637">
        <w:rPr>
          <w:i/>
        </w:rPr>
        <w:t>Id.</w:t>
      </w:r>
      <w:r w:rsidRPr="003B0637">
        <w:t xml:space="preserve"> at 8-10.  The OSBA averred that the </w:t>
      </w:r>
      <w:r w:rsidR="00C96F1E" w:rsidRPr="003B0637">
        <w:t>Proposed Restructuring</w:t>
      </w:r>
      <w:r w:rsidRPr="003B0637">
        <w:t xml:space="preserve"> meets the legal standard of a change of control as set forth in 52 Pa. Code 69.901(b)(1), and that the Application is jurisdictional under Section 1102(a)(3) and the </w:t>
      </w:r>
      <w:r w:rsidRPr="003B0637">
        <w:rPr>
          <w:i/>
        </w:rPr>
        <w:t>City of York</w:t>
      </w:r>
      <w:r w:rsidRPr="003B0637">
        <w:t xml:space="preserve"> standard.  Therefore, the affirmative benefit standard must be met before it can be approved.  OSBA M.B. at 10-11.</w:t>
      </w:r>
    </w:p>
    <w:p w14:paraId="609C5B5A" w14:textId="77777777" w:rsidR="002B6789" w:rsidRPr="003B0637" w:rsidRDefault="002B6789" w:rsidP="00502FC8">
      <w:pPr>
        <w:ind w:firstLine="0"/>
      </w:pPr>
    </w:p>
    <w:p w14:paraId="6969720C" w14:textId="77777777" w:rsidR="002B6789" w:rsidRPr="003B0637" w:rsidRDefault="005169BB" w:rsidP="005169BB">
      <w:pPr>
        <w:pStyle w:val="Heading2"/>
        <w:numPr>
          <w:ilvl w:val="0"/>
          <w:numId w:val="0"/>
        </w:numPr>
        <w:ind w:left="1800" w:hanging="360"/>
        <w:rPr>
          <w:sz w:val="26"/>
          <w:szCs w:val="26"/>
        </w:rPr>
      </w:pPr>
      <w:r>
        <w:rPr>
          <w:sz w:val="26"/>
          <w:szCs w:val="26"/>
        </w:rPr>
        <w:t>b.</w:t>
      </w:r>
      <w:r>
        <w:rPr>
          <w:sz w:val="26"/>
          <w:szCs w:val="26"/>
        </w:rPr>
        <w:tab/>
      </w:r>
      <w:r w:rsidR="002B6789" w:rsidRPr="003B0637">
        <w:rPr>
          <w:sz w:val="26"/>
          <w:szCs w:val="26"/>
        </w:rPr>
        <w:t>ALJs’ Recommendation</w:t>
      </w:r>
    </w:p>
    <w:p w14:paraId="0D4914D9" w14:textId="77777777" w:rsidR="002B6789" w:rsidRPr="003B0637" w:rsidRDefault="002B6789" w:rsidP="00502FC8">
      <w:pPr>
        <w:keepNext/>
        <w:keepLines/>
        <w:ind w:firstLine="0"/>
      </w:pPr>
    </w:p>
    <w:p w14:paraId="47B17E2E" w14:textId="77777777" w:rsidR="00070A6C" w:rsidRPr="003B0637" w:rsidRDefault="00070A6C" w:rsidP="00502FC8">
      <w:pPr>
        <w:rPr>
          <w:szCs w:val="26"/>
        </w:rPr>
      </w:pPr>
      <w:bookmarkStart w:id="12" w:name="_Hlk2592486"/>
      <w:r w:rsidRPr="003B0637">
        <w:rPr>
          <w:szCs w:val="26"/>
        </w:rPr>
        <w:t xml:space="preserve">The ALJs </w:t>
      </w:r>
      <w:r w:rsidR="00294D06">
        <w:rPr>
          <w:szCs w:val="26"/>
        </w:rPr>
        <w:t>agreed with t</w:t>
      </w:r>
      <w:r w:rsidRPr="003B0637">
        <w:rPr>
          <w:szCs w:val="26"/>
        </w:rPr>
        <w:t xml:space="preserve">he OSBA’s argument regarding this issue </w:t>
      </w:r>
      <w:r w:rsidR="00502FC8">
        <w:rPr>
          <w:szCs w:val="26"/>
        </w:rPr>
        <w:t xml:space="preserve">and noted </w:t>
      </w:r>
      <w:r w:rsidR="00513A1A" w:rsidRPr="003B0637">
        <w:rPr>
          <w:szCs w:val="26"/>
        </w:rPr>
        <w:t xml:space="preserve">that the </w:t>
      </w:r>
      <w:r w:rsidR="00C96F1E" w:rsidRPr="003B0637">
        <w:rPr>
          <w:szCs w:val="26"/>
        </w:rPr>
        <w:t>Proposed Restructuring</w:t>
      </w:r>
      <w:r w:rsidRPr="003B0637">
        <w:rPr>
          <w:szCs w:val="26"/>
        </w:rPr>
        <w:t xml:space="preserve"> constitutes sufficient change in control to trigger Sections 1102 and 1103 of the Code.  R.D. at 14.  </w:t>
      </w:r>
      <w:r w:rsidR="00294D06">
        <w:rPr>
          <w:szCs w:val="26"/>
        </w:rPr>
        <w:t>T</w:t>
      </w:r>
      <w:r w:rsidRPr="003B0637">
        <w:rPr>
          <w:szCs w:val="26"/>
        </w:rPr>
        <w:t xml:space="preserve">he ALJs </w:t>
      </w:r>
      <w:r w:rsidR="00294D06">
        <w:rPr>
          <w:szCs w:val="26"/>
        </w:rPr>
        <w:t xml:space="preserve">found, based on the </w:t>
      </w:r>
      <w:r w:rsidRPr="003B0637">
        <w:rPr>
          <w:szCs w:val="26"/>
        </w:rPr>
        <w:t xml:space="preserve"> testimony and evidence in t</w:t>
      </w:r>
      <w:r w:rsidR="00513A1A" w:rsidRPr="003B0637">
        <w:rPr>
          <w:szCs w:val="26"/>
        </w:rPr>
        <w:t>his case</w:t>
      </w:r>
      <w:r w:rsidR="00294D06">
        <w:rPr>
          <w:szCs w:val="26"/>
        </w:rPr>
        <w:t xml:space="preserve">, that </w:t>
      </w:r>
      <w:r w:rsidR="00513A1A" w:rsidRPr="003B0637">
        <w:rPr>
          <w:szCs w:val="26"/>
        </w:rPr>
        <w:t xml:space="preserve">the </w:t>
      </w:r>
      <w:r w:rsidR="00C96F1E" w:rsidRPr="003B0637">
        <w:rPr>
          <w:szCs w:val="26"/>
        </w:rPr>
        <w:t>Proposed Restructuring</w:t>
      </w:r>
      <w:r w:rsidRPr="003B0637">
        <w:rPr>
          <w:szCs w:val="26"/>
        </w:rPr>
        <w:t xml:space="preserve"> will place two new </w:t>
      </w:r>
      <w:r w:rsidR="00513A1A" w:rsidRPr="003B0637">
        <w:rPr>
          <w:szCs w:val="26"/>
        </w:rPr>
        <w:t xml:space="preserve">holding companies between </w:t>
      </w:r>
      <w:r w:rsidR="00145496" w:rsidRPr="003B0637">
        <w:rPr>
          <w:szCs w:val="26"/>
        </w:rPr>
        <w:t>PPL EU</w:t>
      </w:r>
      <w:r w:rsidRPr="003B0637">
        <w:rPr>
          <w:szCs w:val="26"/>
        </w:rPr>
        <w:t xml:space="preserve"> and its current direct parent, PPL Corporation.  Accor</w:t>
      </w:r>
      <w:r w:rsidR="00513A1A" w:rsidRPr="003B0637">
        <w:rPr>
          <w:szCs w:val="26"/>
        </w:rPr>
        <w:t xml:space="preserve">ding to the ALJs, based on the </w:t>
      </w:r>
      <w:r w:rsidR="00C96F1E" w:rsidRPr="003B0637">
        <w:rPr>
          <w:szCs w:val="26"/>
        </w:rPr>
        <w:t>Proposed Restructuring</w:t>
      </w:r>
      <w:r w:rsidRPr="003B0637">
        <w:rPr>
          <w:szCs w:val="26"/>
        </w:rPr>
        <w:t>, PPL Corporation plans to contribute all of the interests it holds in certain of its direct, wholly owned subsidiaries,</w:t>
      </w:r>
      <w:r w:rsidR="00513A1A" w:rsidRPr="003B0637">
        <w:rPr>
          <w:szCs w:val="26"/>
        </w:rPr>
        <w:t xml:space="preserve"> including its shares in </w:t>
      </w:r>
      <w:r w:rsidR="00145496" w:rsidRPr="003B0637">
        <w:rPr>
          <w:szCs w:val="26"/>
        </w:rPr>
        <w:t>PPL EU</w:t>
      </w:r>
      <w:r w:rsidR="00513A1A" w:rsidRPr="003B0637">
        <w:rPr>
          <w:szCs w:val="26"/>
        </w:rPr>
        <w:t xml:space="preserve">, </w:t>
      </w:r>
      <w:r w:rsidRPr="003B0637">
        <w:rPr>
          <w:szCs w:val="26"/>
        </w:rPr>
        <w:t xml:space="preserve">to Newco 1.  Newco 1 will then contribute all of those shares to Newco 2.  The ALJs noted that under the </w:t>
      </w:r>
      <w:r w:rsidR="00C96F1E" w:rsidRPr="003B0637">
        <w:rPr>
          <w:szCs w:val="26"/>
        </w:rPr>
        <w:t>Proposed Restructuring</w:t>
      </w:r>
      <w:r w:rsidRPr="003B0637">
        <w:rPr>
          <w:szCs w:val="26"/>
        </w:rPr>
        <w:t xml:space="preserve">, </w:t>
      </w:r>
      <w:r w:rsidR="00145496" w:rsidRPr="003B0637">
        <w:rPr>
          <w:szCs w:val="26"/>
        </w:rPr>
        <w:t>PPL EU</w:t>
      </w:r>
      <w:r w:rsidRPr="003B0637">
        <w:rPr>
          <w:szCs w:val="26"/>
        </w:rPr>
        <w:t xml:space="preserve"> will be a direct subsidiary of Newco 2 and an indirect subsidiary of Newco 1 and PPL Corporation.  Th</w:t>
      </w:r>
      <w:r w:rsidR="00294D06">
        <w:rPr>
          <w:szCs w:val="26"/>
        </w:rPr>
        <w:t>us, the</w:t>
      </w:r>
      <w:r w:rsidRPr="003B0637">
        <w:rPr>
          <w:szCs w:val="26"/>
        </w:rPr>
        <w:t xml:space="preserve"> ALJs concluded that this arrangement would result in sufficient change in control to trigger Sections 1102 and 1103 of the Code.  </w:t>
      </w:r>
      <w:r w:rsidRPr="003B0637">
        <w:rPr>
          <w:i/>
          <w:szCs w:val="26"/>
        </w:rPr>
        <w:t>Id.</w:t>
      </w:r>
    </w:p>
    <w:p w14:paraId="7F429122" w14:textId="77777777" w:rsidR="00070A6C" w:rsidRPr="003B0637" w:rsidRDefault="00070A6C" w:rsidP="00502FC8">
      <w:pPr>
        <w:rPr>
          <w:szCs w:val="26"/>
        </w:rPr>
      </w:pPr>
    </w:p>
    <w:p w14:paraId="37C6D12B" w14:textId="77777777" w:rsidR="00070A6C" w:rsidRPr="003B0637" w:rsidRDefault="00070A6C" w:rsidP="00502FC8">
      <w:pPr>
        <w:rPr>
          <w:szCs w:val="26"/>
        </w:rPr>
      </w:pPr>
      <w:r w:rsidRPr="003B0637">
        <w:rPr>
          <w:szCs w:val="26"/>
        </w:rPr>
        <w:lastRenderedPageBreak/>
        <w:t xml:space="preserve">Furthermore, </w:t>
      </w:r>
      <w:r w:rsidR="00294D06">
        <w:rPr>
          <w:szCs w:val="26"/>
        </w:rPr>
        <w:t xml:space="preserve">in noting their </w:t>
      </w:r>
      <w:r w:rsidRPr="003B0637">
        <w:rPr>
          <w:szCs w:val="26"/>
        </w:rPr>
        <w:t>agree</w:t>
      </w:r>
      <w:r w:rsidR="00294D06">
        <w:rPr>
          <w:szCs w:val="26"/>
        </w:rPr>
        <w:t xml:space="preserve">ment </w:t>
      </w:r>
      <w:r w:rsidRPr="003B0637">
        <w:rPr>
          <w:szCs w:val="26"/>
        </w:rPr>
        <w:t>with</w:t>
      </w:r>
      <w:r w:rsidRPr="003B0637">
        <w:rPr>
          <w:szCs w:val="24"/>
        </w:rPr>
        <w:t xml:space="preserve"> the OSBA</w:t>
      </w:r>
      <w:r w:rsidR="00294D06">
        <w:rPr>
          <w:szCs w:val="24"/>
        </w:rPr>
        <w:t>’s position on this issue</w:t>
      </w:r>
      <w:r w:rsidRPr="003B0637">
        <w:rPr>
          <w:szCs w:val="24"/>
        </w:rPr>
        <w:t xml:space="preserve">, the ALJs </w:t>
      </w:r>
      <w:r w:rsidR="00294D06">
        <w:rPr>
          <w:szCs w:val="24"/>
        </w:rPr>
        <w:t xml:space="preserve">referenced </w:t>
      </w:r>
      <w:r w:rsidRPr="003B0637">
        <w:rPr>
          <w:szCs w:val="26"/>
        </w:rPr>
        <w:t xml:space="preserve">Section 69.901(b)(1) of the Policy Statement </w:t>
      </w:r>
      <w:r w:rsidR="00294D06">
        <w:rPr>
          <w:szCs w:val="26"/>
        </w:rPr>
        <w:t xml:space="preserve">which </w:t>
      </w:r>
      <w:r w:rsidRPr="003B0637">
        <w:rPr>
          <w:szCs w:val="26"/>
        </w:rPr>
        <w:t>provides that:</w:t>
      </w:r>
    </w:p>
    <w:p w14:paraId="6153365C" w14:textId="77777777" w:rsidR="00070A6C" w:rsidRPr="003B0637" w:rsidRDefault="00070A6C" w:rsidP="00502FC8">
      <w:pPr>
        <w:rPr>
          <w:szCs w:val="26"/>
        </w:rPr>
      </w:pPr>
    </w:p>
    <w:p w14:paraId="50595C29" w14:textId="77777777" w:rsidR="00070A6C" w:rsidRDefault="00070A6C" w:rsidP="00502FC8">
      <w:pPr>
        <w:autoSpaceDE w:val="0"/>
        <w:autoSpaceDN w:val="0"/>
        <w:adjustRightInd w:val="0"/>
        <w:spacing w:line="240" w:lineRule="auto"/>
        <w:ind w:left="1440" w:right="1440" w:firstLine="0"/>
        <w:rPr>
          <w:szCs w:val="26"/>
        </w:rPr>
      </w:pPr>
      <w:r w:rsidRPr="003B0637">
        <w:rPr>
          <w:bCs/>
          <w:i/>
          <w:color w:val="000000"/>
          <w:szCs w:val="26"/>
        </w:rPr>
        <w:t>A transaction or series of transactions resulting in a new controlling interest</w:t>
      </w:r>
      <w:r w:rsidRPr="003B0637">
        <w:rPr>
          <w:b/>
          <w:bCs/>
          <w:color w:val="000000"/>
          <w:szCs w:val="26"/>
        </w:rPr>
        <w:t xml:space="preserve"> </w:t>
      </w:r>
      <w:r w:rsidRPr="003B0637">
        <w:rPr>
          <w:color w:val="000000"/>
          <w:szCs w:val="26"/>
        </w:rPr>
        <w:t xml:space="preserve">is jurisdictional when the transaction or transactions </w:t>
      </w:r>
      <w:r w:rsidRPr="003B0637">
        <w:rPr>
          <w:bCs/>
          <w:i/>
          <w:color w:val="000000"/>
          <w:szCs w:val="26"/>
        </w:rPr>
        <w:t xml:space="preserve">result in a different entity becoming the beneficial </w:t>
      </w:r>
      <w:r w:rsidRPr="003B0637">
        <w:rPr>
          <w:bCs/>
          <w:i/>
          <w:szCs w:val="26"/>
        </w:rPr>
        <w:t>holder of the largest voting interest in the utility or parent, regardless of the tier</w:t>
      </w:r>
      <w:r w:rsidRPr="003B0637">
        <w:rPr>
          <w:bCs/>
          <w:szCs w:val="26"/>
        </w:rPr>
        <w:t xml:space="preserve">. </w:t>
      </w:r>
      <w:r w:rsidR="00294D06">
        <w:rPr>
          <w:bCs/>
          <w:szCs w:val="26"/>
        </w:rPr>
        <w:t xml:space="preserve"> </w:t>
      </w:r>
      <w:r w:rsidRPr="003B0637">
        <w:rPr>
          <w:szCs w:val="26"/>
        </w:rPr>
        <w:t>A transaction or series of transactions resulting in the elimination of a controlling interest is jurisdictional when the transaction or transactions result in the dissipation of the largest voting interest in the utility or parent, regardless of the tier.</w:t>
      </w:r>
    </w:p>
    <w:p w14:paraId="0F316A96" w14:textId="77777777" w:rsidR="00930B9A" w:rsidRDefault="00930B9A" w:rsidP="00502FC8">
      <w:pPr>
        <w:autoSpaceDE w:val="0"/>
        <w:autoSpaceDN w:val="0"/>
        <w:adjustRightInd w:val="0"/>
        <w:spacing w:line="240" w:lineRule="auto"/>
        <w:ind w:left="1440" w:right="1440" w:firstLine="0"/>
        <w:rPr>
          <w:szCs w:val="26"/>
        </w:rPr>
      </w:pPr>
    </w:p>
    <w:p w14:paraId="75D2C039" w14:textId="77777777" w:rsidR="00930B9A" w:rsidRPr="003B0637" w:rsidRDefault="00930B9A" w:rsidP="00502FC8">
      <w:pPr>
        <w:autoSpaceDE w:val="0"/>
        <w:autoSpaceDN w:val="0"/>
        <w:adjustRightInd w:val="0"/>
        <w:spacing w:line="240" w:lineRule="auto"/>
        <w:ind w:left="1440" w:right="1440" w:firstLine="0"/>
        <w:rPr>
          <w:szCs w:val="26"/>
        </w:rPr>
      </w:pPr>
    </w:p>
    <w:p w14:paraId="312552B4" w14:textId="77777777" w:rsidR="00070A6C" w:rsidRPr="003B0637" w:rsidRDefault="00070A6C" w:rsidP="00502FC8">
      <w:pPr>
        <w:ind w:firstLine="0"/>
        <w:rPr>
          <w:szCs w:val="26"/>
        </w:rPr>
      </w:pPr>
      <w:r w:rsidRPr="003B0637">
        <w:rPr>
          <w:i/>
          <w:szCs w:val="26"/>
        </w:rPr>
        <w:t>Id.</w:t>
      </w:r>
      <w:r w:rsidRPr="003B0637">
        <w:rPr>
          <w:szCs w:val="26"/>
        </w:rPr>
        <w:t xml:space="preserve"> at 14-15 (citing 52 Pa. Code § 69.901(b)(1)) (emphasis added).  Pursuant to the above language, the ALJs pointed out that the contribution of all of PPL Corporation’s interests including its shares in </w:t>
      </w:r>
      <w:r w:rsidR="00145496" w:rsidRPr="003B0637">
        <w:rPr>
          <w:szCs w:val="26"/>
        </w:rPr>
        <w:t>PPL EU</w:t>
      </w:r>
      <w:r w:rsidRPr="003B0637">
        <w:rPr>
          <w:szCs w:val="26"/>
        </w:rPr>
        <w:t xml:space="preserve"> and PPL EF to Newco 1, which will then contribute all of those shares to Newco 2, is a transaction or series of transactions resulting in a new controlling interest of </w:t>
      </w:r>
      <w:r w:rsidR="00145496" w:rsidRPr="003B0637">
        <w:rPr>
          <w:szCs w:val="26"/>
        </w:rPr>
        <w:t>PPL EU</w:t>
      </w:r>
      <w:r w:rsidRPr="003B0637">
        <w:rPr>
          <w:szCs w:val="26"/>
        </w:rPr>
        <w:t xml:space="preserve"> and results in a different entity becoming the beneficial holder of the largest voting interest in the utility or parent, regardless of the tier.  In light of the Policy Statement language above, the ALJs dismissed as misguided, </w:t>
      </w:r>
      <w:r w:rsidR="00145496" w:rsidRPr="003B0637">
        <w:rPr>
          <w:szCs w:val="26"/>
        </w:rPr>
        <w:t>PPL EU</w:t>
      </w:r>
      <w:r w:rsidRPr="003B0637">
        <w:rPr>
          <w:szCs w:val="26"/>
        </w:rPr>
        <w:t xml:space="preserve">’s argument that the </w:t>
      </w:r>
      <w:r w:rsidR="00C96F1E" w:rsidRPr="003B0637">
        <w:rPr>
          <w:szCs w:val="26"/>
        </w:rPr>
        <w:t>Proposed Restructuring</w:t>
      </w:r>
      <w:r w:rsidRPr="003B0637">
        <w:rPr>
          <w:szCs w:val="26"/>
        </w:rPr>
        <w:t xml:space="preserve"> is merely a technical change in control, especially because PPL Corporation will no longer hold </w:t>
      </w:r>
      <w:r w:rsidR="00145496" w:rsidRPr="003B0637">
        <w:rPr>
          <w:szCs w:val="26"/>
        </w:rPr>
        <w:t>PPL EU</w:t>
      </w:r>
      <w:r w:rsidRPr="003B0637">
        <w:rPr>
          <w:szCs w:val="26"/>
        </w:rPr>
        <w:t xml:space="preserve">’s stock directly.  According to the ALJs, </w:t>
      </w:r>
      <w:r w:rsidR="00145496" w:rsidRPr="003B0637">
        <w:rPr>
          <w:szCs w:val="26"/>
        </w:rPr>
        <w:t>PPL EU</w:t>
      </w:r>
      <w:r w:rsidRPr="003B0637">
        <w:rPr>
          <w:szCs w:val="26"/>
        </w:rPr>
        <w:t xml:space="preserve">’s </w:t>
      </w:r>
      <w:r w:rsidR="00C96F1E" w:rsidRPr="003B0637">
        <w:rPr>
          <w:szCs w:val="26"/>
        </w:rPr>
        <w:t>Proposed Restructuring</w:t>
      </w:r>
      <w:r w:rsidRPr="003B0637">
        <w:rPr>
          <w:szCs w:val="26"/>
        </w:rPr>
        <w:t xml:space="preserve"> results in a new controlling interest in </w:t>
      </w:r>
      <w:r w:rsidR="00145496" w:rsidRPr="003B0637">
        <w:rPr>
          <w:szCs w:val="26"/>
        </w:rPr>
        <w:t>PPL EU</w:t>
      </w:r>
      <w:r w:rsidRPr="003B0637">
        <w:rPr>
          <w:szCs w:val="26"/>
        </w:rPr>
        <w:t xml:space="preserve"> </w:t>
      </w:r>
      <w:r w:rsidR="00145496" w:rsidRPr="003B0637">
        <w:rPr>
          <w:szCs w:val="26"/>
        </w:rPr>
        <w:t>–</w:t>
      </w:r>
      <w:r w:rsidRPr="003B0637">
        <w:rPr>
          <w:szCs w:val="26"/>
        </w:rPr>
        <w:t xml:space="preserve"> as a direct subsidiary of PPL Energy Holdings, LLC and an indirect subsidiary of PPL Subsidiary Holdings, LLC.  The ALJs posited that </w:t>
      </w:r>
      <w:r w:rsidR="00145496" w:rsidRPr="003B0637">
        <w:rPr>
          <w:szCs w:val="26"/>
        </w:rPr>
        <w:t>PPL EU</w:t>
      </w:r>
      <w:r w:rsidRPr="003B0637">
        <w:rPr>
          <w:szCs w:val="26"/>
        </w:rPr>
        <w:t xml:space="preserve"> cannot argue that the </w:t>
      </w:r>
      <w:r w:rsidR="00C96F1E" w:rsidRPr="003B0637">
        <w:rPr>
          <w:szCs w:val="26"/>
        </w:rPr>
        <w:t>Proposed Restructuring</w:t>
      </w:r>
      <w:r w:rsidRPr="003B0637">
        <w:rPr>
          <w:szCs w:val="26"/>
        </w:rPr>
        <w:t xml:space="preserve"> is merely a technical change in control as it would result in new layers of ownership and control between </w:t>
      </w:r>
      <w:r w:rsidR="00145496" w:rsidRPr="003B0637">
        <w:rPr>
          <w:szCs w:val="26"/>
        </w:rPr>
        <w:t>PPL EU</w:t>
      </w:r>
      <w:r w:rsidRPr="003B0637">
        <w:rPr>
          <w:szCs w:val="26"/>
        </w:rPr>
        <w:t xml:space="preserve"> and PPL Corporation that were not present prior to the Restructuring.  R.D. at</w:t>
      </w:r>
      <w:r w:rsidR="00A6265A">
        <w:rPr>
          <w:szCs w:val="26"/>
        </w:rPr>
        <w:t> </w:t>
      </w:r>
      <w:r w:rsidRPr="003B0637">
        <w:rPr>
          <w:szCs w:val="26"/>
        </w:rPr>
        <w:t>15.</w:t>
      </w:r>
    </w:p>
    <w:p w14:paraId="7FE290F0" w14:textId="77777777" w:rsidR="00070A6C" w:rsidRPr="003B0637" w:rsidRDefault="00070A6C" w:rsidP="00502FC8">
      <w:pPr>
        <w:ind w:firstLine="0"/>
        <w:rPr>
          <w:szCs w:val="26"/>
        </w:rPr>
      </w:pPr>
    </w:p>
    <w:p w14:paraId="31DF4751" w14:textId="77777777" w:rsidR="00DE6E7B" w:rsidRDefault="00070A6C" w:rsidP="00502FC8">
      <w:pPr>
        <w:ind w:firstLine="0"/>
        <w:rPr>
          <w:szCs w:val="26"/>
        </w:rPr>
      </w:pPr>
      <w:r w:rsidRPr="003B0637">
        <w:rPr>
          <w:szCs w:val="26"/>
        </w:rPr>
        <w:lastRenderedPageBreak/>
        <w:tab/>
      </w:r>
      <w:r w:rsidRPr="003B0637">
        <w:rPr>
          <w:szCs w:val="26"/>
        </w:rPr>
        <w:tab/>
        <w:t xml:space="preserve">Next, the ALJs dismissed </w:t>
      </w:r>
      <w:r w:rsidR="00145496" w:rsidRPr="003B0637">
        <w:rPr>
          <w:szCs w:val="26"/>
        </w:rPr>
        <w:t>PPL EU</w:t>
      </w:r>
      <w:r w:rsidRPr="003B0637">
        <w:rPr>
          <w:szCs w:val="26"/>
        </w:rPr>
        <w:t>’s argument that Section 1102(a)(3) of the Code, 66 Pa. C.S. § 1102(a)(3),</w:t>
      </w:r>
      <w:r w:rsidR="000F618F">
        <w:rPr>
          <w:rStyle w:val="FootnoteReference"/>
          <w:szCs w:val="26"/>
        </w:rPr>
        <w:footnoteReference w:id="4"/>
      </w:r>
      <w:r w:rsidRPr="003B0637">
        <w:rPr>
          <w:szCs w:val="26"/>
        </w:rPr>
        <w:t xml:space="preserve"> applies only to transfers of utility property to a new ultimate owner.  According to the ALJs, the Commission’s Policy Statement on Section 1102(a)(3) of the Code defines when this type of transfer occurs, such as in the case of a merger or sale of utility stock, including by a parent or grandparent of a utility.  </w:t>
      </w:r>
      <w:r w:rsidRPr="003B0637">
        <w:rPr>
          <w:i/>
          <w:szCs w:val="26"/>
        </w:rPr>
        <w:t>Id.</w:t>
      </w:r>
      <w:r w:rsidRPr="003B0637">
        <w:rPr>
          <w:szCs w:val="26"/>
        </w:rPr>
        <w:t xml:space="preserve"> (citing 52 Pa. Code § 69.901).  </w:t>
      </w:r>
      <w:r w:rsidR="006564B1">
        <w:rPr>
          <w:szCs w:val="26"/>
        </w:rPr>
        <w:t>T</w:t>
      </w:r>
      <w:r w:rsidRPr="003B0637">
        <w:rPr>
          <w:szCs w:val="26"/>
        </w:rPr>
        <w:t>he ALJs</w:t>
      </w:r>
      <w:r w:rsidR="006564B1">
        <w:rPr>
          <w:szCs w:val="26"/>
        </w:rPr>
        <w:t xml:space="preserve"> were persuaded by the OSBA</w:t>
      </w:r>
      <w:r w:rsidR="00D21440">
        <w:rPr>
          <w:szCs w:val="26"/>
        </w:rPr>
        <w:t>’s</w:t>
      </w:r>
      <w:r w:rsidR="006564B1">
        <w:rPr>
          <w:szCs w:val="26"/>
        </w:rPr>
        <w:t xml:space="preserve"> argument that </w:t>
      </w:r>
      <w:r w:rsidRPr="003B0637">
        <w:rPr>
          <w:szCs w:val="26"/>
        </w:rPr>
        <w:t xml:space="preserve">PPL Corporation will be positioned as a pure holding company and intercompany financing, including managing the capital structures of the regulated utilities to comply with regulatory requirements, will be facilitated through the lower tier holding companies rather than PPL Corporation. </w:t>
      </w:r>
      <w:r w:rsidR="00D21440">
        <w:rPr>
          <w:szCs w:val="26"/>
        </w:rPr>
        <w:t xml:space="preserve"> </w:t>
      </w:r>
      <w:r w:rsidRPr="003B0637">
        <w:rPr>
          <w:szCs w:val="26"/>
        </w:rPr>
        <w:t>R.D. at 15-16 (citing PPL St. 1 at 4; Application at 6-7).</w:t>
      </w:r>
    </w:p>
    <w:p w14:paraId="5DBFB947" w14:textId="77777777" w:rsidR="00DE6E7B" w:rsidRDefault="00DE6E7B" w:rsidP="00502FC8">
      <w:pPr>
        <w:ind w:firstLine="0"/>
        <w:rPr>
          <w:szCs w:val="26"/>
        </w:rPr>
      </w:pPr>
    </w:p>
    <w:p w14:paraId="1F33C43E" w14:textId="77777777" w:rsidR="00070A6C" w:rsidRPr="003B0637" w:rsidRDefault="00DE6E7B" w:rsidP="00502FC8">
      <w:pPr>
        <w:ind w:firstLine="0"/>
        <w:rPr>
          <w:szCs w:val="26"/>
        </w:rPr>
      </w:pPr>
      <w:r>
        <w:rPr>
          <w:szCs w:val="26"/>
        </w:rPr>
        <w:tab/>
      </w:r>
      <w:r>
        <w:rPr>
          <w:szCs w:val="26"/>
        </w:rPr>
        <w:tab/>
        <w:t xml:space="preserve">According to the </w:t>
      </w:r>
      <w:r w:rsidR="00070A6C" w:rsidRPr="003B0637">
        <w:rPr>
          <w:szCs w:val="26"/>
        </w:rPr>
        <w:t xml:space="preserve">ALJs, PPL Corporation will become a pure holding company after it transfers all of its interests in </w:t>
      </w:r>
      <w:r w:rsidR="00145496" w:rsidRPr="003B0637">
        <w:rPr>
          <w:szCs w:val="26"/>
        </w:rPr>
        <w:t>PPL EU</w:t>
      </w:r>
      <w:r w:rsidR="00070A6C" w:rsidRPr="003B0637">
        <w:rPr>
          <w:szCs w:val="26"/>
        </w:rPr>
        <w:t xml:space="preserve"> to Newco 1.  Newco 2 will then receive all of the shares of </w:t>
      </w:r>
      <w:r w:rsidR="00145496" w:rsidRPr="003B0637">
        <w:rPr>
          <w:szCs w:val="26"/>
        </w:rPr>
        <w:t>PPL EU</w:t>
      </w:r>
      <w:r w:rsidR="00070A6C" w:rsidRPr="003B0637">
        <w:rPr>
          <w:szCs w:val="26"/>
        </w:rPr>
        <w:t xml:space="preserve"> from Newco 1 and Newco 1 or Newco 2 will then handle the regulatory compliance of </w:t>
      </w:r>
      <w:r w:rsidR="00145496" w:rsidRPr="003B0637">
        <w:rPr>
          <w:szCs w:val="26"/>
        </w:rPr>
        <w:t>PPL EU</w:t>
      </w:r>
      <w:r w:rsidR="00070A6C" w:rsidRPr="003B0637">
        <w:rPr>
          <w:szCs w:val="26"/>
        </w:rPr>
        <w:t xml:space="preserve">.  The tiered control of </w:t>
      </w:r>
      <w:r w:rsidR="00145496" w:rsidRPr="003B0637">
        <w:rPr>
          <w:szCs w:val="26"/>
        </w:rPr>
        <w:t>PPL EU</w:t>
      </w:r>
      <w:r w:rsidR="00070A6C" w:rsidRPr="003B0637">
        <w:rPr>
          <w:szCs w:val="26"/>
        </w:rPr>
        <w:t xml:space="preserve"> transfers from the parent, PPL Corporation, down to subsidiaries Newco 1 and Newco 2, including the handling of regulatory matters.  Based on </w:t>
      </w:r>
      <w:r w:rsidR="00AC6017" w:rsidRPr="003B0637">
        <w:rPr>
          <w:szCs w:val="26"/>
        </w:rPr>
        <w:t>this</w:t>
      </w:r>
      <w:r>
        <w:rPr>
          <w:szCs w:val="26"/>
        </w:rPr>
        <w:t xml:space="preserve"> </w:t>
      </w:r>
      <w:r w:rsidR="00070A6C" w:rsidRPr="003B0637">
        <w:rPr>
          <w:szCs w:val="26"/>
        </w:rPr>
        <w:t xml:space="preserve">arrangement, the ALJs agreed with the OSBA that the </w:t>
      </w:r>
      <w:r w:rsidR="00C96F1E" w:rsidRPr="003B0637">
        <w:rPr>
          <w:szCs w:val="26"/>
        </w:rPr>
        <w:t>Proposed Restructuring</w:t>
      </w:r>
      <w:r w:rsidR="00070A6C" w:rsidRPr="003B0637">
        <w:rPr>
          <w:szCs w:val="26"/>
        </w:rPr>
        <w:t xml:space="preserve"> is a “change of </w:t>
      </w:r>
      <w:r w:rsidR="00070A6C" w:rsidRPr="00DE6E7B">
        <w:rPr>
          <w:i/>
          <w:szCs w:val="26"/>
        </w:rPr>
        <w:t>de facto</w:t>
      </w:r>
      <w:r w:rsidR="00070A6C" w:rsidRPr="003B0637">
        <w:rPr>
          <w:szCs w:val="26"/>
        </w:rPr>
        <w:t xml:space="preserve"> control” of </w:t>
      </w:r>
      <w:r w:rsidR="00145496" w:rsidRPr="003B0637">
        <w:rPr>
          <w:szCs w:val="26"/>
        </w:rPr>
        <w:t>PPL EU</w:t>
      </w:r>
      <w:r w:rsidR="00070A6C" w:rsidRPr="003B0637">
        <w:rPr>
          <w:szCs w:val="26"/>
        </w:rPr>
        <w:t xml:space="preserve"> addressed by 52 Pa. Code § 69.901(b)(1).  R.D. at 16.</w:t>
      </w:r>
    </w:p>
    <w:p w14:paraId="1FFC4422" w14:textId="77777777" w:rsidR="00070A6C" w:rsidRPr="003B0637" w:rsidRDefault="00070A6C" w:rsidP="00502FC8">
      <w:pPr>
        <w:ind w:firstLine="0"/>
        <w:rPr>
          <w:szCs w:val="26"/>
        </w:rPr>
      </w:pPr>
    </w:p>
    <w:p w14:paraId="2BCE9C60" w14:textId="77777777" w:rsidR="00070A6C" w:rsidRPr="003B0637" w:rsidRDefault="00070A6C" w:rsidP="00502FC8">
      <w:pPr>
        <w:ind w:firstLine="0"/>
        <w:rPr>
          <w:szCs w:val="26"/>
        </w:rPr>
      </w:pPr>
      <w:r w:rsidRPr="003B0637">
        <w:rPr>
          <w:szCs w:val="26"/>
        </w:rPr>
        <w:tab/>
      </w:r>
      <w:r w:rsidRPr="003B0637">
        <w:rPr>
          <w:szCs w:val="26"/>
        </w:rPr>
        <w:tab/>
        <w:t xml:space="preserve">Next, the ALJs dismissed as inaccurate, </w:t>
      </w:r>
      <w:r w:rsidR="00145496" w:rsidRPr="003B0637">
        <w:rPr>
          <w:szCs w:val="26"/>
        </w:rPr>
        <w:t>PPL EU</w:t>
      </w:r>
      <w:r w:rsidRPr="003B0637">
        <w:rPr>
          <w:szCs w:val="26"/>
        </w:rPr>
        <w:t xml:space="preserve">’s argument that the OSBA would require transactions involving nonregulated businesses to provide substantial benefits to customers of the regulated utility.  Rather, the ALJs acknowledged that the </w:t>
      </w:r>
      <w:r w:rsidRPr="003B0637">
        <w:rPr>
          <w:color w:val="000000"/>
          <w:szCs w:val="26"/>
        </w:rPr>
        <w:t xml:space="preserve">OSBA argued that the </w:t>
      </w:r>
      <w:r w:rsidR="00C96F1E" w:rsidRPr="003B0637">
        <w:rPr>
          <w:color w:val="000000"/>
          <w:szCs w:val="26"/>
        </w:rPr>
        <w:t>Proposed Restructuring</w:t>
      </w:r>
      <w:r w:rsidRPr="003B0637">
        <w:rPr>
          <w:color w:val="000000"/>
          <w:szCs w:val="26"/>
        </w:rPr>
        <w:t xml:space="preserve"> is a transaction or series of transactions </w:t>
      </w:r>
      <w:r w:rsidRPr="003B0637">
        <w:rPr>
          <w:color w:val="000000"/>
          <w:szCs w:val="26"/>
        </w:rPr>
        <w:lastRenderedPageBreak/>
        <w:t xml:space="preserve">that result in a new controlling interest that is jurisdictional because the </w:t>
      </w:r>
      <w:r w:rsidR="00C96F1E" w:rsidRPr="003B0637">
        <w:rPr>
          <w:color w:val="000000"/>
          <w:szCs w:val="26"/>
        </w:rPr>
        <w:t>Proposed Restructuring</w:t>
      </w:r>
      <w:r w:rsidRPr="003B0637">
        <w:rPr>
          <w:color w:val="000000"/>
          <w:szCs w:val="26"/>
        </w:rPr>
        <w:t xml:space="preserve"> will </w:t>
      </w:r>
      <w:r w:rsidRPr="003B0637">
        <w:rPr>
          <w:szCs w:val="26"/>
        </w:rPr>
        <w:t xml:space="preserve">result in a different entity becoming the beneficial holder of the largest voting interest in the utility or parent, regardless of the tier.  The ALJs pointed out that it is not transactions involving nonregulated businesses that must provide substantial benefits to customers of the regulated utility.  Rather, it is the transaction involving the regulated utility that must provide those benefits and that because </w:t>
      </w:r>
      <w:r w:rsidR="00145496" w:rsidRPr="003B0637">
        <w:rPr>
          <w:szCs w:val="26"/>
        </w:rPr>
        <w:t>PPL EU</w:t>
      </w:r>
      <w:r w:rsidRPr="003B0637">
        <w:rPr>
          <w:szCs w:val="26"/>
        </w:rPr>
        <w:t xml:space="preserve"> proposes transactions involving the transfer of </w:t>
      </w:r>
      <w:r w:rsidR="00145496" w:rsidRPr="003B0637">
        <w:rPr>
          <w:szCs w:val="26"/>
        </w:rPr>
        <w:t>PPL EU</w:t>
      </w:r>
      <w:r w:rsidRPr="003B0637">
        <w:rPr>
          <w:szCs w:val="26"/>
        </w:rPr>
        <w:t xml:space="preserve"> stock to other corporations, </w:t>
      </w:r>
      <w:r w:rsidR="00145496" w:rsidRPr="003B0637">
        <w:rPr>
          <w:szCs w:val="26"/>
        </w:rPr>
        <w:t>PPL EU</w:t>
      </w:r>
      <w:r w:rsidRPr="003B0637">
        <w:rPr>
          <w:szCs w:val="26"/>
        </w:rPr>
        <w:t xml:space="preserve"> must satisfy the requirements of Section 1102(a)(3).  </w:t>
      </w:r>
      <w:r w:rsidRPr="003B0637">
        <w:rPr>
          <w:i/>
          <w:szCs w:val="26"/>
        </w:rPr>
        <w:t>Id.</w:t>
      </w:r>
      <w:r w:rsidRPr="003B0637">
        <w:rPr>
          <w:szCs w:val="26"/>
        </w:rPr>
        <w:t xml:space="preserve"> at 16-17.</w:t>
      </w:r>
    </w:p>
    <w:p w14:paraId="3051E86A" w14:textId="77777777" w:rsidR="00070A6C" w:rsidRPr="003B0637" w:rsidRDefault="00070A6C" w:rsidP="00502FC8">
      <w:pPr>
        <w:ind w:firstLine="0"/>
        <w:rPr>
          <w:szCs w:val="26"/>
        </w:rPr>
      </w:pPr>
    </w:p>
    <w:p w14:paraId="514E06AB" w14:textId="77777777" w:rsidR="00070A6C" w:rsidRPr="003B0637" w:rsidRDefault="00070A6C" w:rsidP="00502FC8">
      <w:pPr>
        <w:rPr>
          <w:szCs w:val="26"/>
        </w:rPr>
      </w:pPr>
      <w:r w:rsidRPr="003B0637">
        <w:rPr>
          <w:szCs w:val="26"/>
        </w:rPr>
        <w:t xml:space="preserve">Finally, the ALJs </w:t>
      </w:r>
      <w:r w:rsidR="00DE6E7B">
        <w:rPr>
          <w:szCs w:val="26"/>
        </w:rPr>
        <w:t xml:space="preserve">determined </w:t>
      </w:r>
      <w:r w:rsidRPr="003B0637">
        <w:rPr>
          <w:szCs w:val="26"/>
        </w:rPr>
        <w:t xml:space="preserve">that </w:t>
      </w:r>
      <w:r w:rsidR="00145496" w:rsidRPr="003B0637">
        <w:rPr>
          <w:szCs w:val="26"/>
        </w:rPr>
        <w:t>PPL EU</w:t>
      </w:r>
      <w:r w:rsidRPr="003B0637">
        <w:rPr>
          <w:szCs w:val="26"/>
        </w:rPr>
        <w:t xml:space="preserve">’s reliance on </w:t>
      </w:r>
      <w:r w:rsidRPr="003B0637">
        <w:rPr>
          <w:i/>
          <w:szCs w:val="26"/>
        </w:rPr>
        <w:t>Frontier, Duquesne</w:t>
      </w:r>
      <w:r w:rsidRPr="003B0637">
        <w:rPr>
          <w:szCs w:val="26"/>
        </w:rPr>
        <w:t xml:space="preserve"> and </w:t>
      </w:r>
      <w:r w:rsidRPr="003B0637">
        <w:rPr>
          <w:i/>
          <w:szCs w:val="26"/>
        </w:rPr>
        <w:t>Verizon North</w:t>
      </w:r>
      <w:r w:rsidR="00C80796" w:rsidRPr="003B0637">
        <w:rPr>
          <w:rStyle w:val="FootnoteReference"/>
          <w:szCs w:val="26"/>
        </w:rPr>
        <w:footnoteReference w:id="5"/>
      </w:r>
      <w:r w:rsidRPr="003B0637">
        <w:rPr>
          <w:szCs w:val="26"/>
        </w:rPr>
        <w:t xml:space="preserve"> is misplaced.  </w:t>
      </w:r>
      <w:r w:rsidR="00DE6E7B">
        <w:rPr>
          <w:szCs w:val="26"/>
        </w:rPr>
        <w:t xml:space="preserve">In this regard, the </w:t>
      </w:r>
      <w:r w:rsidRPr="003B0637">
        <w:rPr>
          <w:szCs w:val="26"/>
        </w:rPr>
        <w:t xml:space="preserve">ALJs stated that, as noted above, the facts in </w:t>
      </w:r>
      <w:r w:rsidRPr="003B0637">
        <w:rPr>
          <w:i/>
          <w:szCs w:val="26"/>
        </w:rPr>
        <w:t>Frontier</w:t>
      </w:r>
      <w:r w:rsidRPr="003B0637">
        <w:rPr>
          <w:szCs w:val="26"/>
        </w:rPr>
        <w:t xml:space="preserve"> involved the much simpler transaction of converting an entity from a business corporation to a limited liability corporation compared to the </w:t>
      </w:r>
      <w:r w:rsidR="00C96F1E" w:rsidRPr="003B0637">
        <w:rPr>
          <w:szCs w:val="26"/>
        </w:rPr>
        <w:t>Proposed Restructuring</w:t>
      </w:r>
      <w:r w:rsidRPr="003B0637">
        <w:rPr>
          <w:szCs w:val="26"/>
        </w:rPr>
        <w:t xml:space="preserve"> in this proceeding</w:t>
      </w:r>
      <w:r w:rsidR="00DE6E7B">
        <w:rPr>
          <w:szCs w:val="26"/>
        </w:rPr>
        <w:t>,</w:t>
      </w:r>
      <w:r w:rsidRPr="003B0637">
        <w:rPr>
          <w:szCs w:val="26"/>
        </w:rPr>
        <w:t xml:space="preserve"> which is more complicated.  </w:t>
      </w:r>
      <w:r w:rsidRPr="003B0637">
        <w:rPr>
          <w:i/>
          <w:szCs w:val="26"/>
        </w:rPr>
        <w:t>Id.</w:t>
      </w:r>
      <w:r w:rsidRPr="003B0637">
        <w:rPr>
          <w:szCs w:val="26"/>
        </w:rPr>
        <w:t xml:space="preserve"> at 17.</w:t>
      </w:r>
    </w:p>
    <w:p w14:paraId="3962B7FF" w14:textId="77777777" w:rsidR="00070A6C" w:rsidRPr="003B0637" w:rsidRDefault="00070A6C" w:rsidP="00502FC8">
      <w:pPr>
        <w:rPr>
          <w:szCs w:val="26"/>
        </w:rPr>
      </w:pPr>
    </w:p>
    <w:p w14:paraId="1B397E5E" w14:textId="77777777" w:rsidR="00070A6C" w:rsidRPr="003B0637" w:rsidRDefault="00070A6C" w:rsidP="00502FC8">
      <w:pPr>
        <w:rPr>
          <w:szCs w:val="26"/>
        </w:rPr>
      </w:pPr>
      <w:r w:rsidRPr="003B0637">
        <w:rPr>
          <w:szCs w:val="26"/>
        </w:rPr>
        <w:t xml:space="preserve">The ALJs </w:t>
      </w:r>
      <w:r w:rsidR="00AF3F01">
        <w:rPr>
          <w:szCs w:val="26"/>
        </w:rPr>
        <w:t xml:space="preserve">found </w:t>
      </w:r>
      <w:r w:rsidRPr="003B0637">
        <w:rPr>
          <w:szCs w:val="26"/>
        </w:rPr>
        <w:t>that</w:t>
      </w:r>
      <w:r w:rsidR="00D21440">
        <w:rPr>
          <w:szCs w:val="26"/>
        </w:rPr>
        <w:t>,</w:t>
      </w:r>
      <w:r w:rsidRPr="003B0637">
        <w:rPr>
          <w:szCs w:val="26"/>
        </w:rPr>
        <w:t xml:space="preserve"> pursuant to 66 Pa. C.S. § 1102(a)(3), in order for </w:t>
      </w:r>
      <w:r w:rsidR="00145496" w:rsidRPr="003B0637">
        <w:rPr>
          <w:szCs w:val="26"/>
        </w:rPr>
        <w:t>PPL EU</w:t>
      </w:r>
      <w:r w:rsidRPr="003B0637">
        <w:rPr>
          <w:szCs w:val="26"/>
        </w:rPr>
        <w:t xml:space="preserve"> to acquire from, or to transfer to, any person or corporation, including a municipal corporation, by any method or device whatsoever, including the sale or transfer of stock and including a consolidation, merger, sale or lease, the title to, or the possession or use of, any tangible or intangible property used or useful in the public service, it must first obtain a certificate of public convenience before the </w:t>
      </w:r>
      <w:r w:rsidR="00C96F1E" w:rsidRPr="003B0637">
        <w:rPr>
          <w:szCs w:val="26"/>
        </w:rPr>
        <w:t>Proposed Restructuring</w:t>
      </w:r>
      <w:r w:rsidRPr="003B0637">
        <w:rPr>
          <w:szCs w:val="26"/>
        </w:rPr>
        <w:t xml:space="preserve"> may occur.  Therefore, the ALJs concluded that Sections 1102 and 1103 of the Code apply in this proceeding.  R.D. at 17.</w:t>
      </w:r>
    </w:p>
    <w:bookmarkEnd w:id="12"/>
    <w:p w14:paraId="07B18FA1" w14:textId="77777777" w:rsidR="00070A6C" w:rsidRDefault="00070A6C" w:rsidP="00502FC8">
      <w:pPr>
        <w:ind w:firstLine="0"/>
      </w:pPr>
    </w:p>
    <w:p w14:paraId="41DFBECC" w14:textId="77777777" w:rsidR="008A492D" w:rsidRPr="003B0637" w:rsidRDefault="008A492D" w:rsidP="008A492D">
      <w:pPr>
        <w:autoSpaceDE w:val="0"/>
        <w:autoSpaceDN w:val="0"/>
        <w:adjustRightInd w:val="0"/>
        <w:rPr>
          <w:szCs w:val="26"/>
        </w:rPr>
      </w:pPr>
    </w:p>
    <w:p w14:paraId="3FA77180" w14:textId="77777777" w:rsidR="008A492D" w:rsidRPr="003B0637" w:rsidRDefault="005169BB" w:rsidP="001F346A">
      <w:pPr>
        <w:pStyle w:val="Heading2"/>
        <w:numPr>
          <w:ilvl w:val="0"/>
          <w:numId w:val="0"/>
        </w:numPr>
        <w:ind w:left="1440" w:hanging="720"/>
        <w:rPr>
          <w:sz w:val="26"/>
          <w:szCs w:val="26"/>
        </w:rPr>
      </w:pPr>
      <w:r>
        <w:rPr>
          <w:sz w:val="26"/>
          <w:szCs w:val="26"/>
        </w:rPr>
        <w:t>2.</w:t>
      </w:r>
      <w:r w:rsidR="008A492D" w:rsidRPr="003B0637">
        <w:rPr>
          <w:sz w:val="26"/>
          <w:szCs w:val="26"/>
        </w:rPr>
        <w:tab/>
        <w:t>The Affirmative Public Benefit</w:t>
      </w:r>
    </w:p>
    <w:p w14:paraId="15BA09BA" w14:textId="77777777" w:rsidR="008A492D" w:rsidRPr="003B0637" w:rsidRDefault="008A492D" w:rsidP="008A492D">
      <w:pPr>
        <w:keepNext/>
        <w:keepLines/>
      </w:pPr>
    </w:p>
    <w:p w14:paraId="1D13F053" w14:textId="77777777" w:rsidR="008A492D" w:rsidRPr="003B0637" w:rsidRDefault="005169BB" w:rsidP="005169BB">
      <w:pPr>
        <w:pStyle w:val="Heading2"/>
        <w:numPr>
          <w:ilvl w:val="0"/>
          <w:numId w:val="0"/>
        </w:numPr>
        <w:ind w:left="1800" w:hanging="360"/>
        <w:rPr>
          <w:sz w:val="26"/>
          <w:szCs w:val="26"/>
        </w:rPr>
      </w:pPr>
      <w:r>
        <w:rPr>
          <w:sz w:val="26"/>
          <w:szCs w:val="26"/>
        </w:rPr>
        <w:t>a.</w:t>
      </w:r>
      <w:r>
        <w:rPr>
          <w:sz w:val="26"/>
          <w:szCs w:val="26"/>
        </w:rPr>
        <w:tab/>
      </w:r>
      <w:r w:rsidR="008A492D" w:rsidRPr="003B0637">
        <w:rPr>
          <w:sz w:val="26"/>
          <w:szCs w:val="26"/>
        </w:rPr>
        <w:t>Positions of the Parties</w:t>
      </w:r>
    </w:p>
    <w:p w14:paraId="20F76C22" w14:textId="77777777" w:rsidR="008A492D" w:rsidRPr="003B0637" w:rsidRDefault="008A492D" w:rsidP="008A492D">
      <w:pPr>
        <w:keepNext/>
        <w:keepLines/>
        <w:ind w:firstLine="0"/>
      </w:pPr>
    </w:p>
    <w:p w14:paraId="4EFC0EDF" w14:textId="77777777" w:rsidR="008A492D" w:rsidRPr="003B0637" w:rsidRDefault="008A492D" w:rsidP="008A492D">
      <w:r w:rsidRPr="003B0637">
        <w:t xml:space="preserve">While PPL EU maintained in this proceeding that the appropriate standard for evaluating its proposal should be whether there will be a change in the fundamental management and control of the utility, PPL EU argued that even if the Commission applies the </w:t>
      </w:r>
      <w:bookmarkStart w:id="13" w:name="_Hlk3687485"/>
      <w:r w:rsidRPr="003B0637">
        <w:t>affirmative public benefit standard in the instant Application</w:t>
      </w:r>
      <w:bookmarkEnd w:id="13"/>
      <w:r w:rsidRPr="003B0637">
        <w:t xml:space="preserve">, the Application </w:t>
      </w:r>
      <w:r w:rsidR="001F346A">
        <w:t xml:space="preserve">should be approved </w:t>
      </w:r>
      <w:r w:rsidRPr="003B0637">
        <w:t>because the Proposed Restructuring will result in potential benefits to its customers.  PPL M.B. at 4, 8.  Specifically, PPL EU stated that the Proposed Restructuring will strengthen the financial position of PPL Corporation and the ultimate source of equity capital for PPL EU, which will in turn benefit PPL EU’s customers due to the ability of PPL Corporation to raise capital at reasonable rates.  PPL EU further argued that the Proposed Restructuring will also facilitate PPL Corporation’s ability to effectively manage its tax liabilities.  PPL M.B. at 4, 8.  PPL EU cited to several cases in which the Commission, in its evaluation of Section 1102(a) Applications, accepted a public utility’s improved ability to focus its operational and managerial efforts as public benefits that justif</w:t>
      </w:r>
      <w:r w:rsidR="001B4537">
        <w:t>y</w:t>
      </w:r>
      <w:r w:rsidRPr="003B0637">
        <w:t xml:space="preserve"> an approval of such transactions.  </w:t>
      </w:r>
      <w:r w:rsidRPr="003B0637">
        <w:rPr>
          <w:i/>
        </w:rPr>
        <w:t>Id.</w:t>
      </w:r>
      <w:r w:rsidRPr="003B0637">
        <w:t xml:space="preserve"> at 8-9 (citations omitted).</w:t>
      </w:r>
    </w:p>
    <w:p w14:paraId="36D35588" w14:textId="77777777" w:rsidR="008A492D" w:rsidRPr="003B0637" w:rsidRDefault="008A492D" w:rsidP="008A492D"/>
    <w:p w14:paraId="6485180C" w14:textId="77777777" w:rsidR="005E1830" w:rsidRDefault="008A492D" w:rsidP="008A492D">
      <w:r w:rsidRPr="003B0637">
        <w:t xml:space="preserve">According to PPL EU, the Proposed Restructuring will not result in any cost to PPL EU and will benefit PPL EU’s customers.  For instance, PPL EU stated that the efficient flow of cash to PPL Corporation without creating new tax liabilities will strengthen PPL Corporation, the ultimate source of equity capital for PPL EU.  PPL EU asserted that mitigating potential future tax payments means that more cash is potentially available to PPL Corporation, and in turn, to PPL EU.  PPL EU argued the increased </w:t>
      </w:r>
    </w:p>
    <w:p w14:paraId="60F875CD" w14:textId="77777777" w:rsidR="008A492D" w:rsidRPr="003B0637" w:rsidRDefault="008A492D" w:rsidP="005E1830">
      <w:pPr>
        <w:keepNext/>
        <w:keepLines/>
        <w:ind w:firstLine="0"/>
      </w:pPr>
      <w:r w:rsidRPr="003B0637">
        <w:lastRenderedPageBreak/>
        <w:t xml:space="preserve">source of equity capital will reduce the need for PPL Corporation to go to the equity market and will reduce the need for PPL EU to raise additional external debt, thereby improving PPL EU’s financial condition.  From PPL EU’s perspective, these benefits are real and are not theoretical.  </w:t>
      </w:r>
      <w:r w:rsidRPr="003B0637">
        <w:rPr>
          <w:i/>
        </w:rPr>
        <w:t>Id.</w:t>
      </w:r>
      <w:r w:rsidRPr="003B0637">
        <w:t xml:space="preserve"> at 9. </w:t>
      </w:r>
    </w:p>
    <w:p w14:paraId="36CC1376" w14:textId="77777777" w:rsidR="008A492D" w:rsidRPr="003B0637" w:rsidRDefault="008A492D" w:rsidP="008A492D"/>
    <w:p w14:paraId="4E13757A" w14:textId="77777777" w:rsidR="008A492D" w:rsidRPr="003B0637" w:rsidRDefault="008A492D" w:rsidP="008A492D">
      <w:r w:rsidRPr="003B0637">
        <w:t xml:space="preserve">Furthermore, PPL EU averred that on the regulatory side, it is in the midst of a major infrastructure program and the tax reform has increased requirements to raise capital in public markets.  </w:t>
      </w:r>
      <w:r w:rsidRPr="003B0637">
        <w:rPr>
          <w:i/>
        </w:rPr>
        <w:t>Id.</w:t>
      </w:r>
      <w:r w:rsidRPr="003B0637">
        <w:t xml:space="preserve"> (citing </w:t>
      </w:r>
      <w:r w:rsidRPr="003B0637">
        <w:rPr>
          <w:i/>
        </w:rPr>
        <w:t>PPL Electric Utilities Corporation for Approval of its Second Long-Term Infrastructure Improvement Plan,</w:t>
      </w:r>
      <w:r w:rsidRPr="003B0637">
        <w:t xml:space="preserve"> Docket No. P-2017-2622393, Order entered December 21, 2017).  PPL EU indicated that while it raises its own debt directly in public markets, equity capital is raised by PPL Corporation, which has announced a major issuance of equity.  </w:t>
      </w:r>
      <w:r w:rsidRPr="003B0637">
        <w:rPr>
          <w:i/>
        </w:rPr>
        <w:t xml:space="preserve">Id. </w:t>
      </w:r>
      <w:r w:rsidRPr="003B0637">
        <w:t xml:space="preserve">at 9-10 (PPL St. 1-R at 6-7).  PPL EU contended that managing tax payments would benefit its customers because a financially stronger PPL Corporation will have lower capital needs, an improved ability to raise capital, would be more likely to raise such capital at reasonable rates, would result in more internal capital available to PPL EU, and reduce the need for PPL EU to further leverage its business and increase its financial risk.  PPL M.B. at 10.  PPL EU believes these are all affirmative public benefits that justifies approval of the instant Application as “necessary for the service, accommodation, convenience, or safety of the public.”  </w:t>
      </w:r>
      <w:r w:rsidRPr="003B0637">
        <w:rPr>
          <w:i/>
        </w:rPr>
        <w:t>Id.</w:t>
      </w:r>
      <w:r w:rsidRPr="003B0637">
        <w:t xml:space="preserve"> (citing 66 Pa. C.S. § 1103(a)).</w:t>
      </w:r>
    </w:p>
    <w:p w14:paraId="5B8E9A77" w14:textId="77777777" w:rsidR="008A492D" w:rsidRPr="003B0637" w:rsidRDefault="008A492D" w:rsidP="008A492D"/>
    <w:p w14:paraId="17F6F1C0" w14:textId="1709DBEA" w:rsidR="008A492D" w:rsidRPr="003B0637" w:rsidRDefault="008A492D" w:rsidP="004556A0">
      <w:r w:rsidRPr="003B0637">
        <w:t xml:space="preserve">Emphasizing PPL EU’s burden of proof in this case, the OSBA averred that PPL EU failed to prove that the Proposed Restructuring satisfies the legal standard </w:t>
      </w:r>
      <w:r w:rsidR="003C1202">
        <w:t xml:space="preserve">articulated </w:t>
      </w:r>
      <w:r w:rsidRPr="003B0637">
        <w:t xml:space="preserve">in the </w:t>
      </w:r>
      <w:r w:rsidRPr="003B0637">
        <w:rPr>
          <w:i/>
        </w:rPr>
        <w:t xml:space="preserve">City of York.  </w:t>
      </w:r>
      <w:r w:rsidRPr="003B0637">
        <w:t xml:space="preserve">OSBA M.B. at 6-8.  The OSBA dismissed the affirmative public benefits </w:t>
      </w:r>
      <w:r w:rsidR="003C1202">
        <w:t xml:space="preserve">asserted by </w:t>
      </w:r>
      <w:r w:rsidRPr="003B0637">
        <w:t xml:space="preserve">PPL EU  </w:t>
      </w:r>
      <w:r w:rsidR="003C1202">
        <w:t xml:space="preserve">which PPL EU claims will result </w:t>
      </w:r>
      <w:r w:rsidRPr="003B0637">
        <w:t xml:space="preserve">from the Proposed Restructuring including: (1) consolidation of tax benefits; (2) more effective financing for PPL EU; and (3) mergers and acquisitions.  </w:t>
      </w:r>
      <w:r w:rsidRPr="003B0637">
        <w:rPr>
          <w:i/>
        </w:rPr>
        <w:t>Id.</w:t>
      </w:r>
      <w:r w:rsidRPr="003B0637">
        <w:t xml:space="preserve"> at 11-16.  Regarding PPL</w:t>
      </w:r>
      <w:r w:rsidR="003C1202">
        <w:t xml:space="preserve"> </w:t>
      </w:r>
      <w:r w:rsidRPr="003B0637">
        <w:t xml:space="preserve">EU’s claim of tax benefits from the Proposed Restructuring, the OSBA refutes this claim stating that based on PPL EU’s testimony in this proceeding and the record evidence, there is a </w:t>
      </w:r>
      <w:r w:rsidRPr="003B0637">
        <w:lastRenderedPageBreak/>
        <w:t>reasonable possibility that approval of the Application will reduce tax revenues for the Commonwealth of Pennsylvania with no offsetting reduction in consumer utility rates.  From the OSBA’s perspective, the Proposed Restructuring would allow PPL Corporation to avoid “unnecessary Pennsylvania state tax liability</w:t>
      </w:r>
      <w:r w:rsidR="001B4537">
        <w:t xml:space="preserve"> . . . </w:t>
      </w:r>
      <w:r w:rsidRPr="003B0637">
        <w:t xml:space="preserve">thereby allowing PPL Corp. and its shareholders more efficient, lower cost access to cash distributions.”  </w:t>
      </w:r>
      <w:r w:rsidRPr="003B0637">
        <w:rPr>
          <w:i/>
        </w:rPr>
        <w:t>Id.</w:t>
      </w:r>
      <w:r w:rsidRPr="003B0637">
        <w:t xml:space="preserve"> at 11-13 (citing PPL St. 1 at 5).  Therefore, the OSBA does not believe that a reduction in taxes paid to the Commonwealth of Pennsylvania with no corresponding reduction in ratepayer costs constitute a reasonable claim for an affirmative public benefit.  OSBA M.B. at 13.</w:t>
      </w:r>
    </w:p>
    <w:p w14:paraId="77A51BE0" w14:textId="77777777" w:rsidR="008A492D" w:rsidRPr="003B0637" w:rsidRDefault="008A492D" w:rsidP="008A492D">
      <w:pPr>
        <w:ind w:firstLine="0"/>
      </w:pPr>
    </w:p>
    <w:p w14:paraId="142B6B5F" w14:textId="77777777" w:rsidR="008A492D" w:rsidRPr="003B0637" w:rsidRDefault="008A492D" w:rsidP="008A492D">
      <w:pPr>
        <w:ind w:firstLine="0"/>
      </w:pPr>
      <w:r w:rsidRPr="003B0637">
        <w:tab/>
      </w:r>
      <w:r w:rsidRPr="003B0637">
        <w:tab/>
        <w:t xml:space="preserve">On the issue of more effective financing for PPL EU as a result of the Proposed Restructuring, the OSBA averred that nothing in the record evidence supports this claim as PPL EU failed to identify any specific means by which an affirmative public benefit in the form of reduced financial costs for PPL EU’s ratepayers will result from the Proposed Restructuring.  </w:t>
      </w:r>
      <w:r w:rsidRPr="003B0637">
        <w:rPr>
          <w:i/>
        </w:rPr>
        <w:t>Id.</w:t>
      </w:r>
      <w:r w:rsidRPr="003B0637">
        <w:t xml:space="preserve"> at 13-14.  Finally, with regards to PPL EU’s claim that the Proposed Restructuring will “facilitate future business acquisitions</w:t>
      </w:r>
      <w:r w:rsidR="001B4537">
        <w:t xml:space="preserve"> . . . </w:t>
      </w:r>
      <w:r w:rsidRPr="003B0637">
        <w:t xml:space="preserve">as well as any combination or merger of existing non-regulated corporate entities,” the OSBA noted that while corporate mergers and acquisitions may serve the interests of PPL Corporation’s shareholders, nothing in the record evidence stipulates how “facilitating” unspecified acquisitions, combinations, and mergers will provide any affirmative public benefit.  </w:t>
      </w:r>
      <w:r w:rsidRPr="003B0637">
        <w:rPr>
          <w:i/>
        </w:rPr>
        <w:t>Id.</w:t>
      </w:r>
      <w:r w:rsidRPr="003B0637">
        <w:t xml:space="preserve"> at</w:t>
      </w:r>
      <w:r w:rsidR="001B4537">
        <w:t> </w:t>
      </w:r>
      <w:r w:rsidRPr="003B0637">
        <w:t>14-16.</w:t>
      </w:r>
    </w:p>
    <w:p w14:paraId="60C2CCE3" w14:textId="77777777" w:rsidR="008A492D" w:rsidRPr="003B0637" w:rsidRDefault="008A492D" w:rsidP="008A492D">
      <w:pPr>
        <w:ind w:firstLine="0"/>
      </w:pPr>
    </w:p>
    <w:p w14:paraId="2C3B1534" w14:textId="77777777" w:rsidR="008A492D" w:rsidRPr="003B0637" w:rsidRDefault="005169BB" w:rsidP="005E1830">
      <w:pPr>
        <w:pStyle w:val="Heading2"/>
        <w:keepLines/>
        <w:numPr>
          <w:ilvl w:val="0"/>
          <w:numId w:val="0"/>
        </w:numPr>
        <w:ind w:left="1800" w:hanging="360"/>
        <w:rPr>
          <w:sz w:val="26"/>
          <w:szCs w:val="26"/>
        </w:rPr>
      </w:pPr>
      <w:r>
        <w:rPr>
          <w:sz w:val="26"/>
          <w:szCs w:val="26"/>
        </w:rPr>
        <w:t>b.</w:t>
      </w:r>
      <w:r>
        <w:rPr>
          <w:sz w:val="26"/>
          <w:szCs w:val="26"/>
        </w:rPr>
        <w:tab/>
      </w:r>
      <w:r w:rsidR="008A492D" w:rsidRPr="003B0637">
        <w:rPr>
          <w:sz w:val="26"/>
          <w:szCs w:val="26"/>
        </w:rPr>
        <w:t>ALJs’ Recommendation</w:t>
      </w:r>
    </w:p>
    <w:p w14:paraId="71A94594" w14:textId="77777777" w:rsidR="008A492D" w:rsidRPr="003B0637" w:rsidRDefault="008A492D" w:rsidP="005E1830">
      <w:pPr>
        <w:keepNext/>
        <w:keepLines/>
        <w:ind w:firstLine="0"/>
      </w:pPr>
    </w:p>
    <w:p w14:paraId="37784BDA" w14:textId="77777777" w:rsidR="00315E9C" w:rsidRDefault="008A492D" w:rsidP="004556A0">
      <w:pPr>
        <w:rPr>
          <w:szCs w:val="26"/>
        </w:rPr>
      </w:pPr>
      <w:r w:rsidRPr="003B0637">
        <w:rPr>
          <w:szCs w:val="26"/>
        </w:rPr>
        <w:t xml:space="preserve">The ALJs addressed whether the Proposed Restructuring provides an affirmative public benefit or whether the Proposed Restructuring is necessary or proper for the service, accommodation, convenience, or safety of the public.  R.D. at 17.  In </w:t>
      </w:r>
    </w:p>
    <w:p w14:paraId="05DF28DE" w14:textId="1D02B4E7" w:rsidR="008A492D" w:rsidRPr="003B0637" w:rsidRDefault="008A492D" w:rsidP="004556A0">
      <w:pPr>
        <w:keepNext/>
        <w:keepLines/>
        <w:ind w:firstLine="0"/>
        <w:rPr>
          <w:szCs w:val="26"/>
        </w:rPr>
      </w:pPr>
      <w:r w:rsidRPr="003B0637">
        <w:rPr>
          <w:szCs w:val="26"/>
        </w:rPr>
        <w:lastRenderedPageBreak/>
        <w:t xml:space="preserve">weighing PPL EU’s argument that certain corporate tax and financial benefits may result from the Proposed Restructuring against </w:t>
      </w:r>
      <w:r w:rsidRPr="003B0637">
        <w:rPr>
          <w:i/>
          <w:szCs w:val="26"/>
        </w:rPr>
        <w:t xml:space="preserve">City of York, </w:t>
      </w:r>
      <w:r w:rsidRPr="003B0637">
        <w:rPr>
          <w:szCs w:val="26"/>
        </w:rPr>
        <w:t xml:space="preserve">the ALJs determined that PPL EU’s argument falls short or failed to demonstrate that such theoretical or potential benefits affirmatively promote the service, accommodation, convenience, or safety of the public in some substantial way.  According to the ALJs, benefits to PPL EU’s shareholders does not amount to substantial affirmative benefits “to the public.”  </w:t>
      </w:r>
      <w:r w:rsidRPr="003B0637">
        <w:rPr>
          <w:i/>
          <w:szCs w:val="26"/>
        </w:rPr>
        <w:t>Id.</w:t>
      </w:r>
      <w:r w:rsidRPr="003B0637">
        <w:rPr>
          <w:szCs w:val="26"/>
        </w:rPr>
        <w:t xml:space="preserve"> at</w:t>
      </w:r>
      <w:r w:rsidR="007B7B4D">
        <w:rPr>
          <w:szCs w:val="26"/>
        </w:rPr>
        <w:t> </w:t>
      </w:r>
      <w:r w:rsidRPr="003B0637">
        <w:rPr>
          <w:szCs w:val="26"/>
        </w:rPr>
        <w:t>20.</w:t>
      </w:r>
    </w:p>
    <w:p w14:paraId="5D2F87EA" w14:textId="77777777" w:rsidR="008A492D" w:rsidRPr="003B0637" w:rsidRDefault="008A492D" w:rsidP="008A492D">
      <w:pPr>
        <w:rPr>
          <w:szCs w:val="26"/>
        </w:rPr>
      </w:pPr>
    </w:p>
    <w:p w14:paraId="037E0FDA" w14:textId="77777777" w:rsidR="008A492D" w:rsidRPr="003B0637" w:rsidRDefault="008A492D" w:rsidP="008A492D">
      <w:pPr>
        <w:rPr>
          <w:szCs w:val="24"/>
        </w:rPr>
      </w:pPr>
      <w:r w:rsidRPr="003B0637">
        <w:rPr>
          <w:szCs w:val="26"/>
        </w:rPr>
        <w:t xml:space="preserve">Pursuant to their assessment of PPL EU’s argument that managing future liabilities of its non-regulated companies would not be a detriment to its utility customers, the ALJs concluded that arguing that something is not a negative does not in and of itself demonstrate that it is a positive.  The ALJs further noted that the question is not whether managing future tax liabilities of non-regulated companies is not a detriment to those utility customers.  Rather, it is whether the management of future tax liabilities of PPL EU’s non-regulated companies would provide an affirmative public benefit or would be necessary or proper for the service, accommodation, convenience, or safety of the public.  In this case the ALJs were not convinced by PPL EU’s argument stating that none of the arguments proffered by PPL in the instant proceeding supports or demonstrates that the Proposed Restructuring would provide for any of the above criteria.  </w:t>
      </w:r>
      <w:r w:rsidRPr="003B0637">
        <w:rPr>
          <w:i/>
          <w:szCs w:val="26"/>
        </w:rPr>
        <w:t>Id.</w:t>
      </w:r>
      <w:r w:rsidRPr="003B0637">
        <w:rPr>
          <w:szCs w:val="26"/>
        </w:rPr>
        <w:t xml:space="preserve"> at 21.</w:t>
      </w:r>
    </w:p>
    <w:p w14:paraId="1632CAA1" w14:textId="77777777" w:rsidR="008A492D" w:rsidRPr="003B0637" w:rsidRDefault="008A492D" w:rsidP="008A492D">
      <w:pPr>
        <w:rPr>
          <w:szCs w:val="24"/>
        </w:rPr>
      </w:pPr>
    </w:p>
    <w:p w14:paraId="35945150" w14:textId="77777777" w:rsidR="005E1830" w:rsidRDefault="008A492D" w:rsidP="008A492D">
      <w:pPr>
        <w:rPr>
          <w:szCs w:val="26"/>
        </w:rPr>
      </w:pPr>
      <w:r w:rsidRPr="003B0637">
        <w:rPr>
          <w:szCs w:val="26"/>
        </w:rPr>
        <w:t xml:space="preserve">The ALJs also agreed with the OSBA that in </w:t>
      </w:r>
      <w:r w:rsidRPr="003B0637">
        <w:rPr>
          <w:i/>
          <w:szCs w:val="26"/>
        </w:rPr>
        <w:t>Popowsky</w:t>
      </w:r>
      <w:r w:rsidRPr="003B0637">
        <w:rPr>
          <w:szCs w:val="26"/>
        </w:rPr>
        <w:t xml:space="preserve">, while the Court permitted predictive benefits, this does not mean that the </w:t>
      </w:r>
      <w:r w:rsidRPr="003B0637">
        <w:rPr>
          <w:i/>
          <w:szCs w:val="26"/>
        </w:rPr>
        <w:t>City of York</w:t>
      </w:r>
      <w:r w:rsidRPr="003B0637">
        <w:rPr>
          <w:szCs w:val="26"/>
        </w:rPr>
        <w:t xml:space="preserve"> standard cited </w:t>
      </w:r>
    </w:p>
    <w:p w14:paraId="16004734" w14:textId="77777777" w:rsidR="008A492D" w:rsidRPr="003B0637" w:rsidRDefault="008A492D" w:rsidP="005E1830">
      <w:pPr>
        <w:keepNext/>
        <w:keepLines/>
        <w:ind w:firstLine="0"/>
        <w:rPr>
          <w:szCs w:val="26"/>
        </w:rPr>
      </w:pPr>
      <w:r w:rsidRPr="003B0637">
        <w:rPr>
          <w:szCs w:val="26"/>
        </w:rPr>
        <w:lastRenderedPageBreak/>
        <w:t xml:space="preserve">above is easily met.  According to the ALJ, unlike the instant proceeding, in </w:t>
      </w:r>
      <w:r w:rsidRPr="003B0637">
        <w:rPr>
          <w:i/>
          <w:szCs w:val="26"/>
        </w:rPr>
        <w:t xml:space="preserve">Popowsky, </w:t>
      </w:r>
      <w:r w:rsidRPr="003B0637">
        <w:rPr>
          <w:szCs w:val="26"/>
        </w:rPr>
        <w:t>the Parties</w:t>
      </w:r>
      <w:r w:rsidRPr="003B0637">
        <w:rPr>
          <w:i/>
          <w:szCs w:val="26"/>
        </w:rPr>
        <w:t xml:space="preserve"> </w:t>
      </w:r>
      <w:r w:rsidRPr="003B0637">
        <w:rPr>
          <w:szCs w:val="26"/>
        </w:rPr>
        <w:t xml:space="preserve">brought tangible assets to the table, which the Court noted even a “lay perspective” could see were not purely speculative but could see the benefits when those tangible assets were combined.  Citing </w:t>
      </w:r>
      <w:r w:rsidRPr="003B0637">
        <w:rPr>
          <w:i/>
          <w:szCs w:val="26"/>
          <w:lang w:val="en"/>
        </w:rPr>
        <w:t>Popowsky</w:t>
      </w:r>
      <w:r w:rsidRPr="003B0637">
        <w:rPr>
          <w:color w:val="000000"/>
          <w:szCs w:val="26"/>
        </w:rPr>
        <w:t xml:space="preserve"> at 612, 937 A.2d at 1058.</w:t>
      </w:r>
      <w:r w:rsidRPr="003B0637">
        <w:rPr>
          <w:rStyle w:val="FootnoteReference"/>
          <w:color w:val="000000"/>
          <w:szCs w:val="26"/>
        </w:rPr>
        <w:footnoteReference w:id="6"/>
      </w:r>
      <w:r w:rsidRPr="003B0637">
        <w:rPr>
          <w:szCs w:val="26"/>
        </w:rPr>
        <w:t xml:space="preserve">  Here, according to the ALJs, PPL EU failed to show that any of the benefits it alleges will be created by its Proposed Restructuring are ones that a lay perspective can see or that they are benefits that are anything more than purely speculative.  The ALJs pointed out that the Court in </w:t>
      </w:r>
      <w:r w:rsidRPr="003B0637">
        <w:rPr>
          <w:i/>
          <w:szCs w:val="26"/>
        </w:rPr>
        <w:t>City of York</w:t>
      </w:r>
      <w:r w:rsidRPr="003B0637">
        <w:rPr>
          <w:szCs w:val="26"/>
        </w:rPr>
        <w:t xml:space="preserve"> required that such benefits be something more.  The ALJs stated that “PPL [PPL EU]has failed to show that.” </w:t>
      </w:r>
      <w:r w:rsidRPr="003B0637">
        <w:rPr>
          <w:i/>
          <w:szCs w:val="26"/>
        </w:rPr>
        <w:t xml:space="preserve">Id.  </w:t>
      </w:r>
    </w:p>
    <w:p w14:paraId="23B840E7" w14:textId="77777777" w:rsidR="008A492D" w:rsidRPr="003B0637" w:rsidRDefault="008A492D" w:rsidP="008A492D">
      <w:pPr>
        <w:rPr>
          <w:szCs w:val="24"/>
        </w:rPr>
      </w:pPr>
    </w:p>
    <w:p w14:paraId="6E9E9B6E" w14:textId="77777777" w:rsidR="008A492D" w:rsidRPr="003B0637" w:rsidRDefault="008A492D" w:rsidP="008A492D">
      <w:pPr>
        <w:rPr>
          <w:szCs w:val="26"/>
        </w:rPr>
      </w:pPr>
      <w:r w:rsidRPr="003B0637">
        <w:rPr>
          <w:szCs w:val="26"/>
        </w:rPr>
        <w:t xml:space="preserve">Consequently, the ALJs denied the Application stating it fails to meet the standards of Section 1103 of the Code.  </w:t>
      </w:r>
      <w:r w:rsidRPr="003B0637">
        <w:rPr>
          <w:i/>
          <w:szCs w:val="26"/>
        </w:rPr>
        <w:t>Id</w:t>
      </w:r>
      <w:r w:rsidRPr="003B0637">
        <w:rPr>
          <w:szCs w:val="26"/>
        </w:rPr>
        <w:t>. at 21-22.</w:t>
      </w:r>
    </w:p>
    <w:p w14:paraId="55BDD008" w14:textId="77777777" w:rsidR="008A492D" w:rsidRDefault="008A492D" w:rsidP="00502FC8">
      <w:pPr>
        <w:ind w:firstLine="0"/>
      </w:pPr>
    </w:p>
    <w:p w14:paraId="6DE2B385" w14:textId="77777777" w:rsidR="002F0A7F" w:rsidRDefault="002F0A7F" w:rsidP="002F0A7F">
      <w:pPr>
        <w:keepNext/>
        <w:keepLines/>
        <w:ind w:firstLine="0"/>
        <w:rPr>
          <w:b/>
        </w:rPr>
      </w:pPr>
      <w:r w:rsidRPr="002F0A7F">
        <w:rPr>
          <w:b/>
        </w:rPr>
        <w:lastRenderedPageBreak/>
        <w:t>C.</w:t>
      </w:r>
      <w:r w:rsidRPr="002F0A7F">
        <w:rPr>
          <w:b/>
        </w:rPr>
        <w:tab/>
        <w:t>Exceptions</w:t>
      </w:r>
    </w:p>
    <w:p w14:paraId="2D0DF5BF" w14:textId="77777777" w:rsidR="002F0A7F" w:rsidRDefault="002F0A7F" w:rsidP="002F0A7F">
      <w:pPr>
        <w:keepNext/>
        <w:keepLines/>
        <w:ind w:firstLine="0"/>
        <w:rPr>
          <w:b/>
        </w:rPr>
      </w:pPr>
    </w:p>
    <w:p w14:paraId="0B9960C1" w14:textId="77777777" w:rsidR="002F0A7F" w:rsidRPr="002F0A7F" w:rsidRDefault="002F0A7F" w:rsidP="002F0A7F">
      <w:pPr>
        <w:keepNext/>
        <w:keepLines/>
        <w:ind w:firstLine="0"/>
      </w:pPr>
      <w:r w:rsidRPr="002F0A7F">
        <w:tab/>
      </w:r>
      <w:r w:rsidRPr="002F0A7F">
        <w:tab/>
        <w:t xml:space="preserve">Inasmuch as </w:t>
      </w:r>
      <w:r w:rsidR="001F346A">
        <w:t xml:space="preserve">PPL EU’s </w:t>
      </w:r>
      <w:r w:rsidRPr="002F0A7F">
        <w:t xml:space="preserve">Exception Nos. 1 and 3 are closely interrelated, </w:t>
      </w:r>
      <w:r w:rsidR="001F346A">
        <w:t xml:space="preserve">as they pertain to </w:t>
      </w:r>
      <w:r w:rsidR="00D6420F">
        <w:t>the first litigated issue and involve arguments concerning the ultimate ownership of PPL EU upon consumation of the Proposed Restructuring</w:t>
      </w:r>
      <w:r w:rsidR="008E26AE">
        <w:t xml:space="preserve"> and whether a certificate of public convenience should be required</w:t>
      </w:r>
      <w:r w:rsidR="00D6420F">
        <w:t xml:space="preserve">, </w:t>
      </w:r>
      <w:r w:rsidRPr="002F0A7F">
        <w:t xml:space="preserve">we will address these two Exceptions </w:t>
      </w:r>
      <w:r>
        <w:t xml:space="preserve">first </w:t>
      </w:r>
      <w:r w:rsidRPr="002F0A7F">
        <w:t xml:space="preserve">and </w:t>
      </w:r>
      <w:r>
        <w:t xml:space="preserve">resolve them </w:t>
      </w:r>
      <w:r w:rsidRPr="002F0A7F">
        <w:t xml:space="preserve">in a single </w:t>
      </w:r>
      <w:r w:rsidR="008E26AE">
        <w:t xml:space="preserve">consolidated </w:t>
      </w:r>
      <w:r w:rsidRPr="002F0A7F">
        <w:t>disposition.</w:t>
      </w:r>
      <w:r w:rsidR="00D6420F">
        <w:t xml:space="preserve">  Afterwards, we will address Exception No. 2</w:t>
      </w:r>
      <w:r w:rsidR="008E26AE">
        <w:t xml:space="preserve"> which pertains to the second litigated issue involving arguments concerning the </w:t>
      </w:r>
      <w:r w:rsidR="008E26AE" w:rsidRPr="003B0637">
        <w:t xml:space="preserve">affirmative public benefit </w:t>
      </w:r>
      <w:r w:rsidR="008E26AE">
        <w:t>that would result upon approval of the Application.</w:t>
      </w:r>
    </w:p>
    <w:p w14:paraId="162180B7" w14:textId="77777777" w:rsidR="002F0A7F" w:rsidRPr="002F0A7F" w:rsidRDefault="002F0A7F" w:rsidP="002F0A7F">
      <w:pPr>
        <w:keepNext/>
        <w:keepLines/>
        <w:ind w:firstLine="0"/>
      </w:pPr>
    </w:p>
    <w:p w14:paraId="1E53B397" w14:textId="77777777" w:rsidR="002F0A7F" w:rsidRDefault="002F0A7F" w:rsidP="00D27D63">
      <w:pPr>
        <w:keepNext/>
        <w:keepLines/>
        <w:spacing w:line="240" w:lineRule="auto"/>
        <w:ind w:left="1440" w:hanging="720"/>
        <w:rPr>
          <w:b/>
          <w:szCs w:val="26"/>
        </w:rPr>
      </w:pPr>
      <w:r>
        <w:rPr>
          <w:b/>
        </w:rPr>
        <w:t>1.</w:t>
      </w:r>
      <w:r>
        <w:rPr>
          <w:b/>
        </w:rPr>
        <w:tab/>
      </w:r>
      <w:r w:rsidRPr="002F0A7F">
        <w:rPr>
          <w:b/>
          <w:szCs w:val="26"/>
        </w:rPr>
        <w:t>PPL EU’s Exception No. 1:</w:t>
      </w:r>
    </w:p>
    <w:p w14:paraId="0C1D69CC" w14:textId="77777777" w:rsidR="002F0A7F" w:rsidRDefault="002F0A7F" w:rsidP="00D27D63">
      <w:pPr>
        <w:keepNext/>
        <w:keepLines/>
        <w:spacing w:line="240" w:lineRule="auto"/>
        <w:ind w:left="1440" w:hanging="720"/>
        <w:rPr>
          <w:b/>
          <w:szCs w:val="26"/>
        </w:rPr>
      </w:pPr>
      <w:r>
        <w:rPr>
          <w:b/>
          <w:szCs w:val="26"/>
        </w:rPr>
        <w:tab/>
      </w:r>
    </w:p>
    <w:p w14:paraId="5F706497" w14:textId="77777777" w:rsidR="002F0A7F" w:rsidRPr="002F0A7F" w:rsidRDefault="002F0A7F" w:rsidP="00D27D63">
      <w:pPr>
        <w:keepNext/>
        <w:keepLines/>
        <w:spacing w:line="240" w:lineRule="auto"/>
        <w:ind w:left="1440" w:hanging="720"/>
        <w:rPr>
          <w:b/>
        </w:rPr>
      </w:pPr>
      <w:r>
        <w:rPr>
          <w:b/>
          <w:szCs w:val="26"/>
        </w:rPr>
        <w:tab/>
      </w:r>
      <w:r w:rsidRPr="002F0A7F">
        <w:rPr>
          <w:b/>
          <w:szCs w:val="26"/>
        </w:rPr>
        <w:t>The Recommended Decision Erred in Concluding that PPL EU was Required to Show Substantial Public Benefit to Justify an Internal Reorganization that Does Not Change Ultimate Ownership of PPL EU’s Utility Property.</w:t>
      </w:r>
    </w:p>
    <w:p w14:paraId="75CFD882" w14:textId="77777777" w:rsidR="002F0A7F" w:rsidRDefault="002F0A7F" w:rsidP="00D27D63">
      <w:pPr>
        <w:keepNext/>
        <w:keepLines/>
      </w:pPr>
    </w:p>
    <w:p w14:paraId="41B1E365" w14:textId="77777777" w:rsidR="00552D93" w:rsidRPr="00552D93" w:rsidRDefault="00552D93" w:rsidP="00D27D63">
      <w:pPr>
        <w:keepNext/>
        <w:keepLines/>
        <w:ind w:left="1800" w:hanging="360"/>
        <w:rPr>
          <w:b/>
        </w:rPr>
      </w:pPr>
      <w:r w:rsidRPr="00552D93">
        <w:rPr>
          <w:b/>
        </w:rPr>
        <w:t>a.</w:t>
      </w:r>
      <w:r w:rsidRPr="00552D93">
        <w:rPr>
          <w:b/>
        </w:rPr>
        <w:tab/>
        <w:t>Exceptions</w:t>
      </w:r>
    </w:p>
    <w:p w14:paraId="606D7062" w14:textId="77777777" w:rsidR="00552D93" w:rsidRDefault="00552D93" w:rsidP="00D27D63">
      <w:pPr>
        <w:keepNext/>
        <w:keepLines/>
      </w:pPr>
    </w:p>
    <w:p w14:paraId="617D3F82" w14:textId="77777777" w:rsidR="00A61672" w:rsidRPr="003B0637" w:rsidRDefault="00A61672" w:rsidP="00502FC8">
      <w:r w:rsidRPr="003B0637">
        <w:t xml:space="preserve">In its Exception No. 1, </w:t>
      </w:r>
      <w:r w:rsidR="00145496" w:rsidRPr="003B0637">
        <w:t>PPL EU</w:t>
      </w:r>
      <w:r w:rsidRPr="003B0637">
        <w:t xml:space="preserve"> faults the ALJs for applying the substantial benefit test in the instant Application.  From </w:t>
      </w:r>
      <w:r w:rsidR="00145496" w:rsidRPr="003B0637">
        <w:t>PPL EU</w:t>
      </w:r>
      <w:r w:rsidRPr="003B0637">
        <w:t xml:space="preserve">’s point of view, there is no reason to apply this test since the Application is an internal reorganization and there is no change in the ultimate owner of the utility property.  </w:t>
      </w:r>
      <w:r w:rsidR="00145496" w:rsidRPr="003B0637">
        <w:t>PPL EU</w:t>
      </w:r>
      <w:r w:rsidRPr="003B0637">
        <w:t xml:space="preserve"> avers that the ALJs’ treatment of the Application as if it were an ultimate change of control</w:t>
      </w:r>
      <w:r w:rsidR="00AF3F01">
        <w:t>,</w:t>
      </w:r>
      <w:r w:rsidRPr="003B0637">
        <w:t xml:space="preserve"> is legally and factually wrong, </w:t>
      </w:r>
      <w:r w:rsidR="00AF3F01">
        <w:t xml:space="preserve">and such a ruling, if approved, </w:t>
      </w:r>
      <w:r w:rsidRPr="003B0637">
        <w:t>would be extraordinarily poor public policy</w:t>
      </w:r>
      <w:r w:rsidR="00AF3F01">
        <w:t xml:space="preserve"> that would result in </w:t>
      </w:r>
      <w:r w:rsidRPr="003B0637">
        <w:t xml:space="preserve">an illogical and unprecedented result.  </w:t>
      </w:r>
      <w:r w:rsidR="00145496" w:rsidRPr="003B0637">
        <w:t>PPL EU</w:t>
      </w:r>
      <w:r w:rsidRPr="003B0637">
        <w:t xml:space="preserve"> asserts there is no reason to deny the Application since, to its knowledge, the Commission has never rejected an internal reorganization or restructuring on this basis.  Exc. at 3.  </w:t>
      </w:r>
      <w:r w:rsidR="00145496" w:rsidRPr="003B0637">
        <w:t>PPL EU</w:t>
      </w:r>
      <w:r w:rsidRPr="003B0637">
        <w:t xml:space="preserve"> </w:t>
      </w:r>
      <w:r w:rsidR="00AF3F01">
        <w:t xml:space="preserve">cites to the </w:t>
      </w:r>
      <w:r w:rsidRPr="003B0637">
        <w:rPr>
          <w:i/>
        </w:rPr>
        <w:t>Policy Statement Order</w:t>
      </w:r>
      <w:r w:rsidR="00AF3F01">
        <w:rPr>
          <w:i/>
        </w:rPr>
        <w:t xml:space="preserve"> </w:t>
      </w:r>
      <w:r w:rsidR="00AF3F01">
        <w:t xml:space="preserve">in which the Commission stated </w:t>
      </w:r>
      <w:r w:rsidRPr="003B0637">
        <w:t xml:space="preserve">its focus in reviewing internal reorganizations is whether the management or operations of the utility will change.  </w:t>
      </w:r>
      <w:r w:rsidRPr="003B0637">
        <w:lastRenderedPageBreak/>
        <w:t xml:space="preserve">According to </w:t>
      </w:r>
      <w:r w:rsidR="00145496" w:rsidRPr="003B0637">
        <w:t>PPL EU</w:t>
      </w:r>
      <w:r w:rsidRPr="003B0637">
        <w:t xml:space="preserve">, because there is no such change in </w:t>
      </w:r>
      <w:r w:rsidR="00AF3F01">
        <w:t xml:space="preserve">the Proposed Restructuring, </w:t>
      </w:r>
      <w:r w:rsidRPr="003B0637">
        <w:t xml:space="preserve">the Commission should review the Application using the standard set forth in Section 1103(a) of the Code, </w:t>
      </w:r>
      <w:r w:rsidRPr="003B0637">
        <w:rPr>
          <w:color w:val="000000"/>
          <w:szCs w:val="26"/>
        </w:rPr>
        <w:t xml:space="preserve">66 Pa. C.S. § 1103, </w:t>
      </w:r>
      <w:r w:rsidRPr="003B0637">
        <w:t xml:space="preserve">by determining whether the Restructuring is “necessary or proper for the service, accommodation, convenience, or safety of the public.”  </w:t>
      </w:r>
      <w:r w:rsidRPr="003B0637">
        <w:rPr>
          <w:i/>
        </w:rPr>
        <w:t>Id.</w:t>
      </w:r>
      <w:r w:rsidRPr="003B0637">
        <w:t xml:space="preserve"> at 3-4.</w:t>
      </w:r>
    </w:p>
    <w:p w14:paraId="1CFA4B40" w14:textId="77777777" w:rsidR="00A61672" w:rsidRPr="003B0637" w:rsidRDefault="00A61672" w:rsidP="00502FC8"/>
    <w:p w14:paraId="492594BD" w14:textId="77777777" w:rsidR="00A61672" w:rsidRPr="003B0637" w:rsidRDefault="00145496" w:rsidP="00502FC8">
      <w:r w:rsidRPr="003B0637">
        <w:t>PPL EU</w:t>
      </w:r>
      <w:r w:rsidR="00A61672" w:rsidRPr="003B0637">
        <w:t xml:space="preserve"> </w:t>
      </w:r>
      <w:r w:rsidR="00D919BB">
        <w:t xml:space="preserve">next </w:t>
      </w:r>
      <w:r w:rsidR="00A61672" w:rsidRPr="003B0637">
        <w:t xml:space="preserve">reiterates its argument that the substantial benefit test does not apply in this case because the ultimate ownership and control of </w:t>
      </w:r>
      <w:r w:rsidRPr="003B0637">
        <w:t>PPL EU</w:t>
      </w:r>
      <w:r w:rsidR="00A61672" w:rsidRPr="003B0637">
        <w:t xml:space="preserve"> and its utility property by PPL Corporation will not change and the </w:t>
      </w:r>
      <w:r w:rsidR="00C96F1E" w:rsidRPr="003B0637">
        <w:t>Proposed Restructuring</w:t>
      </w:r>
      <w:r w:rsidR="00A61672" w:rsidRPr="003B0637">
        <w:t xml:space="preserve"> will not in any way, change the management or operations of </w:t>
      </w:r>
      <w:r w:rsidR="00C247D4" w:rsidRPr="003B0637">
        <w:t>PPL EU</w:t>
      </w:r>
      <w:r w:rsidR="00A61672" w:rsidRPr="003B0637">
        <w:t xml:space="preserve">.  </w:t>
      </w:r>
      <w:r w:rsidR="00A61672" w:rsidRPr="003B0637">
        <w:rPr>
          <w:i/>
        </w:rPr>
        <w:t>Id.</w:t>
      </w:r>
      <w:r w:rsidR="00A61672" w:rsidRPr="003B0637">
        <w:t xml:space="preserve"> at 6.  PPL a</w:t>
      </w:r>
      <w:r w:rsidR="00D919BB">
        <w:t xml:space="preserve">sserts that </w:t>
      </w:r>
      <w:r w:rsidR="00A61672" w:rsidRPr="003B0637">
        <w:t xml:space="preserve">the ALJs applied the wrong standard in reaching their determination to deny the Application.  According to </w:t>
      </w:r>
      <w:r w:rsidRPr="003B0637">
        <w:t>PPL EU</w:t>
      </w:r>
      <w:r w:rsidR="00A61672" w:rsidRPr="003B0637">
        <w:t xml:space="preserve">, because there will be no change in the ultimate ownership and control or a change in management or operations of </w:t>
      </w:r>
      <w:r w:rsidR="00C247D4" w:rsidRPr="003B0637">
        <w:t>PPL EU</w:t>
      </w:r>
      <w:r w:rsidR="00A61672" w:rsidRPr="003B0637">
        <w:t xml:space="preserve"> as a result of the </w:t>
      </w:r>
      <w:r w:rsidR="00C96F1E" w:rsidRPr="003B0637">
        <w:t>Proposed Restructuring</w:t>
      </w:r>
      <w:r w:rsidR="00A61672" w:rsidRPr="003B0637">
        <w:t xml:space="preserve">, the ALJs’ </w:t>
      </w:r>
      <w:r w:rsidR="00D919BB">
        <w:t xml:space="preserve">requirement that PPL EU must prove that the Application will provide substantial affirmative </w:t>
      </w:r>
      <w:r w:rsidR="00A61672" w:rsidRPr="003B0637">
        <w:t xml:space="preserve">benefits  is erroneous.  </w:t>
      </w:r>
      <w:r w:rsidR="00A61672" w:rsidRPr="003B0637">
        <w:rPr>
          <w:i/>
        </w:rPr>
        <w:t xml:space="preserve">Id. </w:t>
      </w:r>
      <w:r w:rsidR="00A61672" w:rsidRPr="003B0637">
        <w:t xml:space="preserve">(citing R.D. at 21).  From </w:t>
      </w:r>
      <w:r w:rsidRPr="003B0637">
        <w:t>PPL EU</w:t>
      </w:r>
      <w:r w:rsidR="00A61672" w:rsidRPr="003B0637">
        <w:t>’s perspective, the correct legal standard that should be applied here is contained in Section 1103(a) of the Code</w:t>
      </w:r>
      <w:r w:rsidR="00D919BB">
        <w:t xml:space="preserve"> which provides that </w:t>
      </w:r>
      <w:r w:rsidR="00A61672" w:rsidRPr="003B0637">
        <w:t xml:space="preserve">the granting of the certificate is necessary, or proper for the service, convenience, accommodation or safety of the public.  </w:t>
      </w:r>
      <w:r w:rsidR="00A61672" w:rsidRPr="003B0637">
        <w:rPr>
          <w:i/>
        </w:rPr>
        <w:t>Id.</w:t>
      </w:r>
      <w:r w:rsidR="00A61672" w:rsidRPr="003B0637">
        <w:t xml:space="preserve"> at 6-7.</w:t>
      </w:r>
    </w:p>
    <w:p w14:paraId="41C8033B" w14:textId="77777777" w:rsidR="00A61672" w:rsidRPr="003B0637" w:rsidRDefault="00A61672" w:rsidP="00502FC8"/>
    <w:p w14:paraId="3130CFD7" w14:textId="77777777" w:rsidR="00B0527E" w:rsidRPr="003B0637" w:rsidRDefault="00145496" w:rsidP="00502FC8">
      <w:r w:rsidRPr="003B0637">
        <w:t>PPL EU</w:t>
      </w:r>
      <w:r w:rsidR="00A61672" w:rsidRPr="003B0637">
        <w:t xml:space="preserve"> highlights the following reasons why it believes the ALJs applied the incorrect standard in their Recommended Decision.  First, </w:t>
      </w:r>
      <w:r w:rsidRPr="003B0637">
        <w:t>PPL EU</w:t>
      </w:r>
      <w:r w:rsidR="00A61672" w:rsidRPr="003B0637">
        <w:t xml:space="preserve"> argues that unlike the instant proceeding, in both the </w:t>
      </w:r>
      <w:r w:rsidR="00A61672" w:rsidRPr="003B0637">
        <w:rPr>
          <w:i/>
        </w:rPr>
        <w:t>City of York</w:t>
      </w:r>
      <w:r w:rsidR="00A61672" w:rsidRPr="003B0637">
        <w:t xml:space="preserve"> and </w:t>
      </w:r>
      <w:r w:rsidR="00A61672" w:rsidRPr="003B0637">
        <w:rPr>
          <w:i/>
        </w:rPr>
        <w:t>Popowsky</w:t>
      </w:r>
      <w:r w:rsidR="00585E9D">
        <w:t>,</w:t>
      </w:r>
      <w:r w:rsidR="00A61672" w:rsidRPr="003B0637">
        <w:t xml:space="preserve"> the ALJs referenced as the basis of their conclusion, there was a change in the ultimate controlling owner of the utility that was seeking Commission’s approval.  </w:t>
      </w:r>
      <w:r w:rsidRPr="003B0637">
        <w:t>PPL EU</w:t>
      </w:r>
      <w:r w:rsidR="00B0527E" w:rsidRPr="003B0637">
        <w:t xml:space="preserve"> r</w:t>
      </w:r>
      <w:r w:rsidR="00A61672" w:rsidRPr="003B0637">
        <w:t>eferenc</w:t>
      </w:r>
      <w:r w:rsidR="00B0527E" w:rsidRPr="003B0637">
        <w:t>es</w:t>
      </w:r>
      <w:r w:rsidR="00A61672" w:rsidRPr="003B0637">
        <w:t xml:space="preserve"> Conclusion of Law No. 4 in the Recommended Decision,</w:t>
      </w:r>
      <w:r w:rsidR="00B0527E" w:rsidRPr="003B0637">
        <w:t xml:space="preserve"> which states:</w:t>
      </w:r>
    </w:p>
    <w:p w14:paraId="38A24A0A" w14:textId="77777777" w:rsidR="00B0527E" w:rsidRPr="003B0637" w:rsidRDefault="00B0527E" w:rsidP="00502FC8">
      <w:pPr>
        <w:pStyle w:val="FootnoteText"/>
        <w:keepNext/>
        <w:keepLines/>
        <w:ind w:firstLine="720"/>
        <w:rPr>
          <w:sz w:val="26"/>
        </w:rPr>
      </w:pPr>
    </w:p>
    <w:p w14:paraId="44FF40CB" w14:textId="77777777" w:rsidR="00B0527E" w:rsidRDefault="00B0527E" w:rsidP="00502FC8">
      <w:pPr>
        <w:pStyle w:val="FootnoteText"/>
        <w:keepNext/>
        <w:keepLines/>
        <w:ind w:left="1440" w:right="1440" w:firstLine="0"/>
        <w:rPr>
          <w:sz w:val="26"/>
          <w:szCs w:val="26"/>
        </w:rPr>
      </w:pPr>
      <w:r w:rsidRPr="003B0637">
        <w:rPr>
          <w:sz w:val="26"/>
          <w:szCs w:val="26"/>
        </w:rPr>
        <w:t xml:space="preserve">Where there is an actual change in the </w:t>
      </w:r>
      <w:r w:rsidRPr="00585E9D">
        <w:rPr>
          <w:sz w:val="26"/>
          <w:szCs w:val="26"/>
          <w:u w:val="single"/>
        </w:rPr>
        <w:t>ultimate control</w:t>
      </w:r>
      <w:r w:rsidRPr="003B0637">
        <w:rPr>
          <w:sz w:val="26"/>
          <w:szCs w:val="26"/>
        </w:rPr>
        <w:t xml:space="preserve"> of a utility and, therefore, a transfer of property under Section 1103(a)(3), the Commission must find that the transaction will “affirmatively promote the service, accommodation, convenience, or safety of the public </w:t>
      </w:r>
      <w:r w:rsidRPr="00585E9D">
        <w:rPr>
          <w:sz w:val="26"/>
          <w:szCs w:val="26"/>
          <w:u w:val="single"/>
        </w:rPr>
        <w:t>in some substantial way</w:t>
      </w:r>
      <w:r w:rsidRPr="003B0637">
        <w:rPr>
          <w:sz w:val="26"/>
          <w:szCs w:val="26"/>
        </w:rPr>
        <w:t xml:space="preserve">.” </w:t>
      </w:r>
      <w:r w:rsidRPr="00585E9D">
        <w:rPr>
          <w:i/>
          <w:sz w:val="26"/>
          <w:szCs w:val="26"/>
        </w:rPr>
        <w:t>City of York v. Pa. Pub. Util. Comm’n</w:t>
      </w:r>
      <w:r w:rsidRPr="003B0637">
        <w:rPr>
          <w:sz w:val="26"/>
          <w:szCs w:val="26"/>
        </w:rPr>
        <w:t>, 449 Pa. 136, 151, 295 A.2d 825, 828 (1972).</w:t>
      </w:r>
      <w:r w:rsidR="00585E9D">
        <w:rPr>
          <w:sz w:val="26"/>
          <w:szCs w:val="26"/>
        </w:rPr>
        <w:t xml:space="preserve"> </w:t>
      </w:r>
    </w:p>
    <w:p w14:paraId="0F657973" w14:textId="77777777" w:rsidR="00D27D63" w:rsidRPr="003B0637" w:rsidRDefault="00D27D63" w:rsidP="00502FC8">
      <w:pPr>
        <w:pStyle w:val="FootnoteText"/>
        <w:keepNext/>
        <w:keepLines/>
        <w:ind w:left="1440" w:right="1440" w:firstLine="0"/>
        <w:rPr>
          <w:sz w:val="26"/>
          <w:szCs w:val="26"/>
        </w:rPr>
      </w:pPr>
    </w:p>
    <w:p w14:paraId="42F0F21D" w14:textId="77777777" w:rsidR="00B0527E" w:rsidRPr="003B0637" w:rsidRDefault="00B0527E" w:rsidP="00502FC8">
      <w:pPr>
        <w:pStyle w:val="FootnoteText"/>
        <w:keepNext/>
        <w:keepLines/>
        <w:ind w:right="1440" w:firstLine="0"/>
        <w:rPr>
          <w:sz w:val="26"/>
          <w:szCs w:val="26"/>
        </w:rPr>
      </w:pPr>
    </w:p>
    <w:p w14:paraId="30852B5C" w14:textId="797F7A9F" w:rsidR="00A61672" w:rsidRPr="003B0637" w:rsidRDefault="00B0527E" w:rsidP="00502FC8">
      <w:pPr>
        <w:ind w:firstLine="0"/>
      </w:pPr>
      <w:r w:rsidRPr="003B0637">
        <w:rPr>
          <w:i/>
        </w:rPr>
        <w:t>Id.</w:t>
      </w:r>
      <w:r w:rsidRPr="003B0637">
        <w:t xml:space="preserve"> at 7 (citing R.D. at 22)</w:t>
      </w:r>
      <w:r w:rsidR="00585E9D">
        <w:t>(</w:t>
      </w:r>
      <w:r w:rsidR="00D300D4">
        <w:rPr>
          <w:szCs w:val="26"/>
        </w:rPr>
        <w:t>e</w:t>
      </w:r>
      <w:r w:rsidR="00585E9D">
        <w:rPr>
          <w:szCs w:val="26"/>
        </w:rPr>
        <w:t>mphasis by PPL EU).</w:t>
      </w:r>
      <w:r w:rsidRPr="003B0637">
        <w:t xml:space="preserve">  </w:t>
      </w:r>
      <w:r w:rsidR="00145496" w:rsidRPr="003B0637">
        <w:t>PPL EU</w:t>
      </w:r>
      <w:r w:rsidR="00A61672" w:rsidRPr="003B0637">
        <w:t xml:space="preserve"> avers that while the Conclusion of Law is correct, it was applied incorrectly because there will be no change in </w:t>
      </w:r>
      <w:r w:rsidR="00A61672" w:rsidRPr="00585E9D">
        <w:rPr>
          <w:i/>
        </w:rPr>
        <w:t>ultimate control</w:t>
      </w:r>
      <w:r w:rsidR="00A61672" w:rsidRPr="003B0637">
        <w:t xml:space="preserve"> in the </w:t>
      </w:r>
      <w:r w:rsidR="00C96F1E" w:rsidRPr="003B0637">
        <w:t>Proposed Restructuring</w:t>
      </w:r>
      <w:r w:rsidR="00A61672" w:rsidRPr="003B0637">
        <w:t xml:space="preserve">.  </w:t>
      </w:r>
      <w:r w:rsidR="00A61672" w:rsidRPr="003B0637">
        <w:rPr>
          <w:i/>
        </w:rPr>
        <w:t>Id.</w:t>
      </w:r>
      <w:r w:rsidRPr="003B0637">
        <w:t xml:space="preserve"> at 7.</w:t>
      </w:r>
      <w:r w:rsidR="00A61672" w:rsidRPr="003B0637">
        <w:t xml:space="preserve"> </w:t>
      </w:r>
    </w:p>
    <w:p w14:paraId="7FDD46AE" w14:textId="77777777" w:rsidR="00A61672" w:rsidRPr="003B0637" w:rsidRDefault="00A61672" w:rsidP="00502FC8"/>
    <w:p w14:paraId="66ED6E61" w14:textId="77777777" w:rsidR="00C9181C" w:rsidRDefault="00A61672" w:rsidP="00502FC8">
      <w:r w:rsidRPr="003B0637">
        <w:t xml:space="preserve">Furthermore, </w:t>
      </w:r>
      <w:r w:rsidR="00145496" w:rsidRPr="003B0637">
        <w:t>PPL EU</w:t>
      </w:r>
      <w:r w:rsidRPr="003B0637">
        <w:t xml:space="preserve"> argues the Commission clearly concluded in Section 69.901 of its Policy Statement on Utility Stock Transfer under </w:t>
      </w:r>
      <w:r w:rsidRPr="003B0637">
        <w:rPr>
          <w:color w:val="000000"/>
          <w:szCs w:val="26"/>
        </w:rPr>
        <w:t>66 Pa. C.S. § 1102(a)(3) (Policy Statement),</w:t>
      </w:r>
      <w:r w:rsidRPr="003B0637">
        <w:t xml:space="preserve"> that transfers of voting interests of a utility parent or grandparent – the ultimate owner – at any level is a transfer of control.  52 Pa. Code </w:t>
      </w:r>
      <w:r w:rsidRPr="003B0637">
        <w:rPr>
          <w:color w:val="000000"/>
          <w:szCs w:val="26"/>
        </w:rPr>
        <w:t xml:space="preserve">§ </w:t>
      </w:r>
      <w:r w:rsidRPr="003B0637">
        <w:t xml:space="preserve">69.901.  </w:t>
      </w:r>
      <w:r w:rsidR="00145496" w:rsidRPr="003B0637">
        <w:t>PPL EU</w:t>
      </w:r>
      <w:r w:rsidRPr="003B0637">
        <w:t xml:space="preserve"> argues, in this case, ultimate voting control and ownership stays with </w:t>
      </w:r>
      <w:r w:rsidR="00145496" w:rsidRPr="003B0637">
        <w:t>PPL EU</w:t>
      </w:r>
      <w:r w:rsidRPr="003B0637">
        <w:t xml:space="preserve"> Corporation both before</w:t>
      </w:r>
      <w:r w:rsidR="00585E9D">
        <w:t>,</w:t>
      </w:r>
      <w:r w:rsidRPr="003B0637">
        <w:t xml:space="preserve"> and after</w:t>
      </w:r>
      <w:r w:rsidR="00585E9D">
        <w:t>,</w:t>
      </w:r>
      <w:r w:rsidRPr="003B0637">
        <w:t xml:space="preserve"> the </w:t>
      </w:r>
      <w:r w:rsidR="00C96F1E" w:rsidRPr="003B0637">
        <w:t>Proposed Restructuring</w:t>
      </w:r>
      <w:r w:rsidR="00C9181C">
        <w:t xml:space="preserve">.  Thus, PPL EU contends that </w:t>
      </w:r>
      <w:r w:rsidRPr="003B0637">
        <w:t>the ALJs erred in applying a standard that is required to justify a change in ultimate ownership to an internal reorganization that does not change ultimate control.  Exc. at</w:t>
      </w:r>
      <w:r w:rsidR="008B0330">
        <w:t> </w:t>
      </w:r>
      <w:r w:rsidRPr="003B0637">
        <w:t>7</w:t>
      </w:r>
      <w:r w:rsidR="008B0330">
        <w:noBreakHyphen/>
      </w:r>
      <w:r w:rsidRPr="003B0637">
        <w:t>8.</w:t>
      </w:r>
    </w:p>
    <w:p w14:paraId="3DB0721B" w14:textId="77777777" w:rsidR="00D27D63" w:rsidRDefault="00D27D63" w:rsidP="00502FC8"/>
    <w:p w14:paraId="35163ABE" w14:textId="78608E24" w:rsidR="00A61672" w:rsidRPr="003B0637" w:rsidRDefault="00145496" w:rsidP="00502FC8">
      <w:r w:rsidRPr="003B0637">
        <w:t>PPL EU</w:t>
      </w:r>
      <w:r w:rsidR="00A61672" w:rsidRPr="003B0637">
        <w:t xml:space="preserve"> reiterates that in the </w:t>
      </w:r>
      <w:r w:rsidR="00A61672" w:rsidRPr="003B0637">
        <w:rPr>
          <w:i/>
        </w:rPr>
        <w:t xml:space="preserve">Policy Statement Order, </w:t>
      </w:r>
      <w:r w:rsidR="00A61672" w:rsidRPr="003B0637">
        <w:t xml:space="preserve">the Commission made a clear distinction between an internal reorganization that changed the ownership of a utility from one affiliated company to another affiliated company without a change in the ultimate owner of the utility from a merger or acquisition of the ultimate controlling owner of a public utility.  According to </w:t>
      </w:r>
      <w:r w:rsidRPr="003B0637">
        <w:t>PPL EU</w:t>
      </w:r>
      <w:r w:rsidR="00A61672" w:rsidRPr="003B0637">
        <w:t xml:space="preserve">, the Commission made it clear in the </w:t>
      </w:r>
      <w:r w:rsidR="00A61672" w:rsidRPr="003B0637">
        <w:rPr>
          <w:i/>
        </w:rPr>
        <w:t>Policy Statement Order</w:t>
      </w:r>
      <w:r w:rsidR="00A61672" w:rsidRPr="003B0637">
        <w:t xml:space="preserve"> that the focus of an investigation of a proposed internal reorganization was whether the restructuring would affect the management or operations of the utility</w:t>
      </w:r>
      <w:r w:rsidR="00C9181C">
        <w:t xml:space="preserve">.  PPL EU submits that this is not </w:t>
      </w:r>
      <w:r w:rsidR="00A61672" w:rsidRPr="003B0637">
        <w:t xml:space="preserve">the case in the </w:t>
      </w:r>
      <w:r w:rsidR="00C96F1E" w:rsidRPr="003B0637">
        <w:t>Proposed Restructuring</w:t>
      </w:r>
      <w:r w:rsidR="00C9181C">
        <w:t xml:space="preserve"> as </w:t>
      </w:r>
      <w:r w:rsidR="00C9181C">
        <w:lastRenderedPageBreak/>
        <w:t>no management or operations of the utility will be affected by the Proposed Restructuring</w:t>
      </w:r>
      <w:r w:rsidR="00A61672" w:rsidRPr="003B0637">
        <w:t xml:space="preserve">.  </w:t>
      </w:r>
      <w:r w:rsidR="00A61672" w:rsidRPr="003B0637">
        <w:rPr>
          <w:i/>
        </w:rPr>
        <w:t>Id.</w:t>
      </w:r>
      <w:r w:rsidR="00A61672" w:rsidRPr="003B0637">
        <w:t xml:space="preserve"> at 8-9</w:t>
      </w:r>
      <w:r w:rsidR="00C9181C">
        <w:t xml:space="preserve"> (citing to PPL Electric St</w:t>
      </w:r>
      <w:r w:rsidR="00BA19DE">
        <w:t>.</w:t>
      </w:r>
      <w:r w:rsidR="00C9181C">
        <w:t xml:space="preserve"> 1-R at 3)</w:t>
      </w:r>
      <w:r w:rsidR="00A61672" w:rsidRPr="003B0637">
        <w:t>.</w:t>
      </w:r>
    </w:p>
    <w:p w14:paraId="30D8690F" w14:textId="77777777" w:rsidR="00A61672" w:rsidRPr="003B0637" w:rsidRDefault="00A61672" w:rsidP="00502FC8"/>
    <w:p w14:paraId="79433CB6" w14:textId="77777777" w:rsidR="00A61672" w:rsidRPr="003B0637" w:rsidRDefault="00A61672" w:rsidP="00502FC8">
      <w:r w:rsidRPr="003B0637">
        <w:t xml:space="preserve">Lastly, </w:t>
      </w:r>
      <w:r w:rsidR="00145496" w:rsidRPr="003B0637">
        <w:t>PPL EU</w:t>
      </w:r>
      <w:r w:rsidRPr="003B0637">
        <w:t xml:space="preserve"> argues that applying the substantial public benefit test, which is reserved for transactions involving fundamental changes in ultimate ownership, sets an unachievable standard for a simple internal reorganization with less impact on utility customers.  From </w:t>
      </w:r>
      <w:r w:rsidR="00145496" w:rsidRPr="003B0637">
        <w:t>PPL EU</w:t>
      </w:r>
      <w:r w:rsidRPr="003B0637">
        <w:t xml:space="preserve">’s perspective, utilizing the substantial benefit test for simple internal reorganization transactions may potentially stand in the way of the benefits that utility customers serve to gain from such transactions.  </w:t>
      </w:r>
      <w:r w:rsidR="00C9181C">
        <w:t xml:space="preserve">PPL EU contends that the </w:t>
      </w:r>
      <w:r w:rsidRPr="003B0637">
        <w:t>Commission should</w:t>
      </w:r>
      <w:r w:rsidR="00C9181C">
        <w:t>, instead,</w:t>
      </w:r>
      <w:r w:rsidRPr="003B0637">
        <w:t xml:space="preserve"> apply the standard contained in Section 1103(a) of the Code, which provides that:</w:t>
      </w:r>
    </w:p>
    <w:p w14:paraId="237D1146" w14:textId="77777777" w:rsidR="00A61672" w:rsidRPr="003B0637" w:rsidRDefault="00A61672" w:rsidP="00502FC8"/>
    <w:p w14:paraId="100C675A" w14:textId="77777777" w:rsidR="00A61672" w:rsidRDefault="00A61672" w:rsidP="00502FC8">
      <w:pPr>
        <w:spacing w:line="240" w:lineRule="auto"/>
        <w:ind w:left="1440" w:right="1440" w:firstLine="0"/>
      </w:pPr>
      <w:r w:rsidRPr="003B0637">
        <w:t>A certificate of public convenience shall be granted by order of the commission, only if the commission shall find or determine that the granting of such certificate is necessary or proper for the service, accommodation, convenience, or safety of the public.</w:t>
      </w:r>
    </w:p>
    <w:p w14:paraId="46E58EA8" w14:textId="77777777" w:rsidR="00C9181C" w:rsidRDefault="00C9181C" w:rsidP="00502FC8">
      <w:pPr>
        <w:spacing w:line="240" w:lineRule="auto"/>
        <w:ind w:left="1440" w:right="1440" w:firstLine="0"/>
      </w:pPr>
    </w:p>
    <w:p w14:paraId="6F9EAE40" w14:textId="77777777" w:rsidR="00C9181C" w:rsidRPr="003B0637" w:rsidRDefault="00C9181C" w:rsidP="00502FC8">
      <w:pPr>
        <w:spacing w:line="240" w:lineRule="auto"/>
        <w:ind w:left="1440" w:right="1440" w:firstLine="0"/>
      </w:pPr>
    </w:p>
    <w:p w14:paraId="358FCAAE" w14:textId="77777777" w:rsidR="008B0330" w:rsidRDefault="00A61672" w:rsidP="00502FC8">
      <w:pPr>
        <w:ind w:firstLine="0"/>
      </w:pPr>
      <w:r w:rsidRPr="003B0637">
        <w:rPr>
          <w:i/>
        </w:rPr>
        <w:t>Id.</w:t>
      </w:r>
      <w:r w:rsidRPr="003B0637">
        <w:t xml:space="preserve"> at 9.</w:t>
      </w:r>
    </w:p>
    <w:p w14:paraId="685F51BF" w14:textId="77777777" w:rsidR="008B0330" w:rsidRDefault="008B0330" w:rsidP="00502FC8">
      <w:pPr>
        <w:ind w:firstLine="0"/>
      </w:pPr>
    </w:p>
    <w:p w14:paraId="2BCFF2BE" w14:textId="77777777" w:rsidR="00A61672" w:rsidRPr="003B0637" w:rsidRDefault="008B0330" w:rsidP="00502FC8">
      <w:pPr>
        <w:ind w:firstLine="0"/>
      </w:pPr>
      <w:r>
        <w:tab/>
      </w:r>
      <w:r>
        <w:tab/>
      </w:r>
      <w:r w:rsidR="00A61672" w:rsidRPr="003B0637">
        <w:t xml:space="preserve">According to </w:t>
      </w:r>
      <w:r w:rsidR="00145496" w:rsidRPr="003B0637">
        <w:t>PPL EU</w:t>
      </w:r>
      <w:r w:rsidR="00A61672" w:rsidRPr="003B0637">
        <w:t xml:space="preserve">, in </w:t>
      </w:r>
      <w:r w:rsidR="00776EC7" w:rsidRPr="003B0637">
        <w:rPr>
          <w:i/>
        </w:rPr>
        <w:t>James Black</w:t>
      </w:r>
      <w:r w:rsidR="00A61672" w:rsidRPr="003B0637">
        <w:t>,</w:t>
      </w:r>
      <w:r w:rsidR="00A61672" w:rsidRPr="003B0637">
        <w:rPr>
          <w:rStyle w:val="FootnoteReference"/>
        </w:rPr>
        <w:footnoteReference w:id="7"/>
      </w:r>
      <w:r w:rsidR="00A61672" w:rsidRPr="003B0637">
        <w:t xml:space="preserve"> the Commission explained the flexibility of the Section 1103(a) standard in the context of an application to provide water service stating that</w:t>
      </w:r>
      <w:r w:rsidR="00776EC7" w:rsidRPr="003B0637">
        <w:t xml:space="preserve"> (emphasis added by </w:t>
      </w:r>
      <w:r w:rsidR="00145496" w:rsidRPr="003B0637">
        <w:t>PPL EU</w:t>
      </w:r>
      <w:r w:rsidR="00776EC7" w:rsidRPr="003B0637">
        <w:t>)</w:t>
      </w:r>
      <w:r w:rsidR="00A61672" w:rsidRPr="003B0637">
        <w:t>:</w:t>
      </w:r>
    </w:p>
    <w:p w14:paraId="63A01B25" w14:textId="77777777" w:rsidR="004A5E68" w:rsidRPr="003B0637" w:rsidRDefault="004A5E68" w:rsidP="00502FC8">
      <w:pPr>
        <w:ind w:firstLine="0"/>
      </w:pPr>
    </w:p>
    <w:p w14:paraId="103E3628" w14:textId="77777777" w:rsidR="00A61672" w:rsidRDefault="00A61672" w:rsidP="00502FC8">
      <w:pPr>
        <w:spacing w:line="240" w:lineRule="auto"/>
        <w:ind w:left="1440" w:right="1440" w:firstLine="0"/>
        <w:rPr>
          <w:rFonts w:eastAsiaTheme="minorHAnsi"/>
          <w:szCs w:val="26"/>
        </w:rPr>
      </w:pPr>
      <w:r w:rsidRPr="003B0637">
        <w:rPr>
          <w:rFonts w:eastAsiaTheme="minorHAnsi"/>
          <w:szCs w:val="26"/>
        </w:rPr>
        <w:t>In granting a certificate,</w:t>
      </w:r>
      <w:r w:rsidRPr="003B0637">
        <w:rPr>
          <w:szCs w:val="26"/>
        </w:rPr>
        <w:t xml:space="preserve"> we have an express statutory mandate to grant a certificate only if we determine that the granting of such certificate is “necessary or proper for the service, accommodation, convenience or safety of the public.”  66 Pa. C.S. § 1103(a).  </w:t>
      </w:r>
      <w:r w:rsidRPr="003B0637">
        <w:rPr>
          <w:rFonts w:eastAsiaTheme="minorHAnsi"/>
          <w:szCs w:val="26"/>
        </w:rPr>
        <w:t xml:space="preserve">In carrying out this mandate, </w:t>
      </w:r>
      <w:r w:rsidRPr="003B0637">
        <w:rPr>
          <w:rFonts w:eastAsiaTheme="minorHAnsi"/>
          <w:szCs w:val="26"/>
        </w:rPr>
        <w:lastRenderedPageBreak/>
        <w:t xml:space="preserve">we have previously stated that the controlling and paramount factor in granting a certificate of public convenience is the public interest.  </w:t>
      </w:r>
      <w:r w:rsidRPr="003B0637">
        <w:rPr>
          <w:rFonts w:eastAsiaTheme="minorHAnsi"/>
          <w:i/>
          <w:szCs w:val="26"/>
        </w:rPr>
        <w:t>Re: Apollo Gas Co</w:t>
      </w:r>
      <w:r w:rsidRPr="003B0637">
        <w:rPr>
          <w:rFonts w:eastAsiaTheme="minorHAnsi"/>
          <w:szCs w:val="26"/>
        </w:rPr>
        <w:t>., 67 Pa. P.U.C. 586, 588 (1988) (citations omitted).  Moreover, t</w:t>
      </w:r>
      <w:r w:rsidRPr="003B0637">
        <w:rPr>
          <w:szCs w:val="26"/>
        </w:rPr>
        <w:t xml:space="preserve">he appellate courts have recognized that </w:t>
      </w:r>
      <w:r w:rsidRPr="003B0637">
        <w:rPr>
          <w:i/>
          <w:szCs w:val="26"/>
        </w:rPr>
        <w:t>this statutory standard is broad</w:t>
      </w:r>
      <w:r w:rsidRPr="003B0637">
        <w:rPr>
          <w:szCs w:val="26"/>
        </w:rPr>
        <w:t xml:space="preserve">, </w:t>
      </w:r>
      <w:r w:rsidRPr="003B0637">
        <w:rPr>
          <w:rFonts w:eastAsiaTheme="minorHAnsi"/>
          <w:szCs w:val="26"/>
        </w:rPr>
        <w:t xml:space="preserve">and that the various and specific factors to be considered in determining whether to grant a certificate, beyond those expressly stated in the statute, are matters left to the administrative expertise, sound discretion, and good judgement of the Commission.  </w:t>
      </w:r>
      <w:r w:rsidRPr="003B0637">
        <w:rPr>
          <w:rFonts w:eastAsiaTheme="minorHAnsi"/>
          <w:i/>
          <w:szCs w:val="26"/>
        </w:rPr>
        <w:t xml:space="preserve">See </w:t>
      </w:r>
      <w:r w:rsidRPr="003B0637">
        <w:rPr>
          <w:i/>
          <w:szCs w:val="26"/>
        </w:rPr>
        <w:t>Elite Industries, Inc. v. Pa. P.U.C</w:t>
      </w:r>
      <w:r w:rsidRPr="003B0637">
        <w:rPr>
          <w:szCs w:val="26"/>
        </w:rPr>
        <w:t>., 832 A.2d 428, 432 (Pa. 2003) (</w:t>
      </w:r>
      <w:r w:rsidRPr="003B0637">
        <w:rPr>
          <w:i/>
          <w:szCs w:val="26"/>
        </w:rPr>
        <w:t>Elite</w:t>
      </w:r>
      <w:r w:rsidRPr="003B0637">
        <w:rPr>
          <w:szCs w:val="26"/>
        </w:rPr>
        <w:t xml:space="preserve">), </w:t>
      </w:r>
      <w:r w:rsidRPr="003B0637">
        <w:rPr>
          <w:rFonts w:eastAsiaTheme="minorHAnsi"/>
          <w:szCs w:val="26"/>
        </w:rPr>
        <w:t xml:space="preserve">citing </w:t>
      </w:r>
      <w:r w:rsidRPr="003B0637">
        <w:rPr>
          <w:rFonts w:eastAsiaTheme="minorHAnsi"/>
          <w:i/>
          <w:szCs w:val="26"/>
        </w:rPr>
        <w:t>Seaboard Tank Lines, Inc. v. Pennsylvania Pub. Util. Comm’n</w:t>
      </w:r>
      <w:r w:rsidRPr="003B0637">
        <w:rPr>
          <w:rFonts w:eastAsiaTheme="minorHAnsi"/>
          <w:szCs w:val="26"/>
        </w:rPr>
        <w:t>, 502 A.2d 762, 764-65 (Pa. Cmwlth. 1985) (</w:t>
      </w:r>
      <w:r w:rsidRPr="003B0637">
        <w:rPr>
          <w:rFonts w:eastAsiaTheme="minorHAnsi"/>
          <w:i/>
          <w:szCs w:val="26"/>
        </w:rPr>
        <w:t>Seaboard</w:t>
      </w:r>
      <w:r w:rsidRPr="003B0637">
        <w:rPr>
          <w:rFonts w:eastAsiaTheme="minorHAnsi"/>
          <w:szCs w:val="26"/>
        </w:rPr>
        <w:t>) (emphasis added).</w:t>
      </w:r>
    </w:p>
    <w:p w14:paraId="3DB05C98" w14:textId="77777777" w:rsidR="00C9181C" w:rsidRDefault="00C9181C" w:rsidP="00502FC8">
      <w:pPr>
        <w:spacing w:line="240" w:lineRule="auto"/>
        <w:ind w:left="1440" w:right="1440" w:firstLine="0"/>
        <w:rPr>
          <w:rFonts w:eastAsiaTheme="minorHAnsi"/>
          <w:szCs w:val="26"/>
        </w:rPr>
      </w:pPr>
    </w:p>
    <w:p w14:paraId="31DD18AC" w14:textId="77777777" w:rsidR="00C9181C" w:rsidRPr="003B0637" w:rsidRDefault="00C9181C" w:rsidP="00502FC8">
      <w:pPr>
        <w:spacing w:line="240" w:lineRule="auto"/>
        <w:ind w:left="1440" w:right="1440" w:firstLine="0"/>
        <w:rPr>
          <w:szCs w:val="26"/>
        </w:rPr>
      </w:pPr>
    </w:p>
    <w:p w14:paraId="0A085614" w14:textId="77777777" w:rsidR="00A61672" w:rsidRDefault="00A61672" w:rsidP="00502FC8">
      <w:pPr>
        <w:ind w:firstLine="0"/>
        <w:rPr>
          <w:szCs w:val="26"/>
        </w:rPr>
      </w:pPr>
      <w:r w:rsidRPr="003B0637">
        <w:rPr>
          <w:i/>
        </w:rPr>
        <w:t>Id.</w:t>
      </w:r>
      <w:r w:rsidRPr="003B0637">
        <w:t xml:space="preserve"> at 9-10 (citing </w:t>
      </w:r>
      <w:r w:rsidRPr="003B0637">
        <w:rPr>
          <w:i/>
          <w:szCs w:val="26"/>
        </w:rPr>
        <w:t>James Black</w:t>
      </w:r>
      <w:r w:rsidRPr="003B0637">
        <w:rPr>
          <w:szCs w:val="26"/>
        </w:rPr>
        <w:t xml:space="preserve"> at 38).  Based on the above, </w:t>
      </w:r>
      <w:r w:rsidR="00145496" w:rsidRPr="003B0637">
        <w:rPr>
          <w:szCs w:val="26"/>
        </w:rPr>
        <w:t>PPL EU</w:t>
      </w:r>
      <w:r w:rsidRPr="003B0637">
        <w:rPr>
          <w:szCs w:val="26"/>
        </w:rPr>
        <w:t xml:space="preserve"> avers that since the Commission’s authority to apply the Section 1103(a) standard is broad, the Commission should abide by the directives of its </w:t>
      </w:r>
      <w:r w:rsidRPr="003B0637">
        <w:rPr>
          <w:i/>
          <w:szCs w:val="26"/>
        </w:rPr>
        <w:t>Policy Statement Order</w:t>
      </w:r>
      <w:r w:rsidRPr="003B0637">
        <w:rPr>
          <w:szCs w:val="26"/>
        </w:rPr>
        <w:t xml:space="preserve"> and approve the </w:t>
      </w:r>
      <w:r w:rsidR="00C96F1E" w:rsidRPr="003B0637">
        <w:rPr>
          <w:szCs w:val="26"/>
        </w:rPr>
        <w:t>Proposed Restructuring</w:t>
      </w:r>
      <w:r w:rsidRPr="003B0637">
        <w:rPr>
          <w:szCs w:val="26"/>
        </w:rPr>
        <w:t xml:space="preserve"> on the basis of the record evidence because there is no change or impact on management or operations of </w:t>
      </w:r>
      <w:r w:rsidR="00145496" w:rsidRPr="003B0637">
        <w:rPr>
          <w:szCs w:val="26"/>
        </w:rPr>
        <w:t>PPL EU</w:t>
      </w:r>
      <w:r w:rsidRPr="003B0637">
        <w:rPr>
          <w:szCs w:val="26"/>
        </w:rPr>
        <w:t xml:space="preserve"> as a result of the </w:t>
      </w:r>
      <w:r w:rsidR="00C96F1E" w:rsidRPr="003B0637">
        <w:rPr>
          <w:szCs w:val="26"/>
        </w:rPr>
        <w:t>Proposed Restructuring</w:t>
      </w:r>
      <w:r w:rsidRPr="003B0637">
        <w:rPr>
          <w:szCs w:val="26"/>
        </w:rPr>
        <w:t>.  Exc. at</w:t>
      </w:r>
      <w:r w:rsidR="00C9181C">
        <w:rPr>
          <w:szCs w:val="26"/>
        </w:rPr>
        <w:t> </w:t>
      </w:r>
      <w:r w:rsidRPr="003B0637">
        <w:rPr>
          <w:szCs w:val="26"/>
        </w:rPr>
        <w:t>10.</w:t>
      </w:r>
    </w:p>
    <w:p w14:paraId="7CDAFDB3" w14:textId="77777777" w:rsidR="00552D93" w:rsidRPr="003B0637" w:rsidRDefault="00552D93" w:rsidP="00502FC8">
      <w:pPr>
        <w:ind w:firstLine="0"/>
        <w:rPr>
          <w:szCs w:val="26"/>
        </w:rPr>
      </w:pPr>
    </w:p>
    <w:p w14:paraId="7843C452" w14:textId="77777777" w:rsidR="00A61672" w:rsidRPr="00552D93" w:rsidRDefault="00552D93" w:rsidP="00D27D63">
      <w:pPr>
        <w:keepNext/>
        <w:keepLines/>
        <w:ind w:left="1800" w:hanging="360"/>
        <w:rPr>
          <w:b/>
          <w:szCs w:val="26"/>
        </w:rPr>
      </w:pPr>
      <w:r w:rsidRPr="00552D93">
        <w:rPr>
          <w:b/>
          <w:szCs w:val="26"/>
        </w:rPr>
        <w:t>b.</w:t>
      </w:r>
      <w:r w:rsidRPr="00552D93">
        <w:rPr>
          <w:b/>
          <w:szCs w:val="26"/>
        </w:rPr>
        <w:tab/>
        <w:t>Replies to Exceptions</w:t>
      </w:r>
    </w:p>
    <w:p w14:paraId="5ACF6736" w14:textId="77777777" w:rsidR="00552D93" w:rsidRDefault="00552D93" w:rsidP="00D27D63">
      <w:pPr>
        <w:keepNext/>
        <w:keepLines/>
        <w:ind w:firstLine="0"/>
        <w:rPr>
          <w:szCs w:val="26"/>
        </w:rPr>
      </w:pPr>
    </w:p>
    <w:p w14:paraId="61B77255" w14:textId="77777777" w:rsidR="00A61672" w:rsidRPr="003B0637" w:rsidRDefault="00A61672" w:rsidP="00502FC8">
      <w:pPr>
        <w:ind w:firstLine="0"/>
        <w:rPr>
          <w:color w:val="000000"/>
          <w:szCs w:val="24"/>
        </w:rPr>
      </w:pPr>
      <w:r w:rsidRPr="003B0637">
        <w:rPr>
          <w:szCs w:val="26"/>
        </w:rPr>
        <w:tab/>
      </w:r>
      <w:r w:rsidRPr="003B0637">
        <w:rPr>
          <w:szCs w:val="26"/>
        </w:rPr>
        <w:tab/>
        <w:t xml:space="preserve">In its Replies, the OSBA agrees with the ALJs’ recommendation that the </w:t>
      </w:r>
      <w:r w:rsidR="00C96F1E" w:rsidRPr="003B0637">
        <w:rPr>
          <w:szCs w:val="26"/>
        </w:rPr>
        <w:t>Proposed Restructuring</w:t>
      </w:r>
      <w:r w:rsidRPr="003B0637">
        <w:rPr>
          <w:szCs w:val="26"/>
        </w:rPr>
        <w:t xml:space="preserve"> requires a showing of substantial public benefit</w:t>
      </w:r>
      <w:r w:rsidR="007A7560">
        <w:rPr>
          <w:szCs w:val="26"/>
        </w:rPr>
        <w:t xml:space="preserve"> for approval under Section 1102(a)(3) of the Code</w:t>
      </w:r>
      <w:r w:rsidRPr="003B0637">
        <w:rPr>
          <w:szCs w:val="26"/>
        </w:rPr>
        <w:t xml:space="preserve">.  The OSBA contends the only standard for determining whether an application should be approved is the substantial public benefit test expressed in </w:t>
      </w:r>
      <w:r w:rsidRPr="003B0637">
        <w:rPr>
          <w:i/>
          <w:szCs w:val="26"/>
        </w:rPr>
        <w:t>City of York</w:t>
      </w:r>
      <w:r w:rsidRPr="003B0637">
        <w:rPr>
          <w:szCs w:val="26"/>
        </w:rPr>
        <w:t xml:space="preserve"> and </w:t>
      </w:r>
      <w:r w:rsidRPr="003B0637">
        <w:rPr>
          <w:i/>
          <w:szCs w:val="26"/>
        </w:rPr>
        <w:t>Popowsky</w:t>
      </w:r>
      <w:r w:rsidRPr="003B0637">
        <w:rPr>
          <w:szCs w:val="26"/>
        </w:rPr>
        <w:t xml:space="preserve">.  R. Exc. at 3.  The OSBA </w:t>
      </w:r>
      <w:r w:rsidR="007A7560">
        <w:rPr>
          <w:szCs w:val="26"/>
        </w:rPr>
        <w:t xml:space="preserve">disagrees with </w:t>
      </w:r>
      <w:r w:rsidR="00145496" w:rsidRPr="003B0637">
        <w:rPr>
          <w:szCs w:val="26"/>
        </w:rPr>
        <w:t>PPL EU</w:t>
      </w:r>
      <w:r w:rsidRPr="003B0637">
        <w:rPr>
          <w:szCs w:val="26"/>
        </w:rPr>
        <w:t xml:space="preserve">’s argument that </w:t>
      </w:r>
      <w:r w:rsidR="007A7560" w:rsidRPr="003B0637">
        <w:rPr>
          <w:szCs w:val="26"/>
        </w:rPr>
        <w:t xml:space="preserve">because there is no </w:t>
      </w:r>
      <w:r w:rsidR="007A7560" w:rsidRPr="00785790">
        <w:rPr>
          <w:i/>
          <w:szCs w:val="26"/>
        </w:rPr>
        <w:t>ultimate change in control or a change in management or operations</w:t>
      </w:r>
      <w:r w:rsidR="007A7560">
        <w:rPr>
          <w:szCs w:val="26"/>
        </w:rPr>
        <w:t xml:space="preserve">, </w:t>
      </w:r>
      <w:r w:rsidRPr="003B0637">
        <w:rPr>
          <w:szCs w:val="26"/>
        </w:rPr>
        <w:t xml:space="preserve">the substantial public benefit standard does not apply.  </w:t>
      </w:r>
      <w:r w:rsidR="007A7560">
        <w:rPr>
          <w:szCs w:val="26"/>
        </w:rPr>
        <w:t xml:space="preserve">The OSBA submits that such an argument is misguided.  </w:t>
      </w:r>
      <w:r w:rsidR="00785790">
        <w:rPr>
          <w:szCs w:val="26"/>
        </w:rPr>
        <w:t>In r</w:t>
      </w:r>
      <w:r w:rsidRPr="003B0637">
        <w:rPr>
          <w:szCs w:val="26"/>
        </w:rPr>
        <w:t xml:space="preserve">efuting </w:t>
      </w:r>
      <w:r w:rsidR="00145496" w:rsidRPr="003B0637">
        <w:rPr>
          <w:szCs w:val="26"/>
        </w:rPr>
        <w:t>PPL EU</w:t>
      </w:r>
      <w:r w:rsidRPr="003B0637">
        <w:rPr>
          <w:szCs w:val="26"/>
        </w:rPr>
        <w:t xml:space="preserve">’s “ultimate control” argument in the Policy Statement and the Commission’s Regulation at </w:t>
      </w:r>
      <w:r w:rsidRPr="003B0637">
        <w:t xml:space="preserve">52 Pa. </w:t>
      </w:r>
      <w:r w:rsidRPr="003B0637">
        <w:lastRenderedPageBreak/>
        <w:t xml:space="preserve">Code </w:t>
      </w:r>
      <w:r w:rsidRPr="003B0637">
        <w:rPr>
          <w:color w:val="000000"/>
          <w:szCs w:val="26"/>
        </w:rPr>
        <w:t xml:space="preserve">§ </w:t>
      </w:r>
      <w:r w:rsidRPr="003B0637">
        <w:t>69.901</w:t>
      </w:r>
      <w:r w:rsidRPr="003B0637">
        <w:rPr>
          <w:szCs w:val="26"/>
        </w:rPr>
        <w:t xml:space="preserve">, the OSBA </w:t>
      </w:r>
      <w:r w:rsidR="00785790">
        <w:rPr>
          <w:szCs w:val="26"/>
        </w:rPr>
        <w:t xml:space="preserve">asserts </w:t>
      </w:r>
      <w:r w:rsidRPr="003B0637">
        <w:rPr>
          <w:szCs w:val="26"/>
        </w:rPr>
        <w:t xml:space="preserve">that “ultimate control” was never addressed or even mentioned in the Policy Statement or the Commission Regulation at </w:t>
      </w:r>
      <w:r w:rsidRPr="003B0637">
        <w:t xml:space="preserve">52 Pa. Code </w:t>
      </w:r>
      <w:r w:rsidRPr="003B0637">
        <w:rPr>
          <w:color w:val="000000"/>
          <w:szCs w:val="26"/>
        </w:rPr>
        <w:t>§</w:t>
      </w:r>
      <w:r w:rsidR="00785790">
        <w:rPr>
          <w:color w:val="000000"/>
          <w:szCs w:val="26"/>
        </w:rPr>
        <w:t> </w:t>
      </w:r>
      <w:r w:rsidRPr="003B0637">
        <w:t>69.901</w:t>
      </w:r>
      <w:r w:rsidRPr="003B0637">
        <w:rPr>
          <w:szCs w:val="26"/>
        </w:rPr>
        <w:t xml:space="preserve">.  Rather, what was comprehensively discussed in the Policy Statement was </w:t>
      </w:r>
      <w:r w:rsidRPr="003B0637">
        <w:rPr>
          <w:i/>
          <w:szCs w:val="26"/>
        </w:rPr>
        <w:t>de facto</w:t>
      </w:r>
      <w:r w:rsidRPr="003B0637">
        <w:rPr>
          <w:szCs w:val="26"/>
        </w:rPr>
        <w:t xml:space="preserve"> control.  </w:t>
      </w:r>
      <w:r w:rsidRPr="003B0637">
        <w:rPr>
          <w:i/>
          <w:szCs w:val="26"/>
        </w:rPr>
        <w:t>Id.</w:t>
      </w:r>
      <w:r w:rsidRPr="003B0637">
        <w:rPr>
          <w:szCs w:val="26"/>
        </w:rPr>
        <w:t xml:space="preserve"> at 3-5 (citing </w:t>
      </w:r>
      <w:r w:rsidRPr="00C825FB">
        <w:rPr>
          <w:i/>
          <w:szCs w:val="26"/>
        </w:rPr>
        <w:t>Policy Statement</w:t>
      </w:r>
      <w:r w:rsidR="00C825FB" w:rsidRPr="00C825FB">
        <w:rPr>
          <w:i/>
          <w:szCs w:val="26"/>
        </w:rPr>
        <w:t xml:space="preserve"> Order</w:t>
      </w:r>
      <w:r w:rsidRPr="003B0637">
        <w:rPr>
          <w:szCs w:val="26"/>
        </w:rPr>
        <w:t xml:space="preserve"> at 10; </w:t>
      </w:r>
      <w:r w:rsidR="00C825FB">
        <w:rPr>
          <w:szCs w:val="26"/>
        </w:rPr>
        <w:t xml:space="preserve">Policy Statement at </w:t>
      </w:r>
      <w:r w:rsidRPr="003B0637">
        <w:t xml:space="preserve">52 Pa. Code </w:t>
      </w:r>
      <w:r w:rsidRPr="003B0637">
        <w:rPr>
          <w:color w:val="000000"/>
          <w:szCs w:val="26"/>
        </w:rPr>
        <w:t xml:space="preserve">§ </w:t>
      </w:r>
      <w:r w:rsidRPr="003B0637">
        <w:t>69.901(a)(2)</w:t>
      </w:r>
      <w:r w:rsidRPr="003B0637">
        <w:rPr>
          <w:szCs w:val="26"/>
        </w:rPr>
        <w:t xml:space="preserve">).  According to the OSBA, the ALJs appropriately evaluated the issue of </w:t>
      </w:r>
      <w:r w:rsidRPr="003B0637">
        <w:rPr>
          <w:i/>
          <w:szCs w:val="26"/>
        </w:rPr>
        <w:t>de facto</w:t>
      </w:r>
      <w:r w:rsidRPr="003B0637">
        <w:rPr>
          <w:szCs w:val="26"/>
        </w:rPr>
        <w:t xml:space="preserve"> control rather than the ultimate control advocated by </w:t>
      </w:r>
      <w:r w:rsidR="00145496" w:rsidRPr="003B0637">
        <w:rPr>
          <w:szCs w:val="26"/>
        </w:rPr>
        <w:t>PPL EU</w:t>
      </w:r>
      <w:r w:rsidRPr="003B0637">
        <w:rPr>
          <w:szCs w:val="26"/>
        </w:rPr>
        <w:t>.  R. Exc. at</w:t>
      </w:r>
      <w:r w:rsidR="00C825FB">
        <w:rPr>
          <w:szCs w:val="26"/>
        </w:rPr>
        <w:t> </w:t>
      </w:r>
      <w:r w:rsidRPr="003B0637">
        <w:rPr>
          <w:szCs w:val="26"/>
        </w:rPr>
        <w:t>5 (citing R.D. at 12-13, 16).</w:t>
      </w:r>
      <w:r w:rsidR="00776EC7" w:rsidRPr="003B0637">
        <w:rPr>
          <w:szCs w:val="26"/>
        </w:rPr>
        <w:t xml:space="preserve"> </w:t>
      </w:r>
      <w:r w:rsidRPr="003B0637">
        <w:rPr>
          <w:szCs w:val="26"/>
        </w:rPr>
        <w:t xml:space="preserve"> The </w:t>
      </w:r>
      <w:r w:rsidRPr="003B0637">
        <w:rPr>
          <w:color w:val="000000"/>
          <w:szCs w:val="24"/>
        </w:rPr>
        <w:t xml:space="preserve">OSBA further argues that </w:t>
      </w:r>
      <w:r w:rsidR="00145496" w:rsidRPr="003B0637">
        <w:rPr>
          <w:color w:val="000000"/>
          <w:szCs w:val="24"/>
        </w:rPr>
        <w:t>PPL EU</w:t>
      </w:r>
      <w:r w:rsidRPr="003B0637">
        <w:rPr>
          <w:color w:val="000000"/>
          <w:szCs w:val="24"/>
        </w:rPr>
        <w:t xml:space="preserve">’s reference to </w:t>
      </w:r>
      <w:r w:rsidRPr="003B0637">
        <w:rPr>
          <w:i/>
          <w:szCs w:val="26"/>
        </w:rPr>
        <w:t>City of York</w:t>
      </w:r>
      <w:r w:rsidRPr="003B0637">
        <w:rPr>
          <w:szCs w:val="26"/>
        </w:rPr>
        <w:t xml:space="preserve"> and </w:t>
      </w:r>
      <w:r w:rsidRPr="003B0637">
        <w:rPr>
          <w:i/>
          <w:szCs w:val="26"/>
        </w:rPr>
        <w:t>Popowsky</w:t>
      </w:r>
      <w:r w:rsidRPr="003B0637">
        <w:rPr>
          <w:szCs w:val="26"/>
        </w:rPr>
        <w:t xml:space="preserve"> in support of its “ultimate control” argument is equally flawed because the Pennsylvania Supreme Court never addressed the concept of “ultimate control” in either case.  R. Exc. at 5 (citing Exc. at 7).  Because </w:t>
      </w:r>
      <w:r w:rsidRPr="003B0637">
        <w:rPr>
          <w:i/>
          <w:szCs w:val="26"/>
        </w:rPr>
        <w:t>de facto</w:t>
      </w:r>
      <w:r w:rsidRPr="003B0637">
        <w:rPr>
          <w:szCs w:val="26"/>
        </w:rPr>
        <w:t xml:space="preserve"> control is the only applicable legal term in this case and would result from the </w:t>
      </w:r>
      <w:r w:rsidR="00C96F1E" w:rsidRPr="003B0637">
        <w:rPr>
          <w:szCs w:val="26"/>
        </w:rPr>
        <w:t>Proposed Restructuring</w:t>
      </w:r>
      <w:r w:rsidRPr="003B0637">
        <w:rPr>
          <w:szCs w:val="26"/>
        </w:rPr>
        <w:t xml:space="preserve">, the OSBA argues the Commission should reject </w:t>
      </w:r>
      <w:r w:rsidR="00145496" w:rsidRPr="003B0637">
        <w:rPr>
          <w:szCs w:val="26"/>
        </w:rPr>
        <w:t>PPL EU</w:t>
      </w:r>
      <w:r w:rsidRPr="003B0637">
        <w:rPr>
          <w:szCs w:val="26"/>
        </w:rPr>
        <w:t>’s “ultimate control” argument.  R.</w:t>
      </w:r>
      <w:r w:rsidR="00C825FB">
        <w:rPr>
          <w:szCs w:val="26"/>
        </w:rPr>
        <w:t> </w:t>
      </w:r>
      <w:r w:rsidRPr="003B0637">
        <w:rPr>
          <w:szCs w:val="26"/>
        </w:rPr>
        <w:t>Exc. at 5 (citing OSBA M.B. at 4-5).</w:t>
      </w:r>
    </w:p>
    <w:p w14:paraId="55AA2069" w14:textId="77777777" w:rsidR="00A61672" w:rsidRPr="003B0637" w:rsidRDefault="00A61672" w:rsidP="00502FC8">
      <w:pPr>
        <w:ind w:firstLine="0"/>
        <w:rPr>
          <w:color w:val="000000"/>
          <w:szCs w:val="24"/>
        </w:rPr>
      </w:pPr>
    </w:p>
    <w:p w14:paraId="7AAA4DCF" w14:textId="77777777" w:rsidR="00C825FB" w:rsidRDefault="00A61672" w:rsidP="00502FC8">
      <w:pPr>
        <w:ind w:firstLine="0"/>
        <w:rPr>
          <w:color w:val="000000"/>
          <w:szCs w:val="24"/>
        </w:rPr>
      </w:pPr>
      <w:r w:rsidRPr="003B0637">
        <w:rPr>
          <w:color w:val="000000"/>
          <w:szCs w:val="24"/>
        </w:rPr>
        <w:tab/>
      </w:r>
      <w:r w:rsidRPr="003B0637">
        <w:rPr>
          <w:color w:val="000000"/>
          <w:szCs w:val="24"/>
        </w:rPr>
        <w:tab/>
        <w:t xml:space="preserve">The OSBA also disputes </w:t>
      </w:r>
      <w:r w:rsidR="00145496" w:rsidRPr="003B0637">
        <w:rPr>
          <w:color w:val="000000"/>
          <w:szCs w:val="24"/>
        </w:rPr>
        <w:t>PPL EU</w:t>
      </w:r>
      <w:r w:rsidRPr="003B0637">
        <w:rPr>
          <w:color w:val="000000"/>
          <w:szCs w:val="24"/>
        </w:rPr>
        <w:t xml:space="preserve">’s argument that the public benefit test should not be applied in this case because there will be no change in management or operations of </w:t>
      </w:r>
      <w:r w:rsidR="00C247D4" w:rsidRPr="003B0637">
        <w:rPr>
          <w:color w:val="000000"/>
          <w:szCs w:val="24"/>
        </w:rPr>
        <w:t>PPL EU</w:t>
      </w:r>
      <w:r w:rsidRPr="003B0637">
        <w:rPr>
          <w:color w:val="000000"/>
          <w:szCs w:val="24"/>
        </w:rPr>
        <w:t xml:space="preserve"> as a result of the </w:t>
      </w:r>
      <w:r w:rsidR="00C96F1E" w:rsidRPr="003B0637">
        <w:rPr>
          <w:color w:val="000000"/>
          <w:szCs w:val="24"/>
        </w:rPr>
        <w:t>Proposed Restructuring</w:t>
      </w:r>
      <w:r w:rsidRPr="003B0637">
        <w:rPr>
          <w:color w:val="000000"/>
          <w:szCs w:val="24"/>
        </w:rPr>
        <w:t xml:space="preserve">.  The OSBA argues there will be change in management control of </w:t>
      </w:r>
      <w:r w:rsidR="00C247D4" w:rsidRPr="003B0637">
        <w:rPr>
          <w:color w:val="000000"/>
          <w:szCs w:val="24"/>
        </w:rPr>
        <w:t>PPL EU</w:t>
      </w:r>
      <w:r w:rsidRPr="003B0637">
        <w:rPr>
          <w:color w:val="000000"/>
          <w:szCs w:val="24"/>
        </w:rPr>
        <w:t xml:space="preserve"> because </w:t>
      </w:r>
      <w:r w:rsidR="00145496" w:rsidRPr="003B0637">
        <w:rPr>
          <w:color w:val="000000"/>
          <w:szCs w:val="24"/>
        </w:rPr>
        <w:t>PPL EU</w:t>
      </w:r>
      <w:r w:rsidRPr="003B0637">
        <w:rPr>
          <w:color w:val="000000"/>
          <w:szCs w:val="24"/>
        </w:rPr>
        <w:t xml:space="preserve"> will be under the control of intermediary companies, Newco 1 and Newco 2.  R. Exc. at 5.  The OSBA contends that </w:t>
      </w:r>
      <w:r w:rsidR="00145496" w:rsidRPr="003B0637">
        <w:rPr>
          <w:color w:val="000000"/>
          <w:szCs w:val="24"/>
        </w:rPr>
        <w:t>PPL EU</w:t>
      </w:r>
      <w:r w:rsidRPr="003B0637">
        <w:rPr>
          <w:color w:val="000000"/>
          <w:szCs w:val="24"/>
        </w:rPr>
        <w:t xml:space="preserve"> has not proven in this proceeding and simply does not have a way to prove that this change in ownership and managerial control will not have an impact on the operations and management of </w:t>
      </w:r>
      <w:r w:rsidR="00C247D4" w:rsidRPr="003B0637">
        <w:rPr>
          <w:color w:val="000000"/>
          <w:szCs w:val="24"/>
        </w:rPr>
        <w:t>PPL EU</w:t>
      </w:r>
      <w:r w:rsidRPr="003B0637">
        <w:rPr>
          <w:color w:val="000000"/>
          <w:szCs w:val="24"/>
        </w:rPr>
        <w:t xml:space="preserve">.  The OSBA avers that </w:t>
      </w:r>
      <w:r w:rsidR="00145496" w:rsidRPr="003B0637">
        <w:rPr>
          <w:color w:val="000000"/>
          <w:szCs w:val="24"/>
        </w:rPr>
        <w:t>PPL EU</w:t>
      </w:r>
      <w:r w:rsidRPr="003B0637">
        <w:rPr>
          <w:color w:val="000000"/>
          <w:szCs w:val="24"/>
        </w:rPr>
        <w:t xml:space="preserve">’s argument is undermined by </w:t>
      </w:r>
      <w:r w:rsidR="00145496" w:rsidRPr="003B0637">
        <w:rPr>
          <w:color w:val="000000"/>
          <w:szCs w:val="24"/>
        </w:rPr>
        <w:t>PPL EU</w:t>
      </w:r>
      <w:r w:rsidRPr="003B0637">
        <w:rPr>
          <w:color w:val="000000"/>
          <w:szCs w:val="24"/>
        </w:rPr>
        <w:t xml:space="preserve">’s sworn testimony that based on the </w:t>
      </w:r>
      <w:r w:rsidR="00C96F1E" w:rsidRPr="003B0637">
        <w:rPr>
          <w:color w:val="000000"/>
          <w:szCs w:val="24"/>
        </w:rPr>
        <w:t>Proposed Restructuring</w:t>
      </w:r>
      <w:r w:rsidRPr="003B0637">
        <w:rPr>
          <w:color w:val="000000"/>
          <w:szCs w:val="24"/>
        </w:rPr>
        <w:t xml:space="preserve">, </w:t>
      </w:r>
      <w:r w:rsidR="00145496" w:rsidRPr="003B0637">
        <w:rPr>
          <w:color w:val="000000"/>
          <w:szCs w:val="24"/>
        </w:rPr>
        <w:t>PPL EU</w:t>
      </w:r>
      <w:r w:rsidRPr="003B0637">
        <w:rPr>
          <w:color w:val="000000"/>
          <w:szCs w:val="24"/>
        </w:rPr>
        <w:t xml:space="preserve"> Corporation plans to contribute all of the interests it holds in certain of its direct, wholly owned subsidiaries, including its shares in </w:t>
      </w:r>
      <w:r w:rsidR="00145496" w:rsidRPr="003B0637">
        <w:rPr>
          <w:color w:val="000000"/>
          <w:szCs w:val="24"/>
        </w:rPr>
        <w:t>PPL EU</w:t>
      </w:r>
      <w:r w:rsidRPr="003B0637">
        <w:rPr>
          <w:color w:val="000000"/>
          <w:szCs w:val="24"/>
        </w:rPr>
        <w:t xml:space="preserve"> and PPL EF to Newco 1.  And that Newco 1 will then contribute all of the shares it receives to Newco 2.  According to the OSBA, this means </w:t>
      </w:r>
      <w:r w:rsidR="00145496" w:rsidRPr="003B0637">
        <w:rPr>
          <w:color w:val="000000"/>
          <w:szCs w:val="24"/>
        </w:rPr>
        <w:t>PPL EU</w:t>
      </w:r>
      <w:r w:rsidRPr="003B0637">
        <w:rPr>
          <w:color w:val="000000"/>
          <w:szCs w:val="24"/>
        </w:rPr>
        <w:t xml:space="preserve"> will be a direct subsidiary of Newco 2 and an indirect subsidiary of Newco 1 and PPL Corporation.  </w:t>
      </w:r>
      <w:r w:rsidRPr="003B0637">
        <w:rPr>
          <w:i/>
          <w:color w:val="000000"/>
          <w:szCs w:val="24"/>
        </w:rPr>
        <w:t>Id.</w:t>
      </w:r>
      <w:r w:rsidRPr="003B0637">
        <w:rPr>
          <w:color w:val="000000"/>
          <w:szCs w:val="24"/>
        </w:rPr>
        <w:t xml:space="preserve"> at 5-6 (citing PPL St. 1 at 4).  </w:t>
      </w:r>
    </w:p>
    <w:p w14:paraId="7277ED17" w14:textId="77777777" w:rsidR="00C825FB" w:rsidRDefault="00C825FB" w:rsidP="00502FC8">
      <w:pPr>
        <w:ind w:firstLine="0"/>
        <w:rPr>
          <w:color w:val="000000"/>
          <w:szCs w:val="24"/>
        </w:rPr>
      </w:pPr>
    </w:p>
    <w:p w14:paraId="7DCF84F6" w14:textId="77777777" w:rsidR="00A61672" w:rsidRPr="003B0637" w:rsidRDefault="00C825FB" w:rsidP="00502FC8">
      <w:pPr>
        <w:ind w:firstLine="0"/>
        <w:rPr>
          <w:color w:val="000000"/>
          <w:szCs w:val="24"/>
        </w:rPr>
      </w:pPr>
      <w:r>
        <w:rPr>
          <w:color w:val="000000"/>
          <w:szCs w:val="24"/>
        </w:rPr>
        <w:lastRenderedPageBreak/>
        <w:tab/>
      </w:r>
      <w:r>
        <w:rPr>
          <w:color w:val="000000"/>
          <w:szCs w:val="24"/>
        </w:rPr>
        <w:tab/>
      </w:r>
      <w:r w:rsidR="00A61672" w:rsidRPr="003B0637">
        <w:rPr>
          <w:color w:val="000000"/>
          <w:szCs w:val="24"/>
        </w:rPr>
        <w:t xml:space="preserve">The OSBA </w:t>
      </w:r>
      <w:r>
        <w:rPr>
          <w:color w:val="000000"/>
          <w:szCs w:val="24"/>
        </w:rPr>
        <w:t xml:space="preserve">cites to </w:t>
      </w:r>
      <w:r w:rsidR="003369E6">
        <w:rPr>
          <w:color w:val="000000"/>
          <w:szCs w:val="24"/>
        </w:rPr>
        <w:t xml:space="preserve">the following </w:t>
      </w:r>
      <w:r w:rsidR="00145496" w:rsidRPr="003B0637">
        <w:rPr>
          <w:color w:val="000000"/>
          <w:szCs w:val="24"/>
        </w:rPr>
        <w:t>PPL EU</w:t>
      </w:r>
      <w:r w:rsidR="00A61672" w:rsidRPr="003B0637">
        <w:rPr>
          <w:color w:val="000000"/>
          <w:szCs w:val="24"/>
        </w:rPr>
        <w:t xml:space="preserve">’s testimony </w:t>
      </w:r>
      <w:r w:rsidR="003369E6">
        <w:rPr>
          <w:color w:val="000000"/>
          <w:szCs w:val="24"/>
        </w:rPr>
        <w:t xml:space="preserve">which it claims confirms that </w:t>
      </w:r>
      <w:r w:rsidR="003369E6" w:rsidRPr="003B0637">
        <w:rPr>
          <w:color w:val="000000"/>
          <w:szCs w:val="24"/>
        </w:rPr>
        <w:t>there will be a change in management control</w:t>
      </w:r>
      <w:r w:rsidR="003369E6">
        <w:rPr>
          <w:color w:val="000000"/>
          <w:szCs w:val="24"/>
        </w:rPr>
        <w:t>:</w:t>
      </w:r>
    </w:p>
    <w:p w14:paraId="1D2CCA14" w14:textId="77777777" w:rsidR="00A61672" w:rsidRPr="003B0637" w:rsidRDefault="00A61672" w:rsidP="00502FC8">
      <w:pPr>
        <w:ind w:firstLine="0"/>
        <w:rPr>
          <w:color w:val="000000"/>
          <w:szCs w:val="24"/>
        </w:rPr>
      </w:pPr>
    </w:p>
    <w:p w14:paraId="5A512CB8" w14:textId="77777777" w:rsidR="00A61672" w:rsidRPr="003B0637" w:rsidRDefault="00A61672" w:rsidP="00502FC8">
      <w:pPr>
        <w:spacing w:line="240" w:lineRule="auto"/>
        <w:ind w:left="1440" w:right="1440" w:firstLine="0"/>
        <w:rPr>
          <w:color w:val="000000"/>
          <w:szCs w:val="24"/>
        </w:rPr>
      </w:pPr>
      <w:r w:rsidRPr="003B0637">
        <w:rPr>
          <w:color w:val="000000"/>
          <w:szCs w:val="24"/>
        </w:rPr>
        <w:t>PPL Corp will be positioned as a pure holding company.  Intercompany financing, including managing the capital structures of the regulated utilities to comply with regulatory requirements, will be facilitated through the lower tier holding companies rather than PPL Corp.</w:t>
      </w:r>
    </w:p>
    <w:p w14:paraId="772D654F" w14:textId="77777777" w:rsidR="00A61672" w:rsidRPr="003B0637" w:rsidRDefault="00A61672" w:rsidP="00C07443">
      <w:pPr>
        <w:spacing w:line="240" w:lineRule="auto"/>
        <w:ind w:right="1440" w:firstLine="0"/>
        <w:rPr>
          <w:color w:val="000000"/>
          <w:szCs w:val="24"/>
        </w:rPr>
      </w:pPr>
    </w:p>
    <w:p w14:paraId="23947911" w14:textId="77777777" w:rsidR="00A61672" w:rsidRPr="003B0637" w:rsidRDefault="00A61672" w:rsidP="00502FC8">
      <w:pPr>
        <w:spacing w:line="240" w:lineRule="auto"/>
        <w:ind w:right="1440" w:firstLine="0"/>
        <w:rPr>
          <w:color w:val="000000"/>
          <w:szCs w:val="24"/>
        </w:rPr>
      </w:pPr>
    </w:p>
    <w:p w14:paraId="11F55446" w14:textId="77777777" w:rsidR="003566A5" w:rsidRDefault="00A61672" w:rsidP="00502FC8">
      <w:pPr>
        <w:ind w:firstLine="0"/>
        <w:rPr>
          <w:color w:val="000000"/>
          <w:szCs w:val="24"/>
        </w:rPr>
      </w:pPr>
      <w:r w:rsidRPr="003B0637">
        <w:rPr>
          <w:i/>
          <w:color w:val="000000"/>
          <w:szCs w:val="24"/>
        </w:rPr>
        <w:t>Id.</w:t>
      </w:r>
      <w:r w:rsidRPr="003B0637">
        <w:rPr>
          <w:color w:val="000000"/>
          <w:szCs w:val="24"/>
        </w:rPr>
        <w:t xml:space="preserve"> at 6 (citing PPL St. 1 at 4; Application at 6-7).  The OSBA argues the above testimony </w:t>
      </w:r>
      <w:r w:rsidR="003369E6">
        <w:rPr>
          <w:color w:val="000000"/>
          <w:szCs w:val="24"/>
        </w:rPr>
        <w:t>supports its position t</w:t>
      </w:r>
      <w:r w:rsidRPr="003B0637">
        <w:rPr>
          <w:color w:val="000000"/>
          <w:szCs w:val="24"/>
        </w:rPr>
        <w:t xml:space="preserve">hat there will be a change in management control, and that the new holding companies will be involved in facilitating </w:t>
      </w:r>
      <w:r w:rsidR="00145496" w:rsidRPr="003B0637">
        <w:rPr>
          <w:color w:val="000000"/>
          <w:szCs w:val="24"/>
        </w:rPr>
        <w:t>PPL EU</w:t>
      </w:r>
      <w:r w:rsidRPr="003B0637">
        <w:rPr>
          <w:color w:val="000000"/>
          <w:szCs w:val="24"/>
        </w:rPr>
        <w:t xml:space="preserve">’s compliance with regulatory requirements.  R. Exc. at 6.  The OSBA also questions </w:t>
      </w:r>
      <w:r w:rsidR="00145496" w:rsidRPr="003B0637">
        <w:rPr>
          <w:color w:val="000000"/>
          <w:szCs w:val="24"/>
        </w:rPr>
        <w:t>PPL EU</w:t>
      </w:r>
      <w:r w:rsidRPr="003B0637">
        <w:rPr>
          <w:color w:val="000000"/>
          <w:szCs w:val="24"/>
        </w:rPr>
        <w:t xml:space="preserve">’s plan to use the increased cash flexibility from the </w:t>
      </w:r>
      <w:r w:rsidR="00C96F1E" w:rsidRPr="003B0637">
        <w:rPr>
          <w:color w:val="000000"/>
          <w:szCs w:val="24"/>
        </w:rPr>
        <w:t>Proposed Restructuring</w:t>
      </w:r>
      <w:r w:rsidRPr="003B0637">
        <w:rPr>
          <w:color w:val="000000"/>
          <w:szCs w:val="24"/>
        </w:rPr>
        <w:t xml:space="preserve"> to pursue acquisition and mergers as this could result in reduced management attention to the regulated utility business.  From the OSBA’s perspective, this reduction of focus on the regulated utility business could easily result in policy and managerial changes, thereby affecting </w:t>
      </w:r>
      <w:r w:rsidR="00145496" w:rsidRPr="003B0637">
        <w:rPr>
          <w:color w:val="000000"/>
          <w:szCs w:val="24"/>
        </w:rPr>
        <w:t>PPL EU</w:t>
      </w:r>
      <w:r w:rsidRPr="003B0637">
        <w:rPr>
          <w:color w:val="000000"/>
          <w:szCs w:val="24"/>
        </w:rPr>
        <w:t xml:space="preserve">.  Therefore, the OSBA requests that the Commission deny </w:t>
      </w:r>
      <w:r w:rsidR="00145496" w:rsidRPr="003B0637">
        <w:rPr>
          <w:color w:val="000000"/>
          <w:szCs w:val="24"/>
        </w:rPr>
        <w:t>PPL EU</w:t>
      </w:r>
      <w:r w:rsidRPr="003B0637">
        <w:rPr>
          <w:color w:val="000000"/>
          <w:szCs w:val="24"/>
        </w:rPr>
        <w:t xml:space="preserve">’s Exception No. 1, as it falls short of the </w:t>
      </w:r>
      <w:r w:rsidRPr="003B0637">
        <w:rPr>
          <w:i/>
          <w:color w:val="000000"/>
          <w:szCs w:val="24"/>
        </w:rPr>
        <w:t>City of York</w:t>
      </w:r>
      <w:r w:rsidRPr="003B0637">
        <w:rPr>
          <w:color w:val="000000"/>
          <w:szCs w:val="24"/>
        </w:rPr>
        <w:t xml:space="preserve"> and </w:t>
      </w:r>
      <w:r w:rsidRPr="003B0637">
        <w:rPr>
          <w:i/>
          <w:color w:val="000000"/>
          <w:szCs w:val="24"/>
        </w:rPr>
        <w:t>Popowsky</w:t>
      </w:r>
      <w:r w:rsidRPr="003B0637">
        <w:rPr>
          <w:color w:val="000000"/>
          <w:szCs w:val="24"/>
        </w:rPr>
        <w:t xml:space="preserve"> standards.  </w:t>
      </w:r>
      <w:r w:rsidRPr="003B0637">
        <w:rPr>
          <w:i/>
          <w:color w:val="000000"/>
          <w:szCs w:val="24"/>
        </w:rPr>
        <w:t>Id.</w:t>
      </w:r>
      <w:r w:rsidRPr="003B0637">
        <w:rPr>
          <w:color w:val="000000"/>
          <w:szCs w:val="24"/>
        </w:rPr>
        <w:t xml:space="preserve"> at 7.</w:t>
      </w:r>
    </w:p>
    <w:p w14:paraId="0BAEC5C5" w14:textId="77777777" w:rsidR="002F0A7F" w:rsidRPr="003B0637" w:rsidRDefault="002F0A7F" w:rsidP="00502FC8">
      <w:pPr>
        <w:ind w:firstLine="0"/>
        <w:rPr>
          <w:color w:val="000000"/>
          <w:szCs w:val="24"/>
        </w:rPr>
      </w:pPr>
    </w:p>
    <w:p w14:paraId="4AE5BCDB" w14:textId="77777777" w:rsidR="00D865FD" w:rsidRDefault="002F0A7F" w:rsidP="005E1830">
      <w:pPr>
        <w:keepNext/>
        <w:keepLines/>
        <w:spacing w:line="240" w:lineRule="auto"/>
        <w:ind w:left="1440" w:hanging="720"/>
        <w:rPr>
          <w:b/>
        </w:rPr>
      </w:pPr>
      <w:r>
        <w:rPr>
          <w:b/>
        </w:rPr>
        <w:t>2.</w:t>
      </w:r>
      <w:r>
        <w:rPr>
          <w:b/>
        </w:rPr>
        <w:tab/>
      </w:r>
      <w:r w:rsidRPr="002F0A7F">
        <w:rPr>
          <w:b/>
        </w:rPr>
        <w:t>PPL EU’s Exception No. 3:</w:t>
      </w:r>
    </w:p>
    <w:p w14:paraId="6A8AF06D" w14:textId="77777777" w:rsidR="00D865FD" w:rsidRDefault="00D865FD" w:rsidP="005E1830">
      <w:pPr>
        <w:keepNext/>
        <w:keepLines/>
        <w:spacing w:line="240" w:lineRule="auto"/>
        <w:ind w:left="1440" w:hanging="720"/>
        <w:rPr>
          <w:b/>
        </w:rPr>
      </w:pPr>
    </w:p>
    <w:p w14:paraId="6F3681C0" w14:textId="77777777" w:rsidR="00BB2C96" w:rsidRDefault="00D865FD" w:rsidP="005E1830">
      <w:pPr>
        <w:keepNext/>
        <w:keepLines/>
        <w:spacing w:line="240" w:lineRule="auto"/>
        <w:ind w:left="1440" w:hanging="720"/>
        <w:rPr>
          <w:b/>
        </w:rPr>
      </w:pPr>
      <w:r>
        <w:rPr>
          <w:b/>
        </w:rPr>
        <w:tab/>
      </w:r>
      <w:r w:rsidR="002F0A7F" w:rsidRPr="002F0A7F">
        <w:rPr>
          <w:b/>
        </w:rPr>
        <w:t>The Recommended Decision Erred in Concluding that Section 1102(a)(3) Applies to an Internal Reorganization that Does Not Result in a Change to Ultimate Ownership of PPL EU’s Utility Property</w:t>
      </w:r>
    </w:p>
    <w:p w14:paraId="191CA221" w14:textId="77777777" w:rsidR="00552D93" w:rsidRPr="00552D93" w:rsidRDefault="00552D93" w:rsidP="005E1830">
      <w:pPr>
        <w:keepNext/>
        <w:keepLines/>
        <w:ind w:left="1800" w:hanging="360"/>
        <w:rPr>
          <w:b/>
          <w:szCs w:val="26"/>
        </w:rPr>
      </w:pPr>
    </w:p>
    <w:p w14:paraId="7A849DBB" w14:textId="77777777" w:rsidR="00552D93" w:rsidRPr="00552D93" w:rsidRDefault="00552D93" w:rsidP="005E1830">
      <w:pPr>
        <w:keepNext/>
        <w:keepLines/>
        <w:ind w:left="1800" w:hanging="360"/>
        <w:rPr>
          <w:b/>
          <w:szCs w:val="26"/>
        </w:rPr>
      </w:pPr>
      <w:r>
        <w:rPr>
          <w:b/>
          <w:szCs w:val="26"/>
        </w:rPr>
        <w:t>a.</w:t>
      </w:r>
      <w:r>
        <w:rPr>
          <w:b/>
          <w:szCs w:val="26"/>
        </w:rPr>
        <w:tab/>
        <w:t>Exceptions</w:t>
      </w:r>
    </w:p>
    <w:p w14:paraId="4CA415A7" w14:textId="77777777" w:rsidR="00D865FD" w:rsidRPr="00552D93" w:rsidRDefault="00D865FD" w:rsidP="005E1830">
      <w:pPr>
        <w:keepNext/>
        <w:keepLines/>
        <w:ind w:left="1800" w:hanging="360"/>
        <w:rPr>
          <w:b/>
          <w:szCs w:val="26"/>
        </w:rPr>
      </w:pPr>
    </w:p>
    <w:p w14:paraId="4DDF9849" w14:textId="77777777" w:rsidR="00070A6C" w:rsidRPr="003B0637" w:rsidRDefault="00070A6C" w:rsidP="00502FC8">
      <w:pPr>
        <w:rPr>
          <w:rFonts w:eastAsia="Times New Roman"/>
          <w:szCs w:val="26"/>
        </w:rPr>
      </w:pPr>
      <w:r w:rsidRPr="003B0637">
        <w:rPr>
          <w:rFonts w:eastAsia="Times New Roman"/>
          <w:szCs w:val="26"/>
        </w:rPr>
        <w:t xml:space="preserve">In its Exception No. 3, </w:t>
      </w:r>
      <w:r w:rsidR="00145496" w:rsidRPr="003B0637">
        <w:rPr>
          <w:rFonts w:eastAsia="Times New Roman"/>
          <w:szCs w:val="26"/>
        </w:rPr>
        <w:t>PPL EU</w:t>
      </w:r>
      <w:r w:rsidRPr="003B0637">
        <w:rPr>
          <w:rFonts w:eastAsia="Times New Roman"/>
          <w:szCs w:val="26"/>
        </w:rPr>
        <w:t xml:space="preserve"> disagrees with the ALJs’ conclusion that approval of the Application requires the issuance of a certificate of public convenience under Section 1102(a)(3) of the Code or a demonstration of substantial affirmative public benefits because the </w:t>
      </w:r>
      <w:r w:rsidR="00C96F1E" w:rsidRPr="003B0637">
        <w:rPr>
          <w:rFonts w:eastAsia="Times New Roman"/>
          <w:szCs w:val="26"/>
        </w:rPr>
        <w:t>Proposed Restructuring</w:t>
      </w:r>
      <w:r w:rsidRPr="003B0637">
        <w:rPr>
          <w:rFonts w:eastAsia="Times New Roman"/>
          <w:szCs w:val="26"/>
        </w:rPr>
        <w:t xml:space="preserve"> does not result in a change in the ultimate </w:t>
      </w:r>
      <w:r w:rsidRPr="003B0637">
        <w:rPr>
          <w:rFonts w:eastAsia="Times New Roman"/>
          <w:szCs w:val="26"/>
        </w:rPr>
        <w:lastRenderedPageBreak/>
        <w:t xml:space="preserve">controlling interest of </w:t>
      </w:r>
      <w:r w:rsidR="00145496" w:rsidRPr="003B0637">
        <w:rPr>
          <w:rFonts w:eastAsia="Times New Roman"/>
          <w:szCs w:val="26"/>
        </w:rPr>
        <w:t>PPL EU</w:t>
      </w:r>
      <w:r w:rsidRPr="003B0637">
        <w:rPr>
          <w:rFonts w:eastAsia="Times New Roman"/>
          <w:szCs w:val="26"/>
        </w:rPr>
        <w:t xml:space="preserve">’s utility properties.  Exc. at 5, 13.  According to </w:t>
      </w:r>
      <w:r w:rsidR="00145496" w:rsidRPr="003B0637">
        <w:rPr>
          <w:rFonts w:eastAsia="Times New Roman"/>
          <w:szCs w:val="26"/>
        </w:rPr>
        <w:t>PPL EU</w:t>
      </w:r>
      <w:r w:rsidRPr="003B0637">
        <w:rPr>
          <w:rFonts w:eastAsia="Times New Roman"/>
          <w:szCs w:val="26"/>
        </w:rPr>
        <w:t xml:space="preserve">, the Commission does not have to reach this conclusion if it decides, within its broad discretion, that the </w:t>
      </w:r>
      <w:r w:rsidR="00C96F1E" w:rsidRPr="003B0637">
        <w:rPr>
          <w:rFonts w:eastAsia="Times New Roman"/>
          <w:szCs w:val="26"/>
        </w:rPr>
        <w:t>Proposed Restructuring</w:t>
      </w:r>
      <w:r w:rsidRPr="003B0637">
        <w:rPr>
          <w:rFonts w:eastAsia="Times New Roman"/>
          <w:szCs w:val="26"/>
        </w:rPr>
        <w:t xml:space="preserve"> meets the standard of Section 1103(a) of the Code.  </w:t>
      </w:r>
      <w:r w:rsidRPr="003B0637">
        <w:rPr>
          <w:rFonts w:eastAsia="Times New Roman"/>
          <w:i/>
          <w:szCs w:val="26"/>
        </w:rPr>
        <w:t>Id.</w:t>
      </w:r>
      <w:r w:rsidRPr="003B0637">
        <w:rPr>
          <w:rFonts w:eastAsia="Times New Roman"/>
          <w:szCs w:val="26"/>
        </w:rPr>
        <w:t xml:space="preserve"> at 13.  </w:t>
      </w:r>
      <w:r w:rsidR="00145496" w:rsidRPr="003B0637">
        <w:rPr>
          <w:rFonts w:eastAsia="Times New Roman"/>
          <w:szCs w:val="26"/>
        </w:rPr>
        <w:t>PPL EU</w:t>
      </w:r>
      <w:r w:rsidRPr="003B0637">
        <w:rPr>
          <w:rFonts w:eastAsia="Times New Roman"/>
          <w:szCs w:val="26"/>
        </w:rPr>
        <w:t xml:space="preserve"> argues that although the </w:t>
      </w:r>
      <w:r w:rsidRPr="003B0637">
        <w:rPr>
          <w:rFonts w:eastAsia="Times New Roman"/>
          <w:i/>
          <w:szCs w:val="26"/>
        </w:rPr>
        <w:t>Policy Statement Order</w:t>
      </w:r>
      <w:r w:rsidRPr="003B0637">
        <w:rPr>
          <w:rFonts w:eastAsia="Times New Roman"/>
          <w:szCs w:val="26"/>
        </w:rPr>
        <w:t xml:space="preserve"> requires that intercompany reorganizations be reviewed because they could affect management or operations, going by the record evidence, the Commission’s review of the instant Application should: (1) conclude that no certificate is required under Section 1102(a)(3), because there is no change in ultimate ownership; and (2) grant approval of the transaction </w:t>
      </w:r>
      <w:r w:rsidRPr="003B0637">
        <w:rPr>
          <w:rFonts w:eastAsia="Times New Roman"/>
          <w:b/>
          <w:i/>
          <w:szCs w:val="26"/>
        </w:rPr>
        <w:t>without</w:t>
      </w:r>
      <w:r w:rsidRPr="003B0637">
        <w:rPr>
          <w:rFonts w:eastAsia="Times New Roman"/>
          <w:szCs w:val="26"/>
        </w:rPr>
        <w:t xml:space="preserve"> the need to issue a certificate of public convenience.  </w:t>
      </w:r>
      <w:r w:rsidRPr="003B0637">
        <w:rPr>
          <w:rFonts w:eastAsia="Times New Roman"/>
          <w:i/>
          <w:szCs w:val="26"/>
        </w:rPr>
        <w:t>Id.</w:t>
      </w:r>
    </w:p>
    <w:p w14:paraId="15E20296" w14:textId="77777777" w:rsidR="00070A6C" w:rsidRPr="003B0637" w:rsidRDefault="00070A6C" w:rsidP="00502FC8">
      <w:pPr>
        <w:rPr>
          <w:rFonts w:eastAsia="Times New Roman"/>
          <w:szCs w:val="26"/>
        </w:rPr>
      </w:pPr>
    </w:p>
    <w:p w14:paraId="1A89F4B5" w14:textId="77777777" w:rsidR="00070A6C" w:rsidRPr="003B0637" w:rsidRDefault="00145496" w:rsidP="00502FC8">
      <w:pPr>
        <w:rPr>
          <w:rFonts w:eastAsia="Times New Roman"/>
          <w:szCs w:val="26"/>
        </w:rPr>
      </w:pPr>
      <w:r w:rsidRPr="003B0637">
        <w:rPr>
          <w:rFonts w:eastAsia="Times New Roman"/>
          <w:szCs w:val="26"/>
        </w:rPr>
        <w:t>PPL EU</w:t>
      </w:r>
      <w:r w:rsidR="00070A6C" w:rsidRPr="003B0637">
        <w:rPr>
          <w:rFonts w:eastAsia="Times New Roman"/>
          <w:szCs w:val="26"/>
        </w:rPr>
        <w:t xml:space="preserve"> also faults the ALJs for concluding that the </w:t>
      </w:r>
      <w:r w:rsidR="00C96F1E" w:rsidRPr="003B0637">
        <w:rPr>
          <w:rFonts w:eastAsia="Times New Roman"/>
          <w:szCs w:val="26"/>
        </w:rPr>
        <w:t>Proposed Restructuring</w:t>
      </w:r>
      <w:r w:rsidR="00070A6C" w:rsidRPr="003B0637">
        <w:rPr>
          <w:rFonts w:eastAsia="Times New Roman"/>
          <w:szCs w:val="26"/>
        </w:rPr>
        <w:t xml:space="preserve"> is a change in control because a new entity will own </w:t>
      </w:r>
      <w:r w:rsidRPr="003B0637">
        <w:rPr>
          <w:rFonts w:eastAsia="Times New Roman"/>
          <w:szCs w:val="26"/>
        </w:rPr>
        <w:t>PPL EU</w:t>
      </w:r>
      <w:r w:rsidR="00070A6C" w:rsidRPr="003B0637">
        <w:rPr>
          <w:rFonts w:eastAsia="Times New Roman"/>
          <w:szCs w:val="26"/>
        </w:rPr>
        <w:t>’s stock and that it technically falls within the</w:t>
      </w:r>
      <w:r w:rsidR="00837E79" w:rsidRPr="003B0637">
        <w:rPr>
          <w:rFonts w:eastAsia="Times New Roman"/>
          <w:szCs w:val="26"/>
        </w:rPr>
        <w:t xml:space="preserve"> terms of the Policy Statement.</w:t>
      </w:r>
      <w:r w:rsidR="00070A6C" w:rsidRPr="003B0637">
        <w:rPr>
          <w:rFonts w:eastAsia="Times New Roman"/>
          <w:szCs w:val="26"/>
        </w:rPr>
        <w:t xml:space="preserve"> </w:t>
      </w:r>
      <w:r w:rsidR="00847E49" w:rsidRPr="003B0637">
        <w:rPr>
          <w:rFonts w:eastAsia="Times New Roman"/>
          <w:szCs w:val="26"/>
        </w:rPr>
        <w:t xml:space="preserve"> </w:t>
      </w:r>
      <w:r w:rsidR="00070A6C" w:rsidRPr="003B0637">
        <w:rPr>
          <w:rFonts w:eastAsia="Times New Roman"/>
          <w:i/>
          <w:szCs w:val="26"/>
        </w:rPr>
        <w:t>Id.</w:t>
      </w:r>
      <w:r w:rsidR="00070A6C" w:rsidRPr="003B0637">
        <w:rPr>
          <w:rFonts w:eastAsia="Times New Roman"/>
          <w:szCs w:val="26"/>
        </w:rPr>
        <w:t xml:space="preserve">  According to </w:t>
      </w:r>
      <w:r w:rsidRPr="003B0637">
        <w:rPr>
          <w:rFonts w:eastAsia="Times New Roman"/>
          <w:szCs w:val="26"/>
        </w:rPr>
        <w:t>PPL EU</w:t>
      </w:r>
      <w:r w:rsidR="00070A6C" w:rsidRPr="003B0637">
        <w:rPr>
          <w:rFonts w:eastAsia="Times New Roman"/>
          <w:szCs w:val="26"/>
        </w:rPr>
        <w:t xml:space="preserve">, the ALJs’ reliance on the Policy Statement in this case is misguided because the Policy Statement focuses on changes in the ultimate control of owner of utility property through mergers with, or acquisitions of, a parent or grandparent of the utility, which does not apply in this case.  </w:t>
      </w:r>
      <w:r w:rsidRPr="003B0637">
        <w:rPr>
          <w:rFonts w:eastAsia="Times New Roman"/>
          <w:szCs w:val="26"/>
        </w:rPr>
        <w:t>PPL EU</w:t>
      </w:r>
      <w:r w:rsidR="00070A6C" w:rsidRPr="003B0637">
        <w:rPr>
          <w:rFonts w:eastAsia="Times New Roman"/>
          <w:szCs w:val="26"/>
        </w:rPr>
        <w:t xml:space="preserve"> references the Policy Statement stating:</w:t>
      </w:r>
    </w:p>
    <w:p w14:paraId="397D90C8" w14:textId="77777777" w:rsidR="00070A6C" w:rsidRPr="003B0637" w:rsidRDefault="00070A6C" w:rsidP="00502FC8">
      <w:pPr>
        <w:rPr>
          <w:rFonts w:eastAsia="Times New Roman"/>
          <w:szCs w:val="26"/>
        </w:rPr>
      </w:pPr>
    </w:p>
    <w:p w14:paraId="21281802" w14:textId="77777777" w:rsidR="00070A6C" w:rsidRPr="003B0637" w:rsidRDefault="00070A6C" w:rsidP="00502FC8">
      <w:pPr>
        <w:spacing w:line="240" w:lineRule="auto"/>
        <w:ind w:left="1440" w:right="1440" w:firstLine="0"/>
        <w:rPr>
          <w:rFonts w:eastAsia="Times New Roman"/>
          <w:szCs w:val="26"/>
        </w:rPr>
      </w:pPr>
      <w:r w:rsidRPr="003B0637">
        <w:rPr>
          <w:rFonts w:eastAsia="Times New Roman"/>
          <w:szCs w:val="26"/>
        </w:rPr>
        <w:t>A transaction or series of transactions resulting in a new controlling interest is jurisdictional when the transaction or transactions result in a different entity becoming the beneficial owner of the largest voting interest in the utility or parent, regardless of tier.</w:t>
      </w:r>
    </w:p>
    <w:p w14:paraId="1A2DC5EB" w14:textId="77777777" w:rsidR="00070A6C" w:rsidRPr="003B0637" w:rsidRDefault="00070A6C" w:rsidP="00502FC8">
      <w:pPr>
        <w:spacing w:line="240" w:lineRule="auto"/>
        <w:ind w:right="1440" w:firstLine="0"/>
        <w:rPr>
          <w:rFonts w:eastAsia="Times New Roman"/>
          <w:szCs w:val="26"/>
        </w:rPr>
      </w:pPr>
    </w:p>
    <w:p w14:paraId="690E7CE5" w14:textId="77777777" w:rsidR="00070A6C" w:rsidRPr="003B0637" w:rsidRDefault="00070A6C" w:rsidP="00502FC8">
      <w:pPr>
        <w:spacing w:line="240" w:lineRule="auto"/>
        <w:ind w:right="1440" w:firstLine="0"/>
        <w:rPr>
          <w:rFonts w:eastAsia="Times New Roman"/>
          <w:szCs w:val="26"/>
        </w:rPr>
      </w:pPr>
    </w:p>
    <w:p w14:paraId="6BDA43B1" w14:textId="77777777" w:rsidR="00070A6C" w:rsidRPr="003B0637" w:rsidRDefault="00070A6C" w:rsidP="00502FC8">
      <w:pPr>
        <w:ind w:firstLine="0"/>
        <w:rPr>
          <w:rFonts w:eastAsia="Times New Roman"/>
          <w:szCs w:val="26"/>
        </w:rPr>
      </w:pPr>
      <w:r w:rsidRPr="003B0637">
        <w:rPr>
          <w:rFonts w:eastAsia="Times New Roman"/>
          <w:i/>
          <w:szCs w:val="26"/>
        </w:rPr>
        <w:t>Id.</w:t>
      </w:r>
      <w:r w:rsidRPr="003B0637">
        <w:rPr>
          <w:rFonts w:eastAsia="Times New Roman"/>
          <w:szCs w:val="26"/>
        </w:rPr>
        <w:t xml:space="preserve">  at 14 (citing 52 Pa. Code § 69.901(b)(1)).  </w:t>
      </w:r>
      <w:r w:rsidR="00145496" w:rsidRPr="003B0637">
        <w:rPr>
          <w:rFonts w:eastAsia="Times New Roman"/>
          <w:szCs w:val="26"/>
        </w:rPr>
        <w:t>PPL EU</w:t>
      </w:r>
      <w:r w:rsidRPr="003B0637">
        <w:rPr>
          <w:rFonts w:eastAsia="Times New Roman"/>
          <w:szCs w:val="26"/>
        </w:rPr>
        <w:t xml:space="preserve"> asserts that what is important here is not whether an entity owns the utility directly.  Rather, it is the change in the entity that is the ultimate owner that triggers a Section 1102(a)(3) approval.  Moreover, </w:t>
      </w:r>
      <w:r w:rsidR="00145496" w:rsidRPr="003B0637">
        <w:rPr>
          <w:rFonts w:eastAsia="Times New Roman"/>
          <w:szCs w:val="26"/>
        </w:rPr>
        <w:t>PPL EU</w:t>
      </w:r>
      <w:r w:rsidRPr="003B0637">
        <w:rPr>
          <w:rFonts w:eastAsia="Times New Roman"/>
          <w:szCs w:val="26"/>
        </w:rPr>
        <w:t xml:space="preserve"> argues, even if the Policy Statement applies in this case, policy statements do not have the force of law but are expressions of how an agency expects to act in the future.  </w:t>
      </w:r>
      <w:r w:rsidRPr="003B0637">
        <w:rPr>
          <w:rFonts w:eastAsia="Times New Roman"/>
          <w:i/>
          <w:szCs w:val="26"/>
        </w:rPr>
        <w:t>Id.</w:t>
      </w:r>
      <w:r w:rsidRPr="003B0637">
        <w:rPr>
          <w:rFonts w:eastAsia="Times New Roman"/>
          <w:szCs w:val="26"/>
        </w:rPr>
        <w:t xml:space="preserve"> at</w:t>
      </w:r>
      <w:r w:rsidR="00C34297">
        <w:rPr>
          <w:rFonts w:eastAsia="Times New Roman"/>
          <w:szCs w:val="26"/>
        </w:rPr>
        <w:t> </w:t>
      </w:r>
      <w:r w:rsidRPr="003B0637">
        <w:rPr>
          <w:rFonts w:eastAsia="Times New Roman"/>
          <w:szCs w:val="26"/>
        </w:rPr>
        <w:t xml:space="preserve">14 (citing </w:t>
      </w:r>
      <w:r w:rsidRPr="003B0637">
        <w:rPr>
          <w:rFonts w:eastAsia="Times New Roman"/>
          <w:i/>
          <w:szCs w:val="26"/>
        </w:rPr>
        <w:t xml:space="preserve">Petition of Philadelphia Gas Works for a Statement of Policy on the </w:t>
      </w:r>
      <w:r w:rsidRPr="003B0637">
        <w:rPr>
          <w:rFonts w:eastAsia="Times New Roman"/>
          <w:i/>
          <w:szCs w:val="26"/>
        </w:rPr>
        <w:lastRenderedPageBreak/>
        <w:t>Application of Philadelphia Gas Works’ Cash Flow Ratemaking Method,</w:t>
      </w:r>
      <w:r w:rsidRPr="003B0637">
        <w:rPr>
          <w:rFonts w:eastAsia="Times New Roman"/>
          <w:szCs w:val="26"/>
        </w:rPr>
        <w:t xml:space="preserve"> 2009 Pa. PUC LEXIS 2018, *20 (December 30, 2009)).</w:t>
      </w:r>
    </w:p>
    <w:p w14:paraId="2F63C9B9" w14:textId="77777777" w:rsidR="00070A6C" w:rsidRPr="003B0637" w:rsidRDefault="00070A6C" w:rsidP="00502FC8">
      <w:pPr>
        <w:ind w:firstLine="0"/>
        <w:rPr>
          <w:rFonts w:eastAsia="Times New Roman"/>
          <w:szCs w:val="26"/>
        </w:rPr>
      </w:pPr>
    </w:p>
    <w:p w14:paraId="223E91C1" w14:textId="77777777" w:rsidR="00070A6C" w:rsidRPr="003B0637" w:rsidRDefault="00070A6C" w:rsidP="00502FC8">
      <w:pPr>
        <w:ind w:firstLine="0"/>
        <w:rPr>
          <w:szCs w:val="26"/>
        </w:rPr>
      </w:pPr>
      <w:r w:rsidRPr="003B0637">
        <w:rPr>
          <w:rFonts w:eastAsia="Times New Roman"/>
          <w:szCs w:val="26"/>
        </w:rPr>
        <w:tab/>
      </w:r>
      <w:r w:rsidRPr="003B0637">
        <w:rPr>
          <w:rFonts w:eastAsia="Times New Roman"/>
          <w:szCs w:val="26"/>
        </w:rPr>
        <w:tab/>
        <w:t xml:space="preserve">Additionally, </w:t>
      </w:r>
      <w:r w:rsidR="00145496" w:rsidRPr="003B0637">
        <w:rPr>
          <w:rFonts w:eastAsia="Times New Roman"/>
          <w:szCs w:val="26"/>
        </w:rPr>
        <w:t>PPL EU</w:t>
      </w:r>
      <w:r w:rsidRPr="003B0637">
        <w:rPr>
          <w:rFonts w:eastAsia="Times New Roman"/>
          <w:szCs w:val="26"/>
        </w:rPr>
        <w:t xml:space="preserve"> argues that the Commission has adopted a practical approach to reviewing internal reorganizations that do not result in an ultimate change in control of the utility or a change in the utility’s management operations.  Exc. at 14 (citing </w:t>
      </w:r>
      <w:r w:rsidRPr="003B0637">
        <w:rPr>
          <w:i/>
          <w:szCs w:val="26"/>
        </w:rPr>
        <w:t>Frontier; Duquesne</w:t>
      </w:r>
      <w:r w:rsidRPr="003B0637">
        <w:rPr>
          <w:szCs w:val="26"/>
        </w:rPr>
        <w:t>)</w:t>
      </w:r>
      <w:r w:rsidRPr="003B0637">
        <w:rPr>
          <w:rFonts w:eastAsia="Times New Roman"/>
          <w:szCs w:val="26"/>
        </w:rPr>
        <w:t xml:space="preserve">.  According to </w:t>
      </w:r>
      <w:r w:rsidR="00145496" w:rsidRPr="003B0637">
        <w:rPr>
          <w:rFonts w:eastAsia="Times New Roman"/>
          <w:szCs w:val="26"/>
        </w:rPr>
        <w:t>PPL EU</w:t>
      </w:r>
      <w:r w:rsidRPr="003B0637">
        <w:rPr>
          <w:rFonts w:eastAsia="Times New Roman"/>
          <w:szCs w:val="26"/>
        </w:rPr>
        <w:t xml:space="preserve">, in </w:t>
      </w:r>
      <w:r w:rsidRPr="003B0637">
        <w:rPr>
          <w:i/>
          <w:szCs w:val="26"/>
        </w:rPr>
        <w:t>Frontier,</w:t>
      </w:r>
      <w:r w:rsidRPr="003B0637">
        <w:rPr>
          <w:szCs w:val="26"/>
        </w:rPr>
        <w:t xml:space="preserve"> the Commission determined that </w:t>
      </w:r>
      <w:r w:rsidRPr="003B0637">
        <w:rPr>
          <w:i/>
          <w:szCs w:val="26"/>
        </w:rPr>
        <w:t>City of York</w:t>
      </w:r>
      <w:r w:rsidRPr="003B0637">
        <w:rPr>
          <w:szCs w:val="26"/>
        </w:rPr>
        <w:t xml:space="preserve"> did not apply to a proposed corporate restructuring in which the existing utilities would be converted from business corporations to Pennsylvania LLCs because there would be no change in the managerial, technical and financial resources available to the utilities, and the entities would remain under the direct or indirect control of the existing parent.  According to </w:t>
      </w:r>
      <w:r w:rsidR="00145496" w:rsidRPr="003B0637">
        <w:rPr>
          <w:szCs w:val="26"/>
        </w:rPr>
        <w:t>PPL EU</w:t>
      </w:r>
      <w:r w:rsidRPr="003B0637">
        <w:rPr>
          <w:szCs w:val="26"/>
        </w:rPr>
        <w:t xml:space="preserve">, the Commission stated </w:t>
      </w:r>
      <w:r w:rsidRPr="003B0637">
        <w:rPr>
          <w:rFonts w:eastAsia="Times New Roman"/>
          <w:szCs w:val="26"/>
        </w:rPr>
        <w:t xml:space="preserve">in </w:t>
      </w:r>
      <w:r w:rsidRPr="003B0637">
        <w:rPr>
          <w:i/>
          <w:szCs w:val="26"/>
        </w:rPr>
        <w:t>Frontier</w:t>
      </w:r>
      <w:r w:rsidRPr="003B0637">
        <w:rPr>
          <w:szCs w:val="26"/>
        </w:rPr>
        <w:t xml:space="preserve"> that:</w:t>
      </w:r>
    </w:p>
    <w:p w14:paraId="556A60E5" w14:textId="77777777" w:rsidR="00837E79" w:rsidRPr="003B0637" w:rsidRDefault="00837E79" w:rsidP="00502FC8">
      <w:pPr>
        <w:ind w:firstLine="0"/>
        <w:rPr>
          <w:szCs w:val="26"/>
        </w:rPr>
      </w:pPr>
    </w:p>
    <w:p w14:paraId="6D140B7A" w14:textId="77777777" w:rsidR="00070A6C" w:rsidRPr="003B0637" w:rsidRDefault="00C34297" w:rsidP="00502FC8">
      <w:pPr>
        <w:spacing w:line="240" w:lineRule="auto"/>
        <w:ind w:left="1440" w:right="1440" w:firstLine="0"/>
        <w:rPr>
          <w:szCs w:val="26"/>
        </w:rPr>
      </w:pPr>
      <w:r>
        <w:rPr>
          <w:szCs w:val="26"/>
        </w:rPr>
        <w:t>S</w:t>
      </w:r>
      <w:r w:rsidR="00070A6C" w:rsidRPr="003B0637">
        <w:rPr>
          <w:szCs w:val="26"/>
        </w:rPr>
        <w:t xml:space="preserve">ince there will be no change in control of the utility services nor any change in resources available to the incumbent and successor utilities, it will not be necessary to demonstrate an affirmative public benefit or the promise thereof pursuant to </w:t>
      </w:r>
      <w:r w:rsidR="00070A6C" w:rsidRPr="003B0637">
        <w:rPr>
          <w:i/>
          <w:szCs w:val="26"/>
        </w:rPr>
        <w:t>City of York</w:t>
      </w:r>
      <w:r w:rsidR="00070A6C" w:rsidRPr="003B0637">
        <w:rPr>
          <w:szCs w:val="26"/>
        </w:rPr>
        <w:t xml:space="preserve"> as is normally required for acquisitions and changes in control of a utility.</w:t>
      </w:r>
    </w:p>
    <w:p w14:paraId="350942CE" w14:textId="77777777" w:rsidR="00070A6C" w:rsidRPr="003B0637" w:rsidRDefault="00070A6C" w:rsidP="00502FC8">
      <w:pPr>
        <w:ind w:firstLine="0"/>
        <w:rPr>
          <w:rFonts w:eastAsia="Times New Roman"/>
          <w:szCs w:val="26"/>
        </w:rPr>
      </w:pPr>
    </w:p>
    <w:p w14:paraId="3F549980" w14:textId="77777777" w:rsidR="00070A6C" w:rsidRDefault="00070A6C" w:rsidP="00502FC8">
      <w:pPr>
        <w:spacing w:line="240" w:lineRule="auto"/>
        <w:ind w:left="1440" w:right="1440" w:firstLine="0"/>
        <w:rPr>
          <w:rFonts w:eastAsia="Times New Roman"/>
          <w:szCs w:val="26"/>
        </w:rPr>
      </w:pPr>
      <w:r w:rsidRPr="003B0637">
        <w:rPr>
          <w:rFonts w:eastAsia="Times New Roman"/>
          <w:szCs w:val="26"/>
        </w:rPr>
        <w:t xml:space="preserve">However, if the change in business entity is accompanied by any change in the ownership of the utility, changes in senior management, or diminution of resources, a conventional application will be required, and the standards of </w:t>
      </w:r>
      <w:r w:rsidRPr="00C34297">
        <w:rPr>
          <w:rFonts w:eastAsia="Times New Roman"/>
          <w:i/>
          <w:szCs w:val="26"/>
        </w:rPr>
        <w:t>City of York</w:t>
      </w:r>
      <w:r w:rsidRPr="003B0637">
        <w:rPr>
          <w:rFonts w:eastAsia="Times New Roman"/>
          <w:szCs w:val="26"/>
        </w:rPr>
        <w:t xml:space="preserve"> will apply.</w:t>
      </w:r>
    </w:p>
    <w:p w14:paraId="2B9193F9" w14:textId="77777777" w:rsidR="001932A8" w:rsidRDefault="001932A8" w:rsidP="00502FC8">
      <w:pPr>
        <w:spacing w:line="240" w:lineRule="auto"/>
        <w:ind w:left="1440" w:right="1440" w:firstLine="0"/>
        <w:rPr>
          <w:rFonts w:eastAsia="Times New Roman"/>
          <w:szCs w:val="26"/>
        </w:rPr>
      </w:pPr>
    </w:p>
    <w:p w14:paraId="0AE69472" w14:textId="77777777" w:rsidR="001932A8" w:rsidRPr="003B0637" w:rsidRDefault="001932A8" w:rsidP="00502FC8">
      <w:pPr>
        <w:spacing w:line="240" w:lineRule="auto"/>
        <w:ind w:left="1440" w:right="1440" w:firstLine="0"/>
        <w:rPr>
          <w:rFonts w:eastAsia="Times New Roman"/>
          <w:szCs w:val="26"/>
        </w:rPr>
      </w:pPr>
    </w:p>
    <w:p w14:paraId="4AD99CD9" w14:textId="77777777" w:rsidR="00070A6C" w:rsidRPr="003B0637" w:rsidRDefault="00070A6C" w:rsidP="00502FC8">
      <w:pPr>
        <w:ind w:firstLine="0"/>
        <w:rPr>
          <w:rFonts w:eastAsia="Times New Roman"/>
          <w:szCs w:val="26"/>
        </w:rPr>
      </w:pPr>
      <w:r w:rsidRPr="003B0637">
        <w:rPr>
          <w:rFonts w:eastAsia="Times New Roman"/>
          <w:i/>
          <w:szCs w:val="26"/>
        </w:rPr>
        <w:t>Id.</w:t>
      </w:r>
      <w:r w:rsidRPr="003B0637">
        <w:rPr>
          <w:rFonts w:eastAsia="Times New Roman"/>
          <w:szCs w:val="26"/>
        </w:rPr>
        <w:t xml:space="preserve"> at 14-15 (citing </w:t>
      </w:r>
      <w:r w:rsidRPr="003B0637">
        <w:rPr>
          <w:rFonts w:eastAsia="Times New Roman"/>
          <w:i/>
          <w:szCs w:val="26"/>
        </w:rPr>
        <w:t>Frontier</w:t>
      </w:r>
      <w:r w:rsidRPr="003B0637">
        <w:rPr>
          <w:rFonts w:eastAsia="Times New Roman"/>
          <w:szCs w:val="26"/>
        </w:rPr>
        <w:t xml:space="preserve"> at 6).  According to </w:t>
      </w:r>
      <w:r w:rsidR="00145496" w:rsidRPr="003B0637">
        <w:rPr>
          <w:rFonts w:eastAsia="Times New Roman"/>
          <w:szCs w:val="26"/>
        </w:rPr>
        <w:t>PPL EU</w:t>
      </w:r>
      <w:r w:rsidRPr="003B0637">
        <w:rPr>
          <w:rFonts w:eastAsia="Times New Roman"/>
          <w:szCs w:val="26"/>
        </w:rPr>
        <w:t xml:space="preserve">, the Commission approved Frontier’s Application without issuing a certificate of public convenience, </w:t>
      </w:r>
      <w:r w:rsidR="00C34297">
        <w:rPr>
          <w:rFonts w:eastAsia="Times New Roman"/>
          <w:szCs w:val="26"/>
        </w:rPr>
        <w:t xml:space="preserve">and this </w:t>
      </w:r>
      <w:r w:rsidR="00AC6017" w:rsidRPr="003B0637">
        <w:rPr>
          <w:rFonts w:eastAsia="Times New Roman"/>
          <w:szCs w:val="26"/>
        </w:rPr>
        <w:t>sugges</w:t>
      </w:r>
      <w:r w:rsidR="00AC6017">
        <w:rPr>
          <w:rFonts w:eastAsia="Times New Roman"/>
          <w:szCs w:val="26"/>
        </w:rPr>
        <w:t>t</w:t>
      </w:r>
      <w:r w:rsidR="00AC6017" w:rsidRPr="003B0637">
        <w:rPr>
          <w:rFonts w:eastAsia="Times New Roman"/>
          <w:szCs w:val="26"/>
        </w:rPr>
        <w:t>s</w:t>
      </w:r>
      <w:r w:rsidRPr="003B0637">
        <w:rPr>
          <w:rFonts w:eastAsia="Times New Roman"/>
          <w:szCs w:val="26"/>
        </w:rPr>
        <w:t xml:space="preserve"> that a Section 1102(a)(3) approval is not required for internal reorganizations that do not result in an ultimate change in control.  Exc. at 15.</w:t>
      </w:r>
    </w:p>
    <w:p w14:paraId="19631CF5" w14:textId="77777777" w:rsidR="00070A6C" w:rsidRPr="003B0637" w:rsidRDefault="00070A6C" w:rsidP="00502FC8">
      <w:pPr>
        <w:ind w:firstLine="0"/>
        <w:rPr>
          <w:rFonts w:eastAsia="Times New Roman"/>
          <w:szCs w:val="26"/>
        </w:rPr>
      </w:pPr>
    </w:p>
    <w:p w14:paraId="0A5A9A9B" w14:textId="77777777" w:rsidR="00070A6C" w:rsidRDefault="00070A6C" w:rsidP="00502FC8">
      <w:pPr>
        <w:rPr>
          <w:rFonts w:eastAsia="Times New Roman"/>
          <w:i/>
          <w:szCs w:val="26"/>
        </w:rPr>
      </w:pPr>
      <w:r w:rsidRPr="003B0637">
        <w:rPr>
          <w:rFonts w:eastAsia="Times New Roman"/>
          <w:szCs w:val="26"/>
        </w:rPr>
        <w:lastRenderedPageBreak/>
        <w:t xml:space="preserve">Finally, </w:t>
      </w:r>
      <w:r w:rsidR="00145496" w:rsidRPr="003B0637">
        <w:rPr>
          <w:rFonts w:eastAsia="Times New Roman"/>
          <w:szCs w:val="26"/>
        </w:rPr>
        <w:t>PPL EU</w:t>
      </w:r>
      <w:r w:rsidRPr="003B0637">
        <w:rPr>
          <w:rFonts w:eastAsia="Times New Roman"/>
          <w:szCs w:val="26"/>
        </w:rPr>
        <w:t xml:space="preserve"> faults the ALJs’ dismissal of </w:t>
      </w:r>
      <w:r w:rsidRPr="003B0637">
        <w:rPr>
          <w:rFonts w:eastAsia="Times New Roman"/>
          <w:i/>
          <w:szCs w:val="26"/>
        </w:rPr>
        <w:t>Frontier</w:t>
      </w:r>
      <w:r w:rsidRPr="003B0637">
        <w:rPr>
          <w:rFonts w:eastAsia="Times New Roman"/>
          <w:szCs w:val="26"/>
        </w:rPr>
        <w:t xml:space="preserve"> and </w:t>
      </w:r>
      <w:r w:rsidRPr="003B0637">
        <w:rPr>
          <w:rFonts w:eastAsia="Times New Roman"/>
          <w:i/>
          <w:szCs w:val="26"/>
        </w:rPr>
        <w:t xml:space="preserve">Duquesne </w:t>
      </w:r>
      <w:r w:rsidRPr="003B0637">
        <w:rPr>
          <w:rFonts w:eastAsia="Times New Roman"/>
          <w:szCs w:val="26"/>
        </w:rPr>
        <w:t xml:space="preserve">as less complicated than the </w:t>
      </w:r>
      <w:r w:rsidR="00C96F1E" w:rsidRPr="003B0637">
        <w:rPr>
          <w:rFonts w:eastAsia="Times New Roman"/>
          <w:szCs w:val="26"/>
        </w:rPr>
        <w:t>Proposed Restructuring</w:t>
      </w:r>
      <w:r w:rsidRPr="003B0637">
        <w:rPr>
          <w:rFonts w:eastAsia="Times New Roman"/>
          <w:szCs w:val="26"/>
        </w:rPr>
        <w:t xml:space="preserve"> because they involved conversions from business corporations to limited liability companies.  </w:t>
      </w:r>
      <w:r w:rsidR="00145496" w:rsidRPr="003B0637">
        <w:rPr>
          <w:rFonts w:eastAsia="Times New Roman"/>
          <w:szCs w:val="26"/>
        </w:rPr>
        <w:t>PPL EU</w:t>
      </w:r>
      <w:r w:rsidRPr="003B0637">
        <w:rPr>
          <w:rFonts w:eastAsia="Times New Roman"/>
          <w:szCs w:val="26"/>
        </w:rPr>
        <w:t xml:space="preserve"> argues these transactions were exempt from Section 1102(a)(3) approval because they did not result in a change in the ultimate owner of the utility property.  </w:t>
      </w:r>
      <w:r w:rsidR="00145496" w:rsidRPr="003B0637">
        <w:rPr>
          <w:rFonts w:eastAsia="Times New Roman"/>
          <w:szCs w:val="26"/>
        </w:rPr>
        <w:t>PPL EU</w:t>
      </w:r>
      <w:r w:rsidRPr="003B0637">
        <w:rPr>
          <w:rFonts w:eastAsia="Times New Roman"/>
          <w:szCs w:val="26"/>
        </w:rPr>
        <w:t xml:space="preserve"> further argues that </w:t>
      </w:r>
      <w:r w:rsidRPr="003B0637">
        <w:rPr>
          <w:rFonts w:eastAsia="Times New Roman"/>
          <w:i/>
          <w:szCs w:val="26"/>
        </w:rPr>
        <w:t>Frontier</w:t>
      </w:r>
      <w:r w:rsidRPr="003B0637">
        <w:rPr>
          <w:rFonts w:eastAsia="Times New Roman"/>
          <w:szCs w:val="26"/>
        </w:rPr>
        <w:t xml:space="preserve"> and </w:t>
      </w:r>
      <w:r w:rsidRPr="003B0637">
        <w:rPr>
          <w:rFonts w:eastAsia="Times New Roman"/>
          <w:i/>
          <w:szCs w:val="26"/>
        </w:rPr>
        <w:t>Duquesne</w:t>
      </w:r>
      <w:r w:rsidRPr="003B0637">
        <w:rPr>
          <w:rFonts w:eastAsia="Times New Roman"/>
          <w:szCs w:val="26"/>
        </w:rPr>
        <w:t xml:space="preserve"> are no less complicated than the </w:t>
      </w:r>
      <w:r w:rsidR="00C96F1E" w:rsidRPr="003B0637">
        <w:rPr>
          <w:rFonts w:eastAsia="Times New Roman"/>
          <w:szCs w:val="26"/>
        </w:rPr>
        <w:t>Proposed Restructuring</w:t>
      </w:r>
      <w:r w:rsidRPr="003B0637">
        <w:rPr>
          <w:rFonts w:eastAsia="Times New Roman"/>
          <w:szCs w:val="26"/>
        </w:rPr>
        <w:t xml:space="preserve"> which only places two intervening parent companies between PPL Corporation and </w:t>
      </w:r>
      <w:r w:rsidR="00145496" w:rsidRPr="003B0637">
        <w:rPr>
          <w:rFonts w:eastAsia="Times New Roman"/>
          <w:szCs w:val="26"/>
        </w:rPr>
        <w:t>PPL EU</w:t>
      </w:r>
      <w:r w:rsidRPr="003B0637">
        <w:rPr>
          <w:rFonts w:eastAsia="Times New Roman"/>
          <w:szCs w:val="26"/>
        </w:rPr>
        <w:t xml:space="preserve">.  Therefore, </w:t>
      </w:r>
      <w:r w:rsidR="00145496" w:rsidRPr="003B0637">
        <w:rPr>
          <w:rFonts w:eastAsia="Times New Roman"/>
          <w:szCs w:val="26"/>
        </w:rPr>
        <w:t>PPL EU</w:t>
      </w:r>
      <w:r w:rsidRPr="003B0637">
        <w:rPr>
          <w:rFonts w:eastAsia="Times New Roman"/>
          <w:szCs w:val="26"/>
        </w:rPr>
        <w:t xml:space="preserve"> requests that if the Commission decides not to grant </w:t>
      </w:r>
      <w:r w:rsidR="00F817AC">
        <w:rPr>
          <w:rFonts w:eastAsia="Times New Roman"/>
          <w:szCs w:val="26"/>
        </w:rPr>
        <w:t xml:space="preserve">its </w:t>
      </w:r>
      <w:r w:rsidRPr="003B0637">
        <w:rPr>
          <w:rFonts w:eastAsia="Times New Roman"/>
          <w:szCs w:val="26"/>
        </w:rPr>
        <w:t xml:space="preserve">Exception Nos. 1 and 2, it should, at least, grant Exception No. 3, and conclude that no approval under Section 1102(a)(3) of the Code is necessary or required for the </w:t>
      </w:r>
      <w:r w:rsidR="00C96F1E" w:rsidRPr="003B0637">
        <w:rPr>
          <w:rFonts w:eastAsia="Times New Roman"/>
          <w:szCs w:val="26"/>
        </w:rPr>
        <w:t>Proposed Restructuring</w:t>
      </w:r>
      <w:r w:rsidRPr="003B0637">
        <w:rPr>
          <w:rFonts w:eastAsia="Times New Roman"/>
          <w:szCs w:val="26"/>
        </w:rPr>
        <w:t xml:space="preserve">, and issue an Order approving the Application.  </w:t>
      </w:r>
      <w:r w:rsidRPr="003B0637">
        <w:rPr>
          <w:rFonts w:eastAsia="Times New Roman"/>
          <w:i/>
          <w:szCs w:val="26"/>
        </w:rPr>
        <w:t>Id.</w:t>
      </w:r>
    </w:p>
    <w:p w14:paraId="50E9D73E" w14:textId="77777777" w:rsidR="00552D93" w:rsidRPr="003B0637" w:rsidRDefault="00552D93" w:rsidP="00502FC8">
      <w:pPr>
        <w:rPr>
          <w:rFonts w:eastAsia="Times New Roman"/>
          <w:szCs w:val="26"/>
        </w:rPr>
      </w:pPr>
    </w:p>
    <w:p w14:paraId="35F3426F" w14:textId="77777777" w:rsidR="00070A6C" w:rsidRDefault="00552D93" w:rsidP="005E1830">
      <w:pPr>
        <w:keepNext/>
        <w:keepLines/>
        <w:ind w:left="1800" w:hanging="360"/>
        <w:rPr>
          <w:b/>
          <w:szCs w:val="26"/>
        </w:rPr>
      </w:pPr>
      <w:r>
        <w:rPr>
          <w:b/>
          <w:szCs w:val="26"/>
        </w:rPr>
        <w:t>b.</w:t>
      </w:r>
      <w:r>
        <w:rPr>
          <w:b/>
          <w:szCs w:val="26"/>
        </w:rPr>
        <w:tab/>
        <w:t>Replies to Exceptions</w:t>
      </w:r>
    </w:p>
    <w:p w14:paraId="50487F27" w14:textId="77777777" w:rsidR="00552D93" w:rsidRPr="00552D93" w:rsidRDefault="00552D93" w:rsidP="005E1830">
      <w:pPr>
        <w:keepNext/>
        <w:keepLines/>
        <w:ind w:left="1800" w:hanging="360"/>
        <w:rPr>
          <w:b/>
          <w:szCs w:val="26"/>
        </w:rPr>
      </w:pPr>
    </w:p>
    <w:p w14:paraId="0842EB6A" w14:textId="77777777" w:rsidR="00070A6C" w:rsidRPr="003B0637" w:rsidRDefault="00F817AC" w:rsidP="00502FC8">
      <w:pPr>
        <w:rPr>
          <w:rFonts w:eastAsia="Times New Roman"/>
          <w:szCs w:val="26"/>
        </w:rPr>
      </w:pPr>
      <w:r>
        <w:rPr>
          <w:rFonts w:eastAsia="Times New Roman"/>
          <w:szCs w:val="26"/>
        </w:rPr>
        <w:t>T</w:t>
      </w:r>
      <w:r w:rsidR="00070A6C" w:rsidRPr="003B0637">
        <w:rPr>
          <w:rFonts w:eastAsia="Times New Roman"/>
          <w:szCs w:val="26"/>
        </w:rPr>
        <w:t xml:space="preserve">he OSBA </w:t>
      </w:r>
      <w:r>
        <w:rPr>
          <w:rFonts w:eastAsia="Times New Roman"/>
          <w:szCs w:val="26"/>
        </w:rPr>
        <w:t xml:space="preserve">replies that it </w:t>
      </w:r>
      <w:r w:rsidR="00070A6C" w:rsidRPr="003B0637">
        <w:rPr>
          <w:rFonts w:eastAsia="Times New Roman"/>
          <w:szCs w:val="26"/>
        </w:rPr>
        <w:t xml:space="preserve">agrees with the ALJs’ recommendation that the </w:t>
      </w:r>
      <w:r w:rsidR="00C96F1E" w:rsidRPr="003B0637">
        <w:rPr>
          <w:rFonts w:eastAsia="Times New Roman"/>
          <w:szCs w:val="26"/>
        </w:rPr>
        <w:t>Proposed Restructuring</w:t>
      </w:r>
      <w:r w:rsidR="00070A6C" w:rsidRPr="003B0637">
        <w:rPr>
          <w:rFonts w:eastAsia="Times New Roman"/>
          <w:szCs w:val="26"/>
        </w:rPr>
        <w:t xml:space="preserve"> requires approval under Section 1102(a)(3) of the Code.  The OSBA avers that </w:t>
      </w:r>
      <w:r w:rsidR="00145496" w:rsidRPr="003B0637">
        <w:rPr>
          <w:rFonts w:eastAsia="Times New Roman"/>
          <w:szCs w:val="26"/>
        </w:rPr>
        <w:t>PPL EU</w:t>
      </w:r>
      <w:r w:rsidR="00070A6C" w:rsidRPr="003B0637">
        <w:rPr>
          <w:rFonts w:eastAsia="Times New Roman"/>
          <w:szCs w:val="26"/>
        </w:rPr>
        <w:t xml:space="preserve">’s “no change in management or operations of </w:t>
      </w:r>
      <w:r w:rsidR="00564130" w:rsidRPr="003B0637">
        <w:rPr>
          <w:rFonts w:eastAsia="Times New Roman"/>
          <w:szCs w:val="26"/>
        </w:rPr>
        <w:t>PPL EU</w:t>
      </w:r>
      <w:r w:rsidR="00070A6C" w:rsidRPr="003B0637">
        <w:rPr>
          <w:rFonts w:eastAsia="Times New Roman"/>
          <w:szCs w:val="26"/>
        </w:rPr>
        <w:t>” argument is not supported by the record evidence.  Rather, the OSBA asserts the ALJs were correct in concluding that:</w:t>
      </w:r>
    </w:p>
    <w:p w14:paraId="0A4DF8BC" w14:textId="77777777" w:rsidR="00070A6C" w:rsidRPr="003B0637" w:rsidRDefault="00070A6C" w:rsidP="00502FC8">
      <w:pPr>
        <w:rPr>
          <w:rFonts w:eastAsia="Times New Roman"/>
          <w:szCs w:val="26"/>
        </w:rPr>
      </w:pPr>
    </w:p>
    <w:p w14:paraId="6C4BF2C0" w14:textId="77777777" w:rsidR="00070A6C" w:rsidRDefault="00F817AC" w:rsidP="00502FC8">
      <w:pPr>
        <w:spacing w:line="240" w:lineRule="auto"/>
        <w:ind w:left="1440" w:right="1440" w:firstLine="0"/>
        <w:rPr>
          <w:rFonts w:eastAsia="Times New Roman"/>
          <w:szCs w:val="26"/>
        </w:rPr>
      </w:pPr>
      <w:r>
        <w:rPr>
          <w:rFonts w:eastAsia="Times New Roman"/>
          <w:szCs w:val="26"/>
        </w:rPr>
        <w:t>T</w:t>
      </w:r>
      <w:r w:rsidR="00070A6C" w:rsidRPr="003B0637">
        <w:rPr>
          <w:rFonts w:eastAsia="Times New Roman"/>
          <w:szCs w:val="26"/>
        </w:rPr>
        <w:t xml:space="preserve">he </w:t>
      </w:r>
      <w:r w:rsidR="00C96F1E" w:rsidRPr="003B0637">
        <w:rPr>
          <w:rFonts w:eastAsia="Times New Roman"/>
          <w:szCs w:val="26"/>
        </w:rPr>
        <w:t>Proposed Restructuring</w:t>
      </w:r>
      <w:r w:rsidR="00070A6C" w:rsidRPr="003B0637">
        <w:rPr>
          <w:rFonts w:eastAsia="Times New Roman"/>
          <w:szCs w:val="26"/>
        </w:rPr>
        <w:t xml:space="preserve"> is a change in control because a new entity will own PPL Electric </w:t>
      </w:r>
      <w:r w:rsidR="00564130" w:rsidRPr="003B0637">
        <w:rPr>
          <w:rFonts w:eastAsia="Times New Roman"/>
          <w:szCs w:val="26"/>
        </w:rPr>
        <w:t xml:space="preserve">[PPL EU] </w:t>
      </w:r>
      <w:r w:rsidR="00070A6C" w:rsidRPr="003B0637">
        <w:rPr>
          <w:rFonts w:eastAsia="Times New Roman"/>
          <w:szCs w:val="26"/>
        </w:rPr>
        <w:t>stock and that technically falls within the terms of the Policy Statement.</w:t>
      </w:r>
    </w:p>
    <w:p w14:paraId="38ACA144" w14:textId="77777777" w:rsidR="00F817AC" w:rsidRDefault="00F817AC" w:rsidP="00502FC8">
      <w:pPr>
        <w:spacing w:line="240" w:lineRule="auto"/>
        <w:ind w:left="1440" w:right="1440" w:firstLine="0"/>
        <w:rPr>
          <w:rFonts w:eastAsia="Times New Roman"/>
          <w:szCs w:val="26"/>
        </w:rPr>
      </w:pPr>
    </w:p>
    <w:p w14:paraId="51B38EBC" w14:textId="77777777" w:rsidR="00F817AC" w:rsidRPr="003B0637" w:rsidRDefault="00F817AC" w:rsidP="00502FC8">
      <w:pPr>
        <w:spacing w:line="240" w:lineRule="auto"/>
        <w:ind w:left="1440" w:right="1440" w:firstLine="0"/>
        <w:rPr>
          <w:rFonts w:eastAsia="Times New Roman"/>
          <w:szCs w:val="26"/>
        </w:rPr>
      </w:pPr>
    </w:p>
    <w:p w14:paraId="7077A4C0" w14:textId="77777777" w:rsidR="00070A6C" w:rsidRPr="003B0637" w:rsidRDefault="00070A6C" w:rsidP="00502FC8">
      <w:pPr>
        <w:ind w:firstLine="0"/>
        <w:rPr>
          <w:rFonts w:eastAsia="Times New Roman"/>
          <w:szCs w:val="26"/>
        </w:rPr>
      </w:pPr>
      <w:r w:rsidRPr="003B0637">
        <w:rPr>
          <w:rFonts w:eastAsia="Times New Roman"/>
          <w:szCs w:val="26"/>
        </w:rPr>
        <w:t xml:space="preserve">R. Exc. at 10 (citing Exc. at 13).  Furthermore, the OSBA avers that the </w:t>
      </w:r>
      <w:r w:rsidRPr="00F817AC">
        <w:rPr>
          <w:rFonts w:eastAsia="Times New Roman"/>
          <w:i/>
          <w:szCs w:val="26"/>
        </w:rPr>
        <w:t xml:space="preserve">Policy Statement </w:t>
      </w:r>
      <w:r w:rsidR="00F817AC" w:rsidRPr="00F817AC">
        <w:rPr>
          <w:rFonts w:eastAsia="Times New Roman"/>
          <w:i/>
          <w:szCs w:val="26"/>
        </w:rPr>
        <w:t>Order</w:t>
      </w:r>
      <w:r w:rsidR="00F817AC">
        <w:rPr>
          <w:rFonts w:eastAsia="Times New Roman"/>
          <w:szCs w:val="26"/>
        </w:rPr>
        <w:t xml:space="preserve"> </w:t>
      </w:r>
      <w:r w:rsidRPr="003B0637">
        <w:rPr>
          <w:rFonts w:eastAsia="Times New Roman"/>
          <w:szCs w:val="26"/>
        </w:rPr>
        <w:t xml:space="preserve">and </w:t>
      </w:r>
      <w:r w:rsidR="00F817AC">
        <w:rPr>
          <w:rFonts w:eastAsia="Times New Roman"/>
          <w:szCs w:val="26"/>
        </w:rPr>
        <w:t>the Policy Statement in Sec</w:t>
      </w:r>
      <w:r w:rsidRPr="003B0637">
        <w:rPr>
          <w:rFonts w:eastAsia="Times New Roman"/>
          <w:szCs w:val="26"/>
        </w:rPr>
        <w:t>tion 69.901 of the Co</w:t>
      </w:r>
      <w:r w:rsidR="00D4175D">
        <w:rPr>
          <w:rFonts w:eastAsia="Times New Roman"/>
          <w:szCs w:val="26"/>
        </w:rPr>
        <w:t>mmission’s Regulations,</w:t>
      </w:r>
      <w:r w:rsidRPr="003B0637">
        <w:rPr>
          <w:rFonts w:eastAsia="Times New Roman"/>
          <w:szCs w:val="26"/>
        </w:rPr>
        <w:t xml:space="preserve"> both </w:t>
      </w:r>
      <w:r w:rsidR="00D4175D">
        <w:rPr>
          <w:rFonts w:eastAsia="Times New Roman"/>
          <w:szCs w:val="26"/>
        </w:rPr>
        <w:t xml:space="preserve">support the reasoning that the </w:t>
      </w:r>
      <w:r w:rsidR="00C96F1E" w:rsidRPr="003B0637">
        <w:rPr>
          <w:rFonts w:eastAsia="Times New Roman"/>
          <w:szCs w:val="26"/>
        </w:rPr>
        <w:t>Proposed Restructuring</w:t>
      </w:r>
      <w:r w:rsidRPr="003B0637">
        <w:rPr>
          <w:rFonts w:eastAsia="Times New Roman"/>
          <w:szCs w:val="26"/>
        </w:rPr>
        <w:t xml:space="preserve"> is a change in control.  The OSBA states that the </w:t>
      </w:r>
      <w:r w:rsidR="00D4175D">
        <w:rPr>
          <w:rFonts w:eastAsia="Times New Roman"/>
          <w:szCs w:val="26"/>
        </w:rPr>
        <w:t xml:space="preserve">ALJ’s </w:t>
      </w:r>
      <w:r w:rsidRPr="003B0637">
        <w:rPr>
          <w:rFonts w:eastAsia="Times New Roman"/>
          <w:szCs w:val="26"/>
        </w:rPr>
        <w:t xml:space="preserve">use of the word “technically” </w:t>
      </w:r>
      <w:r w:rsidR="00D4175D">
        <w:rPr>
          <w:rFonts w:eastAsia="Times New Roman"/>
          <w:szCs w:val="26"/>
        </w:rPr>
        <w:t xml:space="preserve">in the above quote </w:t>
      </w:r>
      <w:r w:rsidRPr="003B0637">
        <w:rPr>
          <w:rFonts w:eastAsia="Times New Roman"/>
          <w:szCs w:val="26"/>
        </w:rPr>
        <w:t xml:space="preserve">simply means that </w:t>
      </w:r>
      <w:r w:rsidR="00145496" w:rsidRPr="003B0637">
        <w:rPr>
          <w:rFonts w:eastAsia="Times New Roman"/>
          <w:szCs w:val="26"/>
        </w:rPr>
        <w:t>PPL EU</w:t>
      </w:r>
      <w:r w:rsidRPr="003B0637">
        <w:rPr>
          <w:rFonts w:eastAsia="Times New Roman"/>
          <w:szCs w:val="26"/>
        </w:rPr>
        <w:t xml:space="preserve"> acknowledged that the ALJs were correct in their conclusion.  R. Exc. at</w:t>
      </w:r>
      <w:r w:rsidR="00145496" w:rsidRPr="003B0637">
        <w:rPr>
          <w:rFonts w:eastAsia="Times New Roman"/>
          <w:szCs w:val="26"/>
        </w:rPr>
        <w:t> </w:t>
      </w:r>
      <w:r w:rsidRPr="003B0637">
        <w:rPr>
          <w:rFonts w:eastAsia="Times New Roman"/>
          <w:szCs w:val="26"/>
        </w:rPr>
        <w:t>10</w:t>
      </w:r>
      <w:r w:rsidR="00145496" w:rsidRPr="003B0637">
        <w:rPr>
          <w:rFonts w:eastAsia="Times New Roman"/>
          <w:szCs w:val="26"/>
        </w:rPr>
        <w:noBreakHyphen/>
      </w:r>
      <w:r w:rsidRPr="003B0637">
        <w:rPr>
          <w:rFonts w:eastAsia="Times New Roman"/>
          <w:szCs w:val="26"/>
        </w:rPr>
        <w:t xml:space="preserve">11.  </w:t>
      </w:r>
      <w:r w:rsidR="007C08DD">
        <w:rPr>
          <w:rFonts w:eastAsia="Times New Roman"/>
          <w:szCs w:val="26"/>
        </w:rPr>
        <w:lastRenderedPageBreak/>
        <w:t xml:space="preserve">The OSBA further refutes PPL EU’s interpretation </w:t>
      </w:r>
      <w:r w:rsidRPr="003B0637">
        <w:rPr>
          <w:rFonts w:eastAsia="Times New Roman"/>
          <w:szCs w:val="26"/>
        </w:rPr>
        <w:t xml:space="preserve">of this matter under the </w:t>
      </w:r>
      <w:r w:rsidRPr="00D4175D">
        <w:rPr>
          <w:rFonts w:eastAsia="Times New Roman"/>
          <w:i/>
          <w:szCs w:val="26"/>
        </w:rPr>
        <w:t xml:space="preserve">Policy Statement </w:t>
      </w:r>
      <w:r w:rsidR="00D4175D" w:rsidRPr="00D4175D">
        <w:rPr>
          <w:rFonts w:eastAsia="Times New Roman"/>
          <w:i/>
          <w:szCs w:val="26"/>
        </w:rPr>
        <w:t>Order</w:t>
      </w:r>
      <w:r w:rsidR="00D4175D">
        <w:rPr>
          <w:rFonts w:eastAsia="Times New Roman"/>
          <w:szCs w:val="26"/>
        </w:rPr>
        <w:t xml:space="preserve"> </w:t>
      </w:r>
      <w:r w:rsidRPr="003B0637">
        <w:rPr>
          <w:rFonts w:eastAsia="Times New Roman"/>
          <w:szCs w:val="26"/>
        </w:rPr>
        <w:t xml:space="preserve">and </w:t>
      </w:r>
      <w:r w:rsidR="00D4175D">
        <w:rPr>
          <w:rFonts w:eastAsia="Times New Roman"/>
          <w:szCs w:val="26"/>
        </w:rPr>
        <w:t xml:space="preserve">the Policy Statement in </w:t>
      </w:r>
      <w:r w:rsidRPr="003B0637">
        <w:rPr>
          <w:rFonts w:eastAsia="Times New Roman"/>
          <w:szCs w:val="26"/>
        </w:rPr>
        <w:t xml:space="preserve">Section 69.901 of the </w:t>
      </w:r>
      <w:r w:rsidR="00D4175D">
        <w:rPr>
          <w:rFonts w:eastAsia="Times New Roman"/>
          <w:szCs w:val="26"/>
        </w:rPr>
        <w:t>Commission’s Regulations</w:t>
      </w:r>
      <w:r w:rsidR="007C08DD">
        <w:rPr>
          <w:rFonts w:eastAsia="Times New Roman"/>
          <w:szCs w:val="26"/>
        </w:rPr>
        <w:t xml:space="preserve"> when PPL EU argued the following in its Exceptions:</w:t>
      </w:r>
    </w:p>
    <w:p w14:paraId="38F84D84" w14:textId="77777777" w:rsidR="00070A6C" w:rsidRPr="003B0637" w:rsidRDefault="00070A6C" w:rsidP="00502FC8">
      <w:pPr>
        <w:ind w:firstLine="0"/>
        <w:rPr>
          <w:rFonts w:eastAsia="Times New Roman"/>
          <w:szCs w:val="26"/>
        </w:rPr>
      </w:pPr>
    </w:p>
    <w:p w14:paraId="28C28CDB" w14:textId="77777777" w:rsidR="00070A6C" w:rsidRDefault="00070A6C" w:rsidP="00D4175D">
      <w:pPr>
        <w:spacing w:line="240" w:lineRule="auto"/>
        <w:ind w:left="1440" w:right="1440" w:firstLine="0"/>
        <w:rPr>
          <w:rFonts w:eastAsia="Times New Roman"/>
          <w:szCs w:val="26"/>
        </w:rPr>
      </w:pPr>
      <w:r w:rsidRPr="003B0637">
        <w:rPr>
          <w:rFonts w:eastAsia="Times New Roman"/>
          <w:szCs w:val="26"/>
        </w:rPr>
        <w:t>However, it is clear that the Policy Statement was focused on changes in the ultimate owner of utility property through mergers with, or acquisitions of, a parent or grandparent of the utility.</w:t>
      </w:r>
    </w:p>
    <w:p w14:paraId="4AA28779" w14:textId="77777777" w:rsidR="00D4175D" w:rsidRDefault="00D4175D" w:rsidP="00D4175D">
      <w:pPr>
        <w:spacing w:line="240" w:lineRule="auto"/>
        <w:ind w:left="1440" w:right="1440" w:firstLine="0"/>
        <w:rPr>
          <w:rFonts w:eastAsia="Times New Roman"/>
          <w:szCs w:val="26"/>
        </w:rPr>
      </w:pPr>
    </w:p>
    <w:p w14:paraId="58340599" w14:textId="77777777" w:rsidR="00070A6C" w:rsidRDefault="00070A6C" w:rsidP="00D4175D">
      <w:pPr>
        <w:spacing w:line="240" w:lineRule="auto"/>
        <w:ind w:firstLine="0"/>
        <w:jc w:val="center"/>
        <w:rPr>
          <w:rFonts w:eastAsia="Times New Roman"/>
          <w:szCs w:val="26"/>
        </w:rPr>
      </w:pPr>
      <w:r w:rsidRPr="003B0637">
        <w:rPr>
          <w:rFonts w:eastAsia="Times New Roman"/>
          <w:szCs w:val="26"/>
        </w:rPr>
        <w:t>*</w:t>
      </w:r>
      <w:r w:rsidR="00D4175D">
        <w:rPr>
          <w:rFonts w:eastAsia="Times New Roman"/>
          <w:szCs w:val="26"/>
        </w:rPr>
        <w:t xml:space="preserve">   </w:t>
      </w:r>
      <w:r w:rsidRPr="003B0637">
        <w:rPr>
          <w:rFonts w:eastAsia="Times New Roman"/>
          <w:szCs w:val="26"/>
        </w:rPr>
        <w:t>*</w:t>
      </w:r>
      <w:r w:rsidR="00D4175D">
        <w:rPr>
          <w:rFonts w:eastAsia="Times New Roman"/>
          <w:szCs w:val="26"/>
        </w:rPr>
        <w:t xml:space="preserve">   </w:t>
      </w:r>
      <w:r w:rsidRPr="003B0637">
        <w:rPr>
          <w:rFonts w:eastAsia="Times New Roman"/>
          <w:szCs w:val="26"/>
        </w:rPr>
        <w:t>*</w:t>
      </w:r>
    </w:p>
    <w:p w14:paraId="5EC793D9" w14:textId="77777777" w:rsidR="00D4175D" w:rsidRDefault="00D4175D" w:rsidP="00D4175D">
      <w:pPr>
        <w:spacing w:line="240" w:lineRule="auto"/>
        <w:ind w:left="1440" w:right="1440" w:firstLine="0"/>
        <w:rPr>
          <w:rFonts w:eastAsia="Times New Roman"/>
          <w:szCs w:val="26"/>
        </w:rPr>
      </w:pPr>
    </w:p>
    <w:p w14:paraId="297FE0CC" w14:textId="77777777" w:rsidR="00070A6C" w:rsidRDefault="00070A6C" w:rsidP="00D4175D">
      <w:pPr>
        <w:spacing w:line="240" w:lineRule="auto"/>
        <w:ind w:left="1440" w:right="1440" w:firstLine="0"/>
        <w:rPr>
          <w:rFonts w:eastAsia="Times New Roman"/>
          <w:szCs w:val="26"/>
        </w:rPr>
      </w:pPr>
      <w:r w:rsidRPr="003B0637">
        <w:rPr>
          <w:rFonts w:eastAsia="Times New Roman"/>
          <w:szCs w:val="26"/>
        </w:rPr>
        <w:t>Thus, it is not what entity owns the utility directly that is important, but a change in the entity that is the ultimate owner that triggers Section 1102(a)(3) approval.  Here, the ultimate owner does not change, and a certificate should not be required.</w:t>
      </w:r>
    </w:p>
    <w:p w14:paraId="29DFBA58" w14:textId="77777777" w:rsidR="007C08DD" w:rsidRDefault="007C08DD" w:rsidP="00D4175D">
      <w:pPr>
        <w:spacing w:line="240" w:lineRule="auto"/>
        <w:ind w:left="1440" w:right="1440" w:firstLine="0"/>
        <w:rPr>
          <w:rFonts w:eastAsia="Times New Roman"/>
          <w:szCs w:val="26"/>
        </w:rPr>
      </w:pPr>
    </w:p>
    <w:p w14:paraId="06FC7958" w14:textId="77777777" w:rsidR="007C08DD" w:rsidRPr="003B0637" w:rsidRDefault="007C08DD" w:rsidP="00D4175D">
      <w:pPr>
        <w:spacing w:line="240" w:lineRule="auto"/>
        <w:ind w:left="1440" w:right="1440" w:firstLine="0"/>
        <w:rPr>
          <w:rFonts w:eastAsia="Times New Roman"/>
          <w:szCs w:val="26"/>
        </w:rPr>
      </w:pPr>
    </w:p>
    <w:p w14:paraId="1EC7E15D" w14:textId="77777777" w:rsidR="00070A6C" w:rsidRPr="003B0637" w:rsidRDefault="00070A6C" w:rsidP="00502FC8">
      <w:pPr>
        <w:ind w:firstLine="0"/>
        <w:rPr>
          <w:rFonts w:eastAsia="Times New Roman"/>
          <w:szCs w:val="26"/>
        </w:rPr>
      </w:pPr>
      <w:r w:rsidRPr="003B0637">
        <w:rPr>
          <w:rFonts w:eastAsia="Times New Roman"/>
          <w:szCs w:val="26"/>
        </w:rPr>
        <w:t xml:space="preserve">R. Exc. at 11 (citing Exc. at 13-14).  </w:t>
      </w:r>
      <w:r w:rsidR="007C08DD">
        <w:rPr>
          <w:rFonts w:eastAsia="Times New Roman"/>
          <w:szCs w:val="26"/>
        </w:rPr>
        <w:t xml:space="preserve">First, the OSBA submits that PPL EU’s argument is </w:t>
      </w:r>
      <w:r w:rsidR="007C08DD" w:rsidRPr="003B0637">
        <w:rPr>
          <w:rFonts w:eastAsia="Times New Roman"/>
          <w:szCs w:val="26"/>
        </w:rPr>
        <w:t xml:space="preserve">well outside of the plain language of </w:t>
      </w:r>
      <w:r w:rsidR="007C08DD">
        <w:rPr>
          <w:rFonts w:eastAsia="Times New Roman"/>
          <w:szCs w:val="26"/>
        </w:rPr>
        <w:t xml:space="preserve">the Policy Statement and the </w:t>
      </w:r>
      <w:r w:rsidR="007C08DD" w:rsidRPr="007C08DD">
        <w:rPr>
          <w:rFonts w:eastAsia="Times New Roman"/>
          <w:i/>
          <w:szCs w:val="26"/>
        </w:rPr>
        <w:t>Policy Statement Order</w:t>
      </w:r>
      <w:r w:rsidR="007C08DD">
        <w:rPr>
          <w:rFonts w:eastAsia="Times New Roman"/>
          <w:i/>
          <w:szCs w:val="26"/>
        </w:rPr>
        <w:t>.</w:t>
      </w:r>
      <w:r w:rsidR="007C08DD">
        <w:rPr>
          <w:rFonts w:eastAsia="Times New Roman"/>
          <w:szCs w:val="26"/>
        </w:rPr>
        <w:t xml:space="preserve">  In addition, the </w:t>
      </w:r>
      <w:r w:rsidRPr="003B0637">
        <w:rPr>
          <w:rFonts w:eastAsia="Times New Roman"/>
          <w:szCs w:val="26"/>
        </w:rPr>
        <w:t>OSBA</w:t>
      </w:r>
      <w:r w:rsidR="007C08DD">
        <w:rPr>
          <w:rFonts w:eastAsia="Times New Roman"/>
          <w:szCs w:val="26"/>
        </w:rPr>
        <w:t xml:space="preserve"> submits that </w:t>
      </w:r>
      <w:r w:rsidRPr="003B0637">
        <w:rPr>
          <w:rFonts w:eastAsia="Times New Roman"/>
          <w:szCs w:val="26"/>
        </w:rPr>
        <w:t xml:space="preserve">because the Policy Statement and </w:t>
      </w:r>
      <w:r w:rsidR="007C08DD" w:rsidRPr="007C08DD">
        <w:rPr>
          <w:rFonts w:eastAsia="Times New Roman"/>
          <w:i/>
          <w:szCs w:val="26"/>
        </w:rPr>
        <w:t>Policy Statement Order</w:t>
      </w:r>
      <w:r w:rsidRPr="003B0637">
        <w:rPr>
          <w:rFonts w:eastAsia="Times New Roman"/>
          <w:szCs w:val="26"/>
        </w:rPr>
        <w:t xml:space="preserve"> focus on </w:t>
      </w:r>
      <w:r w:rsidRPr="003B0637">
        <w:rPr>
          <w:rFonts w:eastAsia="Times New Roman"/>
          <w:i/>
          <w:szCs w:val="26"/>
        </w:rPr>
        <w:t>de facto</w:t>
      </w:r>
      <w:r w:rsidRPr="003B0637">
        <w:rPr>
          <w:rFonts w:eastAsia="Times New Roman"/>
          <w:szCs w:val="26"/>
        </w:rPr>
        <w:t xml:space="preserve"> control of </w:t>
      </w:r>
      <w:r w:rsidR="00916245" w:rsidRPr="003B0637">
        <w:rPr>
          <w:rFonts w:eastAsia="Times New Roman"/>
          <w:szCs w:val="26"/>
        </w:rPr>
        <w:t>PPL EU</w:t>
      </w:r>
      <w:r w:rsidRPr="003B0637">
        <w:rPr>
          <w:rFonts w:eastAsia="Times New Roman"/>
          <w:szCs w:val="26"/>
        </w:rPr>
        <w:t xml:space="preserve"> following the </w:t>
      </w:r>
      <w:r w:rsidR="00C96F1E" w:rsidRPr="003B0637">
        <w:rPr>
          <w:rFonts w:eastAsia="Times New Roman"/>
          <w:szCs w:val="26"/>
        </w:rPr>
        <w:t>Proposed Restructuring</w:t>
      </w:r>
      <w:r w:rsidRPr="003B0637">
        <w:rPr>
          <w:rFonts w:eastAsia="Times New Roman"/>
          <w:szCs w:val="26"/>
        </w:rPr>
        <w:t xml:space="preserve"> and not the ultimate control, the Commission should dismiss </w:t>
      </w:r>
      <w:r w:rsidR="00916245" w:rsidRPr="003B0637">
        <w:rPr>
          <w:rFonts w:eastAsia="Times New Roman"/>
          <w:szCs w:val="26"/>
        </w:rPr>
        <w:t>PPL EU</w:t>
      </w:r>
      <w:r w:rsidRPr="003B0637">
        <w:rPr>
          <w:rFonts w:eastAsia="Times New Roman"/>
          <w:szCs w:val="26"/>
        </w:rPr>
        <w:t xml:space="preserve">’s interpretation of the Policy Statement and Section 69.901 of the Code in this proceeding.  R. Exc. at 11.  The OSBA also dismisses </w:t>
      </w:r>
      <w:r w:rsidR="00916245" w:rsidRPr="003B0637">
        <w:rPr>
          <w:rFonts w:eastAsia="Times New Roman"/>
          <w:szCs w:val="26"/>
        </w:rPr>
        <w:t>PPL EU</w:t>
      </w:r>
      <w:r w:rsidRPr="003B0637">
        <w:rPr>
          <w:rFonts w:eastAsia="Times New Roman"/>
          <w:szCs w:val="26"/>
        </w:rPr>
        <w:t xml:space="preserve">’s averment that the Policy Statement and Section 69.901 of the Code are irrelevant to this proceeding.  </w:t>
      </w:r>
      <w:r w:rsidRPr="003B0637">
        <w:rPr>
          <w:rFonts w:eastAsia="Times New Roman"/>
          <w:i/>
          <w:szCs w:val="26"/>
        </w:rPr>
        <w:t>Id.</w:t>
      </w:r>
    </w:p>
    <w:p w14:paraId="751D6FB1" w14:textId="77777777" w:rsidR="00070A6C" w:rsidRPr="003B0637" w:rsidRDefault="00070A6C" w:rsidP="00502FC8">
      <w:pPr>
        <w:ind w:firstLine="0"/>
        <w:rPr>
          <w:rFonts w:eastAsia="Times New Roman"/>
          <w:szCs w:val="26"/>
        </w:rPr>
      </w:pPr>
    </w:p>
    <w:p w14:paraId="0552E160" w14:textId="6AD9E5EF" w:rsidR="00070A6C" w:rsidRPr="003B0637" w:rsidRDefault="00070A6C" w:rsidP="00502FC8">
      <w:pPr>
        <w:rPr>
          <w:rFonts w:eastAsia="Times New Roman"/>
          <w:szCs w:val="26"/>
        </w:rPr>
      </w:pPr>
      <w:r w:rsidRPr="003B0637">
        <w:rPr>
          <w:rFonts w:eastAsia="Times New Roman"/>
          <w:szCs w:val="26"/>
        </w:rPr>
        <w:t xml:space="preserve">Finally, the OSBA discounts </w:t>
      </w:r>
      <w:r w:rsidR="00916245" w:rsidRPr="003B0637">
        <w:rPr>
          <w:rFonts w:eastAsia="Times New Roman"/>
          <w:szCs w:val="26"/>
        </w:rPr>
        <w:t>PPL EU</w:t>
      </w:r>
      <w:r w:rsidRPr="003B0637">
        <w:rPr>
          <w:rFonts w:eastAsia="Times New Roman"/>
          <w:szCs w:val="26"/>
        </w:rPr>
        <w:t xml:space="preserve">’s “practical approach” argument stating that the </w:t>
      </w:r>
      <w:r w:rsidRPr="003B0637">
        <w:rPr>
          <w:rFonts w:eastAsia="Times New Roman"/>
          <w:i/>
          <w:szCs w:val="26"/>
        </w:rPr>
        <w:t>Frontier</w:t>
      </w:r>
      <w:r w:rsidRPr="003B0637">
        <w:rPr>
          <w:rFonts w:eastAsia="Times New Roman"/>
          <w:szCs w:val="26"/>
        </w:rPr>
        <w:t xml:space="preserve"> and </w:t>
      </w:r>
      <w:r w:rsidRPr="003B0637">
        <w:rPr>
          <w:rFonts w:eastAsia="Times New Roman"/>
          <w:i/>
          <w:szCs w:val="26"/>
        </w:rPr>
        <w:t>Duquesne</w:t>
      </w:r>
      <w:r w:rsidRPr="003B0637">
        <w:rPr>
          <w:rFonts w:eastAsia="Times New Roman"/>
          <w:szCs w:val="26"/>
        </w:rPr>
        <w:t xml:space="preserve"> cases referenced by </w:t>
      </w:r>
      <w:r w:rsidR="00916245" w:rsidRPr="003B0637">
        <w:rPr>
          <w:rFonts w:eastAsia="Times New Roman"/>
          <w:szCs w:val="26"/>
        </w:rPr>
        <w:t>PPL EU</w:t>
      </w:r>
      <w:r w:rsidRPr="003B0637">
        <w:rPr>
          <w:rFonts w:eastAsia="Times New Roman"/>
          <w:szCs w:val="26"/>
        </w:rPr>
        <w:t xml:space="preserve"> are merely corporate conversions with each changing from a business corporation to a limited liability company.  However, the OSBA argues the </w:t>
      </w:r>
      <w:r w:rsidR="00C96F1E" w:rsidRPr="003B0637">
        <w:rPr>
          <w:rFonts w:eastAsia="Times New Roman"/>
          <w:szCs w:val="26"/>
        </w:rPr>
        <w:t>Proposed Restructuring</w:t>
      </w:r>
      <w:r w:rsidRPr="003B0637">
        <w:rPr>
          <w:rFonts w:eastAsia="Times New Roman"/>
          <w:szCs w:val="26"/>
        </w:rPr>
        <w:t xml:space="preserve"> is a far more complex transaction than a simple corporate conversion.  The OSBA notes that the ALJs thoroughly reviewed the evidence in this proceeding before concluding that this is a far </w:t>
      </w:r>
      <w:r w:rsidRPr="003B0637">
        <w:rPr>
          <w:rFonts w:eastAsia="Times New Roman"/>
          <w:szCs w:val="26"/>
        </w:rPr>
        <w:lastRenderedPageBreak/>
        <w:t xml:space="preserve">more complex case than the </w:t>
      </w:r>
      <w:r w:rsidRPr="003B0637">
        <w:rPr>
          <w:rFonts w:eastAsia="Times New Roman"/>
          <w:i/>
          <w:szCs w:val="26"/>
        </w:rPr>
        <w:t>Frontier</w:t>
      </w:r>
      <w:r w:rsidRPr="003B0637">
        <w:rPr>
          <w:rFonts w:eastAsia="Times New Roman"/>
          <w:szCs w:val="26"/>
        </w:rPr>
        <w:t xml:space="preserve"> and </w:t>
      </w:r>
      <w:r w:rsidRPr="003B0637">
        <w:rPr>
          <w:rFonts w:eastAsia="Times New Roman"/>
          <w:i/>
          <w:szCs w:val="26"/>
        </w:rPr>
        <w:t>Duquesne</w:t>
      </w:r>
      <w:r w:rsidRPr="003B0637">
        <w:rPr>
          <w:rFonts w:eastAsia="Times New Roman"/>
          <w:szCs w:val="26"/>
        </w:rPr>
        <w:t xml:space="preserve"> cases.  </w:t>
      </w:r>
      <w:r w:rsidRPr="003B0637">
        <w:rPr>
          <w:rFonts w:eastAsia="Times New Roman"/>
          <w:i/>
          <w:szCs w:val="26"/>
        </w:rPr>
        <w:t>Id.</w:t>
      </w:r>
      <w:r w:rsidRPr="003B0637">
        <w:rPr>
          <w:rFonts w:eastAsia="Times New Roman"/>
          <w:szCs w:val="26"/>
        </w:rPr>
        <w:t xml:space="preserve"> at 12 (citing Exc. at 14-15; R.D. at 17).  The OSBA further notes that </w:t>
      </w:r>
      <w:r w:rsidRPr="003B0637">
        <w:rPr>
          <w:rFonts w:eastAsia="Times New Roman"/>
          <w:i/>
          <w:szCs w:val="26"/>
        </w:rPr>
        <w:t xml:space="preserve">Duquesne </w:t>
      </w:r>
      <w:r w:rsidRPr="003B0637">
        <w:rPr>
          <w:rFonts w:eastAsia="Times New Roman"/>
          <w:szCs w:val="26"/>
        </w:rPr>
        <w:t>is not relevant to this case because it was not adjudicated under Chapter 11 of the Code where affirmative public benefits are required.  Rather, it was adjudicated under the Pennsylvania Entity Transaction Law and did not involve a transfer of property.  R. Exc. at 12 (citing 15 Pa. C.S. §§</w:t>
      </w:r>
      <w:r w:rsidR="00BA19DE">
        <w:rPr>
          <w:rFonts w:eastAsia="Times New Roman"/>
          <w:szCs w:val="26"/>
        </w:rPr>
        <w:t xml:space="preserve"> 311</w:t>
      </w:r>
      <w:r w:rsidRPr="003B0637">
        <w:rPr>
          <w:rFonts w:eastAsia="Times New Roman"/>
          <w:szCs w:val="26"/>
        </w:rPr>
        <w:t xml:space="preserve"> </w:t>
      </w:r>
      <w:r w:rsidRPr="003B0637">
        <w:rPr>
          <w:rFonts w:eastAsia="Times New Roman"/>
          <w:i/>
          <w:szCs w:val="26"/>
        </w:rPr>
        <w:t>et. seq.</w:t>
      </w:r>
      <w:r w:rsidRPr="003B0637">
        <w:rPr>
          <w:rFonts w:eastAsia="Times New Roman"/>
          <w:szCs w:val="26"/>
        </w:rPr>
        <w:t xml:space="preserve">, OSBA R.B. at 10-11). </w:t>
      </w:r>
      <w:r w:rsidR="00C07443">
        <w:rPr>
          <w:rFonts w:eastAsia="Times New Roman"/>
          <w:szCs w:val="26"/>
        </w:rPr>
        <w:t xml:space="preserve"> </w:t>
      </w:r>
      <w:r w:rsidRPr="003B0637">
        <w:rPr>
          <w:rFonts w:eastAsia="Times New Roman"/>
          <w:szCs w:val="26"/>
        </w:rPr>
        <w:t xml:space="preserve">Therefore, the OSBA requests that the Commission deny </w:t>
      </w:r>
      <w:r w:rsidR="00916245" w:rsidRPr="003B0637">
        <w:rPr>
          <w:rFonts w:eastAsia="Times New Roman"/>
          <w:szCs w:val="26"/>
        </w:rPr>
        <w:t>PPL EU</w:t>
      </w:r>
      <w:r w:rsidRPr="003B0637">
        <w:rPr>
          <w:rFonts w:eastAsia="Times New Roman"/>
          <w:szCs w:val="26"/>
        </w:rPr>
        <w:t>’s Exc. No. 3 and affirm the continued relevance of the Commission’s Policy Statement to the instant Application and similar other proposals.  R. Exc. at 13.</w:t>
      </w:r>
    </w:p>
    <w:p w14:paraId="579CCDF4" w14:textId="77777777" w:rsidR="00070A6C" w:rsidRPr="003B0637" w:rsidRDefault="00070A6C" w:rsidP="00502FC8">
      <w:pPr>
        <w:ind w:firstLine="0"/>
      </w:pPr>
    </w:p>
    <w:p w14:paraId="3595FEAE" w14:textId="77777777" w:rsidR="002B6789" w:rsidRPr="00CA2401" w:rsidRDefault="00CA2401" w:rsidP="005E1830">
      <w:pPr>
        <w:keepNext/>
        <w:keepLines/>
        <w:ind w:left="1800" w:hanging="360"/>
        <w:rPr>
          <w:b/>
          <w:szCs w:val="26"/>
        </w:rPr>
      </w:pPr>
      <w:r w:rsidRPr="00CA2401">
        <w:rPr>
          <w:b/>
          <w:szCs w:val="26"/>
        </w:rPr>
        <w:t>c</w:t>
      </w:r>
      <w:r w:rsidR="00D865FD" w:rsidRPr="00CA2401">
        <w:rPr>
          <w:b/>
          <w:szCs w:val="26"/>
        </w:rPr>
        <w:t>.</w:t>
      </w:r>
      <w:r w:rsidR="00D865FD" w:rsidRPr="00CA2401">
        <w:rPr>
          <w:b/>
          <w:szCs w:val="26"/>
        </w:rPr>
        <w:tab/>
      </w:r>
      <w:r w:rsidR="002B6789" w:rsidRPr="00CA2401">
        <w:rPr>
          <w:b/>
          <w:szCs w:val="26"/>
        </w:rPr>
        <w:t>Disposition</w:t>
      </w:r>
      <w:r w:rsidR="00C07443" w:rsidRPr="00CA2401">
        <w:rPr>
          <w:b/>
          <w:szCs w:val="26"/>
        </w:rPr>
        <w:t xml:space="preserve"> </w:t>
      </w:r>
      <w:r w:rsidRPr="00CA2401">
        <w:rPr>
          <w:b/>
          <w:szCs w:val="26"/>
        </w:rPr>
        <w:t>of</w:t>
      </w:r>
      <w:r w:rsidR="00552D93" w:rsidRPr="00CA2401">
        <w:rPr>
          <w:b/>
          <w:szCs w:val="26"/>
        </w:rPr>
        <w:t xml:space="preserve"> E</w:t>
      </w:r>
      <w:r w:rsidR="00C07443" w:rsidRPr="00CA2401">
        <w:rPr>
          <w:b/>
          <w:szCs w:val="26"/>
        </w:rPr>
        <w:t>xception Nos. 1 and 3</w:t>
      </w:r>
    </w:p>
    <w:bookmarkEnd w:id="10"/>
    <w:p w14:paraId="56582869" w14:textId="77777777" w:rsidR="002B6789" w:rsidRPr="003B0637" w:rsidRDefault="002B6789" w:rsidP="005E1830">
      <w:pPr>
        <w:keepNext/>
        <w:keepLines/>
        <w:ind w:firstLine="0"/>
      </w:pPr>
    </w:p>
    <w:p w14:paraId="0F131DC3" w14:textId="77777777" w:rsidR="006F293A" w:rsidRPr="003B0637" w:rsidRDefault="00837E79" w:rsidP="00502FC8">
      <w:pPr>
        <w:rPr>
          <w:szCs w:val="26"/>
        </w:rPr>
      </w:pPr>
      <w:r w:rsidRPr="003B0637">
        <w:t>Upon review,</w:t>
      </w:r>
      <w:r w:rsidR="00984C82" w:rsidRPr="003B0637">
        <w:rPr>
          <w:szCs w:val="26"/>
        </w:rPr>
        <w:t xml:space="preserve"> </w:t>
      </w:r>
      <w:r w:rsidR="00A61672" w:rsidRPr="003B0637">
        <w:t xml:space="preserve">we shall deny </w:t>
      </w:r>
      <w:r w:rsidR="00916245" w:rsidRPr="003B0637">
        <w:t>PPL EU</w:t>
      </w:r>
      <w:r w:rsidR="00A61672" w:rsidRPr="003B0637">
        <w:t>’s first and thi</w:t>
      </w:r>
      <w:r w:rsidR="00BB2C96" w:rsidRPr="003B0637">
        <w:t>rd Exceptions and adopt the ALJ</w:t>
      </w:r>
      <w:r w:rsidR="00A61672" w:rsidRPr="003B0637">
        <w:t>s</w:t>
      </w:r>
      <w:r w:rsidR="00BB2C96" w:rsidRPr="003B0637">
        <w:t>’</w:t>
      </w:r>
      <w:r w:rsidR="00A61672" w:rsidRPr="003B0637">
        <w:t xml:space="preserve"> Recommended Decision.  </w:t>
      </w:r>
      <w:r w:rsidR="009435F8" w:rsidRPr="003B0637">
        <w:t>As discussed further below, w</w:t>
      </w:r>
      <w:r w:rsidR="00A61672" w:rsidRPr="003B0637">
        <w:t xml:space="preserve">e agree with the ALJs’ analysis and conclusion that </w:t>
      </w:r>
      <w:r w:rsidR="00D011B5" w:rsidRPr="003B0637">
        <w:rPr>
          <w:szCs w:val="26"/>
        </w:rPr>
        <w:t xml:space="preserve">Sections 1102(a)(3) </w:t>
      </w:r>
      <w:r w:rsidR="00A61672" w:rsidRPr="003B0637">
        <w:rPr>
          <w:szCs w:val="26"/>
        </w:rPr>
        <w:t>and 1103</w:t>
      </w:r>
      <w:r w:rsidR="00D011B5" w:rsidRPr="003B0637">
        <w:rPr>
          <w:szCs w:val="26"/>
        </w:rPr>
        <w:t>(a)</w:t>
      </w:r>
      <w:r w:rsidR="00A61672" w:rsidRPr="003B0637">
        <w:rPr>
          <w:szCs w:val="26"/>
        </w:rPr>
        <w:t xml:space="preserve"> of the Code apply to the Application and the </w:t>
      </w:r>
      <w:r w:rsidR="00C96F1E" w:rsidRPr="003B0637">
        <w:rPr>
          <w:szCs w:val="26"/>
        </w:rPr>
        <w:t>Proposed Restructuring</w:t>
      </w:r>
      <w:r w:rsidR="00A61672" w:rsidRPr="003B0637">
        <w:rPr>
          <w:szCs w:val="26"/>
        </w:rPr>
        <w:t xml:space="preserve">.  </w:t>
      </w:r>
    </w:p>
    <w:p w14:paraId="6B697E9B" w14:textId="77777777" w:rsidR="006F293A" w:rsidRPr="003B0637" w:rsidRDefault="006F293A" w:rsidP="00502FC8">
      <w:pPr>
        <w:rPr>
          <w:szCs w:val="26"/>
        </w:rPr>
      </w:pPr>
    </w:p>
    <w:p w14:paraId="492AE610" w14:textId="77777777" w:rsidR="002F265B" w:rsidRPr="003B0637" w:rsidRDefault="00D11BA8" w:rsidP="00502FC8">
      <w:pPr>
        <w:rPr>
          <w:szCs w:val="26"/>
        </w:rPr>
      </w:pPr>
      <w:r w:rsidRPr="003B0637">
        <w:rPr>
          <w:color w:val="000000"/>
          <w:szCs w:val="26"/>
        </w:rPr>
        <w:t xml:space="preserve">The threshold issue </w:t>
      </w:r>
      <w:r w:rsidR="00513155" w:rsidRPr="003B0637">
        <w:rPr>
          <w:color w:val="000000"/>
          <w:szCs w:val="26"/>
        </w:rPr>
        <w:t xml:space="preserve">to be decided </w:t>
      </w:r>
      <w:r w:rsidRPr="003B0637">
        <w:rPr>
          <w:color w:val="000000"/>
          <w:szCs w:val="26"/>
        </w:rPr>
        <w:t xml:space="preserve">is </w:t>
      </w:r>
      <w:r w:rsidRPr="003B0637">
        <w:rPr>
          <w:szCs w:val="26"/>
        </w:rPr>
        <w:t>whether</w:t>
      </w:r>
      <w:r w:rsidR="00B1572C" w:rsidRPr="003B0637">
        <w:rPr>
          <w:szCs w:val="26"/>
        </w:rPr>
        <w:t>,</w:t>
      </w:r>
      <w:r w:rsidRPr="003B0637">
        <w:rPr>
          <w:szCs w:val="26"/>
        </w:rPr>
        <w:t xml:space="preserve"> pursuant to Section 1102(a)(3)</w:t>
      </w:r>
      <w:r w:rsidR="00B1572C" w:rsidRPr="003B0637">
        <w:rPr>
          <w:szCs w:val="26"/>
        </w:rPr>
        <w:t xml:space="preserve"> of the Code,</w:t>
      </w:r>
      <w:r w:rsidRPr="003B0637">
        <w:rPr>
          <w:szCs w:val="26"/>
        </w:rPr>
        <w:t xml:space="preserve"> </w:t>
      </w:r>
      <w:r w:rsidR="00916245" w:rsidRPr="003B0637">
        <w:rPr>
          <w:szCs w:val="26"/>
        </w:rPr>
        <w:t>PPL EU</w:t>
      </w:r>
      <w:r w:rsidRPr="003B0637">
        <w:rPr>
          <w:szCs w:val="26"/>
        </w:rPr>
        <w:t xml:space="preserve"> is required to obtain a certificate of public convenience for the </w:t>
      </w:r>
      <w:r w:rsidR="00C96F1E" w:rsidRPr="003B0637">
        <w:rPr>
          <w:szCs w:val="26"/>
        </w:rPr>
        <w:t>Proposed Restructuring</w:t>
      </w:r>
      <w:r w:rsidRPr="003B0637">
        <w:rPr>
          <w:szCs w:val="26"/>
        </w:rPr>
        <w:t xml:space="preserve">.  </w:t>
      </w:r>
      <w:r w:rsidR="0093478F" w:rsidRPr="003B0637">
        <w:rPr>
          <w:szCs w:val="26"/>
        </w:rPr>
        <w:t>To s</w:t>
      </w:r>
      <w:r w:rsidR="006F293A" w:rsidRPr="003B0637">
        <w:rPr>
          <w:szCs w:val="26"/>
        </w:rPr>
        <w:t xml:space="preserve">implify </w:t>
      </w:r>
      <w:r w:rsidR="00916245" w:rsidRPr="003B0637">
        <w:rPr>
          <w:szCs w:val="26"/>
        </w:rPr>
        <w:t>PPL EU</w:t>
      </w:r>
      <w:r w:rsidR="000C0491" w:rsidRPr="003B0637">
        <w:rPr>
          <w:szCs w:val="26"/>
        </w:rPr>
        <w:t>’s position</w:t>
      </w:r>
      <w:r w:rsidR="00FB4B00" w:rsidRPr="003B0637">
        <w:rPr>
          <w:szCs w:val="26"/>
        </w:rPr>
        <w:t xml:space="preserve">, </w:t>
      </w:r>
      <w:r w:rsidR="00916245" w:rsidRPr="003B0637">
        <w:rPr>
          <w:szCs w:val="26"/>
        </w:rPr>
        <w:t>PPL EU</w:t>
      </w:r>
      <w:r w:rsidR="0093478F" w:rsidRPr="003B0637">
        <w:rPr>
          <w:szCs w:val="26"/>
        </w:rPr>
        <w:t xml:space="preserve"> essentially</w:t>
      </w:r>
      <w:r w:rsidR="000C0491" w:rsidRPr="003B0637">
        <w:rPr>
          <w:szCs w:val="26"/>
        </w:rPr>
        <w:t xml:space="preserve"> asks</w:t>
      </w:r>
      <w:r w:rsidR="00FB4B00" w:rsidRPr="003B0637">
        <w:rPr>
          <w:szCs w:val="26"/>
        </w:rPr>
        <w:t xml:space="preserve"> us to conclude that we have</w:t>
      </w:r>
      <w:r w:rsidR="0026408F" w:rsidRPr="003B0637">
        <w:rPr>
          <w:szCs w:val="26"/>
        </w:rPr>
        <w:t xml:space="preserve"> the</w:t>
      </w:r>
      <w:r w:rsidRPr="003B0637">
        <w:rPr>
          <w:szCs w:val="26"/>
        </w:rPr>
        <w:t xml:space="preserve"> authority</w:t>
      </w:r>
      <w:r w:rsidR="00FB4B00" w:rsidRPr="003B0637">
        <w:rPr>
          <w:szCs w:val="26"/>
        </w:rPr>
        <w:t xml:space="preserve"> </w:t>
      </w:r>
      <w:r w:rsidRPr="003B0637">
        <w:rPr>
          <w:szCs w:val="26"/>
        </w:rPr>
        <w:t xml:space="preserve">under Section 1102(a)(3) to </w:t>
      </w:r>
      <w:r w:rsidR="00FB4B00" w:rsidRPr="003B0637">
        <w:rPr>
          <w:szCs w:val="26"/>
        </w:rPr>
        <w:t xml:space="preserve">review the </w:t>
      </w:r>
      <w:r w:rsidR="00C96F1E" w:rsidRPr="003B0637">
        <w:rPr>
          <w:szCs w:val="26"/>
        </w:rPr>
        <w:t>Proposed Restructuring</w:t>
      </w:r>
      <w:r w:rsidR="0026408F" w:rsidRPr="003B0637">
        <w:rPr>
          <w:szCs w:val="26"/>
        </w:rPr>
        <w:t xml:space="preserve"> </w:t>
      </w:r>
      <w:r w:rsidR="002F265B" w:rsidRPr="003B0637">
        <w:rPr>
          <w:szCs w:val="26"/>
        </w:rPr>
        <w:t xml:space="preserve">to determine whether </w:t>
      </w:r>
      <w:r w:rsidR="00BB2C96" w:rsidRPr="003B0637">
        <w:rPr>
          <w:szCs w:val="26"/>
        </w:rPr>
        <w:t>it</w:t>
      </w:r>
      <w:r w:rsidR="009450F8" w:rsidRPr="003B0637">
        <w:rPr>
          <w:szCs w:val="26"/>
        </w:rPr>
        <w:t xml:space="preserve"> will result in a </w:t>
      </w:r>
      <w:r w:rsidR="002F265B" w:rsidRPr="003B0637">
        <w:rPr>
          <w:szCs w:val="26"/>
        </w:rPr>
        <w:t xml:space="preserve">change in </w:t>
      </w:r>
      <w:r w:rsidR="009450F8" w:rsidRPr="003B0637">
        <w:rPr>
          <w:szCs w:val="26"/>
        </w:rPr>
        <w:t xml:space="preserve">ultimate control of the utility </w:t>
      </w:r>
      <w:r w:rsidR="00FB4B00" w:rsidRPr="003B0637">
        <w:rPr>
          <w:szCs w:val="26"/>
        </w:rPr>
        <w:t xml:space="preserve">but no authority to </w:t>
      </w:r>
      <w:r w:rsidR="00D666E4" w:rsidRPr="003B0637">
        <w:rPr>
          <w:szCs w:val="26"/>
        </w:rPr>
        <w:t xml:space="preserve">either issue a certificate of public convenience or </w:t>
      </w:r>
      <w:r w:rsidR="000C0491" w:rsidRPr="003B0637">
        <w:rPr>
          <w:szCs w:val="26"/>
        </w:rPr>
        <w:t>dis</w:t>
      </w:r>
      <w:r w:rsidR="00FB4B00" w:rsidRPr="003B0637">
        <w:rPr>
          <w:szCs w:val="26"/>
        </w:rPr>
        <w:t xml:space="preserve">approve </w:t>
      </w:r>
      <w:r w:rsidR="000C0491" w:rsidRPr="003B0637">
        <w:rPr>
          <w:szCs w:val="26"/>
        </w:rPr>
        <w:t xml:space="preserve">of </w:t>
      </w:r>
      <w:r w:rsidR="00FB4B00" w:rsidRPr="003B0637">
        <w:rPr>
          <w:szCs w:val="26"/>
        </w:rPr>
        <w:t xml:space="preserve">the </w:t>
      </w:r>
      <w:r w:rsidR="00C96F1E" w:rsidRPr="003B0637">
        <w:rPr>
          <w:szCs w:val="26"/>
        </w:rPr>
        <w:t>Proposed Restructuring</w:t>
      </w:r>
      <w:r w:rsidR="00FB4B00" w:rsidRPr="003B0637">
        <w:rPr>
          <w:szCs w:val="26"/>
        </w:rPr>
        <w:t xml:space="preserve"> under Section 1102(a)(3)</w:t>
      </w:r>
      <w:r w:rsidR="002F265B" w:rsidRPr="003B0637">
        <w:rPr>
          <w:szCs w:val="26"/>
        </w:rPr>
        <w:t xml:space="preserve"> of the Code because, according to </w:t>
      </w:r>
      <w:r w:rsidR="00916245" w:rsidRPr="003B0637">
        <w:rPr>
          <w:szCs w:val="26"/>
        </w:rPr>
        <w:t>PPL EU</w:t>
      </w:r>
      <w:r w:rsidR="002F265B" w:rsidRPr="003B0637">
        <w:rPr>
          <w:szCs w:val="26"/>
        </w:rPr>
        <w:t xml:space="preserve">, the </w:t>
      </w:r>
      <w:r w:rsidR="00C96F1E" w:rsidRPr="003B0637">
        <w:rPr>
          <w:szCs w:val="26"/>
        </w:rPr>
        <w:t>Proposed Restructuring</w:t>
      </w:r>
      <w:r w:rsidR="002F265B" w:rsidRPr="003B0637">
        <w:rPr>
          <w:szCs w:val="26"/>
        </w:rPr>
        <w:t xml:space="preserve"> </w:t>
      </w:r>
      <w:r w:rsidR="0093478F" w:rsidRPr="003B0637">
        <w:rPr>
          <w:szCs w:val="26"/>
        </w:rPr>
        <w:t>will</w:t>
      </w:r>
      <w:r w:rsidR="002F265B" w:rsidRPr="003B0637">
        <w:rPr>
          <w:szCs w:val="26"/>
        </w:rPr>
        <w:t xml:space="preserve"> not result in a change in</w:t>
      </w:r>
      <w:r w:rsidR="009450F8" w:rsidRPr="003B0637">
        <w:rPr>
          <w:szCs w:val="26"/>
        </w:rPr>
        <w:t xml:space="preserve"> </w:t>
      </w:r>
      <w:r w:rsidR="006F293A" w:rsidRPr="003B0637">
        <w:rPr>
          <w:szCs w:val="26"/>
        </w:rPr>
        <w:t>“</w:t>
      </w:r>
      <w:r w:rsidR="009450F8" w:rsidRPr="003B0637">
        <w:rPr>
          <w:szCs w:val="26"/>
        </w:rPr>
        <w:t>ultimate</w:t>
      </w:r>
      <w:r w:rsidR="002F265B" w:rsidRPr="003B0637">
        <w:rPr>
          <w:szCs w:val="26"/>
        </w:rPr>
        <w:t xml:space="preserve"> control</w:t>
      </w:r>
      <w:r w:rsidR="006F293A" w:rsidRPr="003B0637">
        <w:rPr>
          <w:szCs w:val="26"/>
        </w:rPr>
        <w:t xml:space="preserve">” of </w:t>
      </w:r>
      <w:r w:rsidR="00564130" w:rsidRPr="003B0637">
        <w:rPr>
          <w:szCs w:val="26"/>
        </w:rPr>
        <w:t>PPL EU</w:t>
      </w:r>
      <w:r w:rsidR="006F293A" w:rsidRPr="003B0637">
        <w:rPr>
          <w:szCs w:val="26"/>
        </w:rPr>
        <w:t xml:space="preserve"> </w:t>
      </w:r>
      <w:r w:rsidRPr="003B0637">
        <w:rPr>
          <w:szCs w:val="26"/>
        </w:rPr>
        <w:t>or</w:t>
      </w:r>
      <w:r w:rsidR="006F293A" w:rsidRPr="003B0637">
        <w:rPr>
          <w:szCs w:val="26"/>
        </w:rPr>
        <w:t xml:space="preserve"> </w:t>
      </w:r>
      <w:r w:rsidR="00443970" w:rsidRPr="003B0637">
        <w:rPr>
          <w:szCs w:val="26"/>
        </w:rPr>
        <w:t xml:space="preserve">otherwise </w:t>
      </w:r>
      <w:r w:rsidR="006F293A" w:rsidRPr="003B0637">
        <w:rPr>
          <w:szCs w:val="26"/>
        </w:rPr>
        <w:t xml:space="preserve">impact the management or operations of </w:t>
      </w:r>
      <w:r w:rsidR="00564130" w:rsidRPr="003B0637">
        <w:rPr>
          <w:szCs w:val="26"/>
        </w:rPr>
        <w:t>PPL EU</w:t>
      </w:r>
      <w:r w:rsidR="002F265B" w:rsidRPr="003B0637">
        <w:rPr>
          <w:szCs w:val="26"/>
        </w:rPr>
        <w:t xml:space="preserve">.  We </w:t>
      </w:r>
      <w:r w:rsidR="000A7632" w:rsidRPr="003B0637">
        <w:rPr>
          <w:szCs w:val="26"/>
        </w:rPr>
        <w:t xml:space="preserve">respectfully </w:t>
      </w:r>
      <w:r w:rsidR="002F265B" w:rsidRPr="003B0637">
        <w:rPr>
          <w:szCs w:val="26"/>
        </w:rPr>
        <w:t xml:space="preserve">disagree with </w:t>
      </w:r>
      <w:r w:rsidR="00916245" w:rsidRPr="003B0637">
        <w:rPr>
          <w:szCs w:val="26"/>
        </w:rPr>
        <w:t>PPL EU</w:t>
      </w:r>
      <w:r w:rsidR="002F265B" w:rsidRPr="003B0637">
        <w:rPr>
          <w:szCs w:val="26"/>
        </w:rPr>
        <w:t xml:space="preserve">’s position </w:t>
      </w:r>
      <w:r w:rsidR="00D865FD">
        <w:rPr>
          <w:szCs w:val="26"/>
        </w:rPr>
        <w:t xml:space="preserve">for the reasons discussed in more detail </w:t>
      </w:r>
      <w:r w:rsidR="002F265B" w:rsidRPr="003B0637">
        <w:rPr>
          <w:szCs w:val="26"/>
        </w:rPr>
        <w:t>below.</w:t>
      </w:r>
    </w:p>
    <w:p w14:paraId="0DC8C111" w14:textId="77777777" w:rsidR="00BB2C96" w:rsidRPr="003B0637" w:rsidRDefault="00BB2C96" w:rsidP="00502FC8">
      <w:pPr>
        <w:rPr>
          <w:color w:val="000000"/>
          <w:szCs w:val="26"/>
        </w:rPr>
      </w:pPr>
    </w:p>
    <w:p w14:paraId="69A36710" w14:textId="77777777" w:rsidR="007019D7" w:rsidRPr="003B0637" w:rsidRDefault="002B2E8C" w:rsidP="00502FC8">
      <w:pPr>
        <w:autoSpaceDE w:val="0"/>
        <w:autoSpaceDN w:val="0"/>
        <w:adjustRightInd w:val="0"/>
        <w:rPr>
          <w:color w:val="000000"/>
          <w:szCs w:val="26"/>
        </w:rPr>
      </w:pPr>
      <w:r w:rsidRPr="003B0637">
        <w:rPr>
          <w:color w:val="000000"/>
          <w:szCs w:val="26"/>
        </w:rPr>
        <w:lastRenderedPageBreak/>
        <w:t>First, w</w:t>
      </w:r>
      <w:r w:rsidR="00A616A2" w:rsidRPr="003B0637">
        <w:rPr>
          <w:szCs w:val="26"/>
        </w:rPr>
        <w:t xml:space="preserve">e agree with </w:t>
      </w:r>
      <w:r w:rsidR="009435F8" w:rsidRPr="003B0637">
        <w:rPr>
          <w:szCs w:val="26"/>
        </w:rPr>
        <w:t xml:space="preserve">the OSBA’s position </w:t>
      </w:r>
      <w:r w:rsidR="003F0DBB" w:rsidRPr="003B0637">
        <w:rPr>
          <w:szCs w:val="26"/>
        </w:rPr>
        <w:t xml:space="preserve">in its Replies to Exceptions </w:t>
      </w:r>
      <w:r w:rsidR="009435F8" w:rsidRPr="003B0637">
        <w:rPr>
          <w:szCs w:val="26"/>
        </w:rPr>
        <w:t xml:space="preserve">that </w:t>
      </w:r>
      <w:r w:rsidR="00D865FD">
        <w:rPr>
          <w:szCs w:val="26"/>
        </w:rPr>
        <w:t xml:space="preserve">the primary focus in our Policy Statement in Section 69.901 of our Regulation and our </w:t>
      </w:r>
      <w:r w:rsidR="00D865FD">
        <w:rPr>
          <w:i/>
          <w:szCs w:val="26"/>
        </w:rPr>
        <w:t xml:space="preserve">Policy Statement Order </w:t>
      </w:r>
      <w:r w:rsidR="009435F8" w:rsidRPr="003B0637">
        <w:rPr>
          <w:szCs w:val="26"/>
        </w:rPr>
        <w:t>i</w:t>
      </w:r>
      <w:r w:rsidR="00A616A2" w:rsidRPr="003B0637">
        <w:rPr>
          <w:szCs w:val="26"/>
        </w:rPr>
        <w:t>s</w:t>
      </w:r>
      <w:r w:rsidR="00D865FD">
        <w:rPr>
          <w:szCs w:val="26"/>
        </w:rPr>
        <w:t xml:space="preserve"> on</w:t>
      </w:r>
      <w:r w:rsidR="00A616A2" w:rsidRPr="003B0637">
        <w:rPr>
          <w:szCs w:val="26"/>
        </w:rPr>
        <w:t xml:space="preserve"> </w:t>
      </w:r>
      <w:r w:rsidR="00A616A2" w:rsidRPr="003B0637">
        <w:rPr>
          <w:i/>
          <w:szCs w:val="26"/>
        </w:rPr>
        <w:t>de facto</w:t>
      </w:r>
      <w:r w:rsidR="00A616A2" w:rsidRPr="003B0637">
        <w:rPr>
          <w:szCs w:val="26"/>
        </w:rPr>
        <w:t xml:space="preserve"> control.  </w:t>
      </w:r>
      <w:r w:rsidR="004F5818" w:rsidRPr="003B0637">
        <w:rPr>
          <w:szCs w:val="26"/>
        </w:rPr>
        <w:t>We previously concluded that i</w:t>
      </w:r>
      <w:r w:rsidR="007019D7" w:rsidRPr="003B0637">
        <w:rPr>
          <w:color w:val="000000"/>
          <w:szCs w:val="26"/>
        </w:rPr>
        <w:t xml:space="preserve">nternal transactions involving corporate reorganizations are subject to </w:t>
      </w:r>
      <w:r w:rsidR="00D865FD">
        <w:rPr>
          <w:color w:val="000000"/>
          <w:szCs w:val="26"/>
        </w:rPr>
        <w:t xml:space="preserve">our </w:t>
      </w:r>
      <w:r w:rsidR="007019D7" w:rsidRPr="003B0637">
        <w:rPr>
          <w:color w:val="000000"/>
          <w:szCs w:val="26"/>
        </w:rPr>
        <w:t xml:space="preserve">review and approval under Section 1102(a)(3) of the Code if the proposed reorganization constitutes a transfer of </w:t>
      </w:r>
      <w:r w:rsidR="007019D7" w:rsidRPr="003B0637">
        <w:rPr>
          <w:i/>
          <w:color w:val="000000"/>
          <w:szCs w:val="26"/>
        </w:rPr>
        <w:t>de facto</w:t>
      </w:r>
      <w:r w:rsidR="004F5818" w:rsidRPr="003B0637">
        <w:rPr>
          <w:color w:val="000000"/>
          <w:szCs w:val="26"/>
        </w:rPr>
        <w:t xml:space="preserve"> control, as defined in Section 69.901.</w:t>
      </w:r>
      <w:r w:rsidR="007019D7" w:rsidRPr="003B0637">
        <w:rPr>
          <w:color w:val="000000"/>
          <w:szCs w:val="26"/>
        </w:rPr>
        <w:t xml:space="preserve">  In the </w:t>
      </w:r>
      <w:r w:rsidR="007019D7" w:rsidRPr="003B0637">
        <w:rPr>
          <w:i/>
          <w:color w:val="000000"/>
          <w:szCs w:val="26"/>
        </w:rPr>
        <w:t>Policy Statement Order</w:t>
      </w:r>
      <w:r w:rsidR="007019D7" w:rsidRPr="003B0637">
        <w:rPr>
          <w:color w:val="000000"/>
          <w:szCs w:val="26"/>
        </w:rPr>
        <w:t>, we stated:</w:t>
      </w:r>
    </w:p>
    <w:p w14:paraId="3CB5D25D" w14:textId="77777777" w:rsidR="007019D7" w:rsidRPr="003B0637" w:rsidRDefault="007019D7" w:rsidP="00502FC8">
      <w:pPr>
        <w:autoSpaceDE w:val="0"/>
        <w:autoSpaceDN w:val="0"/>
        <w:adjustRightInd w:val="0"/>
        <w:ind w:firstLine="0"/>
        <w:rPr>
          <w:color w:val="000000"/>
          <w:szCs w:val="26"/>
        </w:rPr>
      </w:pPr>
    </w:p>
    <w:p w14:paraId="265415CD" w14:textId="77777777" w:rsidR="007019D7" w:rsidRDefault="007019D7" w:rsidP="00CA2401">
      <w:pPr>
        <w:autoSpaceDE w:val="0"/>
        <w:autoSpaceDN w:val="0"/>
        <w:adjustRightInd w:val="0"/>
        <w:spacing w:line="240" w:lineRule="auto"/>
        <w:ind w:left="1440" w:right="1440" w:firstLine="0"/>
        <w:rPr>
          <w:color w:val="000000"/>
          <w:szCs w:val="26"/>
        </w:rPr>
      </w:pPr>
      <w:r w:rsidRPr="003B0637">
        <w:rPr>
          <w:color w:val="000000"/>
          <w:szCs w:val="26"/>
        </w:rPr>
        <w:t>Internal transactions usually involve corporate reorganiza</w:t>
      </w:r>
      <w:r w:rsidR="00D865FD">
        <w:rPr>
          <w:color w:val="000000"/>
          <w:szCs w:val="26"/>
        </w:rPr>
        <w:t>-</w:t>
      </w:r>
      <w:r w:rsidRPr="003B0637">
        <w:rPr>
          <w:color w:val="000000"/>
          <w:szCs w:val="26"/>
        </w:rPr>
        <w:t xml:space="preserve">tions which can have fundamental effect on the management and operations of a utility.  Accordingly, we believe that the legislature intended that those transactions be subject to the regulatory review under Section 1102(a)(3) to the extent they constitute a transfer of </w:t>
      </w:r>
      <w:r w:rsidRPr="00D865FD">
        <w:rPr>
          <w:i/>
          <w:color w:val="000000"/>
          <w:szCs w:val="26"/>
        </w:rPr>
        <w:t>de facto</w:t>
      </w:r>
      <w:r w:rsidRPr="003B0637">
        <w:rPr>
          <w:color w:val="000000"/>
          <w:szCs w:val="26"/>
        </w:rPr>
        <w:t xml:space="preserve"> control as defined by the policy statement heretofore issued.</w:t>
      </w:r>
    </w:p>
    <w:p w14:paraId="02D50F0D" w14:textId="77777777" w:rsidR="00D865FD" w:rsidRDefault="00D865FD" w:rsidP="00D865FD">
      <w:pPr>
        <w:autoSpaceDE w:val="0"/>
        <w:autoSpaceDN w:val="0"/>
        <w:adjustRightInd w:val="0"/>
        <w:spacing w:line="240" w:lineRule="auto"/>
        <w:ind w:left="1440" w:right="1440" w:firstLine="0"/>
        <w:rPr>
          <w:color w:val="000000"/>
          <w:szCs w:val="26"/>
        </w:rPr>
      </w:pPr>
    </w:p>
    <w:p w14:paraId="42AF1454" w14:textId="77777777" w:rsidR="00D865FD" w:rsidRPr="003B0637" w:rsidRDefault="00D865FD" w:rsidP="00D865FD">
      <w:pPr>
        <w:autoSpaceDE w:val="0"/>
        <w:autoSpaceDN w:val="0"/>
        <w:adjustRightInd w:val="0"/>
        <w:spacing w:line="240" w:lineRule="auto"/>
        <w:ind w:left="1440" w:right="1440" w:firstLine="0"/>
        <w:rPr>
          <w:color w:val="000000"/>
          <w:szCs w:val="26"/>
        </w:rPr>
      </w:pPr>
    </w:p>
    <w:p w14:paraId="51ABB39B" w14:textId="77777777" w:rsidR="00D666E4" w:rsidRPr="003B0637" w:rsidRDefault="007019D7" w:rsidP="00502FC8">
      <w:pPr>
        <w:autoSpaceDE w:val="0"/>
        <w:autoSpaceDN w:val="0"/>
        <w:adjustRightInd w:val="0"/>
        <w:ind w:firstLine="0"/>
        <w:rPr>
          <w:color w:val="000000"/>
          <w:szCs w:val="26"/>
        </w:rPr>
      </w:pPr>
      <w:r w:rsidRPr="003B0637">
        <w:rPr>
          <w:i/>
          <w:color w:val="000000"/>
          <w:szCs w:val="26"/>
        </w:rPr>
        <w:t>Policy Statement Order</w:t>
      </w:r>
      <w:r w:rsidRPr="003B0637">
        <w:rPr>
          <w:color w:val="000000"/>
          <w:szCs w:val="26"/>
        </w:rPr>
        <w:t>.</w:t>
      </w:r>
      <w:r w:rsidR="007E6477" w:rsidRPr="003B0637">
        <w:rPr>
          <w:rStyle w:val="FootnoteReference"/>
          <w:color w:val="000000"/>
          <w:szCs w:val="26"/>
        </w:rPr>
        <w:footnoteReference w:id="8"/>
      </w:r>
    </w:p>
    <w:p w14:paraId="43163107" w14:textId="77777777" w:rsidR="00D666E4" w:rsidRPr="003B0637" w:rsidRDefault="00D666E4" w:rsidP="00502FC8">
      <w:pPr>
        <w:autoSpaceDE w:val="0"/>
        <w:autoSpaceDN w:val="0"/>
        <w:adjustRightInd w:val="0"/>
        <w:ind w:firstLine="0"/>
        <w:rPr>
          <w:color w:val="000000"/>
          <w:szCs w:val="26"/>
        </w:rPr>
      </w:pPr>
    </w:p>
    <w:p w14:paraId="4563ACB7" w14:textId="77777777" w:rsidR="00C800E9" w:rsidRPr="003B0637" w:rsidRDefault="006A5877" w:rsidP="00502FC8">
      <w:pPr>
        <w:autoSpaceDE w:val="0"/>
        <w:autoSpaceDN w:val="0"/>
        <w:adjustRightInd w:val="0"/>
        <w:rPr>
          <w:color w:val="000000"/>
          <w:szCs w:val="26"/>
        </w:rPr>
      </w:pPr>
      <w:r>
        <w:rPr>
          <w:color w:val="000000"/>
          <w:szCs w:val="26"/>
        </w:rPr>
        <w:t xml:space="preserve">We concluded in </w:t>
      </w:r>
      <w:r w:rsidR="007019D7" w:rsidRPr="003B0637">
        <w:rPr>
          <w:color w:val="000000"/>
          <w:szCs w:val="26"/>
        </w:rPr>
        <w:t xml:space="preserve">the </w:t>
      </w:r>
      <w:r w:rsidR="007019D7" w:rsidRPr="003B0637">
        <w:rPr>
          <w:i/>
          <w:color w:val="000000"/>
          <w:szCs w:val="26"/>
        </w:rPr>
        <w:t>Policy Statement Order</w:t>
      </w:r>
      <w:r w:rsidR="007019D7" w:rsidRPr="003B0637">
        <w:rPr>
          <w:color w:val="000000"/>
          <w:szCs w:val="26"/>
        </w:rPr>
        <w:t xml:space="preserve"> </w:t>
      </w:r>
      <w:r>
        <w:rPr>
          <w:color w:val="000000"/>
          <w:szCs w:val="26"/>
        </w:rPr>
        <w:t>t</w:t>
      </w:r>
      <w:r w:rsidR="007019D7" w:rsidRPr="003B0637">
        <w:rPr>
          <w:color w:val="000000"/>
          <w:szCs w:val="26"/>
        </w:rPr>
        <w:t>hat</w:t>
      </w:r>
      <w:r w:rsidR="009450F8" w:rsidRPr="003B0637">
        <w:rPr>
          <w:color w:val="000000"/>
          <w:szCs w:val="26"/>
        </w:rPr>
        <w:t xml:space="preserve"> </w:t>
      </w:r>
      <w:r w:rsidRPr="003B0637">
        <w:rPr>
          <w:color w:val="000000"/>
          <w:szCs w:val="26"/>
        </w:rPr>
        <w:t>under Section 1102(a)(3)</w:t>
      </w:r>
      <w:r>
        <w:rPr>
          <w:color w:val="000000"/>
          <w:szCs w:val="26"/>
        </w:rPr>
        <w:t xml:space="preserve"> of the Code,</w:t>
      </w:r>
      <w:r w:rsidRPr="003B0637">
        <w:rPr>
          <w:color w:val="000000"/>
          <w:szCs w:val="26"/>
        </w:rPr>
        <w:t xml:space="preserve"> </w:t>
      </w:r>
      <w:r w:rsidR="009450F8" w:rsidRPr="003B0637">
        <w:rPr>
          <w:color w:val="000000"/>
          <w:szCs w:val="26"/>
        </w:rPr>
        <w:t>the</w:t>
      </w:r>
      <w:r w:rsidR="007019D7" w:rsidRPr="003B0637">
        <w:rPr>
          <w:color w:val="000000"/>
          <w:szCs w:val="26"/>
        </w:rPr>
        <w:t xml:space="preserve"> General Assembly intended </w:t>
      </w:r>
      <w:r w:rsidR="00BB2C96" w:rsidRPr="003B0637">
        <w:rPr>
          <w:color w:val="000000"/>
          <w:szCs w:val="26"/>
        </w:rPr>
        <w:t>to include</w:t>
      </w:r>
      <w:r w:rsidR="00120C29" w:rsidRPr="003B0637">
        <w:rPr>
          <w:color w:val="000000"/>
          <w:szCs w:val="26"/>
        </w:rPr>
        <w:t xml:space="preserve">, </w:t>
      </w:r>
      <w:r w:rsidR="00120C29" w:rsidRPr="003B0637">
        <w:rPr>
          <w:i/>
          <w:color w:val="000000"/>
          <w:szCs w:val="26"/>
        </w:rPr>
        <w:t>inter alia</w:t>
      </w:r>
      <w:r w:rsidR="00120C29" w:rsidRPr="003B0637">
        <w:rPr>
          <w:color w:val="000000"/>
          <w:szCs w:val="26"/>
        </w:rPr>
        <w:t xml:space="preserve">, </w:t>
      </w:r>
      <w:r w:rsidR="0026408F" w:rsidRPr="003B0637">
        <w:rPr>
          <w:color w:val="000000"/>
          <w:szCs w:val="26"/>
        </w:rPr>
        <w:t xml:space="preserve">our </w:t>
      </w:r>
      <w:r w:rsidR="00BB2C96" w:rsidRPr="003B0637">
        <w:rPr>
          <w:color w:val="000000"/>
          <w:szCs w:val="26"/>
        </w:rPr>
        <w:t>authority to review internal transactions that involve corporate reorganizations</w:t>
      </w:r>
      <w:r w:rsidR="00C800E9" w:rsidRPr="003B0637">
        <w:rPr>
          <w:color w:val="000000"/>
          <w:szCs w:val="26"/>
        </w:rPr>
        <w:t xml:space="preserve"> </w:t>
      </w:r>
      <w:r>
        <w:rPr>
          <w:color w:val="000000"/>
          <w:szCs w:val="26"/>
        </w:rPr>
        <w:t>as long as</w:t>
      </w:r>
      <w:r w:rsidR="00C800E9" w:rsidRPr="003B0637">
        <w:rPr>
          <w:color w:val="000000"/>
          <w:szCs w:val="26"/>
        </w:rPr>
        <w:t xml:space="preserve"> </w:t>
      </w:r>
      <w:r w:rsidR="00A616A2" w:rsidRPr="003B0637">
        <w:rPr>
          <w:color w:val="000000"/>
          <w:szCs w:val="26"/>
        </w:rPr>
        <w:t>such transactions</w:t>
      </w:r>
      <w:r w:rsidR="00C800E9" w:rsidRPr="003B0637">
        <w:rPr>
          <w:color w:val="000000"/>
          <w:szCs w:val="26"/>
        </w:rPr>
        <w:t xml:space="preserve"> constitute a transfer of </w:t>
      </w:r>
      <w:r w:rsidR="00C800E9" w:rsidRPr="003B0637">
        <w:rPr>
          <w:i/>
          <w:color w:val="000000"/>
          <w:szCs w:val="26"/>
        </w:rPr>
        <w:t xml:space="preserve">de facto </w:t>
      </w:r>
      <w:r w:rsidR="00C800E9" w:rsidRPr="003B0637">
        <w:rPr>
          <w:color w:val="000000"/>
          <w:szCs w:val="26"/>
        </w:rPr>
        <w:t xml:space="preserve">control </w:t>
      </w:r>
      <w:r w:rsidR="004F5818" w:rsidRPr="003B0637">
        <w:rPr>
          <w:color w:val="000000"/>
          <w:szCs w:val="26"/>
        </w:rPr>
        <w:t>of the utility or its parent</w:t>
      </w:r>
      <w:r w:rsidR="00C800E9" w:rsidRPr="003B0637">
        <w:rPr>
          <w:color w:val="000000"/>
          <w:szCs w:val="26"/>
        </w:rPr>
        <w:t xml:space="preserve">.  </w:t>
      </w:r>
      <w:r w:rsidR="007019D7" w:rsidRPr="003B0637">
        <w:rPr>
          <w:i/>
          <w:color w:val="000000"/>
          <w:szCs w:val="26"/>
        </w:rPr>
        <w:t>Id</w:t>
      </w:r>
      <w:r w:rsidR="004F5818" w:rsidRPr="003B0637">
        <w:rPr>
          <w:i/>
          <w:color w:val="000000"/>
          <w:szCs w:val="26"/>
        </w:rPr>
        <w:t>.</w:t>
      </w:r>
      <w:r w:rsidR="00D11BA8" w:rsidRPr="003B0637">
        <w:rPr>
          <w:szCs w:val="26"/>
        </w:rPr>
        <w:t xml:space="preserve">  </w:t>
      </w:r>
      <w:r w:rsidR="004F5818" w:rsidRPr="003B0637">
        <w:rPr>
          <w:szCs w:val="26"/>
        </w:rPr>
        <w:t>W</w:t>
      </w:r>
      <w:r w:rsidR="00C800E9" w:rsidRPr="003B0637">
        <w:rPr>
          <w:color w:val="000000"/>
          <w:szCs w:val="26"/>
        </w:rPr>
        <w:t xml:space="preserve">e </w:t>
      </w:r>
      <w:r w:rsidR="007019D7" w:rsidRPr="003B0637">
        <w:rPr>
          <w:color w:val="000000"/>
          <w:szCs w:val="26"/>
        </w:rPr>
        <w:t>expressed</w:t>
      </w:r>
      <w:r w:rsidR="00C800E9" w:rsidRPr="003B0637">
        <w:rPr>
          <w:color w:val="000000"/>
          <w:szCs w:val="26"/>
        </w:rPr>
        <w:t xml:space="preserve"> our reason for this</w:t>
      </w:r>
      <w:r w:rsidR="007019D7" w:rsidRPr="003B0637">
        <w:rPr>
          <w:color w:val="000000"/>
          <w:szCs w:val="26"/>
        </w:rPr>
        <w:t xml:space="preserve"> legal</w:t>
      </w:r>
      <w:r w:rsidR="00C800E9" w:rsidRPr="003B0637">
        <w:rPr>
          <w:color w:val="000000"/>
          <w:szCs w:val="26"/>
        </w:rPr>
        <w:t xml:space="preserve"> conclusion</w:t>
      </w:r>
      <w:r>
        <w:rPr>
          <w:color w:val="000000"/>
          <w:szCs w:val="26"/>
        </w:rPr>
        <w:t xml:space="preserve"> </w:t>
      </w:r>
      <w:r w:rsidR="00C800E9" w:rsidRPr="003B0637">
        <w:rPr>
          <w:color w:val="000000"/>
          <w:szCs w:val="26"/>
        </w:rPr>
        <w:t xml:space="preserve">because internal transactions resulting in a change of </w:t>
      </w:r>
      <w:r w:rsidR="00C800E9" w:rsidRPr="003B0637">
        <w:rPr>
          <w:i/>
          <w:color w:val="000000"/>
          <w:szCs w:val="26"/>
        </w:rPr>
        <w:t>de facto</w:t>
      </w:r>
      <w:r w:rsidR="00C800E9" w:rsidRPr="003B0637">
        <w:rPr>
          <w:color w:val="000000"/>
          <w:szCs w:val="26"/>
        </w:rPr>
        <w:t xml:space="preserve"> control</w:t>
      </w:r>
      <w:r w:rsidR="00FA1D29" w:rsidRPr="003B0637">
        <w:rPr>
          <w:color w:val="000000"/>
          <w:szCs w:val="26"/>
        </w:rPr>
        <w:t xml:space="preserve"> of a utility or its parent</w:t>
      </w:r>
      <w:r w:rsidR="00C800E9" w:rsidRPr="003B0637">
        <w:rPr>
          <w:color w:val="000000"/>
          <w:szCs w:val="26"/>
        </w:rPr>
        <w:t xml:space="preserve"> “can have fundamental effect on the management and operations of a utility.”  </w:t>
      </w:r>
      <w:r w:rsidR="004F5818" w:rsidRPr="003B0637">
        <w:rPr>
          <w:i/>
          <w:color w:val="000000"/>
          <w:szCs w:val="26"/>
        </w:rPr>
        <w:t>Id</w:t>
      </w:r>
      <w:r w:rsidR="009450F8" w:rsidRPr="003B0637">
        <w:rPr>
          <w:color w:val="000000"/>
          <w:szCs w:val="26"/>
        </w:rPr>
        <w:t xml:space="preserve">.  </w:t>
      </w:r>
      <w:r w:rsidR="004F5818" w:rsidRPr="003B0637">
        <w:rPr>
          <w:color w:val="000000"/>
          <w:szCs w:val="26"/>
        </w:rPr>
        <w:t>I</w:t>
      </w:r>
      <w:r w:rsidR="00C800E9" w:rsidRPr="003B0637">
        <w:rPr>
          <w:color w:val="000000"/>
          <w:szCs w:val="26"/>
        </w:rPr>
        <w:t xml:space="preserve">n other words, </w:t>
      </w:r>
      <w:r w:rsidR="009450F8" w:rsidRPr="003B0637">
        <w:rPr>
          <w:color w:val="000000"/>
          <w:szCs w:val="26"/>
        </w:rPr>
        <w:t xml:space="preserve">any corporate restructuring resulting in a </w:t>
      </w:r>
      <w:r w:rsidR="009450F8" w:rsidRPr="003B0637">
        <w:rPr>
          <w:color w:val="000000"/>
          <w:szCs w:val="26"/>
        </w:rPr>
        <w:lastRenderedPageBreak/>
        <w:t xml:space="preserve">transfer of </w:t>
      </w:r>
      <w:r w:rsidR="009450F8" w:rsidRPr="003B0637">
        <w:rPr>
          <w:i/>
          <w:color w:val="000000"/>
          <w:szCs w:val="26"/>
        </w:rPr>
        <w:t>de facto</w:t>
      </w:r>
      <w:r w:rsidR="009450F8" w:rsidRPr="003B0637">
        <w:rPr>
          <w:color w:val="000000"/>
          <w:szCs w:val="26"/>
        </w:rPr>
        <w:t xml:space="preserve"> control is subject to our regulatory review</w:t>
      </w:r>
      <w:r w:rsidR="004F5818" w:rsidRPr="003B0637">
        <w:rPr>
          <w:color w:val="000000"/>
          <w:szCs w:val="26"/>
        </w:rPr>
        <w:t xml:space="preserve"> under Section 1102(a)(3) </w:t>
      </w:r>
      <w:r w:rsidR="009450F8" w:rsidRPr="003B0637">
        <w:rPr>
          <w:i/>
          <w:color w:val="000000"/>
          <w:szCs w:val="26"/>
        </w:rPr>
        <w:t>because of the potential</w:t>
      </w:r>
      <w:r w:rsidR="009450F8" w:rsidRPr="003B0637">
        <w:rPr>
          <w:color w:val="000000"/>
          <w:szCs w:val="26"/>
        </w:rPr>
        <w:t xml:space="preserve"> </w:t>
      </w:r>
      <w:r w:rsidR="004F5818" w:rsidRPr="003B0637">
        <w:rPr>
          <w:color w:val="000000"/>
          <w:szCs w:val="26"/>
        </w:rPr>
        <w:t>for such type</w:t>
      </w:r>
      <w:r>
        <w:rPr>
          <w:color w:val="000000"/>
          <w:szCs w:val="26"/>
        </w:rPr>
        <w:t>s</w:t>
      </w:r>
      <w:r w:rsidR="004F5818" w:rsidRPr="003B0637">
        <w:rPr>
          <w:color w:val="000000"/>
          <w:szCs w:val="26"/>
        </w:rPr>
        <w:t xml:space="preserve"> of</w:t>
      </w:r>
      <w:r w:rsidR="004A5E68" w:rsidRPr="003B0637">
        <w:rPr>
          <w:color w:val="000000"/>
          <w:szCs w:val="26"/>
        </w:rPr>
        <w:t xml:space="preserve"> </w:t>
      </w:r>
      <w:r w:rsidR="004F5818" w:rsidRPr="003B0637">
        <w:rPr>
          <w:color w:val="000000"/>
          <w:szCs w:val="26"/>
        </w:rPr>
        <w:t>transactions</w:t>
      </w:r>
      <w:r w:rsidR="009450F8" w:rsidRPr="003B0637">
        <w:rPr>
          <w:color w:val="000000"/>
          <w:szCs w:val="26"/>
        </w:rPr>
        <w:t xml:space="preserve"> to </w:t>
      </w:r>
      <w:r w:rsidR="004F5818" w:rsidRPr="003B0637">
        <w:rPr>
          <w:color w:val="000000"/>
          <w:szCs w:val="26"/>
        </w:rPr>
        <w:t>affec</w:t>
      </w:r>
      <w:r w:rsidR="009450F8" w:rsidRPr="003B0637">
        <w:rPr>
          <w:color w:val="000000"/>
          <w:szCs w:val="26"/>
        </w:rPr>
        <w:t>t the management and operations of a utility.</w:t>
      </w:r>
      <w:r w:rsidR="00C800E9" w:rsidRPr="003B0637">
        <w:rPr>
          <w:color w:val="000000"/>
          <w:szCs w:val="26"/>
        </w:rPr>
        <w:t xml:space="preserve">  </w:t>
      </w:r>
      <w:r w:rsidR="00A616A2" w:rsidRPr="003B0637">
        <w:rPr>
          <w:color w:val="000000"/>
          <w:szCs w:val="26"/>
        </w:rPr>
        <w:t xml:space="preserve">Thus, </w:t>
      </w:r>
      <w:r w:rsidR="00120C29" w:rsidRPr="003B0637">
        <w:rPr>
          <w:color w:val="000000"/>
          <w:szCs w:val="26"/>
        </w:rPr>
        <w:t xml:space="preserve">our authority is not dependent upon </w:t>
      </w:r>
      <w:r w:rsidR="00A616A2" w:rsidRPr="003B0637">
        <w:rPr>
          <w:color w:val="000000"/>
          <w:szCs w:val="26"/>
        </w:rPr>
        <w:t xml:space="preserve">whether the </w:t>
      </w:r>
      <w:r w:rsidR="00AD55BD" w:rsidRPr="003B0637">
        <w:rPr>
          <w:color w:val="000000"/>
          <w:szCs w:val="26"/>
        </w:rPr>
        <w:t>substantial</w:t>
      </w:r>
      <w:r w:rsidR="00A616A2" w:rsidRPr="003B0637">
        <w:rPr>
          <w:color w:val="000000"/>
          <w:szCs w:val="26"/>
        </w:rPr>
        <w:t xml:space="preserve"> </w:t>
      </w:r>
      <w:r w:rsidR="00120C29" w:rsidRPr="003B0637">
        <w:rPr>
          <w:color w:val="000000"/>
          <w:szCs w:val="26"/>
        </w:rPr>
        <w:t xml:space="preserve">record </w:t>
      </w:r>
      <w:r w:rsidR="00A616A2" w:rsidRPr="003B0637">
        <w:rPr>
          <w:color w:val="000000"/>
          <w:szCs w:val="26"/>
        </w:rPr>
        <w:t>evidence demonstrates that the management or operations of a utility will</w:t>
      </w:r>
      <w:r w:rsidR="00D11BA8" w:rsidRPr="003B0637">
        <w:rPr>
          <w:color w:val="000000"/>
          <w:szCs w:val="26"/>
        </w:rPr>
        <w:t xml:space="preserve"> </w:t>
      </w:r>
      <w:r w:rsidR="00A616A2" w:rsidRPr="003B0637">
        <w:rPr>
          <w:color w:val="000000"/>
          <w:szCs w:val="26"/>
        </w:rPr>
        <w:t>be impacted</w:t>
      </w:r>
      <w:r w:rsidR="004F5818" w:rsidRPr="003B0637">
        <w:rPr>
          <w:color w:val="000000"/>
          <w:szCs w:val="26"/>
        </w:rPr>
        <w:t xml:space="preserve"> by such transaction</w:t>
      </w:r>
      <w:r w:rsidR="00120C29" w:rsidRPr="003B0637">
        <w:rPr>
          <w:color w:val="000000"/>
          <w:szCs w:val="26"/>
        </w:rPr>
        <w:t xml:space="preserve">.  </w:t>
      </w:r>
      <w:r w:rsidR="007D01F6">
        <w:rPr>
          <w:color w:val="000000"/>
          <w:szCs w:val="26"/>
        </w:rPr>
        <w:t>A</w:t>
      </w:r>
      <w:r w:rsidR="007019D7" w:rsidRPr="003B0637">
        <w:rPr>
          <w:color w:val="000000"/>
          <w:szCs w:val="26"/>
        </w:rPr>
        <w:t xml:space="preserve"> </w:t>
      </w:r>
      <w:r w:rsidR="00A616A2" w:rsidRPr="003B0637">
        <w:rPr>
          <w:color w:val="000000"/>
          <w:szCs w:val="26"/>
        </w:rPr>
        <w:t xml:space="preserve">corporate reorganization that results in a change of </w:t>
      </w:r>
      <w:r w:rsidR="00A616A2" w:rsidRPr="003B0637">
        <w:rPr>
          <w:i/>
          <w:color w:val="000000"/>
          <w:szCs w:val="26"/>
        </w:rPr>
        <w:t>de facto</w:t>
      </w:r>
      <w:r w:rsidR="00A616A2" w:rsidRPr="003B0637">
        <w:rPr>
          <w:color w:val="000000"/>
          <w:szCs w:val="26"/>
        </w:rPr>
        <w:t xml:space="preserve"> control of the utility or its parent is subject to our jurisdiction for approval under Section 1102(a)(3) of the Code.  </w:t>
      </w:r>
      <w:r w:rsidR="00D666E4" w:rsidRPr="003B0637">
        <w:rPr>
          <w:color w:val="000000"/>
          <w:szCs w:val="26"/>
        </w:rPr>
        <w:t xml:space="preserve">Based on the foregoing, </w:t>
      </w:r>
      <w:r w:rsidR="007D01F6">
        <w:rPr>
          <w:color w:val="000000"/>
          <w:szCs w:val="26"/>
        </w:rPr>
        <w:t xml:space="preserve">we conclude that </w:t>
      </w:r>
      <w:r w:rsidR="00D11BA8" w:rsidRPr="003B0637">
        <w:rPr>
          <w:color w:val="000000"/>
          <w:szCs w:val="26"/>
        </w:rPr>
        <w:t>t</w:t>
      </w:r>
      <w:r w:rsidR="009450F8" w:rsidRPr="003B0637">
        <w:rPr>
          <w:szCs w:val="26"/>
        </w:rPr>
        <w:t xml:space="preserve">he ALJs appropriately evaluated the issue of </w:t>
      </w:r>
      <w:r w:rsidR="009450F8" w:rsidRPr="003B0637">
        <w:rPr>
          <w:i/>
          <w:szCs w:val="26"/>
        </w:rPr>
        <w:t>de facto</w:t>
      </w:r>
      <w:r w:rsidR="009450F8" w:rsidRPr="003B0637">
        <w:rPr>
          <w:szCs w:val="26"/>
        </w:rPr>
        <w:t xml:space="preserve"> control rather than the </w:t>
      </w:r>
      <w:r w:rsidR="006E05F5" w:rsidRPr="003B0637">
        <w:rPr>
          <w:szCs w:val="26"/>
        </w:rPr>
        <w:t>“</w:t>
      </w:r>
      <w:r w:rsidR="009450F8" w:rsidRPr="003B0637">
        <w:rPr>
          <w:szCs w:val="26"/>
        </w:rPr>
        <w:t>ultimate control</w:t>
      </w:r>
      <w:r w:rsidR="006E05F5" w:rsidRPr="003B0637">
        <w:rPr>
          <w:szCs w:val="26"/>
        </w:rPr>
        <w:t>” standard</w:t>
      </w:r>
      <w:r w:rsidR="009450F8" w:rsidRPr="003B0637">
        <w:rPr>
          <w:szCs w:val="26"/>
        </w:rPr>
        <w:t xml:space="preserve"> advocated by </w:t>
      </w:r>
      <w:r w:rsidR="00916245" w:rsidRPr="003B0637">
        <w:rPr>
          <w:szCs w:val="26"/>
        </w:rPr>
        <w:t>PPL EU</w:t>
      </w:r>
      <w:r w:rsidR="007019D7" w:rsidRPr="003B0637">
        <w:rPr>
          <w:szCs w:val="26"/>
        </w:rPr>
        <w:t xml:space="preserve"> in determining the scope of authority under Section 1102(a)(3)</w:t>
      </w:r>
      <w:r w:rsidR="009450F8" w:rsidRPr="003B0637">
        <w:rPr>
          <w:szCs w:val="26"/>
        </w:rPr>
        <w:t xml:space="preserve">.  R.D. at 12-13, 16.  Therefore, we reject </w:t>
      </w:r>
      <w:r w:rsidR="00916245" w:rsidRPr="003B0637">
        <w:rPr>
          <w:szCs w:val="26"/>
        </w:rPr>
        <w:t>PPL EU</w:t>
      </w:r>
      <w:r w:rsidR="009450F8" w:rsidRPr="003B0637">
        <w:rPr>
          <w:szCs w:val="26"/>
        </w:rPr>
        <w:t xml:space="preserve">’s argument that our authority under Section 1102(a)(3) to review the </w:t>
      </w:r>
      <w:r w:rsidR="00C96F1E" w:rsidRPr="003B0637">
        <w:rPr>
          <w:szCs w:val="26"/>
        </w:rPr>
        <w:t>Proposed Restructuring</w:t>
      </w:r>
      <w:r w:rsidR="009450F8" w:rsidRPr="003B0637">
        <w:rPr>
          <w:szCs w:val="26"/>
        </w:rPr>
        <w:t xml:space="preserve"> exists</w:t>
      </w:r>
      <w:r w:rsidR="004F5818" w:rsidRPr="003B0637">
        <w:rPr>
          <w:szCs w:val="26"/>
        </w:rPr>
        <w:t xml:space="preserve"> only</w:t>
      </w:r>
      <w:r w:rsidR="009450F8" w:rsidRPr="003B0637">
        <w:rPr>
          <w:szCs w:val="26"/>
        </w:rPr>
        <w:t xml:space="preserve"> if there is a change in “ultimate control” of the utility or its parent.</w:t>
      </w:r>
    </w:p>
    <w:p w14:paraId="1BE5B3C9" w14:textId="77777777" w:rsidR="00C800E9" w:rsidRPr="003B0637" w:rsidRDefault="00C800E9" w:rsidP="00502FC8">
      <w:pPr>
        <w:autoSpaceDE w:val="0"/>
        <w:autoSpaceDN w:val="0"/>
        <w:adjustRightInd w:val="0"/>
        <w:rPr>
          <w:color w:val="000000"/>
          <w:szCs w:val="26"/>
        </w:rPr>
      </w:pPr>
    </w:p>
    <w:p w14:paraId="562EEE8D" w14:textId="77777777" w:rsidR="00BB2C96" w:rsidRPr="003B0637" w:rsidRDefault="00CF088E" w:rsidP="00502FC8">
      <w:pPr>
        <w:rPr>
          <w:szCs w:val="26"/>
        </w:rPr>
      </w:pPr>
      <w:r w:rsidRPr="003B0637">
        <w:rPr>
          <w:color w:val="000000"/>
          <w:szCs w:val="26"/>
        </w:rPr>
        <w:t>Next</w:t>
      </w:r>
      <w:r w:rsidR="009450F8" w:rsidRPr="003B0637">
        <w:rPr>
          <w:color w:val="000000"/>
          <w:szCs w:val="26"/>
        </w:rPr>
        <w:t xml:space="preserve">, based on our review of the </w:t>
      </w:r>
      <w:r w:rsidR="007D01F6">
        <w:rPr>
          <w:color w:val="000000"/>
          <w:szCs w:val="26"/>
        </w:rPr>
        <w:t xml:space="preserve">Application and the related </w:t>
      </w:r>
      <w:r w:rsidR="009450F8" w:rsidRPr="003B0637">
        <w:rPr>
          <w:color w:val="000000"/>
          <w:szCs w:val="26"/>
        </w:rPr>
        <w:t>record</w:t>
      </w:r>
      <w:r w:rsidR="007D01F6">
        <w:rPr>
          <w:color w:val="000000"/>
          <w:szCs w:val="26"/>
        </w:rPr>
        <w:t xml:space="preserve"> in this proceeding</w:t>
      </w:r>
      <w:r w:rsidR="009450F8" w:rsidRPr="003B0637">
        <w:rPr>
          <w:color w:val="000000"/>
          <w:szCs w:val="26"/>
        </w:rPr>
        <w:t xml:space="preserve">, </w:t>
      </w:r>
      <w:r w:rsidR="009435F8" w:rsidRPr="003B0637">
        <w:rPr>
          <w:color w:val="000000"/>
          <w:szCs w:val="26"/>
        </w:rPr>
        <w:t xml:space="preserve">we agree with the ALJs that </w:t>
      </w:r>
      <w:r w:rsidR="00AB6A9B" w:rsidRPr="003B0637">
        <w:rPr>
          <w:color w:val="000000"/>
          <w:szCs w:val="26"/>
        </w:rPr>
        <w:t>the</w:t>
      </w:r>
      <w:r w:rsidR="009450F8" w:rsidRPr="003B0637">
        <w:rPr>
          <w:color w:val="000000"/>
          <w:szCs w:val="26"/>
        </w:rPr>
        <w:t xml:space="preserve"> series of transactions described in the Application will result in a change of </w:t>
      </w:r>
      <w:r w:rsidR="009450F8" w:rsidRPr="003B0637">
        <w:rPr>
          <w:i/>
          <w:color w:val="000000"/>
          <w:szCs w:val="26"/>
        </w:rPr>
        <w:t>de facto</w:t>
      </w:r>
      <w:r w:rsidR="009450F8" w:rsidRPr="003B0637">
        <w:rPr>
          <w:color w:val="000000"/>
          <w:szCs w:val="26"/>
        </w:rPr>
        <w:t xml:space="preserve"> control of</w:t>
      </w:r>
      <w:r w:rsidR="00112F14" w:rsidRPr="003B0637">
        <w:rPr>
          <w:color w:val="000000"/>
          <w:szCs w:val="26"/>
        </w:rPr>
        <w:t xml:space="preserve"> </w:t>
      </w:r>
      <w:r w:rsidR="00564130" w:rsidRPr="003B0637">
        <w:rPr>
          <w:color w:val="000000"/>
          <w:szCs w:val="26"/>
        </w:rPr>
        <w:t>PPL EU</w:t>
      </w:r>
      <w:r w:rsidR="009435F8" w:rsidRPr="003B0637">
        <w:rPr>
          <w:color w:val="000000"/>
          <w:szCs w:val="26"/>
        </w:rPr>
        <w:t xml:space="preserve">.  </w:t>
      </w:r>
      <w:r w:rsidR="007D01F6">
        <w:rPr>
          <w:color w:val="000000"/>
          <w:szCs w:val="26"/>
        </w:rPr>
        <w:t xml:space="preserve">In our Policy Statement in </w:t>
      </w:r>
      <w:r w:rsidR="009435F8" w:rsidRPr="003B0637">
        <w:rPr>
          <w:color w:val="000000"/>
          <w:szCs w:val="26"/>
        </w:rPr>
        <w:t>Section 69.901</w:t>
      </w:r>
      <w:r w:rsidR="007D01F6">
        <w:rPr>
          <w:color w:val="000000"/>
          <w:szCs w:val="26"/>
        </w:rPr>
        <w:t xml:space="preserve"> of our Regulations</w:t>
      </w:r>
      <w:r w:rsidR="004A5E68" w:rsidRPr="003B0637">
        <w:rPr>
          <w:color w:val="000000"/>
          <w:szCs w:val="26"/>
        </w:rPr>
        <w:t xml:space="preserve">, </w:t>
      </w:r>
      <w:r w:rsidR="00C800E9" w:rsidRPr="003B0637">
        <w:rPr>
          <w:color w:val="000000"/>
          <w:szCs w:val="26"/>
        </w:rPr>
        <w:t xml:space="preserve">a change in </w:t>
      </w:r>
      <w:r w:rsidR="00C800E9" w:rsidRPr="003B0637">
        <w:rPr>
          <w:i/>
          <w:color w:val="000000"/>
          <w:szCs w:val="26"/>
        </w:rPr>
        <w:t>de facto</w:t>
      </w:r>
      <w:r w:rsidR="00C800E9" w:rsidRPr="003B0637">
        <w:rPr>
          <w:color w:val="000000"/>
          <w:szCs w:val="26"/>
        </w:rPr>
        <w:t xml:space="preserve"> control</w:t>
      </w:r>
      <w:r w:rsidR="00112F14" w:rsidRPr="003B0637">
        <w:rPr>
          <w:color w:val="000000"/>
          <w:szCs w:val="26"/>
        </w:rPr>
        <w:t xml:space="preserve"> is defined</w:t>
      </w:r>
      <w:r w:rsidR="00C800E9" w:rsidRPr="003B0637">
        <w:rPr>
          <w:color w:val="000000"/>
          <w:szCs w:val="26"/>
        </w:rPr>
        <w:t xml:space="preserve"> as including</w:t>
      </w:r>
      <w:r w:rsidR="009450F8" w:rsidRPr="003B0637">
        <w:rPr>
          <w:color w:val="000000"/>
          <w:szCs w:val="26"/>
        </w:rPr>
        <w:t xml:space="preserve">, </w:t>
      </w:r>
      <w:r w:rsidR="009450F8" w:rsidRPr="003B0637">
        <w:rPr>
          <w:i/>
          <w:color w:val="000000"/>
          <w:szCs w:val="26"/>
        </w:rPr>
        <w:t>inter alia</w:t>
      </w:r>
      <w:r w:rsidR="009450F8" w:rsidRPr="003B0637">
        <w:rPr>
          <w:color w:val="000000"/>
          <w:szCs w:val="26"/>
        </w:rPr>
        <w:t>,</w:t>
      </w:r>
      <w:r w:rsidR="00C800E9" w:rsidRPr="003B0637">
        <w:rPr>
          <w:color w:val="000000"/>
          <w:szCs w:val="26"/>
        </w:rPr>
        <w:t xml:space="preserve"> a series of transactions resulting in a different entity becoming the beneficial holder of the largest voting interest (20% or more) in the utility, regardless of the tier.  </w:t>
      </w:r>
      <w:r w:rsidR="009450F8" w:rsidRPr="003B0637">
        <w:rPr>
          <w:color w:val="000000"/>
          <w:szCs w:val="26"/>
        </w:rPr>
        <w:t>52 Pa. Code § 69.901(b)(1)-(2).</w:t>
      </w:r>
      <w:r w:rsidR="004A5E68" w:rsidRPr="003B0637">
        <w:rPr>
          <w:color w:val="000000"/>
          <w:szCs w:val="26"/>
        </w:rPr>
        <w:t xml:space="preserve">  </w:t>
      </w:r>
      <w:r w:rsidR="00FA1D29" w:rsidRPr="003B0637">
        <w:rPr>
          <w:color w:val="000000"/>
          <w:szCs w:val="26"/>
        </w:rPr>
        <w:t xml:space="preserve">As the ALJs correctly </w:t>
      </w:r>
      <w:r w:rsidR="00B0527E" w:rsidRPr="003B0637">
        <w:rPr>
          <w:color w:val="000000"/>
          <w:szCs w:val="26"/>
        </w:rPr>
        <w:t>noted</w:t>
      </w:r>
      <w:r w:rsidR="00FA1D29" w:rsidRPr="003B0637">
        <w:rPr>
          <w:color w:val="000000"/>
          <w:szCs w:val="26"/>
        </w:rPr>
        <w:t xml:space="preserve">, </w:t>
      </w:r>
      <w:r w:rsidR="00FA1D29" w:rsidRPr="003B0637">
        <w:rPr>
          <w:szCs w:val="26"/>
        </w:rPr>
        <w:t>the combination of the first and second transactio</w:t>
      </w:r>
      <w:r w:rsidR="00B0527E" w:rsidRPr="003B0637">
        <w:rPr>
          <w:szCs w:val="26"/>
        </w:rPr>
        <w:t xml:space="preserve">ns described in the Application – </w:t>
      </w:r>
      <w:r w:rsidR="0026408F" w:rsidRPr="003B0637">
        <w:rPr>
          <w:szCs w:val="26"/>
        </w:rPr>
        <w:t>first,</w:t>
      </w:r>
      <w:r w:rsidR="006E05F5" w:rsidRPr="003B0637">
        <w:rPr>
          <w:szCs w:val="26"/>
        </w:rPr>
        <w:t xml:space="preserve"> </w:t>
      </w:r>
      <w:r w:rsidR="00FA1D29" w:rsidRPr="003B0637">
        <w:rPr>
          <w:szCs w:val="26"/>
        </w:rPr>
        <w:t xml:space="preserve">PPL Corporation’s contribution of all its interests in </w:t>
      </w:r>
      <w:r w:rsidR="00564130" w:rsidRPr="003B0637">
        <w:rPr>
          <w:szCs w:val="26"/>
        </w:rPr>
        <w:t>PPL EU</w:t>
      </w:r>
      <w:r w:rsidR="00FA1D29" w:rsidRPr="003B0637">
        <w:rPr>
          <w:szCs w:val="26"/>
        </w:rPr>
        <w:t xml:space="preserve"> to Newco 1</w:t>
      </w:r>
      <w:r w:rsidR="0026408F" w:rsidRPr="003B0637">
        <w:rPr>
          <w:szCs w:val="26"/>
        </w:rPr>
        <w:t>, and second,</w:t>
      </w:r>
      <w:r w:rsidR="00FA1D29" w:rsidRPr="003B0637">
        <w:rPr>
          <w:szCs w:val="26"/>
        </w:rPr>
        <w:t xml:space="preserve"> Newco</w:t>
      </w:r>
      <w:r w:rsidR="00916245" w:rsidRPr="003B0637">
        <w:rPr>
          <w:szCs w:val="26"/>
        </w:rPr>
        <w:t> </w:t>
      </w:r>
      <w:r w:rsidR="00FA1D29" w:rsidRPr="003B0637">
        <w:rPr>
          <w:szCs w:val="26"/>
        </w:rPr>
        <w:t xml:space="preserve">1’s </w:t>
      </w:r>
      <w:r w:rsidR="003E0BEC" w:rsidRPr="003B0637">
        <w:rPr>
          <w:szCs w:val="26"/>
        </w:rPr>
        <w:t xml:space="preserve">immediate </w:t>
      </w:r>
      <w:r w:rsidR="00FA1D29" w:rsidRPr="003B0637">
        <w:rPr>
          <w:szCs w:val="26"/>
        </w:rPr>
        <w:t>contribution of all of the interests it receives from PPL Corporation to Newco 2</w:t>
      </w:r>
      <w:r w:rsidR="00B0527E" w:rsidRPr="003B0637">
        <w:rPr>
          <w:szCs w:val="26"/>
        </w:rPr>
        <w:t xml:space="preserve"> – constitute</w:t>
      </w:r>
      <w:r w:rsidR="007D01F6">
        <w:rPr>
          <w:szCs w:val="26"/>
        </w:rPr>
        <w:t>s</w:t>
      </w:r>
      <w:r w:rsidR="00FA1D29" w:rsidRPr="003B0637">
        <w:rPr>
          <w:szCs w:val="26"/>
        </w:rPr>
        <w:t xml:space="preserve"> a series of transactions resulting in a new controlling interest of </w:t>
      </w:r>
      <w:r w:rsidR="00564130" w:rsidRPr="003B0637">
        <w:rPr>
          <w:szCs w:val="26"/>
        </w:rPr>
        <w:t>PPL EU</w:t>
      </w:r>
      <w:r w:rsidR="00B0527E" w:rsidRPr="003B0637">
        <w:rPr>
          <w:szCs w:val="26"/>
        </w:rPr>
        <w:t>.  The transfer of control occurs</w:t>
      </w:r>
      <w:r w:rsidR="00FA1D29" w:rsidRPr="003B0637">
        <w:rPr>
          <w:szCs w:val="26"/>
        </w:rPr>
        <w:t xml:space="preserve"> </w:t>
      </w:r>
      <w:r w:rsidR="00B0527E" w:rsidRPr="003B0637">
        <w:rPr>
          <w:szCs w:val="26"/>
        </w:rPr>
        <w:t xml:space="preserve">within the PPL Group at </w:t>
      </w:r>
      <w:r w:rsidR="006E05F5" w:rsidRPr="003B0637">
        <w:rPr>
          <w:szCs w:val="26"/>
        </w:rPr>
        <w:t xml:space="preserve">a </w:t>
      </w:r>
      <w:r w:rsidR="00B0527E" w:rsidRPr="003B0637">
        <w:rPr>
          <w:szCs w:val="26"/>
        </w:rPr>
        <w:t xml:space="preserve">new tier created in between PPL Corporation and </w:t>
      </w:r>
      <w:r w:rsidR="00564130" w:rsidRPr="003B0637">
        <w:rPr>
          <w:szCs w:val="26"/>
        </w:rPr>
        <w:t>PPL EU</w:t>
      </w:r>
      <w:r w:rsidR="00B0527E" w:rsidRPr="003B0637">
        <w:rPr>
          <w:szCs w:val="26"/>
        </w:rPr>
        <w:t xml:space="preserve">.  An </w:t>
      </w:r>
      <w:r w:rsidR="00FA1D29" w:rsidRPr="003B0637">
        <w:rPr>
          <w:szCs w:val="26"/>
        </w:rPr>
        <w:t>entity</w:t>
      </w:r>
      <w:r w:rsidR="00B0527E" w:rsidRPr="003B0637">
        <w:rPr>
          <w:szCs w:val="26"/>
        </w:rPr>
        <w:t xml:space="preserve"> different from PPL Corporation</w:t>
      </w:r>
      <w:r w:rsidR="00FA1D29" w:rsidRPr="003B0637">
        <w:rPr>
          <w:szCs w:val="26"/>
        </w:rPr>
        <w:t>, Newco 2</w:t>
      </w:r>
      <w:r w:rsidR="00B0527E" w:rsidRPr="003B0637">
        <w:rPr>
          <w:szCs w:val="26"/>
        </w:rPr>
        <w:t xml:space="preserve"> or PPL Energy Holdings, LLC</w:t>
      </w:r>
      <w:r w:rsidR="00FA1D29" w:rsidRPr="003B0637">
        <w:rPr>
          <w:szCs w:val="26"/>
        </w:rPr>
        <w:t>,</w:t>
      </w:r>
      <w:r w:rsidR="00B0527E" w:rsidRPr="003B0637">
        <w:rPr>
          <w:szCs w:val="26"/>
        </w:rPr>
        <w:t xml:space="preserve"> will</w:t>
      </w:r>
      <w:r w:rsidR="00FA1D29" w:rsidRPr="003B0637">
        <w:rPr>
          <w:szCs w:val="26"/>
        </w:rPr>
        <w:t xml:space="preserve"> becom</w:t>
      </w:r>
      <w:r w:rsidR="00B0527E" w:rsidRPr="003B0637">
        <w:rPr>
          <w:szCs w:val="26"/>
        </w:rPr>
        <w:t>e</w:t>
      </w:r>
      <w:r w:rsidR="00FA1D29" w:rsidRPr="003B0637">
        <w:rPr>
          <w:szCs w:val="26"/>
        </w:rPr>
        <w:t xml:space="preserve"> the beneficial holder of </w:t>
      </w:r>
      <w:r w:rsidR="00B0527E" w:rsidRPr="003B0637">
        <w:rPr>
          <w:szCs w:val="26"/>
        </w:rPr>
        <w:t>all the</w:t>
      </w:r>
      <w:r w:rsidR="00FA1D29" w:rsidRPr="003B0637">
        <w:rPr>
          <w:szCs w:val="26"/>
        </w:rPr>
        <w:t xml:space="preserve"> voting interest in </w:t>
      </w:r>
      <w:r w:rsidR="00564130" w:rsidRPr="003B0637">
        <w:rPr>
          <w:szCs w:val="26"/>
        </w:rPr>
        <w:t>PPL EU</w:t>
      </w:r>
      <w:r w:rsidR="006E05F5" w:rsidRPr="003B0637">
        <w:rPr>
          <w:szCs w:val="26"/>
        </w:rPr>
        <w:t>.  I</w:t>
      </w:r>
      <w:r w:rsidR="00B0527E" w:rsidRPr="003B0637">
        <w:rPr>
          <w:szCs w:val="26"/>
        </w:rPr>
        <w:t>n turn,</w:t>
      </w:r>
      <w:r w:rsidR="006E05F5" w:rsidRPr="003B0637">
        <w:rPr>
          <w:szCs w:val="26"/>
        </w:rPr>
        <w:t xml:space="preserve"> Newco 2</w:t>
      </w:r>
      <w:r w:rsidR="00B0527E" w:rsidRPr="003B0637">
        <w:rPr>
          <w:szCs w:val="26"/>
        </w:rPr>
        <w:t xml:space="preserve"> will be wholly owned by Newco 1, or PPL Subsidiary Holdings, LLC, which, in turn, will be wholly owned by PPL Corporation.  </w:t>
      </w:r>
      <w:r w:rsidR="002B2E8C" w:rsidRPr="003B0637">
        <w:rPr>
          <w:szCs w:val="26"/>
        </w:rPr>
        <w:lastRenderedPageBreak/>
        <w:t>A</w:t>
      </w:r>
      <w:r w:rsidR="00B0527E" w:rsidRPr="003B0637">
        <w:rPr>
          <w:szCs w:val="26"/>
        </w:rPr>
        <w:t xml:space="preserve">fter the </w:t>
      </w:r>
      <w:r w:rsidR="00C96F1E" w:rsidRPr="003B0637">
        <w:rPr>
          <w:szCs w:val="26"/>
        </w:rPr>
        <w:t>Proposed Restructuring</w:t>
      </w:r>
      <w:r w:rsidR="00B0527E" w:rsidRPr="003B0637">
        <w:rPr>
          <w:szCs w:val="26"/>
        </w:rPr>
        <w:t>, the direct beneficial holder of</w:t>
      </w:r>
      <w:r w:rsidR="003F0DBB" w:rsidRPr="003B0637">
        <w:rPr>
          <w:szCs w:val="26"/>
        </w:rPr>
        <w:t xml:space="preserve"> all interests in</w:t>
      </w:r>
      <w:r w:rsidR="00B0527E" w:rsidRPr="003B0637">
        <w:rPr>
          <w:szCs w:val="26"/>
        </w:rPr>
        <w:t xml:space="preserve"> </w:t>
      </w:r>
      <w:r w:rsidR="00564130" w:rsidRPr="003B0637">
        <w:rPr>
          <w:szCs w:val="26"/>
        </w:rPr>
        <w:t>PPL EU</w:t>
      </w:r>
      <w:r w:rsidR="00B0527E" w:rsidRPr="003B0637">
        <w:rPr>
          <w:szCs w:val="26"/>
        </w:rPr>
        <w:t xml:space="preserve"> will no longer be PPL Corporation and </w:t>
      </w:r>
      <w:r w:rsidR="006E05F5" w:rsidRPr="003B0637">
        <w:rPr>
          <w:szCs w:val="26"/>
        </w:rPr>
        <w:t xml:space="preserve">two </w:t>
      </w:r>
      <w:r w:rsidR="00B0527E" w:rsidRPr="003B0637">
        <w:rPr>
          <w:szCs w:val="26"/>
        </w:rPr>
        <w:t xml:space="preserve">new layers of ownership and control between </w:t>
      </w:r>
      <w:r w:rsidR="00564130" w:rsidRPr="003B0637">
        <w:rPr>
          <w:szCs w:val="26"/>
        </w:rPr>
        <w:t>PPL EU</w:t>
      </w:r>
      <w:r w:rsidR="00B0527E" w:rsidRPr="003B0637">
        <w:rPr>
          <w:szCs w:val="26"/>
        </w:rPr>
        <w:t xml:space="preserve"> and PPL Corporation will exist that did not exist prior to the </w:t>
      </w:r>
      <w:r w:rsidR="00C96F1E" w:rsidRPr="003B0637">
        <w:rPr>
          <w:szCs w:val="26"/>
        </w:rPr>
        <w:t>Proposed Restructuring</w:t>
      </w:r>
      <w:r w:rsidR="00B0527E" w:rsidRPr="003B0637">
        <w:rPr>
          <w:szCs w:val="26"/>
        </w:rPr>
        <w:t xml:space="preserve">.  Thus, we agree with the ALJs that </w:t>
      </w:r>
      <w:r w:rsidR="00B1572C" w:rsidRPr="003B0637">
        <w:rPr>
          <w:szCs w:val="26"/>
        </w:rPr>
        <w:t xml:space="preserve">the </w:t>
      </w:r>
      <w:r w:rsidR="00C96F1E" w:rsidRPr="003B0637">
        <w:rPr>
          <w:szCs w:val="26"/>
        </w:rPr>
        <w:t>Proposed Restructuring</w:t>
      </w:r>
      <w:r w:rsidR="00B0527E" w:rsidRPr="003B0637">
        <w:rPr>
          <w:color w:val="000000"/>
          <w:szCs w:val="26"/>
        </w:rPr>
        <w:t xml:space="preserve"> will result in a change of </w:t>
      </w:r>
      <w:r w:rsidR="00B0527E" w:rsidRPr="003B0637">
        <w:rPr>
          <w:i/>
          <w:color w:val="000000"/>
          <w:szCs w:val="26"/>
        </w:rPr>
        <w:t>de facto</w:t>
      </w:r>
      <w:r w:rsidR="00B1572C" w:rsidRPr="003B0637">
        <w:rPr>
          <w:color w:val="000000"/>
          <w:szCs w:val="26"/>
        </w:rPr>
        <w:t xml:space="preserve"> control of </w:t>
      </w:r>
      <w:r w:rsidR="00564130" w:rsidRPr="003B0637">
        <w:rPr>
          <w:color w:val="000000"/>
          <w:szCs w:val="26"/>
        </w:rPr>
        <w:t>PPL EU</w:t>
      </w:r>
      <w:r w:rsidR="00B1572C" w:rsidRPr="003B0637">
        <w:rPr>
          <w:color w:val="000000"/>
          <w:szCs w:val="26"/>
        </w:rPr>
        <w:t>.  T</w:t>
      </w:r>
      <w:r w:rsidR="00B0527E" w:rsidRPr="003B0637">
        <w:rPr>
          <w:color w:val="000000"/>
          <w:szCs w:val="26"/>
        </w:rPr>
        <w:t xml:space="preserve">herefore, the </w:t>
      </w:r>
      <w:r w:rsidR="00C96F1E" w:rsidRPr="003B0637">
        <w:rPr>
          <w:color w:val="000000"/>
          <w:szCs w:val="26"/>
        </w:rPr>
        <w:t>Proposed Restructuring</w:t>
      </w:r>
      <w:r w:rsidR="00B0527E" w:rsidRPr="003B0637">
        <w:rPr>
          <w:color w:val="000000"/>
          <w:szCs w:val="26"/>
        </w:rPr>
        <w:t xml:space="preserve"> is subject to our review and approval pursuant to</w:t>
      </w:r>
      <w:r w:rsidR="00B0527E" w:rsidRPr="003B0637">
        <w:rPr>
          <w:szCs w:val="26"/>
        </w:rPr>
        <w:t xml:space="preserve"> </w:t>
      </w:r>
      <w:r w:rsidR="000A7632" w:rsidRPr="003B0637">
        <w:rPr>
          <w:szCs w:val="26"/>
        </w:rPr>
        <w:t xml:space="preserve">Section </w:t>
      </w:r>
      <w:r w:rsidR="00B0527E" w:rsidRPr="003B0637">
        <w:rPr>
          <w:szCs w:val="26"/>
        </w:rPr>
        <w:t>1102(a)(3) of the Code.</w:t>
      </w:r>
      <w:r w:rsidR="00B1572C" w:rsidRPr="003B0637">
        <w:rPr>
          <w:szCs w:val="26"/>
        </w:rPr>
        <w:t xml:space="preserve">  </w:t>
      </w:r>
      <w:r w:rsidR="006E05F5" w:rsidRPr="003B0637">
        <w:rPr>
          <w:color w:val="000000"/>
          <w:szCs w:val="26"/>
        </w:rPr>
        <w:t xml:space="preserve">Accordingly, </w:t>
      </w:r>
      <w:r w:rsidR="003E0BEC" w:rsidRPr="003B0637">
        <w:rPr>
          <w:color w:val="000000"/>
          <w:szCs w:val="26"/>
        </w:rPr>
        <w:t xml:space="preserve">we agree with the ALJs’ conclusion that </w:t>
      </w:r>
      <w:r w:rsidR="00564130" w:rsidRPr="003B0637">
        <w:rPr>
          <w:color w:val="000000"/>
          <w:szCs w:val="26"/>
        </w:rPr>
        <w:t>PPL EU</w:t>
      </w:r>
      <w:r w:rsidR="006E05F5" w:rsidRPr="003B0637">
        <w:rPr>
          <w:color w:val="000000"/>
          <w:szCs w:val="26"/>
        </w:rPr>
        <w:t xml:space="preserve"> is required to </w:t>
      </w:r>
      <w:r w:rsidR="00B1572C" w:rsidRPr="003B0637">
        <w:rPr>
          <w:color w:val="000000"/>
          <w:szCs w:val="26"/>
        </w:rPr>
        <w:t xml:space="preserve">first </w:t>
      </w:r>
      <w:r w:rsidR="006E05F5" w:rsidRPr="003B0637">
        <w:rPr>
          <w:szCs w:val="26"/>
        </w:rPr>
        <w:t>obtain a certificate of public convenience</w:t>
      </w:r>
      <w:r w:rsidR="00B1572C" w:rsidRPr="003B0637">
        <w:rPr>
          <w:szCs w:val="26"/>
        </w:rPr>
        <w:t xml:space="preserve"> pursuant to Section 1102(a)(3) </w:t>
      </w:r>
      <w:r w:rsidR="006E05F5" w:rsidRPr="003B0637">
        <w:rPr>
          <w:szCs w:val="26"/>
        </w:rPr>
        <w:t xml:space="preserve">before the </w:t>
      </w:r>
      <w:r w:rsidR="00C96F1E" w:rsidRPr="003B0637">
        <w:rPr>
          <w:szCs w:val="26"/>
        </w:rPr>
        <w:t>Proposed Restructuring</w:t>
      </w:r>
      <w:r w:rsidR="006E05F5" w:rsidRPr="003B0637">
        <w:rPr>
          <w:szCs w:val="26"/>
        </w:rPr>
        <w:t xml:space="preserve"> may </w:t>
      </w:r>
      <w:r w:rsidR="002B2E8C" w:rsidRPr="003B0637">
        <w:rPr>
          <w:szCs w:val="26"/>
        </w:rPr>
        <w:t>be effectuated</w:t>
      </w:r>
      <w:r w:rsidR="006E05F5" w:rsidRPr="003B0637">
        <w:rPr>
          <w:szCs w:val="26"/>
        </w:rPr>
        <w:t>.</w:t>
      </w:r>
    </w:p>
    <w:p w14:paraId="61826A77" w14:textId="77777777" w:rsidR="00DF79EC" w:rsidRPr="003B0637" w:rsidRDefault="00DF79EC" w:rsidP="00502FC8">
      <w:pPr>
        <w:rPr>
          <w:szCs w:val="26"/>
        </w:rPr>
      </w:pPr>
    </w:p>
    <w:p w14:paraId="633B4FDD" w14:textId="77777777" w:rsidR="00DF79EC" w:rsidRPr="003B0637" w:rsidRDefault="00DF79EC" w:rsidP="00502FC8">
      <w:pPr>
        <w:rPr>
          <w:szCs w:val="26"/>
        </w:rPr>
      </w:pPr>
      <w:r w:rsidRPr="003B0637">
        <w:rPr>
          <w:szCs w:val="26"/>
        </w:rPr>
        <w:t xml:space="preserve">Furthermore, we </w:t>
      </w:r>
      <w:r w:rsidR="0093478F" w:rsidRPr="003B0637">
        <w:rPr>
          <w:szCs w:val="26"/>
        </w:rPr>
        <w:t>note</w:t>
      </w:r>
      <w:r w:rsidR="0017100E" w:rsidRPr="003B0637">
        <w:rPr>
          <w:szCs w:val="26"/>
        </w:rPr>
        <w:t>,</w:t>
      </w:r>
      <w:r w:rsidR="0093478F" w:rsidRPr="003B0637">
        <w:rPr>
          <w:szCs w:val="26"/>
        </w:rPr>
        <w:t xml:space="preserve"> </w:t>
      </w:r>
      <w:r w:rsidR="007D01F6">
        <w:rPr>
          <w:szCs w:val="26"/>
        </w:rPr>
        <w:t xml:space="preserve">albeit </w:t>
      </w:r>
      <w:r w:rsidR="0017100E" w:rsidRPr="003B0637">
        <w:rPr>
          <w:szCs w:val="26"/>
        </w:rPr>
        <w:t xml:space="preserve">for </w:t>
      </w:r>
      <w:r w:rsidR="00812C48">
        <w:rPr>
          <w:szCs w:val="26"/>
        </w:rPr>
        <w:t xml:space="preserve">a </w:t>
      </w:r>
      <w:r w:rsidR="0017100E" w:rsidRPr="003B0637">
        <w:rPr>
          <w:szCs w:val="26"/>
        </w:rPr>
        <w:t xml:space="preserve">different reason, our agreement with </w:t>
      </w:r>
      <w:r w:rsidRPr="003B0637">
        <w:rPr>
          <w:szCs w:val="26"/>
        </w:rPr>
        <w:t>the ALJs</w:t>
      </w:r>
      <w:r w:rsidR="0057304B" w:rsidRPr="003B0637">
        <w:rPr>
          <w:szCs w:val="26"/>
        </w:rPr>
        <w:t xml:space="preserve"> </w:t>
      </w:r>
      <w:r w:rsidRPr="003B0637">
        <w:rPr>
          <w:szCs w:val="26"/>
        </w:rPr>
        <w:t xml:space="preserve">that </w:t>
      </w:r>
      <w:r w:rsidR="00916245" w:rsidRPr="003B0637">
        <w:rPr>
          <w:szCs w:val="26"/>
        </w:rPr>
        <w:t>PPL EU</w:t>
      </w:r>
      <w:r w:rsidRPr="003B0637">
        <w:rPr>
          <w:szCs w:val="26"/>
        </w:rPr>
        <w:t xml:space="preserve">’s reliance on </w:t>
      </w:r>
      <w:r w:rsidRPr="003B0637">
        <w:rPr>
          <w:i/>
          <w:szCs w:val="26"/>
        </w:rPr>
        <w:t>Frontier, Duquesne</w:t>
      </w:r>
      <w:r w:rsidRPr="003B0637">
        <w:rPr>
          <w:szCs w:val="26"/>
        </w:rPr>
        <w:t xml:space="preserve"> and </w:t>
      </w:r>
      <w:r w:rsidRPr="003B0637">
        <w:rPr>
          <w:i/>
          <w:szCs w:val="26"/>
        </w:rPr>
        <w:t>Verizon North</w:t>
      </w:r>
      <w:r w:rsidRPr="003B0637">
        <w:rPr>
          <w:szCs w:val="26"/>
        </w:rPr>
        <w:t xml:space="preserve"> </w:t>
      </w:r>
      <w:r w:rsidR="00D836D9" w:rsidRPr="003B0637">
        <w:rPr>
          <w:szCs w:val="26"/>
        </w:rPr>
        <w:t xml:space="preserve">to support its </w:t>
      </w:r>
      <w:r w:rsidR="003F0DBB" w:rsidRPr="003B0637">
        <w:rPr>
          <w:szCs w:val="26"/>
        </w:rPr>
        <w:t xml:space="preserve">position </w:t>
      </w:r>
      <w:r w:rsidR="00D836D9" w:rsidRPr="003B0637">
        <w:rPr>
          <w:szCs w:val="26"/>
        </w:rPr>
        <w:t xml:space="preserve">that a certificate of public convenience is not required for the </w:t>
      </w:r>
      <w:r w:rsidR="00C96F1E" w:rsidRPr="003B0637">
        <w:rPr>
          <w:szCs w:val="26"/>
        </w:rPr>
        <w:t>Proposed Restructuring</w:t>
      </w:r>
      <w:r w:rsidR="00812C48">
        <w:rPr>
          <w:szCs w:val="26"/>
        </w:rPr>
        <w:t>, is misplaced</w:t>
      </w:r>
      <w:r w:rsidR="00D836D9" w:rsidRPr="003B0637">
        <w:rPr>
          <w:szCs w:val="26"/>
        </w:rPr>
        <w:t xml:space="preserve">.  </w:t>
      </w:r>
      <w:r w:rsidR="000A7632" w:rsidRPr="003B0637">
        <w:rPr>
          <w:szCs w:val="26"/>
        </w:rPr>
        <w:t>In</w:t>
      </w:r>
      <w:r w:rsidR="0057304B" w:rsidRPr="003B0637">
        <w:rPr>
          <w:szCs w:val="26"/>
        </w:rPr>
        <w:t xml:space="preserve"> our opinion, t</w:t>
      </w:r>
      <w:r w:rsidRPr="003B0637">
        <w:rPr>
          <w:szCs w:val="26"/>
        </w:rPr>
        <w:t>he complexity of the transactio</w:t>
      </w:r>
      <w:r w:rsidR="0057304B" w:rsidRPr="003B0637">
        <w:rPr>
          <w:szCs w:val="26"/>
        </w:rPr>
        <w:t>ns described in the Application as comp</w:t>
      </w:r>
      <w:r w:rsidR="007C36C1" w:rsidRPr="003B0637">
        <w:rPr>
          <w:szCs w:val="26"/>
        </w:rPr>
        <w:t xml:space="preserve">ared to the </w:t>
      </w:r>
      <w:r w:rsidR="00D9307E" w:rsidRPr="003B0637">
        <w:rPr>
          <w:szCs w:val="26"/>
        </w:rPr>
        <w:t>transactions in the above</w:t>
      </w:r>
      <w:r w:rsidR="0057377B" w:rsidRPr="003B0637">
        <w:rPr>
          <w:szCs w:val="26"/>
        </w:rPr>
        <w:t xml:space="preserve"> </w:t>
      </w:r>
      <w:r w:rsidR="0057304B" w:rsidRPr="003B0637">
        <w:rPr>
          <w:szCs w:val="26"/>
        </w:rPr>
        <w:t xml:space="preserve">cited cases </w:t>
      </w:r>
      <w:r w:rsidR="00D836D9" w:rsidRPr="003B0637">
        <w:rPr>
          <w:szCs w:val="26"/>
        </w:rPr>
        <w:t xml:space="preserve">is not the </w:t>
      </w:r>
      <w:r w:rsidR="007C36C1" w:rsidRPr="003B0637">
        <w:rPr>
          <w:szCs w:val="26"/>
        </w:rPr>
        <w:t>reason</w:t>
      </w:r>
      <w:r w:rsidR="00D836D9" w:rsidRPr="003B0637">
        <w:rPr>
          <w:szCs w:val="26"/>
        </w:rPr>
        <w:t xml:space="preserve">.  The reason </w:t>
      </w:r>
      <w:r w:rsidR="00916245" w:rsidRPr="003B0637">
        <w:rPr>
          <w:szCs w:val="26"/>
        </w:rPr>
        <w:t>PPL EU</w:t>
      </w:r>
      <w:r w:rsidR="00D836D9" w:rsidRPr="003B0637">
        <w:rPr>
          <w:szCs w:val="26"/>
        </w:rPr>
        <w:t xml:space="preserve">’s reliance on the cited cases is misplaced is because </w:t>
      </w:r>
      <w:r w:rsidRPr="003B0637">
        <w:rPr>
          <w:szCs w:val="26"/>
        </w:rPr>
        <w:t xml:space="preserve">the </w:t>
      </w:r>
      <w:r w:rsidR="00C96F1E" w:rsidRPr="003B0637">
        <w:rPr>
          <w:szCs w:val="26"/>
        </w:rPr>
        <w:t>Proposed Restructuring</w:t>
      </w:r>
      <w:r w:rsidRPr="003B0637">
        <w:rPr>
          <w:szCs w:val="26"/>
        </w:rPr>
        <w:t xml:space="preserve"> will result in a change of </w:t>
      </w:r>
      <w:r w:rsidRPr="003B0637">
        <w:rPr>
          <w:i/>
          <w:szCs w:val="26"/>
        </w:rPr>
        <w:t>de facto</w:t>
      </w:r>
      <w:r w:rsidR="00AB6A9B" w:rsidRPr="003B0637">
        <w:rPr>
          <w:szCs w:val="26"/>
        </w:rPr>
        <w:t xml:space="preserve"> control of </w:t>
      </w:r>
      <w:r w:rsidR="00564130" w:rsidRPr="003B0637">
        <w:rPr>
          <w:szCs w:val="26"/>
        </w:rPr>
        <w:t>PPL EU</w:t>
      </w:r>
      <w:r w:rsidR="00AB6A9B" w:rsidRPr="003B0637">
        <w:rPr>
          <w:szCs w:val="26"/>
        </w:rPr>
        <w:t xml:space="preserve"> while</w:t>
      </w:r>
      <w:r w:rsidRPr="003B0637">
        <w:rPr>
          <w:szCs w:val="26"/>
        </w:rPr>
        <w:t xml:space="preserve"> the business entity conversion</w:t>
      </w:r>
      <w:r w:rsidR="00D836D9" w:rsidRPr="003B0637">
        <w:rPr>
          <w:szCs w:val="26"/>
        </w:rPr>
        <w:t>s (from corporations to limited liability companies)</w:t>
      </w:r>
      <w:r w:rsidRPr="003B0637">
        <w:rPr>
          <w:szCs w:val="26"/>
        </w:rPr>
        <w:t xml:space="preserve"> in the </w:t>
      </w:r>
      <w:r w:rsidR="0057304B" w:rsidRPr="003B0637">
        <w:rPr>
          <w:szCs w:val="26"/>
        </w:rPr>
        <w:t xml:space="preserve">above </w:t>
      </w:r>
      <w:r w:rsidRPr="003B0637">
        <w:rPr>
          <w:szCs w:val="26"/>
        </w:rPr>
        <w:t xml:space="preserve">cited cases did not result in a change in </w:t>
      </w:r>
      <w:r w:rsidRPr="003B0637">
        <w:rPr>
          <w:i/>
          <w:szCs w:val="26"/>
        </w:rPr>
        <w:t>de facto</w:t>
      </w:r>
      <w:r w:rsidR="00AB6A9B" w:rsidRPr="003B0637">
        <w:rPr>
          <w:szCs w:val="26"/>
        </w:rPr>
        <w:t xml:space="preserve"> control of</w:t>
      </w:r>
      <w:r w:rsidR="000A7632" w:rsidRPr="003B0637">
        <w:rPr>
          <w:szCs w:val="26"/>
        </w:rPr>
        <w:t xml:space="preserve"> the </w:t>
      </w:r>
      <w:r w:rsidR="0049176B" w:rsidRPr="003B0637">
        <w:rPr>
          <w:szCs w:val="26"/>
        </w:rPr>
        <w:t>respective subjec</w:t>
      </w:r>
      <w:r w:rsidR="000A7632" w:rsidRPr="003B0637">
        <w:rPr>
          <w:szCs w:val="26"/>
        </w:rPr>
        <w:t>t utilities</w:t>
      </w:r>
      <w:r w:rsidR="0057304B" w:rsidRPr="003B0637">
        <w:rPr>
          <w:szCs w:val="26"/>
        </w:rPr>
        <w:t xml:space="preserve"> or their</w:t>
      </w:r>
      <w:r w:rsidR="000A7632" w:rsidRPr="003B0637">
        <w:rPr>
          <w:szCs w:val="26"/>
        </w:rPr>
        <w:t xml:space="preserve"> respective</w:t>
      </w:r>
      <w:r w:rsidR="0057304B" w:rsidRPr="003B0637">
        <w:rPr>
          <w:szCs w:val="26"/>
        </w:rPr>
        <w:t xml:space="preserve"> parent</w:t>
      </w:r>
      <w:r w:rsidR="0049176B" w:rsidRPr="003B0637">
        <w:rPr>
          <w:szCs w:val="26"/>
        </w:rPr>
        <w:t>s</w:t>
      </w:r>
      <w:r w:rsidR="0057304B" w:rsidRPr="003B0637">
        <w:rPr>
          <w:szCs w:val="26"/>
        </w:rPr>
        <w:t>.</w:t>
      </w:r>
      <w:r w:rsidR="00DC4631" w:rsidRPr="003B0637">
        <w:rPr>
          <w:rStyle w:val="FootnoteReference"/>
          <w:szCs w:val="26"/>
        </w:rPr>
        <w:footnoteReference w:id="9"/>
      </w:r>
      <w:r w:rsidR="00F54150" w:rsidRPr="003B0637">
        <w:rPr>
          <w:szCs w:val="26"/>
        </w:rPr>
        <w:t xml:space="preserve">  Accordingly, in those cases, we determined that </w:t>
      </w:r>
      <w:r w:rsidR="00EF3EA6" w:rsidRPr="003B0637">
        <w:rPr>
          <w:szCs w:val="26"/>
        </w:rPr>
        <w:t xml:space="preserve">the business entity </w:t>
      </w:r>
      <w:r w:rsidR="00F875D6" w:rsidRPr="003B0637">
        <w:rPr>
          <w:szCs w:val="26"/>
        </w:rPr>
        <w:t xml:space="preserve">conversions </w:t>
      </w:r>
      <w:r w:rsidR="00EF3EA6" w:rsidRPr="003B0637">
        <w:rPr>
          <w:szCs w:val="26"/>
        </w:rPr>
        <w:t xml:space="preserve">were not subject to </w:t>
      </w:r>
      <w:r w:rsidR="00F54150" w:rsidRPr="003B0637">
        <w:rPr>
          <w:szCs w:val="26"/>
        </w:rPr>
        <w:t>our authority</w:t>
      </w:r>
      <w:r w:rsidR="00EF3EA6" w:rsidRPr="003B0637">
        <w:rPr>
          <w:szCs w:val="26"/>
        </w:rPr>
        <w:t xml:space="preserve"> to issue or withhold a certificate of public convenience pursuant to</w:t>
      </w:r>
      <w:r w:rsidR="00F54150" w:rsidRPr="003B0637">
        <w:rPr>
          <w:szCs w:val="26"/>
        </w:rPr>
        <w:t xml:space="preserve"> Section 1102(a)(3) </w:t>
      </w:r>
      <w:r w:rsidR="00EF3EA6" w:rsidRPr="003B0637">
        <w:rPr>
          <w:szCs w:val="26"/>
        </w:rPr>
        <w:t xml:space="preserve">of the Code. </w:t>
      </w:r>
      <w:r w:rsidR="00F875D6" w:rsidRPr="003B0637">
        <w:rPr>
          <w:szCs w:val="26"/>
        </w:rPr>
        <w:t xml:space="preserve"> </w:t>
      </w:r>
      <w:r w:rsidR="009A5A2E" w:rsidRPr="003B0637">
        <w:rPr>
          <w:szCs w:val="26"/>
        </w:rPr>
        <w:t>Thus,</w:t>
      </w:r>
      <w:r w:rsidR="00F875D6" w:rsidRPr="003B0637">
        <w:rPr>
          <w:szCs w:val="26"/>
        </w:rPr>
        <w:t xml:space="preserve"> while </w:t>
      </w:r>
      <w:r w:rsidR="00F875D6" w:rsidRPr="003B0637">
        <w:rPr>
          <w:szCs w:val="26"/>
        </w:rPr>
        <w:lastRenderedPageBreak/>
        <w:t xml:space="preserve">we approved those transactions as being “necessary or proper for the service, accommodation, convenience or safety of the public,” </w:t>
      </w:r>
      <w:r w:rsidR="001919F5" w:rsidRPr="003B0637">
        <w:rPr>
          <w:szCs w:val="26"/>
        </w:rPr>
        <w:t>doing so</w:t>
      </w:r>
      <w:r w:rsidR="00F875D6" w:rsidRPr="003B0637">
        <w:rPr>
          <w:szCs w:val="26"/>
        </w:rPr>
        <w:t xml:space="preserve"> was not an exercise of a</w:t>
      </w:r>
      <w:r w:rsidR="009C387F" w:rsidRPr="003B0637">
        <w:rPr>
          <w:szCs w:val="26"/>
        </w:rPr>
        <w:t xml:space="preserve">uthority </w:t>
      </w:r>
      <w:r w:rsidR="009A5A2E" w:rsidRPr="003B0637">
        <w:rPr>
          <w:szCs w:val="26"/>
        </w:rPr>
        <w:t xml:space="preserve">in </w:t>
      </w:r>
      <w:r w:rsidR="00F875D6" w:rsidRPr="003B0637">
        <w:rPr>
          <w:szCs w:val="26"/>
        </w:rPr>
        <w:t>determin</w:t>
      </w:r>
      <w:r w:rsidR="009C387F" w:rsidRPr="003B0637">
        <w:rPr>
          <w:szCs w:val="26"/>
        </w:rPr>
        <w:t>ing</w:t>
      </w:r>
      <w:r w:rsidR="00F875D6" w:rsidRPr="003B0637">
        <w:rPr>
          <w:szCs w:val="26"/>
        </w:rPr>
        <w:t xml:space="preserve"> whether a certificate of public convenience shall be issued </w:t>
      </w:r>
      <w:r w:rsidR="009C387F" w:rsidRPr="003B0637">
        <w:rPr>
          <w:szCs w:val="26"/>
        </w:rPr>
        <w:t xml:space="preserve">or withheld </w:t>
      </w:r>
      <w:r w:rsidR="00F875D6" w:rsidRPr="003B0637">
        <w:rPr>
          <w:szCs w:val="26"/>
        </w:rPr>
        <w:t>in accordance with Sections 1102</w:t>
      </w:r>
      <w:r w:rsidR="006824C9" w:rsidRPr="003B0637">
        <w:rPr>
          <w:szCs w:val="26"/>
        </w:rPr>
        <w:t>(a)(3) and 1103(a)</w:t>
      </w:r>
      <w:r w:rsidR="00F875D6" w:rsidRPr="003B0637">
        <w:rPr>
          <w:szCs w:val="26"/>
        </w:rPr>
        <w:t xml:space="preserve"> of the Code.</w:t>
      </w:r>
    </w:p>
    <w:p w14:paraId="7573BC0E" w14:textId="77777777" w:rsidR="00B0527E" w:rsidRPr="003B0637" w:rsidRDefault="00B0527E" w:rsidP="00502FC8">
      <w:pPr>
        <w:autoSpaceDE w:val="0"/>
        <w:autoSpaceDN w:val="0"/>
        <w:adjustRightInd w:val="0"/>
        <w:rPr>
          <w:szCs w:val="26"/>
        </w:rPr>
      </w:pPr>
    </w:p>
    <w:p w14:paraId="74025F11" w14:textId="14E39C05" w:rsidR="00474D5C" w:rsidRPr="003B0637" w:rsidRDefault="000A7632" w:rsidP="00502FC8">
      <w:pPr>
        <w:autoSpaceDE w:val="0"/>
        <w:autoSpaceDN w:val="0"/>
        <w:adjustRightInd w:val="0"/>
        <w:rPr>
          <w:szCs w:val="26"/>
        </w:rPr>
      </w:pPr>
      <w:r w:rsidRPr="003B0637">
        <w:rPr>
          <w:szCs w:val="26"/>
        </w:rPr>
        <w:t>Having concluded</w:t>
      </w:r>
      <w:r w:rsidR="00AD55BD" w:rsidRPr="003B0637">
        <w:rPr>
          <w:szCs w:val="26"/>
        </w:rPr>
        <w:t xml:space="preserve"> above</w:t>
      </w:r>
      <w:r w:rsidRPr="003B0637">
        <w:rPr>
          <w:szCs w:val="26"/>
        </w:rPr>
        <w:t xml:space="preserve"> that a certificate of public convenience</w:t>
      </w:r>
      <w:r w:rsidR="009C387F" w:rsidRPr="003B0637">
        <w:rPr>
          <w:szCs w:val="26"/>
        </w:rPr>
        <w:t xml:space="preserve"> under Section 1102(a)(3)</w:t>
      </w:r>
      <w:r w:rsidRPr="003B0637">
        <w:rPr>
          <w:szCs w:val="26"/>
        </w:rPr>
        <w:t xml:space="preserve"> is required</w:t>
      </w:r>
      <w:r w:rsidR="00AD55BD" w:rsidRPr="003B0637">
        <w:rPr>
          <w:szCs w:val="26"/>
        </w:rPr>
        <w:t xml:space="preserve"> for the </w:t>
      </w:r>
      <w:r w:rsidR="00C96F1E" w:rsidRPr="003B0637">
        <w:rPr>
          <w:szCs w:val="26"/>
        </w:rPr>
        <w:t>Proposed Restructuring</w:t>
      </w:r>
      <w:r w:rsidRPr="003B0637">
        <w:rPr>
          <w:szCs w:val="26"/>
        </w:rPr>
        <w:t xml:space="preserve">, </w:t>
      </w:r>
      <w:r w:rsidR="0032799F" w:rsidRPr="003B0637">
        <w:rPr>
          <w:color w:val="000000"/>
          <w:szCs w:val="26"/>
        </w:rPr>
        <w:t xml:space="preserve">based on the positions of the Parties, </w:t>
      </w:r>
      <w:r w:rsidRPr="003B0637">
        <w:rPr>
          <w:szCs w:val="26"/>
        </w:rPr>
        <w:t xml:space="preserve">the </w:t>
      </w:r>
      <w:r w:rsidRPr="003B0637">
        <w:rPr>
          <w:color w:val="000000"/>
          <w:szCs w:val="26"/>
        </w:rPr>
        <w:t xml:space="preserve">next issue </w:t>
      </w:r>
      <w:r w:rsidR="00AD55BD" w:rsidRPr="003B0637">
        <w:rPr>
          <w:color w:val="000000"/>
          <w:szCs w:val="26"/>
        </w:rPr>
        <w:t xml:space="preserve">to be decided </w:t>
      </w:r>
      <w:r w:rsidR="00513155" w:rsidRPr="003B0637">
        <w:rPr>
          <w:color w:val="000000"/>
          <w:szCs w:val="26"/>
        </w:rPr>
        <w:t>is t</w:t>
      </w:r>
      <w:r w:rsidRPr="003B0637">
        <w:rPr>
          <w:szCs w:val="26"/>
        </w:rPr>
        <w:t>he</w:t>
      </w:r>
      <w:r w:rsidR="00513155" w:rsidRPr="003B0637">
        <w:rPr>
          <w:szCs w:val="26"/>
        </w:rPr>
        <w:t xml:space="preserve"> correct</w:t>
      </w:r>
      <w:r w:rsidRPr="003B0637">
        <w:rPr>
          <w:szCs w:val="26"/>
        </w:rPr>
        <w:t xml:space="preserve"> legal standard to be applied under Section</w:t>
      </w:r>
      <w:r w:rsidR="004E384F" w:rsidRPr="003B0637">
        <w:rPr>
          <w:szCs w:val="26"/>
        </w:rPr>
        <w:t xml:space="preserve"> </w:t>
      </w:r>
      <w:r w:rsidRPr="003B0637">
        <w:rPr>
          <w:szCs w:val="26"/>
        </w:rPr>
        <w:t>1103</w:t>
      </w:r>
      <w:r w:rsidR="00726BC4" w:rsidRPr="003B0637">
        <w:rPr>
          <w:szCs w:val="26"/>
        </w:rPr>
        <w:t>(a)</w:t>
      </w:r>
      <w:r w:rsidRPr="003B0637">
        <w:rPr>
          <w:szCs w:val="26"/>
        </w:rPr>
        <w:t xml:space="preserve"> of the Code</w:t>
      </w:r>
      <w:r w:rsidR="004E384F" w:rsidRPr="003B0637">
        <w:rPr>
          <w:szCs w:val="26"/>
        </w:rPr>
        <w:t xml:space="preserve"> </w:t>
      </w:r>
      <w:r w:rsidR="00513155" w:rsidRPr="003B0637">
        <w:rPr>
          <w:szCs w:val="26"/>
        </w:rPr>
        <w:t>f</w:t>
      </w:r>
      <w:r w:rsidR="00617D02" w:rsidRPr="003B0637">
        <w:rPr>
          <w:szCs w:val="26"/>
        </w:rPr>
        <w:t>or granting a certificate</w:t>
      </w:r>
      <w:r w:rsidR="00E0694A" w:rsidRPr="003B0637">
        <w:rPr>
          <w:szCs w:val="26"/>
        </w:rPr>
        <w:t>.</w:t>
      </w:r>
      <w:r w:rsidR="004E384F" w:rsidRPr="003B0637">
        <w:rPr>
          <w:szCs w:val="26"/>
        </w:rPr>
        <w:t xml:space="preserve">  </w:t>
      </w:r>
      <w:r w:rsidR="004A15A9" w:rsidRPr="003B0637">
        <w:rPr>
          <w:szCs w:val="26"/>
        </w:rPr>
        <w:t xml:space="preserve">To simplify, </w:t>
      </w:r>
      <w:r w:rsidR="00916245" w:rsidRPr="003B0637">
        <w:rPr>
          <w:szCs w:val="26"/>
        </w:rPr>
        <w:t>PPL EU</w:t>
      </w:r>
      <w:r w:rsidR="004A15A9" w:rsidRPr="003B0637">
        <w:rPr>
          <w:szCs w:val="26"/>
        </w:rPr>
        <w:t xml:space="preserve"> </w:t>
      </w:r>
      <w:r w:rsidR="003E64B7" w:rsidRPr="003B0637">
        <w:rPr>
          <w:szCs w:val="26"/>
        </w:rPr>
        <w:t>argues that</w:t>
      </w:r>
      <w:r w:rsidR="00842B3C" w:rsidRPr="003B0637">
        <w:rPr>
          <w:szCs w:val="26"/>
        </w:rPr>
        <w:t xml:space="preserve"> for transactions subject to our authority under Section 1102(a)(3),</w:t>
      </w:r>
      <w:r w:rsidR="003E64B7" w:rsidRPr="003B0637">
        <w:rPr>
          <w:szCs w:val="26"/>
        </w:rPr>
        <w:t xml:space="preserve"> </w:t>
      </w:r>
      <w:r w:rsidR="00CE4EC5" w:rsidRPr="003B0637">
        <w:rPr>
          <w:i/>
          <w:szCs w:val="26"/>
        </w:rPr>
        <w:t>City of York</w:t>
      </w:r>
      <w:r w:rsidR="00CE4EC5" w:rsidRPr="003B0637">
        <w:rPr>
          <w:szCs w:val="26"/>
        </w:rPr>
        <w:t xml:space="preserve"> </w:t>
      </w:r>
      <w:r w:rsidR="00451D69" w:rsidRPr="003B0637">
        <w:rPr>
          <w:szCs w:val="26"/>
        </w:rPr>
        <w:t>sets forth</w:t>
      </w:r>
      <w:r w:rsidR="00CE4EC5" w:rsidRPr="003B0637">
        <w:rPr>
          <w:szCs w:val="26"/>
        </w:rPr>
        <w:t xml:space="preserve"> a</w:t>
      </w:r>
      <w:r w:rsidR="003E64B7" w:rsidRPr="003B0637">
        <w:rPr>
          <w:szCs w:val="26"/>
        </w:rPr>
        <w:t xml:space="preserve"> higher </w:t>
      </w:r>
      <w:r w:rsidR="00CE4EC5" w:rsidRPr="003B0637">
        <w:rPr>
          <w:szCs w:val="26"/>
        </w:rPr>
        <w:t>standard</w:t>
      </w:r>
      <w:r w:rsidR="00842B3C" w:rsidRPr="003B0637">
        <w:rPr>
          <w:szCs w:val="26"/>
        </w:rPr>
        <w:t xml:space="preserve"> under Section 1103(a)</w:t>
      </w:r>
      <w:r w:rsidR="00E973E4" w:rsidRPr="003B0637">
        <w:rPr>
          <w:szCs w:val="26"/>
        </w:rPr>
        <w:t xml:space="preserve"> to be applied when an ultimate change of control is at issue</w:t>
      </w:r>
      <w:r w:rsidR="00E0694A" w:rsidRPr="003B0637">
        <w:rPr>
          <w:szCs w:val="26"/>
        </w:rPr>
        <w:t xml:space="preserve"> (</w:t>
      </w:r>
      <w:r w:rsidR="00E0694A" w:rsidRPr="00812C48">
        <w:rPr>
          <w:i/>
          <w:szCs w:val="26"/>
        </w:rPr>
        <w:t>e.g.</w:t>
      </w:r>
      <w:r w:rsidR="00812C48">
        <w:rPr>
          <w:szCs w:val="26"/>
        </w:rPr>
        <w:t>,</w:t>
      </w:r>
      <w:r w:rsidR="00E0694A" w:rsidRPr="003B0637">
        <w:rPr>
          <w:szCs w:val="26"/>
        </w:rPr>
        <w:t xml:space="preserve"> merger transactions)</w:t>
      </w:r>
      <w:r w:rsidR="00E973E4" w:rsidRPr="003B0637">
        <w:rPr>
          <w:szCs w:val="26"/>
        </w:rPr>
        <w:t xml:space="preserve">.  </w:t>
      </w:r>
      <w:r w:rsidR="00916245" w:rsidRPr="003B0637">
        <w:rPr>
          <w:szCs w:val="26"/>
        </w:rPr>
        <w:t>PPL EU</w:t>
      </w:r>
      <w:r w:rsidR="00CE4EC5" w:rsidRPr="003B0637">
        <w:rPr>
          <w:szCs w:val="26"/>
        </w:rPr>
        <w:t xml:space="preserve"> relies on our</w:t>
      </w:r>
      <w:r w:rsidR="00BD1D13" w:rsidRPr="003B0637">
        <w:rPr>
          <w:szCs w:val="26"/>
        </w:rPr>
        <w:t xml:space="preserve"> prior</w:t>
      </w:r>
      <w:r w:rsidR="00CE4EC5" w:rsidRPr="003B0637">
        <w:rPr>
          <w:szCs w:val="26"/>
        </w:rPr>
        <w:t xml:space="preserve"> decision in </w:t>
      </w:r>
      <w:r w:rsidR="00CE4EC5" w:rsidRPr="003B0637">
        <w:rPr>
          <w:i/>
          <w:szCs w:val="26"/>
        </w:rPr>
        <w:t>James Black Service</w:t>
      </w:r>
      <w:r w:rsidR="00CE4EC5" w:rsidRPr="003B0637">
        <w:rPr>
          <w:szCs w:val="26"/>
        </w:rPr>
        <w:t xml:space="preserve"> to </w:t>
      </w:r>
      <w:r w:rsidR="008778F1" w:rsidRPr="003B0637">
        <w:rPr>
          <w:szCs w:val="26"/>
        </w:rPr>
        <w:t xml:space="preserve">argue that we have flexibility to apply </w:t>
      </w:r>
      <w:r w:rsidR="00B96A88" w:rsidRPr="003B0637">
        <w:rPr>
          <w:szCs w:val="26"/>
        </w:rPr>
        <w:t>the plain language</w:t>
      </w:r>
      <w:r w:rsidR="00451D69" w:rsidRPr="003B0637">
        <w:rPr>
          <w:szCs w:val="26"/>
        </w:rPr>
        <w:t xml:space="preserve"> of Section 1103</w:t>
      </w:r>
      <w:r w:rsidR="00726BC4" w:rsidRPr="003B0637">
        <w:rPr>
          <w:szCs w:val="26"/>
        </w:rPr>
        <w:t>(a)</w:t>
      </w:r>
      <w:r w:rsidR="008778F1" w:rsidRPr="003B0637">
        <w:rPr>
          <w:szCs w:val="26"/>
        </w:rPr>
        <w:t xml:space="preserve">, </w:t>
      </w:r>
      <w:r w:rsidR="00842B3C" w:rsidRPr="003B0637">
        <w:rPr>
          <w:szCs w:val="26"/>
        </w:rPr>
        <w:t>arguing</w:t>
      </w:r>
      <w:r w:rsidR="008778F1" w:rsidRPr="003B0637">
        <w:rPr>
          <w:szCs w:val="26"/>
        </w:rPr>
        <w:t xml:space="preserve"> that such standard is different from the </w:t>
      </w:r>
      <w:r w:rsidR="00E0208D" w:rsidRPr="003B0637">
        <w:rPr>
          <w:szCs w:val="26"/>
        </w:rPr>
        <w:t xml:space="preserve">“affirmative public benefit” standard articulated </w:t>
      </w:r>
      <w:r w:rsidR="008778F1" w:rsidRPr="003B0637">
        <w:rPr>
          <w:szCs w:val="26"/>
        </w:rPr>
        <w:t xml:space="preserve">in </w:t>
      </w:r>
      <w:r w:rsidR="008778F1" w:rsidRPr="003B0637">
        <w:rPr>
          <w:i/>
          <w:szCs w:val="26"/>
        </w:rPr>
        <w:t>City of York</w:t>
      </w:r>
      <w:r w:rsidR="008778F1" w:rsidRPr="003B0637">
        <w:rPr>
          <w:szCs w:val="26"/>
        </w:rPr>
        <w:t xml:space="preserve">.  </w:t>
      </w:r>
      <w:r w:rsidR="00E973E4" w:rsidRPr="003B0637">
        <w:rPr>
          <w:szCs w:val="26"/>
        </w:rPr>
        <w:t xml:space="preserve">Meanwhile, the OSBA argues </w:t>
      </w:r>
      <w:r w:rsidR="00617D02" w:rsidRPr="003B0637">
        <w:rPr>
          <w:szCs w:val="26"/>
        </w:rPr>
        <w:t>th</w:t>
      </w:r>
      <w:r w:rsidR="0042673C" w:rsidRPr="003B0637">
        <w:rPr>
          <w:szCs w:val="26"/>
        </w:rPr>
        <w:t>at the Commission must apply a</w:t>
      </w:r>
      <w:r w:rsidR="00617D02" w:rsidRPr="003B0637">
        <w:rPr>
          <w:szCs w:val="26"/>
        </w:rPr>
        <w:t xml:space="preserve"> “substantial public benefit</w:t>
      </w:r>
      <w:r w:rsidR="005879F3" w:rsidRPr="003B0637">
        <w:rPr>
          <w:szCs w:val="26"/>
        </w:rPr>
        <w:t>”</w:t>
      </w:r>
      <w:r w:rsidR="00842B3C" w:rsidRPr="003B0637">
        <w:rPr>
          <w:szCs w:val="26"/>
        </w:rPr>
        <w:t xml:space="preserve"> standard that it states </w:t>
      </w:r>
      <w:r w:rsidR="009A69A2" w:rsidRPr="003B0637">
        <w:rPr>
          <w:szCs w:val="26"/>
        </w:rPr>
        <w:t xml:space="preserve">was articulated by the Supreme Court in </w:t>
      </w:r>
      <w:r w:rsidR="009A69A2" w:rsidRPr="003B0637">
        <w:rPr>
          <w:i/>
          <w:szCs w:val="26"/>
        </w:rPr>
        <w:t>City of York</w:t>
      </w:r>
      <w:r w:rsidR="005879F3" w:rsidRPr="003B0637">
        <w:rPr>
          <w:szCs w:val="26"/>
        </w:rPr>
        <w:t xml:space="preserve"> </w:t>
      </w:r>
      <w:r w:rsidR="00617D02" w:rsidRPr="003B0637">
        <w:rPr>
          <w:szCs w:val="26"/>
        </w:rPr>
        <w:t>in</w:t>
      </w:r>
      <w:r w:rsidR="00E973E4" w:rsidRPr="003B0637">
        <w:rPr>
          <w:szCs w:val="26"/>
        </w:rPr>
        <w:t xml:space="preserve"> granting a certificate of public convenience.</w:t>
      </w:r>
      <w:r w:rsidR="007C36C1" w:rsidRPr="003B0637">
        <w:rPr>
          <w:szCs w:val="26"/>
        </w:rPr>
        <w:t xml:space="preserve">  We respectfully reject </w:t>
      </w:r>
      <w:r w:rsidR="00BA19DE">
        <w:rPr>
          <w:szCs w:val="26"/>
        </w:rPr>
        <w:t>PPL’s</w:t>
      </w:r>
      <w:r w:rsidR="007C36C1" w:rsidRPr="003B0637">
        <w:rPr>
          <w:szCs w:val="26"/>
        </w:rPr>
        <w:t xml:space="preserve"> position</w:t>
      </w:r>
      <w:r w:rsidR="00E56099" w:rsidRPr="003B0637">
        <w:rPr>
          <w:rStyle w:val="FootnoteReference"/>
          <w:szCs w:val="26"/>
        </w:rPr>
        <w:footnoteReference w:id="10"/>
      </w:r>
      <w:r w:rsidR="007C36C1" w:rsidRPr="003B0637">
        <w:rPr>
          <w:szCs w:val="26"/>
        </w:rPr>
        <w:t xml:space="preserve"> for the reasons discussed below.</w:t>
      </w:r>
    </w:p>
    <w:p w14:paraId="1A06044B" w14:textId="77777777" w:rsidR="00474D5C" w:rsidRPr="003B0637" w:rsidRDefault="00474D5C" w:rsidP="00502FC8">
      <w:pPr>
        <w:autoSpaceDE w:val="0"/>
        <w:autoSpaceDN w:val="0"/>
        <w:adjustRightInd w:val="0"/>
        <w:rPr>
          <w:szCs w:val="26"/>
        </w:rPr>
      </w:pPr>
    </w:p>
    <w:p w14:paraId="73DF611F" w14:textId="690B895C" w:rsidR="00597CC6" w:rsidRPr="003B0637" w:rsidRDefault="0053589A" w:rsidP="00502FC8">
      <w:pPr>
        <w:autoSpaceDE w:val="0"/>
        <w:autoSpaceDN w:val="0"/>
        <w:adjustRightInd w:val="0"/>
        <w:rPr>
          <w:szCs w:val="26"/>
          <w:lang w:val="en"/>
        </w:rPr>
      </w:pPr>
      <w:r w:rsidRPr="003B0637">
        <w:rPr>
          <w:szCs w:val="26"/>
        </w:rPr>
        <w:t xml:space="preserve">As an administrative agency, we are </w:t>
      </w:r>
      <w:r w:rsidR="009A69A2" w:rsidRPr="003B0637">
        <w:rPr>
          <w:szCs w:val="26"/>
        </w:rPr>
        <w:t xml:space="preserve">bound by </w:t>
      </w:r>
      <w:r w:rsidR="008F3496" w:rsidRPr="003B0637">
        <w:rPr>
          <w:szCs w:val="26"/>
        </w:rPr>
        <w:t xml:space="preserve">the Supreme Court’s </w:t>
      </w:r>
      <w:r w:rsidRPr="003B0637">
        <w:rPr>
          <w:szCs w:val="26"/>
        </w:rPr>
        <w:t>interpretation</w:t>
      </w:r>
      <w:r w:rsidR="008F3496" w:rsidRPr="003B0637">
        <w:rPr>
          <w:szCs w:val="26"/>
        </w:rPr>
        <w:t>s of Section 1103</w:t>
      </w:r>
      <w:r w:rsidR="00842B3C" w:rsidRPr="003B0637">
        <w:rPr>
          <w:szCs w:val="26"/>
        </w:rPr>
        <w:t>(a)</w:t>
      </w:r>
      <w:r w:rsidR="008F3496" w:rsidRPr="003B0637">
        <w:rPr>
          <w:szCs w:val="26"/>
        </w:rPr>
        <w:t xml:space="preserve"> of the Code</w:t>
      </w:r>
      <w:r w:rsidRPr="003B0637">
        <w:rPr>
          <w:szCs w:val="26"/>
        </w:rPr>
        <w:t xml:space="preserve"> </w:t>
      </w:r>
      <w:r w:rsidR="0042673C" w:rsidRPr="003B0637">
        <w:rPr>
          <w:szCs w:val="26"/>
        </w:rPr>
        <w:t xml:space="preserve">as set forth </w:t>
      </w:r>
      <w:r w:rsidRPr="003B0637">
        <w:rPr>
          <w:szCs w:val="26"/>
        </w:rPr>
        <w:t xml:space="preserve">in </w:t>
      </w:r>
      <w:r w:rsidRPr="003B0637">
        <w:rPr>
          <w:i/>
          <w:szCs w:val="26"/>
        </w:rPr>
        <w:t>City of York</w:t>
      </w:r>
      <w:r w:rsidRPr="003B0637">
        <w:rPr>
          <w:szCs w:val="26"/>
        </w:rPr>
        <w:t xml:space="preserve">, </w:t>
      </w:r>
      <w:r w:rsidRPr="003B0637">
        <w:rPr>
          <w:i/>
          <w:szCs w:val="26"/>
        </w:rPr>
        <w:t>Popowsky</w:t>
      </w:r>
      <w:r w:rsidRPr="003B0637">
        <w:rPr>
          <w:szCs w:val="26"/>
        </w:rPr>
        <w:t xml:space="preserve"> and </w:t>
      </w:r>
      <w:r w:rsidRPr="003B0637">
        <w:rPr>
          <w:i/>
          <w:szCs w:val="26"/>
        </w:rPr>
        <w:t>Elite</w:t>
      </w:r>
      <w:r w:rsidRPr="003B0637">
        <w:rPr>
          <w:szCs w:val="26"/>
        </w:rPr>
        <w:t>,</w:t>
      </w:r>
      <w:r w:rsidRPr="003B0637">
        <w:rPr>
          <w:i/>
          <w:szCs w:val="26"/>
        </w:rPr>
        <w:t xml:space="preserve"> supra</w:t>
      </w:r>
      <w:r w:rsidR="00842B3C" w:rsidRPr="003B0637">
        <w:rPr>
          <w:szCs w:val="26"/>
        </w:rPr>
        <w:t>, relating to the exercise of our authority pursuant to Section 1102(a)(3).</w:t>
      </w:r>
      <w:r w:rsidRPr="003B0637">
        <w:rPr>
          <w:szCs w:val="26"/>
        </w:rPr>
        <w:t xml:space="preserve"> </w:t>
      </w:r>
      <w:r w:rsidR="00842B3C" w:rsidRPr="003B0637">
        <w:rPr>
          <w:szCs w:val="26"/>
        </w:rPr>
        <w:t xml:space="preserve"> </w:t>
      </w:r>
      <w:r w:rsidRPr="003B0637">
        <w:rPr>
          <w:szCs w:val="26"/>
        </w:rPr>
        <w:t xml:space="preserve">At the same time, the Court’s interpretations in those cases do not permit us “to ignore the language of [the] statute” or to “deem any language [in the statute] to be superfluous.”  </w:t>
      </w:r>
      <w:r w:rsidRPr="003B0637">
        <w:rPr>
          <w:szCs w:val="26"/>
        </w:rPr>
        <w:lastRenderedPageBreak/>
        <w:t>1</w:t>
      </w:r>
      <w:r w:rsidR="00812C48">
        <w:rPr>
          <w:szCs w:val="26"/>
        </w:rPr>
        <w:t> </w:t>
      </w:r>
      <w:r w:rsidRPr="003B0637">
        <w:rPr>
          <w:szCs w:val="26"/>
        </w:rPr>
        <w:t>Pa.</w:t>
      </w:r>
      <w:r w:rsidR="00812C48">
        <w:rPr>
          <w:szCs w:val="26"/>
        </w:rPr>
        <w:t xml:space="preserve"> </w:t>
      </w:r>
      <w:r w:rsidRPr="003B0637">
        <w:rPr>
          <w:szCs w:val="26"/>
        </w:rPr>
        <w:t xml:space="preserve">C.S. § 1921(a); </w:t>
      </w:r>
      <w:r w:rsidRPr="003B0637">
        <w:rPr>
          <w:i/>
          <w:iCs/>
          <w:szCs w:val="26"/>
        </w:rPr>
        <w:t>Commonwealth v. McCoy,</w:t>
      </w:r>
      <w:r w:rsidRPr="003B0637">
        <w:rPr>
          <w:szCs w:val="26"/>
        </w:rPr>
        <w:t xml:space="preserve"> 599 Pa. 599, 962 A.2d 1160, 1168 (2009).  </w:t>
      </w:r>
      <w:r w:rsidR="005F1CB0" w:rsidRPr="003B0637">
        <w:rPr>
          <w:szCs w:val="26"/>
        </w:rPr>
        <w:t>Thus, w</w:t>
      </w:r>
      <w:r w:rsidR="005B69BF" w:rsidRPr="003B0637">
        <w:rPr>
          <w:szCs w:val="26"/>
        </w:rPr>
        <w:t xml:space="preserve">e shall apply the legal standard </w:t>
      </w:r>
      <w:r w:rsidR="00B54918" w:rsidRPr="003B0637">
        <w:rPr>
          <w:szCs w:val="26"/>
        </w:rPr>
        <w:t xml:space="preserve">expressly </w:t>
      </w:r>
      <w:r w:rsidR="006824C9" w:rsidRPr="003B0637">
        <w:rPr>
          <w:szCs w:val="26"/>
        </w:rPr>
        <w:t>laid out</w:t>
      </w:r>
      <w:r w:rsidR="005B69BF" w:rsidRPr="003B0637">
        <w:rPr>
          <w:szCs w:val="26"/>
        </w:rPr>
        <w:t xml:space="preserve"> in Section 1103</w:t>
      </w:r>
      <w:r w:rsidR="00726BC4" w:rsidRPr="003B0637">
        <w:rPr>
          <w:szCs w:val="26"/>
        </w:rPr>
        <w:t>(a) of the Code</w:t>
      </w:r>
      <w:r w:rsidR="005B69BF" w:rsidRPr="003B0637">
        <w:rPr>
          <w:szCs w:val="26"/>
        </w:rPr>
        <w:t xml:space="preserve">, </w:t>
      </w:r>
      <w:r w:rsidR="009E444D">
        <w:rPr>
          <w:szCs w:val="26"/>
        </w:rPr>
        <w:t>as the application of such standard</w:t>
      </w:r>
      <w:r w:rsidR="005B69BF" w:rsidRPr="003B0637">
        <w:rPr>
          <w:szCs w:val="26"/>
        </w:rPr>
        <w:t xml:space="preserve"> </w:t>
      </w:r>
      <w:r w:rsidR="00726BC4" w:rsidRPr="003B0637">
        <w:rPr>
          <w:szCs w:val="26"/>
        </w:rPr>
        <w:t xml:space="preserve">has been </w:t>
      </w:r>
      <w:r w:rsidR="005B69BF" w:rsidRPr="003B0637">
        <w:rPr>
          <w:szCs w:val="26"/>
        </w:rPr>
        <w:t xml:space="preserve">interpreted by the Supreme Court in </w:t>
      </w:r>
      <w:r w:rsidR="005B69BF" w:rsidRPr="003B0637">
        <w:rPr>
          <w:i/>
          <w:szCs w:val="26"/>
        </w:rPr>
        <w:t>City of York</w:t>
      </w:r>
      <w:r w:rsidR="005B69BF" w:rsidRPr="003B0637">
        <w:rPr>
          <w:szCs w:val="26"/>
        </w:rPr>
        <w:t xml:space="preserve">, </w:t>
      </w:r>
      <w:r w:rsidR="005B69BF" w:rsidRPr="003B0637">
        <w:rPr>
          <w:i/>
          <w:szCs w:val="26"/>
        </w:rPr>
        <w:t>Popowsky</w:t>
      </w:r>
      <w:r w:rsidR="005B69BF" w:rsidRPr="003B0637">
        <w:rPr>
          <w:szCs w:val="26"/>
        </w:rPr>
        <w:t xml:space="preserve"> and </w:t>
      </w:r>
      <w:r w:rsidR="005B69BF" w:rsidRPr="003B0637">
        <w:rPr>
          <w:i/>
          <w:szCs w:val="26"/>
        </w:rPr>
        <w:t>Elite</w:t>
      </w:r>
      <w:r w:rsidR="005B69BF" w:rsidRPr="003B0637">
        <w:rPr>
          <w:szCs w:val="26"/>
        </w:rPr>
        <w:t xml:space="preserve">, </w:t>
      </w:r>
      <w:r w:rsidR="00726BC4" w:rsidRPr="003B0637">
        <w:rPr>
          <w:szCs w:val="26"/>
        </w:rPr>
        <w:t>which is</w:t>
      </w:r>
      <w:r w:rsidR="007C36C1" w:rsidRPr="003B0637">
        <w:rPr>
          <w:szCs w:val="26"/>
        </w:rPr>
        <w:t xml:space="preserve"> </w:t>
      </w:r>
      <w:r w:rsidR="005B69BF" w:rsidRPr="003B0637">
        <w:rPr>
          <w:szCs w:val="26"/>
        </w:rPr>
        <w:t>discussed</w:t>
      </w:r>
      <w:r w:rsidR="00726BC4" w:rsidRPr="003B0637">
        <w:rPr>
          <w:szCs w:val="26"/>
        </w:rPr>
        <w:t xml:space="preserve"> more extensively above </w:t>
      </w:r>
      <w:r w:rsidR="005B69BF" w:rsidRPr="003B0637">
        <w:rPr>
          <w:szCs w:val="26"/>
        </w:rPr>
        <w:t xml:space="preserve">in the Legal Standards section of this Order.  </w:t>
      </w:r>
      <w:r w:rsidR="00363256" w:rsidRPr="003B0637">
        <w:rPr>
          <w:szCs w:val="26"/>
        </w:rPr>
        <w:t>T</w:t>
      </w:r>
      <w:r w:rsidR="0042673C" w:rsidRPr="003B0637">
        <w:rPr>
          <w:szCs w:val="26"/>
        </w:rPr>
        <w:t xml:space="preserve">he ALJs </w:t>
      </w:r>
      <w:r w:rsidR="009E444D">
        <w:rPr>
          <w:szCs w:val="26"/>
        </w:rPr>
        <w:t xml:space="preserve">correctly identified this </w:t>
      </w:r>
      <w:r w:rsidR="0042673C" w:rsidRPr="003B0637">
        <w:rPr>
          <w:szCs w:val="26"/>
        </w:rPr>
        <w:t xml:space="preserve">standard, stating that </w:t>
      </w:r>
      <w:r w:rsidR="00564130" w:rsidRPr="003B0637">
        <w:rPr>
          <w:szCs w:val="26"/>
        </w:rPr>
        <w:t>PPL EU</w:t>
      </w:r>
      <w:r w:rsidR="0042673C" w:rsidRPr="003B0637">
        <w:rPr>
          <w:szCs w:val="26"/>
        </w:rPr>
        <w:t xml:space="preserve"> must demonstrate that granting a certificate of public convenience provides an affirmative public benefit or is necessary or proper for the service, accommodation, convenience, or safety of the public.  R.D. at 17.  </w:t>
      </w:r>
      <w:r w:rsidR="008778F1" w:rsidRPr="003B0637">
        <w:rPr>
          <w:szCs w:val="26"/>
        </w:rPr>
        <w:t xml:space="preserve">We read the ALJs’ </w:t>
      </w:r>
      <w:r w:rsidR="00715EA3" w:rsidRPr="003B0637">
        <w:rPr>
          <w:szCs w:val="26"/>
        </w:rPr>
        <w:t>use of</w:t>
      </w:r>
      <w:r w:rsidR="00A27FAE" w:rsidRPr="003B0637">
        <w:rPr>
          <w:szCs w:val="26"/>
        </w:rPr>
        <w:t xml:space="preserve"> the word</w:t>
      </w:r>
      <w:r w:rsidR="00715EA3" w:rsidRPr="003B0637">
        <w:rPr>
          <w:szCs w:val="26"/>
        </w:rPr>
        <w:t xml:space="preserve"> “or” as</w:t>
      </w:r>
      <w:r w:rsidR="008778F1" w:rsidRPr="003B0637">
        <w:rPr>
          <w:szCs w:val="26"/>
        </w:rPr>
        <w:t xml:space="preserve"> </w:t>
      </w:r>
      <w:r w:rsidR="00715EA3" w:rsidRPr="003B0637">
        <w:rPr>
          <w:szCs w:val="26"/>
        </w:rPr>
        <w:t>interpreting</w:t>
      </w:r>
      <w:r w:rsidR="00E56099" w:rsidRPr="003B0637">
        <w:rPr>
          <w:szCs w:val="26"/>
        </w:rPr>
        <w:t xml:space="preserve"> the “affirmative public</w:t>
      </w:r>
      <w:r w:rsidR="008778F1" w:rsidRPr="003B0637">
        <w:rPr>
          <w:szCs w:val="26"/>
        </w:rPr>
        <w:t xml:space="preserve"> benefit” phrasing</w:t>
      </w:r>
      <w:r w:rsidR="006E4C85" w:rsidRPr="003B0637">
        <w:rPr>
          <w:szCs w:val="26"/>
        </w:rPr>
        <w:t xml:space="preserve"> in </w:t>
      </w:r>
      <w:r w:rsidR="006E4C85" w:rsidRPr="003B0637">
        <w:rPr>
          <w:i/>
          <w:szCs w:val="26"/>
        </w:rPr>
        <w:t>City of York</w:t>
      </w:r>
      <w:r w:rsidR="008778F1" w:rsidRPr="003B0637">
        <w:rPr>
          <w:szCs w:val="26"/>
        </w:rPr>
        <w:t xml:space="preserve"> </w:t>
      </w:r>
      <w:r w:rsidR="00715EA3" w:rsidRPr="003B0637">
        <w:rPr>
          <w:szCs w:val="26"/>
        </w:rPr>
        <w:t xml:space="preserve">to be </w:t>
      </w:r>
      <w:r w:rsidR="000B6F22" w:rsidRPr="003B0637">
        <w:rPr>
          <w:szCs w:val="26"/>
        </w:rPr>
        <w:t>equal</w:t>
      </w:r>
      <w:r w:rsidR="001249B5" w:rsidRPr="003B0637">
        <w:rPr>
          <w:szCs w:val="26"/>
        </w:rPr>
        <w:t xml:space="preserve"> with, or </w:t>
      </w:r>
      <w:r w:rsidR="00715EA3" w:rsidRPr="003B0637">
        <w:rPr>
          <w:szCs w:val="26"/>
        </w:rPr>
        <w:t xml:space="preserve">as </w:t>
      </w:r>
      <w:r w:rsidR="001249B5" w:rsidRPr="003B0637">
        <w:rPr>
          <w:szCs w:val="26"/>
        </w:rPr>
        <w:t>having the same meaning as,</w:t>
      </w:r>
      <w:r w:rsidR="000B6F22" w:rsidRPr="003B0637">
        <w:rPr>
          <w:szCs w:val="26"/>
        </w:rPr>
        <w:t xml:space="preserve"> </w:t>
      </w:r>
      <w:r w:rsidR="00E56099" w:rsidRPr="003B0637">
        <w:rPr>
          <w:szCs w:val="26"/>
        </w:rPr>
        <w:t xml:space="preserve">the express language in the statute.  </w:t>
      </w:r>
      <w:r w:rsidR="00715EA3" w:rsidRPr="003B0637">
        <w:rPr>
          <w:szCs w:val="26"/>
        </w:rPr>
        <w:t>We concur with the ALJs</w:t>
      </w:r>
      <w:r w:rsidR="00A27FAE" w:rsidRPr="003B0637">
        <w:rPr>
          <w:szCs w:val="26"/>
        </w:rPr>
        <w:t xml:space="preserve">’ </w:t>
      </w:r>
      <w:r w:rsidR="002B26A8" w:rsidRPr="003B0637">
        <w:rPr>
          <w:szCs w:val="26"/>
        </w:rPr>
        <w:t>Recommended Decision</w:t>
      </w:r>
      <w:r w:rsidR="00715EA3" w:rsidRPr="003B0637">
        <w:rPr>
          <w:szCs w:val="26"/>
        </w:rPr>
        <w:t>.</w:t>
      </w:r>
    </w:p>
    <w:p w14:paraId="5B9DE516" w14:textId="77777777" w:rsidR="0053589A" w:rsidRPr="003B0637" w:rsidRDefault="0053589A" w:rsidP="00502FC8">
      <w:pPr>
        <w:autoSpaceDE w:val="0"/>
        <w:autoSpaceDN w:val="0"/>
        <w:adjustRightInd w:val="0"/>
        <w:rPr>
          <w:szCs w:val="26"/>
        </w:rPr>
      </w:pPr>
    </w:p>
    <w:p w14:paraId="326C7139" w14:textId="219C2552" w:rsidR="00837E79" w:rsidRPr="003B0637" w:rsidRDefault="0042350B" w:rsidP="004556A0">
      <w:pPr>
        <w:autoSpaceDE w:val="0"/>
        <w:autoSpaceDN w:val="0"/>
        <w:adjustRightInd w:val="0"/>
        <w:rPr>
          <w:szCs w:val="26"/>
        </w:rPr>
      </w:pPr>
      <w:r>
        <w:rPr>
          <w:szCs w:val="26"/>
        </w:rPr>
        <w:t>I</w:t>
      </w:r>
      <w:r w:rsidR="00E617CE" w:rsidRPr="003B0637">
        <w:rPr>
          <w:szCs w:val="26"/>
        </w:rPr>
        <w:t xml:space="preserve">n our opinion, </w:t>
      </w:r>
      <w:r w:rsidR="00916245" w:rsidRPr="003B0637">
        <w:rPr>
          <w:szCs w:val="26"/>
        </w:rPr>
        <w:t>PPL EU</w:t>
      </w:r>
      <w:r w:rsidR="005879F3" w:rsidRPr="003B0637">
        <w:rPr>
          <w:szCs w:val="26"/>
        </w:rPr>
        <w:t xml:space="preserve">’s reliance on </w:t>
      </w:r>
      <w:r w:rsidR="005879F3" w:rsidRPr="003B0637">
        <w:rPr>
          <w:i/>
          <w:szCs w:val="26"/>
        </w:rPr>
        <w:t>James Black Service</w:t>
      </w:r>
      <w:r w:rsidR="00E617CE" w:rsidRPr="003B0637">
        <w:rPr>
          <w:szCs w:val="26"/>
        </w:rPr>
        <w:t xml:space="preserve"> </w:t>
      </w:r>
      <w:r w:rsidR="00474D5C" w:rsidRPr="003B0637">
        <w:rPr>
          <w:szCs w:val="26"/>
        </w:rPr>
        <w:t xml:space="preserve">is misplaced </w:t>
      </w:r>
      <w:r w:rsidR="00544113" w:rsidRPr="003B0637">
        <w:rPr>
          <w:szCs w:val="26"/>
        </w:rPr>
        <w:t xml:space="preserve">in support of its </w:t>
      </w:r>
      <w:r w:rsidR="005B69BF" w:rsidRPr="003B0637">
        <w:rPr>
          <w:szCs w:val="26"/>
        </w:rPr>
        <w:t>position</w:t>
      </w:r>
      <w:r w:rsidR="00544113" w:rsidRPr="003B0637">
        <w:rPr>
          <w:szCs w:val="26"/>
        </w:rPr>
        <w:t xml:space="preserve"> </w:t>
      </w:r>
      <w:r w:rsidR="00474D5C" w:rsidRPr="003B0637">
        <w:rPr>
          <w:szCs w:val="26"/>
        </w:rPr>
        <w:t xml:space="preserve">that </w:t>
      </w:r>
      <w:r w:rsidR="000B6F22" w:rsidRPr="003B0637">
        <w:rPr>
          <w:szCs w:val="26"/>
        </w:rPr>
        <w:t xml:space="preserve">there exists </w:t>
      </w:r>
      <w:r w:rsidR="008778F1" w:rsidRPr="003B0637">
        <w:rPr>
          <w:szCs w:val="26"/>
        </w:rPr>
        <w:t xml:space="preserve">flexibility </w:t>
      </w:r>
      <w:r w:rsidR="008F5AD2" w:rsidRPr="003B0637">
        <w:rPr>
          <w:szCs w:val="26"/>
        </w:rPr>
        <w:t>with</w:t>
      </w:r>
      <w:r w:rsidR="000B6F22" w:rsidRPr="003B0637">
        <w:rPr>
          <w:szCs w:val="26"/>
        </w:rPr>
        <w:t>in the</w:t>
      </w:r>
      <w:r w:rsidR="008F5AD2" w:rsidRPr="003B0637">
        <w:rPr>
          <w:szCs w:val="26"/>
        </w:rPr>
        <w:t xml:space="preserve"> Section 1103(a)</w:t>
      </w:r>
      <w:r w:rsidR="008778F1" w:rsidRPr="003B0637">
        <w:rPr>
          <w:szCs w:val="26"/>
        </w:rPr>
        <w:t xml:space="preserve"> standard </w:t>
      </w:r>
      <w:r w:rsidR="000B6F22" w:rsidRPr="003B0637">
        <w:rPr>
          <w:szCs w:val="26"/>
        </w:rPr>
        <w:t>de</w:t>
      </w:r>
      <w:r w:rsidR="00E56099" w:rsidRPr="003B0637">
        <w:rPr>
          <w:szCs w:val="26"/>
        </w:rPr>
        <w:t xml:space="preserve">pending on the type of </w:t>
      </w:r>
      <w:r w:rsidR="006D5DB9" w:rsidRPr="003B0637">
        <w:rPr>
          <w:szCs w:val="26"/>
        </w:rPr>
        <w:t>Section 1102(a)(3) transaction</w:t>
      </w:r>
      <w:r w:rsidR="00E56099" w:rsidRPr="003B0637">
        <w:rPr>
          <w:szCs w:val="26"/>
        </w:rPr>
        <w:t xml:space="preserve"> before the Commission</w:t>
      </w:r>
      <w:r w:rsidR="005B69BF" w:rsidRPr="003B0637">
        <w:rPr>
          <w:szCs w:val="26"/>
        </w:rPr>
        <w:t>.</w:t>
      </w:r>
      <w:r w:rsidR="00B2295F" w:rsidRPr="003B0637">
        <w:rPr>
          <w:szCs w:val="26"/>
        </w:rPr>
        <w:t xml:space="preserve">  </w:t>
      </w:r>
      <w:r w:rsidR="005879F3" w:rsidRPr="003B0637">
        <w:rPr>
          <w:szCs w:val="26"/>
        </w:rPr>
        <w:t>I</w:t>
      </w:r>
      <w:r w:rsidR="00BD1D13" w:rsidRPr="003B0637">
        <w:rPr>
          <w:szCs w:val="26"/>
        </w:rPr>
        <w:t xml:space="preserve">n </w:t>
      </w:r>
      <w:r w:rsidR="00474D5C" w:rsidRPr="003B0637">
        <w:rPr>
          <w:i/>
          <w:szCs w:val="26"/>
        </w:rPr>
        <w:t>James Black Service</w:t>
      </w:r>
      <w:r w:rsidR="00474D5C" w:rsidRPr="003B0637">
        <w:rPr>
          <w:szCs w:val="26"/>
        </w:rPr>
        <w:t>,</w:t>
      </w:r>
      <w:r w:rsidR="00B2295F" w:rsidRPr="003B0637">
        <w:rPr>
          <w:szCs w:val="26"/>
        </w:rPr>
        <w:t xml:space="preserve"> </w:t>
      </w:r>
      <w:r w:rsidR="006171EB" w:rsidRPr="003B0637">
        <w:rPr>
          <w:szCs w:val="26"/>
        </w:rPr>
        <w:t xml:space="preserve">the application </w:t>
      </w:r>
      <w:r w:rsidR="00E2626D" w:rsidRPr="003B0637">
        <w:rPr>
          <w:szCs w:val="26"/>
        </w:rPr>
        <w:t>involved a</w:t>
      </w:r>
      <w:r w:rsidR="00B82EFB" w:rsidRPr="003B0637">
        <w:rPr>
          <w:szCs w:val="26"/>
        </w:rPr>
        <w:t xml:space="preserve"> </w:t>
      </w:r>
      <w:r w:rsidR="00CE4EC5" w:rsidRPr="003B0637">
        <w:rPr>
          <w:i/>
          <w:szCs w:val="26"/>
        </w:rPr>
        <w:t>de facto</w:t>
      </w:r>
      <w:r w:rsidR="00CE4EC5" w:rsidRPr="003B0637">
        <w:rPr>
          <w:szCs w:val="26"/>
        </w:rPr>
        <w:t xml:space="preserve"> water utility</w:t>
      </w:r>
      <w:r w:rsidR="00E2626D" w:rsidRPr="003B0637">
        <w:rPr>
          <w:szCs w:val="26"/>
        </w:rPr>
        <w:t xml:space="preserve"> </w:t>
      </w:r>
      <w:r w:rsidR="00BD1D13" w:rsidRPr="003B0637">
        <w:rPr>
          <w:szCs w:val="26"/>
        </w:rPr>
        <w:t>operating a small, nonviable water system</w:t>
      </w:r>
      <w:r w:rsidR="006171EB" w:rsidRPr="003B0637">
        <w:rPr>
          <w:szCs w:val="26"/>
        </w:rPr>
        <w:t xml:space="preserve">.  </w:t>
      </w:r>
      <w:r w:rsidR="002719FA" w:rsidRPr="003B0637">
        <w:rPr>
          <w:szCs w:val="26"/>
        </w:rPr>
        <w:t>We note here that</w:t>
      </w:r>
      <w:r w:rsidR="005E7B10" w:rsidRPr="003B0637">
        <w:rPr>
          <w:szCs w:val="26"/>
        </w:rPr>
        <w:t>,</w:t>
      </w:r>
      <w:r w:rsidR="000B6F22" w:rsidRPr="003B0637">
        <w:rPr>
          <w:szCs w:val="26"/>
        </w:rPr>
        <w:t xml:space="preserve"> throughout t</w:t>
      </w:r>
      <w:r w:rsidR="00FE7DAA" w:rsidRPr="003B0637">
        <w:rPr>
          <w:szCs w:val="26"/>
        </w:rPr>
        <w:t xml:space="preserve">hat </w:t>
      </w:r>
      <w:r w:rsidR="000B6F22" w:rsidRPr="003B0637">
        <w:rPr>
          <w:szCs w:val="26"/>
        </w:rPr>
        <w:t>proceeding</w:t>
      </w:r>
      <w:r w:rsidR="005E7B10" w:rsidRPr="003B0637">
        <w:rPr>
          <w:szCs w:val="26"/>
        </w:rPr>
        <w:t>,</w:t>
      </w:r>
      <w:r w:rsidR="002719FA" w:rsidRPr="003B0637">
        <w:rPr>
          <w:szCs w:val="26"/>
        </w:rPr>
        <w:t xml:space="preserve"> neither the Parties </w:t>
      </w:r>
      <w:r w:rsidR="00155E69" w:rsidRPr="003B0637">
        <w:rPr>
          <w:szCs w:val="26"/>
        </w:rPr>
        <w:t xml:space="preserve">in their briefs or exceptions, </w:t>
      </w:r>
      <w:r w:rsidR="002719FA" w:rsidRPr="003B0637">
        <w:rPr>
          <w:szCs w:val="26"/>
        </w:rPr>
        <w:t>nor the ALJs</w:t>
      </w:r>
      <w:r w:rsidR="00155E69" w:rsidRPr="003B0637">
        <w:rPr>
          <w:szCs w:val="26"/>
        </w:rPr>
        <w:t xml:space="preserve"> in the</w:t>
      </w:r>
      <w:r w:rsidR="00FE7DAA" w:rsidRPr="003B0637">
        <w:rPr>
          <w:szCs w:val="26"/>
        </w:rPr>
        <w:t>ir</w:t>
      </w:r>
      <w:r w:rsidR="00155E69" w:rsidRPr="003B0637">
        <w:rPr>
          <w:szCs w:val="26"/>
        </w:rPr>
        <w:t xml:space="preserve"> </w:t>
      </w:r>
      <w:r w:rsidR="006171EB" w:rsidRPr="003B0637">
        <w:rPr>
          <w:szCs w:val="26"/>
        </w:rPr>
        <w:t>r</w:t>
      </w:r>
      <w:r w:rsidR="00155E69" w:rsidRPr="003B0637">
        <w:rPr>
          <w:szCs w:val="26"/>
        </w:rPr>
        <w:t xml:space="preserve">ecommended </w:t>
      </w:r>
      <w:r w:rsidR="006171EB" w:rsidRPr="003B0637">
        <w:rPr>
          <w:szCs w:val="26"/>
        </w:rPr>
        <w:t>d</w:t>
      </w:r>
      <w:r w:rsidR="00155E69" w:rsidRPr="003B0637">
        <w:rPr>
          <w:szCs w:val="26"/>
        </w:rPr>
        <w:t>ecision,</w:t>
      </w:r>
      <w:r w:rsidR="002719FA" w:rsidRPr="003B0637">
        <w:rPr>
          <w:szCs w:val="26"/>
        </w:rPr>
        <w:t xml:space="preserve"> </w:t>
      </w:r>
      <w:r w:rsidR="0017100E" w:rsidRPr="003B0637">
        <w:rPr>
          <w:szCs w:val="26"/>
        </w:rPr>
        <w:t xml:space="preserve">discussed or </w:t>
      </w:r>
      <w:r w:rsidR="002719FA" w:rsidRPr="003B0637">
        <w:rPr>
          <w:szCs w:val="26"/>
        </w:rPr>
        <w:t>applied</w:t>
      </w:r>
      <w:r w:rsidR="00DC14DC" w:rsidRPr="003B0637">
        <w:rPr>
          <w:szCs w:val="26"/>
        </w:rPr>
        <w:t xml:space="preserve"> the </w:t>
      </w:r>
      <w:r w:rsidR="002719FA" w:rsidRPr="003B0637">
        <w:rPr>
          <w:szCs w:val="26"/>
        </w:rPr>
        <w:t xml:space="preserve">affirmative public benefit </w:t>
      </w:r>
      <w:r w:rsidR="00B97F34" w:rsidRPr="003B0637">
        <w:rPr>
          <w:szCs w:val="26"/>
        </w:rPr>
        <w:t>language appearing in</w:t>
      </w:r>
      <w:r w:rsidR="002719FA" w:rsidRPr="003B0637">
        <w:rPr>
          <w:szCs w:val="26"/>
        </w:rPr>
        <w:t xml:space="preserve"> </w:t>
      </w:r>
      <w:r w:rsidR="002719FA" w:rsidRPr="003B0637">
        <w:rPr>
          <w:i/>
          <w:szCs w:val="26"/>
        </w:rPr>
        <w:t>City of York</w:t>
      </w:r>
      <w:r w:rsidR="002719FA" w:rsidRPr="003B0637">
        <w:rPr>
          <w:szCs w:val="26"/>
        </w:rPr>
        <w:t>.  Rather, what was discus</w:t>
      </w:r>
      <w:r w:rsidR="00DC14DC" w:rsidRPr="003B0637">
        <w:rPr>
          <w:szCs w:val="26"/>
        </w:rPr>
        <w:t>sed was relevant prior cases</w:t>
      </w:r>
      <w:r w:rsidR="00953C28" w:rsidRPr="003B0637">
        <w:rPr>
          <w:szCs w:val="26"/>
        </w:rPr>
        <w:t>, including</w:t>
      </w:r>
      <w:r w:rsidR="00933E08" w:rsidRPr="003B0637">
        <w:rPr>
          <w:szCs w:val="26"/>
        </w:rPr>
        <w:t xml:space="preserve">, </w:t>
      </w:r>
      <w:r w:rsidR="00933E08" w:rsidRPr="003B0637">
        <w:rPr>
          <w:i/>
          <w:szCs w:val="26"/>
        </w:rPr>
        <w:t>inter alia</w:t>
      </w:r>
      <w:r w:rsidR="00933E08" w:rsidRPr="003B0637">
        <w:rPr>
          <w:szCs w:val="26"/>
        </w:rPr>
        <w:t>,</w:t>
      </w:r>
      <w:r w:rsidR="00953C28" w:rsidRPr="003B0637">
        <w:rPr>
          <w:i/>
          <w:szCs w:val="26"/>
        </w:rPr>
        <w:t xml:space="preserve"> Seaboard</w:t>
      </w:r>
      <w:r w:rsidR="00953C28" w:rsidRPr="003B0637">
        <w:rPr>
          <w:szCs w:val="26"/>
        </w:rPr>
        <w:t>,</w:t>
      </w:r>
      <w:r w:rsidR="00DC14DC" w:rsidRPr="003B0637">
        <w:rPr>
          <w:szCs w:val="26"/>
        </w:rPr>
        <w:t xml:space="preserve"> </w:t>
      </w:r>
      <w:r w:rsidR="002719FA" w:rsidRPr="003B0637">
        <w:rPr>
          <w:szCs w:val="26"/>
        </w:rPr>
        <w:t xml:space="preserve">that </w:t>
      </w:r>
      <w:r w:rsidR="00075097" w:rsidRPr="003B0637">
        <w:rPr>
          <w:szCs w:val="26"/>
        </w:rPr>
        <w:t>required us to</w:t>
      </w:r>
      <w:r w:rsidR="00DC14DC" w:rsidRPr="003B0637">
        <w:rPr>
          <w:szCs w:val="26"/>
        </w:rPr>
        <w:t xml:space="preserve"> find </w:t>
      </w:r>
      <w:r w:rsidR="000B6F22" w:rsidRPr="003B0637">
        <w:rPr>
          <w:szCs w:val="26"/>
        </w:rPr>
        <w:t xml:space="preserve">a </w:t>
      </w:r>
      <w:r w:rsidR="00075097" w:rsidRPr="003B0637">
        <w:rPr>
          <w:szCs w:val="26"/>
        </w:rPr>
        <w:t>public need for the</w:t>
      </w:r>
      <w:r w:rsidR="00155E69" w:rsidRPr="003B0637">
        <w:rPr>
          <w:szCs w:val="26"/>
        </w:rPr>
        <w:t xml:space="preserve"> water utility</w:t>
      </w:r>
      <w:r w:rsidR="00075097" w:rsidRPr="003B0637">
        <w:rPr>
          <w:szCs w:val="26"/>
        </w:rPr>
        <w:t xml:space="preserve"> </w:t>
      </w:r>
      <w:r w:rsidR="002719FA" w:rsidRPr="003B0637">
        <w:rPr>
          <w:szCs w:val="26"/>
        </w:rPr>
        <w:t xml:space="preserve">service and </w:t>
      </w:r>
      <w:r w:rsidR="00351CB8" w:rsidRPr="003B0637">
        <w:rPr>
          <w:szCs w:val="26"/>
        </w:rPr>
        <w:t>find that</w:t>
      </w:r>
      <w:r w:rsidR="0017100E" w:rsidRPr="003B0637">
        <w:rPr>
          <w:szCs w:val="26"/>
        </w:rPr>
        <w:t xml:space="preserve"> </w:t>
      </w:r>
      <w:r w:rsidR="002719FA" w:rsidRPr="003B0637">
        <w:rPr>
          <w:szCs w:val="26"/>
        </w:rPr>
        <w:t>the applicant</w:t>
      </w:r>
      <w:r w:rsidR="0017100E" w:rsidRPr="003B0637">
        <w:rPr>
          <w:szCs w:val="26"/>
        </w:rPr>
        <w:t xml:space="preserve"> is fit to provide the service</w:t>
      </w:r>
      <w:r w:rsidR="00155E69" w:rsidRPr="003B0637">
        <w:rPr>
          <w:szCs w:val="26"/>
        </w:rPr>
        <w:t xml:space="preserve">.  </w:t>
      </w:r>
      <w:r w:rsidR="002719FA" w:rsidRPr="003B0637">
        <w:rPr>
          <w:szCs w:val="26"/>
        </w:rPr>
        <w:t>I</w:t>
      </w:r>
      <w:r w:rsidR="00617D02" w:rsidRPr="003B0637">
        <w:rPr>
          <w:szCs w:val="26"/>
        </w:rPr>
        <w:t xml:space="preserve">n support </w:t>
      </w:r>
      <w:r w:rsidR="00E56099" w:rsidRPr="003B0637">
        <w:rPr>
          <w:szCs w:val="26"/>
        </w:rPr>
        <w:t>of our decision</w:t>
      </w:r>
      <w:r w:rsidR="000B6F22" w:rsidRPr="003B0637">
        <w:rPr>
          <w:szCs w:val="26"/>
        </w:rPr>
        <w:t xml:space="preserve"> in </w:t>
      </w:r>
      <w:r w:rsidR="000B6F22" w:rsidRPr="003B0637">
        <w:rPr>
          <w:i/>
          <w:szCs w:val="26"/>
        </w:rPr>
        <w:t>James Black Service</w:t>
      </w:r>
      <w:r w:rsidR="00B64067" w:rsidRPr="003B0637">
        <w:rPr>
          <w:szCs w:val="26"/>
        </w:rPr>
        <w:t xml:space="preserve">, </w:t>
      </w:r>
      <w:r w:rsidR="00617D02" w:rsidRPr="003B0637">
        <w:rPr>
          <w:szCs w:val="26"/>
        </w:rPr>
        <w:t>we relied</w:t>
      </w:r>
      <w:r w:rsidR="00155E69" w:rsidRPr="003B0637">
        <w:rPr>
          <w:szCs w:val="26"/>
        </w:rPr>
        <w:t xml:space="preserve">, in part on those cases, as well as the express language on Section 1103(a) and </w:t>
      </w:r>
      <w:r w:rsidR="008F5AD2" w:rsidRPr="003B0637">
        <w:rPr>
          <w:szCs w:val="26"/>
        </w:rPr>
        <w:t>the</w:t>
      </w:r>
      <w:r w:rsidR="00617D02" w:rsidRPr="003B0637">
        <w:rPr>
          <w:szCs w:val="26"/>
        </w:rPr>
        <w:t xml:space="preserve"> Court’s decision in </w:t>
      </w:r>
      <w:r w:rsidR="00617D02" w:rsidRPr="003B0637">
        <w:rPr>
          <w:i/>
          <w:szCs w:val="26"/>
        </w:rPr>
        <w:t>Elite</w:t>
      </w:r>
      <w:r w:rsidR="00933E08" w:rsidRPr="003B0637">
        <w:rPr>
          <w:szCs w:val="26"/>
        </w:rPr>
        <w:t xml:space="preserve">, which </w:t>
      </w:r>
      <w:r w:rsidR="00DC14DC" w:rsidRPr="003B0637">
        <w:rPr>
          <w:szCs w:val="26"/>
        </w:rPr>
        <w:t>left</w:t>
      </w:r>
      <w:r w:rsidR="005B69BF" w:rsidRPr="003B0637">
        <w:rPr>
          <w:rFonts w:eastAsiaTheme="minorHAnsi"/>
          <w:szCs w:val="26"/>
        </w:rPr>
        <w:t xml:space="preserve"> the specific factors to be considered </w:t>
      </w:r>
      <w:r w:rsidR="00DC14DC" w:rsidRPr="003B0637">
        <w:rPr>
          <w:rFonts w:eastAsiaTheme="minorHAnsi"/>
          <w:szCs w:val="26"/>
        </w:rPr>
        <w:t xml:space="preserve">in granting a certificate </w:t>
      </w:r>
      <w:r w:rsidR="00075097" w:rsidRPr="003B0637">
        <w:rPr>
          <w:rFonts w:eastAsiaTheme="minorHAnsi"/>
          <w:szCs w:val="26"/>
        </w:rPr>
        <w:t>to our</w:t>
      </w:r>
      <w:r w:rsidR="005B69BF" w:rsidRPr="003B0637">
        <w:rPr>
          <w:rFonts w:eastAsiaTheme="minorHAnsi"/>
          <w:szCs w:val="26"/>
        </w:rPr>
        <w:t xml:space="preserve"> administrative expertise, sound discretion and good </w:t>
      </w:r>
      <w:r w:rsidR="00BA19DE">
        <w:rPr>
          <w:rFonts w:eastAsiaTheme="minorHAnsi"/>
          <w:szCs w:val="26"/>
        </w:rPr>
        <w:t>judgment</w:t>
      </w:r>
      <w:r w:rsidR="00A51EA6" w:rsidRPr="003B0637">
        <w:rPr>
          <w:rFonts w:eastAsiaTheme="minorHAnsi"/>
          <w:szCs w:val="26"/>
        </w:rPr>
        <w:t>.</w:t>
      </w:r>
      <w:r w:rsidR="007C36C1" w:rsidRPr="003B0637">
        <w:rPr>
          <w:rFonts w:eastAsiaTheme="minorHAnsi"/>
          <w:szCs w:val="26"/>
        </w:rPr>
        <w:t xml:space="preserve">  </w:t>
      </w:r>
      <w:r w:rsidR="00155E69" w:rsidRPr="003B0637">
        <w:rPr>
          <w:rFonts w:eastAsiaTheme="minorHAnsi"/>
          <w:i/>
          <w:szCs w:val="26"/>
        </w:rPr>
        <w:t>Id</w:t>
      </w:r>
      <w:r w:rsidR="00155E69" w:rsidRPr="003B0637">
        <w:rPr>
          <w:rFonts w:eastAsiaTheme="minorHAnsi"/>
          <w:szCs w:val="26"/>
        </w:rPr>
        <w:t xml:space="preserve">. at 5-7.  </w:t>
      </w:r>
      <w:r w:rsidR="007E7AFB" w:rsidRPr="003B0637">
        <w:rPr>
          <w:szCs w:val="26"/>
        </w:rPr>
        <w:t>We concluded that the continuation of existing service from the water distribution system to its existing customers, subject to the</w:t>
      </w:r>
      <w:r w:rsidR="00CB6A8E" w:rsidRPr="003B0637">
        <w:rPr>
          <w:szCs w:val="26"/>
        </w:rPr>
        <w:t xml:space="preserve"> system’s</w:t>
      </w:r>
      <w:r w:rsidR="007E7AFB" w:rsidRPr="003B0637">
        <w:rPr>
          <w:szCs w:val="26"/>
        </w:rPr>
        <w:t xml:space="preserve"> operator </w:t>
      </w:r>
      <w:r w:rsidR="001E290F" w:rsidRPr="003B0637">
        <w:rPr>
          <w:szCs w:val="26"/>
        </w:rPr>
        <w:t>satisfying</w:t>
      </w:r>
      <w:r w:rsidR="007E7AFB" w:rsidRPr="003B0637">
        <w:rPr>
          <w:szCs w:val="26"/>
        </w:rPr>
        <w:t xml:space="preserve"> extensive conditions we deemed just and reasonable and subject further to the outcome of the Section 529 investigation ordered therein, was necessary or proper for the</w:t>
      </w:r>
      <w:r w:rsidR="00BA19DE">
        <w:rPr>
          <w:szCs w:val="26"/>
        </w:rPr>
        <w:t xml:space="preserve"> </w:t>
      </w:r>
      <w:r w:rsidR="007E7AFB" w:rsidRPr="003B0637">
        <w:rPr>
          <w:szCs w:val="26"/>
        </w:rPr>
        <w:t xml:space="preserve">service, accommodation, </w:t>
      </w:r>
      <w:r w:rsidR="007E7AFB" w:rsidRPr="003B0637">
        <w:rPr>
          <w:szCs w:val="26"/>
        </w:rPr>
        <w:lastRenderedPageBreak/>
        <w:t xml:space="preserve">convenience and safety of the public served by that system.  </w:t>
      </w:r>
      <w:r w:rsidR="007E7AFB" w:rsidRPr="003B0637">
        <w:rPr>
          <w:i/>
          <w:szCs w:val="26"/>
        </w:rPr>
        <w:t>James Black Service</w:t>
      </w:r>
      <w:r w:rsidR="007E7AFB" w:rsidRPr="003B0637">
        <w:rPr>
          <w:szCs w:val="26"/>
        </w:rPr>
        <w:t xml:space="preserve">, slip op. at 55.  </w:t>
      </w:r>
      <w:r w:rsidR="00953C28" w:rsidRPr="003B0637">
        <w:rPr>
          <w:rFonts w:eastAsiaTheme="minorHAnsi"/>
          <w:szCs w:val="26"/>
        </w:rPr>
        <w:t>O</w:t>
      </w:r>
      <w:r w:rsidR="002719FA" w:rsidRPr="003B0637">
        <w:rPr>
          <w:szCs w:val="26"/>
        </w:rPr>
        <w:t xml:space="preserve">ur </w:t>
      </w:r>
      <w:r w:rsidR="0017100E" w:rsidRPr="003B0637">
        <w:rPr>
          <w:szCs w:val="26"/>
        </w:rPr>
        <w:t xml:space="preserve">decision to grant a conditional certificate of public convenience </w:t>
      </w:r>
      <w:r w:rsidR="006171EB" w:rsidRPr="003B0637">
        <w:rPr>
          <w:szCs w:val="26"/>
        </w:rPr>
        <w:t>was made after finding that substantial record evidence demonstrated an</w:t>
      </w:r>
      <w:r w:rsidR="002719FA" w:rsidRPr="003B0637">
        <w:rPr>
          <w:szCs w:val="26"/>
        </w:rPr>
        <w:t xml:space="preserve"> immediate public need for the </w:t>
      </w:r>
      <w:r w:rsidR="00F73D26" w:rsidRPr="003B0637">
        <w:rPr>
          <w:szCs w:val="26"/>
        </w:rPr>
        <w:t xml:space="preserve">existing water distribution </w:t>
      </w:r>
      <w:r w:rsidR="002719FA" w:rsidRPr="003B0637">
        <w:rPr>
          <w:szCs w:val="26"/>
        </w:rPr>
        <w:t>service</w:t>
      </w:r>
      <w:r w:rsidR="00953C28" w:rsidRPr="003B0637">
        <w:rPr>
          <w:szCs w:val="26"/>
        </w:rPr>
        <w:t xml:space="preserve"> </w:t>
      </w:r>
      <w:r w:rsidR="006171EB" w:rsidRPr="003B0637">
        <w:rPr>
          <w:szCs w:val="26"/>
        </w:rPr>
        <w:t>and</w:t>
      </w:r>
      <w:r w:rsidR="000F5971" w:rsidRPr="003B0637">
        <w:rPr>
          <w:szCs w:val="26"/>
        </w:rPr>
        <w:t xml:space="preserve"> </w:t>
      </w:r>
      <w:r w:rsidR="00DC14DC" w:rsidRPr="003B0637">
        <w:rPr>
          <w:szCs w:val="26"/>
        </w:rPr>
        <w:t xml:space="preserve">that the </w:t>
      </w:r>
      <w:r w:rsidR="00F73D26" w:rsidRPr="003B0637">
        <w:rPr>
          <w:szCs w:val="26"/>
        </w:rPr>
        <w:t xml:space="preserve">water </w:t>
      </w:r>
      <w:r w:rsidR="00DC14DC" w:rsidRPr="003B0637">
        <w:rPr>
          <w:szCs w:val="26"/>
        </w:rPr>
        <w:t>system was currently compliant with environmental water quality testing</w:t>
      </w:r>
      <w:r w:rsidR="000F5971" w:rsidRPr="003B0637">
        <w:rPr>
          <w:szCs w:val="26"/>
        </w:rPr>
        <w:t xml:space="preserve"> and managed by an active owner.  </w:t>
      </w:r>
      <w:r w:rsidR="00706AF7" w:rsidRPr="003B0637">
        <w:rPr>
          <w:i/>
          <w:szCs w:val="26"/>
        </w:rPr>
        <w:t>Id</w:t>
      </w:r>
      <w:r w:rsidR="00706AF7" w:rsidRPr="003B0637">
        <w:rPr>
          <w:szCs w:val="26"/>
        </w:rPr>
        <w:t xml:space="preserve">. at </w:t>
      </w:r>
      <w:r w:rsidR="00DB70C5" w:rsidRPr="003B0637">
        <w:rPr>
          <w:szCs w:val="26"/>
        </w:rPr>
        <w:t xml:space="preserve">41-43.  </w:t>
      </w:r>
      <w:r w:rsidR="00F73D26" w:rsidRPr="003B0637">
        <w:rPr>
          <w:szCs w:val="26"/>
        </w:rPr>
        <w:t xml:space="preserve">Additionally, we found the record demonstrated </w:t>
      </w:r>
      <w:r w:rsidR="000F5971" w:rsidRPr="003B0637">
        <w:rPr>
          <w:szCs w:val="26"/>
        </w:rPr>
        <w:t xml:space="preserve">various operational issues, </w:t>
      </w:r>
      <w:r w:rsidR="00075097" w:rsidRPr="003B0637">
        <w:rPr>
          <w:szCs w:val="26"/>
        </w:rPr>
        <w:t xml:space="preserve">resulting in our directive to the </w:t>
      </w:r>
      <w:r w:rsidR="00DC14DC" w:rsidRPr="003B0637">
        <w:rPr>
          <w:szCs w:val="26"/>
        </w:rPr>
        <w:t xml:space="preserve">operator </w:t>
      </w:r>
      <w:r w:rsidR="00075097" w:rsidRPr="003B0637">
        <w:rPr>
          <w:szCs w:val="26"/>
        </w:rPr>
        <w:t xml:space="preserve">to </w:t>
      </w:r>
      <w:r w:rsidR="00DC14DC" w:rsidRPr="003B0637">
        <w:rPr>
          <w:szCs w:val="26"/>
        </w:rPr>
        <w:t>satisf</w:t>
      </w:r>
      <w:r w:rsidR="000F5971" w:rsidRPr="003B0637">
        <w:rPr>
          <w:szCs w:val="26"/>
        </w:rPr>
        <w:t>y</w:t>
      </w:r>
      <w:r w:rsidR="006171EB" w:rsidRPr="003B0637">
        <w:rPr>
          <w:szCs w:val="26"/>
        </w:rPr>
        <w:t>,</w:t>
      </w:r>
      <w:r w:rsidR="002719FA" w:rsidRPr="003B0637">
        <w:rPr>
          <w:szCs w:val="26"/>
        </w:rPr>
        <w:t xml:space="preserve"> </w:t>
      </w:r>
      <w:r w:rsidR="006171EB" w:rsidRPr="003B0637">
        <w:rPr>
          <w:szCs w:val="26"/>
        </w:rPr>
        <w:t xml:space="preserve">within the time periods ascribed, </w:t>
      </w:r>
      <w:r w:rsidR="00E2626D" w:rsidRPr="003B0637">
        <w:rPr>
          <w:szCs w:val="26"/>
        </w:rPr>
        <w:t xml:space="preserve">extensive conditions </w:t>
      </w:r>
      <w:r w:rsidR="000F5971" w:rsidRPr="003B0637">
        <w:rPr>
          <w:szCs w:val="26"/>
        </w:rPr>
        <w:t>that we deemed just and reasonable</w:t>
      </w:r>
      <w:r w:rsidR="00075097" w:rsidRPr="003B0637">
        <w:rPr>
          <w:szCs w:val="26"/>
        </w:rPr>
        <w:t xml:space="preserve">. </w:t>
      </w:r>
      <w:r w:rsidR="00DB70C5" w:rsidRPr="003B0637">
        <w:rPr>
          <w:szCs w:val="26"/>
        </w:rPr>
        <w:t xml:space="preserve"> </w:t>
      </w:r>
      <w:r w:rsidR="00DB70C5" w:rsidRPr="003B0637">
        <w:rPr>
          <w:i/>
          <w:szCs w:val="26"/>
        </w:rPr>
        <w:t>Id</w:t>
      </w:r>
      <w:r w:rsidR="00DB70C5" w:rsidRPr="003B0637">
        <w:rPr>
          <w:szCs w:val="26"/>
        </w:rPr>
        <w:t>. at 47-50.</w:t>
      </w:r>
      <w:r w:rsidR="00075097" w:rsidRPr="003B0637">
        <w:rPr>
          <w:szCs w:val="26"/>
        </w:rPr>
        <w:t xml:space="preserve"> </w:t>
      </w:r>
      <w:r w:rsidR="00DB70C5" w:rsidRPr="003B0637">
        <w:rPr>
          <w:szCs w:val="26"/>
        </w:rPr>
        <w:t xml:space="preserve"> </w:t>
      </w:r>
      <w:r w:rsidR="00075097" w:rsidRPr="003B0637">
        <w:rPr>
          <w:szCs w:val="26"/>
        </w:rPr>
        <w:t xml:space="preserve">We </w:t>
      </w:r>
      <w:r w:rsidR="00C82955" w:rsidRPr="003B0637">
        <w:rPr>
          <w:szCs w:val="26"/>
        </w:rPr>
        <w:t xml:space="preserve">also </w:t>
      </w:r>
      <w:r w:rsidR="00075097" w:rsidRPr="003B0637">
        <w:rPr>
          <w:szCs w:val="26"/>
        </w:rPr>
        <w:t>expressly notified the operator that failure to satisfy such conditions</w:t>
      </w:r>
      <w:r w:rsidR="00F73D26" w:rsidRPr="003B0637">
        <w:rPr>
          <w:szCs w:val="26"/>
        </w:rPr>
        <w:t xml:space="preserve"> as directed therein</w:t>
      </w:r>
      <w:r w:rsidR="00075097" w:rsidRPr="003B0637">
        <w:rPr>
          <w:szCs w:val="26"/>
        </w:rPr>
        <w:t xml:space="preserve"> could warrant </w:t>
      </w:r>
      <w:r w:rsidR="00933E08" w:rsidRPr="003B0637">
        <w:rPr>
          <w:szCs w:val="26"/>
        </w:rPr>
        <w:t xml:space="preserve">further enforcement action, including, </w:t>
      </w:r>
      <w:r w:rsidR="00933E08" w:rsidRPr="003B0637">
        <w:rPr>
          <w:i/>
          <w:szCs w:val="26"/>
        </w:rPr>
        <w:t>inter alia</w:t>
      </w:r>
      <w:r w:rsidR="00933E08" w:rsidRPr="003B0637">
        <w:rPr>
          <w:szCs w:val="26"/>
        </w:rPr>
        <w:t>, cancellation of the certificate</w:t>
      </w:r>
      <w:r w:rsidR="002719FA" w:rsidRPr="003B0637">
        <w:rPr>
          <w:szCs w:val="26"/>
        </w:rPr>
        <w:t>.</w:t>
      </w:r>
      <w:r w:rsidR="000B6F22" w:rsidRPr="003B0637">
        <w:rPr>
          <w:szCs w:val="26"/>
        </w:rPr>
        <w:t xml:space="preserve">  </w:t>
      </w:r>
      <w:r w:rsidR="00DB70C5" w:rsidRPr="003B0637">
        <w:rPr>
          <w:i/>
          <w:szCs w:val="26"/>
        </w:rPr>
        <w:t>Id</w:t>
      </w:r>
      <w:r w:rsidR="00DB70C5" w:rsidRPr="003B0637">
        <w:rPr>
          <w:szCs w:val="26"/>
        </w:rPr>
        <w:t xml:space="preserve">. at 50.  </w:t>
      </w:r>
      <w:r w:rsidR="00953C28" w:rsidRPr="003B0637">
        <w:rPr>
          <w:szCs w:val="26"/>
        </w:rPr>
        <w:t>Thus, upon review, w</w:t>
      </w:r>
      <w:r w:rsidR="000B6F22" w:rsidRPr="003B0637">
        <w:rPr>
          <w:szCs w:val="26"/>
        </w:rPr>
        <w:t xml:space="preserve">hile we acknowledge that the “affirmative public benefit” language was not specifically </w:t>
      </w:r>
      <w:r w:rsidR="00CA39F5" w:rsidRPr="003B0637">
        <w:rPr>
          <w:szCs w:val="26"/>
        </w:rPr>
        <w:t>referenced</w:t>
      </w:r>
      <w:r w:rsidR="007E7AFB" w:rsidRPr="003B0637">
        <w:rPr>
          <w:szCs w:val="26"/>
        </w:rPr>
        <w:t xml:space="preserve"> </w:t>
      </w:r>
      <w:r w:rsidR="00FE7DAA" w:rsidRPr="003B0637">
        <w:rPr>
          <w:szCs w:val="26"/>
        </w:rPr>
        <w:t xml:space="preserve">in that </w:t>
      </w:r>
      <w:r w:rsidR="00363256" w:rsidRPr="003B0637">
        <w:rPr>
          <w:szCs w:val="26"/>
        </w:rPr>
        <w:t>proceeding</w:t>
      </w:r>
      <w:r w:rsidR="000B6F22" w:rsidRPr="003B0637">
        <w:rPr>
          <w:szCs w:val="26"/>
        </w:rPr>
        <w:t>,</w:t>
      </w:r>
      <w:r w:rsidR="008F5AD2" w:rsidRPr="003B0637">
        <w:rPr>
          <w:szCs w:val="26"/>
        </w:rPr>
        <w:t xml:space="preserve"> </w:t>
      </w:r>
      <w:r w:rsidR="000B6F22" w:rsidRPr="003B0637">
        <w:rPr>
          <w:szCs w:val="26"/>
        </w:rPr>
        <w:t xml:space="preserve">we do not read our decision </w:t>
      </w:r>
      <w:r w:rsidR="007E7AFB" w:rsidRPr="003B0637">
        <w:rPr>
          <w:szCs w:val="26"/>
        </w:rPr>
        <w:t xml:space="preserve">in </w:t>
      </w:r>
      <w:r w:rsidR="007E7AFB" w:rsidRPr="003B0637">
        <w:rPr>
          <w:i/>
          <w:szCs w:val="26"/>
        </w:rPr>
        <w:t>James Black Service</w:t>
      </w:r>
      <w:r w:rsidR="000B6F22" w:rsidRPr="003B0637">
        <w:rPr>
          <w:szCs w:val="26"/>
        </w:rPr>
        <w:t xml:space="preserve"> as having applied a different</w:t>
      </w:r>
      <w:r w:rsidR="007E7AFB" w:rsidRPr="003B0637">
        <w:rPr>
          <w:szCs w:val="26"/>
        </w:rPr>
        <w:t>,</w:t>
      </w:r>
      <w:r w:rsidR="000B6F22" w:rsidRPr="003B0637">
        <w:rPr>
          <w:szCs w:val="26"/>
        </w:rPr>
        <w:t xml:space="preserve"> </w:t>
      </w:r>
      <w:r w:rsidR="000F5971" w:rsidRPr="003B0637">
        <w:rPr>
          <w:szCs w:val="26"/>
        </w:rPr>
        <w:t>unequal</w:t>
      </w:r>
      <w:r w:rsidR="007E7AFB" w:rsidRPr="003B0637">
        <w:rPr>
          <w:szCs w:val="26"/>
        </w:rPr>
        <w:t xml:space="preserve"> or l</w:t>
      </w:r>
      <w:r w:rsidR="005C56B3" w:rsidRPr="003B0637">
        <w:rPr>
          <w:szCs w:val="26"/>
        </w:rPr>
        <w:t>ower</w:t>
      </w:r>
      <w:r w:rsidR="00FE7DAA" w:rsidRPr="003B0637">
        <w:rPr>
          <w:szCs w:val="26"/>
        </w:rPr>
        <w:t xml:space="preserve"> standard of </w:t>
      </w:r>
      <w:r w:rsidR="006D0DE2">
        <w:rPr>
          <w:szCs w:val="26"/>
        </w:rPr>
        <w:t>review</w:t>
      </w:r>
      <w:r w:rsidR="00FE7DAA" w:rsidRPr="003B0637">
        <w:rPr>
          <w:szCs w:val="26"/>
        </w:rPr>
        <w:t>.</w:t>
      </w:r>
      <w:r w:rsidR="000B6F22" w:rsidRPr="003B0637">
        <w:rPr>
          <w:szCs w:val="26"/>
        </w:rPr>
        <w:t xml:space="preserve"> </w:t>
      </w:r>
    </w:p>
    <w:p w14:paraId="05406ACE" w14:textId="77777777" w:rsidR="002B6789" w:rsidRPr="003B0637" w:rsidRDefault="002B6789" w:rsidP="00502FC8">
      <w:pPr>
        <w:ind w:firstLine="0"/>
      </w:pPr>
    </w:p>
    <w:p w14:paraId="134E252C" w14:textId="77777777" w:rsidR="00CA2401" w:rsidRDefault="00552D93" w:rsidP="005E1830">
      <w:pPr>
        <w:keepNext/>
        <w:keepLines/>
        <w:spacing w:line="240" w:lineRule="auto"/>
        <w:ind w:left="1440" w:hanging="720"/>
        <w:rPr>
          <w:b/>
        </w:rPr>
      </w:pPr>
      <w:r>
        <w:rPr>
          <w:b/>
        </w:rPr>
        <w:t>3.</w:t>
      </w:r>
      <w:r>
        <w:rPr>
          <w:b/>
        </w:rPr>
        <w:tab/>
      </w:r>
      <w:r w:rsidR="00916245" w:rsidRPr="00552D93">
        <w:rPr>
          <w:b/>
        </w:rPr>
        <w:t>PPL EU</w:t>
      </w:r>
      <w:r w:rsidR="009B2599" w:rsidRPr="00552D93">
        <w:rPr>
          <w:b/>
        </w:rPr>
        <w:t xml:space="preserve">’s </w:t>
      </w:r>
      <w:r w:rsidR="002B6789" w:rsidRPr="00552D93">
        <w:rPr>
          <w:b/>
        </w:rPr>
        <w:t>Exception</w:t>
      </w:r>
      <w:r w:rsidR="009B2599" w:rsidRPr="00552D93">
        <w:rPr>
          <w:b/>
        </w:rPr>
        <w:t xml:space="preserve"> No. 2</w:t>
      </w:r>
      <w:r w:rsidR="00CA2401">
        <w:rPr>
          <w:b/>
        </w:rPr>
        <w:t>:</w:t>
      </w:r>
    </w:p>
    <w:p w14:paraId="37F4D5A3" w14:textId="77777777" w:rsidR="00CA2401" w:rsidRDefault="00CA2401" w:rsidP="005E1830">
      <w:pPr>
        <w:keepNext/>
        <w:keepLines/>
        <w:spacing w:line="240" w:lineRule="auto"/>
        <w:ind w:left="1440" w:hanging="720"/>
        <w:rPr>
          <w:b/>
        </w:rPr>
      </w:pPr>
    </w:p>
    <w:p w14:paraId="46B4A116" w14:textId="77777777" w:rsidR="00CA2401" w:rsidRDefault="00CA2401" w:rsidP="005E1830">
      <w:pPr>
        <w:keepNext/>
        <w:keepLines/>
        <w:spacing w:line="240" w:lineRule="auto"/>
        <w:ind w:left="1440" w:hanging="720"/>
        <w:rPr>
          <w:b/>
        </w:rPr>
      </w:pPr>
      <w:r>
        <w:rPr>
          <w:b/>
        </w:rPr>
        <w:tab/>
        <w:t>The Recommended Decision Erred in Concluding that the Proposed Internal Reorganization Would Not Benefit PPL EU’s Customers in a Manner Sufficient to Justify the Internal Reorganization.</w:t>
      </w:r>
    </w:p>
    <w:p w14:paraId="1A949ECA" w14:textId="77777777" w:rsidR="00CA2401" w:rsidRPr="00552D93" w:rsidRDefault="00CA2401" w:rsidP="005E1830">
      <w:pPr>
        <w:keepNext/>
        <w:keepLines/>
        <w:spacing w:line="240" w:lineRule="auto"/>
        <w:ind w:left="1440" w:hanging="720"/>
        <w:rPr>
          <w:b/>
        </w:rPr>
      </w:pPr>
    </w:p>
    <w:p w14:paraId="529C5E09" w14:textId="77777777" w:rsidR="002B6789" w:rsidRDefault="00CA2401" w:rsidP="005E1830">
      <w:pPr>
        <w:keepNext/>
        <w:keepLines/>
        <w:ind w:left="1800" w:hanging="360"/>
        <w:rPr>
          <w:b/>
          <w:szCs w:val="26"/>
        </w:rPr>
      </w:pPr>
      <w:r>
        <w:rPr>
          <w:b/>
          <w:szCs w:val="26"/>
        </w:rPr>
        <w:t>a.</w:t>
      </w:r>
      <w:r>
        <w:rPr>
          <w:b/>
          <w:szCs w:val="26"/>
        </w:rPr>
        <w:tab/>
        <w:t>Exceptions</w:t>
      </w:r>
    </w:p>
    <w:p w14:paraId="53D05104" w14:textId="77777777" w:rsidR="00CA2401" w:rsidRPr="00CA2401" w:rsidRDefault="00CA2401" w:rsidP="005E1830">
      <w:pPr>
        <w:keepNext/>
        <w:keepLines/>
        <w:ind w:left="1800" w:hanging="360"/>
        <w:rPr>
          <w:b/>
          <w:szCs w:val="26"/>
        </w:rPr>
      </w:pPr>
    </w:p>
    <w:p w14:paraId="79C0E6CF" w14:textId="77777777" w:rsidR="00AC6017" w:rsidRDefault="00070A6C" w:rsidP="00502FC8">
      <w:r w:rsidRPr="003B0637">
        <w:t xml:space="preserve">In its Exception No. 2, </w:t>
      </w:r>
      <w:r w:rsidR="00916245" w:rsidRPr="003B0637">
        <w:t>PPL EU</w:t>
      </w:r>
      <w:r w:rsidRPr="003B0637">
        <w:t xml:space="preserve"> asserts that the ALJs erred in concluding that the </w:t>
      </w:r>
      <w:r w:rsidR="00C96F1E" w:rsidRPr="003B0637">
        <w:t>Proposed Restructuring</w:t>
      </w:r>
      <w:r w:rsidRPr="003B0637">
        <w:t xml:space="preserve"> will not produce affirmative public benefit to </w:t>
      </w:r>
      <w:r w:rsidR="00916245" w:rsidRPr="003B0637">
        <w:t>PPL EU</w:t>
      </w:r>
      <w:r w:rsidRPr="003B0637">
        <w:t xml:space="preserve">’s customers.  </w:t>
      </w:r>
      <w:r w:rsidR="00916245" w:rsidRPr="003B0637">
        <w:t>PPL EU</w:t>
      </w:r>
      <w:r w:rsidRPr="003B0637">
        <w:t xml:space="preserve"> argues that, on the contrary, the </w:t>
      </w:r>
      <w:r w:rsidR="00C96F1E" w:rsidRPr="003B0637">
        <w:t>Proposed Restructuring</w:t>
      </w:r>
      <w:r w:rsidRPr="003B0637">
        <w:t xml:space="preserve"> will allow PPL Corporation to better manage its cash flows and taxes thereby improving PPL Corporation’s profitability and financial profile and its ability to raise capital.  </w:t>
      </w:r>
      <w:r w:rsidR="00916245" w:rsidRPr="003B0637">
        <w:t>PPL EU</w:t>
      </w:r>
      <w:r w:rsidRPr="003B0637">
        <w:t xml:space="preserve"> contends this will in turn provide substantial affirmative benefit for </w:t>
      </w:r>
      <w:r w:rsidR="00916245" w:rsidRPr="003B0637">
        <w:t>PPL EU</w:t>
      </w:r>
      <w:r w:rsidRPr="003B0637">
        <w:t xml:space="preserve">’s customers </w:t>
      </w:r>
    </w:p>
    <w:p w14:paraId="786383AA" w14:textId="77777777" w:rsidR="00070A6C" w:rsidRPr="003B0637" w:rsidRDefault="00070A6C" w:rsidP="00AC6017">
      <w:pPr>
        <w:keepNext/>
        <w:keepLines/>
        <w:ind w:firstLine="0"/>
      </w:pPr>
      <w:r w:rsidRPr="003B0637">
        <w:lastRenderedPageBreak/>
        <w:t xml:space="preserve">because it lends </w:t>
      </w:r>
      <w:r w:rsidR="00C247D4" w:rsidRPr="003B0637">
        <w:t>PPL EU</w:t>
      </w:r>
      <w:r w:rsidRPr="003B0637">
        <w:t xml:space="preserve"> the ability to attract capital in public markets on reasonable terms thereby allowing </w:t>
      </w:r>
      <w:r w:rsidR="00916245" w:rsidRPr="003B0637">
        <w:t>PPL EU</w:t>
      </w:r>
      <w:r w:rsidRPr="003B0637">
        <w:t xml:space="preserve"> to provide safe and reliable service to its customers.  Exc. at 4.  </w:t>
      </w:r>
      <w:r w:rsidR="00916245" w:rsidRPr="003B0637">
        <w:rPr>
          <w:rFonts w:eastAsia="Times New Roman"/>
          <w:szCs w:val="26"/>
        </w:rPr>
        <w:t>PPL EU</w:t>
      </w:r>
      <w:r w:rsidRPr="003B0637">
        <w:rPr>
          <w:rFonts w:eastAsia="Times New Roman"/>
          <w:szCs w:val="26"/>
        </w:rPr>
        <w:t xml:space="preserve"> contends the ALJs’ conclusion is misplaced and would produce illogical and counter-intuitive results because it applied the test for third-party mergers and acquisitions to a simple internal reorganization.  </w:t>
      </w:r>
      <w:r w:rsidR="00916245" w:rsidRPr="003B0637">
        <w:rPr>
          <w:rFonts w:eastAsia="Times New Roman"/>
          <w:szCs w:val="26"/>
        </w:rPr>
        <w:t>PPL EU</w:t>
      </w:r>
      <w:r w:rsidRPr="003B0637">
        <w:rPr>
          <w:rFonts w:eastAsia="Times New Roman"/>
          <w:szCs w:val="26"/>
        </w:rPr>
        <w:t xml:space="preserve"> argues that unlike a major third-party acquisition where there is a clear change in ownership and major impacts on management with a possibility of producing a variety of significant harms and benefits to the public, the instant Application is a minor internal restructuring that does not involve a change in ultimate control or change in management or operations of the utility.  </w:t>
      </w:r>
      <w:r w:rsidR="00916245" w:rsidRPr="003B0637">
        <w:rPr>
          <w:rFonts w:eastAsia="Times New Roman"/>
          <w:szCs w:val="26"/>
        </w:rPr>
        <w:t>PPL EU</w:t>
      </w:r>
      <w:r w:rsidRPr="003B0637">
        <w:rPr>
          <w:rFonts w:eastAsia="Times New Roman"/>
          <w:szCs w:val="26"/>
        </w:rPr>
        <w:t xml:space="preserve"> argues that because the </w:t>
      </w:r>
      <w:r w:rsidR="00C96F1E" w:rsidRPr="003B0637">
        <w:rPr>
          <w:rFonts w:eastAsia="Times New Roman"/>
          <w:szCs w:val="26"/>
        </w:rPr>
        <w:t>Proposed Restructuring</w:t>
      </w:r>
      <w:r w:rsidRPr="003B0637">
        <w:rPr>
          <w:rFonts w:eastAsia="Times New Roman"/>
          <w:szCs w:val="26"/>
        </w:rPr>
        <w:t xml:space="preserve"> merely involves affiliated holding and financing companies, there is no basis for reviewing it in the context of a third-party change of control.  Exc. at 4-5.</w:t>
      </w:r>
    </w:p>
    <w:p w14:paraId="1CBF0353" w14:textId="77777777" w:rsidR="00070A6C" w:rsidRPr="003B0637" w:rsidRDefault="00070A6C" w:rsidP="00502FC8"/>
    <w:p w14:paraId="66EF56A6" w14:textId="77777777" w:rsidR="00070A6C" w:rsidRPr="003B0637" w:rsidRDefault="00070A6C" w:rsidP="00502FC8">
      <w:r w:rsidRPr="003B0637">
        <w:t xml:space="preserve">Specifically, </w:t>
      </w:r>
      <w:r w:rsidR="00916245" w:rsidRPr="003B0637">
        <w:t>PPL EU</w:t>
      </w:r>
      <w:r w:rsidRPr="003B0637">
        <w:t xml:space="preserve"> contends that notwithstanding the fact that the ALJs applied an erroneous “benefit” standard in this case, the benefits from the </w:t>
      </w:r>
      <w:r w:rsidR="00C96F1E" w:rsidRPr="003B0637">
        <w:t>Proposed Restructuring</w:t>
      </w:r>
      <w:r w:rsidRPr="003B0637">
        <w:t xml:space="preserve"> are clearly sufficient to justify an approval even if we apply the substantial benefit test.  </w:t>
      </w:r>
      <w:r w:rsidRPr="003B0637">
        <w:rPr>
          <w:i/>
        </w:rPr>
        <w:t>Id.</w:t>
      </w:r>
      <w:r w:rsidRPr="003B0637">
        <w:t xml:space="preserve"> at 10.  Highlighting the several benefits that would result following the </w:t>
      </w:r>
      <w:r w:rsidR="00C96F1E" w:rsidRPr="003B0637">
        <w:t>Proposed Restructuring</w:t>
      </w:r>
      <w:r w:rsidRPr="003B0637">
        <w:t xml:space="preserve">, </w:t>
      </w:r>
      <w:r w:rsidR="00916245" w:rsidRPr="003B0637">
        <w:t>PPL EU</w:t>
      </w:r>
      <w:r w:rsidRPr="003B0637">
        <w:t xml:space="preserve"> points out that </w:t>
      </w:r>
      <w:r w:rsidR="00916245" w:rsidRPr="003B0637">
        <w:t>PPL EU</w:t>
      </w:r>
      <w:r w:rsidRPr="003B0637">
        <w:t xml:space="preserve"> Corporation will be better able to manage the cash flows and tax liabilities of its non-regulated subsidiaries, which would make more funds available to </w:t>
      </w:r>
      <w:r w:rsidR="00916245" w:rsidRPr="003B0637">
        <w:t>PPL EU</w:t>
      </w:r>
      <w:r w:rsidRPr="003B0637">
        <w:t xml:space="preserve"> Corporation for other activities including payments of dividends and investment in utility and non-utility projects.  According to </w:t>
      </w:r>
      <w:r w:rsidR="00916245" w:rsidRPr="003B0637">
        <w:t>PPL EU</w:t>
      </w:r>
      <w:r w:rsidRPr="003B0637">
        <w:t xml:space="preserve">, a financially stronger PPL Corporation benefits </w:t>
      </w:r>
      <w:r w:rsidR="00916245" w:rsidRPr="003B0637">
        <w:t>PPL EU</w:t>
      </w:r>
      <w:r w:rsidRPr="003B0637">
        <w:t xml:space="preserve"> by improving its ability to raise capital at reasonable terms for </w:t>
      </w:r>
      <w:r w:rsidR="00916245" w:rsidRPr="003B0637">
        <w:t>PPL EU</w:t>
      </w:r>
      <w:r w:rsidRPr="003B0637">
        <w:t xml:space="preserve"> and its other subsidiaries.  </w:t>
      </w:r>
      <w:r w:rsidRPr="003B0637">
        <w:rPr>
          <w:i/>
        </w:rPr>
        <w:t>Id.</w:t>
      </w:r>
      <w:r w:rsidRPr="003B0637">
        <w:t xml:space="preserve"> at 11 (citing PPL St. 1-R at 6).  Citing to several Commission decisions, </w:t>
      </w:r>
      <w:r w:rsidR="00916245" w:rsidRPr="003B0637">
        <w:t>PPL EU</w:t>
      </w:r>
      <w:r w:rsidRPr="003B0637">
        <w:t xml:space="preserve"> argues that the Commission has, in the past, acknowledged the ability of a parent company of a utility to raise capital on reasonable terms and attract investors, as substantial benefit.  Exc. at 11.</w:t>
      </w:r>
    </w:p>
    <w:p w14:paraId="06DC13CC" w14:textId="77777777" w:rsidR="00070A6C" w:rsidRPr="003B0637" w:rsidRDefault="00070A6C" w:rsidP="00502FC8"/>
    <w:p w14:paraId="43F02564" w14:textId="7E507022" w:rsidR="00070A6C" w:rsidRPr="003B0637" w:rsidRDefault="00916245" w:rsidP="00AC6017">
      <w:pPr>
        <w:keepNext/>
        <w:keepLines/>
      </w:pPr>
      <w:r w:rsidRPr="003B0637">
        <w:lastRenderedPageBreak/>
        <w:t>PPL EU</w:t>
      </w:r>
      <w:r w:rsidR="00070A6C" w:rsidRPr="003B0637">
        <w:t xml:space="preserve"> also disputes the ALJs’ conclusion that </w:t>
      </w:r>
      <w:r w:rsidR="00AD302C">
        <w:t>it</w:t>
      </w:r>
      <w:r w:rsidR="00C2525C">
        <w:t xml:space="preserve"> </w:t>
      </w:r>
      <w:r w:rsidR="00070A6C" w:rsidRPr="003B0637">
        <w:t xml:space="preserve">has only proven that customers will not be harmed but has not proven that customers will benefit from the </w:t>
      </w:r>
      <w:r w:rsidR="00C96F1E" w:rsidRPr="003B0637">
        <w:t>Proposed Restructuring</w:t>
      </w:r>
      <w:r w:rsidR="00070A6C" w:rsidRPr="003B0637">
        <w:t xml:space="preserve">.  </w:t>
      </w:r>
      <w:r w:rsidR="00070A6C" w:rsidRPr="003B0637">
        <w:rPr>
          <w:i/>
        </w:rPr>
        <w:t>Id.</w:t>
      </w:r>
      <w:r w:rsidR="00070A6C" w:rsidRPr="003B0637">
        <w:t xml:space="preserve"> (citing R.D. at 21).  </w:t>
      </w:r>
      <w:r w:rsidRPr="003B0637">
        <w:t>PPL EU</w:t>
      </w:r>
      <w:r w:rsidR="00070A6C" w:rsidRPr="003B0637">
        <w:t xml:space="preserve"> argues that this conclusion ignores the fact that a financially healthy and more efficient parent company </w:t>
      </w:r>
      <w:r w:rsidR="00C2525C">
        <w:t xml:space="preserve">that would result if the Proposed Restructuring were </w:t>
      </w:r>
      <w:r w:rsidR="003C1202">
        <w:t>approved</w:t>
      </w:r>
      <w:r w:rsidR="00C2525C">
        <w:t xml:space="preserve"> would </w:t>
      </w:r>
      <w:r w:rsidR="00070A6C" w:rsidRPr="003B0637">
        <w:t xml:space="preserve">benefit </w:t>
      </w:r>
      <w:r w:rsidR="00C247D4" w:rsidRPr="003B0637">
        <w:t>PPL EU</w:t>
      </w:r>
      <w:r w:rsidR="00070A6C" w:rsidRPr="003B0637">
        <w:t xml:space="preserve">’s customers and that the lack of harm to </w:t>
      </w:r>
      <w:r w:rsidR="00C2525C">
        <w:t xml:space="preserve">the </w:t>
      </w:r>
      <w:r w:rsidR="00070A6C" w:rsidRPr="003B0637">
        <w:t xml:space="preserve">customers </w:t>
      </w:r>
      <w:r w:rsidR="00C2525C">
        <w:t xml:space="preserve">would </w:t>
      </w:r>
      <w:r w:rsidR="00070A6C" w:rsidRPr="003B0637">
        <w:t xml:space="preserve">reduce the amount of benefit required under a net benefits test.  Exc. at 12 (citing </w:t>
      </w:r>
      <w:r w:rsidR="00070A6C" w:rsidRPr="003B0637">
        <w:rPr>
          <w:i/>
        </w:rPr>
        <w:t>Joint Application of North Pittsburgh Telephone Company and Penn Telecom, Inc.,</w:t>
      </w:r>
      <w:r w:rsidR="00070A6C" w:rsidRPr="003B0637">
        <w:t xml:space="preserve"> 2007 Pa. PUC LEXIS 632 (November 16, 2017)).</w:t>
      </w:r>
    </w:p>
    <w:p w14:paraId="6ED75494" w14:textId="77777777" w:rsidR="00070A6C" w:rsidRPr="003B0637" w:rsidRDefault="00070A6C" w:rsidP="00502FC8"/>
    <w:p w14:paraId="55D49725" w14:textId="77777777" w:rsidR="00070A6C" w:rsidRDefault="00070A6C" w:rsidP="00502FC8">
      <w:r w:rsidRPr="003B0637">
        <w:t xml:space="preserve">Finally, </w:t>
      </w:r>
      <w:r w:rsidR="00916245" w:rsidRPr="003B0637">
        <w:t>PPL EU</w:t>
      </w:r>
      <w:r w:rsidRPr="003B0637">
        <w:t xml:space="preserve"> rejects the ALJs’ conclusion that the </w:t>
      </w:r>
      <w:r w:rsidRPr="003B0637">
        <w:rPr>
          <w:i/>
        </w:rPr>
        <w:t>City of York</w:t>
      </w:r>
      <w:r w:rsidRPr="003B0637">
        <w:t xml:space="preserve"> substantial benefit test is not easily met and that </w:t>
      </w:r>
      <w:r w:rsidRPr="003B0637">
        <w:rPr>
          <w:i/>
        </w:rPr>
        <w:t>Popowsky</w:t>
      </w:r>
      <w:r w:rsidRPr="003B0637">
        <w:t xml:space="preserve"> requires more than speculative benefits.  </w:t>
      </w:r>
      <w:r w:rsidR="00916245" w:rsidRPr="003B0637">
        <w:t>PPL EU</w:t>
      </w:r>
      <w:r w:rsidRPr="003B0637">
        <w:t xml:space="preserve"> contends that managing its non-regulated tax liabilities to produce more funds for investment and dividends is not speculative.  According to </w:t>
      </w:r>
      <w:r w:rsidR="00916245" w:rsidRPr="003B0637">
        <w:t>PPL EU</w:t>
      </w:r>
      <w:r w:rsidRPr="003B0637">
        <w:t xml:space="preserve">, the ALJs’ use of an erroneous standard in this case could potentially interfere in </w:t>
      </w:r>
      <w:r w:rsidR="00916245" w:rsidRPr="003B0637">
        <w:t>PPL EU</w:t>
      </w:r>
      <w:r w:rsidRPr="003B0637">
        <w:t xml:space="preserve"> Corporation’s right to manage its business in a manner that creates no harm to utility customers and its ability to produce a financially stronger PPL Corporation that will be beneficial to all of its subsidiaries.  For all of the above reasons, </w:t>
      </w:r>
      <w:r w:rsidR="00916245" w:rsidRPr="003B0637">
        <w:t>PPL EU</w:t>
      </w:r>
      <w:r w:rsidRPr="003B0637">
        <w:t xml:space="preserve"> believes there is sufficient evidence in this proceeding to meet the </w:t>
      </w:r>
      <w:r w:rsidR="003D41B3" w:rsidRPr="003B0637">
        <w:t>affirmative public</w:t>
      </w:r>
      <w:r w:rsidRPr="003B0637">
        <w:t xml:space="preserve"> benefit</w:t>
      </w:r>
      <w:r w:rsidR="003D41B3" w:rsidRPr="003B0637">
        <w:t xml:space="preserve"> standard</w:t>
      </w:r>
      <w:r w:rsidRPr="003B0637">
        <w:t xml:space="preserve">, even if it is applied in this case to an internal restructuring of PPL Corporation’s subsidiaries that does not result in a change in ultimate control of </w:t>
      </w:r>
      <w:r w:rsidR="00916245" w:rsidRPr="003B0637">
        <w:t>PPL EU</w:t>
      </w:r>
      <w:r w:rsidRPr="003B0637">
        <w:t>’s public utility property.  Exc. at 12.</w:t>
      </w:r>
    </w:p>
    <w:p w14:paraId="57B73723" w14:textId="77777777" w:rsidR="00CA2401" w:rsidRPr="003B0637" w:rsidRDefault="00CA2401" w:rsidP="00502FC8"/>
    <w:p w14:paraId="2ACB2B9C" w14:textId="77777777" w:rsidR="00070A6C" w:rsidRDefault="00CA2401" w:rsidP="00AC6017">
      <w:pPr>
        <w:keepNext/>
        <w:keepLines/>
        <w:ind w:left="1800" w:hanging="360"/>
        <w:rPr>
          <w:b/>
          <w:szCs w:val="26"/>
        </w:rPr>
      </w:pPr>
      <w:r>
        <w:rPr>
          <w:b/>
          <w:szCs w:val="26"/>
        </w:rPr>
        <w:t>b.</w:t>
      </w:r>
      <w:r>
        <w:rPr>
          <w:b/>
          <w:szCs w:val="26"/>
        </w:rPr>
        <w:tab/>
        <w:t>Replies to Exceptions</w:t>
      </w:r>
    </w:p>
    <w:p w14:paraId="4F54B6BE" w14:textId="77777777" w:rsidR="00CA2401" w:rsidRPr="00CA2401" w:rsidRDefault="00CA2401" w:rsidP="00AC6017">
      <w:pPr>
        <w:keepNext/>
        <w:keepLines/>
        <w:ind w:left="1800" w:hanging="360"/>
        <w:rPr>
          <w:b/>
          <w:szCs w:val="26"/>
        </w:rPr>
      </w:pPr>
    </w:p>
    <w:p w14:paraId="7FF38444" w14:textId="77777777" w:rsidR="00070A6C" w:rsidRPr="003B0637" w:rsidRDefault="00070A6C" w:rsidP="00502FC8">
      <w:r w:rsidRPr="003B0637">
        <w:t xml:space="preserve">In Reply, the OSBA disagrees with </w:t>
      </w:r>
      <w:r w:rsidR="00916245" w:rsidRPr="003B0637">
        <w:t>PPL EU</w:t>
      </w:r>
      <w:r w:rsidRPr="003B0637">
        <w:t xml:space="preserve"> arguing that the ALJs properly determined that the </w:t>
      </w:r>
      <w:r w:rsidR="00C96F1E" w:rsidRPr="003B0637">
        <w:t>Proposed Restructuring</w:t>
      </w:r>
      <w:r w:rsidRPr="003B0637">
        <w:t xml:space="preserve"> did not provide sufficient affirmative benefits to justify an approval.  R. Exc. at 7-8.  The OSBA disputes </w:t>
      </w:r>
      <w:r w:rsidR="00916245" w:rsidRPr="003B0637">
        <w:t>PPL EU</w:t>
      </w:r>
      <w:r w:rsidRPr="003B0637">
        <w:t xml:space="preserve">’s argument regarding cash flows, tax liabilities, more funds and the financial strength that would result from the </w:t>
      </w:r>
      <w:r w:rsidR="00C96F1E" w:rsidRPr="003B0637">
        <w:lastRenderedPageBreak/>
        <w:t>Proposed Restructuring</w:t>
      </w:r>
      <w:r w:rsidRPr="003B0637">
        <w:t xml:space="preserve">.  The OSBA argues that the record evidence demonstrates that the cash flow benefit touted by </w:t>
      </w:r>
      <w:r w:rsidR="00916245" w:rsidRPr="003B0637">
        <w:t>PPL EU</w:t>
      </w:r>
      <w:r w:rsidRPr="003B0637">
        <w:t xml:space="preserve"> does not accrue to the public.  Rather, </w:t>
      </w:r>
      <w:r w:rsidR="00916245" w:rsidRPr="003B0637">
        <w:t>PPL EU</w:t>
      </w:r>
      <w:r w:rsidRPr="003B0637">
        <w:t xml:space="preserve"> has admitted throughout this proceeding that no cash distributions related to </w:t>
      </w:r>
      <w:r w:rsidR="00C247D4" w:rsidRPr="003B0637">
        <w:t>PPL EU</w:t>
      </w:r>
      <w:r w:rsidRPr="003B0637">
        <w:t xml:space="preserve"> are contemplated as a result of the </w:t>
      </w:r>
      <w:r w:rsidR="00C96F1E" w:rsidRPr="003B0637">
        <w:t>Proposed Restructuring</w:t>
      </w:r>
      <w:r w:rsidRPr="003B0637">
        <w:t xml:space="preserve">, which means there is no cash benefit to </w:t>
      </w:r>
      <w:r w:rsidR="00916245" w:rsidRPr="003B0637">
        <w:t>PPL EU</w:t>
      </w:r>
      <w:r w:rsidRPr="003B0637">
        <w:t xml:space="preserve">.  </w:t>
      </w:r>
      <w:r w:rsidRPr="003B0637">
        <w:rPr>
          <w:i/>
        </w:rPr>
        <w:t>Id.</w:t>
      </w:r>
      <w:r w:rsidRPr="003B0637">
        <w:t xml:space="preserve"> at 8 (citing PPL St. 1 at 5; OSBA St. 1 at 6-7).</w:t>
      </w:r>
    </w:p>
    <w:p w14:paraId="3C261E76" w14:textId="77777777" w:rsidR="00070A6C" w:rsidRPr="003B0637" w:rsidRDefault="00070A6C" w:rsidP="00502FC8"/>
    <w:p w14:paraId="1D6B7527" w14:textId="77777777" w:rsidR="00070A6C" w:rsidRPr="003B0637" w:rsidRDefault="00070A6C" w:rsidP="00502FC8">
      <w:r w:rsidRPr="003B0637">
        <w:t xml:space="preserve">Regarding the tax liabilities, the OSBA avers that reducing PPL Corporation’s tax liabilities is not a public benefit.  The OSBA argues that while the Application stated that the </w:t>
      </w:r>
      <w:r w:rsidR="00C96F1E" w:rsidRPr="003B0637">
        <w:t>Proposed Restructuring</w:t>
      </w:r>
      <w:r w:rsidRPr="003B0637">
        <w:t xml:space="preserve"> will help with the avoidance of state and federal taxes, </w:t>
      </w:r>
      <w:r w:rsidR="00916245" w:rsidRPr="003B0637">
        <w:t>PPL EU</w:t>
      </w:r>
      <w:r w:rsidRPr="003B0637">
        <w:t xml:space="preserve"> has testified that the </w:t>
      </w:r>
      <w:r w:rsidR="00C96F1E" w:rsidRPr="003B0637">
        <w:t>Proposed Restructuring</w:t>
      </w:r>
      <w:r w:rsidRPr="003B0637">
        <w:t xml:space="preserve"> would allow PPL Corporation and not </w:t>
      </w:r>
      <w:r w:rsidR="00D1514F" w:rsidRPr="003B0637">
        <w:t>PPL EU</w:t>
      </w:r>
      <w:r w:rsidRPr="003B0637">
        <w:t xml:space="preserve">, to avoid “unnecessary Pennsylvania state tax liability.”  Further, the OSBA submits </w:t>
      </w:r>
      <w:r w:rsidR="00D1514F" w:rsidRPr="003B0637">
        <w:t>PPL EU</w:t>
      </w:r>
      <w:r w:rsidRPr="003B0637">
        <w:t xml:space="preserve"> has readily admitted that none of this tax reduction “benefit” will inure to </w:t>
      </w:r>
      <w:r w:rsidR="00C247D4" w:rsidRPr="003B0637">
        <w:t>PPL EU</w:t>
      </w:r>
      <w:r w:rsidRPr="003B0637">
        <w:t xml:space="preserve">’s ratepayers.  R. Exc. at 8 (citing PPL St. 1 at 5; OSBA St. 1, Exh. IEc-2, response to OSBA-I-1(c)).  Therefore, the OSBA does not believe that reducing tax payments to the Commonwealth of Pennsylvania without any commensurate reduction in taxes paid by </w:t>
      </w:r>
      <w:r w:rsidR="00D1514F" w:rsidRPr="003B0637">
        <w:t>PPL EU</w:t>
      </w:r>
      <w:r w:rsidRPr="003B0637">
        <w:t>’s ratepayers constitute a public benefit.  Rather, the tax savings represent a negative to the public, since the tax authorities will need to recover this lost revenue elsewhere.  R. Exc. at 8-9 (citing OSBA St. 1 at 6).</w:t>
      </w:r>
    </w:p>
    <w:p w14:paraId="3E7A1C4E" w14:textId="77777777" w:rsidR="00070A6C" w:rsidRPr="003B0637" w:rsidRDefault="00070A6C" w:rsidP="00502FC8"/>
    <w:p w14:paraId="6D9CAC95" w14:textId="77777777" w:rsidR="00070A6C" w:rsidRPr="003B0637" w:rsidRDefault="00070A6C" w:rsidP="00502FC8">
      <w:r w:rsidRPr="003B0637">
        <w:t xml:space="preserve">Regarding </w:t>
      </w:r>
      <w:r w:rsidR="00D1514F" w:rsidRPr="003B0637">
        <w:t>PPL EU</w:t>
      </w:r>
      <w:r w:rsidRPr="003B0637">
        <w:t xml:space="preserve">’s argument that more funds will be generated as a result of the </w:t>
      </w:r>
      <w:r w:rsidR="00C96F1E" w:rsidRPr="003B0637">
        <w:t>Proposed Restructuring</w:t>
      </w:r>
      <w:r w:rsidRPr="003B0637">
        <w:t xml:space="preserve">, the OSBA argues this generalized claim is not supported by the record evidence.  From the OSBA’s perspective, </w:t>
      </w:r>
      <w:r w:rsidR="00D1514F" w:rsidRPr="003B0637">
        <w:t>PPL EU</w:t>
      </w:r>
      <w:r w:rsidRPr="003B0637">
        <w:t xml:space="preserve"> erroneously assume</w:t>
      </w:r>
      <w:r w:rsidR="00161CD2">
        <w:t>s</w:t>
      </w:r>
      <w:r w:rsidRPr="003B0637">
        <w:t xml:space="preserve"> that any tax savings resulting from the </w:t>
      </w:r>
      <w:r w:rsidR="00C96F1E" w:rsidRPr="003B0637">
        <w:t>Proposed Restructuring</w:t>
      </w:r>
      <w:r w:rsidRPr="003B0637">
        <w:t xml:space="preserve"> would stay with PPL Corporation and would not be explicitly reflected in reduced equity costs recoverable from </w:t>
      </w:r>
      <w:r w:rsidR="00D1514F" w:rsidRPr="003B0637">
        <w:t>PPL EU</w:t>
      </w:r>
      <w:r w:rsidRPr="003B0637">
        <w:t xml:space="preserve">’s ratepayers.  R. Exc. at 9 (citing PPL Exh. 1-A; </w:t>
      </w:r>
      <w:r w:rsidR="00D1514F" w:rsidRPr="003B0637">
        <w:t>PPL EU</w:t>
      </w:r>
      <w:r w:rsidRPr="003B0637">
        <w:t xml:space="preserve">’s response to OSBA-II-2).  The OSBA asserts that these purported tax benefits would likely be dissipated through dividend payments, alternative investments, or mostly enrich PPL Corporation’s shareholders.  The OSBA also highlights </w:t>
      </w:r>
      <w:r w:rsidR="00C247D4" w:rsidRPr="003B0637">
        <w:t>PPL EU</w:t>
      </w:r>
      <w:r w:rsidRPr="003B0637">
        <w:t xml:space="preserve">’s averment that one of </w:t>
      </w:r>
      <w:r w:rsidRPr="003B0637">
        <w:lastRenderedPageBreak/>
        <w:t xml:space="preserve">the reasons for the </w:t>
      </w:r>
      <w:r w:rsidR="00C96F1E" w:rsidRPr="003B0637">
        <w:t>Proposed Restructuring</w:t>
      </w:r>
      <w:r w:rsidRPr="003B0637">
        <w:t xml:space="preserve"> is to facilitate future acquisitions.  R. Exc. at 9 (citing Application at 6-7; PPL St. 1 at 5).</w:t>
      </w:r>
    </w:p>
    <w:p w14:paraId="2E95BE93" w14:textId="77777777" w:rsidR="00070A6C" w:rsidRPr="003B0637" w:rsidRDefault="00070A6C" w:rsidP="00502FC8"/>
    <w:p w14:paraId="41BCDD5A" w14:textId="77777777" w:rsidR="00070A6C" w:rsidRPr="003B0637" w:rsidRDefault="00070A6C" w:rsidP="00502FC8">
      <w:pPr>
        <w:rPr>
          <w:szCs w:val="26"/>
        </w:rPr>
      </w:pPr>
      <w:r w:rsidRPr="003B0637">
        <w:t xml:space="preserve">Lastly, the OSBA argues </w:t>
      </w:r>
      <w:r w:rsidR="00D1514F" w:rsidRPr="003B0637">
        <w:t>PPL EU</w:t>
      </w:r>
      <w:r w:rsidRPr="003B0637">
        <w:t xml:space="preserve">’s claim that </w:t>
      </w:r>
      <w:r w:rsidR="00C247D4" w:rsidRPr="003B0637">
        <w:t>PPL EU</w:t>
      </w:r>
      <w:r w:rsidRPr="003B0637">
        <w:t xml:space="preserve"> will be financially stronger as a result of the </w:t>
      </w:r>
      <w:r w:rsidR="00C96F1E" w:rsidRPr="003B0637">
        <w:t>Proposed Restructuring</w:t>
      </w:r>
      <w:r w:rsidRPr="003B0637">
        <w:t xml:space="preserve"> is simply a variation o</w:t>
      </w:r>
      <w:r w:rsidR="00161CD2">
        <w:t>f</w:t>
      </w:r>
      <w:r w:rsidRPr="003B0637">
        <w:t xml:space="preserve"> the “more funds” argument and contradicts the testimony of </w:t>
      </w:r>
      <w:r w:rsidR="00D1514F" w:rsidRPr="003B0637">
        <w:t>PPL EU</w:t>
      </w:r>
      <w:r w:rsidRPr="003B0637">
        <w:t xml:space="preserve">’s witness, Mr. Torok, </w:t>
      </w:r>
      <w:r w:rsidR="00CA2401">
        <w:t>who stated</w:t>
      </w:r>
      <w:r w:rsidRPr="003B0637">
        <w:t xml:space="preserve"> that </w:t>
      </w:r>
      <w:r w:rsidRPr="003B0637">
        <w:rPr>
          <w:i/>
        </w:rPr>
        <w:t>“the proposed transaction will not result in any change to the financing of PPL Electric</w:t>
      </w:r>
      <w:r w:rsidR="00564130" w:rsidRPr="003B0637">
        <w:rPr>
          <w:i/>
        </w:rPr>
        <w:t xml:space="preserve"> [PPL EU]</w:t>
      </w:r>
      <w:r w:rsidRPr="003B0637">
        <w:rPr>
          <w:i/>
        </w:rPr>
        <w:t>.”</w:t>
      </w:r>
      <w:r w:rsidRPr="003B0637">
        <w:t xml:space="preserve">  R. Exc. at 9 (citing PPL Direct Testimony at 5) (emphasis added).  Therefore, </w:t>
      </w:r>
      <w:r w:rsidRPr="003B0637">
        <w:rPr>
          <w:szCs w:val="26"/>
        </w:rPr>
        <w:t xml:space="preserve">the OSBA requests that the Commission reject PPL Exception No. 2, because the </w:t>
      </w:r>
      <w:r w:rsidR="00C96F1E" w:rsidRPr="003B0637">
        <w:rPr>
          <w:szCs w:val="26"/>
        </w:rPr>
        <w:t>Proposed Restructuring</w:t>
      </w:r>
      <w:r w:rsidRPr="003B0637">
        <w:rPr>
          <w:szCs w:val="26"/>
        </w:rPr>
        <w:t xml:space="preserve"> is devoid of any affirmative public benefits.  R. Exc. at 9-10.</w:t>
      </w:r>
    </w:p>
    <w:p w14:paraId="05849845" w14:textId="77777777" w:rsidR="00070A6C" w:rsidRPr="003B0637" w:rsidRDefault="00070A6C" w:rsidP="00502FC8">
      <w:pPr>
        <w:ind w:firstLine="0"/>
        <w:rPr>
          <w:szCs w:val="26"/>
        </w:rPr>
      </w:pPr>
    </w:p>
    <w:p w14:paraId="4AD248FC" w14:textId="77777777" w:rsidR="002B6789" w:rsidRPr="00CA2401" w:rsidRDefault="00CA2401" w:rsidP="00CA2401">
      <w:pPr>
        <w:keepNext/>
        <w:keepLines/>
        <w:ind w:left="1800" w:hanging="360"/>
        <w:rPr>
          <w:b/>
          <w:szCs w:val="26"/>
        </w:rPr>
      </w:pPr>
      <w:r>
        <w:rPr>
          <w:b/>
          <w:szCs w:val="26"/>
        </w:rPr>
        <w:t>c.</w:t>
      </w:r>
      <w:r>
        <w:rPr>
          <w:b/>
          <w:szCs w:val="26"/>
        </w:rPr>
        <w:tab/>
      </w:r>
      <w:r w:rsidR="002B6789" w:rsidRPr="00CA2401">
        <w:rPr>
          <w:b/>
          <w:szCs w:val="26"/>
        </w:rPr>
        <w:t>Disposition</w:t>
      </w:r>
      <w:r>
        <w:rPr>
          <w:b/>
          <w:szCs w:val="26"/>
        </w:rPr>
        <w:t xml:space="preserve"> of Exception No. 2</w:t>
      </w:r>
    </w:p>
    <w:p w14:paraId="0046D50D" w14:textId="77777777" w:rsidR="002B6789" w:rsidRPr="003B0637" w:rsidRDefault="002B6789" w:rsidP="00CA2401">
      <w:pPr>
        <w:keepNext/>
        <w:keepLines/>
        <w:rPr>
          <w:szCs w:val="26"/>
        </w:rPr>
      </w:pPr>
    </w:p>
    <w:bookmarkEnd w:id="8"/>
    <w:bookmarkEnd w:id="9"/>
    <w:p w14:paraId="3867FD9C" w14:textId="77777777" w:rsidR="001C113F" w:rsidRPr="003B0637" w:rsidRDefault="003D41B3" w:rsidP="00502FC8">
      <w:r w:rsidRPr="003B0637">
        <w:t xml:space="preserve">Upon review of the record, the ALJs’ Recommended Decision, </w:t>
      </w:r>
      <w:r w:rsidR="00D1514F" w:rsidRPr="003B0637">
        <w:t>PPL EU</w:t>
      </w:r>
      <w:r w:rsidRPr="003B0637">
        <w:t xml:space="preserve">’s </w:t>
      </w:r>
      <w:r w:rsidR="00D41816" w:rsidRPr="003B0637">
        <w:t xml:space="preserve">second </w:t>
      </w:r>
      <w:r w:rsidRPr="003B0637">
        <w:t xml:space="preserve">Exception and the OSBA’s Replies thereto, we shall deny </w:t>
      </w:r>
      <w:r w:rsidR="00D1514F" w:rsidRPr="003B0637">
        <w:t>PPL EU</w:t>
      </w:r>
      <w:r w:rsidRPr="003B0637">
        <w:t>’s second Exception</w:t>
      </w:r>
      <w:r w:rsidR="00D71161" w:rsidRPr="003B0637">
        <w:t xml:space="preserve"> and</w:t>
      </w:r>
      <w:r w:rsidRPr="003B0637">
        <w:t xml:space="preserve"> adopt the </w:t>
      </w:r>
      <w:r w:rsidR="00435232" w:rsidRPr="003B0637">
        <w:t xml:space="preserve">analysis and conclusion set forth in the </w:t>
      </w:r>
      <w:r w:rsidRPr="003B0637">
        <w:t>ALJs’ Recommended Decision</w:t>
      </w:r>
      <w:r w:rsidR="00D71161" w:rsidRPr="003B0637">
        <w:t xml:space="preserve"> on this issue</w:t>
      </w:r>
      <w:r w:rsidRPr="003B0637">
        <w:t xml:space="preserve">.  </w:t>
      </w:r>
      <w:r w:rsidR="00CB6A8E" w:rsidRPr="003B0637">
        <w:t xml:space="preserve">On this issue, the </w:t>
      </w:r>
      <w:r w:rsidRPr="003B0637">
        <w:t xml:space="preserve">OSBA </w:t>
      </w:r>
      <w:r w:rsidR="00E638A4" w:rsidRPr="003B0637">
        <w:t xml:space="preserve">presented persuasive arguments and </w:t>
      </w:r>
      <w:r w:rsidR="00CB6A8E" w:rsidRPr="003B0637">
        <w:t xml:space="preserve">effective </w:t>
      </w:r>
      <w:r w:rsidR="00E638A4" w:rsidRPr="003B0637">
        <w:t xml:space="preserve">challenges to </w:t>
      </w:r>
      <w:r w:rsidR="00BE1559">
        <w:t xml:space="preserve">the arguments and evidence </w:t>
      </w:r>
      <w:r w:rsidR="00CB6A8E" w:rsidRPr="003B0637">
        <w:t>presented</w:t>
      </w:r>
      <w:r w:rsidR="00E638A4" w:rsidRPr="003B0637">
        <w:t xml:space="preserve"> </w:t>
      </w:r>
      <w:r w:rsidR="00BE1559">
        <w:t>by PPL EU</w:t>
      </w:r>
      <w:r w:rsidR="00CB6A8E" w:rsidRPr="003B0637">
        <w:t xml:space="preserve">.  </w:t>
      </w:r>
      <w:r w:rsidR="00D41816" w:rsidRPr="003B0637">
        <w:rPr>
          <w:szCs w:val="26"/>
        </w:rPr>
        <w:t xml:space="preserve">In our opinion, </w:t>
      </w:r>
      <w:r w:rsidR="00D1514F" w:rsidRPr="003B0637">
        <w:rPr>
          <w:szCs w:val="26"/>
        </w:rPr>
        <w:t>PPL EU</w:t>
      </w:r>
      <w:r w:rsidR="00D71161" w:rsidRPr="003B0637">
        <w:rPr>
          <w:szCs w:val="26"/>
        </w:rPr>
        <w:t xml:space="preserve"> failed to </w:t>
      </w:r>
      <w:r w:rsidR="00DC04F4" w:rsidRPr="003B0637">
        <w:rPr>
          <w:szCs w:val="26"/>
        </w:rPr>
        <w:t xml:space="preserve">meet its burden of </w:t>
      </w:r>
      <w:r w:rsidR="00956759" w:rsidRPr="003B0637">
        <w:rPr>
          <w:szCs w:val="26"/>
        </w:rPr>
        <w:t>proof in showing that our</w:t>
      </w:r>
      <w:r w:rsidR="00D71161" w:rsidRPr="003B0637">
        <w:rPr>
          <w:szCs w:val="26"/>
        </w:rPr>
        <w:t xml:space="preserve"> granting a certificate of public convenience </w:t>
      </w:r>
      <w:r w:rsidR="00956759" w:rsidRPr="003B0637">
        <w:rPr>
          <w:szCs w:val="26"/>
        </w:rPr>
        <w:t xml:space="preserve">for the Proposed Restructuring </w:t>
      </w:r>
      <w:r w:rsidR="00D71161" w:rsidRPr="003B0637">
        <w:rPr>
          <w:szCs w:val="26"/>
        </w:rPr>
        <w:t xml:space="preserve">will provide </w:t>
      </w:r>
      <w:r w:rsidR="006824C9" w:rsidRPr="003B0637">
        <w:rPr>
          <w:szCs w:val="26"/>
        </w:rPr>
        <w:t>affirmative public benefit or is</w:t>
      </w:r>
      <w:r w:rsidR="00D71161" w:rsidRPr="003B0637">
        <w:rPr>
          <w:szCs w:val="26"/>
        </w:rPr>
        <w:t xml:space="preserve"> necessary or proper for the service, accommodation, convenience, or safety of the public.</w:t>
      </w:r>
      <w:r w:rsidR="00D41816" w:rsidRPr="003B0637">
        <w:rPr>
          <w:szCs w:val="26"/>
        </w:rPr>
        <w:t xml:space="preserve">  Therefore, we shall deny </w:t>
      </w:r>
      <w:r w:rsidR="00D1514F" w:rsidRPr="003B0637">
        <w:rPr>
          <w:szCs w:val="26"/>
        </w:rPr>
        <w:t>PPL EU</w:t>
      </w:r>
      <w:r w:rsidR="00D41816" w:rsidRPr="003B0637">
        <w:rPr>
          <w:szCs w:val="26"/>
        </w:rPr>
        <w:t xml:space="preserve">’s Application pursuant to Sections 1102(a)(3) and 1103(a) of the Code. </w:t>
      </w:r>
    </w:p>
    <w:p w14:paraId="087911C2" w14:textId="77777777" w:rsidR="006171EB" w:rsidRPr="003B0637" w:rsidRDefault="006171EB" w:rsidP="00502FC8"/>
    <w:p w14:paraId="27AAF74D" w14:textId="77777777" w:rsidR="00537D7F" w:rsidRPr="003B0637" w:rsidRDefault="00767179" w:rsidP="00502FC8">
      <w:pPr>
        <w:pStyle w:val="Heading1"/>
      </w:pPr>
      <w:bookmarkStart w:id="14" w:name="_Toc415316194"/>
      <w:r w:rsidRPr="003B0637">
        <w:lastRenderedPageBreak/>
        <w:t>IV.</w:t>
      </w:r>
      <w:r w:rsidRPr="003B0637">
        <w:tab/>
      </w:r>
      <w:r w:rsidR="00537D7F" w:rsidRPr="003B0637">
        <w:t>Conclusion</w:t>
      </w:r>
      <w:bookmarkEnd w:id="14"/>
    </w:p>
    <w:p w14:paraId="64DE04CF" w14:textId="77777777" w:rsidR="00537D7F" w:rsidRPr="003B0637" w:rsidRDefault="00537D7F" w:rsidP="00502FC8">
      <w:pPr>
        <w:keepNext/>
        <w:rPr>
          <w:rFonts w:eastAsia="Times New Roman"/>
          <w:color w:val="000000"/>
          <w:szCs w:val="26"/>
        </w:rPr>
      </w:pPr>
    </w:p>
    <w:p w14:paraId="346B701D" w14:textId="77777777" w:rsidR="00B53E8B" w:rsidRPr="003B0637" w:rsidRDefault="00412DF3" w:rsidP="00502FC8">
      <w:pPr>
        <w:tabs>
          <w:tab w:val="left" w:pos="-720"/>
        </w:tabs>
        <w:suppressAutoHyphens/>
        <w:rPr>
          <w:b/>
          <w:spacing w:val="-3"/>
          <w:szCs w:val="26"/>
        </w:rPr>
      </w:pPr>
      <w:r w:rsidRPr="003B0637">
        <w:rPr>
          <w:spacing w:val="-3"/>
        </w:rPr>
        <w:t xml:space="preserve">Based on our </w:t>
      </w:r>
      <w:r w:rsidR="00357564" w:rsidRPr="003B0637">
        <w:rPr>
          <w:spacing w:val="-3"/>
        </w:rPr>
        <w:t>review</w:t>
      </w:r>
      <w:r w:rsidRPr="003B0637">
        <w:rPr>
          <w:spacing w:val="-3"/>
        </w:rPr>
        <w:t xml:space="preserve"> of</w:t>
      </w:r>
      <w:r w:rsidR="00357564" w:rsidRPr="003B0637">
        <w:rPr>
          <w:spacing w:val="-3"/>
        </w:rPr>
        <w:t xml:space="preserve"> the record in thi</w:t>
      </w:r>
      <w:r w:rsidR="00AA5088" w:rsidRPr="003B0637">
        <w:rPr>
          <w:spacing w:val="-3"/>
        </w:rPr>
        <w:t xml:space="preserve">s proceeding, </w:t>
      </w:r>
      <w:r w:rsidR="000D2151" w:rsidRPr="003B0637">
        <w:rPr>
          <w:spacing w:val="-3"/>
        </w:rPr>
        <w:t>we sha</w:t>
      </w:r>
      <w:r w:rsidR="00C0329A" w:rsidRPr="003B0637">
        <w:rPr>
          <w:spacing w:val="-3"/>
        </w:rPr>
        <w:t>ll den</w:t>
      </w:r>
      <w:r w:rsidR="00D41816" w:rsidRPr="003B0637">
        <w:rPr>
          <w:spacing w:val="-3"/>
        </w:rPr>
        <w:t>y</w:t>
      </w:r>
      <w:r w:rsidR="00C0329A" w:rsidRPr="003B0637">
        <w:rPr>
          <w:spacing w:val="-3"/>
        </w:rPr>
        <w:t xml:space="preserve"> the Exceptions filed by</w:t>
      </w:r>
      <w:r w:rsidR="00076993" w:rsidRPr="003B0637">
        <w:rPr>
          <w:szCs w:val="26"/>
        </w:rPr>
        <w:t xml:space="preserve"> </w:t>
      </w:r>
      <w:r w:rsidR="00D1514F" w:rsidRPr="003B0637">
        <w:rPr>
          <w:szCs w:val="26"/>
        </w:rPr>
        <w:t>PPL EU</w:t>
      </w:r>
      <w:r w:rsidR="00076993" w:rsidRPr="003B0637">
        <w:rPr>
          <w:szCs w:val="26"/>
        </w:rPr>
        <w:t xml:space="preserve"> adopt</w:t>
      </w:r>
      <w:r w:rsidR="00E36112" w:rsidRPr="003B0637">
        <w:rPr>
          <w:szCs w:val="26"/>
        </w:rPr>
        <w:t xml:space="preserve"> the ALJ</w:t>
      </w:r>
      <w:r w:rsidR="00D41816" w:rsidRPr="003B0637">
        <w:rPr>
          <w:szCs w:val="26"/>
        </w:rPr>
        <w:t>s</w:t>
      </w:r>
      <w:r w:rsidR="001A5E37" w:rsidRPr="003B0637">
        <w:rPr>
          <w:szCs w:val="26"/>
        </w:rPr>
        <w:t>’</w:t>
      </w:r>
      <w:r w:rsidR="000D2151" w:rsidRPr="003B0637">
        <w:rPr>
          <w:szCs w:val="26"/>
        </w:rPr>
        <w:t xml:space="preserve"> Recommended Decision</w:t>
      </w:r>
      <w:r w:rsidR="00BE1559">
        <w:rPr>
          <w:szCs w:val="26"/>
        </w:rPr>
        <w:t xml:space="preserve"> that denies </w:t>
      </w:r>
      <w:r w:rsidR="00D41816" w:rsidRPr="003B0637">
        <w:rPr>
          <w:szCs w:val="26"/>
        </w:rPr>
        <w:t>the Application,</w:t>
      </w:r>
      <w:r w:rsidR="00076993" w:rsidRPr="003B0637">
        <w:rPr>
          <w:szCs w:val="26"/>
        </w:rPr>
        <w:t xml:space="preserve"> consistent with this Opinion and Order</w:t>
      </w:r>
      <w:r w:rsidR="00355FC7" w:rsidRPr="003B0637">
        <w:t xml:space="preserve">; </w:t>
      </w:r>
      <w:r w:rsidR="00BE6ED3" w:rsidRPr="003B0637">
        <w:rPr>
          <w:b/>
          <w:spacing w:val="-3"/>
          <w:szCs w:val="26"/>
        </w:rPr>
        <w:t>T</w:t>
      </w:r>
      <w:r w:rsidR="00357564" w:rsidRPr="003B0637">
        <w:rPr>
          <w:b/>
          <w:spacing w:val="-3"/>
          <w:szCs w:val="26"/>
        </w:rPr>
        <w:t>HEREFORE</w:t>
      </w:r>
      <w:r w:rsidR="0036542B" w:rsidRPr="003B0637">
        <w:rPr>
          <w:b/>
          <w:spacing w:val="-3"/>
          <w:szCs w:val="26"/>
        </w:rPr>
        <w:t>,</w:t>
      </w:r>
    </w:p>
    <w:p w14:paraId="18B8C621" w14:textId="77777777" w:rsidR="0036542B" w:rsidRPr="003B0637" w:rsidRDefault="0036542B" w:rsidP="00502FC8">
      <w:pPr>
        <w:tabs>
          <w:tab w:val="left" w:pos="-720"/>
        </w:tabs>
        <w:suppressAutoHyphens/>
        <w:rPr>
          <w:b/>
          <w:spacing w:val="-3"/>
          <w:szCs w:val="26"/>
        </w:rPr>
      </w:pPr>
    </w:p>
    <w:p w14:paraId="03959F4F" w14:textId="77777777" w:rsidR="00B53E8B" w:rsidRPr="003B0637" w:rsidRDefault="0047221A" w:rsidP="00502FC8">
      <w:pPr>
        <w:pStyle w:val="NoSpacing"/>
        <w:spacing w:line="360" w:lineRule="auto"/>
        <w:ind w:left="720" w:firstLine="720"/>
        <w:rPr>
          <w:b/>
          <w:color w:val="333333"/>
          <w:sz w:val="26"/>
          <w:szCs w:val="26"/>
        </w:rPr>
      </w:pPr>
      <w:r w:rsidRPr="003B0637">
        <w:rPr>
          <w:b/>
          <w:color w:val="333333"/>
          <w:sz w:val="26"/>
          <w:szCs w:val="26"/>
        </w:rPr>
        <w:t xml:space="preserve">IT IS </w:t>
      </w:r>
      <w:r w:rsidR="00C57E0A" w:rsidRPr="003B0637">
        <w:rPr>
          <w:b/>
          <w:color w:val="333333"/>
          <w:sz w:val="26"/>
          <w:szCs w:val="26"/>
        </w:rPr>
        <w:t>ORDERED</w:t>
      </w:r>
      <w:r w:rsidRPr="003B0637">
        <w:rPr>
          <w:b/>
          <w:color w:val="333333"/>
          <w:sz w:val="26"/>
          <w:szCs w:val="26"/>
        </w:rPr>
        <w:t>:</w:t>
      </w:r>
    </w:p>
    <w:p w14:paraId="1E0D3979" w14:textId="77777777" w:rsidR="006F0CC8" w:rsidRDefault="006F0CC8" w:rsidP="00502FC8">
      <w:pPr>
        <w:pStyle w:val="NoSpacing"/>
        <w:spacing w:line="360" w:lineRule="auto"/>
        <w:ind w:left="720" w:firstLine="720"/>
        <w:rPr>
          <w:b/>
          <w:color w:val="333333"/>
          <w:sz w:val="26"/>
          <w:szCs w:val="26"/>
        </w:rPr>
      </w:pPr>
    </w:p>
    <w:p w14:paraId="63872BAE" w14:textId="57E0CC00" w:rsidR="0001260B" w:rsidRPr="003B0637" w:rsidRDefault="00BE1559" w:rsidP="00BE1559">
      <w:pPr>
        <w:pStyle w:val="NoSpacing"/>
        <w:spacing w:line="360" w:lineRule="auto"/>
        <w:rPr>
          <w:spacing w:val="-3"/>
          <w:sz w:val="26"/>
          <w:szCs w:val="26"/>
        </w:rPr>
      </w:pPr>
      <w:r>
        <w:rPr>
          <w:spacing w:val="-3"/>
          <w:sz w:val="26"/>
          <w:szCs w:val="26"/>
        </w:rPr>
        <w:tab/>
      </w:r>
      <w:r>
        <w:rPr>
          <w:spacing w:val="-3"/>
          <w:sz w:val="26"/>
          <w:szCs w:val="26"/>
        </w:rPr>
        <w:tab/>
      </w:r>
      <w:r w:rsidR="00C21AAA">
        <w:rPr>
          <w:spacing w:val="-3"/>
          <w:sz w:val="26"/>
          <w:szCs w:val="26"/>
        </w:rPr>
        <w:t>1</w:t>
      </w:r>
      <w:r>
        <w:rPr>
          <w:spacing w:val="-3"/>
          <w:sz w:val="26"/>
          <w:szCs w:val="26"/>
        </w:rPr>
        <w:t>.</w:t>
      </w:r>
      <w:r>
        <w:rPr>
          <w:spacing w:val="-3"/>
          <w:sz w:val="26"/>
          <w:szCs w:val="26"/>
        </w:rPr>
        <w:tab/>
      </w:r>
      <w:r w:rsidR="00E36112" w:rsidRPr="003B0637">
        <w:rPr>
          <w:spacing w:val="-3"/>
          <w:sz w:val="26"/>
          <w:szCs w:val="26"/>
        </w:rPr>
        <w:t>That the Exceptions filed by PPL</w:t>
      </w:r>
      <w:r w:rsidR="00E36112" w:rsidRPr="003B0637">
        <w:rPr>
          <w:sz w:val="26"/>
          <w:szCs w:val="26"/>
        </w:rPr>
        <w:t xml:space="preserve"> </w:t>
      </w:r>
      <w:r w:rsidR="00BD74DF" w:rsidRPr="003B0637">
        <w:rPr>
          <w:sz w:val="26"/>
          <w:szCs w:val="26"/>
        </w:rPr>
        <w:t>Electric Utilities Corporation</w:t>
      </w:r>
      <w:r w:rsidR="00AD0A8C" w:rsidRPr="003B0637">
        <w:rPr>
          <w:sz w:val="26"/>
          <w:szCs w:val="26"/>
        </w:rPr>
        <w:t xml:space="preserve"> on</w:t>
      </w:r>
      <w:r w:rsidR="00076993" w:rsidRPr="003B0637">
        <w:rPr>
          <w:sz w:val="26"/>
          <w:szCs w:val="26"/>
        </w:rPr>
        <w:t xml:space="preserve"> October </w:t>
      </w:r>
      <w:r w:rsidR="00AD0A8C" w:rsidRPr="003B0637">
        <w:rPr>
          <w:sz w:val="26"/>
          <w:szCs w:val="26"/>
        </w:rPr>
        <w:t>1, 201</w:t>
      </w:r>
      <w:r w:rsidR="00076993" w:rsidRPr="003B0637">
        <w:rPr>
          <w:sz w:val="26"/>
          <w:szCs w:val="26"/>
        </w:rPr>
        <w:t>8</w:t>
      </w:r>
      <w:r w:rsidR="00AD0A8C" w:rsidRPr="003B0637">
        <w:rPr>
          <w:sz w:val="26"/>
          <w:szCs w:val="26"/>
        </w:rPr>
        <w:t>,</w:t>
      </w:r>
      <w:r w:rsidR="00BD74DF" w:rsidRPr="003B0637">
        <w:rPr>
          <w:sz w:val="26"/>
          <w:szCs w:val="26"/>
        </w:rPr>
        <w:t xml:space="preserve"> </w:t>
      </w:r>
      <w:r w:rsidR="00AD0A8C" w:rsidRPr="003B0637">
        <w:rPr>
          <w:sz w:val="26"/>
          <w:szCs w:val="26"/>
        </w:rPr>
        <w:t>to the Recommended Decision Administrative Law Judge</w:t>
      </w:r>
      <w:r w:rsidR="00076993" w:rsidRPr="003B0637">
        <w:rPr>
          <w:sz w:val="26"/>
          <w:szCs w:val="26"/>
        </w:rPr>
        <w:t>s</w:t>
      </w:r>
      <w:r w:rsidR="00AD0A8C" w:rsidRPr="003B0637">
        <w:rPr>
          <w:sz w:val="26"/>
          <w:szCs w:val="26"/>
        </w:rPr>
        <w:t xml:space="preserve"> </w:t>
      </w:r>
      <w:r w:rsidR="00076993" w:rsidRPr="003B0637">
        <w:rPr>
          <w:sz w:val="26"/>
          <w:szCs w:val="26"/>
        </w:rPr>
        <w:t>Benjamin J. Myers and Joel H. Cheskis</w:t>
      </w:r>
      <w:r>
        <w:rPr>
          <w:sz w:val="26"/>
          <w:szCs w:val="26"/>
        </w:rPr>
        <w:t xml:space="preserve"> that was issued on September 11, 2018,</w:t>
      </w:r>
      <w:r w:rsidR="00076993" w:rsidRPr="003B0637">
        <w:rPr>
          <w:sz w:val="26"/>
          <w:szCs w:val="26"/>
        </w:rPr>
        <w:t xml:space="preserve"> </w:t>
      </w:r>
      <w:r w:rsidR="008A00A6" w:rsidRPr="003B0637">
        <w:rPr>
          <w:sz w:val="26"/>
          <w:szCs w:val="26"/>
        </w:rPr>
        <w:t>are</w:t>
      </w:r>
      <w:r w:rsidR="00076993" w:rsidRPr="003B0637">
        <w:rPr>
          <w:sz w:val="26"/>
          <w:szCs w:val="26"/>
        </w:rPr>
        <w:t xml:space="preserve"> </w:t>
      </w:r>
      <w:r w:rsidR="00A90EC4" w:rsidRPr="003B0637">
        <w:rPr>
          <w:spacing w:val="-3"/>
          <w:sz w:val="26"/>
          <w:szCs w:val="26"/>
        </w:rPr>
        <w:t>denied</w:t>
      </w:r>
      <w:r w:rsidR="00076993" w:rsidRPr="003B0637">
        <w:rPr>
          <w:spacing w:val="-3"/>
          <w:sz w:val="26"/>
          <w:szCs w:val="26"/>
        </w:rPr>
        <w:t xml:space="preserve">, </w:t>
      </w:r>
      <w:r w:rsidR="00C5313B" w:rsidRPr="003B0637">
        <w:rPr>
          <w:spacing w:val="-3"/>
          <w:sz w:val="26"/>
          <w:szCs w:val="26"/>
        </w:rPr>
        <w:t>consistent</w:t>
      </w:r>
      <w:r w:rsidR="00355FC7" w:rsidRPr="003B0637">
        <w:rPr>
          <w:spacing w:val="-3"/>
          <w:sz w:val="26"/>
          <w:szCs w:val="26"/>
        </w:rPr>
        <w:t xml:space="preserve"> with this Opinion and Order</w:t>
      </w:r>
      <w:r w:rsidR="00992092" w:rsidRPr="003B0637">
        <w:rPr>
          <w:spacing w:val="-3"/>
          <w:sz w:val="26"/>
          <w:szCs w:val="26"/>
        </w:rPr>
        <w:t>.</w:t>
      </w:r>
    </w:p>
    <w:p w14:paraId="53A39378" w14:textId="77777777" w:rsidR="0001260B" w:rsidRPr="003B0637" w:rsidRDefault="0001260B" w:rsidP="00502FC8">
      <w:pPr>
        <w:pStyle w:val="NoSpacing"/>
        <w:spacing w:line="360" w:lineRule="auto"/>
        <w:ind w:firstLine="1440"/>
        <w:rPr>
          <w:spacing w:val="-3"/>
          <w:sz w:val="26"/>
          <w:szCs w:val="26"/>
        </w:rPr>
      </w:pPr>
    </w:p>
    <w:p w14:paraId="455D3397" w14:textId="65FF10E3" w:rsidR="00176927" w:rsidRPr="003B0637" w:rsidRDefault="00C21AAA" w:rsidP="003C1202">
      <w:pPr>
        <w:pStyle w:val="NoSpacing"/>
        <w:spacing w:line="360" w:lineRule="auto"/>
        <w:ind w:firstLine="1440"/>
        <w:rPr>
          <w:spacing w:val="-3"/>
          <w:sz w:val="26"/>
          <w:szCs w:val="26"/>
        </w:rPr>
      </w:pPr>
      <w:r>
        <w:rPr>
          <w:spacing w:val="-3"/>
          <w:sz w:val="26"/>
          <w:szCs w:val="26"/>
        </w:rPr>
        <w:t>2</w:t>
      </w:r>
      <w:r w:rsidR="00BE1559">
        <w:rPr>
          <w:spacing w:val="-3"/>
          <w:sz w:val="26"/>
          <w:szCs w:val="26"/>
        </w:rPr>
        <w:t>.</w:t>
      </w:r>
      <w:r w:rsidR="00BE1559">
        <w:rPr>
          <w:spacing w:val="-3"/>
          <w:sz w:val="26"/>
          <w:szCs w:val="26"/>
        </w:rPr>
        <w:tab/>
      </w:r>
      <w:r w:rsidR="00067490" w:rsidRPr="003B0637">
        <w:rPr>
          <w:spacing w:val="-3"/>
          <w:sz w:val="26"/>
          <w:szCs w:val="26"/>
        </w:rPr>
        <w:t xml:space="preserve">That the Recommended Decision of Administrative Law </w:t>
      </w:r>
      <w:r w:rsidR="00B3666D" w:rsidRPr="003B0637">
        <w:rPr>
          <w:sz w:val="26"/>
          <w:szCs w:val="26"/>
        </w:rPr>
        <w:t>Judge</w:t>
      </w:r>
      <w:r w:rsidR="00176927" w:rsidRPr="003B0637">
        <w:rPr>
          <w:sz w:val="26"/>
          <w:szCs w:val="26"/>
        </w:rPr>
        <w:t>s</w:t>
      </w:r>
      <w:r w:rsidR="00E36112" w:rsidRPr="003B0637">
        <w:rPr>
          <w:sz w:val="26"/>
          <w:szCs w:val="26"/>
        </w:rPr>
        <w:t xml:space="preserve"> </w:t>
      </w:r>
      <w:r w:rsidR="00176927" w:rsidRPr="003B0637">
        <w:rPr>
          <w:sz w:val="26"/>
          <w:szCs w:val="26"/>
        </w:rPr>
        <w:t>Benjamin J. Myers and Joel H. Cheskis</w:t>
      </w:r>
      <w:r w:rsidR="00450439" w:rsidRPr="003B0637">
        <w:rPr>
          <w:sz w:val="26"/>
          <w:szCs w:val="26"/>
        </w:rPr>
        <w:t xml:space="preserve">, issued </w:t>
      </w:r>
      <w:r w:rsidR="00E36112" w:rsidRPr="003B0637">
        <w:rPr>
          <w:sz w:val="26"/>
          <w:szCs w:val="26"/>
        </w:rPr>
        <w:t>on</w:t>
      </w:r>
      <w:r w:rsidR="00176927" w:rsidRPr="003B0637">
        <w:rPr>
          <w:sz w:val="26"/>
          <w:szCs w:val="26"/>
        </w:rPr>
        <w:t xml:space="preserve"> September 11</w:t>
      </w:r>
      <w:r w:rsidR="00450439" w:rsidRPr="003B0637">
        <w:rPr>
          <w:sz w:val="26"/>
          <w:szCs w:val="26"/>
        </w:rPr>
        <w:t>, 201</w:t>
      </w:r>
      <w:r w:rsidR="00176927" w:rsidRPr="003B0637">
        <w:rPr>
          <w:sz w:val="26"/>
          <w:szCs w:val="26"/>
        </w:rPr>
        <w:t>8</w:t>
      </w:r>
      <w:r w:rsidR="00B3666D" w:rsidRPr="003B0637">
        <w:rPr>
          <w:sz w:val="26"/>
          <w:szCs w:val="26"/>
        </w:rPr>
        <w:t>,</w:t>
      </w:r>
      <w:r w:rsidR="00067490" w:rsidRPr="003B0637">
        <w:rPr>
          <w:spacing w:val="-3"/>
          <w:sz w:val="26"/>
          <w:szCs w:val="26"/>
        </w:rPr>
        <w:t xml:space="preserve"> </w:t>
      </w:r>
      <w:r w:rsidR="00A90EC4" w:rsidRPr="003B0637">
        <w:rPr>
          <w:spacing w:val="-3"/>
          <w:sz w:val="26"/>
          <w:szCs w:val="26"/>
        </w:rPr>
        <w:t xml:space="preserve">is </w:t>
      </w:r>
      <w:r w:rsidR="00D41816" w:rsidRPr="003B0637">
        <w:rPr>
          <w:spacing w:val="-3"/>
          <w:sz w:val="26"/>
          <w:szCs w:val="26"/>
        </w:rPr>
        <w:t>adopted</w:t>
      </w:r>
      <w:r w:rsidR="00A90EC4" w:rsidRPr="003B0637">
        <w:rPr>
          <w:spacing w:val="-3"/>
          <w:sz w:val="26"/>
          <w:szCs w:val="26"/>
        </w:rPr>
        <w:t xml:space="preserve">, </w:t>
      </w:r>
      <w:r w:rsidR="00067490" w:rsidRPr="003B0637">
        <w:rPr>
          <w:spacing w:val="-3"/>
          <w:sz w:val="26"/>
          <w:szCs w:val="26"/>
        </w:rPr>
        <w:t>consistent with this Opinion and Order.</w:t>
      </w:r>
    </w:p>
    <w:p w14:paraId="23910F42" w14:textId="77777777" w:rsidR="00176927" w:rsidRPr="003B0637" w:rsidRDefault="00176927" w:rsidP="00502FC8">
      <w:pPr>
        <w:autoSpaceDE w:val="0"/>
        <w:autoSpaceDN w:val="0"/>
        <w:adjustRightInd w:val="0"/>
        <w:spacing w:line="240" w:lineRule="auto"/>
        <w:ind w:firstLine="0"/>
        <w:rPr>
          <w:color w:val="000000"/>
          <w:szCs w:val="24"/>
        </w:rPr>
      </w:pPr>
    </w:p>
    <w:p w14:paraId="0F0323EE" w14:textId="0537BC18" w:rsidR="00544CD5" w:rsidRDefault="00C21AAA" w:rsidP="00502FC8">
      <w:pPr>
        <w:pStyle w:val="NoSpacing"/>
        <w:spacing w:line="360" w:lineRule="auto"/>
        <w:ind w:firstLine="1440"/>
        <w:rPr>
          <w:sz w:val="26"/>
          <w:szCs w:val="26"/>
        </w:rPr>
      </w:pPr>
      <w:r>
        <w:rPr>
          <w:sz w:val="26"/>
          <w:szCs w:val="26"/>
        </w:rPr>
        <w:t>3</w:t>
      </w:r>
      <w:r w:rsidR="00176927" w:rsidRPr="003B0637">
        <w:rPr>
          <w:sz w:val="26"/>
          <w:szCs w:val="26"/>
        </w:rPr>
        <w:t>.</w:t>
      </w:r>
      <w:r w:rsidR="00176927" w:rsidRPr="003B0637">
        <w:rPr>
          <w:sz w:val="26"/>
          <w:szCs w:val="26"/>
        </w:rPr>
        <w:tab/>
        <w:t xml:space="preserve">That the </w:t>
      </w:r>
      <w:r w:rsidR="00A90EC4" w:rsidRPr="003B0637">
        <w:rPr>
          <w:sz w:val="26"/>
          <w:szCs w:val="26"/>
        </w:rPr>
        <w:t>A</w:t>
      </w:r>
      <w:r w:rsidR="00176927" w:rsidRPr="003B0637">
        <w:rPr>
          <w:sz w:val="26"/>
          <w:szCs w:val="26"/>
        </w:rPr>
        <w:t xml:space="preserve">pplication for </w:t>
      </w:r>
      <w:r w:rsidR="00A90EC4" w:rsidRPr="003B0637">
        <w:rPr>
          <w:sz w:val="26"/>
          <w:szCs w:val="26"/>
        </w:rPr>
        <w:t>I</w:t>
      </w:r>
      <w:r w:rsidR="00176927" w:rsidRPr="003B0637">
        <w:rPr>
          <w:sz w:val="26"/>
          <w:szCs w:val="26"/>
        </w:rPr>
        <w:t xml:space="preserve">ntercompany </w:t>
      </w:r>
      <w:r w:rsidR="00A90EC4" w:rsidRPr="003B0637">
        <w:rPr>
          <w:sz w:val="26"/>
          <w:szCs w:val="26"/>
        </w:rPr>
        <w:t>R</w:t>
      </w:r>
      <w:r w:rsidR="00176927" w:rsidRPr="003B0637">
        <w:rPr>
          <w:sz w:val="26"/>
          <w:szCs w:val="26"/>
        </w:rPr>
        <w:t>estructuring filed by PPL Electric Utilities Corporation on October 16, 2017</w:t>
      </w:r>
      <w:r w:rsidR="00BE1559">
        <w:rPr>
          <w:sz w:val="26"/>
          <w:szCs w:val="26"/>
        </w:rPr>
        <w:t>,</w:t>
      </w:r>
      <w:r w:rsidR="00176927" w:rsidRPr="003B0637">
        <w:rPr>
          <w:sz w:val="26"/>
          <w:szCs w:val="26"/>
        </w:rPr>
        <w:t xml:space="preserve"> at </w:t>
      </w:r>
      <w:r w:rsidR="00A90EC4" w:rsidRPr="003B0637">
        <w:rPr>
          <w:sz w:val="26"/>
          <w:szCs w:val="26"/>
        </w:rPr>
        <w:t>D</w:t>
      </w:r>
      <w:r w:rsidR="00176927" w:rsidRPr="003B0637">
        <w:rPr>
          <w:sz w:val="26"/>
          <w:szCs w:val="26"/>
        </w:rPr>
        <w:t xml:space="preserve">ocket </w:t>
      </w:r>
      <w:r w:rsidR="00A90EC4" w:rsidRPr="003B0637">
        <w:rPr>
          <w:sz w:val="26"/>
          <w:szCs w:val="26"/>
        </w:rPr>
        <w:t>N</w:t>
      </w:r>
      <w:r w:rsidR="00176927" w:rsidRPr="003B0637">
        <w:rPr>
          <w:sz w:val="26"/>
          <w:szCs w:val="26"/>
        </w:rPr>
        <w:t>umber A-2017-2629534</w:t>
      </w:r>
      <w:r w:rsidR="00A90EC4" w:rsidRPr="003B0637">
        <w:rPr>
          <w:sz w:val="26"/>
          <w:szCs w:val="26"/>
        </w:rPr>
        <w:t>,</w:t>
      </w:r>
      <w:r w:rsidR="00176927" w:rsidRPr="003B0637">
        <w:rPr>
          <w:sz w:val="26"/>
          <w:szCs w:val="26"/>
        </w:rPr>
        <w:t xml:space="preserve"> </w:t>
      </w:r>
      <w:r w:rsidR="006C79E7" w:rsidRPr="003B0637">
        <w:rPr>
          <w:sz w:val="26"/>
          <w:szCs w:val="26"/>
        </w:rPr>
        <w:t xml:space="preserve">is hereby </w:t>
      </w:r>
      <w:r w:rsidR="00176927" w:rsidRPr="003B0637">
        <w:rPr>
          <w:sz w:val="26"/>
          <w:szCs w:val="26"/>
        </w:rPr>
        <w:t>denied.</w:t>
      </w:r>
    </w:p>
    <w:p w14:paraId="547B8CB0" w14:textId="77777777" w:rsidR="00C21AAA" w:rsidRPr="003B0637" w:rsidRDefault="00C21AAA" w:rsidP="00502FC8">
      <w:pPr>
        <w:pStyle w:val="NoSpacing"/>
        <w:spacing w:line="360" w:lineRule="auto"/>
        <w:ind w:firstLine="1440"/>
        <w:rPr>
          <w:sz w:val="26"/>
          <w:szCs w:val="26"/>
        </w:rPr>
      </w:pPr>
    </w:p>
    <w:p w14:paraId="2B202B42" w14:textId="4637A036" w:rsidR="00C21AAA" w:rsidRPr="003B0637" w:rsidRDefault="00C21AAA" w:rsidP="00C21AAA">
      <w:pPr>
        <w:autoSpaceDE w:val="0"/>
        <w:autoSpaceDN w:val="0"/>
        <w:adjustRightInd w:val="0"/>
        <w:rPr>
          <w:color w:val="000000"/>
          <w:szCs w:val="26"/>
        </w:rPr>
      </w:pPr>
      <w:r>
        <w:rPr>
          <w:color w:val="000000"/>
          <w:szCs w:val="26"/>
        </w:rPr>
        <w:t>4.</w:t>
      </w:r>
      <w:r w:rsidRPr="003B0637">
        <w:rPr>
          <w:color w:val="000000"/>
          <w:szCs w:val="26"/>
        </w:rPr>
        <w:tab/>
        <w:t>That the Parties shall provide two copies of all documents referenced in the Stipulation to the Commission’s Secretary’s Bureau for inclusion in the official record.</w:t>
      </w:r>
    </w:p>
    <w:p w14:paraId="0C283E2C" w14:textId="77777777" w:rsidR="00C21AAA" w:rsidRPr="003B0637" w:rsidRDefault="00C21AAA" w:rsidP="00C21AAA">
      <w:pPr>
        <w:autoSpaceDE w:val="0"/>
        <w:autoSpaceDN w:val="0"/>
        <w:adjustRightInd w:val="0"/>
        <w:ind w:firstLine="0"/>
        <w:rPr>
          <w:color w:val="000000"/>
          <w:szCs w:val="26"/>
        </w:rPr>
      </w:pPr>
    </w:p>
    <w:p w14:paraId="068629D8" w14:textId="77777777" w:rsidR="00BE1559" w:rsidRDefault="00BE1559" w:rsidP="00502FC8">
      <w:pPr>
        <w:pStyle w:val="NoSpacing"/>
        <w:spacing w:line="360" w:lineRule="auto"/>
        <w:ind w:firstLine="1440"/>
        <w:rPr>
          <w:sz w:val="26"/>
          <w:szCs w:val="26"/>
        </w:rPr>
      </w:pPr>
    </w:p>
    <w:p w14:paraId="640008C7" w14:textId="5F0A19FF" w:rsidR="00176927" w:rsidRPr="003B0637" w:rsidRDefault="00C21AAA" w:rsidP="00AC6017">
      <w:pPr>
        <w:pStyle w:val="NoSpacing"/>
        <w:keepNext/>
        <w:keepLines/>
        <w:spacing w:line="360" w:lineRule="auto"/>
        <w:ind w:firstLine="1440"/>
        <w:rPr>
          <w:spacing w:val="-3"/>
          <w:sz w:val="26"/>
          <w:szCs w:val="26"/>
        </w:rPr>
      </w:pPr>
      <w:r>
        <w:rPr>
          <w:sz w:val="26"/>
          <w:szCs w:val="26"/>
        </w:rPr>
        <w:lastRenderedPageBreak/>
        <w:t>5</w:t>
      </w:r>
      <w:r w:rsidR="00176927" w:rsidRPr="003B0637">
        <w:rPr>
          <w:sz w:val="26"/>
          <w:szCs w:val="26"/>
        </w:rPr>
        <w:t>.</w:t>
      </w:r>
      <w:r w:rsidR="00176927" w:rsidRPr="003B0637">
        <w:rPr>
          <w:sz w:val="26"/>
          <w:szCs w:val="26"/>
        </w:rPr>
        <w:tab/>
        <w:t>That the docket in this matter</w:t>
      </w:r>
      <w:r w:rsidR="006C79E7" w:rsidRPr="003B0637">
        <w:rPr>
          <w:sz w:val="26"/>
          <w:szCs w:val="26"/>
        </w:rPr>
        <w:t xml:space="preserve"> </w:t>
      </w:r>
      <w:r w:rsidR="00176927" w:rsidRPr="003B0637">
        <w:rPr>
          <w:sz w:val="26"/>
          <w:szCs w:val="26"/>
        </w:rPr>
        <w:t>be marked closed.</w:t>
      </w:r>
    </w:p>
    <w:p w14:paraId="705D94CE" w14:textId="553A4617" w:rsidR="00176927" w:rsidRPr="003B0637" w:rsidRDefault="00176927" w:rsidP="00AC6017">
      <w:pPr>
        <w:pStyle w:val="NoSpacing"/>
        <w:keepNext/>
        <w:keepLines/>
        <w:spacing w:line="360" w:lineRule="auto"/>
        <w:ind w:firstLine="1440"/>
        <w:rPr>
          <w:spacing w:val="-3"/>
          <w:sz w:val="26"/>
          <w:szCs w:val="26"/>
        </w:rPr>
      </w:pPr>
    </w:p>
    <w:p w14:paraId="51228CDC" w14:textId="379FC07D" w:rsidR="006345BA" w:rsidRPr="003B0637" w:rsidRDefault="00636309" w:rsidP="00AC6017">
      <w:pPr>
        <w:pStyle w:val="ListParagraph"/>
        <w:keepNext/>
        <w:keepLines/>
        <w:spacing w:line="360" w:lineRule="auto"/>
        <w:ind w:left="0" w:firstLine="0"/>
        <w:rPr>
          <w:b/>
          <w:spacing w:val="-3"/>
          <w:sz w:val="26"/>
          <w:szCs w:val="26"/>
        </w:rPr>
      </w:pPr>
      <w:r>
        <w:rPr>
          <w:noProof/>
        </w:rPr>
        <w:drawing>
          <wp:anchor distT="0" distB="0" distL="114300" distR="114300" simplePos="0" relativeHeight="251659264" behindDoc="1" locked="0" layoutInCell="1" allowOverlap="1" wp14:anchorId="180DD095" wp14:editId="4ACD4E77">
            <wp:simplePos x="0" y="0"/>
            <wp:positionH relativeFrom="column">
              <wp:posOffset>3219450</wp:posOffset>
            </wp:positionH>
            <wp:positionV relativeFrom="paragraph">
              <wp:posOffset>210185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45BA" w:rsidRPr="003B0637">
        <w:rPr>
          <w:b/>
          <w:spacing w:val="-3"/>
          <w:sz w:val="26"/>
          <w:szCs w:val="26"/>
        </w:rPr>
        <w:tab/>
      </w:r>
      <w:r w:rsidR="006345BA" w:rsidRPr="003B0637">
        <w:rPr>
          <w:b/>
          <w:spacing w:val="-3"/>
          <w:sz w:val="26"/>
          <w:szCs w:val="26"/>
        </w:rPr>
        <w:tab/>
      </w:r>
      <w:r w:rsidR="006345BA" w:rsidRPr="003B0637">
        <w:rPr>
          <w:b/>
          <w:spacing w:val="-3"/>
          <w:sz w:val="26"/>
          <w:szCs w:val="26"/>
        </w:rPr>
        <w:tab/>
      </w:r>
      <w:r w:rsidR="006345BA" w:rsidRPr="003B0637">
        <w:rPr>
          <w:b/>
          <w:spacing w:val="-3"/>
          <w:sz w:val="26"/>
          <w:szCs w:val="26"/>
        </w:rPr>
        <w:tab/>
      </w:r>
      <w:r w:rsidR="006345BA" w:rsidRPr="003B0637">
        <w:rPr>
          <w:b/>
          <w:spacing w:val="-3"/>
          <w:sz w:val="26"/>
          <w:szCs w:val="26"/>
        </w:rPr>
        <w:tab/>
      </w:r>
      <w:r w:rsidR="006345BA" w:rsidRPr="003B0637">
        <w:rPr>
          <w:b/>
          <w:spacing w:val="-3"/>
          <w:sz w:val="26"/>
          <w:szCs w:val="26"/>
        </w:rPr>
        <w:tab/>
      </w:r>
      <w:r w:rsidR="006345BA" w:rsidRPr="003B0637">
        <w:rPr>
          <w:b/>
          <w:spacing w:val="-3"/>
          <w:sz w:val="26"/>
          <w:szCs w:val="26"/>
        </w:rPr>
        <w:tab/>
        <w:t>BY THE COMMISSION,</w:t>
      </w:r>
    </w:p>
    <w:p w14:paraId="3582AEA9" w14:textId="77777777" w:rsidR="007C1AE9" w:rsidRPr="003B0637" w:rsidRDefault="007C1AE9" w:rsidP="00AC6017">
      <w:pPr>
        <w:keepNext/>
        <w:keepLines/>
        <w:tabs>
          <w:tab w:val="left" w:pos="-720"/>
        </w:tabs>
        <w:suppressAutoHyphens/>
        <w:spacing w:line="240" w:lineRule="auto"/>
        <w:ind w:firstLine="0"/>
        <w:rPr>
          <w:spacing w:val="-3"/>
          <w:szCs w:val="26"/>
        </w:rPr>
      </w:pPr>
    </w:p>
    <w:p w14:paraId="717361F5" w14:textId="77777777" w:rsidR="000A0EBD" w:rsidRPr="003B0637" w:rsidRDefault="000A0EBD" w:rsidP="00AC6017">
      <w:pPr>
        <w:keepNext/>
        <w:keepLines/>
        <w:tabs>
          <w:tab w:val="left" w:pos="-720"/>
        </w:tabs>
        <w:suppressAutoHyphens/>
        <w:spacing w:line="240" w:lineRule="auto"/>
        <w:ind w:firstLine="0"/>
        <w:rPr>
          <w:spacing w:val="-3"/>
          <w:szCs w:val="26"/>
        </w:rPr>
      </w:pPr>
    </w:p>
    <w:p w14:paraId="7281E8AA" w14:textId="77777777" w:rsidR="000A0EBD" w:rsidRDefault="000A0EBD" w:rsidP="00AC6017">
      <w:pPr>
        <w:keepNext/>
        <w:keepLines/>
        <w:tabs>
          <w:tab w:val="left" w:pos="-720"/>
        </w:tabs>
        <w:suppressAutoHyphens/>
        <w:spacing w:line="240" w:lineRule="auto"/>
        <w:ind w:firstLine="0"/>
        <w:rPr>
          <w:spacing w:val="-3"/>
          <w:szCs w:val="26"/>
        </w:rPr>
      </w:pPr>
    </w:p>
    <w:p w14:paraId="7CC7BAEA" w14:textId="77777777" w:rsidR="00313FD8" w:rsidRPr="003B0637" w:rsidRDefault="00313FD8" w:rsidP="00AC6017">
      <w:pPr>
        <w:keepNext/>
        <w:keepLines/>
        <w:tabs>
          <w:tab w:val="left" w:pos="-720"/>
        </w:tabs>
        <w:suppressAutoHyphens/>
        <w:spacing w:line="240" w:lineRule="auto"/>
        <w:ind w:firstLine="0"/>
        <w:rPr>
          <w:spacing w:val="-3"/>
          <w:szCs w:val="26"/>
        </w:rPr>
      </w:pPr>
    </w:p>
    <w:p w14:paraId="155A9846" w14:textId="77777777" w:rsidR="006345BA" w:rsidRPr="003B0637" w:rsidRDefault="006345BA" w:rsidP="00AC6017">
      <w:pPr>
        <w:keepNext/>
        <w:keepLines/>
        <w:tabs>
          <w:tab w:val="left" w:pos="-720"/>
        </w:tabs>
        <w:suppressAutoHyphens/>
        <w:spacing w:line="240" w:lineRule="auto"/>
        <w:ind w:firstLine="0"/>
        <w:rPr>
          <w:spacing w:val="-3"/>
          <w:szCs w:val="26"/>
        </w:rPr>
      </w:pPr>
      <w:r w:rsidRPr="003B0637">
        <w:rPr>
          <w:spacing w:val="-3"/>
          <w:szCs w:val="26"/>
        </w:rPr>
        <w:tab/>
      </w:r>
      <w:r w:rsidRPr="003B0637">
        <w:rPr>
          <w:spacing w:val="-3"/>
          <w:szCs w:val="26"/>
        </w:rPr>
        <w:tab/>
      </w:r>
      <w:r w:rsidRPr="003B0637">
        <w:rPr>
          <w:spacing w:val="-3"/>
          <w:szCs w:val="26"/>
        </w:rPr>
        <w:tab/>
      </w:r>
      <w:r w:rsidRPr="003B0637">
        <w:rPr>
          <w:spacing w:val="-3"/>
          <w:szCs w:val="26"/>
        </w:rPr>
        <w:tab/>
      </w:r>
      <w:r w:rsidRPr="003B0637">
        <w:rPr>
          <w:spacing w:val="-3"/>
          <w:szCs w:val="26"/>
        </w:rPr>
        <w:tab/>
      </w:r>
      <w:r w:rsidRPr="003B0637">
        <w:rPr>
          <w:spacing w:val="-3"/>
          <w:szCs w:val="26"/>
        </w:rPr>
        <w:tab/>
      </w:r>
      <w:r w:rsidRPr="003B0637">
        <w:rPr>
          <w:spacing w:val="-3"/>
          <w:szCs w:val="26"/>
        </w:rPr>
        <w:tab/>
        <w:t>Rosemary Chiavetta</w:t>
      </w:r>
    </w:p>
    <w:p w14:paraId="4F90733F" w14:textId="77777777" w:rsidR="006345BA" w:rsidRPr="003B0637" w:rsidRDefault="006345BA" w:rsidP="00AC6017">
      <w:pPr>
        <w:keepNext/>
        <w:keepLines/>
        <w:tabs>
          <w:tab w:val="left" w:pos="-720"/>
        </w:tabs>
        <w:suppressAutoHyphens/>
        <w:spacing w:line="240" w:lineRule="auto"/>
        <w:ind w:firstLine="0"/>
        <w:rPr>
          <w:spacing w:val="-3"/>
          <w:szCs w:val="26"/>
        </w:rPr>
      </w:pPr>
      <w:r w:rsidRPr="003B0637">
        <w:rPr>
          <w:spacing w:val="-3"/>
          <w:szCs w:val="26"/>
        </w:rPr>
        <w:tab/>
      </w:r>
      <w:r w:rsidRPr="003B0637">
        <w:rPr>
          <w:spacing w:val="-3"/>
          <w:szCs w:val="26"/>
        </w:rPr>
        <w:tab/>
      </w:r>
      <w:r w:rsidRPr="003B0637">
        <w:rPr>
          <w:spacing w:val="-3"/>
          <w:szCs w:val="26"/>
        </w:rPr>
        <w:tab/>
      </w:r>
      <w:r w:rsidRPr="003B0637">
        <w:rPr>
          <w:spacing w:val="-3"/>
          <w:szCs w:val="26"/>
        </w:rPr>
        <w:tab/>
      </w:r>
      <w:r w:rsidRPr="003B0637">
        <w:rPr>
          <w:spacing w:val="-3"/>
          <w:szCs w:val="26"/>
        </w:rPr>
        <w:tab/>
      </w:r>
      <w:r w:rsidRPr="003B0637">
        <w:rPr>
          <w:spacing w:val="-3"/>
          <w:szCs w:val="26"/>
        </w:rPr>
        <w:tab/>
      </w:r>
      <w:r w:rsidRPr="003B0637">
        <w:rPr>
          <w:spacing w:val="-3"/>
          <w:szCs w:val="26"/>
        </w:rPr>
        <w:tab/>
        <w:t>Secretary</w:t>
      </w:r>
    </w:p>
    <w:p w14:paraId="73A20C1A" w14:textId="77777777" w:rsidR="000A0EBD" w:rsidRPr="003B0637" w:rsidRDefault="000A0EBD" w:rsidP="00AC6017">
      <w:pPr>
        <w:keepNext/>
        <w:keepLines/>
        <w:tabs>
          <w:tab w:val="left" w:pos="-720"/>
        </w:tabs>
        <w:suppressAutoHyphens/>
        <w:spacing w:line="240" w:lineRule="auto"/>
        <w:ind w:firstLine="0"/>
        <w:rPr>
          <w:spacing w:val="-3"/>
          <w:szCs w:val="26"/>
        </w:rPr>
      </w:pPr>
    </w:p>
    <w:p w14:paraId="2AB747F1" w14:textId="77777777" w:rsidR="006345BA" w:rsidRDefault="006345BA" w:rsidP="00AC6017">
      <w:pPr>
        <w:pStyle w:val="BodyText3"/>
        <w:keepNext/>
        <w:keepLines/>
        <w:tabs>
          <w:tab w:val="left" w:pos="-720"/>
        </w:tabs>
        <w:suppressAutoHyphens/>
        <w:spacing w:line="240" w:lineRule="auto"/>
        <w:ind w:firstLine="0"/>
        <w:rPr>
          <w:spacing w:val="-3"/>
        </w:rPr>
      </w:pPr>
      <w:r w:rsidRPr="003B0637">
        <w:rPr>
          <w:spacing w:val="-3"/>
        </w:rPr>
        <w:t>(SEAL)</w:t>
      </w:r>
    </w:p>
    <w:p w14:paraId="544FC430" w14:textId="77777777" w:rsidR="00313FD8" w:rsidRPr="003B0637" w:rsidRDefault="00313FD8" w:rsidP="00AC6017">
      <w:pPr>
        <w:pStyle w:val="BodyText3"/>
        <w:keepNext/>
        <w:keepLines/>
        <w:tabs>
          <w:tab w:val="left" w:pos="-720"/>
        </w:tabs>
        <w:suppressAutoHyphens/>
        <w:spacing w:line="240" w:lineRule="auto"/>
        <w:ind w:firstLine="0"/>
        <w:rPr>
          <w:spacing w:val="-3"/>
        </w:rPr>
      </w:pPr>
    </w:p>
    <w:p w14:paraId="132644E6" w14:textId="4E45CA46" w:rsidR="006345BA" w:rsidRDefault="006345BA" w:rsidP="00AC6017">
      <w:pPr>
        <w:keepNext/>
        <w:keepLines/>
        <w:tabs>
          <w:tab w:val="left" w:pos="-720"/>
        </w:tabs>
        <w:suppressAutoHyphens/>
        <w:spacing w:line="240" w:lineRule="auto"/>
        <w:ind w:firstLine="0"/>
        <w:rPr>
          <w:spacing w:val="-3"/>
          <w:szCs w:val="26"/>
        </w:rPr>
      </w:pPr>
      <w:r w:rsidRPr="003B0637">
        <w:rPr>
          <w:spacing w:val="-3"/>
          <w:szCs w:val="26"/>
        </w:rPr>
        <w:t xml:space="preserve">ORDER ADOPTED:  </w:t>
      </w:r>
      <w:r w:rsidR="00080F70">
        <w:rPr>
          <w:spacing w:val="-3"/>
          <w:szCs w:val="26"/>
        </w:rPr>
        <w:t>April 25</w:t>
      </w:r>
      <w:r w:rsidR="007F66A9" w:rsidRPr="003B0637">
        <w:rPr>
          <w:spacing w:val="-3"/>
          <w:szCs w:val="26"/>
        </w:rPr>
        <w:t>, 2019</w:t>
      </w:r>
    </w:p>
    <w:p w14:paraId="3E2DEEC4" w14:textId="77777777" w:rsidR="00AC6017" w:rsidRPr="003B0637" w:rsidRDefault="00AC6017" w:rsidP="00AC6017">
      <w:pPr>
        <w:keepNext/>
        <w:keepLines/>
        <w:tabs>
          <w:tab w:val="left" w:pos="-720"/>
        </w:tabs>
        <w:suppressAutoHyphens/>
        <w:spacing w:line="240" w:lineRule="auto"/>
        <w:ind w:firstLine="0"/>
        <w:rPr>
          <w:spacing w:val="-3"/>
          <w:szCs w:val="26"/>
        </w:rPr>
      </w:pPr>
    </w:p>
    <w:p w14:paraId="032DAC6C" w14:textId="6AFAA322" w:rsidR="003C7AC9" w:rsidRPr="003B0637" w:rsidRDefault="006345BA" w:rsidP="00055C1C">
      <w:pPr>
        <w:pStyle w:val="BodyText3"/>
        <w:keepNext/>
        <w:keepLines/>
        <w:tabs>
          <w:tab w:val="left" w:pos="-720"/>
        </w:tabs>
        <w:suppressAutoHyphens/>
        <w:spacing w:line="240" w:lineRule="auto"/>
        <w:ind w:firstLine="0"/>
        <w:rPr>
          <w:spacing w:val="-3"/>
        </w:rPr>
      </w:pPr>
      <w:r w:rsidRPr="003B0637">
        <w:rPr>
          <w:spacing w:val="-3"/>
        </w:rPr>
        <w:t>ORDER ENTERED:</w:t>
      </w:r>
      <w:r w:rsidR="008E312F" w:rsidRPr="003B0637">
        <w:rPr>
          <w:spacing w:val="-3"/>
        </w:rPr>
        <w:t xml:space="preserve">  </w:t>
      </w:r>
      <w:r w:rsidR="00636309">
        <w:rPr>
          <w:spacing w:val="-3"/>
        </w:rPr>
        <w:t>April 25, 2019</w:t>
      </w:r>
    </w:p>
    <w:sectPr w:rsidR="003C7AC9" w:rsidRPr="003B0637" w:rsidSect="003E673A">
      <w:footerReference w:type="defaul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2D1AB" w14:textId="77777777" w:rsidR="00C513FE" w:rsidRDefault="00C513FE" w:rsidP="00DD03CC">
      <w:pPr>
        <w:spacing w:line="240" w:lineRule="auto"/>
      </w:pPr>
      <w:r>
        <w:separator/>
      </w:r>
    </w:p>
  </w:endnote>
  <w:endnote w:type="continuationSeparator" w:id="0">
    <w:p w14:paraId="36E2F709" w14:textId="77777777" w:rsidR="00C513FE" w:rsidRDefault="00C513FE" w:rsidP="00DD0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824988"/>
      <w:docPartObj>
        <w:docPartGallery w:val="Page Numbers (Bottom of Page)"/>
        <w:docPartUnique/>
      </w:docPartObj>
    </w:sdtPr>
    <w:sdtEndPr>
      <w:rPr>
        <w:noProof/>
      </w:rPr>
    </w:sdtEndPr>
    <w:sdtContent>
      <w:p w14:paraId="5368615A" w14:textId="77777777" w:rsidR="009E444D" w:rsidRPr="003A682F" w:rsidRDefault="009E444D" w:rsidP="008E0495">
        <w:pPr>
          <w:pStyle w:val="Footer"/>
          <w:ind w:firstLine="0"/>
          <w:jc w:val="center"/>
        </w:pPr>
        <w:r w:rsidRPr="003A682F">
          <w:rPr>
            <w:szCs w:val="26"/>
          </w:rPr>
          <w:fldChar w:fldCharType="begin"/>
        </w:r>
        <w:r w:rsidRPr="003A682F">
          <w:rPr>
            <w:szCs w:val="26"/>
          </w:rPr>
          <w:instrText xml:space="preserve"> PAGE   \* MERGEFORMAT </w:instrText>
        </w:r>
        <w:r w:rsidRPr="003A682F">
          <w:rPr>
            <w:szCs w:val="26"/>
          </w:rPr>
          <w:fldChar w:fldCharType="separate"/>
        </w:r>
        <w:r w:rsidR="0042350B">
          <w:rPr>
            <w:noProof/>
            <w:szCs w:val="26"/>
          </w:rPr>
          <w:t>42</w:t>
        </w:r>
        <w:r w:rsidRPr="003A682F">
          <w:rPr>
            <w:noProof/>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722F4" w14:textId="77777777" w:rsidR="009E444D" w:rsidRDefault="009E444D">
    <w:pPr>
      <w:pStyle w:val="Footer"/>
      <w:jc w:val="center"/>
    </w:pPr>
  </w:p>
  <w:p w14:paraId="2324D783" w14:textId="77777777" w:rsidR="009E444D" w:rsidRDefault="009E4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76EEF" w14:textId="77777777" w:rsidR="00C513FE" w:rsidRDefault="00C513FE" w:rsidP="00A6265A">
      <w:pPr>
        <w:suppressAutoHyphens/>
        <w:spacing w:line="240" w:lineRule="auto"/>
        <w:ind w:firstLine="0"/>
      </w:pPr>
      <w:r>
        <w:separator/>
      </w:r>
    </w:p>
  </w:footnote>
  <w:footnote w:type="continuationSeparator" w:id="0">
    <w:p w14:paraId="0C843CB5" w14:textId="77777777" w:rsidR="00C513FE" w:rsidRDefault="00C513FE" w:rsidP="00DD03CC">
      <w:pPr>
        <w:spacing w:line="240" w:lineRule="auto"/>
      </w:pPr>
      <w:r>
        <w:continuationSeparator/>
      </w:r>
    </w:p>
  </w:footnote>
  <w:footnote w:id="1">
    <w:p w14:paraId="3A7DBD81" w14:textId="53DBEE5A" w:rsidR="009E444D" w:rsidRPr="00847E49" w:rsidRDefault="009E444D" w:rsidP="00A6265A">
      <w:pPr>
        <w:pStyle w:val="Default"/>
        <w:keepNext/>
        <w:keepLines/>
        <w:spacing w:after="120"/>
        <w:ind w:firstLine="720"/>
        <w:rPr>
          <w:sz w:val="26"/>
          <w:szCs w:val="26"/>
        </w:rPr>
      </w:pPr>
      <w:r w:rsidRPr="007F089A">
        <w:rPr>
          <w:rStyle w:val="FootnoteReference"/>
          <w:sz w:val="26"/>
          <w:szCs w:val="26"/>
        </w:rPr>
        <w:footnoteRef/>
      </w:r>
      <w:r w:rsidRPr="007F089A">
        <w:rPr>
          <w:sz w:val="26"/>
          <w:szCs w:val="26"/>
        </w:rPr>
        <w:tab/>
      </w:r>
      <w:r w:rsidRPr="007F089A">
        <w:rPr>
          <w:i/>
          <w:sz w:val="26"/>
          <w:szCs w:val="26"/>
        </w:rPr>
        <w:t>See Application of Duquesne Light Company to Convert to a Limited Liability Company,</w:t>
      </w:r>
      <w:r w:rsidRPr="007F089A">
        <w:rPr>
          <w:sz w:val="26"/>
          <w:szCs w:val="26"/>
        </w:rPr>
        <w:t xml:space="preserve"> Docket No. A-2017-2599375 (Order entered August 31, 2017)</w:t>
      </w:r>
      <w:r>
        <w:rPr>
          <w:sz w:val="26"/>
          <w:szCs w:val="26"/>
        </w:rPr>
        <w:t xml:space="preserve"> </w:t>
      </w:r>
      <w:r w:rsidRPr="007F089A">
        <w:rPr>
          <w:i/>
          <w:sz w:val="26"/>
          <w:szCs w:val="26"/>
        </w:rPr>
        <w:t>(Duquesn</w:t>
      </w:r>
      <w:r>
        <w:rPr>
          <w:i/>
          <w:sz w:val="26"/>
          <w:szCs w:val="26"/>
        </w:rPr>
        <w:t xml:space="preserve">e). </w:t>
      </w:r>
    </w:p>
  </w:footnote>
  <w:footnote w:id="2">
    <w:p w14:paraId="04DBE3FF" w14:textId="77777777" w:rsidR="009E444D" w:rsidRDefault="009E444D" w:rsidP="00A6265A">
      <w:pPr>
        <w:pStyle w:val="FootnoteText"/>
        <w:keepNext/>
        <w:keepLines/>
        <w:spacing w:after="120"/>
        <w:ind w:firstLine="720"/>
      </w:pPr>
      <w:r w:rsidRPr="00C80796">
        <w:rPr>
          <w:rStyle w:val="FootnoteReference"/>
          <w:sz w:val="26"/>
          <w:szCs w:val="26"/>
        </w:rPr>
        <w:footnoteRef/>
      </w:r>
      <w:r w:rsidRPr="00C80796">
        <w:rPr>
          <w:sz w:val="26"/>
          <w:szCs w:val="26"/>
        </w:rPr>
        <w:tab/>
      </w:r>
      <w:r w:rsidRPr="00C80796">
        <w:rPr>
          <w:i/>
          <w:sz w:val="26"/>
          <w:szCs w:val="26"/>
        </w:rPr>
        <w:t>Joint</w:t>
      </w:r>
      <w:r w:rsidRPr="007F089A">
        <w:rPr>
          <w:i/>
          <w:sz w:val="26"/>
          <w:szCs w:val="26"/>
        </w:rPr>
        <w:t xml:space="preserve"> Application of Frontier Communications of Breezewood, Inc. et al. for Approval of Restructurings from Corporations to Limited Liability Companies,</w:t>
      </w:r>
      <w:r w:rsidRPr="007F089A">
        <w:rPr>
          <w:sz w:val="26"/>
          <w:szCs w:val="26"/>
        </w:rPr>
        <w:t xml:space="preserve"> Docket No. A-310400F004, 2003 Pa. PUC LEXIS 323 (Order entered October 17, 2003) </w:t>
      </w:r>
      <w:r w:rsidRPr="007F089A">
        <w:rPr>
          <w:i/>
          <w:sz w:val="26"/>
          <w:szCs w:val="26"/>
        </w:rPr>
        <w:t>(Frontier)</w:t>
      </w:r>
      <w:r>
        <w:rPr>
          <w:sz w:val="26"/>
          <w:szCs w:val="26"/>
        </w:rPr>
        <w:t>.</w:t>
      </w:r>
    </w:p>
  </w:footnote>
  <w:footnote w:id="3">
    <w:p w14:paraId="02C650DB" w14:textId="77777777" w:rsidR="009E444D" w:rsidRDefault="009E444D" w:rsidP="00502FC8">
      <w:pPr>
        <w:spacing w:line="240" w:lineRule="auto"/>
        <w:ind w:firstLine="0"/>
      </w:pPr>
      <w:r>
        <w:tab/>
      </w:r>
      <w:r>
        <w:rPr>
          <w:rStyle w:val="FootnoteReference"/>
        </w:rPr>
        <w:footnoteRef/>
      </w:r>
      <w:r>
        <w:tab/>
      </w:r>
      <w:r w:rsidRPr="0078288C">
        <w:rPr>
          <w:szCs w:val="26"/>
        </w:rPr>
        <w:t>Section 1102(a)(3)(i) – (iv) of the Code provides for those instances where Commission approval is not required for public utility acquisitions or public utility transfers</w:t>
      </w:r>
      <w:r>
        <w:rPr>
          <w:szCs w:val="26"/>
        </w:rPr>
        <w:t xml:space="preserve"> of property “</w:t>
      </w:r>
      <w:r w:rsidRPr="00D21440">
        <w:rPr>
          <w:szCs w:val="26"/>
        </w:rPr>
        <w:t>including the sale or transfer of stock and including a consolidation, merger, sale or lease, the title to, or the possession or use of, any tangible or intangible property used or useful in the public service</w:t>
      </w:r>
      <w:r w:rsidRPr="0078288C">
        <w:rPr>
          <w:szCs w:val="26"/>
        </w:rPr>
        <w:t>.</w:t>
      </w:r>
      <w:r>
        <w:rPr>
          <w:szCs w:val="26"/>
        </w:rPr>
        <w:t>”</w:t>
      </w:r>
    </w:p>
  </w:footnote>
  <w:footnote w:id="4">
    <w:p w14:paraId="0D18A346" w14:textId="77777777" w:rsidR="009E444D" w:rsidRPr="0078288C" w:rsidRDefault="009E444D" w:rsidP="000F618F">
      <w:pPr>
        <w:pStyle w:val="FootnoteText"/>
        <w:ind w:firstLine="720"/>
        <w:rPr>
          <w:sz w:val="26"/>
        </w:rPr>
      </w:pPr>
      <w:r w:rsidRPr="0078288C">
        <w:rPr>
          <w:rStyle w:val="FootnoteReference"/>
          <w:sz w:val="26"/>
        </w:rPr>
        <w:footnoteRef/>
      </w:r>
      <w:r w:rsidRPr="0078288C">
        <w:rPr>
          <w:sz w:val="26"/>
        </w:rPr>
        <w:tab/>
      </w:r>
      <w:r w:rsidRPr="0078288C">
        <w:rPr>
          <w:sz w:val="26"/>
          <w:szCs w:val="26"/>
        </w:rPr>
        <w:t>Section 1102(a)(3)(i) – (iv) of the Code provides for those instances where Commission approval is not required for public utility acquisitions or public utility transfers</w:t>
      </w:r>
      <w:r>
        <w:rPr>
          <w:sz w:val="26"/>
          <w:szCs w:val="26"/>
        </w:rPr>
        <w:t xml:space="preserve"> of property “</w:t>
      </w:r>
      <w:r w:rsidRPr="00D21440">
        <w:rPr>
          <w:sz w:val="26"/>
          <w:szCs w:val="26"/>
        </w:rPr>
        <w:t>including the sale or transfer of stock and including a consolidation, merger, sale or lease, the title to, or the possession or use of, any tangible or intangible property used or useful in the public service</w:t>
      </w:r>
      <w:r w:rsidRPr="0078288C">
        <w:rPr>
          <w:sz w:val="26"/>
          <w:szCs w:val="26"/>
        </w:rPr>
        <w:t>.</w:t>
      </w:r>
      <w:r>
        <w:rPr>
          <w:sz w:val="26"/>
          <w:szCs w:val="26"/>
        </w:rPr>
        <w:t>”</w:t>
      </w:r>
    </w:p>
  </w:footnote>
  <w:footnote w:id="5">
    <w:p w14:paraId="053C7360" w14:textId="77777777" w:rsidR="009E444D" w:rsidRDefault="009E444D" w:rsidP="00A6265A">
      <w:pPr>
        <w:pStyle w:val="FootnoteText"/>
        <w:keepNext/>
        <w:keepLines/>
        <w:spacing w:after="120"/>
        <w:ind w:firstLine="720"/>
      </w:pPr>
      <w:r w:rsidRPr="00C80796">
        <w:rPr>
          <w:rStyle w:val="FootnoteReference"/>
          <w:sz w:val="26"/>
          <w:szCs w:val="26"/>
        </w:rPr>
        <w:footnoteRef/>
      </w:r>
      <w:r>
        <w:tab/>
      </w:r>
      <w:r w:rsidRPr="007F089A">
        <w:rPr>
          <w:i/>
          <w:sz w:val="26"/>
          <w:szCs w:val="26"/>
        </w:rPr>
        <w:t>Application of Verizon North Inc. for any Approvals required under the Public Utility Code for Transactions related to the Restructuring of the Company to a Pennsylvania-only Operation and Notice of an Affiliate Transaction,</w:t>
      </w:r>
      <w:r w:rsidRPr="007F089A">
        <w:rPr>
          <w:sz w:val="26"/>
          <w:szCs w:val="26"/>
        </w:rPr>
        <w:t xml:space="preserve"> Docket No. A-2009-2111330, 2009 Pa. PUC LEXIS 2341 (Order entered November 19, 2009)</w:t>
      </w:r>
      <w:r w:rsidRPr="007F089A">
        <w:rPr>
          <w:i/>
          <w:sz w:val="26"/>
          <w:szCs w:val="26"/>
        </w:rPr>
        <w:t>(Verizon</w:t>
      </w:r>
      <w:r>
        <w:rPr>
          <w:i/>
          <w:sz w:val="26"/>
          <w:szCs w:val="26"/>
        </w:rPr>
        <w:t xml:space="preserve"> North</w:t>
      </w:r>
      <w:r w:rsidRPr="007F089A">
        <w:rPr>
          <w:i/>
          <w:sz w:val="26"/>
          <w:szCs w:val="26"/>
        </w:rPr>
        <w:t>)</w:t>
      </w:r>
      <w:r w:rsidRPr="007F089A">
        <w:rPr>
          <w:sz w:val="26"/>
          <w:szCs w:val="26"/>
        </w:rPr>
        <w:t>.</w:t>
      </w:r>
    </w:p>
  </w:footnote>
  <w:footnote w:id="6">
    <w:p w14:paraId="7B22E428" w14:textId="77777777" w:rsidR="009E444D" w:rsidRPr="001A0188" w:rsidRDefault="009E444D" w:rsidP="005E1830">
      <w:pPr>
        <w:keepNext/>
        <w:keepLines/>
        <w:spacing w:after="240" w:line="240" w:lineRule="auto"/>
        <w:ind w:firstLine="720"/>
        <w:rPr>
          <w:color w:val="000000"/>
          <w:szCs w:val="26"/>
        </w:rPr>
      </w:pPr>
      <w:r>
        <w:rPr>
          <w:rStyle w:val="FootnoteReference"/>
        </w:rPr>
        <w:footnoteRef/>
      </w:r>
      <w:r>
        <w:tab/>
      </w:r>
      <w:r w:rsidRPr="001A0188">
        <w:rPr>
          <w:color w:val="000000"/>
          <w:szCs w:val="26"/>
        </w:rPr>
        <w:t xml:space="preserve">The Supreme Court in </w:t>
      </w:r>
      <w:r w:rsidRPr="001A0188">
        <w:rPr>
          <w:i/>
          <w:color w:val="000000"/>
          <w:szCs w:val="26"/>
        </w:rPr>
        <w:t>Popowsky</w:t>
      </w:r>
      <w:r w:rsidRPr="001A0188">
        <w:rPr>
          <w:color w:val="000000"/>
          <w:szCs w:val="26"/>
        </w:rPr>
        <w:t xml:space="preserve"> found evidence of affirmative public benefits in the proposed merger between the parties and stated as follows: </w:t>
      </w:r>
    </w:p>
    <w:p w14:paraId="0497CF9E" w14:textId="77777777" w:rsidR="009E444D" w:rsidRPr="001A0188" w:rsidRDefault="009E444D" w:rsidP="005E1830">
      <w:pPr>
        <w:keepNext/>
        <w:keepLines/>
        <w:autoSpaceDE w:val="0"/>
        <w:autoSpaceDN w:val="0"/>
        <w:adjustRightInd w:val="0"/>
        <w:spacing w:after="240" w:line="240" w:lineRule="auto"/>
        <w:ind w:left="1440" w:right="1440" w:firstLine="0"/>
        <w:rPr>
          <w:color w:val="000000"/>
          <w:szCs w:val="26"/>
        </w:rPr>
      </w:pPr>
      <w:r w:rsidRPr="001A0188">
        <w:rPr>
          <w:color w:val="000000"/>
          <w:szCs w:val="26"/>
        </w:rPr>
        <w:t xml:space="preserve">Indeed, </w:t>
      </w:r>
      <w:r w:rsidRPr="001A0188">
        <w:rPr>
          <w:i/>
          <w:color w:val="000000"/>
          <w:szCs w:val="26"/>
        </w:rPr>
        <w:t>even from a lay perspective</w:t>
      </w:r>
      <w:r w:rsidRPr="001A0188">
        <w:rPr>
          <w:color w:val="000000"/>
          <w:szCs w:val="26"/>
        </w:rPr>
        <w:t>, bearing in mind today's technological advances affecting all segments of business and personal life, there is much force to the Commission's conclusion that a combination of Verizon's and MCI's assets and strengths has substantial potential to create an integrated infrastructure supporting delivery of innovative, high-speed data and video services via the fiber-optic network, as well as deployment of mobile devices freeing workers from fixed workstations.</w:t>
      </w:r>
    </w:p>
    <w:p w14:paraId="4F04A15C" w14:textId="77777777" w:rsidR="009E444D" w:rsidRDefault="009E444D" w:rsidP="008A492D">
      <w:pPr>
        <w:keepNext/>
        <w:keepLines/>
        <w:spacing w:after="120" w:line="240" w:lineRule="auto"/>
        <w:ind w:right="1440" w:firstLine="0"/>
      </w:pPr>
      <w:r w:rsidRPr="001A0188">
        <w:rPr>
          <w:i/>
          <w:szCs w:val="26"/>
          <w:lang w:val="en"/>
        </w:rPr>
        <w:t>Popowsky</w:t>
      </w:r>
      <w:r>
        <w:rPr>
          <w:color w:val="000000"/>
          <w:szCs w:val="26"/>
        </w:rPr>
        <w:t xml:space="preserve"> at 612, 937 A.2d at 1058 (emphasis added).</w:t>
      </w:r>
    </w:p>
  </w:footnote>
  <w:footnote w:id="7">
    <w:p w14:paraId="7FAF32C4" w14:textId="2B39FE34" w:rsidR="009E444D" w:rsidRPr="00623C11" w:rsidRDefault="009E444D" w:rsidP="00A6265A">
      <w:pPr>
        <w:pStyle w:val="FootnoteText"/>
        <w:keepNext/>
        <w:keepLines/>
        <w:spacing w:after="120"/>
        <w:ind w:firstLine="720"/>
        <w:rPr>
          <w:sz w:val="26"/>
          <w:szCs w:val="26"/>
        </w:rPr>
      </w:pPr>
      <w:r w:rsidRPr="00623C11">
        <w:rPr>
          <w:rStyle w:val="FootnoteReference"/>
          <w:sz w:val="26"/>
          <w:szCs w:val="26"/>
        </w:rPr>
        <w:footnoteRef/>
      </w:r>
      <w:r w:rsidRPr="00623C11">
        <w:rPr>
          <w:sz w:val="26"/>
          <w:szCs w:val="26"/>
        </w:rPr>
        <w:tab/>
      </w:r>
      <w:r w:rsidRPr="00623C11">
        <w:rPr>
          <w:i/>
          <w:sz w:val="26"/>
          <w:szCs w:val="26"/>
        </w:rPr>
        <w:t>Application of James Black Water Service Company,</w:t>
      </w:r>
      <w:r w:rsidRPr="00623C11">
        <w:rPr>
          <w:sz w:val="26"/>
          <w:szCs w:val="26"/>
        </w:rPr>
        <w:t xml:space="preserve"> Docket No. A-2013-2395443 </w:t>
      </w:r>
      <w:r>
        <w:rPr>
          <w:sz w:val="26"/>
          <w:szCs w:val="26"/>
        </w:rPr>
        <w:t>(</w:t>
      </w:r>
      <w:r w:rsidRPr="00623C11">
        <w:rPr>
          <w:sz w:val="26"/>
          <w:szCs w:val="26"/>
        </w:rPr>
        <w:t>Order entered April 5, 2018</w:t>
      </w:r>
      <w:r>
        <w:rPr>
          <w:sz w:val="26"/>
          <w:szCs w:val="26"/>
        </w:rPr>
        <w:t xml:space="preserve">) </w:t>
      </w:r>
      <w:r w:rsidRPr="00623C11">
        <w:rPr>
          <w:i/>
          <w:sz w:val="26"/>
          <w:szCs w:val="26"/>
        </w:rPr>
        <w:t>(James Black).</w:t>
      </w:r>
    </w:p>
  </w:footnote>
  <w:footnote w:id="8">
    <w:p w14:paraId="7F3B7C11" w14:textId="77777777" w:rsidR="009E444D" w:rsidRPr="007E6477" w:rsidRDefault="009E444D" w:rsidP="00A6265A">
      <w:pPr>
        <w:pStyle w:val="FootnoteText"/>
        <w:keepNext/>
        <w:keepLines/>
        <w:spacing w:after="120"/>
        <w:ind w:firstLine="720"/>
        <w:rPr>
          <w:sz w:val="26"/>
          <w:szCs w:val="26"/>
        </w:rPr>
      </w:pPr>
      <w:r w:rsidRPr="007E6477">
        <w:rPr>
          <w:rStyle w:val="FootnoteReference"/>
          <w:sz w:val="26"/>
          <w:szCs w:val="26"/>
        </w:rPr>
        <w:footnoteRef/>
      </w:r>
      <w:r w:rsidRPr="007E6477">
        <w:rPr>
          <w:sz w:val="26"/>
          <w:szCs w:val="26"/>
        </w:rPr>
        <w:tab/>
      </w:r>
      <w:r>
        <w:rPr>
          <w:sz w:val="26"/>
          <w:szCs w:val="26"/>
        </w:rPr>
        <w:t>We made these</w:t>
      </w:r>
      <w:r w:rsidRPr="007E6477">
        <w:rPr>
          <w:sz w:val="26"/>
          <w:szCs w:val="26"/>
        </w:rPr>
        <w:t xml:space="preserve"> statements </w:t>
      </w:r>
      <w:r>
        <w:rPr>
          <w:sz w:val="26"/>
          <w:szCs w:val="26"/>
        </w:rPr>
        <w:t xml:space="preserve">in </w:t>
      </w:r>
      <w:r w:rsidRPr="007E6477">
        <w:rPr>
          <w:sz w:val="26"/>
          <w:szCs w:val="26"/>
        </w:rPr>
        <w:t xml:space="preserve">the </w:t>
      </w:r>
      <w:r w:rsidRPr="007E6477">
        <w:rPr>
          <w:i/>
          <w:sz w:val="26"/>
          <w:szCs w:val="26"/>
        </w:rPr>
        <w:t>Policy Statement Order</w:t>
      </w:r>
      <w:r w:rsidRPr="007E6477">
        <w:rPr>
          <w:sz w:val="26"/>
          <w:szCs w:val="26"/>
        </w:rPr>
        <w:t xml:space="preserve"> to explain our disagreement with PPL’s position </w:t>
      </w:r>
      <w:r>
        <w:rPr>
          <w:sz w:val="26"/>
          <w:szCs w:val="26"/>
        </w:rPr>
        <w:t xml:space="preserve">in its comments to the proposed Policy Statement.  </w:t>
      </w:r>
      <w:r w:rsidRPr="007E6477">
        <w:rPr>
          <w:i/>
          <w:sz w:val="26"/>
          <w:szCs w:val="26"/>
        </w:rPr>
        <w:t>Id</w:t>
      </w:r>
      <w:r w:rsidRPr="007E6477">
        <w:rPr>
          <w:sz w:val="26"/>
          <w:szCs w:val="26"/>
        </w:rPr>
        <w:t xml:space="preserve">.  In its comments in that proceeding, PPL argued that the language in the Policy Statement “is too broad because it applies to internal transactions which do not result in a change in the controlling entity.”  </w:t>
      </w:r>
      <w:r w:rsidRPr="007E6477">
        <w:rPr>
          <w:i/>
          <w:sz w:val="26"/>
          <w:szCs w:val="26"/>
        </w:rPr>
        <w:t>Id</w:t>
      </w:r>
      <w:r w:rsidRPr="007E6477">
        <w:rPr>
          <w:sz w:val="26"/>
          <w:szCs w:val="26"/>
        </w:rPr>
        <w:t>.  Thus, PPL’s argument in this proceeding is a repeat of the</w:t>
      </w:r>
      <w:r>
        <w:rPr>
          <w:sz w:val="26"/>
          <w:szCs w:val="26"/>
        </w:rPr>
        <w:t xml:space="preserve"> same</w:t>
      </w:r>
      <w:r w:rsidRPr="007E6477">
        <w:rPr>
          <w:sz w:val="26"/>
          <w:szCs w:val="26"/>
        </w:rPr>
        <w:t xml:space="preserve"> argument we expressly rejected in the </w:t>
      </w:r>
      <w:r w:rsidRPr="007E6477">
        <w:rPr>
          <w:i/>
          <w:sz w:val="26"/>
          <w:szCs w:val="26"/>
        </w:rPr>
        <w:t>Policy Statement Order</w:t>
      </w:r>
      <w:r w:rsidRPr="007E6477">
        <w:rPr>
          <w:sz w:val="26"/>
          <w:szCs w:val="26"/>
        </w:rPr>
        <w:t xml:space="preserve">.  </w:t>
      </w:r>
    </w:p>
  </w:footnote>
  <w:footnote w:id="9">
    <w:p w14:paraId="2813838D" w14:textId="77777777" w:rsidR="009E444D" w:rsidRDefault="009E444D" w:rsidP="00A6265A">
      <w:pPr>
        <w:pStyle w:val="FootnoteText"/>
        <w:keepNext/>
        <w:keepLines/>
        <w:spacing w:after="120"/>
        <w:ind w:firstLine="720"/>
      </w:pPr>
      <w:r>
        <w:rPr>
          <w:rStyle w:val="FootnoteReference"/>
        </w:rPr>
        <w:footnoteRef/>
      </w:r>
      <w:r>
        <w:tab/>
      </w:r>
      <w:r w:rsidRPr="00F54150">
        <w:rPr>
          <w:sz w:val="26"/>
          <w:szCs w:val="26"/>
        </w:rPr>
        <w:t>Following the business entity conversion, Duquesne Light Company remained a wholly-owned subsidiary of Duquesne Light Holdings, Inc. (DLH) and DLH’s interests were converted from shares in a corporation to membership interests in a limited liability company.</w:t>
      </w:r>
      <w:r>
        <w:rPr>
          <w:sz w:val="26"/>
          <w:szCs w:val="26"/>
        </w:rPr>
        <w:t xml:space="preserve">  </w:t>
      </w:r>
      <w:r w:rsidRPr="00F54150">
        <w:rPr>
          <w:i/>
          <w:sz w:val="26"/>
          <w:szCs w:val="26"/>
        </w:rPr>
        <w:t>See Duquesne</w:t>
      </w:r>
      <w:r>
        <w:rPr>
          <w:sz w:val="26"/>
          <w:szCs w:val="26"/>
        </w:rPr>
        <w:t xml:space="preserve">, </w:t>
      </w:r>
      <w:r w:rsidRPr="004556A0">
        <w:rPr>
          <w:sz w:val="26"/>
          <w:szCs w:val="26"/>
        </w:rPr>
        <w:t>slip op</w:t>
      </w:r>
      <w:r w:rsidRPr="00812C48">
        <w:rPr>
          <w:i/>
          <w:sz w:val="26"/>
          <w:szCs w:val="26"/>
        </w:rPr>
        <w:t xml:space="preserve">. </w:t>
      </w:r>
      <w:r>
        <w:rPr>
          <w:sz w:val="26"/>
          <w:szCs w:val="26"/>
        </w:rPr>
        <w:t xml:space="preserve">at 3.  Likewise, following its business entity conversion, the Frontier Utilities (as defined in </w:t>
      </w:r>
      <w:r w:rsidRPr="00842B3C">
        <w:rPr>
          <w:i/>
          <w:sz w:val="26"/>
          <w:szCs w:val="26"/>
        </w:rPr>
        <w:t>Frontier</w:t>
      </w:r>
      <w:r>
        <w:rPr>
          <w:sz w:val="26"/>
          <w:szCs w:val="26"/>
        </w:rPr>
        <w:t xml:space="preserve">, </w:t>
      </w:r>
      <w:r w:rsidRPr="004556A0">
        <w:rPr>
          <w:sz w:val="26"/>
          <w:szCs w:val="26"/>
        </w:rPr>
        <w:t>slip op</w:t>
      </w:r>
      <w:r w:rsidRPr="00812C48">
        <w:rPr>
          <w:i/>
          <w:sz w:val="26"/>
          <w:szCs w:val="26"/>
        </w:rPr>
        <w:t>.</w:t>
      </w:r>
      <w:r>
        <w:rPr>
          <w:sz w:val="26"/>
          <w:szCs w:val="26"/>
        </w:rPr>
        <w:t xml:space="preserve"> at 1) remained direct subsidiaries of Frontier Subsidiary Telco, LLC, which, in turn, remained a direct subsidiary of Citizens Communications Company, a publicly held company.  </w:t>
      </w:r>
      <w:r w:rsidRPr="00842B3C">
        <w:rPr>
          <w:i/>
          <w:sz w:val="26"/>
          <w:szCs w:val="26"/>
        </w:rPr>
        <w:t>See Frontier</w:t>
      </w:r>
      <w:r>
        <w:rPr>
          <w:sz w:val="26"/>
          <w:szCs w:val="26"/>
        </w:rPr>
        <w:t xml:space="preserve">, </w:t>
      </w:r>
      <w:r w:rsidRPr="004556A0">
        <w:rPr>
          <w:sz w:val="26"/>
          <w:szCs w:val="26"/>
        </w:rPr>
        <w:t>slip op</w:t>
      </w:r>
      <w:r w:rsidRPr="00812C48">
        <w:rPr>
          <w:i/>
          <w:sz w:val="26"/>
          <w:szCs w:val="26"/>
        </w:rPr>
        <w:t>.</w:t>
      </w:r>
      <w:r>
        <w:rPr>
          <w:sz w:val="26"/>
          <w:szCs w:val="26"/>
        </w:rPr>
        <w:t xml:space="preserve"> at 2.</w:t>
      </w:r>
    </w:p>
  </w:footnote>
  <w:footnote w:id="10">
    <w:p w14:paraId="0FAA76F1" w14:textId="77777777" w:rsidR="009E444D" w:rsidRDefault="009E444D" w:rsidP="00812C48">
      <w:pPr>
        <w:keepNext/>
        <w:keepLines/>
        <w:spacing w:after="120" w:line="240" w:lineRule="auto"/>
        <w:ind w:firstLine="720"/>
      </w:pPr>
      <w:r>
        <w:rPr>
          <w:rStyle w:val="FootnoteReference"/>
        </w:rPr>
        <w:footnoteRef/>
      </w:r>
      <w:r>
        <w:tab/>
      </w:r>
      <w:r>
        <w:rPr>
          <w:szCs w:val="26"/>
        </w:rPr>
        <w:t xml:space="preserve">We must reject PPL’s position outright because it is not supported by the rules of </w:t>
      </w:r>
      <w:r w:rsidRPr="00CB6A8E">
        <w:rPr>
          <w:szCs w:val="26"/>
        </w:rPr>
        <w:t xml:space="preserve">statutory construction. </w:t>
      </w:r>
      <w:r>
        <w:rPr>
          <w:szCs w:val="26"/>
        </w:rPr>
        <w:t xml:space="preserve"> </w:t>
      </w:r>
      <w:r w:rsidRPr="00CB6A8E">
        <w:rPr>
          <w:i/>
          <w:szCs w:val="26"/>
        </w:rPr>
        <w:t>See Wayne M. Chiurazzi Law Inc. v. MRO Corp</w:t>
      </w:r>
      <w:r w:rsidRPr="00CB6A8E">
        <w:rPr>
          <w:szCs w:val="26"/>
        </w:rPr>
        <w:t>., 626 Pa. 303, 333, 97 A.3d 275, 292 (Pa. 2014) (explaining the courts’ well-settled approach to questions of statutory construction).  Also, PPL’s position fails to recognize that the Commission, as an administrative agency, is bound by judicial interpretation of the Code.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03231D2"/>
    <w:lvl w:ilvl="0">
      <w:start w:val="1"/>
      <w:numFmt w:val="decimal"/>
      <w:pStyle w:val="ListNumber"/>
      <w:lvlText w:val="%1."/>
      <w:lvlJc w:val="left"/>
      <w:pPr>
        <w:tabs>
          <w:tab w:val="num" w:pos="360"/>
        </w:tabs>
        <w:ind w:left="360" w:hanging="360"/>
      </w:pPr>
    </w:lvl>
  </w:abstractNum>
  <w:abstractNum w:abstractNumId="1" w15:restartNumberingAfterBreak="0">
    <w:nsid w:val="059A0F50"/>
    <w:multiLevelType w:val="hybridMultilevel"/>
    <w:tmpl w:val="BBF8CCE0"/>
    <w:lvl w:ilvl="0" w:tplc="C5FA8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40D8E"/>
    <w:multiLevelType w:val="hybridMultilevel"/>
    <w:tmpl w:val="1284AFAA"/>
    <w:lvl w:ilvl="0" w:tplc="135AA082">
      <w:start w:val="1"/>
      <w:numFmt w:val="lowerLetter"/>
      <w:lvlText w:val="(%1)"/>
      <w:lvlJc w:val="left"/>
      <w:pPr>
        <w:ind w:left="2320" w:hanging="360"/>
      </w:pPr>
      <w:rPr>
        <w:rFonts w:hint="default"/>
      </w:rPr>
    </w:lvl>
    <w:lvl w:ilvl="1" w:tplc="04090019">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3" w15:restartNumberingAfterBreak="0">
    <w:nsid w:val="0B847F95"/>
    <w:multiLevelType w:val="hybridMultilevel"/>
    <w:tmpl w:val="0046C3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060AC"/>
    <w:multiLevelType w:val="hybridMultilevel"/>
    <w:tmpl w:val="6FDEF4A2"/>
    <w:lvl w:ilvl="0" w:tplc="FF4CBBFE">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0E8A6F02"/>
    <w:multiLevelType w:val="hybridMultilevel"/>
    <w:tmpl w:val="DD0C9B72"/>
    <w:lvl w:ilvl="0" w:tplc="E7AAE3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A40C31"/>
    <w:multiLevelType w:val="hybridMultilevel"/>
    <w:tmpl w:val="F006CFC0"/>
    <w:lvl w:ilvl="0" w:tplc="20AA76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3F18A9"/>
    <w:multiLevelType w:val="hybridMultilevel"/>
    <w:tmpl w:val="3392F868"/>
    <w:lvl w:ilvl="0" w:tplc="7A06CC5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B77BC"/>
    <w:multiLevelType w:val="hybridMultilevel"/>
    <w:tmpl w:val="7DA45D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30C4B08"/>
    <w:multiLevelType w:val="hybridMultilevel"/>
    <w:tmpl w:val="6E92367C"/>
    <w:lvl w:ilvl="0" w:tplc="2BE67ECE">
      <w:start w:val="1"/>
      <w:numFmt w:val="lowerLetter"/>
      <w:pStyle w:val="Heading4"/>
      <w:lvlText w:val="%1."/>
      <w:lvlJc w:val="left"/>
      <w:pPr>
        <w:ind w:left="459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3F1E37"/>
    <w:multiLevelType w:val="hybridMultilevel"/>
    <w:tmpl w:val="9D680852"/>
    <w:lvl w:ilvl="0" w:tplc="2688951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63572AE"/>
    <w:multiLevelType w:val="hybridMultilevel"/>
    <w:tmpl w:val="99EA4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72A60"/>
    <w:multiLevelType w:val="hybridMultilevel"/>
    <w:tmpl w:val="D4542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5336A"/>
    <w:multiLevelType w:val="hybridMultilevel"/>
    <w:tmpl w:val="4860E4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490703"/>
    <w:multiLevelType w:val="hybridMultilevel"/>
    <w:tmpl w:val="775A2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C1758"/>
    <w:multiLevelType w:val="hybridMultilevel"/>
    <w:tmpl w:val="371E0240"/>
    <w:lvl w:ilvl="0" w:tplc="BEA8DC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783FED"/>
    <w:multiLevelType w:val="hybridMultilevel"/>
    <w:tmpl w:val="D6FC212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15:restartNumberingAfterBreak="0">
    <w:nsid w:val="3EA73FAE"/>
    <w:multiLevelType w:val="hybridMultilevel"/>
    <w:tmpl w:val="7BCA8EDE"/>
    <w:lvl w:ilvl="0" w:tplc="162628AE">
      <w:start w:val="1"/>
      <w:numFmt w:val="upperLetter"/>
      <w:pStyle w:val="Heading2"/>
      <w:lvlText w:val="%1."/>
      <w:lvlJc w:val="left"/>
      <w:pPr>
        <w:ind w:left="360" w:hanging="360"/>
      </w:pPr>
      <w:rPr>
        <w:rFonts w:hint="default"/>
        <w:b/>
      </w:rPr>
    </w:lvl>
    <w:lvl w:ilvl="1" w:tplc="0409000F">
      <w:start w:val="1"/>
      <w:numFmt w:val="decimal"/>
      <w:lvlText w:val="%2."/>
      <w:lvlJc w:val="left"/>
      <w:pPr>
        <w:ind w:left="153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F1335"/>
    <w:multiLevelType w:val="hybridMultilevel"/>
    <w:tmpl w:val="F7087642"/>
    <w:lvl w:ilvl="0" w:tplc="DFC2B366">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1" w15:restartNumberingAfterBreak="0">
    <w:nsid w:val="3FA56D32"/>
    <w:multiLevelType w:val="hybridMultilevel"/>
    <w:tmpl w:val="BBC617DE"/>
    <w:lvl w:ilvl="0" w:tplc="4C188A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064C78"/>
    <w:multiLevelType w:val="hybridMultilevel"/>
    <w:tmpl w:val="0E9E0D5A"/>
    <w:lvl w:ilvl="0" w:tplc="93BE72F4">
      <w:start w:val="1"/>
      <w:numFmt w:val="decimal"/>
      <w:lvlText w:val="%1."/>
      <w:lvlJc w:val="left"/>
      <w:pPr>
        <w:ind w:left="1440" w:hanging="360"/>
      </w:pPr>
    </w:lvl>
    <w:lvl w:ilvl="1" w:tplc="04090019">
      <w:start w:val="1"/>
      <w:numFmt w:val="lowerLetter"/>
      <w:lvlText w:val="%2."/>
      <w:lvlJc w:val="left"/>
      <w:pPr>
        <w:ind w:left="2160" w:hanging="360"/>
      </w:pPr>
    </w:lvl>
    <w:lvl w:ilvl="2" w:tplc="D3FABFC4">
      <w:start w:val="2"/>
      <w:numFmt w:val="upperLetter"/>
      <w:lvlText w:val="%3."/>
      <w:lvlJc w:val="left"/>
      <w:pPr>
        <w:ind w:left="3060" w:hanging="360"/>
      </w:pPr>
      <w:rPr>
        <w:rFonts w:hint="default"/>
      </w:rPr>
    </w:lvl>
    <w:lvl w:ilvl="3" w:tplc="02F848EE">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0C3CC4"/>
    <w:multiLevelType w:val="hybridMultilevel"/>
    <w:tmpl w:val="05C25C9C"/>
    <w:lvl w:ilvl="0" w:tplc="64C42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761EDC"/>
    <w:multiLevelType w:val="hybridMultilevel"/>
    <w:tmpl w:val="775A2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750B6"/>
    <w:multiLevelType w:val="hybridMultilevel"/>
    <w:tmpl w:val="F7A6283C"/>
    <w:lvl w:ilvl="0" w:tplc="F0E63A1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6524083"/>
    <w:multiLevelType w:val="hybridMultilevel"/>
    <w:tmpl w:val="52367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7051C9"/>
    <w:multiLevelType w:val="hybridMultilevel"/>
    <w:tmpl w:val="8D2411F2"/>
    <w:lvl w:ilvl="0" w:tplc="5C5823BE">
      <w:start w:val="1"/>
      <w:numFmt w:val="decimal"/>
      <w:pStyle w:val="Heading3"/>
      <w:lvlText w:val="%1."/>
      <w:lvlJc w:val="left"/>
      <w:pPr>
        <w:ind w:left="36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D37AA"/>
    <w:multiLevelType w:val="hybridMultilevel"/>
    <w:tmpl w:val="D8967E58"/>
    <w:lvl w:ilvl="0" w:tplc="E522F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94039C1"/>
    <w:multiLevelType w:val="hybridMultilevel"/>
    <w:tmpl w:val="8EE45AD2"/>
    <w:lvl w:ilvl="0" w:tplc="29A05650">
      <w:start w:val="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78E073B"/>
    <w:multiLevelType w:val="hybridMultilevel"/>
    <w:tmpl w:val="6E6CB124"/>
    <w:lvl w:ilvl="0" w:tplc="B6E626F2">
      <w:start w:val="1"/>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1" w15:restartNumberingAfterBreak="0">
    <w:nsid w:val="6E4E6962"/>
    <w:multiLevelType w:val="hybridMultilevel"/>
    <w:tmpl w:val="26166126"/>
    <w:lvl w:ilvl="0" w:tplc="60FAB6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B54DA"/>
    <w:multiLevelType w:val="hybridMultilevel"/>
    <w:tmpl w:val="D572FE3C"/>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19"/>
  </w:num>
  <w:num w:numId="2">
    <w:abstractNumId w:val="27"/>
  </w:num>
  <w:num w:numId="3">
    <w:abstractNumId w:val="0"/>
  </w:num>
  <w:num w:numId="4">
    <w:abstractNumId w:val="21"/>
  </w:num>
  <w:num w:numId="5">
    <w:abstractNumId w:val="18"/>
  </w:num>
  <w:num w:numId="6">
    <w:abstractNumId w:val="6"/>
  </w:num>
  <w:num w:numId="7">
    <w:abstractNumId w:val="2"/>
  </w:num>
  <w:num w:numId="8">
    <w:abstractNumId w:val="10"/>
  </w:num>
  <w:num w:numId="9">
    <w:abstractNumId w:val="29"/>
  </w:num>
  <w:num w:numId="10">
    <w:abstractNumId w:val="22"/>
  </w:num>
  <w:num w:numId="11">
    <w:abstractNumId w:val="7"/>
  </w:num>
  <w:num w:numId="12">
    <w:abstractNumId w:val="31"/>
  </w:num>
  <w:num w:numId="13">
    <w:abstractNumId w:val="15"/>
  </w:num>
  <w:num w:numId="14">
    <w:abstractNumId w:val="30"/>
  </w:num>
  <w:num w:numId="15">
    <w:abstractNumId w:val="25"/>
  </w:num>
  <w:num w:numId="16">
    <w:abstractNumId w:val="28"/>
  </w:num>
  <w:num w:numId="17">
    <w:abstractNumId w:val="32"/>
  </w:num>
  <w:num w:numId="18">
    <w:abstractNumId w:val="3"/>
  </w:num>
  <w:num w:numId="19">
    <w:abstractNumId w:val="9"/>
  </w:num>
  <w:num w:numId="20">
    <w:abstractNumId w:val="9"/>
    <w:lvlOverride w:ilvl="0">
      <w:startOverride w:val="1"/>
    </w:lvlOverride>
  </w:num>
  <w:num w:numId="21">
    <w:abstractNumId w:val="9"/>
    <w:lvlOverride w:ilvl="0">
      <w:startOverride w:val="1"/>
    </w:lvlOverride>
  </w:num>
  <w:num w:numId="22">
    <w:abstractNumId w:val="8"/>
  </w:num>
  <w:num w:numId="23">
    <w:abstractNumId w:val="14"/>
  </w:num>
  <w:num w:numId="24">
    <w:abstractNumId w:val="12"/>
  </w:num>
  <w:num w:numId="25">
    <w:abstractNumId w:val="13"/>
  </w:num>
  <w:num w:numId="26">
    <w:abstractNumId w:val="26"/>
  </w:num>
  <w:num w:numId="27">
    <w:abstractNumId w:val="16"/>
  </w:num>
  <w:num w:numId="28">
    <w:abstractNumId w:val="17"/>
  </w:num>
  <w:num w:numId="29">
    <w:abstractNumId w:val="11"/>
  </w:num>
  <w:num w:numId="30">
    <w:abstractNumId w:val="1"/>
  </w:num>
  <w:num w:numId="31">
    <w:abstractNumId w:val="9"/>
  </w:num>
  <w:num w:numId="32">
    <w:abstractNumId w:val="24"/>
  </w:num>
  <w:num w:numId="33">
    <w:abstractNumId w:val="23"/>
  </w:num>
  <w:num w:numId="34">
    <w:abstractNumId w:val="5"/>
  </w:num>
  <w:num w:numId="35">
    <w:abstractNumId w:val="4"/>
  </w:num>
  <w:num w:numId="36">
    <w:abstractNumId w:val="20"/>
  </w:num>
  <w:num w:numId="37">
    <w:abstractNumId w:val="19"/>
  </w:num>
  <w:num w:numId="38">
    <w:abstractNumId w:val="19"/>
  </w:num>
  <w:num w:numId="39">
    <w:abstractNumId w:val="19"/>
  </w:num>
  <w:num w:numId="40">
    <w:abstractNumId w:val="19"/>
  </w:num>
  <w:num w:numId="4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630"/>
    <w:rsid w:val="000015EF"/>
    <w:rsid w:val="00002624"/>
    <w:rsid w:val="00003295"/>
    <w:rsid w:val="00003D90"/>
    <w:rsid w:val="0000489E"/>
    <w:rsid w:val="00005B3B"/>
    <w:rsid w:val="00006A66"/>
    <w:rsid w:val="00010107"/>
    <w:rsid w:val="00010ECE"/>
    <w:rsid w:val="00011700"/>
    <w:rsid w:val="00011AAA"/>
    <w:rsid w:val="0001253A"/>
    <w:rsid w:val="0001260B"/>
    <w:rsid w:val="00012BD0"/>
    <w:rsid w:val="00012DFD"/>
    <w:rsid w:val="00013454"/>
    <w:rsid w:val="00013477"/>
    <w:rsid w:val="000137B1"/>
    <w:rsid w:val="00014031"/>
    <w:rsid w:val="00014464"/>
    <w:rsid w:val="000144C2"/>
    <w:rsid w:val="00014B1B"/>
    <w:rsid w:val="00015DA3"/>
    <w:rsid w:val="00017272"/>
    <w:rsid w:val="000172A9"/>
    <w:rsid w:val="00020132"/>
    <w:rsid w:val="000206CB"/>
    <w:rsid w:val="00021463"/>
    <w:rsid w:val="000216BB"/>
    <w:rsid w:val="00021BDF"/>
    <w:rsid w:val="00021CFD"/>
    <w:rsid w:val="00022DFF"/>
    <w:rsid w:val="000230DC"/>
    <w:rsid w:val="00023346"/>
    <w:rsid w:val="000244D6"/>
    <w:rsid w:val="0002499E"/>
    <w:rsid w:val="00024F0E"/>
    <w:rsid w:val="000253B2"/>
    <w:rsid w:val="00026BB0"/>
    <w:rsid w:val="00026E52"/>
    <w:rsid w:val="00026EB2"/>
    <w:rsid w:val="00027106"/>
    <w:rsid w:val="000305B3"/>
    <w:rsid w:val="00030702"/>
    <w:rsid w:val="000308C0"/>
    <w:rsid w:val="00030C16"/>
    <w:rsid w:val="00031435"/>
    <w:rsid w:val="00031F8E"/>
    <w:rsid w:val="00032216"/>
    <w:rsid w:val="00032556"/>
    <w:rsid w:val="00032F12"/>
    <w:rsid w:val="00032F4D"/>
    <w:rsid w:val="00033781"/>
    <w:rsid w:val="000344ED"/>
    <w:rsid w:val="00034F0B"/>
    <w:rsid w:val="000356D1"/>
    <w:rsid w:val="00035E23"/>
    <w:rsid w:val="000363DC"/>
    <w:rsid w:val="00037065"/>
    <w:rsid w:val="00037C52"/>
    <w:rsid w:val="00040540"/>
    <w:rsid w:val="00041C35"/>
    <w:rsid w:val="0004274E"/>
    <w:rsid w:val="000428D9"/>
    <w:rsid w:val="00042951"/>
    <w:rsid w:val="00042B02"/>
    <w:rsid w:val="00042B50"/>
    <w:rsid w:val="00042C00"/>
    <w:rsid w:val="00042E73"/>
    <w:rsid w:val="00042F8F"/>
    <w:rsid w:val="00043F3A"/>
    <w:rsid w:val="0004492F"/>
    <w:rsid w:val="0004497D"/>
    <w:rsid w:val="000452C7"/>
    <w:rsid w:val="0004692D"/>
    <w:rsid w:val="000471DB"/>
    <w:rsid w:val="000472F6"/>
    <w:rsid w:val="0004786D"/>
    <w:rsid w:val="00051713"/>
    <w:rsid w:val="00051D65"/>
    <w:rsid w:val="000525B7"/>
    <w:rsid w:val="0005269F"/>
    <w:rsid w:val="00054763"/>
    <w:rsid w:val="00055926"/>
    <w:rsid w:val="00055C1C"/>
    <w:rsid w:val="00055D48"/>
    <w:rsid w:val="00056717"/>
    <w:rsid w:val="00057B50"/>
    <w:rsid w:val="00060A11"/>
    <w:rsid w:val="00061192"/>
    <w:rsid w:val="0006139B"/>
    <w:rsid w:val="00062A52"/>
    <w:rsid w:val="00063976"/>
    <w:rsid w:val="00064318"/>
    <w:rsid w:val="000645BB"/>
    <w:rsid w:val="00065342"/>
    <w:rsid w:val="000656C3"/>
    <w:rsid w:val="00065AC4"/>
    <w:rsid w:val="00065E08"/>
    <w:rsid w:val="00066D6C"/>
    <w:rsid w:val="00066E24"/>
    <w:rsid w:val="00067490"/>
    <w:rsid w:val="000675EE"/>
    <w:rsid w:val="00067AE2"/>
    <w:rsid w:val="00070A6C"/>
    <w:rsid w:val="00072551"/>
    <w:rsid w:val="000729DB"/>
    <w:rsid w:val="00075097"/>
    <w:rsid w:val="000756F7"/>
    <w:rsid w:val="00075770"/>
    <w:rsid w:val="00075FEA"/>
    <w:rsid w:val="00076645"/>
    <w:rsid w:val="00076993"/>
    <w:rsid w:val="00076AC4"/>
    <w:rsid w:val="00077C45"/>
    <w:rsid w:val="00080508"/>
    <w:rsid w:val="000807F5"/>
    <w:rsid w:val="00080935"/>
    <w:rsid w:val="00080A4D"/>
    <w:rsid w:val="00080AD5"/>
    <w:rsid w:val="00080F70"/>
    <w:rsid w:val="00080F83"/>
    <w:rsid w:val="00081CB6"/>
    <w:rsid w:val="00082BCA"/>
    <w:rsid w:val="000835FE"/>
    <w:rsid w:val="00084141"/>
    <w:rsid w:val="00085388"/>
    <w:rsid w:val="00086495"/>
    <w:rsid w:val="00086B1E"/>
    <w:rsid w:val="00086B22"/>
    <w:rsid w:val="00086CF2"/>
    <w:rsid w:val="00087080"/>
    <w:rsid w:val="00090062"/>
    <w:rsid w:val="000900FC"/>
    <w:rsid w:val="00090483"/>
    <w:rsid w:val="0009087F"/>
    <w:rsid w:val="00090FED"/>
    <w:rsid w:val="00091238"/>
    <w:rsid w:val="00092467"/>
    <w:rsid w:val="00093491"/>
    <w:rsid w:val="00093C84"/>
    <w:rsid w:val="00094932"/>
    <w:rsid w:val="00096D16"/>
    <w:rsid w:val="00097BE1"/>
    <w:rsid w:val="000A0152"/>
    <w:rsid w:val="000A07B3"/>
    <w:rsid w:val="000A0EBD"/>
    <w:rsid w:val="000A1404"/>
    <w:rsid w:val="000A15D5"/>
    <w:rsid w:val="000A16B7"/>
    <w:rsid w:val="000A16EF"/>
    <w:rsid w:val="000A19DC"/>
    <w:rsid w:val="000A212B"/>
    <w:rsid w:val="000A3354"/>
    <w:rsid w:val="000A3459"/>
    <w:rsid w:val="000A4813"/>
    <w:rsid w:val="000A5AB9"/>
    <w:rsid w:val="000A618D"/>
    <w:rsid w:val="000A6D30"/>
    <w:rsid w:val="000A73D9"/>
    <w:rsid w:val="000A7632"/>
    <w:rsid w:val="000A7EB5"/>
    <w:rsid w:val="000B14C4"/>
    <w:rsid w:val="000B161C"/>
    <w:rsid w:val="000B1A81"/>
    <w:rsid w:val="000B1C34"/>
    <w:rsid w:val="000B239D"/>
    <w:rsid w:val="000B2552"/>
    <w:rsid w:val="000B28C3"/>
    <w:rsid w:val="000B2ABA"/>
    <w:rsid w:val="000B2E41"/>
    <w:rsid w:val="000B31A2"/>
    <w:rsid w:val="000B41A5"/>
    <w:rsid w:val="000B4678"/>
    <w:rsid w:val="000B4A07"/>
    <w:rsid w:val="000B4A14"/>
    <w:rsid w:val="000B4C28"/>
    <w:rsid w:val="000B52B1"/>
    <w:rsid w:val="000B53FF"/>
    <w:rsid w:val="000B6131"/>
    <w:rsid w:val="000B692E"/>
    <w:rsid w:val="000B6BF3"/>
    <w:rsid w:val="000B6F22"/>
    <w:rsid w:val="000B726B"/>
    <w:rsid w:val="000B744F"/>
    <w:rsid w:val="000B7580"/>
    <w:rsid w:val="000C0491"/>
    <w:rsid w:val="000C0842"/>
    <w:rsid w:val="000C1D6A"/>
    <w:rsid w:val="000C333D"/>
    <w:rsid w:val="000C34A3"/>
    <w:rsid w:val="000C3755"/>
    <w:rsid w:val="000C39B9"/>
    <w:rsid w:val="000C3B0B"/>
    <w:rsid w:val="000C3D31"/>
    <w:rsid w:val="000C4001"/>
    <w:rsid w:val="000C52FA"/>
    <w:rsid w:val="000C6D8D"/>
    <w:rsid w:val="000D051A"/>
    <w:rsid w:val="000D0CC3"/>
    <w:rsid w:val="000D0F27"/>
    <w:rsid w:val="000D0FD6"/>
    <w:rsid w:val="000D1427"/>
    <w:rsid w:val="000D2151"/>
    <w:rsid w:val="000D3015"/>
    <w:rsid w:val="000D3152"/>
    <w:rsid w:val="000D371E"/>
    <w:rsid w:val="000D45D3"/>
    <w:rsid w:val="000D51A8"/>
    <w:rsid w:val="000D57DA"/>
    <w:rsid w:val="000D6055"/>
    <w:rsid w:val="000D6E2B"/>
    <w:rsid w:val="000E02F6"/>
    <w:rsid w:val="000E067B"/>
    <w:rsid w:val="000E0CE6"/>
    <w:rsid w:val="000E0D04"/>
    <w:rsid w:val="000E11A9"/>
    <w:rsid w:val="000E1629"/>
    <w:rsid w:val="000E18C8"/>
    <w:rsid w:val="000E18E5"/>
    <w:rsid w:val="000E1974"/>
    <w:rsid w:val="000E24D2"/>
    <w:rsid w:val="000E2ED7"/>
    <w:rsid w:val="000E389C"/>
    <w:rsid w:val="000E4B10"/>
    <w:rsid w:val="000E4D83"/>
    <w:rsid w:val="000E526C"/>
    <w:rsid w:val="000E5306"/>
    <w:rsid w:val="000E534E"/>
    <w:rsid w:val="000E552D"/>
    <w:rsid w:val="000E624F"/>
    <w:rsid w:val="000E6E60"/>
    <w:rsid w:val="000E70B1"/>
    <w:rsid w:val="000F06E6"/>
    <w:rsid w:val="000F079D"/>
    <w:rsid w:val="000F07A9"/>
    <w:rsid w:val="000F173B"/>
    <w:rsid w:val="000F1810"/>
    <w:rsid w:val="000F2644"/>
    <w:rsid w:val="000F2BBA"/>
    <w:rsid w:val="000F2C19"/>
    <w:rsid w:val="000F30B9"/>
    <w:rsid w:val="000F43D4"/>
    <w:rsid w:val="000F46EC"/>
    <w:rsid w:val="000F4F23"/>
    <w:rsid w:val="000F5971"/>
    <w:rsid w:val="000F5BDD"/>
    <w:rsid w:val="000F5FC0"/>
    <w:rsid w:val="000F5FFF"/>
    <w:rsid w:val="000F6117"/>
    <w:rsid w:val="000F618F"/>
    <w:rsid w:val="000F64CB"/>
    <w:rsid w:val="000F6DED"/>
    <w:rsid w:val="000F7193"/>
    <w:rsid w:val="000F7690"/>
    <w:rsid w:val="000F79AB"/>
    <w:rsid w:val="000F7F9E"/>
    <w:rsid w:val="001000D5"/>
    <w:rsid w:val="0010055B"/>
    <w:rsid w:val="00100633"/>
    <w:rsid w:val="00100B0D"/>
    <w:rsid w:val="00100B56"/>
    <w:rsid w:val="0010114D"/>
    <w:rsid w:val="001012B5"/>
    <w:rsid w:val="00103E6B"/>
    <w:rsid w:val="00106066"/>
    <w:rsid w:val="00106751"/>
    <w:rsid w:val="0010676F"/>
    <w:rsid w:val="00106BB4"/>
    <w:rsid w:val="00106EA6"/>
    <w:rsid w:val="00107FAB"/>
    <w:rsid w:val="00110106"/>
    <w:rsid w:val="00110AE4"/>
    <w:rsid w:val="00112333"/>
    <w:rsid w:val="0011253C"/>
    <w:rsid w:val="001125EC"/>
    <w:rsid w:val="00112CC4"/>
    <w:rsid w:val="00112F14"/>
    <w:rsid w:val="00112F58"/>
    <w:rsid w:val="001132DA"/>
    <w:rsid w:val="001133EC"/>
    <w:rsid w:val="00113BC1"/>
    <w:rsid w:val="0011562C"/>
    <w:rsid w:val="001168BE"/>
    <w:rsid w:val="00116AE5"/>
    <w:rsid w:val="00116ECC"/>
    <w:rsid w:val="00117CC1"/>
    <w:rsid w:val="00120504"/>
    <w:rsid w:val="0012075D"/>
    <w:rsid w:val="00120C29"/>
    <w:rsid w:val="00121F2C"/>
    <w:rsid w:val="00122023"/>
    <w:rsid w:val="0012252A"/>
    <w:rsid w:val="0012255F"/>
    <w:rsid w:val="0012268D"/>
    <w:rsid w:val="00122E17"/>
    <w:rsid w:val="00122E86"/>
    <w:rsid w:val="00122ED9"/>
    <w:rsid w:val="00123AB5"/>
    <w:rsid w:val="00123BC9"/>
    <w:rsid w:val="001249B5"/>
    <w:rsid w:val="00125244"/>
    <w:rsid w:val="00125DDA"/>
    <w:rsid w:val="00125F6F"/>
    <w:rsid w:val="001268FD"/>
    <w:rsid w:val="00126B9C"/>
    <w:rsid w:val="00126ECD"/>
    <w:rsid w:val="001276FA"/>
    <w:rsid w:val="0013089B"/>
    <w:rsid w:val="0013142B"/>
    <w:rsid w:val="00131A96"/>
    <w:rsid w:val="00131F82"/>
    <w:rsid w:val="001328E8"/>
    <w:rsid w:val="0013315C"/>
    <w:rsid w:val="00134973"/>
    <w:rsid w:val="00135047"/>
    <w:rsid w:val="001357CF"/>
    <w:rsid w:val="00135824"/>
    <w:rsid w:val="001359E7"/>
    <w:rsid w:val="00135D70"/>
    <w:rsid w:val="00135EAB"/>
    <w:rsid w:val="001369BD"/>
    <w:rsid w:val="001371CA"/>
    <w:rsid w:val="00137B2D"/>
    <w:rsid w:val="00137CA4"/>
    <w:rsid w:val="00137DDD"/>
    <w:rsid w:val="00140282"/>
    <w:rsid w:val="00140479"/>
    <w:rsid w:val="001404FC"/>
    <w:rsid w:val="00140781"/>
    <w:rsid w:val="001409B0"/>
    <w:rsid w:val="001417FB"/>
    <w:rsid w:val="00141AF3"/>
    <w:rsid w:val="00142316"/>
    <w:rsid w:val="00142A41"/>
    <w:rsid w:val="00142C59"/>
    <w:rsid w:val="001431BB"/>
    <w:rsid w:val="00143BCF"/>
    <w:rsid w:val="001448CA"/>
    <w:rsid w:val="00144EAA"/>
    <w:rsid w:val="00144FE4"/>
    <w:rsid w:val="00145496"/>
    <w:rsid w:val="00146564"/>
    <w:rsid w:val="00146FB3"/>
    <w:rsid w:val="00147FCA"/>
    <w:rsid w:val="001501A4"/>
    <w:rsid w:val="0015043C"/>
    <w:rsid w:val="001510AE"/>
    <w:rsid w:val="00151F4D"/>
    <w:rsid w:val="00151FA4"/>
    <w:rsid w:val="00152690"/>
    <w:rsid w:val="00152F28"/>
    <w:rsid w:val="00153091"/>
    <w:rsid w:val="001545E7"/>
    <w:rsid w:val="001547F8"/>
    <w:rsid w:val="00155E69"/>
    <w:rsid w:val="00155FB6"/>
    <w:rsid w:val="0015609C"/>
    <w:rsid w:val="00157145"/>
    <w:rsid w:val="001607BF"/>
    <w:rsid w:val="00160C2D"/>
    <w:rsid w:val="00161362"/>
    <w:rsid w:val="00161880"/>
    <w:rsid w:val="00161CD2"/>
    <w:rsid w:val="00161D0C"/>
    <w:rsid w:val="00162362"/>
    <w:rsid w:val="00162C1C"/>
    <w:rsid w:val="0016388D"/>
    <w:rsid w:val="0016392D"/>
    <w:rsid w:val="00165878"/>
    <w:rsid w:val="001668F5"/>
    <w:rsid w:val="00166A96"/>
    <w:rsid w:val="0016789A"/>
    <w:rsid w:val="001679C0"/>
    <w:rsid w:val="00167D01"/>
    <w:rsid w:val="00170B70"/>
    <w:rsid w:val="0017100E"/>
    <w:rsid w:val="001726F1"/>
    <w:rsid w:val="001731E5"/>
    <w:rsid w:val="00173319"/>
    <w:rsid w:val="00173867"/>
    <w:rsid w:val="001739A7"/>
    <w:rsid w:val="00173C7B"/>
    <w:rsid w:val="00174B0F"/>
    <w:rsid w:val="00176927"/>
    <w:rsid w:val="001774CE"/>
    <w:rsid w:val="0017755A"/>
    <w:rsid w:val="00177C0C"/>
    <w:rsid w:val="001805B2"/>
    <w:rsid w:val="00180C15"/>
    <w:rsid w:val="001818E6"/>
    <w:rsid w:val="00181BDA"/>
    <w:rsid w:val="001823C3"/>
    <w:rsid w:val="00182443"/>
    <w:rsid w:val="001835E0"/>
    <w:rsid w:val="0018378C"/>
    <w:rsid w:val="001845B2"/>
    <w:rsid w:val="001849AC"/>
    <w:rsid w:val="00184FA0"/>
    <w:rsid w:val="0018538A"/>
    <w:rsid w:val="001858E8"/>
    <w:rsid w:val="00185A64"/>
    <w:rsid w:val="00185EFE"/>
    <w:rsid w:val="0018605D"/>
    <w:rsid w:val="001868CB"/>
    <w:rsid w:val="00190C97"/>
    <w:rsid w:val="00190E44"/>
    <w:rsid w:val="001919F5"/>
    <w:rsid w:val="00191B68"/>
    <w:rsid w:val="00192095"/>
    <w:rsid w:val="0019238C"/>
    <w:rsid w:val="0019290D"/>
    <w:rsid w:val="00192B67"/>
    <w:rsid w:val="001932A8"/>
    <w:rsid w:val="00193AB7"/>
    <w:rsid w:val="00194299"/>
    <w:rsid w:val="00194B97"/>
    <w:rsid w:val="00194BC1"/>
    <w:rsid w:val="00195901"/>
    <w:rsid w:val="00196775"/>
    <w:rsid w:val="00196833"/>
    <w:rsid w:val="00196C70"/>
    <w:rsid w:val="00196CA3"/>
    <w:rsid w:val="00196E06"/>
    <w:rsid w:val="00197099"/>
    <w:rsid w:val="00197351"/>
    <w:rsid w:val="00197895"/>
    <w:rsid w:val="00197CB0"/>
    <w:rsid w:val="001A0188"/>
    <w:rsid w:val="001A03D2"/>
    <w:rsid w:val="001A0B2D"/>
    <w:rsid w:val="001A1017"/>
    <w:rsid w:val="001A17F8"/>
    <w:rsid w:val="001A1A57"/>
    <w:rsid w:val="001A1B86"/>
    <w:rsid w:val="001A1C0B"/>
    <w:rsid w:val="001A3168"/>
    <w:rsid w:val="001A33A9"/>
    <w:rsid w:val="001A39D4"/>
    <w:rsid w:val="001A5948"/>
    <w:rsid w:val="001A5E37"/>
    <w:rsid w:val="001A630C"/>
    <w:rsid w:val="001A63E2"/>
    <w:rsid w:val="001A70A5"/>
    <w:rsid w:val="001B0ECD"/>
    <w:rsid w:val="001B10B7"/>
    <w:rsid w:val="001B2E0A"/>
    <w:rsid w:val="001B3198"/>
    <w:rsid w:val="001B4537"/>
    <w:rsid w:val="001B4B07"/>
    <w:rsid w:val="001B514D"/>
    <w:rsid w:val="001B5AE1"/>
    <w:rsid w:val="001B66DB"/>
    <w:rsid w:val="001B6C26"/>
    <w:rsid w:val="001B6C72"/>
    <w:rsid w:val="001B71D4"/>
    <w:rsid w:val="001B735A"/>
    <w:rsid w:val="001B773A"/>
    <w:rsid w:val="001B7A4C"/>
    <w:rsid w:val="001B7F86"/>
    <w:rsid w:val="001C053B"/>
    <w:rsid w:val="001C09C6"/>
    <w:rsid w:val="001C113F"/>
    <w:rsid w:val="001C180A"/>
    <w:rsid w:val="001C1DAC"/>
    <w:rsid w:val="001C20B7"/>
    <w:rsid w:val="001C311E"/>
    <w:rsid w:val="001C36DC"/>
    <w:rsid w:val="001C3CD4"/>
    <w:rsid w:val="001C48D9"/>
    <w:rsid w:val="001C5669"/>
    <w:rsid w:val="001C58FD"/>
    <w:rsid w:val="001C62BB"/>
    <w:rsid w:val="001C62E8"/>
    <w:rsid w:val="001C68B4"/>
    <w:rsid w:val="001C68D6"/>
    <w:rsid w:val="001C7FA1"/>
    <w:rsid w:val="001D0030"/>
    <w:rsid w:val="001D0692"/>
    <w:rsid w:val="001D1154"/>
    <w:rsid w:val="001D13D5"/>
    <w:rsid w:val="001D155C"/>
    <w:rsid w:val="001D283E"/>
    <w:rsid w:val="001D32E7"/>
    <w:rsid w:val="001D3B17"/>
    <w:rsid w:val="001D5C6D"/>
    <w:rsid w:val="001D6A72"/>
    <w:rsid w:val="001D7FFD"/>
    <w:rsid w:val="001E0035"/>
    <w:rsid w:val="001E022A"/>
    <w:rsid w:val="001E07C0"/>
    <w:rsid w:val="001E267D"/>
    <w:rsid w:val="001E290F"/>
    <w:rsid w:val="001E2E66"/>
    <w:rsid w:val="001E2F4A"/>
    <w:rsid w:val="001E4180"/>
    <w:rsid w:val="001E4F9B"/>
    <w:rsid w:val="001E5520"/>
    <w:rsid w:val="001E5878"/>
    <w:rsid w:val="001E5FF8"/>
    <w:rsid w:val="001E6A0E"/>
    <w:rsid w:val="001E6FB2"/>
    <w:rsid w:val="001E7158"/>
    <w:rsid w:val="001F071E"/>
    <w:rsid w:val="001F0823"/>
    <w:rsid w:val="001F0DAF"/>
    <w:rsid w:val="001F1DCE"/>
    <w:rsid w:val="001F2FF3"/>
    <w:rsid w:val="001F346A"/>
    <w:rsid w:val="001F423D"/>
    <w:rsid w:val="001F441C"/>
    <w:rsid w:val="001F5583"/>
    <w:rsid w:val="001F5BD1"/>
    <w:rsid w:val="001F5CD1"/>
    <w:rsid w:val="001F6B41"/>
    <w:rsid w:val="001F7A2C"/>
    <w:rsid w:val="0020080E"/>
    <w:rsid w:val="00200D06"/>
    <w:rsid w:val="0020119B"/>
    <w:rsid w:val="0020296F"/>
    <w:rsid w:val="002031C9"/>
    <w:rsid w:val="00203E47"/>
    <w:rsid w:val="00204679"/>
    <w:rsid w:val="00204800"/>
    <w:rsid w:val="00205C55"/>
    <w:rsid w:val="00206349"/>
    <w:rsid w:val="00206B5C"/>
    <w:rsid w:val="00207BD6"/>
    <w:rsid w:val="002103B9"/>
    <w:rsid w:val="00210707"/>
    <w:rsid w:val="002125D2"/>
    <w:rsid w:val="00212609"/>
    <w:rsid w:val="00212A2B"/>
    <w:rsid w:val="00212C6C"/>
    <w:rsid w:val="002133D2"/>
    <w:rsid w:val="002138D6"/>
    <w:rsid w:val="00214C7D"/>
    <w:rsid w:val="002171FB"/>
    <w:rsid w:val="00220F3C"/>
    <w:rsid w:val="00222007"/>
    <w:rsid w:val="002220DC"/>
    <w:rsid w:val="002221DC"/>
    <w:rsid w:val="002226FB"/>
    <w:rsid w:val="00222931"/>
    <w:rsid w:val="00223F12"/>
    <w:rsid w:val="0022484A"/>
    <w:rsid w:val="00224883"/>
    <w:rsid w:val="00224B0D"/>
    <w:rsid w:val="00224D9D"/>
    <w:rsid w:val="00224F94"/>
    <w:rsid w:val="002259A1"/>
    <w:rsid w:val="0022763B"/>
    <w:rsid w:val="00227B83"/>
    <w:rsid w:val="00227D07"/>
    <w:rsid w:val="00230843"/>
    <w:rsid w:val="0023262D"/>
    <w:rsid w:val="00233511"/>
    <w:rsid w:val="0023384A"/>
    <w:rsid w:val="00233901"/>
    <w:rsid w:val="00233986"/>
    <w:rsid w:val="0023407C"/>
    <w:rsid w:val="00234941"/>
    <w:rsid w:val="00235076"/>
    <w:rsid w:val="00235AD5"/>
    <w:rsid w:val="00236B78"/>
    <w:rsid w:val="00237912"/>
    <w:rsid w:val="00237A50"/>
    <w:rsid w:val="00237B40"/>
    <w:rsid w:val="00240A74"/>
    <w:rsid w:val="00240D7E"/>
    <w:rsid w:val="00241432"/>
    <w:rsid w:val="00241FF0"/>
    <w:rsid w:val="00242281"/>
    <w:rsid w:val="00242609"/>
    <w:rsid w:val="00242981"/>
    <w:rsid w:val="002430BD"/>
    <w:rsid w:val="00243386"/>
    <w:rsid w:val="00243902"/>
    <w:rsid w:val="00244246"/>
    <w:rsid w:val="00244934"/>
    <w:rsid w:val="00244D62"/>
    <w:rsid w:val="002451DD"/>
    <w:rsid w:val="00245B7F"/>
    <w:rsid w:val="00246872"/>
    <w:rsid w:val="00246972"/>
    <w:rsid w:val="00246A77"/>
    <w:rsid w:val="00246E34"/>
    <w:rsid w:val="00246F3F"/>
    <w:rsid w:val="00247C5C"/>
    <w:rsid w:val="002501F2"/>
    <w:rsid w:val="00250495"/>
    <w:rsid w:val="00250AF4"/>
    <w:rsid w:val="0025155B"/>
    <w:rsid w:val="00251F8F"/>
    <w:rsid w:val="00252B1C"/>
    <w:rsid w:val="00252F6A"/>
    <w:rsid w:val="002543D5"/>
    <w:rsid w:val="002543DD"/>
    <w:rsid w:val="00254BD8"/>
    <w:rsid w:val="00254C34"/>
    <w:rsid w:val="00255559"/>
    <w:rsid w:val="002558E6"/>
    <w:rsid w:val="00255BA9"/>
    <w:rsid w:val="00256B85"/>
    <w:rsid w:val="0025797F"/>
    <w:rsid w:val="002609EE"/>
    <w:rsid w:val="00260F52"/>
    <w:rsid w:val="00261FB1"/>
    <w:rsid w:val="00262A7C"/>
    <w:rsid w:val="0026408F"/>
    <w:rsid w:val="00264F30"/>
    <w:rsid w:val="0026616B"/>
    <w:rsid w:val="00266917"/>
    <w:rsid w:val="002670F1"/>
    <w:rsid w:val="002672C2"/>
    <w:rsid w:val="00270824"/>
    <w:rsid w:val="00271249"/>
    <w:rsid w:val="00271558"/>
    <w:rsid w:val="00271821"/>
    <w:rsid w:val="002719FA"/>
    <w:rsid w:val="0027266A"/>
    <w:rsid w:val="0027327D"/>
    <w:rsid w:val="00274253"/>
    <w:rsid w:val="002755DE"/>
    <w:rsid w:val="00275643"/>
    <w:rsid w:val="00275939"/>
    <w:rsid w:val="00276226"/>
    <w:rsid w:val="00281278"/>
    <w:rsid w:val="0028299D"/>
    <w:rsid w:val="002829F0"/>
    <w:rsid w:val="00282A9C"/>
    <w:rsid w:val="00283323"/>
    <w:rsid w:val="00283732"/>
    <w:rsid w:val="00283E5E"/>
    <w:rsid w:val="00285F7D"/>
    <w:rsid w:val="002862DE"/>
    <w:rsid w:val="002878D2"/>
    <w:rsid w:val="00287992"/>
    <w:rsid w:val="002879CB"/>
    <w:rsid w:val="00287C8A"/>
    <w:rsid w:val="00290027"/>
    <w:rsid w:val="00290B26"/>
    <w:rsid w:val="00291011"/>
    <w:rsid w:val="00294005"/>
    <w:rsid w:val="002942AD"/>
    <w:rsid w:val="00294387"/>
    <w:rsid w:val="00294D06"/>
    <w:rsid w:val="00295FE5"/>
    <w:rsid w:val="00296179"/>
    <w:rsid w:val="00297269"/>
    <w:rsid w:val="002A049D"/>
    <w:rsid w:val="002A100A"/>
    <w:rsid w:val="002A1BF5"/>
    <w:rsid w:val="002A2207"/>
    <w:rsid w:val="002A22F2"/>
    <w:rsid w:val="002A2DA3"/>
    <w:rsid w:val="002A40A5"/>
    <w:rsid w:val="002A4601"/>
    <w:rsid w:val="002A5A05"/>
    <w:rsid w:val="002A5E1B"/>
    <w:rsid w:val="002A6313"/>
    <w:rsid w:val="002A6B84"/>
    <w:rsid w:val="002A7D02"/>
    <w:rsid w:val="002B0A14"/>
    <w:rsid w:val="002B0C95"/>
    <w:rsid w:val="002B172B"/>
    <w:rsid w:val="002B1FD3"/>
    <w:rsid w:val="002B21AF"/>
    <w:rsid w:val="002B26A8"/>
    <w:rsid w:val="002B2E8C"/>
    <w:rsid w:val="002B3D28"/>
    <w:rsid w:val="002B40FD"/>
    <w:rsid w:val="002B51A2"/>
    <w:rsid w:val="002B575C"/>
    <w:rsid w:val="002B6627"/>
    <w:rsid w:val="002B6789"/>
    <w:rsid w:val="002B685E"/>
    <w:rsid w:val="002B7176"/>
    <w:rsid w:val="002B7559"/>
    <w:rsid w:val="002C0751"/>
    <w:rsid w:val="002C09F1"/>
    <w:rsid w:val="002C2BB1"/>
    <w:rsid w:val="002C2CA2"/>
    <w:rsid w:val="002C3188"/>
    <w:rsid w:val="002C374A"/>
    <w:rsid w:val="002C41B3"/>
    <w:rsid w:val="002C429A"/>
    <w:rsid w:val="002C4445"/>
    <w:rsid w:val="002C4670"/>
    <w:rsid w:val="002C53AF"/>
    <w:rsid w:val="002C5A13"/>
    <w:rsid w:val="002C6652"/>
    <w:rsid w:val="002C6B65"/>
    <w:rsid w:val="002C7CC1"/>
    <w:rsid w:val="002D0D2C"/>
    <w:rsid w:val="002D15AA"/>
    <w:rsid w:val="002D17B6"/>
    <w:rsid w:val="002D242A"/>
    <w:rsid w:val="002D275D"/>
    <w:rsid w:val="002D284B"/>
    <w:rsid w:val="002D4919"/>
    <w:rsid w:val="002D5013"/>
    <w:rsid w:val="002D6337"/>
    <w:rsid w:val="002D6677"/>
    <w:rsid w:val="002E01E6"/>
    <w:rsid w:val="002E0744"/>
    <w:rsid w:val="002E080D"/>
    <w:rsid w:val="002E0D22"/>
    <w:rsid w:val="002E125A"/>
    <w:rsid w:val="002E18D7"/>
    <w:rsid w:val="002E1F9D"/>
    <w:rsid w:val="002E337E"/>
    <w:rsid w:val="002E3D5E"/>
    <w:rsid w:val="002E43C5"/>
    <w:rsid w:val="002E493D"/>
    <w:rsid w:val="002E4FDE"/>
    <w:rsid w:val="002E53F9"/>
    <w:rsid w:val="002E6532"/>
    <w:rsid w:val="002E65DE"/>
    <w:rsid w:val="002E6D8F"/>
    <w:rsid w:val="002E706C"/>
    <w:rsid w:val="002E7739"/>
    <w:rsid w:val="002E7978"/>
    <w:rsid w:val="002F08A9"/>
    <w:rsid w:val="002F096F"/>
    <w:rsid w:val="002F0A7F"/>
    <w:rsid w:val="002F0F27"/>
    <w:rsid w:val="002F1F1C"/>
    <w:rsid w:val="002F2059"/>
    <w:rsid w:val="002F20B2"/>
    <w:rsid w:val="002F23A0"/>
    <w:rsid w:val="002F265B"/>
    <w:rsid w:val="002F2AEA"/>
    <w:rsid w:val="002F2EA0"/>
    <w:rsid w:val="002F2F9B"/>
    <w:rsid w:val="002F3718"/>
    <w:rsid w:val="002F3C11"/>
    <w:rsid w:val="002F3C94"/>
    <w:rsid w:val="002F419A"/>
    <w:rsid w:val="002F4D4A"/>
    <w:rsid w:val="002F4E7C"/>
    <w:rsid w:val="002F4F18"/>
    <w:rsid w:val="002F6330"/>
    <w:rsid w:val="002F6C97"/>
    <w:rsid w:val="002F7421"/>
    <w:rsid w:val="002F7B2C"/>
    <w:rsid w:val="00300579"/>
    <w:rsid w:val="00301BB3"/>
    <w:rsid w:val="00302C34"/>
    <w:rsid w:val="003030A8"/>
    <w:rsid w:val="00303AB4"/>
    <w:rsid w:val="00303EF0"/>
    <w:rsid w:val="00304150"/>
    <w:rsid w:val="00304286"/>
    <w:rsid w:val="003053F9"/>
    <w:rsid w:val="003058B8"/>
    <w:rsid w:val="003058FB"/>
    <w:rsid w:val="003061EE"/>
    <w:rsid w:val="003068F7"/>
    <w:rsid w:val="003074E3"/>
    <w:rsid w:val="003107C4"/>
    <w:rsid w:val="00310E88"/>
    <w:rsid w:val="003132EF"/>
    <w:rsid w:val="003138BC"/>
    <w:rsid w:val="00313FD8"/>
    <w:rsid w:val="00314206"/>
    <w:rsid w:val="00314820"/>
    <w:rsid w:val="00315B98"/>
    <w:rsid w:val="00315D26"/>
    <w:rsid w:val="00315E9C"/>
    <w:rsid w:val="003174CB"/>
    <w:rsid w:val="003177DB"/>
    <w:rsid w:val="00317B6B"/>
    <w:rsid w:val="00317B7C"/>
    <w:rsid w:val="00320023"/>
    <w:rsid w:val="00320335"/>
    <w:rsid w:val="00320D0F"/>
    <w:rsid w:val="00321F88"/>
    <w:rsid w:val="00322AB9"/>
    <w:rsid w:val="00322EC1"/>
    <w:rsid w:val="00323019"/>
    <w:rsid w:val="0032301C"/>
    <w:rsid w:val="003232FD"/>
    <w:rsid w:val="00323A35"/>
    <w:rsid w:val="0032437A"/>
    <w:rsid w:val="00324BE3"/>
    <w:rsid w:val="00324D8A"/>
    <w:rsid w:val="00325958"/>
    <w:rsid w:val="003260DB"/>
    <w:rsid w:val="003265CF"/>
    <w:rsid w:val="00326D43"/>
    <w:rsid w:val="003274AF"/>
    <w:rsid w:val="0032799F"/>
    <w:rsid w:val="003303AD"/>
    <w:rsid w:val="00332265"/>
    <w:rsid w:val="003333CF"/>
    <w:rsid w:val="0033361A"/>
    <w:rsid w:val="00334DB5"/>
    <w:rsid w:val="003355BA"/>
    <w:rsid w:val="00335AA7"/>
    <w:rsid w:val="003362C2"/>
    <w:rsid w:val="003369E6"/>
    <w:rsid w:val="00336B64"/>
    <w:rsid w:val="0033740D"/>
    <w:rsid w:val="003403AF"/>
    <w:rsid w:val="0034077B"/>
    <w:rsid w:val="00341003"/>
    <w:rsid w:val="003418F4"/>
    <w:rsid w:val="003429E6"/>
    <w:rsid w:val="00342FEB"/>
    <w:rsid w:val="00343DF3"/>
    <w:rsid w:val="00343F8D"/>
    <w:rsid w:val="00343FFD"/>
    <w:rsid w:val="00344E26"/>
    <w:rsid w:val="00345F6A"/>
    <w:rsid w:val="00346209"/>
    <w:rsid w:val="00346524"/>
    <w:rsid w:val="003472CD"/>
    <w:rsid w:val="00347EFF"/>
    <w:rsid w:val="0035023C"/>
    <w:rsid w:val="00350380"/>
    <w:rsid w:val="003504DE"/>
    <w:rsid w:val="00350764"/>
    <w:rsid w:val="00351312"/>
    <w:rsid w:val="00351CB8"/>
    <w:rsid w:val="0035229D"/>
    <w:rsid w:val="0035359E"/>
    <w:rsid w:val="00353BC9"/>
    <w:rsid w:val="00353C66"/>
    <w:rsid w:val="003548F5"/>
    <w:rsid w:val="00354960"/>
    <w:rsid w:val="00354DD9"/>
    <w:rsid w:val="003556DA"/>
    <w:rsid w:val="003559CA"/>
    <w:rsid w:val="00355FC7"/>
    <w:rsid w:val="003566A5"/>
    <w:rsid w:val="00356D66"/>
    <w:rsid w:val="00356FED"/>
    <w:rsid w:val="00357015"/>
    <w:rsid w:val="00357564"/>
    <w:rsid w:val="003576A3"/>
    <w:rsid w:val="00357814"/>
    <w:rsid w:val="003603C4"/>
    <w:rsid w:val="00360465"/>
    <w:rsid w:val="003619B3"/>
    <w:rsid w:val="00361AF2"/>
    <w:rsid w:val="00361B5F"/>
    <w:rsid w:val="003622E9"/>
    <w:rsid w:val="0036256A"/>
    <w:rsid w:val="00362666"/>
    <w:rsid w:val="003629E4"/>
    <w:rsid w:val="00362C61"/>
    <w:rsid w:val="00362E50"/>
    <w:rsid w:val="00363256"/>
    <w:rsid w:val="0036542B"/>
    <w:rsid w:val="00365C52"/>
    <w:rsid w:val="00365FC5"/>
    <w:rsid w:val="003660C4"/>
    <w:rsid w:val="00367238"/>
    <w:rsid w:val="00367F85"/>
    <w:rsid w:val="00370648"/>
    <w:rsid w:val="0037072F"/>
    <w:rsid w:val="0037235D"/>
    <w:rsid w:val="00372503"/>
    <w:rsid w:val="003730C2"/>
    <w:rsid w:val="003733B2"/>
    <w:rsid w:val="003734F7"/>
    <w:rsid w:val="00373B8D"/>
    <w:rsid w:val="00374586"/>
    <w:rsid w:val="00375019"/>
    <w:rsid w:val="003750FF"/>
    <w:rsid w:val="00375425"/>
    <w:rsid w:val="003754A7"/>
    <w:rsid w:val="00375DB4"/>
    <w:rsid w:val="00376CE0"/>
    <w:rsid w:val="003771AA"/>
    <w:rsid w:val="00377418"/>
    <w:rsid w:val="00377AE5"/>
    <w:rsid w:val="00380355"/>
    <w:rsid w:val="00380EB9"/>
    <w:rsid w:val="00382575"/>
    <w:rsid w:val="0038281A"/>
    <w:rsid w:val="00382B9B"/>
    <w:rsid w:val="00383542"/>
    <w:rsid w:val="00383860"/>
    <w:rsid w:val="00383900"/>
    <w:rsid w:val="00384797"/>
    <w:rsid w:val="00385282"/>
    <w:rsid w:val="003868E3"/>
    <w:rsid w:val="003869D4"/>
    <w:rsid w:val="003902C1"/>
    <w:rsid w:val="00390535"/>
    <w:rsid w:val="00391DF2"/>
    <w:rsid w:val="0039276F"/>
    <w:rsid w:val="003941E6"/>
    <w:rsid w:val="00394302"/>
    <w:rsid w:val="0039440B"/>
    <w:rsid w:val="00394797"/>
    <w:rsid w:val="00394CA8"/>
    <w:rsid w:val="0039500D"/>
    <w:rsid w:val="00396F68"/>
    <w:rsid w:val="003971C2"/>
    <w:rsid w:val="00397C1B"/>
    <w:rsid w:val="003A1385"/>
    <w:rsid w:val="003A1EEA"/>
    <w:rsid w:val="003A2219"/>
    <w:rsid w:val="003A36E1"/>
    <w:rsid w:val="003A37E8"/>
    <w:rsid w:val="003A56C1"/>
    <w:rsid w:val="003A5F97"/>
    <w:rsid w:val="003A6762"/>
    <w:rsid w:val="003A682F"/>
    <w:rsid w:val="003A6BAE"/>
    <w:rsid w:val="003A75E1"/>
    <w:rsid w:val="003A75E7"/>
    <w:rsid w:val="003A7AFC"/>
    <w:rsid w:val="003B0637"/>
    <w:rsid w:val="003B0D34"/>
    <w:rsid w:val="003B19E7"/>
    <w:rsid w:val="003B1AC2"/>
    <w:rsid w:val="003B2C16"/>
    <w:rsid w:val="003B2E02"/>
    <w:rsid w:val="003B2E8C"/>
    <w:rsid w:val="003B3FC3"/>
    <w:rsid w:val="003B44A2"/>
    <w:rsid w:val="003B4AC6"/>
    <w:rsid w:val="003B7D6A"/>
    <w:rsid w:val="003C0195"/>
    <w:rsid w:val="003C08E6"/>
    <w:rsid w:val="003C0ED8"/>
    <w:rsid w:val="003C10EC"/>
    <w:rsid w:val="003C1202"/>
    <w:rsid w:val="003C17E1"/>
    <w:rsid w:val="003C1BCC"/>
    <w:rsid w:val="003C2773"/>
    <w:rsid w:val="003C2FC0"/>
    <w:rsid w:val="003C305D"/>
    <w:rsid w:val="003C30EB"/>
    <w:rsid w:val="003C3458"/>
    <w:rsid w:val="003C3E81"/>
    <w:rsid w:val="003C50AF"/>
    <w:rsid w:val="003C525A"/>
    <w:rsid w:val="003C7421"/>
    <w:rsid w:val="003C7773"/>
    <w:rsid w:val="003C7AC9"/>
    <w:rsid w:val="003D0160"/>
    <w:rsid w:val="003D05D0"/>
    <w:rsid w:val="003D0C43"/>
    <w:rsid w:val="003D0F3C"/>
    <w:rsid w:val="003D104C"/>
    <w:rsid w:val="003D1191"/>
    <w:rsid w:val="003D1286"/>
    <w:rsid w:val="003D2471"/>
    <w:rsid w:val="003D2718"/>
    <w:rsid w:val="003D278F"/>
    <w:rsid w:val="003D4003"/>
    <w:rsid w:val="003D41B3"/>
    <w:rsid w:val="003D431B"/>
    <w:rsid w:val="003D4FE2"/>
    <w:rsid w:val="003D569D"/>
    <w:rsid w:val="003D56FF"/>
    <w:rsid w:val="003D5B90"/>
    <w:rsid w:val="003D711C"/>
    <w:rsid w:val="003D7EB2"/>
    <w:rsid w:val="003E018C"/>
    <w:rsid w:val="003E03F5"/>
    <w:rsid w:val="003E0BEC"/>
    <w:rsid w:val="003E1319"/>
    <w:rsid w:val="003E2171"/>
    <w:rsid w:val="003E27D3"/>
    <w:rsid w:val="003E2862"/>
    <w:rsid w:val="003E2935"/>
    <w:rsid w:val="003E2B42"/>
    <w:rsid w:val="003E2B62"/>
    <w:rsid w:val="003E2EA2"/>
    <w:rsid w:val="003E4C4F"/>
    <w:rsid w:val="003E4F0C"/>
    <w:rsid w:val="003E570D"/>
    <w:rsid w:val="003E587B"/>
    <w:rsid w:val="003E64B7"/>
    <w:rsid w:val="003E673A"/>
    <w:rsid w:val="003E6FA5"/>
    <w:rsid w:val="003E78DF"/>
    <w:rsid w:val="003F0DBB"/>
    <w:rsid w:val="003F13C7"/>
    <w:rsid w:val="003F1CBE"/>
    <w:rsid w:val="003F1E8C"/>
    <w:rsid w:val="003F250D"/>
    <w:rsid w:val="003F2AB4"/>
    <w:rsid w:val="003F2E24"/>
    <w:rsid w:val="003F3B12"/>
    <w:rsid w:val="003F3C0B"/>
    <w:rsid w:val="003F3CD5"/>
    <w:rsid w:val="003F3EDE"/>
    <w:rsid w:val="003F5557"/>
    <w:rsid w:val="003F5D9C"/>
    <w:rsid w:val="003F5ECF"/>
    <w:rsid w:val="003F6255"/>
    <w:rsid w:val="003F63BF"/>
    <w:rsid w:val="003F6BDB"/>
    <w:rsid w:val="003F6CA2"/>
    <w:rsid w:val="003F6DB5"/>
    <w:rsid w:val="003F6E14"/>
    <w:rsid w:val="003F79A0"/>
    <w:rsid w:val="003F7C14"/>
    <w:rsid w:val="004017DA"/>
    <w:rsid w:val="00401BFA"/>
    <w:rsid w:val="0040242C"/>
    <w:rsid w:val="00402CA4"/>
    <w:rsid w:val="004047BE"/>
    <w:rsid w:val="00404CD1"/>
    <w:rsid w:val="0040523B"/>
    <w:rsid w:val="004055C3"/>
    <w:rsid w:val="00405CD4"/>
    <w:rsid w:val="004062EB"/>
    <w:rsid w:val="00406C54"/>
    <w:rsid w:val="004078A7"/>
    <w:rsid w:val="00407C25"/>
    <w:rsid w:val="0041041C"/>
    <w:rsid w:val="00410F22"/>
    <w:rsid w:val="004115B8"/>
    <w:rsid w:val="00411906"/>
    <w:rsid w:val="00411F7A"/>
    <w:rsid w:val="004123C5"/>
    <w:rsid w:val="00412DF3"/>
    <w:rsid w:val="004130F1"/>
    <w:rsid w:val="00413DCF"/>
    <w:rsid w:val="00413F99"/>
    <w:rsid w:val="00415A29"/>
    <w:rsid w:val="00415EA9"/>
    <w:rsid w:val="00416F01"/>
    <w:rsid w:val="004203C2"/>
    <w:rsid w:val="0042046A"/>
    <w:rsid w:val="00420ABE"/>
    <w:rsid w:val="00420D62"/>
    <w:rsid w:val="0042103E"/>
    <w:rsid w:val="0042222B"/>
    <w:rsid w:val="00423365"/>
    <w:rsid w:val="0042350B"/>
    <w:rsid w:val="004235D4"/>
    <w:rsid w:val="00423C5D"/>
    <w:rsid w:val="00423CF9"/>
    <w:rsid w:val="00423FAF"/>
    <w:rsid w:val="00423FB5"/>
    <w:rsid w:val="004240EB"/>
    <w:rsid w:val="00424276"/>
    <w:rsid w:val="00425998"/>
    <w:rsid w:val="0042673C"/>
    <w:rsid w:val="00430E19"/>
    <w:rsid w:val="00430EED"/>
    <w:rsid w:val="004311E1"/>
    <w:rsid w:val="004323EB"/>
    <w:rsid w:val="00432543"/>
    <w:rsid w:val="0043258C"/>
    <w:rsid w:val="00433108"/>
    <w:rsid w:val="00435232"/>
    <w:rsid w:val="00435B6F"/>
    <w:rsid w:val="00437182"/>
    <w:rsid w:val="00437309"/>
    <w:rsid w:val="00437EB9"/>
    <w:rsid w:val="004402F8"/>
    <w:rsid w:val="004405CF"/>
    <w:rsid w:val="00440D73"/>
    <w:rsid w:val="00440F84"/>
    <w:rsid w:val="004416A2"/>
    <w:rsid w:val="004417AC"/>
    <w:rsid w:val="004427F7"/>
    <w:rsid w:val="00443970"/>
    <w:rsid w:val="0044475B"/>
    <w:rsid w:val="00444896"/>
    <w:rsid w:val="00444C56"/>
    <w:rsid w:val="00445060"/>
    <w:rsid w:val="00445750"/>
    <w:rsid w:val="00446C60"/>
    <w:rsid w:val="004471F9"/>
    <w:rsid w:val="0044752C"/>
    <w:rsid w:val="00450439"/>
    <w:rsid w:val="004505D6"/>
    <w:rsid w:val="00450D61"/>
    <w:rsid w:val="00450F32"/>
    <w:rsid w:val="00451D69"/>
    <w:rsid w:val="00451DA1"/>
    <w:rsid w:val="004521DB"/>
    <w:rsid w:val="00452351"/>
    <w:rsid w:val="00452C3F"/>
    <w:rsid w:val="00454315"/>
    <w:rsid w:val="004556A0"/>
    <w:rsid w:val="00455CCA"/>
    <w:rsid w:val="00455E73"/>
    <w:rsid w:val="00456CDF"/>
    <w:rsid w:val="00456D07"/>
    <w:rsid w:val="00457A20"/>
    <w:rsid w:val="00460112"/>
    <w:rsid w:val="00462046"/>
    <w:rsid w:val="00462468"/>
    <w:rsid w:val="00462690"/>
    <w:rsid w:val="004628A2"/>
    <w:rsid w:val="00462E6C"/>
    <w:rsid w:val="00463362"/>
    <w:rsid w:val="004633C8"/>
    <w:rsid w:val="00463433"/>
    <w:rsid w:val="00463455"/>
    <w:rsid w:val="0046417C"/>
    <w:rsid w:val="00464428"/>
    <w:rsid w:val="00465A8F"/>
    <w:rsid w:val="00465C1A"/>
    <w:rsid w:val="004665C7"/>
    <w:rsid w:val="00467222"/>
    <w:rsid w:val="00467C8E"/>
    <w:rsid w:val="00467F8A"/>
    <w:rsid w:val="00470CA2"/>
    <w:rsid w:val="004711FA"/>
    <w:rsid w:val="0047129B"/>
    <w:rsid w:val="0047221A"/>
    <w:rsid w:val="00472433"/>
    <w:rsid w:val="004739C3"/>
    <w:rsid w:val="00474D5C"/>
    <w:rsid w:val="00475AF7"/>
    <w:rsid w:val="00475D24"/>
    <w:rsid w:val="00476102"/>
    <w:rsid w:val="00476E53"/>
    <w:rsid w:val="00477122"/>
    <w:rsid w:val="0047723D"/>
    <w:rsid w:val="004772C7"/>
    <w:rsid w:val="0047769B"/>
    <w:rsid w:val="00477A00"/>
    <w:rsid w:val="00480712"/>
    <w:rsid w:val="004822FF"/>
    <w:rsid w:val="00483E94"/>
    <w:rsid w:val="00483F68"/>
    <w:rsid w:val="00485CB0"/>
    <w:rsid w:val="0048651B"/>
    <w:rsid w:val="00486781"/>
    <w:rsid w:val="00490F01"/>
    <w:rsid w:val="0049176B"/>
    <w:rsid w:val="0049263E"/>
    <w:rsid w:val="00493815"/>
    <w:rsid w:val="00494266"/>
    <w:rsid w:val="00494583"/>
    <w:rsid w:val="00494629"/>
    <w:rsid w:val="004949F6"/>
    <w:rsid w:val="004952FE"/>
    <w:rsid w:val="0049652A"/>
    <w:rsid w:val="004978F3"/>
    <w:rsid w:val="00497E89"/>
    <w:rsid w:val="004A0287"/>
    <w:rsid w:val="004A09E3"/>
    <w:rsid w:val="004A0C2D"/>
    <w:rsid w:val="004A0DFF"/>
    <w:rsid w:val="004A15A9"/>
    <w:rsid w:val="004A2004"/>
    <w:rsid w:val="004A23B4"/>
    <w:rsid w:val="004A27C2"/>
    <w:rsid w:val="004A28DA"/>
    <w:rsid w:val="004A2E9A"/>
    <w:rsid w:val="004A2FA3"/>
    <w:rsid w:val="004A51F6"/>
    <w:rsid w:val="004A5318"/>
    <w:rsid w:val="004A5E68"/>
    <w:rsid w:val="004A6B06"/>
    <w:rsid w:val="004A71F4"/>
    <w:rsid w:val="004B08D4"/>
    <w:rsid w:val="004B0DEF"/>
    <w:rsid w:val="004B41D6"/>
    <w:rsid w:val="004B45DD"/>
    <w:rsid w:val="004B45F3"/>
    <w:rsid w:val="004B4B3D"/>
    <w:rsid w:val="004B5163"/>
    <w:rsid w:val="004B5505"/>
    <w:rsid w:val="004B554D"/>
    <w:rsid w:val="004B5B19"/>
    <w:rsid w:val="004B6134"/>
    <w:rsid w:val="004B6498"/>
    <w:rsid w:val="004B71AC"/>
    <w:rsid w:val="004B78E6"/>
    <w:rsid w:val="004B7DC5"/>
    <w:rsid w:val="004B7DD3"/>
    <w:rsid w:val="004B7F6D"/>
    <w:rsid w:val="004C023F"/>
    <w:rsid w:val="004C0E79"/>
    <w:rsid w:val="004C1831"/>
    <w:rsid w:val="004C1BAC"/>
    <w:rsid w:val="004C3F79"/>
    <w:rsid w:val="004C4FD6"/>
    <w:rsid w:val="004C5127"/>
    <w:rsid w:val="004C51DD"/>
    <w:rsid w:val="004C5A92"/>
    <w:rsid w:val="004C61E6"/>
    <w:rsid w:val="004C6F51"/>
    <w:rsid w:val="004D0808"/>
    <w:rsid w:val="004D115B"/>
    <w:rsid w:val="004D1A9A"/>
    <w:rsid w:val="004D3D92"/>
    <w:rsid w:val="004D3E30"/>
    <w:rsid w:val="004D4450"/>
    <w:rsid w:val="004D4C00"/>
    <w:rsid w:val="004D5BB7"/>
    <w:rsid w:val="004D6054"/>
    <w:rsid w:val="004D6C24"/>
    <w:rsid w:val="004D6DBB"/>
    <w:rsid w:val="004D7736"/>
    <w:rsid w:val="004E030A"/>
    <w:rsid w:val="004E0392"/>
    <w:rsid w:val="004E06A5"/>
    <w:rsid w:val="004E0E2B"/>
    <w:rsid w:val="004E152D"/>
    <w:rsid w:val="004E2279"/>
    <w:rsid w:val="004E23FA"/>
    <w:rsid w:val="004E2A9D"/>
    <w:rsid w:val="004E2D42"/>
    <w:rsid w:val="004E310D"/>
    <w:rsid w:val="004E3196"/>
    <w:rsid w:val="004E34D3"/>
    <w:rsid w:val="004E384F"/>
    <w:rsid w:val="004E38FB"/>
    <w:rsid w:val="004E3D2A"/>
    <w:rsid w:val="004E4040"/>
    <w:rsid w:val="004E4503"/>
    <w:rsid w:val="004E485E"/>
    <w:rsid w:val="004E57A8"/>
    <w:rsid w:val="004E60F0"/>
    <w:rsid w:val="004E72B3"/>
    <w:rsid w:val="004E7411"/>
    <w:rsid w:val="004F075D"/>
    <w:rsid w:val="004F123E"/>
    <w:rsid w:val="004F139D"/>
    <w:rsid w:val="004F14A6"/>
    <w:rsid w:val="004F2C7E"/>
    <w:rsid w:val="004F3D72"/>
    <w:rsid w:val="004F4640"/>
    <w:rsid w:val="004F4E24"/>
    <w:rsid w:val="004F54D1"/>
    <w:rsid w:val="004F5818"/>
    <w:rsid w:val="004F77A4"/>
    <w:rsid w:val="004F7C7A"/>
    <w:rsid w:val="005014B1"/>
    <w:rsid w:val="00502115"/>
    <w:rsid w:val="00502FC8"/>
    <w:rsid w:val="005036FB"/>
    <w:rsid w:val="00503DA2"/>
    <w:rsid w:val="005041CE"/>
    <w:rsid w:val="00507032"/>
    <w:rsid w:val="0050740B"/>
    <w:rsid w:val="005078D8"/>
    <w:rsid w:val="00510DD4"/>
    <w:rsid w:val="00510E5A"/>
    <w:rsid w:val="005115CE"/>
    <w:rsid w:val="005128C9"/>
    <w:rsid w:val="00512C27"/>
    <w:rsid w:val="00512CE2"/>
    <w:rsid w:val="00512EB7"/>
    <w:rsid w:val="00513142"/>
    <w:rsid w:val="00513155"/>
    <w:rsid w:val="00513443"/>
    <w:rsid w:val="00513A1A"/>
    <w:rsid w:val="00513F90"/>
    <w:rsid w:val="00514026"/>
    <w:rsid w:val="00514CAE"/>
    <w:rsid w:val="00515845"/>
    <w:rsid w:val="00515D42"/>
    <w:rsid w:val="00515E29"/>
    <w:rsid w:val="005169BB"/>
    <w:rsid w:val="0052012D"/>
    <w:rsid w:val="005203AA"/>
    <w:rsid w:val="00520AAB"/>
    <w:rsid w:val="00520D0A"/>
    <w:rsid w:val="00524592"/>
    <w:rsid w:val="00524C5A"/>
    <w:rsid w:val="00525146"/>
    <w:rsid w:val="0052528C"/>
    <w:rsid w:val="005258A4"/>
    <w:rsid w:val="00527989"/>
    <w:rsid w:val="00527EB3"/>
    <w:rsid w:val="005301D1"/>
    <w:rsid w:val="00530F9B"/>
    <w:rsid w:val="00530FF4"/>
    <w:rsid w:val="005319DD"/>
    <w:rsid w:val="005323A7"/>
    <w:rsid w:val="00533417"/>
    <w:rsid w:val="00533DC1"/>
    <w:rsid w:val="0053461B"/>
    <w:rsid w:val="005349EA"/>
    <w:rsid w:val="005355FC"/>
    <w:rsid w:val="0053589A"/>
    <w:rsid w:val="0053617F"/>
    <w:rsid w:val="00537354"/>
    <w:rsid w:val="00537749"/>
    <w:rsid w:val="00537D7F"/>
    <w:rsid w:val="00541047"/>
    <w:rsid w:val="00542451"/>
    <w:rsid w:val="00542973"/>
    <w:rsid w:val="00542B23"/>
    <w:rsid w:val="00542F03"/>
    <w:rsid w:val="0054379C"/>
    <w:rsid w:val="00543FD5"/>
    <w:rsid w:val="00544080"/>
    <w:rsid w:val="00544113"/>
    <w:rsid w:val="00544CD5"/>
    <w:rsid w:val="00544F7A"/>
    <w:rsid w:val="005457F8"/>
    <w:rsid w:val="00545F30"/>
    <w:rsid w:val="005466EC"/>
    <w:rsid w:val="0054697F"/>
    <w:rsid w:val="0054705D"/>
    <w:rsid w:val="005472ED"/>
    <w:rsid w:val="005477DC"/>
    <w:rsid w:val="0054788F"/>
    <w:rsid w:val="00547900"/>
    <w:rsid w:val="00550C6F"/>
    <w:rsid w:val="00551C18"/>
    <w:rsid w:val="00551C5C"/>
    <w:rsid w:val="0055249D"/>
    <w:rsid w:val="005528C6"/>
    <w:rsid w:val="005528F2"/>
    <w:rsid w:val="00552D93"/>
    <w:rsid w:val="00553723"/>
    <w:rsid w:val="00554DAD"/>
    <w:rsid w:val="0055535D"/>
    <w:rsid w:val="00555F0A"/>
    <w:rsid w:val="005579CB"/>
    <w:rsid w:val="00557D43"/>
    <w:rsid w:val="0056027D"/>
    <w:rsid w:val="00561210"/>
    <w:rsid w:val="00561494"/>
    <w:rsid w:val="00561B52"/>
    <w:rsid w:val="00562EB5"/>
    <w:rsid w:val="00562FB4"/>
    <w:rsid w:val="00564130"/>
    <w:rsid w:val="00564E87"/>
    <w:rsid w:val="005650DE"/>
    <w:rsid w:val="00565AC8"/>
    <w:rsid w:val="00566333"/>
    <w:rsid w:val="00566AEC"/>
    <w:rsid w:val="00566C89"/>
    <w:rsid w:val="005701E2"/>
    <w:rsid w:val="00570869"/>
    <w:rsid w:val="00570BD0"/>
    <w:rsid w:val="00570E2D"/>
    <w:rsid w:val="005716C5"/>
    <w:rsid w:val="00571741"/>
    <w:rsid w:val="00571A47"/>
    <w:rsid w:val="00572027"/>
    <w:rsid w:val="00572A0A"/>
    <w:rsid w:val="0057304B"/>
    <w:rsid w:val="00573566"/>
    <w:rsid w:val="00573594"/>
    <w:rsid w:val="0057377B"/>
    <w:rsid w:val="00573DA2"/>
    <w:rsid w:val="00573EE5"/>
    <w:rsid w:val="00574670"/>
    <w:rsid w:val="00574A32"/>
    <w:rsid w:val="00575BE3"/>
    <w:rsid w:val="0057668E"/>
    <w:rsid w:val="00577D4D"/>
    <w:rsid w:val="00580396"/>
    <w:rsid w:val="00580F51"/>
    <w:rsid w:val="0058149B"/>
    <w:rsid w:val="00581713"/>
    <w:rsid w:val="005821B4"/>
    <w:rsid w:val="00582760"/>
    <w:rsid w:val="005829CA"/>
    <w:rsid w:val="00583262"/>
    <w:rsid w:val="00583349"/>
    <w:rsid w:val="00583FC7"/>
    <w:rsid w:val="00585D4D"/>
    <w:rsid w:val="00585E9D"/>
    <w:rsid w:val="00586222"/>
    <w:rsid w:val="00587385"/>
    <w:rsid w:val="00587617"/>
    <w:rsid w:val="005879F3"/>
    <w:rsid w:val="00590202"/>
    <w:rsid w:val="005918FE"/>
    <w:rsid w:val="005920C5"/>
    <w:rsid w:val="005922A9"/>
    <w:rsid w:val="00593FAB"/>
    <w:rsid w:val="005942BB"/>
    <w:rsid w:val="00594A91"/>
    <w:rsid w:val="00594AD5"/>
    <w:rsid w:val="00594CB5"/>
    <w:rsid w:val="0059637A"/>
    <w:rsid w:val="0059660B"/>
    <w:rsid w:val="00597906"/>
    <w:rsid w:val="00597B7A"/>
    <w:rsid w:val="00597CC6"/>
    <w:rsid w:val="00597FA0"/>
    <w:rsid w:val="005A01A6"/>
    <w:rsid w:val="005A05F0"/>
    <w:rsid w:val="005A085E"/>
    <w:rsid w:val="005A11C0"/>
    <w:rsid w:val="005A1A51"/>
    <w:rsid w:val="005A3F0A"/>
    <w:rsid w:val="005A400D"/>
    <w:rsid w:val="005A40B9"/>
    <w:rsid w:val="005A46E9"/>
    <w:rsid w:val="005A52E3"/>
    <w:rsid w:val="005A5729"/>
    <w:rsid w:val="005A59D5"/>
    <w:rsid w:val="005A6776"/>
    <w:rsid w:val="005A6C5C"/>
    <w:rsid w:val="005A72EA"/>
    <w:rsid w:val="005A791F"/>
    <w:rsid w:val="005B0FE5"/>
    <w:rsid w:val="005B186B"/>
    <w:rsid w:val="005B19BC"/>
    <w:rsid w:val="005B1E27"/>
    <w:rsid w:val="005B3518"/>
    <w:rsid w:val="005B39CE"/>
    <w:rsid w:val="005B3A8B"/>
    <w:rsid w:val="005B410E"/>
    <w:rsid w:val="005B4B82"/>
    <w:rsid w:val="005B5B09"/>
    <w:rsid w:val="005B5F70"/>
    <w:rsid w:val="005B69BF"/>
    <w:rsid w:val="005B6AC3"/>
    <w:rsid w:val="005B6E7A"/>
    <w:rsid w:val="005B70DC"/>
    <w:rsid w:val="005C26A9"/>
    <w:rsid w:val="005C2CFC"/>
    <w:rsid w:val="005C37DE"/>
    <w:rsid w:val="005C422A"/>
    <w:rsid w:val="005C4B9C"/>
    <w:rsid w:val="005C56B3"/>
    <w:rsid w:val="005C5DF2"/>
    <w:rsid w:val="005C60F8"/>
    <w:rsid w:val="005C6171"/>
    <w:rsid w:val="005C7C6A"/>
    <w:rsid w:val="005C7F9B"/>
    <w:rsid w:val="005D02F6"/>
    <w:rsid w:val="005D0474"/>
    <w:rsid w:val="005D1033"/>
    <w:rsid w:val="005D1623"/>
    <w:rsid w:val="005D1A6A"/>
    <w:rsid w:val="005D1AFF"/>
    <w:rsid w:val="005D2049"/>
    <w:rsid w:val="005D25F6"/>
    <w:rsid w:val="005D2B8E"/>
    <w:rsid w:val="005D2EAE"/>
    <w:rsid w:val="005D2F30"/>
    <w:rsid w:val="005D473A"/>
    <w:rsid w:val="005D4AE3"/>
    <w:rsid w:val="005D4B67"/>
    <w:rsid w:val="005D4E40"/>
    <w:rsid w:val="005D51B4"/>
    <w:rsid w:val="005D702E"/>
    <w:rsid w:val="005D79FA"/>
    <w:rsid w:val="005D7B18"/>
    <w:rsid w:val="005D7EAA"/>
    <w:rsid w:val="005E0B85"/>
    <w:rsid w:val="005E1830"/>
    <w:rsid w:val="005E21CE"/>
    <w:rsid w:val="005E282E"/>
    <w:rsid w:val="005E2FD5"/>
    <w:rsid w:val="005E3026"/>
    <w:rsid w:val="005E30DB"/>
    <w:rsid w:val="005E33CE"/>
    <w:rsid w:val="005E348F"/>
    <w:rsid w:val="005E36B4"/>
    <w:rsid w:val="005E42A6"/>
    <w:rsid w:val="005E52CD"/>
    <w:rsid w:val="005E6253"/>
    <w:rsid w:val="005E65F8"/>
    <w:rsid w:val="005E74A8"/>
    <w:rsid w:val="005E79E7"/>
    <w:rsid w:val="005E7AD5"/>
    <w:rsid w:val="005E7B10"/>
    <w:rsid w:val="005F0012"/>
    <w:rsid w:val="005F1840"/>
    <w:rsid w:val="005F1CB0"/>
    <w:rsid w:val="005F22AE"/>
    <w:rsid w:val="005F22CB"/>
    <w:rsid w:val="005F456B"/>
    <w:rsid w:val="005F4B69"/>
    <w:rsid w:val="005F6060"/>
    <w:rsid w:val="005F6355"/>
    <w:rsid w:val="005F770D"/>
    <w:rsid w:val="005F7C21"/>
    <w:rsid w:val="005F7F20"/>
    <w:rsid w:val="00600FEE"/>
    <w:rsid w:val="00601798"/>
    <w:rsid w:val="006028C3"/>
    <w:rsid w:val="006050B6"/>
    <w:rsid w:val="006063D5"/>
    <w:rsid w:val="006066D8"/>
    <w:rsid w:val="00606815"/>
    <w:rsid w:val="00607D36"/>
    <w:rsid w:val="00610146"/>
    <w:rsid w:val="0061097B"/>
    <w:rsid w:val="00612266"/>
    <w:rsid w:val="006122A1"/>
    <w:rsid w:val="00612F7F"/>
    <w:rsid w:val="00613175"/>
    <w:rsid w:val="006139B1"/>
    <w:rsid w:val="00614344"/>
    <w:rsid w:val="00614E57"/>
    <w:rsid w:val="00615247"/>
    <w:rsid w:val="0061531D"/>
    <w:rsid w:val="00615357"/>
    <w:rsid w:val="00616058"/>
    <w:rsid w:val="006169D9"/>
    <w:rsid w:val="00616C5D"/>
    <w:rsid w:val="006171EB"/>
    <w:rsid w:val="0061757D"/>
    <w:rsid w:val="0061798A"/>
    <w:rsid w:val="00617D02"/>
    <w:rsid w:val="0062023B"/>
    <w:rsid w:val="00620438"/>
    <w:rsid w:val="00620B79"/>
    <w:rsid w:val="00620CF1"/>
    <w:rsid w:val="006214AD"/>
    <w:rsid w:val="00621F5A"/>
    <w:rsid w:val="006220F7"/>
    <w:rsid w:val="00622934"/>
    <w:rsid w:val="006234C8"/>
    <w:rsid w:val="00623C11"/>
    <w:rsid w:val="00623C99"/>
    <w:rsid w:val="006244D1"/>
    <w:rsid w:val="00624857"/>
    <w:rsid w:val="006248C1"/>
    <w:rsid w:val="00626130"/>
    <w:rsid w:val="00627570"/>
    <w:rsid w:val="00630004"/>
    <w:rsid w:val="00630138"/>
    <w:rsid w:val="00630458"/>
    <w:rsid w:val="00631021"/>
    <w:rsid w:val="0063173D"/>
    <w:rsid w:val="0063195B"/>
    <w:rsid w:val="00631B41"/>
    <w:rsid w:val="006321A4"/>
    <w:rsid w:val="006321C2"/>
    <w:rsid w:val="006323FC"/>
    <w:rsid w:val="0063245D"/>
    <w:rsid w:val="006345BA"/>
    <w:rsid w:val="0063474B"/>
    <w:rsid w:val="006347CE"/>
    <w:rsid w:val="00634F91"/>
    <w:rsid w:val="006351B4"/>
    <w:rsid w:val="0063618E"/>
    <w:rsid w:val="0063626E"/>
    <w:rsid w:val="00636309"/>
    <w:rsid w:val="0063682D"/>
    <w:rsid w:val="0063697F"/>
    <w:rsid w:val="00636A25"/>
    <w:rsid w:val="00636FBB"/>
    <w:rsid w:val="006371C1"/>
    <w:rsid w:val="006376DF"/>
    <w:rsid w:val="0064079E"/>
    <w:rsid w:val="00640B90"/>
    <w:rsid w:val="00640FA1"/>
    <w:rsid w:val="0064292C"/>
    <w:rsid w:val="006429F1"/>
    <w:rsid w:val="00644719"/>
    <w:rsid w:val="006448D1"/>
    <w:rsid w:val="00644FE6"/>
    <w:rsid w:val="00645270"/>
    <w:rsid w:val="006470ED"/>
    <w:rsid w:val="00647517"/>
    <w:rsid w:val="00650C7D"/>
    <w:rsid w:val="00652DED"/>
    <w:rsid w:val="00652E3E"/>
    <w:rsid w:val="006533BF"/>
    <w:rsid w:val="006537A5"/>
    <w:rsid w:val="00653A80"/>
    <w:rsid w:val="00654B45"/>
    <w:rsid w:val="00654BBB"/>
    <w:rsid w:val="00655325"/>
    <w:rsid w:val="00655429"/>
    <w:rsid w:val="006564B1"/>
    <w:rsid w:val="00656B30"/>
    <w:rsid w:val="00656CCF"/>
    <w:rsid w:val="00656F1C"/>
    <w:rsid w:val="0065711E"/>
    <w:rsid w:val="00657914"/>
    <w:rsid w:val="00657FBC"/>
    <w:rsid w:val="0066014F"/>
    <w:rsid w:val="00660820"/>
    <w:rsid w:val="006609CE"/>
    <w:rsid w:val="00660E4B"/>
    <w:rsid w:val="00661A66"/>
    <w:rsid w:val="0066213E"/>
    <w:rsid w:val="00662357"/>
    <w:rsid w:val="006623BC"/>
    <w:rsid w:val="00662E58"/>
    <w:rsid w:val="0066333A"/>
    <w:rsid w:val="006634DC"/>
    <w:rsid w:val="006642EC"/>
    <w:rsid w:val="00664980"/>
    <w:rsid w:val="006655CD"/>
    <w:rsid w:val="00665A1E"/>
    <w:rsid w:val="006666CF"/>
    <w:rsid w:val="00667393"/>
    <w:rsid w:val="00667FB6"/>
    <w:rsid w:val="0067045D"/>
    <w:rsid w:val="0067060B"/>
    <w:rsid w:val="00670654"/>
    <w:rsid w:val="00673504"/>
    <w:rsid w:val="00674651"/>
    <w:rsid w:val="0067581B"/>
    <w:rsid w:val="00675B1B"/>
    <w:rsid w:val="00675BC2"/>
    <w:rsid w:val="006763A9"/>
    <w:rsid w:val="006767B5"/>
    <w:rsid w:val="006772E3"/>
    <w:rsid w:val="00677F77"/>
    <w:rsid w:val="00680B12"/>
    <w:rsid w:val="00680F2C"/>
    <w:rsid w:val="00680F50"/>
    <w:rsid w:val="00680F65"/>
    <w:rsid w:val="00681681"/>
    <w:rsid w:val="006824C9"/>
    <w:rsid w:val="0068367D"/>
    <w:rsid w:val="00683E2F"/>
    <w:rsid w:val="0068419F"/>
    <w:rsid w:val="00684770"/>
    <w:rsid w:val="00684A43"/>
    <w:rsid w:val="0068726F"/>
    <w:rsid w:val="006878BD"/>
    <w:rsid w:val="00687CD2"/>
    <w:rsid w:val="00691A00"/>
    <w:rsid w:val="00691E95"/>
    <w:rsid w:val="00692693"/>
    <w:rsid w:val="00692BA0"/>
    <w:rsid w:val="006932FA"/>
    <w:rsid w:val="006937AF"/>
    <w:rsid w:val="00693F12"/>
    <w:rsid w:val="006945C1"/>
    <w:rsid w:val="00694D4D"/>
    <w:rsid w:val="006962C1"/>
    <w:rsid w:val="0069766F"/>
    <w:rsid w:val="00697863"/>
    <w:rsid w:val="006979DF"/>
    <w:rsid w:val="00697D77"/>
    <w:rsid w:val="006A0106"/>
    <w:rsid w:val="006A0655"/>
    <w:rsid w:val="006A09C4"/>
    <w:rsid w:val="006A113C"/>
    <w:rsid w:val="006A1F8C"/>
    <w:rsid w:val="006A20AE"/>
    <w:rsid w:val="006A4296"/>
    <w:rsid w:val="006A46C9"/>
    <w:rsid w:val="006A4A7A"/>
    <w:rsid w:val="006A4D82"/>
    <w:rsid w:val="006A4D9A"/>
    <w:rsid w:val="006A57A9"/>
    <w:rsid w:val="006A585A"/>
    <w:rsid w:val="006A5877"/>
    <w:rsid w:val="006A59FF"/>
    <w:rsid w:val="006A5A94"/>
    <w:rsid w:val="006A5CEB"/>
    <w:rsid w:val="006A61D6"/>
    <w:rsid w:val="006A6274"/>
    <w:rsid w:val="006A66D5"/>
    <w:rsid w:val="006A6FB5"/>
    <w:rsid w:val="006A730F"/>
    <w:rsid w:val="006B044B"/>
    <w:rsid w:val="006B04AD"/>
    <w:rsid w:val="006B1675"/>
    <w:rsid w:val="006B170E"/>
    <w:rsid w:val="006B226E"/>
    <w:rsid w:val="006B2E86"/>
    <w:rsid w:val="006B3542"/>
    <w:rsid w:val="006B3D39"/>
    <w:rsid w:val="006B4653"/>
    <w:rsid w:val="006B4AE1"/>
    <w:rsid w:val="006B4F77"/>
    <w:rsid w:val="006B53B0"/>
    <w:rsid w:val="006B6448"/>
    <w:rsid w:val="006B6A12"/>
    <w:rsid w:val="006B7155"/>
    <w:rsid w:val="006B75E1"/>
    <w:rsid w:val="006B7C66"/>
    <w:rsid w:val="006C0099"/>
    <w:rsid w:val="006C0EB0"/>
    <w:rsid w:val="006C127B"/>
    <w:rsid w:val="006C224A"/>
    <w:rsid w:val="006C2572"/>
    <w:rsid w:val="006C2E49"/>
    <w:rsid w:val="006C3530"/>
    <w:rsid w:val="006C3740"/>
    <w:rsid w:val="006C3D57"/>
    <w:rsid w:val="006C4414"/>
    <w:rsid w:val="006C4D90"/>
    <w:rsid w:val="006C50CA"/>
    <w:rsid w:val="006C5715"/>
    <w:rsid w:val="006C57CF"/>
    <w:rsid w:val="006C6D60"/>
    <w:rsid w:val="006C7569"/>
    <w:rsid w:val="006C79E7"/>
    <w:rsid w:val="006D0DE2"/>
    <w:rsid w:val="006D2449"/>
    <w:rsid w:val="006D29A2"/>
    <w:rsid w:val="006D2C89"/>
    <w:rsid w:val="006D2F87"/>
    <w:rsid w:val="006D4065"/>
    <w:rsid w:val="006D4274"/>
    <w:rsid w:val="006D4900"/>
    <w:rsid w:val="006D4CB1"/>
    <w:rsid w:val="006D5C7F"/>
    <w:rsid w:val="006D5DB9"/>
    <w:rsid w:val="006D70A9"/>
    <w:rsid w:val="006D73D7"/>
    <w:rsid w:val="006D7424"/>
    <w:rsid w:val="006D79C5"/>
    <w:rsid w:val="006E04C6"/>
    <w:rsid w:val="006E05F5"/>
    <w:rsid w:val="006E0815"/>
    <w:rsid w:val="006E1052"/>
    <w:rsid w:val="006E2081"/>
    <w:rsid w:val="006E24E9"/>
    <w:rsid w:val="006E2A6F"/>
    <w:rsid w:val="006E2D2E"/>
    <w:rsid w:val="006E30C2"/>
    <w:rsid w:val="006E3259"/>
    <w:rsid w:val="006E39BB"/>
    <w:rsid w:val="006E3DA2"/>
    <w:rsid w:val="006E429D"/>
    <w:rsid w:val="006E4C85"/>
    <w:rsid w:val="006E51E0"/>
    <w:rsid w:val="006E588C"/>
    <w:rsid w:val="006E5FC2"/>
    <w:rsid w:val="006E6E60"/>
    <w:rsid w:val="006E7D01"/>
    <w:rsid w:val="006E7E07"/>
    <w:rsid w:val="006F0CC8"/>
    <w:rsid w:val="006F1E22"/>
    <w:rsid w:val="006F20AB"/>
    <w:rsid w:val="006F21DB"/>
    <w:rsid w:val="006F293A"/>
    <w:rsid w:val="006F3027"/>
    <w:rsid w:val="006F303C"/>
    <w:rsid w:val="006F3138"/>
    <w:rsid w:val="006F35A0"/>
    <w:rsid w:val="006F36A4"/>
    <w:rsid w:val="006F4DF3"/>
    <w:rsid w:val="006F573A"/>
    <w:rsid w:val="006F5C80"/>
    <w:rsid w:val="006F613D"/>
    <w:rsid w:val="006F693D"/>
    <w:rsid w:val="006F6C7C"/>
    <w:rsid w:val="006F7176"/>
    <w:rsid w:val="006F7740"/>
    <w:rsid w:val="0070190B"/>
    <w:rsid w:val="007019D7"/>
    <w:rsid w:val="0070220B"/>
    <w:rsid w:val="00702854"/>
    <w:rsid w:val="0070290A"/>
    <w:rsid w:val="00703E3A"/>
    <w:rsid w:val="007050C7"/>
    <w:rsid w:val="00705202"/>
    <w:rsid w:val="007068FF"/>
    <w:rsid w:val="00706ADF"/>
    <w:rsid w:val="00706AF7"/>
    <w:rsid w:val="007070AF"/>
    <w:rsid w:val="0070733C"/>
    <w:rsid w:val="007104B3"/>
    <w:rsid w:val="00710EFA"/>
    <w:rsid w:val="00711131"/>
    <w:rsid w:val="0071169B"/>
    <w:rsid w:val="00711B0E"/>
    <w:rsid w:val="00711E43"/>
    <w:rsid w:val="0071302A"/>
    <w:rsid w:val="00713718"/>
    <w:rsid w:val="00713A41"/>
    <w:rsid w:val="00713AAD"/>
    <w:rsid w:val="0071547E"/>
    <w:rsid w:val="00715EA3"/>
    <w:rsid w:val="007168C1"/>
    <w:rsid w:val="00716A07"/>
    <w:rsid w:val="00720133"/>
    <w:rsid w:val="007204E9"/>
    <w:rsid w:val="00720C1D"/>
    <w:rsid w:val="00720D61"/>
    <w:rsid w:val="00720F08"/>
    <w:rsid w:val="00721FB5"/>
    <w:rsid w:val="007238BE"/>
    <w:rsid w:val="00723B38"/>
    <w:rsid w:val="00726BC4"/>
    <w:rsid w:val="00727566"/>
    <w:rsid w:val="00727946"/>
    <w:rsid w:val="007279AA"/>
    <w:rsid w:val="00730938"/>
    <w:rsid w:val="00731204"/>
    <w:rsid w:val="00731C59"/>
    <w:rsid w:val="00732965"/>
    <w:rsid w:val="00732C49"/>
    <w:rsid w:val="007333C2"/>
    <w:rsid w:val="00733665"/>
    <w:rsid w:val="00733B1D"/>
    <w:rsid w:val="00734598"/>
    <w:rsid w:val="007346A7"/>
    <w:rsid w:val="007346DA"/>
    <w:rsid w:val="0073497D"/>
    <w:rsid w:val="00734BF8"/>
    <w:rsid w:val="00734ECE"/>
    <w:rsid w:val="00735723"/>
    <w:rsid w:val="0073597D"/>
    <w:rsid w:val="00735E8F"/>
    <w:rsid w:val="00737434"/>
    <w:rsid w:val="007400DB"/>
    <w:rsid w:val="00740E43"/>
    <w:rsid w:val="00741699"/>
    <w:rsid w:val="007420CA"/>
    <w:rsid w:val="00742DF6"/>
    <w:rsid w:val="00744535"/>
    <w:rsid w:val="007449B8"/>
    <w:rsid w:val="007450A4"/>
    <w:rsid w:val="00745554"/>
    <w:rsid w:val="00746CB1"/>
    <w:rsid w:val="00747B96"/>
    <w:rsid w:val="007510AA"/>
    <w:rsid w:val="0075126F"/>
    <w:rsid w:val="00751C5A"/>
    <w:rsid w:val="00752059"/>
    <w:rsid w:val="0075484F"/>
    <w:rsid w:val="00754EAF"/>
    <w:rsid w:val="007565D0"/>
    <w:rsid w:val="00756FE7"/>
    <w:rsid w:val="0075759E"/>
    <w:rsid w:val="00757BE6"/>
    <w:rsid w:val="00757FBE"/>
    <w:rsid w:val="00760D9B"/>
    <w:rsid w:val="00761ADD"/>
    <w:rsid w:val="00761C3A"/>
    <w:rsid w:val="00762452"/>
    <w:rsid w:val="0076311F"/>
    <w:rsid w:val="00764ED0"/>
    <w:rsid w:val="00765159"/>
    <w:rsid w:val="007654EF"/>
    <w:rsid w:val="00765744"/>
    <w:rsid w:val="007657EC"/>
    <w:rsid w:val="00765FFD"/>
    <w:rsid w:val="00766DF3"/>
    <w:rsid w:val="0076705C"/>
    <w:rsid w:val="00767179"/>
    <w:rsid w:val="0077035A"/>
    <w:rsid w:val="007711E9"/>
    <w:rsid w:val="00771551"/>
    <w:rsid w:val="00771F6B"/>
    <w:rsid w:val="007721C5"/>
    <w:rsid w:val="0077295C"/>
    <w:rsid w:val="00772D96"/>
    <w:rsid w:val="007736CD"/>
    <w:rsid w:val="00774635"/>
    <w:rsid w:val="00774790"/>
    <w:rsid w:val="00775399"/>
    <w:rsid w:val="00776B34"/>
    <w:rsid w:val="00776EC7"/>
    <w:rsid w:val="007811BA"/>
    <w:rsid w:val="00781631"/>
    <w:rsid w:val="00781859"/>
    <w:rsid w:val="007819F8"/>
    <w:rsid w:val="00781F65"/>
    <w:rsid w:val="00781FB2"/>
    <w:rsid w:val="007826FB"/>
    <w:rsid w:val="0078288C"/>
    <w:rsid w:val="007829DC"/>
    <w:rsid w:val="00783151"/>
    <w:rsid w:val="00784063"/>
    <w:rsid w:val="00784691"/>
    <w:rsid w:val="00784CE6"/>
    <w:rsid w:val="007850E7"/>
    <w:rsid w:val="0078524B"/>
    <w:rsid w:val="007852F6"/>
    <w:rsid w:val="00785790"/>
    <w:rsid w:val="007858E0"/>
    <w:rsid w:val="0078594C"/>
    <w:rsid w:val="00785E20"/>
    <w:rsid w:val="00786E60"/>
    <w:rsid w:val="0078723D"/>
    <w:rsid w:val="00787E22"/>
    <w:rsid w:val="0079044B"/>
    <w:rsid w:val="0079056B"/>
    <w:rsid w:val="0079098A"/>
    <w:rsid w:val="007918C9"/>
    <w:rsid w:val="00791BDD"/>
    <w:rsid w:val="00792C49"/>
    <w:rsid w:val="00794680"/>
    <w:rsid w:val="00794DFE"/>
    <w:rsid w:val="007958A4"/>
    <w:rsid w:val="00795C4E"/>
    <w:rsid w:val="00796047"/>
    <w:rsid w:val="00797026"/>
    <w:rsid w:val="007A0BB6"/>
    <w:rsid w:val="007A0F21"/>
    <w:rsid w:val="007A1355"/>
    <w:rsid w:val="007A1CA8"/>
    <w:rsid w:val="007A308C"/>
    <w:rsid w:val="007A4BE6"/>
    <w:rsid w:val="007A5133"/>
    <w:rsid w:val="007A671C"/>
    <w:rsid w:val="007A6861"/>
    <w:rsid w:val="007A738C"/>
    <w:rsid w:val="007A7560"/>
    <w:rsid w:val="007A758A"/>
    <w:rsid w:val="007A7D51"/>
    <w:rsid w:val="007A7FE0"/>
    <w:rsid w:val="007B02A5"/>
    <w:rsid w:val="007B06B2"/>
    <w:rsid w:val="007B07BB"/>
    <w:rsid w:val="007B0EDE"/>
    <w:rsid w:val="007B190E"/>
    <w:rsid w:val="007B1CF3"/>
    <w:rsid w:val="007B2E56"/>
    <w:rsid w:val="007B2EC7"/>
    <w:rsid w:val="007B3653"/>
    <w:rsid w:val="007B40D9"/>
    <w:rsid w:val="007B682B"/>
    <w:rsid w:val="007B68B1"/>
    <w:rsid w:val="007B7680"/>
    <w:rsid w:val="007B76F8"/>
    <w:rsid w:val="007B7872"/>
    <w:rsid w:val="007B7B4D"/>
    <w:rsid w:val="007C019B"/>
    <w:rsid w:val="007C02D0"/>
    <w:rsid w:val="007C08DD"/>
    <w:rsid w:val="007C0B0F"/>
    <w:rsid w:val="007C1AE9"/>
    <w:rsid w:val="007C267E"/>
    <w:rsid w:val="007C36C1"/>
    <w:rsid w:val="007C3760"/>
    <w:rsid w:val="007C3D0C"/>
    <w:rsid w:val="007C4525"/>
    <w:rsid w:val="007C5D5D"/>
    <w:rsid w:val="007C72B0"/>
    <w:rsid w:val="007C739B"/>
    <w:rsid w:val="007D01F6"/>
    <w:rsid w:val="007D1740"/>
    <w:rsid w:val="007D1A9A"/>
    <w:rsid w:val="007D1E75"/>
    <w:rsid w:val="007D29A7"/>
    <w:rsid w:val="007D31AA"/>
    <w:rsid w:val="007D3532"/>
    <w:rsid w:val="007D555D"/>
    <w:rsid w:val="007D60C4"/>
    <w:rsid w:val="007D6C19"/>
    <w:rsid w:val="007E07AC"/>
    <w:rsid w:val="007E1868"/>
    <w:rsid w:val="007E334F"/>
    <w:rsid w:val="007E389F"/>
    <w:rsid w:val="007E3DA9"/>
    <w:rsid w:val="007E555A"/>
    <w:rsid w:val="007E5616"/>
    <w:rsid w:val="007E57BC"/>
    <w:rsid w:val="007E5FD7"/>
    <w:rsid w:val="007E6293"/>
    <w:rsid w:val="007E6477"/>
    <w:rsid w:val="007E674F"/>
    <w:rsid w:val="007E6D71"/>
    <w:rsid w:val="007E6E0A"/>
    <w:rsid w:val="007E744A"/>
    <w:rsid w:val="007E7AFB"/>
    <w:rsid w:val="007F089A"/>
    <w:rsid w:val="007F0C6D"/>
    <w:rsid w:val="007F0EF5"/>
    <w:rsid w:val="007F1BF5"/>
    <w:rsid w:val="007F27C2"/>
    <w:rsid w:val="007F2D69"/>
    <w:rsid w:val="007F41C2"/>
    <w:rsid w:val="007F4474"/>
    <w:rsid w:val="007F4C20"/>
    <w:rsid w:val="007F518F"/>
    <w:rsid w:val="007F6078"/>
    <w:rsid w:val="007F66A9"/>
    <w:rsid w:val="007F6BE7"/>
    <w:rsid w:val="007F7930"/>
    <w:rsid w:val="008011EC"/>
    <w:rsid w:val="00802093"/>
    <w:rsid w:val="00802EDD"/>
    <w:rsid w:val="008036CF"/>
    <w:rsid w:val="00803A43"/>
    <w:rsid w:val="00803D0C"/>
    <w:rsid w:val="00803DBE"/>
    <w:rsid w:val="0080454E"/>
    <w:rsid w:val="00804C13"/>
    <w:rsid w:val="00804D66"/>
    <w:rsid w:val="0080633A"/>
    <w:rsid w:val="00806578"/>
    <w:rsid w:val="00806DD9"/>
    <w:rsid w:val="008070E2"/>
    <w:rsid w:val="008074F9"/>
    <w:rsid w:val="0080758F"/>
    <w:rsid w:val="0081093C"/>
    <w:rsid w:val="00810CEA"/>
    <w:rsid w:val="00810D4E"/>
    <w:rsid w:val="00810FF0"/>
    <w:rsid w:val="00812C48"/>
    <w:rsid w:val="00812F63"/>
    <w:rsid w:val="008131C0"/>
    <w:rsid w:val="00813B20"/>
    <w:rsid w:val="00814C3F"/>
    <w:rsid w:val="00815475"/>
    <w:rsid w:val="008157CC"/>
    <w:rsid w:val="008170C8"/>
    <w:rsid w:val="00820085"/>
    <w:rsid w:val="0082065E"/>
    <w:rsid w:val="00821130"/>
    <w:rsid w:val="00821465"/>
    <w:rsid w:val="008229BE"/>
    <w:rsid w:val="00823234"/>
    <w:rsid w:val="0082360A"/>
    <w:rsid w:val="008239B6"/>
    <w:rsid w:val="00823E34"/>
    <w:rsid w:val="008253AB"/>
    <w:rsid w:val="00825B2D"/>
    <w:rsid w:val="00826661"/>
    <w:rsid w:val="00826865"/>
    <w:rsid w:val="00827B54"/>
    <w:rsid w:val="00830308"/>
    <w:rsid w:val="00831A18"/>
    <w:rsid w:val="0083213C"/>
    <w:rsid w:val="00832788"/>
    <w:rsid w:val="008331A5"/>
    <w:rsid w:val="00833397"/>
    <w:rsid w:val="0083349E"/>
    <w:rsid w:val="00833BC6"/>
    <w:rsid w:val="00833D32"/>
    <w:rsid w:val="008342D7"/>
    <w:rsid w:val="0083486D"/>
    <w:rsid w:val="00835B85"/>
    <w:rsid w:val="00836098"/>
    <w:rsid w:val="008365BD"/>
    <w:rsid w:val="008365E0"/>
    <w:rsid w:val="00836B4A"/>
    <w:rsid w:val="00836BA3"/>
    <w:rsid w:val="00836C47"/>
    <w:rsid w:val="008377E0"/>
    <w:rsid w:val="00837E79"/>
    <w:rsid w:val="0084160F"/>
    <w:rsid w:val="00842526"/>
    <w:rsid w:val="00842A00"/>
    <w:rsid w:val="00842B15"/>
    <w:rsid w:val="00842B38"/>
    <w:rsid w:val="00842B3C"/>
    <w:rsid w:val="00843A2B"/>
    <w:rsid w:val="008444B4"/>
    <w:rsid w:val="00844B96"/>
    <w:rsid w:val="00844EB4"/>
    <w:rsid w:val="00845554"/>
    <w:rsid w:val="00845F2B"/>
    <w:rsid w:val="00847325"/>
    <w:rsid w:val="008478CD"/>
    <w:rsid w:val="00847E49"/>
    <w:rsid w:val="00850699"/>
    <w:rsid w:val="00851683"/>
    <w:rsid w:val="00852971"/>
    <w:rsid w:val="0085353D"/>
    <w:rsid w:val="008536A5"/>
    <w:rsid w:val="00853F9A"/>
    <w:rsid w:val="00854427"/>
    <w:rsid w:val="00854B48"/>
    <w:rsid w:val="00856107"/>
    <w:rsid w:val="008563BC"/>
    <w:rsid w:val="00856553"/>
    <w:rsid w:val="0085728F"/>
    <w:rsid w:val="008573BA"/>
    <w:rsid w:val="00857B7F"/>
    <w:rsid w:val="00857CA1"/>
    <w:rsid w:val="008601CB"/>
    <w:rsid w:val="008610A0"/>
    <w:rsid w:val="00861270"/>
    <w:rsid w:val="00861331"/>
    <w:rsid w:val="008613A3"/>
    <w:rsid w:val="00861B77"/>
    <w:rsid w:val="00862FB8"/>
    <w:rsid w:val="008631FC"/>
    <w:rsid w:val="0086324E"/>
    <w:rsid w:val="00863754"/>
    <w:rsid w:val="00863AB0"/>
    <w:rsid w:val="00863E0C"/>
    <w:rsid w:val="00864538"/>
    <w:rsid w:val="00866183"/>
    <w:rsid w:val="00866409"/>
    <w:rsid w:val="0086694B"/>
    <w:rsid w:val="00870846"/>
    <w:rsid w:val="00871340"/>
    <w:rsid w:val="0087450D"/>
    <w:rsid w:val="00875292"/>
    <w:rsid w:val="0087539E"/>
    <w:rsid w:val="0087622F"/>
    <w:rsid w:val="00876302"/>
    <w:rsid w:val="00876314"/>
    <w:rsid w:val="00876A62"/>
    <w:rsid w:val="00877394"/>
    <w:rsid w:val="008777E6"/>
    <w:rsid w:val="008778F1"/>
    <w:rsid w:val="00880E1A"/>
    <w:rsid w:val="00880E6D"/>
    <w:rsid w:val="00881151"/>
    <w:rsid w:val="00881629"/>
    <w:rsid w:val="00881A73"/>
    <w:rsid w:val="00882AF1"/>
    <w:rsid w:val="0088310D"/>
    <w:rsid w:val="008840BE"/>
    <w:rsid w:val="008844B4"/>
    <w:rsid w:val="0088674E"/>
    <w:rsid w:val="00886AED"/>
    <w:rsid w:val="00891366"/>
    <w:rsid w:val="008921F2"/>
    <w:rsid w:val="00893214"/>
    <w:rsid w:val="00893354"/>
    <w:rsid w:val="008944B7"/>
    <w:rsid w:val="00894965"/>
    <w:rsid w:val="00894CFD"/>
    <w:rsid w:val="00894F6B"/>
    <w:rsid w:val="0089548F"/>
    <w:rsid w:val="00895B55"/>
    <w:rsid w:val="00896095"/>
    <w:rsid w:val="008A00A6"/>
    <w:rsid w:val="008A0750"/>
    <w:rsid w:val="008A0762"/>
    <w:rsid w:val="008A0B64"/>
    <w:rsid w:val="008A0C3C"/>
    <w:rsid w:val="008A486A"/>
    <w:rsid w:val="008A492D"/>
    <w:rsid w:val="008A5DA3"/>
    <w:rsid w:val="008A7257"/>
    <w:rsid w:val="008A74F0"/>
    <w:rsid w:val="008A7541"/>
    <w:rsid w:val="008A7D09"/>
    <w:rsid w:val="008B0330"/>
    <w:rsid w:val="008B038D"/>
    <w:rsid w:val="008B0799"/>
    <w:rsid w:val="008B08C2"/>
    <w:rsid w:val="008B0D92"/>
    <w:rsid w:val="008B2525"/>
    <w:rsid w:val="008B35BA"/>
    <w:rsid w:val="008B3EF0"/>
    <w:rsid w:val="008B431A"/>
    <w:rsid w:val="008B52E6"/>
    <w:rsid w:val="008B5672"/>
    <w:rsid w:val="008B6397"/>
    <w:rsid w:val="008B6B33"/>
    <w:rsid w:val="008B7711"/>
    <w:rsid w:val="008C06A9"/>
    <w:rsid w:val="008C0D3F"/>
    <w:rsid w:val="008C10F8"/>
    <w:rsid w:val="008C1291"/>
    <w:rsid w:val="008C18E2"/>
    <w:rsid w:val="008C1AAF"/>
    <w:rsid w:val="008C2652"/>
    <w:rsid w:val="008C27B3"/>
    <w:rsid w:val="008C2FE0"/>
    <w:rsid w:val="008C3512"/>
    <w:rsid w:val="008C3C94"/>
    <w:rsid w:val="008C3DFA"/>
    <w:rsid w:val="008C4098"/>
    <w:rsid w:val="008C48CC"/>
    <w:rsid w:val="008C66CF"/>
    <w:rsid w:val="008C6829"/>
    <w:rsid w:val="008C6ACD"/>
    <w:rsid w:val="008C71EA"/>
    <w:rsid w:val="008D043D"/>
    <w:rsid w:val="008D0F24"/>
    <w:rsid w:val="008D25CD"/>
    <w:rsid w:val="008D2B7B"/>
    <w:rsid w:val="008D2BAF"/>
    <w:rsid w:val="008D57C3"/>
    <w:rsid w:val="008D5A94"/>
    <w:rsid w:val="008D5FDE"/>
    <w:rsid w:val="008D6CDB"/>
    <w:rsid w:val="008D77E1"/>
    <w:rsid w:val="008E0495"/>
    <w:rsid w:val="008E0EA7"/>
    <w:rsid w:val="008E1023"/>
    <w:rsid w:val="008E26AE"/>
    <w:rsid w:val="008E278E"/>
    <w:rsid w:val="008E2FB7"/>
    <w:rsid w:val="008E312F"/>
    <w:rsid w:val="008E329B"/>
    <w:rsid w:val="008E4F3F"/>
    <w:rsid w:val="008E52C6"/>
    <w:rsid w:val="008E5351"/>
    <w:rsid w:val="008E583D"/>
    <w:rsid w:val="008E5E00"/>
    <w:rsid w:val="008E60D1"/>
    <w:rsid w:val="008F0B29"/>
    <w:rsid w:val="008F1273"/>
    <w:rsid w:val="008F235A"/>
    <w:rsid w:val="008F30F5"/>
    <w:rsid w:val="008F3496"/>
    <w:rsid w:val="008F34A7"/>
    <w:rsid w:val="008F4496"/>
    <w:rsid w:val="008F5061"/>
    <w:rsid w:val="008F58CD"/>
    <w:rsid w:val="008F5AD2"/>
    <w:rsid w:val="008F6FAB"/>
    <w:rsid w:val="008F7A28"/>
    <w:rsid w:val="008F7B14"/>
    <w:rsid w:val="008F7EDA"/>
    <w:rsid w:val="00900A96"/>
    <w:rsid w:val="009010A7"/>
    <w:rsid w:val="00901888"/>
    <w:rsid w:val="00903476"/>
    <w:rsid w:val="009037EB"/>
    <w:rsid w:val="00904274"/>
    <w:rsid w:val="00904AB5"/>
    <w:rsid w:val="00907C2F"/>
    <w:rsid w:val="00911063"/>
    <w:rsid w:val="00911277"/>
    <w:rsid w:val="0091206F"/>
    <w:rsid w:val="009121EC"/>
    <w:rsid w:val="0091230B"/>
    <w:rsid w:val="009124D5"/>
    <w:rsid w:val="009129C0"/>
    <w:rsid w:val="00912AA5"/>
    <w:rsid w:val="009134AB"/>
    <w:rsid w:val="00913583"/>
    <w:rsid w:val="00915352"/>
    <w:rsid w:val="009158FD"/>
    <w:rsid w:val="00915E30"/>
    <w:rsid w:val="00915FD2"/>
    <w:rsid w:val="00916245"/>
    <w:rsid w:val="0091702B"/>
    <w:rsid w:val="0091779E"/>
    <w:rsid w:val="00917C0F"/>
    <w:rsid w:val="00920EF3"/>
    <w:rsid w:val="009210CF"/>
    <w:rsid w:val="00922764"/>
    <w:rsid w:val="00922938"/>
    <w:rsid w:val="009229F0"/>
    <w:rsid w:val="00924B86"/>
    <w:rsid w:val="00925616"/>
    <w:rsid w:val="009261A4"/>
    <w:rsid w:val="0092661F"/>
    <w:rsid w:val="009266F9"/>
    <w:rsid w:val="00926F8E"/>
    <w:rsid w:val="00930B9A"/>
    <w:rsid w:val="00930EF2"/>
    <w:rsid w:val="00931534"/>
    <w:rsid w:val="009322A1"/>
    <w:rsid w:val="00932EA3"/>
    <w:rsid w:val="00933B5F"/>
    <w:rsid w:val="00933C68"/>
    <w:rsid w:val="00933E08"/>
    <w:rsid w:val="0093478F"/>
    <w:rsid w:val="00934B8B"/>
    <w:rsid w:val="009353EB"/>
    <w:rsid w:val="00935A24"/>
    <w:rsid w:val="00936953"/>
    <w:rsid w:val="00936EC5"/>
    <w:rsid w:val="00937C09"/>
    <w:rsid w:val="0094018F"/>
    <w:rsid w:val="00940E88"/>
    <w:rsid w:val="009415EF"/>
    <w:rsid w:val="00941EED"/>
    <w:rsid w:val="009423C9"/>
    <w:rsid w:val="00942756"/>
    <w:rsid w:val="009435F8"/>
    <w:rsid w:val="00944975"/>
    <w:rsid w:val="00944CF6"/>
    <w:rsid w:val="009450F8"/>
    <w:rsid w:val="009462C1"/>
    <w:rsid w:val="009504B5"/>
    <w:rsid w:val="00950872"/>
    <w:rsid w:val="00951164"/>
    <w:rsid w:val="009511F8"/>
    <w:rsid w:val="00951593"/>
    <w:rsid w:val="0095169D"/>
    <w:rsid w:val="00952DA8"/>
    <w:rsid w:val="0095325D"/>
    <w:rsid w:val="00953C28"/>
    <w:rsid w:val="00953E3F"/>
    <w:rsid w:val="00954042"/>
    <w:rsid w:val="0095476F"/>
    <w:rsid w:val="009551DF"/>
    <w:rsid w:val="00956186"/>
    <w:rsid w:val="00956472"/>
    <w:rsid w:val="00956759"/>
    <w:rsid w:val="00956AA9"/>
    <w:rsid w:val="00956E3C"/>
    <w:rsid w:val="0095788E"/>
    <w:rsid w:val="00957DB1"/>
    <w:rsid w:val="0096047B"/>
    <w:rsid w:val="0096073E"/>
    <w:rsid w:val="0096291F"/>
    <w:rsid w:val="00964BCF"/>
    <w:rsid w:val="00965318"/>
    <w:rsid w:val="009655FD"/>
    <w:rsid w:val="0096709D"/>
    <w:rsid w:val="009678C9"/>
    <w:rsid w:val="00967A0B"/>
    <w:rsid w:val="00970030"/>
    <w:rsid w:val="00970ECF"/>
    <w:rsid w:val="00971000"/>
    <w:rsid w:val="009713A9"/>
    <w:rsid w:val="00972A58"/>
    <w:rsid w:val="00973520"/>
    <w:rsid w:val="0097367C"/>
    <w:rsid w:val="009755AD"/>
    <w:rsid w:val="00975EAD"/>
    <w:rsid w:val="009764B8"/>
    <w:rsid w:val="00976791"/>
    <w:rsid w:val="009767B3"/>
    <w:rsid w:val="009775F1"/>
    <w:rsid w:val="00980154"/>
    <w:rsid w:val="00980755"/>
    <w:rsid w:val="00980834"/>
    <w:rsid w:val="00980A75"/>
    <w:rsid w:val="0098103E"/>
    <w:rsid w:val="00981B06"/>
    <w:rsid w:val="00982C6F"/>
    <w:rsid w:val="00983309"/>
    <w:rsid w:val="00983EA0"/>
    <w:rsid w:val="00984C82"/>
    <w:rsid w:val="00985436"/>
    <w:rsid w:val="009857FE"/>
    <w:rsid w:val="009869A4"/>
    <w:rsid w:val="00987A09"/>
    <w:rsid w:val="00987B5E"/>
    <w:rsid w:val="00990559"/>
    <w:rsid w:val="00990A5D"/>
    <w:rsid w:val="00992092"/>
    <w:rsid w:val="00992393"/>
    <w:rsid w:val="009923CD"/>
    <w:rsid w:val="009925EC"/>
    <w:rsid w:val="00992C2C"/>
    <w:rsid w:val="00992E10"/>
    <w:rsid w:val="009932E3"/>
    <w:rsid w:val="00994597"/>
    <w:rsid w:val="00994D7F"/>
    <w:rsid w:val="009951C7"/>
    <w:rsid w:val="009954CC"/>
    <w:rsid w:val="009958D2"/>
    <w:rsid w:val="00996045"/>
    <w:rsid w:val="009970BD"/>
    <w:rsid w:val="00997121"/>
    <w:rsid w:val="009A06DA"/>
    <w:rsid w:val="009A09B2"/>
    <w:rsid w:val="009A1EE3"/>
    <w:rsid w:val="009A3EEF"/>
    <w:rsid w:val="009A4487"/>
    <w:rsid w:val="009A4C27"/>
    <w:rsid w:val="009A518F"/>
    <w:rsid w:val="009A55AB"/>
    <w:rsid w:val="009A5A2E"/>
    <w:rsid w:val="009A6842"/>
    <w:rsid w:val="009A69A2"/>
    <w:rsid w:val="009A7F70"/>
    <w:rsid w:val="009B16C9"/>
    <w:rsid w:val="009B2599"/>
    <w:rsid w:val="009B267D"/>
    <w:rsid w:val="009B4F53"/>
    <w:rsid w:val="009B5BCE"/>
    <w:rsid w:val="009B60D1"/>
    <w:rsid w:val="009B6478"/>
    <w:rsid w:val="009B692F"/>
    <w:rsid w:val="009B6E3A"/>
    <w:rsid w:val="009B7C86"/>
    <w:rsid w:val="009B7F2B"/>
    <w:rsid w:val="009C0DE0"/>
    <w:rsid w:val="009C23D0"/>
    <w:rsid w:val="009C2441"/>
    <w:rsid w:val="009C2E97"/>
    <w:rsid w:val="009C367C"/>
    <w:rsid w:val="009C37BF"/>
    <w:rsid w:val="009C387F"/>
    <w:rsid w:val="009C3E42"/>
    <w:rsid w:val="009C3F9B"/>
    <w:rsid w:val="009C427B"/>
    <w:rsid w:val="009C451D"/>
    <w:rsid w:val="009C482A"/>
    <w:rsid w:val="009C4B9D"/>
    <w:rsid w:val="009C5DB4"/>
    <w:rsid w:val="009C6235"/>
    <w:rsid w:val="009C7C80"/>
    <w:rsid w:val="009C7E07"/>
    <w:rsid w:val="009D0E78"/>
    <w:rsid w:val="009D2861"/>
    <w:rsid w:val="009D2F30"/>
    <w:rsid w:val="009D3228"/>
    <w:rsid w:val="009D42FD"/>
    <w:rsid w:val="009D53C7"/>
    <w:rsid w:val="009D5CBC"/>
    <w:rsid w:val="009D66C1"/>
    <w:rsid w:val="009D66CC"/>
    <w:rsid w:val="009D771E"/>
    <w:rsid w:val="009D77E9"/>
    <w:rsid w:val="009D7956"/>
    <w:rsid w:val="009E0C18"/>
    <w:rsid w:val="009E1336"/>
    <w:rsid w:val="009E2773"/>
    <w:rsid w:val="009E2927"/>
    <w:rsid w:val="009E2B9B"/>
    <w:rsid w:val="009E444D"/>
    <w:rsid w:val="009E4DE2"/>
    <w:rsid w:val="009E57C5"/>
    <w:rsid w:val="009E6B92"/>
    <w:rsid w:val="009F04E4"/>
    <w:rsid w:val="009F0547"/>
    <w:rsid w:val="009F2213"/>
    <w:rsid w:val="009F2435"/>
    <w:rsid w:val="009F275B"/>
    <w:rsid w:val="009F3B53"/>
    <w:rsid w:val="009F5353"/>
    <w:rsid w:val="009F5515"/>
    <w:rsid w:val="009F5F22"/>
    <w:rsid w:val="009F66D0"/>
    <w:rsid w:val="009F6F31"/>
    <w:rsid w:val="009F720C"/>
    <w:rsid w:val="009F7CAC"/>
    <w:rsid w:val="009F7ECF"/>
    <w:rsid w:val="00A0036D"/>
    <w:rsid w:val="00A0086B"/>
    <w:rsid w:val="00A00AAF"/>
    <w:rsid w:val="00A00BC0"/>
    <w:rsid w:val="00A0111D"/>
    <w:rsid w:val="00A0149F"/>
    <w:rsid w:val="00A01530"/>
    <w:rsid w:val="00A02293"/>
    <w:rsid w:val="00A0311F"/>
    <w:rsid w:val="00A03600"/>
    <w:rsid w:val="00A0542C"/>
    <w:rsid w:val="00A05CDD"/>
    <w:rsid w:val="00A06511"/>
    <w:rsid w:val="00A068B2"/>
    <w:rsid w:val="00A07AD9"/>
    <w:rsid w:val="00A10095"/>
    <w:rsid w:val="00A10DAD"/>
    <w:rsid w:val="00A11383"/>
    <w:rsid w:val="00A11DC7"/>
    <w:rsid w:val="00A1313B"/>
    <w:rsid w:val="00A144BD"/>
    <w:rsid w:val="00A14655"/>
    <w:rsid w:val="00A15BC8"/>
    <w:rsid w:val="00A1658B"/>
    <w:rsid w:val="00A17517"/>
    <w:rsid w:val="00A21584"/>
    <w:rsid w:val="00A215F1"/>
    <w:rsid w:val="00A22585"/>
    <w:rsid w:val="00A22A16"/>
    <w:rsid w:val="00A23E32"/>
    <w:rsid w:val="00A2437E"/>
    <w:rsid w:val="00A24506"/>
    <w:rsid w:val="00A25938"/>
    <w:rsid w:val="00A26C9D"/>
    <w:rsid w:val="00A26ED5"/>
    <w:rsid w:val="00A2799A"/>
    <w:rsid w:val="00A27FAE"/>
    <w:rsid w:val="00A30615"/>
    <w:rsid w:val="00A307BF"/>
    <w:rsid w:val="00A30CAA"/>
    <w:rsid w:val="00A31CA8"/>
    <w:rsid w:val="00A31F55"/>
    <w:rsid w:val="00A32702"/>
    <w:rsid w:val="00A3306F"/>
    <w:rsid w:val="00A342F2"/>
    <w:rsid w:val="00A35D79"/>
    <w:rsid w:val="00A360B2"/>
    <w:rsid w:val="00A361D2"/>
    <w:rsid w:val="00A3624C"/>
    <w:rsid w:val="00A40F4D"/>
    <w:rsid w:val="00A41378"/>
    <w:rsid w:val="00A41D91"/>
    <w:rsid w:val="00A437F7"/>
    <w:rsid w:val="00A43F58"/>
    <w:rsid w:val="00A4406F"/>
    <w:rsid w:val="00A443A8"/>
    <w:rsid w:val="00A44D5A"/>
    <w:rsid w:val="00A45059"/>
    <w:rsid w:val="00A464EF"/>
    <w:rsid w:val="00A4654C"/>
    <w:rsid w:val="00A46A25"/>
    <w:rsid w:val="00A473F3"/>
    <w:rsid w:val="00A47C5D"/>
    <w:rsid w:val="00A50054"/>
    <w:rsid w:val="00A503CE"/>
    <w:rsid w:val="00A50F8C"/>
    <w:rsid w:val="00A51647"/>
    <w:rsid w:val="00A51673"/>
    <w:rsid w:val="00A51EA6"/>
    <w:rsid w:val="00A52313"/>
    <w:rsid w:val="00A52454"/>
    <w:rsid w:val="00A524EE"/>
    <w:rsid w:val="00A53ADB"/>
    <w:rsid w:val="00A53C54"/>
    <w:rsid w:val="00A541D6"/>
    <w:rsid w:val="00A549B4"/>
    <w:rsid w:val="00A56428"/>
    <w:rsid w:val="00A57934"/>
    <w:rsid w:val="00A57ADA"/>
    <w:rsid w:val="00A60523"/>
    <w:rsid w:val="00A60553"/>
    <w:rsid w:val="00A607A4"/>
    <w:rsid w:val="00A61672"/>
    <w:rsid w:val="00A616A2"/>
    <w:rsid w:val="00A6265A"/>
    <w:rsid w:val="00A62C6B"/>
    <w:rsid w:val="00A63552"/>
    <w:rsid w:val="00A6563C"/>
    <w:rsid w:val="00A65F2A"/>
    <w:rsid w:val="00A67231"/>
    <w:rsid w:val="00A679CD"/>
    <w:rsid w:val="00A7002C"/>
    <w:rsid w:val="00A71431"/>
    <w:rsid w:val="00A72D8B"/>
    <w:rsid w:val="00A73361"/>
    <w:rsid w:val="00A73737"/>
    <w:rsid w:val="00A73961"/>
    <w:rsid w:val="00A73D35"/>
    <w:rsid w:val="00A74CD0"/>
    <w:rsid w:val="00A754E6"/>
    <w:rsid w:val="00A76438"/>
    <w:rsid w:val="00A77027"/>
    <w:rsid w:val="00A770F0"/>
    <w:rsid w:val="00A779F5"/>
    <w:rsid w:val="00A80161"/>
    <w:rsid w:val="00A80360"/>
    <w:rsid w:val="00A80B61"/>
    <w:rsid w:val="00A80E9F"/>
    <w:rsid w:val="00A8116B"/>
    <w:rsid w:val="00A81965"/>
    <w:rsid w:val="00A82ADF"/>
    <w:rsid w:val="00A83D5A"/>
    <w:rsid w:val="00A84142"/>
    <w:rsid w:val="00A84C9A"/>
    <w:rsid w:val="00A84DE3"/>
    <w:rsid w:val="00A851DF"/>
    <w:rsid w:val="00A85942"/>
    <w:rsid w:val="00A871B1"/>
    <w:rsid w:val="00A8738E"/>
    <w:rsid w:val="00A8760F"/>
    <w:rsid w:val="00A8762E"/>
    <w:rsid w:val="00A90901"/>
    <w:rsid w:val="00A90D51"/>
    <w:rsid w:val="00A90E10"/>
    <w:rsid w:val="00A90EC4"/>
    <w:rsid w:val="00A92386"/>
    <w:rsid w:val="00A92D58"/>
    <w:rsid w:val="00A92E69"/>
    <w:rsid w:val="00A932B7"/>
    <w:rsid w:val="00A937BF"/>
    <w:rsid w:val="00A94EBF"/>
    <w:rsid w:val="00A95147"/>
    <w:rsid w:val="00A95A7C"/>
    <w:rsid w:val="00A9614F"/>
    <w:rsid w:val="00A9654A"/>
    <w:rsid w:val="00A96953"/>
    <w:rsid w:val="00A96D8B"/>
    <w:rsid w:val="00A96DBD"/>
    <w:rsid w:val="00A979A7"/>
    <w:rsid w:val="00AA0768"/>
    <w:rsid w:val="00AA177B"/>
    <w:rsid w:val="00AA1BAE"/>
    <w:rsid w:val="00AA1CBE"/>
    <w:rsid w:val="00AA1E34"/>
    <w:rsid w:val="00AA26F6"/>
    <w:rsid w:val="00AA2D1A"/>
    <w:rsid w:val="00AA2EC0"/>
    <w:rsid w:val="00AA352B"/>
    <w:rsid w:val="00AA4672"/>
    <w:rsid w:val="00AA4DE3"/>
    <w:rsid w:val="00AA5088"/>
    <w:rsid w:val="00AA5E8C"/>
    <w:rsid w:val="00AA642D"/>
    <w:rsid w:val="00AA7EC8"/>
    <w:rsid w:val="00AA7EC9"/>
    <w:rsid w:val="00AB0874"/>
    <w:rsid w:val="00AB0889"/>
    <w:rsid w:val="00AB2070"/>
    <w:rsid w:val="00AB223C"/>
    <w:rsid w:val="00AB2318"/>
    <w:rsid w:val="00AB284B"/>
    <w:rsid w:val="00AB285B"/>
    <w:rsid w:val="00AB3749"/>
    <w:rsid w:val="00AB4676"/>
    <w:rsid w:val="00AB49C7"/>
    <w:rsid w:val="00AB50D0"/>
    <w:rsid w:val="00AB5741"/>
    <w:rsid w:val="00AB5CA0"/>
    <w:rsid w:val="00AB60A0"/>
    <w:rsid w:val="00AB6A9B"/>
    <w:rsid w:val="00AB7314"/>
    <w:rsid w:val="00AB73D6"/>
    <w:rsid w:val="00AB79CF"/>
    <w:rsid w:val="00AC0134"/>
    <w:rsid w:val="00AC01E7"/>
    <w:rsid w:val="00AC0CB7"/>
    <w:rsid w:val="00AC142B"/>
    <w:rsid w:val="00AC197F"/>
    <w:rsid w:val="00AC2517"/>
    <w:rsid w:val="00AC325E"/>
    <w:rsid w:val="00AC3676"/>
    <w:rsid w:val="00AC392D"/>
    <w:rsid w:val="00AC3AED"/>
    <w:rsid w:val="00AC40A0"/>
    <w:rsid w:val="00AC46F2"/>
    <w:rsid w:val="00AC5335"/>
    <w:rsid w:val="00AC55F0"/>
    <w:rsid w:val="00AC5B91"/>
    <w:rsid w:val="00AC6017"/>
    <w:rsid w:val="00AC639F"/>
    <w:rsid w:val="00AC66F0"/>
    <w:rsid w:val="00AC795C"/>
    <w:rsid w:val="00AC79E4"/>
    <w:rsid w:val="00AC7E97"/>
    <w:rsid w:val="00AD0060"/>
    <w:rsid w:val="00AD0090"/>
    <w:rsid w:val="00AD0445"/>
    <w:rsid w:val="00AD0855"/>
    <w:rsid w:val="00AD0A8C"/>
    <w:rsid w:val="00AD278F"/>
    <w:rsid w:val="00AD302C"/>
    <w:rsid w:val="00AD3BF8"/>
    <w:rsid w:val="00AD483D"/>
    <w:rsid w:val="00AD4950"/>
    <w:rsid w:val="00AD520A"/>
    <w:rsid w:val="00AD52B8"/>
    <w:rsid w:val="00AD55BD"/>
    <w:rsid w:val="00AD5DCA"/>
    <w:rsid w:val="00AD715A"/>
    <w:rsid w:val="00AD7950"/>
    <w:rsid w:val="00AD7C2F"/>
    <w:rsid w:val="00AD7D44"/>
    <w:rsid w:val="00AE01F7"/>
    <w:rsid w:val="00AE06DF"/>
    <w:rsid w:val="00AE1925"/>
    <w:rsid w:val="00AE224C"/>
    <w:rsid w:val="00AE25B2"/>
    <w:rsid w:val="00AE2CBB"/>
    <w:rsid w:val="00AE33BB"/>
    <w:rsid w:val="00AE37F3"/>
    <w:rsid w:val="00AE4448"/>
    <w:rsid w:val="00AE4D21"/>
    <w:rsid w:val="00AE5A73"/>
    <w:rsid w:val="00AE5D31"/>
    <w:rsid w:val="00AE5E89"/>
    <w:rsid w:val="00AE62C5"/>
    <w:rsid w:val="00AE6BAC"/>
    <w:rsid w:val="00AE7857"/>
    <w:rsid w:val="00AE7D1A"/>
    <w:rsid w:val="00AF091F"/>
    <w:rsid w:val="00AF2045"/>
    <w:rsid w:val="00AF216E"/>
    <w:rsid w:val="00AF2768"/>
    <w:rsid w:val="00AF2AE8"/>
    <w:rsid w:val="00AF2C5F"/>
    <w:rsid w:val="00AF2CC8"/>
    <w:rsid w:val="00AF2F4C"/>
    <w:rsid w:val="00AF3F01"/>
    <w:rsid w:val="00AF4A83"/>
    <w:rsid w:val="00AF559B"/>
    <w:rsid w:val="00AF5771"/>
    <w:rsid w:val="00AF5AE6"/>
    <w:rsid w:val="00AF5F44"/>
    <w:rsid w:val="00AF6851"/>
    <w:rsid w:val="00AF6C9E"/>
    <w:rsid w:val="00AF6D9B"/>
    <w:rsid w:val="00AF713C"/>
    <w:rsid w:val="00AF7570"/>
    <w:rsid w:val="00B01594"/>
    <w:rsid w:val="00B0399A"/>
    <w:rsid w:val="00B03DC6"/>
    <w:rsid w:val="00B03E19"/>
    <w:rsid w:val="00B0417F"/>
    <w:rsid w:val="00B048BE"/>
    <w:rsid w:val="00B04F48"/>
    <w:rsid w:val="00B0527E"/>
    <w:rsid w:val="00B05A8B"/>
    <w:rsid w:val="00B06005"/>
    <w:rsid w:val="00B061D9"/>
    <w:rsid w:val="00B0642B"/>
    <w:rsid w:val="00B11764"/>
    <w:rsid w:val="00B12CE2"/>
    <w:rsid w:val="00B14EBE"/>
    <w:rsid w:val="00B153EF"/>
    <w:rsid w:val="00B1572C"/>
    <w:rsid w:val="00B169AF"/>
    <w:rsid w:val="00B1735D"/>
    <w:rsid w:val="00B17E72"/>
    <w:rsid w:val="00B2140C"/>
    <w:rsid w:val="00B21C12"/>
    <w:rsid w:val="00B22359"/>
    <w:rsid w:val="00B22843"/>
    <w:rsid w:val="00B2295F"/>
    <w:rsid w:val="00B22C03"/>
    <w:rsid w:val="00B233E1"/>
    <w:rsid w:val="00B23C2C"/>
    <w:rsid w:val="00B2410D"/>
    <w:rsid w:val="00B241CB"/>
    <w:rsid w:val="00B2448C"/>
    <w:rsid w:val="00B244E1"/>
    <w:rsid w:val="00B249C8"/>
    <w:rsid w:val="00B24F62"/>
    <w:rsid w:val="00B2521E"/>
    <w:rsid w:val="00B25970"/>
    <w:rsid w:val="00B25C21"/>
    <w:rsid w:val="00B263FE"/>
    <w:rsid w:val="00B26F32"/>
    <w:rsid w:val="00B2783C"/>
    <w:rsid w:val="00B30736"/>
    <w:rsid w:val="00B3077E"/>
    <w:rsid w:val="00B315B2"/>
    <w:rsid w:val="00B31749"/>
    <w:rsid w:val="00B31E80"/>
    <w:rsid w:val="00B31FF8"/>
    <w:rsid w:val="00B32399"/>
    <w:rsid w:val="00B329AE"/>
    <w:rsid w:val="00B3336F"/>
    <w:rsid w:val="00B3340B"/>
    <w:rsid w:val="00B335EE"/>
    <w:rsid w:val="00B340D5"/>
    <w:rsid w:val="00B34848"/>
    <w:rsid w:val="00B34C1E"/>
    <w:rsid w:val="00B35F26"/>
    <w:rsid w:val="00B36434"/>
    <w:rsid w:val="00B3666D"/>
    <w:rsid w:val="00B37555"/>
    <w:rsid w:val="00B407B4"/>
    <w:rsid w:val="00B40D14"/>
    <w:rsid w:val="00B40F3F"/>
    <w:rsid w:val="00B411F0"/>
    <w:rsid w:val="00B42182"/>
    <w:rsid w:val="00B42FC7"/>
    <w:rsid w:val="00B438B1"/>
    <w:rsid w:val="00B44CD6"/>
    <w:rsid w:val="00B45C7C"/>
    <w:rsid w:val="00B463B1"/>
    <w:rsid w:val="00B464E1"/>
    <w:rsid w:val="00B46833"/>
    <w:rsid w:val="00B46C69"/>
    <w:rsid w:val="00B46CA0"/>
    <w:rsid w:val="00B4714D"/>
    <w:rsid w:val="00B472BC"/>
    <w:rsid w:val="00B50C35"/>
    <w:rsid w:val="00B5278E"/>
    <w:rsid w:val="00B53359"/>
    <w:rsid w:val="00B53446"/>
    <w:rsid w:val="00B53784"/>
    <w:rsid w:val="00B53D27"/>
    <w:rsid w:val="00B53E8B"/>
    <w:rsid w:val="00B5427B"/>
    <w:rsid w:val="00B54918"/>
    <w:rsid w:val="00B54D6C"/>
    <w:rsid w:val="00B54FF9"/>
    <w:rsid w:val="00B55332"/>
    <w:rsid w:val="00B55543"/>
    <w:rsid w:val="00B55804"/>
    <w:rsid w:val="00B5702F"/>
    <w:rsid w:val="00B576B6"/>
    <w:rsid w:val="00B576E2"/>
    <w:rsid w:val="00B578A2"/>
    <w:rsid w:val="00B57E42"/>
    <w:rsid w:val="00B61D84"/>
    <w:rsid w:val="00B62116"/>
    <w:rsid w:val="00B622AE"/>
    <w:rsid w:val="00B628CB"/>
    <w:rsid w:val="00B63B94"/>
    <w:rsid w:val="00B64067"/>
    <w:rsid w:val="00B640C2"/>
    <w:rsid w:val="00B64595"/>
    <w:rsid w:val="00B65394"/>
    <w:rsid w:val="00B655C0"/>
    <w:rsid w:val="00B663F4"/>
    <w:rsid w:val="00B71B24"/>
    <w:rsid w:val="00B71D1C"/>
    <w:rsid w:val="00B72B52"/>
    <w:rsid w:val="00B72BC0"/>
    <w:rsid w:val="00B73C48"/>
    <w:rsid w:val="00B74FB4"/>
    <w:rsid w:val="00B7574F"/>
    <w:rsid w:val="00B76A79"/>
    <w:rsid w:val="00B76BC1"/>
    <w:rsid w:val="00B803FC"/>
    <w:rsid w:val="00B80C3D"/>
    <w:rsid w:val="00B80E07"/>
    <w:rsid w:val="00B8149C"/>
    <w:rsid w:val="00B82417"/>
    <w:rsid w:val="00B82EFB"/>
    <w:rsid w:val="00B831E5"/>
    <w:rsid w:val="00B835E7"/>
    <w:rsid w:val="00B837A2"/>
    <w:rsid w:val="00B84035"/>
    <w:rsid w:val="00B84145"/>
    <w:rsid w:val="00B8437C"/>
    <w:rsid w:val="00B843DD"/>
    <w:rsid w:val="00B84661"/>
    <w:rsid w:val="00B84E82"/>
    <w:rsid w:val="00B853E3"/>
    <w:rsid w:val="00B85EE7"/>
    <w:rsid w:val="00B867B4"/>
    <w:rsid w:val="00B86B9E"/>
    <w:rsid w:val="00B8713E"/>
    <w:rsid w:val="00B876FF"/>
    <w:rsid w:val="00B87F94"/>
    <w:rsid w:val="00B9056B"/>
    <w:rsid w:val="00B92409"/>
    <w:rsid w:val="00B9278F"/>
    <w:rsid w:val="00B92B39"/>
    <w:rsid w:val="00B92C78"/>
    <w:rsid w:val="00B93798"/>
    <w:rsid w:val="00B93E20"/>
    <w:rsid w:val="00B94A3F"/>
    <w:rsid w:val="00B9501E"/>
    <w:rsid w:val="00B957A6"/>
    <w:rsid w:val="00B96A88"/>
    <w:rsid w:val="00B97F34"/>
    <w:rsid w:val="00BA0876"/>
    <w:rsid w:val="00BA0DBE"/>
    <w:rsid w:val="00BA19DE"/>
    <w:rsid w:val="00BA29BC"/>
    <w:rsid w:val="00BA3C68"/>
    <w:rsid w:val="00BA4A2C"/>
    <w:rsid w:val="00BA4D49"/>
    <w:rsid w:val="00BA5F53"/>
    <w:rsid w:val="00BA646F"/>
    <w:rsid w:val="00BA6885"/>
    <w:rsid w:val="00BA6CC1"/>
    <w:rsid w:val="00BA7876"/>
    <w:rsid w:val="00BA7EB3"/>
    <w:rsid w:val="00BB0560"/>
    <w:rsid w:val="00BB0C29"/>
    <w:rsid w:val="00BB1238"/>
    <w:rsid w:val="00BB12B2"/>
    <w:rsid w:val="00BB1330"/>
    <w:rsid w:val="00BB1A00"/>
    <w:rsid w:val="00BB2C96"/>
    <w:rsid w:val="00BB2CB7"/>
    <w:rsid w:val="00BB30E5"/>
    <w:rsid w:val="00BB3532"/>
    <w:rsid w:val="00BB3567"/>
    <w:rsid w:val="00BB6671"/>
    <w:rsid w:val="00BB7ED2"/>
    <w:rsid w:val="00BC08DD"/>
    <w:rsid w:val="00BC12CC"/>
    <w:rsid w:val="00BC1E28"/>
    <w:rsid w:val="00BC2AB8"/>
    <w:rsid w:val="00BC2F7E"/>
    <w:rsid w:val="00BC326C"/>
    <w:rsid w:val="00BC3416"/>
    <w:rsid w:val="00BC5A07"/>
    <w:rsid w:val="00BC6BB3"/>
    <w:rsid w:val="00BC6F16"/>
    <w:rsid w:val="00BC7BCD"/>
    <w:rsid w:val="00BC7E4C"/>
    <w:rsid w:val="00BD1D13"/>
    <w:rsid w:val="00BD2A7C"/>
    <w:rsid w:val="00BD32F8"/>
    <w:rsid w:val="00BD3EC1"/>
    <w:rsid w:val="00BD4319"/>
    <w:rsid w:val="00BD437C"/>
    <w:rsid w:val="00BD477B"/>
    <w:rsid w:val="00BD4B4E"/>
    <w:rsid w:val="00BD5EF7"/>
    <w:rsid w:val="00BD630E"/>
    <w:rsid w:val="00BD66F5"/>
    <w:rsid w:val="00BD6BDA"/>
    <w:rsid w:val="00BD70F5"/>
    <w:rsid w:val="00BD74DF"/>
    <w:rsid w:val="00BD7AE7"/>
    <w:rsid w:val="00BD7CDF"/>
    <w:rsid w:val="00BE0EC4"/>
    <w:rsid w:val="00BE1503"/>
    <w:rsid w:val="00BE1559"/>
    <w:rsid w:val="00BE175D"/>
    <w:rsid w:val="00BE17BE"/>
    <w:rsid w:val="00BE2308"/>
    <w:rsid w:val="00BE335A"/>
    <w:rsid w:val="00BE43A1"/>
    <w:rsid w:val="00BE460A"/>
    <w:rsid w:val="00BE533D"/>
    <w:rsid w:val="00BE5980"/>
    <w:rsid w:val="00BE6ED3"/>
    <w:rsid w:val="00BE7573"/>
    <w:rsid w:val="00BE75CC"/>
    <w:rsid w:val="00BE7814"/>
    <w:rsid w:val="00BF035C"/>
    <w:rsid w:val="00BF0697"/>
    <w:rsid w:val="00BF0B36"/>
    <w:rsid w:val="00BF0CB9"/>
    <w:rsid w:val="00BF0F33"/>
    <w:rsid w:val="00BF1B77"/>
    <w:rsid w:val="00BF3384"/>
    <w:rsid w:val="00BF3A2F"/>
    <w:rsid w:val="00BF4C4E"/>
    <w:rsid w:val="00BF5047"/>
    <w:rsid w:val="00BF6188"/>
    <w:rsid w:val="00BF62AC"/>
    <w:rsid w:val="00BF657E"/>
    <w:rsid w:val="00BF7051"/>
    <w:rsid w:val="00BF725F"/>
    <w:rsid w:val="00BF751B"/>
    <w:rsid w:val="00BF7683"/>
    <w:rsid w:val="00C004F9"/>
    <w:rsid w:val="00C01961"/>
    <w:rsid w:val="00C024F3"/>
    <w:rsid w:val="00C027D4"/>
    <w:rsid w:val="00C02813"/>
    <w:rsid w:val="00C02827"/>
    <w:rsid w:val="00C02E04"/>
    <w:rsid w:val="00C02E09"/>
    <w:rsid w:val="00C03213"/>
    <w:rsid w:val="00C0329A"/>
    <w:rsid w:val="00C0398B"/>
    <w:rsid w:val="00C03CF4"/>
    <w:rsid w:val="00C043CE"/>
    <w:rsid w:val="00C0516B"/>
    <w:rsid w:val="00C058FE"/>
    <w:rsid w:val="00C05A1E"/>
    <w:rsid w:val="00C05E41"/>
    <w:rsid w:val="00C06A0C"/>
    <w:rsid w:val="00C07443"/>
    <w:rsid w:val="00C079DA"/>
    <w:rsid w:val="00C07AE9"/>
    <w:rsid w:val="00C07B64"/>
    <w:rsid w:val="00C124EF"/>
    <w:rsid w:val="00C1466E"/>
    <w:rsid w:val="00C14697"/>
    <w:rsid w:val="00C162CF"/>
    <w:rsid w:val="00C16D6C"/>
    <w:rsid w:val="00C1706D"/>
    <w:rsid w:val="00C174F8"/>
    <w:rsid w:val="00C1767E"/>
    <w:rsid w:val="00C17FE4"/>
    <w:rsid w:val="00C2056D"/>
    <w:rsid w:val="00C207FA"/>
    <w:rsid w:val="00C218A5"/>
    <w:rsid w:val="00C21AAA"/>
    <w:rsid w:val="00C21C29"/>
    <w:rsid w:val="00C21F1C"/>
    <w:rsid w:val="00C21F1D"/>
    <w:rsid w:val="00C2293F"/>
    <w:rsid w:val="00C23108"/>
    <w:rsid w:val="00C23E57"/>
    <w:rsid w:val="00C242A3"/>
    <w:rsid w:val="00C247D4"/>
    <w:rsid w:val="00C2525C"/>
    <w:rsid w:val="00C27D9E"/>
    <w:rsid w:val="00C3000F"/>
    <w:rsid w:val="00C3098B"/>
    <w:rsid w:val="00C314E6"/>
    <w:rsid w:val="00C31FB1"/>
    <w:rsid w:val="00C332FC"/>
    <w:rsid w:val="00C33796"/>
    <w:rsid w:val="00C33A5C"/>
    <w:rsid w:val="00C34297"/>
    <w:rsid w:val="00C34D29"/>
    <w:rsid w:val="00C356DF"/>
    <w:rsid w:val="00C358C0"/>
    <w:rsid w:val="00C3750D"/>
    <w:rsid w:val="00C37F63"/>
    <w:rsid w:val="00C409E5"/>
    <w:rsid w:val="00C412CF"/>
    <w:rsid w:val="00C425C1"/>
    <w:rsid w:val="00C426F4"/>
    <w:rsid w:val="00C443F9"/>
    <w:rsid w:val="00C468FF"/>
    <w:rsid w:val="00C46EF1"/>
    <w:rsid w:val="00C46F86"/>
    <w:rsid w:val="00C470EA"/>
    <w:rsid w:val="00C50B7C"/>
    <w:rsid w:val="00C513FE"/>
    <w:rsid w:val="00C51B2A"/>
    <w:rsid w:val="00C51F40"/>
    <w:rsid w:val="00C52015"/>
    <w:rsid w:val="00C5313B"/>
    <w:rsid w:val="00C53654"/>
    <w:rsid w:val="00C53AB2"/>
    <w:rsid w:val="00C54B7E"/>
    <w:rsid w:val="00C54D8E"/>
    <w:rsid w:val="00C553FA"/>
    <w:rsid w:val="00C560BD"/>
    <w:rsid w:val="00C561EB"/>
    <w:rsid w:val="00C576B4"/>
    <w:rsid w:val="00C5770B"/>
    <w:rsid w:val="00C57BFA"/>
    <w:rsid w:val="00C57E0A"/>
    <w:rsid w:val="00C608A6"/>
    <w:rsid w:val="00C60CD2"/>
    <w:rsid w:val="00C6157A"/>
    <w:rsid w:val="00C61EB8"/>
    <w:rsid w:val="00C62D2D"/>
    <w:rsid w:val="00C631C0"/>
    <w:rsid w:val="00C63ED0"/>
    <w:rsid w:val="00C662E9"/>
    <w:rsid w:val="00C6754F"/>
    <w:rsid w:val="00C67B6F"/>
    <w:rsid w:val="00C7077C"/>
    <w:rsid w:val="00C72037"/>
    <w:rsid w:val="00C721B3"/>
    <w:rsid w:val="00C739B1"/>
    <w:rsid w:val="00C73E2F"/>
    <w:rsid w:val="00C759D4"/>
    <w:rsid w:val="00C75BE3"/>
    <w:rsid w:val="00C75CBF"/>
    <w:rsid w:val="00C77A35"/>
    <w:rsid w:val="00C800E9"/>
    <w:rsid w:val="00C8030B"/>
    <w:rsid w:val="00C80796"/>
    <w:rsid w:val="00C80A02"/>
    <w:rsid w:val="00C81C90"/>
    <w:rsid w:val="00C81FCB"/>
    <w:rsid w:val="00C82284"/>
    <w:rsid w:val="00C825FB"/>
    <w:rsid w:val="00C8274F"/>
    <w:rsid w:val="00C827B5"/>
    <w:rsid w:val="00C828C2"/>
    <w:rsid w:val="00C82955"/>
    <w:rsid w:val="00C83232"/>
    <w:rsid w:val="00C84398"/>
    <w:rsid w:val="00C84DBB"/>
    <w:rsid w:val="00C8546A"/>
    <w:rsid w:val="00C854D7"/>
    <w:rsid w:val="00C861D7"/>
    <w:rsid w:val="00C87784"/>
    <w:rsid w:val="00C8783E"/>
    <w:rsid w:val="00C902D6"/>
    <w:rsid w:val="00C90E0E"/>
    <w:rsid w:val="00C9181C"/>
    <w:rsid w:val="00C91CC2"/>
    <w:rsid w:val="00C91DF5"/>
    <w:rsid w:val="00C92452"/>
    <w:rsid w:val="00C92AD4"/>
    <w:rsid w:val="00C92C63"/>
    <w:rsid w:val="00C937D3"/>
    <w:rsid w:val="00C94DB0"/>
    <w:rsid w:val="00C958A5"/>
    <w:rsid w:val="00C9591C"/>
    <w:rsid w:val="00C9635E"/>
    <w:rsid w:val="00C9646A"/>
    <w:rsid w:val="00C9660E"/>
    <w:rsid w:val="00C9696D"/>
    <w:rsid w:val="00C96F1E"/>
    <w:rsid w:val="00C97283"/>
    <w:rsid w:val="00C97D1E"/>
    <w:rsid w:val="00CA0342"/>
    <w:rsid w:val="00CA0B3F"/>
    <w:rsid w:val="00CA2401"/>
    <w:rsid w:val="00CA2883"/>
    <w:rsid w:val="00CA2BED"/>
    <w:rsid w:val="00CA2EEA"/>
    <w:rsid w:val="00CA39D4"/>
    <w:rsid w:val="00CA39F5"/>
    <w:rsid w:val="00CA47F1"/>
    <w:rsid w:val="00CA5EB1"/>
    <w:rsid w:val="00CA5F83"/>
    <w:rsid w:val="00CA6194"/>
    <w:rsid w:val="00CA72B6"/>
    <w:rsid w:val="00CB0074"/>
    <w:rsid w:val="00CB09B1"/>
    <w:rsid w:val="00CB2617"/>
    <w:rsid w:val="00CB26D3"/>
    <w:rsid w:val="00CB31F4"/>
    <w:rsid w:val="00CB38CD"/>
    <w:rsid w:val="00CB3AAE"/>
    <w:rsid w:val="00CB45C7"/>
    <w:rsid w:val="00CB4BD6"/>
    <w:rsid w:val="00CB547D"/>
    <w:rsid w:val="00CB56F8"/>
    <w:rsid w:val="00CB5CD7"/>
    <w:rsid w:val="00CB69F0"/>
    <w:rsid w:val="00CB6A8E"/>
    <w:rsid w:val="00CB6ACE"/>
    <w:rsid w:val="00CB7112"/>
    <w:rsid w:val="00CB779D"/>
    <w:rsid w:val="00CC00F7"/>
    <w:rsid w:val="00CC0326"/>
    <w:rsid w:val="00CC0792"/>
    <w:rsid w:val="00CC092D"/>
    <w:rsid w:val="00CC12F4"/>
    <w:rsid w:val="00CC137B"/>
    <w:rsid w:val="00CC227E"/>
    <w:rsid w:val="00CC298B"/>
    <w:rsid w:val="00CC60A0"/>
    <w:rsid w:val="00CC7805"/>
    <w:rsid w:val="00CD0F09"/>
    <w:rsid w:val="00CD13EA"/>
    <w:rsid w:val="00CD18C4"/>
    <w:rsid w:val="00CD3119"/>
    <w:rsid w:val="00CD3893"/>
    <w:rsid w:val="00CD4372"/>
    <w:rsid w:val="00CD53F0"/>
    <w:rsid w:val="00CD5533"/>
    <w:rsid w:val="00CD6014"/>
    <w:rsid w:val="00CD61AD"/>
    <w:rsid w:val="00CD6937"/>
    <w:rsid w:val="00CD6EDC"/>
    <w:rsid w:val="00CD722A"/>
    <w:rsid w:val="00CD7260"/>
    <w:rsid w:val="00CD753F"/>
    <w:rsid w:val="00CD7C75"/>
    <w:rsid w:val="00CE0106"/>
    <w:rsid w:val="00CE03D2"/>
    <w:rsid w:val="00CE1D76"/>
    <w:rsid w:val="00CE204B"/>
    <w:rsid w:val="00CE4EC5"/>
    <w:rsid w:val="00CE76D7"/>
    <w:rsid w:val="00CF0165"/>
    <w:rsid w:val="00CF088E"/>
    <w:rsid w:val="00CF0A88"/>
    <w:rsid w:val="00CF0F3E"/>
    <w:rsid w:val="00CF27D8"/>
    <w:rsid w:val="00CF41A9"/>
    <w:rsid w:val="00CF5634"/>
    <w:rsid w:val="00CF627E"/>
    <w:rsid w:val="00CF653E"/>
    <w:rsid w:val="00CF66E9"/>
    <w:rsid w:val="00CF6840"/>
    <w:rsid w:val="00CF6A7C"/>
    <w:rsid w:val="00CF74B8"/>
    <w:rsid w:val="00CF7FA8"/>
    <w:rsid w:val="00D011B5"/>
    <w:rsid w:val="00D012F4"/>
    <w:rsid w:val="00D0152A"/>
    <w:rsid w:val="00D01740"/>
    <w:rsid w:val="00D01D60"/>
    <w:rsid w:val="00D024BD"/>
    <w:rsid w:val="00D02CF2"/>
    <w:rsid w:val="00D03381"/>
    <w:rsid w:val="00D038BE"/>
    <w:rsid w:val="00D03E48"/>
    <w:rsid w:val="00D0404E"/>
    <w:rsid w:val="00D04CC2"/>
    <w:rsid w:val="00D0655A"/>
    <w:rsid w:val="00D0663A"/>
    <w:rsid w:val="00D06B6F"/>
    <w:rsid w:val="00D06F52"/>
    <w:rsid w:val="00D06FDC"/>
    <w:rsid w:val="00D07AA8"/>
    <w:rsid w:val="00D119D6"/>
    <w:rsid w:val="00D11BA8"/>
    <w:rsid w:val="00D12A49"/>
    <w:rsid w:val="00D131D0"/>
    <w:rsid w:val="00D1493F"/>
    <w:rsid w:val="00D14AEE"/>
    <w:rsid w:val="00D15034"/>
    <w:rsid w:val="00D15090"/>
    <w:rsid w:val="00D1514F"/>
    <w:rsid w:val="00D15505"/>
    <w:rsid w:val="00D170EA"/>
    <w:rsid w:val="00D1737C"/>
    <w:rsid w:val="00D17469"/>
    <w:rsid w:val="00D17B91"/>
    <w:rsid w:val="00D17F16"/>
    <w:rsid w:val="00D200E5"/>
    <w:rsid w:val="00D21440"/>
    <w:rsid w:val="00D22251"/>
    <w:rsid w:val="00D22513"/>
    <w:rsid w:val="00D22624"/>
    <w:rsid w:val="00D22EA9"/>
    <w:rsid w:val="00D2411B"/>
    <w:rsid w:val="00D25258"/>
    <w:rsid w:val="00D254F9"/>
    <w:rsid w:val="00D25590"/>
    <w:rsid w:val="00D25691"/>
    <w:rsid w:val="00D259E5"/>
    <w:rsid w:val="00D266FF"/>
    <w:rsid w:val="00D26D8E"/>
    <w:rsid w:val="00D277ED"/>
    <w:rsid w:val="00D27D63"/>
    <w:rsid w:val="00D27E9C"/>
    <w:rsid w:val="00D300D4"/>
    <w:rsid w:val="00D31746"/>
    <w:rsid w:val="00D31DD9"/>
    <w:rsid w:val="00D32661"/>
    <w:rsid w:val="00D3290D"/>
    <w:rsid w:val="00D3298F"/>
    <w:rsid w:val="00D330D3"/>
    <w:rsid w:val="00D330D6"/>
    <w:rsid w:val="00D33199"/>
    <w:rsid w:val="00D331A4"/>
    <w:rsid w:val="00D338A6"/>
    <w:rsid w:val="00D33A2F"/>
    <w:rsid w:val="00D33C81"/>
    <w:rsid w:val="00D350CB"/>
    <w:rsid w:val="00D36019"/>
    <w:rsid w:val="00D365C4"/>
    <w:rsid w:val="00D36D95"/>
    <w:rsid w:val="00D36F16"/>
    <w:rsid w:val="00D37012"/>
    <w:rsid w:val="00D374B8"/>
    <w:rsid w:val="00D406FF"/>
    <w:rsid w:val="00D41089"/>
    <w:rsid w:val="00D4175D"/>
    <w:rsid w:val="00D41816"/>
    <w:rsid w:val="00D43521"/>
    <w:rsid w:val="00D4356D"/>
    <w:rsid w:val="00D439BD"/>
    <w:rsid w:val="00D43F50"/>
    <w:rsid w:val="00D44AF8"/>
    <w:rsid w:val="00D44F86"/>
    <w:rsid w:val="00D45133"/>
    <w:rsid w:val="00D45911"/>
    <w:rsid w:val="00D46175"/>
    <w:rsid w:val="00D50360"/>
    <w:rsid w:val="00D509CC"/>
    <w:rsid w:val="00D50AB3"/>
    <w:rsid w:val="00D50DD8"/>
    <w:rsid w:val="00D5109A"/>
    <w:rsid w:val="00D5120A"/>
    <w:rsid w:val="00D51D70"/>
    <w:rsid w:val="00D52D09"/>
    <w:rsid w:val="00D53D2E"/>
    <w:rsid w:val="00D549D3"/>
    <w:rsid w:val="00D54BFA"/>
    <w:rsid w:val="00D551ED"/>
    <w:rsid w:val="00D60551"/>
    <w:rsid w:val="00D60F80"/>
    <w:rsid w:val="00D61824"/>
    <w:rsid w:val="00D61A56"/>
    <w:rsid w:val="00D63AD4"/>
    <w:rsid w:val="00D6420F"/>
    <w:rsid w:val="00D642F9"/>
    <w:rsid w:val="00D6500C"/>
    <w:rsid w:val="00D66488"/>
    <w:rsid w:val="00D666E4"/>
    <w:rsid w:val="00D67396"/>
    <w:rsid w:val="00D6761C"/>
    <w:rsid w:val="00D67F12"/>
    <w:rsid w:val="00D70597"/>
    <w:rsid w:val="00D71161"/>
    <w:rsid w:val="00D71574"/>
    <w:rsid w:val="00D716A8"/>
    <w:rsid w:val="00D72032"/>
    <w:rsid w:val="00D7215C"/>
    <w:rsid w:val="00D7249E"/>
    <w:rsid w:val="00D72BA0"/>
    <w:rsid w:val="00D73DFD"/>
    <w:rsid w:val="00D73E2E"/>
    <w:rsid w:val="00D7473F"/>
    <w:rsid w:val="00D74AD9"/>
    <w:rsid w:val="00D74EFF"/>
    <w:rsid w:val="00D750C8"/>
    <w:rsid w:val="00D75899"/>
    <w:rsid w:val="00D75BC9"/>
    <w:rsid w:val="00D76087"/>
    <w:rsid w:val="00D76812"/>
    <w:rsid w:val="00D769BB"/>
    <w:rsid w:val="00D76B63"/>
    <w:rsid w:val="00D76FEB"/>
    <w:rsid w:val="00D77184"/>
    <w:rsid w:val="00D77253"/>
    <w:rsid w:val="00D77E8F"/>
    <w:rsid w:val="00D80323"/>
    <w:rsid w:val="00D80B75"/>
    <w:rsid w:val="00D836D9"/>
    <w:rsid w:val="00D838A6"/>
    <w:rsid w:val="00D84AB9"/>
    <w:rsid w:val="00D84D7E"/>
    <w:rsid w:val="00D85480"/>
    <w:rsid w:val="00D85B72"/>
    <w:rsid w:val="00D865FD"/>
    <w:rsid w:val="00D877E2"/>
    <w:rsid w:val="00D9011D"/>
    <w:rsid w:val="00D90143"/>
    <w:rsid w:val="00D90618"/>
    <w:rsid w:val="00D90A94"/>
    <w:rsid w:val="00D91580"/>
    <w:rsid w:val="00D919BB"/>
    <w:rsid w:val="00D925D1"/>
    <w:rsid w:val="00D9307E"/>
    <w:rsid w:val="00D932CF"/>
    <w:rsid w:val="00D9394A"/>
    <w:rsid w:val="00D93BA6"/>
    <w:rsid w:val="00D945A0"/>
    <w:rsid w:val="00D950D8"/>
    <w:rsid w:val="00D95832"/>
    <w:rsid w:val="00D95E0D"/>
    <w:rsid w:val="00D96122"/>
    <w:rsid w:val="00D96BD7"/>
    <w:rsid w:val="00D971AA"/>
    <w:rsid w:val="00D977C1"/>
    <w:rsid w:val="00DA016E"/>
    <w:rsid w:val="00DA0C05"/>
    <w:rsid w:val="00DA129F"/>
    <w:rsid w:val="00DA18F0"/>
    <w:rsid w:val="00DA2382"/>
    <w:rsid w:val="00DA2579"/>
    <w:rsid w:val="00DA3D4F"/>
    <w:rsid w:val="00DA4630"/>
    <w:rsid w:val="00DA5913"/>
    <w:rsid w:val="00DA6C62"/>
    <w:rsid w:val="00DA6F26"/>
    <w:rsid w:val="00DA7059"/>
    <w:rsid w:val="00DA71A0"/>
    <w:rsid w:val="00DB00FE"/>
    <w:rsid w:val="00DB0C1A"/>
    <w:rsid w:val="00DB1097"/>
    <w:rsid w:val="00DB24F6"/>
    <w:rsid w:val="00DB28FC"/>
    <w:rsid w:val="00DB2E5F"/>
    <w:rsid w:val="00DB32C1"/>
    <w:rsid w:val="00DB3B96"/>
    <w:rsid w:val="00DB4709"/>
    <w:rsid w:val="00DB494D"/>
    <w:rsid w:val="00DB49FE"/>
    <w:rsid w:val="00DB5F00"/>
    <w:rsid w:val="00DB655E"/>
    <w:rsid w:val="00DB6DAF"/>
    <w:rsid w:val="00DB6F31"/>
    <w:rsid w:val="00DB70C5"/>
    <w:rsid w:val="00DB7198"/>
    <w:rsid w:val="00DB7EB6"/>
    <w:rsid w:val="00DC0332"/>
    <w:rsid w:val="00DC04F4"/>
    <w:rsid w:val="00DC1456"/>
    <w:rsid w:val="00DC14DC"/>
    <w:rsid w:val="00DC179E"/>
    <w:rsid w:val="00DC25B0"/>
    <w:rsid w:val="00DC29E7"/>
    <w:rsid w:val="00DC3537"/>
    <w:rsid w:val="00DC415B"/>
    <w:rsid w:val="00DC4297"/>
    <w:rsid w:val="00DC4631"/>
    <w:rsid w:val="00DC5694"/>
    <w:rsid w:val="00DC6065"/>
    <w:rsid w:val="00DC6F61"/>
    <w:rsid w:val="00DC783F"/>
    <w:rsid w:val="00DC7866"/>
    <w:rsid w:val="00DD0011"/>
    <w:rsid w:val="00DD03CC"/>
    <w:rsid w:val="00DD0604"/>
    <w:rsid w:val="00DD0A7B"/>
    <w:rsid w:val="00DD0D76"/>
    <w:rsid w:val="00DD1C99"/>
    <w:rsid w:val="00DD223F"/>
    <w:rsid w:val="00DD2B5E"/>
    <w:rsid w:val="00DD3B52"/>
    <w:rsid w:val="00DD484E"/>
    <w:rsid w:val="00DD4BC2"/>
    <w:rsid w:val="00DD4CD3"/>
    <w:rsid w:val="00DD5506"/>
    <w:rsid w:val="00DD5C6A"/>
    <w:rsid w:val="00DD6913"/>
    <w:rsid w:val="00DD7466"/>
    <w:rsid w:val="00DE0266"/>
    <w:rsid w:val="00DE0C99"/>
    <w:rsid w:val="00DE0FCD"/>
    <w:rsid w:val="00DE11D7"/>
    <w:rsid w:val="00DE1FE1"/>
    <w:rsid w:val="00DE287F"/>
    <w:rsid w:val="00DE3247"/>
    <w:rsid w:val="00DE3FAF"/>
    <w:rsid w:val="00DE44EA"/>
    <w:rsid w:val="00DE48E9"/>
    <w:rsid w:val="00DE53AF"/>
    <w:rsid w:val="00DE53BC"/>
    <w:rsid w:val="00DE5CE9"/>
    <w:rsid w:val="00DE67A0"/>
    <w:rsid w:val="00DE6E7B"/>
    <w:rsid w:val="00DE787D"/>
    <w:rsid w:val="00DF0BA6"/>
    <w:rsid w:val="00DF0C8F"/>
    <w:rsid w:val="00DF17CD"/>
    <w:rsid w:val="00DF225E"/>
    <w:rsid w:val="00DF2ED6"/>
    <w:rsid w:val="00DF3287"/>
    <w:rsid w:val="00DF43BC"/>
    <w:rsid w:val="00DF4752"/>
    <w:rsid w:val="00DF51E5"/>
    <w:rsid w:val="00DF525D"/>
    <w:rsid w:val="00DF57EC"/>
    <w:rsid w:val="00DF58B7"/>
    <w:rsid w:val="00DF58EE"/>
    <w:rsid w:val="00DF6FC2"/>
    <w:rsid w:val="00DF741A"/>
    <w:rsid w:val="00DF7468"/>
    <w:rsid w:val="00DF75F4"/>
    <w:rsid w:val="00DF775F"/>
    <w:rsid w:val="00DF79EC"/>
    <w:rsid w:val="00DF7DD0"/>
    <w:rsid w:val="00E00BB0"/>
    <w:rsid w:val="00E00BB5"/>
    <w:rsid w:val="00E010E4"/>
    <w:rsid w:val="00E014BD"/>
    <w:rsid w:val="00E01FCB"/>
    <w:rsid w:val="00E0208D"/>
    <w:rsid w:val="00E022A0"/>
    <w:rsid w:val="00E03B8F"/>
    <w:rsid w:val="00E03D55"/>
    <w:rsid w:val="00E03E89"/>
    <w:rsid w:val="00E042B6"/>
    <w:rsid w:val="00E049D5"/>
    <w:rsid w:val="00E04F03"/>
    <w:rsid w:val="00E05293"/>
    <w:rsid w:val="00E05A3B"/>
    <w:rsid w:val="00E0694A"/>
    <w:rsid w:val="00E06AEF"/>
    <w:rsid w:val="00E06D30"/>
    <w:rsid w:val="00E0770E"/>
    <w:rsid w:val="00E07D35"/>
    <w:rsid w:val="00E105C2"/>
    <w:rsid w:val="00E11A8C"/>
    <w:rsid w:val="00E11D87"/>
    <w:rsid w:val="00E11E00"/>
    <w:rsid w:val="00E120FE"/>
    <w:rsid w:val="00E13462"/>
    <w:rsid w:val="00E14217"/>
    <w:rsid w:val="00E1437B"/>
    <w:rsid w:val="00E15A7F"/>
    <w:rsid w:val="00E1615B"/>
    <w:rsid w:val="00E16D31"/>
    <w:rsid w:val="00E20085"/>
    <w:rsid w:val="00E20CF4"/>
    <w:rsid w:val="00E21362"/>
    <w:rsid w:val="00E21F6C"/>
    <w:rsid w:val="00E2228F"/>
    <w:rsid w:val="00E22B62"/>
    <w:rsid w:val="00E23031"/>
    <w:rsid w:val="00E26044"/>
    <w:rsid w:val="00E260BC"/>
    <w:rsid w:val="00E2626D"/>
    <w:rsid w:val="00E262F3"/>
    <w:rsid w:val="00E266F8"/>
    <w:rsid w:val="00E26FBF"/>
    <w:rsid w:val="00E27835"/>
    <w:rsid w:val="00E27E9E"/>
    <w:rsid w:val="00E27F55"/>
    <w:rsid w:val="00E3007F"/>
    <w:rsid w:val="00E300A7"/>
    <w:rsid w:val="00E301C1"/>
    <w:rsid w:val="00E302AD"/>
    <w:rsid w:val="00E30357"/>
    <w:rsid w:val="00E31034"/>
    <w:rsid w:val="00E313BF"/>
    <w:rsid w:val="00E31624"/>
    <w:rsid w:val="00E31FF0"/>
    <w:rsid w:val="00E32275"/>
    <w:rsid w:val="00E324F2"/>
    <w:rsid w:val="00E32A90"/>
    <w:rsid w:val="00E33190"/>
    <w:rsid w:val="00E33275"/>
    <w:rsid w:val="00E33F33"/>
    <w:rsid w:val="00E34D3A"/>
    <w:rsid w:val="00E34E16"/>
    <w:rsid w:val="00E35585"/>
    <w:rsid w:val="00E36112"/>
    <w:rsid w:val="00E37C1E"/>
    <w:rsid w:val="00E4270D"/>
    <w:rsid w:val="00E45E65"/>
    <w:rsid w:val="00E4600D"/>
    <w:rsid w:val="00E46C22"/>
    <w:rsid w:val="00E474BE"/>
    <w:rsid w:val="00E5075A"/>
    <w:rsid w:val="00E5161B"/>
    <w:rsid w:val="00E528B9"/>
    <w:rsid w:val="00E52B51"/>
    <w:rsid w:val="00E53247"/>
    <w:rsid w:val="00E53520"/>
    <w:rsid w:val="00E53D9F"/>
    <w:rsid w:val="00E54AE5"/>
    <w:rsid w:val="00E557D7"/>
    <w:rsid w:val="00E559A8"/>
    <w:rsid w:val="00E55ED1"/>
    <w:rsid w:val="00E56099"/>
    <w:rsid w:val="00E56309"/>
    <w:rsid w:val="00E5634E"/>
    <w:rsid w:val="00E57A58"/>
    <w:rsid w:val="00E600CB"/>
    <w:rsid w:val="00E60BAB"/>
    <w:rsid w:val="00E617CE"/>
    <w:rsid w:val="00E61824"/>
    <w:rsid w:val="00E61CE0"/>
    <w:rsid w:val="00E61D30"/>
    <w:rsid w:val="00E621DB"/>
    <w:rsid w:val="00E62501"/>
    <w:rsid w:val="00E6256E"/>
    <w:rsid w:val="00E62F00"/>
    <w:rsid w:val="00E62FB1"/>
    <w:rsid w:val="00E63060"/>
    <w:rsid w:val="00E638A4"/>
    <w:rsid w:val="00E66F83"/>
    <w:rsid w:val="00E67488"/>
    <w:rsid w:val="00E70CD6"/>
    <w:rsid w:val="00E71909"/>
    <w:rsid w:val="00E71D3B"/>
    <w:rsid w:val="00E722D1"/>
    <w:rsid w:val="00E728BA"/>
    <w:rsid w:val="00E72BD0"/>
    <w:rsid w:val="00E72D64"/>
    <w:rsid w:val="00E73087"/>
    <w:rsid w:val="00E73982"/>
    <w:rsid w:val="00E74533"/>
    <w:rsid w:val="00E747BD"/>
    <w:rsid w:val="00E7497B"/>
    <w:rsid w:val="00E74D2E"/>
    <w:rsid w:val="00E75EF3"/>
    <w:rsid w:val="00E76883"/>
    <w:rsid w:val="00E80FBD"/>
    <w:rsid w:val="00E817B4"/>
    <w:rsid w:val="00E81AF9"/>
    <w:rsid w:val="00E81CD9"/>
    <w:rsid w:val="00E82E89"/>
    <w:rsid w:val="00E86561"/>
    <w:rsid w:val="00E86C17"/>
    <w:rsid w:val="00E86E63"/>
    <w:rsid w:val="00E86F49"/>
    <w:rsid w:val="00E87756"/>
    <w:rsid w:val="00E87AFB"/>
    <w:rsid w:val="00E901B8"/>
    <w:rsid w:val="00E904AF"/>
    <w:rsid w:val="00E916EF"/>
    <w:rsid w:val="00E92FEC"/>
    <w:rsid w:val="00E93360"/>
    <w:rsid w:val="00E94889"/>
    <w:rsid w:val="00E95C21"/>
    <w:rsid w:val="00E96977"/>
    <w:rsid w:val="00E96B4F"/>
    <w:rsid w:val="00E96D4A"/>
    <w:rsid w:val="00E973E4"/>
    <w:rsid w:val="00E97404"/>
    <w:rsid w:val="00EA01B8"/>
    <w:rsid w:val="00EA18C2"/>
    <w:rsid w:val="00EA1BC9"/>
    <w:rsid w:val="00EA27C1"/>
    <w:rsid w:val="00EA2B8E"/>
    <w:rsid w:val="00EA31B3"/>
    <w:rsid w:val="00EA3333"/>
    <w:rsid w:val="00EA4122"/>
    <w:rsid w:val="00EA47BD"/>
    <w:rsid w:val="00EA56BA"/>
    <w:rsid w:val="00EA581B"/>
    <w:rsid w:val="00EA5FC1"/>
    <w:rsid w:val="00EB0144"/>
    <w:rsid w:val="00EB01F2"/>
    <w:rsid w:val="00EB06BC"/>
    <w:rsid w:val="00EB1186"/>
    <w:rsid w:val="00EB1CAB"/>
    <w:rsid w:val="00EB2311"/>
    <w:rsid w:val="00EB248A"/>
    <w:rsid w:val="00EB3EF7"/>
    <w:rsid w:val="00EB4486"/>
    <w:rsid w:val="00EB4C1C"/>
    <w:rsid w:val="00EB4E0C"/>
    <w:rsid w:val="00EB5A0B"/>
    <w:rsid w:val="00EB636E"/>
    <w:rsid w:val="00EB64FF"/>
    <w:rsid w:val="00EB7C78"/>
    <w:rsid w:val="00EC0D19"/>
    <w:rsid w:val="00EC0FBC"/>
    <w:rsid w:val="00EC2F43"/>
    <w:rsid w:val="00EC31F0"/>
    <w:rsid w:val="00EC385D"/>
    <w:rsid w:val="00EC446B"/>
    <w:rsid w:val="00EC48CB"/>
    <w:rsid w:val="00EC5BF9"/>
    <w:rsid w:val="00EC6C6C"/>
    <w:rsid w:val="00EC7533"/>
    <w:rsid w:val="00EC7C77"/>
    <w:rsid w:val="00ED0486"/>
    <w:rsid w:val="00ED1566"/>
    <w:rsid w:val="00ED1C1F"/>
    <w:rsid w:val="00ED251F"/>
    <w:rsid w:val="00ED3AF7"/>
    <w:rsid w:val="00ED492B"/>
    <w:rsid w:val="00ED7822"/>
    <w:rsid w:val="00ED78E8"/>
    <w:rsid w:val="00ED7B52"/>
    <w:rsid w:val="00EE0F67"/>
    <w:rsid w:val="00EE396E"/>
    <w:rsid w:val="00EE44E5"/>
    <w:rsid w:val="00EE45A7"/>
    <w:rsid w:val="00EE49E3"/>
    <w:rsid w:val="00EE5088"/>
    <w:rsid w:val="00EE50C1"/>
    <w:rsid w:val="00EE5A74"/>
    <w:rsid w:val="00EE5DC5"/>
    <w:rsid w:val="00EE6104"/>
    <w:rsid w:val="00EE6C72"/>
    <w:rsid w:val="00EE7320"/>
    <w:rsid w:val="00EF0E4D"/>
    <w:rsid w:val="00EF1435"/>
    <w:rsid w:val="00EF1640"/>
    <w:rsid w:val="00EF2748"/>
    <w:rsid w:val="00EF3EA6"/>
    <w:rsid w:val="00EF45A5"/>
    <w:rsid w:val="00EF46C5"/>
    <w:rsid w:val="00EF4DF3"/>
    <w:rsid w:val="00EF5063"/>
    <w:rsid w:val="00EF5230"/>
    <w:rsid w:val="00EF52BE"/>
    <w:rsid w:val="00EF5B7B"/>
    <w:rsid w:val="00EF5D00"/>
    <w:rsid w:val="00EF62DA"/>
    <w:rsid w:val="00EF6488"/>
    <w:rsid w:val="00EF7679"/>
    <w:rsid w:val="00F000E5"/>
    <w:rsid w:val="00F0062B"/>
    <w:rsid w:val="00F007C8"/>
    <w:rsid w:val="00F007F2"/>
    <w:rsid w:val="00F00BD7"/>
    <w:rsid w:val="00F01807"/>
    <w:rsid w:val="00F02BC5"/>
    <w:rsid w:val="00F02CFF"/>
    <w:rsid w:val="00F0381A"/>
    <w:rsid w:val="00F03CCB"/>
    <w:rsid w:val="00F03F40"/>
    <w:rsid w:val="00F041F2"/>
    <w:rsid w:val="00F05395"/>
    <w:rsid w:val="00F06648"/>
    <w:rsid w:val="00F06AC5"/>
    <w:rsid w:val="00F06BCC"/>
    <w:rsid w:val="00F06F8B"/>
    <w:rsid w:val="00F07AD1"/>
    <w:rsid w:val="00F07B9C"/>
    <w:rsid w:val="00F07E4F"/>
    <w:rsid w:val="00F1082D"/>
    <w:rsid w:val="00F1095C"/>
    <w:rsid w:val="00F110F7"/>
    <w:rsid w:val="00F12C53"/>
    <w:rsid w:val="00F12D25"/>
    <w:rsid w:val="00F13163"/>
    <w:rsid w:val="00F131C4"/>
    <w:rsid w:val="00F138AF"/>
    <w:rsid w:val="00F13B6E"/>
    <w:rsid w:val="00F140CF"/>
    <w:rsid w:val="00F1469E"/>
    <w:rsid w:val="00F14D68"/>
    <w:rsid w:val="00F150B3"/>
    <w:rsid w:val="00F1512F"/>
    <w:rsid w:val="00F151EB"/>
    <w:rsid w:val="00F153F6"/>
    <w:rsid w:val="00F15AFE"/>
    <w:rsid w:val="00F16339"/>
    <w:rsid w:val="00F16370"/>
    <w:rsid w:val="00F16D66"/>
    <w:rsid w:val="00F176AD"/>
    <w:rsid w:val="00F200E3"/>
    <w:rsid w:val="00F20319"/>
    <w:rsid w:val="00F20CCB"/>
    <w:rsid w:val="00F2158A"/>
    <w:rsid w:val="00F21C53"/>
    <w:rsid w:val="00F222BE"/>
    <w:rsid w:val="00F22E9F"/>
    <w:rsid w:val="00F23535"/>
    <w:rsid w:val="00F23993"/>
    <w:rsid w:val="00F23F7B"/>
    <w:rsid w:val="00F244C4"/>
    <w:rsid w:val="00F245C7"/>
    <w:rsid w:val="00F24D01"/>
    <w:rsid w:val="00F254E7"/>
    <w:rsid w:val="00F25F62"/>
    <w:rsid w:val="00F2616D"/>
    <w:rsid w:val="00F26D54"/>
    <w:rsid w:val="00F30F16"/>
    <w:rsid w:val="00F31CFE"/>
    <w:rsid w:val="00F32711"/>
    <w:rsid w:val="00F328D6"/>
    <w:rsid w:val="00F32E6A"/>
    <w:rsid w:val="00F333A2"/>
    <w:rsid w:val="00F338DE"/>
    <w:rsid w:val="00F33DA5"/>
    <w:rsid w:val="00F3443B"/>
    <w:rsid w:val="00F3450E"/>
    <w:rsid w:val="00F34C35"/>
    <w:rsid w:val="00F3506C"/>
    <w:rsid w:val="00F362C6"/>
    <w:rsid w:val="00F36545"/>
    <w:rsid w:val="00F36547"/>
    <w:rsid w:val="00F4054F"/>
    <w:rsid w:val="00F40A06"/>
    <w:rsid w:val="00F40E1C"/>
    <w:rsid w:val="00F4108C"/>
    <w:rsid w:val="00F41F0D"/>
    <w:rsid w:val="00F429B9"/>
    <w:rsid w:val="00F433AB"/>
    <w:rsid w:val="00F436EE"/>
    <w:rsid w:val="00F43E35"/>
    <w:rsid w:val="00F44CFF"/>
    <w:rsid w:val="00F44E34"/>
    <w:rsid w:val="00F44F0C"/>
    <w:rsid w:val="00F4539A"/>
    <w:rsid w:val="00F45E12"/>
    <w:rsid w:val="00F5085C"/>
    <w:rsid w:val="00F50A1E"/>
    <w:rsid w:val="00F51330"/>
    <w:rsid w:val="00F52663"/>
    <w:rsid w:val="00F53797"/>
    <w:rsid w:val="00F53DF5"/>
    <w:rsid w:val="00F54150"/>
    <w:rsid w:val="00F542F9"/>
    <w:rsid w:val="00F55010"/>
    <w:rsid w:val="00F55145"/>
    <w:rsid w:val="00F555F7"/>
    <w:rsid w:val="00F55933"/>
    <w:rsid w:val="00F56744"/>
    <w:rsid w:val="00F56D44"/>
    <w:rsid w:val="00F57D04"/>
    <w:rsid w:val="00F6252D"/>
    <w:rsid w:val="00F63099"/>
    <w:rsid w:val="00F64F21"/>
    <w:rsid w:val="00F65B0C"/>
    <w:rsid w:val="00F65C49"/>
    <w:rsid w:val="00F66BF3"/>
    <w:rsid w:val="00F676FC"/>
    <w:rsid w:val="00F70677"/>
    <w:rsid w:val="00F706BD"/>
    <w:rsid w:val="00F71FBF"/>
    <w:rsid w:val="00F72ACC"/>
    <w:rsid w:val="00F72F84"/>
    <w:rsid w:val="00F7369E"/>
    <w:rsid w:val="00F73A6D"/>
    <w:rsid w:val="00F73D26"/>
    <w:rsid w:val="00F73F37"/>
    <w:rsid w:val="00F74571"/>
    <w:rsid w:val="00F74D11"/>
    <w:rsid w:val="00F75795"/>
    <w:rsid w:val="00F75902"/>
    <w:rsid w:val="00F7603E"/>
    <w:rsid w:val="00F76AFF"/>
    <w:rsid w:val="00F80536"/>
    <w:rsid w:val="00F80E19"/>
    <w:rsid w:val="00F80E1B"/>
    <w:rsid w:val="00F80E73"/>
    <w:rsid w:val="00F8117B"/>
    <w:rsid w:val="00F817AC"/>
    <w:rsid w:val="00F822EE"/>
    <w:rsid w:val="00F823DE"/>
    <w:rsid w:val="00F83021"/>
    <w:rsid w:val="00F83569"/>
    <w:rsid w:val="00F83D4D"/>
    <w:rsid w:val="00F84F1E"/>
    <w:rsid w:val="00F85FFF"/>
    <w:rsid w:val="00F860A3"/>
    <w:rsid w:val="00F8615F"/>
    <w:rsid w:val="00F8632C"/>
    <w:rsid w:val="00F86808"/>
    <w:rsid w:val="00F86EE4"/>
    <w:rsid w:val="00F875D6"/>
    <w:rsid w:val="00F87633"/>
    <w:rsid w:val="00F87BCA"/>
    <w:rsid w:val="00F87D7C"/>
    <w:rsid w:val="00F87F5B"/>
    <w:rsid w:val="00F90BBE"/>
    <w:rsid w:val="00F91D75"/>
    <w:rsid w:val="00F921E8"/>
    <w:rsid w:val="00F9225B"/>
    <w:rsid w:val="00F92E4E"/>
    <w:rsid w:val="00F94A7C"/>
    <w:rsid w:val="00FA00E8"/>
    <w:rsid w:val="00FA0471"/>
    <w:rsid w:val="00FA0CD4"/>
    <w:rsid w:val="00FA11CC"/>
    <w:rsid w:val="00FA196E"/>
    <w:rsid w:val="00FA1D29"/>
    <w:rsid w:val="00FA22E4"/>
    <w:rsid w:val="00FA32F8"/>
    <w:rsid w:val="00FA46C1"/>
    <w:rsid w:val="00FA6B88"/>
    <w:rsid w:val="00FB0348"/>
    <w:rsid w:val="00FB0BD9"/>
    <w:rsid w:val="00FB0CBD"/>
    <w:rsid w:val="00FB1471"/>
    <w:rsid w:val="00FB198C"/>
    <w:rsid w:val="00FB4B00"/>
    <w:rsid w:val="00FB5348"/>
    <w:rsid w:val="00FB5730"/>
    <w:rsid w:val="00FB5850"/>
    <w:rsid w:val="00FB6A74"/>
    <w:rsid w:val="00FC0ABB"/>
    <w:rsid w:val="00FC1166"/>
    <w:rsid w:val="00FC138F"/>
    <w:rsid w:val="00FC1D37"/>
    <w:rsid w:val="00FC2002"/>
    <w:rsid w:val="00FC2107"/>
    <w:rsid w:val="00FC2800"/>
    <w:rsid w:val="00FC3C2C"/>
    <w:rsid w:val="00FC46F7"/>
    <w:rsid w:val="00FC72F9"/>
    <w:rsid w:val="00FD0937"/>
    <w:rsid w:val="00FD1F98"/>
    <w:rsid w:val="00FD28C9"/>
    <w:rsid w:val="00FD32AD"/>
    <w:rsid w:val="00FD41EC"/>
    <w:rsid w:val="00FD5380"/>
    <w:rsid w:val="00FD5781"/>
    <w:rsid w:val="00FD61F8"/>
    <w:rsid w:val="00FD6779"/>
    <w:rsid w:val="00FD7833"/>
    <w:rsid w:val="00FD7D5F"/>
    <w:rsid w:val="00FE02E5"/>
    <w:rsid w:val="00FE03CF"/>
    <w:rsid w:val="00FE093D"/>
    <w:rsid w:val="00FE0A6E"/>
    <w:rsid w:val="00FE0F92"/>
    <w:rsid w:val="00FE17FA"/>
    <w:rsid w:val="00FE23C2"/>
    <w:rsid w:val="00FE26B8"/>
    <w:rsid w:val="00FE2F48"/>
    <w:rsid w:val="00FE3490"/>
    <w:rsid w:val="00FE34CF"/>
    <w:rsid w:val="00FE49F9"/>
    <w:rsid w:val="00FE4B18"/>
    <w:rsid w:val="00FE4DC8"/>
    <w:rsid w:val="00FE5F40"/>
    <w:rsid w:val="00FE61C6"/>
    <w:rsid w:val="00FE66A6"/>
    <w:rsid w:val="00FE6CFA"/>
    <w:rsid w:val="00FE7DAA"/>
    <w:rsid w:val="00FF04B2"/>
    <w:rsid w:val="00FF04F1"/>
    <w:rsid w:val="00FF0BD2"/>
    <w:rsid w:val="00FF0F7A"/>
    <w:rsid w:val="00FF18E9"/>
    <w:rsid w:val="00FF363C"/>
    <w:rsid w:val="00FF5250"/>
    <w:rsid w:val="00FF5C0A"/>
    <w:rsid w:val="00FF6C72"/>
    <w:rsid w:val="00FF6EEC"/>
    <w:rsid w:val="00FF784A"/>
    <w:rsid w:val="00FF79A0"/>
    <w:rsid w:val="00FF7BFF"/>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52C82"/>
  <w15:docId w15:val="{E5804CAB-C019-4004-97B1-175F7ACF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F86"/>
    <w:pPr>
      <w:spacing w:line="360" w:lineRule="auto"/>
      <w:ind w:firstLine="1440"/>
    </w:pPr>
    <w:rPr>
      <w:rFonts w:ascii="Times New Roman" w:hAnsi="Times New Roman"/>
      <w:sz w:val="26"/>
      <w:szCs w:val="22"/>
    </w:rPr>
  </w:style>
  <w:style w:type="paragraph" w:styleId="Heading1">
    <w:name w:val="heading 1"/>
    <w:basedOn w:val="Normal"/>
    <w:next w:val="Normal"/>
    <w:link w:val="Heading1Char"/>
    <w:uiPriority w:val="9"/>
    <w:qFormat/>
    <w:rsid w:val="008844B4"/>
    <w:pPr>
      <w:keepNext/>
      <w:spacing w:line="240" w:lineRule="auto"/>
      <w:ind w:firstLine="0"/>
      <w:jc w:val="center"/>
      <w:outlineLvl w:val="0"/>
    </w:pPr>
    <w:rPr>
      <w:b/>
      <w:szCs w:val="26"/>
    </w:rPr>
  </w:style>
  <w:style w:type="paragraph" w:styleId="Heading2">
    <w:name w:val="heading 2"/>
    <w:basedOn w:val="Normal"/>
    <w:next w:val="Normal"/>
    <w:link w:val="Heading2Char"/>
    <w:uiPriority w:val="9"/>
    <w:unhideWhenUsed/>
    <w:qFormat/>
    <w:rsid w:val="00055D48"/>
    <w:pPr>
      <w:keepNext/>
      <w:numPr>
        <w:numId w:val="1"/>
      </w:numPr>
      <w:spacing w:line="240" w:lineRule="auto"/>
      <w:outlineLvl w:val="1"/>
    </w:pPr>
    <w:rPr>
      <w:b/>
      <w:sz w:val="24"/>
      <w:szCs w:val="24"/>
    </w:rPr>
  </w:style>
  <w:style w:type="paragraph" w:styleId="Heading3">
    <w:name w:val="heading 3"/>
    <w:basedOn w:val="Normal"/>
    <w:next w:val="Normal"/>
    <w:link w:val="Heading3Char"/>
    <w:uiPriority w:val="9"/>
    <w:unhideWhenUsed/>
    <w:qFormat/>
    <w:rsid w:val="003B2E8C"/>
    <w:pPr>
      <w:keepNext/>
      <w:numPr>
        <w:numId w:val="2"/>
      </w:numPr>
      <w:spacing w:line="240" w:lineRule="auto"/>
      <w:ind w:left="1440" w:hanging="720"/>
      <w:outlineLvl w:val="2"/>
    </w:pPr>
    <w:rPr>
      <w:rFonts w:eastAsia="Times New Roman"/>
      <w:b/>
      <w:bCs/>
      <w:color w:val="333333"/>
      <w:szCs w:val="26"/>
    </w:rPr>
  </w:style>
  <w:style w:type="paragraph" w:styleId="Heading4">
    <w:name w:val="heading 4"/>
    <w:basedOn w:val="Normal"/>
    <w:next w:val="Normal"/>
    <w:link w:val="Heading4Char"/>
    <w:uiPriority w:val="9"/>
    <w:unhideWhenUsed/>
    <w:qFormat/>
    <w:rsid w:val="003B2E8C"/>
    <w:pPr>
      <w:keepNext/>
      <w:numPr>
        <w:numId w:val="19"/>
      </w:numPr>
      <w:spacing w:line="240" w:lineRule="auto"/>
      <w:ind w:left="2160" w:hanging="720"/>
      <w:outlineLvl w:val="3"/>
    </w:pPr>
    <w:rPr>
      <w:rFonts w:eastAsia="Times New Roman"/>
      <w:b/>
      <w:color w:val="333333"/>
      <w:szCs w:val="26"/>
    </w:rPr>
  </w:style>
  <w:style w:type="paragraph" w:styleId="Heading5">
    <w:name w:val="heading 5"/>
    <w:basedOn w:val="Normal"/>
    <w:next w:val="Normal"/>
    <w:link w:val="Heading5Char"/>
    <w:uiPriority w:val="9"/>
    <w:semiHidden/>
    <w:unhideWhenUsed/>
    <w:qFormat/>
    <w:rsid w:val="0047723D"/>
    <w:pPr>
      <w:spacing w:before="240" w:after="60"/>
      <w:outlineLvl w:val="4"/>
    </w:pPr>
    <w:rPr>
      <w:rFonts w:eastAsia="Times New Roman"/>
      <w:b/>
      <w:bCs/>
      <w:i/>
      <w:iCs/>
      <w:szCs w:val="26"/>
    </w:rPr>
  </w:style>
  <w:style w:type="paragraph" w:styleId="Heading6">
    <w:name w:val="heading 6"/>
    <w:basedOn w:val="Normal"/>
    <w:next w:val="Normal"/>
    <w:link w:val="Heading6Char"/>
    <w:uiPriority w:val="9"/>
    <w:semiHidden/>
    <w:unhideWhenUsed/>
    <w:qFormat/>
    <w:rsid w:val="0047723D"/>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844B4"/>
    <w:rPr>
      <w:rFonts w:ascii="Times New Roman" w:hAnsi="Times New Roman"/>
      <w:b/>
      <w:sz w:val="26"/>
      <w:szCs w:val="26"/>
    </w:rPr>
  </w:style>
  <w:style w:type="character" w:customStyle="1" w:styleId="Heading2Char">
    <w:name w:val="Heading 2 Char"/>
    <w:link w:val="Heading2"/>
    <w:uiPriority w:val="9"/>
    <w:rsid w:val="00055D48"/>
    <w:rPr>
      <w:rFonts w:ascii="Times New Roman" w:hAnsi="Times New Roman"/>
      <w:b/>
      <w:sz w:val="24"/>
      <w:szCs w:val="24"/>
    </w:rPr>
  </w:style>
  <w:style w:type="character" w:customStyle="1" w:styleId="Heading3Char">
    <w:name w:val="Heading 3 Char"/>
    <w:link w:val="Heading3"/>
    <w:uiPriority w:val="9"/>
    <w:rsid w:val="003B2E8C"/>
    <w:rPr>
      <w:rFonts w:ascii="Times New Roman" w:eastAsia="Times New Roman" w:hAnsi="Times New Roman"/>
      <w:b/>
      <w:bCs/>
      <w:color w:val="333333"/>
      <w:sz w:val="26"/>
      <w:szCs w:val="26"/>
    </w:rPr>
  </w:style>
  <w:style w:type="character" w:customStyle="1" w:styleId="Heading4Char">
    <w:name w:val="Heading 4 Char"/>
    <w:link w:val="Heading4"/>
    <w:uiPriority w:val="9"/>
    <w:rsid w:val="003B2E8C"/>
    <w:rPr>
      <w:rFonts w:ascii="Times New Roman" w:eastAsia="Times New Roman" w:hAnsi="Times New Roman"/>
      <w:b/>
      <w:color w:val="333333"/>
      <w:sz w:val="26"/>
      <w:szCs w:val="26"/>
    </w:rPr>
  </w:style>
  <w:style w:type="character" w:customStyle="1" w:styleId="Heading5Char">
    <w:name w:val="Heading 5 Char"/>
    <w:link w:val="Heading5"/>
    <w:uiPriority w:val="9"/>
    <w:semiHidden/>
    <w:rsid w:val="0047723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7723D"/>
    <w:rPr>
      <w:rFonts w:ascii="Calibri" w:eastAsia="Times New Roman" w:hAnsi="Calibri" w:cs="Times New Roman"/>
      <w:b/>
      <w:bCs/>
      <w:sz w:val="22"/>
      <w:szCs w:val="22"/>
    </w:rPr>
  </w:style>
  <w:style w:type="paragraph" w:styleId="NoSpacing">
    <w:name w:val="No Spacing"/>
    <w:uiPriority w:val="1"/>
    <w:qFormat/>
    <w:rsid w:val="00DA4630"/>
    <w:rPr>
      <w:rFonts w:ascii="Times New Roman" w:hAnsi="Times New Roman"/>
      <w:sz w:val="24"/>
      <w:szCs w:val="22"/>
    </w:rPr>
  </w:style>
  <w:style w:type="character" w:styleId="Hyperlink">
    <w:name w:val="Hyperlink"/>
    <w:uiPriority w:val="99"/>
    <w:unhideWhenUsed/>
    <w:rsid w:val="00DA4630"/>
    <w:rPr>
      <w:strike w:val="0"/>
      <w:dstrike w:val="0"/>
      <w:color w:val="004B91"/>
      <w:u w:val="none"/>
      <w:effect w:val="none"/>
    </w:rPr>
  </w:style>
  <w:style w:type="paragraph" w:styleId="ListParagraph">
    <w:name w:val="List Paragraph"/>
    <w:basedOn w:val="Normal"/>
    <w:uiPriority w:val="34"/>
    <w:qFormat/>
    <w:rsid w:val="00DA4630"/>
    <w:pPr>
      <w:spacing w:line="240" w:lineRule="auto"/>
      <w:ind w:left="720"/>
    </w:pPr>
    <w:rPr>
      <w:rFonts w:eastAsia="Times New Roman"/>
      <w:sz w:val="24"/>
      <w:szCs w:val="24"/>
    </w:rPr>
  </w:style>
  <w:style w:type="character" w:styleId="Strong">
    <w:name w:val="Strong"/>
    <w:uiPriority w:val="22"/>
    <w:qFormat/>
    <w:rsid w:val="00297269"/>
    <w:rPr>
      <w:b/>
      <w:bCs/>
    </w:rPr>
  </w:style>
  <w:style w:type="paragraph" w:styleId="Header">
    <w:name w:val="header"/>
    <w:basedOn w:val="Normal"/>
    <w:link w:val="HeaderChar"/>
    <w:uiPriority w:val="99"/>
    <w:unhideWhenUsed/>
    <w:rsid w:val="00DD03CC"/>
    <w:pPr>
      <w:tabs>
        <w:tab w:val="center" w:pos="4680"/>
        <w:tab w:val="right" w:pos="9360"/>
      </w:tabs>
      <w:spacing w:line="240" w:lineRule="auto"/>
    </w:pPr>
  </w:style>
  <w:style w:type="character" w:customStyle="1" w:styleId="HeaderChar">
    <w:name w:val="Header Char"/>
    <w:basedOn w:val="DefaultParagraphFont"/>
    <w:link w:val="Header"/>
    <w:uiPriority w:val="99"/>
    <w:rsid w:val="00DD03CC"/>
  </w:style>
  <w:style w:type="paragraph" w:styleId="Footer">
    <w:name w:val="footer"/>
    <w:basedOn w:val="Normal"/>
    <w:link w:val="FooterChar"/>
    <w:uiPriority w:val="99"/>
    <w:unhideWhenUsed/>
    <w:rsid w:val="00DD03CC"/>
    <w:pPr>
      <w:tabs>
        <w:tab w:val="center" w:pos="4680"/>
        <w:tab w:val="right" w:pos="9360"/>
      </w:tabs>
      <w:spacing w:line="240" w:lineRule="auto"/>
    </w:pPr>
  </w:style>
  <w:style w:type="character" w:customStyle="1" w:styleId="FooterChar">
    <w:name w:val="Footer Char"/>
    <w:basedOn w:val="DefaultParagraphFont"/>
    <w:link w:val="Footer"/>
    <w:uiPriority w:val="99"/>
    <w:rsid w:val="00DD03CC"/>
  </w:style>
  <w:style w:type="paragraph" w:styleId="BalloonText">
    <w:name w:val="Balloon Text"/>
    <w:basedOn w:val="Normal"/>
    <w:link w:val="BalloonTextChar"/>
    <w:uiPriority w:val="99"/>
    <w:semiHidden/>
    <w:unhideWhenUsed/>
    <w:rsid w:val="00A53C5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53C54"/>
    <w:rPr>
      <w:rFonts w:ascii="Tahoma" w:hAnsi="Tahoma" w:cs="Tahoma"/>
      <w:sz w:val="16"/>
      <w:szCs w:val="16"/>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Car,fn,ft"/>
    <w:basedOn w:val="Normal"/>
    <w:link w:val="FootnoteTextChar"/>
    <w:uiPriority w:val="99"/>
    <w:unhideWhenUsed/>
    <w:qFormat/>
    <w:rsid w:val="00B22843"/>
    <w:pPr>
      <w:spacing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Car Char"/>
    <w:link w:val="FootnoteText"/>
    <w:uiPriority w:val="99"/>
    <w:rsid w:val="00B22843"/>
    <w:rPr>
      <w:sz w:val="20"/>
      <w:szCs w:val="20"/>
    </w:rPr>
  </w:style>
  <w:style w:type="character" w:styleId="FootnoteReference">
    <w:name w:val="footnote reference"/>
    <w:aliases w:val="o,fr"/>
    <w:unhideWhenUsed/>
    <w:rsid w:val="00B22843"/>
    <w:rPr>
      <w:vertAlign w:val="superscript"/>
    </w:rPr>
  </w:style>
  <w:style w:type="character" w:customStyle="1" w:styleId="pmterms11">
    <w:name w:val="pmterms11"/>
    <w:rsid w:val="0047221A"/>
    <w:rPr>
      <w:b/>
      <w:bCs/>
      <w:i w:val="0"/>
      <w:iCs w:val="0"/>
      <w:color w:val="000000"/>
    </w:rPr>
  </w:style>
  <w:style w:type="character" w:customStyle="1" w:styleId="term1">
    <w:name w:val="term1"/>
    <w:rsid w:val="0047221A"/>
    <w:rPr>
      <w:b/>
      <w:bCs/>
    </w:rPr>
  </w:style>
  <w:style w:type="paragraph" w:customStyle="1" w:styleId="OutlineL2">
    <w:name w:val="Outline_L2"/>
    <w:basedOn w:val="Normal"/>
    <w:rsid w:val="0047221A"/>
    <w:pPr>
      <w:numPr>
        <w:ilvl w:val="1"/>
      </w:numPr>
      <w:tabs>
        <w:tab w:val="num" w:pos="720"/>
        <w:tab w:val="num" w:pos="1440"/>
      </w:tabs>
      <w:spacing w:after="240" w:line="480" w:lineRule="auto"/>
      <w:ind w:firstLine="720"/>
      <w:outlineLvl w:val="1"/>
    </w:pPr>
    <w:rPr>
      <w:rFonts w:eastAsia="Times New Roman"/>
      <w:sz w:val="24"/>
      <w:szCs w:val="20"/>
    </w:rPr>
  </w:style>
  <w:style w:type="paragraph" w:customStyle="1" w:styleId="Normal2">
    <w:name w:val="Normal 2"/>
    <w:basedOn w:val="Normal"/>
    <w:rsid w:val="0047221A"/>
    <w:pPr>
      <w:spacing w:after="240" w:line="240" w:lineRule="auto"/>
      <w:ind w:left="1440" w:firstLine="720"/>
    </w:pPr>
    <w:rPr>
      <w:sz w:val="24"/>
    </w:rPr>
  </w:style>
  <w:style w:type="paragraph" w:customStyle="1" w:styleId="OutlineL3">
    <w:name w:val="Outline_L3"/>
    <w:basedOn w:val="OutlineL2"/>
    <w:rsid w:val="0047221A"/>
    <w:pPr>
      <w:numPr>
        <w:ilvl w:val="2"/>
      </w:numPr>
      <w:tabs>
        <w:tab w:val="clear" w:pos="1440"/>
        <w:tab w:val="num" w:pos="720"/>
        <w:tab w:val="num" w:pos="2160"/>
      </w:tabs>
      <w:spacing w:after="120"/>
      <w:ind w:firstLine="1440"/>
      <w:outlineLvl w:val="2"/>
    </w:pPr>
  </w:style>
  <w:style w:type="paragraph" w:customStyle="1" w:styleId="OutlineL4">
    <w:name w:val="Outline_L4"/>
    <w:basedOn w:val="OutlineL3"/>
    <w:rsid w:val="0047221A"/>
    <w:pPr>
      <w:numPr>
        <w:ilvl w:val="3"/>
      </w:numPr>
      <w:tabs>
        <w:tab w:val="clear" w:pos="2160"/>
        <w:tab w:val="num" w:pos="720"/>
        <w:tab w:val="num" w:pos="2880"/>
      </w:tabs>
      <w:ind w:firstLine="2160"/>
      <w:outlineLvl w:val="3"/>
    </w:pPr>
  </w:style>
  <w:style w:type="character" w:styleId="CommentReference">
    <w:name w:val="annotation reference"/>
    <w:uiPriority w:val="99"/>
    <w:semiHidden/>
    <w:unhideWhenUsed/>
    <w:rsid w:val="0047221A"/>
    <w:rPr>
      <w:sz w:val="16"/>
      <w:szCs w:val="16"/>
    </w:rPr>
  </w:style>
  <w:style w:type="paragraph" w:styleId="CommentText">
    <w:name w:val="annotation text"/>
    <w:basedOn w:val="Normal"/>
    <w:link w:val="CommentTextChar"/>
    <w:uiPriority w:val="99"/>
    <w:semiHidden/>
    <w:unhideWhenUsed/>
    <w:rsid w:val="0047221A"/>
    <w:pPr>
      <w:spacing w:line="240" w:lineRule="auto"/>
    </w:pPr>
    <w:rPr>
      <w:sz w:val="20"/>
      <w:szCs w:val="20"/>
    </w:rPr>
  </w:style>
  <w:style w:type="character" w:customStyle="1" w:styleId="CommentTextChar">
    <w:name w:val="Comment Text Char"/>
    <w:link w:val="CommentText"/>
    <w:uiPriority w:val="99"/>
    <w:semiHidden/>
    <w:rsid w:val="0047221A"/>
    <w:rPr>
      <w:sz w:val="20"/>
      <w:szCs w:val="20"/>
    </w:rPr>
  </w:style>
  <w:style w:type="paragraph" w:customStyle="1" w:styleId="boldpara">
    <w:name w:val="bold para"/>
    <w:basedOn w:val="Normal"/>
    <w:link w:val="boldparaChar"/>
    <w:qFormat/>
    <w:rsid w:val="003D05D0"/>
    <w:pPr>
      <w:spacing w:line="480" w:lineRule="auto"/>
      <w:ind w:firstLine="720"/>
    </w:pPr>
    <w:rPr>
      <w:rFonts w:eastAsia="Times New Roman"/>
      <w:sz w:val="24"/>
      <w:szCs w:val="24"/>
    </w:rPr>
  </w:style>
  <w:style w:type="character" w:customStyle="1" w:styleId="boldparaChar">
    <w:name w:val="bold para Char"/>
    <w:link w:val="boldpara"/>
    <w:rsid w:val="003D05D0"/>
    <w:rPr>
      <w:rFonts w:ascii="Times New Roman" w:eastAsia="Times New Roman" w:hAnsi="Times New Roman" w:cs="Times New Roman"/>
      <w:sz w:val="24"/>
      <w:szCs w:val="24"/>
    </w:rPr>
  </w:style>
  <w:style w:type="paragraph" w:customStyle="1" w:styleId="OutlineL1">
    <w:name w:val="Outline_L1"/>
    <w:basedOn w:val="Normal"/>
    <w:next w:val="BodyText"/>
    <w:rsid w:val="002C4670"/>
    <w:pPr>
      <w:tabs>
        <w:tab w:val="num" w:pos="720"/>
      </w:tabs>
      <w:spacing w:after="240" w:line="240" w:lineRule="auto"/>
      <w:jc w:val="center"/>
      <w:outlineLvl w:val="0"/>
    </w:pPr>
    <w:rPr>
      <w:rFonts w:eastAsia="Times New Roman"/>
      <w:b/>
      <w:caps/>
      <w:sz w:val="24"/>
      <w:szCs w:val="20"/>
    </w:rPr>
  </w:style>
  <w:style w:type="paragraph" w:styleId="BodyText">
    <w:name w:val="Body Text"/>
    <w:basedOn w:val="Normal"/>
    <w:link w:val="BodyTextChar"/>
    <w:uiPriority w:val="99"/>
    <w:unhideWhenUsed/>
    <w:rsid w:val="002C4670"/>
    <w:pPr>
      <w:spacing w:after="120"/>
    </w:pPr>
  </w:style>
  <w:style w:type="character" w:customStyle="1" w:styleId="BodyTextChar">
    <w:name w:val="Body Text Char"/>
    <w:link w:val="BodyText"/>
    <w:uiPriority w:val="99"/>
    <w:rsid w:val="002C4670"/>
    <w:rPr>
      <w:sz w:val="22"/>
      <w:szCs w:val="22"/>
    </w:rPr>
  </w:style>
  <w:style w:type="paragraph" w:styleId="BodyText2">
    <w:name w:val="Body Text 2"/>
    <w:basedOn w:val="Normal"/>
    <w:link w:val="BodyText2Char"/>
    <w:uiPriority w:val="99"/>
    <w:unhideWhenUsed/>
    <w:rsid w:val="00F83021"/>
    <w:rPr>
      <w:sz w:val="24"/>
      <w:szCs w:val="24"/>
    </w:rPr>
  </w:style>
  <w:style w:type="character" w:customStyle="1" w:styleId="BodyText2Char">
    <w:name w:val="Body Text 2 Char"/>
    <w:link w:val="BodyText2"/>
    <w:uiPriority w:val="99"/>
    <w:rsid w:val="00F83021"/>
    <w:rPr>
      <w:rFonts w:ascii="Times New Roman" w:hAnsi="Times New Roman"/>
      <w:sz w:val="24"/>
      <w:szCs w:val="24"/>
    </w:rPr>
  </w:style>
  <w:style w:type="paragraph" w:styleId="BodyText3">
    <w:name w:val="Body Text 3"/>
    <w:basedOn w:val="Normal"/>
    <w:link w:val="BodyText3Char"/>
    <w:uiPriority w:val="99"/>
    <w:unhideWhenUsed/>
    <w:rsid w:val="006E3DA2"/>
    <w:rPr>
      <w:szCs w:val="26"/>
    </w:rPr>
  </w:style>
  <w:style w:type="character" w:customStyle="1" w:styleId="BodyText3Char">
    <w:name w:val="Body Text 3 Char"/>
    <w:link w:val="BodyText3"/>
    <w:uiPriority w:val="99"/>
    <w:rsid w:val="006E3DA2"/>
    <w:rPr>
      <w:rFonts w:ascii="Times New Roman" w:hAnsi="Times New Roman"/>
      <w:sz w:val="26"/>
      <w:szCs w:val="26"/>
    </w:rPr>
  </w:style>
  <w:style w:type="character" w:customStyle="1" w:styleId="FootnoteTextChar3">
    <w:name w:val="Footnote Text Char3"/>
    <w:aliases w:val="Footnote Text Char1 Char2,Footnote Text Char Char Char2,Footnote Text Char1 Char Char Char2,Footnote Text Char Char Char Char Char2,Footnote Text Char1 Char Char Char Char Char2,Footnote Text Char Char Char Char Char Char Char2"/>
    <w:basedOn w:val="DefaultParagraphFont"/>
    <w:semiHidden/>
    <w:rsid w:val="001371CA"/>
    <w:rPr>
      <w:sz w:val="24"/>
    </w:rPr>
  </w:style>
  <w:style w:type="paragraph" w:styleId="PlainText">
    <w:name w:val="Plain Text"/>
    <w:basedOn w:val="Normal"/>
    <w:link w:val="PlainTextChar"/>
    <w:uiPriority w:val="99"/>
    <w:rsid w:val="003E6FA5"/>
    <w:pPr>
      <w:spacing w:line="240" w:lineRule="auto"/>
    </w:pPr>
    <w:rPr>
      <w:rFonts w:eastAsia="Times New Roman"/>
      <w:szCs w:val="20"/>
    </w:rPr>
  </w:style>
  <w:style w:type="character" w:customStyle="1" w:styleId="PlainTextChar">
    <w:name w:val="Plain Text Char"/>
    <w:basedOn w:val="DefaultParagraphFont"/>
    <w:link w:val="PlainText"/>
    <w:uiPriority w:val="99"/>
    <w:rsid w:val="003E6FA5"/>
    <w:rPr>
      <w:rFonts w:ascii="Times New Roman" w:eastAsia="Times New Roman" w:hAnsi="Times New Roman"/>
      <w:sz w:val="26"/>
    </w:rPr>
  </w:style>
  <w:style w:type="paragraph" w:styleId="ListNumber">
    <w:name w:val="List Number"/>
    <w:basedOn w:val="Normal"/>
    <w:rsid w:val="003E6FA5"/>
    <w:pPr>
      <w:numPr>
        <w:numId w:val="3"/>
      </w:numPr>
      <w:tabs>
        <w:tab w:val="clear" w:pos="360"/>
      </w:tabs>
      <w:spacing w:line="480" w:lineRule="auto"/>
      <w:ind w:left="0" w:firstLine="720"/>
    </w:pPr>
    <w:rPr>
      <w:rFonts w:eastAsia="Times New Roman"/>
      <w:sz w:val="24"/>
      <w:szCs w:val="24"/>
    </w:rPr>
  </w:style>
  <w:style w:type="paragraph" w:customStyle="1" w:styleId="p3">
    <w:name w:val="p3"/>
    <w:basedOn w:val="Normal"/>
    <w:rsid w:val="00E15A7F"/>
    <w:pPr>
      <w:widowControl w:val="0"/>
      <w:tabs>
        <w:tab w:val="left" w:pos="204"/>
      </w:tabs>
      <w:autoSpaceDE w:val="0"/>
      <w:autoSpaceDN w:val="0"/>
      <w:adjustRightInd w:val="0"/>
      <w:spacing w:line="240" w:lineRule="auto"/>
    </w:pPr>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6F3138"/>
    <w:rPr>
      <w:b/>
      <w:bCs/>
    </w:rPr>
  </w:style>
  <w:style w:type="character" w:customStyle="1" w:styleId="CommentSubjectChar">
    <w:name w:val="Comment Subject Char"/>
    <w:basedOn w:val="CommentTextChar"/>
    <w:link w:val="CommentSubject"/>
    <w:uiPriority w:val="99"/>
    <w:semiHidden/>
    <w:rsid w:val="006F3138"/>
    <w:rPr>
      <w:b/>
      <w:bCs/>
      <w:sz w:val="20"/>
      <w:szCs w:val="20"/>
    </w:rPr>
  </w:style>
  <w:style w:type="paragraph" w:styleId="Revision">
    <w:name w:val="Revision"/>
    <w:hidden/>
    <w:uiPriority w:val="99"/>
    <w:semiHidden/>
    <w:rsid w:val="006F3138"/>
    <w:rPr>
      <w:sz w:val="22"/>
      <w:szCs w:val="22"/>
    </w:rPr>
  </w:style>
  <w:style w:type="character" w:styleId="Emphasis">
    <w:name w:val="Emphasis"/>
    <w:basedOn w:val="DefaultParagraphFont"/>
    <w:qFormat/>
    <w:rsid w:val="004A23B4"/>
    <w:rPr>
      <w:i/>
      <w:iCs/>
    </w:rPr>
  </w:style>
  <w:style w:type="paragraph" w:customStyle="1" w:styleId="p2">
    <w:name w:val="p2"/>
    <w:basedOn w:val="Normal"/>
    <w:rsid w:val="00C51F40"/>
    <w:pPr>
      <w:widowControl w:val="0"/>
      <w:tabs>
        <w:tab w:val="left" w:pos="1445"/>
      </w:tabs>
      <w:autoSpaceDE w:val="0"/>
      <w:autoSpaceDN w:val="0"/>
      <w:adjustRightInd w:val="0"/>
      <w:spacing w:line="240" w:lineRule="auto"/>
      <w:ind w:firstLine="1445"/>
    </w:pPr>
    <w:rPr>
      <w:rFonts w:eastAsia="Times New Roman"/>
      <w:sz w:val="24"/>
      <w:szCs w:val="24"/>
    </w:rPr>
  </w:style>
  <w:style w:type="paragraph" w:customStyle="1" w:styleId="c1">
    <w:name w:val="c1"/>
    <w:basedOn w:val="Normal"/>
    <w:rsid w:val="00692693"/>
    <w:pPr>
      <w:widowControl w:val="0"/>
      <w:autoSpaceDE w:val="0"/>
      <w:autoSpaceDN w:val="0"/>
      <w:adjustRightInd w:val="0"/>
      <w:spacing w:line="240" w:lineRule="auto"/>
      <w:jc w:val="center"/>
    </w:pPr>
    <w:rPr>
      <w:rFonts w:eastAsia="Times New Roman"/>
      <w:sz w:val="24"/>
      <w:szCs w:val="24"/>
    </w:rPr>
  </w:style>
  <w:style w:type="paragraph" w:styleId="BodyTextIndent">
    <w:name w:val="Body Text Indent"/>
    <w:basedOn w:val="Normal"/>
    <w:link w:val="BodyTextIndentChar"/>
    <w:uiPriority w:val="99"/>
    <w:semiHidden/>
    <w:unhideWhenUsed/>
    <w:rsid w:val="00FC138F"/>
    <w:pPr>
      <w:spacing w:after="120"/>
      <w:ind w:left="360"/>
    </w:pPr>
    <w:rPr>
      <w:rFonts w:ascii="CG Times" w:eastAsia="Times New Roman" w:hAnsi="CG Times"/>
      <w:sz w:val="24"/>
      <w:szCs w:val="20"/>
    </w:rPr>
  </w:style>
  <w:style w:type="character" w:customStyle="1" w:styleId="BodyTextIndentChar">
    <w:name w:val="Body Text Indent Char"/>
    <w:basedOn w:val="DefaultParagraphFont"/>
    <w:link w:val="BodyTextIndent"/>
    <w:uiPriority w:val="99"/>
    <w:semiHidden/>
    <w:rsid w:val="00FC138F"/>
    <w:rPr>
      <w:rFonts w:ascii="CG Times" w:eastAsia="Times New Roman" w:hAnsi="CG Times"/>
      <w:sz w:val="24"/>
    </w:rPr>
  </w:style>
  <w:style w:type="paragraph" w:styleId="Subtitle">
    <w:name w:val="Subtitle"/>
    <w:basedOn w:val="Normal"/>
    <w:link w:val="SubtitleChar"/>
    <w:qFormat/>
    <w:rsid w:val="00D01D60"/>
    <w:pPr>
      <w:spacing w:line="240" w:lineRule="auto"/>
      <w:jc w:val="center"/>
    </w:pPr>
    <w:rPr>
      <w:rFonts w:ascii="CG Times" w:eastAsia="Times New Roman" w:hAnsi="CG Times"/>
      <w:b/>
      <w:sz w:val="24"/>
      <w:szCs w:val="20"/>
    </w:rPr>
  </w:style>
  <w:style w:type="character" w:customStyle="1" w:styleId="SubtitleChar">
    <w:name w:val="Subtitle Char"/>
    <w:basedOn w:val="DefaultParagraphFont"/>
    <w:link w:val="Subtitle"/>
    <w:rsid w:val="00D01D60"/>
    <w:rPr>
      <w:rFonts w:ascii="CG Times" w:eastAsia="Times New Roman" w:hAnsi="CG Times"/>
      <w:b/>
      <w:sz w:val="24"/>
    </w:rPr>
  </w:style>
  <w:style w:type="character" w:customStyle="1" w:styleId="EndnoteTextChar">
    <w:name w:val="Endnote Text Char"/>
    <w:basedOn w:val="DefaultParagraphFont"/>
    <w:link w:val="EndnoteText"/>
    <w:uiPriority w:val="99"/>
    <w:semiHidden/>
    <w:rsid w:val="00D01D60"/>
    <w:rPr>
      <w:rFonts w:ascii="CG Times" w:eastAsia="Times New Roman" w:hAnsi="CG Times"/>
    </w:rPr>
  </w:style>
  <w:style w:type="paragraph" w:styleId="EndnoteText">
    <w:name w:val="endnote text"/>
    <w:basedOn w:val="Normal"/>
    <w:link w:val="EndnoteTextChar"/>
    <w:uiPriority w:val="99"/>
    <w:semiHidden/>
    <w:unhideWhenUsed/>
    <w:rsid w:val="00D01D60"/>
    <w:pPr>
      <w:spacing w:line="240" w:lineRule="auto"/>
    </w:pPr>
    <w:rPr>
      <w:rFonts w:ascii="CG Times" w:eastAsia="Times New Roman" w:hAnsi="CG Times"/>
      <w:sz w:val="20"/>
      <w:szCs w:val="20"/>
    </w:rPr>
  </w:style>
  <w:style w:type="table" w:styleId="TableGrid">
    <w:name w:val="Table Grid"/>
    <w:basedOn w:val="TableNormal"/>
    <w:uiPriority w:val="59"/>
    <w:rsid w:val="003C7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E673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8B0D92"/>
    <w:pPr>
      <w:tabs>
        <w:tab w:val="left" w:pos="1812"/>
        <w:tab w:val="right" w:leader="dot" w:pos="9350"/>
      </w:tabs>
      <w:spacing w:after="100"/>
      <w:ind w:firstLine="0"/>
    </w:pPr>
  </w:style>
  <w:style w:type="paragraph" w:styleId="TOC2">
    <w:name w:val="toc 2"/>
    <w:basedOn w:val="Normal"/>
    <w:next w:val="Normal"/>
    <w:autoRedefine/>
    <w:uiPriority w:val="39"/>
    <w:unhideWhenUsed/>
    <w:rsid w:val="003E673A"/>
    <w:pPr>
      <w:spacing w:after="100"/>
      <w:ind w:left="260"/>
    </w:pPr>
  </w:style>
  <w:style w:type="paragraph" w:styleId="TOC3">
    <w:name w:val="toc 3"/>
    <w:basedOn w:val="Normal"/>
    <w:next w:val="Normal"/>
    <w:autoRedefine/>
    <w:uiPriority w:val="39"/>
    <w:unhideWhenUsed/>
    <w:rsid w:val="003E673A"/>
    <w:pPr>
      <w:spacing w:after="100"/>
      <w:ind w:left="520"/>
    </w:pPr>
  </w:style>
  <w:style w:type="paragraph" w:customStyle="1" w:styleId="Default">
    <w:name w:val="Default"/>
    <w:rsid w:val="003C30EB"/>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894F6B"/>
    <w:pPr>
      <w:spacing w:before="100" w:beforeAutospacing="1" w:after="100" w:afterAutospacing="1" w:line="240" w:lineRule="auto"/>
      <w:ind w:firstLine="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830073">
      <w:bodyDiv w:val="1"/>
      <w:marLeft w:val="0"/>
      <w:marRight w:val="0"/>
      <w:marTop w:val="0"/>
      <w:marBottom w:val="0"/>
      <w:divBdr>
        <w:top w:val="none" w:sz="0" w:space="0" w:color="auto"/>
        <w:left w:val="none" w:sz="0" w:space="0" w:color="auto"/>
        <w:bottom w:val="none" w:sz="0" w:space="0" w:color="auto"/>
        <w:right w:val="none" w:sz="0" w:space="0" w:color="auto"/>
      </w:divBdr>
    </w:div>
    <w:div w:id="798299523">
      <w:bodyDiv w:val="1"/>
      <w:marLeft w:val="0"/>
      <w:marRight w:val="0"/>
      <w:marTop w:val="0"/>
      <w:marBottom w:val="0"/>
      <w:divBdr>
        <w:top w:val="none" w:sz="0" w:space="0" w:color="auto"/>
        <w:left w:val="none" w:sz="0" w:space="0" w:color="auto"/>
        <w:bottom w:val="none" w:sz="0" w:space="0" w:color="auto"/>
        <w:right w:val="none" w:sz="0" w:space="0" w:color="auto"/>
      </w:divBdr>
    </w:div>
    <w:div w:id="830219912">
      <w:bodyDiv w:val="1"/>
      <w:marLeft w:val="0"/>
      <w:marRight w:val="0"/>
      <w:marTop w:val="0"/>
      <w:marBottom w:val="0"/>
      <w:divBdr>
        <w:top w:val="none" w:sz="0" w:space="0" w:color="auto"/>
        <w:left w:val="none" w:sz="0" w:space="0" w:color="auto"/>
        <w:bottom w:val="none" w:sz="0" w:space="0" w:color="auto"/>
        <w:right w:val="none" w:sz="0" w:space="0" w:color="auto"/>
      </w:divBdr>
      <w:divsChild>
        <w:div w:id="1966963231">
          <w:marLeft w:val="150"/>
          <w:marRight w:val="150"/>
          <w:marTop w:val="150"/>
          <w:marBottom w:val="150"/>
          <w:divBdr>
            <w:top w:val="none" w:sz="0" w:space="0" w:color="auto"/>
            <w:left w:val="none" w:sz="0" w:space="0" w:color="auto"/>
            <w:bottom w:val="none" w:sz="0" w:space="0" w:color="auto"/>
            <w:right w:val="none" w:sz="0" w:space="0" w:color="auto"/>
          </w:divBdr>
          <w:divsChild>
            <w:div w:id="1278565596">
              <w:marLeft w:val="0"/>
              <w:marRight w:val="0"/>
              <w:marTop w:val="0"/>
              <w:marBottom w:val="0"/>
              <w:divBdr>
                <w:top w:val="none" w:sz="0" w:space="0" w:color="auto"/>
                <w:left w:val="none" w:sz="0" w:space="0" w:color="auto"/>
                <w:bottom w:val="none" w:sz="0" w:space="0" w:color="auto"/>
                <w:right w:val="none" w:sz="0" w:space="0" w:color="auto"/>
              </w:divBdr>
              <w:divsChild>
                <w:div w:id="330642277">
                  <w:marLeft w:val="0"/>
                  <w:marRight w:val="0"/>
                  <w:marTop w:val="0"/>
                  <w:marBottom w:val="0"/>
                  <w:divBdr>
                    <w:top w:val="none" w:sz="0" w:space="0" w:color="auto"/>
                    <w:left w:val="none" w:sz="0" w:space="0" w:color="auto"/>
                    <w:bottom w:val="none" w:sz="0" w:space="0" w:color="auto"/>
                    <w:right w:val="none" w:sz="0" w:space="0" w:color="auto"/>
                  </w:divBdr>
                  <w:divsChild>
                    <w:div w:id="92437717">
                      <w:marLeft w:val="0"/>
                      <w:marRight w:val="0"/>
                      <w:marTop w:val="0"/>
                      <w:marBottom w:val="0"/>
                      <w:divBdr>
                        <w:top w:val="none" w:sz="0" w:space="0" w:color="auto"/>
                        <w:left w:val="none" w:sz="0" w:space="0" w:color="auto"/>
                        <w:bottom w:val="none" w:sz="0" w:space="0" w:color="auto"/>
                        <w:right w:val="none" w:sz="0" w:space="0" w:color="auto"/>
                      </w:divBdr>
                    </w:div>
                    <w:div w:id="95836073">
                      <w:marLeft w:val="180"/>
                      <w:marRight w:val="0"/>
                      <w:marTop w:val="0"/>
                      <w:marBottom w:val="0"/>
                      <w:divBdr>
                        <w:top w:val="none" w:sz="0" w:space="0" w:color="auto"/>
                        <w:left w:val="none" w:sz="0" w:space="0" w:color="auto"/>
                        <w:bottom w:val="none" w:sz="0" w:space="0" w:color="auto"/>
                        <w:right w:val="none" w:sz="0" w:space="0" w:color="auto"/>
                      </w:divBdr>
                    </w:div>
                    <w:div w:id="392508616">
                      <w:marLeft w:val="360"/>
                      <w:marRight w:val="0"/>
                      <w:marTop w:val="0"/>
                      <w:marBottom w:val="0"/>
                      <w:divBdr>
                        <w:top w:val="none" w:sz="0" w:space="0" w:color="auto"/>
                        <w:left w:val="none" w:sz="0" w:space="0" w:color="auto"/>
                        <w:bottom w:val="none" w:sz="0" w:space="0" w:color="auto"/>
                        <w:right w:val="none" w:sz="0" w:space="0" w:color="auto"/>
                      </w:divBdr>
                    </w:div>
                    <w:div w:id="441148423">
                      <w:marLeft w:val="180"/>
                      <w:marRight w:val="0"/>
                      <w:marTop w:val="0"/>
                      <w:marBottom w:val="0"/>
                      <w:divBdr>
                        <w:top w:val="none" w:sz="0" w:space="0" w:color="auto"/>
                        <w:left w:val="none" w:sz="0" w:space="0" w:color="auto"/>
                        <w:bottom w:val="none" w:sz="0" w:space="0" w:color="auto"/>
                        <w:right w:val="none" w:sz="0" w:space="0" w:color="auto"/>
                      </w:divBdr>
                    </w:div>
                    <w:div w:id="564922072">
                      <w:marLeft w:val="180"/>
                      <w:marRight w:val="0"/>
                      <w:marTop w:val="0"/>
                      <w:marBottom w:val="0"/>
                      <w:divBdr>
                        <w:top w:val="none" w:sz="0" w:space="0" w:color="auto"/>
                        <w:left w:val="none" w:sz="0" w:space="0" w:color="auto"/>
                        <w:bottom w:val="none" w:sz="0" w:space="0" w:color="auto"/>
                        <w:right w:val="none" w:sz="0" w:space="0" w:color="auto"/>
                      </w:divBdr>
                    </w:div>
                    <w:div w:id="596444056">
                      <w:marLeft w:val="0"/>
                      <w:marRight w:val="0"/>
                      <w:marTop w:val="0"/>
                      <w:marBottom w:val="0"/>
                      <w:divBdr>
                        <w:top w:val="none" w:sz="0" w:space="0" w:color="auto"/>
                        <w:left w:val="none" w:sz="0" w:space="0" w:color="auto"/>
                        <w:bottom w:val="none" w:sz="0" w:space="0" w:color="auto"/>
                        <w:right w:val="none" w:sz="0" w:space="0" w:color="auto"/>
                      </w:divBdr>
                    </w:div>
                    <w:div w:id="824392278">
                      <w:marLeft w:val="180"/>
                      <w:marRight w:val="0"/>
                      <w:marTop w:val="0"/>
                      <w:marBottom w:val="0"/>
                      <w:divBdr>
                        <w:top w:val="none" w:sz="0" w:space="0" w:color="auto"/>
                        <w:left w:val="none" w:sz="0" w:space="0" w:color="auto"/>
                        <w:bottom w:val="none" w:sz="0" w:space="0" w:color="auto"/>
                        <w:right w:val="none" w:sz="0" w:space="0" w:color="auto"/>
                      </w:divBdr>
                    </w:div>
                    <w:div w:id="849490837">
                      <w:marLeft w:val="180"/>
                      <w:marRight w:val="0"/>
                      <w:marTop w:val="0"/>
                      <w:marBottom w:val="0"/>
                      <w:divBdr>
                        <w:top w:val="none" w:sz="0" w:space="0" w:color="auto"/>
                        <w:left w:val="none" w:sz="0" w:space="0" w:color="auto"/>
                        <w:bottom w:val="none" w:sz="0" w:space="0" w:color="auto"/>
                        <w:right w:val="none" w:sz="0" w:space="0" w:color="auto"/>
                      </w:divBdr>
                    </w:div>
                    <w:div w:id="1223718190">
                      <w:marLeft w:val="0"/>
                      <w:marRight w:val="0"/>
                      <w:marTop w:val="0"/>
                      <w:marBottom w:val="0"/>
                      <w:divBdr>
                        <w:top w:val="none" w:sz="0" w:space="0" w:color="auto"/>
                        <w:left w:val="none" w:sz="0" w:space="0" w:color="auto"/>
                        <w:bottom w:val="none" w:sz="0" w:space="0" w:color="auto"/>
                        <w:right w:val="none" w:sz="0" w:space="0" w:color="auto"/>
                      </w:divBdr>
                    </w:div>
                    <w:div w:id="1321883715">
                      <w:marLeft w:val="180"/>
                      <w:marRight w:val="0"/>
                      <w:marTop w:val="0"/>
                      <w:marBottom w:val="0"/>
                      <w:divBdr>
                        <w:top w:val="none" w:sz="0" w:space="0" w:color="auto"/>
                        <w:left w:val="none" w:sz="0" w:space="0" w:color="auto"/>
                        <w:bottom w:val="none" w:sz="0" w:space="0" w:color="auto"/>
                        <w:right w:val="none" w:sz="0" w:space="0" w:color="auto"/>
                      </w:divBdr>
                    </w:div>
                    <w:div w:id="1664897096">
                      <w:marLeft w:val="0"/>
                      <w:marRight w:val="0"/>
                      <w:marTop w:val="0"/>
                      <w:marBottom w:val="0"/>
                      <w:divBdr>
                        <w:top w:val="none" w:sz="0" w:space="0" w:color="auto"/>
                        <w:left w:val="none" w:sz="0" w:space="0" w:color="auto"/>
                        <w:bottom w:val="none" w:sz="0" w:space="0" w:color="auto"/>
                        <w:right w:val="none" w:sz="0" w:space="0" w:color="auto"/>
                      </w:divBdr>
                    </w:div>
                    <w:div w:id="1730109843">
                      <w:marLeft w:val="360"/>
                      <w:marRight w:val="0"/>
                      <w:marTop w:val="0"/>
                      <w:marBottom w:val="0"/>
                      <w:divBdr>
                        <w:top w:val="none" w:sz="0" w:space="0" w:color="auto"/>
                        <w:left w:val="none" w:sz="0" w:space="0" w:color="auto"/>
                        <w:bottom w:val="none" w:sz="0" w:space="0" w:color="auto"/>
                        <w:right w:val="none" w:sz="0" w:space="0" w:color="auto"/>
                      </w:divBdr>
                    </w:div>
                    <w:div w:id="1771584365">
                      <w:marLeft w:val="180"/>
                      <w:marRight w:val="0"/>
                      <w:marTop w:val="0"/>
                      <w:marBottom w:val="0"/>
                      <w:divBdr>
                        <w:top w:val="none" w:sz="0" w:space="0" w:color="auto"/>
                        <w:left w:val="none" w:sz="0" w:space="0" w:color="auto"/>
                        <w:bottom w:val="none" w:sz="0" w:space="0" w:color="auto"/>
                        <w:right w:val="none" w:sz="0" w:space="0" w:color="auto"/>
                      </w:divBdr>
                    </w:div>
                    <w:div w:id="1832019019">
                      <w:marLeft w:val="180"/>
                      <w:marRight w:val="0"/>
                      <w:marTop w:val="0"/>
                      <w:marBottom w:val="0"/>
                      <w:divBdr>
                        <w:top w:val="none" w:sz="0" w:space="0" w:color="auto"/>
                        <w:left w:val="none" w:sz="0" w:space="0" w:color="auto"/>
                        <w:bottom w:val="none" w:sz="0" w:space="0" w:color="auto"/>
                        <w:right w:val="none" w:sz="0" w:space="0" w:color="auto"/>
                      </w:divBdr>
                    </w:div>
                    <w:div w:id="200208117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87046">
      <w:bodyDiv w:val="1"/>
      <w:marLeft w:val="0"/>
      <w:marRight w:val="0"/>
      <w:marTop w:val="0"/>
      <w:marBottom w:val="0"/>
      <w:divBdr>
        <w:top w:val="none" w:sz="0" w:space="0" w:color="auto"/>
        <w:left w:val="none" w:sz="0" w:space="0" w:color="auto"/>
        <w:bottom w:val="none" w:sz="0" w:space="0" w:color="auto"/>
        <w:right w:val="none" w:sz="0" w:space="0" w:color="auto"/>
      </w:divBdr>
      <w:divsChild>
        <w:div w:id="1385522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470228">
      <w:bodyDiv w:val="1"/>
      <w:marLeft w:val="0"/>
      <w:marRight w:val="0"/>
      <w:marTop w:val="0"/>
      <w:marBottom w:val="0"/>
      <w:divBdr>
        <w:top w:val="none" w:sz="0" w:space="0" w:color="auto"/>
        <w:left w:val="none" w:sz="0" w:space="0" w:color="auto"/>
        <w:bottom w:val="none" w:sz="0" w:space="0" w:color="auto"/>
        <w:right w:val="none" w:sz="0" w:space="0" w:color="auto"/>
      </w:divBdr>
      <w:divsChild>
        <w:div w:id="53704124">
          <w:marLeft w:val="150"/>
          <w:marRight w:val="150"/>
          <w:marTop w:val="150"/>
          <w:marBottom w:val="150"/>
          <w:divBdr>
            <w:top w:val="none" w:sz="0" w:space="0" w:color="auto"/>
            <w:left w:val="none" w:sz="0" w:space="0" w:color="auto"/>
            <w:bottom w:val="none" w:sz="0" w:space="0" w:color="auto"/>
            <w:right w:val="none" w:sz="0" w:space="0" w:color="auto"/>
          </w:divBdr>
          <w:divsChild>
            <w:div w:id="970935471">
              <w:marLeft w:val="0"/>
              <w:marRight w:val="0"/>
              <w:marTop w:val="0"/>
              <w:marBottom w:val="0"/>
              <w:divBdr>
                <w:top w:val="none" w:sz="0" w:space="0" w:color="auto"/>
                <w:left w:val="none" w:sz="0" w:space="0" w:color="auto"/>
                <w:bottom w:val="none" w:sz="0" w:space="0" w:color="auto"/>
                <w:right w:val="none" w:sz="0" w:space="0" w:color="auto"/>
              </w:divBdr>
              <w:divsChild>
                <w:div w:id="424613147">
                  <w:marLeft w:val="0"/>
                  <w:marRight w:val="0"/>
                  <w:marTop w:val="0"/>
                  <w:marBottom w:val="0"/>
                  <w:divBdr>
                    <w:top w:val="none" w:sz="0" w:space="0" w:color="auto"/>
                    <w:left w:val="none" w:sz="0" w:space="0" w:color="auto"/>
                    <w:bottom w:val="none" w:sz="0" w:space="0" w:color="auto"/>
                    <w:right w:val="none" w:sz="0" w:space="0" w:color="auto"/>
                  </w:divBdr>
                  <w:divsChild>
                    <w:div w:id="1205605048">
                      <w:marLeft w:val="0"/>
                      <w:marRight w:val="0"/>
                      <w:marTop w:val="0"/>
                      <w:marBottom w:val="0"/>
                      <w:divBdr>
                        <w:top w:val="none" w:sz="0" w:space="0" w:color="auto"/>
                        <w:left w:val="none" w:sz="0" w:space="0" w:color="auto"/>
                        <w:bottom w:val="none" w:sz="0" w:space="0" w:color="auto"/>
                        <w:right w:val="none" w:sz="0" w:space="0" w:color="auto"/>
                      </w:divBdr>
                      <w:divsChild>
                        <w:div w:id="63468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171470">
      <w:bodyDiv w:val="1"/>
      <w:marLeft w:val="0"/>
      <w:marRight w:val="0"/>
      <w:marTop w:val="0"/>
      <w:marBottom w:val="0"/>
      <w:divBdr>
        <w:top w:val="none" w:sz="0" w:space="0" w:color="auto"/>
        <w:left w:val="none" w:sz="0" w:space="0" w:color="auto"/>
        <w:bottom w:val="none" w:sz="0" w:space="0" w:color="auto"/>
        <w:right w:val="none" w:sz="0" w:space="0" w:color="auto"/>
      </w:divBdr>
      <w:divsChild>
        <w:div w:id="230896162">
          <w:marLeft w:val="150"/>
          <w:marRight w:val="150"/>
          <w:marTop w:val="150"/>
          <w:marBottom w:val="150"/>
          <w:divBdr>
            <w:top w:val="none" w:sz="0" w:space="0" w:color="auto"/>
            <w:left w:val="none" w:sz="0" w:space="0" w:color="auto"/>
            <w:bottom w:val="none" w:sz="0" w:space="0" w:color="auto"/>
            <w:right w:val="none" w:sz="0" w:space="0" w:color="auto"/>
          </w:divBdr>
          <w:divsChild>
            <w:div w:id="2012760103">
              <w:marLeft w:val="0"/>
              <w:marRight w:val="0"/>
              <w:marTop w:val="0"/>
              <w:marBottom w:val="0"/>
              <w:divBdr>
                <w:top w:val="none" w:sz="0" w:space="0" w:color="auto"/>
                <w:left w:val="none" w:sz="0" w:space="0" w:color="auto"/>
                <w:bottom w:val="none" w:sz="0" w:space="0" w:color="auto"/>
                <w:right w:val="none" w:sz="0" w:space="0" w:color="auto"/>
              </w:divBdr>
              <w:divsChild>
                <w:div w:id="1618485583">
                  <w:marLeft w:val="0"/>
                  <w:marRight w:val="0"/>
                  <w:marTop w:val="0"/>
                  <w:marBottom w:val="0"/>
                  <w:divBdr>
                    <w:top w:val="none" w:sz="0" w:space="0" w:color="auto"/>
                    <w:left w:val="none" w:sz="0" w:space="0" w:color="auto"/>
                    <w:bottom w:val="none" w:sz="0" w:space="0" w:color="auto"/>
                    <w:right w:val="none" w:sz="0" w:space="0" w:color="auto"/>
                  </w:divBdr>
                  <w:divsChild>
                    <w:div w:id="28342499">
                      <w:marLeft w:val="360"/>
                      <w:marRight w:val="0"/>
                      <w:marTop w:val="0"/>
                      <w:marBottom w:val="0"/>
                      <w:divBdr>
                        <w:top w:val="none" w:sz="0" w:space="0" w:color="auto"/>
                        <w:left w:val="none" w:sz="0" w:space="0" w:color="auto"/>
                        <w:bottom w:val="none" w:sz="0" w:space="0" w:color="auto"/>
                        <w:right w:val="none" w:sz="0" w:space="0" w:color="auto"/>
                      </w:divBdr>
                    </w:div>
                    <w:div w:id="38862987">
                      <w:marLeft w:val="360"/>
                      <w:marRight w:val="0"/>
                      <w:marTop w:val="0"/>
                      <w:marBottom w:val="0"/>
                      <w:divBdr>
                        <w:top w:val="none" w:sz="0" w:space="0" w:color="auto"/>
                        <w:left w:val="none" w:sz="0" w:space="0" w:color="auto"/>
                        <w:bottom w:val="none" w:sz="0" w:space="0" w:color="auto"/>
                        <w:right w:val="none" w:sz="0" w:space="0" w:color="auto"/>
                      </w:divBdr>
                    </w:div>
                    <w:div w:id="42561854">
                      <w:marLeft w:val="0"/>
                      <w:marRight w:val="0"/>
                      <w:marTop w:val="0"/>
                      <w:marBottom w:val="0"/>
                      <w:divBdr>
                        <w:top w:val="none" w:sz="0" w:space="0" w:color="auto"/>
                        <w:left w:val="none" w:sz="0" w:space="0" w:color="auto"/>
                        <w:bottom w:val="none" w:sz="0" w:space="0" w:color="auto"/>
                        <w:right w:val="none" w:sz="0" w:space="0" w:color="auto"/>
                      </w:divBdr>
                    </w:div>
                    <w:div w:id="233392974">
                      <w:marLeft w:val="360"/>
                      <w:marRight w:val="0"/>
                      <w:marTop w:val="0"/>
                      <w:marBottom w:val="0"/>
                      <w:divBdr>
                        <w:top w:val="none" w:sz="0" w:space="0" w:color="auto"/>
                        <w:left w:val="none" w:sz="0" w:space="0" w:color="auto"/>
                        <w:bottom w:val="none" w:sz="0" w:space="0" w:color="auto"/>
                        <w:right w:val="none" w:sz="0" w:space="0" w:color="auto"/>
                      </w:divBdr>
                    </w:div>
                    <w:div w:id="510145963">
                      <w:marLeft w:val="180"/>
                      <w:marRight w:val="0"/>
                      <w:marTop w:val="0"/>
                      <w:marBottom w:val="0"/>
                      <w:divBdr>
                        <w:top w:val="none" w:sz="0" w:space="0" w:color="auto"/>
                        <w:left w:val="none" w:sz="0" w:space="0" w:color="auto"/>
                        <w:bottom w:val="none" w:sz="0" w:space="0" w:color="auto"/>
                        <w:right w:val="none" w:sz="0" w:space="0" w:color="auto"/>
                      </w:divBdr>
                    </w:div>
                    <w:div w:id="911164765">
                      <w:marLeft w:val="360"/>
                      <w:marRight w:val="0"/>
                      <w:marTop w:val="0"/>
                      <w:marBottom w:val="0"/>
                      <w:divBdr>
                        <w:top w:val="none" w:sz="0" w:space="0" w:color="auto"/>
                        <w:left w:val="none" w:sz="0" w:space="0" w:color="auto"/>
                        <w:bottom w:val="none" w:sz="0" w:space="0" w:color="auto"/>
                        <w:right w:val="none" w:sz="0" w:space="0" w:color="auto"/>
                      </w:divBdr>
                    </w:div>
                    <w:div w:id="1029380027">
                      <w:marLeft w:val="360"/>
                      <w:marRight w:val="0"/>
                      <w:marTop w:val="0"/>
                      <w:marBottom w:val="0"/>
                      <w:divBdr>
                        <w:top w:val="none" w:sz="0" w:space="0" w:color="auto"/>
                        <w:left w:val="none" w:sz="0" w:space="0" w:color="auto"/>
                        <w:bottom w:val="none" w:sz="0" w:space="0" w:color="auto"/>
                        <w:right w:val="none" w:sz="0" w:space="0" w:color="auto"/>
                      </w:divBdr>
                    </w:div>
                    <w:div w:id="1414427750">
                      <w:marLeft w:val="360"/>
                      <w:marRight w:val="0"/>
                      <w:marTop w:val="0"/>
                      <w:marBottom w:val="0"/>
                      <w:divBdr>
                        <w:top w:val="none" w:sz="0" w:space="0" w:color="auto"/>
                        <w:left w:val="none" w:sz="0" w:space="0" w:color="auto"/>
                        <w:bottom w:val="none" w:sz="0" w:space="0" w:color="auto"/>
                        <w:right w:val="none" w:sz="0" w:space="0" w:color="auto"/>
                      </w:divBdr>
                    </w:div>
                    <w:div w:id="1550876163">
                      <w:marLeft w:val="360"/>
                      <w:marRight w:val="0"/>
                      <w:marTop w:val="0"/>
                      <w:marBottom w:val="0"/>
                      <w:divBdr>
                        <w:top w:val="none" w:sz="0" w:space="0" w:color="auto"/>
                        <w:left w:val="none" w:sz="0" w:space="0" w:color="auto"/>
                        <w:bottom w:val="none" w:sz="0" w:space="0" w:color="auto"/>
                        <w:right w:val="none" w:sz="0" w:space="0" w:color="auto"/>
                      </w:divBdr>
                    </w:div>
                    <w:div w:id="1610626278">
                      <w:marLeft w:val="360"/>
                      <w:marRight w:val="0"/>
                      <w:marTop w:val="0"/>
                      <w:marBottom w:val="0"/>
                      <w:divBdr>
                        <w:top w:val="none" w:sz="0" w:space="0" w:color="auto"/>
                        <w:left w:val="none" w:sz="0" w:space="0" w:color="auto"/>
                        <w:bottom w:val="none" w:sz="0" w:space="0" w:color="auto"/>
                        <w:right w:val="none" w:sz="0" w:space="0" w:color="auto"/>
                      </w:divBdr>
                    </w:div>
                    <w:div w:id="1845391250">
                      <w:marLeft w:val="360"/>
                      <w:marRight w:val="0"/>
                      <w:marTop w:val="0"/>
                      <w:marBottom w:val="0"/>
                      <w:divBdr>
                        <w:top w:val="none" w:sz="0" w:space="0" w:color="auto"/>
                        <w:left w:val="none" w:sz="0" w:space="0" w:color="auto"/>
                        <w:bottom w:val="none" w:sz="0" w:space="0" w:color="auto"/>
                        <w:right w:val="none" w:sz="0" w:space="0" w:color="auto"/>
                      </w:divBdr>
                    </w:div>
                    <w:div w:id="1920671347">
                      <w:marLeft w:val="180"/>
                      <w:marRight w:val="0"/>
                      <w:marTop w:val="0"/>
                      <w:marBottom w:val="0"/>
                      <w:divBdr>
                        <w:top w:val="none" w:sz="0" w:space="0" w:color="auto"/>
                        <w:left w:val="none" w:sz="0" w:space="0" w:color="auto"/>
                        <w:bottom w:val="none" w:sz="0" w:space="0" w:color="auto"/>
                        <w:right w:val="none" w:sz="0" w:space="0" w:color="auto"/>
                      </w:divBdr>
                    </w:div>
                    <w:div w:id="2097748676">
                      <w:marLeft w:val="360"/>
                      <w:marRight w:val="0"/>
                      <w:marTop w:val="0"/>
                      <w:marBottom w:val="0"/>
                      <w:divBdr>
                        <w:top w:val="none" w:sz="0" w:space="0" w:color="auto"/>
                        <w:left w:val="none" w:sz="0" w:space="0" w:color="auto"/>
                        <w:bottom w:val="none" w:sz="0" w:space="0" w:color="auto"/>
                        <w:right w:val="none" w:sz="0" w:space="0" w:color="auto"/>
                      </w:divBdr>
                    </w:div>
                    <w:div w:id="2123377083">
                      <w:marLeft w:val="360"/>
                      <w:marRight w:val="0"/>
                      <w:marTop w:val="0"/>
                      <w:marBottom w:val="0"/>
                      <w:divBdr>
                        <w:top w:val="none" w:sz="0" w:space="0" w:color="auto"/>
                        <w:left w:val="none" w:sz="0" w:space="0" w:color="auto"/>
                        <w:bottom w:val="none" w:sz="0" w:space="0" w:color="auto"/>
                        <w:right w:val="none" w:sz="0" w:space="0" w:color="auto"/>
                      </w:divBdr>
                    </w:div>
                    <w:div w:id="21407614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20097">
      <w:bodyDiv w:val="1"/>
      <w:marLeft w:val="0"/>
      <w:marRight w:val="0"/>
      <w:marTop w:val="0"/>
      <w:marBottom w:val="0"/>
      <w:divBdr>
        <w:top w:val="none" w:sz="0" w:space="0" w:color="auto"/>
        <w:left w:val="none" w:sz="0" w:space="0" w:color="auto"/>
        <w:bottom w:val="none" w:sz="0" w:space="0" w:color="auto"/>
        <w:right w:val="none" w:sz="0" w:space="0" w:color="auto"/>
      </w:divBdr>
      <w:divsChild>
        <w:div w:id="2039504335">
          <w:marLeft w:val="0"/>
          <w:marRight w:val="0"/>
          <w:marTop w:val="180"/>
          <w:marBottom w:val="0"/>
          <w:divBdr>
            <w:top w:val="none" w:sz="0" w:space="0" w:color="auto"/>
            <w:left w:val="none" w:sz="0" w:space="0" w:color="auto"/>
            <w:bottom w:val="none" w:sz="0" w:space="0" w:color="auto"/>
            <w:right w:val="none" w:sz="0" w:space="0" w:color="auto"/>
          </w:divBdr>
          <w:divsChild>
            <w:div w:id="833574167">
              <w:marLeft w:val="3330"/>
              <w:marRight w:val="180"/>
              <w:marTop w:val="0"/>
              <w:marBottom w:val="0"/>
              <w:divBdr>
                <w:top w:val="none" w:sz="0" w:space="0" w:color="auto"/>
                <w:left w:val="none" w:sz="0" w:space="0" w:color="auto"/>
                <w:bottom w:val="none" w:sz="0" w:space="0" w:color="auto"/>
                <w:right w:val="none" w:sz="0" w:space="0" w:color="auto"/>
              </w:divBdr>
              <w:divsChild>
                <w:div w:id="1271662737">
                  <w:marLeft w:val="0"/>
                  <w:marRight w:val="0"/>
                  <w:marTop w:val="0"/>
                  <w:marBottom w:val="0"/>
                  <w:divBdr>
                    <w:top w:val="none" w:sz="0" w:space="0" w:color="auto"/>
                    <w:left w:val="none" w:sz="0" w:space="0" w:color="auto"/>
                    <w:bottom w:val="none" w:sz="0" w:space="0" w:color="auto"/>
                    <w:right w:val="none" w:sz="0" w:space="0" w:color="auto"/>
                  </w:divBdr>
                  <w:divsChild>
                    <w:div w:id="72169328">
                      <w:marLeft w:val="0"/>
                      <w:marRight w:val="0"/>
                      <w:marTop w:val="0"/>
                      <w:marBottom w:val="0"/>
                      <w:divBdr>
                        <w:top w:val="none" w:sz="0" w:space="0" w:color="auto"/>
                        <w:left w:val="none" w:sz="0" w:space="0" w:color="auto"/>
                        <w:bottom w:val="none" w:sz="0" w:space="0" w:color="auto"/>
                        <w:right w:val="none" w:sz="0" w:space="0" w:color="auto"/>
                      </w:divBdr>
                      <w:divsChild>
                        <w:div w:id="777673978">
                          <w:marLeft w:val="0"/>
                          <w:marRight w:val="0"/>
                          <w:marTop w:val="0"/>
                          <w:marBottom w:val="0"/>
                          <w:divBdr>
                            <w:top w:val="single" w:sz="6" w:space="0" w:color="AAAAAA"/>
                            <w:left w:val="single" w:sz="6" w:space="0" w:color="AAAAAA"/>
                            <w:bottom w:val="single" w:sz="6" w:space="0" w:color="AAAAAA"/>
                            <w:right w:val="single" w:sz="6" w:space="0" w:color="AAAAAA"/>
                          </w:divBdr>
                          <w:divsChild>
                            <w:div w:id="1211574860">
                              <w:marLeft w:val="0"/>
                              <w:marRight w:val="0"/>
                              <w:marTop w:val="0"/>
                              <w:marBottom w:val="0"/>
                              <w:divBdr>
                                <w:top w:val="none" w:sz="0" w:space="0" w:color="auto"/>
                                <w:left w:val="none" w:sz="0" w:space="0" w:color="auto"/>
                                <w:bottom w:val="none" w:sz="0" w:space="0" w:color="auto"/>
                                <w:right w:val="none" w:sz="0" w:space="0" w:color="auto"/>
                              </w:divBdr>
                              <w:divsChild>
                                <w:div w:id="2128549404">
                                  <w:marLeft w:val="0"/>
                                  <w:marRight w:val="0"/>
                                  <w:marTop w:val="0"/>
                                  <w:marBottom w:val="0"/>
                                  <w:divBdr>
                                    <w:top w:val="none" w:sz="0" w:space="0" w:color="auto"/>
                                    <w:left w:val="none" w:sz="0" w:space="0" w:color="auto"/>
                                    <w:bottom w:val="none" w:sz="0" w:space="0" w:color="auto"/>
                                    <w:right w:val="none" w:sz="0" w:space="0" w:color="auto"/>
                                  </w:divBdr>
                                  <w:divsChild>
                                    <w:div w:id="1320812961">
                                      <w:marLeft w:val="0"/>
                                      <w:marRight w:val="0"/>
                                      <w:marTop w:val="0"/>
                                      <w:marBottom w:val="0"/>
                                      <w:divBdr>
                                        <w:top w:val="none" w:sz="0" w:space="0" w:color="auto"/>
                                        <w:left w:val="none" w:sz="0" w:space="0" w:color="auto"/>
                                        <w:bottom w:val="none" w:sz="0" w:space="0" w:color="auto"/>
                                        <w:right w:val="none" w:sz="0" w:space="0" w:color="auto"/>
                                      </w:divBdr>
                                      <w:divsChild>
                                        <w:div w:id="356467645">
                                          <w:marLeft w:val="0"/>
                                          <w:marRight w:val="0"/>
                                          <w:marTop w:val="0"/>
                                          <w:marBottom w:val="180"/>
                                          <w:divBdr>
                                            <w:top w:val="single" w:sz="6" w:space="0" w:color="CCCCCC"/>
                                            <w:left w:val="single" w:sz="6" w:space="0" w:color="CCCCCC"/>
                                            <w:bottom w:val="single" w:sz="6" w:space="0" w:color="CCCCCC"/>
                                            <w:right w:val="single" w:sz="6" w:space="0" w:color="CCCCCC"/>
                                          </w:divBdr>
                                          <w:divsChild>
                                            <w:div w:id="1068455509">
                                              <w:marLeft w:val="0"/>
                                              <w:marRight w:val="0"/>
                                              <w:marTop w:val="0"/>
                                              <w:marBottom w:val="0"/>
                                              <w:divBdr>
                                                <w:top w:val="single" w:sz="6" w:space="12" w:color="CCCCCC"/>
                                                <w:left w:val="single" w:sz="6" w:space="0" w:color="CCCCCC"/>
                                                <w:bottom w:val="single" w:sz="6" w:space="12" w:color="CCCCCC"/>
                                                <w:right w:val="single" w:sz="2" w:space="14" w:color="CCCCCC"/>
                                              </w:divBdr>
                                              <w:divsChild>
                                                <w:div w:id="936910962">
                                                  <w:marLeft w:val="0"/>
                                                  <w:marRight w:val="0"/>
                                                  <w:marTop w:val="0"/>
                                                  <w:marBottom w:val="0"/>
                                                  <w:divBdr>
                                                    <w:top w:val="none" w:sz="0" w:space="0" w:color="auto"/>
                                                    <w:left w:val="none" w:sz="0" w:space="0" w:color="auto"/>
                                                    <w:bottom w:val="none" w:sz="0" w:space="0" w:color="auto"/>
                                                    <w:right w:val="none" w:sz="0" w:space="0" w:color="auto"/>
                                                  </w:divBdr>
                                                  <w:divsChild>
                                                    <w:div w:id="564678556">
                                                      <w:marLeft w:val="1800"/>
                                                      <w:marRight w:val="0"/>
                                                      <w:marTop w:val="0"/>
                                                      <w:marBottom w:val="0"/>
                                                      <w:divBdr>
                                                        <w:top w:val="none" w:sz="0" w:space="0" w:color="auto"/>
                                                        <w:left w:val="none" w:sz="0" w:space="0" w:color="auto"/>
                                                        <w:bottom w:val="none" w:sz="0" w:space="0" w:color="auto"/>
                                                        <w:right w:val="none" w:sz="0" w:space="0" w:color="auto"/>
                                                      </w:divBdr>
                                                      <w:divsChild>
                                                        <w:div w:id="81609880">
                                                          <w:marLeft w:val="0"/>
                                                          <w:marRight w:val="0"/>
                                                          <w:marTop w:val="0"/>
                                                          <w:marBottom w:val="0"/>
                                                          <w:divBdr>
                                                            <w:top w:val="none" w:sz="0" w:space="0" w:color="auto"/>
                                                            <w:left w:val="none" w:sz="0" w:space="0" w:color="auto"/>
                                                            <w:bottom w:val="none" w:sz="0" w:space="0" w:color="auto"/>
                                                            <w:right w:val="none" w:sz="0" w:space="0" w:color="auto"/>
                                                          </w:divBdr>
                                                          <w:divsChild>
                                                            <w:div w:id="1399086413">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177648939">
                                                                  <w:marLeft w:val="0"/>
                                                                  <w:marRight w:val="0"/>
                                                                  <w:marTop w:val="0"/>
                                                                  <w:marBottom w:val="0"/>
                                                                  <w:divBdr>
                                                                    <w:top w:val="none" w:sz="0" w:space="0" w:color="auto"/>
                                                                    <w:left w:val="none" w:sz="0" w:space="0" w:color="auto"/>
                                                                    <w:bottom w:val="none" w:sz="0" w:space="0" w:color="auto"/>
                                                                    <w:right w:val="none" w:sz="0" w:space="0" w:color="auto"/>
                                                                  </w:divBdr>
                                                                  <w:divsChild>
                                                                    <w:div w:id="1614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50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5E33C-3101-4514-B980-8269299A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12700</Words>
  <Characters>72390</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Wagner, Nathan R</cp:lastModifiedBy>
  <cp:revision>6</cp:revision>
  <cp:lastPrinted>2019-04-05T15:37:00Z</cp:lastPrinted>
  <dcterms:created xsi:type="dcterms:W3CDTF">2019-04-24T15:28:00Z</dcterms:created>
  <dcterms:modified xsi:type="dcterms:W3CDTF">2019-05-01T17:09:00Z</dcterms:modified>
</cp:coreProperties>
</file>