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17385" w14:textId="77777777" w:rsidR="007B5858" w:rsidRPr="00D83740" w:rsidRDefault="007B5858" w:rsidP="00D83740">
      <w:pPr>
        <w:jc w:val="center"/>
        <w:rPr>
          <w:rFonts w:ascii="Times New Roman" w:hAnsi="Times New Roman" w:cs="Times New Roman"/>
          <w:b/>
        </w:rPr>
      </w:pPr>
      <w:r w:rsidRPr="00D83740">
        <w:rPr>
          <w:rFonts w:ascii="Times New Roman" w:hAnsi="Times New Roman" w:cs="Times New Roman"/>
          <w:b/>
        </w:rPr>
        <w:t>BEFORE THE</w:t>
      </w:r>
    </w:p>
    <w:p w14:paraId="79C981F7" w14:textId="77777777" w:rsidR="007B5858" w:rsidRDefault="007B5858" w:rsidP="00D83740">
      <w:pPr>
        <w:tabs>
          <w:tab w:val="center" w:pos="4680"/>
        </w:tabs>
        <w:suppressAutoHyphens/>
        <w:jc w:val="center"/>
        <w:rPr>
          <w:rFonts w:ascii="Times New Roman" w:hAnsi="Times New Roman" w:cs="Times New Roman"/>
          <w:b/>
          <w:bCs/>
          <w:spacing w:val="-3"/>
        </w:rPr>
      </w:pPr>
      <w:r w:rsidRPr="00D83740">
        <w:rPr>
          <w:rFonts w:ascii="Times New Roman" w:hAnsi="Times New Roman" w:cs="Times New Roman"/>
          <w:b/>
          <w:bCs/>
          <w:spacing w:val="-3"/>
        </w:rPr>
        <w:t>PENNSYLVANIA PUBLIC UTILITY COMMISSION</w:t>
      </w:r>
    </w:p>
    <w:p w14:paraId="428BD9F7" w14:textId="77777777" w:rsidR="00D83740" w:rsidRPr="00D83740" w:rsidRDefault="00D83740" w:rsidP="00D83740">
      <w:pPr>
        <w:tabs>
          <w:tab w:val="center" w:pos="4680"/>
        </w:tabs>
        <w:suppressAutoHyphens/>
        <w:jc w:val="center"/>
        <w:rPr>
          <w:rFonts w:ascii="Times New Roman" w:hAnsi="Times New Roman" w:cs="Times New Roman"/>
          <w:b/>
          <w:bCs/>
          <w:spacing w:val="-3"/>
        </w:rPr>
      </w:pPr>
    </w:p>
    <w:p w14:paraId="0A35AEAD" w14:textId="77777777" w:rsidR="007B5858" w:rsidRPr="00D83740" w:rsidRDefault="007B5858" w:rsidP="00D83740">
      <w:pPr>
        <w:tabs>
          <w:tab w:val="left" w:pos="-720"/>
        </w:tabs>
        <w:suppressAutoHyphens/>
        <w:ind w:firstLine="1440"/>
        <w:rPr>
          <w:rFonts w:ascii="Times New Roman" w:hAnsi="Times New Roman" w:cs="Times New Roman"/>
          <w:spacing w:val="-3"/>
        </w:rPr>
      </w:pPr>
    </w:p>
    <w:p w14:paraId="487AE370" w14:textId="77777777" w:rsidR="007B5858" w:rsidRPr="00D83740" w:rsidRDefault="007B5858" w:rsidP="00D83740">
      <w:pPr>
        <w:tabs>
          <w:tab w:val="left" w:pos="-720"/>
        </w:tabs>
        <w:suppressAutoHyphens/>
        <w:ind w:firstLine="1440"/>
        <w:rPr>
          <w:rFonts w:ascii="Times New Roman" w:hAnsi="Times New Roman" w:cs="Times New Roman"/>
          <w:spacing w:val="-3"/>
        </w:rPr>
      </w:pPr>
    </w:p>
    <w:p w14:paraId="2D740932" w14:textId="2FE0292F" w:rsidR="007B5858" w:rsidRPr="00D83740" w:rsidRDefault="00060EA0" w:rsidP="00D83740">
      <w:pPr>
        <w:rPr>
          <w:rFonts w:ascii="Times New Roman" w:hAnsi="Times New Roman" w:cs="Times New Roman"/>
        </w:rPr>
      </w:pPr>
      <w:r>
        <w:rPr>
          <w:rFonts w:ascii="Times New Roman" w:hAnsi="Times New Roman" w:cs="Times New Roman"/>
          <w:spacing w:val="-3"/>
        </w:rPr>
        <w:t>T</w:t>
      </w:r>
      <w:r w:rsidR="00737C23">
        <w:rPr>
          <w:rFonts w:ascii="Times New Roman" w:hAnsi="Times New Roman" w:cs="Times New Roman"/>
          <w:spacing w:val="-3"/>
        </w:rPr>
        <w:t>itus</w:t>
      </w:r>
      <w:r>
        <w:rPr>
          <w:rFonts w:ascii="Times New Roman" w:hAnsi="Times New Roman" w:cs="Times New Roman"/>
          <w:spacing w:val="-3"/>
        </w:rPr>
        <w:t xml:space="preserve"> W</w:t>
      </w:r>
      <w:r w:rsidR="00737C23">
        <w:rPr>
          <w:rFonts w:ascii="Times New Roman" w:hAnsi="Times New Roman" w:cs="Times New Roman"/>
          <w:spacing w:val="-3"/>
        </w:rPr>
        <w:t>right</w:t>
      </w:r>
      <w:r w:rsidR="00737C2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B5858" w:rsidRPr="00D83740">
        <w:rPr>
          <w:rFonts w:ascii="Times New Roman" w:hAnsi="Times New Roman" w:cs="Times New Roman"/>
          <w:spacing w:val="-3"/>
        </w:rPr>
        <w:tab/>
        <w:t>:</w:t>
      </w:r>
    </w:p>
    <w:p w14:paraId="57917DE8" w14:textId="77777777" w:rsidR="007B5858" w:rsidRPr="00D83740" w:rsidRDefault="001F0E9E" w:rsidP="00D83740">
      <w:pPr>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t>:</w:t>
      </w:r>
    </w:p>
    <w:p w14:paraId="039816B6" w14:textId="77777777" w:rsidR="007B5858" w:rsidRPr="00D83740" w:rsidRDefault="00313ABC" w:rsidP="00D83740">
      <w:pPr>
        <w:rPr>
          <w:rFonts w:ascii="Times New Roman" w:hAnsi="Times New Roman" w:cs="Times New Roman"/>
        </w:rPr>
      </w:pPr>
      <w:r w:rsidRPr="00D83740">
        <w:rPr>
          <w:rFonts w:ascii="Times New Roman" w:hAnsi="Times New Roman" w:cs="Times New Roman"/>
        </w:rPr>
        <w:tab/>
        <w:t>v.</w:t>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t>:</w:t>
      </w:r>
      <w:r w:rsidRPr="00D83740">
        <w:rPr>
          <w:rFonts w:ascii="Times New Roman" w:hAnsi="Times New Roman" w:cs="Times New Roman"/>
        </w:rPr>
        <w:tab/>
      </w:r>
      <w:r w:rsidRPr="00D83740">
        <w:rPr>
          <w:rFonts w:ascii="Times New Roman" w:hAnsi="Times New Roman" w:cs="Times New Roman"/>
        </w:rPr>
        <w:tab/>
      </w:r>
      <w:r w:rsidR="00060EA0">
        <w:rPr>
          <w:rFonts w:ascii="Times New Roman" w:hAnsi="Times New Roman" w:cs="Times New Roman"/>
        </w:rPr>
        <w:t>F</w:t>
      </w:r>
      <w:r w:rsidRPr="00D83740">
        <w:rPr>
          <w:rFonts w:ascii="Times New Roman" w:hAnsi="Times New Roman" w:cs="Times New Roman"/>
        </w:rPr>
        <w:t>-201</w:t>
      </w:r>
      <w:r w:rsidR="00060EA0">
        <w:rPr>
          <w:rFonts w:ascii="Times New Roman" w:hAnsi="Times New Roman" w:cs="Times New Roman"/>
        </w:rPr>
        <w:t>9</w:t>
      </w:r>
      <w:r w:rsidR="007B5858" w:rsidRPr="00D83740">
        <w:rPr>
          <w:rFonts w:ascii="Times New Roman" w:hAnsi="Times New Roman" w:cs="Times New Roman"/>
        </w:rPr>
        <w:t>-</w:t>
      </w:r>
      <w:r w:rsidR="00060EA0">
        <w:rPr>
          <w:rFonts w:ascii="Times New Roman" w:hAnsi="Times New Roman" w:cs="Times New Roman"/>
        </w:rPr>
        <w:t>3007120</w:t>
      </w:r>
    </w:p>
    <w:p w14:paraId="7CABE708" w14:textId="77777777" w:rsidR="007B5858" w:rsidRPr="00D83740" w:rsidRDefault="007B5858" w:rsidP="00D83740">
      <w:pPr>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t>:</w:t>
      </w:r>
    </w:p>
    <w:p w14:paraId="69CB1078" w14:textId="5EA8C371" w:rsidR="007B5858" w:rsidRPr="00D83740" w:rsidRDefault="00060EA0" w:rsidP="00D83740">
      <w:pPr>
        <w:rPr>
          <w:rFonts w:ascii="Times New Roman" w:hAnsi="Times New Roman" w:cs="Times New Roman"/>
        </w:rPr>
      </w:pPr>
      <w:r>
        <w:rPr>
          <w:rFonts w:ascii="Times New Roman" w:hAnsi="Times New Roman" w:cs="Times New Roman"/>
        </w:rPr>
        <w:t>P</w:t>
      </w:r>
      <w:r w:rsidR="00737C23">
        <w:rPr>
          <w:rFonts w:ascii="Times New Roman" w:hAnsi="Times New Roman" w:cs="Times New Roman"/>
        </w:rPr>
        <w:t>hiladelphia</w:t>
      </w:r>
      <w:r>
        <w:rPr>
          <w:rFonts w:ascii="Times New Roman" w:hAnsi="Times New Roman" w:cs="Times New Roman"/>
        </w:rPr>
        <w:t xml:space="preserve"> G</w:t>
      </w:r>
      <w:r w:rsidR="00737C23">
        <w:rPr>
          <w:rFonts w:ascii="Times New Roman" w:hAnsi="Times New Roman" w:cs="Times New Roman"/>
        </w:rPr>
        <w:t>as</w:t>
      </w:r>
      <w:r>
        <w:rPr>
          <w:rFonts w:ascii="Times New Roman" w:hAnsi="Times New Roman" w:cs="Times New Roman"/>
        </w:rPr>
        <w:t xml:space="preserve"> W</w:t>
      </w:r>
      <w:r w:rsidR="00737C23">
        <w:rPr>
          <w:rFonts w:ascii="Times New Roman" w:hAnsi="Times New Roman" w:cs="Times New Roman"/>
        </w:rPr>
        <w:t>orks</w:t>
      </w:r>
      <w:r w:rsidR="00737C23">
        <w:rPr>
          <w:rFonts w:ascii="Times New Roman" w:hAnsi="Times New Roman" w:cs="Times New Roman"/>
        </w:rPr>
        <w:tab/>
      </w:r>
      <w:r>
        <w:rPr>
          <w:rFonts w:ascii="Times New Roman" w:hAnsi="Times New Roman" w:cs="Times New Roman"/>
        </w:rPr>
        <w:tab/>
      </w:r>
      <w:r w:rsidR="00313ABC" w:rsidRPr="00D83740">
        <w:rPr>
          <w:rFonts w:ascii="Times New Roman" w:hAnsi="Times New Roman" w:cs="Times New Roman"/>
        </w:rPr>
        <w:t xml:space="preserve"> </w:t>
      </w:r>
      <w:r w:rsidR="00313ABC" w:rsidRPr="00D83740">
        <w:rPr>
          <w:rFonts w:ascii="Times New Roman" w:hAnsi="Times New Roman" w:cs="Times New Roman"/>
        </w:rPr>
        <w:tab/>
      </w:r>
      <w:r w:rsidR="007B5858" w:rsidRPr="00D83740">
        <w:rPr>
          <w:rFonts w:ascii="Times New Roman" w:hAnsi="Times New Roman" w:cs="Times New Roman"/>
        </w:rPr>
        <w:tab/>
        <w:t>:</w:t>
      </w:r>
    </w:p>
    <w:p w14:paraId="2E43C175" w14:textId="77777777" w:rsidR="007B5858" w:rsidRPr="00D83740" w:rsidRDefault="007B5858" w:rsidP="00D83740">
      <w:pPr>
        <w:tabs>
          <w:tab w:val="left" w:pos="-720"/>
        </w:tabs>
        <w:suppressAutoHyphens/>
        <w:rPr>
          <w:rFonts w:ascii="Times New Roman" w:hAnsi="Times New Roman" w:cs="Times New Roman"/>
          <w:spacing w:val="-3"/>
        </w:rPr>
      </w:pPr>
    </w:p>
    <w:p w14:paraId="786174A0" w14:textId="6CB71724" w:rsidR="00794F5B" w:rsidRDefault="00794F5B" w:rsidP="00D83740">
      <w:pPr>
        <w:tabs>
          <w:tab w:val="left" w:pos="-720"/>
        </w:tabs>
        <w:suppressAutoHyphens/>
        <w:rPr>
          <w:rFonts w:ascii="Times New Roman" w:hAnsi="Times New Roman" w:cs="Times New Roman"/>
          <w:spacing w:val="-3"/>
        </w:rPr>
      </w:pPr>
    </w:p>
    <w:p w14:paraId="46FFBDF5" w14:textId="77777777" w:rsidR="00F76701" w:rsidRPr="00D83740" w:rsidRDefault="00F76701" w:rsidP="00D83740">
      <w:pPr>
        <w:tabs>
          <w:tab w:val="left" w:pos="-720"/>
        </w:tabs>
        <w:suppressAutoHyphens/>
        <w:rPr>
          <w:rFonts w:ascii="Times New Roman" w:hAnsi="Times New Roman" w:cs="Times New Roman"/>
          <w:spacing w:val="-3"/>
        </w:rPr>
      </w:pPr>
    </w:p>
    <w:p w14:paraId="4DC41722" w14:textId="2450930C" w:rsidR="003B68C7" w:rsidRPr="00D83740" w:rsidRDefault="002F5241" w:rsidP="00D83740">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 xml:space="preserve">ORDER </w:t>
      </w:r>
      <w:r w:rsidR="00C03551">
        <w:rPr>
          <w:rFonts w:ascii="Times New Roman" w:hAnsi="Times New Roman" w:cs="Times New Roman"/>
          <w:b/>
          <w:spacing w:val="-3"/>
          <w:u w:val="single"/>
        </w:rPr>
        <w:t>GRANTING PRELIMINARY OBJECTIONS IN PART</w:t>
      </w:r>
      <w:r w:rsidR="003B68C7" w:rsidRPr="00D83740">
        <w:rPr>
          <w:rFonts w:ascii="Times New Roman" w:hAnsi="Times New Roman" w:cs="Times New Roman"/>
          <w:b/>
          <w:spacing w:val="-3"/>
          <w:u w:val="single"/>
        </w:rPr>
        <w:t xml:space="preserve"> </w:t>
      </w:r>
    </w:p>
    <w:p w14:paraId="76B85AAD" w14:textId="5C274B60" w:rsidR="007B5858" w:rsidRDefault="007B5858" w:rsidP="00D83740">
      <w:pPr>
        <w:tabs>
          <w:tab w:val="left" w:pos="-720"/>
          <w:tab w:val="left" w:pos="5040"/>
        </w:tabs>
        <w:suppressAutoHyphens/>
        <w:jc w:val="center"/>
        <w:rPr>
          <w:rFonts w:ascii="Times New Roman" w:hAnsi="Times New Roman" w:cs="Times New Roman"/>
          <w:b/>
          <w:spacing w:val="-3"/>
          <w:u w:val="single"/>
        </w:rPr>
      </w:pPr>
    </w:p>
    <w:p w14:paraId="3F47FAA1" w14:textId="3F674188" w:rsidR="00F56DF1" w:rsidRDefault="00F56DF1" w:rsidP="00F56DF1">
      <w:pPr>
        <w:tabs>
          <w:tab w:val="left" w:pos="-720"/>
          <w:tab w:val="left" w:pos="5040"/>
        </w:tabs>
        <w:suppressAutoHyphens/>
        <w:rPr>
          <w:rFonts w:ascii="Times New Roman" w:hAnsi="Times New Roman" w:cs="Times New Roman"/>
          <w:spacing w:val="-3"/>
        </w:rPr>
      </w:pPr>
    </w:p>
    <w:p w14:paraId="7749DC70" w14:textId="2EF20859" w:rsidR="00F56DF1" w:rsidRDefault="00F56DF1" w:rsidP="00F56DF1">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w:t>
      </w:r>
      <w:r w:rsidR="00FB2514">
        <w:rPr>
          <w:rFonts w:ascii="Times New Roman" w:hAnsi="Times New Roman" w:cs="Times New Roman"/>
          <w:spacing w:val="-3"/>
        </w:rPr>
        <w:t xml:space="preserve">Order grants in part Preliminary Objections filed by the Philadelphia Gas Works (PGW) against a formal Complaint filed by Titus Wright (Complainant). </w:t>
      </w:r>
      <w:r w:rsidR="00A86CD2">
        <w:rPr>
          <w:rFonts w:ascii="Times New Roman" w:hAnsi="Times New Roman" w:cs="Times New Roman"/>
          <w:spacing w:val="-3"/>
        </w:rPr>
        <w:t xml:space="preserve"> </w:t>
      </w:r>
      <w:r w:rsidR="00537F8E">
        <w:rPr>
          <w:rFonts w:ascii="Times New Roman" w:hAnsi="Times New Roman" w:cs="Times New Roman"/>
          <w:spacing w:val="-3"/>
        </w:rPr>
        <w:t>T</w:t>
      </w:r>
      <w:r>
        <w:rPr>
          <w:rFonts w:ascii="Times New Roman" w:hAnsi="Times New Roman" w:cs="Times New Roman"/>
          <w:spacing w:val="-3"/>
        </w:rPr>
        <w:t xml:space="preserve">he </w:t>
      </w:r>
      <w:r w:rsidR="00FB2514">
        <w:rPr>
          <w:rFonts w:ascii="Times New Roman" w:hAnsi="Times New Roman" w:cs="Times New Roman"/>
          <w:spacing w:val="-3"/>
        </w:rPr>
        <w:t xml:space="preserve">principle </w:t>
      </w:r>
      <w:r w:rsidR="00AC6688">
        <w:rPr>
          <w:rFonts w:ascii="Times New Roman" w:hAnsi="Times New Roman" w:cs="Times New Roman"/>
          <w:spacing w:val="-3"/>
        </w:rPr>
        <w:t xml:space="preserve">subject matter of the </w:t>
      </w:r>
      <w:r>
        <w:rPr>
          <w:rFonts w:ascii="Times New Roman" w:hAnsi="Times New Roman" w:cs="Times New Roman"/>
          <w:spacing w:val="-3"/>
        </w:rPr>
        <w:t>Complaint</w:t>
      </w:r>
      <w:r w:rsidR="00A86CD2">
        <w:rPr>
          <w:rFonts w:ascii="Times New Roman" w:hAnsi="Times New Roman" w:cs="Times New Roman"/>
          <w:spacing w:val="-3"/>
        </w:rPr>
        <w:t xml:space="preserve"> </w:t>
      </w:r>
      <w:r>
        <w:rPr>
          <w:rFonts w:ascii="Times New Roman" w:hAnsi="Times New Roman" w:cs="Times New Roman"/>
          <w:spacing w:val="-3"/>
        </w:rPr>
        <w:t xml:space="preserve">concerns allegations with respect to misbilling and property damage from </w:t>
      </w:r>
      <w:r w:rsidR="00537F8E">
        <w:rPr>
          <w:rFonts w:ascii="Times New Roman" w:hAnsi="Times New Roman" w:cs="Times New Roman"/>
          <w:spacing w:val="-3"/>
        </w:rPr>
        <w:t>eight</w:t>
      </w:r>
      <w:r>
        <w:rPr>
          <w:rFonts w:ascii="Times New Roman" w:hAnsi="Times New Roman" w:cs="Times New Roman"/>
          <w:spacing w:val="-3"/>
        </w:rPr>
        <w:t xml:space="preserve"> years ago</w:t>
      </w:r>
      <w:r w:rsidR="00A86CD2">
        <w:rPr>
          <w:rFonts w:ascii="Times New Roman" w:hAnsi="Times New Roman" w:cs="Times New Roman"/>
          <w:spacing w:val="-3"/>
        </w:rPr>
        <w:t>.  As will be discussed below</w:t>
      </w:r>
      <w:r>
        <w:rPr>
          <w:rFonts w:ascii="Times New Roman" w:hAnsi="Times New Roman" w:cs="Times New Roman"/>
          <w:spacing w:val="-3"/>
        </w:rPr>
        <w:t xml:space="preserve">, </w:t>
      </w:r>
      <w:r w:rsidR="00A86CD2">
        <w:rPr>
          <w:rFonts w:ascii="Times New Roman" w:hAnsi="Times New Roman" w:cs="Times New Roman"/>
          <w:spacing w:val="-3"/>
        </w:rPr>
        <w:t xml:space="preserve">Complainant </w:t>
      </w:r>
      <w:r w:rsidR="007F5AA3">
        <w:rPr>
          <w:rFonts w:ascii="Times New Roman" w:hAnsi="Times New Roman" w:cs="Times New Roman"/>
          <w:spacing w:val="-3"/>
        </w:rPr>
        <w:t xml:space="preserve">had previously </w:t>
      </w:r>
      <w:r w:rsidR="00A86CD2">
        <w:rPr>
          <w:rFonts w:ascii="Times New Roman" w:hAnsi="Times New Roman" w:cs="Times New Roman"/>
          <w:spacing w:val="-3"/>
        </w:rPr>
        <w:t>filed a formal Complaint with respect to those disputed charges</w:t>
      </w:r>
      <w:r w:rsidR="007F5AA3">
        <w:rPr>
          <w:rFonts w:ascii="Times New Roman" w:hAnsi="Times New Roman" w:cs="Times New Roman"/>
          <w:spacing w:val="-3"/>
        </w:rPr>
        <w:t>,</w:t>
      </w:r>
      <w:r w:rsidR="00A86CD2">
        <w:rPr>
          <w:rFonts w:ascii="Times New Roman" w:hAnsi="Times New Roman" w:cs="Times New Roman"/>
          <w:spacing w:val="-3"/>
        </w:rPr>
        <w:t xml:space="preserve"> but that case </w:t>
      </w:r>
      <w:r w:rsidR="00AC6688">
        <w:rPr>
          <w:rFonts w:ascii="Times New Roman" w:hAnsi="Times New Roman" w:cs="Times New Roman"/>
          <w:spacing w:val="-3"/>
        </w:rPr>
        <w:t xml:space="preserve">was dismissed by the Commission, with prejudice, in 2014 and </w:t>
      </w:r>
      <w:r>
        <w:rPr>
          <w:rFonts w:ascii="Times New Roman" w:hAnsi="Times New Roman" w:cs="Times New Roman"/>
          <w:spacing w:val="-3"/>
        </w:rPr>
        <w:t xml:space="preserve">is </w:t>
      </w:r>
      <w:r w:rsidR="00A86CD2">
        <w:rPr>
          <w:rFonts w:ascii="Times New Roman" w:hAnsi="Times New Roman" w:cs="Times New Roman"/>
          <w:spacing w:val="-3"/>
        </w:rPr>
        <w:t xml:space="preserve">now </w:t>
      </w:r>
      <w:r w:rsidR="002513A3">
        <w:rPr>
          <w:rFonts w:ascii="Times New Roman" w:hAnsi="Times New Roman" w:cs="Times New Roman"/>
          <w:spacing w:val="-3"/>
        </w:rPr>
        <w:t xml:space="preserve">also </w:t>
      </w:r>
      <w:r>
        <w:rPr>
          <w:rFonts w:ascii="Times New Roman" w:hAnsi="Times New Roman" w:cs="Times New Roman"/>
          <w:spacing w:val="-3"/>
        </w:rPr>
        <w:t xml:space="preserve">time-barred by the </w:t>
      </w:r>
      <w:r w:rsidR="00537F8E">
        <w:rPr>
          <w:rFonts w:ascii="Times New Roman" w:hAnsi="Times New Roman" w:cs="Times New Roman"/>
          <w:spacing w:val="-3"/>
        </w:rPr>
        <w:t xml:space="preserve">“Limitation of actions,” </w:t>
      </w:r>
      <w:r w:rsidR="00C879DA">
        <w:rPr>
          <w:rFonts w:ascii="Times New Roman" w:hAnsi="Times New Roman" w:cs="Times New Roman"/>
          <w:spacing w:val="-3"/>
        </w:rPr>
        <w:t xml:space="preserve">provision of the </w:t>
      </w:r>
      <w:r w:rsidRPr="00F56DF1">
        <w:rPr>
          <w:rFonts w:ascii="Times New Roman" w:hAnsi="Times New Roman" w:cs="Times New Roman"/>
          <w:spacing w:val="-3"/>
        </w:rPr>
        <w:t>Public Utility Code at 66 Pa. C.S. § 3314</w:t>
      </w:r>
      <w:r w:rsidR="00A86CD2">
        <w:rPr>
          <w:rFonts w:ascii="Times New Roman" w:hAnsi="Times New Roman" w:cs="Times New Roman"/>
          <w:spacing w:val="-3"/>
        </w:rPr>
        <w:t xml:space="preserve">.  </w:t>
      </w:r>
      <w:r w:rsidR="00FB2514">
        <w:rPr>
          <w:rFonts w:ascii="Times New Roman" w:hAnsi="Times New Roman" w:cs="Times New Roman"/>
          <w:spacing w:val="-3"/>
        </w:rPr>
        <w:t>PGW’s Preliminary Objections will be granted with respect to those issues</w:t>
      </w:r>
      <w:r w:rsidR="00A86CD2">
        <w:rPr>
          <w:rFonts w:ascii="Times New Roman" w:hAnsi="Times New Roman" w:cs="Times New Roman"/>
          <w:spacing w:val="-3"/>
        </w:rPr>
        <w:t>, and they will be stricken from the Complaint</w:t>
      </w:r>
      <w:r>
        <w:rPr>
          <w:rFonts w:ascii="Times New Roman" w:hAnsi="Times New Roman" w:cs="Times New Roman"/>
          <w:spacing w:val="-3"/>
        </w:rPr>
        <w:t>.</w:t>
      </w:r>
      <w:r w:rsidR="00FB2514">
        <w:rPr>
          <w:rFonts w:ascii="Times New Roman" w:hAnsi="Times New Roman" w:cs="Times New Roman"/>
          <w:spacing w:val="-3"/>
        </w:rPr>
        <w:t xml:space="preserve">  However, in his </w:t>
      </w:r>
      <w:r w:rsidR="00A86CD2">
        <w:rPr>
          <w:rFonts w:ascii="Times New Roman" w:hAnsi="Times New Roman" w:cs="Times New Roman"/>
          <w:spacing w:val="-3"/>
        </w:rPr>
        <w:t xml:space="preserve">present </w:t>
      </w:r>
      <w:r w:rsidR="00FB2514">
        <w:rPr>
          <w:rFonts w:ascii="Times New Roman" w:hAnsi="Times New Roman" w:cs="Times New Roman"/>
          <w:spacing w:val="-3"/>
        </w:rPr>
        <w:t xml:space="preserve">Complaint Mr. Wright raised the issue of damage to a wall in his house which </w:t>
      </w:r>
      <w:r w:rsidR="00A86CD2">
        <w:rPr>
          <w:rFonts w:ascii="Times New Roman" w:hAnsi="Times New Roman" w:cs="Times New Roman"/>
          <w:spacing w:val="-3"/>
        </w:rPr>
        <w:t xml:space="preserve">damage </w:t>
      </w:r>
      <w:r w:rsidR="00FB2514">
        <w:rPr>
          <w:rFonts w:ascii="Times New Roman" w:hAnsi="Times New Roman" w:cs="Times New Roman"/>
          <w:spacing w:val="-3"/>
        </w:rPr>
        <w:t>he attributes to PGW.  Although PGW denies the allegation, this factual dispute must be heard</w:t>
      </w:r>
      <w:r w:rsidR="00A86CD2">
        <w:rPr>
          <w:rFonts w:ascii="Times New Roman" w:hAnsi="Times New Roman" w:cs="Times New Roman"/>
          <w:spacing w:val="-3"/>
        </w:rPr>
        <w:t>, and an evidentiary hearing will be scheduled for that limited issue</w:t>
      </w:r>
      <w:r w:rsidR="00FB2514">
        <w:rPr>
          <w:rFonts w:ascii="Times New Roman" w:hAnsi="Times New Roman" w:cs="Times New Roman"/>
          <w:spacing w:val="-3"/>
        </w:rPr>
        <w:t>.</w:t>
      </w:r>
    </w:p>
    <w:p w14:paraId="40664F60" w14:textId="2FFFDBDC" w:rsidR="00F56DF1" w:rsidRDefault="00F56DF1" w:rsidP="00F56DF1">
      <w:pPr>
        <w:tabs>
          <w:tab w:val="left" w:pos="-720"/>
          <w:tab w:val="left" w:pos="5040"/>
        </w:tabs>
        <w:suppressAutoHyphens/>
        <w:spacing w:line="360" w:lineRule="auto"/>
        <w:rPr>
          <w:rFonts w:ascii="Times New Roman" w:hAnsi="Times New Roman" w:cs="Times New Roman"/>
          <w:spacing w:val="-3"/>
        </w:rPr>
      </w:pPr>
    </w:p>
    <w:p w14:paraId="4766CCC7" w14:textId="77777777" w:rsidR="00F56DF1" w:rsidRDefault="00F56DF1" w:rsidP="00F76701">
      <w:pPr>
        <w:suppressAutoHyphens/>
        <w:spacing w:line="360" w:lineRule="auto"/>
        <w:jc w:val="center"/>
        <w:rPr>
          <w:rFonts w:ascii="Times New Roman" w:hAnsi="Times New Roman" w:cs="Times New Roman"/>
          <w:spacing w:val="-3"/>
          <w:u w:val="single"/>
        </w:rPr>
      </w:pPr>
      <w:r w:rsidRPr="00D83740">
        <w:rPr>
          <w:rFonts w:ascii="Times New Roman" w:hAnsi="Times New Roman" w:cs="Times New Roman"/>
          <w:spacing w:val="-3"/>
          <w:u w:val="single"/>
        </w:rPr>
        <w:t>HISTORY OF THE PROCEEDING</w:t>
      </w:r>
    </w:p>
    <w:p w14:paraId="3397C9D1" w14:textId="77777777" w:rsidR="00D83740" w:rsidRDefault="00D83740" w:rsidP="00F76701">
      <w:pPr>
        <w:suppressAutoHyphens/>
        <w:spacing w:line="360" w:lineRule="auto"/>
        <w:rPr>
          <w:rFonts w:ascii="Times New Roman" w:hAnsi="Times New Roman" w:cs="Times New Roman"/>
          <w:spacing w:val="-3"/>
        </w:rPr>
      </w:pPr>
    </w:p>
    <w:p w14:paraId="612629CB" w14:textId="715884E9" w:rsidR="00060EA0" w:rsidRDefault="00737C23"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60167" w:rsidRPr="00D83740">
        <w:rPr>
          <w:rFonts w:ascii="Times New Roman" w:hAnsi="Times New Roman" w:cs="Times New Roman"/>
          <w:spacing w:val="-3"/>
        </w:rPr>
        <w:t xml:space="preserve">On </w:t>
      </w:r>
      <w:r w:rsidR="00060EA0">
        <w:rPr>
          <w:rFonts w:ascii="Times New Roman" w:hAnsi="Times New Roman" w:cs="Times New Roman"/>
          <w:spacing w:val="-3"/>
        </w:rPr>
        <w:t xml:space="preserve">January 14, 2019, Complainant </w:t>
      </w:r>
      <w:r w:rsidR="00660167" w:rsidRPr="00D83740">
        <w:rPr>
          <w:rFonts w:ascii="Times New Roman" w:hAnsi="Times New Roman" w:cs="Times New Roman"/>
          <w:spacing w:val="-3"/>
        </w:rPr>
        <w:t xml:space="preserve">filed a formal </w:t>
      </w:r>
      <w:r w:rsidR="00060EA0">
        <w:rPr>
          <w:rFonts w:ascii="Times New Roman" w:hAnsi="Times New Roman" w:cs="Times New Roman"/>
          <w:spacing w:val="-3"/>
        </w:rPr>
        <w:t>C</w:t>
      </w:r>
      <w:r w:rsidR="00660167" w:rsidRPr="00D83740">
        <w:rPr>
          <w:rFonts w:ascii="Times New Roman" w:hAnsi="Times New Roman" w:cs="Times New Roman"/>
          <w:spacing w:val="-3"/>
        </w:rPr>
        <w:t xml:space="preserve">omplaint against </w:t>
      </w:r>
      <w:r w:rsidR="00060EA0">
        <w:rPr>
          <w:rFonts w:ascii="Times New Roman" w:hAnsi="Times New Roman" w:cs="Times New Roman"/>
          <w:spacing w:val="-3"/>
        </w:rPr>
        <w:t xml:space="preserve">PGW asking that his natural gas service be reconnected </w:t>
      </w:r>
      <w:r w:rsidR="00574E88">
        <w:rPr>
          <w:rFonts w:ascii="Times New Roman" w:hAnsi="Times New Roman" w:cs="Times New Roman"/>
          <w:spacing w:val="-3"/>
        </w:rPr>
        <w:t xml:space="preserve">with </w:t>
      </w:r>
      <w:r w:rsidR="00060EA0">
        <w:rPr>
          <w:rFonts w:ascii="Times New Roman" w:hAnsi="Times New Roman" w:cs="Times New Roman"/>
          <w:spacing w:val="-3"/>
        </w:rPr>
        <w:t>the removal of “at least” $2,500 from his account arrearage.</w:t>
      </w:r>
      <w:r>
        <w:rPr>
          <w:rStyle w:val="FootnoteReference"/>
          <w:rFonts w:ascii="Times New Roman" w:hAnsi="Times New Roman" w:cs="Times New Roman"/>
          <w:spacing w:val="-3"/>
        </w:rPr>
        <w:footnoteReference w:id="1"/>
      </w:r>
      <w:r w:rsidR="00060EA0">
        <w:rPr>
          <w:rFonts w:ascii="Times New Roman" w:hAnsi="Times New Roman" w:cs="Times New Roman"/>
          <w:spacing w:val="-3"/>
        </w:rPr>
        <w:t xml:space="preserve">  Complainant contends that he was not properly billed in 2010 and between </w:t>
      </w:r>
      <w:proofErr w:type="gramStart"/>
      <w:r w:rsidR="00060EA0">
        <w:rPr>
          <w:rFonts w:ascii="Times New Roman" w:hAnsi="Times New Roman" w:cs="Times New Roman"/>
          <w:spacing w:val="-3"/>
        </w:rPr>
        <w:t>September,</w:t>
      </w:r>
      <w:proofErr w:type="gramEnd"/>
      <w:r w:rsidR="00060EA0">
        <w:rPr>
          <w:rFonts w:ascii="Times New Roman" w:hAnsi="Times New Roman" w:cs="Times New Roman"/>
          <w:spacing w:val="-3"/>
        </w:rPr>
        <w:t xml:space="preserve"> </w:t>
      </w:r>
      <w:r w:rsidR="00060EA0">
        <w:rPr>
          <w:rFonts w:ascii="Times New Roman" w:hAnsi="Times New Roman" w:cs="Times New Roman"/>
          <w:spacing w:val="-3"/>
        </w:rPr>
        <w:lastRenderedPageBreak/>
        <w:t>2010 and January, 2011.  Complainant also asked that PGW repair his basement wall which he contend</w:t>
      </w:r>
      <w:r w:rsidR="00E417E2">
        <w:rPr>
          <w:rFonts w:ascii="Times New Roman" w:hAnsi="Times New Roman" w:cs="Times New Roman"/>
          <w:spacing w:val="-3"/>
        </w:rPr>
        <w:t>ed</w:t>
      </w:r>
      <w:r w:rsidR="00060EA0">
        <w:rPr>
          <w:rFonts w:ascii="Times New Roman" w:hAnsi="Times New Roman" w:cs="Times New Roman"/>
          <w:spacing w:val="-3"/>
        </w:rPr>
        <w:t xml:space="preserve"> the utility destroyed</w:t>
      </w:r>
      <w:r w:rsidR="00C879DA">
        <w:rPr>
          <w:rFonts w:ascii="Times New Roman" w:hAnsi="Times New Roman" w:cs="Times New Roman"/>
          <w:spacing w:val="-3"/>
        </w:rPr>
        <w:t xml:space="preserve"> in or around that time</w:t>
      </w:r>
      <w:r w:rsidR="00060EA0">
        <w:rPr>
          <w:rFonts w:ascii="Times New Roman" w:hAnsi="Times New Roman" w:cs="Times New Roman"/>
          <w:spacing w:val="-3"/>
        </w:rPr>
        <w:t>.</w:t>
      </w:r>
    </w:p>
    <w:p w14:paraId="1FA82671" w14:textId="77777777" w:rsidR="00FB2514" w:rsidRDefault="00FB2514" w:rsidP="00D83740">
      <w:pPr>
        <w:suppressAutoHyphens/>
        <w:spacing w:line="360" w:lineRule="auto"/>
        <w:rPr>
          <w:rFonts w:ascii="Times New Roman" w:hAnsi="Times New Roman" w:cs="Times New Roman"/>
          <w:spacing w:val="-3"/>
        </w:rPr>
      </w:pPr>
    </w:p>
    <w:p w14:paraId="0D131BB8" w14:textId="25C1E389" w:rsidR="00E72D38" w:rsidRDefault="00060EA0"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February 7, 2019, PGW filed an Answer and New Matter in which PGW </w:t>
      </w:r>
      <w:r w:rsidR="002513A3">
        <w:rPr>
          <w:rFonts w:ascii="Times New Roman" w:hAnsi="Times New Roman" w:cs="Times New Roman"/>
          <w:spacing w:val="-3"/>
        </w:rPr>
        <w:t xml:space="preserve">argued </w:t>
      </w:r>
      <w:r w:rsidR="006D04ED">
        <w:rPr>
          <w:rFonts w:ascii="Times New Roman" w:hAnsi="Times New Roman" w:cs="Times New Roman"/>
          <w:spacing w:val="-3"/>
        </w:rPr>
        <w:t xml:space="preserve"> that </w:t>
      </w:r>
      <w:r w:rsidR="00C97049">
        <w:rPr>
          <w:rFonts w:ascii="Times New Roman" w:hAnsi="Times New Roman" w:cs="Times New Roman"/>
          <w:spacing w:val="-3"/>
        </w:rPr>
        <w:t>this</w:t>
      </w:r>
      <w:r w:rsidR="006D04ED">
        <w:rPr>
          <w:rFonts w:ascii="Times New Roman" w:hAnsi="Times New Roman" w:cs="Times New Roman"/>
          <w:spacing w:val="-3"/>
        </w:rPr>
        <w:t xml:space="preserve"> Complaint based on billing from 2010 to 201</w:t>
      </w:r>
      <w:r w:rsidR="006C2A5E">
        <w:rPr>
          <w:rFonts w:ascii="Times New Roman" w:hAnsi="Times New Roman" w:cs="Times New Roman"/>
          <w:spacing w:val="-3"/>
        </w:rPr>
        <w:t>1</w:t>
      </w:r>
      <w:r w:rsidR="006D04ED">
        <w:rPr>
          <w:rFonts w:ascii="Times New Roman" w:hAnsi="Times New Roman" w:cs="Times New Roman"/>
          <w:spacing w:val="-3"/>
        </w:rPr>
        <w:t xml:space="preserve"> is time barred under Section 3314 of the Pennsylvania Public Utility Code, 66 Pa. C.S. § 3314.  PGW </w:t>
      </w:r>
      <w:r>
        <w:rPr>
          <w:rFonts w:ascii="Times New Roman" w:hAnsi="Times New Roman" w:cs="Times New Roman"/>
          <w:spacing w:val="-3"/>
        </w:rPr>
        <w:t xml:space="preserve">admitted that Complainant’s gas service has been </w:t>
      </w:r>
      <w:proofErr w:type="gramStart"/>
      <w:r>
        <w:rPr>
          <w:rFonts w:ascii="Times New Roman" w:hAnsi="Times New Roman" w:cs="Times New Roman"/>
          <w:spacing w:val="-3"/>
        </w:rPr>
        <w:t>terminated, but</w:t>
      </w:r>
      <w:proofErr w:type="gramEnd"/>
      <w:r>
        <w:rPr>
          <w:rFonts w:ascii="Times New Roman" w:hAnsi="Times New Roman" w:cs="Times New Roman"/>
          <w:spacing w:val="-3"/>
        </w:rPr>
        <w:t xml:space="preserve"> denied that it </w:t>
      </w:r>
      <w:r w:rsidR="002513A3">
        <w:rPr>
          <w:rFonts w:ascii="Times New Roman" w:hAnsi="Times New Roman" w:cs="Times New Roman"/>
          <w:spacing w:val="-3"/>
        </w:rPr>
        <w:t xml:space="preserve">had </w:t>
      </w:r>
      <w:r>
        <w:rPr>
          <w:rFonts w:ascii="Times New Roman" w:hAnsi="Times New Roman" w:cs="Times New Roman"/>
          <w:spacing w:val="-3"/>
        </w:rPr>
        <w:t xml:space="preserve">misbilled Complainant or damaged </w:t>
      </w:r>
      <w:r w:rsidR="0064676B">
        <w:rPr>
          <w:rFonts w:ascii="Times New Roman" w:hAnsi="Times New Roman" w:cs="Times New Roman"/>
          <w:spacing w:val="-3"/>
        </w:rPr>
        <w:t xml:space="preserve">and failed to restore </w:t>
      </w:r>
      <w:r>
        <w:rPr>
          <w:rFonts w:ascii="Times New Roman" w:hAnsi="Times New Roman" w:cs="Times New Roman"/>
          <w:spacing w:val="-3"/>
        </w:rPr>
        <w:t>Complainant’s property</w:t>
      </w:r>
      <w:r w:rsidR="00E37B53" w:rsidRPr="00D83740">
        <w:rPr>
          <w:rFonts w:ascii="Times New Roman" w:hAnsi="Times New Roman" w:cs="Times New Roman"/>
          <w:spacing w:val="-3"/>
        </w:rPr>
        <w:t>.</w:t>
      </w:r>
      <w:r>
        <w:rPr>
          <w:rFonts w:ascii="Times New Roman" w:hAnsi="Times New Roman" w:cs="Times New Roman"/>
          <w:spacing w:val="-3"/>
        </w:rPr>
        <w:t xml:space="preserve">  </w:t>
      </w:r>
    </w:p>
    <w:p w14:paraId="77193BF1" w14:textId="77777777" w:rsidR="00E72D38" w:rsidRDefault="00E72D38" w:rsidP="00D83740">
      <w:pPr>
        <w:suppressAutoHyphens/>
        <w:spacing w:line="360" w:lineRule="auto"/>
        <w:rPr>
          <w:rFonts w:ascii="Times New Roman" w:hAnsi="Times New Roman" w:cs="Times New Roman"/>
          <w:spacing w:val="-3"/>
        </w:rPr>
      </w:pPr>
    </w:p>
    <w:p w14:paraId="26898D2B" w14:textId="77C75C89" w:rsidR="005B2D05" w:rsidRDefault="00E72D38"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C70BA">
        <w:rPr>
          <w:rFonts w:ascii="Times New Roman" w:hAnsi="Times New Roman" w:cs="Times New Roman"/>
          <w:spacing w:val="-3"/>
        </w:rPr>
        <w:t>Also on February 7, 2019, PGW filed Preliminary Objections at this docket</w:t>
      </w:r>
      <w:r w:rsidR="00D56D50">
        <w:rPr>
          <w:rFonts w:ascii="Times New Roman" w:hAnsi="Times New Roman" w:cs="Times New Roman"/>
          <w:spacing w:val="-3"/>
        </w:rPr>
        <w:t>,</w:t>
      </w:r>
      <w:r w:rsidR="00AC70BA">
        <w:rPr>
          <w:rFonts w:ascii="Times New Roman" w:hAnsi="Times New Roman" w:cs="Times New Roman"/>
          <w:spacing w:val="-3"/>
        </w:rPr>
        <w:t xml:space="preserve"> again asserting </w:t>
      </w:r>
      <w:r w:rsidR="00AC70BA" w:rsidRPr="00AC70BA">
        <w:rPr>
          <w:rFonts w:ascii="Times New Roman" w:hAnsi="Times New Roman" w:cs="Times New Roman"/>
          <w:spacing w:val="-3"/>
        </w:rPr>
        <w:t xml:space="preserve">that the issue of misbilling </w:t>
      </w:r>
      <w:r w:rsidR="00AC70BA">
        <w:rPr>
          <w:rFonts w:ascii="Times New Roman" w:hAnsi="Times New Roman" w:cs="Times New Roman"/>
          <w:spacing w:val="-3"/>
        </w:rPr>
        <w:t xml:space="preserve">in 2010 and 2011 </w:t>
      </w:r>
      <w:r w:rsidR="00AC70BA" w:rsidRPr="00AC70BA">
        <w:rPr>
          <w:rFonts w:ascii="Times New Roman" w:hAnsi="Times New Roman" w:cs="Times New Roman"/>
          <w:spacing w:val="-3"/>
        </w:rPr>
        <w:t xml:space="preserve">had been previously </w:t>
      </w:r>
      <w:r w:rsidR="00EE1C86">
        <w:rPr>
          <w:rFonts w:ascii="Times New Roman" w:hAnsi="Times New Roman" w:cs="Times New Roman"/>
          <w:spacing w:val="-3"/>
        </w:rPr>
        <w:t>resolved</w:t>
      </w:r>
      <w:r w:rsidR="00AC70BA" w:rsidRPr="00AC70BA">
        <w:rPr>
          <w:rFonts w:ascii="Times New Roman" w:hAnsi="Times New Roman" w:cs="Times New Roman"/>
          <w:spacing w:val="-3"/>
        </w:rPr>
        <w:t xml:space="preserve"> at </w:t>
      </w:r>
      <w:r w:rsidR="00C97049">
        <w:rPr>
          <w:rFonts w:ascii="Times New Roman" w:hAnsi="Times New Roman" w:cs="Times New Roman"/>
          <w:spacing w:val="-3"/>
        </w:rPr>
        <w:t xml:space="preserve">consolidated </w:t>
      </w:r>
      <w:r w:rsidR="00AC70BA" w:rsidRPr="00AC70BA">
        <w:rPr>
          <w:rFonts w:ascii="Times New Roman" w:hAnsi="Times New Roman" w:cs="Times New Roman"/>
          <w:spacing w:val="-3"/>
        </w:rPr>
        <w:t>Docket No</w:t>
      </w:r>
      <w:r w:rsidR="00AC70BA">
        <w:rPr>
          <w:rFonts w:ascii="Times New Roman" w:hAnsi="Times New Roman" w:cs="Times New Roman"/>
          <w:spacing w:val="-3"/>
        </w:rPr>
        <w:t>s</w:t>
      </w:r>
      <w:r w:rsidR="00AC70BA" w:rsidRPr="00AC70BA">
        <w:rPr>
          <w:rFonts w:ascii="Times New Roman" w:hAnsi="Times New Roman" w:cs="Times New Roman"/>
          <w:spacing w:val="-3"/>
        </w:rPr>
        <w:t xml:space="preserve">. </w:t>
      </w:r>
      <w:r w:rsidR="009F707F">
        <w:rPr>
          <w:rFonts w:ascii="Times New Roman" w:hAnsi="Times New Roman" w:cs="Times New Roman"/>
          <w:spacing w:val="-3"/>
        </w:rPr>
        <w:t>F</w:t>
      </w:r>
      <w:r w:rsidR="00AC70BA" w:rsidRPr="00AC70BA">
        <w:rPr>
          <w:rFonts w:ascii="Times New Roman" w:hAnsi="Times New Roman" w:cs="Times New Roman"/>
          <w:spacing w:val="-3"/>
        </w:rPr>
        <w:t>-20102192191 and C-2011-2225996</w:t>
      </w:r>
      <w:r w:rsidR="00EE1C86">
        <w:rPr>
          <w:rFonts w:ascii="Times New Roman" w:hAnsi="Times New Roman" w:cs="Times New Roman"/>
          <w:spacing w:val="-3"/>
        </w:rPr>
        <w:t xml:space="preserve"> by </w:t>
      </w:r>
      <w:r w:rsidR="00AC70BA" w:rsidRPr="00AC70BA">
        <w:rPr>
          <w:rFonts w:ascii="Times New Roman" w:hAnsi="Times New Roman" w:cs="Times New Roman"/>
          <w:spacing w:val="-3"/>
        </w:rPr>
        <w:t>a Certificate of Satisfaction</w:t>
      </w:r>
      <w:r w:rsidR="00C97049">
        <w:rPr>
          <w:rFonts w:ascii="Times New Roman" w:hAnsi="Times New Roman" w:cs="Times New Roman"/>
          <w:spacing w:val="-3"/>
        </w:rPr>
        <w:t>,</w:t>
      </w:r>
      <w:r w:rsidR="00AC70BA" w:rsidRPr="00AC70BA">
        <w:rPr>
          <w:rFonts w:ascii="Times New Roman" w:hAnsi="Times New Roman" w:cs="Times New Roman"/>
          <w:spacing w:val="-3"/>
        </w:rPr>
        <w:t xml:space="preserve"> which Complainant did not </w:t>
      </w:r>
      <w:r w:rsidR="002513A3">
        <w:rPr>
          <w:rFonts w:ascii="Times New Roman" w:hAnsi="Times New Roman" w:cs="Times New Roman"/>
          <w:spacing w:val="-3"/>
        </w:rPr>
        <w:t xml:space="preserve">timely </w:t>
      </w:r>
      <w:r w:rsidR="00AC70BA" w:rsidRPr="00AC70BA">
        <w:rPr>
          <w:rFonts w:ascii="Times New Roman" w:hAnsi="Times New Roman" w:cs="Times New Roman"/>
          <w:spacing w:val="-3"/>
        </w:rPr>
        <w:t>object to</w:t>
      </w:r>
      <w:r w:rsidR="00EE1C86">
        <w:rPr>
          <w:rFonts w:ascii="Times New Roman" w:hAnsi="Times New Roman" w:cs="Times New Roman"/>
          <w:spacing w:val="-3"/>
        </w:rPr>
        <w:t>, that was filed with the Secretary of the Commission</w:t>
      </w:r>
      <w:r w:rsidR="00AC70BA" w:rsidRPr="00AC70BA">
        <w:rPr>
          <w:rFonts w:ascii="Times New Roman" w:hAnsi="Times New Roman" w:cs="Times New Roman"/>
          <w:spacing w:val="-3"/>
        </w:rPr>
        <w:t>.</w:t>
      </w:r>
      <w:r w:rsidR="00AC6688">
        <w:rPr>
          <w:rFonts w:ascii="Times New Roman" w:hAnsi="Times New Roman" w:cs="Times New Roman"/>
          <w:spacing w:val="-3"/>
        </w:rPr>
        <w:t xml:space="preserve">  PGW asserted that on October 23, 2014, </w:t>
      </w:r>
      <w:commentRangeStart w:id="0"/>
      <w:commentRangeEnd w:id="0"/>
      <w:r w:rsidR="00AC70BA" w:rsidRPr="00AC70BA">
        <w:rPr>
          <w:rFonts w:ascii="Times New Roman" w:hAnsi="Times New Roman" w:cs="Times New Roman"/>
          <w:spacing w:val="-3"/>
        </w:rPr>
        <w:t xml:space="preserve"> the Commission issued an Opinion and Order </w:t>
      </w:r>
      <w:r w:rsidR="00C879DA" w:rsidRPr="00C879DA">
        <w:rPr>
          <w:rFonts w:ascii="Times New Roman" w:hAnsi="Times New Roman" w:cs="Times New Roman"/>
          <w:spacing w:val="-3"/>
        </w:rPr>
        <w:t>at Docket No. C-2013-2368462</w:t>
      </w:r>
      <w:r w:rsidR="00C879DA">
        <w:rPr>
          <w:rFonts w:ascii="Times New Roman" w:hAnsi="Times New Roman" w:cs="Times New Roman"/>
          <w:spacing w:val="-3"/>
        </w:rPr>
        <w:t xml:space="preserve"> </w:t>
      </w:r>
      <w:r w:rsidR="00AC70BA" w:rsidRPr="00AC70BA">
        <w:rPr>
          <w:rFonts w:ascii="Times New Roman" w:hAnsi="Times New Roman" w:cs="Times New Roman"/>
          <w:spacing w:val="-3"/>
        </w:rPr>
        <w:t>wherein the  Complain</w:t>
      </w:r>
      <w:r w:rsidR="00AC70BA">
        <w:rPr>
          <w:rFonts w:ascii="Times New Roman" w:hAnsi="Times New Roman" w:cs="Times New Roman"/>
          <w:spacing w:val="-3"/>
        </w:rPr>
        <w:t>an</w:t>
      </w:r>
      <w:r w:rsidR="00AC70BA" w:rsidRPr="00AC70BA">
        <w:rPr>
          <w:rFonts w:ascii="Times New Roman" w:hAnsi="Times New Roman" w:cs="Times New Roman"/>
          <w:spacing w:val="-3"/>
        </w:rPr>
        <w:t>t</w:t>
      </w:r>
      <w:r w:rsidR="00AC70BA">
        <w:rPr>
          <w:rFonts w:ascii="Times New Roman" w:hAnsi="Times New Roman" w:cs="Times New Roman"/>
          <w:spacing w:val="-3"/>
        </w:rPr>
        <w:t>’s claim with respect to misbilling in 2010 and 2011</w:t>
      </w:r>
      <w:r w:rsidR="00AC70BA" w:rsidRPr="00AC70BA">
        <w:rPr>
          <w:rFonts w:ascii="Times New Roman" w:hAnsi="Times New Roman" w:cs="Times New Roman"/>
          <w:spacing w:val="-3"/>
        </w:rPr>
        <w:t xml:space="preserve"> was dismissed with prejudice as the issue had been resolved</w:t>
      </w:r>
      <w:r w:rsidR="002513A3">
        <w:rPr>
          <w:rFonts w:ascii="Times New Roman" w:hAnsi="Times New Roman" w:cs="Times New Roman"/>
          <w:spacing w:val="-3"/>
        </w:rPr>
        <w:t xml:space="preserve"> with the filing of the Certificate of Satisfaction in the underlying consolidated case</w:t>
      </w:r>
      <w:r w:rsidR="006D04ED">
        <w:rPr>
          <w:rFonts w:ascii="Times New Roman" w:hAnsi="Times New Roman" w:cs="Times New Roman"/>
          <w:spacing w:val="-3"/>
        </w:rPr>
        <w:t>.</w:t>
      </w:r>
      <w:r w:rsidR="00815C9A">
        <w:rPr>
          <w:rFonts w:ascii="Times New Roman" w:hAnsi="Times New Roman" w:cs="Times New Roman"/>
          <w:spacing w:val="-3"/>
        </w:rPr>
        <w:t xml:space="preserve">  PGW </w:t>
      </w:r>
      <w:r w:rsidR="00C97049">
        <w:rPr>
          <w:rFonts w:ascii="Times New Roman" w:hAnsi="Times New Roman" w:cs="Times New Roman"/>
          <w:spacing w:val="-3"/>
        </w:rPr>
        <w:t xml:space="preserve">also </w:t>
      </w:r>
      <w:r w:rsidR="00A62508">
        <w:rPr>
          <w:rFonts w:ascii="Times New Roman" w:hAnsi="Times New Roman" w:cs="Times New Roman"/>
          <w:spacing w:val="-3"/>
        </w:rPr>
        <w:t>argue</w:t>
      </w:r>
      <w:r w:rsidR="00C97049">
        <w:rPr>
          <w:rFonts w:ascii="Times New Roman" w:hAnsi="Times New Roman" w:cs="Times New Roman"/>
          <w:spacing w:val="-3"/>
        </w:rPr>
        <w:t>d</w:t>
      </w:r>
      <w:r w:rsidR="00815C9A">
        <w:rPr>
          <w:rFonts w:ascii="Times New Roman" w:hAnsi="Times New Roman" w:cs="Times New Roman"/>
          <w:spacing w:val="-3"/>
        </w:rPr>
        <w:t xml:space="preserve"> that any claim</w:t>
      </w:r>
      <w:r w:rsidR="00C879DA">
        <w:rPr>
          <w:rFonts w:ascii="Times New Roman" w:hAnsi="Times New Roman" w:cs="Times New Roman"/>
          <w:spacing w:val="-3"/>
        </w:rPr>
        <w:t>s</w:t>
      </w:r>
      <w:r w:rsidR="00815C9A">
        <w:rPr>
          <w:rFonts w:ascii="Times New Roman" w:hAnsi="Times New Roman" w:cs="Times New Roman"/>
          <w:spacing w:val="-3"/>
        </w:rPr>
        <w:t xml:space="preserve"> </w:t>
      </w:r>
      <w:r w:rsidR="00E417E2">
        <w:rPr>
          <w:rFonts w:ascii="Times New Roman" w:hAnsi="Times New Roman" w:cs="Times New Roman"/>
          <w:spacing w:val="-3"/>
        </w:rPr>
        <w:t xml:space="preserve">raised in the Complaint </w:t>
      </w:r>
      <w:r w:rsidR="00815C9A">
        <w:rPr>
          <w:rFonts w:ascii="Times New Roman" w:hAnsi="Times New Roman" w:cs="Times New Roman"/>
          <w:spacing w:val="-3"/>
        </w:rPr>
        <w:t xml:space="preserve">with respect to </w:t>
      </w:r>
      <w:r w:rsidR="00C879DA">
        <w:rPr>
          <w:rFonts w:ascii="Times New Roman" w:hAnsi="Times New Roman" w:cs="Times New Roman"/>
          <w:spacing w:val="-3"/>
        </w:rPr>
        <w:t xml:space="preserve">misbilling or </w:t>
      </w:r>
      <w:r w:rsidR="00815C9A">
        <w:rPr>
          <w:rFonts w:ascii="Times New Roman" w:hAnsi="Times New Roman" w:cs="Times New Roman"/>
          <w:spacing w:val="-3"/>
        </w:rPr>
        <w:t xml:space="preserve">damage caused by PGW </w:t>
      </w:r>
      <w:r w:rsidR="00C879DA">
        <w:rPr>
          <w:rFonts w:ascii="Times New Roman" w:hAnsi="Times New Roman" w:cs="Times New Roman"/>
          <w:spacing w:val="-3"/>
        </w:rPr>
        <w:t>are now</w:t>
      </w:r>
      <w:r w:rsidR="00815C9A">
        <w:rPr>
          <w:rFonts w:ascii="Times New Roman" w:hAnsi="Times New Roman" w:cs="Times New Roman"/>
          <w:spacing w:val="-3"/>
        </w:rPr>
        <w:t xml:space="preserve"> beyond the </w:t>
      </w:r>
      <w:r w:rsidR="00C879DA">
        <w:rPr>
          <w:rFonts w:ascii="Times New Roman" w:hAnsi="Times New Roman" w:cs="Times New Roman"/>
          <w:spacing w:val="-3"/>
        </w:rPr>
        <w:t>time</w:t>
      </w:r>
      <w:r w:rsidR="00815C9A">
        <w:rPr>
          <w:rFonts w:ascii="Times New Roman" w:hAnsi="Times New Roman" w:cs="Times New Roman"/>
          <w:spacing w:val="-3"/>
        </w:rPr>
        <w:t xml:space="preserve"> limitation at 66 Pa. C.S. § 3314 and asked that the </w:t>
      </w:r>
      <w:r w:rsidR="00C879DA">
        <w:rPr>
          <w:rFonts w:ascii="Times New Roman" w:hAnsi="Times New Roman" w:cs="Times New Roman"/>
          <w:spacing w:val="-3"/>
        </w:rPr>
        <w:t>Complaint</w:t>
      </w:r>
      <w:r w:rsidR="00815C9A">
        <w:rPr>
          <w:rFonts w:ascii="Times New Roman" w:hAnsi="Times New Roman" w:cs="Times New Roman"/>
          <w:spacing w:val="-3"/>
        </w:rPr>
        <w:t xml:space="preserve"> be struck as “impertinent matter”</w:t>
      </w:r>
      <w:r w:rsidR="0037239B">
        <w:rPr>
          <w:rFonts w:ascii="Times New Roman" w:hAnsi="Times New Roman" w:cs="Times New Roman"/>
          <w:spacing w:val="-3"/>
        </w:rPr>
        <w:t xml:space="preserve"> and hence legally insufficient under 52 Pa. Code </w:t>
      </w:r>
      <w:r w:rsidR="0037239B" w:rsidRPr="0037239B">
        <w:rPr>
          <w:rFonts w:ascii="Times New Roman" w:hAnsi="Times New Roman" w:cs="Times New Roman"/>
          <w:spacing w:val="-3"/>
        </w:rPr>
        <w:t>§ 5.101</w:t>
      </w:r>
      <w:r w:rsidR="0037239B">
        <w:rPr>
          <w:rFonts w:ascii="Times New Roman" w:hAnsi="Times New Roman" w:cs="Times New Roman"/>
          <w:spacing w:val="-3"/>
        </w:rPr>
        <w:t>(a)(</w:t>
      </w:r>
      <w:r w:rsidR="00AC6688">
        <w:rPr>
          <w:rFonts w:ascii="Times New Roman" w:hAnsi="Times New Roman" w:cs="Times New Roman"/>
          <w:spacing w:val="-3"/>
        </w:rPr>
        <w:t>2</w:t>
      </w:r>
      <w:r w:rsidR="0037239B">
        <w:rPr>
          <w:rFonts w:ascii="Times New Roman" w:hAnsi="Times New Roman" w:cs="Times New Roman"/>
          <w:spacing w:val="-3"/>
        </w:rPr>
        <w:t>).</w:t>
      </w:r>
    </w:p>
    <w:p w14:paraId="4F615FCA" w14:textId="77777777" w:rsidR="005B2D05" w:rsidRDefault="005B2D05" w:rsidP="00D83740">
      <w:pPr>
        <w:suppressAutoHyphens/>
        <w:spacing w:line="360" w:lineRule="auto"/>
        <w:rPr>
          <w:rFonts w:ascii="Times New Roman" w:hAnsi="Times New Roman" w:cs="Times New Roman"/>
          <w:spacing w:val="-3"/>
        </w:rPr>
      </w:pPr>
    </w:p>
    <w:p w14:paraId="4032BD79" w14:textId="0EB25A8B" w:rsidR="00AC70BA" w:rsidRDefault="005B2D05"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its </w:t>
      </w:r>
      <w:r w:rsidR="00AC6688">
        <w:rPr>
          <w:rFonts w:ascii="Times New Roman" w:hAnsi="Times New Roman" w:cs="Times New Roman"/>
          <w:spacing w:val="-3"/>
        </w:rPr>
        <w:t>New Matter</w:t>
      </w:r>
      <w:r>
        <w:rPr>
          <w:rFonts w:ascii="Times New Roman" w:hAnsi="Times New Roman" w:cs="Times New Roman"/>
          <w:spacing w:val="-3"/>
        </w:rPr>
        <w:t>, PGW asserted that it has, “</w:t>
      </w:r>
      <w:r w:rsidR="00E72D38">
        <w:rPr>
          <w:rFonts w:ascii="Times New Roman" w:hAnsi="Times New Roman" w:cs="Times New Roman"/>
          <w:spacing w:val="-3"/>
        </w:rPr>
        <w:t xml:space="preserve"> . . . </w:t>
      </w:r>
      <w:r>
        <w:rPr>
          <w:rFonts w:ascii="Times New Roman" w:hAnsi="Times New Roman" w:cs="Times New Roman"/>
          <w:spacing w:val="-3"/>
        </w:rPr>
        <w:t>completed work inside the basement of the Service Address, which is the basis of Complainant’s damage allegation.”</w:t>
      </w:r>
      <w:r w:rsidR="00EE1C86">
        <w:rPr>
          <w:rFonts w:ascii="Times New Roman" w:hAnsi="Times New Roman" w:cs="Times New Roman"/>
          <w:spacing w:val="-3"/>
        </w:rPr>
        <w:t xml:space="preserve">  </w:t>
      </w:r>
      <w:r w:rsidR="00A62508" w:rsidRPr="00A62508">
        <w:rPr>
          <w:rFonts w:ascii="Times New Roman" w:hAnsi="Times New Roman" w:cs="Times New Roman"/>
          <w:spacing w:val="-3"/>
        </w:rPr>
        <w:t>New Matter at ¶ 15.</w:t>
      </w:r>
    </w:p>
    <w:p w14:paraId="010615AA" w14:textId="6179C17E" w:rsidR="00D56D50" w:rsidRDefault="00D56D50" w:rsidP="00D83740">
      <w:pPr>
        <w:suppressAutoHyphens/>
        <w:spacing w:line="360" w:lineRule="auto"/>
        <w:rPr>
          <w:rFonts w:ascii="Times New Roman" w:hAnsi="Times New Roman" w:cs="Times New Roman"/>
          <w:spacing w:val="-3"/>
        </w:rPr>
      </w:pPr>
    </w:p>
    <w:p w14:paraId="1700FB75" w14:textId="5D45BE63" w:rsidR="00D56D50" w:rsidRDefault="00D56D50"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March 11, 2019, the Preliminary Objections were assigned to me for resolution with the case to be retained by me for adjudication in the event that Preliminary Objections</w:t>
      </w:r>
      <w:r w:rsidR="002513A3">
        <w:rPr>
          <w:rFonts w:ascii="Times New Roman" w:hAnsi="Times New Roman" w:cs="Times New Roman"/>
          <w:spacing w:val="-3"/>
        </w:rPr>
        <w:t xml:space="preserve"> </w:t>
      </w:r>
      <w:r w:rsidR="00E93DC5">
        <w:rPr>
          <w:rFonts w:ascii="Times New Roman" w:hAnsi="Times New Roman" w:cs="Times New Roman"/>
          <w:spacing w:val="-3"/>
        </w:rPr>
        <w:t>are</w:t>
      </w:r>
      <w:r w:rsidR="002513A3">
        <w:rPr>
          <w:rFonts w:ascii="Times New Roman" w:hAnsi="Times New Roman" w:cs="Times New Roman"/>
          <w:spacing w:val="-3"/>
        </w:rPr>
        <w:t xml:space="preserve"> denied.  </w:t>
      </w:r>
      <w:r>
        <w:rPr>
          <w:rFonts w:ascii="Times New Roman" w:hAnsi="Times New Roman" w:cs="Times New Roman"/>
          <w:spacing w:val="-3"/>
        </w:rPr>
        <w:t>By notice issued March 13, 2019, this matter was tentatively set for hearing on April 26, 2019.</w:t>
      </w:r>
    </w:p>
    <w:p w14:paraId="10F64988" w14:textId="536F9B14" w:rsidR="00D56D50" w:rsidRDefault="00D56D50" w:rsidP="00D83740">
      <w:pPr>
        <w:suppressAutoHyphens/>
        <w:spacing w:line="360" w:lineRule="auto"/>
        <w:rPr>
          <w:rFonts w:ascii="Times New Roman" w:hAnsi="Times New Roman" w:cs="Times New Roman"/>
          <w:spacing w:val="-3"/>
        </w:rPr>
      </w:pPr>
    </w:p>
    <w:p w14:paraId="7B9D42B3" w14:textId="3DD45D04" w:rsidR="00D56D50" w:rsidRPr="00D83740" w:rsidRDefault="00D56D50"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While Complainant did not file an Answer with respect to PGW’s Preliminary Objections, he did file proposed exhibits on March 16, 2019, properly copied to counsel for PGW.</w:t>
      </w:r>
      <w:r w:rsidR="00B04A70">
        <w:rPr>
          <w:rFonts w:ascii="Times New Roman" w:hAnsi="Times New Roman" w:cs="Times New Roman"/>
          <w:spacing w:val="-3"/>
        </w:rPr>
        <w:t xml:space="preserve">  I note that the proposed exhibits all concern billing from 2010 to 201</w:t>
      </w:r>
      <w:r w:rsidR="00EE1C86">
        <w:rPr>
          <w:rFonts w:ascii="Times New Roman" w:hAnsi="Times New Roman" w:cs="Times New Roman"/>
          <w:spacing w:val="-3"/>
        </w:rPr>
        <w:t>1</w:t>
      </w:r>
      <w:r w:rsidR="00B04A70">
        <w:rPr>
          <w:rFonts w:ascii="Times New Roman" w:hAnsi="Times New Roman" w:cs="Times New Roman"/>
          <w:spacing w:val="-3"/>
        </w:rPr>
        <w:t>.</w:t>
      </w:r>
    </w:p>
    <w:p w14:paraId="759B9C07" w14:textId="77777777" w:rsidR="00E37B53" w:rsidRPr="00D83740" w:rsidRDefault="00E37B53" w:rsidP="00D83740">
      <w:pPr>
        <w:suppressAutoHyphens/>
        <w:spacing w:line="360" w:lineRule="auto"/>
        <w:rPr>
          <w:rFonts w:ascii="Times New Roman" w:hAnsi="Times New Roman" w:cs="Times New Roman"/>
          <w:spacing w:val="-3"/>
        </w:rPr>
      </w:pPr>
    </w:p>
    <w:p w14:paraId="6DBDA6E9" w14:textId="43CDE020" w:rsidR="00815C9A" w:rsidRDefault="00E37B53" w:rsidP="00D83740">
      <w:pPr>
        <w:suppressAutoHyphens/>
        <w:spacing w:line="360" w:lineRule="auto"/>
        <w:rPr>
          <w:rFonts w:ascii="Times New Roman" w:hAnsi="Times New Roman" w:cs="Times New Roman"/>
          <w:spacing w:val="-3"/>
        </w:rPr>
      </w:pPr>
      <w:r w:rsidRPr="00D83740">
        <w:rPr>
          <w:rFonts w:ascii="Times New Roman" w:hAnsi="Times New Roman" w:cs="Times New Roman"/>
          <w:spacing w:val="-3"/>
        </w:rPr>
        <w:tab/>
      </w:r>
      <w:r w:rsidRPr="00D83740">
        <w:rPr>
          <w:rFonts w:ascii="Times New Roman" w:hAnsi="Times New Roman" w:cs="Times New Roman"/>
          <w:spacing w:val="-3"/>
        </w:rPr>
        <w:tab/>
      </w:r>
      <w:r w:rsidR="00815C9A">
        <w:rPr>
          <w:rFonts w:ascii="Times New Roman" w:hAnsi="Times New Roman" w:cs="Times New Roman"/>
          <w:spacing w:val="-3"/>
        </w:rPr>
        <w:t>To date, Complainant has not filed an Answer with respect to PGW’s New Matter or Preliminary Objections.</w:t>
      </w:r>
    </w:p>
    <w:p w14:paraId="4C1BFB46" w14:textId="6883897D" w:rsidR="002513A3" w:rsidRDefault="002513A3" w:rsidP="00D83740">
      <w:pPr>
        <w:suppressAutoHyphens/>
        <w:spacing w:line="360" w:lineRule="auto"/>
        <w:rPr>
          <w:rFonts w:ascii="Times New Roman" w:hAnsi="Times New Roman" w:cs="Times New Roman"/>
          <w:spacing w:val="-3"/>
        </w:rPr>
      </w:pPr>
    </w:p>
    <w:p w14:paraId="4ABB09D5" w14:textId="007BD0B0" w:rsidR="002513A3" w:rsidRPr="002513A3" w:rsidRDefault="002513A3" w:rsidP="002513A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2513A3">
        <w:rPr>
          <w:rFonts w:ascii="Times New Roman" w:hAnsi="Times New Roman" w:cs="Times New Roman"/>
          <w:spacing w:val="-3"/>
        </w:rPr>
        <w:t>On April 22, 2019, I directed that the hearing scheduled for April 26, 2019 be cancelled.  My reason for doing so was to revisit PGW’s Preliminary Objections in view of the clarification provided by Complainant’s March 16, 2019 pre-hearing filing, the only filing received from Complainant since the initiation of his Complaint.</w:t>
      </w:r>
    </w:p>
    <w:p w14:paraId="0474FF22" w14:textId="77777777" w:rsidR="002513A3" w:rsidRPr="002513A3" w:rsidRDefault="002513A3" w:rsidP="002513A3">
      <w:pPr>
        <w:suppressAutoHyphens/>
        <w:spacing w:line="360" w:lineRule="auto"/>
        <w:rPr>
          <w:rFonts w:ascii="Times New Roman" w:hAnsi="Times New Roman" w:cs="Times New Roman"/>
          <w:spacing w:val="-3"/>
        </w:rPr>
      </w:pPr>
    </w:p>
    <w:p w14:paraId="102498FF" w14:textId="199D398F" w:rsidR="00E93DC5" w:rsidRDefault="002513A3" w:rsidP="002513A3">
      <w:pPr>
        <w:suppressAutoHyphens/>
        <w:spacing w:line="360" w:lineRule="auto"/>
        <w:rPr>
          <w:rFonts w:ascii="Times New Roman" w:hAnsi="Times New Roman" w:cs="Times New Roman"/>
          <w:spacing w:val="-3"/>
        </w:rPr>
      </w:pPr>
      <w:r w:rsidRPr="002513A3">
        <w:rPr>
          <w:rFonts w:ascii="Times New Roman" w:hAnsi="Times New Roman" w:cs="Times New Roman"/>
          <w:spacing w:val="-3"/>
        </w:rPr>
        <w:tab/>
      </w:r>
      <w:r w:rsidRPr="002513A3">
        <w:rPr>
          <w:rFonts w:ascii="Times New Roman" w:hAnsi="Times New Roman" w:cs="Times New Roman"/>
          <w:spacing w:val="-3"/>
        </w:rPr>
        <w:tab/>
        <w:t xml:space="preserve">On April 23, 2019, before I was able to draft </w:t>
      </w:r>
      <w:r>
        <w:rPr>
          <w:rFonts w:ascii="Times New Roman" w:hAnsi="Times New Roman" w:cs="Times New Roman"/>
          <w:spacing w:val="-3"/>
        </w:rPr>
        <w:t xml:space="preserve">an </w:t>
      </w:r>
      <w:r w:rsidRPr="002513A3">
        <w:rPr>
          <w:rFonts w:ascii="Times New Roman" w:hAnsi="Times New Roman" w:cs="Times New Roman"/>
          <w:spacing w:val="-3"/>
        </w:rPr>
        <w:t>Order relative to the hearing scheduled for April 26, 2019,  PGW filed an untimely Motion for Continuance, supported by the Complainant, seeking an extension of time during which negotiations between the parties could continue.  I communicated to counsel for PGW by email the fact that a hearing cancellation Notice had already been issued on April 22, 2019, so that I could resolve PGW’s Preliminary Objections.</w:t>
      </w:r>
      <w:r w:rsidR="0011643A">
        <w:rPr>
          <w:rStyle w:val="FootnoteReference"/>
          <w:rFonts w:ascii="Times New Roman" w:hAnsi="Times New Roman" w:cs="Times New Roman"/>
          <w:spacing w:val="-3"/>
        </w:rPr>
        <w:footnoteReference w:id="2"/>
      </w:r>
    </w:p>
    <w:p w14:paraId="2481A13C" w14:textId="77777777" w:rsidR="00E93DC5" w:rsidRDefault="00E93DC5" w:rsidP="002513A3">
      <w:pPr>
        <w:suppressAutoHyphens/>
        <w:spacing w:line="360" w:lineRule="auto"/>
        <w:rPr>
          <w:rFonts w:ascii="Times New Roman" w:hAnsi="Times New Roman" w:cs="Times New Roman"/>
          <w:spacing w:val="-3"/>
        </w:rPr>
      </w:pPr>
    </w:p>
    <w:p w14:paraId="193E712E" w14:textId="78488629" w:rsidR="002513A3" w:rsidRDefault="00E93DC5" w:rsidP="002513A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April 25, 2019, Complainant faxed to me a </w:t>
      </w:r>
      <w:proofErr w:type="gramStart"/>
      <w:r>
        <w:rPr>
          <w:rFonts w:ascii="Times New Roman" w:hAnsi="Times New Roman" w:cs="Times New Roman"/>
          <w:spacing w:val="-3"/>
        </w:rPr>
        <w:t>two page</w:t>
      </w:r>
      <w:proofErr w:type="gramEnd"/>
      <w:r>
        <w:rPr>
          <w:rFonts w:ascii="Times New Roman" w:hAnsi="Times New Roman" w:cs="Times New Roman"/>
          <w:spacing w:val="-3"/>
        </w:rPr>
        <w:t xml:space="preserve"> letter, copied to counsel for PGW, reflecting a misunderstanding on the part of Complainant of the procedural posture of this case.</w:t>
      </w:r>
      <w:r w:rsidR="002513A3" w:rsidRPr="002513A3">
        <w:rPr>
          <w:rFonts w:ascii="Times New Roman" w:hAnsi="Times New Roman" w:cs="Times New Roman"/>
          <w:spacing w:val="-3"/>
        </w:rPr>
        <w:t xml:space="preserve">  </w:t>
      </w:r>
    </w:p>
    <w:p w14:paraId="027432B1" w14:textId="3EC972D6" w:rsidR="00A62508" w:rsidRDefault="00A62508" w:rsidP="00D83740">
      <w:pPr>
        <w:suppressAutoHyphens/>
        <w:spacing w:line="360" w:lineRule="auto"/>
        <w:rPr>
          <w:rFonts w:ascii="Times New Roman" w:hAnsi="Times New Roman" w:cs="Times New Roman"/>
          <w:spacing w:val="-3"/>
        </w:rPr>
      </w:pPr>
    </w:p>
    <w:p w14:paraId="514760F9" w14:textId="3635E968" w:rsidR="00A62508" w:rsidRDefault="00A62508" w:rsidP="00D8374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April 26, 2019, an Order was issued denying the Motion for Continuance as moot, because the hearing had already been cancelled.</w:t>
      </w:r>
      <w:r w:rsidR="00E93DC5">
        <w:rPr>
          <w:rFonts w:ascii="Times New Roman" w:hAnsi="Times New Roman" w:cs="Times New Roman"/>
          <w:spacing w:val="-3"/>
        </w:rPr>
        <w:t xml:space="preserve">  That Order also addressed a number of Complainant’s misperceptions.</w:t>
      </w:r>
    </w:p>
    <w:p w14:paraId="4D481B83" w14:textId="1D4D7B62" w:rsidR="00C97049" w:rsidRDefault="00C97049" w:rsidP="00D83740">
      <w:pPr>
        <w:suppressAutoHyphens/>
        <w:spacing w:line="360" w:lineRule="auto"/>
        <w:rPr>
          <w:rFonts w:ascii="Times New Roman" w:hAnsi="Times New Roman" w:cs="Times New Roman"/>
          <w:spacing w:val="-3"/>
        </w:rPr>
      </w:pPr>
    </w:p>
    <w:p w14:paraId="40832C3A" w14:textId="03448DCF" w:rsidR="005C00D2" w:rsidRDefault="005C00D2" w:rsidP="00D83740">
      <w:pPr>
        <w:suppressAutoHyphens/>
        <w:spacing w:line="360" w:lineRule="auto"/>
        <w:rPr>
          <w:rFonts w:ascii="Times New Roman" w:hAnsi="Times New Roman" w:cs="Times New Roman"/>
          <w:spacing w:val="-3"/>
        </w:rPr>
      </w:pPr>
    </w:p>
    <w:p w14:paraId="7800DE6A" w14:textId="54618CC2" w:rsidR="005C00D2" w:rsidRDefault="005C00D2" w:rsidP="00D83740">
      <w:pPr>
        <w:suppressAutoHyphens/>
        <w:spacing w:line="360" w:lineRule="auto"/>
        <w:rPr>
          <w:rFonts w:ascii="Times New Roman" w:hAnsi="Times New Roman" w:cs="Times New Roman"/>
          <w:spacing w:val="-3"/>
        </w:rPr>
      </w:pPr>
    </w:p>
    <w:p w14:paraId="3D61CFCF" w14:textId="77777777" w:rsidR="005C00D2" w:rsidRDefault="005C00D2" w:rsidP="00D83740">
      <w:pPr>
        <w:suppressAutoHyphens/>
        <w:spacing w:line="360" w:lineRule="auto"/>
        <w:rPr>
          <w:rFonts w:ascii="Times New Roman" w:hAnsi="Times New Roman" w:cs="Times New Roman"/>
          <w:spacing w:val="-3"/>
        </w:rPr>
      </w:pPr>
    </w:p>
    <w:p w14:paraId="57EB856F" w14:textId="77777777" w:rsidR="0004263E" w:rsidRPr="00D83740" w:rsidRDefault="0004263E" w:rsidP="00D83740">
      <w:pPr>
        <w:suppressAutoHyphens/>
        <w:spacing w:line="360" w:lineRule="auto"/>
        <w:jc w:val="center"/>
        <w:rPr>
          <w:rFonts w:ascii="Times New Roman" w:hAnsi="Times New Roman" w:cs="Times New Roman"/>
          <w:spacing w:val="-3"/>
          <w:u w:val="single"/>
        </w:rPr>
      </w:pPr>
      <w:r w:rsidRPr="00D83740">
        <w:rPr>
          <w:rFonts w:ascii="Times New Roman" w:hAnsi="Times New Roman" w:cs="Times New Roman"/>
          <w:spacing w:val="-3"/>
          <w:u w:val="single"/>
        </w:rPr>
        <w:t>DISCUSSION</w:t>
      </w:r>
    </w:p>
    <w:p w14:paraId="016AE5BE" w14:textId="77777777" w:rsidR="00F2566D" w:rsidRPr="00D83740" w:rsidRDefault="00F2566D" w:rsidP="00D83740">
      <w:pPr>
        <w:suppressAutoHyphens/>
        <w:spacing w:line="360" w:lineRule="auto"/>
        <w:rPr>
          <w:rFonts w:ascii="Times New Roman" w:hAnsi="Times New Roman" w:cs="Times New Roman"/>
          <w:spacing w:val="-3"/>
        </w:rPr>
      </w:pPr>
    </w:p>
    <w:p w14:paraId="7CFC6B82" w14:textId="77777777" w:rsidR="009B3ED2" w:rsidRPr="00D83740" w:rsidRDefault="00564F59" w:rsidP="00D83740">
      <w:pPr>
        <w:suppressAutoHyphens/>
        <w:spacing w:line="360" w:lineRule="auto"/>
        <w:rPr>
          <w:rFonts w:ascii="Times New Roman" w:hAnsi="Times New Roman" w:cs="Times New Roman"/>
        </w:rPr>
      </w:pPr>
      <w:r w:rsidRPr="00D83740">
        <w:rPr>
          <w:rFonts w:ascii="Times New Roman" w:hAnsi="Times New Roman" w:cs="Times New Roman"/>
          <w:spacing w:val="-3"/>
        </w:rPr>
        <w:tab/>
      </w:r>
      <w:r w:rsidRPr="00D83740">
        <w:rPr>
          <w:rFonts w:ascii="Times New Roman" w:hAnsi="Times New Roman" w:cs="Times New Roman"/>
          <w:spacing w:val="-3"/>
        </w:rPr>
        <w:tab/>
      </w:r>
      <w:r w:rsidR="009B3ED2" w:rsidRPr="00D83740">
        <w:rPr>
          <w:rFonts w:ascii="Times New Roman" w:hAnsi="Times New Roman" w:cs="Times New Roman"/>
        </w:rPr>
        <w:t>The Commission's Rules of Administrative Practice and Procedure permit the filing of preliminary objections:</w:t>
      </w:r>
    </w:p>
    <w:p w14:paraId="7AB550FC" w14:textId="77777777" w:rsidR="009B3ED2" w:rsidRPr="00D83740" w:rsidRDefault="009B3ED2" w:rsidP="00D83740">
      <w:pPr>
        <w:suppressAutoHyphens/>
        <w:spacing w:line="360" w:lineRule="auto"/>
        <w:rPr>
          <w:rFonts w:ascii="Times New Roman" w:hAnsi="Times New Roman" w:cs="Times New Roman"/>
        </w:rPr>
      </w:pPr>
    </w:p>
    <w:p w14:paraId="18F0DB8B" w14:textId="77777777" w:rsidR="009B3ED2" w:rsidRPr="00D83740" w:rsidRDefault="009B3ED2" w:rsidP="001D61CB">
      <w:pPr>
        <w:tabs>
          <w:tab w:val="left" w:pos="-90"/>
        </w:tabs>
        <w:suppressAutoHyphens/>
        <w:ind w:left="1440" w:right="1440"/>
        <w:rPr>
          <w:rFonts w:ascii="Times New Roman" w:hAnsi="Times New Roman" w:cs="Times New Roman"/>
        </w:rPr>
      </w:pPr>
      <w:bookmarkStart w:id="1" w:name="_Hlk3473659"/>
      <w:r w:rsidRPr="00D83740">
        <w:rPr>
          <w:rFonts w:ascii="Times New Roman" w:hAnsi="Times New Roman" w:cs="Times New Roman"/>
          <w:b/>
          <w:bCs/>
        </w:rPr>
        <w:t>§ 5.101</w:t>
      </w:r>
      <w:bookmarkEnd w:id="1"/>
      <w:r w:rsidRPr="00D83740">
        <w:rPr>
          <w:rFonts w:ascii="Times New Roman" w:hAnsi="Times New Roman" w:cs="Times New Roman"/>
          <w:b/>
          <w:bCs/>
        </w:rPr>
        <w:t>. Preliminary objections.</w:t>
      </w:r>
      <w:r w:rsidRPr="00D83740">
        <w:rPr>
          <w:rFonts w:ascii="Times New Roman" w:hAnsi="Times New Roman" w:cs="Times New Roman"/>
        </w:rPr>
        <w:br/>
        <w:t> </w:t>
      </w:r>
      <w:r w:rsidRPr="00D83740">
        <w:rPr>
          <w:rFonts w:ascii="Times New Roman" w:hAnsi="Times New Roman" w:cs="Times New Roman"/>
        </w:rPr>
        <w:br/>
        <w:t>(a)</w:t>
      </w:r>
      <w:r w:rsidRPr="00D83740">
        <w:rPr>
          <w:rFonts w:ascii="Times New Roman" w:hAnsi="Times New Roman" w:cs="Times New Roman"/>
        </w:rPr>
        <w:tab/>
      </w:r>
      <w:r w:rsidRPr="00D83740">
        <w:rPr>
          <w:rFonts w:ascii="Times New Roman" w:hAnsi="Times New Roman" w:cs="Times New Roman"/>
          <w:i/>
          <w:iCs/>
        </w:rPr>
        <w:t>Grounds.</w:t>
      </w:r>
      <w:r w:rsidRPr="00D83740">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14:paraId="6B23310B" w14:textId="77777777" w:rsidR="009B3ED2" w:rsidRPr="00D83740" w:rsidRDefault="009B3ED2" w:rsidP="001D61CB">
      <w:pPr>
        <w:suppressAutoHyphens/>
        <w:ind w:left="1440" w:right="1440"/>
        <w:rPr>
          <w:rFonts w:ascii="Times New Roman" w:hAnsi="Times New Roman" w:cs="Times New Roman"/>
        </w:rPr>
      </w:pPr>
    </w:p>
    <w:p w14:paraId="401D7320" w14:textId="77777777" w:rsidR="009B3ED2" w:rsidRDefault="009B3ED2" w:rsidP="00C879DA">
      <w:pPr>
        <w:suppressAutoHyphens/>
        <w:ind w:left="2160" w:right="1440"/>
        <w:rPr>
          <w:rFonts w:ascii="Times New Roman" w:hAnsi="Times New Roman" w:cs="Times New Roman"/>
        </w:rPr>
      </w:pPr>
      <w:r w:rsidRPr="00D83740">
        <w:rPr>
          <w:rFonts w:ascii="Times New Roman" w:hAnsi="Times New Roman" w:cs="Times New Roman"/>
        </w:rPr>
        <w:t>(1)</w:t>
      </w:r>
      <w:r w:rsidRPr="00D83740">
        <w:rPr>
          <w:rFonts w:ascii="Times New Roman" w:hAnsi="Times New Roman" w:cs="Times New Roman"/>
        </w:rPr>
        <w:tab/>
        <w:t xml:space="preserve">Lack of Commission </w:t>
      </w:r>
      <w:r w:rsidRPr="00D83740">
        <w:rPr>
          <w:rFonts w:ascii="Times New Roman" w:hAnsi="Times New Roman" w:cs="Times New Roman"/>
          <w:bCs/>
        </w:rPr>
        <w:t>jurisdiction</w:t>
      </w:r>
      <w:r w:rsidRPr="00D83740">
        <w:rPr>
          <w:rFonts w:ascii="Times New Roman" w:hAnsi="Times New Roman" w:cs="Times New Roman"/>
        </w:rPr>
        <w:t xml:space="preserve"> or improper service of the pleading initiating the proceeding.</w:t>
      </w:r>
      <w:r w:rsidRPr="00D83740">
        <w:rPr>
          <w:rFonts w:ascii="Times New Roman" w:hAnsi="Times New Roman" w:cs="Times New Roman"/>
        </w:rPr>
        <w:br/>
      </w:r>
      <w:r w:rsidRPr="00D83740">
        <w:rPr>
          <w:rFonts w:ascii="Times New Roman" w:hAnsi="Times New Roman" w:cs="Times New Roman"/>
        </w:rPr>
        <w:br/>
        <w:t>(2)</w:t>
      </w:r>
      <w:r w:rsidRPr="00D83740">
        <w:rPr>
          <w:rFonts w:ascii="Times New Roman" w:hAnsi="Times New Roman" w:cs="Times New Roman"/>
        </w:rPr>
        <w:tab/>
        <w:t>Failure of a pleading to conform to this chapter or the inclusion of scandalous or impertinent matter.</w:t>
      </w:r>
      <w:r w:rsidRPr="00D83740">
        <w:rPr>
          <w:rFonts w:ascii="Times New Roman" w:hAnsi="Times New Roman" w:cs="Times New Roman"/>
        </w:rPr>
        <w:br/>
      </w:r>
      <w:r w:rsidRPr="00D83740">
        <w:rPr>
          <w:rFonts w:ascii="Times New Roman" w:hAnsi="Times New Roman" w:cs="Times New Roman"/>
        </w:rPr>
        <w:br/>
        <w:t>(3)</w:t>
      </w:r>
      <w:r w:rsidRPr="00D83740">
        <w:rPr>
          <w:rFonts w:ascii="Times New Roman" w:hAnsi="Times New Roman" w:cs="Times New Roman"/>
        </w:rPr>
        <w:tab/>
        <w:t>Insufficient specificity of a pleading.</w:t>
      </w:r>
      <w:r w:rsidRPr="00D83740">
        <w:rPr>
          <w:rFonts w:ascii="Times New Roman" w:hAnsi="Times New Roman" w:cs="Times New Roman"/>
        </w:rPr>
        <w:br/>
      </w:r>
      <w:r w:rsidRPr="00D83740">
        <w:rPr>
          <w:rFonts w:ascii="Times New Roman" w:hAnsi="Times New Roman" w:cs="Times New Roman"/>
        </w:rPr>
        <w:br/>
        <w:t>(4)</w:t>
      </w:r>
      <w:r w:rsidRPr="00D83740">
        <w:rPr>
          <w:rFonts w:ascii="Times New Roman" w:hAnsi="Times New Roman" w:cs="Times New Roman"/>
        </w:rPr>
        <w:tab/>
        <w:t>Legal insufficiency of a pleading.</w:t>
      </w:r>
      <w:r w:rsidRPr="00D83740">
        <w:rPr>
          <w:rFonts w:ascii="Times New Roman" w:hAnsi="Times New Roman" w:cs="Times New Roman"/>
        </w:rPr>
        <w:br/>
      </w:r>
      <w:r w:rsidRPr="00D83740">
        <w:rPr>
          <w:rFonts w:ascii="Times New Roman" w:hAnsi="Times New Roman" w:cs="Times New Roman"/>
        </w:rPr>
        <w:br/>
        <w:t>(5)</w:t>
      </w:r>
      <w:r w:rsidRPr="00D83740">
        <w:rPr>
          <w:rFonts w:ascii="Times New Roman" w:hAnsi="Times New Roman" w:cs="Times New Roman"/>
        </w:rPr>
        <w:tab/>
        <w:t>Lack of capacity to sue, nonjoinder of a necessary party or misjoinder of a cause of action.</w:t>
      </w:r>
      <w:r w:rsidRPr="00D83740">
        <w:rPr>
          <w:rFonts w:ascii="Times New Roman" w:hAnsi="Times New Roman" w:cs="Times New Roman"/>
        </w:rPr>
        <w:br/>
      </w:r>
      <w:r w:rsidRPr="00D83740">
        <w:rPr>
          <w:rFonts w:ascii="Times New Roman" w:hAnsi="Times New Roman" w:cs="Times New Roman"/>
        </w:rPr>
        <w:br/>
        <w:t>(6)</w:t>
      </w:r>
      <w:r w:rsidRPr="00D83740">
        <w:rPr>
          <w:rFonts w:ascii="Times New Roman" w:hAnsi="Times New Roman" w:cs="Times New Roman"/>
        </w:rPr>
        <w:tab/>
        <w:t>Pendency of a prior proceeding or agreement for alternative dispute resolution.</w:t>
      </w:r>
    </w:p>
    <w:p w14:paraId="44D65D7A" w14:textId="77777777" w:rsidR="00815C9A" w:rsidRDefault="00815C9A" w:rsidP="00C879DA">
      <w:pPr>
        <w:suppressAutoHyphens/>
        <w:ind w:left="2160" w:right="1440"/>
        <w:rPr>
          <w:rFonts w:ascii="Times New Roman" w:hAnsi="Times New Roman" w:cs="Times New Roman"/>
        </w:rPr>
      </w:pPr>
    </w:p>
    <w:p w14:paraId="6ECCFCC4" w14:textId="67CC0F8B" w:rsidR="00815C9A" w:rsidRPr="00D83740" w:rsidRDefault="00815C9A" w:rsidP="00C879DA">
      <w:pPr>
        <w:suppressAutoHyphens/>
        <w:ind w:left="2160" w:right="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401091" w:rsidRPr="00401091">
        <w:rPr>
          <w:rFonts w:ascii="Times New Roman" w:hAnsi="Times New Roman" w:cs="Times New Roman"/>
        </w:rPr>
        <w:t>Standing of a party to participate in the proceeding.</w:t>
      </w:r>
    </w:p>
    <w:p w14:paraId="4909D72D" w14:textId="77777777" w:rsidR="009B3ED2" w:rsidRPr="00D83740" w:rsidRDefault="009B3ED2" w:rsidP="00D83740">
      <w:pPr>
        <w:suppressAutoHyphens/>
        <w:spacing w:line="360" w:lineRule="auto"/>
        <w:rPr>
          <w:rFonts w:ascii="Times New Roman" w:hAnsi="Times New Roman" w:cs="Times New Roman"/>
        </w:rPr>
      </w:pPr>
    </w:p>
    <w:p w14:paraId="1990A973" w14:textId="77777777" w:rsidR="009B3ED2" w:rsidRPr="00D83740" w:rsidRDefault="009B3ED2" w:rsidP="00D83740">
      <w:pPr>
        <w:suppressAutoHyphens/>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t xml:space="preserve">Commission procedure regarding the disposition of preliminary objections is similar to that utilized in Pennsylvania civil practice.  </w:t>
      </w:r>
      <w:r w:rsidRPr="00D83740">
        <w:rPr>
          <w:rFonts w:ascii="Times New Roman" w:hAnsi="Times New Roman" w:cs="Times New Roman"/>
          <w:i/>
        </w:rPr>
        <w:t>Equitable Small Transportation Interveners v. Equitable Gas Company</w:t>
      </w:r>
      <w:r w:rsidRPr="00D83740">
        <w:rPr>
          <w:rFonts w:ascii="Times New Roman" w:hAnsi="Times New Roman" w:cs="Times New Roman"/>
        </w:rPr>
        <w:t>, 1994 Pa. PUC LEXIS 69, Docket No. C-00935435 (July 18, 1994).</w:t>
      </w:r>
      <w:r w:rsidRPr="00D83740">
        <w:rPr>
          <w:rFonts w:ascii="Times New Roman" w:hAnsi="Times New Roman" w:cs="Times New Roman"/>
        </w:rPr>
        <w:br/>
      </w:r>
    </w:p>
    <w:p w14:paraId="5DC15AEC" w14:textId="77777777" w:rsidR="00815C9A" w:rsidRDefault="009B3ED2" w:rsidP="00D83740">
      <w:pPr>
        <w:suppressAutoHyphens/>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D83740">
        <w:rPr>
          <w:rFonts w:ascii="Times New Roman" w:hAnsi="Times New Roman" w:cs="Times New Roman"/>
          <w:i/>
        </w:rPr>
        <w:t>Dep't of Auditor General, et al v. SERS, et al</w:t>
      </w:r>
      <w:r w:rsidRPr="00D83740">
        <w:rPr>
          <w:rFonts w:ascii="Times New Roman" w:hAnsi="Times New Roman" w:cs="Times New Roman"/>
        </w:rPr>
        <w:t xml:space="preserve">., 836 A.2d 1053, 1064 (Pa.Cmwlth. 2003); </w:t>
      </w:r>
      <w:r w:rsidRPr="00D83740">
        <w:rPr>
          <w:rFonts w:ascii="Times New Roman" w:hAnsi="Times New Roman" w:cs="Times New Roman"/>
          <w:i/>
        </w:rPr>
        <w:t>P.J.S. v. Pa. State Ethics Comm'n</w:t>
      </w:r>
      <w:r w:rsidRPr="00D83740">
        <w:rPr>
          <w:rFonts w:ascii="Times New Roman" w:hAnsi="Times New Roman" w:cs="Times New Roman"/>
        </w:rPr>
        <w:t xml:space="preserve">, 669 A.2d 1105 (Pa.Cmwlth. 1996).  Any doubt must be resolved in favor of the non-moving party by refusing to sustain the preliminary objections.  </w:t>
      </w:r>
      <w:r w:rsidRPr="00D83740">
        <w:rPr>
          <w:rFonts w:ascii="Times New Roman" w:hAnsi="Times New Roman" w:cs="Times New Roman"/>
          <w:i/>
        </w:rPr>
        <w:t>Boyd v. Ward</w:t>
      </w:r>
      <w:r w:rsidRPr="00D83740">
        <w:rPr>
          <w:rFonts w:ascii="Times New Roman" w:hAnsi="Times New Roman" w:cs="Times New Roman"/>
        </w:rPr>
        <w:t xml:space="preserve">, 802 A.2d 705 (Pa.Cmwlth. 2002).  </w:t>
      </w:r>
      <w:bookmarkStart w:id="2" w:name="_Hlk7616017"/>
      <w:r w:rsidRPr="00D83740">
        <w:rPr>
          <w:rFonts w:ascii="Times New Roman" w:hAnsi="Times New Roman" w:cs="Times New Roman"/>
        </w:rPr>
        <w:t xml:space="preserve">All of the non-moving party's averments in the complaint must be viewed as true for purposes of deciding the preliminary objections, and only those facts specifically admitted may be considered against the non-moving party. </w:t>
      </w:r>
      <w:r w:rsidRPr="00D83740">
        <w:rPr>
          <w:rFonts w:ascii="Times New Roman" w:hAnsi="Times New Roman" w:cs="Times New Roman"/>
          <w:i/>
        </w:rPr>
        <w:t>Ridge v. State Employees' Retirement Bd</w:t>
      </w:r>
      <w:r w:rsidRPr="00D83740">
        <w:rPr>
          <w:rFonts w:ascii="Times New Roman" w:hAnsi="Times New Roman" w:cs="Times New Roman"/>
        </w:rPr>
        <w:t>., 690 A.2d 1312 (Pa.Cmwlth. 1997).</w:t>
      </w:r>
      <w:r w:rsidRPr="00D83740">
        <w:rPr>
          <w:rFonts w:ascii="Times New Roman" w:hAnsi="Times New Roman" w:cs="Times New Roman"/>
        </w:rPr>
        <w:br/>
      </w:r>
      <w:bookmarkEnd w:id="2"/>
      <w:r w:rsidRPr="00D83740">
        <w:rPr>
          <w:rFonts w:ascii="Times New Roman" w:hAnsi="Times New Roman" w:cs="Times New Roman"/>
        </w:rPr>
        <w:br/>
      </w:r>
      <w:r w:rsidRPr="00D83740">
        <w:rPr>
          <w:rFonts w:ascii="Times New Roman" w:hAnsi="Times New Roman" w:cs="Times New Roman"/>
        </w:rPr>
        <w:tab/>
      </w:r>
      <w:r w:rsidRPr="00D83740">
        <w:rPr>
          <w:rFonts w:ascii="Times New Roman" w:hAnsi="Times New Roman" w:cs="Times New Roman"/>
        </w:rPr>
        <w:tab/>
        <w:t xml:space="preserve">Therefore, the primary focus is on </w:t>
      </w:r>
      <w:r w:rsidR="008710F5" w:rsidRPr="00D83740">
        <w:rPr>
          <w:rFonts w:ascii="Times New Roman" w:hAnsi="Times New Roman" w:cs="Times New Roman"/>
        </w:rPr>
        <w:t xml:space="preserve">whether, based on well-pleaded factual averments of the complainant, recovery or relief is possible.  </w:t>
      </w:r>
      <w:r w:rsidRPr="00D83740">
        <w:rPr>
          <w:rFonts w:ascii="Times New Roman" w:hAnsi="Times New Roman" w:cs="Times New Roman"/>
        </w:rPr>
        <w:t xml:space="preserve"> </w:t>
      </w:r>
    </w:p>
    <w:p w14:paraId="5DC9E7C6" w14:textId="77777777" w:rsidR="00815C9A" w:rsidRDefault="00815C9A" w:rsidP="00D83740">
      <w:pPr>
        <w:suppressAutoHyphens/>
        <w:spacing w:line="360" w:lineRule="auto"/>
        <w:rPr>
          <w:rFonts w:ascii="Times New Roman" w:hAnsi="Times New Roman" w:cs="Times New Roman"/>
        </w:rPr>
      </w:pPr>
    </w:p>
    <w:p w14:paraId="00E5C484" w14:textId="13A95F6A" w:rsidR="00A62508" w:rsidRPr="00A62508" w:rsidRDefault="00A62508" w:rsidP="00A62508">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A62508">
        <w:rPr>
          <w:rFonts w:ascii="Times New Roman" w:hAnsi="Times New Roman" w:cs="Times New Roman"/>
          <w:spacing w:val="-3"/>
        </w:rPr>
        <w:t>An analysis of this matter is best done in a procedural/historical framework.</w:t>
      </w:r>
    </w:p>
    <w:p w14:paraId="09B0AB50" w14:textId="77777777" w:rsidR="00A62508" w:rsidRPr="00A62508" w:rsidRDefault="00A62508" w:rsidP="00A62508">
      <w:pPr>
        <w:suppressAutoHyphens/>
        <w:spacing w:line="360" w:lineRule="auto"/>
        <w:rPr>
          <w:rFonts w:ascii="Times New Roman" w:hAnsi="Times New Roman" w:cs="Times New Roman"/>
          <w:spacing w:val="-3"/>
        </w:rPr>
      </w:pPr>
    </w:p>
    <w:p w14:paraId="59A8C7BF" w14:textId="422A972B" w:rsidR="00A62508" w:rsidRP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t xml:space="preserve">On January 14, 2019, Complainant filed a formal Complaint against PGW asking that his previously terminated natural gas service (terminated October 21, 2018) be reconnected and requesting the removal of “at least” $2,500 from his account arrearage.  Complainant contends that he was not properly billed in 2010-2011.  </w:t>
      </w:r>
      <w:r w:rsidR="00172236">
        <w:rPr>
          <w:rFonts w:ascii="Times New Roman" w:hAnsi="Times New Roman" w:cs="Times New Roman"/>
          <w:spacing w:val="-3"/>
        </w:rPr>
        <w:t xml:space="preserve">These are the charges that Complainant is contesting.  </w:t>
      </w:r>
      <w:r w:rsidRPr="00A62508">
        <w:rPr>
          <w:rFonts w:ascii="Times New Roman" w:hAnsi="Times New Roman" w:cs="Times New Roman"/>
          <w:spacing w:val="-3"/>
        </w:rPr>
        <w:t>Complainant also asked that PGW repair his basement wall which he contends the utility destroyed in or around that time.</w:t>
      </w:r>
    </w:p>
    <w:p w14:paraId="3B03CBC2" w14:textId="77777777" w:rsidR="00A62508" w:rsidRPr="00A62508" w:rsidRDefault="00A62508" w:rsidP="00A62508">
      <w:pPr>
        <w:suppressAutoHyphens/>
        <w:spacing w:line="360" w:lineRule="auto"/>
        <w:rPr>
          <w:rFonts w:ascii="Times New Roman" w:hAnsi="Times New Roman" w:cs="Times New Roman"/>
          <w:spacing w:val="-3"/>
        </w:rPr>
      </w:pPr>
    </w:p>
    <w:p w14:paraId="1BAC99B6" w14:textId="77777777" w:rsidR="00A62508" w:rsidRP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t xml:space="preserve">On February 7, 2019, PGW filed an Answer and New Matter in which PGW contended that this Complaint, based on billing from 2010 to 2011, is time barred under Section 3314 of the Pennsylvania Public Utility Code (Code), 66 Pa. C.S. § 3314.  PGW admitted that Complainant’s gas service has been terminated but denied that it misbilled Complainant or damaged and failed to restore Complainant’s property. </w:t>
      </w:r>
    </w:p>
    <w:p w14:paraId="4791927D" w14:textId="77777777" w:rsidR="00A62508" w:rsidRPr="00A62508" w:rsidRDefault="00A62508" w:rsidP="00A62508">
      <w:pPr>
        <w:suppressAutoHyphens/>
        <w:spacing w:line="360" w:lineRule="auto"/>
        <w:rPr>
          <w:rFonts w:ascii="Times New Roman" w:hAnsi="Times New Roman" w:cs="Times New Roman"/>
          <w:spacing w:val="-3"/>
        </w:rPr>
      </w:pPr>
    </w:p>
    <w:p w14:paraId="36ADA82B" w14:textId="32065A33" w:rsidR="00A62508" w:rsidRP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t xml:space="preserve">In its New Matter, PGW asserted </w:t>
      </w:r>
      <w:bookmarkStart w:id="3" w:name="_Hlk3469667"/>
      <w:r w:rsidRPr="00A62508">
        <w:rPr>
          <w:rFonts w:ascii="Times New Roman" w:hAnsi="Times New Roman" w:cs="Times New Roman"/>
          <w:spacing w:val="-3"/>
        </w:rPr>
        <w:t xml:space="preserve">that the same issue of misbilling </w:t>
      </w:r>
      <w:r w:rsidR="00172236">
        <w:rPr>
          <w:rFonts w:ascii="Times New Roman" w:hAnsi="Times New Roman" w:cs="Times New Roman"/>
          <w:spacing w:val="-3"/>
        </w:rPr>
        <w:t xml:space="preserve">from 2010 and 2011 </w:t>
      </w:r>
      <w:r w:rsidRPr="00A62508">
        <w:rPr>
          <w:rFonts w:ascii="Times New Roman" w:hAnsi="Times New Roman" w:cs="Times New Roman"/>
          <w:spacing w:val="-3"/>
        </w:rPr>
        <w:t xml:space="preserve">in </w:t>
      </w:r>
      <w:r w:rsidRPr="00A62508">
        <w:rPr>
          <w:rFonts w:ascii="Times New Roman" w:hAnsi="Times New Roman" w:cs="Times New Roman"/>
          <w:spacing w:val="-3"/>
          <w:u w:val="single"/>
        </w:rPr>
        <w:t>this</w:t>
      </w:r>
      <w:r w:rsidRPr="00A62508">
        <w:rPr>
          <w:rFonts w:ascii="Times New Roman" w:hAnsi="Times New Roman" w:cs="Times New Roman"/>
          <w:spacing w:val="-3"/>
        </w:rPr>
        <w:t xml:space="preserve"> case had been previously addressed at two dockets that were ultimately consolidated</w:t>
      </w:r>
      <w:bookmarkStart w:id="4" w:name="_Hlk3471786"/>
      <w:r w:rsidRPr="00A62508">
        <w:rPr>
          <w:rFonts w:ascii="Times New Roman" w:hAnsi="Times New Roman" w:cs="Times New Roman"/>
          <w:spacing w:val="-3"/>
        </w:rPr>
        <w:t xml:space="preserve">: </w:t>
      </w:r>
      <w:r w:rsidRPr="00A62508">
        <w:rPr>
          <w:rFonts w:ascii="Times New Roman" w:hAnsi="Times New Roman" w:cs="Times New Roman"/>
          <w:i/>
        </w:rPr>
        <w:t>Titus C. Wright v. Philadelphia Gas Works</w:t>
      </w:r>
      <w:r w:rsidRPr="00A62508">
        <w:rPr>
          <w:rFonts w:ascii="Times New Roman" w:hAnsi="Times New Roman" w:cs="Times New Roman"/>
          <w:spacing w:val="-3"/>
        </w:rPr>
        <w:t>, Docket No. F-2010</w:t>
      </w:r>
      <w:r w:rsidR="00172236">
        <w:rPr>
          <w:rFonts w:ascii="Times New Roman" w:hAnsi="Times New Roman" w:cs="Times New Roman"/>
          <w:spacing w:val="-3"/>
        </w:rPr>
        <w:t>-</w:t>
      </w:r>
      <w:r w:rsidRPr="00A62508">
        <w:rPr>
          <w:rFonts w:ascii="Times New Roman" w:hAnsi="Times New Roman" w:cs="Times New Roman"/>
          <w:spacing w:val="-3"/>
        </w:rPr>
        <w:t xml:space="preserve">2192191 and </w:t>
      </w:r>
      <w:r w:rsidRPr="00A62508">
        <w:rPr>
          <w:rFonts w:ascii="Times New Roman" w:hAnsi="Times New Roman" w:cs="Times New Roman"/>
          <w:i/>
        </w:rPr>
        <w:t xml:space="preserve">Titus C. Wright v. Philadelphia Gas Works, </w:t>
      </w:r>
      <w:r w:rsidRPr="00A62508">
        <w:rPr>
          <w:rFonts w:ascii="Times New Roman" w:hAnsi="Times New Roman" w:cs="Times New Roman"/>
        </w:rPr>
        <w:t>Docket No.</w:t>
      </w:r>
      <w:r w:rsidRPr="00A62508">
        <w:rPr>
          <w:rFonts w:ascii="Times New Roman" w:hAnsi="Times New Roman" w:cs="Times New Roman"/>
          <w:spacing w:val="-3"/>
        </w:rPr>
        <w:t xml:space="preserve"> C-2011-2225996</w:t>
      </w:r>
      <w:bookmarkEnd w:id="4"/>
      <w:r w:rsidRPr="00A62508">
        <w:rPr>
          <w:rFonts w:ascii="Times New Roman" w:hAnsi="Times New Roman" w:cs="Times New Roman"/>
          <w:spacing w:val="-3"/>
        </w:rPr>
        <w:t>.  PGW contended that th</w:t>
      </w:r>
      <w:r w:rsidR="00D4702C">
        <w:rPr>
          <w:rFonts w:ascii="Times New Roman" w:hAnsi="Times New Roman" w:cs="Times New Roman"/>
          <w:spacing w:val="-3"/>
        </w:rPr>
        <w:t>os</w:t>
      </w:r>
      <w:r w:rsidRPr="00A62508">
        <w:rPr>
          <w:rFonts w:ascii="Times New Roman" w:hAnsi="Times New Roman" w:cs="Times New Roman"/>
          <w:spacing w:val="-3"/>
        </w:rPr>
        <w:t xml:space="preserve">e Complaints had been resolved with a Certificate of Satisfaction to which the Complainant did not timely object.  </w:t>
      </w:r>
      <w:bookmarkEnd w:id="3"/>
      <w:r w:rsidRPr="00A62508">
        <w:rPr>
          <w:rFonts w:ascii="Times New Roman" w:hAnsi="Times New Roman" w:cs="Times New Roman"/>
          <w:spacing w:val="-3"/>
        </w:rPr>
        <w:t xml:space="preserve">PGW further asserted that Complainant </w:t>
      </w:r>
      <w:r w:rsidR="00D4702C">
        <w:rPr>
          <w:rFonts w:ascii="Times New Roman" w:hAnsi="Times New Roman" w:cs="Times New Roman"/>
          <w:spacing w:val="-3"/>
        </w:rPr>
        <w:t xml:space="preserve">then </w:t>
      </w:r>
      <w:r w:rsidRPr="00A62508">
        <w:rPr>
          <w:rFonts w:ascii="Times New Roman" w:hAnsi="Times New Roman" w:cs="Times New Roman"/>
          <w:spacing w:val="-3"/>
        </w:rPr>
        <w:t xml:space="preserve">filed yet another Complaint with respect to the same billing matter at </w:t>
      </w:r>
      <w:r w:rsidRPr="00A62508">
        <w:rPr>
          <w:rFonts w:ascii="Times New Roman" w:hAnsi="Times New Roman" w:cs="Times New Roman"/>
          <w:i/>
        </w:rPr>
        <w:t>Titus Wright v. Philadelphia Gas Works</w:t>
      </w:r>
      <w:r w:rsidRPr="00A62508">
        <w:rPr>
          <w:rFonts w:ascii="Times New Roman" w:hAnsi="Times New Roman" w:cs="Times New Roman"/>
          <w:spacing w:val="-3"/>
        </w:rPr>
        <w:t xml:space="preserve">, Docket No. C-2013-2368462 wherein he again disputed his gas bills from 2010 and 2011.  PGW objected to that </w:t>
      </w:r>
      <w:r w:rsidR="005A5165">
        <w:rPr>
          <w:rFonts w:ascii="Times New Roman" w:hAnsi="Times New Roman" w:cs="Times New Roman"/>
          <w:spacing w:val="-3"/>
        </w:rPr>
        <w:t xml:space="preserve">2013 </w:t>
      </w:r>
      <w:r w:rsidRPr="00A62508">
        <w:rPr>
          <w:rFonts w:ascii="Times New Roman" w:hAnsi="Times New Roman" w:cs="Times New Roman"/>
          <w:spacing w:val="-3"/>
        </w:rPr>
        <w:t xml:space="preserve">Complaint as barred by Complainant’s failure to timely object to the Certificate of Satisfaction.  Nevertheless, the Complaint at Docket No. C-2013-2368462 was heard before Administrative Law </w:t>
      </w:r>
      <w:r w:rsidR="005A5165">
        <w:rPr>
          <w:rFonts w:ascii="Times New Roman" w:hAnsi="Times New Roman" w:cs="Times New Roman"/>
          <w:spacing w:val="-3"/>
        </w:rPr>
        <w:t xml:space="preserve">Judge </w:t>
      </w:r>
      <w:r w:rsidR="00D4702C">
        <w:rPr>
          <w:rFonts w:ascii="Times New Roman" w:hAnsi="Times New Roman" w:cs="Times New Roman"/>
          <w:spacing w:val="-3"/>
        </w:rPr>
        <w:t xml:space="preserve">(ALJ) </w:t>
      </w:r>
      <w:r w:rsidRPr="00A62508">
        <w:rPr>
          <w:rFonts w:ascii="Times New Roman" w:hAnsi="Times New Roman" w:cs="Times New Roman"/>
          <w:spacing w:val="-3"/>
        </w:rPr>
        <w:t xml:space="preserve"> Kandace F. Melillo and </w:t>
      </w:r>
      <w:r w:rsidR="005A5165">
        <w:rPr>
          <w:rFonts w:ascii="Times New Roman" w:hAnsi="Times New Roman" w:cs="Times New Roman"/>
          <w:spacing w:val="-3"/>
        </w:rPr>
        <w:t xml:space="preserve">was </w:t>
      </w:r>
      <w:r w:rsidRPr="00A62508">
        <w:rPr>
          <w:rFonts w:ascii="Times New Roman" w:hAnsi="Times New Roman" w:cs="Times New Roman"/>
          <w:spacing w:val="-3"/>
        </w:rPr>
        <w:t xml:space="preserve">fully litigated.  On June 10, 2014, Judge Melillo issued an Initial Decision dismissing with prejudice the Complaint at Docket No. C-2013-2368462, as that matter was previously resolved through </w:t>
      </w:r>
      <w:r w:rsidR="00D4702C">
        <w:rPr>
          <w:rFonts w:ascii="Times New Roman" w:hAnsi="Times New Roman" w:cs="Times New Roman"/>
          <w:spacing w:val="-3"/>
        </w:rPr>
        <w:t xml:space="preserve">the </w:t>
      </w:r>
      <w:r w:rsidRPr="00A62508">
        <w:rPr>
          <w:rFonts w:ascii="Times New Roman" w:hAnsi="Times New Roman" w:cs="Times New Roman"/>
          <w:spacing w:val="-3"/>
        </w:rPr>
        <w:t>Certificate of Satisfaction (to which Complainant did not timely object) at Docket Nos. F-2010-2192191 and C-2011-2225996.</w:t>
      </w:r>
    </w:p>
    <w:p w14:paraId="3F193C88" w14:textId="77777777" w:rsidR="00A62508" w:rsidRPr="00A62508" w:rsidRDefault="00A62508" w:rsidP="00A62508">
      <w:pPr>
        <w:suppressAutoHyphens/>
        <w:spacing w:line="360" w:lineRule="auto"/>
        <w:rPr>
          <w:rFonts w:ascii="Times New Roman" w:hAnsi="Times New Roman" w:cs="Times New Roman"/>
          <w:spacing w:val="-3"/>
        </w:rPr>
      </w:pPr>
    </w:p>
    <w:p w14:paraId="46340F1D" w14:textId="38621A22" w:rsidR="00A62508" w:rsidRP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t xml:space="preserve">Complainant then filed untimely exceptions to ALJ Melillo’s Initial Decision, which exceptions the Commission treated as a Petition for Reconsideration.  On October 23, 2014, the Commission issued an Opinion and Order at </w:t>
      </w:r>
      <w:bookmarkStart w:id="5" w:name="_Hlk7447384"/>
      <w:r w:rsidRPr="00A62508">
        <w:rPr>
          <w:rFonts w:ascii="Times New Roman" w:hAnsi="Times New Roman" w:cs="Times New Roman"/>
          <w:spacing w:val="-3"/>
        </w:rPr>
        <w:t xml:space="preserve">Docket No. C-2013-2368462 </w:t>
      </w:r>
      <w:bookmarkEnd w:id="5"/>
      <w:r w:rsidRPr="00A62508">
        <w:rPr>
          <w:rFonts w:ascii="Times New Roman" w:hAnsi="Times New Roman" w:cs="Times New Roman"/>
          <w:spacing w:val="-3"/>
        </w:rPr>
        <w:t xml:space="preserve">wherein Judge Melillo’s Initial Decision dismissing the </w:t>
      </w:r>
      <w:r w:rsidR="005A5165">
        <w:rPr>
          <w:rFonts w:ascii="Times New Roman" w:hAnsi="Times New Roman" w:cs="Times New Roman"/>
          <w:spacing w:val="-3"/>
        </w:rPr>
        <w:t xml:space="preserve">2013 </w:t>
      </w:r>
      <w:r w:rsidRPr="00A62508">
        <w:rPr>
          <w:rFonts w:ascii="Times New Roman" w:hAnsi="Times New Roman" w:cs="Times New Roman"/>
          <w:spacing w:val="-3"/>
        </w:rPr>
        <w:t>Complaint with prejudice was upheld</w:t>
      </w:r>
      <w:r w:rsidR="00D4702C">
        <w:rPr>
          <w:rFonts w:ascii="Times New Roman" w:hAnsi="Times New Roman" w:cs="Times New Roman"/>
          <w:spacing w:val="-3"/>
        </w:rPr>
        <w:t>,</w:t>
      </w:r>
      <w:r w:rsidRPr="00A62508">
        <w:rPr>
          <w:rFonts w:ascii="Times New Roman" w:hAnsi="Times New Roman" w:cs="Times New Roman"/>
          <w:spacing w:val="-3"/>
        </w:rPr>
        <w:t xml:space="preserve"> and the Petition for Reconsideration was denied as the issue in the case had been previously resolved with a Certificate of Satisfaction to which Complainant did not timely object.</w:t>
      </w:r>
      <w:r w:rsidRPr="00A62508">
        <w:rPr>
          <w:rFonts w:ascii="Times New Roman" w:hAnsi="Times New Roman" w:cs="Times New Roman"/>
          <w:spacing w:val="-3"/>
          <w:vertAlign w:val="superscript"/>
        </w:rPr>
        <w:footnoteReference w:id="3"/>
      </w:r>
      <w:r w:rsidRPr="00A62508">
        <w:rPr>
          <w:rFonts w:ascii="Times New Roman" w:hAnsi="Times New Roman" w:cs="Times New Roman"/>
          <w:spacing w:val="-3"/>
        </w:rPr>
        <w:t xml:space="preserve">  In th</w:t>
      </w:r>
      <w:r w:rsidR="00D74BA1">
        <w:rPr>
          <w:rFonts w:ascii="Times New Roman" w:hAnsi="Times New Roman" w:cs="Times New Roman"/>
          <w:spacing w:val="-3"/>
        </w:rPr>
        <w:t xml:space="preserve">e present </w:t>
      </w:r>
      <w:r w:rsidRPr="00A62508">
        <w:rPr>
          <w:rFonts w:ascii="Times New Roman" w:hAnsi="Times New Roman" w:cs="Times New Roman"/>
          <w:spacing w:val="-3"/>
        </w:rPr>
        <w:t>case, Complainant has never acknowledged (let alone disputed) the dismissal, with prejudice, of the case at Docket No. C-2013-2368462 and the underlying Complaints.</w:t>
      </w:r>
    </w:p>
    <w:p w14:paraId="56349FFA" w14:textId="77777777" w:rsidR="00A62508" w:rsidRPr="00A62508" w:rsidRDefault="00A62508" w:rsidP="00A62508">
      <w:pPr>
        <w:suppressAutoHyphens/>
        <w:spacing w:line="360" w:lineRule="auto"/>
        <w:rPr>
          <w:rFonts w:ascii="Times New Roman" w:hAnsi="Times New Roman" w:cs="Times New Roman"/>
          <w:spacing w:val="-3"/>
        </w:rPr>
      </w:pPr>
    </w:p>
    <w:p w14:paraId="3BEA2EDC" w14:textId="62AA3B0E" w:rsidR="00A62508" w:rsidRP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r>
      <w:proofErr w:type="gramStart"/>
      <w:r w:rsidRPr="00A62508">
        <w:rPr>
          <w:rFonts w:ascii="Times New Roman" w:hAnsi="Times New Roman" w:cs="Times New Roman"/>
          <w:spacing w:val="-3"/>
        </w:rPr>
        <w:t>Also</w:t>
      </w:r>
      <w:proofErr w:type="gramEnd"/>
      <w:r w:rsidRPr="00A62508">
        <w:rPr>
          <w:rFonts w:ascii="Times New Roman" w:hAnsi="Times New Roman" w:cs="Times New Roman"/>
          <w:spacing w:val="-3"/>
        </w:rPr>
        <w:t xml:space="preserve"> on February 7, 2019, PGW filed Preliminary Objections at this docket, again asserting that the issue of misbilling in 2010 and 2011 had been resolved at Docket Nos. F-20102192191 and C-2011-2225996 by the Certificate of Satisfaction that Complainant did not timely object to.  PGW reiterated that on October 23, 2014, the Commission issued </w:t>
      </w:r>
      <w:r w:rsidR="005A5165">
        <w:rPr>
          <w:rFonts w:ascii="Times New Roman" w:hAnsi="Times New Roman" w:cs="Times New Roman"/>
          <w:spacing w:val="-3"/>
        </w:rPr>
        <w:t xml:space="preserve">the </w:t>
      </w:r>
      <w:r w:rsidRPr="00A62508">
        <w:rPr>
          <w:rFonts w:ascii="Times New Roman" w:hAnsi="Times New Roman" w:cs="Times New Roman"/>
          <w:spacing w:val="-3"/>
        </w:rPr>
        <w:t xml:space="preserve">Opinion and Order at </w:t>
      </w:r>
      <w:r w:rsidR="00D66EAE" w:rsidRPr="00A843BA">
        <w:rPr>
          <w:rFonts w:ascii="Times New Roman" w:hAnsi="Times New Roman" w:cs="Times New Roman"/>
          <w:i/>
          <w:spacing w:val="-3"/>
        </w:rPr>
        <w:t>Titus Wright v. PGW</w:t>
      </w:r>
      <w:r w:rsidR="00D66EAE">
        <w:rPr>
          <w:rFonts w:ascii="Times New Roman" w:hAnsi="Times New Roman" w:cs="Times New Roman"/>
          <w:spacing w:val="-3"/>
        </w:rPr>
        <w:t xml:space="preserve">, </w:t>
      </w:r>
      <w:r w:rsidRPr="00A62508">
        <w:rPr>
          <w:rFonts w:ascii="Times New Roman" w:hAnsi="Times New Roman" w:cs="Times New Roman"/>
          <w:spacing w:val="-3"/>
        </w:rPr>
        <w:t>Docket No. C-2013-2368462 wherein the  Complainant’s claim with respect to misbilling in 2010 and 2011 was dismissed with prejudice as the issue had been resolved.  PGW again argued that any claims with respect to misbilling or damage caused by PGW are now beyond the time limitation at 66 Pa. C.S. § 3314 and asked that the Complaint be struck as “impertinent matter” and hence legally insufficient under 52 Pa. Code § 5.101(a)(</w:t>
      </w:r>
      <w:r w:rsidR="00D4702C">
        <w:rPr>
          <w:rFonts w:ascii="Times New Roman" w:hAnsi="Times New Roman" w:cs="Times New Roman"/>
          <w:spacing w:val="-3"/>
        </w:rPr>
        <w:t>2</w:t>
      </w:r>
      <w:r w:rsidRPr="00A62508">
        <w:rPr>
          <w:rFonts w:ascii="Times New Roman" w:hAnsi="Times New Roman" w:cs="Times New Roman"/>
          <w:spacing w:val="-3"/>
        </w:rPr>
        <w:t>).</w:t>
      </w:r>
    </w:p>
    <w:p w14:paraId="22147D20" w14:textId="77777777" w:rsidR="00A62508" w:rsidRPr="00A62508" w:rsidRDefault="00A62508" w:rsidP="00A62508">
      <w:pPr>
        <w:suppressAutoHyphens/>
        <w:spacing w:line="360" w:lineRule="auto"/>
        <w:rPr>
          <w:rFonts w:ascii="Times New Roman" w:hAnsi="Times New Roman" w:cs="Times New Roman"/>
          <w:spacing w:val="-3"/>
        </w:rPr>
      </w:pPr>
    </w:p>
    <w:p w14:paraId="2D90065E" w14:textId="00E0A0C1" w:rsidR="00A62508" w:rsidRDefault="00A62508" w:rsidP="00A62508">
      <w:pPr>
        <w:suppressAutoHyphens/>
        <w:spacing w:line="360" w:lineRule="auto"/>
        <w:rPr>
          <w:rFonts w:ascii="Times New Roman" w:hAnsi="Times New Roman" w:cs="Times New Roman"/>
          <w:spacing w:val="-3"/>
        </w:rPr>
      </w:pPr>
      <w:r w:rsidRPr="00A62508">
        <w:rPr>
          <w:rFonts w:ascii="Times New Roman" w:hAnsi="Times New Roman" w:cs="Times New Roman"/>
          <w:spacing w:val="-3"/>
        </w:rPr>
        <w:tab/>
      </w:r>
      <w:r w:rsidRPr="00A62508">
        <w:rPr>
          <w:rFonts w:ascii="Times New Roman" w:hAnsi="Times New Roman" w:cs="Times New Roman"/>
          <w:spacing w:val="-3"/>
        </w:rPr>
        <w:tab/>
      </w:r>
      <w:r w:rsidR="00BF6AB7">
        <w:rPr>
          <w:rFonts w:ascii="Times New Roman" w:hAnsi="Times New Roman" w:cs="Times New Roman"/>
          <w:spacing w:val="-3"/>
        </w:rPr>
        <w:t xml:space="preserve">Complainant has never filed an Answer to PGW’s New Matter or to PGW’s Preliminary Objections.  </w:t>
      </w:r>
      <w:r w:rsidRPr="00A62508">
        <w:rPr>
          <w:rFonts w:ascii="Times New Roman" w:hAnsi="Times New Roman" w:cs="Times New Roman"/>
          <w:spacing w:val="-3"/>
        </w:rPr>
        <w:t xml:space="preserve">On April 25, 2019, Complainant faxed to my office a </w:t>
      </w:r>
      <w:proofErr w:type="gramStart"/>
      <w:r w:rsidRPr="00A62508">
        <w:rPr>
          <w:rFonts w:ascii="Times New Roman" w:hAnsi="Times New Roman" w:cs="Times New Roman"/>
          <w:spacing w:val="-3"/>
        </w:rPr>
        <w:t>two page</w:t>
      </w:r>
      <w:proofErr w:type="gramEnd"/>
      <w:r w:rsidRPr="00A62508">
        <w:rPr>
          <w:rFonts w:ascii="Times New Roman" w:hAnsi="Times New Roman" w:cs="Times New Roman"/>
          <w:spacing w:val="-3"/>
        </w:rPr>
        <w:t xml:space="preserve"> letter with an attached Notice of Sheriff’s Sale.  </w:t>
      </w:r>
      <w:r>
        <w:rPr>
          <w:rFonts w:ascii="Times New Roman" w:hAnsi="Times New Roman" w:cs="Times New Roman"/>
          <w:spacing w:val="-3"/>
        </w:rPr>
        <w:t>Fr</w:t>
      </w:r>
      <w:r w:rsidRPr="00A62508">
        <w:rPr>
          <w:rFonts w:ascii="Times New Roman" w:hAnsi="Times New Roman" w:cs="Times New Roman"/>
          <w:spacing w:val="-3"/>
        </w:rPr>
        <w:t xml:space="preserve">om his letter, I perceive that Complainant’s primary concern centers on a pending Sheriff’s Sale at 907 Bridge Street, Philadelphia, Pennsylvania, the service address in his Complaints.  </w:t>
      </w:r>
      <w:r>
        <w:rPr>
          <w:rFonts w:ascii="Times New Roman" w:hAnsi="Times New Roman" w:cs="Times New Roman"/>
          <w:spacing w:val="-3"/>
        </w:rPr>
        <w:t>That is a matter beyond the jurisdiction of the Commission and has no bearing on this Complaint.</w:t>
      </w:r>
      <w:r w:rsidR="005A5165">
        <w:rPr>
          <w:rStyle w:val="FootnoteReference"/>
          <w:rFonts w:ascii="Times New Roman" w:hAnsi="Times New Roman" w:cs="Times New Roman"/>
          <w:spacing w:val="-3"/>
        </w:rPr>
        <w:footnoteReference w:id="4"/>
      </w:r>
    </w:p>
    <w:p w14:paraId="60EB6FE7" w14:textId="4330E222" w:rsidR="001755C7" w:rsidRDefault="001755C7" w:rsidP="00A62508">
      <w:pPr>
        <w:suppressAutoHyphens/>
        <w:spacing w:line="360" w:lineRule="auto"/>
        <w:rPr>
          <w:rFonts w:ascii="Times New Roman" w:hAnsi="Times New Roman" w:cs="Times New Roman"/>
          <w:spacing w:val="-3"/>
        </w:rPr>
      </w:pPr>
    </w:p>
    <w:p w14:paraId="45601DCC" w14:textId="71F2BB3C" w:rsidR="001755C7" w:rsidRPr="001755C7" w:rsidRDefault="001755C7" w:rsidP="00A62508">
      <w:pPr>
        <w:suppressAutoHyphens/>
        <w:spacing w:line="360" w:lineRule="auto"/>
        <w:rPr>
          <w:rFonts w:ascii="Times New Roman" w:hAnsi="Times New Roman" w:cs="Times New Roman"/>
          <w:b/>
          <w:spacing w:val="-3"/>
        </w:rPr>
      </w:pPr>
      <w:r w:rsidRPr="001755C7">
        <w:rPr>
          <w:rFonts w:ascii="Times New Roman" w:hAnsi="Times New Roman" w:cs="Times New Roman"/>
          <w:b/>
          <w:spacing w:val="-3"/>
        </w:rPr>
        <w:t>Complainant’s Billing Before 2016 and Prior Commission Decis</w:t>
      </w:r>
      <w:r>
        <w:rPr>
          <w:rFonts w:ascii="Times New Roman" w:hAnsi="Times New Roman" w:cs="Times New Roman"/>
          <w:b/>
          <w:spacing w:val="-3"/>
        </w:rPr>
        <w:t>i</w:t>
      </w:r>
      <w:r w:rsidRPr="001755C7">
        <w:rPr>
          <w:rFonts w:ascii="Times New Roman" w:hAnsi="Times New Roman" w:cs="Times New Roman"/>
          <w:b/>
          <w:spacing w:val="-3"/>
        </w:rPr>
        <w:t>ons</w:t>
      </w:r>
    </w:p>
    <w:p w14:paraId="1CED6776" w14:textId="77777777" w:rsidR="00D4702C" w:rsidRPr="00A62508" w:rsidRDefault="00D4702C" w:rsidP="00A62508">
      <w:pPr>
        <w:suppressAutoHyphens/>
        <w:spacing w:line="360" w:lineRule="auto"/>
        <w:rPr>
          <w:rFonts w:ascii="Times New Roman" w:hAnsi="Times New Roman" w:cs="Times New Roman"/>
          <w:spacing w:val="-3"/>
        </w:rPr>
      </w:pPr>
    </w:p>
    <w:p w14:paraId="181A0B98" w14:textId="2E80594A" w:rsidR="006D04ED" w:rsidRDefault="009B3ED2" w:rsidP="00D66EAE">
      <w:pPr>
        <w:tabs>
          <w:tab w:val="left" w:pos="-1440"/>
          <w:tab w:val="left" w:pos="-720"/>
        </w:tabs>
        <w:suppressAutoHyphens/>
        <w:spacing w:line="360" w:lineRule="auto"/>
      </w:pPr>
      <w:r w:rsidRPr="00D83740">
        <w:rPr>
          <w:rFonts w:ascii="Times New Roman" w:hAnsi="Times New Roman" w:cs="Times New Roman"/>
          <w:b/>
        </w:rPr>
        <w:tab/>
      </w:r>
      <w:r w:rsidRPr="00D83740">
        <w:rPr>
          <w:rFonts w:ascii="Times New Roman" w:hAnsi="Times New Roman" w:cs="Times New Roman"/>
          <w:b/>
        </w:rPr>
        <w:tab/>
      </w:r>
      <w:r w:rsidR="00EE1534" w:rsidRPr="00EE1534">
        <w:rPr>
          <w:rFonts w:ascii="Times New Roman" w:hAnsi="Times New Roman" w:cs="Times New Roman"/>
        </w:rPr>
        <w:t>On the face of his present Complaint, the Complainant</w:t>
      </w:r>
      <w:r w:rsidR="00EE1534" w:rsidRPr="00EE1534">
        <w:rPr>
          <w:rFonts w:ascii="Times New Roman" w:hAnsi="Times New Roman" w:cs="Times New Roman"/>
          <w:b/>
        </w:rPr>
        <w:t xml:space="preserve"> </w:t>
      </w:r>
      <w:r w:rsidR="00EE1534" w:rsidRPr="00EE1534">
        <w:t xml:space="preserve">reiterates disagreement with </w:t>
      </w:r>
      <w:r w:rsidR="00401091">
        <w:t xml:space="preserve">PGW’s </w:t>
      </w:r>
      <w:r w:rsidR="00EE1534" w:rsidRPr="00EE1534">
        <w:t>bill</w:t>
      </w:r>
      <w:r w:rsidR="00401091">
        <w:t>ing</w:t>
      </w:r>
      <w:r w:rsidR="00EE1534" w:rsidRPr="00EE1534">
        <w:t xml:space="preserve"> </w:t>
      </w:r>
      <w:r w:rsidR="00C879DA">
        <w:t xml:space="preserve">on his account </w:t>
      </w:r>
      <w:r w:rsidR="00EE1534" w:rsidRPr="00EE1534">
        <w:t>from 2010 and 2011</w:t>
      </w:r>
      <w:r w:rsidR="0049606F">
        <w:t xml:space="preserve">.  </w:t>
      </w:r>
      <w:r w:rsidR="00B04A70">
        <w:t xml:space="preserve">PGW’s Preliminary Objections are based first on Section 3314 of the Code, </w:t>
      </w:r>
      <w:r w:rsidR="00B04A70" w:rsidRPr="00B04A70">
        <w:t>66 Pa. C.S. § 3314</w:t>
      </w:r>
      <w:r w:rsidR="00826A56">
        <w:t>,</w:t>
      </w:r>
      <w:r w:rsidR="005B2D05">
        <w:t xml:space="preserve"> a “Limitation of actions,” that is effectively a statute of limitations</w:t>
      </w:r>
      <w:r w:rsidR="00A26FE2">
        <w:t>.  PGW’s Preliminary Objections are also based</w:t>
      </w:r>
      <w:r w:rsidR="00B04A70">
        <w:t xml:space="preserve"> on the assertion that the issues raised by Complainant have been previously </w:t>
      </w:r>
      <w:r w:rsidR="006D04ED">
        <w:t xml:space="preserve">raised and resolved through an </w:t>
      </w:r>
      <w:proofErr w:type="spellStart"/>
      <w:r w:rsidR="006D04ED">
        <w:t>unobjected</w:t>
      </w:r>
      <w:proofErr w:type="spellEnd"/>
      <w:r w:rsidR="006D04ED">
        <w:t xml:space="preserve"> to Certificate of Satisfaction at Docket Nos. F-2010-2192191 and C-2011-2225996, </w:t>
      </w:r>
      <w:r w:rsidR="00826A56">
        <w:t xml:space="preserve">the matter resolved by the Commission in its October 23, 2014 Opinion and Order at Docket No. C-2013-2368462, </w:t>
      </w:r>
      <w:r w:rsidR="006D04ED">
        <w:t xml:space="preserve">and so those issues </w:t>
      </w:r>
      <w:r w:rsidR="00826A56">
        <w:t xml:space="preserve">are </w:t>
      </w:r>
      <w:r w:rsidR="001218FC">
        <w:t xml:space="preserve">also </w:t>
      </w:r>
      <w:r w:rsidR="006D04ED">
        <w:t xml:space="preserve">precluded from further litigation </w:t>
      </w:r>
      <w:r w:rsidR="006D04ED" w:rsidRPr="006D04ED">
        <w:t>by Section 316 of the Code</w:t>
      </w:r>
      <w:r w:rsidR="006D04ED">
        <w:t>,</w:t>
      </w:r>
      <w:r w:rsidR="006D04ED" w:rsidRPr="006D04ED">
        <w:t xml:space="preserve"> 66 Pa.C.S. § 316</w:t>
      </w:r>
      <w:r w:rsidR="00826A56">
        <w:t xml:space="preserve">, which states in pertinent part: </w:t>
      </w:r>
    </w:p>
    <w:p w14:paraId="12B0BC1C" w14:textId="212D2CE4" w:rsidR="003436C3" w:rsidRDefault="003436C3" w:rsidP="009F707F">
      <w:pPr>
        <w:tabs>
          <w:tab w:val="left" w:pos="-1440"/>
          <w:tab w:val="left" w:pos="-720"/>
        </w:tabs>
        <w:suppressAutoHyphens/>
        <w:spacing w:line="360" w:lineRule="auto"/>
      </w:pPr>
    </w:p>
    <w:p w14:paraId="4A292DDB" w14:textId="3A209EAC" w:rsidR="003436C3" w:rsidRDefault="003436C3" w:rsidP="003436C3">
      <w:pPr>
        <w:tabs>
          <w:tab w:val="left" w:pos="-1440"/>
          <w:tab w:val="left" w:pos="-720"/>
        </w:tabs>
        <w:suppressAutoHyphens/>
        <w:ind w:left="1440" w:right="720"/>
      </w:pPr>
      <w:r>
        <w:t xml:space="preserve">§ 316. Effect of commission action.  </w:t>
      </w:r>
      <w:bookmarkStart w:id="6" w:name="_Hlk7448496"/>
      <w:r>
        <w:t>Whenever the commission shall make any rule, regulation, finding, determination or order, the same shall be prima facie evidence of the facts found and shall remain conclusive upon all parties affected thereby, unless set aside, annulled or</w:t>
      </w:r>
    </w:p>
    <w:p w14:paraId="5D1FF730" w14:textId="11D05B8D" w:rsidR="003436C3" w:rsidRDefault="003436C3" w:rsidP="003436C3">
      <w:pPr>
        <w:tabs>
          <w:tab w:val="left" w:pos="-1440"/>
          <w:tab w:val="left" w:pos="-720"/>
        </w:tabs>
        <w:suppressAutoHyphens/>
        <w:ind w:left="1440" w:right="720"/>
      </w:pPr>
      <w:r>
        <w:t xml:space="preserve">modified on judicial review. </w:t>
      </w:r>
    </w:p>
    <w:bookmarkEnd w:id="6"/>
    <w:p w14:paraId="18DA9AC4" w14:textId="77777777" w:rsidR="006D04ED" w:rsidRDefault="006D04ED" w:rsidP="009F707F">
      <w:pPr>
        <w:tabs>
          <w:tab w:val="left" w:pos="-1440"/>
          <w:tab w:val="left" w:pos="-720"/>
        </w:tabs>
        <w:suppressAutoHyphens/>
        <w:spacing w:line="360" w:lineRule="auto"/>
      </w:pPr>
    </w:p>
    <w:p w14:paraId="755734D1" w14:textId="598D6CC3" w:rsidR="00FD5914" w:rsidRDefault="000D32F0" w:rsidP="00FD5914">
      <w:pPr>
        <w:spacing w:line="360"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ab/>
      </w:r>
      <w:r>
        <w:rPr>
          <w:rFonts w:ascii="Times New Roman" w:eastAsiaTheme="minorHAnsi" w:hAnsi="Times New Roman" w:cs="Times New Roman"/>
          <w:sz w:val="22"/>
          <w:szCs w:val="22"/>
        </w:rPr>
        <w:tab/>
      </w:r>
      <w:r w:rsidR="00D4702C">
        <w:rPr>
          <w:rFonts w:ascii="Times New Roman" w:eastAsiaTheme="minorHAnsi" w:hAnsi="Times New Roman" w:cs="Times New Roman"/>
          <w:sz w:val="22"/>
          <w:szCs w:val="22"/>
        </w:rPr>
        <w:t xml:space="preserve">PGW is correct </w:t>
      </w:r>
      <w:r>
        <w:rPr>
          <w:rFonts w:ascii="Times New Roman" w:eastAsiaTheme="minorHAnsi" w:hAnsi="Times New Roman" w:cs="Times New Roman"/>
          <w:sz w:val="22"/>
          <w:szCs w:val="22"/>
        </w:rPr>
        <w:t>on both counts.  T</w:t>
      </w:r>
      <w:r w:rsidR="003436C3">
        <w:rPr>
          <w:rFonts w:ascii="Times New Roman" w:eastAsiaTheme="minorHAnsi" w:hAnsi="Times New Roman" w:cs="Times New Roman"/>
          <w:sz w:val="22"/>
          <w:szCs w:val="22"/>
        </w:rPr>
        <w:t>he subject matter of the present Complaint</w:t>
      </w:r>
      <w:commentRangeStart w:id="7"/>
      <w:commentRangeEnd w:id="7"/>
      <w:r w:rsidR="00FD5914" w:rsidRPr="00FD5914">
        <w:rPr>
          <w:rFonts w:ascii="Times New Roman" w:eastAsiaTheme="minorHAnsi" w:hAnsi="Times New Roman" w:cs="Times New Roman"/>
          <w:sz w:val="22"/>
          <w:szCs w:val="22"/>
        </w:rPr>
        <w:t xml:space="preserve"> </w:t>
      </w:r>
      <w:r w:rsidR="00D74BA1">
        <w:rPr>
          <w:rFonts w:ascii="Times New Roman" w:eastAsiaTheme="minorHAnsi" w:hAnsi="Times New Roman" w:cs="Times New Roman"/>
          <w:sz w:val="22"/>
          <w:szCs w:val="22"/>
        </w:rPr>
        <w:t xml:space="preserve"> was </w:t>
      </w:r>
      <w:r w:rsidR="00FD5914" w:rsidRPr="00FD5914">
        <w:rPr>
          <w:rFonts w:ascii="Times New Roman" w:eastAsiaTheme="minorHAnsi" w:hAnsi="Times New Roman" w:cs="Times New Roman"/>
          <w:sz w:val="22"/>
          <w:szCs w:val="22"/>
        </w:rPr>
        <w:t xml:space="preserve">previously addressed in a </w:t>
      </w:r>
      <w:r w:rsidR="00FD5914" w:rsidRPr="005C00D2">
        <w:rPr>
          <w:rFonts w:ascii="Times New Roman" w:eastAsiaTheme="minorHAnsi" w:hAnsi="Times New Roman" w:cs="Times New Roman"/>
          <w:i/>
          <w:sz w:val="22"/>
          <w:szCs w:val="22"/>
        </w:rPr>
        <w:t>de novo</w:t>
      </w:r>
      <w:r w:rsidR="00FD5914" w:rsidRPr="00FD5914">
        <w:rPr>
          <w:rFonts w:ascii="Times New Roman" w:eastAsiaTheme="minorHAnsi" w:hAnsi="Times New Roman" w:cs="Times New Roman"/>
          <w:sz w:val="22"/>
          <w:szCs w:val="22"/>
        </w:rPr>
        <w:t xml:space="preserve"> proceeding </w:t>
      </w:r>
      <w:r w:rsidR="00BF6AB7">
        <w:rPr>
          <w:rFonts w:ascii="Times New Roman" w:eastAsiaTheme="minorHAnsi" w:hAnsi="Times New Roman" w:cs="Times New Roman"/>
          <w:sz w:val="22"/>
          <w:szCs w:val="22"/>
        </w:rPr>
        <w:t xml:space="preserve">at </w:t>
      </w:r>
      <w:r w:rsidR="00BF6AB7" w:rsidRPr="00BF6AB7">
        <w:rPr>
          <w:rFonts w:ascii="Times New Roman" w:eastAsiaTheme="minorHAnsi" w:hAnsi="Times New Roman" w:cs="Times New Roman"/>
          <w:sz w:val="22"/>
          <w:szCs w:val="22"/>
        </w:rPr>
        <w:t>Docket No. C-2013-2368462</w:t>
      </w:r>
      <w:r w:rsidR="00BF6AB7">
        <w:rPr>
          <w:rFonts w:ascii="Times New Roman" w:eastAsiaTheme="minorHAnsi" w:hAnsi="Times New Roman" w:cs="Times New Roman"/>
          <w:sz w:val="22"/>
          <w:szCs w:val="22"/>
        </w:rPr>
        <w:t xml:space="preserve"> </w:t>
      </w:r>
      <w:r w:rsidR="00FD5914" w:rsidRPr="00FD5914">
        <w:rPr>
          <w:rFonts w:ascii="Times New Roman" w:eastAsiaTheme="minorHAnsi" w:hAnsi="Times New Roman" w:cs="Times New Roman"/>
          <w:sz w:val="22"/>
          <w:szCs w:val="22"/>
        </w:rPr>
        <w:t xml:space="preserve">wherein </w:t>
      </w:r>
      <w:r w:rsidR="00FD5914">
        <w:rPr>
          <w:rFonts w:ascii="Times New Roman" w:eastAsiaTheme="minorHAnsi" w:hAnsi="Times New Roman" w:cs="Times New Roman"/>
          <w:sz w:val="22"/>
          <w:szCs w:val="22"/>
        </w:rPr>
        <w:t>Judge Melillo</w:t>
      </w:r>
      <w:r w:rsidR="00FD5914" w:rsidRPr="00FD5914">
        <w:rPr>
          <w:rFonts w:ascii="Times New Roman" w:eastAsiaTheme="minorHAnsi" w:hAnsi="Times New Roman" w:cs="Times New Roman"/>
          <w:sz w:val="22"/>
          <w:szCs w:val="22"/>
        </w:rPr>
        <w:t xml:space="preserve"> found that the issues raised by Complainant had been resolved at consolidated Docket Nos. F-2010-2192191 and C-2011-2225996 by a </w:t>
      </w:r>
      <w:r w:rsidR="00D66EAE">
        <w:rPr>
          <w:rFonts w:ascii="Times New Roman" w:eastAsiaTheme="minorHAnsi" w:hAnsi="Times New Roman" w:cs="Times New Roman"/>
          <w:sz w:val="22"/>
          <w:szCs w:val="22"/>
        </w:rPr>
        <w:t>Certificate of Satisfaction</w:t>
      </w:r>
      <w:commentRangeStart w:id="8"/>
      <w:commentRangeEnd w:id="8"/>
      <w:r w:rsidR="001218FC">
        <w:rPr>
          <w:rFonts w:ascii="Times New Roman" w:eastAsiaTheme="minorHAnsi" w:hAnsi="Times New Roman" w:cs="Times New Roman"/>
          <w:sz w:val="22"/>
          <w:szCs w:val="22"/>
        </w:rPr>
        <w:t xml:space="preserve"> to which Complainant did not timely object</w:t>
      </w:r>
      <w:r w:rsidR="00D74BA1">
        <w:rPr>
          <w:rFonts w:ascii="Times New Roman" w:eastAsiaTheme="minorHAnsi" w:hAnsi="Times New Roman" w:cs="Times New Roman"/>
          <w:sz w:val="22"/>
          <w:szCs w:val="22"/>
        </w:rPr>
        <w:t xml:space="preserve">. </w:t>
      </w:r>
      <w:r w:rsidR="00FD5914" w:rsidRPr="00FD5914">
        <w:rPr>
          <w:rFonts w:ascii="Times New Roman" w:eastAsiaTheme="minorHAnsi" w:hAnsi="Times New Roman" w:cs="Times New Roman"/>
          <w:sz w:val="22"/>
          <w:szCs w:val="22"/>
        </w:rPr>
        <w:t xml:space="preserve"> Those consolidated cases dealt with Complainant’s appeal of a BCS determination setting a PAR for the 2010 and 2011 billing of $1,953.60 after forgiveness of some charges by PGW.  The case was fully litigated.</w:t>
      </w:r>
      <w:r w:rsidR="00826A56">
        <w:rPr>
          <w:rFonts w:ascii="Times New Roman" w:eastAsiaTheme="minorHAnsi" w:hAnsi="Times New Roman" w:cs="Times New Roman"/>
          <w:sz w:val="22"/>
          <w:szCs w:val="22"/>
        </w:rPr>
        <w:t xml:space="preserve">  Judge Melillo held that:</w:t>
      </w:r>
    </w:p>
    <w:p w14:paraId="26CEAF91" w14:textId="62321EE5" w:rsidR="00826A56" w:rsidRDefault="00826A56" w:rsidP="00FD5914">
      <w:pPr>
        <w:spacing w:line="360" w:lineRule="auto"/>
        <w:rPr>
          <w:rFonts w:ascii="Times New Roman" w:eastAsiaTheme="minorHAnsi" w:hAnsi="Times New Roman" w:cs="Times New Roman"/>
          <w:sz w:val="22"/>
          <w:szCs w:val="22"/>
        </w:rPr>
      </w:pPr>
    </w:p>
    <w:p w14:paraId="2B6042D0" w14:textId="1AD6E5B8" w:rsidR="00826A56" w:rsidRPr="00FD5914" w:rsidRDefault="00826A56" w:rsidP="00826A56">
      <w:pPr>
        <w:ind w:left="1440" w:right="720"/>
        <w:rPr>
          <w:rFonts w:ascii="Times New Roman" w:eastAsiaTheme="minorHAnsi" w:hAnsi="Times New Roman" w:cs="Times New Roman"/>
          <w:sz w:val="22"/>
          <w:szCs w:val="22"/>
        </w:rPr>
      </w:pPr>
      <w:r w:rsidRPr="00FD5914">
        <w:rPr>
          <w:rFonts w:ascii="Times New Roman" w:eastAsiaTheme="minorHAnsi" w:hAnsi="Times New Roman" w:cs="Times New Roman"/>
          <w:sz w:val="22"/>
          <w:szCs w:val="22"/>
        </w:rPr>
        <w:t xml:space="preserve">Accordingly, I conclude, consistent with </w:t>
      </w:r>
      <w:r w:rsidRPr="007F5AA3">
        <w:rPr>
          <w:rFonts w:ascii="Times New Roman" w:eastAsiaTheme="minorHAnsi" w:hAnsi="Times New Roman" w:cs="Times New Roman"/>
          <w:i/>
          <w:sz w:val="22"/>
          <w:szCs w:val="22"/>
        </w:rPr>
        <w:t>Reynolds</w:t>
      </w:r>
      <w:r w:rsidRPr="00FD5914">
        <w:rPr>
          <w:rFonts w:ascii="Times New Roman" w:eastAsiaTheme="minorHAnsi" w:hAnsi="Times New Roman" w:cs="Times New Roman"/>
          <w:sz w:val="22"/>
          <w:szCs w:val="22"/>
        </w:rPr>
        <w:t xml:space="preserve"> and </w:t>
      </w:r>
      <w:r w:rsidRPr="007F5AA3">
        <w:rPr>
          <w:rFonts w:ascii="Times New Roman" w:eastAsiaTheme="minorHAnsi" w:hAnsi="Times New Roman" w:cs="Times New Roman"/>
          <w:i/>
          <w:sz w:val="22"/>
          <w:szCs w:val="22"/>
        </w:rPr>
        <w:t>Creehan</w:t>
      </w:r>
      <w:r w:rsidR="00D74BA1">
        <w:rPr>
          <w:rFonts w:ascii="Times New Roman" w:eastAsiaTheme="minorHAnsi" w:hAnsi="Times New Roman" w:cs="Times New Roman"/>
          <w:sz w:val="22"/>
          <w:szCs w:val="22"/>
        </w:rPr>
        <w:t xml:space="preserve"> [citations omitted],</w:t>
      </w:r>
      <w:r w:rsidRPr="00FD5914">
        <w:rPr>
          <w:rFonts w:ascii="Times New Roman" w:eastAsiaTheme="minorHAnsi" w:hAnsi="Times New Roman" w:cs="Times New Roman"/>
          <w:sz w:val="22"/>
          <w:szCs w:val="22"/>
        </w:rPr>
        <w:t xml:space="preserve"> that Mr. Wright cannot again pursue the high bill claims that were resolved in prior cases through an </w:t>
      </w:r>
      <w:proofErr w:type="spellStart"/>
      <w:r w:rsidRPr="00FD5914">
        <w:rPr>
          <w:rFonts w:ascii="Times New Roman" w:eastAsiaTheme="minorHAnsi" w:hAnsi="Times New Roman" w:cs="Times New Roman"/>
          <w:sz w:val="22"/>
          <w:szCs w:val="22"/>
        </w:rPr>
        <w:t>unobjected</w:t>
      </w:r>
      <w:proofErr w:type="spellEnd"/>
      <w:r w:rsidRPr="00FD5914">
        <w:rPr>
          <w:rFonts w:ascii="Times New Roman" w:eastAsiaTheme="minorHAnsi" w:hAnsi="Times New Roman" w:cs="Times New Roman"/>
          <w:sz w:val="22"/>
          <w:szCs w:val="22"/>
        </w:rPr>
        <w:t xml:space="preserve"> to Certificate of Satisfaction.  These high bill claims were the only issues in this case.  While Complainant had mentioned a lien issue, that matter had been resolved by the hearing.  Tr. 44, 73; PGW Ex. 6.  Complainant acknowledged that he did not object to the prior Certificate of Satisfaction, accepted a $498.13 settlement credit, and later became dissatisfied and filed the same high bill complaint.  Section 316 of the Code operates to preclude litigants from pursuing the same claims that have been conclusively resolved before the Commission, through an </w:t>
      </w:r>
      <w:proofErr w:type="spellStart"/>
      <w:r w:rsidRPr="00FD5914">
        <w:rPr>
          <w:rFonts w:ascii="Times New Roman" w:eastAsiaTheme="minorHAnsi" w:hAnsi="Times New Roman" w:cs="Times New Roman"/>
          <w:sz w:val="22"/>
          <w:szCs w:val="22"/>
        </w:rPr>
        <w:t>unobjected</w:t>
      </w:r>
      <w:proofErr w:type="spellEnd"/>
      <w:r w:rsidRPr="00FD5914">
        <w:rPr>
          <w:rFonts w:ascii="Times New Roman" w:eastAsiaTheme="minorHAnsi" w:hAnsi="Times New Roman" w:cs="Times New Roman"/>
          <w:sz w:val="22"/>
          <w:szCs w:val="22"/>
        </w:rPr>
        <w:t xml:space="preserve"> to Certificate of Satisfaction.</w:t>
      </w:r>
    </w:p>
    <w:p w14:paraId="26EFE601" w14:textId="77777777" w:rsidR="00826A56" w:rsidRPr="00FD5914" w:rsidRDefault="00826A56" w:rsidP="00826A56">
      <w:pPr>
        <w:ind w:left="1440" w:right="720"/>
        <w:rPr>
          <w:rFonts w:ascii="Times New Roman" w:eastAsiaTheme="minorHAnsi" w:hAnsi="Times New Roman" w:cs="Times New Roman"/>
          <w:sz w:val="22"/>
          <w:szCs w:val="22"/>
        </w:rPr>
      </w:pPr>
    </w:p>
    <w:p w14:paraId="5C576FEE" w14:textId="77777777" w:rsidR="00826A56" w:rsidRPr="00FD5914" w:rsidRDefault="00826A56" w:rsidP="00826A56">
      <w:pPr>
        <w:ind w:left="1440" w:right="720"/>
        <w:rPr>
          <w:rFonts w:ascii="Times New Roman" w:eastAsiaTheme="minorHAnsi" w:hAnsi="Times New Roman" w:cs="Times New Roman"/>
          <w:sz w:val="22"/>
          <w:szCs w:val="22"/>
        </w:rPr>
      </w:pPr>
      <w:r w:rsidRPr="00FD5914">
        <w:rPr>
          <w:rFonts w:ascii="Times New Roman" w:eastAsiaTheme="minorHAnsi" w:hAnsi="Times New Roman" w:cs="Times New Roman"/>
          <w:sz w:val="22"/>
          <w:szCs w:val="22"/>
        </w:rPr>
        <w:t xml:space="preserve">For the reasons set forth above, PGW’s motion to dismiss will be granted and the Complaint will be dismissed with prejudice.  PGW has already removed $205.42 in late payment charges from Complainant’s account, related to the time when this matter was in dispute.  While PGW briefed the merits of the high bill complaint issue, it is not necessary to reach this issue as the Complaint is being dismissed under Section 316 of the Code. </w:t>
      </w:r>
    </w:p>
    <w:p w14:paraId="2D9238AD" w14:textId="77777777" w:rsidR="00FD5914" w:rsidRPr="00FD5914" w:rsidRDefault="00FD5914" w:rsidP="00FD5914">
      <w:pPr>
        <w:spacing w:line="360" w:lineRule="auto"/>
        <w:rPr>
          <w:rFonts w:ascii="Times New Roman" w:eastAsiaTheme="minorHAnsi" w:hAnsi="Times New Roman" w:cs="Times New Roman"/>
          <w:sz w:val="22"/>
          <w:szCs w:val="22"/>
        </w:rPr>
      </w:pPr>
    </w:p>
    <w:p w14:paraId="65341A54" w14:textId="42736D09" w:rsidR="00743E9D" w:rsidRDefault="00743E9D" w:rsidP="00E92C5C">
      <w:pPr>
        <w:spacing w:line="360" w:lineRule="auto"/>
        <w:rPr>
          <w:rFonts w:ascii="Times New Roman" w:eastAsiaTheme="minorHAnsi" w:hAnsi="Times New Roman" w:cs="Times New Roman"/>
          <w:sz w:val="22"/>
          <w:szCs w:val="22"/>
        </w:rPr>
      </w:pPr>
      <w:r w:rsidRPr="007F5AA3">
        <w:rPr>
          <w:rFonts w:ascii="Times New Roman" w:eastAsiaTheme="minorHAnsi" w:hAnsi="Times New Roman" w:cs="Times New Roman"/>
          <w:i/>
          <w:sz w:val="22"/>
          <w:szCs w:val="22"/>
        </w:rPr>
        <w:t>Wright v. PGW</w:t>
      </w:r>
      <w:r>
        <w:rPr>
          <w:rFonts w:ascii="Times New Roman" w:eastAsiaTheme="minorHAnsi" w:hAnsi="Times New Roman" w:cs="Times New Roman"/>
          <w:sz w:val="22"/>
          <w:szCs w:val="22"/>
        </w:rPr>
        <w:t xml:space="preserve">, </w:t>
      </w:r>
      <w:bookmarkStart w:id="9" w:name="_Hlk7703620"/>
      <w:r>
        <w:rPr>
          <w:rFonts w:ascii="Times New Roman" w:eastAsiaTheme="minorHAnsi" w:hAnsi="Times New Roman" w:cs="Times New Roman"/>
          <w:sz w:val="22"/>
          <w:szCs w:val="22"/>
        </w:rPr>
        <w:t>Docket No. C-2013-2368462</w:t>
      </w:r>
      <w:bookmarkEnd w:id="9"/>
      <w:r>
        <w:rPr>
          <w:rFonts w:ascii="Times New Roman" w:eastAsiaTheme="minorHAnsi" w:hAnsi="Times New Roman" w:cs="Times New Roman"/>
          <w:sz w:val="22"/>
          <w:szCs w:val="22"/>
        </w:rPr>
        <w:t>, Initial Decision at 9-10.</w:t>
      </w:r>
      <w:r w:rsidR="00FD5914" w:rsidRPr="00FD5914">
        <w:rPr>
          <w:rFonts w:ascii="Times New Roman" w:eastAsiaTheme="minorHAnsi" w:hAnsi="Times New Roman" w:cs="Times New Roman"/>
          <w:sz w:val="22"/>
          <w:szCs w:val="22"/>
        </w:rPr>
        <w:tab/>
      </w:r>
      <w:r w:rsidR="00FD5914">
        <w:rPr>
          <w:rFonts w:ascii="Times New Roman" w:eastAsiaTheme="minorHAnsi" w:hAnsi="Times New Roman" w:cs="Times New Roman"/>
          <w:sz w:val="22"/>
          <w:szCs w:val="22"/>
        </w:rPr>
        <w:tab/>
      </w:r>
    </w:p>
    <w:p w14:paraId="1253D236" w14:textId="77777777" w:rsidR="00743E9D" w:rsidRDefault="00743E9D" w:rsidP="00E92C5C">
      <w:pPr>
        <w:spacing w:line="360" w:lineRule="auto"/>
        <w:rPr>
          <w:rFonts w:ascii="Times New Roman" w:eastAsiaTheme="minorHAnsi" w:hAnsi="Times New Roman" w:cs="Times New Roman"/>
          <w:sz w:val="22"/>
          <w:szCs w:val="22"/>
        </w:rPr>
      </w:pPr>
    </w:p>
    <w:p w14:paraId="21FE78FD" w14:textId="7AF577C4" w:rsidR="00E92C5C" w:rsidRPr="00E92C5C" w:rsidRDefault="00743E9D" w:rsidP="00E92C5C">
      <w:pPr>
        <w:spacing w:line="360" w:lineRule="auto"/>
        <w:rPr>
          <w:rFonts w:asciiTheme="minorHAnsi" w:eastAsiaTheme="minorHAnsi" w:hAnsiTheme="minorHAnsi" w:cstheme="minorBidi"/>
          <w:sz w:val="22"/>
          <w:szCs w:val="22"/>
        </w:rPr>
      </w:pPr>
      <w:r>
        <w:rPr>
          <w:rFonts w:ascii="Times New Roman" w:eastAsiaTheme="minorHAnsi" w:hAnsi="Times New Roman" w:cs="Times New Roman"/>
          <w:sz w:val="22"/>
          <w:szCs w:val="22"/>
        </w:rPr>
        <w:tab/>
      </w:r>
      <w:r>
        <w:rPr>
          <w:rFonts w:ascii="Times New Roman" w:eastAsiaTheme="minorHAnsi" w:hAnsi="Times New Roman" w:cs="Times New Roman"/>
          <w:sz w:val="22"/>
          <w:szCs w:val="22"/>
        </w:rPr>
        <w:tab/>
      </w:r>
      <w:r w:rsidR="00FD5914" w:rsidRPr="00FD5914">
        <w:rPr>
          <w:rFonts w:ascii="Times New Roman" w:eastAsiaTheme="minorHAnsi" w:hAnsi="Times New Roman" w:cs="Times New Roman"/>
          <w:sz w:val="22"/>
          <w:szCs w:val="22"/>
        </w:rPr>
        <w:t>On October 23, 2014</w:t>
      </w:r>
      <w:r w:rsidR="00826A56">
        <w:rPr>
          <w:rFonts w:ascii="Times New Roman" w:eastAsiaTheme="minorHAnsi" w:hAnsi="Times New Roman" w:cs="Times New Roman"/>
          <w:sz w:val="22"/>
          <w:szCs w:val="22"/>
        </w:rPr>
        <w:t>,</w:t>
      </w:r>
      <w:r w:rsidR="00FD5914" w:rsidRPr="00FD5914">
        <w:rPr>
          <w:rFonts w:ascii="Times New Roman" w:eastAsiaTheme="minorHAnsi" w:hAnsi="Times New Roman" w:cs="Times New Roman"/>
          <w:sz w:val="22"/>
          <w:szCs w:val="22"/>
        </w:rPr>
        <w:t xml:space="preserve"> the Commission upheld Judge Melillo and issued an Opinion and Order at Docket No. C-2013-2368462 wherein the  Complainant’s claim with respect to misbilling in 2010 and 2011</w:t>
      </w:r>
      <w:r w:rsidR="00FD5914">
        <w:rPr>
          <w:rFonts w:ascii="Times New Roman" w:eastAsiaTheme="minorHAnsi" w:hAnsi="Times New Roman" w:cs="Times New Roman"/>
          <w:sz w:val="22"/>
          <w:szCs w:val="22"/>
        </w:rPr>
        <w:t>,</w:t>
      </w:r>
      <w:r w:rsidR="00FD5914" w:rsidRPr="00FD5914">
        <w:rPr>
          <w:rFonts w:ascii="Times New Roman" w:eastAsiaTheme="minorHAnsi" w:hAnsi="Times New Roman" w:cs="Times New Roman"/>
          <w:sz w:val="22"/>
          <w:szCs w:val="22"/>
        </w:rPr>
        <w:t xml:space="preserve"> the issue </w:t>
      </w:r>
      <w:r w:rsidR="00FD5914">
        <w:rPr>
          <w:rFonts w:ascii="Times New Roman" w:eastAsiaTheme="minorHAnsi" w:hAnsi="Times New Roman" w:cs="Times New Roman"/>
          <w:sz w:val="22"/>
          <w:szCs w:val="22"/>
        </w:rPr>
        <w:t xml:space="preserve">that Complainant seeks to relitigate here, </w:t>
      </w:r>
      <w:r w:rsidR="00FD5914" w:rsidRPr="00FD5914">
        <w:rPr>
          <w:rFonts w:ascii="Times New Roman" w:eastAsiaTheme="minorHAnsi" w:hAnsi="Times New Roman" w:cs="Times New Roman"/>
          <w:sz w:val="22"/>
          <w:szCs w:val="22"/>
        </w:rPr>
        <w:t xml:space="preserve">was dismissed with prejudice as the issue had been resolved with the </w:t>
      </w:r>
      <w:proofErr w:type="spellStart"/>
      <w:r w:rsidR="00FD5914" w:rsidRPr="00FD5914">
        <w:rPr>
          <w:rFonts w:ascii="Times New Roman" w:eastAsiaTheme="minorHAnsi" w:hAnsi="Times New Roman" w:cs="Times New Roman"/>
          <w:sz w:val="22"/>
          <w:szCs w:val="22"/>
        </w:rPr>
        <w:t>unobjected</w:t>
      </w:r>
      <w:proofErr w:type="spellEnd"/>
      <w:r w:rsidR="00FD5914" w:rsidRPr="00FD5914">
        <w:rPr>
          <w:rFonts w:ascii="Times New Roman" w:eastAsiaTheme="minorHAnsi" w:hAnsi="Times New Roman" w:cs="Times New Roman"/>
          <w:sz w:val="22"/>
          <w:szCs w:val="22"/>
        </w:rPr>
        <w:t xml:space="preserve"> to </w:t>
      </w:r>
      <w:r>
        <w:rPr>
          <w:rFonts w:ascii="Times New Roman" w:eastAsiaTheme="minorHAnsi" w:hAnsi="Times New Roman" w:cs="Times New Roman"/>
          <w:sz w:val="22"/>
          <w:szCs w:val="22"/>
        </w:rPr>
        <w:t>Certificate of Satisfaction</w:t>
      </w:r>
      <w:r w:rsidR="00FD5914" w:rsidRPr="00FD5914">
        <w:rPr>
          <w:rFonts w:ascii="Times New Roman" w:eastAsiaTheme="minorHAnsi" w:hAnsi="Times New Roman" w:cs="Times New Roman"/>
          <w:sz w:val="22"/>
          <w:szCs w:val="22"/>
        </w:rPr>
        <w:t xml:space="preserve">.  </w:t>
      </w:r>
      <w:r w:rsidR="00E92C5C" w:rsidRPr="00E92C5C">
        <w:rPr>
          <w:rFonts w:ascii="Times New Roman" w:eastAsiaTheme="minorHAnsi" w:hAnsi="Times New Roman" w:cs="Times New Roman"/>
          <w:sz w:val="22"/>
          <w:szCs w:val="22"/>
        </w:rPr>
        <w:br/>
      </w:r>
    </w:p>
    <w:p w14:paraId="04C91B8B" w14:textId="3068D6D0" w:rsidR="0049606F" w:rsidRDefault="00E92C5C" w:rsidP="009F707F">
      <w:pPr>
        <w:tabs>
          <w:tab w:val="left" w:pos="-1440"/>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9606F">
        <w:rPr>
          <w:rFonts w:ascii="Times New Roman" w:hAnsi="Times New Roman" w:cs="Times New Roman"/>
          <w:spacing w:val="-3"/>
        </w:rPr>
        <w:t xml:space="preserve">PGW is </w:t>
      </w:r>
      <w:r w:rsidR="00743E9D">
        <w:rPr>
          <w:rFonts w:ascii="Times New Roman" w:hAnsi="Times New Roman" w:cs="Times New Roman"/>
          <w:spacing w:val="-3"/>
        </w:rPr>
        <w:t xml:space="preserve">also </w:t>
      </w:r>
      <w:r w:rsidR="0049606F">
        <w:rPr>
          <w:rFonts w:ascii="Times New Roman" w:hAnsi="Times New Roman" w:cs="Times New Roman"/>
          <w:spacing w:val="-3"/>
        </w:rPr>
        <w:t xml:space="preserve">correct as a matter of law that </w:t>
      </w:r>
      <w:r w:rsidR="00BF6AB7">
        <w:rPr>
          <w:rFonts w:ascii="Times New Roman" w:hAnsi="Times New Roman" w:cs="Times New Roman"/>
          <w:spacing w:val="-3"/>
        </w:rPr>
        <w:t xml:space="preserve">the billing </w:t>
      </w:r>
      <w:r w:rsidR="0049606F">
        <w:rPr>
          <w:rFonts w:ascii="Times New Roman" w:hAnsi="Times New Roman" w:cs="Times New Roman"/>
          <w:spacing w:val="-3"/>
        </w:rPr>
        <w:t xml:space="preserve">Complainant is time-barred by the </w:t>
      </w:r>
      <w:bookmarkStart w:id="10" w:name="_Hlk3473193"/>
      <w:r w:rsidR="0049606F">
        <w:rPr>
          <w:rFonts w:ascii="Times New Roman" w:hAnsi="Times New Roman" w:cs="Times New Roman"/>
          <w:spacing w:val="-3"/>
        </w:rPr>
        <w:t xml:space="preserve">Public Utility Code at </w:t>
      </w:r>
      <w:bookmarkStart w:id="11" w:name="_Hlk5263095"/>
      <w:r w:rsidR="0049606F">
        <w:rPr>
          <w:rFonts w:ascii="Times New Roman" w:hAnsi="Times New Roman" w:cs="Times New Roman"/>
          <w:spacing w:val="-3"/>
        </w:rPr>
        <w:t>66 Pa. C.S. § 3314</w:t>
      </w:r>
      <w:bookmarkEnd w:id="10"/>
      <w:bookmarkEnd w:id="11"/>
      <w:r w:rsidR="0049606F">
        <w:rPr>
          <w:rFonts w:ascii="Times New Roman" w:hAnsi="Times New Roman" w:cs="Times New Roman"/>
          <w:spacing w:val="-3"/>
        </w:rPr>
        <w:t>, which states, in pertinent part:</w:t>
      </w:r>
    </w:p>
    <w:p w14:paraId="4114467B" w14:textId="41E0A224" w:rsidR="0049606F" w:rsidRDefault="0049606F" w:rsidP="009F707F">
      <w:pPr>
        <w:tabs>
          <w:tab w:val="left" w:pos="-1440"/>
          <w:tab w:val="left" w:pos="-720"/>
        </w:tabs>
        <w:suppressAutoHyphens/>
        <w:spacing w:line="360" w:lineRule="auto"/>
        <w:rPr>
          <w:rFonts w:ascii="Times New Roman" w:hAnsi="Times New Roman" w:cs="Times New Roman"/>
          <w:spacing w:val="-3"/>
        </w:rPr>
      </w:pPr>
    </w:p>
    <w:p w14:paraId="5918254D" w14:textId="77777777" w:rsidR="00C459B1" w:rsidRPr="00C459B1" w:rsidRDefault="00C459B1" w:rsidP="00C459B1">
      <w:pPr>
        <w:tabs>
          <w:tab w:val="left" w:pos="-1440"/>
          <w:tab w:val="left" w:pos="-720"/>
        </w:tabs>
        <w:suppressAutoHyphens/>
        <w:ind w:left="1440" w:right="720"/>
        <w:rPr>
          <w:b/>
        </w:rPr>
      </w:pPr>
      <w:r w:rsidRPr="00C459B1">
        <w:rPr>
          <w:b/>
        </w:rPr>
        <w:t>Limitation of actions and cumulation of remedies.</w:t>
      </w:r>
    </w:p>
    <w:p w14:paraId="44446CBD" w14:textId="77777777" w:rsidR="0064676B" w:rsidRDefault="00C459B1" w:rsidP="00C459B1">
      <w:pPr>
        <w:tabs>
          <w:tab w:val="left" w:pos="-1440"/>
          <w:tab w:val="left" w:pos="-720"/>
        </w:tabs>
        <w:suppressAutoHyphens/>
        <w:ind w:left="1440" w:right="720"/>
      </w:pPr>
      <w:r>
        <w:t>(a) General rule.--</w:t>
      </w:r>
      <w:bookmarkStart w:id="12" w:name="_Hlk3474558"/>
      <w: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14:paraId="44B34376" w14:textId="77777777" w:rsidR="0064676B" w:rsidRDefault="0064676B" w:rsidP="00C459B1">
      <w:pPr>
        <w:tabs>
          <w:tab w:val="left" w:pos="-1440"/>
          <w:tab w:val="left" w:pos="-720"/>
        </w:tabs>
        <w:suppressAutoHyphens/>
        <w:ind w:left="1440" w:right="720"/>
      </w:pPr>
    </w:p>
    <w:p w14:paraId="61B92787" w14:textId="350333C4" w:rsidR="0049606F" w:rsidRDefault="00C459B1" w:rsidP="0064676B">
      <w:pPr>
        <w:tabs>
          <w:tab w:val="left" w:pos="-1440"/>
          <w:tab w:val="left" w:pos="-720"/>
        </w:tabs>
        <w:suppressAutoHyphens/>
        <w:ind w:right="720"/>
      </w:pPr>
      <w:r>
        <w:t xml:space="preserve"> </w:t>
      </w:r>
      <w:bookmarkEnd w:id="12"/>
      <w:r w:rsidR="0064676B" w:rsidRPr="0064676B">
        <w:t>66 Pa. C.S. § 3314</w:t>
      </w:r>
    </w:p>
    <w:p w14:paraId="4E903387" w14:textId="77777777" w:rsidR="0049606F" w:rsidRDefault="0049606F" w:rsidP="009F707F">
      <w:pPr>
        <w:tabs>
          <w:tab w:val="left" w:pos="-1440"/>
          <w:tab w:val="left" w:pos="-720"/>
        </w:tabs>
        <w:suppressAutoHyphens/>
        <w:spacing w:line="360" w:lineRule="auto"/>
      </w:pPr>
    </w:p>
    <w:p w14:paraId="7039BF83" w14:textId="30E27DF1" w:rsidR="00EE1534" w:rsidRDefault="00EE1534" w:rsidP="009F707F">
      <w:pPr>
        <w:tabs>
          <w:tab w:val="left" w:pos="-1440"/>
          <w:tab w:val="left" w:pos="-720"/>
        </w:tabs>
        <w:suppressAutoHyphens/>
        <w:spacing w:line="360" w:lineRule="auto"/>
      </w:pPr>
      <w:r w:rsidRPr="00EE1534">
        <w:t xml:space="preserve"> </w:t>
      </w:r>
      <w:r w:rsidR="00C459B1">
        <w:tab/>
      </w:r>
      <w:r w:rsidR="00BB2147">
        <w:tab/>
      </w:r>
      <w:r w:rsidR="00C459B1">
        <w:t xml:space="preserve">Complainant’s </w:t>
      </w:r>
      <w:r w:rsidR="00BB2147">
        <w:t>dispute with respect to his 2010 and 2011</w:t>
      </w:r>
      <w:r w:rsidR="00401091">
        <w:t xml:space="preserve"> </w:t>
      </w:r>
      <w:r w:rsidR="00BB2147">
        <w:t xml:space="preserve">bills </w:t>
      </w:r>
      <w:r w:rsidR="00F56DF1">
        <w:t xml:space="preserve">and alleged property damage raises issues </w:t>
      </w:r>
      <w:r w:rsidR="00C879DA">
        <w:t>from</w:t>
      </w:r>
      <w:r w:rsidR="00BB2147">
        <w:t xml:space="preserve"> </w:t>
      </w:r>
      <w:r w:rsidR="00E72D38">
        <w:t>at least eight</w:t>
      </w:r>
      <w:r w:rsidR="00BB2147">
        <w:t xml:space="preserve"> years ago</w:t>
      </w:r>
      <w:r w:rsidR="00F56DF1">
        <w:t xml:space="preserve">.  </w:t>
      </w:r>
      <w:r w:rsidR="00BB2147">
        <w:t xml:space="preserve">Complainant has </w:t>
      </w:r>
      <w:r w:rsidRPr="00EE1534">
        <w:t xml:space="preserve">not </w:t>
      </w:r>
      <w:r w:rsidR="00643DF2">
        <w:t>replied to the Preliminary Objections</w:t>
      </w:r>
      <w:r w:rsidR="000D32F0">
        <w:t>,</w:t>
      </w:r>
      <w:r w:rsidR="00E72D38">
        <w:t xml:space="preserve"> </w:t>
      </w:r>
      <w:r w:rsidR="005B2D05">
        <w:t xml:space="preserve">but even if he had done so he cannot </w:t>
      </w:r>
      <w:r w:rsidR="00570AE7">
        <w:t xml:space="preserve">alter the facts established in a succession of Commission cases.  </w:t>
      </w:r>
    </w:p>
    <w:p w14:paraId="079F9AC8" w14:textId="11019A8A" w:rsidR="008E349D" w:rsidRDefault="008E349D" w:rsidP="009F707F">
      <w:pPr>
        <w:tabs>
          <w:tab w:val="left" w:pos="-1440"/>
          <w:tab w:val="left" w:pos="-720"/>
        </w:tabs>
        <w:suppressAutoHyphens/>
        <w:spacing w:line="360" w:lineRule="auto"/>
      </w:pPr>
    </w:p>
    <w:p w14:paraId="0592563C" w14:textId="0BD00413" w:rsidR="008E349D" w:rsidRDefault="008E349D" w:rsidP="009F707F">
      <w:pPr>
        <w:tabs>
          <w:tab w:val="left" w:pos="-1440"/>
          <w:tab w:val="left" w:pos="-720"/>
        </w:tabs>
        <w:suppressAutoHyphens/>
        <w:spacing w:line="360" w:lineRule="auto"/>
      </w:pPr>
      <w:r>
        <w:tab/>
      </w:r>
      <w:r>
        <w:tab/>
        <w:t xml:space="preserve">Because the Commission </w:t>
      </w:r>
      <w:r w:rsidR="00743E9D">
        <w:t xml:space="preserve">has previously heard and decided the </w:t>
      </w:r>
      <w:r w:rsidR="00374670">
        <w:t xml:space="preserve">billing </w:t>
      </w:r>
      <w:r w:rsidR="00743E9D">
        <w:t xml:space="preserve">issues </w:t>
      </w:r>
      <w:r w:rsidR="00374670">
        <w:t xml:space="preserve">raised again </w:t>
      </w:r>
      <w:r w:rsidR="00743E9D">
        <w:t>in the present Complaint, dismissing the matter with prejudice</w:t>
      </w:r>
      <w:r w:rsidR="000D32F0">
        <w:t xml:space="preserve"> in its October 23, 2014 Opinion and Order</w:t>
      </w:r>
      <w:r w:rsidR="00743E9D">
        <w:t xml:space="preserve">, </w:t>
      </w:r>
      <w:r w:rsidR="00044F65">
        <w:t>PGW’s Preliminary Objections</w:t>
      </w:r>
      <w:r w:rsidR="00743E9D">
        <w:t xml:space="preserve"> </w:t>
      </w:r>
      <w:commentRangeStart w:id="13"/>
      <w:commentRangeEnd w:id="13"/>
      <w:r w:rsidR="00044F65">
        <w:t>must be sustained</w:t>
      </w:r>
      <w:r w:rsidR="00374670">
        <w:t>, in part</w:t>
      </w:r>
      <w:r w:rsidR="001755C7">
        <w:t>.</w:t>
      </w:r>
    </w:p>
    <w:p w14:paraId="64B2BE25" w14:textId="38357625" w:rsidR="001755C7" w:rsidRDefault="001755C7" w:rsidP="009F707F">
      <w:pPr>
        <w:tabs>
          <w:tab w:val="left" w:pos="-1440"/>
          <w:tab w:val="left" w:pos="-720"/>
        </w:tabs>
        <w:suppressAutoHyphens/>
        <w:spacing w:line="360" w:lineRule="auto"/>
      </w:pPr>
    </w:p>
    <w:p w14:paraId="76024813" w14:textId="07D2CA1D" w:rsidR="001755C7" w:rsidRPr="00155FE0" w:rsidRDefault="001755C7" w:rsidP="009F707F">
      <w:pPr>
        <w:tabs>
          <w:tab w:val="left" w:pos="-1440"/>
          <w:tab w:val="left" w:pos="-720"/>
        </w:tabs>
        <w:suppressAutoHyphens/>
        <w:spacing w:line="360" w:lineRule="auto"/>
        <w:rPr>
          <w:b/>
        </w:rPr>
      </w:pPr>
      <w:r w:rsidRPr="00155FE0">
        <w:rPr>
          <w:b/>
        </w:rPr>
        <w:t>Complainant’s Allegation of Property Damage</w:t>
      </w:r>
    </w:p>
    <w:p w14:paraId="3CA06698" w14:textId="708CA790" w:rsidR="001755C7" w:rsidRDefault="001755C7" w:rsidP="009F707F">
      <w:pPr>
        <w:tabs>
          <w:tab w:val="left" w:pos="-1440"/>
          <w:tab w:val="left" w:pos="-720"/>
        </w:tabs>
        <w:suppressAutoHyphens/>
        <w:spacing w:line="360" w:lineRule="auto"/>
      </w:pPr>
    </w:p>
    <w:p w14:paraId="2F18BFA1" w14:textId="1741C066" w:rsidR="00155FE0" w:rsidRDefault="001755C7" w:rsidP="009F707F">
      <w:pPr>
        <w:tabs>
          <w:tab w:val="left" w:pos="-1440"/>
          <w:tab w:val="left" w:pos="-720"/>
        </w:tabs>
        <w:suppressAutoHyphens/>
        <w:spacing w:line="360" w:lineRule="auto"/>
        <w:rPr>
          <w:rFonts w:ascii="Times New Roman" w:hAnsi="Times New Roman" w:cs="Times New Roman"/>
        </w:rPr>
      </w:pPr>
      <w:r>
        <w:tab/>
      </w:r>
      <w:r>
        <w:tab/>
        <w:t xml:space="preserve">In his Complaint at this docket, Complainant raises for the first time an allegation that PGW personnel damaged a wall in the basement of his </w:t>
      </w:r>
      <w:proofErr w:type="gramStart"/>
      <w:r>
        <w:t>residence, and</w:t>
      </w:r>
      <w:proofErr w:type="gramEnd"/>
      <w:r>
        <w:t xml:space="preserve"> contends that the damage was not repaired.</w:t>
      </w:r>
      <w:r w:rsidR="00155FE0">
        <w:t xml:space="preserve">  Though PGW has denied the allegation, this factual dispute cannot be resolved through Preliminary Objections.  </w:t>
      </w:r>
      <w:r w:rsidR="00155FE0" w:rsidRPr="00D83740">
        <w:rPr>
          <w:rFonts w:ascii="Times New Roman" w:hAnsi="Times New Roman" w:cs="Times New Roman"/>
        </w:rPr>
        <w:t xml:space="preserve">All of the non-moving party's averments in </w:t>
      </w:r>
      <w:r w:rsidR="00374670">
        <w:rPr>
          <w:rFonts w:ascii="Times New Roman" w:hAnsi="Times New Roman" w:cs="Times New Roman"/>
        </w:rPr>
        <w:t>a</w:t>
      </w:r>
      <w:r w:rsidR="00155FE0" w:rsidRPr="00D83740">
        <w:rPr>
          <w:rFonts w:ascii="Times New Roman" w:hAnsi="Times New Roman" w:cs="Times New Roman"/>
        </w:rPr>
        <w:t xml:space="preserve"> complaint must be viewed as true for purposes of deciding the preliminary objections, and only those facts specifically admitted may be considered against the non-moving party. </w:t>
      </w:r>
      <w:r w:rsidR="00155FE0" w:rsidRPr="00D83740">
        <w:rPr>
          <w:rFonts w:ascii="Times New Roman" w:hAnsi="Times New Roman" w:cs="Times New Roman"/>
          <w:i/>
        </w:rPr>
        <w:t>Ridge v. State Employees' Retirement Bd</w:t>
      </w:r>
      <w:r w:rsidR="00155FE0" w:rsidRPr="00D83740">
        <w:rPr>
          <w:rFonts w:ascii="Times New Roman" w:hAnsi="Times New Roman" w:cs="Times New Roman"/>
        </w:rPr>
        <w:t>., 690 A.2d 1312 (Pa.Cmwlth. 1997).</w:t>
      </w:r>
      <w:r w:rsidR="00BF6AB7">
        <w:rPr>
          <w:rFonts w:ascii="Times New Roman" w:hAnsi="Times New Roman" w:cs="Times New Roman"/>
        </w:rPr>
        <w:t xml:space="preserve">  It is unclear when the damage may have occurred, and at this point any date would be conjectural on my part.</w:t>
      </w:r>
    </w:p>
    <w:p w14:paraId="33EA3EA3" w14:textId="77777777" w:rsidR="00155FE0" w:rsidRDefault="00155FE0" w:rsidP="009F707F">
      <w:pPr>
        <w:tabs>
          <w:tab w:val="left" w:pos="-1440"/>
          <w:tab w:val="left" w:pos="-720"/>
        </w:tabs>
        <w:suppressAutoHyphens/>
        <w:spacing w:line="360" w:lineRule="auto"/>
        <w:rPr>
          <w:rFonts w:ascii="Times New Roman" w:hAnsi="Times New Roman" w:cs="Times New Roman"/>
        </w:rPr>
      </w:pPr>
    </w:p>
    <w:p w14:paraId="402A59C3" w14:textId="270D8043" w:rsidR="00155FE0" w:rsidRDefault="00155FE0" w:rsidP="009F707F">
      <w:pPr>
        <w:tabs>
          <w:tab w:val="left" w:pos="-1440"/>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w:t>
      </w:r>
      <w:r w:rsidR="00BF6AB7">
        <w:rPr>
          <w:rFonts w:ascii="Times New Roman" w:hAnsi="Times New Roman" w:cs="Times New Roman"/>
        </w:rPr>
        <w:t xml:space="preserve">element </w:t>
      </w:r>
      <w:r>
        <w:rPr>
          <w:rFonts w:ascii="Times New Roman" w:hAnsi="Times New Roman" w:cs="Times New Roman"/>
        </w:rPr>
        <w:t>of the Complaint involve</w:t>
      </w:r>
      <w:r w:rsidR="005A580E">
        <w:rPr>
          <w:rFonts w:ascii="Times New Roman" w:hAnsi="Times New Roman" w:cs="Times New Roman"/>
        </w:rPr>
        <w:t>s</w:t>
      </w:r>
      <w:r>
        <w:rPr>
          <w:rFonts w:ascii="Times New Roman" w:hAnsi="Times New Roman" w:cs="Times New Roman"/>
        </w:rPr>
        <w:t xml:space="preserve"> Section 1501 of the Code, which states</w:t>
      </w:r>
      <w:r w:rsidR="001B707A">
        <w:rPr>
          <w:rFonts w:ascii="Times New Roman" w:hAnsi="Times New Roman" w:cs="Times New Roman"/>
        </w:rPr>
        <w:t>, in pertinent part</w:t>
      </w:r>
      <w:r>
        <w:rPr>
          <w:rFonts w:ascii="Times New Roman" w:hAnsi="Times New Roman" w:cs="Times New Roman"/>
        </w:rPr>
        <w:t>:</w:t>
      </w:r>
    </w:p>
    <w:p w14:paraId="27CE17EA" w14:textId="559169A9" w:rsidR="001B707A" w:rsidRDefault="001B707A" w:rsidP="001B707A">
      <w:pPr>
        <w:tabs>
          <w:tab w:val="left" w:pos="-1440"/>
          <w:tab w:val="left" w:pos="-720"/>
        </w:tabs>
        <w:suppressAutoHyphens/>
        <w:ind w:left="1440" w:right="720"/>
        <w:rPr>
          <w:rFonts w:ascii="Times New Roman" w:hAnsi="Times New Roman" w:cs="Times New Roman"/>
        </w:rPr>
      </w:pPr>
      <w:r w:rsidRPr="001B707A">
        <w:rPr>
          <w:rFonts w:ascii="Times New Roman" w:hAnsi="Times New Roman" w:cs="Times New Roman"/>
        </w:rPr>
        <w:t>§ 1501. Character of service and facilities.</w:t>
      </w:r>
      <w:r>
        <w:rPr>
          <w:rFonts w:ascii="Times New Roman" w:hAnsi="Times New Roman" w:cs="Times New Roman"/>
        </w:rPr>
        <w:t xml:space="preserve"> </w:t>
      </w:r>
      <w:r w:rsidRPr="001B707A">
        <w:rPr>
          <w:rFonts w:ascii="Times New Roman" w:hAnsi="Times New Roman" w:cs="Times New Roman"/>
        </w:rPr>
        <w:t>Every public utility shall furnish and maintain adequate,</w:t>
      </w:r>
      <w:r>
        <w:rPr>
          <w:rFonts w:ascii="Times New Roman" w:hAnsi="Times New Roman" w:cs="Times New Roman"/>
        </w:rPr>
        <w:t xml:space="preserve"> </w:t>
      </w:r>
      <w:r w:rsidRPr="001B707A">
        <w:rPr>
          <w:rFonts w:ascii="Times New Roman" w:hAnsi="Times New Roman" w:cs="Times New Roman"/>
        </w:rPr>
        <w:t>efficient, safe, and reasonable service and facilities, and</w:t>
      </w:r>
      <w:r>
        <w:rPr>
          <w:rFonts w:ascii="Times New Roman" w:hAnsi="Times New Roman" w:cs="Times New Roman"/>
        </w:rPr>
        <w:t xml:space="preserve"> </w:t>
      </w:r>
      <w:r w:rsidRPr="001B707A">
        <w:rPr>
          <w:rFonts w:ascii="Times New Roman" w:hAnsi="Times New Roman" w:cs="Times New Roman"/>
        </w:rPr>
        <w:t>shall make all such repairs, changes, alterations,</w:t>
      </w:r>
      <w:r>
        <w:rPr>
          <w:rFonts w:ascii="Times New Roman" w:hAnsi="Times New Roman" w:cs="Times New Roman"/>
        </w:rPr>
        <w:t xml:space="preserve"> </w:t>
      </w:r>
      <w:r w:rsidRPr="001B707A">
        <w:rPr>
          <w:rFonts w:ascii="Times New Roman" w:hAnsi="Times New Roman" w:cs="Times New Roman"/>
        </w:rPr>
        <w:t>substitutions, extensions, and improvements in or to such</w:t>
      </w:r>
      <w:r>
        <w:rPr>
          <w:rFonts w:ascii="Times New Roman" w:hAnsi="Times New Roman" w:cs="Times New Roman"/>
        </w:rPr>
        <w:t xml:space="preserve"> </w:t>
      </w:r>
      <w:r w:rsidRPr="001B707A">
        <w:rPr>
          <w:rFonts w:ascii="Times New Roman" w:hAnsi="Times New Roman" w:cs="Times New Roman"/>
        </w:rPr>
        <w:t>service and facilities as shall be necessary or proper for the</w:t>
      </w:r>
      <w:r>
        <w:rPr>
          <w:rFonts w:ascii="Times New Roman" w:hAnsi="Times New Roman" w:cs="Times New Roman"/>
        </w:rPr>
        <w:t xml:space="preserve"> </w:t>
      </w:r>
      <w:r w:rsidRPr="001B707A">
        <w:rPr>
          <w:rFonts w:ascii="Times New Roman" w:hAnsi="Times New Roman" w:cs="Times New Roman"/>
        </w:rPr>
        <w:t>accommodation, convenience</w:t>
      </w:r>
      <w:r w:rsidR="005A580E">
        <w:rPr>
          <w:rFonts w:ascii="Times New Roman" w:hAnsi="Times New Roman" w:cs="Times New Roman"/>
        </w:rPr>
        <w:t>.</w:t>
      </w:r>
    </w:p>
    <w:p w14:paraId="5CAD8D83" w14:textId="091AD374" w:rsidR="001B707A" w:rsidRDefault="001B707A" w:rsidP="001B707A">
      <w:pPr>
        <w:tabs>
          <w:tab w:val="left" w:pos="-1440"/>
          <w:tab w:val="left" w:pos="-720"/>
        </w:tabs>
        <w:suppressAutoHyphens/>
        <w:ind w:left="1440" w:right="720"/>
        <w:rPr>
          <w:rFonts w:ascii="Times New Roman" w:hAnsi="Times New Roman" w:cs="Times New Roman"/>
        </w:rPr>
      </w:pPr>
    </w:p>
    <w:p w14:paraId="652EBC17" w14:textId="13824B90" w:rsidR="001B707A" w:rsidRDefault="001B707A" w:rsidP="001B707A">
      <w:pPr>
        <w:tabs>
          <w:tab w:val="left" w:pos="-1440"/>
          <w:tab w:val="left" w:pos="-720"/>
        </w:tabs>
        <w:suppressAutoHyphens/>
        <w:ind w:right="720"/>
        <w:rPr>
          <w:rFonts w:ascii="Times New Roman" w:hAnsi="Times New Roman" w:cs="Times New Roman"/>
        </w:rPr>
      </w:pPr>
      <w:r w:rsidRPr="001B707A">
        <w:rPr>
          <w:rFonts w:ascii="Times New Roman" w:hAnsi="Times New Roman" w:cs="Times New Roman"/>
        </w:rPr>
        <w:t>66 Pa. C.S. §1501</w:t>
      </w:r>
    </w:p>
    <w:p w14:paraId="45244378" w14:textId="77777777" w:rsidR="00155FE0" w:rsidRDefault="00155FE0" w:rsidP="009F707F">
      <w:pPr>
        <w:tabs>
          <w:tab w:val="left" w:pos="-1440"/>
          <w:tab w:val="left" w:pos="-720"/>
        </w:tabs>
        <w:suppressAutoHyphens/>
        <w:spacing w:line="360" w:lineRule="auto"/>
        <w:rPr>
          <w:rFonts w:ascii="Times New Roman" w:hAnsi="Times New Roman" w:cs="Times New Roman"/>
        </w:rPr>
      </w:pPr>
    </w:p>
    <w:p w14:paraId="5F05310D" w14:textId="0A5A88A7" w:rsidR="001755C7" w:rsidRDefault="00155FE0" w:rsidP="009F707F">
      <w:pPr>
        <w:tabs>
          <w:tab w:val="left" w:pos="-1440"/>
          <w:tab w:val="left" w:pos="-720"/>
        </w:tabs>
        <w:suppressAutoHyphens/>
        <w:spacing w:line="360" w:lineRule="auto"/>
      </w:pPr>
      <w:r>
        <w:rPr>
          <w:rFonts w:ascii="Times New Roman" w:hAnsi="Times New Roman" w:cs="Times New Roman"/>
        </w:rPr>
        <w:tab/>
      </w:r>
      <w:r>
        <w:rPr>
          <w:rFonts w:ascii="Times New Roman" w:hAnsi="Times New Roman" w:cs="Times New Roman"/>
        </w:rPr>
        <w:tab/>
      </w:r>
      <w:r w:rsidRPr="00155FE0">
        <w:rPr>
          <w:rFonts w:ascii="Times New Roman" w:hAnsi="Times New Roman" w:cs="Times New Roman"/>
        </w:rPr>
        <w:t xml:space="preserve">The statute at </w:t>
      </w:r>
      <w:bookmarkStart w:id="14" w:name="_Hlk7616469"/>
      <w:r w:rsidRPr="00155FE0">
        <w:rPr>
          <w:rFonts w:ascii="Times New Roman" w:hAnsi="Times New Roman" w:cs="Times New Roman"/>
        </w:rPr>
        <w:t xml:space="preserve">66 Pa. C.S. §1501 </w:t>
      </w:r>
      <w:bookmarkEnd w:id="14"/>
      <w:r w:rsidRPr="00155FE0">
        <w:rPr>
          <w:rFonts w:ascii="Times New Roman" w:hAnsi="Times New Roman" w:cs="Times New Roman"/>
        </w:rPr>
        <w:t xml:space="preserve">governs any allegations of unreasonable or inadequate service.  Pursuant to 66 Pa. C.S. §1501, the Commission has original jurisdiction over the reasonableness and adequacy of public utility service.  </w:t>
      </w:r>
      <w:r w:rsidRPr="005A580E">
        <w:rPr>
          <w:rFonts w:ascii="Times New Roman" w:hAnsi="Times New Roman" w:cs="Times New Roman"/>
          <w:i/>
        </w:rPr>
        <w:t>Elkin v. Bell Telephone Co</w:t>
      </w:r>
      <w:r w:rsidRPr="00155FE0">
        <w:rPr>
          <w:rFonts w:ascii="Times New Roman" w:hAnsi="Times New Roman" w:cs="Times New Roman"/>
        </w:rPr>
        <w:t xml:space="preserve">., 372 A.2d 1203 (Pa. Super. 1977) aff’d 420 A.2d 371 (Pa. 1977); </w:t>
      </w:r>
      <w:r w:rsidRPr="005A580E">
        <w:rPr>
          <w:rFonts w:ascii="Times New Roman" w:hAnsi="Times New Roman" w:cs="Times New Roman"/>
          <w:i/>
        </w:rPr>
        <w:t>Behrend v. Bell Telephone Co</w:t>
      </w:r>
      <w:r w:rsidRPr="00155FE0">
        <w:rPr>
          <w:rFonts w:ascii="Times New Roman" w:hAnsi="Times New Roman" w:cs="Times New Roman"/>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5A580E">
        <w:rPr>
          <w:rFonts w:ascii="Times New Roman" w:hAnsi="Times New Roman" w:cs="Times New Roman"/>
          <w:i/>
        </w:rPr>
        <w:t>Analytical Laboratory Services, Inc. v. Metropolitan Edison Co</w:t>
      </w:r>
      <w:r w:rsidRPr="00155FE0">
        <w:rPr>
          <w:rFonts w:ascii="Times New Roman" w:hAnsi="Times New Roman" w:cs="Times New Roman"/>
        </w:rPr>
        <w:t xml:space="preserve">., Docket No. C-2006608 (Order entered December 21, 2007); </w:t>
      </w:r>
      <w:r w:rsidRPr="005A580E">
        <w:rPr>
          <w:rFonts w:ascii="Times New Roman" w:hAnsi="Times New Roman" w:cs="Times New Roman"/>
          <w:i/>
        </w:rPr>
        <w:t>Emerald Art Glass v. Duquesne Light Co</w:t>
      </w:r>
      <w:r w:rsidRPr="00155FE0">
        <w:rPr>
          <w:rFonts w:ascii="Times New Roman" w:hAnsi="Times New Roman" w:cs="Times New Roman"/>
        </w:rPr>
        <w:t xml:space="preserve">., Docket No. C-00015494 (Order entered June 14, 2002); </w:t>
      </w:r>
      <w:r w:rsidRPr="005A580E">
        <w:rPr>
          <w:rFonts w:ascii="Times New Roman" w:hAnsi="Times New Roman" w:cs="Times New Roman"/>
          <w:i/>
        </w:rPr>
        <w:t>Re: Metropolitan Edison Co</w:t>
      </w:r>
      <w:r w:rsidRPr="00155FE0">
        <w:rPr>
          <w:rFonts w:ascii="Times New Roman" w:hAnsi="Times New Roman" w:cs="Times New Roman"/>
        </w:rPr>
        <w:t>., 80 Pa. PUC 662 (1993).</w:t>
      </w:r>
      <w:r w:rsidRPr="00D83740">
        <w:rPr>
          <w:rFonts w:ascii="Times New Roman" w:hAnsi="Times New Roman" w:cs="Times New Roman"/>
        </w:rPr>
        <w:br/>
      </w:r>
    </w:p>
    <w:p w14:paraId="64DA2A76" w14:textId="17C070A5" w:rsidR="001755C7" w:rsidRDefault="005A580E" w:rsidP="009F707F">
      <w:pPr>
        <w:tabs>
          <w:tab w:val="left" w:pos="-1440"/>
          <w:tab w:val="left" w:pos="-720"/>
        </w:tabs>
        <w:suppressAutoHyphens/>
        <w:spacing w:line="360" w:lineRule="auto"/>
      </w:pPr>
      <w:r>
        <w:tab/>
      </w:r>
      <w:r>
        <w:tab/>
        <w:t xml:space="preserve">While PGW’s Preliminary Objections will be granted with respect to the billing issues raised in the Complaint, PGW’s Motion to Strike the Complaint </w:t>
      </w:r>
      <w:r w:rsidRPr="005A580E">
        <w:rPr>
          <w:i/>
        </w:rPr>
        <w:t>in toto</w:t>
      </w:r>
      <w:r>
        <w:t xml:space="preserve"> must be denied as the facts of the claim of property damage are </w:t>
      </w:r>
      <w:r w:rsidR="00BF6AB7">
        <w:t xml:space="preserve">either unknown or are </w:t>
      </w:r>
      <w:r>
        <w:t>in dispute.</w:t>
      </w:r>
    </w:p>
    <w:p w14:paraId="544C1E6E" w14:textId="073846E5" w:rsidR="005A580E" w:rsidRDefault="005A580E" w:rsidP="009F707F">
      <w:pPr>
        <w:tabs>
          <w:tab w:val="left" w:pos="-1440"/>
          <w:tab w:val="left" w:pos="-720"/>
        </w:tabs>
        <w:suppressAutoHyphens/>
        <w:spacing w:line="360" w:lineRule="auto"/>
      </w:pPr>
    </w:p>
    <w:p w14:paraId="27594E1C" w14:textId="77777777" w:rsidR="005A580E" w:rsidRPr="005A580E" w:rsidRDefault="005A580E" w:rsidP="005A580E">
      <w:pPr>
        <w:spacing w:line="360" w:lineRule="auto"/>
        <w:rPr>
          <w:rFonts w:ascii="Times New Roman" w:eastAsiaTheme="minorHAnsi" w:hAnsi="Times New Roman" w:cs="Times New Roman"/>
        </w:rPr>
      </w:pPr>
      <w:r>
        <w:tab/>
      </w:r>
      <w:r>
        <w:tab/>
        <w:t xml:space="preserve">That being said, Complainant is advised that the Commission does not have the authority to award damages.  </w:t>
      </w:r>
      <w:r w:rsidRPr="005A580E">
        <w:rPr>
          <w:rFonts w:ascii="Times New Roman" w:eastAsiaTheme="minorHAnsi" w:hAnsi="Times New Roman" w:cs="Times New Roman"/>
        </w:rPr>
        <w:t xml:space="preserve">It is well established that the Commission does not have the authority to order a public utility to pay monetary </w:t>
      </w:r>
      <w:r w:rsidRPr="005A580E">
        <w:rPr>
          <w:rFonts w:ascii="Times New Roman" w:eastAsiaTheme="minorHAnsi" w:hAnsi="Times New Roman" w:cs="Times New Roman"/>
          <w:bCs/>
        </w:rPr>
        <w:t>damages.</w:t>
      </w:r>
      <w:r w:rsidRPr="005A580E">
        <w:rPr>
          <w:rFonts w:ascii="Times New Roman" w:eastAsiaTheme="minorHAnsi" w:hAnsi="Times New Roman" w:cs="Times New Roman"/>
        </w:rPr>
        <w:t xml:space="preserve"> </w:t>
      </w:r>
      <w:r w:rsidRPr="005A580E">
        <w:rPr>
          <w:rFonts w:ascii="Times New Roman" w:eastAsiaTheme="minorHAnsi" w:hAnsi="Times New Roman" w:cs="Times New Roman"/>
          <w:iCs/>
        </w:rPr>
        <w:t xml:space="preserve">See </w:t>
      </w:r>
      <w:r w:rsidRPr="005A580E">
        <w:rPr>
          <w:rFonts w:ascii="Times New Roman" w:eastAsiaTheme="minorHAnsi" w:hAnsi="Times New Roman" w:cs="Times New Roman"/>
          <w:i/>
          <w:iCs/>
        </w:rPr>
        <w:t>Byer v. Peoples Natural Gas Co.</w:t>
      </w:r>
      <w:r w:rsidRPr="005A580E">
        <w:rPr>
          <w:rFonts w:ascii="Times New Roman" w:eastAsiaTheme="minorHAnsi" w:hAnsi="Times New Roman" w:cs="Times New Roman"/>
        </w:rPr>
        <w:t xml:space="preserve">, 380 A.2d 383 (Pa. Super. 1977) (holding that the Commission does not have the authority to award </w:t>
      </w:r>
      <w:r w:rsidRPr="005A580E">
        <w:rPr>
          <w:rFonts w:ascii="Times New Roman" w:eastAsiaTheme="minorHAnsi" w:hAnsi="Times New Roman" w:cs="Times New Roman"/>
          <w:bCs/>
        </w:rPr>
        <w:t>damages)</w:t>
      </w:r>
      <w:r w:rsidRPr="005A580E">
        <w:rPr>
          <w:rFonts w:ascii="Times New Roman" w:eastAsiaTheme="minorHAnsi" w:hAnsi="Times New Roman" w:cs="Times New Roman"/>
        </w:rPr>
        <w:t xml:space="preserve">; </w:t>
      </w:r>
      <w:r w:rsidRPr="005A580E">
        <w:rPr>
          <w:rFonts w:ascii="Times New Roman" w:eastAsiaTheme="minorHAnsi" w:hAnsi="Times New Roman" w:cs="Times New Roman"/>
          <w:i/>
          <w:iCs/>
        </w:rPr>
        <w:t>Feingold v. Bell of Pennsylvania</w:t>
      </w:r>
      <w:r w:rsidRPr="005A580E">
        <w:rPr>
          <w:rFonts w:ascii="Times New Roman" w:eastAsiaTheme="minorHAnsi" w:hAnsi="Times New Roman" w:cs="Times New Roman"/>
        </w:rPr>
        <w:t xml:space="preserve">, 477 Pa. 1, 383 A.2d 791 (1977) (holding that the Commission does not have the authority to award </w:t>
      </w:r>
      <w:r w:rsidRPr="005A580E">
        <w:rPr>
          <w:rFonts w:ascii="Times New Roman" w:eastAsiaTheme="minorHAnsi" w:hAnsi="Times New Roman" w:cs="Times New Roman"/>
          <w:bCs/>
        </w:rPr>
        <w:t>damages)</w:t>
      </w:r>
      <w:r w:rsidRPr="005A580E">
        <w:rPr>
          <w:rFonts w:ascii="Times New Roman" w:eastAsiaTheme="minorHAnsi" w:hAnsi="Times New Roman" w:cs="Times New Roman"/>
        </w:rPr>
        <w:t xml:space="preserve">, </w:t>
      </w:r>
      <w:r w:rsidRPr="005A580E">
        <w:rPr>
          <w:rFonts w:ascii="Times New Roman" w:eastAsiaTheme="minorHAnsi" w:hAnsi="Times New Roman" w:cs="Times New Roman"/>
          <w:i/>
          <w:iCs/>
        </w:rPr>
        <w:t>DeFrancesco v. Western Pennsylvania Water Company</w:t>
      </w:r>
      <w:r w:rsidRPr="005A580E">
        <w:rPr>
          <w:rFonts w:ascii="Times New Roman" w:eastAsiaTheme="minorHAnsi" w:hAnsi="Times New Roman" w:cs="Times New Roman"/>
        </w:rPr>
        <w:t xml:space="preserve">, 499 Pa. 374, 453 A.2d 595 (1982); </w:t>
      </w:r>
      <w:r w:rsidRPr="005A580E">
        <w:rPr>
          <w:rFonts w:ascii="Times New Roman" w:eastAsiaTheme="minorHAnsi" w:hAnsi="Times New Roman" w:cs="Times New Roman"/>
          <w:i/>
          <w:iCs/>
        </w:rPr>
        <w:t>Elkin v. Bell of Pa.</w:t>
      </w:r>
      <w:r w:rsidRPr="005A580E">
        <w:rPr>
          <w:rFonts w:ascii="Times New Roman" w:eastAsiaTheme="minorHAnsi" w:hAnsi="Times New Roman" w:cs="Times New Roman"/>
        </w:rPr>
        <w:t>, 491 Pa. 123, 420 A.2d 371 (1980).  While a Commission Administrative Law Judge may impose a civil penalty on a utility if warranted, those funds will go to the state General Fund, not to Complainant.</w:t>
      </w:r>
    </w:p>
    <w:p w14:paraId="467355D7" w14:textId="43C13468" w:rsidR="007E0C33" w:rsidRDefault="007E0C33">
      <w:pPr>
        <w:autoSpaceDE/>
        <w:autoSpaceDN/>
        <w:spacing w:line="360" w:lineRule="auto"/>
        <w:rPr>
          <w:rFonts w:ascii="Times New Roman" w:hAnsi="Times New Roman" w:cs="Times New Roman"/>
        </w:rPr>
      </w:pPr>
    </w:p>
    <w:p w14:paraId="51B0F425" w14:textId="77777777" w:rsidR="009B3ED2" w:rsidRPr="00F6682F" w:rsidRDefault="009B3ED2" w:rsidP="00D83740">
      <w:pPr>
        <w:spacing w:line="360" w:lineRule="auto"/>
        <w:jc w:val="center"/>
        <w:rPr>
          <w:rFonts w:ascii="Times New Roman" w:hAnsi="Times New Roman" w:cs="Times New Roman"/>
          <w:u w:val="single"/>
        </w:rPr>
      </w:pPr>
      <w:r w:rsidRPr="00F6682F">
        <w:rPr>
          <w:rFonts w:ascii="Times New Roman" w:hAnsi="Times New Roman" w:cs="Times New Roman"/>
          <w:u w:val="single"/>
        </w:rPr>
        <w:t>ORDER</w:t>
      </w:r>
    </w:p>
    <w:p w14:paraId="0C92FD85" w14:textId="77777777" w:rsidR="009B3ED2" w:rsidRDefault="009B3ED2" w:rsidP="00D83740">
      <w:pPr>
        <w:spacing w:line="360" w:lineRule="auto"/>
        <w:rPr>
          <w:rFonts w:ascii="Times New Roman" w:hAnsi="Times New Roman" w:cs="Times New Roman"/>
        </w:rPr>
      </w:pPr>
    </w:p>
    <w:p w14:paraId="7E149521" w14:textId="77777777" w:rsidR="00F6682F" w:rsidRPr="00D83740" w:rsidRDefault="00F6682F" w:rsidP="00D83740">
      <w:pPr>
        <w:spacing w:line="360" w:lineRule="auto"/>
        <w:rPr>
          <w:rFonts w:ascii="Times New Roman" w:hAnsi="Times New Roman" w:cs="Times New Roman"/>
        </w:rPr>
      </w:pPr>
    </w:p>
    <w:p w14:paraId="76AA0D91" w14:textId="77777777" w:rsidR="009B3ED2" w:rsidRPr="00D83740" w:rsidRDefault="009B3ED2" w:rsidP="00D83740">
      <w:pPr>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t>THEREFORE,</w:t>
      </w:r>
    </w:p>
    <w:p w14:paraId="74D77A2B" w14:textId="77777777" w:rsidR="009B3ED2" w:rsidRPr="00D83740" w:rsidRDefault="009B3ED2" w:rsidP="00D83740">
      <w:pPr>
        <w:spacing w:line="360" w:lineRule="auto"/>
        <w:rPr>
          <w:rFonts w:ascii="Times New Roman" w:hAnsi="Times New Roman" w:cs="Times New Roman"/>
        </w:rPr>
      </w:pPr>
    </w:p>
    <w:p w14:paraId="0976C5A0" w14:textId="77777777" w:rsidR="009B3ED2" w:rsidRPr="00D83740" w:rsidRDefault="009B3ED2" w:rsidP="00D83740">
      <w:pPr>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t>IT IS ORDERED:</w:t>
      </w:r>
    </w:p>
    <w:p w14:paraId="2C88444C" w14:textId="77777777" w:rsidR="009B3ED2" w:rsidRPr="00D83740" w:rsidRDefault="009B3ED2" w:rsidP="00D83740">
      <w:pPr>
        <w:spacing w:line="360" w:lineRule="auto"/>
        <w:rPr>
          <w:rFonts w:ascii="Times New Roman" w:hAnsi="Times New Roman" w:cs="Times New Roman"/>
        </w:rPr>
      </w:pPr>
    </w:p>
    <w:p w14:paraId="796F1EAE" w14:textId="64DE5710" w:rsidR="00643DF2" w:rsidRDefault="009B3ED2" w:rsidP="00D83740">
      <w:pPr>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t>1.</w:t>
      </w:r>
      <w:r w:rsidRPr="00D83740">
        <w:rPr>
          <w:rFonts w:ascii="Times New Roman" w:hAnsi="Times New Roman" w:cs="Times New Roman"/>
        </w:rPr>
        <w:tab/>
      </w:r>
      <w:r w:rsidR="00643DF2">
        <w:rPr>
          <w:rFonts w:ascii="Times New Roman" w:hAnsi="Times New Roman" w:cs="Times New Roman"/>
        </w:rPr>
        <w:t>That the Preliminary Objection</w:t>
      </w:r>
      <w:r w:rsidR="0069251B">
        <w:rPr>
          <w:rFonts w:ascii="Times New Roman" w:hAnsi="Times New Roman" w:cs="Times New Roman"/>
        </w:rPr>
        <w:t>s</w:t>
      </w:r>
      <w:r w:rsidR="00446DB8">
        <w:rPr>
          <w:rFonts w:ascii="Times New Roman" w:hAnsi="Times New Roman" w:cs="Times New Roman"/>
        </w:rPr>
        <w:t xml:space="preserve"> </w:t>
      </w:r>
      <w:r w:rsidR="00643DF2">
        <w:rPr>
          <w:rFonts w:ascii="Times New Roman" w:hAnsi="Times New Roman" w:cs="Times New Roman"/>
        </w:rPr>
        <w:t xml:space="preserve">of the Philadelphia Gas Works </w:t>
      </w:r>
      <w:r w:rsidR="00631B9B">
        <w:rPr>
          <w:rFonts w:ascii="Times New Roman" w:hAnsi="Times New Roman" w:cs="Times New Roman"/>
        </w:rPr>
        <w:t xml:space="preserve">filed </w:t>
      </w:r>
      <w:r w:rsidR="002E238B">
        <w:rPr>
          <w:rFonts w:ascii="Times New Roman" w:hAnsi="Times New Roman" w:cs="Times New Roman"/>
        </w:rPr>
        <w:t>at Docket No. F-2019-3007120 are sustained</w:t>
      </w:r>
      <w:r w:rsidR="005A580E">
        <w:rPr>
          <w:rFonts w:ascii="Times New Roman" w:hAnsi="Times New Roman" w:cs="Times New Roman"/>
        </w:rPr>
        <w:t>, in part, and all allegations with respect to improper billing set forth in the Complaint are hereby stricken</w:t>
      </w:r>
      <w:r w:rsidR="002E238B">
        <w:rPr>
          <w:rFonts w:ascii="Times New Roman" w:hAnsi="Times New Roman" w:cs="Times New Roman"/>
        </w:rPr>
        <w:t>.</w:t>
      </w:r>
    </w:p>
    <w:p w14:paraId="0956FFBE" w14:textId="77777777" w:rsidR="00643DF2" w:rsidRDefault="00643DF2" w:rsidP="00D83740">
      <w:pPr>
        <w:spacing w:line="360" w:lineRule="auto"/>
        <w:rPr>
          <w:rFonts w:ascii="Times New Roman" w:hAnsi="Times New Roman" w:cs="Times New Roman"/>
        </w:rPr>
      </w:pPr>
    </w:p>
    <w:p w14:paraId="02B0E1CB" w14:textId="23EFFC62" w:rsidR="009B3ED2" w:rsidRPr="00D83740" w:rsidRDefault="002E238B" w:rsidP="00D837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sidR="009B3ED2" w:rsidRPr="00D83740">
        <w:rPr>
          <w:rFonts w:ascii="Times New Roman" w:hAnsi="Times New Roman" w:cs="Times New Roman"/>
        </w:rPr>
        <w:t xml:space="preserve">That the </w:t>
      </w:r>
      <w:r w:rsidR="005A580E">
        <w:rPr>
          <w:rFonts w:ascii="Times New Roman" w:hAnsi="Times New Roman" w:cs="Times New Roman"/>
        </w:rPr>
        <w:t xml:space="preserve">justiciable issues in the </w:t>
      </w:r>
      <w:r w:rsidR="00631B9B">
        <w:rPr>
          <w:rFonts w:ascii="Times New Roman" w:hAnsi="Times New Roman" w:cs="Times New Roman"/>
        </w:rPr>
        <w:t xml:space="preserve">formal </w:t>
      </w:r>
      <w:r w:rsidR="009B3ED2" w:rsidRPr="00D83740">
        <w:rPr>
          <w:rFonts w:ascii="Times New Roman" w:hAnsi="Times New Roman" w:cs="Times New Roman"/>
        </w:rPr>
        <w:t xml:space="preserve">Complaint filed by </w:t>
      </w:r>
      <w:r w:rsidR="00643DF2">
        <w:rPr>
          <w:rFonts w:ascii="Times New Roman" w:hAnsi="Times New Roman" w:cs="Times New Roman"/>
        </w:rPr>
        <w:t xml:space="preserve">Titus Wright </w:t>
      </w:r>
      <w:r w:rsidR="009B3ED2" w:rsidRPr="00D83740">
        <w:rPr>
          <w:rFonts w:ascii="Times New Roman" w:hAnsi="Times New Roman" w:cs="Times New Roman"/>
        </w:rPr>
        <w:t xml:space="preserve">at </w:t>
      </w:r>
      <w:bookmarkStart w:id="15" w:name="_Hlk7617286"/>
      <w:r w:rsidR="009B3ED2" w:rsidRPr="00D83740">
        <w:rPr>
          <w:rFonts w:ascii="Times New Roman" w:hAnsi="Times New Roman" w:cs="Times New Roman"/>
        </w:rPr>
        <w:t>Docket No.</w:t>
      </w:r>
      <w:r w:rsidR="00CE16D0" w:rsidRPr="00D83740">
        <w:rPr>
          <w:rFonts w:ascii="Times New Roman" w:hAnsi="Times New Roman" w:cs="Times New Roman"/>
        </w:rPr>
        <w:t xml:space="preserve"> </w:t>
      </w:r>
      <w:r w:rsidR="00643DF2">
        <w:rPr>
          <w:rFonts w:ascii="Times New Roman" w:hAnsi="Times New Roman" w:cs="Times New Roman"/>
        </w:rPr>
        <w:t>F</w:t>
      </w:r>
      <w:r w:rsidR="00CE16D0" w:rsidRPr="00D83740">
        <w:rPr>
          <w:rFonts w:ascii="Times New Roman" w:hAnsi="Times New Roman" w:cs="Times New Roman"/>
        </w:rPr>
        <w:t>-201</w:t>
      </w:r>
      <w:r w:rsidR="00643DF2">
        <w:rPr>
          <w:rFonts w:ascii="Times New Roman" w:hAnsi="Times New Roman" w:cs="Times New Roman"/>
        </w:rPr>
        <w:t>9</w:t>
      </w:r>
      <w:r w:rsidR="00CE16D0" w:rsidRPr="00D83740">
        <w:rPr>
          <w:rFonts w:ascii="Times New Roman" w:hAnsi="Times New Roman" w:cs="Times New Roman"/>
        </w:rPr>
        <w:t>-</w:t>
      </w:r>
      <w:r w:rsidR="00643DF2">
        <w:rPr>
          <w:rFonts w:ascii="Times New Roman" w:hAnsi="Times New Roman" w:cs="Times New Roman"/>
        </w:rPr>
        <w:t>3007120</w:t>
      </w:r>
      <w:r w:rsidR="009B3ED2" w:rsidRPr="00D83740">
        <w:rPr>
          <w:rFonts w:ascii="Times New Roman" w:hAnsi="Times New Roman" w:cs="Times New Roman"/>
        </w:rPr>
        <w:t xml:space="preserve"> </w:t>
      </w:r>
      <w:bookmarkEnd w:id="15"/>
      <w:r w:rsidR="005A580E">
        <w:rPr>
          <w:rFonts w:ascii="Times New Roman" w:hAnsi="Times New Roman" w:cs="Times New Roman"/>
        </w:rPr>
        <w:t>are limited to the allegation of property damage.</w:t>
      </w:r>
    </w:p>
    <w:p w14:paraId="56D2D57A" w14:textId="77777777" w:rsidR="009B3ED2" w:rsidRPr="00D83740" w:rsidRDefault="009B3ED2" w:rsidP="00D83740">
      <w:pPr>
        <w:spacing w:line="360" w:lineRule="auto"/>
        <w:rPr>
          <w:rFonts w:ascii="Times New Roman" w:hAnsi="Times New Roman" w:cs="Times New Roman"/>
        </w:rPr>
      </w:pPr>
    </w:p>
    <w:p w14:paraId="71549405" w14:textId="1F9D2976" w:rsidR="009B3ED2" w:rsidRPr="00D83740" w:rsidRDefault="009B3ED2" w:rsidP="00D83740">
      <w:pPr>
        <w:spacing w:line="360" w:lineRule="auto"/>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002E238B">
        <w:rPr>
          <w:rFonts w:ascii="Times New Roman" w:hAnsi="Times New Roman" w:cs="Times New Roman"/>
        </w:rPr>
        <w:t>3</w:t>
      </w:r>
      <w:r w:rsidRPr="00D83740">
        <w:rPr>
          <w:rFonts w:ascii="Times New Roman" w:hAnsi="Times New Roman" w:cs="Times New Roman"/>
        </w:rPr>
        <w:t>.</w:t>
      </w:r>
      <w:r w:rsidRPr="00D83740">
        <w:rPr>
          <w:rFonts w:ascii="Times New Roman" w:hAnsi="Times New Roman" w:cs="Times New Roman"/>
        </w:rPr>
        <w:tab/>
        <w:t xml:space="preserve"> That</w:t>
      </w:r>
      <w:r w:rsidR="008E349D">
        <w:rPr>
          <w:rFonts w:ascii="Times New Roman" w:hAnsi="Times New Roman" w:cs="Times New Roman"/>
        </w:rPr>
        <w:t xml:space="preserve"> </w:t>
      </w:r>
      <w:r w:rsidR="005A580E">
        <w:rPr>
          <w:rFonts w:ascii="Times New Roman" w:hAnsi="Times New Roman" w:cs="Times New Roman"/>
        </w:rPr>
        <w:t xml:space="preserve">an evidentiary hearing will be scheduled with respect to the </w:t>
      </w:r>
      <w:r w:rsidR="00725433">
        <w:rPr>
          <w:rFonts w:ascii="Times New Roman" w:hAnsi="Times New Roman" w:cs="Times New Roman"/>
        </w:rPr>
        <w:t xml:space="preserve">allegation of property damage raised in the Complaint at </w:t>
      </w:r>
      <w:r w:rsidR="00725433" w:rsidRPr="00725433">
        <w:rPr>
          <w:rFonts w:ascii="Times New Roman" w:hAnsi="Times New Roman" w:cs="Times New Roman"/>
        </w:rPr>
        <w:t>Docket No. F-2019-3007120</w:t>
      </w:r>
      <w:r w:rsidR="00725433">
        <w:rPr>
          <w:rFonts w:ascii="Times New Roman" w:hAnsi="Times New Roman" w:cs="Times New Roman"/>
        </w:rPr>
        <w:t>.</w:t>
      </w:r>
    </w:p>
    <w:p w14:paraId="54BF6778" w14:textId="77777777" w:rsidR="009B3ED2" w:rsidRPr="00D83740" w:rsidRDefault="009B3ED2" w:rsidP="00D83740">
      <w:pPr>
        <w:suppressAutoHyphens/>
        <w:spacing w:line="360" w:lineRule="auto"/>
        <w:rPr>
          <w:rFonts w:ascii="Times New Roman" w:hAnsi="Times New Roman" w:cs="Times New Roman"/>
        </w:rPr>
      </w:pPr>
    </w:p>
    <w:p w14:paraId="4DF156E9" w14:textId="77777777" w:rsidR="00EA18C0" w:rsidRPr="00D83740" w:rsidRDefault="00EA18C0" w:rsidP="00D83740">
      <w:pPr>
        <w:spacing w:line="360" w:lineRule="auto"/>
        <w:ind w:firstLine="1440"/>
        <w:rPr>
          <w:rFonts w:ascii="Times New Roman" w:hAnsi="Times New Roman" w:cs="Times New Roman"/>
        </w:rPr>
      </w:pPr>
    </w:p>
    <w:p w14:paraId="3EA00D33" w14:textId="2C6F6A71" w:rsidR="007B5858" w:rsidRPr="00F76701" w:rsidRDefault="007B5858" w:rsidP="00D83740">
      <w:pPr>
        <w:widowControl w:val="0"/>
        <w:rPr>
          <w:rFonts w:ascii="Times New Roman" w:hAnsi="Times New Roman" w:cs="Times New Roman"/>
          <w:u w:val="single"/>
        </w:rPr>
      </w:pPr>
      <w:r w:rsidRPr="00D83740">
        <w:rPr>
          <w:rFonts w:ascii="Times New Roman" w:hAnsi="Times New Roman" w:cs="Times New Roman"/>
        </w:rPr>
        <w:t xml:space="preserve">Date:  </w:t>
      </w:r>
      <w:r w:rsidR="00725433">
        <w:rPr>
          <w:rFonts w:ascii="Times New Roman" w:hAnsi="Times New Roman" w:cs="Times New Roman"/>
          <w:u w:val="single"/>
        </w:rPr>
        <w:t>May 2</w:t>
      </w:r>
      <w:r w:rsidR="00257079" w:rsidRPr="00D83740">
        <w:rPr>
          <w:rFonts w:ascii="Times New Roman" w:hAnsi="Times New Roman" w:cs="Times New Roman"/>
          <w:u w:val="single"/>
        </w:rPr>
        <w:t>, 201</w:t>
      </w:r>
      <w:r w:rsidR="002E238B">
        <w:rPr>
          <w:rFonts w:ascii="Times New Roman" w:hAnsi="Times New Roman" w:cs="Times New Roman"/>
          <w:u w:val="single"/>
        </w:rPr>
        <w:t>9</w:t>
      </w:r>
      <w:r w:rsidR="008E349D">
        <w:rPr>
          <w:rFonts w:ascii="Times New Roman" w:hAnsi="Times New Roman" w:cs="Times New Roman"/>
        </w:rPr>
        <w:tab/>
      </w:r>
      <w:r w:rsidRPr="00D83740">
        <w:rPr>
          <w:rFonts w:ascii="Times New Roman" w:hAnsi="Times New Roman" w:cs="Times New Roman"/>
        </w:rPr>
        <w:tab/>
      </w:r>
      <w:r w:rsidR="00F0347B" w:rsidRPr="00D83740">
        <w:rPr>
          <w:rFonts w:ascii="Times New Roman" w:hAnsi="Times New Roman" w:cs="Times New Roman"/>
        </w:rPr>
        <w:tab/>
      </w:r>
      <w:r w:rsidRPr="00D83740">
        <w:rPr>
          <w:rFonts w:ascii="Times New Roman" w:hAnsi="Times New Roman" w:cs="Times New Roman"/>
        </w:rPr>
        <w:tab/>
      </w:r>
      <w:r w:rsidR="00721CF5" w:rsidRPr="00D83740">
        <w:rPr>
          <w:rFonts w:ascii="Times New Roman" w:hAnsi="Times New Roman" w:cs="Times New Roman"/>
        </w:rPr>
        <w:t xml:space="preserve">        </w:t>
      </w:r>
      <w:r w:rsidR="00721CF5" w:rsidRPr="00D83740">
        <w:rPr>
          <w:rFonts w:ascii="Times New Roman" w:hAnsi="Times New Roman" w:cs="Times New Roman"/>
        </w:rPr>
        <w:tab/>
      </w:r>
      <w:r w:rsidR="00F76701">
        <w:rPr>
          <w:rFonts w:ascii="Times New Roman" w:hAnsi="Times New Roman" w:cs="Times New Roman"/>
          <w:u w:val="single"/>
        </w:rPr>
        <w:tab/>
      </w:r>
      <w:r w:rsidR="00F76701">
        <w:rPr>
          <w:rFonts w:ascii="Times New Roman" w:hAnsi="Times New Roman" w:cs="Times New Roman"/>
          <w:u w:val="single"/>
        </w:rPr>
        <w:tab/>
      </w:r>
      <w:r w:rsidR="00F76701">
        <w:rPr>
          <w:rFonts w:ascii="Times New Roman" w:hAnsi="Times New Roman" w:cs="Times New Roman"/>
          <w:u w:val="single"/>
        </w:rPr>
        <w:tab/>
      </w:r>
      <w:r w:rsidR="00F76701">
        <w:rPr>
          <w:rFonts w:ascii="Times New Roman" w:hAnsi="Times New Roman" w:cs="Times New Roman"/>
          <w:u w:val="single"/>
        </w:rPr>
        <w:tab/>
      </w:r>
    </w:p>
    <w:p w14:paraId="1D272E3A" w14:textId="77777777" w:rsidR="007B5858" w:rsidRPr="00D83740" w:rsidRDefault="00721CF5" w:rsidP="00D83740">
      <w:pPr>
        <w:widowControl w:val="0"/>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007B5858" w:rsidRPr="00D83740">
        <w:rPr>
          <w:rFonts w:ascii="Times New Roman" w:hAnsi="Times New Roman" w:cs="Times New Roman"/>
        </w:rPr>
        <w:t>Dennis J. Buckley</w:t>
      </w:r>
    </w:p>
    <w:p w14:paraId="76387098" w14:textId="77777777" w:rsidR="005C00D2" w:rsidRDefault="007B5858" w:rsidP="00D83740">
      <w:pPr>
        <w:widowControl w:val="0"/>
        <w:rPr>
          <w:rFonts w:ascii="Times New Roman" w:hAnsi="Times New Roman" w:cs="Times New Roman"/>
        </w:rPr>
        <w:sectPr w:rsidR="005C00D2" w:rsidSect="005C00D2">
          <w:footerReference w:type="even" r:id="rId7"/>
          <w:footerReference w:type="default" r:id="rId8"/>
          <w:pgSz w:w="12240" w:h="15840" w:code="1"/>
          <w:pgMar w:top="1296" w:right="1440" w:bottom="1296" w:left="1440" w:header="720" w:footer="720" w:gutter="0"/>
          <w:cols w:space="720"/>
          <w:noEndnote/>
          <w:titlePg/>
          <w:docGrid w:linePitch="326"/>
        </w:sect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t>Administ</w:t>
      </w:r>
      <w:bookmarkStart w:id="16" w:name="_GoBack"/>
      <w:bookmarkEnd w:id="16"/>
      <w:r w:rsidRPr="00D83740">
        <w:rPr>
          <w:rFonts w:ascii="Times New Roman" w:hAnsi="Times New Roman" w:cs="Times New Roman"/>
        </w:rPr>
        <w:t>rative Law Judge</w:t>
      </w:r>
      <w:r w:rsidR="005C00D2">
        <w:rPr>
          <w:rFonts w:ascii="Times New Roman" w:hAnsi="Times New Roman" w:cs="Times New Roman"/>
        </w:rPr>
        <w:tab/>
      </w:r>
      <w:r w:rsidR="005C00D2">
        <w:rPr>
          <w:rFonts w:ascii="Times New Roman" w:hAnsi="Times New Roman" w:cs="Times New Roman"/>
        </w:rPr>
        <w:tab/>
      </w:r>
    </w:p>
    <w:p w14:paraId="65139591" w14:textId="77777777" w:rsidR="005C00D2" w:rsidRDefault="005C00D2" w:rsidP="005C00D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F-2019-3007120 - TITUS WRIGHT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7" w:name="_Hlk7765104"/>
      <w:r>
        <w:rPr>
          <w:rFonts w:ascii="Microsoft Sans Serif" w:eastAsia="Microsoft Sans Serif" w:hAnsi="Microsoft Sans Serif" w:cs="Microsoft Sans Serif"/>
        </w:rPr>
        <w:t>TITUS WRIGHT</w:t>
      </w:r>
      <w:r>
        <w:rPr>
          <w:rFonts w:ascii="Microsoft Sans Serif" w:eastAsia="Microsoft Sans Serif" w:hAnsi="Microsoft Sans Serif" w:cs="Microsoft Sans Serif"/>
        </w:rPr>
        <w:cr/>
        <w:t>907 BRIDGE STREET</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bookmarkEnd w:id="17"/>
      <w:r w:rsidRPr="00C13B4B">
        <w:rPr>
          <w:rFonts w:ascii="Microsoft Sans Serif" w:eastAsia="Microsoft Sans Serif" w:hAnsi="Microsoft Sans Serif" w:cs="Microsoft Sans Serif"/>
          <w:b/>
        </w:rPr>
        <w:t>267.333.7570</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13B4B">
        <w:rPr>
          <w:rFonts w:ascii="Microsoft Sans Serif" w:eastAsia="Microsoft Sans Serif" w:hAnsi="Microsoft Sans Serif" w:cs="Microsoft Sans Serif"/>
          <w:b/>
        </w:rPr>
        <w:t>215.684.6164</w:t>
      </w:r>
      <w:r w:rsidRPr="00C13B4B">
        <w:rPr>
          <w:rFonts w:ascii="Microsoft Sans Serif" w:eastAsia="Microsoft Sans Serif" w:hAnsi="Microsoft Sans Serif" w:cs="Microsoft Sans Serif"/>
          <w:b/>
        </w:rPr>
        <w:cr/>
      </w:r>
      <w:r w:rsidRPr="00C13B4B">
        <w:rPr>
          <w:rFonts w:ascii="Microsoft Sans Serif" w:eastAsia="Microsoft Sans Serif" w:hAnsi="Microsoft Sans Serif" w:cs="Microsoft Sans Serif"/>
          <w:b/>
          <w:i/>
        </w:rPr>
        <w:t>Accepts eService</w:t>
      </w:r>
    </w:p>
    <w:p w14:paraId="3B5DCA58" w14:textId="77777777" w:rsidR="005C00D2" w:rsidRDefault="005C00D2" w:rsidP="005C00D2"/>
    <w:p w14:paraId="182876AD" w14:textId="77777777" w:rsidR="005C00D2" w:rsidRDefault="005C00D2" w:rsidP="005C00D2"/>
    <w:p w14:paraId="0325329A" w14:textId="1E27C189" w:rsidR="00DC01E9" w:rsidRPr="00D83740" w:rsidRDefault="00DC01E9" w:rsidP="00D83740">
      <w:pPr>
        <w:widowControl w:val="0"/>
        <w:rPr>
          <w:rFonts w:ascii="Times New Roman" w:hAnsi="Times New Roman" w:cs="Times New Roman"/>
          <w:spacing w:val="-3"/>
        </w:rPr>
      </w:pPr>
    </w:p>
    <w:sectPr w:rsidR="00DC01E9" w:rsidRPr="00D837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75430" w14:textId="77777777" w:rsidR="00711E46" w:rsidRDefault="00711E46" w:rsidP="00045EE4">
      <w:r>
        <w:separator/>
      </w:r>
    </w:p>
  </w:endnote>
  <w:endnote w:type="continuationSeparator" w:id="0">
    <w:p w14:paraId="6467CEF2" w14:textId="77777777" w:rsidR="00711E46" w:rsidRDefault="00711E46"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9187" w14:textId="77777777" w:rsidR="00EA18C0" w:rsidRDefault="0093561D" w:rsidP="00EA18C0">
    <w:pPr>
      <w:pStyle w:val="Footer"/>
      <w:framePr w:wrap="around" w:vAnchor="text" w:hAnchor="margin" w:xAlign="center" w:y="1"/>
      <w:rPr>
        <w:rStyle w:val="PageNumber"/>
      </w:rPr>
    </w:pPr>
    <w:r>
      <w:rPr>
        <w:rStyle w:val="PageNumber"/>
      </w:rPr>
      <w:fldChar w:fldCharType="begin"/>
    </w:r>
    <w:r w:rsidR="00EA18C0">
      <w:rPr>
        <w:rStyle w:val="PageNumber"/>
      </w:rPr>
      <w:instrText xml:space="preserve">PAGE  </w:instrText>
    </w:r>
    <w:r>
      <w:rPr>
        <w:rStyle w:val="PageNumber"/>
      </w:rPr>
      <w:fldChar w:fldCharType="end"/>
    </w:r>
  </w:p>
  <w:p w14:paraId="737EEA7E" w14:textId="77777777" w:rsidR="00EA18C0" w:rsidRDefault="00EA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B202" w14:textId="77777777" w:rsidR="00EA18C0" w:rsidRPr="005C00D2" w:rsidRDefault="0093561D" w:rsidP="00EA18C0">
    <w:pPr>
      <w:pStyle w:val="Footer"/>
      <w:framePr w:wrap="around" w:vAnchor="text" w:hAnchor="margin" w:xAlign="center" w:y="1"/>
      <w:rPr>
        <w:rStyle w:val="PageNumber"/>
        <w:rFonts w:ascii="Times New Roman" w:hAnsi="Times New Roman" w:cs="Times New Roman"/>
        <w:sz w:val="20"/>
        <w:szCs w:val="20"/>
      </w:rPr>
    </w:pPr>
    <w:r w:rsidRPr="005C00D2">
      <w:rPr>
        <w:rStyle w:val="PageNumber"/>
        <w:rFonts w:ascii="Times New Roman" w:hAnsi="Times New Roman" w:cs="Times New Roman"/>
        <w:sz w:val="20"/>
        <w:szCs w:val="20"/>
      </w:rPr>
      <w:fldChar w:fldCharType="begin"/>
    </w:r>
    <w:r w:rsidR="00EA18C0" w:rsidRPr="005C00D2">
      <w:rPr>
        <w:rStyle w:val="PageNumber"/>
        <w:rFonts w:ascii="Times New Roman" w:hAnsi="Times New Roman" w:cs="Times New Roman"/>
        <w:sz w:val="20"/>
        <w:szCs w:val="20"/>
      </w:rPr>
      <w:instrText xml:space="preserve">PAGE  </w:instrText>
    </w:r>
    <w:r w:rsidRPr="005C00D2">
      <w:rPr>
        <w:rStyle w:val="PageNumber"/>
        <w:rFonts w:ascii="Times New Roman" w:hAnsi="Times New Roman" w:cs="Times New Roman"/>
        <w:sz w:val="20"/>
        <w:szCs w:val="20"/>
      </w:rPr>
      <w:fldChar w:fldCharType="separate"/>
    </w:r>
    <w:r w:rsidR="00E2119A" w:rsidRPr="005C00D2">
      <w:rPr>
        <w:rStyle w:val="PageNumber"/>
        <w:rFonts w:ascii="Times New Roman" w:hAnsi="Times New Roman" w:cs="Times New Roman"/>
        <w:noProof/>
        <w:sz w:val="20"/>
        <w:szCs w:val="20"/>
      </w:rPr>
      <w:t>12</w:t>
    </w:r>
    <w:r w:rsidRPr="005C00D2">
      <w:rPr>
        <w:rStyle w:val="PageNumber"/>
        <w:rFonts w:ascii="Times New Roman" w:hAnsi="Times New Roman" w:cs="Times New Roman"/>
        <w:sz w:val="20"/>
        <w:szCs w:val="20"/>
      </w:rPr>
      <w:fldChar w:fldCharType="end"/>
    </w:r>
  </w:p>
  <w:p w14:paraId="6E40ACAC" w14:textId="77777777" w:rsidR="00EA18C0" w:rsidRDefault="00EA18C0">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3F1E" w14:textId="77777777" w:rsidR="005C00D2" w:rsidRDefault="005C00D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23F5" w14:textId="77777777" w:rsidR="00711E46" w:rsidRDefault="00711E46" w:rsidP="00045EE4">
      <w:r>
        <w:separator/>
      </w:r>
    </w:p>
  </w:footnote>
  <w:footnote w:type="continuationSeparator" w:id="0">
    <w:p w14:paraId="6DCA81C0" w14:textId="77777777" w:rsidR="00711E46" w:rsidRDefault="00711E46" w:rsidP="00045EE4">
      <w:r>
        <w:continuationSeparator/>
      </w:r>
    </w:p>
  </w:footnote>
  <w:footnote w:id="1">
    <w:p w14:paraId="6708D33F" w14:textId="11CA972B" w:rsidR="00737C23" w:rsidRDefault="00737C23">
      <w:pPr>
        <w:pStyle w:val="FootnoteText"/>
      </w:pPr>
      <w:r>
        <w:rPr>
          <w:rStyle w:val="FootnoteReference"/>
        </w:rPr>
        <w:footnoteRef/>
      </w:r>
      <w:r>
        <w:t xml:space="preserve"> </w:t>
      </w:r>
      <w:r>
        <w:tab/>
        <w:t xml:space="preserve">I note that this Complaint is a timely filed appeal from a determination by the Commission’s Bureau of Consumer Services (BCS) at Case No. 3669706.  </w:t>
      </w:r>
      <w:r w:rsidRPr="00737C23">
        <w:t xml:space="preserve">Informal BCS decisions are "determinations" whereas the result of a Formal Complaint is termed a "decision." In addition, informal BCS determinations are governed primarily by Sections 3.111 to 3.113, 52 Pa. Code §§ 3.111, </w:t>
      </w:r>
      <w:r w:rsidRPr="005B2D05">
        <w:rPr>
          <w:i/>
        </w:rPr>
        <w:t>et seq</w:t>
      </w:r>
      <w:r w:rsidRPr="00737C23">
        <w:t xml:space="preserve">., whereas Formal Complaints are governed by Chapter 5, 52 Pa. Code, 5.1 </w:t>
      </w:r>
      <w:r w:rsidRPr="005B2D05">
        <w:rPr>
          <w:i/>
        </w:rPr>
        <w:t>et seq</w:t>
      </w:r>
      <w:r w:rsidRPr="00737C23">
        <w:t xml:space="preserve">.   </w:t>
      </w:r>
    </w:p>
  </w:footnote>
  <w:footnote w:id="2">
    <w:p w14:paraId="3FB5D022" w14:textId="0D68AF34" w:rsidR="0011643A" w:rsidRDefault="0011643A">
      <w:pPr>
        <w:pStyle w:val="FootnoteText"/>
      </w:pPr>
      <w:r>
        <w:rPr>
          <w:rStyle w:val="FootnoteReference"/>
        </w:rPr>
        <w:footnoteRef/>
      </w:r>
      <w:r>
        <w:t xml:space="preserve"> </w:t>
      </w:r>
      <w:r>
        <w:tab/>
      </w:r>
      <w:r w:rsidRPr="0011643A">
        <w:t>PGW stated that Complainant joined in the request for continuance, but Complainant subsequently denied this in an exchange of emails with counsel for PGW on April 30, 2019, copied to me.  This disagreement has no bearing on the merits of this case.</w:t>
      </w:r>
    </w:p>
  </w:footnote>
  <w:footnote w:id="3">
    <w:p w14:paraId="081DA2E8" w14:textId="77777777" w:rsidR="00A62508" w:rsidRDefault="00A62508" w:rsidP="00A62508">
      <w:pPr>
        <w:pStyle w:val="FootnoteText"/>
      </w:pPr>
      <w:r>
        <w:rPr>
          <w:rStyle w:val="FootnoteReference"/>
        </w:rPr>
        <w:footnoteRef/>
      </w:r>
      <w:r>
        <w:t xml:space="preserve"> </w:t>
      </w:r>
      <w:r>
        <w:tab/>
        <w:t>PGW did not provide copies of any of these documents with its filing; however, a review of the Commission’s records at the dockets cited reveals that PGW is correct in its statements relative to the underlying facts and history of the present case.</w:t>
      </w:r>
    </w:p>
    <w:p w14:paraId="73FF4218" w14:textId="77777777" w:rsidR="00A62508" w:rsidRDefault="00A62508" w:rsidP="00A62508">
      <w:pPr>
        <w:pStyle w:val="FootnoteText"/>
      </w:pPr>
    </w:p>
  </w:footnote>
  <w:footnote w:id="4">
    <w:p w14:paraId="77261547" w14:textId="1605B27F" w:rsidR="005A5165" w:rsidRDefault="005A5165">
      <w:pPr>
        <w:pStyle w:val="FootnoteText"/>
      </w:pPr>
      <w:r>
        <w:rPr>
          <w:rStyle w:val="FootnoteReference"/>
        </w:rPr>
        <w:footnoteRef/>
      </w:r>
      <w:r>
        <w:t xml:space="preserve"> </w:t>
      </w:r>
      <w:r>
        <w:tab/>
        <w:t xml:space="preserve">Contentions </w:t>
      </w:r>
      <w:r w:rsidR="00172236">
        <w:t xml:space="preserve">relative to the cancellation of the hearing of April 26, 2019 </w:t>
      </w:r>
      <w:r>
        <w:t>raised in Complainant’s April 25, 2019 fax were addressed in a separate Order issued April 26,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BD"/>
    <w:rsid w:val="00000648"/>
    <w:rsid w:val="00004044"/>
    <w:rsid w:val="0000470F"/>
    <w:rsid w:val="000051DD"/>
    <w:rsid w:val="0000587C"/>
    <w:rsid w:val="000058E0"/>
    <w:rsid w:val="000068D5"/>
    <w:rsid w:val="00006E6D"/>
    <w:rsid w:val="0000768E"/>
    <w:rsid w:val="00007C08"/>
    <w:rsid w:val="000115F2"/>
    <w:rsid w:val="00014304"/>
    <w:rsid w:val="00014CD8"/>
    <w:rsid w:val="00016B73"/>
    <w:rsid w:val="000174C3"/>
    <w:rsid w:val="00021EA0"/>
    <w:rsid w:val="00021ECB"/>
    <w:rsid w:val="00022505"/>
    <w:rsid w:val="00025668"/>
    <w:rsid w:val="0002592A"/>
    <w:rsid w:val="00026445"/>
    <w:rsid w:val="00026710"/>
    <w:rsid w:val="00027A04"/>
    <w:rsid w:val="00031DFE"/>
    <w:rsid w:val="000326DC"/>
    <w:rsid w:val="000336F2"/>
    <w:rsid w:val="0003399E"/>
    <w:rsid w:val="000353F1"/>
    <w:rsid w:val="000365D3"/>
    <w:rsid w:val="00036D5D"/>
    <w:rsid w:val="000376F9"/>
    <w:rsid w:val="000403CD"/>
    <w:rsid w:val="000407AC"/>
    <w:rsid w:val="0004176F"/>
    <w:rsid w:val="0004263E"/>
    <w:rsid w:val="00044F65"/>
    <w:rsid w:val="00045EE4"/>
    <w:rsid w:val="00047698"/>
    <w:rsid w:val="0005066D"/>
    <w:rsid w:val="0005071B"/>
    <w:rsid w:val="00050E0C"/>
    <w:rsid w:val="0005286E"/>
    <w:rsid w:val="00052E66"/>
    <w:rsid w:val="000551BD"/>
    <w:rsid w:val="000609B6"/>
    <w:rsid w:val="00060EA0"/>
    <w:rsid w:val="00061364"/>
    <w:rsid w:val="00065299"/>
    <w:rsid w:val="0006608A"/>
    <w:rsid w:val="000673AB"/>
    <w:rsid w:val="0006750E"/>
    <w:rsid w:val="000700AB"/>
    <w:rsid w:val="000709DB"/>
    <w:rsid w:val="000725BE"/>
    <w:rsid w:val="00074140"/>
    <w:rsid w:val="00075E7E"/>
    <w:rsid w:val="0007713B"/>
    <w:rsid w:val="00077BC2"/>
    <w:rsid w:val="00086351"/>
    <w:rsid w:val="00087B73"/>
    <w:rsid w:val="0009147B"/>
    <w:rsid w:val="00092F06"/>
    <w:rsid w:val="000943BE"/>
    <w:rsid w:val="000952F9"/>
    <w:rsid w:val="000964CC"/>
    <w:rsid w:val="000974B4"/>
    <w:rsid w:val="000977CD"/>
    <w:rsid w:val="00097A4C"/>
    <w:rsid w:val="000A18DD"/>
    <w:rsid w:val="000A3309"/>
    <w:rsid w:val="000A4939"/>
    <w:rsid w:val="000A5469"/>
    <w:rsid w:val="000A6A85"/>
    <w:rsid w:val="000A725A"/>
    <w:rsid w:val="000A7953"/>
    <w:rsid w:val="000B0143"/>
    <w:rsid w:val="000B0A10"/>
    <w:rsid w:val="000B3AB8"/>
    <w:rsid w:val="000B3BA5"/>
    <w:rsid w:val="000B6C5B"/>
    <w:rsid w:val="000B77FB"/>
    <w:rsid w:val="000C0C90"/>
    <w:rsid w:val="000C13F0"/>
    <w:rsid w:val="000C3889"/>
    <w:rsid w:val="000C3DF7"/>
    <w:rsid w:val="000C67B7"/>
    <w:rsid w:val="000C723E"/>
    <w:rsid w:val="000C7890"/>
    <w:rsid w:val="000D06AC"/>
    <w:rsid w:val="000D2496"/>
    <w:rsid w:val="000D32F0"/>
    <w:rsid w:val="000D4D9A"/>
    <w:rsid w:val="000D4F59"/>
    <w:rsid w:val="000D4FF3"/>
    <w:rsid w:val="000D531A"/>
    <w:rsid w:val="000D5FFC"/>
    <w:rsid w:val="000E1D21"/>
    <w:rsid w:val="000E2AC8"/>
    <w:rsid w:val="000E45E1"/>
    <w:rsid w:val="000E4E90"/>
    <w:rsid w:val="000F2893"/>
    <w:rsid w:val="000F31BB"/>
    <w:rsid w:val="000F3452"/>
    <w:rsid w:val="000F4004"/>
    <w:rsid w:val="000F4FA9"/>
    <w:rsid w:val="00100125"/>
    <w:rsid w:val="001010B6"/>
    <w:rsid w:val="00101EE2"/>
    <w:rsid w:val="001030D4"/>
    <w:rsid w:val="0010634F"/>
    <w:rsid w:val="00106C5A"/>
    <w:rsid w:val="00106DB7"/>
    <w:rsid w:val="00110C5C"/>
    <w:rsid w:val="00111240"/>
    <w:rsid w:val="00113394"/>
    <w:rsid w:val="001150BA"/>
    <w:rsid w:val="00115EE3"/>
    <w:rsid w:val="0011643A"/>
    <w:rsid w:val="00117645"/>
    <w:rsid w:val="00117BD8"/>
    <w:rsid w:val="00117CF3"/>
    <w:rsid w:val="00117D59"/>
    <w:rsid w:val="001218FC"/>
    <w:rsid w:val="00122110"/>
    <w:rsid w:val="0012407C"/>
    <w:rsid w:val="001265C7"/>
    <w:rsid w:val="001268C6"/>
    <w:rsid w:val="001272C9"/>
    <w:rsid w:val="00132793"/>
    <w:rsid w:val="001332E9"/>
    <w:rsid w:val="001346EB"/>
    <w:rsid w:val="001347FF"/>
    <w:rsid w:val="00137568"/>
    <w:rsid w:val="00143A3C"/>
    <w:rsid w:val="00143C40"/>
    <w:rsid w:val="00151955"/>
    <w:rsid w:val="00151B4A"/>
    <w:rsid w:val="00152189"/>
    <w:rsid w:val="0015487D"/>
    <w:rsid w:val="00155FE0"/>
    <w:rsid w:val="001563DF"/>
    <w:rsid w:val="00157015"/>
    <w:rsid w:val="00157BD9"/>
    <w:rsid w:val="00161335"/>
    <w:rsid w:val="00162D6F"/>
    <w:rsid w:val="00164A37"/>
    <w:rsid w:val="00165011"/>
    <w:rsid w:val="001655E0"/>
    <w:rsid w:val="00170604"/>
    <w:rsid w:val="00170B11"/>
    <w:rsid w:val="00171293"/>
    <w:rsid w:val="00171C38"/>
    <w:rsid w:val="00172236"/>
    <w:rsid w:val="001732D6"/>
    <w:rsid w:val="00173A2C"/>
    <w:rsid w:val="001755C7"/>
    <w:rsid w:val="001757DC"/>
    <w:rsid w:val="00177B7D"/>
    <w:rsid w:val="00180659"/>
    <w:rsid w:val="00180890"/>
    <w:rsid w:val="00180ABB"/>
    <w:rsid w:val="00180C37"/>
    <w:rsid w:val="001875C7"/>
    <w:rsid w:val="00187979"/>
    <w:rsid w:val="001930A0"/>
    <w:rsid w:val="00194558"/>
    <w:rsid w:val="00194DDD"/>
    <w:rsid w:val="0019705E"/>
    <w:rsid w:val="0019717E"/>
    <w:rsid w:val="001A0B2C"/>
    <w:rsid w:val="001A0B60"/>
    <w:rsid w:val="001A137F"/>
    <w:rsid w:val="001A205B"/>
    <w:rsid w:val="001A5BDD"/>
    <w:rsid w:val="001A5FBA"/>
    <w:rsid w:val="001A64CC"/>
    <w:rsid w:val="001A79DB"/>
    <w:rsid w:val="001B2E09"/>
    <w:rsid w:val="001B3717"/>
    <w:rsid w:val="001B707A"/>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1CB"/>
    <w:rsid w:val="001D6380"/>
    <w:rsid w:val="001D6EBF"/>
    <w:rsid w:val="001E1CA9"/>
    <w:rsid w:val="001E2102"/>
    <w:rsid w:val="001E36F0"/>
    <w:rsid w:val="001E3BED"/>
    <w:rsid w:val="001E44CD"/>
    <w:rsid w:val="001E5F8C"/>
    <w:rsid w:val="001E60B4"/>
    <w:rsid w:val="001F0CC2"/>
    <w:rsid w:val="001F0E9E"/>
    <w:rsid w:val="001F2281"/>
    <w:rsid w:val="001F51F6"/>
    <w:rsid w:val="001F5ABE"/>
    <w:rsid w:val="001F69E2"/>
    <w:rsid w:val="001F7B90"/>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6D"/>
    <w:rsid w:val="00233590"/>
    <w:rsid w:val="002344E9"/>
    <w:rsid w:val="00243C4D"/>
    <w:rsid w:val="00244FA8"/>
    <w:rsid w:val="002458A2"/>
    <w:rsid w:val="002513A3"/>
    <w:rsid w:val="00252589"/>
    <w:rsid w:val="00253036"/>
    <w:rsid w:val="00254E65"/>
    <w:rsid w:val="002565A4"/>
    <w:rsid w:val="00257079"/>
    <w:rsid w:val="002575D1"/>
    <w:rsid w:val="00257C84"/>
    <w:rsid w:val="002601AE"/>
    <w:rsid w:val="00261086"/>
    <w:rsid w:val="00261A96"/>
    <w:rsid w:val="00265FEE"/>
    <w:rsid w:val="00266B22"/>
    <w:rsid w:val="00266BC3"/>
    <w:rsid w:val="00267864"/>
    <w:rsid w:val="00270A0F"/>
    <w:rsid w:val="00270C80"/>
    <w:rsid w:val="00272399"/>
    <w:rsid w:val="00272E22"/>
    <w:rsid w:val="00273927"/>
    <w:rsid w:val="00274D2A"/>
    <w:rsid w:val="00280D4C"/>
    <w:rsid w:val="00281519"/>
    <w:rsid w:val="00282B12"/>
    <w:rsid w:val="00282D4F"/>
    <w:rsid w:val="00284E81"/>
    <w:rsid w:val="00286372"/>
    <w:rsid w:val="00287E74"/>
    <w:rsid w:val="00293441"/>
    <w:rsid w:val="0029693B"/>
    <w:rsid w:val="002A2E7D"/>
    <w:rsid w:val="002A3298"/>
    <w:rsid w:val="002A53D2"/>
    <w:rsid w:val="002B0AAB"/>
    <w:rsid w:val="002B0F8B"/>
    <w:rsid w:val="002B2928"/>
    <w:rsid w:val="002B5699"/>
    <w:rsid w:val="002C06D9"/>
    <w:rsid w:val="002C0E42"/>
    <w:rsid w:val="002C1188"/>
    <w:rsid w:val="002C18A6"/>
    <w:rsid w:val="002C2238"/>
    <w:rsid w:val="002C422B"/>
    <w:rsid w:val="002C44A4"/>
    <w:rsid w:val="002D007C"/>
    <w:rsid w:val="002D1165"/>
    <w:rsid w:val="002D1358"/>
    <w:rsid w:val="002D2C75"/>
    <w:rsid w:val="002D3A5E"/>
    <w:rsid w:val="002E10FB"/>
    <w:rsid w:val="002E1741"/>
    <w:rsid w:val="002E238B"/>
    <w:rsid w:val="002E2732"/>
    <w:rsid w:val="002E2EAD"/>
    <w:rsid w:val="002E32AF"/>
    <w:rsid w:val="002E39CD"/>
    <w:rsid w:val="002E3BEE"/>
    <w:rsid w:val="002E6905"/>
    <w:rsid w:val="002E6D1D"/>
    <w:rsid w:val="002F213B"/>
    <w:rsid w:val="002F4B78"/>
    <w:rsid w:val="002F5241"/>
    <w:rsid w:val="002F5FEE"/>
    <w:rsid w:val="002F66F8"/>
    <w:rsid w:val="003008BF"/>
    <w:rsid w:val="00300ADA"/>
    <w:rsid w:val="00301F01"/>
    <w:rsid w:val="003029F5"/>
    <w:rsid w:val="003038CC"/>
    <w:rsid w:val="00305E20"/>
    <w:rsid w:val="00306F18"/>
    <w:rsid w:val="00307285"/>
    <w:rsid w:val="003107D8"/>
    <w:rsid w:val="0031235C"/>
    <w:rsid w:val="00313180"/>
    <w:rsid w:val="00313ABC"/>
    <w:rsid w:val="00316451"/>
    <w:rsid w:val="00320B24"/>
    <w:rsid w:val="00321BB7"/>
    <w:rsid w:val="003248BC"/>
    <w:rsid w:val="003255F4"/>
    <w:rsid w:val="00325A42"/>
    <w:rsid w:val="003262CF"/>
    <w:rsid w:val="003265E4"/>
    <w:rsid w:val="00330E4F"/>
    <w:rsid w:val="00336A58"/>
    <w:rsid w:val="00337261"/>
    <w:rsid w:val="003379C3"/>
    <w:rsid w:val="00337AC8"/>
    <w:rsid w:val="00342A67"/>
    <w:rsid w:val="003436C3"/>
    <w:rsid w:val="00344769"/>
    <w:rsid w:val="00350C1F"/>
    <w:rsid w:val="00354C10"/>
    <w:rsid w:val="00355E63"/>
    <w:rsid w:val="00360EC5"/>
    <w:rsid w:val="0036395F"/>
    <w:rsid w:val="003642FA"/>
    <w:rsid w:val="00365F06"/>
    <w:rsid w:val="00366E3E"/>
    <w:rsid w:val="003675FF"/>
    <w:rsid w:val="003702D0"/>
    <w:rsid w:val="00371F3B"/>
    <w:rsid w:val="003720B7"/>
    <w:rsid w:val="0037239B"/>
    <w:rsid w:val="00372982"/>
    <w:rsid w:val="00374670"/>
    <w:rsid w:val="00375EEF"/>
    <w:rsid w:val="003766E1"/>
    <w:rsid w:val="00376E16"/>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68C7"/>
    <w:rsid w:val="003B7CD5"/>
    <w:rsid w:val="003C5913"/>
    <w:rsid w:val="003D2703"/>
    <w:rsid w:val="003D29AA"/>
    <w:rsid w:val="003D4361"/>
    <w:rsid w:val="003D45D8"/>
    <w:rsid w:val="003D467D"/>
    <w:rsid w:val="003D7CC8"/>
    <w:rsid w:val="003D7E0F"/>
    <w:rsid w:val="003E587F"/>
    <w:rsid w:val="003E63F0"/>
    <w:rsid w:val="003E6D82"/>
    <w:rsid w:val="003E728F"/>
    <w:rsid w:val="003E744E"/>
    <w:rsid w:val="003E782B"/>
    <w:rsid w:val="003F0638"/>
    <w:rsid w:val="003F17CD"/>
    <w:rsid w:val="003F3DD9"/>
    <w:rsid w:val="003F6B18"/>
    <w:rsid w:val="003F6ED1"/>
    <w:rsid w:val="00400067"/>
    <w:rsid w:val="00401091"/>
    <w:rsid w:val="004032D2"/>
    <w:rsid w:val="004044CD"/>
    <w:rsid w:val="00405AAF"/>
    <w:rsid w:val="00405FDB"/>
    <w:rsid w:val="00406223"/>
    <w:rsid w:val="00406525"/>
    <w:rsid w:val="00407644"/>
    <w:rsid w:val="00407E07"/>
    <w:rsid w:val="00412CE2"/>
    <w:rsid w:val="00414098"/>
    <w:rsid w:val="00422E20"/>
    <w:rsid w:val="00423119"/>
    <w:rsid w:val="004251AB"/>
    <w:rsid w:val="0042593C"/>
    <w:rsid w:val="00425A4A"/>
    <w:rsid w:val="00426CB2"/>
    <w:rsid w:val="004279C9"/>
    <w:rsid w:val="00431E02"/>
    <w:rsid w:val="004337C3"/>
    <w:rsid w:val="0043400C"/>
    <w:rsid w:val="004364A8"/>
    <w:rsid w:val="00437530"/>
    <w:rsid w:val="00437681"/>
    <w:rsid w:val="004400EC"/>
    <w:rsid w:val="00441644"/>
    <w:rsid w:val="004430B2"/>
    <w:rsid w:val="00444BB5"/>
    <w:rsid w:val="00446DB8"/>
    <w:rsid w:val="00447FAF"/>
    <w:rsid w:val="00453473"/>
    <w:rsid w:val="00457AB5"/>
    <w:rsid w:val="00460B7B"/>
    <w:rsid w:val="00463726"/>
    <w:rsid w:val="004654C9"/>
    <w:rsid w:val="00465C27"/>
    <w:rsid w:val="00465EA6"/>
    <w:rsid w:val="004661BE"/>
    <w:rsid w:val="004714BC"/>
    <w:rsid w:val="00473AF4"/>
    <w:rsid w:val="00476978"/>
    <w:rsid w:val="00476D04"/>
    <w:rsid w:val="00480006"/>
    <w:rsid w:val="00480BE5"/>
    <w:rsid w:val="00480CA9"/>
    <w:rsid w:val="004820EC"/>
    <w:rsid w:val="0048451E"/>
    <w:rsid w:val="00485D8E"/>
    <w:rsid w:val="00487F3B"/>
    <w:rsid w:val="00490ECB"/>
    <w:rsid w:val="0049487C"/>
    <w:rsid w:val="00495B6F"/>
    <w:rsid w:val="0049606F"/>
    <w:rsid w:val="004A02E2"/>
    <w:rsid w:val="004A0A46"/>
    <w:rsid w:val="004A1860"/>
    <w:rsid w:val="004A3846"/>
    <w:rsid w:val="004A3FAA"/>
    <w:rsid w:val="004A5D8A"/>
    <w:rsid w:val="004A6296"/>
    <w:rsid w:val="004A6CF8"/>
    <w:rsid w:val="004A6DFB"/>
    <w:rsid w:val="004B06B7"/>
    <w:rsid w:val="004B1844"/>
    <w:rsid w:val="004B203D"/>
    <w:rsid w:val="004B6203"/>
    <w:rsid w:val="004B7E91"/>
    <w:rsid w:val="004C0D74"/>
    <w:rsid w:val="004C0DA3"/>
    <w:rsid w:val="004C1E1B"/>
    <w:rsid w:val="004C1F88"/>
    <w:rsid w:val="004C2FC6"/>
    <w:rsid w:val="004C306B"/>
    <w:rsid w:val="004C3B86"/>
    <w:rsid w:val="004C41CA"/>
    <w:rsid w:val="004C58BF"/>
    <w:rsid w:val="004C6B90"/>
    <w:rsid w:val="004C739B"/>
    <w:rsid w:val="004C7F9C"/>
    <w:rsid w:val="004D04F3"/>
    <w:rsid w:val="004D090D"/>
    <w:rsid w:val="004D1F16"/>
    <w:rsid w:val="004D4799"/>
    <w:rsid w:val="004D4824"/>
    <w:rsid w:val="004D722E"/>
    <w:rsid w:val="004E05A5"/>
    <w:rsid w:val="004E1A77"/>
    <w:rsid w:val="004E4266"/>
    <w:rsid w:val="004E5676"/>
    <w:rsid w:val="004E5860"/>
    <w:rsid w:val="004E5C0C"/>
    <w:rsid w:val="004E5DE6"/>
    <w:rsid w:val="004E64EF"/>
    <w:rsid w:val="004E71E1"/>
    <w:rsid w:val="004F0DA6"/>
    <w:rsid w:val="004F23F9"/>
    <w:rsid w:val="004F6103"/>
    <w:rsid w:val="004F664D"/>
    <w:rsid w:val="005014DB"/>
    <w:rsid w:val="005027A7"/>
    <w:rsid w:val="00502C8A"/>
    <w:rsid w:val="00502E0A"/>
    <w:rsid w:val="00503610"/>
    <w:rsid w:val="00504B56"/>
    <w:rsid w:val="00507335"/>
    <w:rsid w:val="00511247"/>
    <w:rsid w:val="00511A8D"/>
    <w:rsid w:val="005121F7"/>
    <w:rsid w:val="00512246"/>
    <w:rsid w:val="00513C41"/>
    <w:rsid w:val="00514B6B"/>
    <w:rsid w:val="005156AE"/>
    <w:rsid w:val="00517374"/>
    <w:rsid w:val="00517DB4"/>
    <w:rsid w:val="005218EC"/>
    <w:rsid w:val="0052238D"/>
    <w:rsid w:val="00523F29"/>
    <w:rsid w:val="0052406C"/>
    <w:rsid w:val="00526E4B"/>
    <w:rsid w:val="00527F8C"/>
    <w:rsid w:val="0053051A"/>
    <w:rsid w:val="0053276B"/>
    <w:rsid w:val="00534487"/>
    <w:rsid w:val="0053562C"/>
    <w:rsid w:val="00537F8E"/>
    <w:rsid w:val="00542B75"/>
    <w:rsid w:val="00542DB1"/>
    <w:rsid w:val="005443F7"/>
    <w:rsid w:val="0054442F"/>
    <w:rsid w:val="00544DE9"/>
    <w:rsid w:val="005504F4"/>
    <w:rsid w:val="00550922"/>
    <w:rsid w:val="00551212"/>
    <w:rsid w:val="0055128E"/>
    <w:rsid w:val="00552F47"/>
    <w:rsid w:val="00554011"/>
    <w:rsid w:val="005549CC"/>
    <w:rsid w:val="005559B7"/>
    <w:rsid w:val="00555D0E"/>
    <w:rsid w:val="0055685C"/>
    <w:rsid w:val="0055785E"/>
    <w:rsid w:val="00557EF4"/>
    <w:rsid w:val="00560968"/>
    <w:rsid w:val="005609C7"/>
    <w:rsid w:val="005617F1"/>
    <w:rsid w:val="00562172"/>
    <w:rsid w:val="00562232"/>
    <w:rsid w:val="00562482"/>
    <w:rsid w:val="0056347D"/>
    <w:rsid w:val="00564F59"/>
    <w:rsid w:val="0056511D"/>
    <w:rsid w:val="00570821"/>
    <w:rsid w:val="00570AE7"/>
    <w:rsid w:val="00574E88"/>
    <w:rsid w:val="00574F21"/>
    <w:rsid w:val="00575775"/>
    <w:rsid w:val="00575852"/>
    <w:rsid w:val="00575A09"/>
    <w:rsid w:val="00580413"/>
    <w:rsid w:val="005806B1"/>
    <w:rsid w:val="005812A3"/>
    <w:rsid w:val="00581A9F"/>
    <w:rsid w:val="00583280"/>
    <w:rsid w:val="00592F9A"/>
    <w:rsid w:val="005955ED"/>
    <w:rsid w:val="005956BA"/>
    <w:rsid w:val="00597EC2"/>
    <w:rsid w:val="005A18BA"/>
    <w:rsid w:val="005A1BB4"/>
    <w:rsid w:val="005A2592"/>
    <w:rsid w:val="005A3661"/>
    <w:rsid w:val="005A5165"/>
    <w:rsid w:val="005A580E"/>
    <w:rsid w:val="005A7951"/>
    <w:rsid w:val="005A7EFA"/>
    <w:rsid w:val="005B14C1"/>
    <w:rsid w:val="005B25FD"/>
    <w:rsid w:val="005B2D05"/>
    <w:rsid w:val="005B362C"/>
    <w:rsid w:val="005B5432"/>
    <w:rsid w:val="005B58EC"/>
    <w:rsid w:val="005B62CD"/>
    <w:rsid w:val="005B63DC"/>
    <w:rsid w:val="005B6BC3"/>
    <w:rsid w:val="005B7367"/>
    <w:rsid w:val="005B7E31"/>
    <w:rsid w:val="005C00D2"/>
    <w:rsid w:val="005C1BF9"/>
    <w:rsid w:val="005C24F4"/>
    <w:rsid w:val="005C2B9D"/>
    <w:rsid w:val="005C3F7D"/>
    <w:rsid w:val="005D1F19"/>
    <w:rsid w:val="005D2899"/>
    <w:rsid w:val="005D4601"/>
    <w:rsid w:val="005D4834"/>
    <w:rsid w:val="005D48BC"/>
    <w:rsid w:val="005E2A4A"/>
    <w:rsid w:val="005E2B4B"/>
    <w:rsid w:val="005E2C25"/>
    <w:rsid w:val="005E44B5"/>
    <w:rsid w:val="005E4580"/>
    <w:rsid w:val="005E4BCA"/>
    <w:rsid w:val="005E50A6"/>
    <w:rsid w:val="005E625F"/>
    <w:rsid w:val="005F0758"/>
    <w:rsid w:val="005F1C0D"/>
    <w:rsid w:val="005F2467"/>
    <w:rsid w:val="005F3C15"/>
    <w:rsid w:val="005F51F2"/>
    <w:rsid w:val="005F620A"/>
    <w:rsid w:val="005F68F2"/>
    <w:rsid w:val="005F6C3F"/>
    <w:rsid w:val="005F6FA6"/>
    <w:rsid w:val="005F7FC5"/>
    <w:rsid w:val="0060127D"/>
    <w:rsid w:val="00601EF7"/>
    <w:rsid w:val="00605A4A"/>
    <w:rsid w:val="00607D96"/>
    <w:rsid w:val="00614B80"/>
    <w:rsid w:val="0061548E"/>
    <w:rsid w:val="006168F4"/>
    <w:rsid w:val="006201B3"/>
    <w:rsid w:val="00620DB6"/>
    <w:rsid w:val="0062137E"/>
    <w:rsid w:val="00621416"/>
    <w:rsid w:val="00621777"/>
    <w:rsid w:val="00621A13"/>
    <w:rsid w:val="00622947"/>
    <w:rsid w:val="00624702"/>
    <w:rsid w:val="00625112"/>
    <w:rsid w:val="00625A25"/>
    <w:rsid w:val="00626866"/>
    <w:rsid w:val="006269A3"/>
    <w:rsid w:val="00626B0C"/>
    <w:rsid w:val="00626F31"/>
    <w:rsid w:val="00631B9B"/>
    <w:rsid w:val="00632D59"/>
    <w:rsid w:val="00637294"/>
    <w:rsid w:val="00637C00"/>
    <w:rsid w:val="00637CFE"/>
    <w:rsid w:val="00640B4C"/>
    <w:rsid w:val="006429DC"/>
    <w:rsid w:val="00642F45"/>
    <w:rsid w:val="00643DF2"/>
    <w:rsid w:val="006456EA"/>
    <w:rsid w:val="0064676B"/>
    <w:rsid w:val="00647152"/>
    <w:rsid w:val="00650312"/>
    <w:rsid w:val="00651DFD"/>
    <w:rsid w:val="006525B9"/>
    <w:rsid w:val="00653729"/>
    <w:rsid w:val="0065470B"/>
    <w:rsid w:val="00654A58"/>
    <w:rsid w:val="00655C45"/>
    <w:rsid w:val="00660167"/>
    <w:rsid w:val="006613A7"/>
    <w:rsid w:val="006614A9"/>
    <w:rsid w:val="00661CC7"/>
    <w:rsid w:val="00661FF5"/>
    <w:rsid w:val="00662676"/>
    <w:rsid w:val="00664C73"/>
    <w:rsid w:val="00671EEC"/>
    <w:rsid w:val="0067478C"/>
    <w:rsid w:val="0067697D"/>
    <w:rsid w:val="006770BC"/>
    <w:rsid w:val="00683549"/>
    <w:rsid w:val="0069106E"/>
    <w:rsid w:val="006911DE"/>
    <w:rsid w:val="0069251B"/>
    <w:rsid w:val="006933F1"/>
    <w:rsid w:val="0069371C"/>
    <w:rsid w:val="00695945"/>
    <w:rsid w:val="00696066"/>
    <w:rsid w:val="00696DAB"/>
    <w:rsid w:val="00697B9A"/>
    <w:rsid w:val="006A1C2A"/>
    <w:rsid w:val="006A305D"/>
    <w:rsid w:val="006A41CF"/>
    <w:rsid w:val="006A605E"/>
    <w:rsid w:val="006A60C2"/>
    <w:rsid w:val="006A6E97"/>
    <w:rsid w:val="006A764F"/>
    <w:rsid w:val="006A7C78"/>
    <w:rsid w:val="006B0E42"/>
    <w:rsid w:val="006B17E3"/>
    <w:rsid w:val="006B2851"/>
    <w:rsid w:val="006B2B42"/>
    <w:rsid w:val="006B3FE8"/>
    <w:rsid w:val="006B57B3"/>
    <w:rsid w:val="006B5C09"/>
    <w:rsid w:val="006B6844"/>
    <w:rsid w:val="006C05B0"/>
    <w:rsid w:val="006C1226"/>
    <w:rsid w:val="006C251B"/>
    <w:rsid w:val="006C2A5E"/>
    <w:rsid w:val="006C2D49"/>
    <w:rsid w:val="006C3780"/>
    <w:rsid w:val="006C3857"/>
    <w:rsid w:val="006C3EE5"/>
    <w:rsid w:val="006C5463"/>
    <w:rsid w:val="006C5E0E"/>
    <w:rsid w:val="006C63D9"/>
    <w:rsid w:val="006C66B1"/>
    <w:rsid w:val="006C723D"/>
    <w:rsid w:val="006D04ED"/>
    <w:rsid w:val="006D1329"/>
    <w:rsid w:val="006E0897"/>
    <w:rsid w:val="006E1393"/>
    <w:rsid w:val="006E34E6"/>
    <w:rsid w:val="006E3AE0"/>
    <w:rsid w:val="006E5A07"/>
    <w:rsid w:val="006E6966"/>
    <w:rsid w:val="006F3B1F"/>
    <w:rsid w:val="006F3B6C"/>
    <w:rsid w:val="006F4DC9"/>
    <w:rsid w:val="006F5B5B"/>
    <w:rsid w:val="006F7B81"/>
    <w:rsid w:val="006F7D9C"/>
    <w:rsid w:val="00700748"/>
    <w:rsid w:val="00702183"/>
    <w:rsid w:val="00703173"/>
    <w:rsid w:val="00706A95"/>
    <w:rsid w:val="00707FB4"/>
    <w:rsid w:val="00710400"/>
    <w:rsid w:val="00711E46"/>
    <w:rsid w:val="00714DBB"/>
    <w:rsid w:val="007160EF"/>
    <w:rsid w:val="00720669"/>
    <w:rsid w:val="00721CF5"/>
    <w:rsid w:val="00722842"/>
    <w:rsid w:val="007228DD"/>
    <w:rsid w:val="0072360D"/>
    <w:rsid w:val="00723AC1"/>
    <w:rsid w:val="00725433"/>
    <w:rsid w:val="00726E67"/>
    <w:rsid w:val="00727516"/>
    <w:rsid w:val="00730E66"/>
    <w:rsid w:val="00732BD0"/>
    <w:rsid w:val="00733AE0"/>
    <w:rsid w:val="00734C69"/>
    <w:rsid w:val="00734D04"/>
    <w:rsid w:val="0073583A"/>
    <w:rsid w:val="007362DE"/>
    <w:rsid w:val="00736C99"/>
    <w:rsid w:val="00737203"/>
    <w:rsid w:val="00737C23"/>
    <w:rsid w:val="00737DB1"/>
    <w:rsid w:val="00740FBA"/>
    <w:rsid w:val="0074256E"/>
    <w:rsid w:val="00743E9D"/>
    <w:rsid w:val="00751D6E"/>
    <w:rsid w:val="00752DB8"/>
    <w:rsid w:val="00755762"/>
    <w:rsid w:val="00760497"/>
    <w:rsid w:val="00760EA0"/>
    <w:rsid w:val="00762D04"/>
    <w:rsid w:val="00763FBC"/>
    <w:rsid w:val="007651A8"/>
    <w:rsid w:val="00765252"/>
    <w:rsid w:val="00765B5E"/>
    <w:rsid w:val="00766B46"/>
    <w:rsid w:val="00766B9B"/>
    <w:rsid w:val="007716F6"/>
    <w:rsid w:val="007728B2"/>
    <w:rsid w:val="0077736D"/>
    <w:rsid w:val="00780161"/>
    <w:rsid w:val="0078375F"/>
    <w:rsid w:val="00783B18"/>
    <w:rsid w:val="007852D4"/>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B5957"/>
    <w:rsid w:val="007C0595"/>
    <w:rsid w:val="007C0749"/>
    <w:rsid w:val="007C08BD"/>
    <w:rsid w:val="007C1BCB"/>
    <w:rsid w:val="007C2489"/>
    <w:rsid w:val="007C2D9C"/>
    <w:rsid w:val="007C3F2F"/>
    <w:rsid w:val="007C64A2"/>
    <w:rsid w:val="007C64EF"/>
    <w:rsid w:val="007C6582"/>
    <w:rsid w:val="007D47F8"/>
    <w:rsid w:val="007D504E"/>
    <w:rsid w:val="007D62EA"/>
    <w:rsid w:val="007D7343"/>
    <w:rsid w:val="007D791A"/>
    <w:rsid w:val="007D7E0C"/>
    <w:rsid w:val="007E0C33"/>
    <w:rsid w:val="007E2075"/>
    <w:rsid w:val="007E465A"/>
    <w:rsid w:val="007E554B"/>
    <w:rsid w:val="007F1A66"/>
    <w:rsid w:val="007F5AA3"/>
    <w:rsid w:val="007F7136"/>
    <w:rsid w:val="007F717F"/>
    <w:rsid w:val="007F777F"/>
    <w:rsid w:val="00801944"/>
    <w:rsid w:val="0080538B"/>
    <w:rsid w:val="0080754A"/>
    <w:rsid w:val="00810E2F"/>
    <w:rsid w:val="0081362A"/>
    <w:rsid w:val="00813C93"/>
    <w:rsid w:val="0081435B"/>
    <w:rsid w:val="00815C9A"/>
    <w:rsid w:val="00816C35"/>
    <w:rsid w:val="00816DDF"/>
    <w:rsid w:val="00817CFC"/>
    <w:rsid w:val="00817E31"/>
    <w:rsid w:val="0082035A"/>
    <w:rsid w:val="0082047B"/>
    <w:rsid w:val="00821C33"/>
    <w:rsid w:val="00822357"/>
    <w:rsid w:val="0082266C"/>
    <w:rsid w:val="008249E3"/>
    <w:rsid w:val="0082570E"/>
    <w:rsid w:val="00826A56"/>
    <w:rsid w:val="008273EB"/>
    <w:rsid w:val="00830D8D"/>
    <w:rsid w:val="008324B4"/>
    <w:rsid w:val="00832715"/>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065"/>
    <w:rsid w:val="00850E8C"/>
    <w:rsid w:val="008518D3"/>
    <w:rsid w:val="0085264C"/>
    <w:rsid w:val="00854777"/>
    <w:rsid w:val="008559C5"/>
    <w:rsid w:val="00856045"/>
    <w:rsid w:val="008568FB"/>
    <w:rsid w:val="0086522F"/>
    <w:rsid w:val="008652FC"/>
    <w:rsid w:val="008710F5"/>
    <w:rsid w:val="008723D2"/>
    <w:rsid w:val="008731F2"/>
    <w:rsid w:val="008741E1"/>
    <w:rsid w:val="008750BC"/>
    <w:rsid w:val="00877858"/>
    <w:rsid w:val="00882408"/>
    <w:rsid w:val="008838CC"/>
    <w:rsid w:val="00884284"/>
    <w:rsid w:val="00886423"/>
    <w:rsid w:val="008901FD"/>
    <w:rsid w:val="00890F6D"/>
    <w:rsid w:val="008931F8"/>
    <w:rsid w:val="00894BE6"/>
    <w:rsid w:val="008951DC"/>
    <w:rsid w:val="00896236"/>
    <w:rsid w:val="0089787B"/>
    <w:rsid w:val="008A23E4"/>
    <w:rsid w:val="008A25E6"/>
    <w:rsid w:val="008A2C31"/>
    <w:rsid w:val="008A3487"/>
    <w:rsid w:val="008A3C97"/>
    <w:rsid w:val="008A5DD7"/>
    <w:rsid w:val="008A712B"/>
    <w:rsid w:val="008B18B0"/>
    <w:rsid w:val="008B337F"/>
    <w:rsid w:val="008B38BF"/>
    <w:rsid w:val="008B45E6"/>
    <w:rsid w:val="008B4BD9"/>
    <w:rsid w:val="008C0B74"/>
    <w:rsid w:val="008C0BCA"/>
    <w:rsid w:val="008C13AD"/>
    <w:rsid w:val="008C1E23"/>
    <w:rsid w:val="008C2565"/>
    <w:rsid w:val="008C405A"/>
    <w:rsid w:val="008D45C9"/>
    <w:rsid w:val="008D6D66"/>
    <w:rsid w:val="008E06CB"/>
    <w:rsid w:val="008E17E0"/>
    <w:rsid w:val="008E1DB1"/>
    <w:rsid w:val="008E259F"/>
    <w:rsid w:val="008E349D"/>
    <w:rsid w:val="008E5D74"/>
    <w:rsid w:val="008E5F76"/>
    <w:rsid w:val="008E6500"/>
    <w:rsid w:val="008F3853"/>
    <w:rsid w:val="008F3974"/>
    <w:rsid w:val="008F4046"/>
    <w:rsid w:val="008F4C9A"/>
    <w:rsid w:val="008F6B64"/>
    <w:rsid w:val="008F7192"/>
    <w:rsid w:val="008F7EC3"/>
    <w:rsid w:val="0090070D"/>
    <w:rsid w:val="00900B99"/>
    <w:rsid w:val="00902165"/>
    <w:rsid w:val="009030CB"/>
    <w:rsid w:val="00907EB3"/>
    <w:rsid w:val="00910763"/>
    <w:rsid w:val="00912234"/>
    <w:rsid w:val="00913011"/>
    <w:rsid w:val="00914B64"/>
    <w:rsid w:val="009155CE"/>
    <w:rsid w:val="0091610B"/>
    <w:rsid w:val="0091705E"/>
    <w:rsid w:val="009174D6"/>
    <w:rsid w:val="0092050D"/>
    <w:rsid w:val="00920AC9"/>
    <w:rsid w:val="009210E1"/>
    <w:rsid w:val="00923CF8"/>
    <w:rsid w:val="00925925"/>
    <w:rsid w:val="009264A6"/>
    <w:rsid w:val="009269B4"/>
    <w:rsid w:val="009272F9"/>
    <w:rsid w:val="009278E9"/>
    <w:rsid w:val="009317E8"/>
    <w:rsid w:val="00933AE8"/>
    <w:rsid w:val="009346F6"/>
    <w:rsid w:val="0093561D"/>
    <w:rsid w:val="00936112"/>
    <w:rsid w:val="0093625C"/>
    <w:rsid w:val="00936C5F"/>
    <w:rsid w:val="00940605"/>
    <w:rsid w:val="009409DE"/>
    <w:rsid w:val="0094124A"/>
    <w:rsid w:val="00941EE9"/>
    <w:rsid w:val="009420E9"/>
    <w:rsid w:val="00943DBB"/>
    <w:rsid w:val="00946138"/>
    <w:rsid w:val="009475EB"/>
    <w:rsid w:val="00954642"/>
    <w:rsid w:val="0095533F"/>
    <w:rsid w:val="0095597B"/>
    <w:rsid w:val="00957424"/>
    <w:rsid w:val="009602CD"/>
    <w:rsid w:val="0096089A"/>
    <w:rsid w:val="00960C2D"/>
    <w:rsid w:val="00960ECC"/>
    <w:rsid w:val="00961274"/>
    <w:rsid w:val="0096518B"/>
    <w:rsid w:val="0096578B"/>
    <w:rsid w:val="0097402C"/>
    <w:rsid w:val="0097524B"/>
    <w:rsid w:val="009757CC"/>
    <w:rsid w:val="009763FA"/>
    <w:rsid w:val="0098076F"/>
    <w:rsid w:val="00981780"/>
    <w:rsid w:val="009837DA"/>
    <w:rsid w:val="00986FB6"/>
    <w:rsid w:val="00987057"/>
    <w:rsid w:val="0098783A"/>
    <w:rsid w:val="00990AF0"/>
    <w:rsid w:val="009913F0"/>
    <w:rsid w:val="00991789"/>
    <w:rsid w:val="0099255A"/>
    <w:rsid w:val="0099335F"/>
    <w:rsid w:val="00993621"/>
    <w:rsid w:val="009950C8"/>
    <w:rsid w:val="00996CEA"/>
    <w:rsid w:val="00997BA6"/>
    <w:rsid w:val="009A0683"/>
    <w:rsid w:val="009A2D09"/>
    <w:rsid w:val="009A4614"/>
    <w:rsid w:val="009A5B24"/>
    <w:rsid w:val="009A7102"/>
    <w:rsid w:val="009A733F"/>
    <w:rsid w:val="009B165B"/>
    <w:rsid w:val="009B3ED2"/>
    <w:rsid w:val="009B79D2"/>
    <w:rsid w:val="009C0A0F"/>
    <w:rsid w:val="009C1478"/>
    <w:rsid w:val="009C37CB"/>
    <w:rsid w:val="009C4C1A"/>
    <w:rsid w:val="009C5618"/>
    <w:rsid w:val="009C62BF"/>
    <w:rsid w:val="009D2A06"/>
    <w:rsid w:val="009D5B2D"/>
    <w:rsid w:val="009D6FBC"/>
    <w:rsid w:val="009D715F"/>
    <w:rsid w:val="009E03EA"/>
    <w:rsid w:val="009E0DBE"/>
    <w:rsid w:val="009E323A"/>
    <w:rsid w:val="009E3C70"/>
    <w:rsid w:val="009E44FC"/>
    <w:rsid w:val="009E4B8E"/>
    <w:rsid w:val="009E6814"/>
    <w:rsid w:val="009F02D9"/>
    <w:rsid w:val="009F48D1"/>
    <w:rsid w:val="009F707F"/>
    <w:rsid w:val="00A00F70"/>
    <w:rsid w:val="00A0348C"/>
    <w:rsid w:val="00A04425"/>
    <w:rsid w:val="00A04612"/>
    <w:rsid w:val="00A04773"/>
    <w:rsid w:val="00A04ABE"/>
    <w:rsid w:val="00A05F65"/>
    <w:rsid w:val="00A061F3"/>
    <w:rsid w:val="00A07A19"/>
    <w:rsid w:val="00A10E6A"/>
    <w:rsid w:val="00A10EA2"/>
    <w:rsid w:val="00A11B09"/>
    <w:rsid w:val="00A12407"/>
    <w:rsid w:val="00A1253A"/>
    <w:rsid w:val="00A129B9"/>
    <w:rsid w:val="00A1327C"/>
    <w:rsid w:val="00A1368A"/>
    <w:rsid w:val="00A13950"/>
    <w:rsid w:val="00A159FC"/>
    <w:rsid w:val="00A20088"/>
    <w:rsid w:val="00A20FB9"/>
    <w:rsid w:val="00A213C2"/>
    <w:rsid w:val="00A22543"/>
    <w:rsid w:val="00A23313"/>
    <w:rsid w:val="00A245F1"/>
    <w:rsid w:val="00A25069"/>
    <w:rsid w:val="00A25B61"/>
    <w:rsid w:val="00A26088"/>
    <w:rsid w:val="00A26FE2"/>
    <w:rsid w:val="00A270F6"/>
    <w:rsid w:val="00A273C4"/>
    <w:rsid w:val="00A27C72"/>
    <w:rsid w:val="00A30CAB"/>
    <w:rsid w:val="00A316AB"/>
    <w:rsid w:val="00A317B1"/>
    <w:rsid w:val="00A31F96"/>
    <w:rsid w:val="00A32BDE"/>
    <w:rsid w:val="00A33E09"/>
    <w:rsid w:val="00A343CD"/>
    <w:rsid w:val="00A35243"/>
    <w:rsid w:val="00A352C6"/>
    <w:rsid w:val="00A35928"/>
    <w:rsid w:val="00A40970"/>
    <w:rsid w:val="00A42CA9"/>
    <w:rsid w:val="00A52047"/>
    <w:rsid w:val="00A52254"/>
    <w:rsid w:val="00A541E1"/>
    <w:rsid w:val="00A61658"/>
    <w:rsid w:val="00A619D6"/>
    <w:rsid w:val="00A61F8F"/>
    <w:rsid w:val="00A61FFC"/>
    <w:rsid w:val="00A62508"/>
    <w:rsid w:val="00A62992"/>
    <w:rsid w:val="00A62EF2"/>
    <w:rsid w:val="00A631B4"/>
    <w:rsid w:val="00A638A0"/>
    <w:rsid w:val="00A64780"/>
    <w:rsid w:val="00A6548B"/>
    <w:rsid w:val="00A65D4D"/>
    <w:rsid w:val="00A66306"/>
    <w:rsid w:val="00A66C37"/>
    <w:rsid w:val="00A673B9"/>
    <w:rsid w:val="00A678AC"/>
    <w:rsid w:val="00A7170B"/>
    <w:rsid w:val="00A71743"/>
    <w:rsid w:val="00A717FB"/>
    <w:rsid w:val="00A71A94"/>
    <w:rsid w:val="00A73DE0"/>
    <w:rsid w:val="00A746BE"/>
    <w:rsid w:val="00A753A3"/>
    <w:rsid w:val="00A757EF"/>
    <w:rsid w:val="00A75B1E"/>
    <w:rsid w:val="00A7797A"/>
    <w:rsid w:val="00A802C6"/>
    <w:rsid w:val="00A81658"/>
    <w:rsid w:val="00A81932"/>
    <w:rsid w:val="00A843BA"/>
    <w:rsid w:val="00A85063"/>
    <w:rsid w:val="00A86CD2"/>
    <w:rsid w:val="00A86E2C"/>
    <w:rsid w:val="00A8715C"/>
    <w:rsid w:val="00A8740D"/>
    <w:rsid w:val="00A9061C"/>
    <w:rsid w:val="00A91CF0"/>
    <w:rsid w:val="00A940B1"/>
    <w:rsid w:val="00AA01A8"/>
    <w:rsid w:val="00AA0A06"/>
    <w:rsid w:val="00AA272C"/>
    <w:rsid w:val="00AA2923"/>
    <w:rsid w:val="00AA4845"/>
    <w:rsid w:val="00AA68B7"/>
    <w:rsid w:val="00AA6C49"/>
    <w:rsid w:val="00AA7044"/>
    <w:rsid w:val="00AB0987"/>
    <w:rsid w:val="00AB2A6B"/>
    <w:rsid w:val="00AB439B"/>
    <w:rsid w:val="00AB45D6"/>
    <w:rsid w:val="00AB56F7"/>
    <w:rsid w:val="00AB5E65"/>
    <w:rsid w:val="00AC129C"/>
    <w:rsid w:val="00AC20CE"/>
    <w:rsid w:val="00AC2E98"/>
    <w:rsid w:val="00AC39F6"/>
    <w:rsid w:val="00AC492E"/>
    <w:rsid w:val="00AC5794"/>
    <w:rsid w:val="00AC6343"/>
    <w:rsid w:val="00AC6688"/>
    <w:rsid w:val="00AC68EC"/>
    <w:rsid w:val="00AC70BA"/>
    <w:rsid w:val="00AD1199"/>
    <w:rsid w:val="00AD1F6F"/>
    <w:rsid w:val="00AD2A01"/>
    <w:rsid w:val="00AD3E85"/>
    <w:rsid w:val="00AD5A0F"/>
    <w:rsid w:val="00AD704A"/>
    <w:rsid w:val="00AE2D25"/>
    <w:rsid w:val="00AE2F32"/>
    <w:rsid w:val="00AE5075"/>
    <w:rsid w:val="00AE66AF"/>
    <w:rsid w:val="00AE698E"/>
    <w:rsid w:val="00AE756B"/>
    <w:rsid w:val="00AE769A"/>
    <w:rsid w:val="00AF1946"/>
    <w:rsid w:val="00AF5B03"/>
    <w:rsid w:val="00AF70AA"/>
    <w:rsid w:val="00B0314E"/>
    <w:rsid w:val="00B03470"/>
    <w:rsid w:val="00B0470B"/>
    <w:rsid w:val="00B04A70"/>
    <w:rsid w:val="00B06007"/>
    <w:rsid w:val="00B10A1B"/>
    <w:rsid w:val="00B1198A"/>
    <w:rsid w:val="00B12B96"/>
    <w:rsid w:val="00B13C8A"/>
    <w:rsid w:val="00B1422B"/>
    <w:rsid w:val="00B1540B"/>
    <w:rsid w:val="00B16AD2"/>
    <w:rsid w:val="00B16DF7"/>
    <w:rsid w:val="00B16FE6"/>
    <w:rsid w:val="00B173B1"/>
    <w:rsid w:val="00B215A8"/>
    <w:rsid w:val="00B22D2F"/>
    <w:rsid w:val="00B23F61"/>
    <w:rsid w:val="00B249B9"/>
    <w:rsid w:val="00B25715"/>
    <w:rsid w:val="00B30DAF"/>
    <w:rsid w:val="00B31F22"/>
    <w:rsid w:val="00B32AAF"/>
    <w:rsid w:val="00B3412A"/>
    <w:rsid w:val="00B359A0"/>
    <w:rsid w:val="00B379C6"/>
    <w:rsid w:val="00B415D3"/>
    <w:rsid w:val="00B44C4E"/>
    <w:rsid w:val="00B515F1"/>
    <w:rsid w:val="00B52436"/>
    <w:rsid w:val="00B5448D"/>
    <w:rsid w:val="00B546E5"/>
    <w:rsid w:val="00B554F0"/>
    <w:rsid w:val="00B56E7D"/>
    <w:rsid w:val="00B57A54"/>
    <w:rsid w:val="00B60270"/>
    <w:rsid w:val="00B61B72"/>
    <w:rsid w:val="00B61D13"/>
    <w:rsid w:val="00B61FE3"/>
    <w:rsid w:val="00B65D85"/>
    <w:rsid w:val="00B665A3"/>
    <w:rsid w:val="00B70571"/>
    <w:rsid w:val="00B70AD5"/>
    <w:rsid w:val="00B71B9B"/>
    <w:rsid w:val="00B722E9"/>
    <w:rsid w:val="00B723F9"/>
    <w:rsid w:val="00B72D3A"/>
    <w:rsid w:val="00B73192"/>
    <w:rsid w:val="00B74F55"/>
    <w:rsid w:val="00B805FD"/>
    <w:rsid w:val="00B80C6C"/>
    <w:rsid w:val="00B81484"/>
    <w:rsid w:val="00B81C39"/>
    <w:rsid w:val="00B8287E"/>
    <w:rsid w:val="00B82E03"/>
    <w:rsid w:val="00B85474"/>
    <w:rsid w:val="00B90354"/>
    <w:rsid w:val="00B907B3"/>
    <w:rsid w:val="00B90A67"/>
    <w:rsid w:val="00B91A99"/>
    <w:rsid w:val="00B91CF0"/>
    <w:rsid w:val="00B92155"/>
    <w:rsid w:val="00B92B63"/>
    <w:rsid w:val="00BA0A2A"/>
    <w:rsid w:val="00BA16AC"/>
    <w:rsid w:val="00BA240A"/>
    <w:rsid w:val="00BA29F7"/>
    <w:rsid w:val="00BA5F89"/>
    <w:rsid w:val="00BA6BF2"/>
    <w:rsid w:val="00BA7ECF"/>
    <w:rsid w:val="00BB0352"/>
    <w:rsid w:val="00BB2147"/>
    <w:rsid w:val="00BB35AF"/>
    <w:rsid w:val="00BB3757"/>
    <w:rsid w:val="00BB4862"/>
    <w:rsid w:val="00BB5749"/>
    <w:rsid w:val="00BB5C86"/>
    <w:rsid w:val="00BC09B3"/>
    <w:rsid w:val="00BC19D4"/>
    <w:rsid w:val="00BC1A08"/>
    <w:rsid w:val="00BC2D0F"/>
    <w:rsid w:val="00BC2EB2"/>
    <w:rsid w:val="00BC414E"/>
    <w:rsid w:val="00BC58B1"/>
    <w:rsid w:val="00BC60EC"/>
    <w:rsid w:val="00BC61F4"/>
    <w:rsid w:val="00BD0278"/>
    <w:rsid w:val="00BD5AB1"/>
    <w:rsid w:val="00BD5B38"/>
    <w:rsid w:val="00BD62AE"/>
    <w:rsid w:val="00BD64F4"/>
    <w:rsid w:val="00BE05B2"/>
    <w:rsid w:val="00BE396C"/>
    <w:rsid w:val="00BE4F60"/>
    <w:rsid w:val="00BE6418"/>
    <w:rsid w:val="00BE64DA"/>
    <w:rsid w:val="00BE6501"/>
    <w:rsid w:val="00BE78BC"/>
    <w:rsid w:val="00BF1D44"/>
    <w:rsid w:val="00BF288B"/>
    <w:rsid w:val="00BF3A63"/>
    <w:rsid w:val="00BF45AB"/>
    <w:rsid w:val="00BF4BD4"/>
    <w:rsid w:val="00BF6AB7"/>
    <w:rsid w:val="00BF70B1"/>
    <w:rsid w:val="00C01CC1"/>
    <w:rsid w:val="00C02DE0"/>
    <w:rsid w:val="00C03551"/>
    <w:rsid w:val="00C0420B"/>
    <w:rsid w:val="00C0490B"/>
    <w:rsid w:val="00C07697"/>
    <w:rsid w:val="00C07BD5"/>
    <w:rsid w:val="00C07ECE"/>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67E"/>
    <w:rsid w:val="00C33CB2"/>
    <w:rsid w:val="00C34E2D"/>
    <w:rsid w:val="00C3524B"/>
    <w:rsid w:val="00C35F76"/>
    <w:rsid w:val="00C3644D"/>
    <w:rsid w:val="00C36859"/>
    <w:rsid w:val="00C36FB6"/>
    <w:rsid w:val="00C421EE"/>
    <w:rsid w:val="00C44445"/>
    <w:rsid w:val="00C44494"/>
    <w:rsid w:val="00C44520"/>
    <w:rsid w:val="00C44C5F"/>
    <w:rsid w:val="00C459B1"/>
    <w:rsid w:val="00C4622D"/>
    <w:rsid w:val="00C46B19"/>
    <w:rsid w:val="00C46E57"/>
    <w:rsid w:val="00C47D97"/>
    <w:rsid w:val="00C5442F"/>
    <w:rsid w:val="00C5450D"/>
    <w:rsid w:val="00C54CE7"/>
    <w:rsid w:val="00C54D2B"/>
    <w:rsid w:val="00C61896"/>
    <w:rsid w:val="00C62407"/>
    <w:rsid w:val="00C644B5"/>
    <w:rsid w:val="00C65C1A"/>
    <w:rsid w:val="00C6642E"/>
    <w:rsid w:val="00C70745"/>
    <w:rsid w:val="00C71246"/>
    <w:rsid w:val="00C735C0"/>
    <w:rsid w:val="00C739CA"/>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79DA"/>
    <w:rsid w:val="00C944B3"/>
    <w:rsid w:val="00C94CAC"/>
    <w:rsid w:val="00C9504E"/>
    <w:rsid w:val="00C97049"/>
    <w:rsid w:val="00C97983"/>
    <w:rsid w:val="00CA049C"/>
    <w:rsid w:val="00CA0617"/>
    <w:rsid w:val="00CA11BA"/>
    <w:rsid w:val="00CA3B2C"/>
    <w:rsid w:val="00CA4992"/>
    <w:rsid w:val="00CA5254"/>
    <w:rsid w:val="00CA6333"/>
    <w:rsid w:val="00CA6515"/>
    <w:rsid w:val="00CA697E"/>
    <w:rsid w:val="00CA773A"/>
    <w:rsid w:val="00CA77E6"/>
    <w:rsid w:val="00CB05DF"/>
    <w:rsid w:val="00CB1287"/>
    <w:rsid w:val="00CB2683"/>
    <w:rsid w:val="00CB3151"/>
    <w:rsid w:val="00CB330F"/>
    <w:rsid w:val="00CB7DA9"/>
    <w:rsid w:val="00CC124D"/>
    <w:rsid w:val="00CC222E"/>
    <w:rsid w:val="00CC6B59"/>
    <w:rsid w:val="00CC6D79"/>
    <w:rsid w:val="00CD157F"/>
    <w:rsid w:val="00CD1910"/>
    <w:rsid w:val="00CD2D69"/>
    <w:rsid w:val="00CD345F"/>
    <w:rsid w:val="00CD39FB"/>
    <w:rsid w:val="00CD63D9"/>
    <w:rsid w:val="00CD6D8A"/>
    <w:rsid w:val="00CE0045"/>
    <w:rsid w:val="00CE16D0"/>
    <w:rsid w:val="00CE3AA2"/>
    <w:rsid w:val="00CE3AF1"/>
    <w:rsid w:val="00CE4F2E"/>
    <w:rsid w:val="00CE52B0"/>
    <w:rsid w:val="00CE79BD"/>
    <w:rsid w:val="00CE7E58"/>
    <w:rsid w:val="00CF50BB"/>
    <w:rsid w:val="00CF5ADF"/>
    <w:rsid w:val="00D02853"/>
    <w:rsid w:val="00D029CB"/>
    <w:rsid w:val="00D0371C"/>
    <w:rsid w:val="00D064E8"/>
    <w:rsid w:val="00D06F30"/>
    <w:rsid w:val="00D164B4"/>
    <w:rsid w:val="00D16C19"/>
    <w:rsid w:val="00D17F66"/>
    <w:rsid w:val="00D21049"/>
    <w:rsid w:val="00D2106D"/>
    <w:rsid w:val="00D21102"/>
    <w:rsid w:val="00D2112F"/>
    <w:rsid w:val="00D2267C"/>
    <w:rsid w:val="00D2459D"/>
    <w:rsid w:val="00D2486F"/>
    <w:rsid w:val="00D24CB1"/>
    <w:rsid w:val="00D24F6E"/>
    <w:rsid w:val="00D257C2"/>
    <w:rsid w:val="00D26BFA"/>
    <w:rsid w:val="00D27042"/>
    <w:rsid w:val="00D3041B"/>
    <w:rsid w:val="00D313B3"/>
    <w:rsid w:val="00D3160E"/>
    <w:rsid w:val="00D318A9"/>
    <w:rsid w:val="00D31AF7"/>
    <w:rsid w:val="00D3204D"/>
    <w:rsid w:val="00D32F48"/>
    <w:rsid w:val="00D34ED3"/>
    <w:rsid w:val="00D356B6"/>
    <w:rsid w:val="00D35D7A"/>
    <w:rsid w:val="00D35D91"/>
    <w:rsid w:val="00D35F56"/>
    <w:rsid w:val="00D37CC1"/>
    <w:rsid w:val="00D37DE0"/>
    <w:rsid w:val="00D403E8"/>
    <w:rsid w:val="00D4127F"/>
    <w:rsid w:val="00D42211"/>
    <w:rsid w:val="00D42522"/>
    <w:rsid w:val="00D42DEB"/>
    <w:rsid w:val="00D4702C"/>
    <w:rsid w:val="00D471A1"/>
    <w:rsid w:val="00D5056E"/>
    <w:rsid w:val="00D52459"/>
    <w:rsid w:val="00D5306E"/>
    <w:rsid w:val="00D55162"/>
    <w:rsid w:val="00D556C0"/>
    <w:rsid w:val="00D55731"/>
    <w:rsid w:val="00D56D50"/>
    <w:rsid w:val="00D62B6F"/>
    <w:rsid w:val="00D63D87"/>
    <w:rsid w:val="00D657A0"/>
    <w:rsid w:val="00D65954"/>
    <w:rsid w:val="00D65A8D"/>
    <w:rsid w:val="00D65BA1"/>
    <w:rsid w:val="00D662BA"/>
    <w:rsid w:val="00D66EAE"/>
    <w:rsid w:val="00D6782D"/>
    <w:rsid w:val="00D734A6"/>
    <w:rsid w:val="00D73573"/>
    <w:rsid w:val="00D73930"/>
    <w:rsid w:val="00D74BA1"/>
    <w:rsid w:val="00D74BC2"/>
    <w:rsid w:val="00D75043"/>
    <w:rsid w:val="00D75157"/>
    <w:rsid w:val="00D80B82"/>
    <w:rsid w:val="00D817C0"/>
    <w:rsid w:val="00D83740"/>
    <w:rsid w:val="00D856F3"/>
    <w:rsid w:val="00D85A2A"/>
    <w:rsid w:val="00D8609C"/>
    <w:rsid w:val="00D912E2"/>
    <w:rsid w:val="00D9550A"/>
    <w:rsid w:val="00D972CF"/>
    <w:rsid w:val="00D97C0D"/>
    <w:rsid w:val="00DA2F8F"/>
    <w:rsid w:val="00DA79BC"/>
    <w:rsid w:val="00DB226E"/>
    <w:rsid w:val="00DB2560"/>
    <w:rsid w:val="00DB2886"/>
    <w:rsid w:val="00DB2E73"/>
    <w:rsid w:val="00DB2F85"/>
    <w:rsid w:val="00DB3399"/>
    <w:rsid w:val="00DB3CFC"/>
    <w:rsid w:val="00DB73A7"/>
    <w:rsid w:val="00DC01E9"/>
    <w:rsid w:val="00DC207B"/>
    <w:rsid w:val="00DC2296"/>
    <w:rsid w:val="00DC2B0D"/>
    <w:rsid w:val="00DC3144"/>
    <w:rsid w:val="00DC4DDD"/>
    <w:rsid w:val="00DC5482"/>
    <w:rsid w:val="00DC6DDD"/>
    <w:rsid w:val="00DD1719"/>
    <w:rsid w:val="00DD1A58"/>
    <w:rsid w:val="00DD2F2F"/>
    <w:rsid w:val="00DD3197"/>
    <w:rsid w:val="00DD4B33"/>
    <w:rsid w:val="00DD7ABD"/>
    <w:rsid w:val="00DE2F8A"/>
    <w:rsid w:val="00DE4EC8"/>
    <w:rsid w:val="00DE593C"/>
    <w:rsid w:val="00DF0FC7"/>
    <w:rsid w:val="00DF13AB"/>
    <w:rsid w:val="00DF275F"/>
    <w:rsid w:val="00DF5C12"/>
    <w:rsid w:val="00DF7748"/>
    <w:rsid w:val="00DF7776"/>
    <w:rsid w:val="00E00CFE"/>
    <w:rsid w:val="00E01E2F"/>
    <w:rsid w:val="00E020B0"/>
    <w:rsid w:val="00E038DF"/>
    <w:rsid w:val="00E0484B"/>
    <w:rsid w:val="00E05C66"/>
    <w:rsid w:val="00E07383"/>
    <w:rsid w:val="00E10DC4"/>
    <w:rsid w:val="00E10DFE"/>
    <w:rsid w:val="00E1121E"/>
    <w:rsid w:val="00E11ADC"/>
    <w:rsid w:val="00E12A47"/>
    <w:rsid w:val="00E13D33"/>
    <w:rsid w:val="00E1589F"/>
    <w:rsid w:val="00E16D6A"/>
    <w:rsid w:val="00E200FA"/>
    <w:rsid w:val="00E2119A"/>
    <w:rsid w:val="00E23625"/>
    <w:rsid w:val="00E23D46"/>
    <w:rsid w:val="00E2511F"/>
    <w:rsid w:val="00E265F6"/>
    <w:rsid w:val="00E26ED2"/>
    <w:rsid w:val="00E33726"/>
    <w:rsid w:val="00E33BAD"/>
    <w:rsid w:val="00E33CD4"/>
    <w:rsid w:val="00E344AB"/>
    <w:rsid w:val="00E3592F"/>
    <w:rsid w:val="00E3603A"/>
    <w:rsid w:val="00E36953"/>
    <w:rsid w:val="00E3718B"/>
    <w:rsid w:val="00E37B53"/>
    <w:rsid w:val="00E417E2"/>
    <w:rsid w:val="00E419D9"/>
    <w:rsid w:val="00E43D81"/>
    <w:rsid w:val="00E43E09"/>
    <w:rsid w:val="00E47478"/>
    <w:rsid w:val="00E506AA"/>
    <w:rsid w:val="00E50732"/>
    <w:rsid w:val="00E51FC0"/>
    <w:rsid w:val="00E5275A"/>
    <w:rsid w:val="00E52AE5"/>
    <w:rsid w:val="00E53B0C"/>
    <w:rsid w:val="00E5799C"/>
    <w:rsid w:val="00E60AF3"/>
    <w:rsid w:val="00E620A9"/>
    <w:rsid w:val="00E629AD"/>
    <w:rsid w:val="00E62D27"/>
    <w:rsid w:val="00E64D4B"/>
    <w:rsid w:val="00E652BD"/>
    <w:rsid w:val="00E702E6"/>
    <w:rsid w:val="00E703CE"/>
    <w:rsid w:val="00E70E8D"/>
    <w:rsid w:val="00E70EE6"/>
    <w:rsid w:val="00E719D1"/>
    <w:rsid w:val="00E72D38"/>
    <w:rsid w:val="00E73FBB"/>
    <w:rsid w:val="00E74089"/>
    <w:rsid w:val="00E7604F"/>
    <w:rsid w:val="00E763EF"/>
    <w:rsid w:val="00E772AA"/>
    <w:rsid w:val="00E80409"/>
    <w:rsid w:val="00E8166C"/>
    <w:rsid w:val="00E85025"/>
    <w:rsid w:val="00E9132D"/>
    <w:rsid w:val="00E9152E"/>
    <w:rsid w:val="00E921DD"/>
    <w:rsid w:val="00E92C5C"/>
    <w:rsid w:val="00E93DC5"/>
    <w:rsid w:val="00E93DFF"/>
    <w:rsid w:val="00E94092"/>
    <w:rsid w:val="00E94DB8"/>
    <w:rsid w:val="00E9553A"/>
    <w:rsid w:val="00E95593"/>
    <w:rsid w:val="00E95E51"/>
    <w:rsid w:val="00EA077B"/>
    <w:rsid w:val="00EA0BF2"/>
    <w:rsid w:val="00EA18C0"/>
    <w:rsid w:val="00EA1FCF"/>
    <w:rsid w:val="00EA2B5B"/>
    <w:rsid w:val="00EA3FB0"/>
    <w:rsid w:val="00EA63AA"/>
    <w:rsid w:val="00EA7D61"/>
    <w:rsid w:val="00EB0895"/>
    <w:rsid w:val="00EB0B35"/>
    <w:rsid w:val="00EB1D42"/>
    <w:rsid w:val="00EB518F"/>
    <w:rsid w:val="00EB6E8B"/>
    <w:rsid w:val="00EB72BC"/>
    <w:rsid w:val="00EC1F38"/>
    <w:rsid w:val="00EC38F5"/>
    <w:rsid w:val="00EC4BF2"/>
    <w:rsid w:val="00EC644B"/>
    <w:rsid w:val="00ED09B9"/>
    <w:rsid w:val="00ED399F"/>
    <w:rsid w:val="00ED41D4"/>
    <w:rsid w:val="00ED4BB5"/>
    <w:rsid w:val="00EE0A0C"/>
    <w:rsid w:val="00EE1534"/>
    <w:rsid w:val="00EE1C86"/>
    <w:rsid w:val="00EE274A"/>
    <w:rsid w:val="00EE2DF2"/>
    <w:rsid w:val="00EE5D97"/>
    <w:rsid w:val="00EE7D9E"/>
    <w:rsid w:val="00EF0EEC"/>
    <w:rsid w:val="00EF111C"/>
    <w:rsid w:val="00EF161E"/>
    <w:rsid w:val="00EF19D0"/>
    <w:rsid w:val="00EF1E7F"/>
    <w:rsid w:val="00EF2237"/>
    <w:rsid w:val="00EF2633"/>
    <w:rsid w:val="00EF3B97"/>
    <w:rsid w:val="00EF4722"/>
    <w:rsid w:val="00EF4AAB"/>
    <w:rsid w:val="00EF4BED"/>
    <w:rsid w:val="00EF6B65"/>
    <w:rsid w:val="00EF7CB6"/>
    <w:rsid w:val="00F00078"/>
    <w:rsid w:val="00F00B9E"/>
    <w:rsid w:val="00F0347B"/>
    <w:rsid w:val="00F0417A"/>
    <w:rsid w:val="00F0424E"/>
    <w:rsid w:val="00F05313"/>
    <w:rsid w:val="00F07605"/>
    <w:rsid w:val="00F07F12"/>
    <w:rsid w:val="00F1003F"/>
    <w:rsid w:val="00F10E44"/>
    <w:rsid w:val="00F135C5"/>
    <w:rsid w:val="00F147C3"/>
    <w:rsid w:val="00F16543"/>
    <w:rsid w:val="00F20459"/>
    <w:rsid w:val="00F21946"/>
    <w:rsid w:val="00F22CAC"/>
    <w:rsid w:val="00F2566D"/>
    <w:rsid w:val="00F26681"/>
    <w:rsid w:val="00F271C6"/>
    <w:rsid w:val="00F278A1"/>
    <w:rsid w:val="00F27BC9"/>
    <w:rsid w:val="00F323A7"/>
    <w:rsid w:val="00F323F6"/>
    <w:rsid w:val="00F34D02"/>
    <w:rsid w:val="00F34F3D"/>
    <w:rsid w:val="00F35719"/>
    <w:rsid w:val="00F36F94"/>
    <w:rsid w:val="00F37623"/>
    <w:rsid w:val="00F410C5"/>
    <w:rsid w:val="00F411B0"/>
    <w:rsid w:val="00F4258F"/>
    <w:rsid w:val="00F4280E"/>
    <w:rsid w:val="00F43FF7"/>
    <w:rsid w:val="00F449F5"/>
    <w:rsid w:val="00F475C8"/>
    <w:rsid w:val="00F505A5"/>
    <w:rsid w:val="00F51D4B"/>
    <w:rsid w:val="00F5223B"/>
    <w:rsid w:val="00F52290"/>
    <w:rsid w:val="00F535AF"/>
    <w:rsid w:val="00F557BD"/>
    <w:rsid w:val="00F56A55"/>
    <w:rsid w:val="00F56DF1"/>
    <w:rsid w:val="00F5787E"/>
    <w:rsid w:val="00F5796E"/>
    <w:rsid w:val="00F57DDD"/>
    <w:rsid w:val="00F6015C"/>
    <w:rsid w:val="00F6102F"/>
    <w:rsid w:val="00F61B2D"/>
    <w:rsid w:val="00F61F8E"/>
    <w:rsid w:val="00F63740"/>
    <w:rsid w:val="00F63BAE"/>
    <w:rsid w:val="00F660E9"/>
    <w:rsid w:val="00F6682F"/>
    <w:rsid w:val="00F67937"/>
    <w:rsid w:val="00F70137"/>
    <w:rsid w:val="00F7264D"/>
    <w:rsid w:val="00F73F64"/>
    <w:rsid w:val="00F76612"/>
    <w:rsid w:val="00F76701"/>
    <w:rsid w:val="00F813F4"/>
    <w:rsid w:val="00F82636"/>
    <w:rsid w:val="00F82A87"/>
    <w:rsid w:val="00F83EC2"/>
    <w:rsid w:val="00F8448A"/>
    <w:rsid w:val="00F851F9"/>
    <w:rsid w:val="00F8598B"/>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2514"/>
    <w:rsid w:val="00FB2AA4"/>
    <w:rsid w:val="00FB4334"/>
    <w:rsid w:val="00FB4EB4"/>
    <w:rsid w:val="00FB5EA1"/>
    <w:rsid w:val="00FB691E"/>
    <w:rsid w:val="00FB6FBD"/>
    <w:rsid w:val="00FC1556"/>
    <w:rsid w:val="00FC21AA"/>
    <w:rsid w:val="00FC440E"/>
    <w:rsid w:val="00FC6B34"/>
    <w:rsid w:val="00FC6C94"/>
    <w:rsid w:val="00FC6DAF"/>
    <w:rsid w:val="00FC6DB5"/>
    <w:rsid w:val="00FC761A"/>
    <w:rsid w:val="00FC7AE4"/>
    <w:rsid w:val="00FD1BE7"/>
    <w:rsid w:val="00FD25F2"/>
    <w:rsid w:val="00FD2B3F"/>
    <w:rsid w:val="00FD4CF6"/>
    <w:rsid w:val="00FD5226"/>
    <w:rsid w:val="00FD5264"/>
    <w:rsid w:val="00FD55DD"/>
    <w:rsid w:val="00FD5914"/>
    <w:rsid w:val="00FD67EF"/>
    <w:rsid w:val="00FD79A1"/>
    <w:rsid w:val="00FD7ABE"/>
    <w:rsid w:val="00FE07CB"/>
    <w:rsid w:val="00FE0C87"/>
    <w:rsid w:val="00FE0EB1"/>
    <w:rsid w:val="00FE1260"/>
    <w:rsid w:val="00FE363F"/>
    <w:rsid w:val="00FE4615"/>
    <w:rsid w:val="00FE48D7"/>
    <w:rsid w:val="00FF65FB"/>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3436C3"/>
    <w:rPr>
      <w:sz w:val="16"/>
      <w:szCs w:val="16"/>
    </w:rPr>
  </w:style>
  <w:style w:type="paragraph" w:styleId="CommentText">
    <w:name w:val="annotation text"/>
    <w:basedOn w:val="Normal"/>
    <w:link w:val="CommentTextChar"/>
    <w:uiPriority w:val="99"/>
    <w:semiHidden/>
    <w:unhideWhenUsed/>
    <w:rsid w:val="003436C3"/>
    <w:rPr>
      <w:sz w:val="20"/>
      <w:szCs w:val="20"/>
    </w:rPr>
  </w:style>
  <w:style w:type="character" w:customStyle="1" w:styleId="CommentTextChar">
    <w:name w:val="Comment Text Char"/>
    <w:basedOn w:val="DefaultParagraphFont"/>
    <w:link w:val="CommentText"/>
    <w:uiPriority w:val="99"/>
    <w:semiHidden/>
    <w:rsid w:val="003436C3"/>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3436C3"/>
    <w:rPr>
      <w:b/>
      <w:bCs/>
    </w:rPr>
  </w:style>
  <w:style w:type="character" w:customStyle="1" w:styleId="CommentSubjectChar">
    <w:name w:val="Comment Subject Char"/>
    <w:basedOn w:val="CommentTextChar"/>
    <w:link w:val="CommentSubject"/>
    <w:uiPriority w:val="99"/>
    <w:semiHidden/>
    <w:rsid w:val="003436C3"/>
    <w:rPr>
      <w:rFonts w:ascii="CG Times" w:eastAsia="Times New Roman" w:hAnsi="CG Times" w:cs="CG Times"/>
      <w:b/>
      <w:bCs/>
      <w:sz w:val="20"/>
      <w:szCs w:val="20"/>
    </w:rPr>
  </w:style>
  <w:style w:type="paragraph" w:styleId="Revision">
    <w:name w:val="Revision"/>
    <w:hidden/>
    <w:uiPriority w:val="99"/>
    <w:semiHidden/>
    <w:rsid w:val="000D32F0"/>
    <w:pPr>
      <w:spacing w:line="240" w:lineRule="auto"/>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47674">
      <w:bodyDiv w:val="1"/>
      <w:marLeft w:val="0"/>
      <w:marRight w:val="0"/>
      <w:marTop w:val="0"/>
      <w:marBottom w:val="0"/>
      <w:divBdr>
        <w:top w:val="none" w:sz="0" w:space="0" w:color="auto"/>
        <w:left w:val="none" w:sz="0" w:space="0" w:color="auto"/>
        <w:bottom w:val="none" w:sz="0" w:space="0" w:color="auto"/>
        <w:right w:val="none" w:sz="0" w:space="0" w:color="auto"/>
      </w:divBdr>
      <w:divsChild>
        <w:div w:id="1224679920">
          <w:marLeft w:val="0"/>
          <w:marRight w:val="0"/>
          <w:marTop w:val="0"/>
          <w:marBottom w:val="0"/>
          <w:divBdr>
            <w:top w:val="none" w:sz="0" w:space="0" w:color="auto"/>
            <w:left w:val="none" w:sz="0" w:space="0" w:color="auto"/>
            <w:bottom w:val="none" w:sz="0" w:space="0" w:color="auto"/>
            <w:right w:val="none" w:sz="0" w:space="0" w:color="auto"/>
          </w:divBdr>
          <w:divsChild>
            <w:div w:id="614749866">
              <w:marLeft w:val="0"/>
              <w:marRight w:val="0"/>
              <w:marTop w:val="0"/>
              <w:marBottom w:val="0"/>
              <w:divBdr>
                <w:top w:val="none" w:sz="0" w:space="0" w:color="auto"/>
                <w:left w:val="none" w:sz="0" w:space="0" w:color="auto"/>
                <w:bottom w:val="none" w:sz="0" w:space="0" w:color="auto"/>
                <w:right w:val="none" w:sz="0" w:space="0" w:color="auto"/>
              </w:divBdr>
              <w:divsChild>
                <w:div w:id="130639179">
                  <w:marLeft w:val="0"/>
                  <w:marRight w:val="0"/>
                  <w:marTop w:val="0"/>
                  <w:marBottom w:val="0"/>
                  <w:divBdr>
                    <w:top w:val="none" w:sz="0" w:space="0" w:color="auto"/>
                    <w:left w:val="none" w:sz="0" w:space="0" w:color="auto"/>
                    <w:bottom w:val="none" w:sz="0" w:space="0" w:color="auto"/>
                    <w:right w:val="none" w:sz="0" w:space="0" w:color="auto"/>
                  </w:divBdr>
                  <w:divsChild>
                    <w:div w:id="20683342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600760">
      <w:bodyDiv w:val="1"/>
      <w:marLeft w:val="0"/>
      <w:marRight w:val="0"/>
      <w:marTop w:val="0"/>
      <w:marBottom w:val="0"/>
      <w:divBdr>
        <w:top w:val="none" w:sz="0" w:space="0" w:color="auto"/>
        <w:left w:val="none" w:sz="0" w:space="0" w:color="auto"/>
        <w:bottom w:val="none" w:sz="0" w:space="0" w:color="auto"/>
        <w:right w:val="none" w:sz="0" w:space="0" w:color="auto"/>
      </w:divBdr>
      <w:divsChild>
        <w:div w:id="1891913439">
          <w:marLeft w:val="0"/>
          <w:marRight w:val="0"/>
          <w:marTop w:val="0"/>
          <w:marBottom w:val="0"/>
          <w:divBdr>
            <w:top w:val="none" w:sz="0" w:space="0" w:color="auto"/>
            <w:left w:val="none" w:sz="0" w:space="0" w:color="auto"/>
            <w:bottom w:val="none" w:sz="0" w:space="0" w:color="auto"/>
            <w:right w:val="none" w:sz="0" w:space="0" w:color="auto"/>
          </w:divBdr>
          <w:divsChild>
            <w:div w:id="396435554">
              <w:marLeft w:val="0"/>
              <w:marRight w:val="0"/>
              <w:marTop w:val="0"/>
              <w:marBottom w:val="0"/>
              <w:divBdr>
                <w:top w:val="none" w:sz="0" w:space="0" w:color="auto"/>
                <w:left w:val="none" w:sz="0" w:space="0" w:color="auto"/>
                <w:bottom w:val="none" w:sz="0" w:space="0" w:color="auto"/>
                <w:right w:val="none" w:sz="0" w:space="0" w:color="auto"/>
              </w:divBdr>
              <w:divsChild>
                <w:div w:id="1940478376">
                  <w:marLeft w:val="0"/>
                  <w:marRight w:val="0"/>
                  <w:marTop w:val="0"/>
                  <w:marBottom w:val="0"/>
                  <w:divBdr>
                    <w:top w:val="none" w:sz="0" w:space="0" w:color="auto"/>
                    <w:left w:val="none" w:sz="0" w:space="0" w:color="auto"/>
                    <w:bottom w:val="none" w:sz="0" w:space="0" w:color="auto"/>
                    <w:right w:val="none" w:sz="0" w:space="0" w:color="auto"/>
                  </w:divBdr>
                  <w:divsChild>
                    <w:div w:id="119231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844">
      <w:bodyDiv w:val="1"/>
      <w:marLeft w:val="0"/>
      <w:marRight w:val="0"/>
      <w:marTop w:val="0"/>
      <w:marBottom w:val="0"/>
      <w:divBdr>
        <w:top w:val="none" w:sz="0" w:space="0" w:color="auto"/>
        <w:left w:val="none" w:sz="0" w:space="0" w:color="auto"/>
        <w:bottom w:val="none" w:sz="0" w:space="0" w:color="auto"/>
        <w:right w:val="none" w:sz="0" w:space="0" w:color="auto"/>
      </w:divBdr>
      <w:divsChild>
        <w:div w:id="1584412815">
          <w:marLeft w:val="0"/>
          <w:marRight w:val="0"/>
          <w:marTop w:val="0"/>
          <w:marBottom w:val="0"/>
          <w:divBdr>
            <w:top w:val="none" w:sz="0" w:space="0" w:color="auto"/>
            <w:left w:val="none" w:sz="0" w:space="0" w:color="auto"/>
            <w:bottom w:val="none" w:sz="0" w:space="0" w:color="auto"/>
            <w:right w:val="none" w:sz="0" w:space="0" w:color="auto"/>
          </w:divBdr>
          <w:divsChild>
            <w:div w:id="239559359">
              <w:marLeft w:val="0"/>
              <w:marRight w:val="0"/>
              <w:marTop w:val="0"/>
              <w:marBottom w:val="0"/>
              <w:divBdr>
                <w:top w:val="none" w:sz="0" w:space="0" w:color="auto"/>
                <w:left w:val="none" w:sz="0" w:space="0" w:color="auto"/>
                <w:bottom w:val="none" w:sz="0" w:space="0" w:color="auto"/>
                <w:right w:val="none" w:sz="0" w:space="0" w:color="auto"/>
              </w:divBdr>
              <w:divsChild>
                <w:div w:id="770592780">
                  <w:marLeft w:val="0"/>
                  <w:marRight w:val="0"/>
                  <w:marTop w:val="0"/>
                  <w:marBottom w:val="0"/>
                  <w:divBdr>
                    <w:top w:val="none" w:sz="0" w:space="0" w:color="auto"/>
                    <w:left w:val="none" w:sz="0" w:space="0" w:color="auto"/>
                    <w:bottom w:val="none" w:sz="0" w:space="0" w:color="auto"/>
                    <w:right w:val="none" w:sz="0" w:space="0" w:color="auto"/>
                  </w:divBdr>
                  <w:divsChild>
                    <w:div w:id="2103404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566">
      <w:bodyDiv w:val="1"/>
      <w:marLeft w:val="0"/>
      <w:marRight w:val="0"/>
      <w:marTop w:val="0"/>
      <w:marBottom w:val="0"/>
      <w:divBdr>
        <w:top w:val="none" w:sz="0" w:space="0" w:color="auto"/>
        <w:left w:val="none" w:sz="0" w:space="0" w:color="auto"/>
        <w:bottom w:val="none" w:sz="0" w:space="0" w:color="auto"/>
        <w:right w:val="none" w:sz="0" w:space="0" w:color="auto"/>
      </w:divBdr>
      <w:divsChild>
        <w:div w:id="433596481">
          <w:marLeft w:val="0"/>
          <w:marRight w:val="0"/>
          <w:marTop w:val="0"/>
          <w:marBottom w:val="0"/>
          <w:divBdr>
            <w:top w:val="none" w:sz="0" w:space="0" w:color="auto"/>
            <w:left w:val="none" w:sz="0" w:space="0" w:color="auto"/>
            <w:bottom w:val="none" w:sz="0" w:space="0" w:color="auto"/>
            <w:right w:val="none" w:sz="0" w:space="0" w:color="auto"/>
          </w:divBdr>
          <w:divsChild>
            <w:div w:id="1941719589">
              <w:marLeft w:val="0"/>
              <w:marRight w:val="0"/>
              <w:marTop w:val="0"/>
              <w:marBottom w:val="0"/>
              <w:divBdr>
                <w:top w:val="none" w:sz="0" w:space="0" w:color="auto"/>
                <w:left w:val="none" w:sz="0" w:space="0" w:color="auto"/>
                <w:bottom w:val="none" w:sz="0" w:space="0" w:color="auto"/>
                <w:right w:val="none" w:sz="0" w:space="0" w:color="auto"/>
              </w:divBdr>
              <w:divsChild>
                <w:div w:id="399789628">
                  <w:marLeft w:val="0"/>
                  <w:marRight w:val="0"/>
                  <w:marTop w:val="0"/>
                  <w:marBottom w:val="0"/>
                  <w:divBdr>
                    <w:top w:val="none" w:sz="0" w:space="0" w:color="auto"/>
                    <w:left w:val="none" w:sz="0" w:space="0" w:color="auto"/>
                    <w:bottom w:val="none" w:sz="0" w:space="0" w:color="auto"/>
                    <w:right w:val="none" w:sz="0" w:space="0" w:color="auto"/>
                  </w:divBdr>
                  <w:divsChild>
                    <w:div w:id="12234486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7699">
      <w:bodyDiv w:val="1"/>
      <w:marLeft w:val="0"/>
      <w:marRight w:val="0"/>
      <w:marTop w:val="0"/>
      <w:marBottom w:val="0"/>
      <w:divBdr>
        <w:top w:val="none" w:sz="0" w:space="0" w:color="auto"/>
        <w:left w:val="none" w:sz="0" w:space="0" w:color="auto"/>
        <w:bottom w:val="none" w:sz="0" w:space="0" w:color="auto"/>
        <w:right w:val="none" w:sz="0" w:space="0" w:color="auto"/>
      </w:divBdr>
      <w:divsChild>
        <w:div w:id="437339731">
          <w:marLeft w:val="0"/>
          <w:marRight w:val="0"/>
          <w:marTop w:val="0"/>
          <w:marBottom w:val="0"/>
          <w:divBdr>
            <w:top w:val="none" w:sz="0" w:space="0" w:color="auto"/>
            <w:left w:val="none" w:sz="0" w:space="0" w:color="auto"/>
            <w:bottom w:val="none" w:sz="0" w:space="0" w:color="auto"/>
            <w:right w:val="none" w:sz="0" w:space="0" w:color="auto"/>
          </w:divBdr>
          <w:divsChild>
            <w:div w:id="475607955">
              <w:marLeft w:val="0"/>
              <w:marRight w:val="0"/>
              <w:marTop w:val="0"/>
              <w:marBottom w:val="0"/>
              <w:divBdr>
                <w:top w:val="none" w:sz="0" w:space="0" w:color="auto"/>
                <w:left w:val="none" w:sz="0" w:space="0" w:color="auto"/>
                <w:bottom w:val="none" w:sz="0" w:space="0" w:color="auto"/>
                <w:right w:val="none" w:sz="0" w:space="0" w:color="auto"/>
              </w:divBdr>
              <w:divsChild>
                <w:div w:id="530648189">
                  <w:marLeft w:val="0"/>
                  <w:marRight w:val="0"/>
                  <w:marTop w:val="0"/>
                  <w:marBottom w:val="0"/>
                  <w:divBdr>
                    <w:top w:val="none" w:sz="0" w:space="0" w:color="auto"/>
                    <w:left w:val="none" w:sz="0" w:space="0" w:color="auto"/>
                    <w:bottom w:val="none" w:sz="0" w:space="0" w:color="auto"/>
                    <w:right w:val="none" w:sz="0" w:space="0" w:color="auto"/>
                  </w:divBdr>
                  <w:divsChild>
                    <w:div w:id="13566173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A50F-755A-447F-8586-EBFEE6F0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2019-05-03T12:39:00Z</dcterms:created>
  <dcterms:modified xsi:type="dcterms:W3CDTF">2019-05-03T12:39:00Z</dcterms:modified>
</cp:coreProperties>
</file>