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062FB2C4" w:rsidR="00E8035A" w:rsidRPr="00F076EC" w:rsidRDefault="004838FF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1A9757C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Hlk7771199"/>
      <w:bookmarkStart w:id="1" w:name="_GoBack"/>
      <w:r w:rsidR="004838FF" w:rsidRPr="004838FF">
        <w:rPr>
          <w:sz w:val="24"/>
        </w:rPr>
        <w:t>A-2013-2370875</w:t>
      </w:r>
      <w:bookmarkEnd w:id="0"/>
      <w:bookmarkEnd w:id="1"/>
    </w:p>
    <w:p w14:paraId="1B48377D" w14:textId="4BA9C1B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838FF" w:rsidRPr="004838FF">
        <w:rPr>
          <w:sz w:val="24"/>
        </w:rPr>
        <w:t>1115843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B57E5E9" w14:textId="77777777" w:rsidR="004838FF" w:rsidRPr="004838FF" w:rsidRDefault="004838FF" w:rsidP="004838FF">
      <w:pPr>
        <w:rPr>
          <w:sz w:val="24"/>
          <w:szCs w:val="24"/>
        </w:rPr>
      </w:pPr>
      <w:bookmarkStart w:id="2" w:name="_Hlk7771102"/>
      <w:r w:rsidRPr="004838FF">
        <w:rPr>
          <w:sz w:val="24"/>
          <w:szCs w:val="24"/>
        </w:rPr>
        <w:t>SANTANNA NATURAL GAS CORPORATION</w:t>
      </w:r>
    </w:p>
    <w:bookmarkEnd w:id="2"/>
    <w:p w14:paraId="561BFB1A" w14:textId="77777777" w:rsidR="004838FF" w:rsidRPr="004838FF" w:rsidRDefault="004838FF" w:rsidP="004838FF">
      <w:pPr>
        <w:rPr>
          <w:sz w:val="24"/>
          <w:szCs w:val="24"/>
        </w:rPr>
      </w:pPr>
      <w:r w:rsidRPr="004838FF">
        <w:rPr>
          <w:sz w:val="24"/>
          <w:szCs w:val="24"/>
        </w:rPr>
        <w:t>7701 SAN FELIPE BOULEVARD SUITE 200</w:t>
      </w:r>
    </w:p>
    <w:p w14:paraId="55FB218B" w14:textId="0A7CFE06" w:rsidR="004838FF" w:rsidRPr="00304D0B" w:rsidRDefault="004838FF" w:rsidP="004838FF">
      <w:pPr>
        <w:rPr>
          <w:sz w:val="24"/>
          <w:szCs w:val="24"/>
        </w:rPr>
      </w:pPr>
      <w:r w:rsidRPr="004838FF">
        <w:rPr>
          <w:sz w:val="24"/>
          <w:szCs w:val="24"/>
        </w:rPr>
        <w:t>AUSTIN, TX 78729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5108ACC" w:rsidR="000D0692" w:rsidRPr="00F076EC" w:rsidRDefault="004838FF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CAD2F74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4838FF" w:rsidRPr="004838FF">
        <w:rPr>
          <w:sz w:val="24"/>
          <w:szCs w:val="24"/>
        </w:rPr>
        <w:t>Santanna</w:t>
      </w:r>
      <w:proofErr w:type="spellEnd"/>
      <w:r w:rsidR="004838FF" w:rsidRPr="004838FF">
        <w:rPr>
          <w:sz w:val="24"/>
          <w:szCs w:val="24"/>
        </w:rPr>
        <w:t xml:space="preserve"> Natural Gas Corporation</w:t>
      </w:r>
      <w:r w:rsidR="004838FF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C2E7E35" w:rsidR="005F22A4" w:rsidRDefault="005F22A4" w:rsidP="00FF5275">
      <w:pPr>
        <w:rPr>
          <w:sz w:val="24"/>
          <w:szCs w:val="24"/>
        </w:rPr>
      </w:pPr>
    </w:p>
    <w:p w14:paraId="55C432FB" w14:textId="01D1441C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9F3CA74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1EACAFBE" w:rsidR="000A2278" w:rsidRPr="009021DB" w:rsidRDefault="004838FF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CACAA" wp14:editId="27BD9421">
            <wp:simplePos x="0" y="0"/>
            <wp:positionH relativeFrom="column">
              <wp:posOffset>3552825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F88D" w14:textId="77777777" w:rsidR="001617F2" w:rsidRDefault="001617F2">
      <w:r>
        <w:separator/>
      </w:r>
    </w:p>
  </w:endnote>
  <w:endnote w:type="continuationSeparator" w:id="0">
    <w:p w14:paraId="04958610" w14:textId="77777777" w:rsidR="001617F2" w:rsidRDefault="0016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43409" w14:textId="77777777" w:rsidR="001617F2" w:rsidRDefault="001617F2">
      <w:r>
        <w:separator/>
      </w:r>
    </w:p>
  </w:footnote>
  <w:footnote w:type="continuationSeparator" w:id="0">
    <w:p w14:paraId="39CCF007" w14:textId="77777777" w:rsidR="001617F2" w:rsidRDefault="0016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7F2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38FF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9B86-B278-48DE-9B19-22315D05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2019-05-03T14:33:00Z</cp:lastPrinted>
  <dcterms:created xsi:type="dcterms:W3CDTF">2019-05-03T14:33:00Z</dcterms:created>
  <dcterms:modified xsi:type="dcterms:W3CDTF">2019-05-03T14:33:00Z</dcterms:modified>
</cp:coreProperties>
</file>