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7FCE" w14:textId="77777777" w:rsidR="00F14E4C" w:rsidRPr="00486A64" w:rsidRDefault="00F14E4C" w:rsidP="00F14E4C">
      <w:pPr>
        <w:suppressAutoHyphens/>
        <w:spacing w:line="240" w:lineRule="auto"/>
        <w:ind w:firstLine="0"/>
        <w:jc w:val="center"/>
        <w:rPr>
          <w:b/>
          <w:sz w:val="26"/>
          <w:szCs w:val="26"/>
        </w:rPr>
      </w:pPr>
      <w:r w:rsidRPr="00486A64">
        <w:rPr>
          <w:b/>
          <w:sz w:val="26"/>
          <w:szCs w:val="26"/>
        </w:rPr>
        <w:t>PENNSYLVANIA</w:t>
      </w:r>
    </w:p>
    <w:p w14:paraId="0D02F035" w14:textId="77777777" w:rsidR="00F14E4C" w:rsidRPr="00486A64" w:rsidRDefault="00F14E4C" w:rsidP="00F14E4C">
      <w:pPr>
        <w:suppressAutoHyphens/>
        <w:spacing w:line="240" w:lineRule="auto"/>
        <w:ind w:firstLine="0"/>
        <w:jc w:val="center"/>
        <w:rPr>
          <w:sz w:val="26"/>
          <w:szCs w:val="26"/>
        </w:rPr>
      </w:pPr>
      <w:r w:rsidRPr="00486A64">
        <w:rPr>
          <w:b/>
          <w:sz w:val="26"/>
          <w:szCs w:val="26"/>
        </w:rPr>
        <w:t>PUBLIC UTILITY COMMISSION</w:t>
      </w:r>
    </w:p>
    <w:p w14:paraId="44C5EA29" w14:textId="7465EF6D" w:rsidR="00F14E4C" w:rsidRPr="00486A64" w:rsidRDefault="00F14E4C" w:rsidP="00F14E4C">
      <w:pPr>
        <w:suppressAutoHyphens/>
        <w:spacing w:line="240" w:lineRule="auto"/>
        <w:ind w:firstLine="0"/>
        <w:jc w:val="center"/>
        <w:rPr>
          <w:b/>
          <w:sz w:val="26"/>
          <w:szCs w:val="26"/>
        </w:rPr>
      </w:pPr>
      <w:r w:rsidRPr="00486A64">
        <w:rPr>
          <w:b/>
          <w:sz w:val="26"/>
          <w:szCs w:val="26"/>
        </w:rPr>
        <w:t>Harrisburg, PA 17105-3265</w:t>
      </w:r>
    </w:p>
    <w:p w14:paraId="059F1553" w14:textId="4301B3D8" w:rsidR="00F14E4C" w:rsidRPr="00486A64" w:rsidRDefault="00F14E4C" w:rsidP="00F14E4C">
      <w:pPr>
        <w:suppressAutoHyphens/>
        <w:spacing w:line="240" w:lineRule="auto"/>
        <w:ind w:firstLine="0"/>
        <w:rPr>
          <w:sz w:val="26"/>
          <w:szCs w:val="26"/>
        </w:rPr>
      </w:pPr>
    </w:p>
    <w:p w14:paraId="335D4321" w14:textId="3A53BFA0" w:rsidR="00F14E4C" w:rsidRPr="00486A64" w:rsidRDefault="00F14E4C" w:rsidP="00F14E4C">
      <w:pPr>
        <w:suppressAutoHyphens/>
        <w:spacing w:line="240" w:lineRule="auto"/>
        <w:ind w:firstLine="0"/>
        <w:jc w:val="right"/>
        <w:rPr>
          <w:sz w:val="26"/>
          <w:szCs w:val="26"/>
        </w:rPr>
      </w:pPr>
      <w:r w:rsidRPr="00486A64">
        <w:rPr>
          <w:sz w:val="26"/>
          <w:szCs w:val="26"/>
        </w:rPr>
        <w:t xml:space="preserve">Public Meeting held </w:t>
      </w:r>
      <w:r w:rsidR="005477F5" w:rsidRPr="00486A64">
        <w:rPr>
          <w:sz w:val="26"/>
          <w:szCs w:val="26"/>
        </w:rPr>
        <w:t>May 9</w:t>
      </w:r>
      <w:r w:rsidR="00D645D6" w:rsidRPr="00486A64">
        <w:rPr>
          <w:sz w:val="26"/>
          <w:szCs w:val="26"/>
        </w:rPr>
        <w:t xml:space="preserve">, </w:t>
      </w:r>
      <w:r w:rsidRPr="00486A64">
        <w:rPr>
          <w:sz w:val="26"/>
          <w:szCs w:val="26"/>
        </w:rPr>
        <w:t>2019</w:t>
      </w:r>
    </w:p>
    <w:p w14:paraId="16A38EE7" w14:textId="1BAE0478" w:rsidR="00F14E4C" w:rsidRPr="00486A64" w:rsidRDefault="00F14E4C" w:rsidP="00F14E4C">
      <w:pPr>
        <w:suppressAutoHyphens/>
        <w:spacing w:line="240" w:lineRule="auto"/>
        <w:ind w:firstLine="0"/>
        <w:jc w:val="right"/>
        <w:rPr>
          <w:sz w:val="26"/>
          <w:szCs w:val="26"/>
        </w:rPr>
      </w:pPr>
    </w:p>
    <w:p w14:paraId="54512632" w14:textId="77777777" w:rsidR="00F14E4C" w:rsidRPr="00486A64" w:rsidRDefault="00F14E4C" w:rsidP="00F14E4C">
      <w:pPr>
        <w:suppressAutoHyphens/>
        <w:spacing w:line="240" w:lineRule="auto"/>
        <w:ind w:firstLine="0"/>
        <w:rPr>
          <w:sz w:val="26"/>
          <w:szCs w:val="26"/>
        </w:rPr>
      </w:pPr>
      <w:r w:rsidRPr="00486A64">
        <w:rPr>
          <w:sz w:val="26"/>
          <w:szCs w:val="26"/>
        </w:rPr>
        <w:t>Commissioners Present:</w:t>
      </w:r>
    </w:p>
    <w:p w14:paraId="48332B19" w14:textId="77777777" w:rsidR="00F14E4C" w:rsidRPr="00486A64" w:rsidRDefault="00F14E4C" w:rsidP="00F14E4C">
      <w:pPr>
        <w:suppressAutoHyphens/>
        <w:spacing w:line="240" w:lineRule="auto"/>
        <w:ind w:firstLine="0"/>
        <w:rPr>
          <w:sz w:val="26"/>
          <w:szCs w:val="26"/>
        </w:rPr>
      </w:pPr>
    </w:p>
    <w:p w14:paraId="6E093D3D" w14:textId="0FF3998D" w:rsidR="00F14E4C" w:rsidRPr="00486A64" w:rsidRDefault="00F14E4C" w:rsidP="00F14E4C">
      <w:pPr>
        <w:spacing w:line="240" w:lineRule="auto"/>
        <w:ind w:firstLine="720"/>
        <w:rPr>
          <w:sz w:val="26"/>
          <w:szCs w:val="26"/>
        </w:rPr>
      </w:pPr>
      <w:r w:rsidRPr="00486A64">
        <w:rPr>
          <w:sz w:val="26"/>
          <w:szCs w:val="26"/>
        </w:rPr>
        <w:t>Gladys Brown</w:t>
      </w:r>
      <w:r w:rsidR="00C5754A" w:rsidRPr="00486A64">
        <w:rPr>
          <w:sz w:val="26"/>
          <w:szCs w:val="26"/>
        </w:rPr>
        <w:t xml:space="preserve"> Dutrie</w:t>
      </w:r>
      <w:r w:rsidR="00B523A4" w:rsidRPr="00486A64">
        <w:rPr>
          <w:sz w:val="26"/>
          <w:szCs w:val="26"/>
        </w:rPr>
        <w:t>uille</w:t>
      </w:r>
      <w:r w:rsidRPr="00486A64">
        <w:rPr>
          <w:sz w:val="26"/>
          <w:szCs w:val="26"/>
        </w:rPr>
        <w:t>, Chairman</w:t>
      </w:r>
    </w:p>
    <w:p w14:paraId="737F4139" w14:textId="77777777" w:rsidR="00F14E4C" w:rsidRPr="00486A64" w:rsidRDefault="00F14E4C" w:rsidP="00F14E4C">
      <w:pPr>
        <w:widowControl w:val="0"/>
        <w:spacing w:line="240" w:lineRule="auto"/>
        <w:ind w:firstLine="720"/>
        <w:rPr>
          <w:sz w:val="26"/>
          <w:szCs w:val="26"/>
        </w:rPr>
      </w:pPr>
      <w:r w:rsidRPr="00486A64">
        <w:rPr>
          <w:sz w:val="26"/>
          <w:szCs w:val="26"/>
        </w:rPr>
        <w:t>David W. Sweet, Vice Chairman</w:t>
      </w:r>
    </w:p>
    <w:p w14:paraId="73F60F7B" w14:textId="77777777" w:rsidR="00F14E4C" w:rsidRPr="00486A64" w:rsidRDefault="00F14E4C" w:rsidP="00F14E4C">
      <w:pPr>
        <w:widowControl w:val="0"/>
        <w:spacing w:line="240" w:lineRule="auto"/>
        <w:ind w:firstLine="720"/>
        <w:rPr>
          <w:sz w:val="26"/>
          <w:szCs w:val="26"/>
        </w:rPr>
      </w:pPr>
      <w:r w:rsidRPr="00486A64">
        <w:rPr>
          <w:sz w:val="26"/>
          <w:szCs w:val="26"/>
        </w:rPr>
        <w:t>Norman J. Kennard</w:t>
      </w:r>
    </w:p>
    <w:p w14:paraId="41BCD18D" w14:textId="77777777" w:rsidR="00F14E4C" w:rsidRPr="00486A64" w:rsidRDefault="00F14E4C" w:rsidP="00F14E4C">
      <w:pPr>
        <w:widowControl w:val="0"/>
        <w:spacing w:line="240" w:lineRule="auto"/>
        <w:ind w:firstLine="720"/>
        <w:rPr>
          <w:sz w:val="26"/>
          <w:szCs w:val="26"/>
        </w:rPr>
      </w:pPr>
      <w:r w:rsidRPr="00486A64">
        <w:rPr>
          <w:sz w:val="26"/>
          <w:szCs w:val="26"/>
        </w:rPr>
        <w:t>Andrew G. Place</w:t>
      </w:r>
    </w:p>
    <w:p w14:paraId="03BFEF69" w14:textId="77777777" w:rsidR="00F14E4C" w:rsidRPr="00486A64" w:rsidRDefault="00F14E4C" w:rsidP="00F14E4C">
      <w:pPr>
        <w:widowControl w:val="0"/>
        <w:spacing w:line="240" w:lineRule="auto"/>
        <w:ind w:firstLine="720"/>
        <w:rPr>
          <w:sz w:val="26"/>
          <w:szCs w:val="26"/>
        </w:rPr>
      </w:pPr>
      <w:r w:rsidRPr="00486A64">
        <w:rPr>
          <w:sz w:val="26"/>
          <w:szCs w:val="26"/>
        </w:rPr>
        <w:t>John F. Coleman, Jr.</w:t>
      </w:r>
    </w:p>
    <w:p w14:paraId="2EDE95B8" w14:textId="7711582F" w:rsidR="00F14E4C" w:rsidRPr="00486A64" w:rsidRDefault="00F14E4C" w:rsidP="00F14E4C">
      <w:pPr>
        <w:widowControl w:val="0"/>
        <w:spacing w:line="240" w:lineRule="auto"/>
        <w:ind w:firstLine="720"/>
        <w:rPr>
          <w:sz w:val="26"/>
          <w:szCs w:val="26"/>
        </w:rPr>
      </w:pPr>
    </w:p>
    <w:p w14:paraId="6F7100BA" w14:textId="5D35D0EF" w:rsidR="00013AC0" w:rsidRPr="00486A64" w:rsidRDefault="00013AC0" w:rsidP="00F14E4C">
      <w:pPr>
        <w:widowControl w:val="0"/>
        <w:spacing w:line="240" w:lineRule="auto"/>
        <w:ind w:firstLine="720"/>
        <w:rPr>
          <w:sz w:val="26"/>
          <w:szCs w:val="26"/>
        </w:rPr>
      </w:pPr>
    </w:p>
    <w:p w14:paraId="1E9FF7DC" w14:textId="586C8B4F" w:rsidR="00F14E4C" w:rsidRPr="00486A64" w:rsidRDefault="00F14E4C" w:rsidP="00013AC0">
      <w:pPr>
        <w:suppressAutoHyphens/>
        <w:autoSpaceDE w:val="0"/>
        <w:autoSpaceDN w:val="0"/>
        <w:spacing w:line="240" w:lineRule="auto"/>
        <w:ind w:firstLine="0"/>
        <w:rPr>
          <w:sz w:val="26"/>
          <w:szCs w:val="26"/>
        </w:rPr>
      </w:pPr>
      <w:r w:rsidRPr="00486A64">
        <w:rPr>
          <w:sz w:val="26"/>
          <w:szCs w:val="26"/>
        </w:rPr>
        <w:t xml:space="preserve">SBG Management Services, Inc./ </w:t>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t xml:space="preserve">     C-2012-23041</w:t>
      </w:r>
      <w:r w:rsidR="00695302" w:rsidRPr="00486A64">
        <w:rPr>
          <w:sz w:val="26"/>
          <w:szCs w:val="26"/>
        </w:rPr>
        <w:t>67</w:t>
      </w:r>
    </w:p>
    <w:p w14:paraId="79F485CA" w14:textId="25E25631" w:rsidR="00F14E4C" w:rsidRPr="00486A64" w:rsidRDefault="00695302" w:rsidP="00013AC0">
      <w:pPr>
        <w:suppressAutoHyphens/>
        <w:autoSpaceDE w:val="0"/>
        <w:autoSpaceDN w:val="0"/>
        <w:spacing w:line="240" w:lineRule="auto"/>
        <w:ind w:firstLine="0"/>
        <w:rPr>
          <w:sz w:val="26"/>
          <w:szCs w:val="26"/>
        </w:rPr>
      </w:pPr>
      <w:r w:rsidRPr="00486A64">
        <w:rPr>
          <w:sz w:val="26"/>
          <w:szCs w:val="26"/>
        </w:rPr>
        <w:t>Elrea</w:t>
      </w:r>
      <w:r w:rsidR="00F14E4C" w:rsidRPr="00486A64">
        <w:rPr>
          <w:sz w:val="26"/>
          <w:szCs w:val="26"/>
        </w:rPr>
        <w:t xml:space="preserve"> Garden Realty Co., L.P.</w:t>
      </w:r>
    </w:p>
    <w:p w14:paraId="41D17B70" w14:textId="1043E85F" w:rsidR="00F14E4C" w:rsidRPr="00486A64" w:rsidRDefault="00F14E4C" w:rsidP="00013AC0">
      <w:pPr>
        <w:suppressAutoHyphens/>
        <w:autoSpaceDE w:val="0"/>
        <w:autoSpaceDN w:val="0"/>
        <w:spacing w:line="240" w:lineRule="auto"/>
        <w:ind w:firstLine="720"/>
        <w:rPr>
          <w:sz w:val="26"/>
          <w:szCs w:val="26"/>
        </w:rPr>
      </w:pPr>
    </w:p>
    <w:p w14:paraId="183637FD" w14:textId="77777777" w:rsidR="000C37BD" w:rsidRPr="00486A64" w:rsidRDefault="000C37BD" w:rsidP="00013AC0">
      <w:pPr>
        <w:suppressAutoHyphens/>
        <w:autoSpaceDE w:val="0"/>
        <w:autoSpaceDN w:val="0"/>
        <w:spacing w:line="240" w:lineRule="auto"/>
        <w:ind w:firstLine="720"/>
        <w:rPr>
          <w:sz w:val="26"/>
          <w:szCs w:val="26"/>
        </w:rPr>
      </w:pPr>
    </w:p>
    <w:p w14:paraId="25BC1805" w14:textId="43ADDB88" w:rsidR="00F14E4C" w:rsidRPr="00486A64" w:rsidRDefault="00F14E4C" w:rsidP="00013AC0">
      <w:pPr>
        <w:suppressAutoHyphens/>
        <w:autoSpaceDE w:val="0"/>
        <w:autoSpaceDN w:val="0"/>
        <w:spacing w:line="240" w:lineRule="auto"/>
        <w:ind w:firstLine="0"/>
        <w:rPr>
          <w:sz w:val="26"/>
          <w:szCs w:val="26"/>
        </w:rPr>
      </w:pPr>
      <w:r w:rsidRPr="00486A64">
        <w:rPr>
          <w:sz w:val="26"/>
          <w:szCs w:val="26"/>
        </w:rPr>
        <w:t xml:space="preserve">SBG Management Services, Inc./ </w:t>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t xml:space="preserve">     C-2012-2304</w:t>
      </w:r>
      <w:r w:rsidR="00695302" w:rsidRPr="00486A64">
        <w:rPr>
          <w:sz w:val="26"/>
          <w:szCs w:val="26"/>
        </w:rPr>
        <w:t>215</w:t>
      </w:r>
    </w:p>
    <w:p w14:paraId="3BF23CAD" w14:textId="16124FF6" w:rsidR="00F14E4C" w:rsidRPr="00486A64" w:rsidRDefault="00695302" w:rsidP="00013AC0">
      <w:pPr>
        <w:suppressAutoHyphens/>
        <w:autoSpaceDE w:val="0"/>
        <w:autoSpaceDN w:val="0"/>
        <w:spacing w:line="240" w:lineRule="auto"/>
        <w:ind w:firstLine="0"/>
        <w:rPr>
          <w:sz w:val="26"/>
          <w:szCs w:val="26"/>
        </w:rPr>
      </w:pPr>
      <w:r w:rsidRPr="00486A64">
        <w:rPr>
          <w:sz w:val="26"/>
          <w:szCs w:val="26"/>
        </w:rPr>
        <w:t xml:space="preserve">Fairmont Manor </w:t>
      </w:r>
      <w:r w:rsidR="00F14E4C" w:rsidRPr="00486A64">
        <w:rPr>
          <w:sz w:val="26"/>
          <w:szCs w:val="26"/>
        </w:rPr>
        <w:t>Realty Co., L.P.</w:t>
      </w:r>
    </w:p>
    <w:p w14:paraId="054EAB77" w14:textId="730EB694" w:rsidR="00695302" w:rsidRPr="00486A64" w:rsidRDefault="00695302" w:rsidP="00013AC0">
      <w:pPr>
        <w:suppressAutoHyphens/>
        <w:autoSpaceDE w:val="0"/>
        <w:autoSpaceDN w:val="0"/>
        <w:spacing w:line="240" w:lineRule="auto"/>
        <w:ind w:firstLine="0"/>
        <w:rPr>
          <w:sz w:val="26"/>
          <w:szCs w:val="26"/>
        </w:rPr>
      </w:pPr>
    </w:p>
    <w:p w14:paraId="167F4B85" w14:textId="77777777" w:rsidR="000C37BD" w:rsidRPr="00486A64" w:rsidRDefault="000C37BD" w:rsidP="00013AC0">
      <w:pPr>
        <w:suppressAutoHyphens/>
        <w:autoSpaceDE w:val="0"/>
        <w:autoSpaceDN w:val="0"/>
        <w:spacing w:line="240" w:lineRule="auto"/>
        <w:ind w:firstLine="0"/>
        <w:rPr>
          <w:sz w:val="26"/>
          <w:szCs w:val="26"/>
        </w:rPr>
      </w:pPr>
    </w:p>
    <w:p w14:paraId="3A6E3BA3" w14:textId="77777777" w:rsidR="00695302" w:rsidRPr="00486A64" w:rsidRDefault="00695302" w:rsidP="00013AC0">
      <w:pPr>
        <w:suppressAutoHyphens/>
        <w:autoSpaceDE w:val="0"/>
        <w:autoSpaceDN w:val="0"/>
        <w:spacing w:line="240" w:lineRule="auto"/>
        <w:ind w:firstLine="0"/>
        <w:rPr>
          <w:sz w:val="26"/>
          <w:szCs w:val="26"/>
        </w:rPr>
      </w:pPr>
      <w:r w:rsidRPr="00486A64">
        <w:rPr>
          <w:sz w:val="26"/>
          <w:szCs w:val="26"/>
        </w:rPr>
        <w:t xml:space="preserve">SBG Management Services, Inc./ </w:t>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t xml:space="preserve">     C-2012-2304303</w:t>
      </w:r>
    </w:p>
    <w:p w14:paraId="50F29371" w14:textId="293D9447" w:rsidR="00695302" w:rsidRPr="00486A64" w:rsidRDefault="00695302" w:rsidP="00013AC0">
      <w:pPr>
        <w:suppressAutoHyphens/>
        <w:autoSpaceDE w:val="0"/>
        <w:autoSpaceDN w:val="0"/>
        <w:spacing w:line="240" w:lineRule="auto"/>
        <w:ind w:firstLine="0"/>
        <w:rPr>
          <w:sz w:val="26"/>
          <w:szCs w:val="26"/>
        </w:rPr>
      </w:pPr>
      <w:r w:rsidRPr="00486A64">
        <w:rPr>
          <w:sz w:val="26"/>
          <w:szCs w:val="26"/>
        </w:rPr>
        <w:t>Marshall Square Realty Co., L.P.</w:t>
      </w:r>
    </w:p>
    <w:p w14:paraId="48B797D1" w14:textId="2C80FB9E" w:rsidR="00695302" w:rsidRPr="00486A64" w:rsidRDefault="00695302" w:rsidP="00013AC0">
      <w:pPr>
        <w:suppressAutoHyphens/>
        <w:autoSpaceDE w:val="0"/>
        <w:autoSpaceDN w:val="0"/>
        <w:spacing w:line="240" w:lineRule="auto"/>
        <w:ind w:firstLine="0"/>
        <w:rPr>
          <w:sz w:val="26"/>
          <w:szCs w:val="26"/>
        </w:rPr>
      </w:pPr>
    </w:p>
    <w:p w14:paraId="6B41AF1E" w14:textId="77777777" w:rsidR="000C37BD" w:rsidRPr="00486A64" w:rsidRDefault="000C37BD" w:rsidP="00013AC0">
      <w:pPr>
        <w:suppressAutoHyphens/>
        <w:autoSpaceDE w:val="0"/>
        <w:autoSpaceDN w:val="0"/>
        <w:spacing w:line="240" w:lineRule="auto"/>
        <w:ind w:firstLine="0"/>
        <w:rPr>
          <w:sz w:val="26"/>
          <w:szCs w:val="26"/>
        </w:rPr>
      </w:pPr>
    </w:p>
    <w:p w14:paraId="795683D8" w14:textId="2687C66F" w:rsidR="00695302" w:rsidRPr="00486A64" w:rsidRDefault="00695302" w:rsidP="00013AC0">
      <w:pPr>
        <w:suppressAutoHyphens/>
        <w:autoSpaceDE w:val="0"/>
        <w:autoSpaceDN w:val="0"/>
        <w:spacing w:line="240" w:lineRule="auto"/>
        <w:ind w:firstLine="0"/>
        <w:rPr>
          <w:sz w:val="26"/>
          <w:szCs w:val="26"/>
        </w:rPr>
      </w:pPr>
      <w:r w:rsidRPr="00486A64">
        <w:rPr>
          <w:sz w:val="26"/>
          <w:szCs w:val="26"/>
        </w:rPr>
        <w:t xml:space="preserve">SBG Management Services, Inc./ </w:t>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t xml:space="preserve">     C-2012-2308454</w:t>
      </w:r>
    </w:p>
    <w:p w14:paraId="070CEB7C" w14:textId="076A7957" w:rsidR="00695302" w:rsidRPr="00486A64" w:rsidRDefault="00695302" w:rsidP="00013AC0">
      <w:pPr>
        <w:suppressAutoHyphens/>
        <w:autoSpaceDE w:val="0"/>
        <w:autoSpaceDN w:val="0"/>
        <w:spacing w:line="240" w:lineRule="auto"/>
        <w:ind w:firstLine="0"/>
        <w:rPr>
          <w:sz w:val="26"/>
          <w:szCs w:val="26"/>
        </w:rPr>
      </w:pPr>
      <w:r w:rsidRPr="00486A64">
        <w:rPr>
          <w:sz w:val="26"/>
          <w:szCs w:val="26"/>
        </w:rPr>
        <w:t>Marchwood Realty Co., L.P.</w:t>
      </w:r>
    </w:p>
    <w:p w14:paraId="45A3CA2F" w14:textId="51E8001E" w:rsidR="002C07E2" w:rsidRPr="00486A64" w:rsidRDefault="002C07E2" w:rsidP="00013AC0">
      <w:pPr>
        <w:suppressAutoHyphens/>
        <w:autoSpaceDE w:val="0"/>
        <w:autoSpaceDN w:val="0"/>
        <w:spacing w:line="240" w:lineRule="auto"/>
        <w:ind w:firstLine="0"/>
        <w:rPr>
          <w:sz w:val="26"/>
          <w:szCs w:val="26"/>
        </w:rPr>
      </w:pPr>
    </w:p>
    <w:p w14:paraId="4C59603B" w14:textId="77777777" w:rsidR="000C37BD" w:rsidRPr="00486A64" w:rsidRDefault="000C37BD" w:rsidP="00013AC0">
      <w:pPr>
        <w:suppressAutoHyphens/>
        <w:autoSpaceDE w:val="0"/>
        <w:autoSpaceDN w:val="0"/>
        <w:spacing w:line="240" w:lineRule="auto"/>
        <w:ind w:firstLine="0"/>
        <w:rPr>
          <w:sz w:val="26"/>
          <w:szCs w:val="26"/>
        </w:rPr>
      </w:pPr>
    </w:p>
    <w:p w14:paraId="076359FF" w14:textId="25CB5E8F" w:rsidR="00695302" w:rsidRPr="00486A64" w:rsidRDefault="00695302" w:rsidP="00013AC0">
      <w:pPr>
        <w:suppressAutoHyphens/>
        <w:autoSpaceDE w:val="0"/>
        <w:autoSpaceDN w:val="0"/>
        <w:spacing w:line="240" w:lineRule="auto"/>
        <w:ind w:firstLine="0"/>
        <w:rPr>
          <w:sz w:val="26"/>
          <w:szCs w:val="26"/>
        </w:rPr>
      </w:pPr>
      <w:r w:rsidRPr="00486A64">
        <w:rPr>
          <w:sz w:val="26"/>
          <w:szCs w:val="26"/>
        </w:rPr>
        <w:t xml:space="preserve">SBG Management Services, Inc./ </w:t>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t xml:space="preserve">     C-2012-2308462</w:t>
      </w:r>
    </w:p>
    <w:p w14:paraId="098032A4" w14:textId="721B5B88" w:rsidR="00695302" w:rsidRPr="00486A64" w:rsidRDefault="00695302" w:rsidP="00013AC0">
      <w:pPr>
        <w:suppressAutoHyphens/>
        <w:autoSpaceDE w:val="0"/>
        <w:autoSpaceDN w:val="0"/>
        <w:spacing w:line="240" w:lineRule="auto"/>
        <w:ind w:firstLine="0"/>
        <w:rPr>
          <w:sz w:val="26"/>
          <w:szCs w:val="26"/>
        </w:rPr>
      </w:pPr>
      <w:r w:rsidRPr="00486A64">
        <w:rPr>
          <w:sz w:val="26"/>
          <w:szCs w:val="26"/>
        </w:rPr>
        <w:t>Oak Lane Court Realty Co., L.P.</w:t>
      </w:r>
    </w:p>
    <w:p w14:paraId="36F59D6C" w14:textId="1BCD8F67" w:rsidR="00307F44" w:rsidRPr="00486A64" w:rsidRDefault="00307F44" w:rsidP="00013AC0">
      <w:pPr>
        <w:suppressAutoHyphens/>
        <w:autoSpaceDE w:val="0"/>
        <w:autoSpaceDN w:val="0"/>
        <w:spacing w:line="240" w:lineRule="auto"/>
        <w:ind w:firstLine="0"/>
        <w:rPr>
          <w:sz w:val="26"/>
          <w:szCs w:val="26"/>
        </w:rPr>
      </w:pPr>
    </w:p>
    <w:p w14:paraId="38031F56" w14:textId="77777777" w:rsidR="000C37BD" w:rsidRPr="00486A64" w:rsidRDefault="000C37BD" w:rsidP="00013AC0">
      <w:pPr>
        <w:suppressAutoHyphens/>
        <w:autoSpaceDE w:val="0"/>
        <w:autoSpaceDN w:val="0"/>
        <w:spacing w:line="240" w:lineRule="auto"/>
        <w:ind w:firstLine="0"/>
        <w:rPr>
          <w:sz w:val="26"/>
          <w:szCs w:val="26"/>
        </w:rPr>
      </w:pPr>
    </w:p>
    <w:p w14:paraId="5AA5632B" w14:textId="0372D860" w:rsidR="00013AC0" w:rsidRPr="00486A64" w:rsidRDefault="00260DC2" w:rsidP="00013AC0">
      <w:pPr>
        <w:keepNext/>
        <w:keepLines/>
        <w:suppressAutoHyphens/>
        <w:autoSpaceDE w:val="0"/>
        <w:autoSpaceDN w:val="0"/>
        <w:spacing w:line="240" w:lineRule="auto"/>
        <w:ind w:firstLine="0"/>
        <w:rPr>
          <w:sz w:val="26"/>
          <w:szCs w:val="26"/>
        </w:rPr>
      </w:pPr>
      <w:r w:rsidRPr="00486A64">
        <w:rPr>
          <w:sz w:val="26"/>
          <w:szCs w:val="26"/>
        </w:rPr>
        <w:t>SBG Management Services, Inc./</w:t>
      </w:r>
      <w:r w:rsidR="00013AC0" w:rsidRPr="00486A64">
        <w:rPr>
          <w:sz w:val="26"/>
          <w:szCs w:val="26"/>
        </w:rPr>
        <w:t xml:space="preserve"> </w:t>
      </w:r>
      <w:r w:rsidR="00013AC0" w:rsidRPr="00486A64">
        <w:rPr>
          <w:sz w:val="26"/>
          <w:szCs w:val="26"/>
        </w:rPr>
        <w:tab/>
      </w:r>
      <w:r w:rsidR="00013AC0" w:rsidRPr="00486A64">
        <w:rPr>
          <w:sz w:val="26"/>
          <w:szCs w:val="26"/>
        </w:rPr>
        <w:tab/>
      </w:r>
      <w:r w:rsidR="00013AC0" w:rsidRPr="00486A64">
        <w:rPr>
          <w:sz w:val="26"/>
          <w:szCs w:val="26"/>
        </w:rPr>
        <w:tab/>
      </w:r>
      <w:r w:rsidR="00013AC0" w:rsidRPr="00486A64">
        <w:rPr>
          <w:sz w:val="26"/>
          <w:szCs w:val="26"/>
        </w:rPr>
        <w:tab/>
      </w:r>
      <w:r w:rsidR="00013AC0" w:rsidRPr="00486A64">
        <w:rPr>
          <w:sz w:val="26"/>
          <w:szCs w:val="26"/>
        </w:rPr>
        <w:tab/>
      </w:r>
      <w:r w:rsidR="00013AC0" w:rsidRPr="00486A64">
        <w:rPr>
          <w:sz w:val="26"/>
          <w:szCs w:val="26"/>
        </w:rPr>
        <w:tab/>
        <w:t xml:space="preserve">     C-2012-2308465</w:t>
      </w:r>
    </w:p>
    <w:p w14:paraId="5F495BE3" w14:textId="255EA408" w:rsidR="00307F44" w:rsidRPr="00486A64" w:rsidRDefault="00013AC0" w:rsidP="00013AC0">
      <w:pPr>
        <w:keepNext/>
        <w:keepLines/>
        <w:suppressAutoHyphens/>
        <w:autoSpaceDE w:val="0"/>
        <w:autoSpaceDN w:val="0"/>
        <w:spacing w:line="240" w:lineRule="auto"/>
        <w:ind w:firstLine="0"/>
        <w:rPr>
          <w:sz w:val="26"/>
          <w:szCs w:val="26"/>
        </w:rPr>
      </w:pPr>
      <w:r w:rsidRPr="00486A64">
        <w:rPr>
          <w:sz w:val="26"/>
          <w:szCs w:val="26"/>
        </w:rPr>
        <w:t>Fern Rock Realty Co., L.P.</w:t>
      </w:r>
    </w:p>
    <w:p w14:paraId="3AC780E7" w14:textId="77777777" w:rsidR="00013AC0" w:rsidRPr="00486A64" w:rsidRDefault="00013AC0" w:rsidP="00013AC0">
      <w:pPr>
        <w:keepNext/>
        <w:keepLines/>
        <w:suppressAutoHyphens/>
        <w:autoSpaceDE w:val="0"/>
        <w:autoSpaceDN w:val="0"/>
        <w:spacing w:line="240" w:lineRule="auto"/>
        <w:ind w:firstLine="0"/>
        <w:rPr>
          <w:sz w:val="26"/>
          <w:szCs w:val="26"/>
        </w:rPr>
      </w:pPr>
    </w:p>
    <w:p w14:paraId="42B9711A" w14:textId="0D9B3285" w:rsidR="00260DC2" w:rsidRPr="00486A64" w:rsidRDefault="00260DC2" w:rsidP="00013AC0">
      <w:pPr>
        <w:keepNext/>
        <w:keepLines/>
        <w:suppressAutoHyphens/>
        <w:autoSpaceDE w:val="0"/>
        <w:autoSpaceDN w:val="0"/>
        <w:spacing w:line="240" w:lineRule="auto"/>
        <w:ind w:firstLine="0"/>
        <w:rPr>
          <w:sz w:val="26"/>
          <w:szCs w:val="26"/>
        </w:rPr>
      </w:pPr>
      <w:r w:rsidRPr="00486A64">
        <w:rPr>
          <w:sz w:val="26"/>
          <w:szCs w:val="26"/>
        </w:rPr>
        <w:tab/>
      </w:r>
      <w:r w:rsidRPr="00486A64">
        <w:rPr>
          <w:sz w:val="26"/>
          <w:szCs w:val="26"/>
        </w:rPr>
        <w:tab/>
        <w:t>v.</w:t>
      </w:r>
    </w:p>
    <w:p w14:paraId="74D9FA4E" w14:textId="77777777" w:rsidR="00013AC0" w:rsidRPr="00486A64" w:rsidRDefault="00013AC0" w:rsidP="00013AC0">
      <w:pPr>
        <w:keepNext/>
        <w:keepLines/>
        <w:suppressAutoHyphens/>
        <w:autoSpaceDE w:val="0"/>
        <w:autoSpaceDN w:val="0"/>
        <w:spacing w:line="240" w:lineRule="auto"/>
        <w:ind w:firstLine="0"/>
        <w:rPr>
          <w:sz w:val="26"/>
          <w:szCs w:val="26"/>
        </w:rPr>
      </w:pPr>
    </w:p>
    <w:p w14:paraId="56BD3315" w14:textId="12A8E806" w:rsidR="00260DC2" w:rsidRPr="00486A64" w:rsidRDefault="00260DC2" w:rsidP="00013AC0">
      <w:pPr>
        <w:keepNext/>
        <w:keepLines/>
        <w:suppressAutoHyphens/>
        <w:autoSpaceDE w:val="0"/>
        <w:autoSpaceDN w:val="0"/>
        <w:spacing w:line="240" w:lineRule="auto"/>
        <w:ind w:firstLine="0"/>
        <w:rPr>
          <w:sz w:val="26"/>
          <w:szCs w:val="26"/>
        </w:rPr>
      </w:pPr>
      <w:r w:rsidRPr="00486A64">
        <w:rPr>
          <w:sz w:val="26"/>
          <w:szCs w:val="26"/>
        </w:rPr>
        <w:t>Philadelphia Gas Works</w:t>
      </w:r>
    </w:p>
    <w:p w14:paraId="149BE1B5" w14:textId="77777777" w:rsidR="00260DC2" w:rsidRPr="00486A64" w:rsidRDefault="00260DC2" w:rsidP="000C0BE9">
      <w:pPr>
        <w:ind w:firstLine="0"/>
        <w:rPr>
          <w:b/>
          <w:sz w:val="26"/>
          <w:szCs w:val="26"/>
        </w:rPr>
      </w:pPr>
    </w:p>
    <w:p w14:paraId="254BEABB" w14:textId="77777777" w:rsidR="00C07AB0" w:rsidRDefault="00C07AB0" w:rsidP="00F14E4C">
      <w:pPr>
        <w:ind w:firstLine="0"/>
        <w:jc w:val="center"/>
        <w:rPr>
          <w:b/>
          <w:sz w:val="26"/>
          <w:szCs w:val="26"/>
        </w:rPr>
      </w:pPr>
    </w:p>
    <w:p w14:paraId="28088C77" w14:textId="467F8631" w:rsidR="00F14E4C" w:rsidRPr="00486A64" w:rsidRDefault="00F14E4C" w:rsidP="00F14E4C">
      <w:pPr>
        <w:ind w:firstLine="0"/>
        <w:jc w:val="center"/>
        <w:rPr>
          <w:b/>
          <w:sz w:val="26"/>
          <w:szCs w:val="26"/>
        </w:rPr>
      </w:pPr>
      <w:r w:rsidRPr="00486A64">
        <w:rPr>
          <w:b/>
          <w:sz w:val="26"/>
          <w:szCs w:val="26"/>
        </w:rPr>
        <w:t>OPINION AND ORDER</w:t>
      </w:r>
    </w:p>
    <w:p w14:paraId="31423753" w14:textId="6B017D0E" w:rsidR="00F14E4C" w:rsidRPr="00486A64" w:rsidRDefault="00F14E4C" w:rsidP="00F14E4C">
      <w:pPr>
        <w:suppressAutoHyphens/>
        <w:ind w:firstLine="0"/>
        <w:rPr>
          <w:b/>
          <w:sz w:val="26"/>
          <w:szCs w:val="26"/>
        </w:rPr>
      </w:pPr>
    </w:p>
    <w:p w14:paraId="33277B65" w14:textId="4D942E48" w:rsidR="00F14E4C" w:rsidRPr="00486A64" w:rsidRDefault="00F14E4C" w:rsidP="00F14E4C">
      <w:pPr>
        <w:suppressAutoHyphens/>
        <w:ind w:firstLine="0"/>
        <w:rPr>
          <w:b/>
          <w:sz w:val="26"/>
          <w:szCs w:val="26"/>
        </w:rPr>
      </w:pPr>
      <w:r w:rsidRPr="00486A64">
        <w:rPr>
          <w:b/>
          <w:sz w:val="26"/>
          <w:szCs w:val="26"/>
        </w:rPr>
        <w:t>BY THE COMMISSION:</w:t>
      </w:r>
    </w:p>
    <w:p w14:paraId="48C05D5E" w14:textId="16CAB77E" w:rsidR="00F14E4C" w:rsidRPr="00486A64" w:rsidRDefault="00F14E4C" w:rsidP="00F14E4C">
      <w:pPr>
        <w:suppressAutoHyphens/>
        <w:ind w:firstLine="0"/>
        <w:rPr>
          <w:b/>
          <w:sz w:val="26"/>
          <w:szCs w:val="26"/>
        </w:rPr>
      </w:pPr>
    </w:p>
    <w:p w14:paraId="0B5EE173" w14:textId="3DCE02A9" w:rsidR="00D645D6" w:rsidRPr="00486A64" w:rsidRDefault="00D645D6" w:rsidP="00EB001E">
      <w:pPr>
        <w:ind w:left="29"/>
        <w:rPr>
          <w:sz w:val="26"/>
          <w:szCs w:val="26"/>
        </w:rPr>
      </w:pPr>
      <w:r w:rsidRPr="00486A64">
        <w:rPr>
          <w:sz w:val="26"/>
          <w:szCs w:val="26"/>
        </w:rPr>
        <w:t>Before the Pennsylvania Public Utility Commission (Commission) for consideration and disposition is a Petition for Stay (Petition) filed by Philadelphia Gas Works (Petitioner or PGW</w:t>
      </w:r>
      <w:r w:rsidR="000C37BD" w:rsidRPr="00486A64">
        <w:rPr>
          <w:sz w:val="26"/>
          <w:szCs w:val="26"/>
        </w:rPr>
        <w:t>)</w:t>
      </w:r>
      <w:r w:rsidRPr="00486A64">
        <w:rPr>
          <w:rStyle w:val="FootnoteReference"/>
          <w:rFonts w:eastAsia="SimSun"/>
          <w:szCs w:val="26"/>
        </w:rPr>
        <w:footnoteReference w:id="1"/>
      </w:r>
      <w:r w:rsidRPr="00486A64">
        <w:rPr>
          <w:sz w:val="26"/>
          <w:szCs w:val="26"/>
        </w:rPr>
        <w:t xml:space="preserve"> on </w:t>
      </w:r>
      <w:r w:rsidR="00B16B29" w:rsidRPr="00486A64">
        <w:rPr>
          <w:sz w:val="26"/>
          <w:szCs w:val="26"/>
        </w:rPr>
        <w:t>October 19, 2018</w:t>
      </w:r>
      <w:r w:rsidRPr="00486A64">
        <w:rPr>
          <w:sz w:val="26"/>
          <w:szCs w:val="26"/>
        </w:rPr>
        <w:t>.</w:t>
      </w:r>
      <w:r w:rsidRPr="00486A64">
        <w:rPr>
          <w:rStyle w:val="FootnoteReference"/>
          <w:rFonts w:eastAsia="SimSun"/>
          <w:szCs w:val="26"/>
        </w:rPr>
        <w:footnoteReference w:id="2"/>
      </w:r>
      <w:r w:rsidRPr="00486A64">
        <w:rPr>
          <w:sz w:val="26"/>
          <w:szCs w:val="26"/>
        </w:rPr>
        <w:t xml:space="preserve">  In its Petition, PGW requests a stay of its duty to comply with the prior final </w:t>
      </w:r>
      <w:r w:rsidR="0062221D" w:rsidRPr="00486A64">
        <w:rPr>
          <w:sz w:val="26"/>
          <w:szCs w:val="26"/>
        </w:rPr>
        <w:t>o</w:t>
      </w:r>
      <w:r w:rsidR="004479D3" w:rsidRPr="00486A64">
        <w:rPr>
          <w:sz w:val="26"/>
          <w:szCs w:val="26"/>
        </w:rPr>
        <w:t>rders</w:t>
      </w:r>
      <w:r w:rsidRPr="00486A64">
        <w:rPr>
          <w:sz w:val="26"/>
          <w:szCs w:val="26"/>
        </w:rPr>
        <w:t xml:space="preserve"> of the Commission entered on</w:t>
      </w:r>
      <w:r w:rsidR="00DC6A3C" w:rsidRPr="00486A64">
        <w:rPr>
          <w:sz w:val="26"/>
          <w:szCs w:val="26"/>
        </w:rPr>
        <w:t xml:space="preserve"> September</w:t>
      </w:r>
      <w:r w:rsidR="00486A64">
        <w:rPr>
          <w:sz w:val="26"/>
          <w:szCs w:val="26"/>
        </w:rPr>
        <w:t> </w:t>
      </w:r>
      <w:r w:rsidR="00DC6A3C" w:rsidRPr="00486A64">
        <w:rPr>
          <w:sz w:val="26"/>
          <w:szCs w:val="26"/>
        </w:rPr>
        <w:t xml:space="preserve">20, 2018 </w:t>
      </w:r>
      <w:r w:rsidR="00C15BEA" w:rsidRPr="00486A64">
        <w:rPr>
          <w:sz w:val="26"/>
          <w:szCs w:val="26"/>
        </w:rPr>
        <w:t xml:space="preserve"> at</w:t>
      </w:r>
      <w:r w:rsidR="00DC6A3C" w:rsidRPr="00486A64">
        <w:rPr>
          <w:sz w:val="26"/>
          <w:szCs w:val="26"/>
        </w:rPr>
        <w:t xml:space="preserve"> Docket Nos. C-2012-2304167, C-2012-2304215 </w:t>
      </w:r>
      <w:r w:rsidR="00C15BEA" w:rsidRPr="00486A64">
        <w:rPr>
          <w:sz w:val="26"/>
          <w:szCs w:val="26"/>
        </w:rPr>
        <w:t>and C2012-2304303</w:t>
      </w:r>
      <w:r w:rsidR="004479D3" w:rsidRPr="00486A64">
        <w:rPr>
          <w:sz w:val="26"/>
          <w:szCs w:val="26"/>
        </w:rPr>
        <w:t xml:space="preserve"> (</w:t>
      </w:r>
      <w:r w:rsidR="004479D3" w:rsidRPr="00486A64">
        <w:rPr>
          <w:i/>
          <w:sz w:val="26"/>
          <w:szCs w:val="26"/>
        </w:rPr>
        <w:t>September 2018 Order</w:t>
      </w:r>
      <w:r w:rsidR="004479D3" w:rsidRPr="00486A64">
        <w:rPr>
          <w:sz w:val="26"/>
          <w:szCs w:val="26"/>
        </w:rPr>
        <w:t>)</w:t>
      </w:r>
      <w:r w:rsidR="00C15BEA" w:rsidRPr="00486A64">
        <w:rPr>
          <w:sz w:val="26"/>
          <w:szCs w:val="26"/>
        </w:rPr>
        <w:t>, and</w:t>
      </w:r>
      <w:r w:rsidR="00DC6A3C" w:rsidRPr="00486A64">
        <w:rPr>
          <w:sz w:val="26"/>
          <w:szCs w:val="26"/>
        </w:rPr>
        <w:t xml:space="preserve"> </w:t>
      </w:r>
      <w:r w:rsidR="004479D3" w:rsidRPr="00486A64">
        <w:rPr>
          <w:sz w:val="26"/>
          <w:szCs w:val="26"/>
        </w:rPr>
        <w:t xml:space="preserve">on, </w:t>
      </w:r>
      <w:r w:rsidR="00DC6A3C" w:rsidRPr="00486A64">
        <w:rPr>
          <w:sz w:val="26"/>
          <w:szCs w:val="26"/>
        </w:rPr>
        <w:t xml:space="preserve">October 4, 2018 </w:t>
      </w:r>
      <w:r w:rsidR="00C15BEA" w:rsidRPr="00486A64">
        <w:rPr>
          <w:sz w:val="26"/>
          <w:szCs w:val="26"/>
        </w:rPr>
        <w:t>at</w:t>
      </w:r>
      <w:r w:rsidR="00DC6A3C" w:rsidRPr="00486A64">
        <w:rPr>
          <w:sz w:val="26"/>
          <w:szCs w:val="26"/>
        </w:rPr>
        <w:t xml:space="preserve"> Docket Nos. C-2012-2308454, C-2012-2308462 and C-2012</w:t>
      </w:r>
      <w:r w:rsidR="0062221D" w:rsidRPr="00486A64">
        <w:rPr>
          <w:sz w:val="26"/>
          <w:szCs w:val="26"/>
        </w:rPr>
        <w:t>-</w:t>
      </w:r>
      <w:r w:rsidR="00DC6A3C" w:rsidRPr="00486A64">
        <w:rPr>
          <w:sz w:val="26"/>
          <w:szCs w:val="26"/>
        </w:rPr>
        <w:t xml:space="preserve">2308465 </w:t>
      </w:r>
      <w:r w:rsidR="004479D3" w:rsidRPr="00486A64">
        <w:rPr>
          <w:sz w:val="26"/>
          <w:szCs w:val="26"/>
        </w:rPr>
        <w:t>(</w:t>
      </w:r>
      <w:r w:rsidR="004479D3" w:rsidRPr="00486A64">
        <w:rPr>
          <w:i/>
          <w:sz w:val="26"/>
          <w:szCs w:val="26"/>
        </w:rPr>
        <w:t>October 2018 Order</w:t>
      </w:r>
      <w:r w:rsidR="004479D3" w:rsidRPr="00486A64">
        <w:rPr>
          <w:sz w:val="26"/>
          <w:szCs w:val="26"/>
        </w:rPr>
        <w:t>)</w:t>
      </w:r>
      <w:r w:rsidR="000C37BD" w:rsidRPr="00486A64">
        <w:rPr>
          <w:sz w:val="26"/>
          <w:szCs w:val="26"/>
        </w:rPr>
        <w:t xml:space="preserve"> </w:t>
      </w:r>
      <w:r w:rsidR="004479D3" w:rsidRPr="00486A64">
        <w:rPr>
          <w:sz w:val="26"/>
          <w:szCs w:val="26"/>
        </w:rPr>
        <w:t>(</w:t>
      </w:r>
      <w:r w:rsidR="00DC6A3C" w:rsidRPr="00486A64">
        <w:rPr>
          <w:sz w:val="26"/>
          <w:szCs w:val="26"/>
        </w:rPr>
        <w:t xml:space="preserve">collectively, the </w:t>
      </w:r>
      <w:r w:rsidR="00C15BEA" w:rsidRPr="00486A64">
        <w:rPr>
          <w:i/>
          <w:sz w:val="26"/>
          <w:szCs w:val="26"/>
        </w:rPr>
        <w:t>Commission O</w:t>
      </w:r>
      <w:r w:rsidR="00DC6A3C" w:rsidRPr="00486A64">
        <w:rPr>
          <w:i/>
          <w:sz w:val="26"/>
          <w:szCs w:val="26"/>
        </w:rPr>
        <w:t>rders</w:t>
      </w:r>
      <w:r w:rsidR="00DC6A3C" w:rsidRPr="00486A64">
        <w:rPr>
          <w:sz w:val="26"/>
          <w:szCs w:val="26"/>
        </w:rPr>
        <w:t>)</w:t>
      </w:r>
      <w:r w:rsidR="00C15BEA" w:rsidRPr="00486A64">
        <w:rPr>
          <w:sz w:val="26"/>
          <w:szCs w:val="26"/>
        </w:rPr>
        <w:t>,</w:t>
      </w:r>
      <w:r w:rsidR="00B16B29" w:rsidRPr="00486A64">
        <w:rPr>
          <w:sz w:val="26"/>
          <w:szCs w:val="26"/>
        </w:rPr>
        <w:t xml:space="preserve"> </w:t>
      </w:r>
      <w:r w:rsidR="00DC6A3C" w:rsidRPr="00486A64">
        <w:rPr>
          <w:sz w:val="26"/>
          <w:szCs w:val="26"/>
        </w:rPr>
        <w:t xml:space="preserve">pending the Commonwealth Court’s consideration of PGW’s </w:t>
      </w:r>
      <w:r w:rsidR="00DC6A3C" w:rsidRPr="00486A64">
        <w:rPr>
          <w:sz w:val="26"/>
          <w:szCs w:val="26"/>
        </w:rPr>
        <w:lastRenderedPageBreak/>
        <w:t>Petition</w:t>
      </w:r>
      <w:r w:rsidR="00C15BEA" w:rsidRPr="00486A64">
        <w:rPr>
          <w:sz w:val="26"/>
          <w:szCs w:val="26"/>
        </w:rPr>
        <w:t>s</w:t>
      </w:r>
      <w:r w:rsidR="00DC6A3C" w:rsidRPr="00486A64">
        <w:rPr>
          <w:sz w:val="26"/>
          <w:szCs w:val="26"/>
        </w:rPr>
        <w:t xml:space="preserve"> for Review </w:t>
      </w:r>
      <w:r w:rsidR="00C15BEA" w:rsidRPr="00486A64">
        <w:rPr>
          <w:sz w:val="26"/>
          <w:szCs w:val="26"/>
        </w:rPr>
        <w:t>of the Commission Orders</w:t>
      </w:r>
      <w:r w:rsidR="0062221D" w:rsidRPr="00486A64">
        <w:rPr>
          <w:sz w:val="26"/>
          <w:szCs w:val="26"/>
        </w:rPr>
        <w:t>.</w:t>
      </w:r>
      <w:r w:rsidR="00C15BEA" w:rsidRPr="00486A64">
        <w:rPr>
          <w:rStyle w:val="FootnoteReference"/>
          <w:szCs w:val="26"/>
        </w:rPr>
        <w:footnoteReference w:id="3"/>
      </w:r>
      <w:r w:rsidR="000C37BD" w:rsidRPr="00486A64">
        <w:rPr>
          <w:sz w:val="26"/>
          <w:szCs w:val="26"/>
          <w:vertAlign w:val="superscript"/>
        </w:rPr>
        <w:t xml:space="preserve">, </w:t>
      </w:r>
      <w:r w:rsidR="00C15BEA" w:rsidRPr="00486A64">
        <w:rPr>
          <w:rStyle w:val="FootnoteReference"/>
          <w:szCs w:val="26"/>
        </w:rPr>
        <w:footnoteReference w:id="4"/>
      </w:r>
      <w:r w:rsidR="00B16B29" w:rsidRPr="00486A64">
        <w:rPr>
          <w:sz w:val="26"/>
          <w:szCs w:val="26"/>
        </w:rPr>
        <w:t xml:space="preserve">  </w:t>
      </w:r>
      <w:r w:rsidRPr="00486A64">
        <w:rPr>
          <w:sz w:val="26"/>
          <w:szCs w:val="26"/>
        </w:rPr>
        <w:t xml:space="preserve">An Answer to the Petition was filed on </w:t>
      </w:r>
      <w:r w:rsidR="004938E7" w:rsidRPr="00486A64">
        <w:rPr>
          <w:sz w:val="26"/>
          <w:szCs w:val="26"/>
        </w:rPr>
        <w:t>November 21, 2018</w:t>
      </w:r>
      <w:r w:rsidR="0062221D" w:rsidRPr="00486A64">
        <w:rPr>
          <w:sz w:val="26"/>
          <w:szCs w:val="26"/>
        </w:rPr>
        <w:t>,</w:t>
      </w:r>
      <w:r w:rsidR="004938E7" w:rsidRPr="00486A64">
        <w:rPr>
          <w:rStyle w:val="FootnoteReference"/>
          <w:szCs w:val="26"/>
        </w:rPr>
        <w:footnoteReference w:id="5"/>
      </w:r>
      <w:r w:rsidRPr="00486A64">
        <w:rPr>
          <w:sz w:val="26"/>
          <w:szCs w:val="26"/>
        </w:rPr>
        <w:t xml:space="preserve"> by SBG Management Services, Inc., </w:t>
      </w:r>
      <w:r w:rsidRPr="00486A64">
        <w:rPr>
          <w:i/>
          <w:sz w:val="26"/>
          <w:szCs w:val="26"/>
        </w:rPr>
        <w:t>et al</w:t>
      </w:r>
      <w:r w:rsidRPr="00486A64">
        <w:rPr>
          <w:sz w:val="26"/>
          <w:szCs w:val="26"/>
        </w:rPr>
        <w:t>. (SBG) (Answer).</w:t>
      </w:r>
    </w:p>
    <w:p w14:paraId="62B6F115" w14:textId="77777777" w:rsidR="0044597B" w:rsidRPr="00486A64" w:rsidRDefault="0044597B" w:rsidP="00D645D6">
      <w:pPr>
        <w:rPr>
          <w:sz w:val="26"/>
          <w:szCs w:val="26"/>
        </w:rPr>
      </w:pPr>
    </w:p>
    <w:p w14:paraId="3DB5FAAD" w14:textId="03E0D0CD" w:rsidR="00D645D6" w:rsidRPr="00486A64" w:rsidRDefault="00D645D6" w:rsidP="00D645D6">
      <w:pPr>
        <w:rPr>
          <w:sz w:val="26"/>
          <w:szCs w:val="26"/>
        </w:rPr>
      </w:pPr>
      <w:r w:rsidRPr="00486A64">
        <w:rPr>
          <w:sz w:val="26"/>
          <w:szCs w:val="26"/>
        </w:rPr>
        <w:t>Upon review of PGW’s Petition for Stay</w:t>
      </w:r>
      <w:r w:rsidRPr="00486A64">
        <w:rPr>
          <w:i/>
          <w:sz w:val="26"/>
          <w:szCs w:val="26"/>
        </w:rPr>
        <w:t>,</w:t>
      </w:r>
      <w:r w:rsidRPr="00486A64">
        <w:rPr>
          <w:sz w:val="26"/>
          <w:szCs w:val="26"/>
        </w:rPr>
        <w:t xml:space="preserve"> SBG’s Answer thereto, and the applicable law, we find that the substantive allegations of the petition lack merit.  Therefore, for the reasons discussed below, we shall deny PGW’s Petition for Stay.</w:t>
      </w:r>
    </w:p>
    <w:p w14:paraId="095E8FEC" w14:textId="77777777" w:rsidR="00D645D6" w:rsidRPr="00486A64" w:rsidRDefault="00D645D6" w:rsidP="00D645D6">
      <w:pPr>
        <w:rPr>
          <w:sz w:val="26"/>
          <w:szCs w:val="26"/>
        </w:rPr>
      </w:pPr>
    </w:p>
    <w:p w14:paraId="0BC418BE" w14:textId="77777777" w:rsidR="00D645D6" w:rsidRPr="00486A64" w:rsidRDefault="00D645D6" w:rsidP="00D645D6">
      <w:pPr>
        <w:pStyle w:val="ListParagraph"/>
        <w:keepNext/>
        <w:keepLines/>
        <w:numPr>
          <w:ilvl w:val="0"/>
          <w:numId w:val="4"/>
        </w:numPr>
        <w:spacing w:line="240" w:lineRule="auto"/>
        <w:ind w:left="360" w:hanging="360"/>
        <w:jc w:val="center"/>
        <w:rPr>
          <w:color w:val="000000"/>
          <w:sz w:val="26"/>
          <w:szCs w:val="26"/>
        </w:rPr>
      </w:pPr>
      <w:r w:rsidRPr="00486A64">
        <w:rPr>
          <w:b/>
          <w:sz w:val="26"/>
          <w:szCs w:val="26"/>
        </w:rPr>
        <w:t>Background and Procedural History of the Proceeding</w:t>
      </w:r>
      <w:r w:rsidRPr="00486A64">
        <w:rPr>
          <w:rStyle w:val="FootnoteReference"/>
          <w:rFonts w:eastAsia="SimSun"/>
          <w:b/>
          <w:szCs w:val="26"/>
        </w:rPr>
        <w:footnoteReference w:id="6"/>
      </w:r>
    </w:p>
    <w:p w14:paraId="7CF5F9DA" w14:textId="77777777" w:rsidR="00D645D6" w:rsidRPr="00486A64" w:rsidRDefault="00D645D6" w:rsidP="00D645D6">
      <w:pPr>
        <w:keepNext/>
        <w:keepLines/>
        <w:ind w:firstLine="0"/>
        <w:rPr>
          <w:color w:val="000000"/>
          <w:sz w:val="26"/>
          <w:szCs w:val="26"/>
        </w:rPr>
      </w:pPr>
    </w:p>
    <w:p w14:paraId="037F0F51" w14:textId="77777777" w:rsidR="00D645D6" w:rsidRPr="00486A64" w:rsidRDefault="00D645D6" w:rsidP="00D645D6">
      <w:pPr>
        <w:pStyle w:val="ListParagraph"/>
        <w:keepNext/>
        <w:keepLines/>
        <w:numPr>
          <w:ilvl w:val="0"/>
          <w:numId w:val="5"/>
        </w:numPr>
        <w:autoSpaceDE w:val="0"/>
        <w:autoSpaceDN w:val="0"/>
        <w:ind w:left="360"/>
        <w:rPr>
          <w:b/>
          <w:sz w:val="26"/>
          <w:szCs w:val="26"/>
        </w:rPr>
      </w:pPr>
      <w:bookmarkStart w:id="0" w:name="_Hlk521308638"/>
      <w:r w:rsidRPr="00486A64">
        <w:rPr>
          <w:b/>
          <w:sz w:val="26"/>
          <w:szCs w:val="26"/>
        </w:rPr>
        <w:t>Background</w:t>
      </w:r>
    </w:p>
    <w:p w14:paraId="3C7B584A" w14:textId="77777777" w:rsidR="00D645D6" w:rsidRPr="00486A64" w:rsidRDefault="00D645D6" w:rsidP="00D645D6">
      <w:pPr>
        <w:keepNext/>
        <w:keepLines/>
        <w:autoSpaceDE w:val="0"/>
        <w:autoSpaceDN w:val="0"/>
        <w:rPr>
          <w:sz w:val="26"/>
          <w:szCs w:val="26"/>
        </w:rPr>
      </w:pPr>
    </w:p>
    <w:p w14:paraId="62F6DBC2" w14:textId="4A1F3E24" w:rsidR="00D645D6" w:rsidRPr="00486A64" w:rsidRDefault="00D645D6" w:rsidP="00D645D6">
      <w:pPr>
        <w:tabs>
          <w:tab w:val="left" w:pos="-720"/>
        </w:tabs>
        <w:suppressAutoHyphens/>
        <w:rPr>
          <w:sz w:val="26"/>
          <w:szCs w:val="26"/>
        </w:rPr>
      </w:pPr>
      <w:r w:rsidRPr="00486A64">
        <w:rPr>
          <w:sz w:val="26"/>
          <w:szCs w:val="26"/>
        </w:rPr>
        <w:t xml:space="preserve">PGW requests a stay of its duty to comply with the </w:t>
      </w:r>
      <w:r w:rsidRPr="00486A64">
        <w:rPr>
          <w:i/>
          <w:sz w:val="26"/>
          <w:szCs w:val="26"/>
        </w:rPr>
        <w:t>Commission Orders</w:t>
      </w:r>
      <w:r w:rsidRPr="00486A64">
        <w:rPr>
          <w:sz w:val="26"/>
          <w:szCs w:val="26"/>
        </w:rPr>
        <w:t xml:space="preserve"> to provide billing for utility service in compliance with Section</w:t>
      </w:r>
      <w:r w:rsidR="0062221D" w:rsidRPr="00486A64">
        <w:rPr>
          <w:sz w:val="26"/>
          <w:szCs w:val="26"/>
        </w:rPr>
        <w:t>s</w:t>
      </w:r>
      <w:r w:rsidRPr="00486A64">
        <w:rPr>
          <w:sz w:val="26"/>
          <w:szCs w:val="26"/>
        </w:rPr>
        <w:t xml:space="preserve"> 56.22-24 of the Commission’s regulations, 52 Pa. Code §§ 56.22-24 (pertaining to late fees and application of partial payments to utility accounts); to reimburse SBG for overpayments made due to PGW’s unlawful billing practices; and to pay penalties due to PGW’s failure to provide reasonable service and failure to disclose its accounting and billing practices.</w:t>
      </w:r>
      <w:r w:rsidR="002A73E8" w:rsidRPr="00486A64">
        <w:rPr>
          <w:rStyle w:val="FootnoteReference"/>
          <w:szCs w:val="26"/>
        </w:rPr>
        <w:footnoteReference w:id="7"/>
      </w:r>
    </w:p>
    <w:p w14:paraId="0A97E363" w14:textId="0814274F" w:rsidR="00CF0F0D" w:rsidRPr="00486A64" w:rsidRDefault="00CF0F0D" w:rsidP="00D645D6">
      <w:pPr>
        <w:tabs>
          <w:tab w:val="left" w:pos="-720"/>
        </w:tabs>
        <w:suppressAutoHyphens/>
        <w:rPr>
          <w:sz w:val="26"/>
          <w:szCs w:val="26"/>
        </w:rPr>
      </w:pPr>
    </w:p>
    <w:p w14:paraId="0834B4F4" w14:textId="1DE0436D" w:rsidR="00CF0F0D" w:rsidRPr="00486A64" w:rsidRDefault="00CF0F0D" w:rsidP="00D645D6">
      <w:pPr>
        <w:tabs>
          <w:tab w:val="left" w:pos="-720"/>
        </w:tabs>
        <w:suppressAutoHyphens/>
        <w:rPr>
          <w:sz w:val="26"/>
          <w:szCs w:val="26"/>
        </w:rPr>
      </w:pPr>
      <w:r w:rsidRPr="00486A64">
        <w:rPr>
          <w:sz w:val="26"/>
          <w:szCs w:val="26"/>
        </w:rPr>
        <w:t xml:space="preserve">The </w:t>
      </w:r>
      <w:r w:rsidRPr="00486A64">
        <w:rPr>
          <w:i/>
          <w:sz w:val="26"/>
          <w:szCs w:val="26"/>
        </w:rPr>
        <w:t>Commission Orders</w:t>
      </w:r>
      <w:r w:rsidRPr="00486A64">
        <w:rPr>
          <w:sz w:val="26"/>
          <w:szCs w:val="26"/>
        </w:rPr>
        <w:t xml:space="preserve"> which are the subject of PGW’s present Petition for Stay, applied the holding of our prior Opinion and Order in </w:t>
      </w:r>
      <w:r w:rsidRPr="00486A64">
        <w:rPr>
          <w:i/>
          <w:sz w:val="26"/>
          <w:szCs w:val="26"/>
        </w:rPr>
        <w:t>SBG Management Services, Inc./Colonial Garden Realty Co., L.P., et al. v. Philadelphia Gas Works</w:t>
      </w:r>
      <w:r w:rsidRPr="00486A64">
        <w:rPr>
          <w:sz w:val="26"/>
          <w:szCs w:val="26"/>
        </w:rPr>
        <w:t>, at Docket Nos. C-2012-2304183, C-2012-2304324</w:t>
      </w:r>
      <w:r w:rsidR="00B60716" w:rsidRPr="00486A64">
        <w:rPr>
          <w:sz w:val="26"/>
          <w:szCs w:val="26"/>
        </w:rPr>
        <w:t xml:space="preserve">. </w:t>
      </w:r>
      <w:r w:rsidR="00F54456">
        <w:rPr>
          <w:sz w:val="26"/>
          <w:szCs w:val="26"/>
        </w:rPr>
        <w:t xml:space="preserve"> </w:t>
      </w:r>
      <w:r w:rsidR="00B60716" w:rsidRPr="00F54456">
        <w:rPr>
          <w:i/>
          <w:sz w:val="26"/>
          <w:szCs w:val="26"/>
        </w:rPr>
        <w:t>See</w:t>
      </w:r>
      <w:r w:rsidR="00B60716" w:rsidRPr="00486A64">
        <w:rPr>
          <w:sz w:val="26"/>
          <w:szCs w:val="26"/>
        </w:rPr>
        <w:t xml:space="preserve">, </w:t>
      </w:r>
      <w:r w:rsidRPr="00486A64">
        <w:rPr>
          <w:i/>
          <w:sz w:val="26"/>
          <w:szCs w:val="26"/>
        </w:rPr>
        <w:t>December 2016 Order</w:t>
      </w:r>
      <w:r w:rsidRPr="00486A64">
        <w:rPr>
          <w:sz w:val="26"/>
          <w:szCs w:val="26"/>
        </w:rPr>
        <w:t xml:space="preserve">, and the subsequent denials of reconsideration of that Order </w:t>
      </w:r>
      <w:r w:rsidR="00B60716" w:rsidRPr="00486A64">
        <w:rPr>
          <w:sz w:val="26"/>
          <w:szCs w:val="26"/>
        </w:rPr>
        <w:t xml:space="preserve">by our </w:t>
      </w:r>
      <w:r w:rsidRPr="00486A64">
        <w:rPr>
          <w:i/>
          <w:sz w:val="26"/>
          <w:szCs w:val="26"/>
        </w:rPr>
        <w:t>May 2018 Order</w:t>
      </w:r>
      <w:r w:rsidRPr="00486A64">
        <w:rPr>
          <w:sz w:val="26"/>
          <w:szCs w:val="26"/>
        </w:rPr>
        <w:t xml:space="preserve">, and </w:t>
      </w:r>
      <w:r w:rsidRPr="00486A64">
        <w:rPr>
          <w:i/>
          <w:sz w:val="26"/>
          <w:szCs w:val="26"/>
        </w:rPr>
        <w:t>August 2018 Order</w:t>
      </w:r>
      <w:r w:rsidRPr="00486A64">
        <w:rPr>
          <w:sz w:val="26"/>
          <w:szCs w:val="26"/>
        </w:rPr>
        <w:t>, (collectively, the “</w:t>
      </w:r>
      <w:r w:rsidRPr="00486A64">
        <w:rPr>
          <w:i/>
          <w:sz w:val="26"/>
          <w:szCs w:val="26"/>
        </w:rPr>
        <w:t>prior related</w:t>
      </w:r>
      <w:r w:rsidRPr="00486A64">
        <w:rPr>
          <w:sz w:val="26"/>
          <w:szCs w:val="26"/>
        </w:rPr>
        <w:t xml:space="preserve"> </w:t>
      </w:r>
      <w:r w:rsidRPr="00486A64">
        <w:rPr>
          <w:i/>
          <w:sz w:val="26"/>
          <w:szCs w:val="26"/>
        </w:rPr>
        <w:t>Commission Orders”</w:t>
      </w:r>
      <w:r w:rsidRPr="00486A64">
        <w:rPr>
          <w:sz w:val="26"/>
          <w:szCs w:val="26"/>
        </w:rPr>
        <w:t>), which is also currently pending review on PGW’</w:t>
      </w:r>
      <w:r w:rsidR="005B5C30" w:rsidRPr="00486A64">
        <w:rPr>
          <w:sz w:val="26"/>
          <w:szCs w:val="26"/>
        </w:rPr>
        <w:t xml:space="preserve">s petition </w:t>
      </w:r>
      <w:r w:rsidRPr="00486A64">
        <w:rPr>
          <w:sz w:val="26"/>
          <w:szCs w:val="26"/>
        </w:rPr>
        <w:t>before Commonwealth Court.</w:t>
      </w:r>
      <w:r w:rsidRPr="00486A64">
        <w:rPr>
          <w:i/>
          <w:sz w:val="26"/>
          <w:szCs w:val="26"/>
        </w:rPr>
        <w:t xml:space="preserve"> See, </w:t>
      </w:r>
      <w:r w:rsidRPr="00486A64">
        <w:rPr>
          <w:sz w:val="26"/>
          <w:szCs w:val="26"/>
        </w:rPr>
        <w:t>Commonwealth Court Docket No. 1291 C.D. 2018.</w:t>
      </w:r>
    </w:p>
    <w:p w14:paraId="33598941" w14:textId="77777777" w:rsidR="00D645D6" w:rsidRPr="00486A64" w:rsidRDefault="00D645D6" w:rsidP="00D645D6">
      <w:pPr>
        <w:tabs>
          <w:tab w:val="left" w:pos="-720"/>
        </w:tabs>
        <w:suppressAutoHyphens/>
        <w:rPr>
          <w:sz w:val="26"/>
          <w:szCs w:val="26"/>
        </w:rPr>
      </w:pPr>
    </w:p>
    <w:p w14:paraId="2AD3C2FD" w14:textId="3C4D9B4E" w:rsidR="000D4849" w:rsidRPr="00486A64" w:rsidRDefault="000D4849" w:rsidP="00D645D6">
      <w:pPr>
        <w:tabs>
          <w:tab w:val="left" w:pos="-720"/>
        </w:tabs>
        <w:suppressAutoHyphens/>
        <w:rPr>
          <w:sz w:val="26"/>
          <w:szCs w:val="26"/>
        </w:rPr>
      </w:pPr>
      <w:r w:rsidRPr="00486A64">
        <w:rPr>
          <w:sz w:val="26"/>
          <w:szCs w:val="26"/>
        </w:rPr>
        <w:t xml:space="preserve">PGW’s present Petition for Stay pertains to the </w:t>
      </w:r>
      <w:r w:rsidRPr="00486A64">
        <w:rPr>
          <w:i/>
          <w:sz w:val="26"/>
          <w:szCs w:val="26"/>
        </w:rPr>
        <w:t>Commission Orders</w:t>
      </w:r>
      <w:r w:rsidRPr="00486A64">
        <w:rPr>
          <w:sz w:val="26"/>
          <w:szCs w:val="26"/>
        </w:rPr>
        <w:t xml:space="preserve"> addressing five consolidated Complaint dockets.  The Complaints underlying the present Petition for stay share identical parties</w:t>
      </w:r>
      <w:r w:rsidR="00FE1D12" w:rsidRPr="00486A64">
        <w:rPr>
          <w:sz w:val="26"/>
          <w:szCs w:val="26"/>
        </w:rPr>
        <w:t>,</w:t>
      </w:r>
      <w:r w:rsidRPr="00486A64">
        <w:rPr>
          <w:sz w:val="26"/>
          <w:szCs w:val="26"/>
        </w:rPr>
        <w:t xml:space="preserve"> and common questions of fact and law</w:t>
      </w:r>
      <w:r w:rsidR="00FE1D12" w:rsidRPr="00486A64">
        <w:rPr>
          <w:sz w:val="26"/>
          <w:szCs w:val="26"/>
        </w:rPr>
        <w:t>,</w:t>
      </w:r>
      <w:r w:rsidRPr="00486A64">
        <w:rPr>
          <w:sz w:val="26"/>
          <w:szCs w:val="26"/>
        </w:rPr>
        <w:t xml:space="preserve"> </w:t>
      </w:r>
      <w:r w:rsidR="00FE1D12" w:rsidRPr="00486A64">
        <w:rPr>
          <w:sz w:val="26"/>
          <w:szCs w:val="26"/>
        </w:rPr>
        <w:t xml:space="preserve">with the complaints underlying our Opinion and Order denying PGW’s prior Petition for Stay at </w:t>
      </w:r>
      <w:r w:rsidR="00FE1D12" w:rsidRPr="00486A64">
        <w:rPr>
          <w:i/>
          <w:sz w:val="26"/>
          <w:szCs w:val="26"/>
        </w:rPr>
        <w:t>SBG Management Services, Inc./Colonial Garden Realty Co., L.P., et al.  v. Philadelphia Gas Works</w:t>
      </w:r>
      <w:r w:rsidR="00FE1D12" w:rsidRPr="00486A64">
        <w:rPr>
          <w:sz w:val="26"/>
          <w:szCs w:val="26"/>
        </w:rPr>
        <w:t>, at Docket Nos. C-2012-2304183, C-2012-2304324.  As in the</w:t>
      </w:r>
      <w:r w:rsidR="005B5C30" w:rsidRPr="00486A64">
        <w:rPr>
          <w:sz w:val="26"/>
          <w:szCs w:val="26"/>
        </w:rPr>
        <w:t xml:space="preserve"> prior Petition,</w:t>
      </w:r>
      <w:r w:rsidR="00FE1D12" w:rsidRPr="00486A64">
        <w:rPr>
          <w:sz w:val="26"/>
          <w:szCs w:val="26"/>
        </w:rPr>
        <w:t xml:space="preserve"> t</w:t>
      </w:r>
      <w:r w:rsidR="00D241FF" w:rsidRPr="00486A64">
        <w:rPr>
          <w:sz w:val="26"/>
          <w:szCs w:val="26"/>
        </w:rPr>
        <w:t xml:space="preserve">he </w:t>
      </w:r>
      <w:r w:rsidR="00D241FF" w:rsidRPr="00486A64">
        <w:rPr>
          <w:i/>
          <w:sz w:val="26"/>
          <w:szCs w:val="26"/>
        </w:rPr>
        <w:t>Commission Orders</w:t>
      </w:r>
      <w:r w:rsidR="00D241FF" w:rsidRPr="00486A64">
        <w:rPr>
          <w:sz w:val="26"/>
          <w:szCs w:val="26"/>
        </w:rPr>
        <w:t xml:space="preserve"> f</w:t>
      </w:r>
      <w:r w:rsidRPr="00486A64">
        <w:rPr>
          <w:sz w:val="26"/>
          <w:szCs w:val="26"/>
        </w:rPr>
        <w:t>rom which</w:t>
      </w:r>
      <w:r w:rsidR="00FE1D12" w:rsidRPr="00486A64">
        <w:rPr>
          <w:sz w:val="26"/>
          <w:szCs w:val="26"/>
        </w:rPr>
        <w:t xml:space="preserve"> </w:t>
      </w:r>
      <w:r w:rsidR="00D241FF" w:rsidRPr="00486A64">
        <w:rPr>
          <w:sz w:val="26"/>
          <w:szCs w:val="26"/>
        </w:rPr>
        <w:t xml:space="preserve">PGW seeks a stay </w:t>
      </w:r>
      <w:r w:rsidR="0062221D" w:rsidRPr="00486A64">
        <w:rPr>
          <w:sz w:val="26"/>
          <w:szCs w:val="26"/>
        </w:rPr>
        <w:t>are</w:t>
      </w:r>
      <w:r w:rsidR="00D241FF" w:rsidRPr="00486A64">
        <w:rPr>
          <w:sz w:val="26"/>
          <w:szCs w:val="26"/>
        </w:rPr>
        <w:t xml:space="preserve"> </w:t>
      </w:r>
      <w:r w:rsidR="00D645D6" w:rsidRPr="00486A64">
        <w:rPr>
          <w:sz w:val="26"/>
          <w:szCs w:val="26"/>
        </w:rPr>
        <w:t xml:space="preserve">the culmination of protracted litigation </w:t>
      </w:r>
      <w:r w:rsidR="0062221D" w:rsidRPr="00486A64">
        <w:rPr>
          <w:sz w:val="26"/>
          <w:szCs w:val="26"/>
        </w:rPr>
        <w:t>that</w:t>
      </w:r>
      <w:r w:rsidR="00D645D6" w:rsidRPr="00486A64">
        <w:rPr>
          <w:sz w:val="26"/>
          <w:szCs w:val="26"/>
        </w:rPr>
        <w:t xml:space="preserve"> commenced in 2012 </w:t>
      </w:r>
      <w:r w:rsidR="0062221D" w:rsidRPr="00486A64">
        <w:rPr>
          <w:sz w:val="26"/>
          <w:szCs w:val="26"/>
        </w:rPr>
        <w:t>with</w:t>
      </w:r>
      <w:r w:rsidR="00D645D6" w:rsidRPr="00486A64">
        <w:rPr>
          <w:sz w:val="26"/>
          <w:szCs w:val="26"/>
        </w:rPr>
        <w:t xml:space="preserve"> the filing of Formal Complaints (Complaints) by SBG on behalf of </w:t>
      </w:r>
      <w:r w:rsidR="00D241FF" w:rsidRPr="00486A64">
        <w:rPr>
          <w:sz w:val="26"/>
          <w:szCs w:val="26"/>
        </w:rPr>
        <w:t xml:space="preserve">property owners </w:t>
      </w:r>
      <w:r w:rsidR="000E682D" w:rsidRPr="00486A64">
        <w:rPr>
          <w:sz w:val="26"/>
          <w:szCs w:val="26"/>
        </w:rPr>
        <w:t xml:space="preserve">who </w:t>
      </w:r>
      <w:r w:rsidR="00D241FF" w:rsidRPr="00486A64">
        <w:rPr>
          <w:sz w:val="26"/>
          <w:szCs w:val="26"/>
        </w:rPr>
        <w:t>receive utility service from PGW</w:t>
      </w:r>
      <w:r w:rsidR="00D645D6" w:rsidRPr="00486A64">
        <w:rPr>
          <w:sz w:val="26"/>
          <w:szCs w:val="26"/>
        </w:rPr>
        <w:t xml:space="preserve"> (Complainants)</w:t>
      </w:r>
      <w:r w:rsidR="00D241FF" w:rsidRPr="00486A64">
        <w:rPr>
          <w:sz w:val="26"/>
          <w:szCs w:val="26"/>
        </w:rPr>
        <w:t>.</w:t>
      </w:r>
      <w:r w:rsidR="00D645D6" w:rsidRPr="00486A64">
        <w:rPr>
          <w:rStyle w:val="FootnoteReference"/>
          <w:rFonts w:eastAsia="SimSun"/>
          <w:szCs w:val="26"/>
        </w:rPr>
        <w:footnoteReference w:id="8"/>
      </w:r>
    </w:p>
    <w:p w14:paraId="39184B49" w14:textId="77777777" w:rsidR="000D4849" w:rsidRPr="00486A64" w:rsidRDefault="000D4849" w:rsidP="00D645D6">
      <w:pPr>
        <w:tabs>
          <w:tab w:val="left" w:pos="-720"/>
        </w:tabs>
        <w:suppressAutoHyphens/>
        <w:rPr>
          <w:sz w:val="26"/>
          <w:szCs w:val="26"/>
        </w:rPr>
      </w:pPr>
    </w:p>
    <w:p w14:paraId="0CF34C0C" w14:textId="4843E1A7" w:rsidR="00D645D6" w:rsidRPr="00486A64" w:rsidRDefault="00D645D6" w:rsidP="00D645D6">
      <w:pPr>
        <w:tabs>
          <w:tab w:val="left" w:pos="-720"/>
        </w:tabs>
        <w:suppressAutoHyphens/>
        <w:rPr>
          <w:sz w:val="26"/>
          <w:szCs w:val="26"/>
        </w:rPr>
      </w:pPr>
      <w:r w:rsidRPr="00486A64">
        <w:rPr>
          <w:sz w:val="26"/>
          <w:szCs w:val="26"/>
        </w:rPr>
        <w:lastRenderedPageBreak/>
        <w:t xml:space="preserve">The </w:t>
      </w:r>
      <w:r w:rsidRPr="00486A64">
        <w:rPr>
          <w:spacing w:val="-3"/>
          <w:sz w:val="26"/>
          <w:szCs w:val="26"/>
        </w:rPr>
        <w:t>Complainants ultimately prevailed in their challenge of the lawfulness of PGW’s utility service billing practices.</w:t>
      </w:r>
      <w:r w:rsidRPr="00486A64">
        <w:rPr>
          <w:rStyle w:val="FootnoteReference"/>
          <w:rFonts w:eastAsia="SimSun"/>
          <w:spacing w:val="-3"/>
          <w:szCs w:val="26"/>
        </w:rPr>
        <w:footnoteReference w:id="9"/>
      </w:r>
      <w:r w:rsidR="005E3E58" w:rsidRPr="00486A64">
        <w:rPr>
          <w:spacing w:val="-3"/>
          <w:sz w:val="26"/>
          <w:szCs w:val="26"/>
          <w:vertAlign w:val="superscript"/>
        </w:rPr>
        <w:t xml:space="preserve"> </w:t>
      </w:r>
      <w:r w:rsidR="00CF0F0D" w:rsidRPr="00486A64">
        <w:rPr>
          <w:i/>
          <w:spacing w:val="-3"/>
          <w:sz w:val="26"/>
          <w:szCs w:val="26"/>
        </w:rPr>
        <w:t>See,</w:t>
      </w:r>
      <w:r w:rsidR="00CF0F0D" w:rsidRPr="00486A64">
        <w:rPr>
          <w:spacing w:val="-3"/>
          <w:sz w:val="26"/>
          <w:szCs w:val="26"/>
        </w:rPr>
        <w:t xml:space="preserve"> </w:t>
      </w:r>
      <w:r w:rsidR="00CF0F0D" w:rsidRPr="00486A64">
        <w:rPr>
          <w:i/>
          <w:spacing w:val="-3"/>
          <w:sz w:val="26"/>
          <w:szCs w:val="26"/>
        </w:rPr>
        <w:t>September 2018 Order</w:t>
      </w:r>
      <w:r w:rsidR="00CF0F0D" w:rsidRPr="00486A64">
        <w:rPr>
          <w:spacing w:val="-3"/>
          <w:sz w:val="26"/>
          <w:szCs w:val="26"/>
        </w:rPr>
        <w:t xml:space="preserve"> at 34-39 and </w:t>
      </w:r>
      <w:r w:rsidR="00CF0F0D" w:rsidRPr="00486A64">
        <w:rPr>
          <w:i/>
          <w:spacing w:val="-3"/>
          <w:sz w:val="26"/>
          <w:szCs w:val="26"/>
        </w:rPr>
        <w:t>October 2018</w:t>
      </w:r>
      <w:r w:rsidR="00C612B3" w:rsidRPr="00486A64">
        <w:rPr>
          <w:i/>
          <w:spacing w:val="-3"/>
          <w:sz w:val="26"/>
          <w:szCs w:val="26"/>
        </w:rPr>
        <w:t xml:space="preserve"> O</w:t>
      </w:r>
      <w:r w:rsidR="00CF0F0D" w:rsidRPr="00486A64">
        <w:rPr>
          <w:i/>
          <w:spacing w:val="-3"/>
          <w:sz w:val="26"/>
          <w:szCs w:val="26"/>
        </w:rPr>
        <w:t>rder</w:t>
      </w:r>
      <w:r w:rsidR="00CF0F0D" w:rsidRPr="00486A64">
        <w:rPr>
          <w:spacing w:val="-3"/>
          <w:sz w:val="26"/>
          <w:szCs w:val="26"/>
        </w:rPr>
        <w:t xml:space="preserve"> at 19-21; </w:t>
      </w:r>
      <w:r w:rsidRPr="00486A64">
        <w:rPr>
          <w:i/>
          <w:sz w:val="26"/>
          <w:szCs w:val="26"/>
        </w:rPr>
        <w:t>See</w:t>
      </w:r>
      <w:r w:rsidR="00CF0F0D" w:rsidRPr="00486A64">
        <w:rPr>
          <w:i/>
          <w:sz w:val="26"/>
          <w:szCs w:val="26"/>
        </w:rPr>
        <w:t xml:space="preserve"> also</w:t>
      </w:r>
      <w:r w:rsidRPr="00486A64">
        <w:rPr>
          <w:sz w:val="26"/>
          <w:szCs w:val="26"/>
        </w:rPr>
        <w:t>,</w:t>
      </w:r>
      <w:r w:rsidRPr="00486A64">
        <w:rPr>
          <w:i/>
          <w:sz w:val="26"/>
          <w:szCs w:val="26"/>
        </w:rPr>
        <w:t xml:space="preserve"> December 2016 Order </w:t>
      </w:r>
      <w:r w:rsidRPr="00486A64">
        <w:rPr>
          <w:sz w:val="26"/>
          <w:szCs w:val="26"/>
        </w:rPr>
        <w:t>at 8</w:t>
      </w:r>
      <w:r w:rsidRPr="00486A64">
        <w:rPr>
          <w:sz w:val="26"/>
          <w:szCs w:val="26"/>
        </w:rPr>
        <w:noBreakHyphen/>
        <w:t>9; 23.</w:t>
      </w:r>
    </w:p>
    <w:p w14:paraId="6CB91C22" w14:textId="77777777" w:rsidR="00D645D6" w:rsidRPr="00486A64" w:rsidRDefault="00D645D6" w:rsidP="00D645D6">
      <w:pPr>
        <w:autoSpaceDE w:val="0"/>
        <w:autoSpaceDN w:val="0"/>
        <w:rPr>
          <w:color w:val="000000"/>
          <w:sz w:val="26"/>
          <w:szCs w:val="26"/>
        </w:rPr>
      </w:pPr>
    </w:p>
    <w:p w14:paraId="147931E6" w14:textId="77777777" w:rsidR="00D645D6" w:rsidRPr="00486A64" w:rsidRDefault="00D645D6" w:rsidP="00D645D6">
      <w:pPr>
        <w:pStyle w:val="ListParagraph"/>
        <w:keepNext/>
        <w:keepLines/>
        <w:numPr>
          <w:ilvl w:val="0"/>
          <w:numId w:val="5"/>
        </w:numPr>
        <w:autoSpaceDE w:val="0"/>
        <w:autoSpaceDN w:val="0"/>
        <w:ind w:left="360"/>
        <w:rPr>
          <w:b/>
          <w:color w:val="000000"/>
          <w:sz w:val="26"/>
          <w:szCs w:val="26"/>
        </w:rPr>
      </w:pPr>
      <w:r w:rsidRPr="00486A64">
        <w:rPr>
          <w:b/>
          <w:color w:val="000000"/>
          <w:sz w:val="26"/>
          <w:szCs w:val="26"/>
        </w:rPr>
        <w:t>Procedural History</w:t>
      </w:r>
    </w:p>
    <w:p w14:paraId="087C0D9D" w14:textId="77777777" w:rsidR="00D645D6" w:rsidRPr="00486A64" w:rsidRDefault="00D645D6" w:rsidP="00D645D6">
      <w:pPr>
        <w:pStyle w:val="ListParagraph"/>
        <w:keepNext/>
        <w:keepLines/>
        <w:autoSpaceDE w:val="0"/>
        <w:autoSpaceDN w:val="0"/>
        <w:ind w:left="1800" w:firstLine="0"/>
        <w:rPr>
          <w:b/>
          <w:color w:val="000000"/>
          <w:sz w:val="26"/>
          <w:szCs w:val="26"/>
        </w:rPr>
      </w:pPr>
    </w:p>
    <w:p w14:paraId="1A22F756" w14:textId="0CC4CDA1" w:rsidR="00D645D6" w:rsidRPr="00486A64" w:rsidRDefault="00D241FF" w:rsidP="00D645D6">
      <w:pPr>
        <w:autoSpaceDE w:val="0"/>
        <w:autoSpaceDN w:val="0"/>
        <w:rPr>
          <w:bCs/>
          <w:spacing w:val="-3"/>
          <w:sz w:val="26"/>
          <w:szCs w:val="26"/>
        </w:rPr>
      </w:pPr>
      <w:r w:rsidRPr="00486A64">
        <w:rPr>
          <w:sz w:val="26"/>
          <w:szCs w:val="26"/>
        </w:rPr>
        <w:t xml:space="preserve">The </w:t>
      </w:r>
      <w:r w:rsidRPr="00486A64">
        <w:rPr>
          <w:i/>
          <w:sz w:val="26"/>
          <w:szCs w:val="26"/>
        </w:rPr>
        <w:t>Commission Orders</w:t>
      </w:r>
      <w:r w:rsidRPr="00486A64">
        <w:rPr>
          <w:sz w:val="26"/>
          <w:szCs w:val="26"/>
        </w:rPr>
        <w:t xml:space="preserve"> at issue rely upon and apply the holdings of our prior </w:t>
      </w:r>
      <w:r w:rsidR="00D645D6" w:rsidRPr="00486A64">
        <w:rPr>
          <w:i/>
          <w:sz w:val="26"/>
          <w:szCs w:val="26"/>
        </w:rPr>
        <w:t>December 2016 Order</w:t>
      </w:r>
      <w:r w:rsidR="00D645D6" w:rsidRPr="00486A64">
        <w:rPr>
          <w:sz w:val="26"/>
          <w:szCs w:val="26"/>
        </w:rPr>
        <w:t>,</w:t>
      </w:r>
      <w:r w:rsidR="00D645D6" w:rsidRPr="00486A64">
        <w:rPr>
          <w:i/>
          <w:sz w:val="26"/>
          <w:szCs w:val="26"/>
        </w:rPr>
        <w:t xml:space="preserve"> </w:t>
      </w:r>
      <w:r w:rsidR="002A73E8" w:rsidRPr="00486A64">
        <w:rPr>
          <w:sz w:val="26"/>
          <w:szCs w:val="26"/>
        </w:rPr>
        <w:t>where</w:t>
      </w:r>
      <w:r w:rsidR="002A73E8" w:rsidRPr="00486A64">
        <w:rPr>
          <w:i/>
          <w:sz w:val="26"/>
          <w:szCs w:val="26"/>
        </w:rPr>
        <w:t xml:space="preserve"> </w:t>
      </w:r>
      <w:r w:rsidR="00BC5728">
        <w:rPr>
          <w:sz w:val="26"/>
          <w:szCs w:val="26"/>
        </w:rPr>
        <w:t>we</w:t>
      </w:r>
      <w:r w:rsidR="00D645D6" w:rsidRPr="00486A64">
        <w:rPr>
          <w:sz w:val="26"/>
          <w:szCs w:val="26"/>
        </w:rPr>
        <w:t xml:space="preserve"> adopted, as modified, the Initial Decision (I.D.) of Administrative Law Judge (ALJ) Eranda Vero, thereby disposing of the PGW Exceptions filed to the ALJ’s order requiring PGW, </w:t>
      </w:r>
      <w:r w:rsidR="00D645D6" w:rsidRPr="00486A64">
        <w:rPr>
          <w:i/>
          <w:sz w:val="26"/>
          <w:szCs w:val="26"/>
        </w:rPr>
        <w:t>inter alia</w:t>
      </w:r>
      <w:r w:rsidR="00D645D6" w:rsidRPr="00486A64">
        <w:rPr>
          <w:sz w:val="26"/>
          <w:szCs w:val="26"/>
        </w:rPr>
        <w:t xml:space="preserve">, to bring its billing practices into compliance with Chapter 56 of Commission regulations.  52 Pa. Code § 56.1 </w:t>
      </w:r>
      <w:r w:rsidR="00D645D6" w:rsidRPr="00486A64">
        <w:rPr>
          <w:i/>
          <w:sz w:val="26"/>
          <w:szCs w:val="26"/>
        </w:rPr>
        <w:t>et seq</w:t>
      </w:r>
      <w:r w:rsidR="00D645D6" w:rsidRPr="00486A64">
        <w:rPr>
          <w:sz w:val="26"/>
          <w:szCs w:val="26"/>
        </w:rPr>
        <w:t xml:space="preserve">.  </w:t>
      </w:r>
      <w:r w:rsidR="00D645D6" w:rsidRPr="00486A64">
        <w:rPr>
          <w:i/>
          <w:sz w:val="26"/>
          <w:szCs w:val="26"/>
        </w:rPr>
        <w:t xml:space="preserve">See </w:t>
      </w:r>
      <w:r w:rsidR="00D645D6" w:rsidRPr="00486A64">
        <w:rPr>
          <w:sz w:val="26"/>
          <w:szCs w:val="26"/>
        </w:rPr>
        <w:t>Initial Decision</w:t>
      </w:r>
      <w:r w:rsidR="00C612B3" w:rsidRPr="00486A64">
        <w:rPr>
          <w:sz w:val="26"/>
          <w:szCs w:val="26"/>
        </w:rPr>
        <w:t>s</w:t>
      </w:r>
      <w:r w:rsidR="00D645D6" w:rsidRPr="00486A64">
        <w:rPr>
          <w:sz w:val="26"/>
          <w:szCs w:val="26"/>
        </w:rPr>
        <w:t xml:space="preserve"> </w:t>
      </w:r>
      <w:r w:rsidR="00C612B3" w:rsidRPr="00486A64">
        <w:rPr>
          <w:sz w:val="26"/>
          <w:szCs w:val="26"/>
        </w:rPr>
        <w:t xml:space="preserve">of ALJ Eranda Vero </w:t>
      </w:r>
      <w:r w:rsidR="00D645D6" w:rsidRPr="00486A64">
        <w:rPr>
          <w:sz w:val="26"/>
          <w:szCs w:val="26"/>
        </w:rPr>
        <w:t>issued</w:t>
      </w:r>
      <w:r w:rsidR="00C612B3" w:rsidRPr="00486A64">
        <w:rPr>
          <w:sz w:val="26"/>
          <w:szCs w:val="26"/>
        </w:rPr>
        <w:t xml:space="preserve"> November 23, 2015, and February 2, 2016 </w:t>
      </w:r>
      <w:r w:rsidR="00D645D6" w:rsidRPr="00486A64">
        <w:rPr>
          <w:bCs/>
          <w:spacing w:val="-3"/>
          <w:sz w:val="26"/>
          <w:szCs w:val="26"/>
        </w:rPr>
        <w:t>(</w:t>
      </w:r>
      <w:r w:rsidR="00D645D6" w:rsidRPr="00486A64">
        <w:rPr>
          <w:bCs/>
          <w:i/>
          <w:spacing w:val="-3"/>
          <w:sz w:val="26"/>
          <w:szCs w:val="26"/>
        </w:rPr>
        <w:t>SBG Initial Decision</w:t>
      </w:r>
      <w:r w:rsidR="00C612B3" w:rsidRPr="00486A64">
        <w:rPr>
          <w:bCs/>
          <w:i/>
          <w:spacing w:val="-3"/>
          <w:sz w:val="26"/>
          <w:szCs w:val="26"/>
        </w:rPr>
        <w:t>s</w:t>
      </w:r>
      <w:r w:rsidR="00D645D6" w:rsidRPr="00486A64">
        <w:rPr>
          <w:bCs/>
          <w:spacing w:val="-3"/>
          <w:sz w:val="26"/>
          <w:szCs w:val="26"/>
        </w:rPr>
        <w:t xml:space="preserve"> or </w:t>
      </w:r>
      <w:r w:rsidR="00D645D6" w:rsidRPr="00486A64">
        <w:rPr>
          <w:bCs/>
          <w:i/>
          <w:spacing w:val="-3"/>
          <w:sz w:val="26"/>
          <w:szCs w:val="26"/>
        </w:rPr>
        <w:t>SBG I.D</w:t>
      </w:r>
      <w:r w:rsidR="00C612B3" w:rsidRPr="00486A64">
        <w:rPr>
          <w:bCs/>
          <w:i/>
          <w:spacing w:val="-3"/>
          <w:sz w:val="26"/>
          <w:szCs w:val="26"/>
        </w:rPr>
        <w:t>.s</w:t>
      </w:r>
      <w:r w:rsidR="00D645D6" w:rsidRPr="00486A64">
        <w:rPr>
          <w:bCs/>
          <w:spacing w:val="-3"/>
          <w:sz w:val="26"/>
          <w:szCs w:val="26"/>
        </w:rPr>
        <w:t xml:space="preserve">).  In addition to adopting the </w:t>
      </w:r>
      <w:r w:rsidR="00D645D6" w:rsidRPr="00486A64">
        <w:rPr>
          <w:bCs/>
          <w:i/>
          <w:spacing w:val="-3"/>
          <w:sz w:val="26"/>
          <w:szCs w:val="26"/>
        </w:rPr>
        <w:t>SBG</w:t>
      </w:r>
      <w:r w:rsidR="00D645D6" w:rsidRPr="00486A64">
        <w:rPr>
          <w:bCs/>
          <w:spacing w:val="-3"/>
          <w:sz w:val="26"/>
          <w:szCs w:val="26"/>
        </w:rPr>
        <w:t xml:space="preserve"> </w:t>
      </w:r>
      <w:r w:rsidR="00D645D6" w:rsidRPr="00486A64">
        <w:rPr>
          <w:bCs/>
          <w:i/>
          <w:spacing w:val="-3"/>
          <w:sz w:val="26"/>
          <w:szCs w:val="26"/>
        </w:rPr>
        <w:t>Initial Decision</w:t>
      </w:r>
      <w:r w:rsidR="00C612B3" w:rsidRPr="00486A64">
        <w:rPr>
          <w:bCs/>
          <w:i/>
          <w:spacing w:val="-3"/>
          <w:sz w:val="26"/>
          <w:szCs w:val="26"/>
        </w:rPr>
        <w:t>s</w:t>
      </w:r>
      <w:r w:rsidR="00D645D6" w:rsidRPr="00486A64">
        <w:rPr>
          <w:bCs/>
          <w:spacing w:val="-3"/>
          <w:sz w:val="26"/>
          <w:szCs w:val="26"/>
        </w:rPr>
        <w:t xml:space="preserve">, as modified by our </w:t>
      </w:r>
      <w:r w:rsidR="00C612B3" w:rsidRPr="00486A64">
        <w:rPr>
          <w:bCs/>
          <w:spacing w:val="-3"/>
          <w:sz w:val="26"/>
          <w:szCs w:val="26"/>
        </w:rPr>
        <w:t xml:space="preserve">orders, </w:t>
      </w:r>
      <w:r w:rsidR="00D645D6" w:rsidRPr="00486A64">
        <w:rPr>
          <w:bCs/>
          <w:spacing w:val="-3"/>
          <w:sz w:val="26"/>
          <w:szCs w:val="26"/>
        </w:rPr>
        <w:t>we expressly directed</w:t>
      </w:r>
      <w:r w:rsidR="00490668">
        <w:rPr>
          <w:bCs/>
          <w:spacing w:val="-3"/>
          <w:sz w:val="26"/>
          <w:szCs w:val="26"/>
        </w:rPr>
        <w:t xml:space="preserve"> in our </w:t>
      </w:r>
      <w:r w:rsidR="00490668" w:rsidRPr="00486A64">
        <w:rPr>
          <w:bCs/>
          <w:i/>
          <w:spacing w:val="-3"/>
          <w:sz w:val="26"/>
          <w:szCs w:val="26"/>
        </w:rPr>
        <w:t>September 2018 Order</w:t>
      </w:r>
      <w:r w:rsidR="00490668">
        <w:rPr>
          <w:bCs/>
          <w:i/>
          <w:spacing w:val="-3"/>
          <w:sz w:val="26"/>
          <w:szCs w:val="26"/>
        </w:rPr>
        <w:t xml:space="preserve"> </w:t>
      </w:r>
      <w:r w:rsidR="00490668">
        <w:rPr>
          <w:bCs/>
          <w:spacing w:val="-3"/>
          <w:sz w:val="26"/>
          <w:szCs w:val="26"/>
        </w:rPr>
        <w:t>that</w:t>
      </w:r>
      <w:r w:rsidR="00D645D6" w:rsidRPr="00486A64">
        <w:rPr>
          <w:bCs/>
          <w:spacing w:val="-3"/>
          <w:sz w:val="26"/>
          <w:szCs w:val="26"/>
        </w:rPr>
        <w:t xml:space="preserve"> PGW comply with the following actions within the time specified:</w:t>
      </w:r>
    </w:p>
    <w:p w14:paraId="4A7753AA" w14:textId="77777777" w:rsidR="00D645D6" w:rsidRPr="00486A64" w:rsidRDefault="00D645D6" w:rsidP="00D645D6">
      <w:pPr>
        <w:autoSpaceDE w:val="0"/>
        <w:autoSpaceDN w:val="0"/>
        <w:rPr>
          <w:bCs/>
          <w:spacing w:val="-3"/>
          <w:sz w:val="26"/>
          <w:szCs w:val="26"/>
        </w:rPr>
      </w:pPr>
    </w:p>
    <w:p w14:paraId="00DE46F9" w14:textId="77777777" w:rsidR="0044597B" w:rsidRPr="00486A64" w:rsidRDefault="0044597B" w:rsidP="00E6503A">
      <w:pPr>
        <w:spacing w:line="240" w:lineRule="auto"/>
        <w:ind w:left="1440" w:right="1440" w:firstLine="720"/>
        <w:rPr>
          <w:sz w:val="26"/>
          <w:szCs w:val="26"/>
        </w:rPr>
      </w:pPr>
      <w:r w:rsidRPr="00486A64">
        <w:rPr>
          <w:spacing w:val="-3"/>
          <w:sz w:val="26"/>
          <w:szCs w:val="26"/>
        </w:rPr>
        <w:t>4.</w:t>
      </w:r>
      <w:r w:rsidRPr="00486A64">
        <w:rPr>
          <w:spacing w:val="-3"/>
          <w:sz w:val="26"/>
          <w:szCs w:val="26"/>
        </w:rPr>
        <w:tab/>
        <w:t xml:space="preserve">That Philadelphia Gas Works shall credit </w:t>
      </w:r>
      <w:r w:rsidRPr="00486A64">
        <w:rPr>
          <w:sz w:val="26"/>
          <w:szCs w:val="26"/>
        </w:rPr>
        <w:t>the Elrea Garden Realty Co., L.P.’s Account Number ending in 5786, SA Number ending in 7841 in the amount of $126.36.</w:t>
      </w:r>
    </w:p>
    <w:p w14:paraId="6A5564BE" w14:textId="77777777" w:rsidR="0044597B" w:rsidRPr="00486A64" w:rsidRDefault="0044597B" w:rsidP="00E6503A">
      <w:pPr>
        <w:spacing w:line="240" w:lineRule="auto"/>
        <w:ind w:left="1440" w:right="1440" w:firstLine="720"/>
        <w:rPr>
          <w:sz w:val="26"/>
          <w:szCs w:val="26"/>
        </w:rPr>
      </w:pPr>
    </w:p>
    <w:p w14:paraId="6906C642" w14:textId="77777777" w:rsidR="0044597B" w:rsidRPr="00486A64" w:rsidRDefault="0044597B" w:rsidP="00E6503A">
      <w:pPr>
        <w:spacing w:line="240" w:lineRule="auto"/>
        <w:ind w:left="1440" w:right="1440" w:firstLine="720"/>
        <w:rPr>
          <w:sz w:val="26"/>
          <w:szCs w:val="26"/>
        </w:rPr>
      </w:pPr>
      <w:r w:rsidRPr="00486A64">
        <w:rPr>
          <w:sz w:val="26"/>
          <w:szCs w:val="26"/>
        </w:rPr>
        <w:t>5.</w:t>
      </w:r>
      <w:r w:rsidRPr="00486A64">
        <w:rPr>
          <w:sz w:val="26"/>
          <w:szCs w:val="26"/>
        </w:rPr>
        <w:tab/>
      </w:r>
      <w:r w:rsidRPr="00486A64">
        <w:rPr>
          <w:spacing w:val="-3"/>
          <w:sz w:val="26"/>
          <w:szCs w:val="26"/>
        </w:rPr>
        <w:t xml:space="preserve">That Philadelphia Gas Works shall credit </w:t>
      </w:r>
      <w:r w:rsidRPr="00486A64">
        <w:rPr>
          <w:sz w:val="26"/>
          <w:szCs w:val="26"/>
        </w:rPr>
        <w:t>the Elrea Garden Realty Co., L.P.’s Account Number ending in 7105, SA Number ending in 7993 in the amount of $160.96.</w:t>
      </w:r>
    </w:p>
    <w:p w14:paraId="51043303" w14:textId="77777777" w:rsidR="00E6503A" w:rsidRPr="00486A64" w:rsidRDefault="00E6503A" w:rsidP="00E6503A">
      <w:pPr>
        <w:spacing w:line="240" w:lineRule="auto"/>
        <w:ind w:left="1440" w:right="1440" w:firstLine="720"/>
        <w:rPr>
          <w:sz w:val="26"/>
          <w:szCs w:val="26"/>
        </w:rPr>
      </w:pPr>
    </w:p>
    <w:p w14:paraId="0418D5CC" w14:textId="77777777" w:rsidR="0044597B" w:rsidRPr="00486A64" w:rsidRDefault="0044597B" w:rsidP="00E6503A">
      <w:pPr>
        <w:keepNext/>
        <w:keepLines/>
        <w:spacing w:line="240" w:lineRule="auto"/>
        <w:ind w:left="1440" w:right="1440" w:firstLine="720"/>
        <w:rPr>
          <w:sz w:val="26"/>
          <w:szCs w:val="26"/>
        </w:rPr>
      </w:pPr>
      <w:r w:rsidRPr="00486A64">
        <w:rPr>
          <w:spacing w:val="-3"/>
          <w:sz w:val="26"/>
          <w:szCs w:val="26"/>
        </w:rPr>
        <w:lastRenderedPageBreak/>
        <w:t>6.</w:t>
      </w:r>
      <w:r w:rsidRPr="00486A64">
        <w:rPr>
          <w:spacing w:val="-3"/>
          <w:sz w:val="26"/>
          <w:szCs w:val="26"/>
        </w:rPr>
        <w:tab/>
        <w:t xml:space="preserve">That Philadelphia Gas Works shall credit </w:t>
      </w:r>
      <w:r w:rsidRPr="00486A64">
        <w:rPr>
          <w:sz w:val="26"/>
          <w:szCs w:val="26"/>
        </w:rPr>
        <w:t>the Elrea Garden Realty Co., L.P.’s Account Number ending in 7105, SA Number ending in 8905 in the amount of $144.52.</w:t>
      </w:r>
    </w:p>
    <w:p w14:paraId="47CEB426" w14:textId="77777777" w:rsidR="0044597B" w:rsidRPr="00486A64" w:rsidRDefault="0044597B" w:rsidP="00E6503A">
      <w:pPr>
        <w:keepNext/>
        <w:keepLines/>
        <w:spacing w:line="240" w:lineRule="auto"/>
        <w:ind w:left="1440" w:right="1440" w:firstLine="720"/>
        <w:rPr>
          <w:spacing w:val="-3"/>
          <w:sz w:val="26"/>
          <w:szCs w:val="26"/>
        </w:rPr>
      </w:pPr>
    </w:p>
    <w:p w14:paraId="5FE1E2C1" w14:textId="77777777" w:rsidR="0044597B" w:rsidRPr="00486A64" w:rsidRDefault="0044597B" w:rsidP="00E6503A">
      <w:pPr>
        <w:spacing w:line="240" w:lineRule="auto"/>
        <w:ind w:left="1440" w:right="1440" w:firstLine="720"/>
        <w:rPr>
          <w:sz w:val="26"/>
          <w:szCs w:val="26"/>
        </w:rPr>
      </w:pPr>
      <w:r w:rsidRPr="00486A64">
        <w:rPr>
          <w:spacing w:val="-3"/>
          <w:sz w:val="26"/>
          <w:szCs w:val="26"/>
        </w:rPr>
        <w:t>7.</w:t>
      </w:r>
      <w:r w:rsidRPr="00486A64">
        <w:rPr>
          <w:spacing w:val="-3"/>
          <w:sz w:val="26"/>
          <w:szCs w:val="26"/>
        </w:rPr>
        <w:tab/>
        <w:t xml:space="preserve">That Philadelphia Gas Works shall credit </w:t>
      </w:r>
      <w:r w:rsidRPr="00486A64">
        <w:rPr>
          <w:sz w:val="26"/>
          <w:szCs w:val="26"/>
        </w:rPr>
        <w:t>the Fairmount Manor Realty Co., L.P.’s Account Number ending in 8422, SA Number ending in 3461 in the amount of $123.20.</w:t>
      </w:r>
    </w:p>
    <w:p w14:paraId="77C4F4DB" w14:textId="77777777" w:rsidR="0044597B" w:rsidRPr="00486A64" w:rsidRDefault="0044597B" w:rsidP="00E6503A">
      <w:pPr>
        <w:spacing w:line="240" w:lineRule="auto"/>
        <w:ind w:left="1440" w:right="1440" w:firstLine="720"/>
        <w:rPr>
          <w:sz w:val="26"/>
          <w:szCs w:val="26"/>
        </w:rPr>
      </w:pPr>
    </w:p>
    <w:p w14:paraId="59F2613B" w14:textId="77777777" w:rsidR="0044597B" w:rsidRPr="00486A64" w:rsidRDefault="0044597B" w:rsidP="00E6503A">
      <w:pPr>
        <w:spacing w:line="240" w:lineRule="auto"/>
        <w:ind w:left="1440" w:right="1440" w:firstLine="720"/>
        <w:rPr>
          <w:sz w:val="26"/>
          <w:szCs w:val="26"/>
        </w:rPr>
      </w:pPr>
      <w:r w:rsidRPr="00486A64">
        <w:rPr>
          <w:spacing w:val="-3"/>
          <w:sz w:val="26"/>
          <w:szCs w:val="26"/>
        </w:rPr>
        <w:t>8.</w:t>
      </w:r>
      <w:r w:rsidRPr="00486A64">
        <w:rPr>
          <w:spacing w:val="-3"/>
          <w:sz w:val="26"/>
          <w:szCs w:val="26"/>
        </w:rPr>
        <w:tab/>
        <w:t xml:space="preserve">That Philadelphia Gas Works shall credit </w:t>
      </w:r>
      <w:r w:rsidRPr="00486A64">
        <w:rPr>
          <w:sz w:val="26"/>
          <w:szCs w:val="26"/>
        </w:rPr>
        <w:t>the Fairmount Manor Realty Co., L.P.’s Account Number ending in 0860, SA Number ending in 4270 in the amount of $128.00.</w:t>
      </w:r>
    </w:p>
    <w:p w14:paraId="4288EF06" w14:textId="77777777" w:rsidR="0044597B" w:rsidRPr="00486A64" w:rsidRDefault="0044597B" w:rsidP="00E6503A">
      <w:pPr>
        <w:spacing w:line="240" w:lineRule="auto"/>
        <w:ind w:left="1440" w:right="1440" w:firstLine="720"/>
        <w:rPr>
          <w:sz w:val="26"/>
          <w:szCs w:val="26"/>
        </w:rPr>
      </w:pPr>
    </w:p>
    <w:p w14:paraId="1A4683D0" w14:textId="77777777" w:rsidR="0044597B" w:rsidRPr="00486A64" w:rsidRDefault="0044597B" w:rsidP="00E6503A">
      <w:pPr>
        <w:spacing w:line="240" w:lineRule="auto"/>
        <w:ind w:left="1440" w:right="1440" w:firstLine="720"/>
        <w:rPr>
          <w:sz w:val="26"/>
          <w:szCs w:val="26"/>
        </w:rPr>
      </w:pPr>
      <w:r w:rsidRPr="00486A64">
        <w:rPr>
          <w:spacing w:val="-3"/>
          <w:sz w:val="26"/>
          <w:szCs w:val="26"/>
        </w:rPr>
        <w:t>9.</w:t>
      </w:r>
      <w:r w:rsidRPr="00486A64">
        <w:rPr>
          <w:spacing w:val="-3"/>
          <w:sz w:val="26"/>
          <w:szCs w:val="26"/>
        </w:rPr>
        <w:tab/>
        <w:t xml:space="preserve">That Philadelphia Gas Works shall credit </w:t>
      </w:r>
      <w:r w:rsidRPr="00486A64">
        <w:rPr>
          <w:sz w:val="26"/>
          <w:szCs w:val="26"/>
        </w:rPr>
        <w:t>the Fairmount Manor Realty Co., L.P.’s Account Number ending in 3358, SA Number ending in 6439 in the amount of $174.48.</w:t>
      </w:r>
    </w:p>
    <w:p w14:paraId="1E3B72BE" w14:textId="77777777" w:rsidR="0044597B" w:rsidRPr="00486A64" w:rsidRDefault="0044597B" w:rsidP="00E6503A">
      <w:pPr>
        <w:spacing w:line="240" w:lineRule="auto"/>
        <w:ind w:left="1440" w:right="1440" w:firstLine="720"/>
        <w:rPr>
          <w:sz w:val="26"/>
          <w:szCs w:val="26"/>
        </w:rPr>
      </w:pPr>
    </w:p>
    <w:p w14:paraId="69ADB4FE" w14:textId="77777777" w:rsidR="0044597B" w:rsidRPr="00486A64" w:rsidRDefault="0044597B" w:rsidP="00E6503A">
      <w:pPr>
        <w:spacing w:line="240" w:lineRule="auto"/>
        <w:ind w:left="1440" w:right="1440" w:firstLine="720"/>
        <w:rPr>
          <w:sz w:val="26"/>
          <w:szCs w:val="26"/>
        </w:rPr>
      </w:pPr>
      <w:r w:rsidRPr="00486A64">
        <w:rPr>
          <w:spacing w:val="-3"/>
          <w:sz w:val="26"/>
          <w:szCs w:val="26"/>
        </w:rPr>
        <w:t>10.</w:t>
      </w:r>
      <w:r w:rsidRPr="00486A64">
        <w:rPr>
          <w:spacing w:val="-3"/>
          <w:sz w:val="26"/>
          <w:szCs w:val="26"/>
        </w:rPr>
        <w:tab/>
        <w:t xml:space="preserve">That Philadelphia Gas Works shall credit </w:t>
      </w:r>
      <w:r w:rsidRPr="00486A64">
        <w:rPr>
          <w:sz w:val="26"/>
          <w:szCs w:val="26"/>
        </w:rPr>
        <w:t>the Fairmount Manor Realty Co., L.P.’s Account Number ending in 0431, SA Number ending in 5701 in the amount of $85.84.</w:t>
      </w:r>
    </w:p>
    <w:p w14:paraId="48056989" w14:textId="77777777" w:rsidR="0044597B" w:rsidRPr="00486A64" w:rsidRDefault="0044597B" w:rsidP="00E6503A">
      <w:pPr>
        <w:spacing w:line="240" w:lineRule="auto"/>
        <w:ind w:left="1440" w:right="1440" w:firstLine="720"/>
        <w:rPr>
          <w:sz w:val="26"/>
          <w:szCs w:val="26"/>
        </w:rPr>
      </w:pPr>
    </w:p>
    <w:p w14:paraId="12AE90E0" w14:textId="77777777" w:rsidR="0044597B" w:rsidRPr="00486A64" w:rsidRDefault="0044597B" w:rsidP="00E6503A">
      <w:pPr>
        <w:spacing w:line="240" w:lineRule="auto"/>
        <w:ind w:left="1440" w:right="1440" w:firstLine="720"/>
        <w:rPr>
          <w:sz w:val="26"/>
          <w:szCs w:val="26"/>
        </w:rPr>
      </w:pPr>
      <w:r w:rsidRPr="00486A64">
        <w:rPr>
          <w:spacing w:val="-3"/>
          <w:sz w:val="26"/>
          <w:szCs w:val="26"/>
        </w:rPr>
        <w:t>11.</w:t>
      </w:r>
      <w:r w:rsidRPr="00486A64">
        <w:rPr>
          <w:spacing w:val="-3"/>
          <w:sz w:val="26"/>
          <w:szCs w:val="26"/>
        </w:rPr>
        <w:tab/>
        <w:t xml:space="preserve">That Philadelphia Gas Works shall credit </w:t>
      </w:r>
      <w:r w:rsidRPr="00486A64">
        <w:rPr>
          <w:sz w:val="26"/>
          <w:szCs w:val="26"/>
        </w:rPr>
        <w:t>the Fairmount Manor Realty Co., L.P.’s Account Number ending in 9832, SA Number ending in 8906 in the amount of $152.32.</w:t>
      </w:r>
    </w:p>
    <w:p w14:paraId="4DF8AEA0" w14:textId="77777777" w:rsidR="0044597B" w:rsidRPr="00486A64" w:rsidRDefault="0044597B" w:rsidP="00E6503A">
      <w:pPr>
        <w:spacing w:line="240" w:lineRule="auto"/>
        <w:ind w:left="1440" w:right="1440" w:firstLine="720"/>
        <w:rPr>
          <w:sz w:val="26"/>
          <w:szCs w:val="26"/>
        </w:rPr>
      </w:pPr>
    </w:p>
    <w:p w14:paraId="58501461" w14:textId="77777777" w:rsidR="0044597B" w:rsidRPr="00486A64" w:rsidRDefault="0044597B" w:rsidP="00E6503A">
      <w:pPr>
        <w:spacing w:line="240" w:lineRule="auto"/>
        <w:ind w:left="1440" w:right="1440" w:firstLine="720"/>
        <w:rPr>
          <w:sz w:val="26"/>
          <w:szCs w:val="26"/>
        </w:rPr>
      </w:pPr>
      <w:r w:rsidRPr="00486A64">
        <w:rPr>
          <w:spacing w:val="-3"/>
          <w:sz w:val="26"/>
          <w:szCs w:val="26"/>
        </w:rPr>
        <w:t>12.</w:t>
      </w:r>
      <w:r w:rsidRPr="00486A64">
        <w:rPr>
          <w:spacing w:val="-3"/>
          <w:sz w:val="26"/>
          <w:szCs w:val="26"/>
        </w:rPr>
        <w:tab/>
        <w:t xml:space="preserve">That Philadelphia Gas Works shall credit </w:t>
      </w:r>
      <w:r w:rsidRPr="00486A64">
        <w:rPr>
          <w:sz w:val="26"/>
          <w:szCs w:val="26"/>
        </w:rPr>
        <w:t>the Fairmount Manor Realty Co., L.P.’s Account Number ending in 7092, SA Number ending in 0888 in the amount of $274.16.</w:t>
      </w:r>
    </w:p>
    <w:p w14:paraId="132AA86E" w14:textId="77777777" w:rsidR="0044597B" w:rsidRPr="00486A64" w:rsidRDefault="0044597B" w:rsidP="00E6503A">
      <w:pPr>
        <w:spacing w:line="240" w:lineRule="auto"/>
        <w:ind w:left="1440" w:right="1440" w:firstLine="720"/>
        <w:rPr>
          <w:sz w:val="26"/>
          <w:szCs w:val="26"/>
        </w:rPr>
      </w:pPr>
    </w:p>
    <w:p w14:paraId="668C399C" w14:textId="77777777" w:rsidR="0044597B" w:rsidRPr="00486A64" w:rsidRDefault="0044597B" w:rsidP="00E6503A">
      <w:pPr>
        <w:spacing w:line="240" w:lineRule="auto"/>
        <w:ind w:left="1440" w:right="1440" w:firstLine="720"/>
        <w:rPr>
          <w:sz w:val="26"/>
          <w:szCs w:val="26"/>
        </w:rPr>
      </w:pPr>
      <w:r w:rsidRPr="00486A64">
        <w:rPr>
          <w:spacing w:val="-3"/>
          <w:sz w:val="26"/>
          <w:szCs w:val="26"/>
        </w:rPr>
        <w:t>13.</w:t>
      </w:r>
      <w:r w:rsidRPr="00486A64">
        <w:rPr>
          <w:spacing w:val="-3"/>
          <w:sz w:val="26"/>
          <w:szCs w:val="26"/>
        </w:rPr>
        <w:tab/>
        <w:t xml:space="preserve">That Philadelphia Gas Works shall credit </w:t>
      </w:r>
      <w:r w:rsidRPr="00486A64">
        <w:rPr>
          <w:sz w:val="26"/>
          <w:szCs w:val="26"/>
        </w:rPr>
        <w:t>the Fairmount Manor Realty Co., L.P.’s Account Number ending in 9425, SA Number ending in 7900 in the amount of $145.12.</w:t>
      </w:r>
    </w:p>
    <w:p w14:paraId="2C8AF19C" w14:textId="77777777" w:rsidR="0044597B" w:rsidRPr="00486A64" w:rsidRDefault="0044597B" w:rsidP="00E6503A">
      <w:pPr>
        <w:spacing w:line="240" w:lineRule="auto"/>
        <w:ind w:left="1440" w:right="1440" w:firstLine="720"/>
        <w:rPr>
          <w:sz w:val="26"/>
          <w:szCs w:val="26"/>
        </w:rPr>
      </w:pPr>
    </w:p>
    <w:p w14:paraId="6963C2A3" w14:textId="77777777" w:rsidR="0044597B" w:rsidRPr="00486A64" w:rsidRDefault="0044597B" w:rsidP="00E6503A">
      <w:pPr>
        <w:spacing w:line="240" w:lineRule="auto"/>
        <w:ind w:left="1440" w:right="1440" w:firstLine="720"/>
        <w:rPr>
          <w:sz w:val="26"/>
          <w:szCs w:val="26"/>
        </w:rPr>
      </w:pPr>
      <w:r w:rsidRPr="00486A64">
        <w:rPr>
          <w:spacing w:val="-3"/>
          <w:sz w:val="26"/>
          <w:szCs w:val="26"/>
        </w:rPr>
        <w:t>14.</w:t>
      </w:r>
      <w:r w:rsidRPr="00486A64">
        <w:rPr>
          <w:spacing w:val="-3"/>
          <w:sz w:val="26"/>
          <w:szCs w:val="26"/>
        </w:rPr>
        <w:tab/>
        <w:t xml:space="preserve">That Philadelphia Gas Works shall credit </w:t>
      </w:r>
      <w:r w:rsidRPr="00486A64">
        <w:rPr>
          <w:sz w:val="26"/>
          <w:szCs w:val="26"/>
        </w:rPr>
        <w:t>the Fairmount Manor Realty Co., L.P.’s Account Number ending in 6029, SA Number ending in 6958 in the amount of $103.76.</w:t>
      </w:r>
    </w:p>
    <w:p w14:paraId="332EE6AB" w14:textId="77777777" w:rsidR="0044597B" w:rsidRPr="00486A64" w:rsidRDefault="0044597B" w:rsidP="00E6503A">
      <w:pPr>
        <w:spacing w:line="240" w:lineRule="auto"/>
        <w:ind w:left="1440" w:right="1440" w:firstLine="720"/>
        <w:rPr>
          <w:sz w:val="26"/>
          <w:szCs w:val="26"/>
        </w:rPr>
      </w:pPr>
    </w:p>
    <w:p w14:paraId="295406D7" w14:textId="77777777" w:rsidR="0044597B" w:rsidRPr="00486A64" w:rsidRDefault="0044597B" w:rsidP="00E6503A">
      <w:pPr>
        <w:spacing w:line="240" w:lineRule="auto"/>
        <w:ind w:left="1440" w:right="1440" w:firstLine="720"/>
        <w:rPr>
          <w:sz w:val="26"/>
          <w:szCs w:val="26"/>
        </w:rPr>
      </w:pPr>
      <w:r w:rsidRPr="00486A64">
        <w:rPr>
          <w:spacing w:val="-3"/>
          <w:sz w:val="26"/>
          <w:szCs w:val="26"/>
        </w:rPr>
        <w:t>15.</w:t>
      </w:r>
      <w:r w:rsidRPr="00486A64">
        <w:rPr>
          <w:spacing w:val="-3"/>
          <w:sz w:val="26"/>
          <w:szCs w:val="26"/>
        </w:rPr>
        <w:tab/>
        <w:t xml:space="preserve">That Philadelphia Gas Works shall credit </w:t>
      </w:r>
      <w:r w:rsidRPr="00486A64">
        <w:rPr>
          <w:sz w:val="26"/>
          <w:szCs w:val="26"/>
        </w:rPr>
        <w:t>the Fairmount Manor Realty Co., L.P.’s Account Number ending in 2001, SA Number ending in 4637 in the amount of $99.28.</w:t>
      </w:r>
    </w:p>
    <w:p w14:paraId="17971BFB" w14:textId="77777777" w:rsidR="0044597B" w:rsidRPr="00486A64" w:rsidRDefault="0044597B" w:rsidP="00E6503A">
      <w:pPr>
        <w:spacing w:line="240" w:lineRule="auto"/>
        <w:ind w:left="1440" w:right="1440" w:firstLine="720"/>
        <w:rPr>
          <w:sz w:val="26"/>
          <w:szCs w:val="26"/>
        </w:rPr>
      </w:pPr>
    </w:p>
    <w:p w14:paraId="1B1936AA" w14:textId="77777777" w:rsidR="0044597B" w:rsidRPr="00486A64" w:rsidRDefault="0044597B" w:rsidP="00E6503A">
      <w:pPr>
        <w:spacing w:line="240" w:lineRule="auto"/>
        <w:ind w:left="1440" w:right="1440" w:firstLine="720"/>
        <w:rPr>
          <w:sz w:val="26"/>
          <w:szCs w:val="26"/>
        </w:rPr>
      </w:pPr>
      <w:r w:rsidRPr="00486A64">
        <w:rPr>
          <w:spacing w:val="-3"/>
          <w:sz w:val="26"/>
          <w:szCs w:val="26"/>
        </w:rPr>
        <w:t>16.</w:t>
      </w:r>
      <w:r w:rsidRPr="00486A64">
        <w:rPr>
          <w:spacing w:val="-3"/>
          <w:sz w:val="26"/>
          <w:szCs w:val="26"/>
        </w:rPr>
        <w:tab/>
        <w:t xml:space="preserve">That Philadelphia Gas Works shall credit </w:t>
      </w:r>
      <w:r w:rsidRPr="00486A64">
        <w:rPr>
          <w:sz w:val="26"/>
          <w:szCs w:val="26"/>
        </w:rPr>
        <w:t>the Fairmount Manor Realty Co., L.P.’s Account Number ending in 0766, SA Number ending in 9359 in the amount of $154.08.</w:t>
      </w:r>
    </w:p>
    <w:p w14:paraId="3152E05D" w14:textId="77777777" w:rsidR="0044597B" w:rsidRPr="00486A64" w:rsidRDefault="0044597B" w:rsidP="00E6503A">
      <w:pPr>
        <w:spacing w:line="240" w:lineRule="auto"/>
        <w:ind w:left="1440" w:right="1440" w:firstLine="720"/>
        <w:rPr>
          <w:sz w:val="26"/>
          <w:szCs w:val="26"/>
        </w:rPr>
      </w:pPr>
    </w:p>
    <w:p w14:paraId="537629FF" w14:textId="77777777" w:rsidR="0044597B" w:rsidRPr="00486A64" w:rsidRDefault="0044597B" w:rsidP="00E6503A">
      <w:pPr>
        <w:spacing w:line="240" w:lineRule="auto"/>
        <w:ind w:left="1440" w:right="1440" w:firstLine="720"/>
        <w:rPr>
          <w:sz w:val="26"/>
          <w:szCs w:val="26"/>
        </w:rPr>
      </w:pPr>
      <w:r w:rsidRPr="00486A64">
        <w:rPr>
          <w:spacing w:val="-3"/>
          <w:sz w:val="26"/>
          <w:szCs w:val="26"/>
        </w:rPr>
        <w:t>17.</w:t>
      </w:r>
      <w:r w:rsidRPr="00486A64">
        <w:rPr>
          <w:spacing w:val="-3"/>
          <w:sz w:val="26"/>
          <w:szCs w:val="26"/>
        </w:rPr>
        <w:tab/>
        <w:t xml:space="preserve">That Philadelphia Gas Works shall credit </w:t>
      </w:r>
      <w:r w:rsidRPr="00486A64">
        <w:rPr>
          <w:sz w:val="26"/>
          <w:szCs w:val="26"/>
        </w:rPr>
        <w:t>the Marshall Square Realty Co., L.P.’s Account Number ending in 7503, SA Number ending in 6324 in the amount of $633.20.</w:t>
      </w:r>
    </w:p>
    <w:p w14:paraId="77361026" w14:textId="77777777" w:rsidR="0044597B" w:rsidRPr="00486A64" w:rsidRDefault="0044597B" w:rsidP="00E6503A">
      <w:pPr>
        <w:spacing w:line="240" w:lineRule="auto"/>
        <w:ind w:left="1440" w:right="1440" w:firstLine="720"/>
        <w:rPr>
          <w:sz w:val="26"/>
          <w:szCs w:val="26"/>
        </w:rPr>
      </w:pPr>
    </w:p>
    <w:p w14:paraId="70166CF3" w14:textId="77777777" w:rsidR="0044597B" w:rsidRPr="00486A64" w:rsidRDefault="0044597B" w:rsidP="00E6503A">
      <w:pPr>
        <w:spacing w:line="240" w:lineRule="auto"/>
        <w:ind w:left="1440" w:right="1440" w:firstLine="720"/>
        <w:rPr>
          <w:sz w:val="26"/>
          <w:szCs w:val="26"/>
        </w:rPr>
      </w:pPr>
      <w:r w:rsidRPr="00486A64">
        <w:rPr>
          <w:spacing w:val="-3"/>
          <w:sz w:val="26"/>
          <w:szCs w:val="26"/>
        </w:rPr>
        <w:t>18.</w:t>
      </w:r>
      <w:r w:rsidRPr="00486A64">
        <w:rPr>
          <w:spacing w:val="-3"/>
          <w:sz w:val="26"/>
          <w:szCs w:val="26"/>
        </w:rPr>
        <w:tab/>
        <w:t xml:space="preserve">That Philadelphia Gas Works shall credit </w:t>
      </w:r>
      <w:r w:rsidRPr="00486A64">
        <w:rPr>
          <w:sz w:val="26"/>
          <w:szCs w:val="26"/>
        </w:rPr>
        <w:t>the Fairmount Manor Realty Co., L.P.’s Account Number ending in 0622, SA Number ending in 2208 in the amount of $77.21.</w:t>
      </w:r>
    </w:p>
    <w:p w14:paraId="275E9CE4" w14:textId="77777777" w:rsidR="0044597B" w:rsidRPr="00486A64" w:rsidRDefault="0044597B" w:rsidP="00E6503A">
      <w:pPr>
        <w:spacing w:line="240" w:lineRule="auto"/>
        <w:ind w:left="1440" w:right="1440" w:firstLine="720"/>
        <w:rPr>
          <w:spacing w:val="-3"/>
          <w:sz w:val="26"/>
          <w:szCs w:val="26"/>
        </w:rPr>
      </w:pPr>
    </w:p>
    <w:p w14:paraId="73B59EFB" w14:textId="77777777" w:rsidR="0044597B" w:rsidRPr="00486A64" w:rsidRDefault="0044597B" w:rsidP="00E6503A">
      <w:pPr>
        <w:spacing w:line="240" w:lineRule="auto"/>
        <w:ind w:left="1440" w:right="1440" w:firstLine="720"/>
        <w:rPr>
          <w:sz w:val="26"/>
          <w:szCs w:val="26"/>
        </w:rPr>
      </w:pPr>
      <w:r w:rsidRPr="00486A64">
        <w:rPr>
          <w:spacing w:val="-3"/>
          <w:sz w:val="26"/>
          <w:szCs w:val="26"/>
        </w:rPr>
        <w:t>19.</w:t>
      </w:r>
      <w:r w:rsidRPr="00486A64">
        <w:rPr>
          <w:spacing w:val="-3"/>
          <w:sz w:val="26"/>
          <w:szCs w:val="26"/>
        </w:rPr>
        <w:tab/>
        <w:t xml:space="preserve">That Philadelphia Gas Works shall </w:t>
      </w:r>
      <w:r w:rsidRPr="00486A64">
        <w:rPr>
          <w:sz w:val="26"/>
          <w:szCs w:val="26"/>
        </w:rPr>
        <w:t>refund $58,655.68 to Elrea Garden Realty Co., L.P., plus interest at the legal rate from the date of each excessive payment.</w:t>
      </w:r>
    </w:p>
    <w:p w14:paraId="19A10051" w14:textId="77777777" w:rsidR="0044597B" w:rsidRPr="00486A64" w:rsidRDefault="0044597B" w:rsidP="00E6503A">
      <w:pPr>
        <w:spacing w:line="240" w:lineRule="auto"/>
        <w:ind w:left="1440" w:right="1440" w:firstLine="720"/>
        <w:rPr>
          <w:sz w:val="26"/>
          <w:szCs w:val="26"/>
        </w:rPr>
      </w:pPr>
    </w:p>
    <w:p w14:paraId="5095E417" w14:textId="77777777" w:rsidR="0044597B" w:rsidRPr="00486A64" w:rsidRDefault="0044597B" w:rsidP="00E6503A">
      <w:pPr>
        <w:spacing w:line="240" w:lineRule="auto"/>
        <w:ind w:left="1440" w:right="1440" w:firstLine="720"/>
        <w:rPr>
          <w:sz w:val="26"/>
          <w:szCs w:val="26"/>
        </w:rPr>
      </w:pPr>
      <w:r w:rsidRPr="00486A64">
        <w:rPr>
          <w:sz w:val="26"/>
          <w:szCs w:val="26"/>
        </w:rPr>
        <w:t>20.</w:t>
      </w:r>
      <w:r w:rsidRPr="00486A64">
        <w:rPr>
          <w:sz w:val="26"/>
          <w:szCs w:val="26"/>
        </w:rPr>
        <w:tab/>
      </w:r>
      <w:r w:rsidRPr="00486A64">
        <w:rPr>
          <w:spacing w:val="-3"/>
          <w:sz w:val="26"/>
          <w:szCs w:val="26"/>
        </w:rPr>
        <w:t xml:space="preserve">That Philadelphia Gas Works shall </w:t>
      </w:r>
      <w:r w:rsidRPr="00486A64">
        <w:rPr>
          <w:sz w:val="26"/>
          <w:szCs w:val="26"/>
        </w:rPr>
        <w:t>refund $157,238.79 to Fairmount Manor Realty Co. L.P., plus interest at the legal rate from the date of each excessive payment.</w:t>
      </w:r>
    </w:p>
    <w:p w14:paraId="215C16D5" w14:textId="77777777" w:rsidR="0044597B" w:rsidRPr="00486A64" w:rsidRDefault="0044597B" w:rsidP="00E6503A">
      <w:pPr>
        <w:spacing w:line="240" w:lineRule="auto"/>
        <w:ind w:left="1440" w:right="1440" w:firstLine="720"/>
        <w:rPr>
          <w:sz w:val="26"/>
          <w:szCs w:val="26"/>
        </w:rPr>
      </w:pPr>
    </w:p>
    <w:p w14:paraId="64E4A000" w14:textId="77777777" w:rsidR="0044597B" w:rsidRPr="00486A64" w:rsidRDefault="0044597B" w:rsidP="00E6503A">
      <w:pPr>
        <w:spacing w:line="240" w:lineRule="auto"/>
        <w:ind w:left="1440" w:right="1440" w:firstLine="720"/>
        <w:rPr>
          <w:sz w:val="26"/>
          <w:szCs w:val="26"/>
        </w:rPr>
      </w:pPr>
      <w:r w:rsidRPr="00486A64">
        <w:rPr>
          <w:spacing w:val="-3"/>
          <w:sz w:val="26"/>
          <w:szCs w:val="26"/>
        </w:rPr>
        <w:t>21.</w:t>
      </w:r>
      <w:r w:rsidRPr="00486A64">
        <w:rPr>
          <w:spacing w:val="-3"/>
          <w:sz w:val="26"/>
          <w:szCs w:val="26"/>
        </w:rPr>
        <w:tab/>
        <w:t xml:space="preserve">That Philadelphia Gas Works shall </w:t>
      </w:r>
      <w:r w:rsidRPr="00486A64">
        <w:rPr>
          <w:sz w:val="26"/>
          <w:szCs w:val="26"/>
        </w:rPr>
        <w:t>refund $94,557.67 to Marshall Square Realty Co., L.P., plus interest at the legal rate from the date of each excessive payment.</w:t>
      </w:r>
    </w:p>
    <w:p w14:paraId="31DB09CD" w14:textId="77777777" w:rsidR="0044597B" w:rsidRPr="00486A64" w:rsidRDefault="0044597B" w:rsidP="00E6503A">
      <w:pPr>
        <w:spacing w:line="240" w:lineRule="auto"/>
        <w:ind w:left="1440" w:right="1440" w:firstLine="720"/>
        <w:rPr>
          <w:spacing w:val="-3"/>
          <w:sz w:val="26"/>
          <w:szCs w:val="26"/>
        </w:rPr>
      </w:pPr>
    </w:p>
    <w:p w14:paraId="3B13C33B" w14:textId="77777777" w:rsidR="0044597B" w:rsidRPr="00486A64" w:rsidRDefault="0044597B" w:rsidP="00E6503A">
      <w:pPr>
        <w:spacing w:line="240" w:lineRule="auto"/>
        <w:ind w:left="1440" w:right="1440" w:firstLine="720"/>
        <w:rPr>
          <w:sz w:val="26"/>
          <w:szCs w:val="26"/>
        </w:rPr>
      </w:pPr>
      <w:r w:rsidRPr="00486A64">
        <w:rPr>
          <w:spacing w:val="-3"/>
          <w:sz w:val="26"/>
          <w:szCs w:val="26"/>
        </w:rPr>
        <w:t>22.</w:t>
      </w:r>
      <w:r w:rsidRPr="00486A64">
        <w:rPr>
          <w:spacing w:val="-3"/>
          <w:sz w:val="26"/>
          <w:szCs w:val="26"/>
        </w:rPr>
        <w:tab/>
      </w:r>
      <w:r w:rsidRPr="00486A64">
        <w:rPr>
          <w:sz w:val="26"/>
          <w:szCs w:val="26"/>
        </w:rPr>
        <w:t>That Philadelphia Gas Works is hereby assessed the penalty of Twenty-seven Thousand Dollars ($27,000.00) for its repeated violations of the Public Utility Code and the Commissions regulations.</w:t>
      </w:r>
    </w:p>
    <w:p w14:paraId="00358C66" w14:textId="77777777" w:rsidR="0044597B" w:rsidRPr="00486A64" w:rsidRDefault="0044597B" w:rsidP="00E6503A">
      <w:pPr>
        <w:spacing w:line="240" w:lineRule="auto"/>
        <w:ind w:left="1440" w:right="1440" w:firstLine="720"/>
        <w:rPr>
          <w:sz w:val="26"/>
          <w:szCs w:val="26"/>
        </w:rPr>
      </w:pPr>
    </w:p>
    <w:p w14:paraId="2157CFFE" w14:textId="77777777" w:rsidR="0044597B" w:rsidRPr="00486A64" w:rsidRDefault="0044597B" w:rsidP="00E6503A">
      <w:pPr>
        <w:spacing w:line="240" w:lineRule="auto"/>
        <w:ind w:left="1440" w:right="1440" w:firstLine="720"/>
        <w:rPr>
          <w:sz w:val="26"/>
          <w:szCs w:val="26"/>
        </w:rPr>
      </w:pPr>
      <w:r w:rsidRPr="00486A64">
        <w:rPr>
          <w:sz w:val="26"/>
          <w:szCs w:val="26"/>
        </w:rPr>
        <w:t>23.</w:t>
      </w:r>
      <w:r w:rsidRPr="00486A64">
        <w:rPr>
          <w:sz w:val="26"/>
          <w:szCs w:val="26"/>
        </w:rPr>
        <w:tab/>
        <w:t>That, within thirty (30) days from the date of entry of this Opinion and Order, Philadelphia Gas Works shall pay a civil penalty in the amount of Twenty</w:t>
      </w:r>
      <w:r w:rsidRPr="00486A64">
        <w:rPr>
          <w:sz w:val="26"/>
          <w:szCs w:val="26"/>
        </w:rPr>
        <w:noBreakHyphen/>
        <w:t xml:space="preserve">Seven Thousand Dollars ($27,000.00) by sending a certified check or money order payable to “Commonwealth of </w:t>
      </w:r>
      <w:r w:rsidRPr="00486A64">
        <w:rPr>
          <w:sz w:val="26"/>
          <w:szCs w:val="26"/>
        </w:rPr>
        <w:lastRenderedPageBreak/>
        <w:t>Pennsylvania,” with the docket number of this proceeding listed, to:</w:t>
      </w:r>
    </w:p>
    <w:p w14:paraId="40D2F9D3" w14:textId="77777777" w:rsidR="0044597B" w:rsidRPr="00486A64" w:rsidRDefault="0044597B" w:rsidP="0044597B">
      <w:pPr>
        <w:spacing w:line="240" w:lineRule="auto"/>
        <w:ind w:left="1440" w:right="1440"/>
        <w:rPr>
          <w:sz w:val="26"/>
          <w:szCs w:val="26"/>
        </w:rPr>
      </w:pPr>
    </w:p>
    <w:p w14:paraId="78C6DE81" w14:textId="77777777" w:rsidR="0044597B" w:rsidRPr="00486A64" w:rsidRDefault="0044597B" w:rsidP="000E682D">
      <w:pPr>
        <w:keepNext/>
        <w:keepLines/>
        <w:spacing w:line="240" w:lineRule="auto"/>
        <w:ind w:left="1440" w:right="1440" w:firstLine="720"/>
        <w:rPr>
          <w:sz w:val="26"/>
          <w:szCs w:val="26"/>
        </w:rPr>
      </w:pPr>
      <w:r w:rsidRPr="00486A64">
        <w:rPr>
          <w:sz w:val="26"/>
          <w:szCs w:val="26"/>
        </w:rPr>
        <w:t>Rosemary Chiavetta, Secretary</w:t>
      </w:r>
    </w:p>
    <w:p w14:paraId="0052E651" w14:textId="77777777" w:rsidR="0044597B" w:rsidRPr="00486A64" w:rsidRDefault="0044597B" w:rsidP="000E682D">
      <w:pPr>
        <w:keepNext/>
        <w:keepLines/>
        <w:spacing w:line="240" w:lineRule="auto"/>
        <w:ind w:left="1440" w:right="1440" w:firstLine="720"/>
        <w:rPr>
          <w:sz w:val="26"/>
          <w:szCs w:val="26"/>
        </w:rPr>
      </w:pPr>
      <w:r w:rsidRPr="00486A64">
        <w:rPr>
          <w:sz w:val="26"/>
          <w:szCs w:val="26"/>
        </w:rPr>
        <w:t>Pennsylvania Public Utility Commission</w:t>
      </w:r>
    </w:p>
    <w:p w14:paraId="075A50D3" w14:textId="77777777" w:rsidR="0044597B" w:rsidRPr="00486A64" w:rsidRDefault="0044597B" w:rsidP="00B60716">
      <w:pPr>
        <w:keepNext/>
        <w:keepLines/>
        <w:spacing w:line="240" w:lineRule="auto"/>
        <w:ind w:left="1440" w:right="1440" w:firstLine="720"/>
        <w:rPr>
          <w:sz w:val="26"/>
          <w:szCs w:val="26"/>
        </w:rPr>
      </w:pPr>
      <w:r w:rsidRPr="00486A64">
        <w:rPr>
          <w:sz w:val="26"/>
          <w:szCs w:val="26"/>
        </w:rPr>
        <w:t>Commonwealth Keystone Building</w:t>
      </w:r>
    </w:p>
    <w:p w14:paraId="2EDB6641" w14:textId="77777777" w:rsidR="0044597B" w:rsidRPr="00486A64" w:rsidRDefault="0044597B" w:rsidP="00B60716">
      <w:pPr>
        <w:keepNext/>
        <w:keepLines/>
        <w:spacing w:line="240" w:lineRule="auto"/>
        <w:ind w:left="1440" w:right="1440" w:firstLine="720"/>
        <w:rPr>
          <w:sz w:val="26"/>
          <w:szCs w:val="26"/>
        </w:rPr>
      </w:pPr>
      <w:r w:rsidRPr="00486A64">
        <w:rPr>
          <w:sz w:val="26"/>
          <w:szCs w:val="26"/>
        </w:rPr>
        <w:t>400 North Street</w:t>
      </w:r>
    </w:p>
    <w:p w14:paraId="31EE84ED" w14:textId="77777777" w:rsidR="0044597B" w:rsidRPr="00486A64" w:rsidRDefault="0044597B" w:rsidP="00B60716">
      <w:pPr>
        <w:keepNext/>
        <w:keepLines/>
        <w:spacing w:line="240" w:lineRule="auto"/>
        <w:ind w:left="1440" w:right="1440" w:firstLine="720"/>
        <w:rPr>
          <w:sz w:val="26"/>
          <w:szCs w:val="26"/>
        </w:rPr>
      </w:pPr>
      <w:r w:rsidRPr="00486A64">
        <w:rPr>
          <w:sz w:val="26"/>
          <w:szCs w:val="26"/>
        </w:rPr>
        <w:t>Harrisburg, PA, 17120</w:t>
      </w:r>
    </w:p>
    <w:p w14:paraId="266E40F8" w14:textId="77777777" w:rsidR="0044597B" w:rsidRPr="00486A64" w:rsidRDefault="0044597B" w:rsidP="0044597B">
      <w:pPr>
        <w:keepNext/>
        <w:keepLines/>
        <w:spacing w:line="240" w:lineRule="auto"/>
        <w:ind w:left="1440" w:right="1440" w:firstLine="2160"/>
        <w:rPr>
          <w:sz w:val="26"/>
          <w:szCs w:val="26"/>
        </w:rPr>
      </w:pPr>
    </w:p>
    <w:p w14:paraId="6EBF2326" w14:textId="77777777" w:rsidR="0044597B" w:rsidRPr="00486A64" w:rsidRDefault="0044597B" w:rsidP="0044597B">
      <w:pPr>
        <w:keepNext/>
        <w:keepLines/>
        <w:spacing w:line="240" w:lineRule="auto"/>
        <w:ind w:left="1440" w:right="1440" w:firstLine="2160"/>
        <w:rPr>
          <w:sz w:val="26"/>
          <w:szCs w:val="26"/>
        </w:rPr>
      </w:pPr>
    </w:p>
    <w:p w14:paraId="65120CBD" w14:textId="74FBE853" w:rsidR="00D645D6" w:rsidRPr="00486A64" w:rsidRDefault="0044597B" w:rsidP="00E8327F">
      <w:pPr>
        <w:spacing w:line="240" w:lineRule="auto"/>
        <w:ind w:left="1440" w:right="1440" w:firstLine="720"/>
        <w:rPr>
          <w:sz w:val="26"/>
          <w:szCs w:val="26"/>
        </w:rPr>
      </w:pPr>
      <w:r w:rsidRPr="00486A64">
        <w:rPr>
          <w:spacing w:val="-3"/>
          <w:sz w:val="26"/>
          <w:szCs w:val="26"/>
        </w:rPr>
        <w:t>24.</w:t>
      </w:r>
      <w:r w:rsidRPr="00486A64">
        <w:rPr>
          <w:spacing w:val="-3"/>
          <w:sz w:val="26"/>
          <w:szCs w:val="26"/>
        </w:rPr>
        <w:tab/>
        <w:t>That Philadelphia Gas Works cease and desist from further violations of the Public Utility Code, 66 Pa.C.S. §§</w:t>
      </w:r>
      <w:r w:rsidR="00E8327F">
        <w:rPr>
          <w:spacing w:val="-3"/>
          <w:sz w:val="26"/>
          <w:szCs w:val="26"/>
        </w:rPr>
        <w:t> </w:t>
      </w:r>
      <w:r w:rsidRPr="00486A64">
        <w:rPr>
          <w:spacing w:val="-3"/>
          <w:sz w:val="26"/>
          <w:szCs w:val="26"/>
        </w:rPr>
        <w:t xml:space="preserve">101 </w:t>
      </w:r>
      <w:r w:rsidRPr="00486A64">
        <w:rPr>
          <w:i/>
          <w:spacing w:val="-3"/>
          <w:sz w:val="26"/>
          <w:szCs w:val="26"/>
        </w:rPr>
        <w:t>et seq</w:t>
      </w:r>
      <w:r w:rsidRPr="00486A64">
        <w:rPr>
          <w:spacing w:val="-3"/>
          <w:sz w:val="26"/>
          <w:szCs w:val="26"/>
        </w:rPr>
        <w:t xml:space="preserve">., and the regulations of the Pennsylvania Public Utility Commission, 52 Pa. Code §§ 1.1 </w:t>
      </w:r>
      <w:r w:rsidRPr="00486A64">
        <w:rPr>
          <w:i/>
          <w:spacing w:val="-3"/>
          <w:sz w:val="26"/>
          <w:szCs w:val="26"/>
        </w:rPr>
        <w:t>et seq</w:t>
      </w:r>
    </w:p>
    <w:p w14:paraId="7F68E32B" w14:textId="77777777" w:rsidR="00D645D6" w:rsidRPr="00486A64" w:rsidRDefault="00D645D6" w:rsidP="00D645D6">
      <w:pPr>
        <w:keepNext/>
        <w:keepLines/>
        <w:autoSpaceDE w:val="0"/>
        <w:autoSpaceDN w:val="0"/>
        <w:spacing w:line="240" w:lineRule="auto"/>
        <w:rPr>
          <w:bCs/>
          <w:spacing w:val="-3"/>
          <w:sz w:val="26"/>
          <w:szCs w:val="26"/>
        </w:rPr>
      </w:pPr>
    </w:p>
    <w:p w14:paraId="75DFDFD4" w14:textId="77777777" w:rsidR="00D645D6" w:rsidRPr="00486A64" w:rsidRDefault="00D645D6" w:rsidP="00D645D6">
      <w:pPr>
        <w:keepNext/>
        <w:keepLines/>
        <w:autoSpaceDE w:val="0"/>
        <w:autoSpaceDN w:val="0"/>
        <w:spacing w:line="240" w:lineRule="auto"/>
        <w:rPr>
          <w:bCs/>
          <w:spacing w:val="-3"/>
          <w:sz w:val="26"/>
          <w:szCs w:val="26"/>
        </w:rPr>
      </w:pPr>
    </w:p>
    <w:p w14:paraId="200441D5" w14:textId="2425F997" w:rsidR="0044597B" w:rsidRPr="00486A64" w:rsidRDefault="00C612B3" w:rsidP="00D645D6">
      <w:pPr>
        <w:autoSpaceDE w:val="0"/>
        <w:autoSpaceDN w:val="0"/>
        <w:ind w:firstLine="0"/>
        <w:rPr>
          <w:bCs/>
          <w:spacing w:val="-3"/>
          <w:sz w:val="26"/>
          <w:szCs w:val="26"/>
        </w:rPr>
      </w:pPr>
      <w:r w:rsidRPr="00486A64">
        <w:rPr>
          <w:bCs/>
          <w:i/>
          <w:spacing w:val="-3"/>
          <w:sz w:val="26"/>
          <w:szCs w:val="26"/>
        </w:rPr>
        <w:t xml:space="preserve">September </w:t>
      </w:r>
      <w:r w:rsidR="00D645D6" w:rsidRPr="00486A64">
        <w:rPr>
          <w:bCs/>
          <w:i/>
          <w:spacing w:val="-3"/>
          <w:sz w:val="26"/>
          <w:szCs w:val="26"/>
        </w:rPr>
        <w:t>201</w:t>
      </w:r>
      <w:r w:rsidRPr="00486A64">
        <w:rPr>
          <w:bCs/>
          <w:i/>
          <w:spacing w:val="-3"/>
          <w:sz w:val="26"/>
          <w:szCs w:val="26"/>
        </w:rPr>
        <w:t>8</w:t>
      </w:r>
      <w:r w:rsidR="00D645D6" w:rsidRPr="00486A64">
        <w:rPr>
          <w:bCs/>
          <w:i/>
          <w:spacing w:val="-3"/>
          <w:sz w:val="26"/>
          <w:szCs w:val="26"/>
        </w:rPr>
        <w:t xml:space="preserve"> Order</w:t>
      </w:r>
      <w:r w:rsidR="00D645D6" w:rsidRPr="00486A64">
        <w:rPr>
          <w:bCs/>
          <w:spacing w:val="-3"/>
          <w:sz w:val="26"/>
          <w:szCs w:val="26"/>
        </w:rPr>
        <w:t xml:space="preserve">, at </w:t>
      </w:r>
      <w:r w:rsidR="0044597B" w:rsidRPr="00486A64">
        <w:rPr>
          <w:bCs/>
          <w:spacing w:val="-3"/>
          <w:sz w:val="26"/>
          <w:szCs w:val="26"/>
        </w:rPr>
        <w:t>36-39</w:t>
      </w:r>
      <w:r w:rsidR="00490668">
        <w:rPr>
          <w:bCs/>
          <w:spacing w:val="-3"/>
          <w:sz w:val="26"/>
          <w:szCs w:val="26"/>
        </w:rPr>
        <w:t xml:space="preserve">.  In addition, we directed </w:t>
      </w:r>
      <w:r w:rsidR="00490668" w:rsidRPr="00486A64">
        <w:rPr>
          <w:bCs/>
          <w:i/>
          <w:spacing w:val="-3"/>
          <w:sz w:val="26"/>
          <w:szCs w:val="26"/>
        </w:rPr>
        <w:t>October 2018 Order</w:t>
      </w:r>
      <w:r w:rsidR="009B445B">
        <w:rPr>
          <w:bCs/>
          <w:i/>
          <w:spacing w:val="-3"/>
          <w:sz w:val="26"/>
          <w:szCs w:val="26"/>
        </w:rPr>
        <w:t xml:space="preserve"> </w:t>
      </w:r>
      <w:r w:rsidR="009B445B">
        <w:rPr>
          <w:bCs/>
          <w:spacing w:val="-3"/>
          <w:sz w:val="26"/>
          <w:szCs w:val="26"/>
        </w:rPr>
        <w:t>that</w:t>
      </w:r>
      <w:r w:rsidR="009B445B" w:rsidRPr="00486A64">
        <w:rPr>
          <w:bCs/>
          <w:spacing w:val="-3"/>
          <w:sz w:val="26"/>
          <w:szCs w:val="26"/>
        </w:rPr>
        <w:t xml:space="preserve"> PGW comply with the following actions within the time specified:</w:t>
      </w:r>
    </w:p>
    <w:p w14:paraId="6047D0EF" w14:textId="77777777" w:rsidR="0044597B" w:rsidRPr="00486A64" w:rsidRDefault="0044597B" w:rsidP="00D645D6">
      <w:pPr>
        <w:autoSpaceDE w:val="0"/>
        <w:autoSpaceDN w:val="0"/>
        <w:ind w:firstLine="0"/>
        <w:rPr>
          <w:bCs/>
          <w:spacing w:val="-3"/>
          <w:sz w:val="26"/>
          <w:szCs w:val="26"/>
        </w:rPr>
      </w:pPr>
    </w:p>
    <w:p w14:paraId="0AFD11AC" w14:textId="39CDF554" w:rsidR="00153E28" w:rsidRPr="00486A64" w:rsidRDefault="00153E28" w:rsidP="009B445B">
      <w:pPr>
        <w:spacing w:line="240" w:lineRule="auto"/>
        <w:ind w:left="1440" w:right="1440" w:firstLine="720"/>
        <w:rPr>
          <w:sz w:val="26"/>
          <w:szCs w:val="26"/>
        </w:rPr>
      </w:pPr>
      <w:r w:rsidRPr="00486A64">
        <w:rPr>
          <w:spacing w:val="-3"/>
          <w:sz w:val="26"/>
          <w:szCs w:val="26"/>
        </w:rPr>
        <w:t>5.</w:t>
      </w:r>
      <w:r w:rsidRPr="00486A64">
        <w:rPr>
          <w:spacing w:val="-3"/>
          <w:sz w:val="26"/>
          <w:szCs w:val="26"/>
        </w:rPr>
        <w:tab/>
        <w:t xml:space="preserve">That within sixty (60) days of the date of entry of this Opinion and Order, Philadelphia Gas Works </w:t>
      </w:r>
      <w:r w:rsidRPr="00486A64">
        <w:rPr>
          <w:sz w:val="26"/>
          <w:szCs w:val="26"/>
        </w:rPr>
        <w:t>shall recalculate the Complainants’ outstanding balance for the four years, June 2008 - June 2012, in accordance with the provisions of 52 Pa. Code § 56.24 and submit a copy of the said calculations, including supporting work papers, to the Commission’s Bureau of Technical Utility Services for review.</w:t>
      </w:r>
    </w:p>
    <w:p w14:paraId="299BA7DC" w14:textId="77777777" w:rsidR="00153E28" w:rsidRPr="00486A64" w:rsidRDefault="00153E28" w:rsidP="009B445B">
      <w:pPr>
        <w:spacing w:line="240" w:lineRule="auto"/>
        <w:ind w:left="1440" w:right="1440" w:firstLine="720"/>
        <w:rPr>
          <w:sz w:val="26"/>
          <w:szCs w:val="26"/>
        </w:rPr>
      </w:pPr>
    </w:p>
    <w:p w14:paraId="53837B7C" w14:textId="77777777" w:rsidR="00153E28" w:rsidRPr="00486A64" w:rsidRDefault="00153E28" w:rsidP="009B445B">
      <w:pPr>
        <w:spacing w:line="240" w:lineRule="auto"/>
        <w:ind w:left="1440" w:right="1440" w:firstLine="720"/>
        <w:rPr>
          <w:sz w:val="26"/>
          <w:szCs w:val="26"/>
        </w:rPr>
      </w:pPr>
      <w:r w:rsidRPr="00486A64">
        <w:rPr>
          <w:sz w:val="26"/>
          <w:szCs w:val="26"/>
        </w:rPr>
        <w:t>6.</w:t>
      </w:r>
      <w:r w:rsidRPr="00486A64">
        <w:rPr>
          <w:sz w:val="26"/>
          <w:szCs w:val="26"/>
        </w:rPr>
        <w:tab/>
        <w:t xml:space="preserve">That the Commission’s Bureau of Technical Utility Services shall review and verify the calculation submitted, and upon receipt of a Commission Secretarial Letter approving the submittal, Philadelphia Gas Works shall bill the Complainants appropriately.  Said billing is to occur within thirty (30) days of the issuance of the said Secretarial Letter. </w:t>
      </w:r>
    </w:p>
    <w:p w14:paraId="762538B5" w14:textId="77777777" w:rsidR="00153E28" w:rsidRPr="00486A64" w:rsidRDefault="00153E28" w:rsidP="009B445B">
      <w:pPr>
        <w:spacing w:line="240" w:lineRule="auto"/>
        <w:ind w:left="1440" w:right="1440" w:firstLine="720"/>
        <w:rPr>
          <w:spacing w:val="-3"/>
          <w:sz w:val="26"/>
          <w:szCs w:val="26"/>
        </w:rPr>
      </w:pPr>
    </w:p>
    <w:p w14:paraId="0CFD70D7" w14:textId="77777777" w:rsidR="00153E28" w:rsidRPr="00486A64" w:rsidRDefault="00153E28" w:rsidP="009B445B">
      <w:pPr>
        <w:spacing w:line="240" w:lineRule="auto"/>
        <w:ind w:left="1440" w:right="1440" w:firstLine="720"/>
        <w:rPr>
          <w:sz w:val="26"/>
          <w:szCs w:val="26"/>
        </w:rPr>
      </w:pPr>
      <w:r w:rsidRPr="00486A64">
        <w:rPr>
          <w:spacing w:val="-3"/>
          <w:sz w:val="26"/>
          <w:szCs w:val="26"/>
        </w:rPr>
        <w:t>7.</w:t>
      </w:r>
      <w:r w:rsidRPr="00486A64">
        <w:rPr>
          <w:spacing w:val="-3"/>
          <w:sz w:val="26"/>
          <w:szCs w:val="26"/>
        </w:rPr>
        <w:tab/>
        <w:t xml:space="preserve">That Philadelphia Gas Works shall </w:t>
      </w:r>
      <w:r w:rsidRPr="00486A64">
        <w:rPr>
          <w:sz w:val="26"/>
          <w:szCs w:val="26"/>
        </w:rPr>
        <w:t>refund the amount of $113,403.71 to Fern Rock Realty Co., L.P.,</w:t>
      </w:r>
      <w:r w:rsidRPr="00486A64">
        <w:rPr>
          <w:rFonts w:eastAsiaTheme="minorHAnsi"/>
          <w:sz w:val="26"/>
          <w:szCs w:val="26"/>
        </w:rPr>
        <w:t xml:space="preserve"> plus </w:t>
      </w:r>
      <w:r w:rsidRPr="00486A64">
        <w:rPr>
          <w:sz w:val="26"/>
          <w:szCs w:val="26"/>
        </w:rPr>
        <w:t>interest at the legal rate from the date of each excessive payment.</w:t>
      </w:r>
    </w:p>
    <w:p w14:paraId="71DEAFF6" w14:textId="77777777" w:rsidR="00153E28" w:rsidRPr="00486A64" w:rsidRDefault="00153E28" w:rsidP="009B445B">
      <w:pPr>
        <w:spacing w:line="240" w:lineRule="auto"/>
        <w:ind w:left="1440" w:right="1440" w:firstLine="720"/>
        <w:rPr>
          <w:sz w:val="26"/>
          <w:szCs w:val="26"/>
        </w:rPr>
      </w:pPr>
    </w:p>
    <w:p w14:paraId="071151A1" w14:textId="77777777" w:rsidR="00153E28" w:rsidRPr="00486A64" w:rsidRDefault="00153E28" w:rsidP="009B445B">
      <w:pPr>
        <w:spacing w:line="240" w:lineRule="auto"/>
        <w:ind w:left="1440" w:right="1440" w:firstLine="720"/>
        <w:rPr>
          <w:sz w:val="26"/>
          <w:szCs w:val="26"/>
        </w:rPr>
      </w:pPr>
      <w:r w:rsidRPr="00486A64">
        <w:rPr>
          <w:sz w:val="26"/>
          <w:szCs w:val="26"/>
        </w:rPr>
        <w:lastRenderedPageBreak/>
        <w:t>8.</w:t>
      </w:r>
      <w:r w:rsidRPr="00486A64">
        <w:rPr>
          <w:sz w:val="26"/>
          <w:szCs w:val="26"/>
        </w:rPr>
        <w:tab/>
      </w:r>
      <w:r w:rsidRPr="00486A64">
        <w:rPr>
          <w:spacing w:val="-3"/>
          <w:sz w:val="26"/>
          <w:szCs w:val="26"/>
        </w:rPr>
        <w:t xml:space="preserve">That Philadelphia Gas Works shall </w:t>
      </w:r>
      <w:r w:rsidRPr="00486A64">
        <w:rPr>
          <w:sz w:val="26"/>
          <w:szCs w:val="26"/>
        </w:rPr>
        <w:t xml:space="preserve">refund the amount of $35,915.42 to Marchwood Realty Co. L.P., </w:t>
      </w:r>
      <w:r w:rsidRPr="00486A64">
        <w:rPr>
          <w:rFonts w:eastAsiaTheme="minorHAnsi"/>
          <w:sz w:val="26"/>
          <w:szCs w:val="26"/>
        </w:rPr>
        <w:t xml:space="preserve">plus </w:t>
      </w:r>
      <w:r w:rsidRPr="00486A64">
        <w:rPr>
          <w:sz w:val="26"/>
          <w:szCs w:val="26"/>
        </w:rPr>
        <w:t>interest at the legal rate from the date of each excessive payment.</w:t>
      </w:r>
    </w:p>
    <w:p w14:paraId="3E753846" w14:textId="77777777" w:rsidR="00153E28" w:rsidRPr="00486A64" w:rsidRDefault="00153E28" w:rsidP="009B445B">
      <w:pPr>
        <w:spacing w:line="240" w:lineRule="auto"/>
        <w:ind w:left="1440" w:right="1440" w:firstLine="720"/>
        <w:rPr>
          <w:sz w:val="26"/>
          <w:szCs w:val="26"/>
        </w:rPr>
      </w:pPr>
    </w:p>
    <w:p w14:paraId="31FCA468" w14:textId="77777777" w:rsidR="00153E28" w:rsidRPr="00486A64" w:rsidRDefault="00153E28" w:rsidP="009B445B">
      <w:pPr>
        <w:spacing w:line="240" w:lineRule="auto"/>
        <w:ind w:left="1440" w:right="1440" w:firstLine="720"/>
        <w:rPr>
          <w:sz w:val="26"/>
          <w:szCs w:val="26"/>
        </w:rPr>
      </w:pPr>
      <w:r w:rsidRPr="00486A64">
        <w:rPr>
          <w:spacing w:val="-3"/>
          <w:sz w:val="26"/>
          <w:szCs w:val="26"/>
        </w:rPr>
        <w:t>9.</w:t>
      </w:r>
      <w:r w:rsidRPr="00486A64">
        <w:rPr>
          <w:spacing w:val="-3"/>
          <w:sz w:val="26"/>
          <w:szCs w:val="26"/>
        </w:rPr>
        <w:tab/>
        <w:t xml:space="preserve">That Philadelphia Gas Works shall </w:t>
      </w:r>
      <w:r w:rsidRPr="00486A64">
        <w:rPr>
          <w:sz w:val="26"/>
          <w:szCs w:val="26"/>
        </w:rPr>
        <w:t xml:space="preserve">refund the amount of $8,379.72 to Oak Lane Court Realty Co., L.P., </w:t>
      </w:r>
      <w:r w:rsidRPr="00486A64">
        <w:rPr>
          <w:rFonts w:eastAsiaTheme="minorHAnsi"/>
          <w:sz w:val="26"/>
          <w:szCs w:val="26"/>
        </w:rPr>
        <w:t xml:space="preserve">plus </w:t>
      </w:r>
      <w:r w:rsidRPr="00486A64">
        <w:rPr>
          <w:sz w:val="26"/>
          <w:szCs w:val="26"/>
        </w:rPr>
        <w:t>interest at the legal rate from the date of each excessive payment.</w:t>
      </w:r>
    </w:p>
    <w:p w14:paraId="443BEE7E" w14:textId="77777777" w:rsidR="00153E28" w:rsidRPr="00486A64" w:rsidRDefault="00153E28" w:rsidP="009B445B">
      <w:pPr>
        <w:spacing w:line="240" w:lineRule="auto"/>
        <w:ind w:left="1440" w:right="1440" w:firstLine="720"/>
        <w:rPr>
          <w:spacing w:val="-3"/>
          <w:sz w:val="26"/>
          <w:szCs w:val="26"/>
        </w:rPr>
      </w:pPr>
    </w:p>
    <w:p w14:paraId="4A3920E7" w14:textId="00563DD2" w:rsidR="00153E28" w:rsidRDefault="00153E28" w:rsidP="009B445B">
      <w:pPr>
        <w:spacing w:line="240" w:lineRule="auto"/>
        <w:ind w:left="1440" w:right="1440" w:firstLine="720"/>
        <w:rPr>
          <w:spacing w:val="-3"/>
          <w:sz w:val="26"/>
          <w:szCs w:val="26"/>
        </w:rPr>
      </w:pPr>
      <w:r w:rsidRPr="00486A64">
        <w:rPr>
          <w:spacing w:val="-3"/>
          <w:sz w:val="26"/>
          <w:szCs w:val="26"/>
        </w:rPr>
        <w:t>10.</w:t>
      </w:r>
      <w:r w:rsidRPr="00486A64">
        <w:rPr>
          <w:spacing w:val="-3"/>
          <w:sz w:val="26"/>
          <w:szCs w:val="26"/>
        </w:rPr>
        <w:tab/>
        <w:t xml:space="preserve">That Philadelphia Gas Works cease and desist from further violations of the Public Utility Code, 66 Pa. C.S. §§ 101 </w:t>
      </w:r>
      <w:r w:rsidRPr="00486A64">
        <w:rPr>
          <w:i/>
          <w:spacing w:val="-3"/>
          <w:sz w:val="26"/>
          <w:szCs w:val="26"/>
        </w:rPr>
        <w:t>et seq</w:t>
      </w:r>
      <w:r w:rsidRPr="00486A64">
        <w:rPr>
          <w:spacing w:val="-3"/>
          <w:sz w:val="26"/>
          <w:szCs w:val="26"/>
        </w:rPr>
        <w:t xml:space="preserve">., and the regulations of the Pennsylvania Public Utility Commission, 52 Pa. Code §§ 1.1 </w:t>
      </w:r>
      <w:r w:rsidRPr="00486A64">
        <w:rPr>
          <w:i/>
          <w:spacing w:val="-3"/>
          <w:sz w:val="26"/>
          <w:szCs w:val="26"/>
        </w:rPr>
        <w:t>et seq</w:t>
      </w:r>
      <w:r w:rsidRPr="00486A64">
        <w:rPr>
          <w:spacing w:val="-3"/>
          <w:sz w:val="26"/>
          <w:szCs w:val="26"/>
        </w:rPr>
        <w:t>.</w:t>
      </w:r>
    </w:p>
    <w:p w14:paraId="078E476E" w14:textId="78570BE5" w:rsidR="009B445B" w:rsidRDefault="009B445B" w:rsidP="009B445B">
      <w:pPr>
        <w:spacing w:line="240" w:lineRule="auto"/>
        <w:ind w:left="1440" w:right="1440" w:firstLine="720"/>
        <w:rPr>
          <w:spacing w:val="-3"/>
          <w:sz w:val="26"/>
          <w:szCs w:val="26"/>
        </w:rPr>
      </w:pPr>
    </w:p>
    <w:p w14:paraId="3E703C9B" w14:textId="77777777" w:rsidR="009B445B" w:rsidRPr="00486A64" w:rsidRDefault="009B445B" w:rsidP="009B445B">
      <w:pPr>
        <w:spacing w:line="240" w:lineRule="auto"/>
        <w:ind w:left="1440" w:right="1440" w:firstLine="720"/>
        <w:rPr>
          <w:spacing w:val="-3"/>
          <w:sz w:val="26"/>
          <w:szCs w:val="26"/>
        </w:rPr>
      </w:pPr>
    </w:p>
    <w:p w14:paraId="5FC9E672" w14:textId="33093590" w:rsidR="00153E28" w:rsidRPr="00486A64" w:rsidRDefault="00153E28" w:rsidP="00D645D6">
      <w:pPr>
        <w:autoSpaceDE w:val="0"/>
        <w:autoSpaceDN w:val="0"/>
        <w:ind w:firstLine="0"/>
        <w:rPr>
          <w:bCs/>
          <w:spacing w:val="-3"/>
          <w:sz w:val="26"/>
          <w:szCs w:val="26"/>
        </w:rPr>
      </w:pPr>
      <w:r w:rsidRPr="00486A64">
        <w:rPr>
          <w:bCs/>
          <w:i/>
          <w:spacing w:val="-3"/>
          <w:sz w:val="26"/>
          <w:szCs w:val="26"/>
        </w:rPr>
        <w:t>October 2018 Order</w:t>
      </w:r>
      <w:r w:rsidRPr="00486A64">
        <w:rPr>
          <w:bCs/>
          <w:spacing w:val="-3"/>
          <w:sz w:val="26"/>
          <w:szCs w:val="26"/>
        </w:rPr>
        <w:t xml:space="preserve"> at 19-22.</w:t>
      </w:r>
    </w:p>
    <w:bookmarkEnd w:id="0"/>
    <w:p w14:paraId="7D897966" w14:textId="77777777" w:rsidR="00C612B3" w:rsidRPr="00486A64" w:rsidRDefault="00C612B3" w:rsidP="00D645D6">
      <w:pPr>
        <w:autoSpaceDE w:val="0"/>
        <w:autoSpaceDN w:val="0"/>
        <w:rPr>
          <w:sz w:val="26"/>
          <w:szCs w:val="26"/>
        </w:rPr>
      </w:pPr>
    </w:p>
    <w:p w14:paraId="611EF34E" w14:textId="77777777" w:rsidR="00D645D6" w:rsidRPr="00486A64" w:rsidRDefault="00D645D6" w:rsidP="00D645D6">
      <w:pPr>
        <w:pStyle w:val="ListParagraph"/>
        <w:keepNext/>
        <w:keepLines/>
        <w:adjustRightInd w:val="0"/>
        <w:ind w:left="360" w:hanging="360"/>
        <w:jc w:val="center"/>
        <w:rPr>
          <w:b/>
          <w:sz w:val="26"/>
          <w:szCs w:val="26"/>
        </w:rPr>
      </w:pPr>
      <w:r w:rsidRPr="00486A64">
        <w:rPr>
          <w:b/>
          <w:sz w:val="26"/>
          <w:szCs w:val="26"/>
        </w:rPr>
        <w:t>II.</w:t>
      </w:r>
      <w:r w:rsidRPr="00486A64">
        <w:rPr>
          <w:b/>
          <w:sz w:val="26"/>
          <w:szCs w:val="26"/>
        </w:rPr>
        <w:tab/>
        <w:t>Discussion</w:t>
      </w:r>
    </w:p>
    <w:p w14:paraId="7B68F13E" w14:textId="77777777" w:rsidR="00D645D6" w:rsidRPr="00486A64" w:rsidRDefault="00D645D6" w:rsidP="00D645D6">
      <w:pPr>
        <w:keepNext/>
        <w:keepLines/>
        <w:ind w:firstLine="0"/>
        <w:rPr>
          <w:b/>
          <w:sz w:val="26"/>
          <w:szCs w:val="26"/>
        </w:rPr>
      </w:pPr>
    </w:p>
    <w:p w14:paraId="03FBC5AC" w14:textId="77777777" w:rsidR="00D645D6" w:rsidRPr="00486A64" w:rsidRDefault="00D645D6" w:rsidP="00D645D6">
      <w:pPr>
        <w:pStyle w:val="ListParagraph"/>
        <w:keepNext/>
        <w:keepLines/>
        <w:numPr>
          <w:ilvl w:val="0"/>
          <w:numId w:val="16"/>
        </w:numPr>
        <w:autoSpaceDE w:val="0"/>
        <w:autoSpaceDN w:val="0"/>
        <w:ind w:left="360"/>
        <w:rPr>
          <w:b/>
          <w:sz w:val="26"/>
          <w:szCs w:val="26"/>
        </w:rPr>
      </w:pPr>
      <w:r w:rsidRPr="00486A64">
        <w:rPr>
          <w:b/>
          <w:sz w:val="26"/>
          <w:szCs w:val="26"/>
        </w:rPr>
        <w:t>Legal Standards</w:t>
      </w:r>
    </w:p>
    <w:p w14:paraId="6CDB0B8F" w14:textId="77777777" w:rsidR="00D645D6" w:rsidRPr="00486A64" w:rsidRDefault="00D645D6" w:rsidP="00D645D6">
      <w:pPr>
        <w:pStyle w:val="ListParagraph"/>
        <w:keepNext/>
        <w:keepLines/>
        <w:tabs>
          <w:tab w:val="left" w:pos="360"/>
        </w:tabs>
        <w:ind w:firstLine="0"/>
        <w:contextualSpacing/>
        <w:rPr>
          <w:b/>
          <w:sz w:val="26"/>
          <w:szCs w:val="26"/>
        </w:rPr>
      </w:pPr>
    </w:p>
    <w:p w14:paraId="2A575002" w14:textId="77777777" w:rsidR="00D645D6" w:rsidRPr="00486A64" w:rsidRDefault="00D645D6" w:rsidP="00D645D6">
      <w:pPr>
        <w:rPr>
          <w:sz w:val="26"/>
          <w:szCs w:val="26"/>
        </w:rPr>
      </w:pPr>
      <w:r w:rsidRPr="00486A64">
        <w:rPr>
          <w:sz w:val="26"/>
          <w:szCs w:val="26"/>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486A64">
          <w:rPr>
            <w:i/>
            <w:iCs/>
            <w:color w:val="000000"/>
            <w:sz w:val="26"/>
            <w:szCs w:val="26"/>
          </w:rPr>
          <w:t xml:space="preserve">Consolidated Rail Corp. v. Pa. PUC, </w:t>
        </w:r>
        <w:r w:rsidRPr="00486A64">
          <w:rPr>
            <w:color w:val="000000"/>
            <w:sz w:val="26"/>
            <w:szCs w:val="26"/>
          </w:rPr>
          <w:t>625 A.2d 741 (Pa. Cmwlth. 1993);</w:t>
        </w:r>
      </w:hyperlink>
      <w:r w:rsidRPr="00486A64">
        <w:rPr>
          <w:color w:val="000000"/>
          <w:sz w:val="26"/>
          <w:szCs w:val="26"/>
        </w:rPr>
        <w:t xml:space="preserve"> </w:t>
      </w:r>
      <w:r w:rsidRPr="00486A64">
        <w:rPr>
          <w:i/>
          <w:color w:val="000000"/>
          <w:sz w:val="26"/>
          <w:szCs w:val="26"/>
        </w:rPr>
        <w:t xml:space="preserve">also </w:t>
      </w:r>
      <w:r w:rsidRPr="00486A64">
        <w:rPr>
          <w:i/>
          <w:iCs/>
          <w:color w:val="000000"/>
          <w:sz w:val="26"/>
          <w:szCs w:val="26"/>
        </w:rPr>
        <w:t xml:space="preserve">see, generally, </w:t>
      </w:r>
      <w:hyperlink r:id="rId9" w:history="1">
        <w:r w:rsidRPr="00486A64">
          <w:rPr>
            <w:i/>
            <w:iCs/>
            <w:color w:val="000000"/>
            <w:sz w:val="26"/>
            <w:szCs w:val="26"/>
          </w:rPr>
          <w:t>University of Pennsylvania v. Pa. PUC</w:t>
        </w:r>
        <w:r w:rsidRPr="00486A64">
          <w:rPr>
            <w:color w:val="000000"/>
            <w:sz w:val="26"/>
            <w:szCs w:val="26"/>
          </w:rPr>
          <w:t>, 485 A.2d 1217 (Pa. Cmwlth. 1984).</w:t>
        </w:r>
      </w:hyperlink>
    </w:p>
    <w:p w14:paraId="72A5154B" w14:textId="77777777" w:rsidR="00D645D6" w:rsidRPr="00486A64" w:rsidRDefault="00D645D6" w:rsidP="00D645D6">
      <w:pPr>
        <w:pStyle w:val="ListParagraph"/>
        <w:ind w:left="1800" w:firstLine="0"/>
        <w:rPr>
          <w:b/>
          <w:sz w:val="26"/>
          <w:szCs w:val="26"/>
        </w:rPr>
      </w:pPr>
    </w:p>
    <w:p w14:paraId="422EE3C5" w14:textId="77777777" w:rsidR="00D645D6" w:rsidRPr="00486A64" w:rsidRDefault="00D645D6" w:rsidP="00D645D6">
      <w:pPr>
        <w:pStyle w:val="ListParagraph"/>
        <w:keepNext/>
        <w:keepLines/>
        <w:numPr>
          <w:ilvl w:val="0"/>
          <w:numId w:val="10"/>
        </w:numPr>
        <w:ind w:left="1080"/>
        <w:rPr>
          <w:b/>
          <w:sz w:val="26"/>
          <w:szCs w:val="26"/>
        </w:rPr>
      </w:pPr>
      <w:r w:rsidRPr="00486A64">
        <w:rPr>
          <w:b/>
          <w:sz w:val="26"/>
          <w:szCs w:val="26"/>
        </w:rPr>
        <w:t>Burden of Proof and Standard for Granting a Stay</w:t>
      </w:r>
    </w:p>
    <w:p w14:paraId="1BE4CA6B" w14:textId="77777777" w:rsidR="00D645D6" w:rsidRPr="00486A64" w:rsidRDefault="00D645D6" w:rsidP="00D645D6">
      <w:pPr>
        <w:pStyle w:val="ListParagraph"/>
        <w:keepNext/>
        <w:keepLines/>
        <w:ind w:left="1800" w:firstLine="0"/>
        <w:rPr>
          <w:b/>
          <w:sz w:val="26"/>
          <w:szCs w:val="26"/>
        </w:rPr>
      </w:pPr>
    </w:p>
    <w:p w14:paraId="33363A25" w14:textId="72D1CA91" w:rsidR="00D645D6" w:rsidRPr="00486A64" w:rsidRDefault="00D645D6" w:rsidP="00D645D6">
      <w:pPr>
        <w:rPr>
          <w:sz w:val="26"/>
          <w:szCs w:val="26"/>
        </w:rPr>
      </w:pPr>
      <w:r w:rsidRPr="00486A64">
        <w:rPr>
          <w:sz w:val="26"/>
          <w:szCs w:val="26"/>
        </w:rPr>
        <w:t xml:space="preserve">Section 332(a) of the Code, 66 Pa. C.S. § 332(a), provides that the party seeking a rule or order from the Commission has the burden of proof in that proceeding.  </w:t>
      </w:r>
      <w:r w:rsidR="000E682D" w:rsidRPr="00486A64">
        <w:rPr>
          <w:sz w:val="26"/>
          <w:szCs w:val="26"/>
        </w:rPr>
        <w:t>Therefore</w:t>
      </w:r>
      <w:r w:rsidRPr="00486A64">
        <w:rPr>
          <w:sz w:val="26"/>
          <w:szCs w:val="26"/>
        </w:rPr>
        <w:t xml:space="preserve">, the burden of proof is on the Petitioner.  It is axiomatic that “[a] litigant’s </w:t>
      </w:r>
      <w:r w:rsidRPr="00486A64">
        <w:rPr>
          <w:sz w:val="26"/>
          <w:szCs w:val="26"/>
        </w:rPr>
        <w:lastRenderedPageBreak/>
        <w:t xml:space="preserve">burden of proof before administrative tribunals as well as before most civil proceedings is satisfied by establishing a preponderance of evidence which is substantial and legally credible.”  </w:t>
      </w:r>
      <w:r w:rsidRPr="00486A64">
        <w:rPr>
          <w:i/>
          <w:sz w:val="26"/>
          <w:szCs w:val="26"/>
        </w:rPr>
        <w:t>Samuel J. Lansberry, Inc. v. Pa. PUC</w:t>
      </w:r>
      <w:r w:rsidRPr="00486A64">
        <w:rPr>
          <w:sz w:val="26"/>
          <w:szCs w:val="26"/>
        </w:rPr>
        <w:t>, 578 A.2d 600, 602 (Pa. Cmwlth. 1990).</w:t>
      </w:r>
    </w:p>
    <w:p w14:paraId="42617E06" w14:textId="77777777" w:rsidR="00D645D6" w:rsidRPr="00486A64" w:rsidRDefault="00D645D6" w:rsidP="00D645D6">
      <w:pPr>
        <w:rPr>
          <w:sz w:val="26"/>
          <w:szCs w:val="26"/>
        </w:rPr>
      </w:pPr>
    </w:p>
    <w:p w14:paraId="312C8B31" w14:textId="77777777" w:rsidR="00D645D6" w:rsidRPr="00486A64" w:rsidRDefault="00D645D6" w:rsidP="00D645D6">
      <w:pPr>
        <w:rPr>
          <w:rFonts w:eastAsiaTheme="minorHAnsi"/>
          <w:sz w:val="26"/>
          <w:szCs w:val="26"/>
        </w:rPr>
      </w:pPr>
      <w:r w:rsidRPr="00486A64">
        <w:rPr>
          <w:rFonts w:eastAsiaTheme="minorHAnsi"/>
          <w:sz w:val="26"/>
          <w:szCs w:val="26"/>
        </w:rPr>
        <w:t xml:space="preserve">The Commission has adopted the standards set forth in </w:t>
      </w:r>
      <w:r w:rsidRPr="00486A64">
        <w:rPr>
          <w:rFonts w:eastAsiaTheme="minorHAnsi"/>
          <w:i/>
          <w:sz w:val="26"/>
          <w:szCs w:val="26"/>
        </w:rPr>
        <w:t>Pennsylvania Public Utility Commission v. Process Gas Consumers Group</w:t>
      </w:r>
      <w:r w:rsidRPr="00486A64">
        <w:rPr>
          <w:rFonts w:eastAsiaTheme="minorHAnsi"/>
          <w:sz w:val="26"/>
          <w:szCs w:val="26"/>
        </w:rPr>
        <w:t>, 502 Pa. 545, 467 A.2d 805 (1983) (</w:t>
      </w:r>
      <w:r w:rsidRPr="00486A64">
        <w:rPr>
          <w:rFonts w:eastAsiaTheme="minorHAnsi"/>
          <w:i/>
          <w:sz w:val="26"/>
          <w:szCs w:val="26"/>
        </w:rPr>
        <w:t>Process Gas</w:t>
      </w:r>
      <w:r w:rsidRPr="00486A64">
        <w:rPr>
          <w:rFonts w:eastAsiaTheme="minorHAnsi"/>
          <w:sz w:val="26"/>
          <w:szCs w:val="26"/>
        </w:rPr>
        <w:t xml:space="preserve">), in reviewing petitions which seek to stay the effect of Commission Orders.  To meet the standards set forth in </w:t>
      </w:r>
      <w:r w:rsidRPr="00486A64">
        <w:rPr>
          <w:rFonts w:eastAsiaTheme="minorHAnsi"/>
          <w:i/>
          <w:sz w:val="26"/>
          <w:szCs w:val="26"/>
        </w:rPr>
        <w:t>Process Gas</w:t>
      </w:r>
      <w:r w:rsidRPr="00486A64">
        <w:rPr>
          <w:rFonts w:eastAsiaTheme="minorHAnsi"/>
          <w:sz w:val="26"/>
          <w:szCs w:val="26"/>
        </w:rPr>
        <w:t>, a petitioner must:</w:t>
      </w:r>
    </w:p>
    <w:p w14:paraId="14E49691" w14:textId="77777777" w:rsidR="00D645D6" w:rsidRPr="00486A64" w:rsidRDefault="00D645D6" w:rsidP="00D645D6">
      <w:pPr>
        <w:ind w:left="1440"/>
        <w:rPr>
          <w:sz w:val="26"/>
          <w:szCs w:val="26"/>
        </w:rPr>
      </w:pPr>
    </w:p>
    <w:p w14:paraId="20710242" w14:textId="77777777" w:rsidR="00D645D6" w:rsidRPr="00486A64" w:rsidRDefault="00D645D6" w:rsidP="00D645D6">
      <w:pPr>
        <w:pStyle w:val="ListParagraph"/>
        <w:numPr>
          <w:ilvl w:val="0"/>
          <w:numId w:val="3"/>
        </w:numPr>
        <w:spacing w:line="240" w:lineRule="auto"/>
        <w:ind w:left="1440" w:hanging="720"/>
        <w:rPr>
          <w:sz w:val="26"/>
          <w:szCs w:val="26"/>
        </w:rPr>
      </w:pPr>
      <w:bookmarkStart w:id="1" w:name="_Hlk2856354"/>
      <w:r w:rsidRPr="00486A64">
        <w:rPr>
          <w:sz w:val="26"/>
          <w:szCs w:val="26"/>
        </w:rPr>
        <w:t>Make a strong showing of likelihood to prevail on the merits;</w:t>
      </w:r>
    </w:p>
    <w:p w14:paraId="2A705FB1" w14:textId="77777777" w:rsidR="00D645D6" w:rsidRPr="00486A64" w:rsidRDefault="00D645D6" w:rsidP="00D645D6">
      <w:pPr>
        <w:pStyle w:val="ListParagraph"/>
        <w:spacing w:line="240" w:lineRule="auto"/>
        <w:ind w:left="1440" w:hanging="720"/>
        <w:rPr>
          <w:sz w:val="26"/>
          <w:szCs w:val="26"/>
        </w:rPr>
      </w:pPr>
    </w:p>
    <w:p w14:paraId="3413C83E" w14:textId="77777777" w:rsidR="00D645D6" w:rsidRPr="00486A64" w:rsidRDefault="00D645D6" w:rsidP="00D645D6">
      <w:pPr>
        <w:pStyle w:val="ListParagraph"/>
        <w:numPr>
          <w:ilvl w:val="0"/>
          <w:numId w:val="3"/>
        </w:numPr>
        <w:spacing w:line="240" w:lineRule="auto"/>
        <w:ind w:left="1440" w:hanging="720"/>
        <w:rPr>
          <w:sz w:val="26"/>
          <w:szCs w:val="26"/>
        </w:rPr>
      </w:pPr>
      <w:r w:rsidRPr="00486A64">
        <w:rPr>
          <w:sz w:val="26"/>
          <w:szCs w:val="26"/>
        </w:rPr>
        <w:t>Show that denial of relief will cause irreparable injury;</w:t>
      </w:r>
    </w:p>
    <w:p w14:paraId="75F5BC2D" w14:textId="77777777" w:rsidR="00D645D6" w:rsidRPr="00486A64" w:rsidRDefault="00D645D6" w:rsidP="00D645D6">
      <w:pPr>
        <w:pStyle w:val="ListParagraph"/>
        <w:spacing w:line="240" w:lineRule="auto"/>
        <w:ind w:left="1440" w:hanging="720"/>
        <w:rPr>
          <w:sz w:val="26"/>
          <w:szCs w:val="26"/>
        </w:rPr>
      </w:pPr>
    </w:p>
    <w:p w14:paraId="6F40F964" w14:textId="77777777" w:rsidR="00D645D6" w:rsidRPr="00486A64" w:rsidRDefault="00D645D6" w:rsidP="00D645D6">
      <w:pPr>
        <w:pStyle w:val="ListParagraph"/>
        <w:numPr>
          <w:ilvl w:val="0"/>
          <w:numId w:val="3"/>
        </w:numPr>
        <w:spacing w:line="240" w:lineRule="auto"/>
        <w:ind w:left="1440" w:hanging="720"/>
        <w:rPr>
          <w:sz w:val="26"/>
          <w:szCs w:val="26"/>
        </w:rPr>
      </w:pPr>
      <w:r w:rsidRPr="00486A64">
        <w:rPr>
          <w:sz w:val="26"/>
          <w:szCs w:val="26"/>
        </w:rPr>
        <w:t>Show that the issuance of a stay will not substantially harm other interested parties in the proceedings; and</w:t>
      </w:r>
    </w:p>
    <w:p w14:paraId="2AAC52A9" w14:textId="77777777" w:rsidR="00D645D6" w:rsidRPr="00486A64" w:rsidRDefault="00D645D6" w:rsidP="00D645D6">
      <w:pPr>
        <w:pStyle w:val="ListParagraph"/>
        <w:spacing w:line="240" w:lineRule="auto"/>
        <w:ind w:left="1440" w:hanging="720"/>
        <w:rPr>
          <w:sz w:val="26"/>
          <w:szCs w:val="26"/>
        </w:rPr>
      </w:pPr>
    </w:p>
    <w:p w14:paraId="2FEBF570" w14:textId="755508B8" w:rsidR="00D645D6" w:rsidRDefault="00D645D6" w:rsidP="009B445B">
      <w:pPr>
        <w:pStyle w:val="ListParagraph"/>
        <w:numPr>
          <w:ilvl w:val="0"/>
          <w:numId w:val="3"/>
        </w:numPr>
        <w:spacing w:line="240" w:lineRule="auto"/>
        <w:ind w:left="1440" w:hanging="720"/>
        <w:rPr>
          <w:sz w:val="26"/>
          <w:szCs w:val="26"/>
        </w:rPr>
      </w:pPr>
      <w:r w:rsidRPr="00486A64">
        <w:rPr>
          <w:sz w:val="26"/>
          <w:szCs w:val="26"/>
        </w:rPr>
        <w:t>Show that the issuance of a stay will not adversely affect the public interest.</w:t>
      </w:r>
    </w:p>
    <w:p w14:paraId="5A3C7859" w14:textId="77777777" w:rsidR="009B445B" w:rsidRPr="00486A64" w:rsidRDefault="009B445B" w:rsidP="009B445B">
      <w:pPr>
        <w:pStyle w:val="ListParagraph"/>
        <w:spacing w:line="240" w:lineRule="auto"/>
        <w:ind w:left="1440" w:firstLine="0"/>
        <w:rPr>
          <w:sz w:val="26"/>
          <w:szCs w:val="26"/>
        </w:rPr>
      </w:pPr>
    </w:p>
    <w:bookmarkEnd w:id="1"/>
    <w:p w14:paraId="0A338D93" w14:textId="77777777" w:rsidR="00D645D6" w:rsidRPr="00486A64" w:rsidRDefault="00D645D6" w:rsidP="009B445B">
      <w:pPr>
        <w:spacing w:line="240" w:lineRule="auto"/>
        <w:rPr>
          <w:sz w:val="26"/>
          <w:szCs w:val="26"/>
        </w:rPr>
      </w:pPr>
    </w:p>
    <w:p w14:paraId="76CB099B" w14:textId="77777777" w:rsidR="00D645D6" w:rsidRPr="00486A64" w:rsidRDefault="00D645D6" w:rsidP="00D645D6">
      <w:pPr>
        <w:ind w:firstLine="0"/>
        <w:rPr>
          <w:sz w:val="26"/>
          <w:szCs w:val="26"/>
        </w:rPr>
      </w:pPr>
      <w:r w:rsidRPr="00486A64">
        <w:rPr>
          <w:sz w:val="26"/>
          <w:szCs w:val="26"/>
        </w:rPr>
        <w:t xml:space="preserve">502 Pa. at 552-553, 467 A.2d at 808-809.  The </w:t>
      </w:r>
      <w:r w:rsidRPr="00486A64">
        <w:rPr>
          <w:i/>
          <w:sz w:val="26"/>
          <w:szCs w:val="26"/>
        </w:rPr>
        <w:t>Process Gas</w:t>
      </w:r>
      <w:r w:rsidRPr="00486A64">
        <w:rPr>
          <w:sz w:val="26"/>
          <w:szCs w:val="26"/>
        </w:rPr>
        <w:t xml:space="preserve"> decision also provides that, when the second through fourth factors strongly support the grant of a stay, a petitioner may succeed by establishing a substantial case on the merits.  </w:t>
      </w:r>
      <w:r w:rsidRPr="00486A64">
        <w:rPr>
          <w:i/>
          <w:sz w:val="26"/>
          <w:szCs w:val="26"/>
        </w:rPr>
        <w:t>Process Gas</w:t>
      </w:r>
      <w:r w:rsidRPr="00486A64">
        <w:rPr>
          <w:sz w:val="26"/>
          <w:szCs w:val="26"/>
        </w:rPr>
        <w:t>, 502 Pa. at 553, 467 A.2d at 809.</w:t>
      </w:r>
    </w:p>
    <w:p w14:paraId="663C6AE7" w14:textId="77777777" w:rsidR="00D645D6" w:rsidRPr="00486A64" w:rsidRDefault="00D645D6" w:rsidP="00D645D6">
      <w:pPr>
        <w:ind w:firstLine="0"/>
        <w:rPr>
          <w:b/>
          <w:sz w:val="26"/>
          <w:szCs w:val="26"/>
        </w:rPr>
      </w:pPr>
    </w:p>
    <w:p w14:paraId="36DE19D4" w14:textId="77777777" w:rsidR="00D645D6" w:rsidRPr="00486A64" w:rsidRDefault="00D645D6" w:rsidP="00D645D6">
      <w:pPr>
        <w:pStyle w:val="ListParagraph"/>
        <w:keepNext/>
        <w:keepLines/>
        <w:numPr>
          <w:ilvl w:val="0"/>
          <w:numId w:val="10"/>
        </w:numPr>
        <w:tabs>
          <w:tab w:val="left" w:pos="1800"/>
        </w:tabs>
        <w:ind w:left="1080"/>
        <w:rPr>
          <w:b/>
          <w:sz w:val="26"/>
          <w:szCs w:val="26"/>
        </w:rPr>
      </w:pPr>
      <w:r w:rsidRPr="00486A64">
        <w:rPr>
          <w:b/>
          <w:sz w:val="26"/>
          <w:szCs w:val="26"/>
        </w:rPr>
        <w:lastRenderedPageBreak/>
        <w:t>Position of the Parties</w:t>
      </w:r>
    </w:p>
    <w:p w14:paraId="0191A1CD" w14:textId="77777777" w:rsidR="00D645D6" w:rsidRPr="00486A64" w:rsidRDefault="00D645D6" w:rsidP="00D645D6">
      <w:pPr>
        <w:keepNext/>
        <w:keepLines/>
        <w:rPr>
          <w:b/>
          <w:sz w:val="26"/>
          <w:szCs w:val="26"/>
        </w:rPr>
      </w:pPr>
    </w:p>
    <w:p w14:paraId="4AF8E966" w14:textId="00D61491" w:rsidR="00D645D6" w:rsidRPr="00486A64" w:rsidRDefault="00D645D6" w:rsidP="00D645D6">
      <w:pPr>
        <w:pStyle w:val="ListParagraph"/>
        <w:keepNext/>
        <w:keepLines/>
        <w:numPr>
          <w:ilvl w:val="0"/>
          <w:numId w:val="11"/>
        </w:numPr>
        <w:tabs>
          <w:tab w:val="left" w:pos="2520"/>
        </w:tabs>
        <w:ind w:left="1800"/>
        <w:rPr>
          <w:b/>
          <w:sz w:val="26"/>
          <w:szCs w:val="26"/>
        </w:rPr>
      </w:pPr>
      <w:r w:rsidRPr="00486A64">
        <w:rPr>
          <w:b/>
          <w:sz w:val="26"/>
          <w:szCs w:val="26"/>
        </w:rPr>
        <w:t>PGW’s Petition</w:t>
      </w:r>
      <w:r w:rsidR="00E71922" w:rsidRPr="00486A64">
        <w:rPr>
          <w:rStyle w:val="FootnoteReference"/>
          <w:b/>
          <w:szCs w:val="26"/>
        </w:rPr>
        <w:footnoteReference w:id="10"/>
      </w:r>
    </w:p>
    <w:p w14:paraId="4A1EC32D" w14:textId="77777777" w:rsidR="00D645D6" w:rsidRPr="00486A64" w:rsidRDefault="00D645D6" w:rsidP="00D645D6">
      <w:pPr>
        <w:keepNext/>
        <w:keepLines/>
        <w:rPr>
          <w:sz w:val="26"/>
          <w:szCs w:val="26"/>
        </w:rPr>
      </w:pPr>
    </w:p>
    <w:p w14:paraId="1932617A" w14:textId="6DFA49FF" w:rsidR="00D645D6" w:rsidRPr="00486A64" w:rsidRDefault="00D645D6" w:rsidP="00D645D6">
      <w:pPr>
        <w:rPr>
          <w:sz w:val="26"/>
          <w:szCs w:val="26"/>
        </w:rPr>
      </w:pPr>
      <w:r w:rsidRPr="00486A64">
        <w:rPr>
          <w:sz w:val="26"/>
          <w:szCs w:val="26"/>
        </w:rPr>
        <w:t xml:space="preserve">PGW asserts that the Petition satisfies </w:t>
      </w:r>
      <w:r w:rsidR="000E682D" w:rsidRPr="00486A64">
        <w:rPr>
          <w:sz w:val="26"/>
          <w:szCs w:val="26"/>
        </w:rPr>
        <w:t xml:space="preserve">standards 1-4 </w:t>
      </w:r>
      <w:r w:rsidRPr="00486A64">
        <w:rPr>
          <w:sz w:val="26"/>
          <w:szCs w:val="26"/>
        </w:rPr>
        <w:t xml:space="preserve">enumerated </w:t>
      </w:r>
      <w:r w:rsidR="000E682D" w:rsidRPr="00486A64">
        <w:rPr>
          <w:sz w:val="26"/>
          <w:szCs w:val="26"/>
        </w:rPr>
        <w:t xml:space="preserve">in </w:t>
      </w:r>
      <w:r w:rsidR="000E682D" w:rsidRPr="00486A64">
        <w:rPr>
          <w:i/>
          <w:sz w:val="26"/>
          <w:szCs w:val="26"/>
        </w:rPr>
        <w:t>Process Gas</w:t>
      </w:r>
      <w:r w:rsidRPr="00486A64">
        <w:rPr>
          <w:sz w:val="26"/>
          <w:szCs w:val="26"/>
        </w:rPr>
        <w:t xml:space="preserve">, for supporting the grant of a stay of the Commission’s orders.  First, PGW submits that it has shown a likelihood of success on the merits in the present case because it has asserted “significant questions of Commission legal authority” for the Commission’s orders.  </w:t>
      </w:r>
      <w:r w:rsidR="00587985" w:rsidRPr="00486A64">
        <w:rPr>
          <w:sz w:val="26"/>
          <w:szCs w:val="26"/>
        </w:rPr>
        <w:t xml:space="preserve">PGW September </w:t>
      </w:r>
      <w:r w:rsidRPr="00486A64">
        <w:rPr>
          <w:sz w:val="26"/>
          <w:szCs w:val="26"/>
        </w:rPr>
        <w:t>Petition at 4-5.</w:t>
      </w:r>
    </w:p>
    <w:p w14:paraId="1CE138E2" w14:textId="77777777" w:rsidR="004479D3" w:rsidRPr="00486A64" w:rsidRDefault="004479D3" w:rsidP="00463824">
      <w:pPr>
        <w:ind w:firstLine="0"/>
        <w:rPr>
          <w:sz w:val="26"/>
          <w:szCs w:val="26"/>
        </w:rPr>
      </w:pPr>
    </w:p>
    <w:p w14:paraId="6AFE9791" w14:textId="5BB72A5E" w:rsidR="00D645D6" w:rsidRPr="00486A64" w:rsidRDefault="00D645D6" w:rsidP="00463824">
      <w:pPr>
        <w:rPr>
          <w:sz w:val="26"/>
          <w:szCs w:val="26"/>
        </w:rPr>
      </w:pPr>
      <w:r w:rsidRPr="00486A64">
        <w:rPr>
          <w:sz w:val="26"/>
          <w:szCs w:val="26"/>
        </w:rPr>
        <w:t>Second, PGW submits that it has shown it will suffer irreparable harm without a stay because:</w:t>
      </w:r>
    </w:p>
    <w:p w14:paraId="4409926E" w14:textId="77777777" w:rsidR="00D645D6" w:rsidRPr="00486A64" w:rsidRDefault="00D645D6" w:rsidP="00463824">
      <w:pPr>
        <w:rPr>
          <w:sz w:val="26"/>
          <w:szCs w:val="26"/>
        </w:rPr>
      </w:pPr>
    </w:p>
    <w:p w14:paraId="3E43706F" w14:textId="77777777" w:rsidR="00D645D6" w:rsidRPr="00486A64" w:rsidRDefault="00D645D6" w:rsidP="00D645D6">
      <w:pPr>
        <w:pStyle w:val="ListParagraph"/>
        <w:numPr>
          <w:ilvl w:val="0"/>
          <w:numId w:val="15"/>
        </w:numPr>
        <w:rPr>
          <w:sz w:val="26"/>
          <w:szCs w:val="26"/>
        </w:rPr>
      </w:pPr>
      <w:r w:rsidRPr="00486A64">
        <w:rPr>
          <w:sz w:val="26"/>
          <w:szCs w:val="26"/>
        </w:rPr>
        <w:t xml:space="preserve">The </w:t>
      </w:r>
      <w:r w:rsidRPr="00486A64">
        <w:rPr>
          <w:i/>
          <w:sz w:val="26"/>
          <w:szCs w:val="26"/>
        </w:rPr>
        <w:t>Commission Orders</w:t>
      </w:r>
      <w:r w:rsidRPr="00486A64">
        <w:rPr>
          <w:sz w:val="26"/>
          <w:szCs w:val="26"/>
        </w:rPr>
        <w:t xml:space="preserve"> will adversely impact PGW’s financial stability by precluding PGW from filing municipal liens to collect unpaid gas utility bill.  </w:t>
      </w:r>
      <w:r w:rsidRPr="00486A64">
        <w:rPr>
          <w:i/>
          <w:sz w:val="26"/>
          <w:szCs w:val="26"/>
        </w:rPr>
        <w:t xml:space="preserve">Id. </w:t>
      </w:r>
      <w:r w:rsidRPr="00486A64">
        <w:rPr>
          <w:sz w:val="26"/>
          <w:szCs w:val="26"/>
        </w:rPr>
        <w:t>at 5.</w:t>
      </w:r>
    </w:p>
    <w:p w14:paraId="3C3D306F" w14:textId="77777777" w:rsidR="00D645D6" w:rsidRPr="00486A64" w:rsidRDefault="00D645D6" w:rsidP="00D645D6">
      <w:pPr>
        <w:ind w:left="720" w:hanging="720"/>
        <w:rPr>
          <w:sz w:val="26"/>
          <w:szCs w:val="26"/>
        </w:rPr>
      </w:pPr>
    </w:p>
    <w:p w14:paraId="1277F190" w14:textId="77777777" w:rsidR="00D645D6" w:rsidRPr="00486A64" w:rsidRDefault="00D645D6" w:rsidP="00D645D6">
      <w:pPr>
        <w:pStyle w:val="ListParagraph"/>
        <w:numPr>
          <w:ilvl w:val="0"/>
          <w:numId w:val="15"/>
        </w:numPr>
        <w:rPr>
          <w:sz w:val="26"/>
          <w:szCs w:val="26"/>
        </w:rPr>
      </w:pPr>
      <w:r w:rsidRPr="00486A64">
        <w:rPr>
          <w:sz w:val="26"/>
          <w:szCs w:val="26"/>
        </w:rPr>
        <w:t xml:space="preserve">PGW’s compliance with the </w:t>
      </w:r>
      <w:r w:rsidRPr="00486A64">
        <w:rPr>
          <w:i/>
          <w:sz w:val="26"/>
          <w:szCs w:val="26"/>
        </w:rPr>
        <w:t>Commission Orders</w:t>
      </w:r>
      <w:r w:rsidRPr="00486A64">
        <w:rPr>
          <w:sz w:val="26"/>
          <w:szCs w:val="26"/>
        </w:rPr>
        <w:t xml:space="preserve">, if unlawful, is </w:t>
      </w:r>
      <w:r w:rsidRPr="00486A64">
        <w:rPr>
          <w:i/>
          <w:sz w:val="26"/>
          <w:szCs w:val="26"/>
        </w:rPr>
        <w:t>per se</w:t>
      </w:r>
      <w:r w:rsidRPr="00486A64">
        <w:rPr>
          <w:sz w:val="26"/>
          <w:szCs w:val="26"/>
        </w:rPr>
        <w:t xml:space="preserve"> irreparable harm.  </w:t>
      </w:r>
      <w:r w:rsidRPr="00486A64">
        <w:rPr>
          <w:i/>
          <w:sz w:val="26"/>
          <w:szCs w:val="26"/>
        </w:rPr>
        <w:t>Id.</w:t>
      </w:r>
    </w:p>
    <w:p w14:paraId="1E7ACF9F" w14:textId="77777777" w:rsidR="00D645D6" w:rsidRPr="00486A64" w:rsidRDefault="00D645D6" w:rsidP="00D645D6">
      <w:pPr>
        <w:ind w:left="720" w:hanging="720"/>
        <w:rPr>
          <w:sz w:val="26"/>
          <w:szCs w:val="26"/>
        </w:rPr>
      </w:pPr>
    </w:p>
    <w:p w14:paraId="687BC3FA" w14:textId="77777777" w:rsidR="00D645D6" w:rsidRPr="00486A64" w:rsidRDefault="00D645D6" w:rsidP="00D645D6">
      <w:pPr>
        <w:pStyle w:val="ListParagraph"/>
        <w:numPr>
          <w:ilvl w:val="0"/>
          <w:numId w:val="15"/>
        </w:numPr>
        <w:rPr>
          <w:sz w:val="26"/>
          <w:szCs w:val="26"/>
        </w:rPr>
      </w:pPr>
      <w:r w:rsidRPr="00486A64">
        <w:rPr>
          <w:sz w:val="26"/>
          <w:szCs w:val="26"/>
        </w:rPr>
        <w:t xml:space="preserve">The unrealistic timeframes for compliance set by the </w:t>
      </w:r>
      <w:r w:rsidRPr="00486A64">
        <w:rPr>
          <w:i/>
          <w:sz w:val="26"/>
          <w:szCs w:val="26"/>
        </w:rPr>
        <w:t>Commission’s Orders</w:t>
      </w:r>
      <w:r w:rsidRPr="00486A64">
        <w:rPr>
          <w:sz w:val="26"/>
          <w:szCs w:val="26"/>
        </w:rPr>
        <w:t xml:space="preserve"> will result in PGW being found in immediate noncompliance.  </w:t>
      </w:r>
      <w:r w:rsidRPr="00486A64">
        <w:rPr>
          <w:i/>
          <w:sz w:val="26"/>
          <w:szCs w:val="26"/>
        </w:rPr>
        <w:t>Id.</w:t>
      </w:r>
    </w:p>
    <w:p w14:paraId="6F1A3704" w14:textId="77777777" w:rsidR="00D645D6" w:rsidRPr="00486A64" w:rsidRDefault="00D645D6" w:rsidP="00D645D6">
      <w:pPr>
        <w:ind w:left="720" w:hanging="720"/>
        <w:rPr>
          <w:sz w:val="26"/>
          <w:szCs w:val="26"/>
        </w:rPr>
      </w:pPr>
    </w:p>
    <w:p w14:paraId="5BBD958E" w14:textId="77777777" w:rsidR="00D645D6" w:rsidRPr="00486A64" w:rsidRDefault="00D645D6" w:rsidP="00D645D6">
      <w:pPr>
        <w:pStyle w:val="ListParagraph"/>
        <w:numPr>
          <w:ilvl w:val="0"/>
          <w:numId w:val="15"/>
        </w:numPr>
        <w:rPr>
          <w:sz w:val="26"/>
          <w:szCs w:val="26"/>
        </w:rPr>
      </w:pPr>
      <w:r w:rsidRPr="00486A64">
        <w:rPr>
          <w:sz w:val="26"/>
          <w:szCs w:val="26"/>
        </w:rPr>
        <w:t xml:space="preserve">PGW will be required to expend substantial money, time and energy to change its billing systems and practices.  </w:t>
      </w:r>
      <w:r w:rsidRPr="00486A64">
        <w:rPr>
          <w:i/>
          <w:sz w:val="26"/>
          <w:szCs w:val="26"/>
        </w:rPr>
        <w:t>Id.</w:t>
      </w:r>
      <w:r w:rsidRPr="00486A64">
        <w:rPr>
          <w:sz w:val="26"/>
          <w:szCs w:val="26"/>
        </w:rPr>
        <w:t xml:space="preserve"> at 6.</w:t>
      </w:r>
    </w:p>
    <w:p w14:paraId="131F413B" w14:textId="77777777" w:rsidR="00D645D6" w:rsidRPr="00486A64" w:rsidRDefault="00D645D6" w:rsidP="00D645D6">
      <w:pPr>
        <w:ind w:left="720" w:hanging="720"/>
        <w:rPr>
          <w:sz w:val="26"/>
          <w:szCs w:val="26"/>
        </w:rPr>
      </w:pPr>
    </w:p>
    <w:p w14:paraId="31162357" w14:textId="3B1A4837" w:rsidR="00D645D6" w:rsidRPr="00486A64" w:rsidRDefault="00D645D6" w:rsidP="00D645D6">
      <w:pPr>
        <w:rPr>
          <w:sz w:val="26"/>
          <w:szCs w:val="26"/>
        </w:rPr>
      </w:pPr>
      <w:r w:rsidRPr="00486A64">
        <w:rPr>
          <w:sz w:val="26"/>
          <w:szCs w:val="26"/>
        </w:rPr>
        <w:t xml:space="preserve">Third, PGW submits that it has shown that other interested parties will not be harmed by granting a stay because SBG is the only other interested party, and since SBG’s only interest is a monetary refund, no harm will be caused for SBG because the refund may be granted at a later date.  </w:t>
      </w:r>
      <w:r w:rsidR="00587985" w:rsidRPr="00486A64">
        <w:rPr>
          <w:sz w:val="26"/>
          <w:szCs w:val="26"/>
        </w:rPr>
        <w:t xml:space="preserve">PGW September </w:t>
      </w:r>
      <w:r w:rsidRPr="00486A64">
        <w:rPr>
          <w:sz w:val="26"/>
          <w:szCs w:val="26"/>
        </w:rPr>
        <w:t>Petition at 6.</w:t>
      </w:r>
    </w:p>
    <w:p w14:paraId="39568F35" w14:textId="77777777" w:rsidR="00D645D6" w:rsidRPr="00486A64" w:rsidRDefault="00D645D6" w:rsidP="00D645D6">
      <w:pPr>
        <w:rPr>
          <w:sz w:val="26"/>
          <w:szCs w:val="26"/>
        </w:rPr>
      </w:pPr>
    </w:p>
    <w:p w14:paraId="48C0AC7C" w14:textId="5A943D1F" w:rsidR="00D645D6" w:rsidRPr="00486A64" w:rsidRDefault="00D645D6" w:rsidP="00D645D6">
      <w:pPr>
        <w:rPr>
          <w:sz w:val="26"/>
          <w:szCs w:val="26"/>
        </w:rPr>
      </w:pPr>
      <w:r w:rsidRPr="00486A64">
        <w:rPr>
          <w:sz w:val="26"/>
          <w:szCs w:val="26"/>
        </w:rPr>
        <w:t xml:space="preserve">Fourth, PGW submits that it has shown that granting the requested stay will not jeopardize public safety or harm the public interest because a stay will only delay its compliance with the </w:t>
      </w:r>
      <w:r w:rsidRPr="00486A64">
        <w:rPr>
          <w:i/>
          <w:sz w:val="26"/>
          <w:szCs w:val="26"/>
        </w:rPr>
        <w:t>Commission Orders</w:t>
      </w:r>
      <w:r w:rsidRPr="00486A64">
        <w:rPr>
          <w:sz w:val="26"/>
          <w:szCs w:val="26"/>
        </w:rPr>
        <w:t xml:space="preserve"> that require it to conform its billing practices with Commission regulations, refund SBG, and pay penalties to the Commission at a later point in time, which does not jeopardize public safety or harm public interest.  </w:t>
      </w:r>
      <w:r w:rsidR="00587985" w:rsidRPr="00486A64">
        <w:rPr>
          <w:sz w:val="26"/>
          <w:szCs w:val="26"/>
        </w:rPr>
        <w:t xml:space="preserve">PGW September </w:t>
      </w:r>
      <w:r w:rsidRPr="00486A64">
        <w:rPr>
          <w:sz w:val="26"/>
          <w:szCs w:val="26"/>
        </w:rPr>
        <w:t>Petition at 6-7.</w:t>
      </w:r>
    </w:p>
    <w:p w14:paraId="22A5EEC9" w14:textId="77777777" w:rsidR="00D645D6" w:rsidRPr="00486A64" w:rsidRDefault="00D645D6" w:rsidP="00D645D6">
      <w:pPr>
        <w:rPr>
          <w:b/>
          <w:sz w:val="26"/>
          <w:szCs w:val="26"/>
        </w:rPr>
      </w:pPr>
    </w:p>
    <w:p w14:paraId="52C65169" w14:textId="03F9B9D3" w:rsidR="00D645D6" w:rsidRPr="00486A64" w:rsidRDefault="00D645D6" w:rsidP="00D645D6">
      <w:pPr>
        <w:pStyle w:val="ListParagraph"/>
        <w:keepNext/>
        <w:keepLines/>
        <w:numPr>
          <w:ilvl w:val="0"/>
          <w:numId w:val="11"/>
        </w:numPr>
        <w:tabs>
          <w:tab w:val="left" w:pos="2520"/>
        </w:tabs>
        <w:ind w:left="1800"/>
        <w:rPr>
          <w:sz w:val="26"/>
          <w:szCs w:val="26"/>
        </w:rPr>
      </w:pPr>
      <w:r w:rsidRPr="00486A64">
        <w:rPr>
          <w:b/>
          <w:sz w:val="26"/>
          <w:szCs w:val="26"/>
        </w:rPr>
        <w:t>SBG’s Answer</w:t>
      </w:r>
      <w:r w:rsidR="00587985" w:rsidRPr="00486A64">
        <w:rPr>
          <w:rStyle w:val="FootnoteReference"/>
          <w:b/>
          <w:szCs w:val="26"/>
        </w:rPr>
        <w:footnoteReference w:id="11"/>
      </w:r>
    </w:p>
    <w:p w14:paraId="1D2E126C" w14:textId="77777777" w:rsidR="00D645D6" w:rsidRPr="00486A64" w:rsidRDefault="00D645D6" w:rsidP="00D645D6">
      <w:pPr>
        <w:pStyle w:val="ListParagraph"/>
        <w:keepNext/>
        <w:keepLines/>
        <w:ind w:left="2160" w:firstLine="0"/>
        <w:rPr>
          <w:sz w:val="26"/>
          <w:szCs w:val="26"/>
        </w:rPr>
      </w:pPr>
    </w:p>
    <w:p w14:paraId="0B857495" w14:textId="2BDCEAE8" w:rsidR="00D645D6" w:rsidRPr="00486A64" w:rsidRDefault="00D645D6" w:rsidP="00D645D6">
      <w:pPr>
        <w:rPr>
          <w:sz w:val="26"/>
          <w:szCs w:val="26"/>
        </w:rPr>
      </w:pPr>
      <w:r w:rsidRPr="00486A64">
        <w:rPr>
          <w:sz w:val="26"/>
          <w:szCs w:val="26"/>
        </w:rPr>
        <w:t xml:space="preserve">In its Answer in opposition to PGW’s Petition for Stay, SBG countered that PGW failed to meet the enumerated standards 1-4 for granting a stay under Process Gas, and refuted PGW’s assertions </w:t>
      </w:r>
      <w:r w:rsidRPr="00486A64">
        <w:rPr>
          <w:i/>
          <w:sz w:val="26"/>
          <w:szCs w:val="26"/>
        </w:rPr>
        <w:t xml:space="preserve">seriatim. </w:t>
      </w:r>
      <w:r w:rsidRPr="00486A64">
        <w:rPr>
          <w:sz w:val="26"/>
          <w:szCs w:val="26"/>
        </w:rPr>
        <w:t xml:space="preserve"> First, SBG asserted that PGW failed under the first prong of </w:t>
      </w:r>
      <w:r w:rsidRPr="00486A64">
        <w:rPr>
          <w:i/>
          <w:sz w:val="26"/>
          <w:szCs w:val="26"/>
        </w:rPr>
        <w:t>Process Gas</w:t>
      </w:r>
      <w:r w:rsidRPr="00486A64">
        <w:rPr>
          <w:sz w:val="26"/>
          <w:szCs w:val="26"/>
        </w:rPr>
        <w:t xml:space="preserve"> to show a likelihood of success on the merits since there is no “case of first impression” as to the Commission’s legal authority to impose the requirements of utility billing practices established by Commission regulations at Sections 56.22(a), 56.23 and 56.24 (pertaining to utility billing, application of partial payments to utility bills and imposition of late fees).  SBG noted that those billing regulations have been in effect since 1978, and the percentage rate of post-judgement </w:t>
      </w:r>
      <w:r w:rsidRPr="00486A64">
        <w:rPr>
          <w:sz w:val="26"/>
          <w:szCs w:val="26"/>
        </w:rPr>
        <w:lastRenderedPageBreak/>
        <w:t xml:space="preserve">interest charged is controlled under the regulation as limited by case law, under </w:t>
      </w:r>
      <w:r w:rsidRPr="00486A64">
        <w:rPr>
          <w:i/>
          <w:sz w:val="26"/>
          <w:szCs w:val="26"/>
        </w:rPr>
        <w:t>Equitable Gas Co. v. Wade,</w:t>
      </w:r>
      <w:r w:rsidRPr="00486A64">
        <w:rPr>
          <w:sz w:val="26"/>
          <w:szCs w:val="26"/>
        </w:rPr>
        <w:t xml:space="preserve"> 812 A. 2d 715 (Pa. Super. 2002).  </w:t>
      </w:r>
      <w:r w:rsidR="00587985" w:rsidRPr="00486A64">
        <w:rPr>
          <w:sz w:val="26"/>
          <w:szCs w:val="26"/>
        </w:rPr>
        <w:t xml:space="preserve">SBG October </w:t>
      </w:r>
      <w:r w:rsidRPr="00486A64">
        <w:rPr>
          <w:sz w:val="26"/>
          <w:szCs w:val="26"/>
        </w:rPr>
        <w:t>Answer at 10-13.</w:t>
      </w:r>
    </w:p>
    <w:p w14:paraId="19D62636" w14:textId="77777777" w:rsidR="00D645D6" w:rsidRPr="00486A64" w:rsidRDefault="00D645D6" w:rsidP="00D645D6">
      <w:pPr>
        <w:rPr>
          <w:sz w:val="26"/>
          <w:szCs w:val="26"/>
        </w:rPr>
      </w:pPr>
    </w:p>
    <w:p w14:paraId="4784B44B" w14:textId="77777777" w:rsidR="00D645D6" w:rsidRPr="00486A64" w:rsidRDefault="00D645D6" w:rsidP="00D645D6">
      <w:pPr>
        <w:rPr>
          <w:sz w:val="26"/>
          <w:szCs w:val="26"/>
        </w:rPr>
      </w:pPr>
      <w:r w:rsidRPr="00486A64">
        <w:rPr>
          <w:sz w:val="26"/>
          <w:szCs w:val="26"/>
        </w:rPr>
        <w:t xml:space="preserve">SBG next asserted that PGW failed under the second prong of </w:t>
      </w:r>
      <w:r w:rsidRPr="00486A64">
        <w:rPr>
          <w:i/>
          <w:sz w:val="26"/>
          <w:szCs w:val="26"/>
        </w:rPr>
        <w:t>Process Gas</w:t>
      </w:r>
      <w:r w:rsidRPr="00486A64">
        <w:rPr>
          <w:sz w:val="26"/>
          <w:szCs w:val="26"/>
        </w:rPr>
        <w:t xml:space="preserve"> to show it will suffer irreparable harm in the absence of a stay because:</w:t>
      </w:r>
    </w:p>
    <w:p w14:paraId="49057072" w14:textId="77777777" w:rsidR="00D645D6" w:rsidRPr="00486A64" w:rsidRDefault="00D645D6" w:rsidP="00D645D6">
      <w:pPr>
        <w:rPr>
          <w:sz w:val="26"/>
          <w:szCs w:val="26"/>
        </w:rPr>
      </w:pPr>
    </w:p>
    <w:p w14:paraId="70B79F07" w14:textId="083C8196" w:rsidR="00D645D6" w:rsidRPr="00486A64" w:rsidRDefault="00D645D6" w:rsidP="00D645D6">
      <w:pPr>
        <w:pStyle w:val="ListParagraph"/>
        <w:numPr>
          <w:ilvl w:val="0"/>
          <w:numId w:val="15"/>
        </w:numPr>
        <w:rPr>
          <w:sz w:val="26"/>
          <w:szCs w:val="26"/>
        </w:rPr>
      </w:pPr>
      <w:r w:rsidRPr="00486A64">
        <w:rPr>
          <w:sz w:val="26"/>
          <w:szCs w:val="26"/>
        </w:rPr>
        <w:t xml:space="preserve">The </w:t>
      </w:r>
      <w:r w:rsidRPr="00486A64">
        <w:rPr>
          <w:i/>
          <w:sz w:val="26"/>
          <w:szCs w:val="26"/>
        </w:rPr>
        <w:t>Commission Orders</w:t>
      </w:r>
      <w:r w:rsidRPr="00486A64">
        <w:rPr>
          <w:sz w:val="26"/>
          <w:szCs w:val="26"/>
        </w:rPr>
        <w:t xml:space="preserve"> requiring PGW billing practices’ compliance with the Code do not impact PGW’s financial stability or ability to recover unpaid utility bills, because the orders do not preclude PGW from exercising its municipal right to docket liens in the Court of Common Pleas for municipal claims.  </w:t>
      </w:r>
      <w:r w:rsidR="00587985" w:rsidRPr="00486A64">
        <w:rPr>
          <w:sz w:val="26"/>
          <w:szCs w:val="26"/>
        </w:rPr>
        <w:t xml:space="preserve">SBG October </w:t>
      </w:r>
      <w:r w:rsidRPr="00486A64">
        <w:rPr>
          <w:sz w:val="26"/>
          <w:szCs w:val="26"/>
        </w:rPr>
        <w:t>Answer at 13</w:t>
      </w:r>
      <w:r w:rsidRPr="00486A64">
        <w:rPr>
          <w:sz w:val="26"/>
          <w:szCs w:val="26"/>
        </w:rPr>
        <w:noBreakHyphen/>
        <w:t>14.</w:t>
      </w:r>
    </w:p>
    <w:p w14:paraId="4F5CB2AC" w14:textId="77777777" w:rsidR="00D645D6" w:rsidRPr="00486A64" w:rsidRDefault="00D645D6" w:rsidP="00D645D6">
      <w:pPr>
        <w:ind w:left="720" w:firstLine="0"/>
        <w:rPr>
          <w:sz w:val="26"/>
          <w:szCs w:val="26"/>
        </w:rPr>
      </w:pPr>
    </w:p>
    <w:p w14:paraId="323F5650" w14:textId="77777777" w:rsidR="00D645D6" w:rsidRPr="00486A64" w:rsidRDefault="00D645D6" w:rsidP="00D645D6">
      <w:pPr>
        <w:pStyle w:val="ListParagraph"/>
        <w:numPr>
          <w:ilvl w:val="0"/>
          <w:numId w:val="15"/>
        </w:numPr>
        <w:rPr>
          <w:sz w:val="26"/>
          <w:szCs w:val="26"/>
        </w:rPr>
      </w:pPr>
      <w:r w:rsidRPr="00486A64">
        <w:rPr>
          <w:sz w:val="26"/>
          <w:szCs w:val="26"/>
        </w:rPr>
        <w:t xml:space="preserve">PGW fails to show that the </w:t>
      </w:r>
      <w:r w:rsidRPr="00486A64">
        <w:rPr>
          <w:i/>
          <w:sz w:val="26"/>
          <w:szCs w:val="26"/>
        </w:rPr>
        <w:t>Commission Orders</w:t>
      </w:r>
      <w:r w:rsidRPr="00486A64">
        <w:rPr>
          <w:sz w:val="26"/>
          <w:szCs w:val="26"/>
        </w:rPr>
        <w:t xml:space="preserve"> cause PGW </w:t>
      </w:r>
      <w:r w:rsidRPr="00486A64">
        <w:rPr>
          <w:i/>
          <w:sz w:val="26"/>
          <w:szCs w:val="26"/>
        </w:rPr>
        <w:t>per se</w:t>
      </w:r>
      <w:r w:rsidRPr="00486A64">
        <w:rPr>
          <w:sz w:val="26"/>
          <w:szCs w:val="26"/>
        </w:rPr>
        <w:t xml:space="preserve"> harm as unlawful orders because they clearly fall under the Commission’s regulatory authority to ensure that utilities conduct billing practices in good faith and in accordance with long-standing billing practices established for consumer protection under the Public Utility Code. </w:t>
      </w:r>
      <w:r w:rsidRPr="00486A64">
        <w:rPr>
          <w:i/>
          <w:sz w:val="26"/>
          <w:szCs w:val="26"/>
        </w:rPr>
        <w:t>Id.</w:t>
      </w:r>
      <w:r w:rsidRPr="00486A64">
        <w:rPr>
          <w:sz w:val="26"/>
          <w:szCs w:val="26"/>
        </w:rPr>
        <w:t xml:space="preserve"> at 14-15.</w:t>
      </w:r>
    </w:p>
    <w:p w14:paraId="42DF0F22" w14:textId="77777777" w:rsidR="00D645D6" w:rsidRPr="00486A64" w:rsidRDefault="00D645D6" w:rsidP="00D645D6">
      <w:pPr>
        <w:ind w:left="720" w:firstLine="0"/>
        <w:rPr>
          <w:sz w:val="26"/>
          <w:szCs w:val="26"/>
        </w:rPr>
      </w:pPr>
    </w:p>
    <w:p w14:paraId="02545D8D" w14:textId="77777777" w:rsidR="00D645D6" w:rsidRPr="00486A64" w:rsidRDefault="00D645D6" w:rsidP="00D645D6">
      <w:pPr>
        <w:pStyle w:val="ListParagraph"/>
        <w:numPr>
          <w:ilvl w:val="0"/>
          <w:numId w:val="15"/>
        </w:numPr>
        <w:rPr>
          <w:sz w:val="26"/>
          <w:szCs w:val="26"/>
        </w:rPr>
      </w:pPr>
      <w:r w:rsidRPr="00486A64">
        <w:rPr>
          <w:sz w:val="26"/>
          <w:szCs w:val="26"/>
        </w:rPr>
        <w:t xml:space="preserve">PGW fails to show that the </w:t>
      </w:r>
      <w:r w:rsidRPr="00486A64">
        <w:rPr>
          <w:i/>
          <w:sz w:val="26"/>
          <w:szCs w:val="26"/>
        </w:rPr>
        <w:t>Commission Orders</w:t>
      </w:r>
      <w:r w:rsidRPr="00486A64">
        <w:rPr>
          <w:sz w:val="26"/>
          <w:szCs w:val="26"/>
        </w:rPr>
        <w:t xml:space="preserve"> impose an unrealistic compliance period of ninety days because the Commission’s decision regarding the time period for compliance gave important reasons for rejecting PGW’s proposed lengthy compliance period of fifty-seven weeks.  The reasons included that PGW was on notice of the potential compliance violation since 2011; PGW has acted in bad faith in not disclosing its practices to either the Commission or consumers; PGW’s unlawful billing practice impacts not only SBG but also any similarly situated PGW customer; that ninety days was sufficient time to perform any necessary billing modifications; and that, as a municipal utility for the City of Philadelphia, PGW already has a model for Commission-compliant billing </w:t>
      </w:r>
      <w:r w:rsidRPr="00486A64">
        <w:rPr>
          <w:sz w:val="26"/>
          <w:szCs w:val="26"/>
        </w:rPr>
        <w:lastRenderedPageBreak/>
        <w:t xml:space="preserve">practices to follow in the Philadelphia water department, which is also governed by the Commission’s billing regulations.  </w:t>
      </w:r>
      <w:r w:rsidRPr="00486A64">
        <w:rPr>
          <w:i/>
          <w:sz w:val="26"/>
          <w:szCs w:val="26"/>
        </w:rPr>
        <w:t xml:space="preserve">Id. </w:t>
      </w:r>
      <w:r w:rsidRPr="00486A64">
        <w:rPr>
          <w:sz w:val="26"/>
          <w:szCs w:val="26"/>
        </w:rPr>
        <w:t>at 15-17.</w:t>
      </w:r>
    </w:p>
    <w:p w14:paraId="7995A7A9" w14:textId="77777777" w:rsidR="00D645D6" w:rsidRPr="00486A64" w:rsidRDefault="00D645D6" w:rsidP="00D645D6">
      <w:pPr>
        <w:ind w:left="720" w:firstLine="0"/>
        <w:rPr>
          <w:sz w:val="26"/>
          <w:szCs w:val="26"/>
        </w:rPr>
      </w:pPr>
    </w:p>
    <w:p w14:paraId="7D4DFC7F" w14:textId="77777777" w:rsidR="00D645D6" w:rsidRPr="00486A64" w:rsidRDefault="00D645D6" w:rsidP="00D645D6">
      <w:pPr>
        <w:pStyle w:val="ListParagraph"/>
        <w:numPr>
          <w:ilvl w:val="0"/>
          <w:numId w:val="15"/>
        </w:numPr>
        <w:rPr>
          <w:sz w:val="26"/>
          <w:szCs w:val="26"/>
        </w:rPr>
      </w:pPr>
      <w:r w:rsidRPr="00486A64">
        <w:rPr>
          <w:sz w:val="26"/>
          <w:szCs w:val="26"/>
        </w:rPr>
        <w:t xml:space="preserve">PGW fails to show that the </w:t>
      </w:r>
      <w:r w:rsidRPr="00486A64">
        <w:rPr>
          <w:i/>
          <w:sz w:val="26"/>
          <w:szCs w:val="26"/>
        </w:rPr>
        <w:t>Commission Orders</w:t>
      </w:r>
      <w:r w:rsidRPr="00486A64">
        <w:rPr>
          <w:sz w:val="26"/>
          <w:szCs w:val="26"/>
        </w:rPr>
        <w:t xml:space="preserve"> will cause PGW to expend substantial money, time and resources which is unlikely to be recovered by PGW in a future rate case because as a municipal gas utility for the City of Philadelphia, PGW could easily adopt Commission-compliant billing practices already established by the municipal water authority for the City of Philadelphia, the Philadelphia Water Department, but continues to refuse to do so, as it now admits, because of PGW’s “conscious and intentional business decisions to maximize revenues.”  </w:t>
      </w:r>
      <w:r w:rsidRPr="00486A64">
        <w:rPr>
          <w:i/>
          <w:sz w:val="26"/>
          <w:szCs w:val="26"/>
        </w:rPr>
        <w:t xml:space="preserve">Id. </w:t>
      </w:r>
      <w:r w:rsidRPr="00486A64">
        <w:rPr>
          <w:sz w:val="26"/>
          <w:szCs w:val="26"/>
        </w:rPr>
        <w:t>17-18.</w:t>
      </w:r>
    </w:p>
    <w:p w14:paraId="33DC9FE1" w14:textId="77777777" w:rsidR="00D645D6" w:rsidRPr="00486A64" w:rsidRDefault="00D645D6" w:rsidP="00D645D6">
      <w:pPr>
        <w:rPr>
          <w:sz w:val="26"/>
          <w:szCs w:val="26"/>
        </w:rPr>
      </w:pPr>
    </w:p>
    <w:p w14:paraId="31EE4B70" w14:textId="1C905141" w:rsidR="00D645D6" w:rsidRPr="00486A64" w:rsidRDefault="00D645D6" w:rsidP="00D645D6">
      <w:pPr>
        <w:rPr>
          <w:sz w:val="26"/>
          <w:szCs w:val="26"/>
        </w:rPr>
      </w:pPr>
      <w:r w:rsidRPr="00486A64">
        <w:rPr>
          <w:sz w:val="26"/>
          <w:szCs w:val="26"/>
        </w:rPr>
        <w:t xml:space="preserve">Under the third prong of </w:t>
      </w:r>
      <w:r w:rsidRPr="00486A64">
        <w:rPr>
          <w:i/>
          <w:sz w:val="26"/>
          <w:szCs w:val="26"/>
        </w:rPr>
        <w:t>Process Gas</w:t>
      </w:r>
      <w:r w:rsidRPr="00486A64">
        <w:rPr>
          <w:sz w:val="26"/>
          <w:szCs w:val="26"/>
        </w:rPr>
        <w:t xml:space="preserve">, SBG further asserted that PGW failed to show that other interested parties will not be substantially harmed by a stay because a stay will perpetuate the harm suffered by SBG and similarly situated parties which was found to be unreasonable by the Commission’s imposition of penalties for PGW’s bad faith conduct because other interested parties exist and include all similarly situated ratepayers currently receiving unlawful bills from PGW.  In addition, SBG maintained that PGW’s unlawful billing practices cause harm to interested parties which is not only monetary but also legal harm.  SBG noted the non-monetary legal consequences of PGW’s unlawful billing practices to the City of Philadelphia and Complainants, where, if unlawful, the PGW liens relied upon by the City of Philadelphia for the issuance of municipal bonds under the jurisdiction of the Federal Security and Exchange Commission (SEC) puts the City at risk of being found in violation of SEC requirements, and because PGW’s municipal liens impact the Complainants’ legal property rights, </w:t>
      </w:r>
      <w:r w:rsidRPr="00486A64">
        <w:rPr>
          <w:i/>
          <w:sz w:val="26"/>
          <w:szCs w:val="26"/>
        </w:rPr>
        <w:t>i.e</w:t>
      </w:r>
      <w:r w:rsidRPr="00486A64">
        <w:rPr>
          <w:sz w:val="26"/>
          <w:szCs w:val="26"/>
        </w:rPr>
        <w:t xml:space="preserve">., constructive mortgage defaults.  </w:t>
      </w:r>
      <w:r w:rsidR="00587985" w:rsidRPr="00486A64">
        <w:rPr>
          <w:sz w:val="26"/>
          <w:szCs w:val="26"/>
        </w:rPr>
        <w:t xml:space="preserve">SBG October </w:t>
      </w:r>
      <w:r w:rsidRPr="00486A64">
        <w:rPr>
          <w:sz w:val="26"/>
          <w:szCs w:val="26"/>
        </w:rPr>
        <w:t>Answer at 18-19.</w:t>
      </w:r>
    </w:p>
    <w:p w14:paraId="1DD0D338" w14:textId="77777777" w:rsidR="00D645D6" w:rsidRPr="00486A64" w:rsidRDefault="00D645D6" w:rsidP="00D645D6">
      <w:pPr>
        <w:rPr>
          <w:sz w:val="26"/>
          <w:szCs w:val="26"/>
        </w:rPr>
      </w:pPr>
    </w:p>
    <w:p w14:paraId="6F43C26A" w14:textId="26348B47" w:rsidR="00D645D6" w:rsidRPr="00486A64" w:rsidRDefault="00D645D6" w:rsidP="00D645D6">
      <w:pPr>
        <w:rPr>
          <w:sz w:val="26"/>
          <w:szCs w:val="26"/>
        </w:rPr>
      </w:pPr>
      <w:r w:rsidRPr="00486A64">
        <w:rPr>
          <w:sz w:val="26"/>
          <w:szCs w:val="26"/>
        </w:rPr>
        <w:lastRenderedPageBreak/>
        <w:t xml:space="preserve">Finally, SBG asserted that PGW had failed under the fourth prong of </w:t>
      </w:r>
      <w:r w:rsidRPr="00486A64">
        <w:rPr>
          <w:i/>
          <w:sz w:val="26"/>
          <w:szCs w:val="26"/>
        </w:rPr>
        <w:t>Process Gas</w:t>
      </w:r>
      <w:r w:rsidRPr="00486A64">
        <w:rPr>
          <w:sz w:val="26"/>
          <w:szCs w:val="26"/>
        </w:rPr>
        <w:t xml:space="preserve"> to show that a stay will not adversely affect the public interest because all similarly situated ratepayers have an interest in PGW’s good faith billing practices in compliance with the consumer protections in place under the Code. Further, the public interest in having public utilities comply with Commission regulations and final orders is harmed by PGW’s flagrant and continued disregard of Commission billing practices harms the public interest.  </w:t>
      </w:r>
      <w:r w:rsidR="00587985" w:rsidRPr="00486A64">
        <w:rPr>
          <w:sz w:val="26"/>
          <w:szCs w:val="26"/>
        </w:rPr>
        <w:t xml:space="preserve">SBG October </w:t>
      </w:r>
      <w:r w:rsidRPr="00486A64">
        <w:rPr>
          <w:sz w:val="26"/>
          <w:szCs w:val="26"/>
        </w:rPr>
        <w:t>Answer at 18-19.</w:t>
      </w:r>
    </w:p>
    <w:p w14:paraId="158649C2" w14:textId="77777777" w:rsidR="00D645D6" w:rsidRPr="00486A64" w:rsidRDefault="00D645D6" w:rsidP="00D645D6">
      <w:pPr>
        <w:rPr>
          <w:sz w:val="26"/>
          <w:szCs w:val="26"/>
        </w:rPr>
      </w:pPr>
    </w:p>
    <w:p w14:paraId="5BC844A8" w14:textId="77777777" w:rsidR="00D645D6" w:rsidRPr="00486A64" w:rsidRDefault="00D645D6" w:rsidP="00D645D6">
      <w:pPr>
        <w:keepNext/>
        <w:keepLines/>
        <w:ind w:left="360" w:hanging="360"/>
        <w:jc w:val="center"/>
        <w:rPr>
          <w:b/>
          <w:sz w:val="26"/>
          <w:szCs w:val="26"/>
        </w:rPr>
      </w:pPr>
      <w:r w:rsidRPr="00486A64">
        <w:rPr>
          <w:b/>
          <w:sz w:val="26"/>
          <w:szCs w:val="26"/>
        </w:rPr>
        <w:t>III.</w:t>
      </w:r>
      <w:r w:rsidRPr="00486A64">
        <w:rPr>
          <w:b/>
          <w:sz w:val="26"/>
          <w:szCs w:val="26"/>
        </w:rPr>
        <w:tab/>
        <w:t>Disposition</w:t>
      </w:r>
    </w:p>
    <w:p w14:paraId="2CFECF2D" w14:textId="77777777" w:rsidR="00D645D6" w:rsidRPr="00486A64" w:rsidRDefault="00D645D6" w:rsidP="00D645D6">
      <w:pPr>
        <w:keepNext/>
        <w:keepLines/>
        <w:ind w:firstLine="0"/>
        <w:rPr>
          <w:sz w:val="26"/>
          <w:szCs w:val="26"/>
        </w:rPr>
      </w:pPr>
    </w:p>
    <w:p w14:paraId="465ECBA3" w14:textId="77777777" w:rsidR="00D645D6" w:rsidRPr="00486A64" w:rsidRDefault="00D645D6" w:rsidP="00D645D6">
      <w:pPr>
        <w:pStyle w:val="ListParagraph"/>
        <w:keepNext/>
        <w:keepLines/>
        <w:numPr>
          <w:ilvl w:val="0"/>
          <w:numId w:val="14"/>
        </w:numPr>
        <w:ind w:left="360"/>
        <w:rPr>
          <w:b/>
          <w:sz w:val="26"/>
          <w:szCs w:val="26"/>
        </w:rPr>
      </w:pPr>
      <w:r w:rsidRPr="00486A64">
        <w:rPr>
          <w:b/>
          <w:sz w:val="26"/>
          <w:szCs w:val="26"/>
        </w:rPr>
        <w:t>Timeliness of the Petition</w:t>
      </w:r>
    </w:p>
    <w:p w14:paraId="3DB70155" w14:textId="77777777" w:rsidR="00D645D6" w:rsidRPr="00486A64" w:rsidRDefault="00D645D6" w:rsidP="00D645D6">
      <w:pPr>
        <w:pStyle w:val="ListParagraph"/>
        <w:keepNext/>
        <w:keepLines/>
        <w:ind w:left="1800" w:firstLine="0"/>
        <w:rPr>
          <w:b/>
          <w:sz w:val="26"/>
          <w:szCs w:val="26"/>
        </w:rPr>
      </w:pPr>
    </w:p>
    <w:p w14:paraId="30BB00E8" w14:textId="551DE4D6" w:rsidR="00D645D6" w:rsidRPr="00486A64" w:rsidRDefault="00D645D6" w:rsidP="00D645D6">
      <w:pPr>
        <w:rPr>
          <w:sz w:val="26"/>
          <w:szCs w:val="26"/>
        </w:rPr>
      </w:pPr>
      <w:r w:rsidRPr="00486A64">
        <w:rPr>
          <w:sz w:val="26"/>
          <w:szCs w:val="26"/>
        </w:rPr>
        <w:t xml:space="preserve">As a threshold procedural matter, we shall address the timeliness of the petition.  PGW’s Petition for Stay was filed with the Commission on </w:t>
      </w:r>
      <w:r w:rsidR="00A972BB" w:rsidRPr="00486A64">
        <w:rPr>
          <w:sz w:val="26"/>
          <w:szCs w:val="26"/>
        </w:rPr>
        <w:t>October 19, 2018,</w:t>
      </w:r>
      <w:r w:rsidRPr="00486A64">
        <w:rPr>
          <w:sz w:val="26"/>
          <w:szCs w:val="26"/>
        </w:rPr>
        <w:t xml:space="preserve"> associated with PGW’s concurrent filing of Petition</w:t>
      </w:r>
      <w:r w:rsidR="00730195" w:rsidRPr="00486A64">
        <w:rPr>
          <w:sz w:val="26"/>
          <w:szCs w:val="26"/>
        </w:rPr>
        <w:t>s</w:t>
      </w:r>
      <w:r w:rsidRPr="00486A64">
        <w:rPr>
          <w:sz w:val="26"/>
          <w:szCs w:val="26"/>
        </w:rPr>
        <w:t xml:space="preserve"> for Review with the Commonwealth Court of our </w:t>
      </w:r>
      <w:r w:rsidR="00A972BB" w:rsidRPr="00486A64">
        <w:rPr>
          <w:i/>
          <w:sz w:val="26"/>
          <w:szCs w:val="26"/>
        </w:rPr>
        <w:t xml:space="preserve">September </w:t>
      </w:r>
      <w:r w:rsidRPr="00486A64">
        <w:rPr>
          <w:i/>
          <w:sz w:val="26"/>
          <w:szCs w:val="26"/>
        </w:rPr>
        <w:t>2018 Order</w:t>
      </w:r>
      <w:r w:rsidRPr="00486A64">
        <w:rPr>
          <w:sz w:val="26"/>
          <w:szCs w:val="26"/>
        </w:rPr>
        <w:t>,</w:t>
      </w:r>
      <w:r w:rsidRPr="00486A64">
        <w:rPr>
          <w:i/>
          <w:sz w:val="26"/>
          <w:szCs w:val="26"/>
        </w:rPr>
        <w:t xml:space="preserve"> </w:t>
      </w:r>
      <w:r w:rsidR="00A972BB" w:rsidRPr="00486A64">
        <w:rPr>
          <w:sz w:val="26"/>
          <w:szCs w:val="26"/>
        </w:rPr>
        <w:t>and our</w:t>
      </w:r>
      <w:r w:rsidR="00A972BB" w:rsidRPr="00486A64">
        <w:rPr>
          <w:i/>
          <w:sz w:val="26"/>
          <w:szCs w:val="26"/>
        </w:rPr>
        <w:t xml:space="preserve"> October 2018 Order</w:t>
      </w:r>
      <w:r w:rsidRPr="00486A64">
        <w:rPr>
          <w:sz w:val="26"/>
          <w:szCs w:val="26"/>
        </w:rPr>
        <w:t xml:space="preserve">.  Petition at </w:t>
      </w:r>
      <w:r w:rsidR="00A972BB" w:rsidRPr="00486A64">
        <w:rPr>
          <w:sz w:val="26"/>
          <w:szCs w:val="26"/>
        </w:rPr>
        <w:t>4</w:t>
      </w:r>
      <w:r w:rsidRPr="00486A64">
        <w:rPr>
          <w:sz w:val="26"/>
          <w:szCs w:val="26"/>
        </w:rPr>
        <w:t>.  We note that PGW’s Petition for Stay</w:t>
      </w:r>
      <w:r w:rsidR="00BD2562">
        <w:rPr>
          <w:sz w:val="26"/>
          <w:szCs w:val="26"/>
        </w:rPr>
        <w:t>, which was file on October 19, 2019,</w:t>
      </w:r>
      <w:r w:rsidRPr="00486A64">
        <w:rPr>
          <w:sz w:val="26"/>
          <w:szCs w:val="26"/>
        </w:rPr>
        <w:t xml:space="preserve"> was not filed with the Commission within fifteen days of </w:t>
      </w:r>
      <w:r w:rsidR="00D95A36">
        <w:rPr>
          <w:sz w:val="26"/>
          <w:szCs w:val="26"/>
        </w:rPr>
        <w:t xml:space="preserve">the September 20, 2019 </w:t>
      </w:r>
      <w:r w:rsidRPr="00486A64">
        <w:rPr>
          <w:sz w:val="26"/>
          <w:szCs w:val="26"/>
        </w:rPr>
        <w:t xml:space="preserve">entry </w:t>
      </w:r>
      <w:r w:rsidR="00D95A36">
        <w:rPr>
          <w:sz w:val="26"/>
          <w:szCs w:val="26"/>
        </w:rPr>
        <w:t xml:space="preserve">date </w:t>
      </w:r>
      <w:r w:rsidRPr="00486A64">
        <w:rPr>
          <w:sz w:val="26"/>
          <w:szCs w:val="26"/>
        </w:rPr>
        <w:t>of</w:t>
      </w:r>
      <w:r w:rsidR="00A972BB" w:rsidRPr="00486A64">
        <w:rPr>
          <w:sz w:val="26"/>
          <w:szCs w:val="26"/>
        </w:rPr>
        <w:t xml:space="preserve"> our</w:t>
      </w:r>
      <w:r w:rsidR="00A972BB" w:rsidRPr="00486A64">
        <w:rPr>
          <w:i/>
          <w:sz w:val="26"/>
          <w:szCs w:val="26"/>
        </w:rPr>
        <w:t xml:space="preserve"> September 2018 Order</w:t>
      </w:r>
      <w:r w:rsidR="00D95A36">
        <w:rPr>
          <w:sz w:val="26"/>
          <w:szCs w:val="26"/>
        </w:rPr>
        <w:t>;</w:t>
      </w:r>
      <w:r w:rsidR="00A972BB" w:rsidRPr="00486A64">
        <w:rPr>
          <w:i/>
          <w:sz w:val="26"/>
          <w:szCs w:val="26"/>
        </w:rPr>
        <w:t xml:space="preserve"> </w:t>
      </w:r>
      <w:r w:rsidR="000E682D" w:rsidRPr="00486A64">
        <w:rPr>
          <w:sz w:val="26"/>
          <w:szCs w:val="26"/>
        </w:rPr>
        <w:t>rather it</w:t>
      </w:r>
      <w:r w:rsidR="00A972BB" w:rsidRPr="00486A64">
        <w:rPr>
          <w:i/>
          <w:sz w:val="26"/>
          <w:szCs w:val="26"/>
        </w:rPr>
        <w:t xml:space="preserve"> </w:t>
      </w:r>
      <w:r w:rsidR="00A972BB" w:rsidRPr="00486A64">
        <w:rPr>
          <w:sz w:val="26"/>
          <w:szCs w:val="26"/>
        </w:rPr>
        <w:t>was filed</w:t>
      </w:r>
      <w:r w:rsidR="0046359F">
        <w:rPr>
          <w:sz w:val="26"/>
          <w:szCs w:val="26"/>
        </w:rPr>
        <w:t xml:space="preserve"> </w:t>
      </w:r>
      <w:r w:rsidR="00A972BB" w:rsidRPr="00486A64">
        <w:rPr>
          <w:sz w:val="26"/>
          <w:szCs w:val="26"/>
        </w:rPr>
        <w:t xml:space="preserve">within fifteen days of </w:t>
      </w:r>
      <w:r w:rsidR="00D95A36">
        <w:rPr>
          <w:sz w:val="26"/>
          <w:szCs w:val="26"/>
        </w:rPr>
        <w:t xml:space="preserve">the October 4, 2018 </w:t>
      </w:r>
      <w:r w:rsidR="00A972BB" w:rsidRPr="00486A64">
        <w:rPr>
          <w:sz w:val="26"/>
          <w:szCs w:val="26"/>
        </w:rPr>
        <w:t xml:space="preserve">entry </w:t>
      </w:r>
      <w:r w:rsidR="00D95A36">
        <w:rPr>
          <w:sz w:val="26"/>
          <w:szCs w:val="26"/>
        </w:rPr>
        <w:t xml:space="preserve">date </w:t>
      </w:r>
      <w:r w:rsidR="00A972BB" w:rsidRPr="00486A64">
        <w:rPr>
          <w:sz w:val="26"/>
          <w:szCs w:val="26"/>
        </w:rPr>
        <w:t>of our</w:t>
      </w:r>
      <w:r w:rsidR="00A972BB" w:rsidRPr="00486A64">
        <w:rPr>
          <w:i/>
          <w:sz w:val="26"/>
          <w:szCs w:val="26"/>
        </w:rPr>
        <w:t xml:space="preserve"> October 2018 Order</w:t>
      </w:r>
      <w:r w:rsidR="00A972BB" w:rsidRPr="0046359F">
        <w:rPr>
          <w:sz w:val="26"/>
          <w:szCs w:val="26"/>
        </w:rPr>
        <w:t>.</w:t>
      </w:r>
      <w:r w:rsidR="00A972BB" w:rsidRPr="00486A64">
        <w:rPr>
          <w:i/>
          <w:sz w:val="26"/>
          <w:szCs w:val="26"/>
        </w:rPr>
        <w:t xml:space="preserve"> </w:t>
      </w:r>
      <w:r w:rsidR="00BD2562">
        <w:rPr>
          <w:i/>
          <w:sz w:val="26"/>
          <w:szCs w:val="26"/>
        </w:rPr>
        <w:t xml:space="preserve"> </w:t>
      </w:r>
      <w:r w:rsidR="00A972BB" w:rsidRPr="00486A64">
        <w:rPr>
          <w:sz w:val="26"/>
          <w:szCs w:val="26"/>
        </w:rPr>
        <w:t>T</w:t>
      </w:r>
      <w:r w:rsidRPr="00486A64">
        <w:rPr>
          <w:sz w:val="26"/>
          <w:szCs w:val="26"/>
        </w:rPr>
        <w:t xml:space="preserve">herefore, </w:t>
      </w:r>
      <w:r w:rsidR="00730195" w:rsidRPr="00486A64">
        <w:rPr>
          <w:sz w:val="26"/>
          <w:szCs w:val="26"/>
        </w:rPr>
        <w:t xml:space="preserve">with respect to our </w:t>
      </w:r>
      <w:r w:rsidR="00730195" w:rsidRPr="00486A64">
        <w:rPr>
          <w:i/>
          <w:sz w:val="26"/>
          <w:szCs w:val="26"/>
        </w:rPr>
        <w:t>September 2018 Order</w:t>
      </w:r>
      <w:r w:rsidR="00730195" w:rsidRPr="00486A64">
        <w:rPr>
          <w:sz w:val="26"/>
          <w:szCs w:val="26"/>
        </w:rPr>
        <w:t xml:space="preserve">, </w:t>
      </w:r>
      <w:r w:rsidRPr="00486A64">
        <w:rPr>
          <w:sz w:val="26"/>
          <w:szCs w:val="26"/>
        </w:rPr>
        <w:t xml:space="preserve">we find that </w:t>
      </w:r>
      <w:r w:rsidR="00A972BB" w:rsidRPr="00486A64">
        <w:rPr>
          <w:sz w:val="26"/>
          <w:szCs w:val="26"/>
        </w:rPr>
        <w:t xml:space="preserve">PGW’s </w:t>
      </w:r>
      <w:r w:rsidRPr="00486A64">
        <w:rPr>
          <w:sz w:val="26"/>
          <w:szCs w:val="26"/>
        </w:rPr>
        <w:t>Petition for Stay is not timely, pursuant to Section 5.572(c) of our regulations</w:t>
      </w:r>
      <w:r w:rsidR="0046359F">
        <w:rPr>
          <w:sz w:val="26"/>
          <w:szCs w:val="26"/>
        </w:rPr>
        <w:t>;</w:t>
      </w:r>
      <w:r w:rsidR="00A972BB" w:rsidRPr="00486A64">
        <w:rPr>
          <w:sz w:val="26"/>
          <w:szCs w:val="26"/>
        </w:rPr>
        <w:t xml:space="preserve"> </w:t>
      </w:r>
      <w:r w:rsidR="00555712" w:rsidRPr="00486A64">
        <w:rPr>
          <w:sz w:val="26"/>
          <w:szCs w:val="26"/>
        </w:rPr>
        <w:t>however,</w:t>
      </w:r>
      <w:r w:rsidR="00730195" w:rsidRPr="00486A64">
        <w:rPr>
          <w:sz w:val="26"/>
          <w:szCs w:val="26"/>
        </w:rPr>
        <w:t xml:space="preserve"> </w:t>
      </w:r>
      <w:r w:rsidR="00555712" w:rsidRPr="00486A64">
        <w:rPr>
          <w:sz w:val="26"/>
          <w:szCs w:val="26"/>
        </w:rPr>
        <w:t xml:space="preserve">is timely with respect to our </w:t>
      </w:r>
      <w:r w:rsidR="00555712" w:rsidRPr="00486A64">
        <w:rPr>
          <w:i/>
          <w:sz w:val="26"/>
          <w:szCs w:val="26"/>
        </w:rPr>
        <w:t>October 2018 Order</w:t>
      </w:r>
      <w:r w:rsidRPr="00486A64">
        <w:rPr>
          <w:sz w:val="26"/>
          <w:szCs w:val="26"/>
        </w:rPr>
        <w:t>.</w:t>
      </w:r>
      <w:r w:rsidRPr="00486A64">
        <w:rPr>
          <w:rStyle w:val="FootnoteReference"/>
          <w:rFonts w:eastAsia="SimSun"/>
          <w:szCs w:val="26"/>
        </w:rPr>
        <w:footnoteReference w:id="12"/>
      </w:r>
      <w:r w:rsidRPr="00486A64">
        <w:rPr>
          <w:sz w:val="26"/>
          <w:szCs w:val="26"/>
          <w:vertAlign w:val="superscript"/>
        </w:rPr>
        <w:t>,</w:t>
      </w:r>
    </w:p>
    <w:p w14:paraId="111E94C2" w14:textId="77777777" w:rsidR="00D645D6" w:rsidRPr="00486A64" w:rsidRDefault="00D645D6" w:rsidP="00D645D6">
      <w:pPr>
        <w:rPr>
          <w:sz w:val="26"/>
          <w:szCs w:val="26"/>
        </w:rPr>
      </w:pPr>
    </w:p>
    <w:p w14:paraId="5D3D8D19" w14:textId="6C3710F4" w:rsidR="00D645D6" w:rsidRPr="00486A64" w:rsidRDefault="00D645D6" w:rsidP="00D645D6">
      <w:pPr>
        <w:rPr>
          <w:sz w:val="26"/>
          <w:szCs w:val="26"/>
        </w:rPr>
      </w:pPr>
      <w:r w:rsidRPr="00486A64">
        <w:rPr>
          <w:sz w:val="26"/>
          <w:szCs w:val="26"/>
        </w:rPr>
        <w:t>Further, PGW’s filing of</w:t>
      </w:r>
      <w:r w:rsidR="00555712" w:rsidRPr="00486A64">
        <w:rPr>
          <w:sz w:val="26"/>
          <w:szCs w:val="26"/>
        </w:rPr>
        <w:t xml:space="preserve"> </w:t>
      </w:r>
      <w:r w:rsidRPr="00486A64">
        <w:rPr>
          <w:sz w:val="26"/>
          <w:szCs w:val="26"/>
        </w:rPr>
        <w:t>Petition</w:t>
      </w:r>
      <w:r w:rsidR="00555712" w:rsidRPr="00486A64">
        <w:rPr>
          <w:sz w:val="26"/>
          <w:szCs w:val="26"/>
        </w:rPr>
        <w:t>s</w:t>
      </w:r>
      <w:r w:rsidRPr="00486A64">
        <w:rPr>
          <w:sz w:val="26"/>
          <w:szCs w:val="26"/>
        </w:rPr>
        <w:t xml:space="preserve"> for Review </w:t>
      </w:r>
      <w:r w:rsidR="00555712" w:rsidRPr="00486A64">
        <w:rPr>
          <w:sz w:val="26"/>
          <w:szCs w:val="26"/>
        </w:rPr>
        <w:t xml:space="preserve">with the Commonwealth Court regarding </w:t>
      </w:r>
      <w:r w:rsidRPr="00486A64">
        <w:rPr>
          <w:sz w:val="26"/>
          <w:szCs w:val="26"/>
        </w:rPr>
        <w:t xml:space="preserve">our </w:t>
      </w:r>
      <w:r w:rsidR="00555712" w:rsidRPr="00486A64">
        <w:rPr>
          <w:i/>
          <w:sz w:val="26"/>
          <w:szCs w:val="26"/>
        </w:rPr>
        <w:t>September</w:t>
      </w:r>
      <w:r w:rsidR="00555712" w:rsidRPr="00486A64">
        <w:rPr>
          <w:sz w:val="26"/>
          <w:szCs w:val="26"/>
        </w:rPr>
        <w:t xml:space="preserve"> </w:t>
      </w:r>
      <w:r w:rsidR="00555712" w:rsidRPr="00486A64">
        <w:rPr>
          <w:i/>
          <w:sz w:val="26"/>
          <w:szCs w:val="26"/>
        </w:rPr>
        <w:t xml:space="preserve">2018 </w:t>
      </w:r>
      <w:r w:rsidRPr="00486A64">
        <w:rPr>
          <w:i/>
          <w:sz w:val="26"/>
          <w:szCs w:val="26"/>
        </w:rPr>
        <w:t>Order</w:t>
      </w:r>
      <w:r w:rsidR="00555712" w:rsidRPr="00486A64">
        <w:rPr>
          <w:i/>
          <w:sz w:val="26"/>
          <w:szCs w:val="26"/>
        </w:rPr>
        <w:t xml:space="preserve"> </w:t>
      </w:r>
      <w:r w:rsidR="00555712" w:rsidRPr="00486A64">
        <w:rPr>
          <w:sz w:val="26"/>
          <w:szCs w:val="26"/>
        </w:rPr>
        <w:t>and our</w:t>
      </w:r>
      <w:r w:rsidR="00555712" w:rsidRPr="00486A64">
        <w:rPr>
          <w:i/>
          <w:sz w:val="26"/>
          <w:szCs w:val="26"/>
        </w:rPr>
        <w:t xml:space="preserve"> October 2018 Order</w:t>
      </w:r>
      <w:r w:rsidRPr="00486A64">
        <w:rPr>
          <w:sz w:val="26"/>
          <w:szCs w:val="26"/>
        </w:rPr>
        <w:t xml:space="preserve"> does not postpone the effect of our orders, unless specifically stayed by order of the Commission or the Commonwealth Court. </w:t>
      </w:r>
      <w:r w:rsidRPr="00486A64">
        <w:rPr>
          <w:i/>
          <w:sz w:val="26"/>
          <w:szCs w:val="26"/>
        </w:rPr>
        <w:t>See</w:t>
      </w:r>
      <w:r w:rsidRPr="00486A64">
        <w:rPr>
          <w:sz w:val="26"/>
          <w:szCs w:val="26"/>
        </w:rPr>
        <w:t>, Section 316 of the Code, 66 Pa. C. S. §</w:t>
      </w:r>
      <w:r w:rsidR="000E682D" w:rsidRPr="00486A64">
        <w:rPr>
          <w:sz w:val="26"/>
          <w:szCs w:val="26"/>
        </w:rPr>
        <w:t> </w:t>
      </w:r>
      <w:r w:rsidRPr="00486A64">
        <w:rPr>
          <w:sz w:val="26"/>
          <w:szCs w:val="26"/>
        </w:rPr>
        <w:t xml:space="preserve"> 316 (providing that Commission orders are binding upon issuance, unless set aside or modified), and Rule 1701 of the Pennsylvania Rules of Appellate Procedure, Pa. R.A. P. 1701 (providing that the agency may proceed with enforcement of its order following Petition for Review).</w:t>
      </w:r>
    </w:p>
    <w:p w14:paraId="1D5AE1E2" w14:textId="77777777" w:rsidR="00D645D6" w:rsidRPr="00486A64" w:rsidRDefault="00D645D6" w:rsidP="00D645D6">
      <w:pPr>
        <w:rPr>
          <w:sz w:val="26"/>
          <w:szCs w:val="26"/>
        </w:rPr>
      </w:pPr>
    </w:p>
    <w:p w14:paraId="30F67066" w14:textId="67CC9817" w:rsidR="00D645D6" w:rsidRPr="00486A64" w:rsidRDefault="00D645D6" w:rsidP="00D645D6">
      <w:pPr>
        <w:rPr>
          <w:sz w:val="26"/>
          <w:szCs w:val="26"/>
        </w:rPr>
      </w:pPr>
      <w:r w:rsidRPr="00486A64">
        <w:rPr>
          <w:sz w:val="26"/>
          <w:szCs w:val="26"/>
        </w:rPr>
        <w:t xml:space="preserve">However, </w:t>
      </w:r>
      <w:r w:rsidR="00BD2562">
        <w:rPr>
          <w:sz w:val="26"/>
          <w:szCs w:val="26"/>
        </w:rPr>
        <w:t>we</w:t>
      </w:r>
      <w:r w:rsidRPr="00486A64">
        <w:rPr>
          <w:sz w:val="26"/>
          <w:szCs w:val="26"/>
        </w:rPr>
        <w:t xml:space="preserve"> may exercise </w:t>
      </w:r>
      <w:r w:rsidR="00BD2562">
        <w:rPr>
          <w:sz w:val="26"/>
          <w:szCs w:val="26"/>
        </w:rPr>
        <w:t xml:space="preserve">our </w:t>
      </w:r>
      <w:r w:rsidRPr="00486A64">
        <w:rPr>
          <w:sz w:val="26"/>
          <w:szCs w:val="26"/>
        </w:rPr>
        <w:t>discretion to treat PGW’s Petition as timely to consider the Petition, as per Section 1.2 of Commission Regulations, 52 Pa. Code § 1.2 (pertaining to liberal construction of the regulations in the interest of just and expeditious proceedings).  Further, Rule 1701 authorizes the agency to act to preserve the “</w:t>
      </w:r>
      <w:r w:rsidRPr="00486A64">
        <w:rPr>
          <w:i/>
          <w:sz w:val="26"/>
          <w:szCs w:val="26"/>
        </w:rPr>
        <w:t>status quo</w:t>
      </w:r>
      <w:r w:rsidRPr="00486A64">
        <w:rPr>
          <w:sz w:val="26"/>
          <w:szCs w:val="26"/>
        </w:rPr>
        <w:t>.”  Pa. R.A.P. 1701.</w:t>
      </w:r>
      <w:r w:rsidR="004427E5">
        <w:rPr>
          <w:sz w:val="26"/>
          <w:szCs w:val="26"/>
        </w:rPr>
        <w:t xml:space="preserve">  </w:t>
      </w:r>
      <w:r w:rsidRPr="00486A64">
        <w:rPr>
          <w:sz w:val="26"/>
          <w:szCs w:val="26"/>
        </w:rPr>
        <w:t>Accordingly, we shall exercise our discretion to treat PGW’s Petition as timely</w:t>
      </w:r>
      <w:r w:rsidR="00555712" w:rsidRPr="00486A64">
        <w:rPr>
          <w:sz w:val="26"/>
          <w:szCs w:val="26"/>
        </w:rPr>
        <w:t xml:space="preserve"> regarding both our </w:t>
      </w:r>
      <w:r w:rsidR="00555712" w:rsidRPr="00486A64">
        <w:rPr>
          <w:i/>
          <w:sz w:val="26"/>
          <w:szCs w:val="26"/>
        </w:rPr>
        <w:t xml:space="preserve">September 2018 </w:t>
      </w:r>
      <w:r w:rsidR="00555712" w:rsidRPr="00486A64">
        <w:rPr>
          <w:sz w:val="26"/>
          <w:szCs w:val="26"/>
        </w:rPr>
        <w:t xml:space="preserve">and </w:t>
      </w:r>
      <w:r w:rsidR="00555712" w:rsidRPr="00486A64">
        <w:rPr>
          <w:i/>
          <w:sz w:val="26"/>
          <w:szCs w:val="26"/>
        </w:rPr>
        <w:t>October 2018 Order</w:t>
      </w:r>
      <w:r w:rsidR="00852299" w:rsidRPr="00486A64">
        <w:rPr>
          <w:i/>
          <w:sz w:val="26"/>
          <w:szCs w:val="26"/>
        </w:rPr>
        <w:t>s</w:t>
      </w:r>
      <w:r w:rsidR="00555712" w:rsidRPr="00486A64">
        <w:rPr>
          <w:sz w:val="26"/>
          <w:szCs w:val="26"/>
        </w:rPr>
        <w:t xml:space="preserve">, </w:t>
      </w:r>
      <w:r w:rsidRPr="00486A64">
        <w:rPr>
          <w:sz w:val="26"/>
          <w:szCs w:val="26"/>
        </w:rPr>
        <w:t>and consider PGW’s Petition, in the interest of a just and expeditious resolution of the matter, as per 52</w:t>
      </w:r>
      <w:r w:rsidR="000C0BE9">
        <w:rPr>
          <w:sz w:val="26"/>
          <w:szCs w:val="26"/>
        </w:rPr>
        <w:t> </w:t>
      </w:r>
      <w:r w:rsidRPr="00486A64">
        <w:rPr>
          <w:sz w:val="26"/>
          <w:szCs w:val="26"/>
        </w:rPr>
        <w:t>Pa. Code §1.2, and Pa. R.A. P. 1701.</w:t>
      </w:r>
    </w:p>
    <w:p w14:paraId="7942D60A" w14:textId="77777777" w:rsidR="00D645D6" w:rsidRPr="00486A64" w:rsidRDefault="00D645D6" w:rsidP="00D645D6">
      <w:pPr>
        <w:rPr>
          <w:sz w:val="26"/>
          <w:szCs w:val="26"/>
        </w:rPr>
      </w:pPr>
    </w:p>
    <w:p w14:paraId="141A276F" w14:textId="77777777" w:rsidR="00D645D6" w:rsidRPr="00486A64" w:rsidRDefault="00D645D6" w:rsidP="00D645D6">
      <w:pPr>
        <w:pStyle w:val="ListParagraph"/>
        <w:keepNext/>
        <w:keepLines/>
        <w:numPr>
          <w:ilvl w:val="0"/>
          <w:numId w:val="14"/>
        </w:numPr>
        <w:ind w:left="360"/>
        <w:rPr>
          <w:b/>
          <w:sz w:val="26"/>
          <w:szCs w:val="26"/>
        </w:rPr>
      </w:pPr>
      <w:r w:rsidRPr="00486A64">
        <w:rPr>
          <w:b/>
          <w:sz w:val="26"/>
          <w:szCs w:val="26"/>
        </w:rPr>
        <w:t>Merits of the Petition</w:t>
      </w:r>
    </w:p>
    <w:p w14:paraId="4A679315" w14:textId="77777777" w:rsidR="00D645D6" w:rsidRPr="00486A64" w:rsidRDefault="00D645D6" w:rsidP="00D645D6">
      <w:pPr>
        <w:keepNext/>
        <w:keepLines/>
        <w:rPr>
          <w:sz w:val="26"/>
          <w:szCs w:val="26"/>
        </w:rPr>
      </w:pPr>
    </w:p>
    <w:p w14:paraId="5E9A67A7" w14:textId="503CDB9E" w:rsidR="00291A4D" w:rsidRPr="00486A64" w:rsidRDefault="00D645D6" w:rsidP="00D645D6">
      <w:pPr>
        <w:rPr>
          <w:sz w:val="26"/>
          <w:szCs w:val="26"/>
        </w:rPr>
      </w:pPr>
      <w:r w:rsidRPr="00486A64">
        <w:rPr>
          <w:sz w:val="26"/>
          <w:szCs w:val="26"/>
        </w:rPr>
        <w:t>Upon review of PGW’s Petition</w:t>
      </w:r>
      <w:r w:rsidR="00852299" w:rsidRPr="00486A64">
        <w:rPr>
          <w:sz w:val="26"/>
          <w:szCs w:val="26"/>
        </w:rPr>
        <w:t>,</w:t>
      </w:r>
      <w:r w:rsidR="00555712" w:rsidRPr="00486A64">
        <w:rPr>
          <w:rStyle w:val="FootnoteReference"/>
          <w:szCs w:val="26"/>
        </w:rPr>
        <w:footnoteReference w:id="13"/>
      </w:r>
      <w:r w:rsidRPr="00486A64">
        <w:rPr>
          <w:sz w:val="26"/>
          <w:szCs w:val="26"/>
        </w:rPr>
        <w:t xml:space="preserve"> SBG’s Answer</w:t>
      </w:r>
      <w:r w:rsidR="00730195" w:rsidRPr="00486A64">
        <w:rPr>
          <w:rStyle w:val="FootnoteReference"/>
          <w:szCs w:val="26"/>
        </w:rPr>
        <w:footnoteReference w:id="14"/>
      </w:r>
      <w:r w:rsidRPr="00486A64">
        <w:rPr>
          <w:sz w:val="26"/>
          <w:szCs w:val="26"/>
        </w:rPr>
        <w:t xml:space="preserve"> thereto, and the applicable law, we find that the substantive allegations by PGW in its Petition in support of its request for stay lack merit.</w:t>
      </w:r>
    </w:p>
    <w:p w14:paraId="36B03D28" w14:textId="77777777" w:rsidR="00291A4D" w:rsidRPr="00486A64" w:rsidRDefault="00291A4D" w:rsidP="00D645D6">
      <w:pPr>
        <w:rPr>
          <w:sz w:val="26"/>
          <w:szCs w:val="26"/>
        </w:rPr>
      </w:pPr>
    </w:p>
    <w:p w14:paraId="02826A98" w14:textId="004B012D" w:rsidR="00D645D6" w:rsidRPr="00486A64" w:rsidRDefault="00291A4D" w:rsidP="00D645D6">
      <w:pPr>
        <w:rPr>
          <w:sz w:val="26"/>
          <w:szCs w:val="26"/>
        </w:rPr>
      </w:pPr>
      <w:r w:rsidRPr="00486A64">
        <w:rPr>
          <w:sz w:val="26"/>
          <w:szCs w:val="26"/>
        </w:rPr>
        <w:lastRenderedPageBreak/>
        <w:t xml:space="preserve">As we previously found in our recent Order entered March 28, 2018, in re: </w:t>
      </w:r>
      <w:r w:rsidRPr="00486A64">
        <w:rPr>
          <w:i/>
          <w:sz w:val="26"/>
          <w:szCs w:val="26"/>
        </w:rPr>
        <w:t>SBG Management Services, Inc., et al</w:t>
      </w:r>
      <w:r w:rsidR="004427E5">
        <w:rPr>
          <w:i/>
          <w:sz w:val="26"/>
          <w:szCs w:val="26"/>
        </w:rPr>
        <w:t>.</w:t>
      </w:r>
      <w:r w:rsidRPr="00486A64">
        <w:rPr>
          <w:i/>
          <w:sz w:val="26"/>
          <w:szCs w:val="26"/>
        </w:rPr>
        <w:t>, v. PGW</w:t>
      </w:r>
      <w:r w:rsidRPr="00486A64">
        <w:rPr>
          <w:sz w:val="26"/>
          <w:szCs w:val="26"/>
        </w:rPr>
        <w:t>, Docket Nos. C-2012-2304183 and C-</w:t>
      </w:r>
      <w:r w:rsidR="00852299" w:rsidRPr="00486A64">
        <w:rPr>
          <w:sz w:val="26"/>
          <w:szCs w:val="26"/>
        </w:rPr>
        <w:t> </w:t>
      </w:r>
      <w:r w:rsidRPr="00486A64">
        <w:rPr>
          <w:sz w:val="26"/>
          <w:szCs w:val="26"/>
        </w:rPr>
        <w:t xml:space="preserve">2012-2304324, </w:t>
      </w:r>
      <w:r w:rsidR="00AE1ADA" w:rsidRPr="00486A64">
        <w:rPr>
          <w:sz w:val="26"/>
          <w:szCs w:val="26"/>
        </w:rPr>
        <w:t xml:space="preserve">which involved </w:t>
      </w:r>
      <w:r w:rsidRPr="00486A64">
        <w:rPr>
          <w:sz w:val="26"/>
          <w:szCs w:val="26"/>
        </w:rPr>
        <w:t>the identi</w:t>
      </w:r>
      <w:r w:rsidR="00AE1ADA" w:rsidRPr="00486A64">
        <w:rPr>
          <w:sz w:val="26"/>
          <w:szCs w:val="26"/>
        </w:rPr>
        <w:t xml:space="preserve">cal </w:t>
      </w:r>
      <w:r w:rsidRPr="00486A64">
        <w:rPr>
          <w:sz w:val="26"/>
          <w:szCs w:val="26"/>
        </w:rPr>
        <w:t xml:space="preserve">parties, issues, law and </w:t>
      </w:r>
      <w:r w:rsidR="00AE1ADA" w:rsidRPr="00486A64">
        <w:rPr>
          <w:sz w:val="26"/>
          <w:szCs w:val="26"/>
        </w:rPr>
        <w:t xml:space="preserve">material </w:t>
      </w:r>
      <w:r w:rsidRPr="00486A64">
        <w:rPr>
          <w:sz w:val="26"/>
          <w:szCs w:val="26"/>
        </w:rPr>
        <w:t>fact</w:t>
      </w:r>
      <w:r w:rsidR="00AE1ADA" w:rsidRPr="00486A64">
        <w:rPr>
          <w:sz w:val="26"/>
          <w:szCs w:val="26"/>
        </w:rPr>
        <w:t>s</w:t>
      </w:r>
      <w:r w:rsidRPr="00486A64">
        <w:rPr>
          <w:sz w:val="26"/>
          <w:szCs w:val="26"/>
        </w:rPr>
        <w:t xml:space="preserve"> with the present Petition for Stay, we conclude </w:t>
      </w:r>
      <w:r w:rsidR="004427E5">
        <w:rPr>
          <w:sz w:val="26"/>
          <w:szCs w:val="26"/>
        </w:rPr>
        <w:t xml:space="preserve">here </w:t>
      </w:r>
      <w:r w:rsidRPr="00486A64">
        <w:rPr>
          <w:sz w:val="26"/>
          <w:szCs w:val="26"/>
        </w:rPr>
        <w:t xml:space="preserve">that </w:t>
      </w:r>
      <w:r w:rsidR="00D645D6" w:rsidRPr="00486A64">
        <w:rPr>
          <w:sz w:val="26"/>
          <w:szCs w:val="26"/>
        </w:rPr>
        <w:t xml:space="preserve">PGW’s allegations fail to satisfy the criterion enumerated under the </w:t>
      </w:r>
      <w:r w:rsidR="00D645D6" w:rsidRPr="00486A64">
        <w:rPr>
          <w:i/>
          <w:sz w:val="26"/>
          <w:szCs w:val="26"/>
        </w:rPr>
        <w:t>Process Gas</w:t>
      </w:r>
      <w:r w:rsidR="00D645D6" w:rsidRPr="00486A64">
        <w:rPr>
          <w:sz w:val="26"/>
          <w:szCs w:val="26"/>
        </w:rPr>
        <w:t xml:space="preserve"> standard, that Petitioner:</w:t>
      </w:r>
    </w:p>
    <w:p w14:paraId="603FF427" w14:textId="77777777" w:rsidR="00D645D6" w:rsidRPr="00486A64" w:rsidRDefault="00D645D6" w:rsidP="00D645D6">
      <w:pPr>
        <w:spacing w:line="240" w:lineRule="auto"/>
        <w:ind w:left="1440" w:right="1440"/>
        <w:rPr>
          <w:sz w:val="26"/>
          <w:szCs w:val="26"/>
        </w:rPr>
      </w:pPr>
    </w:p>
    <w:p w14:paraId="10865916" w14:textId="77777777" w:rsidR="00D645D6" w:rsidRPr="00486A64" w:rsidRDefault="00D645D6" w:rsidP="00D645D6">
      <w:pPr>
        <w:pStyle w:val="ListParagraph"/>
        <w:numPr>
          <w:ilvl w:val="0"/>
          <w:numId w:val="17"/>
        </w:numPr>
        <w:spacing w:line="240" w:lineRule="auto"/>
        <w:ind w:left="1440" w:hanging="720"/>
        <w:rPr>
          <w:sz w:val="26"/>
          <w:szCs w:val="26"/>
        </w:rPr>
      </w:pPr>
      <w:r w:rsidRPr="00486A64">
        <w:rPr>
          <w:sz w:val="26"/>
          <w:szCs w:val="26"/>
        </w:rPr>
        <w:t>Make a strong showing of likelihood to prevail on the merits;</w:t>
      </w:r>
    </w:p>
    <w:p w14:paraId="0D144E1A" w14:textId="77777777" w:rsidR="00D645D6" w:rsidRPr="00486A64" w:rsidRDefault="00D645D6" w:rsidP="00D645D6">
      <w:pPr>
        <w:pStyle w:val="ListParagraph"/>
        <w:spacing w:line="240" w:lineRule="auto"/>
        <w:ind w:left="1440" w:hanging="720"/>
        <w:rPr>
          <w:sz w:val="26"/>
          <w:szCs w:val="26"/>
        </w:rPr>
      </w:pPr>
    </w:p>
    <w:p w14:paraId="5F04FC42" w14:textId="77777777" w:rsidR="00D645D6" w:rsidRPr="00486A64" w:rsidRDefault="00D645D6" w:rsidP="00D645D6">
      <w:pPr>
        <w:pStyle w:val="ListParagraph"/>
        <w:numPr>
          <w:ilvl w:val="0"/>
          <w:numId w:val="17"/>
        </w:numPr>
        <w:spacing w:line="240" w:lineRule="auto"/>
        <w:ind w:left="1440" w:hanging="720"/>
        <w:rPr>
          <w:sz w:val="26"/>
          <w:szCs w:val="26"/>
        </w:rPr>
      </w:pPr>
      <w:r w:rsidRPr="00486A64">
        <w:rPr>
          <w:sz w:val="26"/>
          <w:szCs w:val="26"/>
        </w:rPr>
        <w:t>Show that denial of relief will cause irreparable injury;</w:t>
      </w:r>
    </w:p>
    <w:p w14:paraId="5D4E4E62" w14:textId="77777777" w:rsidR="00D645D6" w:rsidRPr="00486A64" w:rsidRDefault="00D645D6" w:rsidP="00D645D6">
      <w:pPr>
        <w:pStyle w:val="ListParagraph"/>
        <w:spacing w:line="240" w:lineRule="auto"/>
        <w:ind w:left="1440" w:hanging="720"/>
        <w:rPr>
          <w:sz w:val="26"/>
          <w:szCs w:val="26"/>
        </w:rPr>
      </w:pPr>
    </w:p>
    <w:p w14:paraId="202200B6" w14:textId="77777777" w:rsidR="00D645D6" w:rsidRPr="00486A64" w:rsidRDefault="00D645D6" w:rsidP="00D645D6">
      <w:pPr>
        <w:pStyle w:val="ListParagraph"/>
        <w:numPr>
          <w:ilvl w:val="0"/>
          <w:numId w:val="17"/>
        </w:numPr>
        <w:spacing w:line="240" w:lineRule="auto"/>
        <w:ind w:left="1440" w:hanging="720"/>
        <w:rPr>
          <w:sz w:val="26"/>
          <w:szCs w:val="26"/>
        </w:rPr>
      </w:pPr>
      <w:r w:rsidRPr="00486A64">
        <w:rPr>
          <w:sz w:val="26"/>
          <w:szCs w:val="26"/>
        </w:rPr>
        <w:t>Show that the issuance of a stay will not substantially harm other interested parties in the proceedings; and</w:t>
      </w:r>
    </w:p>
    <w:p w14:paraId="53820A4D" w14:textId="77777777" w:rsidR="00D645D6" w:rsidRPr="00486A64" w:rsidRDefault="00D645D6" w:rsidP="00D645D6">
      <w:pPr>
        <w:pStyle w:val="ListParagraph"/>
        <w:spacing w:line="240" w:lineRule="auto"/>
        <w:ind w:left="1440" w:hanging="720"/>
        <w:rPr>
          <w:sz w:val="26"/>
          <w:szCs w:val="26"/>
        </w:rPr>
      </w:pPr>
    </w:p>
    <w:p w14:paraId="3ED2110D" w14:textId="455BD24E" w:rsidR="00D645D6" w:rsidRDefault="00D645D6" w:rsidP="00727C38">
      <w:pPr>
        <w:pStyle w:val="ListParagraph"/>
        <w:numPr>
          <w:ilvl w:val="0"/>
          <w:numId w:val="17"/>
        </w:numPr>
        <w:spacing w:line="240" w:lineRule="auto"/>
        <w:ind w:left="1440" w:hanging="720"/>
        <w:rPr>
          <w:sz w:val="26"/>
          <w:szCs w:val="26"/>
        </w:rPr>
      </w:pPr>
      <w:r w:rsidRPr="00486A64">
        <w:rPr>
          <w:sz w:val="26"/>
          <w:szCs w:val="26"/>
        </w:rPr>
        <w:t>Show that the issuance of a stay will not adversely affect the public interest.</w:t>
      </w:r>
    </w:p>
    <w:p w14:paraId="6E9FE076" w14:textId="77777777" w:rsidR="00727C38" w:rsidRPr="00727C38" w:rsidRDefault="00727C38" w:rsidP="00727C38">
      <w:pPr>
        <w:spacing w:line="240" w:lineRule="auto"/>
        <w:ind w:firstLine="0"/>
        <w:rPr>
          <w:sz w:val="26"/>
          <w:szCs w:val="26"/>
        </w:rPr>
      </w:pPr>
    </w:p>
    <w:p w14:paraId="1BE4FAD7" w14:textId="77777777" w:rsidR="00D645D6" w:rsidRPr="00486A64" w:rsidRDefault="00D645D6" w:rsidP="00727C38">
      <w:pPr>
        <w:spacing w:line="240" w:lineRule="auto"/>
        <w:ind w:firstLine="0"/>
        <w:rPr>
          <w:sz w:val="26"/>
          <w:szCs w:val="26"/>
        </w:rPr>
      </w:pPr>
    </w:p>
    <w:p w14:paraId="3A77B8C9" w14:textId="77777777" w:rsidR="00D645D6" w:rsidRPr="00486A64" w:rsidRDefault="00D645D6" w:rsidP="00D645D6">
      <w:pPr>
        <w:ind w:firstLine="0"/>
        <w:rPr>
          <w:sz w:val="26"/>
          <w:szCs w:val="26"/>
        </w:rPr>
      </w:pPr>
      <w:r w:rsidRPr="00486A64">
        <w:rPr>
          <w:i/>
          <w:sz w:val="26"/>
          <w:szCs w:val="26"/>
        </w:rPr>
        <w:t>Pennsylvania Public Utility Commission v. Process Gas Consumers Group</w:t>
      </w:r>
      <w:r w:rsidRPr="00486A64">
        <w:rPr>
          <w:sz w:val="26"/>
          <w:szCs w:val="26"/>
        </w:rPr>
        <w:t>, 502 Pa. 545, 467 A.2d 805 (1983).</w:t>
      </w:r>
    </w:p>
    <w:p w14:paraId="1DF8D714" w14:textId="77777777" w:rsidR="00D645D6" w:rsidRPr="00486A64" w:rsidRDefault="00D645D6" w:rsidP="00D645D6">
      <w:pPr>
        <w:ind w:firstLine="0"/>
        <w:rPr>
          <w:sz w:val="26"/>
          <w:szCs w:val="26"/>
        </w:rPr>
      </w:pPr>
    </w:p>
    <w:p w14:paraId="6E5FEEDB" w14:textId="3FE41A20" w:rsidR="00D645D6" w:rsidRPr="00486A64" w:rsidRDefault="00D645D6" w:rsidP="00D645D6">
      <w:pPr>
        <w:rPr>
          <w:sz w:val="26"/>
          <w:szCs w:val="26"/>
        </w:rPr>
      </w:pPr>
      <w:r w:rsidRPr="00486A64">
        <w:rPr>
          <w:sz w:val="26"/>
          <w:szCs w:val="26"/>
        </w:rPr>
        <w:t xml:space="preserve">As to the first </w:t>
      </w:r>
      <w:r w:rsidRPr="00486A64">
        <w:rPr>
          <w:i/>
          <w:sz w:val="26"/>
          <w:szCs w:val="26"/>
        </w:rPr>
        <w:t>Process Gas</w:t>
      </w:r>
      <w:r w:rsidRPr="00486A64">
        <w:rPr>
          <w:sz w:val="26"/>
          <w:szCs w:val="26"/>
        </w:rPr>
        <w:t xml:space="preserve"> criterion, we find that PGW fails to establish a strong likelihood of success on the merits.  PGW argues that because the matter presents a “case of first impression,” our orders are not founded on solid legal authority, such that PGW shows a strong likelihood of success on the merits.  We disagree.  Rather, we agree with SBG’s position that the </w:t>
      </w:r>
      <w:r w:rsidR="00852299" w:rsidRPr="00486A64">
        <w:rPr>
          <w:sz w:val="26"/>
          <w:szCs w:val="26"/>
        </w:rPr>
        <w:t xml:space="preserve">prior </w:t>
      </w:r>
      <w:r w:rsidRPr="00486A64">
        <w:rPr>
          <w:i/>
          <w:sz w:val="26"/>
          <w:szCs w:val="26"/>
        </w:rPr>
        <w:t>Commission Orders</w:t>
      </w:r>
      <w:r w:rsidRPr="00486A64">
        <w:rPr>
          <w:sz w:val="26"/>
          <w:szCs w:val="26"/>
        </w:rPr>
        <w:t xml:space="preserve"> in this proceeding did not present a “case of first impression” or create new law regarding lawful utility billing practices established under Sections 56.22-24 of the Commission’s regulations. 52 Pa. Code §56.22-24.  </w:t>
      </w:r>
      <w:r w:rsidR="00CB194D" w:rsidRPr="00486A64">
        <w:rPr>
          <w:sz w:val="26"/>
          <w:szCs w:val="26"/>
        </w:rPr>
        <w:t>SBG October Answer at 4</w:t>
      </w:r>
      <w:r w:rsidR="000172EE" w:rsidRPr="00486A64">
        <w:rPr>
          <w:sz w:val="26"/>
          <w:szCs w:val="26"/>
        </w:rPr>
        <w:t>-5</w:t>
      </w:r>
      <w:r w:rsidR="00CB194D" w:rsidRPr="00486A64">
        <w:rPr>
          <w:sz w:val="26"/>
          <w:szCs w:val="26"/>
        </w:rPr>
        <w:t xml:space="preserve">.  </w:t>
      </w:r>
      <w:r w:rsidRPr="00486A64">
        <w:rPr>
          <w:sz w:val="26"/>
          <w:szCs w:val="26"/>
        </w:rPr>
        <w:t xml:space="preserve">As SBG noted, </w:t>
      </w:r>
      <w:r w:rsidR="000172EE" w:rsidRPr="00486A64">
        <w:rPr>
          <w:sz w:val="26"/>
          <w:szCs w:val="26"/>
        </w:rPr>
        <w:t xml:space="preserve">the </w:t>
      </w:r>
      <w:r w:rsidRPr="00486A64">
        <w:rPr>
          <w:sz w:val="26"/>
          <w:szCs w:val="26"/>
        </w:rPr>
        <w:t>Commission regulations governing utility billing practices have been in place since 1978, and were enacted to establish uniform billing standards for the protection of utility customers from unreasonable billing practices.</w:t>
      </w:r>
      <w:r w:rsidR="000172EE" w:rsidRPr="00486A64">
        <w:rPr>
          <w:sz w:val="26"/>
          <w:szCs w:val="26"/>
        </w:rPr>
        <w:t xml:space="preserve"> </w:t>
      </w:r>
      <w:r w:rsidR="00727C38">
        <w:rPr>
          <w:sz w:val="26"/>
          <w:szCs w:val="26"/>
        </w:rPr>
        <w:t xml:space="preserve"> </w:t>
      </w:r>
      <w:r w:rsidR="000172EE" w:rsidRPr="00486A64">
        <w:rPr>
          <w:i/>
          <w:sz w:val="26"/>
          <w:szCs w:val="26"/>
        </w:rPr>
        <w:t>Id.</w:t>
      </w:r>
    </w:p>
    <w:p w14:paraId="715B4A88" w14:textId="77777777" w:rsidR="00D645D6" w:rsidRPr="00486A64" w:rsidRDefault="00D645D6" w:rsidP="00D645D6">
      <w:pPr>
        <w:rPr>
          <w:sz w:val="26"/>
          <w:szCs w:val="26"/>
        </w:rPr>
      </w:pPr>
    </w:p>
    <w:p w14:paraId="564730BA" w14:textId="30907B6F" w:rsidR="00D645D6" w:rsidRPr="00486A64" w:rsidRDefault="00E71922" w:rsidP="00D645D6">
      <w:pPr>
        <w:rPr>
          <w:bCs/>
          <w:spacing w:val="-3"/>
          <w:sz w:val="26"/>
          <w:szCs w:val="26"/>
        </w:rPr>
      </w:pPr>
      <w:r w:rsidRPr="00486A64">
        <w:rPr>
          <w:sz w:val="26"/>
          <w:szCs w:val="26"/>
        </w:rPr>
        <w:lastRenderedPageBreak/>
        <w:t xml:space="preserve">As we </w:t>
      </w:r>
      <w:r w:rsidR="00D645D6" w:rsidRPr="00486A64">
        <w:rPr>
          <w:sz w:val="26"/>
          <w:szCs w:val="26"/>
        </w:rPr>
        <w:t>noted in our prior orders</w:t>
      </w:r>
      <w:r w:rsidRPr="00486A64">
        <w:rPr>
          <w:sz w:val="26"/>
          <w:szCs w:val="26"/>
        </w:rPr>
        <w:t xml:space="preserve">, the underlying </w:t>
      </w:r>
      <w:r w:rsidR="00D645D6" w:rsidRPr="00486A64">
        <w:rPr>
          <w:sz w:val="26"/>
          <w:szCs w:val="26"/>
        </w:rPr>
        <w:t>Complaints raised a “case of first impression” involving PGW’s unique classification as a “city natural gas distribution operation</w:t>
      </w:r>
      <w:r w:rsidRPr="00486A64">
        <w:rPr>
          <w:sz w:val="26"/>
          <w:szCs w:val="26"/>
        </w:rPr>
        <w:t>,</w:t>
      </w:r>
      <w:r w:rsidR="00D645D6" w:rsidRPr="00486A64">
        <w:rPr>
          <w:sz w:val="26"/>
          <w:szCs w:val="26"/>
        </w:rPr>
        <w:t>”</w:t>
      </w:r>
      <w:r w:rsidRPr="00486A64">
        <w:rPr>
          <w:sz w:val="26"/>
          <w:szCs w:val="26"/>
        </w:rPr>
        <w:t xml:space="preserve"> since </w:t>
      </w:r>
      <w:r w:rsidR="00D645D6" w:rsidRPr="00486A64">
        <w:rPr>
          <w:sz w:val="26"/>
          <w:szCs w:val="26"/>
        </w:rPr>
        <w:t xml:space="preserve">PGW is the </w:t>
      </w:r>
      <w:r w:rsidR="00D645D6" w:rsidRPr="00486A64">
        <w:rPr>
          <w:i/>
          <w:sz w:val="26"/>
          <w:szCs w:val="26"/>
        </w:rPr>
        <w:t>only</w:t>
      </w:r>
      <w:r w:rsidR="00D645D6" w:rsidRPr="00486A64">
        <w:rPr>
          <w:sz w:val="26"/>
          <w:szCs w:val="26"/>
        </w:rPr>
        <w:t xml:space="preserve"> gas utility operating under this classification in the Commonwealth.  Therefore, PGW’s authority as a gas utility to collect past due balances </w:t>
      </w:r>
      <w:r w:rsidR="00D645D6" w:rsidRPr="00486A64">
        <w:rPr>
          <w:i/>
          <w:sz w:val="26"/>
          <w:szCs w:val="26"/>
        </w:rPr>
        <w:t>via</w:t>
      </w:r>
      <w:r w:rsidR="00D645D6" w:rsidRPr="00486A64">
        <w:rPr>
          <w:sz w:val="26"/>
          <w:szCs w:val="26"/>
        </w:rPr>
        <w:t xml:space="preserve"> imposition of municipal liens presented a case of first impression regarding the interplay between municipal lien law and a utility tariff.  </w:t>
      </w:r>
      <w:r w:rsidR="00D645D6" w:rsidRPr="00486A64">
        <w:rPr>
          <w:i/>
          <w:sz w:val="26"/>
          <w:szCs w:val="26"/>
        </w:rPr>
        <w:t xml:space="preserve">See, i.e., May 2018 Order </w:t>
      </w:r>
      <w:r w:rsidR="00D645D6" w:rsidRPr="00486A64">
        <w:rPr>
          <w:sz w:val="26"/>
          <w:szCs w:val="26"/>
        </w:rPr>
        <w:t>at 4-7, citing 66 Pa. C.S. § 2212(b).</w:t>
      </w:r>
    </w:p>
    <w:p w14:paraId="04252A03" w14:textId="77777777" w:rsidR="00D645D6" w:rsidRPr="00486A64" w:rsidRDefault="00D645D6" w:rsidP="00D645D6">
      <w:pPr>
        <w:rPr>
          <w:sz w:val="26"/>
          <w:szCs w:val="26"/>
        </w:rPr>
      </w:pPr>
    </w:p>
    <w:p w14:paraId="20C971C9" w14:textId="2CCB22DB" w:rsidR="00D645D6" w:rsidRPr="00486A64" w:rsidRDefault="00D645D6" w:rsidP="00D645D6">
      <w:pPr>
        <w:rPr>
          <w:sz w:val="26"/>
          <w:szCs w:val="26"/>
        </w:rPr>
      </w:pPr>
      <w:r w:rsidRPr="00486A64">
        <w:rPr>
          <w:sz w:val="26"/>
          <w:szCs w:val="26"/>
        </w:rPr>
        <w:t>However, our disposition of the underlying Complaints and the legal authority relied upon for the determination of whether PGW’s billing practices were unlawful and whether PGW’s conduct was unreasonable, fell squarely within our jurisdiction and broad discretion to interpret the provisions of the Code to oversee and ensure the good-faith conduct of public utilities, including implementation of our consumer protection regulations governing utility billing practices under Sections 56.22</w:t>
      </w:r>
      <w:r w:rsidRPr="00486A64">
        <w:rPr>
          <w:sz w:val="26"/>
          <w:szCs w:val="26"/>
        </w:rPr>
        <w:noBreakHyphen/>
        <w:t xml:space="preserve">24 of our regulations.  52 Pa. Code §56.22–24.  </w:t>
      </w:r>
      <w:r w:rsidRPr="00486A64">
        <w:rPr>
          <w:i/>
          <w:sz w:val="26"/>
          <w:szCs w:val="26"/>
        </w:rPr>
        <w:t xml:space="preserve">December 2016 Order at 71-77.  </w:t>
      </w:r>
      <w:r w:rsidRPr="00486A64">
        <w:rPr>
          <w:sz w:val="26"/>
          <w:szCs w:val="26"/>
        </w:rPr>
        <w:t>Our disposition of the underlying proceedings was expressly limited to matters within Commission authority.</w:t>
      </w:r>
      <w:r w:rsidR="00727C38">
        <w:rPr>
          <w:sz w:val="26"/>
          <w:szCs w:val="26"/>
        </w:rPr>
        <w:t xml:space="preserve"> </w:t>
      </w:r>
      <w:r w:rsidRPr="00486A64">
        <w:rPr>
          <w:sz w:val="26"/>
          <w:szCs w:val="26"/>
        </w:rPr>
        <w:t xml:space="preserve"> </w:t>
      </w:r>
      <w:r w:rsidRPr="00486A64">
        <w:rPr>
          <w:i/>
          <w:sz w:val="26"/>
          <w:szCs w:val="26"/>
        </w:rPr>
        <w:t>See,</w:t>
      </w:r>
      <w:r w:rsidRPr="00486A64">
        <w:rPr>
          <w:sz w:val="26"/>
          <w:szCs w:val="26"/>
        </w:rPr>
        <w:t xml:space="preserve"> </w:t>
      </w:r>
      <w:r w:rsidRPr="00486A64">
        <w:rPr>
          <w:i/>
          <w:sz w:val="26"/>
          <w:szCs w:val="26"/>
        </w:rPr>
        <w:t>Id</w:t>
      </w:r>
      <w:r w:rsidRPr="00486A64">
        <w:rPr>
          <w:sz w:val="26"/>
          <w:szCs w:val="26"/>
        </w:rPr>
        <w:t>.</w:t>
      </w:r>
    </w:p>
    <w:p w14:paraId="6B1EE470" w14:textId="77777777" w:rsidR="00D645D6" w:rsidRPr="00486A64" w:rsidRDefault="00D645D6" w:rsidP="00D645D6">
      <w:pPr>
        <w:ind w:firstLine="0"/>
        <w:rPr>
          <w:sz w:val="26"/>
          <w:szCs w:val="26"/>
        </w:rPr>
      </w:pPr>
    </w:p>
    <w:p w14:paraId="1B2E9447" w14:textId="77777777" w:rsidR="00D645D6" w:rsidRPr="00486A64" w:rsidRDefault="00D645D6" w:rsidP="00D645D6">
      <w:pPr>
        <w:rPr>
          <w:sz w:val="26"/>
          <w:szCs w:val="26"/>
        </w:rPr>
      </w:pPr>
      <w:r w:rsidRPr="00486A64">
        <w:rPr>
          <w:sz w:val="26"/>
          <w:szCs w:val="26"/>
        </w:rPr>
        <w:t xml:space="preserve">As to the second </w:t>
      </w:r>
      <w:r w:rsidRPr="00486A64">
        <w:rPr>
          <w:i/>
          <w:sz w:val="26"/>
          <w:szCs w:val="26"/>
        </w:rPr>
        <w:t>Process Gas</w:t>
      </w:r>
      <w:r w:rsidRPr="00486A64">
        <w:rPr>
          <w:sz w:val="26"/>
          <w:szCs w:val="26"/>
        </w:rPr>
        <w:t xml:space="preserve"> criterion, we find that PGW fails to show it will suffer irreparable harm in the absence of a stay.  As a general matter, PGW’s claims of financial harm, if required to comply with the </w:t>
      </w:r>
      <w:r w:rsidRPr="00486A64">
        <w:rPr>
          <w:i/>
          <w:sz w:val="26"/>
          <w:szCs w:val="26"/>
        </w:rPr>
        <w:t>Commission Orders</w:t>
      </w:r>
      <w:r w:rsidRPr="00486A64">
        <w:rPr>
          <w:sz w:val="26"/>
          <w:szCs w:val="26"/>
        </w:rPr>
        <w:t>, are unsupported and do not weigh in favor of granting a stay.  It is well settled in the law that financial harm is not considered irreparable.</w:t>
      </w:r>
      <w:r w:rsidRPr="00486A64">
        <w:rPr>
          <w:rStyle w:val="FootnoteReference"/>
          <w:rFonts w:eastAsia="SimSun"/>
          <w:szCs w:val="26"/>
        </w:rPr>
        <w:footnoteReference w:id="15"/>
      </w:r>
      <w:r w:rsidRPr="00486A64">
        <w:rPr>
          <w:sz w:val="26"/>
          <w:szCs w:val="26"/>
        </w:rPr>
        <w:t xml:space="preserve">  Thus, for reasons discussed in more detail below, we are unpersuaded by PGW’s arguments that the </w:t>
      </w:r>
      <w:r w:rsidRPr="00486A64">
        <w:rPr>
          <w:i/>
          <w:sz w:val="26"/>
          <w:szCs w:val="26"/>
        </w:rPr>
        <w:t>Commission Orders</w:t>
      </w:r>
      <w:r w:rsidRPr="00486A64">
        <w:rPr>
          <w:sz w:val="26"/>
          <w:szCs w:val="26"/>
        </w:rPr>
        <w:t xml:space="preserve"> negatively impact </w:t>
      </w:r>
      <w:r w:rsidRPr="00486A64">
        <w:rPr>
          <w:sz w:val="26"/>
          <w:szCs w:val="26"/>
        </w:rPr>
        <w:lastRenderedPageBreak/>
        <w:t xml:space="preserve">PGW’s financial stability or preclude PGW from entering municipal liens, inflict </w:t>
      </w:r>
      <w:r w:rsidRPr="00486A64">
        <w:rPr>
          <w:i/>
          <w:sz w:val="26"/>
          <w:szCs w:val="26"/>
        </w:rPr>
        <w:t>per se</w:t>
      </w:r>
      <w:r w:rsidRPr="00486A64">
        <w:rPr>
          <w:sz w:val="26"/>
          <w:szCs w:val="26"/>
        </w:rPr>
        <w:t xml:space="preserve"> harm as unlawful orders, impose an unreasonable compliance schedule, or would require PGW to expend “substantial money, time and energy” to implement lawful billing practice.</w:t>
      </w:r>
    </w:p>
    <w:p w14:paraId="64FB175F" w14:textId="77777777" w:rsidR="00D645D6" w:rsidRPr="00486A64" w:rsidRDefault="00D645D6" w:rsidP="00D645D6">
      <w:pPr>
        <w:rPr>
          <w:sz w:val="26"/>
          <w:szCs w:val="26"/>
        </w:rPr>
      </w:pPr>
    </w:p>
    <w:p w14:paraId="0FBC7E77" w14:textId="66256FAF" w:rsidR="00D645D6" w:rsidRPr="00486A64" w:rsidRDefault="00D645D6" w:rsidP="00D645D6">
      <w:pPr>
        <w:rPr>
          <w:sz w:val="26"/>
          <w:szCs w:val="26"/>
        </w:rPr>
      </w:pPr>
      <w:r w:rsidRPr="00486A64">
        <w:rPr>
          <w:sz w:val="26"/>
          <w:szCs w:val="26"/>
        </w:rPr>
        <w:t xml:space="preserve">We note that a Petition for Stay, which asserts harm due to the financial cost of compliance with an order, should include some realistic representation or estimate of the actual financial costs, based on a reasonable calculation of the actual foreseeable costs necessary for compliance.  PGW’s Petition asserted that substantial costs in “money, time and energy” are required for compliance with the </w:t>
      </w:r>
      <w:r w:rsidRPr="00486A64">
        <w:rPr>
          <w:i/>
          <w:sz w:val="26"/>
          <w:szCs w:val="26"/>
        </w:rPr>
        <w:t>Commissions Orders</w:t>
      </w:r>
      <w:r w:rsidRPr="00486A64">
        <w:rPr>
          <w:sz w:val="26"/>
          <w:szCs w:val="26"/>
        </w:rPr>
        <w:t xml:space="preserve">; however, these costs are completely unsubstantiated in the Petition.  </w:t>
      </w:r>
      <w:r w:rsidR="000172EE" w:rsidRPr="00486A64">
        <w:rPr>
          <w:sz w:val="26"/>
          <w:szCs w:val="26"/>
        </w:rPr>
        <w:t xml:space="preserve">PGW September </w:t>
      </w:r>
      <w:r w:rsidRPr="00486A64">
        <w:rPr>
          <w:sz w:val="26"/>
          <w:szCs w:val="26"/>
        </w:rPr>
        <w:t>Petition at 5-7.  PGW provided no dollar figures, no calculation based on facts, no estimated dollar amounts, no estimated labor hours required, and no estimated “energy” costs (for human energy we presume).</w:t>
      </w:r>
    </w:p>
    <w:p w14:paraId="4D4C64BC" w14:textId="77777777" w:rsidR="00D645D6" w:rsidRPr="00486A64" w:rsidRDefault="00D645D6" w:rsidP="00D645D6">
      <w:pPr>
        <w:rPr>
          <w:sz w:val="26"/>
          <w:szCs w:val="26"/>
        </w:rPr>
      </w:pPr>
    </w:p>
    <w:p w14:paraId="06C16168" w14:textId="05E3F2E4" w:rsidR="00D645D6" w:rsidRPr="00486A64" w:rsidRDefault="00D645D6" w:rsidP="00D645D6">
      <w:pPr>
        <w:rPr>
          <w:sz w:val="26"/>
          <w:szCs w:val="26"/>
        </w:rPr>
      </w:pPr>
      <w:r w:rsidRPr="00486A64">
        <w:rPr>
          <w:sz w:val="26"/>
          <w:szCs w:val="26"/>
        </w:rPr>
        <w:t xml:space="preserve">For example, the Verified Statement attached to PGW’s Petition in support of the general assertion of the substantial “money, time and energy” required to adjust PGW’s billing practices, expressly states that PGW </w:t>
      </w:r>
      <w:r w:rsidRPr="00486A64">
        <w:rPr>
          <w:i/>
          <w:sz w:val="26"/>
          <w:szCs w:val="26"/>
        </w:rPr>
        <w:t>does not have an estimate of costs</w:t>
      </w:r>
      <w:r w:rsidRPr="00486A64">
        <w:rPr>
          <w:sz w:val="26"/>
          <w:szCs w:val="26"/>
        </w:rPr>
        <w:t xml:space="preserve"> to make the lien modifications required.</w:t>
      </w:r>
      <w:r w:rsidRPr="00486A64">
        <w:rPr>
          <w:rStyle w:val="FootnoteReference"/>
          <w:rFonts w:eastAsia="SimSun"/>
          <w:szCs w:val="26"/>
        </w:rPr>
        <w:footnoteReference w:id="16"/>
      </w:r>
      <w:r w:rsidRPr="00486A64">
        <w:rPr>
          <w:sz w:val="26"/>
          <w:szCs w:val="26"/>
        </w:rPr>
        <w:t xml:space="preserve">  Therefore, it appears that during the six-plus years of litigation over utility billing compliance issues, and after the three final </w:t>
      </w:r>
      <w:r w:rsidRPr="00486A64">
        <w:rPr>
          <w:i/>
          <w:sz w:val="26"/>
          <w:szCs w:val="26"/>
        </w:rPr>
        <w:t>adverse</w:t>
      </w:r>
      <w:r w:rsidRPr="00486A64">
        <w:rPr>
          <w:sz w:val="26"/>
          <w:szCs w:val="26"/>
        </w:rPr>
        <w:t xml:space="preserve"> </w:t>
      </w:r>
      <w:r w:rsidR="000449F7" w:rsidRPr="00486A64">
        <w:rPr>
          <w:i/>
          <w:sz w:val="26"/>
          <w:szCs w:val="26"/>
        </w:rPr>
        <w:t>prior related</w:t>
      </w:r>
      <w:r w:rsidR="000449F7" w:rsidRPr="00486A64">
        <w:rPr>
          <w:sz w:val="26"/>
          <w:szCs w:val="26"/>
        </w:rPr>
        <w:t xml:space="preserve"> </w:t>
      </w:r>
      <w:r w:rsidRPr="00486A64">
        <w:rPr>
          <w:i/>
          <w:sz w:val="26"/>
          <w:szCs w:val="26"/>
        </w:rPr>
        <w:t>Commission Orders</w:t>
      </w:r>
      <w:r w:rsidRPr="00486A64">
        <w:rPr>
          <w:sz w:val="26"/>
          <w:szCs w:val="26"/>
        </w:rPr>
        <w:t xml:space="preserve"> requiring compliance and imposing a civil penalty, PGW </w:t>
      </w:r>
      <w:r w:rsidR="00852299" w:rsidRPr="00486A64">
        <w:rPr>
          <w:sz w:val="26"/>
          <w:szCs w:val="26"/>
        </w:rPr>
        <w:t xml:space="preserve">did not take any </w:t>
      </w:r>
      <w:r w:rsidR="005E03FA" w:rsidRPr="00486A64">
        <w:rPr>
          <w:sz w:val="26"/>
          <w:szCs w:val="26"/>
        </w:rPr>
        <w:t xml:space="preserve"> steps toward a factual assessment of the steps and costs necessary for compliance.  Further, it appears PGW </w:t>
      </w:r>
      <w:r w:rsidRPr="00486A64">
        <w:rPr>
          <w:sz w:val="26"/>
          <w:szCs w:val="26"/>
        </w:rPr>
        <w:t xml:space="preserve">failed to take </w:t>
      </w:r>
      <w:r w:rsidRPr="00486A64">
        <w:rPr>
          <w:i/>
          <w:sz w:val="26"/>
          <w:szCs w:val="26"/>
        </w:rPr>
        <w:t>any</w:t>
      </w:r>
      <w:r w:rsidRPr="00486A64">
        <w:rPr>
          <w:sz w:val="26"/>
          <w:szCs w:val="26"/>
        </w:rPr>
        <w:t xml:space="preserve"> affirmative </w:t>
      </w:r>
      <w:r w:rsidR="000449F7" w:rsidRPr="00486A64">
        <w:rPr>
          <w:sz w:val="26"/>
          <w:szCs w:val="26"/>
        </w:rPr>
        <w:t>steps toward complying with our prior orders,</w:t>
      </w:r>
      <w:r w:rsidR="005E03FA" w:rsidRPr="00486A64">
        <w:rPr>
          <w:sz w:val="26"/>
          <w:szCs w:val="26"/>
        </w:rPr>
        <w:t xml:space="preserve"> but rather, </w:t>
      </w:r>
      <w:r w:rsidR="000449F7" w:rsidRPr="00486A64">
        <w:rPr>
          <w:sz w:val="26"/>
          <w:szCs w:val="26"/>
        </w:rPr>
        <w:t xml:space="preserve">continued </w:t>
      </w:r>
      <w:r w:rsidR="00852299" w:rsidRPr="00486A64">
        <w:rPr>
          <w:sz w:val="26"/>
          <w:szCs w:val="26"/>
        </w:rPr>
        <w:t xml:space="preserve">the </w:t>
      </w:r>
      <w:r w:rsidR="000449F7" w:rsidRPr="00486A64">
        <w:rPr>
          <w:sz w:val="26"/>
          <w:szCs w:val="26"/>
        </w:rPr>
        <w:t xml:space="preserve">unlawful billing practices, as found by the </w:t>
      </w:r>
      <w:r w:rsidRPr="00486A64">
        <w:rPr>
          <w:i/>
          <w:sz w:val="26"/>
          <w:szCs w:val="26"/>
        </w:rPr>
        <w:t>Commission Orders</w:t>
      </w:r>
      <w:r w:rsidR="000449F7" w:rsidRPr="00486A64">
        <w:rPr>
          <w:i/>
          <w:sz w:val="26"/>
          <w:szCs w:val="26"/>
        </w:rPr>
        <w:t xml:space="preserve"> </w:t>
      </w:r>
      <w:r w:rsidR="005E03FA" w:rsidRPr="00486A64">
        <w:rPr>
          <w:sz w:val="26"/>
          <w:szCs w:val="26"/>
        </w:rPr>
        <w:t>underlying</w:t>
      </w:r>
      <w:r w:rsidR="005E03FA" w:rsidRPr="00486A64">
        <w:rPr>
          <w:i/>
          <w:sz w:val="26"/>
          <w:szCs w:val="26"/>
        </w:rPr>
        <w:t xml:space="preserve"> </w:t>
      </w:r>
      <w:r w:rsidR="000449F7" w:rsidRPr="00486A64">
        <w:rPr>
          <w:sz w:val="26"/>
          <w:szCs w:val="26"/>
        </w:rPr>
        <w:t>PGW’s present request for stay.</w:t>
      </w:r>
    </w:p>
    <w:p w14:paraId="43C295D8" w14:textId="77777777" w:rsidR="00D645D6" w:rsidRPr="00486A64" w:rsidRDefault="00D645D6" w:rsidP="00D645D6">
      <w:pPr>
        <w:rPr>
          <w:sz w:val="26"/>
          <w:szCs w:val="26"/>
        </w:rPr>
      </w:pPr>
    </w:p>
    <w:p w14:paraId="1AFB48C0" w14:textId="2F14D1B5" w:rsidR="00D645D6" w:rsidRPr="00486A64" w:rsidRDefault="00D645D6" w:rsidP="00D645D6">
      <w:pPr>
        <w:rPr>
          <w:sz w:val="26"/>
          <w:szCs w:val="26"/>
        </w:rPr>
      </w:pPr>
      <w:r w:rsidRPr="00486A64">
        <w:rPr>
          <w:sz w:val="26"/>
          <w:szCs w:val="26"/>
        </w:rPr>
        <w:lastRenderedPageBreak/>
        <w:t xml:space="preserve">We further find that PGW’s assertion that the </w:t>
      </w:r>
      <w:r w:rsidRPr="00486A64">
        <w:rPr>
          <w:i/>
          <w:sz w:val="26"/>
          <w:szCs w:val="26"/>
        </w:rPr>
        <w:t xml:space="preserve">Commission Orders’ </w:t>
      </w:r>
      <w:r w:rsidRPr="00486A64">
        <w:rPr>
          <w:sz w:val="26"/>
          <w:szCs w:val="26"/>
        </w:rPr>
        <w:t>directives that PGW revise its billing practices to comply with the Code would adversely impact PGW’s financial stability or ability to recover unpaid utility bills is unsupported</w:t>
      </w:r>
      <w:r w:rsidR="00852299" w:rsidRPr="00486A64">
        <w:rPr>
          <w:sz w:val="26"/>
          <w:szCs w:val="26"/>
        </w:rPr>
        <w:t xml:space="preserve"> as</w:t>
      </w:r>
      <w:r w:rsidRPr="00486A64">
        <w:rPr>
          <w:sz w:val="26"/>
          <w:szCs w:val="26"/>
        </w:rPr>
        <w:t xml:space="preserve"> PGW has asserted no legal basis for this claim.  The </w:t>
      </w:r>
      <w:r w:rsidRPr="00486A64">
        <w:rPr>
          <w:i/>
          <w:sz w:val="26"/>
          <w:szCs w:val="26"/>
        </w:rPr>
        <w:t>Commission Orders</w:t>
      </w:r>
      <w:r w:rsidRPr="00486A64">
        <w:rPr>
          <w:sz w:val="26"/>
          <w:szCs w:val="26"/>
        </w:rPr>
        <w:t xml:space="preserve"> do not preclude PGW from exercising its municipal right to docket liens in the Court of Common Pleas for municipal claims.  PGW remains free to impose municipal liens for collection of unpaid utility bills.</w:t>
      </w:r>
      <w:r w:rsidR="00EB001E" w:rsidRPr="00486A64">
        <w:rPr>
          <w:sz w:val="26"/>
          <w:szCs w:val="26"/>
        </w:rPr>
        <w:t xml:space="preserve">  </w:t>
      </w:r>
      <w:r w:rsidRPr="00486A64">
        <w:rPr>
          <w:sz w:val="26"/>
          <w:szCs w:val="26"/>
        </w:rPr>
        <w:t xml:space="preserve">Further, as SBG noted, the fact that the Philadelphia Water </w:t>
      </w:r>
      <w:r w:rsidR="000172EE" w:rsidRPr="00486A64">
        <w:rPr>
          <w:sz w:val="26"/>
          <w:szCs w:val="26"/>
        </w:rPr>
        <w:t xml:space="preserve">Department </w:t>
      </w:r>
      <w:r w:rsidRPr="00486A64">
        <w:rPr>
          <w:sz w:val="26"/>
          <w:szCs w:val="26"/>
        </w:rPr>
        <w:t>operates</w:t>
      </w:r>
      <w:r w:rsidR="001F2DCE">
        <w:rPr>
          <w:sz w:val="26"/>
          <w:szCs w:val="26"/>
        </w:rPr>
        <w:t xml:space="preserve"> </w:t>
      </w:r>
      <w:r w:rsidRPr="00486A64">
        <w:rPr>
          <w:sz w:val="26"/>
          <w:szCs w:val="26"/>
        </w:rPr>
        <w:t xml:space="preserve">as a municipal water </w:t>
      </w:r>
      <w:r w:rsidR="00EB001E" w:rsidRPr="00486A64">
        <w:rPr>
          <w:sz w:val="26"/>
          <w:szCs w:val="26"/>
        </w:rPr>
        <w:t xml:space="preserve">authority </w:t>
      </w:r>
      <w:r w:rsidR="00852299" w:rsidRPr="00486A64">
        <w:rPr>
          <w:sz w:val="26"/>
          <w:szCs w:val="26"/>
        </w:rPr>
        <w:t xml:space="preserve">and </w:t>
      </w:r>
      <w:r w:rsidR="001F2DCE">
        <w:rPr>
          <w:sz w:val="26"/>
          <w:szCs w:val="26"/>
        </w:rPr>
        <w:t>has the</w:t>
      </w:r>
      <w:r w:rsidR="00852299" w:rsidRPr="00486A64">
        <w:rPr>
          <w:sz w:val="26"/>
          <w:szCs w:val="26"/>
        </w:rPr>
        <w:t xml:space="preserve"> right to file </w:t>
      </w:r>
      <w:r w:rsidR="00F40045" w:rsidRPr="00486A64">
        <w:rPr>
          <w:sz w:val="26"/>
          <w:szCs w:val="26"/>
        </w:rPr>
        <w:t>municipal lien</w:t>
      </w:r>
      <w:r w:rsidR="00EB001E" w:rsidRPr="00486A64">
        <w:rPr>
          <w:sz w:val="26"/>
          <w:szCs w:val="26"/>
        </w:rPr>
        <w:t>s</w:t>
      </w:r>
      <w:r w:rsidR="00F40045" w:rsidRPr="00486A64">
        <w:rPr>
          <w:sz w:val="26"/>
          <w:szCs w:val="26"/>
        </w:rPr>
        <w:t xml:space="preserve">. </w:t>
      </w:r>
      <w:r w:rsidR="000172EE" w:rsidRPr="00486A64">
        <w:rPr>
          <w:sz w:val="26"/>
          <w:szCs w:val="26"/>
        </w:rPr>
        <w:t xml:space="preserve"> The Philadelphia Water Department’s </w:t>
      </w:r>
      <w:r w:rsidR="00F40045" w:rsidRPr="00486A64">
        <w:rPr>
          <w:sz w:val="26"/>
          <w:szCs w:val="26"/>
        </w:rPr>
        <w:t xml:space="preserve">billing and collection practices appear to be a straight forward model PGW </w:t>
      </w:r>
      <w:r w:rsidR="0060125D" w:rsidRPr="00486A64">
        <w:rPr>
          <w:sz w:val="26"/>
          <w:szCs w:val="26"/>
        </w:rPr>
        <w:t xml:space="preserve">could </w:t>
      </w:r>
      <w:r w:rsidR="00F40045" w:rsidRPr="00486A64">
        <w:rPr>
          <w:sz w:val="26"/>
          <w:szCs w:val="26"/>
        </w:rPr>
        <w:t xml:space="preserve">adopt, </w:t>
      </w:r>
      <w:r w:rsidR="0060125D" w:rsidRPr="00486A64">
        <w:rPr>
          <w:sz w:val="26"/>
          <w:szCs w:val="26"/>
        </w:rPr>
        <w:t xml:space="preserve">as the practices </w:t>
      </w:r>
      <w:r w:rsidR="00F40045" w:rsidRPr="00486A64">
        <w:rPr>
          <w:sz w:val="26"/>
          <w:szCs w:val="26"/>
        </w:rPr>
        <w:t xml:space="preserve"> preserve the ability to impose municipal liens while conducting billing and collection practices consistent with PUC Regulations. </w:t>
      </w:r>
      <w:r w:rsidRPr="00486A64">
        <w:rPr>
          <w:sz w:val="26"/>
          <w:szCs w:val="26"/>
        </w:rPr>
        <w:t xml:space="preserve"> </w:t>
      </w:r>
      <w:r w:rsidR="00F40045" w:rsidRPr="00486A64">
        <w:rPr>
          <w:sz w:val="26"/>
          <w:szCs w:val="26"/>
        </w:rPr>
        <w:t xml:space="preserve">SBG October </w:t>
      </w:r>
      <w:r w:rsidRPr="00486A64">
        <w:rPr>
          <w:sz w:val="26"/>
          <w:szCs w:val="26"/>
        </w:rPr>
        <w:t>Answer at 16-17.</w:t>
      </w:r>
    </w:p>
    <w:p w14:paraId="3522B9F4" w14:textId="77777777" w:rsidR="00D645D6" w:rsidRPr="00486A64" w:rsidRDefault="00D645D6" w:rsidP="00D645D6">
      <w:pPr>
        <w:rPr>
          <w:sz w:val="26"/>
          <w:szCs w:val="26"/>
        </w:rPr>
      </w:pPr>
    </w:p>
    <w:p w14:paraId="10449511" w14:textId="1DB7C8E1" w:rsidR="00D645D6" w:rsidRPr="00486A64" w:rsidRDefault="00D645D6" w:rsidP="00D645D6">
      <w:pPr>
        <w:rPr>
          <w:sz w:val="26"/>
          <w:szCs w:val="26"/>
        </w:rPr>
      </w:pPr>
      <w:r w:rsidRPr="00486A64">
        <w:rPr>
          <w:sz w:val="26"/>
          <w:szCs w:val="26"/>
        </w:rPr>
        <w:t xml:space="preserve">PGW’s claim that the </w:t>
      </w:r>
      <w:r w:rsidRPr="00486A64">
        <w:rPr>
          <w:i/>
          <w:sz w:val="26"/>
          <w:szCs w:val="26"/>
        </w:rPr>
        <w:t>Commission Orders</w:t>
      </w:r>
      <w:r w:rsidRPr="00486A64">
        <w:rPr>
          <w:sz w:val="26"/>
          <w:szCs w:val="26"/>
        </w:rPr>
        <w:t xml:space="preserve"> cause PGW </w:t>
      </w:r>
      <w:r w:rsidRPr="00486A64">
        <w:rPr>
          <w:i/>
          <w:sz w:val="26"/>
          <w:szCs w:val="26"/>
        </w:rPr>
        <w:t>per se</w:t>
      </w:r>
      <w:r w:rsidRPr="00486A64">
        <w:rPr>
          <w:sz w:val="26"/>
          <w:szCs w:val="26"/>
        </w:rPr>
        <w:t xml:space="preserve"> harm as unlawful orders is also without merit.  </w:t>
      </w:r>
      <w:r w:rsidR="00F40045" w:rsidRPr="00486A64">
        <w:rPr>
          <w:sz w:val="26"/>
          <w:szCs w:val="26"/>
        </w:rPr>
        <w:t xml:space="preserve">PGW September </w:t>
      </w:r>
      <w:r w:rsidRPr="00486A64">
        <w:rPr>
          <w:sz w:val="26"/>
          <w:szCs w:val="26"/>
        </w:rPr>
        <w:t xml:space="preserve">Petition at 5.  PGW cites </w:t>
      </w:r>
      <w:r w:rsidRPr="00486A64">
        <w:rPr>
          <w:i/>
          <w:sz w:val="26"/>
          <w:szCs w:val="26"/>
        </w:rPr>
        <w:t>PUC v. Israel</w:t>
      </w:r>
      <w:r w:rsidRPr="00486A64">
        <w:rPr>
          <w:sz w:val="26"/>
          <w:szCs w:val="26"/>
        </w:rPr>
        <w:t xml:space="preserve">, 356 Pa. 400, 406, 52 A.2d 317, 321 (1947) as an example of a case in which a statutory violation of the Code was found to be </w:t>
      </w:r>
      <w:r w:rsidRPr="00486A64">
        <w:rPr>
          <w:i/>
          <w:sz w:val="26"/>
          <w:szCs w:val="26"/>
        </w:rPr>
        <w:t xml:space="preserve">per se </w:t>
      </w:r>
      <w:r w:rsidRPr="00486A64">
        <w:rPr>
          <w:sz w:val="26"/>
          <w:szCs w:val="26"/>
        </w:rPr>
        <w:t>harm.</w:t>
      </w:r>
      <w:r w:rsidRPr="00486A64">
        <w:rPr>
          <w:i/>
          <w:sz w:val="26"/>
          <w:szCs w:val="26"/>
        </w:rPr>
        <w:t xml:space="preserve">  </w:t>
      </w:r>
      <w:r w:rsidRPr="00486A64">
        <w:rPr>
          <w:sz w:val="26"/>
          <w:szCs w:val="26"/>
        </w:rPr>
        <w:t xml:space="preserve">However, in </w:t>
      </w:r>
      <w:r w:rsidRPr="00486A64">
        <w:rPr>
          <w:i/>
          <w:sz w:val="26"/>
          <w:szCs w:val="26"/>
        </w:rPr>
        <w:t>Israel</w:t>
      </w:r>
      <w:r w:rsidRPr="00486A64">
        <w:rPr>
          <w:sz w:val="26"/>
          <w:szCs w:val="26"/>
        </w:rPr>
        <w:t xml:space="preserve">, </w:t>
      </w:r>
      <w:r w:rsidRPr="00486A64">
        <w:rPr>
          <w:i/>
          <w:sz w:val="26"/>
          <w:szCs w:val="26"/>
        </w:rPr>
        <w:t>per se</w:t>
      </w:r>
      <w:r w:rsidRPr="00486A64">
        <w:rPr>
          <w:sz w:val="26"/>
          <w:szCs w:val="26"/>
        </w:rPr>
        <w:t xml:space="preserve"> harm was found by the court where the Commission had established a </w:t>
      </w:r>
      <w:r w:rsidRPr="00486A64">
        <w:rPr>
          <w:i/>
          <w:sz w:val="26"/>
          <w:szCs w:val="26"/>
        </w:rPr>
        <w:t>prima facia</w:t>
      </w:r>
      <w:r w:rsidRPr="00486A64">
        <w:rPr>
          <w:sz w:val="26"/>
          <w:szCs w:val="26"/>
        </w:rPr>
        <w:t xml:space="preserve"> case for violation of the Code.</w:t>
      </w:r>
    </w:p>
    <w:p w14:paraId="32177555" w14:textId="77777777" w:rsidR="00D645D6" w:rsidRPr="00486A64" w:rsidRDefault="00D645D6" w:rsidP="00D645D6">
      <w:pPr>
        <w:rPr>
          <w:sz w:val="26"/>
          <w:szCs w:val="26"/>
        </w:rPr>
      </w:pPr>
    </w:p>
    <w:p w14:paraId="48FD14A5" w14:textId="77777777" w:rsidR="00D645D6" w:rsidRPr="00486A64" w:rsidRDefault="00D645D6" w:rsidP="00D645D6">
      <w:pPr>
        <w:rPr>
          <w:sz w:val="26"/>
          <w:szCs w:val="26"/>
        </w:rPr>
      </w:pPr>
      <w:r w:rsidRPr="00486A64">
        <w:rPr>
          <w:sz w:val="26"/>
          <w:szCs w:val="26"/>
        </w:rPr>
        <w:t xml:space="preserve">In </w:t>
      </w:r>
      <w:r w:rsidRPr="00486A64">
        <w:rPr>
          <w:i/>
          <w:sz w:val="26"/>
          <w:szCs w:val="26"/>
        </w:rPr>
        <w:t xml:space="preserve">Israel, </w:t>
      </w:r>
      <w:r w:rsidRPr="00486A64">
        <w:rPr>
          <w:sz w:val="26"/>
          <w:szCs w:val="26"/>
        </w:rPr>
        <w:t>the court rejected the argument that a party should be permitted to continue an unlawful practice (</w:t>
      </w:r>
      <w:r w:rsidRPr="00486A64">
        <w:rPr>
          <w:i/>
          <w:sz w:val="26"/>
          <w:szCs w:val="26"/>
        </w:rPr>
        <w:t>i.e.</w:t>
      </w:r>
      <w:r w:rsidRPr="00486A64">
        <w:rPr>
          <w:sz w:val="26"/>
          <w:szCs w:val="26"/>
        </w:rPr>
        <w:t xml:space="preserve">, providing taxi service without a certificate of public convenience), based on the argument that the continued violation of the Code did not cause irreparable harm.  Rather, the court found that, once the Commission has established a </w:t>
      </w:r>
      <w:r w:rsidRPr="00486A64">
        <w:rPr>
          <w:i/>
          <w:sz w:val="26"/>
          <w:szCs w:val="26"/>
        </w:rPr>
        <w:t>prima facia</w:t>
      </w:r>
      <w:r w:rsidRPr="00486A64">
        <w:rPr>
          <w:sz w:val="26"/>
          <w:szCs w:val="26"/>
        </w:rPr>
        <w:t xml:space="preserve"> case of violation of the Code, preservation of the “</w:t>
      </w:r>
      <w:r w:rsidRPr="00486A64">
        <w:rPr>
          <w:i/>
          <w:sz w:val="26"/>
          <w:szCs w:val="26"/>
        </w:rPr>
        <w:t>status quo</w:t>
      </w:r>
      <w:r w:rsidRPr="00486A64">
        <w:rPr>
          <w:sz w:val="26"/>
          <w:szCs w:val="26"/>
        </w:rPr>
        <w:t>” is extended back to the point in time in which the unlawful practice had not yet occurred.  </w:t>
      </w:r>
      <w:r w:rsidRPr="00486A64">
        <w:rPr>
          <w:i/>
          <w:sz w:val="26"/>
          <w:szCs w:val="26"/>
        </w:rPr>
        <w:t>Id</w:t>
      </w:r>
      <w:r w:rsidRPr="00486A64">
        <w:rPr>
          <w:sz w:val="26"/>
          <w:szCs w:val="26"/>
        </w:rPr>
        <w:t>.  The court rejected the argument of a “wrongdoer” that they be granted the right to continue to violate the Code.</w:t>
      </w:r>
    </w:p>
    <w:p w14:paraId="300DE4D2" w14:textId="77777777" w:rsidR="00D645D6" w:rsidRPr="00486A64" w:rsidRDefault="00D645D6" w:rsidP="00D645D6">
      <w:pPr>
        <w:rPr>
          <w:sz w:val="26"/>
          <w:szCs w:val="26"/>
        </w:rPr>
      </w:pPr>
    </w:p>
    <w:p w14:paraId="20100ED4" w14:textId="77777777" w:rsidR="00D645D6" w:rsidRPr="00486A64" w:rsidRDefault="00D645D6" w:rsidP="00D645D6">
      <w:pPr>
        <w:rPr>
          <w:sz w:val="26"/>
          <w:szCs w:val="26"/>
        </w:rPr>
      </w:pPr>
      <w:r w:rsidRPr="00486A64">
        <w:rPr>
          <w:sz w:val="26"/>
          <w:szCs w:val="26"/>
        </w:rPr>
        <w:t xml:space="preserve">In the present case, as in </w:t>
      </w:r>
      <w:r w:rsidRPr="00486A64">
        <w:rPr>
          <w:i/>
          <w:sz w:val="26"/>
          <w:szCs w:val="26"/>
        </w:rPr>
        <w:t>Israel</w:t>
      </w:r>
      <w:r w:rsidRPr="00486A64">
        <w:rPr>
          <w:sz w:val="26"/>
          <w:szCs w:val="26"/>
        </w:rPr>
        <w:t xml:space="preserve">, there is </w:t>
      </w:r>
      <w:r w:rsidRPr="00486A64">
        <w:rPr>
          <w:i/>
          <w:sz w:val="26"/>
          <w:szCs w:val="26"/>
        </w:rPr>
        <w:t>prima facia</w:t>
      </w:r>
      <w:r w:rsidRPr="00486A64">
        <w:rPr>
          <w:sz w:val="26"/>
          <w:szCs w:val="26"/>
        </w:rPr>
        <w:t xml:space="preserve"> evidence establishing a violation of the Code.  Our </w:t>
      </w:r>
      <w:r w:rsidRPr="00486A64">
        <w:rPr>
          <w:i/>
          <w:sz w:val="26"/>
          <w:szCs w:val="26"/>
        </w:rPr>
        <w:t>December 2016 Order</w:t>
      </w:r>
      <w:r w:rsidRPr="00486A64">
        <w:rPr>
          <w:sz w:val="26"/>
          <w:szCs w:val="26"/>
        </w:rPr>
        <w:t xml:space="preserve">, which found PGW’s billing practices unlawful, established </w:t>
      </w:r>
      <w:r w:rsidRPr="00486A64">
        <w:rPr>
          <w:i/>
          <w:sz w:val="26"/>
          <w:szCs w:val="26"/>
        </w:rPr>
        <w:t>prima facia</w:t>
      </w:r>
      <w:r w:rsidRPr="00486A64">
        <w:rPr>
          <w:sz w:val="26"/>
          <w:szCs w:val="26"/>
        </w:rPr>
        <w:t xml:space="preserve"> evidence of a violation of the Code.</w:t>
      </w:r>
      <w:r w:rsidRPr="00486A64">
        <w:rPr>
          <w:rStyle w:val="FootnoteReference"/>
          <w:rFonts w:eastAsia="SimSun"/>
          <w:szCs w:val="26"/>
        </w:rPr>
        <w:footnoteReference w:id="17"/>
      </w:r>
      <w:r w:rsidRPr="00486A64">
        <w:rPr>
          <w:sz w:val="26"/>
          <w:szCs w:val="26"/>
        </w:rPr>
        <w:t xml:space="preserve">  In the present facts, it is </w:t>
      </w:r>
      <w:r w:rsidRPr="00486A64">
        <w:rPr>
          <w:i/>
          <w:sz w:val="26"/>
          <w:szCs w:val="26"/>
        </w:rPr>
        <w:t>SBG’s statutory rights</w:t>
      </w:r>
      <w:r w:rsidRPr="00486A64">
        <w:rPr>
          <w:sz w:val="26"/>
          <w:szCs w:val="26"/>
        </w:rPr>
        <w:t xml:space="preserve"> which have been found to be violated.  Therefore, if any party, it is SBG, rather than PGW, which could raise </w:t>
      </w:r>
      <w:r w:rsidRPr="00486A64">
        <w:rPr>
          <w:i/>
          <w:sz w:val="26"/>
          <w:szCs w:val="26"/>
        </w:rPr>
        <w:t>Israel</w:t>
      </w:r>
      <w:r w:rsidRPr="00486A64">
        <w:rPr>
          <w:sz w:val="26"/>
          <w:szCs w:val="26"/>
        </w:rPr>
        <w:t xml:space="preserve"> to claim </w:t>
      </w:r>
      <w:r w:rsidRPr="00486A64">
        <w:rPr>
          <w:i/>
          <w:sz w:val="26"/>
          <w:szCs w:val="26"/>
        </w:rPr>
        <w:t>per se</w:t>
      </w:r>
      <w:r w:rsidRPr="00486A64">
        <w:rPr>
          <w:sz w:val="26"/>
          <w:szCs w:val="26"/>
        </w:rPr>
        <w:t xml:space="preserve"> harm due to violation of its statutory rights.</w:t>
      </w:r>
    </w:p>
    <w:p w14:paraId="231599E2" w14:textId="77777777" w:rsidR="00D645D6" w:rsidRPr="00486A64" w:rsidRDefault="00D645D6" w:rsidP="00D645D6">
      <w:pPr>
        <w:rPr>
          <w:sz w:val="26"/>
          <w:szCs w:val="26"/>
        </w:rPr>
      </w:pPr>
    </w:p>
    <w:p w14:paraId="0EBD35CB" w14:textId="77777777" w:rsidR="00D645D6" w:rsidRPr="00486A64" w:rsidRDefault="00D645D6" w:rsidP="00D645D6">
      <w:pPr>
        <w:rPr>
          <w:sz w:val="26"/>
          <w:szCs w:val="26"/>
        </w:rPr>
      </w:pPr>
      <w:r w:rsidRPr="00486A64">
        <w:rPr>
          <w:sz w:val="26"/>
          <w:szCs w:val="26"/>
        </w:rPr>
        <w:t xml:space="preserve">Moreover, in the present case, PGW is the “wrongdoer,” found by the Commission to have violated the Code.  Like the wrongdoer in </w:t>
      </w:r>
      <w:r w:rsidRPr="00486A64">
        <w:rPr>
          <w:i/>
          <w:sz w:val="26"/>
          <w:szCs w:val="26"/>
        </w:rPr>
        <w:t>Israel</w:t>
      </w:r>
      <w:r w:rsidRPr="00486A64">
        <w:rPr>
          <w:sz w:val="26"/>
          <w:szCs w:val="26"/>
        </w:rPr>
        <w:t>, PGW asks the court to preserve the “</w:t>
      </w:r>
      <w:r w:rsidRPr="00486A64">
        <w:rPr>
          <w:i/>
          <w:sz w:val="26"/>
          <w:szCs w:val="26"/>
        </w:rPr>
        <w:t>status quo</w:t>
      </w:r>
      <w:r w:rsidRPr="00486A64">
        <w:rPr>
          <w:sz w:val="26"/>
          <w:szCs w:val="26"/>
        </w:rPr>
        <w:t xml:space="preserve">” to authorize PGW to continue its current billing practices in violation of the Code.  However, in </w:t>
      </w:r>
      <w:r w:rsidRPr="00486A64">
        <w:rPr>
          <w:i/>
          <w:sz w:val="26"/>
          <w:szCs w:val="26"/>
        </w:rPr>
        <w:t>Israel,</w:t>
      </w:r>
      <w:r w:rsidRPr="00486A64">
        <w:rPr>
          <w:sz w:val="26"/>
          <w:szCs w:val="26"/>
        </w:rPr>
        <w:t xml:space="preserve"> the court noted that “[t]he rule is ‘that the status quo . . . is the last actual, peaceable [and, we may add, lawful] noncontested status which preceded the pending controversy.’”</w:t>
      </w:r>
      <w:r w:rsidRPr="00486A64">
        <w:rPr>
          <w:rStyle w:val="FootnoteReference"/>
          <w:rFonts w:eastAsia="SimSun"/>
          <w:szCs w:val="26"/>
        </w:rPr>
        <w:footnoteReference w:id="18"/>
      </w:r>
      <w:r w:rsidRPr="00486A64">
        <w:rPr>
          <w:sz w:val="26"/>
          <w:szCs w:val="26"/>
        </w:rPr>
        <w:t xml:space="preserve">  Like the </w:t>
      </w:r>
      <w:r w:rsidRPr="00486A64">
        <w:rPr>
          <w:i/>
          <w:sz w:val="26"/>
          <w:szCs w:val="26"/>
        </w:rPr>
        <w:t>Israel</w:t>
      </w:r>
      <w:r w:rsidRPr="00486A64">
        <w:rPr>
          <w:sz w:val="26"/>
          <w:szCs w:val="26"/>
        </w:rPr>
        <w:t xml:space="preserve"> court, we decline to grant a stay to preserve the “</w:t>
      </w:r>
      <w:r w:rsidRPr="00486A64">
        <w:rPr>
          <w:i/>
          <w:sz w:val="26"/>
          <w:szCs w:val="26"/>
        </w:rPr>
        <w:t>status quo</w:t>
      </w:r>
      <w:r w:rsidRPr="00486A64">
        <w:rPr>
          <w:sz w:val="26"/>
          <w:szCs w:val="26"/>
        </w:rPr>
        <w:t>” in which PGW’s billing practices constitute ongoing violations of the Code.</w:t>
      </w:r>
    </w:p>
    <w:p w14:paraId="0BC55330" w14:textId="77777777" w:rsidR="00D645D6" w:rsidRPr="00486A64" w:rsidRDefault="00D645D6" w:rsidP="00D645D6">
      <w:pPr>
        <w:rPr>
          <w:sz w:val="26"/>
          <w:szCs w:val="26"/>
        </w:rPr>
      </w:pPr>
    </w:p>
    <w:p w14:paraId="2C1512E2" w14:textId="77777777" w:rsidR="00D645D6" w:rsidRPr="00486A64" w:rsidRDefault="00D645D6" w:rsidP="00D645D6">
      <w:pPr>
        <w:rPr>
          <w:sz w:val="26"/>
          <w:szCs w:val="26"/>
        </w:rPr>
      </w:pPr>
      <w:r w:rsidRPr="00486A64">
        <w:rPr>
          <w:sz w:val="26"/>
          <w:szCs w:val="26"/>
        </w:rPr>
        <w:t xml:space="preserve">Further, for PGW to even allege </w:t>
      </w:r>
      <w:r w:rsidRPr="00486A64">
        <w:rPr>
          <w:i/>
          <w:sz w:val="26"/>
          <w:szCs w:val="26"/>
        </w:rPr>
        <w:t>per se</w:t>
      </w:r>
      <w:r w:rsidRPr="00486A64">
        <w:rPr>
          <w:sz w:val="26"/>
          <w:szCs w:val="26"/>
        </w:rPr>
        <w:t xml:space="preserve"> harm in the present case, it must assert an </w:t>
      </w:r>
      <w:r w:rsidRPr="00486A64">
        <w:rPr>
          <w:i/>
          <w:sz w:val="26"/>
          <w:szCs w:val="26"/>
        </w:rPr>
        <w:t>argument</w:t>
      </w:r>
      <w:r w:rsidRPr="00486A64">
        <w:rPr>
          <w:sz w:val="26"/>
          <w:szCs w:val="26"/>
        </w:rPr>
        <w:t xml:space="preserve"> (that the Commission’s order violates PGW’s statutory rights under the Code) that is analogous to either the </w:t>
      </w:r>
      <w:r w:rsidRPr="00486A64">
        <w:rPr>
          <w:i/>
          <w:sz w:val="26"/>
          <w:szCs w:val="26"/>
        </w:rPr>
        <w:t>Israel</w:t>
      </w:r>
      <w:r w:rsidRPr="00486A64">
        <w:rPr>
          <w:sz w:val="26"/>
          <w:szCs w:val="26"/>
        </w:rPr>
        <w:t xml:space="preserve"> court’s finding of a </w:t>
      </w:r>
      <w:r w:rsidRPr="00486A64">
        <w:rPr>
          <w:i/>
          <w:sz w:val="26"/>
          <w:szCs w:val="26"/>
        </w:rPr>
        <w:t>prima facia</w:t>
      </w:r>
      <w:r w:rsidRPr="00486A64">
        <w:rPr>
          <w:sz w:val="26"/>
          <w:szCs w:val="26"/>
        </w:rPr>
        <w:t xml:space="preserve"> violation of the Code, or the Commission’s final order finding that PGW’s billing practices violate the Code.  PGW’s claim of </w:t>
      </w:r>
      <w:r w:rsidRPr="00486A64">
        <w:rPr>
          <w:i/>
          <w:sz w:val="26"/>
          <w:szCs w:val="26"/>
        </w:rPr>
        <w:t>per se</w:t>
      </w:r>
      <w:r w:rsidRPr="00486A64">
        <w:rPr>
          <w:sz w:val="26"/>
          <w:szCs w:val="26"/>
        </w:rPr>
        <w:t xml:space="preserve"> harm assumes that the weight of its own argument is equal to the finding of a court or administrative agency.  It is not.  Therefore, PGW fails to assert a colorable claim of </w:t>
      </w:r>
      <w:r w:rsidRPr="00486A64">
        <w:rPr>
          <w:i/>
          <w:sz w:val="26"/>
          <w:szCs w:val="26"/>
        </w:rPr>
        <w:t>per se</w:t>
      </w:r>
      <w:r w:rsidRPr="00486A64">
        <w:rPr>
          <w:sz w:val="26"/>
          <w:szCs w:val="26"/>
        </w:rPr>
        <w:t xml:space="preserve"> harm.</w:t>
      </w:r>
    </w:p>
    <w:p w14:paraId="3F8235A7" w14:textId="77777777" w:rsidR="00D645D6" w:rsidRPr="00486A64" w:rsidRDefault="00D645D6" w:rsidP="00D645D6">
      <w:pPr>
        <w:rPr>
          <w:sz w:val="26"/>
          <w:szCs w:val="26"/>
        </w:rPr>
      </w:pPr>
    </w:p>
    <w:p w14:paraId="01512170" w14:textId="303D7F89" w:rsidR="00D645D6" w:rsidRPr="00486A64" w:rsidRDefault="00D645D6" w:rsidP="00D645D6">
      <w:pPr>
        <w:rPr>
          <w:sz w:val="26"/>
          <w:szCs w:val="26"/>
        </w:rPr>
      </w:pPr>
      <w:r w:rsidRPr="00486A64">
        <w:rPr>
          <w:sz w:val="26"/>
          <w:szCs w:val="26"/>
        </w:rPr>
        <w:lastRenderedPageBreak/>
        <w:t xml:space="preserve">Similarly, PGW’s claim of irreparable harm unless a stay is granted to forestall the imposition of a compliance period of ninety days is without merit.  As SBG notes, our </w:t>
      </w:r>
      <w:r w:rsidRPr="00486A64">
        <w:rPr>
          <w:i/>
          <w:sz w:val="26"/>
          <w:szCs w:val="26"/>
        </w:rPr>
        <w:t>December 2016 Order’s</w:t>
      </w:r>
      <w:r w:rsidRPr="00486A64">
        <w:rPr>
          <w:sz w:val="26"/>
          <w:szCs w:val="26"/>
        </w:rPr>
        <w:t xml:space="preserve"> analysis of the time necessary for compliance discussed the reasons for rejecting PGW’s proposed fifty-seven-week compliance period.  PGW has been on notice of the potential compliance violation since 2011 which provided PGW with ample time to plan for the contingency of compliance with Commission billing practices.  Further, we agree with SBG that ninety days is a sufficient time for PGW to perform any necessary billing modifications.  This is especially true given that, as a municipal utility for the City of Philadelphia, PGW already has a model to follow for Commission-compliant billing practices in the Philadelphia </w:t>
      </w:r>
      <w:r w:rsidR="00F40045" w:rsidRPr="00486A64">
        <w:rPr>
          <w:sz w:val="26"/>
          <w:szCs w:val="26"/>
        </w:rPr>
        <w:t>W</w:t>
      </w:r>
      <w:r w:rsidRPr="00486A64">
        <w:rPr>
          <w:sz w:val="26"/>
          <w:szCs w:val="26"/>
        </w:rPr>
        <w:t xml:space="preserve">ater </w:t>
      </w:r>
      <w:r w:rsidR="00F40045" w:rsidRPr="00486A64">
        <w:rPr>
          <w:sz w:val="26"/>
          <w:szCs w:val="26"/>
        </w:rPr>
        <w:t>D</w:t>
      </w:r>
      <w:r w:rsidRPr="00486A64">
        <w:rPr>
          <w:sz w:val="26"/>
          <w:szCs w:val="26"/>
        </w:rPr>
        <w:t>epartment</w:t>
      </w:r>
      <w:r w:rsidR="00EB001E" w:rsidRPr="00486A64">
        <w:rPr>
          <w:sz w:val="26"/>
          <w:szCs w:val="26"/>
        </w:rPr>
        <w:t xml:space="preserve">’s </w:t>
      </w:r>
      <w:r w:rsidR="0060125D" w:rsidRPr="00486A64">
        <w:rPr>
          <w:sz w:val="26"/>
          <w:szCs w:val="26"/>
        </w:rPr>
        <w:t>billing and collection practices w</w:t>
      </w:r>
      <w:r w:rsidR="00EB001E" w:rsidRPr="00486A64">
        <w:rPr>
          <w:sz w:val="26"/>
          <w:szCs w:val="26"/>
        </w:rPr>
        <w:t xml:space="preserve">hich appear to be </w:t>
      </w:r>
      <w:r w:rsidR="0060125D" w:rsidRPr="00486A64">
        <w:rPr>
          <w:sz w:val="26"/>
          <w:szCs w:val="26"/>
        </w:rPr>
        <w:t>consistent with Commiss</w:t>
      </w:r>
      <w:r w:rsidR="00EB001E" w:rsidRPr="00486A64">
        <w:rPr>
          <w:sz w:val="26"/>
          <w:szCs w:val="26"/>
        </w:rPr>
        <w:t>i</w:t>
      </w:r>
      <w:r w:rsidR="0060125D" w:rsidRPr="00486A64">
        <w:rPr>
          <w:sz w:val="26"/>
          <w:szCs w:val="26"/>
        </w:rPr>
        <w:t>on</w:t>
      </w:r>
      <w:r w:rsidR="00EB001E" w:rsidRPr="00486A64">
        <w:rPr>
          <w:sz w:val="26"/>
          <w:szCs w:val="26"/>
        </w:rPr>
        <w:t>’s</w:t>
      </w:r>
      <w:r w:rsidR="0060125D" w:rsidRPr="00486A64">
        <w:rPr>
          <w:sz w:val="26"/>
          <w:szCs w:val="26"/>
        </w:rPr>
        <w:t xml:space="preserve"> consumer protection regulations.</w:t>
      </w:r>
    </w:p>
    <w:p w14:paraId="207C6A08" w14:textId="77777777" w:rsidR="00D645D6" w:rsidRPr="00486A64" w:rsidRDefault="00D645D6" w:rsidP="00D645D6">
      <w:pPr>
        <w:ind w:firstLine="0"/>
        <w:rPr>
          <w:sz w:val="26"/>
          <w:szCs w:val="26"/>
        </w:rPr>
      </w:pPr>
    </w:p>
    <w:p w14:paraId="5FFC6C0E" w14:textId="7C695FBD" w:rsidR="00D645D6" w:rsidRPr="00486A64" w:rsidRDefault="00D645D6" w:rsidP="00D645D6">
      <w:pPr>
        <w:rPr>
          <w:sz w:val="26"/>
          <w:szCs w:val="26"/>
        </w:rPr>
      </w:pPr>
      <w:r w:rsidRPr="00486A64">
        <w:rPr>
          <w:sz w:val="26"/>
          <w:szCs w:val="26"/>
        </w:rPr>
        <w:t xml:space="preserve">We note that if PGW had reason to believe that compliance with Commission billing requirements would take considerable time, PGW’s failure to take any affirmative steps to plan for such compliance, even after a final Commission order requiring it, is curious.  Rather than prepare to comply with Commission billing practices, PGW precluded the parties and the Commission from learning exactly what PGW’s unlawful billing practice entailed.  Consequently, PGW was found to have violated a Commission regulation by not disclosing its practices to either the Commission or consumers.  </w:t>
      </w:r>
      <w:r w:rsidR="005E03FA" w:rsidRPr="00486A64">
        <w:rPr>
          <w:sz w:val="26"/>
          <w:szCs w:val="26"/>
        </w:rPr>
        <w:t xml:space="preserve">See, </w:t>
      </w:r>
      <w:r w:rsidRPr="00486A64">
        <w:rPr>
          <w:i/>
          <w:sz w:val="26"/>
          <w:szCs w:val="26"/>
        </w:rPr>
        <w:t>December 2016 Order</w:t>
      </w:r>
      <w:r w:rsidRPr="00486A64">
        <w:rPr>
          <w:sz w:val="26"/>
          <w:szCs w:val="26"/>
        </w:rPr>
        <w:t xml:space="preserve"> at 104.</w:t>
      </w:r>
    </w:p>
    <w:p w14:paraId="71CA2E6F" w14:textId="77777777" w:rsidR="00D645D6" w:rsidRPr="00486A64" w:rsidRDefault="00D645D6" w:rsidP="00D645D6">
      <w:pPr>
        <w:rPr>
          <w:sz w:val="26"/>
          <w:szCs w:val="26"/>
        </w:rPr>
      </w:pPr>
    </w:p>
    <w:p w14:paraId="74645CA5" w14:textId="2211C41B" w:rsidR="00D645D6" w:rsidRPr="00486A64" w:rsidRDefault="00D645D6" w:rsidP="00D645D6">
      <w:pPr>
        <w:rPr>
          <w:sz w:val="26"/>
          <w:szCs w:val="26"/>
        </w:rPr>
      </w:pPr>
      <w:r w:rsidRPr="00486A64">
        <w:rPr>
          <w:sz w:val="26"/>
          <w:szCs w:val="26"/>
        </w:rPr>
        <w:t xml:space="preserve">Finally, PGW fails to show that the </w:t>
      </w:r>
      <w:r w:rsidRPr="00486A64">
        <w:rPr>
          <w:i/>
          <w:sz w:val="26"/>
          <w:szCs w:val="26"/>
        </w:rPr>
        <w:t xml:space="preserve">Commission Orders </w:t>
      </w:r>
      <w:r w:rsidR="005E03FA" w:rsidRPr="00486A64">
        <w:rPr>
          <w:sz w:val="26"/>
          <w:szCs w:val="26"/>
        </w:rPr>
        <w:t>at issue</w:t>
      </w:r>
      <w:r w:rsidR="005E03FA" w:rsidRPr="00486A64">
        <w:rPr>
          <w:i/>
          <w:sz w:val="26"/>
          <w:szCs w:val="26"/>
        </w:rPr>
        <w:t xml:space="preserve"> </w:t>
      </w:r>
      <w:r w:rsidRPr="00486A64">
        <w:rPr>
          <w:sz w:val="26"/>
          <w:szCs w:val="26"/>
        </w:rPr>
        <w:t>will cause PGW to expend substantial money, time and resources which would be unlikely to be recovered by PGW in a future rate case.  As SBG pointed out, as a municipal gas utility for the City of Philadelphia,</w:t>
      </w:r>
      <w:r w:rsidR="003C4433" w:rsidRPr="00486A64">
        <w:rPr>
          <w:sz w:val="26"/>
          <w:szCs w:val="26"/>
        </w:rPr>
        <w:t xml:space="preserve"> subject to PUC jurisdiction, </w:t>
      </w:r>
      <w:r w:rsidRPr="00486A64">
        <w:rPr>
          <w:sz w:val="26"/>
          <w:szCs w:val="26"/>
        </w:rPr>
        <w:t>PGW could easily adopt the same billing practices already established by the Philadelphia Water Department</w:t>
      </w:r>
      <w:r w:rsidR="005E03FA" w:rsidRPr="00486A64">
        <w:rPr>
          <w:sz w:val="26"/>
          <w:szCs w:val="26"/>
        </w:rPr>
        <w:t>, which appear to comply with the applicable PUC regulatory requirements</w:t>
      </w:r>
      <w:r w:rsidRPr="00486A64">
        <w:rPr>
          <w:sz w:val="26"/>
          <w:szCs w:val="26"/>
        </w:rPr>
        <w:t xml:space="preserve">.  Yet, PGW continues </w:t>
      </w:r>
      <w:r w:rsidRPr="00486A64">
        <w:rPr>
          <w:sz w:val="26"/>
          <w:szCs w:val="26"/>
        </w:rPr>
        <w:lastRenderedPageBreak/>
        <w:t xml:space="preserve">to refuse to provide billing practices which comply with our regulations.  PGW admits that its present unlawful billing practices are PGW’s “conscious and intentional business decisions to maximize revenues.”  </w:t>
      </w:r>
      <w:r w:rsidR="009D1A78" w:rsidRPr="00486A64">
        <w:rPr>
          <w:sz w:val="26"/>
          <w:szCs w:val="26"/>
        </w:rPr>
        <w:t xml:space="preserve">SBG October </w:t>
      </w:r>
      <w:r w:rsidRPr="00486A64">
        <w:rPr>
          <w:sz w:val="26"/>
          <w:szCs w:val="26"/>
        </w:rPr>
        <w:t>Answer at 13-18.</w:t>
      </w:r>
    </w:p>
    <w:p w14:paraId="49431DC0" w14:textId="77777777" w:rsidR="00D645D6" w:rsidRPr="00486A64" w:rsidRDefault="00D645D6" w:rsidP="00D645D6">
      <w:pPr>
        <w:rPr>
          <w:sz w:val="26"/>
          <w:szCs w:val="26"/>
        </w:rPr>
      </w:pPr>
    </w:p>
    <w:p w14:paraId="2ED939AD" w14:textId="77777777" w:rsidR="00D645D6" w:rsidRPr="00486A64" w:rsidRDefault="00D645D6" w:rsidP="00D645D6">
      <w:pPr>
        <w:rPr>
          <w:sz w:val="26"/>
          <w:szCs w:val="26"/>
        </w:rPr>
      </w:pPr>
      <w:r w:rsidRPr="00486A64">
        <w:rPr>
          <w:sz w:val="26"/>
          <w:szCs w:val="26"/>
        </w:rPr>
        <w:t xml:space="preserve">As a general matter, PGW’s claims regarding irreparable harm all fail due to the fallacy of PGW’s main premise – that any harm to PGW results from the </w:t>
      </w:r>
      <w:r w:rsidRPr="00486A64">
        <w:rPr>
          <w:i/>
          <w:sz w:val="26"/>
          <w:szCs w:val="26"/>
        </w:rPr>
        <w:t>Commission Orders</w:t>
      </w:r>
      <w:r w:rsidRPr="00486A64">
        <w:rPr>
          <w:sz w:val="26"/>
          <w:szCs w:val="26"/>
        </w:rPr>
        <w:t>.  The fact is that any harm to PGW, financial or otherwise, results from PGW’s own conduct and unlawful billing practice.  Since coming under Commission jurisdiction, it appears, based on PGW’s own assertions, that PGW chose to reap substantial financial gain by unlawful billing practices which it failed to disclose to the Commission or its customers.  It was PGW’s choice to adopt billing practices for financial gain which makes the financial cost to PGW necessary to bring its billing practices into compliance.  In addition, the fact that PGW may not recover the costs associated with establishing lawful billing practices does not weigh in favor of finding irreparable harm, where PGW admits to financial benefit from its unlawful practices.  Accordingly, we find that PGW has failed to show that, in the absence of the requested relief, it will suffer irreparable injury.</w:t>
      </w:r>
    </w:p>
    <w:p w14:paraId="5E865D0A" w14:textId="77777777" w:rsidR="00D645D6" w:rsidRPr="00486A64" w:rsidRDefault="00D645D6" w:rsidP="00D645D6">
      <w:pPr>
        <w:rPr>
          <w:sz w:val="26"/>
          <w:szCs w:val="26"/>
        </w:rPr>
      </w:pPr>
    </w:p>
    <w:p w14:paraId="63AC3580" w14:textId="1BCCA94C" w:rsidR="00D645D6" w:rsidRPr="00486A64" w:rsidRDefault="00D645D6" w:rsidP="00D645D6">
      <w:pPr>
        <w:rPr>
          <w:sz w:val="26"/>
          <w:szCs w:val="26"/>
        </w:rPr>
      </w:pPr>
      <w:r w:rsidRPr="00486A64">
        <w:rPr>
          <w:sz w:val="26"/>
          <w:szCs w:val="26"/>
        </w:rPr>
        <w:t xml:space="preserve">As to the third </w:t>
      </w:r>
      <w:r w:rsidRPr="00486A64">
        <w:rPr>
          <w:i/>
          <w:sz w:val="26"/>
          <w:szCs w:val="26"/>
        </w:rPr>
        <w:t>Process Gas</w:t>
      </w:r>
      <w:r w:rsidRPr="00486A64">
        <w:rPr>
          <w:sz w:val="26"/>
          <w:szCs w:val="26"/>
        </w:rPr>
        <w:t xml:space="preserve"> criterion, we find that PGW fails to show that other interested parties will not be substantially harmed by the stay.  SBG is not the only interested party.  Other interested parties exist and include the other similarly-situated ratepayers who are billed by PGW.  Further, the harm suffered by the SBG Complainants was found to be unreasonable to the extent we found it necessary to impose penalties due to PGW’s violations of the Code and the Commission’s regulations.  As noted by SBG, PGW’s unlawful billing practices cause other non-monetary legal harm to Complainants and, potentially, the City of Philadelphia, where PGW’s liens impact Complainants’ legal property rights, and, if unlawful, liens relied upon by the City for issuance of municipal </w:t>
      </w:r>
      <w:r w:rsidRPr="00486A64">
        <w:rPr>
          <w:sz w:val="26"/>
          <w:szCs w:val="26"/>
        </w:rPr>
        <w:lastRenderedPageBreak/>
        <w:t xml:space="preserve">bonds under the jurisdiction of the SEC, may put the City at risk of being found in violation of SEC requirements.  </w:t>
      </w:r>
      <w:r w:rsidRPr="00486A64">
        <w:rPr>
          <w:i/>
          <w:sz w:val="26"/>
          <w:szCs w:val="26"/>
        </w:rPr>
        <w:t xml:space="preserve">See, </w:t>
      </w:r>
      <w:r w:rsidR="009D1A78" w:rsidRPr="00486A64">
        <w:rPr>
          <w:sz w:val="26"/>
          <w:szCs w:val="26"/>
        </w:rPr>
        <w:t>SBG October</w:t>
      </w:r>
      <w:r w:rsidR="009D1A78" w:rsidRPr="00486A64">
        <w:rPr>
          <w:i/>
          <w:sz w:val="26"/>
          <w:szCs w:val="26"/>
        </w:rPr>
        <w:t xml:space="preserve"> </w:t>
      </w:r>
      <w:r w:rsidRPr="00486A64">
        <w:rPr>
          <w:sz w:val="26"/>
          <w:szCs w:val="26"/>
        </w:rPr>
        <w:t>Answer at 19-20.</w:t>
      </w:r>
    </w:p>
    <w:p w14:paraId="608D6CC7" w14:textId="77777777" w:rsidR="00D645D6" w:rsidRPr="00486A64" w:rsidRDefault="00D645D6" w:rsidP="00D645D6">
      <w:pPr>
        <w:rPr>
          <w:sz w:val="26"/>
          <w:szCs w:val="26"/>
        </w:rPr>
      </w:pPr>
    </w:p>
    <w:p w14:paraId="2C93031C" w14:textId="77777777" w:rsidR="00D645D6" w:rsidRPr="00486A64" w:rsidRDefault="00D645D6" w:rsidP="00D645D6">
      <w:pPr>
        <w:rPr>
          <w:sz w:val="26"/>
          <w:szCs w:val="26"/>
        </w:rPr>
      </w:pPr>
      <w:r w:rsidRPr="00486A64">
        <w:rPr>
          <w:sz w:val="26"/>
          <w:szCs w:val="26"/>
        </w:rPr>
        <w:t xml:space="preserve">As to the fourth </w:t>
      </w:r>
      <w:r w:rsidRPr="00486A64">
        <w:rPr>
          <w:i/>
          <w:sz w:val="26"/>
          <w:szCs w:val="26"/>
        </w:rPr>
        <w:t>Process Gas</w:t>
      </w:r>
      <w:r w:rsidRPr="00486A64">
        <w:rPr>
          <w:sz w:val="26"/>
          <w:szCs w:val="26"/>
        </w:rPr>
        <w:t xml:space="preserve"> criterion, we find that PGW fails to show that a stay will not adversely affect the public interest.  As noted by SBC, all similarly situated ratepayers have an interest in PGW’s billing practices complying with the consumer protection regulations for billing practices under the Code.  If we were to grant PGW a stay of the </w:t>
      </w:r>
      <w:r w:rsidRPr="00486A64">
        <w:rPr>
          <w:i/>
          <w:sz w:val="26"/>
          <w:szCs w:val="26"/>
        </w:rPr>
        <w:t>Commission Orders</w:t>
      </w:r>
      <w:r w:rsidRPr="00486A64">
        <w:rPr>
          <w:sz w:val="26"/>
          <w:szCs w:val="26"/>
        </w:rPr>
        <w:t xml:space="preserve"> which require the same compliance with billing practices that is required of </w:t>
      </w:r>
      <w:r w:rsidRPr="00486A64">
        <w:rPr>
          <w:i/>
          <w:sz w:val="26"/>
          <w:szCs w:val="26"/>
        </w:rPr>
        <w:t>every gas utility</w:t>
      </w:r>
      <w:r w:rsidRPr="00486A64">
        <w:rPr>
          <w:sz w:val="26"/>
          <w:szCs w:val="26"/>
        </w:rPr>
        <w:t>, it would be unfair to every other gas utility which daily expend money, time and resources to comply with those billing regulations.  It would further be unfair to ratepayers if we authorized billing in a manner which does not comply with Commission regulations.</w:t>
      </w:r>
    </w:p>
    <w:p w14:paraId="1EEB0378" w14:textId="77777777" w:rsidR="00D645D6" w:rsidRPr="00486A64" w:rsidRDefault="00D645D6" w:rsidP="00D645D6">
      <w:pPr>
        <w:rPr>
          <w:sz w:val="26"/>
          <w:szCs w:val="26"/>
        </w:rPr>
      </w:pPr>
    </w:p>
    <w:p w14:paraId="38F0D235" w14:textId="15878109" w:rsidR="00D645D6" w:rsidRPr="00486A64" w:rsidRDefault="00D645D6" w:rsidP="00D645D6">
      <w:pPr>
        <w:rPr>
          <w:sz w:val="26"/>
          <w:szCs w:val="26"/>
        </w:rPr>
      </w:pPr>
      <w:r w:rsidRPr="00486A64">
        <w:rPr>
          <w:sz w:val="26"/>
          <w:szCs w:val="26"/>
        </w:rPr>
        <w:t>Finally, we note again that PGW’s conduct was found to be unreasonable in the underlying proceeding</w:t>
      </w:r>
      <w:r w:rsidR="009D1A78" w:rsidRPr="00486A64">
        <w:rPr>
          <w:sz w:val="26"/>
          <w:szCs w:val="26"/>
        </w:rPr>
        <w:t>s</w:t>
      </w:r>
      <w:r w:rsidRPr="00486A64">
        <w:rPr>
          <w:sz w:val="26"/>
          <w:szCs w:val="26"/>
        </w:rPr>
        <w:t xml:space="preserve">, and in the separate-related consolidated cases.  </w:t>
      </w:r>
      <w:r w:rsidRPr="00486A64">
        <w:rPr>
          <w:i/>
          <w:sz w:val="26"/>
          <w:szCs w:val="26"/>
        </w:rPr>
        <w:t xml:space="preserve">See, December 2016 Order </w:t>
      </w:r>
      <w:r w:rsidRPr="00486A64">
        <w:rPr>
          <w:sz w:val="26"/>
          <w:szCs w:val="26"/>
        </w:rPr>
        <w:t xml:space="preserve">at 111 and </w:t>
      </w:r>
      <w:r w:rsidRPr="00486A64">
        <w:rPr>
          <w:i/>
          <w:sz w:val="26"/>
          <w:szCs w:val="26"/>
        </w:rPr>
        <w:t>SBG et al. v. PGW</w:t>
      </w:r>
      <w:r w:rsidRPr="00486A64">
        <w:rPr>
          <w:sz w:val="26"/>
          <w:szCs w:val="26"/>
        </w:rPr>
        <w:t xml:space="preserve">, Docket No. C-2012-2304167 (Order entered September 20, 2018).  PGW’s bad faith conduct regarding utility liens has been noted not only before this administrative agency, but in the civil courts by the Third Circuit Court of Appeals.  </w:t>
      </w:r>
      <w:r w:rsidRPr="00486A64">
        <w:rPr>
          <w:i/>
          <w:sz w:val="26"/>
          <w:szCs w:val="26"/>
        </w:rPr>
        <w:t>Id</w:t>
      </w:r>
      <w:r w:rsidRPr="00486A64">
        <w:rPr>
          <w:sz w:val="26"/>
          <w:szCs w:val="26"/>
        </w:rPr>
        <w:t xml:space="preserve">. at 33. (quoting </w:t>
      </w:r>
      <w:r w:rsidRPr="00486A64">
        <w:rPr>
          <w:i/>
          <w:sz w:val="26"/>
          <w:szCs w:val="26"/>
        </w:rPr>
        <w:t>Augustine v. City of Philadelphia</w:t>
      </w:r>
      <w:r w:rsidRPr="00486A64">
        <w:rPr>
          <w:sz w:val="26"/>
          <w:szCs w:val="26"/>
        </w:rPr>
        <w:t>, 897 F. 3d 142 (3d Cir, 2018).</w:t>
      </w:r>
    </w:p>
    <w:p w14:paraId="09BD1D44" w14:textId="77777777" w:rsidR="00D645D6" w:rsidRPr="00486A64" w:rsidRDefault="00D645D6" w:rsidP="00D645D6">
      <w:pPr>
        <w:rPr>
          <w:sz w:val="26"/>
          <w:szCs w:val="26"/>
        </w:rPr>
      </w:pPr>
    </w:p>
    <w:p w14:paraId="37185D4C" w14:textId="425276F9" w:rsidR="00D645D6" w:rsidRPr="00486A64" w:rsidRDefault="00D645D6" w:rsidP="00D645D6">
      <w:pPr>
        <w:rPr>
          <w:sz w:val="26"/>
          <w:szCs w:val="26"/>
        </w:rPr>
      </w:pPr>
      <w:r w:rsidRPr="00486A64">
        <w:rPr>
          <w:sz w:val="26"/>
          <w:szCs w:val="26"/>
        </w:rPr>
        <w:t xml:space="preserve">By PGW’s own Petition and SBG’s Answer thereto, it appears PGW has taken </w:t>
      </w:r>
      <w:r w:rsidRPr="00486A64">
        <w:rPr>
          <w:i/>
          <w:sz w:val="26"/>
          <w:szCs w:val="26"/>
        </w:rPr>
        <w:t>no affirmative steps of any kind</w:t>
      </w:r>
      <w:r w:rsidRPr="00486A64">
        <w:rPr>
          <w:sz w:val="26"/>
          <w:szCs w:val="26"/>
        </w:rPr>
        <w:t xml:space="preserve"> to comply with our </w:t>
      </w:r>
      <w:r w:rsidRPr="00486A64">
        <w:rPr>
          <w:i/>
          <w:sz w:val="26"/>
          <w:szCs w:val="26"/>
        </w:rPr>
        <w:t>December 2016 Order</w:t>
      </w:r>
      <w:r w:rsidR="009D1A78" w:rsidRPr="00486A64">
        <w:rPr>
          <w:i/>
          <w:sz w:val="26"/>
          <w:szCs w:val="26"/>
        </w:rPr>
        <w:t xml:space="preserve">, September 2018 </w:t>
      </w:r>
      <w:r w:rsidR="0060125D" w:rsidRPr="00486A64">
        <w:rPr>
          <w:i/>
          <w:sz w:val="26"/>
          <w:szCs w:val="26"/>
        </w:rPr>
        <w:t>O</w:t>
      </w:r>
      <w:r w:rsidR="009D1A78" w:rsidRPr="00486A64">
        <w:rPr>
          <w:i/>
          <w:sz w:val="26"/>
          <w:szCs w:val="26"/>
        </w:rPr>
        <w:t>rder, and October 2018 Order</w:t>
      </w:r>
      <w:r w:rsidRPr="00486A64">
        <w:rPr>
          <w:sz w:val="26"/>
          <w:szCs w:val="26"/>
        </w:rPr>
        <w:t xml:space="preserve">.  Petition at </w:t>
      </w:r>
      <w:r w:rsidRPr="00486A64">
        <w:rPr>
          <w:i/>
          <w:sz w:val="26"/>
          <w:szCs w:val="26"/>
        </w:rPr>
        <w:t>passim</w:t>
      </w:r>
      <w:r w:rsidRPr="00486A64">
        <w:rPr>
          <w:sz w:val="26"/>
          <w:szCs w:val="26"/>
        </w:rPr>
        <w:t xml:space="preserve">, </w:t>
      </w:r>
      <w:r w:rsidR="009D1A78" w:rsidRPr="00486A64">
        <w:rPr>
          <w:sz w:val="26"/>
          <w:szCs w:val="26"/>
        </w:rPr>
        <w:t xml:space="preserve">SBG October </w:t>
      </w:r>
      <w:r w:rsidRPr="00486A64">
        <w:rPr>
          <w:sz w:val="26"/>
          <w:szCs w:val="26"/>
        </w:rPr>
        <w:t xml:space="preserve">Answer at 12, 19 (after years of litigation and three final Opinions and Orders by the Commission, PGW has not taken any corrective action to adjust its billing practices and has issued no refunds to SBG Complainants).  In this regard, granting a stay in the </w:t>
      </w:r>
      <w:r w:rsidRPr="00486A64">
        <w:rPr>
          <w:sz w:val="26"/>
          <w:szCs w:val="26"/>
        </w:rPr>
        <w:lastRenderedPageBreak/>
        <w:t>present circumstances would harm the public interest.  Therefore, we conclude that PGW fails to show that a stay will not harm the public interest.</w:t>
      </w:r>
    </w:p>
    <w:p w14:paraId="3CBFEACD" w14:textId="77777777" w:rsidR="00D645D6" w:rsidRPr="00486A64" w:rsidRDefault="00D645D6" w:rsidP="00D645D6">
      <w:pPr>
        <w:adjustRightInd w:val="0"/>
        <w:ind w:firstLine="0"/>
        <w:rPr>
          <w:sz w:val="26"/>
          <w:szCs w:val="26"/>
        </w:rPr>
      </w:pPr>
    </w:p>
    <w:p w14:paraId="299F8B2C" w14:textId="5EC6CFD2" w:rsidR="00D645D6" w:rsidRPr="00486A64" w:rsidRDefault="00D645D6" w:rsidP="00D645D6">
      <w:pPr>
        <w:adjustRightInd w:val="0"/>
        <w:rPr>
          <w:sz w:val="26"/>
          <w:szCs w:val="26"/>
        </w:rPr>
      </w:pPr>
      <w:r w:rsidRPr="00486A64">
        <w:rPr>
          <w:sz w:val="26"/>
          <w:szCs w:val="26"/>
        </w:rPr>
        <w:t xml:space="preserve">Based on the applicable law, the allegations of the Petition, and the Answer thereto, we conclude that the Petitioner has failed to satisfy the standards enumerated under </w:t>
      </w:r>
      <w:r w:rsidRPr="00486A64">
        <w:rPr>
          <w:i/>
          <w:sz w:val="26"/>
          <w:szCs w:val="26"/>
        </w:rPr>
        <w:t xml:space="preserve">Process Gas </w:t>
      </w:r>
      <w:r w:rsidRPr="00486A64">
        <w:rPr>
          <w:sz w:val="26"/>
          <w:szCs w:val="26"/>
        </w:rPr>
        <w:t xml:space="preserve">to support the issuance of a stay in this proceeding.  Further, given PGW’s failure to act in compliance with our </w:t>
      </w:r>
      <w:r w:rsidR="009D1A78" w:rsidRPr="00486A64">
        <w:rPr>
          <w:sz w:val="26"/>
          <w:szCs w:val="26"/>
        </w:rPr>
        <w:t xml:space="preserve">prior </w:t>
      </w:r>
      <w:r w:rsidR="009D1A78" w:rsidRPr="00486A64">
        <w:rPr>
          <w:i/>
          <w:sz w:val="26"/>
          <w:szCs w:val="26"/>
        </w:rPr>
        <w:t>Commission Orders</w:t>
      </w:r>
      <w:r w:rsidRPr="00486A64">
        <w:rPr>
          <w:i/>
          <w:sz w:val="26"/>
          <w:szCs w:val="26"/>
        </w:rPr>
        <w:t xml:space="preserve">, </w:t>
      </w:r>
      <w:r w:rsidRPr="00486A64">
        <w:rPr>
          <w:sz w:val="26"/>
          <w:szCs w:val="26"/>
        </w:rPr>
        <w:t>we shall direct that a copy of this Opinion and Order be served upon the Commission Bureau of Investigation and Enforcement (BI&amp;E)</w:t>
      </w:r>
      <w:bookmarkStart w:id="2" w:name="_Hlk4488865"/>
      <w:r w:rsidRPr="00486A64">
        <w:rPr>
          <w:sz w:val="26"/>
          <w:szCs w:val="26"/>
        </w:rPr>
        <w:t>, for such enforcement action as deemed necessary</w:t>
      </w:r>
      <w:bookmarkEnd w:id="2"/>
      <w:r w:rsidRPr="00486A64">
        <w:rPr>
          <w:sz w:val="26"/>
          <w:szCs w:val="26"/>
        </w:rPr>
        <w:t>.</w:t>
      </w:r>
    </w:p>
    <w:p w14:paraId="68AAE283" w14:textId="77777777" w:rsidR="00D645D6" w:rsidRPr="00486A64" w:rsidRDefault="00D645D6" w:rsidP="00D645D6">
      <w:pPr>
        <w:rPr>
          <w:sz w:val="26"/>
          <w:szCs w:val="26"/>
        </w:rPr>
      </w:pPr>
    </w:p>
    <w:p w14:paraId="7EC09906" w14:textId="77777777" w:rsidR="00D645D6" w:rsidRPr="00486A64" w:rsidRDefault="00D645D6" w:rsidP="00D645D6">
      <w:pPr>
        <w:pStyle w:val="ListParagraph"/>
        <w:keepNext/>
        <w:keepLines/>
        <w:ind w:left="576" w:hanging="576"/>
        <w:jc w:val="center"/>
        <w:rPr>
          <w:b/>
          <w:sz w:val="26"/>
          <w:szCs w:val="26"/>
        </w:rPr>
      </w:pPr>
      <w:r w:rsidRPr="00486A64">
        <w:rPr>
          <w:b/>
          <w:sz w:val="26"/>
          <w:szCs w:val="26"/>
        </w:rPr>
        <w:t>IV.</w:t>
      </w:r>
      <w:r w:rsidRPr="00486A64">
        <w:rPr>
          <w:b/>
          <w:sz w:val="26"/>
          <w:szCs w:val="26"/>
        </w:rPr>
        <w:tab/>
        <w:t>Conclusion</w:t>
      </w:r>
    </w:p>
    <w:p w14:paraId="3DBB686D" w14:textId="77777777" w:rsidR="00D645D6" w:rsidRPr="00486A64" w:rsidRDefault="00D645D6" w:rsidP="00D645D6">
      <w:pPr>
        <w:keepNext/>
        <w:keepLines/>
        <w:ind w:firstLine="0"/>
        <w:jc w:val="center"/>
        <w:rPr>
          <w:sz w:val="26"/>
          <w:szCs w:val="26"/>
        </w:rPr>
      </w:pPr>
    </w:p>
    <w:p w14:paraId="59A1F124" w14:textId="77777777" w:rsidR="00D645D6" w:rsidRPr="00486A64" w:rsidRDefault="00D645D6" w:rsidP="00D645D6">
      <w:pPr>
        <w:keepNext/>
        <w:keepLines/>
        <w:rPr>
          <w:b/>
          <w:sz w:val="26"/>
          <w:szCs w:val="26"/>
        </w:rPr>
      </w:pPr>
      <w:r w:rsidRPr="00486A64">
        <w:rPr>
          <w:sz w:val="26"/>
          <w:szCs w:val="26"/>
        </w:rPr>
        <w:t xml:space="preserve">Based upon the foregoing discussion, we shall deny PGW’s Petition for Stay; </w:t>
      </w:r>
      <w:r w:rsidRPr="00486A64">
        <w:rPr>
          <w:b/>
          <w:sz w:val="26"/>
          <w:szCs w:val="26"/>
        </w:rPr>
        <w:t>THEREFORE,</w:t>
      </w:r>
    </w:p>
    <w:p w14:paraId="34ACE039" w14:textId="77777777" w:rsidR="00D645D6" w:rsidRPr="00486A64" w:rsidRDefault="00D645D6" w:rsidP="00D645D6">
      <w:pPr>
        <w:rPr>
          <w:sz w:val="26"/>
          <w:szCs w:val="26"/>
        </w:rPr>
      </w:pPr>
    </w:p>
    <w:p w14:paraId="6722C4FE" w14:textId="77777777" w:rsidR="00D645D6" w:rsidRPr="00486A64" w:rsidRDefault="00D645D6" w:rsidP="00D645D6">
      <w:pPr>
        <w:ind w:firstLine="720"/>
        <w:outlineLvl w:val="0"/>
        <w:rPr>
          <w:b/>
          <w:sz w:val="26"/>
          <w:szCs w:val="26"/>
        </w:rPr>
      </w:pPr>
      <w:r w:rsidRPr="00486A64">
        <w:rPr>
          <w:b/>
          <w:sz w:val="26"/>
          <w:szCs w:val="26"/>
        </w:rPr>
        <w:t>IT IS ORDERED:</w:t>
      </w:r>
    </w:p>
    <w:p w14:paraId="3BEC3FC1" w14:textId="77777777" w:rsidR="00D645D6" w:rsidRPr="00486A64" w:rsidRDefault="00D645D6" w:rsidP="00D645D6">
      <w:pPr>
        <w:ind w:firstLine="720"/>
        <w:outlineLvl w:val="0"/>
        <w:rPr>
          <w:b/>
          <w:sz w:val="26"/>
          <w:szCs w:val="26"/>
        </w:rPr>
      </w:pPr>
    </w:p>
    <w:p w14:paraId="7156B623" w14:textId="4B6EEA0E" w:rsidR="00D645D6" w:rsidRPr="00486A64" w:rsidRDefault="00D645D6" w:rsidP="00D645D6">
      <w:pPr>
        <w:pStyle w:val="ListParagraph"/>
        <w:numPr>
          <w:ilvl w:val="0"/>
          <w:numId w:val="2"/>
        </w:numPr>
        <w:ind w:left="90" w:firstLine="1350"/>
        <w:outlineLvl w:val="0"/>
        <w:rPr>
          <w:sz w:val="26"/>
          <w:szCs w:val="26"/>
        </w:rPr>
      </w:pPr>
      <w:r w:rsidRPr="00486A64">
        <w:rPr>
          <w:sz w:val="26"/>
          <w:szCs w:val="26"/>
        </w:rPr>
        <w:t xml:space="preserve">That the Petition for Stay filed by Philadelphia Gas Works, Inc., on </w:t>
      </w:r>
      <w:r w:rsidR="009D1A78" w:rsidRPr="00486A64">
        <w:rPr>
          <w:sz w:val="26"/>
          <w:szCs w:val="26"/>
        </w:rPr>
        <w:t>October 19, 2018</w:t>
      </w:r>
      <w:r w:rsidRPr="00486A64">
        <w:rPr>
          <w:sz w:val="26"/>
          <w:szCs w:val="26"/>
        </w:rPr>
        <w:t>, is denied, consistent with this Opinion and Order.</w:t>
      </w:r>
    </w:p>
    <w:p w14:paraId="2696538E" w14:textId="77777777" w:rsidR="00D645D6" w:rsidRPr="00486A64" w:rsidRDefault="00D645D6" w:rsidP="00D645D6">
      <w:pPr>
        <w:outlineLvl w:val="0"/>
        <w:rPr>
          <w:sz w:val="26"/>
          <w:szCs w:val="26"/>
        </w:rPr>
      </w:pPr>
    </w:p>
    <w:p w14:paraId="7010255B" w14:textId="34BBDC13" w:rsidR="00D645D6" w:rsidRPr="00486A64" w:rsidRDefault="00D645D6" w:rsidP="00D645D6">
      <w:pPr>
        <w:pStyle w:val="ListParagraph"/>
        <w:numPr>
          <w:ilvl w:val="0"/>
          <w:numId w:val="2"/>
        </w:numPr>
        <w:ind w:left="0" w:firstLine="1440"/>
        <w:rPr>
          <w:sz w:val="26"/>
          <w:szCs w:val="26"/>
        </w:rPr>
      </w:pPr>
      <w:r w:rsidRPr="00486A64">
        <w:rPr>
          <w:sz w:val="26"/>
          <w:szCs w:val="26"/>
        </w:rPr>
        <w:t xml:space="preserve">That Philadelphia Gas Works shall comply with the Pennsylvania Public Utility Commission’s Opinions and Order entered on </w:t>
      </w:r>
      <w:r w:rsidR="009D1A78" w:rsidRPr="00486A64">
        <w:rPr>
          <w:sz w:val="26"/>
          <w:szCs w:val="26"/>
        </w:rPr>
        <w:t xml:space="preserve">September </w:t>
      </w:r>
      <w:r w:rsidR="003C4433" w:rsidRPr="00486A64">
        <w:rPr>
          <w:sz w:val="26"/>
          <w:szCs w:val="26"/>
        </w:rPr>
        <w:t>20</w:t>
      </w:r>
      <w:r w:rsidR="00153E28" w:rsidRPr="00486A64">
        <w:rPr>
          <w:sz w:val="26"/>
          <w:szCs w:val="26"/>
        </w:rPr>
        <w:t xml:space="preserve">, </w:t>
      </w:r>
      <w:r w:rsidR="009D1A78" w:rsidRPr="00486A64">
        <w:rPr>
          <w:sz w:val="26"/>
          <w:szCs w:val="26"/>
        </w:rPr>
        <w:t>2018</w:t>
      </w:r>
      <w:r w:rsidR="00153E28" w:rsidRPr="00486A64">
        <w:rPr>
          <w:sz w:val="26"/>
          <w:szCs w:val="26"/>
        </w:rPr>
        <w:t>,</w:t>
      </w:r>
      <w:r w:rsidR="009D1A78" w:rsidRPr="00486A64">
        <w:rPr>
          <w:i/>
          <w:sz w:val="26"/>
          <w:szCs w:val="26"/>
        </w:rPr>
        <w:t xml:space="preserve"> </w:t>
      </w:r>
      <w:r w:rsidR="009D1A78" w:rsidRPr="00486A64">
        <w:rPr>
          <w:sz w:val="26"/>
          <w:szCs w:val="26"/>
        </w:rPr>
        <w:t xml:space="preserve"> regarding the consolidated proceedings</w:t>
      </w:r>
      <w:r w:rsidR="003C4433" w:rsidRPr="00486A64">
        <w:rPr>
          <w:sz w:val="26"/>
          <w:szCs w:val="26"/>
        </w:rPr>
        <w:t>:</w:t>
      </w:r>
      <w:r w:rsidR="009D1A78" w:rsidRPr="00486A64">
        <w:rPr>
          <w:sz w:val="26"/>
          <w:szCs w:val="26"/>
        </w:rPr>
        <w:t xml:space="preserve"> </w:t>
      </w:r>
      <w:r w:rsidR="009D1A78" w:rsidRPr="00486A64">
        <w:rPr>
          <w:i/>
          <w:sz w:val="26"/>
          <w:szCs w:val="26"/>
        </w:rPr>
        <w:t>SBG Management Services, Inc./Elrea Garden Realty Co, L.P. v. Philadelphia Gas Works</w:t>
      </w:r>
      <w:r w:rsidR="009D1A78" w:rsidRPr="00486A64">
        <w:rPr>
          <w:sz w:val="26"/>
          <w:szCs w:val="26"/>
        </w:rPr>
        <w:t xml:space="preserve">, Docket No. C-2012-2304167; </w:t>
      </w:r>
      <w:r w:rsidR="009D1A78" w:rsidRPr="00486A64">
        <w:rPr>
          <w:i/>
          <w:sz w:val="26"/>
          <w:szCs w:val="26"/>
        </w:rPr>
        <w:t>SBG Management Services, Inc./Fairmount Manor Realty Co., L.P. v Philadelphia Gas Works</w:t>
      </w:r>
      <w:r w:rsidR="009D1A78" w:rsidRPr="00486A64">
        <w:rPr>
          <w:sz w:val="26"/>
          <w:szCs w:val="26"/>
        </w:rPr>
        <w:t xml:space="preserve">, Docket No. C-2012-2304215; and, </w:t>
      </w:r>
      <w:r w:rsidR="009D1A78" w:rsidRPr="00486A64">
        <w:rPr>
          <w:i/>
          <w:sz w:val="26"/>
          <w:szCs w:val="26"/>
        </w:rPr>
        <w:t>SBG Management Services, Inc./Marshall Square Realty Co., L.P. v. Philadelphia Gas Works</w:t>
      </w:r>
      <w:r w:rsidR="009D1A78" w:rsidRPr="00486A64">
        <w:rPr>
          <w:sz w:val="26"/>
          <w:szCs w:val="26"/>
        </w:rPr>
        <w:t>, Docket No. C-20122304303.</w:t>
      </w:r>
    </w:p>
    <w:p w14:paraId="503365C6" w14:textId="77777777" w:rsidR="003C4433" w:rsidRPr="00486A64" w:rsidRDefault="003C4433" w:rsidP="003C4433">
      <w:pPr>
        <w:pStyle w:val="ListParagraph"/>
        <w:ind w:left="0"/>
        <w:rPr>
          <w:sz w:val="26"/>
          <w:szCs w:val="26"/>
        </w:rPr>
      </w:pPr>
    </w:p>
    <w:p w14:paraId="19EA0B5B" w14:textId="5AE59D78" w:rsidR="003C4433" w:rsidRPr="00486A64" w:rsidRDefault="003C4433" w:rsidP="003C4433">
      <w:pPr>
        <w:pStyle w:val="ListParagraph"/>
        <w:numPr>
          <w:ilvl w:val="0"/>
          <w:numId w:val="2"/>
        </w:numPr>
        <w:ind w:left="0" w:firstLine="1440"/>
        <w:rPr>
          <w:sz w:val="26"/>
          <w:szCs w:val="26"/>
        </w:rPr>
      </w:pPr>
      <w:r w:rsidRPr="00486A64">
        <w:rPr>
          <w:sz w:val="26"/>
          <w:szCs w:val="26"/>
        </w:rPr>
        <w:t>That Philadelphia Gas Works shall comply with the Pennsylvania Public Utility Commission’s Opinions and Order entered on</w:t>
      </w:r>
      <w:r w:rsidRPr="00486A64">
        <w:rPr>
          <w:i/>
          <w:noProof/>
          <w:sz w:val="26"/>
          <w:szCs w:val="26"/>
        </w:rPr>
        <w:t xml:space="preserve"> </w:t>
      </w:r>
      <w:r w:rsidRPr="00486A64">
        <w:rPr>
          <w:noProof/>
          <w:sz w:val="26"/>
          <w:szCs w:val="26"/>
        </w:rPr>
        <w:t>October 4, 2018, reg</w:t>
      </w:r>
      <w:r w:rsidR="0000778F">
        <w:rPr>
          <w:noProof/>
          <w:sz w:val="26"/>
          <w:szCs w:val="26"/>
        </w:rPr>
        <w:t>a</w:t>
      </w:r>
      <w:r w:rsidRPr="00486A64">
        <w:rPr>
          <w:noProof/>
          <w:sz w:val="26"/>
          <w:szCs w:val="26"/>
        </w:rPr>
        <w:t xml:space="preserve">rding the </w:t>
      </w:r>
      <w:r w:rsidRPr="00486A64">
        <w:rPr>
          <w:sz w:val="26"/>
          <w:szCs w:val="26"/>
        </w:rPr>
        <w:t xml:space="preserve">consolidated proceedings:  </w:t>
      </w:r>
      <w:r w:rsidRPr="00486A64">
        <w:rPr>
          <w:i/>
          <w:sz w:val="26"/>
          <w:szCs w:val="26"/>
        </w:rPr>
        <w:t>SBG Management Services, Inc./Marchwood Realty Co, L.P. v. Philadelphia Gas Works</w:t>
      </w:r>
      <w:r w:rsidRPr="00486A64">
        <w:rPr>
          <w:sz w:val="26"/>
          <w:szCs w:val="26"/>
        </w:rPr>
        <w:t xml:space="preserve">, Docket No. C-2012-2308454; </w:t>
      </w:r>
      <w:r w:rsidRPr="00486A64">
        <w:rPr>
          <w:i/>
          <w:sz w:val="26"/>
          <w:szCs w:val="26"/>
        </w:rPr>
        <w:t>SBG Management Services, Inc./Oak Lane Court Realty Co., L.P. v. Philadelphia Gas W</w:t>
      </w:r>
      <w:r w:rsidRPr="00486A64">
        <w:rPr>
          <w:sz w:val="26"/>
          <w:szCs w:val="26"/>
        </w:rPr>
        <w:t xml:space="preserve">orks, Docket No. C-2012-2308462; and, </w:t>
      </w:r>
      <w:r w:rsidRPr="00486A64">
        <w:rPr>
          <w:i/>
          <w:sz w:val="26"/>
          <w:szCs w:val="26"/>
        </w:rPr>
        <w:t xml:space="preserve">SBG Management Services, Inc./Fern Rock Realty Co., L.P. v. Philadelphia Gas Works, </w:t>
      </w:r>
      <w:r w:rsidRPr="00486A64">
        <w:rPr>
          <w:sz w:val="26"/>
          <w:szCs w:val="26"/>
        </w:rPr>
        <w:t>Docket No. C-2012-2308465.</w:t>
      </w:r>
    </w:p>
    <w:p w14:paraId="50778429" w14:textId="77777777" w:rsidR="003C4433" w:rsidRPr="00486A64" w:rsidRDefault="003C4433" w:rsidP="003C4433">
      <w:pPr>
        <w:pStyle w:val="ListParagraph"/>
        <w:rPr>
          <w:sz w:val="26"/>
          <w:szCs w:val="26"/>
        </w:rPr>
      </w:pPr>
    </w:p>
    <w:p w14:paraId="69AF4EC6" w14:textId="1C8A0B0E" w:rsidR="00D645D6" w:rsidRPr="00486A64" w:rsidRDefault="00D645D6" w:rsidP="003C4433">
      <w:pPr>
        <w:pStyle w:val="ListParagraph"/>
        <w:numPr>
          <w:ilvl w:val="0"/>
          <w:numId w:val="2"/>
        </w:numPr>
        <w:ind w:left="0" w:firstLine="1440"/>
        <w:rPr>
          <w:sz w:val="26"/>
          <w:szCs w:val="26"/>
        </w:rPr>
      </w:pPr>
      <w:r w:rsidRPr="00486A64">
        <w:rPr>
          <w:sz w:val="26"/>
          <w:szCs w:val="26"/>
        </w:rPr>
        <w:t>That a copy of this Opinion and Order shall be served upon the Commission’s Bureau of Investigation and Enforcement, for such enforcement action as deemed necessary.</w:t>
      </w:r>
    </w:p>
    <w:p w14:paraId="056DEE94" w14:textId="77777777" w:rsidR="00D645D6" w:rsidRPr="00486A64" w:rsidRDefault="00D645D6" w:rsidP="00D645D6">
      <w:pPr>
        <w:spacing w:line="240" w:lineRule="auto"/>
        <w:rPr>
          <w:sz w:val="26"/>
          <w:szCs w:val="26"/>
        </w:rPr>
      </w:pPr>
    </w:p>
    <w:p w14:paraId="656665C7" w14:textId="199ABB5C" w:rsidR="00D645D6" w:rsidRPr="00486A64" w:rsidRDefault="00ED61C1" w:rsidP="00D645D6">
      <w:pPr>
        <w:spacing w:line="240" w:lineRule="auto"/>
        <w:ind w:left="3600"/>
        <w:rPr>
          <w:b/>
          <w:sz w:val="26"/>
          <w:szCs w:val="26"/>
        </w:rPr>
      </w:pPr>
      <w:bookmarkStart w:id="3" w:name="_GoBack"/>
      <w:r w:rsidRPr="009F01BA">
        <w:rPr>
          <w:b/>
          <w:noProof/>
          <w:sz w:val="20"/>
          <w:szCs w:val="20"/>
        </w:rPr>
        <w:drawing>
          <wp:anchor distT="0" distB="0" distL="114300" distR="114300" simplePos="0" relativeHeight="251659264" behindDoc="1" locked="0" layoutInCell="1" allowOverlap="1" wp14:anchorId="7C37EB97" wp14:editId="2CE14528">
            <wp:simplePos x="0" y="0"/>
            <wp:positionH relativeFrom="column">
              <wp:posOffset>2952750</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D645D6" w:rsidRPr="00486A64">
        <w:rPr>
          <w:b/>
          <w:sz w:val="26"/>
          <w:szCs w:val="26"/>
        </w:rPr>
        <w:t>BY THE COMMISSION</w:t>
      </w:r>
    </w:p>
    <w:p w14:paraId="245B5E1C" w14:textId="62788ED8" w:rsidR="00D645D6" w:rsidRPr="00486A64" w:rsidRDefault="00D645D6" w:rsidP="00D645D6">
      <w:pPr>
        <w:spacing w:line="240" w:lineRule="auto"/>
        <w:rPr>
          <w:sz w:val="26"/>
          <w:szCs w:val="26"/>
        </w:rPr>
      </w:pPr>
    </w:p>
    <w:p w14:paraId="60361157" w14:textId="297C1E14" w:rsidR="00D645D6" w:rsidRPr="00486A64" w:rsidRDefault="00D645D6" w:rsidP="00ED61C1">
      <w:pPr>
        <w:spacing w:line="240" w:lineRule="auto"/>
        <w:jc w:val="center"/>
        <w:rPr>
          <w:sz w:val="26"/>
          <w:szCs w:val="26"/>
        </w:rPr>
      </w:pPr>
    </w:p>
    <w:p w14:paraId="15442727" w14:textId="77777777" w:rsidR="00D645D6" w:rsidRPr="00486A64" w:rsidRDefault="00D645D6" w:rsidP="00D645D6">
      <w:pPr>
        <w:spacing w:line="240" w:lineRule="auto"/>
        <w:rPr>
          <w:sz w:val="26"/>
          <w:szCs w:val="26"/>
        </w:rPr>
      </w:pPr>
    </w:p>
    <w:p w14:paraId="729EAFE6" w14:textId="77777777" w:rsidR="00D645D6" w:rsidRPr="00486A64" w:rsidRDefault="00D645D6" w:rsidP="00D645D6">
      <w:pPr>
        <w:tabs>
          <w:tab w:val="left" w:pos="8460"/>
        </w:tabs>
        <w:spacing w:line="240" w:lineRule="auto"/>
        <w:rPr>
          <w:sz w:val="26"/>
          <w:szCs w:val="26"/>
        </w:rPr>
      </w:pPr>
    </w:p>
    <w:p w14:paraId="4CCEF541" w14:textId="77777777" w:rsidR="00D645D6" w:rsidRPr="00486A64" w:rsidRDefault="00D645D6" w:rsidP="00D645D6">
      <w:pPr>
        <w:spacing w:line="240" w:lineRule="auto"/>
        <w:rPr>
          <w:sz w:val="26"/>
          <w:szCs w:val="26"/>
        </w:rPr>
      </w:pPr>
      <w:r w:rsidRPr="00486A64">
        <w:rPr>
          <w:b/>
          <w:sz w:val="26"/>
          <w:szCs w:val="26"/>
        </w:rPr>
        <w:tab/>
      </w:r>
      <w:r w:rsidRPr="00486A64">
        <w:rPr>
          <w:b/>
          <w:sz w:val="26"/>
          <w:szCs w:val="26"/>
        </w:rPr>
        <w:tab/>
      </w:r>
      <w:r w:rsidRPr="00486A64">
        <w:rPr>
          <w:b/>
          <w:sz w:val="26"/>
          <w:szCs w:val="26"/>
        </w:rPr>
        <w:tab/>
      </w:r>
      <w:r w:rsidRPr="00486A64">
        <w:rPr>
          <w:b/>
          <w:sz w:val="26"/>
          <w:szCs w:val="26"/>
        </w:rPr>
        <w:tab/>
      </w:r>
      <w:r w:rsidRPr="00486A64">
        <w:rPr>
          <w:b/>
          <w:sz w:val="26"/>
          <w:szCs w:val="26"/>
        </w:rPr>
        <w:tab/>
      </w:r>
      <w:r w:rsidRPr="00486A64">
        <w:rPr>
          <w:sz w:val="26"/>
          <w:szCs w:val="26"/>
        </w:rPr>
        <w:t>Rosemary Chiavetta</w:t>
      </w:r>
    </w:p>
    <w:p w14:paraId="3AA38B44" w14:textId="77777777" w:rsidR="00D645D6" w:rsidRPr="00486A64" w:rsidRDefault="00D645D6" w:rsidP="00D645D6">
      <w:pPr>
        <w:spacing w:line="240" w:lineRule="auto"/>
        <w:rPr>
          <w:sz w:val="26"/>
          <w:szCs w:val="26"/>
        </w:rPr>
      </w:pPr>
      <w:r w:rsidRPr="00486A64">
        <w:rPr>
          <w:sz w:val="26"/>
          <w:szCs w:val="26"/>
        </w:rPr>
        <w:tab/>
      </w:r>
      <w:r w:rsidRPr="00486A64">
        <w:rPr>
          <w:sz w:val="26"/>
          <w:szCs w:val="26"/>
        </w:rPr>
        <w:tab/>
      </w:r>
      <w:r w:rsidRPr="00486A64">
        <w:rPr>
          <w:sz w:val="26"/>
          <w:szCs w:val="26"/>
        </w:rPr>
        <w:tab/>
      </w:r>
      <w:r w:rsidRPr="00486A64">
        <w:rPr>
          <w:sz w:val="26"/>
          <w:szCs w:val="26"/>
        </w:rPr>
        <w:tab/>
      </w:r>
      <w:r w:rsidRPr="00486A64">
        <w:rPr>
          <w:sz w:val="26"/>
          <w:szCs w:val="26"/>
        </w:rPr>
        <w:tab/>
        <w:t>Secretary</w:t>
      </w:r>
    </w:p>
    <w:p w14:paraId="2F228293" w14:textId="77777777" w:rsidR="00D645D6" w:rsidRPr="00486A64" w:rsidRDefault="00D645D6" w:rsidP="00D645D6">
      <w:pPr>
        <w:spacing w:line="240" w:lineRule="auto"/>
        <w:rPr>
          <w:sz w:val="26"/>
          <w:szCs w:val="26"/>
        </w:rPr>
      </w:pPr>
    </w:p>
    <w:p w14:paraId="59F81732" w14:textId="77777777" w:rsidR="00D645D6" w:rsidRPr="00486A64" w:rsidRDefault="00D645D6" w:rsidP="00D645D6">
      <w:pPr>
        <w:widowControl w:val="0"/>
        <w:tabs>
          <w:tab w:val="left" w:pos="-720"/>
        </w:tabs>
        <w:spacing w:line="240" w:lineRule="auto"/>
        <w:ind w:firstLine="0"/>
        <w:rPr>
          <w:sz w:val="26"/>
          <w:szCs w:val="26"/>
        </w:rPr>
      </w:pPr>
      <w:r w:rsidRPr="00486A64">
        <w:rPr>
          <w:sz w:val="26"/>
          <w:szCs w:val="26"/>
        </w:rPr>
        <w:t>(SEAL)</w:t>
      </w:r>
    </w:p>
    <w:p w14:paraId="1D9EB22E" w14:textId="77777777" w:rsidR="00D645D6" w:rsidRPr="00486A64" w:rsidRDefault="00D645D6" w:rsidP="00D645D6">
      <w:pPr>
        <w:widowControl w:val="0"/>
        <w:spacing w:line="240" w:lineRule="auto"/>
        <w:ind w:firstLine="0"/>
        <w:rPr>
          <w:sz w:val="26"/>
          <w:szCs w:val="26"/>
        </w:rPr>
      </w:pPr>
    </w:p>
    <w:p w14:paraId="6C266075" w14:textId="63594BCC" w:rsidR="00D645D6" w:rsidRPr="00486A64" w:rsidRDefault="00D645D6" w:rsidP="00D645D6">
      <w:pPr>
        <w:widowControl w:val="0"/>
        <w:spacing w:line="240" w:lineRule="auto"/>
        <w:ind w:firstLine="0"/>
        <w:rPr>
          <w:sz w:val="26"/>
          <w:szCs w:val="26"/>
        </w:rPr>
      </w:pPr>
      <w:r w:rsidRPr="00486A64">
        <w:rPr>
          <w:sz w:val="26"/>
          <w:szCs w:val="26"/>
        </w:rPr>
        <w:t xml:space="preserve">ORDER ADOPTED:  </w:t>
      </w:r>
      <w:r w:rsidR="005E03FA" w:rsidRPr="00486A64">
        <w:rPr>
          <w:sz w:val="26"/>
          <w:szCs w:val="26"/>
        </w:rPr>
        <w:t>May 9</w:t>
      </w:r>
      <w:r w:rsidRPr="00486A64">
        <w:rPr>
          <w:sz w:val="26"/>
          <w:szCs w:val="26"/>
        </w:rPr>
        <w:t>, 2019</w:t>
      </w:r>
    </w:p>
    <w:p w14:paraId="174F48DD" w14:textId="77777777" w:rsidR="00D645D6" w:rsidRPr="00486A64" w:rsidRDefault="00D645D6" w:rsidP="00D645D6">
      <w:pPr>
        <w:widowControl w:val="0"/>
        <w:spacing w:line="240" w:lineRule="auto"/>
        <w:ind w:firstLine="0"/>
        <w:rPr>
          <w:sz w:val="26"/>
          <w:szCs w:val="26"/>
        </w:rPr>
      </w:pPr>
    </w:p>
    <w:p w14:paraId="62162FAF" w14:textId="0CE99DFC" w:rsidR="00D03728" w:rsidRPr="00486A64" w:rsidRDefault="00D645D6" w:rsidP="0000778F">
      <w:pPr>
        <w:widowControl w:val="0"/>
        <w:spacing w:line="240" w:lineRule="auto"/>
        <w:ind w:firstLine="0"/>
        <w:rPr>
          <w:sz w:val="26"/>
          <w:szCs w:val="26"/>
        </w:rPr>
      </w:pPr>
      <w:r w:rsidRPr="00486A64">
        <w:rPr>
          <w:sz w:val="26"/>
          <w:szCs w:val="26"/>
        </w:rPr>
        <w:t xml:space="preserve">ORDER ENTERED:  </w:t>
      </w:r>
      <w:r w:rsidR="00ED61C1">
        <w:rPr>
          <w:sz w:val="26"/>
          <w:szCs w:val="26"/>
        </w:rPr>
        <w:t>May 9, 2019</w:t>
      </w:r>
    </w:p>
    <w:sectPr w:rsidR="00D03728" w:rsidRPr="00486A64" w:rsidSect="000C0BE9">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BCB47" w14:textId="77777777" w:rsidR="00572A2E" w:rsidRDefault="00572A2E" w:rsidP="00F14E4C">
      <w:pPr>
        <w:spacing w:line="240" w:lineRule="auto"/>
      </w:pPr>
      <w:r>
        <w:separator/>
      </w:r>
    </w:p>
  </w:endnote>
  <w:endnote w:type="continuationSeparator" w:id="0">
    <w:p w14:paraId="49F9D324" w14:textId="77777777" w:rsidR="00572A2E" w:rsidRDefault="00572A2E"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596132"/>
      <w:docPartObj>
        <w:docPartGallery w:val="Page Numbers (Bottom of Page)"/>
        <w:docPartUnique/>
      </w:docPartObj>
    </w:sdtPr>
    <w:sdtEndPr>
      <w:rPr>
        <w:noProof/>
      </w:rPr>
    </w:sdtEndPr>
    <w:sdtContent>
      <w:p w14:paraId="3F5AC6B6" w14:textId="67F23745" w:rsidR="000C0BE9" w:rsidRDefault="000C0BE9" w:rsidP="000C0BE9">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1049CEBE" w14:textId="77777777" w:rsidR="000C0BE9" w:rsidRDefault="000C0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6977" w14:textId="77777777" w:rsidR="00572A2E" w:rsidRDefault="00572A2E" w:rsidP="00176E39">
      <w:pPr>
        <w:spacing w:line="240" w:lineRule="auto"/>
        <w:ind w:firstLine="0"/>
      </w:pPr>
      <w:r>
        <w:separator/>
      </w:r>
    </w:p>
  </w:footnote>
  <w:footnote w:type="continuationSeparator" w:id="0">
    <w:p w14:paraId="1CA0BD2B" w14:textId="77777777" w:rsidR="00572A2E" w:rsidRDefault="00572A2E" w:rsidP="00F14E4C">
      <w:pPr>
        <w:spacing w:line="240" w:lineRule="auto"/>
      </w:pPr>
      <w:r>
        <w:continuationSeparator/>
      </w:r>
    </w:p>
  </w:footnote>
  <w:footnote w:id="1">
    <w:p w14:paraId="09FCB20E" w14:textId="77777777" w:rsidR="000172EE" w:rsidRPr="00486A64" w:rsidRDefault="000172EE" w:rsidP="00D645D6">
      <w:pPr>
        <w:keepNext/>
        <w:keepLines/>
        <w:spacing w:after="120" w:line="240" w:lineRule="auto"/>
        <w:ind w:firstLine="720"/>
        <w:rPr>
          <w:sz w:val="26"/>
          <w:szCs w:val="26"/>
        </w:rPr>
      </w:pPr>
      <w:r w:rsidRPr="00486A64">
        <w:rPr>
          <w:rStyle w:val="FootnoteReference"/>
          <w:rFonts w:eastAsia="SimSun"/>
          <w:szCs w:val="26"/>
        </w:rPr>
        <w:footnoteRef/>
      </w:r>
      <w:r w:rsidRPr="00486A64">
        <w:rPr>
          <w:sz w:val="26"/>
          <w:szCs w:val="26"/>
        </w:rPr>
        <w:tab/>
        <w:t xml:space="preserve">PGW </w:t>
      </w:r>
      <w:r w:rsidRPr="00486A64">
        <w:rPr>
          <w:bCs/>
          <w:spacing w:val="-3"/>
          <w:sz w:val="26"/>
          <w:szCs w:val="26"/>
        </w:rPr>
        <w:t>is owned by the City of Philadelphia and is subject to Commission j</w:t>
      </w:r>
      <w:r w:rsidRPr="00486A64">
        <w:rPr>
          <w:sz w:val="26"/>
          <w:szCs w:val="26"/>
        </w:rPr>
        <w:t xml:space="preserve">urisdiction due to its classification as a “city natural gas distribution operation.”  </w:t>
      </w:r>
      <w:r w:rsidRPr="00486A64">
        <w:rPr>
          <w:i/>
          <w:sz w:val="26"/>
          <w:szCs w:val="26"/>
        </w:rPr>
        <w:t xml:space="preserve">See May 18 Order </w:t>
      </w:r>
      <w:r w:rsidRPr="00486A64">
        <w:rPr>
          <w:sz w:val="26"/>
          <w:szCs w:val="26"/>
        </w:rPr>
        <w:t>at 4-5, citing Section 2212(b) of the Public Utility Code (Code), 66 Pa. C.S. § 2212(b).</w:t>
      </w:r>
      <w:r w:rsidRPr="00486A64">
        <w:rPr>
          <w:bCs/>
          <w:spacing w:val="-3"/>
          <w:sz w:val="26"/>
          <w:szCs w:val="26"/>
        </w:rPr>
        <w:t xml:space="preserve">  As such, </w:t>
      </w:r>
      <w:r w:rsidRPr="00486A64">
        <w:rPr>
          <w:sz w:val="26"/>
          <w:szCs w:val="26"/>
        </w:rPr>
        <w:t xml:space="preserve">PGW is expressly entitled under the Code to avail itself of statutory rights pertaining to the collection of delinquent receivables, through the imposition of municipal liens.  </w:t>
      </w:r>
      <w:r w:rsidRPr="00486A64">
        <w:rPr>
          <w:i/>
          <w:sz w:val="26"/>
          <w:szCs w:val="26"/>
        </w:rPr>
        <w:t>Id.</w:t>
      </w:r>
    </w:p>
  </w:footnote>
  <w:footnote w:id="2">
    <w:p w14:paraId="3E476C13" w14:textId="77777777" w:rsidR="000172EE" w:rsidRPr="00486A64" w:rsidRDefault="000172EE" w:rsidP="00D645D6">
      <w:pPr>
        <w:keepNext/>
        <w:keepLines/>
        <w:spacing w:after="120" w:line="240" w:lineRule="auto"/>
        <w:ind w:firstLine="720"/>
        <w:rPr>
          <w:sz w:val="26"/>
          <w:szCs w:val="26"/>
        </w:rPr>
      </w:pPr>
      <w:r w:rsidRPr="00486A64">
        <w:rPr>
          <w:rStyle w:val="FootnoteReference"/>
          <w:rFonts w:eastAsia="SimSun"/>
          <w:szCs w:val="26"/>
        </w:rPr>
        <w:footnoteRef/>
      </w:r>
      <w:r w:rsidRPr="00486A64">
        <w:rPr>
          <w:sz w:val="26"/>
          <w:szCs w:val="26"/>
        </w:rPr>
        <w:tab/>
        <w:t xml:space="preserve">Although we find, </w:t>
      </w:r>
      <w:r w:rsidRPr="00486A64">
        <w:rPr>
          <w:i/>
          <w:sz w:val="26"/>
          <w:szCs w:val="26"/>
        </w:rPr>
        <w:t>infra</w:t>
      </w:r>
      <w:r w:rsidRPr="00486A64">
        <w:rPr>
          <w:sz w:val="26"/>
          <w:szCs w:val="26"/>
        </w:rPr>
        <w:t>, that PGW’s Petition for Stay was not timely filed pursuant to the Commission’s regulations at Section 5.572 (pertaining to Petitions for relief), we shall exercise our discretion to consider the Petition, pursuant to both the Commission’s regulations at Section 1. 2 (pertaining to liberal construction of regulations) and Rule 1701 of the Pennsylvania Rules of Appellate Procedure (pertaining to stay of agency orders on Petition for Review by the Commonwealth Court).  52 Pa Code § 1.2, and Pa. R.A.P. 1701.</w:t>
      </w:r>
    </w:p>
  </w:footnote>
  <w:footnote w:id="3">
    <w:p w14:paraId="50842663" w14:textId="09BD840C" w:rsidR="000172EE" w:rsidRPr="00486A64" w:rsidRDefault="000172EE" w:rsidP="00EB001E">
      <w:pPr>
        <w:pStyle w:val="FootnoteText"/>
        <w:spacing w:after="120" w:line="240" w:lineRule="auto"/>
        <w:ind w:left="0" w:firstLine="720"/>
        <w:rPr>
          <w:sz w:val="26"/>
          <w:szCs w:val="26"/>
        </w:rPr>
      </w:pPr>
      <w:r w:rsidRPr="00486A64">
        <w:rPr>
          <w:rStyle w:val="FootnoteReference"/>
          <w:szCs w:val="26"/>
        </w:rPr>
        <w:footnoteRef/>
      </w:r>
      <w:r w:rsidRPr="00486A64">
        <w:rPr>
          <w:sz w:val="26"/>
          <w:szCs w:val="26"/>
        </w:rPr>
        <w:tab/>
      </w:r>
      <w:r w:rsidRPr="00486A64">
        <w:rPr>
          <w:i/>
          <w:sz w:val="26"/>
          <w:szCs w:val="26"/>
        </w:rPr>
        <w:t>See</w:t>
      </w:r>
      <w:r w:rsidRPr="00486A64">
        <w:rPr>
          <w:sz w:val="26"/>
          <w:szCs w:val="26"/>
        </w:rPr>
        <w:t>, Commonwealth Court Docket Nos. 1404, 1405 C.D. 2018</w:t>
      </w:r>
      <w:r w:rsidR="00C07AB0">
        <w:rPr>
          <w:sz w:val="26"/>
          <w:szCs w:val="26"/>
        </w:rPr>
        <w:t>.</w:t>
      </w:r>
    </w:p>
  </w:footnote>
  <w:footnote w:id="4">
    <w:p w14:paraId="2DA79A79" w14:textId="56D804C9" w:rsidR="000172EE" w:rsidRPr="00486A64" w:rsidRDefault="000172EE" w:rsidP="00EB001E">
      <w:pPr>
        <w:pStyle w:val="FootnoteText"/>
        <w:spacing w:after="120" w:line="240" w:lineRule="auto"/>
        <w:ind w:left="0" w:firstLine="720"/>
        <w:rPr>
          <w:sz w:val="26"/>
          <w:szCs w:val="26"/>
        </w:rPr>
      </w:pPr>
      <w:r w:rsidRPr="00486A64">
        <w:rPr>
          <w:rStyle w:val="FootnoteReference"/>
          <w:szCs w:val="26"/>
        </w:rPr>
        <w:footnoteRef/>
      </w:r>
      <w:r w:rsidRPr="00486A64">
        <w:rPr>
          <w:sz w:val="26"/>
          <w:szCs w:val="26"/>
        </w:rPr>
        <w:tab/>
        <w:t>PGW’s request for stay also relates to PGW’s appeal of our prior Order entered December 8, 2016 (</w:t>
      </w:r>
      <w:r w:rsidRPr="00486A64">
        <w:rPr>
          <w:i/>
          <w:sz w:val="26"/>
          <w:szCs w:val="26"/>
        </w:rPr>
        <w:t>December 2016 Order</w:t>
      </w:r>
      <w:r w:rsidRPr="00486A64">
        <w:rPr>
          <w:sz w:val="26"/>
          <w:szCs w:val="26"/>
        </w:rPr>
        <w:t>), and denials of reconsideration of that Order on May 18, 2018 (</w:t>
      </w:r>
      <w:r w:rsidRPr="00486A64">
        <w:rPr>
          <w:i/>
          <w:sz w:val="26"/>
          <w:szCs w:val="26"/>
        </w:rPr>
        <w:t>May 2018 Order</w:t>
      </w:r>
      <w:r w:rsidRPr="00486A64">
        <w:rPr>
          <w:sz w:val="26"/>
          <w:szCs w:val="26"/>
        </w:rPr>
        <w:t>), and August 23, 2018 (</w:t>
      </w:r>
      <w:r w:rsidRPr="00486A64">
        <w:rPr>
          <w:i/>
          <w:sz w:val="26"/>
          <w:szCs w:val="26"/>
        </w:rPr>
        <w:t>August 2018 Order</w:t>
      </w:r>
      <w:r w:rsidRPr="00486A64">
        <w:rPr>
          <w:sz w:val="26"/>
          <w:szCs w:val="26"/>
        </w:rPr>
        <w:t>), (collectively, the “</w:t>
      </w:r>
      <w:r w:rsidRPr="00486A64">
        <w:rPr>
          <w:i/>
          <w:sz w:val="26"/>
          <w:szCs w:val="26"/>
        </w:rPr>
        <w:t>prior related</w:t>
      </w:r>
      <w:r w:rsidRPr="00486A64">
        <w:rPr>
          <w:sz w:val="26"/>
          <w:szCs w:val="26"/>
        </w:rPr>
        <w:t xml:space="preserve"> </w:t>
      </w:r>
      <w:r w:rsidRPr="00486A64">
        <w:rPr>
          <w:i/>
          <w:sz w:val="26"/>
          <w:szCs w:val="26"/>
        </w:rPr>
        <w:t>Commission Orders”</w:t>
      </w:r>
      <w:r w:rsidRPr="00486A64">
        <w:rPr>
          <w:sz w:val="26"/>
          <w:szCs w:val="26"/>
        </w:rPr>
        <w:t>) which</w:t>
      </w:r>
      <w:r w:rsidR="0062221D" w:rsidRPr="00486A64">
        <w:rPr>
          <w:sz w:val="26"/>
          <w:szCs w:val="26"/>
        </w:rPr>
        <w:t xml:space="preserve"> are</w:t>
      </w:r>
      <w:r w:rsidRPr="00486A64">
        <w:rPr>
          <w:sz w:val="26"/>
          <w:szCs w:val="26"/>
        </w:rPr>
        <w:t xml:space="preserve"> also currently pending review before Commonwealth Court.</w:t>
      </w:r>
      <w:r w:rsidRPr="00486A64">
        <w:rPr>
          <w:i/>
          <w:sz w:val="26"/>
          <w:szCs w:val="26"/>
        </w:rPr>
        <w:t xml:space="preserve"> See, </w:t>
      </w:r>
      <w:r w:rsidR="00486A64" w:rsidRPr="00486A64">
        <w:rPr>
          <w:i/>
          <w:sz w:val="26"/>
          <w:szCs w:val="26"/>
        </w:rPr>
        <w:t xml:space="preserve"> </w:t>
      </w:r>
      <w:r w:rsidRPr="00486A64">
        <w:rPr>
          <w:sz w:val="26"/>
          <w:szCs w:val="26"/>
        </w:rPr>
        <w:t xml:space="preserve">Commonwealth Court </w:t>
      </w:r>
      <w:r w:rsidR="00AE1ADA" w:rsidRPr="00486A64">
        <w:rPr>
          <w:sz w:val="26"/>
          <w:szCs w:val="26"/>
        </w:rPr>
        <w:t xml:space="preserve">Docket No. </w:t>
      </w:r>
      <w:r w:rsidRPr="00486A64">
        <w:rPr>
          <w:sz w:val="26"/>
          <w:szCs w:val="26"/>
        </w:rPr>
        <w:t>1291 C.D. 2018.</w:t>
      </w:r>
    </w:p>
  </w:footnote>
  <w:footnote w:id="5">
    <w:p w14:paraId="6837D60C" w14:textId="42490850" w:rsidR="000172EE" w:rsidRPr="00486A64" w:rsidRDefault="000172EE" w:rsidP="00EB001E">
      <w:pPr>
        <w:pStyle w:val="FootnoteText"/>
        <w:spacing w:after="120" w:line="240" w:lineRule="auto"/>
        <w:ind w:left="0" w:firstLine="720"/>
        <w:rPr>
          <w:sz w:val="26"/>
          <w:szCs w:val="26"/>
        </w:rPr>
      </w:pPr>
      <w:r w:rsidRPr="00486A64">
        <w:rPr>
          <w:rStyle w:val="FootnoteReference"/>
          <w:szCs w:val="26"/>
        </w:rPr>
        <w:footnoteRef/>
      </w:r>
      <w:r w:rsidRPr="00486A64">
        <w:rPr>
          <w:sz w:val="26"/>
          <w:szCs w:val="26"/>
        </w:rPr>
        <w:tab/>
        <w:t xml:space="preserve">The filing was returned by the Secretary’s Bureau </w:t>
      </w:r>
      <w:r w:rsidR="0062221D" w:rsidRPr="00486A64">
        <w:rPr>
          <w:sz w:val="26"/>
          <w:szCs w:val="26"/>
        </w:rPr>
        <w:t xml:space="preserve">for </w:t>
      </w:r>
      <w:r w:rsidR="00B60716" w:rsidRPr="00486A64">
        <w:rPr>
          <w:sz w:val="26"/>
          <w:szCs w:val="26"/>
        </w:rPr>
        <w:t>signature</w:t>
      </w:r>
      <w:r w:rsidR="0062221D" w:rsidRPr="00486A64">
        <w:rPr>
          <w:sz w:val="26"/>
          <w:szCs w:val="26"/>
        </w:rPr>
        <w:t xml:space="preserve"> </w:t>
      </w:r>
      <w:r w:rsidRPr="00486A64">
        <w:rPr>
          <w:sz w:val="26"/>
          <w:szCs w:val="26"/>
        </w:rPr>
        <w:t>and re</w:t>
      </w:r>
      <w:r w:rsidR="0062221D" w:rsidRPr="00486A64">
        <w:rPr>
          <w:sz w:val="26"/>
          <w:szCs w:val="26"/>
        </w:rPr>
        <w:t xml:space="preserve">filed </w:t>
      </w:r>
      <w:r w:rsidRPr="00486A64">
        <w:rPr>
          <w:sz w:val="26"/>
          <w:szCs w:val="26"/>
        </w:rPr>
        <w:t xml:space="preserve"> on November 29, 2018.</w:t>
      </w:r>
    </w:p>
  </w:footnote>
  <w:footnote w:id="6">
    <w:p w14:paraId="7720475A" w14:textId="475514E0" w:rsidR="000172EE" w:rsidRPr="00486A64" w:rsidRDefault="000172EE" w:rsidP="002A73E8">
      <w:pPr>
        <w:pStyle w:val="FootnoteText"/>
        <w:keepNext/>
        <w:keepLines/>
        <w:spacing w:after="120" w:line="240" w:lineRule="auto"/>
        <w:ind w:left="0" w:firstLine="720"/>
        <w:rPr>
          <w:sz w:val="26"/>
          <w:szCs w:val="26"/>
        </w:rPr>
      </w:pPr>
      <w:r w:rsidRPr="00486A64">
        <w:rPr>
          <w:rStyle w:val="FootnoteReference"/>
          <w:rFonts w:eastAsia="SimSun"/>
          <w:szCs w:val="26"/>
        </w:rPr>
        <w:footnoteRef/>
      </w:r>
      <w:r w:rsidRPr="00486A64">
        <w:rPr>
          <w:sz w:val="26"/>
          <w:szCs w:val="26"/>
        </w:rPr>
        <w:tab/>
        <w:t>Below are relevant background and portions of the History of the Proceeding</w:t>
      </w:r>
      <w:r w:rsidR="005B5C30" w:rsidRPr="00486A64">
        <w:rPr>
          <w:sz w:val="26"/>
          <w:szCs w:val="26"/>
        </w:rPr>
        <w:t xml:space="preserve"> which pertain to PGW’s Petition for Stay</w:t>
      </w:r>
      <w:r w:rsidRPr="00486A64">
        <w:rPr>
          <w:sz w:val="26"/>
          <w:szCs w:val="26"/>
        </w:rPr>
        <w:t xml:space="preserve">.  For a </w:t>
      </w:r>
      <w:r w:rsidR="0062221D" w:rsidRPr="00486A64">
        <w:rPr>
          <w:sz w:val="26"/>
          <w:szCs w:val="26"/>
        </w:rPr>
        <w:t xml:space="preserve">full </w:t>
      </w:r>
      <w:r w:rsidRPr="00486A64">
        <w:rPr>
          <w:sz w:val="26"/>
          <w:szCs w:val="26"/>
        </w:rPr>
        <w:t xml:space="preserve">background and a full summary of the proceedings </w:t>
      </w:r>
      <w:r w:rsidRPr="00486A64">
        <w:rPr>
          <w:i/>
          <w:sz w:val="26"/>
          <w:szCs w:val="26"/>
        </w:rPr>
        <w:t>see</w:t>
      </w:r>
      <w:r w:rsidRPr="00486A64">
        <w:rPr>
          <w:sz w:val="26"/>
          <w:szCs w:val="26"/>
        </w:rPr>
        <w:t xml:space="preserve"> our </w:t>
      </w:r>
      <w:r w:rsidR="005B5C30" w:rsidRPr="00486A64">
        <w:rPr>
          <w:i/>
          <w:sz w:val="26"/>
          <w:szCs w:val="26"/>
        </w:rPr>
        <w:t>September 2018 Order</w:t>
      </w:r>
      <w:r w:rsidR="005B5C30" w:rsidRPr="00486A64">
        <w:rPr>
          <w:sz w:val="26"/>
          <w:szCs w:val="26"/>
        </w:rPr>
        <w:t xml:space="preserve"> at 4-9, and </w:t>
      </w:r>
      <w:r w:rsidR="005B5C30" w:rsidRPr="00486A64">
        <w:rPr>
          <w:i/>
          <w:sz w:val="26"/>
          <w:szCs w:val="26"/>
        </w:rPr>
        <w:t>October 2018 Order</w:t>
      </w:r>
      <w:r w:rsidR="005B5C30" w:rsidRPr="00486A64">
        <w:rPr>
          <w:sz w:val="26"/>
          <w:szCs w:val="26"/>
        </w:rPr>
        <w:t xml:space="preserve"> at 3-9.</w:t>
      </w:r>
    </w:p>
  </w:footnote>
  <w:footnote w:id="7">
    <w:p w14:paraId="4C6EAA5B" w14:textId="003A7055" w:rsidR="000172EE" w:rsidRPr="00486A64" w:rsidRDefault="000172EE" w:rsidP="002A73E8">
      <w:pPr>
        <w:pStyle w:val="FootnoteText"/>
        <w:ind w:left="0" w:firstLine="720"/>
        <w:rPr>
          <w:sz w:val="26"/>
          <w:szCs w:val="26"/>
        </w:rPr>
      </w:pPr>
      <w:r w:rsidRPr="00486A64">
        <w:rPr>
          <w:rStyle w:val="FootnoteReference"/>
          <w:szCs w:val="26"/>
        </w:rPr>
        <w:footnoteRef/>
      </w:r>
      <w:r w:rsidR="0044597B" w:rsidRPr="00486A64">
        <w:rPr>
          <w:sz w:val="26"/>
          <w:szCs w:val="26"/>
        </w:rPr>
        <w:tab/>
        <w:t xml:space="preserve">See, </w:t>
      </w:r>
      <w:r w:rsidR="0044597B" w:rsidRPr="00486A64">
        <w:rPr>
          <w:i/>
          <w:sz w:val="26"/>
          <w:szCs w:val="26"/>
        </w:rPr>
        <w:t>September 2018 Order</w:t>
      </w:r>
      <w:r w:rsidR="0044597B" w:rsidRPr="00486A64">
        <w:rPr>
          <w:sz w:val="26"/>
          <w:szCs w:val="26"/>
        </w:rPr>
        <w:t xml:space="preserve"> at 35-39, and, </w:t>
      </w:r>
      <w:r w:rsidR="0044597B" w:rsidRPr="00486A64">
        <w:rPr>
          <w:i/>
          <w:sz w:val="26"/>
          <w:szCs w:val="26"/>
        </w:rPr>
        <w:t>October 2018 Order</w:t>
      </w:r>
      <w:r w:rsidR="0044597B" w:rsidRPr="00486A64">
        <w:rPr>
          <w:sz w:val="26"/>
          <w:szCs w:val="26"/>
        </w:rPr>
        <w:t xml:space="preserve"> at 19-22.</w:t>
      </w:r>
    </w:p>
  </w:footnote>
  <w:footnote w:id="8">
    <w:p w14:paraId="2C5E3E4F" w14:textId="02921CC7" w:rsidR="000172EE" w:rsidRPr="00486A64" w:rsidRDefault="000172EE" w:rsidP="00D241FF">
      <w:pPr>
        <w:pStyle w:val="FootnoteText"/>
        <w:keepNext/>
        <w:keepLines/>
        <w:spacing w:after="120" w:line="240" w:lineRule="auto"/>
        <w:ind w:left="0" w:firstLine="720"/>
        <w:rPr>
          <w:sz w:val="26"/>
          <w:szCs w:val="26"/>
        </w:rPr>
      </w:pPr>
      <w:r w:rsidRPr="00486A64">
        <w:rPr>
          <w:rStyle w:val="FootnoteReference"/>
          <w:rFonts w:eastAsia="SimSun"/>
          <w:szCs w:val="26"/>
        </w:rPr>
        <w:footnoteRef/>
      </w:r>
      <w:r w:rsidRPr="00486A64">
        <w:rPr>
          <w:sz w:val="26"/>
          <w:szCs w:val="26"/>
        </w:rPr>
        <w:tab/>
        <w:t>SBG, as the designated real estate management agent for the property owners, was authorized to prosecute the Complaints.  The Complainants are owners of multi-unit, garden-style apartment complexes located in the City of Philadelphia that receive natural gas service from PGW.</w:t>
      </w:r>
    </w:p>
  </w:footnote>
  <w:footnote w:id="9">
    <w:p w14:paraId="368924DB" w14:textId="2CC15F7D" w:rsidR="000172EE" w:rsidRPr="00486A64" w:rsidRDefault="000172EE" w:rsidP="00D645D6">
      <w:pPr>
        <w:keepNext/>
        <w:keepLines/>
        <w:autoSpaceDE w:val="0"/>
        <w:autoSpaceDN w:val="0"/>
        <w:spacing w:after="120" w:line="240" w:lineRule="auto"/>
        <w:ind w:firstLine="720"/>
        <w:rPr>
          <w:sz w:val="26"/>
          <w:szCs w:val="26"/>
        </w:rPr>
      </w:pPr>
      <w:r w:rsidRPr="00486A64">
        <w:rPr>
          <w:rStyle w:val="FootnoteReference"/>
          <w:rFonts w:eastAsia="SimSun"/>
          <w:szCs w:val="26"/>
        </w:rPr>
        <w:footnoteRef/>
      </w:r>
      <w:r w:rsidRPr="00486A64">
        <w:rPr>
          <w:sz w:val="26"/>
          <w:szCs w:val="26"/>
        </w:rPr>
        <w:tab/>
        <w:t xml:space="preserve">The </w:t>
      </w:r>
      <w:r w:rsidR="00480003" w:rsidRPr="00486A64">
        <w:rPr>
          <w:sz w:val="26"/>
          <w:szCs w:val="26"/>
        </w:rPr>
        <w:t xml:space="preserve">parties agreed that the </w:t>
      </w:r>
      <w:r w:rsidRPr="00486A64">
        <w:rPr>
          <w:sz w:val="26"/>
          <w:szCs w:val="26"/>
        </w:rPr>
        <w:t xml:space="preserve">Complaints </w:t>
      </w:r>
      <w:r w:rsidR="00480003" w:rsidRPr="00486A64">
        <w:rPr>
          <w:sz w:val="26"/>
          <w:szCs w:val="26"/>
        </w:rPr>
        <w:t>prosecuted by SBG against PGW shared common parties, common questions of law and material facts</w:t>
      </w:r>
      <w:r w:rsidR="005E3E58" w:rsidRPr="00486A64">
        <w:rPr>
          <w:sz w:val="26"/>
          <w:szCs w:val="26"/>
        </w:rPr>
        <w:t>.  Further</w:t>
      </w:r>
      <w:r w:rsidR="00153E28" w:rsidRPr="00486A64">
        <w:rPr>
          <w:sz w:val="26"/>
          <w:szCs w:val="26"/>
        </w:rPr>
        <w:t xml:space="preserve">, </w:t>
      </w:r>
      <w:r w:rsidR="005E3E58" w:rsidRPr="00486A64">
        <w:rPr>
          <w:sz w:val="26"/>
          <w:szCs w:val="26"/>
        </w:rPr>
        <w:t>the parties</w:t>
      </w:r>
      <w:r w:rsidR="00480003" w:rsidRPr="00486A64">
        <w:rPr>
          <w:sz w:val="26"/>
          <w:szCs w:val="26"/>
        </w:rPr>
        <w:t xml:space="preserve"> also agreed that the </w:t>
      </w:r>
      <w:r w:rsidR="005E3E58" w:rsidRPr="00486A64">
        <w:rPr>
          <w:sz w:val="26"/>
          <w:szCs w:val="26"/>
        </w:rPr>
        <w:t xml:space="preserve">complaints </w:t>
      </w:r>
      <w:r w:rsidR="00480003" w:rsidRPr="00486A64">
        <w:rPr>
          <w:sz w:val="26"/>
          <w:szCs w:val="26"/>
        </w:rPr>
        <w:t>be grouped and consolidated into separate dockets to facilitate an orderly adjudication and disposition by the presiding ALJ.</w:t>
      </w:r>
      <w:r w:rsidRPr="00486A64">
        <w:rPr>
          <w:sz w:val="26"/>
          <w:szCs w:val="26"/>
        </w:rPr>
        <w:t xml:space="preserve">  </w:t>
      </w:r>
      <w:r w:rsidRPr="00486A64">
        <w:rPr>
          <w:i/>
          <w:sz w:val="26"/>
          <w:szCs w:val="26"/>
        </w:rPr>
        <w:t>See</w:t>
      </w:r>
      <w:r w:rsidR="005E3E58" w:rsidRPr="00486A64">
        <w:rPr>
          <w:sz w:val="26"/>
          <w:szCs w:val="26"/>
        </w:rPr>
        <w:t xml:space="preserve">, </w:t>
      </w:r>
      <w:r w:rsidR="005E3E58" w:rsidRPr="00486A64">
        <w:rPr>
          <w:i/>
          <w:sz w:val="26"/>
          <w:szCs w:val="26"/>
        </w:rPr>
        <w:t>September 2018 Order</w:t>
      </w:r>
      <w:r w:rsidR="005E3E58" w:rsidRPr="00486A64">
        <w:rPr>
          <w:sz w:val="26"/>
          <w:szCs w:val="26"/>
        </w:rPr>
        <w:t xml:space="preserve"> at 2-4, and </w:t>
      </w:r>
      <w:r w:rsidR="005E3E58" w:rsidRPr="00486A64">
        <w:rPr>
          <w:i/>
          <w:sz w:val="26"/>
          <w:szCs w:val="26"/>
        </w:rPr>
        <w:t>October 2018 Order</w:t>
      </w:r>
      <w:r w:rsidR="005E3E58" w:rsidRPr="00486A64">
        <w:rPr>
          <w:sz w:val="26"/>
          <w:szCs w:val="26"/>
        </w:rPr>
        <w:t xml:space="preserve"> at 1-3, 10;</w:t>
      </w:r>
      <w:r w:rsidRPr="00486A64">
        <w:rPr>
          <w:sz w:val="26"/>
          <w:szCs w:val="26"/>
        </w:rPr>
        <w:t xml:space="preserve"> </w:t>
      </w:r>
      <w:r w:rsidRPr="00486A64">
        <w:rPr>
          <w:i/>
          <w:spacing w:val="-3"/>
          <w:sz w:val="26"/>
          <w:szCs w:val="26"/>
        </w:rPr>
        <w:t xml:space="preserve">See </w:t>
      </w:r>
      <w:r w:rsidR="00480003" w:rsidRPr="00486A64">
        <w:rPr>
          <w:i/>
          <w:spacing w:val="-3"/>
          <w:sz w:val="26"/>
          <w:szCs w:val="26"/>
        </w:rPr>
        <w:t>also</w:t>
      </w:r>
      <w:r w:rsidR="00480003" w:rsidRPr="00486A64">
        <w:rPr>
          <w:spacing w:val="-3"/>
          <w:sz w:val="26"/>
          <w:szCs w:val="26"/>
        </w:rPr>
        <w:t xml:space="preserve">, </w:t>
      </w:r>
      <w:r w:rsidRPr="00486A64">
        <w:rPr>
          <w:i/>
          <w:spacing w:val="-3"/>
          <w:sz w:val="26"/>
          <w:szCs w:val="26"/>
        </w:rPr>
        <w:t xml:space="preserve">December 2016 Order </w:t>
      </w:r>
      <w:r w:rsidRPr="00486A64">
        <w:rPr>
          <w:spacing w:val="-3"/>
          <w:sz w:val="26"/>
          <w:szCs w:val="26"/>
        </w:rPr>
        <w:t>at</w:t>
      </w:r>
      <w:r w:rsidR="00BC5728">
        <w:rPr>
          <w:spacing w:val="-3"/>
          <w:sz w:val="26"/>
          <w:szCs w:val="26"/>
        </w:rPr>
        <w:t> </w:t>
      </w:r>
      <w:r w:rsidRPr="00486A64">
        <w:rPr>
          <w:spacing w:val="-3"/>
          <w:sz w:val="26"/>
          <w:szCs w:val="26"/>
        </w:rPr>
        <w:t>1; 4-6.</w:t>
      </w:r>
    </w:p>
  </w:footnote>
  <w:footnote w:id="10">
    <w:p w14:paraId="2FDFAF9B" w14:textId="260EB583" w:rsidR="000172EE" w:rsidRPr="00486A64" w:rsidRDefault="000172EE" w:rsidP="000E682D">
      <w:pPr>
        <w:pStyle w:val="FootnoteText"/>
        <w:spacing w:line="240" w:lineRule="auto"/>
        <w:ind w:left="0"/>
        <w:rPr>
          <w:sz w:val="26"/>
          <w:szCs w:val="26"/>
        </w:rPr>
      </w:pPr>
      <w:r w:rsidRPr="00486A64">
        <w:rPr>
          <w:rStyle w:val="FootnoteReference"/>
          <w:szCs w:val="26"/>
        </w:rPr>
        <w:footnoteRef/>
      </w:r>
      <w:r w:rsidR="000E682D" w:rsidRPr="00486A64">
        <w:rPr>
          <w:sz w:val="26"/>
          <w:szCs w:val="26"/>
        </w:rPr>
        <w:tab/>
      </w:r>
      <w:r w:rsidRPr="00486A64">
        <w:rPr>
          <w:sz w:val="26"/>
          <w:szCs w:val="26"/>
        </w:rPr>
        <w:t xml:space="preserve">PGW’s Petition incorporates by reference the reasons stated in PGW’s prior Petition for Stay </w:t>
      </w:r>
      <w:r w:rsidR="005B5C30" w:rsidRPr="00486A64">
        <w:rPr>
          <w:sz w:val="26"/>
          <w:szCs w:val="26"/>
        </w:rPr>
        <w:t>filed on September 25, 2018 (</w:t>
      </w:r>
      <w:r w:rsidR="005B5C30" w:rsidRPr="00486A64">
        <w:rPr>
          <w:i/>
          <w:sz w:val="26"/>
          <w:szCs w:val="26"/>
        </w:rPr>
        <w:t>PGW September Petition</w:t>
      </w:r>
      <w:r w:rsidR="005B5C30" w:rsidRPr="00486A64">
        <w:rPr>
          <w:sz w:val="26"/>
          <w:szCs w:val="26"/>
        </w:rPr>
        <w:t xml:space="preserve">) </w:t>
      </w:r>
      <w:r w:rsidRPr="00486A64">
        <w:rPr>
          <w:sz w:val="26"/>
          <w:szCs w:val="26"/>
        </w:rPr>
        <w:t xml:space="preserve">regarding the </w:t>
      </w:r>
      <w:r w:rsidRPr="00486A64">
        <w:rPr>
          <w:i/>
          <w:sz w:val="26"/>
          <w:szCs w:val="26"/>
        </w:rPr>
        <w:t>prior related</w:t>
      </w:r>
      <w:r w:rsidRPr="00486A64">
        <w:rPr>
          <w:sz w:val="26"/>
          <w:szCs w:val="26"/>
        </w:rPr>
        <w:t xml:space="preserve"> </w:t>
      </w:r>
      <w:r w:rsidRPr="00486A64">
        <w:rPr>
          <w:i/>
          <w:sz w:val="26"/>
          <w:szCs w:val="26"/>
        </w:rPr>
        <w:t>Commission Orders</w:t>
      </w:r>
      <w:r w:rsidRPr="00486A64">
        <w:rPr>
          <w:sz w:val="26"/>
          <w:szCs w:val="26"/>
        </w:rPr>
        <w:t xml:space="preserve">, as discussed therein. </w:t>
      </w:r>
      <w:r w:rsidR="000E682D" w:rsidRPr="00486A64">
        <w:rPr>
          <w:sz w:val="26"/>
          <w:szCs w:val="26"/>
        </w:rPr>
        <w:t xml:space="preserve"> </w:t>
      </w:r>
      <w:r w:rsidRPr="00486A64">
        <w:rPr>
          <w:sz w:val="26"/>
          <w:szCs w:val="26"/>
        </w:rPr>
        <w:t>Petition at 4.</w:t>
      </w:r>
    </w:p>
  </w:footnote>
  <w:footnote w:id="11">
    <w:p w14:paraId="1E5A907F" w14:textId="1D5617CB" w:rsidR="000172EE" w:rsidRPr="00486A64" w:rsidRDefault="000172EE" w:rsidP="00EB001E">
      <w:pPr>
        <w:pStyle w:val="FootnoteText"/>
        <w:spacing w:line="240" w:lineRule="auto"/>
        <w:ind w:left="0" w:firstLine="720"/>
        <w:rPr>
          <w:sz w:val="26"/>
          <w:szCs w:val="26"/>
        </w:rPr>
      </w:pPr>
      <w:r w:rsidRPr="00486A64">
        <w:rPr>
          <w:rStyle w:val="FootnoteReference"/>
          <w:szCs w:val="26"/>
        </w:rPr>
        <w:footnoteRef/>
      </w:r>
      <w:r w:rsidR="000E682D" w:rsidRPr="00486A64">
        <w:rPr>
          <w:sz w:val="26"/>
          <w:szCs w:val="26"/>
        </w:rPr>
        <w:tab/>
      </w:r>
      <w:r w:rsidRPr="00486A64">
        <w:rPr>
          <w:sz w:val="26"/>
          <w:szCs w:val="26"/>
        </w:rPr>
        <w:t xml:space="preserve">SBG’s Answer incorporates by reference the reasons stated in SBG’s prior Answer filed on October 12, 2018, </w:t>
      </w:r>
      <w:r w:rsidR="005B5C30" w:rsidRPr="00486A64">
        <w:rPr>
          <w:i/>
          <w:sz w:val="26"/>
          <w:szCs w:val="26"/>
        </w:rPr>
        <w:t xml:space="preserve">(SBG October Answer), </w:t>
      </w:r>
      <w:r w:rsidRPr="00486A64">
        <w:rPr>
          <w:sz w:val="26"/>
          <w:szCs w:val="26"/>
        </w:rPr>
        <w:t xml:space="preserve">as discussed therein, in response to PGW’s Petition for Stay regarding the </w:t>
      </w:r>
      <w:r w:rsidRPr="00486A64">
        <w:rPr>
          <w:i/>
          <w:sz w:val="26"/>
          <w:szCs w:val="26"/>
        </w:rPr>
        <w:t>prior related</w:t>
      </w:r>
      <w:r w:rsidRPr="00486A64">
        <w:rPr>
          <w:sz w:val="26"/>
          <w:szCs w:val="26"/>
        </w:rPr>
        <w:t xml:space="preserve"> </w:t>
      </w:r>
      <w:r w:rsidRPr="00486A64">
        <w:rPr>
          <w:i/>
          <w:sz w:val="26"/>
          <w:szCs w:val="26"/>
        </w:rPr>
        <w:t>Commission Orders</w:t>
      </w:r>
      <w:r w:rsidRPr="00486A64">
        <w:rPr>
          <w:sz w:val="26"/>
          <w:szCs w:val="26"/>
        </w:rPr>
        <w:t xml:space="preserve">. </w:t>
      </w:r>
      <w:r w:rsidR="000E682D" w:rsidRPr="00486A64">
        <w:rPr>
          <w:sz w:val="26"/>
          <w:szCs w:val="26"/>
        </w:rPr>
        <w:t xml:space="preserve"> </w:t>
      </w:r>
      <w:r w:rsidRPr="00486A64">
        <w:rPr>
          <w:sz w:val="26"/>
          <w:szCs w:val="26"/>
        </w:rPr>
        <w:t>Answer at 1.</w:t>
      </w:r>
    </w:p>
  </w:footnote>
  <w:footnote w:id="12">
    <w:p w14:paraId="4544D047" w14:textId="01A48CC6" w:rsidR="000172EE" w:rsidRPr="00486A64" w:rsidRDefault="000172EE" w:rsidP="00D645D6">
      <w:pPr>
        <w:keepNext/>
        <w:keepLines/>
        <w:spacing w:after="120" w:line="240" w:lineRule="auto"/>
        <w:ind w:firstLine="720"/>
        <w:rPr>
          <w:sz w:val="26"/>
          <w:szCs w:val="26"/>
        </w:rPr>
      </w:pPr>
      <w:r w:rsidRPr="00486A64">
        <w:rPr>
          <w:rStyle w:val="FootnoteReference"/>
          <w:rFonts w:eastAsia="SimSun"/>
          <w:szCs w:val="26"/>
        </w:rPr>
        <w:footnoteRef/>
      </w:r>
      <w:r w:rsidRPr="00486A64">
        <w:rPr>
          <w:sz w:val="26"/>
          <w:szCs w:val="26"/>
        </w:rPr>
        <w:tab/>
        <w:t xml:space="preserve">Pursuant to Section 5.572(c) of our regulations, a party’s petition for relief from a final order of the Commission, including petitions for stay, must be filed within fifteen days of entry of the final order.  In the present case, our </w:t>
      </w:r>
      <w:r w:rsidRPr="00486A64">
        <w:rPr>
          <w:i/>
          <w:sz w:val="26"/>
          <w:szCs w:val="26"/>
        </w:rPr>
        <w:t>September</w:t>
      </w:r>
      <w:r w:rsidRPr="00486A64">
        <w:rPr>
          <w:sz w:val="26"/>
          <w:szCs w:val="26"/>
        </w:rPr>
        <w:t xml:space="preserve"> </w:t>
      </w:r>
      <w:r w:rsidRPr="00486A64">
        <w:rPr>
          <w:i/>
          <w:sz w:val="26"/>
          <w:szCs w:val="26"/>
        </w:rPr>
        <w:t>2018 Order</w:t>
      </w:r>
      <w:r w:rsidRPr="00486A64">
        <w:rPr>
          <w:sz w:val="26"/>
          <w:szCs w:val="26"/>
        </w:rPr>
        <w:t xml:space="preserve"> became final when </w:t>
      </w:r>
      <w:r w:rsidR="0046359F">
        <w:rPr>
          <w:sz w:val="26"/>
          <w:szCs w:val="26"/>
        </w:rPr>
        <w:t xml:space="preserve">it was </w:t>
      </w:r>
      <w:r w:rsidRPr="00486A64">
        <w:rPr>
          <w:sz w:val="26"/>
          <w:szCs w:val="26"/>
        </w:rPr>
        <w:t xml:space="preserve">entered on September 20, 2018.  </w:t>
      </w:r>
      <w:r w:rsidRPr="00486A64">
        <w:rPr>
          <w:i/>
          <w:sz w:val="26"/>
          <w:szCs w:val="26"/>
        </w:rPr>
        <w:t>See</w:t>
      </w:r>
      <w:r w:rsidRPr="00486A64">
        <w:rPr>
          <w:sz w:val="26"/>
          <w:szCs w:val="26"/>
        </w:rPr>
        <w:t xml:space="preserve">, 52 Pa. Code § 5.572(c).  Therefore, PGW’s Petition for Stay was due to be filed within fifteen days of the issuance, or by October 5, 2018 (fifteen days from September 20, 2018).  Since PGW filed its Petition for Stay on October 19, 2018, PGW’s Petition was not timely filed with respect to our </w:t>
      </w:r>
      <w:r w:rsidRPr="00486A64">
        <w:rPr>
          <w:i/>
          <w:sz w:val="26"/>
          <w:szCs w:val="26"/>
        </w:rPr>
        <w:t>September 2018 Order</w:t>
      </w:r>
      <w:r w:rsidRPr="00486A64">
        <w:rPr>
          <w:sz w:val="26"/>
          <w:szCs w:val="26"/>
        </w:rPr>
        <w:t>.</w:t>
      </w:r>
    </w:p>
  </w:footnote>
  <w:footnote w:id="13">
    <w:p w14:paraId="783AA1E2" w14:textId="0ADB78E0" w:rsidR="000172EE" w:rsidRPr="00486A64" w:rsidRDefault="000172EE" w:rsidP="00EB001E">
      <w:pPr>
        <w:pStyle w:val="FootnoteText"/>
        <w:spacing w:after="120" w:line="240" w:lineRule="auto"/>
        <w:ind w:left="0" w:firstLine="720"/>
        <w:rPr>
          <w:sz w:val="26"/>
          <w:szCs w:val="26"/>
        </w:rPr>
      </w:pPr>
      <w:r w:rsidRPr="00486A64">
        <w:rPr>
          <w:rStyle w:val="FootnoteReference"/>
          <w:szCs w:val="26"/>
        </w:rPr>
        <w:footnoteRef/>
      </w:r>
      <w:r w:rsidR="00852299" w:rsidRPr="00486A64">
        <w:rPr>
          <w:sz w:val="26"/>
          <w:szCs w:val="26"/>
        </w:rPr>
        <w:tab/>
      </w:r>
      <w:r w:rsidRPr="00486A64">
        <w:rPr>
          <w:sz w:val="26"/>
          <w:szCs w:val="26"/>
        </w:rPr>
        <w:t xml:space="preserve">As set forth in PGW’s Petition incorporating the content of PGW’s September Petition. </w:t>
      </w:r>
      <w:r w:rsidR="00852299" w:rsidRPr="00486A64">
        <w:rPr>
          <w:sz w:val="26"/>
          <w:szCs w:val="26"/>
        </w:rPr>
        <w:t xml:space="preserve"> </w:t>
      </w:r>
      <w:r w:rsidRPr="00486A64">
        <w:rPr>
          <w:sz w:val="26"/>
          <w:szCs w:val="26"/>
        </w:rPr>
        <w:t>Petition at 4.</w:t>
      </w:r>
    </w:p>
  </w:footnote>
  <w:footnote w:id="14">
    <w:p w14:paraId="2CE1AD87" w14:textId="2EF391D5" w:rsidR="000172EE" w:rsidRPr="00486A64" w:rsidRDefault="000172EE" w:rsidP="00852299">
      <w:pPr>
        <w:pStyle w:val="FootnoteText"/>
        <w:spacing w:line="240" w:lineRule="auto"/>
        <w:ind w:left="0" w:firstLine="720"/>
        <w:rPr>
          <w:sz w:val="26"/>
          <w:szCs w:val="26"/>
        </w:rPr>
      </w:pPr>
      <w:r w:rsidRPr="00486A64">
        <w:rPr>
          <w:rStyle w:val="FootnoteReference"/>
          <w:szCs w:val="26"/>
        </w:rPr>
        <w:footnoteRef/>
      </w:r>
      <w:r w:rsidR="00852299" w:rsidRPr="00486A64">
        <w:rPr>
          <w:sz w:val="26"/>
          <w:szCs w:val="26"/>
        </w:rPr>
        <w:tab/>
      </w:r>
      <w:r w:rsidRPr="00486A64">
        <w:rPr>
          <w:sz w:val="26"/>
          <w:szCs w:val="26"/>
        </w:rPr>
        <w:t xml:space="preserve">As set forth in SBG’s Answer incorporating the content of SBG’s October Answer. </w:t>
      </w:r>
      <w:r w:rsidR="00852299" w:rsidRPr="00486A64">
        <w:rPr>
          <w:sz w:val="26"/>
          <w:szCs w:val="26"/>
        </w:rPr>
        <w:t xml:space="preserve"> </w:t>
      </w:r>
      <w:r w:rsidRPr="00486A64">
        <w:rPr>
          <w:sz w:val="26"/>
          <w:szCs w:val="26"/>
        </w:rPr>
        <w:t>Answer at 1.</w:t>
      </w:r>
    </w:p>
  </w:footnote>
  <w:footnote w:id="15">
    <w:p w14:paraId="45D93CEA" w14:textId="77777777" w:rsidR="000172EE" w:rsidRPr="00486A64" w:rsidRDefault="000172EE" w:rsidP="00EB001E">
      <w:pPr>
        <w:pStyle w:val="FootnoteText"/>
        <w:keepNext/>
        <w:keepLines/>
        <w:spacing w:after="120" w:line="240" w:lineRule="auto"/>
        <w:ind w:left="0" w:firstLine="720"/>
        <w:rPr>
          <w:sz w:val="26"/>
          <w:szCs w:val="26"/>
        </w:rPr>
      </w:pPr>
      <w:r w:rsidRPr="00486A64">
        <w:rPr>
          <w:rStyle w:val="FootnoteReference"/>
          <w:rFonts w:eastAsia="SimSun"/>
          <w:szCs w:val="26"/>
        </w:rPr>
        <w:footnoteRef/>
      </w:r>
      <w:r w:rsidRPr="00486A64">
        <w:rPr>
          <w:sz w:val="26"/>
          <w:szCs w:val="26"/>
        </w:rPr>
        <w:tab/>
      </w:r>
      <w:r w:rsidRPr="00486A64">
        <w:rPr>
          <w:i/>
          <w:sz w:val="26"/>
          <w:szCs w:val="26"/>
        </w:rPr>
        <w:t>See, e.g., Duquesne Interruptible Complainants v. Duquesne Light Co.</w:t>
      </w:r>
      <w:r w:rsidRPr="00486A64">
        <w:rPr>
          <w:sz w:val="26"/>
          <w:szCs w:val="26"/>
        </w:rPr>
        <w:t xml:space="preserve">, Docket No. C-913424, (Order entered May 14, 1993) at 10 (citing </w:t>
      </w:r>
      <w:r w:rsidRPr="00486A64">
        <w:rPr>
          <w:i/>
          <w:sz w:val="26"/>
          <w:szCs w:val="26"/>
        </w:rPr>
        <w:t>Sameric Corporation v. Gross</w:t>
      </w:r>
      <w:r w:rsidRPr="00486A64">
        <w:rPr>
          <w:sz w:val="26"/>
          <w:szCs w:val="26"/>
        </w:rPr>
        <w:t xml:space="preserve">, 448 Pa. 497, 295 A.2d 277 (1972), </w:t>
      </w:r>
      <w:r w:rsidRPr="00486A64">
        <w:rPr>
          <w:i/>
          <w:sz w:val="26"/>
          <w:szCs w:val="26"/>
        </w:rPr>
        <w:t xml:space="preserve">Goadby v. Philadelphia Electric Co., </w:t>
      </w:r>
      <w:r w:rsidRPr="00486A64">
        <w:rPr>
          <w:sz w:val="26"/>
          <w:szCs w:val="26"/>
        </w:rPr>
        <w:t xml:space="preserve">639 F.2d 117 (3d Cir. 1981), and </w:t>
      </w:r>
      <w:r w:rsidRPr="00486A64">
        <w:rPr>
          <w:i/>
          <w:sz w:val="26"/>
          <w:szCs w:val="26"/>
        </w:rPr>
        <w:t>Virginia Jobbers Ass’n v. Federal Power Commission</w:t>
      </w:r>
      <w:r w:rsidRPr="00486A64">
        <w:rPr>
          <w:sz w:val="26"/>
          <w:szCs w:val="26"/>
        </w:rPr>
        <w:t>, 259 F.2d 921 (D.C. Cir. 1958)).</w:t>
      </w:r>
    </w:p>
  </w:footnote>
  <w:footnote w:id="16">
    <w:p w14:paraId="3A02B8DF" w14:textId="66ADB5E7" w:rsidR="000172EE" w:rsidRPr="00486A64" w:rsidRDefault="000172EE" w:rsidP="00EB001E">
      <w:pPr>
        <w:pStyle w:val="FootnoteText"/>
        <w:spacing w:line="240" w:lineRule="auto"/>
        <w:ind w:left="0" w:firstLine="720"/>
        <w:rPr>
          <w:sz w:val="26"/>
          <w:szCs w:val="26"/>
        </w:rPr>
      </w:pPr>
      <w:r w:rsidRPr="00486A64">
        <w:rPr>
          <w:rStyle w:val="FootnoteReference"/>
          <w:rFonts w:eastAsia="SimSun"/>
          <w:szCs w:val="26"/>
        </w:rPr>
        <w:footnoteRef/>
      </w:r>
      <w:r w:rsidRPr="00486A64">
        <w:rPr>
          <w:sz w:val="26"/>
          <w:szCs w:val="26"/>
        </w:rPr>
        <w:tab/>
      </w:r>
      <w:r w:rsidRPr="00486A64">
        <w:rPr>
          <w:i/>
          <w:sz w:val="26"/>
          <w:szCs w:val="26"/>
        </w:rPr>
        <w:t>See</w:t>
      </w:r>
      <w:r w:rsidRPr="00486A64">
        <w:rPr>
          <w:sz w:val="26"/>
          <w:szCs w:val="26"/>
        </w:rPr>
        <w:t>, PGW September Petition, Verified Statement of Denise Adamucci at</w:t>
      </w:r>
      <w:r w:rsidR="001F2DCE">
        <w:rPr>
          <w:sz w:val="26"/>
          <w:szCs w:val="26"/>
        </w:rPr>
        <w:t> </w:t>
      </w:r>
      <w:r w:rsidRPr="00486A64">
        <w:rPr>
          <w:sz w:val="26"/>
          <w:szCs w:val="26"/>
        </w:rPr>
        <w:t>3, ¶ 9.</w:t>
      </w:r>
    </w:p>
  </w:footnote>
  <w:footnote w:id="17">
    <w:p w14:paraId="157B1104" w14:textId="252E9EC7" w:rsidR="000172EE" w:rsidRPr="00486A64" w:rsidRDefault="000172EE" w:rsidP="00EB001E">
      <w:pPr>
        <w:pStyle w:val="FootnoteText"/>
        <w:spacing w:after="120" w:line="240" w:lineRule="auto"/>
        <w:ind w:left="0" w:firstLine="720"/>
        <w:rPr>
          <w:sz w:val="26"/>
          <w:szCs w:val="26"/>
        </w:rPr>
      </w:pPr>
      <w:r w:rsidRPr="00486A64">
        <w:rPr>
          <w:rStyle w:val="FootnoteReference"/>
          <w:rFonts w:eastAsia="SimSun"/>
          <w:szCs w:val="26"/>
        </w:rPr>
        <w:footnoteRef/>
      </w:r>
      <w:r w:rsidRPr="00486A64">
        <w:rPr>
          <w:sz w:val="26"/>
          <w:szCs w:val="26"/>
        </w:rPr>
        <w:tab/>
        <w:t>Section 316 of the Code, 66 Pa. C.S. §</w:t>
      </w:r>
      <w:r w:rsidR="00BB6603">
        <w:rPr>
          <w:sz w:val="26"/>
          <w:szCs w:val="26"/>
        </w:rPr>
        <w:t xml:space="preserve"> </w:t>
      </w:r>
      <w:r w:rsidRPr="00486A64">
        <w:rPr>
          <w:sz w:val="26"/>
          <w:szCs w:val="26"/>
        </w:rPr>
        <w:t xml:space="preserve">316 (Commission findings establish </w:t>
      </w:r>
      <w:r w:rsidRPr="00486A64">
        <w:rPr>
          <w:i/>
          <w:sz w:val="26"/>
          <w:szCs w:val="26"/>
        </w:rPr>
        <w:t xml:space="preserve">prima facia </w:t>
      </w:r>
      <w:r w:rsidRPr="00486A64">
        <w:rPr>
          <w:sz w:val="26"/>
          <w:szCs w:val="26"/>
        </w:rPr>
        <w:t>evidence).</w:t>
      </w:r>
    </w:p>
  </w:footnote>
  <w:footnote w:id="18">
    <w:p w14:paraId="2D487D4D" w14:textId="088DFB48" w:rsidR="000172EE" w:rsidRPr="00486A64" w:rsidRDefault="000172EE" w:rsidP="00BB6603">
      <w:pPr>
        <w:pStyle w:val="FootnoteText"/>
        <w:spacing w:line="240" w:lineRule="auto"/>
        <w:ind w:left="0" w:firstLine="720"/>
        <w:rPr>
          <w:sz w:val="26"/>
          <w:szCs w:val="26"/>
        </w:rPr>
      </w:pPr>
      <w:r w:rsidRPr="00486A64">
        <w:rPr>
          <w:rStyle w:val="FootnoteReference"/>
          <w:rFonts w:eastAsia="SimSun"/>
          <w:szCs w:val="26"/>
        </w:rPr>
        <w:footnoteRef/>
      </w:r>
      <w:r w:rsidRPr="00486A64">
        <w:rPr>
          <w:sz w:val="26"/>
          <w:szCs w:val="26"/>
        </w:rPr>
        <w:tab/>
      </w:r>
      <w:r w:rsidRPr="00BB6603">
        <w:rPr>
          <w:i/>
          <w:sz w:val="26"/>
          <w:szCs w:val="26"/>
        </w:rPr>
        <w:t>See</w:t>
      </w:r>
      <w:r w:rsidRPr="00486A64">
        <w:rPr>
          <w:sz w:val="26"/>
          <w:szCs w:val="26"/>
        </w:rPr>
        <w:t xml:space="preserve">, </w:t>
      </w:r>
      <w:r w:rsidRPr="00486A64">
        <w:rPr>
          <w:i/>
          <w:sz w:val="26"/>
          <w:szCs w:val="26"/>
        </w:rPr>
        <w:t>Israel</w:t>
      </w:r>
      <w:r w:rsidRPr="00486A64">
        <w:rPr>
          <w:sz w:val="26"/>
          <w:szCs w:val="26"/>
        </w:rPr>
        <w:t xml:space="preserve"> at 407, n.5.  Citing, </w:t>
      </w:r>
      <w:r w:rsidRPr="00486A64">
        <w:rPr>
          <w:i/>
          <w:sz w:val="26"/>
          <w:szCs w:val="26"/>
        </w:rPr>
        <w:t>Commonwealth v. Cohen</w:t>
      </w:r>
      <w:r w:rsidRPr="00486A64">
        <w:rPr>
          <w:sz w:val="26"/>
          <w:szCs w:val="26"/>
        </w:rPr>
        <w:t>, 1942, 150 Pa. Super.</w:t>
      </w:r>
      <w:r w:rsidR="00BB6603">
        <w:rPr>
          <w:sz w:val="26"/>
          <w:szCs w:val="26"/>
        </w:rPr>
        <w:t xml:space="preserve"> </w:t>
      </w:r>
      <w:r w:rsidRPr="00486A64">
        <w:rPr>
          <w:sz w:val="26"/>
          <w:szCs w:val="26"/>
        </w:rPr>
        <w:t>Ct. 487, 489, 28 A.2d 723, 724.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E1571D4"/>
    <w:multiLevelType w:val="hybridMultilevel"/>
    <w:tmpl w:val="B76C6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21449"/>
    <w:multiLevelType w:val="hybridMultilevel"/>
    <w:tmpl w:val="14208FF0"/>
    <w:lvl w:ilvl="0" w:tplc="ACDE621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4578F"/>
    <w:multiLevelType w:val="hybridMultilevel"/>
    <w:tmpl w:val="8CF281BA"/>
    <w:lvl w:ilvl="0" w:tplc="FB9296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4E2628"/>
    <w:multiLevelType w:val="hybridMultilevel"/>
    <w:tmpl w:val="F3BA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43024"/>
    <w:multiLevelType w:val="hybridMultilevel"/>
    <w:tmpl w:val="BEB83C66"/>
    <w:lvl w:ilvl="0" w:tplc="74507D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2C0002"/>
    <w:multiLevelType w:val="hybridMultilevel"/>
    <w:tmpl w:val="CBD07B00"/>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326C9F"/>
    <w:multiLevelType w:val="hybridMultilevel"/>
    <w:tmpl w:val="5BFC24A0"/>
    <w:lvl w:ilvl="0" w:tplc="707A8122">
      <w:start w:val="1"/>
      <w:numFmt w:val="upperLetter"/>
      <w:lvlText w:val="%1."/>
      <w:lvlJc w:val="left"/>
      <w:pPr>
        <w:ind w:left="162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761A33"/>
    <w:multiLevelType w:val="hybridMultilevel"/>
    <w:tmpl w:val="9006A992"/>
    <w:lvl w:ilvl="0" w:tplc="DED4FDE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CB7462"/>
    <w:multiLevelType w:val="hybridMultilevel"/>
    <w:tmpl w:val="45D69060"/>
    <w:lvl w:ilvl="0" w:tplc="BFFCDDD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F7B0C9F"/>
    <w:multiLevelType w:val="hybridMultilevel"/>
    <w:tmpl w:val="9B0EE734"/>
    <w:lvl w:ilvl="0" w:tplc="9CC821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8E3635"/>
    <w:multiLevelType w:val="hybridMultilevel"/>
    <w:tmpl w:val="DC4855EC"/>
    <w:lvl w:ilvl="0" w:tplc="38E036A2">
      <w:start w:val="1"/>
      <w:numFmt w:val="decimal"/>
      <w:lvlText w:val="%1."/>
      <w:lvlJc w:val="left"/>
      <w:pPr>
        <w:ind w:left="1800" w:hanging="360"/>
      </w:pPr>
      <w:rPr>
        <w:rFonts w:hint="default"/>
      </w:rPr>
    </w:lvl>
    <w:lvl w:ilvl="1" w:tplc="B7FE35A8">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05386D"/>
    <w:multiLevelType w:val="hybridMultilevel"/>
    <w:tmpl w:val="6C7E9B18"/>
    <w:lvl w:ilvl="0" w:tplc="38E03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854144A"/>
    <w:multiLevelType w:val="hybridMultilevel"/>
    <w:tmpl w:val="CBD07B00"/>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CC058A"/>
    <w:multiLevelType w:val="hybridMultilevel"/>
    <w:tmpl w:val="F6ACEA6A"/>
    <w:lvl w:ilvl="0" w:tplc="760C33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5D7CFD"/>
    <w:multiLevelType w:val="hybridMultilevel"/>
    <w:tmpl w:val="9320C062"/>
    <w:lvl w:ilvl="0" w:tplc="F6327C7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C0A07D1"/>
    <w:multiLevelType w:val="hybridMultilevel"/>
    <w:tmpl w:val="9B0EE734"/>
    <w:lvl w:ilvl="0" w:tplc="9CC821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0A073D"/>
    <w:multiLevelType w:val="hybridMultilevel"/>
    <w:tmpl w:val="F6ACEA6A"/>
    <w:lvl w:ilvl="0" w:tplc="760C33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4"/>
  </w:num>
  <w:num w:numId="3">
    <w:abstractNumId w:val="13"/>
  </w:num>
  <w:num w:numId="4">
    <w:abstractNumId w:val="2"/>
  </w:num>
  <w:num w:numId="5">
    <w:abstractNumId w:val="10"/>
  </w:num>
  <w:num w:numId="6">
    <w:abstractNumId w:val="5"/>
  </w:num>
  <w:num w:numId="7">
    <w:abstractNumId w:val="7"/>
  </w:num>
  <w:num w:numId="8">
    <w:abstractNumId w:val="15"/>
  </w:num>
  <w:num w:numId="9">
    <w:abstractNumId w:val="1"/>
  </w:num>
  <w:num w:numId="10">
    <w:abstractNumId w:val="11"/>
  </w:num>
  <w:num w:numId="11">
    <w:abstractNumId w:val="8"/>
  </w:num>
  <w:num w:numId="12">
    <w:abstractNumId w:val="3"/>
  </w:num>
  <w:num w:numId="13">
    <w:abstractNumId w:val="12"/>
  </w:num>
  <w:num w:numId="14">
    <w:abstractNumId w:val="9"/>
  </w:num>
  <w:num w:numId="15">
    <w:abstractNumId w:val="4"/>
  </w:num>
  <w:num w:numId="16">
    <w:abstractNumId w:val="16"/>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C"/>
    <w:rsid w:val="00001C6E"/>
    <w:rsid w:val="0000778F"/>
    <w:rsid w:val="00013AC0"/>
    <w:rsid w:val="000172EE"/>
    <w:rsid w:val="000449F7"/>
    <w:rsid w:val="000A23D2"/>
    <w:rsid w:val="000A5951"/>
    <w:rsid w:val="000C0BE9"/>
    <w:rsid w:val="000C37BD"/>
    <w:rsid w:val="000D4849"/>
    <w:rsid w:val="000E682D"/>
    <w:rsid w:val="00153E28"/>
    <w:rsid w:val="00176E39"/>
    <w:rsid w:val="001F2DCE"/>
    <w:rsid w:val="00216E72"/>
    <w:rsid w:val="00241D96"/>
    <w:rsid w:val="00260DC2"/>
    <w:rsid w:val="00291A4D"/>
    <w:rsid w:val="002A73E8"/>
    <w:rsid w:val="002C07E2"/>
    <w:rsid w:val="00307F44"/>
    <w:rsid w:val="0034272A"/>
    <w:rsid w:val="003C4433"/>
    <w:rsid w:val="003D3E26"/>
    <w:rsid w:val="004427E5"/>
    <w:rsid w:val="0044300F"/>
    <w:rsid w:val="0044597B"/>
    <w:rsid w:val="004479D3"/>
    <w:rsid w:val="00454DC3"/>
    <w:rsid w:val="0046359F"/>
    <w:rsid w:val="00463824"/>
    <w:rsid w:val="00480003"/>
    <w:rsid w:val="00486A64"/>
    <w:rsid w:val="00490668"/>
    <w:rsid w:val="004938E7"/>
    <w:rsid w:val="004979F8"/>
    <w:rsid w:val="0052318A"/>
    <w:rsid w:val="005477F5"/>
    <w:rsid w:val="00552577"/>
    <w:rsid w:val="00555712"/>
    <w:rsid w:val="00572A2E"/>
    <w:rsid w:val="00587985"/>
    <w:rsid w:val="005B5C30"/>
    <w:rsid w:val="005B61C3"/>
    <w:rsid w:val="005D0FDD"/>
    <w:rsid w:val="005E03FA"/>
    <w:rsid w:val="005E3E58"/>
    <w:rsid w:val="0060125D"/>
    <w:rsid w:val="0062221D"/>
    <w:rsid w:val="00635FCA"/>
    <w:rsid w:val="0063709F"/>
    <w:rsid w:val="00683EEA"/>
    <w:rsid w:val="0069317F"/>
    <w:rsid w:val="00693A72"/>
    <w:rsid w:val="00695302"/>
    <w:rsid w:val="006A2876"/>
    <w:rsid w:val="006E498C"/>
    <w:rsid w:val="006F7798"/>
    <w:rsid w:val="00723130"/>
    <w:rsid w:val="00727C38"/>
    <w:rsid w:val="00730195"/>
    <w:rsid w:val="00852299"/>
    <w:rsid w:val="008B2E17"/>
    <w:rsid w:val="008C21D3"/>
    <w:rsid w:val="009119B6"/>
    <w:rsid w:val="00941ED4"/>
    <w:rsid w:val="009B445B"/>
    <w:rsid w:val="009B517B"/>
    <w:rsid w:val="009D1A78"/>
    <w:rsid w:val="00A14666"/>
    <w:rsid w:val="00A20323"/>
    <w:rsid w:val="00A427C0"/>
    <w:rsid w:val="00A64F61"/>
    <w:rsid w:val="00A972BB"/>
    <w:rsid w:val="00AB047B"/>
    <w:rsid w:val="00AE1ADA"/>
    <w:rsid w:val="00B16B29"/>
    <w:rsid w:val="00B25C7C"/>
    <w:rsid w:val="00B44575"/>
    <w:rsid w:val="00B523A4"/>
    <w:rsid w:val="00B60716"/>
    <w:rsid w:val="00BB6603"/>
    <w:rsid w:val="00BC5728"/>
    <w:rsid w:val="00BD2562"/>
    <w:rsid w:val="00BD361B"/>
    <w:rsid w:val="00BD3B16"/>
    <w:rsid w:val="00BF2016"/>
    <w:rsid w:val="00C07AB0"/>
    <w:rsid w:val="00C15BEA"/>
    <w:rsid w:val="00C5754A"/>
    <w:rsid w:val="00C612B3"/>
    <w:rsid w:val="00C64C65"/>
    <w:rsid w:val="00CB194D"/>
    <w:rsid w:val="00CE1CA5"/>
    <w:rsid w:val="00CF0F0D"/>
    <w:rsid w:val="00D03728"/>
    <w:rsid w:val="00D241FF"/>
    <w:rsid w:val="00D645D6"/>
    <w:rsid w:val="00D95A36"/>
    <w:rsid w:val="00D97895"/>
    <w:rsid w:val="00DC6A3C"/>
    <w:rsid w:val="00E6503A"/>
    <w:rsid w:val="00E71922"/>
    <w:rsid w:val="00E8327F"/>
    <w:rsid w:val="00EB001E"/>
    <w:rsid w:val="00ED61C1"/>
    <w:rsid w:val="00F14DED"/>
    <w:rsid w:val="00F14E4C"/>
    <w:rsid w:val="00F31D40"/>
    <w:rsid w:val="00F40045"/>
    <w:rsid w:val="00F45E06"/>
    <w:rsid w:val="00F54456"/>
    <w:rsid w:val="00F6345B"/>
    <w:rsid w:val="00FE1D12"/>
    <w:rsid w:val="00F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3CC3"/>
  <w15:chartTrackingRefBased/>
  <w15:docId w15:val="{4E41B1B4-11E8-45CF-B807-346C5F83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paragraph" w:styleId="Heading1">
    <w:name w:val="heading 1"/>
    <w:basedOn w:val="Normal"/>
    <w:next w:val="BodyText2"/>
    <w:link w:val="Heading1Char"/>
    <w:qFormat/>
    <w:rsid w:val="00D645D6"/>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link w:val="Heading2Char"/>
    <w:qFormat/>
    <w:rsid w:val="00D645D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45D6"/>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D645D6"/>
    <w:pPr>
      <w:spacing w:before="100" w:beforeAutospacing="1" w:after="100" w:afterAutospacing="1"/>
      <w:outlineLvl w:val="3"/>
    </w:pPr>
    <w:rPr>
      <w:b/>
      <w:bCs/>
    </w:rPr>
  </w:style>
  <w:style w:type="paragraph" w:styleId="Heading5">
    <w:name w:val="heading 5"/>
    <w:basedOn w:val="Normal"/>
    <w:next w:val="BodyText2"/>
    <w:link w:val="Heading5Char"/>
    <w:qFormat/>
    <w:rsid w:val="00D645D6"/>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link w:val="Heading6Char"/>
    <w:qFormat/>
    <w:rsid w:val="00D645D6"/>
    <w:pPr>
      <w:widowControl w:val="0"/>
      <w:tabs>
        <w:tab w:val="num" w:pos="0"/>
      </w:tabs>
      <w:spacing w:after="240"/>
      <w:ind w:left="4306" w:hanging="720"/>
      <w:outlineLvl w:val="5"/>
    </w:pPr>
    <w:rPr>
      <w:bCs/>
      <w:snapToGrid w:val="0"/>
      <w:szCs w:val="22"/>
    </w:rPr>
  </w:style>
  <w:style w:type="paragraph" w:styleId="Heading7">
    <w:name w:val="heading 7"/>
    <w:basedOn w:val="Normal"/>
    <w:next w:val="BodyText2"/>
    <w:link w:val="Heading7Char"/>
    <w:qFormat/>
    <w:rsid w:val="00D645D6"/>
    <w:pPr>
      <w:widowControl w:val="0"/>
      <w:tabs>
        <w:tab w:val="num" w:pos="0"/>
      </w:tabs>
      <w:spacing w:after="240"/>
      <w:ind w:left="5026" w:hanging="720"/>
      <w:outlineLvl w:val="6"/>
    </w:pPr>
    <w:rPr>
      <w:snapToGrid w:val="0"/>
    </w:rPr>
  </w:style>
  <w:style w:type="paragraph" w:styleId="Heading8">
    <w:name w:val="heading 8"/>
    <w:basedOn w:val="Normal"/>
    <w:next w:val="BodyText2"/>
    <w:link w:val="Heading8Char"/>
    <w:qFormat/>
    <w:rsid w:val="00D645D6"/>
    <w:pPr>
      <w:widowControl w:val="0"/>
      <w:tabs>
        <w:tab w:val="num" w:pos="0"/>
      </w:tabs>
      <w:spacing w:after="240"/>
      <w:ind w:left="5746" w:hanging="720"/>
      <w:outlineLvl w:val="7"/>
    </w:pPr>
    <w:rPr>
      <w:iCs/>
      <w:snapToGrid w:val="0"/>
    </w:rPr>
  </w:style>
  <w:style w:type="paragraph" w:styleId="Heading9">
    <w:name w:val="heading 9"/>
    <w:basedOn w:val="Normal"/>
    <w:next w:val="BodyText2"/>
    <w:link w:val="Heading9Char"/>
    <w:qFormat/>
    <w:rsid w:val="00D645D6"/>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45D6"/>
    <w:pPr>
      <w:spacing w:after="120" w:line="480" w:lineRule="auto"/>
    </w:pPr>
  </w:style>
  <w:style w:type="character" w:customStyle="1" w:styleId="BodyText2Char">
    <w:name w:val="Body Text 2 Char"/>
    <w:basedOn w:val="DefaultParagraphFont"/>
    <w:link w:val="BodyText2"/>
    <w:rsid w:val="00D645D6"/>
    <w:rPr>
      <w:rFonts w:eastAsia="Times New Roman" w:cs="Times New Roman"/>
      <w:sz w:val="24"/>
      <w:szCs w:val="24"/>
    </w:rPr>
  </w:style>
  <w:style w:type="character" w:customStyle="1" w:styleId="Heading1Char">
    <w:name w:val="Heading 1 Char"/>
    <w:basedOn w:val="DefaultParagraphFont"/>
    <w:link w:val="Heading1"/>
    <w:rsid w:val="00D645D6"/>
    <w:rPr>
      <w:rFonts w:ascii="Times New Roman Bold" w:eastAsia="Times New Roman" w:hAnsi="Times New Roman Bold" w:cs="Arial"/>
      <w:b/>
      <w:bCs/>
      <w:caps/>
      <w:snapToGrid w:val="0"/>
      <w:sz w:val="24"/>
      <w:szCs w:val="32"/>
    </w:rPr>
  </w:style>
  <w:style w:type="character" w:customStyle="1" w:styleId="Heading2Char">
    <w:name w:val="Heading 2 Char"/>
    <w:basedOn w:val="DefaultParagraphFont"/>
    <w:link w:val="Heading2"/>
    <w:rsid w:val="00D645D6"/>
    <w:rPr>
      <w:rFonts w:ascii="Arial" w:eastAsia="Times New Roman" w:hAnsi="Arial" w:cs="Arial"/>
      <w:b/>
      <w:bCs/>
      <w:i/>
      <w:iCs/>
      <w:sz w:val="28"/>
      <w:szCs w:val="28"/>
    </w:rPr>
  </w:style>
  <w:style w:type="character" w:customStyle="1" w:styleId="Heading3Char">
    <w:name w:val="Heading 3 Char"/>
    <w:basedOn w:val="DefaultParagraphFont"/>
    <w:link w:val="Heading3"/>
    <w:rsid w:val="00D645D6"/>
    <w:rPr>
      <w:rFonts w:ascii="Arial" w:eastAsia="Times New Roman" w:hAnsi="Arial" w:cs="Arial"/>
      <w:b/>
      <w:bCs/>
    </w:rPr>
  </w:style>
  <w:style w:type="character" w:customStyle="1" w:styleId="Heading4Char">
    <w:name w:val="Heading 4 Char"/>
    <w:basedOn w:val="DefaultParagraphFont"/>
    <w:link w:val="Heading4"/>
    <w:rsid w:val="00D645D6"/>
    <w:rPr>
      <w:rFonts w:eastAsia="Times New Roman" w:cs="Times New Roman"/>
      <w:b/>
      <w:bCs/>
      <w:sz w:val="24"/>
      <w:szCs w:val="24"/>
    </w:rPr>
  </w:style>
  <w:style w:type="character" w:customStyle="1" w:styleId="Heading5Char">
    <w:name w:val="Heading 5 Char"/>
    <w:basedOn w:val="DefaultParagraphFont"/>
    <w:link w:val="Heading5"/>
    <w:rsid w:val="00D645D6"/>
    <w:rPr>
      <w:rFonts w:eastAsia="Times New Roman" w:cs="Times New Roman"/>
      <w:bCs/>
      <w:iCs/>
      <w:snapToGrid w:val="0"/>
      <w:sz w:val="24"/>
    </w:rPr>
  </w:style>
  <w:style w:type="character" w:customStyle="1" w:styleId="Heading6Char">
    <w:name w:val="Heading 6 Char"/>
    <w:basedOn w:val="DefaultParagraphFont"/>
    <w:link w:val="Heading6"/>
    <w:rsid w:val="00D645D6"/>
    <w:rPr>
      <w:rFonts w:eastAsia="Times New Roman" w:cs="Times New Roman"/>
      <w:bCs/>
      <w:snapToGrid w:val="0"/>
      <w:sz w:val="24"/>
      <w:szCs w:val="22"/>
    </w:rPr>
  </w:style>
  <w:style w:type="character" w:customStyle="1" w:styleId="Heading7Char">
    <w:name w:val="Heading 7 Char"/>
    <w:basedOn w:val="DefaultParagraphFont"/>
    <w:link w:val="Heading7"/>
    <w:rsid w:val="00D645D6"/>
    <w:rPr>
      <w:rFonts w:eastAsia="Times New Roman" w:cs="Times New Roman"/>
      <w:snapToGrid w:val="0"/>
      <w:sz w:val="24"/>
      <w:szCs w:val="24"/>
    </w:rPr>
  </w:style>
  <w:style w:type="character" w:customStyle="1" w:styleId="Heading8Char">
    <w:name w:val="Heading 8 Char"/>
    <w:basedOn w:val="DefaultParagraphFont"/>
    <w:link w:val="Heading8"/>
    <w:rsid w:val="00D645D6"/>
    <w:rPr>
      <w:rFonts w:eastAsia="Times New Roman" w:cs="Times New Roman"/>
      <w:iCs/>
      <w:snapToGrid w:val="0"/>
      <w:sz w:val="24"/>
      <w:szCs w:val="24"/>
    </w:rPr>
  </w:style>
  <w:style w:type="character" w:customStyle="1" w:styleId="Heading9Char">
    <w:name w:val="Heading 9 Char"/>
    <w:basedOn w:val="DefaultParagraphFont"/>
    <w:link w:val="Heading9"/>
    <w:rsid w:val="00D645D6"/>
    <w:rPr>
      <w:rFonts w:eastAsia="Times New Roman" w:cs="Times New Roman"/>
      <w:snapToGrid w:val="0"/>
      <w:sz w:val="24"/>
      <w:szCs w:val="22"/>
    </w:rPr>
  </w:style>
  <w:style w:type="character" w:customStyle="1" w:styleId="FootnoteTextChar">
    <w:name w:val="Footnote Text Char"/>
    <w:aliases w:val="fn Char2,ALTS FOOTNOTE Char,Footnote Text 2 Char1,Footnote text Char1,FOOTNOTE Char1,fn Char Char1,Car Char,Footnote Text Char2 Char,Footnote Text Char1 Char Char1,Footnote Text Char Char Char Char1"/>
    <w:basedOn w:val="DefaultParagraphFont"/>
    <w:link w:val="FootnoteText"/>
    <w:uiPriority w:val="99"/>
    <w:rsid w:val="00941ED4"/>
  </w:style>
  <w:style w:type="paragraph" w:styleId="FootnoteText">
    <w:name w:val="footnote text"/>
    <w:aliases w:val="fn,ALTS FOOTNOTE,Footnote Text 2,Footnote text,FOOTNOTE,fn Char,Car,Footnote Text Char2,Footnote Text Char1 Char,Footnote Text Char Char Char,Footnote Text Char2 Char Char Char,Footnote Text Char Char1 Char Char Char"/>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941ED4"/>
    <w:rPr>
      <w:sz w:val="26"/>
      <w:vertAlign w:val="superscript"/>
    </w:rPr>
  </w:style>
  <w:style w:type="paragraph" w:styleId="NormalWeb">
    <w:name w:val="Normal (Web)"/>
    <w:basedOn w:val="Normal"/>
    <w:uiPriority w:val="99"/>
    <w:rsid w:val="00D645D6"/>
    <w:pPr>
      <w:spacing w:before="100" w:beforeAutospacing="1" w:after="100" w:afterAutospacing="1"/>
    </w:pPr>
  </w:style>
  <w:style w:type="paragraph" w:styleId="Footer">
    <w:name w:val="footer"/>
    <w:basedOn w:val="Normal"/>
    <w:link w:val="FooterChar"/>
    <w:uiPriority w:val="99"/>
    <w:rsid w:val="00D645D6"/>
    <w:pPr>
      <w:tabs>
        <w:tab w:val="center" w:pos="4320"/>
        <w:tab w:val="right" w:pos="8640"/>
      </w:tabs>
    </w:pPr>
  </w:style>
  <w:style w:type="character" w:customStyle="1" w:styleId="FooterChar">
    <w:name w:val="Footer Char"/>
    <w:basedOn w:val="DefaultParagraphFont"/>
    <w:link w:val="Footer"/>
    <w:uiPriority w:val="99"/>
    <w:rsid w:val="00D645D6"/>
    <w:rPr>
      <w:rFonts w:eastAsia="Times New Roman" w:cs="Times New Roman"/>
      <w:sz w:val="24"/>
      <w:szCs w:val="24"/>
    </w:rPr>
  </w:style>
  <w:style w:type="character" w:styleId="PageNumber">
    <w:name w:val="page number"/>
    <w:basedOn w:val="DefaultParagraphFont"/>
    <w:rsid w:val="00D645D6"/>
  </w:style>
  <w:style w:type="paragraph" w:styleId="ListNumber">
    <w:name w:val="List Number"/>
    <w:basedOn w:val="Normal"/>
    <w:rsid w:val="00D645D6"/>
    <w:pPr>
      <w:numPr>
        <w:numId w:val="1"/>
      </w:numPr>
      <w:tabs>
        <w:tab w:val="clear" w:pos="360"/>
      </w:tabs>
      <w:spacing w:line="480" w:lineRule="auto"/>
      <w:ind w:left="0" w:firstLine="720"/>
    </w:pPr>
  </w:style>
  <w:style w:type="character" w:customStyle="1" w:styleId="CharChar">
    <w:name w:val="Char Char"/>
    <w:basedOn w:val="DefaultParagraphFont"/>
    <w:rsid w:val="00D645D6"/>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D645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D645D6"/>
    <w:rPr>
      <w:rFonts w:ascii="Arial" w:eastAsia="Times New Roman" w:hAnsi="Arial" w:cs="Arial"/>
      <w:vanish/>
      <w:sz w:val="16"/>
      <w:szCs w:val="16"/>
    </w:rPr>
  </w:style>
  <w:style w:type="paragraph" w:styleId="ListParagraph">
    <w:name w:val="List Paragraph"/>
    <w:basedOn w:val="Normal"/>
    <w:uiPriority w:val="34"/>
    <w:qFormat/>
    <w:rsid w:val="00D645D6"/>
    <w:pPr>
      <w:ind w:left="720"/>
    </w:pPr>
  </w:style>
  <w:style w:type="character" w:styleId="Emphasis">
    <w:name w:val="Emphasis"/>
    <w:basedOn w:val="DefaultParagraphFont"/>
    <w:uiPriority w:val="20"/>
    <w:qFormat/>
    <w:rsid w:val="00D645D6"/>
    <w:rPr>
      <w:i/>
      <w:iCs/>
    </w:rPr>
  </w:style>
  <w:style w:type="paragraph" w:styleId="BalloonText">
    <w:name w:val="Balloon Text"/>
    <w:basedOn w:val="Normal"/>
    <w:link w:val="BalloonTextChar"/>
    <w:rsid w:val="00D645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645D6"/>
    <w:rPr>
      <w:rFonts w:ascii="Tahoma" w:eastAsia="Times New Roman" w:hAnsi="Tahoma" w:cs="Tahoma"/>
      <w:sz w:val="16"/>
      <w:szCs w:val="16"/>
    </w:rPr>
  </w:style>
  <w:style w:type="paragraph" w:styleId="Header">
    <w:name w:val="header"/>
    <w:basedOn w:val="Normal"/>
    <w:link w:val="HeaderChar"/>
    <w:rsid w:val="00D645D6"/>
    <w:pPr>
      <w:tabs>
        <w:tab w:val="center" w:pos="4680"/>
        <w:tab w:val="right" w:pos="9360"/>
      </w:tabs>
      <w:spacing w:line="240" w:lineRule="auto"/>
    </w:pPr>
  </w:style>
  <w:style w:type="character" w:customStyle="1" w:styleId="HeaderChar">
    <w:name w:val="Header Char"/>
    <w:basedOn w:val="DefaultParagraphFont"/>
    <w:link w:val="Header"/>
    <w:rsid w:val="00D645D6"/>
    <w:rPr>
      <w:rFonts w:eastAsia="Times New Roman" w:cs="Times New Roman"/>
      <w:sz w:val="24"/>
      <w:szCs w:val="24"/>
    </w:rPr>
  </w:style>
  <w:style w:type="character" w:styleId="CommentReference">
    <w:name w:val="annotation reference"/>
    <w:basedOn w:val="DefaultParagraphFont"/>
    <w:rsid w:val="00D645D6"/>
    <w:rPr>
      <w:sz w:val="16"/>
      <w:szCs w:val="16"/>
    </w:rPr>
  </w:style>
  <w:style w:type="paragraph" w:styleId="CommentText">
    <w:name w:val="annotation text"/>
    <w:basedOn w:val="Normal"/>
    <w:link w:val="CommentTextChar"/>
    <w:rsid w:val="00D645D6"/>
    <w:pPr>
      <w:spacing w:line="240" w:lineRule="auto"/>
    </w:pPr>
    <w:rPr>
      <w:sz w:val="20"/>
      <w:szCs w:val="20"/>
    </w:rPr>
  </w:style>
  <w:style w:type="character" w:customStyle="1" w:styleId="CommentTextChar">
    <w:name w:val="Comment Text Char"/>
    <w:basedOn w:val="DefaultParagraphFont"/>
    <w:link w:val="CommentText"/>
    <w:rsid w:val="00D645D6"/>
    <w:rPr>
      <w:rFonts w:eastAsia="Times New Roman" w:cs="Times New Roman"/>
      <w:sz w:val="20"/>
      <w:szCs w:val="20"/>
    </w:rPr>
  </w:style>
  <w:style w:type="paragraph" w:styleId="CommentSubject">
    <w:name w:val="annotation subject"/>
    <w:basedOn w:val="CommentText"/>
    <w:next w:val="CommentText"/>
    <w:link w:val="CommentSubjectChar"/>
    <w:rsid w:val="00D645D6"/>
    <w:rPr>
      <w:b/>
      <w:bCs/>
    </w:rPr>
  </w:style>
  <w:style w:type="character" w:customStyle="1" w:styleId="CommentSubjectChar">
    <w:name w:val="Comment Subject Char"/>
    <w:basedOn w:val="CommentTextChar"/>
    <w:link w:val="CommentSubject"/>
    <w:rsid w:val="00D645D6"/>
    <w:rPr>
      <w:rFonts w:eastAsia="Times New Roman" w:cs="Times New Roman"/>
      <w:b/>
      <w:bCs/>
      <w:sz w:val="20"/>
      <w:szCs w:val="20"/>
    </w:rPr>
  </w:style>
  <w:style w:type="paragraph" w:customStyle="1" w:styleId="TxBrp7">
    <w:name w:val="TxBr_p7"/>
    <w:basedOn w:val="Normal"/>
    <w:rsid w:val="00D645D6"/>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D645D6"/>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EndnoteText">
    <w:name w:val="endnote text"/>
    <w:basedOn w:val="Normal"/>
    <w:link w:val="EndnoteTextChar"/>
    <w:rsid w:val="00D645D6"/>
    <w:pPr>
      <w:spacing w:line="240" w:lineRule="auto"/>
    </w:pPr>
    <w:rPr>
      <w:sz w:val="20"/>
      <w:szCs w:val="20"/>
    </w:rPr>
  </w:style>
  <w:style w:type="character" w:customStyle="1" w:styleId="EndnoteTextChar">
    <w:name w:val="Endnote Text Char"/>
    <w:basedOn w:val="DefaultParagraphFont"/>
    <w:link w:val="EndnoteText"/>
    <w:rsid w:val="00D645D6"/>
    <w:rPr>
      <w:rFonts w:eastAsia="Times New Roman" w:cs="Times New Roman"/>
      <w:sz w:val="20"/>
      <w:szCs w:val="20"/>
    </w:rPr>
  </w:style>
  <w:style w:type="character" w:styleId="EndnoteReference">
    <w:name w:val="endnote reference"/>
    <w:basedOn w:val="DefaultParagraphFont"/>
    <w:rsid w:val="00D645D6"/>
    <w:rPr>
      <w:vertAlign w:val="superscript"/>
    </w:rPr>
  </w:style>
  <w:style w:type="character" w:styleId="Hyperlink">
    <w:name w:val="Hyperlink"/>
    <w:rsid w:val="00D645D6"/>
    <w:rPr>
      <w:color w:val="0000FF"/>
      <w:u w:val="single"/>
    </w:rPr>
  </w:style>
  <w:style w:type="character" w:customStyle="1" w:styleId="term1">
    <w:name w:val="term1"/>
    <w:basedOn w:val="DefaultParagraphFont"/>
    <w:rsid w:val="00D645D6"/>
    <w:rPr>
      <w:b/>
      <w:bCs/>
    </w:rPr>
  </w:style>
  <w:style w:type="character" w:customStyle="1" w:styleId="documentbody">
    <w:name w:val="documentbody"/>
    <w:basedOn w:val="DefaultParagraphFont"/>
    <w:rsid w:val="00D6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4C0CE-C63A-4F58-B690-1848C8C0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5924</Words>
  <Characters>33770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Sheffer, Ryan</cp:lastModifiedBy>
  <cp:revision>3</cp:revision>
  <cp:lastPrinted>2019-04-16T13:41:00Z</cp:lastPrinted>
  <dcterms:created xsi:type="dcterms:W3CDTF">2019-04-29T22:40:00Z</dcterms:created>
  <dcterms:modified xsi:type="dcterms:W3CDTF">2019-05-09T11:37:00Z</dcterms:modified>
</cp:coreProperties>
</file>