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7FCE" w14:textId="77777777" w:rsidR="00F14E4C" w:rsidRDefault="00F14E4C" w:rsidP="00F14E4C">
      <w:pPr>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14:paraId="0D02F035" w14:textId="77777777" w:rsidR="00F14E4C" w:rsidRDefault="00F14E4C" w:rsidP="00F14E4C">
      <w:pPr>
        <w:suppressAutoHyphens/>
        <w:spacing w:line="240" w:lineRule="auto"/>
        <w:ind w:firstLine="0"/>
        <w:jc w:val="center"/>
        <w:rPr>
          <w:sz w:val="26"/>
          <w:szCs w:val="26"/>
        </w:rPr>
      </w:pPr>
      <w:r>
        <w:rPr>
          <w:b/>
          <w:sz w:val="26"/>
          <w:szCs w:val="26"/>
        </w:rPr>
        <w:t>PUBLIC UTILITY COMMISSION</w:t>
      </w:r>
    </w:p>
    <w:p w14:paraId="44C5EA29" w14:textId="7465EF6D" w:rsidR="00F14E4C" w:rsidRDefault="00F14E4C" w:rsidP="00F14E4C">
      <w:pPr>
        <w:suppressAutoHyphens/>
        <w:spacing w:line="240" w:lineRule="auto"/>
        <w:ind w:firstLine="0"/>
        <w:jc w:val="center"/>
        <w:rPr>
          <w:b/>
          <w:sz w:val="26"/>
          <w:szCs w:val="26"/>
        </w:rPr>
      </w:pPr>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17105-3265</w:t>
      </w:r>
    </w:p>
    <w:p w14:paraId="059F1553" w14:textId="69B6451E" w:rsidR="00F14E4C" w:rsidRDefault="00F14E4C" w:rsidP="00F14E4C">
      <w:pPr>
        <w:suppressAutoHyphens/>
        <w:spacing w:line="240" w:lineRule="auto"/>
        <w:ind w:firstLine="0"/>
        <w:rPr>
          <w:sz w:val="26"/>
          <w:szCs w:val="26"/>
        </w:rPr>
      </w:pPr>
    </w:p>
    <w:p w14:paraId="10869067" w14:textId="77777777" w:rsidR="00601798" w:rsidRPr="008B2E17" w:rsidRDefault="00601798" w:rsidP="00F14E4C">
      <w:pPr>
        <w:suppressAutoHyphens/>
        <w:spacing w:line="240" w:lineRule="auto"/>
        <w:ind w:firstLine="0"/>
        <w:rPr>
          <w:sz w:val="26"/>
          <w:szCs w:val="26"/>
        </w:rPr>
      </w:pPr>
    </w:p>
    <w:p w14:paraId="335D4321" w14:textId="03BBD8DC" w:rsidR="00F14E4C" w:rsidRDefault="00F14E4C" w:rsidP="00F14E4C">
      <w:pPr>
        <w:suppressAutoHyphens/>
        <w:spacing w:line="240" w:lineRule="auto"/>
        <w:ind w:firstLine="0"/>
        <w:jc w:val="right"/>
        <w:rPr>
          <w:sz w:val="26"/>
          <w:szCs w:val="26"/>
        </w:rPr>
      </w:pPr>
      <w:r w:rsidRPr="00E438E3">
        <w:rPr>
          <w:sz w:val="26"/>
          <w:szCs w:val="26"/>
        </w:rPr>
        <w:t xml:space="preserve">Public Meeting held </w:t>
      </w:r>
      <w:r w:rsidR="008524D8">
        <w:rPr>
          <w:sz w:val="26"/>
          <w:szCs w:val="26"/>
        </w:rPr>
        <w:t>May 9</w:t>
      </w:r>
      <w:r>
        <w:rPr>
          <w:sz w:val="26"/>
          <w:szCs w:val="26"/>
        </w:rPr>
        <w:t>, 2019</w:t>
      </w:r>
    </w:p>
    <w:p w14:paraId="16A38EE7" w14:textId="1FFDEB4A" w:rsidR="00F14E4C" w:rsidRDefault="00F14E4C" w:rsidP="00F14E4C">
      <w:pPr>
        <w:suppressAutoHyphens/>
        <w:spacing w:line="240" w:lineRule="auto"/>
        <w:ind w:firstLine="0"/>
        <w:jc w:val="right"/>
        <w:rPr>
          <w:sz w:val="26"/>
          <w:szCs w:val="26"/>
        </w:rPr>
      </w:pPr>
    </w:p>
    <w:p w14:paraId="6B384B86" w14:textId="77777777" w:rsidR="00601798" w:rsidRDefault="00601798" w:rsidP="00F14E4C">
      <w:pPr>
        <w:suppressAutoHyphens/>
        <w:spacing w:line="240" w:lineRule="auto"/>
        <w:ind w:firstLine="0"/>
        <w:jc w:val="right"/>
        <w:rPr>
          <w:sz w:val="26"/>
          <w:szCs w:val="26"/>
        </w:rPr>
      </w:pPr>
    </w:p>
    <w:p w14:paraId="54512632" w14:textId="77777777" w:rsidR="00F14E4C" w:rsidRDefault="00F14E4C" w:rsidP="00F14E4C">
      <w:pPr>
        <w:suppressAutoHyphens/>
        <w:spacing w:line="240" w:lineRule="auto"/>
        <w:ind w:firstLine="0"/>
        <w:rPr>
          <w:sz w:val="26"/>
          <w:szCs w:val="26"/>
        </w:rPr>
      </w:pPr>
      <w:r>
        <w:rPr>
          <w:sz w:val="26"/>
          <w:szCs w:val="26"/>
        </w:rPr>
        <w:t>Commissioners Present:</w:t>
      </w:r>
    </w:p>
    <w:p w14:paraId="48332B19" w14:textId="77777777" w:rsidR="00F14E4C" w:rsidRDefault="00F14E4C" w:rsidP="00F14E4C">
      <w:pPr>
        <w:suppressAutoHyphens/>
        <w:spacing w:line="240" w:lineRule="auto"/>
        <w:ind w:firstLine="0"/>
        <w:rPr>
          <w:sz w:val="26"/>
          <w:szCs w:val="26"/>
        </w:rPr>
      </w:pPr>
    </w:p>
    <w:p w14:paraId="6E093D3D" w14:textId="0FF3998D" w:rsidR="00F14E4C" w:rsidRPr="00251BC5" w:rsidRDefault="00F14E4C" w:rsidP="00F14E4C">
      <w:pPr>
        <w:spacing w:line="240" w:lineRule="auto"/>
        <w:ind w:firstLine="720"/>
        <w:rPr>
          <w:sz w:val="26"/>
          <w:szCs w:val="26"/>
        </w:rPr>
      </w:pPr>
      <w:r w:rsidRPr="00251BC5">
        <w:rPr>
          <w:sz w:val="26"/>
          <w:szCs w:val="26"/>
        </w:rPr>
        <w:t>Gladys Brown</w:t>
      </w:r>
      <w:r w:rsidR="00C5754A">
        <w:rPr>
          <w:sz w:val="26"/>
          <w:szCs w:val="26"/>
        </w:rPr>
        <w:t xml:space="preserve"> Dutrie</w:t>
      </w:r>
      <w:r w:rsidR="00B523A4">
        <w:rPr>
          <w:sz w:val="26"/>
          <w:szCs w:val="26"/>
        </w:rPr>
        <w:t>uille</w:t>
      </w:r>
      <w:r w:rsidRPr="00251BC5">
        <w:rPr>
          <w:sz w:val="26"/>
          <w:szCs w:val="26"/>
        </w:rPr>
        <w:t>, Chairman</w:t>
      </w:r>
    </w:p>
    <w:p w14:paraId="737F4139" w14:textId="77777777" w:rsidR="00F14E4C" w:rsidRDefault="00F14E4C" w:rsidP="00F14E4C">
      <w:pPr>
        <w:widowControl w:val="0"/>
        <w:spacing w:line="240" w:lineRule="auto"/>
        <w:ind w:firstLine="720"/>
        <w:rPr>
          <w:sz w:val="26"/>
          <w:szCs w:val="26"/>
        </w:rPr>
      </w:pPr>
      <w:r>
        <w:rPr>
          <w:sz w:val="26"/>
          <w:szCs w:val="26"/>
        </w:rPr>
        <w:t>David W. Sweet</w:t>
      </w:r>
      <w:r w:rsidRPr="00251BC5">
        <w:rPr>
          <w:sz w:val="26"/>
          <w:szCs w:val="26"/>
        </w:rPr>
        <w:t>, Vice Chairman</w:t>
      </w:r>
    </w:p>
    <w:p w14:paraId="73F60F7B" w14:textId="77777777" w:rsidR="00F14E4C" w:rsidRDefault="00F14E4C" w:rsidP="00F14E4C">
      <w:pPr>
        <w:widowControl w:val="0"/>
        <w:spacing w:line="240" w:lineRule="auto"/>
        <w:ind w:firstLine="720"/>
        <w:rPr>
          <w:sz w:val="26"/>
          <w:szCs w:val="26"/>
        </w:rPr>
      </w:pPr>
      <w:r>
        <w:rPr>
          <w:sz w:val="26"/>
          <w:szCs w:val="26"/>
        </w:rPr>
        <w:t>Norman J. Kennard</w:t>
      </w:r>
    </w:p>
    <w:p w14:paraId="41BCD18D" w14:textId="77777777" w:rsidR="00F14E4C" w:rsidRPr="00251BC5" w:rsidRDefault="00F14E4C" w:rsidP="00F14E4C">
      <w:pPr>
        <w:widowControl w:val="0"/>
        <w:spacing w:line="240" w:lineRule="auto"/>
        <w:ind w:firstLine="720"/>
        <w:rPr>
          <w:sz w:val="26"/>
          <w:szCs w:val="26"/>
        </w:rPr>
      </w:pPr>
      <w:r>
        <w:rPr>
          <w:sz w:val="26"/>
          <w:szCs w:val="26"/>
        </w:rPr>
        <w:t>Andrew G. Place</w:t>
      </w:r>
    </w:p>
    <w:p w14:paraId="03BFEF69" w14:textId="77777777" w:rsidR="00F14E4C" w:rsidRDefault="00F14E4C" w:rsidP="00F14E4C">
      <w:pPr>
        <w:widowControl w:val="0"/>
        <w:spacing w:line="240" w:lineRule="auto"/>
        <w:ind w:firstLine="720"/>
        <w:rPr>
          <w:sz w:val="26"/>
          <w:szCs w:val="26"/>
        </w:rPr>
      </w:pPr>
      <w:r w:rsidRPr="00251BC5">
        <w:rPr>
          <w:sz w:val="26"/>
          <w:szCs w:val="26"/>
        </w:rPr>
        <w:t>John F. Coleman, Jr.</w:t>
      </w:r>
    </w:p>
    <w:p w14:paraId="2EDE95B8" w14:textId="52D47169" w:rsidR="00F14E4C" w:rsidRDefault="00F14E4C" w:rsidP="00F14E4C">
      <w:pPr>
        <w:widowControl w:val="0"/>
        <w:spacing w:line="240" w:lineRule="auto"/>
        <w:ind w:firstLine="720"/>
        <w:rPr>
          <w:sz w:val="26"/>
          <w:szCs w:val="26"/>
        </w:rPr>
      </w:pPr>
    </w:p>
    <w:p w14:paraId="43BC4E98" w14:textId="155E869A" w:rsidR="00F14E4C" w:rsidRDefault="00F14E4C" w:rsidP="00F14E4C">
      <w:pPr>
        <w:widowControl w:val="0"/>
        <w:spacing w:line="240" w:lineRule="auto"/>
        <w:ind w:firstLine="720"/>
        <w:rPr>
          <w:sz w:val="26"/>
          <w:szCs w:val="26"/>
        </w:rPr>
      </w:pPr>
    </w:p>
    <w:p w14:paraId="665E8AD9" w14:textId="77777777" w:rsidR="00601798" w:rsidRDefault="00601798" w:rsidP="00F14E4C">
      <w:pPr>
        <w:widowControl w:val="0"/>
        <w:spacing w:line="240" w:lineRule="auto"/>
        <w:ind w:firstLine="720"/>
        <w:rPr>
          <w:sz w:val="26"/>
          <w:szCs w:val="26"/>
        </w:rPr>
      </w:pPr>
    </w:p>
    <w:p w14:paraId="1E9FF7DC" w14:textId="77777777" w:rsidR="00F14E4C" w:rsidRPr="00957295" w:rsidRDefault="00F14E4C" w:rsidP="00F14E4C">
      <w:pPr>
        <w:suppressAutoHyphens/>
        <w:autoSpaceDE w:val="0"/>
        <w:autoSpaceDN w:val="0"/>
        <w:spacing w:line="240" w:lineRule="auto"/>
        <w:ind w:firstLine="0"/>
        <w:rPr>
          <w:sz w:val="26"/>
          <w:szCs w:val="26"/>
        </w:rPr>
      </w:pPr>
      <w:r w:rsidRPr="00957295">
        <w:rPr>
          <w:sz w:val="26"/>
          <w:szCs w:val="26"/>
        </w:rPr>
        <w:t xml:space="preserve">SBG Management Services, Inc./ </w:t>
      </w:r>
      <w:r w:rsidRPr="00957295">
        <w:rPr>
          <w:sz w:val="26"/>
          <w:szCs w:val="26"/>
        </w:rPr>
        <w:tab/>
      </w:r>
      <w:r w:rsidRPr="00957295">
        <w:rPr>
          <w:sz w:val="26"/>
          <w:szCs w:val="26"/>
        </w:rPr>
        <w:tab/>
      </w:r>
      <w:r w:rsidRPr="00957295">
        <w:rPr>
          <w:sz w:val="26"/>
          <w:szCs w:val="26"/>
        </w:rPr>
        <w:tab/>
      </w:r>
      <w:r>
        <w:rPr>
          <w:sz w:val="26"/>
          <w:szCs w:val="26"/>
        </w:rPr>
        <w:tab/>
      </w:r>
      <w:r>
        <w:rPr>
          <w:sz w:val="26"/>
          <w:szCs w:val="26"/>
        </w:rPr>
        <w:tab/>
      </w:r>
      <w:r>
        <w:rPr>
          <w:sz w:val="26"/>
          <w:szCs w:val="26"/>
        </w:rPr>
        <w:tab/>
      </w:r>
      <w:r w:rsidRPr="00957295">
        <w:rPr>
          <w:sz w:val="26"/>
          <w:szCs w:val="26"/>
        </w:rPr>
        <w:t xml:space="preserve">     C-2012-2304183</w:t>
      </w:r>
    </w:p>
    <w:p w14:paraId="79F485CA" w14:textId="77777777" w:rsidR="00F14E4C" w:rsidRPr="00957295" w:rsidRDefault="00F14E4C" w:rsidP="00F14E4C">
      <w:pPr>
        <w:suppressAutoHyphens/>
        <w:autoSpaceDE w:val="0"/>
        <w:autoSpaceDN w:val="0"/>
        <w:spacing w:after="120" w:line="240" w:lineRule="auto"/>
        <w:ind w:firstLine="0"/>
        <w:rPr>
          <w:sz w:val="26"/>
          <w:szCs w:val="26"/>
        </w:rPr>
      </w:pPr>
      <w:r w:rsidRPr="00957295">
        <w:rPr>
          <w:sz w:val="26"/>
          <w:szCs w:val="26"/>
        </w:rPr>
        <w:t>Colonial Garden Realty Co., L.P.</w:t>
      </w:r>
      <w:r w:rsidRPr="00957295">
        <w:rPr>
          <w:sz w:val="26"/>
          <w:szCs w:val="26"/>
        </w:rPr>
        <w:tab/>
      </w:r>
      <w:r w:rsidRPr="00957295">
        <w:rPr>
          <w:sz w:val="26"/>
          <w:szCs w:val="26"/>
        </w:rPr>
        <w:tab/>
      </w:r>
      <w:r w:rsidRPr="00957295">
        <w:rPr>
          <w:sz w:val="26"/>
          <w:szCs w:val="26"/>
        </w:rPr>
        <w:tab/>
      </w:r>
    </w:p>
    <w:p w14:paraId="67AB9138" w14:textId="77777777" w:rsidR="00F14E4C" w:rsidRPr="00957295" w:rsidRDefault="00F14E4C" w:rsidP="00F14E4C">
      <w:pPr>
        <w:suppressAutoHyphens/>
        <w:autoSpaceDE w:val="0"/>
        <w:autoSpaceDN w:val="0"/>
        <w:spacing w:after="120" w:line="240" w:lineRule="auto"/>
        <w:ind w:firstLine="720"/>
        <w:rPr>
          <w:sz w:val="26"/>
          <w:szCs w:val="26"/>
        </w:rPr>
      </w:pPr>
      <w:r w:rsidRPr="00957295">
        <w:rPr>
          <w:sz w:val="26"/>
          <w:szCs w:val="26"/>
        </w:rPr>
        <w:tab/>
        <w:t>v.</w:t>
      </w:r>
    </w:p>
    <w:p w14:paraId="5D55DB78" w14:textId="77777777" w:rsidR="00F14E4C" w:rsidRPr="00957295" w:rsidRDefault="00F14E4C" w:rsidP="00F14E4C">
      <w:pPr>
        <w:suppressAutoHyphens/>
        <w:autoSpaceDE w:val="0"/>
        <w:autoSpaceDN w:val="0"/>
        <w:spacing w:line="240" w:lineRule="auto"/>
        <w:ind w:firstLine="0"/>
        <w:rPr>
          <w:sz w:val="26"/>
          <w:szCs w:val="26"/>
        </w:rPr>
      </w:pPr>
      <w:r w:rsidRPr="00957295">
        <w:rPr>
          <w:sz w:val="26"/>
          <w:szCs w:val="26"/>
        </w:rPr>
        <w:t>Philadelphia Gas Works</w:t>
      </w:r>
    </w:p>
    <w:p w14:paraId="41D17B70" w14:textId="50308865" w:rsidR="00F14E4C" w:rsidRDefault="00F14E4C" w:rsidP="00F14E4C">
      <w:pPr>
        <w:suppressAutoHyphens/>
        <w:autoSpaceDE w:val="0"/>
        <w:autoSpaceDN w:val="0"/>
        <w:spacing w:line="240" w:lineRule="auto"/>
        <w:ind w:firstLine="720"/>
        <w:rPr>
          <w:sz w:val="26"/>
          <w:szCs w:val="26"/>
        </w:rPr>
      </w:pPr>
    </w:p>
    <w:p w14:paraId="70ED62A8" w14:textId="77777777" w:rsidR="00F14E4C" w:rsidRPr="00957295" w:rsidRDefault="00F14E4C" w:rsidP="00F14E4C">
      <w:pPr>
        <w:suppressAutoHyphens/>
        <w:autoSpaceDE w:val="0"/>
        <w:autoSpaceDN w:val="0"/>
        <w:spacing w:line="240" w:lineRule="auto"/>
        <w:ind w:firstLine="720"/>
        <w:rPr>
          <w:sz w:val="26"/>
          <w:szCs w:val="26"/>
        </w:rPr>
      </w:pPr>
    </w:p>
    <w:p w14:paraId="25BC1805" w14:textId="77777777" w:rsidR="00F14E4C" w:rsidRPr="00957295" w:rsidRDefault="00F14E4C" w:rsidP="00F14E4C">
      <w:pPr>
        <w:suppressAutoHyphens/>
        <w:autoSpaceDE w:val="0"/>
        <w:autoSpaceDN w:val="0"/>
        <w:spacing w:line="240" w:lineRule="auto"/>
        <w:ind w:firstLine="0"/>
        <w:rPr>
          <w:sz w:val="26"/>
          <w:szCs w:val="26"/>
        </w:rPr>
      </w:pPr>
      <w:r w:rsidRPr="00957295">
        <w:rPr>
          <w:sz w:val="26"/>
          <w:szCs w:val="26"/>
        </w:rPr>
        <w:t xml:space="preserve">SBG Management Services, Inc./ </w:t>
      </w:r>
      <w:r w:rsidRPr="00957295">
        <w:rPr>
          <w:sz w:val="26"/>
          <w:szCs w:val="26"/>
        </w:rPr>
        <w:tab/>
      </w:r>
      <w:r w:rsidRPr="00957295">
        <w:rPr>
          <w:sz w:val="26"/>
          <w:szCs w:val="26"/>
        </w:rPr>
        <w:tab/>
      </w:r>
      <w:r w:rsidRPr="00957295">
        <w:rPr>
          <w:sz w:val="26"/>
          <w:szCs w:val="26"/>
        </w:rPr>
        <w:tab/>
      </w:r>
      <w:r>
        <w:rPr>
          <w:sz w:val="26"/>
          <w:szCs w:val="26"/>
        </w:rPr>
        <w:tab/>
      </w:r>
      <w:r>
        <w:rPr>
          <w:sz w:val="26"/>
          <w:szCs w:val="26"/>
        </w:rPr>
        <w:tab/>
      </w:r>
      <w:r>
        <w:rPr>
          <w:sz w:val="26"/>
          <w:szCs w:val="26"/>
        </w:rPr>
        <w:tab/>
      </w:r>
      <w:r w:rsidRPr="00957295">
        <w:rPr>
          <w:sz w:val="26"/>
          <w:szCs w:val="26"/>
        </w:rPr>
        <w:t xml:space="preserve">     C-2012-2304324</w:t>
      </w:r>
    </w:p>
    <w:p w14:paraId="3BF23CAD" w14:textId="77777777" w:rsidR="00F14E4C" w:rsidRPr="00957295" w:rsidRDefault="00F14E4C" w:rsidP="00F14E4C">
      <w:pPr>
        <w:suppressAutoHyphens/>
        <w:autoSpaceDE w:val="0"/>
        <w:autoSpaceDN w:val="0"/>
        <w:spacing w:after="120" w:line="240" w:lineRule="auto"/>
        <w:ind w:firstLine="0"/>
        <w:rPr>
          <w:sz w:val="26"/>
          <w:szCs w:val="26"/>
        </w:rPr>
      </w:pPr>
      <w:r w:rsidRPr="00957295">
        <w:rPr>
          <w:sz w:val="26"/>
          <w:szCs w:val="26"/>
        </w:rPr>
        <w:t>Simon Garden Realty Co., L.P.</w:t>
      </w:r>
    </w:p>
    <w:p w14:paraId="64B3E064" w14:textId="77777777" w:rsidR="00F14E4C" w:rsidRDefault="00F14E4C" w:rsidP="00F14E4C">
      <w:pPr>
        <w:suppressAutoHyphens/>
        <w:autoSpaceDE w:val="0"/>
        <w:autoSpaceDN w:val="0"/>
        <w:spacing w:after="120" w:line="240" w:lineRule="auto"/>
        <w:ind w:firstLine="720"/>
        <w:rPr>
          <w:sz w:val="26"/>
          <w:szCs w:val="26"/>
        </w:rPr>
      </w:pPr>
      <w:r w:rsidRPr="00957295">
        <w:rPr>
          <w:sz w:val="26"/>
          <w:szCs w:val="26"/>
        </w:rPr>
        <w:tab/>
        <w:t>v.</w:t>
      </w:r>
    </w:p>
    <w:p w14:paraId="1918018A" w14:textId="77777777" w:rsidR="00F14E4C" w:rsidRPr="00957295" w:rsidRDefault="00F14E4C" w:rsidP="00F14E4C">
      <w:pPr>
        <w:suppressAutoHyphens/>
        <w:autoSpaceDE w:val="0"/>
        <w:autoSpaceDN w:val="0"/>
        <w:spacing w:line="240" w:lineRule="auto"/>
        <w:ind w:firstLine="0"/>
        <w:rPr>
          <w:sz w:val="26"/>
          <w:szCs w:val="26"/>
        </w:rPr>
      </w:pPr>
      <w:r w:rsidRPr="00957295">
        <w:rPr>
          <w:sz w:val="26"/>
          <w:szCs w:val="26"/>
        </w:rPr>
        <w:t>Philadelphia Gas Works</w:t>
      </w:r>
    </w:p>
    <w:p w14:paraId="48FFBFBB" w14:textId="77777777" w:rsidR="00F14E4C" w:rsidRDefault="00F14E4C" w:rsidP="00F14E4C">
      <w:pPr>
        <w:spacing w:line="240" w:lineRule="auto"/>
        <w:ind w:firstLine="0"/>
        <w:rPr>
          <w:b/>
          <w:sz w:val="26"/>
          <w:szCs w:val="26"/>
        </w:rPr>
      </w:pPr>
    </w:p>
    <w:p w14:paraId="28088C77" w14:textId="77777777" w:rsidR="00F14E4C" w:rsidRPr="00E438E3" w:rsidRDefault="00F14E4C" w:rsidP="00F14E4C">
      <w:pPr>
        <w:ind w:firstLine="0"/>
        <w:jc w:val="center"/>
        <w:rPr>
          <w:b/>
          <w:sz w:val="26"/>
          <w:szCs w:val="26"/>
        </w:rPr>
      </w:pPr>
      <w:r w:rsidRPr="00E438E3">
        <w:rPr>
          <w:b/>
          <w:sz w:val="26"/>
          <w:szCs w:val="26"/>
        </w:rPr>
        <w:t>OPINION AND ORDER</w:t>
      </w:r>
    </w:p>
    <w:p w14:paraId="31423753" w14:textId="6B017D0E" w:rsidR="00F14E4C" w:rsidRDefault="00F14E4C" w:rsidP="00F14E4C">
      <w:pPr>
        <w:suppressAutoHyphens/>
        <w:ind w:firstLine="0"/>
        <w:rPr>
          <w:b/>
          <w:sz w:val="26"/>
          <w:szCs w:val="26"/>
        </w:rPr>
      </w:pPr>
    </w:p>
    <w:p w14:paraId="33277B65" w14:textId="4D942E48" w:rsidR="00F14E4C" w:rsidRDefault="00F14E4C" w:rsidP="00F14E4C">
      <w:pPr>
        <w:suppressAutoHyphens/>
        <w:ind w:firstLine="0"/>
        <w:rPr>
          <w:b/>
          <w:sz w:val="26"/>
        </w:rPr>
      </w:pPr>
      <w:r>
        <w:rPr>
          <w:b/>
          <w:sz w:val="26"/>
        </w:rPr>
        <w:t>BY THE COMMISSION:</w:t>
      </w:r>
    </w:p>
    <w:p w14:paraId="48C05D5E" w14:textId="16CAB77E" w:rsidR="00F14E4C" w:rsidRDefault="00F14E4C" w:rsidP="00F14E4C">
      <w:pPr>
        <w:suppressAutoHyphens/>
        <w:ind w:firstLine="0"/>
        <w:rPr>
          <w:b/>
          <w:sz w:val="26"/>
        </w:rPr>
      </w:pPr>
    </w:p>
    <w:p w14:paraId="79EE162A" w14:textId="5F798721" w:rsidR="00F14E4C" w:rsidRDefault="00F14E4C" w:rsidP="00F14E4C">
      <w:pPr>
        <w:suppressAutoHyphens/>
        <w:ind w:firstLine="0"/>
        <w:rPr>
          <w:sz w:val="26"/>
          <w:szCs w:val="20"/>
        </w:rPr>
      </w:pPr>
      <w:r>
        <w:rPr>
          <w:sz w:val="26"/>
          <w:szCs w:val="20"/>
        </w:rPr>
        <w:tab/>
      </w:r>
      <w:r>
        <w:rPr>
          <w:sz w:val="26"/>
          <w:szCs w:val="20"/>
        </w:rPr>
        <w:tab/>
      </w:r>
      <w:r w:rsidRPr="006736DA">
        <w:rPr>
          <w:sz w:val="26"/>
          <w:szCs w:val="20"/>
        </w:rPr>
        <w:t xml:space="preserve">Before the Pennsylvania Public Utility Commission (Commission) for consideration and disposition is the Petition for Reconsideration (Petition), filed </w:t>
      </w:r>
      <w:r>
        <w:rPr>
          <w:sz w:val="26"/>
          <w:szCs w:val="20"/>
        </w:rPr>
        <w:t>on April</w:t>
      </w:r>
      <w:r w:rsidR="008B2E17">
        <w:rPr>
          <w:sz w:val="26"/>
          <w:szCs w:val="20"/>
        </w:rPr>
        <w:t> </w:t>
      </w:r>
      <w:r>
        <w:rPr>
          <w:sz w:val="26"/>
          <w:szCs w:val="20"/>
        </w:rPr>
        <w:t>12, 2019</w:t>
      </w:r>
      <w:r w:rsidRPr="006736DA">
        <w:rPr>
          <w:sz w:val="26"/>
          <w:szCs w:val="20"/>
        </w:rPr>
        <w:t xml:space="preserve">, by </w:t>
      </w:r>
      <w:r>
        <w:rPr>
          <w:sz w:val="26"/>
          <w:szCs w:val="20"/>
        </w:rPr>
        <w:t xml:space="preserve">Philadelphia Gas Works (PGW) </w:t>
      </w:r>
      <w:r w:rsidRPr="006736DA">
        <w:rPr>
          <w:sz w:val="26"/>
          <w:szCs w:val="20"/>
        </w:rPr>
        <w:t xml:space="preserve">seeking reconsideration of the </w:t>
      </w:r>
      <w:r>
        <w:rPr>
          <w:sz w:val="26"/>
          <w:szCs w:val="20"/>
        </w:rPr>
        <w:lastRenderedPageBreak/>
        <w:t xml:space="preserve">Commission’s Opinion and </w:t>
      </w:r>
      <w:r w:rsidRPr="006736DA">
        <w:rPr>
          <w:sz w:val="26"/>
          <w:szCs w:val="20"/>
        </w:rPr>
        <w:t xml:space="preserve">Order entered on </w:t>
      </w:r>
      <w:r>
        <w:rPr>
          <w:sz w:val="26"/>
          <w:szCs w:val="20"/>
        </w:rPr>
        <w:t>March 28, 2019 (</w:t>
      </w:r>
      <w:r w:rsidRPr="00B86C9C">
        <w:rPr>
          <w:i/>
          <w:sz w:val="26"/>
          <w:szCs w:val="20"/>
        </w:rPr>
        <w:t>March 2</w:t>
      </w:r>
      <w:r w:rsidR="00631909">
        <w:rPr>
          <w:i/>
          <w:sz w:val="26"/>
          <w:szCs w:val="20"/>
        </w:rPr>
        <w:t>8</w:t>
      </w:r>
      <w:r w:rsidRPr="00B86C9C">
        <w:rPr>
          <w:i/>
          <w:sz w:val="26"/>
          <w:szCs w:val="20"/>
        </w:rPr>
        <w:t xml:space="preserve"> Order</w:t>
      </w:r>
      <w:r>
        <w:rPr>
          <w:sz w:val="26"/>
          <w:szCs w:val="20"/>
        </w:rPr>
        <w:t>)</w:t>
      </w:r>
      <w:r w:rsidRPr="006736DA">
        <w:rPr>
          <w:sz w:val="26"/>
          <w:szCs w:val="20"/>
        </w:rPr>
        <w:t xml:space="preserve">, </w:t>
      </w:r>
      <w:r>
        <w:rPr>
          <w:sz w:val="26"/>
          <w:szCs w:val="20"/>
        </w:rPr>
        <w:t xml:space="preserve">in </w:t>
      </w:r>
      <w:r w:rsidRPr="006736DA">
        <w:rPr>
          <w:sz w:val="26"/>
          <w:szCs w:val="20"/>
        </w:rPr>
        <w:t>the above-captioned proceeding.</w:t>
      </w:r>
      <w:r w:rsidR="007845B8">
        <w:rPr>
          <w:sz w:val="26"/>
          <w:szCs w:val="20"/>
        </w:rPr>
        <w:t xml:space="preserve">  For the reasons that follow, we shall deny the Petition.</w:t>
      </w:r>
    </w:p>
    <w:p w14:paraId="681B4E02" w14:textId="7A8C8DCC" w:rsidR="00BC53F0" w:rsidRDefault="00BC53F0" w:rsidP="00F14E4C">
      <w:pPr>
        <w:suppressAutoHyphens/>
        <w:ind w:firstLine="0"/>
        <w:rPr>
          <w:sz w:val="26"/>
          <w:szCs w:val="20"/>
        </w:rPr>
      </w:pPr>
    </w:p>
    <w:p w14:paraId="1E8B8A94" w14:textId="77777777" w:rsidR="00BC53F0" w:rsidRPr="009B0400" w:rsidRDefault="00BC53F0" w:rsidP="00D93D9A">
      <w:pPr>
        <w:pStyle w:val="ListParagraph"/>
        <w:keepNext/>
        <w:keepLines/>
        <w:numPr>
          <w:ilvl w:val="0"/>
          <w:numId w:val="2"/>
        </w:numPr>
        <w:tabs>
          <w:tab w:val="left" w:pos="-720"/>
        </w:tabs>
        <w:suppressAutoHyphens/>
        <w:ind w:left="720"/>
        <w:jc w:val="center"/>
        <w:rPr>
          <w:b/>
          <w:sz w:val="26"/>
          <w:szCs w:val="26"/>
        </w:rPr>
      </w:pPr>
      <w:r w:rsidRPr="009B0400">
        <w:rPr>
          <w:b/>
          <w:sz w:val="26"/>
          <w:szCs w:val="26"/>
        </w:rPr>
        <w:t>History of the Proceeding</w:t>
      </w:r>
    </w:p>
    <w:p w14:paraId="6A500124" w14:textId="77777777" w:rsidR="00BC53F0" w:rsidRPr="009B0400" w:rsidRDefault="00BC53F0" w:rsidP="00D93D9A">
      <w:pPr>
        <w:keepNext/>
        <w:keepLines/>
        <w:tabs>
          <w:tab w:val="left" w:pos="-720"/>
        </w:tabs>
        <w:suppressAutoHyphens/>
        <w:rPr>
          <w:b/>
          <w:sz w:val="26"/>
          <w:szCs w:val="26"/>
        </w:rPr>
      </w:pPr>
    </w:p>
    <w:p w14:paraId="2406F623" w14:textId="2B16DBF9" w:rsidR="00BC53F0" w:rsidRPr="009B0400" w:rsidRDefault="00BC53F0" w:rsidP="00BC53F0">
      <w:pPr>
        <w:tabs>
          <w:tab w:val="left" w:pos="-720"/>
        </w:tabs>
        <w:suppressAutoHyphens/>
        <w:rPr>
          <w:kern w:val="24"/>
          <w:sz w:val="26"/>
          <w:szCs w:val="26"/>
        </w:rPr>
      </w:pPr>
      <w:r>
        <w:rPr>
          <w:kern w:val="24"/>
          <w:sz w:val="26"/>
          <w:szCs w:val="26"/>
        </w:rPr>
        <w:t xml:space="preserve">By our </w:t>
      </w:r>
      <w:r w:rsidRPr="00BC53F0">
        <w:rPr>
          <w:i/>
          <w:kern w:val="24"/>
          <w:sz w:val="26"/>
          <w:szCs w:val="26"/>
        </w:rPr>
        <w:t>March 2</w:t>
      </w:r>
      <w:r w:rsidR="00631909">
        <w:rPr>
          <w:i/>
          <w:kern w:val="24"/>
          <w:sz w:val="26"/>
          <w:szCs w:val="26"/>
        </w:rPr>
        <w:t>8</w:t>
      </w:r>
      <w:r w:rsidRPr="00BC53F0">
        <w:rPr>
          <w:i/>
          <w:kern w:val="24"/>
          <w:sz w:val="26"/>
          <w:szCs w:val="26"/>
        </w:rPr>
        <w:t xml:space="preserve"> Order</w:t>
      </w:r>
      <w:r w:rsidR="0013692D">
        <w:rPr>
          <w:kern w:val="24"/>
          <w:sz w:val="26"/>
          <w:szCs w:val="26"/>
        </w:rPr>
        <w:t>,</w:t>
      </w:r>
      <w:r>
        <w:rPr>
          <w:kern w:val="24"/>
          <w:sz w:val="26"/>
          <w:szCs w:val="26"/>
        </w:rPr>
        <w:t xml:space="preserve"> we denied PGW’s Petition for Stay o</w:t>
      </w:r>
      <w:r>
        <w:rPr>
          <w:sz w:val="26"/>
          <w:szCs w:val="26"/>
        </w:rPr>
        <w:t xml:space="preserve">f its duty to comply with the prior final orders of the Commission entered on </w:t>
      </w:r>
      <w:r w:rsidRPr="007C156C">
        <w:rPr>
          <w:sz w:val="26"/>
          <w:szCs w:val="26"/>
        </w:rPr>
        <w:t>December 8, 2016</w:t>
      </w:r>
      <w:r>
        <w:rPr>
          <w:sz w:val="26"/>
          <w:szCs w:val="26"/>
        </w:rPr>
        <w:t xml:space="preserve"> </w:t>
      </w:r>
      <w:r w:rsidRPr="007C156C">
        <w:rPr>
          <w:sz w:val="26"/>
          <w:szCs w:val="26"/>
        </w:rPr>
        <w:t>(</w:t>
      </w:r>
      <w:r w:rsidRPr="00FC1975">
        <w:rPr>
          <w:i/>
          <w:sz w:val="26"/>
          <w:szCs w:val="26"/>
        </w:rPr>
        <w:t>December 2016 Order</w:t>
      </w:r>
      <w:r w:rsidRPr="007C156C">
        <w:rPr>
          <w:sz w:val="26"/>
          <w:szCs w:val="26"/>
        </w:rPr>
        <w:t>)</w:t>
      </w:r>
      <w:r>
        <w:rPr>
          <w:sz w:val="26"/>
          <w:szCs w:val="26"/>
        </w:rPr>
        <w:t xml:space="preserve">, and the subsequent orders denying reconsideration entered on </w:t>
      </w:r>
      <w:r w:rsidRPr="007C156C">
        <w:rPr>
          <w:sz w:val="26"/>
          <w:szCs w:val="26"/>
        </w:rPr>
        <w:t>May 18, 2018 (</w:t>
      </w:r>
      <w:r w:rsidRPr="00FC1975">
        <w:rPr>
          <w:i/>
          <w:sz w:val="26"/>
          <w:szCs w:val="26"/>
        </w:rPr>
        <w:t>May 2018 Order</w:t>
      </w:r>
      <w:r w:rsidRPr="007C156C">
        <w:rPr>
          <w:sz w:val="26"/>
          <w:szCs w:val="26"/>
        </w:rPr>
        <w:t>)</w:t>
      </w:r>
      <w:r>
        <w:rPr>
          <w:sz w:val="26"/>
          <w:szCs w:val="26"/>
        </w:rPr>
        <w:t>,</w:t>
      </w:r>
      <w:r w:rsidRPr="007C156C">
        <w:rPr>
          <w:sz w:val="26"/>
          <w:szCs w:val="26"/>
        </w:rPr>
        <w:t xml:space="preserve"> and August 23, 2018 (</w:t>
      </w:r>
      <w:r w:rsidRPr="00FC1975">
        <w:rPr>
          <w:i/>
          <w:sz w:val="26"/>
          <w:szCs w:val="26"/>
        </w:rPr>
        <w:t>August 2018 Order</w:t>
      </w:r>
      <w:r>
        <w:rPr>
          <w:sz w:val="26"/>
          <w:szCs w:val="26"/>
        </w:rPr>
        <w:t xml:space="preserve">), </w:t>
      </w:r>
      <w:r w:rsidRPr="007C156C">
        <w:rPr>
          <w:sz w:val="26"/>
          <w:szCs w:val="26"/>
        </w:rPr>
        <w:t xml:space="preserve">pending the </w:t>
      </w:r>
      <w:r>
        <w:rPr>
          <w:sz w:val="26"/>
          <w:szCs w:val="26"/>
        </w:rPr>
        <w:t xml:space="preserve">Commonwealth Court’s consideration of PGW’s Petition for Review filed in response to our </w:t>
      </w:r>
      <w:r w:rsidRPr="008E621F">
        <w:rPr>
          <w:i/>
          <w:sz w:val="26"/>
          <w:szCs w:val="26"/>
        </w:rPr>
        <w:t>August 2</w:t>
      </w:r>
      <w:r>
        <w:rPr>
          <w:i/>
          <w:sz w:val="26"/>
          <w:szCs w:val="26"/>
        </w:rPr>
        <w:t>018</w:t>
      </w:r>
      <w:r w:rsidRPr="008E621F">
        <w:rPr>
          <w:i/>
          <w:sz w:val="26"/>
          <w:szCs w:val="26"/>
        </w:rPr>
        <w:t xml:space="preserve"> Order</w:t>
      </w:r>
      <w:r>
        <w:rPr>
          <w:i/>
          <w:sz w:val="26"/>
          <w:szCs w:val="26"/>
        </w:rPr>
        <w:t>.</w:t>
      </w:r>
      <w:r w:rsidRPr="0013692D">
        <w:rPr>
          <w:rStyle w:val="FootnoteReference"/>
          <w:rFonts w:eastAsia="SimSun"/>
          <w:szCs w:val="26"/>
        </w:rPr>
        <w:footnoteReference w:id="1"/>
      </w:r>
    </w:p>
    <w:p w14:paraId="3A1D57FC" w14:textId="77777777" w:rsidR="00BC53F0" w:rsidRDefault="00BC53F0" w:rsidP="00BC53F0">
      <w:pPr>
        <w:tabs>
          <w:tab w:val="left" w:pos="-720"/>
        </w:tabs>
        <w:suppressAutoHyphens/>
        <w:rPr>
          <w:kern w:val="24"/>
        </w:rPr>
      </w:pPr>
    </w:p>
    <w:p w14:paraId="12C52C07" w14:textId="16ACE9A3" w:rsidR="00BC53F0" w:rsidRPr="009B0400" w:rsidRDefault="00BC53F0" w:rsidP="00BC53F0">
      <w:pPr>
        <w:tabs>
          <w:tab w:val="left" w:pos="-720"/>
        </w:tabs>
        <w:suppressAutoHyphens/>
        <w:rPr>
          <w:kern w:val="24"/>
          <w:sz w:val="26"/>
          <w:szCs w:val="26"/>
        </w:rPr>
      </w:pPr>
      <w:r w:rsidRPr="009B0400">
        <w:rPr>
          <w:kern w:val="24"/>
          <w:sz w:val="26"/>
          <w:szCs w:val="26"/>
        </w:rPr>
        <w:t xml:space="preserve">On </w:t>
      </w:r>
      <w:r>
        <w:rPr>
          <w:kern w:val="24"/>
          <w:sz w:val="26"/>
          <w:szCs w:val="26"/>
        </w:rPr>
        <w:t xml:space="preserve">April 12, 2019, PGW filed </w:t>
      </w:r>
      <w:r w:rsidRPr="009B0400">
        <w:rPr>
          <w:kern w:val="24"/>
          <w:sz w:val="26"/>
          <w:szCs w:val="26"/>
        </w:rPr>
        <w:t xml:space="preserve">a Petition for Reconsideration of </w:t>
      </w:r>
      <w:r w:rsidRPr="00631909">
        <w:rPr>
          <w:kern w:val="24"/>
          <w:sz w:val="26"/>
          <w:szCs w:val="26"/>
        </w:rPr>
        <w:t>the</w:t>
      </w:r>
      <w:r w:rsidRPr="00631909">
        <w:rPr>
          <w:i/>
          <w:kern w:val="24"/>
          <w:sz w:val="26"/>
          <w:szCs w:val="26"/>
        </w:rPr>
        <w:t xml:space="preserve"> </w:t>
      </w:r>
      <w:r w:rsidR="00D34F84">
        <w:rPr>
          <w:i/>
          <w:kern w:val="24"/>
          <w:sz w:val="26"/>
          <w:szCs w:val="26"/>
        </w:rPr>
        <w:t>March</w:t>
      </w:r>
      <w:r w:rsidR="0013692D">
        <w:rPr>
          <w:i/>
          <w:kern w:val="24"/>
          <w:sz w:val="26"/>
          <w:szCs w:val="26"/>
        </w:rPr>
        <w:t> </w:t>
      </w:r>
      <w:r w:rsidR="00D34F84">
        <w:rPr>
          <w:i/>
          <w:kern w:val="24"/>
          <w:sz w:val="26"/>
          <w:szCs w:val="26"/>
        </w:rPr>
        <w:t>28 Order</w:t>
      </w:r>
      <w:r w:rsidRPr="009B0400">
        <w:rPr>
          <w:kern w:val="24"/>
          <w:sz w:val="26"/>
          <w:szCs w:val="26"/>
        </w:rPr>
        <w:t>, pursuant to</w:t>
      </w:r>
      <w:r w:rsidR="00631909">
        <w:rPr>
          <w:kern w:val="24"/>
          <w:sz w:val="26"/>
          <w:szCs w:val="26"/>
        </w:rPr>
        <w:t xml:space="preserve"> Section 703 of the Public Utility Co</w:t>
      </w:r>
      <w:r w:rsidR="0013692D">
        <w:rPr>
          <w:kern w:val="24"/>
          <w:sz w:val="26"/>
          <w:szCs w:val="26"/>
        </w:rPr>
        <w:t>de</w:t>
      </w:r>
      <w:r w:rsidR="009C5825">
        <w:rPr>
          <w:kern w:val="24"/>
          <w:sz w:val="26"/>
          <w:szCs w:val="26"/>
        </w:rPr>
        <w:t xml:space="preserve"> (Code)</w:t>
      </w:r>
      <w:r w:rsidR="00631909">
        <w:rPr>
          <w:kern w:val="24"/>
          <w:sz w:val="26"/>
          <w:szCs w:val="26"/>
        </w:rPr>
        <w:t>, 66 Pa. C.S. §</w:t>
      </w:r>
      <w:r w:rsidR="009C5825">
        <w:rPr>
          <w:kern w:val="24"/>
          <w:sz w:val="26"/>
          <w:szCs w:val="26"/>
        </w:rPr>
        <w:t> </w:t>
      </w:r>
      <w:r w:rsidR="00631909">
        <w:rPr>
          <w:kern w:val="24"/>
          <w:sz w:val="26"/>
          <w:szCs w:val="26"/>
        </w:rPr>
        <w:t xml:space="preserve">703, and Section </w:t>
      </w:r>
      <w:r w:rsidRPr="009B0400">
        <w:rPr>
          <w:kern w:val="24"/>
          <w:sz w:val="26"/>
          <w:szCs w:val="26"/>
        </w:rPr>
        <w:t>5.572 of the Commission regulations, 52 Pa. Code</w:t>
      </w:r>
      <w:r w:rsidR="00631909">
        <w:rPr>
          <w:kern w:val="24"/>
          <w:sz w:val="26"/>
          <w:szCs w:val="26"/>
        </w:rPr>
        <w:t xml:space="preserve"> §</w:t>
      </w:r>
      <w:r w:rsidRPr="009B0400">
        <w:rPr>
          <w:kern w:val="24"/>
          <w:sz w:val="26"/>
          <w:szCs w:val="26"/>
        </w:rPr>
        <w:t xml:space="preserve"> 5.572 (regarding petitions for relief)</w:t>
      </w:r>
      <w:r w:rsidR="007845B8">
        <w:rPr>
          <w:kern w:val="24"/>
          <w:sz w:val="26"/>
          <w:szCs w:val="26"/>
        </w:rPr>
        <w:t>.</w:t>
      </w:r>
      <w:r w:rsidR="00631909">
        <w:rPr>
          <w:rStyle w:val="FootnoteReference"/>
          <w:kern w:val="24"/>
          <w:szCs w:val="26"/>
        </w:rPr>
        <w:footnoteReference w:id="2"/>
      </w:r>
    </w:p>
    <w:p w14:paraId="1678CC9A" w14:textId="77777777" w:rsidR="00631909" w:rsidRDefault="00631909" w:rsidP="00BC53F0">
      <w:pPr>
        <w:tabs>
          <w:tab w:val="left" w:pos="-720"/>
        </w:tabs>
        <w:suppressAutoHyphens/>
        <w:rPr>
          <w:kern w:val="24"/>
          <w:sz w:val="26"/>
          <w:szCs w:val="26"/>
        </w:rPr>
      </w:pPr>
    </w:p>
    <w:p w14:paraId="3FC2C62C" w14:textId="51A5736C" w:rsidR="00BC53F0" w:rsidRPr="009B0400" w:rsidRDefault="00BC53F0" w:rsidP="00BC53F0">
      <w:pPr>
        <w:tabs>
          <w:tab w:val="left" w:pos="-720"/>
        </w:tabs>
        <w:suppressAutoHyphens/>
        <w:rPr>
          <w:kern w:val="24"/>
          <w:sz w:val="26"/>
          <w:szCs w:val="26"/>
        </w:rPr>
      </w:pPr>
      <w:r w:rsidRPr="009B0400">
        <w:rPr>
          <w:kern w:val="24"/>
          <w:sz w:val="26"/>
          <w:szCs w:val="26"/>
        </w:rPr>
        <w:t xml:space="preserve">By our Opinion and Order entered on </w:t>
      </w:r>
      <w:r>
        <w:rPr>
          <w:kern w:val="24"/>
          <w:sz w:val="26"/>
          <w:szCs w:val="26"/>
        </w:rPr>
        <w:t xml:space="preserve">April 16, 2019, </w:t>
      </w:r>
      <w:r w:rsidRPr="009B0400">
        <w:rPr>
          <w:kern w:val="24"/>
          <w:sz w:val="26"/>
          <w:szCs w:val="26"/>
        </w:rPr>
        <w:t xml:space="preserve">the Commission granted </w:t>
      </w:r>
      <w:r>
        <w:rPr>
          <w:kern w:val="24"/>
          <w:sz w:val="26"/>
          <w:szCs w:val="26"/>
        </w:rPr>
        <w:t xml:space="preserve">PGW’s </w:t>
      </w:r>
      <w:r w:rsidRPr="009B0400">
        <w:rPr>
          <w:kern w:val="24"/>
          <w:sz w:val="26"/>
          <w:szCs w:val="26"/>
        </w:rPr>
        <w:t>Petition for Reconsideration, thereby retaining jurisdiction pending review and disposition on the merits.</w:t>
      </w:r>
      <w:r w:rsidR="0018367E">
        <w:rPr>
          <w:rStyle w:val="FootnoteReference"/>
          <w:rFonts w:eastAsia="SimSun"/>
        </w:rPr>
        <w:footnoteReference w:id="3"/>
      </w:r>
      <w:r w:rsidR="001C300B">
        <w:rPr>
          <w:kern w:val="24"/>
          <w:sz w:val="26"/>
          <w:szCs w:val="26"/>
        </w:rPr>
        <w:t xml:space="preserve">  </w:t>
      </w:r>
      <w:r w:rsidR="00860346">
        <w:rPr>
          <w:kern w:val="24"/>
          <w:sz w:val="26"/>
          <w:szCs w:val="26"/>
        </w:rPr>
        <w:t xml:space="preserve">SBG </w:t>
      </w:r>
      <w:r w:rsidR="001C300B">
        <w:rPr>
          <w:kern w:val="24"/>
          <w:sz w:val="26"/>
          <w:szCs w:val="26"/>
        </w:rPr>
        <w:t xml:space="preserve">did not </w:t>
      </w:r>
      <w:r w:rsidR="00860346">
        <w:rPr>
          <w:kern w:val="24"/>
          <w:sz w:val="26"/>
          <w:szCs w:val="26"/>
        </w:rPr>
        <w:t>file</w:t>
      </w:r>
      <w:r w:rsidR="001C300B">
        <w:rPr>
          <w:kern w:val="24"/>
          <w:sz w:val="26"/>
          <w:szCs w:val="26"/>
        </w:rPr>
        <w:t xml:space="preserve"> an</w:t>
      </w:r>
      <w:r w:rsidR="00860346">
        <w:rPr>
          <w:kern w:val="24"/>
          <w:sz w:val="26"/>
          <w:szCs w:val="26"/>
        </w:rPr>
        <w:t xml:space="preserve"> Answer in response to PGW’s Petition for Reconsideration</w:t>
      </w:r>
      <w:r w:rsidR="001C300B">
        <w:rPr>
          <w:kern w:val="24"/>
          <w:sz w:val="26"/>
          <w:szCs w:val="26"/>
        </w:rPr>
        <w:t>.</w:t>
      </w:r>
    </w:p>
    <w:p w14:paraId="19394CD9" w14:textId="78EC27E0" w:rsidR="00BC53F0" w:rsidRDefault="00BC53F0" w:rsidP="00BC53F0">
      <w:pPr>
        <w:tabs>
          <w:tab w:val="left" w:pos="-720"/>
        </w:tabs>
        <w:suppressAutoHyphens/>
        <w:rPr>
          <w:b/>
          <w:sz w:val="26"/>
          <w:szCs w:val="20"/>
        </w:rPr>
      </w:pPr>
    </w:p>
    <w:p w14:paraId="4645DC40" w14:textId="77777777" w:rsidR="00BC53F0" w:rsidRPr="000005BE" w:rsidRDefault="00BC53F0" w:rsidP="001C300B">
      <w:pPr>
        <w:pStyle w:val="ListParagraph"/>
        <w:keepNext/>
        <w:keepLines/>
        <w:numPr>
          <w:ilvl w:val="0"/>
          <w:numId w:val="2"/>
        </w:numPr>
        <w:tabs>
          <w:tab w:val="left" w:pos="-720"/>
        </w:tabs>
        <w:suppressAutoHyphens/>
        <w:ind w:left="0" w:firstLine="0"/>
        <w:jc w:val="center"/>
        <w:rPr>
          <w:b/>
          <w:sz w:val="26"/>
          <w:szCs w:val="20"/>
        </w:rPr>
      </w:pPr>
      <w:r w:rsidRPr="000005BE">
        <w:rPr>
          <w:b/>
          <w:sz w:val="26"/>
          <w:szCs w:val="20"/>
        </w:rPr>
        <w:t>Discussion</w:t>
      </w:r>
    </w:p>
    <w:p w14:paraId="521E4EA3" w14:textId="77777777" w:rsidR="00BC53F0" w:rsidRDefault="00BC53F0" w:rsidP="001C300B">
      <w:pPr>
        <w:keepNext/>
        <w:keepLines/>
        <w:tabs>
          <w:tab w:val="left" w:pos="-720"/>
        </w:tabs>
        <w:suppressAutoHyphens/>
        <w:rPr>
          <w:sz w:val="26"/>
          <w:szCs w:val="20"/>
        </w:rPr>
      </w:pPr>
    </w:p>
    <w:p w14:paraId="2D3B798C" w14:textId="77777777" w:rsidR="00723092" w:rsidRPr="00723092" w:rsidRDefault="00723092" w:rsidP="001C300B">
      <w:pPr>
        <w:keepNext/>
        <w:keepLines/>
        <w:ind w:firstLine="0"/>
        <w:rPr>
          <w:rFonts w:eastAsiaTheme="minorHAnsi"/>
          <w:b/>
          <w:sz w:val="26"/>
          <w:szCs w:val="26"/>
        </w:rPr>
      </w:pPr>
      <w:r w:rsidRPr="00723092">
        <w:rPr>
          <w:rFonts w:eastAsiaTheme="minorHAnsi"/>
          <w:b/>
          <w:sz w:val="26"/>
          <w:szCs w:val="26"/>
        </w:rPr>
        <w:t>A.</w:t>
      </w:r>
      <w:r w:rsidRPr="00723092">
        <w:rPr>
          <w:rFonts w:eastAsiaTheme="minorHAnsi"/>
          <w:b/>
          <w:sz w:val="26"/>
          <w:szCs w:val="26"/>
        </w:rPr>
        <w:tab/>
        <w:t>Standards for Reconsideration, Rehearing and/or Clarification</w:t>
      </w:r>
    </w:p>
    <w:p w14:paraId="5DB2C61A" w14:textId="77777777" w:rsidR="00723092" w:rsidRPr="00723092" w:rsidRDefault="00723092" w:rsidP="00723092">
      <w:pPr>
        <w:keepNext/>
        <w:keepLines/>
        <w:ind w:firstLine="0"/>
        <w:rPr>
          <w:rFonts w:eastAsiaTheme="minorHAnsi"/>
          <w:sz w:val="26"/>
          <w:szCs w:val="26"/>
        </w:rPr>
      </w:pPr>
    </w:p>
    <w:p w14:paraId="2E66AFE9" w14:textId="4033867B" w:rsidR="00723092" w:rsidRPr="00723092" w:rsidRDefault="00723092" w:rsidP="00723092">
      <w:pPr>
        <w:rPr>
          <w:rFonts w:eastAsiaTheme="minorHAnsi"/>
          <w:sz w:val="26"/>
          <w:szCs w:val="26"/>
        </w:rPr>
      </w:pPr>
      <w:r w:rsidRPr="00723092">
        <w:rPr>
          <w:rFonts w:eastAsiaTheme="minorHAnsi"/>
          <w:sz w:val="26"/>
          <w:szCs w:val="26"/>
        </w:rPr>
        <w:t xml:space="preserve">The Code establishes a party’s right to seek relief following the issuance of the Commission’s final decision.  </w:t>
      </w:r>
      <w:r w:rsidRPr="00723092">
        <w:rPr>
          <w:rFonts w:eastAsiaTheme="minorHAnsi"/>
          <w:i/>
          <w:sz w:val="26"/>
          <w:szCs w:val="26"/>
        </w:rPr>
        <w:t>See</w:t>
      </w:r>
      <w:r w:rsidRPr="00723092">
        <w:rPr>
          <w:rFonts w:eastAsiaTheme="minorHAnsi"/>
          <w:sz w:val="26"/>
          <w:szCs w:val="26"/>
        </w:rPr>
        <w:t xml:space="preserve"> </w:t>
      </w:r>
      <w:hyperlink r:id="rId8" w:history="1">
        <w:r w:rsidRPr="00723092">
          <w:rPr>
            <w:rFonts w:eastAsiaTheme="minorHAnsi"/>
            <w:sz w:val="26"/>
            <w:szCs w:val="26"/>
          </w:rPr>
          <w:t>66 Pa. C.S. §§ 703(f)</w:t>
        </w:r>
      </w:hyperlink>
      <w:r w:rsidRPr="00723092">
        <w:rPr>
          <w:rFonts w:eastAsiaTheme="minorHAnsi"/>
          <w:sz w:val="26"/>
          <w:szCs w:val="26"/>
        </w:rPr>
        <w:t xml:space="preserve"> and </w:t>
      </w:r>
      <w:hyperlink r:id="rId9" w:history="1">
        <w:r w:rsidRPr="00723092">
          <w:rPr>
            <w:rFonts w:eastAsiaTheme="minorHAnsi"/>
            <w:sz w:val="26"/>
            <w:szCs w:val="26"/>
          </w:rPr>
          <w:t>703(g)</w:t>
        </w:r>
      </w:hyperlink>
      <w:r w:rsidRPr="00723092">
        <w:rPr>
          <w:rFonts w:eastAsiaTheme="minorHAnsi"/>
          <w:sz w:val="26"/>
          <w:szCs w:val="26"/>
        </w:rPr>
        <w:t>, relating to rehearing, rescission, clarification and amendment of orders</w:t>
      </w:r>
      <w:r>
        <w:rPr>
          <w:rFonts w:eastAsiaTheme="minorHAnsi"/>
          <w:sz w:val="26"/>
          <w:szCs w:val="26"/>
        </w:rPr>
        <w:t>, and other relief</w:t>
      </w:r>
      <w:r w:rsidRPr="00723092">
        <w:rPr>
          <w:rFonts w:eastAsiaTheme="minorHAnsi"/>
          <w:sz w:val="26"/>
          <w:szCs w:val="26"/>
        </w:rPr>
        <w:t>.</w:t>
      </w:r>
    </w:p>
    <w:p w14:paraId="347736AA" w14:textId="77777777" w:rsidR="00723092" w:rsidRPr="00723092" w:rsidRDefault="00723092" w:rsidP="00723092">
      <w:pPr>
        <w:rPr>
          <w:rFonts w:eastAsiaTheme="minorHAnsi"/>
          <w:sz w:val="26"/>
          <w:szCs w:val="26"/>
        </w:rPr>
      </w:pPr>
    </w:p>
    <w:p w14:paraId="5C78FA5D" w14:textId="77777777" w:rsidR="00723092" w:rsidRPr="00723092" w:rsidRDefault="00723092" w:rsidP="00723092">
      <w:pPr>
        <w:rPr>
          <w:rFonts w:eastAsiaTheme="minorHAnsi"/>
          <w:sz w:val="26"/>
          <w:szCs w:val="26"/>
        </w:rPr>
      </w:pPr>
      <w:r w:rsidRPr="00723092">
        <w:rPr>
          <w:rFonts w:eastAsiaTheme="minorHAnsi"/>
          <w:sz w:val="26"/>
          <w:szCs w:val="26"/>
        </w:rPr>
        <w:t xml:space="preserve">Requests for relief in the nature of reconsideration, rehearing and/or rescission or amendment, must be consistent with Section 5.572 of our Regulations, </w:t>
      </w:r>
      <w:hyperlink r:id="rId10" w:history="1">
        <w:r w:rsidRPr="00723092">
          <w:rPr>
            <w:rFonts w:eastAsiaTheme="minorHAnsi"/>
            <w:sz w:val="26"/>
            <w:szCs w:val="26"/>
          </w:rPr>
          <w:t>52 Pa. Code § 5.572</w:t>
        </w:r>
      </w:hyperlink>
      <w:r w:rsidRPr="00723092">
        <w:rPr>
          <w:rFonts w:eastAsiaTheme="minorHAnsi"/>
          <w:sz w:val="26"/>
          <w:szCs w:val="26"/>
        </w:rPr>
        <w:t>, addressing petitions for relief following the issuance of a final decision.  52 Pa. Code § 5.572.</w:t>
      </w:r>
    </w:p>
    <w:p w14:paraId="28299D20" w14:textId="17723BF6" w:rsidR="00723092" w:rsidRDefault="00723092" w:rsidP="00723092">
      <w:pPr>
        <w:rPr>
          <w:rFonts w:eastAsiaTheme="minorHAnsi"/>
          <w:sz w:val="26"/>
          <w:szCs w:val="26"/>
        </w:rPr>
      </w:pPr>
    </w:p>
    <w:p w14:paraId="4CF6E45D" w14:textId="13BAED29" w:rsidR="00CC541E" w:rsidRPr="001B1FFE" w:rsidRDefault="00CC541E" w:rsidP="00CC541E">
      <w:pPr>
        <w:rPr>
          <w:sz w:val="26"/>
          <w:szCs w:val="26"/>
        </w:rPr>
      </w:pPr>
      <w:r>
        <w:rPr>
          <w:sz w:val="26"/>
          <w:szCs w:val="26"/>
        </w:rPr>
        <w:t xml:space="preserve">Section 5.572(c) provides that petitions for relief “shall be filed within 15 </w:t>
      </w:r>
      <w:r w:rsidR="00E578A0">
        <w:rPr>
          <w:sz w:val="26"/>
          <w:szCs w:val="26"/>
        </w:rPr>
        <w:t>days</w:t>
      </w:r>
      <w:r>
        <w:rPr>
          <w:sz w:val="26"/>
          <w:szCs w:val="26"/>
        </w:rPr>
        <w:t xml:space="preserve"> after the Commission order involved is entered or otherwise becomes final.”</w:t>
      </w:r>
      <w:r>
        <w:rPr>
          <w:rStyle w:val="FootnoteReference"/>
          <w:rFonts w:eastAsia="SimSun"/>
          <w:szCs w:val="26"/>
        </w:rPr>
        <w:footnoteReference w:id="4"/>
      </w:r>
    </w:p>
    <w:p w14:paraId="7AEF7DEA" w14:textId="77777777" w:rsidR="00CC541E" w:rsidRPr="00723092" w:rsidRDefault="00CC541E" w:rsidP="00723092">
      <w:pPr>
        <w:rPr>
          <w:rFonts w:eastAsiaTheme="minorHAnsi"/>
          <w:sz w:val="26"/>
          <w:szCs w:val="26"/>
        </w:rPr>
      </w:pPr>
    </w:p>
    <w:p w14:paraId="5F7D9835" w14:textId="77777777" w:rsidR="00723092" w:rsidRPr="00723092" w:rsidRDefault="00723092" w:rsidP="00723092">
      <w:pPr>
        <w:rPr>
          <w:rFonts w:eastAsiaTheme="minorHAnsi"/>
          <w:sz w:val="26"/>
          <w:szCs w:val="26"/>
        </w:rPr>
      </w:pPr>
      <w:r w:rsidRPr="00723092">
        <w:rPr>
          <w:rFonts w:eastAsiaTheme="minorHAnsi"/>
          <w:sz w:val="26"/>
          <w:szCs w:val="26"/>
        </w:rPr>
        <w:t xml:space="preserve">PGW acknowledges that the standards for our review and consideration of petitions seeking reconsideration, rehearing and clarification are well settled and are governed by the factors discussed by the Commission in the case of </w:t>
      </w:r>
      <w:r w:rsidRPr="00723092">
        <w:rPr>
          <w:rFonts w:eastAsiaTheme="minorHAnsi"/>
          <w:i/>
          <w:iCs/>
          <w:sz w:val="26"/>
          <w:szCs w:val="26"/>
        </w:rPr>
        <w:t>Duick v. Pa. Gas and Water Company</w:t>
      </w:r>
      <w:r w:rsidRPr="00723092">
        <w:rPr>
          <w:rFonts w:eastAsiaTheme="minorHAnsi"/>
          <w:sz w:val="26"/>
          <w:szCs w:val="26"/>
        </w:rPr>
        <w:t>, 56 Pa. P.U.C. 553 (1982) (</w:t>
      </w:r>
      <w:r w:rsidRPr="00723092">
        <w:rPr>
          <w:rFonts w:eastAsiaTheme="minorHAnsi"/>
          <w:i/>
          <w:sz w:val="26"/>
          <w:szCs w:val="26"/>
        </w:rPr>
        <w:t>Duick</w:t>
      </w:r>
      <w:r w:rsidRPr="00723092">
        <w:rPr>
          <w:rFonts w:eastAsiaTheme="minorHAnsi"/>
          <w:sz w:val="26"/>
          <w:szCs w:val="26"/>
        </w:rPr>
        <w:t xml:space="preserve">); </w:t>
      </w:r>
      <w:r w:rsidRPr="00723092">
        <w:rPr>
          <w:rFonts w:eastAsiaTheme="minorHAnsi"/>
          <w:i/>
          <w:sz w:val="26"/>
          <w:szCs w:val="26"/>
        </w:rPr>
        <w:t xml:space="preserve">see, also </w:t>
      </w:r>
      <w:hyperlink r:id="rId11" w:history="1">
        <w:r w:rsidRPr="00723092">
          <w:rPr>
            <w:rFonts w:eastAsiaTheme="minorHAnsi"/>
            <w:i/>
            <w:iCs/>
            <w:sz w:val="26"/>
            <w:szCs w:val="26"/>
          </w:rPr>
          <w:t>AT&amp;T Comm. of Pa. v</w:t>
        </w:r>
        <w:r w:rsidRPr="00723092">
          <w:rPr>
            <w:rFonts w:eastAsiaTheme="minorHAnsi"/>
            <w:b/>
            <w:i/>
            <w:iCs/>
            <w:sz w:val="26"/>
            <w:szCs w:val="26"/>
          </w:rPr>
          <w:t xml:space="preserve">. </w:t>
        </w:r>
        <w:r w:rsidRPr="00723092">
          <w:rPr>
            <w:rFonts w:eastAsiaTheme="minorHAnsi"/>
            <w:bCs/>
            <w:i/>
            <w:iCs/>
            <w:sz w:val="26"/>
            <w:szCs w:val="26"/>
          </w:rPr>
          <w:t>Pa. PUC</w:t>
        </w:r>
        <w:r w:rsidRPr="00723092">
          <w:rPr>
            <w:rFonts w:eastAsiaTheme="minorHAnsi"/>
            <w:sz w:val="26"/>
            <w:szCs w:val="26"/>
          </w:rPr>
          <w:t>, 568 A.2d 1362 (Pa. Cmwlth. 1990)</w:t>
        </w:r>
      </w:hyperlink>
      <w:r w:rsidRPr="00723092">
        <w:rPr>
          <w:rFonts w:eastAsiaTheme="minorHAnsi"/>
          <w:sz w:val="26"/>
          <w:szCs w:val="26"/>
        </w:rPr>
        <w:t>.</w:t>
      </w:r>
    </w:p>
    <w:p w14:paraId="7045234F" w14:textId="77777777" w:rsidR="00723092" w:rsidRPr="00723092" w:rsidRDefault="00723092" w:rsidP="00723092">
      <w:pPr>
        <w:rPr>
          <w:rFonts w:eastAsiaTheme="minorHAnsi"/>
          <w:sz w:val="26"/>
          <w:szCs w:val="26"/>
        </w:rPr>
      </w:pPr>
    </w:p>
    <w:p w14:paraId="276889C8" w14:textId="77777777" w:rsidR="00723092" w:rsidRPr="00723092" w:rsidRDefault="00723092" w:rsidP="00723092">
      <w:pPr>
        <w:rPr>
          <w:rFonts w:eastAsiaTheme="minorHAnsi"/>
          <w:sz w:val="26"/>
          <w:szCs w:val="26"/>
        </w:rPr>
      </w:pPr>
      <w:r w:rsidRPr="00723092">
        <w:rPr>
          <w:rFonts w:eastAsiaTheme="minorHAnsi"/>
          <w:sz w:val="26"/>
          <w:szCs w:val="26"/>
        </w:rPr>
        <w:t xml:space="preserve">In </w:t>
      </w:r>
      <w:r w:rsidRPr="00723092">
        <w:rPr>
          <w:rFonts w:eastAsiaTheme="minorHAnsi"/>
          <w:i/>
          <w:sz w:val="26"/>
          <w:szCs w:val="26"/>
        </w:rPr>
        <w:t>Duick</w:t>
      </w:r>
      <w:r w:rsidRPr="00723092">
        <w:rPr>
          <w:rFonts w:eastAsiaTheme="minorHAnsi"/>
          <w:sz w:val="26"/>
          <w:szCs w:val="26"/>
        </w:rPr>
        <w:t>,</w:t>
      </w:r>
      <w:r w:rsidRPr="00723092">
        <w:rPr>
          <w:rFonts w:eastAsiaTheme="minorHAnsi"/>
          <w:i/>
          <w:sz w:val="26"/>
          <w:szCs w:val="26"/>
        </w:rPr>
        <w:t xml:space="preserve"> </w:t>
      </w:r>
      <w:r w:rsidRPr="00723092">
        <w:rPr>
          <w:rFonts w:eastAsiaTheme="minorHAnsi"/>
          <w:sz w:val="26"/>
          <w:szCs w:val="26"/>
        </w:rPr>
        <w:t xml:space="preserve">the Commission reasoned that, while a petition under Section 703(g) of the Code may raise any matter designed to convince the Commission that it should exercise its discretion to amend or rescind a prior order, at the same time “[p]arties . . ., cannot be permitted by a second motion to review and reconsider, to raise the same questions which were specifically considered and decided against them.”  </w:t>
      </w:r>
      <w:r w:rsidRPr="00723092">
        <w:rPr>
          <w:rFonts w:eastAsiaTheme="minorHAnsi"/>
          <w:i/>
          <w:sz w:val="26"/>
          <w:szCs w:val="26"/>
        </w:rPr>
        <w:t>Duick</w:t>
      </w:r>
      <w:r w:rsidRPr="00723092">
        <w:rPr>
          <w:rFonts w:eastAsiaTheme="minorHAnsi"/>
          <w:sz w:val="26"/>
          <w:szCs w:val="26"/>
        </w:rPr>
        <w:t xml:space="preserve">  at 559 (quoting </w:t>
      </w:r>
      <w:hyperlink r:id="rId12" w:history="1">
        <w:r w:rsidRPr="00723092">
          <w:rPr>
            <w:rFonts w:eastAsiaTheme="minorHAnsi"/>
            <w:i/>
            <w:iCs/>
            <w:sz w:val="26"/>
            <w:szCs w:val="26"/>
          </w:rPr>
          <w:t>Pa. Railroad Co. v. Pa. PSC</w:t>
        </w:r>
        <w:r w:rsidRPr="00723092">
          <w:rPr>
            <w:rFonts w:eastAsiaTheme="minorHAnsi"/>
            <w:sz w:val="26"/>
            <w:szCs w:val="26"/>
          </w:rPr>
          <w:t>, 179 A. 850, 854 (Pa. Super. Ct. 1935)).</w:t>
        </w:r>
      </w:hyperlink>
      <w:r w:rsidRPr="00723092">
        <w:rPr>
          <w:rFonts w:eastAsiaTheme="minorHAnsi"/>
          <w:sz w:val="26"/>
          <w:szCs w:val="26"/>
        </w:rPr>
        <w:t xml:space="preserve">  Under the standards of </w:t>
      </w:r>
      <w:r w:rsidRPr="00723092">
        <w:rPr>
          <w:rFonts w:eastAsiaTheme="minorHAnsi"/>
          <w:i/>
          <w:sz w:val="26"/>
          <w:szCs w:val="26"/>
        </w:rPr>
        <w:t>Duick</w:t>
      </w:r>
      <w:r w:rsidRPr="00723092">
        <w:rPr>
          <w:rFonts w:eastAsiaTheme="minorHAnsi"/>
          <w:sz w:val="26"/>
          <w:szCs w:val="26"/>
        </w:rPr>
        <w:t>,</w:t>
      </w:r>
      <w:r w:rsidRPr="00723092">
        <w:rPr>
          <w:rFonts w:eastAsiaTheme="minorHAnsi"/>
          <w:i/>
          <w:sz w:val="26"/>
          <w:szCs w:val="26"/>
        </w:rPr>
        <w:t xml:space="preserve"> </w:t>
      </w:r>
      <w:r w:rsidRPr="00723092">
        <w:rPr>
          <w:rFonts w:eastAsiaTheme="minorHAnsi"/>
          <w:sz w:val="26"/>
          <w:szCs w:val="26"/>
        </w:rPr>
        <w:t xml:space="preserve">such petitions are likely to succeed only when they raise “new and novel arguments” not previously heard or considerations which appear to have been overlooked or not addressed by the Commission.  </w:t>
      </w:r>
      <w:r w:rsidRPr="00723092">
        <w:rPr>
          <w:rFonts w:eastAsiaTheme="minorHAnsi"/>
          <w:i/>
          <w:iCs/>
          <w:sz w:val="26"/>
          <w:szCs w:val="26"/>
        </w:rPr>
        <w:t>Duick</w:t>
      </w:r>
      <w:r w:rsidRPr="00723092">
        <w:rPr>
          <w:rFonts w:eastAsiaTheme="minorHAnsi"/>
          <w:sz w:val="26"/>
          <w:szCs w:val="26"/>
        </w:rPr>
        <w:t xml:space="preserve"> at 559.</w:t>
      </w:r>
    </w:p>
    <w:p w14:paraId="707A8FB3" w14:textId="77777777" w:rsidR="00723092" w:rsidRPr="00723092" w:rsidRDefault="00723092" w:rsidP="00723092">
      <w:pPr>
        <w:rPr>
          <w:rFonts w:eastAsiaTheme="minorHAnsi"/>
          <w:sz w:val="26"/>
          <w:szCs w:val="26"/>
        </w:rPr>
      </w:pPr>
    </w:p>
    <w:p w14:paraId="28E7C243" w14:textId="77777777" w:rsidR="00723092" w:rsidRPr="00723092" w:rsidRDefault="00723092" w:rsidP="00723092">
      <w:pPr>
        <w:rPr>
          <w:rFonts w:eastAsiaTheme="minorHAnsi"/>
          <w:sz w:val="26"/>
          <w:szCs w:val="26"/>
        </w:rPr>
      </w:pPr>
      <w:r w:rsidRPr="00723092">
        <w:rPr>
          <w:rFonts w:eastAsiaTheme="minorHAnsi"/>
          <w:sz w:val="26"/>
          <w:szCs w:val="26"/>
        </w:rPr>
        <w:t xml:space="preserve">The considerations of </w:t>
      </w:r>
      <w:r w:rsidRPr="00723092">
        <w:rPr>
          <w:rFonts w:eastAsiaTheme="minorHAnsi"/>
          <w:bCs/>
          <w:i/>
          <w:iCs/>
          <w:sz w:val="26"/>
          <w:szCs w:val="26"/>
        </w:rPr>
        <w:t>Duick</w:t>
      </w:r>
      <w:r w:rsidRPr="00723092">
        <w:rPr>
          <w:rFonts w:eastAsiaTheme="minorHAnsi"/>
          <w:sz w:val="26"/>
          <w:szCs w:val="26"/>
        </w:rPr>
        <w:t xml:space="preserve">, on application, essentially, require a two-step analysis.  </w:t>
      </w:r>
      <w:r w:rsidRPr="00723092">
        <w:rPr>
          <w:rFonts w:eastAsiaTheme="minorHAnsi"/>
          <w:i/>
          <w:sz w:val="26"/>
          <w:szCs w:val="26"/>
        </w:rPr>
        <w:t xml:space="preserve">See, e.g., </w:t>
      </w:r>
      <w:r w:rsidRPr="00723092">
        <w:rPr>
          <w:i/>
          <w:sz w:val="26"/>
          <w:szCs w:val="26"/>
        </w:rPr>
        <w:t>Application of La Mexicana Express Service, LLC, to transport persons in paratransit service, between points within Berks County</w:t>
      </w:r>
      <w:r w:rsidRPr="00723092">
        <w:rPr>
          <w:sz w:val="26"/>
          <w:szCs w:val="26"/>
        </w:rPr>
        <w:t xml:space="preserve">, Docket No. A-2012-2329717; A-6415209 (Order entered September 11, 2014).  </w:t>
      </w:r>
      <w:r w:rsidRPr="00723092">
        <w:rPr>
          <w:rFonts w:eastAsiaTheme="minorHAnsi"/>
          <w:sz w:val="26"/>
        </w:rPr>
        <w:t xml:space="preserve">The first step is that </w:t>
      </w:r>
      <w:r w:rsidRPr="00723092">
        <w:rPr>
          <w:rFonts w:eastAsiaTheme="minorHAnsi"/>
          <w:sz w:val="26"/>
          <w:szCs w:val="26"/>
        </w:rPr>
        <w:t xml:space="preserve">we </w:t>
      </w:r>
      <w:r w:rsidRPr="00723092">
        <w:rPr>
          <w:rFonts w:eastAsiaTheme="minorHAnsi"/>
          <w:sz w:val="26"/>
          <w:szCs w:val="26"/>
        </w:rPr>
        <w:lastRenderedPageBreak/>
        <w:t xml:space="preserve">determine whether a party has offered new and novel arguments or identified considerations that appear to have been overlooked or not addressed by the Commission in its previous order.  </w:t>
      </w:r>
      <w:r w:rsidRPr="00723092">
        <w:rPr>
          <w:rFonts w:eastAsiaTheme="minorHAnsi"/>
          <w:i/>
          <w:sz w:val="26"/>
          <w:szCs w:val="26"/>
        </w:rPr>
        <w:t>Id</w:t>
      </w:r>
      <w:r w:rsidRPr="00723092">
        <w:rPr>
          <w:rFonts w:eastAsiaTheme="minorHAnsi"/>
          <w:sz w:val="26"/>
          <w:szCs w:val="26"/>
        </w:rPr>
        <w:t xml:space="preserve">.  The second step of the </w:t>
      </w:r>
      <w:r w:rsidRPr="00723092">
        <w:rPr>
          <w:rFonts w:eastAsiaTheme="minorHAnsi"/>
          <w:bCs/>
          <w:i/>
          <w:iCs/>
          <w:sz w:val="26"/>
          <w:szCs w:val="26"/>
        </w:rPr>
        <w:t>Duick</w:t>
      </w:r>
      <w:r w:rsidRPr="00723092">
        <w:rPr>
          <w:rFonts w:eastAsiaTheme="minorHAnsi"/>
          <w:sz w:val="26"/>
          <w:szCs w:val="26"/>
        </w:rPr>
        <w:t xml:space="preserve"> analysis is to evaluate the new or novel argument, or overlooked consideration that is alleged, in order to determine whether to modify our previous decision.  </w:t>
      </w:r>
      <w:r w:rsidRPr="00723092">
        <w:rPr>
          <w:rFonts w:eastAsiaTheme="minorHAnsi"/>
          <w:i/>
          <w:sz w:val="26"/>
          <w:szCs w:val="26"/>
        </w:rPr>
        <w:t>Id</w:t>
      </w:r>
      <w:r w:rsidRPr="00723092">
        <w:rPr>
          <w:rFonts w:eastAsiaTheme="minorHAnsi"/>
          <w:sz w:val="26"/>
          <w:szCs w:val="26"/>
        </w:rPr>
        <w:t xml:space="preserve">.  We will not necessarily modify our prior decision just because a party offers a new and novel argument or identifies a consideration that was overlooked or not addressed by the Commission in its previous order.  </w:t>
      </w:r>
      <w:r w:rsidRPr="00723092">
        <w:rPr>
          <w:rFonts w:eastAsiaTheme="minorHAnsi"/>
          <w:i/>
          <w:sz w:val="26"/>
          <w:szCs w:val="26"/>
        </w:rPr>
        <w:t>Id</w:t>
      </w:r>
      <w:r w:rsidRPr="00723092">
        <w:rPr>
          <w:rFonts w:eastAsiaTheme="minorHAnsi"/>
          <w:sz w:val="26"/>
          <w:szCs w:val="26"/>
        </w:rPr>
        <w:t xml:space="preserve">. </w:t>
      </w:r>
    </w:p>
    <w:p w14:paraId="5E143E1C" w14:textId="77777777" w:rsidR="00723092" w:rsidRPr="00723092" w:rsidRDefault="00723092" w:rsidP="00723092">
      <w:pPr>
        <w:rPr>
          <w:sz w:val="26"/>
          <w:szCs w:val="26"/>
        </w:rPr>
      </w:pPr>
    </w:p>
    <w:p w14:paraId="499F93BC" w14:textId="62708C22" w:rsidR="00723092" w:rsidRDefault="00723092" w:rsidP="00723092">
      <w:pPr>
        <w:rPr>
          <w:rFonts w:eastAsiaTheme="minorHAnsi"/>
          <w:sz w:val="26"/>
          <w:szCs w:val="26"/>
        </w:rPr>
      </w:pPr>
      <w:r>
        <w:rPr>
          <w:rFonts w:eastAsiaTheme="minorHAnsi"/>
          <w:sz w:val="26"/>
          <w:szCs w:val="26"/>
        </w:rPr>
        <w:t>Further</w:t>
      </w:r>
      <w:r w:rsidRPr="00723092">
        <w:rPr>
          <w:rFonts w:eastAsiaTheme="minorHAnsi"/>
          <w:sz w:val="26"/>
          <w:szCs w:val="26"/>
        </w:rPr>
        <w:t xml:space="preserve">, by the terms Section 703(g) of the Code, the Commission has the power to amend or rescind its own orders at any time subject only to the requirements of due process.  </w:t>
      </w:r>
      <w:r w:rsidRPr="00723092">
        <w:rPr>
          <w:rFonts w:eastAsiaTheme="minorHAnsi"/>
          <w:i/>
          <w:sz w:val="26"/>
          <w:szCs w:val="26"/>
        </w:rPr>
        <w:t>See Department of Highways v. Pa. P.U.C</w:t>
      </w:r>
      <w:r w:rsidRPr="00723092">
        <w:rPr>
          <w:rFonts w:eastAsiaTheme="minorHAnsi"/>
          <w:sz w:val="26"/>
          <w:szCs w:val="26"/>
        </w:rPr>
        <w:t xml:space="preserve">., 185 Pa. Super. 418, 138 A.2d 143 (1958).  Because such relief may result in disturbance of final orders, a petition to amend or rescind a final order must be granted judiciously and only under appropriate circumstances.  </w:t>
      </w:r>
      <w:r w:rsidRPr="00723092">
        <w:rPr>
          <w:rFonts w:eastAsiaTheme="minorHAnsi"/>
          <w:i/>
          <w:sz w:val="26"/>
          <w:szCs w:val="26"/>
        </w:rPr>
        <w:t>See City of Pittsburgh v. Pennsylvania Department of Transportation,</w:t>
      </w:r>
      <w:r w:rsidRPr="00723092">
        <w:rPr>
          <w:rFonts w:eastAsiaTheme="minorHAnsi"/>
          <w:sz w:val="26"/>
          <w:szCs w:val="26"/>
        </w:rPr>
        <w:t xml:space="preserve"> 490 Pa. 264, 416 A.2d 461 (1980).</w:t>
      </w:r>
    </w:p>
    <w:p w14:paraId="6E727FA5" w14:textId="3997D115" w:rsidR="00723092" w:rsidRDefault="00723092" w:rsidP="00723092">
      <w:pPr>
        <w:rPr>
          <w:rFonts w:eastAsiaTheme="minorHAnsi"/>
          <w:sz w:val="26"/>
          <w:szCs w:val="26"/>
        </w:rPr>
      </w:pPr>
    </w:p>
    <w:p w14:paraId="09ADA746" w14:textId="57521631" w:rsidR="00723092" w:rsidRDefault="00723092" w:rsidP="00723092">
      <w:pPr>
        <w:tabs>
          <w:tab w:val="left" w:pos="-720"/>
        </w:tabs>
        <w:suppressAutoHyphens/>
        <w:rPr>
          <w:sz w:val="26"/>
          <w:szCs w:val="20"/>
        </w:rPr>
      </w:pPr>
      <w:r>
        <w:rPr>
          <w:sz w:val="26"/>
          <w:szCs w:val="20"/>
        </w:rPr>
        <w:t>Finally, it is well settled that</w:t>
      </w:r>
      <w:r w:rsidRPr="00032998">
        <w:rPr>
          <w:sz w:val="26"/>
          <w:szCs w:val="20"/>
        </w:rPr>
        <w:t xml:space="preserve"> any issue, which we do not specifically address herein, has been duly considered and will be denied without further discussion. </w:t>
      </w:r>
      <w:r w:rsidR="006D391D">
        <w:rPr>
          <w:sz w:val="26"/>
          <w:szCs w:val="20"/>
        </w:rPr>
        <w:t xml:space="preserve"> </w:t>
      </w:r>
      <w:r w:rsidRPr="00032998">
        <w:rPr>
          <w:sz w:val="26"/>
          <w:szCs w:val="20"/>
        </w:rPr>
        <w:t xml:space="preserve">It is well settled that we are not required to consider expressly or at length each contention or argument raised by the parties. </w:t>
      </w:r>
      <w:r w:rsidR="00166D8E">
        <w:rPr>
          <w:sz w:val="26"/>
          <w:szCs w:val="20"/>
        </w:rPr>
        <w:t xml:space="preserve"> </w:t>
      </w:r>
      <w:r w:rsidRPr="00D37535">
        <w:rPr>
          <w:i/>
          <w:sz w:val="26"/>
          <w:szCs w:val="20"/>
        </w:rPr>
        <w:t>Consolidated Rail Corp. v. Pa. PUC</w:t>
      </w:r>
      <w:r w:rsidRPr="00032998">
        <w:rPr>
          <w:sz w:val="26"/>
          <w:szCs w:val="20"/>
        </w:rPr>
        <w:t xml:space="preserve">, 625 A.2d 741 (Pa. Cmwlth. 1993); also </w:t>
      </w:r>
      <w:r w:rsidRPr="00D37535">
        <w:rPr>
          <w:i/>
          <w:sz w:val="26"/>
          <w:szCs w:val="20"/>
        </w:rPr>
        <w:t>see, generally, University of Pennsylvania v. Pa. PUC</w:t>
      </w:r>
      <w:r w:rsidRPr="00032998">
        <w:rPr>
          <w:sz w:val="26"/>
          <w:szCs w:val="20"/>
        </w:rPr>
        <w:t>, 485 A.2d 1217 (Pa. Cmwlth. 1984).</w:t>
      </w:r>
    </w:p>
    <w:p w14:paraId="09F36BCA" w14:textId="77777777" w:rsidR="00723092" w:rsidRPr="00723092" w:rsidRDefault="00723092" w:rsidP="00723092">
      <w:pPr>
        <w:ind w:firstLine="0"/>
        <w:rPr>
          <w:rFonts w:eastAsiaTheme="minorHAnsi"/>
          <w:sz w:val="26"/>
          <w:szCs w:val="22"/>
        </w:rPr>
      </w:pPr>
    </w:p>
    <w:p w14:paraId="5A7AEBB7" w14:textId="46B9700D" w:rsidR="00723092" w:rsidRPr="00723092" w:rsidRDefault="00723092" w:rsidP="00723092">
      <w:pPr>
        <w:rPr>
          <w:sz w:val="26"/>
          <w:szCs w:val="26"/>
        </w:rPr>
      </w:pPr>
      <w:r>
        <w:rPr>
          <w:rFonts w:eastAsiaTheme="minorHAnsi"/>
          <w:sz w:val="26"/>
          <w:szCs w:val="22"/>
        </w:rPr>
        <w:t>Accordingly, w</w:t>
      </w:r>
      <w:r w:rsidRPr="00723092">
        <w:rPr>
          <w:rFonts w:eastAsiaTheme="minorHAnsi"/>
          <w:sz w:val="26"/>
          <w:szCs w:val="22"/>
        </w:rPr>
        <w:t xml:space="preserve">e shall consider </w:t>
      </w:r>
      <w:r>
        <w:rPr>
          <w:rFonts w:eastAsiaTheme="minorHAnsi"/>
          <w:sz w:val="26"/>
          <w:szCs w:val="22"/>
        </w:rPr>
        <w:t xml:space="preserve">PGW’s </w:t>
      </w:r>
      <w:r w:rsidRPr="00723092">
        <w:rPr>
          <w:rFonts w:eastAsiaTheme="minorHAnsi"/>
          <w:sz w:val="26"/>
          <w:szCs w:val="22"/>
        </w:rPr>
        <w:t xml:space="preserve">Petition under the standards of </w:t>
      </w:r>
      <w:r w:rsidRPr="00723092">
        <w:rPr>
          <w:rFonts w:eastAsiaTheme="minorHAnsi"/>
          <w:i/>
          <w:sz w:val="26"/>
          <w:szCs w:val="22"/>
        </w:rPr>
        <w:t>Duick</w:t>
      </w:r>
      <w:r w:rsidRPr="00723092">
        <w:rPr>
          <w:rFonts w:eastAsiaTheme="minorHAnsi"/>
          <w:sz w:val="26"/>
          <w:szCs w:val="22"/>
        </w:rPr>
        <w:t>.</w:t>
      </w:r>
    </w:p>
    <w:p w14:paraId="38B1A253" w14:textId="77777777" w:rsidR="00723092" w:rsidRPr="00723092" w:rsidRDefault="00723092" w:rsidP="00723092">
      <w:pPr>
        <w:ind w:firstLine="0"/>
        <w:rPr>
          <w:rFonts w:eastAsiaTheme="minorHAnsi"/>
          <w:b/>
          <w:sz w:val="26"/>
          <w:szCs w:val="26"/>
        </w:rPr>
      </w:pPr>
    </w:p>
    <w:p w14:paraId="11AD11A3" w14:textId="35CC752D" w:rsidR="00723092" w:rsidRPr="00723092" w:rsidRDefault="00D30CBB" w:rsidP="00723092">
      <w:pPr>
        <w:keepNext/>
        <w:keepLines/>
        <w:ind w:firstLine="0"/>
        <w:rPr>
          <w:rFonts w:eastAsiaTheme="minorHAnsi"/>
          <w:b/>
          <w:sz w:val="26"/>
          <w:szCs w:val="26"/>
        </w:rPr>
      </w:pPr>
      <w:r>
        <w:rPr>
          <w:rFonts w:eastAsiaTheme="minorHAnsi"/>
          <w:b/>
          <w:sz w:val="26"/>
          <w:szCs w:val="26"/>
        </w:rPr>
        <w:lastRenderedPageBreak/>
        <w:t>B.</w:t>
      </w:r>
      <w:r>
        <w:rPr>
          <w:rFonts w:eastAsiaTheme="minorHAnsi"/>
          <w:b/>
          <w:sz w:val="26"/>
          <w:szCs w:val="26"/>
        </w:rPr>
        <w:tab/>
      </w:r>
      <w:r w:rsidR="00723092" w:rsidRPr="00723092">
        <w:rPr>
          <w:rFonts w:eastAsiaTheme="minorHAnsi"/>
          <w:b/>
          <w:sz w:val="26"/>
          <w:szCs w:val="26"/>
        </w:rPr>
        <w:t>PGW Petition</w:t>
      </w:r>
    </w:p>
    <w:p w14:paraId="378A58A2" w14:textId="77777777" w:rsidR="00723092" w:rsidRPr="00723092" w:rsidRDefault="00723092" w:rsidP="00723092">
      <w:pPr>
        <w:keepNext/>
        <w:keepLines/>
        <w:ind w:firstLine="0"/>
        <w:rPr>
          <w:rFonts w:eastAsiaTheme="minorHAnsi"/>
          <w:b/>
          <w:sz w:val="26"/>
          <w:szCs w:val="26"/>
        </w:rPr>
      </w:pPr>
    </w:p>
    <w:p w14:paraId="1992361B" w14:textId="78BF8E5B" w:rsidR="00D30CBB" w:rsidRPr="0018367E" w:rsidRDefault="00723092" w:rsidP="001E695E">
      <w:pPr>
        <w:rPr>
          <w:kern w:val="24"/>
          <w:sz w:val="26"/>
          <w:szCs w:val="26"/>
        </w:rPr>
      </w:pPr>
      <w:r w:rsidRPr="00723092">
        <w:rPr>
          <w:rFonts w:eastAsiaTheme="minorHAnsi"/>
          <w:sz w:val="26"/>
          <w:szCs w:val="26"/>
        </w:rPr>
        <w:t>PGW</w:t>
      </w:r>
      <w:r>
        <w:rPr>
          <w:rFonts w:eastAsiaTheme="minorHAnsi"/>
          <w:sz w:val="26"/>
          <w:szCs w:val="26"/>
        </w:rPr>
        <w:t xml:space="preserve"> asserts that reconsideration of our </w:t>
      </w:r>
      <w:r w:rsidR="00D34F84">
        <w:rPr>
          <w:i/>
          <w:kern w:val="24"/>
          <w:sz w:val="26"/>
          <w:szCs w:val="26"/>
        </w:rPr>
        <w:t>March 28 Order</w:t>
      </w:r>
      <w:r>
        <w:rPr>
          <w:i/>
          <w:kern w:val="24"/>
          <w:sz w:val="26"/>
          <w:szCs w:val="26"/>
        </w:rPr>
        <w:t xml:space="preserve"> </w:t>
      </w:r>
      <w:r w:rsidRPr="00723092">
        <w:rPr>
          <w:kern w:val="24"/>
          <w:sz w:val="26"/>
          <w:szCs w:val="26"/>
        </w:rPr>
        <w:t xml:space="preserve">denying </w:t>
      </w:r>
      <w:r>
        <w:rPr>
          <w:kern w:val="24"/>
          <w:sz w:val="26"/>
          <w:szCs w:val="26"/>
        </w:rPr>
        <w:t xml:space="preserve">PGW’s request for </w:t>
      </w:r>
      <w:r w:rsidRPr="00723092">
        <w:rPr>
          <w:kern w:val="24"/>
          <w:sz w:val="26"/>
          <w:szCs w:val="26"/>
        </w:rPr>
        <w:t>stay</w:t>
      </w:r>
      <w:r>
        <w:rPr>
          <w:kern w:val="24"/>
          <w:sz w:val="26"/>
          <w:szCs w:val="26"/>
        </w:rPr>
        <w:t xml:space="preserve"> of </w:t>
      </w:r>
      <w:r w:rsidR="00166D8E">
        <w:rPr>
          <w:kern w:val="24"/>
          <w:sz w:val="26"/>
          <w:szCs w:val="26"/>
        </w:rPr>
        <w:t>its’</w:t>
      </w:r>
      <w:r>
        <w:rPr>
          <w:kern w:val="24"/>
          <w:sz w:val="26"/>
          <w:szCs w:val="26"/>
        </w:rPr>
        <w:t xml:space="preserve"> duty to comply with the prior final orders of the Commission </w:t>
      </w:r>
      <w:r w:rsidR="0018367E">
        <w:rPr>
          <w:kern w:val="24"/>
          <w:sz w:val="26"/>
          <w:szCs w:val="26"/>
        </w:rPr>
        <w:t xml:space="preserve">pending review by Commonwealth Court </w:t>
      </w:r>
      <w:r>
        <w:rPr>
          <w:kern w:val="24"/>
          <w:sz w:val="26"/>
          <w:szCs w:val="26"/>
        </w:rPr>
        <w:t>is warranted because the Commission fails</w:t>
      </w:r>
      <w:r w:rsidR="00D34F84">
        <w:rPr>
          <w:kern w:val="24"/>
          <w:sz w:val="26"/>
          <w:szCs w:val="26"/>
        </w:rPr>
        <w:t xml:space="preserve"> to </w:t>
      </w:r>
      <w:r>
        <w:rPr>
          <w:kern w:val="24"/>
          <w:sz w:val="26"/>
          <w:szCs w:val="26"/>
        </w:rPr>
        <w:t xml:space="preserve">“recognize [the] facts [as asserted by PGW] or that a stay would be the most reasonable course.” </w:t>
      </w:r>
      <w:r w:rsidR="00166D8E">
        <w:rPr>
          <w:kern w:val="24"/>
          <w:sz w:val="26"/>
          <w:szCs w:val="26"/>
        </w:rPr>
        <w:t xml:space="preserve"> </w:t>
      </w:r>
      <w:r>
        <w:rPr>
          <w:kern w:val="24"/>
          <w:sz w:val="26"/>
          <w:szCs w:val="26"/>
        </w:rPr>
        <w:t>Petition at 3.</w:t>
      </w:r>
      <w:r w:rsidR="0018367E">
        <w:rPr>
          <w:kern w:val="24"/>
          <w:sz w:val="26"/>
          <w:szCs w:val="26"/>
        </w:rPr>
        <w:t xml:space="preserve">  Specifically, </w:t>
      </w:r>
      <w:r w:rsidR="00D30CBB">
        <w:rPr>
          <w:kern w:val="24"/>
          <w:sz w:val="26"/>
          <w:szCs w:val="26"/>
        </w:rPr>
        <w:t xml:space="preserve">PGW claims </w:t>
      </w:r>
      <w:r w:rsidR="00D34F84">
        <w:rPr>
          <w:kern w:val="24"/>
          <w:sz w:val="26"/>
          <w:szCs w:val="26"/>
        </w:rPr>
        <w:t xml:space="preserve">to </w:t>
      </w:r>
      <w:r w:rsidR="00D30CBB">
        <w:rPr>
          <w:kern w:val="24"/>
          <w:sz w:val="26"/>
          <w:szCs w:val="26"/>
        </w:rPr>
        <w:t>satisf</w:t>
      </w:r>
      <w:r w:rsidR="00D34F84">
        <w:rPr>
          <w:kern w:val="24"/>
          <w:sz w:val="26"/>
          <w:szCs w:val="26"/>
        </w:rPr>
        <w:t>y</w:t>
      </w:r>
      <w:r w:rsidR="00D30CBB">
        <w:rPr>
          <w:kern w:val="24"/>
          <w:sz w:val="26"/>
          <w:szCs w:val="26"/>
        </w:rPr>
        <w:t xml:space="preserve"> the standard for stay established under </w:t>
      </w:r>
      <w:r w:rsidR="0018367E" w:rsidRPr="0018367E">
        <w:rPr>
          <w:i/>
          <w:kern w:val="24"/>
          <w:sz w:val="26"/>
          <w:szCs w:val="26"/>
        </w:rPr>
        <w:t>PUC v. Process Gas Consumers Group</w:t>
      </w:r>
      <w:r w:rsidR="0018367E">
        <w:rPr>
          <w:kern w:val="24"/>
          <w:sz w:val="26"/>
          <w:szCs w:val="26"/>
        </w:rPr>
        <w:t xml:space="preserve">, 467 A.2d 805(1983).  PGW asserts that </w:t>
      </w:r>
      <w:r w:rsidR="00166D8E">
        <w:rPr>
          <w:kern w:val="24"/>
          <w:sz w:val="26"/>
          <w:szCs w:val="26"/>
        </w:rPr>
        <w:t>it</w:t>
      </w:r>
      <w:r w:rsidR="0018367E">
        <w:rPr>
          <w:kern w:val="24"/>
          <w:sz w:val="26"/>
          <w:szCs w:val="26"/>
        </w:rPr>
        <w:t xml:space="preserve"> </w:t>
      </w:r>
      <w:r w:rsidR="00D30CBB">
        <w:rPr>
          <w:kern w:val="24"/>
          <w:sz w:val="26"/>
          <w:szCs w:val="26"/>
        </w:rPr>
        <w:t xml:space="preserve">demonstrates a strong likelihood of success on the merits because: </w:t>
      </w:r>
      <w:r w:rsidR="00F61397">
        <w:rPr>
          <w:kern w:val="24"/>
          <w:sz w:val="26"/>
          <w:szCs w:val="26"/>
        </w:rPr>
        <w:t>(</w:t>
      </w:r>
      <w:r w:rsidR="00D30CBB">
        <w:rPr>
          <w:kern w:val="24"/>
          <w:sz w:val="26"/>
          <w:szCs w:val="26"/>
        </w:rPr>
        <w:t>1) this is a case of first impression</w:t>
      </w:r>
      <w:r w:rsidR="00166D8E">
        <w:rPr>
          <w:kern w:val="24"/>
          <w:sz w:val="26"/>
          <w:szCs w:val="26"/>
        </w:rPr>
        <w:t>;</w:t>
      </w:r>
      <w:r w:rsidR="0018367E">
        <w:rPr>
          <w:kern w:val="24"/>
          <w:sz w:val="26"/>
          <w:szCs w:val="26"/>
        </w:rPr>
        <w:t xml:space="preserve"> and</w:t>
      </w:r>
      <w:r w:rsidR="00D30CBB">
        <w:rPr>
          <w:kern w:val="24"/>
          <w:sz w:val="26"/>
          <w:szCs w:val="26"/>
        </w:rPr>
        <w:t xml:space="preserve"> </w:t>
      </w:r>
      <w:r w:rsidR="00F61397">
        <w:rPr>
          <w:kern w:val="24"/>
          <w:sz w:val="26"/>
          <w:szCs w:val="26"/>
        </w:rPr>
        <w:t>(</w:t>
      </w:r>
      <w:r w:rsidR="00D30CBB">
        <w:rPr>
          <w:kern w:val="24"/>
          <w:sz w:val="26"/>
          <w:szCs w:val="26"/>
        </w:rPr>
        <w:t xml:space="preserve">2) our </w:t>
      </w:r>
      <w:r w:rsidR="00D34F84">
        <w:rPr>
          <w:i/>
          <w:kern w:val="24"/>
          <w:sz w:val="26"/>
          <w:szCs w:val="26"/>
        </w:rPr>
        <w:t>March 28 Order</w:t>
      </w:r>
      <w:r w:rsidR="00D30CBB">
        <w:rPr>
          <w:kern w:val="24"/>
          <w:sz w:val="26"/>
          <w:szCs w:val="26"/>
        </w:rPr>
        <w:t xml:space="preserve"> deprives PGW of the municipal lien collection tool specifically approved by the legislature under 14149(a)</w:t>
      </w:r>
      <w:r w:rsidR="0018367E">
        <w:rPr>
          <w:kern w:val="24"/>
          <w:sz w:val="26"/>
          <w:szCs w:val="26"/>
        </w:rPr>
        <w:t xml:space="preserve">.  PGW further asserts </w:t>
      </w:r>
      <w:r w:rsidR="00D30CBB">
        <w:rPr>
          <w:kern w:val="24"/>
          <w:sz w:val="26"/>
          <w:szCs w:val="26"/>
        </w:rPr>
        <w:t>PGW will suffer irreparable harm without a stay.  Petition at 6-8.</w:t>
      </w:r>
    </w:p>
    <w:p w14:paraId="1AB39A9E" w14:textId="2EC50FA0" w:rsidR="00EC2863" w:rsidRDefault="00EC2863" w:rsidP="00D34F84">
      <w:pPr>
        <w:tabs>
          <w:tab w:val="left" w:pos="-720"/>
        </w:tabs>
        <w:suppressAutoHyphens/>
        <w:ind w:firstLine="0"/>
        <w:rPr>
          <w:sz w:val="26"/>
          <w:szCs w:val="20"/>
        </w:rPr>
      </w:pPr>
    </w:p>
    <w:p w14:paraId="332420C5" w14:textId="77777777" w:rsidR="00BC53F0" w:rsidRDefault="00BC53F0" w:rsidP="00F61397">
      <w:pPr>
        <w:pStyle w:val="ListParagraph"/>
        <w:keepNext/>
        <w:keepLines/>
        <w:numPr>
          <w:ilvl w:val="0"/>
          <w:numId w:val="2"/>
        </w:numPr>
        <w:tabs>
          <w:tab w:val="left" w:pos="-720"/>
        </w:tabs>
        <w:suppressAutoHyphens/>
        <w:ind w:left="0"/>
        <w:jc w:val="center"/>
        <w:rPr>
          <w:b/>
          <w:sz w:val="26"/>
          <w:szCs w:val="20"/>
        </w:rPr>
      </w:pPr>
      <w:r w:rsidRPr="00DF248A">
        <w:rPr>
          <w:b/>
          <w:sz w:val="26"/>
          <w:szCs w:val="20"/>
        </w:rPr>
        <w:t>Disposition</w:t>
      </w:r>
    </w:p>
    <w:p w14:paraId="0C09FEA9" w14:textId="77777777" w:rsidR="00BC53F0" w:rsidRDefault="00BC53F0" w:rsidP="00F61397">
      <w:pPr>
        <w:pStyle w:val="ListParagraph"/>
        <w:keepNext/>
        <w:keepLines/>
        <w:tabs>
          <w:tab w:val="left" w:pos="-720"/>
        </w:tabs>
        <w:suppressAutoHyphens/>
        <w:ind w:left="0" w:firstLine="0"/>
        <w:rPr>
          <w:b/>
          <w:sz w:val="26"/>
          <w:szCs w:val="20"/>
        </w:rPr>
      </w:pPr>
    </w:p>
    <w:p w14:paraId="3F82A587" w14:textId="2DF3EDE2" w:rsidR="00D03728" w:rsidRDefault="00F14E4C" w:rsidP="00D34F84">
      <w:pPr>
        <w:suppressAutoHyphens/>
        <w:ind w:firstLine="0"/>
        <w:rPr>
          <w:sz w:val="26"/>
        </w:rPr>
      </w:pPr>
      <w:r>
        <w:rPr>
          <w:sz w:val="26"/>
        </w:rPr>
        <w:tab/>
      </w:r>
      <w:r>
        <w:rPr>
          <w:sz w:val="26"/>
        </w:rPr>
        <w:tab/>
      </w:r>
      <w:r w:rsidR="000A23D2">
        <w:rPr>
          <w:sz w:val="26"/>
        </w:rPr>
        <w:t xml:space="preserve">By our </w:t>
      </w:r>
      <w:r w:rsidR="003B4FAA">
        <w:rPr>
          <w:sz w:val="26"/>
        </w:rPr>
        <w:t xml:space="preserve">Opinion and </w:t>
      </w:r>
      <w:r w:rsidR="00F61397">
        <w:rPr>
          <w:sz w:val="26"/>
        </w:rPr>
        <w:t>Or</w:t>
      </w:r>
      <w:r w:rsidR="000A23D2">
        <w:rPr>
          <w:sz w:val="26"/>
        </w:rPr>
        <w:t xml:space="preserve">der entered on </w:t>
      </w:r>
      <w:r w:rsidR="00D03728">
        <w:rPr>
          <w:sz w:val="26"/>
        </w:rPr>
        <w:t xml:space="preserve">April 16, 2019, </w:t>
      </w:r>
      <w:r w:rsidR="000A23D2">
        <w:rPr>
          <w:sz w:val="26"/>
        </w:rPr>
        <w:t>at this docket, we granted reconsideration, within the meaning of Pa. R.A.P. Rule 1701(b)</w:t>
      </w:r>
      <w:r w:rsidR="000A23D2" w:rsidRPr="00027664">
        <w:rPr>
          <w:sz w:val="26"/>
        </w:rPr>
        <w:t>(3), pending review of, and consideration</w:t>
      </w:r>
      <w:r w:rsidR="000A23D2">
        <w:rPr>
          <w:sz w:val="26"/>
        </w:rPr>
        <w:t xml:space="preserve"> on, the merits of the Petition </w:t>
      </w:r>
      <w:r>
        <w:rPr>
          <w:sz w:val="26"/>
        </w:rPr>
        <w:t xml:space="preserve">Pursuant to Rule </w:t>
      </w:r>
      <w:r w:rsidRPr="00027664">
        <w:rPr>
          <w:sz w:val="26"/>
        </w:rPr>
        <w:t>1701 of the Pennsylvania Ru</w:t>
      </w:r>
      <w:r>
        <w:rPr>
          <w:sz w:val="26"/>
        </w:rPr>
        <w:t xml:space="preserve">les of Appellate Procedure, Pa. R.A.P. Rule </w:t>
      </w:r>
      <w:r w:rsidRPr="00027664">
        <w:rPr>
          <w:sz w:val="26"/>
        </w:rPr>
        <w:t>1701</w:t>
      </w:r>
      <w:r>
        <w:rPr>
          <w:sz w:val="26"/>
        </w:rPr>
        <w:t>.</w:t>
      </w:r>
      <w:r w:rsidRPr="00027664">
        <w:rPr>
          <w:sz w:val="26"/>
        </w:rPr>
        <w:t xml:space="preserve"> </w:t>
      </w:r>
      <w:r w:rsidR="00166D8E">
        <w:rPr>
          <w:sz w:val="26"/>
        </w:rPr>
        <w:t xml:space="preserve"> </w:t>
      </w:r>
      <w:r w:rsidR="00D03728">
        <w:rPr>
          <w:sz w:val="26"/>
        </w:rPr>
        <w:t xml:space="preserve">Upon review and consideration of the merits of PGW’s Petition for Reconsideration, we shall deny the Petition. </w:t>
      </w:r>
    </w:p>
    <w:p w14:paraId="3588620E" w14:textId="4C268462" w:rsidR="00D30CBB" w:rsidRDefault="00D30CBB" w:rsidP="00F14E4C">
      <w:pPr>
        <w:suppressAutoHyphens/>
        <w:ind w:firstLine="0"/>
        <w:rPr>
          <w:sz w:val="26"/>
        </w:rPr>
      </w:pPr>
    </w:p>
    <w:p w14:paraId="2648342F" w14:textId="6A9E6C05" w:rsidR="00890A67" w:rsidRDefault="00D30CBB" w:rsidP="00890A67">
      <w:pPr>
        <w:rPr>
          <w:rFonts w:eastAsiaTheme="minorHAnsi"/>
          <w:sz w:val="26"/>
          <w:szCs w:val="26"/>
        </w:rPr>
      </w:pPr>
      <w:r w:rsidRPr="00D30CBB">
        <w:rPr>
          <w:rFonts w:eastAsiaTheme="minorHAnsi"/>
          <w:sz w:val="26"/>
          <w:szCs w:val="26"/>
        </w:rPr>
        <w:t xml:space="preserve">On application of the standards </w:t>
      </w:r>
      <w:r w:rsidR="00166D8E">
        <w:rPr>
          <w:rFonts w:eastAsiaTheme="minorHAnsi"/>
          <w:sz w:val="26"/>
          <w:szCs w:val="26"/>
        </w:rPr>
        <w:t xml:space="preserve">set forth in </w:t>
      </w:r>
      <w:r w:rsidRPr="00D30CBB">
        <w:rPr>
          <w:rFonts w:eastAsiaTheme="minorHAnsi"/>
          <w:i/>
          <w:sz w:val="26"/>
          <w:szCs w:val="26"/>
        </w:rPr>
        <w:t>Duick</w:t>
      </w:r>
      <w:r w:rsidRPr="00D30CBB">
        <w:rPr>
          <w:rFonts w:eastAsiaTheme="minorHAnsi"/>
          <w:sz w:val="26"/>
          <w:szCs w:val="26"/>
        </w:rPr>
        <w:t xml:space="preserve">, we do not find that any of PGW’s contentions support reconsideration, clarification, and/or rehearing of our </w:t>
      </w:r>
      <w:r w:rsidR="00D34F84">
        <w:rPr>
          <w:rFonts w:eastAsiaTheme="minorHAnsi"/>
          <w:i/>
          <w:sz w:val="26"/>
          <w:szCs w:val="26"/>
        </w:rPr>
        <w:t>March 28 Order</w:t>
      </w:r>
      <w:r w:rsidRPr="00D30CBB">
        <w:rPr>
          <w:rFonts w:eastAsiaTheme="minorHAnsi"/>
          <w:sz w:val="26"/>
          <w:szCs w:val="26"/>
        </w:rPr>
        <w:t xml:space="preserve">.  </w:t>
      </w:r>
      <w:r>
        <w:rPr>
          <w:rFonts w:eastAsiaTheme="minorHAnsi"/>
          <w:sz w:val="26"/>
          <w:szCs w:val="26"/>
        </w:rPr>
        <w:t>W</w:t>
      </w:r>
      <w:r w:rsidRPr="00D30CBB">
        <w:rPr>
          <w:rFonts w:eastAsiaTheme="minorHAnsi"/>
          <w:sz w:val="26"/>
          <w:szCs w:val="26"/>
        </w:rPr>
        <w:t xml:space="preserve">e </w:t>
      </w:r>
      <w:r>
        <w:rPr>
          <w:rFonts w:eastAsiaTheme="minorHAnsi"/>
          <w:sz w:val="26"/>
          <w:szCs w:val="26"/>
        </w:rPr>
        <w:t xml:space="preserve">conclude that </w:t>
      </w:r>
      <w:r w:rsidRPr="00D30CBB">
        <w:rPr>
          <w:rFonts w:eastAsiaTheme="minorHAnsi"/>
          <w:sz w:val="26"/>
          <w:szCs w:val="26"/>
        </w:rPr>
        <w:t>PGW</w:t>
      </w:r>
      <w:r>
        <w:rPr>
          <w:rFonts w:eastAsiaTheme="minorHAnsi"/>
          <w:sz w:val="26"/>
          <w:szCs w:val="26"/>
        </w:rPr>
        <w:t xml:space="preserve">’s Petition fails on the merits to </w:t>
      </w:r>
      <w:r w:rsidRPr="00D30CBB">
        <w:rPr>
          <w:rFonts w:eastAsiaTheme="minorHAnsi"/>
          <w:sz w:val="26"/>
          <w:szCs w:val="26"/>
        </w:rPr>
        <w:t xml:space="preserve">raise any new or novel arguments or that the Commission has overlooked any considerations </w:t>
      </w:r>
      <w:r>
        <w:rPr>
          <w:rFonts w:eastAsiaTheme="minorHAnsi"/>
          <w:sz w:val="26"/>
          <w:szCs w:val="26"/>
        </w:rPr>
        <w:t xml:space="preserve">which persuade us that </w:t>
      </w:r>
      <w:r w:rsidRPr="00D30CBB">
        <w:rPr>
          <w:rFonts w:eastAsiaTheme="minorHAnsi"/>
          <w:sz w:val="26"/>
          <w:szCs w:val="26"/>
        </w:rPr>
        <w:t>reconsider</w:t>
      </w:r>
      <w:r>
        <w:rPr>
          <w:rFonts w:eastAsiaTheme="minorHAnsi"/>
          <w:sz w:val="26"/>
          <w:szCs w:val="26"/>
        </w:rPr>
        <w:t>ation is warranted on</w:t>
      </w:r>
      <w:r w:rsidRPr="00D30CBB">
        <w:rPr>
          <w:rFonts w:eastAsiaTheme="minorHAnsi"/>
          <w:sz w:val="26"/>
          <w:szCs w:val="26"/>
        </w:rPr>
        <w:t xml:space="preserve"> our </w:t>
      </w:r>
      <w:r w:rsidR="00D34F84">
        <w:rPr>
          <w:rFonts w:eastAsiaTheme="minorHAnsi"/>
          <w:i/>
          <w:sz w:val="26"/>
          <w:szCs w:val="26"/>
        </w:rPr>
        <w:t>March 28 Order</w:t>
      </w:r>
      <w:r w:rsidRPr="00D30CBB">
        <w:rPr>
          <w:rFonts w:eastAsiaTheme="minorHAnsi"/>
          <w:i/>
          <w:sz w:val="26"/>
          <w:szCs w:val="26"/>
        </w:rPr>
        <w:t xml:space="preserve">.  </w:t>
      </w:r>
      <w:r w:rsidRPr="00D30CBB">
        <w:rPr>
          <w:rFonts w:eastAsiaTheme="minorHAnsi"/>
          <w:sz w:val="26"/>
          <w:szCs w:val="26"/>
        </w:rPr>
        <w:t>We shall address PGW’s arguments in support of its Petition below.</w:t>
      </w:r>
    </w:p>
    <w:p w14:paraId="0BD58786" w14:textId="77777777" w:rsidR="00890A67" w:rsidRDefault="00890A67" w:rsidP="00890A67">
      <w:pPr>
        <w:rPr>
          <w:rFonts w:eastAsiaTheme="minorHAnsi"/>
          <w:sz w:val="26"/>
          <w:szCs w:val="26"/>
        </w:rPr>
      </w:pPr>
    </w:p>
    <w:p w14:paraId="47D8E073" w14:textId="3BAFC738" w:rsidR="00890A67" w:rsidRDefault="00EC2863" w:rsidP="00890A67">
      <w:pPr>
        <w:rPr>
          <w:rFonts w:eastAsiaTheme="minorHAnsi"/>
          <w:sz w:val="26"/>
          <w:szCs w:val="26"/>
        </w:rPr>
      </w:pPr>
      <w:r>
        <w:rPr>
          <w:kern w:val="24"/>
          <w:sz w:val="26"/>
          <w:szCs w:val="26"/>
        </w:rPr>
        <w:lastRenderedPageBreak/>
        <w:t xml:space="preserve">By our </w:t>
      </w:r>
      <w:r w:rsidR="00D34F84">
        <w:rPr>
          <w:i/>
          <w:kern w:val="24"/>
          <w:sz w:val="26"/>
          <w:szCs w:val="26"/>
        </w:rPr>
        <w:t>March 28 Order</w:t>
      </w:r>
      <w:r>
        <w:rPr>
          <w:kern w:val="24"/>
          <w:sz w:val="26"/>
          <w:szCs w:val="26"/>
        </w:rPr>
        <w:t xml:space="preserve"> we fully considered and rejected the arguments which PGW raised for seeking a stay of our prior final order</w:t>
      </w:r>
      <w:r w:rsidR="00C805D3">
        <w:rPr>
          <w:kern w:val="24"/>
          <w:sz w:val="26"/>
          <w:szCs w:val="26"/>
        </w:rPr>
        <w:t xml:space="preserve">.  </w:t>
      </w:r>
      <w:r w:rsidR="00C805D3" w:rsidRPr="00C805D3">
        <w:rPr>
          <w:i/>
          <w:kern w:val="24"/>
          <w:sz w:val="26"/>
          <w:szCs w:val="26"/>
        </w:rPr>
        <w:t>March 28 Order</w:t>
      </w:r>
      <w:r w:rsidR="00C805D3">
        <w:rPr>
          <w:kern w:val="24"/>
          <w:sz w:val="26"/>
          <w:szCs w:val="26"/>
        </w:rPr>
        <w:t xml:space="preserve"> at </w:t>
      </w:r>
      <w:r w:rsidR="006A4207">
        <w:rPr>
          <w:kern w:val="24"/>
          <w:sz w:val="26"/>
          <w:szCs w:val="26"/>
        </w:rPr>
        <w:t>14-22</w:t>
      </w:r>
      <w:r>
        <w:rPr>
          <w:kern w:val="24"/>
          <w:sz w:val="26"/>
          <w:szCs w:val="26"/>
        </w:rPr>
        <w:t>.  PGW now reiterates those claims as a basis for seeking reconsideration of our denial of a stay.</w:t>
      </w:r>
    </w:p>
    <w:p w14:paraId="153964A8" w14:textId="77777777" w:rsidR="00890A67" w:rsidRDefault="00890A67" w:rsidP="00890A67">
      <w:pPr>
        <w:rPr>
          <w:rFonts w:eastAsiaTheme="minorHAnsi"/>
          <w:sz w:val="26"/>
          <w:szCs w:val="26"/>
        </w:rPr>
      </w:pPr>
    </w:p>
    <w:p w14:paraId="2E73C924" w14:textId="75C13E78" w:rsidR="00890A67" w:rsidRDefault="00166D8E" w:rsidP="00890A67">
      <w:pPr>
        <w:rPr>
          <w:rFonts w:eastAsiaTheme="minorHAnsi"/>
          <w:sz w:val="26"/>
          <w:szCs w:val="26"/>
        </w:rPr>
      </w:pPr>
      <w:r>
        <w:rPr>
          <w:kern w:val="24"/>
          <w:sz w:val="26"/>
          <w:szCs w:val="26"/>
        </w:rPr>
        <w:t>Since w</w:t>
      </w:r>
      <w:r w:rsidR="00EC2863">
        <w:rPr>
          <w:kern w:val="24"/>
          <w:sz w:val="26"/>
          <w:szCs w:val="26"/>
        </w:rPr>
        <w:t xml:space="preserve">e previously concluded that PGW did not satisfy the established criteria for granting a stay under </w:t>
      </w:r>
      <w:r w:rsidR="00EC2863" w:rsidRPr="00723092">
        <w:rPr>
          <w:i/>
          <w:kern w:val="24"/>
          <w:sz w:val="26"/>
          <w:szCs w:val="26"/>
        </w:rPr>
        <w:t>Process Gas</w:t>
      </w:r>
      <w:r w:rsidR="00EC2863">
        <w:rPr>
          <w:kern w:val="24"/>
          <w:sz w:val="26"/>
          <w:szCs w:val="26"/>
        </w:rPr>
        <w:t xml:space="preserve">, and we will not revisit our analysis of each criteria.  </w:t>
      </w:r>
      <w:r w:rsidR="00C805D3" w:rsidRPr="00C805D3">
        <w:rPr>
          <w:i/>
          <w:kern w:val="24"/>
          <w:sz w:val="26"/>
          <w:szCs w:val="26"/>
        </w:rPr>
        <w:t>March 28 Order</w:t>
      </w:r>
      <w:r w:rsidR="00C805D3">
        <w:rPr>
          <w:kern w:val="24"/>
          <w:sz w:val="26"/>
          <w:szCs w:val="26"/>
        </w:rPr>
        <w:t xml:space="preserve"> at </w:t>
      </w:r>
      <w:r w:rsidR="006A4207">
        <w:rPr>
          <w:kern w:val="24"/>
          <w:sz w:val="26"/>
          <w:szCs w:val="26"/>
        </w:rPr>
        <w:t>22.</w:t>
      </w:r>
      <w:r w:rsidR="00EC2863">
        <w:rPr>
          <w:kern w:val="24"/>
          <w:sz w:val="26"/>
          <w:szCs w:val="26"/>
        </w:rPr>
        <w:t xml:space="preserve">  However, we specifically reject </w:t>
      </w:r>
      <w:bookmarkStart w:id="0" w:name="_Hlk7355375"/>
      <w:r w:rsidR="00EC2863">
        <w:rPr>
          <w:kern w:val="24"/>
          <w:sz w:val="26"/>
          <w:szCs w:val="26"/>
        </w:rPr>
        <w:t>PGW’ s repeated claims that PGW demonstrates a strong likelihood of success on the merits because</w:t>
      </w:r>
      <w:r w:rsidR="006A4207">
        <w:rPr>
          <w:kern w:val="24"/>
          <w:sz w:val="26"/>
          <w:szCs w:val="26"/>
        </w:rPr>
        <w:t>:</w:t>
      </w:r>
      <w:r w:rsidR="00EC2863">
        <w:rPr>
          <w:kern w:val="24"/>
          <w:sz w:val="26"/>
          <w:szCs w:val="26"/>
        </w:rPr>
        <w:t xml:space="preserve"> </w:t>
      </w:r>
      <w:r w:rsidR="003B4FAA">
        <w:rPr>
          <w:kern w:val="24"/>
          <w:sz w:val="26"/>
          <w:szCs w:val="26"/>
        </w:rPr>
        <w:t>(</w:t>
      </w:r>
      <w:r w:rsidR="00EC2863">
        <w:rPr>
          <w:kern w:val="24"/>
          <w:sz w:val="26"/>
          <w:szCs w:val="26"/>
        </w:rPr>
        <w:t xml:space="preserve">1) this is a case of first impression; </w:t>
      </w:r>
      <w:r w:rsidR="003B4FAA">
        <w:rPr>
          <w:kern w:val="24"/>
          <w:sz w:val="26"/>
          <w:szCs w:val="26"/>
        </w:rPr>
        <w:t>and (</w:t>
      </w:r>
      <w:r w:rsidR="00EC2863">
        <w:rPr>
          <w:kern w:val="24"/>
          <w:sz w:val="26"/>
          <w:szCs w:val="26"/>
        </w:rPr>
        <w:t xml:space="preserve">2) our </w:t>
      </w:r>
      <w:r w:rsidR="00D34F84">
        <w:rPr>
          <w:i/>
          <w:kern w:val="24"/>
          <w:sz w:val="26"/>
          <w:szCs w:val="26"/>
        </w:rPr>
        <w:t>March 28 Order</w:t>
      </w:r>
      <w:r w:rsidR="00EC2863">
        <w:rPr>
          <w:kern w:val="24"/>
          <w:sz w:val="26"/>
          <w:szCs w:val="26"/>
        </w:rPr>
        <w:t xml:space="preserve"> deprives PGW of the municipal lien collection tool specifically approved by the legislature under 14149(a)</w:t>
      </w:r>
      <w:r w:rsidR="00E0467B">
        <w:rPr>
          <w:kern w:val="24"/>
          <w:sz w:val="26"/>
          <w:szCs w:val="26"/>
        </w:rPr>
        <w:t>.</w:t>
      </w:r>
      <w:r>
        <w:rPr>
          <w:kern w:val="24"/>
          <w:sz w:val="26"/>
          <w:szCs w:val="26"/>
        </w:rPr>
        <w:t xml:space="preserve"> </w:t>
      </w:r>
      <w:r w:rsidR="00E0467B">
        <w:rPr>
          <w:kern w:val="24"/>
          <w:sz w:val="26"/>
          <w:szCs w:val="26"/>
        </w:rPr>
        <w:t xml:space="preserve"> Finally, we reject PGW’s assertion that </w:t>
      </w:r>
      <w:r w:rsidR="00EC2863">
        <w:rPr>
          <w:kern w:val="24"/>
          <w:sz w:val="26"/>
          <w:szCs w:val="26"/>
        </w:rPr>
        <w:t>PGW will suffer irreparable harm without a stay.  Petition at 6-8.</w:t>
      </w:r>
      <w:bookmarkEnd w:id="0"/>
    </w:p>
    <w:p w14:paraId="0FCE5181" w14:textId="77777777" w:rsidR="00890A67" w:rsidRDefault="00890A67" w:rsidP="00890A67">
      <w:pPr>
        <w:rPr>
          <w:rFonts w:eastAsiaTheme="minorHAnsi"/>
          <w:sz w:val="26"/>
          <w:szCs w:val="26"/>
        </w:rPr>
      </w:pPr>
    </w:p>
    <w:p w14:paraId="1465BBD1" w14:textId="4D44AA8F" w:rsidR="00890A67" w:rsidRDefault="009C5825" w:rsidP="00890A67">
      <w:pPr>
        <w:rPr>
          <w:rFonts w:eastAsiaTheme="minorHAnsi"/>
          <w:sz w:val="26"/>
          <w:szCs w:val="26"/>
        </w:rPr>
      </w:pPr>
      <w:r>
        <w:rPr>
          <w:kern w:val="24"/>
          <w:sz w:val="26"/>
          <w:szCs w:val="26"/>
        </w:rPr>
        <w:t>A</w:t>
      </w:r>
      <w:r w:rsidR="00EC2863">
        <w:rPr>
          <w:kern w:val="24"/>
          <w:sz w:val="26"/>
          <w:szCs w:val="26"/>
        </w:rPr>
        <w:t xml:space="preserve">s we have already noted, the material facts which formed the basis of our prior determination that PGW’s billing and collection practices did not comply with applicable provisions of the Code and Commission regulations did not involve a “case of first impression” which would establish PGW’s likelihood of success on the merits. </w:t>
      </w:r>
      <w:r w:rsidR="00166D8E">
        <w:rPr>
          <w:kern w:val="24"/>
          <w:sz w:val="26"/>
          <w:szCs w:val="26"/>
        </w:rPr>
        <w:t xml:space="preserve"> </w:t>
      </w:r>
      <w:r w:rsidR="00C805D3" w:rsidRPr="00C805D3">
        <w:rPr>
          <w:i/>
          <w:kern w:val="24"/>
          <w:sz w:val="26"/>
          <w:szCs w:val="26"/>
        </w:rPr>
        <w:t>March 28 Order</w:t>
      </w:r>
      <w:r w:rsidR="00C805D3">
        <w:rPr>
          <w:kern w:val="24"/>
          <w:sz w:val="26"/>
          <w:szCs w:val="26"/>
        </w:rPr>
        <w:t xml:space="preserve"> at </w:t>
      </w:r>
      <w:r w:rsidR="006A4207">
        <w:rPr>
          <w:kern w:val="24"/>
          <w:sz w:val="26"/>
          <w:szCs w:val="26"/>
        </w:rPr>
        <w:t>14-16</w:t>
      </w:r>
      <w:r w:rsidR="00EC2863">
        <w:rPr>
          <w:kern w:val="24"/>
          <w:sz w:val="26"/>
          <w:szCs w:val="26"/>
        </w:rPr>
        <w:t xml:space="preserve">.  </w:t>
      </w:r>
      <w:r w:rsidR="00E0467B">
        <w:rPr>
          <w:kern w:val="24"/>
          <w:sz w:val="26"/>
          <w:szCs w:val="26"/>
        </w:rPr>
        <w:t xml:space="preserve">We acknowledged the </w:t>
      </w:r>
      <w:r w:rsidR="00EC2863" w:rsidRPr="00723092">
        <w:rPr>
          <w:kern w:val="24"/>
          <w:sz w:val="26"/>
          <w:szCs w:val="26"/>
        </w:rPr>
        <w:t xml:space="preserve">fact </w:t>
      </w:r>
      <w:r w:rsidR="00EC2863">
        <w:rPr>
          <w:kern w:val="24"/>
          <w:sz w:val="26"/>
          <w:szCs w:val="26"/>
        </w:rPr>
        <w:t>that PGW is uniquely situated as a municipal gas utility</w:t>
      </w:r>
      <w:r w:rsidR="00166D8E">
        <w:rPr>
          <w:kern w:val="24"/>
          <w:sz w:val="26"/>
          <w:szCs w:val="26"/>
        </w:rPr>
        <w:t xml:space="preserve">, </w:t>
      </w:r>
      <w:r w:rsidR="00EC2863">
        <w:rPr>
          <w:kern w:val="24"/>
          <w:sz w:val="26"/>
          <w:szCs w:val="26"/>
        </w:rPr>
        <w:t xml:space="preserve">and </w:t>
      </w:r>
      <w:r w:rsidR="00166D8E">
        <w:rPr>
          <w:kern w:val="24"/>
          <w:sz w:val="26"/>
          <w:szCs w:val="26"/>
        </w:rPr>
        <w:t>authorized</w:t>
      </w:r>
      <w:r w:rsidR="00EC2863">
        <w:rPr>
          <w:kern w:val="24"/>
          <w:sz w:val="26"/>
          <w:szCs w:val="26"/>
        </w:rPr>
        <w:t xml:space="preserve"> by </w:t>
      </w:r>
      <w:r>
        <w:rPr>
          <w:kern w:val="24"/>
          <w:sz w:val="26"/>
          <w:szCs w:val="26"/>
        </w:rPr>
        <w:t xml:space="preserve">the </w:t>
      </w:r>
      <w:r w:rsidR="00EC2863">
        <w:rPr>
          <w:kern w:val="24"/>
          <w:sz w:val="26"/>
          <w:szCs w:val="26"/>
        </w:rPr>
        <w:t>Code</w:t>
      </w:r>
      <w:r w:rsidR="00166D8E">
        <w:rPr>
          <w:kern w:val="24"/>
          <w:sz w:val="26"/>
          <w:szCs w:val="26"/>
        </w:rPr>
        <w:t>,</w:t>
      </w:r>
      <w:r w:rsidR="00EC2863">
        <w:rPr>
          <w:kern w:val="24"/>
          <w:sz w:val="26"/>
          <w:szCs w:val="26"/>
        </w:rPr>
        <w:t xml:space="preserve"> to impose municipal liens under Section 1414(a) of the Code.  </w:t>
      </w:r>
      <w:r w:rsidR="00E0467B">
        <w:rPr>
          <w:kern w:val="24"/>
          <w:sz w:val="26"/>
          <w:szCs w:val="26"/>
        </w:rPr>
        <w:t xml:space="preserve">While acknowledging </w:t>
      </w:r>
      <w:r w:rsidR="00C805D3">
        <w:rPr>
          <w:kern w:val="24"/>
          <w:sz w:val="26"/>
          <w:szCs w:val="26"/>
        </w:rPr>
        <w:t>this fact</w:t>
      </w:r>
      <w:r w:rsidR="00E0467B">
        <w:rPr>
          <w:kern w:val="24"/>
          <w:sz w:val="26"/>
          <w:szCs w:val="26"/>
        </w:rPr>
        <w:t xml:space="preserve">, we </w:t>
      </w:r>
      <w:r w:rsidR="00EC2863">
        <w:rPr>
          <w:kern w:val="24"/>
          <w:sz w:val="26"/>
          <w:szCs w:val="26"/>
        </w:rPr>
        <w:t>noted that we had never been required to examine the interplay between municipal lien law and a utility’s tariff</w:t>
      </w:r>
      <w:r w:rsidR="00EC2863" w:rsidRPr="006A4207">
        <w:rPr>
          <w:i/>
          <w:kern w:val="24"/>
          <w:sz w:val="26"/>
          <w:szCs w:val="26"/>
        </w:rPr>
        <w:t>.</w:t>
      </w:r>
      <w:r w:rsidR="00166D8E">
        <w:rPr>
          <w:i/>
          <w:kern w:val="24"/>
          <w:sz w:val="26"/>
          <w:szCs w:val="26"/>
        </w:rPr>
        <w:t xml:space="preserve"> </w:t>
      </w:r>
      <w:r w:rsidR="00EC2863" w:rsidRPr="006A4207">
        <w:rPr>
          <w:i/>
          <w:kern w:val="24"/>
          <w:sz w:val="26"/>
          <w:szCs w:val="26"/>
        </w:rPr>
        <w:t xml:space="preserve"> </w:t>
      </w:r>
      <w:r w:rsidR="001B09FC" w:rsidRPr="006A4207">
        <w:rPr>
          <w:i/>
          <w:kern w:val="24"/>
          <w:sz w:val="26"/>
          <w:szCs w:val="26"/>
        </w:rPr>
        <w:t>Id.</w:t>
      </w:r>
      <w:r w:rsidR="001B09FC" w:rsidRPr="006A4207">
        <w:rPr>
          <w:kern w:val="24"/>
          <w:sz w:val="26"/>
          <w:szCs w:val="26"/>
        </w:rPr>
        <w:t xml:space="preserve"> </w:t>
      </w:r>
      <w:r w:rsidR="00EC2863">
        <w:rPr>
          <w:kern w:val="24"/>
          <w:sz w:val="26"/>
          <w:szCs w:val="26"/>
        </w:rPr>
        <w:t xml:space="preserve"> However, our ultimate determination that PGW’s practices were unlawful fell squarely within our discretion to interpret the billing and collection provisions of the Code, Commission regulations and PGW’s tariff. </w:t>
      </w:r>
      <w:r w:rsidR="00166D8E">
        <w:rPr>
          <w:kern w:val="24"/>
          <w:sz w:val="26"/>
          <w:szCs w:val="26"/>
        </w:rPr>
        <w:t xml:space="preserve"> </w:t>
      </w:r>
      <w:r w:rsidR="00C805D3" w:rsidRPr="00C805D3">
        <w:rPr>
          <w:i/>
          <w:kern w:val="24"/>
          <w:sz w:val="26"/>
          <w:szCs w:val="26"/>
        </w:rPr>
        <w:t>Id</w:t>
      </w:r>
      <w:r w:rsidR="00C805D3" w:rsidRPr="006A4207">
        <w:rPr>
          <w:kern w:val="24"/>
          <w:sz w:val="26"/>
          <w:szCs w:val="26"/>
        </w:rPr>
        <w:t xml:space="preserve">. at </w:t>
      </w:r>
      <w:r w:rsidR="006A4207">
        <w:rPr>
          <w:kern w:val="24"/>
          <w:sz w:val="26"/>
          <w:szCs w:val="26"/>
        </w:rPr>
        <w:t>15-16.</w:t>
      </w:r>
    </w:p>
    <w:p w14:paraId="28ACAF3C" w14:textId="77777777" w:rsidR="00890A67" w:rsidRDefault="00890A67" w:rsidP="00890A67">
      <w:pPr>
        <w:rPr>
          <w:rFonts w:eastAsiaTheme="minorHAnsi"/>
          <w:sz w:val="26"/>
          <w:szCs w:val="26"/>
        </w:rPr>
      </w:pPr>
    </w:p>
    <w:p w14:paraId="1F817526" w14:textId="5D9E4C08" w:rsidR="00890A67" w:rsidRDefault="00EC2863" w:rsidP="00890A67">
      <w:pPr>
        <w:rPr>
          <w:rFonts w:eastAsiaTheme="minorHAnsi"/>
          <w:sz w:val="26"/>
          <w:szCs w:val="26"/>
        </w:rPr>
      </w:pPr>
      <w:r>
        <w:rPr>
          <w:kern w:val="24"/>
          <w:sz w:val="26"/>
          <w:szCs w:val="26"/>
        </w:rPr>
        <w:t xml:space="preserve">Our prior order clearly recognized that PGW is authorized to impose a municipal lien if PGW so chooses. </w:t>
      </w:r>
      <w:r w:rsidR="00C805D3" w:rsidRPr="00C805D3">
        <w:rPr>
          <w:i/>
          <w:kern w:val="24"/>
          <w:sz w:val="26"/>
          <w:szCs w:val="26"/>
        </w:rPr>
        <w:t>Id</w:t>
      </w:r>
      <w:r w:rsidR="00C805D3">
        <w:rPr>
          <w:kern w:val="24"/>
          <w:sz w:val="26"/>
          <w:szCs w:val="26"/>
        </w:rPr>
        <w:t xml:space="preserve">. at </w:t>
      </w:r>
      <w:r w:rsidR="00CA31C6">
        <w:rPr>
          <w:kern w:val="24"/>
          <w:sz w:val="26"/>
          <w:szCs w:val="26"/>
        </w:rPr>
        <w:t>17.</w:t>
      </w:r>
      <w:r>
        <w:rPr>
          <w:kern w:val="24"/>
          <w:sz w:val="26"/>
          <w:szCs w:val="26"/>
        </w:rPr>
        <w:t xml:space="preserve">  However, in an exercise of our discretion to implement the provisions of the Code, we concluded that PGW could either impose a municipal lien or utilize the other billing and collection practices under the Code and </w:t>
      </w:r>
      <w:r>
        <w:rPr>
          <w:kern w:val="24"/>
          <w:sz w:val="26"/>
          <w:szCs w:val="26"/>
        </w:rPr>
        <w:lastRenderedPageBreak/>
        <w:t xml:space="preserve">regulations, but not both.  Our conclusion, as jurisdictional matter, was itself, a matter within our </w:t>
      </w:r>
      <w:r w:rsidR="001B09FC">
        <w:rPr>
          <w:kern w:val="24"/>
          <w:sz w:val="26"/>
          <w:szCs w:val="26"/>
        </w:rPr>
        <w:t xml:space="preserve">authority and </w:t>
      </w:r>
      <w:r>
        <w:rPr>
          <w:kern w:val="24"/>
          <w:sz w:val="26"/>
          <w:szCs w:val="26"/>
        </w:rPr>
        <w:t>discretion</w:t>
      </w:r>
      <w:r w:rsidR="009C5825">
        <w:rPr>
          <w:kern w:val="24"/>
          <w:sz w:val="26"/>
          <w:szCs w:val="26"/>
        </w:rPr>
        <w:t xml:space="preserve"> </w:t>
      </w:r>
      <w:r>
        <w:rPr>
          <w:kern w:val="24"/>
          <w:sz w:val="26"/>
          <w:szCs w:val="26"/>
        </w:rPr>
        <w:t xml:space="preserve">to implement the terms of the Code, including Section 1414 (a).  </w:t>
      </w:r>
      <w:r w:rsidR="00CA31C6" w:rsidRPr="00CA31C6">
        <w:rPr>
          <w:i/>
          <w:kern w:val="24"/>
          <w:sz w:val="26"/>
          <w:szCs w:val="26"/>
        </w:rPr>
        <w:t>Id</w:t>
      </w:r>
      <w:r w:rsidR="00CA31C6">
        <w:rPr>
          <w:i/>
          <w:kern w:val="24"/>
          <w:sz w:val="26"/>
          <w:szCs w:val="26"/>
        </w:rPr>
        <w:t>.</w:t>
      </w:r>
      <w:r w:rsidR="00CA31C6">
        <w:rPr>
          <w:kern w:val="24"/>
          <w:sz w:val="26"/>
          <w:szCs w:val="26"/>
        </w:rPr>
        <w:t xml:space="preserve"> at 14-17</w:t>
      </w:r>
    </w:p>
    <w:p w14:paraId="4BC67068" w14:textId="77777777" w:rsidR="00890A67" w:rsidRDefault="00890A67" w:rsidP="00890A67">
      <w:pPr>
        <w:rPr>
          <w:rFonts w:eastAsiaTheme="minorHAnsi"/>
          <w:sz w:val="26"/>
          <w:szCs w:val="26"/>
        </w:rPr>
      </w:pPr>
    </w:p>
    <w:p w14:paraId="6FD3CF50" w14:textId="1CD7B530" w:rsidR="00890A67" w:rsidRDefault="00EC2863" w:rsidP="00890A67">
      <w:pPr>
        <w:rPr>
          <w:rFonts w:eastAsiaTheme="minorHAnsi"/>
          <w:sz w:val="26"/>
          <w:szCs w:val="26"/>
        </w:rPr>
      </w:pPr>
      <w:r>
        <w:rPr>
          <w:kern w:val="24"/>
          <w:sz w:val="26"/>
          <w:szCs w:val="26"/>
        </w:rPr>
        <w:t xml:space="preserve">We agree with PGW that the plain language of Section 1414(a) establishes PGW’s ability to impose a municipal lien as an </w:t>
      </w:r>
      <w:r w:rsidR="001B09FC">
        <w:rPr>
          <w:kern w:val="24"/>
          <w:sz w:val="26"/>
          <w:szCs w:val="26"/>
        </w:rPr>
        <w:t>“</w:t>
      </w:r>
      <w:r w:rsidRPr="001B09FC">
        <w:rPr>
          <w:kern w:val="24"/>
          <w:sz w:val="26"/>
          <w:szCs w:val="26"/>
        </w:rPr>
        <w:t>additional collection tool</w:t>
      </w:r>
      <w:r w:rsidR="001B09FC" w:rsidRPr="001B09FC">
        <w:rPr>
          <w:kern w:val="24"/>
          <w:sz w:val="26"/>
          <w:szCs w:val="26"/>
        </w:rPr>
        <w:t>”</w:t>
      </w:r>
      <w:r>
        <w:rPr>
          <w:kern w:val="24"/>
          <w:sz w:val="26"/>
          <w:szCs w:val="26"/>
        </w:rPr>
        <w:t xml:space="preserve"> available to PGW as a municipal gas utility.  However, PGW has not, and cannot, point to any language in Section 1414(a), which suggests that the legislature intended a municipal lien as an additional collection tool, which would be reasonably applied to operate </w:t>
      </w:r>
      <w:r w:rsidRPr="00723092">
        <w:rPr>
          <w:i/>
          <w:kern w:val="24"/>
          <w:sz w:val="26"/>
          <w:szCs w:val="26"/>
        </w:rPr>
        <w:t xml:space="preserve">simultaneously </w:t>
      </w:r>
      <w:r>
        <w:rPr>
          <w:kern w:val="24"/>
          <w:sz w:val="26"/>
          <w:szCs w:val="26"/>
        </w:rPr>
        <w:t xml:space="preserve">and </w:t>
      </w:r>
      <w:r w:rsidRPr="00723092">
        <w:rPr>
          <w:i/>
          <w:kern w:val="24"/>
          <w:sz w:val="26"/>
          <w:szCs w:val="26"/>
        </w:rPr>
        <w:t>overlapping with</w:t>
      </w:r>
      <w:r>
        <w:rPr>
          <w:kern w:val="24"/>
          <w:sz w:val="26"/>
          <w:szCs w:val="26"/>
        </w:rPr>
        <w:t xml:space="preserve"> other available billing and collections tools provided for in the Code and Commission regulations.</w:t>
      </w:r>
    </w:p>
    <w:p w14:paraId="42084A01" w14:textId="77777777" w:rsidR="00890A67" w:rsidRDefault="00890A67" w:rsidP="00890A67">
      <w:pPr>
        <w:rPr>
          <w:rFonts w:eastAsiaTheme="minorHAnsi"/>
          <w:sz w:val="26"/>
          <w:szCs w:val="26"/>
        </w:rPr>
      </w:pPr>
    </w:p>
    <w:p w14:paraId="284BC952" w14:textId="1410D44D" w:rsidR="00890A67" w:rsidRDefault="00EC2863" w:rsidP="00890A67">
      <w:pPr>
        <w:rPr>
          <w:rFonts w:eastAsiaTheme="minorHAnsi"/>
          <w:sz w:val="26"/>
          <w:szCs w:val="26"/>
        </w:rPr>
      </w:pPr>
      <w:r>
        <w:rPr>
          <w:kern w:val="24"/>
          <w:sz w:val="26"/>
          <w:szCs w:val="26"/>
        </w:rPr>
        <w:t xml:space="preserve">Further, our review of the plain language of </w:t>
      </w:r>
      <w:r w:rsidR="00472A9D">
        <w:rPr>
          <w:kern w:val="24"/>
          <w:sz w:val="26"/>
          <w:szCs w:val="26"/>
        </w:rPr>
        <w:t xml:space="preserve">the applicable </w:t>
      </w:r>
      <w:r w:rsidR="00A52BCF">
        <w:rPr>
          <w:kern w:val="24"/>
          <w:sz w:val="26"/>
          <w:szCs w:val="26"/>
        </w:rPr>
        <w:t>provision of</w:t>
      </w:r>
      <w:r w:rsidR="00472A9D">
        <w:rPr>
          <w:kern w:val="24"/>
          <w:sz w:val="26"/>
          <w:szCs w:val="26"/>
        </w:rPr>
        <w:t xml:space="preserve"> the </w:t>
      </w:r>
      <w:r w:rsidR="00A52BCF">
        <w:rPr>
          <w:sz w:val="26"/>
          <w:szCs w:val="26"/>
        </w:rPr>
        <w:t xml:space="preserve">Municipal Claim and Tax Lien Law </w:t>
      </w:r>
      <w:r w:rsidR="00472A9D">
        <w:rPr>
          <w:sz w:val="26"/>
          <w:szCs w:val="26"/>
        </w:rPr>
        <w:t xml:space="preserve">(MCTLL), </w:t>
      </w:r>
      <w:r w:rsidR="00472A9D" w:rsidRPr="00472A9D">
        <w:rPr>
          <w:sz w:val="26"/>
          <w:szCs w:val="26"/>
        </w:rPr>
        <w:t>53 P.S. § 7106(b)</w:t>
      </w:r>
      <w:r w:rsidR="00472A9D">
        <w:rPr>
          <w:sz w:val="26"/>
          <w:szCs w:val="26"/>
        </w:rPr>
        <w:t xml:space="preserve">, </w:t>
      </w:r>
      <w:r w:rsidR="00C805D3">
        <w:rPr>
          <w:sz w:val="26"/>
          <w:szCs w:val="26"/>
        </w:rPr>
        <w:t>discovered</w:t>
      </w:r>
      <w:r>
        <w:rPr>
          <w:kern w:val="24"/>
          <w:sz w:val="26"/>
          <w:szCs w:val="26"/>
        </w:rPr>
        <w:t xml:space="preserve"> no language suggesting </w:t>
      </w:r>
      <w:r w:rsidR="008E758F">
        <w:rPr>
          <w:kern w:val="24"/>
          <w:sz w:val="26"/>
          <w:szCs w:val="26"/>
        </w:rPr>
        <w:t>a</w:t>
      </w:r>
      <w:r>
        <w:rPr>
          <w:kern w:val="24"/>
          <w:sz w:val="26"/>
          <w:szCs w:val="26"/>
        </w:rPr>
        <w:t xml:space="preserve"> </w:t>
      </w:r>
      <w:r w:rsidR="00C805D3">
        <w:rPr>
          <w:kern w:val="24"/>
          <w:sz w:val="26"/>
          <w:szCs w:val="26"/>
        </w:rPr>
        <w:t>l</w:t>
      </w:r>
      <w:r>
        <w:rPr>
          <w:kern w:val="24"/>
          <w:sz w:val="26"/>
          <w:szCs w:val="26"/>
        </w:rPr>
        <w:t>egislat</w:t>
      </w:r>
      <w:r w:rsidR="00C805D3">
        <w:rPr>
          <w:kern w:val="24"/>
          <w:sz w:val="26"/>
          <w:szCs w:val="26"/>
        </w:rPr>
        <w:t>ive</w:t>
      </w:r>
      <w:r>
        <w:rPr>
          <w:kern w:val="24"/>
          <w:sz w:val="26"/>
          <w:szCs w:val="26"/>
        </w:rPr>
        <w:t xml:space="preserve"> intent that municipal lien law would supersede, control or </w:t>
      </w:r>
      <w:r w:rsidR="008E758F">
        <w:rPr>
          <w:kern w:val="24"/>
          <w:sz w:val="26"/>
          <w:szCs w:val="26"/>
        </w:rPr>
        <w:t xml:space="preserve">otherwise </w:t>
      </w:r>
      <w:r>
        <w:rPr>
          <w:kern w:val="24"/>
          <w:sz w:val="26"/>
          <w:szCs w:val="26"/>
        </w:rPr>
        <w:t xml:space="preserve">“overlay” </w:t>
      </w:r>
      <w:r w:rsidR="008E758F">
        <w:rPr>
          <w:kern w:val="24"/>
          <w:sz w:val="26"/>
          <w:szCs w:val="26"/>
        </w:rPr>
        <w:t xml:space="preserve">to operate simultaneously with </w:t>
      </w:r>
      <w:r>
        <w:rPr>
          <w:kern w:val="24"/>
          <w:sz w:val="26"/>
          <w:szCs w:val="26"/>
        </w:rPr>
        <w:t>existing billing and collection provisions of the Code</w:t>
      </w:r>
      <w:r w:rsidR="00A52BCF" w:rsidRPr="008E758F">
        <w:rPr>
          <w:kern w:val="24"/>
          <w:sz w:val="26"/>
          <w:szCs w:val="26"/>
        </w:rPr>
        <w:t>.</w:t>
      </w:r>
      <w:r w:rsidR="00C805D3" w:rsidRPr="008E758F">
        <w:rPr>
          <w:kern w:val="24"/>
          <w:sz w:val="26"/>
          <w:szCs w:val="26"/>
        </w:rPr>
        <w:t xml:space="preserve">  </w:t>
      </w:r>
      <w:r w:rsidR="00A52BCF" w:rsidRPr="008E758F">
        <w:rPr>
          <w:kern w:val="24"/>
          <w:sz w:val="26"/>
          <w:szCs w:val="26"/>
        </w:rPr>
        <w:t>Ac</w:t>
      </w:r>
      <w:r w:rsidRPr="008E758F">
        <w:rPr>
          <w:kern w:val="24"/>
          <w:sz w:val="26"/>
          <w:szCs w:val="26"/>
        </w:rPr>
        <w:t>cordingly</w:t>
      </w:r>
      <w:r>
        <w:rPr>
          <w:kern w:val="24"/>
          <w:sz w:val="26"/>
          <w:szCs w:val="26"/>
        </w:rPr>
        <w:t xml:space="preserve">, nothing in the plain language of Section 1414(a) of the Code or the </w:t>
      </w:r>
      <w:r w:rsidR="00A52BCF">
        <w:rPr>
          <w:kern w:val="24"/>
          <w:sz w:val="26"/>
          <w:szCs w:val="26"/>
        </w:rPr>
        <w:t xml:space="preserve">MCTLL </w:t>
      </w:r>
      <w:r w:rsidR="00472A9D">
        <w:rPr>
          <w:kern w:val="24"/>
          <w:sz w:val="26"/>
          <w:szCs w:val="26"/>
        </w:rPr>
        <w:t xml:space="preserve">at </w:t>
      </w:r>
      <w:r w:rsidR="00472A9D" w:rsidRPr="00472A9D">
        <w:rPr>
          <w:sz w:val="26"/>
          <w:szCs w:val="26"/>
        </w:rPr>
        <w:t>53 P.S. § 7106(b)</w:t>
      </w:r>
      <w:r w:rsidR="00472A9D">
        <w:rPr>
          <w:sz w:val="26"/>
          <w:szCs w:val="26"/>
        </w:rPr>
        <w:t xml:space="preserve"> </w:t>
      </w:r>
      <w:r>
        <w:rPr>
          <w:kern w:val="24"/>
          <w:sz w:val="26"/>
          <w:szCs w:val="26"/>
        </w:rPr>
        <w:t>supports, or even suggests, PGW’s specialized, and notably self-serving, interpretation of Section 1414(a) of the Code.</w:t>
      </w:r>
    </w:p>
    <w:p w14:paraId="3BA68270" w14:textId="77777777" w:rsidR="00890A67" w:rsidRDefault="00890A67" w:rsidP="00890A67">
      <w:pPr>
        <w:rPr>
          <w:rFonts w:eastAsiaTheme="minorHAnsi"/>
          <w:sz w:val="26"/>
          <w:szCs w:val="26"/>
        </w:rPr>
      </w:pPr>
    </w:p>
    <w:p w14:paraId="01EC3D75" w14:textId="01DCAC8F" w:rsidR="00890A67" w:rsidRDefault="001B09FC" w:rsidP="00890A67">
      <w:pPr>
        <w:rPr>
          <w:rFonts w:eastAsiaTheme="minorHAnsi"/>
          <w:sz w:val="26"/>
          <w:szCs w:val="26"/>
        </w:rPr>
      </w:pPr>
      <w:r>
        <w:rPr>
          <w:kern w:val="24"/>
          <w:sz w:val="26"/>
          <w:szCs w:val="26"/>
        </w:rPr>
        <w:t>To the extent PGW asserts that PGW establishes a strong likelihood of success on the merits because</w:t>
      </w:r>
      <w:r w:rsidR="00EC2863">
        <w:rPr>
          <w:kern w:val="24"/>
          <w:sz w:val="26"/>
          <w:szCs w:val="26"/>
        </w:rPr>
        <w:t xml:space="preserve"> the Commission’s order “defies the legislative directives” of Section 1414(a) by depriving PGW of the ability to impose municipal liens as an additional collection tool granted under 66 Pa. C.S. § 1414(a)</w:t>
      </w:r>
      <w:r>
        <w:rPr>
          <w:kern w:val="24"/>
          <w:sz w:val="26"/>
          <w:szCs w:val="26"/>
        </w:rPr>
        <w:t>, we disagree.</w:t>
      </w:r>
      <w:r w:rsidR="00EC2863">
        <w:rPr>
          <w:kern w:val="24"/>
          <w:sz w:val="26"/>
          <w:szCs w:val="26"/>
        </w:rPr>
        <w:t xml:space="preserve">  As discussed above, to the contrary, PGW is free to choose to impose a municipal lien.  PGW itself acknowledges this fact. </w:t>
      </w:r>
      <w:r w:rsidR="005A601D">
        <w:rPr>
          <w:kern w:val="24"/>
          <w:sz w:val="26"/>
          <w:szCs w:val="26"/>
        </w:rPr>
        <w:t xml:space="preserve"> </w:t>
      </w:r>
      <w:r w:rsidR="00EC2863">
        <w:rPr>
          <w:kern w:val="24"/>
          <w:sz w:val="26"/>
          <w:szCs w:val="26"/>
        </w:rPr>
        <w:t>Petition at 11.</w:t>
      </w:r>
    </w:p>
    <w:p w14:paraId="62BC489A" w14:textId="77777777" w:rsidR="00890A67" w:rsidRDefault="00890A67" w:rsidP="00890A67">
      <w:pPr>
        <w:rPr>
          <w:rFonts w:eastAsiaTheme="minorHAnsi"/>
          <w:sz w:val="26"/>
          <w:szCs w:val="26"/>
        </w:rPr>
      </w:pPr>
    </w:p>
    <w:p w14:paraId="2D81811B" w14:textId="132D1F8F" w:rsidR="00890A67" w:rsidRDefault="00EC2863" w:rsidP="00890A67">
      <w:pPr>
        <w:rPr>
          <w:rFonts w:eastAsiaTheme="minorHAnsi"/>
          <w:sz w:val="26"/>
          <w:szCs w:val="26"/>
        </w:rPr>
      </w:pPr>
      <w:r>
        <w:rPr>
          <w:kern w:val="24"/>
          <w:sz w:val="26"/>
          <w:szCs w:val="26"/>
        </w:rPr>
        <w:t xml:space="preserve">PGW has not asserted, and cannot assert, that our </w:t>
      </w:r>
      <w:r w:rsidR="005A601D">
        <w:rPr>
          <w:kern w:val="24"/>
          <w:sz w:val="26"/>
          <w:szCs w:val="26"/>
        </w:rPr>
        <w:t>O</w:t>
      </w:r>
      <w:r>
        <w:rPr>
          <w:kern w:val="24"/>
          <w:sz w:val="26"/>
          <w:szCs w:val="26"/>
        </w:rPr>
        <w:t xml:space="preserve">rder deprives PGW of the ability to impose municipal liens.  However, as PGW noted, our </w:t>
      </w:r>
      <w:r w:rsidR="005A601D">
        <w:rPr>
          <w:kern w:val="24"/>
          <w:sz w:val="26"/>
          <w:szCs w:val="26"/>
        </w:rPr>
        <w:t>O</w:t>
      </w:r>
      <w:r>
        <w:rPr>
          <w:kern w:val="24"/>
          <w:sz w:val="26"/>
          <w:szCs w:val="26"/>
        </w:rPr>
        <w:t xml:space="preserve">rder does require </w:t>
      </w:r>
      <w:r>
        <w:rPr>
          <w:kern w:val="24"/>
          <w:sz w:val="26"/>
          <w:szCs w:val="26"/>
        </w:rPr>
        <w:lastRenderedPageBreak/>
        <w:t xml:space="preserve">that “PGW choose between recording liens and imposing late-payment charges.” </w:t>
      </w:r>
      <w:r w:rsidRPr="00723092">
        <w:rPr>
          <w:i/>
          <w:kern w:val="24"/>
          <w:sz w:val="26"/>
          <w:szCs w:val="26"/>
        </w:rPr>
        <w:t>Id</w:t>
      </w:r>
      <w:r>
        <w:rPr>
          <w:kern w:val="24"/>
          <w:sz w:val="26"/>
          <w:szCs w:val="26"/>
        </w:rPr>
        <w:t xml:space="preserve">.  By so requiring, as a matter of discretion, </w:t>
      </w:r>
      <w:r w:rsidR="005A601D">
        <w:rPr>
          <w:kern w:val="24"/>
          <w:sz w:val="26"/>
          <w:szCs w:val="26"/>
        </w:rPr>
        <w:t xml:space="preserve">we </w:t>
      </w:r>
      <w:r>
        <w:rPr>
          <w:kern w:val="24"/>
          <w:sz w:val="26"/>
          <w:szCs w:val="26"/>
        </w:rPr>
        <w:t xml:space="preserve">exercised </w:t>
      </w:r>
      <w:r w:rsidR="005A601D">
        <w:rPr>
          <w:kern w:val="24"/>
          <w:sz w:val="26"/>
          <w:szCs w:val="26"/>
        </w:rPr>
        <w:t>our</w:t>
      </w:r>
      <w:r>
        <w:rPr>
          <w:kern w:val="24"/>
          <w:sz w:val="26"/>
          <w:szCs w:val="26"/>
        </w:rPr>
        <w:t xml:space="preserve"> authority to apply our reasonable interpretation of the language of Section 1414(a), the Code, and our Regulations to determine what constitutes reasonable provision of service, including billing and collection practices under the Code and our regulations.</w:t>
      </w:r>
    </w:p>
    <w:p w14:paraId="08014E2E" w14:textId="77777777" w:rsidR="00890A67" w:rsidRDefault="00890A67" w:rsidP="00890A67">
      <w:pPr>
        <w:rPr>
          <w:rFonts w:eastAsiaTheme="minorHAnsi"/>
          <w:sz w:val="26"/>
          <w:szCs w:val="26"/>
        </w:rPr>
      </w:pPr>
    </w:p>
    <w:p w14:paraId="3FDA8996" w14:textId="1FB10EFD" w:rsidR="00472A9D" w:rsidRDefault="001B09FC" w:rsidP="00472A9D">
      <w:pPr>
        <w:rPr>
          <w:rFonts w:eastAsiaTheme="minorHAnsi"/>
          <w:sz w:val="26"/>
          <w:szCs w:val="26"/>
        </w:rPr>
      </w:pPr>
      <w:r>
        <w:rPr>
          <w:kern w:val="24"/>
          <w:sz w:val="26"/>
          <w:szCs w:val="26"/>
        </w:rPr>
        <w:t xml:space="preserve">Finally, </w:t>
      </w:r>
      <w:r w:rsidR="00EC2863">
        <w:rPr>
          <w:kern w:val="24"/>
          <w:sz w:val="26"/>
          <w:szCs w:val="26"/>
        </w:rPr>
        <w:t>PGW fails to assert irreparable harm.  PGW once again asserts that the potential loss it may suffer if forced to comply with the lawful billing and collection practices imposed by the Code and our Order</w:t>
      </w:r>
      <w:r>
        <w:rPr>
          <w:kern w:val="24"/>
          <w:sz w:val="26"/>
          <w:szCs w:val="26"/>
        </w:rPr>
        <w:t xml:space="preserve">. </w:t>
      </w:r>
      <w:r w:rsidR="00166D8E">
        <w:rPr>
          <w:kern w:val="24"/>
          <w:sz w:val="26"/>
          <w:szCs w:val="26"/>
        </w:rPr>
        <w:t xml:space="preserve"> </w:t>
      </w:r>
      <w:r>
        <w:rPr>
          <w:kern w:val="24"/>
          <w:sz w:val="26"/>
          <w:szCs w:val="26"/>
        </w:rPr>
        <w:t xml:space="preserve">Petition </w:t>
      </w:r>
      <w:r w:rsidRPr="002B3B83">
        <w:rPr>
          <w:kern w:val="24"/>
          <w:sz w:val="26"/>
          <w:szCs w:val="26"/>
        </w:rPr>
        <w:t xml:space="preserve">at </w:t>
      </w:r>
      <w:r w:rsidR="009F3442" w:rsidRPr="002B3B83">
        <w:rPr>
          <w:kern w:val="24"/>
          <w:sz w:val="26"/>
          <w:szCs w:val="26"/>
        </w:rPr>
        <w:t>8-10</w:t>
      </w:r>
      <w:r w:rsidR="00EC2863" w:rsidRPr="002B3B83">
        <w:rPr>
          <w:kern w:val="24"/>
          <w:sz w:val="26"/>
          <w:szCs w:val="26"/>
        </w:rPr>
        <w:t>.</w:t>
      </w:r>
      <w:r w:rsidR="002B3B83">
        <w:rPr>
          <w:rStyle w:val="FootnoteReference"/>
          <w:kern w:val="24"/>
          <w:szCs w:val="26"/>
        </w:rPr>
        <w:footnoteReference w:id="5"/>
      </w:r>
      <w:r w:rsidR="00EC2863">
        <w:rPr>
          <w:kern w:val="24"/>
          <w:sz w:val="26"/>
          <w:szCs w:val="26"/>
        </w:rPr>
        <w:t xml:space="preserve">  As we have already noted, the concept of the preservation of “</w:t>
      </w:r>
      <w:r w:rsidR="00EC2863" w:rsidRPr="00FC166E">
        <w:rPr>
          <w:i/>
          <w:kern w:val="24"/>
          <w:sz w:val="26"/>
          <w:szCs w:val="26"/>
        </w:rPr>
        <w:t>status quo</w:t>
      </w:r>
      <w:r w:rsidR="00EC2863">
        <w:rPr>
          <w:kern w:val="24"/>
          <w:sz w:val="26"/>
          <w:szCs w:val="26"/>
        </w:rPr>
        <w:t>” pending review, includes the last peaceful, “and may we add, lawful” posture between the parties</w:t>
      </w:r>
      <w:r w:rsidR="00EC2863" w:rsidRPr="00CA31C6">
        <w:rPr>
          <w:i/>
          <w:kern w:val="24"/>
          <w:sz w:val="26"/>
          <w:szCs w:val="26"/>
        </w:rPr>
        <w:t xml:space="preserve">. </w:t>
      </w:r>
      <w:r w:rsidR="00CA31C6" w:rsidRPr="00CA31C6">
        <w:rPr>
          <w:i/>
          <w:kern w:val="24"/>
          <w:sz w:val="26"/>
          <w:szCs w:val="26"/>
        </w:rPr>
        <w:t xml:space="preserve"> May 28 Order</w:t>
      </w:r>
      <w:r w:rsidR="00CA31C6">
        <w:rPr>
          <w:kern w:val="24"/>
          <w:sz w:val="26"/>
          <w:szCs w:val="26"/>
        </w:rPr>
        <w:t xml:space="preserve"> citing</w:t>
      </w:r>
      <w:r w:rsidR="00EC2863">
        <w:rPr>
          <w:kern w:val="24"/>
          <w:sz w:val="26"/>
          <w:szCs w:val="26"/>
        </w:rPr>
        <w:t xml:space="preserve"> </w:t>
      </w:r>
      <w:r w:rsidR="00CA31C6" w:rsidRPr="001E70B5">
        <w:rPr>
          <w:i/>
          <w:sz w:val="26"/>
        </w:rPr>
        <w:t>PUC v. Israel</w:t>
      </w:r>
      <w:r w:rsidR="00CA31C6">
        <w:rPr>
          <w:sz w:val="26"/>
        </w:rPr>
        <w:t>, 356 Pa. 400, 406, 52 A.2d 317, 321 (1947).</w:t>
      </w:r>
      <w:r w:rsidR="000172BF">
        <w:rPr>
          <w:rStyle w:val="FootnoteReference"/>
          <w:kern w:val="24"/>
          <w:szCs w:val="26"/>
        </w:rPr>
        <w:footnoteReference w:id="6"/>
      </w:r>
      <w:r w:rsidR="00472A9D">
        <w:rPr>
          <w:rFonts w:eastAsiaTheme="minorHAnsi"/>
          <w:sz w:val="26"/>
          <w:szCs w:val="26"/>
        </w:rPr>
        <w:t xml:space="preserve"> </w:t>
      </w:r>
    </w:p>
    <w:p w14:paraId="14ADEF4B" w14:textId="77777777" w:rsidR="00166D8E" w:rsidRDefault="00166D8E" w:rsidP="00472A9D">
      <w:pPr>
        <w:rPr>
          <w:rFonts w:eastAsiaTheme="minorHAnsi"/>
          <w:sz w:val="26"/>
          <w:szCs w:val="26"/>
        </w:rPr>
      </w:pPr>
    </w:p>
    <w:p w14:paraId="16B1E235" w14:textId="57CE06CB" w:rsidR="00472A9D" w:rsidRDefault="00260722" w:rsidP="00472A9D">
      <w:pPr>
        <w:rPr>
          <w:rFonts w:eastAsiaTheme="minorHAnsi"/>
          <w:sz w:val="26"/>
          <w:szCs w:val="26"/>
        </w:rPr>
      </w:pPr>
      <w:r>
        <w:rPr>
          <w:kern w:val="24"/>
          <w:sz w:val="26"/>
          <w:szCs w:val="26"/>
        </w:rPr>
        <w:lastRenderedPageBreak/>
        <w:t>PGW asserts that the “</w:t>
      </w:r>
      <w:r w:rsidRPr="00333DDD">
        <w:rPr>
          <w:i/>
          <w:kern w:val="24"/>
          <w:sz w:val="26"/>
          <w:szCs w:val="26"/>
        </w:rPr>
        <w:t>status quo</w:t>
      </w:r>
      <w:r>
        <w:rPr>
          <w:kern w:val="24"/>
          <w:sz w:val="26"/>
          <w:szCs w:val="26"/>
        </w:rPr>
        <w:t xml:space="preserve">” of PGW’s non-compliance with the Commission’s </w:t>
      </w:r>
      <w:r w:rsidR="00166D8E">
        <w:rPr>
          <w:kern w:val="24"/>
          <w:sz w:val="26"/>
          <w:szCs w:val="26"/>
        </w:rPr>
        <w:t>F</w:t>
      </w:r>
      <w:r>
        <w:rPr>
          <w:kern w:val="24"/>
          <w:sz w:val="26"/>
          <w:szCs w:val="26"/>
        </w:rPr>
        <w:t xml:space="preserve">inal </w:t>
      </w:r>
      <w:r w:rsidR="00166D8E">
        <w:rPr>
          <w:kern w:val="24"/>
          <w:sz w:val="26"/>
          <w:szCs w:val="26"/>
        </w:rPr>
        <w:t>O</w:t>
      </w:r>
      <w:r>
        <w:rPr>
          <w:kern w:val="24"/>
          <w:sz w:val="26"/>
          <w:szCs w:val="26"/>
        </w:rPr>
        <w:t xml:space="preserve">rders is proper because, due to filing Petitions for Reconsideration, PGW never had a duty to comply with the Commission’s </w:t>
      </w:r>
      <w:r w:rsidR="00166D8E">
        <w:rPr>
          <w:kern w:val="24"/>
          <w:sz w:val="26"/>
          <w:szCs w:val="26"/>
        </w:rPr>
        <w:t>F</w:t>
      </w:r>
      <w:r>
        <w:rPr>
          <w:kern w:val="24"/>
          <w:sz w:val="26"/>
          <w:szCs w:val="26"/>
        </w:rPr>
        <w:t xml:space="preserve">inal </w:t>
      </w:r>
      <w:r w:rsidR="00166D8E">
        <w:rPr>
          <w:kern w:val="24"/>
          <w:sz w:val="26"/>
          <w:szCs w:val="26"/>
        </w:rPr>
        <w:t>O</w:t>
      </w:r>
      <w:r>
        <w:rPr>
          <w:kern w:val="24"/>
          <w:sz w:val="26"/>
          <w:szCs w:val="26"/>
        </w:rPr>
        <w:t xml:space="preserve">rders. </w:t>
      </w:r>
      <w:r w:rsidR="00166D8E">
        <w:rPr>
          <w:kern w:val="24"/>
          <w:sz w:val="26"/>
          <w:szCs w:val="26"/>
        </w:rPr>
        <w:t xml:space="preserve"> </w:t>
      </w:r>
      <w:r>
        <w:rPr>
          <w:kern w:val="24"/>
          <w:sz w:val="26"/>
          <w:szCs w:val="26"/>
        </w:rPr>
        <w:t xml:space="preserve">Petition at 14.  </w:t>
      </w:r>
      <w:r w:rsidR="00C53523">
        <w:rPr>
          <w:kern w:val="24"/>
          <w:sz w:val="26"/>
          <w:szCs w:val="26"/>
        </w:rPr>
        <w:t>However, w</w:t>
      </w:r>
      <w:r w:rsidR="00EC2863">
        <w:rPr>
          <w:kern w:val="24"/>
          <w:sz w:val="26"/>
          <w:szCs w:val="26"/>
        </w:rPr>
        <w:t>e reject PGW’s conclusion that PGW’s repeated Petitions for Reconsideration served to stay PGW’s obligation to comply with our final orders.</w:t>
      </w:r>
      <w:r w:rsidR="00E04497">
        <w:rPr>
          <w:kern w:val="24"/>
          <w:sz w:val="26"/>
          <w:szCs w:val="26"/>
        </w:rPr>
        <w:t xml:space="preserve"> </w:t>
      </w:r>
      <w:r w:rsidR="001B09FC">
        <w:rPr>
          <w:kern w:val="24"/>
          <w:sz w:val="26"/>
          <w:szCs w:val="26"/>
        </w:rPr>
        <w:t xml:space="preserve"> </w:t>
      </w:r>
      <w:r w:rsidR="00C53523" w:rsidRPr="00C53523">
        <w:rPr>
          <w:i/>
          <w:kern w:val="24"/>
          <w:sz w:val="26"/>
          <w:szCs w:val="26"/>
        </w:rPr>
        <w:t>Id</w:t>
      </w:r>
      <w:r w:rsidR="00C53523">
        <w:rPr>
          <w:kern w:val="24"/>
          <w:sz w:val="26"/>
          <w:szCs w:val="26"/>
        </w:rPr>
        <w:t>.</w:t>
      </w:r>
      <w:r w:rsidR="00EC2863">
        <w:rPr>
          <w:kern w:val="24"/>
          <w:sz w:val="26"/>
          <w:szCs w:val="26"/>
        </w:rPr>
        <w:t xml:space="preserve">  A </w:t>
      </w:r>
      <w:r w:rsidR="001B09FC">
        <w:rPr>
          <w:kern w:val="24"/>
          <w:sz w:val="26"/>
          <w:szCs w:val="26"/>
        </w:rPr>
        <w:t>p</w:t>
      </w:r>
      <w:r w:rsidR="00EC2863">
        <w:rPr>
          <w:kern w:val="24"/>
          <w:sz w:val="26"/>
          <w:szCs w:val="26"/>
        </w:rPr>
        <w:t xml:space="preserve">etition for </w:t>
      </w:r>
      <w:r w:rsidR="001B09FC">
        <w:rPr>
          <w:kern w:val="24"/>
          <w:sz w:val="26"/>
          <w:szCs w:val="26"/>
        </w:rPr>
        <w:t>r</w:t>
      </w:r>
      <w:r w:rsidR="00EC2863">
        <w:rPr>
          <w:kern w:val="24"/>
          <w:sz w:val="26"/>
          <w:szCs w:val="26"/>
        </w:rPr>
        <w:t xml:space="preserve">econsideration and a </w:t>
      </w:r>
      <w:r w:rsidR="001B09FC">
        <w:rPr>
          <w:kern w:val="24"/>
          <w:sz w:val="26"/>
          <w:szCs w:val="26"/>
        </w:rPr>
        <w:t>p</w:t>
      </w:r>
      <w:r w:rsidR="00EC2863">
        <w:rPr>
          <w:kern w:val="24"/>
          <w:sz w:val="26"/>
          <w:szCs w:val="26"/>
        </w:rPr>
        <w:t xml:space="preserve">etition for </w:t>
      </w:r>
      <w:r w:rsidR="001B09FC">
        <w:rPr>
          <w:kern w:val="24"/>
          <w:sz w:val="26"/>
          <w:szCs w:val="26"/>
        </w:rPr>
        <w:t>s</w:t>
      </w:r>
      <w:r w:rsidR="00EC2863">
        <w:rPr>
          <w:kern w:val="24"/>
          <w:sz w:val="26"/>
          <w:szCs w:val="26"/>
        </w:rPr>
        <w:t>tay are distinct</w:t>
      </w:r>
      <w:r w:rsidR="00EA429E">
        <w:rPr>
          <w:kern w:val="24"/>
          <w:sz w:val="26"/>
          <w:szCs w:val="26"/>
        </w:rPr>
        <w:t xml:space="preserve">.  A petition seeking </w:t>
      </w:r>
      <w:r w:rsidR="00EC2863">
        <w:rPr>
          <w:kern w:val="24"/>
          <w:sz w:val="26"/>
          <w:szCs w:val="26"/>
        </w:rPr>
        <w:t>reconsideration does not operate as a stay</w:t>
      </w:r>
      <w:r w:rsidR="00EA429E">
        <w:rPr>
          <w:kern w:val="24"/>
          <w:sz w:val="26"/>
          <w:szCs w:val="26"/>
        </w:rPr>
        <w:t xml:space="preserve"> of the order</w:t>
      </w:r>
      <w:r w:rsidR="00EC2863">
        <w:rPr>
          <w:kern w:val="24"/>
          <w:sz w:val="26"/>
          <w:szCs w:val="26"/>
        </w:rPr>
        <w:t xml:space="preserve">, unless the </w:t>
      </w:r>
      <w:r w:rsidR="001B09FC">
        <w:rPr>
          <w:kern w:val="24"/>
          <w:sz w:val="26"/>
          <w:szCs w:val="26"/>
        </w:rPr>
        <w:t>p</w:t>
      </w:r>
      <w:r w:rsidR="00EC2863">
        <w:rPr>
          <w:kern w:val="24"/>
          <w:sz w:val="26"/>
          <w:szCs w:val="26"/>
        </w:rPr>
        <w:t xml:space="preserve">etition is ultimately granted on the merits.  In the present proceeding, PGW’s repeated Petitions for Reconsideration were ultimately denied on the merits, in all material respects.  See, </w:t>
      </w:r>
      <w:r w:rsidR="009F3442" w:rsidRPr="00FC1975">
        <w:rPr>
          <w:i/>
          <w:sz w:val="26"/>
          <w:szCs w:val="26"/>
        </w:rPr>
        <w:t>May 2018 Order</w:t>
      </w:r>
      <w:r w:rsidR="009F3442">
        <w:rPr>
          <w:sz w:val="26"/>
          <w:szCs w:val="26"/>
        </w:rPr>
        <w:t>,</w:t>
      </w:r>
      <w:r w:rsidR="009F3442" w:rsidRPr="007C156C">
        <w:rPr>
          <w:sz w:val="26"/>
          <w:szCs w:val="26"/>
        </w:rPr>
        <w:t xml:space="preserve"> and </w:t>
      </w:r>
      <w:r w:rsidR="009F3442">
        <w:rPr>
          <w:sz w:val="26"/>
          <w:szCs w:val="26"/>
        </w:rPr>
        <w:t>Au</w:t>
      </w:r>
      <w:r w:rsidR="009F3442" w:rsidRPr="00FC1975">
        <w:rPr>
          <w:i/>
          <w:sz w:val="26"/>
          <w:szCs w:val="26"/>
        </w:rPr>
        <w:t>gust 2018 Order</w:t>
      </w:r>
      <w:r w:rsidR="009F3442">
        <w:rPr>
          <w:i/>
          <w:sz w:val="26"/>
          <w:szCs w:val="26"/>
        </w:rPr>
        <w:t>.</w:t>
      </w:r>
      <w:r w:rsidR="00EC2863">
        <w:rPr>
          <w:kern w:val="24"/>
          <w:sz w:val="26"/>
          <w:szCs w:val="26"/>
        </w:rPr>
        <w:t xml:space="preserve"> </w:t>
      </w:r>
      <w:r w:rsidR="001B09FC">
        <w:rPr>
          <w:kern w:val="24"/>
          <w:sz w:val="26"/>
          <w:szCs w:val="26"/>
        </w:rPr>
        <w:t xml:space="preserve"> </w:t>
      </w:r>
      <w:r w:rsidR="009F3442">
        <w:rPr>
          <w:kern w:val="24"/>
          <w:sz w:val="26"/>
          <w:szCs w:val="26"/>
        </w:rPr>
        <w:t>Consequently</w:t>
      </w:r>
      <w:r w:rsidR="001B09FC">
        <w:rPr>
          <w:kern w:val="24"/>
          <w:sz w:val="26"/>
          <w:szCs w:val="26"/>
        </w:rPr>
        <w:t>, the Commission Orders</w:t>
      </w:r>
      <w:r w:rsidR="00EA429E">
        <w:rPr>
          <w:kern w:val="24"/>
          <w:sz w:val="26"/>
          <w:szCs w:val="26"/>
        </w:rPr>
        <w:t xml:space="preserve"> from which PGW requested reconsideration remained final and enforceable upon entry. </w:t>
      </w:r>
    </w:p>
    <w:p w14:paraId="47C0E3DF" w14:textId="77777777" w:rsidR="00472A9D" w:rsidRDefault="00472A9D" w:rsidP="00472A9D">
      <w:pPr>
        <w:rPr>
          <w:rFonts w:eastAsiaTheme="minorHAnsi"/>
          <w:sz w:val="26"/>
          <w:szCs w:val="26"/>
        </w:rPr>
      </w:pPr>
    </w:p>
    <w:p w14:paraId="7B08DEA7" w14:textId="51373016" w:rsidR="00472A9D" w:rsidRDefault="00147478" w:rsidP="00472A9D">
      <w:pPr>
        <w:rPr>
          <w:rFonts w:eastAsiaTheme="minorHAnsi"/>
          <w:sz w:val="26"/>
          <w:szCs w:val="26"/>
        </w:rPr>
      </w:pPr>
      <w:r>
        <w:rPr>
          <w:kern w:val="24"/>
          <w:sz w:val="26"/>
          <w:szCs w:val="26"/>
        </w:rPr>
        <w:t xml:space="preserve">PGW makes the general assertion that where the Commission grants reconsideration pending disposition on the merits of a petition for reconsideration, the </w:t>
      </w:r>
      <w:r w:rsidR="000E251D">
        <w:rPr>
          <w:kern w:val="24"/>
          <w:sz w:val="26"/>
          <w:szCs w:val="26"/>
        </w:rPr>
        <w:t>Commission’s underlying order is unappealable, and therefore not enforceable.  Petition at</w:t>
      </w:r>
      <w:r w:rsidR="008622DB">
        <w:rPr>
          <w:kern w:val="24"/>
          <w:sz w:val="26"/>
          <w:szCs w:val="26"/>
        </w:rPr>
        <w:t> </w:t>
      </w:r>
      <w:r w:rsidR="000E251D">
        <w:rPr>
          <w:kern w:val="24"/>
          <w:sz w:val="26"/>
          <w:szCs w:val="26"/>
        </w:rPr>
        <w:t xml:space="preserve">14, citing </w:t>
      </w:r>
      <w:r w:rsidR="000E251D" w:rsidRPr="000E251D">
        <w:rPr>
          <w:i/>
          <w:kern w:val="24"/>
          <w:sz w:val="26"/>
          <w:szCs w:val="26"/>
        </w:rPr>
        <w:t>Pennsylvania State University v. Pa. P.U.C</w:t>
      </w:r>
      <w:r w:rsidR="000E251D">
        <w:rPr>
          <w:kern w:val="24"/>
          <w:sz w:val="26"/>
          <w:szCs w:val="26"/>
        </w:rPr>
        <w:t xml:space="preserve">., 988 A.2d 771, 776, n.13 (Pa. Cmwlth. 2010).  However, </w:t>
      </w:r>
      <w:r w:rsidR="00191F03" w:rsidRPr="000E251D">
        <w:rPr>
          <w:i/>
          <w:kern w:val="24"/>
          <w:sz w:val="26"/>
          <w:szCs w:val="26"/>
        </w:rPr>
        <w:t>Pennsylvania State University v. Pa. P.U.C</w:t>
      </w:r>
      <w:r w:rsidR="00191F03">
        <w:rPr>
          <w:kern w:val="24"/>
          <w:sz w:val="26"/>
          <w:szCs w:val="26"/>
        </w:rPr>
        <w:t xml:space="preserve"> applied the rule that </w:t>
      </w:r>
      <w:r w:rsidR="000E251D">
        <w:rPr>
          <w:kern w:val="24"/>
          <w:sz w:val="26"/>
          <w:szCs w:val="26"/>
        </w:rPr>
        <w:t xml:space="preserve">the agency’s grant of reconsideration pending disposition on the merits of the petition, is operative only to retain the agency’s jurisdiction, </w:t>
      </w:r>
      <w:r w:rsidR="00191F03">
        <w:rPr>
          <w:kern w:val="24"/>
          <w:sz w:val="26"/>
          <w:szCs w:val="26"/>
        </w:rPr>
        <w:t>for purposes of to</w:t>
      </w:r>
      <w:r w:rsidR="000E251D">
        <w:rPr>
          <w:kern w:val="24"/>
          <w:sz w:val="26"/>
          <w:szCs w:val="26"/>
        </w:rPr>
        <w:t>ll</w:t>
      </w:r>
      <w:r w:rsidR="00191F03">
        <w:rPr>
          <w:kern w:val="24"/>
          <w:sz w:val="26"/>
          <w:szCs w:val="26"/>
        </w:rPr>
        <w:t>ing</w:t>
      </w:r>
      <w:r w:rsidR="000E251D">
        <w:rPr>
          <w:kern w:val="24"/>
          <w:sz w:val="26"/>
          <w:szCs w:val="26"/>
        </w:rPr>
        <w:t xml:space="preserve"> the running of the </w:t>
      </w:r>
      <w:r w:rsidR="008622DB">
        <w:rPr>
          <w:kern w:val="24"/>
          <w:sz w:val="26"/>
          <w:szCs w:val="26"/>
        </w:rPr>
        <w:t>thirty</w:t>
      </w:r>
      <w:r w:rsidR="000E251D">
        <w:rPr>
          <w:kern w:val="24"/>
          <w:sz w:val="26"/>
          <w:szCs w:val="26"/>
        </w:rPr>
        <w:t xml:space="preserve">-day appeal period.  See, Pa. R. A. P. 1701(b)(3). </w:t>
      </w:r>
      <w:r w:rsidR="00191F03">
        <w:rPr>
          <w:kern w:val="24"/>
          <w:sz w:val="26"/>
          <w:szCs w:val="26"/>
        </w:rPr>
        <w:t xml:space="preserve"> That case did not apply a rule that an agency order is “unenforceable” once reconsideration is granted.</w:t>
      </w:r>
    </w:p>
    <w:p w14:paraId="6645A72B" w14:textId="77777777" w:rsidR="00472A9D" w:rsidRDefault="00472A9D" w:rsidP="00472A9D">
      <w:pPr>
        <w:rPr>
          <w:rFonts w:eastAsiaTheme="minorHAnsi"/>
          <w:sz w:val="26"/>
          <w:szCs w:val="26"/>
        </w:rPr>
      </w:pPr>
    </w:p>
    <w:p w14:paraId="217FE425" w14:textId="6DB4175B" w:rsidR="00472A9D" w:rsidRDefault="00191F03" w:rsidP="00472A9D">
      <w:pPr>
        <w:rPr>
          <w:rFonts w:eastAsiaTheme="minorHAnsi"/>
          <w:sz w:val="26"/>
          <w:szCs w:val="26"/>
        </w:rPr>
      </w:pPr>
      <w:r>
        <w:rPr>
          <w:kern w:val="24"/>
          <w:sz w:val="26"/>
          <w:szCs w:val="26"/>
        </w:rPr>
        <w:t xml:space="preserve">Similarly, the Secretarial Letter in </w:t>
      </w:r>
      <w:r w:rsidRPr="00191F03">
        <w:rPr>
          <w:i/>
          <w:kern w:val="24"/>
          <w:sz w:val="26"/>
          <w:szCs w:val="26"/>
        </w:rPr>
        <w:t>Petition of UGI Utilities, Inc.-Gas Division for Approval of its Long Term Infrastructure Improvement Plan</w:t>
      </w:r>
      <w:r>
        <w:rPr>
          <w:kern w:val="24"/>
          <w:sz w:val="26"/>
          <w:szCs w:val="26"/>
        </w:rPr>
        <w:t>, Docket No. P-</w:t>
      </w:r>
      <w:r w:rsidR="00E04497">
        <w:rPr>
          <w:kern w:val="24"/>
          <w:sz w:val="26"/>
          <w:szCs w:val="26"/>
        </w:rPr>
        <w:t> </w:t>
      </w:r>
      <w:r>
        <w:rPr>
          <w:kern w:val="24"/>
          <w:sz w:val="26"/>
          <w:szCs w:val="26"/>
        </w:rPr>
        <w:t>2013-2398833 (entered January 23, 2018) cited by PGW did not establish that the petition for rescission in that case operated as a “stay” of the Commission’s order.</w:t>
      </w:r>
      <w:r w:rsidR="005E076C">
        <w:rPr>
          <w:kern w:val="24"/>
          <w:sz w:val="26"/>
          <w:szCs w:val="26"/>
        </w:rPr>
        <w:t xml:space="preserve"> Petition at 14.</w:t>
      </w:r>
      <w:r>
        <w:rPr>
          <w:kern w:val="24"/>
          <w:sz w:val="26"/>
          <w:szCs w:val="26"/>
        </w:rPr>
        <w:t xml:space="preserve">  In that case, the Secretarial Letter was issued in response to the letter of UGI requesting direction on whether </w:t>
      </w:r>
      <w:r w:rsidR="00477B5D">
        <w:rPr>
          <w:kern w:val="24"/>
          <w:sz w:val="26"/>
          <w:szCs w:val="26"/>
        </w:rPr>
        <w:t xml:space="preserve">UGI must comply with the Commission’s order for </w:t>
      </w:r>
      <w:r>
        <w:rPr>
          <w:kern w:val="24"/>
          <w:sz w:val="26"/>
          <w:szCs w:val="26"/>
        </w:rPr>
        <w:t xml:space="preserve">certain reporting </w:t>
      </w:r>
      <w:r w:rsidR="00477B5D">
        <w:rPr>
          <w:kern w:val="24"/>
          <w:sz w:val="26"/>
          <w:szCs w:val="26"/>
        </w:rPr>
        <w:t xml:space="preserve">requirements </w:t>
      </w:r>
      <w:r>
        <w:rPr>
          <w:kern w:val="24"/>
          <w:sz w:val="26"/>
          <w:szCs w:val="26"/>
        </w:rPr>
        <w:t xml:space="preserve">pending review of the petition for rescission.  The </w:t>
      </w:r>
      <w:r w:rsidR="00477B5D">
        <w:rPr>
          <w:kern w:val="24"/>
          <w:sz w:val="26"/>
          <w:szCs w:val="26"/>
        </w:rPr>
        <w:lastRenderedPageBreak/>
        <w:t xml:space="preserve">Commission’s </w:t>
      </w:r>
      <w:r>
        <w:rPr>
          <w:kern w:val="24"/>
          <w:sz w:val="26"/>
          <w:szCs w:val="26"/>
        </w:rPr>
        <w:t xml:space="preserve">Secretarial Letter advised that </w:t>
      </w:r>
      <w:r w:rsidR="00477B5D">
        <w:rPr>
          <w:kern w:val="24"/>
          <w:sz w:val="26"/>
          <w:szCs w:val="26"/>
        </w:rPr>
        <w:t>compliance with certain reporting requirements would be stayed, while other reporting requirements contained in the same order remained in effect.</w:t>
      </w:r>
    </w:p>
    <w:p w14:paraId="7DA271EF" w14:textId="77777777" w:rsidR="00472A9D" w:rsidRDefault="00472A9D" w:rsidP="00472A9D">
      <w:pPr>
        <w:rPr>
          <w:rFonts w:eastAsiaTheme="minorHAnsi"/>
          <w:sz w:val="26"/>
          <w:szCs w:val="26"/>
        </w:rPr>
      </w:pPr>
    </w:p>
    <w:p w14:paraId="741A8BE2" w14:textId="604119E0" w:rsidR="00472A9D" w:rsidRDefault="00477B5D" w:rsidP="00472A9D">
      <w:pPr>
        <w:rPr>
          <w:rFonts w:eastAsiaTheme="minorHAnsi"/>
          <w:sz w:val="26"/>
          <w:szCs w:val="26"/>
        </w:rPr>
      </w:pPr>
      <w:r>
        <w:rPr>
          <w:kern w:val="24"/>
          <w:sz w:val="26"/>
          <w:szCs w:val="26"/>
        </w:rPr>
        <w:t xml:space="preserve">Rather than support PGW’s position, the </w:t>
      </w:r>
      <w:r w:rsidRPr="00477B5D">
        <w:rPr>
          <w:i/>
          <w:kern w:val="24"/>
          <w:sz w:val="26"/>
          <w:szCs w:val="26"/>
        </w:rPr>
        <w:t>UGI Utilities</w:t>
      </w:r>
      <w:r>
        <w:rPr>
          <w:kern w:val="24"/>
          <w:sz w:val="26"/>
          <w:szCs w:val="26"/>
        </w:rPr>
        <w:t xml:space="preserve"> example instructs that </w:t>
      </w:r>
      <w:r w:rsidR="00191F03">
        <w:rPr>
          <w:kern w:val="24"/>
          <w:sz w:val="26"/>
          <w:szCs w:val="26"/>
        </w:rPr>
        <w:t>t</w:t>
      </w:r>
      <w:r w:rsidR="000E251D">
        <w:rPr>
          <w:kern w:val="24"/>
          <w:sz w:val="26"/>
          <w:szCs w:val="26"/>
        </w:rPr>
        <w:t>he agency retains authority to enforce its final orders.</w:t>
      </w:r>
      <w:r>
        <w:rPr>
          <w:kern w:val="24"/>
          <w:sz w:val="26"/>
          <w:szCs w:val="26"/>
        </w:rPr>
        <w:t xml:space="preserve">  UGI did not assume its petition for rescission operated as a “stay,” but rather sought affirmative instruction from the Commission on whether compliance was required. </w:t>
      </w:r>
      <w:r w:rsidR="00260722">
        <w:rPr>
          <w:kern w:val="24"/>
          <w:sz w:val="26"/>
          <w:szCs w:val="26"/>
        </w:rPr>
        <w:t xml:space="preserve"> As a practical matter, a stay of proceedings may be advisable in the circumstances of a petition for relief from a final order.  However, parties should be mindful that w</w:t>
      </w:r>
      <w:r w:rsidR="000E251D">
        <w:rPr>
          <w:kern w:val="24"/>
          <w:sz w:val="26"/>
          <w:szCs w:val="26"/>
        </w:rPr>
        <w:t xml:space="preserve">hether to grant stay of compliance with a final Commission order is a matter of </w:t>
      </w:r>
      <w:r w:rsidR="00260722">
        <w:rPr>
          <w:kern w:val="24"/>
          <w:sz w:val="26"/>
          <w:szCs w:val="26"/>
        </w:rPr>
        <w:t xml:space="preserve">Commission </w:t>
      </w:r>
      <w:r w:rsidR="000E251D">
        <w:rPr>
          <w:kern w:val="24"/>
          <w:sz w:val="26"/>
          <w:szCs w:val="26"/>
        </w:rPr>
        <w:t xml:space="preserve">discretion, as a </w:t>
      </w:r>
      <w:r w:rsidR="00260722">
        <w:rPr>
          <w:kern w:val="24"/>
          <w:sz w:val="26"/>
          <w:szCs w:val="26"/>
        </w:rPr>
        <w:t>p</w:t>
      </w:r>
      <w:r w:rsidR="000E251D">
        <w:rPr>
          <w:kern w:val="24"/>
          <w:sz w:val="26"/>
          <w:szCs w:val="26"/>
        </w:rPr>
        <w:t xml:space="preserve">etition for </w:t>
      </w:r>
      <w:r w:rsidR="00260722">
        <w:rPr>
          <w:kern w:val="24"/>
          <w:sz w:val="26"/>
          <w:szCs w:val="26"/>
        </w:rPr>
        <w:t>s</w:t>
      </w:r>
      <w:r w:rsidR="000E251D">
        <w:rPr>
          <w:kern w:val="24"/>
          <w:sz w:val="26"/>
          <w:szCs w:val="26"/>
        </w:rPr>
        <w:t xml:space="preserve">pecial </w:t>
      </w:r>
      <w:r w:rsidR="00260722">
        <w:rPr>
          <w:kern w:val="24"/>
          <w:sz w:val="26"/>
          <w:szCs w:val="26"/>
        </w:rPr>
        <w:t>r</w:t>
      </w:r>
      <w:r w:rsidR="000E251D">
        <w:rPr>
          <w:kern w:val="24"/>
          <w:sz w:val="26"/>
          <w:szCs w:val="26"/>
        </w:rPr>
        <w:t>elief under 52 Pa. Code § 5.57</w:t>
      </w:r>
      <w:r w:rsidR="005E076C">
        <w:rPr>
          <w:kern w:val="24"/>
          <w:sz w:val="26"/>
          <w:szCs w:val="26"/>
        </w:rPr>
        <w:t>2</w:t>
      </w:r>
      <w:r w:rsidR="000E251D">
        <w:rPr>
          <w:kern w:val="24"/>
          <w:sz w:val="26"/>
          <w:szCs w:val="26"/>
        </w:rPr>
        <w:t>.  Th</w:t>
      </w:r>
      <w:r>
        <w:rPr>
          <w:kern w:val="24"/>
          <w:sz w:val="26"/>
          <w:szCs w:val="26"/>
        </w:rPr>
        <w:t xml:space="preserve">e agency retains discretion whether to grant a stay, </w:t>
      </w:r>
      <w:r w:rsidR="000E251D">
        <w:rPr>
          <w:kern w:val="24"/>
          <w:sz w:val="26"/>
          <w:szCs w:val="26"/>
        </w:rPr>
        <w:t>even after a Petition for Review has been filed. See, Pa. R.A.P. Rule 1701(b)(</w:t>
      </w:r>
      <w:r w:rsidR="00191F03">
        <w:rPr>
          <w:kern w:val="24"/>
          <w:sz w:val="26"/>
          <w:szCs w:val="26"/>
        </w:rPr>
        <w:t>2) (pertaining to agency’s continued enforcement power, unless superseded by court order).</w:t>
      </w:r>
    </w:p>
    <w:p w14:paraId="66B74903" w14:textId="77777777" w:rsidR="00472A9D" w:rsidRDefault="00472A9D" w:rsidP="00472A9D">
      <w:pPr>
        <w:rPr>
          <w:rFonts w:eastAsiaTheme="minorHAnsi"/>
          <w:sz w:val="26"/>
          <w:szCs w:val="26"/>
        </w:rPr>
      </w:pPr>
    </w:p>
    <w:p w14:paraId="4FC9A37C" w14:textId="6698B8DB" w:rsidR="00472A9D" w:rsidRDefault="00C53523" w:rsidP="00472A9D">
      <w:pPr>
        <w:rPr>
          <w:rFonts w:eastAsiaTheme="minorHAnsi"/>
          <w:sz w:val="26"/>
          <w:szCs w:val="26"/>
        </w:rPr>
      </w:pPr>
      <w:r>
        <w:rPr>
          <w:kern w:val="24"/>
          <w:sz w:val="26"/>
          <w:szCs w:val="26"/>
        </w:rPr>
        <w:t xml:space="preserve">A petition for reconsideration cannot operate as an automatic stay of a final enforceable order, unless, and to the extent, granted on the merits.  A party may request a stay of enforcement of a final order, concurrent with a petition for reconsideration.  However, unless a stay is granted in the interim, compliance </w:t>
      </w:r>
      <w:r w:rsidR="009F3442">
        <w:rPr>
          <w:kern w:val="24"/>
          <w:sz w:val="26"/>
          <w:szCs w:val="26"/>
        </w:rPr>
        <w:t xml:space="preserve">obligations remain in effect. </w:t>
      </w:r>
      <w:r>
        <w:rPr>
          <w:kern w:val="24"/>
          <w:sz w:val="26"/>
          <w:szCs w:val="26"/>
        </w:rPr>
        <w:t xml:space="preserve"> </w:t>
      </w:r>
      <w:r w:rsidR="00842DBF">
        <w:rPr>
          <w:kern w:val="24"/>
          <w:sz w:val="26"/>
          <w:szCs w:val="26"/>
        </w:rPr>
        <w:t>See, S</w:t>
      </w:r>
      <w:r w:rsidR="008E758F">
        <w:rPr>
          <w:kern w:val="24"/>
          <w:sz w:val="26"/>
          <w:szCs w:val="26"/>
        </w:rPr>
        <w:t>ection</w:t>
      </w:r>
      <w:r w:rsidR="00842DBF">
        <w:rPr>
          <w:kern w:val="24"/>
          <w:sz w:val="26"/>
          <w:szCs w:val="26"/>
        </w:rPr>
        <w:t xml:space="preserve"> 316 </w:t>
      </w:r>
      <w:r w:rsidR="008E758F">
        <w:rPr>
          <w:kern w:val="24"/>
          <w:sz w:val="26"/>
          <w:szCs w:val="26"/>
        </w:rPr>
        <w:t xml:space="preserve">of the Code, 66 Pa. C.S. § 316 </w:t>
      </w:r>
      <w:r w:rsidR="00E04497">
        <w:rPr>
          <w:kern w:val="24"/>
          <w:sz w:val="26"/>
          <w:szCs w:val="26"/>
        </w:rPr>
        <w:t>(</w:t>
      </w:r>
      <w:r w:rsidR="008E758F">
        <w:rPr>
          <w:kern w:val="24"/>
          <w:sz w:val="26"/>
          <w:szCs w:val="26"/>
        </w:rPr>
        <w:t xml:space="preserve">providing that orders of the Commission remain conclusive and binding upon the parties unless set aside, annulled or modified).  </w:t>
      </w:r>
      <w:r>
        <w:rPr>
          <w:kern w:val="24"/>
          <w:sz w:val="26"/>
          <w:szCs w:val="26"/>
        </w:rPr>
        <w:t>To conclude otherwise would enable parties to evade enforcement of Commission orders by filing a petition for reconsideration</w:t>
      </w:r>
      <w:r w:rsidR="009F3442">
        <w:rPr>
          <w:kern w:val="24"/>
          <w:sz w:val="26"/>
          <w:szCs w:val="26"/>
        </w:rPr>
        <w:t>, even if ultimately denied on the merits.</w:t>
      </w:r>
    </w:p>
    <w:p w14:paraId="3F50CA3E" w14:textId="77777777" w:rsidR="00472A9D" w:rsidRDefault="00472A9D" w:rsidP="00472A9D">
      <w:pPr>
        <w:rPr>
          <w:rFonts w:eastAsiaTheme="minorHAnsi"/>
          <w:sz w:val="26"/>
          <w:szCs w:val="26"/>
        </w:rPr>
      </w:pPr>
    </w:p>
    <w:p w14:paraId="4B665C79" w14:textId="009FE67F" w:rsidR="00C53523" w:rsidRPr="00472A9D" w:rsidRDefault="00C53523" w:rsidP="00472A9D">
      <w:pPr>
        <w:rPr>
          <w:rFonts w:eastAsiaTheme="minorHAnsi"/>
          <w:sz w:val="26"/>
          <w:szCs w:val="26"/>
        </w:rPr>
      </w:pPr>
      <w:r>
        <w:rPr>
          <w:kern w:val="24"/>
          <w:sz w:val="26"/>
          <w:szCs w:val="26"/>
        </w:rPr>
        <w:t xml:space="preserve">Accordingly, </w:t>
      </w:r>
      <w:r w:rsidR="009F3442">
        <w:rPr>
          <w:kern w:val="24"/>
          <w:sz w:val="26"/>
          <w:szCs w:val="26"/>
        </w:rPr>
        <w:t xml:space="preserve">PGW’s allegations of irreparable harm are unpersuasive when viewed in the proper context of PGW’s continued failure to comply with our </w:t>
      </w:r>
      <w:r w:rsidR="009F3442" w:rsidRPr="00FC1975">
        <w:rPr>
          <w:i/>
          <w:sz w:val="26"/>
          <w:szCs w:val="26"/>
        </w:rPr>
        <w:t>December 2016 Order</w:t>
      </w:r>
      <w:r w:rsidR="009F3442">
        <w:rPr>
          <w:sz w:val="26"/>
          <w:szCs w:val="26"/>
        </w:rPr>
        <w:t xml:space="preserve">, and the subsequent orders denying reconsideration </w:t>
      </w:r>
      <w:r w:rsidR="009F3442" w:rsidRPr="00FC1975">
        <w:rPr>
          <w:i/>
          <w:sz w:val="26"/>
          <w:szCs w:val="26"/>
        </w:rPr>
        <w:t>May 2018 Order</w:t>
      </w:r>
      <w:r w:rsidR="009F3442">
        <w:rPr>
          <w:sz w:val="26"/>
          <w:szCs w:val="26"/>
        </w:rPr>
        <w:t>,</w:t>
      </w:r>
      <w:r w:rsidR="009F3442" w:rsidRPr="007C156C">
        <w:rPr>
          <w:sz w:val="26"/>
          <w:szCs w:val="26"/>
        </w:rPr>
        <w:t xml:space="preserve"> and </w:t>
      </w:r>
      <w:r w:rsidR="009F3442" w:rsidRPr="00FC1975">
        <w:rPr>
          <w:i/>
          <w:sz w:val="26"/>
          <w:szCs w:val="26"/>
        </w:rPr>
        <w:t>August 2018 Order</w:t>
      </w:r>
      <w:r w:rsidR="009F3442">
        <w:rPr>
          <w:i/>
          <w:sz w:val="26"/>
          <w:szCs w:val="26"/>
        </w:rPr>
        <w:t>.</w:t>
      </w:r>
      <w:r w:rsidR="009F3442">
        <w:rPr>
          <w:kern w:val="24"/>
          <w:sz w:val="26"/>
          <w:szCs w:val="26"/>
        </w:rPr>
        <w:t xml:space="preserve">  In the present case, </w:t>
      </w:r>
      <w:r>
        <w:rPr>
          <w:kern w:val="24"/>
          <w:sz w:val="26"/>
          <w:szCs w:val="26"/>
        </w:rPr>
        <w:t>we conclude that preservation of the “</w:t>
      </w:r>
      <w:r w:rsidRPr="001062DC">
        <w:rPr>
          <w:i/>
          <w:kern w:val="24"/>
          <w:sz w:val="26"/>
          <w:szCs w:val="26"/>
        </w:rPr>
        <w:t>status quo</w:t>
      </w:r>
      <w:r>
        <w:rPr>
          <w:kern w:val="24"/>
          <w:sz w:val="26"/>
          <w:szCs w:val="26"/>
        </w:rPr>
        <w:t xml:space="preserve">” requires preservation of the last peaceable and </w:t>
      </w:r>
      <w:r w:rsidRPr="00C53523">
        <w:rPr>
          <w:i/>
          <w:kern w:val="24"/>
          <w:sz w:val="26"/>
          <w:szCs w:val="26"/>
        </w:rPr>
        <w:t>lawful</w:t>
      </w:r>
      <w:r>
        <w:rPr>
          <w:kern w:val="24"/>
          <w:sz w:val="26"/>
          <w:szCs w:val="26"/>
        </w:rPr>
        <w:t xml:space="preserve"> status between the parties, </w:t>
      </w:r>
      <w:r>
        <w:rPr>
          <w:kern w:val="24"/>
          <w:sz w:val="26"/>
          <w:szCs w:val="26"/>
        </w:rPr>
        <w:lastRenderedPageBreak/>
        <w:t xml:space="preserve">thereby requiring PGW’s compliance with the final enforceable orders of the Commission, unless the Commission’s enforcement is superseded by </w:t>
      </w:r>
      <w:r w:rsidR="005E076C">
        <w:rPr>
          <w:kern w:val="24"/>
          <w:sz w:val="26"/>
          <w:szCs w:val="26"/>
        </w:rPr>
        <w:t>an</w:t>
      </w:r>
      <w:r>
        <w:rPr>
          <w:kern w:val="24"/>
          <w:sz w:val="26"/>
          <w:szCs w:val="26"/>
        </w:rPr>
        <w:t xml:space="preserve"> Order of Commonwealth Court granting a stay of enforcement</w:t>
      </w:r>
      <w:r w:rsidR="009F3442">
        <w:rPr>
          <w:kern w:val="24"/>
          <w:sz w:val="26"/>
          <w:szCs w:val="26"/>
        </w:rPr>
        <w:t>.  Consequently, we again reject PGW’s claim of irreparable harm.</w:t>
      </w:r>
    </w:p>
    <w:p w14:paraId="4BF24A45" w14:textId="62E78A31" w:rsidR="00EC2863" w:rsidRDefault="00EC2863" w:rsidP="001062DC">
      <w:pPr>
        <w:rPr>
          <w:kern w:val="24"/>
          <w:sz w:val="26"/>
          <w:szCs w:val="26"/>
        </w:rPr>
      </w:pPr>
    </w:p>
    <w:p w14:paraId="00E821A3" w14:textId="77777777" w:rsidR="00EC2863" w:rsidRPr="00EC2863" w:rsidRDefault="00EC2863" w:rsidP="00EC2863">
      <w:pPr>
        <w:keepNext/>
        <w:keepLines/>
        <w:tabs>
          <w:tab w:val="left" w:pos="-720"/>
        </w:tabs>
        <w:suppressAutoHyphens/>
        <w:ind w:firstLine="0"/>
        <w:jc w:val="center"/>
        <w:rPr>
          <w:rFonts w:eastAsiaTheme="minorHAnsi"/>
          <w:b/>
          <w:sz w:val="26"/>
          <w:szCs w:val="22"/>
        </w:rPr>
      </w:pPr>
      <w:r w:rsidRPr="00EC2863">
        <w:rPr>
          <w:rFonts w:eastAsiaTheme="minorHAnsi"/>
          <w:b/>
          <w:sz w:val="26"/>
          <w:szCs w:val="22"/>
        </w:rPr>
        <w:t xml:space="preserve">Conclusion </w:t>
      </w:r>
    </w:p>
    <w:p w14:paraId="645F2601" w14:textId="77777777" w:rsidR="00EC2863" w:rsidRPr="00EC2863" w:rsidRDefault="00EC2863" w:rsidP="00EC2863">
      <w:pPr>
        <w:keepNext/>
        <w:keepLines/>
        <w:tabs>
          <w:tab w:val="left" w:pos="-720"/>
        </w:tabs>
        <w:suppressAutoHyphens/>
        <w:ind w:firstLine="720"/>
        <w:rPr>
          <w:rFonts w:eastAsiaTheme="minorHAnsi"/>
          <w:sz w:val="26"/>
          <w:szCs w:val="22"/>
        </w:rPr>
      </w:pPr>
    </w:p>
    <w:p w14:paraId="3141F29F" w14:textId="20CE8869" w:rsidR="00EC2863" w:rsidRPr="00EC2863" w:rsidRDefault="00607C96" w:rsidP="00EC2863">
      <w:pPr>
        <w:tabs>
          <w:tab w:val="left" w:pos="-720"/>
        </w:tabs>
        <w:suppressAutoHyphens/>
        <w:rPr>
          <w:rFonts w:eastAsiaTheme="minorHAnsi"/>
          <w:sz w:val="26"/>
          <w:szCs w:val="22"/>
        </w:rPr>
      </w:pPr>
      <w:r>
        <w:rPr>
          <w:sz w:val="26"/>
          <w:szCs w:val="20"/>
        </w:rPr>
        <w:t>Because PGW’s Petition for Reconsideration asserts the same facts and arguments previously considered and rejected in our review and disposition of the underlying Petition for Stay and Complaint proceedings,</w:t>
      </w:r>
      <w:r>
        <w:rPr>
          <w:sz w:val="26"/>
        </w:rPr>
        <w:t xml:space="preserve"> </w:t>
      </w:r>
      <w:r>
        <w:rPr>
          <w:sz w:val="26"/>
          <w:szCs w:val="20"/>
        </w:rPr>
        <w:t xml:space="preserve">we find that reconsideration is not warranted in the circumstances.  Accordingly, we shall </w:t>
      </w:r>
      <w:r w:rsidR="001062DC">
        <w:rPr>
          <w:rFonts w:eastAsiaTheme="minorHAnsi"/>
          <w:sz w:val="26"/>
          <w:szCs w:val="22"/>
        </w:rPr>
        <w:t xml:space="preserve">we shall deny </w:t>
      </w:r>
      <w:r w:rsidR="00EC2863" w:rsidRPr="00EC2863">
        <w:rPr>
          <w:rFonts w:eastAsiaTheme="minorHAnsi"/>
          <w:sz w:val="26"/>
          <w:szCs w:val="22"/>
        </w:rPr>
        <w:t>the Petition</w:t>
      </w:r>
      <w:r w:rsidR="001062DC">
        <w:rPr>
          <w:rFonts w:eastAsiaTheme="minorHAnsi"/>
          <w:sz w:val="26"/>
          <w:szCs w:val="22"/>
        </w:rPr>
        <w:t xml:space="preserve">, </w:t>
      </w:r>
      <w:r w:rsidR="00EC2863" w:rsidRPr="00EC2863">
        <w:rPr>
          <w:rFonts w:eastAsiaTheme="minorHAnsi"/>
          <w:sz w:val="26"/>
          <w:szCs w:val="22"/>
        </w:rPr>
        <w:t xml:space="preserve">consistent with the discussion in this Opinion and Order; </w:t>
      </w:r>
      <w:r w:rsidR="00EC2863" w:rsidRPr="00EC2863">
        <w:rPr>
          <w:rFonts w:eastAsiaTheme="minorHAnsi"/>
          <w:b/>
          <w:sz w:val="26"/>
          <w:szCs w:val="22"/>
        </w:rPr>
        <w:t>THEREFORE,</w:t>
      </w:r>
    </w:p>
    <w:p w14:paraId="2040AF50" w14:textId="6C924A64" w:rsidR="00AB047B" w:rsidRDefault="00AB047B" w:rsidP="00F14E4C">
      <w:pPr>
        <w:suppressAutoHyphens/>
        <w:ind w:firstLine="0"/>
        <w:rPr>
          <w:b/>
          <w:sz w:val="26"/>
        </w:rPr>
      </w:pPr>
    </w:p>
    <w:p w14:paraId="09B89F46" w14:textId="77777777" w:rsidR="00AB047B" w:rsidRDefault="00AB047B" w:rsidP="00F14E4C">
      <w:pPr>
        <w:suppressAutoHyphens/>
        <w:ind w:firstLine="0"/>
        <w:rPr>
          <w:sz w:val="26"/>
          <w:szCs w:val="20"/>
        </w:rPr>
      </w:pPr>
      <w:r>
        <w:rPr>
          <w:b/>
          <w:sz w:val="26"/>
          <w:szCs w:val="26"/>
        </w:rPr>
        <w:tab/>
      </w:r>
      <w:r>
        <w:rPr>
          <w:b/>
          <w:sz w:val="26"/>
          <w:szCs w:val="26"/>
        </w:rPr>
        <w:tab/>
      </w:r>
      <w:r w:rsidRPr="006736DA">
        <w:rPr>
          <w:b/>
          <w:sz w:val="26"/>
          <w:szCs w:val="26"/>
        </w:rPr>
        <w:t>IT IS ORDERED:</w:t>
      </w:r>
    </w:p>
    <w:p w14:paraId="743C1B24" w14:textId="77777777" w:rsidR="00AB047B" w:rsidRDefault="00AB047B" w:rsidP="00F14E4C">
      <w:pPr>
        <w:suppressAutoHyphens/>
        <w:ind w:firstLine="0"/>
        <w:rPr>
          <w:sz w:val="26"/>
          <w:szCs w:val="20"/>
        </w:rPr>
      </w:pPr>
    </w:p>
    <w:p w14:paraId="2986A8E7" w14:textId="4102E652" w:rsidR="00AC2948" w:rsidRPr="00AC2948" w:rsidRDefault="00AC2948" w:rsidP="00AC2948">
      <w:pPr>
        <w:rPr>
          <w:rFonts w:eastAsiaTheme="minorHAnsi"/>
          <w:sz w:val="26"/>
          <w:szCs w:val="26"/>
        </w:rPr>
      </w:pPr>
      <w:r w:rsidRPr="00AC2948">
        <w:rPr>
          <w:rFonts w:eastAsiaTheme="minorHAnsi"/>
          <w:sz w:val="26"/>
          <w:szCs w:val="26"/>
        </w:rPr>
        <w:t>1.</w:t>
      </w:r>
      <w:r w:rsidRPr="00AC2948">
        <w:rPr>
          <w:rFonts w:eastAsiaTheme="minorHAnsi"/>
          <w:sz w:val="26"/>
          <w:szCs w:val="26"/>
        </w:rPr>
        <w:tab/>
        <w:t xml:space="preserve">That the Petition for Reconsideration of our Opinion and Order entered </w:t>
      </w:r>
      <w:r w:rsidR="000172BF">
        <w:rPr>
          <w:rFonts w:eastAsiaTheme="minorHAnsi"/>
          <w:sz w:val="26"/>
          <w:szCs w:val="26"/>
        </w:rPr>
        <w:t>March 2</w:t>
      </w:r>
      <w:r w:rsidR="004E4DFD">
        <w:rPr>
          <w:rFonts w:eastAsiaTheme="minorHAnsi"/>
          <w:sz w:val="26"/>
          <w:szCs w:val="26"/>
        </w:rPr>
        <w:t>8</w:t>
      </w:r>
      <w:r w:rsidR="000172BF">
        <w:rPr>
          <w:rFonts w:eastAsiaTheme="minorHAnsi"/>
          <w:sz w:val="26"/>
          <w:szCs w:val="26"/>
        </w:rPr>
        <w:t>, 2019</w:t>
      </w:r>
      <w:r w:rsidRPr="00AC2948">
        <w:rPr>
          <w:rFonts w:eastAsiaTheme="minorHAnsi"/>
          <w:sz w:val="26"/>
          <w:szCs w:val="26"/>
        </w:rPr>
        <w:t xml:space="preserve">, in the above-captioned proceedings filed on </w:t>
      </w:r>
      <w:r w:rsidR="000172BF">
        <w:rPr>
          <w:rFonts w:eastAsiaTheme="minorHAnsi"/>
          <w:sz w:val="26"/>
          <w:szCs w:val="26"/>
        </w:rPr>
        <w:t>April 12, 2019</w:t>
      </w:r>
      <w:r w:rsidRPr="00AC2948">
        <w:rPr>
          <w:rFonts w:eastAsiaTheme="minorHAnsi"/>
          <w:sz w:val="26"/>
          <w:szCs w:val="26"/>
        </w:rPr>
        <w:t>, by Philadelphia Gas Works is denied, consistent with this Opinion and Order.</w:t>
      </w:r>
    </w:p>
    <w:p w14:paraId="2E0A7CD6" w14:textId="77777777" w:rsidR="00AC2948" w:rsidRPr="00AC2948" w:rsidRDefault="00AC2948" w:rsidP="00AC2948">
      <w:pPr>
        <w:rPr>
          <w:rFonts w:eastAsiaTheme="minorHAnsi"/>
          <w:sz w:val="26"/>
          <w:szCs w:val="26"/>
        </w:rPr>
      </w:pPr>
    </w:p>
    <w:p w14:paraId="6363EC31" w14:textId="5136B091" w:rsidR="00AC2948" w:rsidRPr="00AC2948" w:rsidRDefault="00AC2948" w:rsidP="00892BEC">
      <w:pPr>
        <w:keepNext/>
        <w:keepLines/>
        <w:rPr>
          <w:rFonts w:eastAsiaTheme="minorHAnsi"/>
          <w:sz w:val="26"/>
          <w:szCs w:val="26"/>
        </w:rPr>
      </w:pPr>
      <w:r w:rsidRPr="00AC2948">
        <w:rPr>
          <w:rFonts w:eastAsiaTheme="minorHAnsi"/>
          <w:sz w:val="26"/>
          <w:szCs w:val="26"/>
        </w:rPr>
        <w:t>2.</w:t>
      </w:r>
      <w:r w:rsidRPr="00AC2948">
        <w:rPr>
          <w:rFonts w:eastAsiaTheme="minorHAnsi"/>
          <w:sz w:val="26"/>
          <w:szCs w:val="26"/>
        </w:rPr>
        <w:tab/>
        <w:t>That these proceedings be marked closed.</w:t>
      </w:r>
    </w:p>
    <w:p w14:paraId="0CC2425B" w14:textId="191E82A0" w:rsidR="000172BF" w:rsidRDefault="000172BF" w:rsidP="00892BEC">
      <w:pPr>
        <w:keepNext/>
        <w:keepLines/>
        <w:suppressAutoHyphens/>
        <w:spacing w:line="240" w:lineRule="auto"/>
        <w:ind w:firstLine="0"/>
        <w:rPr>
          <w:sz w:val="26"/>
          <w:szCs w:val="26"/>
        </w:rPr>
      </w:pPr>
    </w:p>
    <w:p w14:paraId="6CD2E793" w14:textId="4285EBDF" w:rsidR="00AB047B" w:rsidRDefault="00EE71B5" w:rsidP="00892BEC">
      <w:pPr>
        <w:keepNext/>
        <w:keepLines/>
        <w:suppressAutoHyphens/>
        <w:spacing w:line="240" w:lineRule="auto"/>
        <w:ind w:firstLine="0"/>
        <w:rPr>
          <w:b/>
          <w:sz w:val="26"/>
          <w:szCs w:val="26"/>
        </w:rPr>
      </w:pPr>
      <w:r>
        <w:rPr>
          <w:noProof/>
        </w:rPr>
        <w:drawing>
          <wp:anchor distT="0" distB="0" distL="114300" distR="114300" simplePos="0" relativeHeight="251659264" behindDoc="1" locked="0" layoutInCell="1" allowOverlap="1" wp14:anchorId="6145E7BA" wp14:editId="69B1022E">
            <wp:simplePos x="0" y="0"/>
            <wp:positionH relativeFrom="column">
              <wp:posOffset>3152775</wp:posOffset>
            </wp:positionH>
            <wp:positionV relativeFrom="paragraph">
              <wp:posOffset>67310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47B">
        <w:rPr>
          <w:sz w:val="26"/>
          <w:szCs w:val="26"/>
        </w:rPr>
        <w:tab/>
      </w:r>
      <w:r w:rsidR="00AB047B">
        <w:rPr>
          <w:sz w:val="26"/>
          <w:szCs w:val="26"/>
        </w:rPr>
        <w:tab/>
      </w:r>
      <w:r w:rsidR="00AB047B">
        <w:rPr>
          <w:sz w:val="26"/>
          <w:szCs w:val="26"/>
        </w:rPr>
        <w:tab/>
      </w:r>
      <w:r w:rsidR="00AB047B">
        <w:rPr>
          <w:sz w:val="26"/>
          <w:szCs w:val="26"/>
        </w:rPr>
        <w:tab/>
      </w:r>
      <w:r w:rsidR="00AB047B">
        <w:rPr>
          <w:sz w:val="26"/>
          <w:szCs w:val="26"/>
        </w:rPr>
        <w:tab/>
      </w:r>
      <w:r w:rsidR="00AB047B">
        <w:rPr>
          <w:sz w:val="26"/>
          <w:szCs w:val="26"/>
        </w:rPr>
        <w:tab/>
      </w:r>
      <w:r w:rsidR="00AB047B">
        <w:rPr>
          <w:sz w:val="26"/>
          <w:szCs w:val="26"/>
        </w:rPr>
        <w:tab/>
      </w:r>
      <w:r w:rsidR="00AB047B" w:rsidRPr="006736DA">
        <w:rPr>
          <w:b/>
          <w:sz w:val="26"/>
          <w:szCs w:val="26"/>
        </w:rPr>
        <w:t>BY THE COMMISSION,</w:t>
      </w:r>
    </w:p>
    <w:p w14:paraId="7F485122" w14:textId="2D6002EE" w:rsidR="00AB047B" w:rsidRDefault="00AB047B" w:rsidP="00892BEC">
      <w:pPr>
        <w:keepNext/>
        <w:keepLines/>
        <w:suppressAutoHyphens/>
        <w:spacing w:line="240" w:lineRule="auto"/>
        <w:ind w:firstLine="0"/>
        <w:rPr>
          <w:b/>
          <w:sz w:val="26"/>
          <w:szCs w:val="26"/>
        </w:rPr>
      </w:pPr>
    </w:p>
    <w:p w14:paraId="6466187C" w14:textId="3BC63426" w:rsidR="00AB047B" w:rsidRDefault="00AB047B" w:rsidP="00892BEC">
      <w:pPr>
        <w:keepNext/>
        <w:keepLines/>
        <w:suppressAutoHyphens/>
        <w:spacing w:line="240" w:lineRule="auto"/>
        <w:ind w:firstLine="0"/>
        <w:rPr>
          <w:b/>
          <w:sz w:val="26"/>
          <w:szCs w:val="26"/>
        </w:rPr>
      </w:pPr>
    </w:p>
    <w:p w14:paraId="3DCB6D3F" w14:textId="77777777" w:rsidR="00AB047B" w:rsidRDefault="00AB047B" w:rsidP="00892BEC">
      <w:pPr>
        <w:keepNext/>
        <w:keepLines/>
        <w:suppressAutoHyphens/>
        <w:spacing w:line="240" w:lineRule="auto"/>
        <w:ind w:firstLine="0"/>
        <w:rPr>
          <w:b/>
          <w:sz w:val="26"/>
          <w:szCs w:val="26"/>
        </w:rPr>
      </w:pPr>
    </w:p>
    <w:p w14:paraId="5A035B6A" w14:textId="79E0714D" w:rsidR="00AB047B" w:rsidRDefault="00AB047B" w:rsidP="00892BEC">
      <w:pPr>
        <w:keepNext/>
        <w:keepLines/>
        <w:suppressAutoHyphens/>
        <w:spacing w:line="240" w:lineRule="auto"/>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736DA">
        <w:rPr>
          <w:sz w:val="26"/>
          <w:szCs w:val="26"/>
        </w:rPr>
        <w:t>Rosemary Chiavetta</w:t>
      </w:r>
    </w:p>
    <w:p w14:paraId="32678DF3" w14:textId="46960E10" w:rsidR="00AB047B" w:rsidRDefault="00AB047B" w:rsidP="00892BEC">
      <w:pPr>
        <w:keepNext/>
        <w:keepLines/>
        <w:suppressAutoHyphens/>
        <w:spacing w:line="240" w:lineRule="auto"/>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736DA">
        <w:rPr>
          <w:sz w:val="26"/>
          <w:szCs w:val="26"/>
        </w:rPr>
        <w:t>Secretary</w:t>
      </w:r>
    </w:p>
    <w:p w14:paraId="67F8F9EE" w14:textId="77777777" w:rsidR="00F85171" w:rsidRDefault="00F85171" w:rsidP="00892BEC">
      <w:pPr>
        <w:keepNext/>
        <w:keepLines/>
        <w:spacing w:line="240" w:lineRule="auto"/>
        <w:ind w:firstLine="0"/>
        <w:rPr>
          <w:sz w:val="26"/>
          <w:szCs w:val="26"/>
        </w:rPr>
      </w:pPr>
    </w:p>
    <w:p w14:paraId="66B9F581" w14:textId="26F0339E" w:rsidR="00176E39" w:rsidRPr="006736DA" w:rsidRDefault="00176E39" w:rsidP="00892BEC">
      <w:pPr>
        <w:keepNext/>
        <w:keepLines/>
        <w:spacing w:line="240" w:lineRule="auto"/>
        <w:ind w:firstLine="0"/>
        <w:rPr>
          <w:sz w:val="26"/>
          <w:szCs w:val="26"/>
        </w:rPr>
      </w:pPr>
      <w:r w:rsidRPr="006736DA">
        <w:rPr>
          <w:sz w:val="26"/>
          <w:szCs w:val="26"/>
        </w:rPr>
        <w:t>(SEAL)</w:t>
      </w:r>
    </w:p>
    <w:p w14:paraId="4D1A9E7A" w14:textId="77777777" w:rsidR="00176E39" w:rsidRDefault="00176E39" w:rsidP="00892BEC">
      <w:pPr>
        <w:keepNext/>
        <w:keepLines/>
        <w:spacing w:line="240" w:lineRule="auto"/>
        <w:ind w:firstLine="0"/>
        <w:rPr>
          <w:sz w:val="26"/>
          <w:szCs w:val="26"/>
        </w:rPr>
      </w:pPr>
    </w:p>
    <w:p w14:paraId="070C3F37" w14:textId="66918D71" w:rsidR="00176E39" w:rsidRPr="006736DA" w:rsidRDefault="00176E39" w:rsidP="00892BEC">
      <w:pPr>
        <w:keepNext/>
        <w:keepLines/>
        <w:spacing w:line="240" w:lineRule="auto"/>
        <w:ind w:firstLine="0"/>
        <w:rPr>
          <w:sz w:val="26"/>
          <w:szCs w:val="26"/>
        </w:rPr>
      </w:pPr>
      <w:r w:rsidRPr="006736DA">
        <w:rPr>
          <w:sz w:val="26"/>
          <w:szCs w:val="26"/>
        </w:rPr>
        <w:t xml:space="preserve">ORDER ADOPTED:  </w:t>
      </w:r>
      <w:r w:rsidR="0018367E">
        <w:rPr>
          <w:sz w:val="26"/>
          <w:szCs w:val="26"/>
        </w:rPr>
        <w:t>May 9</w:t>
      </w:r>
      <w:r w:rsidR="000A23D2">
        <w:rPr>
          <w:sz w:val="26"/>
          <w:szCs w:val="26"/>
        </w:rPr>
        <w:t xml:space="preserve">, </w:t>
      </w:r>
      <w:r>
        <w:rPr>
          <w:sz w:val="26"/>
          <w:szCs w:val="26"/>
        </w:rPr>
        <w:t>2019</w:t>
      </w:r>
    </w:p>
    <w:p w14:paraId="28562EEB" w14:textId="77777777" w:rsidR="00176E39" w:rsidRDefault="00176E39" w:rsidP="00892BEC">
      <w:pPr>
        <w:keepNext/>
        <w:keepLines/>
        <w:spacing w:line="240" w:lineRule="auto"/>
        <w:ind w:firstLine="0"/>
        <w:rPr>
          <w:sz w:val="26"/>
          <w:szCs w:val="26"/>
        </w:rPr>
      </w:pPr>
    </w:p>
    <w:p w14:paraId="53759ECB" w14:textId="69B48F29" w:rsidR="00892BEC" w:rsidRPr="00001C6E" w:rsidRDefault="00176E39" w:rsidP="00892BEC">
      <w:pPr>
        <w:keepNext/>
        <w:keepLines/>
        <w:spacing w:line="240" w:lineRule="auto"/>
        <w:ind w:firstLine="0"/>
        <w:rPr>
          <w:sz w:val="26"/>
          <w:szCs w:val="26"/>
        </w:rPr>
      </w:pPr>
      <w:r w:rsidRPr="006736DA">
        <w:rPr>
          <w:sz w:val="26"/>
          <w:szCs w:val="26"/>
        </w:rPr>
        <w:t xml:space="preserve">ORDER ENTERED:  </w:t>
      </w:r>
      <w:r w:rsidR="00EE71B5">
        <w:rPr>
          <w:sz w:val="26"/>
          <w:szCs w:val="26"/>
        </w:rPr>
        <w:t>May 9, 2019</w:t>
      </w:r>
      <w:bookmarkStart w:id="1" w:name="_GoBack"/>
      <w:bookmarkEnd w:id="1"/>
    </w:p>
    <w:sectPr w:rsidR="00892BEC" w:rsidRPr="00001C6E" w:rsidSect="00D93D9A">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BEB98" w14:textId="77777777" w:rsidR="00FC672B" w:rsidRDefault="00FC672B" w:rsidP="00F14E4C">
      <w:pPr>
        <w:spacing w:line="240" w:lineRule="auto"/>
      </w:pPr>
      <w:r>
        <w:separator/>
      </w:r>
    </w:p>
  </w:endnote>
  <w:endnote w:type="continuationSeparator" w:id="0">
    <w:p w14:paraId="6857A442" w14:textId="77777777" w:rsidR="00FC672B" w:rsidRDefault="00FC672B" w:rsidP="00F1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276154"/>
      <w:docPartObj>
        <w:docPartGallery w:val="Page Numbers (Bottom of Page)"/>
        <w:docPartUnique/>
      </w:docPartObj>
    </w:sdtPr>
    <w:sdtEndPr>
      <w:rPr>
        <w:noProof/>
      </w:rPr>
    </w:sdtEndPr>
    <w:sdtContent>
      <w:p w14:paraId="4B6E1D34" w14:textId="2CDACE35" w:rsidR="00617F8D" w:rsidRDefault="00617F8D" w:rsidP="00D93D9A">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643937BC" w14:textId="77777777" w:rsidR="00617F8D" w:rsidRPr="00617F8D" w:rsidRDefault="00617F8D" w:rsidP="00617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6A96C" w14:textId="77777777" w:rsidR="00FC672B" w:rsidRDefault="00FC672B" w:rsidP="00176E39">
      <w:pPr>
        <w:spacing w:line="240" w:lineRule="auto"/>
        <w:ind w:firstLine="0"/>
      </w:pPr>
      <w:r>
        <w:separator/>
      </w:r>
    </w:p>
  </w:footnote>
  <w:footnote w:type="continuationSeparator" w:id="0">
    <w:p w14:paraId="0A5F2848" w14:textId="77777777" w:rsidR="00FC672B" w:rsidRDefault="00FC672B" w:rsidP="00F14E4C">
      <w:pPr>
        <w:spacing w:line="240" w:lineRule="auto"/>
      </w:pPr>
      <w:r>
        <w:continuationSeparator/>
      </w:r>
    </w:p>
  </w:footnote>
  <w:footnote w:id="1">
    <w:p w14:paraId="76D5F374" w14:textId="304CC331" w:rsidR="002B3B83" w:rsidRPr="00F74F84" w:rsidRDefault="002B3B83" w:rsidP="00601798">
      <w:pPr>
        <w:pStyle w:val="FootnoteText"/>
        <w:keepNext/>
        <w:keepLines/>
        <w:spacing w:after="120" w:line="240" w:lineRule="auto"/>
        <w:ind w:left="0" w:firstLine="720"/>
        <w:rPr>
          <w:sz w:val="26"/>
          <w:szCs w:val="26"/>
        </w:rPr>
      </w:pPr>
      <w:r w:rsidRPr="00F74F84">
        <w:rPr>
          <w:rStyle w:val="FootnoteReference"/>
          <w:rFonts w:eastAsia="SimSun"/>
          <w:szCs w:val="26"/>
        </w:rPr>
        <w:footnoteRef/>
      </w:r>
      <w:r w:rsidRPr="00F74F84">
        <w:rPr>
          <w:sz w:val="26"/>
          <w:szCs w:val="26"/>
        </w:rPr>
        <w:tab/>
      </w:r>
      <w:r>
        <w:rPr>
          <w:i/>
          <w:sz w:val="26"/>
          <w:szCs w:val="26"/>
        </w:rPr>
        <w:t xml:space="preserve">See, </w:t>
      </w:r>
      <w:r>
        <w:rPr>
          <w:sz w:val="26"/>
          <w:szCs w:val="26"/>
        </w:rPr>
        <w:t xml:space="preserve">Commonwealth Court 1291 C.D. 2018.  In its </w:t>
      </w:r>
      <w:r w:rsidRPr="00F74F84">
        <w:rPr>
          <w:sz w:val="26"/>
          <w:szCs w:val="26"/>
        </w:rPr>
        <w:t>Petition for Review by Commonwealth Court</w:t>
      </w:r>
      <w:r>
        <w:rPr>
          <w:sz w:val="26"/>
          <w:szCs w:val="26"/>
        </w:rPr>
        <w:t xml:space="preserve">, PGW </w:t>
      </w:r>
      <w:r w:rsidRPr="00F74F84">
        <w:rPr>
          <w:sz w:val="26"/>
          <w:szCs w:val="26"/>
        </w:rPr>
        <w:t>request</w:t>
      </w:r>
      <w:r>
        <w:rPr>
          <w:sz w:val="26"/>
          <w:szCs w:val="26"/>
        </w:rPr>
        <w:t>ed</w:t>
      </w:r>
      <w:r w:rsidRPr="00F74F84">
        <w:rPr>
          <w:sz w:val="26"/>
          <w:szCs w:val="26"/>
        </w:rPr>
        <w:t xml:space="preserve"> review of</w:t>
      </w:r>
      <w:r>
        <w:rPr>
          <w:sz w:val="26"/>
          <w:szCs w:val="26"/>
        </w:rPr>
        <w:t xml:space="preserve"> our</w:t>
      </w:r>
      <w:r w:rsidRPr="00F74F84">
        <w:rPr>
          <w:sz w:val="26"/>
          <w:szCs w:val="26"/>
        </w:rPr>
        <w:t xml:space="preserve"> </w:t>
      </w:r>
      <w:r w:rsidRPr="00F74F84">
        <w:rPr>
          <w:i/>
          <w:sz w:val="26"/>
          <w:szCs w:val="26"/>
        </w:rPr>
        <w:t>December 2016 Order</w:t>
      </w:r>
      <w:r>
        <w:rPr>
          <w:i/>
          <w:sz w:val="26"/>
          <w:szCs w:val="26"/>
        </w:rPr>
        <w:t>,</w:t>
      </w:r>
      <w:r w:rsidRPr="00F74F84">
        <w:rPr>
          <w:sz w:val="26"/>
          <w:szCs w:val="26"/>
        </w:rPr>
        <w:t xml:space="preserve"> </w:t>
      </w:r>
      <w:r w:rsidRPr="00F74F84">
        <w:rPr>
          <w:i/>
          <w:sz w:val="26"/>
          <w:szCs w:val="26"/>
        </w:rPr>
        <w:t>May 2018 Order</w:t>
      </w:r>
      <w:r>
        <w:rPr>
          <w:sz w:val="26"/>
          <w:szCs w:val="26"/>
        </w:rPr>
        <w:t xml:space="preserve"> and </w:t>
      </w:r>
      <w:r w:rsidRPr="00F74F84">
        <w:rPr>
          <w:i/>
          <w:sz w:val="26"/>
          <w:szCs w:val="26"/>
        </w:rPr>
        <w:t>August 2018 Order</w:t>
      </w:r>
      <w:r>
        <w:rPr>
          <w:sz w:val="26"/>
          <w:szCs w:val="26"/>
        </w:rPr>
        <w:t xml:space="preserve"> (</w:t>
      </w:r>
      <w:r w:rsidRPr="00F74F84">
        <w:rPr>
          <w:sz w:val="26"/>
          <w:szCs w:val="26"/>
        </w:rPr>
        <w:t xml:space="preserve">collectively, the </w:t>
      </w:r>
      <w:r w:rsidRPr="0020772E">
        <w:rPr>
          <w:i/>
          <w:sz w:val="26"/>
          <w:szCs w:val="26"/>
        </w:rPr>
        <w:t>Commission Orders</w:t>
      </w:r>
      <w:r w:rsidRPr="00F74F84">
        <w:rPr>
          <w:sz w:val="26"/>
          <w:szCs w:val="26"/>
        </w:rPr>
        <w:t>).</w:t>
      </w:r>
    </w:p>
  </w:footnote>
  <w:footnote w:id="2">
    <w:p w14:paraId="435418D5" w14:textId="74B5D9CA" w:rsidR="002B3B83" w:rsidRDefault="002B3B83" w:rsidP="00601798">
      <w:pPr>
        <w:pStyle w:val="FootnoteText"/>
        <w:keepNext/>
        <w:keepLines/>
        <w:spacing w:after="120" w:line="240" w:lineRule="auto"/>
        <w:ind w:left="0" w:firstLine="720"/>
      </w:pPr>
      <w:r>
        <w:rPr>
          <w:rStyle w:val="FootnoteReference"/>
        </w:rPr>
        <w:footnoteRef/>
      </w:r>
      <w:r>
        <w:tab/>
      </w:r>
      <w:r w:rsidR="003B542D">
        <w:t>The Petition for Reconsideration was s</w:t>
      </w:r>
      <w:r>
        <w:rPr>
          <w:kern w:val="24"/>
          <w:sz w:val="26"/>
          <w:szCs w:val="26"/>
        </w:rPr>
        <w:t xml:space="preserve">ubject to the requirements of </w:t>
      </w:r>
      <w:r w:rsidRPr="009B0400">
        <w:rPr>
          <w:kern w:val="24"/>
          <w:sz w:val="26"/>
          <w:szCs w:val="26"/>
        </w:rPr>
        <w:t>§ 5.41</w:t>
      </w:r>
      <w:r>
        <w:rPr>
          <w:kern w:val="24"/>
          <w:sz w:val="26"/>
          <w:szCs w:val="26"/>
        </w:rPr>
        <w:t xml:space="preserve"> of Commission regulations, 52 Pa. Code §5.41 </w:t>
      </w:r>
      <w:r w:rsidRPr="009B0400">
        <w:rPr>
          <w:kern w:val="24"/>
          <w:sz w:val="26"/>
          <w:szCs w:val="26"/>
        </w:rPr>
        <w:t>(regarding petitions generally)</w:t>
      </w:r>
      <w:r>
        <w:rPr>
          <w:kern w:val="24"/>
          <w:sz w:val="26"/>
          <w:szCs w:val="26"/>
        </w:rPr>
        <w:t>.</w:t>
      </w:r>
    </w:p>
  </w:footnote>
  <w:footnote w:id="3">
    <w:p w14:paraId="272FE0CE" w14:textId="0F3955C1" w:rsidR="002B3B83" w:rsidRPr="0035560E" w:rsidRDefault="002B3B83" w:rsidP="00601798">
      <w:pPr>
        <w:pStyle w:val="FootnoteText"/>
        <w:spacing w:after="120" w:line="240" w:lineRule="auto"/>
        <w:ind w:left="0" w:firstLine="720"/>
        <w:rPr>
          <w:sz w:val="26"/>
          <w:szCs w:val="26"/>
        </w:rPr>
      </w:pPr>
      <w:r w:rsidRPr="0035560E">
        <w:rPr>
          <w:rStyle w:val="FootnoteReference"/>
          <w:rFonts w:eastAsia="SimSun"/>
          <w:szCs w:val="26"/>
        </w:rPr>
        <w:footnoteRef/>
      </w:r>
      <w:r w:rsidRPr="0035560E">
        <w:rPr>
          <w:sz w:val="26"/>
          <w:szCs w:val="26"/>
        </w:rPr>
        <w:tab/>
      </w:r>
      <w:r>
        <w:rPr>
          <w:sz w:val="26"/>
        </w:rPr>
        <w:t>T</w:t>
      </w:r>
      <w:r w:rsidRPr="00027664">
        <w:rPr>
          <w:sz w:val="26"/>
        </w:rPr>
        <w:t xml:space="preserve">he Commission must act to grant a petition for reconsideration within thirty days of the date of entry of the order for which reconsideration is sought, or otherwise lose jurisdiction to do so if a petition for review is timely filed.  </w:t>
      </w:r>
      <w:r w:rsidR="00790D69">
        <w:rPr>
          <w:sz w:val="26"/>
        </w:rPr>
        <w:t xml:space="preserve">While </w:t>
      </w:r>
      <w:r w:rsidR="00790D69">
        <w:rPr>
          <w:sz w:val="26"/>
          <w:szCs w:val="26"/>
        </w:rPr>
        <w:t>g</w:t>
      </w:r>
      <w:r>
        <w:rPr>
          <w:sz w:val="26"/>
          <w:szCs w:val="26"/>
        </w:rPr>
        <w:t xml:space="preserve">ranting a </w:t>
      </w:r>
      <w:r w:rsidR="00790D69">
        <w:rPr>
          <w:sz w:val="26"/>
          <w:szCs w:val="26"/>
        </w:rPr>
        <w:t>p</w:t>
      </w:r>
      <w:r>
        <w:rPr>
          <w:sz w:val="26"/>
          <w:szCs w:val="26"/>
        </w:rPr>
        <w:t xml:space="preserve">etition for </w:t>
      </w:r>
      <w:r w:rsidR="00790D69">
        <w:rPr>
          <w:sz w:val="26"/>
          <w:szCs w:val="26"/>
        </w:rPr>
        <w:t>r</w:t>
      </w:r>
      <w:r>
        <w:rPr>
          <w:sz w:val="26"/>
          <w:szCs w:val="26"/>
        </w:rPr>
        <w:t>econsideration</w:t>
      </w:r>
      <w:r w:rsidR="00790D69">
        <w:rPr>
          <w:sz w:val="26"/>
          <w:szCs w:val="26"/>
        </w:rPr>
        <w:t xml:space="preserve">, in order </w:t>
      </w:r>
      <w:r>
        <w:rPr>
          <w:sz w:val="26"/>
          <w:szCs w:val="26"/>
        </w:rPr>
        <w:t xml:space="preserve">to review </w:t>
      </w:r>
      <w:r w:rsidR="00790D69">
        <w:rPr>
          <w:sz w:val="26"/>
          <w:szCs w:val="26"/>
        </w:rPr>
        <w:t xml:space="preserve">it </w:t>
      </w:r>
      <w:r>
        <w:rPr>
          <w:sz w:val="26"/>
          <w:szCs w:val="26"/>
        </w:rPr>
        <w:t>on the merits</w:t>
      </w:r>
      <w:r w:rsidR="00790D69">
        <w:rPr>
          <w:sz w:val="26"/>
          <w:szCs w:val="26"/>
        </w:rPr>
        <w:t>,</w:t>
      </w:r>
      <w:r>
        <w:rPr>
          <w:sz w:val="26"/>
          <w:szCs w:val="26"/>
        </w:rPr>
        <w:t xml:space="preserve"> operates to preserve agency jurisdiction </w:t>
      </w:r>
      <w:r w:rsidR="00790D69">
        <w:rPr>
          <w:sz w:val="26"/>
          <w:szCs w:val="26"/>
        </w:rPr>
        <w:t xml:space="preserve">and </w:t>
      </w:r>
      <w:r>
        <w:rPr>
          <w:sz w:val="26"/>
          <w:szCs w:val="26"/>
        </w:rPr>
        <w:t>toll</w:t>
      </w:r>
      <w:r w:rsidR="00790D69">
        <w:rPr>
          <w:sz w:val="26"/>
          <w:szCs w:val="26"/>
        </w:rPr>
        <w:t>s</w:t>
      </w:r>
      <w:r>
        <w:rPr>
          <w:sz w:val="26"/>
          <w:szCs w:val="26"/>
        </w:rPr>
        <w:t xml:space="preserve"> the running of the appeal period, </w:t>
      </w:r>
      <w:r w:rsidR="00790D69">
        <w:rPr>
          <w:sz w:val="26"/>
          <w:szCs w:val="26"/>
        </w:rPr>
        <w:t xml:space="preserve">it </w:t>
      </w:r>
      <w:r>
        <w:rPr>
          <w:sz w:val="26"/>
          <w:szCs w:val="26"/>
        </w:rPr>
        <w:t xml:space="preserve">does not stay the enforcement of the agency order in question, unless a stay is granted.  </w:t>
      </w:r>
      <w:r w:rsidRPr="00601798">
        <w:rPr>
          <w:i/>
          <w:sz w:val="26"/>
          <w:szCs w:val="26"/>
        </w:rPr>
        <w:t>See</w:t>
      </w:r>
      <w:r>
        <w:rPr>
          <w:sz w:val="26"/>
          <w:szCs w:val="26"/>
        </w:rPr>
        <w:t xml:space="preserve">, Rule 1781 of the Pennsylvania Rules of Appellate Procedure,  Pa. R.A.P Rule 1781 (pertaining to stay pending action on petition for review) (a party must ordinarily seek a stay before the agency prior to requesting a stay from the Court), and Pa. R.A.P </w:t>
      </w:r>
      <w:r w:rsidR="00601798">
        <w:rPr>
          <w:sz w:val="26"/>
          <w:szCs w:val="26"/>
        </w:rPr>
        <w:t xml:space="preserve">Rule </w:t>
      </w:r>
      <w:r>
        <w:rPr>
          <w:sz w:val="26"/>
          <w:szCs w:val="26"/>
        </w:rPr>
        <w:t>1701(b) (pertaining the continued authority of agency to enforce its own orders unless superseded by order of the Court).</w:t>
      </w:r>
    </w:p>
  </w:footnote>
  <w:footnote w:id="4">
    <w:p w14:paraId="26A5F213" w14:textId="76EAFAEC" w:rsidR="002B3B83" w:rsidRDefault="002B3B83" w:rsidP="003038E7">
      <w:pPr>
        <w:pStyle w:val="FootnoteText"/>
        <w:spacing w:after="120" w:line="240" w:lineRule="auto"/>
        <w:ind w:left="0" w:firstLine="720"/>
      </w:pPr>
      <w:r>
        <w:rPr>
          <w:rStyle w:val="FootnoteReference"/>
          <w:rFonts w:eastAsia="SimSun"/>
        </w:rPr>
        <w:footnoteRef/>
      </w:r>
      <w:r>
        <w:tab/>
      </w:r>
      <w:r w:rsidRPr="00E578A0">
        <w:rPr>
          <w:sz w:val="26"/>
          <w:szCs w:val="26"/>
        </w:rPr>
        <w:t>We note that PGW disputes our finding that PGW’s Petition for Stay was untimely pursuant to §5.57</w:t>
      </w:r>
      <w:r w:rsidR="00790D69" w:rsidRPr="00E578A0">
        <w:rPr>
          <w:sz w:val="26"/>
          <w:szCs w:val="26"/>
        </w:rPr>
        <w:t>2</w:t>
      </w:r>
      <w:r w:rsidRPr="00E578A0">
        <w:rPr>
          <w:sz w:val="26"/>
          <w:szCs w:val="26"/>
        </w:rPr>
        <w:t xml:space="preserve">(c), since the Petition was filed more than </w:t>
      </w:r>
      <w:r w:rsidR="003038E7">
        <w:rPr>
          <w:sz w:val="26"/>
          <w:szCs w:val="26"/>
        </w:rPr>
        <w:t>fifteen</w:t>
      </w:r>
      <w:r w:rsidRPr="00E578A0">
        <w:rPr>
          <w:sz w:val="26"/>
          <w:szCs w:val="26"/>
        </w:rPr>
        <w:t xml:space="preserve"> days after entry of the final order. </w:t>
      </w:r>
      <w:r w:rsidR="00790D69">
        <w:rPr>
          <w:sz w:val="26"/>
          <w:szCs w:val="26"/>
        </w:rPr>
        <w:t xml:space="preserve"> </w:t>
      </w:r>
      <w:r w:rsidRPr="00E578A0">
        <w:rPr>
          <w:sz w:val="26"/>
          <w:szCs w:val="26"/>
        </w:rPr>
        <w:t xml:space="preserve">Petition at 5. </w:t>
      </w:r>
      <w:r w:rsidR="00790D69">
        <w:rPr>
          <w:sz w:val="26"/>
          <w:szCs w:val="26"/>
        </w:rPr>
        <w:t xml:space="preserve"> </w:t>
      </w:r>
      <w:r w:rsidRPr="00E578A0">
        <w:rPr>
          <w:sz w:val="26"/>
          <w:szCs w:val="26"/>
        </w:rPr>
        <w:t xml:space="preserve">However, our regulations clearly establish a </w:t>
      </w:r>
      <w:r w:rsidR="003038E7">
        <w:rPr>
          <w:sz w:val="26"/>
          <w:szCs w:val="26"/>
        </w:rPr>
        <w:t>fifteen</w:t>
      </w:r>
      <w:r w:rsidRPr="00E578A0">
        <w:rPr>
          <w:sz w:val="26"/>
          <w:szCs w:val="26"/>
        </w:rPr>
        <w:t>-day period for filing petitions for relief, including a stay</w:t>
      </w:r>
      <w:r>
        <w:t>.</w:t>
      </w:r>
    </w:p>
    <w:p w14:paraId="36A3A51E" w14:textId="69C8A512" w:rsidR="002B3B83" w:rsidRPr="00E578A0" w:rsidRDefault="002B3B83" w:rsidP="00D93D9A">
      <w:pPr>
        <w:pStyle w:val="FootnoteText"/>
        <w:spacing w:after="120" w:line="240" w:lineRule="auto"/>
        <w:ind w:left="0"/>
        <w:rPr>
          <w:sz w:val="26"/>
          <w:szCs w:val="26"/>
        </w:rPr>
      </w:pPr>
      <w:r w:rsidRPr="00E578A0">
        <w:rPr>
          <w:sz w:val="26"/>
          <w:szCs w:val="26"/>
        </w:rPr>
        <w:t xml:space="preserve">PGW asserts that because Pa. R.A.P. Rule 1781 requires a party to first seek a stay from the agency before requesting a stay from the court, that the rule establishes that there is “no explicit ability for seeking a stay pending judicial review before judicial review is actually initiated.” </w:t>
      </w:r>
      <w:r w:rsidR="00D81597">
        <w:rPr>
          <w:sz w:val="26"/>
          <w:szCs w:val="26"/>
        </w:rPr>
        <w:t xml:space="preserve"> </w:t>
      </w:r>
      <w:r w:rsidRPr="00E578A0">
        <w:rPr>
          <w:sz w:val="26"/>
          <w:szCs w:val="26"/>
        </w:rPr>
        <w:t xml:space="preserve">Petition at 6, </w:t>
      </w:r>
      <w:r w:rsidR="00D81597">
        <w:rPr>
          <w:sz w:val="26"/>
          <w:szCs w:val="26"/>
        </w:rPr>
        <w:t>n</w:t>
      </w:r>
      <w:r w:rsidRPr="00E578A0">
        <w:rPr>
          <w:sz w:val="26"/>
          <w:szCs w:val="26"/>
        </w:rPr>
        <w:t xml:space="preserve">.20.  However, the rule pertains to the conduct of the party, not the agency.  </w:t>
      </w:r>
      <w:r w:rsidR="00790D69">
        <w:rPr>
          <w:sz w:val="26"/>
          <w:szCs w:val="26"/>
        </w:rPr>
        <w:t>T</w:t>
      </w:r>
      <w:r w:rsidRPr="00E578A0">
        <w:rPr>
          <w:sz w:val="26"/>
          <w:szCs w:val="26"/>
        </w:rPr>
        <w:t>h</w:t>
      </w:r>
      <w:r w:rsidR="00790D69">
        <w:rPr>
          <w:sz w:val="26"/>
          <w:szCs w:val="26"/>
        </w:rPr>
        <w:t>is</w:t>
      </w:r>
      <w:r w:rsidRPr="00E578A0">
        <w:rPr>
          <w:sz w:val="26"/>
          <w:szCs w:val="26"/>
        </w:rPr>
        <w:t xml:space="preserve"> issue is moot, since we treated the Petition as timely</w:t>
      </w:r>
      <w:r w:rsidR="00790D69">
        <w:rPr>
          <w:sz w:val="26"/>
          <w:szCs w:val="26"/>
        </w:rPr>
        <w:t>.</w:t>
      </w:r>
    </w:p>
    <w:p w14:paraId="558BCC90" w14:textId="79952BE3" w:rsidR="002B3B83" w:rsidRPr="00E578A0" w:rsidRDefault="008571B0" w:rsidP="00D93D9A">
      <w:pPr>
        <w:pStyle w:val="FootnoteText"/>
        <w:spacing w:after="120" w:line="240" w:lineRule="auto"/>
        <w:ind w:left="0" w:firstLine="720"/>
        <w:rPr>
          <w:sz w:val="26"/>
          <w:szCs w:val="26"/>
        </w:rPr>
      </w:pPr>
      <w:r>
        <w:rPr>
          <w:sz w:val="26"/>
          <w:szCs w:val="26"/>
        </w:rPr>
        <w:tab/>
      </w:r>
      <w:r w:rsidR="002B3B83" w:rsidRPr="00E578A0">
        <w:rPr>
          <w:sz w:val="26"/>
          <w:szCs w:val="26"/>
        </w:rPr>
        <w:t>We further reject PGW’s assertion that, because a petition for rescission or amendment may be filed at any time following issuance of a final order under 52 Pa. Code § 5.57</w:t>
      </w:r>
      <w:r w:rsidR="00D81597">
        <w:rPr>
          <w:sz w:val="26"/>
          <w:szCs w:val="26"/>
        </w:rPr>
        <w:t>2</w:t>
      </w:r>
      <w:r w:rsidR="002B3B83" w:rsidRPr="00E578A0">
        <w:rPr>
          <w:sz w:val="26"/>
          <w:szCs w:val="26"/>
        </w:rPr>
        <w:t>(d), that section operates to effectively allow the parties to file a request for stay at any time.</w:t>
      </w:r>
      <w:r w:rsidR="00790D69">
        <w:rPr>
          <w:sz w:val="26"/>
          <w:szCs w:val="26"/>
        </w:rPr>
        <w:t xml:space="preserve"> </w:t>
      </w:r>
      <w:r w:rsidR="002B3B83" w:rsidRPr="00E578A0">
        <w:rPr>
          <w:sz w:val="26"/>
          <w:szCs w:val="26"/>
        </w:rPr>
        <w:t xml:space="preserve"> Petition at 6. </w:t>
      </w:r>
      <w:r w:rsidR="00790D69">
        <w:rPr>
          <w:sz w:val="26"/>
          <w:szCs w:val="26"/>
        </w:rPr>
        <w:t xml:space="preserve"> </w:t>
      </w:r>
      <w:r w:rsidR="002B3B83" w:rsidRPr="00E578A0">
        <w:rPr>
          <w:sz w:val="26"/>
          <w:szCs w:val="26"/>
        </w:rPr>
        <w:t xml:space="preserve">However, a petition for rescission or amendment is </w:t>
      </w:r>
      <w:r w:rsidR="002B3B83" w:rsidRPr="00E578A0">
        <w:rPr>
          <w:i/>
          <w:sz w:val="26"/>
          <w:szCs w:val="26"/>
        </w:rPr>
        <w:t>not</w:t>
      </w:r>
      <w:r w:rsidR="002B3B83" w:rsidRPr="00E578A0">
        <w:rPr>
          <w:sz w:val="26"/>
          <w:szCs w:val="26"/>
        </w:rPr>
        <w:t xml:space="preserve"> the same as a petition for stay of an order</w:t>
      </w:r>
      <w:r>
        <w:rPr>
          <w:sz w:val="26"/>
          <w:szCs w:val="26"/>
        </w:rPr>
        <w:t>’</w:t>
      </w:r>
      <w:r w:rsidR="002B3B83" w:rsidRPr="00E578A0">
        <w:rPr>
          <w:sz w:val="26"/>
          <w:szCs w:val="26"/>
        </w:rPr>
        <w:t xml:space="preserve">s effect pending further review but seeks a reversal or revision of the order in question, which if denied, does </w:t>
      </w:r>
      <w:r w:rsidR="002B3B83" w:rsidRPr="00E578A0">
        <w:rPr>
          <w:i/>
          <w:sz w:val="26"/>
          <w:szCs w:val="26"/>
        </w:rPr>
        <w:t>not</w:t>
      </w:r>
      <w:r w:rsidR="002B3B83" w:rsidRPr="00E578A0">
        <w:rPr>
          <w:sz w:val="26"/>
          <w:szCs w:val="26"/>
        </w:rPr>
        <w:t xml:space="preserve"> operate to stay enforcement of the order in question.  Finally, we note that both, </w:t>
      </w:r>
      <w:r w:rsidR="00D81597">
        <w:rPr>
          <w:sz w:val="26"/>
          <w:szCs w:val="26"/>
        </w:rPr>
        <w:t>(</w:t>
      </w:r>
      <w:r w:rsidR="002B3B83" w:rsidRPr="00E578A0">
        <w:rPr>
          <w:sz w:val="26"/>
          <w:szCs w:val="26"/>
        </w:rPr>
        <w:t xml:space="preserve">1) whether to consider or grant an untimely petition for relief from a final order, and </w:t>
      </w:r>
      <w:r w:rsidR="00D81597">
        <w:rPr>
          <w:sz w:val="26"/>
          <w:szCs w:val="26"/>
        </w:rPr>
        <w:t>(</w:t>
      </w:r>
      <w:r w:rsidR="002B3B83" w:rsidRPr="00E578A0">
        <w:rPr>
          <w:sz w:val="26"/>
          <w:szCs w:val="26"/>
        </w:rPr>
        <w:t>2) whether to consider or grant a petition for rescission or amendment of a final order, are matters entirely within the purview of Commission discretion.</w:t>
      </w:r>
    </w:p>
  </w:footnote>
  <w:footnote w:id="5">
    <w:p w14:paraId="5D63F203" w14:textId="5A1CECC9" w:rsidR="002B3B83" w:rsidRDefault="002B3B83" w:rsidP="00333DDD">
      <w:pPr>
        <w:pStyle w:val="FootnoteText"/>
        <w:spacing w:after="120" w:line="240" w:lineRule="auto"/>
        <w:ind w:left="0" w:firstLine="720"/>
      </w:pPr>
      <w:r>
        <w:rPr>
          <w:rStyle w:val="FootnoteReference"/>
        </w:rPr>
        <w:footnoteRef/>
      </w:r>
      <w:r w:rsidR="00333DDD">
        <w:tab/>
      </w:r>
      <w:r w:rsidRPr="00E578A0">
        <w:rPr>
          <w:sz w:val="26"/>
          <w:szCs w:val="26"/>
        </w:rPr>
        <w:t xml:space="preserve">We note that PGW points out that our </w:t>
      </w:r>
      <w:r w:rsidRPr="00E578A0">
        <w:rPr>
          <w:i/>
          <w:sz w:val="26"/>
          <w:szCs w:val="26"/>
        </w:rPr>
        <w:t>March 28 Order</w:t>
      </w:r>
      <w:r w:rsidRPr="00E578A0">
        <w:rPr>
          <w:sz w:val="26"/>
          <w:szCs w:val="26"/>
        </w:rPr>
        <w:t xml:space="preserve"> misstated that the Philadelphia Water Department was “subject to Commission jurisdiction.”  </w:t>
      </w:r>
      <w:r w:rsidR="00166D8E">
        <w:rPr>
          <w:sz w:val="26"/>
          <w:szCs w:val="26"/>
        </w:rPr>
        <w:t>We note that it was a misstatement</w:t>
      </w:r>
      <w:r w:rsidR="004866D8">
        <w:rPr>
          <w:sz w:val="26"/>
          <w:szCs w:val="26"/>
        </w:rPr>
        <w:t>,</w:t>
      </w:r>
      <w:r w:rsidR="00166D8E">
        <w:rPr>
          <w:sz w:val="26"/>
          <w:szCs w:val="26"/>
        </w:rPr>
        <w:t xml:space="preserve"> but</w:t>
      </w:r>
      <w:r w:rsidRPr="00E578A0">
        <w:rPr>
          <w:sz w:val="26"/>
          <w:szCs w:val="26"/>
        </w:rPr>
        <w:t xml:space="preserve"> contrary to PGW’s assertions, our reference to the Philadelphia Water Department was not material to our disposition of the question of whether PGW satisfied any criteria of </w:t>
      </w:r>
      <w:r w:rsidRPr="00E578A0">
        <w:rPr>
          <w:i/>
          <w:sz w:val="26"/>
          <w:szCs w:val="26"/>
        </w:rPr>
        <w:t>Process Gas</w:t>
      </w:r>
      <w:r w:rsidRPr="00E578A0">
        <w:rPr>
          <w:sz w:val="26"/>
          <w:szCs w:val="26"/>
        </w:rPr>
        <w:t xml:space="preserve">.  Rather we noted that the Philadelphia Water Department was </w:t>
      </w:r>
      <w:r w:rsidR="004866D8">
        <w:rPr>
          <w:sz w:val="26"/>
          <w:szCs w:val="26"/>
        </w:rPr>
        <w:t xml:space="preserve">a </w:t>
      </w:r>
      <w:r w:rsidRPr="00E578A0">
        <w:rPr>
          <w:sz w:val="26"/>
          <w:szCs w:val="26"/>
        </w:rPr>
        <w:t xml:space="preserve">municipal authority which, </w:t>
      </w:r>
      <w:r w:rsidRPr="00E578A0">
        <w:rPr>
          <w:i/>
          <w:sz w:val="26"/>
          <w:szCs w:val="26"/>
        </w:rPr>
        <w:t>albeit</w:t>
      </w:r>
      <w:r w:rsidRPr="00E578A0">
        <w:rPr>
          <w:sz w:val="26"/>
          <w:szCs w:val="26"/>
        </w:rPr>
        <w:t xml:space="preserve"> not subject to Commission jurisdiction, </w:t>
      </w:r>
      <w:r w:rsidR="00472A9D" w:rsidRPr="00E578A0">
        <w:rPr>
          <w:sz w:val="26"/>
          <w:szCs w:val="26"/>
        </w:rPr>
        <w:t>like PGW</w:t>
      </w:r>
      <w:r w:rsidR="004866D8">
        <w:rPr>
          <w:sz w:val="26"/>
          <w:szCs w:val="26"/>
        </w:rPr>
        <w:t>,</w:t>
      </w:r>
      <w:r w:rsidR="00472A9D" w:rsidRPr="00E578A0">
        <w:rPr>
          <w:sz w:val="26"/>
          <w:szCs w:val="26"/>
        </w:rPr>
        <w:t xml:space="preserve"> </w:t>
      </w:r>
      <w:r w:rsidRPr="00E578A0">
        <w:rPr>
          <w:sz w:val="26"/>
          <w:szCs w:val="26"/>
        </w:rPr>
        <w:t xml:space="preserve">possesses the authority to impose municipal liens and </w:t>
      </w:r>
      <w:r w:rsidR="00472A9D" w:rsidRPr="00E578A0">
        <w:rPr>
          <w:sz w:val="26"/>
          <w:szCs w:val="26"/>
        </w:rPr>
        <w:t xml:space="preserve">yet </w:t>
      </w:r>
      <w:r w:rsidRPr="00E578A0">
        <w:rPr>
          <w:sz w:val="26"/>
          <w:szCs w:val="26"/>
        </w:rPr>
        <w:t>follows billing and collection practices which would appear to comply with Commission regulations.  PGW’s assertions of overburdensome adjustments to PGW’s practices</w:t>
      </w:r>
      <w:r w:rsidR="00A52BCF" w:rsidRPr="00E578A0">
        <w:rPr>
          <w:sz w:val="26"/>
          <w:szCs w:val="26"/>
        </w:rPr>
        <w:t xml:space="preserve"> appears to be controverted by the fact that</w:t>
      </w:r>
      <w:r w:rsidRPr="00E578A0">
        <w:rPr>
          <w:sz w:val="26"/>
          <w:szCs w:val="26"/>
        </w:rPr>
        <w:t xml:space="preserve"> the Philadelphia Water Department appears to</w:t>
      </w:r>
      <w:r w:rsidR="00A52BCF" w:rsidRPr="00E578A0">
        <w:rPr>
          <w:sz w:val="26"/>
          <w:szCs w:val="26"/>
        </w:rPr>
        <w:t xml:space="preserve"> </w:t>
      </w:r>
      <w:r w:rsidRPr="00E578A0">
        <w:rPr>
          <w:sz w:val="26"/>
          <w:szCs w:val="26"/>
        </w:rPr>
        <w:t xml:space="preserve">establish a </w:t>
      </w:r>
      <w:r w:rsidR="00472A9D" w:rsidRPr="00E578A0">
        <w:rPr>
          <w:sz w:val="26"/>
          <w:szCs w:val="26"/>
        </w:rPr>
        <w:t xml:space="preserve">practical and workable </w:t>
      </w:r>
      <w:r w:rsidRPr="00E578A0">
        <w:rPr>
          <w:sz w:val="26"/>
          <w:szCs w:val="26"/>
        </w:rPr>
        <w:t>mo</w:t>
      </w:r>
      <w:r w:rsidR="00472A9D" w:rsidRPr="00E578A0">
        <w:rPr>
          <w:sz w:val="26"/>
          <w:szCs w:val="26"/>
        </w:rPr>
        <w:t>del for PGW to follow.</w:t>
      </w:r>
      <w:r w:rsidR="00166D8E">
        <w:rPr>
          <w:sz w:val="26"/>
          <w:szCs w:val="26"/>
        </w:rPr>
        <w:t xml:space="preserve"> </w:t>
      </w:r>
      <w:r w:rsidR="00472A9D" w:rsidRPr="00E578A0">
        <w:rPr>
          <w:sz w:val="26"/>
          <w:szCs w:val="26"/>
        </w:rPr>
        <w:t xml:space="preserve"> </w:t>
      </w:r>
      <w:r w:rsidR="00A52BCF" w:rsidRPr="00E578A0">
        <w:rPr>
          <w:i/>
          <w:sz w:val="26"/>
          <w:szCs w:val="26"/>
        </w:rPr>
        <w:t>March 28 Order</w:t>
      </w:r>
      <w:r w:rsidR="00A52BCF" w:rsidRPr="00E578A0">
        <w:rPr>
          <w:sz w:val="26"/>
          <w:szCs w:val="26"/>
        </w:rPr>
        <w:t xml:space="preserve"> at 20.</w:t>
      </w:r>
    </w:p>
  </w:footnote>
  <w:footnote w:id="6">
    <w:p w14:paraId="1D18BA54" w14:textId="0F2D809A" w:rsidR="002B3B83" w:rsidRDefault="002B3B83" w:rsidP="00333DDD">
      <w:pPr>
        <w:spacing w:after="120" w:line="240" w:lineRule="auto"/>
        <w:ind w:firstLine="720"/>
        <w:rPr>
          <w:rFonts w:eastAsiaTheme="minorHAnsi"/>
          <w:sz w:val="26"/>
          <w:szCs w:val="26"/>
        </w:rPr>
      </w:pPr>
      <w:r>
        <w:rPr>
          <w:rStyle w:val="FootnoteReference"/>
        </w:rPr>
        <w:footnoteRef/>
      </w:r>
      <w:r w:rsidR="00333DDD">
        <w:tab/>
      </w:r>
      <w:r>
        <w:t>W</w:t>
      </w:r>
      <w:r w:rsidRPr="000172BF">
        <w:rPr>
          <w:rFonts w:eastAsiaTheme="minorHAnsi"/>
          <w:sz w:val="26"/>
          <w:szCs w:val="26"/>
        </w:rPr>
        <w:t xml:space="preserve">e note that </w:t>
      </w:r>
      <w:r>
        <w:rPr>
          <w:rFonts w:eastAsiaTheme="minorHAnsi"/>
          <w:sz w:val="26"/>
          <w:szCs w:val="26"/>
        </w:rPr>
        <w:t>PGW’s allegations of “irreparable harm” do not acknowledge that preserving the “</w:t>
      </w:r>
      <w:r w:rsidRPr="00FC166E">
        <w:rPr>
          <w:rFonts w:eastAsiaTheme="minorHAnsi"/>
          <w:i/>
          <w:sz w:val="26"/>
          <w:szCs w:val="26"/>
        </w:rPr>
        <w:t>status quo</w:t>
      </w:r>
      <w:r>
        <w:rPr>
          <w:rFonts w:eastAsiaTheme="minorHAnsi"/>
          <w:sz w:val="26"/>
          <w:szCs w:val="26"/>
        </w:rPr>
        <w:t xml:space="preserve">,” will preserve PGW’s position as the “wrong doer” </w:t>
      </w:r>
      <w:r w:rsidR="00C805D3">
        <w:rPr>
          <w:rFonts w:eastAsiaTheme="minorHAnsi"/>
          <w:sz w:val="26"/>
          <w:szCs w:val="26"/>
        </w:rPr>
        <w:t xml:space="preserve">found to be in violation of Commission billing and collection practices </w:t>
      </w:r>
      <w:r>
        <w:rPr>
          <w:rFonts w:eastAsiaTheme="minorHAnsi"/>
          <w:sz w:val="26"/>
          <w:szCs w:val="26"/>
        </w:rPr>
        <w:t xml:space="preserve">which has forced </w:t>
      </w:r>
      <w:r w:rsidRPr="000172BF">
        <w:rPr>
          <w:rFonts w:eastAsiaTheme="minorHAnsi"/>
          <w:sz w:val="26"/>
          <w:szCs w:val="26"/>
        </w:rPr>
        <w:t xml:space="preserve">SBG, on behalf of its managed real estate properties, </w:t>
      </w:r>
      <w:r>
        <w:rPr>
          <w:rFonts w:eastAsiaTheme="minorHAnsi"/>
          <w:sz w:val="26"/>
          <w:szCs w:val="26"/>
        </w:rPr>
        <w:t>to prosecute its claim for unlawful billing and collection practices over the course of years of litigation.  In addition, SBG has repeatedly prevailed before the Commission</w:t>
      </w:r>
      <w:r w:rsidR="00FC166E">
        <w:rPr>
          <w:rFonts w:eastAsiaTheme="minorHAnsi"/>
          <w:sz w:val="26"/>
          <w:szCs w:val="26"/>
        </w:rPr>
        <w:t>;</w:t>
      </w:r>
      <w:r>
        <w:rPr>
          <w:rFonts w:eastAsiaTheme="minorHAnsi"/>
          <w:sz w:val="26"/>
          <w:szCs w:val="26"/>
        </w:rPr>
        <w:t xml:space="preserve"> yet, through PGW’s refusal to take any steps toward compliance with Commission orders, SBG has been continuously harmed.</w:t>
      </w:r>
    </w:p>
    <w:p w14:paraId="714A4518" w14:textId="2714966C" w:rsidR="002B3B83" w:rsidRDefault="002B3B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2537D"/>
    <w:multiLevelType w:val="hybridMultilevel"/>
    <w:tmpl w:val="F41A3062"/>
    <w:lvl w:ilvl="0" w:tplc="24C898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B7373"/>
    <w:multiLevelType w:val="hybridMultilevel"/>
    <w:tmpl w:val="85FEE336"/>
    <w:lvl w:ilvl="0" w:tplc="BE60FF1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7400C1"/>
    <w:multiLevelType w:val="hybridMultilevel"/>
    <w:tmpl w:val="DC624170"/>
    <w:lvl w:ilvl="0" w:tplc="54CA595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3B74E3"/>
    <w:multiLevelType w:val="hybridMultilevel"/>
    <w:tmpl w:val="67AED894"/>
    <w:lvl w:ilvl="0" w:tplc="726AA7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581F6A"/>
    <w:multiLevelType w:val="hybridMultilevel"/>
    <w:tmpl w:val="37808260"/>
    <w:lvl w:ilvl="0" w:tplc="B3900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C"/>
    <w:rsid w:val="00001C6E"/>
    <w:rsid w:val="000172BF"/>
    <w:rsid w:val="00045D2D"/>
    <w:rsid w:val="00067DB3"/>
    <w:rsid w:val="000A23D2"/>
    <w:rsid w:val="000A5951"/>
    <w:rsid w:val="000E251D"/>
    <w:rsid w:val="000E5A2C"/>
    <w:rsid w:val="00103D68"/>
    <w:rsid w:val="001062DC"/>
    <w:rsid w:val="0013692D"/>
    <w:rsid w:val="00147478"/>
    <w:rsid w:val="00151F99"/>
    <w:rsid w:val="00166D8E"/>
    <w:rsid w:val="00176E39"/>
    <w:rsid w:val="0018367E"/>
    <w:rsid w:val="00191F03"/>
    <w:rsid w:val="001B09FC"/>
    <w:rsid w:val="001C300B"/>
    <w:rsid w:val="001C3AA4"/>
    <w:rsid w:val="001E695E"/>
    <w:rsid w:val="00260722"/>
    <w:rsid w:val="00292529"/>
    <w:rsid w:val="002B3B83"/>
    <w:rsid w:val="002B674C"/>
    <w:rsid w:val="003038E7"/>
    <w:rsid w:val="00333DDD"/>
    <w:rsid w:val="003B4FAA"/>
    <w:rsid w:val="003B542D"/>
    <w:rsid w:val="00441D77"/>
    <w:rsid w:val="0044300F"/>
    <w:rsid w:val="00444650"/>
    <w:rsid w:val="00454DC3"/>
    <w:rsid w:val="00472A9D"/>
    <w:rsid w:val="00477B5D"/>
    <w:rsid w:val="004866D8"/>
    <w:rsid w:val="004979F8"/>
    <w:rsid w:val="004E4DFD"/>
    <w:rsid w:val="00503001"/>
    <w:rsid w:val="0052318A"/>
    <w:rsid w:val="005A601D"/>
    <w:rsid w:val="005B61C3"/>
    <w:rsid w:val="005E076C"/>
    <w:rsid w:val="00601798"/>
    <w:rsid w:val="00607C96"/>
    <w:rsid w:val="00617F8D"/>
    <w:rsid w:val="00631909"/>
    <w:rsid w:val="00683EEA"/>
    <w:rsid w:val="006A2876"/>
    <w:rsid w:val="006A4207"/>
    <w:rsid w:val="006D391D"/>
    <w:rsid w:val="006E498C"/>
    <w:rsid w:val="00723092"/>
    <w:rsid w:val="00723130"/>
    <w:rsid w:val="007671EB"/>
    <w:rsid w:val="007845B8"/>
    <w:rsid w:val="00790D69"/>
    <w:rsid w:val="00842DBF"/>
    <w:rsid w:val="008524D8"/>
    <w:rsid w:val="008571B0"/>
    <w:rsid w:val="00860346"/>
    <w:rsid w:val="008622DB"/>
    <w:rsid w:val="00877346"/>
    <w:rsid w:val="00890A67"/>
    <w:rsid w:val="00892BEC"/>
    <w:rsid w:val="008B2E17"/>
    <w:rsid w:val="008C21D3"/>
    <w:rsid w:val="008E758F"/>
    <w:rsid w:val="009119B6"/>
    <w:rsid w:val="00927551"/>
    <w:rsid w:val="00941ED4"/>
    <w:rsid w:val="009A53B6"/>
    <w:rsid w:val="009C5825"/>
    <w:rsid w:val="009F3442"/>
    <w:rsid w:val="00A20323"/>
    <w:rsid w:val="00A427C0"/>
    <w:rsid w:val="00A52BCF"/>
    <w:rsid w:val="00AB047B"/>
    <w:rsid w:val="00AC2948"/>
    <w:rsid w:val="00B523A4"/>
    <w:rsid w:val="00BC53F0"/>
    <w:rsid w:val="00BD361B"/>
    <w:rsid w:val="00BD3B16"/>
    <w:rsid w:val="00BF2016"/>
    <w:rsid w:val="00C53523"/>
    <w:rsid w:val="00C5754A"/>
    <w:rsid w:val="00C64C65"/>
    <w:rsid w:val="00C805D3"/>
    <w:rsid w:val="00CA31C6"/>
    <w:rsid w:val="00CC541E"/>
    <w:rsid w:val="00D03728"/>
    <w:rsid w:val="00D30CBB"/>
    <w:rsid w:val="00D34F84"/>
    <w:rsid w:val="00D81597"/>
    <w:rsid w:val="00D84E5B"/>
    <w:rsid w:val="00D93D9A"/>
    <w:rsid w:val="00E04497"/>
    <w:rsid w:val="00E0467B"/>
    <w:rsid w:val="00E578A0"/>
    <w:rsid w:val="00EA429E"/>
    <w:rsid w:val="00EC2863"/>
    <w:rsid w:val="00EE71B5"/>
    <w:rsid w:val="00F13C2A"/>
    <w:rsid w:val="00F14DED"/>
    <w:rsid w:val="00F14E4C"/>
    <w:rsid w:val="00F17DE6"/>
    <w:rsid w:val="00F2095B"/>
    <w:rsid w:val="00F31E93"/>
    <w:rsid w:val="00F32BD1"/>
    <w:rsid w:val="00F61397"/>
    <w:rsid w:val="00F6345B"/>
    <w:rsid w:val="00F85171"/>
    <w:rsid w:val="00FC166E"/>
    <w:rsid w:val="00FC672B"/>
    <w:rsid w:val="00FD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1A13CC3"/>
  <w15:chartTrackingRefBased/>
  <w15:docId w15:val="{15A0BA0D-7647-490A-B1A8-A4DFE62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2,ALTS FOOTNOTE Char,Footnote Text 2 Char1,Footnote text Char1,FOOTNOTE Char1,fn Char Char1,Car Char,Footnote Text Char2 Char,Footnote Text Char1 Char Char1,Footnote Text Char Char Char Char1"/>
    <w:basedOn w:val="DefaultParagraphFont"/>
    <w:link w:val="FootnoteText"/>
    <w:uiPriority w:val="99"/>
    <w:rsid w:val="00941ED4"/>
  </w:style>
  <w:style w:type="paragraph" w:styleId="FootnoteText">
    <w:name w:val="footnote text"/>
    <w:aliases w:val="fn,ALTS FOOTNOTE,Footnote Text 2,Footnote text,FOOTNOTE,fn Char,Car,Footnote Text Char2,Footnote Text Char1 Char,Footnote Text Char Char Char,Footnote Text Char2 Char Char Char,Footnote Text Char Char1 Char Char Char"/>
    <w:basedOn w:val="Normal"/>
    <w:link w:val="FootnoteTextChar"/>
    <w:uiPriority w:val="99"/>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941ED4"/>
    <w:rPr>
      <w:sz w:val="26"/>
      <w:vertAlign w:val="superscript"/>
    </w:rPr>
  </w:style>
  <w:style w:type="paragraph" w:styleId="ListParagraph">
    <w:name w:val="List Paragraph"/>
    <w:basedOn w:val="Normal"/>
    <w:uiPriority w:val="34"/>
    <w:qFormat/>
    <w:rsid w:val="00BC53F0"/>
    <w:pPr>
      <w:ind w:left="720"/>
    </w:pPr>
  </w:style>
  <w:style w:type="character" w:styleId="Hyperlink">
    <w:name w:val="Hyperlink"/>
    <w:basedOn w:val="DefaultParagraphFont"/>
    <w:uiPriority w:val="99"/>
    <w:semiHidden/>
    <w:unhideWhenUsed/>
    <w:rsid w:val="00472A9D"/>
    <w:rPr>
      <w:color w:val="0077CC"/>
      <w:u w:val="single"/>
    </w:rPr>
  </w:style>
  <w:style w:type="paragraph" w:styleId="BalloonText">
    <w:name w:val="Balloon Text"/>
    <w:basedOn w:val="Normal"/>
    <w:link w:val="BalloonTextChar"/>
    <w:uiPriority w:val="99"/>
    <w:semiHidden/>
    <w:unhideWhenUsed/>
    <w:rsid w:val="001C3A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AA4"/>
    <w:rPr>
      <w:rFonts w:ascii="Segoe UI" w:eastAsia="Times New Roman" w:hAnsi="Segoe UI" w:cs="Segoe UI"/>
      <w:sz w:val="18"/>
      <w:szCs w:val="18"/>
    </w:rPr>
  </w:style>
  <w:style w:type="paragraph" w:styleId="Header">
    <w:name w:val="header"/>
    <w:basedOn w:val="Normal"/>
    <w:link w:val="HeaderChar"/>
    <w:uiPriority w:val="99"/>
    <w:unhideWhenUsed/>
    <w:rsid w:val="00F13C2A"/>
    <w:pPr>
      <w:tabs>
        <w:tab w:val="center" w:pos="4680"/>
        <w:tab w:val="right" w:pos="9360"/>
      </w:tabs>
      <w:spacing w:line="240" w:lineRule="auto"/>
    </w:pPr>
  </w:style>
  <w:style w:type="character" w:customStyle="1" w:styleId="HeaderChar">
    <w:name w:val="Header Char"/>
    <w:basedOn w:val="DefaultParagraphFont"/>
    <w:link w:val="Header"/>
    <w:uiPriority w:val="99"/>
    <w:rsid w:val="00F13C2A"/>
    <w:rPr>
      <w:rFonts w:eastAsia="Times New Roman" w:cs="Times New Roman"/>
      <w:sz w:val="24"/>
      <w:szCs w:val="24"/>
    </w:rPr>
  </w:style>
  <w:style w:type="paragraph" w:styleId="Footer">
    <w:name w:val="footer"/>
    <w:basedOn w:val="Normal"/>
    <w:link w:val="FooterChar"/>
    <w:uiPriority w:val="99"/>
    <w:unhideWhenUsed/>
    <w:rsid w:val="00F13C2A"/>
    <w:pPr>
      <w:tabs>
        <w:tab w:val="center" w:pos="4680"/>
        <w:tab w:val="right" w:pos="9360"/>
      </w:tabs>
      <w:spacing w:line="240" w:lineRule="auto"/>
    </w:pPr>
  </w:style>
  <w:style w:type="character" w:customStyle="1" w:styleId="FooterChar">
    <w:name w:val="Footer Char"/>
    <w:basedOn w:val="DefaultParagraphFont"/>
    <w:link w:val="Footer"/>
    <w:uiPriority w:val="99"/>
    <w:rsid w:val="00F13C2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d97d976809c17dbc8b706cf0d3fb11c9&amp;_xfercite=%3ccite%20cc%3d%22USA%22%3e%3c%21%5bCDATA%5b2013%20Pa.%20PUC%20LEXIS%20365%5d%5d%3e%3c%2fcite%3e&amp;_butType=4&amp;_butStat=0&amp;_butNum=3&amp;_butInline=1&amp;_butinfo=66%20PACS%20703&amp;_fmtstr=FULL&amp;docnum=13&amp;_startdoc=11&amp;wchp=dGLzVzk-zSkAb&amp;_md5=0bac42b84c189738312c8b8972dc206e"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s.com/research/buttonTFLink?_m=d97d976809c17dbc8b706cf0d3fb11c9&amp;_xfercite=%3ccite%20cc%3d%22USA%22%3e%3c%21%5bCDATA%5b2013%20Pa.%20PUC%20LEXIS%20365%5d%5d%3e%3c%2fcite%3e&amp;_butType=3&amp;_butStat=2&amp;_butNum=7&amp;_butInline=1&amp;_butinfo=%3ccite%20cc%3d%22USA%22%3e%3c%21%5bCDATA%5b179%20A.%20850%2cat%20854%5d%5d%3e%3c%2fcite%3e&amp;_fmtstr=FULL&amp;docnum=13&amp;_startdoc=11&amp;wchp=dGLzVzk-zSkAb&amp;_md5=fd5ab9b5c849f65bb2aa5901ac9f15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15f29cdbfe8e3891c8a5b6d0440c9110&amp;_xfercite=%3ccite%20cc%3d%22USA%22%3e%3c%21%5bCDATA%5b2005%20Pa.%20PUC%20LEXIS%20126%5d%5d%3e%3c%2fcite%3e&amp;_butType=3&amp;_butStat=2&amp;_butNum=6&amp;_butInline=1&amp;_butinfo=%3ccite%20cc%3d%22USA%22%3e%3c%21%5bCDATA%5b568%20A.2d%201362%5d%5d%3e%3c%2fcite%3e&amp;_fmtstr=FULL&amp;docnum=6&amp;_startdoc=1&amp;wchp=dGLbVzt-zSkAW&amp;_md5=86ed0f14980fc9dddc55d9b85f7932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4" Type="http://schemas.openxmlformats.org/officeDocument/2006/relationships/settings" Target="settings.xml"/><Relationship Id="rId9" Type="http://schemas.openxmlformats.org/officeDocument/2006/relationships/hyperlink" Target="http://www.lexis.com/research/buttonTFLink?_m=d97d976809c17dbc8b706cf0d3fb11c9&amp;_xfercite=%3ccite%20cc%3d%22USA%22%3e%3c%21%5bCDATA%5b2013%20Pa.%20PUC%20LEXIS%20365%5d%5d%3e%3c%2fcite%3e&amp;_butType=4&amp;_butStat=0&amp;_butNum=4&amp;_butInline=1&amp;_butinfo=66%20PACS%20703&amp;_fmtstr=FULL&amp;docnum=13&amp;_startdoc=11&amp;wchp=dGLzVzk-zSkAb&amp;_md5=66e961e991ab6ffa2ab6e45126fdbc6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1733-29D8-40AE-8C08-179434FD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Wagner, Nathan R</cp:lastModifiedBy>
  <cp:revision>3</cp:revision>
  <cp:lastPrinted>2019-04-16T13:41:00Z</cp:lastPrinted>
  <dcterms:created xsi:type="dcterms:W3CDTF">2019-04-29T22:11:00Z</dcterms:created>
  <dcterms:modified xsi:type="dcterms:W3CDTF">2019-05-09T11:39:00Z</dcterms:modified>
</cp:coreProperties>
</file>