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Pr="00186F4B" w:rsidRDefault="000F711A" w:rsidP="00284E35">
            <w:pPr>
              <w:jc w:val="right"/>
              <w:rPr>
                <w:rFonts w:ascii="Arial" w:hAnsi="Arial" w:cs="Arial"/>
                <w:sz w:val="16"/>
                <w:szCs w:val="16"/>
              </w:rPr>
            </w:pPr>
            <w:r w:rsidRPr="00186F4B">
              <w:rPr>
                <w:rFonts w:ascii="Arial" w:hAnsi="Arial" w:cs="Arial"/>
                <w:sz w:val="16"/>
                <w:szCs w:val="16"/>
              </w:rPr>
              <w:t>Docket No</w:t>
            </w:r>
            <w:r w:rsidR="00295BCA" w:rsidRPr="00186F4B">
              <w:rPr>
                <w:rFonts w:ascii="Arial" w:hAnsi="Arial" w:cs="Arial"/>
                <w:sz w:val="16"/>
                <w:szCs w:val="16"/>
              </w:rPr>
              <w:t>s</w:t>
            </w:r>
            <w:r w:rsidRPr="00186F4B">
              <w:rPr>
                <w:rFonts w:ascii="Arial" w:hAnsi="Arial" w:cs="Arial"/>
                <w:sz w:val="16"/>
                <w:szCs w:val="16"/>
              </w:rPr>
              <w:t>.</w:t>
            </w:r>
          </w:p>
          <w:p w14:paraId="787A96E7" w14:textId="77777777" w:rsidR="00295BCA" w:rsidRPr="00186F4B" w:rsidRDefault="00295BCA" w:rsidP="00C46A62">
            <w:pPr>
              <w:ind w:left="-828"/>
              <w:jc w:val="right"/>
              <w:rPr>
                <w:rFonts w:ascii="Arial" w:hAnsi="Arial" w:cs="Arial"/>
                <w:sz w:val="16"/>
                <w:szCs w:val="16"/>
              </w:rPr>
            </w:pPr>
            <w:r w:rsidRPr="00186F4B">
              <w:rPr>
                <w:rFonts w:ascii="Arial" w:hAnsi="Arial" w:cs="Arial"/>
                <w:sz w:val="16"/>
                <w:szCs w:val="16"/>
              </w:rPr>
              <w:t>M</w:t>
            </w:r>
            <w:r w:rsidR="00672F33" w:rsidRPr="00186F4B">
              <w:rPr>
                <w:rFonts w:ascii="Arial" w:hAnsi="Arial" w:cs="Arial"/>
                <w:sz w:val="16"/>
                <w:szCs w:val="16"/>
              </w:rPr>
              <w:t>-20</w:t>
            </w:r>
            <w:r w:rsidR="00A82B8C" w:rsidRPr="00186F4B">
              <w:rPr>
                <w:rFonts w:ascii="Arial" w:hAnsi="Arial" w:cs="Arial"/>
                <w:sz w:val="16"/>
                <w:szCs w:val="16"/>
              </w:rPr>
              <w:t>18</w:t>
            </w:r>
            <w:r w:rsidR="00672F33" w:rsidRPr="00186F4B">
              <w:rPr>
                <w:rFonts w:ascii="Arial" w:hAnsi="Arial" w:cs="Arial"/>
                <w:sz w:val="16"/>
                <w:szCs w:val="16"/>
              </w:rPr>
              <w:t>-</w:t>
            </w:r>
            <w:r w:rsidR="00B14F9F" w:rsidRPr="00186F4B">
              <w:rPr>
                <w:rFonts w:ascii="Arial" w:hAnsi="Arial" w:cs="Arial"/>
                <w:sz w:val="16"/>
                <w:szCs w:val="16"/>
              </w:rPr>
              <w:t>264</w:t>
            </w:r>
            <w:r w:rsidRPr="00186F4B">
              <w:rPr>
                <w:rFonts w:ascii="Arial" w:hAnsi="Arial" w:cs="Arial"/>
                <w:sz w:val="16"/>
                <w:szCs w:val="16"/>
              </w:rPr>
              <w:t>0802</w:t>
            </w:r>
          </w:p>
          <w:p w14:paraId="11FC1ED2" w14:textId="30C4BF4F" w:rsidR="00C95F36" w:rsidRPr="00186F4B" w:rsidRDefault="00295BCA" w:rsidP="00C46A62">
            <w:pPr>
              <w:ind w:left="-828"/>
              <w:jc w:val="right"/>
              <w:rPr>
                <w:rFonts w:ascii="Arial" w:hAnsi="Arial" w:cs="Arial"/>
                <w:sz w:val="16"/>
                <w:szCs w:val="16"/>
              </w:rPr>
            </w:pPr>
            <w:r w:rsidRPr="00186F4B">
              <w:rPr>
                <w:rFonts w:ascii="Arial" w:hAnsi="Arial" w:cs="Arial"/>
                <w:sz w:val="16"/>
                <w:szCs w:val="16"/>
              </w:rPr>
              <w:t xml:space="preserve"> (</w:t>
            </w:r>
            <w:r w:rsidR="00A7615C">
              <w:rPr>
                <w:rFonts w:ascii="Arial" w:hAnsi="Arial" w:cs="Arial"/>
                <w:sz w:val="16"/>
                <w:szCs w:val="16"/>
              </w:rPr>
              <w:t>W</w:t>
            </w:r>
            <w:r w:rsidRPr="00186F4B">
              <w:rPr>
                <w:rFonts w:ascii="Arial" w:hAnsi="Arial" w:cs="Arial"/>
                <w:sz w:val="16"/>
                <w:szCs w:val="16"/>
              </w:rPr>
              <w:t>ater)</w:t>
            </w:r>
          </w:p>
          <w:p w14:paraId="10371E5B" w14:textId="1D420565" w:rsidR="00672F33" w:rsidRPr="00186F4B" w:rsidRDefault="00295BCA" w:rsidP="00C46A62">
            <w:pPr>
              <w:ind w:left="-828"/>
              <w:jc w:val="right"/>
              <w:rPr>
                <w:rFonts w:ascii="Arial" w:hAnsi="Arial" w:cs="Arial"/>
                <w:sz w:val="16"/>
                <w:szCs w:val="16"/>
              </w:rPr>
            </w:pPr>
            <w:bookmarkStart w:id="0" w:name="_GoBack"/>
            <w:r w:rsidRPr="00186F4B">
              <w:rPr>
                <w:rFonts w:ascii="Arial" w:hAnsi="Arial" w:cs="Arial"/>
                <w:sz w:val="16"/>
                <w:szCs w:val="16"/>
              </w:rPr>
              <w:t>M-2018-264</w:t>
            </w:r>
            <w:r w:rsidR="00DF7EFB" w:rsidRPr="00186F4B">
              <w:rPr>
                <w:rFonts w:ascii="Arial" w:hAnsi="Arial" w:cs="Arial"/>
                <w:sz w:val="16"/>
                <w:szCs w:val="16"/>
              </w:rPr>
              <w:t>0</w:t>
            </w:r>
            <w:r w:rsidRPr="00186F4B">
              <w:rPr>
                <w:rFonts w:ascii="Arial" w:hAnsi="Arial" w:cs="Arial"/>
                <w:sz w:val="16"/>
                <w:szCs w:val="16"/>
              </w:rPr>
              <w:t>803</w:t>
            </w:r>
          </w:p>
          <w:bookmarkEnd w:id="0"/>
          <w:p w14:paraId="2BC2567F" w14:textId="06EBF4D2" w:rsidR="003569E8" w:rsidRPr="00186F4B" w:rsidRDefault="00295BCA" w:rsidP="00186F4B">
            <w:pPr>
              <w:ind w:left="-828"/>
              <w:jc w:val="right"/>
              <w:rPr>
                <w:sz w:val="16"/>
                <w:szCs w:val="16"/>
              </w:rPr>
            </w:pPr>
            <w:r w:rsidRPr="00186F4B">
              <w:rPr>
                <w:rFonts w:ascii="Arial" w:hAnsi="Arial" w:cs="Arial"/>
                <w:sz w:val="16"/>
                <w:szCs w:val="16"/>
              </w:rPr>
              <w:t>(</w:t>
            </w:r>
            <w:r w:rsidR="00A7615C">
              <w:rPr>
                <w:rFonts w:ascii="Arial" w:hAnsi="Arial" w:cs="Arial"/>
                <w:sz w:val="16"/>
                <w:szCs w:val="16"/>
              </w:rPr>
              <w:t>W</w:t>
            </w:r>
            <w:r w:rsidRPr="00186F4B">
              <w:rPr>
                <w:rFonts w:ascii="Arial" w:hAnsi="Arial" w:cs="Arial"/>
                <w:sz w:val="16"/>
                <w:szCs w:val="16"/>
              </w:rPr>
              <w:t>astewater)</w:t>
            </w:r>
            <w:r w:rsidR="00FA244D">
              <w:rPr>
                <w:sz w:val="16"/>
                <w:szCs w:val="16"/>
              </w:rPr>
              <w:t xml:space="preserve"> </w:t>
            </w:r>
          </w:p>
        </w:tc>
      </w:tr>
    </w:tbl>
    <w:p w14:paraId="30151E56" w14:textId="4916AF31" w:rsidR="00FA0E37" w:rsidRPr="00461790" w:rsidRDefault="00491D7F" w:rsidP="00FA0E37">
      <w:pPr>
        <w:jc w:val="center"/>
        <w:rPr>
          <w:b/>
          <w:i/>
          <w:sz w:val="26"/>
          <w:szCs w:val="26"/>
        </w:rPr>
      </w:pPr>
      <w:r>
        <w:rPr>
          <w:b/>
          <w:i/>
          <w:sz w:val="26"/>
          <w:szCs w:val="26"/>
        </w:rPr>
        <w:t>May 15, 2019</w:t>
      </w:r>
    </w:p>
    <w:p w14:paraId="35399991" w14:textId="77777777" w:rsidR="00F25403" w:rsidRDefault="00F25403" w:rsidP="00F25403">
      <w:pPr>
        <w:jc w:val="right"/>
        <w:rPr>
          <w:sz w:val="26"/>
          <w:szCs w:val="26"/>
        </w:rPr>
      </w:pPr>
    </w:p>
    <w:p w14:paraId="7DC51EB9" w14:textId="77777777" w:rsidR="00F25403" w:rsidRDefault="00F25403" w:rsidP="00F25403">
      <w:pPr>
        <w:jc w:val="right"/>
        <w:rPr>
          <w:sz w:val="26"/>
          <w:szCs w:val="26"/>
        </w:rPr>
      </w:pPr>
    </w:p>
    <w:p w14:paraId="28375166" w14:textId="77777777" w:rsidR="003B49EB" w:rsidRDefault="003B49EB" w:rsidP="003B49EB">
      <w:pPr>
        <w:tabs>
          <w:tab w:val="left" w:pos="5760"/>
          <w:tab w:val="left" w:pos="7200"/>
        </w:tabs>
        <w:jc w:val="center"/>
        <w:rPr>
          <w:b/>
          <w:sz w:val="26"/>
          <w:szCs w:val="26"/>
        </w:rPr>
      </w:pPr>
      <w:r>
        <w:rPr>
          <w:b/>
          <w:sz w:val="26"/>
          <w:szCs w:val="26"/>
        </w:rPr>
        <w:t xml:space="preserve">GRANT OF </w:t>
      </w:r>
      <w:r w:rsidR="001230A5">
        <w:rPr>
          <w:b/>
          <w:sz w:val="26"/>
          <w:szCs w:val="26"/>
        </w:rPr>
        <w:t xml:space="preserve">EXPEDITED MOTION FOR </w:t>
      </w:r>
    </w:p>
    <w:p w14:paraId="738E6A0C" w14:textId="49450F12" w:rsidR="005C16F8" w:rsidRDefault="001230A5" w:rsidP="003B49EB">
      <w:pPr>
        <w:tabs>
          <w:tab w:val="left" w:pos="5760"/>
          <w:tab w:val="left" w:pos="7200"/>
        </w:tabs>
        <w:jc w:val="center"/>
        <w:rPr>
          <w:b/>
          <w:sz w:val="26"/>
          <w:szCs w:val="26"/>
        </w:rPr>
      </w:pPr>
      <w:r>
        <w:rPr>
          <w:b/>
          <w:sz w:val="26"/>
          <w:szCs w:val="26"/>
        </w:rPr>
        <w:t>EXTENSION OF DEADLINES</w:t>
      </w:r>
      <w:r w:rsidR="009E6CFB">
        <w:rPr>
          <w:b/>
          <w:sz w:val="26"/>
          <w:szCs w:val="26"/>
        </w:rPr>
        <w:t xml:space="preserve"> </w:t>
      </w:r>
    </w:p>
    <w:p w14:paraId="14D220B4" w14:textId="77777777" w:rsidR="00186F4B" w:rsidRDefault="00186F4B" w:rsidP="001230A5">
      <w:pPr>
        <w:tabs>
          <w:tab w:val="left" w:pos="5760"/>
          <w:tab w:val="left" w:pos="7200"/>
        </w:tabs>
        <w:jc w:val="center"/>
        <w:rPr>
          <w:b/>
          <w:sz w:val="26"/>
          <w:szCs w:val="26"/>
        </w:rPr>
      </w:pPr>
    </w:p>
    <w:p w14:paraId="2BB9BF66" w14:textId="77777777" w:rsidR="00213618" w:rsidRDefault="00213618" w:rsidP="001230A5">
      <w:pPr>
        <w:tabs>
          <w:tab w:val="left" w:pos="5760"/>
          <w:tab w:val="left" w:pos="7200"/>
        </w:tabs>
        <w:jc w:val="center"/>
        <w:rPr>
          <w:b/>
          <w:sz w:val="26"/>
          <w:szCs w:val="26"/>
        </w:rPr>
      </w:pPr>
    </w:p>
    <w:p w14:paraId="38F8EEA2" w14:textId="62733C33" w:rsidR="00F25403" w:rsidRDefault="00213618" w:rsidP="00B414F2">
      <w:pPr>
        <w:tabs>
          <w:tab w:val="left" w:pos="5760"/>
          <w:tab w:val="left" w:pos="7020"/>
        </w:tabs>
        <w:rPr>
          <w:sz w:val="24"/>
          <w:szCs w:val="24"/>
        </w:rPr>
      </w:pPr>
      <w:r>
        <w:rPr>
          <w:sz w:val="24"/>
          <w:szCs w:val="24"/>
        </w:rPr>
        <w:t>TO ALL PARTIES:</w:t>
      </w:r>
    </w:p>
    <w:p w14:paraId="79D94C9C" w14:textId="77777777" w:rsidR="00213618" w:rsidRPr="001F40FF" w:rsidRDefault="00213618" w:rsidP="00B414F2">
      <w:pPr>
        <w:tabs>
          <w:tab w:val="left" w:pos="5760"/>
          <w:tab w:val="left" w:pos="7020"/>
        </w:tabs>
        <w:rPr>
          <w:sz w:val="24"/>
          <w:szCs w:val="24"/>
        </w:rPr>
      </w:pPr>
    </w:p>
    <w:p w14:paraId="40E7921F" w14:textId="7A815080" w:rsidR="00295BCA" w:rsidRDefault="00970A95" w:rsidP="00295BCA">
      <w:pPr>
        <w:rPr>
          <w:rFonts w:eastAsia="Calibri"/>
          <w:sz w:val="26"/>
          <w:szCs w:val="26"/>
        </w:rPr>
      </w:pPr>
      <w:r w:rsidRPr="00E420F9">
        <w:rPr>
          <w:sz w:val="26"/>
          <w:szCs w:val="26"/>
        </w:rPr>
        <w:tab/>
      </w:r>
      <w:r w:rsidR="00295BCA" w:rsidRPr="00E420F9">
        <w:rPr>
          <w:rFonts w:eastAsia="Calibri"/>
          <w:sz w:val="26"/>
          <w:szCs w:val="26"/>
        </w:rPr>
        <w:t>On March 15, 2018, the Commission entered its Final Implementation Order (FIO) at Docket Nos. M-2018-2640802 (</w:t>
      </w:r>
      <w:r w:rsidR="00B80196">
        <w:rPr>
          <w:rFonts w:eastAsia="Calibri"/>
          <w:sz w:val="26"/>
          <w:szCs w:val="26"/>
        </w:rPr>
        <w:t>W</w:t>
      </w:r>
      <w:r w:rsidR="00295BCA" w:rsidRPr="00E420F9">
        <w:rPr>
          <w:rFonts w:eastAsia="Calibri"/>
          <w:sz w:val="26"/>
          <w:szCs w:val="26"/>
        </w:rPr>
        <w:t>ater) and M-2018-2640803 (</w:t>
      </w:r>
      <w:r w:rsidR="00756AB3">
        <w:rPr>
          <w:rFonts w:eastAsia="Calibri"/>
          <w:sz w:val="26"/>
          <w:szCs w:val="26"/>
        </w:rPr>
        <w:t>W</w:t>
      </w:r>
      <w:r w:rsidR="00295BCA" w:rsidRPr="00E420F9">
        <w:rPr>
          <w:rFonts w:eastAsia="Calibri"/>
          <w:sz w:val="26"/>
          <w:szCs w:val="26"/>
        </w:rPr>
        <w:t>astewater) in a consolidated proceeding to establish the procedures by which the Commission would implement Chapter 32 of the Public Utility Code commencing on April 1, 2018</w:t>
      </w:r>
      <w:r w:rsidR="00A7615C">
        <w:rPr>
          <w:rFonts w:eastAsia="Calibri"/>
          <w:sz w:val="26"/>
          <w:szCs w:val="26"/>
        </w:rPr>
        <w:t xml:space="preserve"> for the Pittsburgh Water and Sewer Authority (PWSA)</w:t>
      </w:r>
      <w:r w:rsidR="00295BCA" w:rsidRPr="00E420F9">
        <w:rPr>
          <w:rFonts w:eastAsia="Calibri"/>
          <w:sz w:val="26"/>
          <w:szCs w:val="26"/>
        </w:rPr>
        <w:t>.  That Chapter provides for Commission oversight of PWSA as if it were a public utility</w:t>
      </w:r>
      <w:r w:rsidR="005C16F8">
        <w:rPr>
          <w:rFonts w:eastAsia="Calibri"/>
          <w:sz w:val="26"/>
          <w:szCs w:val="26"/>
        </w:rPr>
        <w:t xml:space="preserve"> and </w:t>
      </w:r>
      <w:r w:rsidR="00756AB3">
        <w:rPr>
          <w:rFonts w:eastAsia="Calibri"/>
          <w:sz w:val="26"/>
          <w:szCs w:val="26"/>
        </w:rPr>
        <w:t>requires that</w:t>
      </w:r>
      <w:r w:rsidR="005C16F8">
        <w:rPr>
          <w:rFonts w:eastAsia="Calibri"/>
          <w:sz w:val="26"/>
          <w:szCs w:val="26"/>
        </w:rPr>
        <w:t xml:space="preserve"> PWSA file a Compliance Plan detailing how PWSA will achieve the goals outlined in Chapter 32</w:t>
      </w:r>
      <w:r w:rsidR="00295BCA" w:rsidRPr="00E420F9">
        <w:rPr>
          <w:rFonts w:eastAsia="Calibri"/>
          <w:sz w:val="26"/>
          <w:szCs w:val="26"/>
        </w:rPr>
        <w:t xml:space="preserve">.  </w:t>
      </w:r>
    </w:p>
    <w:p w14:paraId="3FA8D612" w14:textId="77777777" w:rsidR="00E420F9" w:rsidRPr="00E420F9" w:rsidRDefault="00E420F9" w:rsidP="00295BCA">
      <w:pPr>
        <w:rPr>
          <w:rFonts w:eastAsia="Calibri"/>
          <w:sz w:val="26"/>
          <w:szCs w:val="26"/>
        </w:rPr>
      </w:pPr>
    </w:p>
    <w:p w14:paraId="334E5AC1" w14:textId="1428BA60" w:rsidR="00E420F9" w:rsidRDefault="001230A5" w:rsidP="00406107">
      <w:pPr>
        <w:rPr>
          <w:rFonts w:eastAsia="Calibri"/>
          <w:sz w:val="26"/>
          <w:szCs w:val="26"/>
        </w:rPr>
      </w:pPr>
      <w:r w:rsidRPr="00E420F9">
        <w:rPr>
          <w:rFonts w:eastAsia="Calibri"/>
          <w:sz w:val="26"/>
          <w:szCs w:val="26"/>
        </w:rPr>
        <w:tab/>
      </w:r>
      <w:r w:rsidR="00A52073" w:rsidRPr="00E420F9">
        <w:rPr>
          <w:rFonts w:eastAsia="Calibri"/>
          <w:sz w:val="26"/>
          <w:szCs w:val="26"/>
        </w:rPr>
        <w:t xml:space="preserve">The Commission issued a </w:t>
      </w:r>
      <w:bookmarkStart w:id="1" w:name="_Ref8394740"/>
      <w:r w:rsidR="00165172" w:rsidRPr="00E420F9">
        <w:rPr>
          <w:sz w:val="26"/>
          <w:szCs w:val="26"/>
        </w:rPr>
        <w:t>Secretarial Letter</w:t>
      </w:r>
      <w:r w:rsidR="00CD1045" w:rsidRPr="00E420F9">
        <w:rPr>
          <w:sz w:val="26"/>
          <w:szCs w:val="26"/>
        </w:rPr>
        <w:t xml:space="preserve"> on September 26, 2018, establishing </w:t>
      </w:r>
      <w:r w:rsidR="00C53FA2" w:rsidRPr="00E420F9">
        <w:rPr>
          <w:sz w:val="26"/>
          <w:szCs w:val="26"/>
        </w:rPr>
        <w:t>a p</w:t>
      </w:r>
      <w:r w:rsidR="00A52073" w:rsidRPr="00E420F9">
        <w:rPr>
          <w:sz w:val="26"/>
          <w:szCs w:val="26"/>
        </w:rPr>
        <w:t xml:space="preserve">rocedure for Commission review of </w:t>
      </w:r>
      <w:r w:rsidR="005C16F8">
        <w:rPr>
          <w:sz w:val="26"/>
          <w:szCs w:val="26"/>
        </w:rPr>
        <w:t xml:space="preserve">the </w:t>
      </w:r>
      <w:r w:rsidR="00C53FA2" w:rsidRPr="00E420F9">
        <w:rPr>
          <w:sz w:val="26"/>
          <w:szCs w:val="26"/>
        </w:rPr>
        <w:t>PWSA</w:t>
      </w:r>
      <w:r w:rsidR="00A52073" w:rsidRPr="00E420F9">
        <w:rPr>
          <w:sz w:val="26"/>
          <w:szCs w:val="26"/>
        </w:rPr>
        <w:t xml:space="preserve"> Compliance Plan and </w:t>
      </w:r>
      <w:proofErr w:type="gramStart"/>
      <w:r w:rsidR="00186F4B" w:rsidRPr="00E420F9">
        <w:rPr>
          <w:rFonts w:eastAsia="Calibri"/>
          <w:sz w:val="26"/>
          <w:szCs w:val="26"/>
        </w:rPr>
        <w:t>Long Term</w:t>
      </w:r>
      <w:proofErr w:type="gramEnd"/>
      <w:r w:rsidR="00186F4B" w:rsidRPr="00E420F9">
        <w:rPr>
          <w:rFonts w:eastAsia="Calibri"/>
          <w:sz w:val="26"/>
          <w:szCs w:val="26"/>
        </w:rPr>
        <w:t xml:space="preserve"> Infrastructure Improvement Plan </w:t>
      </w:r>
      <w:r w:rsidR="00186F4B">
        <w:rPr>
          <w:rFonts w:eastAsia="Calibri"/>
          <w:sz w:val="26"/>
          <w:szCs w:val="26"/>
        </w:rPr>
        <w:t>(</w:t>
      </w:r>
      <w:r w:rsidR="00A52073" w:rsidRPr="00E420F9">
        <w:rPr>
          <w:sz w:val="26"/>
          <w:szCs w:val="26"/>
        </w:rPr>
        <w:t>LTIIP</w:t>
      </w:r>
      <w:r w:rsidR="00186F4B">
        <w:rPr>
          <w:sz w:val="26"/>
          <w:szCs w:val="26"/>
        </w:rPr>
        <w:t>)</w:t>
      </w:r>
      <w:r w:rsidR="00A52073" w:rsidRPr="00E420F9">
        <w:rPr>
          <w:sz w:val="26"/>
          <w:szCs w:val="26"/>
        </w:rPr>
        <w:t xml:space="preserve"> filing</w:t>
      </w:r>
      <w:r w:rsidR="00CD1045" w:rsidRPr="00E420F9">
        <w:rPr>
          <w:sz w:val="26"/>
          <w:szCs w:val="26"/>
        </w:rPr>
        <w:t>s,</w:t>
      </w:r>
      <w:r w:rsidR="00A52073" w:rsidRPr="00E420F9">
        <w:rPr>
          <w:sz w:val="26"/>
          <w:szCs w:val="26"/>
        </w:rPr>
        <w:t xml:space="preserve"> and provid</w:t>
      </w:r>
      <w:r w:rsidR="00186F4B">
        <w:rPr>
          <w:sz w:val="26"/>
          <w:szCs w:val="26"/>
        </w:rPr>
        <w:t>ing</w:t>
      </w:r>
      <w:r w:rsidR="00A52073" w:rsidRPr="00E420F9">
        <w:rPr>
          <w:sz w:val="26"/>
          <w:szCs w:val="26"/>
        </w:rPr>
        <w:t xml:space="preserve"> that the Office of Administrative Law Judge</w:t>
      </w:r>
      <w:r w:rsidR="00A7615C">
        <w:rPr>
          <w:sz w:val="26"/>
          <w:szCs w:val="26"/>
        </w:rPr>
        <w:t xml:space="preserve"> (OALJ)</w:t>
      </w:r>
      <w:r w:rsidR="00A52073" w:rsidRPr="00E420F9">
        <w:rPr>
          <w:sz w:val="26"/>
          <w:szCs w:val="26"/>
        </w:rPr>
        <w:t xml:space="preserve"> will </w:t>
      </w:r>
      <w:r w:rsidR="00CD1045" w:rsidRPr="00E420F9">
        <w:rPr>
          <w:sz w:val="26"/>
          <w:szCs w:val="26"/>
        </w:rPr>
        <w:t xml:space="preserve">issue </w:t>
      </w:r>
      <w:r w:rsidR="00C53FA2" w:rsidRPr="00E420F9">
        <w:rPr>
          <w:sz w:val="26"/>
          <w:szCs w:val="26"/>
        </w:rPr>
        <w:t>appropriate orders on the filings no later than</w:t>
      </w:r>
      <w:r w:rsidR="00A52073" w:rsidRPr="00E420F9">
        <w:rPr>
          <w:sz w:val="26"/>
          <w:szCs w:val="26"/>
        </w:rPr>
        <w:t xml:space="preserve"> November 30, 2019. </w:t>
      </w:r>
      <w:r w:rsidR="00FB2137" w:rsidRPr="00E420F9">
        <w:rPr>
          <w:rFonts w:eastAsia="Calibri"/>
          <w:sz w:val="26"/>
          <w:szCs w:val="26"/>
        </w:rPr>
        <w:t xml:space="preserve">On September 28, 2018, PWSA filed its Compliance Plan and </w:t>
      </w:r>
      <w:r w:rsidR="008562C5">
        <w:rPr>
          <w:rFonts w:eastAsia="Calibri"/>
          <w:sz w:val="26"/>
          <w:szCs w:val="26"/>
        </w:rPr>
        <w:t>LTIIP</w:t>
      </w:r>
      <w:r w:rsidR="00FB2137" w:rsidRPr="00E420F9">
        <w:rPr>
          <w:rFonts w:eastAsia="Calibri"/>
          <w:sz w:val="26"/>
          <w:szCs w:val="26"/>
        </w:rPr>
        <w:t xml:space="preserve"> at the above-referenced </w:t>
      </w:r>
      <w:r w:rsidR="003B49EB">
        <w:rPr>
          <w:rFonts w:eastAsia="Calibri"/>
          <w:sz w:val="26"/>
          <w:szCs w:val="26"/>
        </w:rPr>
        <w:t>docket numbers</w:t>
      </w:r>
      <w:r w:rsidR="00FB2137" w:rsidRPr="00E420F9">
        <w:rPr>
          <w:rFonts w:eastAsia="Calibri"/>
          <w:sz w:val="26"/>
          <w:szCs w:val="26"/>
        </w:rPr>
        <w:t xml:space="preserve">. </w:t>
      </w:r>
    </w:p>
    <w:p w14:paraId="62A2C707" w14:textId="77777777" w:rsidR="00E420F9" w:rsidRDefault="00E420F9" w:rsidP="00406107">
      <w:pPr>
        <w:rPr>
          <w:rFonts w:eastAsia="Calibri"/>
          <w:sz w:val="26"/>
          <w:szCs w:val="26"/>
        </w:rPr>
      </w:pPr>
      <w:r>
        <w:rPr>
          <w:rFonts w:eastAsia="Calibri"/>
          <w:sz w:val="26"/>
          <w:szCs w:val="26"/>
        </w:rPr>
        <w:tab/>
      </w:r>
    </w:p>
    <w:p w14:paraId="6D3E2F43" w14:textId="0027BC6F" w:rsidR="00165172" w:rsidRDefault="00E420F9" w:rsidP="00406107">
      <w:pPr>
        <w:rPr>
          <w:sz w:val="26"/>
          <w:szCs w:val="26"/>
        </w:rPr>
      </w:pPr>
      <w:r>
        <w:rPr>
          <w:rFonts w:eastAsia="Calibri"/>
          <w:sz w:val="26"/>
          <w:szCs w:val="26"/>
        </w:rPr>
        <w:tab/>
      </w:r>
      <w:r w:rsidR="00C53FA2" w:rsidRPr="00E420F9">
        <w:rPr>
          <w:sz w:val="26"/>
          <w:szCs w:val="26"/>
        </w:rPr>
        <w:t>On November 2</w:t>
      </w:r>
      <w:r w:rsidR="0042471B" w:rsidRPr="00E420F9">
        <w:rPr>
          <w:sz w:val="26"/>
          <w:szCs w:val="26"/>
        </w:rPr>
        <w:t>8</w:t>
      </w:r>
      <w:r w:rsidR="00C53FA2" w:rsidRPr="00E420F9">
        <w:rPr>
          <w:sz w:val="26"/>
          <w:szCs w:val="26"/>
        </w:rPr>
        <w:t>, 2018, an additional Secretarial Letter was issued that assigned the Compliance Plan to the OALJ</w:t>
      </w:r>
      <w:r w:rsidR="005C16F8">
        <w:rPr>
          <w:sz w:val="26"/>
          <w:szCs w:val="26"/>
        </w:rPr>
        <w:t xml:space="preserve"> and </w:t>
      </w:r>
      <w:r w:rsidR="00C53FA2" w:rsidRPr="00E420F9">
        <w:rPr>
          <w:sz w:val="26"/>
          <w:szCs w:val="26"/>
        </w:rPr>
        <w:t xml:space="preserve">established a two-stage </w:t>
      </w:r>
      <w:r w:rsidR="005C16F8">
        <w:rPr>
          <w:sz w:val="26"/>
          <w:szCs w:val="26"/>
        </w:rPr>
        <w:t xml:space="preserve">Compliance Plan litigation and </w:t>
      </w:r>
      <w:r w:rsidR="00C53FA2" w:rsidRPr="00E420F9">
        <w:rPr>
          <w:sz w:val="26"/>
          <w:szCs w:val="26"/>
        </w:rPr>
        <w:t>review process</w:t>
      </w:r>
      <w:r w:rsidR="005C16F8">
        <w:rPr>
          <w:sz w:val="26"/>
          <w:szCs w:val="26"/>
        </w:rPr>
        <w:t xml:space="preserve">. </w:t>
      </w:r>
      <w:r w:rsidR="00FB2137" w:rsidRPr="00E420F9">
        <w:rPr>
          <w:sz w:val="26"/>
          <w:szCs w:val="26"/>
        </w:rPr>
        <w:t xml:space="preserve"> </w:t>
      </w:r>
      <w:r w:rsidR="005C16F8">
        <w:rPr>
          <w:sz w:val="26"/>
          <w:szCs w:val="26"/>
        </w:rPr>
        <w:t>S</w:t>
      </w:r>
      <w:r w:rsidR="00FB2137" w:rsidRPr="00E420F9">
        <w:rPr>
          <w:sz w:val="26"/>
          <w:szCs w:val="26"/>
        </w:rPr>
        <w:t>t</w:t>
      </w:r>
      <w:r>
        <w:rPr>
          <w:sz w:val="26"/>
          <w:szCs w:val="26"/>
        </w:rPr>
        <w:t>age</w:t>
      </w:r>
      <w:r w:rsidR="00FB2137" w:rsidRPr="00E420F9">
        <w:rPr>
          <w:sz w:val="26"/>
          <w:szCs w:val="26"/>
        </w:rPr>
        <w:t xml:space="preserve"> 1 litigation was to commence on November 2</w:t>
      </w:r>
      <w:r w:rsidR="0042471B" w:rsidRPr="00E420F9">
        <w:rPr>
          <w:sz w:val="26"/>
          <w:szCs w:val="26"/>
        </w:rPr>
        <w:t>8</w:t>
      </w:r>
      <w:r w:rsidR="00FB2137" w:rsidRPr="00E420F9">
        <w:rPr>
          <w:sz w:val="26"/>
          <w:szCs w:val="26"/>
        </w:rPr>
        <w:t>, 2018.</w:t>
      </w:r>
      <w:r w:rsidR="00C53FA2" w:rsidRPr="00E420F9">
        <w:rPr>
          <w:sz w:val="26"/>
          <w:szCs w:val="26"/>
        </w:rPr>
        <w:t xml:space="preserve"> </w:t>
      </w:r>
      <w:r w:rsidR="005D4618">
        <w:rPr>
          <w:sz w:val="26"/>
          <w:szCs w:val="26"/>
        </w:rPr>
        <w:t xml:space="preserve"> </w:t>
      </w:r>
      <w:r w:rsidR="00FB2137" w:rsidRPr="00E420F9">
        <w:rPr>
          <w:sz w:val="26"/>
          <w:szCs w:val="26"/>
        </w:rPr>
        <w:t xml:space="preserve">Stage 1 was to involve urgent infrastructure remediation and improvement, and the revenue and financing requirements of maintaining service that supports public health and safety while </w:t>
      </w:r>
      <w:r w:rsidR="00676BAE">
        <w:rPr>
          <w:sz w:val="26"/>
          <w:szCs w:val="26"/>
        </w:rPr>
        <w:t>S</w:t>
      </w:r>
      <w:r w:rsidR="00FB2137" w:rsidRPr="00E420F9">
        <w:rPr>
          <w:sz w:val="26"/>
          <w:szCs w:val="26"/>
        </w:rPr>
        <w:t xml:space="preserve">tage 2 was to address PWSA billing issues and the development of a proposed PWSA stormwater tariff. </w:t>
      </w:r>
      <w:r w:rsidR="005D4618">
        <w:rPr>
          <w:sz w:val="26"/>
          <w:szCs w:val="26"/>
        </w:rPr>
        <w:t xml:space="preserve"> </w:t>
      </w:r>
      <w:r w:rsidR="00FB2137" w:rsidRPr="00E420F9">
        <w:rPr>
          <w:sz w:val="26"/>
          <w:szCs w:val="26"/>
        </w:rPr>
        <w:t>The November Secretarial Letter provided that OALJ w</w:t>
      </w:r>
      <w:r w:rsidR="005C16F8">
        <w:rPr>
          <w:sz w:val="26"/>
          <w:szCs w:val="26"/>
        </w:rPr>
        <w:t xml:space="preserve">ould </w:t>
      </w:r>
      <w:r w:rsidR="00FB2137" w:rsidRPr="00E420F9">
        <w:rPr>
          <w:sz w:val="26"/>
          <w:szCs w:val="26"/>
        </w:rPr>
        <w:t xml:space="preserve">issue a recommended decision regarding </w:t>
      </w:r>
      <w:r w:rsidR="00676BAE">
        <w:rPr>
          <w:sz w:val="26"/>
          <w:szCs w:val="26"/>
        </w:rPr>
        <w:t>S</w:t>
      </w:r>
      <w:r w:rsidR="00FB2137" w:rsidRPr="00E420F9">
        <w:rPr>
          <w:sz w:val="26"/>
          <w:szCs w:val="26"/>
        </w:rPr>
        <w:t xml:space="preserve">tage 1 no later </w:t>
      </w:r>
      <w:r w:rsidR="00406107" w:rsidRPr="00E420F9">
        <w:rPr>
          <w:sz w:val="26"/>
          <w:szCs w:val="26"/>
        </w:rPr>
        <w:t xml:space="preserve">than eight (8) months following </w:t>
      </w:r>
      <w:r>
        <w:rPr>
          <w:sz w:val="26"/>
          <w:szCs w:val="26"/>
        </w:rPr>
        <w:t>the issuance of the letter</w:t>
      </w:r>
      <w:r w:rsidR="00406107" w:rsidRPr="00E420F9">
        <w:rPr>
          <w:sz w:val="26"/>
          <w:szCs w:val="26"/>
        </w:rPr>
        <w:t>, direct</w:t>
      </w:r>
      <w:r w:rsidR="00693168" w:rsidRPr="00E420F9">
        <w:rPr>
          <w:sz w:val="26"/>
          <w:szCs w:val="26"/>
        </w:rPr>
        <w:t>ed</w:t>
      </w:r>
      <w:r w:rsidR="00406107" w:rsidRPr="00E420F9">
        <w:rPr>
          <w:sz w:val="26"/>
          <w:szCs w:val="26"/>
        </w:rPr>
        <w:t xml:space="preserve"> the Bureau of Consumer Services (BCS) to conduct quarterly workshops</w:t>
      </w:r>
      <w:r w:rsidR="005C16F8">
        <w:rPr>
          <w:sz w:val="26"/>
          <w:szCs w:val="26"/>
        </w:rPr>
        <w:t xml:space="preserve"> regarding various Stage 2 customer service and billing issues</w:t>
      </w:r>
      <w:r w:rsidR="00406107" w:rsidRPr="00E420F9">
        <w:rPr>
          <w:sz w:val="26"/>
          <w:szCs w:val="26"/>
        </w:rPr>
        <w:t xml:space="preserve">, and </w:t>
      </w:r>
      <w:r w:rsidR="00FB2137" w:rsidRPr="00E420F9">
        <w:rPr>
          <w:sz w:val="26"/>
          <w:szCs w:val="26"/>
        </w:rPr>
        <w:t xml:space="preserve">was </w:t>
      </w:r>
      <w:r>
        <w:rPr>
          <w:sz w:val="26"/>
          <w:szCs w:val="26"/>
        </w:rPr>
        <w:t xml:space="preserve">filed with </w:t>
      </w:r>
      <w:r w:rsidR="00FB2137" w:rsidRPr="00E420F9">
        <w:rPr>
          <w:sz w:val="26"/>
          <w:szCs w:val="26"/>
        </w:rPr>
        <w:t>a Technical Staff Initial Report and Directed Questions – Stage 1 (Stage 1 Initial Report)</w:t>
      </w:r>
      <w:r>
        <w:rPr>
          <w:sz w:val="26"/>
          <w:szCs w:val="26"/>
        </w:rPr>
        <w:t>.</w:t>
      </w:r>
      <w:r w:rsidR="00EE2983">
        <w:rPr>
          <w:rStyle w:val="FootnoteReference"/>
          <w:sz w:val="26"/>
          <w:szCs w:val="26"/>
        </w:rPr>
        <w:footnoteReference w:id="2"/>
      </w:r>
      <w:r w:rsidR="00FB2137" w:rsidRPr="00E420F9">
        <w:rPr>
          <w:sz w:val="26"/>
          <w:szCs w:val="26"/>
        </w:rPr>
        <w:t xml:space="preserve"> </w:t>
      </w:r>
      <w:bookmarkEnd w:id="1"/>
    </w:p>
    <w:p w14:paraId="0784FA88" w14:textId="77777777" w:rsidR="00E420F9" w:rsidRPr="00E420F9" w:rsidRDefault="00E420F9" w:rsidP="00406107">
      <w:pPr>
        <w:rPr>
          <w:sz w:val="26"/>
          <w:szCs w:val="26"/>
        </w:rPr>
      </w:pPr>
    </w:p>
    <w:p w14:paraId="6E29FB35" w14:textId="0A0C16BE" w:rsidR="00165172" w:rsidRDefault="0042471B" w:rsidP="00295BCA">
      <w:pPr>
        <w:rPr>
          <w:sz w:val="26"/>
          <w:szCs w:val="26"/>
        </w:rPr>
      </w:pPr>
      <w:r w:rsidRPr="00E420F9">
        <w:rPr>
          <w:sz w:val="26"/>
          <w:szCs w:val="26"/>
        </w:rPr>
        <w:lastRenderedPageBreak/>
        <w:tab/>
      </w:r>
      <w:r w:rsidR="00676BAE">
        <w:rPr>
          <w:sz w:val="26"/>
          <w:szCs w:val="26"/>
        </w:rPr>
        <w:t xml:space="preserve">On </w:t>
      </w:r>
      <w:r w:rsidRPr="00E420F9">
        <w:rPr>
          <w:sz w:val="26"/>
          <w:szCs w:val="26"/>
        </w:rPr>
        <w:t>December 27, 2018</w:t>
      </w:r>
      <w:r w:rsidR="00676BAE">
        <w:rPr>
          <w:sz w:val="26"/>
          <w:szCs w:val="26"/>
        </w:rPr>
        <w:t>, the ALJ issued a</w:t>
      </w:r>
      <w:r w:rsidRPr="00E420F9">
        <w:rPr>
          <w:sz w:val="26"/>
          <w:szCs w:val="26"/>
        </w:rPr>
        <w:t xml:space="preserve"> Prehearing Order</w:t>
      </w:r>
      <w:r w:rsidR="00676BAE">
        <w:rPr>
          <w:sz w:val="26"/>
          <w:szCs w:val="26"/>
        </w:rPr>
        <w:t xml:space="preserve"> to establish, among other matters, a litigation schedule to accommodate the Commission-established deadline</w:t>
      </w:r>
      <w:r w:rsidR="00676BAE" w:rsidRPr="00676BAE">
        <w:rPr>
          <w:sz w:val="26"/>
          <w:szCs w:val="26"/>
        </w:rPr>
        <w:t xml:space="preserve"> </w:t>
      </w:r>
      <w:r w:rsidR="00676BAE" w:rsidRPr="00E420F9">
        <w:rPr>
          <w:sz w:val="26"/>
          <w:szCs w:val="26"/>
        </w:rPr>
        <w:t>that an ALJ issue a recommended decision by July 29, 2019</w:t>
      </w:r>
      <w:r w:rsidR="00676BAE">
        <w:rPr>
          <w:sz w:val="26"/>
          <w:szCs w:val="26"/>
        </w:rPr>
        <w:t>.  Under that litigation schedule, P</w:t>
      </w:r>
      <w:r w:rsidRPr="00E420F9">
        <w:rPr>
          <w:sz w:val="26"/>
          <w:szCs w:val="26"/>
        </w:rPr>
        <w:t>arties have served direct and rebuttal testimony</w:t>
      </w:r>
      <w:r w:rsidR="00676BAE">
        <w:rPr>
          <w:sz w:val="26"/>
          <w:szCs w:val="26"/>
        </w:rPr>
        <w:t xml:space="preserve"> with </w:t>
      </w:r>
      <w:proofErr w:type="spellStart"/>
      <w:r w:rsidRPr="00E420F9">
        <w:rPr>
          <w:sz w:val="26"/>
          <w:szCs w:val="26"/>
        </w:rPr>
        <w:t>surrebuttal</w:t>
      </w:r>
      <w:proofErr w:type="spellEnd"/>
      <w:r w:rsidRPr="00E420F9">
        <w:rPr>
          <w:sz w:val="26"/>
          <w:szCs w:val="26"/>
        </w:rPr>
        <w:t xml:space="preserve"> testimony due on May 17, 2019</w:t>
      </w:r>
      <w:r w:rsidR="00676BAE">
        <w:rPr>
          <w:sz w:val="26"/>
          <w:szCs w:val="26"/>
        </w:rPr>
        <w:t xml:space="preserve">.  </w:t>
      </w:r>
      <w:r w:rsidR="00A7615C">
        <w:rPr>
          <w:sz w:val="26"/>
          <w:szCs w:val="26"/>
        </w:rPr>
        <w:t>E</w:t>
      </w:r>
      <w:r w:rsidRPr="00E420F9">
        <w:rPr>
          <w:sz w:val="26"/>
          <w:szCs w:val="26"/>
        </w:rPr>
        <w:t xml:space="preserve">videntiary hearings </w:t>
      </w:r>
      <w:r w:rsidR="00676BAE">
        <w:rPr>
          <w:sz w:val="26"/>
          <w:szCs w:val="26"/>
        </w:rPr>
        <w:t xml:space="preserve">are </w:t>
      </w:r>
      <w:r w:rsidRPr="00E420F9">
        <w:rPr>
          <w:sz w:val="26"/>
          <w:szCs w:val="26"/>
        </w:rPr>
        <w:t xml:space="preserve">set for May 21-24, 2019. </w:t>
      </w:r>
    </w:p>
    <w:p w14:paraId="400812E0" w14:textId="77777777" w:rsidR="00E420F9" w:rsidRPr="00E420F9" w:rsidRDefault="00E420F9" w:rsidP="00295BCA">
      <w:pPr>
        <w:rPr>
          <w:sz w:val="26"/>
          <w:szCs w:val="26"/>
        </w:rPr>
      </w:pPr>
    </w:p>
    <w:p w14:paraId="6AF6ACFE" w14:textId="38493239" w:rsidR="00676BAE" w:rsidRDefault="004B3AEC" w:rsidP="00295BCA">
      <w:pPr>
        <w:rPr>
          <w:rFonts w:eastAsia="Calibri"/>
          <w:sz w:val="26"/>
          <w:szCs w:val="26"/>
        </w:rPr>
      </w:pPr>
      <w:r w:rsidRPr="00E420F9">
        <w:rPr>
          <w:rFonts w:eastAsia="Calibri"/>
          <w:sz w:val="26"/>
          <w:szCs w:val="26"/>
        </w:rPr>
        <w:tab/>
      </w:r>
      <w:bookmarkStart w:id="2" w:name="_Hlk8732275"/>
      <w:r w:rsidR="00B07ED9" w:rsidRPr="00E420F9">
        <w:rPr>
          <w:rFonts w:eastAsia="Calibri"/>
          <w:sz w:val="26"/>
          <w:szCs w:val="26"/>
        </w:rPr>
        <w:t>On May 13, 2019, t</w:t>
      </w:r>
      <w:r w:rsidR="00574C9E" w:rsidRPr="00E420F9">
        <w:rPr>
          <w:rFonts w:eastAsia="Calibri"/>
          <w:sz w:val="26"/>
          <w:szCs w:val="26"/>
        </w:rPr>
        <w:t xml:space="preserve">he </w:t>
      </w:r>
      <w:r w:rsidR="00676BAE">
        <w:rPr>
          <w:rFonts w:eastAsia="Calibri"/>
          <w:sz w:val="26"/>
          <w:szCs w:val="26"/>
        </w:rPr>
        <w:t>P</w:t>
      </w:r>
      <w:r w:rsidR="00574C9E" w:rsidRPr="00E420F9">
        <w:rPr>
          <w:rFonts w:eastAsia="Calibri"/>
          <w:sz w:val="26"/>
          <w:szCs w:val="26"/>
        </w:rPr>
        <w:t xml:space="preserve">arties filed a joint Expedited Motion for Extension of Commission-Created Deadlines </w:t>
      </w:r>
      <w:r w:rsidR="00676BAE">
        <w:rPr>
          <w:rFonts w:eastAsia="Calibri"/>
          <w:sz w:val="26"/>
          <w:szCs w:val="26"/>
        </w:rPr>
        <w:t xml:space="preserve">(Motion or Petition) </w:t>
      </w:r>
      <w:r w:rsidR="00574C9E" w:rsidRPr="00E420F9">
        <w:rPr>
          <w:rFonts w:eastAsia="Calibri"/>
          <w:sz w:val="26"/>
          <w:szCs w:val="26"/>
        </w:rPr>
        <w:t xml:space="preserve">requesting that the Commission grant a three (3) month extension to provide them with additional time to engage in settlement discussions.  </w:t>
      </w:r>
      <w:r w:rsidRPr="00E420F9">
        <w:rPr>
          <w:rFonts w:eastAsia="Calibri"/>
          <w:sz w:val="26"/>
          <w:szCs w:val="26"/>
        </w:rPr>
        <w:t xml:space="preserve">The </w:t>
      </w:r>
      <w:r w:rsidR="00676BAE">
        <w:rPr>
          <w:rFonts w:eastAsia="Calibri"/>
          <w:sz w:val="26"/>
          <w:szCs w:val="26"/>
        </w:rPr>
        <w:t xml:space="preserve">Motion </w:t>
      </w:r>
      <w:r w:rsidR="00574C9E" w:rsidRPr="00E420F9">
        <w:rPr>
          <w:rFonts w:eastAsia="Calibri"/>
          <w:sz w:val="26"/>
          <w:szCs w:val="26"/>
        </w:rPr>
        <w:t>state</w:t>
      </w:r>
      <w:r w:rsidR="00676BAE">
        <w:rPr>
          <w:rFonts w:eastAsia="Calibri"/>
          <w:sz w:val="26"/>
          <w:szCs w:val="26"/>
        </w:rPr>
        <w:t>s</w:t>
      </w:r>
      <w:r w:rsidR="00574C9E" w:rsidRPr="00E420F9">
        <w:rPr>
          <w:rFonts w:eastAsia="Calibri"/>
          <w:sz w:val="26"/>
          <w:szCs w:val="26"/>
        </w:rPr>
        <w:t xml:space="preserve"> </w:t>
      </w:r>
      <w:r w:rsidR="00676BAE">
        <w:rPr>
          <w:rFonts w:eastAsia="Calibri"/>
          <w:sz w:val="26"/>
          <w:szCs w:val="26"/>
        </w:rPr>
        <w:t xml:space="preserve">that the Parties </w:t>
      </w:r>
      <w:r w:rsidRPr="00E420F9">
        <w:rPr>
          <w:rFonts w:eastAsia="Calibri"/>
          <w:sz w:val="26"/>
          <w:szCs w:val="26"/>
        </w:rPr>
        <w:t xml:space="preserve">have engaged in </w:t>
      </w:r>
      <w:r w:rsidR="00EC19F4">
        <w:rPr>
          <w:rFonts w:eastAsia="Calibri"/>
          <w:sz w:val="26"/>
          <w:szCs w:val="26"/>
        </w:rPr>
        <w:t xml:space="preserve">productive </w:t>
      </w:r>
      <w:r w:rsidRPr="00E420F9">
        <w:rPr>
          <w:rFonts w:eastAsia="Calibri"/>
          <w:sz w:val="26"/>
          <w:szCs w:val="26"/>
        </w:rPr>
        <w:t>settlement discussions and</w:t>
      </w:r>
      <w:r w:rsidR="00B07ED9" w:rsidRPr="00E420F9">
        <w:rPr>
          <w:rFonts w:eastAsia="Calibri"/>
          <w:sz w:val="26"/>
          <w:szCs w:val="26"/>
        </w:rPr>
        <w:t>, if granted an extension,</w:t>
      </w:r>
      <w:r w:rsidRPr="00E420F9">
        <w:rPr>
          <w:rFonts w:eastAsia="Calibri"/>
          <w:sz w:val="26"/>
          <w:szCs w:val="26"/>
        </w:rPr>
        <w:t xml:space="preserve"> intend to file a Joint Petition for Partial Settlement on or before June 14, 2019.</w:t>
      </w:r>
      <w:r w:rsidR="00676BAE">
        <w:rPr>
          <w:rFonts w:eastAsia="Calibri"/>
          <w:sz w:val="26"/>
          <w:szCs w:val="26"/>
        </w:rPr>
        <w:t xml:space="preserve">  Motion at </w:t>
      </w:r>
      <w:r w:rsidR="00EC19F4">
        <w:rPr>
          <w:rFonts w:eastAsia="Calibri"/>
          <w:sz w:val="26"/>
          <w:szCs w:val="26"/>
        </w:rPr>
        <w:t>5</w:t>
      </w:r>
      <w:r w:rsidR="00676BAE">
        <w:rPr>
          <w:rFonts w:eastAsia="Calibri"/>
          <w:sz w:val="26"/>
          <w:szCs w:val="26"/>
        </w:rPr>
        <w:t>.</w:t>
      </w:r>
      <w:r w:rsidRPr="00E420F9">
        <w:rPr>
          <w:rFonts w:eastAsia="Calibri"/>
          <w:sz w:val="26"/>
          <w:szCs w:val="26"/>
        </w:rPr>
        <w:t xml:space="preserve"> </w:t>
      </w:r>
      <w:r w:rsidR="00676BAE">
        <w:rPr>
          <w:rFonts w:eastAsia="Calibri"/>
          <w:sz w:val="26"/>
          <w:szCs w:val="26"/>
        </w:rPr>
        <w:t xml:space="preserve"> </w:t>
      </w:r>
      <w:r w:rsidR="00CC7101">
        <w:rPr>
          <w:rFonts w:eastAsia="Calibri"/>
          <w:sz w:val="26"/>
          <w:szCs w:val="26"/>
        </w:rPr>
        <w:t>The Motion requests Commission action on the Motion on or before Friday, May 17, 2019.</w:t>
      </w:r>
      <w:r w:rsidR="00EC19F4">
        <w:rPr>
          <w:rFonts w:eastAsia="Calibri"/>
          <w:sz w:val="26"/>
          <w:szCs w:val="26"/>
        </w:rPr>
        <w:t xml:space="preserve">  Motion at 2.</w:t>
      </w:r>
    </w:p>
    <w:p w14:paraId="7AD23760" w14:textId="77777777" w:rsidR="00676BAE" w:rsidRDefault="00676BAE" w:rsidP="00295BCA">
      <w:pPr>
        <w:rPr>
          <w:rFonts w:eastAsia="Calibri"/>
          <w:sz w:val="26"/>
          <w:szCs w:val="26"/>
        </w:rPr>
      </w:pPr>
    </w:p>
    <w:p w14:paraId="3333B713" w14:textId="49F18EE9" w:rsidR="00B445E1" w:rsidRDefault="004B3AEC" w:rsidP="00B445E1">
      <w:pPr>
        <w:ind w:firstLine="720"/>
        <w:rPr>
          <w:rFonts w:eastAsia="Calibri"/>
          <w:sz w:val="26"/>
          <w:szCs w:val="26"/>
        </w:rPr>
      </w:pPr>
      <w:r w:rsidRPr="00E420F9">
        <w:rPr>
          <w:rFonts w:eastAsia="Calibri"/>
          <w:sz w:val="26"/>
          <w:szCs w:val="26"/>
        </w:rPr>
        <w:t xml:space="preserve">Furthermore, </w:t>
      </w:r>
      <w:r w:rsidR="00676BAE">
        <w:rPr>
          <w:rFonts w:eastAsia="Calibri"/>
          <w:sz w:val="26"/>
          <w:szCs w:val="26"/>
        </w:rPr>
        <w:t xml:space="preserve">the Motion provides </w:t>
      </w:r>
      <w:r w:rsidR="00574C9E" w:rsidRPr="00E420F9">
        <w:rPr>
          <w:rFonts w:eastAsia="Calibri"/>
          <w:sz w:val="26"/>
          <w:szCs w:val="26"/>
        </w:rPr>
        <w:t>that the</w:t>
      </w:r>
      <w:r w:rsidR="00676BAE">
        <w:rPr>
          <w:rFonts w:eastAsia="Calibri"/>
          <w:sz w:val="26"/>
          <w:szCs w:val="26"/>
        </w:rPr>
        <w:t xml:space="preserve"> Parties i</w:t>
      </w:r>
      <w:r w:rsidRPr="00E420F9">
        <w:rPr>
          <w:rFonts w:eastAsia="Calibri"/>
          <w:sz w:val="26"/>
          <w:szCs w:val="26"/>
        </w:rPr>
        <w:t>ntend to continue settlement discussions prior to evidentiary hearings and the issuance of a recommended decision.</w:t>
      </w:r>
      <w:r w:rsidR="00676BAE">
        <w:rPr>
          <w:rFonts w:eastAsia="Calibri"/>
          <w:sz w:val="26"/>
          <w:szCs w:val="26"/>
        </w:rPr>
        <w:t xml:space="preserve">  Motion at </w:t>
      </w:r>
      <w:r w:rsidR="00EC19F4">
        <w:rPr>
          <w:rFonts w:eastAsia="Calibri"/>
          <w:sz w:val="26"/>
          <w:szCs w:val="26"/>
        </w:rPr>
        <w:t>5</w:t>
      </w:r>
      <w:r w:rsidR="00676BAE">
        <w:rPr>
          <w:rFonts w:eastAsia="Calibri"/>
          <w:sz w:val="26"/>
          <w:szCs w:val="26"/>
        </w:rPr>
        <w:t>.</w:t>
      </w:r>
      <w:r w:rsidRPr="00E420F9">
        <w:rPr>
          <w:rFonts w:eastAsia="Calibri"/>
          <w:sz w:val="26"/>
          <w:szCs w:val="26"/>
        </w:rPr>
        <w:t xml:space="preserve"> </w:t>
      </w:r>
      <w:r w:rsidR="005D4618">
        <w:rPr>
          <w:rFonts w:eastAsia="Calibri"/>
          <w:sz w:val="26"/>
          <w:szCs w:val="26"/>
        </w:rPr>
        <w:t xml:space="preserve"> </w:t>
      </w:r>
      <w:r w:rsidR="00574C9E" w:rsidRPr="00E420F9">
        <w:rPr>
          <w:rFonts w:eastAsia="Calibri"/>
          <w:sz w:val="26"/>
          <w:szCs w:val="26"/>
        </w:rPr>
        <w:t xml:space="preserve">The </w:t>
      </w:r>
      <w:r w:rsidR="00676BAE">
        <w:rPr>
          <w:rFonts w:eastAsia="Calibri"/>
          <w:sz w:val="26"/>
          <w:szCs w:val="26"/>
        </w:rPr>
        <w:t xml:space="preserve">Motion also </w:t>
      </w:r>
      <w:r w:rsidR="00574C9E" w:rsidRPr="00E420F9">
        <w:rPr>
          <w:rFonts w:eastAsia="Calibri"/>
          <w:sz w:val="26"/>
          <w:szCs w:val="26"/>
        </w:rPr>
        <w:t>request</w:t>
      </w:r>
      <w:r w:rsidR="00676BAE">
        <w:rPr>
          <w:rFonts w:eastAsia="Calibri"/>
          <w:sz w:val="26"/>
          <w:szCs w:val="26"/>
        </w:rPr>
        <w:t>s</w:t>
      </w:r>
      <w:r w:rsidR="00574C9E" w:rsidRPr="00E420F9">
        <w:rPr>
          <w:rFonts w:eastAsia="Calibri"/>
          <w:sz w:val="26"/>
          <w:szCs w:val="26"/>
        </w:rPr>
        <w:t xml:space="preserve"> that the following consumer-related issues be moved from Stage 1 to Stage 2 of the proceedings so that </w:t>
      </w:r>
      <w:r w:rsidR="00B23A1C">
        <w:rPr>
          <w:rFonts w:eastAsia="Calibri"/>
          <w:sz w:val="26"/>
          <w:szCs w:val="26"/>
        </w:rPr>
        <w:t>the Parties</w:t>
      </w:r>
      <w:r w:rsidR="00574C9E" w:rsidRPr="00E420F9">
        <w:rPr>
          <w:rFonts w:eastAsia="Calibri"/>
          <w:sz w:val="26"/>
          <w:szCs w:val="26"/>
        </w:rPr>
        <w:t xml:space="preserve"> may </w:t>
      </w:r>
      <w:r w:rsidR="00EE03DB">
        <w:rPr>
          <w:rFonts w:eastAsia="Calibri"/>
          <w:sz w:val="26"/>
          <w:szCs w:val="26"/>
        </w:rPr>
        <w:t xml:space="preserve">discuss them </w:t>
      </w:r>
      <w:r w:rsidR="00574C9E" w:rsidRPr="00E420F9">
        <w:rPr>
          <w:rFonts w:eastAsia="Calibri"/>
          <w:sz w:val="26"/>
          <w:szCs w:val="26"/>
        </w:rPr>
        <w:t>in BCS-led workshops</w:t>
      </w:r>
      <w:r w:rsidR="003869E9" w:rsidRPr="00E420F9">
        <w:rPr>
          <w:rFonts w:eastAsia="Calibri"/>
          <w:sz w:val="26"/>
          <w:szCs w:val="26"/>
        </w:rPr>
        <w:t>: (1) residential service termination and collections issues, and (2) issues related to PWSA’s compliance with the Discontinuance of Service to Leased Premises Act.</w:t>
      </w:r>
      <w:r w:rsidR="00676BAE">
        <w:rPr>
          <w:rFonts w:eastAsia="Calibri"/>
          <w:sz w:val="26"/>
          <w:szCs w:val="26"/>
        </w:rPr>
        <w:t xml:space="preserve">  Motion at </w:t>
      </w:r>
      <w:r w:rsidR="0013353A">
        <w:rPr>
          <w:rFonts w:eastAsia="Calibri"/>
          <w:sz w:val="26"/>
          <w:szCs w:val="26"/>
        </w:rPr>
        <w:t>9-11</w:t>
      </w:r>
      <w:r w:rsidR="00676BAE">
        <w:rPr>
          <w:rFonts w:eastAsia="Calibri"/>
          <w:sz w:val="26"/>
          <w:szCs w:val="26"/>
        </w:rPr>
        <w:t>.</w:t>
      </w:r>
      <w:r w:rsidR="003869E9" w:rsidRPr="00E420F9">
        <w:rPr>
          <w:rFonts w:eastAsia="Calibri"/>
          <w:sz w:val="26"/>
          <w:szCs w:val="26"/>
        </w:rPr>
        <w:t xml:space="preserve"> </w:t>
      </w:r>
      <w:r w:rsidR="00B445E1">
        <w:rPr>
          <w:rFonts w:eastAsia="Calibri"/>
          <w:sz w:val="26"/>
          <w:szCs w:val="26"/>
        </w:rPr>
        <w:t xml:space="preserve"> </w:t>
      </w:r>
      <w:r w:rsidR="00676BAE">
        <w:rPr>
          <w:rFonts w:eastAsia="Calibri"/>
          <w:sz w:val="26"/>
          <w:szCs w:val="26"/>
        </w:rPr>
        <w:t xml:space="preserve">The Motion asserts that </w:t>
      </w:r>
      <w:r w:rsidR="003869E9" w:rsidRPr="00E420F9">
        <w:rPr>
          <w:rFonts w:eastAsia="Calibri"/>
          <w:sz w:val="26"/>
          <w:szCs w:val="26"/>
        </w:rPr>
        <w:t xml:space="preserve">participating </w:t>
      </w:r>
      <w:r w:rsidR="00B445E1">
        <w:rPr>
          <w:rFonts w:eastAsia="Calibri"/>
          <w:sz w:val="26"/>
          <w:szCs w:val="26"/>
        </w:rPr>
        <w:t>P</w:t>
      </w:r>
      <w:r w:rsidR="003869E9" w:rsidRPr="00E420F9">
        <w:rPr>
          <w:rFonts w:eastAsia="Calibri"/>
          <w:sz w:val="26"/>
          <w:szCs w:val="26"/>
        </w:rPr>
        <w:t xml:space="preserve">arties agree to the requested </w:t>
      </w:r>
      <w:r w:rsidR="00E420F9">
        <w:rPr>
          <w:rFonts w:eastAsia="Calibri"/>
          <w:sz w:val="26"/>
          <w:szCs w:val="26"/>
        </w:rPr>
        <w:t>extension</w:t>
      </w:r>
      <w:r w:rsidR="003869E9" w:rsidRPr="00E420F9">
        <w:rPr>
          <w:rFonts w:eastAsia="Calibri"/>
          <w:sz w:val="26"/>
          <w:szCs w:val="26"/>
        </w:rPr>
        <w:t>.</w:t>
      </w:r>
      <w:r w:rsidR="00B445E1">
        <w:rPr>
          <w:rFonts w:eastAsia="Calibri"/>
          <w:sz w:val="26"/>
          <w:szCs w:val="26"/>
        </w:rPr>
        <w:t xml:space="preserve">  Motion at </w:t>
      </w:r>
      <w:r w:rsidR="000E50BA">
        <w:rPr>
          <w:rFonts w:eastAsia="Calibri"/>
          <w:sz w:val="26"/>
          <w:szCs w:val="26"/>
        </w:rPr>
        <w:t>1</w:t>
      </w:r>
      <w:r w:rsidR="00B445E1">
        <w:rPr>
          <w:rFonts w:eastAsia="Calibri"/>
          <w:sz w:val="26"/>
          <w:szCs w:val="26"/>
        </w:rPr>
        <w:t>.</w:t>
      </w:r>
      <w:bookmarkEnd w:id="2"/>
      <w:r w:rsidR="00CC7101">
        <w:rPr>
          <w:rFonts w:eastAsia="Calibri"/>
          <w:sz w:val="26"/>
          <w:szCs w:val="26"/>
        </w:rPr>
        <w:t xml:space="preserve">  </w:t>
      </w:r>
      <w:r w:rsidR="00EC19F4">
        <w:rPr>
          <w:rFonts w:eastAsia="Calibri"/>
          <w:sz w:val="26"/>
          <w:szCs w:val="26"/>
        </w:rPr>
        <w:t>For the sake of brevity, this Secretarial Letter will not reiterate the entire contents of the Motion here.</w:t>
      </w:r>
      <w:r w:rsidR="00EE2983">
        <w:rPr>
          <w:rStyle w:val="FootnoteReference"/>
          <w:rFonts w:eastAsia="Calibri"/>
          <w:sz w:val="26"/>
          <w:szCs w:val="26"/>
        </w:rPr>
        <w:footnoteReference w:id="3"/>
      </w:r>
      <w:r w:rsidR="00EC19F4">
        <w:rPr>
          <w:rFonts w:eastAsia="Calibri"/>
          <w:sz w:val="26"/>
          <w:szCs w:val="26"/>
        </w:rPr>
        <w:t xml:space="preserve"> </w:t>
      </w:r>
      <w:r w:rsidR="00BE7924">
        <w:rPr>
          <w:rFonts w:eastAsia="Calibri"/>
          <w:sz w:val="26"/>
          <w:szCs w:val="26"/>
        </w:rPr>
        <w:t xml:space="preserve"> </w:t>
      </w:r>
    </w:p>
    <w:p w14:paraId="2CFEFAB7" w14:textId="77777777" w:rsidR="00B445E1" w:rsidRDefault="00B445E1" w:rsidP="00B445E1">
      <w:pPr>
        <w:ind w:firstLine="720"/>
        <w:rPr>
          <w:rFonts w:eastAsia="Calibri"/>
          <w:sz w:val="26"/>
          <w:szCs w:val="26"/>
        </w:rPr>
      </w:pPr>
    </w:p>
    <w:p w14:paraId="2B988979" w14:textId="1CABE83E" w:rsidR="00B445E1" w:rsidRDefault="00B445E1" w:rsidP="00B445E1">
      <w:pPr>
        <w:ind w:firstLine="720"/>
        <w:rPr>
          <w:rFonts w:eastAsia="Calibri"/>
          <w:sz w:val="26"/>
          <w:szCs w:val="26"/>
        </w:rPr>
      </w:pPr>
      <w:r>
        <w:rPr>
          <w:rFonts w:eastAsia="Calibri"/>
          <w:sz w:val="26"/>
          <w:szCs w:val="26"/>
        </w:rPr>
        <w:t xml:space="preserve">The Prehearing Order identifies the following as Parties to the proceeding: PWSA, the Commission’s Bureau of Investigation and Enforcement, the Office of Consumer Advocate, the Office of Small Business Advocate, the Pennsylvania American Water Company, and Pittsburgh UNITED.  While Ms. </w:t>
      </w:r>
      <w:proofErr w:type="spellStart"/>
      <w:r>
        <w:rPr>
          <w:rFonts w:eastAsia="Calibri"/>
          <w:sz w:val="26"/>
          <w:szCs w:val="26"/>
        </w:rPr>
        <w:t>Chapkis</w:t>
      </w:r>
      <w:proofErr w:type="spellEnd"/>
      <w:r>
        <w:rPr>
          <w:rFonts w:eastAsia="Calibri"/>
          <w:sz w:val="26"/>
          <w:szCs w:val="26"/>
        </w:rPr>
        <w:t xml:space="preserve"> of the Mayor’s Blue Ribbon Panel on Restructuring the PW</w:t>
      </w:r>
      <w:r w:rsidR="004965CE">
        <w:rPr>
          <w:rFonts w:eastAsia="Calibri"/>
          <w:sz w:val="26"/>
          <w:szCs w:val="26"/>
        </w:rPr>
        <w:t>SA</w:t>
      </w:r>
      <w:r>
        <w:rPr>
          <w:rFonts w:eastAsia="Calibri"/>
          <w:sz w:val="26"/>
          <w:szCs w:val="26"/>
        </w:rPr>
        <w:t xml:space="preserve"> Care of Women for a Healthy Environment </w:t>
      </w:r>
      <w:r w:rsidR="004965CE">
        <w:rPr>
          <w:rFonts w:eastAsia="Calibri"/>
          <w:sz w:val="26"/>
          <w:szCs w:val="26"/>
        </w:rPr>
        <w:t xml:space="preserve">filed comments, </w:t>
      </w:r>
      <w:r>
        <w:rPr>
          <w:rFonts w:eastAsia="Calibri"/>
          <w:sz w:val="26"/>
          <w:szCs w:val="26"/>
        </w:rPr>
        <w:t xml:space="preserve">attended the Prehearing Conference, </w:t>
      </w:r>
      <w:r w:rsidR="00D81F14">
        <w:rPr>
          <w:rFonts w:eastAsia="Calibri"/>
          <w:sz w:val="26"/>
          <w:szCs w:val="26"/>
        </w:rPr>
        <w:t xml:space="preserve">and is listed on the service list, </w:t>
      </w:r>
      <w:r>
        <w:rPr>
          <w:rFonts w:eastAsia="Calibri"/>
          <w:sz w:val="26"/>
          <w:szCs w:val="26"/>
        </w:rPr>
        <w:t xml:space="preserve">it does not appear that Ms. </w:t>
      </w:r>
      <w:proofErr w:type="spellStart"/>
      <w:r>
        <w:rPr>
          <w:rFonts w:eastAsia="Calibri"/>
          <w:sz w:val="26"/>
          <w:szCs w:val="26"/>
        </w:rPr>
        <w:t>Chapkis</w:t>
      </w:r>
      <w:proofErr w:type="spellEnd"/>
      <w:r>
        <w:rPr>
          <w:rFonts w:eastAsia="Calibri"/>
          <w:sz w:val="26"/>
          <w:szCs w:val="26"/>
        </w:rPr>
        <w:t xml:space="preserve"> enter</w:t>
      </w:r>
      <w:r w:rsidR="004965CE">
        <w:rPr>
          <w:rFonts w:eastAsia="Calibri"/>
          <w:sz w:val="26"/>
          <w:szCs w:val="26"/>
        </w:rPr>
        <w:t>ed a</w:t>
      </w:r>
      <w:r w:rsidR="00D81F14">
        <w:rPr>
          <w:rFonts w:eastAsia="Calibri"/>
          <w:sz w:val="26"/>
          <w:szCs w:val="26"/>
        </w:rPr>
        <w:t xml:space="preserve"> notice of </w:t>
      </w:r>
      <w:r w:rsidR="004965CE">
        <w:rPr>
          <w:rFonts w:eastAsia="Calibri"/>
          <w:sz w:val="26"/>
          <w:szCs w:val="26"/>
        </w:rPr>
        <w:t xml:space="preserve">appearance </w:t>
      </w:r>
      <w:r w:rsidR="00D81F14">
        <w:rPr>
          <w:rFonts w:eastAsia="Calibri"/>
          <w:sz w:val="26"/>
          <w:szCs w:val="26"/>
        </w:rPr>
        <w:t>for the Blue Ribbon Panel pursuant to 52 Pa. Code §§ 1.21-1.23</w:t>
      </w:r>
      <w:r w:rsidR="004965CE">
        <w:rPr>
          <w:rFonts w:eastAsia="Calibri"/>
          <w:sz w:val="26"/>
          <w:szCs w:val="26"/>
        </w:rPr>
        <w:t xml:space="preserve">.  Additionally, while attorneys for the National Resources Defense Council entered appearances, they did so on behalf of Pittsburgh UNITED and not as an independent party of record. </w:t>
      </w:r>
      <w:r w:rsidR="005D4618">
        <w:rPr>
          <w:rFonts w:eastAsia="Calibri"/>
          <w:sz w:val="26"/>
          <w:szCs w:val="26"/>
        </w:rPr>
        <w:t xml:space="preserve"> </w:t>
      </w:r>
      <w:r w:rsidR="004965CE">
        <w:rPr>
          <w:rFonts w:eastAsia="Calibri"/>
          <w:sz w:val="26"/>
          <w:szCs w:val="26"/>
        </w:rPr>
        <w:t>It therefore appears that the Motion is unanimous.</w:t>
      </w:r>
    </w:p>
    <w:p w14:paraId="1D8DEE1D" w14:textId="77777777" w:rsidR="00B445E1" w:rsidRDefault="00B445E1" w:rsidP="00B445E1">
      <w:pPr>
        <w:ind w:firstLine="720"/>
        <w:rPr>
          <w:rFonts w:eastAsia="Calibri"/>
          <w:sz w:val="26"/>
          <w:szCs w:val="26"/>
        </w:rPr>
      </w:pPr>
    </w:p>
    <w:p w14:paraId="7BABEDE9" w14:textId="22AC29DB" w:rsidR="00AC736D" w:rsidRDefault="004965CE" w:rsidP="00B445E1">
      <w:pPr>
        <w:ind w:firstLine="720"/>
        <w:rPr>
          <w:rFonts w:eastAsia="Calibri"/>
          <w:sz w:val="26"/>
          <w:szCs w:val="26"/>
        </w:rPr>
      </w:pPr>
      <w:r>
        <w:rPr>
          <w:rFonts w:eastAsia="Calibri"/>
          <w:sz w:val="26"/>
          <w:szCs w:val="26"/>
        </w:rPr>
        <w:t>While the Parties identif</w:t>
      </w:r>
      <w:r w:rsidR="00AC736D">
        <w:rPr>
          <w:rFonts w:eastAsia="Calibri"/>
          <w:sz w:val="26"/>
          <w:szCs w:val="26"/>
        </w:rPr>
        <w:t xml:space="preserve">y </w:t>
      </w:r>
      <w:r>
        <w:rPr>
          <w:rFonts w:eastAsia="Calibri"/>
          <w:sz w:val="26"/>
          <w:szCs w:val="26"/>
        </w:rPr>
        <w:t xml:space="preserve">the request as a Motion, the </w:t>
      </w:r>
      <w:r w:rsidR="00AC736D">
        <w:rPr>
          <w:rFonts w:eastAsia="Calibri"/>
          <w:sz w:val="26"/>
          <w:szCs w:val="26"/>
        </w:rPr>
        <w:t xml:space="preserve">Parties seek to proceed under 52 Pa. Code § 5.41, </w:t>
      </w:r>
      <w:r w:rsidR="00AC736D" w:rsidRPr="008562C5">
        <w:rPr>
          <w:rFonts w:eastAsia="Calibri"/>
          <w:sz w:val="26"/>
          <w:szCs w:val="26"/>
        </w:rPr>
        <w:t>Petitions generally</w:t>
      </w:r>
      <w:r w:rsidR="00AC736D">
        <w:rPr>
          <w:rFonts w:eastAsia="Calibri"/>
          <w:sz w:val="26"/>
          <w:szCs w:val="26"/>
        </w:rPr>
        <w:t xml:space="preserve">.  </w:t>
      </w:r>
      <w:r w:rsidR="0011483B">
        <w:rPr>
          <w:rFonts w:eastAsia="Calibri"/>
          <w:sz w:val="26"/>
          <w:szCs w:val="26"/>
        </w:rPr>
        <w:t xml:space="preserve">The </w:t>
      </w:r>
      <w:r>
        <w:rPr>
          <w:rFonts w:eastAsia="Calibri"/>
          <w:sz w:val="26"/>
          <w:szCs w:val="26"/>
        </w:rPr>
        <w:t xml:space="preserve">Commission will </w:t>
      </w:r>
      <w:r w:rsidR="00AC736D">
        <w:rPr>
          <w:rFonts w:eastAsia="Calibri"/>
          <w:sz w:val="26"/>
          <w:szCs w:val="26"/>
        </w:rPr>
        <w:t xml:space="preserve">therefore </w:t>
      </w:r>
      <w:r>
        <w:rPr>
          <w:rFonts w:eastAsia="Calibri"/>
          <w:sz w:val="26"/>
          <w:szCs w:val="26"/>
        </w:rPr>
        <w:t>treat the filing as a Petition</w:t>
      </w:r>
      <w:r w:rsidR="00AC736D">
        <w:rPr>
          <w:rFonts w:eastAsia="Calibri"/>
          <w:sz w:val="26"/>
          <w:szCs w:val="26"/>
        </w:rPr>
        <w:t xml:space="preserve"> before the Commission rather than as a motion requiring action on the </w:t>
      </w:r>
      <w:r w:rsidR="00AC736D">
        <w:rPr>
          <w:rFonts w:eastAsia="Calibri"/>
          <w:sz w:val="26"/>
          <w:szCs w:val="26"/>
        </w:rPr>
        <w:lastRenderedPageBreak/>
        <w:t xml:space="preserve">part of the </w:t>
      </w:r>
      <w:r w:rsidR="009A4DF9">
        <w:rPr>
          <w:rFonts w:eastAsia="Calibri"/>
          <w:sz w:val="26"/>
          <w:szCs w:val="26"/>
        </w:rPr>
        <w:t xml:space="preserve">OALJ </w:t>
      </w:r>
      <w:r w:rsidR="00AC736D">
        <w:rPr>
          <w:rFonts w:eastAsia="Calibri"/>
          <w:sz w:val="26"/>
          <w:szCs w:val="26"/>
        </w:rPr>
        <w:t>presiding officer.</w:t>
      </w:r>
      <w:r w:rsidR="00AC736D">
        <w:rPr>
          <w:sz w:val="26"/>
          <w:szCs w:val="26"/>
        </w:rPr>
        <w:t xml:space="preserve">  Given that the Petition is unanimous among the Parties</w:t>
      </w:r>
      <w:r w:rsidR="00BE7924">
        <w:rPr>
          <w:sz w:val="26"/>
          <w:szCs w:val="26"/>
        </w:rPr>
        <w:t>,</w:t>
      </w:r>
      <w:r w:rsidR="00AC736D">
        <w:rPr>
          <w:sz w:val="26"/>
          <w:szCs w:val="26"/>
        </w:rPr>
        <w:t xml:space="preserve"> t</w:t>
      </w:r>
      <w:r w:rsidR="003869E9" w:rsidRPr="00E420F9">
        <w:rPr>
          <w:rFonts w:eastAsia="Calibri"/>
          <w:sz w:val="26"/>
          <w:szCs w:val="26"/>
        </w:rPr>
        <w:t>h</w:t>
      </w:r>
      <w:r w:rsidR="00AC736D">
        <w:rPr>
          <w:rFonts w:eastAsia="Calibri"/>
          <w:sz w:val="26"/>
          <w:szCs w:val="26"/>
        </w:rPr>
        <w:t>e</w:t>
      </w:r>
      <w:r w:rsidR="003869E9" w:rsidRPr="00E420F9">
        <w:rPr>
          <w:rFonts w:eastAsia="Calibri"/>
          <w:sz w:val="26"/>
          <w:szCs w:val="26"/>
        </w:rPr>
        <w:t xml:space="preserve"> Commission </w:t>
      </w:r>
      <w:r w:rsidR="00AC736D">
        <w:rPr>
          <w:rFonts w:eastAsia="Calibri"/>
          <w:sz w:val="26"/>
          <w:szCs w:val="26"/>
        </w:rPr>
        <w:t xml:space="preserve">may proceed to dispose of the request without delay.  </w:t>
      </w:r>
    </w:p>
    <w:p w14:paraId="6FA6F746" w14:textId="77777777" w:rsidR="00AC736D" w:rsidRDefault="00AC736D" w:rsidP="00B445E1">
      <w:pPr>
        <w:ind w:firstLine="720"/>
        <w:rPr>
          <w:rFonts w:eastAsia="Calibri"/>
          <w:sz w:val="26"/>
          <w:szCs w:val="26"/>
        </w:rPr>
      </w:pPr>
    </w:p>
    <w:p w14:paraId="13A6D342" w14:textId="77777777" w:rsidR="00CC7101" w:rsidRDefault="00D81F14" w:rsidP="00B445E1">
      <w:pPr>
        <w:ind w:firstLine="720"/>
        <w:rPr>
          <w:rFonts w:eastAsia="Calibri"/>
          <w:sz w:val="26"/>
          <w:szCs w:val="26"/>
        </w:rPr>
      </w:pPr>
      <w:r>
        <w:rPr>
          <w:rFonts w:eastAsia="Calibri"/>
          <w:sz w:val="26"/>
          <w:szCs w:val="26"/>
        </w:rPr>
        <w:t xml:space="preserve">Chapter 32 provides the Commission with flexibility regarding its review of the PWSA </w:t>
      </w:r>
      <w:r w:rsidR="00CC7101">
        <w:rPr>
          <w:rFonts w:eastAsia="Calibri"/>
          <w:sz w:val="26"/>
          <w:szCs w:val="26"/>
        </w:rPr>
        <w:t>C</w:t>
      </w:r>
      <w:r>
        <w:rPr>
          <w:rFonts w:eastAsia="Calibri"/>
          <w:sz w:val="26"/>
          <w:szCs w:val="26"/>
        </w:rPr>
        <w:t xml:space="preserve">ompliance </w:t>
      </w:r>
      <w:r w:rsidR="00CC7101">
        <w:rPr>
          <w:rFonts w:eastAsia="Calibri"/>
          <w:sz w:val="26"/>
          <w:szCs w:val="26"/>
        </w:rPr>
        <w:t>P</w:t>
      </w:r>
      <w:r>
        <w:rPr>
          <w:rFonts w:eastAsia="Calibri"/>
          <w:sz w:val="26"/>
          <w:szCs w:val="26"/>
        </w:rPr>
        <w:t xml:space="preserve">lan, including the ability to direct PWSA to file new or revised compliance plans.  66 Pa. C.S. § 3204.  Specifically, Chapter 32 does not contain statutory deadlines </w:t>
      </w:r>
      <w:r w:rsidR="00CC7101">
        <w:rPr>
          <w:rFonts w:eastAsia="Calibri"/>
          <w:sz w:val="26"/>
          <w:szCs w:val="26"/>
        </w:rPr>
        <w:t>regarding Commission approval of a PWSA Compliance Plan.  Rather, Chapter 32 focuses on the qualitative aspects of PWSA proposals</w:t>
      </w:r>
      <w:r w:rsidR="00AC736D">
        <w:rPr>
          <w:rFonts w:eastAsia="Calibri"/>
          <w:sz w:val="26"/>
          <w:szCs w:val="26"/>
        </w:rPr>
        <w:t>.</w:t>
      </w:r>
      <w:r w:rsidR="00CC7101">
        <w:rPr>
          <w:rFonts w:eastAsia="Calibri"/>
          <w:sz w:val="26"/>
          <w:szCs w:val="26"/>
        </w:rPr>
        <w:t xml:space="preserve">  Given this flexibility, the Commission may consider extending its previously established deadlines.</w:t>
      </w:r>
    </w:p>
    <w:p w14:paraId="5054C743" w14:textId="77777777" w:rsidR="00CC7101" w:rsidRDefault="00CC7101" w:rsidP="00B445E1">
      <w:pPr>
        <w:ind w:firstLine="720"/>
        <w:rPr>
          <w:rFonts w:eastAsia="Calibri"/>
          <w:sz w:val="26"/>
          <w:szCs w:val="26"/>
        </w:rPr>
      </w:pPr>
    </w:p>
    <w:p w14:paraId="70D32CE7" w14:textId="180F8CA6" w:rsidR="00EC19F4" w:rsidRDefault="00CC7101" w:rsidP="00B445E1">
      <w:pPr>
        <w:ind w:firstLine="720"/>
        <w:rPr>
          <w:rFonts w:eastAsia="Calibri"/>
          <w:sz w:val="26"/>
          <w:szCs w:val="26"/>
        </w:rPr>
      </w:pPr>
      <w:r>
        <w:rPr>
          <w:rFonts w:eastAsia="Calibri"/>
          <w:sz w:val="26"/>
          <w:szCs w:val="26"/>
        </w:rPr>
        <w:t xml:space="preserve">After consideration of the </w:t>
      </w:r>
      <w:r w:rsidR="00EC19F4">
        <w:rPr>
          <w:rFonts w:eastAsia="Calibri"/>
          <w:sz w:val="26"/>
          <w:szCs w:val="26"/>
        </w:rPr>
        <w:t xml:space="preserve">various justifications and </w:t>
      </w:r>
      <w:r>
        <w:rPr>
          <w:rFonts w:eastAsia="Calibri"/>
          <w:sz w:val="26"/>
          <w:szCs w:val="26"/>
        </w:rPr>
        <w:t>substantive content of the Petition</w:t>
      </w:r>
      <w:r w:rsidR="00BE7924">
        <w:rPr>
          <w:rFonts w:eastAsia="Calibri"/>
          <w:sz w:val="26"/>
          <w:szCs w:val="26"/>
        </w:rPr>
        <w:t>,</w:t>
      </w:r>
      <w:r>
        <w:rPr>
          <w:rFonts w:eastAsia="Calibri"/>
          <w:sz w:val="26"/>
          <w:szCs w:val="26"/>
        </w:rPr>
        <w:t xml:space="preserve"> the Commission will </w:t>
      </w:r>
      <w:r w:rsidR="003869E9" w:rsidRPr="00E420F9">
        <w:rPr>
          <w:rFonts w:eastAsia="Calibri"/>
          <w:sz w:val="26"/>
          <w:szCs w:val="26"/>
        </w:rPr>
        <w:t>grant</w:t>
      </w:r>
      <w:r>
        <w:rPr>
          <w:rFonts w:eastAsia="Calibri"/>
          <w:sz w:val="26"/>
          <w:szCs w:val="26"/>
        </w:rPr>
        <w:t xml:space="preserve"> the requested relief.</w:t>
      </w:r>
      <w:r w:rsidR="00EC19F4">
        <w:rPr>
          <w:rFonts w:eastAsia="Calibri"/>
          <w:sz w:val="26"/>
          <w:szCs w:val="26"/>
        </w:rPr>
        <w:t xml:space="preserve">  While the Commission will not </w:t>
      </w:r>
      <w:r w:rsidR="009A4DF9">
        <w:rPr>
          <w:rFonts w:eastAsia="Calibri"/>
          <w:sz w:val="26"/>
          <w:szCs w:val="26"/>
        </w:rPr>
        <w:t xml:space="preserve">specifically </w:t>
      </w:r>
      <w:r w:rsidR="00EC19F4">
        <w:rPr>
          <w:rFonts w:eastAsia="Calibri"/>
          <w:sz w:val="26"/>
          <w:szCs w:val="26"/>
        </w:rPr>
        <w:t xml:space="preserve">enumerate here the conditions which the Parties offer in support of the extension, the Commission directs the Parties to comply with the Lead Service Line, Clearwell, and Customer </w:t>
      </w:r>
      <w:r w:rsidR="008562C5">
        <w:rPr>
          <w:rFonts w:eastAsia="Calibri"/>
          <w:sz w:val="26"/>
          <w:szCs w:val="26"/>
        </w:rPr>
        <w:t>S</w:t>
      </w:r>
      <w:r w:rsidR="00EC19F4">
        <w:rPr>
          <w:rFonts w:eastAsia="Calibri"/>
          <w:sz w:val="26"/>
          <w:szCs w:val="26"/>
        </w:rPr>
        <w:t xml:space="preserve">ervice </w:t>
      </w:r>
      <w:r w:rsidR="008562C5">
        <w:rPr>
          <w:rFonts w:eastAsia="Calibri"/>
          <w:sz w:val="26"/>
          <w:szCs w:val="26"/>
        </w:rPr>
        <w:t>Issues</w:t>
      </w:r>
      <w:r w:rsidR="00EC19F4">
        <w:rPr>
          <w:rFonts w:eastAsia="Calibri"/>
          <w:sz w:val="26"/>
          <w:szCs w:val="26"/>
        </w:rPr>
        <w:t xml:space="preserve"> outlined at pages 6-9 of the Petition.</w:t>
      </w:r>
      <w:r>
        <w:rPr>
          <w:rFonts w:eastAsia="Calibri"/>
          <w:sz w:val="26"/>
          <w:szCs w:val="26"/>
        </w:rPr>
        <w:t xml:space="preserve">  </w:t>
      </w:r>
    </w:p>
    <w:p w14:paraId="5EC22182" w14:textId="77777777" w:rsidR="00EC19F4" w:rsidRDefault="00EC19F4" w:rsidP="00B445E1">
      <w:pPr>
        <w:ind w:firstLine="720"/>
        <w:rPr>
          <w:rFonts w:eastAsia="Calibri"/>
          <w:sz w:val="26"/>
          <w:szCs w:val="26"/>
        </w:rPr>
      </w:pPr>
    </w:p>
    <w:p w14:paraId="6EC73AA5" w14:textId="084C892A" w:rsidR="00ED158A" w:rsidRDefault="00EC19F4" w:rsidP="00B445E1">
      <w:pPr>
        <w:ind w:firstLine="720"/>
        <w:rPr>
          <w:sz w:val="26"/>
          <w:szCs w:val="26"/>
        </w:rPr>
      </w:pPr>
      <w:r>
        <w:rPr>
          <w:rFonts w:eastAsia="Calibri"/>
          <w:sz w:val="26"/>
          <w:szCs w:val="26"/>
        </w:rPr>
        <w:t>Also</w:t>
      </w:r>
      <w:r w:rsidR="00BE7924">
        <w:rPr>
          <w:rFonts w:eastAsia="Calibri"/>
          <w:sz w:val="26"/>
          <w:szCs w:val="26"/>
        </w:rPr>
        <w:t>,</w:t>
      </w:r>
      <w:r>
        <w:rPr>
          <w:rFonts w:eastAsia="Calibri"/>
          <w:sz w:val="26"/>
          <w:szCs w:val="26"/>
        </w:rPr>
        <w:t xml:space="preserve"> as described in the Petition, t</w:t>
      </w:r>
      <w:r w:rsidR="003869E9" w:rsidRPr="00E420F9">
        <w:rPr>
          <w:rFonts w:eastAsia="Calibri"/>
          <w:sz w:val="26"/>
          <w:szCs w:val="26"/>
        </w:rPr>
        <w:t>he</w:t>
      </w:r>
      <w:r w:rsidR="003869E9" w:rsidRPr="00E420F9">
        <w:rPr>
          <w:sz w:val="26"/>
          <w:szCs w:val="26"/>
        </w:rPr>
        <w:t xml:space="preserve"> OALJ will submit a recommended decision no later than Tuesday</w:t>
      </w:r>
      <w:r w:rsidR="00B07ED9" w:rsidRPr="00E420F9">
        <w:rPr>
          <w:sz w:val="26"/>
          <w:szCs w:val="26"/>
        </w:rPr>
        <w:t xml:space="preserve">, October 29, 2019. </w:t>
      </w:r>
      <w:r w:rsidR="003869E9" w:rsidRPr="00E420F9">
        <w:rPr>
          <w:sz w:val="26"/>
          <w:szCs w:val="26"/>
        </w:rPr>
        <w:t xml:space="preserve"> </w:t>
      </w:r>
      <w:r>
        <w:rPr>
          <w:sz w:val="26"/>
          <w:szCs w:val="26"/>
        </w:rPr>
        <w:t xml:space="preserve">Thereafter, </w:t>
      </w:r>
      <w:r w:rsidR="003869E9" w:rsidRPr="00E420F9">
        <w:rPr>
          <w:sz w:val="26"/>
          <w:szCs w:val="26"/>
        </w:rPr>
        <w:t xml:space="preserve">Parties may submit exceptions within twenty (20) days and reply exceptions no later than fifteen (15) days thereafter. </w:t>
      </w:r>
      <w:r w:rsidR="005D4618">
        <w:rPr>
          <w:sz w:val="26"/>
          <w:szCs w:val="26"/>
        </w:rPr>
        <w:t xml:space="preserve"> </w:t>
      </w:r>
      <w:r w:rsidR="003869E9" w:rsidRPr="00E420F9">
        <w:rPr>
          <w:sz w:val="26"/>
          <w:szCs w:val="26"/>
        </w:rPr>
        <w:t>The Commission will thereafter issue appropriate orders on the filings no later than</w:t>
      </w:r>
      <w:r w:rsidR="00B07ED9" w:rsidRPr="00E420F9">
        <w:rPr>
          <w:sz w:val="26"/>
          <w:szCs w:val="26"/>
        </w:rPr>
        <w:t xml:space="preserve"> Friday, February 28, 2020.</w:t>
      </w:r>
      <w:r w:rsidR="003869E9" w:rsidRPr="00E420F9">
        <w:rPr>
          <w:sz w:val="26"/>
          <w:szCs w:val="26"/>
        </w:rPr>
        <w:t xml:space="preserve"> </w:t>
      </w:r>
      <w:r>
        <w:rPr>
          <w:sz w:val="26"/>
          <w:szCs w:val="26"/>
        </w:rPr>
        <w:t xml:space="preserve"> Petition at 6.</w:t>
      </w:r>
    </w:p>
    <w:p w14:paraId="30A93362" w14:textId="77777777" w:rsidR="00E420F9" w:rsidRPr="00E420F9" w:rsidRDefault="00E420F9" w:rsidP="00346307">
      <w:pPr>
        <w:rPr>
          <w:sz w:val="26"/>
          <w:szCs w:val="26"/>
        </w:rPr>
      </w:pPr>
    </w:p>
    <w:p w14:paraId="46CD9BA6" w14:textId="75235092" w:rsidR="00461790" w:rsidRDefault="00693168" w:rsidP="00346307">
      <w:pPr>
        <w:rPr>
          <w:sz w:val="26"/>
          <w:szCs w:val="26"/>
        </w:rPr>
      </w:pPr>
      <w:bookmarkStart w:id="3" w:name="_Hlk8726059"/>
      <w:r w:rsidRPr="00E420F9">
        <w:rPr>
          <w:sz w:val="26"/>
          <w:szCs w:val="26"/>
        </w:rPr>
        <w:tab/>
      </w:r>
      <w:r w:rsidR="00461790">
        <w:rPr>
          <w:sz w:val="26"/>
          <w:szCs w:val="26"/>
        </w:rPr>
        <w:t xml:space="preserve">Finally, the Commission grants the request to address the issues identified at pages 9 through 11 of the Petition </w:t>
      </w:r>
      <w:r w:rsidR="00AD6CF4">
        <w:rPr>
          <w:sz w:val="26"/>
          <w:szCs w:val="26"/>
        </w:rPr>
        <w:t xml:space="preserve">in </w:t>
      </w:r>
      <w:r w:rsidR="00461790">
        <w:rPr>
          <w:sz w:val="26"/>
          <w:szCs w:val="26"/>
        </w:rPr>
        <w:t xml:space="preserve">Stage 2 of the Compliance Plan litigation for the reasons identified in the Petition.  </w:t>
      </w:r>
    </w:p>
    <w:p w14:paraId="39539B31" w14:textId="081BB912" w:rsidR="00272DAA" w:rsidRDefault="00272DAA" w:rsidP="00346307">
      <w:pPr>
        <w:rPr>
          <w:sz w:val="26"/>
          <w:szCs w:val="26"/>
        </w:rPr>
      </w:pPr>
    </w:p>
    <w:p w14:paraId="2A979D44" w14:textId="35CBBD37" w:rsidR="00272DAA" w:rsidRDefault="00272DAA" w:rsidP="00346307">
      <w:pPr>
        <w:rPr>
          <w:sz w:val="26"/>
          <w:szCs w:val="26"/>
        </w:rPr>
      </w:pPr>
      <w:r>
        <w:rPr>
          <w:sz w:val="26"/>
          <w:szCs w:val="26"/>
        </w:rPr>
        <w:tab/>
        <w:t xml:space="preserve">This Secretarial Letter shall be served on all Parties of record, commenters, and monitoring stakeholders in the above-referenced proceedings. </w:t>
      </w:r>
    </w:p>
    <w:p w14:paraId="1BAD862E" w14:textId="77777777" w:rsidR="00461790" w:rsidRDefault="00461790" w:rsidP="00346307">
      <w:pPr>
        <w:rPr>
          <w:sz w:val="26"/>
          <w:szCs w:val="26"/>
        </w:rPr>
      </w:pPr>
    </w:p>
    <w:bookmarkEnd w:id="3"/>
    <w:p w14:paraId="4C729E26" w14:textId="6519CDCF" w:rsidR="00573262" w:rsidRPr="003C56E2" w:rsidRDefault="00573262" w:rsidP="00346307">
      <w:pPr>
        <w:rPr>
          <w:sz w:val="26"/>
          <w:szCs w:val="26"/>
        </w:rPr>
      </w:pPr>
    </w:p>
    <w:p w14:paraId="642A0400" w14:textId="29F97975" w:rsidR="00930003" w:rsidRPr="003C56E2" w:rsidRDefault="00491D7F" w:rsidP="00B414F2">
      <w:pPr>
        <w:tabs>
          <w:tab w:val="left" w:pos="720"/>
          <w:tab w:val="left" w:pos="5040"/>
        </w:tabs>
        <w:rPr>
          <w:sz w:val="26"/>
          <w:szCs w:val="26"/>
        </w:rPr>
      </w:pPr>
      <w:r>
        <w:rPr>
          <w:noProof/>
        </w:rPr>
        <w:drawing>
          <wp:anchor distT="0" distB="0" distL="114300" distR="114300" simplePos="0" relativeHeight="251659264" behindDoc="1" locked="0" layoutInCell="1" allowOverlap="1" wp14:anchorId="243158D6" wp14:editId="00D537A6">
            <wp:simplePos x="0" y="0"/>
            <wp:positionH relativeFrom="column">
              <wp:posOffset>3200400</wp:posOffset>
            </wp:positionH>
            <wp:positionV relativeFrom="paragraph">
              <wp:posOffset>133985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003" w:rsidRPr="003C56E2">
        <w:rPr>
          <w:sz w:val="26"/>
          <w:szCs w:val="26"/>
        </w:rPr>
        <w:tab/>
      </w:r>
      <w:r w:rsidR="00930003" w:rsidRPr="003C56E2">
        <w:rPr>
          <w:sz w:val="26"/>
          <w:szCs w:val="26"/>
        </w:rPr>
        <w:tab/>
        <w:t>Sincerely,</w:t>
      </w:r>
    </w:p>
    <w:p w14:paraId="3AE858EE" w14:textId="3F75F44E" w:rsidR="00930003" w:rsidRDefault="00930003" w:rsidP="00B414F2">
      <w:pPr>
        <w:tabs>
          <w:tab w:val="left" w:pos="720"/>
          <w:tab w:val="left" w:pos="5040"/>
        </w:tabs>
        <w:rPr>
          <w:sz w:val="26"/>
          <w:szCs w:val="26"/>
        </w:rPr>
      </w:pPr>
    </w:p>
    <w:p w14:paraId="7EA86FA2" w14:textId="5618AE51" w:rsidR="00573262" w:rsidRDefault="00573262" w:rsidP="00B414F2">
      <w:pPr>
        <w:tabs>
          <w:tab w:val="left" w:pos="720"/>
          <w:tab w:val="left" w:pos="5040"/>
        </w:tabs>
        <w:rPr>
          <w:sz w:val="26"/>
          <w:szCs w:val="26"/>
        </w:rPr>
      </w:pPr>
    </w:p>
    <w:p w14:paraId="1ECF9D81" w14:textId="77777777" w:rsidR="00573262" w:rsidRPr="003C56E2" w:rsidRDefault="00573262" w:rsidP="00B414F2">
      <w:pPr>
        <w:tabs>
          <w:tab w:val="left" w:pos="720"/>
          <w:tab w:val="left" w:pos="5040"/>
        </w:tabs>
        <w:rPr>
          <w:sz w:val="26"/>
          <w:szCs w:val="26"/>
        </w:rPr>
      </w:pPr>
    </w:p>
    <w:p w14:paraId="1DDA16E3" w14:textId="77777777"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14:paraId="52ACBEB5" w14:textId="77777777" w:rsidR="00573262" w:rsidRDefault="003F07C8" w:rsidP="00B414F2">
      <w:pPr>
        <w:tabs>
          <w:tab w:val="left" w:pos="720"/>
          <w:tab w:val="left" w:pos="5040"/>
        </w:tabs>
        <w:rPr>
          <w:sz w:val="26"/>
          <w:szCs w:val="26"/>
        </w:rPr>
      </w:pPr>
      <w:r>
        <w:rPr>
          <w:sz w:val="26"/>
          <w:szCs w:val="26"/>
        </w:rPr>
        <w:tab/>
      </w:r>
      <w:r>
        <w:rPr>
          <w:sz w:val="26"/>
          <w:szCs w:val="26"/>
        </w:rPr>
        <w:tab/>
        <w:t>Secretary</w:t>
      </w:r>
    </w:p>
    <w:p w14:paraId="481D0117" w14:textId="77777777" w:rsidR="00573262" w:rsidRDefault="00573262" w:rsidP="00B414F2">
      <w:pPr>
        <w:tabs>
          <w:tab w:val="left" w:pos="720"/>
          <w:tab w:val="left" w:pos="5040"/>
        </w:tabs>
        <w:rPr>
          <w:sz w:val="26"/>
          <w:szCs w:val="26"/>
        </w:rPr>
      </w:pPr>
    </w:p>
    <w:p w14:paraId="1BBFB94E" w14:textId="77777777" w:rsidR="00573262" w:rsidRPr="003C56E2" w:rsidRDefault="00573262" w:rsidP="00B414F2">
      <w:pPr>
        <w:tabs>
          <w:tab w:val="left" w:pos="720"/>
          <w:tab w:val="left" w:pos="5040"/>
        </w:tabs>
        <w:rPr>
          <w:sz w:val="26"/>
          <w:szCs w:val="26"/>
        </w:rPr>
      </w:pPr>
    </w:p>
    <w:sectPr w:rsidR="00573262" w:rsidRPr="003C56E2" w:rsidSect="002B30C3">
      <w:footerReference w:type="even" r:id="rId10"/>
      <w:footerReference w:type="default" r:id="rId11"/>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7A017" w14:textId="77777777" w:rsidR="00E05DF5" w:rsidRDefault="00E05DF5">
      <w:r>
        <w:separator/>
      </w:r>
    </w:p>
  </w:endnote>
  <w:endnote w:type="continuationSeparator" w:id="0">
    <w:p w14:paraId="61268DE7" w14:textId="77777777" w:rsidR="00E05DF5" w:rsidRDefault="00E05DF5">
      <w:r>
        <w:continuationSeparator/>
      </w:r>
    </w:p>
  </w:endnote>
  <w:endnote w:type="continuationNotice" w:id="1">
    <w:p w14:paraId="7B862512" w14:textId="77777777" w:rsidR="00E05DF5" w:rsidRDefault="00E0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11DBF02E" w:rsidR="0027054C" w:rsidRDefault="0027054C">
    <w:pPr>
      <w:pStyle w:val="Footer"/>
      <w:jc w:val="center"/>
    </w:pPr>
    <w:r>
      <w:fldChar w:fldCharType="begin"/>
    </w:r>
    <w:r>
      <w:instrText xml:space="preserve"> PAGE   \* MERGEFORMAT </w:instrText>
    </w:r>
    <w:r>
      <w:fldChar w:fldCharType="separate"/>
    </w:r>
    <w:r w:rsidR="00BB5886">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EA3BA" w14:textId="77777777" w:rsidR="00E05DF5" w:rsidRDefault="00E05DF5">
      <w:r>
        <w:separator/>
      </w:r>
    </w:p>
  </w:footnote>
  <w:footnote w:type="continuationSeparator" w:id="0">
    <w:p w14:paraId="1B84D071" w14:textId="77777777" w:rsidR="00E05DF5" w:rsidRDefault="00E05DF5">
      <w:r>
        <w:continuationSeparator/>
      </w:r>
    </w:p>
  </w:footnote>
  <w:footnote w:type="continuationNotice" w:id="1">
    <w:p w14:paraId="366E9832" w14:textId="77777777" w:rsidR="00E05DF5" w:rsidRDefault="00E05DF5"/>
  </w:footnote>
  <w:footnote w:id="2">
    <w:p w14:paraId="672E4AD6" w14:textId="2D5F526F" w:rsidR="00EE2983" w:rsidRPr="00BB5886" w:rsidRDefault="00EE2983" w:rsidP="00BB5886">
      <w:pPr>
        <w:pStyle w:val="FootnoteText"/>
      </w:pPr>
      <w:r w:rsidRPr="00BB5886">
        <w:rPr>
          <w:rStyle w:val="FootnoteReference"/>
        </w:rPr>
        <w:footnoteRef/>
      </w:r>
      <w:r w:rsidRPr="00BB5886">
        <w:t xml:space="preserve"> The Motion indicates that BCS has already held two billing workshops associated with Stage 2 of these proceedings.  Motion at 4 ¶ 5.</w:t>
      </w:r>
    </w:p>
  </w:footnote>
  <w:footnote w:id="3">
    <w:p w14:paraId="7ED2761F" w14:textId="5D2DA3DE" w:rsidR="00EE2983" w:rsidRPr="00BB5886" w:rsidRDefault="00EE2983" w:rsidP="00BB5886">
      <w:pPr>
        <w:pStyle w:val="FootnoteText"/>
      </w:pPr>
      <w:r w:rsidRPr="00BB5886">
        <w:rPr>
          <w:rStyle w:val="FootnoteReference"/>
        </w:rPr>
        <w:footnoteRef/>
      </w:r>
      <w:r w:rsidRPr="00BB5886">
        <w:t xml:space="preserve"> We note that the Motion / Petition contains certain stipulations that will be followed if “the Commission agrees to delay the proceedings” in these matters</w:t>
      </w:r>
      <w:r w:rsidR="003D6E90" w:rsidRPr="00BB5886">
        <w:t xml:space="preserve"> ensuring that “health and safety issues are prioritized” (e.g., lead service line replacement, PWSA’s Aspinwall Clearwell facility, and customer issues).  Motion at 6-9 ¶¶ 15-16.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13E3550"/>
    <w:lvl w:ilvl="0">
      <w:start w:val="1"/>
      <w:numFmt w:val="decimal"/>
      <w:pStyle w:val="ListNumber"/>
      <w:lvlText w:val="%1."/>
      <w:lvlJc w:val="left"/>
      <w:pPr>
        <w:tabs>
          <w:tab w:val="num" w:pos="990"/>
        </w:tabs>
        <w:ind w:left="990" w:hanging="720"/>
      </w:pPr>
      <w:rPr>
        <w:rFont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4"/>
  </w:num>
  <w:num w:numId="4">
    <w:abstractNumId w:val="7"/>
  </w:num>
  <w:num w:numId="5">
    <w:abstractNumId w:val="15"/>
  </w:num>
  <w:num w:numId="6">
    <w:abstractNumId w:val="5"/>
  </w:num>
  <w:num w:numId="7">
    <w:abstractNumId w:val="16"/>
  </w:num>
  <w:num w:numId="8">
    <w:abstractNumId w:val="14"/>
  </w:num>
  <w:num w:numId="9">
    <w:abstractNumId w:val="1"/>
  </w:num>
  <w:num w:numId="10">
    <w:abstractNumId w:val="12"/>
  </w:num>
  <w:num w:numId="11">
    <w:abstractNumId w:val="3"/>
  </w:num>
  <w:num w:numId="12">
    <w:abstractNumId w:val="8"/>
  </w:num>
  <w:num w:numId="13">
    <w:abstractNumId w:val="13"/>
  </w:num>
  <w:num w:numId="14">
    <w:abstractNumId w:val="9"/>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68CC"/>
    <w:rsid w:val="000B53A1"/>
    <w:rsid w:val="000D48C3"/>
    <w:rsid w:val="000E1DD1"/>
    <w:rsid w:val="000E4C77"/>
    <w:rsid w:val="000E50BA"/>
    <w:rsid w:val="000E5648"/>
    <w:rsid w:val="000F711A"/>
    <w:rsid w:val="00107D1B"/>
    <w:rsid w:val="0011483B"/>
    <w:rsid w:val="00115CAF"/>
    <w:rsid w:val="0011610D"/>
    <w:rsid w:val="0012016E"/>
    <w:rsid w:val="001209F1"/>
    <w:rsid w:val="001230A5"/>
    <w:rsid w:val="0012404A"/>
    <w:rsid w:val="00124DD5"/>
    <w:rsid w:val="0013353A"/>
    <w:rsid w:val="00136F64"/>
    <w:rsid w:val="0014179A"/>
    <w:rsid w:val="00143639"/>
    <w:rsid w:val="00146508"/>
    <w:rsid w:val="00152F72"/>
    <w:rsid w:val="001547A1"/>
    <w:rsid w:val="00161652"/>
    <w:rsid w:val="00165172"/>
    <w:rsid w:val="00170283"/>
    <w:rsid w:val="00170789"/>
    <w:rsid w:val="001743D0"/>
    <w:rsid w:val="00180405"/>
    <w:rsid w:val="00186F4B"/>
    <w:rsid w:val="001B588A"/>
    <w:rsid w:val="001B6399"/>
    <w:rsid w:val="001C07DF"/>
    <w:rsid w:val="001D5DBB"/>
    <w:rsid w:val="001E1BF3"/>
    <w:rsid w:val="001E48B2"/>
    <w:rsid w:val="001F2EDC"/>
    <w:rsid w:val="00202276"/>
    <w:rsid w:val="00203780"/>
    <w:rsid w:val="00206F2B"/>
    <w:rsid w:val="00213618"/>
    <w:rsid w:val="00221F61"/>
    <w:rsid w:val="002229C3"/>
    <w:rsid w:val="00232C83"/>
    <w:rsid w:val="00234308"/>
    <w:rsid w:val="002367C5"/>
    <w:rsid w:val="0023795A"/>
    <w:rsid w:val="0025446A"/>
    <w:rsid w:val="00261A11"/>
    <w:rsid w:val="00261BBB"/>
    <w:rsid w:val="00265861"/>
    <w:rsid w:val="0027054C"/>
    <w:rsid w:val="00272DAA"/>
    <w:rsid w:val="00280E91"/>
    <w:rsid w:val="00280EFE"/>
    <w:rsid w:val="00284E35"/>
    <w:rsid w:val="00285461"/>
    <w:rsid w:val="00290618"/>
    <w:rsid w:val="002907DD"/>
    <w:rsid w:val="00292374"/>
    <w:rsid w:val="0029471C"/>
    <w:rsid w:val="00295BCA"/>
    <w:rsid w:val="002A464E"/>
    <w:rsid w:val="002A4E0F"/>
    <w:rsid w:val="002A52A0"/>
    <w:rsid w:val="002B0C60"/>
    <w:rsid w:val="002B30C3"/>
    <w:rsid w:val="002C08FE"/>
    <w:rsid w:val="002D7E06"/>
    <w:rsid w:val="002F0138"/>
    <w:rsid w:val="00301A20"/>
    <w:rsid w:val="00303D80"/>
    <w:rsid w:val="00307FF2"/>
    <w:rsid w:val="00313F77"/>
    <w:rsid w:val="0031429F"/>
    <w:rsid w:val="00323A6F"/>
    <w:rsid w:val="0032677D"/>
    <w:rsid w:val="00335A29"/>
    <w:rsid w:val="00341AC9"/>
    <w:rsid w:val="00341B56"/>
    <w:rsid w:val="00345522"/>
    <w:rsid w:val="00346307"/>
    <w:rsid w:val="00347A10"/>
    <w:rsid w:val="003516A6"/>
    <w:rsid w:val="00353111"/>
    <w:rsid w:val="0035626C"/>
    <w:rsid w:val="003569E8"/>
    <w:rsid w:val="00366A65"/>
    <w:rsid w:val="00367B7F"/>
    <w:rsid w:val="00370A14"/>
    <w:rsid w:val="0037360B"/>
    <w:rsid w:val="0037585F"/>
    <w:rsid w:val="00382785"/>
    <w:rsid w:val="003869E9"/>
    <w:rsid w:val="00386D99"/>
    <w:rsid w:val="00392538"/>
    <w:rsid w:val="003B26C3"/>
    <w:rsid w:val="003B49EB"/>
    <w:rsid w:val="003B552B"/>
    <w:rsid w:val="003B785A"/>
    <w:rsid w:val="003C102A"/>
    <w:rsid w:val="003C56E2"/>
    <w:rsid w:val="003C5769"/>
    <w:rsid w:val="003D6E90"/>
    <w:rsid w:val="003E04B4"/>
    <w:rsid w:val="003E4B39"/>
    <w:rsid w:val="003F07C8"/>
    <w:rsid w:val="00401E1A"/>
    <w:rsid w:val="004047EC"/>
    <w:rsid w:val="00406107"/>
    <w:rsid w:val="0042140E"/>
    <w:rsid w:val="004246D9"/>
    <w:rsid w:val="0042471B"/>
    <w:rsid w:val="00455F78"/>
    <w:rsid w:val="00461790"/>
    <w:rsid w:val="00463C82"/>
    <w:rsid w:val="00491D7F"/>
    <w:rsid w:val="0049553A"/>
    <w:rsid w:val="004965CE"/>
    <w:rsid w:val="004A1767"/>
    <w:rsid w:val="004B3AEC"/>
    <w:rsid w:val="004C1524"/>
    <w:rsid w:val="004C1EC4"/>
    <w:rsid w:val="004D10D0"/>
    <w:rsid w:val="004D2698"/>
    <w:rsid w:val="004F32B3"/>
    <w:rsid w:val="004F5AAA"/>
    <w:rsid w:val="005019B4"/>
    <w:rsid w:val="00503409"/>
    <w:rsid w:val="00504515"/>
    <w:rsid w:val="005102F7"/>
    <w:rsid w:val="00513DCA"/>
    <w:rsid w:val="00514EA3"/>
    <w:rsid w:val="0051639C"/>
    <w:rsid w:val="00523C67"/>
    <w:rsid w:val="00526ADA"/>
    <w:rsid w:val="00526F31"/>
    <w:rsid w:val="00530F15"/>
    <w:rsid w:val="00540F1C"/>
    <w:rsid w:val="00545968"/>
    <w:rsid w:val="00554F51"/>
    <w:rsid w:val="00563E8F"/>
    <w:rsid w:val="00563F20"/>
    <w:rsid w:val="00566E5A"/>
    <w:rsid w:val="00573262"/>
    <w:rsid w:val="00574C9E"/>
    <w:rsid w:val="00581352"/>
    <w:rsid w:val="00584C01"/>
    <w:rsid w:val="005928E1"/>
    <w:rsid w:val="005A0955"/>
    <w:rsid w:val="005A3E3A"/>
    <w:rsid w:val="005B3262"/>
    <w:rsid w:val="005B58B7"/>
    <w:rsid w:val="005C03C4"/>
    <w:rsid w:val="005C16F8"/>
    <w:rsid w:val="005C5A49"/>
    <w:rsid w:val="005D4618"/>
    <w:rsid w:val="005E25C5"/>
    <w:rsid w:val="005E3690"/>
    <w:rsid w:val="005E5E63"/>
    <w:rsid w:val="005F3D24"/>
    <w:rsid w:val="00607A63"/>
    <w:rsid w:val="0062315E"/>
    <w:rsid w:val="006375A3"/>
    <w:rsid w:val="006375FE"/>
    <w:rsid w:val="00641C58"/>
    <w:rsid w:val="006432D9"/>
    <w:rsid w:val="00662427"/>
    <w:rsid w:val="00665587"/>
    <w:rsid w:val="00672262"/>
    <w:rsid w:val="00672F33"/>
    <w:rsid w:val="006755C0"/>
    <w:rsid w:val="0067617E"/>
    <w:rsid w:val="00676BAE"/>
    <w:rsid w:val="00693168"/>
    <w:rsid w:val="006A1D3F"/>
    <w:rsid w:val="006B1A00"/>
    <w:rsid w:val="006C2028"/>
    <w:rsid w:val="006C5C47"/>
    <w:rsid w:val="006C64F8"/>
    <w:rsid w:val="006D6779"/>
    <w:rsid w:val="006E1A84"/>
    <w:rsid w:val="006F3543"/>
    <w:rsid w:val="00700501"/>
    <w:rsid w:val="00701D53"/>
    <w:rsid w:val="00701ED5"/>
    <w:rsid w:val="00721FA8"/>
    <w:rsid w:val="007232D8"/>
    <w:rsid w:val="0075019A"/>
    <w:rsid w:val="00756AB3"/>
    <w:rsid w:val="007617B1"/>
    <w:rsid w:val="0077210F"/>
    <w:rsid w:val="00772716"/>
    <w:rsid w:val="00773F47"/>
    <w:rsid w:val="00774744"/>
    <w:rsid w:val="00775C4D"/>
    <w:rsid w:val="00792AE4"/>
    <w:rsid w:val="00794208"/>
    <w:rsid w:val="00794E58"/>
    <w:rsid w:val="007A16AE"/>
    <w:rsid w:val="007A21EA"/>
    <w:rsid w:val="007A55A3"/>
    <w:rsid w:val="007D1219"/>
    <w:rsid w:val="007E64B5"/>
    <w:rsid w:val="007F0775"/>
    <w:rsid w:val="007F2DD0"/>
    <w:rsid w:val="007F55F1"/>
    <w:rsid w:val="007F606E"/>
    <w:rsid w:val="008018EB"/>
    <w:rsid w:val="00803E76"/>
    <w:rsid w:val="0080792C"/>
    <w:rsid w:val="00807CAF"/>
    <w:rsid w:val="008249B0"/>
    <w:rsid w:val="0084218B"/>
    <w:rsid w:val="008476A6"/>
    <w:rsid w:val="00850AFF"/>
    <w:rsid w:val="00853B77"/>
    <w:rsid w:val="008562C5"/>
    <w:rsid w:val="00861BBC"/>
    <w:rsid w:val="00870078"/>
    <w:rsid w:val="00873EEF"/>
    <w:rsid w:val="00882E5E"/>
    <w:rsid w:val="0089421A"/>
    <w:rsid w:val="008A2241"/>
    <w:rsid w:val="008B04D0"/>
    <w:rsid w:val="008B616B"/>
    <w:rsid w:val="008C5743"/>
    <w:rsid w:val="008E5EA0"/>
    <w:rsid w:val="008E6FCA"/>
    <w:rsid w:val="008E7730"/>
    <w:rsid w:val="008F4334"/>
    <w:rsid w:val="008F600A"/>
    <w:rsid w:val="008F78AA"/>
    <w:rsid w:val="00912992"/>
    <w:rsid w:val="00927022"/>
    <w:rsid w:val="00930003"/>
    <w:rsid w:val="00930308"/>
    <w:rsid w:val="0093258F"/>
    <w:rsid w:val="00956655"/>
    <w:rsid w:val="009615DA"/>
    <w:rsid w:val="00970A95"/>
    <w:rsid w:val="00976F5C"/>
    <w:rsid w:val="00984274"/>
    <w:rsid w:val="009847BF"/>
    <w:rsid w:val="0099767B"/>
    <w:rsid w:val="009A1144"/>
    <w:rsid w:val="009A3E77"/>
    <w:rsid w:val="009A4DF9"/>
    <w:rsid w:val="009A5A76"/>
    <w:rsid w:val="009B1956"/>
    <w:rsid w:val="009B23D8"/>
    <w:rsid w:val="009B2E39"/>
    <w:rsid w:val="009B36CB"/>
    <w:rsid w:val="009C3B4F"/>
    <w:rsid w:val="009C3B80"/>
    <w:rsid w:val="009D74E1"/>
    <w:rsid w:val="009E40EC"/>
    <w:rsid w:val="009E65F6"/>
    <w:rsid w:val="009E6CFB"/>
    <w:rsid w:val="009E7E5D"/>
    <w:rsid w:val="009F5F66"/>
    <w:rsid w:val="00A0038E"/>
    <w:rsid w:val="00A050A8"/>
    <w:rsid w:val="00A05BAF"/>
    <w:rsid w:val="00A0792A"/>
    <w:rsid w:val="00A10D04"/>
    <w:rsid w:val="00A13334"/>
    <w:rsid w:val="00A16EE4"/>
    <w:rsid w:val="00A27FCF"/>
    <w:rsid w:val="00A4660A"/>
    <w:rsid w:val="00A50CC3"/>
    <w:rsid w:val="00A52073"/>
    <w:rsid w:val="00A55AE1"/>
    <w:rsid w:val="00A55C11"/>
    <w:rsid w:val="00A573D8"/>
    <w:rsid w:val="00A61871"/>
    <w:rsid w:val="00A66D1F"/>
    <w:rsid w:val="00A7615C"/>
    <w:rsid w:val="00A80E71"/>
    <w:rsid w:val="00A8114F"/>
    <w:rsid w:val="00A82B8C"/>
    <w:rsid w:val="00A82C28"/>
    <w:rsid w:val="00A84699"/>
    <w:rsid w:val="00A955FA"/>
    <w:rsid w:val="00AA0347"/>
    <w:rsid w:val="00AA6F16"/>
    <w:rsid w:val="00AB36A9"/>
    <w:rsid w:val="00AC0F6A"/>
    <w:rsid w:val="00AC311D"/>
    <w:rsid w:val="00AC736D"/>
    <w:rsid w:val="00AD0361"/>
    <w:rsid w:val="00AD6503"/>
    <w:rsid w:val="00AD6CF4"/>
    <w:rsid w:val="00AD77EE"/>
    <w:rsid w:val="00AE4FAB"/>
    <w:rsid w:val="00AE6FA9"/>
    <w:rsid w:val="00AE792C"/>
    <w:rsid w:val="00AF16AC"/>
    <w:rsid w:val="00AF62A4"/>
    <w:rsid w:val="00B00393"/>
    <w:rsid w:val="00B07ED9"/>
    <w:rsid w:val="00B12277"/>
    <w:rsid w:val="00B14F9F"/>
    <w:rsid w:val="00B20F0E"/>
    <w:rsid w:val="00B23A1C"/>
    <w:rsid w:val="00B3013C"/>
    <w:rsid w:val="00B30A72"/>
    <w:rsid w:val="00B31B02"/>
    <w:rsid w:val="00B3551A"/>
    <w:rsid w:val="00B414F2"/>
    <w:rsid w:val="00B445E1"/>
    <w:rsid w:val="00B44A1E"/>
    <w:rsid w:val="00B4565E"/>
    <w:rsid w:val="00B607CE"/>
    <w:rsid w:val="00B61D52"/>
    <w:rsid w:val="00B62D45"/>
    <w:rsid w:val="00B6636E"/>
    <w:rsid w:val="00B719AA"/>
    <w:rsid w:val="00B758CC"/>
    <w:rsid w:val="00B80196"/>
    <w:rsid w:val="00B90D9B"/>
    <w:rsid w:val="00B97014"/>
    <w:rsid w:val="00B97D7A"/>
    <w:rsid w:val="00BA2A05"/>
    <w:rsid w:val="00BB5886"/>
    <w:rsid w:val="00BC3A3C"/>
    <w:rsid w:val="00BC68FE"/>
    <w:rsid w:val="00BC6A54"/>
    <w:rsid w:val="00BC7ABE"/>
    <w:rsid w:val="00BD3A5C"/>
    <w:rsid w:val="00BD752E"/>
    <w:rsid w:val="00BE2A21"/>
    <w:rsid w:val="00BE33CB"/>
    <w:rsid w:val="00BE4A72"/>
    <w:rsid w:val="00BE5119"/>
    <w:rsid w:val="00BE7924"/>
    <w:rsid w:val="00BF66A8"/>
    <w:rsid w:val="00BF6D7C"/>
    <w:rsid w:val="00BF6F03"/>
    <w:rsid w:val="00C032FB"/>
    <w:rsid w:val="00C06525"/>
    <w:rsid w:val="00C140D5"/>
    <w:rsid w:val="00C17CD5"/>
    <w:rsid w:val="00C35E20"/>
    <w:rsid w:val="00C400E2"/>
    <w:rsid w:val="00C46A62"/>
    <w:rsid w:val="00C53D34"/>
    <w:rsid w:val="00C53FA2"/>
    <w:rsid w:val="00C6395B"/>
    <w:rsid w:val="00C74A51"/>
    <w:rsid w:val="00C77C13"/>
    <w:rsid w:val="00C77F29"/>
    <w:rsid w:val="00C83B15"/>
    <w:rsid w:val="00C86536"/>
    <w:rsid w:val="00C90506"/>
    <w:rsid w:val="00C95F36"/>
    <w:rsid w:val="00C96CF9"/>
    <w:rsid w:val="00CA44B2"/>
    <w:rsid w:val="00CB5080"/>
    <w:rsid w:val="00CB5738"/>
    <w:rsid w:val="00CC0A93"/>
    <w:rsid w:val="00CC1602"/>
    <w:rsid w:val="00CC402C"/>
    <w:rsid w:val="00CC4510"/>
    <w:rsid w:val="00CC7101"/>
    <w:rsid w:val="00CD1045"/>
    <w:rsid w:val="00CD4FFE"/>
    <w:rsid w:val="00CE2A65"/>
    <w:rsid w:val="00CE66C0"/>
    <w:rsid w:val="00CF047C"/>
    <w:rsid w:val="00CF1A22"/>
    <w:rsid w:val="00CF1EDE"/>
    <w:rsid w:val="00D066C7"/>
    <w:rsid w:val="00D14110"/>
    <w:rsid w:val="00D155FB"/>
    <w:rsid w:val="00D34101"/>
    <w:rsid w:val="00D355DB"/>
    <w:rsid w:val="00D55E96"/>
    <w:rsid w:val="00D64657"/>
    <w:rsid w:val="00D64F9B"/>
    <w:rsid w:val="00D75F05"/>
    <w:rsid w:val="00D81F14"/>
    <w:rsid w:val="00DA4D87"/>
    <w:rsid w:val="00DB4F98"/>
    <w:rsid w:val="00DB7C6E"/>
    <w:rsid w:val="00DC0966"/>
    <w:rsid w:val="00DC1875"/>
    <w:rsid w:val="00DC35C5"/>
    <w:rsid w:val="00DC58E8"/>
    <w:rsid w:val="00DD04E9"/>
    <w:rsid w:val="00DD1A19"/>
    <w:rsid w:val="00DD771F"/>
    <w:rsid w:val="00DD7880"/>
    <w:rsid w:val="00DE3C6A"/>
    <w:rsid w:val="00DE4076"/>
    <w:rsid w:val="00DF0874"/>
    <w:rsid w:val="00DF2494"/>
    <w:rsid w:val="00DF6F4E"/>
    <w:rsid w:val="00DF7EFB"/>
    <w:rsid w:val="00E05DF5"/>
    <w:rsid w:val="00E100FF"/>
    <w:rsid w:val="00E236E3"/>
    <w:rsid w:val="00E33051"/>
    <w:rsid w:val="00E349DA"/>
    <w:rsid w:val="00E420F9"/>
    <w:rsid w:val="00E5656F"/>
    <w:rsid w:val="00E821ED"/>
    <w:rsid w:val="00E8242E"/>
    <w:rsid w:val="00E93258"/>
    <w:rsid w:val="00EC0F0A"/>
    <w:rsid w:val="00EC19F4"/>
    <w:rsid w:val="00EC6401"/>
    <w:rsid w:val="00EC71DD"/>
    <w:rsid w:val="00EC7A49"/>
    <w:rsid w:val="00EC7ADB"/>
    <w:rsid w:val="00ED158A"/>
    <w:rsid w:val="00ED1C12"/>
    <w:rsid w:val="00ED4C57"/>
    <w:rsid w:val="00ED57C8"/>
    <w:rsid w:val="00EE03DB"/>
    <w:rsid w:val="00EE2983"/>
    <w:rsid w:val="00F11A81"/>
    <w:rsid w:val="00F25403"/>
    <w:rsid w:val="00F50C1C"/>
    <w:rsid w:val="00F706A3"/>
    <w:rsid w:val="00F7094C"/>
    <w:rsid w:val="00F76BF1"/>
    <w:rsid w:val="00F90527"/>
    <w:rsid w:val="00FA0E37"/>
    <w:rsid w:val="00FA244D"/>
    <w:rsid w:val="00FA2FCC"/>
    <w:rsid w:val="00FB2137"/>
    <w:rsid w:val="00FB3D01"/>
    <w:rsid w:val="00FB415E"/>
    <w:rsid w:val="00FB51AE"/>
    <w:rsid w:val="00FB5900"/>
    <w:rsid w:val="00FC1D6A"/>
    <w:rsid w:val="00FC5F41"/>
    <w:rsid w:val="00FD0003"/>
    <w:rsid w:val="00FD1F4F"/>
    <w:rsid w:val="00FE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BB5886"/>
    <w:rPr>
      <w:rFonts w:cs="CG Times"/>
      <w:sz w:val="22"/>
      <w:szCs w:val="22"/>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BB5886"/>
    <w:rPr>
      <w:rFonts w:cs="CG Times"/>
      <w:sz w:val="22"/>
      <w:szCs w:val="22"/>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customStyle="1" w:styleId="UnresolvedMention1">
    <w:name w:val="Unresolved Mention1"/>
    <w:basedOn w:val="DefaultParagraphFont"/>
    <w:uiPriority w:val="99"/>
    <w:semiHidden/>
    <w:unhideWhenUsed/>
    <w:rsid w:val="00A8114F"/>
    <w:rPr>
      <w:color w:val="808080"/>
      <w:shd w:val="clear" w:color="auto" w:fill="E6E6E6"/>
    </w:rPr>
  </w:style>
  <w:style w:type="paragraph" w:styleId="ListNumber">
    <w:name w:val="List Number"/>
    <w:basedOn w:val="Normal"/>
    <w:link w:val="ListNumberChar"/>
    <w:rsid w:val="00165172"/>
    <w:pPr>
      <w:numPr>
        <w:numId w:val="17"/>
      </w:numPr>
      <w:spacing w:line="480" w:lineRule="auto"/>
    </w:pPr>
    <w:rPr>
      <w:sz w:val="24"/>
      <w:szCs w:val="24"/>
    </w:rPr>
  </w:style>
  <w:style w:type="paragraph" w:customStyle="1" w:styleId="ESBlockText">
    <w:name w:val="ES Block Text"/>
    <w:basedOn w:val="Normal"/>
    <w:qFormat/>
    <w:rsid w:val="00165172"/>
    <w:pPr>
      <w:ind w:left="1152" w:right="1152"/>
    </w:pPr>
    <w:rPr>
      <w:rFonts w:eastAsia="Calibri"/>
      <w:sz w:val="24"/>
      <w:szCs w:val="22"/>
    </w:rPr>
  </w:style>
  <w:style w:type="character" w:customStyle="1" w:styleId="ListNumberChar">
    <w:name w:val="List Number Char"/>
    <w:link w:val="ListNumber"/>
    <w:rsid w:val="001651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7AE2-1543-4931-B280-55002544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6992</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Sparks</dc:creator>
  <cp:lastModifiedBy>Wagner, Nathan R</cp:lastModifiedBy>
  <cp:revision>12</cp:revision>
  <cp:lastPrinted>2019-05-15T19:08:00Z</cp:lastPrinted>
  <dcterms:created xsi:type="dcterms:W3CDTF">2019-05-15T15:52:00Z</dcterms:created>
  <dcterms:modified xsi:type="dcterms:W3CDTF">2019-05-15T19:20:00Z</dcterms:modified>
</cp:coreProperties>
</file>