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E4E68E0"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 xml:space="preserve">Liza </w:t>
      </w:r>
      <w:proofErr w:type="spellStart"/>
      <w:r w:rsidRPr="00FD1B35">
        <w:rPr>
          <w:rFonts w:ascii="Times New Roman" w:eastAsia="Calibri" w:hAnsi="Times New Roman" w:cs="Times New Roman"/>
          <w:sz w:val="24"/>
          <w:szCs w:val="24"/>
        </w:rPr>
        <w:t>Mousios</w:t>
      </w:r>
      <w:proofErr w:type="spellEnd"/>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C-2019-3007989</w:t>
      </w:r>
    </w:p>
    <w:p w14:paraId="711A0FC5"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p>
    <w:p w14:paraId="0FDBF3D4"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t>v.</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p>
    <w:p w14:paraId="0425B7DA"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p>
    <w:p w14:paraId="360AE3A3"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Metropolitan Edison Company</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p>
    <w:p w14:paraId="5ACBBBF4" w14:textId="77777777" w:rsidR="00FD1B35" w:rsidRPr="00FD1B35" w:rsidRDefault="00FD1B35" w:rsidP="00FD1B3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Times New Roman" w:hAnsi="Times New Roman" w:cs="Times New Roman"/>
          <w:spacing w:val="-3"/>
          <w:sz w:val="24"/>
          <w:szCs w:val="24"/>
        </w:rPr>
        <w:tab/>
      </w:r>
      <w:r w:rsidRPr="00FD1B35">
        <w:rPr>
          <w:rFonts w:ascii="Times New Roman" w:eastAsia="Times New Roman" w:hAnsi="Times New Roman" w:cs="Times New Roman"/>
          <w:spacing w:val="-3"/>
          <w:sz w:val="24"/>
          <w:szCs w:val="24"/>
        </w:rPr>
        <w:tab/>
      </w:r>
      <w:r w:rsidRPr="00FD1B35">
        <w:rPr>
          <w:rFonts w:ascii="Times New Roman" w:eastAsia="Times New Roman" w:hAnsi="Times New Roman" w:cs="Times New Roman"/>
          <w:spacing w:val="-3"/>
          <w:sz w:val="24"/>
          <w:szCs w:val="24"/>
        </w:rPr>
        <w:tab/>
      </w:r>
      <w:r w:rsidRPr="00FD1B35">
        <w:rPr>
          <w:rFonts w:ascii="Times New Roman" w:eastAsia="Times New Roman" w:hAnsi="Times New Roman" w:cs="Times New Roman"/>
          <w:spacing w:val="-3"/>
          <w:sz w:val="24"/>
          <w:szCs w:val="24"/>
        </w:rPr>
        <w:tab/>
      </w:r>
      <w:r w:rsidRPr="00FD1B35">
        <w:rPr>
          <w:rFonts w:ascii="Times New Roman" w:eastAsia="Times New Roman" w:hAnsi="Times New Roman" w:cs="Times New Roman"/>
          <w:spacing w:val="-3"/>
          <w:sz w:val="24"/>
          <w:szCs w:val="24"/>
        </w:rPr>
        <w:tab/>
      </w:r>
      <w:r w:rsidRPr="00FD1B35">
        <w:rPr>
          <w:rFonts w:ascii="Times New Roman" w:eastAsia="Times New Roman" w:hAnsi="Times New Roman" w:cs="Times New Roman"/>
          <w:spacing w:val="-3"/>
          <w:sz w:val="24"/>
          <w:szCs w:val="24"/>
        </w:rPr>
        <w:tab/>
      </w:r>
      <w:r w:rsidRPr="00FD1B35">
        <w:rPr>
          <w:rFonts w:ascii="Times New Roman" w:eastAsia="Times New Roman" w:hAnsi="Times New Roman" w:cs="Times New Roman"/>
          <w:spacing w:val="-3"/>
          <w:sz w:val="24"/>
          <w:szCs w:val="24"/>
        </w:rPr>
        <w:tab/>
      </w:r>
    </w:p>
    <w:p w14:paraId="54F67461"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0DDB86EE"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Roy Cumming</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C-2019-3007995</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p>
    <w:p w14:paraId="39D41C32"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t>v.</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194A8BCC"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5BE1DE95"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 xml:space="preserve">Metropolitan Edison Company     </w:t>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t>:</w:t>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0B3DF8E5"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25A8D12B"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FD1B35">
        <w:rPr>
          <w:rFonts w:ascii="Times New Roman" w:eastAsia="Times New Roman" w:hAnsi="Times New Roman" w:cs="Times New Roman"/>
          <w:b/>
          <w:bCs/>
          <w:i/>
          <w:iCs/>
          <w:color w:val="000000"/>
          <w:sz w:val="24"/>
          <w:szCs w:val="24"/>
          <w:u w:val="single"/>
        </w:rPr>
        <w:t>July 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00D9F3F4"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D1B35">
        <w:rPr>
          <w:b/>
          <w:bCs/>
          <w:i/>
          <w:iCs/>
          <w:color w:val="000000"/>
          <w:szCs w:val="24"/>
          <w:u w:val="single"/>
        </w:rPr>
        <w:t>July 5</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1FB7D7E4"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D1B35">
        <w:rPr>
          <w:b/>
          <w:bCs/>
          <w:i/>
          <w:iCs/>
          <w:color w:val="000000"/>
          <w:szCs w:val="24"/>
          <w:u w:val="single"/>
        </w:rPr>
        <w:t>August 30</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15A6D394"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lastRenderedPageBreak/>
        <w:t xml:space="preserve">ON OR BEFORE </w:t>
      </w:r>
      <w:r w:rsidR="00FD1B35">
        <w:rPr>
          <w:rFonts w:ascii="Times New Roman" w:eastAsia="Times New Roman" w:hAnsi="Times New Roman" w:cs="Times New Roman"/>
          <w:b/>
          <w:bCs/>
          <w:i/>
          <w:iCs/>
          <w:color w:val="000000"/>
          <w:sz w:val="24"/>
          <w:szCs w:val="24"/>
          <w:u w:val="single"/>
        </w:rPr>
        <w:t>September 20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77777777"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Pa.Code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 xml:space="preserve">The Presiding Officer will not accept facsimile transmissions </w:t>
      </w:r>
      <w:r>
        <w:rPr>
          <w:rFonts w:ascii="Times New Roman" w:hAnsi="Times New Roman" w:cs="Times New Roman"/>
          <w:sz w:val="24"/>
          <w:szCs w:val="24"/>
        </w:rPr>
        <w:lastRenderedPageBreak/>
        <w:t>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237003A3"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23003245" w14:textId="262FE368"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 xml:space="preserve">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w:t>
      </w:r>
      <w:r w:rsidRPr="00A164C1">
        <w:rPr>
          <w:rFonts w:ascii="Times New Roman" w:eastAsia="Calibri" w:hAnsi="Times New Roman" w:cs="Times New Roman"/>
          <w:sz w:val="24"/>
          <w:szCs w:val="24"/>
        </w:rPr>
        <w:lastRenderedPageBreak/>
        <w:t>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09C2C0BA"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1C27216A"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Date:  </w:t>
      </w:r>
      <w:r w:rsidR="00FD1B35">
        <w:rPr>
          <w:rFonts w:ascii="Times New Roman" w:eastAsia="Times New Roman" w:hAnsi="Times New Roman" w:cs="Times New Roman"/>
          <w:color w:val="000000"/>
          <w:sz w:val="24"/>
          <w:szCs w:val="24"/>
          <w:u w:val="single"/>
        </w:rPr>
        <w:t>May 22, 2019</w:t>
      </w:r>
      <w:r w:rsidR="00FD1B35">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0213B29A"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Administrative Law Judge</w:t>
      </w:r>
    </w:p>
    <w:p w14:paraId="77A902CA" w14:textId="77777777" w:rsidR="00FD1B35" w:rsidRDefault="00FD1B35"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FD1B35" w:rsidSect="000E359A">
          <w:footerReference w:type="default" r:id="rId7"/>
          <w:pgSz w:w="12240" w:h="15840"/>
          <w:pgMar w:top="1440" w:right="1440" w:bottom="1440" w:left="1440" w:header="720" w:footer="720" w:gutter="0"/>
          <w:cols w:space="720"/>
          <w:titlePg/>
          <w:docGrid w:linePitch="360"/>
        </w:sectPr>
      </w:pPr>
    </w:p>
    <w:p w14:paraId="29DCF10D" w14:textId="77777777" w:rsidR="00FD1B35" w:rsidRPr="00FD1B35" w:rsidRDefault="00FD1B35" w:rsidP="00FD1B35">
      <w:pPr>
        <w:spacing w:after="0" w:line="240" w:lineRule="auto"/>
        <w:rPr>
          <w:rFonts w:ascii="Microsoft Sans Serif" w:eastAsia="Microsoft Sans Serif" w:hAnsi="Microsoft Sans Serif" w:cs="Microsoft Sans Serif"/>
          <w:b/>
          <w:sz w:val="24"/>
          <w:szCs w:val="20"/>
          <w:u w:val="single"/>
        </w:rPr>
      </w:pPr>
      <w:bookmarkStart w:id="0" w:name="_Hlk9421510"/>
      <w:bookmarkStart w:id="1" w:name="_GoBack"/>
      <w:r w:rsidRPr="00FD1B35">
        <w:rPr>
          <w:rFonts w:ascii="Microsoft Sans Serif" w:eastAsia="Microsoft Sans Serif" w:hAnsi="Microsoft Sans Serif" w:cs="Microsoft Sans Serif"/>
          <w:b/>
          <w:sz w:val="24"/>
          <w:szCs w:val="20"/>
          <w:u w:val="single"/>
        </w:rPr>
        <w:lastRenderedPageBreak/>
        <w:t xml:space="preserve">C-2019-3007989 – LIZA </w:t>
      </w:r>
      <w:proofErr w:type="spellStart"/>
      <w:r w:rsidRPr="00FD1B35">
        <w:rPr>
          <w:rFonts w:ascii="Microsoft Sans Serif" w:eastAsia="Microsoft Sans Serif" w:hAnsi="Microsoft Sans Serif" w:cs="Microsoft Sans Serif"/>
          <w:b/>
          <w:sz w:val="24"/>
          <w:szCs w:val="20"/>
          <w:u w:val="single"/>
        </w:rPr>
        <w:t>MOUSIOS</w:t>
      </w:r>
      <w:proofErr w:type="spellEnd"/>
      <w:r w:rsidRPr="00FD1B35">
        <w:rPr>
          <w:rFonts w:ascii="Microsoft Sans Serif" w:eastAsia="Microsoft Sans Serif" w:hAnsi="Microsoft Sans Serif" w:cs="Microsoft Sans Serif"/>
          <w:b/>
          <w:sz w:val="24"/>
          <w:szCs w:val="20"/>
          <w:u w:val="single"/>
        </w:rPr>
        <w:t xml:space="preserve"> v. METROPOLITAN EDISON COMPANY</w:t>
      </w:r>
    </w:p>
    <w:p w14:paraId="1C184855" w14:textId="77777777" w:rsidR="00FD1B35" w:rsidRPr="00FD1B35" w:rsidRDefault="00FD1B35" w:rsidP="00FD1B35">
      <w:pPr>
        <w:spacing w:after="0" w:line="240" w:lineRule="auto"/>
        <w:rPr>
          <w:rFonts w:ascii="Microsoft Sans Serif" w:eastAsia="Microsoft Sans Serif" w:hAnsi="Microsoft Sans Serif" w:cs="Microsoft Sans Serif"/>
          <w:b/>
          <w:sz w:val="24"/>
          <w:szCs w:val="20"/>
          <w:u w:val="single"/>
        </w:rPr>
      </w:pPr>
    </w:p>
    <w:p w14:paraId="6A9B98BA" w14:textId="77777777" w:rsidR="00FD1B35" w:rsidRPr="00FD1B35" w:rsidRDefault="00FD1B35" w:rsidP="00FD1B35">
      <w:pPr>
        <w:spacing w:after="0" w:line="240" w:lineRule="auto"/>
        <w:rPr>
          <w:rFonts w:ascii="Microsoft Sans Serif" w:eastAsia="Microsoft Sans Serif" w:hAnsi="Microsoft Sans Serif" w:cs="Microsoft Sans Serif"/>
          <w:b/>
          <w:sz w:val="24"/>
          <w:szCs w:val="20"/>
          <w:u w:val="single"/>
        </w:rPr>
      </w:pPr>
      <w:r w:rsidRPr="00FD1B35">
        <w:rPr>
          <w:rFonts w:ascii="Microsoft Sans Serif" w:eastAsia="Microsoft Sans Serif" w:hAnsi="Microsoft Sans Serif" w:cs="Microsoft Sans Serif"/>
          <w:b/>
          <w:sz w:val="24"/>
          <w:szCs w:val="20"/>
          <w:u w:val="single"/>
        </w:rPr>
        <w:t>C-2019-3007995 – ROY CUMMING v. METROPOLITAN EDISON COMPANY</w:t>
      </w:r>
    </w:p>
    <w:p w14:paraId="6E3F0C15" w14:textId="77777777" w:rsidR="00FD1B35" w:rsidRPr="00FD1B35" w:rsidRDefault="00FD1B35" w:rsidP="00FD1B35">
      <w:pPr>
        <w:spacing w:after="0" w:line="240" w:lineRule="auto"/>
        <w:rPr>
          <w:rFonts w:ascii="Microsoft Sans Serif" w:eastAsia="Microsoft Sans Serif" w:hAnsi="Microsoft Sans Serif" w:cs="Microsoft Sans Serif"/>
          <w:b/>
          <w:sz w:val="24"/>
          <w:szCs w:val="20"/>
          <w:u w:val="single"/>
        </w:rPr>
      </w:pPr>
    </w:p>
    <w:p w14:paraId="03BF6CC8" w14:textId="77777777" w:rsidR="00FD1B35" w:rsidRPr="00FD1B35" w:rsidRDefault="00FD1B35" w:rsidP="00FD1B35">
      <w:pPr>
        <w:spacing w:after="0" w:line="240" w:lineRule="auto"/>
        <w:rPr>
          <w:rFonts w:ascii="Microsoft Sans Serif" w:eastAsia="Microsoft Sans Serif" w:hAnsi="Microsoft Sans Serif" w:cs="Microsoft Sans Serif"/>
          <w:i/>
          <w:sz w:val="24"/>
          <w:szCs w:val="20"/>
        </w:rPr>
      </w:pPr>
      <w:r w:rsidRPr="00FD1B35">
        <w:rPr>
          <w:rFonts w:ascii="Microsoft Sans Serif" w:eastAsia="Microsoft Sans Serif" w:hAnsi="Microsoft Sans Serif" w:cs="Microsoft Sans Serif"/>
          <w:i/>
          <w:sz w:val="24"/>
          <w:szCs w:val="20"/>
        </w:rPr>
        <w:t>Revised 5/14/19</w:t>
      </w:r>
    </w:p>
    <w:p w14:paraId="61BCDE8A" w14:textId="77777777" w:rsidR="00FD1B35" w:rsidRPr="00FD1B35" w:rsidRDefault="00FD1B35" w:rsidP="00FD1B35">
      <w:pPr>
        <w:spacing w:after="0" w:line="240" w:lineRule="auto"/>
        <w:rPr>
          <w:rFonts w:ascii="Microsoft Sans Serif" w:eastAsia="Microsoft Sans Serif" w:hAnsi="Microsoft Sans Serif" w:cs="Microsoft Sans Serif"/>
          <w:b/>
          <w:sz w:val="24"/>
          <w:szCs w:val="20"/>
          <w:u w:val="single"/>
        </w:rPr>
      </w:pPr>
    </w:p>
    <w:p w14:paraId="25B24294" w14:textId="77777777" w:rsidR="00FD1B35" w:rsidRPr="00FD1B35" w:rsidRDefault="00FD1B35" w:rsidP="00FD1B35">
      <w:pPr>
        <w:spacing w:after="0" w:line="240" w:lineRule="auto"/>
        <w:rPr>
          <w:rFonts w:ascii="Microsoft Sans Serif" w:eastAsia="Microsoft Sans Serif" w:hAnsi="Microsoft Sans Serif" w:cs="Microsoft Sans Serif"/>
          <w:sz w:val="24"/>
          <w:szCs w:val="20"/>
        </w:rPr>
      </w:pPr>
      <w:r w:rsidRPr="00FD1B35">
        <w:rPr>
          <w:rFonts w:ascii="Microsoft Sans Serif" w:eastAsia="Microsoft Sans Serif" w:hAnsi="Microsoft Sans Serif" w:cs="Microsoft Sans Serif"/>
          <w:sz w:val="24"/>
          <w:szCs w:val="20"/>
        </w:rPr>
        <w:t xml:space="preserve">LIZA </w:t>
      </w:r>
      <w:proofErr w:type="spellStart"/>
      <w:r w:rsidRPr="00FD1B35">
        <w:rPr>
          <w:rFonts w:ascii="Microsoft Sans Serif" w:eastAsia="Microsoft Sans Serif" w:hAnsi="Microsoft Sans Serif" w:cs="Microsoft Sans Serif"/>
          <w:sz w:val="24"/>
          <w:szCs w:val="20"/>
        </w:rPr>
        <w:t>MOUSIOS</w:t>
      </w:r>
      <w:proofErr w:type="spellEnd"/>
      <w:r w:rsidRPr="00FD1B35">
        <w:rPr>
          <w:rFonts w:ascii="Microsoft Sans Serif" w:eastAsia="Microsoft Sans Serif" w:hAnsi="Microsoft Sans Serif" w:cs="Microsoft Sans Serif"/>
          <w:sz w:val="24"/>
          <w:szCs w:val="20"/>
        </w:rPr>
        <w:br/>
        <w:t>PO BOX 116</w:t>
      </w:r>
    </w:p>
    <w:p w14:paraId="42B0F790" w14:textId="77777777" w:rsidR="00FD1B35" w:rsidRPr="00FD1B35" w:rsidRDefault="00FD1B35" w:rsidP="00FD1B35">
      <w:pPr>
        <w:spacing w:after="0" w:line="240" w:lineRule="auto"/>
        <w:rPr>
          <w:rFonts w:ascii="Microsoft Sans Serif" w:eastAsia="Microsoft Sans Serif" w:hAnsi="Microsoft Sans Serif" w:cs="Microsoft Sans Serif"/>
          <w:sz w:val="24"/>
          <w:szCs w:val="20"/>
        </w:rPr>
      </w:pPr>
      <w:r w:rsidRPr="00FD1B35">
        <w:rPr>
          <w:rFonts w:ascii="Microsoft Sans Serif" w:eastAsia="Microsoft Sans Serif" w:hAnsi="Microsoft Sans Serif" w:cs="Microsoft Sans Serif"/>
          <w:sz w:val="24"/>
          <w:szCs w:val="20"/>
        </w:rPr>
        <w:t xml:space="preserve">68 </w:t>
      </w:r>
      <w:proofErr w:type="spellStart"/>
      <w:r w:rsidRPr="00FD1B35">
        <w:rPr>
          <w:rFonts w:ascii="Microsoft Sans Serif" w:eastAsia="Microsoft Sans Serif" w:hAnsi="Microsoft Sans Serif" w:cs="Microsoft Sans Serif"/>
          <w:sz w:val="24"/>
          <w:szCs w:val="20"/>
        </w:rPr>
        <w:t>MARIENSTEIN</w:t>
      </w:r>
      <w:proofErr w:type="spellEnd"/>
      <w:r w:rsidRPr="00FD1B35">
        <w:rPr>
          <w:rFonts w:ascii="Microsoft Sans Serif" w:eastAsia="Microsoft Sans Serif" w:hAnsi="Microsoft Sans Serif" w:cs="Microsoft Sans Serif"/>
          <w:sz w:val="24"/>
          <w:szCs w:val="20"/>
        </w:rPr>
        <w:t xml:space="preserve"> RD</w:t>
      </w:r>
      <w:r w:rsidRPr="00FD1B35">
        <w:rPr>
          <w:rFonts w:ascii="Microsoft Sans Serif" w:eastAsia="Microsoft Sans Serif" w:hAnsi="Microsoft Sans Serif" w:cs="Microsoft Sans Serif"/>
          <w:sz w:val="24"/>
          <w:szCs w:val="20"/>
        </w:rPr>
        <w:br/>
        <w:t>REVERE PA 18953</w:t>
      </w:r>
      <w:r w:rsidRPr="00FD1B35">
        <w:rPr>
          <w:rFonts w:ascii="Microsoft Sans Serif" w:eastAsia="Microsoft Sans Serif" w:hAnsi="Microsoft Sans Serif" w:cs="Microsoft Sans Serif"/>
          <w:sz w:val="24"/>
          <w:szCs w:val="20"/>
        </w:rPr>
        <w:br/>
      </w:r>
      <w:r w:rsidRPr="00FD1B35">
        <w:rPr>
          <w:rFonts w:ascii="Microsoft Sans Serif" w:eastAsia="Microsoft Sans Serif" w:hAnsi="Microsoft Sans Serif" w:cs="Microsoft Sans Serif"/>
          <w:b/>
          <w:sz w:val="24"/>
          <w:szCs w:val="20"/>
        </w:rPr>
        <w:t>610.847.2744</w:t>
      </w:r>
    </w:p>
    <w:p w14:paraId="1A163A50" w14:textId="77777777" w:rsidR="00FD1B35" w:rsidRPr="00FD1B35" w:rsidRDefault="00FD1B35" w:rsidP="00FD1B35">
      <w:pPr>
        <w:spacing w:after="0" w:line="240" w:lineRule="auto"/>
        <w:rPr>
          <w:rFonts w:ascii="Microsoft Sans Serif" w:eastAsia="Microsoft Sans Serif" w:hAnsi="Microsoft Sans Serif" w:cs="Microsoft Sans Serif"/>
          <w:sz w:val="24"/>
          <w:szCs w:val="20"/>
        </w:rPr>
      </w:pPr>
    </w:p>
    <w:p w14:paraId="61C7D139" w14:textId="77777777" w:rsidR="00FD1B35" w:rsidRPr="00FD1B35" w:rsidRDefault="00FD1B35" w:rsidP="00FD1B35">
      <w:pPr>
        <w:spacing w:after="0" w:line="240" w:lineRule="auto"/>
        <w:rPr>
          <w:rFonts w:ascii="Microsoft Sans Serif" w:eastAsia="Microsoft Sans Serif" w:hAnsi="Microsoft Sans Serif" w:cs="Microsoft Sans Serif"/>
          <w:sz w:val="24"/>
          <w:szCs w:val="20"/>
        </w:rPr>
      </w:pPr>
      <w:r w:rsidRPr="00FD1B35">
        <w:rPr>
          <w:rFonts w:ascii="Microsoft Sans Serif" w:eastAsia="Microsoft Sans Serif" w:hAnsi="Microsoft Sans Serif" w:cs="Microsoft Sans Serif"/>
          <w:sz w:val="24"/>
          <w:szCs w:val="20"/>
        </w:rPr>
        <w:t>ROY CUMMING</w:t>
      </w:r>
      <w:r w:rsidRPr="00FD1B35">
        <w:rPr>
          <w:rFonts w:ascii="Microsoft Sans Serif" w:eastAsia="Microsoft Sans Serif" w:hAnsi="Microsoft Sans Serif" w:cs="Microsoft Sans Serif"/>
          <w:sz w:val="24"/>
          <w:szCs w:val="20"/>
        </w:rPr>
        <w:br/>
        <w:t>PO BOX 396</w:t>
      </w:r>
    </w:p>
    <w:p w14:paraId="49B26075" w14:textId="77777777" w:rsidR="00FD1B35" w:rsidRPr="00FD1B35" w:rsidRDefault="00FD1B35" w:rsidP="00FD1B35">
      <w:pPr>
        <w:spacing w:after="0" w:line="240" w:lineRule="auto"/>
        <w:rPr>
          <w:rFonts w:ascii="Microsoft Sans Serif" w:eastAsia="Microsoft Sans Serif" w:hAnsi="Microsoft Sans Serif" w:cs="Microsoft Sans Serif"/>
          <w:sz w:val="24"/>
          <w:szCs w:val="20"/>
        </w:rPr>
      </w:pPr>
      <w:r w:rsidRPr="00FD1B35">
        <w:rPr>
          <w:rFonts w:ascii="Microsoft Sans Serif" w:eastAsia="Microsoft Sans Serif" w:hAnsi="Microsoft Sans Serif" w:cs="Microsoft Sans Serif"/>
          <w:sz w:val="24"/>
          <w:szCs w:val="20"/>
        </w:rPr>
        <w:t xml:space="preserve">68 </w:t>
      </w:r>
      <w:proofErr w:type="spellStart"/>
      <w:r w:rsidRPr="00FD1B35">
        <w:rPr>
          <w:rFonts w:ascii="Microsoft Sans Serif" w:eastAsia="Microsoft Sans Serif" w:hAnsi="Microsoft Sans Serif" w:cs="Microsoft Sans Serif"/>
          <w:sz w:val="24"/>
          <w:szCs w:val="20"/>
        </w:rPr>
        <w:t>MARIENSTEIN</w:t>
      </w:r>
      <w:proofErr w:type="spellEnd"/>
      <w:r w:rsidRPr="00FD1B35">
        <w:rPr>
          <w:rFonts w:ascii="Microsoft Sans Serif" w:eastAsia="Microsoft Sans Serif" w:hAnsi="Microsoft Sans Serif" w:cs="Microsoft Sans Serif"/>
          <w:sz w:val="24"/>
          <w:szCs w:val="20"/>
        </w:rPr>
        <w:t xml:space="preserve"> RD</w:t>
      </w:r>
      <w:r w:rsidRPr="00FD1B35">
        <w:rPr>
          <w:rFonts w:ascii="Microsoft Sans Serif" w:eastAsia="Microsoft Sans Serif" w:hAnsi="Microsoft Sans Serif" w:cs="Microsoft Sans Serif"/>
          <w:sz w:val="24"/>
          <w:szCs w:val="20"/>
        </w:rPr>
        <w:br/>
        <w:t>REVERE PA 18953</w:t>
      </w:r>
      <w:r w:rsidRPr="00FD1B35">
        <w:rPr>
          <w:rFonts w:ascii="Microsoft Sans Serif" w:eastAsia="Microsoft Sans Serif" w:hAnsi="Microsoft Sans Serif" w:cs="Microsoft Sans Serif"/>
          <w:sz w:val="24"/>
          <w:szCs w:val="20"/>
        </w:rPr>
        <w:br/>
      </w:r>
      <w:r w:rsidRPr="00FD1B35">
        <w:rPr>
          <w:rFonts w:ascii="Microsoft Sans Serif" w:eastAsia="Microsoft Sans Serif" w:hAnsi="Microsoft Sans Serif" w:cs="Microsoft Sans Serif"/>
          <w:b/>
          <w:sz w:val="24"/>
          <w:szCs w:val="20"/>
        </w:rPr>
        <w:t>610.847.2744</w:t>
      </w:r>
    </w:p>
    <w:p w14:paraId="5B2B3FCB" w14:textId="77777777" w:rsidR="00FD1B35" w:rsidRPr="00FD1B35" w:rsidRDefault="00FD1B35" w:rsidP="00FD1B35">
      <w:pPr>
        <w:spacing w:after="0" w:line="240" w:lineRule="auto"/>
        <w:rPr>
          <w:rFonts w:ascii="Microsoft Sans Serif" w:eastAsia="Microsoft Sans Serif" w:hAnsi="Microsoft Sans Serif" w:cs="Microsoft Sans Serif"/>
          <w:sz w:val="24"/>
          <w:szCs w:val="20"/>
        </w:rPr>
      </w:pPr>
    </w:p>
    <w:p w14:paraId="253B400A" w14:textId="77777777" w:rsidR="00FD1B35" w:rsidRPr="00FD1B35" w:rsidRDefault="00FD1B35" w:rsidP="00FD1B35">
      <w:pPr>
        <w:spacing w:after="0" w:line="240" w:lineRule="auto"/>
        <w:rPr>
          <w:rFonts w:ascii="Microsoft Sans Serif" w:eastAsia="Times New Roman" w:hAnsi="Calibri" w:cs="Times New Roman"/>
          <w:sz w:val="24"/>
          <w:szCs w:val="20"/>
        </w:rPr>
      </w:pPr>
      <w:r w:rsidRPr="00FD1B35">
        <w:rPr>
          <w:rFonts w:ascii="Microsoft Sans Serif" w:eastAsia="Times New Roman" w:hAnsi="Times New Roman" w:cs="Times New Roman"/>
          <w:sz w:val="24"/>
          <w:szCs w:val="20"/>
        </w:rPr>
        <w:t xml:space="preserve">LAUREN MARISSA </w:t>
      </w:r>
      <w:proofErr w:type="spellStart"/>
      <w:r w:rsidRPr="00FD1B35">
        <w:rPr>
          <w:rFonts w:ascii="Microsoft Sans Serif" w:eastAsia="Times New Roman" w:hAnsi="Times New Roman" w:cs="Times New Roman"/>
          <w:sz w:val="24"/>
          <w:szCs w:val="20"/>
        </w:rPr>
        <w:t>LEPKOSKI</w:t>
      </w:r>
      <w:proofErr w:type="spellEnd"/>
      <w:r w:rsidRPr="00FD1B35">
        <w:rPr>
          <w:rFonts w:ascii="Microsoft Sans Serif" w:eastAsia="Times New Roman" w:hAnsi="Times New Roman" w:cs="Times New Roman"/>
          <w:sz w:val="24"/>
          <w:szCs w:val="20"/>
        </w:rPr>
        <w:t xml:space="preserve"> ESQUIRE</w:t>
      </w:r>
    </w:p>
    <w:p w14:paraId="6D148BAF" w14:textId="77777777" w:rsidR="00FD1B35" w:rsidRPr="00FD1B35" w:rsidRDefault="00FD1B35" w:rsidP="00FD1B35">
      <w:pPr>
        <w:spacing w:after="0" w:line="240" w:lineRule="auto"/>
        <w:rPr>
          <w:rFonts w:ascii="Microsoft Sans Serif" w:eastAsia="Times New Roman" w:hAnsi="Calibri" w:cs="Times New Roman"/>
          <w:sz w:val="24"/>
          <w:szCs w:val="20"/>
        </w:rPr>
      </w:pPr>
      <w:r w:rsidRPr="00FD1B35">
        <w:rPr>
          <w:rFonts w:ascii="Microsoft Sans Serif" w:eastAsia="Times New Roman" w:hAnsi="Times New Roman" w:cs="Times New Roman"/>
          <w:sz w:val="24"/>
          <w:szCs w:val="20"/>
        </w:rPr>
        <w:t xml:space="preserve">TORI L </w:t>
      </w:r>
      <w:proofErr w:type="spellStart"/>
      <w:r w:rsidRPr="00FD1B35">
        <w:rPr>
          <w:rFonts w:ascii="Microsoft Sans Serif" w:eastAsia="Times New Roman" w:hAnsi="Times New Roman" w:cs="Times New Roman"/>
          <w:sz w:val="24"/>
          <w:szCs w:val="20"/>
        </w:rPr>
        <w:t>GIESLER</w:t>
      </w:r>
      <w:proofErr w:type="spellEnd"/>
      <w:r w:rsidRPr="00FD1B35">
        <w:rPr>
          <w:rFonts w:ascii="Microsoft Sans Serif" w:eastAsia="Times New Roman" w:hAnsi="Times New Roman" w:cs="Times New Roman"/>
          <w:sz w:val="24"/>
          <w:szCs w:val="20"/>
        </w:rPr>
        <w:t xml:space="preserve"> ESQUIRE</w:t>
      </w:r>
    </w:p>
    <w:p w14:paraId="483FA06D" w14:textId="77777777" w:rsidR="00FD1B35" w:rsidRPr="00FD1B35" w:rsidRDefault="00FD1B35" w:rsidP="00FD1B35">
      <w:pPr>
        <w:spacing w:after="0" w:line="240" w:lineRule="auto"/>
        <w:rPr>
          <w:rFonts w:ascii="Microsoft Sans Serif" w:eastAsia="Times New Roman" w:hAnsi="Times New Roman" w:cs="Times New Roman"/>
          <w:sz w:val="24"/>
          <w:szCs w:val="20"/>
        </w:rPr>
      </w:pPr>
      <w:r w:rsidRPr="00FD1B35">
        <w:rPr>
          <w:rFonts w:ascii="Microsoft Sans Serif" w:eastAsia="Times New Roman" w:hAnsi="Times New Roman" w:cs="Times New Roman"/>
          <w:sz w:val="24"/>
          <w:szCs w:val="20"/>
        </w:rPr>
        <w:t>FIRSTENERGY SERVICES CO</w:t>
      </w:r>
    </w:p>
    <w:p w14:paraId="4BFA4625" w14:textId="77777777" w:rsidR="00FD1B35" w:rsidRPr="00FD1B35" w:rsidRDefault="00FD1B35" w:rsidP="00FD1B35">
      <w:pPr>
        <w:spacing w:after="0" w:line="240" w:lineRule="auto"/>
        <w:rPr>
          <w:rFonts w:ascii="Microsoft Sans Serif" w:eastAsia="Times New Roman" w:hAnsi="Times New Roman" w:cs="Times New Roman"/>
          <w:sz w:val="24"/>
          <w:szCs w:val="20"/>
        </w:rPr>
      </w:pPr>
      <w:r w:rsidRPr="00FD1B35">
        <w:rPr>
          <w:rFonts w:ascii="Microsoft Sans Serif" w:eastAsia="Times New Roman" w:hAnsi="Times New Roman" w:cs="Times New Roman"/>
          <w:sz w:val="24"/>
          <w:szCs w:val="20"/>
        </w:rPr>
        <w:t>2800 POTTSVILLE PIKE</w:t>
      </w:r>
    </w:p>
    <w:p w14:paraId="5B61DD65" w14:textId="77777777" w:rsidR="00FD1B35" w:rsidRPr="00FD1B35" w:rsidRDefault="00FD1B35" w:rsidP="00FD1B35">
      <w:pPr>
        <w:spacing w:after="0" w:line="240" w:lineRule="auto"/>
        <w:rPr>
          <w:rFonts w:ascii="Microsoft Sans Serif" w:eastAsia="Times New Roman" w:hAnsi="Times New Roman" w:cs="Times New Roman"/>
          <w:sz w:val="24"/>
          <w:szCs w:val="20"/>
        </w:rPr>
      </w:pPr>
      <w:r w:rsidRPr="00FD1B35">
        <w:rPr>
          <w:rFonts w:ascii="Microsoft Sans Serif" w:eastAsia="Times New Roman" w:hAnsi="Times New Roman" w:cs="Times New Roman"/>
          <w:sz w:val="24"/>
          <w:szCs w:val="20"/>
        </w:rPr>
        <w:t>PO BOX 16001</w:t>
      </w:r>
    </w:p>
    <w:p w14:paraId="5477515E" w14:textId="77777777" w:rsidR="00FD1B35" w:rsidRPr="00FD1B35" w:rsidRDefault="00FD1B35" w:rsidP="00FD1B35">
      <w:pPr>
        <w:spacing w:after="0" w:line="240" w:lineRule="auto"/>
        <w:rPr>
          <w:rFonts w:ascii="Microsoft Sans Serif" w:eastAsia="Times New Roman" w:hAnsi="Times New Roman" w:cs="Times New Roman"/>
          <w:sz w:val="24"/>
          <w:szCs w:val="20"/>
        </w:rPr>
      </w:pPr>
      <w:r w:rsidRPr="00FD1B35">
        <w:rPr>
          <w:rFonts w:ascii="Microsoft Sans Serif" w:eastAsia="Times New Roman" w:hAnsi="Times New Roman" w:cs="Times New Roman"/>
          <w:sz w:val="24"/>
          <w:szCs w:val="20"/>
        </w:rPr>
        <w:t>READING PA  19612</w:t>
      </w:r>
    </w:p>
    <w:p w14:paraId="00796FA6" w14:textId="77777777" w:rsidR="00FD1B35" w:rsidRPr="00FD1B35" w:rsidRDefault="00FD1B35" w:rsidP="00FD1B35">
      <w:pPr>
        <w:spacing w:after="0" w:line="240" w:lineRule="auto"/>
        <w:rPr>
          <w:rFonts w:ascii="Microsoft Sans Serif" w:eastAsia="Times New Roman" w:hAnsi="Times New Roman" w:cs="Times New Roman"/>
          <w:sz w:val="24"/>
          <w:szCs w:val="20"/>
        </w:rPr>
      </w:pPr>
      <w:r w:rsidRPr="00FD1B35">
        <w:rPr>
          <w:rFonts w:ascii="Microsoft Sans Serif" w:eastAsia="Times New Roman" w:hAnsi="Times New Roman" w:cs="Times New Roman"/>
          <w:b/>
          <w:sz w:val="24"/>
          <w:szCs w:val="20"/>
        </w:rPr>
        <w:t>610.921.6203</w:t>
      </w:r>
    </w:p>
    <w:p w14:paraId="4DBCE761" w14:textId="77777777" w:rsidR="00FD1B35" w:rsidRPr="00FD1B35" w:rsidRDefault="00FD1B35" w:rsidP="00FD1B35">
      <w:pPr>
        <w:spacing w:after="0" w:line="240" w:lineRule="auto"/>
        <w:rPr>
          <w:rFonts w:ascii="Microsoft Sans Serif" w:eastAsia="Times New Roman" w:hAnsi="Times New Roman" w:cs="Times New Roman"/>
          <w:sz w:val="24"/>
          <w:szCs w:val="20"/>
        </w:rPr>
      </w:pPr>
      <w:r w:rsidRPr="00FD1B35">
        <w:rPr>
          <w:rFonts w:ascii="Microsoft Sans Serif" w:eastAsia="Times New Roman" w:hAnsi="Times New Roman" w:cs="Times New Roman"/>
          <w:b/>
          <w:sz w:val="24"/>
          <w:szCs w:val="20"/>
        </w:rPr>
        <w:t>610.921.6658</w:t>
      </w:r>
    </w:p>
    <w:p w14:paraId="6305574B" w14:textId="77777777" w:rsidR="00FD1B35" w:rsidRPr="00FD1B35" w:rsidRDefault="00FD1B35" w:rsidP="00FD1B35">
      <w:pPr>
        <w:spacing w:after="0" w:line="240" w:lineRule="auto"/>
        <w:rPr>
          <w:rFonts w:ascii="Calibri" w:eastAsia="Times New Roman" w:hAnsi="Times New Roman" w:cs="Times New Roman"/>
          <w:b/>
          <w:i/>
          <w:szCs w:val="20"/>
          <w:u w:val="single"/>
        </w:rPr>
      </w:pPr>
      <w:r w:rsidRPr="00FD1B35">
        <w:rPr>
          <w:rFonts w:ascii="Microsoft Sans Serif" w:eastAsia="Times New Roman" w:hAnsi="Times New Roman" w:cs="Times New Roman"/>
          <w:b/>
          <w:i/>
          <w:sz w:val="24"/>
          <w:szCs w:val="20"/>
          <w:u w:val="single"/>
        </w:rPr>
        <w:t>ACCEPTS E-SERVICE</w:t>
      </w:r>
    </w:p>
    <w:bookmarkEnd w:id="0"/>
    <w:bookmarkEnd w:id="1"/>
    <w:p w14:paraId="14A6EFB0" w14:textId="5E54D62A" w:rsidR="007914AE"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p>
    <w:sectPr w:rsidR="007914AE" w:rsidSect="000E35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7E667" w14:textId="77777777" w:rsidR="007C42E2" w:rsidRDefault="007C42E2" w:rsidP="005052D8">
      <w:pPr>
        <w:spacing w:after="0" w:line="240" w:lineRule="auto"/>
      </w:pPr>
      <w:r>
        <w:separator/>
      </w:r>
    </w:p>
  </w:endnote>
  <w:endnote w:type="continuationSeparator" w:id="0">
    <w:p w14:paraId="57CF9370" w14:textId="77777777" w:rsidR="007C42E2" w:rsidRDefault="007C42E2"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17223" w14:textId="77777777" w:rsidR="007C42E2" w:rsidRDefault="007C42E2" w:rsidP="005052D8">
      <w:pPr>
        <w:spacing w:after="0" w:line="240" w:lineRule="auto"/>
      </w:pPr>
      <w:r>
        <w:separator/>
      </w:r>
    </w:p>
  </w:footnote>
  <w:footnote w:type="continuationSeparator" w:id="0">
    <w:p w14:paraId="11CEC629" w14:textId="77777777" w:rsidR="007C42E2" w:rsidRDefault="007C42E2"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70773"/>
    <w:rsid w:val="000A6376"/>
    <w:rsid w:val="000B72B9"/>
    <w:rsid w:val="000E359A"/>
    <w:rsid w:val="00107F0E"/>
    <w:rsid w:val="00114531"/>
    <w:rsid w:val="00120E9B"/>
    <w:rsid w:val="001648E4"/>
    <w:rsid w:val="0019286E"/>
    <w:rsid w:val="002039B1"/>
    <w:rsid w:val="002C0D20"/>
    <w:rsid w:val="00305717"/>
    <w:rsid w:val="00316703"/>
    <w:rsid w:val="00385E6E"/>
    <w:rsid w:val="0042589E"/>
    <w:rsid w:val="004664A2"/>
    <w:rsid w:val="004C0CF3"/>
    <w:rsid w:val="004C6DC9"/>
    <w:rsid w:val="005052D8"/>
    <w:rsid w:val="00533CFB"/>
    <w:rsid w:val="00570BCC"/>
    <w:rsid w:val="005E3BF2"/>
    <w:rsid w:val="00627160"/>
    <w:rsid w:val="00645B5F"/>
    <w:rsid w:val="00685FBE"/>
    <w:rsid w:val="006F36FD"/>
    <w:rsid w:val="007206B0"/>
    <w:rsid w:val="007914AE"/>
    <w:rsid w:val="007B5C79"/>
    <w:rsid w:val="007C42E2"/>
    <w:rsid w:val="00816DB8"/>
    <w:rsid w:val="008258CB"/>
    <w:rsid w:val="008501DB"/>
    <w:rsid w:val="008E4091"/>
    <w:rsid w:val="00947A2B"/>
    <w:rsid w:val="00947AD9"/>
    <w:rsid w:val="009722F0"/>
    <w:rsid w:val="009B01C3"/>
    <w:rsid w:val="00A164C1"/>
    <w:rsid w:val="00A434C6"/>
    <w:rsid w:val="00BC4FBE"/>
    <w:rsid w:val="00BE05A9"/>
    <w:rsid w:val="00C474BC"/>
    <w:rsid w:val="00DA147B"/>
    <w:rsid w:val="00DB0BE5"/>
    <w:rsid w:val="00DE0142"/>
    <w:rsid w:val="00E45139"/>
    <w:rsid w:val="00E70822"/>
    <w:rsid w:val="00E7166F"/>
    <w:rsid w:val="00ED5C19"/>
    <w:rsid w:val="00EE1BA1"/>
    <w:rsid w:val="00F8490E"/>
    <w:rsid w:val="00FC5A94"/>
    <w:rsid w:val="00FD0E57"/>
    <w:rsid w:val="00FD1B35"/>
    <w:rsid w:val="00FD3F16"/>
    <w:rsid w:val="00FE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15</cp:revision>
  <cp:lastPrinted>2019-03-01T15:32:00Z</cp:lastPrinted>
  <dcterms:created xsi:type="dcterms:W3CDTF">2019-03-26T18:36:00Z</dcterms:created>
  <dcterms:modified xsi:type="dcterms:W3CDTF">2019-05-22T16:53:00Z</dcterms:modified>
</cp:coreProperties>
</file>