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6AC" w:rsidRPr="00795433"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rsidR="002F56AC" w:rsidRDefault="002F56AC" w:rsidP="002F56AC">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rsidR="00C83D3A" w:rsidRDefault="00C83D3A" w:rsidP="002F56AC">
      <w:pPr>
        <w:tabs>
          <w:tab w:val="center" w:pos="4680"/>
        </w:tabs>
        <w:suppressAutoHyphens/>
        <w:jc w:val="center"/>
        <w:rPr>
          <w:rFonts w:ascii="Times New Roman" w:hAnsi="Times New Roman" w:cs="Times New Roman"/>
          <w:b/>
          <w:bCs/>
          <w:spacing w:val="-3"/>
        </w:rPr>
      </w:pPr>
    </w:p>
    <w:p w:rsidR="00C83D3A" w:rsidRDefault="00C83D3A" w:rsidP="002F56AC">
      <w:pPr>
        <w:tabs>
          <w:tab w:val="center" w:pos="4680"/>
        </w:tabs>
        <w:suppressAutoHyphens/>
        <w:jc w:val="center"/>
        <w:rPr>
          <w:rFonts w:ascii="Times New Roman" w:hAnsi="Times New Roman" w:cs="Times New Roman"/>
          <w:b/>
          <w:bCs/>
          <w:spacing w:val="-3"/>
        </w:rPr>
      </w:pPr>
    </w:p>
    <w:p w:rsidR="00C83D3A" w:rsidRDefault="00C83D3A" w:rsidP="002F56AC">
      <w:pPr>
        <w:tabs>
          <w:tab w:val="center" w:pos="4680"/>
        </w:tabs>
        <w:suppressAutoHyphens/>
        <w:jc w:val="center"/>
        <w:rPr>
          <w:rFonts w:ascii="Times New Roman" w:hAnsi="Times New Roman" w:cs="Times New Roman"/>
          <w:b/>
          <w:bCs/>
          <w:spacing w:val="-3"/>
        </w:rPr>
      </w:pPr>
    </w:p>
    <w:p w:rsidR="003568A3"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Application of Pennsylvania-American</w:t>
      </w:r>
      <w:r>
        <w:rPr>
          <w:rFonts w:ascii="Times New Roman" w:hAnsi="Times New Roman" w:cs="Times New Roman"/>
          <w:spacing w:val="-3"/>
        </w:rPr>
        <w:tab/>
      </w:r>
      <w:r>
        <w:rPr>
          <w:rFonts w:ascii="Times New Roman" w:hAnsi="Times New Roman" w:cs="Times New Roman"/>
          <w:spacing w:val="-3"/>
        </w:rPr>
        <w:tab/>
        <w:t>:</w:t>
      </w:r>
    </w:p>
    <w:p w:rsidR="00F42C7D"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Water Co</w:t>
      </w:r>
      <w:r>
        <w:rPr>
          <w:rFonts w:ascii="Times New Roman" w:hAnsi="Times New Roman" w:cs="Times New Roman"/>
          <w:spacing w:val="-3"/>
        </w:rPr>
        <w:t xml:space="preserve">mpany under </w:t>
      </w:r>
      <w:r w:rsidRPr="003568A3">
        <w:rPr>
          <w:rFonts w:ascii="Times New Roman" w:hAnsi="Times New Roman" w:cs="Times New Roman"/>
          <w:spacing w:val="-3"/>
        </w:rPr>
        <w:t xml:space="preserve">Sections 507, </w:t>
      </w:r>
      <w:r w:rsidR="00F42C7D">
        <w:rPr>
          <w:rFonts w:ascii="Times New Roman" w:hAnsi="Times New Roman" w:cs="Times New Roman"/>
          <w:spacing w:val="-3"/>
        </w:rPr>
        <w:tab/>
      </w:r>
      <w:r w:rsidR="00F42C7D">
        <w:rPr>
          <w:rFonts w:ascii="Times New Roman" w:hAnsi="Times New Roman" w:cs="Times New Roman"/>
          <w:spacing w:val="-3"/>
        </w:rPr>
        <w:tab/>
      </w:r>
      <w:r w:rsidR="00F42C7D">
        <w:rPr>
          <w:rFonts w:ascii="Times New Roman" w:hAnsi="Times New Roman" w:cs="Times New Roman"/>
          <w:spacing w:val="-3"/>
        </w:rPr>
        <w:tab/>
        <w:t>:</w:t>
      </w:r>
    </w:p>
    <w:p w:rsidR="003568A3" w:rsidRDefault="003568A3"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1102 and 1329</w:t>
      </w:r>
      <w:r>
        <w:rPr>
          <w:rFonts w:ascii="Times New Roman" w:hAnsi="Times New Roman" w:cs="Times New Roman"/>
          <w:spacing w:val="-3"/>
        </w:rPr>
        <w:tab/>
      </w:r>
      <w:r w:rsidR="00F42C7D" w:rsidRPr="003568A3">
        <w:rPr>
          <w:rFonts w:ascii="Times New Roman" w:hAnsi="Times New Roman" w:cs="Times New Roman"/>
          <w:spacing w:val="-3"/>
        </w:rPr>
        <w:t>of the Public Utility Code</w:t>
      </w:r>
      <w:r w:rsidR="00F42C7D">
        <w:rPr>
          <w:rFonts w:ascii="Times New Roman" w:hAnsi="Times New Roman" w:cs="Times New Roman"/>
          <w:spacing w:val="-3"/>
        </w:rPr>
        <w:t xml:space="preserve"> </w:t>
      </w:r>
      <w:r w:rsidR="00F42C7D" w:rsidRPr="003568A3">
        <w:rPr>
          <w:rFonts w:ascii="Times New Roman" w:hAnsi="Times New Roman" w:cs="Times New Roman"/>
          <w:spacing w:val="-3"/>
        </w:rPr>
        <w:t>for</w:t>
      </w:r>
      <w:r w:rsidR="00F42C7D">
        <w:rPr>
          <w:rFonts w:ascii="Times New Roman" w:hAnsi="Times New Roman" w:cs="Times New Roman"/>
          <w:spacing w:val="-3"/>
        </w:rPr>
        <w:tab/>
      </w:r>
      <w:r w:rsidR="00F42C7D">
        <w:rPr>
          <w:rFonts w:ascii="Times New Roman" w:hAnsi="Times New Roman" w:cs="Times New Roman"/>
          <w:spacing w:val="-3"/>
        </w:rPr>
        <w:tab/>
      </w:r>
      <w:r>
        <w:rPr>
          <w:rFonts w:ascii="Times New Roman" w:hAnsi="Times New Roman" w:cs="Times New Roman"/>
          <w:spacing w:val="-3"/>
        </w:rPr>
        <w:t>:</w:t>
      </w:r>
      <w:r w:rsidR="00F42C7D">
        <w:rPr>
          <w:rFonts w:ascii="Times New Roman" w:hAnsi="Times New Roman" w:cs="Times New Roman"/>
          <w:spacing w:val="-3"/>
        </w:rPr>
        <w:tab/>
      </w:r>
      <w:r w:rsidR="00F42C7D">
        <w:rPr>
          <w:rFonts w:ascii="Times New Roman" w:hAnsi="Times New Roman" w:cs="Times New Roman"/>
          <w:spacing w:val="-3"/>
        </w:rPr>
        <w:tab/>
      </w:r>
      <w:r w:rsidR="00F42C7D" w:rsidRPr="003568A3">
        <w:rPr>
          <w:rFonts w:ascii="Times New Roman" w:hAnsi="Times New Roman" w:cs="Times New Roman"/>
          <w:spacing w:val="-3"/>
        </w:rPr>
        <w:t>A-2018-3004933</w:t>
      </w:r>
    </w:p>
    <w:p w:rsidR="003568A3" w:rsidRDefault="00F42C7D" w:rsidP="003568A3">
      <w:pPr>
        <w:tabs>
          <w:tab w:val="left" w:pos="-720"/>
        </w:tabs>
        <w:suppressAutoHyphens/>
        <w:rPr>
          <w:rFonts w:ascii="Times New Roman" w:hAnsi="Times New Roman" w:cs="Times New Roman"/>
          <w:spacing w:val="-3"/>
        </w:rPr>
      </w:pPr>
      <w:r w:rsidRPr="003568A3">
        <w:rPr>
          <w:rFonts w:ascii="Times New Roman" w:hAnsi="Times New Roman" w:cs="Times New Roman"/>
          <w:spacing w:val="-3"/>
        </w:rPr>
        <w:t>Approval of</w:t>
      </w:r>
      <w:r>
        <w:rPr>
          <w:rFonts w:ascii="Times New Roman" w:hAnsi="Times New Roman" w:cs="Times New Roman"/>
          <w:spacing w:val="-3"/>
        </w:rPr>
        <w:t xml:space="preserve"> </w:t>
      </w:r>
      <w:r w:rsidRPr="003568A3">
        <w:rPr>
          <w:rFonts w:ascii="Times New Roman" w:hAnsi="Times New Roman" w:cs="Times New Roman"/>
          <w:spacing w:val="-3"/>
        </w:rPr>
        <w:t xml:space="preserve">its Acquisition of </w:t>
      </w:r>
      <w:r>
        <w:rPr>
          <w:rFonts w:ascii="Times New Roman" w:hAnsi="Times New Roman" w:cs="Times New Roman"/>
          <w:spacing w:val="-3"/>
        </w:rPr>
        <w:t>wastewater</w:t>
      </w:r>
      <w:r w:rsidR="003568A3">
        <w:rPr>
          <w:rFonts w:ascii="Times New Roman" w:hAnsi="Times New Roman" w:cs="Times New Roman"/>
          <w:spacing w:val="-3"/>
        </w:rPr>
        <w:tab/>
      </w:r>
      <w:r w:rsidR="003568A3">
        <w:rPr>
          <w:rFonts w:ascii="Times New Roman" w:hAnsi="Times New Roman" w:cs="Times New Roman"/>
          <w:spacing w:val="-3"/>
        </w:rPr>
        <w:tab/>
        <w:t>:</w:t>
      </w:r>
    </w:p>
    <w:p w:rsidR="003568A3" w:rsidRDefault="003568A3" w:rsidP="003568A3">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system assets of </w:t>
      </w:r>
      <w:r w:rsidR="00F42C7D" w:rsidRPr="003568A3">
        <w:rPr>
          <w:rFonts w:ascii="Times New Roman" w:hAnsi="Times New Roman" w:cs="Times New Roman"/>
          <w:spacing w:val="-3"/>
        </w:rPr>
        <w:t>Exeter Township</w:t>
      </w:r>
      <w:r>
        <w:rPr>
          <w:rFonts w:ascii="Times New Roman" w:hAnsi="Times New Roman" w:cs="Times New Roman"/>
          <w:spacing w:val="-3"/>
        </w:rPr>
        <w:t xml:space="preserve"> </w:t>
      </w:r>
      <w:r>
        <w:rPr>
          <w:rFonts w:ascii="Times New Roman" w:hAnsi="Times New Roman" w:cs="Times New Roman"/>
          <w:spacing w:val="-3"/>
        </w:rPr>
        <w:tab/>
      </w:r>
      <w:r w:rsidR="00F42C7D">
        <w:rPr>
          <w:rFonts w:ascii="Times New Roman" w:hAnsi="Times New Roman" w:cs="Times New Roman"/>
          <w:spacing w:val="-3"/>
        </w:rPr>
        <w:tab/>
      </w:r>
      <w:r w:rsidR="00F42C7D">
        <w:rPr>
          <w:rFonts w:ascii="Times New Roman" w:hAnsi="Times New Roman" w:cs="Times New Roman"/>
          <w:spacing w:val="-3"/>
        </w:rPr>
        <w:tab/>
      </w:r>
      <w:r>
        <w:rPr>
          <w:rFonts w:ascii="Times New Roman" w:hAnsi="Times New Roman" w:cs="Times New Roman"/>
          <w:spacing w:val="-3"/>
        </w:rPr>
        <w:t>:</w:t>
      </w:r>
    </w:p>
    <w:p w:rsidR="003568A3" w:rsidRDefault="003568A3" w:rsidP="003568A3">
      <w:pPr>
        <w:tabs>
          <w:tab w:val="left" w:pos="-720"/>
        </w:tabs>
        <w:suppressAutoHyphens/>
        <w:rPr>
          <w:rFonts w:ascii="Times New Roman" w:hAnsi="Times New Roman" w:cs="Times New Roman"/>
          <w:spacing w:val="-3"/>
        </w:rPr>
      </w:pPr>
    </w:p>
    <w:p w:rsidR="00C83D3A" w:rsidRDefault="00C83D3A" w:rsidP="003568A3">
      <w:pPr>
        <w:tabs>
          <w:tab w:val="left" w:pos="-720"/>
        </w:tabs>
        <w:suppressAutoHyphens/>
        <w:rPr>
          <w:rFonts w:ascii="Times New Roman" w:hAnsi="Times New Roman" w:cs="Times New Roman"/>
          <w:spacing w:val="-3"/>
        </w:rPr>
      </w:pPr>
    </w:p>
    <w:p w:rsidR="00C83D3A" w:rsidRDefault="00C83D3A" w:rsidP="003568A3">
      <w:pPr>
        <w:tabs>
          <w:tab w:val="left" w:pos="-720"/>
        </w:tabs>
        <w:suppressAutoHyphens/>
        <w:rPr>
          <w:rFonts w:ascii="Times New Roman" w:hAnsi="Times New Roman" w:cs="Times New Roman"/>
          <w:spacing w:val="-3"/>
        </w:rPr>
      </w:pPr>
    </w:p>
    <w:p w:rsidR="002F56AC" w:rsidRDefault="00761B29" w:rsidP="002F56AC">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SCHEDULING </w:t>
      </w:r>
      <w:r w:rsidR="002F56AC" w:rsidRPr="00795433">
        <w:rPr>
          <w:rFonts w:ascii="Times New Roman" w:hAnsi="Times New Roman" w:cs="Times New Roman"/>
          <w:b/>
          <w:bCs/>
          <w:spacing w:val="-3"/>
          <w:u w:val="single"/>
        </w:rPr>
        <w:t>ORDER</w:t>
      </w:r>
    </w:p>
    <w:p w:rsidR="00F931CF" w:rsidRDefault="00F931CF" w:rsidP="002F56AC">
      <w:pPr>
        <w:tabs>
          <w:tab w:val="center" w:pos="4680"/>
        </w:tabs>
        <w:suppressAutoHyphens/>
        <w:jc w:val="center"/>
        <w:rPr>
          <w:rFonts w:ascii="Times New Roman" w:hAnsi="Times New Roman" w:cs="Times New Roman"/>
          <w:b/>
          <w:bCs/>
          <w:spacing w:val="-3"/>
          <w:u w:val="single"/>
        </w:rPr>
      </w:pPr>
    </w:p>
    <w:p w:rsidR="00F931CF" w:rsidRDefault="00F931CF" w:rsidP="002F56AC">
      <w:pPr>
        <w:tabs>
          <w:tab w:val="center" w:pos="4680"/>
        </w:tabs>
        <w:suppressAutoHyphens/>
        <w:jc w:val="center"/>
        <w:rPr>
          <w:rFonts w:ascii="Times New Roman" w:hAnsi="Times New Roman" w:cs="Times New Roman"/>
          <w:b/>
          <w:bCs/>
          <w:spacing w:val="-3"/>
          <w:u w:val="single"/>
        </w:rPr>
      </w:pPr>
    </w:p>
    <w:p w:rsidR="00F931CF" w:rsidRDefault="00F931CF" w:rsidP="00F931CF">
      <w:pPr>
        <w:spacing w:line="360" w:lineRule="auto"/>
        <w:ind w:firstLine="1440"/>
      </w:pPr>
      <w:r>
        <w:t xml:space="preserve">On September 25, 2018, Pennsylvania-American Water Company (PAWC or Company) filed an Application under Sections 507, 1102, and 1329 of the </w:t>
      </w:r>
      <w:r w:rsidR="00B763A8">
        <w:t xml:space="preserve">Pennsylvania </w:t>
      </w:r>
      <w:r>
        <w:t xml:space="preserve">Public Utility Code seeking </w:t>
      </w:r>
      <w:r w:rsidR="00B763A8">
        <w:t xml:space="preserve">the </w:t>
      </w:r>
      <w:r>
        <w:t>Pennsylvania Public Utility Commission</w:t>
      </w:r>
      <w:r w:rsidR="00B763A8">
        <w:t xml:space="preserve">’s </w:t>
      </w:r>
      <w:r>
        <w:t>approval of the acquisition of the Exeter Township (Exeter) sewer system and the right of PAWC to provide wastewater service in the areas served by the Township and approval of the ratemaking rate base of the assets as determined under Section 1329(c)(2) of the Public Utility Code.  By Secretarial Letter dated October 1, 2018, the Commission notified PAWC that the Section 1329 Application was not accepted for filing purposes because the Application was incomplete.</w:t>
      </w:r>
    </w:p>
    <w:p w:rsidR="00F931CF" w:rsidRDefault="00F931CF" w:rsidP="00F931CF">
      <w:pPr>
        <w:spacing w:line="360" w:lineRule="auto"/>
        <w:ind w:firstLine="1440"/>
      </w:pPr>
    </w:p>
    <w:p w:rsidR="00F931CF" w:rsidRDefault="00F931CF" w:rsidP="00F931CF">
      <w:pPr>
        <w:spacing w:line="360" w:lineRule="auto"/>
        <w:ind w:firstLine="1440"/>
      </w:pPr>
      <w:r>
        <w:t xml:space="preserve">On December 5, 2018, PAWC filed an Amended Section 1329 Application with the </w:t>
      </w:r>
      <w:r>
        <w:rPr>
          <w:noProof/>
        </w:rPr>
        <w:drawing>
          <wp:inline distT="0" distB="0" distL="0" distR="0" wp14:anchorId="21D74397" wp14:editId="5A48C927">
            <wp:extent cx="95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t xml:space="preserve">Commission. </w:t>
      </w:r>
      <w:r w:rsidR="00B763A8">
        <w:t xml:space="preserve"> </w:t>
      </w:r>
      <w:r>
        <w:t>On December 19, 2018, the Commission notified PAWC that the Section 1329 Application had been conditionally accepted for filing. According to that Secretarial Letter, the Commission would not accept the Section 1329 Application until PAWC complied with certain customer notice requirements.</w:t>
      </w:r>
    </w:p>
    <w:p w:rsidR="00F931CF" w:rsidRDefault="00F931CF" w:rsidP="00F931CF">
      <w:pPr>
        <w:spacing w:line="360" w:lineRule="auto"/>
        <w:ind w:firstLine="1440"/>
      </w:pPr>
    </w:p>
    <w:p w:rsidR="00F931CF" w:rsidRDefault="00F931CF" w:rsidP="00F931CF">
      <w:pPr>
        <w:spacing w:line="360" w:lineRule="auto"/>
        <w:ind w:firstLine="1440"/>
      </w:pPr>
      <w:r>
        <w:t>On December 14, 2018, the Office of Consumer Advocate (OCA) filed a Petition to Reject or Hold in Abeyance Acceptance of the Application.  PAWC filed an Answer on December 17, 2018.  On December 20, 2018, the Bureau of Investigation and Enforcement (I&amp;E) filed a Motion to Reject or Hold in Abeyance Pennsylvania-American Water Company's Amended Application.  PAWC filed an Answer on December 26, 2018.</w:t>
      </w:r>
    </w:p>
    <w:p w:rsidR="00F931CF" w:rsidRDefault="00F931CF" w:rsidP="00F931CF">
      <w:pPr>
        <w:spacing w:line="360" w:lineRule="auto"/>
        <w:ind w:firstLine="1440"/>
      </w:pPr>
      <w:r>
        <w:lastRenderedPageBreak/>
        <w:t>On December 28, 2018, Exeter filed a Petition to Intervene. On January 7, 2019, the Borough of St. Lawrence (St. Lawrence) filed a Petition to Intervene. On January 9, 2019, Exeter filed an Answer to I&amp;E's Motion to Reject or Hold in Abeyance. On January 14, 2019, St. Lawrence filed the "Response of Intervenor, Borough of St. Lawrence to Application for Certificate of Public Convenience and Application for Approval of Transfer."</w:t>
      </w:r>
    </w:p>
    <w:p w:rsidR="00F931CF" w:rsidRDefault="00F931CF" w:rsidP="00F931CF">
      <w:pPr>
        <w:spacing w:line="360" w:lineRule="auto"/>
        <w:ind w:firstLine="1440"/>
      </w:pPr>
    </w:p>
    <w:p w:rsidR="00F931CF" w:rsidRDefault="00F931CF" w:rsidP="00F931CF">
      <w:pPr>
        <w:spacing w:line="360" w:lineRule="auto"/>
        <w:ind w:firstLine="1440"/>
      </w:pPr>
      <w:r>
        <w:t>The OCA filed a Protest and Public Statement on January 14, 2019, and a Petition for Stay on that same date. PAWC filed an Answer to the Petition for Stay on January 16, 2019, and Exeter filed an Answer to the Petition for Stay on February 4, 2019.</w:t>
      </w:r>
    </w:p>
    <w:p w:rsidR="00F931CF" w:rsidRDefault="00F931CF" w:rsidP="00F931CF">
      <w:pPr>
        <w:spacing w:line="360" w:lineRule="auto"/>
        <w:ind w:firstLine="1440"/>
      </w:pPr>
    </w:p>
    <w:p w:rsidR="00F931CF" w:rsidRDefault="00F931CF" w:rsidP="00F931CF">
      <w:pPr>
        <w:spacing w:line="360" w:lineRule="auto"/>
        <w:ind w:firstLine="1440"/>
      </w:pPr>
      <w:r>
        <w:t>On February 8, 2019, the Commission issued four Secretarial Letters to the following parties:</w:t>
      </w:r>
    </w:p>
    <w:p w:rsidR="00F931CF" w:rsidRDefault="00F931CF" w:rsidP="00F931CF">
      <w:pPr>
        <w:spacing w:line="360" w:lineRule="auto"/>
        <w:ind w:firstLine="1440"/>
      </w:pPr>
    </w:p>
    <w:p w:rsidR="00F931CF" w:rsidRDefault="00F931CF" w:rsidP="00F931CF">
      <w:pPr>
        <w:ind w:left="1440" w:right="1440"/>
      </w:pPr>
      <w:r>
        <w:t>one addressed to the OCA indicating that the documents it filed on December 14, 2018 and January 14, 2019 were filed at an inactive docket, and would be addressed if the docket became active;</w:t>
      </w:r>
      <w:r>
        <w:rPr>
          <w:noProof/>
        </w:rPr>
        <w:drawing>
          <wp:inline distT="0" distB="0" distL="0" distR="0" wp14:anchorId="3559BA14" wp14:editId="4E447418">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931CF" w:rsidRDefault="00F931CF" w:rsidP="00F931CF">
      <w:pPr>
        <w:ind w:left="1440" w:right="1440"/>
      </w:pPr>
    </w:p>
    <w:p w:rsidR="00F931CF" w:rsidRDefault="00F931CF" w:rsidP="00F931CF">
      <w:pPr>
        <w:ind w:left="1440" w:right="1440"/>
      </w:pPr>
      <w:r>
        <w:t>one addressed to I&amp;E indicating that the document it filed on December 20, 2018 was filed at an inactive docket, and would be addressed if the docket became active;</w:t>
      </w:r>
      <w:r>
        <w:rPr>
          <w:noProof/>
        </w:rPr>
        <w:drawing>
          <wp:inline distT="0" distB="0" distL="0" distR="0" wp14:anchorId="3326ACF6" wp14:editId="6DC636F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F931CF" w:rsidRDefault="00F931CF" w:rsidP="00F931CF">
      <w:pPr>
        <w:ind w:left="1440" w:right="1440"/>
      </w:pPr>
    </w:p>
    <w:p w:rsidR="00F931CF" w:rsidRDefault="00F931CF" w:rsidP="00F931CF">
      <w:pPr>
        <w:ind w:left="1440" w:right="1440"/>
      </w:pPr>
      <w:r>
        <w:t>one addressed to Exeter indicating that the documents it filed on January 9</w:t>
      </w:r>
      <w:r w:rsidR="00B763A8">
        <w:t xml:space="preserve">, 2019 </w:t>
      </w:r>
      <w:r>
        <w:t>and February 4, 2019 were filed at an inactive docket, and would be addressed if the docket became active; and</w:t>
      </w:r>
    </w:p>
    <w:p w:rsidR="00F931CF" w:rsidRDefault="00F931CF" w:rsidP="00F931CF">
      <w:pPr>
        <w:ind w:left="1440" w:right="1440"/>
      </w:pPr>
    </w:p>
    <w:p w:rsidR="00F931CF" w:rsidRDefault="00F931CF" w:rsidP="00F931CF">
      <w:pPr>
        <w:ind w:left="1440" w:right="1440"/>
      </w:pPr>
      <w:r>
        <w:rPr>
          <w:noProof/>
        </w:rPr>
        <w:drawing>
          <wp:anchor distT="0" distB="0" distL="114300" distR="114300" simplePos="0" relativeHeight="251659264" behindDoc="0" locked="0" layoutInCell="1" allowOverlap="0" wp14:anchorId="68370375" wp14:editId="218C9106">
            <wp:simplePos x="0" y="0"/>
            <wp:positionH relativeFrom="page">
              <wp:posOffset>3909060</wp:posOffset>
            </wp:positionH>
            <wp:positionV relativeFrom="page">
              <wp:posOffset>9498330</wp:posOffset>
            </wp:positionV>
            <wp:extent cx="4445" cy="444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pic:spPr>
                </pic:pic>
              </a:graphicData>
            </a:graphic>
            <wp14:sizeRelH relativeFrom="page">
              <wp14:pctWidth>0</wp14:pctWidth>
            </wp14:sizeRelH>
            <wp14:sizeRelV relativeFrom="page">
              <wp14:pctHeight>0</wp14:pctHeight>
            </wp14:sizeRelV>
          </wp:anchor>
        </w:drawing>
      </w:r>
      <w:r>
        <w:t>one addressed to PAWC indicating that its filings of December 17, 2018, December 26, 2018, and January 16, 2019 were filed at an inactive docket, and would be addressed if the docket became active.</w:t>
      </w:r>
    </w:p>
    <w:p w:rsidR="00F931CF" w:rsidRDefault="00F931CF" w:rsidP="00F931CF">
      <w:pPr>
        <w:ind w:left="1440" w:right="1440"/>
      </w:pPr>
    </w:p>
    <w:p w:rsidR="00F931CF" w:rsidRDefault="00F931CF" w:rsidP="00F931CF">
      <w:pPr>
        <w:ind w:left="1440" w:right="1440"/>
      </w:pPr>
    </w:p>
    <w:p w:rsidR="00F931CF" w:rsidRDefault="00F931CF" w:rsidP="00F931CF">
      <w:pPr>
        <w:spacing w:line="360" w:lineRule="auto"/>
        <w:ind w:firstLine="1440"/>
      </w:pPr>
      <w:r>
        <w:t>On March 8, 2019, PAWC notified the Commission that PAWC would shortly begin giving the required customer notices. On April 15, 2019, PAWC filed a verification stating that it had complied with all required customer notices. Consequently, on April 16, 2019, the Commission issued a Secretarial Letter accepting the Amended Application for filing. PAWC subsequently provided notice of the Application to certain municipalities, water and wastewater utilities, and state agencies. On April 27, 2019, notice of the Amended Application was published in the Pennsylvania Bulletin, with a deadline of May 14, 2019 for filing Protests or Petitions to Intervene.  No additional Protests were filed by the May 14, 2019 deadline.</w:t>
      </w:r>
    </w:p>
    <w:p w:rsidR="00F931CF" w:rsidRDefault="00F931CF" w:rsidP="00F931CF">
      <w:pPr>
        <w:spacing w:line="360" w:lineRule="auto"/>
        <w:ind w:firstLine="1440"/>
      </w:pPr>
    </w:p>
    <w:p w:rsidR="00F931CF" w:rsidRDefault="00F931CF" w:rsidP="00F931CF">
      <w:pPr>
        <w:tabs>
          <w:tab w:val="left" w:pos="-720"/>
        </w:tabs>
        <w:suppressAutoHyphens/>
        <w:spacing w:line="360" w:lineRule="auto"/>
        <w:ind w:firstLine="1440"/>
      </w:pPr>
      <w:r>
        <w:t>The Commission assigned this case to its Office of Administrative Law Judge (OALJ) on April 17, 2019.  By Notice dated April 17, 2019, OALJ scheduled an Initial Prehearing Conference for Friday, May 17, 2019 at 10:00 a.m. in Hearing Room 2 of the Commonwealth Keystone Building, 400 North Street, Harrisburg, PA  17120 before Administrative Law Judge Andrew M. Calvelli.  On April 22, 2019, OALJ issued a Prehearing Conference Order concerning various issues to be addressed at the Prehearing Conference.</w:t>
      </w:r>
    </w:p>
    <w:p w:rsidR="00F931CF" w:rsidRDefault="00F931CF" w:rsidP="00F931CF">
      <w:pPr>
        <w:tabs>
          <w:tab w:val="left" w:pos="-720"/>
        </w:tabs>
        <w:suppressAutoHyphens/>
        <w:spacing w:line="360" w:lineRule="auto"/>
        <w:ind w:firstLine="1440"/>
      </w:pPr>
    </w:p>
    <w:p w:rsidR="00F931CF" w:rsidRDefault="00F931CF" w:rsidP="00F931CF">
      <w:pPr>
        <w:tabs>
          <w:tab w:val="left" w:pos="-720"/>
        </w:tabs>
        <w:suppressAutoHyphens/>
        <w:spacing w:line="360" w:lineRule="auto"/>
        <w:ind w:firstLine="1440"/>
      </w:pPr>
      <w:r>
        <w:t xml:space="preserve">The Initial Prehearing Conference was held as scheduled and various procedural matters were discussed.  Appearing at the Conference were the following attorneys: </w:t>
      </w:r>
    </w:p>
    <w:p w:rsidR="00F931CF" w:rsidRDefault="00F931CF" w:rsidP="00F931CF">
      <w:pPr>
        <w:tabs>
          <w:tab w:val="left" w:pos="-720"/>
        </w:tabs>
        <w:suppressAutoHyphens/>
        <w:spacing w:line="360" w:lineRule="auto"/>
        <w:ind w:firstLine="1440"/>
      </w:pPr>
    </w:p>
    <w:p w:rsidR="00F931CF" w:rsidRDefault="00F931CF" w:rsidP="00F931CF">
      <w:pPr>
        <w:spacing w:line="360" w:lineRule="auto"/>
        <w:ind w:firstLine="1440"/>
      </w:pPr>
      <w:r>
        <w:t>David Zambito, Esquire, on behalf of PAWC</w:t>
      </w:r>
    </w:p>
    <w:p w:rsidR="00F931CF" w:rsidRDefault="00F931CF" w:rsidP="00F931CF">
      <w:pPr>
        <w:spacing w:line="360" w:lineRule="auto"/>
        <w:ind w:firstLine="1440"/>
      </w:pPr>
      <w:r>
        <w:t>Harrison Breitman, Esquire, on behalf of OCA</w:t>
      </w:r>
    </w:p>
    <w:p w:rsidR="00F931CF" w:rsidRDefault="00F931CF" w:rsidP="00F931CF">
      <w:pPr>
        <w:spacing w:line="360" w:lineRule="auto"/>
        <w:ind w:firstLine="1440"/>
      </w:pPr>
      <w:r>
        <w:t>Christine Maloni Hoover, Esquire, on behalf of OCA</w:t>
      </w:r>
    </w:p>
    <w:p w:rsidR="00F931CF" w:rsidRDefault="00F931CF" w:rsidP="00F931CF">
      <w:pPr>
        <w:spacing w:line="360" w:lineRule="auto"/>
        <w:ind w:firstLine="1440"/>
      </w:pPr>
      <w:r>
        <w:t>Erika McLain, Esquire, on behalf of I&amp;E</w:t>
      </w:r>
    </w:p>
    <w:p w:rsidR="00F931CF" w:rsidRDefault="00F931CF" w:rsidP="00F931CF">
      <w:pPr>
        <w:spacing w:line="360" w:lineRule="auto"/>
        <w:ind w:firstLine="1440"/>
      </w:pPr>
      <w:r>
        <w:t>Joan London, Esquire, on behalf of St. Lawrence</w:t>
      </w:r>
    </w:p>
    <w:p w:rsidR="00F931CF" w:rsidRDefault="00F931CF" w:rsidP="00F931CF">
      <w:pPr>
        <w:spacing w:line="360" w:lineRule="auto"/>
        <w:ind w:firstLine="1440"/>
      </w:pPr>
      <w:r>
        <w:t>Samuel Cortes, Esquire, on behalf of Exeter</w:t>
      </w:r>
    </w:p>
    <w:p w:rsidR="00F931CF" w:rsidRDefault="00F931CF" w:rsidP="00F931CF">
      <w:pPr>
        <w:spacing w:line="360" w:lineRule="auto"/>
        <w:ind w:firstLine="1440"/>
      </w:pPr>
      <w:r>
        <w:t>Barnett Satinsky, Esquire, on behalf of Exeter</w:t>
      </w:r>
    </w:p>
    <w:p w:rsidR="00F931CF" w:rsidRDefault="00F931CF" w:rsidP="00F931CF">
      <w:pPr>
        <w:spacing w:line="360" w:lineRule="auto"/>
        <w:ind w:firstLine="1440"/>
      </w:pPr>
    </w:p>
    <w:p w:rsidR="00F931CF" w:rsidRDefault="00F931CF" w:rsidP="00F931CF">
      <w:pPr>
        <w:spacing w:line="360" w:lineRule="auto"/>
        <w:ind w:firstLine="1440"/>
      </w:pPr>
      <w:r>
        <w:t>The first issues addressed at the Conference were the Petitions to Intervene filed by Exeter and St. Lawrence.  Those Petitions were unopposed and were granted.</w:t>
      </w:r>
    </w:p>
    <w:p w:rsidR="00F931CF" w:rsidRDefault="00F931CF" w:rsidP="00F931CF">
      <w:pPr>
        <w:spacing w:line="360" w:lineRule="auto"/>
        <w:ind w:firstLine="1440"/>
      </w:pPr>
    </w:p>
    <w:p w:rsidR="00F931CF" w:rsidRDefault="00F931CF" w:rsidP="00F931CF">
      <w:pPr>
        <w:spacing w:line="360" w:lineRule="auto"/>
        <w:ind w:firstLine="1440"/>
      </w:pPr>
      <w:r>
        <w:t>The next issues addressed were various pending Motions, most of which had been filed prior to this case being assigned to OALJ.  By agreement of the parties, those Motions were withdrawn, without prejudice and with leave to refile, preserving the various parties’ legal arguments set forth in the Motions.  Specifically, the following Motions filed prior to this case being assigned to OALJ were withdrawn:</w:t>
      </w:r>
    </w:p>
    <w:p w:rsidR="00F931CF" w:rsidRDefault="00F931CF" w:rsidP="00F931CF">
      <w:pPr>
        <w:spacing w:line="360" w:lineRule="auto"/>
        <w:ind w:firstLine="1440"/>
      </w:pPr>
    </w:p>
    <w:p w:rsidR="00F931CF" w:rsidRDefault="00F931CF" w:rsidP="00F931CF">
      <w:pPr>
        <w:spacing w:line="360" w:lineRule="auto"/>
        <w:ind w:firstLine="1440"/>
      </w:pPr>
    </w:p>
    <w:p w:rsidR="00F931CF" w:rsidRDefault="00F931CF" w:rsidP="00F931CF">
      <w:pPr>
        <w:keepLines/>
        <w:spacing w:line="360" w:lineRule="auto"/>
        <w:ind w:firstLine="1440"/>
      </w:pPr>
      <w:r>
        <w:t>OCA’s Petition to Reject or Hold in Abeyance, filed on December 14, 2018</w:t>
      </w:r>
    </w:p>
    <w:p w:rsidR="00F931CF" w:rsidRDefault="00F931CF" w:rsidP="00F931CF">
      <w:pPr>
        <w:spacing w:line="360" w:lineRule="auto"/>
        <w:ind w:firstLine="1440"/>
      </w:pPr>
      <w:r>
        <w:t>I&amp;E’s Motion to Reject or Hold in Abeyance, filed on December 20, 2018</w:t>
      </w:r>
    </w:p>
    <w:p w:rsidR="00F931CF" w:rsidRDefault="00F931CF" w:rsidP="00F931CF">
      <w:pPr>
        <w:spacing w:line="360" w:lineRule="auto"/>
        <w:ind w:firstLine="1440"/>
      </w:pPr>
      <w:r>
        <w:t>OCA’s Petition for Stay, filed on January 14, 2019</w:t>
      </w:r>
    </w:p>
    <w:p w:rsidR="00F931CF" w:rsidRDefault="00F931CF" w:rsidP="00F931CF">
      <w:pPr>
        <w:spacing w:line="360" w:lineRule="auto"/>
        <w:ind w:firstLine="1440"/>
      </w:pPr>
    </w:p>
    <w:p w:rsidR="00F931CF" w:rsidRDefault="00F931CF" w:rsidP="00F931CF">
      <w:pPr>
        <w:spacing w:line="360" w:lineRule="auto"/>
        <w:ind w:firstLine="1440"/>
      </w:pPr>
      <w:r>
        <w:t>Also addressed was OCA’s Motion to Expedite Discovery, filed on April 18, 2019.  The parties advised that they had agreed upon a litigation schedule in this case and had also agreed upon discovery procedures and deadlines.  As a result, OCA agreed to withdraw its Motion without prejudice and with leave to refile, preserving its legal arguments set forth in the Motion.</w:t>
      </w:r>
    </w:p>
    <w:p w:rsidR="00F931CF" w:rsidRDefault="00F931CF" w:rsidP="00F931CF">
      <w:pPr>
        <w:spacing w:line="360" w:lineRule="auto"/>
        <w:ind w:firstLine="1440"/>
      </w:pPr>
    </w:p>
    <w:p w:rsidR="00F931CF" w:rsidRDefault="00F931CF" w:rsidP="00F931CF">
      <w:pPr>
        <w:spacing w:line="360" w:lineRule="auto"/>
        <w:ind w:firstLine="1440"/>
      </w:pPr>
      <w:r>
        <w:t xml:space="preserve">I advised the parties that their on-the-record oral requests to withdraw the various Motions would be </w:t>
      </w:r>
      <w:proofErr w:type="gramStart"/>
      <w:r>
        <w:t>sufficient</w:t>
      </w:r>
      <w:proofErr w:type="gramEnd"/>
      <w:r>
        <w:t xml:space="preserve"> and that I would enter an appropriate order regarding those requests in this Scheduling Order.</w:t>
      </w:r>
    </w:p>
    <w:p w:rsidR="00F931CF" w:rsidRDefault="00F931CF" w:rsidP="00F931CF">
      <w:pPr>
        <w:spacing w:line="360" w:lineRule="auto"/>
        <w:ind w:firstLine="1440"/>
      </w:pPr>
    </w:p>
    <w:p w:rsidR="00F931CF" w:rsidRDefault="00F931CF" w:rsidP="00F931CF">
      <w:pPr>
        <w:spacing w:line="360" w:lineRule="auto"/>
        <w:ind w:firstLine="1440"/>
      </w:pPr>
      <w:r>
        <w:t xml:space="preserve">The next issue addressed was the litigation schedule.  The parties advised that </w:t>
      </w:r>
      <w:bookmarkStart w:id="0" w:name="_Hlk9937114"/>
      <w:r>
        <w:t>they had agreed upon the following schedule, which I agreed to adopt in this Scheduling Order:</w:t>
      </w:r>
    </w:p>
    <w:p w:rsidR="00F931CF" w:rsidRDefault="00F931CF" w:rsidP="00F931CF">
      <w:pPr>
        <w:spacing w:line="360" w:lineRule="auto"/>
        <w:ind w:firstLine="1440"/>
      </w:pPr>
    </w:p>
    <w:p w:rsidR="00F931CF" w:rsidRDefault="00F931CF" w:rsidP="00F931CF">
      <w:pPr>
        <w:spacing w:line="360" w:lineRule="auto"/>
        <w:ind w:firstLine="1440"/>
      </w:pPr>
      <w:r>
        <w:t>Non-Company Direct Testimony</w:t>
      </w:r>
      <w:r>
        <w:tab/>
      </w:r>
      <w:r>
        <w:tab/>
        <w:t>June 7, 2019</w:t>
      </w:r>
    </w:p>
    <w:p w:rsidR="00F931CF" w:rsidRDefault="00F931CF" w:rsidP="00F931CF">
      <w:pPr>
        <w:spacing w:line="360" w:lineRule="auto"/>
        <w:ind w:firstLine="1440"/>
      </w:pPr>
      <w:r>
        <w:t xml:space="preserve">Rebuttal Testimony </w:t>
      </w:r>
      <w:r>
        <w:tab/>
      </w:r>
      <w:r>
        <w:tab/>
      </w:r>
      <w:r>
        <w:tab/>
      </w:r>
      <w:r>
        <w:tab/>
        <w:t>June 18, 2019</w:t>
      </w:r>
    </w:p>
    <w:p w:rsidR="00F931CF" w:rsidRDefault="00F931CF" w:rsidP="00F931CF">
      <w:pPr>
        <w:spacing w:line="360" w:lineRule="auto"/>
        <w:ind w:firstLine="1440"/>
      </w:pPr>
      <w:r>
        <w:t>Surrebuttal Testimony</w:t>
      </w:r>
      <w:r>
        <w:tab/>
      </w:r>
      <w:r>
        <w:tab/>
      </w:r>
      <w:r>
        <w:tab/>
      </w:r>
      <w:r>
        <w:tab/>
        <w:t>June 26, 2019</w:t>
      </w:r>
    </w:p>
    <w:p w:rsidR="00F931CF" w:rsidRDefault="00F931CF" w:rsidP="00F931CF">
      <w:pPr>
        <w:spacing w:line="360" w:lineRule="auto"/>
        <w:ind w:firstLine="1440"/>
      </w:pPr>
      <w:r>
        <w:t>Hearings (With Oral Rejoinder Testimony)</w:t>
      </w:r>
      <w:r>
        <w:tab/>
        <w:t>June 27-28, 2019</w:t>
      </w:r>
    </w:p>
    <w:p w:rsidR="00F931CF" w:rsidRDefault="00F931CF" w:rsidP="00F931CF">
      <w:pPr>
        <w:spacing w:line="360" w:lineRule="auto"/>
        <w:ind w:firstLine="1440"/>
      </w:pPr>
      <w:r>
        <w:t>Main Briefs</w:t>
      </w:r>
      <w:r>
        <w:tab/>
      </w:r>
      <w:r>
        <w:tab/>
      </w:r>
      <w:r>
        <w:tab/>
      </w:r>
      <w:r>
        <w:tab/>
      </w:r>
      <w:r>
        <w:tab/>
        <w:t>July 10, 2019</w:t>
      </w:r>
    </w:p>
    <w:p w:rsidR="00F931CF" w:rsidRDefault="00F931CF" w:rsidP="00F931CF">
      <w:pPr>
        <w:spacing w:line="360" w:lineRule="auto"/>
        <w:ind w:firstLine="1440"/>
      </w:pPr>
      <w:r>
        <w:t>Reply Briefs</w:t>
      </w:r>
      <w:r>
        <w:tab/>
      </w:r>
      <w:r>
        <w:tab/>
      </w:r>
      <w:r>
        <w:tab/>
      </w:r>
      <w:r>
        <w:tab/>
      </w:r>
      <w:r>
        <w:tab/>
        <w:t>July 18, 2019</w:t>
      </w:r>
    </w:p>
    <w:p w:rsidR="00F931CF" w:rsidRDefault="00F931CF" w:rsidP="00F931CF">
      <w:pPr>
        <w:spacing w:line="360" w:lineRule="auto"/>
        <w:ind w:firstLine="1440"/>
      </w:pPr>
      <w:r>
        <w:t>Recommended Decision</w:t>
      </w:r>
      <w:r>
        <w:tab/>
      </w:r>
      <w:r>
        <w:tab/>
      </w:r>
      <w:r>
        <w:tab/>
        <w:t>August 9, 2019</w:t>
      </w:r>
    </w:p>
    <w:p w:rsidR="00F931CF" w:rsidRDefault="00F931CF" w:rsidP="00F931CF">
      <w:pPr>
        <w:spacing w:line="360" w:lineRule="auto"/>
        <w:ind w:firstLine="1440"/>
      </w:pPr>
      <w:r>
        <w:t>Exceptions</w:t>
      </w:r>
      <w:r>
        <w:tab/>
      </w:r>
      <w:r>
        <w:tab/>
      </w:r>
      <w:r>
        <w:tab/>
      </w:r>
      <w:r>
        <w:tab/>
      </w:r>
      <w:r>
        <w:tab/>
        <w:t>August 19, 2019</w:t>
      </w:r>
    </w:p>
    <w:p w:rsidR="00F931CF" w:rsidRDefault="00F931CF" w:rsidP="00F931CF">
      <w:pPr>
        <w:spacing w:line="360" w:lineRule="auto"/>
        <w:ind w:firstLine="1440"/>
      </w:pPr>
      <w:r>
        <w:t>Reply Exceptions</w:t>
      </w:r>
      <w:r>
        <w:tab/>
      </w:r>
      <w:r>
        <w:tab/>
      </w:r>
      <w:r>
        <w:tab/>
      </w:r>
      <w:r>
        <w:tab/>
        <w:t>August 27, 2019</w:t>
      </w:r>
    </w:p>
    <w:bookmarkEnd w:id="0"/>
    <w:p w:rsidR="00F931CF" w:rsidRDefault="00F931CF" w:rsidP="00F931CF">
      <w:pPr>
        <w:spacing w:line="360" w:lineRule="auto"/>
        <w:ind w:firstLine="1440"/>
      </w:pPr>
    </w:p>
    <w:p w:rsidR="00F931CF" w:rsidRDefault="00F931CF" w:rsidP="00F931CF">
      <w:pPr>
        <w:spacing w:line="360" w:lineRule="auto"/>
        <w:ind w:firstLine="1440"/>
      </w:pPr>
      <w:r>
        <w:t xml:space="preserve">The parties agreed that the above filings could be electronically filed no later than 4:30 </w:t>
      </w:r>
      <w:r w:rsidR="00B763A8">
        <w:t xml:space="preserve">p.m. </w:t>
      </w:r>
      <w:r>
        <w:t>in order to be considered as having been served on that day, provided that a hard copy of the filing was mailed to the parties the next business day.  The parties also agreed to the following modifications to the Commission’s discovery rules:</w:t>
      </w:r>
    </w:p>
    <w:p w:rsidR="00F931CF" w:rsidRPr="00AE7321" w:rsidRDefault="00F931CF" w:rsidP="00F931CF">
      <w:pPr>
        <w:numPr>
          <w:ilvl w:val="0"/>
          <w:numId w:val="6"/>
        </w:numPr>
        <w:ind w:left="1728" w:right="1440"/>
      </w:pPr>
      <w:r w:rsidRPr="00AE7321">
        <w:t>Answers to written interrogatories shall be served in-hand within five (5) calendar days of service.</w:t>
      </w:r>
    </w:p>
    <w:p w:rsidR="00F931CF" w:rsidRPr="00AE7321" w:rsidRDefault="00F931CF" w:rsidP="00F931CF">
      <w:pPr>
        <w:ind w:left="1728" w:right="1440"/>
      </w:pPr>
    </w:p>
    <w:p w:rsidR="00F931CF" w:rsidRPr="00AE7321" w:rsidRDefault="00F931CF" w:rsidP="00F931CF">
      <w:pPr>
        <w:numPr>
          <w:ilvl w:val="0"/>
          <w:numId w:val="6"/>
        </w:numPr>
        <w:ind w:left="1728" w:right="1440"/>
      </w:pPr>
      <w:r w:rsidRPr="00AE7321">
        <w:t>Objections to interrogatories shall be communicated orally within two (2) calendar days and in writing within three (3) calendar days of service of the interrogatories.</w:t>
      </w:r>
    </w:p>
    <w:p w:rsidR="00F931CF" w:rsidRPr="00AE7321" w:rsidRDefault="00F931CF" w:rsidP="00F931CF">
      <w:pPr>
        <w:ind w:left="1728" w:right="1440"/>
      </w:pPr>
    </w:p>
    <w:p w:rsidR="00F931CF" w:rsidRPr="00AE7321" w:rsidRDefault="00F931CF" w:rsidP="00F931CF">
      <w:pPr>
        <w:numPr>
          <w:ilvl w:val="0"/>
          <w:numId w:val="6"/>
        </w:numPr>
        <w:ind w:left="1728" w:right="1440"/>
      </w:pPr>
      <w:r w:rsidRPr="00AE7321">
        <w:t>Motions to dismiss objections and/or direct the answering of interrogatories shall be filed within two (2) calendar days of service of the written objections.</w:t>
      </w:r>
    </w:p>
    <w:p w:rsidR="00F931CF" w:rsidRPr="00AE7321" w:rsidRDefault="00F931CF" w:rsidP="00F931CF">
      <w:pPr>
        <w:ind w:left="1728" w:right="1440"/>
      </w:pPr>
    </w:p>
    <w:p w:rsidR="00F931CF" w:rsidRPr="00AE7321" w:rsidRDefault="00F931CF" w:rsidP="00F931CF">
      <w:pPr>
        <w:numPr>
          <w:ilvl w:val="0"/>
          <w:numId w:val="6"/>
        </w:numPr>
        <w:ind w:left="1728" w:right="1440"/>
      </w:pPr>
      <w:r w:rsidRPr="00AE7321">
        <w:t>Answers to motions to dismiss objections and/or direct the answering of interrogatories shall be filed within two (2) calendar days of service of such motions.</w:t>
      </w:r>
    </w:p>
    <w:p w:rsidR="00F931CF" w:rsidRPr="00AE7321" w:rsidRDefault="00F931CF" w:rsidP="00F931CF">
      <w:pPr>
        <w:ind w:left="1728" w:right="1440"/>
      </w:pPr>
    </w:p>
    <w:p w:rsidR="00F931CF" w:rsidRPr="00AE7321" w:rsidRDefault="00F931CF" w:rsidP="00F931CF">
      <w:pPr>
        <w:numPr>
          <w:ilvl w:val="0"/>
          <w:numId w:val="6"/>
        </w:numPr>
        <w:ind w:left="1728" w:right="1440"/>
      </w:pPr>
      <w:r w:rsidRPr="00AE7321">
        <w:t>Responses to requests for document production, entry for inspection, or other purposes must be served in-hand within five (5) calendar days.</w:t>
      </w:r>
    </w:p>
    <w:p w:rsidR="00F931CF" w:rsidRPr="00AE7321" w:rsidRDefault="00F931CF" w:rsidP="00F931CF">
      <w:pPr>
        <w:ind w:left="1728" w:right="1440"/>
      </w:pPr>
    </w:p>
    <w:p w:rsidR="00F931CF" w:rsidRDefault="00F931CF" w:rsidP="00F931CF">
      <w:pPr>
        <w:numPr>
          <w:ilvl w:val="0"/>
          <w:numId w:val="6"/>
        </w:numPr>
        <w:ind w:left="1728" w:right="1440"/>
      </w:pPr>
      <w:r w:rsidRPr="00AE7321">
        <w:t>Requests for admissions will be deemed admitted unless answered or denied within three (3) calendar days of service.</w:t>
      </w:r>
    </w:p>
    <w:p w:rsidR="00F931CF" w:rsidRDefault="00F931CF" w:rsidP="00F931CF">
      <w:pPr>
        <w:ind w:left="1728" w:right="1440"/>
      </w:pPr>
    </w:p>
    <w:p w:rsidR="00F931CF" w:rsidRPr="00AE7321" w:rsidRDefault="00F931CF" w:rsidP="00F931CF">
      <w:pPr>
        <w:numPr>
          <w:ilvl w:val="0"/>
          <w:numId w:val="6"/>
        </w:numPr>
        <w:ind w:left="1728" w:right="1440"/>
      </w:pPr>
      <w:r w:rsidRPr="00AE7321">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rsidR="00F931CF" w:rsidRPr="00AE7321" w:rsidRDefault="00F931CF" w:rsidP="00F931CF">
      <w:pPr>
        <w:ind w:left="1728" w:right="1440"/>
      </w:pPr>
    </w:p>
    <w:p w:rsidR="00F931CF" w:rsidRPr="00AE7321" w:rsidRDefault="00F931CF" w:rsidP="00F931CF">
      <w:pPr>
        <w:numPr>
          <w:ilvl w:val="0"/>
          <w:numId w:val="6"/>
        </w:numPr>
        <w:ind w:left="1728" w:right="1440"/>
      </w:pPr>
      <w:r w:rsidRPr="00AE7321">
        <w:t xml:space="preserve">The parties are directed to make every reasonable effort to comply with the discovery response times set forth in this agreement.  In those instances when compliance is not possible, despite a party’s best efforts, the responding party shall so </w:t>
      </w:r>
      <w:proofErr w:type="gramStart"/>
      <w:r w:rsidRPr="00AE7321">
        <w:t>advise</w:t>
      </w:r>
      <w:proofErr w:type="gramEnd"/>
      <w:r w:rsidRPr="00AE7321">
        <w:t xml:space="preserve"> and the parties shall work together to address the requests and responses on a timely basis.</w:t>
      </w:r>
    </w:p>
    <w:p w:rsidR="00F931CF" w:rsidRPr="00AE7321" w:rsidRDefault="00F931CF" w:rsidP="00F931CF">
      <w:pPr>
        <w:ind w:left="1728" w:right="1440"/>
      </w:pPr>
    </w:p>
    <w:p w:rsidR="00F931CF" w:rsidRDefault="00F931CF" w:rsidP="00F931CF">
      <w:pPr>
        <w:numPr>
          <w:ilvl w:val="0"/>
          <w:numId w:val="6"/>
        </w:numPr>
        <w:ind w:left="1728" w:right="1440"/>
      </w:pPr>
      <w:r w:rsidRPr="00AE7321">
        <w:t>These discovery rule modifications are for the limited purpose of this proceeding and should not be viewed as binding, or otherwise limiting, upon positions taken by the parties in any other proceeding.</w:t>
      </w:r>
    </w:p>
    <w:p w:rsidR="00F931CF" w:rsidRDefault="00F931CF" w:rsidP="00F931CF">
      <w:pPr>
        <w:ind w:left="1728" w:right="1440"/>
      </w:pPr>
    </w:p>
    <w:p w:rsidR="00F931CF" w:rsidRDefault="00F931CF" w:rsidP="00F931CF">
      <w:pPr>
        <w:ind w:left="1728" w:right="1440"/>
      </w:pPr>
    </w:p>
    <w:p w:rsidR="00F931CF" w:rsidRDefault="00F931CF" w:rsidP="00F931CF">
      <w:pPr>
        <w:tabs>
          <w:tab w:val="left" w:pos="-720"/>
          <w:tab w:val="left" w:pos="1260"/>
          <w:tab w:val="left" w:pos="2070"/>
        </w:tabs>
        <w:suppressAutoHyphens/>
        <w:spacing w:line="360" w:lineRule="auto"/>
        <w:ind w:firstLine="1440"/>
      </w:pPr>
      <w:r>
        <w:t>Finally, t</w:t>
      </w:r>
      <w:r w:rsidRPr="00884CFF">
        <w:t>he parties were reminded that Commission policy promotes settlements.  52 Pa. Code §5.231(a).  The parties are encouraged to commence settlement discussions as early as possible.  Even if the parties are unable to settle this case, they may still resolve some of the questions or issues during their discussions</w:t>
      </w:r>
      <w:r>
        <w:t xml:space="preserve">.  </w:t>
      </w:r>
      <w:r w:rsidRPr="00884CFF">
        <w:t xml:space="preserve">If the parties reach an agreement on all issues, a formal hearing will not be </w:t>
      </w:r>
      <w:proofErr w:type="gramStart"/>
      <w:r w:rsidRPr="00884CFF">
        <w:t>necessary</w:t>
      </w:r>
      <w:proofErr w:type="gramEnd"/>
      <w:r w:rsidRPr="00884CFF">
        <w:t xml:space="preserve"> and the scheduled hearing will be cancelled.  The parties are reminded, however, that decisions of the Commission must be supported by substantial evidence.  2 Pa. C.S. § 704.  Any settlement submitted for approval must be supported by substantial evidence</w:t>
      </w:r>
      <w:r>
        <w:t xml:space="preserve">, with </w:t>
      </w:r>
      <w:proofErr w:type="gramStart"/>
      <w:r>
        <w:t>sufficient</w:t>
      </w:r>
      <w:proofErr w:type="gramEnd"/>
      <w:r>
        <w:t xml:space="preserve"> facts set forth by the parties to meet this evidentiary requirement.</w:t>
      </w:r>
    </w:p>
    <w:p w:rsidR="00F931CF" w:rsidRDefault="00F931CF" w:rsidP="00F931CF">
      <w:pPr>
        <w:tabs>
          <w:tab w:val="left" w:pos="-720"/>
          <w:tab w:val="left" w:pos="1260"/>
          <w:tab w:val="left" w:pos="2070"/>
        </w:tabs>
        <w:suppressAutoHyphens/>
        <w:spacing w:line="360" w:lineRule="auto"/>
        <w:ind w:firstLine="1440"/>
      </w:pPr>
    </w:p>
    <w:p w:rsidR="00F931CF" w:rsidRDefault="00F931CF" w:rsidP="00F931CF">
      <w:pPr>
        <w:spacing w:line="360" w:lineRule="auto"/>
        <w:jc w:val="center"/>
        <w:rPr>
          <w:u w:val="single"/>
        </w:rPr>
      </w:pPr>
      <w:r w:rsidRPr="007A739B">
        <w:rPr>
          <w:u w:val="single"/>
        </w:rPr>
        <w:t>ORDER</w:t>
      </w:r>
    </w:p>
    <w:p w:rsidR="00F931CF" w:rsidRDefault="00F931CF" w:rsidP="00F931CF">
      <w:pPr>
        <w:spacing w:line="360" w:lineRule="auto"/>
        <w:jc w:val="center"/>
      </w:pPr>
    </w:p>
    <w:p w:rsidR="00F42C7D" w:rsidRDefault="00F42C7D" w:rsidP="00F931CF">
      <w:pPr>
        <w:spacing w:line="360" w:lineRule="auto"/>
        <w:jc w:val="center"/>
      </w:pPr>
    </w:p>
    <w:p w:rsidR="00F931CF" w:rsidRPr="007A739B" w:rsidRDefault="00F931CF" w:rsidP="00F931CF">
      <w:pPr>
        <w:spacing w:line="360" w:lineRule="auto"/>
        <w:ind w:firstLine="720"/>
      </w:pPr>
      <w:r>
        <w:tab/>
      </w:r>
      <w:r w:rsidRPr="007A739B">
        <w:t>THEREFORE,</w:t>
      </w:r>
    </w:p>
    <w:p w:rsidR="00F931CF" w:rsidRPr="007A739B" w:rsidRDefault="00F931CF" w:rsidP="00F931CF">
      <w:pPr>
        <w:spacing w:line="360" w:lineRule="auto"/>
        <w:ind w:firstLine="720"/>
      </w:pPr>
    </w:p>
    <w:p w:rsidR="00F931CF" w:rsidRPr="007A739B" w:rsidRDefault="00F931CF" w:rsidP="00F931CF">
      <w:pPr>
        <w:spacing w:line="360" w:lineRule="auto"/>
        <w:ind w:firstLine="720"/>
      </w:pPr>
      <w:r>
        <w:tab/>
      </w:r>
      <w:r w:rsidRPr="007A739B">
        <w:t>IT IS ORDERED:</w:t>
      </w:r>
    </w:p>
    <w:p w:rsidR="00F931CF" w:rsidRPr="007A739B" w:rsidRDefault="00F931CF" w:rsidP="00F931CF">
      <w:pPr>
        <w:pStyle w:val="Style"/>
        <w:widowControl/>
        <w:spacing w:line="360" w:lineRule="auto"/>
        <w:ind w:firstLine="1440"/>
        <w:rPr>
          <w:color w:val="000000"/>
        </w:rPr>
      </w:pPr>
    </w:p>
    <w:p w:rsidR="00F931CF" w:rsidRPr="001B575A" w:rsidRDefault="00F931CF" w:rsidP="00F931CF">
      <w:pPr>
        <w:pStyle w:val="Style"/>
        <w:widowControl/>
        <w:numPr>
          <w:ilvl w:val="0"/>
          <w:numId w:val="7"/>
        </w:numPr>
        <w:spacing w:line="360" w:lineRule="auto"/>
        <w:ind w:left="0" w:firstLine="1440"/>
        <w:rPr>
          <w:color w:val="000000"/>
        </w:rPr>
      </w:pPr>
      <w:r w:rsidRPr="007A739B">
        <w:rPr>
          <w:color w:val="000000"/>
        </w:rPr>
        <w:t xml:space="preserve">That the </w:t>
      </w:r>
      <w:r>
        <w:t>Petition to Intervene filed by Exeter Township on December 28, 2018 is hereby granted.</w:t>
      </w:r>
    </w:p>
    <w:p w:rsidR="00F931CF" w:rsidRPr="007458A5" w:rsidRDefault="00F931CF" w:rsidP="00F931CF">
      <w:pPr>
        <w:pStyle w:val="Style"/>
        <w:widowControl/>
        <w:spacing w:line="360" w:lineRule="auto"/>
        <w:ind w:left="1440"/>
        <w:rPr>
          <w:color w:val="000000"/>
        </w:rPr>
      </w:pPr>
    </w:p>
    <w:p w:rsidR="00F931CF" w:rsidRPr="00282974" w:rsidRDefault="00F931CF" w:rsidP="00F931CF">
      <w:pPr>
        <w:pStyle w:val="Style"/>
        <w:widowControl/>
        <w:numPr>
          <w:ilvl w:val="0"/>
          <w:numId w:val="7"/>
        </w:numPr>
        <w:spacing w:line="360" w:lineRule="auto"/>
        <w:ind w:left="0" w:firstLine="1440"/>
        <w:rPr>
          <w:color w:val="000000"/>
        </w:rPr>
      </w:pPr>
      <w:r>
        <w:t>That the Petition to Intervene filed by the Borough of St. Lawrence on January 7, 2019 is hereby granted.</w:t>
      </w:r>
    </w:p>
    <w:p w:rsidR="00F931CF" w:rsidRDefault="00F931CF" w:rsidP="00F931CF">
      <w:pPr>
        <w:pStyle w:val="Style"/>
        <w:widowControl/>
        <w:spacing w:line="360" w:lineRule="auto"/>
        <w:ind w:left="1440"/>
      </w:pPr>
    </w:p>
    <w:p w:rsidR="00F931CF" w:rsidRPr="007E776E" w:rsidRDefault="00F931CF" w:rsidP="00F931CF">
      <w:pPr>
        <w:pStyle w:val="Style"/>
        <w:widowControl/>
        <w:numPr>
          <w:ilvl w:val="0"/>
          <w:numId w:val="7"/>
        </w:numPr>
        <w:spacing w:line="360" w:lineRule="auto"/>
        <w:ind w:left="0" w:firstLine="1440"/>
        <w:rPr>
          <w:color w:val="000000"/>
        </w:rPr>
      </w:pPr>
      <w:r>
        <w:t>That the following litigation schedule is adopted for this case:</w:t>
      </w:r>
    </w:p>
    <w:p w:rsidR="00F931CF" w:rsidRDefault="00F931CF" w:rsidP="00F931CF">
      <w:pPr>
        <w:pStyle w:val="Style"/>
        <w:widowControl/>
        <w:spacing w:line="360" w:lineRule="auto"/>
      </w:pPr>
    </w:p>
    <w:p w:rsidR="00F931CF" w:rsidRDefault="00F931CF" w:rsidP="00F931CF">
      <w:pPr>
        <w:spacing w:line="360" w:lineRule="auto"/>
        <w:ind w:firstLine="1440"/>
      </w:pPr>
      <w:r>
        <w:t>Non-Company Direct Testimony</w:t>
      </w:r>
      <w:r>
        <w:tab/>
      </w:r>
      <w:r>
        <w:tab/>
        <w:t>June 7, 2019</w:t>
      </w:r>
    </w:p>
    <w:p w:rsidR="00F931CF" w:rsidRDefault="00F931CF" w:rsidP="00F931CF">
      <w:pPr>
        <w:spacing w:line="360" w:lineRule="auto"/>
        <w:ind w:firstLine="1440"/>
      </w:pPr>
      <w:r>
        <w:t xml:space="preserve">Rebuttal Testimony </w:t>
      </w:r>
      <w:r>
        <w:tab/>
      </w:r>
      <w:r>
        <w:tab/>
      </w:r>
      <w:r>
        <w:tab/>
      </w:r>
      <w:r>
        <w:tab/>
        <w:t>June 18, 2019</w:t>
      </w:r>
    </w:p>
    <w:p w:rsidR="00F931CF" w:rsidRDefault="00F931CF" w:rsidP="00F931CF">
      <w:pPr>
        <w:spacing w:line="360" w:lineRule="auto"/>
        <w:ind w:firstLine="1440"/>
      </w:pPr>
      <w:r>
        <w:t>Surrebuttal Testimony</w:t>
      </w:r>
      <w:r>
        <w:tab/>
      </w:r>
      <w:r>
        <w:tab/>
      </w:r>
      <w:r>
        <w:tab/>
      </w:r>
      <w:r>
        <w:tab/>
        <w:t>June 26, 2019</w:t>
      </w:r>
    </w:p>
    <w:p w:rsidR="00F931CF" w:rsidRDefault="00F931CF" w:rsidP="00F931CF">
      <w:pPr>
        <w:spacing w:line="360" w:lineRule="auto"/>
        <w:ind w:firstLine="1440"/>
      </w:pPr>
      <w:r>
        <w:t>Hearings (With Oral Rejoinder Testimony)</w:t>
      </w:r>
      <w:r>
        <w:tab/>
        <w:t>June 27-28, 2019</w:t>
      </w:r>
    </w:p>
    <w:p w:rsidR="00F931CF" w:rsidRDefault="00F931CF" w:rsidP="00F931CF">
      <w:pPr>
        <w:spacing w:line="360" w:lineRule="auto"/>
        <w:ind w:firstLine="1440"/>
      </w:pPr>
      <w:r>
        <w:t>Main Briefs</w:t>
      </w:r>
      <w:r>
        <w:tab/>
      </w:r>
      <w:r>
        <w:tab/>
      </w:r>
      <w:r>
        <w:tab/>
      </w:r>
      <w:r>
        <w:tab/>
      </w:r>
      <w:r>
        <w:tab/>
        <w:t>July 10, 2019</w:t>
      </w:r>
    </w:p>
    <w:p w:rsidR="00F931CF" w:rsidRDefault="00F931CF" w:rsidP="00F931CF">
      <w:pPr>
        <w:spacing w:line="360" w:lineRule="auto"/>
        <w:ind w:firstLine="1440"/>
      </w:pPr>
      <w:r>
        <w:t>Reply Briefs</w:t>
      </w:r>
      <w:r>
        <w:tab/>
      </w:r>
      <w:r>
        <w:tab/>
      </w:r>
      <w:r>
        <w:tab/>
      </w:r>
      <w:r>
        <w:tab/>
      </w:r>
      <w:r>
        <w:tab/>
        <w:t>July 18, 2019</w:t>
      </w:r>
    </w:p>
    <w:p w:rsidR="00F931CF" w:rsidRDefault="00F931CF" w:rsidP="00F931CF">
      <w:pPr>
        <w:spacing w:line="360" w:lineRule="auto"/>
        <w:ind w:firstLine="1440"/>
      </w:pPr>
      <w:r>
        <w:t>Recommended Decision</w:t>
      </w:r>
      <w:r>
        <w:tab/>
      </w:r>
      <w:r>
        <w:tab/>
      </w:r>
      <w:r>
        <w:tab/>
        <w:t>August 9, 2019</w:t>
      </w:r>
    </w:p>
    <w:p w:rsidR="00F931CF" w:rsidRDefault="00F931CF" w:rsidP="00F931CF">
      <w:pPr>
        <w:spacing w:line="360" w:lineRule="auto"/>
        <w:ind w:firstLine="1440"/>
      </w:pPr>
      <w:r>
        <w:t>Exceptions</w:t>
      </w:r>
      <w:r>
        <w:tab/>
      </w:r>
      <w:r>
        <w:tab/>
      </w:r>
      <w:r>
        <w:tab/>
      </w:r>
      <w:r>
        <w:tab/>
      </w:r>
      <w:r>
        <w:tab/>
        <w:t>August 19, 2019</w:t>
      </w:r>
    </w:p>
    <w:p w:rsidR="00F931CF" w:rsidRDefault="00F931CF" w:rsidP="00F931CF">
      <w:pPr>
        <w:spacing w:line="360" w:lineRule="auto"/>
        <w:ind w:firstLine="1440"/>
      </w:pPr>
      <w:r>
        <w:t>Reply Exceptions</w:t>
      </w:r>
      <w:r>
        <w:tab/>
      </w:r>
      <w:r>
        <w:tab/>
      </w:r>
      <w:r>
        <w:tab/>
      </w:r>
      <w:r>
        <w:tab/>
        <w:t>August 27, 2019</w:t>
      </w:r>
    </w:p>
    <w:p w:rsidR="00F931CF" w:rsidRDefault="00F931CF" w:rsidP="00F931CF">
      <w:pPr>
        <w:spacing w:line="360" w:lineRule="auto"/>
        <w:ind w:firstLine="1440"/>
      </w:pPr>
    </w:p>
    <w:p w:rsidR="00F931CF" w:rsidRPr="007E776E" w:rsidRDefault="00F931CF" w:rsidP="00F931CF">
      <w:pPr>
        <w:pStyle w:val="Style"/>
        <w:widowControl/>
        <w:numPr>
          <w:ilvl w:val="0"/>
          <w:numId w:val="7"/>
        </w:numPr>
        <w:spacing w:line="360" w:lineRule="auto"/>
        <w:ind w:left="0" w:firstLine="1440"/>
        <w:rPr>
          <w:color w:val="000000"/>
        </w:rPr>
      </w:pPr>
      <w:r>
        <w:t>That the Office of Consumer Advocate’s Petition to Reject or Hold in Abeyance, filed on December 14, 2018, is hereby withdrawn without prejudice and with leave to re-file with the legal arguments set forth in the Motion preserved.</w:t>
      </w:r>
    </w:p>
    <w:p w:rsidR="00F931CF" w:rsidRPr="00C745CC" w:rsidRDefault="00F931CF" w:rsidP="00F931CF">
      <w:pPr>
        <w:pStyle w:val="Style"/>
        <w:widowControl/>
        <w:spacing w:line="360" w:lineRule="auto"/>
        <w:ind w:left="1440"/>
        <w:rPr>
          <w:color w:val="000000"/>
        </w:rPr>
      </w:pPr>
    </w:p>
    <w:p w:rsidR="00F931CF" w:rsidRPr="00F931CF" w:rsidRDefault="00F931CF" w:rsidP="00F931CF">
      <w:pPr>
        <w:pStyle w:val="Style"/>
        <w:widowControl/>
        <w:numPr>
          <w:ilvl w:val="0"/>
          <w:numId w:val="7"/>
        </w:numPr>
        <w:spacing w:line="360" w:lineRule="auto"/>
        <w:ind w:left="0" w:firstLine="1440"/>
        <w:rPr>
          <w:color w:val="000000"/>
        </w:rPr>
      </w:pPr>
      <w:r>
        <w:t>That the Bureau of Investigation and Enforcement’s Motion to Reject or Hold in Abeyance, filed on December 20, 2018, is hereby withdrawn without prejudice and with leave to re-file with the legal arguments set forth in the Motion preserved.</w:t>
      </w:r>
    </w:p>
    <w:p w:rsidR="00F931CF" w:rsidRPr="007E776E" w:rsidRDefault="00F931CF" w:rsidP="00F931CF">
      <w:pPr>
        <w:pStyle w:val="Style"/>
        <w:widowControl/>
        <w:spacing w:line="360" w:lineRule="auto"/>
        <w:ind w:left="1440"/>
        <w:rPr>
          <w:color w:val="000000"/>
        </w:rPr>
      </w:pPr>
    </w:p>
    <w:p w:rsidR="00F931CF" w:rsidRPr="00C745CC" w:rsidRDefault="00F931CF" w:rsidP="00F931CF">
      <w:pPr>
        <w:pStyle w:val="Style"/>
        <w:widowControl/>
        <w:numPr>
          <w:ilvl w:val="0"/>
          <w:numId w:val="7"/>
        </w:numPr>
        <w:spacing w:line="360" w:lineRule="auto"/>
        <w:ind w:left="0" w:firstLine="1440"/>
        <w:rPr>
          <w:color w:val="000000"/>
        </w:rPr>
      </w:pPr>
      <w:bookmarkStart w:id="1" w:name="_Hlk9936874"/>
      <w:r>
        <w:t>That the Office of Consumer Advocate’s Petition for Stay, filed on January 14, 2019, is hereby withdrawn without prejudice and with leave to re-file with the legal arguments set forth in the Motion preserved.</w:t>
      </w:r>
    </w:p>
    <w:p w:rsidR="00F931CF" w:rsidRPr="00C745CC" w:rsidRDefault="00F931CF" w:rsidP="00F931CF">
      <w:pPr>
        <w:pStyle w:val="Style"/>
        <w:widowControl/>
        <w:spacing w:line="360" w:lineRule="auto"/>
        <w:ind w:left="1440"/>
        <w:rPr>
          <w:color w:val="000000"/>
        </w:rPr>
      </w:pPr>
    </w:p>
    <w:bookmarkEnd w:id="1"/>
    <w:p w:rsidR="00F931CF" w:rsidRPr="001B575A" w:rsidRDefault="00F931CF" w:rsidP="00F931CF">
      <w:pPr>
        <w:pStyle w:val="Style"/>
        <w:widowControl/>
        <w:numPr>
          <w:ilvl w:val="0"/>
          <w:numId w:val="7"/>
        </w:numPr>
        <w:spacing w:line="360" w:lineRule="auto"/>
        <w:ind w:left="0" w:firstLine="1440"/>
        <w:rPr>
          <w:color w:val="000000"/>
        </w:rPr>
      </w:pPr>
      <w:r>
        <w:t>That the Office of Consumer Advocate’s Motion to Expedite Discovery, filed on April 18, 2019, is hereby withdrawn without prejudice and with leave to re-file with the legal arguments set forth in the Motion preserved.</w:t>
      </w:r>
    </w:p>
    <w:p w:rsidR="00F931CF" w:rsidRDefault="00F931CF" w:rsidP="00F931CF">
      <w:pPr>
        <w:pStyle w:val="Style"/>
        <w:widowControl/>
        <w:spacing w:line="360" w:lineRule="auto"/>
        <w:ind w:left="1440"/>
        <w:rPr>
          <w:color w:val="000000"/>
        </w:rPr>
      </w:pPr>
    </w:p>
    <w:p w:rsidR="00F931CF" w:rsidRPr="00B76F84" w:rsidRDefault="00F931CF" w:rsidP="00F931CF">
      <w:pPr>
        <w:pStyle w:val="Style"/>
        <w:widowControl/>
        <w:numPr>
          <w:ilvl w:val="0"/>
          <w:numId w:val="7"/>
        </w:numPr>
        <w:spacing w:line="360" w:lineRule="auto"/>
        <w:ind w:left="0" w:firstLine="1440"/>
        <w:rPr>
          <w:color w:val="000000"/>
        </w:rPr>
      </w:pPr>
      <w:r>
        <w:t xml:space="preserve">That the parties </w:t>
      </w:r>
      <w:r w:rsidRPr="009C3FE7">
        <w:t xml:space="preserve">shall receive all documents and shall copy all other parties on documents they file with the Commission or serve on </w:t>
      </w:r>
      <w:r w:rsidR="00761B29">
        <w:t>me</w:t>
      </w:r>
      <w:r w:rsidRPr="009C3FE7">
        <w:t xml:space="preserve">.  </w:t>
      </w:r>
      <w:r w:rsidR="00484D89">
        <w:t>T</w:t>
      </w:r>
      <w:r w:rsidRPr="00B76F84">
        <w:rPr>
          <w:spacing w:val="-3"/>
        </w:rPr>
        <w:t>he parties shall serve the documents listed</w:t>
      </w:r>
      <w:r>
        <w:rPr>
          <w:spacing w:val="-3"/>
        </w:rPr>
        <w:t xml:space="preserve"> in Ordering Paragraph Number 3 </w:t>
      </w:r>
      <w:r w:rsidRPr="00B76F84">
        <w:rPr>
          <w:spacing w:val="-3"/>
        </w:rPr>
        <w:t xml:space="preserve">above so that the documents are received in-hand by the parties and presiding officer no later than 4:30 </w:t>
      </w:r>
      <w:r w:rsidR="00B763A8">
        <w:rPr>
          <w:spacing w:val="-3"/>
        </w:rPr>
        <w:t xml:space="preserve">p.m. </w:t>
      </w:r>
      <w:r>
        <w:rPr>
          <w:spacing w:val="-3"/>
        </w:rPr>
        <w:t>o</w:t>
      </w:r>
      <w:r w:rsidRPr="00B76F84">
        <w:rPr>
          <w:spacing w:val="-3"/>
        </w:rPr>
        <w:t xml:space="preserve">n the dates listed.  </w:t>
      </w:r>
      <w:r w:rsidR="00761B29">
        <w:rPr>
          <w:spacing w:val="-3"/>
        </w:rPr>
        <w:t>The p</w:t>
      </w:r>
      <w:r w:rsidRPr="00B76F84">
        <w:rPr>
          <w:spacing w:val="-3"/>
        </w:rPr>
        <w:t>arties may serve th</w:t>
      </w:r>
      <w:r>
        <w:rPr>
          <w:spacing w:val="-3"/>
        </w:rPr>
        <w:t>ose d</w:t>
      </w:r>
      <w:r w:rsidRPr="00B76F84">
        <w:rPr>
          <w:spacing w:val="-3"/>
        </w:rPr>
        <w:t>ocuments via e-mail to meet this requirement, with hard copy to follow by regular first class mail</w:t>
      </w:r>
      <w:r>
        <w:rPr>
          <w:spacing w:val="-3"/>
        </w:rPr>
        <w:t xml:space="preserve"> the following business day</w:t>
      </w:r>
      <w:r w:rsidRPr="00B76F84">
        <w:rPr>
          <w:spacing w:val="-3"/>
        </w:rPr>
        <w:t xml:space="preserve">, so long as the electronic version is Microsoft Word compatible and no larger than 5 MB per email.  </w:t>
      </w:r>
      <w:r w:rsidR="00130787">
        <w:rPr>
          <w:spacing w:val="-3"/>
        </w:rPr>
        <w:t>The p</w:t>
      </w:r>
      <w:r w:rsidRPr="00B76F84">
        <w:rPr>
          <w:spacing w:val="-3"/>
        </w:rPr>
        <w:t xml:space="preserve">arties shall not file testimony with the </w:t>
      </w:r>
      <w:proofErr w:type="gramStart"/>
      <w:r w:rsidRPr="00B76F84">
        <w:rPr>
          <w:spacing w:val="-3"/>
        </w:rPr>
        <w:t>Commission, but</w:t>
      </w:r>
      <w:proofErr w:type="gramEnd"/>
      <w:r w:rsidRPr="00B76F84">
        <w:rPr>
          <w:spacing w:val="-3"/>
        </w:rPr>
        <w:t xml:space="preserve"> shall file a certificate of service.</w:t>
      </w:r>
    </w:p>
    <w:p w:rsidR="00F931CF" w:rsidRPr="00B76F84" w:rsidRDefault="00F931CF" w:rsidP="00F931CF">
      <w:pPr>
        <w:pStyle w:val="Style"/>
        <w:widowControl/>
        <w:spacing w:line="360" w:lineRule="auto"/>
        <w:ind w:left="1440"/>
        <w:rPr>
          <w:color w:val="000000"/>
        </w:rPr>
      </w:pPr>
    </w:p>
    <w:p w:rsidR="00F931CF" w:rsidRPr="00B76F84" w:rsidRDefault="00F931CF" w:rsidP="00F931CF">
      <w:pPr>
        <w:pStyle w:val="Style"/>
        <w:widowControl/>
        <w:numPr>
          <w:ilvl w:val="0"/>
          <w:numId w:val="7"/>
        </w:numPr>
        <w:spacing w:line="360" w:lineRule="auto"/>
        <w:ind w:left="0" w:firstLine="1440"/>
        <w:rPr>
          <w:color w:val="000000"/>
        </w:rPr>
      </w:pPr>
      <w:r w:rsidRPr="009C3FE7">
        <w:t>That written testimony shall comply with the requirements of 52 Pa. Code §5.412 and shall be marked with numerical, sequential statement numbers.  Parties serving pre-served testimony pursuant to 52 Pa. Code § 5.412(f) are required, within thirty (30) days after the final hearing, to either e</w:t>
      </w:r>
      <w:r>
        <w:t>-</w:t>
      </w:r>
      <w:r w:rsidRPr="009C3FE7">
        <w:t>File with or provide to the Secretary’s Bureau a Compact Disc (CD) containing all testimony furnished to the court reporter during the proceeding, consistent with the Commission’s Implementation Order, dated January 10, 2013, at Docket No. M-2012-2331973.</w:t>
      </w:r>
    </w:p>
    <w:p w:rsidR="00F931CF" w:rsidRPr="00B76F84" w:rsidRDefault="00F931CF" w:rsidP="00F931CF">
      <w:pPr>
        <w:pStyle w:val="Style"/>
        <w:widowControl/>
        <w:numPr>
          <w:ilvl w:val="0"/>
          <w:numId w:val="7"/>
        </w:numPr>
        <w:spacing w:line="360" w:lineRule="auto"/>
        <w:ind w:left="0" w:firstLine="1440"/>
        <w:rPr>
          <w:color w:val="000000"/>
        </w:rPr>
      </w:pPr>
      <w:r w:rsidRPr="00E26B95">
        <w:t>That all parties shall comply with the provisions of 52 Pa. Code §5.243(e) which prohibits the introduction of evidence during rebuttal which should have been included in the party’s case-in-chief or which substantially varies from the party’s case-in-chief, unless the party is introducing evidence in support of a proposed settlement.</w:t>
      </w:r>
    </w:p>
    <w:p w:rsidR="00F931CF" w:rsidRDefault="00F931CF" w:rsidP="00F931CF">
      <w:pPr>
        <w:spacing w:line="360" w:lineRule="auto"/>
        <w:ind w:left="1440"/>
      </w:pPr>
    </w:p>
    <w:p w:rsidR="00F931CF" w:rsidRPr="008077E7" w:rsidRDefault="00F931CF" w:rsidP="00F931CF">
      <w:pPr>
        <w:pStyle w:val="Style"/>
        <w:widowControl/>
        <w:numPr>
          <w:ilvl w:val="0"/>
          <w:numId w:val="7"/>
        </w:numPr>
        <w:spacing w:line="360" w:lineRule="auto"/>
        <w:ind w:left="0" w:firstLine="1440"/>
        <w:rPr>
          <w:color w:val="000000"/>
        </w:rPr>
      </w:pPr>
      <w:r w:rsidRPr="00E26B95">
        <w:t>That the parties shall conduct discovery pursuant to 52 Pa. Code §§5.321-5.373, subject to the below-listed modifications:</w:t>
      </w:r>
    </w:p>
    <w:p w:rsidR="00F931CF" w:rsidRDefault="00F931CF" w:rsidP="00F931CF">
      <w:pPr>
        <w:pStyle w:val="Style"/>
        <w:widowControl/>
        <w:spacing w:line="360" w:lineRule="auto"/>
        <w:ind w:left="1440"/>
      </w:pPr>
    </w:p>
    <w:p w:rsidR="00F931CF" w:rsidRPr="008077E7" w:rsidRDefault="00F931CF" w:rsidP="00F931CF">
      <w:pPr>
        <w:pStyle w:val="Style"/>
        <w:ind w:left="1440" w:right="1440"/>
        <w:rPr>
          <w:color w:val="000000"/>
        </w:rPr>
      </w:pPr>
      <w:r w:rsidRPr="008077E7">
        <w:rPr>
          <w:color w:val="000000"/>
        </w:rPr>
        <w:t>a.</w:t>
      </w:r>
      <w:r w:rsidRPr="008077E7">
        <w:rPr>
          <w:color w:val="000000"/>
        </w:rPr>
        <w:tab/>
        <w:t>Answers to written interrogatories shall be served in-hand within five (5) calendar days of service.</w:t>
      </w:r>
    </w:p>
    <w:p w:rsidR="00F931CF" w:rsidRPr="008077E7" w:rsidRDefault="00F931CF" w:rsidP="00F931CF">
      <w:pPr>
        <w:pStyle w:val="Style"/>
        <w:ind w:left="1440" w:right="1440"/>
        <w:rPr>
          <w:color w:val="000000"/>
        </w:rPr>
      </w:pPr>
    </w:p>
    <w:p w:rsidR="00F931CF" w:rsidRPr="008077E7" w:rsidRDefault="00F931CF" w:rsidP="00F931CF">
      <w:pPr>
        <w:pStyle w:val="Style"/>
        <w:ind w:left="1440" w:right="1440"/>
        <w:rPr>
          <w:color w:val="000000"/>
        </w:rPr>
      </w:pPr>
      <w:r w:rsidRPr="008077E7">
        <w:rPr>
          <w:color w:val="000000"/>
        </w:rPr>
        <w:t>b.</w:t>
      </w:r>
      <w:r w:rsidRPr="008077E7">
        <w:rPr>
          <w:color w:val="000000"/>
        </w:rPr>
        <w:tab/>
        <w:t>Objections to interrogatories shall be communicated orally within two (2) calendar days and in writing within three (3) calendar days of service of the interrogatories.</w:t>
      </w:r>
    </w:p>
    <w:p w:rsidR="00F931CF" w:rsidRPr="008077E7" w:rsidRDefault="00F931CF" w:rsidP="00F931CF">
      <w:pPr>
        <w:pStyle w:val="Style"/>
        <w:ind w:left="1440" w:right="1440"/>
        <w:rPr>
          <w:color w:val="000000"/>
        </w:rPr>
      </w:pPr>
    </w:p>
    <w:p w:rsidR="00F931CF" w:rsidRPr="008077E7" w:rsidRDefault="00F931CF" w:rsidP="00F931CF">
      <w:pPr>
        <w:pStyle w:val="Style"/>
        <w:ind w:left="1440" w:right="1440"/>
        <w:rPr>
          <w:color w:val="000000"/>
        </w:rPr>
      </w:pPr>
      <w:r w:rsidRPr="008077E7">
        <w:rPr>
          <w:color w:val="000000"/>
        </w:rPr>
        <w:t>c.</w:t>
      </w:r>
      <w:r w:rsidRPr="008077E7">
        <w:rPr>
          <w:color w:val="000000"/>
        </w:rPr>
        <w:tab/>
        <w:t>Motions to dismiss objections and/or direct the answering of interrogatories shall be filed within two (2) calendar days of service of the written objections.</w:t>
      </w:r>
    </w:p>
    <w:p w:rsidR="00F931CF" w:rsidRPr="008077E7" w:rsidRDefault="00F931CF" w:rsidP="00F931CF">
      <w:pPr>
        <w:pStyle w:val="Style"/>
        <w:ind w:left="1440" w:right="1440"/>
        <w:rPr>
          <w:color w:val="000000"/>
        </w:rPr>
      </w:pPr>
    </w:p>
    <w:p w:rsidR="00F931CF" w:rsidRPr="008077E7" w:rsidRDefault="00F931CF" w:rsidP="00F931CF">
      <w:pPr>
        <w:pStyle w:val="Style"/>
        <w:ind w:left="1440" w:right="1440"/>
        <w:rPr>
          <w:color w:val="000000"/>
        </w:rPr>
      </w:pPr>
      <w:r w:rsidRPr="008077E7">
        <w:rPr>
          <w:color w:val="000000"/>
        </w:rPr>
        <w:t>d.</w:t>
      </w:r>
      <w:r w:rsidRPr="008077E7">
        <w:rPr>
          <w:color w:val="000000"/>
        </w:rPr>
        <w:tab/>
        <w:t>Answers to motions to dismiss objections and/or direct the answering of interrogatories shall be filed within two (2) calendar days of service of such motions.</w:t>
      </w:r>
    </w:p>
    <w:p w:rsidR="00F931CF" w:rsidRPr="008077E7" w:rsidRDefault="00F931CF" w:rsidP="00F931CF">
      <w:pPr>
        <w:pStyle w:val="Style"/>
        <w:ind w:left="1440" w:right="1440"/>
        <w:rPr>
          <w:color w:val="000000"/>
        </w:rPr>
      </w:pPr>
    </w:p>
    <w:p w:rsidR="00F931CF" w:rsidRPr="008077E7" w:rsidRDefault="00F931CF" w:rsidP="00F931CF">
      <w:pPr>
        <w:pStyle w:val="Style"/>
        <w:ind w:left="1440" w:right="1440"/>
        <w:rPr>
          <w:color w:val="000000"/>
        </w:rPr>
      </w:pPr>
      <w:r w:rsidRPr="008077E7">
        <w:rPr>
          <w:color w:val="000000"/>
        </w:rPr>
        <w:t>e.</w:t>
      </w:r>
      <w:r w:rsidRPr="008077E7">
        <w:rPr>
          <w:color w:val="000000"/>
        </w:rPr>
        <w:tab/>
        <w:t>Responses to requests for document production, entry for inspection, or other purposes must be served in-hand within five (5) calendar days.</w:t>
      </w:r>
    </w:p>
    <w:p w:rsidR="00F931CF" w:rsidRPr="008077E7" w:rsidRDefault="00F931CF" w:rsidP="00F931CF">
      <w:pPr>
        <w:pStyle w:val="Style"/>
        <w:ind w:left="1440" w:right="1440"/>
        <w:rPr>
          <w:color w:val="000000"/>
        </w:rPr>
      </w:pPr>
    </w:p>
    <w:p w:rsidR="00F931CF" w:rsidRPr="008077E7" w:rsidRDefault="00F931CF" w:rsidP="00F931CF">
      <w:pPr>
        <w:pStyle w:val="Style"/>
        <w:ind w:left="1440" w:right="1440"/>
        <w:rPr>
          <w:color w:val="000000"/>
        </w:rPr>
      </w:pPr>
      <w:r w:rsidRPr="008077E7">
        <w:rPr>
          <w:color w:val="000000"/>
        </w:rPr>
        <w:t>f.</w:t>
      </w:r>
      <w:r w:rsidRPr="008077E7">
        <w:rPr>
          <w:color w:val="000000"/>
        </w:rPr>
        <w:tab/>
        <w:t>Requests for admissions will be deemed admitted unless answered or denied within three (3) calendar days of service.</w:t>
      </w:r>
    </w:p>
    <w:p w:rsidR="00F931CF" w:rsidRPr="008077E7" w:rsidRDefault="00F931CF" w:rsidP="00F931CF">
      <w:pPr>
        <w:pStyle w:val="Style"/>
        <w:ind w:left="1440" w:right="1440"/>
        <w:rPr>
          <w:color w:val="000000"/>
        </w:rPr>
      </w:pPr>
    </w:p>
    <w:p w:rsidR="00F931CF" w:rsidRPr="008077E7" w:rsidRDefault="00F931CF" w:rsidP="00F931CF">
      <w:pPr>
        <w:pStyle w:val="Style"/>
        <w:ind w:left="1440" w:right="1440"/>
        <w:rPr>
          <w:color w:val="000000"/>
        </w:rPr>
      </w:pPr>
      <w:r w:rsidRPr="008077E7">
        <w:rPr>
          <w:color w:val="000000"/>
        </w:rPr>
        <w:t>g.</w:t>
      </w:r>
      <w:r w:rsidRPr="008077E7">
        <w:rPr>
          <w:color w:val="000000"/>
        </w:rPr>
        <w:tab/>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rsidR="00F931CF" w:rsidRPr="008077E7" w:rsidRDefault="00F931CF" w:rsidP="00F931CF">
      <w:pPr>
        <w:pStyle w:val="Style"/>
        <w:ind w:left="1440" w:right="1440"/>
        <w:rPr>
          <w:color w:val="000000"/>
        </w:rPr>
      </w:pPr>
    </w:p>
    <w:p w:rsidR="00F931CF" w:rsidRPr="008077E7" w:rsidRDefault="00F931CF" w:rsidP="00F931CF">
      <w:pPr>
        <w:pStyle w:val="Style"/>
        <w:widowControl/>
        <w:ind w:left="1440" w:right="1440"/>
        <w:rPr>
          <w:color w:val="000000"/>
        </w:rPr>
      </w:pPr>
      <w:r w:rsidRPr="008077E7">
        <w:rPr>
          <w:color w:val="000000"/>
        </w:rPr>
        <w:t>h.</w:t>
      </w:r>
      <w:r w:rsidRPr="008077E7">
        <w:rPr>
          <w:color w:val="000000"/>
        </w:rPr>
        <w:tab/>
        <w:t xml:space="preserve">The parties are directed to make every reasonable effort to comply with the discovery response times set forth in this agreement.  In those instances when compliance is not possible, despite a party’s best efforts, the responding party shall so </w:t>
      </w:r>
      <w:proofErr w:type="gramStart"/>
      <w:r w:rsidRPr="008077E7">
        <w:rPr>
          <w:color w:val="000000"/>
        </w:rPr>
        <w:t>advise</w:t>
      </w:r>
      <w:proofErr w:type="gramEnd"/>
      <w:r w:rsidRPr="008077E7">
        <w:rPr>
          <w:color w:val="000000"/>
        </w:rPr>
        <w:t xml:space="preserve"> and the parties shall work together to address the requests and responses on a timely basis.</w:t>
      </w:r>
    </w:p>
    <w:p w:rsidR="00F931CF" w:rsidRDefault="00F931CF" w:rsidP="00F931CF">
      <w:pPr>
        <w:pStyle w:val="Style"/>
        <w:widowControl/>
        <w:ind w:left="1440" w:right="1440"/>
        <w:rPr>
          <w:color w:val="000000"/>
        </w:rPr>
      </w:pPr>
      <w:r w:rsidRPr="008077E7">
        <w:rPr>
          <w:color w:val="000000"/>
        </w:rPr>
        <w:t>i.</w:t>
      </w:r>
      <w:r w:rsidRPr="008077E7">
        <w:rPr>
          <w:color w:val="000000"/>
        </w:rPr>
        <w:tab/>
        <w:t>These discovery rule modifications are for the limited purpose of this proceeding and should not be viewed as binding, or otherwise limiting, upon positions taken by the parties in any other proceeding.</w:t>
      </w:r>
    </w:p>
    <w:p w:rsidR="00130787" w:rsidRDefault="00130787" w:rsidP="00F931CF">
      <w:pPr>
        <w:pStyle w:val="Style"/>
        <w:widowControl/>
        <w:ind w:left="1440" w:right="1440"/>
        <w:rPr>
          <w:color w:val="000000"/>
        </w:rPr>
      </w:pPr>
    </w:p>
    <w:p w:rsidR="00130787" w:rsidRDefault="00130787" w:rsidP="00F931CF">
      <w:pPr>
        <w:pStyle w:val="Style"/>
        <w:widowControl/>
        <w:ind w:left="1440" w:right="1440"/>
        <w:rPr>
          <w:color w:val="000000"/>
        </w:rPr>
      </w:pPr>
    </w:p>
    <w:p w:rsidR="00F931CF" w:rsidRPr="00263CB7" w:rsidRDefault="00F931CF" w:rsidP="00F931CF">
      <w:pPr>
        <w:numPr>
          <w:ilvl w:val="0"/>
          <w:numId w:val="7"/>
        </w:numPr>
        <w:spacing w:line="360" w:lineRule="auto"/>
        <w:ind w:left="0" w:firstLine="1440"/>
      </w:pPr>
      <w:r>
        <w:t>That all motions to compel shall contain a certification by counsel setting forth the informal discovery undertaken and their efforts to resolve their discovery disputes informally.  If a motion to compel does not contain this certification, the parties will be directed to pursue informal discovery.  There are limitations on discovery and sanctions for abuse of the discovery process.  52 Pa. Code §§5.361, 5.371-5.372</w:t>
      </w:r>
      <w:r w:rsidR="00761B29">
        <w:t>.</w:t>
      </w:r>
    </w:p>
    <w:p w:rsidR="00F931CF" w:rsidRDefault="00F931CF" w:rsidP="00F931CF">
      <w:pPr>
        <w:spacing w:line="360" w:lineRule="auto"/>
        <w:ind w:firstLine="1440"/>
      </w:pPr>
    </w:p>
    <w:p w:rsidR="00E86FAD" w:rsidRDefault="00F931CF" w:rsidP="00E86FAD">
      <w:pPr>
        <w:pStyle w:val="ListParagraph"/>
        <w:numPr>
          <w:ilvl w:val="0"/>
          <w:numId w:val="7"/>
        </w:numPr>
        <w:spacing w:line="360" w:lineRule="auto"/>
        <w:ind w:left="0" w:firstLine="1440"/>
        <w:rPr>
          <w:spacing w:val="-3"/>
        </w:rPr>
      </w:pPr>
      <w:r>
        <w:t xml:space="preserve">That the </w:t>
      </w:r>
      <w:r w:rsidRPr="00E86FAD">
        <w:rPr>
          <w:spacing w:val="-3"/>
        </w:rPr>
        <w:t xml:space="preserve">evidentiary hearing will be held in Harrisburg and will commence at 10:00 </w:t>
      </w:r>
      <w:r w:rsidR="00B763A8">
        <w:rPr>
          <w:spacing w:val="-3"/>
        </w:rPr>
        <w:t xml:space="preserve">a.m. </w:t>
      </w:r>
      <w:r w:rsidRPr="00E86FAD">
        <w:rPr>
          <w:spacing w:val="-3"/>
        </w:rPr>
        <w:t>unless changed by the presiding officer.</w:t>
      </w:r>
      <w:r w:rsidR="00E86FAD">
        <w:rPr>
          <w:spacing w:val="-3"/>
        </w:rPr>
        <w:t xml:space="preserve">  </w:t>
      </w:r>
      <w:r w:rsidR="00E86FAD" w:rsidRPr="00E86FAD">
        <w:rPr>
          <w:spacing w:val="-3"/>
        </w:rPr>
        <w:t>The evidentiary hearing in this matter constitutes a formal legal proceeding and will be conducted in accordance with the Commission’s Rules of Administrative Practice and Procedure, as well as the rules of evidence as applied to administrative hearings.</w:t>
      </w:r>
    </w:p>
    <w:p w:rsidR="00E86FAD" w:rsidRPr="00E86FAD" w:rsidRDefault="00E86FAD" w:rsidP="00E86FAD">
      <w:pPr>
        <w:pStyle w:val="ListParagraph"/>
        <w:spacing w:line="360" w:lineRule="auto"/>
        <w:ind w:left="1440"/>
        <w:rPr>
          <w:spacing w:val="-3"/>
        </w:rPr>
      </w:pPr>
    </w:p>
    <w:p w:rsidR="00E86FAD" w:rsidRPr="00E86FAD" w:rsidRDefault="00F931CF" w:rsidP="00E86FAD">
      <w:pPr>
        <w:numPr>
          <w:ilvl w:val="0"/>
          <w:numId w:val="7"/>
        </w:numPr>
        <w:spacing w:line="360" w:lineRule="auto"/>
        <w:ind w:left="0" w:firstLine="1440"/>
        <w:rPr>
          <w:spacing w:val="-3"/>
        </w:rPr>
      </w:pPr>
      <w:r>
        <w:t>That the parties shall stipulate to any matters which they can reasonably stipulate to, in order to expedite this proceeding, lessen the burdens of time and expense of litigation on all parties and conserve administrative hearing resources.  52 Pa. Code §§5.232 and 5.234.</w:t>
      </w:r>
    </w:p>
    <w:p w:rsidR="00E86FAD" w:rsidRPr="00E86FAD" w:rsidRDefault="00E86FAD" w:rsidP="00E86FAD">
      <w:pPr>
        <w:spacing w:line="360" w:lineRule="auto"/>
        <w:ind w:left="1440"/>
        <w:rPr>
          <w:spacing w:val="-3"/>
        </w:rPr>
      </w:pPr>
    </w:p>
    <w:p w:rsidR="00E86FAD" w:rsidRPr="00E86FAD" w:rsidRDefault="00E86FAD" w:rsidP="00E86FAD">
      <w:pPr>
        <w:numPr>
          <w:ilvl w:val="0"/>
          <w:numId w:val="7"/>
        </w:numPr>
        <w:spacing w:line="360" w:lineRule="auto"/>
        <w:ind w:left="0" w:firstLine="1440"/>
        <w:rPr>
          <w:spacing w:val="-3"/>
        </w:rPr>
      </w:pPr>
      <w:r>
        <w:t>That the parties are directed to develop a common briefing outline which shall be presented at the time of the evidentiary hearing.  All briefs will follow the common outline.  If the parties cannot agree upon a common briefing outline, they shall present a recommended outline and be prepared to discuss their recommendations at the evidentiary hearing.</w:t>
      </w:r>
    </w:p>
    <w:p w:rsidR="00E86FAD" w:rsidRPr="00E86FAD" w:rsidRDefault="00E86FAD" w:rsidP="00E86FAD">
      <w:pPr>
        <w:spacing w:line="360" w:lineRule="auto"/>
        <w:ind w:left="1440"/>
        <w:rPr>
          <w:spacing w:val="-3"/>
        </w:rPr>
      </w:pPr>
    </w:p>
    <w:p w:rsidR="00E86FAD" w:rsidRPr="00130787" w:rsidRDefault="00130787" w:rsidP="00E86FAD">
      <w:pPr>
        <w:numPr>
          <w:ilvl w:val="0"/>
          <w:numId w:val="7"/>
        </w:numPr>
        <w:spacing w:line="360" w:lineRule="auto"/>
        <w:ind w:left="0" w:firstLine="1440"/>
        <w:rPr>
          <w:spacing w:val="-3"/>
        </w:rPr>
      </w:pPr>
      <w:r>
        <w:t>That t</w:t>
      </w:r>
      <w:r w:rsidR="00E86FAD">
        <w:t>he transcript of the evidentiary hearings shall be provided to the parties on an expedited basis, with a three (3) day turnaround</w:t>
      </w:r>
      <w:r>
        <w:t>.</w:t>
      </w:r>
    </w:p>
    <w:p w:rsidR="00130787" w:rsidRDefault="00130787" w:rsidP="00130787">
      <w:pPr>
        <w:spacing w:line="360" w:lineRule="auto"/>
      </w:pPr>
    </w:p>
    <w:p w:rsidR="00130787" w:rsidRDefault="00130787" w:rsidP="00130787">
      <w:pPr>
        <w:spacing w:line="360" w:lineRule="auto"/>
      </w:pPr>
    </w:p>
    <w:p w:rsidR="00F931CF" w:rsidRDefault="00F931CF" w:rsidP="005636DE">
      <w:pPr>
        <w:numPr>
          <w:ilvl w:val="0"/>
          <w:numId w:val="7"/>
        </w:numPr>
        <w:spacing w:line="360" w:lineRule="auto"/>
        <w:ind w:left="0" w:firstLine="1440"/>
        <w:jc w:val="both"/>
        <w:rPr>
          <w:szCs w:val="26"/>
        </w:rPr>
      </w:pPr>
      <w:r>
        <w:t xml:space="preserve">That any provision of this order may be modified upon motion and good cause shown by any party in interest </w:t>
      </w:r>
      <w:r>
        <w:rPr>
          <w:szCs w:val="26"/>
        </w:rPr>
        <w:t>in accordance with 52 Pa. Code §5.223(a).</w:t>
      </w:r>
    </w:p>
    <w:p w:rsidR="00E86FAD" w:rsidRPr="00F931CF" w:rsidRDefault="00E86FAD" w:rsidP="00E86FAD">
      <w:pPr>
        <w:widowControl w:val="0"/>
        <w:spacing w:line="360" w:lineRule="auto"/>
        <w:ind w:left="1440"/>
        <w:jc w:val="both"/>
        <w:rPr>
          <w:szCs w:val="26"/>
        </w:rPr>
      </w:pPr>
    </w:p>
    <w:p w:rsidR="00F931CF" w:rsidRDefault="00F931CF" w:rsidP="00F931CF">
      <w:pPr>
        <w:pStyle w:val="Style"/>
        <w:widowControl/>
        <w:tabs>
          <w:tab w:val="left" w:pos="1570"/>
          <w:tab w:val="left" w:pos="2290"/>
        </w:tabs>
        <w:spacing w:line="360" w:lineRule="auto"/>
        <w:ind w:firstLine="1440"/>
        <w:rPr>
          <w:color w:val="000000"/>
        </w:rPr>
      </w:pPr>
    </w:p>
    <w:p w:rsidR="00E86FAD" w:rsidRDefault="00E86FAD" w:rsidP="00F931CF">
      <w:pPr>
        <w:pStyle w:val="Style"/>
        <w:tabs>
          <w:tab w:val="left" w:pos="1570"/>
          <w:tab w:val="left" w:pos="2290"/>
        </w:tabs>
        <w:rPr>
          <w:color w:val="000000"/>
        </w:rPr>
      </w:pPr>
    </w:p>
    <w:p w:rsidR="00F931CF" w:rsidRPr="007A739B" w:rsidRDefault="00F931CF" w:rsidP="00F931CF">
      <w:pPr>
        <w:pStyle w:val="Style"/>
        <w:tabs>
          <w:tab w:val="left" w:pos="1570"/>
          <w:tab w:val="left" w:pos="2290"/>
        </w:tabs>
        <w:rPr>
          <w:color w:val="000000"/>
          <w:u w:val="single"/>
        </w:rPr>
      </w:pPr>
      <w:r w:rsidRPr="007A739B">
        <w:rPr>
          <w:color w:val="000000"/>
        </w:rPr>
        <w:t xml:space="preserve">Date:  </w:t>
      </w:r>
      <w:r>
        <w:rPr>
          <w:color w:val="000000"/>
          <w:u w:val="single"/>
        </w:rPr>
        <w:t>May 28, 2019</w:t>
      </w:r>
      <w:r w:rsidRPr="007A739B">
        <w:rPr>
          <w:color w:val="000000"/>
        </w:rPr>
        <w:tab/>
      </w:r>
      <w:r>
        <w:rPr>
          <w:color w:val="000000"/>
        </w:rPr>
        <w:tab/>
      </w:r>
      <w:r>
        <w:rPr>
          <w:color w:val="000000"/>
        </w:rPr>
        <w:tab/>
      </w:r>
      <w:r w:rsidRPr="007A739B">
        <w:rPr>
          <w:color w:val="000000"/>
        </w:rPr>
        <w:tab/>
      </w:r>
      <w:r>
        <w:rPr>
          <w:color w:val="000000"/>
        </w:rPr>
        <w:tab/>
      </w:r>
      <w:r w:rsidRPr="007A739B">
        <w:rPr>
          <w:color w:val="000000"/>
          <w:u w:val="single"/>
        </w:rPr>
        <w:tab/>
      </w:r>
      <w:r>
        <w:rPr>
          <w:color w:val="000000"/>
          <w:u w:val="single"/>
        </w:rPr>
        <w:t xml:space="preserve">      /s/</w:t>
      </w:r>
      <w:r w:rsidRPr="007A739B">
        <w:rPr>
          <w:color w:val="000000"/>
          <w:u w:val="single"/>
        </w:rPr>
        <w:tab/>
      </w:r>
      <w:r>
        <w:rPr>
          <w:color w:val="000000"/>
          <w:u w:val="single"/>
        </w:rPr>
        <w:tab/>
        <w:t xml:space="preserve">                 </w:t>
      </w:r>
    </w:p>
    <w:p w:rsidR="00F931CF" w:rsidRPr="007A739B" w:rsidRDefault="00F931CF" w:rsidP="00F931CF">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t>Andrew M. Calvelli</w:t>
      </w:r>
    </w:p>
    <w:p w:rsidR="00F931CF" w:rsidRDefault="00F931CF" w:rsidP="00F931CF">
      <w:pPr>
        <w:pStyle w:val="Style"/>
        <w:tabs>
          <w:tab w:val="left" w:pos="1570"/>
          <w:tab w:val="left" w:pos="2290"/>
        </w:tabs>
        <w:rPr>
          <w:color w:val="000000"/>
        </w:rPr>
      </w:pP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r>
      <w:r w:rsidRPr="007A739B">
        <w:rPr>
          <w:color w:val="000000"/>
        </w:rPr>
        <w:tab/>
        <w:t>Administrative Law Judge</w:t>
      </w:r>
    </w:p>
    <w:p w:rsidR="00F42C7D" w:rsidRDefault="00F42C7D" w:rsidP="00F931CF">
      <w:pPr>
        <w:pStyle w:val="Style"/>
        <w:tabs>
          <w:tab w:val="left" w:pos="1570"/>
          <w:tab w:val="left" w:pos="2290"/>
        </w:tabs>
        <w:rPr>
          <w:color w:val="000000"/>
        </w:rPr>
        <w:sectPr w:rsidR="00F42C7D" w:rsidSect="00304AA5">
          <w:footerReference w:type="default" r:id="rId11"/>
          <w:pgSz w:w="12240" w:h="15840" w:code="1"/>
          <w:pgMar w:top="1440" w:right="1440" w:bottom="1440" w:left="1440" w:header="720" w:footer="720" w:gutter="0"/>
          <w:cols w:space="720"/>
          <w:noEndnote/>
          <w:titlePg/>
          <w:docGrid w:linePitch="326"/>
        </w:sectPr>
      </w:pPr>
    </w:p>
    <w:p w:rsidR="00F42C7D" w:rsidRPr="00765384" w:rsidRDefault="00F42C7D" w:rsidP="00F42C7D">
      <w:pPr>
        <w:contextualSpacing/>
        <w:rPr>
          <w:rFonts w:ascii="Microsoft Sans Serif" w:eastAsia="Microsoft Sans Serif" w:hAnsi="Microsoft Sans Serif" w:cs="Microsoft Sans Serif"/>
          <w:b/>
          <w:u w:val="single"/>
        </w:rPr>
      </w:pPr>
      <w:r w:rsidRPr="00765384">
        <w:rPr>
          <w:rFonts w:ascii="Microsoft Sans Serif" w:eastAsia="Microsoft Sans Serif" w:hAnsi="Microsoft Sans Serif" w:cs="Microsoft Sans Serif"/>
          <w:b/>
          <w:u w:val="single"/>
        </w:rPr>
        <w:t>A-2018-3004933- APPLICATION OF PENNSYLVANIA-AMERICAN WATER COMPANY-WASTEWATER, FOR APPROVAL OF (1) THE TRANSFER, BY SALE, OF SUBSTANTIALLY ALL OF THE TOWNSHIP OF EXETER'S ASSETS, PROPERTIES AND RIGHTS RELATED TO ITS WASTEWATER COLLECTION AND TREATMENT SYSTEM TO PENNSYLVANIA-AMERICAN WATER COMPANY, AND (2) THE RIGHTS OF PENNSYLVANIA-AMERICAN WATER COMPANY TO BEGIN TO OFFER OR FURNISH WASTEWATER SERVICE TO THE PUBLIC IN PORTIONS OF THE TOWNSHIP OF EXETER, AND IN PORTIONS OF ALSACE AND LOWER ALSACE TOWNSHIPS, AND TO FOUR BULK SERVICE INTERCONNECTION POINTS WITH ST. LAWRENCE BOROUGH, BERKS COUNTY, PENNSYLVANIA.</w:t>
      </w:r>
    </w:p>
    <w:p w:rsidR="00F42C7D" w:rsidRPr="00765384" w:rsidRDefault="00F42C7D" w:rsidP="00F42C7D">
      <w:pPr>
        <w:contextualSpacing/>
        <w:rPr>
          <w:rFonts w:ascii="Microsoft Sans Serif" w:eastAsia="Microsoft Sans Serif" w:hAnsi="Microsoft Sans Serif" w:cs="Microsoft Sans Serif"/>
        </w:rPr>
        <w:sectPr w:rsidR="00F42C7D" w:rsidRPr="00765384">
          <w:pgSz w:w="12240" w:h="15840"/>
          <w:pgMar w:top="1440" w:right="1440" w:bottom="1440" w:left="1440" w:header="720" w:footer="720" w:gutter="0"/>
          <w:cols w:space="720"/>
        </w:sectPr>
      </w:pPr>
    </w:p>
    <w:p w:rsidR="00F42C7D" w:rsidRPr="00765384" w:rsidRDefault="00F42C7D" w:rsidP="00F42C7D">
      <w:pPr>
        <w:contextualSpacing/>
        <w:rPr>
          <w:rFonts w:ascii="Microsoft Sans Serif" w:eastAsia="Microsoft Sans Serif" w:hAnsi="Microsoft Sans Serif" w:cs="Microsoft Sans Serif"/>
        </w:rPr>
      </w:pPr>
    </w:p>
    <w:p w:rsidR="00F42C7D" w:rsidRDefault="00F42C7D" w:rsidP="00F42C7D">
      <w:pPr>
        <w:contextualSpacing/>
        <w:rPr>
          <w:rFonts w:ascii="Microsoft Sans Serif" w:eastAsia="Microsoft Sans Serif" w:hAnsi="Microsoft Sans Serif" w:cs="Microsoft Sans Serif"/>
        </w:rPr>
        <w:sectPr w:rsidR="00F42C7D" w:rsidSect="00892966">
          <w:type w:val="continuous"/>
          <w:pgSz w:w="12240" w:h="15840"/>
          <w:pgMar w:top="1440" w:right="1440" w:bottom="1440" w:left="1440" w:header="720" w:footer="720" w:gutter="0"/>
          <w:cols w:space="720"/>
          <w:docGrid w:linePitch="360"/>
        </w:sectPr>
      </w:pP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DAVID P ZAMBITO ESQUIRE</w:t>
      </w:r>
      <w:r w:rsidRPr="00765384">
        <w:rPr>
          <w:rFonts w:ascii="Microsoft Sans Serif" w:eastAsia="Microsoft Sans Serif" w:hAnsi="Microsoft Sans Serif" w:cs="Microsoft Sans Serif"/>
        </w:rPr>
        <w:br/>
        <w:t xml:space="preserve">JONATHAN NASE ESQUIRE </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COZEN O'CONNOR</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17 NORTH SECOND ST SUITE 1410</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HARRISBURG PA  17101</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717.703.5892</w:t>
      </w:r>
      <w:r w:rsidRPr="00765384">
        <w:rPr>
          <w:rFonts w:ascii="Microsoft Sans Serif" w:eastAsia="Microsoft Sans Serif" w:hAnsi="Microsoft Sans Serif" w:cs="Microsoft Sans Serif"/>
          <w:b/>
        </w:rPr>
        <w:br/>
        <w:t>717.773.4191</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PAWC</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rPr>
        <w:br/>
        <w:t>SUSAN SIMMS MARSH ESQUIRE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PENNSYLVANIA AMERICAN WATER COMPANY</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852 WESLEY DRIVE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MECHANICSBURG PA  17055</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717.550.1570</w:t>
      </w:r>
      <w:r w:rsidRPr="00765384">
        <w:rPr>
          <w:rFonts w:ascii="Microsoft Sans Serif" w:eastAsia="Microsoft Sans Serif" w:hAnsi="Microsoft Sans Serif" w:cs="Microsoft Sans Serif"/>
          <w:b/>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b/>
          <w:i/>
          <w:u w:val="single"/>
        </w:rPr>
        <w:br/>
      </w:r>
      <w:r w:rsidRPr="00765384">
        <w:rPr>
          <w:rFonts w:ascii="Microsoft Sans Serif" w:eastAsia="Microsoft Sans Serif" w:hAnsi="Microsoft Sans Serif" w:cs="Microsoft Sans Serif"/>
          <w:i/>
        </w:rPr>
        <w:t>Representing PAWC</w:t>
      </w:r>
      <w:r w:rsidRPr="00765384">
        <w:rPr>
          <w:rFonts w:ascii="Microsoft Sans Serif" w:eastAsia="Microsoft Sans Serif" w:hAnsi="Microsoft Sans Serif" w:cs="Microsoft Sans Serif"/>
          <w:i/>
        </w:rPr>
        <w:br/>
      </w:r>
      <w:r w:rsidRPr="00765384">
        <w:rPr>
          <w:rFonts w:ascii="Microsoft Sans Serif" w:eastAsia="Microsoft Sans Serif" w:hAnsi="Microsoft Sans Serif" w:cs="Microsoft Sans Serif"/>
          <w:b/>
          <w:u w:val="single"/>
        </w:rPr>
        <w:br/>
      </w:r>
      <w:r w:rsidRPr="00765384">
        <w:rPr>
          <w:rFonts w:ascii="Microsoft Sans Serif" w:eastAsia="Microsoft Sans Serif" w:hAnsi="Microsoft Sans Serif" w:cs="Microsoft Sans Serif"/>
        </w:rPr>
        <w:t>CHRISTINE M HOOVER ESQUIRE</w:t>
      </w:r>
      <w:r w:rsidRPr="00765384">
        <w:rPr>
          <w:rFonts w:ascii="Microsoft Sans Serif" w:eastAsia="Microsoft Sans Serif" w:hAnsi="Microsoft Sans Serif" w:cs="Microsoft Sans Serif"/>
        </w:rPr>
        <w:br/>
        <w:t>HARRISON W BREITMAN ESQUIRE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OFFICE OF CONSUMER ADVOCATE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5TH FLOOR FORUM PLACE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555 WALNUT STREET</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HARRISBURG PA  17101</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717.783.5048</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t xml:space="preserve"> </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OCA</w:t>
      </w:r>
    </w:p>
    <w:p w:rsidR="00F42C7D" w:rsidRDefault="00F42C7D" w:rsidP="00F42C7D">
      <w:pPr>
        <w:contextualSpacing/>
        <w:rPr>
          <w:rFonts w:ascii="Microsoft Sans Serif" w:eastAsia="Microsoft Sans Serif" w:hAnsi="Microsoft Sans Serif" w:cs="Microsoft Sans Serif"/>
        </w:rPr>
      </w:pPr>
    </w:p>
    <w:p w:rsidR="00F42C7D" w:rsidRDefault="00F42C7D" w:rsidP="00F42C7D">
      <w:pPr>
        <w:contextualSpacing/>
        <w:rPr>
          <w:rFonts w:ascii="Microsoft Sans Serif" w:eastAsia="Microsoft Sans Serif" w:hAnsi="Microsoft Sans Serif" w:cs="Microsoft Sans Serif"/>
        </w:rPr>
      </w:pPr>
    </w:p>
    <w:p w:rsidR="00F42C7D" w:rsidRPr="00765384" w:rsidRDefault="00F42C7D" w:rsidP="00F42C7D">
      <w:pPr>
        <w:contextualSpacing/>
        <w:rPr>
          <w:rFonts w:ascii="Microsoft Sans Serif" w:eastAsia="Microsoft Sans Serif" w:hAnsi="Microsoft Sans Serif" w:cs="Microsoft Sans Serif"/>
        </w:rPr>
      </w:pP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ERIKA MCLAIN ESQUIRE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PO BOX 3265</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HARRISBURG PA  17105-3265</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717.783.6170</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b/>
          <w:i/>
          <w:u w:val="single"/>
        </w:rPr>
        <w:br/>
      </w:r>
      <w:r w:rsidRPr="00765384">
        <w:rPr>
          <w:rFonts w:ascii="Microsoft Sans Serif" w:eastAsia="Microsoft Sans Serif" w:hAnsi="Microsoft Sans Serif" w:cs="Microsoft Sans Serif"/>
          <w:i/>
        </w:rPr>
        <w:t>Representing BIE</w:t>
      </w:r>
    </w:p>
    <w:p w:rsidR="00F42C7D" w:rsidRPr="00765384" w:rsidRDefault="00F42C7D" w:rsidP="00F42C7D">
      <w:pPr>
        <w:contextualSpacing/>
        <w:rPr>
          <w:rFonts w:ascii="Microsoft Sans Serif" w:eastAsia="Microsoft Sans Serif" w:hAnsi="Microsoft Sans Serif" w:cs="Microsoft Sans Serif"/>
        </w:rPr>
      </w:pP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BARNETT SATINSKY ESQUIRE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FOX ROTHSCHILD LLP</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2000 MARKET STREET 20TH FLOOR</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PHILADELPHIA PA  19103-3222</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215.299.2088</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t xml:space="preserve"> </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Exeter Township</w:t>
      </w:r>
      <w:r w:rsidRPr="00765384">
        <w:rPr>
          <w:rFonts w:ascii="Microsoft Sans Serif" w:eastAsia="Microsoft Sans Serif" w:hAnsi="Microsoft Sans Serif" w:cs="Microsoft Sans Serif"/>
          <w:i/>
        </w:rPr>
        <w:br/>
      </w:r>
      <w:r w:rsidRPr="00765384">
        <w:rPr>
          <w:rFonts w:ascii="Microsoft Sans Serif" w:eastAsia="Microsoft Sans Serif" w:hAnsi="Microsoft Sans Serif" w:cs="Microsoft Sans Serif"/>
          <w:i/>
        </w:rPr>
        <w:br/>
      </w:r>
      <w:r w:rsidRPr="00765384">
        <w:rPr>
          <w:rFonts w:ascii="Microsoft Sans Serif" w:eastAsia="Microsoft Sans Serif" w:hAnsi="Microsoft Sans Serif" w:cs="Microsoft Sans Serif"/>
        </w:rPr>
        <w:t>SAMUEL W CORTES ESQUIRE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FOX ROTHSCHILD LLP</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747 CONSTITUTION DRIVE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SUITE 100</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EXTON PA  19341</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610.458.4966</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Exeter Township</w:t>
      </w:r>
    </w:p>
    <w:p w:rsidR="00F42C7D" w:rsidRPr="00765384" w:rsidRDefault="00F42C7D" w:rsidP="00F42C7D">
      <w:pPr>
        <w:contextualSpacing/>
        <w:rPr>
          <w:rFonts w:ascii="Microsoft Sans Serif" w:eastAsia="Microsoft Sans Serif" w:hAnsi="Microsoft Sans Serif" w:cs="Microsoft Sans Serif"/>
        </w:rPr>
      </w:pP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JOAN E LONDON ATTORNEY</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KOZLOFF STOUDT</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2640 WESTVIEW DRIVE</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rPr>
        <w:t>WYOMISSING PA  19610</w:t>
      </w:r>
    </w:p>
    <w:p w:rsidR="00F42C7D" w:rsidRPr="00765384" w:rsidRDefault="00F42C7D" w:rsidP="00F42C7D">
      <w:pPr>
        <w:contextualSpacing/>
        <w:rPr>
          <w:rFonts w:ascii="Microsoft Sans Serif" w:eastAsia="Microsoft Sans Serif" w:hAnsi="Microsoft Sans Serif" w:cs="Microsoft Sans Serif"/>
        </w:rPr>
      </w:pPr>
      <w:r w:rsidRPr="00765384">
        <w:rPr>
          <w:rFonts w:ascii="Microsoft Sans Serif" w:eastAsia="Microsoft Sans Serif" w:hAnsi="Microsoft Sans Serif" w:cs="Microsoft Sans Serif"/>
          <w:b/>
        </w:rPr>
        <w:t>610.670.2552</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b/>
          <w:i/>
          <w:u w:val="single"/>
        </w:rPr>
        <w:t>ACCEPTS E-SERVICE</w:t>
      </w:r>
      <w:r w:rsidRPr="00765384">
        <w:rPr>
          <w:rFonts w:ascii="Microsoft Sans Serif" w:eastAsia="Microsoft Sans Serif" w:hAnsi="Microsoft Sans Serif" w:cs="Microsoft Sans Serif"/>
        </w:rPr>
        <w:br/>
      </w:r>
      <w:r w:rsidRPr="00765384">
        <w:rPr>
          <w:rFonts w:ascii="Microsoft Sans Serif" w:eastAsia="Microsoft Sans Serif" w:hAnsi="Microsoft Sans Serif" w:cs="Microsoft Sans Serif"/>
          <w:i/>
        </w:rPr>
        <w:t>Representing Borough of St. Lawrence</w:t>
      </w:r>
    </w:p>
    <w:p w:rsidR="00F42C7D" w:rsidRDefault="00F42C7D" w:rsidP="00F42C7D">
      <w:pPr>
        <w:sectPr w:rsidR="00F42C7D" w:rsidSect="00765384">
          <w:type w:val="continuous"/>
          <w:pgSz w:w="12240" w:h="15840"/>
          <w:pgMar w:top="1440" w:right="1440" w:bottom="1440" w:left="1440" w:header="720" w:footer="720" w:gutter="0"/>
          <w:cols w:num="2" w:space="720"/>
          <w:docGrid w:linePitch="360"/>
        </w:sectPr>
      </w:pPr>
    </w:p>
    <w:p w:rsidR="00F42C7D" w:rsidRPr="00765384" w:rsidRDefault="00F42C7D" w:rsidP="00F42C7D"/>
    <w:p w:rsidR="00F42C7D" w:rsidRPr="007A739B" w:rsidRDefault="00F42C7D" w:rsidP="00F931CF">
      <w:pPr>
        <w:pStyle w:val="Style"/>
        <w:tabs>
          <w:tab w:val="left" w:pos="1570"/>
          <w:tab w:val="left" w:pos="2290"/>
        </w:tabs>
        <w:rPr>
          <w:color w:val="000000"/>
        </w:rPr>
      </w:pPr>
      <w:bookmarkStart w:id="2" w:name="_GoBack"/>
      <w:bookmarkEnd w:id="2"/>
    </w:p>
    <w:sectPr w:rsidR="00F42C7D" w:rsidRPr="007A739B" w:rsidSect="0089296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F64" w:rsidRDefault="00326F64" w:rsidP="00D26D1C">
      <w:r>
        <w:separator/>
      </w:r>
    </w:p>
  </w:endnote>
  <w:endnote w:type="continuationSeparator" w:id="0">
    <w:p w:rsidR="00326F64" w:rsidRDefault="00326F64" w:rsidP="00D26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4553444"/>
      <w:docPartObj>
        <w:docPartGallery w:val="Page Numbers (Bottom of Page)"/>
        <w:docPartUnique/>
      </w:docPartObj>
    </w:sdtPr>
    <w:sdtEndPr>
      <w:rPr>
        <w:rFonts w:ascii="Times New Roman" w:hAnsi="Times New Roman" w:cs="Times New Roman"/>
        <w:noProof/>
        <w:sz w:val="20"/>
        <w:szCs w:val="20"/>
      </w:rPr>
    </w:sdtEndPr>
    <w:sdtContent>
      <w:p w:rsidR="00D26D1C" w:rsidRPr="00F42C7D" w:rsidRDefault="00D26D1C">
        <w:pPr>
          <w:pStyle w:val="Footer"/>
          <w:jc w:val="center"/>
          <w:rPr>
            <w:rFonts w:ascii="Times New Roman" w:hAnsi="Times New Roman" w:cs="Times New Roman"/>
            <w:sz w:val="20"/>
            <w:szCs w:val="20"/>
          </w:rPr>
        </w:pPr>
        <w:r w:rsidRPr="00F42C7D">
          <w:rPr>
            <w:rFonts w:ascii="Times New Roman" w:hAnsi="Times New Roman" w:cs="Times New Roman"/>
            <w:sz w:val="20"/>
            <w:szCs w:val="20"/>
          </w:rPr>
          <w:fldChar w:fldCharType="begin"/>
        </w:r>
        <w:r w:rsidRPr="00F42C7D">
          <w:rPr>
            <w:rFonts w:ascii="Times New Roman" w:hAnsi="Times New Roman" w:cs="Times New Roman"/>
            <w:sz w:val="20"/>
            <w:szCs w:val="20"/>
          </w:rPr>
          <w:instrText xml:space="preserve"> PAGE   \* MERGEFORMAT </w:instrText>
        </w:r>
        <w:r w:rsidRPr="00F42C7D">
          <w:rPr>
            <w:rFonts w:ascii="Times New Roman" w:hAnsi="Times New Roman" w:cs="Times New Roman"/>
            <w:sz w:val="20"/>
            <w:szCs w:val="20"/>
          </w:rPr>
          <w:fldChar w:fldCharType="separate"/>
        </w:r>
        <w:r w:rsidR="0007534E" w:rsidRPr="00F42C7D">
          <w:rPr>
            <w:rFonts w:ascii="Times New Roman" w:hAnsi="Times New Roman" w:cs="Times New Roman"/>
            <w:noProof/>
            <w:sz w:val="20"/>
            <w:szCs w:val="20"/>
          </w:rPr>
          <w:t>2</w:t>
        </w:r>
        <w:r w:rsidRPr="00F42C7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F64" w:rsidRDefault="00326F64" w:rsidP="00D26D1C">
      <w:r>
        <w:separator/>
      </w:r>
    </w:p>
  </w:footnote>
  <w:footnote w:type="continuationSeparator" w:id="0">
    <w:p w:rsidR="00326F64" w:rsidRDefault="00326F64" w:rsidP="00D26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733"/>
    <w:multiLevelType w:val="hybridMultilevel"/>
    <w:tmpl w:val="72746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489"/>
    <w:multiLevelType w:val="hybridMultilevel"/>
    <w:tmpl w:val="7E700BD8"/>
    <w:lvl w:ilvl="0" w:tplc="72DCEFDC">
      <w:start w:val="1"/>
      <w:numFmt w:val="decimal"/>
      <w:lvlText w:val="(%1)"/>
      <w:lvlJc w:val="left"/>
      <w:pPr>
        <w:ind w:left="2880" w:hanging="45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23AF1F7E"/>
    <w:multiLevelType w:val="hybridMultilevel"/>
    <w:tmpl w:val="8F44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4" w15:restartNumberingAfterBreak="0">
    <w:nsid w:val="56610DC2"/>
    <w:multiLevelType w:val="hybridMultilevel"/>
    <w:tmpl w:val="1CFE8AD8"/>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3E30C06"/>
    <w:multiLevelType w:val="hybridMultilevel"/>
    <w:tmpl w:val="9FBA2182"/>
    <w:lvl w:ilvl="0" w:tplc="08DAE03A">
      <w:start w:val="1"/>
      <w:numFmt w:val="lowerLetter"/>
      <w:lvlText w:val="(%1)"/>
      <w:lvlJc w:val="left"/>
      <w:pPr>
        <w:ind w:left="2430" w:hanging="9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5"/>
  </w:num>
  <w:num w:numId="4">
    <w:abstractNumId w:val="1"/>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AC"/>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534E"/>
    <w:rsid w:val="00076092"/>
    <w:rsid w:val="000779CB"/>
    <w:rsid w:val="00082363"/>
    <w:rsid w:val="000828E0"/>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25A"/>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413"/>
    <w:rsid w:val="001219A5"/>
    <w:rsid w:val="0012343C"/>
    <w:rsid w:val="00124101"/>
    <w:rsid w:val="00124D49"/>
    <w:rsid w:val="00126739"/>
    <w:rsid w:val="0012770C"/>
    <w:rsid w:val="0013068D"/>
    <w:rsid w:val="00130787"/>
    <w:rsid w:val="00130A2C"/>
    <w:rsid w:val="00130F2A"/>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8F1"/>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61F"/>
    <w:rsid w:val="002337D7"/>
    <w:rsid w:val="00234DEB"/>
    <w:rsid w:val="0023584A"/>
    <w:rsid w:val="00236C44"/>
    <w:rsid w:val="00240343"/>
    <w:rsid w:val="002403E6"/>
    <w:rsid w:val="002422D0"/>
    <w:rsid w:val="00245181"/>
    <w:rsid w:val="002451F7"/>
    <w:rsid w:val="002455CC"/>
    <w:rsid w:val="00246523"/>
    <w:rsid w:val="00246C43"/>
    <w:rsid w:val="0024777B"/>
    <w:rsid w:val="00247CE0"/>
    <w:rsid w:val="002502F2"/>
    <w:rsid w:val="00250571"/>
    <w:rsid w:val="00251E5A"/>
    <w:rsid w:val="00252465"/>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1F"/>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6A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6BD5"/>
    <w:rsid w:val="00317261"/>
    <w:rsid w:val="0032130D"/>
    <w:rsid w:val="00321DB1"/>
    <w:rsid w:val="00326EEE"/>
    <w:rsid w:val="00326F3E"/>
    <w:rsid w:val="00326F64"/>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4CBB"/>
    <w:rsid w:val="00354DA0"/>
    <w:rsid w:val="003550C3"/>
    <w:rsid w:val="003568A3"/>
    <w:rsid w:val="00356988"/>
    <w:rsid w:val="003601E1"/>
    <w:rsid w:val="00360F5F"/>
    <w:rsid w:val="0036124A"/>
    <w:rsid w:val="0036153E"/>
    <w:rsid w:val="0036237C"/>
    <w:rsid w:val="003625F5"/>
    <w:rsid w:val="003643C9"/>
    <w:rsid w:val="003652CF"/>
    <w:rsid w:val="003657F1"/>
    <w:rsid w:val="00365826"/>
    <w:rsid w:val="00365A2F"/>
    <w:rsid w:val="00366696"/>
    <w:rsid w:val="0036754C"/>
    <w:rsid w:val="00375889"/>
    <w:rsid w:val="003760EB"/>
    <w:rsid w:val="00380892"/>
    <w:rsid w:val="003812CB"/>
    <w:rsid w:val="00381B05"/>
    <w:rsid w:val="00383321"/>
    <w:rsid w:val="00385BF0"/>
    <w:rsid w:val="00385DAD"/>
    <w:rsid w:val="00386626"/>
    <w:rsid w:val="003908D7"/>
    <w:rsid w:val="00390929"/>
    <w:rsid w:val="00390DBB"/>
    <w:rsid w:val="00391CFF"/>
    <w:rsid w:val="003924CC"/>
    <w:rsid w:val="003941ED"/>
    <w:rsid w:val="00396333"/>
    <w:rsid w:val="00396ADD"/>
    <w:rsid w:val="0039716B"/>
    <w:rsid w:val="003A0B9C"/>
    <w:rsid w:val="003A0E5A"/>
    <w:rsid w:val="003A0F8D"/>
    <w:rsid w:val="003A346F"/>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1C9"/>
    <w:rsid w:val="003C6962"/>
    <w:rsid w:val="003C6F65"/>
    <w:rsid w:val="003D1F46"/>
    <w:rsid w:val="003D41CF"/>
    <w:rsid w:val="003D5045"/>
    <w:rsid w:val="003E0BB5"/>
    <w:rsid w:val="003E1442"/>
    <w:rsid w:val="003E2B14"/>
    <w:rsid w:val="003E2FDE"/>
    <w:rsid w:val="003E447A"/>
    <w:rsid w:val="003E5240"/>
    <w:rsid w:val="003E7E85"/>
    <w:rsid w:val="003F01A7"/>
    <w:rsid w:val="003F2E62"/>
    <w:rsid w:val="003F3925"/>
    <w:rsid w:val="003F425B"/>
    <w:rsid w:val="00401386"/>
    <w:rsid w:val="004017C5"/>
    <w:rsid w:val="004047B1"/>
    <w:rsid w:val="00404BF0"/>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887"/>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20"/>
    <w:rsid w:val="004565C0"/>
    <w:rsid w:val="00460024"/>
    <w:rsid w:val="00460031"/>
    <w:rsid w:val="00460140"/>
    <w:rsid w:val="0046238B"/>
    <w:rsid w:val="004625E8"/>
    <w:rsid w:val="004645EC"/>
    <w:rsid w:val="00464B18"/>
    <w:rsid w:val="00465D71"/>
    <w:rsid w:val="00466D15"/>
    <w:rsid w:val="0047070D"/>
    <w:rsid w:val="00477A71"/>
    <w:rsid w:val="00481269"/>
    <w:rsid w:val="004839FC"/>
    <w:rsid w:val="00483C70"/>
    <w:rsid w:val="00484589"/>
    <w:rsid w:val="0048466B"/>
    <w:rsid w:val="00484BCE"/>
    <w:rsid w:val="00484D89"/>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803"/>
    <w:rsid w:val="004B7DB2"/>
    <w:rsid w:val="004C015B"/>
    <w:rsid w:val="004C125D"/>
    <w:rsid w:val="004C1ABF"/>
    <w:rsid w:val="004C30D2"/>
    <w:rsid w:val="004C39D4"/>
    <w:rsid w:val="004C3AE2"/>
    <w:rsid w:val="004C4C1E"/>
    <w:rsid w:val="004C657C"/>
    <w:rsid w:val="004D0BE0"/>
    <w:rsid w:val="004D14F0"/>
    <w:rsid w:val="004D1505"/>
    <w:rsid w:val="004D17DF"/>
    <w:rsid w:val="004D3074"/>
    <w:rsid w:val="004D38F8"/>
    <w:rsid w:val="004D3CE4"/>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387"/>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02E9"/>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36DE"/>
    <w:rsid w:val="00564A3A"/>
    <w:rsid w:val="005650FF"/>
    <w:rsid w:val="00566DDB"/>
    <w:rsid w:val="005674EF"/>
    <w:rsid w:val="00570742"/>
    <w:rsid w:val="00570C2E"/>
    <w:rsid w:val="00571577"/>
    <w:rsid w:val="00571C60"/>
    <w:rsid w:val="0057213D"/>
    <w:rsid w:val="005729E9"/>
    <w:rsid w:val="00572F0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03"/>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37DFD"/>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6D70"/>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6F741C"/>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74C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B29"/>
    <w:rsid w:val="007631D1"/>
    <w:rsid w:val="007635AC"/>
    <w:rsid w:val="00772458"/>
    <w:rsid w:val="00775812"/>
    <w:rsid w:val="00781AFB"/>
    <w:rsid w:val="00782461"/>
    <w:rsid w:val="0078261F"/>
    <w:rsid w:val="00782A47"/>
    <w:rsid w:val="007833DA"/>
    <w:rsid w:val="00783492"/>
    <w:rsid w:val="00783624"/>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2CC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3640"/>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01A8"/>
    <w:rsid w:val="008B236B"/>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0D7A"/>
    <w:rsid w:val="00922241"/>
    <w:rsid w:val="00922DF5"/>
    <w:rsid w:val="00923349"/>
    <w:rsid w:val="009239CD"/>
    <w:rsid w:val="00923CE8"/>
    <w:rsid w:val="009252D3"/>
    <w:rsid w:val="00925301"/>
    <w:rsid w:val="00926002"/>
    <w:rsid w:val="00926C8C"/>
    <w:rsid w:val="00930061"/>
    <w:rsid w:val="00930EBA"/>
    <w:rsid w:val="0093151F"/>
    <w:rsid w:val="0093268C"/>
    <w:rsid w:val="00934728"/>
    <w:rsid w:val="009347A5"/>
    <w:rsid w:val="00935580"/>
    <w:rsid w:val="009366E0"/>
    <w:rsid w:val="00936EB3"/>
    <w:rsid w:val="00937AC0"/>
    <w:rsid w:val="00940622"/>
    <w:rsid w:val="009412D9"/>
    <w:rsid w:val="00944730"/>
    <w:rsid w:val="00944858"/>
    <w:rsid w:val="009471B5"/>
    <w:rsid w:val="00947DDF"/>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48AD"/>
    <w:rsid w:val="009C638A"/>
    <w:rsid w:val="009D05A4"/>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1B6"/>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321"/>
    <w:rsid w:val="00AE7E8A"/>
    <w:rsid w:val="00AF32D8"/>
    <w:rsid w:val="00AF3F64"/>
    <w:rsid w:val="00AF40CA"/>
    <w:rsid w:val="00AF4C64"/>
    <w:rsid w:val="00AF70FF"/>
    <w:rsid w:val="00B01BE5"/>
    <w:rsid w:val="00B02385"/>
    <w:rsid w:val="00B03878"/>
    <w:rsid w:val="00B06DDF"/>
    <w:rsid w:val="00B07809"/>
    <w:rsid w:val="00B079A5"/>
    <w:rsid w:val="00B10164"/>
    <w:rsid w:val="00B11C89"/>
    <w:rsid w:val="00B134C7"/>
    <w:rsid w:val="00B136CC"/>
    <w:rsid w:val="00B143BA"/>
    <w:rsid w:val="00B17521"/>
    <w:rsid w:val="00B17683"/>
    <w:rsid w:val="00B20FAA"/>
    <w:rsid w:val="00B21806"/>
    <w:rsid w:val="00B21CD8"/>
    <w:rsid w:val="00B21FBA"/>
    <w:rsid w:val="00B23036"/>
    <w:rsid w:val="00B23264"/>
    <w:rsid w:val="00B257A2"/>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63A8"/>
    <w:rsid w:val="00B773AD"/>
    <w:rsid w:val="00B774F6"/>
    <w:rsid w:val="00B778CB"/>
    <w:rsid w:val="00B809D9"/>
    <w:rsid w:val="00B8168B"/>
    <w:rsid w:val="00B824F8"/>
    <w:rsid w:val="00B83357"/>
    <w:rsid w:val="00B8362D"/>
    <w:rsid w:val="00B8368B"/>
    <w:rsid w:val="00B83A9E"/>
    <w:rsid w:val="00B86F52"/>
    <w:rsid w:val="00B878F5"/>
    <w:rsid w:val="00B9014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61C8"/>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55F5A"/>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3D3A"/>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57E"/>
    <w:rsid w:val="00CD788F"/>
    <w:rsid w:val="00CE047D"/>
    <w:rsid w:val="00CE1017"/>
    <w:rsid w:val="00CE358A"/>
    <w:rsid w:val="00CE373E"/>
    <w:rsid w:val="00CE43AF"/>
    <w:rsid w:val="00CE577D"/>
    <w:rsid w:val="00CE5A21"/>
    <w:rsid w:val="00CE665D"/>
    <w:rsid w:val="00CE6758"/>
    <w:rsid w:val="00CE7731"/>
    <w:rsid w:val="00CF096F"/>
    <w:rsid w:val="00CF1226"/>
    <w:rsid w:val="00CF246D"/>
    <w:rsid w:val="00CF329F"/>
    <w:rsid w:val="00CF6106"/>
    <w:rsid w:val="00CF6A79"/>
    <w:rsid w:val="00CF73D7"/>
    <w:rsid w:val="00D00AAE"/>
    <w:rsid w:val="00D02D5A"/>
    <w:rsid w:val="00D03B9D"/>
    <w:rsid w:val="00D0498A"/>
    <w:rsid w:val="00D065E6"/>
    <w:rsid w:val="00D06F2D"/>
    <w:rsid w:val="00D10843"/>
    <w:rsid w:val="00D11B6A"/>
    <w:rsid w:val="00D13B2D"/>
    <w:rsid w:val="00D14588"/>
    <w:rsid w:val="00D154A5"/>
    <w:rsid w:val="00D15660"/>
    <w:rsid w:val="00D16E7D"/>
    <w:rsid w:val="00D17731"/>
    <w:rsid w:val="00D20E86"/>
    <w:rsid w:val="00D20FB3"/>
    <w:rsid w:val="00D21DFB"/>
    <w:rsid w:val="00D227C4"/>
    <w:rsid w:val="00D23048"/>
    <w:rsid w:val="00D2352A"/>
    <w:rsid w:val="00D23DD0"/>
    <w:rsid w:val="00D251C3"/>
    <w:rsid w:val="00D26CB5"/>
    <w:rsid w:val="00D26D1C"/>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5E41"/>
    <w:rsid w:val="00D67ADC"/>
    <w:rsid w:val="00D706BA"/>
    <w:rsid w:val="00D709A0"/>
    <w:rsid w:val="00D70A78"/>
    <w:rsid w:val="00D71394"/>
    <w:rsid w:val="00D7252A"/>
    <w:rsid w:val="00D73BC0"/>
    <w:rsid w:val="00D767A3"/>
    <w:rsid w:val="00D76C93"/>
    <w:rsid w:val="00D777C9"/>
    <w:rsid w:val="00D80799"/>
    <w:rsid w:val="00D81512"/>
    <w:rsid w:val="00D84747"/>
    <w:rsid w:val="00D84BD3"/>
    <w:rsid w:val="00D85346"/>
    <w:rsid w:val="00D87945"/>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0858"/>
    <w:rsid w:val="00DB0A2E"/>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7785"/>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5D8"/>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2AAE"/>
    <w:rsid w:val="00E83629"/>
    <w:rsid w:val="00E838DB"/>
    <w:rsid w:val="00E83F7E"/>
    <w:rsid w:val="00E865F0"/>
    <w:rsid w:val="00E868E7"/>
    <w:rsid w:val="00E86FAD"/>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6357"/>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0E27"/>
    <w:rsid w:val="00F31625"/>
    <w:rsid w:val="00F31BDC"/>
    <w:rsid w:val="00F32232"/>
    <w:rsid w:val="00F32242"/>
    <w:rsid w:val="00F361A3"/>
    <w:rsid w:val="00F36CDE"/>
    <w:rsid w:val="00F36E39"/>
    <w:rsid w:val="00F4003B"/>
    <w:rsid w:val="00F40A8F"/>
    <w:rsid w:val="00F40FF5"/>
    <w:rsid w:val="00F41E1E"/>
    <w:rsid w:val="00F42C7D"/>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1F5D"/>
    <w:rsid w:val="00F748DD"/>
    <w:rsid w:val="00F76633"/>
    <w:rsid w:val="00F77EEC"/>
    <w:rsid w:val="00F81710"/>
    <w:rsid w:val="00F81FF7"/>
    <w:rsid w:val="00F83E64"/>
    <w:rsid w:val="00F86EF9"/>
    <w:rsid w:val="00F86FB1"/>
    <w:rsid w:val="00F87E61"/>
    <w:rsid w:val="00F9058E"/>
    <w:rsid w:val="00F908E0"/>
    <w:rsid w:val="00F90B86"/>
    <w:rsid w:val="00F931CF"/>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B7F51"/>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1DBC"/>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F7896"/>
  <w15:docId w15:val="{6197EA52-87B6-4DEC-AFA3-4D4BCCE5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6AC"/>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2F56AC"/>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Footer">
    <w:name w:val="footer"/>
    <w:basedOn w:val="Normal"/>
    <w:link w:val="FooterChar"/>
    <w:uiPriority w:val="99"/>
    <w:rsid w:val="002F56AC"/>
    <w:pPr>
      <w:tabs>
        <w:tab w:val="center" w:pos="4320"/>
        <w:tab w:val="right" w:pos="8640"/>
      </w:tabs>
    </w:pPr>
  </w:style>
  <w:style w:type="character" w:customStyle="1" w:styleId="FooterChar">
    <w:name w:val="Footer Char"/>
    <w:basedOn w:val="DefaultParagraphFont"/>
    <w:link w:val="Footer"/>
    <w:uiPriority w:val="99"/>
    <w:rsid w:val="002F56AC"/>
    <w:rPr>
      <w:rFonts w:ascii="CG Times" w:eastAsia="Times New Roman" w:hAnsi="CG Times" w:cs="CG Times"/>
    </w:rPr>
  </w:style>
  <w:style w:type="character" w:styleId="PageNumber">
    <w:name w:val="page number"/>
    <w:basedOn w:val="DefaultParagraphFont"/>
    <w:rsid w:val="002F56AC"/>
  </w:style>
  <w:style w:type="character" w:styleId="Hyperlink">
    <w:name w:val="Hyperlink"/>
    <w:basedOn w:val="DefaultParagraphFont"/>
    <w:unhideWhenUsed/>
    <w:rsid w:val="002F56AC"/>
    <w:rPr>
      <w:color w:val="0000FF"/>
      <w:u w:val="single"/>
    </w:rPr>
  </w:style>
  <w:style w:type="paragraph" w:styleId="Header">
    <w:name w:val="header"/>
    <w:basedOn w:val="Normal"/>
    <w:link w:val="HeaderChar"/>
    <w:uiPriority w:val="99"/>
    <w:unhideWhenUsed/>
    <w:rsid w:val="00D26D1C"/>
    <w:pPr>
      <w:tabs>
        <w:tab w:val="center" w:pos="4680"/>
        <w:tab w:val="right" w:pos="9360"/>
      </w:tabs>
    </w:pPr>
  </w:style>
  <w:style w:type="character" w:customStyle="1" w:styleId="HeaderChar">
    <w:name w:val="Header Char"/>
    <w:basedOn w:val="DefaultParagraphFont"/>
    <w:link w:val="Header"/>
    <w:uiPriority w:val="99"/>
    <w:rsid w:val="00D26D1C"/>
    <w:rPr>
      <w:rFonts w:ascii="CG Times" w:eastAsia="Times New Roman" w:hAnsi="CG Times" w:cs="CG Times"/>
    </w:rPr>
  </w:style>
  <w:style w:type="paragraph" w:styleId="BalloonText">
    <w:name w:val="Balloon Text"/>
    <w:basedOn w:val="Normal"/>
    <w:link w:val="BalloonTextChar"/>
    <w:uiPriority w:val="99"/>
    <w:semiHidden/>
    <w:unhideWhenUsed/>
    <w:rsid w:val="00CF246D"/>
    <w:rPr>
      <w:rFonts w:ascii="Tahoma" w:hAnsi="Tahoma" w:cs="Tahoma"/>
      <w:sz w:val="16"/>
      <w:szCs w:val="16"/>
    </w:rPr>
  </w:style>
  <w:style w:type="character" w:customStyle="1" w:styleId="BalloonTextChar">
    <w:name w:val="Balloon Text Char"/>
    <w:basedOn w:val="DefaultParagraphFont"/>
    <w:link w:val="BalloonText"/>
    <w:uiPriority w:val="99"/>
    <w:semiHidden/>
    <w:rsid w:val="00CF246D"/>
    <w:rPr>
      <w:rFonts w:ascii="Tahoma" w:eastAsia="Times New Roman" w:hAnsi="Tahoma" w:cs="Tahoma"/>
      <w:sz w:val="16"/>
      <w:szCs w:val="16"/>
    </w:rPr>
  </w:style>
  <w:style w:type="paragraph" w:styleId="ListParagraph">
    <w:name w:val="List Paragraph"/>
    <w:basedOn w:val="Normal"/>
    <w:uiPriority w:val="34"/>
    <w:qFormat/>
    <w:rsid w:val="004B7803"/>
    <w:pPr>
      <w:ind w:left="720"/>
      <w:contextualSpacing/>
    </w:pPr>
  </w:style>
  <w:style w:type="character" w:styleId="UnresolvedMention">
    <w:name w:val="Unresolved Mention"/>
    <w:basedOn w:val="DefaultParagraphFont"/>
    <w:uiPriority w:val="99"/>
    <w:semiHidden/>
    <w:unhideWhenUsed/>
    <w:rsid w:val="001B28F1"/>
    <w:rPr>
      <w:color w:val="605E5C"/>
      <w:shd w:val="clear" w:color="auto" w:fill="E1DFDD"/>
    </w:rPr>
  </w:style>
  <w:style w:type="table" w:styleId="TableGrid">
    <w:name w:val="Table Grid"/>
    <w:basedOn w:val="TableNormal"/>
    <w:rsid w:val="00316BD5"/>
    <w:pPr>
      <w:spacing w:line="240" w:lineRule="auto"/>
      <w:jc w:val="left"/>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D767A3"/>
    <w:pPr>
      <w:widowControl w:val="0"/>
      <w:autoSpaceDE w:val="0"/>
      <w:autoSpaceDN w:val="0"/>
      <w:adjustRightInd w:val="0"/>
      <w:spacing w:line="240" w:lineRule="auto"/>
      <w:jc w:val="left"/>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54446">
      <w:bodyDiv w:val="1"/>
      <w:marLeft w:val="0"/>
      <w:marRight w:val="0"/>
      <w:marTop w:val="0"/>
      <w:marBottom w:val="0"/>
      <w:divBdr>
        <w:top w:val="none" w:sz="0" w:space="0" w:color="auto"/>
        <w:left w:val="none" w:sz="0" w:space="0" w:color="auto"/>
        <w:bottom w:val="none" w:sz="0" w:space="0" w:color="auto"/>
        <w:right w:val="none" w:sz="0" w:space="0" w:color="auto"/>
      </w:divBdr>
    </w:div>
    <w:div w:id="2998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2723</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2019-05-28T18:15:00Z</cp:lastPrinted>
  <dcterms:created xsi:type="dcterms:W3CDTF">2019-05-28T19:43:00Z</dcterms:created>
  <dcterms:modified xsi:type="dcterms:W3CDTF">2019-05-28T19:43:00Z</dcterms:modified>
</cp:coreProperties>
</file>