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A2B3A" w14:textId="77777777" w:rsidR="00011700" w:rsidRPr="00117CC1" w:rsidRDefault="002E493D" w:rsidP="00CC0155">
      <w:pPr>
        <w:pStyle w:val="NoSpacing"/>
        <w:jc w:val="center"/>
        <w:rPr>
          <w:b/>
          <w:sz w:val="26"/>
          <w:szCs w:val="26"/>
        </w:rPr>
      </w:pPr>
      <w:r w:rsidRPr="00117CC1">
        <w:rPr>
          <w:b/>
          <w:sz w:val="26"/>
          <w:szCs w:val="26"/>
        </w:rPr>
        <w:t>P</w:t>
      </w:r>
      <w:r w:rsidR="005C7F9B" w:rsidRPr="00117CC1">
        <w:rPr>
          <w:b/>
          <w:sz w:val="26"/>
          <w:szCs w:val="26"/>
        </w:rPr>
        <w:t>ENNSYLVANIA</w:t>
      </w:r>
    </w:p>
    <w:p w14:paraId="39F91E72" w14:textId="258FBDBE" w:rsidR="00DA4630" w:rsidRPr="00117CC1" w:rsidRDefault="00DA4630" w:rsidP="00CC0155">
      <w:pPr>
        <w:pStyle w:val="NoSpacing"/>
        <w:jc w:val="center"/>
        <w:rPr>
          <w:b/>
          <w:sz w:val="26"/>
          <w:szCs w:val="26"/>
        </w:rPr>
      </w:pPr>
      <w:r w:rsidRPr="00117CC1">
        <w:rPr>
          <w:b/>
          <w:sz w:val="26"/>
          <w:szCs w:val="26"/>
        </w:rPr>
        <w:t>PUBLIC UT</w:t>
      </w:r>
      <w:r w:rsidR="009F17B1">
        <w:rPr>
          <w:b/>
          <w:sz w:val="26"/>
          <w:szCs w:val="26"/>
        </w:rPr>
        <w:t>I</w:t>
      </w:r>
      <w:r w:rsidRPr="00117CC1">
        <w:rPr>
          <w:b/>
          <w:sz w:val="26"/>
          <w:szCs w:val="26"/>
        </w:rPr>
        <w:t>LITY COMMISSION</w:t>
      </w:r>
    </w:p>
    <w:p w14:paraId="2511D51B" w14:textId="77777777" w:rsidR="00011700" w:rsidRPr="00117CC1" w:rsidRDefault="00011700" w:rsidP="00CC0155">
      <w:pPr>
        <w:pStyle w:val="NoSpacing"/>
        <w:jc w:val="center"/>
        <w:rPr>
          <w:b/>
          <w:sz w:val="26"/>
          <w:szCs w:val="26"/>
        </w:rPr>
      </w:pPr>
      <w:r w:rsidRPr="00117CC1">
        <w:rPr>
          <w:b/>
          <w:sz w:val="26"/>
          <w:szCs w:val="26"/>
        </w:rPr>
        <w:t>Harrisburg, PA 17105-3265</w:t>
      </w:r>
    </w:p>
    <w:p w14:paraId="3829308B" w14:textId="77777777" w:rsidR="00770703" w:rsidRPr="00117CC1" w:rsidRDefault="00770703" w:rsidP="00CC0155">
      <w:pPr>
        <w:pStyle w:val="NoSpacing"/>
        <w:jc w:val="center"/>
        <w:rPr>
          <w:sz w:val="26"/>
          <w:szCs w:val="26"/>
        </w:rPr>
      </w:pPr>
    </w:p>
    <w:p w14:paraId="1F382621" w14:textId="085DFDF7" w:rsidR="00D945A0" w:rsidRPr="00117CC1" w:rsidRDefault="00D945A0" w:rsidP="00CC0155">
      <w:pPr>
        <w:pStyle w:val="NoSpacing"/>
        <w:ind w:left="4320" w:firstLine="720"/>
        <w:jc w:val="right"/>
        <w:rPr>
          <w:sz w:val="26"/>
          <w:szCs w:val="26"/>
        </w:rPr>
      </w:pPr>
      <w:r w:rsidRPr="00117CC1">
        <w:rPr>
          <w:sz w:val="26"/>
          <w:szCs w:val="26"/>
        </w:rPr>
        <w:t xml:space="preserve">Public </w:t>
      </w:r>
      <w:r w:rsidR="00AC66F0" w:rsidRPr="00117CC1">
        <w:rPr>
          <w:sz w:val="26"/>
          <w:szCs w:val="26"/>
        </w:rPr>
        <w:t>M</w:t>
      </w:r>
      <w:r w:rsidR="006A4296" w:rsidRPr="00117CC1">
        <w:rPr>
          <w:sz w:val="26"/>
          <w:szCs w:val="26"/>
        </w:rPr>
        <w:t>eeting held</w:t>
      </w:r>
      <w:r w:rsidR="0031748B">
        <w:rPr>
          <w:sz w:val="26"/>
          <w:szCs w:val="26"/>
        </w:rPr>
        <w:t xml:space="preserve"> </w:t>
      </w:r>
      <w:r w:rsidR="000449F6">
        <w:rPr>
          <w:sz w:val="26"/>
          <w:szCs w:val="26"/>
        </w:rPr>
        <w:t>June 1</w:t>
      </w:r>
      <w:r w:rsidR="006C6DB8">
        <w:rPr>
          <w:sz w:val="26"/>
          <w:szCs w:val="26"/>
        </w:rPr>
        <w:t>3</w:t>
      </w:r>
      <w:r w:rsidR="006B4653" w:rsidRPr="00117CC1">
        <w:rPr>
          <w:sz w:val="26"/>
          <w:szCs w:val="26"/>
        </w:rPr>
        <w:t>, 201</w:t>
      </w:r>
      <w:r w:rsidR="0031748B">
        <w:rPr>
          <w:sz w:val="26"/>
          <w:szCs w:val="26"/>
        </w:rPr>
        <w:t>9</w:t>
      </w:r>
    </w:p>
    <w:p w14:paraId="481B8D77" w14:textId="77777777" w:rsidR="00D945A0" w:rsidRPr="00117CC1" w:rsidRDefault="00D945A0" w:rsidP="00CC0155">
      <w:pPr>
        <w:pStyle w:val="NoSpacing"/>
        <w:rPr>
          <w:sz w:val="26"/>
          <w:szCs w:val="26"/>
        </w:rPr>
      </w:pPr>
    </w:p>
    <w:p w14:paraId="640EE106" w14:textId="77777777" w:rsidR="00D945A0" w:rsidRDefault="00D945A0" w:rsidP="00CC0155">
      <w:pPr>
        <w:tabs>
          <w:tab w:val="left" w:pos="-720"/>
        </w:tabs>
        <w:suppressAutoHyphens/>
        <w:spacing w:line="240" w:lineRule="auto"/>
        <w:ind w:firstLine="0"/>
      </w:pPr>
      <w:r w:rsidRPr="00117CC1">
        <w:t>Commissioners Present:</w:t>
      </w:r>
    </w:p>
    <w:p w14:paraId="29DB985F" w14:textId="77777777" w:rsidR="00770703" w:rsidRDefault="00770703" w:rsidP="00CC0155">
      <w:pPr>
        <w:tabs>
          <w:tab w:val="left" w:pos="-720"/>
        </w:tabs>
        <w:suppressAutoHyphens/>
        <w:spacing w:line="240" w:lineRule="auto"/>
        <w:ind w:firstLine="0"/>
      </w:pPr>
    </w:p>
    <w:p w14:paraId="570F38C9" w14:textId="362425B1" w:rsidR="00B00918" w:rsidRPr="003B0637" w:rsidRDefault="00B00918" w:rsidP="00CC0155">
      <w:pPr>
        <w:tabs>
          <w:tab w:val="left" w:pos="705"/>
        </w:tabs>
        <w:spacing w:line="240" w:lineRule="auto"/>
        <w:ind w:firstLine="720"/>
        <w:rPr>
          <w:szCs w:val="26"/>
        </w:rPr>
      </w:pPr>
      <w:r w:rsidRPr="003B0637">
        <w:rPr>
          <w:szCs w:val="26"/>
        </w:rPr>
        <w:t>Gladys Brown</w:t>
      </w:r>
      <w:r w:rsidR="00246F57">
        <w:rPr>
          <w:szCs w:val="26"/>
        </w:rPr>
        <w:t xml:space="preserve"> </w:t>
      </w:r>
      <w:r w:rsidR="00246F57" w:rsidRPr="00F30C3E">
        <w:rPr>
          <w:szCs w:val="26"/>
        </w:rPr>
        <w:t>Dutrieuille</w:t>
      </w:r>
      <w:r w:rsidRPr="003B0637">
        <w:rPr>
          <w:szCs w:val="26"/>
        </w:rPr>
        <w:t>, Chairman</w:t>
      </w:r>
    </w:p>
    <w:p w14:paraId="7E026D54" w14:textId="77777777" w:rsidR="00B00918" w:rsidRPr="003B0637" w:rsidRDefault="00B00918" w:rsidP="00CC0155">
      <w:pPr>
        <w:tabs>
          <w:tab w:val="left" w:pos="705"/>
        </w:tabs>
        <w:spacing w:line="240" w:lineRule="auto"/>
        <w:ind w:firstLine="720"/>
        <w:rPr>
          <w:szCs w:val="26"/>
        </w:rPr>
      </w:pPr>
      <w:r w:rsidRPr="003B0637">
        <w:rPr>
          <w:szCs w:val="26"/>
        </w:rPr>
        <w:t>David W. Sweet, Vice Chairman</w:t>
      </w:r>
    </w:p>
    <w:p w14:paraId="3E292873" w14:textId="77777777" w:rsidR="00B00918" w:rsidRPr="003B0637" w:rsidRDefault="00B00918" w:rsidP="00CC0155">
      <w:pPr>
        <w:tabs>
          <w:tab w:val="left" w:pos="705"/>
        </w:tabs>
        <w:spacing w:line="240" w:lineRule="auto"/>
        <w:ind w:firstLine="720"/>
        <w:rPr>
          <w:szCs w:val="26"/>
        </w:rPr>
      </w:pPr>
      <w:r w:rsidRPr="003B0637">
        <w:rPr>
          <w:szCs w:val="26"/>
        </w:rPr>
        <w:t>Norman J. Kennard</w:t>
      </w:r>
    </w:p>
    <w:p w14:paraId="4C01A436" w14:textId="77777777" w:rsidR="00B00918" w:rsidRPr="003B0637" w:rsidRDefault="00B00918" w:rsidP="00CC0155">
      <w:pPr>
        <w:tabs>
          <w:tab w:val="left" w:pos="705"/>
        </w:tabs>
        <w:spacing w:line="240" w:lineRule="auto"/>
        <w:ind w:firstLine="720"/>
        <w:rPr>
          <w:szCs w:val="26"/>
        </w:rPr>
      </w:pPr>
      <w:r w:rsidRPr="003B0637">
        <w:rPr>
          <w:szCs w:val="26"/>
        </w:rPr>
        <w:t xml:space="preserve">Andrew G. Place, </w:t>
      </w:r>
    </w:p>
    <w:p w14:paraId="76057CB0" w14:textId="77777777" w:rsidR="00B00918" w:rsidRPr="003B0637" w:rsidRDefault="00B00918" w:rsidP="00CC0155">
      <w:pPr>
        <w:tabs>
          <w:tab w:val="left" w:pos="705"/>
        </w:tabs>
        <w:spacing w:line="240" w:lineRule="auto"/>
        <w:ind w:firstLine="720"/>
        <w:rPr>
          <w:szCs w:val="26"/>
        </w:rPr>
      </w:pPr>
      <w:r w:rsidRPr="003B0637">
        <w:rPr>
          <w:szCs w:val="26"/>
        </w:rPr>
        <w:t>John F. Coleman, Jr.</w:t>
      </w:r>
    </w:p>
    <w:p w14:paraId="0405461D" w14:textId="6AE10F27" w:rsidR="002226FB" w:rsidRDefault="002226FB" w:rsidP="00CC0155">
      <w:pPr>
        <w:tabs>
          <w:tab w:val="left" w:pos="-720"/>
        </w:tabs>
        <w:suppressAutoHyphens/>
        <w:spacing w:line="240" w:lineRule="auto"/>
        <w:ind w:firstLine="0"/>
        <w:rPr>
          <w:szCs w:val="26"/>
        </w:rPr>
      </w:pPr>
    </w:p>
    <w:p w14:paraId="595F86BF" w14:textId="77777777" w:rsidR="0031748B" w:rsidRDefault="0031748B" w:rsidP="00CC0155">
      <w:pPr>
        <w:spacing w:line="240" w:lineRule="auto"/>
        <w:ind w:firstLine="0"/>
        <w:rPr>
          <w:szCs w:val="26"/>
        </w:rPr>
      </w:pPr>
      <w:r>
        <w:rPr>
          <w:szCs w:val="26"/>
        </w:rPr>
        <w:t xml:space="preserve">Respond Power, LLC  </w:t>
      </w:r>
      <w:r>
        <w:rPr>
          <w:szCs w:val="26"/>
        </w:rPr>
        <w:tab/>
      </w:r>
      <w:r>
        <w:rPr>
          <w:szCs w:val="26"/>
        </w:rPr>
        <w:tab/>
      </w:r>
      <w:r>
        <w:rPr>
          <w:szCs w:val="26"/>
        </w:rPr>
        <w:tab/>
      </w:r>
      <w:r>
        <w:rPr>
          <w:szCs w:val="26"/>
        </w:rPr>
        <w:tab/>
      </w:r>
      <w:r>
        <w:rPr>
          <w:szCs w:val="26"/>
        </w:rPr>
        <w:tab/>
      </w:r>
      <w:r>
        <w:rPr>
          <w:szCs w:val="26"/>
        </w:rPr>
        <w:tab/>
        <w:t xml:space="preserve">    </w:t>
      </w:r>
      <w:r>
        <w:rPr>
          <w:szCs w:val="26"/>
        </w:rPr>
        <w:tab/>
        <w:t xml:space="preserve"> C-2016-2576287</w:t>
      </w:r>
    </w:p>
    <w:p w14:paraId="40C140C7" w14:textId="77777777" w:rsidR="0031748B" w:rsidRDefault="0031748B" w:rsidP="00CC0155">
      <w:pPr>
        <w:spacing w:line="240" w:lineRule="auto"/>
        <w:rPr>
          <w:szCs w:val="26"/>
        </w:rPr>
      </w:pPr>
      <w:r>
        <w:rPr>
          <w:szCs w:val="26"/>
        </w:rPr>
        <w:t>v.</w:t>
      </w:r>
    </w:p>
    <w:p w14:paraId="11833822" w14:textId="2A589B5B" w:rsidR="0031748B" w:rsidRDefault="0031748B" w:rsidP="00CC0155">
      <w:pPr>
        <w:spacing w:line="240" w:lineRule="auto"/>
        <w:ind w:firstLine="0"/>
        <w:rPr>
          <w:szCs w:val="26"/>
        </w:rPr>
      </w:pPr>
      <w:r>
        <w:rPr>
          <w:szCs w:val="26"/>
        </w:rPr>
        <w:t>Pennsylvania Electric Company</w:t>
      </w:r>
    </w:p>
    <w:p w14:paraId="720D24E0" w14:textId="77777777" w:rsidR="00606FEA" w:rsidRDefault="00606FEA" w:rsidP="00CC0155">
      <w:pPr>
        <w:spacing w:line="240" w:lineRule="auto"/>
        <w:rPr>
          <w:szCs w:val="26"/>
        </w:rPr>
      </w:pPr>
    </w:p>
    <w:p w14:paraId="7D4C8BE0" w14:textId="77777777" w:rsidR="006B4653" w:rsidRDefault="006B4653" w:rsidP="00CC0155">
      <w:pPr>
        <w:pStyle w:val="ListParagraph"/>
        <w:ind w:left="0"/>
        <w:jc w:val="center"/>
        <w:rPr>
          <w:b/>
          <w:sz w:val="26"/>
          <w:szCs w:val="26"/>
        </w:rPr>
      </w:pPr>
    </w:p>
    <w:p w14:paraId="7C9EFCCB" w14:textId="77777777" w:rsidR="0031748B" w:rsidRDefault="0031748B" w:rsidP="00CC0155">
      <w:pPr>
        <w:spacing w:line="240" w:lineRule="auto"/>
        <w:ind w:firstLine="0"/>
        <w:rPr>
          <w:szCs w:val="26"/>
        </w:rPr>
      </w:pPr>
      <w:r>
        <w:rPr>
          <w:szCs w:val="26"/>
        </w:rPr>
        <w:t xml:space="preserve">Respond Power, LLC  </w:t>
      </w:r>
      <w:r>
        <w:rPr>
          <w:szCs w:val="26"/>
        </w:rPr>
        <w:tab/>
      </w:r>
      <w:r>
        <w:rPr>
          <w:szCs w:val="26"/>
        </w:rPr>
        <w:tab/>
      </w:r>
      <w:r>
        <w:rPr>
          <w:szCs w:val="26"/>
        </w:rPr>
        <w:tab/>
      </w:r>
      <w:r>
        <w:rPr>
          <w:szCs w:val="26"/>
        </w:rPr>
        <w:tab/>
      </w:r>
      <w:r>
        <w:rPr>
          <w:szCs w:val="26"/>
        </w:rPr>
        <w:tab/>
      </w:r>
      <w:r>
        <w:rPr>
          <w:szCs w:val="26"/>
        </w:rPr>
        <w:tab/>
        <w:t xml:space="preserve">    </w:t>
      </w:r>
      <w:r>
        <w:rPr>
          <w:szCs w:val="26"/>
        </w:rPr>
        <w:tab/>
        <w:t xml:space="preserve"> C-2016-2576292</w:t>
      </w:r>
    </w:p>
    <w:p w14:paraId="7A54F1A7" w14:textId="77777777" w:rsidR="0031748B" w:rsidRDefault="0031748B" w:rsidP="00CC0155">
      <w:pPr>
        <w:spacing w:line="240" w:lineRule="auto"/>
        <w:rPr>
          <w:szCs w:val="26"/>
        </w:rPr>
      </w:pPr>
      <w:r>
        <w:rPr>
          <w:szCs w:val="26"/>
        </w:rPr>
        <w:t>v.</w:t>
      </w:r>
    </w:p>
    <w:p w14:paraId="2BCEC2CC" w14:textId="244CB8CB" w:rsidR="0031748B" w:rsidRDefault="0031748B" w:rsidP="00CC0155">
      <w:pPr>
        <w:spacing w:line="240" w:lineRule="auto"/>
        <w:ind w:firstLine="0"/>
        <w:rPr>
          <w:szCs w:val="26"/>
        </w:rPr>
      </w:pPr>
      <w:r>
        <w:rPr>
          <w:szCs w:val="26"/>
        </w:rPr>
        <w:t>West Penn Power Company</w:t>
      </w:r>
    </w:p>
    <w:p w14:paraId="3613E413" w14:textId="77777777" w:rsidR="002322E4" w:rsidRDefault="002322E4" w:rsidP="00CC0155">
      <w:pPr>
        <w:spacing w:line="240" w:lineRule="auto"/>
        <w:rPr>
          <w:szCs w:val="26"/>
        </w:rPr>
      </w:pPr>
    </w:p>
    <w:p w14:paraId="3421902F" w14:textId="77777777" w:rsidR="0031748B" w:rsidRDefault="0031748B" w:rsidP="00CC0155">
      <w:pPr>
        <w:pStyle w:val="ListParagraph"/>
        <w:ind w:left="0"/>
        <w:jc w:val="center"/>
        <w:rPr>
          <w:b/>
          <w:sz w:val="26"/>
          <w:szCs w:val="26"/>
        </w:rPr>
      </w:pPr>
    </w:p>
    <w:p w14:paraId="06A52867" w14:textId="77777777" w:rsidR="0031748B" w:rsidRDefault="0031748B" w:rsidP="00CC0155">
      <w:pPr>
        <w:spacing w:line="240" w:lineRule="auto"/>
        <w:ind w:firstLine="0"/>
        <w:rPr>
          <w:szCs w:val="26"/>
        </w:rPr>
      </w:pPr>
      <w:r>
        <w:rPr>
          <w:szCs w:val="26"/>
        </w:rPr>
        <w:t xml:space="preserve">Respond Power, LLC  </w:t>
      </w:r>
      <w:r>
        <w:rPr>
          <w:szCs w:val="26"/>
        </w:rPr>
        <w:tab/>
      </w:r>
      <w:r>
        <w:rPr>
          <w:szCs w:val="26"/>
        </w:rPr>
        <w:tab/>
      </w:r>
      <w:r>
        <w:rPr>
          <w:szCs w:val="26"/>
        </w:rPr>
        <w:tab/>
      </w:r>
      <w:r>
        <w:rPr>
          <w:szCs w:val="26"/>
        </w:rPr>
        <w:tab/>
      </w:r>
      <w:r>
        <w:rPr>
          <w:szCs w:val="26"/>
        </w:rPr>
        <w:tab/>
      </w:r>
      <w:r>
        <w:rPr>
          <w:szCs w:val="26"/>
        </w:rPr>
        <w:tab/>
        <w:t xml:space="preserve">    </w:t>
      </w:r>
      <w:r>
        <w:rPr>
          <w:szCs w:val="26"/>
        </w:rPr>
        <w:tab/>
        <w:t xml:space="preserve"> C-2017-2631326</w:t>
      </w:r>
    </w:p>
    <w:p w14:paraId="090BBC48" w14:textId="77777777" w:rsidR="0031748B" w:rsidRDefault="0031748B" w:rsidP="00CC0155">
      <w:pPr>
        <w:spacing w:line="240" w:lineRule="auto"/>
        <w:rPr>
          <w:szCs w:val="26"/>
        </w:rPr>
      </w:pPr>
      <w:r>
        <w:rPr>
          <w:szCs w:val="26"/>
        </w:rPr>
        <w:t>v.</w:t>
      </w:r>
    </w:p>
    <w:p w14:paraId="2242C6DD" w14:textId="77777777" w:rsidR="0031748B" w:rsidRDefault="0031748B" w:rsidP="00CC0155">
      <w:pPr>
        <w:spacing w:line="240" w:lineRule="auto"/>
        <w:ind w:firstLine="0"/>
        <w:rPr>
          <w:szCs w:val="26"/>
        </w:rPr>
      </w:pPr>
      <w:r>
        <w:rPr>
          <w:szCs w:val="26"/>
        </w:rPr>
        <w:t>West Penn Power Company</w:t>
      </w:r>
    </w:p>
    <w:p w14:paraId="76D3C24E" w14:textId="77777777" w:rsidR="0031748B" w:rsidRDefault="0031748B" w:rsidP="00CC0155">
      <w:pPr>
        <w:spacing w:line="240" w:lineRule="auto"/>
        <w:ind w:firstLine="0"/>
        <w:rPr>
          <w:szCs w:val="26"/>
        </w:rPr>
      </w:pPr>
    </w:p>
    <w:p w14:paraId="34D2291E" w14:textId="77777777" w:rsidR="0031748B" w:rsidRDefault="0031748B" w:rsidP="00CC0155">
      <w:pPr>
        <w:pStyle w:val="ListParagraph"/>
        <w:ind w:left="0"/>
        <w:jc w:val="center"/>
        <w:rPr>
          <w:b/>
          <w:sz w:val="26"/>
          <w:szCs w:val="26"/>
        </w:rPr>
      </w:pPr>
    </w:p>
    <w:p w14:paraId="7D802442" w14:textId="77777777" w:rsidR="0031748B" w:rsidRDefault="0031748B" w:rsidP="00CC0155">
      <w:pPr>
        <w:spacing w:line="240" w:lineRule="auto"/>
        <w:ind w:firstLine="0"/>
        <w:rPr>
          <w:szCs w:val="26"/>
        </w:rPr>
      </w:pPr>
      <w:r>
        <w:rPr>
          <w:szCs w:val="26"/>
        </w:rPr>
        <w:t xml:space="preserve">Respond Power, LLC  </w:t>
      </w:r>
      <w:r>
        <w:rPr>
          <w:szCs w:val="26"/>
        </w:rPr>
        <w:tab/>
      </w:r>
      <w:r>
        <w:rPr>
          <w:szCs w:val="26"/>
        </w:rPr>
        <w:tab/>
      </w:r>
      <w:r>
        <w:rPr>
          <w:szCs w:val="26"/>
        </w:rPr>
        <w:tab/>
      </w:r>
      <w:r>
        <w:rPr>
          <w:szCs w:val="26"/>
        </w:rPr>
        <w:tab/>
      </w:r>
      <w:r>
        <w:rPr>
          <w:szCs w:val="26"/>
        </w:rPr>
        <w:tab/>
      </w:r>
      <w:r>
        <w:rPr>
          <w:szCs w:val="26"/>
        </w:rPr>
        <w:tab/>
        <w:t xml:space="preserve">    </w:t>
      </w:r>
      <w:r>
        <w:rPr>
          <w:szCs w:val="26"/>
        </w:rPr>
        <w:tab/>
        <w:t xml:space="preserve"> C-2017-2631331</w:t>
      </w:r>
    </w:p>
    <w:p w14:paraId="37FBF94E" w14:textId="77777777" w:rsidR="0031748B" w:rsidRDefault="0031748B" w:rsidP="00CC0155">
      <w:pPr>
        <w:spacing w:line="240" w:lineRule="auto"/>
        <w:rPr>
          <w:szCs w:val="26"/>
        </w:rPr>
      </w:pPr>
      <w:r>
        <w:rPr>
          <w:szCs w:val="26"/>
        </w:rPr>
        <w:t>v.</w:t>
      </w:r>
    </w:p>
    <w:p w14:paraId="5897EC97" w14:textId="2E5A0935" w:rsidR="0031748B" w:rsidRDefault="0031748B" w:rsidP="00CC0155">
      <w:pPr>
        <w:spacing w:line="240" w:lineRule="auto"/>
        <w:ind w:firstLine="0"/>
        <w:rPr>
          <w:szCs w:val="26"/>
        </w:rPr>
      </w:pPr>
      <w:r>
        <w:rPr>
          <w:szCs w:val="26"/>
        </w:rPr>
        <w:t>Pennsylvania Electric Company</w:t>
      </w:r>
    </w:p>
    <w:p w14:paraId="4F1FF857" w14:textId="77777777" w:rsidR="00E852B9" w:rsidRDefault="00E852B9" w:rsidP="00CC0155">
      <w:pPr>
        <w:ind w:firstLine="0"/>
        <w:rPr>
          <w:szCs w:val="26"/>
        </w:rPr>
      </w:pPr>
    </w:p>
    <w:p w14:paraId="575C5317" w14:textId="77777777" w:rsidR="00BC7AAB" w:rsidRDefault="00BC7AAB" w:rsidP="00CC0155">
      <w:pPr>
        <w:ind w:firstLine="0"/>
        <w:rPr>
          <w:szCs w:val="26"/>
        </w:rPr>
      </w:pPr>
    </w:p>
    <w:p w14:paraId="0BEC8B53" w14:textId="77777777" w:rsidR="000675EE" w:rsidRPr="00117CC1" w:rsidRDefault="00BC7AAB" w:rsidP="00CC0155">
      <w:pPr>
        <w:pStyle w:val="ListParagraph"/>
        <w:ind w:left="0" w:firstLine="0"/>
        <w:jc w:val="center"/>
        <w:rPr>
          <w:b/>
          <w:sz w:val="26"/>
          <w:szCs w:val="26"/>
        </w:rPr>
      </w:pPr>
      <w:r>
        <w:rPr>
          <w:b/>
          <w:sz w:val="26"/>
          <w:szCs w:val="26"/>
        </w:rPr>
        <w:t>O</w:t>
      </w:r>
      <w:r w:rsidR="000675EE" w:rsidRPr="00117CC1">
        <w:rPr>
          <w:b/>
          <w:sz w:val="26"/>
          <w:szCs w:val="26"/>
        </w:rPr>
        <w:t>PINION AND ORDER</w:t>
      </w:r>
    </w:p>
    <w:p w14:paraId="0CA9AD32" w14:textId="77777777" w:rsidR="003E673A" w:rsidRPr="00117CC1" w:rsidRDefault="003E673A" w:rsidP="00CC0155">
      <w:pPr>
        <w:spacing w:line="240" w:lineRule="auto"/>
        <w:ind w:firstLine="0"/>
        <w:rPr>
          <w:rFonts w:eastAsia="Times New Roman"/>
          <w:szCs w:val="26"/>
        </w:rPr>
        <w:sectPr w:rsidR="003E673A" w:rsidRPr="00117CC1" w:rsidSect="00CB38CD">
          <w:headerReference w:type="default" r:id="rId8"/>
          <w:footerReference w:type="default" r:id="rId9"/>
          <w:footerReference w:type="first" r:id="rId10"/>
          <w:type w:val="continuous"/>
          <w:pgSz w:w="12240" w:h="15840" w:code="1"/>
          <w:pgMar w:top="1440" w:right="1440" w:bottom="1440" w:left="1440" w:header="720" w:footer="720" w:gutter="0"/>
          <w:pgNumType w:start="1"/>
          <w:cols w:space="720"/>
          <w:titlePg/>
          <w:docGrid w:linePitch="360"/>
        </w:sectPr>
      </w:pPr>
    </w:p>
    <w:p w14:paraId="76A8CFDB" w14:textId="77777777" w:rsidR="00976791" w:rsidRDefault="000F06E6" w:rsidP="00CC0155">
      <w:pPr>
        <w:pStyle w:val="ListParagraph"/>
        <w:ind w:left="0" w:firstLine="0"/>
        <w:rPr>
          <w:b/>
          <w:sz w:val="26"/>
          <w:szCs w:val="26"/>
        </w:rPr>
      </w:pPr>
      <w:r w:rsidRPr="00117CC1">
        <w:rPr>
          <w:b/>
          <w:sz w:val="26"/>
          <w:szCs w:val="26"/>
        </w:rPr>
        <w:lastRenderedPageBreak/>
        <w:t>BY THE COMMISSION:</w:t>
      </w:r>
    </w:p>
    <w:p w14:paraId="453AEB5C" w14:textId="77777777" w:rsidR="00976791" w:rsidRPr="00117CC1" w:rsidRDefault="00976791" w:rsidP="00CC0155">
      <w:pPr>
        <w:pStyle w:val="ListParagraph"/>
        <w:spacing w:line="360" w:lineRule="auto"/>
        <w:ind w:left="0"/>
        <w:rPr>
          <w:sz w:val="26"/>
          <w:szCs w:val="26"/>
        </w:rPr>
      </w:pPr>
    </w:p>
    <w:p w14:paraId="00640A5B" w14:textId="668A1296" w:rsidR="00FC138F" w:rsidRPr="00117CC1" w:rsidRDefault="00FC138F" w:rsidP="00CC0155">
      <w:pPr>
        <w:pStyle w:val="ListParagraph"/>
        <w:spacing w:line="360" w:lineRule="auto"/>
        <w:ind w:left="0"/>
        <w:rPr>
          <w:sz w:val="26"/>
          <w:szCs w:val="26"/>
        </w:rPr>
      </w:pPr>
      <w:r w:rsidRPr="00117CC1">
        <w:rPr>
          <w:sz w:val="26"/>
          <w:szCs w:val="26"/>
        </w:rPr>
        <w:t>Before the Pennsylvania Public Utility Commission (Commission) for consideration and disposition are the Exceptions of</w:t>
      </w:r>
      <w:r w:rsidR="00FC5AA5">
        <w:rPr>
          <w:sz w:val="26"/>
          <w:szCs w:val="26"/>
        </w:rPr>
        <w:t xml:space="preserve"> Respond Power, LLC</w:t>
      </w:r>
      <w:r w:rsidRPr="00117CC1">
        <w:rPr>
          <w:sz w:val="26"/>
          <w:szCs w:val="26"/>
        </w:rPr>
        <w:t xml:space="preserve"> (</w:t>
      </w:r>
      <w:r w:rsidR="009C7188">
        <w:rPr>
          <w:sz w:val="26"/>
          <w:szCs w:val="26"/>
        </w:rPr>
        <w:t>Respond</w:t>
      </w:r>
      <w:r w:rsidR="00AB5741" w:rsidRPr="00117CC1">
        <w:rPr>
          <w:sz w:val="26"/>
          <w:szCs w:val="26"/>
        </w:rPr>
        <w:t xml:space="preserve"> or Com</w:t>
      </w:r>
      <w:r w:rsidR="009C7188">
        <w:rPr>
          <w:sz w:val="26"/>
          <w:szCs w:val="26"/>
        </w:rPr>
        <w:t>plainant</w:t>
      </w:r>
      <w:r w:rsidRPr="00117CC1">
        <w:rPr>
          <w:sz w:val="26"/>
          <w:szCs w:val="26"/>
        </w:rPr>
        <w:t>) filed on</w:t>
      </w:r>
      <w:r w:rsidR="009C7188">
        <w:rPr>
          <w:sz w:val="26"/>
          <w:szCs w:val="26"/>
        </w:rPr>
        <w:t xml:space="preserve"> May 10, 2018</w:t>
      </w:r>
      <w:r w:rsidRPr="00117CC1">
        <w:rPr>
          <w:sz w:val="26"/>
          <w:szCs w:val="26"/>
        </w:rPr>
        <w:t>, to the</w:t>
      </w:r>
      <w:r w:rsidR="009C7188">
        <w:rPr>
          <w:sz w:val="26"/>
          <w:szCs w:val="26"/>
        </w:rPr>
        <w:t xml:space="preserve"> Initial</w:t>
      </w:r>
      <w:r w:rsidRPr="00117CC1">
        <w:rPr>
          <w:sz w:val="26"/>
          <w:szCs w:val="26"/>
        </w:rPr>
        <w:t xml:space="preserve"> Decision (</w:t>
      </w:r>
      <w:r w:rsidR="009C7188">
        <w:rPr>
          <w:sz w:val="26"/>
          <w:szCs w:val="26"/>
        </w:rPr>
        <w:t>I</w:t>
      </w:r>
      <w:r w:rsidRPr="00117CC1">
        <w:rPr>
          <w:sz w:val="26"/>
          <w:szCs w:val="26"/>
        </w:rPr>
        <w:t xml:space="preserve">.D.) of Administrative Law Judge (ALJ) </w:t>
      </w:r>
      <w:r w:rsidR="009C7188">
        <w:rPr>
          <w:sz w:val="26"/>
          <w:szCs w:val="26"/>
        </w:rPr>
        <w:t>David A. Salapa</w:t>
      </w:r>
      <w:r w:rsidRPr="00117CC1">
        <w:rPr>
          <w:sz w:val="26"/>
          <w:szCs w:val="26"/>
        </w:rPr>
        <w:t>, issued on</w:t>
      </w:r>
      <w:r w:rsidR="009C7188">
        <w:rPr>
          <w:sz w:val="26"/>
          <w:szCs w:val="26"/>
        </w:rPr>
        <w:t xml:space="preserve"> April 20</w:t>
      </w:r>
      <w:r w:rsidRPr="00117CC1">
        <w:rPr>
          <w:sz w:val="26"/>
          <w:szCs w:val="26"/>
        </w:rPr>
        <w:t>, 201</w:t>
      </w:r>
      <w:r w:rsidR="009C7188">
        <w:rPr>
          <w:sz w:val="26"/>
          <w:szCs w:val="26"/>
        </w:rPr>
        <w:t>8</w:t>
      </w:r>
      <w:r w:rsidRPr="00117CC1">
        <w:rPr>
          <w:sz w:val="26"/>
          <w:szCs w:val="26"/>
        </w:rPr>
        <w:t>, relative to the above-captioned proceeding.</w:t>
      </w:r>
      <w:r w:rsidR="003F6BDB" w:rsidRPr="00117CC1">
        <w:rPr>
          <w:sz w:val="26"/>
          <w:szCs w:val="26"/>
        </w:rPr>
        <w:t xml:space="preserve">  </w:t>
      </w:r>
      <w:r w:rsidR="00BB0C29" w:rsidRPr="00117CC1">
        <w:rPr>
          <w:sz w:val="26"/>
          <w:szCs w:val="26"/>
        </w:rPr>
        <w:t>On</w:t>
      </w:r>
      <w:r w:rsidR="007C6D77">
        <w:rPr>
          <w:sz w:val="26"/>
          <w:szCs w:val="26"/>
        </w:rPr>
        <w:t xml:space="preserve"> May 21</w:t>
      </w:r>
      <w:r w:rsidR="00EA31B3" w:rsidRPr="00117CC1">
        <w:rPr>
          <w:sz w:val="26"/>
          <w:szCs w:val="26"/>
        </w:rPr>
        <w:t>, 201</w:t>
      </w:r>
      <w:r w:rsidR="007C6D77">
        <w:rPr>
          <w:sz w:val="26"/>
          <w:szCs w:val="26"/>
        </w:rPr>
        <w:t>8</w:t>
      </w:r>
      <w:r w:rsidR="00EA31B3" w:rsidRPr="00117CC1">
        <w:rPr>
          <w:sz w:val="26"/>
          <w:szCs w:val="26"/>
        </w:rPr>
        <w:t>, Replies to</w:t>
      </w:r>
      <w:r w:rsidRPr="00117CC1">
        <w:rPr>
          <w:sz w:val="26"/>
          <w:szCs w:val="26"/>
        </w:rPr>
        <w:t xml:space="preserve"> Exception</w:t>
      </w:r>
      <w:r w:rsidR="00472433" w:rsidRPr="00117CC1">
        <w:rPr>
          <w:sz w:val="26"/>
          <w:szCs w:val="26"/>
        </w:rPr>
        <w:t xml:space="preserve">s were filed </w:t>
      </w:r>
      <w:r w:rsidR="00E16D31" w:rsidRPr="00117CC1">
        <w:rPr>
          <w:sz w:val="26"/>
          <w:szCs w:val="26"/>
        </w:rPr>
        <w:t>by</w:t>
      </w:r>
      <w:r w:rsidR="009C7188">
        <w:rPr>
          <w:sz w:val="26"/>
          <w:szCs w:val="26"/>
        </w:rPr>
        <w:t xml:space="preserve"> Pennsylvania Electric Company</w:t>
      </w:r>
      <w:r w:rsidR="00C301C6">
        <w:rPr>
          <w:sz w:val="26"/>
          <w:szCs w:val="26"/>
        </w:rPr>
        <w:t xml:space="preserve"> (Penelec)</w:t>
      </w:r>
      <w:r w:rsidR="009C7188">
        <w:rPr>
          <w:sz w:val="26"/>
          <w:szCs w:val="26"/>
        </w:rPr>
        <w:t xml:space="preserve"> and West Penn Power Company</w:t>
      </w:r>
      <w:r w:rsidR="00C301C6">
        <w:rPr>
          <w:sz w:val="26"/>
          <w:szCs w:val="26"/>
        </w:rPr>
        <w:t xml:space="preserve"> (West Penn)</w:t>
      </w:r>
      <w:r w:rsidR="009C7188">
        <w:rPr>
          <w:sz w:val="26"/>
          <w:szCs w:val="26"/>
        </w:rPr>
        <w:t xml:space="preserve"> </w:t>
      </w:r>
      <w:r w:rsidR="00F87D7C" w:rsidRPr="00117CC1">
        <w:rPr>
          <w:sz w:val="26"/>
          <w:szCs w:val="26"/>
        </w:rPr>
        <w:t>(</w:t>
      </w:r>
      <w:r w:rsidR="00472433" w:rsidRPr="00117CC1">
        <w:rPr>
          <w:sz w:val="26"/>
          <w:szCs w:val="26"/>
        </w:rPr>
        <w:t>P</w:t>
      </w:r>
      <w:r w:rsidR="009C7188">
        <w:rPr>
          <w:sz w:val="26"/>
          <w:szCs w:val="26"/>
        </w:rPr>
        <w:t>enelec/West Penn or Companies</w:t>
      </w:r>
      <w:r w:rsidR="00F87D7C" w:rsidRPr="00117CC1">
        <w:rPr>
          <w:sz w:val="26"/>
          <w:szCs w:val="26"/>
        </w:rPr>
        <w:t>)</w:t>
      </w:r>
      <w:r w:rsidRPr="00117CC1">
        <w:rPr>
          <w:sz w:val="26"/>
          <w:szCs w:val="26"/>
        </w:rPr>
        <w:t>.  For the reasons</w:t>
      </w:r>
      <w:r w:rsidR="001125EC" w:rsidRPr="00117CC1">
        <w:rPr>
          <w:sz w:val="26"/>
          <w:szCs w:val="26"/>
        </w:rPr>
        <w:t xml:space="preserve"> set forth herein, we shall</w:t>
      </w:r>
      <w:r w:rsidR="007B2E56" w:rsidRPr="00117CC1">
        <w:rPr>
          <w:sz w:val="26"/>
          <w:szCs w:val="26"/>
        </w:rPr>
        <w:t xml:space="preserve"> </w:t>
      </w:r>
      <w:r w:rsidR="001125EC" w:rsidRPr="00117CC1">
        <w:rPr>
          <w:sz w:val="26"/>
          <w:szCs w:val="26"/>
        </w:rPr>
        <w:t>deny</w:t>
      </w:r>
      <w:r w:rsidR="007C6D77">
        <w:rPr>
          <w:sz w:val="26"/>
          <w:szCs w:val="26"/>
        </w:rPr>
        <w:t xml:space="preserve"> Respond</w:t>
      </w:r>
      <w:r w:rsidR="00E00225">
        <w:rPr>
          <w:sz w:val="26"/>
          <w:szCs w:val="26"/>
        </w:rPr>
        <w:t>’</w:t>
      </w:r>
      <w:r w:rsidRPr="00117CC1">
        <w:rPr>
          <w:sz w:val="26"/>
          <w:szCs w:val="26"/>
        </w:rPr>
        <w:t>s Exception</w:t>
      </w:r>
      <w:r w:rsidR="001125EC" w:rsidRPr="00117CC1">
        <w:rPr>
          <w:sz w:val="26"/>
          <w:szCs w:val="26"/>
        </w:rPr>
        <w:t>s</w:t>
      </w:r>
      <w:r w:rsidR="00966C3D">
        <w:rPr>
          <w:sz w:val="26"/>
          <w:szCs w:val="26"/>
        </w:rPr>
        <w:t xml:space="preserve"> </w:t>
      </w:r>
      <w:r w:rsidR="007B2E56" w:rsidRPr="00117CC1">
        <w:rPr>
          <w:sz w:val="26"/>
          <w:szCs w:val="26"/>
        </w:rPr>
        <w:t>consistent with this Opinion and Order</w:t>
      </w:r>
      <w:r w:rsidR="00F87D7C" w:rsidRPr="00117CC1">
        <w:rPr>
          <w:sz w:val="26"/>
          <w:szCs w:val="26"/>
        </w:rPr>
        <w:t>.</w:t>
      </w:r>
    </w:p>
    <w:p w14:paraId="18EE080C" w14:textId="77777777" w:rsidR="00FC138F" w:rsidRPr="00117CC1" w:rsidRDefault="00FC138F" w:rsidP="00CC0155">
      <w:pPr>
        <w:pStyle w:val="ListParagraph"/>
        <w:spacing w:line="360" w:lineRule="auto"/>
        <w:ind w:left="0"/>
        <w:rPr>
          <w:sz w:val="26"/>
          <w:szCs w:val="26"/>
        </w:rPr>
      </w:pPr>
    </w:p>
    <w:p w14:paraId="241725BF" w14:textId="417B7245" w:rsidR="00F2217F" w:rsidRDefault="000675EE" w:rsidP="00F71658">
      <w:pPr>
        <w:pStyle w:val="Heading1"/>
        <w:keepLines/>
      </w:pPr>
      <w:bookmarkStart w:id="0" w:name="_Toc415316181"/>
      <w:r w:rsidRPr="00117CC1">
        <w:t>I.</w:t>
      </w:r>
      <w:r w:rsidRPr="00117CC1">
        <w:tab/>
      </w:r>
      <w:r w:rsidR="00976791" w:rsidRPr="00117CC1">
        <w:rPr>
          <w:rStyle w:val="Heading1Char"/>
          <w:b/>
        </w:rPr>
        <w:t>History of the Proceeding</w:t>
      </w:r>
      <w:bookmarkEnd w:id="0"/>
    </w:p>
    <w:p w14:paraId="270436FB" w14:textId="77777777" w:rsidR="00F2217F" w:rsidRDefault="00F2217F" w:rsidP="00F71658">
      <w:pPr>
        <w:keepNext/>
        <w:keepLines/>
        <w:rPr>
          <w:szCs w:val="26"/>
        </w:rPr>
      </w:pPr>
    </w:p>
    <w:p w14:paraId="573ED8B6" w14:textId="31AC9349" w:rsidR="002040BA" w:rsidRPr="002040BA" w:rsidRDefault="00C301C6" w:rsidP="00F71658">
      <w:pPr>
        <w:rPr>
          <w:rFonts w:eastAsia="Times New Roman"/>
          <w:szCs w:val="26"/>
        </w:rPr>
      </w:pPr>
      <w:r w:rsidRPr="00C301C6">
        <w:rPr>
          <w:szCs w:val="26"/>
        </w:rPr>
        <w:t>On November 1</w:t>
      </w:r>
      <w:r w:rsidR="003962F3">
        <w:rPr>
          <w:szCs w:val="26"/>
        </w:rPr>
        <w:t>7</w:t>
      </w:r>
      <w:r w:rsidRPr="00C301C6">
        <w:rPr>
          <w:szCs w:val="26"/>
        </w:rPr>
        <w:t>, 2016, Respond filed Formal Complaints with the Commission against Penelec and West Penn</w:t>
      </w:r>
      <w:r w:rsidR="00542732">
        <w:rPr>
          <w:szCs w:val="26"/>
        </w:rPr>
        <w:t xml:space="preserve"> at Docket Nos.</w:t>
      </w:r>
      <w:r w:rsidRPr="00C301C6">
        <w:rPr>
          <w:szCs w:val="26"/>
        </w:rPr>
        <w:t xml:space="preserve"> C</w:t>
      </w:r>
      <w:r w:rsidR="007F5443">
        <w:rPr>
          <w:szCs w:val="26"/>
        </w:rPr>
        <w:noBreakHyphen/>
      </w:r>
      <w:r w:rsidRPr="00C301C6">
        <w:rPr>
          <w:szCs w:val="26"/>
        </w:rPr>
        <w:t>2016-2576287 and C</w:t>
      </w:r>
      <w:r w:rsidR="007F5443">
        <w:rPr>
          <w:szCs w:val="26"/>
        </w:rPr>
        <w:noBreakHyphen/>
      </w:r>
      <w:r w:rsidRPr="00C301C6">
        <w:rPr>
          <w:szCs w:val="26"/>
        </w:rPr>
        <w:t>2016-2576292, respectively</w:t>
      </w:r>
      <w:r w:rsidR="007F5443">
        <w:rPr>
          <w:szCs w:val="26"/>
        </w:rPr>
        <w:t xml:space="preserve"> </w:t>
      </w:r>
      <w:r w:rsidR="007F5443" w:rsidRPr="00C301C6">
        <w:rPr>
          <w:szCs w:val="26"/>
        </w:rPr>
        <w:t>(</w:t>
      </w:r>
      <w:r w:rsidR="007F5443">
        <w:rPr>
          <w:szCs w:val="26"/>
        </w:rPr>
        <w:t xml:space="preserve">2016 </w:t>
      </w:r>
      <w:r w:rsidR="007F5443" w:rsidRPr="00C301C6">
        <w:rPr>
          <w:szCs w:val="26"/>
        </w:rPr>
        <w:t>Complaints</w:t>
      </w:r>
      <w:r w:rsidR="007F5443">
        <w:rPr>
          <w:szCs w:val="26"/>
        </w:rPr>
        <w:t>)</w:t>
      </w:r>
      <w:r w:rsidRPr="00C301C6">
        <w:rPr>
          <w:szCs w:val="26"/>
        </w:rPr>
        <w:t xml:space="preserve">.  </w:t>
      </w:r>
      <w:r w:rsidR="00583F3B">
        <w:rPr>
          <w:szCs w:val="26"/>
        </w:rPr>
        <w:t>In the</w:t>
      </w:r>
      <w:r w:rsidR="00884DD1">
        <w:rPr>
          <w:szCs w:val="26"/>
        </w:rPr>
        <w:t xml:space="preserve"> </w:t>
      </w:r>
      <w:r w:rsidR="003962F3">
        <w:rPr>
          <w:szCs w:val="26"/>
        </w:rPr>
        <w:t xml:space="preserve">2016 </w:t>
      </w:r>
      <w:r w:rsidR="001D63CB" w:rsidRPr="00C301C6">
        <w:rPr>
          <w:szCs w:val="26"/>
        </w:rPr>
        <w:t>Complaints</w:t>
      </w:r>
      <w:r w:rsidR="00884DD1">
        <w:rPr>
          <w:szCs w:val="26"/>
        </w:rPr>
        <w:t xml:space="preserve">, </w:t>
      </w:r>
      <w:r w:rsidR="00C5644C">
        <w:rPr>
          <w:szCs w:val="26"/>
        </w:rPr>
        <w:t xml:space="preserve">Respond </w:t>
      </w:r>
      <w:r w:rsidR="00C5644C" w:rsidRPr="00C5644C">
        <w:rPr>
          <w:szCs w:val="26"/>
        </w:rPr>
        <w:t>allege</w:t>
      </w:r>
      <w:r w:rsidR="00C5644C">
        <w:rPr>
          <w:szCs w:val="26"/>
        </w:rPr>
        <w:t>d</w:t>
      </w:r>
      <w:r w:rsidR="00C5644C" w:rsidRPr="00C5644C">
        <w:rPr>
          <w:szCs w:val="26"/>
        </w:rPr>
        <w:t xml:space="preserve"> that Penelec and West Penn are threatening to withhold </w:t>
      </w:r>
      <w:r w:rsidR="001D63CB">
        <w:rPr>
          <w:szCs w:val="26"/>
        </w:rPr>
        <w:t>P</w:t>
      </w:r>
      <w:r w:rsidR="00C5644C" w:rsidRPr="00C5644C">
        <w:rPr>
          <w:szCs w:val="26"/>
        </w:rPr>
        <w:t xml:space="preserve">urchase of </w:t>
      </w:r>
      <w:r w:rsidR="001D63CB">
        <w:rPr>
          <w:szCs w:val="26"/>
        </w:rPr>
        <w:t>R</w:t>
      </w:r>
      <w:r w:rsidR="00C5644C" w:rsidRPr="00C5644C">
        <w:rPr>
          <w:szCs w:val="26"/>
        </w:rPr>
        <w:t>eceivable (POR)</w:t>
      </w:r>
      <w:r w:rsidR="002E4950">
        <w:rPr>
          <w:rStyle w:val="FootnoteReference"/>
          <w:szCs w:val="26"/>
        </w:rPr>
        <w:footnoteReference w:id="2"/>
      </w:r>
      <w:r w:rsidR="00C5644C" w:rsidRPr="00C5644C">
        <w:rPr>
          <w:szCs w:val="26"/>
        </w:rPr>
        <w:t xml:space="preserve"> payments totaling $484,797.69 from Respond (2016 </w:t>
      </w:r>
      <w:proofErr w:type="spellStart"/>
      <w:r w:rsidR="00C5644C" w:rsidRPr="00C5644C">
        <w:rPr>
          <w:szCs w:val="26"/>
        </w:rPr>
        <w:t>clawback</w:t>
      </w:r>
      <w:proofErr w:type="spellEnd"/>
      <w:r w:rsidR="00C5644C" w:rsidRPr="00C5644C">
        <w:rPr>
          <w:szCs w:val="26"/>
        </w:rPr>
        <w:t xml:space="preserve"> charges).</w:t>
      </w:r>
      <w:r w:rsidR="00247B9D">
        <w:rPr>
          <w:rStyle w:val="FootnoteReference"/>
          <w:szCs w:val="26"/>
        </w:rPr>
        <w:footnoteReference w:id="3"/>
      </w:r>
      <w:r w:rsidR="00C5644C">
        <w:rPr>
          <w:szCs w:val="26"/>
        </w:rPr>
        <w:t xml:space="preserve">  </w:t>
      </w:r>
      <w:r w:rsidR="00C5644C" w:rsidRPr="00C5644C">
        <w:rPr>
          <w:szCs w:val="26"/>
        </w:rPr>
        <w:t xml:space="preserve">The </w:t>
      </w:r>
      <w:r w:rsidR="003962F3">
        <w:rPr>
          <w:szCs w:val="26"/>
        </w:rPr>
        <w:t xml:space="preserve">2016 </w:t>
      </w:r>
      <w:r w:rsidR="00C5644C">
        <w:rPr>
          <w:szCs w:val="26"/>
        </w:rPr>
        <w:t>C</w:t>
      </w:r>
      <w:r w:rsidR="00C5644C" w:rsidRPr="00C5644C">
        <w:rPr>
          <w:szCs w:val="26"/>
        </w:rPr>
        <w:t xml:space="preserve">omplaints </w:t>
      </w:r>
      <w:r w:rsidR="00C5644C">
        <w:rPr>
          <w:szCs w:val="26"/>
        </w:rPr>
        <w:t xml:space="preserve">further </w:t>
      </w:r>
      <w:r w:rsidR="00C5644C" w:rsidRPr="00C5644C">
        <w:rPr>
          <w:szCs w:val="26"/>
        </w:rPr>
        <w:t>allege</w:t>
      </w:r>
      <w:r w:rsidR="00C5644C">
        <w:rPr>
          <w:szCs w:val="26"/>
        </w:rPr>
        <w:t>d</w:t>
      </w:r>
      <w:r w:rsidR="00C5644C" w:rsidRPr="00C5644C">
        <w:rPr>
          <w:szCs w:val="26"/>
        </w:rPr>
        <w:t xml:space="preserve"> that the amount is an offset assessed on September 30, </w:t>
      </w:r>
      <w:r w:rsidR="00C5644C" w:rsidRPr="00C5644C">
        <w:rPr>
          <w:szCs w:val="26"/>
        </w:rPr>
        <w:lastRenderedPageBreak/>
        <w:t>2016</w:t>
      </w:r>
      <w:r w:rsidR="00E0426B">
        <w:rPr>
          <w:szCs w:val="26"/>
        </w:rPr>
        <w:t>,</w:t>
      </w:r>
      <w:r w:rsidR="00C5644C" w:rsidRPr="00C5644C">
        <w:rPr>
          <w:szCs w:val="26"/>
        </w:rPr>
        <w:t xml:space="preserve"> under </w:t>
      </w:r>
      <w:r w:rsidR="00C5644C">
        <w:rPr>
          <w:szCs w:val="26"/>
        </w:rPr>
        <w:t>the Companies</w:t>
      </w:r>
      <w:r w:rsidR="00E00225">
        <w:rPr>
          <w:szCs w:val="26"/>
        </w:rPr>
        <w:t>’</w:t>
      </w:r>
      <w:r w:rsidR="00C5644C" w:rsidRPr="00C5644C">
        <w:rPr>
          <w:szCs w:val="26"/>
        </w:rPr>
        <w:t xml:space="preserve"> </w:t>
      </w:r>
      <w:proofErr w:type="spellStart"/>
      <w:r w:rsidR="00C5644C" w:rsidRPr="00C5644C">
        <w:rPr>
          <w:szCs w:val="26"/>
        </w:rPr>
        <w:t>clawback</w:t>
      </w:r>
      <w:proofErr w:type="spellEnd"/>
      <w:r w:rsidR="00C5644C" w:rsidRPr="00C5644C">
        <w:rPr>
          <w:szCs w:val="26"/>
        </w:rPr>
        <w:t xml:space="preserve"> charge pilot program </w:t>
      </w:r>
      <w:r w:rsidR="003962F3">
        <w:rPr>
          <w:szCs w:val="26"/>
        </w:rPr>
        <w:t xml:space="preserve">in </w:t>
      </w:r>
      <w:r w:rsidR="003962F3" w:rsidRPr="00C5644C">
        <w:rPr>
          <w:szCs w:val="26"/>
        </w:rPr>
        <w:t xml:space="preserve">their fourth default service plans </w:t>
      </w:r>
      <w:r w:rsidR="00C5644C" w:rsidRPr="00C5644C">
        <w:rPr>
          <w:szCs w:val="26"/>
        </w:rPr>
        <w:t xml:space="preserve">previously approved by </w:t>
      </w:r>
      <w:r w:rsidR="00246F57">
        <w:rPr>
          <w:szCs w:val="26"/>
        </w:rPr>
        <w:t xml:space="preserve">the </w:t>
      </w:r>
      <w:r w:rsidR="00C5644C" w:rsidRPr="00C5644C">
        <w:rPr>
          <w:szCs w:val="26"/>
        </w:rPr>
        <w:t>Commission</w:t>
      </w:r>
      <w:r w:rsidR="003962F3">
        <w:rPr>
          <w:szCs w:val="26"/>
        </w:rPr>
        <w:t xml:space="preserve"> </w:t>
      </w:r>
      <w:r w:rsidR="00C5644C" w:rsidRPr="00094D35">
        <w:rPr>
          <w:szCs w:val="26"/>
        </w:rPr>
        <w:t xml:space="preserve">(DSP IV </w:t>
      </w:r>
      <w:r w:rsidR="000C44AA">
        <w:rPr>
          <w:szCs w:val="26"/>
        </w:rPr>
        <w:t xml:space="preserve">Joint </w:t>
      </w:r>
      <w:r w:rsidR="00C5644C" w:rsidRPr="00094D35">
        <w:rPr>
          <w:szCs w:val="26"/>
        </w:rPr>
        <w:t>Petition)</w:t>
      </w:r>
      <w:r w:rsidR="005D2664">
        <w:rPr>
          <w:szCs w:val="26"/>
        </w:rPr>
        <w:t>.</w:t>
      </w:r>
      <w:r w:rsidR="00C5644C">
        <w:rPr>
          <w:rStyle w:val="FootnoteReference"/>
          <w:szCs w:val="26"/>
        </w:rPr>
        <w:footnoteReference w:id="4"/>
      </w:r>
      <w:r w:rsidR="00C5644C" w:rsidRPr="00C5644C">
        <w:rPr>
          <w:szCs w:val="26"/>
        </w:rPr>
        <w:t xml:space="preserve"> </w:t>
      </w:r>
      <w:r w:rsidR="009273C5">
        <w:rPr>
          <w:szCs w:val="26"/>
        </w:rPr>
        <w:t xml:space="preserve"> </w:t>
      </w:r>
      <w:r w:rsidR="005D2664" w:rsidRPr="005D2664">
        <w:rPr>
          <w:szCs w:val="26"/>
        </w:rPr>
        <w:t>Respond</w:t>
      </w:r>
      <w:r w:rsidR="005D2664">
        <w:rPr>
          <w:szCs w:val="26"/>
        </w:rPr>
        <w:t xml:space="preserve"> further </w:t>
      </w:r>
      <w:r w:rsidR="001D63CB">
        <w:rPr>
          <w:szCs w:val="26"/>
        </w:rPr>
        <w:t>indicated</w:t>
      </w:r>
      <w:r w:rsidR="005D2664" w:rsidRPr="005D2664">
        <w:rPr>
          <w:szCs w:val="26"/>
        </w:rPr>
        <w:t xml:space="preserve"> </w:t>
      </w:r>
      <w:r w:rsidR="00811DB6">
        <w:rPr>
          <w:szCs w:val="26"/>
        </w:rPr>
        <w:t xml:space="preserve">in the </w:t>
      </w:r>
      <w:r w:rsidR="00EB31B8">
        <w:rPr>
          <w:szCs w:val="26"/>
        </w:rPr>
        <w:t xml:space="preserve">2016 </w:t>
      </w:r>
      <w:r w:rsidR="00811DB6">
        <w:rPr>
          <w:szCs w:val="26"/>
        </w:rPr>
        <w:t xml:space="preserve">Complaints </w:t>
      </w:r>
      <w:r w:rsidR="005D2664" w:rsidRPr="005D2664">
        <w:rPr>
          <w:szCs w:val="26"/>
        </w:rPr>
        <w:t xml:space="preserve">that the POR payments </w:t>
      </w:r>
      <w:r w:rsidR="0041058C">
        <w:rPr>
          <w:szCs w:val="26"/>
        </w:rPr>
        <w:t>the Companies</w:t>
      </w:r>
      <w:r w:rsidR="005D2664" w:rsidRPr="005D2664">
        <w:rPr>
          <w:szCs w:val="26"/>
        </w:rPr>
        <w:t xml:space="preserve"> are threatening to withhold on or after October 27, 2016</w:t>
      </w:r>
      <w:r w:rsidR="00231221">
        <w:rPr>
          <w:szCs w:val="26"/>
        </w:rPr>
        <w:t>,</w:t>
      </w:r>
      <w:r w:rsidR="005D2664" w:rsidRPr="005D2664">
        <w:rPr>
          <w:szCs w:val="26"/>
        </w:rPr>
        <w:t xml:space="preserve"> are due and payable to Respond for electric generation services already provided to retail customers.</w:t>
      </w:r>
      <w:r w:rsidR="009273C5">
        <w:rPr>
          <w:szCs w:val="26"/>
        </w:rPr>
        <w:t xml:space="preserve">  </w:t>
      </w:r>
      <w:r w:rsidR="005D2664" w:rsidRPr="005D2664">
        <w:rPr>
          <w:szCs w:val="26"/>
        </w:rPr>
        <w:t>According to</w:t>
      </w:r>
      <w:r w:rsidR="001D63CB">
        <w:rPr>
          <w:szCs w:val="26"/>
        </w:rPr>
        <w:t xml:space="preserve"> Respond</w:t>
      </w:r>
      <w:r w:rsidR="005D2664" w:rsidRPr="005D2664">
        <w:rPr>
          <w:szCs w:val="26"/>
        </w:rPr>
        <w:t xml:space="preserve">, allowing </w:t>
      </w:r>
      <w:r w:rsidR="00437542">
        <w:rPr>
          <w:szCs w:val="26"/>
        </w:rPr>
        <w:t>the Companies</w:t>
      </w:r>
      <w:r w:rsidR="005D2664" w:rsidRPr="005D2664">
        <w:rPr>
          <w:szCs w:val="26"/>
        </w:rPr>
        <w:t xml:space="preserve"> to withhold the POR payments less than one month after being invoiced for POR </w:t>
      </w:r>
      <w:proofErr w:type="spellStart"/>
      <w:r w:rsidR="005D2664" w:rsidRPr="005D2664">
        <w:rPr>
          <w:szCs w:val="26"/>
        </w:rPr>
        <w:t>clawback</w:t>
      </w:r>
      <w:proofErr w:type="spellEnd"/>
      <w:r w:rsidR="005D2664" w:rsidRPr="005D2664">
        <w:rPr>
          <w:szCs w:val="26"/>
        </w:rPr>
        <w:t xml:space="preserve"> charge</w:t>
      </w:r>
      <w:r w:rsidR="00437542">
        <w:rPr>
          <w:szCs w:val="26"/>
        </w:rPr>
        <w:t>s</w:t>
      </w:r>
      <w:r w:rsidR="005D2664" w:rsidRPr="005D2664">
        <w:rPr>
          <w:szCs w:val="26"/>
        </w:rPr>
        <w:t xml:space="preserve"> would impact Respond</w:t>
      </w:r>
      <w:r w:rsidR="00E00225">
        <w:rPr>
          <w:szCs w:val="26"/>
        </w:rPr>
        <w:t>’</w:t>
      </w:r>
      <w:r w:rsidR="005D2664" w:rsidRPr="005D2664">
        <w:rPr>
          <w:szCs w:val="26"/>
        </w:rPr>
        <w:t>s cash flow and jeopardize its ability to continue providing electric generation services to retail customers in Pennsylvania.</w:t>
      </w:r>
      <w:r w:rsidR="002040BA">
        <w:rPr>
          <w:szCs w:val="26"/>
        </w:rPr>
        <w:t xml:space="preserve">  </w:t>
      </w:r>
      <w:r w:rsidR="00397ABF" w:rsidRPr="002040BA">
        <w:rPr>
          <w:szCs w:val="26"/>
        </w:rPr>
        <w:t xml:space="preserve">The invoices </w:t>
      </w:r>
      <w:r w:rsidR="00397ABF">
        <w:rPr>
          <w:szCs w:val="26"/>
        </w:rPr>
        <w:t>we</w:t>
      </w:r>
      <w:r w:rsidR="00397ABF" w:rsidRPr="002040BA">
        <w:rPr>
          <w:szCs w:val="26"/>
        </w:rPr>
        <w:t>re based on revenues, write-offs</w:t>
      </w:r>
      <w:r w:rsidR="00231221">
        <w:rPr>
          <w:szCs w:val="26"/>
        </w:rPr>
        <w:t>,</w:t>
      </w:r>
      <w:r w:rsidR="00397ABF" w:rsidRPr="002040BA">
        <w:rPr>
          <w:szCs w:val="26"/>
        </w:rPr>
        <w:t xml:space="preserve"> and prices for the period from August 31, 2015</w:t>
      </w:r>
      <w:r w:rsidR="00246F57">
        <w:rPr>
          <w:szCs w:val="26"/>
        </w:rPr>
        <w:t>,</w:t>
      </w:r>
      <w:r w:rsidR="00397ABF" w:rsidRPr="002040BA">
        <w:rPr>
          <w:szCs w:val="26"/>
        </w:rPr>
        <w:t xml:space="preserve"> through August 31, 2016.</w:t>
      </w:r>
      <w:r w:rsidR="00397ABF">
        <w:rPr>
          <w:rStyle w:val="FootnoteReference"/>
          <w:szCs w:val="26"/>
        </w:rPr>
        <w:footnoteReference w:id="5"/>
      </w:r>
      <w:r w:rsidR="007A54DA">
        <w:rPr>
          <w:szCs w:val="26"/>
        </w:rPr>
        <w:t xml:space="preserve">  </w:t>
      </w:r>
      <w:r w:rsidR="00B71C18">
        <w:rPr>
          <w:szCs w:val="26"/>
        </w:rPr>
        <w:t>2016 Complaints a</w:t>
      </w:r>
      <w:r w:rsidR="002734F5">
        <w:rPr>
          <w:szCs w:val="26"/>
        </w:rPr>
        <w:t>t 1-3, 6</w:t>
      </w:r>
      <w:r w:rsidR="007A54DA">
        <w:rPr>
          <w:szCs w:val="26"/>
        </w:rPr>
        <w:t>.</w:t>
      </w:r>
    </w:p>
    <w:p w14:paraId="210CB2DC" w14:textId="77777777" w:rsidR="002040BA" w:rsidRDefault="002040BA" w:rsidP="00CC0155">
      <w:pPr>
        <w:rPr>
          <w:rFonts w:eastAsia="Times New Roman"/>
          <w:szCs w:val="26"/>
        </w:rPr>
      </w:pPr>
    </w:p>
    <w:p w14:paraId="7F36553F" w14:textId="2F899EC9" w:rsidR="002040BA" w:rsidRPr="002040BA" w:rsidRDefault="009A6C2B" w:rsidP="00CC0155">
      <w:pPr>
        <w:rPr>
          <w:szCs w:val="26"/>
        </w:rPr>
      </w:pPr>
      <w:r>
        <w:rPr>
          <w:szCs w:val="26"/>
        </w:rPr>
        <w:t>Respond alleged in t</w:t>
      </w:r>
      <w:r w:rsidR="002040BA" w:rsidRPr="002040BA">
        <w:rPr>
          <w:szCs w:val="26"/>
        </w:rPr>
        <w:t xml:space="preserve">he </w:t>
      </w:r>
      <w:r w:rsidR="00437542">
        <w:rPr>
          <w:szCs w:val="26"/>
        </w:rPr>
        <w:t xml:space="preserve">2016 </w:t>
      </w:r>
      <w:r w:rsidR="002040BA" w:rsidRPr="002040BA">
        <w:rPr>
          <w:szCs w:val="26"/>
        </w:rPr>
        <w:t>Complaints</w:t>
      </w:r>
      <w:r>
        <w:rPr>
          <w:szCs w:val="26"/>
        </w:rPr>
        <w:t xml:space="preserve"> </w:t>
      </w:r>
      <w:r w:rsidR="002040BA" w:rsidRPr="002040BA">
        <w:rPr>
          <w:szCs w:val="26"/>
        </w:rPr>
        <w:t xml:space="preserve">that </w:t>
      </w:r>
      <w:r w:rsidR="00437542">
        <w:rPr>
          <w:szCs w:val="26"/>
        </w:rPr>
        <w:t>the Companies</w:t>
      </w:r>
      <w:r w:rsidR="0061598D">
        <w:rPr>
          <w:szCs w:val="26"/>
        </w:rPr>
        <w:t xml:space="preserve"> </w:t>
      </w:r>
      <w:r w:rsidR="002040BA" w:rsidRPr="002040BA">
        <w:rPr>
          <w:szCs w:val="26"/>
        </w:rPr>
        <w:t xml:space="preserve">failed to notify Respond that its retail customers were not paying their electric supply charges or that POR </w:t>
      </w:r>
      <w:proofErr w:type="spellStart"/>
      <w:r w:rsidR="002040BA" w:rsidRPr="002040BA">
        <w:rPr>
          <w:szCs w:val="26"/>
        </w:rPr>
        <w:t>clawback</w:t>
      </w:r>
      <w:proofErr w:type="spellEnd"/>
      <w:r w:rsidR="002040BA" w:rsidRPr="002040BA">
        <w:rPr>
          <w:szCs w:val="26"/>
        </w:rPr>
        <w:t xml:space="preserve"> charges would be imposed.  </w:t>
      </w:r>
      <w:r w:rsidR="0010192F">
        <w:rPr>
          <w:szCs w:val="26"/>
        </w:rPr>
        <w:t>Respond</w:t>
      </w:r>
      <w:r w:rsidR="00845FF6">
        <w:rPr>
          <w:szCs w:val="26"/>
        </w:rPr>
        <w:t xml:space="preserve"> claimed </w:t>
      </w:r>
      <w:r w:rsidR="0010192F">
        <w:rPr>
          <w:szCs w:val="26"/>
        </w:rPr>
        <w:t xml:space="preserve">it </w:t>
      </w:r>
      <w:r w:rsidR="002040BA" w:rsidRPr="002040BA">
        <w:rPr>
          <w:szCs w:val="26"/>
        </w:rPr>
        <w:t>had no opportunity to address these concerns and minimize write-offs.</w:t>
      </w:r>
      <w:r w:rsidR="002040BA">
        <w:rPr>
          <w:szCs w:val="26"/>
        </w:rPr>
        <w:t xml:space="preserve">  </w:t>
      </w:r>
      <w:r w:rsidR="007D3EE6">
        <w:rPr>
          <w:szCs w:val="26"/>
        </w:rPr>
        <w:t xml:space="preserve">Respond also alleged </w:t>
      </w:r>
      <w:r w:rsidR="002040BA" w:rsidRPr="002040BA">
        <w:rPr>
          <w:szCs w:val="26"/>
        </w:rPr>
        <w:t xml:space="preserve">that the captions in the DSP IV </w:t>
      </w:r>
      <w:r w:rsidR="00B71C18">
        <w:rPr>
          <w:szCs w:val="26"/>
        </w:rPr>
        <w:t xml:space="preserve">Joint </w:t>
      </w:r>
      <w:r w:rsidR="002040BA">
        <w:rPr>
          <w:szCs w:val="26"/>
        </w:rPr>
        <w:t>P</w:t>
      </w:r>
      <w:r w:rsidR="002040BA" w:rsidRPr="002040BA">
        <w:rPr>
          <w:szCs w:val="26"/>
        </w:rPr>
        <w:t xml:space="preserve">etition </w:t>
      </w:r>
      <w:r w:rsidR="002702AC">
        <w:rPr>
          <w:szCs w:val="26"/>
        </w:rPr>
        <w:t xml:space="preserve">that </w:t>
      </w:r>
      <w:r w:rsidR="002040BA" w:rsidRPr="002040BA">
        <w:rPr>
          <w:szCs w:val="26"/>
        </w:rPr>
        <w:t>result</w:t>
      </w:r>
      <w:r w:rsidR="002702AC">
        <w:rPr>
          <w:szCs w:val="26"/>
        </w:rPr>
        <w:t>ed</w:t>
      </w:r>
      <w:r w:rsidR="002040BA" w:rsidRPr="002040BA">
        <w:rPr>
          <w:szCs w:val="26"/>
        </w:rPr>
        <w:t xml:space="preserve"> in the </w:t>
      </w:r>
      <w:r w:rsidR="002040BA" w:rsidRPr="002040BA">
        <w:rPr>
          <w:i/>
          <w:szCs w:val="26"/>
        </w:rPr>
        <w:t>Default Service Order</w:t>
      </w:r>
      <w:r w:rsidR="002040BA" w:rsidRPr="002040BA">
        <w:rPr>
          <w:szCs w:val="26"/>
        </w:rPr>
        <w:t xml:space="preserve"> did not place Respond on notice that </w:t>
      </w:r>
      <w:r w:rsidR="0010192F">
        <w:rPr>
          <w:szCs w:val="26"/>
        </w:rPr>
        <w:t>the Companies</w:t>
      </w:r>
      <w:r w:rsidR="002040BA" w:rsidRPr="002040BA">
        <w:rPr>
          <w:szCs w:val="26"/>
        </w:rPr>
        <w:t xml:space="preserve"> were proposing retroactive charges</w:t>
      </w:r>
      <w:r w:rsidR="007D3EE6">
        <w:rPr>
          <w:szCs w:val="26"/>
        </w:rPr>
        <w:t>,</w:t>
      </w:r>
      <w:r w:rsidR="002040BA">
        <w:rPr>
          <w:szCs w:val="26"/>
        </w:rPr>
        <w:t xml:space="preserve"> and</w:t>
      </w:r>
      <w:r w:rsidR="007D3EE6">
        <w:rPr>
          <w:szCs w:val="26"/>
        </w:rPr>
        <w:t xml:space="preserve"> that the </w:t>
      </w:r>
      <w:r w:rsidR="002040BA" w:rsidRPr="002040BA">
        <w:rPr>
          <w:szCs w:val="26"/>
        </w:rPr>
        <w:t xml:space="preserve">imposition of the POR </w:t>
      </w:r>
      <w:proofErr w:type="spellStart"/>
      <w:r w:rsidR="002040BA" w:rsidRPr="002040BA">
        <w:rPr>
          <w:szCs w:val="26"/>
        </w:rPr>
        <w:t>clawback</w:t>
      </w:r>
      <w:proofErr w:type="spellEnd"/>
      <w:r w:rsidR="002040BA" w:rsidRPr="002040BA">
        <w:rPr>
          <w:szCs w:val="26"/>
        </w:rPr>
        <w:t xml:space="preserve"> charges </w:t>
      </w:r>
      <w:r w:rsidR="007D3EE6">
        <w:rPr>
          <w:szCs w:val="26"/>
        </w:rPr>
        <w:t xml:space="preserve">therefore </w:t>
      </w:r>
      <w:r w:rsidR="002040BA" w:rsidRPr="002040BA">
        <w:rPr>
          <w:szCs w:val="26"/>
        </w:rPr>
        <w:t>violate</w:t>
      </w:r>
      <w:r w:rsidR="002702AC">
        <w:rPr>
          <w:szCs w:val="26"/>
        </w:rPr>
        <w:t>s the</w:t>
      </w:r>
      <w:r w:rsidR="002040BA" w:rsidRPr="002040BA">
        <w:rPr>
          <w:szCs w:val="26"/>
        </w:rPr>
        <w:t xml:space="preserve"> fundamental principles of due process and amount</w:t>
      </w:r>
      <w:r w:rsidR="007D3EE6">
        <w:rPr>
          <w:szCs w:val="26"/>
        </w:rPr>
        <w:t>s</w:t>
      </w:r>
      <w:r w:rsidR="002040BA" w:rsidRPr="002040BA">
        <w:rPr>
          <w:szCs w:val="26"/>
        </w:rPr>
        <w:t xml:space="preserve"> to impermissible retroactive ratemaking.</w:t>
      </w:r>
      <w:r w:rsidR="00B71C18">
        <w:rPr>
          <w:szCs w:val="26"/>
        </w:rPr>
        <w:t xml:space="preserve">  2016 Complaints at</w:t>
      </w:r>
      <w:r w:rsidR="000C4616">
        <w:rPr>
          <w:szCs w:val="26"/>
        </w:rPr>
        <w:t> </w:t>
      </w:r>
      <w:r w:rsidR="000E6A7D">
        <w:rPr>
          <w:szCs w:val="26"/>
        </w:rPr>
        <w:t>10-11.</w:t>
      </w:r>
    </w:p>
    <w:p w14:paraId="62713BFC" w14:textId="77777777" w:rsidR="002040BA" w:rsidRDefault="002040BA" w:rsidP="00CC0155">
      <w:pPr>
        <w:rPr>
          <w:szCs w:val="26"/>
        </w:rPr>
      </w:pPr>
    </w:p>
    <w:p w14:paraId="3B4AB0C2" w14:textId="4D9D4528" w:rsidR="000449F6" w:rsidRDefault="00437542" w:rsidP="00CC0155">
      <w:pPr>
        <w:rPr>
          <w:szCs w:val="26"/>
        </w:rPr>
      </w:pPr>
      <w:r>
        <w:rPr>
          <w:szCs w:val="26"/>
        </w:rPr>
        <w:lastRenderedPageBreak/>
        <w:t>Respond further</w:t>
      </w:r>
      <w:r w:rsidR="002040BA" w:rsidRPr="002040BA">
        <w:rPr>
          <w:szCs w:val="26"/>
        </w:rPr>
        <w:t xml:space="preserve"> contend</w:t>
      </w:r>
      <w:r w:rsidR="00C035C1">
        <w:rPr>
          <w:szCs w:val="26"/>
        </w:rPr>
        <w:t>ed</w:t>
      </w:r>
      <w:r w:rsidR="002040BA" w:rsidRPr="002040BA">
        <w:rPr>
          <w:szCs w:val="26"/>
        </w:rPr>
        <w:t xml:space="preserve"> that the </w:t>
      </w:r>
      <w:r w:rsidR="002040BA" w:rsidRPr="002040BA">
        <w:rPr>
          <w:i/>
          <w:szCs w:val="26"/>
        </w:rPr>
        <w:t>Default Service Order</w:t>
      </w:r>
      <w:r w:rsidR="002040BA" w:rsidRPr="002040BA">
        <w:rPr>
          <w:szCs w:val="26"/>
        </w:rPr>
        <w:t xml:space="preserve"> did not authorize </w:t>
      </w:r>
      <w:r w:rsidR="00C035C1">
        <w:rPr>
          <w:szCs w:val="26"/>
        </w:rPr>
        <w:t>the Companies</w:t>
      </w:r>
      <w:r w:rsidR="002040BA" w:rsidRPr="002040BA">
        <w:rPr>
          <w:szCs w:val="26"/>
        </w:rPr>
        <w:t xml:space="preserve"> to impose arbitrary due dates for payment of the </w:t>
      </w:r>
      <w:proofErr w:type="spellStart"/>
      <w:r w:rsidR="002040BA" w:rsidRPr="002040BA">
        <w:rPr>
          <w:szCs w:val="26"/>
        </w:rPr>
        <w:t>clawback</w:t>
      </w:r>
      <w:proofErr w:type="spellEnd"/>
      <w:r w:rsidR="002040BA" w:rsidRPr="002040BA">
        <w:rPr>
          <w:szCs w:val="26"/>
        </w:rPr>
        <w:t xml:space="preserve"> charges or permit Penelec and West Penn to use self-help remedies to address payment disputes with EGSs concerning the </w:t>
      </w:r>
      <w:proofErr w:type="spellStart"/>
      <w:r w:rsidR="002040BA" w:rsidRPr="002040BA">
        <w:rPr>
          <w:szCs w:val="26"/>
        </w:rPr>
        <w:t>clawback</w:t>
      </w:r>
      <w:proofErr w:type="spellEnd"/>
      <w:r w:rsidR="002040BA" w:rsidRPr="002040BA">
        <w:rPr>
          <w:szCs w:val="26"/>
        </w:rPr>
        <w:t xml:space="preserve"> charges.</w:t>
      </w:r>
    </w:p>
    <w:p w14:paraId="35545110" w14:textId="77777777" w:rsidR="000449F6" w:rsidRDefault="000449F6" w:rsidP="00CC0155">
      <w:pPr>
        <w:rPr>
          <w:szCs w:val="26"/>
        </w:rPr>
      </w:pPr>
    </w:p>
    <w:p w14:paraId="2D17142E" w14:textId="3E797B43" w:rsidR="00A211C3" w:rsidRPr="00A211C3" w:rsidRDefault="00437542" w:rsidP="00CC0155">
      <w:pPr>
        <w:rPr>
          <w:szCs w:val="26"/>
        </w:rPr>
      </w:pPr>
      <w:r>
        <w:rPr>
          <w:szCs w:val="26"/>
        </w:rPr>
        <w:t>Respond</w:t>
      </w:r>
      <w:r w:rsidR="001902C9">
        <w:rPr>
          <w:szCs w:val="26"/>
        </w:rPr>
        <w:t xml:space="preserve"> </w:t>
      </w:r>
      <w:r w:rsidR="000449F6">
        <w:rPr>
          <w:szCs w:val="26"/>
        </w:rPr>
        <w:t>further</w:t>
      </w:r>
      <w:r w:rsidR="002040BA" w:rsidRPr="002040BA">
        <w:rPr>
          <w:szCs w:val="26"/>
        </w:rPr>
        <w:t xml:space="preserve"> argue</w:t>
      </w:r>
      <w:r w:rsidR="00C035C1">
        <w:rPr>
          <w:szCs w:val="26"/>
        </w:rPr>
        <w:t>d</w:t>
      </w:r>
      <w:r w:rsidR="002040BA" w:rsidRPr="002040BA">
        <w:rPr>
          <w:szCs w:val="26"/>
        </w:rPr>
        <w:t xml:space="preserve"> </w:t>
      </w:r>
      <w:r w:rsidR="001902C9">
        <w:rPr>
          <w:szCs w:val="26"/>
        </w:rPr>
        <w:t xml:space="preserve">in the 2016 Complaint </w:t>
      </w:r>
      <w:r w:rsidR="002040BA" w:rsidRPr="002040BA">
        <w:rPr>
          <w:szCs w:val="26"/>
        </w:rPr>
        <w:t xml:space="preserve">that if the Commission permits </w:t>
      </w:r>
      <w:r>
        <w:rPr>
          <w:szCs w:val="26"/>
        </w:rPr>
        <w:t>the Companies</w:t>
      </w:r>
      <w:r w:rsidR="002040BA" w:rsidRPr="002040BA">
        <w:rPr>
          <w:szCs w:val="26"/>
        </w:rPr>
        <w:t xml:space="preserve"> to unilaterally withhold POR payments from Respond without any dispute resolution process, the Commission would be sanctioning the unrestricted imposition of charges and </w:t>
      </w:r>
      <w:r w:rsidR="00B71C18">
        <w:rPr>
          <w:szCs w:val="26"/>
        </w:rPr>
        <w:t xml:space="preserve">self-help </w:t>
      </w:r>
      <w:r w:rsidR="002040BA" w:rsidRPr="002040BA">
        <w:rPr>
          <w:szCs w:val="26"/>
        </w:rPr>
        <w:t>remedies by</w:t>
      </w:r>
      <w:r w:rsidR="004903A2">
        <w:rPr>
          <w:szCs w:val="26"/>
        </w:rPr>
        <w:t xml:space="preserve"> the Companies</w:t>
      </w:r>
      <w:r w:rsidR="002040BA" w:rsidRPr="002040BA">
        <w:rPr>
          <w:szCs w:val="26"/>
        </w:rPr>
        <w:t xml:space="preserve"> on EGSs.</w:t>
      </w:r>
      <w:r w:rsidR="00C035C1">
        <w:rPr>
          <w:szCs w:val="26"/>
        </w:rPr>
        <w:t xml:space="preserve">  </w:t>
      </w:r>
      <w:r w:rsidR="00C035C1" w:rsidRPr="00C035C1">
        <w:rPr>
          <w:szCs w:val="26"/>
        </w:rPr>
        <w:t xml:space="preserve">In addition, Respond </w:t>
      </w:r>
      <w:r w:rsidR="001902C9">
        <w:rPr>
          <w:szCs w:val="26"/>
        </w:rPr>
        <w:t xml:space="preserve">claims it </w:t>
      </w:r>
      <w:r w:rsidR="00C035C1" w:rsidRPr="00C035C1">
        <w:rPr>
          <w:szCs w:val="26"/>
        </w:rPr>
        <w:t>has not received a breakdown of the charges from</w:t>
      </w:r>
      <w:r w:rsidR="00C035C1">
        <w:rPr>
          <w:szCs w:val="26"/>
        </w:rPr>
        <w:t xml:space="preserve"> the Companies and </w:t>
      </w:r>
      <w:r w:rsidR="001902C9">
        <w:rPr>
          <w:szCs w:val="26"/>
        </w:rPr>
        <w:t>consequently</w:t>
      </w:r>
      <w:r w:rsidR="00C035C1" w:rsidRPr="00C035C1">
        <w:rPr>
          <w:szCs w:val="26"/>
        </w:rPr>
        <w:t>, Respond has been unable to verify the accuracy of the amounts requested by</w:t>
      </w:r>
      <w:r>
        <w:rPr>
          <w:szCs w:val="26"/>
        </w:rPr>
        <w:t xml:space="preserve"> the Companies</w:t>
      </w:r>
      <w:r w:rsidR="00C035C1" w:rsidRPr="00C035C1">
        <w:rPr>
          <w:szCs w:val="26"/>
        </w:rPr>
        <w:t>.</w:t>
      </w:r>
      <w:r w:rsidR="00C035C1">
        <w:rPr>
          <w:szCs w:val="26"/>
        </w:rPr>
        <w:t xml:space="preserve">  Respond further </w:t>
      </w:r>
      <w:r>
        <w:rPr>
          <w:szCs w:val="26"/>
        </w:rPr>
        <w:t>alleged</w:t>
      </w:r>
      <w:r w:rsidR="00C035C1">
        <w:rPr>
          <w:szCs w:val="26"/>
        </w:rPr>
        <w:t xml:space="preserve"> that s</w:t>
      </w:r>
      <w:r w:rsidR="00C035C1" w:rsidRPr="00C035C1">
        <w:rPr>
          <w:szCs w:val="26"/>
        </w:rPr>
        <w:t>ince it has not been able to verify the accuracy of the amounts requested by</w:t>
      </w:r>
      <w:r w:rsidR="00C035C1">
        <w:rPr>
          <w:szCs w:val="26"/>
        </w:rPr>
        <w:t xml:space="preserve"> the Companies</w:t>
      </w:r>
      <w:r w:rsidR="00C035C1" w:rsidRPr="00C035C1">
        <w:rPr>
          <w:szCs w:val="26"/>
        </w:rPr>
        <w:t>,</w:t>
      </w:r>
      <w:r w:rsidR="00C035C1">
        <w:rPr>
          <w:szCs w:val="26"/>
        </w:rPr>
        <w:t xml:space="preserve"> there could be </w:t>
      </w:r>
      <w:r w:rsidR="00C035C1" w:rsidRPr="00C035C1">
        <w:rPr>
          <w:szCs w:val="26"/>
        </w:rPr>
        <w:t xml:space="preserve">computational errors and charges </w:t>
      </w:r>
      <w:r w:rsidR="00C65DE5">
        <w:rPr>
          <w:szCs w:val="26"/>
        </w:rPr>
        <w:t xml:space="preserve">in the invoices </w:t>
      </w:r>
      <w:r w:rsidR="00C035C1" w:rsidRPr="00C035C1">
        <w:rPr>
          <w:szCs w:val="26"/>
        </w:rPr>
        <w:t>that violate the tariff provisions.</w:t>
      </w:r>
      <w:r w:rsidR="00C65DE5">
        <w:rPr>
          <w:szCs w:val="26"/>
        </w:rPr>
        <w:t xml:space="preserve">  T</w:t>
      </w:r>
      <w:r w:rsidR="00A211C3" w:rsidRPr="00A211C3">
        <w:rPr>
          <w:szCs w:val="26"/>
        </w:rPr>
        <w:t>herefore, the Complainant requested that the Commission prohibit the Companies from withholding $484,797.69 in POR payments and refer the 2016 Complaints to the mediation unit of the Commission</w:t>
      </w:r>
      <w:r w:rsidR="00E00225">
        <w:rPr>
          <w:szCs w:val="26"/>
        </w:rPr>
        <w:t>’</w:t>
      </w:r>
      <w:r w:rsidR="00A211C3" w:rsidRPr="00A211C3">
        <w:rPr>
          <w:szCs w:val="26"/>
        </w:rPr>
        <w:t>s Office of Administrative Law Judge (OALJ)</w:t>
      </w:r>
      <w:r w:rsidR="002702AC">
        <w:rPr>
          <w:szCs w:val="26"/>
        </w:rPr>
        <w:t xml:space="preserve"> for further resolution</w:t>
      </w:r>
      <w:r w:rsidR="00A211C3" w:rsidRPr="00A211C3">
        <w:rPr>
          <w:szCs w:val="26"/>
        </w:rPr>
        <w:t>.</w:t>
      </w:r>
      <w:r w:rsidR="00B71C18">
        <w:rPr>
          <w:szCs w:val="26"/>
        </w:rPr>
        <w:t xml:space="preserve">  Complaints at</w:t>
      </w:r>
      <w:r w:rsidR="00793938">
        <w:rPr>
          <w:szCs w:val="26"/>
        </w:rPr>
        <w:t xml:space="preserve"> 16-1</w:t>
      </w:r>
      <w:r w:rsidR="007A54DA">
        <w:rPr>
          <w:szCs w:val="26"/>
        </w:rPr>
        <w:t>9</w:t>
      </w:r>
      <w:r w:rsidR="00793938">
        <w:rPr>
          <w:szCs w:val="26"/>
        </w:rPr>
        <w:t>.</w:t>
      </w:r>
    </w:p>
    <w:p w14:paraId="696DF62F" w14:textId="77777777" w:rsidR="002040BA" w:rsidRDefault="002040BA" w:rsidP="00CC0155">
      <w:pPr>
        <w:rPr>
          <w:szCs w:val="26"/>
        </w:rPr>
      </w:pPr>
    </w:p>
    <w:p w14:paraId="3A8A623C" w14:textId="541B719F" w:rsidR="001B7F86" w:rsidRPr="00BA3F07" w:rsidRDefault="00BA3F07" w:rsidP="00CC0155">
      <w:pPr>
        <w:rPr>
          <w:szCs w:val="26"/>
        </w:rPr>
      </w:pPr>
      <w:r w:rsidRPr="00BA3F07">
        <w:rPr>
          <w:szCs w:val="26"/>
        </w:rPr>
        <w:t xml:space="preserve">On December 7, 2016, the West Penn Power Industrial Intervenors (WPPII), the Penelec Industrial Customer Alliance (PICA), and the Met-Ed Industrial Users Group (MEIUG), (collectively, the Industrials), filed </w:t>
      </w:r>
      <w:r>
        <w:rPr>
          <w:szCs w:val="26"/>
        </w:rPr>
        <w:t>J</w:t>
      </w:r>
      <w:r w:rsidRPr="00BA3F07">
        <w:rPr>
          <w:szCs w:val="26"/>
        </w:rPr>
        <w:t xml:space="preserve">oint </w:t>
      </w:r>
      <w:r>
        <w:rPr>
          <w:szCs w:val="26"/>
        </w:rPr>
        <w:t>P</w:t>
      </w:r>
      <w:r w:rsidRPr="00BA3F07">
        <w:rPr>
          <w:szCs w:val="26"/>
        </w:rPr>
        <w:t>etitions to intervene in both proceedings</w:t>
      </w:r>
      <w:r w:rsidR="003450BD">
        <w:rPr>
          <w:szCs w:val="26"/>
        </w:rPr>
        <w:t xml:space="preserve"> (Industrials Joint Petitions)</w:t>
      </w:r>
      <w:r w:rsidRPr="00BA3F07">
        <w:rPr>
          <w:szCs w:val="26"/>
        </w:rPr>
        <w:t>.</w:t>
      </w:r>
      <w:r>
        <w:rPr>
          <w:szCs w:val="26"/>
        </w:rPr>
        <w:t xml:space="preserve">  </w:t>
      </w:r>
      <w:r w:rsidRPr="00BA3F07">
        <w:rPr>
          <w:szCs w:val="26"/>
        </w:rPr>
        <w:t xml:space="preserve">The Industrials </w:t>
      </w:r>
      <w:r>
        <w:rPr>
          <w:szCs w:val="26"/>
        </w:rPr>
        <w:t>Joint P</w:t>
      </w:r>
      <w:r w:rsidRPr="00BA3F07">
        <w:rPr>
          <w:szCs w:val="26"/>
        </w:rPr>
        <w:t>etitions allege</w:t>
      </w:r>
      <w:r>
        <w:rPr>
          <w:szCs w:val="26"/>
        </w:rPr>
        <w:t>d</w:t>
      </w:r>
      <w:r w:rsidRPr="00BA3F07">
        <w:rPr>
          <w:szCs w:val="26"/>
        </w:rPr>
        <w:t xml:space="preserve"> that WPPII, PICA and MEIUG all participated in the DSP IV proceeding and signed the settlement agreement that the Commission adopted in the </w:t>
      </w:r>
      <w:r w:rsidRPr="00BA3F07">
        <w:rPr>
          <w:i/>
          <w:szCs w:val="26"/>
        </w:rPr>
        <w:t>Default Service Order</w:t>
      </w:r>
      <w:r w:rsidRPr="00BA3F07">
        <w:rPr>
          <w:szCs w:val="26"/>
        </w:rPr>
        <w:t>.</w:t>
      </w:r>
      <w:r w:rsidR="00C65DE5">
        <w:rPr>
          <w:szCs w:val="26"/>
        </w:rPr>
        <w:t xml:space="preserve">  </w:t>
      </w:r>
      <w:r w:rsidRPr="00BA3F07">
        <w:rPr>
          <w:szCs w:val="26"/>
        </w:rPr>
        <w:t xml:space="preserve">The </w:t>
      </w:r>
      <w:r w:rsidR="006B1610">
        <w:rPr>
          <w:szCs w:val="26"/>
        </w:rPr>
        <w:t>Industrials</w:t>
      </w:r>
      <w:r w:rsidR="00E00225">
        <w:rPr>
          <w:szCs w:val="26"/>
        </w:rPr>
        <w:t>’</w:t>
      </w:r>
      <w:r w:rsidR="006B1610">
        <w:rPr>
          <w:szCs w:val="26"/>
        </w:rPr>
        <w:t xml:space="preserve"> </w:t>
      </w:r>
      <w:r>
        <w:rPr>
          <w:szCs w:val="26"/>
        </w:rPr>
        <w:t>J</w:t>
      </w:r>
      <w:r w:rsidRPr="00BA3F07">
        <w:rPr>
          <w:szCs w:val="26"/>
        </w:rPr>
        <w:t xml:space="preserve">oint </w:t>
      </w:r>
      <w:r>
        <w:rPr>
          <w:szCs w:val="26"/>
        </w:rPr>
        <w:t>P</w:t>
      </w:r>
      <w:r w:rsidRPr="00BA3F07">
        <w:rPr>
          <w:szCs w:val="26"/>
        </w:rPr>
        <w:t>etitions request</w:t>
      </w:r>
      <w:r>
        <w:rPr>
          <w:szCs w:val="26"/>
        </w:rPr>
        <w:t>ed</w:t>
      </w:r>
      <w:r w:rsidRPr="00BA3F07">
        <w:rPr>
          <w:szCs w:val="26"/>
        </w:rPr>
        <w:t xml:space="preserve"> that the Commission grant the Industrials intervenor status in both proceedings.</w:t>
      </w:r>
    </w:p>
    <w:p w14:paraId="69E7669F" w14:textId="77777777" w:rsidR="00BA3F07" w:rsidRDefault="00BA3F07" w:rsidP="00CC0155">
      <w:pPr>
        <w:rPr>
          <w:sz w:val="23"/>
          <w:szCs w:val="23"/>
        </w:rPr>
      </w:pPr>
    </w:p>
    <w:p w14:paraId="6D58BEE5" w14:textId="557A8B29" w:rsidR="00BA3F07" w:rsidRDefault="00BA3F07" w:rsidP="00CC0155">
      <w:pPr>
        <w:rPr>
          <w:szCs w:val="26"/>
        </w:rPr>
      </w:pPr>
      <w:r w:rsidRPr="00BA3F07">
        <w:rPr>
          <w:szCs w:val="26"/>
        </w:rPr>
        <w:lastRenderedPageBreak/>
        <w:t xml:space="preserve">On December 8, 2016, the Office of Consumer Advocate (OCA) </w:t>
      </w:r>
      <w:r w:rsidR="00E41838" w:rsidRPr="00BA3F07">
        <w:rPr>
          <w:szCs w:val="26"/>
        </w:rPr>
        <w:t>filed Notices</w:t>
      </w:r>
      <w:r w:rsidRPr="00BA3F07">
        <w:rPr>
          <w:szCs w:val="26"/>
        </w:rPr>
        <w:t xml:space="preserve"> of </w:t>
      </w:r>
      <w:r>
        <w:rPr>
          <w:szCs w:val="26"/>
        </w:rPr>
        <w:t>I</w:t>
      </w:r>
      <w:r w:rsidRPr="00BA3F07">
        <w:rPr>
          <w:szCs w:val="26"/>
        </w:rPr>
        <w:t xml:space="preserve">ntervention and </w:t>
      </w:r>
      <w:r w:rsidR="00C9744A">
        <w:rPr>
          <w:szCs w:val="26"/>
        </w:rPr>
        <w:t>P</w:t>
      </w:r>
      <w:r w:rsidRPr="00BA3F07">
        <w:rPr>
          <w:szCs w:val="26"/>
        </w:rPr>
        <w:t xml:space="preserve">ublic </w:t>
      </w:r>
      <w:r w:rsidR="00C9744A">
        <w:rPr>
          <w:szCs w:val="26"/>
        </w:rPr>
        <w:t>S</w:t>
      </w:r>
      <w:r w:rsidRPr="00BA3F07">
        <w:rPr>
          <w:szCs w:val="26"/>
        </w:rPr>
        <w:t>tatement</w:t>
      </w:r>
      <w:r w:rsidR="00E253AC">
        <w:rPr>
          <w:szCs w:val="26"/>
        </w:rPr>
        <w:t>s</w:t>
      </w:r>
      <w:r w:rsidRPr="00BA3F07">
        <w:rPr>
          <w:szCs w:val="26"/>
        </w:rPr>
        <w:t>.</w:t>
      </w:r>
      <w:r w:rsidR="00C9744A">
        <w:rPr>
          <w:szCs w:val="26"/>
        </w:rPr>
        <w:t xml:space="preserve">  </w:t>
      </w:r>
      <w:r w:rsidRPr="00BA3F07">
        <w:rPr>
          <w:szCs w:val="26"/>
        </w:rPr>
        <w:t xml:space="preserve">The </w:t>
      </w:r>
      <w:r w:rsidR="00C9744A">
        <w:rPr>
          <w:szCs w:val="26"/>
        </w:rPr>
        <w:t>P</w:t>
      </w:r>
      <w:r w:rsidRPr="00BA3F07">
        <w:rPr>
          <w:szCs w:val="26"/>
        </w:rPr>
        <w:t xml:space="preserve">ublic </w:t>
      </w:r>
      <w:r w:rsidR="00C9744A">
        <w:rPr>
          <w:szCs w:val="26"/>
        </w:rPr>
        <w:t>S</w:t>
      </w:r>
      <w:r w:rsidRPr="00BA3F07">
        <w:rPr>
          <w:szCs w:val="26"/>
        </w:rPr>
        <w:t>tatements allege</w:t>
      </w:r>
      <w:r w:rsidR="00976BA8">
        <w:rPr>
          <w:szCs w:val="26"/>
        </w:rPr>
        <w:t>d</w:t>
      </w:r>
      <w:r w:rsidRPr="00BA3F07">
        <w:rPr>
          <w:szCs w:val="26"/>
        </w:rPr>
        <w:t xml:space="preserve"> that </w:t>
      </w:r>
      <w:r w:rsidR="00976BA8">
        <w:rPr>
          <w:szCs w:val="26"/>
        </w:rPr>
        <w:t xml:space="preserve">the </w:t>
      </w:r>
      <w:r w:rsidRPr="00BA3F07">
        <w:rPr>
          <w:szCs w:val="26"/>
        </w:rPr>
        <w:t>OCA was a signatory to the settlement</w:t>
      </w:r>
      <w:r w:rsidR="002702AC">
        <w:rPr>
          <w:szCs w:val="26"/>
        </w:rPr>
        <w:t xml:space="preserve"> in </w:t>
      </w:r>
      <w:r w:rsidRPr="00BA3F07">
        <w:rPr>
          <w:szCs w:val="26"/>
        </w:rPr>
        <w:t xml:space="preserve">the </w:t>
      </w:r>
      <w:r w:rsidRPr="00976BA8">
        <w:rPr>
          <w:i/>
          <w:szCs w:val="26"/>
        </w:rPr>
        <w:t>Default Service Order.</w:t>
      </w:r>
      <w:r w:rsidR="00976BA8">
        <w:rPr>
          <w:szCs w:val="26"/>
        </w:rPr>
        <w:t xml:space="preserve">  </w:t>
      </w:r>
      <w:r w:rsidRPr="00BA3F07">
        <w:rPr>
          <w:szCs w:val="26"/>
        </w:rPr>
        <w:t xml:space="preserve">The </w:t>
      </w:r>
      <w:r w:rsidR="00976BA8">
        <w:rPr>
          <w:szCs w:val="26"/>
        </w:rPr>
        <w:t>P</w:t>
      </w:r>
      <w:r w:rsidRPr="00BA3F07">
        <w:rPr>
          <w:szCs w:val="26"/>
        </w:rPr>
        <w:t xml:space="preserve">ublic </w:t>
      </w:r>
      <w:r w:rsidR="00976BA8">
        <w:rPr>
          <w:szCs w:val="26"/>
        </w:rPr>
        <w:t>S</w:t>
      </w:r>
      <w:r w:rsidRPr="00BA3F07">
        <w:rPr>
          <w:szCs w:val="26"/>
        </w:rPr>
        <w:t>tatements assert</w:t>
      </w:r>
      <w:r w:rsidR="00976BA8">
        <w:rPr>
          <w:szCs w:val="26"/>
        </w:rPr>
        <w:t>ed</w:t>
      </w:r>
      <w:r w:rsidRPr="00BA3F07">
        <w:rPr>
          <w:szCs w:val="26"/>
        </w:rPr>
        <w:t xml:space="preserve"> that </w:t>
      </w:r>
      <w:r w:rsidR="00976BA8">
        <w:rPr>
          <w:szCs w:val="26"/>
        </w:rPr>
        <w:t xml:space="preserve">the </w:t>
      </w:r>
      <w:r w:rsidRPr="00BA3F07">
        <w:rPr>
          <w:szCs w:val="26"/>
        </w:rPr>
        <w:t xml:space="preserve">OCA </w:t>
      </w:r>
      <w:r w:rsidR="00313171">
        <w:rPr>
          <w:szCs w:val="26"/>
        </w:rPr>
        <w:t xml:space="preserve">has </w:t>
      </w:r>
      <w:r w:rsidRPr="00BA3F07">
        <w:rPr>
          <w:szCs w:val="26"/>
        </w:rPr>
        <w:t>intervene</w:t>
      </w:r>
      <w:r w:rsidR="00313171">
        <w:rPr>
          <w:szCs w:val="26"/>
        </w:rPr>
        <w:t>d</w:t>
      </w:r>
      <w:r w:rsidRPr="00BA3F07">
        <w:rPr>
          <w:szCs w:val="26"/>
        </w:rPr>
        <w:t xml:space="preserve"> in the proceedings to ensure that the provisions in the DSP IV settlement are appropriately implemented, including the </w:t>
      </w:r>
      <w:proofErr w:type="spellStart"/>
      <w:r w:rsidRPr="00BA3F07">
        <w:rPr>
          <w:szCs w:val="26"/>
        </w:rPr>
        <w:t>clawback</w:t>
      </w:r>
      <w:proofErr w:type="spellEnd"/>
      <w:r w:rsidRPr="00BA3F07">
        <w:rPr>
          <w:szCs w:val="26"/>
        </w:rPr>
        <w:t xml:space="preserve"> provisions.</w:t>
      </w:r>
    </w:p>
    <w:p w14:paraId="00A04EEE" w14:textId="77777777" w:rsidR="009947E0" w:rsidRDefault="009947E0" w:rsidP="00CC0155">
      <w:pPr>
        <w:rPr>
          <w:szCs w:val="26"/>
        </w:rPr>
      </w:pPr>
    </w:p>
    <w:p w14:paraId="2100BE21" w14:textId="4223F4C5" w:rsidR="001C4BAE" w:rsidRPr="001C4BAE" w:rsidRDefault="00976BA8" w:rsidP="00CC0155">
      <w:pPr>
        <w:rPr>
          <w:szCs w:val="26"/>
        </w:rPr>
      </w:pPr>
      <w:r w:rsidRPr="00976BA8">
        <w:rPr>
          <w:szCs w:val="26"/>
        </w:rPr>
        <w:t xml:space="preserve">On December 8, 2016, the Companies filed Answers with New Matter to the 2016 Complaints.  The Answers asserted that the 2016 Complaints are unlawful collateral attacks on the </w:t>
      </w:r>
      <w:r w:rsidRPr="00976BA8">
        <w:rPr>
          <w:i/>
          <w:szCs w:val="26"/>
        </w:rPr>
        <w:t xml:space="preserve">Default Service Order.  </w:t>
      </w:r>
      <w:r w:rsidRPr="00976BA8">
        <w:rPr>
          <w:szCs w:val="26"/>
        </w:rPr>
        <w:t xml:space="preserve">The </w:t>
      </w:r>
      <w:r w:rsidR="00EB0D3A">
        <w:rPr>
          <w:szCs w:val="26"/>
        </w:rPr>
        <w:t xml:space="preserve">Companies stated in their </w:t>
      </w:r>
      <w:r w:rsidRPr="00976BA8">
        <w:rPr>
          <w:szCs w:val="26"/>
        </w:rPr>
        <w:t xml:space="preserve">Answers that the </w:t>
      </w:r>
      <w:r w:rsidRPr="00976BA8">
        <w:rPr>
          <w:i/>
          <w:szCs w:val="26"/>
        </w:rPr>
        <w:t>Default Service Order</w:t>
      </w:r>
      <w:r w:rsidRPr="00976BA8">
        <w:rPr>
          <w:szCs w:val="26"/>
        </w:rPr>
        <w:t xml:space="preserve"> approved a settlement among the parties to the </w:t>
      </w:r>
      <w:r w:rsidR="000D20B1">
        <w:rPr>
          <w:szCs w:val="26"/>
        </w:rPr>
        <w:t xml:space="preserve">DSP IV </w:t>
      </w:r>
      <w:r w:rsidRPr="00976BA8">
        <w:rPr>
          <w:szCs w:val="26"/>
        </w:rPr>
        <w:t>proceeding</w:t>
      </w:r>
      <w:r w:rsidR="000D20B1">
        <w:rPr>
          <w:szCs w:val="26"/>
        </w:rPr>
        <w:t>s</w:t>
      </w:r>
      <w:r w:rsidRPr="00976BA8">
        <w:rPr>
          <w:szCs w:val="26"/>
        </w:rPr>
        <w:t xml:space="preserve">.  The </w:t>
      </w:r>
      <w:r w:rsidR="00EB0D3A">
        <w:rPr>
          <w:szCs w:val="26"/>
        </w:rPr>
        <w:t xml:space="preserve">Companies </w:t>
      </w:r>
      <w:r w:rsidR="00B632B9">
        <w:rPr>
          <w:szCs w:val="26"/>
        </w:rPr>
        <w:t xml:space="preserve">also </w:t>
      </w:r>
      <w:r w:rsidRPr="00976BA8">
        <w:rPr>
          <w:szCs w:val="26"/>
        </w:rPr>
        <w:t xml:space="preserve">pointed out that Respond did not participate in the DSP IV proceedings that </w:t>
      </w:r>
      <w:r w:rsidR="00B632B9">
        <w:rPr>
          <w:szCs w:val="26"/>
        </w:rPr>
        <w:t>resulted in</w:t>
      </w:r>
      <w:r w:rsidRPr="00976BA8">
        <w:rPr>
          <w:szCs w:val="26"/>
        </w:rPr>
        <w:t xml:space="preserve"> the </w:t>
      </w:r>
      <w:r w:rsidRPr="00976BA8">
        <w:rPr>
          <w:i/>
          <w:szCs w:val="26"/>
        </w:rPr>
        <w:t>Default Service Order.</w:t>
      </w:r>
      <w:r>
        <w:rPr>
          <w:szCs w:val="26"/>
        </w:rPr>
        <w:t xml:space="preserve">  </w:t>
      </w:r>
      <w:r w:rsidRPr="00976BA8">
        <w:rPr>
          <w:szCs w:val="26"/>
        </w:rPr>
        <w:t>According to the</w:t>
      </w:r>
      <w:r>
        <w:rPr>
          <w:szCs w:val="26"/>
        </w:rPr>
        <w:t xml:space="preserve"> </w:t>
      </w:r>
      <w:r w:rsidR="00EB0D3A">
        <w:rPr>
          <w:szCs w:val="26"/>
        </w:rPr>
        <w:t>Companies</w:t>
      </w:r>
      <w:r w:rsidR="00E00225">
        <w:rPr>
          <w:szCs w:val="26"/>
        </w:rPr>
        <w:t>’</w:t>
      </w:r>
      <w:r w:rsidR="00EB0D3A">
        <w:rPr>
          <w:szCs w:val="26"/>
        </w:rPr>
        <w:t xml:space="preserve"> </w:t>
      </w:r>
      <w:r w:rsidRPr="00976BA8">
        <w:rPr>
          <w:szCs w:val="26"/>
        </w:rPr>
        <w:t>Answers, Respond</w:t>
      </w:r>
      <w:r w:rsidR="00E00225">
        <w:rPr>
          <w:szCs w:val="26"/>
        </w:rPr>
        <w:t>’</w:t>
      </w:r>
      <w:r w:rsidRPr="00976BA8">
        <w:rPr>
          <w:szCs w:val="26"/>
        </w:rPr>
        <w:t xml:space="preserve">s Complaints are </w:t>
      </w:r>
      <w:r w:rsidR="00110C16">
        <w:rPr>
          <w:szCs w:val="26"/>
        </w:rPr>
        <w:t xml:space="preserve">an </w:t>
      </w:r>
      <w:r w:rsidRPr="00976BA8">
        <w:rPr>
          <w:szCs w:val="26"/>
        </w:rPr>
        <w:t>attempt to overturn the DSP IV settlement because it has become dissatisfied with a single term of the settlement.</w:t>
      </w:r>
      <w:r w:rsidR="001C4BAE">
        <w:rPr>
          <w:szCs w:val="26"/>
        </w:rPr>
        <w:t xml:space="preserve">  </w:t>
      </w:r>
      <w:r w:rsidR="001C4BAE" w:rsidRPr="001C4BAE">
        <w:rPr>
          <w:szCs w:val="26"/>
        </w:rPr>
        <w:t xml:space="preserve">Further, the </w:t>
      </w:r>
      <w:r w:rsidR="00EB0D3A">
        <w:rPr>
          <w:szCs w:val="26"/>
        </w:rPr>
        <w:t>Companies</w:t>
      </w:r>
      <w:r w:rsidR="001C4BAE" w:rsidRPr="001C4BAE">
        <w:rPr>
          <w:szCs w:val="26"/>
        </w:rPr>
        <w:t xml:space="preserve"> contended that the parties to the DSP IV settlement have an interest in the implementation and enforcement of the settlement agreement, including the </w:t>
      </w:r>
      <w:proofErr w:type="spellStart"/>
      <w:r w:rsidR="001C4BAE" w:rsidRPr="001C4BAE">
        <w:rPr>
          <w:szCs w:val="26"/>
        </w:rPr>
        <w:t>clawback</w:t>
      </w:r>
      <w:proofErr w:type="spellEnd"/>
      <w:r w:rsidR="001C4BAE" w:rsidRPr="001C4BAE">
        <w:rPr>
          <w:szCs w:val="26"/>
        </w:rPr>
        <w:t xml:space="preserve"> provisions</w:t>
      </w:r>
      <w:r w:rsidR="00A64325">
        <w:rPr>
          <w:szCs w:val="26"/>
        </w:rPr>
        <w:t>,</w:t>
      </w:r>
      <w:r w:rsidR="001C4BAE" w:rsidRPr="001C4BAE">
        <w:rPr>
          <w:szCs w:val="26"/>
        </w:rPr>
        <w:t xml:space="preserve"> and that allowing Respond to challenge the </w:t>
      </w:r>
      <w:proofErr w:type="spellStart"/>
      <w:r w:rsidR="001C4BAE" w:rsidRPr="001C4BAE">
        <w:rPr>
          <w:szCs w:val="26"/>
        </w:rPr>
        <w:t>clawback</w:t>
      </w:r>
      <w:proofErr w:type="spellEnd"/>
      <w:r w:rsidR="001C4BAE" w:rsidRPr="001C4BAE">
        <w:rPr>
          <w:szCs w:val="26"/>
        </w:rPr>
        <w:t xml:space="preserve"> provisions violates </w:t>
      </w:r>
      <w:r w:rsidR="002702AC">
        <w:rPr>
          <w:szCs w:val="26"/>
        </w:rPr>
        <w:t xml:space="preserve">the </w:t>
      </w:r>
      <w:r w:rsidR="001C4BAE" w:rsidRPr="001C4BAE">
        <w:rPr>
          <w:szCs w:val="26"/>
        </w:rPr>
        <w:t>principles of finality and undermines the integrity of the settlement process.</w:t>
      </w:r>
    </w:p>
    <w:p w14:paraId="348ABE46" w14:textId="77777777" w:rsidR="001C4BAE" w:rsidRDefault="001C4BAE" w:rsidP="00CC0155">
      <w:pPr>
        <w:rPr>
          <w:szCs w:val="26"/>
        </w:rPr>
      </w:pPr>
    </w:p>
    <w:p w14:paraId="49B250F1" w14:textId="08173408" w:rsidR="001C4BAE" w:rsidRDefault="001C4BAE" w:rsidP="00CC0155">
      <w:pPr>
        <w:pStyle w:val="Default"/>
        <w:spacing w:line="360" w:lineRule="auto"/>
        <w:ind w:firstLine="1440"/>
        <w:rPr>
          <w:sz w:val="26"/>
          <w:szCs w:val="26"/>
        </w:rPr>
      </w:pPr>
      <w:r w:rsidRPr="001C4BAE">
        <w:rPr>
          <w:sz w:val="26"/>
          <w:szCs w:val="26"/>
        </w:rPr>
        <w:t xml:space="preserve">In addition, the </w:t>
      </w:r>
      <w:r w:rsidR="00033C21">
        <w:rPr>
          <w:sz w:val="26"/>
          <w:szCs w:val="26"/>
        </w:rPr>
        <w:t xml:space="preserve">Companies submitted in their </w:t>
      </w:r>
      <w:r w:rsidRPr="001C4BAE">
        <w:rPr>
          <w:sz w:val="26"/>
          <w:szCs w:val="26"/>
        </w:rPr>
        <w:t xml:space="preserve">Answers that </w:t>
      </w:r>
      <w:r w:rsidR="00033C21">
        <w:rPr>
          <w:sz w:val="26"/>
          <w:szCs w:val="26"/>
        </w:rPr>
        <w:t xml:space="preserve">they both </w:t>
      </w:r>
      <w:r w:rsidRPr="001C4BAE">
        <w:rPr>
          <w:sz w:val="26"/>
          <w:szCs w:val="26"/>
        </w:rPr>
        <w:t xml:space="preserve">served </w:t>
      </w:r>
      <w:r w:rsidR="00B0746A">
        <w:rPr>
          <w:sz w:val="26"/>
          <w:szCs w:val="26"/>
        </w:rPr>
        <w:t xml:space="preserve">Respond with </w:t>
      </w:r>
      <w:r w:rsidRPr="001C4BAE">
        <w:rPr>
          <w:sz w:val="26"/>
          <w:szCs w:val="26"/>
        </w:rPr>
        <w:t xml:space="preserve">copies of the DSP IV </w:t>
      </w:r>
      <w:r w:rsidR="00FE376B">
        <w:rPr>
          <w:sz w:val="26"/>
          <w:szCs w:val="26"/>
        </w:rPr>
        <w:t xml:space="preserve">Joint </w:t>
      </w:r>
      <w:r w:rsidRPr="001C4BAE">
        <w:rPr>
          <w:sz w:val="26"/>
          <w:szCs w:val="26"/>
        </w:rPr>
        <w:t>Petition and supporting testimon</w:t>
      </w:r>
      <w:r w:rsidR="00FE376B">
        <w:rPr>
          <w:sz w:val="26"/>
          <w:szCs w:val="26"/>
        </w:rPr>
        <w:t>ies</w:t>
      </w:r>
      <w:r w:rsidRPr="001C4BAE">
        <w:rPr>
          <w:sz w:val="26"/>
          <w:szCs w:val="26"/>
        </w:rPr>
        <w:t xml:space="preserve"> that resulted in the </w:t>
      </w:r>
      <w:r w:rsidRPr="001C4BAE">
        <w:rPr>
          <w:i/>
          <w:sz w:val="26"/>
          <w:szCs w:val="26"/>
        </w:rPr>
        <w:t>Default Service Order</w:t>
      </w:r>
      <w:r w:rsidRPr="001C4BAE">
        <w:rPr>
          <w:sz w:val="26"/>
          <w:szCs w:val="26"/>
        </w:rPr>
        <w:t xml:space="preserve">.  According to the Companies, the DSP IV </w:t>
      </w:r>
      <w:r w:rsidR="00FE376B">
        <w:rPr>
          <w:sz w:val="26"/>
          <w:szCs w:val="26"/>
        </w:rPr>
        <w:t xml:space="preserve">Joint </w:t>
      </w:r>
      <w:r w:rsidRPr="001C4BAE">
        <w:rPr>
          <w:sz w:val="26"/>
          <w:szCs w:val="26"/>
        </w:rPr>
        <w:t xml:space="preserve">Petition included proposed </w:t>
      </w:r>
      <w:proofErr w:type="spellStart"/>
      <w:r w:rsidRPr="001C4BAE">
        <w:rPr>
          <w:sz w:val="26"/>
          <w:szCs w:val="26"/>
        </w:rPr>
        <w:t>clawback</w:t>
      </w:r>
      <w:proofErr w:type="spellEnd"/>
      <w:r w:rsidRPr="001C4BAE">
        <w:rPr>
          <w:sz w:val="26"/>
          <w:szCs w:val="26"/>
        </w:rPr>
        <w:t xml:space="preserve"> provisions that would implement </w:t>
      </w:r>
      <w:proofErr w:type="spellStart"/>
      <w:r w:rsidR="00110C16">
        <w:rPr>
          <w:sz w:val="26"/>
          <w:szCs w:val="26"/>
        </w:rPr>
        <w:t>clawback</w:t>
      </w:r>
      <w:proofErr w:type="spellEnd"/>
      <w:r w:rsidR="00110C16">
        <w:rPr>
          <w:sz w:val="26"/>
          <w:szCs w:val="26"/>
        </w:rPr>
        <w:t xml:space="preserve"> </w:t>
      </w:r>
      <w:r w:rsidRPr="001C4BAE">
        <w:rPr>
          <w:sz w:val="26"/>
          <w:szCs w:val="26"/>
        </w:rPr>
        <w:t>charges as of September 1, 2016, based on a one</w:t>
      </w:r>
      <w:r w:rsidR="0026496D">
        <w:rPr>
          <w:sz w:val="26"/>
          <w:szCs w:val="26"/>
        </w:rPr>
        <w:t>-</w:t>
      </w:r>
      <w:r w:rsidRPr="001C4BAE">
        <w:rPr>
          <w:sz w:val="26"/>
          <w:szCs w:val="26"/>
        </w:rPr>
        <w:t>year look back</w:t>
      </w:r>
      <w:r w:rsidR="00110C16">
        <w:rPr>
          <w:sz w:val="26"/>
          <w:szCs w:val="26"/>
        </w:rPr>
        <w:t xml:space="preserve"> at </w:t>
      </w:r>
      <w:r w:rsidRPr="001C4BAE">
        <w:rPr>
          <w:sz w:val="26"/>
          <w:szCs w:val="26"/>
        </w:rPr>
        <w:t>write</w:t>
      </w:r>
      <w:r w:rsidR="00FE376B">
        <w:rPr>
          <w:sz w:val="26"/>
          <w:szCs w:val="26"/>
        </w:rPr>
        <w:t>-</w:t>
      </w:r>
      <w:r w:rsidRPr="001C4BAE">
        <w:rPr>
          <w:sz w:val="26"/>
          <w:szCs w:val="26"/>
        </w:rPr>
        <w:t>off</w:t>
      </w:r>
      <w:r w:rsidR="00110C16">
        <w:rPr>
          <w:sz w:val="26"/>
          <w:szCs w:val="26"/>
        </w:rPr>
        <w:t>s</w:t>
      </w:r>
      <w:r w:rsidRPr="001C4BAE">
        <w:rPr>
          <w:sz w:val="26"/>
          <w:szCs w:val="26"/>
        </w:rPr>
        <w:t xml:space="preserve">.  The </w:t>
      </w:r>
      <w:r w:rsidR="00A367ED">
        <w:rPr>
          <w:sz w:val="26"/>
          <w:szCs w:val="26"/>
        </w:rPr>
        <w:t xml:space="preserve">Companies </w:t>
      </w:r>
      <w:r w:rsidRPr="001C4BAE">
        <w:rPr>
          <w:sz w:val="26"/>
          <w:szCs w:val="26"/>
        </w:rPr>
        <w:t xml:space="preserve">further </w:t>
      </w:r>
      <w:r w:rsidR="00110C16">
        <w:rPr>
          <w:sz w:val="26"/>
          <w:szCs w:val="26"/>
        </w:rPr>
        <w:t>stated</w:t>
      </w:r>
      <w:r w:rsidRPr="001C4BAE">
        <w:rPr>
          <w:sz w:val="26"/>
          <w:szCs w:val="26"/>
        </w:rPr>
        <w:t xml:space="preserve"> that other EGSs intervened in the DSP IV proceeding and participated actively in the litigation and </w:t>
      </w:r>
      <w:r w:rsidR="002C587E">
        <w:rPr>
          <w:sz w:val="26"/>
          <w:szCs w:val="26"/>
        </w:rPr>
        <w:t xml:space="preserve">the </w:t>
      </w:r>
      <w:r w:rsidRPr="001C4BAE">
        <w:rPr>
          <w:sz w:val="26"/>
          <w:szCs w:val="26"/>
        </w:rPr>
        <w:t>settlement</w:t>
      </w:r>
      <w:r w:rsidR="00350BCA">
        <w:rPr>
          <w:sz w:val="26"/>
          <w:szCs w:val="26"/>
        </w:rPr>
        <w:t>.  Furthermore, t</w:t>
      </w:r>
      <w:r w:rsidRPr="00350BCA">
        <w:rPr>
          <w:sz w:val="26"/>
          <w:szCs w:val="26"/>
        </w:rPr>
        <w:t xml:space="preserve">he </w:t>
      </w:r>
      <w:r w:rsidR="00B0746A">
        <w:rPr>
          <w:sz w:val="26"/>
          <w:szCs w:val="26"/>
        </w:rPr>
        <w:t>Companies</w:t>
      </w:r>
      <w:r w:rsidRPr="00350BCA">
        <w:rPr>
          <w:sz w:val="26"/>
          <w:szCs w:val="26"/>
        </w:rPr>
        <w:t xml:space="preserve"> assert</w:t>
      </w:r>
      <w:r w:rsidR="00350BCA">
        <w:rPr>
          <w:sz w:val="26"/>
          <w:szCs w:val="26"/>
        </w:rPr>
        <w:t>ed</w:t>
      </w:r>
      <w:r w:rsidRPr="00350BCA">
        <w:rPr>
          <w:sz w:val="26"/>
          <w:szCs w:val="26"/>
        </w:rPr>
        <w:t xml:space="preserve"> that there </w:t>
      </w:r>
      <w:r w:rsidR="00FE376B">
        <w:rPr>
          <w:sz w:val="26"/>
          <w:szCs w:val="26"/>
        </w:rPr>
        <w:t>was</w:t>
      </w:r>
      <w:r w:rsidRPr="00350BCA">
        <w:rPr>
          <w:sz w:val="26"/>
          <w:szCs w:val="26"/>
        </w:rPr>
        <w:t xml:space="preserve"> no basis for Respond</w:t>
      </w:r>
      <w:r w:rsidR="00E00225">
        <w:rPr>
          <w:sz w:val="26"/>
          <w:szCs w:val="26"/>
        </w:rPr>
        <w:t>’</w:t>
      </w:r>
      <w:r w:rsidRPr="00350BCA">
        <w:rPr>
          <w:sz w:val="26"/>
          <w:szCs w:val="26"/>
        </w:rPr>
        <w:t xml:space="preserve">s claim that the </w:t>
      </w:r>
      <w:proofErr w:type="spellStart"/>
      <w:r w:rsidRPr="00350BCA">
        <w:rPr>
          <w:sz w:val="26"/>
          <w:szCs w:val="26"/>
        </w:rPr>
        <w:t>clawback</w:t>
      </w:r>
      <w:proofErr w:type="spellEnd"/>
      <w:r w:rsidRPr="00350BCA">
        <w:rPr>
          <w:sz w:val="26"/>
          <w:szCs w:val="26"/>
        </w:rPr>
        <w:t xml:space="preserve"> provisions violate the prohibition against retroactive ratemaking.</w:t>
      </w:r>
      <w:r w:rsidR="00350BCA">
        <w:rPr>
          <w:sz w:val="26"/>
          <w:szCs w:val="26"/>
        </w:rPr>
        <w:t xml:space="preserve">  </w:t>
      </w:r>
      <w:r w:rsidR="002C587E">
        <w:rPr>
          <w:sz w:val="26"/>
          <w:szCs w:val="26"/>
        </w:rPr>
        <w:t>The Companies conten</w:t>
      </w:r>
      <w:r w:rsidR="0026496D">
        <w:rPr>
          <w:sz w:val="26"/>
          <w:szCs w:val="26"/>
        </w:rPr>
        <w:t>d</w:t>
      </w:r>
      <w:r w:rsidR="002C587E">
        <w:rPr>
          <w:sz w:val="26"/>
          <w:szCs w:val="26"/>
        </w:rPr>
        <w:t>ed that</w:t>
      </w:r>
      <w:r w:rsidRPr="00350BCA">
        <w:rPr>
          <w:sz w:val="26"/>
          <w:szCs w:val="26"/>
        </w:rPr>
        <w:t xml:space="preserve"> </w:t>
      </w:r>
      <w:r w:rsidR="00C96542">
        <w:rPr>
          <w:sz w:val="26"/>
          <w:szCs w:val="26"/>
        </w:rPr>
        <w:t xml:space="preserve">retroactive </w:t>
      </w:r>
      <w:r w:rsidR="00C96542">
        <w:rPr>
          <w:sz w:val="26"/>
          <w:szCs w:val="26"/>
        </w:rPr>
        <w:lastRenderedPageBreak/>
        <w:t xml:space="preserve">ratemaking </w:t>
      </w:r>
      <w:r w:rsidRPr="00350BCA">
        <w:rPr>
          <w:sz w:val="26"/>
          <w:szCs w:val="26"/>
        </w:rPr>
        <w:t>prohibition only applies to rates for utility service</w:t>
      </w:r>
      <w:r w:rsidR="002702AC">
        <w:rPr>
          <w:sz w:val="26"/>
          <w:szCs w:val="26"/>
        </w:rPr>
        <w:t xml:space="preserve"> </w:t>
      </w:r>
      <w:r w:rsidR="00C96542">
        <w:rPr>
          <w:sz w:val="26"/>
          <w:szCs w:val="26"/>
        </w:rPr>
        <w:t xml:space="preserve">and that </w:t>
      </w:r>
      <w:r w:rsidR="00350BCA">
        <w:rPr>
          <w:sz w:val="26"/>
          <w:szCs w:val="26"/>
        </w:rPr>
        <w:t>t</w:t>
      </w:r>
      <w:r w:rsidRPr="00350BCA">
        <w:rPr>
          <w:sz w:val="26"/>
          <w:szCs w:val="26"/>
        </w:rPr>
        <w:t>he POR program is not a utility service</w:t>
      </w:r>
      <w:r w:rsidR="00AC3295">
        <w:rPr>
          <w:sz w:val="26"/>
          <w:szCs w:val="26"/>
        </w:rPr>
        <w:t>,</w:t>
      </w:r>
      <w:r w:rsidRPr="00350BCA">
        <w:rPr>
          <w:sz w:val="26"/>
          <w:szCs w:val="26"/>
        </w:rPr>
        <w:t xml:space="preserve"> and the </w:t>
      </w:r>
      <w:proofErr w:type="spellStart"/>
      <w:r w:rsidRPr="00350BCA">
        <w:rPr>
          <w:sz w:val="26"/>
          <w:szCs w:val="26"/>
        </w:rPr>
        <w:t>clawback</w:t>
      </w:r>
      <w:proofErr w:type="spellEnd"/>
      <w:r w:rsidRPr="00350BCA">
        <w:rPr>
          <w:sz w:val="26"/>
          <w:szCs w:val="26"/>
        </w:rPr>
        <w:t xml:space="preserve"> charges are not rates.</w:t>
      </w:r>
      <w:r w:rsidR="00350BCA">
        <w:rPr>
          <w:sz w:val="26"/>
          <w:szCs w:val="26"/>
        </w:rPr>
        <w:t xml:space="preserve">  The </w:t>
      </w:r>
      <w:r w:rsidR="00AC3295">
        <w:rPr>
          <w:sz w:val="26"/>
          <w:szCs w:val="26"/>
        </w:rPr>
        <w:t xml:space="preserve">Companies </w:t>
      </w:r>
      <w:r w:rsidR="004E0124">
        <w:rPr>
          <w:sz w:val="26"/>
          <w:szCs w:val="26"/>
        </w:rPr>
        <w:t xml:space="preserve">contended that the </w:t>
      </w:r>
      <w:r w:rsidRPr="00350BCA">
        <w:rPr>
          <w:sz w:val="26"/>
          <w:szCs w:val="26"/>
        </w:rPr>
        <w:t>POR program</w:t>
      </w:r>
      <w:r w:rsidR="004E0124">
        <w:rPr>
          <w:sz w:val="26"/>
          <w:szCs w:val="26"/>
        </w:rPr>
        <w:t xml:space="preserve"> is </w:t>
      </w:r>
      <w:r w:rsidR="004F36B3">
        <w:rPr>
          <w:sz w:val="26"/>
          <w:szCs w:val="26"/>
        </w:rPr>
        <w:t>v</w:t>
      </w:r>
      <w:r w:rsidRPr="00350BCA">
        <w:rPr>
          <w:sz w:val="26"/>
          <w:szCs w:val="26"/>
        </w:rPr>
        <w:t>oluntary</w:t>
      </w:r>
      <w:r w:rsidR="004E0124">
        <w:rPr>
          <w:sz w:val="26"/>
          <w:szCs w:val="26"/>
        </w:rPr>
        <w:t xml:space="preserve"> and is not considered </w:t>
      </w:r>
      <w:r w:rsidR="004F36B3">
        <w:rPr>
          <w:sz w:val="26"/>
          <w:szCs w:val="26"/>
        </w:rPr>
        <w:t xml:space="preserve">as </w:t>
      </w:r>
      <w:r w:rsidRPr="00350BCA">
        <w:rPr>
          <w:sz w:val="26"/>
          <w:szCs w:val="26"/>
        </w:rPr>
        <w:t xml:space="preserve">part of </w:t>
      </w:r>
      <w:r w:rsidR="00792C82">
        <w:rPr>
          <w:sz w:val="26"/>
          <w:szCs w:val="26"/>
        </w:rPr>
        <w:t>the</w:t>
      </w:r>
      <w:r w:rsidR="004F36B3">
        <w:rPr>
          <w:sz w:val="26"/>
          <w:szCs w:val="26"/>
        </w:rPr>
        <w:t>ir</w:t>
      </w:r>
      <w:r w:rsidRPr="00350BCA">
        <w:rPr>
          <w:sz w:val="26"/>
          <w:szCs w:val="26"/>
        </w:rPr>
        <w:t xml:space="preserve"> obligation to serve</w:t>
      </w:r>
      <w:r w:rsidR="004E0124">
        <w:rPr>
          <w:sz w:val="26"/>
          <w:szCs w:val="26"/>
        </w:rPr>
        <w:t xml:space="preserve">.  Thus, the Companies do not view </w:t>
      </w:r>
      <w:r w:rsidR="004F36B3">
        <w:rPr>
          <w:sz w:val="26"/>
          <w:szCs w:val="26"/>
        </w:rPr>
        <w:t xml:space="preserve">the </w:t>
      </w:r>
      <w:r w:rsidRPr="00350BCA">
        <w:rPr>
          <w:sz w:val="26"/>
          <w:szCs w:val="26"/>
        </w:rPr>
        <w:t xml:space="preserve">purchase of EGS receivables </w:t>
      </w:r>
      <w:r w:rsidR="00303DFD">
        <w:rPr>
          <w:sz w:val="26"/>
          <w:szCs w:val="26"/>
        </w:rPr>
        <w:t xml:space="preserve">as </w:t>
      </w:r>
      <w:r w:rsidRPr="00350BCA">
        <w:rPr>
          <w:sz w:val="26"/>
          <w:szCs w:val="26"/>
        </w:rPr>
        <w:t>a s</w:t>
      </w:r>
      <w:r w:rsidR="00303DFD">
        <w:rPr>
          <w:sz w:val="26"/>
          <w:szCs w:val="26"/>
        </w:rPr>
        <w:t>e</w:t>
      </w:r>
      <w:r w:rsidRPr="00350BCA">
        <w:rPr>
          <w:sz w:val="26"/>
          <w:szCs w:val="26"/>
        </w:rPr>
        <w:t xml:space="preserve">rvice </w:t>
      </w:r>
      <w:r w:rsidR="00303DFD">
        <w:rPr>
          <w:sz w:val="26"/>
          <w:szCs w:val="26"/>
        </w:rPr>
        <w:t xml:space="preserve">or </w:t>
      </w:r>
      <w:r w:rsidRPr="00350BCA">
        <w:rPr>
          <w:sz w:val="26"/>
          <w:szCs w:val="26"/>
        </w:rPr>
        <w:t xml:space="preserve">the </w:t>
      </w:r>
      <w:proofErr w:type="spellStart"/>
      <w:r w:rsidRPr="00350BCA">
        <w:rPr>
          <w:sz w:val="26"/>
          <w:szCs w:val="26"/>
        </w:rPr>
        <w:t>clawback</w:t>
      </w:r>
      <w:proofErr w:type="spellEnd"/>
      <w:r w:rsidRPr="00350BCA">
        <w:rPr>
          <w:sz w:val="26"/>
          <w:szCs w:val="26"/>
        </w:rPr>
        <w:t xml:space="preserve"> provisions </w:t>
      </w:r>
      <w:r w:rsidR="00303DFD">
        <w:rPr>
          <w:sz w:val="26"/>
          <w:szCs w:val="26"/>
        </w:rPr>
        <w:t xml:space="preserve">as rates for </w:t>
      </w:r>
      <w:r w:rsidRPr="00350BCA">
        <w:rPr>
          <w:sz w:val="26"/>
          <w:szCs w:val="26"/>
        </w:rPr>
        <w:t>utility service.</w:t>
      </w:r>
    </w:p>
    <w:p w14:paraId="15903E47" w14:textId="77777777" w:rsidR="00F2217F" w:rsidRPr="00350BCA" w:rsidRDefault="00F2217F" w:rsidP="00CC0155">
      <w:pPr>
        <w:pStyle w:val="Default"/>
        <w:spacing w:line="360" w:lineRule="auto"/>
        <w:ind w:firstLine="1440"/>
        <w:rPr>
          <w:sz w:val="26"/>
          <w:szCs w:val="26"/>
        </w:rPr>
      </w:pPr>
    </w:p>
    <w:p w14:paraId="74F7ADFF" w14:textId="3B482853" w:rsidR="00CB1CC2" w:rsidRDefault="00CB1CC2" w:rsidP="00CC0155">
      <w:pPr>
        <w:rPr>
          <w:szCs w:val="26"/>
        </w:rPr>
      </w:pPr>
      <w:r w:rsidRPr="00CB1CC2">
        <w:rPr>
          <w:szCs w:val="26"/>
        </w:rPr>
        <w:t xml:space="preserve">Additionally, the </w:t>
      </w:r>
      <w:r w:rsidR="00303DFD">
        <w:rPr>
          <w:szCs w:val="26"/>
        </w:rPr>
        <w:t xml:space="preserve">Companies pointed out in their </w:t>
      </w:r>
      <w:r>
        <w:rPr>
          <w:szCs w:val="26"/>
        </w:rPr>
        <w:t>A</w:t>
      </w:r>
      <w:r w:rsidRPr="00CB1CC2">
        <w:rPr>
          <w:szCs w:val="26"/>
        </w:rPr>
        <w:t xml:space="preserve">nswers that by approving the settlement agreement in the </w:t>
      </w:r>
      <w:r w:rsidRPr="00CB1CC2">
        <w:rPr>
          <w:i/>
          <w:szCs w:val="26"/>
        </w:rPr>
        <w:t>Default Service Order,</w:t>
      </w:r>
      <w:r w:rsidRPr="00CB1CC2">
        <w:rPr>
          <w:szCs w:val="26"/>
        </w:rPr>
        <w:t xml:space="preserve"> the Commission determined that the </w:t>
      </w:r>
      <w:proofErr w:type="spellStart"/>
      <w:r w:rsidRPr="00CB1CC2">
        <w:rPr>
          <w:szCs w:val="26"/>
        </w:rPr>
        <w:t>clawback</w:t>
      </w:r>
      <w:proofErr w:type="spellEnd"/>
      <w:r w:rsidRPr="00CB1CC2">
        <w:rPr>
          <w:szCs w:val="26"/>
        </w:rPr>
        <w:t xml:space="preserve"> provisions are lawful</w:t>
      </w:r>
      <w:r w:rsidR="00303DFD">
        <w:rPr>
          <w:szCs w:val="26"/>
        </w:rPr>
        <w:t>,</w:t>
      </w:r>
      <w:r w:rsidRPr="00CB1CC2">
        <w:rPr>
          <w:szCs w:val="26"/>
        </w:rPr>
        <w:t xml:space="preserve"> and no party </w:t>
      </w:r>
      <w:r w:rsidR="00C74FE0">
        <w:rPr>
          <w:szCs w:val="26"/>
        </w:rPr>
        <w:t xml:space="preserve">ever </w:t>
      </w:r>
      <w:r w:rsidRPr="00CB1CC2">
        <w:rPr>
          <w:szCs w:val="26"/>
        </w:rPr>
        <w:t xml:space="preserve">appealed the </w:t>
      </w:r>
      <w:r w:rsidRPr="00CB1CC2">
        <w:rPr>
          <w:i/>
          <w:szCs w:val="26"/>
        </w:rPr>
        <w:t>Default Service Order</w:t>
      </w:r>
      <w:r w:rsidRPr="00CB1CC2">
        <w:rPr>
          <w:szCs w:val="26"/>
        </w:rPr>
        <w:t xml:space="preserve"> alleging that the </w:t>
      </w:r>
      <w:proofErr w:type="spellStart"/>
      <w:r w:rsidRPr="00CB1CC2">
        <w:rPr>
          <w:szCs w:val="26"/>
        </w:rPr>
        <w:t>clawback</w:t>
      </w:r>
      <w:proofErr w:type="spellEnd"/>
      <w:r w:rsidRPr="00CB1CC2">
        <w:rPr>
          <w:szCs w:val="26"/>
        </w:rPr>
        <w:t xml:space="preserve"> provisions are unlawful.</w:t>
      </w:r>
      <w:r w:rsidR="003F1C2A">
        <w:rPr>
          <w:szCs w:val="26"/>
        </w:rPr>
        <w:t xml:space="preserve">  According to the Answers,</w:t>
      </w:r>
      <w:r w:rsidRPr="00CB1CC2">
        <w:rPr>
          <w:szCs w:val="26"/>
        </w:rPr>
        <w:t xml:space="preserve"> Respond </w:t>
      </w:r>
      <w:r w:rsidR="00C74FE0">
        <w:rPr>
          <w:szCs w:val="26"/>
        </w:rPr>
        <w:t xml:space="preserve">was given notice and an </w:t>
      </w:r>
      <w:r w:rsidRPr="00CB1CC2">
        <w:rPr>
          <w:szCs w:val="26"/>
        </w:rPr>
        <w:t>opportunity to participate in the DSP IV proceeding</w:t>
      </w:r>
      <w:r w:rsidR="003F1C2A">
        <w:rPr>
          <w:szCs w:val="26"/>
        </w:rPr>
        <w:t>s</w:t>
      </w:r>
      <w:r w:rsidRPr="00CB1CC2">
        <w:rPr>
          <w:szCs w:val="26"/>
        </w:rPr>
        <w:t xml:space="preserve"> that resulted in the </w:t>
      </w:r>
      <w:r w:rsidRPr="00CB1CC2">
        <w:rPr>
          <w:i/>
          <w:szCs w:val="26"/>
        </w:rPr>
        <w:t>Default Service Order</w:t>
      </w:r>
      <w:r w:rsidR="00DE76D4">
        <w:rPr>
          <w:iCs/>
          <w:szCs w:val="26"/>
        </w:rPr>
        <w:t>,</w:t>
      </w:r>
      <w:r w:rsidRPr="00CB1CC2">
        <w:rPr>
          <w:szCs w:val="26"/>
        </w:rPr>
        <w:t xml:space="preserve"> but </w:t>
      </w:r>
      <w:r w:rsidR="00C74FE0">
        <w:rPr>
          <w:szCs w:val="26"/>
        </w:rPr>
        <w:t xml:space="preserve">it </w:t>
      </w:r>
      <w:r w:rsidRPr="00CB1CC2">
        <w:rPr>
          <w:szCs w:val="26"/>
        </w:rPr>
        <w:t>chose not to intervene.</w:t>
      </w:r>
      <w:r>
        <w:rPr>
          <w:szCs w:val="26"/>
        </w:rPr>
        <w:t xml:space="preserve">  </w:t>
      </w:r>
      <w:r w:rsidR="00DE76D4">
        <w:rPr>
          <w:szCs w:val="26"/>
        </w:rPr>
        <w:t xml:space="preserve">In addition, the Companies stated that they </w:t>
      </w:r>
      <w:r w:rsidRPr="00CB1CC2">
        <w:rPr>
          <w:szCs w:val="26"/>
        </w:rPr>
        <w:t xml:space="preserve">filed tariff provisions that included the </w:t>
      </w:r>
      <w:proofErr w:type="spellStart"/>
      <w:r w:rsidRPr="00CB1CC2">
        <w:rPr>
          <w:szCs w:val="26"/>
        </w:rPr>
        <w:t>clawback</w:t>
      </w:r>
      <w:proofErr w:type="spellEnd"/>
      <w:r w:rsidRPr="00CB1CC2">
        <w:rPr>
          <w:szCs w:val="26"/>
        </w:rPr>
        <w:t xml:space="preserve"> provision on October 28, 2016, the Commission </w:t>
      </w:r>
      <w:r w:rsidR="00DE76D4">
        <w:rPr>
          <w:szCs w:val="26"/>
        </w:rPr>
        <w:t xml:space="preserve">subsequently </w:t>
      </w:r>
      <w:r w:rsidRPr="00CB1CC2">
        <w:rPr>
          <w:szCs w:val="26"/>
        </w:rPr>
        <w:t>approved the tariff provisions</w:t>
      </w:r>
      <w:r w:rsidR="00DE76D4">
        <w:rPr>
          <w:szCs w:val="26"/>
        </w:rPr>
        <w:t xml:space="preserve"> </w:t>
      </w:r>
      <w:r w:rsidR="00DE76D4" w:rsidRPr="00CB1CC2">
        <w:rPr>
          <w:szCs w:val="26"/>
        </w:rPr>
        <w:t>on November 10, 2016</w:t>
      </w:r>
      <w:r w:rsidRPr="00CB1CC2">
        <w:rPr>
          <w:szCs w:val="26"/>
        </w:rPr>
        <w:t>.</w:t>
      </w:r>
      <w:r w:rsidR="00EC0E34">
        <w:rPr>
          <w:szCs w:val="26"/>
        </w:rPr>
        <w:t xml:space="preserve">  </w:t>
      </w:r>
    </w:p>
    <w:p w14:paraId="5CDAFCA8" w14:textId="77777777" w:rsidR="00F526A4" w:rsidRDefault="00F526A4" w:rsidP="00CC0155">
      <w:pPr>
        <w:rPr>
          <w:szCs w:val="26"/>
        </w:rPr>
      </w:pPr>
    </w:p>
    <w:p w14:paraId="581B9DF5" w14:textId="5A3FD0F1" w:rsidR="00F526A4" w:rsidRPr="009E066A" w:rsidRDefault="00F526A4" w:rsidP="00CC0155">
      <w:pPr>
        <w:rPr>
          <w:szCs w:val="26"/>
        </w:rPr>
      </w:pPr>
      <w:r>
        <w:rPr>
          <w:szCs w:val="26"/>
        </w:rPr>
        <w:t xml:space="preserve">The </w:t>
      </w:r>
      <w:r w:rsidR="00C42C82">
        <w:rPr>
          <w:szCs w:val="26"/>
        </w:rPr>
        <w:t>Companies</w:t>
      </w:r>
      <w:r w:rsidR="00E00225">
        <w:rPr>
          <w:szCs w:val="26"/>
        </w:rPr>
        <w:t>’</w:t>
      </w:r>
      <w:r w:rsidR="00C42C82">
        <w:rPr>
          <w:szCs w:val="26"/>
        </w:rPr>
        <w:t xml:space="preserve"> </w:t>
      </w:r>
      <w:r w:rsidR="009E066A">
        <w:rPr>
          <w:szCs w:val="26"/>
        </w:rPr>
        <w:t>N</w:t>
      </w:r>
      <w:r w:rsidRPr="009E066A">
        <w:rPr>
          <w:szCs w:val="26"/>
        </w:rPr>
        <w:t xml:space="preserve">ew </w:t>
      </w:r>
      <w:r w:rsidR="009E066A">
        <w:rPr>
          <w:szCs w:val="26"/>
        </w:rPr>
        <w:t>M</w:t>
      </w:r>
      <w:r w:rsidRPr="009E066A">
        <w:rPr>
          <w:szCs w:val="26"/>
        </w:rPr>
        <w:t>atter</w:t>
      </w:r>
      <w:r w:rsidR="003661B2">
        <w:rPr>
          <w:szCs w:val="26"/>
        </w:rPr>
        <w:t xml:space="preserve"> generally </w:t>
      </w:r>
      <w:r w:rsidRPr="009E066A">
        <w:rPr>
          <w:szCs w:val="26"/>
        </w:rPr>
        <w:t>reiterate</w:t>
      </w:r>
      <w:r w:rsidR="00F50688">
        <w:rPr>
          <w:szCs w:val="26"/>
        </w:rPr>
        <w:t>d</w:t>
      </w:r>
      <w:r w:rsidRPr="009E066A">
        <w:rPr>
          <w:szCs w:val="26"/>
        </w:rPr>
        <w:t xml:space="preserve"> the statements in the</w:t>
      </w:r>
      <w:r w:rsidR="00C42C82">
        <w:rPr>
          <w:szCs w:val="26"/>
        </w:rPr>
        <w:t>ir</w:t>
      </w:r>
      <w:r w:rsidRPr="009E066A">
        <w:rPr>
          <w:szCs w:val="26"/>
        </w:rPr>
        <w:t xml:space="preserve"> </w:t>
      </w:r>
      <w:r w:rsidR="009E066A">
        <w:rPr>
          <w:szCs w:val="26"/>
        </w:rPr>
        <w:t>A</w:t>
      </w:r>
      <w:r w:rsidRPr="009E066A">
        <w:rPr>
          <w:szCs w:val="26"/>
        </w:rPr>
        <w:t xml:space="preserve">nswers concerning the </w:t>
      </w:r>
      <w:r w:rsidRPr="009E066A">
        <w:rPr>
          <w:i/>
          <w:szCs w:val="26"/>
        </w:rPr>
        <w:t>Default Service Order</w:t>
      </w:r>
      <w:r w:rsidRPr="009E066A">
        <w:rPr>
          <w:szCs w:val="26"/>
        </w:rPr>
        <w:t>.</w:t>
      </w:r>
      <w:r w:rsidR="009E066A">
        <w:rPr>
          <w:szCs w:val="26"/>
        </w:rPr>
        <w:t xml:space="preserve">  </w:t>
      </w:r>
      <w:r w:rsidR="009239D2">
        <w:rPr>
          <w:szCs w:val="26"/>
        </w:rPr>
        <w:t>T</w:t>
      </w:r>
      <w:r w:rsidR="00C42C82">
        <w:rPr>
          <w:szCs w:val="26"/>
        </w:rPr>
        <w:t xml:space="preserve">he Companies in </w:t>
      </w:r>
      <w:r w:rsidR="009239D2">
        <w:rPr>
          <w:szCs w:val="26"/>
        </w:rPr>
        <w:t xml:space="preserve">both </w:t>
      </w:r>
      <w:r w:rsidR="00C42C82">
        <w:rPr>
          <w:szCs w:val="26"/>
        </w:rPr>
        <w:t xml:space="preserve">their Answers </w:t>
      </w:r>
      <w:r w:rsidR="009239D2">
        <w:rPr>
          <w:szCs w:val="26"/>
        </w:rPr>
        <w:t xml:space="preserve">with </w:t>
      </w:r>
      <w:r w:rsidR="00E20FE4">
        <w:rPr>
          <w:szCs w:val="26"/>
        </w:rPr>
        <w:t>New Matter</w:t>
      </w:r>
      <w:r w:rsidR="009239D2">
        <w:rPr>
          <w:szCs w:val="26"/>
        </w:rPr>
        <w:t xml:space="preserve"> requested that the</w:t>
      </w:r>
      <w:r w:rsidRPr="009E066A">
        <w:rPr>
          <w:szCs w:val="26"/>
        </w:rPr>
        <w:t xml:space="preserve"> Commission dismiss</w:t>
      </w:r>
      <w:r w:rsidR="009E066A">
        <w:rPr>
          <w:szCs w:val="26"/>
        </w:rPr>
        <w:t xml:space="preserve"> the </w:t>
      </w:r>
      <w:r w:rsidR="003661B2">
        <w:rPr>
          <w:szCs w:val="26"/>
        </w:rPr>
        <w:t xml:space="preserve">2016 </w:t>
      </w:r>
      <w:r w:rsidR="009E066A">
        <w:rPr>
          <w:szCs w:val="26"/>
        </w:rPr>
        <w:t>C</w:t>
      </w:r>
      <w:r w:rsidRPr="009E066A">
        <w:rPr>
          <w:szCs w:val="26"/>
        </w:rPr>
        <w:t>omplaints with prejudice.</w:t>
      </w:r>
    </w:p>
    <w:p w14:paraId="3687B38B" w14:textId="77777777" w:rsidR="00CB1CC2" w:rsidRDefault="00CB1CC2" w:rsidP="00CC0155">
      <w:pPr>
        <w:rPr>
          <w:szCs w:val="26"/>
        </w:rPr>
      </w:pPr>
    </w:p>
    <w:p w14:paraId="0EFFB8C9" w14:textId="2DE029E7" w:rsidR="00CB1CC2" w:rsidRDefault="00123463" w:rsidP="00CC0155">
      <w:pPr>
        <w:rPr>
          <w:szCs w:val="26"/>
        </w:rPr>
      </w:pPr>
      <w:r w:rsidRPr="00123463">
        <w:rPr>
          <w:szCs w:val="26"/>
        </w:rPr>
        <w:t>Also, on December 8, 2016,</w:t>
      </w:r>
      <w:r w:rsidR="008A1D97">
        <w:rPr>
          <w:szCs w:val="26"/>
        </w:rPr>
        <w:t xml:space="preserve"> the Companies</w:t>
      </w:r>
      <w:r w:rsidRPr="00123463">
        <w:rPr>
          <w:szCs w:val="26"/>
        </w:rPr>
        <w:t xml:space="preserve"> filed Motions for Judgment on the </w:t>
      </w:r>
      <w:r w:rsidR="00E41E76">
        <w:rPr>
          <w:szCs w:val="26"/>
        </w:rPr>
        <w:t>P</w:t>
      </w:r>
      <w:r w:rsidRPr="00123463">
        <w:rPr>
          <w:szCs w:val="26"/>
        </w:rPr>
        <w:t>leadings</w:t>
      </w:r>
      <w:r w:rsidR="002702AC">
        <w:rPr>
          <w:szCs w:val="26"/>
        </w:rPr>
        <w:t xml:space="preserve"> (Motions for Judgment)</w:t>
      </w:r>
      <w:r w:rsidR="009239D2">
        <w:rPr>
          <w:szCs w:val="26"/>
        </w:rPr>
        <w:t xml:space="preserve"> which also </w:t>
      </w:r>
      <w:r w:rsidRPr="00123463">
        <w:rPr>
          <w:szCs w:val="26"/>
        </w:rPr>
        <w:t xml:space="preserve">reiterated the </w:t>
      </w:r>
      <w:r w:rsidR="00E20FE4">
        <w:rPr>
          <w:szCs w:val="26"/>
        </w:rPr>
        <w:t xml:space="preserve">same </w:t>
      </w:r>
      <w:r w:rsidRPr="00123463">
        <w:rPr>
          <w:szCs w:val="26"/>
        </w:rPr>
        <w:t xml:space="preserve">allegations in </w:t>
      </w:r>
      <w:r w:rsidR="00E41E76">
        <w:rPr>
          <w:szCs w:val="26"/>
        </w:rPr>
        <w:t>the</w:t>
      </w:r>
      <w:r w:rsidR="009239D2">
        <w:rPr>
          <w:szCs w:val="26"/>
        </w:rPr>
        <w:t>ir</w:t>
      </w:r>
      <w:r w:rsidR="00E41E76">
        <w:rPr>
          <w:szCs w:val="26"/>
        </w:rPr>
        <w:t xml:space="preserve"> </w:t>
      </w:r>
      <w:r w:rsidRPr="00123463">
        <w:rPr>
          <w:szCs w:val="26"/>
        </w:rPr>
        <w:t>Answers with New Matter.</w:t>
      </w:r>
    </w:p>
    <w:p w14:paraId="0360AFF8" w14:textId="77777777" w:rsidR="00E9759B" w:rsidRDefault="00E9759B" w:rsidP="00CC0155">
      <w:pPr>
        <w:rPr>
          <w:szCs w:val="26"/>
        </w:rPr>
      </w:pPr>
    </w:p>
    <w:p w14:paraId="2F4B725E" w14:textId="1125A7EF" w:rsidR="00E9759B" w:rsidRDefault="00E9759B" w:rsidP="00CC0155">
      <w:pPr>
        <w:autoSpaceDE w:val="0"/>
        <w:autoSpaceDN w:val="0"/>
        <w:adjustRightInd w:val="0"/>
        <w:rPr>
          <w:szCs w:val="26"/>
        </w:rPr>
      </w:pPr>
      <w:r w:rsidRPr="00E9759B">
        <w:rPr>
          <w:color w:val="000000"/>
          <w:szCs w:val="26"/>
        </w:rPr>
        <w:t xml:space="preserve">On December 13, 2016, the Coalition for Affordable Utility Services and Energy </w:t>
      </w:r>
      <w:r w:rsidR="00FA7B0E" w:rsidRPr="00E9759B">
        <w:rPr>
          <w:color w:val="000000"/>
          <w:szCs w:val="26"/>
        </w:rPr>
        <w:t>Efficiency</w:t>
      </w:r>
      <w:r w:rsidRPr="00E9759B">
        <w:rPr>
          <w:color w:val="000000"/>
          <w:szCs w:val="26"/>
        </w:rPr>
        <w:t xml:space="preserve"> in Pennsylvania (CAUSE-PA) filed a Petition to Intervene</w:t>
      </w:r>
      <w:r w:rsidR="00E20FE4">
        <w:rPr>
          <w:color w:val="000000"/>
          <w:szCs w:val="26"/>
        </w:rPr>
        <w:t xml:space="preserve"> in which it </w:t>
      </w:r>
      <w:r w:rsidRPr="00E9759B">
        <w:rPr>
          <w:color w:val="000000"/>
          <w:szCs w:val="26"/>
        </w:rPr>
        <w:t xml:space="preserve">asserted that </w:t>
      </w:r>
      <w:r w:rsidR="00E20FE4">
        <w:rPr>
          <w:color w:val="000000"/>
          <w:szCs w:val="26"/>
        </w:rPr>
        <w:t>it</w:t>
      </w:r>
      <w:r w:rsidR="00E20FE4" w:rsidRPr="00F71658">
        <w:rPr>
          <w:color w:val="000000"/>
        </w:rPr>
        <w:t xml:space="preserve"> </w:t>
      </w:r>
      <w:r w:rsidRPr="00E9759B">
        <w:rPr>
          <w:szCs w:val="26"/>
        </w:rPr>
        <w:t xml:space="preserve">intervened in the DSP IV proceedings and was a signatory to the settlement agreement that resulted in the </w:t>
      </w:r>
      <w:r w:rsidRPr="00E9759B">
        <w:rPr>
          <w:i/>
          <w:szCs w:val="26"/>
        </w:rPr>
        <w:t>Default Service Order.</w:t>
      </w:r>
      <w:r w:rsidRPr="00E9759B">
        <w:rPr>
          <w:szCs w:val="26"/>
        </w:rPr>
        <w:t xml:space="preserve">  </w:t>
      </w:r>
      <w:r w:rsidR="00E20FE4">
        <w:rPr>
          <w:szCs w:val="26"/>
        </w:rPr>
        <w:t xml:space="preserve">CAUSE-PA </w:t>
      </w:r>
      <w:r w:rsidR="0014389B">
        <w:rPr>
          <w:szCs w:val="26"/>
        </w:rPr>
        <w:t xml:space="preserve">submitted </w:t>
      </w:r>
      <w:r w:rsidR="0014389B">
        <w:rPr>
          <w:szCs w:val="26"/>
        </w:rPr>
        <w:lastRenderedPageBreak/>
        <w:t xml:space="preserve">that </w:t>
      </w:r>
      <w:r w:rsidRPr="00E9759B">
        <w:rPr>
          <w:szCs w:val="26"/>
        </w:rPr>
        <w:t>that members of CAUSE-PA are customers of Penelec and West Penn who would be directly affected by the outcome of th</w:t>
      </w:r>
      <w:r w:rsidR="008B5731">
        <w:rPr>
          <w:szCs w:val="26"/>
        </w:rPr>
        <w:t>e instant</w:t>
      </w:r>
      <w:r w:rsidRPr="00E9759B">
        <w:rPr>
          <w:szCs w:val="26"/>
        </w:rPr>
        <w:t xml:space="preserve"> proceeding</w:t>
      </w:r>
      <w:r w:rsidR="008B5731">
        <w:rPr>
          <w:szCs w:val="26"/>
        </w:rPr>
        <w:t>s</w:t>
      </w:r>
      <w:r w:rsidRPr="00E9759B">
        <w:rPr>
          <w:szCs w:val="26"/>
        </w:rPr>
        <w:t>.  Th</w:t>
      </w:r>
      <w:r w:rsidR="0014389B">
        <w:rPr>
          <w:szCs w:val="26"/>
        </w:rPr>
        <w:t>us, C</w:t>
      </w:r>
      <w:r w:rsidRPr="00E9759B">
        <w:rPr>
          <w:szCs w:val="26"/>
        </w:rPr>
        <w:t xml:space="preserve">AUSE-PA </w:t>
      </w:r>
      <w:r w:rsidR="0014389B">
        <w:rPr>
          <w:szCs w:val="26"/>
        </w:rPr>
        <w:t xml:space="preserve">requested that it </w:t>
      </w:r>
      <w:r w:rsidRPr="00E9759B">
        <w:rPr>
          <w:szCs w:val="26"/>
        </w:rPr>
        <w:t>be granted status as an intervener in th</w:t>
      </w:r>
      <w:r w:rsidR="00AD5E56">
        <w:rPr>
          <w:szCs w:val="26"/>
        </w:rPr>
        <w:t>e</w:t>
      </w:r>
      <w:r w:rsidRPr="00E9759B">
        <w:rPr>
          <w:szCs w:val="26"/>
        </w:rPr>
        <w:t xml:space="preserve"> proceeding</w:t>
      </w:r>
      <w:r w:rsidR="00AD5E56">
        <w:rPr>
          <w:szCs w:val="26"/>
        </w:rPr>
        <w:t>s</w:t>
      </w:r>
      <w:r w:rsidRPr="00E9759B">
        <w:rPr>
          <w:szCs w:val="26"/>
        </w:rPr>
        <w:t>.</w:t>
      </w:r>
    </w:p>
    <w:p w14:paraId="2AD80EFF" w14:textId="77777777" w:rsidR="0014389B" w:rsidRPr="00E9759B" w:rsidRDefault="0014389B" w:rsidP="00CC0155">
      <w:pPr>
        <w:autoSpaceDE w:val="0"/>
        <w:autoSpaceDN w:val="0"/>
        <w:adjustRightInd w:val="0"/>
        <w:rPr>
          <w:szCs w:val="26"/>
        </w:rPr>
      </w:pPr>
    </w:p>
    <w:p w14:paraId="57B3A6E2" w14:textId="1D0C46CD" w:rsidR="00394CB8" w:rsidRDefault="00394CB8" w:rsidP="00CC0155">
      <w:pPr>
        <w:autoSpaceDE w:val="0"/>
        <w:autoSpaceDN w:val="0"/>
        <w:adjustRightInd w:val="0"/>
        <w:rPr>
          <w:color w:val="000000"/>
          <w:szCs w:val="26"/>
        </w:rPr>
      </w:pPr>
      <w:r w:rsidRPr="00394CB8">
        <w:rPr>
          <w:color w:val="000000"/>
          <w:szCs w:val="26"/>
        </w:rPr>
        <w:t xml:space="preserve">On December 13, 2016, the Office of Small Business Advocate (OSBA) filed its </w:t>
      </w:r>
      <w:r w:rsidR="00E760CB">
        <w:rPr>
          <w:color w:val="000000"/>
          <w:szCs w:val="26"/>
        </w:rPr>
        <w:t>N</w:t>
      </w:r>
      <w:r w:rsidRPr="00394CB8">
        <w:rPr>
          <w:color w:val="000000"/>
          <w:szCs w:val="26"/>
        </w:rPr>
        <w:t xml:space="preserve">otices of </w:t>
      </w:r>
      <w:r w:rsidR="00E760CB">
        <w:rPr>
          <w:color w:val="000000"/>
          <w:szCs w:val="26"/>
        </w:rPr>
        <w:t>I</w:t>
      </w:r>
      <w:r w:rsidRPr="00394CB8">
        <w:rPr>
          <w:color w:val="000000"/>
          <w:szCs w:val="26"/>
        </w:rPr>
        <w:t xml:space="preserve">ntervention and </w:t>
      </w:r>
      <w:r w:rsidR="00E760CB">
        <w:rPr>
          <w:color w:val="000000"/>
          <w:szCs w:val="26"/>
        </w:rPr>
        <w:t>P</w:t>
      </w:r>
      <w:r w:rsidRPr="00394CB8">
        <w:rPr>
          <w:color w:val="000000"/>
          <w:szCs w:val="26"/>
        </w:rPr>
        <w:t xml:space="preserve">ublic </w:t>
      </w:r>
      <w:r w:rsidR="00E760CB">
        <w:rPr>
          <w:color w:val="000000"/>
          <w:szCs w:val="26"/>
        </w:rPr>
        <w:t>S</w:t>
      </w:r>
      <w:r w:rsidRPr="00394CB8">
        <w:rPr>
          <w:color w:val="000000"/>
          <w:szCs w:val="26"/>
        </w:rPr>
        <w:t>tatements.</w:t>
      </w:r>
      <w:r w:rsidR="00E760CB">
        <w:rPr>
          <w:color w:val="000000"/>
          <w:szCs w:val="26"/>
        </w:rPr>
        <w:t xml:space="preserve">  </w:t>
      </w:r>
      <w:r w:rsidRPr="00394CB8">
        <w:rPr>
          <w:color w:val="000000"/>
          <w:szCs w:val="26"/>
        </w:rPr>
        <w:t xml:space="preserve">The </w:t>
      </w:r>
      <w:r w:rsidR="00E760CB">
        <w:rPr>
          <w:color w:val="000000"/>
          <w:szCs w:val="26"/>
        </w:rPr>
        <w:t>P</w:t>
      </w:r>
      <w:r w:rsidRPr="00394CB8">
        <w:rPr>
          <w:color w:val="000000"/>
          <w:szCs w:val="26"/>
        </w:rPr>
        <w:t xml:space="preserve">ublic </w:t>
      </w:r>
      <w:r w:rsidR="00E760CB">
        <w:rPr>
          <w:color w:val="000000"/>
          <w:szCs w:val="26"/>
        </w:rPr>
        <w:t>S</w:t>
      </w:r>
      <w:r w:rsidRPr="00394CB8">
        <w:rPr>
          <w:color w:val="000000"/>
          <w:szCs w:val="26"/>
        </w:rPr>
        <w:t>tatements allege</w:t>
      </w:r>
      <w:r w:rsidR="00E760CB">
        <w:rPr>
          <w:color w:val="000000"/>
          <w:szCs w:val="26"/>
        </w:rPr>
        <w:t>d</w:t>
      </w:r>
      <w:r w:rsidRPr="00394CB8">
        <w:rPr>
          <w:color w:val="000000"/>
          <w:szCs w:val="26"/>
        </w:rPr>
        <w:t xml:space="preserve"> that </w:t>
      </w:r>
      <w:r w:rsidR="00E760CB">
        <w:rPr>
          <w:color w:val="000000"/>
          <w:szCs w:val="26"/>
        </w:rPr>
        <w:t xml:space="preserve">the </w:t>
      </w:r>
      <w:r w:rsidRPr="00394CB8">
        <w:rPr>
          <w:color w:val="000000"/>
          <w:szCs w:val="26"/>
        </w:rPr>
        <w:t xml:space="preserve">OSBA was a signatory to the DSP IV settlement that resulted in the </w:t>
      </w:r>
      <w:r w:rsidRPr="00394CB8">
        <w:rPr>
          <w:i/>
          <w:color w:val="000000"/>
          <w:szCs w:val="26"/>
        </w:rPr>
        <w:t>Default Service Order.</w:t>
      </w:r>
      <w:r w:rsidR="00087E43">
        <w:rPr>
          <w:color w:val="000000"/>
          <w:szCs w:val="26"/>
        </w:rPr>
        <w:t xml:space="preserve">  </w:t>
      </w:r>
      <w:r w:rsidRPr="00394CB8">
        <w:rPr>
          <w:color w:val="000000"/>
          <w:szCs w:val="26"/>
        </w:rPr>
        <w:t xml:space="preserve">The </w:t>
      </w:r>
      <w:r w:rsidR="00087E43">
        <w:rPr>
          <w:color w:val="000000"/>
          <w:szCs w:val="26"/>
        </w:rPr>
        <w:t>P</w:t>
      </w:r>
      <w:r w:rsidRPr="00394CB8">
        <w:rPr>
          <w:color w:val="000000"/>
          <w:szCs w:val="26"/>
        </w:rPr>
        <w:t xml:space="preserve">ublic </w:t>
      </w:r>
      <w:r w:rsidR="00087E43">
        <w:rPr>
          <w:color w:val="000000"/>
          <w:szCs w:val="26"/>
        </w:rPr>
        <w:t>S</w:t>
      </w:r>
      <w:r w:rsidRPr="00394CB8">
        <w:rPr>
          <w:color w:val="000000"/>
          <w:szCs w:val="26"/>
        </w:rPr>
        <w:t xml:space="preserve">tatements </w:t>
      </w:r>
      <w:r w:rsidR="00305C70">
        <w:rPr>
          <w:color w:val="000000"/>
          <w:szCs w:val="26"/>
        </w:rPr>
        <w:t>als</w:t>
      </w:r>
      <w:r w:rsidR="00E71EA9">
        <w:rPr>
          <w:color w:val="000000"/>
          <w:szCs w:val="26"/>
        </w:rPr>
        <w:t xml:space="preserve">o indicated </w:t>
      </w:r>
      <w:r w:rsidR="00087E43">
        <w:rPr>
          <w:color w:val="000000"/>
          <w:szCs w:val="26"/>
        </w:rPr>
        <w:t xml:space="preserve">the </w:t>
      </w:r>
      <w:r w:rsidRPr="00394CB8">
        <w:rPr>
          <w:color w:val="000000"/>
          <w:szCs w:val="26"/>
        </w:rPr>
        <w:t>OSBA</w:t>
      </w:r>
      <w:r w:rsidR="00E00225">
        <w:rPr>
          <w:color w:val="000000"/>
          <w:szCs w:val="26"/>
        </w:rPr>
        <w:t>’</w:t>
      </w:r>
      <w:r w:rsidR="00FE1077">
        <w:rPr>
          <w:color w:val="000000"/>
          <w:szCs w:val="26"/>
        </w:rPr>
        <w:t xml:space="preserve">s interest </w:t>
      </w:r>
      <w:r w:rsidRPr="00394CB8">
        <w:rPr>
          <w:color w:val="000000"/>
          <w:szCs w:val="26"/>
        </w:rPr>
        <w:t xml:space="preserve">to intervene in the proceedings to ensure that the provisions in the DSP IV settlement are appropriately implemented, including the </w:t>
      </w:r>
      <w:proofErr w:type="spellStart"/>
      <w:r w:rsidRPr="00394CB8">
        <w:rPr>
          <w:color w:val="000000"/>
          <w:szCs w:val="26"/>
        </w:rPr>
        <w:t>clawback</w:t>
      </w:r>
      <w:proofErr w:type="spellEnd"/>
      <w:r w:rsidRPr="00394CB8">
        <w:rPr>
          <w:color w:val="000000"/>
          <w:szCs w:val="26"/>
        </w:rPr>
        <w:t xml:space="preserve"> provisions. </w:t>
      </w:r>
    </w:p>
    <w:p w14:paraId="22160365" w14:textId="77777777" w:rsidR="009D753A" w:rsidRDefault="009D753A" w:rsidP="00CC0155">
      <w:pPr>
        <w:autoSpaceDE w:val="0"/>
        <w:autoSpaceDN w:val="0"/>
        <w:adjustRightInd w:val="0"/>
        <w:rPr>
          <w:color w:val="000000"/>
          <w:szCs w:val="26"/>
        </w:rPr>
      </w:pPr>
    </w:p>
    <w:p w14:paraId="418D049F" w14:textId="04694E1C" w:rsidR="009D753A" w:rsidRDefault="009D753A" w:rsidP="00CC0155">
      <w:pPr>
        <w:autoSpaceDE w:val="0"/>
        <w:autoSpaceDN w:val="0"/>
        <w:adjustRightInd w:val="0"/>
        <w:rPr>
          <w:color w:val="000000"/>
          <w:szCs w:val="26"/>
        </w:rPr>
      </w:pPr>
      <w:r w:rsidRPr="009D753A">
        <w:rPr>
          <w:color w:val="000000"/>
          <w:szCs w:val="26"/>
        </w:rPr>
        <w:t>On December 14, 2016, the Commission</w:t>
      </w:r>
      <w:r w:rsidR="00E00225">
        <w:rPr>
          <w:color w:val="000000"/>
          <w:szCs w:val="26"/>
        </w:rPr>
        <w:t>’</w:t>
      </w:r>
      <w:r w:rsidRPr="009D753A">
        <w:rPr>
          <w:color w:val="000000"/>
          <w:szCs w:val="26"/>
        </w:rPr>
        <w:t xml:space="preserve">s Bureau of Investigation and Enforcement (I&amp;E) filed a </w:t>
      </w:r>
      <w:r>
        <w:rPr>
          <w:color w:val="000000"/>
          <w:szCs w:val="26"/>
        </w:rPr>
        <w:t>N</w:t>
      </w:r>
      <w:r w:rsidRPr="009D753A">
        <w:rPr>
          <w:color w:val="000000"/>
          <w:szCs w:val="26"/>
        </w:rPr>
        <w:t xml:space="preserve">otice of </w:t>
      </w:r>
      <w:r>
        <w:rPr>
          <w:color w:val="000000"/>
          <w:szCs w:val="26"/>
        </w:rPr>
        <w:t>A</w:t>
      </w:r>
      <w:r w:rsidRPr="009D753A">
        <w:rPr>
          <w:color w:val="000000"/>
          <w:szCs w:val="26"/>
        </w:rPr>
        <w:t xml:space="preserve">ppearance. </w:t>
      </w:r>
    </w:p>
    <w:p w14:paraId="59F713D0" w14:textId="77777777" w:rsidR="009D753A" w:rsidRDefault="009D753A" w:rsidP="00CC0155">
      <w:pPr>
        <w:autoSpaceDE w:val="0"/>
        <w:autoSpaceDN w:val="0"/>
        <w:adjustRightInd w:val="0"/>
        <w:rPr>
          <w:color w:val="000000"/>
          <w:szCs w:val="26"/>
        </w:rPr>
      </w:pPr>
    </w:p>
    <w:p w14:paraId="76BFFA69" w14:textId="31C7E7A5" w:rsidR="009D753A" w:rsidRDefault="009D753A" w:rsidP="00CC0155">
      <w:pPr>
        <w:autoSpaceDE w:val="0"/>
        <w:autoSpaceDN w:val="0"/>
        <w:adjustRightInd w:val="0"/>
        <w:rPr>
          <w:szCs w:val="26"/>
        </w:rPr>
      </w:pPr>
      <w:r w:rsidRPr="009D753A">
        <w:rPr>
          <w:szCs w:val="26"/>
        </w:rPr>
        <w:t>On December 28, 2016, Respond filed Replies to the New Matter of</w:t>
      </w:r>
      <w:r w:rsidR="00E8631D">
        <w:rPr>
          <w:szCs w:val="26"/>
        </w:rPr>
        <w:t xml:space="preserve"> the Companies</w:t>
      </w:r>
      <w:r w:rsidR="00876BD0">
        <w:rPr>
          <w:szCs w:val="26"/>
        </w:rPr>
        <w:t xml:space="preserve"> in which it </w:t>
      </w:r>
      <w:r w:rsidRPr="009D753A">
        <w:rPr>
          <w:szCs w:val="26"/>
        </w:rPr>
        <w:t xml:space="preserve">asserted that </w:t>
      </w:r>
      <w:r w:rsidR="00FA500A">
        <w:rPr>
          <w:szCs w:val="26"/>
        </w:rPr>
        <w:t>the 2016</w:t>
      </w:r>
      <w:r w:rsidRPr="009D753A">
        <w:rPr>
          <w:szCs w:val="26"/>
        </w:rPr>
        <w:t xml:space="preserve"> Complaints did not constitute a collateral attack on the </w:t>
      </w:r>
      <w:r w:rsidRPr="009D753A">
        <w:rPr>
          <w:i/>
          <w:szCs w:val="26"/>
        </w:rPr>
        <w:t>Default Service Order</w:t>
      </w:r>
      <w:r w:rsidR="003F715D">
        <w:rPr>
          <w:i/>
          <w:szCs w:val="26"/>
        </w:rPr>
        <w:t>.</w:t>
      </w:r>
      <w:r w:rsidR="003F715D">
        <w:rPr>
          <w:iCs/>
          <w:szCs w:val="26"/>
        </w:rPr>
        <w:t xml:space="preserve">  Rather, Respond asserted that </w:t>
      </w:r>
      <w:r w:rsidRPr="009D753A">
        <w:rPr>
          <w:szCs w:val="26"/>
        </w:rPr>
        <w:t xml:space="preserve">because the </w:t>
      </w:r>
      <w:proofErr w:type="spellStart"/>
      <w:r w:rsidRPr="009D753A">
        <w:rPr>
          <w:szCs w:val="26"/>
        </w:rPr>
        <w:t>clawback</w:t>
      </w:r>
      <w:proofErr w:type="spellEnd"/>
      <w:r w:rsidRPr="009D753A">
        <w:rPr>
          <w:szCs w:val="26"/>
        </w:rPr>
        <w:t xml:space="preserve"> charges are contained in the Companies tariff, they constitute rates that are subject to</w:t>
      </w:r>
      <w:r w:rsidR="00E8631D">
        <w:rPr>
          <w:szCs w:val="26"/>
        </w:rPr>
        <w:t xml:space="preserve"> Section 1301 of the Code,</w:t>
      </w:r>
      <w:r w:rsidRPr="009D753A">
        <w:rPr>
          <w:szCs w:val="26"/>
        </w:rPr>
        <w:t xml:space="preserve"> 66 Pa. C.S. § 1301</w:t>
      </w:r>
      <w:r w:rsidR="00E8631D">
        <w:rPr>
          <w:szCs w:val="26"/>
        </w:rPr>
        <w:t>,</w:t>
      </w:r>
      <w:r w:rsidRPr="009D753A">
        <w:rPr>
          <w:szCs w:val="26"/>
        </w:rPr>
        <w:t xml:space="preserve"> and</w:t>
      </w:r>
      <w:r w:rsidR="003F715D">
        <w:rPr>
          <w:szCs w:val="26"/>
        </w:rPr>
        <w:t>, as such, they</w:t>
      </w:r>
      <w:r w:rsidRPr="009D753A">
        <w:rPr>
          <w:szCs w:val="26"/>
        </w:rPr>
        <w:t xml:space="preserve"> must be just and reasonable.  Respond </w:t>
      </w:r>
      <w:r w:rsidR="003F715D">
        <w:rPr>
          <w:szCs w:val="26"/>
        </w:rPr>
        <w:t xml:space="preserve">opined </w:t>
      </w:r>
      <w:r w:rsidRPr="009D753A">
        <w:rPr>
          <w:szCs w:val="26"/>
        </w:rPr>
        <w:t xml:space="preserve">that the </w:t>
      </w:r>
      <w:proofErr w:type="spellStart"/>
      <w:r w:rsidRPr="009D753A">
        <w:rPr>
          <w:szCs w:val="26"/>
        </w:rPr>
        <w:t>clawback</w:t>
      </w:r>
      <w:proofErr w:type="spellEnd"/>
      <w:r w:rsidRPr="009D753A">
        <w:rPr>
          <w:szCs w:val="26"/>
        </w:rPr>
        <w:t xml:space="preserve"> charges are not just and reasonable</w:t>
      </w:r>
      <w:r w:rsidR="00D16A71">
        <w:rPr>
          <w:szCs w:val="26"/>
        </w:rPr>
        <w:t xml:space="preserve"> and </w:t>
      </w:r>
      <w:r w:rsidRPr="009D753A">
        <w:rPr>
          <w:szCs w:val="26"/>
        </w:rPr>
        <w:t>request</w:t>
      </w:r>
      <w:r w:rsidR="00A4164C">
        <w:rPr>
          <w:szCs w:val="26"/>
        </w:rPr>
        <w:t>ed</w:t>
      </w:r>
      <w:r w:rsidRPr="009D753A">
        <w:rPr>
          <w:szCs w:val="26"/>
        </w:rPr>
        <w:t xml:space="preserve"> that the Commission dismiss the </w:t>
      </w:r>
      <w:r w:rsidR="00A4164C">
        <w:rPr>
          <w:szCs w:val="26"/>
        </w:rPr>
        <w:t>Companies</w:t>
      </w:r>
      <w:r w:rsidR="00E00225">
        <w:rPr>
          <w:szCs w:val="26"/>
        </w:rPr>
        <w:t>’</w:t>
      </w:r>
      <w:r w:rsidR="00A4164C">
        <w:rPr>
          <w:szCs w:val="26"/>
        </w:rPr>
        <w:t xml:space="preserve"> </w:t>
      </w:r>
      <w:r w:rsidRPr="009D753A">
        <w:rPr>
          <w:szCs w:val="26"/>
        </w:rPr>
        <w:t>New Matter and sustain</w:t>
      </w:r>
      <w:r w:rsidR="00A4164C">
        <w:rPr>
          <w:szCs w:val="26"/>
        </w:rPr>
        <w:t xml:space="preserve"> the 2016 </w:t>
      </w:r>
      <w:r w:rsidRPr="009D753A">
        <w:rPr>
          <w:szCs w:val="26"/>
        </w:rPr>
        <w:t>Complaints.</w:t>
      </w:r>
    </w:p>
    <w:p w14:paraId="3DF684E8" w14:textId="77777777" w:rsidR="00E57ABA" w:rsidRDefault="00E57ABA" w:rsidP="00CC0155">
      <w:pPr>
        <w:autoSpaceDE w:val="0"/>
        <w:autoSpaceDN w:val="0"/>
        <w:adjustRightInd w:val="0"/>
        <w:rPr>
          <w:szCs w:val="26"/>
        </w:rPr>
      </w:pPr>
    </w:p>
    <w:p w14:paraId="35558E60" w14:textId="2B069E1A" w:rsidR="00E57ABA" w:rsidRDefault="00E57ABA" w:rsidP="00CC0155">
      <w:pPr>
        <w:autoSpaceDE w:val="0"/>
        <w:autoSpaceDN w:val="0"/>
        <w:adjustRightInd w:val="0"/>
        <w:rPr>
          <w:szCs w:val="26"/>
        </w:rPr>
      </w:pPr>
      <w:r w:rsidRPr="00E57ABA">
        <w:rPr>
          <w:color w:val="000000"/>
          <w:szCs w:val="26"/>
        </w:rPr>
        <w:t xml:space="preserve">Also, on December 28, 2016, Respond filed </w:t>
      </w:r>
      <w:r>
        <w:rPr>
          <w:color w:val="000000"/>
          <w:szCs w:val="26"/>
        </w:rPr>
        <w:t>A</w:t>
      </w:r>
      <w:r w:rsidRPr="00E57ABA">
        <w:rPr>
          <w:color w:val="000000"/>
          <w:szCs w:val="26"/>
        </w:rPr>
        <w:t>nswers to</w:t>
      </w:r>
      <w:r>
        <w:rPr>
          <w:color w:val="000000"/>
          <w:szCs w:val="26"/>
        </w:rPr>
        <w:t xml:space="preserve"> the Companies</w:t>
      </w:r>
      <w:r w:rsidR="00E00225">
        <w:rPr>
          <w:color w:val="000000"/>
          <w:szCs w:val="26"/>
        </w:rPr>
        <w:t>’</w:t>
      </w:r>
      <w:r>
        <w:rPr>
          <w:color w:val="000000"/>
          <w:szCs w:val="26"/>
        </w:rPr>
        <w:t xml:space="preserve"> M</w:t>
      </w:r>
      <w:r w:rsidRPr="00E57ABA">
        <w:rPr>
          <w:color w:val="000000"/>
          <w:szCs w:val="26"/>
        </w:rPr>
        <w:t xml:space="preserve">otions for </w:t>
      </w:r>
      <w:r>
        <w:rPr>
          <w:color w:val="000000"/>
          <w:szCs w:val="26"/>
        </w:rPr>
        <w:t>J</w:t>
      </w:r>
      <w:r w:rsidRPr="00E57ABA">
        <w:rPr>
          <w:color w:val="000000"/>
          <w:szCs w:val="26"/>
        </w:rPr>
        <w:t>udgment</w:t>
      </w:r>
      <w:r w:rsidR="003F715D">
        <w:rPr>
          <w:color w:val="000000"/>
          <w:szCs w:val="26"/>
        </w:rPr>
        <w:t xml:space="preserve"> in which it re</w:t>
      </w:r>
      <w:r w:rsidRPr="00E57ABA">
        <w:rPr>
          <w:color w:val="000000"/>
          <w:szCs w:val="26"/>
        </w:rPr>
        <w:t xml:space="preserve">asserted that the </w:t>
      </w:r>
      <w:proofErr w:type="spellStart"/>
      <w:r w:rsidRPr="00E57ABA">
        <w:rPr>
          <w:color w:val="000000"/>
          <w:szCs w:val="26"/>
        </w:rPr>
        <w:t>clawback</w:t>
      </w:r>
      <w:proofErr w:type="spellEnd"/>
      <w:r w:rsidRPr="00E57ABA">
        <w:rPr>
          <w:color w:val="000000"/>
          <w:szCs w:val="26"/>
        </w:rPr>
        <w:t xml:space="preserve"> charges are rates and must be just and reasonable.</w:t>
      </w:r>
      <w:r w:rsidR="00675C8F">
        <w:rPr>
          <w:color w:val="000000"/>
          <w:szCs w:val="26"/>
        </w:rPr>
        <w:t xml:space="preserve">  </w:t>
      </w:r>
      <w:r w:rsidR="00FD26AE">
        <w:rPr>
          <w:color w:val="000000"/>
          <w:szCs w:val="26"/>
        </w:rPr>
        <w:t xml:space="preserve">Accordingly, Respond </w:t>
      </w:r>
      <w:r w:rsidRPr="00E57ABA">
        <w:rPr>
          <w:color w:val="000000"/>
          <w:szCs w:val="26"/>
        </w:rPr>
        <w:t>denied that</w:t>
      </w:r>
      <w:r w:rsidR="00675C8F">
        <w:rPr>
          <w:color w:val="000000"/>
          <w:szCs w:val="26"/>
        </w:rPr>
        <w:t xml:space="preserve"> the </w:t>
      </w:r>
      <w:r w:rsidR="00E2144B">
        <w:rPr>
          <w:color w:val="000000"/>
          <w:szCs w:val="26"/>
        </w:rPr>
        <w:t xml:space="preserve">2016 </w:t>
      </w:r>
      <w:r w:rsidR="00675C8F">
        <w:rPr>
          <w:color w:val="000000"/>
          <w:szCs w:val="26"/>
        </w:rPr>
        <w:t>C</w:t>
      </w:r>
      <w:r w:rsidRPr="00E57ABA">
        <w:rPr>
          <w:color w:val="000000"/>
          <w:szCs w:val="26"/>
        </w:rPr>
        <w:t xml:space="preserve">omplaints are collateral attacks on the </w:t>
      </w:r>
      <w:r w:rsidRPr="00E57ABA">
        <w:rPr>
          <w:i/>
          <w:color w:val="000000"/>
          <w:szCs w:val="26"/>
        </w:rPr>
        <w:t>Default Service Order.</w:t>
      </w:r>
      <w:r w:rsidR="00675C8F">
        <w:rPr>
          <w:color w:val="000000"/>
          <w:szCs w:val="26"/>
        </w:rPr>
        <w:t xml:space="preserve">  </w:t>
      </w:r>
      <w:r w:rsidR="00FD26AE">
        <w:rPr>
          <w:color w:val="000000"/>
          <w:szCs w:val="26"/>
        </w:rPr>
        <w:t xml:space="preserve">Respond </w:t>
      </w:r>
      <w:r w:rsidRPr="00E57ABA">
        <w:rPr>
          <w:color w:val="000000"/>
          <w:szCs w:val="26"/>
        </w:rPr>
        <w:t xml:space="preserve">also argued that </w:t>
      </w:r>
      <w:r w:rsidR="00675C8F">
        <w:rPr>
          <w:color w:val="000000"/>
          <w:szCs w:val="26"/>
        </w:rPr>
        <w:t>the Companies</w:t>
      </w:r>
      <w:r w:rsidRPr="00E57ABA">
        <w:rPr>
          <w:color w:val="000000"/>
          <w:szCs w:val="26"/>
        </w:rPr>
        <w:t xml:space="preserve"> failed to provide adequate noti</w:t>
      </w:r>
      <w:r w:rsidR="00E2144B">
        <w:rPr>
          <w:color w:val="000000"/>
          <w:szCs w:val="26"/>
        </w:rPr>
        <w:t>fication</w:t>
      </w:r>
      <w:r w:rsidRPr="00E57ABA">
        <w:rPr>
          <w:color w:val="000000"/>
          <w:szCs w:val="26"/>
        </w:rPr>
        <w:t xml:space="preserve"> to Respond that they included </w:t>
      </w:r>
      <w:r w:rsidR="00EF5667">
        <w:rPr>
          <w:color w:val="000000"/>
          <w:szCs w:val="26"/>
        </w:rPr>
        <w:t>a</w:t>
      </w:r>
      <w:r w:rsidRPr="00E57ABA">
        <w:rPr>
          <w:color w:val="000000"/>
          <w:szCs w:val="26"/>
        </w:rPr>
        <w:t xml:space="preserve"> proposed </w:t>
      </w:r>
      <w:proofErr w:type="spellStart"/>
      <w:r w:rsidRPr="00E57ABA">
        <w:rPr>
          <w:color w:val="000000"/>
          <w:szCs w:val="26"/>
        </w:rPr>
        <w:t>clawback</w:t>
      </w:r>
      <w:proofErr w:type="spellEnd"/>
      <w:r w:rsidRPr="00E57ABA">
        <w:rPr>
          <w:color w:val="000000"/>
          <w:szCs w:val="26"/>
        </w:rPr>
        <w:t xml:space="preserve"> provision in the DSP IV</w:t>
      </w:r>
      <w:r w:rsidR="00675C8F">
        <w:rPr>
          <w:color w:val="000000"/>
          <w:szCs w:val="26"/>
        </w:rPr>
        <w:t xml:space="preserve"> </w:t>
      </w:r>
      <w:r w:rsidR="00D631F4">
        <w:rPr>
          <w:color w:val="000000"/>
          <w:szCs w:val="26"/>
        </w:rPr>
        <w:t xml:space="preserve">Joint </w:t>
      </w:r>
      <w:r w:rsidR="00675C8F">
        <w:rPr>
          <w:color w:val="000000"/>
          <w:szCs w:val="26"/>
        </w:rPr>
        <w:t>Petition</w:t>
      </w:r>
      <w:r w:rsidRPr="00E57ABA">
        <w:rPr>
          <w:color w:val="000000"/>
          <w:szCs w:val="26"/>
        </w:rPr>
        <w:t>.</w:t>
      </w:r>
      <w:r w:rsidR="00675C8F">
        <w:rPr>
          <w:color w:val="000000"/>
          <w:szCs w:val="26"/>
        </w:rPr>
        <w:t xml:space="preserve">  </w:t>
      </w:r>
      <w:r w:rsidRPr="00E57ABA">
        <w:rPr>
          <w:color w:val="000000"/>
          <w:szCs w:val="26"/>
        </w:rPr>
        <w:t xml:space="preserve">Respond argued that it </w:t>
      </w:r>
      <w:r w:rsidR="00D16A71">
        <w:rPr>
          <w:color w:val="000000"/>
          <w:szCs w:val="26"/>
        </w:rPr>
        <w:t xml:space="preserve">is </w:t>
      </w:r>
      <w:r w:rsidR="00EA7055">
        <w:rPr>
          <w:color w:val="000000"/>
          <w:szCs w:val="26"/>
        </w:rPr>
        <w:t xml:space="preserve">permitted </w:t>
      </w:r>
      <w:r w:rsidR="00D16A71">
        <w:rPr>
          <w:color w:val="000000"/>
          <w:szCs w:val="26"/>
        </w:rPr>
        <w:t>to</w:t>
      </w:r>
      <w:r w:rsidRPr="00E57ABA">
        <w:rPr>
          <w:color w:val="000000"/>
          <w:szCs w:val="26"/>
        </w:rPr>
        <w:t xml:space="preserve"> </w:t>
      </w:r>
      <w:r w:rsidRPr="00E57ABA">
        <w:rPr>
          <w:szCs w:val="26"/>
        </w:rPr>
        <w:lastRenderedPageBreak/>
        <w:t>file a complaint against an existing tariff at any time.</w:t>
      </w:r>
      <w:r w:rsidR="00675C8F">
        <w:rPr>
          <w:szCs w:val="26"/>
        </w:rPr>
        <w:t xml:space="preserve">  </w:t>
      </w:r>
      <w:r w:rsidR="00EA7055">
        <w:rPr>
          <w:szCs w:val="26"/>
        </w:rPr>
        <w:t>Based on all of the above, Respond</w:t>
      </w:r>
      <w:r w:rsidR="00EF69D1">
        <w:rPr>
          <w:szCs w:val="26"/>
        </w:rPr>
        <w:t xml:space="preserve"> </w:t>
      </w:r>
      <w:r w:rsidRPr="00E57ABA">
        <w:rPr>
          <w:szCs w:val="26"/>
        </w:rPr>
        <w:t xml:space="preserve">requested </w:t>
      </w:r>
      <w:r w:rsidR="00EF69D1">
        <w:rPr>
          <w:szCs w:val="26"/>
        </w:rPr>
        <w:t xml:space="preserve">in its Answer </w:t>
      </w:r>
      <w:r w:rsidRPr="00E57ABA">
        <w:rPr>
          <w:szCs w:val="26"/>
        </w:rPr>
        <w:t xml:space="preserve">that the Commission deny </w:t>
      </w:r>
      <w:r w:rsidR="00642F72">
        <w:rPr>
          <w:szCs w:val="26"/>
        </w:rPr>
        <w:t xml:space="preserve">the </w:t>
      </w:r>
      <w:r w:rsidR="00642F72" w:rsidRPr="00E57ABA">
        <w:rPr>
          <w:szCs w:val="26"/>
        </w:rPr>
        <w:t>Motions</w:t>
      </w:r>
      <w:r w:rsidRPr="00E57ABA">
        <w:rPr>
          <w:szCs w:val="26"/>
        </w:rPr>
        <w:t xml:space="preserve"> for </w:t>
      </w:r>
      <w:r w:rsidR="00675C8F">
        <w:rPr>
          <w:szCs w:val="26"/>
        </w:rPr>
        <w:t>J</w:t>
      </w:r>
      <w:r w:rsidRPr="00E57ABA">
        <w:rPr>
          <w:szCs w:val="26"/>
        </w:rPr>
        <w:t>udgment.</w:t>
      </w:r>
    </w:p>
    <w:p w14:paraId="2E43C767" w14:textId="77777777" w:rsidR="00FA1C1B" w:rsidRDefault="00FA1C1B" w:rsidP="00CC0155">
      <w:pPr>
        <w:autoSpaceDE w:val="0"/>
        <w:autoSpaceDN w:val="0"/>
        <w:adjustRightInd w:val="0"/>
        <w:rPr>
          <w:szCs w:val="26"/>
        </w:rPr>
      </w:pPr>
    </w:p>
    <w:p w14:paraId="79457BAD" w14:textId="79341521" w:rsidR="00FA1C1B" w:rsidRDefault="00FA1C1B" w:rsidP="00CC0155">
      <w:pPr>
        <w:autoSpaceDE w:val="0"/>
        <w:autoSpaceDN w:val="0"/>
        <w:adjustRightInd w:val="0"/>
        <w:rPr>
          <w:szCs w:val="26"/>
        </w:rPr>
      </w:pPr>
      <w:r>
        <w:rPr>
          <w:szCs w:val="26"/>
        </w:rPr>
        <w:t xml:space="preserve">On January 23, 2017, the </w:t>
      </w:r>
      <w:r w:rsidR="00CE2F15">
        <w:rPr>
          <w:szCs w:val="26"/>
        </w:rPr>
        <w:t>ALJ</w:t>
      </w:r>
      <w:r>
        <w:rPr>
          <w:szCs w:val="26"/>
        </w:rPr>
        <w:t xml:space="preserve"> issued an Order granting, in part, the Motions for Judgment </w:t>
      </w:r>
      <w:r w:rsidRPr="00FA1C1B">
        <w:rPr>
          <w:i/>
          <w:szCs w:val="26"/>
        </w:rPr>
        <w:t>(January 2017 Order)</w:t>
      </w:r>
      <w:r>
        <w:rPr>
          <w:szCs w:val="26"/>
        </w:rPr>
        <w:t xml:space="preserve">.  </w:t>
      </w:r>
      <w:r w:rsidR="00BE3D77">
        <w:rPr>
          <w:szCs w:val="26"/>
        </w:rPr>
        <w:t>T</w:t>
      </w:r>
      <w:r w:rsidR="002C3D23">
        <w:rPr>
          <w:szCs w:val="26"/>
        </w:rPr>
        <w:t xml:space="preserve">he </w:t>
      </w:r>
      <w:r w:rsidR="002C3D23" w:rsidRPr="00FA1C1B">
        <w:rPr>
          <w:i/>
          <w:szCs w:val="26"/>
        </w:rPr>
        <w:t>January 2017 Order</w:t>
      </w:r>
      <w:r w:rsidR="002C3D23">
        <w:rPr>
          <w:szCs w:val="26"/>
        </w:rPr>
        <w:t xml:space="preserve"> granted </w:t>
      </w:r>
      <w:r w:rsidR="00BE3D77">
        <w:rPr>
          <w:szCs w:val="26"/>
        </w:rPr>
        <w:t xml:space="preserve">the Motions for Judgment </w:t>
      </w:r>
      <w:r w:rsidR="00C47CE7">
        <w:rPr>
          <w:szCs w:val="26"/>
        </w:rPr>
        <w:t xml:space="preserve">by </w:t>
      </w:r>
      <w:r w:rsidR="00BE3D77">
        <w:rPr>
          <w:szCs w:val="26"/>
        </w:rPr>
        <w:t xml:space="preserve">denying Respond the opportunity to present evidence that </w:t>
      </w:r>
      <w:r w:rsidR="004B461E">
        <w:rPr>
          <w:szCs w:val="26"/>
        </w:rPr>
        <w:t xml:space="preserve">the application of the </w:t>
      </w:r>
      <w:proofErr w:type="spellStart"/>
      <w:r w:rsidR="004B461E">
        <w:rPr>
          <w:szCs w:val="26"/>
        </w:rPr>
        <w:t>clawback</w:t>
      </w:r>
      <w:proofErr w:type="spellEnd"/>
      <w:r w:rsidR="004B461E">
        <w:rPr>
          <w:szCs w:val="26"/>
        </w:rPr>
        <w:t xml:space="preserve"> tariff provision is unreasonable</w:t>
      </w:r>
      <w:r w:rsidR="00A07BBC">
        <w:rPr>
          <w:szCs w:val="26"/>
        </w:rPr>
        <w:t>.  It did, however,</w:t>
      </w:r>
      <w:r w:rsidR="004B461E">
        <w:rPr>
          <w:szCs w:val="26"/>
        </w:rPr>
        <w:t xml:space="preserve"> allow a hearing </w:t>
      </w:r>
      <w:r w:rsidR="00C47CE7">
        <w:rPr>
          <w:szCs w:val="26"/>
        </w:rPr>
        <w:t xml:space="preserve">for the Companies </w:t>
      </w:r>
      <w:r w:rsidR="004B461E">
        <w:rPr>
          <w:szCs w:val="26"/>
        </w:rPr>
        <w:t>to verify the accuracy of the amounts assessed in the 2016 Complaints.</w:t>
      </w:r>
    </w:p>
    <w:p w14:paraId="125C0C0C" w14:textId="77777777" w:rsidR="00B95259" w:rsidRPr="002C3D23" w:rsidRDefault="00B95259" w:rsidP="00CC0155">
      <w:pPr>
        <w:autoSpaceDE w:val="0"/>
        <w:autoSpaceDN w:val="0"/>
        <w:adjustRightInd w:val="0"/>
        <w:rPr>
          <w:szCs w:val="26"/>
        </w:rPr>
      </w:pPr>
    </w:p>
    <w:p w14:paraId="08F102B6" w14:textId="4870E7A6" w:rsidR="006B202E" w:rsidRPr="00E57ABA" w:rsidRDefault="006B202E" w:rsidP="00CC0155">
      <w:pPr>
        <w:autoSpaceDE w:val="0"/>
        <w:autoSpaceDN w:val="0"/>
        <w:adjustRightInd w:val="0"/>
        <w:rPr>
          <w:szCs w:val="26"/>
        </w:rPr>
      </w:pPr>
      <w:r w:rsidRPr="006B202E">
        <w:rPr>
          <w:szCs w:val="26"/>
        </w:rPr>
        <w:t>On January 26, 2017</w:t>
      </w:r>
      <w:r>
        <w:rPr>
          <w:szCs w:val="26"/>
        </w:rPr>
        <w:t>,</w:t>
      </w:r>
      <w:r w:rsidRPr="006B202E">
        <w:rPr>
          <w:szCs w:val="26"/>
        </w:rPr>
        <w:t xml:space="preserve"> Respond filed a Petition for Interlocutory Review (PIR).  The PIR requested that the Commission review the </w:t>
      </w:r>
      <w:r w:rsidRPr="00BE3D77">
        <w:rPr>
          <w:i/>
          <w:szCs w:val="26"/>
        </w:rPr>
        <w:t>Ja</w:t>
      </w:r>
      <w:r w:rsidR="00BE3D77" w:rsidRPr="00BE3D77">
        <w:rPr>
          <w:i/>
          <w:szCs w:val="26"/>
        </w:rPr>
        <w:t>nuary</w:t>
      </w:r>
      <w:r w:rsidRPr="00BE3D77">
        <w:rPr>
          <w:i/>
          <w:szCs w:val="26"/>
        </w:rPr>
        <w:t xml:space="preserve"> 2017 </w:t>
      </w:r>
      <w:r w:rsidR="00A41763" w:rsidRPr="00BE3D77">
        <w:rPr>
          <w:i/>
          <w:szCs w:val="26"/>
        </w:rPr>
        <w:t>O</w:t>
      </w:r>
      <w:r w:rsidRPr="00BE3D77">
        <w:rPr>
          <w:i/>
          <w:szCs w:val="26"/>
        </w:rPr>
        <w:t>rder</w:t>
      </w:r>
      <w:r w:rsidRPr="006B202E">
        <w:rPr>
          <w:szCs w:val="26"/>
        </w:rPr>
        <w:t xml:space="preserve"> and allow </w:t>
      </w:r>
      <w:r w:rsidR="00117E17">
        <w:rPr>
          <w:szCs w:val="26"/>
        </w:rPr>
        <w:t>Respond</w:t>
      </w:r>
      <w:r w:rsidRPr="006B202E">
        <w:rPr>
          <w:szCs w:val="26"/>
        </w:rPr>
        <w:t xml:space="preserve"> to challenge the reasonableness and application of the </w:t>
      </w:r>
      <w:r w:rsidR="00117E17">
        <w:rPr>
          <w:szCs w:val="26"/>
        </w:rPr>
        <w:t>Companies</w:t>
      </w:r>
      <w:r w:rsidR="00E00225">
        <w:rPr>
          <w:szCs w:val="26"/>
        </w:rPr>
        <w:t>’</w:t>
      </w:r>
      <w:r w:rsidR="00117E17">
        <w:rPr>
          <w:szCs w:val="26"/>
        </w:rPr>
        <w:t xml:space="preserve"> </w:t>
      </w:r>
      <w:proofErr w:type="spellStart"/>
      <w:r w:rsidRPr="006B202E">
        <w:rPr>
          <w:szCs w:val="26"/>
        </w:rPr>
        <w:t>clawback</w:t>
      </w:r>
      <w:proofErr w:type="spellEnd"/>
      <w:r w:rsidRPr="006B202E">
        <w:rPr>
          <w:szCs w:val="26"/>
        </w:rPr>
        <w:t xml:space="preserve"> tariff provisions.</w:t>
      </w:r>
    </w:p>
    <w:p w14:paraId="2101AE33" w14:textId="77777777" w:rsidR="00394CB8" w:rsidRDefault="00394CB8" w:rsidP="00CC0155">
      <w:pPr>
        <w:rPr>
          <w:szCs w:val="26"/>
        </w:rPr>
      </w:pPr>
    </w:p>
    <w:p w14:paraId="5884A933" w14:textId="60BB667F" w:rsidR="006B202E" w:rsidRDefault="006B202E" w:rsidP="00CC0155">
      <w:pPr>
        <w:rPr>
          <w:szCs w:val="26"/>
        </w:rPr>
      </w:pPr>
      <w:r w:rsidRPr="00F544D7">
        <w:rPr>
          <w:szCs w:val="26"/>
        </w:rPr>
        <w:t xml:space="preserve">On February 6, 2017, Respond filed </w:t>
      </w:r>
      <w:r w:rsidR="008F79AA">
        <w:rPr>
          <w:szCs w:val="26"/>
        </w:rPr>
        <w:t>B</w:t>
      </w:r>
      <w:r w:rsidRPr="00F544D7">
        <w:rPr>
          <w:szCs w:val="26"/>
        </w:rPr>
        <w:t>rief</w:t>
      </w:r>
      <w:r w:rsidR="00684B30">
        <w:rPr>
          <w:szCs w:val="26"/>
        </w:rPr>
        <w:t>s</w:t>
      </w:r>
      <w:r w:rsidRPr="00F544D7">
        <w:rPr>
          <w:szCs w:val="26"/>
        </w:rPr>
        <w:t xml:space="preserve"> in support</w:t>
      </w:r>
      <w:r w:rsidR="008F79AA">
        <w:rPr>
          <w:szCs w:val="26"/>
        </w:rPr>
        <w:t xml:space="preserve"> of the PIR</w:t>
      </w:r>
      <w:r w:rsidR="00684B30">
        <w:rPr>
          <w:szCs w:val="26"/>
        </w:rPr>
        <w:t xml:space="preserve"> in which it argued that c</w:t>
      </w:r>
      <w:r w:rsidRPr="00F544D7">
        <w:rPr>
          <w:szCs w:val="26"/>
        </w:rPr>
        <w:t xml:space="preserve">omplaints against a tariff may be filed at any time and that it should not be precluded by </w:t>
      </w:r>
      <w:r w:rsidR="008F79AA">
        <w:rPr>
          <w:szCs w:val="26"/>
        </w:rPr>
        <w:t xml:space="preserve">the </w:t>
      </w:r>
      <w:r w:rsidR="008F79AA" w:rsidRPr="00BE3D77">
        <w:rPr>
          <w:i/>
          <w:szCs w:val="26"/>
        </w:rPr>
        <w:t>January 2017 Order</w:t>
      </w:r>
      <w:r w:rsidRPr="00F544D7">
        <w:rPr>
          <w:szCs w:val="26"/>
        </w:rPr>
        <w:t xml:space="preserve"> from pursuing its complaints against</w:t>
      </w:r>
      <w:r w:rsidR="008F79AA">
        <w:rPr>
          <w:szCs w:val="26"/>
        </w:rPr>
        <w:t xml:space="preserve"> the Companies</w:t>
      </w:r>
      <w:r w:rsidR="00E00225">
        <w:rPr>
          <w:szCs w:val="26"/>
        </w:rPr>
        <w:t>’</w:t>
      </w:r>
      <w:r w:rsidRPr="00F544D7">
        <w:rPr>
          <w:szCs w:val="26"/>
        </w:rPr>
        <w:t xml:space="preserve"> </w:t>
      </w:r>
      <w:proofErr w:type="spellStart"/>
      <w:r w:rsidRPr="00F544D7">
        <w:rPr>
          <w:szCs w:val="26"/>
        </w:rPr>
        <w:t>clawback</w:t>
      </w:r>
      <w:proofErr w:type="spellEnd"/>
      <w:r w:rsidRPr="00F544D7">
        <w:rPr>
          <w:szCs w:val="26"/>
        </w:rPr>
        <w:t xml:space="preserve"> tariff provisions.</w:t>
      </w:r>
      <w:r w:rsidR="008F79AA">
        <w:rPr>
          <w:szCs w:val="26"/>
        </w:rPr>
        <w:t xml:space="preserve">  </w:t>
      </w:r>
      <w:r w:rsidRPr="00F544D7">
        <w:rPr>
          <w:szCs w:val="26"/>
        </w:rPr>
        <w:t>In addition,</w:t>
      </w:r>
      <w:r w:rsidR="00684979">
        <w:rPr>
          <w:szCs w:val="26"/>
        </w:rPr>
        <w:t xml:space="preserve"> Respond </w:t>
      </w:r>
      <w:r w:rsidRPr="00F544D7">
        <w:rPr>
          <w:szCs w:val="26"/>
        </w:rPr>
        <w:t xml:space="preserve">contended that a tariff provision must be just and reasonable and that Respond should be able to challenge the reasonableness of the </w:t>
      </w:r>
      <w:proofErr w:type="spellStart"/>
      <w:r w:rsidRPr="00F544D7">
        <w:rPr>
          <w:szCs w:val="26"/>
        </w:rPr>
        <w:t>clawback</w:t>
      </w:r>
      <w:proofErr w:type="spellEnd"/>
      <w:r w:rsidRPr="00F544D7">
        <w:rPr>
          <w:szCs w:val="26"/>
        </w:rPr>
        <w:t xml:space="preserve"> tariff provisions.</w:t>
      </w:r>
    </w:p>
    <w:p w14:paraId="745BFF16" w14:textId="77777777" w:rsidR="006D2969" w:rsidRPr="00F544D7" w:rsidRDefault="006D2969" w:rsidP="00CC0155">
      <w:pPr>
        <w:rPr>
          <w:szCs w:val="26"/>
        </w:rPr>
      </w:pPr>
    </w:p>
    <w:p w14:paraId="0855EEF9" w14:textId="1B8C59BE" w:rsidR="006B202E" w:rsidRDefault="006B202E" w:rsidP="00CC0155">
      <w:pPr>
        <w:rPr>
          <w:szCs w:val="26"/>
        </w:rPr>
      </w:pPr>
      <w:r w:rsidRPr="006B202E">
        <w:rPr>
          <w:szCs w:val="26"/>
        </w:rPr>
        <w:t xml:space="preserve">Also, on February 6, 2017, </w:t>
      </w:r>
      <w:r w:rsidR="00F544D7">
        <w:rPr>
          <w:szCs w:val="26"/>
        </w:rPr>
        <w:t>the Companies</w:t>
      </w:r>
      <w:r w:rsidRPr="006B202E">
        <w:rPr>
          <w:szCs w:val="26"/>
        </w:rPr>
        <w:t xml:space="preserve"> filed </w:t>
      </w:r>
      <w:r w:rsidR="008F79AA">
        <w:rPr>
          <w:szCs w:val="26"/>
        </w:rPr>
        <w:t>B</w:t>
      </w:r>
      <w:r w:rsidRPr="006B202E">
        <w:rPr>
          <w:szCs w:val="26"/>
        </w:rPr>
        <w:t>rief</w:t>
      </w:r>
      <w:r w:rsidR="000054F2">
        <w:rPr>
          <w:szCs w:val="26"/>
        </w:rPr>
        <w:t>s</w:t>
      </w:r>
      <w:r w:rsidRPr="006B202E">
        <w:rPr>
          <w:szCs w:val="26"/>
        </w:rPr>
        <w:t xml:space="preserve"> opposing</w:t>
      </w:r>
      <w:r w:rsidR="00684979">
        <w:rPr>
          <w:szCs w:val="26"/>
        </w:rPr>
        <w:t xml:space="preserve"> the </w:t>
      </w:r>
      <w:r w:rsidR="00F544D7">
        <w:rPr>
          <w:szCs w:val="26"/>
        </w:rPr>
        <w:t xml:space="preserve">PIR.  </w:t>
      </w:r>
      <w:r w:rsidR="00684979">
        <w:rPr>
          <w:szCs w:val="26"/>
        </w:rPr>
        <w:t>In th</w:t>
      </w:r>
      <w:r w:rsidRPr="006B202E">
        <w:rPr>
          <w:szCs w:val="26"/>
        </w:rPr>
        <w:t>e</w:t>
      </w:r>
      <w:r w:rsidR="00F47A73">
        <w:rPr>
          <w:szCs w:val="26"/>
        </w:rPr>
        <w:t>ir</w:t>
      </w:r>
      <w:r w:rsidRPr="006B202E">
        <w:rPr>
          <w:szCs w:val="26"/>
        </w:rPr>
        <w:t xml:space="preserve"> </w:t>
      </w:r>
      <w:r w:rsidR="008F79AA">
        <w:rPr>
          <w:szCs w:val="26"/>
        </w:rPr>
        <w:t>B</w:t>
      </w:r>
      <w:r w:rsidRPr="006B202E">
        <w:rPr>
          <w:szCs w:val="26"/>
        </w:rPr>
        <w:t>rief</w:t>
      </w:r>
      <w:r w:rsidR="000054F2">
        <w:rPr>
          <w:szCs w:val="26"/>
        </w:rPr>
        <w:t>s</w:t>
      </w:r>
      <w:r w:rsidR="00684979">
        <w:rPr>
          <w:szCs w:val="26"/>
        </w:rPr>
        <w:t xml:space="preserve">, the Companies </w:t>
      </w:r>
      <w:r w:rsidRPr="006B202E">
        <w:rPr>
          <w:szCs w:val="26"/>
        </w:rPr>
        <w:t xml:space="preserve">argued that Respond had notice of the </w:t>
      </w:r>
      <w:proofErr w:type="spellStart"/>
      <w:r w:rsidRPr="006B202E">
        <w:rPr>
          <w:szCs w:val="26"/>
        </w:rPr>
        <w:t>clawback</w:t>
      </w:r>
      <w:proofErr w:type="spellEnd"/>
      <w:r w:rsidRPr="006B202E">
        <w:rPr>
          <w:szCs w:val="26"/>
        </w:rPr>
        <w:t xml:space="preserve"> provisions and opportunity to intervene in the DSP IV proceedings but failed to do so.</w:t>
      </w:r>
      <w:r w:rsidR="00F544D7">
        <w:rPr>
          <w:szCs w:val="26"/>
        </w:rPr>
        <w:t xml:space="preserve">  </w:t>
      </w:r>
      <w:r w:rsidRPr="006B202E">
        <w:rPr>
          <w:szCs w:val="26"/>
        </w:rPr>
        <w:t xml:space="preserve">The </w:t>
      </w:r>
      <w:r w:rsidR="008F79AA">
        <w:rPr>
          <w:szCs w:val="26"/>
        </w:rPr>
        <w:t>B</w:t>
      </w:r>
      <w:r w:rsidRPr="006B202E">
        <w:rPr>
          <w:szCs w:val="26"/>
        </w:rPr>
        <w:t>rief</w:t>
      </w:r>
      <w:r w:rsidR="000054F2">
        <w:rPr>
          <w:szCs w:val="26"/>
        </w:rPr>
        <w:t>s</w:t>
      </w:r>
      <w:r w:rsidRPr="006B202E">
        <w:rPr>
          <w:szCs w:val="26"/>
        </w:rPr>
        <w:t xml:space="preserve"> </w:t>
      </w:r>
      <w:r w:rsidR="008F79AA">
        <w:rPr>
          <w:szCs w:val="26"/>
        </w:rPr>
        <w:t xml:space="preserve">further </w:t>
      </w:r>
      <w:r w:rsidRPr="006B202E">
        <w:rPr>
          <w:szCs w:val="26"/>
        </w:rPr>
        <w:t xml:space="preserve">contended that there was no valid </w:t>
      </w:r>
      <w:r w:rsidR="00684979">
        <w:rPr>
          <w:szCs w:val="26"/>
        </w:rPr>
        <w:t xml:space="preserve">or </w:t>
      </w:r>
      <w:r w:rsidRPr="006B202E">
        <w:rPr>
          <w:szCs w:val="26"/>
        </w:rPr>
        <w:t xml:space="preserve">legal basis for nullifying the </w:t>
      </w:r>
      <w:proofErr w:type="spellStart"/>
      <w:r w:rsidRPr="006B202E">
        <w:rPr>
          <w:szCs w:val="26"/>
        </w:rPr>
        <w:t>clawback</w:t>
      </w:r>
      <w:proofErr w:type="spellEnd"/>
      <w:r w:rsidRPr="006B202E">
        <w:rPr>
          <w:szCs w:val="26"/>
        </w:rPr>
        <w:t xml:space="preserve"> charges</w:t>
      </w:r>
      <w:r w:rsidR="000054F2">
        <w:rPr>
          <w:szCs w:val="26"/>
        </w:rPr>
        <w:t xml:space="preserve"> as requested by Respond</w:t>
      </w:r>
      <w:r w:rsidRPr="006B202E">
        <w:rPr>
          <w:szCs w:val="26"/>
        </w:rPr>
        <w:t>.</w:t>
      </w:r>
    </w:p>
    <w:p w14:paraId="63BD8339" w14:textId="77777777" w:rsidR="00F544D7" w:rsidRDefault="00F544D7" w:rsidP="00CC0155">
      <w:pPr>
        <w:rPr>
          <w:szCs w:val="26"/>
        </w:rPr>
      </w:pPr>
    </w:p>
    <w:p w14:paraId="78600775" w14:textId="75DEE318" w:rsidR="00F544D7" w:rsidRPr="00F71658" w:rsidRDefault="00F544D7" w:rsidP="00CC0155">
      <w:pPr>
        <w:autoSpaceDE w:val="0"/>
        <w:autoSpaceDN w:val="0"/>
        <w:adjustRightInd w:val="0"/>
        <w:rPr>
          <w:color w:val="000000"/>
        </w:rPr>
      </w:pPr>
      <w:r w:rsidRPr="00F544D7">
        <w:rPr>
          <w:color w:val="000000"/>
          <w:szCs w:val="26"/>
        </w:rPr>
        <w:lastRenderedPageBreak/>
        <w:t>By O</w:t>
      </w:r>
      <w:r w:rsidR="009A11AF">
        <w:rPr>
          <w:color w:val="000000"/>
          <w:szCs w:val="26"/>
        </w:rPr>
        <w:t xml:space="preserve">rder entered </w:t>
      </w:r>
      <w:r w:rsidRPr="00F544D7">
        <w:rPr>
          <w:color w:val="000000"/>
          <w:szCs w:val="26"/>
        </w:rPr>
        <w:t xml:space="preserve">July 13, 2017 </w:t>
      </w:r>
      <w:r w:rsidRPr="00F544D7">
        <w:rPr>
          <w:i/>
          <w:color w:val="000000"/>
          <w:szCs w:val="26"/>
        </w:rPr>
        <w:t>(July 2017 PIR Order)</w:t>
      </w:r>
      <w:r w:rsidRPr="00F544D7">
        <w:rPr>
          <w:color w:val="000000"/>
          <w:szCs w:val="26"/>
        </w:rPr>
        <w:t xml:space="preserve">, the Commission granted the PIR.  The Commission held that Respond had the burden of proof to show that the </w:t>
      </w:r>
      <w:proofErr w:type="spellStart"/>
      <w:r w:rsidRPr="00F544D7">
        <w:rPr>
          <w:color w:val="000000"/>
          <w:szCs w:val="26"/>
        </w:rPr>
        <w:t>clawback</w:t>
      </w:r>
      <w:proofErr w:type="spellEnd"/>
      <w:r w:rsidRPr="00F544D7">
        <w:rPr>
          <w:color w:val="000000"/>
          <w:szCs w:val="26"/>
        </w:rPr>
        <w:t xml:space="preserve"> tariff provision is being applied to it unreasonably.  The Commission stated that the burden is heavy because tariff provisions that have been properly submitted to and </w:t>
      </w:r>
      <w:r w:rsidRPr="00F544D7">
        <w:rPr>
          <w:szCs w:val="26"/>
        </w:rPr>
        <w:t xml:space="preserve">approved by the Commission are </w:t>
      </w:r>
      <w:r w:rsidRPr="00B81C61">
        <w:rPr>
          <w:i/>
          <w:szCs w:val="26"/>
        </w:rPr>
        <w:t>prima facie</w:t>
      </w:r>
      <w:r w:rsidRPr="00F544D7">
        <w:rPr>
          <w:szCs w:val="26"/>
        </w:rPr>
        <w:t xml:space="preserve"> reasonable.  The Commission concluded that Respond was entitled to an opportunity to meet its burden of proof.</w:t>
      </w:r>
      <w:r w:rsidR="00344200">
        <w:rPr>
          <w:szCs w:val="26"/>
        </w:rPr>
        <w:t xml:space="preserve">  </w:t>
      </w:r>
      <w:r w:rsidR="00344200" w:rsidRPr="00F544D7">
        <w:rPr>
          <w:i/>
          <w:color w:val="000000"/>
          <w:szCs w:val="26"/>
        </w:rPr>
        <w:t>July 2017 PIR Order</w:t>
      </w:r>
      <w:r w:rsidR="00344200">
        <w:rPr>
          <w:color w:val="000000"/>
          <w:szCs w:val="26"/>
        </w:rPr>
        <w:t xml:space="preserve"> a</w:t>
      </w:r>
      <w:r w:rsidR="00CE637B">
        <w:rPr>
          <w:color w:val="000000"/>
          <w:szCs w:val="26"/>
        </w:rPr>
        <w:t>t 17-22.</w:t>
      </w:r>
    </w:p>
    <w:p w14:paraId="02BB1745" w14:textId="77777777" w:rsidR="00F47A73" w:rsidRPr="00344200" w:rsidRDefault="00F47A73" w:rsidP="00CC0155">
      <w:pPr>
        <w:autoSpaceDE w:val="0"/>
        <w:autoSpaceDN w:val="0"/>
        <w:adjustRightInd w:val="0"/>
        <w:rPr>
          <w:szCs w:val="26"/>
        </w:rPr>
      </w:pPr>
    </w:p>
    <w:p w14:paraId="1D172E7D" w14:textId="14A5F870" w:rsidR="008960D4" w:rsidRPr="00E60D58" w:rsidRDefault="008960D4" w:rsidP="00CC0155">
      <w:pPr>
        <w:autoSpaceDE w:val="0"/>
        <w:autoSpaceDN w:val="0"/>
        <w:adjustRightInd w:val="0"/>
        <w:rPr>
          <w:szCs w:val="26"/>
        </w:rPr>
      </w:pPr>
      <w:r w:rsidRPr="008960D4">
        <w:rPr>
          <w:color w:val="000000"/>
          <w:szCs w:val="26"/>
        </w:rPr>
        <w:t xml:space="preserve">On October 27, 2017, Respond filed </w:t>
      </w:r>
      <w:r w:rsidR="00C04ECD">
        <w:rPr>
          <w:color w:val="000000"/>
          <w:szCs w:val="26"/>
        </w:rPr>
        <w:t xml:space="preserve">additional </w:t>
      </w:r>
      <w:r w:rsidRPr="00E60D58">
        <w:rPr>
          <w:color w:val="000000"/>
          <w:szCs w:val="26"/>
        </w:rPr>
        <w:t>Formal C</w:t>
      </w:r>
      <w:r w:rsidRPr="008960D4">
        <w:rPr>
          <w:color w:val="000000"/>
          <w:szCs w:val="26"/>
        </w:rPr>
        <w:t xml:space="preserve">omplaints against West Penn and Penelec, </w:t>
      </w:r>
      <w:r w:rsidR="00C04ECD">
        <w:rPr>
          <w:color w:val="000000"/>
          <w:szCs w:val="26"/>
        </w:rPr>
        <w:t>at D</w:t>
      </w:r>
      <w:r w:rsidRPr="008960D4">
        <w:rPr>
          <w:color w:val="000000"/>
          <w:szCs w:val="26"/>
        </w:rPr>
        <w:t>ocket</w:t>
      </w:r>
      <w:r w:rsidR="00C04ECD">
        <w:rPr>
          <w:color w:val="000000"/>
          <w:szCs w:val="26"/>
        </w:rPr>
        <w:t xml:space="preserve"> Nos. </w:t>
      </w:r>
      <w:r w:rsidRPr="008960D4">
        <w:rPr>
          <w:color w:val="000000"/>
          <w:szCs w:val="26"/>
        </w:rPr>
        <w:t>C-2017-2631326 and C-2017-2631331, respectively</w:t>
      </w:r>
      <w:r w:rsidR="00C04ECD">
        <w:rPr>
          <w:color w:val="000000"/>
          <w:szCs w:val="26"/>
        </w:rPr>
        <w:t xml:space="preserve"> </w:t>
      </w:r>
      <w:r w:rsidR="00C04ECD" w:rsidRPr="008960D4">
        <w:rPr>
          <w:color w:val="000000"/>
          <w:szCs w:val="26"/>
        </w:rPr>
        <w:t xml:space="preserve">(2017 </w:t>
      </w:r>
      <w:r w:rsidR="00C04ECD" w:rsidRPr="00E60D58">
        <w:rPr>
          <w:color w:val="000000"/>
          <w:szCs w:val="26"/>
        </w:rPr>
        <w:t>C</w:t>
      </w:r>
      <w:r w:rsidR="00C04ECD" w:rsidRPr="008960D4">
        <w:rPr>
          <w:color w:val="000000"/>
          <w:szCs w:val="26"/>
        </w:rPr>
        <w:t>omplaints)</w:t>
      </w:r>
      <w:r w:rsidR="00F760D9">
        <w:rPr>
          <w:color w:val="000000"/>
          <w:szCs w:val="26"/>
        </w:rPr>
        <w:t xml:space="preserve"> which </w:t>
      </w:r>
      <w:r w:rsidR="00F760D9" w:rsidRPr="00E60D58">
        <w:rPr>
          <w:szCs w:val="26"/>
        </w:rPr>
        <w:t>contain allegations similar to the allegations in the 2016 Complaints</w:t>
      </w:r>
      <w:r w:rsidRPr="008960D4">
        <w:rPr>
          <w:color w:val="000000"/>
          <w:szCs w:val="26"/>
        </w:rPr>
        <w:t>.</w:t>
      </w:r>
      <w:r w:rsidRPr="00E60D58">
        <w:rPr>
          <w:color w:val="000000"/>
          <w:szCs w:val="26"/>
        </w:rPr>
        <w:t xml:space="preserve">  </w:t>
      </w:r>
      <w:r w:rsidR="00C04ECD">
        <w:rPr>
          <w:color w:val="000000"/>
          <w:szCs w:val="26"/>
        </w:rPr>
        <w:t xml:space="preserve">Respond alleged in its </w:t>
      </w:r>
      <w:r w:rsidRPr="00E60D58">
        <w:rPr>
          <w:color w:val="000000"/>
          <w:szCs w:val="26"/>
        </w:rPr>
        <w:t>2017 C</w:t>
      </w:r>
      <w:r w:rsidRPr="008960D4">
        <w:rPr>
          <w:color w:val="000000"/>
          <w:szCs w:val="26"/>
        </w:rPr>
        <w:t xml:space="preserve">omplaints that </w:t>
      </w:r>
      <w:r w:rsidR="00E60D58" w:rsidRPr="00E60D58">
        <w:rPr>
          <w:color w:val="000000"/>
          <w:szCs w:val="26"/>
        </w:rPr>
        <w:t>the Companies</w:t>
      </w:r>
      <w:r w:rsidRPr="008960D4">
        <w:rPr>
          <w:color w:val="000000"/>
          <w:szCs w:val="26"/>
        </w:rPr>
        <w:t xml:space="preserve"> are threatening to withhold POR payments totaling $211,012.54 from Respond (2017 </w:t>
      </w:r>
      <w:proofErr w:type="spellStart"/>
      <w:r w:rsidRPr="008960D4">
        <w:rPr>
          <w:color w:val="000000"/>
          <w:szCs w:val="26"/>
        </w:rPr>
        <w:t>clawback</w:t>
      </w:r>
      <w:proofErr w:type="spellEnd"/>
      <w:r w:rsidRPr="008960D4">
        <w:rPr>
          <w:color w:val="000000"/>
          <w:szCs w:val="26"/>
        </w:rPr>
        <w:t xml:space="preserve"> charges).</w:t>
      </w:r>
      <w:r w:rsidR="00FC3006">
        <w:rPr>
          <w:rStyle w:val="FootnoteReference"/>
          <w:color w:val="000000"/>
          <w:szCs w:val="26"/>
        </w:rPr>
        <w:footnoteReference w:id="6"/>
      </w:r>
      <w:r w:rsidR="00A07477">
        <w:rPr>
          <w:color w:val="000000"/>
          <w:szCs w:val="26"/>
        </w:rPr>
        <w:t xml:space="preserve">  </w:t>
      </w:r>
      <w:r w:rsidR="00235AA2">
        <w:rPr>
          <w:color w:val="000000"/>
          <w:szCs w:val="26"/>
        </w:rPr>
        <w:t xml:space="preserve">Respond also </w:t>
      </w:r>
      <w:r w:rsidRPr="008960D4">
        <w:rPr>
          <w:color w:val="000000"/>
          <w:szCs w:val="26"/>
        </w:rPr>
        <w:t>allege</w:t>
      </w:r>
      <w:r w:rsidR="00E60D58" w:rsidRPr="00E60D58">
        <w:rPr>
          <w:color w:val="000000"/>
          <w:szCs w:val="26"/>
        </w:rPr>
        <w:t>d</w:t>
      </w:r>
      <w:r w:rsidRPr="008960D4">
        <w:rPr>
          <w:color w:val="000000"/>
          <w:szCs w:val="26"/>
        </w:rPr>
        <w:t xml:space="preserve"> that the</w:t>
      </w:r>
      <w:r w:rsidR="00A92A3A">
        <w:rPr>
          <w:color w:val="000000"/>
          <w:szCs w:val="26"/>
        </w:rPr>
        <w:t xml:space="preserve"> invoice</w:t>
      </w:r>
      <w:r w:rsidR="00C04ECD">
        <w:rPr>
          <w:color w:val="000000"/>
          <w:szCs w:val="26"/>
        </w:rPr>
        <w:t>,</w:t>
      </w:r>
      <w:r w:rsidR="00A92A3A">
        <w:rPr>
          <w:color w:val="000000"/>
          <w:szCs w:val="26"/>
        </w:rPr>
        <w:t xml:space="preserve"> with </w:t>
      </w:r>
      <w:r w:rsidR="00AB23D8">
        <w:rPr>
          <w:color w:val="000000"/>
          <w:szCs w:val="26"/>
        </w:rPr>
        <w:t>a due date of October</w:t>
      </w:r>
      <w:r w:rsidR="00F760D9">
        <w:rPr>
          <w:color w:val="000000"/>
          <w:szCs w:val="26"/>
        </w:rPr>
        <w:t> </w:t>
      </w:r>
      <w:r w:rsidR="00AB23D8">
        <w:rPr>
          <w:color w:val="000000"/>
          <w:szCs w:val="26"/>
        </w:rPr>
        <w:t>29, 2017</w:t>
      </w:r>
      <w:r w:rsidR="003345F8">
        <w:rPr>
          <w:color w:val="000000"/>
          <w:szCs w:val="26"/>
        </w:rPr>
        <w:t>,</w:t>
      </w:r>
      <w:r w:rsidR="00A92A3A">
        <w:rPr>
          <w:color w:val="000000"/>
          <w:szCs w:val="26"/>
        </w:rPr>
        <w:t xml:space="preserve"> contain </w:t>
      </w:r>
      <w:r w:rsidRPr="008960D4">
        <w:rPr>
          <w:color w:val="000000"/>
          <w:szCs w:val="26"/>
        </w:rPr>
        <w:t xml:space="preserve">an offset </w:t>
      </w:r>
      <w:r w:rsidR="00A92A3A">
        <w:rPr>
          <w:color w:val="000000"/>
          <w:szCs w:val="26"/>
        </w:rPr>
        <w:t xml:space="preserve">amount </w:t>
      </w:r>
      <w:r w:rsidR="00235AA2">
        <w:rPr>
          <w:color w:val="000000"/>
          <w:szCs w:val="26"/>
        </w:rPr>
        <w:t xml:space="preserve">that the Companies </w:t>
      </w:r>
      <w:r w:rsidRPr="008960D4">
        <w:rPr>
          <w:color w:val="000000"/>
          <w:szCs w:val="26"/>
        </w:rPr>
        <w:t xml:space="preserve">assessed on </w:t>
      </w:r>
      <w:r w:rsidR="00A92A3A">
        <w:rPr>
          <w:color w:val="000000"/>
          <w:szCs w:val="26"/>
        </w:rPr>
        <w:t xml:space="preserve">Respond </w:t>
      </w:r>
      <w:r w:rsidR="003B047D">
        <w:rPr>
          <w:color w:val="000000"/>
          <w:szCs w:val="26"/>
        </w:rPr>
        <w:t xml:space="preserve">on </w:t>
      </w:r>
      <w:r w:rsidRPr="008960D4">
        <w:rPr>
          <w:color w:val="000000"/>
          <w:szCs w:val="26"/>
        </w:rPr>
        <w:t>October 2, 2017</w:t>
      </w:r>
      <w:r w:rsidR="00C04ECD">
        <w:rPr>
          <w:color w:val="000000"/>
          <w:szCs w:val="26"/>
        </w:rPr>
        <w:t>,</w:t>
      </w:r>
      <w:r w:rsidRPr="008960D4">
        <w:rPr>
          <w:color w:val="000000"/>
          <w:szCs w:val="26"/>
        </w:rPr>
        <w:t xml:space="preserve"> under </w:t>
      </w:r>
      <w:r w:rsidR="00E60D58" w:rsidRPr="00E60D58">
        <w:rPr>
          <w:color w:val="000000"/>
          <w:szCs w:val="26"/>
        </w:rPr>
        <w:t>the Companies</w:t>
      </w:r>
      <w:r w:rsidR="00E00225">
        <w:rPr>
          <w:color w:val="000000"/>
          <w:szCs w:val="26"/>
        </w:rPr>
        <w:t>’</w:t>
      </w:r>
      <w:r w:rsidRPr="008960D4">
        <w:rPr>
          <w:color w:val="000000"/>
          <w:szCs w:val="26"/>
        </w:rPr>
        <w:t xml:space="preserve"> </w:t>
      </w:r>
      <w:proofErr w:type="spellStart"/>
      <w:r w:rsidRPr="008960D4">
        <w:rPr>
          <w:color w:val="000000"/>
          <w:szCs w:val="26"/>
        </w:rPr>
        <w:t>clawback</w:t>
      </w:r>
      <w:proofErr w:type="spellEnd"/>
      <w:r w:rsidRPr="008960D4">
        <w:rPr>
          <w:color w:val="000000"/>
          <w:szCs w:val="26"/>
        </w:rPr>
        <w:t xml:space="preserve"> charge pilot program previously approved </w:t>
      </w:r>
      <w:r w:rsidR="00A07477">
        <w:rPr>
          <w:color w:val="000000"/>
          <w:szCs w:val="26"/>
        </w:rPr>
        <w:t>in the</w:t>
      </w:r>
      <w:r w:rsidRPr="00E60D58">
        <w:rPr>
          <w:szCs w:val="26"/>
        </w:rPr>
        <w:t xml:space="preserve"> </w:t>
      </w:r>
      <w:r w:rsidRPr="00E60D58">
        <w:rPr>
          <w:i/>
          <w:szCs w:val="26"/>
        </w:rPr>
        <w:t>Default Service Order</w:t>
      </w:r>
      <w:r w:rsidRPr="00E60D58">
        <w:rPr>
          <w:szCs w:val="26"/>
        </w:rPr>
        <w:t>.</w:t>
      </w:r>
    </w:p>
    <w:p w14:paraId="1D5F3573" w14:textId="77777777" w:rsidR="00F544D7" w:rsidRDefault="00F544D7" w:rsidP="00CC0155">
      <w:pPr>
        <w:rPr>
          <w:szCs w:val="26"/>
        </w:rPr>
      </w:pPr>
    </w:p>
    <w:p w14:paraId="68922D8E" w14:textId="38B3676E" w:rsidR="00443D9F" w:rsidRDefault="00443D9F" w:rsidP="00CC0155">
      <w:pPr>
        <w:rPr>
          <w:szCs w:val="26"/>
        </w:rPr>
      </w:pPr>
      <w:r w:rsidRPr="00443D9F">
        <w:rPr>
          <w:szCs w:val="26"/>
        </w:rPr>
        <w:t xml:space="preserve">On November 8, 2017, the Commission consolidated the 2016 Complaints and the 2017 Complaints </w:t>
      </w:r>
      <w:r w:rsidR="00C359CF">
        <w:rPr>
          <w:szCs w:val="26"/>
        </w:rPr>
        <w:t>(</w:t>
      </w:r>
      <w:r w:rsidR="007B4A4A">
        <w:rPr>
          <w:szCs w:val="26"/>
        </w:rPr>
        <w:t>Respond</w:t>
      </w:r>
      <w:r w:rsidR="00E00225">
        <w:rPr>
          <w:szCs w:val="26"/>
        </w:rPr>
        <w:t>’</w:t>
      </w:r>
      <w:r w:rsidR="007B4A4A">
        <w:rPr>
          <w:szCs w:val="26"/>
        </w:rPr>
        <w:t xml:space="preserve">s </w:t>
      </w:r>
      <w:r w:rsidR="00C359CF">
        <w:rPr>
          <w:szCs w:val="26"/>
        </w:rPr>
        <w:t xml:space="preserve">Complaints) </w:t>
      </w:r>
      <w:r w:rsidRPr="00443D9F">
        <w:rPr>
          <w:szCs w:val="26"/>
        </w:rPr>
        <w:t>for purposes of hearing and decision, pursuant to 52 Pa. Code § 5.81.</w:t>
      </w:r>
    </w:p>
    <w:p w14:paraId="4AEA83F1" w14:textId="77777777" w:rsidR="00B2060F" w:rsidRDefault="00B2060F" w:rsidP="00CC0155">
      <w:pPr>
        <w:rPr>
          <w:szCs w:val="26"/>
        </w:rPr>
      </w:pPr>
    </w:p>
    <w:p w14:paraId="21D488D9" w14:textId="695C2C0D" w:rsidR="00E8329C" w:rsidRDefault="00E8329C" w:rsidP="00CC0155">
      <w:pPr>
        <w:rPr>
          <w:szCs w:val="26"/>
        </w:rPr>
      </w:pPr>
      <w:r w:rsidRPr="00E8329C">
        <w:rPr>
          <w:szCs w:val="26"/>
        </w:rPr>
        <w:t xml:space="preserve">On November 20, 2017, the Companies filed Answers with New Matter to the 2017 Complaints.  These Answers with New Matter contain </w:t>
      </w:r>
      <w:r w:rsidR="003345F8">
        <w:rPr>
          <w:szCs w:val="26"/>
        </w:rPr>
        <w:t>responses</w:t>
      </w:r>
      <w:r w:rsidRPr="00E8329C">
        <w:rPr>
          <w:szCs w:val="26"/>
        </w:rPr>
        <w:t xml:space="preserve"> </w:t>
      </w:r>
      <w:r w:rsidR="00310AF6">
        <w:rPr>
          <w:szCs w:val="26"/>
        </w:rPr>
        <w:t>sub</w:t>
      </w:r>
      <w:r w:rsidRPr="00E8329C">
        <w:rPr>
          <w:szCs w:val="26"/>
        </w:rPr>
        <w:t>s</w:t>
      </w:r>
      <w:r w:rsidR="00310AF6">
        <w:rPr>
          <w:szCs w:val="26"/>
        </w:rPr>
        <w:t>tantially s</w:t>
      </w:r>
      <w:r w:rsidRPr="00E8329C">
        <w:rPr>
          <w:szCs w:val="26"/>
        </w:rPr>
        <w:t>imilar to the Answers with New Matter filed in response to the 2016 Complaints.</w:t>
      </w:r>
    </w:p>
    <w:p w14:paraId="7192AD91" w14:textId="77777777" w:rsidR="00FC08AF" w:rsidRDefault="00FC08AF" w:rsidP="00CC0155">
      <w:pPr>
        <w:rPr>
          <w:szCs w:val="26"/>
        </w:rPr>
      </w:pPr>
    </w:p>
    <w:p w14:paraId="2319917C" w14:textId="1306915B" w:rsidR="009A6E85" w:rsidRDefault="009A6E85" w:rsidP="00CC0155">
      <w:pPr>
        <w:rPr>
          <w:szCs w:val="26"/>
        </w:rPr>
      </w:pPr>
      <w:r w:rsidRPr="009A6E85">
        <w:rPr>
          <w:szCs w:val="26"/>
        </w:rPr>
        <w:t>On December 8, 2017, Respond filed Replies to the New Matter of the Companies.</w:t>
      </w:r>
      <w:r w:rsidR="003E26F6">
        <w:rPr>
          <w:szCs w:val="26"/>
        </w:rPr>
        <w:t xml:space="preserve">  </w:t>
      </w:r>
      <w:r w:rsidRPr="009A6E85">
        <w:rPr>
          <w:szCs w:val="26"/>
        </w:rPr>
        <w:t>The responses to New Matter contain allegations similar to the responses to New Matter filed in the 2016 Complaints proceedings.</w:t>
      </w:r>
    </w:p>
    <w:p w14:paraId="7E02FA8A" w14:textId="53527FF6" w:rsidR="00A51CF6" w:rsidRDefault="00A51CF6" w:rsidP="00CC0155">
      <w:pPr>
        <w:rPr>
          <w:szCs w:val="26"/>
        </w:rPr>
      </w:pPr>
    </w:p>
    <w:p w14:paraId="1F03D5B6" w14:textId="729EF678" w:rsidR="00A51CF6" w:rsidRDefault="00A51CF6" w:rsidP="00CC0155">
      <w:pPr>
        <w:rPr>
          <w:szCs w:val="26"/>
        </w:rPr>
      </w:pPr>
      <w:r>
        <w:rPr>
          <w:szCs w:val="26"/>
        </w:rPr>
        <w:t>On February 1, 2018, the ALJ conducted an evidentiary hearing, as scheduled.</w:t>
      </w:r>
    </w:p>
    <w:p w14:paraId="26EEF4A0" w14:textId="77777777" w:rsidR="00C60767" w:rsidRDefault="00C60767" w:rsidP="00CC0155">
      <w:pPr>
        <w:rPr>
          <w:szCs w:val="26"/>
        </w:rPr>
      </w:pPr>
    </w:p>
    <w:p w14:paraId="382B68E7" w14:textId="52789ECC" w:rsidR="00CC7348" w:rsidRPr="00CC7348" w:rsidRDefault="00C60767" w:rsidP="00CC0155">
      <w:pPr>
        <w:rPr>
          <w:szCs w:val="26"/>
        </w:rPr>
      </w:pPr>
      <w:r w:rsidRPr="007F0B54">
        <w:rPr>
          <w:szCs w:val="26"/>
        </w:rPr>
        <w:t xml:space="preserve">On February 5, 2018, Respond filed a </w:t>
      </w:r>
      <w:r w:rsidR="007F0B54" w:rsidRPr="007F0B54">
        <w:rPr>
          <w:szCs w:val="26"/>
        </w:rPr>
        <w:t>P</w:t>
      </w:r>
      <w:r w:rsidRPr="007F0B54">
        <w:rPr>
          <w:szCs w:val="26"/>
        </w:rPr>
        <w:t xml:space="preserve">etition to </w:t>
      </w:r>
      <w:r w:rsidR="007F0B54" w:rsidRPr="007F0B54">
        <w:rPr>
          <w:szCs w:val="26"/>
        </w:rPr>
        <w:t>R</w:t>
      </w:r>
      <w:r w:rsidRPr="007F0B54">
        <w:rPr>
          <w:szCs w:val="26"/>
        </w:rPr>
        <w:t xml:space="preserve">eopen the </w:t>
      </w:r>
      <w:r w:rsidR="007F0B54" w:rsidRPr="007F0B54">
        <w:rPr>
          <w:szCs w:val="26"/>
        </w:rPr>
        <w:t>R</w:t>
      </w:r>
      <w:r w:rsidRPr="007F0B54">
        <w:rPr>
          <w:szCs w:val="26"/>
        </w:rPr>
        <w:t>ecord</w:t>
      </w:r>
      <w:r w:rsidR="007F0B54" w:rsidRPr="007F0B54">
        <w:rPr>
          <w:szCs w:val="26"/>
        </w:rPr>
        <w:t xml:space="preserve"> (PRR)</w:t>
      </w:r>
      <w:r w:rsidRPr="007F0B54">
        <w:rPr>
          <w:szCs w:val="26"/>
        </w:rPr>
        <w:t>.</w:t>
      </w:r>
      <w:r w:rsidR="007F0B54" w:rsidRPr="007F0B54">
        <w:rPr>
          <w:szCs w:val="26"/>
        </w:rPr>
        <w:t xml:space="preserve">  </w:t>
      </w:r>
      <w:r w:rsidRPr="007F0B54">
        <w:rPr>
          <w:szCs w:val="26"/>
        </w:rPr>
        <w:t xml:space="preserve">The </w:t>
      </w:r>
      <w:r w:rsidR="007F0B54" w:rsidRPr="007F0B54">
        <w:rPr>
          <w:szCs w:val="26"/>
        </w:rPr>
        <w:t xml:space="preserve">PRR </w:t>
      </w:r>
      <w:r w:rsidRPr="007F0B54">
        <w:rPr>
          <w:szCs w:val="26"/>
        </w:rPr>
        <w:t>allege</w:t>
      </w:r>
      <w:r w:rsidR="007F0B54">
        <w:rPr>
          <w:szCs w:val="26"/>
        </w:rPr>
        <w:t>d</w:t>
      </w:r>
      <w:r w:rsidRPr="007F0B54">
        <w:rPr>
          <w:szCs w:val="26"/>
        </w:rPr>
        <w:t xml:space="preserve"> that </w:t>
      </w:r>
      <w:r w:rsidR="003E5D0A">
        <w:rPr>
          <w:szCs w:val="26"/>
        </w:rPr>
        <w:t>the Companies</w:t>
      </w:r>
      <w:r w:rsidR="00E00225">
        <w:rPr>
          <w:szCs w:val="26"/>
        </w:rPr>
        <w:t>’</w:t>
      </w:r>
      <w:r w:rsidR="003E5D0A">
        <w:rPr>
          <w:szCs w:val="26"/>
        </w:rPr>
        <w:t xml:space="preserve"> witness, Ms. </w:t>
      </w:r>
      <w:r w:rsidRPr="007F0B54">
        <w:rPr>
          <w:szCs w:val="26"/>
        </w:rPr>
        <w:t>Kimberlie Bortz</w:t>
      </w:r>
      <w:r w:rsidR="00A92A3A">
        <w:rPr>
          <w:szCs w:val="26"/>
        </w:rPr>
        <w:t>,</w:t>
      </w:r>
      <w:r w:rsidRPr="007F0B54">
        <w:rPr>
          <w:szCs w:val="26"/>
        </w:rPr>
        <w:t xml:space="preserve"> testified that</w:t>
      </w:r>
      <w:r w:rsidR="007F0B54">
        <w:rPr>
          <w:szCs w:val="26"/>
        </w:rPr>
        <w:t xml:space="preserve"> the Companies</w:t>
      </w:r>
      <w:r w:rsidRPr="007F0B54">
        <w:rPr>
          <w:szCs w:val="26"/>
        </w:rPr>
        <w:t xml:space="preserve"> would</w:t>
      </w:r>
      <w:r w:rsidR="008D7EE9">
        <w:rPr>
          <w:szCs w:val="26"/>
        </w:rPr>
        <w:t xml:space="preserve"> provide</w:t>
      </w:r>
      <w:r w:rsidRPr="007F0B54">
        <w:rPr>
          <w:szCs w:val="26"/>
        </w:rPr>
        <w:t>, upon request, EGS</w:t>
      </w:r>
      <w:r w:rsidR="007D1258">
        <w:rPr>
          <w:szCs w:val="26"/>
        </w:rPr>
        <w:t>s</w:t>
      </w:r>
      <w:r w:rsidRPr="007F0B54">
        <w:rPr>
          <w:szCs w:val="26"/>
        </w:rPr>
        <w:t xml:space="preserve"> with a list of its customers showing their outstanding unpaid balances.</w:t>
      </w:r>
      <w:r w:rsidR="003E5D0A">
        <w:rPr>
          <w:szCs w:val="26"/>
        </w:rPr>
        <w:t xml:space="preserve">  </w:t>
      </w:r>
      <w:r w:rsidR="009F2E33">
        <w:rPr>
          <w:szCs w:val="26"/>
        </w:rPr>
        <w:t>According to Respond, o</w:t>
      </w:r>
      <w:r w:rsidRPr="007F0B54">
        <w:rPr>
          <w:szCs w:val="26"/>
        </w:rPr>
        <w:t xml:space="preserve">n February 2, 2018, </w:t>
      </w:r>
      <w:r w:rsidR="009F2E33">
        <w:rPr>
          <w:szCs w:val="26"/>
        </w:rPr>
        <w:t xml:space="preserve">it </w:t>
      </w:r>
      <w:r w:rsidRPr="007F0B54">
        <w:rPr>
          <w:szCs w:val="26"/>
        </w:rPr>
        <w:t xml:space="preserve">submitted email requests to </w:t>
      </w:r>
      <w:r w:rsidR="009F2E33">
        <w:rPr>
          <w:szCs w:val="26"/>
        </w:rPr>
        <w:t>the Companies</w:t>
      </w:r>
      <w:r w:rsidRPr="007F0B54">
        <w:rPr>
          <w:szCs w:val="26"/>
        </w:rPr>
        <w:t xml:space="preserve"> for a list of Respond</w:t>
      </w:r>
      <w:r w:rsidR="00E00225">
        <w:rPr>
          <w:szCs w:val="26"/>
        </w:rPr>
        <w:t>’</w:t>
      </w:r>
      <w:r w:rsidRPr="007F0B54">
        <w:rPr>
          <w:szCs w:val="26"/>
        </w:rPr>
        <w:t>s customers showing outstanding unpaid balances on their accounts</w:t>
      </w:r>
      <w:r w:rsidR="009F2E33">
        <w:rPr>
          <w:szCs w:val="26"/>
        </w:rPr>
        <w:t xml:space="preserve"> but was informed by </w:t>
      </w:r>
      <w:r w:rsidR="003E5D0A">
        <w:rPr>
          <w:szCs w:val="26"/>
        </w:rPr>
        <w:t>the Companies</w:t>
      </w:r>
      <w:r w:rsidR="00E00225">
        <w:rPr>
          <w:szCs w:val="26"/>
        </w:rPr>
        <w:t>’</w:t>
      </w:r>
      <w:r w:rsidRPr="007F0B54">
        <w:rPr>
          <w:szCs w:val="26"/>
        </w:rPr>
        <w:t xml:space="preserve"> employee via email that no such list was available.</w:t>
      </w:r>
      <w:r w:rsidR="0083341A">
        <w:rPr>
          <w:szCs w:val="26"/>
        </w:rPr>
        <w:t xml:space="preserve">  </w:t>
      </w:r>
      <w:r w:rsidR="00CC7348" w:rsidRPr="00CC7348">
        <w:rPr>
          <w:szCs w:val="26"/>
        </w:rPr>
        <w:t>The PRR</w:t>
      </w:r>
      <w:r w:rsidR="0083341A">
        <w:rPr>
          <w:szCs w:val="26"/>
        </w:rPr>
        <w:t>, therefore,</w:t>
      </w:r>
      <w:r w:rsidR="00CC7348" w:rsidRPr="00CC7348">
        <w:rPr>
          <w:szCs w:val="26"/>
        </w:rPr>
        <w:t xml:space="preserve"> requested that the Commission reopen the record so that Respond could offer testimony and exhibits in response to Ms. Bortz</w:t>
      </w:r>
      <w:r w:rsidR="00E00225">
        <w:rPr>
          <w:szCs w:val="26"/>
        </w:rPr>
        <w:t>’</w:t>
      </w:r>
      <w:r w:rsidR="00CC7348" w:rsidRPr="00CC7348">
        <w:rPr>
          <w:szCs w:val="26"/>
        </w:rPr>
        <w:t xml:space="preserve">s testimony.  Alternatively, the PRR requested admission of email communications between </w:t>
      </w:r>
      <w:r w:rsidR="0083341A">
        <w:rPr>
          <w:szCs w:val="26"/>
        </w:rPr>
        <w:t xml:space="preserve">the Companies </w:t>
      </w:r>
      <w:r w:rsidR="00CC7348" w:rsidRPr="00CC7348">
        <w:rPr>
          <w:szCs w:val="26"/>
        </w:rPr>
        <w:t>and Respond</w:t>
      </w:r>
      <w:r w:rsidR="0083341A">
        <w:rPr>
          <w:szCs w:val="26"/>
        </w:rPr>
        <w:t xml:space="preserve">, </w:t>
      </w:r>
      <w:r w:rsidR="00CC7348" w:rsidRPr="00CC7348">
        <w:rPr>
          <w:szCs w:val="26"/>
        </w:rPr>
        <w:t>attached to the PRR and marked as Attachment A.</w:t>
      </w:r>
    </w:p>
    <w:p w14:paraId="74644A65" w14:textId="77777777" w:rsidR="00E9759B" w:rsidRDefault="00E9759B" w:rsidP="00CC0155">
      <w:pPr>
        <w:rPr>
          <w:szCs w:val="26"/>
        </w:rPr>
      </w:pPr>
    </w:p>
    <w:p w14:paraId="4686F4C9" w14:textId="336F9FD6" w:rsidR="008E0495" w:rsidRPr="00E36BFF" w:rsidRDefault="00C97981" w:rsidP="00CC0155">
      <w:pPr>
        <w:rPr>
          <w:szCs w:val="26"/>
        </w:rPr>
      </w:pPr>
      <w:r w:rsidRPr="00E36BFF">
        <w:rPr>
          <w:szCs w:val="26"/>
        </w:rPr>
        <w:t xml:space="preserve">On February 15, 2018, the Companies filed an Answer to </w:t>
      </w:r>
      <w:r w:rsidR="00865172">
        <w:rPr>
          <w:szCs w:val="26"/>
        </w:rPr>
        <w:t xml:space="preserve">the </w:t>
      </w:r>
      <w:r w:rsidRPr="00E36BFF">
        <w:rPr>
          <w:szCs w:val="26"/>
        </w:rPr>
        <w:t>PRR</w:t>
      </w:r>
      <w:r w:rsidR="00865172">
        <w:rPr>
          <w:szCs w:val="26"/>
        </w:rPr>
        <w:t xml:space="preserve"> (Answer to PRR)</w:t>
      </w:r>
      <w:r w:rsidRPr="00E36BFF">
        <w:rPr>
          <w:szCs w:val="26"/>
        </w:rPr>
        <w:t xml:space="preserve">.  The Answer </w:t>
      </w:r>
      <w:r w:rsidR="00F4481E">
        <w:rPr>
          <w:szCs w:val="26"/>
        </w:rPr>
        <w:t xml:space="preserve">to PRR </w:t>
      </w:r>
      <w:r w:rsidRPr="00E36BFF">
        <w:rPr>
          <w:szCs w:val="26"/>
        </w:rPr>
        <w:t>stated that on February 6, 2018, the same Penelec and West Penn employee who responded to Respond</w:t>
      </w:r>
      <w:r w:rsidR="00E00225">
        <w:rPr>
          <w:szCs w:val="26"/>
        </w:rPr>
        <w:t>’</w:t>
      </w:r>
      <w:r w:rsidRPr="00E36BFF">
        <w:rPr>
          <w:szCs w:val="26"/>
        </w:rPr>
        <w:t>s February 2, 2018</w:t>
      </w:r>
      <w:r w:rsidR="003345F8">
        <w:rPr>
          <w:szCs w:val="26"/>
        </w:rPr>
        <w:t>,</w:t>
      </w:r>
      <w:r w:rsidRPr="00E36BFF">
        <w:rPr>
          <w:szCs w:val="26"/>
        </w:rPr>
        <w:t xml:space="preserve"> request sent an email to Respond indicating that after his initial response, he learned that </w:t>
      </w:r>
      <w:r w:rsidR="00F4481E">
        <w:rPr>
          <w:szCs w:val="26"/>
        </w:rPr>
        <w:t>the Companies</w:t>
      </w:r>
      <w:r w:rsidRPr="00E36BFF">
        <w:rPr>
          <w:szCs w:val="26"/>
        </w:rPr>
        <w:t xml:space="preserve"> had the capability to provide the requested information to Respond and indicated that the information would be provided </w:t>
      </w:r>
      <w:r w:rsidR="009B5E6A">
        <w:rPr>
          <w:szCs w:val="26"/>
        </w:rPr>
        <w:t xml:space="preserve">to Respond </w:t>
      </w:r>
      <w:r w:rsidRPr="00E36BFF">
        <w:rPr>
          <w:szCs w:val="26"/>
        </w:rPr>
        <w:t>on February 7, 2018.</w:t>
      </w:r>
      <w:r w:rsidR="007E6FBB" w:rsidRPr="00E36BFF">
        <w:rPr>
          <w:szCs w:val="26"/>
        </w:rPr>
        <w:t xml:space="preserve">  According to the Answer</w:t>
      </w:r>
      <w:r w:rsidR="00F4481E">
        <w:rPr>
          <w:szCs w:val="26"/>
        </w:rPr>
        <w:t xml:space="preserve"> to PRR</w:t>
      </w:r>
      <w:r w:rsidR="007E6FBB" w:rsidRPr="00E36BFF">
        <w:rPr>
          <w:szCs w:val="26"/>
        </w:rPr>
        <w:t>, on February 7, 2018, that same employee provided two emails to Respond with the requested information.</w:t>
      </w:r>
      <w:r w:rsidR="00F4481E">
        <w:rPr>
          <w:szCs w:val="26"/>
        </w:rPr>
        <w:t xml:space="preserve">  </w:t>
      </w:r>
      <w:r w:rsidR="007E6FBB" w:rsidRPr="00E36BFF">
        <w:rPr>
          <w:szCs w:val="26"/>
        </w:rPr>
        <w:t xml:space="preserve">Copies of the above referenced emails were attached to the Answer </w:t>
      </w:r>
      <w:r w:rsidR="00F4481E">
        <w:rPr>
          <w:szCs w:val="26"/>
        </w:rPr>
        <w:t xml:space="preserve">to PRR </w:t>
      </w:r>
      <w:r w:rsidR="007E6FBB" w:rsidRPr="00E36BFF">
        <w:rPr>
          <w:szCs w:val="26"/>
        </w:rPr>
        <w:t>and marked as Appendices A, B and C.</w:t>
      </w:r>
      <w:r w:rsidR="00E36BFF" w:rsidRPr="00E36BFF">
        <w:rPr>
          <w:szCs w:val="26"/>
        </w:rPr>
        <w:t xml:space="preserve">  In addition, t</w:t>
      </w:r>
      <w:r w:rsidR="00964C1E" w:rsidRPr="00E36BFF">
        <w:rPr>
          <w:szCs w:val="26"/>
        </w:rPr>
        <w:t xml:space="preserve">he </w:t>
      </w:r>
      <w:r w:rsidR="00964C1E" w:rsidRPr="00E36BFF">
        <w:rPr>
          <w:szCs w:val="26"/>
        </w:rPr>
        <w:lastRenderedPageBreak/>
        <w:t xml:space="preserve">Answer </w:t>
      </w:r>
      <w:r w:rsidR="00F4481E">
        <w:rPr>
          <w:szCs w:val="26"/>
        </w:rPr>
        <w:t xml:space="preserve">to PRR </w:t>
      </w:r>
      <w:r w:rsidR="00964C1E" w:rsidRPr="00E36BFF">
        <w:rPr>
          <w:szCs w:val="26"/>
        </w:rPr>
        <w:t xml:space="preserve">indicated that the Companies </w:t>
      </w:r>
      <w:r w:rsidR="00F4481E">
        <w:rPr>
          <w:szCs w:val="26"/>
        </w:rPr>
        <w:t>are not</w:t>
      </w:r>
      <w:r w:rsidR="00964C1E" w:rsidRPr="00E36BFF">
        <w:rPr>
          <w:szCs w:val="26"/>
        </w:rPr>
        <w:t xml:space="preserve"> oppose</w:t>
      </w:r>
      <w:r w:rsidR="00F4481E">
        <w:rPr>
          <w:szCs w:val="26"/>
        </w:rPr>
        <w:t>d to</w:t>
      </w:r>
      <w:r w:rsidR="00964C1E" w:rsidRPr="00E36BFF">
        <w:rPr>
          <w:szCs w:val="26"/>
        </w:rPr>
        <w:t xml:space="preserve"> the</w:t>
      </w:r>
      <w:r w:rsidR="00F4481E">
        <w:rPr>
          <w:szCs w:val="26"/>
        </w:rPr>
        <w:t xml:space="preserve"> request</w:t>
      </w:r>
      <w:r w:rsidR="00964C1E" w:rsidRPr="00E36BFF">
        <w:rPr>
          <w:szCs w:val="26"/>
        </w:rPr>
        <w:t xml:space="preserve"> to admit Attachment A on the condition that the record remain open for the admission of their Appendices A, B and C.</w:t>
      </w:r>
      <w:r w:rsidR="00E36BFF" w:rsidRPr="00E36BFF">
        <w:rPr>
          <w:szCs w:val="26"/>
        </w:rPr>
        <w:t xml:space="preserve">  </w:t>
      </w:r>
      <w:r w:rsidR="00964C1E" w:rsidRPr="00E36BFF">
        <w:rPr>
          <w:szCs w:val="26"/>
        </w:rPr>
        <w:t xml:space="preserve">The </w:t>
      </w:r>
      <w:r w:rsidR="00E36BFF" w:rsidRPr="00E36BFF">
        <w:rPr>
          <w:szCs w:val="26"/>
        </w:rPr>
        <w:t>A</w:t>
      </w:r>
      <w:r w:rsidR="00964C1E" w:rsidRPr="00E36BFF">
        <w:rPr>
          <w:szCs w:val="26"/>
        </w:rPr>
        <w:t xml:space="preserve">nswer </w:t>
      </w:r>
      <w:r w:rsidR="00BF36F8">
        <w:rPr>
          <w:szCs w:val="26"/>
        </w:rPr>
        <w:t xml:space="preserve">to PRR </w:t>
      </w:r>
      <w:r w:rsidR="00964C1E" w:rsidRPr="00E36BFF">
        <w:rPr>
          <w:szCs w:val="26"/>
        </w:rPr>
        <w:t xml:space="preserve">requested that the Commission deny </w:t>
      </w:r>
      <w:r w:rsidR="00E36BFF" w:rsidRPr="00E36BFF">
        <w:rPr>
          <w:szCs w:val="26"/>
        </w:rPr>
        <w:t>the PRR</w:t>
      </w:r>
      <w:r w:rsidR="00964C1E" w:rsidRPr="00E36BFF">
        <w:rPr>
          <w:szCs w:val="26"/>
        </w:rPr>
        <w:t xml:space="preserve"> or alternatively, that Respond</w:t>
      </w:r>
      <w:r w:rsidR="00E00225">
        <w:rPr>
          <w:szCs w:val="26"/>
        </w:rPr>
        <w:t>’</w:t>
      </w:r>
      <w:r w:rsidR="00964C1E" w:rsidRPr="00E36BFF">
        <w:rPr>
          <w:szCs w:val="26"/>
        </w:rPr>
        <w:t>s request to admit Attachment A be granted on condition that</w:t>
      </w:r>
      <w:r w:rsidR="00E36BFF" w:rsidRPr="00E36BFF">
        <w:rPr>
          <w:szCs w:val="26"/>
        </w:rPr>
        <w:t xml:space="preserve"> the Companies</w:t>
      </w:r>
      <w:r w:rsidR="00E00225">
        <w:rPr>
          <w:szCs w:val="26"/>
        </w:rPr>
        <w:t>’</w:t>
      </w:r>
      <w:r w:rsidR="00964C1E" w:rsidRPr="00E36BFF">
        <w:rPr>
          <w:szCs w:val="26"/>
        </w:rPr>
        <w:t xml:space="preserve"> Appendices A, B and C be admitted as well.</w:t>
      </w:r>
    </w:p>
    <w:p w14:paraId="426992AB" w14:textId="77777777" w:rsidR="00974FE3" w:rsidRDefault="00974FE3" w:rsidP="00CC0155">
      <w:pPr>
        <w:rPr>
          <w:szCs w:val="26"/>
        </w:rPr>
      </w:pPr>
    </w:p>
    <w:p w14:paraId="672C872E" w14:textId="16815F87" w:rsidR="00551F3C" w:rsidRDefault="00551F3C" w:rsidP="00CC0155">
      <w:pPr>
        <w:rPr>
          <w:szCs w:val="26"/>
        </w:rPr>
      </w:pPr>
      <w:r w:rsidRPr="00551F3C">
        <w:rPr>
          <w:szCs w:val="26"/>
        </w:rPr>
        <w:t>On February 20, 2018, Respond</w:t>
      </w:r>
      <w:r w:rsidR="00B06EE8">
        <w:rPr>
          <w:szCs w:val="26"/>
        </w:rPr>
        <w:t xml:space="preserve"> and the Companies </w:t>
      </w:r>
      <w:r w:rsidRPr="00551F3C">
        <w:rPr>
          <w:szCs w:val="26"/>
        </w:rPr>
        <w:t>indicated that they did not wish to present additional testimony at a further hearing</w:t>
      </w:r>
      <w:r>
        <w:rPr>
          <w:szCs w:val="26"/>
        </w:rPr>
        <w:t xml:space="preserve">.  </w:t>
      </w:r>
      <w:r w:rsidRPr="00551F3C">
        <w:rPr>
          <w:szCs w:val="26"/>
        </w:rPr>
        <w:t xml:space="preserve">Rather, they wished to move the documents attached to the </w:t>
      </w:r>
      <w:r w:rsidR="00B06EE8">
        <w:rPr>
          <w:szCs w:val="26"/>
        </w:rPr>
        <w:t xml:space="preserve">DSP IV </w:t>
      </w:r>
      <w:r w:rsidR="007D1258">
        <w:rPr>
          <w:szCs w:val="26"/>
        </w:rPr>
        <w:t xml:space="preserve">Joint </w:t>
      </w:r>
      <w:r>
        <w:rPr>
          <w:szCs w:val="26"/>
        </w:rPr>
        <w:t>P</w:t>
      </w:r>
      <w:r w:rsidRPr="00551F3C">
        <w:rPr>
          <w:szCs w:val="26"/>
        </w:rPr>
        <w:t xml:space="preserve">etition and </w:t>
      </w:r>
      <w:r>
        <w:rPr>
          <w:szCs w:val="26"/>
        </w:rPr>
        <w:t>A</w:t>
      </w:r>
      <w:r w:rsidRPr="00551F3C">
        <w:rPr>
          <w:szCs w:val="26"/>
        </w:rPr>
        <w:t>nswer</w:t>
      </w:r>
      <w:r w:rsidR="00B06EE8">
        <w:rPr>
          <w:szCs w:val="26"/>
        </w:rPr>
        <w:t>s</w:t>
      </w:r>
      <w:r w:rsidRPr="00551F3C">
        <w:rPr>
          <w:szCs w:val="26"/>
        </w:rPr>
        <w:t xml:space="preserve"> into the record as exhibits.</w:t>
      </w:r>
      <w:r>
        <w:rPr>
          <w:szCs w:val="26"/>
        </w:rPr>
        <w:t xml:space="preserve">  </w:t>
      </w:r>
      <w:r w:rsidRPr="00551F3C">
        <w:rPr>
          <w:szCs w:val="26"/>
        </w:rPr>
        <w:t>None of the parties requested the opportunity to cross examine on the proposed exhibits.</w:t>
      </w:r>
    </w:p>
    <w:p w14:paraId="324AE07B" w14:textId="77777777" w:rsidR="00551F3C" w:rsidRDefault="00551F3C" w:rsidP="00CC0155">
      <w:pPr>
        <w:rPr>
          <w:szCs w:val="26"/>
        </w:rPr>
      </w:pPr>
    </w:p>
    <w:p w14:paraId="5D72D5B8" w14:textId="0FACC3A4" w:rsidR="00D90212" w:rsidRDefault="00551F3C" w:rsidP="00CC0155">
      <w:pPr>
        <w:rPr>
          <w:szCs w:val="26"/>
        </w:rPr>
      </w:pPr>
      <w:r w:rsidRPr="00551F3C">
        <w:rPr>
          <w:szCs w:val="26"/>
        </w:rPr>
        <w:t>On March 16, 2018, Respond</w:t>
      </w:r>
      <w:r w:rsidR="00B17BB9">
        <w:rPr>
          <w:szCs w:val="26"/>
        </w:rPr>
        <w:t xml:space="preserve"> and the Companies</w:t>
      </w:r>
      <w:r w:rsidRPr="00551F3C">
        <w:rPr>
          <w:szCs w:val="26"/>
        </w:rPr>
        <w:t xml:space="preserve"> filed</w:t>
      </w:r>
      <w:r w:rsidR="00D90212">
        <w:rPr>
          <w:szCs w:val="26"/>
        </w:rPr>
        <w:t xml:space="preserve"> their</w:t>
      </w:r>
      <w:r w:rsidRPr="00551F3C">
        <w:rPr>
          <w:szCs w:val="26"/>
        </w:rPr>
        <w:t xml:space="preserve"> Briefs.  The other parties</w:t>
      </w:r>
      <w:r w:rsidR="004F317B">
        <w:rPr>
          <w:szCs w:val="26"/>
        </w:rPr>
        <w:t xml:space="preserve"> to this proceeding </w:t>
      </w:r>
      <w:r w:rsidRPr="00551F3C">
        <w:rPr>
          <w:szCs w:val="26"/>
        </w:rPr>
        <w:t>did not file</w:t>
      </w:r>
      <w:r w:rsidR="00D90212">
        <w:rPr>
          <w:szCs w:val="26"/>
        </w:rPr>
        <w:t xml:space="preserve"> any </w:t>
      </w:r>
      <w:r w:rsidRPr="00551F3C">
        <w:rPr>
          <w:szCs w:val="26"/>
        </w:rPr>
        <w:t>Briefs</w:t>
      </w:r>
      <w:r>
        <w:rPr>
          <w:szCs w:val="26"/>
        </w:rPr>
        <w:t xml:space="preserve">.  </w:t>
      </w:r>
    </w:p>
    <w:p w14:paraId="16C3A406" w14:textId="77777777" w:rsidR="00092EE4" w:rsidRDefault="00092EE4" w:rsidP="00CC0155">
      <w:pPr>
        <w:rPr>
          <w:szCs w:val="26"/>
        </w:rPr>
      </w:pPr>
    </w:p>
    <w:p w14:paraId="7D929051" w14:textId="7377FEB2" w:rsidR="00455CCA" w:rsidRPr="00117CC1" w:rsidRDefault="00551F3C" w:rsidP="00CC0155">
      <w:pPr>
        <w:rPr>
          <w:szCs w:val="26"/>
        </w:rPr>
      </w:pPr>
      <w:r w:rsidRPr="00551F3C">
        <w:rPr>
          <w:szCs w:val="26"/>
        </w:rPr>
        <w:t xml:space="preserve">On March 30, 2018, </w:t>
      </w:r>
      <w:r>
        <w:rPr>
          <w:szCs w:val="26"/>
        </w:rPr>
        <w:t xml:space="preserve">the record in this proceeding was closed after </w:t>
      </w:r>
      <w:r w:rsidRPr="00551F3C">
        <w:rPr>
          <w:szCs w:val="26"/>
        </w:rPr>
        <w:t>Respond</w:t>
      </w:r>
      <w:r w:rsidR="00B17BB9">
        <w:rPr>
          <w:szCs w:val="26"/>
        </w:rPr>
        <w:t xml:space="preserve"> and the Companies </w:t>
      </w:r>
      <w:r w:rsidRPr="00551F3C">
        <w:rPr>
          <w:szCs w:val="26"/>
        </w:rPr>
        <w:t xml:space="preserve">filed </w:t>
      </w:r>
      <w:r>
        <w:rPr>
          <w:szCs w:val="26"/>
        </w:rPr>
        <w:t>R</w:t>
      </w:r>
      <w:r w:rsidRPr="00551F3C">
        <w:rPr>
          <w:szCs w:val="26"/>
        </w:rPr>
        <w:t xml:space="preserve">eply </w:t>
      </w:r>
      <w:r>
        <w:rPr>
          <w:szCs w:val="26"/>
        </w:rPr>
        <w:t>B</w:t>
      </w:r>
      <w:r w:rsidRPr="00551F3C">
        <w:rPr>
          <w:szCs w:val="26"/>
        </w:rPr>
        <w:t xml:space="preserve">riefs. </w:t>
      </w:r>
    </w:p>
    <w:p w14:paraId="7AB7781F" w14:textId="77777777" w:rsidR="008844B4" w:rsidRPr="00117CC1" w:rsidRDefault="008844B4" w:rsidP="00CC0155">
      <w:pPr>
        <w:rPr>
          <w:szCs w:val="26"/>
        </w:rPr>
      </w:pPr>
    </w:p>
    <w:p w14:paraId="6B883179" w14:textId="030FC1B7" w:rsidR="00011FCB" w:rsidRDefault="00735037" w:rsidP="00CC0155">
      <w:pPr>
        <w:tabs>
          <w:tab w:val="left" w:pos="-720"/>
        </w:tabs>
        <w:suppressAutoHyphens/>
        <w:rPr>
          <w:spacing w:val="-3"/>
        </w:rPr>
      </w:pPr>
      <w:r>
        <w:rPr>
          <w:spacing w:val="-3"/>
        </w:rPr>
        <w:t xml:space="preserve">On April 20, 2018, the Commission issued the </w:t>
      </w:r>
      <w:r w:rsidR="00F75354">
        <w:rPr>
          <w:spacing w:val="-3"/>
        </w:rPr>
        <w:t>Initial</w:t>
      </w:r>
      <w:r w:rsidR="008D2B7B" w:rsidRPr="00117CC1">
        <w:rPr>
          <w:spacing w:val="-3"/>
        </w:rPr>
        <w:t xml:space="preserve"> Decision</w:t>
      </w:r>
      <w:r>
        <w:rPr>
          <w:spacing w:val="-3"/>
        </w:rPr>
        <w:t xml:space="preserve"> of </w:t>
      </w:r>
      <w:r w:rsidR="00DB1097" w:rsidRPr="00117CC1">
        <w:rPr>
          <w:spacing w:val="-3"/>
        </w:rPr>
        <w:t>ALJ</w:t>
      </w:r>
      <w:r w:rsidR="00011FCB">
        <w:rPr>
          <w:spacing w:val="-3"/>
        </w:rPr>
        <w:t xml:space="preserve"> </w:t>
      </w:r>
      <w:r w:rsidR="00557A26">
        <w:rPr>
          <w:spacing w:val="-3"/>
        </w:rPr>
        <w:t xml:space="preserve">Salapa </w:t>
      </w:r>
      <w:r>
        <w:rPr>
          <w:spacing w:val="-3"/>
        </w:rPr>
        <w:t xml:space="preserve">in which he </w:t>
      </w:r>
      <w:r w:rsidR="00011FCB">
        <w:rPr>
          <w:spacing w:val="-3"/>
        </w:rPr>
        <w:t>d</w:t>
      </w:r>
      <w:r>
        <w:rPr>
          <w:spacing w:val="-3"/>
        </w:rPr>
        <w:t xml:space="preserve">ismissed </w:t>
      </w:r>
      <w:r w:rsidR="00011FCB">
        <w:rPr>
          <w:spacing w:val="-3"/>
        </w:rPr>
        <w:t>Respond</w:t>
      </w:r>
      <w:r w:rsidR="00E00225">
        <w:rPr>
          <w:spacing w:val="-3"/>
        </w:rPr>
        <w:t>’</w:t>
      </w:r>
      <w:r w:rsidR="00011FCB">
        <w:rPr>
          <w:spacing w:val="-3"/>
        </w:rPr>
        <w:t>s Complaints</w:t>
      </w:r>
      <w:r w:rsidR="003345F8">
        <w:rPr>
          <w:spacing w:val="-3"/>
        </w:rPr>
        <w:t>.</w:t>
      </w:r>
      <w:r w:rsidR="00011FCB">
        <w:rPr>
          <w:spacing w:val="-3"/>
        </w:rPr>
        <w:t xml:space="preserve"> </w:t>
      </w:r>
      <w:r w:rsidR="00310AF6">
        <w:rPr>
          <w:spacing w:val="-3"/>
        </w:rPr>
        <w:t xml:space="preserve"> </w:t>
      </w:r>
      <w:r w:rsidR="003345F8">
        <w:rPr>
          <w:spacing w:val="-3"/>
        </w:rPr>
        <w:t>ALJ Salapa concluded that</w:t>
      </w:r>
      <w:r w:rsidR="00011FCB">
        <w:rPr>
          <w:spacing w:val="-3"/>
        </w:rPr>
        <w:t xml:space="preserve"> Respond failed to demonstrate that facts and circumstances have changed so drastically since</w:t>
      </w:r>
      <w:r w:rsidR="00557A26">
        <w:rPr>
          <w:spacing w:val="-3"/>
        </w:rPr>
        <w:t xml:space="preserve"> issuance of the </w:t>
      </w:r>
      <w:r w:rsidR="00557A26" w:rsidRPr="00557A26">
        <w:rPr>
          <w:i/>
          <w:spacing w:val="-3"/>
        </w:rPr>
        <w:t>Default Service Order</w:t>
      </w:r>
      <w:r w:rsidR="00011FCB">
        <w:rPr>
          <w:spacing w:val="-3"/>
        </w:rPr>
        <w:t xml:space="preserve">, so as to render application of the </w:t>
      </w:r>
      <w:proofErr w:type="spellStart"/>
      <w:r w:rsidR="00011FCB">
        <w:rPr>
          <w:spacing w:val="-3"/>
        </w:rPr>
        <w:t>clawback</w:t>
      </w:r>
      <w:proofErr w:type="spellEnd"/>
      <w:r w:rsidR="00011FCB">
        <w:rPr>
          <w:spacing w:val="-3"/>
        </w:rPr>
        <w:t xml:space="preserve"> provision unreasonable</w:t>
      </w:r>
      <w:r w:rsidR="00A87EF4">
        <w:rPr>
          <w:spacing w:val="-3"/>
        </w:rPr>
        <w:t xml:space="preserve"> and </w:t>
      </w:r>
      <w:r w:rsidR="00011FCB">
        <w:rPr>
          <w:spacing w:val="-3"/>
        </w:rPr>
        <w:t xml:space="preserve">that Respond </w:t>
      </w:r>
      <w:r w:rsidR="00557A26">
        <w:rPr>
          <w:spacing w:val="-3"/>
        </w:rPr>
        <w:t xml:space="preserve">also </w:t>
      </w:r>
      <w:r w:rsidR="00011FCB">
        <w:rPr>
          <w:spacing w:val="-3"/>
        </w:rPr>
        <w:t xml:space="preserve">failed to demonstrate that the Companies miscalculated the </w:t>
      </w:r>
      <w:proofErr w:type="spellStart"/>
      <w:r w:rsidR="00011FCB">
        <w:rPr>
          <w:spacing w:val="-3"/>
        </w:rPr>
        <w:t>clawback</w:t>
      </w:r>
      <w:proofErr w:type="spellEnd"/>
      <w:r w:rsidR="00011FCB">
        <w:rPr>
          <w:spacing w:val="-3"/>
        </w:rPr>
        <w:t xml:space="preserve"> charge</w:t>
      </w:r>
      <w:r w:rsidR="00503230">
        <w:rPr>
          <w:spacing w:val="-3"/>
        </w:rPr>
        <w:t>s</w:t>
      </w:r>
      <w:r w:rsidR="00011FCB">
        <w:rPr>
          <w:spacing w:val="-3"/>
        </w:rPr>
        <w:t>.  I.D. at 2, 37-38.</w:t>
      </w:r>
    </w:p>
    <w:p w14:paraId="62DEE4AB" w14:textId="77777777" w:rsidR="00EF5063" w:rsidRPr="00117CC1" w:rsidRDefault="00EF5063" w:rsidP="00CC0155">
      <w:pPr>
        <w:tabs>
          <w:tab w:val="left" w:pos="-720"/>
        </w:tabs>
        <w:suppressAutoHyphens/>
        <w:rPr>
          <w:spacing w:val="-3"/>
        </w:rPr>
      </w:pPr>
    </w:p>
    <w:p w14:paraId="1BF75BC0" w14:textId="77777777" w:rsidR="002E7978" w:rsidRDefault="00757BE6" w:rsidP="00CC0155">
      <w:pPr>
        <w:tabs>
          <w:tab w:val="left" w:pos="-720"/>
        </w:tabs>
        <w:suppressAutoHyphens/>
        <w:rPr>
          <w:szCs w:val="26"/>
        </w:rPr>
      </w:pPr>
      <w:r w:rsidRPr="00117CC1">
        <w:rPr>
          <w:spacing w:val="-3"/>
        </w:rPr>
        <w:t xml:space="preserve">As previously noted, </w:t>
      </w:r>
      <w:r w:rsidR="00011FCB">
        <w:rPr>
          <w:szCs w:val="26"/>
        </w:rPr>
        <w:t>Respond</w:t>
      </w:r>
      <w:r w:rsidR="00076645" w:rsidRPr="00117CC1">
        <w:rPr>
          <w:szCs w:val="26"/>
        </w:rPr>
        <w:t xml:space="preserve"> </w:t>
      </w:r>
      <w:r w:rsidR="00EF5063" w:rsidRPr="00117CC1">
        <w:rPr>
          <w:szCs w:val="26"/>
        </w:rPr>
        <w:t xml:space="preserve">filed Exceptions </w:t>
      </w:r>
      <w:r w:rsidR="00EB4486" w:rsidRPr="00117CC1">
        <w:rPr>
          <w:szCs w:val="26"/>
        </w:rPr>
        <w:t>on</w:t>
      </w:r>
      <w:r w:rsidR="00011FCB">
        <w:rPr>
          <w:szCs w:val="26"/>
        </w:rPr>
        <w:t xml:space="preserve"> May 10, 2018</w:t>
      </w:r>
      <w:r w:rsidR="00076645" w:rsidRPr="00117CC1">
        <w:rPr>
          <w:szCs w:val="26"/>
        </w:rPr>
        <w:t>.</w:t>
      </w:r>
      <w:r w:rsidR="00011FCB">
        <w:rPr>
          <w:szCs w:val="26"/>
        </w:rPr>
        <w:t xml:space="preserve">  The Companies </w:t>
      </w:r>
      <w:r w:rsidR="00EF5063" w:rsidRPr="00117CC1">
        <w:rPr>
          <w:szCs w:val="26"/>
        </w:rPr>
        <w:t xml:space="preserve">filed </w:t>
      </w:r>
      <w:r w:rsidR="0095325D" w:rsidRPr="00117CC1">
        <w:rPr>
          <w:szCs w:val="26"/>
        </w:rPr>
        <w:t>Replies to Exceptions on</w:t>
      </w:r>
      <w:r w:rsidR="00011FCB">
        <w:rPr>
          <w:szCs w:val="26"/>
        </w:rPr>
        <w:t xml:space="preserve"> May 21</w:t>
      </w:r>
      <w:r w:rsidR="00EF5063" w:rsidRPr="00117CC1">
        <w:rPr>
          <w:szCs w:val="26"/>
        </w:rPr>
        <w:t>, 201</w:t>
      </w:r>
      <w:r w:rsidR="00011FCB">
        <w:rPr>
          <w:szCs w:val="26"/>
        </w:rPr>
        <w:t>8</w:t>
      </w:r>
      <w:r w:rsidR="00EF5063" w:rsidRPr="00117CC1">
        <w:rPr>
          <w:szCs w:val="26"/>
        </w:rPr>
        <w:t xml:space="preserve">.  </w:t>
      </w:r>
    </w:p>
    <w:p w14:paraId="7B87903D" w14:textId="77777777" w:rsidR="00F75354" w:rsidRPr="00117CC1" w:rsidRDefault="00F75354" w:rsidP="00CC0155">
      <w:pPr>
        <w:tabs>
          <w:tab w:val="left" w:pos="-720"/>
        </w:tabs>
        <w:suppressAutoHyphens/>
        <w:rPr>
          <w:szCs w:val="26"/>
        </w:rPr>
      </w:pPr>
    </w:p>
    <w:p w14:paraId="1AB57CE8" w14:textId="77777777" w:rsidR="00B22C03" w:rsidRPr="00117CC1" w:rsidRDefault="00B22C03" w:rsidP="00CC0155">
      <w:pPr>
        <w:pStyle w:val="Heading1"/>
      </w:pPr>
      <w:bookmarkStart w:id="1" w:name="_Toc415316182"/>
      <w:r w:rsidRPr="00117CC1">
        <w:lastRenderedPageBreak/>
        <w:t>II.</w:t>
      </w:r>
      <w:r w:rsidRPr="00117CC1">
        <w:tab/>
        <w:t>Background</w:t>
      </w:r>
      <w:bookmarkEnd w:id="1"/>
      <w:r w:rsidRPr="00117CC1">
        <w:t xml:space="preserve"> </w:t>
      </w:r>
    </w:p>
    <w:p w14:paraId="3F8596CA" w14:textId="77777777" w:rsidR="00B22C03" w:rsidRPr="00CC32E0" w:rsidRDefault="00B22C03" w:rsidP="00CC0155">
      <w:pPr>
        <w:pStyle w:val="BodyText"/>
        <w:keepNext/>
        <w:spacing w:after="0"/>
        <w:jc w:val="center"/>
        <w:rPr>
          <w:b/>
          <w:szCs w:val="26"/>
        </w:rPr>
      </w:pPr>
    </w:p>
    <w:p w14:paraId="02F69A4E" w14:textId="5C14C523" w:rsidR="005A4394" w:rsidRDefault="005A4394" w:rsidP="00CC0155">
      <w:pPr>
        <w:rPr>
          <w:szCs w:val="26"/>
        </w:rPr>
      </w:pPr>
      <w:r>
        <w:rPr>
          <w:szCs w:val="26"/>
        </w:rPr>
        <w:t>Respond is an EGS licensed by the Commission to supply electricity or EGS services to the public within the Commonwealth of Pennsylvania.  Respond was approved by the Commission as an EGS in Pennsylvania on August 19, 2010.</w:t>
      </w:r>
      <w:r w:rsidR="00607E64">
        <w:rPr>
          <w:rStyle w:val="FootnoteReference"/>
          <w:szCs w:val="26"/>
        </w:rPr>
        <w:footnoteReference w:id="7"/>
      </w:r>
      <w:r>
        <w:rPr>
          <w:szCs w:val="26"/>
        </w:rPr>
        <w:t xml:space="preserve">  Respond serves residential and small business customers in various EDC service territories throughout the Commonwealth.  Since 2013, Respond has participated in the Companies</w:t>
      </w:r>
      <w:r w:rsidR="00E00225">
        <w:rPr>
          <w:szCs w:val="26"/>
        </w:rPr>
        <w:t>’</w:t>
      </w:r>
      <w:r>
        <w:rPr>
          <w:szCs w:val="26"/>
        </w:rPr>
        <w:t xml:space="preserve"> POR programs that have been implemented through their </w:t>
      </w:r>
      <w:r w:rsidR="0006765F">
        <w:rPr>
          <w:szCs w:val="26"/>
        </w:rPr>
        <w:t>D</w:t>
      </w:r>
      <w:r>
        <w:rPr>
          <w:szCs w:val="26"/>
        </w:rPr>
        <w:t xml:space="preserve">efault </w:t>
      </w:r>
      <w:r w:rsidR="0006765F">
        <w:rPr>
          <w:szCs w:val="26"/>
        </w:rPr>
        <w:t>S</w:t>
      </w:r>
      <w:r>
        <w:rPr>
          <w:szCs w:val="26"/>
        </w:rPr>
        <w:t xml:space="preserve">ervice </w:t>
      </w:r>
      <w:r w:rsidR="0006765F">
        <w:rPr>
          <w:szCs w:val="26"/>
        </w:rPr>
        <w:t>P</w:t>
      </w:r>
      <w:r>
        <w:rPr>
          <w:szCs w:val="26"/>
        </w:rPr>
        <w:t xml:space="preserve">lans.  Respond St. 1 at 2, 7.  </w:t>
      </w:r>
    </w:p>
    <w:p w14:paraId="498A4A6C" w14:textId="77777777" w:rsidR="005A4394" w:rsidRDefault="005A4394" w:rsidP="00CC0155">
      <w:pPr>
        <w:rPr>
          <w:szCs w:val="26"/>
        </w:rPr>
      </w:pPr>
    </w:p>
    <w:p w14:paraId="546CCDE3" w14:textId="3CB401E1" w:rsidR="004072EB" w:rsidRDefault="006C3B60" w:rsidP="00CC0155">
      <w:pPr>
        <w:rPr>
          <w:szCs w:val="26"/>
        </w:rPr>
      </w:pPr>
      <w:r>
        <w:rPr>
          <w:szCs w:val="26"/>
        </w:rPr>
        <w:t xml:space="preserve">Penelec and West Penn are EDCs authorized by the Commission to provide electric distribution services to customers within their service territories in Pennsylvania.  In their role as EDCs, pursuant to Section 2807 of the Code, </w:t>
      </w:r>
      <w:r w:rsidR="0005229D">
        <w:rPr>
          <w:szCs w:val="26"/>
        </w:rPr>
        <w:t xml:space="preserve">66 Pa. C.S.§ 2807, </w:t>
      </w:r>
      <w:r>
        <w:rPr>
          <w:szCs w:val="26"/>
        </w:rPr>
        <w:t xml:space="preserve">the Companies provide default generation service to customers who do not select an EGS.  </w:t>
      </w:r>
      <w:r w:rsidR="00D95865">
        <w:rPr>
          <w:szCs w:val="26"/>
        </w:rPr>
        <w:t>Further, p</w:t>
      </w:r>
      <w:r w:rsidR="00B63AD1" w:rsidRPr="008157C9">
        <w:rPr>
          <w:szCs w:val="26"/>
        </w:rPr>
        <w:t>ursuant to the Commission</w:t>
      </w:r>
      <w:r w:rsidR="00E00225">
        <w:rPr>
          <w:szCs w:val="26"/>
        </w:rPr>
        <w:t>’</w:t>
      </w:r>
      <w:r w:rsidR="00B63AD1" w:rsidRPr="008157C9">
        <w:rPr>
          <w:szCs w:val="26"/>
        </w:rPr>
        <w:t xml:space="preserve">s Policy Statement at 52 Pa. Code § 69.1814, Penelec and West Penn provide Commission-approved POR programs for residential and small business customers.  Companies St. 1 at 9.  </w:t>
      </w:r>
    </w:p>
    <w:p w14:paraId="7FA55F55" w14:textId="77777777" w:rsidR="004072EB" w:rsidRDefault="004072EB" w:rsidP="00CC0155">
      <w:pPr>
        <w:rPr>
          <w:szCs w:val="26"/>
        </w:rPr>
      </w:pPr>
    </w:p>
    <w:p w14:paraId="5955F1E5" w14:textId="4190E416" w:rsidR="00B63AD1" w:rsidRDefault="00B63AD1" w:rsidP="00CC0155">
      <w:pPr>
        <w:rPr>
          <w:szCs w:val="26"/>
        </w:rPr>
      </w:pPr>
      <w:r w:rsidRPr="008157C9">
        <w:rPr>
          <w:szCs w:val="26"/>
        </w:rPr>
        <w:t>The Companies</w:t>
      </w:r>
      <w:r w:rsidR="00E00225">
        <w:rPr>
          <w:szCs w:val="26"/>
        </w:rPr>
        <w:t>’</w:t>
      </w:r>
      <w:r w:rsidRPr="008157C9">
        <w:rPr>
          <w:szCs w:val="26"/>
        </w:rPr>
        <w:t xml:space="preserve"> POR programs provide that they will purchase accounts receivables from EGSs at a zero-discount rate.</w:t>
      </w:r>
      <w:r w:rsidR="00CF5F68">
        <w:rPr>
          <w:szCs w:val="26"/>
        </w:rPr>
        <w:t xml:space="preserve">  </w:t>
      </w:r>
      <w:r w:rsidRPr="008157C9">
        <w:rPr>
          <w:szCs w:val="26"/>
        </w:rPr>
        <w:t>The Companies pay the face value of the receivables without recourse to the EGSs</w:t>
      </w:r>
      <w:r w:rsidR="004072EB">
        <w:rPr>
          <w:szCs w:val="26"/>
        </w:rPr>
        <w:t>,</w:t>
      </w:r>
      <w:r w:rsidRPr="008157C9">
        <w:rPr>
          <w:szCs w:val="26"/>
        </w:rPr>
        <w:t xml:space="preserve"> regardless of the amounts Penelec and West Penn </w:t>
      </w:r>
      <w:r w:rsidR="004072EB">
        <w:rPr>
          <w:szCs w:val="26"/>
        </w:rPr>
        <w:t xml:space="preserve">ultimately </w:t>
      </w:r>
      <w:r w:rsidRPr="008157C9">
        <w:rPr>
          <w:szCs w:val="26"/>
        </w:rPr>
        <w:t>collect from the customers.  The Companies bear the risk of customer accounts that are written off</w:t>
      </w:r>
      <w:r>
        <w:rPr>
          <w:szCs w:val="26"/>
        </w:rPr>
        <w:t xml:space="preserve">.  </w:t>
      </w:r>
      <w:r w:rsidRPr="00E25A2E">
        <w:rPr>
          <w:i/>
          <w:szCs w:val="26"/>
        </w:rPr>
        <w:t>Id.</w:t>
      </w:r>
      <w:r>
        <w:rPr>
          <w:szCs w:val="26"/>
        </w:rPr>
        <w:t xml:space="preserve">  </w:t>
      </w:r>
      <w:r w:rsidRPr="00B60295">
        <w:rPr>
          <w:szCs w:val="26"/>
        </w:rPr>
        <w:t>The Commission approved allowances for uncollectible accounts expenses in the Companies</w:t>
      </w:r>
      <w:r w:rsidR="00E00225">
        <w:rPr>
          <w:szCs w:val="26"/>
        </w:rPr>
        <w:t>’</w:t>
      </w:r>
      <w:r w:rsidRPr="00B60295">
        <w:rPr>
          <w:szCs w:val="26"/>
        </w:rPr>
        <w:t xml:space="preserve"> 2014 and 2016 base rate cases.</w:t>
      </w:r>
      <w:r w:rsidR="0066322E">
        <w:rPr>
          <w:szCs w:val="26"/>
        </w:rPr>
        <w:t xml:space="preserve">  </w:t>
      </w:r>
      <w:r w:rsidRPr="00B60295">
        <w:rPr>
          <w:i/>
          <w:szCs w:val="26"/>
        </w:rPr>
        <w:t>Id.</w:t>
      </w:r>
      <w:r w:rsidRPr="00B60295">
        <w:rPr>
          <w:szCs w:val="26"/>
        </w:rPr>
        <w:t xml:space="preserve"> at 10.  A portion of those allowances is attributable to distribution rates and the balance is attributable to the provision of default service and the POR program.  The default service and POR-</w:t>
      </w:r>
      <w:r w:rsidRPr="00B60295">
        <w:rPr>
          <w:szCs w:val="26"/>
        </w:rPr>
        <w:lastRenderedPageBreak/>
        <w:t>related portion of uncollectible accounts expense for both Penelec and West Penn is recovered through their respective DSS Riders on a non-</w:t>
      </w:r>
      <w:proofErr w:type="spellStart"/>
      <w:r w:rsidRPr="00B60295">
        <w:rPr>
          <w:szCs w:val="26"/>
        </w:rPr>
        <w:t>bypassable</w:t>
      </w:r>
      <w:proofErr w:type="spellEnd"/>
      <w:r w:rsidRPr="00B60295">
        <w:rPr>
          <w:szCs w:val="26"/>
        </w:rPr>
        <w:t xml:space="preserve"> basis.  </w:t>
      </w:r>
      <w:r w:rsidRPr="00B60295">
        <w:rPr>
          <w:i/>
          <w:szCs w:val="26"/>
        </w:rPr>
        <w:t>Id.</w:t>
      </w:r>
      <w:r w:rsidRPr="00B60295">
        <w:rPr>
          <w:szCs w:val="26"/>
        </w:rPr>
        <w:t xml:space="preserve"> </w:t>
      </w:r>
    </w:p>
    <w:p w14:paraId="512DB4CF" w14:textId="77777777" w:rsidR="00B63AD1" w:rsidRDefault="00B63AD1" w:rsidP="00CC0155">
      <w:pPr>
        <w:rPr>
          <w:szCs w:val="26"/>
        </w:rPr>
      </w:pPr>
    </w:p>
    <w:p w14:paraId="617E4223" w14:textId="0E873252" w:rsidR="00024A7B" w:rsidRDefault="00CC32E0" w:rsidP="00CC0155">
      <w:pPr>
        <w:keepNext/>
        <w:rPr>
          <w:i/>
          <w:szCs w:val="26"/>
        </w:rPr>
      </w:pPr>
      <w:r w:rsidRPr="00DF43E3">
        <w:rPr>
          <w:szCs w:val="26"/>
        </w:rPr>
        <w:t>On November 3, 2015, Penelec</w:t>
      </w:r>
      <w:r w:rsidR="0066322E">
        <w:rPr>
          <w:szCs w:val="26"/>
        </w:rPr>
        <w:t xml:space="preserve">, </w:t>
      </w:r>
      <w:r w:rsidRPr="00DF43E3">
        <w:rPr>
          <w:szCs w:val="26"/>
        </w:rPr>
        <w:t>West Penn</w:t>
      </w:r>
      <w:r w:rsidR="00137178">
        <w:rPr>
          <w:szCs w:val="26"/>
        </w:rPr>
        <w:t>,</w:t>
      </w:r>
      <w:r w:rsidRPr="00DF43E3">
        <w:rPr>
          <w:szCs w:val="26"/>
        </w:rPr>
        <w:t xml:space="preserve"> </w:t>
      </w:r>
      <w:r w:rsidR="0066322E">
        <w:rPr>
          <w:szCs w:val="26"/>
        </w:rPr>
        <w:t>and their other Pennsylvania affiliates</w:t>
      </w:r>
      <w:r w:rsidR="001A5D18">
        <w:rPr>
          <w:szCs w:val="26"/>
        </w:rPr>
        <w:t>,</w:t>
      </w:r>
      <w:r w:rsidR="0066322E">
        <w:rPr>
          <w:szCs w:val="26"/>
        </w:rPr>
        <w:t xml:space="preserve"> </w:t>
      </w:r>
      <w:r w:rsidRPr="00DF43E3">
        <w:rPr>
          <w:szCs w:val="26"/>
        </w:rPr>
        <w:t xml:space="preserve">filed the DSP IV </w:t>
      </w:r>
      <w:r w:rsidR="004A4F86">
        <w:rPr>
          <w:szCs w:val="26"/>
        </w:rPr>
        <w:t xml:space="preserve">Joint </w:t>
      </w:r>
      <w:r w:rsidRPr="00DF43E3">
        <w:rPr>
          <w:szCs w:val="26"/>
        </w:rPr>
        <w:t xml:space="preserve">Petition which included revisions to their POR programs.  Companies </w:t>
      </w:r>
      <w:r w:rsidR="00892F70">
        <w:rPr>
          <w:szCs w:val="26"/>
        </w:rPr>
        <w:t xml:space="preserve">St. 1 </w:t>
      </w:r>
      <w:r w:rsidRPr="00DF43E3">
        <w:rPr>
          <w:szCs w:val="26"/>
        </w:rPr>
        <w:t>at 13.</w:t>
      </w:r>
      <w:r w:rsidR="00024A7B">
        <w:rPr>
          <w:szCs w:val="26"/>
        </w:rPr>
        <w:t xml:space="preserve">  </w:t>
      </w:r>
      <w:r w:rsidR="00024A7B" w:rsidRPr="000B20A8">
        <w:rPr>
          <w:szCs w:val="26"/>
        </w:rPr>
        <w:t xml:space="preserve">The Companies proposed the addition of a </w:t>
      </w:r>
      <w:proofErr w:type="spellStart"/>
      <w:r w:rsidR="00024A7B" w:rsidRPr="000B20A8">
        <w:rPr>
          <w:szCs w:val="26"/>
        </w:rPr>
        <w:t>clawback</w:t>
      </w:r>
      <w:proofErr w:type="spellEnd"/>
      <w:r w:rsidR="00024A7B" w:rsidRPr="000B20A8">
        <w:rPr>
          <w:szCs w:val="26"/>
        </w:rPr>
        <w:t xml:space="preserve"> provision to their POR programs in the DSP IV proceedings to </w:t>
      </w:r>
      <w:r w:rsidR="00E41838" w:rsidRPr="000B20A8">
        <w:rPr>
          <w:szCs w:val="26"/>
        </w:rPr>
        <w:t xml:space="preserve">reduce </w:t>
      </w:r>
      <w:r w:rsidR="00E41838">
        <w:rPr>
          <w:szCs w:val="26"/>
        </w:rPr>
        <w:t>their</w:t>
      </w:r>
      <w:r w:rsidR="001A1DA9">
        <w:rPr>
          <w:szCs w:val="26"/>
        </w:rPr>
        <w:t xml:space="preserve"> exposure and </w:t>
      </w:r>
      <w:r w:rsidR="00024A7B" w:rsidRPr="000B20A8">
        <w:rPr>
          <w:szCs w:val="26"/>
        </w:rPr>
        <w:t>their customers</w:t>
      </w:r>
      <w:r w:rsidR="00E00225">
        <w:rPr>
          <w:szCs w:val="26"/>
        </w:rPr>
        <w:t>’</w:t>
      </w:r>
      <w:r w:rsidR="00024A7B" w:rsidRPr="000B20A8">
        <w:rPr>
          <w:szCs w:val="26"/>
        </w:rPr>
        <w:t xml:space="preserve"> exposure to increased uncollectible expense</w:t>
      </w:r>
      <w:r w:rsidR="001A5D18">
        <w:rPr>
          <w:szCs w:val="26"/>
        </w:rPr>
        <w:t>s</w:t>
      </w:r>
      <w:r w:rsidR="00024A7B" w:rsidRPr="000B20A8">
        <w:rPr>
          <w:szCs w:val="26"/>
        </w:rPr>
        <w:t xml:space="preserve"> due to excessive EGS write-offs. </w:t>
      </w:r>
      <w:r w:rsidR="00024A7B">
        <w:rPr>
          <w:szCs w:val="26"/>
        </w:rPr>
        <w:t xml:space="preserve"> </w:t>
      </w:r>
      <w:r w:rsidR="00024A7B" w:rsidRPr="000B20A8">
        <w:rPr>
          <w:i/>
          <w:szCs w:val="26"/>
        </w:rPr>
        <w:t>Id.</w:t>
      </w:r>
      <w:r w:rsidR="00024A7B" w:rsidRPr="000B20A8">
        <w:rPr>
          <w:szCs w:val="26"/>
        </w:rPr>
        <w:t xml:space="preserve"> at 10.  In analyzing uncollectible </w:t>
      </w:r>
      <w:r w:rsidR="001A5D18">
        <w:rPr>
          <w:szCs w:val="26"/>
        </w:rPr>
        <w:t xml:space="preserve">expense </w:t>
      </w:r>
      <w:r w:rsidR="00024A7B" w:rsidRPr="000B20A8">
        <w:rPr>
          <w:szCs w:val="26"/>
        </w:rPr>
        <w:t>since their 2014 base rate proceeding, the Companies identified an approximate</w:t>
      </w:r>
      <w:r w:rsidR="00892F70">
        <w:rPr>
          <w:szCs w:val="26"/>
        </w:rPr>
        <w:t>ly</w:t>
      </w:r>
      <w:r w:rsidR="00024A7B" w:rsidRPr="000B20A8">
        <w:rPr>
          <w:szCs w:val="26"/>
        </w:rPr>
        <w:t xml:space="preserve"> $7 million increase in POR-related net write-offs since 2012, when they began tracking discrete categories of write-offs.  </w:t>
      </w:r>
      <w:r w:rsidR="00024A7B" w:rsidRPr="000B20A8">
        <w:rPr>
          <w:i/>
          <w:szCs w:val="26"/>
        </w:rPr>
        <w:t xml:space="preserve">Id.  </w:t>
      </w:r>
      <w:r w:rsidR="00024A7B" w:rsidRPr="000B20A8">
        <w:rPr>
          <w:szCs w:val="26"/>
        </w:rPr>
        <w:t xml:space="preserve">The Companies further identified a wide variance in percentages for EGS write-offs as a percentage of generation revenues billed over a twelve-month period.  </w:t>
      </w:r>
      <w:r w:rsidR="00024A7B" w:rsidRPr="000B20A8">
        <w:rPr>
          <w:i/>
          <w:szCs w:val="26"/>
        </w:rPr>
        <w:t>Id.</w:t>
      </w:r>
      <w:r w:rsidR="00024A7B">
        <w:rPr>
          <w:szCs w:val="26"/>
        </w:rPr>
        <w:t xml:space="preserve">  </w:t>
      </w:r>
      <w:r w:rsidR="00024A7B" w:rsidRPr="00AD43A3">
        <w:rPr>
          <w:color w:val="000000"/>
          <w:szCs w:val="26"/>
        </w:rPr>
        <w:t xml:space="preserve">To address this disparity in EGS-related write-off percentages, </w:t>
      </w:r>
      <w:r w:rsidR="00024A7B">
        <w:rPr>
          <w:color w:val="000000"/>
          <w:szCs w:val="26"/>
        </w:rPr>
        <w:t>the Companies</w:t>
      </w:r>
      <w:r w:rsidR="00024A7B" w:rsidRPr="00AD43A3">
        <w:rPr>
          <w:color w:val="000000"/>
          <w:szCs w:val="26"/>
        </w:rPr>
        <w:t xml:space="preserve"> proposed to collect a portion of </w:t>
      </w:r>
      <w:r w:rsidR="00155FA8">
        <w:rPr>
          <w:color w:val="000000"/>
          <w:szCs w:val="26"/>
        </w:rPr>
        <w:t xml:space="preserve">the </w:t>
      </w:r>
      <w:r w:rsidR="00024A7B" w:rsidRPr="00AD43A3">
        <w:rPr>
          <w:color w:val="000000"/>
          <w:szCs w:val="26"/>
        </w:rPr>
        <w:t xml:space="preserve">growing uncollectible accounts expense from EGSs whose practices are driving higher write-offs as a product of the types of offers they make to customers. </w:t>
      </w:r>
      <w:r w:rsidR="00024A7B" w:rsidRPr="00AD43A3">
        <w:rPr>
          <w:i/>
          <w:color w:val="000000"/>
          <w:szCs w:val="26"/>
        </w:rPr>
        <w:t xml:space="preserve"> Id. </w:t>
      </w:r>
      <w:r w:rsidR="00024A7B">
        <w:rPr>
          <w:color w:val="000000"/>
          <w:szCs w:val="26"/>
        </w:rPr>
        <w:t xml:space="preserve">at 11. </w:t>
      </w:r>
      <w:r w:rsidR="00024A7B" w:rsidRPr="00AD43A3">
        <w:rPr>
          <w:color w:val="000000"/>
          <w:szCs w:val="26"/>
        </w:rPr>
        <w:t xml:space="preserve"> Because collection is not an issue EGSs must concern </w:t>
      </w:r>
      <w:r w:rsidR="00024A7B" w:rsidRPr="00AD43A3">
        <w:rPr>
          <w:szCs w:val="26"/>
        </w:rPr>
        <w:t xml:space="preserve">themselves with, </w:t>
      </w:r>
      <w:r w:rsidR="00024A7B">
        <w:rPr>
          <w:szCs w:val="26"/>
        </w:rPr>
        <w:t>the Companies</w:t>
      </w:r>
      <w:r w:rsidR="00024A7B" w:rsidRPr="00AD43A3">
        <w:rPr>
          <w:szCs w:val="26"/>
        </w:rPr>
        <w:t xml:space="preserve"> believe</w:t>
      </w:r>
      <w:r w:rsidR="008A343A">
        <w:rPr>
          <w:szCs w:val="26"/>
        </w:rPr>
        <w:t xml:space="preserve"> </w:t>
      </w:r>
      <w:r w:rsidR="00024A7B" w:rsidRPr="00AD43A3">
        <w:rPr>
          <w:szCs w:val="26"/>
        </w:rPr>
        <w:t>they and their customers were unfairly burdened with higher percentages of write-offs by certain EGSs whose business models involve charging exorbitant prices.</w:t>
      </w:r>
      <w:r w:rsidR="00024A7B">
        <w:rPr>
          <w:szCs w:val="26"/>
        </w:rPr>
        <w:t xml:space="preserve">  </w:t>
      </w:r>
      <w:r w:rsidR="00024A7B" w:rsidRPr="000B20A8">
        <w:rPr>
          <w:i/>
          <w:szCs w:val="26"/>
        </w:rPr>
        <w:t>Id.</w:t>
      </w:r>
    </w:p>
    <w:p w14:paraId="43BC29DB" w14:textId="77777777" w:rsidR="009A473E" w:rsidRDefault="009A473E" w:rsidP="00CC0155">
      <w:pPr>
        <w:rPr>
          <w:szCs w:val="26"/>
        </w:rPr>
      </w:pPr>
    </w:p>
    <w:p w14:paraId="249E9B0A" w14:textId="73A2270A" w:rsidR="00C613C8" w:rsidRDefault="00CC32E0" w:rsidP="00CC0155">
      <w:pPr>
        <w:rPr>
          <w:i/>
          <w:szCs w:val="26"/>
        </w:rPr>
      </w:pPr>
      <w:r w:rsidRPr="00DF43E3">
        <w:rPr>
          <w:szCs w:val="26"/>
        </w:rPr>
        <w:t xml:space="preserve">On the same day, in accordance with the </w:t>
      </w:r>
      <w:r w:rsidR="00892F70">
        <w:rPr>
          <w:szCs w:val="26"/>
        </w:rPr>
        <w:t>Commission</w:t>
      </w:r>
      <w:r w:rsidR="00E00225">
        <w:rPr>
          <w:szCs w:val="26"/>
        </w:rPr>
        <w:t>’</w:t>
      </w:r>
      <w:r w:rsidR="00892F70">
        <w:rPr>
          <w:szCs w:val="26"/>
        </w:rPr>
        <w:t xml:space="preserve">s </w:t>
      </w:r>
      <w:r w:rsidRPr="00DF43E3">
        <w:rPr>
          <w:szCs w:val="26"/>
        </w:rPr>
        <w:t xml:space="preserve">Default Service Regulations at 52 Pa. Code §§ 54.185 and 54.188, the DSP IV </w:t>
      </w:r>
      <w:r w:rsidR="008A343A">
        <w:rPr>
          <w:szCs w:val="26"/>
        </w:rPr>
        <w:t xml:space="preserve">Joint </w:t>
      </w:r>
      <w:r w:rsidRPr="00DF43E3">
        <w:rPr>
          <w:szCs w:val="26"/>
        </w:rPr>
        <w:t>Petition w</w:t>
      </w:r>
      <w:r w:rsidR="00DE30B6">
        <w:rPr>
          <w:szCs w:val="26"/>
        </w:rPr>
        <w:t>as</w:t>
      </w:r>
      <w:r w:rsidRPr="00DF43E3">
        <w:rPr>
          <w:szCs w:val="26"/>
        </w:rPr>
        <w:t xml:space="preserve"> served upon, </w:t>
      </w:r>
      <w:r w:rsidRPr="00DF43E3">
        <w:rPr>
          <w:i/>
          <w:szCs w:val="26"/>
        </w:rPr>
        <w:t>inter alia,</w:t>
      </w:r>
      <w:r w:rsidRPr="00DF43E3">
        <w:rPr>
          <w:szCs w:val="26"/>
        </w:rPr>
        <w:t xml:space="preserve"> </w:t>
      </w:r>
      <w:r w:rsidRPr="00C613C8">
        <w:rPr>
          <w:szCs w:val="26"/>
        </w:rPr>
        <w:t>all EGSs licensed to sell electric generation in the service</w:t>
      </w:r>
      <w:r w:rsidR="00892F70">
        <w:rPr>
          <w:szCs w:val="26"/>
        </w:rPr>
        <w:t xml:space="preserve"> territories </w:t>
      </w:r>
      <w:r w:rsidRPr="00C613C8">
        <w:rPr>
          <w:szCs w:val="26"/>
        </w:rPr>
        <w:t xml:space="preserve">of </w:t>
      </w:r>
      <w:r w:rsidR="00D10F6C">
        <w:rPr>
          <w:szCs w:val="26"/>
        </w:rPr>
        <w:t>the Companies</w:t>
      </w:r>
      <w:r w:rsidRPr="00C613C8">
        <w:rPr>
          <w:szCs w:val="26"/>
        </w:rPr>
        <w:t xml:space="preserve"> including Respond.  </w:t>
      </w:r>
      <w:r w:rsidRPr="00C613C8">
        <w:rPr>
          <w:i/>
          <w:szCs w:val="26"/>
        </w:rPr>
        <w:t>Id.</w:t>
      </w:r>
      <w:r w:rsidRPr="00C613C8">
        <w:rPr>
          <w:szCs w:val="26"/>
        </w:rPr>
        <w:t xml:space="preserve">  </w:t>
      </w:r>
      <w:r w:rsidR="00335C58" w:rsidRPr="00C613C8">
        <w:rPr>
          <w:szCs w:val="26"/>
        </w:rPr>
        <w:t>A</w:t>
      </w:r>
      <w:r w:rsidR="00C613C8" w:rsidRPr="00C613C8">
        <w:rPr>
          <w:szCs w:val="26"/>
        </w:rPr>
        <w:t>lso</w:t>
      </w:r>
      <w:r w:rsidR="00335C58" w:rsidRPr="00C613C8">
        <w:rPr>
          <w:szCs w:val="26"/>
        </w:rPr>
        <w:t xml:space="preserve">, as required by the Commission, a notice of the DSP IV </w:t>
      </w:r>
      <w:r w:rsidR="00FA639B">
        <w:rPr>
          <w:szCs w:val="26"/>
        </w:rPr>
        <w:t xml:space="preserve">Joint </w:t>
      </w:r>
      <w:r w:rsidR="00335C58" w:rsidRPr="00C613C8">
        <w:rPr>
          <w:szCs w:val="26"/>
        </w:rPr>
        <w:t xml:space="preserve">Petition was published in the November 14, 2015 </w:t>
      </w:r>
      <w:r w:rsidR="00335C58" w:rsidRPr="00C613C8">
        <w:rPr>
          <w:i/>
          <w:szCs w:val="26"/>
        </w:rPr>
        <w:t>Pennsylvania Bulletin</w:t>
      </w:r>
      <w:r w:rsidR="00335C58" w:rsidRPr="00C613C8">
        <w:rPr>
          <w:szCs w:val="26"/>
        </w:rPr>
        <w:t xml:space="preserve"> explaining how any interested party could intervene in the proceeding initiated b</w:t>
      </w:r>
      <w:r w:rsidR="00FA639B">
        <w:rPr>
          <w:szCs w:val="26"/>
        </w:rPr>
        <w:t xml:space="preserve">y the Joint </w:t>
      </w:r>
      <w:r w:rsidR="00892F70">
        <w:rPr>
          <w:szCs w:val="26"/>
        </w:rPr>
        <w:t>Petition</w:t>
      </w:r>
      <w:r w:rsidR="00335C58" w:rsidRPr="00C613C8">
        <w:rPr>
          <w:szCs w:val="26"/>
        </w:rPr>
        <w:t xml:space="preserve">.  </w:t>
      </w:r>
      <w:r w:rsidR="00335C58" w:rsidRPr="00C613C8">
        <w:rPr>
          <w:i/>
          <w:szCs w:val="26"/>
        </w:rPr>
        <w:t>Id.</w:t>
      </w:r>
      <w:r w:rsidR="00335C58" w:rsidRPr="00C613C8">
        <w:rPr>
          <w:szCs w:val="26"/>
        </w:rPr>
        <w:t xml:space="preserve"> at 14.</w:t>
      </w:r>
      <w:r w:rsidR="00C613C8" w:rsidRPr="00C613C8">
        <w:rPr>
          <w:szCs w:val="26"/>
        </w:rPr>
        <w:t xml:space="preserve">  Additionally, the second paragraph of the</w:t>
      </w:r>
      <w:r w:rsidR="001C6059">
        <w:rPr>
          <w:szCs w:val="26"/>
        </w:rPr>
        <w:t xml:space="preserve"> Joint </w:t>
      </w:r>
      <w:r w:rsidR="00C613C8" w:rsidRPr="00C613C8">
        <w:rPr>
          <w:szCs w:val="26"/>
        </w:rPr>
        <w:t xml:space="preserve">Petition, which begins on page No. 2 and carries over to page No. 3, sets forth in twelve separately </w:t>
      </w:r>
      <w:r w:rsidR="00C613C8" w:rsidRPr="00C613C8">
        <w:rPr>
          <w:szCs w:val="26"/>
        </w:rPr>
        <w:lastRenderedPageBreak/>
        <w:t>numbered items</w:t>
      </w:r>
      <w:r w:rsidR="00155FA8">
        <w:rPr>
          <w:szCs w:val="26"/>
        </w:rPr>
        <w:t>,</w:t>
      </w:r>
      <w:r w:rsidR="00C613C8" w:rsidRPr="00C613C8">
        <w:rPr>
          <w:szCs w:val="26"/>
        </w:rPr>
        <w:t xml:space="preserve"> each of the specific approvals that the Companies were requesting the Commission to grant</w:t>
      </w:r>
      <w:r w:rsidR="001A5D18">
        <w:rPr>
          <w:szCs w:val="26"/>
        </w:rPr>
        <w:t>,</w:t>
      </w:r>
      <w:r w:rsidR="00C613C8" w:rsidRPr="00C613C8">
        <w:rPr>
          <w:szCs w:val="26"/>
        </w:rPr>
        <w:t xml:space="preserve"> including approving</w:t>
      </w:r>
      <w:r w:rsidR="001C6059">
        <w:rPr>
          <w:szCs w:val="26"/>
        </w:rPr>
        <w:t xml:space="preserve"> </w:t>
      </w:r>
      <w:r w:rsidR="00C613C8" w:rsidRPr="00C613C8">
        <w:rPr>
          <w:szCs w:val="26"/>
        </w:rPr>
        <w:t>proposed revisions to</w:t>
      </w:r>
      <w:r w:rsidR="00A279BA">
        <w:rPr>
          <w:szCs w:val="26"/>
        </w:rPr>
        <w:t xml:space="preserve"> </w:t>
      </w:r>
      <w:r w:rsidR="00C613C8" w:rsidRPr="00C613C8">
        <w:rPr>
          <w:szCs w:val="26"/>
        </w:rPr>
        <w:t>respective supplier tariffs related to their POR programs.</w:t>
      </w:r>
      <w:r w:rsidR="00C613C8">
        <w:rPr>
          <w:szCs w:val="26"/>
        </w:rPr>
        <w:t xml:space="preserve">  </w:t>
      </w:r>
      <w:r w:rsidR="00C613C8" w:rsidRPr="00C613C8">
        <w:rPr>
          <w:i/>
          <w:szCs w:val="26"/>
        </w:rPr>
        <w:t>Id.</w:t>
      </w:r>
    </w:p>
    <w:p w14:paraId="73AE985C" w14:textId="77777777" w:rsidR="0066322E" w:rsidRDefault="0066322E" w:rsidP="00CC0155">
      <w:pPr>
        <w:rPr>
          <w:i/>
          <w:szCs w:val="26"/>
        </w:rPr>
      </w:pPr>
    </w:p>
    <w:p w14:paraId="0C17F770" w14:textId="08A2EB80" w:rsidR="0066322E" w:rsidRDefault="0066322E" w:rsidP="00CC0155">
      <w:pPr>
        <w:rPr>
          <w:i/>
          <w:szCs w:val="26"/>
        </w:rPr>
      </w:pPr>
      <w:r w:rsidRPr="00590C9D">
        <w:rPr>
          <w:szCs w:val="26"/>
        </w:rPr>
        <w:t>Furthermore, in Statement No. 3</w:t>
      </w:r>
      <w:r w:rsidR="007E6DFF">
        <w:rPr>
          <w:szCs w:val="26"/>
        </w:rPr>
        <w:t xml:space="preserve"> of the</w:t>
      </w:r>
      <w:r w:rsidR="00A279BA">
        <w:rPr>
          <w:szCs w:val="26"/>
        </w:rPr>
        <w:t xml:space="preserve"> Joint </w:t>
      </w:r>
      <w:r w:rsidR="007E6DFF">
        <w:rPr>
          <w:szCs w:val="26"/>
        </w:rPr>
        <w:t>Petition</w:t>
      </w:r>
      <w:r w:rsidRPr="00590C9D">
        <w:rPr>
          <w:szCs w:val="26"/>
        </w:rPr>
        <w:t>, submitted in the DSP</w:t>
      </w:r>
      <w:r w:rsidR="00A75930">
        <w:rPr>
          <w:szCs w:val="26"/>
        </w:rPr>
        <w:t> </w:t>
      </w:r>
      <w:r w:rsidRPr="00590C9D">
        <w:rPr>
          <w:szCs w:val="26"/>
        </w:rPr>
        <w:t xml:space="preserve">IV proceeding, in over eight pages in question and answer form, Ms. Bortz explained the terms of the proposed </w:t>
      </w:r>
      <w:proofErr w:type="spellStart"/>
      <w:r w:rsidRPr="00590C9D">
        <w:rPr>
          <w:szCs w:val="26"/>
        </w:rPr>
        <w:t>clawback</w:t>
      </w:r>
      <w:proofErr w:type="spellEnd"/>
      <w:r w:rsidRPr="00590C9D">
        <w:rPr>
          <w:szCs w:val="26"/>
        </w:rPr>
        <w:t xml:space="preserve"> provisions, why they were being proposed, how they would be calculated, and how the proceeds would be applied.</w:t>
      </w:r>
      <w:r w:rsidR="008141D9">
        <w:rPr>
          <w:szCs w:val="26"/>
        </w:rPr>
        <w:t xml:space="preserve">  </w:t>
      </w:r>
      <w:r w:rsidRPr="00590C9D">
        <w:rPr>
          <w:szCs w:val="26"/>
        </w:rPr>
        <w:t xml:space="preserve">Ms. Bortz also sponsored Met-Ed/Penelec/Penn Power/West Penn Exhibits KLB-4 through KLB- 7, consisting of proposed supplements to the </w:t>
      </w:r>
      <w:r w:rsidR="00BE26E8">
        <w:rPr>
          <w:szCs w:val="26"/>
        </w:rPr>
        <w:t>Companies</w:t>
      </w:r>
      <w:r w:rsidR="00E00225">
        <w:rPr>
          <w:szCs w:val="26"/>
        </w:rPr>
        <w:t>’</w:t>
      </w:r>
      <w:r w:rsidR="00BE26E8">
        <w:rPr>
          <w:szCs w:val="26"/>
        </w:rPr>
        <w:t xml:space="preserve"> Electric </w:t>
      </w:r>
      <w:r w:rsidR="00976D3A">
        <w:rPr>
          <w:szCs w:val="26"/>
        </w:rPr>
        <w:t xml:space="preserve">Generation </w:t>
      </w:r>
      <w:r w:rsidR="00BE26E8">
        <w:rPr>
          <w:szCs w:val="26"/>
        </w:rPr>
        <w:t>Supplier</w:t>
      </w:r>
      <w:r w:rsidR="00976D3A">
        <w:rPr>
          <w:szCs w:val="26"/>
        </w:rPr>
        <w:t xml:space="preserve"> Coordination Tariffs (Supplier C</w:t>
      </w:r>
      <w:r w:rsidRPr="00590C9D">
        <w:rPr>
          <w:szCs w:val="26"/>
        </w:rPr>
        <w:t xml:space="preserve">oordination </w:t>
      </w:r>
      <w:r w:rsidR="00976D3A">
        <w:rPr>
          <w:szCs w:val="26"/>
        </w:rPr>
        <w:t>T</w:t>
      </w:r>
      <w:r w:rsidRPr="00590C9D">
        <w:rPr>
          <w:szCs w:val="26"/>
        </w:rPr>
        <w:t>ariffs</w:t>
      </w:r>
      <w:r w:rsidR="00976D3A">
        <w:rPr>
          <w:szCs w:val="26"/>
        </w:rPr>
        <w:t>)</w:t>
      </w:r>
      <w:r w:rsidRPr="00590C9D">
        <w:rPr>
          <w:szCs w:val="26"/>
        </w:rPr>
        <w:t xml:space="preserve">.  The exhibits included the terms of the proposed </w:t>
      </w:r>
      <w:proofErr w:type="spellStart"/>
      <w:r w:rsidRPr="00590C9D">
        <w:rPr>
          <w:szCs w:val="26"/>
        </w:rPr>
        <w:t>clawback</w:t>
      </w:r>
      <w:proofErr w:type="spellEnd"/>
      <w:r w:rsidRPr="00590C9D">
        <w:rPr>
          <w:szCs w:val="26"/>
        </w:rPr>
        <w:t xml:space="preserve"> provisions.  </w:t>
      </w:r>
      <w:r w:rsidRPr="00590C9D">
        <w:rPr>
          <w:i/>
          <w:szCs w:val="26"/>
        </w:rPr>
        <w:t>Id.</w:t>
      </w:r>
      <w:r w:rsidRPr="00590C9D">
        <w:rPr>
          <w:szCs w:val="26"/>
        </w:rPr>
        <w:t xml:space="preserve"> at 15.</w:t>
      </w:r>
      <w:r>
        <w:rPr>
          <w:szCs w:val="26"/>
        </w:rPr>
        <w:t xml:space="preserve">  </w:t>
      </w:r>
      <w:r w:rsidR="000D3017">
        <w:rPr>
          <w:szCs w:val="26"/>
        </w:rPr>
        <w:t>The Retail Energy Suppliers Association (</w:t>
      </w:r>
      <w:r w:rsidRPr="00590C9D">
        <w:rPr>
          <w:szCs w:val="26"/>
        </w:rPr>
        <w:t>RESA</w:t>
      </w:r>
      <w:r w:rsidR="000D3017">
        <w:rPr>
          <w:szCs w:val="26"/>
        </w:rPr>
        <w:t>)</w:t>
      </w:r>
      <w:r w:rsidRPr="00590C9D">
        <w:rPr>
          <w:szCs w:val="26"/>
        </w:rPr>
        <w:t xml:space="preserve"> and several EGSs intervened in the DSP IV proceeding.</w:t>
      </w:r>
      <w:r w:rsidR="00D95E14">
        <w:rPr>
          <w:szCs w:val="26"/>
        </w:rPr>
        <w:t xml:space="preserve">  </w:t>
      </w:r>
      <w:r w:rsidRPr="00590C9D">
        <w:rPr>
          <w:i/>
          <w:szCs w:val="26"/>
        </w:rPr>
        <w:t>Id.</w:t>
      </w:r>
      <w:r w:rsidRPr="00590C9D">
        <w:rPr>
          <w:szCs w:val="26"/>
        </w:rPr>
        <w:t xml:space="preserve"> at 16-17.  RESA and the EGSs addressed the </w:t>
      </w:r>
      <w:proofErr w:type="spellStart"/>
      <w:r w:rsidRPr="00590C9D">
        <w:rPr>
          <w:szCs w:val="26"/>
        </w:rPr>
        <w:t>clawback</w:t>
      </w:r>
      <w:proofErr w:type="spellEnd"/>
      <w:r w:rsidRPr="00590C9D">
        <w:rPr>
          <w:szCs w:val="26"/>
        </w:rPr>
        <w:t xml:space="preserve"> provision in the DSP IV proceeding.  As a result, the proposed </w:t>
      </w:r>
      <w:proofErr w:type="spellStart"/>
      <w:r w:rsidRPr="00590C9D">
        <w:rPr>
          <w:szCs w:val="26"/>
        </w:rPr>
        <w:t>clawback</w:t>
      </w:r>
      <w:proofErr w:type="spellEnd"/>
      <w:r w:rsidRPr="00590C9D">
        <w:rPr>
          <w:szCs w:val="26"/>
        </w:rPr>
        <w:t xml:space="preserve"> provision was modified to reduce the number of EGSs that potentially could be subject to the charge.</w:t>
      </w:r>
      <w:r w:rsidR="00A75930">
        <w:rPr>
          <w:szCs w:val="26"/>
        </w:rPr>
        <w:t xml:space="preserve"> </w:t>
      </w:r>
      <w:r w:rsidR="00A75930" w:rsidRPr="00F71658">
        <w:t xml:space="preserve"> </w:t>
      </w:r>
      <w:r w:rsidRPr="00590C9D">
        <w:rPr>
          <w:i/>
          <w:szCs w:val="26"/>
        </w:rPr>
        <w:t>Id.</w:t>
      </w:r>
      <w:r w:rsidR="00586283">
        <w:rPr>
          <w:rStyle w:val="FootnoteReference"/>
          <w:szCs w:val="26"/>
        </w:rPr>
        <w:footnoteReference w:id="8"/>
      </w:r>
    </w:p>
    <w:p w14:paraId="0E7C3A77" w14:textId="77777777" w:rsidR="001558D5" w:rsidRDefault="001558D5" w:rsidP="00CC0155">
      <w:pPr>
        <w:rPr>
          <w:szCs w:val="26"/>
        </w:rPr>
      </w:pPr>
    </w:p>
    <w:p w14:paraId="4EDB923D" w14:textId="6D313522" w:rsidR="008844B4" w:rsidRDefault="002722A5" w:rsidP="00CC0155">
      <w:pPr>
        <w:rPr>
          <w:i/>
          <w:szCs w:val="26"/>
        </w:rPr>
      </w:pPr>
      <w:r>
        <w:rPr>
          <w:szCs w:val="26"/>
        </w:rPr>
        <w:t xml:space="preserve">Accordingly, </w:t>
      </w:r>
      <w:r w:rsidR="00FC1080">
        <w:rPr>
          <w:szCs w:val="26"/>
        </w:rPr>
        <w:t xml:space="preserve">the </w:t>
      </w:r>
      <w:r>
        <w:rPr>
          <w:szCs w:val="26"/>
        </w:rPr>
        <w:t xml:space="preserve">modified proposal </w:t>
      </w:r>
      <w:r w:rsidR="001A5D18">
        <w:rPr>
          <w:szCs w:val="26"/>
        </w:rPr>
        <w:t xml:space="preserve">for settlement of the POR program </w:t>
      </w:r>
      <w:r>
        <w:rPr>
          <w:szCs w:val="26"/>
        </w:rPr>
        <w:t xml:space="preserve">contained two prongs for the </w:t>
      </w:r>
      <w:proofErr w:type="spellStart"/>
      <w:r>
        <w:rPr>
          <w:szCs w:val="26"/>
        </w:rPr>
        <w:t>clawback</w:t>
      </w:r>
      <w:proofErr w:type="spellEnd"/>
      <w:r>
        <w:rPr>
          <w:szCs w:val="26"/>
        </w:rPr>
        <w:t xml:space="preserve"> test</w:t>
      </w:r>
      <w:r w:rsidR="00886A26">
        <w:rPr>
          <w:szCs w:val="26"/>
        </w:rPr>
        <w:t xml:space="preserve">.  First, the </w:t>
      </w:r>
      <w:r w:rsidR="001558D5" w:rsidRPr="001558D5">
        <w:rPr>
          <w:szCs w:val="26"/>
        </w:rPr>
        <w:t>write-off threshold was raised from a proposed 150% to 200% of the average write-off percentage of the average of all EGSs.</w:t>
      </w:r>
      <w:r w:rsidR="00F657D0">
        <w:rPr>
          <w:szCs w:val="26"/>
        </w:rPr>
        <w:t xml:space="preserve">  </w:t>
      </w:r>
      <w:r w:rsidR="00C27E5A">
        <w:rPr>
          <w:szCs w:val="26"/>
        </w:rPr>
        <w:t>Second</w:t>
      </w:r>
      <w:r w:rsidR="001558D5" w:rsidRPr="001558D5">
        <w:rPr>
          <w:szCs w:val="26"/>
        </w:rPr>
        <w:t xml:space="preserve">, if an EGS had an average write-off percentage of more than 200% of the average for all EGSs, it would not be subject to the </w:t>
      </w:r>
      <w:proofErr w:type="spellStart"/>
      <w:r w:rsidR="001558D5" w:rsidRPr="001558D5">
        <w:rPr>
          <w:szCs w:val="26"/>
        </w:rPr>
        <w:t>clawback</w:t>
      </w:r>
      <w:proofErr w:type="spellEnd"/>
      <w:r w:rsidR="001558D5" w:rsidRPr="001558D5">
        <w:rPr>
          <w:szCs w:val="26"/>
        </w:rPr>
        <w:t xml:space="preserve"> charge unless during the review period, the average price it charged customers for generation was more than 150% of the applicable company</w:t>
      </w:r>
      <w:r w:rsidR="00E00225">
        <w:rPr>
          <w:szCs w:val="26"/>
        </w:rPr>
        <w:t>’</w:t>
      </w:r>
      <w:r w:rsidR="001558D5" w:rsidRPr="001558D5">
        <w:rPr>
          <w:szCs w:val="26"/>
        </w:rPr>
        <w:t xml:space="preserve">s </w:t>
      </w:r>
      <w:r w:rsidR="00C76C92">
        <w:rPr>
          <w:szCs w:val="26"/>
        </w:rPr>
        <w:t>Price-to-Compare (</w:t>
      </w:r>
      <w:r w:rsidR="001558D5" w:rsidRPr="001558D5">
        <w:rPr>
          <w:szCs w:val="26"/>
        </w:rPr>
        <w:t>PTC</w:t>
      </w:r>
      <w:r w:rsidR="00C76C92">
        <w:rPr>
          <w:szCs w:val="26"/>
        </w:rPr>
        <w:t>)</w:t>
      </w:r>
      <w:r w:rsidR="001558D5" w:rsidRPr="001558D5">
        <w:rPr>
          <w:szCs w:val="26"/>
        </w:rPr>
        <w:t xml:space="preserve"> for the same period.</w:t>
      </w:r>
      <w:r w:rsidR="00B60C68">
        <w:rPr>
          <w:szCs w:val="26"/>
        </w:rPr>
        <w:t xml:space="preserve"> </w:t>
      </w:r>
      <w:r w:rsidR="00D874D0">
        <w:rPr>
          <w:szCs w:val="26"/>
        </w:rPr>
        <w:t xml:space="preserve"> </w:t>
      </w:r>
      <w:r w:rsidR="001558D5" w:rsidRPr="001558D5">
        <w:rPr>
          <w:i/>
          <w:szCs w:val="26"/>
        </w:rPr>
        <w:t>Id.</w:t>
      </w:r>
      <w:r w:rsidR="001558D5" w:rsidRPr="001558D5">
        <w:rPr>
          <w:szCs w:val="26"/>
        </w:rPr>
        <w:t xml:space="preserve"> at 17.</w:t>
      </w:r>
      <w:r w:rsidR="00B63AD1">
        <w:rPr>
          <w:szCs w:val="26"/>
        </w:rPr>
        <w:t xml:space="preserve">  Hence, t</w:t>
      </w:r>
      <w:r w:rsidR="00CD3B44" w:rsidRPr="00CD3B44">
        <w:rPr>
          <w:szCs w:val="26"/>
        </w:rPr>
        <w:t xml:space="preserve">he </w:t>
      </w:r>
      <w:proofErr w:type="spellStart"/>
      <w:r w:rsidR="00CD3B44" w:rsidRPr="00CD3B44">
        <w:rPr>
          <w:szCs w:val="26"/>
        </w:rPr>
        <w:t>clawback</w:t>
      </w:r>
      <w:proofErr w:type="spellEnd"/>
      <w:r w:rsidR="00CD3B44" w:rsidRPr="00CD3B44">
        <w:rPr>
          <w:szCs w:val="26"/>
        </w:rPr>
        <w:t xml:space="preserve"> </w:t>
      </w:r>
      <w:r w:rsidR="00DE002E">
        <w:rPr>
          <w:szCs w:val="26"/>
        </w:rPr>
        <w:t xml:space="preserve">provisions </w:t>
      </w:r>
      <w:r w:rsidR="00CD3B44" w:rsidRPr="00CD3B44">
        <w:rPr>
          <w:szCs w:val="26"/>
        </w:rPr>
        <w:t xml:space="preserve">impose a charge on EGSs that participate in </w:t>
      </w:r>
      <w:proofErr w:type="spellStart"/>
      <w:r w:rsidR="00CD3B44" w:rsidRPr="00CD3B44">
        <w:rPr>
          <w:szCs w:val="26"/>
        </w:rPr>
        <w:t>Penele</w:t>
      </w:r>
      <w:r w:rsidR="00A17956">
        <w:rPr>
          <w:szCs w:val="26"/>
        </w:rPr>
        <w:t>c</w:t>
      </w:r>
      <w:r w:rsidR="00E00225">
        <w:rPr>
          <w:szCs w:val="26"/>
        </w:rPr>
        <w:t>’</w:t>
      </w:r>
      <w:r w:rsidR="00A17956">
        <w:rPr>
          <w:szCs w:val="26"/>
        </w:rPr>
        <w:t>s</w:t>
      </w:r>
      <w:proofErr w:type="spellEnd"/>
      <w:r w:rsidR="00CD3B44" w:rsidRPr="00CD3B44">
        <w:rPr>
          <w:szCs w:val="26"/>
        </w:rPr>
        <w:t xml:space="preserve"> and West </w:t>
      </w:r>
      <w:r w:rsidR="00CD3B44" w:rsidRPr="00CD3B44">
        <w:rPr>
          <w:szCs w:val="26"/>
        </w:rPr>
        <w:lastRenderedPageBreak/>
        <w:t>Penn</w:t>
      </w:r>
      <w:r w:rsidR="00E00225">
        <w:rPr>
          <w:szCs w:val="26"/>
        </w:rPr>
        <w:t>’</w:t>
      </w:r>
      <w:r w:rsidR="00CD3B44" w:rsidRPr="00CD3B44">
        <w:rPr>
          <w:szCs w:val="26"/>
        </w:rPr>
        <w:t>s POR program.</w:t>
      </w:r>
      <w:r w:rsidR="00CD3B44">
        <w:rPr>
          <w:szCs w:val="26"/>
        </w:rPr>
        <w:t xml:space="preserve">  Companies</w:t>
      </w:r>
      <w:r w:rsidR="00E00225">
        <w:rPr>
          <w:szCs w:val="26"/>
        </w:rPr>
        <w:t>’</w:t>
      </w:r>
      <w:r w:rsidR="00CD3B44" w:rsidRPr="00CD3B44">
        <w:rPr>
          <w:szCs w:val="26"/>
        </w:rPr>
        <w:t xml:space="preserve"> St.1</w:t>
      </w:r>
      <w:r w:rsidR="00CD3B44">
        <w:rPr>
          <w:szCs w:val="26"/>
        </w:rPr>
        <w:t xml:space="preserve"> at </w:t>
      </w:r>
      <w:r w:rsidR="00CD3B44" w:rsidRPr="00CD3B44">
        <w:rPr>
          <w:szCs w:val="26"/>
        </w:rPr>
        <w:t xml:space="preserve">2.  </w:t>
      </w:r>
      <w:r w:rsidR="00DE002E">
        <w:rPr>
          <w:szCs w:val="26"/>
        </w:rPr>
        <w:t>More importantly, i</w:t>
      </w:r>
      <w:r w:rsidR="00CD3B44" w:rsidRPr="00CD3B44">
        <w:rPr>
          <w:szCs w:val="26"/>
        </w:rPr>
        <w:t>f the operations of the EGS result in</w:t>
      </w:r>
      <w:r w:rsidR="00CD3B44">
        <w:rPr>
          <w:szCs w:val="26"/>
        </w:rPr>
        <w:t>:</w:t>
      </w:r>
      <w:r w:rsidR="00CD3B44" w:rsidRPr="00CD3B44">
        <w:rPr>
          <w:szCs w:val="26"/>
        </w:rPr>
        <w:t xml:space="preserve"> </w:t>
      </w:r>
      <w:r w:rsidR="00CD3B44">
        <w:rPr>
          <w:szCs w:val="26"/>
        </w:rPr>
        <w:t>(</w:t>
      </w:r>
      <w:r w:rsidR="00CD3B44" w:rsidRPr="00CD3B44">
        <w:rPr>
          <w:szCs w:val="26"/>
        </w:rPr>
        <w:t xml:space="preserve">1) their accounts receivable producing a write-off percentage (write-offs for non-payment as a percentage of revenues) that exceeds 200% of </w:t>
      </w:r>
      <w:r w:rsidR="00CD3B44">
        <w:rPr>
          <w:szCs w:val="26"/>
        </w:rPr>
        <w:t>the Companies</w:t>
      </w:r>
      <w:r w:rsidR="00E00225">
        <w:rPr>
          <w:szCs w:val="26"/>
        </w:rPr>
        <w:t>’</w:t>
      </w:r>
      <w:r w:rsidR="00CD3B44">
        <w:rPr>
          <w:szCs w:val="26"/>
        </w:rPr>
        <w:t xml:space="preserve"> </w:t>
      </w:r>
      <w:r w:rsidR="00CD3B44" w:rsidRPr="00CD3B44">
        <w:rPr>
          <w:szCs w:val="26"/>
        </w:rPr>
        <w:t>average EGS write-off percentage</w:t>
      </w:r>
      <w:r w:rsidR="002821BB">
        <w:rPr>
          <w:szCs w:val="26"/>
        </w:rPr>
        <w:t>;</w:t>
      </w:r>
      <w:r w:rsidR="00CD3B44" w:rsidRPr="00CD3B44">
        <w:rPr>
          <w:szCs w:val="26"/>
        </w:rPr>
        <w:t xml:space="preserve"> and</w:t>
      </w:r>
      <w:r w:rsidR="002821BB">
        <w:rPr>
          <w:szCs w:val="26"/>
        </w:rPr>
        <w:t>;</w:t>
      </w:r>
      <w:r w:rsidR="00CD3B44" w:rsidRPr="00CD3B44">
        <w:rPr>
          <w:szCs w:val="26"/>
        </w:rPr>
        <w:t xml:space="preserve"> </w:t>
      </w:r>
      <w:r w:rsidR="00CD3B44">
        <w:rPr>
          <w:szCs w:val="26"/>
        </w:rPr>
        <w:t>(</w:t>
      </w:r>
      <w:r w:rsidR="00CD3B44" w:rsidRPr="00CD3B44">
        <w:rPr>
          <w:szCs w:val="26"/>
        </w:rPr>
        <w:t>2) their charged price for generation service, on average exceed</w:t>
      </w:r>
      <w:r w:rsidR="00586283">
        <w:rPr>
          <w:szCs w:val="26"/>
        </w:rPr>
        <w:t>s</w:t>
      </w:r>
      <w:r w:rsidR="00CD3B44" w:rsidRPr="00CD3B44">
        <w:rPr>
          <w:szCs w:val="26"/>
        </w:rPr>
        <w:t xml:space="preserve"> 150% of</w:t>
      </w:r>
      <w:r w:rsidR="00CD3B44">
        <w:rPr>
          <w:szCs w:val="26"/>
        </w:rPr>
        <w:t xml:space="preserve"> the Companies</w:t>
      </w:r>
      <w:r w:rsidR="00E00225">
        <w:rPr>
          <w:szCs w:val="26"/>
        </w:rPr>
        <w:t>’</w:t>
      </w:r>
      <w:r w:rsidR="00CD3B44" w:rsidRPr="00CD3B44">
        <w:rPr>
          <w:szCs w:val="26"/>
        </w:rPr>
        <w:t xml:space="preserve"> PTC,</w:t>
      </w:r>
      <w:r w:rsidR="00CD3B44">
        <w:rPr>
          <w:szCs w:val="26"/>
        </w:rPr>
        <w:t xml:space="preserve"> the Companies</w:t>
      </w:r>
      <w:r w:rsidR="00CD3B44" w:rsidRPr="00CD3B44">
        <w:rPr>
          <w:szCs w:val="26"/>
        </w:rPr>
        <w:t xml:space="preserve"> will impose the </w:t>
      </w:r>
      <w:proofErr w:type="spellStart"/>
      <w:r w:rsidR="00CD3B44" w:rsidRPr="00CD3B44">
        <w:rPr>
          <w:szCs w:val="26"/>
        </w:rPr>
        <w:t>clawback</w:t>
      </w:r>
      <w:proofErr w:type="spellEnd"/>
      <w:r w:rsidR="00CD3B44" w:rsidRPr="00CD3B44">
        <w:rPr>
          <w:szCs w:val="26"/>
        </w:rPr>
        <w:t xml:space="preserve"> charge.</w:t>
      </w:r>
      <w:r w:rsidR="00CD3B44">
        <w:rPr>
          <w:szCs w:val="26"/>
        </w:rPr>
        <w:t xml:space="preserve">  </w:t>
      </w:r>
      <w:r w:rsidR="00CD3B44" w:rsidRPr="00CD3B44">
        <w:rPr>
          <w:i/>
          <w:szCs w:val="26"/>
        </w:rPr>
        <w:t>Id.</w:t>
      </w:r>
      <w:r w:rsidR="00D874D0">
        <w:rPr>
          <w:szCs w:val="26"/>
        </w:rPr>
        <w:t>; DSP IV Settlement at 18-20.</w:t>
      </w:r>
    </w:p>
    <w:p w14:paraId="5886120A" w14:textId="77777777" w:rsidR="00AA63B2" w:rsidRDefault="00AA63B2" w:rsidP="00CC0155">
      <w:pPr>
        <w:rPr>
          <w:i/>
          <w:szCs w:val="26"/>
        </w:rPr>
      </w:pPr>
    </w:p>
    <w:p w14:paraId="2A6EE858" w14:textId="13D05CEE" w:rsidR="00431F8C" w:rsidRDefault="00AA63B2" w:rsidP="00CC0155">
      <w:pPr>
        <w:autoSpaceDE w:val="0"/>
        <w:autoSpaceDN w:val="0"/>
        <w:adjustRightInd w:val="0"/>
        <w:rPr>
          <w:i/>
          <w:szCs w:val="26"/>
        </w:rPr>
      </w:pPr>
      <w:r>
        <w:rPr>
          <w:color w:val="000000"/>
          <w:szCs w:val="26"/>
        </w:rPr>
        <w:t>The Companies</w:t>
      </w:r>
      <w:r w:rsidRPr="00AA63B2">
        <w:rPr>
          <w:color w:val="000000"/>
          <w:szCs w:val="26"/>
        </w:rPr>
        <w:t xml:space="preserve"> </w:t>
      </w:r>
      <w:r w:rsidR="00056E9D">
        <w:rPr>
          <w:color w:val="000000"/>
          <w:szCs w:val="26"/>
        </w:rPr>
        <w:t xml:space="preserve">averred they </w:t>
      </w:r>
      <w:r w:rsidRPr="00AA63B2">
        <w:rPr>
          <w:color w:val="000000"/>
          <w:szCs w:val="26"/>
        </w:rPr>
        <w:t xml:space="preserve">applied the screening test under the </w:t>
      </w:r>
      <w:proofErr w:type="spellStart"/>
      <w:r w:rsidRPr="00AA63B2">
        <w:rPr>
          <w:color w:val="000000"/>
          <w:szCs w:val="26"/>
        </w:rPr>
        <w:t>clawback</w:t>
      </w:r>
      <w:proofErr w:type="spellEnd"/>
      <w:r w:rsidRPr="00AA63B2">
        <w:rPr>
          <w:color w:val="000000"/>
          <w:szCs w:val="26"/>
        </w:rPr>
        <w:t xml:space="preserve"> provisions in the same manner to all EGSs serving residential and small commercial customers in their </w:t>
      </w:r>
      <w:r w:rsidR="006C6324">
        <w:rPr>
          <w:color w:val="000000"/>
          <w:szCs w:val="26"/>
        </w:rPr>
        <w:t xml:space="preserve">respective </w:t>
      </w:r>
      <w:r w:rsidRPr="00AA63B2">
        <w:rPr>
          <w:color w:val="000000"/>
          <w:szCs w:val="26"/>
        </w:rPr>
        <w:t>service territories.</w:t>
      </w:r>
      <w:r>
        <w:rPr>
          <w:color w:val="000000"/>
          <w:szCs w:val="26"/>
        </w:rPr>
        <w:t xml:space="preserve">  </w:t>
      </w:r>
      <w:r w:rsidR="00056E9D">
        <w:rPr>
          <w:szCs w:val="26"/>
        </w:rPr>
        <w:t>Companies St. 1</w:t>
      </w:r>
      <w:r w:rsidRPr="00CD3B44">
        <w:rPr>
          <w:i/>
          <w:szCs w:val="26"/>
        </w:rPr>
        <w:t xml:space="preserve"> </w:t>
      </w:r>
      <w:r>
        <w:rPr>
          <w:szCs w:val="26"/>
        </w:rPr>
        <w:t xml:space="preserve">at 17-18.  </w:t>
      </w:r>
      <w:r w:rsidR="00F34C80">
        <w:rPr>
          <w:color w:val="000000"/>
          <w:szCs w:val="26"/>
        </w:rPr>
        <w:t>For instance</w:t>
      </w:r>
      <w:r w:rsidR="002557E6">
        <w:rPr>
          <w:color w:val="000000"/>
          <w:szCs w:val="26"/>
        </w:rPr>
        <w:t>, the Companies</w:t>
      </w:r>
      <w:r w:rsidRPr="00AA63B2">
        <w:rPr>
          <w:color w:val="000000"/>
          <w:szCs w:val="26"/>
        </w:rPr>
        <w:t xml:space="preserve"> </w:t>
      </w:r>
      <w:r w:rsidR="00F34C80">
        <w:rPr>
          <w:color w:val="000000"/>
          <w:szCs w:val="26"/>
        </w:rPr>
        <w:t xml:space="preserve">would </w:t>
      </w:r>
      <w:r w:rsidRPr="00AA63B2">
        <w:rPr>
          <w:color w:val="000000"/>
          <w:szCs w:val="26"/>
        </w:rPr>
        <w:t xml:space="preserve">first analyze revenues and write-offs during the applicable test period ending August 31 for each EGS participating in the applicable POR program to calculate individual </w:t>
      </w:r>
      <w:r w:rsidRPr="00AA63B2">
        <w:rPr>
          <w:szCs w:val="26"/>
        </w:rPr>
        <w:t>write-off percentages and an average EGS write-off percentage.</w:t>
      </w:r>
      <w:r w:rsidR="002557E6">
        <w:rPr>
          <w:szCs w:val="26"/>
        </w:rPr>
        <w:t xml:space="preserve">  </w:t>
      </w:r>
      <w:r w:rsidR="006D2969" w:rsidRPr="00CD3B44">
        <w:rPr>
          <w:i/>
          <w:szCs w:val="26"/>
        </w:rPr>
        <w:t xml:space="preserve">Id. </w:t>
      </w:r>
      <w:r w:rsidR="006D2969">
        <w:rPr>
          <w:szCs w:val="26"/>
        </w:rPr>
        <w:t>at</w:t>
      </w:r>
      <w:r w:rsidR="00E00225">
        <w:rPr>
          <w:szCs w:val="26"/>
        </w:rPr>
        <w:t> </w:t>
      </w:r>
      <w:r w:rsidR="006D2969">
        <w:rPr>
          <w:szCs w:val="26"/>
        </w:rPr>
        <w:t xml:space="preserve">18.  </w:t>
      </w:r>
      <w:r w:rsidR="00431F8C" w:rsidRPr="00431F8C">
        <w:rPr>
          <w:szCs w:val="26"/>
        </w:rPr>
        <w:t xml:space="preserve">The Companies </w:t>
      </w:r>
      <w:r w:rsidR="00F34C80">
        <w:rPr>
          <w:szCs w:val="26"/>
        </w:rPr>
        <w:t xml:space="preserve">would </w:t>
      </w:r>
      <w:r w:rsidR="00431F8C" w:rsidRPr="00431F8C">
        <w:rPr>
          <w:szCs w:val="26"/>
        </w:rPr>
        <w:t>the</w:t>
      </w:r>
      <w:r w:rsidR="00F34C80">
        <w:rPr>
          <w:szCs w:val="26"/>
        </w:rPr>
        <w:t xml:space="preserve">n </w:t>
      </w:r>
      <w:r w:rsidR="00431F8C" w:rsidRPr="00431F8C">
        <w:rPr>
          <w:szCs w:val="26"/>
        </w:rPr>
        <w:t xml:space="preserve">calculate an average generation rate for each EGS, based on their revenues and kWh sold over the applicable twelve-month test period and compare that rate to 150% of the weighted quarterly </w:t>
      </w:r>
      <w:r w:rsidR="006C6324">
        <w:rPr>
          <w:szCs w:val="26"/>
        </w:rPr>
        <w:t xml:space="preserve">average </w:t>
      </w:r>
      <w:r w:rsidR="00431F8C" w:rsidRPr="00431F8C">
        <w:rPr>
          <w:szCs w:val="26"/>
        </w:rPr>
        <w:t xml:space="preserve">PTC for residential and small commercial customers over the same period.  For those EGSs identified by both prongs of the test, the annual </w:t>
      </w:r>
      <w:proofErr w:type="spellStart"/>
      <w:r w:rsidR="00431F8C" w:rsidRPr="00431F8C">
        <w:rPr>
          <w:szCs w:val="26"/>
        </w:rPr>
        <w:t>clawback</w:t>
      </w:r>
      <w:proofErr w:type="spellEnd"/>
      <w:r w:rsidR="00431F8C" w:rsidRPr="00431F8C">
        <w:rPr>
          <w:szCs w:val="26"/>
        </w:rPr>
        <w:t xml:space="preserve"> charge assessed is the difference between the EGS</w:t>
      </w:r>
      <w:r w:rsidR="00E00225">
        <w:rPr>
          <w:szCs w:val="26"/>
        </w:rPr>
        <w:t>’</w:t>
      </w:r>
      <w:r w:rsidR="00604294">
        <w:rPr>
          <w:szCs w:val="26"/>
        </w:rPr>
        <w:t>s</w:t>
      </w:r>
      <w:r w:rsidR="00431F8C" w:rsidRPr="00431F8C">
        <w:rPr>
          <w:szCs w:val="26"/>
        </w:rPr>
        <w:t xml:space="preserve"> actual write-offs and its actual write-off amount calculated at 200% of the average EGS percentage of write-offs.  </w:t>
      </w:r>
      <w:r w:rsidR="00431F8C" w:rsidRPr="00431F8C">
        <w:rPr>
          <w:i/>
          <w:szCs w:val="26"/>
        </w:rPr>
        <w:t>Id.</w:t>
      </w:r>
    </w:p>
    <w:p w14:paraId="1E5FC482" w14:textId="77777777" w:rsidR="00092EE4" w:rsidRDefault="00092EE4" w:rsidP="00CC0155">
      <w:pPr>
        <w:autoSpaceDE w:val="0"/>
        <w:autoSpaceDN w:val="0"/>
        <w:adjustRightInd w:val="0"/>
        <w:rPr>
          <w:i/>
          <w:szCs w:val="26"/>
        </w:rPr>
      </w:pPr>
    </w:p>
    <w:p w14:paraId="18FD5EC6" w14:textId="0BAA0480" w:rsidR="00431F8C" w:rsidRPr="00431F8C" w:rsidRDefault="00431F8C" w:rsidP="00CC0155">
      <w:pPr>
        <w:autoSpaceDE w:val="0"/>
        <w:autoSpaceDN w:val="0"/>
        <w:adjustRightInd w:val="0"/>
        <w:rPr>
          <w:i/>
          <w:szCs w:val="26"/>
        </w:rPr>
      </w:pPr>
      <w:r w:rsidRPr="00431F8C">
        <w:rPr>
          <w:szCs w:val="26"/>
        </w:rPr>
        <w:t>According to the Companies, Respond</w:t>
      </w:r>
      <w:r w:rsidR="00E00225">
        <w:rPr>
          <w:szCs w:val="26"/>
        </w:rPr>
        <w:t>’</w:t>
      </w:r>
      <w:r w:rsidRPr="00431F8C">
        <w:rPr>
          <w:szCs w:val="26"/>
        </w:rPr>
        <w:t>s write-off percentage was 14.79% and 14.42% for Penelec and West Penn, respectively, in 2016</w:t>
      </w:r>
      <w:r w:rsidR="00604294">
        <w:rPr>
          <w:szCs w:val="26"/>
        </w:rPr>
        <w:t>,</w:t>
      </w:r>
      <w:r w:rsidRPr="00431F8C">
        <w:rPr>
          <w:szCs w:val="26"/>
        </w:rPr>
        <w:t xml:space="preserve"> and 8.87% and 9.51% for Penelec and West Penn, respectively, in 2017. </w:t>
      </w:r>
      <w:r w:rsidR="006C6324">
        <w:rPr>
          <w:szCs w:val="26"/>
        </w:rPr>
        <w:t xml:space="preserve"> </w:t>
      </w:r>
      <w:r w:rsidRPr="00431F8C">
        <w:rPr>
          <w:i/>
          <w:szCs w:val="26"/>
        </w:rPr>
        <w:t>Id.</w:t>
      </w:r>
      <w:r w:rsidRPr="00431F8C">
        <w:rPr>
          <w:szCs w:val="26"/>
        </w:rPr>
        <w:t>; Exhibit KLB-l.  The Companies averred that these write-off percentages are three to seven times 200% of the average write-offs of over sixty-five other EGSs.</w:t>
      </w:r>
      <w:r w:rsidR="00F34C80">
        <w:rPr>
          <w:szCs w:val="26"/>
        </w:rPr>
        <w:t xml:space="preserve">  </w:t>
      </w:r>
      <w:r w:rsidRPr="00431F8C">
        <w:rPr>
          <w:szCs w:val="26"/>
        </w:rPr>
        <w:t xml:space="preserve">Companies St. 1 at 17-18.  </w:t>
      </w:r>
      <w:r w:rsidRPr="00E41838">
        <w:rPr>
          <w:szCs w:val="26"/>
        </w:rPr>
        <w:t>Further, the Companies indicated that in 2016, Respond had the highest write-off percentage of any EGS serving residential and small commercial customers in West Penn</w:t>
      </w:r>
      <w:r w:rsidR="00E00225">
        <w:rPr>
          <w:szCs w:val="26"/>
        </w:rPr>
        <w:t>’</w:t>
      </w:r>
      <w:r w:rsidRPr="00E41838">
        <w:rPr>
          <w:szCs w:val="26"/>
        </w:rPr>
        <w:t xml:space="preserve">s service territory and the second highest in </w:t>
      </w:r>
      <w:proofErr w:type="spellStart"/>
      <w:r w:rsidRPr="00E41838">
        <w:rPr>
          <w:szCs w:val="26"/>
        </w:rPr>
        <w:t>Penelec</w:t>
      </w:r>
      <w:r w:rsidR="00E00225">
        <w:rPr>
          <w:szCs w:val="26"/>
        </w:rPr>
        <w:t>’</w:t>
      </w:r>
      <w:r w:rsidRPr="00E41838">
        <w:rPr>
          <w:szCs w:val="26"/>
        </w:rPr>
        <w:t>s</w:t>
      </w:r>
      <w:proofErr w:type="spellEnd"/>
      <w:r w:rsidRPr="00E41838">
        <w:rPr>
          <w:szCs w:val="26"/>
        </w:rPr>
        <w:t xml:space="preserve"> territory.  </w:t>
      </w:r>
      <w:r w:rsidRPr="00E41838">
        <w:rPr>
          <w:i/>
          <w:szCs w:val="26"/>
        </w:rPr>
        <w:t>Id.</w:t>
      </w:r>
      <w:r w:rsidRPr="00E41838">
        <w:rPr>
          <w:szCs w:val="26"/>
        </w:rPr>
        <w:t xml:space="preserve"> at 18-19.</w:t>
      </w:r>
      <w:r w:rsidRPr="00431F8C">
        <w:rPr>
          <w:szCs w:val="26"/>
        </w:rPr>
        <w:t xml:space="preserve">  The Companies further </w:t>
      </w:r>
      <w:r w:rsidRPr="00431F8C">
        <w:rPr>
          <w:szCs w:val="26"/>
        </w:rPr>
        <w:lastRenderedPageBreak/>
        <w:t xml:space="preserve">alleged that Respond charges some of the highest prices for generation in the market, which are, on average, more than 250% of the applicable PTC.  </w:t>
      </w:r>
      <w:r w:rsidRPr="00431F8C">
        <w:rPr>
          <w:i/>
          <w:szCs w:val="26"/>
        </w:rPr>
        <w:t>Id.</w:t>
      </w:r>
      <w:r w:rsidRPr="00431F8C">
        <w:rPr>
          <w:szCs w:val="26"/>
        </w:rPr>
        <w:t xml:space="preserve">; Exhibit KLB-l.  The Companies stated that based on the results of the screening test, two other EGSs participating in </w:t>
      </w:r>
      <w:proofErr w:type="spellStart"/>
      <w:r w:rsidRPr="00431F8C">
        <w:rPr>
          <w:szCs w:val="26"/>
        </w:rPr>
        <w:t>Penelec</w:t>
      </w:r>
      <w:r w:rsidR="00E00225">
        <w:rPr>
          <w:szCs w:val="26"/>
        </w:rPr>
        <w:t>’</w:t>
      </w:r>
      <w:r w:rsidRPr="00431F8C">
        <w:rPr>
          <w:szCs w:val="26"/>
        </w:rPr>
        <w:t>s</w:t>
      </w:r>
      <w:proofErr w:type="spellEnd"/>
      <w:r w:rsidRPr="00431F8C">
        <w:rPr>
          <w:szCs w:val="26"/>
        </w:rPr>
        <w:t xml:space="preserve"> and West Penn</w:t>
      </w:r>
      <w:r w:rsidR="00E00225">
        <w:rPr>
          <w:szCs w:val="26"/>
        </w:rPr>
        <w:t>’</w:t>
      </w:r>
      <w:r w:rsidRPr="00431F8C">
        <w:rPr>
          <w:szCs w:val="26"/>
        </w:rPr>
        <w:t xml:space="preserve">s POR programs were also subject to a </w:t>
      </w:r>
      <w:proofErr w:type="spellStart"/>
      <w:r w:rsidRPr="00431F8C">
        <w:rPr>
          <w:szCs w:val="26"/>
        </w:rPr>
        <w:t>clawback</w:t>
      </w:r>
      <w:proofErr w:type="spellEnd"/>
      <w:r w:rsidRPr="00431F8C">
        <w:rPr>
          <w:szCs w:val="26"/>
        </w:rPr>
        <w:t xml:space="preserve"> charge in 2016 and 2017.  Companies St. 1 at 19.</w:t>
      </w:r>
    </w:p>
    <w:p w14:paraId="4B29924B" w14:textId="77777777" w:rsidR="00431F8C" w:rsidRDefault="00431F8C" w:rsidP="00CC0155">
      <w:pPr>
        <w:autoSpaceDE w:val="0"/>
        <w:autoSpaceDN w:val="0"/>
        <w:adjustRightInd w:val="0"/>
        <w:rPr>
          <w:szCs w:val="26"/>
        </w:rPr>
      </w:pPr>
    </w:p>
    <w:p w14:paraId="14DE2236" w14:textId="355AEE10" w:rsidR="00145CBA" w:rsidRPr="00BD78C9" w:rsidRDefault="00183B47" w:rsidP="00CC0155">
      <w:pPr>
        <w:autoSpaceDE w:val="0"/>
        <w:autoSpaceDN w:val="0"/>
        <w:adjustRightInd w:val="0"/>
        <w:rPr>
          <w:szCs w:val="26"/>
        </w:rPr>
      </w:pPr>
      <w:r>
        <w:rPr>
          <w:color w:val="000000"/>
          <w:szCs w:val="26"/>
        </w:rPr>
        <w:t>Based on the foregoing</w:t>
      </w:r>
      <w:r w:rsidR="00BD78C9">
        <w:rPr>
          <w:color w:val="000000"/>
          <w:szCs w:val="26"/>
        </w:rPr>
        <w:t>, a</w:t>
      </w:r>
      <w:r w:rsidR="00145CBA" w:rsidRPr="00145CBA">
        <w:rPr>
          <w:color w:val="000000"/>
          <w:szCs w:val="26"/>
        </w:rPr>
        <w:t xml:space="preserve">fter determining that Respond satisfied both prongs of the </w:t>
      </w:r>
      <w:r w:rsidR="00E00225">
        <w:rPr>
          <w:color w:val="000000"/>
          <w:szCs w:val="26"/>
        </w:rPr>
        <w:t>‘</w:t>
      </w:r>
      <w:proofErr w:type="spellStart"/>
      <w:r>
        <w:rPr>
          <w:color w:val="000000"/>
          <w:szCs w:val="26"/>
        </w:rPr>
        <w:t>clawback</w:t>
      </w:r>
      <w:proofErr w:type="spellEnd"/>
      <w:r>
        <w:rPr>
          <w:color w:val="000000"/>
          <w:szCs w:val="26"/>
        </w:rPr>
        <w:t xml:space="preserve"> charge</w:t>
      </w:r>
      <w:r w:rsidR="00E00225">
        <w:rPr>
          <w:color w:val="000000"/>
          <w:szCs w:val="26"/>
        </w:rPr>
        <w:t>’</w:t>
      </w:r>
      <w:r>
        <w:rPr>
          <w:color w:val="000000"/>
          <w:szCs w:val="26"/>
        </w:rPr>
        <w:t xml:space="preserve"> </w:t>
      </w:r>
      <w:r w:rsidR="00145CBA" w:rsidRPr="00145CBA">
        <w:rPr>
          <w:color w:val="000000"/>
          <w:szCs w:val="26"/>
        </w:rPr>
        <w:t>screening test,</w:t>
      </w:r>
      <w:r w:rsidR="00BD78C9">
        <w:rPr>
          <w:color w:val="000000"/>
          <w:szCs w:val="26"/>
        </w:rPr>
        <w:t xml:space="preserve"> the Companies </w:t>
      </w:r>
      <w:r w:rsidR="00145CBA" w:rsidRPr="00145CBA">
        <w:rPr>
          <w:color w:val="000000"/>
          <w:szCs w:val="26"/>
        </w:rPr>
        <w:t>first applied 200% of the EGS average write-off percentage for each company to Respond</w:t>
      </w:r>
      <w:r w:rsidR="00E00225">
        <w:rPr>
          <w:color w:val="000000"/>
          <w:szCs w:val="26"/>
        </w:rPr>
        <w:t>’</w:t>
      </w:r>
      <w:r w:rsidR="00145CBA" w:rsidRPr="00145CBA">
        <w:rPr>
          <w:color w:val="000000"/>
          <w:szCs w:val="26"/>
        </w:rPr>
        <w:t>s revenues in the applicable service territory.</w:t>
      </w:r>
      <w:r w:rsidR="00BD78C9">
        <w:rPr>
          <w:color w:val="000000"/>
          <w:szCs w:val="26"/>
        </w:rPr>
        <w:t xml:space="preserve">  </w:t>
      </w:r>
      <w:r w:rsidR="00BD78C9" w:rsidRPr="00BD78C9">
        <w:rPr>
          <w:i/>
          <w:color w:val="000000"/>
          <w:szCs w:val="26"/>
        </w:rPr>
        <w:t>Id.</w:t>
      </w:r>
      <w:r w:rsidR="00BD78C9">
        <w:rPr>
          <w:color w:val="000000"/>
          <w:szCs w:val="26"/>
        </w:rPr>
        <w:t xml:space="preserve"> </w:t>
      </w:r>
      <w:r w:rsidR="00145CBA" w:rsidRPr="00145CBA">
        <w:rPr>
          <w:color w:val="000000"/>
          <w:szCs w:val="26"/>
        </w:rPr>
        <w:t xml:space="preserve"> The charge assessed by </w:t>
      </w:r>
      <w:r w:rsidR="002B6B86">
        <w:rPr>
          <w:color w:val="000000"/>
          <w:szCs w:val="26"/>
        </w:rPr>
        <w:t>the Companies</w:t>
      </w:r>
      <w:r w:rsidR="00145CBA" w:rsidRPr="00145CBA">
        <w:rPr>
          <w:color w:val="000000"/>
          <w:szCs w:val="26"/>
        </w:rPr>
        <w:t xml:space="preserve"> recovers the amount of Respond</w:t>
      </w:r>
      <w:r w:rsidR="00E00225">
        <w:rPr>
          <w:color w:val="000000"/>
          <w:szCs w:val="26"/>
        </w:rPr>
        <w:t>’</w:t>
      </w:r>
      <w:r w:rsidR="00145CBA" w:rsidRPr="00145CBA">
        <w:rPr>
          <w:color w:val="000000"/>
          <w:szCs w:val="26"/>
        </w:rPr>
        <w:t>s write-offs over this amount for 2016 and 2017, respectively.</w:t>
      </w:r>
      <w:r w:rsidR="002B6B86">
        <w:rPr>
          <w:color w:val="000000"/>
          <w:szCs w:val="26"/>
        </w:rPr>
        <w:t xml:space="preserve">  </w:t>
      </w:r>
      <w:r w:rsidR="002B6B86" w:rsidRPr="00BD78C9">
        <w:rPr>
          <w:i/>
          <w:color w:val="000000"/>
          <w:szCs w:val="26"/>
        </w:rPr>
        <w:t>Id.</w:t>
      </w:r>
      <w:r w:rsidR="002B6B86">
        <w:rPr>
          <w:color w:val="000000"/>
          <w:szCs w:val="26"/>
        </w:rPr>
        <w:t xml:space="preserve">; </w:t>
      </w:r>
      <w:r>
        <w:rPr>
          <w:i/>
          <w:color w:val="000000"/>
          <w:szCs w:val="26"/>
        </w:rPr>
        <w:t>also</w:t>
      </w:r>
      <w:r w:rsidR="00020398">
        <w:rPr>
          <w:i/>
          <w:color w:val="000000"/>
          <w:szCs w:val="26"/>
        </w:rPr>
        <w:t>,</w:t>
      </w:r>
      <w:r>
        <w:rPr>
          <w:i/>
          <w:color w:val="000000"/>
          <w:szCs w:val="26"/>
        </w:rPr>
        <w:t xml:space="preserve"> </w:t>
      </w:r>
      <w:r w:rsidR="00145CBA" w:rsidRPr="00145CBA">
        <w:rPr>
          <w:color w:val="000000"/>
          <w:szCs w:val="26"/>
        </w:rPr>
        <w:t xml:space="preserve">RP </w:t>
      </w:r>
      <w:r w:rsidR="00145CBA" w:rsidRPr="00BD78C9">
        <w:rPr>
          <w:szCs w:val="26"/>
        </w:rPr>
        <w:t>Exhibit AS-2 and RP Exhibit AS-I0.</w:t>
      </w:r>
      <w:r w:rsidR="002B6B86">
        <w:rPr>
          <w:szCs w:val="26"/>
        </w:rPr>
        <w:t xml:space="preserve">  Finally, the Companies averred that b</w:t>
      </w:r>
      <w:r w:rsidR="00145CBA" w:rsidRPr="00BD78C9">
        <w:rPr>
          <w:szCs w:val="26"/>
        </w:rPr>
        <w:t xml:space="preserve">ased on the </w:t>
      </w:r>
      <w:r>
        <w:rPr>
          <w:szCs w:val="26"/>
        </w:rPr>
        <w:t xml:space="preserve">applicable </w:t>
      </w:r>
      <w:r w:rsidR="00145CBA" w:rsidRPr="00BD78C9">
        <w:rPr>
          <w:szCs w:val="26"/>
        </w:rPr>
        <w:t>computations, Penelec and West Penn sent invoices dated September</w:t>
      </w:r>
      <w:r w:rsidR="00020398">
        <w:rPr>
          <w:szCs w:val="26"/>
        </w:rPr>
        <w:t> </w:t>
      </w:r>
      <w:r w:rsidR="00145CBA" w:rsidRPr="00BD78C9">
        <w:rPr>
          <w:szCs w:val="26"/>
        </w:rPr>
        <w:t>27, 2016</w:t>
      </w:r>
      <w:r w:rsidR="001A3D45">
        <w:rPr>
          <w:szCs w:val="26"/>
        </w:rPr>
        <w:t>,</w:t>
      </w:r>
      <w:r w:rsidR="00145CBA" w:rsidRPr="00BD78C9">
        <w:rPr>
          <w:szCs w:val="26"/>
        </w:rPr>
        <w:t xml:space="preserve"> in the amounts of $305,890.63 and $178,907.06</w:t>
      </w:r>
      <w:r w:rsidR="001A3D45">
        <w:rPr>
          <w:szCs w:val="26"/>
        </w:rPr>
        <w:t>,</w:t>
      </w:r>
      <w:r w:rsidR="00145CBA" w:rsidRPr="00BD78C9">
        <w:rPr>
          <w:szCs w:val="26"/>
        </w:rPr>
        <w:t xml:space="preserve"> respectively</w:t>
      </w:r>
      <w:r w:rsidR="001A3D45">
        <w:rPr>
          <w:szCs w:val="26"/>
        </w:rPr>
        <w:t xml:space="preserve">, and </w:t>
      </w:r>
      <w:r w:rsidR="00145CBA" w:rsidRPr="00BD78C9">
        <w:rPr>
          <w:szCs w:val="26"/>
        </w:rPr>
        <w:t>invoices dated September 29, 2017 in the amounts of $142,973.13 and $68,039.41 respectively</w:t>
      </w:r>
      <w:r w:rsidR="001A3D45">
        <w:rPr>
          <w:szCs w:val="26"/>
        </w:rPr>
        <w:t>,</w:t>
      </w:r>
      <w:r w:rsidR="00145CBA" w:rsidRPr="00BD78C9">
        <w:rPr>
          <w:szCs w:val="26"/>
        </w:rPr>
        <w:t xml:space="preserve"> to Respond. </w:t>
      </w:r>
      <w:r>
        <w:rPr>
          <w:szCs w:val="26"/>
        </w:rPr>
        <w:t xml:space="preserve"> </w:t>
      </w:r>
      <w:r w:rsidR="00145CBA" w:rsidRPr="00BD78C9">
        <w:rPr>
          <w:szCs w:val="26"/>
        </w:rPr>
        <w:t>RP Exhibit AS- and RP Exhibit AS-9</w:t>
      </w:r>
      <w:r w:rsidR="002B6B86">
        <w:rPr>
          <w:szCs w:val="26"/>
        </w:rPr>
        <w:t xml:space="preserve">.  The Companies noted that </w:t>
      </w:r>
      <w:r w:rsidR="00145CBA" w:rsidRPr="00BD78C9">
        <w:rPr>
          <w:szCs w:val="26"/>
        </w:rPr>
        <w:t xml:space="preserve">Respond has not identified any computational errors in the calculation of the 2016 and 2017 </w:t>
      </w:r>
      <w:proofErr w:type="spellStart"/>
      <w:r w:rsidR="00145CBA" w:rsidRPr="00BD78C9">
        <w:rPr>
          <w:szCs w:val="26"/>
        </w:rPr>
        <w:t>clawback</w:t>
      </w:r>
      <w:proofErr w:type="spellEnd"/>
      <w:r w:rsidR="00145CBA" w:rsidRPr="00BD78C9">
        <w:rPr>
          <w:szCs w:val="26"/>
        </w:rPr>
        <w:t xml:space="preserve"> charge invoices</w:t>
      </w:r>
      <w:r w:rsidR="006212F0">
        <w:rPr>
          <w:szCs w:val="26"/>
        </w:rPr>
        <w:t xml:space="preserve">.  </w:t>
      </w:r>
      <w:r w:rsidR="006212F0" w:rsidRPr="00431F8C">
        <w:rPr>
          <w:szCs w:val="26"/>
        </w:rPr>
        <w:t>Companies St. 1 at 19</w:t>
      </w:r>
      <w:r w:rsidR="006212F0">
        <w:rPr>
          <w:szCs w:val="26"/>
        </w:rPr>
        <w:t xml:space="preserve">; </w:t>
      </w:r>
      <w:r w:rsidR="00145CBA" w:rsidRPr="00BD78C9">
        <w:rPr>
          <w:szCs w:val="26"/>
        </w:rPr>
        <w:t>Exhibit KLB-3.</w:t>
      </w:r>
    </w:p>
    <w:p w14:paraId="28D338BA" w14:textId="77777777" w:rsidR="00CD3B44" w:rsidRPr="00117CC1" w:rsidRDefault="00CD3B44" w:rsidP="00CC0155">
      <w:pPr>
        <w:rPr>
          <w:bCs/>
          <w:szCs w:val="26"/>
        </w:rPr>
      </w:pPr>
    </w:p>
    <w:p w14:paraId="4A33F982" w14:textId="77777777" w:rsidR="00767179" w:rsidRPr="00117CC1" w:rsidRDefault="00767179" w:rsidP="00F71658">
      <w:pPr>
        <w:pStyle w:val="Heading1"/>
        <w:keepLines/>
        <w:spacing w:line="360" w:lineRule="auto"/>
      </w:pPr>
      <w:bookmarkStart w:id="2" w:name="_Toc415316183"/>
      <w:r w:rsidRPr="00117CC1">
        <w:t>III.</w:t>
      </w:r>
      <w:r w:rsidR="00D76B63" w:rsidRPr="00117CC1">
        <w:tab/>
      </w:r>
      <w:r w:rsidRPr="00117CC1">
        <w:t>Discussion</w:t>
      </w:r>
      <w:bookmarkEnd w:id="2"/>
    </w:p>
    <w:p w14:paraId="46F7C412" w14:textId="77777777" w:rsidR="00AE5D31" w:rsidRPr="00CA21AB" w:rsidRDefault="00AE5D31" w:rsidP="00F71658">
      <w:pPr>
        <w:pStyle w:val="Heading1"/>
        <w:keepLines/>
        <w:spacing w:line="360" w:lineRule="auto"/>
      </w:pPr>
    </w:p>
    <w:p w14:paraId="2A29CA32" w14:textId="77777777" w:rsidR="00E97404" w:rsidRPr="00117CC1" w:rsidRDefault="00AE5D31" w:rsidP="00F71658">
      <w:pPr>
        <w:pStyle w:val="Heading2"/>
        <w:keepLines/>
        <w:spacing w:line="360" w:lineRule="auto"/>
        <w:rPr>
          <w:sz w:val="26"/>
        </w:rPr>
      </w:pPr>
      <w:bookmarkStart w:id="3" w:name="_Toc415316184"/>
      <w:r w:rsidRPr="00117CC1">
        <w:rPr>
          <w:sz w:val="26"/>
        </w:rPr>
        <w:t>Legal Standards</w:t>
      </w:r>
      <w:bookmarkEnd w:id="3"/>
      <w:r w:rsidRPr="00117CC1">
        <w:rPr>
          <w:sz w:val="26"/>
        </w:rPr>
        <w:t xml:space="preserve"> </w:t>
      </w:r>
      <w:r w:rsidR="00C61EB8" w:rsidRPr="00117CC1">
        <w:rPr>
          <w:sz w:val="26"/>
        </w:rPr>
        <w:t xml:space="preserve"> </w:t>
      </w:r>
    </w:p>
    <w:p w14:paraId="203EA9F8" w14:textId="77777777" w:rsidR="00E97404" w:rsidRPr="00117CC1" w:rsidRDefault="00E97404" w:rsidP="00020398">
      <w:pPr>
        <w:keepNext/>
        <w:keepLines/>
        <w:tabs>
          <w:tab w:val="left" w:pos="-720"/>
        </w:tabs>
        <w:suppressAutoHyphens/>
        <w:ind w:right="144"/>
        <w:rPr>
          <w:rFonts w:eastAsia="Times New Roman"/>
          <w:szCs w:val="24"/>
        </w:rPr>
      </w:pPr>
    </w:p>
    <w:p w14:paraId="1349D00F" w14:textId="2BC9E076" w:rsidR="00F131C4" w:rsidRPr="00117CC1" w:rsidRDefault="00F131C4" w:rsidP="00CC0155">
      <w:pPr>
        <w:rPr>
          <w:color w:val="000000"/>
          <w:szCs w:val="26"/>
        </w:rPr>
      </w:pPr>
      <w:r w:rsidRPr="00117CC1">
        <w:rPr>
          <w:color w:val="000000"/>
          <w:szCs w:val="26"/>
        </w:rPr>
        <w:t xml:space="preserve">In this proceeding, </w:t>
      </w:r>
      <w:r w:rsidR="00BB6076">
        <w:rPr>
          <w:color w:val="000000"/>
          <w:szCs w:val="26"/>
        </w:rPr>
        <w:t>Respond</w:t>
      </w:r>
      <w:r w:rsidR="00EB6F0C">
        <w:rPr>
          <w:color w:val="000000"/>
          <w:szCs w:val="26"/>
        </w:rPr>
        <w:t>, as the proponent of a rule or order from the Commission,</w:t>
      </w:r>
      <w:r w:rsidRPr="00117CC1">
        <w:rPr>
          <w:color w:val="000000"/>
          <w:szCs w:val="26"/>
        </w:rPr>
        <w:t xml:space="preserve"> has the burden of proof to establish that it is entitled to the relief it is seeking.  66 Pa.</w:t>
      </w:r>
      <w:r w:rsidR="00A17956">
        <w:rPr>
          <w:color w:val="000000"/>
          <w:szCs w:val="26"/>
        </w:rPr>
        <w:t xml:space="preserve"> </w:t>
      </w:r>
      <w:r w:rsidRPr="00117CC1">
        <w:rPr>
          <w:color w:val="000000"/>
          <w:szCs w:val="26"/>
        </w:rPr>
        <w:t xml:space="preserve">C.S. § 332(a).  </w:t>
      </w:r>
      <w:r w:rsidR="00B10F82">
        <w:rPr>
          <w:color w:val="000000"/>
          <w:szCs w:val="26"/>
        </w:rPr>
        <w:t>Respond</w:t>
      </w:r>
      <w:r w:rsidRPr="00117CC1">
        <w:rPr>
          <w:color w:val="000000"/>
          <w:szCs w:val="26"/>
        </w:rPr>
        <w:t xml:space="preserve"> must </w:t>
      </w:r>
      <w:r w:rsidR="000F2DE1">
        <w:rPr>
          <w:color w:val="000000"/>
          <w:szCs w:val="26"/>
        </w:rPr>
        <w:t>prove</w:t>
      </w:r>
      <w:r w:rsidRPr="00117CC1">
        <w:rPr>
          <w:color w:val="000000"/>
          <w:szCs w:val="26"/>
        </w:rPr>
        <w:t xml:space="preserve"> its case by a preponderance of the evidence.  </w:t>
      </w:r>
      <w:r w:rsidRPr="00117CC1">
        <w:rPr>
          <w:i/>
          <w:color w:val="000000"/>
          <w:szCs w:val="26"/>
        </w:rPr>
        <w:t xml:space="preserve">Samuel J. </w:t>
      </w:r>
      <w:proofErr w:type="spellStart"/>
      <w:r w:rsidRPr="00117CC1">
        <w:rPr>
          <w:i/>
          <w:color w:val="000000"/>
          <w:szCs w:val="26"/>
        </w:rPr>
        <w:t>Lansberry</w:t>
      </w:r>
      <w:proofErr w:type="spellEnd"/>
      <w:r w:rsidRPr="00117CC1">
        <w:rPr>
          <w:i/>
          <w:color w:val="000000"/>
          <w:szCs w:val="26"/>
        </w:rPr>
        <w:t>, Inc. v. Pa. PUC</w:t>
      </w:r>
      <w:r w:rsidRPr="00117CC1">
        <w:rPr>
          <w:color w:val="000000"/>
          <w:szCs w:val="26"/>
        </w:rPr>
        <w:t xml:space="preserve">, 578 A.2d 600 (Pa. </w:t>
      </w:r>
      <w:proofErr w:type="spellStart"/>
      <w:r w:rsidRPr="00117CC1">
        <w:rPr>
          <w:color w:val="000000"/>
          <w:szCs w:val="26"/>
        </w:rPr>
        <w:t>Cmwlth</w:t>
      </w:r>
      <w:proofErr w:type="spellEnd"/>
      <w:r w:rsidRPr="00117CC1">
        <w:rPr>
          <w:color w:val="000000"/>
          <w:szCs w:val="26"/>
        </w:rPr>
        <w:t xml:space="preserve">. 1990), </w:t>
      </w:r>
      <w:proofErr w:type="spellStart"/>
      <w:r w:rsidRPr="00117CC1">
        <w:rPr>
          <w:i/>
          <w:color w:val="000000"/>
          <w:szCs w:val="26"/>
        </w:rPr>
        <w:t>alloc</w:t>
      </w:r>
      <w:proofErr w:type="spellEnd"/>
      <w:r w:rsidRPr="00117CC1">
        <w:rPr>
          <w:i/>
          <w:color w:val="000000"/>
          <w:szCs w:val="26"/>
        </w:rPr>
        <w:t>. den</w:t>
      </w:r>
      <w:r w:rsidRPr="00117CC1">
        <w:rPr>
          <w:color w:val="000000"/>
          <w:szCs w:val="26"/>
        </w:rPr>
        <w:t xml:space="preserve">., 529 Pa. 654, 602 A.2d 863 (1992).  To meet its burden of proof, </w:t>
      </w:r>
      <w:r w:rsidR="00B10F82">
        <w:rPr>
          <w:color w:val="000000"/>
          <w:szCs w:val="26"/>
        </w:rPr>
        <w:t>Respond</w:t>
      </w:r>
      <w:r w:rsidRPr="00117CC1">
        <w:rPr>
          <w:color w:val="000000"/>
          <w:szCs w:val="26"/>
        </w:rPr>
        <w:t xml:space="preserve"> must present evidence more convincing, by even the smallest amount, than that presented </w:t>
      </w:r>
      <w:r w:rsidRPr="00117CC1">
        <w:rPr>
          <w:color w:val="000000"/>
          <w:szCs w:val="26"/>
        </w:rPr>
        <w:lastRenderedPageBreak/>
        <w:t xml:space="preserve">by any opposing party.  </w:t>
      </w:r>
      <w:r w:rsidRPr="00117CC1">
        <w:rPr>
          <w:i/>
          <w:color w:val="000000"/>
          <w:szCs w:val="26"/>
        </w:rPr>
        <w:t>Se-Ling Hosiery, Inc. v. Margulies</w:t>
      </w:r>
      <w:r w:rsidRPr="00117CC1">
        <w:rPr>
          <w:color w:val="000000"/>
          <w:szCs w:val="26"/>
        </w:rPr>
        <w:t>, 364 Pa. 45, 70 A.2d 854 (1950).</w:t>
      </w:r>
    </w:p>
    <w:p w14:paraId="0E225E31" w14:textId="77777777" w:rsidR="00F131C4" w:rsidRPr="00117CC1" w:rsidRDefault="00F131C4" w:rsidP="00CC0155">
      <w:pPr>
        <w:rPr>
          <w:color w:val="000000"/>
          <w:szCs w:val="26"/>
        </w:rPr>
      </w:pPr>
    </w:p>
    <w:p w14:paraId="0D7F6FC5" w14:textId="7AB4D7B2" w:rsidR="00C759EB" w:rsidRDefault="002C11B7" w:rsidP="00CC0155">
      <w:pPr>
        <w:pStyle w:val="BodyText2"/>
        <w:rPr>
          <w:sz w:val="26"/>
          <w:szCs w:val="26"/>
        </w:rPr>
      </w:pPr>
      <w:r w:rsidRPr="002C11B7">
        <w:rPr>
          <w:sz w:val="26"/>
          <w:szCs w:val="26"/>
        </w:rPr>
        <w:t>The Electricity Generation Customer Choice and Competition Act, 66 Pa.</w:t>
      </w:r>
      <w:r>
        <w:rPr>
          <w:sz w:val="26"/>
          <w:szCs w:val="26"/>
        </w:rPr>
        <w:t xml:space="preserve"> </w:t>
      </w:r>
      <w:r w:rsidRPr="002C11B7">
        <w:rPr>
          <w:sz w:val="26"/>
          <w:szCs w:val="26"/>
        </w:rPr>
        <w:t>C.S. §§ 2801-2812 (Competition Act)</w:t>
      </w:r>
      <w:r>
        <w:rPr>
          <w:sz w:val="26"/>
          <w:szCs w:val="26"/>
        </w:rPr>
        <w:t xml:space="preserve">, </w:t>
      </w:r>
      <w:r w:rsidR="00F41DCD" w:rsidRPr="002C11B7">
        <w:rPr>
          <w:sz w:val="26"/>
          <w:szCs w:val="26"/>
        </w:rPr>
        <w:t>as amended by Act 129, requires that EDCs</w:t>
      </w:r>
      <w:r>
        <w:rPr>
          <w:sz w:val="26"/>
          <w:szCs w:val="26"/>
        </w:rPr>
        <w:t xml:space="preserve"> </w:t>
      </w:r>
      <w:r w:rsidR="00F41DCD" w:rsidRPr="002C11B7">
        <w:rPr>
          <w:sz w:val="26"/>
          <w:szCs w:val="26"/>
        </w:rPr>
        <w:t xml:space="preserve">file DSPs with the Commission for approval. </w:t>
      </w:r>
      <w:r>
        <w:rPr>
          <w:sz w:val="26"/>
          <w:szCs w:val="26"/>
        </w:rPr>
        <w:t xml:space="preserve"> </w:t>
      </w:r>
      <w:r w:rsidRPr="002C11B7">
        <w:rPr>
          <w:sz w:val="26"/>
          <w:szCs w:val="26"/>
        </w:rPr>
        <w:t>The General Assembly passed the Competition Act in order to encourage competition in the generation of electricity, reduce electricity rates, encourage business and industry in the Commonwealth, and maintain safe, affordable, and reliable transmission and distribution services.</w:t>
      </w:r>
      <w:r>
        <w:rPr>
          <w:sz w:val="26"/>
          <w:szCs w:val="26"/>
        </w:rPr>
        <w:t xml:space="preserve">  </w:t>
      </w:r>
      <w:r w:rsidRPr="002C11B7">
        <w:rPr>
          <w:sz w:val="26"/>
          <w:szCs w:val="26"/>
        </w:rPr>
        <w:t>The objectives of the Competition Act were to</w:t>
      </w:r>
      <w:r w:rsidR="00C759EB">
        <w:rPr>
          <w:sz w:val="26"/>
          <w:szCs w:val="26"/>
        </w:rPr>
        <w:t xml:space="preserve">, </w:t>
      </w:r>
      <w:r w:rsidR="00C759EB">
        <w:rPr>
          <w:i/>
          <w:sz w:val="26"/>
          <w:szCs w:val="26"/>
        </w:rPr>
        <w:t>inter alia</w:t>
      </w:r>
      <w:r w:rsidR="00C759EB">
        <w:rPr>
          <w:sz w:val="26"/>
          <w:szCs w:val="26"/>
        </w:rPr>
        <w:t>,</w:t>
      </w:r>
      <w:r w:rsidR="00C759EB">
        <w:rPr>
          <w:i/>
          <w:sz w:val="26"/>
          <w:szCs w:val="26"/>
        </w:rPr>
        <w:t xml:space="preserve"> </w:t>
      </w:r>
      <w:r w:rsidRPr="002C11B7">
        <w:rPr>
          <w:sz w:val="26"/>
          <w:szCs w:val="26"/>
        </w:rPr>
        <w:t>encourage competitive retail and wholesale markets, while providing significant cost savings and rate protections to customers.</w:t>
      </w:r>
    </w:p>
    <w:p w14:paraId="3DFEA69B" w14:textId="77777777" w:rsidR="00C759EB" w:rsidRDefault="00C759EB" w:rsidP="00CC0155">
      <w:pPr>
        <w:pStyle w:val="BodyText2"/>
        <w:rPr>
          <w:sz w:val="26"/>
          <w:szCs w:val="26"/>
        </w:rPr>
      </w:pPr>
    </w:p>
    <w:p w14:paraId="086B8800" w14:textId="33AB0A6C" w:rsidR="002C11B7" w:rsidRDefault="002C11B7" w:rsidP="00CC0155">
      <w:pPr>
        <w:pStyle w:val="BodyText2"/>
        <w:rPr>
          <w:sz w:val="26"/>
          <w:szCs w:val="26"/>
        </w:rPr>
      </w:pPr>
      <w:r w:rsidRPr="002C11B7">
        <w:rPr>
          <w:sz w:val="26"/>
          <w:szCs w:val="26"/>
        </w:rPr>
        <w:t xml:space="preserve">In order to ensure </w:t>
      </w:r>
      <w:r w:rsidR="00C759EB">
        <w:rPr>
          <w:sz w:val="26"/>
          <w:szCs w:val="26"/>
        </w:rPr>
        <w:t xml:space="preserve">that </w:t>
      </w:r>
      <w:r w:rsidRPr="002C11B7">
        <w:rPr>
          <w:sz w:val="26"/>
          <w:szCs w:val="26"/>
        </w:rPr>
        <w:t>this transition</w:t>
      </w:r>
      <w:r w:rsidR="00C759EB">
        <w:rPr>
          <w:sz w:val="26"/>
          <w:szCs w:val="26"/>
        </w:rPr>
        <w:t xml:space="preserve"> to permit retail electric customers to obtain direct access to a competitive generation market, </w:t>
      </w:r>
      <w:r w:rsidRPr="002C11B7">
        <w:rPr>
          <w:sz w:val="26"/>
          <w:szCs w:val="26"/>
        </w:rPr>
        <w:t>while protecting the Commonwealth</w:t>
      </w:r>
      <w:r w:rsidR="00E00225">
        <w:rPr>
          <w:sz w:val="26"/>
          <w:szCs w:val="26"/>
        </w:rPr>
        <w:t>’</w:t>
      </w:r>
      <w:r w:rsidRPr="002C11B7">
        <w:rPr>
          <w:sz w:val="26"/>
          <w:szCs w:val="26"/>
        </w:rPr>
        <w:t>s ability to compete in the national and international marketplace for industry</w:t>
      </w:r>
      <w:r>
        <w:rPr>
          <w:sz w:val="26"/>
          <w:szCs w:val="26"/>
        </w:rPr>
        <w:t xml:space="preserve"> </w:t>
      </w:r>
      <w:r w:rsidRPr="002C11B7">
        <w:rPr>
          <w:sz w:val="26"/>
          <w:szCs w:val="26"/>
        </w:rPr>
        <w:t xml:space="preserve">and jobs, the Competition Act contained specific provisions to ensure continued safe and affordable service for all customers. </w:t>
      </w:r>
      <w:r>
        <w:rPr>
          <w:sz w:val="26"/>
          <w:szCs w:val="26"/>
        </w:rPr>
        <w:t xml:space="preserve"> </w:t>
      </w:r>
      <w:r w:rsidRPr="002C11B7">
        <w:rPr>
          <w:sz w:val="26"/>
          <w:szCs w:val="26"/>
        </w:rPr>
        <w:t>66 Pa.</w:t>
      </w:r>
      <w:r>
        <w:rPr>
          <w:sz w:val="26"/>
          <w:szCs w:val="26"/>
        </w:rPr>
        <w:t xml:space="preserve"> </w:t>
      </w:r>
      <w:r w:rsidRPr="002C11B7">
        <w:rPr>
          <w:sz w:val="26"/>
          <w:szCs w:val="26"/>
        </w:rPr>
        <w:t>C.S. §§ 2802(7), (8), and (11).</w:t>
      </w:r>
    </w:p>
    <w:p w14:paraId="31759BB2" w14:textId="07E2B92F" w:rsidR="002C11B7" w:rsidRDefault="002C11B7" w:rsidP="00CC0155">
      <w:pPr>
        <w:pStyle w:val="BodyText2"/>
        <w:rPr>
          <w:sz w:val="26"/>
          <w:szCs w:val="26"/>
        </w:rPr>
      </w:pPr>
    </w:p>
    <w:p w14:paraId="138D82B0" w14:textId="06C3B6C9" w:rsidR="002C11B7" w:rsidRDefault="002C11B7" w:rsidP="00CC0155">
      <w:pPr>
        <w:autoSpaceDE w:val="0"/>
        <w:autoSpaceDN w:val="0"/>
        <w:adjustRightInd w:val="0"/>
        <w:rPr>
          <w:color w:val="000000"/>
          <w:szCs w:val="26"/>
        </w:rPr>
      </w:pPr>
      <w:r w:rsidRPr="002C11B7">
        <w:rPr>
          <w:color w:val="000000"/>
          <w:szCs w:val="26"/>
        </w:rPr>
        <w:t xml:space="preserve">At the end of the transition period for the switch from regulation to competition, the Competition Act provided that each EDC would act as a provider of default service to provide electric generation service to customers not served by EGSs. </w:t>
      </w:r>
      <w:r w:rsidR="00EB6F0C">
        <w:rPr>
          <w:color w:val="000000"/>
          <w:szCs w:val="26"/>
        </w:rPr>
        <w:t xml:space="preserve"> </w:t>
      </w:r>
      <w:r w:rsidRPr="002C11B7">
        <w:rPr>
          <w:color w:val="000000"/>
          <w:szCs w:val="26"/>
        </w:rPr>
        <w:t>66 Pa.</w:t>
      </w:r>
      <w:r>
        <w:rPr>
          <w:color w:val="000000"/>
          <w:szCs w:val="26"/>
        </w:rPr>
        <w:t xml:space="preserve"> </w:t>
      </w:r>
      <w:r w:rsidRPr="002C11B7">
        <w:rPr>
          <w:color w:val="000000"/>
          <w:szCs w:val="26"/>
        </w:rPr>
        <w:t xml:space="preserve">C.S. § 2807(e)(3). </w:t>
      </w:r>
      <w:r w:rsidR="00EB6F0C">
        <w:rPr>
          <w:color w:val="000000"/>
          <w:szCs w:val="26"/>
        </w:rPr>
        <w:t xml:space="preserve"> </w:t>
      </w:r>
      <w:r w:rsidRPr="002C11B7">
        <w:rPr>
          <w:color w:val="000000"/>
          <w:szCs w:val="26"/>
        </w:rPr>
        <w:t>In order to provide this default service, the Competition Act required the Commission to promulgate regulations establishing how EDC</w:t>
      </w:r>
      <w:r w:rsidR="00E00225">
        <w:rPr>
          <w:color w:val="000000"/>
          <w:szCs w:val="26"/>
        </w:rPr>
        <w:t>’</w:t>
      </w:r>
      <w:r w:rsidRPr="002C11B7">
        <w:rPr>
          <w:color w:val="000000"/>
          <w:szCs w:val="26"/>
        </w:rPr>
        <w:t xml:space="preserve">s would </w:t>
      </w:r>
      <w:r w:rsidR="00EB6F0C">
        <w:rPr>
          <w:color w:val="000000"/>
          <w:szCs w:val="26"/>
        </w:rPr>
        <w:t xml:space="preserve">implement the obligation to </w:t>
      </w:r>
      <w:r w:rsidRPr="002C11B7">
        <w:rPr>
          <w:color w:val="000000"/>
          <w:szCs w:val="26"/>
        </w:rPr>
        <w:t xml:space="preserve">provide default service. </w:t>
      </w:r>
      <w:r w:rsidR="00EB6F0C">
        <w:rPr>
          <w:color w:val="000000"/>
          <w:szCs w:val="26"/>
        </w:rPr>
        <w:t xml:space="preserve"> </w:t>
      </w:r>
      <w:r w:rsidRPr="002C11B7">
        <w:rPr>
          <w:color w:val="000000"/>
          <w:szCs w:val="26"/>
        </w:rPr>
        <w:t>66 Pa.</w:t>
      </w:r>
      <w:r>
        <w:rPr>
          <w:color w:val="000000"/>
          <w:szCs w:val="26"/>
        </w:rPr>
        <w:t xml:space="preserve"> </w:t>
      </w:r>
      <w:r w:rsidRPr="002C11B7">
        <w:rPr>
          <w:color w:val="000000"/>
          <w:szCs w:val="26"/>
        </w:rPr>
        <w:t>C.S. § 2807(e)(2).</w:t>
      </w:r>
    </w:p>
    <w:p w14:paraId="45D09B12" w14:textId="6ED9D17C" w:rsidR="002C11B7" w:rsidRDefault="002C11B7" w:rsidP="00CC0155">
      <w:pPr>
        <w:autoSpaceDE w:val="0"/>
        <w:autoSpaceDN w:val="0"/>
        <w:adjustRightInd w:val="0"/>
        <w:rPr>
          <w:color w:val="000000"/>
          <w:szCs w:val="26"/>
        </w:rPr>
      </w:pPr>
    </w:p>
    <w:p w14:paraId="04D515F9" w14:textId="77777777" w:rsidR="00B10F82" w:rsidRDefault="00B10F82" w:rsidP="00F71658">
      <w:pPr>
        <w:pStyle w:val="BodyText2"/>
        <w:keepNext/>
        <w:keepLines/>
        <w:rPr>
          <w:sz w:val="26"/>
          <w:szCs w:val="26"/>
        </w:rPr>
      </w:pPr>
      <w:r>
        <w:rPr>
          <w:sz w:val="26"/>
          <w:szCs w:val="26"/>
        </w:rPr>
        <w:lastRenderedPageBreak/>
        <w:t>Furthermore, Section 316 of the Code, states in pertinent part, that:</w:t>
      </w:r>
    </w:p>
    <w:p w14:paraId="7DB8A527" w14:textId="77777777" w:rsidR="00B10F82" w:rsidRDefault="00B10F82" w:rsidP="00F71658">
      <w:pPr>
        <w:pStyle w:val="BodyText2"/>
        <w:keepNext/>
        <w:keepLines/>
        <w:rPr>
          <w:sz w:val="26"/>
          <w:szCs w:val="26"/>
        </w:rPr>
      </w:pPr>
    </w:p>
    <w:p w14:paraId="2FA4D61C" w14:textId="1D47FEE2" w:rsidR="00B10F82" w:rsidRDefault="00B10F82" w:rsidP="00F71658">
      <w:pPr>
        <w:pStyle w:val="NormalWeb"/>
        <w:keepNext/>
        <w:keepLines/>
        <w:spacing w:line="232" w:lineRule="atLeast"/>
        <w:ind w:left="1440" w:right="1440"/>
        <w:rPr>
          <w:sz w:val="26"/>
          <w:szCs w:val="26"/>
        </w:rPr>
      </w:pPr>
      <w:r w:rsidRPr="00B10F82">
        <w:rPr>
          <w:b/>
          <w:bCs/>
          <w:sz w:val="26"/>
          <w:szCs w:val="26"/>
        </w:rPr>
        <w:t>Effect of commission action.</w:t>
      </w:r>
    </w:p>
    <w:p w14:paraId="61B6BD45" w14:textId="77777777" w:rsidR="00B10F82" w:rsidRPr="00B10F82" w:rsidRDefault="00B10F82" w:rsidP="00F71658">
      <w:pPr>
        <w:pStyle w:val="NormalWeb"/>
        <w:keepNext/>
        <w:keepLines/>
        <w:spacing w:line="232" w:lineRule="atLeast"/>
        <w:ind w:left="1440" w:right="1440" w:hanging="1593"/>
        <w:rPr>
          <w:sz w:val="26"/>
          <w:szCs w:val="26"/>
        </w:rPr>
      </w:pPr>
    </w:p>
    <w:p w14:paraId="3A87FCBF" w14:textId="54CF02C7" w:rsidR="00B10F82" w:rsidRDefault="00B10F82" w:rsidP="00CC0155">
      <w:pPr>
        <w:pStyle w:val="NormalWeb"/>
        <w:spacing w:line="232" w:lineRule="atLeast"/>
        <w:ind w:left="1440" w:right="1440"/>
        <w:rPr>
          <w:sz w:val="26"/>
          <w:szCs w:val="26"/>
        </w:rPr>
      </w:pPr>
      <w:r w:rsidRPr="00B10F82">
        <w:rPr>
          <w:sz w:val="26"/>
          <w:szCs w:val="26"/>
        </w:rPr>
        <w:t>Whenever the commission shall make any rule, regulation, finding, determination or order, the same shall be prima facie evidence of the facts found and shall remain conclusive upon all parties affected thereby, unless set aside, annulled or modified on judicial review. The issuing or registration by the commission of any certificate, license or permit whatsoever, under the provisions of this part, or any finding, determination or order made by the commission refusing or granting such certificates, licenses or permits, shall not be construed to revive or validate any lapsed, terminated, invalidated or void powers, franchises, rights or privileges; or to enlarge or add to the rights, powers, franchises or privileges contained in any charter, or in the grant of any franchise, or any supplement or amendment to any charter, or to give or remit any forfeiture.</w:t>
      </w:r>
    </w:p>
    <w:p w14:paraId="24AA60E4" w14:textId="3753C114" w:rsidR="0038744C" w:rsidRDefault="0038744C" w:rsidP="00F71658">
      <w:pPr>
        <w:pStyle w:val="NormalWeb"/>
        <w:spacing w:line="232" w:lineRule="atLeast"/>
        <w:ind w:left="1440" w:right="1440"/>
        <w:rPr>
          <w:sz w:val="26"/>
          <w:szCs w:val="26"/>
        </w:rPr>
      </w:pPr>
    </w:p>
    <w:p w14:paraId="2322E33A" w14:textId="77777777" w:rsidR="0038744C" w:rsidRPr="00B10F82" w:rsidRDefault="0038744C" w:rsidP="00CC0155">
      <w:pPr>
        <w:pStyle w:val="NormalWeb"/>
        <w:spacing w:line="232" w:lineRule="atLeast"/>
        <w:ind w:left="1440" w:right="1440"/>
        <w:rPr>
          <w:sz w:val="26"/>
          <w:szCs w:val="26"/>
        </w:rPr>
      </w:pPr>
    </w:p>
    <w:p w14:paraId="199A474E" w14:textId="6E09F0FA" w:rsidR="00EB6F0C" w:rsidRDefault="00B10F82" w:rsidP="00CC0155">
      <w:pPr>
        <w:pStyle w:val="BodyText2"/>
        <w:ind w:right="1440" w:firstLine="0"/>
        <w:rPr>
          <w:sz w:val="26"/>
          <w:szCs w:val="26"/>
        </w:rPr>
      </w:pPr>
      <w:r>
        <w:rPr>
          <w:sz w:val="26"/>
          <w:szCs w:val="26"/>
        </w:rPr>
        <w:t>66 Pa. C.S. § 316.</w:t>
      </w:r>
    </w:p>
    <w:p w14:paraId="0F6B6384" w14:textId="77777777" w:rsidR="00EB6F0C" w:rsidRDefault="00EB6F0C" w:rsidP="00CC0155">
      <w:pPr>
        <w:pStyle w:val="BodyText2"/>
        <w:ind w:right="1440" w:firstLine="0"/>
        <w:rPr>
          <w:sz w:val="26"/>
          <w:szCs w:val="26"/>
        </w:rPr>
      </w:pPr>
    </w:p>
    <w:p w14:paraId="14E76B6C" w14:textId="22AE22D8" w:rsidR="005B5F70" w:rsidRDefault="000A5D23" w:rsidP="00CC0155">
      <w:pPr>
        <w:pStyle w:val="BodyText2"/>
        <w:rPr>
          <w:color w:val="000000"/>
          <w:sz w:val="26"/>
          <w:szCs w:val="26"/>
          <w:shd w:val="clear" w:color="auto" w:fill="FFFFFF"/>
        </w:rPr>
      </w:pPr>
      <w:r w:rsidRPr="00571999">
        <w:rPr>
          <w:sz w:val="26"/>
          <w:szCs w:val="26"/>
        </w:rPr>
        <w:t>In addition</w:t>
      </w:r>
      <w:r w:rsidR="000F2DE1">
        <w:rPr>
          <w:sz w:val="26"/>
          <w:szCs w:val="26"/>
        </w:rPr>
        <w:t xml:space="preserve"> to the foregoing</w:t>
      </w:r>
      <w:r w:rsidRPr="00571999">
        <w:rPr>
          <w:sz w:val="26"/>
          <w:szCs w:val="26"/>
        </w:rPr>
        <w:t>, the Commission</w:t>
      </w:r>
      <w:r w:rsidR="00E00225">
        <w:rPr>
          <w:sz w:val="26"/>
          <w:szCs w:val="26"/>
        </w:rPr>
        <w:t>’</w:t>
      </w:r>
      <w:r w:rsidRPr="00571999">
        <w:rPr>
          <w:sz w:val="26"/>
          <w:szCs w:val="26"/>
        </w:rPr>
        <w:t>s Policy Statement regarding Purchase of Receivables at 52 Pa. Code § 69.1814, state</w:t>
      </w:r>
      <w:r>
        <w:rPr>
          <w:sz w:val="26"/>
          <w:szCs w:val="26"/>
        </w:rPr>
        <w:t xml:space="preserve">s </w:t>
      </w:r>
      <w:r w:rsidRPr="00571999">
        <w:rPr>
          <w:sz w:val="26"/>
          <w:szCs w:val="26"/>
        </w:rPr>
        <w:t xml:space="preserve">that </w:t>
      </w:r>
      <w:r w:rsidRPr="00571999">
        <w:rPr>
          <w:color w:val="000000"/>
          <w:sz w:val="26"/>
          <w:szCs w:val="26"/>
          <w:shd w:val="clear" w:color="auto" w:fill="FFFFFF"/>
        </w:rPr>
        <w:t xml:space="preserve">the public interest would be served by the consideration of an EGS receivables purchase program in each </w:t>
      </w:r>
      <w:r w:rsidR="000F2DE1">
        <w:rPr>
          <w:color w:val="000000"/>
          <w:sz w:val="26"/>
          <w:szCs w:val="26"/>
          <w:shd w:val="clear" w:color="auto" w:fill="FFFFFF"/>
        </w:rPr>
        <w:t xml:space="preserve">EDC </w:t>
      </w:r>
      <w:r w:rsidRPr="00571999">
        <w:rPr>
          <w:color w:val="000000"/>
          <w:sz w:val="26"/>
          <w:szCs w:val="26"/>
          <w:shd w:val="clear" w:color="auto" w:fill="FFFFFF"/>
        </w:rPr>
        <w:t>service territory</w:t>
      </w:r>
      <w:r>
        <w:rPr>
          <w:color w:val="000000"/>
          <w:sz w:val="26"/>
          <w:szCs w:val="26"/>
          <w:shd w:val="clear" w:color="auto" w:fill="FFFFFF"/>
        </w:rPr>
        <w:t xml:space="preserve">.  </w:t>
      </w:r>
    </w:p>
    <w:p w14:paraId="6C26C7B7" w14:textId="77777777" w:rsidR="000A5D23" w:rsidRPr="00117CC1" w:rsidRDefault="000A5D23" w:rsidP="00CC0155">
      <w:pPr>
        <w:pStyle w:val="BodyText2"/>
        <w:ind w:right="1440" w:firstLine="0"/>
        <w:rPr>
          <w:i/>
          <w:szCs w:val="26"/>
        </w:rPr>
      </w:pPr>
    </w:p>
    <w:p w14:paraId="290D4148" w14:textId="561C2FBA" w:rsidR="000A5D23" w:rsidRDefault="000A5D23" w:rsidP="00CC0155">
      <w:pPr>
        <w:pStyle w:val="BodyText2"/>
        <w:rPr>
          <w:sz w:val="26"/>
          <w:szCs w:val="26"/>
        </w:rPr>
      </w:pPr>
      <w:r>
        <w:rPr>
          <w:sz w:val="26"/>
          <w:szCs w:val="26"/>
        </w:rPr>
        <w:t>Section 54 of the Commission</w:t>
      </w:r>
      <w:r w:rsidR="00E00225">
        <w:rPr>
          <w:sz w:val="26"/>
          <w:szCs w:val="26"/>
        </w:rPr>
        <w:t>’</w:t>
      </w:r>
      <w:r>
        <w:rPr>
          <w:sz w:val="26"/>
          <w:szCs w:val="26"/>
        </w:rPr>
        <w:t xml:space="preserve">s Default Service Regulations, states in pertinent part, as follows: </w:t>
      </w:r>
    </w:p>
    <w:p w14:paraId="7C8E2F29" w14:textId="77777777" w:rsidR="000A5D23" w:rsidRDefault="000A5D23" w:rsidP="00CC0155">
      <w:pPr>
        <w:pStyle w:val="BodyText2"/>
        <w:rPr>
          <w:sz w:val="26"/>
          <w:szCs w:val="26"/>
        </w:rPr>
      </w:pPr>
    </w:p>
    <w:p w14:paraId="75B42716" w14:textId="77777777" w:rsidR="000A5D23" w:rsidRPr="009703B2" w:rsidRDefault="000A5D23" w:rsidP="00F71658">
      <w:pPr>
        <w:pStyle w:val="BodyText2"/>
        <w:keepNext/>
        <w:keepLines/>
        <w:rPr>
          <w:b/>
          <w:sz w:val="26"/>
          <w:szCs w:val="26"/>
        </w:rPr>
      </w:pPr>
      <w:r w:rsidRPr="009703B2">
        <w:rPr>
          <w:b/>
          <w:sz w:val="26"/>
          <w:szCs w:val="26"/>
        </w:rPr>
        <w:t>§ 54.185. Default service programs and periods of service.</w:t>
      </w:r>
    </w:p>
    <w:p w14:paraId="1B4C661D" w14:textId="02D27A14" w:rsidR="000A5D23" w:rsidRDefault="000A5D23" w:rsidP="00CC0155">
      <w:pPr>
        <w:pStyle w:val="BodyText2"/>
        <w:spacing w:line="240" w:lineRule="auto"/>
        <w:ind w:left="1440" w:right="1440" w:firstLine="0"/>
        <w:rPr>
          <w:sz w:val="26"/>
          <w:szCs w:val="26"/>
        </w:rPr>
      </w:pPr>
      <w:r>
        <w:t> </w:t>
      </w:r>
      <w:r w:rsidRPr="00737FCA">
        <w:rPr>
          <w:sz w:val="26"/>
          <w:szCs w:val="26"/>
        </w:rPr>
        <w:t xml:space="preserve">Default service programs must comply with Commission regulations pertaining to documentary filings in Chapter 1 (relating to rules of administrative practice and procedure), except when modified by this subchapter. The DSP shall </w:t>
      </w:r>
      <w:r w:rsidRPr="00737FCA">
        <w:rPr>
          <w:sz w:val="26"/>
          <w:szCs w:val="26"/>
        </w:rPr>
        <w:lastRenderedPageBreak/>
        <w:t>serve copies of the default service program on the Pennsylvania Office of Consumer Advocate, Pennsylvania Office of Small Business Advocate, the Commission</w:t>
      </w:r>
      <w:r w:rsidR="00E00225">
        <w:rPr>
          <w:sz w:val="26"/>
          <w:szCs w:val="26"/>
        </w:rPr>
        <w:t>’</w:t>
      </w:r>
      <w:r w:rsidRPr="00737FCA">
        <w:rPr>
          <w:sz w:val="26"/>
          <w:szCs w:val="26"/>
        </w:rPr>
        <w:t>s Office of Trial Staff, EGSs registered in the service territory and the RTO or other entity in whose control area the DSP is operating. Copies shall be provided upon request to other EGSs and shall be available at the DSP</w:t>
      </w:r>
      <w:r w:rsidR="00E00225">
        <w:rPr>
          <w:sz w:val="26"/>
          <w:szCs w:val="26"/>
        </w:rPr>
        <w:t>’</w:t>
      </w:r>
      <w:r w:rsidRPr="00737FCA">
        <w:rPr>
          <w:sz w:val="26"/>
          <w:szCs w:val="26"/>
        </w:rPr>
        <w:t>s public internet domain.</w:t>
      </w:r>
    </w:p>
    <w:p w14:paraId="5FA1FE39" w14:textId="64A2A9F2" w:rsidR="0038744C" w:rsidRDefault="0038744C" w:rsidP="00F71658">
      <w:pPr>
        <w:pStyle w:val="BodyText2"/>
        <w:spacing w:line="240" w:lineRule="auto"/>
        <w:ind w:left="1440" w:right="1440" w:firstLine="0"/>
        <w:rPr>
          <w:sz w:val="26"/>
          <w:szCs w:val="26"/>
        </w:rPr>
      </w:pPr>
    </w:p>
    <w:p w14:paraId="4F5EA691" w14:textId="77777777" w:rsidR="0038744C" w:rsidRPr="00737FCA" w:rsidRDefault="0038744C" w:rsidP="00CC0155">
      <w:pPr>
        <w:pStyle w:val="BodyText2"/>
        <w:spacing w:line="240" w:lineRule="auto"/>
        <w:ind w:left="1440" w:right="1440" w:firstLine="0"/>
        <w:rPr>
          <w:sz w:val="26"/>
          <w:szCs w:val="26"/>
        </w:rPr>
      </w:pPr>
    </w:p>
    <w:p w14:paraId="28A3C389" w14:textId="0E6E8E99" w:rsidR="002D3FCE" w:rsidRDefault="000A5D23" w:rsidP="00CC0155">
      <w:pPr>
        <w:pStyle w:val="BodyText2"/>
        <w:ind w:right="1440" w:firstLine="0"/>
        <w:rPr>
          <w:szCs w:val="26"/>
        </w:rPr>
      </w:pPr>
      <w:r w:rsidRPr="00571999">
        <w:rPr>
          <w:sz w:val="26"/>
          <w:szCs w:val="26"/>
        </w:rPr>
        <w:t>52 Pa. Code § 54.185(c).</w:t>
      </w:r>
    </w:p>
    <w:p w14:paraId="3677D2E1" w14:textId="77777777" w:rsidR="002D3FCE" w:rsidRDefault="002D3FCE" w:rsidP="00CC0155">
      <w:pPr>
        <w:rPr>
          <w:szCs w:val="26"/>
        </w:rPr>
      </w:pPr>
    </w:p>
    <w:p w14:paraId="441622F0" w14:textId="5A45B1A3" w:rsidR="00002563" w:rsidRDefault="00002563" w:rsidP="00F71658">
      <w:pPr>
        <w:keepNext/>
        <w:keepLines/>
        <w:ind w:firstLine="0"/>
        <w:rPr>
          <w:b/>
          <w:szCs w:val="26"/>
        </w:rPr>
      </w:pPr>
      <w:r w:rsidRPr="00E41838">
        <w:rPr>
          <w:b/>
          <w:szCs w:val="26"/>
        </w:rPr>
        <w:t>B.</w:t>
      </w:r>
      <w:r w:rsidRPr="00E41838">
        <w:rPr>
          <w:b/>
          <w:szCs w:val="26"/>
        </w:rPr>
        <w:tab/>
        <w:t>ALJ</w:t>
      </w:r>
      <w:r w:rsidR="00E00225">
        <w:rPr>
          <w:b/>
          <w:szCs w:val="26"/>
        </w:rPr>
        <w:t>’</w:t>
      </w:r>
      <w:r w:rsidRPr="00E41838">
        <w:rPr>
          <w:b/>
          <w:szCs w:val="26"/>
        </w:rPr>
        <w:t xml:space="preserve">s Recommendations </w:t>
      </w:r>
    </w:p>
    <w:p w14:paraId="14A0C432" w14:textId="5C7464F7" w:rsidR="002D3FCE" w:rsidRPr="00E41838" w:rsidRDefault="002D3FCE" w:rsidP="00F71658">
      <w:pPr>
        <w:keepNext/>
        <w:keepLines/>
        <w:ind w:firstLine="0"/>
        <w:rPr>
          <w:b/>
          <w:szCs w:val="26"/>
        </w:rPr>
      </w:pPr>
    </w:p>
    <w:p w14:paraId="0D10BFB1" w14:textId="42614D16" w:rsidR="004A23B4" w:rsidRDefault="00222931" w:rsidP="00CC0155">
      <w:pPr>
        <w:rPr>
          <w:szCs w:val="26"/>
        </w:rPr>
      </w:pPr>
      <w:r w:rsidRPr="00117CC1">
        <w:rPr>
          <w:szCs w:val="26"/>
        </w:rPr>
        <w:t xml:space="preserve">The </w:t>
      </w:r>
      <w:r w:rsidR="004A23B4" w:rsidRPr="00117CC1">
        <w:rPr>
          <w:szCs w:val="26"/>
        </w:rPr>
        <w:t xml:space="preserve">ALJ </w:t>
      </w:r>
      <w:r w:rsidR="00740817">
        <w:rPr>
          <w:szCs w:val="26"/>
        </w:rPr>
        <w:t>made</w:t>
      </w:r>
      <w:r w:rsidR="004A23B4" w:rsidRPr="00117CC1">
        <w:rPr>
          <w:szCs w:val="26"/>
        </w:rPr>
        <w:t xml:space="preserve"> </w:t>
      </w:r>
      <w:r w:rsidR="002E52F9">
        <w:rPr>
          <w:szCs w:val="26"/>
        </w:rPr>
        <w:t xml:space="preserve">forty-one Findings of Fact </w:t>
      </w:r>
      <w:r w:rsidR="00D336A5">
        <w:rPr>
          <w:szCs w:val="26"/>
        </w:rPr>
        <w:t>and reached seven</w:t>
      </w:r>
      <w:r w:rsidR="004A23B4" w:rsidRPr="00117CC1">
        <w:rPr>
          <w:szCs w:val="26"/>
        </w:rPr>
        <w:t xml:space="preserve"> Conclusions of Law.  </w:t>
      </w:r>
      <w:r w:rsidR="00D336A5">
        <w:rPr>
          <w:szCs w:val="26"/>
        </w:rPr>
        <w:t>I</w:t>
      </w:r>
      <w:r w:rsidR="0095325D" w:rsidRPr="00117CC1">
        <w:rPr>
          <w:szCs w:val="26"/>
        </w:rPr>
        <w:t xml:space="preserve">.D. at </w:t>
      </w:r>
      <w:r w:rsidR="00D336A5">
        <w:rPr>
          <w:szCs w:val="26"/>
        </w:rPr>
        <w:t>13-19; 37-38</w:t>
      </w:r>
      <w:r w:rsidRPr="00117CC1">
        <w:rPr>
          <w:szCs w:val="26"/>
        </w:rPr>
        <w:t>.</w:t>
      </w:r>
      <w:r w:rsidR="00A17956">
        <w:rPr>
          <w:szCs w:val="26"/>
        </w:rPr>
        <w:t xml:space="preserve">  </w:t>
      </w:r>
      <w:r w:rsidR="004A23B4" w:rsidRPr="00117CC1">
        <w:rPr>
          <w:szCs w:val="26"/>
        </w:rPr>
        <w:t xml:space="preserve">The </w:t>
      </w:r>
      <w:r w:rsidR="00EB6F0C">
        <w:rPr>
          <w:szCs w:val="26"/>
        </w:rPr>
        <w:t xml:space="preserve">Findings of Fact and </w:t>
      </w:r>
      <w:r w:rsidR="004A23B4" w:rsidRPr="00117CC1">
        <w:rPr>
          <w:szCs w:val="26"/>
        </w:rPr>
        <w:t xml:space="preserve">Conclusions of Law are incorporated herein by reference and are adopted without comment unless they are either expressly </w:t>
      </w:r>
      <w:r w:rsidR="005900BE">
        <w:rPr>
          <w:szCs w:val="26"/>
        </w:rPr>
        <w:t xml:space="preserve">rejected </w:t>
      </w:r>
      <w:r w:rsidR="00A17956" w:rsidRPr="00117CC1">
        <w:rPr>
          <w:szCs w:val="26"/>
        </w:rPr>
        <w:t>or rejected</w:t>
      </w:r>
      <w:r w:rsidR="005900BE">
        <w:rPr>
          <w:szCs w:val="26"/>
        </w:rPr>
        <w:t xml:space="preserve"> </w:t>
      </w:r>
      <w:r w:rsidR="004A23B4" w:rsidRPr="00117CC1">
        <w:rPr>
          <w:szCs w:val="26"/>
        </w:rPr>
        <w:t xml:space="preserve">or modified by </w:t>
      </w:r>
      <w:r w:rsidR="005900BE">
        <w:rPr>
          <w:szCs w:val="26"/>
        </w:rPr>
        <w:t xml:space="preserve">necessary implication from the discussion in </w:t>
      </w:r>
      <w:r w:rsidR="004A23B4" w:rsidRPr="00117CC1">
        <w:rPr>
          <w:szCs w:val="26"/>
        </w:rPr>
        <w:t>this Opinion and Order.</w:t>
      </w:r>
    </w:p>
    <w:p w14:paraId="7126DCAB" w14:textId="77777777" w:rsidR="00A17956" w:rsidRDefault="00A17956" w:rsidP="00CC0155">
      <w:pPr>
        <w:rPr>
          <w:szCs w:val="26"/>
        </w:rPr>
      </w:pPr>
    </w:p>
    <w:p w14:paraId="067A2526" w14:textId="74182281" w:rsidR="00534000" w:rsidRDefault="00002563" w:rsidP="00CC0155">
      <w:pPr>
        <w:rPr>
          <w:szCs w:val="26"/>
        </w:rPr>
      </w:pPr>
      <w:r>
        <w:rPr>
          <w:szCs w:val="26"/>
        </w:rPr>
        <w:t>In his analysis, the ALJ addressed the following issues</w:t>
      </w:r>
      <w:r w:rsidR="00534000">
        <w:rPr>
          <w:szCs w:val="26"/>
        </w:rPr>
        <w:t xml:space="preserve"> or challenges raised by Respond as against the Companies</w:t>
      </w:r>
      <w:r w:rsidR="00E00225">
        <w:rPr>
          <w:szCs w:val="26"/>
        </w:rPr>
        <w:t>’</w:t>
      </w:r>
      <w:r w:rsidR="00534000">
        <w:rPr>
          <w:szCs w:val="26"/>
        </w:rPr>
        <w:t xml:space="preserve"> </w:t>
      </w:r>
      <w:proofErr w:type="spellStart"/>
      <w:r w:rsidR="00534000">
        <w:rPr>
          <w:szCs w:val="26"/>
        </w:rPr>
        <w:t>clawback</w:t>
      </w:r>
      <w:proofErr w:type="spellEnd"/>
      <w:r w:rsidR="00534000">
        <w:rPr>
          <w:szCs w:val="26"/>
        </w:rPr>
        <w:t xml:space="preserve"> charge</w:t>
      </w:r>
      <w:r>
        <w:rPr>
          <w:szCs w:val="26"/>
        </w:rPr>
        <w:t>: (1) Burden of proof</w:t>
      </w:r>
      <w:r w:rsidR="00534000">
        <w:rPr>
          <w:szCs w:val="26"/>
        </w:rPr>
        <w:t xml:space="preserve"> (I.D. at</w:t>
      </w:r>
      <w:r w:rsidR="0038744C">
        <w:rPr>
          <w:szCs w:val="26"/>
        </w:rPr>
        <w:t> </w:t>
      </w:r>
      <w:r w:rsidR="00534000">
        <w:rPr>
          <w:szCs w:val="26"/>
        </w:rPr>
        <w:t>24</w:t>
      </w:r>
      <w:r w:rsidR="0038744C">
        <w:rPr>
          <w:szCs w:val="26"/>
        </w:rPr>
        <w:noBreakHyphen/>
      </w:r>
      <w:r w:rsidR="00534000">
        <w:rPr>
          <w:szCs w:val="26"/>
        </w:rPr>
        <w:t>27)</w:t>
      </w:r>
      <w:r>
        <w:rPr>
          <w:szCs w:val="26"/>
        </w:rPr>
        <w:t xml:space="preserve">; (2) Reasonableness of the </w:t>
      </w:r>
      <w:proofErr w:type="spellStart"/>
      <w:r>
        <w:rPr>
          <w:szCs w:val="26"/>
        </w:rPr>
        <w:t>clawback</w:t>
      </w:r>
      <w:proofErr w:type="spellEnd"/>
      <w:r>
        <w:rPr>
          <w:szCs w:val="26"/>
        </w:rPr>
        <w:t xml:space="preserve"> charges</w:t>
      </w:r>
      <w:r w:rsidR="00534000">
        <w:rPr>
          <w:szCs w:val="26"/>
        </w:rPr>
        <w:t xml:space="preserve"> (I.D. at 27-29)</w:t>
      </w:r>
      <w:r>
        <w:rPr>
          <w:szCs w:val="26"/>
        </w:rPr>
        <w:t>; (3) Due process</w:t>
      </w:r>
      <w:r w:rsidR="00534000">
        <w:rPr>
          <w:szCs w:val="26"/>
        </w:rPr>
        <w:t xml:space="preserve"> afforded to Respond (I.D. at 30-33)</w:t>
      </w:r>
      <w:r>
        <w:rPr>
          <w:szCs w:val="26"/>
        </w:rPr>
        <w:t>; (4) Retroactive ratemaking</w:t>
      </w:r>
      <w:r w:rsidR="00534000">
        <w:rPr>
          <w:szCs w:val="26"/>
        </w:rPr>
        <w:t xml:space="preserve"> (I.D. at 33-35)</w:t>
      </w:r>
      <w:r>
        <w:rPr>
          <w:szCs w:val="26"/>
        </w:rPr>
        <w:t xml:space="preserve">; (5) Structural flaws in the </w:t>
      </w:r>
      <w:proofErr w:type="spellStart"/>
      <w:r>
        <w:rPr>
          <w:szCs w:val="26"/>
        </w:rPr>
        <w:t>clawback</w:t>
      </w:r>
      <w:proofErr w:type="spellEnd"/>
      <w:r>
        <w:rPr>
          <w:szCs w:val="26"/>
        </w:rPr>
        <w:t xml:space="preserve"> provisions</w:t>
      </w:r>
      <w:r w:rsidR="00534000">
        <w:rPr>
          <w:szCs w:val="26"/>
        </w:rPr>
        <w:t xml:space="preserve"> (I.D. at 36)</w:t>
      </w:r>
      <w:r>
        <w:rPr>
          <w:szCs w:val="26"/>
        </w:rPr>
        <w:t>; and (6) Respond</w:t>
      </w:r>
      <w:r w:rsidR="00E00225">
        <w:rPr>
          <w:szCs w:val="26"/>
        </w:rPr>
        <w:t>’</w:t>
      </w:r>
      <w:r>
        <w:rPr>
          <w:szCs w:val="26"/>
        </w:rPr>
        <w:t xml:space="preserve">s argument that the </w:t>
      </w:r>
      <w:proofErr w:type="spellStart"/>
      <w:r>
        <w:rPr>
          <w:szCs w:val="26"/>
        </w:rPr>
        <w:t>clawback</w:t>
      </w:r>
      <w:proofErr w:type="spellEnd"/>
      <w:r>
        <w:rPr>
          <w:szCs w:val="26"/>
        </w:rPr>
        <w:t xml:space="preserve"> provisions will limit EGS prices </w:t>
      </w:r>
      <w:r w:rsidR="00534000">
        <w:rPr>
          <w:szCs w:val="26"/>
        </w:rPr>
        <w:t>(</w:t>
      </w:r>
      <w:r>
        <w:rPr>
          <w:szCs w:val="26"/>
        </w:rPr>
        <w:t xml:space="preserve">I.D. at </w:t>
      </w:r>
      <w:r w:rsidR="00534000">
        <w:rPr>
          <w:szCs w:val="26"/>
        </w:rPr>
        <w:t>36</w:t>
      </w:r>
      <w:r>
        <w:rPr>
          <w:szCs w:val="26"/>
        </w:rPr>
        <w:t>-37</w:t>
      </w:r>
      <w:r w:rsidR="00534000">
        <w:rPr>
          <w:szCs w:val="26"/>
        </w:rPr>
        <w:t>)</w:t>
      </w:r>
      <w:r>
        <w:rPr>
          <w:szCs w:val="26"/>
        </w:rPr>
        <w:t>.</w:t>
      </w:r>
    </w:p>
    <w:p w14:paraId="09839F43" w14:textId="77777777" w:rsidR="00534000" w:rsidRDefault="00534000" w:rsidP="00CC0155">
      <w:pPr>
        <w:rPr>
          <w:szCs w:val="26"/>
        </w:rPr>
      </w:pPr>
    </w:p>
    <w:p w14:paraId="2DB62F36" w14:textId="36C05FA4" w:rsidR="00853758" w:rsidRDefault="00002563" w:rsidP="00CC0155">
      <w:pPr>
        <w:rPr>
          <w:szCs w:val="26"/>
        </w:rPr>
      </w:pPr>
      <w:r>
        <w:rPr>
          <w:szCs w:val="26"/>
        </w:rPr>
        <w:t xml:space="preserve">Pursuant to </w:t>
      </w:r>
      <w:r w:rsidR="00534000">
        <w:rPr>
          <w:szCs w:val="26"/>
        </w:rPr>
        <w:t>an analysis of the evidence and arguments</w:t>
      </w:r>
      <w:r>
        <w:rPr>
          <w:szCs w:val="26"/>
        </w:rPr>
        <w:t xml:space="preserve">, ALJ Salapa concluded that Respond failed to establish by a preponderance of the evidence that facts and circumstances have changed drastically since the issuance of the </w:t>
      </w:r>
      <w:r w:rsidR="00853758">
        <w:rPr>
          <w:szCs w:val="26"/>
        </w:rPr>
        <w:t>Commission</w:t>
      </w:r>
      <w:r w:rsidR="00E00225">
        <w:rPr>
          <w:szCs w:val="26"/>
        </w:rPr>
        <w:t>’</w:t>
      </w:r>
      <w:r w:rsidR="00853758">
        <w:rPr>
          <w:szCs w:val="26"/>
        </w:rPr>
        <w:t xml:space="preserve">s </w:t>
      </w:r>
      <w:r w:rsidRPr="000F37DC">
        <w:rPr>
          <w:i/>
          <w:szCs w:val="26"/>
        </w:rPr>
        <w:t>Default Service Order</w:t>
      </w:r>
      <w:r>
        <w:rPr>
          <w:szCs w:val="26"/>
        </w:rPr>
        <w:t xml:space="preserve"> so as to render the application of the </w:t>
      </w:r>
      <w:proofErr w:type="spellStart"/>
      <w:r>
        <w:rPr>
          <w:szCs w:val="26"/>
        </w:rPr>
        <w:t>clawback</w:t>
      </w:r>
      <w:proofErr w:type="spellEnd"/>
      <w:r>
        <w:rPr>
          <w:szCs w:val="26"/>
        </w:rPr>
        <w:t xml:space="preserve"> provisions unreasonable</w:t>
      </w:r>
      <w:r w:rsidR="00534000">
        <w:rPr>
          <w:szCs w:val="26"/>
        </w:rPr>
        <w:t xml:space="preserve"> pursuant to any of the challenges proffered by Responde</w:t>
      </w:r>
      <w:r w:rsidR="00853758">
        <w:rPr>
          <w:szCs w:val="26"/>
        </w:rPr>
        <w:t>nt</w:t>
      </w:r>
      <w:r>
        <w:rPr>
          <w:szCs w:val="26"/>
        </w:rPr>
        <w:t xml:space="preserve">.  The ALJ also </w:t>
      </w:r>
      <w:r>
        <w:rPr>
          <w:szCs w:val="26"/>
        </w:rPr>
        <w:lastRenderedPageBreak/>
        <w:t xml:space="preserve">concluded that Respond failed to prove by a preponderance of the evidence that the Companies miscalculated the </w:t>
      </w:r>
      <w:proofErr w:type="spellStart"/>
      <w:r>
        <w:rPr>
          <w:szCs w:val="26"/>
        </w:rPr>
        <w:t>clawback</w:t>
      </w:r>
      <w:proofErr w:type="spellEnd"/>
      <w:r>
        <w:rPr>
          <w:szCs w:val="26"/>
        </w:rPr>
        <w:t xml:space="preserve"> charges.  Based on the </w:t>
      </w:r>
      <w:r w:rsidR="00534000">
        <w:rPr>
          <w:szCs w:val="26"/>
        </w:rPr>
        <w:t>foregoing</w:t>
      </w:r>
      <w:r>
        <w:rPr>
          <w:szCs w:val="26"/>
        </w:rPr>
        <w:t>, the ALJ denied Respond</w:t>
      </w:r>
      <w:r w:rsidR="00E00225">
        <w:rPr>
          <w:szCs w:val="26"/>
        </w:rPr>
        <w:t>’</w:t>
      </w:r>
      <w:r>
        <w:rPr>
          <w:szCs w:val="26"/>
        </w:rPr>
        <w:t xml:space="preserve">s Complaints.  </w:t>
      </w:r>
      <w:r w:rsidRPr="00F81A67">
        <w:rPr>
          <w:i/>
          <w:szCs w:val="26"/>
        </w:rPr>
        <w:t>Id.</w:t>
      </w:r>
      <w:r>
        <w:rPr>
          <w:szCs w:val="26"/>
        </w:rPr>
        <w:t xml:space="preserve"> at 37.</w:t>
      </w:r>
      <w:r w:rsidR="00534000">
        <w:rPr>
          <w:szCs w:val="26"/>
        </w:rPr>
        <w:t xml:space="preserve">  The analysis of the presiding ALJ is summarized below.</w:t>
      </w:r>
    </w:p>
    <w:p w14:paraId="03604CA1" w14:textId="77777777" w:rsidR="00853758" w:rsidRDefault="00853758" w:rsidP="00CC0155">
      <w:pPr>
        <w:rPr>
          <w:szCs w:val="26"/>
        </w:rPr>
      </w:pPr>
    </w:p>
    <w:p w14:paraId="75B76AE9" w14:textId="709B6556" w:rsidR="00534000" w:rsidRPr="00E41838" w:rsidRDefault="000429A8" w:rsidP="00F71658">
      <w:pPr>
        <w:keepNext/>
        <w:keepLines/>
        <w:tabs>
          <w:tab w:val="left" w:pos="1170"/>
        </w:tabs>
        <w:ind w:left="720" w:firstLine="0"/>
        <w:rPr>
          <w:b/>
          <w:szCs w:val="26"/>
        </w:rPr>
      </w:pPr>
      <w:r>
        <w:rPr>
          <w:b/>
          <w:szCs w:val="26"/>
        </w:rPr>
        <w:t>1.</w:t>
      </w:r>
      <w:r>
        <w:rPr>
          <w:b/>
          <w:szCs w:val="26"/>
        </w:rPr>
        <w:tab/>
      </w:r>
      <w:r w:rsidR="00534000" w:rsidRPr="00E41838">
        <w:rPr>
          <w:b/>
          <w:szCs w:val="26"/>
        </w:rPr>
        <w:t>Burden of Proof and Application of Section 316 of the Code</w:t>
      </w:r>
    </w:p>
    <w:p w14:paraId="188D7684" w14:textId="77777777" w:rsidR="00534000" w:rsidRDefault="00534000" w:rsidP="00F71658">
      <w:pPr>
        <w:keepNext/>
        <w:keepLines/>
        <w:rPr>
          <w:szCs w:val="26"/>
        </w:rPr>
      </w:pPr>
    </w:p>
    <w:p w14:paraId="4F2C90A2" w14:textId="5CF0A16D" w:rsidR="009226FC" w:rsidRDefault="00534000" w:rsidP="00CC0155">
      <w:pPr>
        <w:rPr>
          <w:color w:val="000000"/>
          <w:szCs w:val="26"/>
        </w:rPr>
      </w:pPr>
      <w:r>
        <w:rPr>
          <w:szCs w:val="26"/>
        </w:rPr>
        <w:t xml:space="preserve">Regarding the burden of proof in this case, the ALJ noted that as the complainant in these proceedings, Respond had the burden of proof to show that the Companies are responsible or accountable for the problem described in the Complaints.  I.D. at 24.  The ALJ stated that per the </w:t>
      </w:r>
      <w:r w:rsidRPr="00F544D7">
        <w:rPr>
          <w:i/>
          <w:color w:val="000000"/>
          <w:szCs w:val="26"/>
        </w:rPr>
        <w:t>July 2017 PIR Order</w:t>
      </w:r>
      <w:r>
        <w:rPr>
          <w:i/>
          <w:color w:val="000000"/>
          <w:szCs w:val="26"/>
        </w:rPr>
        <w:t xml:space="preserve">, </w:t>
      </w:r>
      <w:r>
        <w:rPr>
          <w:color w:val="000000"/>
          <w:szCs w:val="26"/>
        </w:rPr>
        <w:t xml:space="preserve">the Commission-approved </w:t>
      </w:r>
      <w:proofErr w:type="spellStart"/>
      <w:r>
        <w:rPr>
          <w:color w:val="000000"/>
          <w:szCs w:val="26"/>
        </w:rPr>
        <w:t>clawback</w:t>
      </w:r>
      <w:proofErr w:type="spellEnd"/>
      <w:r>
        <w:rPr>
          <w:color w:val="000000"/>
          <w:szCs w:val="26"/>
        </w:rPr>
        <w:t xml:space="preserve"> tariff provisions were presumed to be reasonable, have the full force of law, and </w:t>
      </w:r>
      <w:r w:rsidR="009226FC">
        <w:rPr>
          <w:color w:val="000000"/>
          <w:szCs w:val="26"/>
        </w:rPr>
        <w:t>are</w:t>
      </w:r>
      <w:r>
        <w:rPr>
          <w:color w:val="000000"/>
          <w:szCs w:val="26"/>
        </w:rPr>
        <w:t xml:space="preserve"> binding on the Companies and their customers.  The ALJ </w:t>
      </w:r>
      <w:r w:rsidR="009226FC">
        <w:rPr>
          <w:color w:val="000000"/>
          <w:szCs w:val="26"/>
        </w:rPr>
        <w:t>noted</w:t>
      </w:r>
      <w:r>
        <w:rPr>
          <w:color w:val="000000"/>
          <w:szCs w:val="26"/>
        </w:rPr>
        <w:t xml:space="preserve"> that while the </w:t>
      </w:r>
      <w:r w:rsidRPr="00F544D7">
        <w:rPr>
          <w:i/>
          <w:color w:val="000000"/>
          <w:szCs w:val="26"/>
        </w:rPr>
        <w:t>July 2017 PIR Order</w:t>
      </w:r>
      <w:r>
        <w:rPr>
          <w:color w:val="000000"/>
          <w:szCs w:val="26"/>
        </w:rPr>
        <w:t xml:space="preserve"> allow</w:t>
      </w:r>
      <w:r w:rsidR="00853758">
        <w:rPr>
          <w:color w:val="000000"/>
          <w:szCs w:val="26"/>
        </w:rPr>
        <w:t>ed</w:t>
      </w:r>
      <w:r>
        <w:rPr>
          <w:color w:val="000000"/>
          <w:szCs w:val="26"/>
        </w:rPr>
        <w:t xml:space="preserve"> Respond to file a</w:t>
      </w:r>
      <w:r w:rsidR="00853758">
        <w:rPr>
          <w:color w:val="000000"/>
          <w:szCs w:val="26"/>
        </w:rPr>
        <w:t>nd prosecute its</w:t>
      </w:r>
      <w:r>
        <w:rPr>
          <w:color w:val="000000"/>
          <w:szCs w:val="26"/>
        </w:rPr>
        <w:t xml:space="preserve"> complaint against the existing tariff pursuant to Section 703 of the Code</w:t>
      </w:r>
      <w:r w:rsidR="009226FC">
        <w:rPr>
          <w:color w:val="000000"/>
          <w:szCs w:val="26"/>
        </w:rPr>
        <w:t>, 66 Pa. C.S.§ 703,</w:t>
      </w:r>
      <w:r>
        <w:rPr>
          <w:color w:val="000000"/>
          <w:szCs w:val="26"/>
        </w:rPr>
        <w:t xml:space="preserve"> and </w:t>
      </w:r>
      <w:r w:rsidR="009226FC">
        <w:rPr>
          <w:color w:val="000000"/>
          <w:szCs w:val="26"/>
        </w:rPr>
        <w:t xml:space="preserve">to </w:t>
      </w:r>
      <w:r>
        <w:rPr>
          <w:color w:val="000000"/>
          <w:szCs w:val="26"/>
        </w:rPr>
        <w:t xml:space="preserve">present evidence that the </w:t>
      </w:r>
      <w:proofErr w:type="spellStart"/>
      <w:r>
        <w:rPr>
          <w:color w:val="000000"/>
          <w:szCs w:val="26"/>
        </w:rPr>
        <w:t>clawback</w:t>
      </w:r>
      <w:proofErr w:type="spellEnd"/>
      <w:r>
        <w:rPr>
          <w:color w:val="000000"/>
          <w:szCs w:val="26"/>
        </w:rPr>
        <w:t xml:space="preserve"> provisions were no longer reasonable, that Order also indicated that the burden </w:t>
      </w:r>
      <w:r w:rsidR="009226FC">
        <w:rPr>
          <w:color w:val="000000"/>
          <w:szCs w:val="26"/>
        </w:rPr>
        <w:t xml:space="preserve">on Respond </w:t>
      </w:r>
      <w:r>
        <w:rPr>
          <w:color w:val="000000"/>
          <w:szCs w:val="26"/>
        </w:rPr>
        <w:t>would be heavy</w:t>
      </w:r>
      <w:r w:rsidR="00853758">
        <w:rPr>
          <w:color w:val="000000"/>
          <w:szCs w:val="26"/>
        </w:rPr>
        <w:t>.  This is so</w:t>
      </w:r>
      <w:r>
        <w:rPr>
          <w:color w:val="000000"/>
          <w:szCs w:val="26"/>
        </w:rPr>
        <w:t xml:space="preserve"> because tariff provisions submitted and approved by the Commission are </w:t>
      </w:r>
      <w:r w:rsidRPr="00274BED">
        <w:rPr>
          <w:i/>
          <w:color w:val="000000"/>
          <w:szCs w:val="26"/>
        </w:rPr>
        <w:t xml:space="preserve">prima facie </w:t>
      </w:r>
      <w:r>
        <w:rPr>
          <w:color w:val="000000"/>
          <w:szCs w:val="26"/>
        </w:rPr>
        <w:t>reasonable.</w:t>
      </w:r>
      <w:r w:rsidR="009226FC">
        <w:rPr>
          <w:color w:val="000000"/>
          <w:szCs w:val="26"/>
        </w:rPr>
        <w:t xml:space="preserve">  </w:t>
      </w:r>
      <w:r w:rsidR="009226FC">
        <w:rPr>
          <w:i/>
          <w:color w:val="000000"/>
          <w:szCs w:val="26"/>
        </w:rPr>
        <w:t xml:space="preserve">See </w:t>
      </w:r>
      <w:r w:rsidR="009226FC">
        <w:rPr>
          <w:color w:val="000000"/>
          <w:szCs w:val="26"/>
        </w:rPr>
        <w:t xml:space="preserve">I.D. </w:t>
      </w:r>
      <w:r>
        <w:rPr>
          <w:color w:val="000000"/>
          <w:szCs w:val="26"/>
        </w:rPr>
        <w:t>at 24-25</w:t>
      </w:r>
      <w:r w:rsidR="009226FC">
        <w:rPr>
          <w:color w:val="000000"/>
          <w:szCs w:val="26"/>
        </w:rPr>
        <w:t xml:space="preserve">, citing </w:t>
      </w:r>
      <w:proofErr w:type="spellStart"/>
      <w:r w:rsidR="009226FC" w:rsidRPr="00010693">
        <w:rPr>
          <w:i/>
          <w:szCs w:val="26"/>
        </w:rPr>
        <w:t>Shenango</w:t>
      </w:r>
      <w:proofErr w:type="spellEnd"/>
      <w:r w:rsidR="009226FC" w:rsidRPr="00010693">
        <w:rPr>
          <w:i/>
          <w:szCs w:val="26"/>
        </w:rPr>
        <w:t xml:space="preserve"> Township Board of Supervisors v. Pa. PUC</w:t>
      </w:r>
      <w:r w:rsidR="009226FC" w:rsidRPr="00010693">
        <w:rPr>
          <w:szCs w:val="26"/>
        </w:rPr>
        <w:t>, 686 A.2d 910, 914 (Pa.</w:t>
      </w:r>
      <w:r w:rsidR="00B234E6">
        <w:rPr>
          <w:szCs w:val="26"/>
        </w:rPr>
        <w:t xml:space="preserve"> </w:t>
      </w:r>
      <w:proofErr w:type="spellStart"/>
      <w:r w:rsidR="009226FC" w:rsidRPr="00010693">
        <w:rPr>
          <w:szCs w:val="26"/>
        </w:rPr>
        <w:t>Cmwlth</w:t>
      </w:r>
      <w:proofErr w:type="spellEnd"/>
      <w:r w:rsidR="009226FC" w:rsidRPr="00010693">
        <w:rPr>
          <w:szCs w:val="26"/>
        </w:rPr>
        <w:t>. 1996) (</w:t>
      </w:r>
      <w:proofErr w:type="spellStart"/>
      <w:r w:rsidR="009226FC" w:rsidRPr="00010693">
        <w:rPr>
          <w:i/>
          <w:szCs w:val="26"/>
        </w:rPr>
        <w:t>Shenango</w:t>
      </w:r>
      <w:proofErr w:type="spellEnd"/>
      <w:r w:rsidR="009226FC" w:rsidRPr="00010693">
        <w:rPr>
          <w:szCs w:val="26"/>
        </w:rPr>
        <w:t>).</w:t>
      </w:r>
    </w:p>
    <w:p w14:paraId="2ABEEEC4" w14:textId="77777777" w:rsidR="009226FC" w:rsidRDefault="009226FC" w:rsidP="00CC0155">
      <w:pPr>
        <w:rPr>
          <w:color w:val="000000"/>
          <w:szCs w:val="26"/>
        </w:rPr>
      </w:pPr>
    </w:p>
    <w:p w14:paraId="784D2496" w14:textId="5CAE53EB" w:rsidR="009767A9" w:rsidRDefault="00534000" w:rsidP="00CC0155">
      <w:pPr>
        <w:rPr>
          <w:szCs w:val="26"/>
        </w:rPr>
      </w:pPr>
      <w:r>
        <w:rPr>
          <w:color w:val="000000"/>
          <w:szCs w:val="26"/>
        </w:rPr>
        <w:t>Further, the ALJ disagreed with Respond</w:t>
      </w:r>
      <w:r w:rsidR="00E00225">
        <w:rPr>
          <w:color w:val="000000"/>
          <w:szCs w:val="26"/>
        </w:rPr>
        <w:t>’</w:t>
      </w:r>
      <w:r>
        <w:rPr>
          <w:color w:val="000000"/>
          <w:szCs w:val="26"/>
        </w:rPr>
        <w:t xml:space="preserve">s argument that the heavy burden of proof described in </w:t>
      </w:r>
      <w:proofErr w:type="spellStart"/>
      <w:r w:rsidRPr="006B5AD6">
        <w:rPr>
          <w:i/>
          <w:szCs w:val="26"/>
        </w:rPr>
        <w:t>Shenango</w:t>
      </w:r>
      <w:proofErr w:type="spellEnd"/>
      <w:r w:rsidR="00853758">
        <w:rPr>
          <w:szCs w:val="26"/>
        </w:rPr>
        <w:t>,</w:t>
      </w:r>
      <w:r>
        <w:rPr>
          <w:szCs w:val="26"/>
        </w:rPr>
        <w:t xml:space="preserve"> which requires that a complainant prove that facts and circumstances have changed drastically so as to render application of the tariff provision unreasonable</w:t>
      </w:r>
      <w:r w:rsidR="000979FA">
        <w:rPr>
          <w:szCs w:val="26"/>
        </w:rPr>
        <w:t>,</w:t>
      </w:r>
      <w:r>
        <w:rPr>
          <w:szCs w:val="26"/>
        </w:rPr>
        <w:t xml:space="preserve"> should not be applied </w:t>
      </w:r>
      <w:r w:rsidR="00B234E6">
        <w:rPr>
          <w:szCs w:val="26"/>
        </w:rPr>
        <w:t>in the present complaint proceeding</w:t>
      </w:r>
      <w:r>
        <w:rPr>
          <w:szCs w:val="26"/>
        </w:rPr>
        <w:t xml:space="preserve"> because it restricts Respond from exercising its statutory right to challenge a tariff provision on the basis that it is unreasonable.  </w:t>
      </w:r>
      <w:r w:rsidR="00B234E6">
        <w:rPr>
          <w:szCs w:val="26"/>
        </w:rPr>
        <w:t>I.D.</w:t>
      </w:r>
      <w:r>
        <w:rPr>
          <w:szCs w:val="26"/>
        </w:rPr>
        <w:t xml:space="preserve"> at 25, citing Respond M.B. at 23-24; Respond R.B. at</w:t>
      </w:r>
      <w:r w:rsidR="000429A8">
        <w:rPr>
          <w:szCs w:val="26"/>
        </w:rPr>
        <w:t> </w:t>
      </w:r>
      <w:r>
        <w:rPr>
          <w:szCs w:val="26"/>
        </w:rPr>
        <w:t xml:space="preserve">9-13. </w:t>
      </w:r>
      <w:r w:rsidR="00B234E6">
        <w:rPr>
          <w:szCs w:val="26"/>
        </w:rPr>
        <w:t xml:space="preserve"> </w:t>
      </w:r>
      <w:r>
        <w:rPr>
          <w:szCs w:val="26"/>
        </w:rPr>
        <w:t xml:space="preserve">ALJ </w:t>
      </w:r>
      <w:r w:rsidR="009767A9">
        <w:rPr>
          <w:szCs w:val="26"/>
        </w:rPr>
        <w:t xml:space="preserve">Salapa </w:t>
      </w:r>
      <w:r w:rsidR="00B234E6">
        <w:rPr>
          <w:szCs w:val="26"/>
        </w:rPr>
        <w:t>found</w:t>
      </w:r>
      <w:r>
        <w:rPr>
          <w:szCs w:val="26"/>
        </w:rPr>
        <w:t xml:space="preserve"> that Respond failed to cite any authority to support its assertion </w:t>
      </w:r>
      <w:r w:rsidR="00B234E6">
        <w:rPr>
          <w:szCs w:val="26"/>
        </w:rPr>
        <w:t xml:space="preserve">concerning the inapplicability of </w:t>
      </w:r>
      <w:proofErr w:type="spellStart"/>
      <w:r w:rsidR="00B234E6">
        <w:rPr>
          <w:i/>
          <w:szCs w:val="26"/>
        </w:rPr>
        <w:t>Sh</w:t>
      </w:r>
      <w:r w:rsidR="009767A9">
        <w:rPr>
          <w:i/>
          <w:szCs w:val="26"/>
        </w:rPr>
        <w:t>e</w:t>
      </w:r>
      <w:r w:rsidR="00B234E6">
        <w:rPr>
          <w:i/>
          <w:szCs w:val="26"/>
        </w:rPr>
        <w:t>nango</w:t>
      </w:r>
      <w:proofErr w:type="spellEnd"/>
      <w:r w:rsidR="009767A9">
        <w:rPr>
          <w:szCs w:val="26"/>
        </w:rPr>
        <w:t>.</w:t>
      </w:r>
      <w:r w:rsidR="00B234E6">
        <w:rPr>
          <w:i/>
          <w:szCs w:val="26"/>
        </w:rPr>
        <w:t xml:space="preserve"> </w:t>
      </w:r>
      <w:r w:rsidR="009767A9">
        <w:rPr>
          <w:szCs w:val="26"/>
        </w:rPr>
        <w:t xml:space="preserve"> </w:t>
      </w:r>
      <w:r>
        <w:rPr>
          <w:szCs w:val="26"/>
        </w:rPr>
        <w:t>Respond</w:t>
      </w:r>
      <w:r w:rsidR="00E00225">
        <w:rPr>
          <w:szCs w:val="26"/>
        </w:rPr>
        <w:t>’</w:t>
      </w:r>
      <w:r>
        <w:rPr>
          <w:szCs w:val="26"/>
        </w:rPr>
        <w:t xml:space="preserve">s argument </w:t>
      </w:r>
      <w:r w:rsidR="009767A9">
        <w:rPr>
          <w:szCs w:val="26"/>
        </w:rPr>
        <w:t xml:space="preserve">failed </w:t>
      </w:r>
      <w:r>
        <w:rPr>
          <w:szCs w:val="26"/>
        </w:rPr>
        <w:t xml:space="preserve">because </w:t>
      </w:r>
      <w:r>
        <w:rPr>
          <w:szCs w:val="26"/>
        </w:rPr>
        <w:lastRenderedPageBreak/>
        <w:t xml:space="preserve">the Commission has consistently applied the </w:t>
      </w:r>
      <w:proofErr w:type="spellStart"/>
      <w:r w:rsidRPr="006B5AD6">
        <w:rPr>
          <w:i/>
          <w:szCs w:val="26"/>
        </w:rPr>
        <w:t>Shenango</w:t>
      </w:r>
      <w:proofErr w:type="spellEnd"/>
      <w:r>
        <w:rPr>
          <w:szCs w:val="26"/>
        </w:rPr>
        <w:t xml:space="preserve"> standard to cases where a complainant has challenged the applicability of a tariff provision to that complainant.</w:t>
      </w:r>
      <w:r>
        <w:rPr>
          <w:rStyle w:val="FootnoteReference"/>
          <w:szCs w:val="26"/>
        </w:rPr>
        <w:footnoteReference w:id="9"/>
      </w:r>
      <w:r>
        <w:rPr>
          <w:szCs w:val="26"/>
        </w:rPr>
        <w:t xml:space="preserve">  The ALJ also stated that while an administrative agency is not bound by the rule of </w:t>
      </w:r>
      <w:r w:rsidRPr="00D37BE4">
        <w:rPr>
          <w:i/>
          <w:szCs w:val="26"/>
        </w:rPr>
        <w:t>stare decisis,</w:t>
      </w:r>
      <w:r>
        <w:rPr>
          <w:szCs w:val="26"/>
        </w:rPr>
        <w:t xml:space="preserve"> it must render consistent opinions and should either follow, distinguish or overrule its own precedent.</w:t>
      </w:r>
      <w:r>
        <w:rPr>
          <w:rStyle w:val="FootnoteReference"/>
          <w:szCs w:val="26"/>
        </w:rPr>
        <w:footnoteReference w:id="10"/>
      </w:r>
      <w:r>
        <w:rPr>
          <w:szCs w:val="26"/>
        </w:rPr>
        <w:t xml:space="preserve">  In th</w:t>
      </w:r>
      <w:r w:rsidR="009767A9">
        <w:rPr>
          <w:szCs w:val="26"/>
        </w:rPr>
        <w:t>e</w:t>
      </w:r>
      <w:r>
        <w:rPr>
          <w:szCs w:val="26"/>
        </w:rPr>
        <w:t xml:space="preserve"> </w:t>
      </w:r>
      <w:r w:rsidR="009767A9">
        <w:rPr>
          <w:szCs w:val="26"/>
        </w:rPr>
        <w:t xml:space="preserve">present </w:t>
      </w:r>
      <w:r>
        <w:rPr>
          <w:szCs w:val="26"/>
        </w:rPr>
        <w:t xml:space="preserve">case, for consistency, the ALJ noted that the </w:t>
      </w:r>
      <w:proofErr w:type="spellStart"/>
      <w:r w:rsidRPr="006B5AD6">
        <w:rPr>
          <w:i/>
          <w:szCs w:val="26"/>
        </w:rPr>
        <w:t>Shenango</w:t>
      </w:r>
      <w:proofErr w:type="spellEnd"/>
      <w:r>
        <w:rPr>
          <w:szCs w:val="26"/>
        </w:rPr>
        <w:t xml:space="preserve"> standard is applicable.  I.D. at 25.</w:t>
      </w:r>
    </w:p>
    <w:p w14:paraId="7BE7FB77" w14:textId="77777777" w:rsidR="009767A9" w:rsidRDefault="009767A9" w:rsidP="00CC0155">
      <w:pPr>
        <w:rPr>
          <w:szCs w:val="26"/>
        </w:rPr>
      </w:pPr>
    </w:p>
    <w:p w14:paraId="043ECCD6" w14:textId="5B9153AC" w:rsidR="00534000" w:rsidRDefault="00534000" w:rsidP="00CC0155">
      <w:pPr>
        <w:rPr>
          <w:szCs w:val="26"/>
        </w:rPr>
      </w:pPr>
      <w:r>
        <w:rPr>
          <w:szCs w:val="26"/>
        </w:rPr>
        <w:t>The ALJ stated that Respond</w:t>
      </w:r>
      <w:r w:rsidR="00E00225">
        <w:rPr>
          <w:szCs w:val="26"/>
        </w:rPr>
        <w:t>’</w:t>
      </w:r>
      <w:r>
        <w:rPr>
          <w:szCs w:val="26"/>
        </w:rPr>
        <w:t xml:space="preserve">s Complaints are essentially requesting that the Commission modify or vacate its prior ruling approving the </w:t>
      </w:r>
      <w:proofErr w:type="spellStart"/>
      <w:r>
        <w:rPr>
          <w:szCs w:val="26"/>
        </w:rPr>
        <w:t>clawback</w:t>
      </w:r>
      <w:proofErr w:type="spellEnd"/>
      <w:r>
        <w:rPr>
          <w:szCs w:val="26"/>
        </w:rPr>
        <w:t xml:space="preserve"> charges</w:t>
      </w:r>
      <w:r w:rsidR="000979FA">
        <w:rPr>
          <w:szCs w:val="26"/>
        </w:rPr>
        <w:t>.</w:t>
      </w:r>
      <w:r>
        <w:rPr>
          <w:szCs w:val="26"/>
        </w:rPr>
        <w:t xml:space="preserve"> </w:t>
      </w:r>
      <w:r w:rsidR="00B400E1">
        <w:rPr>
          <w:szCs w:val="26"/>
        </w:rPr>
        <w:t xml:space="preserve"> </w:t>
      </w:r>
      <w:r w:rsidR="000979FA">
        <w:rPr>
          <w:szCs w:val="26"/>
        </w:rPr>
        <w:t>Thus, he observed that</w:t>
      </w:r>
      <w:r>
        <w:rPr>
          <w:szCs w:val="26"/>
        </w:rPr>
        <w:t xml:space="preserve"> the Complaints are similar to a petition for relief filed pursuant to 52 Pa. Code § 5.572, following the issuance of a Commission final decision.  According to the ALJ, similar to </w:t>
      </w:r>
      <w:proofErr w:type="spellStart"/>
      <w:r w:rsidRPr="006B5AD6">
        <w:rPr>
          <w:i/>
          <w:szCs w:val="26"/>
        </w:rPr>
        <w:t>Shenango</w:t>
      </w:r>
      <w:proofErr w:type="spellEnd"/>
      <w:r>
        <w:rPr>
          <w:szCs w:val="26"/>
        </w:rPr>
        <w:t xml:space="preserve"> which requires that a complainant prove that facts and circumstances have changed drastically so as to render application of the tariff provision unreasonable, the Commission has held in petitions filed pursuant to 52 Pa. Code § 5.572, that they raise new and novel arguments not previously heard or considered or which appear to have been overlooked or not addressed by the Commission.</w:t>
      </w:r>
      <w:r>
        <w:rPr>
          <w:rStyle w:val="FootnoteReference"/>
          <w:szCs w:val="26"/>
        </w:rPr>
        <w:footnoteReference w:id="11"/>
      </w:r>
      <w:r>
        <w:rPr>
          <w:szCs w:val="26"/>
        </w:rPr>
        <w:t xml:space="preserve">  The ALJ noted that, in either case, the burden of proof is heavier because the party is seeking to modify or vacate a final Commission Order which, pursuant to 66 Pa. C.S. § 316, is conclusive upon the parties affected by the Order.  </w:t>
      </w:r>
      <w:r w:rsidRPr="00BA16F2">
        <w:rPr>
          <w:i/>
          <w:szCs w:val="26"/>
        </w:rPr>
        <w:t>Id.</w:t>
      </w:r>
      <w:r>
        <w:rPr>
          <w:szCs w:val="26"/>
        </w:rPr>
        <w:t xml:space="preserve"> at 25-26.</w:t>
      </w:r>
    </w:p>
    <w:p w14:paraId="7844CD5C" w14:textId="77777777" w:rsidR="00534000" w:rsidRDefault="00534000" w:rsidP="00CC0155">
      <w:pPr>
        <w:rPr>
          <w:szCs w:val="26"/>
        </w:rPr>
      </w:pPr>
    </w:p>
    <w:p w14:paraId="16BD920B" w14:textId="26D645A0" w:rsidR="006C22FE" w:rsidRDefault="00534000" w:rsidP="00CC0155">
      <w:pPr>
        <w:rPr>
          <w:szCs w:val="26"/>
        </w:rPr>
      </w:pPr>
      <w:r>
        <w:rPr>
          <w:szCs w:val="26"/>
        </w:rPr>
        <w:lastRenderedPageBreak/>
        <w:t xml:space="preserve">ALJ </w:t>
      </w:r>
      <w:r w:rsidR="006C22FE">
        <w:rPr>
          <w:szCs w:val="26"/>
        </w:rPr>
        <w:t xml:space="preserve">Salapa </w:t>
      </w:r>
      <w:r>
        <w:rPr>
          <w:szCs w:val="26"/>
        </w:rPr>
        <w:t xml:space="preserve">determined that to consider </w:t>
      </w:r>
      <w:r w:rsidRPr="000527EB">
        <w:rPr>
          <w:color w:val="000000"/>
          <w:szCs w:val="26"/>
        </w:rPr>
        <w:t>Respond</w:t>
      </w:r>
      <w:r w:rsidR="00E00225">
        <w:rPr>
          <w:color w:val="000000"/>
          <w:szCs w:val="26"/>
        </w:rPr>
        <w:t>’</w:t>
      </w:r>
      <w:r w:rsidRPr="000527EB">
        <w:rPr>
          <w:color w:val="000000"/>
          <w:szCs w:val="26"/>
        </w:rPr>
        <w:t xml:space="preserve">s argument that it should be able to challenge the </w:t>
      </w:r>
      <w:proofErr w:type="spellStart"/>
      <w:r w:rsidRPr="000527EB">
        <w:rPr>
          <w:color w:val="000000"/>
          <w:szCs w:val="26"/>
        </w:rPr>
        <w:t>clawback</w:t>
      </w:r>
      <w:proofErr w:type="spellEnd"/>
      <w:r w:rsidRPr="000527EB">
        <w:rPr>
          <w:color w:val="000000"/>
          <w:szCs w:val="26"/>
        </w:rPr>
        <w:t xml:space="preserve"> provisions on the basis that they are unreasonable without demonstrating that a change in facts or circumstances ha</w:t>
      </w:r>
      <w:r>
        <w:rPr>
          <w:color w:val="000000"/>
          <w:szCs w:val="26"/>
        </w:rPr>
        <w:t>s</w:t>
      </w:r>
      <w:r w:rsidRPr="000527EB">
        <w:rPr>
          <w:color w:val="000000"/>
          <w:szCs w:val="26"/>
        </w:rPr>
        <w:t xml:space="preserve"> occurred since the Commission approved the provisions, would be to permit Respond to relitigate issues already litigated by the parties in the DSP IV proceedings and considered by the Commission.</w:t>
      </w:r>
      <w:r>
        <w:rPr>
          <w:color w:val="000000"/>
          <w:szCs w:val="26"/>
        </w:rPr>
        <w:t xml:space="preserve">  Hence, the ALJ agreed with the </w:t>
      </w:r>
      <w:r w:rsidR="006C22FE">
        <w:rPr>
          <w:color w:val="000000"/>
          <w:szCs w:val="26"/>
        </w:rPr>
        <w:t xml:space="preserve">position of the </w:t>
      </w:r>
      <w:r>
        <w:rPr>
          <w:color w:val="000000"/>
          <w:szCs w:val="26"/>
        </w:rPr>
        <w:t>Companies that</w:t>
      </w:r>
      <w:r w:rsidRPr="000527EB">
        <w:rPr>
          <w:color w:val="000000"/>
          <w:szCs w:val="26"/>
        </w:rPr>
        <w:t xml:space="preserve"> to allow Respond to relitigate these issues </w:t>
      </w:r>
      <w:r w:rsidR="006C22FE">
        <w:rPr>
          <w:color w:val="000000"/>
          <w:szCs w:val="26"/>
        </w:rPr>
        <w:t>would</w:t>
      </w:r>
      <w:r>
        <w:rPr>
          <w:color w:val="000000"/>
          <w:szCs w:val="26"/>
        </w:rPr>
        <w:t xml:space="preserve"> essentially </w:t>
      </w:r>
      <w:r w:rsidR="00B400E1">
        <w:rPr>
          <w:color w:val="000000"/>
          <w:szCs w:val="26"/>
        </w:rPr>
        <w:t xml:space="preserve">be </w:t>
      </w:r>
      <w:r w:rsidRPr="000527EB">
        <w:rPr>
          <w:color w:val="000000"/>
          <w:szCs w:val="26"/>
        </w:rPr>
        <w:t>permi</w:t>
      </w:r>
      <w:r w:rsidR="00B400E1">
        <w:rPr>
          <w:color w:val="000000"/>
          <w:szCs w:val="26"/>
        </w:rPr>
        <w:t>tting</w:t>
      </w:r>
      <w:r>
        <w:rPr>
          <w:color w:val="000000"/>
          <w:szCs w:val="26"/>
        </w:rPr>
        <w:t xml:space="preserve"> Respond to</w:t>
      </w:r>
      <w:r w:rsidRPr="000527EB">
        <w:rPr>
          <w:color w:val="000000"/>
          <w:szCs w:val="26"/>
        </w:rPr>
        <w:t xml:space="preserve"> collateral</w:t>
      </w:r>
      <w:r>
        <w:rPr>
          <w:color w:val="000000"/>
          <w:szCs w:val="26"/>
        </w:rPr>
        <w:t>ly</w:t>
      </w:r>
      <w:r w:rsidRPr="000527EB">
        <w:rPr>
          <w:color w:val="000000"/>
          <w:szCs w:val="26"/>
        </w:rPr>
        <w:t xml:space="preserve"> attack the </w:t>
      </w:r>
      <w:r w:rsidRPr="000527EB">
        <w:rPr>
          <w:i/>
          <w:color w:val="000000"/>
          <w:szCs w:val="26"/>
        </w:rPr>
        <w:t>Default Service Order</w:t>
      </w:r>
      <w:r w:rsidR="006C22FE">
        <w:rPr>
          <w:color w:val="000000"/>
          <w:szCs w:val="26"/>
        </w:rPr>
        <w:t>.</w:t>
      </w:r>
      <w:r>
        <w:rPr>
          <w:color w:val="000000"/>
          <w:szCs w:val="26"/>
        </w:rPr>
        <w:t xml:space="preserve"> </w:t>
      </w:r>
      <w:r w:rsidR="006C22FE">
        <w:rPr>
          <w:color w:val="000000"/>
          <w:szCs w:val="26"/>
        </w:rPr>
        <w:t xml:space="preserve"> I</w:t>
      </w:r>
      <w:r>
        <w:rPr>
          <w:color w:val="000000"/>
          <w:szCs w:val="26"/>
        </w:rPr>
        <w:t xml:space="preserve">n the </w:t>
      </w:r>
      <w:r w:rsidRPr="000527EB">
        <w:rPr>
          <w:i/>
          <w:color w:val="000000"/>
          <w:szCs w:val="26"/>
        </w:rPr>
        <w:t>Default Service Order</w:t>
      </w:r>
      <w:r>
        <w:rPr>
          <w:color w:val="000000"/>
          <w:szCs w:val="26"/>
        </w:rPr>
        <w:t xml:space="preserve">, the Commission acted in a </w:t>
      </w:r>
      <w:r w:rsidR="006C22FE">
        <w:rPr>
          <w:color w:val="000000"/>
          <w:szCs w:val="26"/>
        </w:rPr>
        <w:t>quasi-</w:t>
      </w:r>
      <w:r>
        <w:rPr>
          <w:color w:val="000000"/>
          <w:szCs w:val="26"/>
        </w:rPr>
        <w:t xml:space="preserve">judicial capacity to resolve the issues that Respond had the opportunity to litigate concerning the reasonableness of the </w:t>
      </w:r>
      <w:proofErr w:type="spellStart"/>
      <w:r>
        <w:rPr>
          <w:color w:val="000000"/>
          <w:szCs w:val="26"/>
        </w:rPr>
        <w:t>clawback</w:t>
      </w:r>
      <w:proofErr w:type="spellEnd"/>
      <w:r>
        <w:rPr>
          <w:color w:val="000000"/>
          <w:szCs w:val="26"/>
        </w:rPr>
        <w:t xml:space="preserve"> provisions</w:t>
      </w:r>
      <w:r>
        <w:rPr>
          <w:i/>
          <w:color w:val="000000"/>
          <w:szCs w:val="26"/>
        </w:rPr>
        <w:t xml:space="preserve">.  </w:t>
      </w:r>
      <w:r w:rsidRPr="00BA16F2">
        <w:rPr>
          <w:i/>
          <w:szCs w:val="26"/>
        </w:rPr>
        <w:t>Id.</w:t>
      </w:r>
      <w:r>
        <w:rPr>
          <w:szCs w:val="26"/>
        </w:rPr>
        <w:t xml:space="preserve"> at 26-27</w:t>
      </w:r>
      <w:r w:rsidRPr="000527EB">
        <w:rPr>
          <w:color w:val="000000"/>
          <w:szCs w:val="26"/>
        </w:rPr>
        <w:t>.</w:t>
      </w:r>
      <w:r>
        <w:rPr>
          <w:color w:val="000000"/>
          <w:szCs w:val="26"/>
        </w:rPr>
        <w:t xml:space="preserve">  More importantly, the ALJ noted that because Respond had the opportunity to litigate these issues and chose not to do so, </w:t>
      </w:r>
      <w:r>
        <w:rPr>
          <w:szCs w:val="26"/>
        </w:rPr>
        <w:t>Section 316 of the Code applie</w:t>
      </w:r>
      <w:r w:rsidR="006C22FE">
        <w:rPr>
          <w:szCs w:val="26"/>
        </w:rPr>
        <w:t>d</w:t>
      </w:r>
      <w:r>
        <w:rPr>
          <w:szCs w:val="26"/>
        </w:rPr>
        <w:t xml:space="preserve"> to Respond</w:t>
      </w:r>
      <w:r w:rsidR="00E00225">
        <w:rPr>
          <w:szCs w:val="26"/>
        </w:rPr>
        <w:t>’</w:t>
      </w:r>
      <w:r>
        <w:rPr>
          <w:szCs w:val="26"/>
        </w:rPr>
        <w:t>s Complaints and bar</w:t>
      </w:r>
      <w:r w:rsidR="006C22FE">
        <w:rPr>
          <w:szCs w:val="26"/>
        </w:rPr>
        <w:t>red</w:t>
      </w:r>
      <w:r>
        <w:rPr>
          <w:szCs w:val="26"/>
        </w:rPr>
        <w:t xml:space="preserve"> it from relitigating the issues.</w:t>
      </w:r>
    </w:p>
    <w:p w14:paraId="4D1BD6EA" w14:textId="77777777" w:rsidR="006C22FE" w:rsidRDefault="006C22FE" w:rsidP="00CC0155">
      <w:pPr>
        <w:rPr>
          <w:szCs w:val="26"/>
        </w:rPr>
      </w:pPr>
    </w:p>
    <w:p w14:paraId="0287354B" w14:textId="0539CA25" w:rsidR="00534000" w:rsidRPr="000527EB" w:rsidRDefault="006C22FE" w:rsidP="00CC0155">
      <w:pPr>
        <w:rPr>
          <w:color w:val="000000"/>
          <w:szCs w:val="26"/>
        </w:rPr>
      </w:pPr>
      <w:r>
        <w:rPr>
          <w:szCs w:val="26"/>
        </w:rPr>
        <w:t>Based on the foregoing</w:t>
      </w:r>
      <w:r w:rsidR="00534000">
        <w:rPr>
          <w:szCs w:val="26"/>
        </w:rPr>
        <w:t xml:space="preserve">, the ALJ concluded that because Respond has not presented any new or novel argument that the Commission overlooked in the </w:t>
      </w:r>
      <w:r w:rsidR="00534000" w:rsidRPr="000527EB">
        <w:rPr>
          <w:i/>
          <w:color w:val="000000"/>
          <w:szCs w:val="26"/>
        </w:rPr>
        <w:t>Default Service Order</w:t>
      </w:r>
      <w:r w:rsidR="00534000">
        <w:rPr>
          <w:color w:val="000000"/>
          <w:szCs w:val="26"/>
        </w:rPr>
        <w:t xml:space="preserve"> or show</w:t>
      </w:r>
      <w:r w:rsidR="00BB4771">
        <w:rPr>
          <w:color w:val="000000"/>
          <w:szCs w:val="26"/>
        </w:rPr>
        <w:t>ed</w:t>
      </w:r>
      <w:r w:rsidR="00534000">
        <w:rPr>
          <w:color w:val="000000"/>
          <w:szCs w:val="26"/>
        </w:rPr>
        <w:t xml:space="preserve"> that the </w:t>
      </w:r>
      <w:proofErr w:type="spellStart"/>
      <w:r w:rsidR="00534000">
        <w:rPr>
          <w:color w:val="000000"/>
          <w:szCs w:val="26"/>
        </w:rPr>
        <w:t>clawback</w:t>
      </w:r>
      <w:proofErr w:type="spellEnd"/>
      <w:r w:rsidR="00534000">
        <w:rPr>
          <w:color w:val="000000"/>
          <w:szCs w:val="26"/>
        </w:rPr>
        <w:t xml:space="preserve"> provisions were no longer reasonable</w:t>
      </w:r>
      <w:r w:rsidR="00534000">
        <w:rPr>
          <w:i/>
          <w:color w:val="000000"/>
          <w:szCs w:val="26"/>
        </w:rPr>
        <w:t>,</w:t>
      </w:r>
      <w:r w:rsidR="00534000">
        <w:rPr>
          <w:color w:val="000000"/>
          <w:szCs w:val="26"/>
        </w:rPr>
        <w:t xml:space="preserve"> Respond has not met its burden of proof in this case. </w:t>
      </w:r>
      <w:r w:rsidR="00534000" w:rsidRPr="00F71658">
        <w:rPr>
          <w:i/>
          <w:color w:val="000000"/>
        </w:rPr>
        <w:t xml:space="preserve"> </w:t>
      </w:r>
      <w:r w:rsidR="00534000" w:rsidRPr="00BA16F2">
        <w:rPr>
          <w:i/>
          <w:szCs w:val="26"/>
        </w:rPr>
        <w:t>Id.</w:t>
      </w:r>
      <w:r w:rsidR="00534000">
        <w:rPr>
          <w:szCs w:val="26"/>
        </w:rPr>
        <w:t xml:space="preserve"> at 27</w:t>
      </w:r>
      <w:r w:rsidR="00534000" w:rsidRPr="000527EB">
        <w:rPr>
          <w:color w:val="000000"/>
          <w:szCs w:val="26"/>
        </w:rPr>
        <w:t>.</w:t>
      </w:r>
    </w:p>
    <w:p w14:paraId="602B3C5B" w14:textId="77777777" w:rsidR="00534000" w:rsidRDefault="00534000" w:rsidP="00CC0155">
      <w:pPr>
        <w:rPr>
          <w:szCs w:val="26"/>
        </w:rPr>
      </w:pPr>
    </w:p>
    <w:p w14:paraId="5D99BEEF" w14:textId="39896F19" w:rsidR="002D3FCE" w:rsidRPr="00E41838" w:rsidRDefault="00B400E1" w:rsidP="00F71658">
      <w:pPr>
        <w:keepNext/>
        <w:keepLines/>
        <w:ind w:left="720" w:firstLine="0"/>
        <w:rPr>
          <w:b/>
          <w:szCs w:val="26"/>
        </w:rPr>
      </w:pPr>
      <w:r>
        <w:rPr>
          <w:b/>
          <w:szCs w:val="26"/>
        </w:rPr>
        <w:t>2.</w:t>
      </w:r>
      <w:r>
        <w:rPr>
          <w:b/>
          <w:szCs w:val="26"/>
        </w:rPr>
        <w:tab/>
      </w:r>
      <w:r w:rsidR="002D3FCE" w:rsidRPr="00E41838">
        <w:rPr>
          <w:b/>
          <w:szCs w:val="26"/>
        </w:rPr>
        <w:t>Violation of Respond</w:t>
      </w:r>
      <w:r w:rsidR="00E00225">
        <w:rPr>
          <w:b/>
          <w:szCs w:val="26"/>
        </w:rPr>
        <w:t>’</w:t>
      </w:r>
      <w:r w:rsidR="002D3FCE" w:rsidRPr="00E41838">
        <w:rPr>
          <w:b/>
          <w:szCs w:val="26"/>
        </w:rPr>
        <w:t>s Due Process Rights</w:t>
      </w:r>
    </w:p>
    <w:p w14:paraId="6E3EC02C" w14:textId="77777777" w:rsidR="002D3FCE" w:rsidRPr="002B7631" w:rsidRDefault="002D3FCE" w:rsidP="00F71658">
      <w:pPr>
        <w:pStyle w:val="ListParagraph"/>
        <w:keepNext/>
        <w:keepLines/>
        <w:ind w:left="1080" w:firstLine="0"/>
        <w:rPr>
          <w:sz w:val="26"/>
          <w:szCs w:val="26"/>
        </w:rPr>
      </w:pPr>
    </w:p>
    <w:p w14:paraId="364138D7" w14:textId="150C97B4" w:rsidR="002D3FCE" w:rsidRDefault="002D3FCE" w:rsidP="00CC0155">
      <w:pPr>
        <w:rPr>
          <w:szCs w:val="26"/>
        </w:rPr>
      </w:pPr>
      <w:r>
        <w:rPr>
          <w:szCs w:val="26"/>
        </w:rPr>
        <w:t>Regarding Respond</w:t>
      </w:r>
      <w:r w:rsidR="00E00225">
        <w:rPr>
          <w:szCs w:val="26"/>
        </w:rPr>
        <w:t>’</w:t>
      </w:r>
      <w:r>
        <w:rPr>
          <w:szCs w:val="26"/>
        </w:rPr>
        <w:t xml:space="preserve">s argument that its due process rights were violated because the Companies invoiced the </w:t>
      </w:r>
      <w:proofErr w:type="spellStart"/>
      <w:r>
        <w:rPr>
          <w:szCs w:val="26"/>
        </w:rPr>
        <w:t>clawback</w:t>
      </w:r>
      <w:proofErr w:type="spellEnd"/>
      <w:r>
        <w:rPr>
          <w:szCs w:val="26"/>
        </w:rPr>
        <w:t xml:space="preserve"> charges before they filed and obtained approval of the </w:t>
      </w:r>
      <w:proofErr w:type="spellStart"/>
      <w:r>
        <w:rPr>
          <w:szCs w:val="26"/>
        </w:rPr>
        <w:t>clawback</w:t>
      </w:r>
      <w:proofErr w:type="spellEnd"/>
      <w:r>
        <w:rPr>
          <w:szCs w:val="26"/>
        </w:rPr>
        <w:t xml:space="preserve"> tariff</w:t>
      </w:r>
      <w:r w:rsidRPr="00446006">
        <w:rPr>
          <w:szCs w:val="26"/>
        </w:rPr>
        <w:t xml:space="preserve">, the ALJ </w:t>
      </w:r>
      <w:r>
        <w:rPr>
          <w:szCs w:val="26"/>
        </w:rPr>
        <w:t>posited</w:t>
      </w:r>
      <w:r w:rsidRPr="00446006">
        <w:rPr>
          <w:szCs w:val="26"/>
        </w:rPr>
        <w:t xml:space="preserve"> that Respond</w:t>
      </w:r>
      <w:r w:rsidR="00E00225">
        <w:rPr>
          <w:szCs w:val="26"/>
        </w:rPr>
        <w:t>’</w:t>
      </w:r>
      <w:r w:rsidRPr="00446006">
        <w:rPr>
          <w:szCs w:val="26"/>
        </w:rPr>
        <w:t xml:space="preserve">s argument failed to consider the fact that the Commission approved the </w:t>
      </w:r>
      <w:proofErr w:type="spellStart"/>
      <w:r w:rsidRPr="00446006">
        <w:rPr>
          <w:szCs w:val="26"/>
        </w:rPr>
        <w:t>clawback</w:t>
      </w:r>
      <w:proofErr w:type="spellEnd"/>
      <w:r w:rsidRPr="00446006">
        <w:rPr>
          <w:szCs w:val="26"/>
        </w:rPr>
        <w:t xml:space="preserve"> charge when it entered the </w:t>
      </w:r>
      <w:r w:rsidRPr="00A90997">
        <w:rPr>
          <w:i/>
          <w:szCs w:val="26"/>
        </w:rPr>
        <w:t>Default Service Order</w:t>
      </w:r>
      <w:r w:rsidRPr="00446006">
        <w:rPr>
          <w:szCs w:val="26"/>
        </w:rPr>
        <w:t xml:space="preserve"> on May 19, 2016</w:t>
      </w:r>
      <w:r>
        <w:rPr>
          <w:szCs w:val="26"/>
        </w:rPr>
        <w:t>.  The ALJ pointed</w:t>
      </w:r>
      <w:r w:rsidRPr="00446006">
        <w:rPr>
          <w:szCs w:val="26"/>
        </w:rPr>
        <w:t xml:space="preserve"> out that the </w:t>
      </w:r>
      <w:r>
        <w:rPr>
          <w:szCs w:val="26"/>
        </w:rPr>
        <w:t>S</w:t>
      </w:r>
      <w:r w:rsidRPr="00446006">
        <w:rPr>
          <w:szCs w:val="26"/>
        </w:rPr>
        <w:t xml:space="preserve">ettlement filed in the DSP IV proceedings contained the </w:t>
      </w:r>
      <w:proofErr w:type="spellStart"/>
      <w:r w:rsidRPr="00446006">
        <w:rPr>
          <w:szCs w:val="26"/>
        </w:rPr>
        <w:t>clawback</w:t>
      </w:r>
      <w:proofErr w:type="spellEnd"/>
      <w:r w:rsidRPr="00446006">
        <w:rPr>
          <w:szCs w:val="26"/>
        </w:rPr>
        <w:t xml:space="preserve"> provisions as part of the </w:t>
      </w:r>
      <w:r>
        <w:rPr>
          <w:szCs w:val="26"/>
        </w:rPr>
        <w:t>S</w:t>
      </w:r>
      <w:r w:rsidRPr="00446006">
        <w:rPr>
          <w:szCs w:val="26"/>
        </w:rPr>
        <w:t xml:space="preserve">upplier </w:t>
      </w:r>
      <w:r>
        <w:rPr>
          <w:szCs w:val="26"/>
        </w:rPr>
        <w:t>C</w:t>
      </w:r>
      <w:r w:rsidRPr="00446006">
        <w:rPr>
          <w:szCs w:val="26"/>
        </w:rPr>
        <w:t xml:space="preserve">oordination </w:t>
      </w:r>
      <w:r>
        <w:rPr>
          <w:szCs w:val="26"/>
        </w:rPr>
        <w:t>T</w:t>
      </w:r>
      <w:r w:rsidRPr="00446006">
        <w:rPr>
          <w:szCs w:val="26"/>
        </w:rPr>
        <w:t xml:space="preserve">ariffs.  I.D. at 30, citing </w:t>
      </w:r>
      <w:r>
        <w:rPr>
          <w:szCs w:val="26"/>
        </w:rPr>
        <w:t>Companies</w:t>
      </w:r>
      <w:r w:rsidRPr="00446006">
        <w:rPr>
          <w:szCs w:val="26"/>
        </w:rPr>
        <w:t xml:space="preserve"> M.B. at 7; </w:t>
      </w:r>
      <w:r>
        <w:rPr>
          <w:szCs w:val="26"/>
        </w:rPr>
        <w:t>Companies</w:t>
      </w:r>
      <w:r w:rsidRPr="00446006">
        <w:rPr>
          <w:szCs w:val="26"/>
        </w:rPr>
        <w:t xml:space="preserve"> R.B. at 25.  The ALJ</w:t>
      </w:r>
      <w:r>
        <w:rPr>
          <w:szCs w:val="26"/>
        </w:rPr>
        <w:t xml:space="preserve"> </w:t>
      </w:r>
      <w:r w:rsidR="00BB4771">
        <w:rPr>
          <w:szCs w:val="26"/>
        </w:rPr>
        <w:t>concluded</w:t>
      </w:r>
      <w:r w:rsidRPr="00446006">
        <w:rPr>
          <w:szCs w:val="26"/>
        </w:rPr>
        <w:t xml:space="preserve"> that the tariff supplements subsequently filed by </w:t>
      </w:r>
      <w:r>
        <w:rPr>
          <w:szCs w:val="26"/>
        </w:rPr>
        <w:t>the Companies</w:t>
      </w:r>
      <w:r w:rsidRPr="00446006">
        <w:rPr>
          <w:szCs w:val="26"/>
        </w:rPr>
        <w:t xml:space="preserve"> with an </w:t>
      </w:r>
      <w:r w:rsidRPr="00446006">
        <w:rPr>
          <w:szCs w:val="26"/>
        </w:rPr>
        <w:lastRenderedPageBreak/>
        <w:t>effective date of August 1, 2016</w:t>
      </w:r>
      <w:r>
        <w:rPr>
          <w:szCs w:val="26"/>
        </w:rPr>
        <w:t xml:space="preserve">, </w:t>
      </w:r>
      <w:r w:rsidRPr="00446006">
        <w:rPr>
          <w:szCs w:val="26"/>
        </w:rPr>
        <w:t>were accepted by the Commission.</w:t>
      </w:r>
      <w:r>
        <w:rPr>
          <w:szCs w:val="26"/>
        </w:rPr>
        <w:t xml:space="preserve">  </w:t>
      </w:r>
      <w:r w:rsidRPr="00446006">
        <w:rPr>
          <w:szCs w:val="26"/>
        </w:rPr>
        <w:t>I.D. at 30</w:t>
      </w:r>
      <w:r>
        <w:rPr>
          <w:szCs w:val="26"/>
        </w:rPr>
        <w:t>.  The ALJ noted that because the Commission approved the Companies</w:t>
      </w:r>
      <w:r w:rsidR="00E00225">
        <w:rPr>
          <w:szCs w:val="26"/>
        </w:rPr>
        <w:t>’</w:t>
      </w:r>
      <w:r>
        <w:rPr>
          <w:szCs w:val="26"/>
        </w:rPr>
        <w:t xml:space="preserve"> tariff provisions including the </w:t>
      </w:r>
      <w:proofErr w:type="spellStart"/>
      <w:r>
        <w:rPr>
          <w:szCs w:val="26"/>
        </w:rPr>
        <w:t>clawback</w:t>
      </w:r>
      <w:proofErr w:type="spellEnd"/>
      <w:r>
        <w:rPr>
          <w:szCs w:val="26"/>
        </w:rPr>
        <w:t xml:space="preserve"> charge in the </w:t>
      </w:r>
      <w:r w:rsidRPr="00A90997">
        <w:rPr>
          <w:i/>
          <w:szCs w:val="26"/>
        </w:rPr>
        <w:t>Default Service Order</w:t>
      </w:r>
      <w:r>
        <w:rPr>
          <w:i/>
          <w:szCs w:val="26"/>
        </w:rPr>
        <w:t xml:space="preserve">, </w:t>
      </w:r>
      <w:r>
        <w:rPr>
          <w:szCs w:val="26"/>
        </w:rPr>
        <w:t xml:space="preserve">Penelec and West Penn had the legal authority to assess the </w:t>
      </w:r>
      <w:proofErr w:type="spellStart"/>
      <w:r>
        <w:rPr>
          <w:szCs w:val="26"/>
        </w:rPr>
        <w:t>clawback</w:t>
      </w:r>
      <w:proofErr w:type="spellEnd"/>
      <w:r>
        <w:rPr>
          <w:szCs w:val="26"/>
        </w:rPr>
        <w:t xml:space="preserve"> charges as of the effective date of the </w:t>
      </w:r>
      <w:r w:rsidRPr="00A90997">
        <w:rPr>
          <w:i/>
          <w:szCs w:val="26"/>
        </w:rPr>
        <w:t>Default Service Order</w:t>
      </w:r>
      <w:r>
        <w:rPr>
          <w:szCs w:val="26"/>
        </w:rPr>
        <w:t xml:space="preserve">.  </w:t>
      </w:r>
      <w:r w:rsidRPr="00727B4B">
        <w:rPr>
          <w:i/>
          <w:szCs w:val="26"/>
        </w:rPr>
        <w:t>Id.</w:t>
      </w:r>
      <w:r>
        <w:rPr>
          <w:szCs w:val="26"/>
        </w:rPr>
        <w:t xml:space="preserve"> at 31.</w:t>
      </w:r>
    </w:p>
    <w:p w14:paraId="7F2E5EB4" w14:textId="77777777" w:rsidR="002D3FCE" w:rsidRDefault="002D3FCE" w:rsidP="00CC0155">
      <w:pPr>
        <w:rPr>
          <w:szCs w:val="26"/>
        </w:rPr>
      </w:pPr>
    </w:p>
    <w:p w14:paraId="5C7A5EF5" w14:textId="05F5C312" w:rsidR="002D3FCE" w:rsidRDefault="002D3FCE" w:rsidP="00CC0155">
      <w:pPr>
        <w:rPr>
          <w:szCs w:val="26"/>
        </w:rPr>
      </w:pPr>
      <w:r>
        <w:rPr>
          <w:szCs w:val="26"/>
        </w:rPr>
        <w:t>In addition, the ALJ dismissed, as without merit, Respond</w:t>
      </w:r>
      <w:r w:rsidR="00E00225">
        <w:rPr>
          <w:szCs w:val="26"/>
        </w:rPr>
        <w:t>’</w:t>
      </w:r>
      <w:r>
        <w:rPr>
          <w:szCs w:val="26"/>
        </w:rPr>
        <w:t xml:space="preserve">s argument that the Companies did not provide Respond adequate notice that they were converting from non-recourse to </w:t>
      </w:r>
      <w:r w:rsidR="00E00225">
        <w:rPr>
          <w:szCs w:val="26"/>
        </w:rPr>
        <w:t>“</w:t>
      </w:r>
      <w:r>
        <w:rPr>
          <w:szCs w:val="26"/>
        </w:rPr>
        <w:t>with recourse</w:t>
      </w:r>
      <w:r w:rsidR="00E00225">
        <w:rPr>
          <w:szCs w:val="26"/>
        </w:rPr>
        <w:t>”</w:t>
      </w:r>
      <w:r w:rsidR="00BB4771">
        <w:rPr>
          <w:szCs w:val="26"/>
        </w:rPr>
        <w:t xml:space="preserve"> concerning the </w:t>
      </w:r>
      <w:proofErr w:type="spellStart"/>
      <w:r w:rsidR="00BB4771">
        <w:rPr>
          <w:szCs w:val="26"/>
        </w:rPr>
        <w:t>clawback</w:t>
      </w:r>
      <w:proofErr w:type="spellEnd"/>
      <w:r w:rsidR="00BB4771">
        <w:rPr>
          <w:szCs w:val="26"/>
        </w:rPr>
        <w:t xml:space="preserve"> charges.</w:t>
      </w:r>
      <w:r>
        <w:rPr>
          <w:szCs w:val="26"/>
        </w:rPr>
        <w:t xml:space="preserve">  Rejecting this argument, the ALJ stated that not only was Respond served copies of the DSP IV Joint Petition and the supporting documents, but that the notice was also published in the November 14, 2015 </w:t>
      </w:r>
      <w:r w:rsidRPr="00A646D4">
        <w:rPr>
          <w:i/>
          <w:szCs w:val="26"/>
        </w:rPr>
        <w:t>Pennsylvania Bulletin</w:t>
      </w:r>
      <w:r>
        <w:rPr>
          <w:szCs w:val="26"/>
        </w:rPr>
        <w:t xml:space="preserve"> at 45 </w:t>
      </w:r>
      <w:r w:rsidRPr="00A646D4">
        <w:rPr>
          <w:i/>
          <w:szCs w:val="26"/>
        </w:rPr>
        <w:t>Pa.</w:t>
      </w:r>
      <w:r>
        <w:rPr>
          <w:i/>
          <w:szCs w:val="26"/>
        </w:rPr>
        <w:t xml:space="preserve"> </w:t>
      </w:r>
      <w:r w:rsidRPr="00A646D4">
        <w:rPr>
          <w:i/>
          <w:szCs w:val="26"/>
        </w:rPr>
        <w:t>B</w:t>
      </w:r>
      <w:r>
        <w:rPr>
          <w:szCs w:val="26"/>
        </w:rPr>
        <w:t xml:space="preserve"> 6654-6655, specifying a deadline of November 30, 2015 for filing protests, petitions, and answers to the DSP IV Petitions.  According to the ALJ, several EGSs that were served the same notice objected to the </w:t>
      </w:r>
      <w:proofErr w:type="spellStart"/>
      <w:r>
        <w:rPr>
          <w:szCs w:val="26"/>
        </w:rPr>
        <w:t>clawback</w:t>
      </w:r>
      <w:proofErr w:type="spellEnd"/>
      <w:r>
        <w:rPr>
          <w:szCs w:val="26"/>
        </w:rPr>
        <w:t xml:space="preserve"> charge and participated in the Companies</w:t>
      </w:r>
      <w:r w:rsidR="00E00225">
        <w:rPr>
          <w:szCs w:val="26"/>
        </w:rPr>
        <w:t>’</w:t>
      </w:r>
      <w:r>
        <w:rPr>
          <w:szCs w:val="26"/>
        </w:rPr>
        <w:t xml:space="preserve"> DSP IV proceedings, thereby, reaching a settlement that modified the proposed </w:t>
      </w:r>
      <w:proofErr w:type="spellStart"/>
      <w:r>
        <w:rPr>
          <w:szCs w:val="26"/>
        </w:rPr>
        <w:t>clawback</w:t>
      </w:r>
      <w:proofErr w:type="spellEnd"/>
      <w:r>
        <w:rPr>
          <w:szCs w:val="26"/>
        </w:rPr>
        <w:t xml:space="preserve"> charge.  The ALJ stated that because Respond chose not to participate in these proceedings and failed to present any evidence that it did not receive the DSP IV Joint Petition, it has no legal basis to claim that its due process rights were violated.  </w:t>
      </w:r>
      <w:r w:rsidRPr="00727B4B">
        <w:rPr>
          <w:i/>
          <w:szCs w:val="26"/>
        </w:rPr>
        <w:t>Id.</w:t>
      </w:r>
      <w:r>
        <w:rPr>
          <w:szCs w:val="26"/>
        </w:rPr>
        <w:t xml:space="preserve">  The ALJ concluded that the DSP IV Joint Petition adequately informed Respond that the Companies were seeking to implement </w:t>
      </w:r>
      <w:proofErr w:type="spellStart"/>
      <w:r>
        <w:rPr>
          <w:szCs w:val="26"/>
        </w:rPr>
        <w:t>clawback</w:t>
      </w:r>
      <w:proofErr w:type="spellEnd"/>
      <w:r>
        <w:rPr>
          <w:szCs w:val="26"/>
        </w:rPr>
        <w:t xml:space="preserve"> charges and that Respond had the opportunity to prepare an answer and present a defense.  Yet, Respond failed to file any form of objections to the DSP IV Joint Petition and chose not to participate in the proceedings.  Therefore, Respond has no legal grounds upon which to accuse the Companies of inadequate notice or violation of its due process rights.  </w:t>
      </w:r>
      <w:r w:rsidRPr="00727B4B">
        <w:rPr>
          <w:i/>
          <w:szCs w:val="26"/>
        </w:rPr>
        <w:t>Id.</w:t>
      </w:r>
      <w:r>
        <w:rPr>
          <w:szCs w:val="26"/>
        </w:rPr>
        <w:t xml:space="preserve">  at 32-33.</w:t>
      </w:r>
    </w:p>
    <w:p w14:paraId="6175D4C2" w14:textId="4C25C4A1" w:rsidR="00002563" w:rsidRDefault="00002563" w:rsidP="00CC0155">
      <w:pPr>
        <w:rPr>
          <w:szCs w:val="26"/>
        </w:rPr>
      </w:pPr>
    </w:p>
    <w:p w14:paraId="5BE53F5A" w14:textId="68F5B7D5" w:rsidR="00743F1B" w:rsidRDefault="00FF3EEC" w:rsidP="00F71658">
      <w:pPr>
        <w:keepNext/>
        <w:keepLines/>
        <w:ind w:left="720" w:firstLine="0"/>
        <w:rPr>
          <w:b/>
          <w:szCs w:val="26"/>
        </w:rPr>
      </w:pPr>
      <w:r>
        <w:rPr>
          <w:b/>
          <w:szCs w:val="26"/>
        </w:rPr>
        <w:lastRenderedPageBreak/>
        <w:t>3.</w:t>
      </w:r>
      <w:r>
        <w:rPr>
          <w:b/>
          <w:szCs w:val="26"/>
        </w:rPr>
        <w:tab/>
      </w:r>
      <w:r w:rsidR="00743F1B" w:rsidRPr="00E41838">
        <w:rPr>
          <w:b/>
          <w:szCs w:val="26"/>
        </w:rPr>
        <w:t>Retroactive Ratemaking</w:t>
      </w:r>
    </w:p>
    <w:p w14:paraId="359A62B0" w14:textId="77777777" w:rsidR="00FF3EEC" w:rsidRPr="00F71658" w:rsidRDefault="00FF3EEC" w:rsidP="00F71658">
      <w:pPr>
        <w:keepNext/>
        <w:keepLines/>
        <w:ind w:left="720" w:firstLine="0"/>
        <w:rPr>
          <w:b/>
        </w:rPr>
      </w:pPr>
    </w:p>
    <w:p w14:paraId="49AB080B" w14:textId="1F2498F4" w:rsidR="009F185E" w:rsidRDefault="00743F1B" w:rsidP="00CC0155">
      <w:r>
        <w:t>The ALJ, after consideration of the evidence, recommended the dismissal of Respond</w:t>
      </w:r>
      <w:r w:rsidR="00E00225">
        <w:t>’</w:t>
      </w:r>
      <w:r>
        <w:t xml:space="preserve">s claim that the </w:t>
      </w:r>
      <w:proofErr w:type="spellStart"/>
      <w:r>
        <w:t>clawback</w:t>
      </w:r>
      <w:proofErr w:type="spellEnd"/>
      <w:r>
        <w:t xml:space="preserve"> charges constitute impermissible retroactive ratemaking.  According to the ALJ, the </w:t>
      </w:r>
      <w:proofErr w:type="spellStart"/>
      <w:r>
        <w:t>clawback</w:t>
      </w:r>
      <w:proofErr w:type="spellEnd"/>
      <w:r>
        <w:t xml:space="preserve"> charges are not </w:t>
      </w:r>
      <w:r w:rsidR="00E00225">
        <w:t>“</w:t>
      </w:r>
      <w:r>
        <w:t>rates</w:t>
      </w:r>
      <w:r w:rsidR="00E00225">
        <w:t>”</w:t>
      </w:r>
      <w:r>
        <w:t xml:space="preserve"> and should not be treated as such.  The ALJ define</w:t>
      </w:r>
      <w:r w:rsidR="009F185E">
        <w:t>d</w:t>
      </w:r>
      <w:r>
        <w:t xml:space="preserve"> a rate as any compensation received by a public utility for service it renders to a customer.  The ALJ stated that in </w:t>
      </w:r>
      <w:r w:rsidR="009F185E" w:rsidRPr="003609F4">
        <w:rPr>
          <w:i/>
          <w:szCs w:val="26"/>
        </w:rPr>
        <w:t>Penn-Harris Hotel Co. v. Pa. PUC</w:t>
      </w:r>
      <w:r w:rsidR="009F185E" w:rsidRPr="003609F4">
        <w:rPr>
          <w:szCs w:val="26"/>
        </w:rPr>
        <w:t xml:space="preserve">, 71 A.2d 853 (Pa. Super. Ct. 1950) </w:t>
      </w:r>
      <w:r w:rsidR="009F185E" w:rsidRPr="003609F4">
        <w:rPr>
          <w:i/>
          <w:szCs w:val="26"/>
        </w:rPr>
        <w:t>(Penn-Harris)</w:t>
      </w:r>
      <w:r w:rsidRPr="00366E2A">
        <w:rPr>
          <w:i/>
        </w:rPr>
        <w:t>,</w:t>
      </w:r>
      <w:r>
        <w:t xml:space="preserve"> the Superior Court held that the definition of </w:t>
      </w:r>
      <w:r w:rsidR="00E00225">
        <w:t>“</w:t>
      </w:r>
      <w:r>
        <w:t>rate</w:t>
      </w:r>
      <w:r w:rsidR="00E00225">
        <w:t>”</w:t>
      </w:r>
      <w:r>
        <w:t xml:space="preserve"> contained in the </w:t>
      </w:r>
      <w:r w:rsidR="009F185E">
        <w:t xml:space="preserve">former, </w:t>
      </w:r>
      <w:r>
        <w:t>Public Utility Law, Act of May 28, 1937, did not cover services rendered to the public utility for which the public utility expends money</w:t>
      </w:r>
      <w:r w:rsidR="009F185E">
        <w:t xml:space="preserve">. </w:t>
      </w:r>
      <w:r>
        <w:t xml:space="preserve"> </w:t>
      </w:r>
      <w:r w:rsidR="009F185E">
        <w:t>A</w:t>
      </w:r>
      <w:r>
        <w:t>nd</w:t>
      </w:r>
      <w:r w:rsidR="009F185E">
        <w:t xml:space="preserve">, the ALJ further reasoned </w:t>
      </w:r>
      <w:r>
        <w:t xml:space="preserve">that even the current definition of a </w:t>
      </w:r>
      <w:r w:rsidR="00E00225">
        <w:t>“</w:t>
      </w:r>
      <w:r>
        <w:t>rate</w:t>
      </w:r>
      <w:r w:rsidR="00E00225">
        <w:t>”</w:t>
      </w:r>
      <w:r>
        <w:t xml:space="preserve"> in Section 102 of the Code, 66 Pa C.S. § 102, contains almost identical language.</w:t>
      </w:r>
      <w:r>
        <w:rPr>
          <w:rStyle w:val="FootnoteReference"/>
        </w:rPr>
        <w:footnoteReference w:id="12"/>
      </w:r>
    </w:p>
    <w:p w14:paraId="72E0EA73" w14:textId="77777777" w:rsidR="00E00225" w:rsidRDefault="00E00225" w:rsidP="00CC0155"/>
    <w:p w14:paraId="6E520D0E" w14:textId="2D2A6F40" w:rsidR="00743F1B" w:rsidRPr="007D2DB6" w:rsidRDefault="009F185E" w:rsidP="00CC0155">
      <w:pPr>
        <w:rPr>
          <w:szCs w:val="26"/>
        </w:rPr>
      </w:pPr>
      <w:r>
        <w:t xml:space="preserve">In the present proceeding, </w:t>
      </w:r>
      <w:r w:rsidR="00743F1B">
        <w:t xml:space="preserve">ALJ </w:t>
      </w:r>
      <w:r>
        <w:t xml:space="preserve">Salapa </w:t>
      </w:r>
      <w:r w:rsidR="00743F1B">
        <w:t xml:space="preserve">explained that although the </w:t>
      </w:r>
      <w:proofErr w:type="spellStart"/>
      <w:r w:rsidR="00743F1B">
        <w:t>clawback</w:t>
      </w:r>
      <w:proofErr w:type="spellEnd"/>
      <w:r w:rsidR="00743F1B">
        <w:t xml:space="preserve"> provisions are part of the Companies</w:t>
      </w:r>
      <w:r w:rsidR="00E00225">
        <w:t>’</w:t>
      </w:r>
      <w:r w:rsidR="00743F1B">
        <w:t xml:space="preserve"> tariffs</w:t>
      </w:r>
      <w:r w:rsidR="00F0450B">
        <w:t>,</w:t>
      </w:r>
      <w:r w:rsidR="00743F1B">
        <w:t xml:space="preserve"> they are not </w:t>
      </w:r>
      <w:proofErr w:type="gramStart"/>
      <w:r w:rsidR="00743F1B">
        <w:t>rates</w:t>
      </w:r>
      <w:proofErr w:type="gramEnd"/>
      <w:r w:rsidR="00743F1B">
        <w:t xml:space="preserve"> because the </w:t>
      </w:r>
      <w:proofErr w:type="spellStart"/>
      <w:r w:rsidR="00743F1B">
        <w:t>clawback</w:t>
      </w:r>
      <w:proofErr w:type="spellEnd"/>
      <w:r w:rsidR="00743F1B">
        <w:t xml:space="preserve"> charges are not compensation received by the Companies for service they rendered to </w:t>
      </w:r>
      <w:r w:rsidR="00743F1B">
        <w:lastRenderedPageBreak/>
        <w:t>Respond.</w:t>
      </w:r>
      <w:r w:rsidR="00743F1B" w:rsidRPr="00C434A7">
        <w:rPr>
          <w:rStyle w:val="FootnoteReference"/>
        </w:rPr>
        <w:t xml:space="preserve"> </w:t>
      </w:r>
      <w:r w:rsidR="00743F1B">
        <w:rPr>
          <w:rStyle w:val="FootnoteReference"/>
        </w:rPr>
        <w:footnoteReference w:id="13"/>
      </w:r>
      <w:r w:rsidR="00743F1B">
        <w:t xml:space="preserve">  </w:t>
      </w:r>
      <w:r w:rsidR="00743F1B" w:rsidRPr="00727B4B">
        <w:rPr>
          <w:i/>
          <w:szCs w:val="26"/>
        </w:rPr>
        <w:t>Id.</w:t>
      </w:r>
      <w:r w:rsidR="00743F1B">
        <w:rPr>
          <w:szCs w:val="26"/>
        </w:rPr>
        <w:t xml:space="preserve">  at 33-34.  The ALJ stated that since the </w:t>
      </w:r>
      <w:proofErr w:type="spellStart"/>
      <w:r w:rsidR="00743F1B">
        <w:rPr>
          <w:szCs w:val="26"/>
        </w:rPr>
        <w:t>clawback</w:t>
      </w:r>
      <w:proofErr w:type="spellEnd"/>
      <w:r w:rsidR="00743F1B">
        <w:rPr>
          <w:szCs w:val="26"/>
        </w:rPr>
        <w:t xml:space="preserve"> provisions are not rates, any prohibition concerning retroactive ratemaking </w:t>
      </w:r>
      <w:r>
        <w:rPr>
          <w:szCs w:val="26"/>
        </w:rPr>
        <w:t xml:space="preserve">pursuant to the statutory provisions applicable to rates, </w:t>
      </w:r>
      <w:r w:rsidR="00743F1B">
        <w:rPr>
          <w:szCs w:val="26"/>
        </w:rPr>
        <w:t>do</w:t>
      </w:r>
      <w:r>
        <w:rPr>
          <w:szCs w:val="26"/>
        </w:rPr>
        <w:t>es</w:t>
      </w:r>
      <w:r w:rsidR="00743F1B">
        <w:rPr>
          <w:szCs w:val="26"/>
        </w:rPr>
        <w:t xml:space="preserve"> not apply to the </w:t>
      </w:r>
      <w:proofErr w:type="spellStart"/>
      <w:r w:rsidR="00743F1B">
        <w:rPr>
          <w:szCs w:val="26"/>
        </w:rPr>
        <w:t>clawback</w:t>
      </w:r>
      <w:proofErr w:type="spellEnd"/>
      <w:r w:rsidR="00743F1B">
        <w:rPr>
          <w:szCs w:val="26"/>
        </w:rPr>
        <w:t xml:space="preserve"> provisions.  </w:t>
      </w:r>
      <w:r w:rsidR="00743F1B" w:rsidRPr="00727B4B">
        <w:rPr>
          <w:i/>
          <w:szCs w:val="26"/>
        </w:rPr>
        <w:t>Id.</w:t>
      </w:r>
      <w:r w:rsidR="00743F1B">
        <w:rPr>
          <w:szCs w:val="26"/>
        </w:rPr>
        <w:t xml:space="preserve"> at 34.</w:t>
      </w:r>
    </w:p>
    <w:p w14:paraId="5CCBD1FD" w14:textId="77777777" w:rsidR="00743F1B" w:rsidRDefault="00743F1B" w:rsidP="00CC0155"/>
    <w:p w14:paraId="4520687D" w14:textId="61D15D12" w:rsidR="00E256A7" w:rsidRDefault="00743F1B" w:rsidP="00CC0155">
      <w:pPr>
        <w:rPr>
          <w:szCs w:val="26"/>
        </w:rPr>
      </w:pPr>
      <w:r>
        <w:t>Furthermore, the ALJ noted the Companies</w:t>
      </w:r>
      <w:r w:rsidR="00E00225">
        <w:t>’</w:t>
      </w:r>
      <w:r>
        <w:t xml:space="preserve"> averment that</w:t>
      </w:r>
      <w:r w:rsidR="00E2385A">
        <w:t>,</w:t>
      </w:r>
      <w:r>
        <w:t xml:space="preserve"> similar to other </w:t>
      </w:r>
      <w:r w:rsidR="00E00225">
        <w:t>‘</w:t>
      </w:r>
      <w:r>
        <w:t>Commission-approved</w:t>
      </w:r>
      <w:r w:rsidR="00E00225">
        <w:t>’</w:t>
      </w:r>
      <w:r>
        <w:t xml:space="preserve"> rates and charges that are based on historic data, the </w:t>
      </w:r>
      <w:proofErr w:type="spellStart"/>
      <w:r>
        <w:t>clawback</w:t>
      </w:r>
      <w:proofErr w:type="spellEnd"/>
      <w:r>
        <w:t xml:space="preserve"> charges are not retroactive</w:t>
      </w:r>
      <w:r w:rsidR="00E2385A">
        <w:t xml:space="preserve">. </w:t>
      </w:r>
      <w:r>
        <w:t xml:space="preserve"> </w:t>
      </w:r>
      <w:r w:rsidR="00E2385A">
        <w:t>R</w:t>
      </w:r>
      <w:r>
        <w:t xml:space="preserve">ather, they are </w:t>
      </w:r>
      <w:r w:rsidR="00E2385A">
        <w:t xml:space="preserve">charges </w:t>
      </w:r>
      <w:r>
        <w:t>applied prospectively on Respond using historic write-off data.  The ALJ acknowledged the Companies</w:t>
      </w:r>
      <w:r w:rsidR="00E00225">
        <w:t>’</w:t>
      </w:r>
      <w:r>
        <w:t xml:space="preserve"> explanation that using historic data to identify EGSs, which are most likely to be imposing higher costs does not make the </w:t>
      </w:r>
      <w:proofErr w:type="spellStart"/>
      <w:r>
        <w:t>clawback</w:t>
      </w:r>
      <w:proofErr w:type="spellEnd"/>
      <w:r>
        <w:t xml:space="preserve"> charges retroactive.  </w:t>
      </w:r>
      <w:r w:rsidRPr="00727B4B">
        <w:rPr>
          <w:i/>
          <w:szCs w:val="26"/>
        </w:rPr>
        <w:t>Id.</w:t>
      </w:r>
      <w:r>
        <w:rPr>
          <w:szCs w:val="26"/>
        </w:rPr>
        <w:t xml:space="preserve">  The ALJ disagreed with Respond</w:t>
      </w:r>
      <w:r w:rsidR="00E00225">
        <w:rPr>
          <w:szCs w:val="26"/>
        </w:rPr>
        <w:t>’</w:t>
      </w:r>
      <w:r>
        <w:rPr>
          <w:szCs w:val="26"/>
        </w:rPr>
        <w:t xml:space="preserve">s argument that retroactive application of a statute is impermissible, especially, given that Respond did not explain how the retroactive application of statutes is relevant to the </w:t>
      </w:r>
      <w:proofErr w:type="spellStart"/>
      <w:r>
        <w:rPr>
          <w:szCs w:val="26"/>
        </w:rPr>
        <w:t>clawback</w:t>
      </w:r>
      <w:proofErr w:type="spellEnd"/>
      <w:r>
        <w:rPr>
          <w:szCs w:val="26"/>
        </w:rPr>
        <w:t xml:space="preserve"> provisions in this proceeding as they are not statues.  The ALJ stated that Respond has no grounds to make such arguments at this time since it failed to intervene and raise these arguments in the DSP IV proceedings.  Therefore, the ALJ agreed with the Companies that Respond</w:t>
      </w:r>
      <w:r w:rsidR="00E00225">
        <w:rPr>
          <w:szCs w:val="26"/>
        </w:rPr>
        <w:t>’</w:t>
      </w:r>
      <w:r>
        <w:rPr>
          <w:szCs w:val="26"/>
        </w:rPr>
        <w:t xml:space="preserve">s arguments constitute a collateral attack on the </w:t>
      </w:r>
      <w:r w:rsidRPr="00A90997">
        <w:rPr>
          <w:i/>
          <w:szCs w:val="26"/>
        </w:rPr>
        <w:t>Default Service Order</w:t>
      </w:r>
      <w:r>
        <w:rPr>
          <w:szCs w:val="26"/>
        </w:rPr>
        <w:t xml:space="preserve">.  </w:t>
      </w:r>
      <w:r w:rsidRPr="00727B4B">
        <w:rPr>
          <w:i/>
          <w:szCs w:val="26"/>
        </w:rPr>
        <w:t>Id.</w:t>
      </w:r>
      <w:r>
        <w:rPr>
          <w:szCs w:val="26"/>
        </w:rPr>
        <w:t xml:space="preserve">  at 35.</w:t>
      </w:r>
    </w:p>
    <w:p w14:paraId="1F9ECA1D" w14:textId="77777777" w:rsidR="009B5E1D" w:rsidRDefault="009B5E1D" w:rsidP="00CC0155">
      <w:pPr>
        <w:rPr>
          <w:szCs w:val="26"/>
        </w:rPr>
      </w:pPr>
    </w:p>
    <w:p w14:paraId="25BEE390" w14:textId="0D5B71BA" w:rsidR="00E256A7" w:rsidRPr="00E41838" w:rsidRDefault="009B5E1D" w:rsidP="00F71658">
      <w:pPr>
        <w:keepNext/>
        <w:keepLines/>
        <w:ind w:left="720" w:firstLine="0"/>
        <w:rPr>
          <w:b/>
          <w:szCs w:val="26"/>
        </w:rPr>
      </w:pPr>
      <w:r>
        <w:rPr>
          <w:b/>
          <w:szCs w:val="26"/>
        </w:rPr>
        <w:t>4.</w:t>
      </w:r>
      <w:r>
        <w:rPr>
          <w:b/>
          <w:szCs w:val="26"/>
        </w:rPr>
        <w:tab/>
      </w:r>
      <w:r w:rsidR="00E256A7" w:rsidRPr="00E41838">
        <w:rPr>
          <w:b/>
          <w:szCs w:val="26"/>
        </w:rPr>
        <w:t xml:space="preserve">Reasonableness of the </w:t>
      </w:r>
      <w:proofErr w:type="spellStart"/>
      <w:r w:rsidR="00E256A7" w:rsidRPr="00E41838">
        <w:rPr>
          <w:b/>
          <w:szCs w:val="26"/>
        </w:rPr>
        <w:t>Clawback</w:t>
      </w:r>
      <w:proofErr w:type="spellEnd"/>
      <w:r w:rsidR="00E256A7" w:rsidRPr="00E41838">
        <w:rPr>
          <w:b/>
          <w:szCs w:val="26"/>
        </w:rPr>
        <w:t xml:space="preserve"> Charges</w:t>
      </w:r>
    </w:p>
    <w:p w14:paraId="272CC024" w14:textId="77777777" w:rsidR="00E256A7" w:rsidRDefault="00E256A7" w:rsidP="00F71658">
      <w:pPr>
        <w:keepNext/>
        <w:keepLines/>
        <w:rPr>
          <w:szCs w:val="26"/>
        </w:rPr>
      </w:pPr>
    </w:p>
    <w:p w14:paraId="42315C20" w14:textId="37EC5C33" w:rsidR="00E256A7" w:rsidRDefault="007F017A" w:rsidP="00CC0155">
      <w:pPr>
        <w:rPr>
          <w:color w:val="000000"/>
          <w:szCs w:val="26"/>
        </w:rPr>
      </w:pPr>
      <w:r>
        <w:rPr>
          <w:szCs w:val="26"/>
        </w:rPr>
        <w:t>Concerning</w:t>
      </w:r>
      <w:r w:rsidR="00E256A7">
        <w:rPr>
          <w:szCs w:val="26"/>
        </w:rPr>
        <w:t xml:space="preserve"> the reasonableness of the </w:t>
      </w:r>
      <w:proofErr w:type="spellStart"/>
      <w:r w:rsidR="00E256A7">
        <w:rPr>
          <w:szCs w:val="26"/>
        </w:rPr>
        <w:t>clawback</w:t>
      </w:r>
      <w:proofErr w:type="spellEnd"/>
      <w:r w:rsidR="00E256A7">
        <w:rPr>
          <w:szCs w:val="26"/>
        </w:rPr>
        <w:t xml:space="preserve"> charges, the ALJ dismissed, as without merit, Respond</w:t>
      </w:r>
      <w:r w:rsidR="00E00225">
        <w:rPr>
          <w:szCs w:val="26"/>
        </w:rPr>
        <w:t>’</w:t>
      </w:r>
      <w:r w:rsidR="00E256A7">
        <w:rPr>
          <w:szCs w:val="26"/>
        </w:rPr>
        <w:t xml:space="preserve">s claim that: (1) the </w:t>
      </w:r>
      <w:proofErr w:type="spellStart"/>
      <w:r w:rsidR="00E256A7">
        <w:rPr>
          <w:szCs w:val="26"/>
        </w:rPr>
        <w:t>clawback</w:t>
      </w:r>
      <w:proofErr w:type="spellEnd"/>
      <w:r w:rsidR="00E256A7">
        <w:rPr>
          <w:szCs w:val="26"/>
        </w:rPr>
        <w:t xml:space="preserve"> charges assessed to Respond in 2016 and 2017 were based on write-offs that occurred as far back as 2013; and; (2) there </w:t>
      </w:r>
      <w:r w:rsidR="00E256A7">
        <w:rPr>
          <w:szCs w:val="26"/>
        </w:rPr>
        <w:lastRenderedPageBreak/>
        <w:t xml:space="preserve">is no evidence that the Commission was aware of this fact when it approved the </w:t>
      </w:r>
      <w:proofErr w:type="spellStart"/>
      <w:r w:rsidR="00E256A7">
        <w:rPr>
          <w:szCs w:val="26"/>
        </w:rPr>
        <w:t>clawback</w:t>
      </w:r>
      <w:proofErr w:type="spellEnd"/>
      <w:r w:rsidR="00E256A7">
        <w:rPr>
          <w:szCs w:val="26"/>
        </w:rPr>
        <w:t xml:space="preserve"> charge or that the Commission considered the fact the </w:t>
      </w:r>
      <w:proofErr w:type="spellStart"/>
      <w:r w:rsidR="00E256A7">
        <w:rPr>
          <w:szCs w:val="26"/>
        </w:rPr>
        <w:t>clawback</w:t>
      </w:r>
      <w:proofErr w:type="spellEnd"/>
      <w:r w:rsidR="00E256A7">
        <w:rPr>
          <w:szCs w:val="26"/>
        </w:rPr>
        <w:t xml:space="preserve"> charge fundamentally changed the Companies</w:t>
      </w:r>
      <w:r w:rsidR="00E00225">
        <w:rPr>
          <w:szCs w:val="26"/>
        </w:rPr>
        <w:t>’</w:t>
      </w:r>
      <w:r w:rsidR="00E256A7">
        <w:rPr>
          <w:szCs w:val="26"/>
        </w:rPr>
        <w:t xml:space="preserve"> PORs in the </w:t>
      </w:r>
      <w:r w:rsidR="00E256A7" w:rsidRPr="00A90997">
        <w:rPr>
          <w:i/>
          <w:szCs w:val="26"/>
        </w:rPr>
        <w:t>Default Service Order</w:t>
      </w:r>
      <w:r w:rsidR="00E256A7">
        <w:rPr>
          <w:szCs w:val="26"/>
        </w:rPr>
        <w:t>.  According to the ALJ, Respond has not proven any change of circumstance since the Commission</w:t>
      </w:r>
      <w:r w:rsidR="00E00225">
        <w:rPr>
          <w:szCs w:val="26"/>
        </w:rPr>
        <w:t>’</w:t>
      </w:r>
      <w:r w:rsidR="00E256A7">
        <w:rPr>
          <w:szCs w:val="26"/>
        </w:rPr>
        <w:t>s approval of the Companies</w:t>
      </w:r>
      <w:r w:rsidR="00E00225">
        <w:rPr>
          <w:szCs w:val="26"/>
        </w:rPr>
        <w:t>’</w:t>
      </w:r>
      <w:r w:rsidR="00E256A7">
        <w:rPr>
          <w:szCs w:val="26"/>
        </w:rPr>
        <w:t xml:space="preserve"> </w:t>
      </w:r>
      <w:proofErr w:type="spellStart"/>
      <w:r w:rsidR="00E256A7">
        <w:rPr>
          <w:szCs w:val="26"/>
        </w:rPr>
        <w:t>clawback</w:t>
      </w:r>
      <w:proofErr w:type="spellEnd"/>
      <w:r w:rsidR="00E256A7">
        <w:rPr>
          <w:szCs w:val="26"/>
        </w:rPr>
        <w:t xml:space="preserve"> tariffs that render them unreasonable.  The ALJ further dismissed Respond</w:t>
      </w:r>
      <w:r w:rsidR="00E00225">
        <w:rPr>
          <w:szCs w:val="26"/>
        </w:rPr>
        <w:t>’</w:t>
      </w:r>
      <w:r w:rsidR="00E256A7">
        <w:rPr>
          <w:szCs w:val="26"/>
        </w:rPr>
        <w:t xml:space="preserve">s arguments that the </w:t>
      </w:r>
      <w:proofErr w:type="spellStart"/>
      <w:r w:rsidR="00E256A7">
        <w:rPr>
          <w:szCs w:val="26"/>
        </w:rPr>
        <w:t>clawback</w:t>
      </w:r>
      <w:proofErr w:type="spellEnd"/>
      <w:r w:rsidR="00E256A7">
        <w:rPr>
          <w:szCs w:val="26"/>
        </w:rPr>
        <w:t xml:space="preserve"> tariff provisions were unreasonable when the Commission approved them, and that</w:t>
      </w:r>
      <w:r>
        <w:rPr>
          <w:szCs w:val="26"/>
        </w:rPr>
        <w:t>,</w:t>
      </w:r>
      <w:r w:rsidR="00E256A7">
        <w:rPr>
          <w:szCs w:val="26"/>
        </w:rPr>
        <w:t xml:space="preserve"> among other things, tariff provisions previously approved by the Commission are </w:t>
      </w:r>
      <w:r w:rsidR="00E256A7" w:rsidRPr="002B0ADE">
        <w:rPr>
          <w:i/>
          <w:szCs w:val="26"/>
        </w:rPr>
        <w:t>prima facie</w:t>
      </w:r>
      <w:r w:rsidR="00E256A7">
        <w:rPr>
          <w:szCs w:val="26"/>
        </w:rPr>
        <w:t xml:space="preserve"> reasonable.</w:t>
      </w:r>
      <w:r w:rsidR="00E256A7">
        <w:rPr>
          <w:rStyle w:val="FootnoteReference"/>
          <w:szCs w:val="26"/>
        </w:rPr>
        <w:footnoteReference w:id="14"/>
      </w:r>
      <w:r w:rsidR="00E256A7">
        <w:rPr>
          <w:szCs w:val="26"/>
        </w:rPr>
        <w:t xml:space="preserve">  I.D. at 27</w:t>
      </w:r>
      <w:r w:rsidR="00E256A7">
        <w:rPr>
          <w:color w:val="000000"/>
          <w:szCs w:val="26"/>
        </w:rPr>
        <w:t xml:space="preserve">-28.  The ALJ noted that the Commission approved the implementation of the </w:t>
      </w:r>
      <w:proofErr w:type="spellStart"/>
      <w:r w:rsidR="00E256A7">
        <w:rPr>
          <w:color w:val="000000"/>
          <w:szCs w:val="26"/>
        </w:rPr>
        <w:t>clawback</w:t>
      </w:r>
      <w:proofErr w:type="spellEnd"/>
      <w:r w:rsidR="00E256A7">
        <w:rPr>
          <w:color w:val="000000"/>
          <w:szCs w:val="26"/>
        </w:rPr>
        <w:t xml:space="preserve"> provisions as part of the DSP IV proceedings</w:t>
      </w:r>
      <w:r w:rsidR="00F0450B">
        <w:rPr>
          <w:color w:val="000000"/>
          <w:szCs w:val="26"/>
        </w:rPr>
        <w:t>,</w:t>
      </w:r>
      <w:r w:rsidR="00E256A7">
        <w:rPr>
          <w:color w:val="000000"/>
          <w:szCs w:val="26"/>
        </w:rPr>
        <w:t xml:space="preserve"> and no party to the proceedings appealed the Commission</w:t>
      </w:r>
      <w:r w:rsidR="00E00225">
        <w:rPr>
          <w:color w:val="000000"/>
          <w:szCs w:val="26"/>
        </w:rPr>
        <w:t>’</w:t>
      </w:r>
      <w:r w:rsidR="00E256A7">
        <w:rPr>
          <w:color w:val="000000"/>
          <w:szCs w:val="26"/>
        </w:rPr>
        <w:t>s approval of the tariff.  Therefore, according to the ALJ, the Companies</w:t>
      </w:r>
      <w:r w:rsidR="00E00225">
        <w:rPr>
          <w:color w:val="000000"/>
          <w:szCs w:val="26"/>
        </w:rPr>
        <w:t>’</w:t>
      </w:r>
      <w:r w:rsidR="00E256A7">
        <w:rPr>
          <w:color w:val="000000"/>
          <w:szCs w:val="26"/>
        </w:rPr>
        <w:t xml:space="preserve"> </w:t>
      </w:r>
      <w:proofErr w:type="spellStart"/>
      <w:r w:rsidR="00E256A7">
        <w:rPr>
          <w:color w:val="000000"/>
          <w:szCs w:val="26"/>
        </w:rPr>
        <w:t>clawback</w:t>
      </w:r>
      <w:proofErr w:type="spellEnd"/>
      <w:r w:rsidR="00E256A7">
        <w:rPr>
          <w:color w:val="000000"/>
          <w:szCs w:val="26"/>
        </w:rPr>
        <w:t xml:space="preserve"> provision tariffs have the force and effect of law and are binding on Respond and the Companies.  </w:t>
      </w:r>
      <w:r w:rsidR="00E256A7" w:rsidRPr="00BA16F2">
        <w:rPr>
          <w:i/>
          <w:szCs w:val="26"/>
        </w:rPr>
        <w:t>Id.</w:t>
      </w:r>
      <w:r w:rsidR="00E256A7">
        <w:rPr>
          <w:szCs w:val="26"/>
        </w:rPr>
        <w:t xml:space="preserve"> at </w:t>
      </w:r>
      <w:r w:rsidR="00E256A7">
        <w:rPr>
          <w:color w:val="000000"/>
          <w:szCs w:val="26"/>
        </w:rPr>
        <w:t>28.</w:t>
      </w:r>
    </w:p>
    <w:p w14:paraId="7AA80C38" w14:textId="77777777" w:rsidR="00E256A7" w:rsidRDefault="00E256A7" w:rsidP="00CC0155">
      <w:pPr>
        <w:rPr>
          <w:color w:val="000000"/>
          <w:szCs w:val="26"/>
        </w:rPr>
      </w:pPr>
    </w:p>
    <w:p w14:paraId="5F9AEABC" w14:textId="0199D025" w:rsidR="000C3C91" w:rsidRDefault="00E256A7" w:rsidP="00CC0155">
      <w:pPr>
        <w:rPr>
          <w:szCs w:val="26"/>
        </w:rPr>
      </w:pPr>
      <w:r>
        <w:rPr>
          <w:color w:val="000000"/>
          <w:szCs w:val="26"/>
        </w:rPr>
        <w:t xml:space="preserve">Moreover, the ALJ noted that the evidence Respond presented in this proceeding did not address changes in facts or circumstances that occurred since the issuance of the </w:t>
      </w:r>
      <w:r w:rsidRPr="00A90997">
        <w:rPr>
          <w:i/>
          <w:szCs w:val="26"/>
        </w:rPr>
        <w:t>Default Service Order</w:t>
      </w:r>
      <w:r>
        <w:rPr>
          <w:szCs w:val="26"/>
        </w:rPr>
        <w:t>.  Rather, Respond</w:t>
      </w:r>
      <w:r w:rsidR="00E00225">
        <w:rPr>
          <w:szCs w:val="26"/>
        </w:rPr>
        <w:t>’</w:t>
      </w:r>
      <w:r>
        <w:rPr>
          <w:szCs w:val="26"/>
        </w:rPr>
        <w:t>s alleged facts and circumstances existed prior to the Commission</w:t>
      </w:r>
      <w:r w:rsidR="00E00225">
        <w:rPr>
          <w:szCs w:val="26"/>
        </w:rPr>
        <w:t>’</w:t>
      </w:r>
      <w:r>
        <w:rPr>
          <w:szCs w:val="26"/>
        </w:rPr>
        <w:t xml:space="preserve">s issuance of the </w:t>
      </w:r>
      <w:r w:rsidRPr="00A90997">
        <w:rPr>
          <w:i/>
          <w:szCs w:val="26"/>
        </w:rPr>
        <w:t>Default Service Order</w:t>
      </w:r>
      <w:r>
        <w:rPr>
          <w:szCs w:val="26"/>
        </w:rPr>
        <w:t xml:space="preserve">.  The ALJ further noted that Respond has not presented any evidence in this proceeding to demonstrate that the </w:t>
      </w:r>
      <w:proofErr w:type="spellStart"/>
      <w:r>
        <w:rPr>
          <w:szCs w:val="26"/>
        </w:rPr>
        <w:t>clawback</w:t>
      </w:r>
      <w:proofErr w:type="spellEnd"/>
      <w:r>
        <w:rPr>
          <w:szCs w:val="26"/>
        </w:rPr>
        <w:t xml:space="preserve"> charges are unreasonable because the Companies miscalculated the amounts of the 2016 and 2017 </w:t>
      </w:r>
      <w:proofErr w:type="spellStart"/>
      <w:r>
        <w:rPr>
          <w:szCs w:val="26"/>
        </w:rPr>
        <w:t>clawback</w:t>
      </w:r>
      <w:proofErr w:type="spellEnd"/>
      <w:r>
        <w:rPr>
          <w:szCs w:val="26"/>
        </w:rPr>
        <w:t xml:space="preserve"> charges.  On the other hand, according to the ALJ, the Companies have not only demonstrated that they applied the two prongs of the </w:t>
      </w:r>
      <w:proofErr w:type="spellStart"/>
      <w:r>
        <w:rPr>
          <w:szCs w:val="26"/>
        </w:rPr>
        <w:t>clawback</w:t>
      </w:r>
      <w:proofErr w:type="spellEnd"/>
      <w:r>
        <w:rPr>
          <w:szCs w:val="26"/>
        </w:rPr>
        <w:t xml:space="preserve"> provisions to all EGSs serving residential and small business </w:t>
      </w:r>
      <w:r>
        <w:rPr>
          <w:szCs w:val="26"/>
        </w:rPr>
        <w:lastRenderedPageBreak/>
        <w:t xml:space="preserve">customers in their service territories, but they provided Respond with information explaining how they calculated the 2016 and 2017 </w:t>
      </w:r>
      <w:proofErr w:type="spellStart"/>
      <w:r>
        <w:rPr>
          <w:szCs w:val="26"/>
        </w:rPr>
        <w:t>clawback</w:t>
      </w:r>
      <w:proofErr w:type="spellEnd"/>
      <w:r>
        <w:rPr>
          <w:szCs w:val="26"/>
        </w:rPr>
        <w:t xml:space="preserve"> charges.</w:t>
      </w:r>
      <w:r>
        <w:rPr>
          <w:rStyle w:val="FootnoteReference"/>
          <w:szCs w:val="26"/>
        </w:rPr>
        <w:footnoteReference w:id="15"/>
      </w:r>
      <w:r>
        <w:rPr>
          <w:szCs w:val="26"/>
        </w:rPr>
        <w:t xml:space="preserve">  </w:t>
      </w:r>
      <w:r w:rsidRPr="00BA16F2">
        <w:rPr>
          <w:i/>
          <w:szCs w:val="26"/>
        </w:rPr>
        <w:t>Id.</w:t>
      </w:r>
      <w:r>
        <w:rPr>
          <w:szCs w:val="26"/>
        </w:rPr>
        <w:t xml:space="preserve"> at 29</w:t>
      </w:r>
      <w:r>
        <w:rPr>
          <w:color w:val="000000"/>
          <w:szCs w:val="26"/>
        </w:rPr>
        <w:t>.</w:t>
      </w:r>
    </w:p>
    <w:p w14:paraId="1699E8DF" w14:textId="77777777" w:rsidR="000C3C91" w:rsidRDefault="000C3C91" w:rsidP="00CC0155">
      <w:pPr>
        <w:rPr>
          <w:szCs w:val="26"/>
        </w:rPr>
      </w:pPr>
    </w:p>
    <w:p w14:paraId="2710AC6A" w14:textId="38DA1D61" w:rsidR="00E256A7" w:rsidRPr="00E41838" w:rsidRDefault="00F0450B" w:rsidP="00CC0155">
      <w:pPr>
        <w:ind w:left="720" w:firstLine="0"/>
        <w:rPr>
          <w:b/>
          <w:szCs w:val="26"/>
        </w:rPr>
      </w:pPr>
      <w:r>
        <w:rPr>
          <w:b/>
          <w:szCs w:val="26"/>
        </w:rPr>
        <w:t>5.</w:t>
      </w:r>
      <w:r>
        <w:rPr>
          <w:b/>
          <w:szCs w:val="26"/>
        </w:rPr>
        <w:tab/>
      </w:r>
      <w:r w:rsidR="000C3C91" w:rsidRPr="00E41838">
        <w:rPr>
          <w:b/>
          <w:szCs w:val="26"/>
        </w:rPr>
        <w:t>St</w:t>
      </w:r>
      <w:r w:rsidR="00E256A7" w:rsidRPr="00E41838">
        <w:rPr>
          <w:b/>
          <w:szCs w:val="26"/>
        </w:rPr>
        <w:t xml:space="preserve">ructural Flaws of the </w:t>
      </w:r>
      <w:proofErr w:type="spellStart"/>
      <w:r w:rsidR="00E256A7" w:rsidRPr="00E41838">
        <w:rPr>
          <w:b/>
          <w:szCs w:val="26"/>
        </w:rPr>
        <w:t>Clawback</w:t>
      </w:r>
      <w:proofErr w:type="spellEnd"/>
      <w:r w:rsidR="00E256A7" w:rsidRPr="00E41838">
        <w:rPr>
          <w:b/>
          <w:szCs w:val="26"/>
        </w:rPr>
        <w:t xml:space="preserve"> Mechanism</w:t>
      </w:r>
    </w:p>
    <w:p w14:paraId="45B314D5" w14:textId="77777777" w:rsidR="00E256A7" w:rsidRDefault="00E256A7" w:rsidP="00CC0155"/>
    <w:p w14:paraId="5BA8F8DB" w14:textId="279230F3" w:rsidR="000C3C91" w:rsidRDefault="00E256A7" w:rsidP="00CC0155">
      <w:pPr>
        <w:rPr>
          <w:szCs w:val="26"/>
        </w:rPr>
      </w:pPr>
      <w:r>
        <w:rPr>
          <w:szCs w:val="26"/>
        </w:rPr>
        <w:t>The ALJ dismissed Respond</w:t>
      </w:r>
      <w:r w:rsidR="00E00225">
        <w:rPr>
          <w:szCs w:val="26"/>
        </w:rPr>
        <w:t>’</w:t>
      </w:r>
      <w:r>
        <w:rPr>
          <w:szCs w:val="26"/>
        </w:rPr>
        <w:t xml:space="preserve">s argument that there are several structural flaws in the </w:t>
      </w:r>
      <w:proofErr w:type="spellStart"/>
      <w:r>
        <w:rPr>
          <w:szCs w:val="26"/>
        </w:rPr>
        <w:t>clawback</w:t>
      </w:r>
      <w:proofErr w:type="spellEnd"/>
      <w:r>
        <w:rPr>
          <w:szCs w:val="26"/>
        </w:rPr>
        <w:t xml:space="preserve"> mechanism that render its application unreasonable.  According to the ALJ, the evidence presented by Respond failed to demonstrate any changes in facts or circumstances that occurred since the Commission issued the </w:t>
      </w:r>
      <w:r w:rsidRPr="00A90997">
        <w:rPr>
          <w:i/>
          <w:szCs w:val="26"/>
        </w:rPr>
        <w:t>Default Service Order</w:t>
      </w:r>
      <w:r>
        <w:rPr>
          <w:szCs w:val="26"/>
        </w:rPr>
        <w:t>.  The ALJ reiterated that, pursuant to 66 Pa. C.S. § 316, Respond is barred from raising these issues at this time due to its failure to intervene and raise these arguments during the DSP</w:t>
      </w:r>
      <w:r w:rsidR="00F0450B">
        <w:rPr>
          <w:szCs w:val="26"/>
        </w:rPr>
        <w:t> </w:t>
      </w:r>
      <w:r>
        <w:rPr>
          <w:szCs w:val="26"/>
        </w:rPr>
        <w:t>IV proceedings.  I.D. at 36.  The ALJ also dismissed Respond</w:t>
      </w:r>
      <w:r w:rsidR="00E00225">
        <w:rPr>
          <w:szCs w:val="26"/>
        </w:rPr>
        <w:t>’</w:t>
      </w:r>
      <w:r>
        <w:rPr>
          <w:szCs w:val="26"/>
        </w:rPr>
        <w:t xml:space="preserve">s argument that the prong of the </w:t>
      </w:r>
      <w:proofErr w:type="spellStart"/>
      <w:r>
        <w:rPr>
          <w:szCs w:val="26"/>
        </w:rPr>
        <w:t>clawback</w:t>
      </w:r>
      <w:proofErr w:type="spellEnd"/>
      <w:r>
        <w:rPr>
          <w:szCs w:val="26"/>
        </w:rPr>
        <w:t xml:space="preserve"> charges that considers EGS pricing over a twelve-month period operates to limit EGS prices.  Reiterating the Companies</w:t>
      </w:r>
      <w:r w:rsidR="00E00225">
        <w:rPr>
          <w:szCs w:val="26"/>
        </w:rPr>
        <w:t>’</w:t>
      </w:r>
      <w:r>
        <w:rPr>
          <w:szCs w:val="26"/>
        </w:rPr>
        <w:t xml:space="preserve"> argument, the ALJ noted that the EGS</w:t>
      </w:r>
      <w:r w:rsidR="00E00225">
        <w:rPr>
          <w:szCs w:val="26"/>
        </w:rPr>
        <w:t>’</w:t>
      </w:r>
      <w:r>
        <w:rPr>
          <w:szCs w:val="26"/>
        </w:rPr>
        <w:t xml:space="preserve">s price is only one of two screenings used in the </w:t>
      </w:r>
      <w:proofErr w:type="spellStart"/>
      <w:r>
        <w:rPr>
          <w:szCs w:val="26"/>
        </w:rPr>
        <w:t>clawback</w:t>
      </w:r>
      <w:proofErr w:type="spellEnd"/>
      <w:r>
        <w:rPr>
          <w:szCs w:val="26"/>
        </w:rPr>
        <w:t xml:space="preserve"> provision and that there were some EGSs that charged prices that exceeded 150% of the PTC but were not subject to the </w:t>
      </w:r>
      <w:proofErr w:type="spellStart"/>
      <w:r>
        <w:rPr>
          <w:szCs w:val="26"/>
        </w:rPr>
        <w:t>clawback</w:t>
      </w:r>
      <w:proofErr w:type="spellEnd"/>
      <w:r>
        <w:rPr>
          <w:szCs w:val="26"/>
        </w:rPr>
        <w:t xml:space="preserve"> charges.</w:t>
      </w:r>
    </w:p>
    <w:p w14:paraId="003CB8B7" w14:textId="77777777" w:rsidR="000C3C91" w:rsidRDefault="000C3C91" w:rsidP="00CC0155">
      <w:pPr>
        <w:rPr>
          <w:szCs w:val="26"/>
        </w:rPr>
      </w:pPr>
    </w:p>
    <w:p w14:paraId="38C15D3B" w14:textId="2E6CA3F7" w:rsidR="00E256A7" w:rsidRDefault="000C3C91" w:rsidP="00CC0155">
      <w:pPr>
        <w:rPr>
          <w:szCs w:val="26"/>
        </w:rPr>
      </w:pPr>
      <w:r>
        <w:rPr>
          <w:szCs w:val="26"/>
        </w:rPr>
        <w:t>M</w:t>
      </w:r>
      <w:r w:rsidR="00E256A7">
        <w:rPr>
          <w:szCs w:val="26"/>
        </w:rPr>
        <w:t xml:space="preserve">ore importantly, the ALJ opined that Respond failed to provide any evidence to demonstrate any changes in facts or circumstances that have occurred since the Commission issued the </w:t>
      </w:r>
      <w:r w:rsidR="00E256A7" w:rsidRPr="00A90997">
        <w:rPr>
          <w:i/>
          <w:szCs w:val="26"/>
        </w:rPr>
        <w:t>Default Service Order</w:t>
      </w:r>
      <w:r w:rsidR="00E256A7">
        <w:rPr>
          <w:szCs w:val="26"/>
        </w:rPr>
        <w:t>.  Therefore, the ALJ reiterated that Respond</w:t>
      </w:r>
      <w:r w:rsidR="00E00225">
        <w:rPr>
          <w:szCs w:val="26"/>
        </w:rPr>
        <w:t>’</w:t>
      </w:r>
      <w:r w:rsidR="00E256A7">
        <w:rPr>
          <w:szCs w:val="26"/>
        </w:rPr>
        <w:t xml:space="preserve">s arguments </w:t>
      </w:r>
      <w:r>
        <w:rPr>
          <w:szCs w:val="26"/>
        </w:rPr>
        <w:t xml:space="preserve">additionally </w:t>
      </w:r>
      <w:r w:rsidR="00E256A7">
        <w:rPr>
          <w:szCs w:val="26"/>
        </w:rPr>
        <w:t>constitute</w:t>
      </w:r>
      <w:r>
        <w:rPr>
          <w:szCs w:val="26"/>
        </w:rPr>
        <w:t>d</w:t>
      </w:r>
      <w:r w:rsidR="00E256A7">
        <w:rPr>
          <w:szCs w:val="26"/>
        </w:rPr>
        <w:t xml:space="preserve"> a collateral attack on the </w:t>
      </w:r>
      <w:r w:rsidR="00E256A7" w:rsidRPr="00A90997">
        <w:rPr>
          <w:i/>
          <w:szCs w:val="26"/>
        </w:rPr>
        <w:t>Default Service Order</w:t>
      </w:r>
      <w:r w:rsidR="00E256A7">
        <w:rPr>
          <w:szCs w:val="26"/>
        </w:rPr>
        <w:t xml:space="preserve"> and that pursuant to 66 Pa. C.S. § 316, Respond </w:t>
      </w:r>
      <w:r>
        <w:rPr>
          <w:szCs w:val="26"/>
        </w:rPr>
        <w:t>wa</w:t>
      </w:r>
      <w:r w:rsidR="00E256A7">
        <w:rPr>
          <w:szCs w:val="26"/>
        </w:rPr>
        <w:t xml:space="preserve">s barred from raising these issues at this time due to its failure to intervene and raise these arguments in the DSP IV proceedings.  </w:t>
      </w:r>
      <w:r w:rsidR="00E256A7" w:rsidRPr="00727B4B">
        <w:rPr>
          <w:i/>
          <w:szCs w:val="26"/>
        </w:rPr>
        <w:t>Id.</w:t>
      </w:r>
      <w:r w:rsidR="00E256A7">
        <w:rPr>
          <w:szCs w:val="26"/>
        </w:rPr>
        <w:t xml:space="preserve">  at 36-37.</w:t>
      </w:r>
    </w:p>
    <w:p w14:paraId="6C8406EC" w14:textId="6167B81A" w:rsidR="00FF0BD2" w:rsidRPr="00117CC1" w:rsidRDefault="00002563" w:rsidP="00F71658">
      <w:pPr>
        <w:pStyle w:val="Heading2"/>
        <w:numPr>
          <w:ilvl w:val="0"/>
          <w:numId w:val="0"/>
        </w:numPr>
        <w:spacing w:line="360" w:lineRule="auto"/>
        <w:rPr>
          <w:sz w:val="26"/>
        </w:rPr>
      </w:pPr>
      <w:bookmarkStart w:id="4" w:name="_Toc415316185"/>
      <w:r>
        <w:rPr>
          <w:sz w:val="26"/>
        </w:rPr>
        <w:lastRenderedPageBreak/>
        <w:t>C</w:t>
      </w:r>
      <w:r w:rsidR="00C759EB">
        <w:rPr>
          <w:sz w:val="26"/>
        </w:rPr>
        <w:t>.</w:t>
      </w:r>
      <w:r w:rsidR="00C759EB">
        <w:rPr>
          <w:sz w:val="26"/>
        </w:rPr>
        <w:tab/>
      </w:r>
      <w:r w:rsidR="00FF0BD2" w:rsidRPr="00117CC1">
        <w:rPr>
          <w:sz w:val="26"/>
        </w:rPr>
        <w:t>Exceptions to the Recommended Decision</w:t>
      </w:r>
      <w:bookmarkEnd w:id="4"/>
      <w:r w:rsidR="00A557B3">
        <w:rPr>
          <w:sz w:val="26"/>
        </w:rPr>
        <w:t xml:space="preserve"> and Dispositions</w:t>
      </w:r>
    </w:p>
    <w:p w14:paraId="200A8F3C" w14:textId="77777777" w:rsidR="00FF0BD2" w:rsidRPr="00117CC1" w:rsidRDefault="00FF0BD2" w:rsidP="00195B95">
      <w:pPr>
        <w:keepNext/>
      </w:pPr>
    </w:p>
    <w:p w14:paraId="5025C23E" w14:textId="08E38495" w:rsidR="007510AA" w:rsidRDefault="004A23B4" w:rsidP="00CC0155">
      <w:pPr>
        <w:rPr>
          <w:szCs w:val="26"/>
        </w:rPr>
      </w:pPr>
      <w:r w:rsidRPr="00117CC1">
        <w:rPr>
          <w:szCs w:val="26"/>
        </w:rPr>
        <w:t xml:space="preserve">Before addressing the Exceptions, we </w:t>
      </w:r>
      <w:r w:rsidR="000C3C91">
        <w:rPr>
          <w:szCs w:val="26"/>
        </w:rPr>
        <w:t>advise the Parties</w:t>
      </w:r>
      <w:r w:rsidRPr="00117CC1">
        <w:rPr>
          <w:szCs w:val="26"/>
        </w:rPr>
        <w:t xml:space="preserve"> that any issue or </w:t>
      </w:r>
      <w:r w:rsidR="000C3C91">
        <w:rPr>
          <w:szCs w:val="26"/>
        </w:rPr>
        <w:t xml:space="preserve">argument </w:t>
      </w:r>
      <w:r w:rsidRPr="00117CC1">
        <w:rPr>
          <w:szCs w:val="26"/>
        </w:rPr>
        <w:t xml:space="preserve">that we do not specifically delineate shall be deemed to have been duly considered and denied without further discussion.  The Commission is not required to consider expressly or at length each contention or argument raised by the parties.  </w:t>
      </w:r>
      <w:hyperlink r:id="rId11" w:history="1">
        <w:r w:rsidRPr="00117CC1">
          <w:rPr>
            <w:rStyle w:val="Emphasis"/>
            <w:color w:val="000000"/>
            <w:szCs w:val="26"/>
          </w:rPr>
          <w:t xml:space="preserve">Consolidated Rail Corp. v. Pa. PUC, </w:t>
        </w:r>
        <w:r w:rsidRPr="00117CC1">
          <w:rPr>
            <w:rStyle w:val="Hyperlink"/>
            <w:color w:val="000000"/>
            <w:szCs w:val="26"/>
          </w:rPr>
          <w:t xml:space="preserve">625 A.2d 741 (Pa. </w:t>
        </w:r>
        <w:proofErr w:type="spellStart"/>
        <w:r w:rsidRPr="00117CC1">
          <w:rPr>
            <w:rStyle w:val="Hyperlink"/>
            <w:color w:val="000000"/>
            <w:szCs w:val="26"/>
          </w:rPr>
          <w:t>Cmwlth</w:t>
        </w:r>
        <w:proofErr w:type="spellEnd"/>
        <w:r w:rsidRPr="00117CC1">
          <w:rPr>
            <w:rStyle w:val="Hyperlink"/>
            <w:color w:val="000000"/>
            <w:szCs w:val="26"/>
          </w:rPr>
          <w:t>. 1993);</w:t>
        </w:r>
      </w:hyperlink>
      <w:r w:rsidRPr="00117CC1">
        <w:rPr>
          <w:color w:val="000000"/>
          <w:szCs w:val="26"/>
        </w:rPr>
        <w:t xml:space="preserve"> </w:t>
      </w:r>
      <w:r w:rsidRPr="00117CC1">
        <w:rPr>
          <w:i/>
          <w:color w:val="000000"/>
          <w:szCs w:val="26"/>
        </w:rPr>
        <w:t xml:space="preserve">also </w:t>
      </w:r>
      <w:r w:rsidRPr="00117CC1">
        <w:rPr>
          <w:rStyle w:val="Emphasis"/>
          <w:color w:val="000000"/>
          <w:szCs w:val="26"/>
        </w:rPr>
        <w:t xml:space="preserve">see, generally, </w:t>
      </w:r>
      <w:hyperlink r:id="rId12" w:history="1">
        <w:r w:rsidRPr="00117CC1">
          <w:rPr>
            <w:rStyle w:val="Emphasis"/>
            <w:color w:val="000000"/>
            <w:szCs w:val="26"/>
          </w:rPr>
          <w:t>University of Pennsylvania v. Pa. PUC</w:t>
        </w:r>
        <w:r w:rsidRPr="00117CC1">
          <w:rPr>
            <w:rStyle w:val="Hyperlink"/>
            <w:color w:val="000000"/>
            <w:szCs w:val="26"/>
          </w:rPr>
          <w:t xml:space="preserve">, 485 A.2d 1217 (Pa. </w:t>
        </w:r>
        <w:proofErr w:type="spellStart"/>
        <w:r w:rsidRPr="00117CC1">
          <w:rPr>
            <w:rStyle w:val="Hyperlink"/>
            <w:color w:val="000000"/>
            <w:szCs w:val="26"/>
          </w:rPr>
          <w:t>Cmwlth</w:t>
        </w:r>
        <w:proofErr w:type="spellEnd"/>
        <w:r w:rsidRPr="00117CC1">
          <w:rPr>
            <w:rStyle w:val="Hyperlink"/>
            <w:color w:val="000000"/>
            <w:szCs w:val="26"/>
          </w:rPr>
          <w:t>. 1984).</w:t>
        </w:r>
      </w:hyperlink>
      <w:r w:rsidRPr="00117CC1">
        <w:rPr>
          <w:szCs w:val="26"/>
        </w:rPr>
        <w:t xml:space="preserve"> </w:t>
      </w:r>
    </w:p>
    <w:p w14:paraId="7DADE65E" w14:textId="77777777" w:rsidR="00664713" w:rsidRPr="00117CC1" w:rsidRDefault="00664713" w:rsidP="00CC0155">
      <w:pPr>
        <w:rPr>
          <w:szCs w:val="26"/>
        </w:rPr>
      </w:pPr>
    </w:p>
    <w:p w14:paraId="49E9AA1A" w14:textId="76052B88" w:rsidR="00D01D60" w:rsidRPr="00117CC1" w:rsidRDefault="00C85DAE" w:rsidP="00F71658">
      <w:pPr>
        <w:pStyle w:val="Heading4"/>
        <w:keepLines/>
        <w:numPr>
          <w:ilvl w:val="0"/>
          <w:numId w:val="0"/>
        </w:numPr>
        <w:spacing w:line="360" w:lineRule="auto"/>
        <w:ind w:firstLine="720"/>
      </w:pPr>
      <w:r>
        <w:t>1.</w:t>
      </w:r>
      <w:r>
        <w:tab/>
      </w:r>
      <w:r w:rsidR="000C3C91">
        <w:t>P</w:t>
      </w:r>
      <w:r w:rsidR="00D01D60" w:rsidRPr="00117CC1">
        <w:t>ositions of the Parties</w:t>
      </w:r>
    </w:p>
    <w:p w14:paraId="242F7213" w14:textId="4E39D74B" w:rsidR="00D75899" w:rsidRDefault="00D75899" w:rsidP="00F71658">
      <w:pPr>
        <w:keepNext/>
        <w:keepLines/>
      </w:pPr>
    </w:p>
    <w:p w14:paraId="1C0545F2" w14:textId="08942EFF" w:rsidR="000C3C91" w:rsidRPr="007A49A9" w:rsidRDefault="00C85DAE" w:rsidP="00F71658">
      <w:pPr>
        <w:keepNext/>
        <w:keepLines/>
        <w:ind w:left="1440" w:firstLine="0"/>
        <w:rPr>
          <w:b/>
        </w:rPr>
      </w:pPr>
      <w:r>
        <w:rPr>
          <w:b/>
          <w:szCs w:val="26"/>
        </w:rPr>
        <w:t>a.</w:t>
      </w:r>
      <w:r>
        <w:rPr>
          <w:b/>
          <w:szCs w:val="26"/>
        </w:rPr>
        <w:tab/>
      </w:r>
      <w:r w:rsidR="000C3C91" w:rsidRPr="007A49A9">
        <w:rPr>
          <w:b/>
        </w:rPr>
        <w:t>Respond</w:t>
      </w:r>
    </w:p>
    <w:p w14:paraId="7E2AE37F" w14:textId="77777777" w:rsidR="00A17956" w:rsidRPr="00A17956" w:rsidRDefault="00A17956" w:rsidP="00F71658">
      <w:pPr>
        <w:pStyle w:val="ListParagraph"/>
        <w:keepNext/>
        <w:keepLines/>
        <w:spacing w:line="360" w:lineRule="auto"/>
        <w:ind w:left="2160" w:firstLine="0"/>
        <w:rPr>
          <w:b/>
        </w:rPr>
      </w:pPr>
    </w:p>
    <w:p w14:paraId="4B381972" w14:textId="18DB1270" w:rsidR="007A7B68" w:rsidRDefault="007A7B68" w:rsidP="00CC0155">
      <w:r>
        <w:t xml:space="preserve">Respond requested that the Commission sustain its Complaints and find that it would be unjust and unreasonable for the Companies to apply supplier tariff provisions to Respond that would result in the payment of over $700,000 in </w:t>
      </w:r>
      <w:proofErr w:type="spellStart"/>
      <w:r>
        <w:t>clawback</w:t>
      </w:r>
      <w:proofErr w:type="spellEnd"/>
      <w:r>
        <w:t xml:space="preserve"> charges in connection to the Companies</w:t>
      </w:r>
      <w:r w:rsidR="00E00225">
        <w:t>’</w:t>
      </w:r>
      <w:r>
        <w:t xml:space="preserve"> POR programs.  </w:t>
      </w:r>
      <w:r w:rsidR="000D0697">
        <w:t xml:space="preserve">Among the several reasons </w:t>
      </w:r>
      <w:r>
        <w:t xml:space="preserve">Respond </w:t>
      </w:r>
      <w:r w:rsidR="0021183A">
        <w:t xml:space="preserve">gave for </w:t>
      </w:r>
      <w:r w:rsidR="000D0697">
        <w:t>request</w:t>
      </w:r>
      <w:r w:rsidR="0021183A">
        <w:t>ing</w:t>
      </w:r>
      <w:r w:rsidR="00106D61">
        <w:t xml:space="preserve"> that its Complaint be sustained</w:t>
      </w:r>
      <w:r w:rsidR="000D0697">
        <w:t xml:space="preserve"> </w:t>
      </w:r>
      <w:r w:rsidR="006526CE">
        <w:t>we</w:t>
      </w:r>
      <w:r w:rsidR="000D0697">
        <w:t>re</w:t>
      </w:r>
      <w:r w:rsidR="00942A91">
        <w:t xml:space="preserve"> that</w:t>
      </w:r>
      <w:r w:rsidR="000D0697">
        <w:t xml:space="preserve">: (1) </w:t>
      </w:r>
      <w:r>
        <w:t>because, as part of their DSP IV plan, the Companies retroactively modified, without notice, the terms and conditions of the Commission-approved POR programs that were in effect as part of the June 1, 2015 through May 31, 2017 DSP III plan period</w:t>
      </w:r>
      <w:r w:rsidR="000D0697">
        <w:t xml:space="preserve">; (2) no </w:t>
      </w:r>
      <w:proofErr w:type="spellStart"/>
      <w:r w:rsidR="000D0697">
        <w:t>clawback</w:t>
      </w:r>
      <w:proofErr w:type="spellEnd"/>
      <w:r w:rsidR="000D0697">
        <w:t xml:space="preserve"> mechanism was proposed until the Companies filed their forward-looking DSP IV plan on November 3, 2015 (during the DSP III program period), to go into effect on June 1, 2017; (3)</w:t>
      </w:r>
      <w:r w:rsidR="00AF1858">
        <w:t xml:space="preserve"> </w:t>
      </w:r>
      <w:r w:rsidR="000D0697">
        <w:t xml:space="preserve">the </w:t>
      </w:r>
      <w:proofErr w:type="spellStart"/>
      <w:r w:rsidR="000D0697">
        <w:t>clawback</w:t>
      </w:r>
      <w:proofErr w:type="spellEnd"/>
      <w:r w:rsidR="000D0697">
        <w:t xml:space="preserve"> mechanism was not approved</w:t>
      </w:r>
      <w:r w:rsidR="006526CE">
        <w:t>, as part of the DSP IV default service program</w:t>
      </w:r>
      <w:r w:rsidR="000D0697">
        <w:t xml:space="preserve"> by the Commission until May 19, 2016; (4) supplier tariffs containing the </w:t>
      </w:r>
      <w:proofErr w:type="spellStart"/>
      <w:r w:rsidR="000D0697">
        <w:t>clawback</w:t>
      </w:r>
      <w:proofErr w:type="spellEnd"/>
      <w:r w:rsidR="000D0697">
        <w:t xml:space="preserve"> mechanism were not filed by the Companies until October 28, 2016</w:t>
      </w:r>
      <w:r w:rsidR="00AE2E11">
        <w:t>,</w:t>
      </w:r>
      <w:r w:rsidR="000D0697">
        <w:t xml:space="preserve"> and were not approved by the Commission until November 10, 2016; (5)</w:t>
      </w:r>
      <w:r w:rsidR="00AF1858">
        <w:t xml:space="preserve"> </w:t>
      </w:r>
      <w:r w:rsidR="000D0697">
        <w:t xml:space="preserve">the </w:t>
      </w:r>
      <w:proofErr w:type="spellStart"/>
      <w:r w:rsidR="000D0697">
        <w:t>clawback</w:t>
      </w:r>
      <w:proofErr w:type="spellEnd"/>
      <w:r w:rsidR="000D0697">
        <w:t xml:space="preserve"> charges were based on write-offs </w:t>
      </w:r>
      <w:r w:rsidR="00106D61">
        <w:t>that dated back to 2013</w:t>
      </w:r>
      <w:r w:rsidR="0082666B">
        <w:t xml:space="preserve"> and that because the </w:t>
      </w:r>
      <w:proofErr w:type="spellStart"/>
      <w:r w:rsidR="0082666B">
        <w:t>clawback</w:t>
      </w:r>
      <w:proofErr w:type="spellEnd"/>
      <w:r w:rsidR="0082666B">
        <w:t xml:space="preserve"> mechanism was not in existence in 2013, 2014, 2015</w:t>
      </w:r>
      <w:r w:rsidR="00AF1858">
        <w:t>,</w:t>
      </w:r>
      <w:r w:rsidR="0082666B">
        <w:t xml:space="preserve"> and for the most of 2016, Respond </w:t>
      </w:r>
      <w:r w:rsidR="0082666B">
        <w:lastRenderedPageBreak/>
        <w:t>participated in the non-recourse POR programs that entire time without any knowledge of or concern about their customers</w:t>
      </w:r>
      <w:r w:rsidR="00E00225">
        <w:t>’</w:t>
      </w:r>
      <w:r w:rsidR="0082666B">
        <w:t xml:space="preserve"> payment patterns; </w:t>
      </w:r>
      <w:r w:rsidR="00AE2E11">
        <w:t xml:space="preserve">and, </w:t>
      </w:r>
      <w:r w:rsidR="0082666B">
        <w:t xml:space="preserve">(6) Respond was unable to obtain customer payment </w:t>
      </w:r>
      <w:r w:rsidR="00773E6E">
        <w:t xml:space="preserve">pattern </w:t>
      </w:r>
      <w:r w:rsidR="0082666B">
        <w:t xml:space="preserve">information </w:t>
      </w:r>
      <w:r w:rsidR="009807CC">
        <w:t xml:space="preserve">from the Companies </w:t>
      </w:r>
      <w:r w:rsidR="0082666B">
        <w:t>until February 7, 2018</w:t>
      </w:r>
      <w:r w:rsidR="009807CC">
        <w:t xml:space="preserve">.  </w:t>
      </w:r>
      <w:r>
        <w:t>Respond M.B. at 1</w:t>
      </w:r>
      <w:r w:rsidR="0082666B">
        <w:t>-3</w:t>
      </w:r>
      <w:r w:rsidR="00F87A08">
        <w:t>, 19-2</w:t>
      </w:r>
      <w:r w:rsidR="00A30744">
        <w:t>0</w:t>
      </w:r>
      <w:r w:rsidR="00F74943">
        <w:t>, 27-34</w:t>
      </w:r>
      <w:r>
        <w:t>.</w:t>
      </w:r>
    </w:p>
    <w:p w14:paraId="4234FC63" w14:textId="77777777" w:rsidR="00773E6E" w:rsidRDefault="00773E6E" w:rsidP="00CC0155"/>
    <w:p w14:paraId="05C330DE" w14:textId="2CF6C1D2" w:rsidR="007A7B68" w:rsidRDefault="00773E6E" w:rsidP="00CC0155">
      <w:r>
        <w:t xml:space="preserve">Respond averred that while it is not opposed to the </w:t>
      </w:r>
      <w:proofErr w:type="spellStart"/>
      <w:r>
        <w:t>clawback</w:t>
      </w:r>
      <w:proofErr w:type="spellEnd"/>
      <w:r>
        <w:t xml:space="preserve"> charge, it is opposed to imposing a </w:t>
      </w:r>
      <w:proofErr w:type="spellStart"/>
      <w:r>
        <w:t>clawback</w:t>
      </w:r>
      <w:proofErr w:type="spellEnd"/>
      <w:r>
        <w:t xml:space="preserve"> charge that did not exist while the data on which it would be based </w:t>
      </w:r>
      <w:r w:rsidR="001D7392">
        <w:t>w</w:t>
      </w:r>
      <w:r w:rsidR="000C3C91">
        <w:t>as</w:t>
      </w:r>
      <w:r w:rsidR="001D7392">
        <w:t xml:space="preserve"> accruing and while Respond was serving customers under the Companies</w:t>
      </w:r>
      <w:r w:rsidR="00E00225">
        <w:t>’</w:t>
      </w:r>
      <w:r w:rsidR="001D7392">
        <w:t xml:space="preserve"> non-recourse POR programs without any knowledge or reason to be concerned that its customers were not paying their bills.  From Respond</w:t>
      </w:r>
      <w:r w:rsidR="00E00225">
        <w:t>’</w:t>
      </w:r>
      <w:r w:rsidR="001D7392">
        <w:t xml:space="preserve">s perspective, these features of the </w:t>
      </w:r>
      <w:proofErr w:type="spellStart"/>
      <w:r w:rsidR="001D7392">
        <w:t>clawback</w:t>
      </w:r>
      <w:proofErr w:type="spellEnd"/>
      <w:r w:rsidR="001D7392">
        <w:t xml:space="preserve"> mechanism</w:t>
      </w:r>
      <w:r w:rsidR="00C92C13">
        <w:t xml:space="preserve"> which </w:t>
      </w:r>
      <w:r w:rsidR="000C3C91">
        <w:t xml:space="preserve">it argues, </w:t>
      </w:r>
      <w:r w:rsidR="00C92C13">
        <w:t>imposes unreasonable charges,</w:t>
      </w:r>
      <w:r w:rsidR="001D7392">
        <w:t xml:space="preserve"> are not only unlawful but they also violate Respond</w:t>
      </w:r>
      <w:r w:rsidR="00E00225">
        <w:t>’</w:t>
      </w:r>
      <w:r w:rsidR="001D7392">
        <w:t xml:space="preserve">s fundamental due process rights and the rules against retroactive ratemaking.  </w:t>
      </w:r>
      <w:r w:rsidR="001D7392" w:rsidRPr="001D7392">
        <w:rPr>
          <w:i/>
        </w:rPr>
        <w:t>Id.</w:t>
      </w:r>
      <w:r w:rsidR="001D7392">
        <w:t xml:space="preserve"> at 3</w:t>
      </w:r>
      <w:r w:rsidR="00CF3E54">
        <w:t>, 34-40</w:t>
      </w:r>
      <w:r w:rsidR="001D7392">
        <w:t>.</w:t>
      </w:r>
      <w:r w:rsidR="00C92C13">
        <w:t xml:space="preserve">  More importantly, Respond identified the following structural flaws it believes renders the </w:t>
      </w:r>
      <w:proofErr w:type="spellStart"/>
      <w:r w:rsidR="00C92C13">
        <w:t>clawback</w:t>
      </w:r>
      <w:proofErr w:type="spellEnd"/>
      <w:r w:rsidR="00C92C13">
        <w:t xml:space="preserve"> mechanism unreasonable: (1) the absence of any notification to EGSs that customers are not paying their supply bills; (2) the ability of EGSs to influence or assist in the Companies</w:t>
      </w:r>
      <w:r w:rsidR="00E00225">
        <w:t>’</w:t>
      </w:r>
      <w:r w:rsidR="00C92C13">
        <w:t xml:space="preserve"> collection efforts, which are largely unsuccessful; (3) the prohibition of EGSs participating in the POR program to deny service to customers for credit-related issues; (4) </w:t>
      </w:r>
      <w:r w:rsidR="00A43BF0">
        <w:t xml:space="preserve">the </w:t>
      </w:r>
      <w:r w:rsidR="00C92C13">
        <w:t>inability of EGS</w:t>
      </w:r>
      <w:r w:rsidR="00AB799A">
        <w:t>s to have any control over the Companies</w:t>
      </w:r>
      <w:r w:rsidR="00E00225">
        <w:t>’</w:t>
      </w:r>
      <w:r w:rsidR="00AB799A">
        <w:t xml:space="preserve"> write-off practices, making them subject to imposition of the </w:t>
      </w:r>
      <w:proofErr w:type="spellStart"/>
      <w:r w:rsidR="00AB799A">
        <w:t>clawback</w:t>
      </w:r>
      <w:proofErr w:type="spellEnd"/>
      <w:r w:rsidR="00AB799A">
        <w:t xml:space="preserve"> charge many years after the supply charges were not paid; (5) the Companies</w:t>
      </w:r>
      <w:r w:rsidR="00E00225">
        <w:t>’</w:t>
      </w:r>
      <w:r w:rsidR="00AB799A">
        <w:t xml:space="preserve"> allocation of partial payments to distribution charges before supply charges; and</w:t>
      </w:r>
      <w:r w:rsidR="00A43BF0">
        <w:t>;</w:t>
      </w:r>
      <w:r w:rsidR="00AB799A">
        <w:t xml:space="preserve"> (6) the improper limits on EGS pricing that is imposed by the </w:t>
      </w:r>
      <w:proofErr w:type="spellStart"/>
      <w:r w:rsidR="00AB799A">
        <w:t>clawback</w:t>
      </w:r>
      <w:proofErr w:type="spellEnd"/>
      <w:r w:rsidR="00AB799A">
        <w:t xml:space="preserve"> mechanism.  </w:t>
      </w:r>
      <w:r w:rsidR="00AB799A" w:rsidRPr="001D7392">
        <w:rPr>
          <w:i/>
        </w:rPr>
        <w:t>Id.</w:t>
      </w:r>
      <w:r w:rsidR="00DE3E50">
        <w:t xml:space="preserve">  Based on all of the above, Respond requested that the Commission declare the </w:t>
      </w:r>
      <w:proofErr w:type="spellStart"/>
      <w:r w:rsidR="00DE3E50">
        <w:t>clawback</w:t>
      </w:r>
      <w:proofErr w:type="spellEnd"/>
      <w:r w:rsidR="00DE3E50">
        <w:t xml:space="preserve"> mechanism null and void and direct the Companies to refrain from imposing the </w:t>
      </w:r>
      <w:proofErr w:type="spellStart"/>
      <w:r w:rsidR="00DE3E50">
        <w:t>clawback</w:t>
      </w:r>
      <w:proofErr w:type="spellEnd"/>
      <w:r w:rsidR="00DE3E50">
        <w:t xml:space="preserve"> charges on Respond that were invoiced in September 2016 and October 2017.  </w:t>
      </w:r>
      <w:r w:rsidR="00DE3E50" w:rsidRPr="001D7392">
        <w:rPr>
          <w:i/>
        </w:rPr>
        <w:t>Id.</w:t>
      </w:r>
      <w:r w:rsidR="00DE3E50">
        <w:t xml:space="preserve"> at 4</w:t>
      </w:r>
      <w:r w:rsidR="00A30744">
        <w:t>, 20-21</w:t>
      </w:r>
      <w:r w:rsidR="00983BB5">
        <w:t>, 26</w:t>
      </w:r>
      <w:r w:rsidR="00CF3E54">
        <w:t>, 40-57</w:t>
      </w:r>
      <w:r w:rsidR="00DE3E50">
        <w:t xml:space="preserve">. </w:t>
      </w:r>
    </w:p>
    <w:p w14:paraId="2BD2FD38" w14:textId="77777777" w:rsidR="003B6D2F" w:rsidRDefault="003B6D2F" w:rsidP="00CC0155"/>
    <w:p w14:paraId="6B198AEF" w14:textId="28DDC4AD" w:rsidR="00756C57" w:rsidRDefault="00B621AF" w:rsidP="00F71658">
      <w:pPr>
        <w:keepNext/>
        <w:keepLines/>
      </w:pPr>
      <w:r>
        <w:rPr>
          <w:b/>
        </w:rPr>
        <w:lastRenderedPageBreak/>
        <w:t>b.</w:t>
      </w:r>
      <w:r w:rsidR="003B6D2F" w:rsidRPr="00C50C35">
        <w:rPr>
          <w:b/>
        </w:rPr>
        <w:tab/>
      </w:r>
      <w:r>
        <w:rPr>
          <w:b/>
        </w:rPr>
        <w:t xml:space="preserve">The </w:t>
      </w:r>
      <w:r w:rsidR="003B6D2F">
        <w:rPr>
          <w:b/>
        </w:rPr>
        <w:t>Companies</w:t>
      </w:r>
    </w:p>
    <w:p w14:paraId="5D24A61D" w14:textId="77777777" w:rsidR="003B6D2F" w:rsidRDefault="003B6D2F" w:rsidP="00F71658">
      <w:pPr>
        <w:keepNext/>
        <w:keepLines/>
      </w:pPr>
    </w:p>
    <w:p w14:paraId="3AEDD99C" w14:textId="5ECEDDE0" w:rsidR="00A17956" w:rsidRDefault="00A36A21" w:rsidP="00CC0155">
      <w:r>
        <w:t>In response, t</w:t>
      </w:r>
      <w:r w:rsidR="00CF3E54">
        <w:t xml:space="preserve">he Companies explained that the </w:t>
      </w:r>
      <w:proofErr w:type="spellStart"/>
      <w:r w:rsidR="00CF3E54">
        <w:t>clawback</w:t>
      </w:r>
      <w:proofErr w:type="spellEnd"/>
      <w:r w:rsidR="00CF3E54">
        <w:t xml:space="preserve"> provision imposes an administrative charge on EGSs that elect to participate in the Companies</w:t>
      </w:r>
      <w:r w:rsidR="00E00225">
        <w:t>’</w:t>
      </w:r>
      <w:r w:rsidR="00CF3E54">
        <w:t xml:space="preserve"> POR programs.  According to the Companies, the charge is applicable to EGSs that operate under a business model that results in their accounts receivables producing a write-off percentage (write-offs for non-payment as a percentage of revenues) that exceeds 200% of each Company</w:t>
      </w:r>
      <w:r w:rsidR="00E00225">
        <w:t>’</w:t>
      </w:r>
      <w:r w:rsidR="00CF3E54">
        <w:t xml:space="preserve">s average EGS write-off percentage and the charged prices </w:t>
      </w:r>
      <w:r w:rsidR="00D324C7">
        <w:t>for generation service that, on average, exceeded 150% of the applicable Company</w:t>
      </w:r>
      <w:r w:rsidR="00E00225">
        <w:t>’</w:t>
      </w:r>
      <w:r w:rsidR="00D324C7">
        <w:t xml:space="preserve">s average Price-to-Compare (PTC).  </w:t>
      </w:r>
      <w:r w:rsidR="00345894">
        <w:t>Companies Briefs at</w:t>
      </w:r>
      <w:r w:rsidR="00D324C7">
        <w:t xml:space="preserve"> 1.</w:t>
      </w:r>
    </w:p>
    <w:p w14:paraId="19842CAD" w14:textId="77777777" w:rsidR="00A17956" w:rsidRDefault="00A17956" w:rsidP="00CC0155"/>
    <w:p w14:paraId="3FCF3394" w14:textId="671F9ACF" w:rsidR="00CF3E54" w:rsidRDefault="00B64DFB" w:rsidP="00CC0155">
      <w:r>
        <w:t xml:space="preserve">The Companies averred that the </w:t>
      </w:r>
      <w:proofErr w:type="spellStart"/>
      <w:r>
        <w:t>clawback</w:t>
      </w:r>
      <w:proofErr w:type="spellEnd"/>
      <w:r>
        <w:t xml:space="preserve"> provision, which was approved by the Commission in its final Order approving the settlement of the Companies</w:t>
      </w:r>
      <w:r w:rsidR="00E00225">
        <w:t>’</w:t>
      </w:r>
      <w:r>
        <w:t xml:space="preserve"> DSP IV proceeding, was served upon Respond.  The Companies contended that not only was Respond served with the DSP IV </w:t>
      </w:r>
      <w:r w:rsidR="00854EA8">
        <w:t xml:space="preserve">Joint </w:t>
      </w:r>
      <w:r>
        <w:t>Petition, but that</w:t>
      </w:r>
      <w:r w:rsidR="00854EA8">
        <w:t xml:space="preserve"> Respond </w:t>
      </w:r>
      <w:r>
        <w:t xml:space="preserve">was </w:t>
      </w:r>
      <w:r w:rsidR="00A43BF0">
        <w:t xml:space="preserve">also </w:t>
      </w:r>
      <w:r>
        <w:t>served with the accompanying direct testimon</w:t>
      </w:r>
      <w:r w:rsidR="00854EA8">
        <w:t>ies</w:t>
      </w:r>
      <w:r>
        <w:t xml:space="preserve">, which described the </w:t>
      </w:r>
      <w:proofErr w:type="spellStart"/>
      <w:r>
        <w:t>clawback</w:t>
      </w:r>
      <w:proofErr w:type="spellEnd"/>
      <w:r>
        <w:t xml:space="preserve"> provision in detail and explained how it would operate.  The Companies stated that while other EGSs and the </w:t>
      </w:r>
      <w:r w:rsidR="00291A81">
        <w:t>Retail Energy</w:t>
      </w:r>
      <w:r w:rsidR="003F464C">
        <w:t xml:space="preserve"> Supply Association (RESA), a </w:t>
      </w:r>
      <w:r>
        <w:t>trade association for EGSs in Pennsylvania</w:t>
      </w:r>
      <w:r w:rsidR="003F464C">
        <w:t xml:space="preserve">, </w:t>
      </w:r>
      <w:r>
        <w:t xml:space="preserve">intervened and actively participated in the proceeding by addressing, among other things, the terms of the </w:t>
      </w:r>
      <w:proofErr w:type="spellStart"/>
      <w:r>
        <w:t>clawback</w:t>
      </w:r>
      <w:proofErr w:type="spellEnd"/>
      <w:r>
        <w:t xml:space="preserve"> charge, Respond chose not to intervene in the </w:t>
      </w:r>
      <w:r w:rsidR="00854EA8">
        <w:t xml:space="preserve">DSP IV </w:t>
      </w:r>
      <w:r>
        <w:t xml:space="preserve">proceedings.  </w:t>
      </w:r>
      <w:r w:rsidRPr="00B64DFB">
        <w:rPr>
          <w:i/>
        </w:rPr>
        <w:t>Id.</w:t>
      </w:r>
      <w:r>
        <w:t xml:space="preserve"> </w:t>
      </w:r>
      <w:r w:rsidR="000E3091">
        <w:t>at 1, 5-7.</w:t>
      </w:r>
    </w:p>
    <w:p w14:paraId="0AFA9906" w14:textId="77777777" w:rsidR="00C76E6A" w:rsidRDefault="00C76E6A" w:rsidP="00CC0155"/>
    <w:p w14:paraId="4ACD3001" w14:textId="4122C556" w:rsidR="00C76E6A" w:rsidRDefault="00C76E6A" w:rsidP="00CC0155">
      <w:r>
        <w:t xml:space="preserve">Additionally, the Companies </w:t>
      </w:r>
      <w:r w:rsidR="002C226C">
        <w:t>replied</w:t>
      </w:r>
      <w:r>
        <w:t xml:space="preserve"> that </w:t>
      </w:r>
      <w:r w:rsidR="0089054A">
        <w:t>subsuming from Respond</w:t>
      </w:r>
      <w:r w:rsidR="00E00225">
        <w:t>’</w:t>
      </w:r>
      <w:r w:rsidR="0089054A">
        <w:t>s argument</w:t>
      </w:r>
      <w:r w:rsidR="00441BD4">
        <w:t>s</w:t>
      </w:r>
      <w:r w:rsidR="0089054A">
        <w:t xml:space="preserve"> that the </w:t>
      </w:r>
      <w:proofErr w:type="spellStart"/>
      <w:r w:rsidR="0089054A">
        <w:t>clawback</w:t>
      </w:r>
      <w:proofErr w:type="spellEnd"/>
      <w:r w:rsidR="0089054A">
        <w:t xml:space="preserve"> provision was buried in the DSP IV </w:t>
      </w:r>
      <w:r w:rsidR="00DE5269">
        <w:t xml:space="preserve">Joint </w:t>
      </w:r>
      <w:r w:rsidR="0089054A">
        <w:t>Petition, Respond</w:t>
      </w:r>
      <w:r w:rsidR="00E00225">
        <w:t>’</w:t>
      </w:r>
      <w:r w:rsidR="0089054A">
        <w:t xml:space="preserve">s failure to read the </w:t>
      </w:r>
      <w:r w:rsidR="00DE5269">
        <w:t>filing</w:t>
      </w:r>
      <w:r w:rsidR="0089054A">
        <w:t xml:space="preserve"> does not give it grounds to collaterally </w:t>
      </w:r>
      <w:r w:rsidR="00A43BF0">
        <w:t xml:space="preserve">attack </w:t>
      </w:r>
      <w:r w:rsidR="0089054A">
        <w:t>the Commission</w:t>
      </w:r>
      <w:r w:rsidR="00E00225">
        <w:t>’</w:t>
      </w:r>
      <w:r w:rsidR="0089054A">
        <w:t xml:space="preserve">s </w:t>
      </w:r>
      <w:r w:rsidR="00862B4A">
        <w:t>f</w:t>
      </w:r>
      <w:r w:rsidR="0089054A">
        <w:t xml:space="preserve">inal </w:t>
      </w:r>
      <w:r w:rsidR="00862B4A">
        <w:t>o</w:t>
      </w:r>
      <w:r w:rsidR="0089054A">
        <w:t xml:space="preserve">rder which approved the DSP IV settlement.  As such, the Companies argued Respond is legally bound by the terms of </w:t>
      </w:r>
      <w:r w:rsidR="00A43BF0">
        <w:t xml:space="preserve">the </w:t>
      </w:r>
      <w:r w:rsidR="00A43BF0" w:rsidRPr="00A43BF0">
        <w:rPr>
          <w:i/>
        </w:rPr>
        <w:t>Default Service</w:t>
      </w:r>
      <w:r w:rsidR="0089054A" w:rsidRPr="00A43BF0">
        <w:rPr>
          <w:i/>
        </w:rPr>
        <w:t xml:space="preserve"> Order</w:t>
      </w:r>
      <w:r w:rsidR="0089054A">
        <w:t xml:space="preserve"> and that Respond cannot lawfully mount an </w:t>
      </w:r>
      <w:r w:rsidR="00E00225">
        <w:t>‘</w:t>
      </w:r>
      <w:r w:rsidR="0089054A">
        <w:t>after-the-fact</w:t>
      </w:r>
      <w:r w:rsidR="00E00225">
        <w:t>’</w:t>
      </w:r>
      <w:r w:rsidR="0089054A">
        <w:t xml:space="preserve"> challenge to the Commission</w:t>
      </w:r>
      <w:r w:rsidR="00E00225">
        <w:t>’</w:t>
      </w:r>
      <w:r w:rsidR="0089054A">
        <w:t xml:space="preserve">s prior approval of the </w:t>
      </w:r>
      <w:proofErr w:type="spellStart"/>
      <w:r w:rsidR="0089054A">
        <w:t>clawback</w:t>
      </w:r>
      <w:proofErr w:type="spellEnd"/>
      <w:r w:rsidR="0089054A">
        <w:t xml:space="preserve"> charge.  </w:t>
      </w:r>
      <w:r w:rsidR="0089054A" w:rsidRPr="00B64DFB">
        <w:rPr>
          <w:i/>
        </w:rPr>
        <w:t>Id.</w:t>
      </w:r>
      <w:r w:rsidR="0089054A">
        <w:t xml:space="preserve"> at 2. </w:t>
      </w:r>
    </w:p>
    <w:p w14:paraId="3CB77260" w14:textId="77777777" w:rsidR="0091620E" w:rsidRDefault="0091620E" w:rsidP="00CC0155"/>
    <w:p w14:paraId="64ABA8CF" w14:textId="6A49A419" w:rsidR="00D87782" w:rsidRDefault="0091620E" w:rsidP="00CC0155">
      <w:r>
        <w:t xml:space="preserve">Specifically, </w:t>
      </w:r>
      <w:r w:rsidR="00304D2A">
        <w:t>the Companies stated that following the Commission</w:t>
      </w:r>
      <w:r w:rsidR="00E00225">
        <w:t>’</w:t>
      </w:r>
      <w:r w:rsidR="00304D2A">
        <w:t xml:space="preserve">s approval of the </w:t>
      </w:r>
      <w:proofErr w:type="spellStart"/>
      <w:r w:rsidR="00304D2A">
        <w:t>clawback</w:t>
      </w:r>
      <w:proofErr w:type="spellEnd"/>
      <w:r w:rsidR="00304D2A">
        <w:t xml:space="preserve"> charge, they applied the screening test under the </w:t>
      </w:r>
      <w:proofErr w:type="spellStart"/>
      <w:r w:rsidR="00304D2A">
        <w:t>clawback</w:t>
      </w:r>
      <w:proofErr w:type="spellEnd"/>
      <w:r w:rsidR="00304D2A">
        <w:t xml:space="preserve"> provision in the same manner to all EGSs serving residential and small commercial customers in their service territories.  The Companies indicated that they first analyzed revenues and write-offs during the applicable test period ending August 31 for each EGS participating in the applicable </w:t>
      </w:r>
      <w:r w:rsidR="00CF35E4">
        <w:t>c</w:t>
      </w:r>
      <w:r w:rsidR="00304D2A">
        <w:t>ompany</w:t>
      </w:r>
      <w:r w:rsidR="00E00225">
        <w:t>’</w:t>
      </w:r>
      <w:r w:rsidR="00304D2A">
        <w:t xml:space="preserve">s POR program to calculate individual write-off percentages and the overall average EGS write-off percentage. </w:t>
      </w:r>
      <w:r w:rsidR="00DD5A89">
        <w:t xml:space="preserve"> </w:t>
      </w:r>
      <w:r w:rsidR="008542A1">
        <w:t xml:space="preserve">The Companies next calculated an average rate for each EGS based on its revenues and kilowatt-hours sold over the applicable twelve-month test period and compared that rate to 150% of the weighted average quarterly PTCs for residential and small commercial customers over the same period.  According to the Companies, for those EGSs identified by both prongs of the test, the annual </w:t>
      </w:r>
      <w:proofErr w:type="spellStart"/>
      <w:r w:rsidR="008542A1">
        <w:t>clawback</w:t>
      </w:r>
      <w:proofErr w:type="spellEnd"/>
      <w:r w:rsidR="008542A1">
        <w:t xml:space="preserve"> charge assessed is the difference between the EGS</w:t>
      </w:r>
      <w:r w:rsidR="00E00225">
        <w:t>’</w:t>
      </w:r>
      <w:r w:rsidR="008542A1">
        <w:t xml:space="preserve">s actual write-offs and what </w:t>
      </w:r>
      <w:r w:rsidR="001D38CA">
        <w:t>its write-offs would be if calculated at 200% of the average EGS</w:t>
      </w:r>
      <w:r w:rsidR="00CF35E4">
        <w:t xml:space="preserve"> write-off percentage for each company.  </w:t>
      </w:r>
      <w:r w:rsidR="00D87782" w:rsidRPr="00B64DFB">
        <w:rPr>
          <w:i/>
        </w:rPr>
        <w:t>Id.</w:t>
      </w:r>
      <w:r w:rsidR="00D87782">
        <w:t xml:space="preserve"> at 7-8, Companies St. 1 at 18-19.</w:t>
      </w:r>
    </w:p>
    <w:p w14:paraId="28780888" w14:textId="77777777" w:rsidR="00D87782" w:rsidRDefault="00D87782" w:rsidP="00CC0155"/>
    <w:p w14:paraId="21E6134E" w14:textId="6DF94610" w:rsidR="00DD5A89" w:rsidRDefault="00CF35E4" w:rsidP="00CC0155">
      <w:pPr>
        <w:rPr>
          <w:szCs w:val="26"/>
        </w:rPr>
      </w:pPr>
      <w:r>
        <w:t xml:space="preserve">Further, the Companies </w:t>
      </w:r>
      <w:r w:rsidR="00D87782">
        <w:t xml:space="preserve">stated that for the twelve months ended August 31, 2016, they </w:t>
      </w:r>
      <w:r w:rsidR="004A2087">
        <w:t xml:space="preserve">identified Respond and two other EGSs that were subject to </w:t>
      </w:r>
      <w:proofErr w:type="spellStart"/>
      <w:r w:rsidR="004A2087">
        <w:t>clawback</w:t>
      </w:r>
      <w:proofErr w:type="spellEnd"/>
      <w:r w:rsidR="004A2087">
        <w:t xml:space="preserve"> charges</w:t>
      </w:r>
      <w:r w:rsidR="00DD5A89">
        <w:t>.  The Companies, therefore,</w:t>
      </w:r>
      <w:r w:rsidR="004A2087">
        <w:t xml:space="preserve"> calculated Respond</w:t>
      </w:r>
      <w:r w:rsidR="00E00225">
        <w:t>’</w:t>
      </w:r>
      <w:r w:rsidR="004A2087">
        <w:t xml:space="preserve">s charges of $305,890.63 and $178,907.06 for Penelec and West Penn, respectively.  In addition, </w:t>
      </w:r>
      <w:r w:rsidR="00F573E0">
        <w:t xml:space="preserve">based on their analyses, </w:t>
      </w:r>
      <w:r w:rsidR="009C55AF">
        <w:t xml:space="preserve">the Companies stated that </w:t>
      </w:r>
      <w:r w:rsidR="004A2087">
        <w:t xml:space="preserve">for the twelve months ended August 31, 2017, </w:t>
      </w:r>
      <w:r w:rsidR="009C55AF">
        <w:t xml:space="preserve">Respond also satisfied both prongs of the screening test, along with two other </w:t>
      </w:r>
      <w:r w:rsidR="00F573E0">
        <w:t>EGSs.  Therefore, on September 29, 2017, Penelec and West Penn issued Respond invoices for the amounts of $142,973.13 and $68,039.41, respectively.</w:t>
      </w:r>
      <w:r w:rsidR="001D7227">
        <w:t xml:space="preserve">  According to the Companies, these invoices are write-offs over 200% of the EGS average write-off percentage for each respective company.  </w:t>
      </w:r>
      <w:r w:rsidR="001D7227" w:rsidRPr="00B64DFB">
        <w:rPr>
          <w:i/>
        </w:rPr>
        <w:t>Id.</w:t>
      </w:r>
      <w:r w:rsidR="001D7227">
        <w:t xml:space="preserve"> at 8.  </w:t>
      </w:r>
      <w:r w:rsidR="00804DD2">
        <w:t>From the Companies</w:t>
      </w:r>
      <w:r w:rsidR="00E00225">
        <w:t>’</w:t>
      </w:r>
      <w:r w:rsidR="00804DD2">
        <w:t xml:space="preserve"> perspective, any charges under the </w:t>
      </w:r>
      <w:proofErr w:type="spellStart"/>
      <w:r w:rsidR="00804DD2">
        <w:t>clawback</w:t>
      </w:r>
      <w:proofErr w:type="spellEnd"/>
      <w:r w:rsidR="00804DD2">
        <w:t xml:space="preserve"> provision are based on the principles of cost causation. </w:t>
      </w:r>
      <w:r w:rsidR="00BD4AC4">
        <w:t xml:space="preserve"> The Companies argued that EGSs that have higher than average write-offs and charges prices much higher than the PTC impose costs that, absent the </w:t>
      </w:r>
      <w:proofErr w:type="spellStart"/>
      <w:r w:rsidR="00BD4AC4">
        <w:t>clawback</w:t>
      </w:r>
      <w:proofErr w:type="spellEnd"/>
      <w:r w:rsidR="00BD4AC4">
        <w:t xml:space="preserve"> charge, would be borne entirely by the </w:t>
      </w:r>
      <w:r w:rsidR="00BD4AC4">
        <w:lastRenderedPageBreak/>
        <w:t xml:space="preserve">Companies and their customers.  Therefore, the Companies contended that the </w:t>
      </w:r>
      <w:proofErr w:type="spellStart"/>
      <w:r w:rsidR="00BD4AC4">
        <w:t>clawback</w:t>
      </w:r>
      <w:proofErr w:type="spellEnd"/>
      <w:r w:rsidR="00BD4AC4">
        <w:t xml:space="preserve"> provision is a reasonable administrative fee charged to POR-participating EGSs that are responsible for creating excessive uncollectible accounts expense.  </w:t>
      </w:r>
      <w:r w:rsidR="001142D1" w:rsidRPr="00B64DFB">
        <w:rPr>
          <w:i/>
        </w:rPr>
        <w:t>Id.</w:t>
      </w:r>
      <w:r w:rsidR="001142D1">
        <w:t xml:space="preserve"> at 20-23</w:t>
      </w:r>
      <w:r w:rsidR="00BD41BB">
        <w:t>, 24-49</w:t>
      </w:r>
      <w:r w:rsidR="001142D1">
        <w:t xml:space="preserve">.  </w:t>
      </w:r>
      <w:r w:rsidR="00F81A67">
        <w:rPr>
          <w:szCs w:val="26"/>
        </w:rPr>
        <w:t xml:space="preserve"> </w:t>
      </w:r>
    </w:p>
    <w:p w14:paraId="456A4067" w14:textId="77777777" w:rsidR="002015DB" w:rsidRDefault="002015DB" w:rsidP="00CC0155">
      <w:pPr>
        <w:rPr>
          <w:szCs w:val="26"/>
        </w:rPr>
      </w:pPr>
    </w:p>
    <w:p w14:paraId="5D8E7B24" w14:textId="37788430" w:rsidR="00347685" w:rsidRPr="007A49A9" w:rsidRDefault="00114414" w:rsidP="00F71658">
      <w:pPr>
        <w:keepNext/>
        <w:keepLines/>
        <w:ind w:firstLine="0"/>
        <w:rPr>
          <w:b/>
        </w:rPr>
      </w:pPr>
      <w:r w:rsidRPr="00195B95">
        <w:rPr>
          <w:b/>
          <w:bCs/>
        </w:rPr>
        <w:tab/>
      </w:r>
      <w:r w:rsidR="00195B95" w:rsidRPr="00195B95">
        <w:rPr>
          <w:b/>
          <w:bCs/>
        </w:rPr>
        <w:t>2.</w:t>
      </w:r>
      <w:r w:rsidR="00195B95" w:rsidRPr="00F71658">
        <w:rPr>
          <w:b/>
        </w:rPr>
        <w:tab/>
      </w:r>
      <w:r w:rsidR="00640840" w:rsidRPr="00195B95">
        <w:rPr>
          <w:b/>
          <w:bCs/>
        </w:rPr>
        <w:t>Exception</w:t>
      </w:r>
      <w:r w:rsidR="00FD74F6" w:rsidRPr="00195B95">
        <w:rPr>
          <w:b/>
          <w:bCs/>
        </w:rPr>
        <w:t xml:space="preserve"> No. 1</w:t>
      </w:r>
      <w:r w:rsidR="00640840" w:rsidRPr="00195B95">
        <w:rPr>
          <w:b/>
          <w:bCs/>
        </w:rPr>
        <w:t xml:space="preserve"> and Replies</w:t>
      </w:r>
      <w:r w:rsidR="006C5423" w:rsidRPr="00195B95">
        <w:rPr>
          <w:b/>
          <w:bCs/>
        </w:rPr>
        <w:t xml:space="preserve"> </w:t>
      </w:r>
      <w:r w:rsidR="00347685">
        <w:rPr>
          <w:b/>
          <w:bCs/>
        </w:rPr>
        <w:t xml:space="preserve">– </w:t>
      </w:r>
      <w:r w:rsidR="00347685" w:rsidRPr="007A49A9">
        <w:rPr>
          <w:b/>
        </w:rPr>
        <w:t>Due Process</w:t>
      </w:r>
    </w:p>
    <w:p w14:paraId="3D46D121" w14:textId="77777777" w:rsidR="00A17956" w:rsidRPr="007D2DB6" w:rsidRDefault="00A17956" w:rsidP="00195B95">
      <w:pPr>
        <w:keepNext/>
        <w:keepLines/>
        <w:ind w:firstLine="0"/>
      </w:pPr>
    </w:p>
    <w:p w14:paraId="12E36B8B" w14:textId="1637BFB5" w:rsidR="00701AEC" w:rsidRPr="00126750" w:rsidRDefault="00195B95" w:rsidP="00195B95">
      <w:pPr>
        <w:keepNext/>
        <w:keepLines/>
        <w:rPr>
          <w:b/>
          <w:szCs w:val="26"/>
        </w:rPr>
      </w:pPr>
      <w:r>
        <w:rPr>
          <w:b/>
          <w:szCs w:val="26"/>
        </w:rPr>
        <w:t>a.</w:t>
      </w:r>
      <w:r>
        <w:rPr>
          <w:b/>
          <w:szCs w:val="26"/>
        </w:rPr>
        <w:tab/>
      </w:r>
      <w:r w:rsidR="00347685">
        <w:rPr>
          <w:b/>
          <w:szCs w:val="26"/>
        </w:rPr>
        <w:t>Respond’s Exceptions</w:t>
      </w:r>
    </w:p>
    <w:p w14:paraId="137C57DD" w14:textId="77777777" w:rsidR="00EF77F7" w:rsidRPr="00F71658" w:rsidRDefault="00EF77F7" w:rsidP="00F71658">
      <w:pPr>
        <w:pStyle w:val="ListParagraph"/>
        <w:keepNext/>
        <w:keepLines/>
        <w:spacing w:line="360" w:lineRule="auto"/>
        <w:ind w:left="2160" w:firstLine="0"/>
        <w:rPr>
          <w:b/>
          <w:sz w:val="26"/>
        </w:rPr>
      </w:pPr>
    </w:p>
    <w:p w14:paraId="49EB8BFA" w14:textId="2573E641" w:rsidR="006C5423" w:rsidRDefault="006C5423" w:rsidP="00F71658">
      <w:r w:rsidRPr="00117CC1">
        <w:t xml:space="preserve">In its </w:t>
      </w:r>
      <w:r>
        <w:t xml:space="preserve">first </w:t>
      </w:r>
      <w:r w:rsidRPr="00117CC1">
        <w:t>Exceptio</w:t>
      </w:r>
      <w:r>
        <w:t>n</w:t>
      </w:r>
      <w:r w:rsidR="00092EE4">
        <w:t xml:space="preserve"> regarding this issue</w:t>
      </w:r>
      <w:r w:rsidRPr="00117CC1">
        <w:t xml:space="preserve">, </w:t>
      </w:r>
      <w:r>
        <w:t>Respond</w:t>
      </w:r>
      <w:r w:rsidRPr="00117CC1">
        <w:t xml:space="preserve"> argues that the ALJ erred</w:t>
      </w:r>
      <w:r w:rsidR="005138C1">
        <w:t xml:space="preserve"> in</w:t>
      </w:r>
      <w:r w:rsidRPr="00117CC1">
        <w:t xml:space="preserve"> </w:t>
      </w:r>
      <w:r>
        <w:t>failing to conclude that Respond</w:t>
      </w:r>
      <w:r w:rsidR="00E00225">
        <w:t>’</w:t>
      </w:r>
      <w:r>
        <w:t xml:space="preserve">s due process rights were violated because the Companies retroactively changed the terms of their existing POR programs.  Exc. at 15.  Respond reiterates its argument that the Companies made mid-course modifications to the terms and conditions of their DSP III POR program without providing advance notice to affected parties.  According to Respond, rather than petition the Commission for approval to make changes to the existing DSP III POR program, the Companies buried a proposal for a </w:t>
      </w:r>
      <w:proofErr w:type="spellStart"/>
      <w:r>
        <w:t>clawback</w:t>
      </w:r>
      <w:proofErr w:type="spellEnd"/>
      <w:r>
        <w:t xml:space="preserve"> charge mechanism in their forward-looking DSP IV plan and then retroactively applied it to assess </w:t>
      </w:r>
      <w:proofErr w:type="spellStart"/>
      <w:r>
        <w:t>clawback</w:t>
      </w:r>
      <w:proofErr w:type="spellEnd"/>
      <w:r>
        <w:t xml:space="preserve"> charges against Respond during the DSP III program period.  From Respond</w:t>
      </w:r>
      <w:r w:rsidR="00E00225">
        <w:t>’</w:t>
      </w:r>
      <w:r>
        <w:t xml:space="preserve">s perspective, the Companies, through the </w:t>
      </w:r>
      <w:proofErr w:type="spellStart"/>
      <w:r>
        <w:t>clawback</w:t>
      </w:r>
      <w:proofErr w:type="spellEnd"/>
      <w:r>
        <w:t xml:space="preserve"> charges, improperly modified the terms and conditions of the DSP III </w:t>
      </w:r>
      <w:r w:rsidR="004A1230">
        <w:t xml:space="preserve">POR </w:t>
      </w:r>
      <w:r>
        <w:t>program after services had already been provided.  Respond also argues the charges were imposed prior to the Companies</w:t>
      </w:r>
      <w:r w:rsidR="00E00225">
        <w:t>’</w:t>
      </w:r>
      <w:r>
        <w:t xml:space="preserve"> filing of a tariff that contains the applicable provisions.  </w:t>
      </w:r>
      <w:r w:rsidRPr="006D0311">
        <w:rPr>
          <w:i/>
        </w:rPr>
        <w:t>Id.</w:t>
      </w:r>
      <w:r>
        <w:t xml:space="preserve">  Further, Respond argues that while it does not dispute it was served notice of the forward-looking DSP IV </w:t>
      </w:r>
      <w:r w:rsidR="004A1230">
        <w:t xml:space="preserve">Joint </w:t>
      </w:r>
      <w:r>
        <w:t xml:space="preserve">Petition, what is in dispute in this case is that Respond had a reasonable expectation that such a filing would only establish terms and conditions commencing on June 1, 2017.  </w:t>
      </w:r>
      <w:r w:rsidRPr="006D0311">
        <w:rPr>
          <w:i/>
        </w:rPr>
        <w:t>Id.</w:t>
      </w:r>
      <w:r>
        <w:t xml:space="preserve"> at 15-16.</w:t>
      </w:r>
    </w:p>
    <w:p w14:paraId="6C65D93F" w14:textId="77777777" w:rsidR="006C5423" w:rsidRDefault="006C5423" w:rsidP="00F71658"/>
    <w:p w14:paraId="45E69755" w14:textId="1ED50C44" w:rsidR="0068757E" w:rsidRDefault="006C5423" w:rsidP="00F71658">
      <w:r>
        <w:t>Specifically, Respond argues, the Companies</w:t>
      </w:r>
      <w:r w:rsidR="00E00225">
        <w:t>’</w:t>
      </w:r>
      <w:r>
        <w:t xml:space="preserve"> expressly stated purpose for filing the DSP IV </w:t>
      </w:r>
      <w:r w:rsidR="001610C0">
        <w:t xml:space="preserve">Joint </w:t>
      </w:r>
      <w:r>
        <w:t xml:space="preserve">Petition filed on November 3, 2015, was to establish the terms and conditions for the default service program for the forward-looking period from </w:t>
      </w:r>
      <w:r>
        <w:lastRenderedPageBreak/>
        <w:t>June</w:t>
      </w:r>
      <w:r w:rsidR="00A849B1">
        <w:t> </w:t>
      </w:r>
      <w:r>
        <w:t xml:space="preserve">1, 2017 through May 31, 2021.  </w:t>
      </w:r>
      <w:r w:rsidRPr="006D0311">
        <w:rPr>
          <w:i/>
        </w:rPr>
        <w:t>Id.</w:t>
      </w:r>
      <w:r>
        <w:t xml:space="preserve">  at 16, citing DSP IV </w:t>
      </w:r>
      <w:r w:rsidR="001610C0">
        <w:t xml:space="preserve">Joint </w:t>
      </w:r>
      <w:r>
        <w:t xml:space="preserve">Petition at 1-2.  Respond contends it did not intervene in the DSP IV proceedings due to the forward-looking nature of the plan and did not become aware of the insufficiency of the notice until it received </w:t>
      </w:r>
      <w:proofErr w:type="spellStart"/>
      <w:r>
        <w:t>clawback</w:t>
      </w:r>
      <w:proofErr w:type="spellEnd"/>
      <w:r>
        <w:t xml:space="preserve"> charge invoices from the Companies in September 2016.  Exc. at</w:t>
      </w:r>
      <w:r w:rsidR="009D1610">
        <w:t> </w:t>
      </w:r>
      <w:r>
        <w:t>16, citing Respond M.B. at 12; Respond R.B. at 21-22.  Respond also avers that given its limited resources and the fact that the issues addressed in the DSP IV proceedings were supposed to be forward-looking, it did not participate in the proceedings because it did not find it reasonable to intervene in such complex, costly and resource-intensive proceedings.</w:t>
      </w:r>
    </w:p>
    <w:p w14:paraId="06EF20A7" w14:textId="77777777" w:rsidR="0068757E" w:rsidRDefault="0068757E" w:rsidP="00F71658"/>
    <w:p w14:paraId="1A4C4784" w14:textId="4D0E22FC" w:rsidR="006C5423" w:rsidRDefault="006C5423" w:rsidP="00F71658">
      <w:r>
        <w:t xml:space="preserve">More importantly, Respond argues it had no reason to expect that the Companies were going to retroactively change a previously-approved POR program that was in effect or that any change in the plan would be based on historical pricing and write-off data that had accrued prior to Commission approval of the proposed </w:t>
      </w:r>
      <w:proofErr w:type="spellStart"/>
      <w:r>
        <w:t>clawback</w:t>
      </w:r>
      <w:proofErr w:type="spellEnd"/>
      <w:r>
        <w:t xml:space="preserve"> mechanism.  Exc. at 17.  Respond further disputes the Companies contention that neither the duration nor the effective date of revisions to POR programs is </w:t>
      </w:r>
      <w:r w:rsidR="00E00225">
        <w:t>“</w:t>
      </w:r>
      <w:r>
        <w:t>co-terminus</w:t>
      </w:r>
      <w:r w:rsidR="00E00225">
        <w:t>”</w:t>
      </w:r>
      <w:r>
        <w:t xml:space="preserve"> with the terms of any particular default service program.  Respond does not believe this assertion allows the Companies to make mid-course changes to </w:t>
      </w:r>
      <w:r w:rsidR="00FB55CB">
        <w:t xml:space="preserve">their </w:t>
      </w:r>
      <w:r>
        <w:t>POR programs through the</w:t>
      </w:r>
      <w:r w:rsidR="00FB55CB">
        <w:t xml:space="preserve"> DSP IV </w:t>
      </w:r>
      <w:r w:rsidR="001610C0">
        <w:t xml:space="preserve">Joint </w:t>
      </w:r>
      <w:r w:rsidR="00FB55CB">
        <w:t>Petition</w:t>
      </w:r>
      <w:r>
        <w:t>.  From Respond</w:t>
      </w:r>
      <w:r w:rsidR="00E00225">
        <w:t>’</w:t>
      </w:r>
      <w:r>
        <w:t xml:space="preserve">s point of view, if the Companies wish to have time periods for their POR programs that are not co-terminus with the terms of any particular default service program, they should be required to file </w:t>
      </w:r>
      <w:r w:rsidR="00672B4C">
        <w:t xml:space="preserve">with the </w:t>
      </w:r>
      <w:r w:rsidR="001610C0">
        <w:t xml:space="preserve">Commission, </w:t>
      </w:r>
      <w:r w:rsidR="00672B4C">
        <w:t xml:space="preserve">proposed effective dates, </w:t>
      </w:r>
      <w:r>
        <w:t xml:space="preserve">stand-alone supplier tariff provisions that are served on suppliers, giving the requisite notice and an opportunity to be heard.  </w:t>
      </w:r>
      <w:r w:rsidRPr="006D0311">
        <w:rPr>
          <w:i/>
        </w:rPr>
        <w:t>Id.</w:t>
      </w:r>
      <w:r>
        <w:t xml:space="preserve">  at</w:t>
      </w:r>
      <w:r w:rsidR="009D1610">
        <w:t> </w:t>
      </w:r>
      <w:r>
        <w:t>17</w:t>
      </w:r>
      <w:r w:rsidR="009D1610">
        <w:noBreakHyphen/>
      </w:r>
      <w:r>
        <w:t>18, citing Respond R.B. at 24-25.</w:t>
      </w:r>
    </w:p>
    <w:p w14:paraId="7B604FB7" w14:textId="77777777" w:rsidR="006C5423" w:rsidRDefault="006C5423" w:rsidP="00F71658"/>
    <w:p w14:paraId="38DF2B99" w14:textId="3260F297" w:rsidR="006C5423" w:rsidRDefault="006C5423" w:rsidP="00F71658">
      <w:r>
        <w:t xml:space="preserve">Next, Respond argues that service of the DSP IV </w:t>
      </w:r>
      <w:r w:rsidR="00F262E6">
        <w:t xml:space="preserve">Joint </w:t>
      </w:r>
      <w:r>
        <w:t>Petition was insufficient to provide adequate notice of the proposed retroactive modifications.  According to Respond, the Companies</w:t>
      </w:r>
      <w:r w:rsidR="00E00225">
        <w:t>’</w:t>
      </w:r>
      <w:r>
        <w:t xml:space="preserve"> retroactive conversion of the POR program from </w:t>
      </w:r>
      <w:r w:rsidR="00E00225">
        <w:t>“</w:t>
      </w:r>
      <w:r>
        <w:t>non-recourse</w:t>
      </w:r>
      <w:r w:rsidR="00E00225">
        <w:t>”</w:t>
      </w:r>
      <w:r>
        <w:t xml:space="preserve"> to </w:t>
      </w:r>
      <w:r w:rsidR="00E00225">
        <w:t>“</w:t>
      </w:r>
      <w:r>
        <w:t>with recourse</w:t>
      </w:r>
      <w:r w:rsidR="00E00225">
        <w:t>”</w:t>
      </w:r>
      <w:r>
        <w:t xml:space="preserve"> occurred without advance notice to Respond.  Respond </w:t>
      </w:r>
      <w:r>
        <w:lastRenderedPageBreak/>
        <w:t>avers the Commission-approved DSP III plan for the Companies is expected to cover the period through May 31, 2017, including continuation of previously Commission-approved non-recourse POR programs.  Respond argues that the notice it received regarding the Companies</w:t>
      </w:r>
      <w:r w:rsidR="00E00225">
        <w:t>’</w:t>
      </w:r>
      <w:r>
        <w:t xml:space="preserve"> DSP IV </w:t>
      </w:r>
      <w:r w:rsidR="00B916A9">
        <w:t xml:space="preserve">Joint </w:t>
      </w:r>
      <w:r>
        <w:t>Petition did not indicate that the Companies were proposing to change the terms of the POR program in the Companies</w:t>
      </w:r>
      <w:r w:rsidR="00E00225">
        <w:t>’</w:t>
      </w:r>
      <w:r>
        <w:t xml:space="preserve"> Commission-approved DSP III Plan.  Exc. at 18.  Accordingly, Respond believes the notice from the Companies falls short of the criteria that must be established to satisfy due process as expounded by the Pennsylvania Supreme Court in </w:t>
      </w:r>
      <w:r w:rsidRPr="00FF1556">
        <w:rPr>
          <w:i/>
        </w:rPr>
        <w:t>Wilkes v. Phoenix Home Life Mutual Insurance Company,</w:t>
      </w:r>
      <w:r>
        <w:t xml:space="preserve"> 851 A.2d 204, 211 (</w:t>
      </w:r>
      <w:r w:rsidR="006B6320">
        <w:t xml:space="preserve">Pa. Sup. Ct. </w:t>
      </w:r>
      <w:r>
        <w:t xml:space="preserve">2004), </w:t>
      </w:r>
      <w:proofErr w:type="spellStart"/>
      <w:r w:rsidRPr="00FF1556">
        <w:rPr>
          <w:i/>
        </w:rPr>
        <w:t>rev</w:t>
      </w:r>
      <w:r w:rsidR="00E00225">
        <w:rPr>
          <w:i/>
        </w:rPr>
        <w:t>’</w:t>
      </w:r>
      <w:r w:rsidRPr="00FF1556">
        <w:rPr>
          <w:i/>
        </w:rPr>
        <w:t>d</w:t>
      </w:r>
      <w:proofErr w:type="spellEnd"/>
      <w:r w:rsidRPr="00FF1556">
        <w:rPr>
          <w:i/>
        </w:rPr>
        <w:t xml:space="preserve"> on other grounds,</w:t>
      </w:r>
      <w:r>
        <w:t xml:space="preserve"> 587 Pa. 590, 902 A.2d 366 (2006).  </w:t>
      </w:r>
      <w:r w:rsidR="007C64AB">
        <w:t>In particular</w:t>
      </w:r>
      <w:r>
        <w:t xml:space="preserve">, Respond avers such notice must be reasonably calculated to apprise interested parties of the proposal and afford them an opportunity to present their objection and that while such notice need not be entirely comprehensive, it must not be misleading or materially incomplete.  Respond further notes that such notice is required to contain an adequate description of the proceedings and include information that a reasonable person would consider material in making an informed and intelligent decision of whether to participate or risk being bound by the final judgment.  </w:t>
      </w:r>
      <w:r w:rsidRPr="00FF1556">
        <w:rPr>
          <w:i/>
        </w:rPr>
        <w:t>Id.</w:t>
      </w:r>
    </w:p>
    <w:p w14:paraId="649859D5" w14:textId="77777777" w:rsidR="006C5423" w:rsidRDefault="006C5423" w:rsidP="00F71658"/>
    <w:p w14:paraId="7BC0D7FC" w14:textId="4C476AEA" w:rsidR="007C64AB" w:rsidRDefault="006C5423" w:rsidP="00F71658">
      <w:r>
        <w:t xml:space="preserve">Respond argues service of the DSP IV </w:t>
      </w:r>
      <w:r w:rsidR="00AB16D7">
        <w:t>Joint Petition</w:t>
      </w:r>
      <w:r>
        <w:t xml:space="preserve"> was not reasonably calculated to apprise Respond of a backward-looking proposal affecting the DSP III program period and to afford Respond an opportunity to present objections.  According to Respond, since the filing was made for the express purpose of establishing a default service program to cover the </w:t>
      </w:r>
      <w:r w:rsidRPr="00E41838">
        <w:rPr>
          <w:u w:val="single"/>
        </w:rPr>
        <w:t>future</w:t>
      </w:r>
      <w:r w:rsidRPr="00C113F5">
        <w:rPr>
          <w:b/>
          <w:i/>
        </w:rPr>
        <w:t xml:space="preserve"> </w:t>
      </w:r>
      <w:r>
        <w:t>period of June 1, 2017 through May 31, 2021, the notice did not contain an adequate description of the proceedings to inform a reasonable person of the need to participate to protect the ter</w:t>
      </w:r>
      <w:r w:rsidR="007C64AB">
        <w:t>m</w:t>
      </w:r>
      <w:r>
        <w:t xml:space="preserve">s of an existing program in effect until May 31, 2017 or risk being bound by the final judgment. </w:t>
      </w:r>
      <w:r w:rsidR="006B6320">
        <w:t xml:space="preserve"> (Emphasis Respond).</w:t>
      </w:r>
      <w:r>
        <w:t xml:space="preserve"> </w:t>
      </w:r>
      <w:r w:rsidR="006B6320">
        <w:t xml:space="preserve"> </w:t>
      </w:r>
      <w:r>
        <w:t xml:space="preserve">With this, Respond argues it was unaware that the Companies were proposing a modification </w:t>
      </w:r>
      <w:r w:rsidR="006B6320">
        <w:t xml:space="preserve">of the </w:t>
      </w:r>
      <w:proofErr w:type="spellStart"/>
      <w:r w:rsidR="006B6320">
        <w:t>clawback</w:t>
      </w:r>
      <w:proofErr w:type="spellEnd"/>
      <w:r w:rsidR="006B6320">
        <w:t xml:space="preserve"> provisions </w:t>
      </w:r>
      <w:r>
        <w:t xml:space="preserve">to a Commission-approved program mid-course through the existing 2015-2017 default service program period.  Respond further argues the notice </w:t>
      </w:r>
      <w:r>
        <w:lastRenderedPageBreak/>
        <w:t xml:space="preserve">published in the </w:t>
      </w:r>
      <w:r w:rsidRPr="00745BD5">
        <w:rPr>
          <w:i/>
        </w:rPr>
        <w:t>Pennsylvania Bulletin</w:t>
      </w:r>
      <w:r>
        <w:t xml:space="preserve"> described the DSP IV </w:t>
      </w:r>
      <w:r w:rsidR="00AB16D7">
        <w:t xml:space="preserve">Joint </w:t>
      </w:r>
      <w:r>
        <w:t>Petition as seeking approval of a default service program of a future period beginning June 1, 2017 through May 31, 2021.  And</w:t>
      </w:r>
      <w:r w:rsidR="006B6320">
        <w:t>,</w:t>
      </w:r>
      <w:r>
        <w:t xml:space="preserve"> nothing in the notice suggested that the filing may result in the mid-course modification of an existing program.  Therefore, Respond claims its due process rights were violated because it was deprived of notice and an opportunity to be heard on the proposed modifications to a POR program in which it was participating.  </w:t>
      </w:r>
      <w:r w:rsidRPr="00FF1556">
        <w:rPr>
          <w:i/>
        </w:rPr>
        <w:t>Id.</w:t>
      </w:r>
      <w:r>
        <w:t xml:space="preserve"> at 18-</w:t>
      </w:r>
      <w:r w:rsidR="007C64AB">
        <w:t>19</w:t>
      </w:r>
      <w:r>
        <w:t>.</w:t>
      </w:r>
    </w:p>
    <w:p w14:paraId="74940164" w14:textId="77777777" w:rsidR="007C64AB" w:rsidRDefault="007C64AB" w:rsidP="00F71658"/>
    <w:p w14:paraId="43BB24A2" w14:textId="6ADD6799" w:rsidR="006C5423" w:rsidRPr="00FE0742" w:rsidRDefault="00AB16D7" w:rsidP="00F71658">
      <w:r>
        <w:t>Next</w:t>
      </w:r>
      <w:r w:rsidR="007C64AB">
        <w:t xml:space="preserve">, Respond </w:t>
      </w:r>
      <w:r w:rsidR="00FE0742">
        <w:t>contends</w:t>
      </w:r>
      <w:r w:rsidR="007C64AB">
        <w:t xml:space="preserve"> the Commission has an obligation</w:t>
      </w:r>
      <w:r w:rsidR="00FE0742">
        <w:t xml:space="preserve"> to give notice and an opportunity to be heard to interested parties and that Section 703 of the Code authorizes the Commission to rescind or amend any order made by it at any time, after the affected parties have been given a notice and an opportunity to be heard.  However, Respond argues, here the </w:t>
      </w:r>
      <w:r w:rsidR="00FE0742" w:rsidRPr="00FE0742">
        <w:rPr>
          <w:i/>
        </w:rPr>
        <w:t>Default Service Order</w:t>
      </w:r>
      <w:r w:rsidR="00FE0742">
        <w:t xml:space="preserve"> modified the Commission</w:t>
      </w:r>
      <w:r w:rsidR="00E00225">
        <w:t>’</w:t>
      </w:r>
      <w:r w:rsidR="00FE0742">
        <w:t>s prior orders approving the Companies</w:t>
      </w:r>
      <w:r w:rsidR="00E00225">
        <w:t>’</w:t>
      </w:r>
      <w:r w:rsidR="00FE0742">
        <w:t xml:space="preserve"> POR program without providing the affected parties any notice and opportunity to be heard.  Respond avers that because this did not happen, its due process rights were violated and so the </w:t>
      </w:r>
      <w:proofErr w:type="spellStart"/>
      <w:r w:rsidR="00FE0742">
        <w:t>clawback</w:t>
      </w:r>
      <w:proofErr w:type="spellEnd"/>
      <w:r w:rsidR="00FE0742">
        <w:t xml:space="preserve"> charges approved in the </w:t>
      </w:r>
      <w:r w:rsidR="00FE0742" w:rsidRPr="00FE0742">
        <w:rPr>
          <w:i/>
        </w:rPr>
        <w:t>Default Service Order</w:t>
      </w:r>
      <w:r w:rsidR="00FE0742">
        <w:t xml:space="preserve"> should be rejected.  Respond further asserts it is a violation of due process for the supplier tariff provisions to be applied before they were even on file with the Commission.  </w:t>
      </w:r>
      <w:r w:rsidR="00FE0742" w:rsidRPr="00FF1556">
        <w:rPr>
          <w:i/>
        </w:rPr>
        <w:t>Id.</w:t>
      </w:r>
      <w:r w:rsidR="00FE0742">
        <w:t xml:space="preserve"> at 20-21.  According to Respond, although the </w:t>
      </w:r>
      <w:r w:rsidR="00FE0742" w:rsidRPr="00FE0742">
        <w:rPr>
          <w:i/>
        </w:rPr>
        <w:t>Default Service Order</w:t>
      </w:r>
      <w:r w:rsidR="00FE0742">
        <w:t xml:space="preserve"> was </w:t>
      </w:r>
      <w:r w:rsidR="00DB6D5F">
        <w:t xml:space="preserve">entered on May </w:t>
      </w:r>
      <w:r w:rsidR="004A523C">
        <w:t>19, 2016</w:t>
      </w:r>
      <w:r>
        <w:t>,</w:t>
      </w:r>
      <w:r w:rsidR="004A523C">
        <w:t xml:space="preserve"> and the Commission approved the supplier tariff containing the </w:t>
      </w:r>
      <w:proofErr w:type="spellStart"/>
      <w:r w:rsidR="004A523C">
        <w:t>clawback</w:t>
      </w:r>
      <w:proofErr w:type="spellEnd"/>
      <w:r w:rsidR="004A523C">
        <w:t xml:space="preserve"> mechanism with an effective date of August 1, 2016, the Companies did not file the supplier tariffs containing the </w:t>
      </w:r>
      <w:proofErr w:type="spellStart"/>
      <w:r w:rsidR="004A523C">
        <w:t>clawback</w:t>
      </w:r>
      <w:proofErr w:type="spellEnd"/>
      <w:r w:rsidR="004A523C">
        <w:t xml:space="preserve"> mechanism until October 28, 2016</w:t>
      </w:r>
      <w:r w:rsidR="00EE611B">
        <w:t xml:space="preserve">.  </w:t>
      </w:r>
      <w:r w:rsidR="003D6A0A">
        <w:t xml:space="preserve">Respond further argues that while the Commission approved the provisions with an effective date of August 1, 2016, it did so without prejudice to the filing of complaints.  </w:t>
      </w:r>
      <w:r w:rsidR="003D6A0A" w:rsidRPr="00FF1556">
        <w:rPr>
          <w:i/>
        </w:rPr>
        <w:t>Id.</w:t>
      </w:r>
      <w:r w:rsidR="003D6A0A">
        <w:t xml:space="preserve"> at 21.</w:t>
      </w:r>
    </w:p>
    <w:p w14:paraId="7D793609" w14:textId="77777777" w:rsidR="006C5423" w:rsidRDefault="006C5423" w:rsidP="00F71658"/>
    <w:p w14:paraId="2E1AF9A5" w14:textId="60735BEB" w:rsidR="006C5423" w:rsidRDefault="006C5423" w:rsidP="00CC0155">
      <w:pPr>
        <w:rPr>
          <w:szCs w:val="26"/>
        </w:rPr>
      </w:pPr>
      <w:r>
        <w:rPr>
          <w:szCs w:val="26"/>
        </w:rPr>
        <w:t xml:space="preserve">Lastly, Respond asserts that even though it was aware of the existence of the </w:t>
      </w:r>
      <w:proofErr w:type="spellStart"/>
      <w:r>
        <w:rPr>
          <w:szCs w:val="26"/>
        </w:rPr>
        <w:t>clawback</w:t>
      </w:r>
      <w:proofErr w:type="spellEnd"/>
      <w:r>
        <w:rPr>
          <w:szCs w:val="26"/>
        </w:rPr>
        <w:t xml:space="preserve"> charges before they were assessed, Respond</w:t>
      </w:r>
      <w:r w:rsidR="00E00225">
        <w:rPr>
          <w:szCs w:val="26"/>
        </w:rPr>
        <w:t>’</w:t>
      </w:r>
      <w:r>
        <w:rPr>
          <w:szCs w:val="26"/>
        </w:rPr>
        <w:t>s due process rights would be violated if those charges are required to be paid</w:t>
      </w:r>
      <w:r w:rsidR="001708FB">
        <w:rPr>
          <w:szCs w:val="26"/>
        </w:rPr>
        <w:t>,</w:t>
      </w:r>
      <w:r>
        <w:rPr>
          <w:szCs w:val="26"/>
        </w:rPr>
        <w:t xml:space="preserve"> as knowledge of the charges does not cure the fact that Respond was not properly notified about the retroactive changes to the </w:t>
      </w:r>
      <w:r>
        <w:rPr>
          <w:szCs w:val="26"/>
        </w:rPr>
        <w:lastRenderedPageBreak/>
        <w:t>Companies</w:t>
      </w:r>
      <w:r w:rsidR="00E00225">
        <w:rPr>
          <w:szCs w:val="26"/>
        </w:rPr>
        <w:t>’</w:t>
      </w:r>
      <w:r>
        <w:rPr>
          <w:szCs w:val="26"/>
        </w:rPr>
        <w:t xml:space="preserve"> DSP III POR programs that were included in the Companies</w:t>
      </w:r>
      <w:r w:rsidR="00E00225">
        <w:rPr>
          <w:szCs w:val="26"/>
        </w:rPr>
        <w:t>’</w:t>
      </w:r>
      <w:r>
        <w:rPr>
          <w:szCs w:val="26"/>
        </w:rPr>
        <w:t xml:space="preserve"> DSP IV</w:t>
      </w:r>
      <w:r w:rsidR="00926346">
        <w:rPr>
          <w:szCs w:val="26"/>
        </w:rPr>
        <w:t xml:space="preserve"> Joint Petition</w:t>
      </w:r>
      <w:r>
        <w:rPr>
          <w:szCs w:val="26"/>
        </w:rPr>
        <w:t xml:space="preserve">.  </w:t>
      </w:r>
      <w:r w:rsidRPr="00FF1556">
        <w:rPr>
          <w:i/>
        </w:rPr>
        <w:t>Id.</w:t>
      </w:r>
      <w:r>
        <w:t xml:space="preserve"> at 21-22.  According to Respond, had the Companies provided specific notice of the proposed retroactive changes to their then-existing POR programs, Respond would have had the opportunity to raise the structural flaws in the </w:t>
      </w:r>
      <w:proofErr w:type="spellStart"/>
      <w:r>
        <w:t>clawback</w:t>
      </w:r>
      <w:proofErr w:type="spellEnd"/>
      <w:r>
        <w:t xml:space="preserve"> charges.  Further, Respond notes </w:t>
      </w:r>
      <w:r w:rsidR="001708FB">
        <w:t xml:space="preserve">that </w:t>
      </w:r>
      <w:r>
        <w:t xml:space="preserve">most of the write-offs from September 1, 2016 through August 31, 2017 involved unpaid supply charges dating back to 2013, 2014, 2015, and the first eight months of 2016 before the </w:t>
      </w:r>
      <w:proofErr w:type="spellStart"/>
      <w:r>
        <w:t>clawback</w:t>
      </w:r>
      <w:proofErr w:type="spellEnd"/>
      <w:r>
        <w:t xml:space="preserve"> charge even went into effect.  </w:t>
      </w:r>
      <w:r w:rsidR="001708FB">
        <w:t xml:space="preserve">And </w:t>
      </w:r>
      <w:r w:rsidR="00564AD5">
        <w:t xml:space="preserve">that </w:t>
      </w:r>
      <w:r w:rsidR="001708FB">
        <w:t>because historical data w</w:t>
      </w:r>
      <w:r w:rsidR="006B6320">
        <w:t>as</w:t>
      </w:r>
      <w:r w:rsidR="001708FB">
        <w:t xml:space="preserve"> used for the assessment of the </w:t>
      </w:r>
      <w:proofErr w:type="spellStart"/>
      <w:r w:rsidR="001708FB">
        <w:t>clawback</w:t>
      </w:r>
      <w:proofErr w:type="spellEnd"/>
      <w:r w:rsidR="001708FB">
        <w:t xml:space="preserve"> charge</w:t>
      </w:r>
      <w:r w:rsidR="00954B6E">
        <w:t>s</w:t>
      </w:r>
      <w:r w:rsidR="001708FB">
        <w:t xml:space="preserve">, fundamental due process </w:t>
      </w:r>
      <w:r w:rsidR="00954B6E">
        <w:t>demands</w:t>
      </w:r>
      <w:r w:rsidR="001708FB">
        <w:t xml:space="preserve"> that Respond should have been given </w:t>
      </w:r>
      <w:r w:rsidR="00954B6E">
        <w:t xml:space="preserve">notice and </w:t>
      </w:r>
      <w:r w:rsidR="001708FB">
        <w:t xml:space="preserve">an opportunity to be heard, Respond argues.  </w:t>
      </w:r>
      <w:r w:rsidR="006B6320">
        <w:t>Exc.</w:t>
      </w:r>
      <w:r w:rsidR="001708FB">
        <w:t xml:space="preserve"> at 22.</w:t>
      </w:r>
    </w:p>
    <w:p w14:paraId="5BE80AE1" w14:textId="6F077492" w:rsidR="006C5423" w:rsidRDefault="006C5423" w:rsidP="00CC0155">
      <w:pPr>
        <w:rPr>
          <w:szCs w:val="26"/>
        </w:rPr>
      </w:pPr>
    </w:p>
    <w:p w14:paraId="0C0FFA9B" w14:textId="4394C565" w:rsidR="00347685" w:rsidRDefault="00347685" w:rsidP="007F6AE7">
      <w:pPr>
        <w:keepNext/>
        <w:keepLines/>
        <w:rPr>
          <w:szCs w:val="26"/>
        </w:rPr>
      </w:pPr>
      <w:r>
        <w:rPr>
          <w:b/>
          <w:szCs w:val="26"/>
        </w:rPr>
        <w:t>b.</w:t>
      </w:r>
      <w:r>
        <w:rPr>
          <w:b/>
          <w:szCs w:val="26"/>
        </w:rPr>
        <w:tab/>
      </w:r>
      <w:r w:rsidR="00E40EC3">
        <w:rPr>
          <w:b/>
          <w:szCs w:val="26"/>
        </w:rPr>
        <w:t>The Companies’ Replies to Exceptions</w:t>
      </w:r>
    </w:p>
    <w:p w14:paraId="167D93F4" w14:textId="77777777" w:rsidR="00347685" w:rsidRPr="00117CC1" w:rsidRDefault="00347685" w:rsidP="007F6AE7">
      <w:pPr>
        <w:keepNext/>
        <w:keepLines/>
        <w:rPr>
          <w:szCs w:val="26"/>
        </w:rPr>
      </w:pPr>
    </w:p>
    <w:p w14:paraId="61C26D42" w14:textId="2A9BC125" w:rsidR="006C5423" w:rsidRDefault="006C5423" w:rsidP="00CC0155">
      <w:r w:rsidRPr="00117CC1">
        <w:t xml:space="preserve">In </w:t>
      </w:r>
      <w:r>
        <w:t xml:space="preserve">their </w:t>
      </w:r>
      <w:r w:rsidRPr="00117CC1">
        <w:t>Replies to</w:t>
      </w:r>
      <w:r>
        <w:t xml:space="preserve"> Respond</w:t>
      </w:r>
      <w:r w:rsidR="00E00225">
        <w:t>’</w:t>
      </w:r>
      <w:r w:rsidRPr="00117CC1">
        <w:t>s Exception</w:t>
      </w:r>
      <w:r>
        <w:t xml:space="preserve"> No. 1</w:t>
      </w:r>
      <w:r w:rsidRPr="00117CC1">
        <w:t xml:space="preserve">, </w:t>
      </w:r>
      <w:r>
        <w:t>the Companies dismiss Respond</w:t>
      </w:r>
      <w:r w:rsidR="00E00225">
        <w:t>’</w:t>
      </w:r>
      <w:r>
        <w:t>s arguments as a series of convoluted, contrived and hyper-technical arguments designed to circumvent the preclusive effect of Section 316</w:t>
      </w:r>
      <w:r w:rsidR="001101AA">
        <w:t xml:space="preserve"> of the Code</w:t>
      </w:r>
      <w:r>
        <w:t xml:space="preserve">. </w:t>
      </w:r>
      <w:r w:rsidR="001101AA">
        <w:t>Companies</w:t>
      </w:r>
      <w:r>
        <w:t xml:space="preserve"> R.</w:t>
      </w:r>
      <w:r w:rsidR="003A1255">
        <w:t> </w:t>
      </w:r>
      <w:r>
        <w:t xml:space="preserve">Exc. at 9.  The Companies clarify that the DSP IV </w:t>
      </w:r>
      <w:r w:rsidR="00D53038">
        <w:t xml:space="preserve">Joint </w:t>
      </w:r>
      <w:r>
        <w:t>Petition and accompanying testimon</w:t>
      </w:r>
      <w:r w:rsidR="00D53038">
        <w:t>ies</w:t>
      </w:r>
      <w:r>
        <w:t xml:space="preserve"> clearly explained that the </w:t>
      </w:r>
      <w:proofErr w:type="spellStart"/>
      <w:r>
        <w:t>clawback</w:t>
      </w:r>
      <w:proofErr w:type="spellEnd"/>
      <w:r>
        <w:t xml:space="preserve"> charge would be </w:t>
      </w:r>
      <w:r w:rsidR="00E00225">
        <w:t>“</w:t>
      </w:r>
      <w:r>
        <w:t>assessed, beginning September 2016</w:t>
      </w:r>
      <w:r w:rsidR="00E00225">
        <w:t>”</w:t>
      </w:r>
      <w:r>
        <w:t xml:space="preserve"> based on data for twelve-month periods ending August 31.  </w:t>
      </w:r>
      <w:r w:rsidRPr="00BF7A76">
        <w:rPr>
          <w:i/>
        </w:rPr>
        <w:t xml:space="preserve">Id., </w:t>
      </w:r>
      <w:r>
        <w:t>citing Companies</w:t>
      </w:r>
      <w:r w:rsidR="00E00225">
        <w:t>’</w:t>
      </w:r>
      <w:r>
        <w:t xml:space="preserve"> M.B. at 24-25; Companies</w:t>
      </w:r>
      <w:r w:rsidR="00E00225">
        <w:t>’</w:t>
      </w:r>
      <w:r>
        <w:t xml:space="preserve"> St. 1-SR at 3.  Highlighting the several issues associated with Respond</w:t>
      </w:r>
      <w:r w:rsidR="00E00225">
        <w:t>’</w:t>
      </w:r>
      <w:r>
        <w:t>s Exception No. 1, the Companies aver that Respond</w:t>
      </w:r>
      <w:r w:rsidR="00E00225">
        <w:t>’</w:t>
      </w:r>
      <w:r>
        <w:t xml:space="preserve">s notion of adequate </w:t>
      </w:r>
      <w:r w:rsidR="00E00225">
        <w:t>“</w:t>
      </w:r>
      <w:r>
        <w:t>notice</w:t>
      </w:r>
      <w:r w:rsidR="00E00225">
        <w:t>”</w:t>
      </w:r>
      <w:r>
        <w:t xml:space="preserve"> is </w:t>
      </w:r>
      <w:r w:rsidR="00D53038">
        <w:t xml:space="preserve">very </w:t>
      </w:r>
      <w:r>
        <w:t>different from what due process requires.  Specifically, the Companies assert that Respond</w:t>
      </w:r>
      <w:r w:rsidR="00E00225">
        <w:t>’</w:t>
      </w:r>
      <w:r>
        <w:t>s arguments are an attempt to deflect attention from its witness, Mr. Small</w:t>
      </w:r>
      <w:r w:rsidR="00E00225">
        <w:t>’</w:t>
      </w:r>
      <w:r>
        <w:t xml:space="preserve">s admission, that in November 2015, he had </w:t>
      </w:r>
      <w:r w:rsidRPr="00E41838">
        <w:rPr>
          <w:u w:val="single"/>
        </w:rPr>
        <w:t xml:space="preserve">actual </w:t>
      </w:r>
      <w:r>
        <w:t xml:space="preserve">notice that the  DSP IV </w:t>
      </w:r>
      <w:r w:rsidR="00D53038">
        <w:t xml:space="preserve">Joint </w:t>
      </w:r>
      <w:r>
        <w:t>Petition</w:t>
      </w:r>
      <w:r w:rsidR="00E00225">
        <w:t>’</w:t>
      </w:r>
      <w:r w:rsidR="00E06C0E">
        <w:t>s</w:t>
      </w:r>
      <w:r>
        <w:t xml:space="preserve"> proposed substantive modifications to the</w:t>
      </w:r>
      <w:r w:rsidR="00EA22B3">
        <w:t xml:space="preserve"> Companies</w:t>
      </w:r>
      <w:r w:rsidR="00E00225">
        <w:t>’</w:t>
      </w:r>
      <w:r>
        <w:t xml:space="preserve"> POR programs and that the changes were described in several areas of the petition that was served on Respond.</w:t>
      </w:r>
      <w:r w:rsidR="00E06C0E">
        <w:t xml:space="preserve">  </w:t>
      </w:r>
      <w:r>
        <w:t>The Companies further state that Mr.</w:t>
      </w:r>
      <w:r w:rsidR="003A1255">
        <w:t> </w:t>
      </w:r>
      <w:r>
        <w:t xml:space="preserve">Small also admitted during testimony that the Companies were proposing POR program changes from reading the </w:t>
      </w:r>
      <w:r w:rsidRPr="0088197C">
        <w:rPr>
          <w:i/>
        </w:rPr>
        <w:lastRenderedPageBreak/>
        <w:t>Energy Choice Matters</w:t>
      </w:r>
      <w:r>
        <w:t xml:space="preserve"> electronic newsletter.</w:t>
      </w:r>
      <w:r>
        <w:rPr>
          <w:rStyle w:val="FootnoteReference"/>
        </w:rPr>
        <w:footnoteReference w:id="16"/>
      </w:r>
      <w:r>
        <w:t xml:space="preserve">  R. Exc. at 9-10, citing Respond St. 1 at 14-15, Tr. at 25, 38-40.  Moreover, </w:t>
      </w:r>
      <w:r w:rsidR="00D53038">
        <w:t xml:space="preserve">the Companies </w:t>
      </w:r>
      <w:r>
        <w:t xml:space="preserve">argue, the newsletter reproduced the language from the DSP IV </w:t>
      </w:r>
      <w:r w:rsidR="00D53038">
        <w:t xml:space="preserve">Joint </w:t>
      </w:r>
      <w:r>
        <w:t xml:space="preserve">Petition explaining that the </w:t>
      </w:r>
      <w:proofErr w:type="spellStart"/>
      <w:r>
        <w:t>clawback</w:t>
      </w:r>
      <w:proofErr w:type="spellEnd"/>
      <w:r>
        <w:t xml:space="preserve"> charges would be based on historical data and that the first charge would be assessed in September 2016.  From the Companies</w:t>
      </w:r>
      <w:r w:rsidR="00E00225">
        <w:t>’</w:t>
      </w:r>
      <w:r>
        <w:t xml:space="preserve"> point of view, this information alone discounts Respond</w:t>
      </w:r>
      <w:r w:rsidR="00E00225">
        <w:t>’</w:t>
      </w:r>
      <w:r>
        <w:t xml:space="preserve">s inadequate notice argument.  Further, the Companies argue the degree of specificity Respond considers adequate notice is </w:t>
      </w:r>
      <w:r w:rsidR="003357E5">
        <w:t>not</w:t>
      </w:r>
      <w:r w:rsidR="0065570A">
        <w:t>,</w:t>
      </w:r>
      <w:r w:rsidR="003357E5">
        <w:t xml:space="preserve"> and</w:t>
      </w:r>
      <w:r>
        <w:t xml:space="preserve"> has </w:t>
      </w:r>
      <w:r w:rsidR="000838FB">
        <w:t xml:space="preserve">never </w:t>
      </w:r>
      <w:r>
        <w:t>been</w:t>
      </w:r>
      <w:r w:rsidR="00E06C0E">
        <w:t>,</w:t>
      </w:r>
      <w:r>
        <w:t xml:space="preserve"> legally required.  R. Exc. at 10.</w:t>
      </w:r>
    </w:p>
    <w:p w14:paraId="7AE6602E" w14:textId="77777777" w:rsidR="006C5423" w:rsidRDefault="006C5423" w:rsidP="00CC0155"/>
    <w:p w14:paraId="7304B16E" w14:textId="3A0B9293" w:rsidR="006C5423" w:rsidRDefault="00E06C0E" w:rsidP="00CC0155">
      <w:r>
        <w:t>R</w:t>
      </w:r>
      <w:r w:rsidR="006C5423">
        <w:t>egarding Respond</w:t>
      </w:r>
      <w:r w:rsidR="00E00225">
        <w:t>’</w:t>
      </w:r>
      <w:r w:rsidR="006C5423">
        <w:t>s argument that the Companies</w:t>
      </w:r>
      <w:r w:rsidR="00E00225">
        <w:t>’</w:t>
      </w:r>
      <w:r w:rsidR="006C5423">
        <w:t xml:space="preserve"> notice did not meet the due process requirement standards, the Companies assert the correct standard was accurately explained in </w:t>
      </w:r>
      <w:r w:rsidR="00E0262B">
        <w:t>a</w:t>
      </w:r>
      <w:r w:rsidR="006C5423">
        <w:t xml:space="preserve"> Recommended Decision </w:t>
      </w:r>
      <w:r w:rsidR="00C878DA">
        <w:t xml:space="preserve">in </w:t>
      </w:r>
      <w:r w:rsidRPr="00A1291C">
        <w:rPr>
          <w:i/>
          <w:szCs w:val="26"/>
        </w:rPr>
        <w:t>Petition of the Pennsylvania State Univ. for Declaratory Order Concerning the Generation Rate Cap of the West Penn Power Co. d/b/a Allegheny Power</w:t>
      </w:r>
      <w:r w:rsidRPr="00A1291C">
        <w:rPr>
          <w:szCs w:val="26"/>
        </w:rPr>
        <w:t xml:space="preserve">, Docket Nos. P-2007-2001826 </w:t>
      </w:r>
      <w:r w:rsidRPr="00A1291C">
        <w:rPr>
          <w:i/>
          <w:szCs w:val="26"/>
        </w:rPr>
        <w:t>et al.,</w:t>
      </w:r>
      <w:r w:rsidRPr="00A1291C">
        <w:rPr>
          <w:szCs w:val="26"/>
        </w:rPr>
        <w:t xml:space="preserve"> 103 Pa. P.U.C. 451, 472, 492-93 </w:t>
      </w:r>
      <w:r w:rsidR="00742D74" w:rsidRPr="00D94D61">
        <w:rPr>
          <w:i/>
          <w:szCs w:val="26"/>
        </w:rPr>
        <w:t>(</w:t>
      </w:r>
      <w:r w:rsidRPr="00D94D61">
        <w:rPr>
          <w:i/>
          <w:szCs w:val="26"/>
        </w:rPr>
        <w:t>Penn State</w:t>
      </w:r>
      <w:r w:rsidR="00742D74" w:rsidRPr="00D94D61">
        <w:rPr>
          <w:i/>
          <w:szCs w:val="26"/>
        </w:rPr>
        <w:t>)</w:t>
      </w:r>
      <w:r w:rsidR="00C878DA">
        <w:t xml:space="preserve"> </w:t>
      </w:r>
      <w:r w:rsidR="006C5423">
        <w:t>and was subsequently affirmed by the Commission and the Commonwealth Court that:</w:t>
      </w:r>
    </w:p>
    <w:p w14:paraId="1617B862" w14:textId="77777777" w:rsidR="006C5423" w:rsidRDefault="006C5423" w:rsidP="00CC0155"/>
    <w:p w14:paraId="27093EFA" w14:textId="2FE4FCC0" w:rsidR="006C5423" w:rsidRPr="001D01CB" w:rsidRDefault="006C5423" w:rsidP="00CC0155">
      <w:pPr>
        <w:spacing w:line="240" w:lineRule="auto"/>
        <w:ind w:left="1440" w:right="1440" w:firstLine="0"/>
      </w:pPr>
      <w:r>
        <w:t>The first flaw in Penn State</w:t>
      </w:r>
      <w:r w:rsidR="00E00225">
        <w:t>’</w:t>
      </w:r>
      <w:r>
        <w:t>s logic is its insistence that it should have been notified specifically that Tariff 37 rates would not be included in the rate cap extension.  This Commission and the litigants who appear before it simply do not operate under that premise in the normal course of business.</w:t>
      </w:r>
    </w:p>
    <w:p w14:paraId="28C1B937" w14:textId="77777777" w:rsidR="006C5423" w:rsidRDefault="006C5423" w:rsidP="00CC0155">
      <w:pPr>
        <w:ind w:firstLine="0"/>
        <w:rPr>
          <w:szCs w:val="26"/>
        </w:rPr>
      </w:pPr>
    </w:p>
    <w:p w14:paraId="2AEB35E5" w14:textId="75680ABD" w:rsidR="006C5423" w:rsidRDefault="006C5423" w:rsidP="00CC0155">
      <w:pPr>
        <w:ind w:firstLine="0"/>
      </w:pPr>
      <w:r>
        <w:rPr>
          <w:szCs w:val="26"/>
        </w:rPr>
        <w:t>R. Exc. at 10-11, citing,</w:t>
      </w:r>
      <w:r>
        <w:t xml:space="preserve"> </w:t>
      </w:r>
      <w:r w:rsidR="00C878DA" w:rsidRPr="00C878DA">
        <w:rPr>
          <w:i/>
        </w:rPr>
        <w:t>Penn State</w:t>
      </w:r>
      <w:r w:rsidRPr="00C878DA">
        <w:rPr>
          <w:i/>
        </w:rPr>
        <w:t xml:space="preserve"> </w:t>
      </w:r>
      <w:r>
        <w:t xml:space="preserve">(Recommended Decision of Administrative Law Judge Louis Cocheres issued July 28, 2008).  According to the Companies, actual service </w:t>
      </w:r>
      <w:r>
        <w:lastRenderedPageBreak/>
        <w:t xml:space="preserve">of the pleading that initiates a legal proceeding is the </w:t>
      </w:r>
      <w:r w:rsidR="00E00225">
        <w:t>“</w:t>
      </w:r>
      <w:r>
        <w:t>gold standard</w:t>
      </w:r>
      <w:r w:rsidR="00E00225">
        <w:t>”</w:t>
      </w:r>
      <w:r>
        <w:t xml:space="preserve"> for </w:t>
      </w:r>
      <w:r w:rsidR="00E00225">
        <w:t>“</w:t>
      </w:r>
      <w:r>
        <w:t>notice</w:t>
      </w:r>
      <w:r w:rsidR="00E00225">
        <w:t>”</w:t>
      </w:r>
      <w:r>
        <w:t xml:space="preserve"> and the fact that Respond was served with all the documents that initiated the DSP IV proceeding</w:t>
      </w:r>
      <w:r w:rsidR="005F08F1">
        <w:t>s</w:t>
      </w:r>
      <w:r>
        <w:t xml:space="preserve"> makes </w:t>
      </w:r>
      <w:r w:rsidR="00E0262B">
        <w:t>Respond</w:t>
      </w:r>
      <w:r w:rsidR="00E00225">
        <w:t>’</w:t>
      </w:r>
      <w:r w:rsidR="00E0262B">
        <w:t>s</w:t>
      </w:r>
      <w:r>
        <w:t xml:space="preserve"> argument moot.</w:t>
      </w:r>
      <w:r w:rsidR="00E0262B">
        <w:t xml:space="preserve">  </w:t>
      </w:r>
      <w:r>
        <w:t>R. Exc. at 11.</w:t>
      </w:r>
    </w:p>
    <w:p w14:paraId="1C7F4D8A" w14:textId="77777777" w:rsidR="006C5423" w:rsidRDefault="006C5423" w:rsidP="00CC0155">
      <w:pPr>
        <w:ind w:firstLine="0"/>
      </w:pPr>
    </w:p>
    <w:p w14:paraId="42636A76" w14:textId="02A96DD1" w:rsidR="00742D74" w:rsidRDefault="006C5423" w:rsidP="00CC0155">
      <w:pPr>
        <w:ind w:firstLine="0"/>
      </w:pPr>
      <w:r>
        <w:tab/>
      </w:r>
      <w:r>
        <w:tab/>
      </w:r>
      <w:r w:rsidR="0042505D">
        <w:t>Next, t</w:t>
      </w:r>
      <w:r w:rsidR="00FC4816">
        <w:t xml:space="preserve">he Companies aver </w:t>
      </w:r>
      <w:r w:rsidR="0042505D">
        <w:t xml:space="preserve">that </w:t>
      </w:r>
      <w:r w:rsidR="00FC4816">
        <w:t xml:space="preserve">the argument by Respond that POR programs are always coextensive with each DSP is invalid and baseless.  </w:t>
      </w:r>
      <w:r>
        <w:t>The Companies contend that despite Respond</w:t>
      </w:r>
      <w:r w:rsidR="00E00225">
        <w:t>’</w:t>
      </w:r>
      <w:r>
        <w:t>s claim</w:t>
      </w:r>
      <w:r w:rsidR="00641286">
        <w:t>,</w:t>
      </w:r>
      <w:r>
        <w:t xml:space="preserve"> while POR programs have been adopted in the context of DSP proceedings</w:t>
      </w:r>
      <w:r w:rsidR="00FC4816">
        <w:t xml:space="preserve"> </w:t>
      </w:r>
      <w:r>
        <w:t xml:space="preserve">and have also been modified in those proceedings, they are not necessarily coextensive with any particular DSP.  </w:t>
      </w:r>
      <w:r w:rsidRPr="005D1F7B">
        <w:rPr>
          <w:i/>
        </w:rPr>
        <w:t>Id.</w:t>
      </w:r>
      <w:r>
        <w:t xml:space="preserve"> at 11-13.  Further, the Companies assert that Respond</w:t>
      </w:r>
      <w:r w:rsidR="00E00225">
        <w:t>’</w:t>
      </w:r>
      <w:r>
        <w:t xml:space="preserve">s contention that the Commission-approved </w:t>
      </w:r>
      <w:proofErr w:type="spellStart"/>
      <w:r>
        <w:t>clawback</w:t>
      </w:r>
      <w:proofErr w:type="spellEnd"/>
      <w:r>
        <w:t xml:space="preserve"> provision constitutes a </w:t>
      </w:r>
      <w:r w:rsidR="00E00225">
        <w:t>“</w:t>
      </w:r>
      <w:r>
        <w:t>mid-course modification</w:t>
      </w:r>
      <w:r w:rsidR="00E00225">
        <w:t>”</w:t>
      </w:r>
      <w:r>
        <w:t xml:space="preserve"> is based on </w:t>
      </w:r>
      <w:r w:rsidR="008D24BE">
        <w:t xml:space="preserve">(1) </w:t>
      </w:r>
      <w:r>
        <w:t>Respond</w:t>
      </w:r>
      <w:r w:rsidR="00E00225">
        <w:t>’</w:t>
      </w:r>
      <w:r>
        <w:t xml:space="preserve">s erroneous assumption that each POR program must be co-terminus with a DSP plan and </w:t>
      </w:r>
      <w:r w:rsidR="008D24BE">
        <w:t xml:space="preserve">(2) </w:t>
      </w:r>
      <w:r>
        <w:t xml:space="preserve">that the </w:t>
      </w:r>
      <w:proofErr w:type="spellStart"/>
      <w:r>
        <w:t>clawback</w:t>
      </w:r>
      <w:proofErr w:type="spellEnd"/>
      <w:r>
        <w:t xml:space="preserve"> provision did not modify the Companies</w:t>
      </w:r>
      <w:r w:rsidR="00E00225">
        <w:t>’</w:t>
      </w:r>
      <w:r>
        <w:t xml:space="preserve"> DSP III</w:t>
      </w:r>
      <w:r w:rsidR="00641286">
        <w:t xml:space="preserve"> plan</w:t>
      </w:r>
      <w:r>
        <w:t xml:space="preserve">.  </w:t>
      </w:r>
      <w:r w:rsidRPr="005D1F7B">
        <w:rPr>
          <w:i/>
        </w:rPr>
        <w:t>Id.</w:t>
      </w:r>
      <w:r>
        <w:t xml:space="preserve"> at 13.</w:t>
      </w:r>
    </w:p>
    <w:p w14:paraId="196C0BAB" w14:textId="77777777" w:rsidR="00742D74" w:rsidRDefault="00742D74" w:rsidP="00CC0155">
      <w:pPr>
        <w:ind w:firstLine="0"/>
      </w:pPr>
    </w:p>
    <w:p w14:paraId="5ACE5536" w14:textId="5865E6EC" w:rsidR="006C5423" w:rsidRDefault="006C5423" w:rsidP="00CC0155">
      <w:r>
        <w:t>According to the Companies, Respond</w:t>
      </w:r>
      <w:r w:rsidR="00E00225">
        <w:t>’</w:t>
      </w:r>
      <w:r>
        <w:t xml:space="preserve">s </w:t>
      </w:r>
      <w:r w:rsidR="00E00225">
        <w:t>“</w:t>
      </w:r>
      <w:r>
        <w:t>mid-course modification</w:t>
      </w:r>
      <w:r w:rsidR="00E00225">
        <w:t>”</w:t>
      </w:r>
      <w:r>
        <w:t xml:space="preserve"> argument relies on a Commission decision related to PECO Energy Company</w:t>
      </w:r>
      <w:r w:rsidR="00E00225">
        <w:t>’</w:t>
      </w:r>
      <w:r>
        <w:t>s (PECO</w:t>
      </w:r>
      <w:r w:rsidR="00E00225">
        <w:t>’</w:t>
      </w:r>
      <w:r>
        <w:t>s) Act 129 Order</w:t>
      </w:r>
      <w:r w:rsidR="006C1B8B">
        <w:t>,</w:t>
      </w:r>
      <w:r>
        <w:t xml:space="preserve"> but that the facts of this case compares in no </w:t>
      </w:r>
      <w:r w:rsidR="00197D7A">
        <w:t>measure</w:t>
      </w:r>
      <w:r>
        <w:t xml:space="preserve"> to that case.</w:t>
      </w:r>
      <w:r>
        <w:rPr>
          <w:rStyle w:val="FootnoteReference"/>
        </w:rPr>
        <w:footnoteReference w:id="17"/>
      </w:r>
      <w:r>
        <w:t xml:space="preserve">  For instance, the Companies argue</w:t>
      </w:r>
      <w:r w:rsidR="00A02EE0">
        <w:t xml:space="preserve"> in that </w:t>
      </w:r>
      <w:r>
        <w:t xml:space="preserve">case, PECO attempted to transfer up to $20 million between different energy efficiency measures during the term of its first EE&amp;C plan </w:t>
      </w:r>
      <w:r w:rsidRPr="001D281C">
        <w:rPr>
          <w:i/>
        </w:rPr>
        <w:t>without the Commission</w:t>
      </w:r>
      <w:r w:rsidR="00E00225">
        <w:rPr>
          <w:i/>
        </w:rPr>
        <w:t>’</w:t>
      </w:r>
      <w:r w:rsidRPr="001D281C">
        <w:rPr>
          <w:i/>
        </w:rPr>
        <w:t xml:space="preserve">s prior approval. </w:t>
      </w:r>
      <w:r>
        <w:t xml:space="preserve"> However, in this case, the Companies argue they specifically and expressly requested prior Commission approval of their proposed POR program changes as part of the DSP IV proceedin</w:t>
      </w:r>
      <w:r w:rsidR="006D1023">
        <w:t>g</w:t>
      </w:r>
      <w:r w:rsidR="00494311">
        <w:t>s</w:t>
      </w:r>
      <w:r w:rsidR="006D1023">
        <w:t>.  The Companies further argue that they did</w:t>
      </w:r>
      <w:r>
        <w:t xml:space="preserve"> not try to impose any changes unilaterally</w:t>
      </w:r>
      <w:r w:rsidR="00B76D04">
        <w:t xml:space="preserve"> and </w:t>
      </w:r>
      <w:r>
        <w:t xml:space="preserve">provided notice to affected parties regarding their request.  </w:t>
      </w:r>
      <w:r w:rsidRPr="00085CF5">
        <w:rPr>
          <w:i/>
        </w:rPr>
        <w:t>Id.</w:t>
      </w:r>
      <w:r>
        <w:t xml:space="preserve"> </w:t>
      </w:r>
    </w:p>
    <w:p w14:paraId="38A7EDA8" w14:textId="77777777" w:rsidR="006C5423" w:rsidRDefault="006C5423" w:rsidP="00CC0155">
      <w:pPr>
        <w:ind w:firstLine="0"/>
      </w:pPr>
    </w:p>
    <w:p w14:paraId="3CB729D7" w14:textId="65DF653A" w:rsidR="006C1B8B" w:rsidRDefault="006C5423" w:rsidP="00CC0155">
      <w:pPr>
        <w:ind w:firstLine="0"/>
      </w:pPr>
      <w:r>
        <w:lastRenderedPageBreak/>
        <w:tab/>
      </w:r>
      <w:r>
        <w:tab/>
        <w:t>Next, the Companies dispute Respond</w:t>
      </w:r>
      <w:r w:rsidR="00E00225">
        <w:t>’</w:t>
      </w:r>
      <w:r>
        <w:t xml:space="preserve">s claim that the </w:t>
      </w:r>
      <w:proofErr w:type="spellStart"/>
      <w:r>
        <w:t>clawback</w:t>
      </w:r>
      <w:proofErr w:type="spellEnd"/>
      <w:r>
        <w:t xml:space="preserve"> provision cannot be lawfully implemented unless all EGSs have the individual customer-level information.  The Companies contend that contrary to Respond</w:t>
      </w:r>
      <w:r w:rsidR="00E00225">
        <w:t>’</w:t>
      </w:r>
      <w:r>
        <w:t xml:space="preserve">s representation, the </w:t>
      </w:r>
      <w:proofErr w:type="spellStart"/>
      <w:r>
        <w:t>clawback</w:t>
      </w:r>
      <w:proofErr w:type="spellEnd"/>
      <w:r>
        <w:t xml:space="preserve"> provision does not recoup the difference between the face value of accounts receivable purchased by the Companies and the amounts recovered.  Rather, the </w:t>
      </w:r>
      <w:proofErr w:type="spellStart"/>
      <w:r w:rsidR="002D0E88">
        <w:t>clawback</w:t>
      </w:r>
      <w:proofErr w:type="spellEnd"/>
      <w:r w:rsidR="002D0E88">
        <w:t xml:space="preserve"> charge</w:t>
      </w:r>
      <w:r>
        <w:t xml:space="preserve"> is an administrative charge for participation in the Companies POR program that is assessed based on: (1) cost-causation principles and; (2) EGSs identified by objective screening measures as those EGSs whose mode of operation, product mix and pricing have a strong correlation with excessive accounts-receivable write-off percentages.  </w:t>
      </w:r>
      <w:r w:rsidRPr="00085CF5">
        <w:rPr>
          <w:i/>
        </w:rPr>
        <w:t>Id.</w:t>
      </w:r>
      <w:r>
        <w:t xml:space="preserve"> at 14.  </w:t>
      </w:r>
    </w:p>
    <w:p w14:paraId="26783B9B" w14:textId="77777777" w:rsidR="006C1B8B" w:rsidRDefault="006C1B8B" w:rsidP="00CC0155">
      <w:pPr>
        <w:ind w:firstLine="0"/>
      </w:pPr>
    </w:p>
    <w:p w14:paraId="1D55153C" w14:textId="5858C606" w:rsidR="006C5423" w:rsidRDefault="006C5423" w:rsidP="00CC0155">
      <w:r>
        <w:t xml:space="preserve">The Companies further explain that EGSs that exhibit such structural and systemic characteristics tend to benefit </w:t>
      </w:r>
      <w:r w:rsidR="009E0626">
        <w:t xml:space="preserve">– </w:t>
      </w:r>
      <w:r>
        <w:t>significantly</w:t>
      </w:r>
      <w:r w:rsidR="009E0626">
        <w:t xml:space="preserve"> </w:t>
      </w:r>
      <w:r w:rsidR="00A17956">
        <w:t>- at</w:t>
      </w:r>
      <w:r>
        <w:t xml:space="preserve"> the expense of the Companies and their customers from selling their accounts receivable at face value and without recourse in the POR program.  As such, the Companies argue EGSs that fall into this group and for which the </w:t>
      </w:r>
      <w:proofErr w:type="spellStart"/>
      <w:r>
        <w:t>clawback</w:t>
      </w:r>
      <w:proofErr w:type="spellEnd"/>
      <w:r>
        <w:t xml:space="preserve"> provisions are established, should pay a reasonable administrative fee to continue to participate in the POR program.  </w:t>
      </w:r>
      <w:r w:rsidR="009E0626">
        <w:t>R.</w:t>
      </w:r>
      <w:r w:rsidR="00A17956">
        <w:t xml:space="preserve"> </w:t>
      </w:r>
      <w:r w:rsidR="009E0626">
        <w:t>Exc. at 14.</w:t>
      </w:r>
      <w:r>
        <w:t xml:space="preserve">  According to the Companies, the customer-level information referenced by Respond would not diminish the overriding significance of the structural and systemic factors that ultimately determine if an EGS will pass the </w:t>
      </w:r>
      <w:proofErr w:type="spellStart"/>
      <w:r>
        <w:t>clawback</w:t>
      </w:r>
      <w:proofErr w:type="spellEnd"/>
      <w:r>
        <w:t xml:space="preserve"> screening measures.  The Companies also aver, among other things, that based on Mr. Small</w:t>
      </w:r>
      <w:r w:rsidR="00E00225">
        <w:t>’</w:t>
      </w:r>
      <w:r>
        <w:t>s testimony, rather than change its mode of operation, product mix</w:t>
      </w:r>
      <w:r w:rsidR="00091D1B">
        <w:t>,</w:t>
      </w:r>
      <w:r>
        <w:t xml:space="preserve"> or pricing policy, Respond is only requesting the customer-level information to </w:t>
      </w:r>
      <w:r w:rsidR="00E00225">
        <w:t>“</w:t>
      </w:r>
      <w:r>
        <w:t>game</w:t>
      </w:r>
      <w:r w:rsidR="00E00225">
        <w:t>”</w:t>
      </w:r>
      <w:r>
        <w:t xml:space="preserve"> the </w:t>
      </w:r>
      <w:proofErr w:type="spellStart"/>
      <w:r>
        <w:t>clawback</w:t>
      </w:r>
      <w:proofErr w:type="spellEnd"/>
      <w:r>
        <w:t xml:space="preserve"> provision by targeting payment-troubled customers and dumping them back on the Companies</w:t>
      </w:r>
      <w:r w:rsidR="00E00225">
        <w:t>’</w:t>
      </w:r>
      <w:r>
        <w:t xml:space="preserve"> default service.  </w:t>
      </w:r>
      <w:r w:rsidRPr="00085CF5">
        <w:rPr>
          <w:i/>
        </w:rPr>
        <w:t>Id.</w:t>
      </w:r>
      <w:r>
        <w:t>, citing Respond St. 1 at 19.  From the Companies</w:t>
      </w:r>
      <w:r w:rsidR="00E00225">
        <w:t>’</w:t>
      </w:r>
      <w:r>
        <w:t xml:space="preserve"> p</w:t>
      </w:r>
      <w:r w:rsidR="001369E6">
        <w:t>oint of view</w:t>
      </w:r>
      <w:r>
        <w:t xml:space="preserve">, the level and detail of customer-payment information Respond is requesting is unnecessary, unachievable, and may </w:t>
      </w:r>
      <w:r w:rsidR="00091D1B">
        <w:t>represent an</w:t>
      </w:r>
      <w:r>
        <w:t xml:space="preserve"> attempt to undermine the </w:t>
      </w:r>
      <w:proofErr w:type="spellStart"/>
      <w:r>
        <w:t>clawback</w:t>
      </w:r>
      <w:proofErr w:type="spellEnd"/>
      <w:r>
        <w:t xml:space="preserve"> charge.  R. Exc. at 15-16.</w:t>
      </w:r>
    </w:p>
    <w:p w14:paraId="0B6FC971" w14:textId="5A8FA1D5" w:rsidR="00670F8C" w:rsidRDefault="00670F8C" w:rsidP="00CC0155">
      <w:pPr>
        <w:ind w:firstLine="0"/>
      </w:pPr>
    </w:p>
    <w:p w14:paraId="5340418B" w14:textId="7D497CAF" w:rsidR="00670F8C" w:rsidRPr="00E41838" w:rsidRDefault="00347685" w:rsidP="00F71658">
      <w:pPr>
        <w:keepNext/>
        <w:keepLines/>
        <w:ind w:firstLine="720"/>
        <w:rPr>
          <w:b/>
        </w:rPr>
      </w:pPr>
      <w:r>
        <w:rPr>
          <w:b/>
        </w:rPr>
        <w:lastRenderedPageBreak/>
        <w:tab/>
      </w:r>
      <w:r w:rsidR="00E40EC3">
        <w:rPr>
          <w:b/>
        </w:rPr>
        <w:t>c</w:t>
      </w:r>
      <w:r w:rsidR="0075456F">
        <w:rPr>
          <w:b/>
        </w:rPr>
        <w:t>.</w:t>
      </w:r>
      <w:r w:rsidR="0075456F">
        <w:rPr>
          <w:b/>
        </w:rPr>
        <w:tab/>
      </w:r>
      <w:r w:rsidR="009E0626" w:rsidRPr="00E41838">
        <w:rPr>
          <w:b/>
        </w:rPr>
        <w:t>Disposition</w:t>
      </w:r>
    </w:p>
    <w:p w14:paraId="20A3AC08" w14:textId="420B63A8" w:rsidR="006C5423" w:rsidRDefault="006C5423" w:rsidP="00F71658">
      <w:pPr>
        <w:keepNext/>
        <w:keepLines/>
        <w:ind w:firstLine="0"/>
      </w:pPr>
    </w:p>
    <w:p w14:paraId="0FDA3791" w14:textId="60B1A94C" w:rsidR="00091D1B" w:rsidRDefault="006C5423" w:rsidP="00CC0155">
      <w:r>
        <w:t xml:space="preserve">Upon </w:t>
      </w:r>
      <w:r w:rsidR="009E0626">
        <w:t>consideration of the Initial Decision</w:t>
      </w:r>
      <w:r w:rsidR="00091D1B">
        <w:t>, positions of the Parties,</w:t>
      </w:r>
      <w:r w:rsidR="009E0626">
        <w:t xml:space="preserve"> and </w:t>
      </w:r>
      <w:r>
        <w:t>review</w:t>
      </w:r>
      <w:r w:rsidR="009E0626">
        <w:t xml:space="preserve"> of the record</w:t>
      </w:r>
      <w:r>
        <w:t>, we shall deny Respond</w:t>
      </w:r>
      <w:r w:rsidR="00E00225">
        <w:t>’</w:t>
      </w:r>
      <w:r>
        <w:t xml:space="preserve">s first Exception.  </w:t>
      </w:r>
      <w:r w:rsidR="008F6D0C">
        <w:t>We</w:t>
      </w:r>
      <w:r w:rsidR="00E2382F">
        <w:t xml:space="preserve"> are not convinced by</w:t>
      </w:r>
      <w:r w:rsidR="008F6D0C">
        <w:t xml:space="preserve"> Respond</w:t>
      </w:r>
      <w:r w:rsidR="00E00225">
        <w:t>’</w:t>
      </w:r>
      <w:r w:rsidR="008F6D0C">
        <w:t xml:space="preserve">s argument that its due process rights were violated because it was not </w:t>
      </w:r>
      <w:r w:rsidR="009E0626">
        <w:t>provided</w:t>
      </w:r>
      <w:r w:rsidR="008F6D0C">
        <w:t xml:space="preserve"> adequate notice and an opportunity to be heard prior to the changes to th</w:t>
      </w:r>
      <w:r w:rsidR="00E82D44">
        <w:t>e Companies</w:t>
      </w:r>
      <w:r w:rsidR="00E00225">
        <w:t>’</w:t>
      </w:r>
      <w:r w:rsidR="008F6D0C">
        <w:t xml:space="preserve"> existing POR programs.  </w:t>
      </w:r>
      <w:r>
        <w:t xml:space="preserve">The record is very clear that Respond was provided adequate notice </w:t>
      </w:r>
      <w:r w:rsidR="00091D1B">
        <w:t>of the Companies</w:t>
      </w:r>
      <w:r w:rsidR="00E00225">
        <w:t>’</w:t>
      </w:r>
      <w:r w:rsidR="00091D1B">
        <w:t xml:space="preserve"> proposal, </w:t>
      </w:r>
      <w:r>
        <w:t xml:space="preserve">including when the </w:t>
      </w:r>
      <w:proofErr w:type="spellStart"/>
      <w:r>
        <w:t>clawback</w:t>
      </w:r>
      <w:proofErr w:type="spellEnd"/>
      <w:r>
        <w:t xml:space="preserve"> provision w</w:t>
      </w:r>
      <w:r w:rsidR="00091D1B">
        <w:t>ould</w:t>
      </w:r>
      <w:r>
        <w:t xml:space="preserve"> become effective and the type of data that would be </w:t>
      </w:r>
      <w:r w:rsidR="00FA7B0E">
        <w:t>utilized</w:t>
      </w:r>
      <w:r>
        <w:t xml:space="preserve"> to assess the </w:t>
      </w:r>
      <w:proofErr w:type="spellStart"/>
      <w:r>
        <w:t>clawback</w:t>
      </w:r>
      <w:proofErr w:type="spellEnd"/>
      <w:r>
        <w:t xml:space="preserve"> charge.</w:t>
      </w:r>
      <w:r w:rsidR="00815DEF">
        <w:t xml:space="preserve">  </w:t>
      </w:r>
    </w:p>
    <w:p w14:paraId="2AC458BA" w14:textId="77777777" w:rsidR="00091D1B" w:rsidRDefault="00091D1B" w:rsidP="00CC0155"/>
    <w:p w14:paraId="3307865E" w14:textId="1AB8AFA3" w:rsidR="00091D1B" w:rsidRDefault="00091D1B" w:rsidP="00CC0155">
      <w:r>
        <w:t>The record shows that</w:t>
      </w:r>
      <w:r w:rsidR="00815DEF">
        <w:t xml:space="preserve"> the Companies, in accordance with the Commission</w:t>
      </w:r>
      <w:r w:rsidR="00E00225">
        <w:t>’</w:t>
      </w:r>
      <w:r w:rsidR="00815DEF">
        <w:t>s Default Service Regulations at 52 Pa. Code §§ 54.185</w:t>
      </w:r>
      <w:r w:rsidR="00E82D44">
        <w:t xml:space="preserve"> and</w:t>
      </w:r>
      <w:r w:rsidR="00D4622A">
        <w:t xml:space="preserve"> </w:t>
      </w:r>
      <w:r w:rsidR="00E82D44">
        <w:t>54.188</w:t>
      </w:r>
      <w:r w:rsidR="00815DEF">
        <w:t xml:space="preserve">, served the </w:t>
      </w:r>
      <w:r w:rsidR="00E82D44">
        <w:t xml:space="preserve">DSP IV </w:t>
      </w:r>
      <w:r w:rsidR="00815DEF">
        <w:t xml:space="preserve">Joint Petition upon, </w:t>
      </w:r>
      <w:r w:rsidR="00815DEF" w:rsidRPr="004165D3">
        <w:rPr>
          <w:i/>
        </w:rPr>
        <w:t>inter alia,</w:t>
      </w:r>
      <w:r w:rsidR="00815DEF">
        <w:t xml:space="preserve"> all EGSs licensed to sell electric generation in their service territories, including Respond and RESA.  Companies St. 1 at 13.</w:t>
      </w:r>
      <w:r w:rsidR="00E82D44">
        <w:t xml:space="preserve">  T</w:t>
      </w:r>
      <w:r w:rsidR="004540CF">
        <w:t xml:space="preserve">he record </w:t>
      </w:r>
      <w:r w:rsidR="00E82D44">
        <w:t>also indicates</w:t>
      </w:r>
      <w:r w:rsidR="004540CF">
        <w:t xml:space="preserve"> that the DSP IV </w:t>
      </w:r>
      <w:r w:rsidR="00815DEF">
        <w:t xml:space="preserve">Joint </w:t>
      </w:r>
      <w:r w:rsidR="004540CF">
        <w:t xml:space="preserve">Petition and associated documents explicitly stated that the Companies were proposing to alter their POR program by adding the </w:t>
      </w:r>
      <w:proofErr w:type="spellStart"/>
      <w:r w:rsidR="004540CF">
        <w:t>clawback</w:t>
      </w:r>
      <w:proofErr w:type="spellEnd"/>
      <w:r w:rsidR="004540CF">
        <w:t xml:space="preserve"> provision.  </w:t>
      </w:r>
      <w:r w:rsidR="00752251">
        <w:t xml:space="preserve">The record evidence shows that </w:t>
      </w:r>
      <w:r w:rsidR="00FA6462">
        <w:t xml:space="preserve">several sections of </w:t>
      </w:r>
      <w:r w:rsidR="00F9161B">
        <w:t xml:space="preserve">the DSP IV </w:t>
      </w:r>
      <w:r w:rsidR="00815DEF">
        <w:t xml:space="preserve">Joint </w:t>
      </w:r>
      <w:r w:rsidR="00F9161B">
        <w:t>Petition highlighted the proposed POR program changes</w:t>
      </w:r>
      <w:r>
        <w:t>,</w:t>
      </w:r>
      <w:r w:rsidR="00F9161B">
        <w:t xml:space="preserve"> including the </w:t>
      </w:r>
      <w:proofErr w:type="spellStart"/>
      <w:r w:rsidR="00F9161B">
        <w:t>clawback</w:t>
      </w:r>
      <w:proofErr w:type="spellEnd"/>
      <w:r w:rsidR="00F9161B">
        <w:t xml:space="preserve"> provision.</w:t>
      </w:r>
    </w:p>
    <w:p w14:paraId="083573A9" w14:textId="77777777" w:rsidR="00091D1B" w:rsidRDefault="00091D1B" w:rsidP="00CC0155"/>
    <w:p w14:paraId="7A7971FC" w14:textId="16F6307D" w:rsidR="00091D1B" w:rsidRDefault="00F9161B" w:rsidP="00CC0155">
      <w:r>
        <w:t xml:space="preserve">For instance, </w:t>
      </w:r>
      <w:r w:rsidR="00B94C9C">
        <w:t>the proposed POR change was listed as No. 12</w:t>
      </w:r>
      <w:r>
        <w:t xml:space="preserve"> of the twelve separately numbered items </w:t>
      </w:r>
      <w:r w:rsidR="00B94C9C">
        <w:t xml:space="preserve">the Companies </w:t>
      </w:r>
      <w:r w:rsidR="00D95CE6">
        <w:t xml:space="preserve">were </w:t>
      </w:r>
      <w:r w:rsidR="00B94C9C">
        <w:t>request</w:t>
      </w:r>
      <w:r w:rsidR="00D95CE6">
        <w:t>ing</w:t>
      </w:r>
      <w:r w:rsidR="00D4622A">
        <w:t xml:space="preserve"> </w:t>
      </w:r>
      <w:r w:rsidR="00091D1B">
        <w:t>Co</w:t>
      </w:r>
      <w:r w:rsidR="00B94C9C">
        <w:t>m</w:t>
      </w:r>
      <w:r w:rsidR="00091D1B">
        <w:t>m</w:t>
      </w:r>
      <w:r w:rsidR="00B94C9C">
        <w:t>ission</w:t>
      </w:r>
      <w:r w:rsidR="00D4622A">
        <w:t xml:space="preserve"> </w:t>
      </w:r>
      <w:r w:rsidR="00B94C9C">
        <w:t>approval</w:t>
      </w:r>
      <w:r w:rsidR="00D95CE6">
        <w:t xml:space="preserve"> </w:t>
      </w:r>
      <w:r w:rsidR="00B94C9C">
        <w:t xml:space="preserve">in the DSP IV </w:t>
      </w:r>
      <w:r w:rsidR="00E82D44">
        <w:t xml:space="preserve">Joint </w:t>
      </w:r>
      <w:r w:rsidR="00B94C9C">
        <w:t xml:space="preserve">Petition.  </w:t>
      </w:r>
      <w:r w:rsidR="00EB1953">
        <w:t>Companies St. 1 at 4</w:t>
      </w:r>
      <w:r w:rsidR="0081590B">
        <w:t xml:space="preserve"> and 14</w:t>
      </w:r>
      <w:r w:rsidR="00EB1953">
        <w:t xml:space="preserve">, citing </w:t>
      </w:r>
      <w:r w:rsidR="00B94C9C">
        <w:t xml:space="preserve">DSP IV </w:t>
      </w:r>
      <w:r w:rsidR="0012073F">
        <w:t xml:space="preserve">Joint </w:t>
      </w:r>
      <w:r w:rsidR="00B94C9C">
        <w:t>Petition at 3.</w:t>
      </w:r>
      <w:r w:rsidR="000953AB">
        <w:t xml:space="preserve">  The</w:t>
      </w:r>
      <w:r w:rsidR="00752251">
        <w:t xml:space="preserve"> </w:t>
      </w:r>
      <w:r w:rsidR="000953AB">
        <w:t xml:space="preserve">proposed POR changes </w:t>
      </w:r>
      <w:r w:rsidR="00752251">
        <w:t xml:space="preserve">were also highlighted </w:t>
      </w:r>
      <w:r w:rsidR="000953AB">
        <w:t>in the summary of the subject matter addressed in the Direct Testimony of the</w:t>
      </w:r>
      <w:r w:rsidR="00752251">
        <w:t xml:space="preserve"> Companies</w:t>
      </w:r>
      <w:r w:rsidR="00E00225">
        <w:t>’</w:t>
      </w:r>
      <w:r w:rsidR="00752251">
        <w:t xml:space="preserve"> </w:t>
      </w:r>
      <w:r w:rsidR="000953AB">
        <w:t>three witnesses whose statements were submitted with and attached to the DSP IV</w:t>
      </w:r>
      <w:r w:rsidR="00752251">
        <w:t xml:space="preserve"> Joint Petition</w:t>
      </w:r>
      <w:r w:rsidR="000953AB">
        <w:t xml:space="preserve">.  </w:t>
      </w:r>
      <w:r w:rsidR="00EB1953">
        <w:t xml:space="preserve">Companies St. 1 at 4-5, citing DSP IV Petitions </w:t>
      </w:r>
      <w:r w:rsidR="000953AB">
        <w:t>at 5.</w:t>
      </w:r>
      <w:r w:rsidR="00353866">
        <w:t xml:space="preserve">  </w:t>
      </w:r>
    </w:p>
    <w:p w14:paraId="241FC0D9" w14:textId="77777777" w:rsidR="00091D1B" w:rsidRDefault="00091D1B" w:rsidP="00CC0155"/>
    <w:p w14:paraId="2EC8B046" w14:textId="27F26389" w:rsidR="00F9161B" w:rsidRDefault="003257D1" w:rsidP="00CC0155">
      <w:r>
        <w:lastRenderedPageBreak/>
        <w:t xml:space="preserve">Specifically, </w:t>
      </w:r>
      <w:r w:rsidR="00CE4480">
        <w:t>the proposed changes to the Companies</w:t>
      </w:r>
      <w:r w:rsidR="00E00225">
        <w:t>’</w:t>
      </w:r>
      <w:r w:rsidR="00CE4480">
        <w:t xml:space="preserve"> POR programs were</w:t>
      </w:r>
      <w:r w:rsidR="004910AF">
        <w:t xml:space="preserve"> </w:t>
      </w:r>
      <w:r w:rsidR="00CE4480">
        <w:t xml:space="preserve">highlighted </w:t>
      </w:r>
      <w:r w:rsidR="00353866">
        <w:t>in Section V (</w:t>
      </w:r>
      <w:r w:rsidR="00E00225">
        <w:t>“</w:t>
      </w:r>
      <w:r w:rsidR="00353866">
        <w:t xml:space="preserve">PURCHASE OF </w:t>
      </w:r>
      <w:r w:rsidR="00CE4480">
        <w:t>RECEIVABLES</w:t>
      </w:r>
      <w:r w:rsidR="00E00225">
        <w:t>”</w:t>
      </w:r>
      <w:r w:rsidR="00CE4480">
        <w:t>) Subsection A (EGS-Related Write-Offs</w:t>
      </w:r>
      <w:r w:rsidR="00E00225">
        <w:t>”</w:t>
      </w:r>
      <w:r w:rsidR="00CE4480">
        <w:t>)</w:t>
      </w:r>
      <w:r w:rsidR="0065602B">
        <w:t xml:space="preserve"> of the DSP IV </w:t>
      </w:r>
      <w:r w:rsidR="00350EA8">
        <w:t xml:space="preserve">Joint </w:t>
      </w:r>
      <w:r w:rsidR="0065602B">
        <w:t xml:space="preserve">Petition.  </w:t>
      </w:r>
      <w:r w:rsidR="00EB1953">
        <w:t>Companies St. 1 at 4-5</w:t>
      </w:r>
      <w:r w:rsidR="0081590B">
        <w:t xml:space="preserve"> and 14-15, </w:t>
      </w:r>
      <w:r w:rsidR="00EB1953">
        <w:t xml:space="preserve">citing DSP IV </w:t>
      </w:r>
      <w:r w:rsidR="0080633C">
        <w:t xml:space="preserve">Joint </w:t>
      </w:r>
      <w:r w:rsidR="00EB1953">
        <w:t>Petition</w:t>
      </w:r>
      <w:r w:rsidR="0065602B">
        <w:t xml:space="preserve"> at 17-18. </w:t>
      </w:r>
      <w:r w:rsidR="00EB1953">
        <w:t xml:space="preserve"> Finally, </w:t>
      </w:r>
      <w:r w:rsidR="00D207AA">
        <w:t xml:space="preserve">our review of </w:t>
      </w:r>
      <w:r w:rsidR="00EB1953">
        <w:t>the</w:t>
      </w:r>
      <w:r w:rsidR="0080633C">
        <w:t xml:space="preserve"> record evidence shows that </w:t>
      </w:r>
      <w:r w:rsidR="00EB1953">
        <w:t xml:space="preserve">changes to the POR programs, including the </w:t>
      </w:r>
      <w:proofErr w:type="spellStart"/>
      <w:r w:rsidR="00EB1953">
        <w:t>clawback</w:t>
      </w:r>
      <w:proofErr w:type="spellEnd"/>
      <w:r w:rsidR="00EB1953">
        <w:t xml:space="preserve"> provision, were discussed in detail in Statement No. 3 accompanying the DSP IV Joint Petition and set forth in </w:t>
      </w:r>
      <w:r w:rsidR="0080633C">
        <w:t xml:space="preserve">the </w:t>
      </w:r>
      <w:r w:rsidR="00EB1953">
        <w:t xml:space="preserve">proposed Supplier Coordination Tariffs also accompanying the </w:t>
      </w:r>
      <w:r w:rsidR="0062180D">
        <w:t>p</w:t>
      </w:r>
      <w:r w:rsidR="00EB1953">
        <w:t>etition.  Companies St.</w:t>
      </w:r>
      <w:r w:rsidR="00D207AA">
        <w:t> </w:t>
      </w:r>
      <w:r w:rsidR="00EB1953">
        <w:t>1</w:t>
      </w:r>
      <w:r w:rsidR="00D207AA">
        <w:t> </w:t>
      </w:r>
      <w:r w:rsidR="00EB1953">
        <w:t>at 5</w:t>
      </w:r>
      <w:r w:rsidR="0081590B">
        <w:t xml:space="preserve"> and 15</w:t>
      </w:r>
      <w:r w:rsidR="00EB1953">
        <w:t>.</w:t>
      </w:r>
    </w:p>
    <w:p w14:paraId="1C51D285" w14:textId="77777777" w:rsidR="00F9161B" w:rsidRDefault="00F9161B" w:rsidP="00CC0155">
      <w:pPr>
        <w:ind w:firstLine="0"/>
      </w:pPr>
    </w:p>
    <w:p w14:paraId="4BAEF943" w14:textId="18E14488" w:rsidR="00FD0301" w:rsidRDefault="006C5423" w:rsidP="00CC0155">
      <w:r>
        <w:t xml:space="preserve">As acknowledged by Respond, it was served the DSP IV </w:t>
      </w:r>
      <w:r w:rsidR="00884F33">
        <w:t xml:space="preserve">Joint </w:t>
      </w:r>
      <w:r>
        <w:t>Petition</w:t>
      </w:r>
      <w:r w:rsidR="00E47D4E">
        <w:t xml:space="preserve"> and </w:t>
      </w:r>
      <w:r>
        <w:t>the accompanying testimon</w:t>
      </w:r>
      <w:r w:rsidR="00FD0301">
        <w:t>ies</w:t>
      </w:r>
      <w:r>
        <w:t xml:space="preserve"> initiating the DSP IV proceeding</w:t>
      </w:r>
      <w:r w:rsidR="00FD0301">
        <w:t>s</w:t>
      </w:r>
      <w:r w:rsidR="00B656B3">
        <w:t xml:space="preserve"> which contained an expla</w:t>
      </w:r>
      <w:r w:rsidR="00DE6ACB">
        <w:t>nation of</w:t>
      </w:r>
      <w:r w:rsidR="00B656B3">
        <w:t xml:space="preserve"> the proposed </w:t>
      </w:r>
      <w:proofErr w:type="spellStart"/>
      <w:r w:rsidR="00B656B3">
        <w:t>clawback</w:t>
      </w:r>
      <w:proofErr w:type="spellEnd"/>
      <w:r w:rsidR="00B656B3">
        <w:t xml:space="preserve"> mechanism</w:t>
      </w:r>
      <w:r>
        <w:t xml:space="preserve">.  </w:t>
      </w:r>
      <w:r w:rsidR="00495E05">
        <w:t xml:space="preserve">Respond St. 1 at 13.  </w:t>
      </w:r>
      <w:r w:rsidR="006A6C48">
        <w:t>Respond averred that it did not intervene in the DSP IV proceedings due to, among other things, its limited resources and the fact that any additional costs incurred beyond conducting its primary business of supplying electricity will limit the products and services it can offer to consumers.</w:t>
      </w:r>
      <w:r w:rsidR="001218C9">
        <w:t xml:space="preserve">  </w:t>
      </w:r>
      <w:r w:rsidR="006A6C48">
        <w:t>Respond further indicate</w:t>
      </w:r>
      <w:r w:rsidR="00D420BF">
        <w:t>d</w:t>
      </w:r>
      <w:r w:rsidR="006A6C48">
        <w:t xml:space="preserve"> that it was unreasonable for it to intervene because proceedings of this nature can involve substantial litigation, become very complex, and can become very costly for an EGS like Respond that has little or no interest in the procurement of default service supply by the Companies.  </w:t>
      </w:r>
      <w:r w:rsidR="006A6C48" w:rsidRPr="006A6C48">
        <w:rPr>
          <w:i/>
        </w:rPr>
        <w:t>Id.</w:t>
      </w:r>
      <w:r w:rsidR="006A6C48">
        <w:t xml:space="preserve"> at 13-14. </w:t>
      </w:r>
      <w:r w:rsidR="00FD0301">
        <w:t xml:space="preserve"> </w:t>
      </w:r>
      <w:r w:rsidR="00FD0301">
        <w:rPr>
          <w:szCs w:val="26"/>
        </w:rPr>
        <w:t>However, u</w:t>
      </w:r>
      <w:r w:rsidR="00FD0301" w:rsidRPr="00F27447">
        <w:rPr>
          <w:szCs w:val="26"/>
        </w:rPr>
        <w:t>nlike Respond, RESA and two other EGSs that market generation services in the Companies</w:t>
      </w:r>
      <w:r w:rsidR="00E00225">
        <w:rPr>
          <w:szCs w:val="26"/>
        </w:rPr>
        <w:t>’</w:t>
      </w:r>
      <w:r w:rsidR="00FD0301" w:rsidRPr="00F27447">
        <w:rPr>
          <w:szCs w:val="26"/>
        </w:rPr>
        <w:t xml:space="preserve"> service territories</w:t>
      </w:r>
      <w:r w:rsidR="00FD0301">
        <w:rPr>
          <w:szCs w:val="26"/>
        </w:rPr>
        <w:t xml:space="preserve">, </w:t>
      </w:r>
      <w:r w:rsidR="00FD0301" w:rsidRPr="00F27447">
        <w:rPr>
          <w:szCs w:val="26"/>
        </w:rPr>
        <w:t>Direct Energy and Noble Americas Energy Solutions, LLC</w:t>
      </w:r>
      <w:r w:rsidR="00FD0301">
        <w:rPr>
          <w:szCs w:val="26"/>
        </w:rPr>
        <w:t xml:space="preserve">, </w:t>
      </w:r>
      <w:r w:rsidR="00FD0301" w:rsidRPr="00F27447">
        <w:rPr>
          <w:szCs w:val="26"/>
        </w:rPr>
        <w:t>participated in the DSP IV proceeding</w:t>
      </w:r>
      <w:r w:rsidR="00FD0301">
        <w:rPr>
          <w:szCs w:val="26"/>
        </w:rPr>
        <w:t xml:space="preserve"> and fully addressed the </w:t>
      </w:r>
      <w:proofErr w:type="spellStart"/>
      <w:r w:rsidR="00FD0301">
        <w:rPr>
          <w:szCs w:val="26"/>
        </w:rPr>
        <w:t>clawback</w:t>
      </w:r>
      <w:proofErr w:type="spellEnd"/>
      <w:r w:rsidR="00FD0301">
        <w:rPr>
          <w:szCs w:val="26"/>
        </w:rPr>
        <w:t xml:space="preserve"> provision and the settlement negotiations that led to the modification of the Companies</w:t>
      </w:r>
      <w:r w:rsidR="00E00225">
        <w:rPr>
          <w:szCs w:val="26"/>
        </w:rPr>
        <w:t>’</w:t>
      </w:r>
      <w:r w:rsidR="00FD0301">
        <w:rPr>
          <w:szCs w:val="26"/>
        </w:rPr>
        <w:t xml:space="preserve"> original proposal</w:t>
      </w:r>
      <w:r w:rsidR="00FD0301" w:rsidRPr="00F27447">
        <w:rPr>
          <w:szCs w:val="26"/>
        </w:rPr>
        <w:t>.  Companies St. 1 at 16</w:t>
      </w:r>
      <w:r w:rsidR="00FD0301">
        <w:rPr>
          <w:szCs w:val="26"/>
        </w:rPr>
        <w:t>-17</w:t>
      </w:r>
      <w:r w:rsidR="00FD0301" w:rsidRPr="00F27447">
        <w:rPr>
          <w:szCs w:val="26"/>
        </w:rPr>
        <w:t>.</w:t>
      </w:r>
    </w:p>
    <w:p w14:paraId="6841DA3A" w14:textId="77777777" w:rsidR="00C427A1" w:rsidRDefault="00C427A1" w:rsidP="00CC0155">
      <w:pPr>
        <w:ind w:firstLine="0"/>
      </w:pPr>
    </w:p>
    <w:p w14:paraId="7BC59102" w14:textId="73DB70A8" w:rsidR="00091D1B" w:rsidRDefault="00AA768E" w:rsidP="00CC0155">
      <w:pPr>
        <w:rPr>
          <w:szCs w:val="26"/>
        </w:rPr>
      </w:pPr>
      <w:r>
        <w:t>W</w:t>
      </w:r>
      <w:r w:rsidR="00D420BF">
        <w:t>e</w:t>
      </w:r>
      <w:r w:rsidR="004910AF">
        <w:t xml:space="preserve"> also</w:t>
      </w:r>
      <w:r w:rsidR="006A6C48">
        <w:t xml:space="preserve"> </w:t>
      </w:r>
      <w:r w:rsidR="00F955B5">
        <w:t>note the ALJ</w:t>
      </w:r>
      <w:r w:rsidR="00E00225">
        <w:t>’</w:t>
      </w:r>
      <w:r w:rsidR="00F955B5">
        <w:t>s determination that</w:t>
      </w:r>
      <w:r w:rsidR="00A542AD">
        <w:t xml:space="preserve"> </w:t>
      </w:r>
      <w:r w:rsidR="00945E36">
        <w:t xml:space="preserve">administrative agencies, such as the Commission, are required to provide due process to the parties appearing before them and that the due process requirement is satisfied when the administrative agency provides the parties notice and an opportunity to be heard.  I.D. at 31, citing </w:t>
      </w:r>
      <w:r w:rsidR="00DB375F" w:rsidRPr="00DB375F">
        <w:rPr>
          <w:i/>
          <w:szCs w:val="26"/>
        </w:rPr>
        <w:t xml:space="preserve">Schneider v. Pa. Pub. </w:t>
      </w:r>
      <w:r w:rsidR="00DB375F" w:rsidRPr="00DB375F">
        <w:rPr>
          <w:i/>
          <w:szCs w:val="26"/>
        </w:rPr>
        <w:lastRenderedPageBreak/>
        <w:t>Util. Comm</w:t>
      </w:r>
      <w:r w:rsidR="00E00225">
        <w:rPr>
          <w:i/>
          <w:szCs w:val="26"/>
        </w:rPr>
        <w:t>’</w:t>
      </w:r>
      <w:r w:rsidR="00DB375F" w:rsidRPr="00DB375F">
        <w:rPr>
          <w:i/>
          <w:szCs w:val="26"/>
        </w:rPr>
        <w:t>n.,</w:t>
      </w:r>
      <w:r w:rsidR="00DB375F" w:rsidRPr="00DB375F">
        <w:rPr>
          <w:szCs w:val="26"/>
        </w:rPr>
        <w:t xml:space="preserve"> 479 A.2d 10 (Pa. </w:t>
      </w:r>
      <w:proofErr w:type="spellStart"/>
      <w:r w:rsidR="00DB375F" w:rsidRPr="00DB375F">
        <w:rPr>
          <w:szCs w:val="26"/>
        </w:rPr>
        <w:t>Cmwlth</w:t>
      </w:r>
      <w:proofErr w:type="spellEnd"/>
      <w:r w:rsidR="00DB375F" w:rsidRPr="00DB375F">
        <w:rPr>
          <w:szCs w:val="26"/>
        </w:rPr>
        <w:t>. 1984)</w:t>
      </w:r>
      <w:r w:rsidR="00DB375F">
        <w:rPr>
          <w:szCs w:val="26"/>
        </w:rPr>
        <w:t>.</w:t>
      </w:r>
      <w:r w:rsidR="00D23B29">
        <w:rPr>
          <w:szCs w:val="26"/>
        </w:rPr>
        <w:t xml:space="preserve">  </w:t>
      </w:r>
      <w:r w:rsidR="00BB4141">
        <w:rPr>
          <w:szCs w:val="26"/>
        </w:rPr>
        <w:t xml:space="preserve">The record indicates that Respond received </w:t>
      </w:r>
      <w:r w:rsidR="00091D1B">
        <w:rPr>
          <w:szCs w:val="26"/>
        </w:rPr>
        <w:t xml:space="preserve">actual </w:t>
      </w:r>
      <w:r w:rsidR="00BB4141">
        <w:rPr>
          <w:szCs w:val="26"/>
        </w:rPr>
        <w:t xml:space="preserve">notice of the </w:t>
      </w:r>
      <w:r w:rsidR="004910AF">
        <w:rPr>
          <w:szCs w:val="26"/>
        </w:rPr>
        <w:t>P</w:t>
      </w:r>
      <w:r w:rsidR="00BB4141">
        <w:rPr>
          <w:szCs w:val="26"/>
        </w:rPr>
        <w:t xml:space="preserve">rehearing </w:t>
      </w:r>
      <w:r w:rsidR="004910AF">
        <w:rPr>
          <w:szCs w:val="26"/>
        </w:rPr>
        <w:t>C</w:t>
      </w:r>
      <w:r w:rsidR="00BB4141">
        <w:rPr>
          <w:szCs w:val="26"/>
        </w:rPr>
        <w:t>onference and the ALJ</w:t>
      </w:r>
      <w:r w:rsidR="00E00225">
        <w:rPr>
          <w:szCs w:val="26"/>
        </w:rPr>
        <w:t>’</w:t>
      </w:r>
      <w:r w:rsidR="00BB4141">
        <w:rPr>
          <w:szCs w:val="26"/>
        </w:rPr>
        <w:t xml:space="preserve">s Prehearing Conference Order.  Companies St. 1 at 4.  </w:t>
      </w:r>
      <w:r w:rsidR="00D420BF">
        <w:t>The record evidenc</w:t>
      </w:r>
      <w:r w:rsidR="00D23B29">
        <w:t xml:space="preserve">e </w:t>
      </w:r>
      <w:r w:rsidR="00BB4141">
        <w:t xml:space="preserve">also </w:t>
      </w:r>
      <w:r w:rsidR="00D23B29">
        <w:t>indicates</w:t>
      </w:r>
      <w:r w:rsidR="00D420BF">
        <w:t xml:space="preserve"> that n</w:t>
      </w:r>
      <w:r w:rsidR="006A6C48">
        <w:t xml:space="preserve">otice of the DSP IV </w:t>
      </w:r>
      <w:r w:rsidR="00D51B04">
        <w:t xml:space="preserve">Joint </w:t>
      </w:r>
      <w:r w:rsidR="006A6C48">
        <w:t xml:space="preserve">Petition was published in the November 14, 2015 </w:t>
      </w:r>
      <w:r w:rsidR="006A6C48" w:rsidRPr="00CD0396">
        <w:rPr>
          <w:i/>
        </w:rPr>
        <w:t xml:space="preserve">Pennsylvania Bulletin </w:t>
      </w:r>
      <w:r w:rsidR="006A6C48" w:rsidRPr="00CD0396">
        <w:t>at</w:t>
      </w:r>
      <w:r w:rsidR="006A6C48" w:rsidRPr="00CD0396">
        <w:rPr>
          <w:i/>
        </w:rPr>
        <w:t xml:space="preserve"> 45 </w:t>
      </w:r>
      <w:proofErr w:type="spellStart"/>
      <w:r w:rsidR="006A6C48" w:rsidRPr="00CD0396">
        <w:rPr>
          <w:i/>
        </w:rPr>
        <w:t>Pa.B</w:t>
      </w:r>
      <w:proofErr w:type="spellEnd"/>
      <w:r w:rsidR="006A6C48" w:rsidRPr="00CD0396">
        <w:rPr>
          <w:i/>
        </w:rPr>
        <w:t>.</w:t>
      </w:r>
      <w:r w:rsidR="006A6C48">
        <w:t xml:space="preserve"> 6645-6655.  This notice </w:t>
      </w:r>
      <w:r w:rsidR="00190F84">
        <w:t>highlight</w:t>
      </w:r>
      <w:r w:rsidR="004910AF">
        <w:t>ed</w:t>
      </w:r>
      <w:r w:rsidR="00407461">
        <w:t xml:space="preserve"> </w:t>
      </w:r>
      <w:r w:rsidR="006A6C48">
        <w:t xml:space="preserve">the November 30, 2015 </w:t>
      </w:r>
      <w:r w:rsidR="003F640E">
        <w:t xml:space="preserve">deadline </w:t>
      </w:r>
      <w:r w:rsidR="006A6C48">
        <w:t>for filing protests, petitions</w:t>
      </w:r>
      <w:r w:rsidR="003F640E">
        <w:t>,</w:t>
      </w:r>
      <w:r w:rsidR="006A6C48">
        <w:t xml:space="preserve"> and answers to the DSP IV </w:t>
      </w:r>
      <w:r w:rsidR="00D01710">
        <w:t xml:space="preserve">Joint </w:t>
      </w:r>
      <w:r w:rsidR="006A6C48">
        <w:t>Petition.</w:t>
      </w:r>
      <w:r w:rsidR="00D420BF">
        <w:t xml:space="preserve">  </w:t>
      </w:r>
      <w:r w:rsidR="00A542AD">
        <w:rPr>
          <w:szCs w:val="26"/>
        </w:rPr>
        <w:t>Here, the record shows that several EGSs</w:t>
      </w:r>
      <w:r w:rsidR="003F640E">
        <w:rPr>
          <w:szCs w:val="26"/>
        </w:rPr>
        <w:t>,</w:t>
      </w:r>
      <w:r w:rsidR="00A542AD">
        <w:rPr>
          <w:szCs w:val="26"/>
        </w:rPr>
        <w:t xml:space="preserve"> including Respond</w:t>
      </w:r>
      <w:r w:rsidR="003F640E">
        <w:rPr>
          <w:szCs w:val="26"/>
        </w:rPr>
        <w:t>,</w:t>
      </w:r>
      <w:r w:rsidR="00A542AD">
        <w:rPr>
          <w:szCs w:val="26"/>
        </w:rPr>
        <w:t xml:space="preserve"> were served copies of the DSP IV </w:t>
      </w:r>
      <w:r w:rsidR="009544C5">
        <w:rPr>
          <w:szCs w:val="26"/>
        </w:rPr>
        <w:t xml:space="preserve">Joint </w:t>
      </w:r>
      <w:r w:rsidR="00A542AD">
        <w:rPr>
          <w:szCs w:val="26"/>
        </w:rPr>
        <w:t>Petition and the supporting documents.</w:t>
      </w:r>
    </w:p>
    <w:p w14:paraId="4AB36EA0" w14:textId="77777777" w:rsidR="007D2DB6" w:rsidRDefault="007D2DB6" w:rsidP="00CC0155">
      <w:pPr>
        <w:rPr>
          <w:szCs w:val="26"/>
        </w:rPr>
      </w:pPr>
    </w:p>
    <w:p w14:paraId="607470F3" w14:textId="71C4EA57" w:rsidR="00A542AD" w:rsidRDefault="00A542AD" w:rsidP="00CC0155">
      <w:pPr>
        <w:rPr>
          <w:szCs w:val="26"/>
        </w:rPr>
      </w:pPr>
      <w:r>
        <w:rPr>
          <w:szCs w:val="26"/>
        </w:rPr>
        <w:t xml:space="preserve">Because Respond was served notice of the DSP IV </w:t>
      </w:r>
      <w:r w:rsidR="0050594C">
        <w:rPr>
          <w:szCs w:val="26"/>
        </w:rPr>
        <w:t xml:space="preserve">Joint </w:t>
      </w:r>
      <w:r>
        <w:rPr>
          <w:szCs w:val="26"/>
        </w:rPr>
        <w:t>Petition and</w:t>
      </w:r>
      <w:r w:rsidR="00F9661C">
        <w:rPr>
          <w:szCs w:val="26"/>
        </w:rPr>
        <w:t xml:space="preserve"> had</w:t>
      </w:r>
      <w:r>
        <w:rPr>
          <w:szCs w:val="26"/>
        </w:rPr>
        <w:t xml:space="preserve"> an opportunity to be heard</w:t>
      </w:r>
      <w:r w:rsidR="00F9661C">
        <w:rPr>
          <w:szCs w:val="26"/>
        </w:rPr>
        <w:t>, and</w:t>
      </w:r>
      <w:r>
        <w:rPr>
          <w:szCs w:val="26"/>
        </w:rPr>
        <w:t xml:space="preserve"> the DSP IV </w:t>
      </w:r>
      <w:r w:rsidR="00D54BC7">
        <w:rPr>
          <w:szCs w:val="26"/>
        </w:rPr>
        <w:t xml:space="preserve">Joint </w:t>
      </w:r>
      <w:r>
        <w:rPr>
          <w:szCs w:val="26"/>
        </w:rPr>
        <w:t xml:space="preserve">Petition </w:t>
      </w:r>
      <w:r w:rsidR="00F9661C">
        <w:rPr>
          <w:szCs w:val="26"/>
        </w:rPr>
        <w:t xml:space="preserve">was, in fact, published </w:t>
      </w:r>
      <w:r>
        <w:rPr>
          <w:szCs w:val="26"/>
        </w:rPr>
        <w:t xml:space="preserve">in the </w:t>
      </w:r>
      <w:r w:rsidRPr="00CD0396">
        <w:rPr>
          <w:i/>
        </w:rPr>
        <w:t>Pennsylvania Bulletin</w:t>
      </w:r>
      <w:r>
        <w:t>, we agree with the ALJ that Respond</w:t>
      </w:r>
      <w:r w:rsidR="00E00225">
        <w:t>’</w:t>
      </w:r>
      <w:r>
        <w:t>s due process rights were adequately protected.  I.D. at 31.</w:t>
      </w:r>
    </w:p>
    <w:p w14:paraId="0E0B55FF" w14:textId="77777777" w:rsidR="00A542AD" w:rsidRPr="00DB375F" w:rsidRDefault="00A542AD" w:rsidP="00CC0155">
      <w:pPr>
        <w:ind w:firstLine="0"/>
        <w:rPr>
          <w:szCs w:val="26"/>
        </w:rPr>
      </w:pPr>
    </w:p>
    <w:p w14:paraId="53789B98" w14:textId="4B5C1E73" w:rsidR="00112E6A" w:rsidRDefault="00F9661C" w:rsidP="00CC0155">
      <w:r>
        <w:t>T</w:t>
      </w:r>
      <w:r w:rsidR="00212F68">
        <w:t xml:space="preserve">he record is clear that </w:t>
      </w:r>
      <w:r w:rsidR="00DD4958">
        <w:t>unlike the other EGSs in the Companies</w:t>
      </w:r>
      <w:r w:rsidR="00E00225">
        <w:t>’</w:t>
      </w:r>
      <w:r w:rsidR="00DD4958">
        <w:t xml:space="preserve"> service territories as well as RESA, </w:t>
      </w:r>
      <w:r w:rsidR="00212F68">
        <w:t>Respond chose not to participate in the DSP IV proceedings</w:t>
      </w:r>
      <w:r w:rsidR="00DD4958">
        <w:t>,</w:t>
      </w:r>
      <w:r>
        <w:t xml:space="preserve"> </w:t>
      </w:r>
      <w:r w:rsidR="00212F68">
        <w:t xml:space="preserve">in order to address the </w:t>
      </w:r>
      <w:proofErr w:type="spellStart"/>
      <w:r w:rsidR="00212F68">
        <w:t>clawback</w:t>
      </w:r>
      <w:proofErr w:type="spellEnd"/>
      <w:r w:rsidR="00212F68">
        <w:t xml:space="preserve"> provision.  The </w:t>
      </w:r>
      <w:r w:rsidR="00212F68" w:rsidRPr="00112E6A">
        <w:rPr>
          <w:i/>
        </w:rPr>
        <w:t>Default Service Order</w:t>
      </w:r>
      <w:r w:rsidR="00212F68">
        <w:t xml:space="preserve"> containing the DSP IV Settlement which approved the modified </w:t>
      </w:r>
      <w:proofErr w:type="spellStart"/>
      <w:r w:rsidR="00212F68">
        <w:t>clawback</w:t>
      </w:r>
      <w:proofErr w:type="spellEnd"/>
      <w:r w:rsidR="00212F68">
        <w:t xml:space="preserve"> provision was entered on May 19, 2016.</w:t>
      </w:r>
      <w:r w:rsidR="00D545CD">
        <w:t xml:space="preserve">  </w:t>
      </w:r>
      <w:r w:rsidR="00407461">
        <w:t>As such</w:t>
      </w:r>
      <w:r w:rsidR="00ED7DA3">
        <w:t xml:space="preserve">, </w:t>
      </w:r>
      <w:r w:rsidR="00212F68">
        <w:t xml:space="preserve">we are not convinced that </w:t>
      </w:r>
      <w:r w:rsidR="00ED7DA3">
        <w:t>the</w:t>
      </w:r>
      <w:r w:rsidR="00212F68">
        <w:t xml:space="preserve"> reasons </w:t>
      </w:r>
      <w:r w:rsidR="00ED7DA3">
        <w:t xml:space="preserve">Respond gave for not participating in the DSP IV proceedings </w:t>
      </w:r>
      <w:r w:rsidR="00212F68">
        <w:t xml:space="preserve">overcome the fact that Respond was given </w:t>
      </w:r>
      <w:r w:rsidR="00ED7DA3">
        <w:t xml:space="preserve">adequate </w:t>
      </w:r>
      <w:r w:rsidR="00212F68">
        <w:t xml:space="preserve">notice and an opportunity to be heard but elected not to do so.  </w:t>
      </w:r>
      <w:r w:rsidR="00B16C12">
        <w:t>We agree with the ALJ that the parties to the settlement</w:t>
      </w:r>
      <w:r w:rsidR="00A116AD">
        <w:t>,</w:t>
      </w:r>
      <w:r w:rsidR="00B16C12">
        <w:t xml:space="preserve"> including other EGSs and RESA</w:t>
      </w:r>
      <w:r w:rsidR="00B656B3">
        <w:t>,</w:t>
      </w:r>
      <w:r w:rsidR="00B16C12">
        <w:t xml:space="preserve"> agreed to the </w:t>
      </w:r>
      <w:proofErr w:type="spellStart"/>
      <w:r w:rsidR="00B16C12">
        <w:t>clawback</w:t>
      </w:r>
      <w:proofErr w:type="spellEnd"/>
      <w:r w:rsidR="00B16C12">
        <w:t xml:space="preserve"> provisions in the </w:t>
      </w:r>
      <w:r w:rsidR="00ED7DA3">
        <w:t>DSP IV S</w:t>
      </w:r>
      <w:r w:rsidR="00B16C12">
        <w:t xml:space="preserve">ettlement </w:t>
      </w:r>
      <w:r w:rsidR="00B656B3">
        <w:t>that were</w:t>
      </w:r>
      <w:r w:rsidR="00B16C12">
        <w:t xml:space="preserve"> </w:t>
      </w:r>
      <w:r w:rsidR="00A116AD">
        <w:t xml:space="preserve">ultimately </w:t>
      </w:r>
      <w:r w:rsidR="00B16C12">
        <w:t xml:space="preserve">reflected in the </w:t>
      </w:r>
      <w:r w:rsidR="00ED7DA3">
        <w:t>S</w:t>
      </w:r>
      <w:r w:rsidR="00B16C12">
        <w:t xml:space="preserve">upplier </w:t>
      </w:r>
      <w:r w:rsidR="00ED7DA3">
        <w:t>C</w:t>
      </w:r>
      <w:r w:rsidR="00B16C12">
        <w:t xml:space="preserve">oordination </w:t>
      </w:r>
      <w:r w:rsidR="00976D3A">
        <w:t>T</w:t>
      </w:r>
      <w:r w:rsidR="00B16C12">
        <w:t xml:space="preserve">ariffs.  Therefore, as highlighted by the ALJ in his Initial Decision, the Companies have the authority to assess the </w:t>
      </w:r>
      <w:proofErr w:type="spellStart"/>
      <w:r w:rsidR="00B16C12">
        <w:t>clawback</w:t>
      </w:r>
      <w:proofErr w:type="spellEnd"/>
      <w:r w:rsidR="00B16C12">
        <w:t xml:space="preserve"> charges on Respond as of the effective date of the </w:t>
      </w:r>
      <w:r w:rsidR="00B16C12" w:rsidRPr="00112E6A">
        <w:rPr>
          <w:i/>
        </w:rPr>
        <w:t>Default Service Order</w:t>
      </w:r>
      <w:r w:rsidR="00A116AD">
        <w:t xml:space="preserve">.  </w:t>
      </w:r>
      <w:r w:rsidR="00A116AD">
        <w:rPr>
          <w:i/>
        </w:rPr>
        <w:t>See</w:t>
      </w:r>
      <w:r w:rsidR="00B16C12">
        <w:t xml:space="preserve"> I.D. at 30-31.</w:t>
      </w:r>
      <w:r w:rsidR="00DD4958">
        <w:t xml:space="preserve">  As such, we shall deny Respond</w:t>
      </w:r>
      <w:r w:rsidR="00E00225">
        <w:t>’</w:t>
      </w:r>
      <w:r w:rsidR="00DD4958">
        <w:t xml:space="preserve">s Exception No. 1. </w:t>
      </w:r>
    </w:p>
    <w:p w14:paraId="0DFC3FC3" w14:textId="77777777" w:rsidR="00B70C3A" w:rsidRDefault="00B70C3A" w:rsidP="00CC0155">
      <w:pPr>
        <w:rPr>
          <w:szCs w:val="26"/>
        </w:rPr>
      </w:pPr>
    </w:p>
    <w:p w14:paraId="05EB3C5A" w14:textId="2C12F32B" w:rsidR="0070264D" w:rsidRDefault="00E7714B" w:rsidP="00F71658">
      <w:pPr>
        <w:keepNext/>
        <w:keepLines/>
        <w:ind w:firstLine="720"/>
        <w:rPr>
          <w:b/>
          <w:szCs w:val="26"/>
        </w:rPr>
      </w:pPr>
      <w:r>
        <w:rPr>
          <w:b/>
          <w:szCs w:val="26"/>
        </w:rPr>
        <w:lastRenderedPageBreak/>
        <w:t>3.</w:t>
      </w:r>
      <w:r>
        <w:rPr>
          <w:b/>
          <w:szCs w:val="26"/>
        </w:rPr>
        <w:tab/>
      </w:r>
      <w:r w:rsidR="00A9400C" w:rsidRPr="00E41838">
        <w:rPr>
          <w:b/>
          <w:szCs w:val="26"/>
        </w:rPr>
        <w:t>Exception</w:t>
      </w:r>
      <w:r w:rsidR="00DA525A" w:rsidRPr="00E41838">
        <w:rPr>
          <w:b/>
          <w:szCs w:val="26"/>
        </w:rPr>
        <w:t xml:space="preserve"> No. 2 </w:t>
      </w:r>
      <w:r w:rsidR="00A9400C" w:rsidRPr="00E41838">
        <w:rPr>
          <w:b/>
          <w:szCs w:val="26"/>
        </w:rPr>
        <w:t>and Replies</w:t>
      </w:r>
      <w:r w:rsidR="0070264D">
        <w:rPr>
          <w:b/>
          <w:szCs w:val="26"/>
        </w:rPr>
        <w:t xml:space="preserve"> – Retroactive Ratemaking</w:t>
      </w:r>
    </w:p>
    <w:p w14:paraId="5F89E72B" w14:textId="77777777" w:rsidR="00BF4B07" w:rsidRPr="007D2DB6" w:rsidRDefault="00BF4B07" w:rsidP="003F640E">
      <w:pPr>
        <w:keepNext/>
        <w:keepLines/>
        <w:ind w:firstLine="0"/>
        <w:rPr>
          <w:szCs w:val="26"/>
        </w:rPr>
      </w:pPr>
    </w:p>
    <w:p w14:paraId="4E8F0E70" w14:textId="7AA9BC67" w:rsidR="00A9400C" w:rsidRDefault="00E7714B" w:rsidP="003F640E">
      <w:pPr>
        <w:keepNext/>
        <w:keepLines/>
        <w:rPr>
          <w:b/>
        </w:rPr>
      </w:pPr>
      <w:r>
        <w:rPr>
          <w:b/>
        </w:rPr>
        <w:t>a.</w:t>
      </w:r>
      <w:r>
        <w:rPr>
          <w:b/>
        </w:rPr>
        <w:tab/>
      </w:r>
      <w:r w:rsidR="0070264D">
        <w:rPr>
          <w:b/>
        </w:rPr>
        <w:t>Respond’s Exceptions</w:t>
      </w:r>
    </w:p>
    <w:p w14:paraId="7E4CEDE9" w14:textId="77777777" w:rsidR="00BF4B07" w:rsidRPr="00E41838" w:rsidRDefault="00BF4B07" w:rsidP="00F71658">
      <w:pPr>
        <w:keepNext/>
        <w:keepLines/>
        <w:ind w:left="720"/>
        <w:rPr>
          <w:b/>
        </w:rPr>
      </w:pPr>
    </w:p>
    <w:p w14:paraId="139B58DA" w14:textId="2809001D" w:rsidR="004D7190" w:rsidRDefault="00A9400C" w:rsidP="00CC0155">
      <w:r w:rsidRPr="00117CC1">
        <w:t xml:space="preserve">In its </w:t>
      </w:r>
      <w:r>
        <w:t xml:space="preserve">second </w:t>
      </w:r>
      <w:r w:rsidRPr="00117CC1">
        <w:t>Exceptio</w:t>
      </w:r>
      <w:r>
        <w:t>n</w:t>
      </w:r>
      <w:r w:rsidRPr="00117CC1">
        <w:t xml:space="preserve">, </w:t>
      </w:r>
      <w:r>
        <w:t>Respond</w:t>
      </w:r>
      <w:r w:rsidRPr="00117CC1">
        <w:t xml:space="preserve"> argues the ALJ erred</w:t>
      </w:r>
      <w:r>
        <w:t xml:space="preserve"> in failing to find that the application of the </w:t>
      </w:r>
      <w:proofErr w:type="spellStart"/>
      <w:r>
        <w:t>clawback</w:t>
      </w:r>
      <w:proofErr w:type="spellEnd"/>
      <w:r>
        <w:t xml:space="preserve"> charge mechanism violates the rules against retroactive ratemaking.  Respond contends that the Companies</w:t>
      </w:r>
      <w:r w:rsidR="00E00225">
        <w:t>’</w:t>
      </w:r>
      <w:r>
        <w:t xml:space="preserve"> application of the </w:t>
      </w:r>
      <w:proofErr w:type="spellStart"/>
      <w:r>
        <w:t>clawback</w:t>
      </w:r>
      <w:proofErr w:type="spellEnd"/>
      <w:r>
        <w:t xml:space="preserve"> charge mechanism is retroactive and should be rejected for the following reasons: (1) the DSP IV program change went into effect on August 21, 2016, during the DSP III plan period and prior to its effective date of June 1, 2017; (2) it is based on write-offs that occurred from September 1, 2015 through August 31, 2016; and (3) it uses pricing data from the same time period.  Exc. at 22-23.  </w:t>
      </w:r>
    </w:p>
    <w:p w14:paraId="216BC9DA" w14:textId="77777777" w:rsidR="007D2DB6" w:rsidRDefault="007D2DB6" w:rsidP="00CC0155"/>
    <w:p w14:paraId="6129C304" w14:textId="0DCDDCF7" w:rsidR="00A9400C" w:rsidRDefault="00A9400C" w:rsidP="00CC0155">
      <w:r>
        <w:t xml:space="preserve">In its attempt to criticize the </w:t>
      </w:r>
      <w:r w:rsidR="00AB1C9D">
        <w:t>ALJ</w:t>
      </w:r>
      <w:r w:rsidR="00E00225">
        <w:t>’</w:t>
      </w:r>
      <w:r w:rsidR="00AB1C9D">
        <w:t>s</w:t>
      </w:r>
      <w:r w:rsidR="00510914">
        <w:t xml:space="preserve"> ruling </w:t>
      </w:r>
      <w:r>
        <w:t xml:space="preserve">that the </w:t>
      </w:r>
      <w:proofErr w:type="spellStart"/>
      <w:r>
        <w:t>clawback</w:t>
      </w:r>
      <w:proofErr w:type="spellEnd"/>
      <w:r>
        <w:t xml:space="preserve"> charges are not rates, Respond maintains the rules against retroactive ratemaking prohibit the Commission from allowing utilities to impose rates to recoup past losses.  From Respond</w:t>
      </w:r>
      <w:r w:rsidR="00E00225">
        <w:t>’</w:t>
      </w:r>
      <w:r>
        <w:t xml:space="preserve">s point of view, everything that the rule against retroactive ratemaking seeks to avoid, happened when the Companies assessed </w:t>
      </w:r>
      <w:proofErr w:type="spellStart"/>
      <w:r>
        <w:t>clawback</w:t>
      </w:r>
      <w:proofErr w:type="spellEnd"/>
      <w:r>
        <w:t xml:space="preserve"> charges against Respond, including the fact that:</w:t>
      </w:r>
    </w:p>
    <w:p w14:paraId="1A2B529D" w14:textId="77777777" w:rsidR="00A9400C" w:rsidRDefault="00A9400C" w:rsidP="00CC0155"/>
    <w:p w14:paraId="0B0D0291" w14:textId="6FF4248C" w:rsidR="00A9400C" w:rsidRDefault="00A9400C" w:rsidP="00CC0155">
      <w:pPr>
        <w:spacing w:line="240" w:lineRule="auto"/>
        <w:ind w:left="1440" w:right="1440" w:firstLine="0"/>
      </w:pPr>
      <w:r>
        <w:t xml:space="preserve">The Companies made after-the-fact corrections to their DSP III POR program, converting it from </w:t>
      </w:r>
      <w:r w:rsidR="00E00225">
        <w:t>“</w:t>
      </w:r>
      <w:r>
        <w:t>non-recourse</w:t>
      </w:r>
      <w:r w:rsidR="00E00225">
        <w:t>”</w:t>
      </w:r>
      <w:r>
        <w:t xml:space="preserve"> to </w:t>
      </w:r>
      <w:r w:rsidR="00E00225">
        <w:t>“</w:t>
      </w:r>
      <w:r>
        <w:t>with-recourse</w:t>
      </w:r>
      <w:r w:rsidR="00E00225">
        <w:t>”</w:t>
      </w:r>
      <w:r>
        <w:t xml:space="preserve"> resulting in Respond Power being assessed a charge that was not part of the DSP III POR program in which it was participating; </w:t>
      </w:r>
    </w:p>
    <w:p w14:paraId="0D282AA1" w14:textId="77777777" w:rsidR="00A9400C" w:rsidRDefault="00A9400C" w:rsidP="00CC0155">
      <w:pPr>
        <w:spacing w:line="240" w:lineRule="auto"/>
        <w:ind w:left="1440" w:right="1440" w:firstLine="0"/>
      </w:pPr>
    </w:p>
    <w:p w14:paraId="58F80D92" w14:textId="77777777" w:rsidR="00A9400C" w:rsidRDefault="00A9400C" w:rsidP="00CC0155">
      <w:pPr>
        <w:spacing w:line="240" w:lineRule="auto"/>
        <w:ind w:left="1440" w:right="1440" w:firstLine="0"/>
      </w:pPr>
      <w:r>
        <w:t>The Companies retroactively implemented a charge due to growing uncollectible expenses that it had not previously anticipated;</w:t>
      </w:r>
    </w:p>
    <w:p w14:paraId="3F2D84E3" w14:textId="77777777" w:rsidR="00A9400C" w:rsidRDefault="00A9400C" w:rsidP="00CC0155">
      <w:pPr>
        <w:spacing w:line="240" w:lineRule="auto"/>
        <w:ind w:left="1440" w:right="1440" w:firstLine="0"/>
      </w:pPr>
    </w:p>
    <w:p w14:paraId="504FD30D" w14:textId="77777777" w:rsidR="00A9400C" w:rsidRDefault="00A9400C" w:rsidP="00CC0155">
      <w:pPr>
        <w:spacing w:line="240" w:lineRule="auto"/>
        <w:ind w:left="1440" w:right="1440" w:firstLine="0"/>
      </w:pPr>
      <w:r>
        <w:t>The Companies imposed a retroactive fee to recoup higher levels of uncollectible expenses;</w:t>
      </w:r>
    </w:p>
    <w:p w14:paraId="21608AB7" w14:textId="77777777" w:rsidR="00A9400C" w:rsidRDefault="00A9400C" w:rsidP="00CC0155">
      <w:pPr>
        <w:spacing w:line="240" w:lineRule="auto"/>
        <w:ind w:left="1440" w:right="1440" w:firstLine="0"/>
      </w:pPr>
    </w:p>
    <w:p w14:paraId="0FB66507" w14:textId="77777777" w:rsidR="00A9400C" w:rsidRDefault="00A9400C" w:rsidP="00CC0155">
      <w:pPr>
        <w:spacing w:line="240" w:lineRule="auto"/>
        <w:ind w:left="1440" w:right="1440" w:firstLine="0"/>
      </w:pPr>
      <w:r>
        <w:lastRenderedPageBreak/>
        <w:t xml:space="preserve">The Companies devised a different method for recovering uncollectible expenses by establishing a </w:t>
      </w:r>
      <w:proofErr w:type="spellStart"/>
      <w:r>
        <w:t>clawback</w:t>
      </w:r>
      <w:proofErr w:type="spellEnd"/>
      <w:r>
        <w:t xml:space="preserve"> charge to be retroactively imposed on certain EGSs;</w:t>
      </w:r>
    </w:p>
    <w:p w14:paraId="634E6926" w14:textId="77777777" w:rsidR="00A9400C" w:rsidRDefault="00A9400C" w:rsidP="00CC0155">
      <w:pPr>
        <w:spacing w:line="240" w:lineRule="auto"/>
        <w:ind w:left="1440" w:right="1440" w:firstLine="0"/>
      </w:pPr>
    </w:p>
    <w:p w14:paraId="5224CC11" w14:textId="77777777" w:rsidR="00A9400C" w:rsidRDefault="00A9400C" w:rsidP="00CC0155">
      <w:pPr>
        <w:spacing w:line="240" w:lineRule="auto"/>
        <w:ind w:left="1440" w:right="1440" w:firstLine="0"/>
      </w:pPr>
      <w:r>
        <w:t>The Companies raised the cost, after-the-fact, for EGSs participating in the POR program;</w:t>
      </w:r>
    </w:p>
    <w:p w14:paraId="68B58C47" w14:textId="77777777" w:rsidR="00A9400C" w:rsidRDefault="00A9400C" w:rsidP="00CC0155">
      <w:pPr>
        <w:spacing w:line="240" w:lineRule="auto"/>
        <w:ind w:left="1440" w:right="1440" w:firstLine="0"/>
      </w:pPr>
    </w:p>
    <w:p w14:paraId="17D37369" w14:textId="77777777" w:rsidR="00A9400C" w:rsidRDefault="00A9400C" w:rsidP="00CC0155">
      <w:pPr>
        <w:spacing w:line="240" w:lineRule="auto"/>
        <w:ind w:left="1440" w:right="1440" w:firstLine="0"/>
      </w:pPr>
      <w:r>
        <w:t>The Companies provided no notice to EGSs during the program period that their participation would be subject to the later imposition of an additional fee;</w:t>
      </w:r>
    </w:p>
    <w:p w14:paraId="25FF410A" w14:textId="77777777" w:rsidR="00A9400C" w:rsidRDefault="00A9400C" w:rsidP="00CC0155">
      <w:pPr>
        <w:spacing w:line="240" w:lineRule="auto"/>
        <w:ind w:left="1440" w:right="1440" w:firstLine="0"/>
      </w:pPr>
    </w:p>
    <w:p w14:paraId="4C6ED175" w14:textId="6E07827F" w:rsidR="00A9400C" w:rsidRDefault="00A9400C" w:rsidP="00CC0155">
      <w:pPr>
        <w:spacing w:line="240" w:lineRule="auto"/>
        <w:ind w:left="1440" w:right="1440" w:firstLine="0"/>
      </w:pPr>
      <w:r>
        <w:t>The Companies made mid-course unilateral choices about the terms and conditions about the DSP III POR program; and</w:t>
      </w:r>
    </w:p>
    <w:p w14:paraId="52665184" w14:textId="77777777" w:rsidR="00A9400C" w:rsidRDefault="00A9400C" w:rsidP="00CC0155">
      <w:pPr>
        <w:spacing w:line="240" w:lineRule="auto"/>
        <w:ind w:left="1440" w:right="1440" w:firstLine="0"/>
      </w:pPr>
    </w:p>
    <w:p w14:paraId="3A5210E4" w14:textId="31264616" w:rsidR="00A9400C" w:rsidRDefault="00A9400C" w:rsidP="00CC0155">
      <w:pPr>
        <w:spacing w:line="240" w:lineRule="auto"/>
        <w:ind w:left="1440" w:right="1440" w:firstLine="0"/>
      </w:pPr>
      <w:r>
        <w:t xml:space="preserve">The Companies removed all certainty and predictability from the POR program by implementing </w:t>
      </w:r>
      <w:proofErr w:type="spellStart"/>
      <w:r>
        <w:t>clawback</w:t>
      </w:r>
      <w:proofErr w:type="spellEnd"/>
      <w:r>
        <w:t xml:space="preserve"> charges on a retroactive basis.</w:t>
      </w:r>
    </w:p>
    <w:p w14:paraId="795ECFCB" w14:textId="77777777" w:rsidR="00A9400C" w:rsidRDefault="00A9400C" w:rsidP="00CC0155">
      <w:pPr>
        <w:spacing w:line="240" w:lineRule="auto"/>
        <w:ind w:right="1440" w:firstLine="0"/>
      </w:pPr>
    </w:p>
    <w:p w14:paraId="45569E33" w14:textId="77777777" w:rsidR="00A9400C" w:rsidRDefault="00A9400C" w:rsidP="00CC0155">
      <w:pPr>
        <w:spacing w:line="240" w:lineRule="auto"/>
        <w:ind w:right="1440" w:firstLine="0"/>
      </w:pPr>
    </w:p>
    <w:p w14:paraId="26FFE352" w14:textId="0E0C9BAE" w:rsidR="00A9400C" w:rsidRDefault="0055668A" w:rsidP="00CC0155">
      <w:pPr>
        <w:spacing w:line="240" w:lineRule="auto"/>
        <w:ind w:right="1440" w:firstLine="0"/>
      </w:pPr>
      <w:r>
        <w:t>Exc.</w:t>
      </w:r>
      <w:r w:rsidR="00A9400C">
        <w:t xml:space="preserve"> at 23-25.  </w:t>
      </w:r>
    </w:p>
    <w:p w14:paraId="14BD213B" w14:textId="77777777" w:rsidR="00BA3860" w:rsidRDefault="00BA3860" w:rsidP="00CC0155">
      <w:pPr>
        <w:spacing w:line="240" w:lineRule="auto"/>
        <w:ind w:right="1440" w:firstLine="0"/>
      </w:pPr>
    </w:p>
    <w:p w14:paraId="41C07DA2" w14:textId="77777777" w:rsidR="00A9400C" w:rsidRDefault="00A9400C" w:rsidP="00CC0155">
      <w:pPr>
        <w:spacing w:line="240" w:lineRule="auto"/>
        <w:ind w:right="1440" w:firstLine="0"/>
      </w:pPr>
    </w:p>
    <w:p w14:paraId="10A07636" w14:textId="67856C96" w:rsidR="00A9400C" w:rsidRDefault="00A9400C" w:rsidP="00CC0155">
      <w:r>
        <w:t xml:space="preserve">Respond generally argues that because the </w:t>
      </w:r>
      <w:proofErr w:type="spellStart"/>
      <w:r>
        <w:t>clawback</w:t>
      </w:r>
      <w:proofErr w:type="spellEnd"/>
      <w:r>
        <w:t xml:space="preserve"> charges assessed by the Companies in 2016 and 2017 were based on historical data from the prior twelve-month period and included amounts dating back to 2013, they are retroactive, unreasonable, and should be rejected.  </w:t>
      </w:r>
      <w:r w:rsidRPr="002A731E">
        <w:rPr>
          <w:i/>
        </w:rPr>
        <w:t>Id.</w:t>
      </w:r>
      <w:r>
        <w:t xml:space="preserve"> at 25-26.</w:t>
      </w:r>
    </w:p>
    <w:p w14:paraId="25198A31" w14:textId="5FD72DCD" w:rsidR="00DE6A40" w:rsidRDefault="00DE6A40" w:rsidP="00CC0155"/>
    <w:p w14:paraId="5D04ED8F" w14:textId="04A39355" w:rsidR="00DE6A40" w:rsidRDefault="00DE6A40" w:rsidP="00CC0155">
      <w:r>
        <w:t>Respond also counters the ALJ</w:t>
      </w:r>
      <w:r w:rsidR="00E00225">
        <w:t>’</w:t>
      </w:r>
      <w:r>
        <w:t xml:space="preserve">s reference to situations where the Commission has approved rates and charges based on historical data.  According to Respond, the examples the ALJ gave involved historical demand patterns of customers that are used to determine future rates.  </w:t>
      </w:r>
      <w:r w:rsidR="0055668A">
        <w:t>Exc.</w:t>
      </w:r>
      <w:r>
        <w:t xml:space="preserve"> at 26.</w:t>
      </w:r>
      <w:r w:rsidR="00277A13">
        <w:t xml:space="preserve">  Respond argues that in those cases the customers always knew that they were going to be billed for their usage and that the only possible changes may have been the specific billing determinants that would be used.  However, Respond argues that in this case, it expected to be fully compensated for its receivables without recourse from the Companies.  Rather, </w:t>
      </w:r>
      <w:r w:rsidR="0055668A">
        <w:t xml:space="preserve">argues Respond, </w:t>
      </w:r>
      <w:r w:rsidR="00277A13">
        <w:t xml:space="preserve">the Companies are using the </w:t>
      </w:r>
      <w:proofErr w:type="spellStart"/>
      <w:r w:rsidR="00277A13">
        <w:t>clawback</w:t>
      </w:r>
      <w:proofErr w:type="spellEnd"/>
      <w:r w:rsidR="00277A13">
        <w:t xml:space="preserve"> charges as a reason to hold back part of Respond</w:t>
      </w:r>
      <w:r w:rsidR="00E00225">
        <w:t>’</w:t>
      </w:r>
      <w:r w:rsidR="00277A13">
        <w:t xml:space="preserve">s </w:t>
      </w:r>
      <w:r w:rsidR="00277A13">
        <w:lastRenderedPageBreak/>
        <w:t>compensation</w:t>
      </w:r>
      <w:r w:rsidR="00BF1BC2">
        <w:t xml:space="preserve"> as </w:t>
      </w:r>
      <w:r w:rsidR="00EC6462">
        <w:t xml:space="preserve">the </w:t>
      </w:r>
      <w:r w:rsidR="00BF1BC2">
        <w:t xml:space="preserve">Companies are trying to impose charges on Respond that </w:t>
      </w:r>
      <w:r w:rsidR="0055668A">
        <w:t>are</w:t>
      </w:r>
      <w:r w:rsidR="00BF1BC2">
        <w:t xml:space="preserve"> related to billed amounts that were not paid by the customers and were not collected by the Companies.  Respond argues that since they do not have control over either the customers</w:t>
      </w:r>
      <w:r w:rsidR="00E00225">
        <w:t>’</w:t>
      </w:r>
      <w:r w:rsidR="00BF1BC2">
        <w:t xml:space="preserve"> inability to pay or the Companies</w:t>
      </w:r>
      <w:r w:rsidR="00E00225">
        <w:t>’</w:t>
      </w:r>
      <w:r w:rsidR="00BF1BC2">
        <w:t xml:space="preserve"> inability to collect, they should not be held liable</w:t>
      </w:r>
      <w:r w:rsidR="000C2C03">
        <w:t xml:space="preserve"> for the uncollectibles</w:t>
      </w:r>
      <w:r w:rsidR="00BF1BC2">
        <w:t xml:space="preserve">.  </w:t>
      </w:r>
      <w:r w:rsidR="00BF1BC2" w:rsidRPr="00BF1BC2">
        <w:rPr>
          <w:i/>
        </w:rPr>
        <w:t>Id.</w:t>
      </w:r>
    </w:p>
    <w:p w14:paraId="56F8F325" w14:textId="2794B44D" w:rsidR="005A1460" w:rsidRDefault="005A1460" w:rsidP="00CC0155"/>
    <w:p w14:paraId="0ED5A9FE" w14:textId="4298BB78" w:rsidR="005A1460" w:rsidRDefault="005A1460" w:rsidP="00CC0155">
      <w:r>
        <w:t xml:space="preserve">Next, </w:t>
      </w:r>
      <w:r w:rsidR="00A0767A">
        <w:t>disputing the ALJ</w:t>
      </w:r>
      <w:r w:rsidR="00E00225">
        <w:t>’</w:t>
      </w:r>
      <w:r w:rsidR="00A0767A">
        <w:t xml:space="preserve">s determination that </w:t>
      </w:r>
      <w:r w:rsidR="007A36C8">
        <w:t xml:space="preserve">Respond fails to explain how the retroactive application of statutes is related to the </w:t>
      </w:r>
      <w:proofErr w:type="spellStart"/>
      <w:r w:rsidR="007A36C8">
        <w:t>clawback</w:t>
      </w:r>
      <w:proofErr w:type="spellEnd"/>
      <w:r w:rsidR="007A36C8">
        <w:t xml:space="preserve"> charges since they are not statutes, </w:t>
      </w:r>
      <w:r>
        <w:t xml:space="preserve">Respond argues the </w:t>
      </w:r>
      <w:r w:rsidR="00A0767A">
        <w:t>Companies</w:t>
      </w:r>
      <w:r w:rsidR="00E00225">
        <w:t>’</w:t>
      </w:r>
      <w:r w:rsidR="00A0767A">
        <w:t xml:space="preserve"> implementation of the </w:t>
      </w:r>
      <w:proofErr w:type="spellStart"/>
      <w:r w:rsidR="00A0767A">
        <w:t>clawback</w:t>
      </w:r>
      <w:proofErr w:type="spellEnd"/>
      <w:r w:rsidR="00A0767A">
        <w:t xml:space="preserve"> charge amounts to retroactive application of law, especially, because the applicable write-offs were based on unpaid supply charges dating back to 2013, of which Respond had no knowledge or ability to control.  </w:t>
      </w:r>
      <w:r w:rsidR="007A36C8" w:rsidRPr="00BF1BC2">
        <w:rPr>
          <w:i/>
        </w:rPr>
        <w:t>Id.</w:t>
      </w:r>
      <w:r w:rsidR="007A36C8">
        <w:t xml:space="preserve"> at 26-27, citing I.D. at 35.  </w:t>
      </w:r>
      <w:r w:rsidR="00EA53CB">
        <w:t>Respond</w:t>
      </w:r>
      <w:r w:rsidR="00373342">
        <w:t xml:space="preserve"> referenced </w:t>
      </w:r>
      <w:r w:rsidR="00EA53CB">
        <w:t>the ALJ</w:t>
      </w:r>
      <w:r w:rsidR="00E00225">
        <w:t>’</w:t>
      </w:r>
      <w:r w:rsidR="00373342">
        <w:t xml:space="preserve">s determination </w:t>
      </w:r>
      <w:r w:rsidR="00EA53CB">
        <w:t>that a tariff is a schedule of</w:t>
      </w:r>
      <w:r w:rsidR="00373342">
        <w:t xml:space="preserve"> </w:t>
      </w:r>
      <w:r w:rsidR="00EA53CB">
        <w:t xml:space="preserve">rates, rules, regulations, practices or contracts and the tariff provisions are part of a set of rules imposed by the Commission.  Respond argues that because the ALJ stated that the tariff provisions </w:t>
      </w:r>
      <w:r w:rsidR="00E00225">
        <w:t>“</w:t>
      </w:r>
      <w:r w:rsidR="00EA53CB">
        <w:t>have the force and effect of law,</w:t>
      </w:r>
      <w:r w:rsidR="00E00225">
        <w:t>”</w:t>
      </w:r>
      <w:r w:rsidR="00EA53CB">
        <w:t xml:space="preserve"> the tariff is a </w:t>
      </w:r>
      <w:r w:rsidR="00E00225">
        <w:t>“</w:t>
      </w:r>
      <w:r w:rsidR="00EA53CB">
        <w:t>law</w:t>
      </w:r>
      <w:r w:rsidR="00E00225">
        <w:t>”</w:t>
      </w:r>
      <w:r w:rsidR="00EA53CB">
        <w:t xml:space="preserve"> or </w:t>
      </w:r>
      <w:r w:rsidR="00E00225">
        <w:t>“</w:t>
      </w:r>
      <w:r w:rsidR="00EA53CB">
        <w:t>legal obligation,</w:t>
      </w:r>
      <w:r w:rsidR="00E00225">
        <w:t>”</w:t>
      </w:r>
      <w:r w:rsidR="00EA53CB">
        <w:t xml:space="preserve"> and changing it to give a previous transaction a different </w:t>
      </w:r>
      <w:r w:rsidR="005D28E8">
        <w:t>legal effect than it had when the transaction transpired or</w:t>
      </w:r>
      <w:r w:rsidR="00035F2E">
        <w:t xml:space="preserve"> </w:t>
      </w:r>
      <w:r w:rsidR="005D28E8">
        <w:t>impos</w:t>
      </w:r>
      <w:r w:rsidR="00035F2E">
        <w:t>ing</w:t>
      </w:r>
      <w:r w:rsidR="005D28E8">
        <w:t xml:space="preserve"> a new legal burden on past occurrence is not permissible.  Exc. at 27-28, citing I.D. at 34, 28.  </w:t>
      </w:r>
      <w:r w:rsidR="00280694">
        <w:t>From Respond</w:t>
      </w:r>
      <w:r w:rsidR="00E00225">
        <w:t>’</w:t>
      </w:r>
      <w:r w:rsidR="00280694">
        <w:t>s point of view, as it has explained throughout this proceeding, everything that has transpired from when the Companies purchased Respond</w:t>
      </w:r>
      <w:r w:rsidR="00E00225">
        <w:t>’</w:t>
      </w:r>
      <w:r w:rsidR="00280694">
        <w:t xml:space="preserve">s receivables from 2013 through August 1, 2016, to the Companies invoicing Respond </w:t>
      </w:r>
      <w:proofErr w:type="spellStart"/>
      <w:r w:rsidR="00280694">
        <w:t>clawback</w:t>
      </w:r>
      <w:proofErr w:type="spellEnd"/>
      <w:r w:rsidR="00280694">
        <w:t xml:space="preserve"> charges in September 2016, amounts to impermissible retroactive ratemaking.  Exc. at 28. </w:t>
      </w:r>
    </w:p>
    <w:p w14:paraId="76E3BE98" w14:textId="0E1771DB" w:rsidR="00A9400C" w:rsidRDefault="00A9400C" w:rsidP="00CC0155"/>
    <w:p w14:paraId="34778DD7" w14:textId="2A48F5EE" w:rsidR="00347685" w:rsidRPr="00347685" w:rsidRDefault="00347685" w:rsidP="00CC0155">
      <w:pPr>
        <w:rPr>
          <w:b/>
          <w:bCs/>
        </w:rPr>
      </w:pPr>
      <w:r w:rsidRPr="00347685">
        <w:rPr>
          <w:b/>
          <w:bCs/>
        </w:rPr>
        <w:t>b.</w:t>
      </w:r>
      <w:r w:rsidRPr="00347685">
        <w:rPr>
          <w:b/>
          <w:bCs/>
        </w:rPr>
        <w:tab/>
      </w:r>
      <w:r w:rsidR="00E40EC3">
        <w:rPr>
          <w:b/>
          <w:bCs/>
        </w:rPr>
        <w:t xml:space="preserve">The </w:t>
      </w:r>
      <w:r w:rsidRPr="00347685">
        <w:rPr>
          <w:b/>
          <w:bCs/>
        </w:rPr>
        <w:t>Companies’ Replies to Exceptions</w:t>
      </w:r>
    </w:p>
    <w:p w14:paraId="50D6B110" w14:textId="77777777" w:rsidR="00347685" w:rsidRDefault="00347685" w:rsidP="00CC0155"/>
    <w:p w14:paraId="1E28D8FE" w14:textId="1257D961" w:rsidR="004D2E22" w:rsidRDefault="00A9400C" w:rsidP="00CC0155">
      <w:r>
        <w:t>In their Replies, the Companies highlight two factors they believe disqualif</w:t>
      </w:r>
      <w:r w:rsidR="004D2E22">
        <w:t>y</w:t>
      </w:r>
      <w:r>
        <w:t xml:space="preserve"> Respond</w:t>
      </w:r>
      <w:r w:rsidR="00E00225">
        <w:t>’</w:t>
      </w:r>
      <w:r>
        <w:t xml:space="preserve">s retroactive ratemaking argument, which, according to the </w:t>
      </w:r>
      <w:r>
        <w:lastRenderedPageBreak/>
        <w:t xml:space="preserve">Companies, has no legal foundation and is a mischaracterization of the </w:t>
      </w:r>
      <w:proofErr w:type="spellStart"/>
      <w:r>
        <w:t>clawback</w:t>
      </w:r>
      <w:proofErr w:type="spellEnd"/>
      <w:r>
        <w:t xml:space="preserve"> provision.</w:t>
      </w:r>
    </w:p>
    <w:p w14:paraId="7FFA3F60" w14:textId="77777777" w:rsidR="007D2DB6" w:rsidRDefault="007D2DB6" w:rsidP="00CC0155"/>
    <w:p w14:paraId="1A13CA47" w14:textId="4F3B2C3D" w:rsidR="00A9400C" w:rsidRDefault="00A9400C" w:rsidP="00CC0155">
      <w:r>
        <w:t xml:space="preserve">First, the Companies point out that Respond is raising an issue that is foreclosed by the preclusive effect Section 316 imparts on the </w:t>
      </w:r>
      <w:r w:rsidRPr="00297877">
        <w:rPr>
          <w:i/>
        </w:rPr>
        <w:t>Default Service Order</w:t>
      </w:r>
      <w:r>
        <w:t xml:space="preserve">.  Second, they argue </w:t>
      </w:r>
      <w:r w:rsidR="00371AAC">
        <w:t xml:space="preserve">that </w:t>
      </w:r>
      <w:r>
        <w:t>Respond assumes and is implicitly asking the Commission to find that the administrative charges imposed in a Supplier Coordination Tariff be held to the same strict cost-of-service criteria that the Commission imposes in establishing rates charged by utility for retail utility service.  R.</w:t>
      </w:r>
      <w:r w:rsidR="00BF4B07">
        <w:t xml:space="preserve"> </w:t>
      </w:r>
      <w:r>
        <w:t>Exc. at 16-17.</w:t>
      </w:r>
    </w:p>
    <w:p w14:paraId="0443BF6B" w14:textId="77777777" w:rsidR="00A9400C" w:rsidRDefault="00A9400C" w:rsidP="00CC0155"/>
    <w:p w14:paraId="2869AE92" w14:textId="7C56264F" w:rsidR="004D2E22" w:rsidRDefault="00A9400C" w:rsidP="00CC0155">
      <w:r>
        <w:t xml:space="preserve">Furthermore, the Companies explain that the </w:t>
      </w:r>
      <w:proofErr w:type="spellStart"/>
      <w:r>
        <w:t>clawback</w:t>
      </w:r>
      <w:proofErr w:type="spellEnd"/>
      <w:r>
        <w:t xml:space="preserve"> provision only allows the Companies to charge an administrative fee for participation in the POR program on certain EGSs that impose higher costs on the Companies and their distribution customers because those EGSs have modes of operation, products sold, and pricing policies that generate write-off percentages that are far higher than the average percentage of the Companies</w:t>
      </w:r>
      <w:r w:rsidR="00E00225">
        <w:t>’</w:t>
      </w:r>
      <w:r>
        <w:t xml:space="preserve"> entire EGS population.  </w:t>
      </w:r>
      <w:r w:rsidRPr="00432CC7">
        <w:rPr>
          <w:i/>
        </w:rPr>
        <w:t>Id.</w:t>
      </w:r>
      <w:r>
        <w:t xml:space="preserve"> at 17.  The Companies further assert that the </w:t>
      </w:r>
      <w:proofErr w:type="spellStart"/>
      <w:r>
        <w:t>clawback</w:t>
      </w:r>
      <w:proofErr w:type="spellEnd"/>
      <w:r>
        <w:t xml:space="preserve"> provision allows them to review historical data to identify EGSs that reflect these characteristics.  More importantly, the Companies argue that historical write-off</w:t>
      </w:r>
      <w:r w:rsidR="008D24BE">
        <w:t>s</w:t>
      </w:r>
      <w:r>
        <w:t xml:space="preserve"> and historical prices are used because they are the best available source of objective, quantifiable data for identifying EGSs with these unique traits that result in higher costs, which are eventually passed on to the Companies and their distribution customers through the operation of the POR programs.</w:t>
      </w:r>
    </w:p>
    <w:p w14:paraId="2D70C099" w14:textId="77777777" w:rsidR="004D2E22" w:rsidRDefault="004D2E22" w:rsidP="00CC0155"/>
    <w:p w14:paraId="36131322" w14:textId="458773F4" w:rsidR="00A9400C" w:rsidRDefault="00A9400C" w:rsidP="00CC0155">
      <w:r>
        <w:t>Echoing the ALJ</w:t>
      </w:r>
      <w:r w:rsidR="00E00225">
        <w:t>’</w:t>
      </w:r>
      <w:r>
        <w:t xml:space="preserve">s determination that there are several precedents in which the Commission </w:t>
      </w:r>
      <w:r w:rsidR="00233025">
        <w:t xml:space="preserve">has </w:t>
      </w:r>
      <w:r>
        <w:t xml:space="preserve">relied on analyses of historical data for the formulation and approval of a rate or tariff rule to establish billing determinants for future charges, the Companies argue </w:t>
      </w:r>
      <w:r w:rsidR="001A586A">
        <w:t xml:space="preserve">that </w:t>
      </w:r>
      <w:r>
        <w:t xml:space="preserve">the use of historical data in this fashion does not make the </w:t>
      </w:r>
      <w:proofErr w:type="spellStart"/>
      <w:r>
        <w:t>clawback</w:t>
      </w:r>
      <w:proofErr w:type="spellEnd"/>
      <w:r>
        <w:t xml:space="preserve"> provision </w:t>
      </w:r>
      <w:r w:rsidR="00E00225">
        <w:t>“</w:t>
      </w:r>
      <w:r>
        <w:t>retroactive</w:t>
      </w:r>
      <w:r w:rsidR="00E00225">
        <w:t>”</w:t>
      </w:r>
      <w:r>
        <w:t xml:space="preserve"> nor does it convert the Companies</w:t>
      </w:r>
      <w:r w:rsidR="00E00225">
        <w:t>’</w:t>
      </w:r>
      <w:r>
        <w:t xml:space="preserve"> POR program to </w:t>
      </w:r>
      <w:r w:rsidR="00E00225">
        <w:t>“</w:t>
      </w:r>
      <w:r>
        <w:t>with recourse.</w:t>
      </w:r>
      <w:r w:rsidR="00E00225">
        <w:t>”</w:t>
      </w:r>
      <w:r>
        <w:t xml:space="preserve">  </w:t>
      </w:r>
      <w:r w:rsidRPr="00432CC7">
        <w:rPr>
          <w:i/>
        </w:rPr>
        <w:t>Id.</w:t>
      </w:r>
      <w:r>
        <w:t xml:space="preserve"> at</w:t>
      </w:r>
      <w:r w:rsidR="00830F98">
        <w:t> </w:t>
      </w:r>
      <w:r>
        <w:t xml:space="preserve">18, citing I.D. at 34; Companies M.B. at 31-36.  </w:t>
      </w:r>
      <w:r w:rsidR="00233025">
        <w:t>T</w:t>
      </w:r>
      <w:r>
        <w:t xml:space="preserve">he Companies note that the </w:t>
      </w:r>
      <w:r>
        <w:lastRenderedPageBreak/>
        <w:t>Commission previously approved a provision for inclusion in Duquesne Light Company</w:t>
      </w:r>
      <w:r w:rsidR="00E00225">
        <w:t>’</w:t>
      </w:r>
      <w:r>
        <w:t xml:space="preserve">s POR program that imposes a </w:t>
      </w:r>
      <w:r w:rsidR="00E00225">
        <w:t>“</w:t>
      </w:r>
      <w:r>
        <w:t>penalty</w:t>
      </w:r>
      <w:r w:rsidR="00E00225">
        <w:t>”</w:t>
      </w:r>
      <w:r>
        <w:t xml:space="preserve"> on EGSs whose uncollectible accounts expressed as a percentage of revenue exceeds 5% for a preceding twelve-month period.  R. Exc. at 18.</w:t>
      </w:r>
    </w:p>
    <w:p w14:paraId="14D1E016" w14:textId="77777777" w:rsidR="00A9400C" w:rsidRDefault="00A9400C" w:rsidP="00CC0155"/>
    <w:p w14:paraId="7C936115" w14:textId="36DE040B" w:rsidR="008154B2" w:rsidRDefault="00A9400C" w:rsidP="00CC0155">
      <w:r>
        <w:t xml:space="preserve">Additionally, highlighting the second prong of the screening process, the Companies emphasize that historical write-offs are only one portion of the screening process and that before a </w:t>
      </w:r>
      <w:proofErr w:type="spellStart"/>
      <w:r>
        <w:t>clawback</w:t>
      </w:r>
      <w:proofErr w:type="spellEnd"/>
      <w:r>
        <w:t xml:space="preserve"> charge is imposed, an EGS must pass the second</w:t>
      </w:r>
      <w:r w:rsidR="00C25AC7">
        <w:t xml:space="preserve"> test</w:t>
      </w:r>
      <w:r>
        <w:t>.  The Companies state that only the EGSs identified by both filters are charged an administrative fee and that the fee does not relate back to any accounts receivable expenses previously purchased by the Companies</w:t>
      </w:r>
      <w:r w:rsidR="00C25AC7">
        <w:t xml:space="preserve"> but</w:t>
      </w:r>
      <w:r>
        <w:t xml:space="preserve"> is only a fraction of those expenses.  Finally, the Companies dispute Respond</w:t>
      </w:r>
      <w:r w:rsidR="00E00225">
        <w:t>’</w:t>
      </w:r>
      <w:r>
        <w:t xml:space="preserve">s assertion that the </w:t>
      </w:r>
      <w:proofErr w:type="spellStart"/>
      <w:r>
        <w:t>clawback</w:t>
      </w:r>
      <w:proofErr w:type="spellEnd"/>
      <w:r>
        <w:t xml:space="preserve"> provision converts the POR programs to </w:t>
      </w:r>
      <w:r w:rsidR="00E00225">
        <w:t>“</w:t>
      </w:r>
      <w:r>
        <w:t>with recourse</w:t>
      </w:r>
      <w:r w:rsidR="008154B2">
        <w:t>,</w:t>
      </w:r>
      <w:r w:rsidR="00E00225">
        <w:t>”</w:t>
      </w:r>
      <w:r>
        <w:t xml:space="preserve"> stating that the </w:t>
      </w:r>
      <w:proofErr w:type="spellStart"/>
      <w:r>
        <w:t>clawback</w:t>
      </w:r>
      <w:proofErr w:type="spellEnd"/>
      <w:r>
        <w:t xml:space="preserve"> is not designed, nor does it operate to track and recoup uncollected prior periods of account receivable.  </w:t>
      </w:r>
      <w:r w:rsidRPr="005533C3">
        <w:rPr>
          <w:i/>
        </w:rPr>
        <w:t xml:space="preserve">Id. </w:t>
      </w:r>
      <w:r>
        <w:t>at</w:t>
      </w:r>
      <w:r w:rsidR="00830F98">
        <w:t> </w:t>
      </w:r>
      <w:r>
        <w:t>19</w:t>
      </w:r>
      <w:r w:rsidR="00830F98">
        <w:noBreakHyphen/>
      </w:r>
      <w:r>
        <w:t xml:space="preserve">20. </w:t>
      </w:r>
    </w:p>
    <w:p w14:paraId="52FBF5C7" w14:textId="77777777" w:rsidR="008154B2" w:rsidRDefault="008154B2" w:rsidP="00CC0155"/>
    <w:p w14:paraId="7D656EA7" w14:textId="6C4A9F9F" w:rsidR="00A9400C" w:rsidRDefault="008154B2" w:rsidP="00CC0155">
      <w:pPr>
        <w:ind w:firstLine="0"/>
      </w:pPr>
      <w:r>
        <w:rPr>
          <w:b/>
          <w:szCs w:val="26"/>
        </w:rPr>
        <w:tab/>
      </w:r>
      <w:bookmarkStart w:id="5" w:name="_Hlk10018247"/>
      <w:r w:rsidR="00347685">
        <w:rPr>
          <w:b/>
          <w:szCs w:val="26"/>
        </w:rPr>
        <w:tab/>
        <w:t>c.</w:t>
      </w:r>
      <w:r w:rsidR="00347685">
        <w:rPr>
          <w:b/>
          <w:szCs w:val="26"/>
        </w:rPr>
        <w:tab/>
      </w:r>
      <w:r w:rsidR="00A9400C" w:rsidRPr="00E41838">
        <w:rPr>
          <w:b/>
          <w:szCs w:val="26"/>
        </w:rPr>
        <w:t>Disposition</w:t>
      </w:r>
      <w:r w:rsidR="00A9400C" w:rsidRPr="007D2DB6">
        <w:rPr>
          <w:szCs w:val="26"/>
        </w:rPr>
        <w:t xml:space="preserve"> </w:t>
      </w:r>
    </w:p>
    <w:p w14:paraId="3DCE4F4A" w14:textId="77777777" w:rsidR="00A9400C" w:rsidRDefault="00A9400C" w:rsidP="00CC0155"/>
    <w:p w14:paraId="4B6FB85D" w14:textId="1008935F" w:rsidR="008154B2" w:rsidRDefault="008154B2" w:rsidP="00CC0155">
      <w:r>
        <w:t>On consideration of the position of Respond</w:t>
      </w:r>
      <w:r w:rsidR="00A9400C">
        <w:t xml:space="preserve">, we disagree with </w:t>
      </w:r>
      <w:r w:rsidR="0012019C">
        <w:t>its</w:t>
      </w:r>
      <w:r w:rsidR="007F6734">
        <w:t xml:space="preserve"> argument</w:t>
      </w:r>
      <w:r>
        <w:t xml:space="preserve"> that the invoiced charges applied pursuant to the modified </w:t>
      </w:r>
      <w:proofErr w:type="spellStart"/>
      <w:r>
        <w:t>clawback</w:t>
      </w:r>
      <w:proofErr w:type="spellEnd"/>
      <w:r>
        <w:t xml:space="preserve"> provisions violate principles prohibiting retroactive ratemaking</w:t>
      </w:r>
      <w:r w:rsidR="00456620">
        <w:t>.</w:t>
      </w:r>
    </w:p>
    <w:p w14:paraId="6AE66D10" w14:textId="77777777" w:rsidR="008154B2" w:rsidRDefault="008154B2" w:rsidP="00CC0155"/>
    <w:p w14:paraId="7DBBA96D" w14:textId="775EFA2D" w:rsidR="003D4CEF" w:rsidRDefault="008154B2" w:rsidP="00CC0155">
      <w:r>
        <w:t>As a threshold consideration, we need not address</w:t>
      </w:r>
      <w:r w:rsidR="0012019C">
        <w:t>,</w:t>
      </w:r>
      <w:r>
        <w:t xml:space="preserve"> </w:t>
      </w:r>
      <w:r w:rsidR="003D4CEF">
        <w:t>in depth</w:t>
      </w:r>
      <w:r w:rsidR="0012019C">
        <w:t>,</w:t>
      </w:r>
      <w:r w:rsidR="003D4CEF">
        <w:t xml:space="preserve"> </w:t>
      </w:r>
      <w:r w:rsidR="0012019C">
        <w:t xml:space="preserve">that </w:t>
      </w:r>
      <w:r>
        <w:t xml:space="preserve">the conclusions </w:t>
      </w:r>
      <w:r w:rsidR="003D4CEF">
        <w:t xml:space="preserve">in the Initial Decision </w:t>
      </w:r>
      <w:r>
        <w:t xml:space="preserve">regarding the appropriate classification of the administrative charges represented by the </w:t>
      </w:r>
      <w:proofErr w:type="spellStart"/>
      <w:r>
        <w:t>clawback</w:t>
      </w:r>
      <w:proofErr w:type="spellEnd"/>
      <w:r>
        <w:t xml:space="preserve"> provisions are rates, </w:t>
      </w:r>
      <w:r>
        <w:rPr>
          <w:i/>
        </w:rPr>
        <w:t>per se</w:t>
      </w:r>
      <w:r>
        <w:t xml:space="preserve">, under the Code.  The participation of the EGS in a POR is voluntary and as such, the EGS has implicitly assented to modifications of the program, assuming such modifications </w:t>
      </w:r>
      <w:r w:rsidR="003D4CEF">
        <w:t>are</w:t>
      </w:r>
      <w:r>
        <w:t xml:space="preserve"> reviewed and approved by the Commission according to procedural due process.</w:t>
      </w:r>
    </w:p>
    <w:p w14:paraId="29466AF7" w14:textId="77777777" w:rsidR="003D4CEF" w:rsidRDefault="003D4CEF" w:rsidP="00CC0155"/>
    <w:p w14:paraId="7401606E" w14:textId="11B07B46" w:rsidR="00C25AC7" w:rsidRDefault="00E65964" w:rsidP="00CC0155">
      <w:r>
        <w:lastRenderedPageBreak/>
        <w:t>The DSP IV Settlement approved by</w:t>
      </w:r>
      <w:r w:rsidR="000275F4">
        <w:t xml:space="preserve"> the </w:t>
      </w:r>
      <w:r w:rsidR="00A9400C" w:rsidRPr="00297877">
        <w:rPr>
          <w:i/>
        </w:rPr>
        <w:t>Default Service Order</w:t>
      </w:r>
      <w:r w:rsidR="00A9400C">
        <w:t xml:space="preserve"> clearly explains the terms and conditions of the </w:t>
      </w:r>
      <w:proofErr w:type="spellStart"/>
      <w:r w:rsidR="00A9400C">
        <w:t>clawback</w:t>
      </w:r>
      <w:proofErr w:type="spellEnd"/>
      <w:r w:rsidR="00A9400C">
        <w:t xml:space="preserve"> provision and how it would operate.  </w:t>
      </w:r>
      <w:r w:rsidR="000275F4">
        <w:t xml:space="preserve">According to the Settlement, the </w:t>
      </w:r>
      <w:proofErr w:type="spellStart"/>
      <w:r w:rsidR="000275F4">
        <w:t>clawback</w:t>
      </w:r>
      <w:proofErr w:type="spellEnd"/>
      <w:r w:rsidR="000275F4">
        <w:t xml:space="preserve"> charges will be assessed based on historical data from the prior twelve-month period</w:t>
      </w:r>
      <w:r w:rsidR="001D335B">
        <w:t xml:space="preserve">.  </w:t>
      </w:r>
      <w:r w:rsidR="007E4E64">
        <w:t>We acknowledge the Companies</w:t>
      </w:r>
      <w:r w:rsidR="00E00225">
        <w:t>’</w:t>
      </w:r>
      <w:r w:rsidR="007E4E64">
        <w:t xml:space="preserve"> argument that neither the 2016 </w:t>
      </w:r>
      <w:r w:rsidR="003D4CEF">
        <w:t>nor</w:t>
      </w:r>
      <w:r w:rsidR="007E4E64">
        <w:t xml:space="preserve"> the 2017 </w:t>
      </w:r>
      <w:proofErr w:type="spellStart"/>
      <w:r w:rsidR="007E4E64">
        <w:t>clawback</w:t>
      </w:r>
      <w:proofErr w:type="spellEnd"/>
      <w:r w:rsidR="007E4E64">
        <w:t xml:space="preserve"> charges were imposed on Respond until after the entry of the </w:t>
      </w:r>
      <w:r w:rsidR="007E4E64" w:rsidRPr="00297877">
        <w:rPr>
          <w:i/>
        </w:rPr>
        <w:t>Default Service Order</w:t>
      </w:r>
      <w:r w:rsidR="007E4E64">
        <w:t xml:space="preserve"> approving the </w:t>
      </w:r>
      <w:proofErr w:type="spellStart"/>
      <w:r w:rsidR="007E4E64">
        <w:t>clawback</w:t>
      </w:r>
      <w:proofErr w:type="spellEnd"/>
      <w:r w:rsidR="007E4E64">
        <w:t xml:space="preserve"> provision</w:t>
      </w:r>
      <w:r w:rsidR="003D4CEF">
        <w:t xml:space="preserve"> as part of their respective PORs</w:t>
      </w:r>
      <w:r w:rsidR="007E4E64">
        <w:t>.  W</w:t>
      </w:r>
      <w:r w:rsidR="001D335B">
        <w:t xml:space="preserve">e agree with the Companies that the </w:t>
      </w:r>
      <w:proofErr w:type="spellStart"/>
      <w:r w:rsidR="001D335B">
        <w:t>clawback</w:t>
      </w:r>
      <w:proofErr w:type="spellEnd"/>
      <w:r w:rsidR="001D335B">
        <w:t xml:space="preserve"> charges did not modify the terms of the prior POR programs but is a</w:t>
      </w:r>
      <w:r w:rsidR="003D4CEF">
        <w:t>n authorized</w:t>
      </w:r>
      <w:r w:rsidR="001D335B">
        <w:t xml:space="preserve"> </w:t>
      </w:r>
      <w:r w:rsidR="003D4CEF">
        <w:t>re</w:t>
      </w:r>
      <w:r w:rsidR="001D335B">
        <w:t xml:space="preserve">vision to the program that was approved in the </w:t>
      </w:r>
      <w:r w:rsidR="001D335B" w:rsidRPr="00297877">
        <w:rPr>
          <w:i/>
        </w:rPr>
        <w:t>Default Service Order</w:t>
      </w:r>
      <w:r w:rsidR="001D335B">
        <w:t xml:space="preserve">.  </w:t>
      </w:r>
      <w:r w:rsidR="003D4CEF">
        <w:rPr>
          <w:i/>
        </w:rPr>
        <w:t xml:space="preserve">See </w:t>
      </w:r>
      <w:r w:rsidR="001D335B">
        <w:t xml:space="preserve">Tr. at 80-82.  </w:t>
      </w:r>
      <w:r w:rsidR="003D4CEF">
        <w:t xml:space="preserve">The use of billing determinants from a prior, historic period, does not render the operation of the </w:t>
      </w:r>
      <w:proofErr w:type="spellStart"/>
      <w:r w:rsidR="003D4CEF">
        <w:t>clawback</w:t>
      </w:r>
      <w:proofErr w:type="spellEnd"/>
      <w:r w:rsidR="003D4CEF">
        <w:t xml:space="preserve"> improperly retroactive.  </w:t>
      </w:r>
      <w:r w:rsidR="00A9400C">
        <w:t>Therefore,</w:t>
      </w:r>
      <w:r w:rsidR="009E3F09">
        <w:t xml:space="preserve"> we find no merit in</w:t>
      </w:r>
      <w:r w:rsidR="00A9400C">
        <w:t xml:space="preserve"> Respond</w:t>
      </w:r>
      <w:r w:rsidR="00E00225">
        <w:t>’</w:t>
      </w:r>
      <w:r w:rsidR="00A9400C">
        <w:t xml:space="preserve">s claim that </w:t>
      </w:r>
      <w:r w:rsidR="00C25AC7">
        <w:t xml:space="preserve">the Commission </w:t>
      </w:r>
      <w:r w:rsidR="00A9400C">
        <w:t>was not aware of the use of the historic data to assess the charge.</w:t>
      </w:r>
    </w:p>
    <w:p w14:paraId="0F701A36" w14:textId="77777777" w:rsidR="00C25AC7" w:rsidRDefault="00C25AC7" w:rsidP="00CC0155"/>
    <w:p w14:paraId="2EC49437" w14:textId="0D5BA6B4" w:rsidR="00A9400C" w:rsidRPr="000275F4" w:rsidRDefault="00A9400C" w:rsidP="00CC0155">
      <w:r>
        <w:t>The Companies further aver that contrary to Respond</w:t>
      </w:r>
      <w:r w:rsidR="00E00225">
        <w:t>’</w:t>
      </w:r>
      <w:r>
        <w:t xml:space="preserve">s </w:t>
      </w:r>
      <w:r w:rsidR="001724C0">
        <w:t>claim</w:t>
      </w:r>
      <w:r>
        <w:t xml:space="preserve">, the </w:t>
      </w:r>
      <w:proofErr w:type="spellStart"/>
      <w:r>
        <w:t>clawback</w:t>
      </w:r>
      <w:proofErr w:type="spellEnd"/>
      <w:r>
        <w:t xml:space="preserve"> charge is an administrative fee for</w:t>
      </w:r>
      <w:r w:rsidR="00317257">
        <w:t xml:space="preserve"> </w:t>
      </w:r>
      <w:r>
        <w:t>participation</w:t>
      </w:r>
      <w:r w:rsidR="00317257">
        <w:t xml:space="preserve"> in the Companies</w:t>
      </w:r>
      <w:r w:rsidR="00E00225">
        <w:t>’</w:t>
      </w:r>
      <w:r w:rsidR="00317257">
        <w:t xml:space="preserve"> POR program</w:t>
      </w:r>
      <w:r>
        <w:t xml:space="preserve"> that is applied prospectively to all EGSs and </w:t>
      </w:r>
      <w:r w:rsidR="00317257">
        <w:t>was</w:t>
      </w:r>
      <w:r>
        <w:t xml:space="preserve"> charged </w:t>
      </w:r>
      <w:r w:rsidR="00317257">
        <w:t xml:space="preserve">only </w:t>
      </w:r>
      <w:r w:rsidRPr="00363485">
        <w:rPr>
          <w:i/>
        </w:rPr>
        <w:t>after</w:t>
      </w:r>
      <w:r>
        <w:t xml:space="preserve"> the </w:t>
      </w:r>
      <w:proofErr w:type="spellStart"/>
      <w:r>
        <w:t>clawback</w:t>
      </w:r>
      <w:proofErr w:type="spellEnd"/>
      <w:r>
        <w:t xml:space="preserve"> provision was approved in the </w:t>
      </w:r>
      <w:r w:rsidRPr="00AB146A">
        <w:rPr>
          <w:i/>
        </w:rPr>
        <w:t xml:space="preserve">Default Service Order. </w:t>
      </w:r>
      <w:r>
        <w:t xml:space="preserve"> Moreover, the Companies argue that </w:t>
      </w:r>
      <w:r w:rsidR="00432A23">
        <w:t xml:space="preserve">the charge is not retroactive </w:t>
      </w:r>
      <w:r>
        <w:t xml:space="preserve">just because the </w:t>
      </w:r>
      <w:proofErr w:type="spellStart"/>
      <w:r>
        <w:t>clawback</w:t>
      </w:r>
      <w:proofErr w:type="spellEnd"/>
      <w:r>
        <w:t xml:space="preserve"> screening process analyzes the track records of the EGSs to identify their mode of operation, product type and pricing policies and how these factors drive higher uncollectible account expense.  </w:t>
      </w:r>
      <w:r w:rsidR="00BA0749">
        <w:t>Furthermore, the record</w:t>
      </w:r>
      <w:r w:rsidR="00D8085F">
        <w:t xml:space="preserve"> clearly </w:t>
      </w:r>
      <w:r w:rsidR="00BA0749">
        <w:t>shows that the Companies</w:t>
      </w:r>
      <w:r w:rsidR="00E00225">
        <w:t>’</w:t>
      </w:r>
      <w:r w:rsidR="00BA0749">
        <w:t xml:space="preserve"> </w:t>
      </w:r>
      <w:r w:rsidR="00D8085F">
        <w:t xml:space="preserve">calculation and assessment of the </w:t>
      </w:r>
      <w:proofErr w:type="spellStart"/>
      <w:r w:rsidR="00D8085F">
        <w:t>clawback</w:t>
      </w:r>
      <w:proofErr w:type="spellEnd"/>
      <w:r w:rsidR="00D8085F">
        <w:t xml:space="preserve"> charges for 2016 and 2017 were in accordance with the terms and conditions of the </w:t>
      </w:r>
      <w:proofErr w:type="spellStart"/>
      <w:r w:rsidR="00D8085F">
        <w:t>clawback</w:t>
      </w:r>
      <w:proofErr w:type="spellEnd"/>
      <w:r w:rsidR="00D8085F">
        <w:t xml:space="preserve"> provisions approved by the </w:t>
      </w:r>
      <w:r w:rsidR="00D8085F" w:rsidRPr="00AB146A">
        <w:rPr>
          <w:i/>
        </w:rPr>
        <w:t>Default Service Order</w:t>
      </w:r>
      <w:r w:rsidR="00D8085F">
        <w:rPr>
          <w:b/>
        </w:rPr>
        <w:t xml:space="preserve">.  </w:t>
      </w:r>
      <w:r w:rsidR="00D8085F" w:rsidRPr="00D8085F">
        <w:t>Therefore, we find no merit in Respond</w:t>
      </w:r>
      <w:r w:rsidR="00E00225">
        <w:t>’</w:t>
      </w:r>
      <w:r w:rsidR="00D8085F" w:rsidRPr="00D8085F">
        <w:t>s retroactive ratemaking argument</w:t>
      </w:r>
      <w:r w:rsidR="00776BEB">
        <w:t xml:space="preserve">.  Accordingly, we </w:t>
      </w:r>
      <w:r w:rsidR="00D8085F" w:rsidRPr="00D8085F">
        <w:t>shall deny Respond</w:t>
      </w:r>
      <w:r w:rsidR="00E00225">
        <w:t>’</w:t>
      </w:r>
      <w:r w:rsidR="00D8085F" w:rsidRPr="00D8085F">
        <w:t>s Exception No. 2.</w:t>
      </w:r>
      <w:r w:rsidR="00D8085F">
        <w:rPr>
          <w:b/>
        </w:rPr>
        <w:t xml:space="preserve">  </w:t>
      </w:r>
      <w:r w:rsidR="00C77C4C" w:rsidRPr="00E41838">
        <w:t xml:space="preserve">R. </w:t>
      </w:r>
      <w:r w:rsidRPr="00E41838">
        <w:t>Exc. at 8.</w:t>
      </w:r>
      <w:bookmarkEnd w:id="5"/>
    </w:p>
    <w:p w14:paraId="109C1F73" w14:textId="77777777" w:rsidR="00E256A7" w:rsidRDefault="00E256A7" w:rsidP="00CC0155">
      <w:pPr>
        <w:ind w:firstLine="0"/>
        <w:rPr>
          <w:szCs w:val="26"/>
        </w:rPr>
      </w:pPr>
    </w:p>
    <w:p w14:paraId="0105F8DE" w14:textId="513AC1BB" w:rsidR="00A451A2" w:rsidRPr="00F71658" w:rsidRDefault="00776BEB" w:rsidP="00F71658">
      <w:pPr>
        <w:keepNext/>
        <w:keepLines/>
        <w:spacing w:line="240" w:lineRule="auto"/>
        <w:ind w:left="1440" w:hanging="720"/>
        <w:rPr>
          <w:b/>
        </w:rPr>
      </w:pPr>
      <w:r>
        <w:rPr>
          <w:b/>
        </w:rPr>
        <w:lastRenderedPageBreak/>
        <w:t>4.</w:t>
      </w:r>
      <w:r>
        <w:rPr>
          <w:b/>
        </w:rPr>
        <w:tab/>
      </w:r>
      <w:r w:rsidR="002B3D16" w:rsidRPr="00E41838">
        <w:rPr>
          <w:b/>
        </w:rPr>
        <w:t>Exception</w:t>
      </w:r>
      <w:r w:rsidR="00854C6E" w:rsidRPr="00E41838">
        <w:rPr>
          <w:b/>
        </w:rPr>
        <w:t xml:space="preserve"> No. 3</w:t>
      </w:r>
      <w:r w:rsidR="002B3D16" w:rsidRPr="00E41838">
        <w:rPr>
          <w:b/>
        </w:rPr>
        <w:t xml:space="preserve"> and Replies</w:t>
      </w:r>
      <w:r w:rsidR="00A451A2">
        <w:rPr>
          <w:b/>
        </w:rPr>
        <w:t xml:space="preserve"> – Justness and Reasonableness of the </w:t>
      </w:r>
      <w:proofErr w:type="spellStart"/>
      <w:r w:rsidR="00A451A2">
        <w:rPr>
          <w:b/>
        </w:rPr>
        <w:t>Clawback</w:t>
      </w:r>
      <w:proofErr w:type="spellEnd"/>
      <w:r w:rsidR="00A451A2">
        <w:rPr>
          <w:b/>
        </w:rPr>
        <w:t xml:space="preserve"> Charge</w:t>
      </w:r>
    </w:p>
    <w:p w14:paraId="457E96B4" w14:textId="77777777" w:rsidR="00776BEB" w:rsidRPr="007D2DB6" w:rsidRDefault="00776BEB" w:rsidP="00776BEB">
      <w:pPr>
        <w:keepNext/>
        <w:keepLines/>
        <w:ind w:left="720" w:firstLine="0"/>
      </w:pPr>
    </w:p>
    <w:p w14:paraId="5A8BFEF4" w14:textId="0CD3E4F2" w:rsidR="002B3D16" w:rsidRPr="00776BEB" w:rsidRDefault="00776BEB" w:rsidP="00776BEB">
      <w:pPr>
        <w:keepNext/>
        <w:keepLines/>
        <w:ind w:left="720" w:firstLine="0"/>
        <w:rPr>
          <w:b/>
          <w:bCs/>
        </w:rPr>
      </w:pPr>
      <w:r w:rsidRPr="00776BEB">
        <w:rPr>
          <w:b/>
          <w:bCs/>
        </w:rPr>
        <w:tab/>
        <w:t>a.</w:t>
      </w:r>
      <w:r w:rsidRPr="00776BEB">
        <w:rPr>
          <w:b/>
          <w:bCs/>
        </w:rPr>
        <w:tab/>
        <w:t>Respond’s Exceptions</w:t>
      </w:r>
    </w:p>
    <w:p w14:paraId="3802CB51" w14:textId="77777777" w:rsidR="00776BEB" w:rsidRDefault="00776BEB" w:rsidP="00F71658">
      <w:pPr>
        <w:keepNext/>
        <w:keepLines/>
        <w:ind w:left="720" w:firstLine="0"/>
      </w:pPr>
    </w:p>
    <w:p w14:paraId="6C9BA701" w14:textId="5626FBCC" w:rsidR="00B8619D" w:rsidRDefault="002B3D16" w:rsidP="00CC0155">
      <w:r w:rsidRPr="00117CC1">
        <w:t>In its</w:t>
      </w:r>
      <w:r>
        <w:t xml:space="preserve"> third </w:t>
      </w:r>
      <w:r w:rsidRPr="00117CC1">
        <w:t>Exceptio</w:t>
      </w:r>
      <w:r>
        <w:t>n</w:t>
      </w:r>
      <w:r w:rsidRPr="00117CC1">
        <w:t xml:space="preserve">, </w:t>
      </w:r>
      <w:r>
        <w:t>Respond</w:t>
      </w:r>
      <w:r w:rsidRPr="00117CC1">
        <w:t xml:space="preserve"> argues the ALJ erred by</w:t>
      </w:r>
      <w:r>
        <w:t xml:space="preserve"> rejecting its assertion that the </w:t>
      </w:r>
      <w:proofErr w:type="spellStart"/>
      <w:r>
        <w:t>clawback</w:t>
      </w:r>
      <w:proofErr w:type="spellEnd"/>
      <w:r>
        <w:t xml:space="preserve"> provision in the Companies</w:t>
      </w:r>
      <w:r w:rsidR="00E00225">
        <w:t>’</w:t>
      </w:r>
      <w:r>
        <w:t xml:space="preserve"> tariff</w:t>
      </w:r>
      <w:r w:rsidR="00280449">
        <w:t>s</w:t>
      </w:r>
      <w:r>
        <w:t xml:space="preserve"> </w:t>
      </w:r>
      <w:r w:rsidR="00CE5C70">
        <w:t>is</w:t>
      </w:r>
      <w:r w:rsidR="00280449">
        <w:t xml:space="preserve"> </w:t>
      </w:r>
      <w:r>
        <w:t xml:space="preserve">unjust and unreasonable.  Respond contends that the ALJ erred in requiring it to prove that the facts and circumstances have changed so drastically since the </w:t>
      </w:r>
      <w:r w:rsidRPr="00F959A0">
        <w:rPr>
          <w:i/>
        </w:rPr>
        <w:t>Default Service Order</w:t>
      </w:r>
      <w:r>
        <w:t xml:space="preserve"> was issued so as to render application of the tariff provision unreasonable.  Exc. at 28-30, citing I.D. at 25.</w:t>
      </w:r>
    </w:p>
    <w:p w14:paraId="27CD2171" w14:textId="77777777" w:rsidR="00B8619D" w:rsidRDefault="00B8619D" w:rsidP="00CC0155"/>
    <w:p w14:paraId="47C0BEF1" w14:textId="2FA67D4D" w:rsidR="002B3D16" w:rsidRDefault="002B3D16" w:rsidP="00CC0155">
      <w:r>
        <w:t xml:space="preserve">According to Respond, </w:t>
      </w:r>
      <w:r w:rsidR="00DD115C">
        <w:t xml:space="preserve">Section 701 of the Code, entitles any person </w:t>
      </w:r>
      <w:r w:rsidR="00B8619D">
        <w:t>having an interest in the subject matter or any public utility to complain about any act or thing done or omitted to be done by any public utility.  Exc. at 28, citing 66 Pa. C.S. § 701.  Respond further argues that Section 1309 of the Code, 66 Pa. C.S. § 1309(a)</w:t>
      </w:r>
      <w:r w:rsidR="00CE5C70">
        <w:t>,</w:t>
      </w:r>
      <w:r w:rsidR="00B8619D">
        <w:t xml:space="preserve"> empowers the Commission to find that any rate of a public utility for any service is unjust and </w:t>
      </w:r>
      <w:r w:rsidR="00B8619D" w:rsidRPr="00E41838">
        <w:t xml:space="preserve">unreasonable.  Exc. at 28-29.  Respond avers that </w:t>
      </w:r>
      <w:r w:rsidRPr="00E41838">
        <w:t xml:space="preserve">in the </w:t>
      </w:r>
      <w:r w:rsidRPr="00CE5C70">
        <w:rPr>
          <w:i/>
          <w:color w:val="000000"/>
          <w:szCs w:val="26"/>
        </w:rPr>
        <w:t>July 2017 PIR Order</w:t>
      </w:r>
      <w:r w:rsidRPr="00E41838">
        <w:t>, the</w:t>
      </w:r>
      <w:r w:rsidRPr="003E3A61">
        <w:t xml:space="preserve"> Commission cited to</w:t>
      </w:r>
      <w:r>
        <w:t xml:space="preserve"> </w:t>
      </w:r>
      <w:proofErr w:type="spellStart"/>
      <w:r w:rsidRPr="008E46A3">
        <w:rPr>
          <w:i/>
        </w:rPr>
        <w:t>Shenango</w:t>
      </w:r>
      <w:proofErr w:type="spellEnd"/>
      <w:r w:rsidRPr="008E46A3">
        <w:rPr>
          <w:i/>
        </w:rPr>
        <w:t xml:space="preserve"> </w:t>
      </w:r>
      <w:r>
        <w:t xml:space="preserve">for the proposition that Respond has a heavy burden to overcome the presumption that a Commission-approved tariff provision is just and reasonable but did not discuss or reference the </w:t>
      </w:r>
      <w:r w:rsidR="00E00225">
        <w:t>“</w:t>
      </w:r>
      <w:r>
        <w:t>changed circumstances</w:t>
      </w:r>
      <w:r w:rsidR="00E00225">
        <w:t>”</w:t>
      </w:r>
      <w:r>
        <w:t xml:space="preserve"> standard of review relied upon by the ALJ in his Initial Decision.  Respond argues this shows the Commission framed the discussion only as to whether application of the tariff provision is just and reasonable.  Exc. at 30.  </w:t>
      </w:r>
    </w:p>
    <w:p w14:paraId="4869F765" w14:textId="77777777" w:rsidR="002B3D16" w:rsidRDefault="002B3D16" w:rsidP="00CC0155"/>
    <w:p w14:paraId="00D28D7A" w14:textId="007A83FD" w:rsidR="00CE5C70" w:rsidRDefault="002B3D16" w:rsidP="00CC0155">
      <w:r>
        <w:t xml:space="preserve">Respond further argues that as acknowledged by the Commission in the </w:t>
      </w:r>
      <w:r w:rsidRPr="00F544D7">
        <w:rPr>
          <w:i/>
          <w:color w:val="000000"/>
          <w:szCs w:val="26"/>
        </w:rPr>
        <w:t>July 2017 PIR Order</w:t>
      </w:r>
      <w:r w:rsidRPr="008E46A3">
        <w:rPr>
          <w:i/>
        </w:rPr>
        <w:t>,</w:t>
      </w:r>
      <w:r>
        <w:t xml:space="preserve"> it has the legal backing to challenge the reasonableness of the </w:t>
      </w:r>
      <w:proofErr w:type="spellStart"/>
      <w:r>
        <w:t>clawback</w:t>
      </w:r>
      <w:proofErr w:type="spellEnd"/>
      <w:r>
        <w:t xml:space="preserve"> charges and that imposing </w:t>
      </w:r>
      <w:r w:rsidR="00CE5C70">
        <w:t xml:space="preserve">upon </w:t>
      </w:r>
      <w:r>
        <w:t>Respond an additional burden to show a drastic change in facts and circumstances would limit Respond</w:t>
      </w:r>
      <w:r w:rsidR="00E00225">
        <w:t>’</w:t>
      </w:r>
      <w:r>
        <w:t xml:space="preserve">s ability to exercise its statutory </w:t>
      </w:r>
      <w:r>
        <w:lastRenderedPageBreak/>
        <w:t xml:space="preserve">right to challenge the </w:t>
      </w:r>
      <w:proofErr w:type="spellStart"/>
      <w:r>
        <w:t>clawback</w:t>
      </w:r>
      <w:proofErr w:type="spellEnd"/>
      <w:r>
        <w:t xml:space="preserve"> provision in the tariff on the basis that it is unreasonable.  Exc. at 30-31.  </w:t>
      </w:r>
    </w:p>
    <w:p w14:paraId="57777A89" w14:textId="77777777" w:rsidR="00CE5C70" w:rsidRDefault="00CE5C70" w:rsidP="00CC0155"/>
    <w:p w14:paraId="2444C159" w14:textId="24B77273" w:rsidR="002B3D16" w:rsidRDefault="002B3D16" w:rsidP="00CC0155">
      <w:r>
        <w:t xml:space="preserve">Respond also asserts that contrary to </w:t>
      </w:r>
      <w:proofErr w:type="spellStart"/>
      <w:r w:rsidRPr="00BE2063">
        <w:rPr>
          <w:i/>
        </w:rPr>
        <w:t>Shenango</w:t>
      </w:r>
      <w:proofErr w:type="spellEnd"/>
      <w:r w:rsidRPr="00BE2063">
        <w:rPr>
          <w:i/>
        </w:rPr>
        <w:t>,</w:t>
      </w:r>
      <w:r>
        <w:t xml:space="preserve"> in </w:t>
      </w:r>
      <w:proofErr w:type="spellStart"/>
      <w:r w:rsidRPr="00BE2063">
        <w:rPr>
          <w:i/>
        </w:rPr>
        <w:t>Kossman</w:t>
      </w:r>
      <w:proofErr w:type="spellEnd"/>
      <w:r w:rsidR="000A0014">
        <w:rPr>
          <w:i/>
        </w:rPr>
        <w:t xml:space="preserve"> v. Pa. PUC, </w:t>
      </w:r>
      <w:r w:rsidR="000A0014" w:rsidRPr="00E41838">
        <w:rPr>
          <w:szCs w:val="26"/>
        </w:rPr>
        <w:t>694 A.2d 1147</w:t>
      </w:r>
      <w:r w:rsidR="000A0014">
        <w:t xml:space="preserve"> (Pa. </w:t>
      </w:r>
      <w:proofErr w:type="spellStart"/>
      <w:r w:rsidR="000A0014">
        <w:t>Cmwlth</w:t>
      </w:r>
      <w:proofErr w:type="spellEnd"/>
      <w:r w:rsidRPr="00BE2063">
        <w:rPr>
          <w:i/>
        </w:rPr>
        <w:t>,</w:t>
      </w:r>
      <w:r w:rsidR="000A0014">
        <w:t xml:space="preserve"> 1987), </w:t>
      </w:r>
      <w:r>
        <w:t xml:space="preserve">the Court discussed only whether the </w:t>
      </w:r>
      <w:r w:rsidR="000A0014">
        <w:t xml:space="preserve">subject </w:t>
      </w:r>
      <w:r>
        <w:t xml:space="preserve">tariff provision was unreasonable and did not require a higher burden on the complaining party.  Additionally, Respond argues, the ruling in </w:t>
      </w:r>
      <w:proofErr w:type="spellStart"/>
      <w:r w:rsidRPr="00BE2063">
        <w:rPr>
          <w:i/>
        </w:rPr>
        <w:t>Shenango</w:t>
      </w:r>
      <w:proofErr w:type="spellEnd"/>
      <w:r>
        <w:t xml:space="preserve"> was based on a specific factual situation that is not applicable to this case.  Differentiating between </w:t>
      </w:r>
      <w:proofErr w:type="spellStart"/>
      <w:r w:rsidRPr="00791CAF">
        <w:rPr>
          <w:i/>
        </w:rPr>
        <w:t>Shenango</w:t>
      </w:r>
      <w:proofErr w:type="spellEnd"/>
      <w:r>
        <w:t xml:space="preserve"> and the instant proceeding, Respond argues that in </w:t>
      </w:r>
      <w:proofErr w:type="spellStart"/>
      <w:r w:rsidRPr="00BE2063">
        <w:rPr>
          <w:i/>
        </w:rPr>
        <w:t>Shenango</w:t>
      </w:r>
      <w:proofErr w:type="spellEnd"/>
      <w:r>
        <w:rPr>
          <w:i/>
        </w:rPr>
        <w:t xml:space="preserve">, </w:t>
      </w:r>
      <w:r>
        <w:t>the utility and the Township had entered into a twenty-year agreement consistent with the utility</w:t>
      </w:r>
      <w:r w:rsidR="00E00225">
        <w:t>’</w:t>
      </w:r>
      <w:r>
        <w:t>s tariff and</w:t>
      </w:r>
      <w:r w:rsidR="00135B09">
        <w:t xml:space="preserve"> that </w:t>
      </w:r>
      <w:r>
        <w:t>following the Commission</w:t>
      </w:r>
      <w:r w:rsidR="00E00225">
        <w:t>’</w:t>
      </w:r>
      <w:r>
        <w:t xml:space="preserve">s approval of the agreement, the Township filed a complaint challenging the tariff.  According to Respond, given this </w:t>
      </w:r>
      <w:r w:rsidR="000A0014">
        <w:t xml:space="preserve">factual </w:t>
      </w:r>
      <w:r>
        <w:t>situation, it was appropriate that the Court require the Township to explain what had changed to render the tariff provision unreasonable.  However, in this case, the fact tha</w:t>
      </w:r>
      <w:r w:rsidR="00135B09">
        <w:t>t Respond</w:t>
      </w:r>
      <w:r>
        <w:t xml:space="preserve"> challenged the reasonableness of the application of the </w:t>
      </w:r>
      <w:proofErr w:type="spellStart"/>
      <w:r>
        <w:t>clawback</w:t>
      </w:r>
      <w:proofErr w:type="spellEnd"/>
      <w:r>
        <w:t xml:space="preserve"> mechanism almost immediately, is enough to demonstrate the unreasonableness of the </w:t>
      </w:r>
      <w:proofErr w:type="spellStart"/>
      <w:r>
        <w:t>clawback</w:t>
      </w:r>
      <w:proofErr w:type="spellEnd"/>
      <w:r>
        <w:t xml:space="preserve"> charges, Respond argues.  </w:t>
      </w:r>
      <w:r w:rsidR="000A0014">
        <w:t>Exc.</w:t>
      </w:r>
      <w:r>
        <w:t xml:space="preserve"> at 31, citing I.D. at 25; Respond M.B. at 12-15.</w:t>
      </w:r>
    </w:p>
    <w:p w14:paraId="7CBA3D22" w14:textId="0A03EE6A" w:rsidR="002B3D16" w:rsidRDefault="002B3D16" w:rsidP="00CC0155"/>
    <w:p w14:paraId="53DE1978" w14:textId="58770710" w:rsidR="00A451A2" w:rsidRPr="00A451A2" w:rsidRDefault="00A451A2" w:rsidP="00420F93">
      <w:pPr>
        <w:keepNext/>
        <w:keepLines/>
        <w:rPr>
          <w:b/>
          <w:bCs/>
        </w:rPr>
      </w:pPr>
      <w:r>
        <w:rPr>
          <w:b/>
          <w:bCs/>
        </w:rPr>
        <w:t>b.</w:t>
      </w:r>
      <w:r>
        <w:rPr>
          <w:b/>
          <w:bCs/>
        </w:rPr>
        <w:tab/>
        <w:t>The Companies’ Replies to Exceptions</w:t>
      </w:r>
    </w:p>
    <w:p w14:paraId="048B760E" w14:textId="77777777" w:rsidR="00A451A2" w:rsidRDefault="00A451A2" w:rsidP="00420F93">
      <w:pPr>
        <w:keepNext/>
        <w:keepLines/>
      </w:pPr>
    </w:p>
    <w:p w14:paraId="491F0BF2" w14:textId="1F35D1C2" w:rsidR="000A0014" w:rsidRDefault="002B3D16" w:rsidP="00CC0155">
      <w:r>
        <w:t>In Reply, the Companies aver that Respond</w:t>
      </w:r>
      <w:r w:rsidR="00E00225">
        <w:t>’</w:t>
      </w:r>
      <w:r>
        <w:t xml:space="preserve">s attempt to distinguish this case from </w:t>
      </w:r>
      <w:proofErr w:type="spellStart"/>
      <w:r w:rsidRPr="00791CAF">
        <w:rPr>
          <w:i/>
        </w:rPr>
        <w:t>Shenango</w:t>
      </w:r>
      <w:proofErr w:type="spellEnd"/>
      <w:r>
        <w:t xml:space="preserve"> is based on fundamentally flawed interpretations and even more disturbing, </w:t>
      </w:r>
      <w:r w:rsidR="000A0014">
        <w:t xml:space="preserve">argues the Companies, </w:t>
      </w:r>
      <w:r>
        <w:t>leaves out critical elements of the Court</w:t>
      </w:r>
      <w:r w:rsidR="00E00225">
        <w:t>’</w:t>
      </w:r>
      <w:r>
        <w:t>s opinion.  R.</w:t>
      </w:r>
      <w:r w:rsidR="00E96C5E">
        <w:t> </w:t>
      </w:r>
      <w:r>
        <w:t>Exc. at 20-21.</w:t>
      </w:r>
    </w:p>
    <w:p w14:paraId="0C1775BA" w14:textId="77777777" w:rsidR="00EF77F7" w:rsidRDefault="00EF77F7" w:rsidP="00CC0155"/>
    <w:p w14:paraId="0FC83E56" w14:textId="18E50F6F" w:rsidR="002B3D16" w:rsidRDefault="002B3D16" w:rsidP="00CC0155">
      <w:pPr>
        <w:rPr>
          <w:i/>
        </w:rPr>
      </w:pPr>
      <w:r>
        <w:t>The Companies argue that contrary to Respond</w:t>
      </w:r>
      <w:r w:rsidR="00E00225">
        <w:t>’</w:t>
      </w:r>
      <w:r>
        <w:t xml:space="preserve">s interpretation of </w:t>
      </w:r>
      <w:proofErr w:type="spellStart"/>
      <w:r w:rsidRPr="00791CAF">
        <w:rPr>
          <w:i/>
        </w:rPr>
        <w:t>Shenango</w:t>
      </w:r>
      <w:proofErr w:type="spellEnd"/>
      <w:r>
        <w:rPr>
          <w:i/>
        </w:rPr>
        <w:t xml:space="preserve">, </w:t>
      </w:r>
      <w:r>
        <w:t>once the Commission has determined that a tariff provision is just and reasonable, that decision has continuing validity</w:t>
      </w:r>
      <w:r w:rsidR="007D7469">
        <w:t>,</w:t>
      </w:r>
      <w:r>
        <w:t xml:space="preserve"> unless and until a complainant has demonstrated that the fundamental </w:t>
      </w:r>
      <w:r w:rsidR="00E00225">
        <w:t>“</w:t>
      </w:r>
      <w:r>
        <w:t>facts and circumstances</w:t>
      </w:r>
      <w:r w:rsidR="00E00225">
        <w:t>”</w:t>
      </w:r>
      <w:r>
        <w:t xml:space="preserve"> that formed the basis of the </w:t>
      </w:r>
      <w:r>
        <w:lastRenderedPageBreak/>
        <w:t>Commission</w:t>
      </w:r>
      <w:r w:rsidR="00E00225">
        <w:t>’</w:t>
      </w:r>
      <w:r>
        <w:t xml:space="preserve">s decision have </w:t>
      </w:r>
      <w:r w:rsidR="00E00225">
        <w:t>“</w:t>
      </w:r>
      <w:r>
        <w:t>changed.</w:t>
      </w:r>
      <w:r w:rsidR="00E00225">
        <w:t>”</w:t>
      </w:r>
      <w:r>
        <w:t xml:space="preserve">  Moreover, the Companies argue, the necessary </w:t>
      </w:r>
      <w:r w:rsidR="00E00225">
        <w:t>“</w:t>
      </w:r>
      <w:r>
        <w:t>change</w:t>
      </w:r>
      <w:r w:rsidR="00E00225">
        <w:t>”</w:t>
      </w:r>
      <w:r>
        <w:t xml:space="preserve"> must be so fundamental or drastic to the Commission</w:t>
      </w:r>
      <w:r w:rsidR="00E00225">
        <w:t>’</w:t>
      </w:r>
      <w:r>
        <w:t>s decision that it demands a re-examination of the previously-decided issues underlying the Commission</w:t>
      </w:r>
      <w:r w:rsidR="00E00225">
        <w:t>’</w:t>
      </w:r>
      <w:r>
        <w:t xml:space="preserve">s earlier approval to discern whether the tariff provision should continue to have a prospective binding effect.  </w:t>
      </w:r>
      <w:r w:rsidRPr="000660E1">
        <w:rPr>
          <w:i/>
        </w:rPr>
        <w:t>Id.</w:t>
      </w:r>
      <w:r>
        <w:t xml:space="preserve"> at 21.  To put </w:t>
      </w:r>
      <w:r w:rsidR="000A0014">
        <w:t xml:space="preserve">the matter </w:t>
      </w:r>
      <w:r>
        <w:t xml:space="preserve">in clearer terms, the Companies </w:t>
      </w:r>
      <w:r w:rsidR="00E96C5E">
        <w:t>submit that</w:t>
      </w:r>
      <w:r>
        <w:t xml:space="preserve"> the above rule embodies </w:t>
      </w:r>
      <w:r w:rsidR="000A0014">
        <w:t xml:space="preserve">the concept </w:t>
      </w:r>
      <w:r>
        <w:t>that a valid administrative decision approving a tariff rule ha</w:t>
      </w:r>
      <w:r w:rsidR="00E96C5E">
        <w:t>s</w:t>
      </w:r>
      <w:r>
        <w:t xml:space="preserve"> substantial precedential value.  Therefore, a complaint challenging such a rule should </w:t>
      </w:r>
      <w:r w:rsidRPr="002E0179">
        <w:rPr>
          <w:i/>
        </w:rPr>
        <w:t xml:space="preserve">not </w:t>
      </w:r>
      <w:r>
        <w:t xml:space="preserve">be treated as a case of first impression that entitles the complainant to </w:t>
      </w:r>
      <w:r w:rsidRPr="002E0179">
        <w:rPr>
          <w:i/>
        </w:rPr>
        <w:t>de novo</w:t>
      </w:r>
      <w:r>
        <w:t xml:space="preserve"> re-litigation of the issues that were already decided as the basis for the Commission</w:t>
      </w:r>
      <w:r w:rsidR="00E00225">
        <w:t>’</w:t>
      </w:r>
      <w:r>
        <w:t xml:space="preserve">s prior approval.  </w:t>
      </w:r>
      <w:r w:rsidR="000A0014">
        <w:t xml:space="preserve">(Emphasis Companies).  </w:t>
      </w:r>
      <w:r>
        <w:t>From the Companies</w:t>
      </w:r>
      <w:r w:rsidR="00E00225">
        <w:t>’</w:t>
      </w:r>
      <w:r>
        <w:t xml:space="preserve"> perspective, Respond is </w:t>
      </w:r>
      <w:r w:rsidR="00150E09">
        <w:t xml:space="preserve">essentially </w:t>
      </w:r>
      <w:r>
        <w:t xml:space="preserve">asking the Commission to </w:t>
      </w:r>
      <w:r w:rsidR="007D3DFB">
        <w:t>treat this matter as a case of first impression</w:t>
      </w:r>
      <w:r w:rsidR="00150E09">
        <w:t xml:space="preserve">.  For this reason, the Companies assert that </w:t>
      </w:r>
      <w:r>
        <w:t>Respond</w:t>
      </w:r>
      <w:r w:rsidR="00E00225">
        <w:t>’</w:t>
      </w:r>
      <w:r>
        <w:t xml:space="preserve">s argument should be rejected.  </w:t>
      </w:r>
      <w:r w:rsidRPr="002E0179">
        <w:rPr>
          <w:i/>
        </w:rPr>
        <w:t xml:space="preserve">Id. </w:t>
      </w:r>
    </w:p>
    <w:p w14:paraId="100C1BD2" w14:textId="77777777" w:rsidR="002B3D16" w:rsidRDefault="002B3D16" w:rsidP="00CC0155"/>
    <w:p w14:paraId="34460D29" w14:textId="6751EAC7" w:rsidR="000A0014" w:rsidRDefault="000A0014" w:rsidP="00CC0155">
      <w:pPr>
        <w:rPr>
          <w:szCs w:val="26"/>
        </w:rPr>
      </w:pPr>
      <w:r>
        <w:t>T</w:t>
      </w:r>
      <w:r w:rsidR="002B3D16">
        <w:t xml:space="preserve">he Companies </w:t>
      </w:r>
      <w:r>
        <w:t xml:space="preserve">additionally </w:t>
      </w:r>
      <w:r w:rsidR="00420F93">
        <w:t xml:space="preserve">echo the ALJ’s conclusion </w:t>
      </w:r>
      <w:r>
        <w:t xml:space="preserve">that </w:t>
      </w:r>
      <w:r w:rsidR="002B3D16">
        <w:t xml:space="preserve">Respond has not identified any </w:t>
      </w:r>
      <w:r w:rsidR="00E00225">
        <w:t>“</w:t>
      </w:r>
      <w:r w:rsidR="002B3D16">
        <w:t>facts or circumstances</w:t>
      </w:r>
      <w:r w:rsidR="00E00225">
        <w:t>”</w:t>
      </w:r>
      <w:r w:rsidR="002B3D16">
        <w:t xml:space="preserve"> that have drastically changed since the issuance of the </w:t>
      </w:r>
      <w:r w:rsidR="002B3D16" w:rsidRPr="00A73AE6">
        <w:rPr>
          <w:i/>
        </w:rPr>
        <w:t>Default Service Order</w:t>
      </w:r>
      <w:r w:rsidR="002B3D16">
        <w:t xml:space="preserve"> that warrants reversing the Commission</w:t>
      </w:r>
      <w:r w:rsidR="00E00225">
        <w:t>’</w:t>
      </w:r>
      <w:r w:rsidR="002B3D16">
        <w:t xml:space="preserve">s prior approval of the </w:t>
      </w:r>
      <w:proofErr w:type="spellStart"/>
      <w:r w:rsidR="002B3D16">
        <w:t>clawback</w:t>
      </w:r>
      <w:proofErr w:type="spellEnd"/>
      <w:r w:rsidR="002B3D16">
        <w:t xml:space="preserve"> provision or waive its application to Respond.  The Companies further note they have presented substantial evidence in this proceeding to support the </w:t>
      </w:r>
      <w:proofErr w:type="spellStart"/>
      <w:r w:rsidR="002B3D16">
        <w:t>clawback</w:t>
      </w:r>
      <w:proofErr w:type="spellEnd"/>
      <w:r w:rsidR="002B3D16">
        <w:t xml:space="preserve"> provision and that the structural defects of the provision highlighted by Respond in the instant proceeding were already considered prior to the Commission</w:t>
      </w:r>
      <w:r w:rsidR="00E00225">
        <w:t>’</w:t>
      </w:r>
      <w:r w:rsidR="002B3D16">
        <w:t xml:space="preserve">s approval of the </w:t>
      </w:r>
      <w:proofErr w:type="spellStart"/>
      <w:r w:rsidR="002B3D16">
        <w:t>clawback</w:t>
      </w:r>
      <w:proofErr w:type="spellEnd"/>
      <w:r w:rsidR="002B3D16">
        <w:t xml:space="preserve"> provision in the </w:t>
      </w:r>
      <w:r w:rsidR="002B3D16" w:rsidRPr="00E76F5C">
        <w:rPr>
          <w:i/>
        </w:rPr>
        <w:t>Default Service Order</w:t>
      </w:r>
      <w:r w:rsidR="002B3D16">
        <w:t xml:space="preserve">.  </w:t>
      </w:r>
      <w:r>
        <w:t>R.</w:t>
      </w:r>
      <w:r w:rsidR="00EF77F7">
        <w:t xml:space="preserve"> </w:t>
      </w:r>
      <w:r>
        <w:t>Exc.</w:t>
      </w:r>
      <w:r w:rsidR="002B3D16">
        <w:t xml:space="preserve"> at 21-22.</w:t>
      </w:r>
    </w:p>
    <w:p w14:paraId="3465C69F" w14:textId="77777777" w:rsidR="000A0014" w:rsidRDefault="000A0014" w:rsidP="00CC0155">
      <w:pPr>
        <w:rPr>
          <w:szCs w:val="26"/>
        </w:rPr>
      </w:pPr>
    </w:p>
    <w:p w14:paraId="48AA94F7" w14:textId="31E1CEF0" w:rsidR="002B3D16" w:rsidRPr="002B3D16" w:rsidRDefault="000A0014" w:rsidP="00F71658">
      <w:pPr>
        <w:pStyle w:val="Heading4"/>
        <w:keepLines/>
        <w:numPr>
          <w:ilvl w:val="0"/>
          <w:numId w:val="0"/>
        </w:numPr>
        <w:spacing w:line="360" w:lineRule="auto"/>
      </w:pPr>
      <w:r>
        <w:tab/>
      </w:r>
      <w:r w:rsidR="00420F93">
        <w:tab/>
        <w:t>c.</w:t>
      </w:r>
      <w:r w:rsidR="00420F93">
        <w:tab/>
      </w:r>
      <w:r w:rsidR="002B3D16">
        <w:t>Disposition</w:t>
      </w:r>
    </w:p>
    <w:p w14:paraId="3A123AB7" w14:textId="6096F748" w:rsidR="002B3D16" w:rsidRDefault="002B3D16" w:rsidP="00F71658">
      <w:pPr>
        <w:keepNext/>
        <w:keepLines/>
        <w:rPr>
          <w:szCs w:val="26"/>
        </w:rPr>
      </w:pPr>
    </w:p>
    <w:p w14:paraId="7DA38123" w14:textId="02D32A7D" w:rsidR="00D654BA" w:rsidRDefault="007456EA" w:rsidP="00CC0155">
      <w:r>
        <w:rPr>
          <w:color w:val="000000"/>
          <w:szCs w:val="26"/>
        </w:rPr>
        <w:t xml:space="preserve">Upon review, we shall deny this Exception.  </w:t>
      </w:r>
      <w:r w:rsidR="007D7469">
        <w:rPr>
          <w:color w:val="000000"/>
          <w:szCs w:val="26"/>
        </w:rPr>
        <w:t>We are not convinced by Respond</w:t>
      </w:r>
      <w:r w:rsidR="00E00225">
        <w:rPr>
          <w:color w:val="000000"/>
          <w:szCs w:val="26"/>
        </w:rPr>
        <w:t>’</w:t>
      </w:r>
      <w:r w:rsidR="007D7469">
        <w:rPr>
          <w:color w:val="000000"/>
          <w:szCs w:val="26"/>
        </w:rPr>
        <w:t>s arguments</w:t>
      </w:r>
      <w:r w:rsidR="00420F93">
        <w:rPr>
          <w:color w:val="000000"/>
          <w:szCs w:val="26"/>
        </w:rPr>
        <w:t>,</w:t>
      </w:r>
      <w:r w:rsidR="007D7469">
        <w:rPr>
          <w:color w:val="000000"/>
          <w:szCs w:val="26"/>
        </w:rPr>
        <w:t xml:space="preserve"> </w:t>
      </w:r>
      <w:r w:rsidR="009C2A90">
        <w:rPr>
          <w:color w:val="000000"/>
          <w:szCs w:val="26"/>
        </w:rPr>
        <w:t xml:space="preserve">and we do not </w:t>
      </w:r>
      <w:r w:rsidR="005B4562">
        <w:rPr>
          <w:color w:val="000000"/>
          <w:szCs w:val="26"/>
        </w:rPr>
        <w:t xml:space="preserve">have </w:t>
      </w:r>
      <w:r w:rsidR="009C2A90">
        <w:rPr>
          <w:color w:val="000000"/>
          <w:szCs w:val="26"/>
        </w:rPr>
        <w:t>any reason to</w:t>
      </w:r>
      <w:r w:rsidR="007D7469">
        <w:rPr>
          <w:color w:val="000000"/>
          <w:szCs w:val="26"/>
        </w:rPr>
        <w:t xml:space="preserve"> reach a conclusion that the Commission-approved </w:t>
      </w:r>
      <w:proofErr w:type="spellStart"/>
      <w:r w:rsidR="007D7469">
        <w:rPr>
          <w:color w:val="000000"/>
          <w:szCs w:val="26"/>
        </w:rPr>
        <w:t>clawback</w:t>
      </w:r>
      <w:proofErr w:type="spellEnd"/>
      <w:r w:rsidR="007D7469">
        <w:rPr>
          <w:color w:val="000000"/>
          <w:szCs w:val="26"/>
        </w:rPr>
        <w:t xml:space="preserve"> provision</w:t>
      </w:r>
      <w:r w:rsidR="009C2A90">
        <w:rPr>
          <w:color w:val="000000"/>
          <w:szCs w:val="26"/>
        </w:rPr>
        <w:t>s</w:t>
      </w:r>
      <w:r w:rsidR="007D7469">
        <w:rPr>
          <w:color w:val="000000"/>
          <w:szCs w:val="26"/>
        </w:rPr>
        <w:t xml:space="preserve"> in the </w:t>
      </w:r>
      <w:r w:rsidR="007D7469" w:rsidRPr="00A73AE6">
        <w:rPr>
          <w:i/>
        </w:rPr>
        <w:t>Default Service Order</w:t>
      </w:r>
      <w:r w:rsidR="007D7469">
        <w:t xml:space="preserve"> </w:t>
      </w:r>
      <w:r w:rsidR="009C2A90">
        <w:t xml:space="preserve">are </w:t>
      </w:r>
      <w:r w:rsidR="007D7469">
        <w:t xml:space="preserve">unjust and unreasonable.  We note that a Commission-approved tariff is </w:t>
      </w:r>
      <w:r w:rsidR="007D7469" w:rsidRPr="007D7469">
        <w:rPr>
          <w:i/>
        </w:rPr>
        <w:t>prima facie</w:t>
      </w:r>
      <w:r w:rsidR="007D7469">
        <w:t xml:space="preserve"> reasonabl</w:t>
      </w:r>
      <w:r w:rsidR="005B4562">
        <w:t>e</w:t>
      </w:r>
      <w:r w:rsidR="003D4CCB">
        <w:t xml:space="preserve"> and </w:t>
      </w:r>
      <w:r w:rsidR="003D4CCB">
        <w:lastRenderedPageBreak/>
        <w:t>binding upon the Parties</w:t>
      </w:r>
      <w:r w:rsidR="005B4562">
        <w:t>.</w:t>
      </w:r>
      <w:r w:rsidR="003D4CCB">
        <w:t xml:space="preserve">  </w:t>
      </w:r>
      <w:r w:rsidR="005B4562">
        <w:t>I</w:t>
      </w:r>
      <w:r w:rsidR="00D654BA">
        <w:t xml:space="preserve">n the DSP IV proceedings, the Companies proposed the addition of a </w:t>
      </w:r>
      <w:proofErr w:type="spellStart"/>
      <w:r w:rsidR="00D654BA">
        <w:t>clawback</w:t>
      </w:r>
      <w:proofErr w:type="spellEnd"/>
      <w:r w:rsidR="00D654BA">
        <w:t xml:space="preserve"> provision to their POR programs to reduce the Companies</w:t>
      </w:r>
      <w:r w:rsidR="00E00225">
        <w:t>’</w:t>
      </w:r>
      <w:r w:rsidR="00D654BA">
        <w:t xml:space="preserve"> and their customers</w:t>
      </w:r>
      <w:r w:rsidR="00E00225">
        <w:t>’</w:t>
      </w:r>
      <w:r w:rsidR="00D654BA">
        <w:t xml:space="preserve"> exposure to increased </w:t>
      </w:r>
      <w:r w:rsidR="00186B7E">
        <w:t xml:space="preserve">uncollectible expense due to excessive EGS write-offs.  According to the Companies, in analyzing </w:t>
      </w:r>
      <w:r w:rsidR="00A67B8F">
        <w:t xml:space="preserve">the </w:t>
      </w:r>
      <w:r w:rsidR="00186B7E">
        <w:t>growth in uncollectible</w:t>
      </w:r>
      <w:r w:rsidR="00A67B8F">
        <w:t>s</w:t>
      </w:r>
      <w:r w:rsidR="00186B7E">
        <w:t xml:space="preserve"> since their 2014 base rate proceeding, they identified an approximately $7 million increase in POR-related net write-offs since 2012, when they began tracking discrete categories of write-offs.  The </w:t>
      </w:r>
      <w:r w:rsidR="003D4CCB">
        <w:t xml:space="preserve">Companies </w:t>
      </w:r>
      <w:r w:rsidR="00186B7E">
        <w:t xml:space="preserve">further indicated that they identified a wide variance in percentages for EGS write-offs as a percentage of generation revenues billed over a twelve-month period.  </w:t>
      </w:r>
      <w:r w:rsidR="003D4CCB">
        <w:rPr>
          <w:i/>
        </w:rPr>
        <w:t xml:space="preserve">See </w:t>
      </w:r>
      <w:r w:rsidR="00186B7E">
        <w:t xml:space="preserve">Companies St. at 10.  </w:t>
      </w:r>
      <w:r w:rsidR="007D2DB6">
        <w:t>I</w:t>
      </w:r>
      <w:r w:rsidR="00186B7E">
        <w:t>n order to address this disparity in EGS-related write-off percentages, the</w:t>
      </w:r>
      <w:r w:rsidR="007D2DB6">
        <w:t xml:space="preserve"> Companies</w:t>
      </w:r>
      <w:r w:rsidR="00186B7E">
        <w:t xml:space="preserve"> proposed to collect a portion of the growing uncollectible account expense from EGSs, especially those EGSs whose practices are driving higher write-offs as a product of the types of offers they make to customers.  </w:t>
      </w:r>
      <w:r w:rsidR="00186B7E" w:rsidRPr="00186B7E">
        <w:rPr>
          <w:i/>
        </w:rPr>
        <w:t xml:space="preserve">Id. </w:t>
      </w:r>
      <w:r w:rsidR="00186B7E">
        <w:t>at 10-11.</w:t>
      </w:r>
    </w:p>
    <w:p w14:paraId="4031BD16" w14:textId="77777777" w:rsidR="00D654BA" w:rsidRDefault="00D654BA" w:rsidP="00CC0155"/>
    <w:p w14:paraId="6AD0D0D1" w14:textId="7E9DB5E8" w:rsidR="007D7469" w:rsidRDefault="007456EA" w:rsidP="00CC0155">
      <w:pPr>
        <w:rPr>
          <w:color w:val="000000"/>
          <w:szCs w:val="26"/>
        </w:rPr>
      </w:pPr>
      <w:r>
        <w:rPr>
          <w:color w:val="000000"/>
          <w:szCs w:val="26"/>
        </w:rPr>
        <w:t xml:space="preserve">We acknowledge that </w:t>
      </w:r>
      <w:r w:rsidR="00A67B8F">
        <w:rPr>
          <w:color w:val="000000"/>
          <w:szCs w:val="26"/>
        </w:rPr>
        <w:t xml:space="preserve">we </w:t>
      </w:r>
      <w:r>
        <w:rPr>
          <w:color w:val="000000"/>
          <w:szCs w:val="26"/>
        </w:rPr>
        <w:t xml:space="preserve">approved the implementation of the </w:t>
      </w:r>
      <w:proofErr w:type="spellStart"/>
      <w:r>
        <w:rPr>
          <w:color w:val="000000"/>
          <w:szCs w:val="26"/>
        </w:rPr>
        <w:t>clawback</w:t>
      </w:r>
      <w:proofErr w:type="spellEnd"/>
      <w:r>
        <w:rPr>
          <w:color w:val="000000"/>
          <w:szCs w:val="26"/>
        </w:rPr>
        <w:t xml:space="preserve"> provisions as part of the</w:t>
      </w:r>
      <w:r w:rsidR="00A67B8F">
        <w:rPr>
          <w:color w:val="000000"/>
          <w:szCs w:val="26"/>
        </w:rPr>
        <w:t xml:space="preserve"> Companies’ </w:t>
      </w:r>
      <w:r>
        <w:rPr>
          <w:color w:val="000000"/>
          <w:szCs w:val="26"/>
        </w:rPr>
        <w:t>DSP IV proceedings and no party to the proceedings appealed the Commission</w:t>
      </w:r>
      <w:r w:rsidR="00E00225">
        <w:rPr>
          <w:color w:val="000000"/>
          <w:szCs w:val="26"/>
        </w:rPr>
        <w:t>’</w:t>
      </w:r>
      <w:r>
        <w:rPr>
          <w:color w:val="000000"/>
          <w:szCs w:val="26"/>
        </w:rPr>
        <w:t>s approval of the tariff.</w:t>
      </w:r>
      <w:r w:rsidR="00732F59">
        <w:rPr>
          <w:color w:val="000000"/>
          <w:szCs w:val="26"/>
        </w:rPr>
        <w:t xml:space="preserve">  </w:t>
      </w:r>
      <w:r w:rsidR="009C2A90">
        <w:rPr>
          <w:color w:val="000000"/>
          <w:szCs w:val="26"/>
        </w:rPr>
        <w:t xml:space="preserve">As we established earlier, Respond was given </w:t>
      </w:r>
      <w:r w:rsidR="00A67B8F">
        <w:rPr>
          <w:color w:val="000000"/>
          <w:szCs w:val="26"/>
        </w:rPr>
        <w:t xml:space="preserve">appropriate </w:t>
      </w:r>
      <w:r w:rsidR="009C2A90">
        <w:rPr>
          <w:color w:val="000000"/>
          <w:szCs w:val="26"/>
        </w:rPr>
        <w:t xml:space="preserve">notice and an opportunity to challenge the reasonableness of the </w:t>
      </w:r>
      <w:proofErr w:type="spellStart"/>
      <w:r w:rsidR="009C2A90">
        <w:rPr>
          <w:color w:val="000000"/>
          <w:szCs w:val="26"/>
        </w:rPr>
        <w:t>clawback</w:t>
      </w:r>
      <w:proofErr w:type="spellEnd"/>
      <w:r w:rsidR="009C2A90">
        <w:rPr>
          <w:color w:val="000000"/>
          <w:szCs w:val="26"/>
        </w:rPr>
        <w:t xml:space="preserve"> provisions </w:t>
      </w:r>
      <w:r w:rsidR="00F20962">
        <w:rPr>
          <w:color w:val="000000"/>
          <w:szCs w:val="26"/>
        </w:rPr>
        <w:t xml:space="preserve">in the DSP IV proceedings </w:t>
      </w:r>
      <w:r w:rsidR="009C2A90">
        <w:rPr>
          <w:color w:val="000000"/>
          <w:szCs w:val="26"/>
        </w:rPr>
        <w:t xml:space="preserve">but </w:t>
      </w:r>
      <w:r w:rsidR="00F20962">
        <w:rPr>
          <w:color w:val="000000"/>
          <w:szCs w:val="26"/>
        </w:rPr>
        <w:t>failed</w:t>
      </w:r>
      <w:r w:rsidR="009C2A90">
        <w:rPr>
          <w:color w:val="000000"/>
          <w:szCs w:val="26"/>
        </w:rPr>
        <w:t xml:space="preserve"> to do so.  </w:t>
      </w:r>
      <w:r w:rsidR="007D7469">
        <w:t xml:space="preserve">Therefore, we </w:t>
      </w:r>
      <w:r w:rsidR="007D7469">
        <w:rPr>
          <w:color w:val="000000"/>
          <w:szCs w:val="26"/>
        </w:rPr>
        <w:t>agree with the ALJ</w:t>
      </w:r>
      <w:r w:rsidR="00E00225">
        <w:rPr>
          <w:color w:val="000000"/>
          <w:szCs w:val="26"/>
        </w:rPr>
        <w:t>’</w:t>
      </w:r>
      <w:r w:rsidR="007D7469">
        <w:rPr>
          <w:color w:val="000000"/>
          <w:szCs w:val="26"/>
        </w:rPr>
        <w:t>s conclusion that the Companies</w:t>
      </w:r>
      <w:r w:rsidR="00E00225">
        <w:rPr>
          <w:color w:val="000000"/>
          <w:szCs w:val="26"/>
        </w:rPr>
        <w:t>’</w:t>
      </w:r>
      <w:r w:rsidR="007D7469">
        <w:rPr>
          <w:color w:val="000000"/>
          <w:szCs w:val="26"/>
        </w:rPr>
        <w:t xml:space="preserve"> tariff</w:t>
      </w:r>
      <w:r w:rsidR="00B20BBA">
        <w:rPr>
          <w:color w:val="000000"/>
          <w:szCs w:val="26"/>
        </w:rPr>
        <w:t>ed</w:t>
      </w:r>
      <w:r w:rsidR="00154B5B">
        <w:rPr>
          <w:color w:val="000000"/>
          <w:szCs w:val="26"/>
        </w:rPr>
        <w:t xml:space="preserve"> </w:t>
      </w:r>
      <w:proofErr w:type="spellStart"/>
      <w:r w:rsidR="00154B5B">
        <w:rPr>
          <w:color w:val="000000"/>
          <w:szCs w:val="26"/>
        </w:rPr>
        <w:t>clawback</w:t>
      </w:r>
      <w:proofErr w:type="spellEnd"/>
      <w:r w:rsidR="00154B5B">
        <w:rPr>
          <w:color w:val="000000"/>
          <w:szCs w:val="26"/>
        </w:rPr>
        <w:t xml:space="preserve"> provision</w:t>
      </w:r>
      <w:r w:rsidR="00B20BBA">
        <w:rPr>
          <w:color w:val="000000"/>
          <w:szCs w:val="26"/>
        </w:rPr>
        <w:t>s</w:t>
      </w:r>
      <w:r w:rsidR="00154B5B">
        <w:rPr>
          <w:color w:val="000000"/>
          <w:szCs w:val="26"/>
        </w:rPr>
        <w:t xml:space="preserve"> </w:t>
      </w:r>
      <w:r w:rsidR="007D7469">
        <w:rPr>
          <w:color w:val="000000"/>
          <w:szCs w:val="26"/>
        </w:rPr>
        <w:t xml:space="preserve">have the force and effect of law and are binding on Respond and the Companies.  </w:t>
      </w:r>
      <w:r w:rsidR="00732F59">
        <w:rPr>
          <w:color w:val="000000"/>
          <w:szCs w:val="26"/>
        </w:rPr>
        <w:t>I.D</w:t>
      </w:r>
      <w:r w:rsidRPr="00BA16F2">
        <w:rPr>
          <w:i/>
          <w:szCs w:val="26"/>
        </w:rPr>
        <w:t>.</w:t>
      </w:r>
      <w:r>
        <w:rPr>
          <w:szCs w:val="26"/>
        </w:rPr>
        <w:t xml:space="preserve"> at </w:t>
      </w:r>
      <w:r>
        <w:rPr>
          <w:color w:val="000000"/>
          <w:szCs w:val="26"/>
        </w:rPr>
        <w:t>28</w:t>
      </w:r>
      <w:r w:rsidR="003D4CCB">
        <w:rPr>
          <w:color w:val="000000"/>
          <w:szCs w:val="26"/>
        </w:rPr>
        <w:t xml:space="preserve">; </w:t>
      </w:r>
      <w:r w:rsidR="003D4CCB">
        <w:rPr>
          <w:i/>
          <w:szCs w:val="26"/>
        </w:rPr>
        <w:t xml:space="preserve">See, e.g., </w:t>
      </w:r>
      <w:hyperlink r:id="rId13" w:anchor="co_pp_sp_162_1070" w:history="1">
        <w:r w:rsidR="003D4CCB" w:rsidRPr="003C69E4">
          <w:rPr>
            <w:i/>
            <w:iCs/>
            <w:szCs w:val="26"/>
          </w:rPr>
          <w:t xml:space="preserve">Brockway Glass Co. v. </w:t>
        </w:r>
        <w:r w:rsidR="003D4CCB">
          <w:rPr>
            <w:i/>
            <w:iCs/>
            <w:szCs w:val="26"/>
          </w:rPr>
          <w:t xml:space="preserve">Pa. </w:t>
        </w:r>
        <w:r w:rsidR="003D4CCB" w:rsidRPr="003C69E4">
          <w:rPr>
            <w:bCs/>
            <w:i/>
            <w:iCs/>
            <w:szCs w:val="26"/>
          </w:rPr>
          <w:t>PUC</w:t>
        </w:r>
        <w:r w:rsidR="003D4CCB" w:rsidRPr="003C69E4">
          <w:rPr>
            <w:i/>
            <w:iCs/>
            <w:szCs w:val="26"/>
          </w:rPr>
          <w:t>,</w:t>
        </w:r>
        <w:r w:rsidR="003D4CCB" w:rsidRPr="003C69E4">
          <w:rPr>
            <w:szCs w:val="26"/>
          </w:rPr>
          <w:t xml:space="preserve">  437 A.2d 1067, 1070 (</w:t>
        </w:r>
        <w:r w:rsidR="003D4CCB">
          <w:rPr>
            <w:szCs w:val="26"/>
          </w:rPr>
          <w:t xml:space="preserve">Pa. </w:t>
        </w:r>
        <w:proofErr w:type="spellStart"/>
        <w:r w:rsidR="003D4CCB">
          <w:rPr>
            <w:szCs w:val="26"/>
          </w:rPr>
          <w:t>Cmwlth</w:t>
        </w:r>
        <w:proofErr w:type="spellEnd"/>
        <w:r w:rsidR="003D4CCB">
          <w:rPr>
            <w:szCs w:val="26"/>
          </w:rPr>
          <w:t xml:space="preserve">. </w:t>
        </w:r>
        <w:r w:rsidR="003D4CCB" w:rsidRPr="003C69E4">
          <w:rPr>
            <w:szCs w:val="26"/>
          </w:rPr>
          <w:t>1981)</w:t>
        </w:r>
      </w:hyperlink>
      <w:r w:rsidR="003D4CCB" w:rsidRPr="003C69E4">
        <w:rPr>
          <w:szCs w:val="26"/>
        </w:rPr>
        <w:t>.</w:t>
      </w:r>
    </w:p>
    <w:p w14:paraId="5B593074" w14:textId="77777777" w:rsidR="009C2A90" w:rsidRDefault="009C2A90" w:rsidP="00CC0155">
      <w:pPr>
        <w:rPr>
          <w:color w:val="000000"/>
          <w:szCs w:val="26"/>
        </w:rPr>
      </w:pPr>
    </w:p>
    <w:p w14:paraId="051B87A3" w14:textId="470966F7" w:rsidR="007456EA" w:rsidRDefault="007D7469" w:rsidP="00CC0155">
      <w:pPr>
        <w:rPr>
          <w:color w:val="000000"/>
          <w:szCs w:val="26"/>
        </w:rPr>
      </w:pPr>
      <w:r>
        <w:rPr>
          <w:color w:val="000000"/>
          <w:szCs w:val="26"/>
        </w:rPr>
        <w:t xml:space="preserve">We also agree </w:t>
      </w:r>
      <w:r w:rsidR="00B20BBA">
        <w:rPr>
          <w:color w:val="000000"/>
          <w:szCs w:val="26"/>
        </w:rPr>
        <w:t xml:space="preserve">with the Companies and the ALJ </w:t>
      </w:r>
      <w:r>
        <w:rPr>
          <w:color w:val="000000"/>
          <w:szCs w:val="26"/>
        </w:rPr>
        <w:t xml:space="preserve">that the </w:t>
      </w:r>
      <w:r w:rsidR="0002257C">
        <w:rPr>
          <w:color w:val="000000"/>
          <w:szCs w:val="26"/>
        </w:rPr>
        <w:t xml:space="preserve">evidence presented </w:t>
      </w:r>
      <w:r w:rsidR="00154B5B">
        <w:rPr>
          <w:color w:val="000000"/>
          <w:szCs w:val="26"/>
        </w:rPr>
        <w:t xml:space="preserve">by Respond </w:t>
      </w:r>
      <w:r w:rsidR="0002257C">
        <w:rPr>
          <w:color w:val="000000"/>
          <w:szCs w:val="26"/>
        </w:rPr>
        <w:t xml:space="preserve">in this proceeding did not address </w:t>
      </w:r>
      <w:r w:rsidR="00D3471D">
        <w:rPr>
          <w:color w:val="000000"/>
          <w:szCs w:val="26"/>
        </w:rPr>
        <w:t xml:space="preserve">any </w:t>
      </w:r>
      <w:r w:rsidR="0002257C">
        <w:rPr>
          <w:color w:val="000000"/>
          <w:szCs w:val="26"/>
        </w:rPr>
        <w:t xml:space="preserve">changes in facts or circumstances that occurred since the issuance of the </w:t>
      </w:r>
      <w:r w:rsidR="0002257C" w:rsidRPr="00A90997">
        <w:rPr>
          <w:i/>
          <w:szCs w:val="26"/>
        </w:rPr>
        <w:t>Default Service Order</w:t>
      </w:r>
      <w:r w:rsidR="0002257C">
        <w:rPr>
          <w:szCs w:val="26"/>
        </w:rPr>
        <w:t>.</w:t>
      </w:r>
      <w:r>
        <w:rPr>
          <w:szCs w:val="26"/>
        </w:rPr>
        <w:t xml:space="preserve">  Further, pursuant to the </w:t>
      </w:r>
      <w:r w:rsidRPr="00A90997">
        <w:rPr>
          <w:i/>
          <w:szCs w:val="26"/>
        </w:rPr>
        <w:t>Default Service Order</w:t>
      </w:r>
      <w:r>
        <w:rPr>
          <w:szCs w:val="26"/>
        </w:rPr>
        <w:t xml:space="preserve">, the Companies are allowed to use historical data to calculate the assessments for the </w:t>
      </w:r>
      <w:proofErr w:type="spellStart"/>
      <w:r>
        <w:rPr>
          <w:szCs w:val="26"/>
        </w:rPr>
        <w:t>clawback</w:t>
      </w:r>
      <w:proofErr w:type="spellEnd"/>
      <w:r>
        <w:rPr>
          <w:szCs w:val="26"/>
        </w:rPr>
        <w:t xml:space="preserve"> charge.  As pointed out by the ALJ, the Companies have not only demonstrated that they applied the two prongs of the </w:t>
      </w:r>
      <w:proofErr w:type="spellStart"/>
      <w:r>
        <w:rPr>
          <w:szCs w:val="26"/>
        </w:rPr>
        <w:t>clawback</w:t>
      </w:r>
      <w:proofErr w:type="spellEnd"/>
      <w:r>
        <w:rPr>
          <w:szCs w:val="26"/>
        </w:rPr>
        <w:t xml:space="preserve"> provisions </w:t>
      </w:r>
      <w:r w:rsidR="00D3471D">
        <w:rPr>
          <w:szCs w:val="26"/>
        </w:rPr>
        <w:t xml:space="preserve">approved in the </w:t>
      </w:r>
      <w:r w:rsidR="00D3471D" w:rsidRPr="00A90997">
        <w:rPr>
          <w:i/>
          <w:szCs w:val="26"/>
        </w:rPr>
        <w:t>Default Service Order</w:t>
      </w:r>
      <w:r w:rsidR="00D3471D">
        <w:rPr>
          <w:szCs w:val="26"/>
        </w:rPr>
        <w:t xml:space="preserve"> </w:t>
      </w:r>
      <w:r>
        <w:rPr>
          <w:szCs w:val="26"/>
        </w:rPr>
        <w:t xml:space="preserve">to all EGSs serving residential and small business </w:t>
      </w:r>
      <w:r>
        <w:rPr>
          <w:szCs w:val="26"/>
        </w:rPr>
        <w:lastRenderedPageBreak/>
        <w:t>customers in their service territories</w:t>
      </w:r>
      <w:r w:rsidR="00D3471D">
        <w:rPr>
          <w:szCs w:val="26"/>
        </w:rPr>
        <w:t>,</w:t>
      </w:r>
      <w:r>
        <w:rPr>
          <w:szCs w:val="26"/>
        </w:rPr>
        <w:t xml:space="preserve"> but</w:t>
      </w:r>
      <w:r w:rsidR="00FE5EE8">
        <w:rPr>
          <w:szCs w:val="26"/>
        </w:rPr>
        <w:t xml:space="preserve"> they have also demonstrated that they accurately</w:t>
      </w:r>
      <w:r>
        <w:rPr>
          <w:szCs w:val="26"/>
        </w:rPr>
        <w:t xml:space="preserve"> calculated the 2016 and 2017 </w:t>
      </w:r>
      <w:proofErr w:type="spellStart"/>
      <w:r>
        <w:rPr>
          <w:szCs w:val="26"/>
        </w:rPr>
        <w:t>clawback</w:t>
      </w:r>
      <w:proofErr w:type="spellEnd"/>
      <w:r>
        <w:rPr>
          <w:szCs w:val="26"/>
        </w:rPr>
        <w:t xml:space="preserve"> charges</w:t>
      </w:r>
      <w:r w:rsidR="00FE5EE8">
        <w:rPr>
          <w:szCs w:val="26"/>
        </w:rPr>
        <w:t xml:space="preserve"> assessed to Respond</w:t>
      </w:r>
      <w:r>
        <w:rPr>
          <w:szCs w:val="26"/>
        </w:rPr>
        <w:t xml:space="preserve">.  </w:t>
      </w:r>
      <w:r w:rsidR="00F71658">
        <w:rPr>
          <w:iCs/>
          <w:szCs w:val="26"/>
        </w:rPr>
        <w:t xml:space="preserve">I.D. </w:t>
      </w:r>
      <w:r>
        <w:rPr>
          <w:szCs w:val="26"/>
        </w:rPr>
        <w:t>at 29</w:t>
      </w:r>
      <w:r>
        <w:rPr>
          <w:color w:val="000000"/>
          <w:szCs w:val="26"/>
        </w:rPr>
        <w:t>.</w:t>
      </w:r>
    </w:p>
    <w:p w14:paraId="29B28E88" w14:textId="77777777" w:rsidR="00472993" w:rsidRDefault="00472993" w:rsidP="00CC0155">
      <w:pPr>
        <w:rPr>
          <w:color w:val="000000"/>
          <w:szCs w:val="26"/>
        </w:rPr>
      </w:pPr>
    </w:p>
    <w:p w14:paraId="213377EA" w14:textId="2A137E33" w:rsidR="00AD580A" w:rsidRDefault="00B410C2" w:rsidP="00CC0155">
      <w:pPr>
        <w:rPr>
          <w:szCs w:val="26"/>
        </w:rPr>
      </w:pPr>
      <w:r>
        <w:t xml:space="preserve">More importantly, the Companies clarify that the </w:t>
      </w:r>
      <w:proofErr w:type="spellStart"/>
      <w:r>
        <w:t>clawback</w:t>
      </w:r>
      <w:proofErr w:type="spellEnd"/>
      <w:r>
        <w:t xml:space="preserve"> charge is meant to compensate them for uncollectible accounts that exceed expenses that are collected in rates.  According to the Companies, if uncollectible expenses are less than the baseline collected in rates, the </w:t>
      </w:r>
      <w:proofErr w:type="spellStart"/>
      <w:r>
        <w:t>clawback</w:t>
      </w:r>
      <w:proofErr w:type="spellEnd"/>
      <w:r>
        <w:t xml:space="preserve"> revenues are returned to customers to reduce the cost burden they otherwise would bear.  Companies St. 1 at 12.  </w:t>
      </w:r>
      <w:r w:rsidR="005B4562">
        <w:t>W</w:t>
      </w:r>
      <w:r w:rsidR="00C5416D">
        <w:t xml:space="preserve">e </w:t>
      </w:r>
      <w:r w:rsidR="005B4562">
        <w:t xml:space="preserve">also </w:t>
      </w:r>
      <w:r w:rsidR="00C5416D">
        <w:t>acknowledge the Companies</w:t>
      </w:r>
      <w:r w:rsidR="00E00225">
        <w:t>’</w:t>
      </w:r>
      <w:r w:rsidR="00C5416D">
        <w:t xml:space="preserve"> argument that </w:t>
      </w:r>
      <w:r w:rsidR="00154B5B">
        <w:t xml:space="preserve">because collection is not an issue EGSs must concern themselves with, </w:t>
      </w:r>
      <w:r w:rsidR="00C5416D">
        <w:t xml:space="preserve">absent the </w:t>
      </w:r>
      <w:proofErr w:type="spellStart"/>
      <w:r w:rsidR="00C5416D">
        <w:t>clawback</w:t>
      </w:r>
      <w:proofErr w:type="spellEnd"/>
      <w:r w:rsidR="00C5416D">
        <w:t xml:space="preserve"> charge, the risk of the write-offs related to the excessive uncollectible accounts</w:t>
      </w:r>
      <w:r w:rsidR="00154B5B">
        <w:t xml:space="preserve"> which are a result of certain EGSs including Respond</w:t>
      </w:r>
      <w:r w:rsidR="008D24BE">
        <w:t>,</w:t>
      </w:r>
      <w:r w:rsidR="00154B5B">
        <w:t xml:space="preserve"> whose business models involve charging exorbitant prices, </w:t>
      </w:r>
      <w:r w:rsidR="00FE5EE8">
        <w:t xml:space="preserve">will be </w:t>
      </w:r>
      <w:r w:rsidR="00C5416D">
        <w:t>borne by the Companies and their customers.  Companies St. 1 at 9-1</w:t>
      </w:r>
      <w:r w:rsidR="00154B5B">
        <w:t>1</w:t>
      </w:r>
      <w:r w:rsidR="00C5416D">
        <w:t xml:space="preserve">. </w:t>
      </w:r>
      <w:r w:rsidR="00154B5B">
        <w:t xml:space="preserve"> Therefore, based on our review, </w:t>
      </w:r>
      <w:r w:rsidR="00C477CF">
        <w:t xml:space="preserve">we </w:t>
      </w:r>
      <w:r w:rsidR="00D054AA">
        <w:t xml:space="preserve">have </w:t>
      </w:r>
      <w:r w:rsidR="00C477CF">
        <w:t xml:space="preserve">found </w:t>
      </w:r>
      <w:r w:rsidR="00154B5B">
        <w:t xml:space="preserve">nothing in the record </w:t>
      </w:r>
      <w:r w:rsidR="00C477CF">
        <w:t xml:space="preserve">that </w:t>
      </w:r>
      <w:r w:rsidR="00C71E53">
        <w:t xml:space="preserve">would </w:t>
      </w:r>
      <w:r w:rsidR="00D054AA">
        <w:t xml:space="preserve">persuade us to deem </w:t>
      </w:r>
      <w:r w:rsidR="00154B5B">
        <w:t xml:space="preserve">the </w:t>
      </w:r>
      <w:proofErr w:type="spellStart"/>
      <w:r w:rsidR="00C71E53">
        <w:t>clawback</w:t>
      </w:r>
      <w:proofErr w:type="spellEnd"/>
      <w:r w:rsidR="00C71E53">
        <w:t xml:space="preserve"> charges assessed by the Companies on Respond as </w:t>
      </w:r>
      <w:r w:rsidR="00154B5B">
        <w:t>unjust and unreasonable.</w:t>
      </w:r>
    </w:p>
    <w:p w14:paraId="78EC2C7F" w14:textId="77777777" w:rsidR="000409C4" w:rsidRDefault="000409C4" w:rsidP="00CC0155">
      <w:pPr>
        <w:rPr>
          <w:szCs w:val="26"/>
        </w:rPr>
      </w:pPr>
    </w:p>
    <w:p w14:paraId="5F469736" w14:textId="0A90F576" w:rsidR="007B5AB5" w:rsidRPr="00F71658" w:rsidRDefault="00C71E53" w:rsidP="00F71658">
      <w:pPr>
        <w:keepNext/>
        <w:keepLines/>
        <w:spacing w:line="240" w:lineRule="auto"/>
        <w:ind w:left="1440" w:hanging="720"/>
        <w:rPr>
          <w:b/>
        </w:rPr>
      </w:pPr>
      <w:r>
        <w:rPr>
          <w:b/>
        </w:rPr>
        <w:t>5.</w:t>
      </w:r>
      <w:r>
        <w:rPr>
          <w:b/>
        </w:rPr>
        <w:tab/>
      </w:r>
      <w:r w:rsidR="007451EF" w:rsidRPr="00BC003C">
        <w:rPr>
          <w:b/>
        </w:rPr>
        <w:t>Exception No</w:t>
      </w:r>
      <w:r w:rsidR="00253443">
        <w:rPr>
          <w:b/>
        </w:rPr>
        <w:t>s</w:t>
      </w:r>
      <w:r w:rsidR="007451EF" w:rsidRPr="00BC003C">
        <w:rPr>
          <w:b/>
        </w:rPr>
        <w:t xml:space="preserve">. </w:t>
      </w:r>
      <w:r w:rsidR="007451EF">
        <w:rPr>
          <w:b/>
        </w:rPr>
        <w:t>4</w:t>
      </w:r>
      <w:r w:rsidR="00253443">
        <w:rPr>
          <w:b/>
        </w:rPr>
        <w:t xml:space="preserve"> &amp; 5 and </w:t>
      </w:r>
      <w:r w:rsidR="007451EF" w:rsidRPr="00BC003C">
        <w:rPr>
          <w:b/>
        </w:rPr>
        <w:t>Replies</w:t>
      </w:r>
      <w:r w:rsidR="007B5AB5">
        <w:rPr>
          <w:b/>
        </w:rPr>
        <w:t xml:space="preserve"> – </w:t>
      </w:r>
      <w:r w:rsidR="007B5AB5" w:rsidRPr="00E41838">
        <w:rPr>
          <w:b/>
          <w:szCs w:val="26"/>
        </w:rPr>
        <w:t>Burden of Proof and Application of Section 316 of the Code</w:t>
      </w:r>
    </w:p>
    <w:p w14:paraId="058283C6" w14:textId="77777777" w:rsidR="00C71E53" w:rsidRDefault="00C71E53" w:rsidP="00C71E53">
      <w:pPr>
        <w:keepNext/>
        <w:keepLines/>
        <w:ind w:firstLine="720"/>
        <w:rPr>
          <w:b/>
        </w:rPr>
      </w:pPr>
    </w:p>
    <w:p w14:paraId="61C03F71" w14:textId="0912917D" w:rsidR="00C71E53" w:rsidRDefault="00C71E53" w:rsidP="00C71E53">
      <w:pPr>
        <w:keepNext/>
        <w:keepLines/>
        <w:ind w:firstLine="720"/>
      </w:pPr>
      <w:r>
        <w:rPr>
          <w:b/>
        </w:rPr>
        <w:tab/>
        <w:t>a.</w:t>
      </w:r>
      <w:r>
        <w:rPr>
          <w:b/>
        </w:rPr>
        <w:tab/>
      </w:r>
      <w:r w:rsidR="007B5AB5">
        <w:rPr>
          <w:b/>
        </w:rPr>
        <w:t>Respond’s Exceptions</w:t>
      </w:r>
    </w:p>
    <w:p w14:paraId="6CFBD940" w14:textId="1D4F929E" w:rsidR="007451EF" w:rsidRPr="00F71658" w:rsidRDefault="007451EF" w:rsidP="00F71658">
      <w:pPr>
        <w:keepNext/>
        <w:keepLines/>
        <w:ind w:firstLine="720"/>
        <w:rPr>
          <w:b/>
        </w:rPr>
      </w:pPr>
    </w:p>
    <w:p w14:paraId="46F4EC8B" w14:textId="77FE3577" w:rsidR="000B525B" w:rsidRDefault="007451EF" w:rsidP="00CC0155">
      <w:r w:rsidRPr="00117CC1">
        <w:t>In its</w:t>
      </w:r>
      <w:r>
        <w:t xml:space="preserve"> fourth </w:t>
      </w:r>
      <w:r w:rsidRPr="00117CC1">
        <w:t>Exceptio</w:t>
      </w:r>
      <w:r>
        <w:t>n</w:t>
      </w:r>
      <w:r w:rsidRPr="00117CC1">
        <w:t xml:space="preserve">, </w:t>
      </w:r>
      <w:r>
        <w:t>Respond</w:t>
      </w:r>
      <w:r w:rsidRPr="00117CC1">
        <w:t xml:space="preserve"> </w:t>
      </w:r>
      <w:r>
        <w:t>contends</w:t>
      </w:r>
      <w:r w:rsidRPr="00117CC1">
        <w:t xml:space="preserve"> the ALJ erred</w:t>
      </w:r>
      <w:r>
        <w:t xml:space="preserve"> in concluding that Respond failed to carry its burden of proof to show that the Companies</w:t>
      </w:r>
      <w:r w:rsidR="00E00225">
        <w:t>’</w:t>
      </w:r>
      <w:r>
        <w:t xml:space="preserve"> application of the </w:t>
      </w:r>
      <w:proofErr w:type="spellStart"/>
      <w:r>
        <w:t>clawback</w:t>
      </w:r>
      <w:proofErr w:type="spellEnd"/>
      <w:r>
        <w:t xml:space="preserve"> charges is unjust and unreasonable.  Respond argues that contrary to the ALJ</w:t>
      </w:r>
      <w:r w:rsidR="00E00225">
        <w:t>’</w:t>
      </w:r>
      <w:r>
        <w:t>s Initial Decision, it has presented sufficient evidence in this proceeding to demonstrate changes in facts and circumstances following the Commission</w:t>
      </w:r>
      <w:r w:rsidR="00E00225">
        <w:t>’</w:t>
      </w:r>
      <w:r>
        <w:t xml:space="preserve">s approval of the </w:t>
      </w:r>
      <w:proofErr w:type="spellStart"/>
      <w:r>
        <w:t>clawback</w:t>
      </w:r>
      <w:proofErr w:type="spellEnd"/>
      <w:r>
        <w:t xml:space="preserve"> charges.  For instance, Respond argues it has demonstrated that the </w:t>
      </w:r>
      <w:proofErr w:type="spellStart"/>
      <w:r>
        <w:t>clawback</w:t>
      </w:r>
      <w:proofErr w:type="spellEnd"/>
      <w:r>
        <w:t xml:space="preserve"> charges assessed by the Companies in September 2016 and October 2017 were based on write-offs </w:t>
      </w:r>
      <w:r w:rsidR="00F95262">
        <w:t>on</w:t>
      </w:r>
      <w:r>
        <w:t xml:space="preserve"> unpaid supply charges dating back to 2013.  From Respond</w:t>
      </w:r>
      <w:r w:rsidR="00E00225">
        <w:t>’</w:t>
      </w:r>
      <w:r>
        <w:t xml:space="preserve">s </w:t>
      </w:r>
      <w:r>
        <w:lastRenderedPageBreak/>
        <w:t xml:space="preserve">point of view, this is new information which neither the Commission nor the settling parties in the </w:t>
      </w:r>
      <w:r w:rsidR="00F95262">
        <w:t>DSP IV proceedings</w:t>
      </w:r>
      <w:r>
        <w:t xml:space="preserve"> were aware of when the charges were approved.  Exc. at</w:t>
      </w:r>
      <w:r w:rsidR="003605DC">
        <w:t> </w:t>
      </w:r>
      <w:r>
        <w:t xml:space="preserve">32.  Respond further avers that the Commission also failed to consider the fact that the </w:t>
      </w:r>
      <w:proofErr w:type="spellStart"/>
      <w:r>
        <w:t>clawback</w:t>
      </w:r>
      <w:proofErr w:type="spellEnd"/>
      <w:r>
        <w:t xml:space="preserve"> charges fundamentally altered the terms and conditions of the existing POR program </w:t>
      </w:r>
      <w:r w:rsidR="00380F56">
        <w:t>in which</w:t>
      </w:r>
      <w:r>
        <w:t xml:space="preserve"> Respond was participating as part of the DSP III plan without any advance notice in the </w:t>
      </w:r>
      <w:r w:rsidRPr="005602CB">
        <w:rPr>
          <w:i/>
        </w:rPr>
        <w:t>Default Service Order.</w:t>
      </w:r>
      <w:r>
        <w:t xml:space="preserve">  </w:t>
      </w:r>
      <w:r w:rsidRPr="006D0CED">
        <w:rPr>
          <w:i/>
        </w:rPr>
        <w:t>Id.</w:t>
      </w:r>
      <w:r>
        <w:t xml:space="preserve"> at 32-33.</w:t>
      </w:r>
    </w:p>
    <w:p w14:paraId="75609496" w14:textId="77777777" w:rsidR="00F95262" w:rsidRDefault="00F95262" w:rsidP="00CC0155"/>
    <w:p w14:paraId="5188FE57" w14:textId="18FF55A4" w:rsidR="009C0A92" w:rsidRDefault="006F09A0" w:rsidP="00CC0155">
      <w:pPr>
        <w:ind w:firstLine="0"/>
      </w:pPr>
      <w:r>
        <w:tab/>
      </w:r>
      <w:r>
        <w:tab/>
        <w:t>In its fifth Exception, Respond argues that the ALJ erred in concluding that Respond</w:t>
      </w:r>
      <w:r w:rsidR="00E00225">
        <w:t>’</w:t>
      </w:r>
      <w:r>
        <w:t>s Complaints are barred by Section 316 of the Code</w:t>
      </w:r>
      <w:r w:rsidR="00B23591">
        <w:t xml:space="preserve"> </w:t>
      </w:r>
      <w:r w:rsidR="006B5F01">
        <w:t xml:space="preserve">because they are a collateral attack on the </w:t>
      </w:r>
      <w:r w:rsidR="006B5F01" w:rsidRPr="005602CB">
        <w:rPr>
          <w:i/>
        </w:rPr>
        <w:t>Default Service Order</w:t>
      </w:r>
      <w:r>
        <w:t>.</w:t>
      </w:r>
      <w:r w:rsidR="00812CFB">
        <w:t xml:space="preserve">  Respond avers this conclusion overlooks the unjust and unreasonable application of the </w:t>
      </w:r>
      <w:proofErr w:type="spellStart"/>
      <w:r w:rsidR="00812CFB">
        <w:t>clawback</w:t>
      </w:r>
      <w:proofErr w:type="spellEnd"/>
      <w:r w:rsidR="00812CFB">
        <w:t xml:space="preserve"> </w:t>
      </w:r>
      <w:r w:rsidR="00552183">
        <w:t xml:space="preserve">tariff </w:t>
      </w:r>
      <w:r w:rsidR="00812CFB">
        <w:t xml:space="preserve">provision by </w:t>
      </w:r>
      <w:r w:rsidR="00552183">
        <w:t xml:space="preserve">the Companies.  Exc. at 33.  Respond asserts </w:t>
      </w:r>
      <w:r w:rsidR="00380F56">
        <w:t xml:space="preserve">that </w:t>
      </w:r>
      <w:r w:rsidR="00E95D38">
        <w:t>th</w:t>
      </w:r>
      <w:r w:rsidR="00380F56">
        <w:t>e</w:t>
      </w:r>
      <w:r w:rsidR="00552183">
        <w:t xml:space="preserve"> conclusion </w:t>
      </w:r>
      <w:r w:rsidR="00380F56">
        <w:t xml:space="preserve">reached </w:t>
      </w:r>
      <w:r w:rsidR="00552183">
        <w:t>by the ALJ is undermined by the Commission</w:t>
      </w:r>
      <w:r w:rsidR="00E00225">
        <w:t>’</w:t>
      </w:r>
      <w:r w:rsidR="00552183">
        <w:t xml:space="preserve">s determination in the </w:t>
      </w:r>
      <w:r w:rsidR="00552183" w:rsidRPr="00F544D7">
        <w:rPr>
          <w:i/>
          <w:color w:val="000000"/>
          <w:szCs w:val="26"/>
        </w:rPr>
        <w:t>July 2017 PIR Order</w:t>
      </w:r>
      <w:r w:rsidR="00552183">
        <w:t xml:space="preserve"> that a party may file a complaint against the application of </w:t>
      </w:r>
      <w:r w:rsidR="008D24BE">
        <w:t xml:space="preserve">a </w:t>
      </w:r>
      <w:r w:rsidR="00552183">
        <w:t>tariff at any time.  Furthermore, Respond contends Section 701 of the Code, 66 Pa.</w:t>
      </w:r>
      <w:r w:rsidR="00EB536B">
        <w:t xml:space="preserve"> </w:t>
      </w:r>
      <w:r w:rsidR="00552183">
        <w:t xml:space="preserve">C.S. § 701, allows any person having an interest in the subject matter to complain in writing about </w:t>
      </w:r>
      <w:r w:rsidR="00E00225">
        <w:t>“</w:t>
      </w:r>
      <w:r w:rsidR="00552183">
        <w:t>any act or thing done</w:t>
      </w:r>
      <w:r w:rsidR="00E00225">
        <w:t>”</w:t>
      </w:r>
      <w:r w:rsidR="00552183">
        <w:t xml:space="preserve"> by a public utility.</w:t>
      </w:r>
      <w:r w:rsidR="009C0A92">
        <w:t xml:space="preserve">  </w:t>
      </w:r>
      <w:r w:rsidR="00E95D38">
        <w:t xml:space="preserve">According to </w:t>
      </w:r>
      <w:r w:rsidR="009C0A92">
        <w:t>Respond</w:t>
      </w:r>
      <w:r w:rsidR="00E95D38">
        <w:t xml:space="preserve">, </w:t>
      </w:r>
      <w:r w:rsidR="009C0A92">
        <w:t>the ALJ</w:t>
      </w:r>
      <w:r w:rsidR="00E00225">
        <w:t>’</w:t>
      </w:r>
      <w:r w:rsidR="009C0A92">
        <w:t>s conclusion misinterprets the fact that the Section 316</w:t>
      </w:r>
      <w:r w:rsidR="00B23591">
        <w:t xml:space="preserve"> </w:t>
      </w:r>
      <w:r w:rsidR="009C0A92">
        <w:t xml:space="preserve">doctrine is only intended to preclude such </w:t>
      </w:r>
      <w:r w:rsidR="008D24BE">
        <w:t xml:space="preserve">a </w:t>
      </w:r>
      <w:r w:rsidR="009C0A92">
        <w:t>person from relitigating the same issues against the same party.</w:t>
      </w:r>
      <w:r w:rsidR="005C5725">
        <w:t xml:space="preserve">  Consequently, Respond argues</w:t>
      </w:r>
      <w:r w:rsidR="00E95D38">
        <w:t xml:space="preserve"> that</w:t>
      </w:r>
      <w:r w:rsidR="005C5725">
        <w:t xml:space="preserve"> </w:t>
      </w:r>
      <w:r w:rsidR="00B3061C">
        <w:t xml:space="preserve">Section 316 does not apply here </w:t>
      </w:r>
      <w:r w:rsidR="005C5725">
        <w:t xml:space="preserve">because the Commission has not previously resolved the pending dispute between Respond and the Companies regarding the </w:t>
      </w:r>
      <w:proofErr w:type="spellStart"/>
      <w:r w:rsidR="005C5725">
        <w:t>clawback</w:t>
      </w:r>
      <w:proofErr w:type="spellEnd"/>
      <w:r w:rsidR="005C5725">
        <w:t xml:space="preserve"> charges</w:t>
      </w:r>
      <w:r w:rsidR="00B3061C">
        <w:t xml:space="preserve">. </w:t>
      </w:r>
      <w:r w:rsidR="00674CC3">
        <w:t xml:space="preserve"> Exc.</w:t>
      </w:r>
      <w:r w:rsidR="00B3061C">
        <w:t xml:space="preserve"> at 33-34.</w:t>
      </w:r>
    </w:p>
    <w:p w14:paraId="0F922DCB" w14:textId="77777777" w:rsidR="0036061A" w:rsidRDefault="0036061A" w:rsidP="00CC0155">
      <w:pPr>
        <w:ind w:firstLine="0"/>
      </w:pPr>
    </w:p>
    <w:p w14:paraId="11099E03" w14:textId="36DB73B0" w:rsidR="00331B01" w:rsidRDefault="0036061A" w:rsidP="00CC0155">
      <w:pPr>
        <w:ind w:firstLine="0"/>
      </w:pPr>
      <w:r>
        <w:tab/>
      </w:r>
      <w:r>
        <w:tab/>
        <w:t xml:space="preserve">Respond argues that in </w:t>
      </w:r>
      <w:r w:rsidRPr="0036061A">
        <w:rPr>
          <w:i/>
        </w:rPr>
        <w:t>Tillman</w:t>
      </w:r>
      <w:r w:rsidR="00674CC3">
        <w:rPr>
          <w:iCs/>
        </w:rPr>
        <w:t>,</w:t>
      </w:r>
      <w:r w:rsidR="00674CC3">
        <w:rPr>
          <w:rStyle w:val="FootnoteReference"/>
        </w:rPr>
        <w:footnoteReference w:id="18"/>
      </w:r>
      <w:r w:rsidRPr="00674CC3">
        <w:rPr>
          <w:iCs/>
        </w:rPr>
        <w:t xml:space="preserve"> </w:t>
      </w:r>
      <w:r>
        <w:t xml:space="preserve">the Commission dismissed a complaint on the basis of Section 316, explaining that </w:t>
      </w:r>
      <w:r w:rsidR="000B525B">
        <w:t>there need be a demonstration</w:t>
      </w:r>
      <w:r>
        <w:t xml:space="preserve"> that</w:t>
      </w:r>
      <w:r w:rsidR="00576939">
        <w:t xml:space="preserve"> the</w:t>
      </w:r>
      <w:r>
        <w:t>: (1)</w:t>
      </w:r>
      <w:r w:rsidR="003605DC">
        <w:t> </w:t>
      </w:r>
      <w:r>
        <w:t xml:space="preserve">issue decided by a prior final judgment is identical to the one presented in the later </w:t>
      </w:r>
      <w:r>
        <w:lastRenderedPageBreak/>
        <w:t>action; (2) issue was actually litigated; (3)</w:t>
      </w:r>
      <w:r w:rsidR="00912E41">
        <w:t xml:space="preserve"> </w:t>
      </w:r>
      <w:r w:rsidR="003605DC">
        <w:t xml:space="preserve">the </w:t>
      </w:r>
      <w:r>
        <w:t xml:space="preserve">party against whom issue preclusion was asserted was a party or in privy with a party to the prior litigation; and (4) determination of the issue was essential to the prior final judgment.  </w:t>
      </w:r>
      <w:r w:rsidR="00674CC3">
        <w:t>Exc</w:t>
      </w:r>
      <w:r w:rsidRPr="006D0CED">
        <w:rPr>
          <w:i/>
        </w:rPr>
        <w:t>.</w:t>
      </w:r>
      <w:r>
        <w:t xml:space="preserve"> at 34-35, citing </w:t>
      </w:r>
      <w:r w:rsidRPr="0036061A">
        <w:rPr>
          <w:i/>
        </w:rPr>
        <w:t>Tillman</w:t>
      </w:r>
      <w:r>
        <w:t xml:space="preserve"> Initial Decision served on November 19, 2015 at 4-7.</w:t>
      </w:r>
      <w:r w:rsidR="0094025D">
        <w:t xml:space="preserve">  However, in this case, </w:t>
      </w:r>
      <w:r w:rsidR="003605DC">
        <w:t xml:space="preserve">Respond argues that </w:t>
      </w:r>
      <w:r w:rsidR="0094025D">
        <w:t>the ALJ did not even address the criteria that the Commission relies upon in making Section 316 determinations</w:t>
      </w:r>
      <w:r w:rsidR="003605DC">
        <w:t>.</w:t>
      </w:r>
      <w:r w:rsidR="00AD298D">
        <w:t xml:space="preserve">  </w:t>
      </w:r>
      <w:r w:rsidR="00967058">
        <w:t>Respond claims none of the factors for applying the Section 316 doctrine is present in this case and that the application of the correct Section 316 factors in this case would show that Respond</w:t>
      </w:r>
      <w:r w:rsidR="00E00225">
        <w:t>’</w:t>
      </w:r>
      <w:r w:rsidR="00967058">
        <w:t xml:space="preserve">s Complaints are not a collateral attack on the </w:t>
      </w:r>
      <w:r w:rsidR="00967058" w:rsidRPr="00967058">
        <w:rPr>
          <w:i/>
        </w:rPr>
        <w:t>Default Service Order.</w:t>
      </w:r>
      <w:r w:rsidR="00967058">
        <w:t xml:space="preserve">  Exc. at 35.</w:t>
      </w:r>
      <w:r w:rsidR="00880A62">
        <w:t xml:space="preserve">  Spe</w:t>
      </w:r>
      <w:r w:rsidR="00E44E60">
        <w:t xml:space="preserve">cifically, Respond avers it was not a party to the proceedings that resulted in the issuance of the </w:t>
      </w:r>
      <w:r w:rsidR="00E44E60" w:rsidRPr="00967058">
        <w:rPr>
          <w:i/>
        </w:rPr>
        <w:t>Default Service Order</w:t>
      </w:r>
      <w:r w:rsidR="00E44E60">
        <w:t xml:space="preserve"> and the issues decided by that Order are not identical to the issues in the instant proceeding.  Finally, Respond contends it has not </w:t>
      </w:r>
      <w:r w:rsidR="00333152">
        <w:t xml:space="preserve">waived its rights to challenge the application of the </w:t>
      </w:r>
      <w:proofErr w:type="spellStart"/>
      <w:r w:rsidR="00333152">
        <w:t>clawback</w:t>
      </w:r>
      <w:proofErr w:type="spellEnd"/>
      <w:r w:rsidR="00333152">
        <w:t xml:space="preserve"> charge</w:t>
      </w:r>
      <w:r w:rsidR="008F6F64">
        <w:t>,</w:t>
      </w:r>
      <w:r w:rsidR="00333152">
        <w:t xml:space="preserve"> and no issues were determined by the </w:t>
      </w:r>
      <w:r w:rsidR="00333152" w:rsidRPr="00967058">
        <w:rPr>
          <w:i/>
        </w:rPr>
        <w:t>Default Service Order</w:t>
      </w:r>
      <w:r w:rsidR="00333152">
        <w:t xml:space="preserve"> regarding the </w:t>
      </w:r>
      <w:proofErr w:type="spellStart"/>
      <w:r w:rsidR="00333152">
        <w:t>clawback</w:t>
      </w:r>
      <w:proofErr w:type="spellEnd"/>
      <w:r w:rsidR="00333152">
        <w:t xml:space="preserve"> mechanism that were essential to the final judgment.  </w:t>
      </w:r>
      <w:r w:rsidR="00333152" w:rsidRPr="006D0CED">
        <w:rPr>
          <w:i/>
        </w:rPr>
        <w:t>Id.</w:t>
      </w:r>
      <w:r w:rsidR="00333152">
        <w:t xml:space="preserve"> at 35-36.</w:t>
      </w:r>
    </w:p>
    <w:p w14:paraId="7DA36BC2" w14:textId="1691CCBF" w:rsidR="00554A06" w:rsidRDefault="00554A06" w:rsidP="00CC0155">
      <w:pPr>
        <w:ind w:firstLine="0"/>
      </w:pPr>
    </w:p>
    <w:p w14:paraId="72688BC8" w14:textId="5E113914" w:rsidR="008F6F64" w:rsidRPr="008F6F64" w:rsidRDefault="008F6F64" w:rsidP="00CC0155">
      <w:pPr>
        <w:ind w:firstLine="0"/>
        <w:rPr>
          <w:b/>
          <w:bCs/>
        </w:rPr>
      </w:pPr>
      <w:r w:rsidRPr="008F6F64">
        <w:rPr>
          <w:b/>
          <w:bCs/>
        </w:rPr>
        <w:tab/>
      </w:r>
      <w:r w:rsidRPr="008F6F64">
        <w:rPr>
          <w:b/>
          <w:bCs/>
        </w:rPr>
        <w:tab/>
        <w:t>b.</w:t>
      </w:r>
      <w:r w:rsidRPr="008F6F64">
        <w:rPr>
          <w:b/>
          <w:bCs/>
        </w:rPr>
        <w:tab/>
        <w:t>The Companies’ Replies to Exceptions</w:t>
      </w:r>
    </w:p>
    <w:p w14:paraId="11BB6B31" w14:textId="77777777" w:rsidR="008F6F64" w:rsidRDefault="008F6F64" w:rsidP="00CC0155">
      <w:pPr>
        <w:ind w:firstLine="0"/>
      </w:pPr>
    </w:p>
    <w:p w14:paraId="38013A0D" w14:textId="0487EDA2" w:rsidR="00554A06" w:rsidRDefault="00554A06" w:rsidP="00CC0155">
      <w:r>
        <w:t xml:space="preserve">In </w:t>
      </w:r>
      <w:r w:rsidR="00983E8C">
        <w:t>their</w:t>
      </w:r>
      <w:r>
        <w:t xml:space="preserve"> Replies to Exception Nos. 4 and 5, the Companies reiterate that Section 316, by its terms, applies to the </w:t>
      </w:r>
      <w:r w:rsidRPr="00967058">
        <w:rPr>
          <w:i/>
        </w:rPr>
        <w:t>Default Service Order</w:t>
      </w:r>
      <w:r w:rsidR="00674CC3">
        <w:rPr>
          <w:iCs/>
        </w:rPr>
        <w:t xml:space="preserve">. </w:t>
      </w:r>
      <w:r w:rsidR="00A1691A">
        <w:t xml:space="preserve"> </w:t>
      </w:r>
      <w:r w:rsidR="00674CC3">
        <w:t>A</w:t>
      </w:r>
      <w:r w:rsidR="00A1691A">
        <w:t>s the</w:t>
      </w:r>
      <w:r w:rsidR="00674CC3">
        <w:t>y</w:t>
      </w:r>
      <w:r w:rsidR="00A1691A">
        <w:t xml:space="preserve"> have </w:t>
      </w:r>
      <w:r w:rsidR="00A074BB">
        <w:t>propounded</w:t>
      </w:r>
      <w:r w:rsidR="00A1691A">
        <w:t xml:space="preserve"> throughout this proceeding, </w:t>
      </w:r>
      <w:r w:rsidR="00674CC3">
        <w:t xml:space="preserve">the Companies argue that </w:t>
      </w:r>
      <w:r w:rsidR="00A1691A">
        <w:t>Section 316 prohibits retroactive revocation of approvals, findings</w:t>
      </w:r>
      <w:r w:rsidR="00A074BB">
        <w:t>,</w:t>
      </w:r>
      <w:r w:rsidR="00A1691A">
        <w:t xml:space="preserve"> and determinations made by the Commission</w:t>
      </w:r>
      <w:r w:rsidR="00F643EB">
        <w:t xml:space="preserve"> in the </w:t>
      </w:r>
      <w:r w:rsidR="00F643EB" w:rsidRPr="00967058">
        <w:rPr>
          <w:i/>
        </w:rPr>
        <w:t>Default Service Order</w:t>
      </w:r>
      <w:r w:rsidR="00A1691A">
        <w:t xml:space="preserve">.  </w:t>
      </w:r>
      <w:r w:rsidR="00285071">
        <w:t xml:space="preserve">The Companies note </w:t>
      </w:r>
      <w:r w:rsidR="00F643EB">
        <w:t xml:space="preserve">the following </w:t>
      </w:r>
      <w:r w:rsidR="00285071">
        <w:t>claim</w:t>
      </w:r>
      <w:r w:rsidR="00F643EB">
        <w:t>s made by Respond are all wrong</w:t>
      </w:r>
      <w:r w:rsidR="00912E41">
        <w:t xml:space="preserve"> and they include</w:t>
      </w:r>
      <w:r w:rsidR="00285071">
        <w:t xml:space="preserve">: (1) </w:t>
      </w:r>
      <w:r w:rsidR="00F643EB">
        <w:t xml:space="preserve">that the </w:t>
      </w:r>
      <w:r w:rsidR="00285071" w:rsidRPr="00F544D7">
        <w:rPr>
          <w:i/>
          <w:color w:val="000000"/>
          <w:szCs w:val="26"/>
        </w:rPr>
        <w:t>July 2017 PIR Order</w:t>
      </w:r>
      <w:r w:rsidR="00285071">
        <w:rPr>
          <w:color w:val="000000"/>
          <w:szCs w:val="26"/>
        </w:rPr>
        <w:t xml:space="preserve"> already decided that Section 316 does not apply in this case; (2) </w:t>
      </w:r>
      <w:r w:rsidR="00F643EB">
        <w:rPr>
          <w:color w:val="000000"/>
          <w:szCs w:val="26"/>
        </w:rPr>
        <w:t xml:space="preserve">that </w:t>
      </w:r>
      <w:r w:rsidR="00285071">
        <w:rPr>
          <w:color w:val="000000"/>
          <w:szCs w:val="26"/>
        </w:rPr>
        <w:t>Section 316 can only apply if there is perfect identity of parties and issues between an earlier and a subsequent proceeding; and</w:t>
      </w:r>
      <w:r w:rsidR="00F643EB">
        <w:rPr>
          <w:color w:val="000000"/>
          <w:szCs w:val="26"/>
        </w:rPr>
        <w:t>;</w:t>
      </w:r>
      <w:r w:rsidR="00285071">
        <w:rPr>
          <w:color w:val="000000"/>
          <w:szCs w:val="26"/>
        </w:rPr>
        <w:t xml:space="preserve"> (3)</w:t>
      </w:r>
      <w:r w:rsidR="00EC6A56">
        <w:rPr>
          <w:color w:val="000000"/>
          <w:szCs w:val="26"/>
        </w:rPr>
        <w:t> </w:t>
      </w:r>
      <w:r w:rsidR="00F643EB">
        <w:rPr>
          <w:color w:val="000000"/>
          <w:szCs w:val="26"/>
        </w:rPr>
        <w:t>that</w:t>
      </w:r>
      <w:r w:rsidR="00285071">
        <w:rPr>
          <w:color w:val="000000"/>
          <w:szCs w:val="26"/>
        </w:rPr>
        <w:t xml:space="preserve"> the </w:t>
      </w:r>
      <w:r w:rsidR="00285071" w:rsidRPr="00967058">
        <w:rPr>
          <w:i/>
        </w:rPr>
        <w:t>Default Service Order</w:t>
      </w:r>
      <w:r w:rsidR="00285071">
        <w:t xml:space="preserve"> is not </w:t>
      </w:r>
      <w:r w:rsidR="00E00225">
        <w:t>“</w:t>
      </w:r>
      <w:r w:rsidR="00285071">
        <w:t>final</w:t>
      </w:r>
      <w:r w:rsidR="00E00225">
        <w:t>”</w:t>
      </w:r>
      <w:r w:rsidR="00285071">
        <w:t xml:space="preserve"> because it approved a settlement.  </w:t>
      </w:r>
      <w:r w:rsidR="00EE3DB2">
        <w:t>R. Exc. at</w:t>
      </w:r>
      <w:r w:rsidR="00EC6A56">
        <w:t> </w:t>
      </w:r>
      <w:r w:rsidR="00EE3DB2">
        <w:t>22.</w:t>
      </w:r>
    </w:p>
    <w:p w14:paraId="0D9EB1E8" w14:textId="77777777" w:rsidR="00C863C5" w:rsidRDefault="00C863C5" w:rsidP="00CC0155"/>
    <w:p w14:paraId="74E278D8" w14:textId="2B3C5731" w:rsidR="00E16ADB" w:rsidRDefault="00674CC3" w:rsidP="00CC0155">
      <w:r>
        <w:lastRenderedPageBreak/>
        <w:t>T</w:t>
      </w:r>
      <w:r w:rsidR="00221BAF">
        <w:t xml:space="preserve">he Companies argue </w:t>
      </w:r>
      <w:r>
        <w:t xml:space="preserve">that </w:t>
      </w:r>
      <w:r w:rsidR="00221BAF">
        <w:t>t</w:t>
      </w:r>
      <w:r w:rsidR="00DA3DC9">
        <w:t xml:space="preserve">he </w:t>
      </w:r>
      <w:r w:rsidR="00DA3DC9" w:rsidRPr="00F544D7">
        <w:rPr>
          <w:i/>
          <w:color w:val="000000"/>
          <w:szCs w:val="26"/>
        </w:rPr>
        <w:t>July 2017 PIR Order</w:t>
      </w:r>
      <w:r w:rsidR="00221BAF">
        <w:rPr>
          <w:color w:val="000000"/>
          <w:szCs w:val="26"/>
        </w:rPr>
        <w:t xml:space="preserve"> did not negate the application of Section 316</w:t>
      </w:r>
      <w:r>
        <w:rPr>
          <w:color w:val="000000"/>
          <w:szCs w:val="26"/>
        </w:rPr>
        <w:t xml:space="preserve">. </w:t>
      </w:r>
      <w:r w:rsidR="00221BAF">
        <w:rPr>
          <w:color w:val="000000"/>
          <w:szCs w:val="26"/>
        </w:rPr>
        <w:t xml:space="preserve"> </w:t>
      </w:r>
      <w:r>
        <w:rPr>
          <w:color w:val="000000"/>
          <w:szCs w:val="26"/>
        </w:rPr>
        <w:t>R</w:t>
      </w:r>
      <w:r w:rsidR="00221BAF">
        <w:rPr>
          <w:color w:val="000000"/>
          <w:szCs w:val="26"/>
        </w:rPr>
        <w:t>ather, t</w:t>
      </w:r>
      <w:r>
        <w:rPr>
          <w:color w:val="000000"/>
          <w:szCs w:val="26"/>
        </w:rPr>
        <w:t>he order</w:t>
      </w:r>
      <w:r w:rsidR="00221BAF">
        <w:rPr>
          <w:color w:val="000000"/>
          <w:szCs w:val="26"/>
        </w:rPr>
        <w:t xml:space="preserve"> only </w:t>
      </w:r>
      <w:r>
        <w:rPr>
          <w:color w:val="000000"/>
          <w:szCs w:val="26"/>
        </w:rPr>
        <w:t>provided</w:t>
      </w:r>
      <w:r w:rsidR="00221BAF">
        <w:rPr>
          <w:color w:val="000000"/>
          <w:szCs w:val="26"/>
        </w:rPr>
        <w:t xml:space="preserve"> Respond the opportunity for a hearing while at the same</w:t>
      </w:r>
      <w:r>
        <w:rPr>
          <w:color w:val="000000"/>
          <w:szCs w:val="26"/>
        </w:rPr>
        <w:t xml:space="preserve"> time,</w:t>
      </w:r>
      <w:r w:rsidR="00221BAF">
        <w:rPr>
          <w:color w:val="000000"/>
          <w:szCs w:val="26"/>
        </w:rPr>
        <w:t xml:space="preserve"> clearly stat</w:t>
      </w:r>
      <w:r>
        <w:rPr>
          <w:color w:val="000000"/>
          <w:szCs w:val="26"/>
        </w:rPr>
        <w:t>ed</w:t>
      </w:r>
      <w:r w:rsidR="00221BAF">
        <w:rPr>
          <w:color w:val="000000"/>
          <w:szCs w:val="26"/>
        </w:rPr>
        <w:t xml:space="preserve"> that Respond has to meet the </w:t>
      </w:r>
      <w:r w:rsidR="00E00225">
        <w:rPr>
          <w:color w:val="000000"/>
          <w:szCs w:val="26"/>
        </w:rPr>
        <w:t>“</w:t>
      </w:r>
      <w:r w:rsidR="00221BAF">
        <w:rPr>
          <w:color w:val="000000"/>
          <w:szCs w:val="26"/>
        </w:rPr>
        <w:t>heavy burden</w:t>
      </w:r>
      <w:r w:rsidR="00E00225">
        <w:rPr>
          <w:color w:val="000000"/>
          <w:szCs w:val="26"/>
        </w:rPr>
        <w:t>”</w:t>
      </w:r>
      <w:r w:rsidR="00221BAF">
        <w:rPr>
          <w:color w:val="000000"/>
          <w:szCs w:val="26"/>
        </w:rPr>
        <w:t xml:space="preserve"> test of </w:t>
      </w:r>
      <w:proofErr w:type="spellStart"/>
      <w:r w:rsidR="00221BAF" w:rsidRPr="00791CAF">
        <w:rPr>
          <w:i/>
        </w:rPr>
        <w:t>Shenango</w:t>
      </w:r>
      <w:proofErr w:type="spellEnd"/>
      <w:r>
        <w:rPr>
          <w:iCs/>
        </w:rPr>
        <w:t>.  Additionally,</w:t>
      </w:r>
      <w:r w:rsidR="008C7687">
        <w:t xml:space="preserve"> t</w:t>
      </w:r>
      <w:r w:rsidR="00221BAF">
        <w:t xml:space="preserve">he Companies </w:t>
      </w:r>
      <w:r w:rsidR="001C5ACA">
        <w:t>aver that Respond</w:t>
      </w:r>
      <w:r w:rsidR="00E00225">
        <w:t>’</w:t>
      </w:r>
      <w:r w:rsidR="001C5ACA">
        <w:t xml:space="preserve">s identity of parties and issues argument is misguided and </w:t>
      </w:r>
      <w:r w:rsidR="00221BAF">
        <w:t>is not a precondition to Section 316</w:t>
      </w:r>
      <w:r w:rsidR="00E00225">
        <w:t>’</w:t>
      </w:r>
      <w:r w:rsidR="00221BAF">
        <w:t xml:space="preserve">s mandate.  </w:t>
      </w:r>
      <w:r w:rsidR="007F0549">
        <w:t>Reacting to</w:t>
      </w:r>
      <w:r w:rsidR="00E21BF3">
        <w:t xml:space="preserve"> </w:t>
      </w:r>
      <w:r w:rsidR="008C7687">
        <w:t>Respond</w:t>
      </w:r>
      <w:r w:rsidR="00E00225">
        <w:t>’</w:t>
      </w:r>
      <w:r w:rsidR="008C7687">
        <w:t>s</w:t>
      </w:r>
      <w:r w:rsidR="00E21BF3">
        <w:t xml:space="preserve"> </w:t>
      </w:r>
      <w:r w:rsidR="008C7687">
        <w:t xml:space="preserve">approach, </w:t>
      </w:r>
      <w:r w:rsidR="00E21BF3">
        <w:t xml:space="preserve">the Companies aver that </w:t>
      </w:r>
      <w:r w:rsidR="008C7687">
        <w:t xml:space="preserve">if a customer simply chose not to intervene in the DSP IV proceedings (and therefore, was not a </w:t>
      </w:r>
      <w:r w:rsidR="00E00225">
        <w:t>“</w:t>
      </w:r>
      <w:r w:rsidR="008C7687">
        <w:t>party</w:t>
      </w:r>
      <w:r w:rsidR="00E00225">
        <w:t>”</w:t>
      </w:r>
      <w:r w:rsidR="008C7687">
        <w:t>), the Commission</w:t>
      </w:r>
      <w:r w:rsidR="00E00225">
        <w:t>’</w:t>
      </w:r>
      <w:r w:rsidR="008C7687">
        <w:t>s final order would not apply to</w:t>
      </w:r>
      <w:r w:rsidR="00912E41">
        <w:t xml:space="preserve"> him or her</w:t>
      </w:r>
      <w:r w:rsidR="008C7687">
        <w:t xml:space="preserve">.  </w:t>
      </w:r>
      <w:r w:rsidR="00E21BF3">
        <w:t xml:space="preserve">According to the Companies, </w:t>
      </w:r>
      <w:r w:rsidR="00600BA4">
        <w:t xml:space="preserve">if </w:t>
      </w:r>
      <w:r w:rsidR="00E21BF3">
        <w:t>Respond</w:t>
      </w:r>
      <w:r w:rsidR="00E00225">
        <w:t>’</w:t>
      </w:r>
      <w:r w:rsidR="00E21BF3">
        <w:t xml:space="preserve">s argument </w:t>
      </w:r>
      <w:r w:rsidR="00600BA4">
        <w:t xml:space="preserve">were applied </w:t>
      </w:r>
      <w:r>
        <w:t xml:space="preserve">in this example, </w:t>
      </w:r>
      <w:r w:rsidR="00E21BF3">
        <w:t>that customer would be free to contest the application of a rate or rule</w:t>
      </w:r>
      <w:r>
        <w:t>,</w:t>
      </w:r>
      <w:r w:rsidR="00E21BF3">
        <w:t xml:space="preserve"> retrospectively</w:t>
      </w:r>
      <w:r>
        <w:t>,</w:t>
      </w:r>
      <w:r w:rsidR="00E21BF3">
        <w:t xml:space="preserve"> and seek to avoid paying the rate or obeying the rule even during a period that preceded the adjudication of its complaint.  The Companies </w:t>
      </w:r>
      <w:r w:rsidR="004F1A44">
        <w:t xml:space="preserve">explain that </w:t>
      </w:r>
      <w:r>
        <w:t>c</w:t>
      </w:r>
      <w:r w:rsidR="00E21BF3">
        <w:t xml:space="preserve">onsideration of </w:t>
      </w:r>
      <w:r w:rsidR="004F1A44">
        <w:t>Respond</w:t>
      </w:r>
      <w:r w:rsidR="00E00225">
        <w:t>’</w:t>
      </w:r>
      <w:r w:rsidR="004F1A44">
        <w:t xml:space="preserve">s argument would banish </w:t>
      </w:r>
      <w:r w:rsidR="008F53C3">
        <w:t xml:space="preserve">both the “filed tariff” and “Commission-made rate” doctrines </w:t>
      </w:r>
      <w:r w:rsidR="004F1A44">
        <w:t>from the Commonwealth law and eviscerate the concept of finality expressly embodied in Sections 316 and 1309 of the Code</w:t>
      </w:r>
      <w:r>
        <w:t xml:space="preserve">, 66 </w:t>
      </w:r>
      <w:proofErr w:type="spellStart"/>
      <w:r>
        <w:t>Pa.C.S</w:t>
      </w:r>
      <w:proofErr w:type="spellEnd"/>
      <w:r>
        <w:t xml:space="preserve">. §§ 316; </w:t>
      </w:r>
      <w:r w:rsidR="00E16ADB">
        <w:t>1309.</w:t>
      </w:r>
    </w:p>
    <w:p w14:paraId="34A53156" w14:textId="77777777" w:rsidR="00E16ADB" w:rsidRDefault="00E16ADB" w:rsidP="00CC0155"/>
    <w:p w14:paraId="751F0CC1" w14:textId="5AE4158F" w:rsidR="003F5BFA" w:rsidRDefault="004F1A44" w:rsidP="00CC0155">
      <w:pPr>
        <w:rPr>
          <w:b/>
        </w:rPr>
      </w:pPr>
      <w:r>
        <w:t xml:space="preserve">Lastly, </w:t>
      </w:r>
      <w:r w:rsidR="007F0549">
        <w:t xml:space="preserve">responding to </w:t>
      </w:r>
      <w:r>
        <w:t>Respond</w:t>
      </w:r>
      <w:r w:rsidR="00E00225">
        <w:t>’</w:t>
      </w:r>
      <w:r>
        <w:t xml:space="preserve">s third argument, </w:t>
      </w:r>
      <w:r w:rsidR="007F0549">
        <w:t xml:space="preserve">the Companies aver that </w:t>
      </w:r>
      <w:r>
        <w:t xml:space="preserve">the orders approving settlements are </w:t>
      </w:r>
      <w:r w:rsidR="00E00225">
        <w:t>“</w:t>
      </w:r>
      <w:r>
        <w:t>final</w:t>
      </w:r>
      <w:r w:rsidR="00E00225">
        <w:t>”</w:t>
      </w:r>
      <w:r>
        <w:t xml:space="preserve"> orders and must be afforded the same degree of finality as an order entered at the conclusion of a fully litigated case</w:t>
      </w:r>
      <w:r w:rsidR="00E16ADB">
        <w:t>.  This is consistent</w:t>
      </w:r>
      <w:r>
        <w:t xml:space="preserve"> </w:t>
      </w:r>
      <w:r w:rsidR="00E16ADB">
        <w:t>with</w:t>
      </w:r>
      <w:r>
        <w:t xml:space="preserve"> Commission</w:t>
      </w:r>
      <w:r w:rsidR="008D24BE">
        <w:t xml:space="preserve"> precedent</w:t>
      </w:r>
      <w:r w:rsidR="00E16ADB">
        <w:t xml:space="preserve">, </w:t>
      </w:r>
      <w:r>
        <w:t>as well</w:t>
      </w:r>
      <w:r w:rsidR="008D24BE">
        <w:t xml:space="preserve"> as </w:t>
      </w:r>
      <w:r>
        <w:t>established appellate</w:t>
      </w:r>
      <w:r w:rsidR="008D24BE">
        <w:t xml:space="preserve"> court</w:t>
      </w:r>
      <w:r>
        <w:t xml:space="preserve"> precedent.  </w:t>
      </w:r>
      <w:r w:rsidR="00E16ADB">
        <w:t>R.</w:t>
      </w:r>
      <w:r w:rsidR="00126750">
        <w:t xml:space="preserve"> </w:t>
      </w:r>
      <w:r w:rsidR="00E16ADB">
        <w:t>Exc</w:t>
      </w:r>
      <w:r w:rsidRPr="004F1A44">
        <w:rPr>
          <w:i/>
        </w:rPr>
        <w:t xml:space="preserve">. </w:t>
      </w:r>
      <w:r>
        <w:t>at 22-23.</w:t>
      </w:r>
    </w:p>
    <w:p w14:paraId="07FF9885" w14:textId="77777777" w:rsidR="003F5BFA" w:rsidRDefault="003F5BFA" w:rsidP="00CC0155">
      <w:pPr>
        <w:ind w:left="720" w:firstLine="720"/>
        <w:rPr>
          <w:b/>
        </w:rPr>
      </w:pPr>
    </w:p>
    <w:p w14:paraId="0DF370C6" w14:textId="5565A364" w:rsidR="00884EBD" w:rsidRDefault="008F53C3" w:rsidP="00F71658">
      <w:pPr>
        <w:ind w:firstLine="720"/>
        <w:rPr>
          <w:b/>
        </w:rPr>
      </w:pPr>
      <w:r>
        <w:rPr>
          <w:b/>
        </w:rPr>
        <w:tab/>
        <w:t>c.</w:t>
      </w:r>
      <w:r>
        <w:rPr>
          <w:b/>
        </w:rPr>
        <w:tab/>
      </w:r>
      <w:r w:rsidR="00884EBD">
        <w:rPr>
          <w:b/>
        </w:rPr>
        <w:t>Disposition</w:t>
      </w:r>
    </w:p>
    <w:p w14:paraId="67D2BCDB" w14:textId="77777777" w:rsidR="006F06F8" w:rsidRDefault="006F06F8" w:rsidP="00CC0155">
      <w:pPr>
        <w:ind w:left="720" w:firstLine="720"/>
      </w:pPr>
    </w:p>
    <w:p w14:paraId="6D37A237" w14:textId="7B1BF213" w:rsidR="00EA40A4" w:rsidRDefault="00884EBD" w:rsidP="00CC0155">
      <w:r>
        <w:t>Upon review, we shall deny Respond</w:t>
      </w:r>
      <w:r w:rsidR="00E00225">
        <w:t>’</w:t>
      </w:r>
      <w:r>
        <w:t xml:space="preserve">s Exception Nos. 4 and 5.  </w:t>
      </w:r>
      <w:r w:rsidR="007F0549">
        <w:t xml:space="preserve">We agree with the Companies that the </w:t>
      </w:r>
      <w:r w:rsidR="007F0549" w:rsidRPr="00F544D7">
        <w:rPr>
          <w:i/>
          <w:color w:val="000000"/>
          <w:szCs w:val="26"/>
        </w:rPr>
        <w:t>July 2017 PIR Order</w:t>
      </w:r>
      <w:r w:rsidR="007F0549">
        <w:rPr>
          <w:color w:val="000000"/>
          <w:szCs w:val="26"/>
        </w:rPr>
        <w:t xml:space="preserve"> did not negate the application of Section 316</w:t>
      </w:r>
      <w:r w:rsidR="00EA40A4">
        <w:rPr>
          <w:color w:val="000000"/>
          <w:szCs w:val="26"/>
        </w:rPr>
        <w:t xml:space="preserve">. </w:t>
      </w:r>
      <w:r w:rsidR="007F0549">
        <w:rPr>
          <w:color w:val="000000"/>
          <w:szCs w:val="26"/>
        </w:rPr>
        <w:t xml:space="preserve"> </w:t>
      </w:r>
      <w:r w:rsidR="00EA40A4">
        <w:rPr>
          <w:color w:val="000000"/>
          <w:szCs w:val="26"/>
        </w:rPr>
        <w:t>R</w:t>
      </w:r>
      <w:r w:rsidR="007F0549">
        <w:rPr>
          <w:color w:val="000000"/>
          <w:szCs w:val="26"/>
        </w:rPr>
        <w:t xml:space="preserve">ather, it only offered Respond the opportunity for a hearing </w:t>
      </w:r>
      <w:r w:rsidR="00EA40A4">
        <w:rPr>
          <w:color w:val="000000"/>
          <w:szCs w:val="26"/>
        </w:rPr>
        <w:t>to meet its burden of proof.  The order cl</w:t>
      </w:r>
      <w:r w:rsidR="007F0549">
        <w:rPr>
          <w:color w:val="000000"/>
          <w:szCs w:val="26"/>
        </w:rPr>
        <w:t xml:space="preserve">early </w:t>
      </w:r>
      <w:r w:rsidR="00EA40A4">
        <w:rPr>
          <w:color w:val="000000"/>
          <w:szCs w:val="26"/>
        </w:rPr>
        <w:t>advised</w:t>
      </w:r>
      <w:r w:rsidR="007F0549">
        <w:rPr>
          <w:color w:val="000000"/>
          <w:szCs w:val="26"/>
        </w:rPr>
        <w:t xml:space="preserve"> that Respond ha</w:t>
      </w:r>
      <w:r w:rsidR="00EA40A4">
        <w:rPr>
          <w:color w:val="000000"/>
          <w:szCs w:val="26"/>
        </w:rPr>
        <w:t>d</w:t>
      </w:r>
      <w:r w:rsidR="007F0549">
        <w:rPr>
          <w:color w:val="000000"/>
          <w:szCs w:val="26"/>
        </w:rPr>
        <w:t xml:space="preserve"> to meet the </w:t>
      </w:r>
      <w:r w:rsidR="00E00225">
        <w:rPr>
          <w:color w:val="000000"/>
          <w:szCs w:val="26"/>
        </w:rPr>
        <w:t>“</w:t>
      </w:r>
      <w:r w:rsidR="007F0549">
        <w:rPr>
          <w:color w:val="000000"/>
          <w:szCs w:val="26"/>
        </w:rPr>
        <w:t>heavy</w:t>
      </w:r>
      <w:r w:rsidR="00E00225">
        <w:rPr>
          <w:color w:val="000000"/>
          <w:szCs w:val="26"/>
        </w:rPr>
        <w:t>”</w:t>
      </w:r>
      <w:r w:rsidR="007F0549">
        <w:rPr>
          <w:color w:val="000000"/>
          <w:szCs w:val="26"/>
        </w:rPr>
        <w:t xml:space="preserve"> </w:t>
      </w:r>
      <w:r w:rsidR="0003786D">
        <w:rPr>
          <w:color w:val="000000"/>
          <w:szCs w:val="26"/>
        </w:rPr>
        <w:t>burden</w:t>
      </w:r>
      <w:r w:rsidR="007F0549">
        <w:rPr>
          <w:color w:val="000000"/>
          <w:szCs w:val="26"/>
        </w:rPr>
        <w:t xml:space="preserve"> test of </w:t>
      </w:r>
      <w:proofErr w:type="spellStart"/>
      <w:r w:rsidR="007F0549" w:rsidRPr="00791CAF">
        <w:rPr>
          <w:i/>
        </w:rPr>
        <w:t>Shenango</w:t>
      </w:r>
      <w:proofErr w:type="spellEnd"/>
      <w:r w:rsidR="007F0549">
        <w:t xml:space="preserve">, which is that Respond justify even a prospective alteration of the </w:t>
      </w:r>
      <w:proofErr w:type="spellStart"/>
      <w:r w:rsidR="007F0549">
        <w:lastRenderedPageBreak/>
        <w:t>clawback</w:t>
      </w:r>
      <w:proofErr w:type="spellEnd"/>
      <w:r w:rsidR="007F0549">
        <w:t xml:space="preserve"> tariff provision.  </w:t>
      </w:r>
      <w:r w:rsidR="00EA40A4">
        <w:rPr>
          <w:i/>
          <w:iCs/>
        </w:rPr>
        <w:t xml:space="preserve">See </w:t>
      </w:r>
      <w:r w:rsidR="007F0549">
        <w:t xml:space="preserve">R. Exc. at 22. </w:t>
      </w:r>
      <w:r w:rsidR="008C66D3">
        <w:t xml:space="preserve"> </w:t>
      </w:r>
      <w:r w:rsidR="0003786D">
        <w:t xml:space="preserve">We also agree with the Companies that a substantial portion of the issues litigated in this matter are, essentially, a collateral attack on findings and determinations reached in prior Commission orders.  As noted by the presiding ALJ, while </w:t>
      </w:r>
      <w:proofErr w:type="spellStart"/>
      <w:r w:rsidR="0003786D">
        <w:t>clawback</w:t>
      </w:r>
      <w:proofErr w:type="spellEnd"/>
      <w:r w:rsidR="0003786D">
        <w:t xml:space="preserve"> charges are not, </w:t>
      </w:r>
      <w:r w:rsidR="00E00225">
        <w:t>“</w:t>
      </w:r>
      <w:r w:rsidR="0003786D">
        <w:t>rates,</w:t>
      </w:r>
      <w:r w:rsidR="00E00225">
        <w:t>”</w:t>
      </w:r>
      <w:r w:rsidR="0003786D">
        <w:t xml:space="preserve"> per se, when authorization for their collection is embodied in a tariff, that tariff becomes binding upon the parties.  </w:t>
      </w:r>
      <w:r w:rsidR="0003786D">
        <w:rPr>
          <w:i/>
          <w:szCs w:val="26"/>
        </w:rPr>
        <w:t xml:space="preserve">See, </w:t>
      </w:r>
      <w:hyperlink r:id="rId14" w:anchor="co_pp_sp_162_1070" w:history="1">
        <w:r w:rsidR="0003786D" w:rsidRPr="003C69E4">
          <w:rPr>
            <w:i/>
            <w:iCs/>
            <w:szCs w:val="26"/>
          </w:rPr>
          <w:t xml:space="preserve">Brockway Glass Co. v. </w:t>
        </w:r>
        <w:r w:rsidR="0003786D">
          <w:rPr>
            <w:i/>
            <w:iCs/>
            <w:szCs w:val="26"/>
          </w:rPr>
          <w:t xml:space="preserve">Pa. </w:t>
        </w:r>
        <w:r w:rsidR="0003786D" w:rsidRPr="003C69E4">
          <w:rPr>
            <w:bCs/>
            <w:i/>
            <w:iCs/>
            <w:szCs w:val="26"/>
          </w:rPr>
          <w:t>PUC</w:t>
        </w:r>
        <w:r w:rsidR="0003786D" w:rsidRPr="003C69E4">
          <w:rPr>
            <w:i/>
            <w:iCs/>
            <w:szCs w:val="26"/>
          </w:rPr>
          <w:t>,</w:t>
        </w:r>
        <w:r w:rsidR="0003786D" w:rsidRPr="003C69E4">
          <w:rPr>
            <w:szCs w:val="26"/>
          </w:rPr>
          <w:t xml:space="preserve">  437 A.2d 1067, 1070 (</w:t>
        </w:r>
        <w:r w:rsidR="0003786D">
          <w:rPr>
            <w:szCs w:val="26"/>
          </w:rPr>
          <w:t xml:space="preserve">Pa. </w:t>
        </w:r>
        <w:proofErr w:type="spellStart"/>
        <w:r w:rsidR="0003786D">
          <w:rPr>
            <w:szCs w:val="26"/>
          </w:rPr>
          <w:t>Cmwlth</w:t>
        </w:r>
        <w:proofErr w:type="spellEnd"/>
        <w:r w:rsidR="0003786D">
          <w:rPr>
            <w:szCs w:val="26"/>
          </w:rPr>
          <w:t xml:space="preserve">. </w:t>
        </w:r>
        <w:r w:rsidR="0003786D" w:rsidRPr="003C69E4">
          <w:rPr>
            <w:szCs w:val="26"/>
          </w:rPr>
          <w:t>1981)</w:t>
        </w:r>
      </w:hyperlink>
      <w:r w:rsidR="0003786D" w:rsidRPr="003C69E4">
        <w:rPr>
          <w:szCs w:val="26"/>
        </w:rPr>
        <w:t>.</w:t>
      </w:r>
      <w:r w:rsidR="0003786D">
        <w:rPr>
          <w:szCs w:val="26"/>
        </w:rPr>
        <w:t xml:space="preserve">  The preclusive effect of Section 316, which provides, in pertinent part, </w:t>
      </w:r>
      <w:r w:rsidR="00E00225">
        <w:rPr>
          <w:szCs w:val="26"/>
        </w:rPr>
        <w:t>“</w:t>
      </w:r>
      <w:r w:rsidR="0003786D">
        <w:rPr>
          <w:szCs w:val="26"/>
        </w:rPr>
        <w:t>[w]</w:t>
      </w:r>
      <w:proofErr w:type="spellStart"/>
      <w:r w:rsidR="0003786D" w:rsidRPr="0003786D">
        <w:rPr>
          <w:szCs w:val="26"/>
          <w:shd w:val="clear" w:color="auto" w:fill="FFFFFF"/>
        </w:rPr>
        <w:t>henever</w:t>
      </w:r>
      <w:proofErr w:type="spellEnd"/>
      <w:r w:rsidR="0003786D" w:rsidRPr="0003786D">
        <w:rPr>
          <w:szCs w:val="26"/>
          <w:shd w:val="clear" w:color="auto" w:fill="FFFFFF"/>
        </w:rPr>
        <w:t xml:space="preserve"> the </w:t>
      </w:r>
      <w:r w:rsidR="0003786D">
        <w:rPr>
          <w:szCs w:val="26"/>
          <w:shd w:val="clear" w:color="auto" w:fill="FFFFFF"/>
        </w:rPr>
        <w:t>Commission</w:t>
      </w:r>
      <w:r w:rsidR="0003786D" w:rsidRPr="0003786D">
        <w:rPr>
          <w:szCs w:val="26"/>
          <w:shd w:val="clear" w:color="auto" w:fill="FFFFFF"/>
        </w:rPr>
        <w:t xml:space="preserve"> shall</w:t>
      </w:r>
      <w:r w:rsidR="0003786D">
        <w:rPr>
          <w:szCs w:val="26"/>
          <w:shd w:val="clear" w:color="auto" w:fill="FFFFFF"/>
        </w:rPr>
        <w:t xml:space="preserve"> make </w:t>
      </w:r>
      <w:r w:rsidR="0003786D" w:rsidRPr="0003786D">
        <w:rPr>
          <w:szCs w:val="26"/>
          <w:shd w:val="clear" w:color="auto" w:fill="FFFFFF"/>
        </w:rPr>
        <w:t xml:space="preserve">any rule, regulation, finding, determination or order, the same shall be </w:t>
      </w:r>
      <w:r w:rsidR="0003786D" w:rsidRPr="0003786D">
        <w:rPr>
          <w:rStyle w:val="Emphasis"/>
          <w:szCs w:val="26"/>
        </w:rPr>
        <w:t>prima facie</w:t>
      </w:r>
      <w:r w:rsidR="0003786D" w:rsidRPr="0003786D">
        <w:rPr>
          <w:szCs w:val="26"/>
          <w:shd w:val="clear" w:color="auto" w:fill="FFFFFF"/>
        </w:rPr>
        <w:t xml:space="preserve"> evidence of the facts found and shall remain conclusive upon all parties affected thereby</w:t>
      </w:r>
      <w:r w:rsidR="0003786D">
        <w:rPr>
          <w:szCs w:val="26"/>
          <w:shd w:val="clear" w:color="auto" w:fill="FFFFFF"/>
        </w:rPr>
        <w:t xml:space="preserve"> . . .</w:t>
      </w:r>
      <w:r w:rsidR="00E00225">
        <w:rPr>
          <w:szCs w:val="26"/>
          <w:shd w:val="clear" w:color="auto" w:fill="FFFFFF"/>
        </w:rPr>
        <w:t>”</w:t>
      </w:r>
      <w:r w:rsidR="0003786D">
        <w:rPr>
          <w:szCs w:val="26"/>
          <w:shd w:val="clear" w:color="auto" w:fill="FFFFFF"/>
        </w:rPr>
        <w:t xml:space="preserve">  has been properly applied in this case.</w:t>
      </w:r>
    </w:p>
    <w:p w14:paraId="1F8979BF" w14:textId="77777777" w:rsidR="004C7FD2" w:rsidRDefault="004C7FD2" w:rsidP="00CC0155"/>
    <w:p w14:paraId="44B614F2" w14:textId="4B17A546" w:rsidR="00EF77F7" w:rsidRDefault="008C66D3" w:rsidP="00CC0155">
      <w:r>
        <w:t xml:space="preserve">We </w:t>
      </w:r>
      <w:r w:rsidR="004C7FD2">
        <w:t xml:space="preserve">also </w:t>
      </w:r>
      <w:r>
        <w:t>disagree with Respond</w:t>
      </w:r>
      <w:r w:rsidR="00E00225">
        <w:t>’</w:t>
      </w:r>
      <w:r>
        <w:t>s claim that it has presented sufficient evidence in this proceeding to demonstrate changes in facts and circumstances following the Commission</w:t>
      </w:r>
      <w:r w:rsidR="00E00225">
        <w:t>’</w:t>
      </w:r>
      <w:r>
        <w:t xml:space="preserve">s approval of the </w:t>
      </w:r>
      <w:proofErr w:type="spellStart"/>
      <w:r>
        <w:t>clawback</w:t>
      </w:r>
      <w:proofErr w:type="spellEnd"/>
      <w:r>
        <w:t xml:space="preserve"> charges.  </w:t>
      </w:r>
      <w:r w:rsidR="004C7FD2">
        <w:t>A</w:t>
      </w:r>
      <w:r>
        <w:t xml:space="preserve">s we </w:t>
      </w:r>
      <w:r w:rsidR="0003786D">
        <w:t>concluded</w:t>
      </w:r>
      <w:r>
        <w:t xml:space="preserve"> in our disposition of Respond</w:t>
      </w:r>
      <w:r w:rsidR="00E00225">
        <w:t>’</w:t>
      </w:r>
      <w:r>
        <w:t>s Exception No. 2, t</w:t>
      </w:r>
      <w:r w:rsidR="00EF77F7">
        <w:t xml:space="preserve">he DSP IV Settlement approved by the </w:t>
      </w:r>
      <w:r w:rsidR="00EF77F7" w:rsidRPr="00297877">
        <w:rPr>
          <w:i/>
        </w:rPr>
        <w:t>Default Service Order</w:t>
      </w:r>
      <w:r w:rsidR="00EF77F7">
        <w:t xml:space="preserve"> clearly explains the terms and conditions of the </w:t>
      </w:r>
      <w:proofErr w:type="spellStart"/>
      <w:r w:rsidR="00EF77F7">
        <w:t>clawback</w:t>
      </w:r>
      <w:proofErr w:type="spellEnd"/>
      <w:r w:rsidR="00EF77F7">
        <w:t xml:space="preserve"> provision and how it would operate</w:t>
      </w:r>
      <w:r>
        <w:t xml:space="preserve">.  More importantly, the </w:t>
      </w:r>
      <w:proofErr w:type="spellStart"/>
      <w:r>
        <w:t>clawback</w:t>
      </w:r>
      <w:proofErr w:type="spellEnd"/>
      <w:r>
        <w:t xml:space="preserve"> charges did not modify the terms of the prior POR programs but is an authorized revision to the program that was approved in the </w:t>
      </w:r>
      <w:r w:rsidRPr="00297877">
        <w:rPr>
          <w:i/>
        </w:rPr>
        <w:t>Default Service Order</w:t>
      </w:r>
      <w:r>
        <w:t xml:space="preserve">.  </w:t>
      </w:r>
      <w:r>
        <w:rPr>
          <w:i/>
        </w:rPr>
        <w:t xml:space="preserve">See </w:t>
      </w:r>
      <w:r>
        <w:t>Tr. at 80-82.  Further, as we earlier stated, a</w:t>
      </w:r>
      <w:r w:rsidR="00EF77F7">
        <w:t xml:space="preserve">ccording to the Settlement, the </w:t>
      </w:r>
      <w:proofErr w:type="spellStart"/>
      <w:r w:rsidR="00EF77F7">
        <w:t>clawback</w:t>
      </w:r>
      <w:proofErr w:type="spellEnd"/>
      <w:r w:rsidR="00EF77F7">
        <w:t xml:space="preserve"> charges </w:t>
      </w:r>
      <w:r w:rsidR="004C7FD2">
        <w:t xml:space="preserve">will </w:t>
      </w:r>
      <w:r w:rsidR="00EF77F7">
        <w:t>be assessed based on historical data from the prior twelve-month period.</w:t>
      </w:r>
      <w:r>
        <w:t xml:space="preserve">  </w:t>
      </w:r>
      <w:r w:rsidR="00EF77F7">
        <w:t xml:space="preserve">The use of billing determinants from a prior, historic period, does not render the operation of the </w:t>
      </w:r>
      <w:proofErr w:type="spellStart"/>
      <w:r w:rsidR="00EF77F7">
        <w:t>clawback</w:t>
      </w:r>
      <w:proofErr w:type="spellEnd"/>
      <w:r w:rsidR="005632BF">
        <w:t xml:space="preserve"> unjust and unreasonable</w:t>
      </w:r>
      <w:r w:rsidR="00EF77F7">
        <w:t>.  Therefore, we find no merit in Respond</w:t>
      </w:r>
      <w:r w:rsidR="00E00225">
        <w:t>’</w:t>
      </w:r>
      <w:r w:rsidR="00EF77F7">
        <w:t>s claim that the Commission was not aware of the use of the historic data to assess the charge.</w:t>
      </w:r>
    </w:p>
    <w:p w14:paraId="762B93BF" w14:textId="77777777" w:rsidR="004C7FD2" w:rsidRDefault="004C7FD2" w:rsidP="00CC0155"/>
    <w:p w14:paraId="21C26BE5" w14:textId="0D8F966F" w:rsidR="009806A4" w:rsidRPr="00F71658" w:rsidRDefault="009806A4" w:rsidP="00F71658">
      <w:pPr>
        <w:pStyle w:val="ListParagraph"/>
        <w:keepNext/>
        <w:keepLines/>
        <w:ind w:left="1440" w:hanging="720"/>
        <w:rPr>
          <w:b/>
          <w:sz w:val="26"/>
        </w:rPr>
      </w:pPr>
      <w:r>
        <w:rPr>
          <w:b/>
          <w:sz w:val="26"/>
          <w:szCs w:val="26"/>
        </w:rPr>
        <w:lastRenderedPageBreak/>
        <w:t>6.</w:t>
      </w:r>
      <w:r>
        <w:rPr>
          <w:b/>
          <w:sz w:val="26"/>
          <w:szCs w:val="26"/>
        </w:rPr>
        <w:tab/>
      </w:r>
      <w:r w:rsidR="008E15D1" w:rsidRPr="00880F25">
        <w:rPr>
          <w:b/>
          <w:sz w:val="26"/>
          <w:szCs w:val="26"/>
        </w:rPr>
        <w:t>Exception No. 6</w:t>
      </w:r>
      <w:r w:rsidR="00880F25">
        <w:rPr>
          <w:b/>
          <w:sz w:val="26"/>
          <w:szCs w:val="26"/>
        </w:rPr>
        <w:t xml:space="preserve"> and </w:t>
      </w:r>
      <w:r w:rsidR="008E15D1" w:rsidRPr="00880F25">
        <w:rPr>
          <w:b/>
          <w:sz w:val="26"/>
          <w:szCs w:val="26"/>
        </w:rPr>
        <w:t>Replies</w:t>
      </w:r>
      <w:r>
        <w:rPr>
          <w:b/>
          <w:sz w:val="26"/>
          <w:szCs w:val="26"/>
        </w:rPr>
        <w:t xml:space="preserve"> – Structural Flaws in </w:t>
      </w:r>
      <w:r w:rsidR="004A738B">
        <w:rPr>
          <w:b/>
          <w:sz w:val="26"/>
          <w:szCs w:val="26"/>
        </w:rPr>
        <w:t xml:space="preserve">Application of </w:t>
      </w:r>
      <w:proofErr w:type="spellStart"/>
      <w:r>
        <w:rPr>
          <w:b/>
          <w:sz w:val="26"/>
          <w:szCs w:val="26"/>
        </w:rPr>
        <w:t>Clawback</w:t>
      </w:r>
      <w:proofErr w:type="spellEnd"/>
      <w:r>
        <w:rPr>
          <w:b/>
          <w:sz w:val="26"/>
          <w:szCs w:val="26"/>
        </w:rPr>
        <w:t xml:space="preserve"> Mechanism</w:t>
      </w:r>
    </w:p>
    <w:p w14:paraId="01A75151" w14:textId="0AE7373E" w:rsidR="009806A4" w:rsidRDefault="009806A4" w:rsidP="009806A4">
      <w:pPr>
        <w:pStyle w:val="ListParagraph"/>
        <w:keepNext/>
        <w:keepLines/>
        <w:spacing w:line="360" w:lineRule="auto"/>
        <w:ind w:left="0" w:firstLine="0"/>
        <w:rPr>
          <w:b/>
          <w:sz w:val="26"/>
          <w:szCs w:val="26"/>
        </w:rPr>
      </w:pPr>
    </w:p>
    <w:p w14:paraId="633EFC72" w14:textId="34DF4BDD" w:rsidR="009806A4" w:rsidRPr="009806A4" w:rsidRDefault="009806A4" w:rsidP="009806A4">
      <w:pPr>
        <w:pStyle w:val="ListParagraph"/>
        <w:keepNext/>
        <w:keepLines/>
        <w:spacing w:line="360" w:lineRule="auto"/>
        <w:ind w:left="0" w:firstLine="0"/>
        <w:rPr>
          <w:b/>
          <w:sz w:val="26"/>
          <w:szCs w:val="26"/>
        </w:rPr>
      </w:pPr>
      <w:r>
        <w:rPr>
          <w:b/>
          <w:sz w:val="26"/>
          <w:szCs w:val="26"/>
        </w:rPr>
        <w:tab/>
      </w:r>
      <w:r>
        <w:rPr>
          <w:b/>
          <w:sz w:val="26"/>
          <w:szCs w:val="26"/>
        </w:rPr>
        <w:tab/>
        <w:t>a.</w:t>
      </w:r>
      <w:r>
        <w:rPr>
          <w:b/>
          <w:sz w:val="26"/>
          <w:szCs w:val="26"/>
        </w:rPr>
        <w:tab/>
        <w:t>Respond’s Exceptions</w:t>
      </w:r>
    </w:p>
    <w:p w14:paraId="1003584E" w14:textId="77777777" w:rsidR="008E15D1" w:rsidRDefault="008E15D1" w:rsidP="00F71658">
      <w:pPr>
        <w:keepNext/>
        <w:keepLines/>
      </w:pPr>
    </w:p>
    <w:p w14:paraId="6B5F5511" w14:textId="63730D01" w:rsidR="00310C5A" w:rsidRDefault="008E15D1" w:rsidP="00CC0155">
      <w:pPr>
        <w:ind w:firstLine="0"/>
      </w:pPr>
      <w:r>
        <w:tab/>
      </w:r>
      <w:r>
        <w:tab/>
        <w:t>In its</w:t>
      </w:r>
      <w:r w:rsidR="00331B01">
        <w:t xml:space="preserve"> six</w:t>
      </w:r>
      <w:r>
        <w:t xml:space="preserve">th Exception, Respond argues that the ALJ erred in </w:t>
      </w:r>
      <w:r w:rsidR="00310C5A">
        <w:t>failing to address the numerous structural flaws in the Companies</w:t>
      </w:r>
      <w:r w:rsidR="00E00225">
        <w:t>’</w:t>
      </w:r>
      <w:r w:rsidR="00310C5A">
        <w:t xml:space="preserve"> application of the </w:t>
      </w:r>
      <w:proofErr w:type="spellStart"/>
      <w:r w:rsidR="00310C5A">
        <w:t>clawback</w:t>
      </w:r>
      <w:proofErr w:type="spellEnd"/>
      <w:r w:rsidR="00310C5A">
        <w:t xml:space="preserve"> mechanism.  Exc. at 36. </w:t>
      </w:r>
      <w:r w:rsidR="00A26CFA">
        <w:t xml:space="preserve"> Among some of the flaws </w:t>
      </w:r>
      <w:r w:rsidR="0080605E">
        <w:t xml:space="preserve">alleged </w:t>
      </w:r>
      <w:r w:rsidR="00A26CFA">
        <w:t>by Respond</w:t>
      </w:r>
      <w:r w:rsidR="00774648">
        <w:t xml:space="preserve"> in its Main and Reply Briefs</w:t>
      </w:r>
      <w:r w:rsidR="004A738B">
        <w:t xml:space="preserve"> and reiterated in its Exceptions </w:t>
      </w:r>
      <w:r w:rsidR="0080605E">
        <w:t xml:space="preserve">that </w:t>
      </w:r>
      <w:r w:rsidR="00A72F41">
        <w:t xml:space="preserve">renders the application of the </w:t>
      </w:r>
      <w:proofErr w:type="spellStart"/>
      <w:r w:rsidR="00A72F41">
        <w:t>clawback</w:t>
      </w:r>
      <w:proofErr w:type="spellEnd"/>
      <w:r w:rsidR="00A72F41">
        <w:t xml:space="preserve"> mechanism unjust and unreasonable</w:t>
      </w:r>
      <w:r w:rsidR="00F5095D">
        <w:t xml:space="preserve"> </w:t>
      </w:r>
      <w:r w:rsidR="00A72F41">
        <w:t>include</w:t>
      </w:r>
      <w:r w:rsidR="00A26CFA">
        <w:t>:</w:t>
      </w:r>
    </w:p>
    <w:p w14:paraId="434F57E0" w14:textId="77777777" w:rsidR="00A26CFA" w:rsidRDefault="00A26CFA" w:rsidP="00CC0155">
      <w:pPr>
        <w:ind w:firstLine="0"/>
      </w:pPr>
    </w:p>
    <w:p w14:paraId="55EAF907" w14:textId="77777777" w:rsidR="00A26CFA" w:rsidRDefault="00A72F41" w:rsidP="00CC0155">
      <w:pPr>
        <w:pStyle w:val="ListParagraph"/>
        <w:numPr>
          <w:ilvl w:val="0"/>
          <w:numId w:val="28"/>
        </w:numPr>
        <w:ind w:left="1440" w:right="1440" w:firstLine="0"/>
        <w:rPr>
          <w:sz w:val="26"/>
          <w:szCs w:val="26"/>
        </w:rPr>
      </w:pPr>
      <w:r>
        <w:rPr>
          <w:sz w:val="26"/>
          <w:szCs w:val="26"/>
        </w:rPr>
        <w:t xml:space="preserve">The Companies failure to provide notice informing Respond that its customers were not paying their bills, thereby preventing Respond from taking steps to avoid the imposition of the </w:t>
      </w:r>
      <w:proofErr w:type="spellStart"/>
      <w:r>
        <w:rPr>
          <w:sz w:val="26"/>
          <w:szCs w:val="26"/>
        </w:rPr>
        <w:t>clawback</w:t>
      </w:r>
      <w:proofErr w:type="spellEnd"/>
      <w:r>
        <w:rPr>
          <w:sz w:val="26"/>
          <w:szCs w:val="26"/>
        </w:rPr>
        <w:t xml:space="preserve"> charges;</w:t>
      </w:r>
    </w:p>
    <w:p w14:paraId="3260546A" w14:textId="77777777" w:rsidR="00A72F41" w:rsidRDefault="00A72F41" w:rsidP="00CC0155">
      <w:pPr>
        <w:pStyle w:val="ListParagraph"/>
        <w:ind w:left="1440" w:right="1440" w:firstLine="0"/>
        <w:rPr>
          <w:sz w:val="26"/>
          <w:szCs w:val="26"/>
        </w:rPr>
      </w:pPr>
    </w:p>
    <w:p w14:paraId="34933C4D" w14:textId="42E071BC" w:rsidR="00A72F41" w:rsidRDefault="00A72F41" w:rsidP="00CC0155">
      <w:pPr>
        <w:pStyle w:val="ListParagraph"/>
        <w:numPr>
          <w:ilvl w:val="0"/>
          <w:numId w:val="28"/>
        </w:numPr>
        <w:ind w:left="1440" w:right="1440" w:firstLine="0"/>
        <w:rPr>
          <w:sz w:val="26"/>
          <w:szCs w:val="26"/>
        </w:rPr>
      </w:pPr>
      <w:r>
        <w:rPr>
          <w:sz w:val="26"/>
          <w:szCs w:val="26"/>
        </w:rPr>
        <w:t>The inability of Respond to control the Companies</w:t>
      </w:r>
      <w:r w:rsidR="00E00225">
        <w:rPr>
          <w:sz w:val="26"/>
          <w:szCs w:val="26"/>
        </w:rPr>
        <w:t>’</w:t>
      </w:r>
      <w:r>
        <w:rPr>
          <w:sz w:val="26"/>
          <w:szCs w:val="26"/>
        </w:rPr>
        <w:t xml:space="preserve"> collection efforts, including attempts at telephone contact with the customers that were largely unsuccessful;</w:t>
      </w:r>
    </w:p>
    <w:p w14:paraId="0F7D2EFE" w14:textId="77777777" w:rsidR="00A72F41" w:rsidRPr="00A72F41" w:rsidRDefault="00A72F41" w:rsidP="00CC0155">
      <w:pPr>
        <w:pStyle w:val="ListParagraph"/>
        <w:ind w:left="1440" w:right="1440" w:firstLine="0"/>
        <w:rPr>
          <w:sz w:val="26"/>
          <w:szCs w:val="26"/>
        </w:rPr>
      </w:pPr>
    </w:p>
    <w:p w14:paraId="508071A8" w14:textId="122A326B" w:rsidR="00A72F41" w:rsidRDefault="00A72F41" w:rsidP="00CC0155">
      <w:pPr>
        <w:pStyle w:val="ListParagraph"/>
        <w:numPr>
          <w:ilvl w:val="0"/>
          <w:numId w:val="28"/>
        </w:numPr>
        <w:ind w:left="1440" w:right="1440" w:firstLine="0"/>
        <w:rPr>
          <w:sz w:val="26"/>
          <w:szCs w:val="26"/>
        </w:rPr>
      </w:pPr>
      <w:r>
        <w:rPr>
          <w:sz w:val="26"/>
          <w:szCs w:val="26"/>
        </w:rPr>
        <w:t>Respond</w:t>
      </w:r>
      <w:r w:rsidR="00E00225">
        <w:rPr>
          <w:sz w:val="26"/>
          <w:szCs w:val="26"/>
        </w:rPr>
        <w:t>’</w:t>
      </w:r>
      <w:r>
        <w:rPr>
          <w:sz w:val="26"/>
          <w:szCs w:val="26"/>
        </w:rPr>
        <w:t>s inability to perform credit screening measures and denying service to residential customers for credit-related reasons, which would enable Respond to insulate itself from non-paying or poor-paying customers in the first place;</w:t>
      </w:r>
    </w:p>
    <w:p w14:paraId="6A951A63" w14:textId="77777777" w:rsidR="00026F70" w:rsidRPr="00026F70" w:rsidRDefault="00026F70" w:rsidP="00CC0155">
      <w:pPr>
        <w:pStyle w:val="ListParagraph"/>
        <w:ind w:left="1440" w:right="1440" w:firstLine="0"/>
        <w:rPr>
          <w:sz w:val="26"/>
          <w:szCs w:val="26"/>
        </w:rPr>
      </w:pPr>
    </w:p>
    <w:p w14:paraId="7522386E" w14:textId="2EE3A0E8" w:rsidR="00A72F41" w:rsidRDefault="00A72F41" w:rsidP="00CC0155">
      <w:pPr>
        <w:pStyle w:val="ListParagraph"/>
        <w:numPr>
          <w:ilvl w:val="0"/>
          <w:numId w:val="28"/>
        </w:numPr>
        <w:ind w:left="1440" w:right="1440" w:firstLine="0"/>
        <w:rPr>
          <w:sz w:val="26"/>
          <w:szCs w:val="26"/>
        </w:rPr>
      </w:pPr>
      <w:r>
        <w:rPr>
          <w:sz w:val="26"/>
          <w:szCs w:val="26"/>
        </w:rPr>
        <w:t>Respond</w:t>
      </w:r>
      <w:r w:rsidR="00E00225">
        <w:rPr>
          <w:sz w:val="26"/>
          <w:szCs w:val="26"/>
        </w:rPr>
        <w:t>’</w:t>
      </w:r>
      <w:r>
        <w:rPr>
          <w:sz w:val="26"/>
          <w:szCs w:val="26"/>
        </w:rPr>
        <w:t>s lack of control over the Companies</w:t>
      </w:r>
      <w:r w:rsidR="00E00225">
        <w:rPr>
          <w:sz w:val="26"/>
          <w:szCs w:val="26"/>
        </w:rPr>
        <w:t>’</w:t>
      </w:r>
      <w:r>
        <w:rPr>
          <w:sz w:val="26"/>
          <w:szCs w:val="26"/>
        </w:rPr>
        <w:t xml:space="preserve"> write-off practices, under which write-offs automatically occur for unpaid amounts approximately 182 days after the final billed date, following collection activities that span months or years;</w:t>
      </w:r>
    </w:p>
    <w:p w14:paraId="3CDBC674" w14:textId="77777777" w:rsidR="00026F70" w:rsidRPr="00026F70" w:rsidRDefault="00026F70" w:rsidP="00CC0155">
      <w:pPr>
        <w:pStyle w:val="ListParagraph"/>
        <w:ind w:left="1440" w:right="1440" w:firstLine="0"/>
        <w:rPr>
          <w:sz w:val="26"/>
          <w:szCs w:val="26"/>
        </w:rPr>
      </w:pPr>
    </w:p>
    <w:p w14:paraId="56591898" w14:textId="77777777" w:rsidR="00A72F41" w:rsidRDefault="00A72F41" w:rsidP="00CC0155">
      <w:pPr>
        <w:pStyle w:val="ListParagraph"/>
        <w:numPr>
          <w:ilvl w:val="0"/>
          <w:numId w:val="28"/>
        </w:numPr>
        <w:ind w:left="1440" w:right="1440" w:firstLine="0"/>
        <w:rPr>
          <w:sz w:val="26"/>
          <w:szCs w:val="26"/>
        </w:rPr>
      </w:pPr>
      <w:r>
        <w:rPr>
          <w:sz w:val="26"/>
          <w:szCs w:val="26"/>
        </w:rPr>
        <w:t xml:space="preserve">The failure </w:t>
      </w:r>
      <w:r w:rsidR="00B6533D">
        <w:rPr>
          <w:sz w:val="26"/>
          <w:szCs w:val="26"/>
        </w:rPr>
        <w:t>of the Companies to give Respond credit when customers make payments after their accounts are written off;</w:t>
      </w:r>
    </w:p>
    <w:p w14:paraId="331171DC" w14:textId="77777777" w:rsidR="00B6533D" w:rsidRPr="00B6533D" w:rsidRDefault="00B6533D" w:rsidP="00CC0155">
      <w:pPr>
        <w:pStyle w:val="ListParagraph"/>
        <w:ind w:left="1440" w:right="1440" w:firstLine="0"/>
        <w:rPr>
          <w:sz w:val="26"/>
          <w:szCs w:val="26"/>
        </w:rPr>
      </w:pPr>
    </w:p>
    <w:p w14:paraId="3F49DB51" w14:textId="4AF81971" w:rsidR="00B6533D" w:rsidRDefault="00B6533D" w:rsidP="00CC0155">
      <w:pPr>
        <w:pStyle w:val="ListParagraph"/>
        <w:numPr>
          <w:ilvl w:val="0"/>
          <w:numId w:val="28"/>
        </w:numPr>
        <w:ind w:left="1440" w:right="1440" w:firstLine="0"/>
        <w:rPr>
          <w:sz w:val="26"/>
          <w:szCs w:val="26"/>
        </w:rPr>
      </w:pPr>
      <w:r>
        <w:rPr>
          <w:sz w:val="26"/>
          <w:szCs w:val="26"/>
        </w:rPr>
        <w:t>Respond</w:t>
      </w:r>
      <w:r w:rsidR="00E00225">
        <w:rPr>
          <w:sz w:val="26"/>
          <w:szCs w:val="26"/>
        </w:rPr>
        <w:t>’</w:t>
      </w:r>
      <w:r>
        <w:rPr>
          <w:sz w:val="26"/>
          <w:szCs w:val="26"/>
        </w:rPr>
        <w:t xml:space="preserve">s inability to show that the </w:t>
      </w:r>
      <w:proofErr w:type="spellStart"/>
      <w:r>
        <w:rPr>
          <w:sz w:val="26"/>
          <w:szCs w:val="26"/>
        </w:rPr>
        <w:t>clawback</w:t>
      </w:r>
      <w:proofErr w:type="spellEnd"/>
      <w:r>
        <w:rPr>
          <w:sz w:val="26"/>
          <w:szCs w:val="26"/>
        </w:rPr>
        <w:t xml:space="preserve"> charges should not be imposed due to a particular incident or set of </w:t>
      </w:r>
      <w:r>
        <w:rPr>
          <w:sz w:val="26"/>
          <w:szCs w:val="26"/>
        </w:rPr>
        <w:lastRenderedPageBreak/>
        <w:t>circumstances, such as the Polar Vortex of 2014, which caused the write-off amounts to be higher than average;</w:t>
      </w:r>
    </w:p>
    <w:p w14:paraId="0F6F7677" w14:textId="77777777" w:rsidR="00B6533D" w:rsidRPr="00B6533D" w:rsidRDefault="00B6533D" w:rsidP="00CC0155">
      <w:pPr>
        <w:pStyle w:val="ListParagraph"/>
        <w:ind w:left="1440" w:right="1440" w:firstLine="0"/>
        <w:rPr>
          <w:sz w:val="26"/>
          <w:szCs w:val="26"/>
        </w:rPr>
      </w:pPr>
    </w:p>
    <w:p w14:paraId="42206402" w14:textId="0F757F8E" w:rsidR="00B6533D" w:rsidRDefault="00B6533D" w:rsidP="00CC0155">
      <w:pPr>
        <w:pStyle w:val="ListParagraph"/>
        <w:numPr>
          <w:ilvl w:val="0"/>
          <w:numId w:val="28"/>
        </w:numPr>
        <w:ind w:left="1440" w:right="1440" w:firstLine="0"/>
        <w:rPr>
          <w:sz w:val="26"/>
          <w:szCs w:val="26"/>
        </w:rPr>
      </w:pPr>
      <w:r>
        <w:rPr>
          <w:sz w:val="26"/>
          <w:szCs w:val="26"/>
        </w:rPr>
        <w:t>The Companies allocation of partial payments first to unpaid distribution charges before applying them to unpaid supply charges, thereby inflating the level of unpaid supply charges and increasing Respond</w:t>
      </w:r>
      <w:r w:rsidR="00E00225">
        <w:rPr>
          <w:sz w:val="26"/>
          <w:szCs w:val="26"/>
        </w:rPr>
        <w:t>’</w:t>
      </w:r>
      <w:r>
        <w:rPr>
          <w:sz w:val="26"/>
          <w:szCs w:val="26"/>
        </w:rPr>
        <w:t xml:space="preserve">s exposure to the </w:t>
      </w:r>
      <w:proofErr w:type="spellStart"/>
      <w:r>
        <w:rPr>
          <w:sz w:val="26"/>
          <w:szCs w:val="26"/>
        </w:rPr>
        <w:t>clawback</w:t>
      </w:r>
      <w:proofErr w:type="spellEnd"/>
      <w:r>
        <w:rPr>
          <w:sz w:val="26"/>
          <w:szCs w:val="26"/>
        </w:rPr>
        <w:t xml:space="preserve"> mechanism; and;</w:t>
      </w:r>
    </w:p>
    <w:p w14:paraId="6FA98414" w14:textId="77777777" w:rsidR="00B6533D" w:rsidRPr="00B6533D" w:rsidRDefault="00B6533D" w:rsidP="00CC0155">
      <w:pPr>
        <w:pStyle w:val="ListParagraph"/>
        <w:ind w:left="1440" w:right="1440" w:firstLine="0"/>
        <w:rPr>
          <w:sz w:val="26"/>
          <w:szCs w:val="26"/>
        </w:rPr>
      </w:pPr>
    </w:p>
    <w:p w14:paraId="553CEDEC" w14:textId="2C58D6C8" w:rsidR="00B6533D" w:rsidRDefault="00B6533D" w:rsidP="00CC0155">
      <w:pPr>
        <w:pStyle w:val="ListParagraph"/>
        <w:numPr>
          <w:ilvl w:val="0"/>
          <w:numId w:val="28"/>
        </w:numPr>
        <w:ind w:left="1440" w:right="1440" w:firstLine="0"/>
        <w:rPr>
          <w:sz w:val="26"/>
          <w:szCs w:val="26"/>
        </w:rPr>
      </w:pPr>
      <w:r>
        <w:rPr>
          <w:sz w:val="26"/>
          <w:szCs w:val="26"/>
        </w:rPr>
        <w:t xml:space="preserve">The effect of the </w:t>
      </w:r>
      <w:proofErr w:type="spellStart"/>
      <w:r>
        <w:rPr>
          <w:sz w:val="26"/>
          <w:szCs w:val="26"/>
        </w:rPr>
        <w:t>clawback</w:t>
      </w:r>
      <w:proofErr w:type="spellEnd"/>
      <w:r>
        <w:rPr>
          <w:sz w:val="26"/>
          <w:szCs w:val="26"/>
        </w:rPr>
        <w:t xml:space="preserve"> mechanism unlawfully limiting an EGS</w:t>
      </w:r>
      <w:r w:rsidR="00E00225">
        <w:rPr>
          <w:sz w:val="26"/>
          <w:szCs w:val="26"/>
        </w:rPr>
        <w:t>’</w:t>
      </w:r>
      <w:r>
        <w:rPr>
          <w:sz w:val="26"/>
          <w:szCs w:val="26"/>
        </w:rPr>
        <w:t xml:space="preserve"> prices and improperly placing the Companies in a gatekeeper role of restricting EGSs</w:t>
      </w:r>
      <w:r w:rsidR="00E00225">
        <w:rPr>
          <w:sz w:val="26"/>
          <w:szCs w:val="26"/>
        </w:rPr>
        <w:t>’</w:t>
      </w:r>
      <w:r>
        <w:rPr>
          <w:sz w:val="26"/>
          <w:szCs w:val="26"/>
        </w:rPr>
        <w:t xml:space="preserve"> prices relative to their prices to compare, regardless of the products consumers are choosing in the competitive</w:t>
      </w:r>
      <w:r w:rsidR="00055FEC">
        <w:rPr>
          <w:sz w:val="26"/>
          <w:szCs w:val="26"/>
        </w:rPr>
        <w:t xml:space="preserve"> retail market.</w:t>
      </w:r>
    </w:p>
    <w:p w14:paraId="17EAF1BC" w14:textId="77777777" w:rsidR="006E75DD" w:rsidRPr="006E75DD" w:rsidRDefault="006E75DD" w:rsidP="00F71658">
      <w:pPr>
        <w:pStyle w:val="ListParagraph"/>
        <w:ind w:firstLine="0"/>
        <w:rPr>
          <w:sz w:val="26"/>
          <w:szCs w:val="26"/>
        </w:rPr>
      </w:pPr>
    </w:p>
    <w:p w14:paraId="2ECA09E9" w14:textId="77777777" w:rsidR="006E75DD" w:rsidRDefault="006E75DD" w:rsidP="00CC0155">
      <w:pPr>
        <w:pStyle w:val="ListParagraph"/>
        <w:ind w:firstLine="0"/>
        <w:rPr>
          <w:sz w:val="26"/>
          <w:szCs w:val="26"/>
        </w:rPr>
      </w:pPr>
    </w:p>
    <w:p w14:paraId="65EB433F" w14:textId="77777777" w:rsidR="00353F43" w:rsidRDefault="00055FEC" w:rsidP="00CC0155">
      <w:pPr>
        <w:pStyle w:val="ListParagraph"/>
        <w:spacing w:line="360" w:lineRule="auto"/>
        <w:ind w:left="0" w:firstLine="0"/>
        <w:rPr>
          <w:sz w:val="26"/>
          <w:szCs w:val="26"/>
        </w:rPr>
      </w:pPr>
      <w:r w:rsidRPr="00055FEC">
        <w:rPr>
          <w:i/>
          <w:sz w:val="26"/>
          <w:szCs w:val="26"/>
        </w:rPr>
        <w:t>Id.</w:t>
      </w:r>
      <w:r>
        <w:rPr>
          <w:sz w:val="26"/>
          <w:szCs w:val="26"/>
        </w:rPr>
        <w:t xml:space="preserve"> at 36-38, citing Respond M.B. at 40-57, Respond R.B. at 30-37.</w:t>
      </w:r>
      <w:r w:rsidR="00DD0652">
        <w:rPr>
          <w:sz w:val="26"/>
          <w:szCs w:val="26"/>
        </w:rPr>
        <w:t xml:space="preserve">  </w:t>
      </w:r>
    </w:p>
    <w:p w14:paraId="7699D526" w14:textId="77777777" w:rsidR="00353F43" w:rsidRDefault="00353F43" w:rsidP="00CC0155">
      <w:pPr>
        <w:pStyle w:val="ListParagraph"/>
        <w:spacing w:line="360" w:lineRule="auto"/>
        <w:ind w:left="0" w:firstLine="0"/>
        <w:rPr>
          <w:sz w:val="26"/>
          <w:szCs w:val="26"/>
        </w:rPr>
      </w:pPr>
    </w:p>
    <w:p w14:paraId="1D805DEA" w14:textId="1A229EDF" w:rsidR="00055FEC" w:rsidRDefault="00DD0652" w:rsidP="00CC0155">
      <w:pPr>
        <w:pStyle w:val="ListParagraph"/>
        <w:spacing w:line="360" w:lineRule="auto"/>
        <w:ind w:left="0"/>
        <w:rPr>
          <w:sz w:val="26"/>
          <w:szCs w:val="26"/>
        </w:rPr>
      </w:pPr>
      <w:r>
        <w:rPr>
          <w:sz w:val="26"/>
          <w:szCs w:val="26"/>
        </w:rPr>
        <w:t>Respond argues that despite the Companies</w:t>
      </w:r>
      <w:r w:rsidR="00E00225">
        <w:rPr>
          <w:sz w:val="26"/>
          <w:szCs w:val="26"/>
        </w:rPr>
        <w:t>’</w:t>
      </w:r>
      <w:r>
        <w:rPr>
          <w:sz w:val="26"/>
          <w:szCs w:val="26"/>
        </w:rPr>
        <w:t xml:space="preserve"> testimony that the </w:t>
      </w:r>
      <w:proofErr w:type="spellStart"/>
      <w:r>
        <w:rPr>
          <w:sz w:val="26"/>
          <w:szCs w:val="26"/>
        </w:rPr>
        <w:t>clawback</w:t>
      </w:r>
      <w:proofErr w:type="spellEnd"/>
      <w:r>
        <w:rPr>
          <w:sz w:val="26"/>
          <w:szCs w:val="26"/>
        </w:rPr>
        <w:t xml:space="preserve"> mechanism is applied to all EGSs and not just Respond, the fact that the mechanism has </w:t>
      </w:r>
      <w:r w:rsidR="00F5095D">
        <w:rPr>
          <w:sz w:val="26"/>
          <w:szCs w:val="26"/>
        </w:rPr>
        <w:t xml:space="preserve">the above-stated </w:t>
      </w:r>
      <w:r w:rsidR="00F768FC">
        <w:rPr>
          <w:sz w:val="26"/>
          <w:szCs w:val="26"/>
        </w:rPr>
        <w:t>flaws</w:t>
      </w:r>
      <w:r>
        <w:rPr>
          <w:sz w:val="26"/>
          <w:szCs w:val="26"/>
        </w:rPr>
        <w:t xml:space="preserve"> makes it</w:t>
      </w:r>
      <w:r w:rsidR="00F768FC">
        <w:rPr>
          <w:sz w:val="26"/>
          <w:szCs w:val="26"/>
        </w:rPr>
        <w:t>s application unjust and unreasonable.  Exc. at 38, citing Respond St. 1-R at 21-22.</w:t>
      </w:r>
    </w:p>
    <w:p w14:paraId="0B4EB642" w14:textId="77777777" w:rsidR="00B76D33" w:rsidRDefault="00B76D33" w:rsidP="00F71658">
      <w:pPr>
        <w:pStyle w:val="ListParagraph"/>
        <w:spacing w:line="360" w:lineRule="auto"/>
        <w:ind w:left="0"/>
        <w:rPr>
          <w:sz w:val="26"/>
          <w:szCs w:val="26"/>
        </w:rPr>
      </w:pPr>
    </w:p>
    <w:p w14:paraId="4ECB4539" w14:textId="6599FE40" w:rsidR="00B76D33" w:rsidRDefault="00B76D33" w:rsidP="00B76D33">
      <w:pPr>
        <w:pStyle w:val="ListParagraph"/>
        <w:spacing w:line="360" w:lineRule="auto"/>
        <w:ind w:left="0" w:firstLine="0"/>
        <w:rPr>
          <w:sz w:val="26"/>
          <w:szCs w:val="26"/>
        </w:rPr>
      </w:pPr>
      <w:r>
        <w:rPr>
          <w:sz w:val="26"/>
          <w:szCs w:val="26"/>
        </w:rPr>
        <w:tab/>
      </w:r>
      <w:r>
        <w:rPr>
          <w:sz w:val="26"/>
          <w:szCs w:val="26"/>
        </w:rPr>
        <w:tab/>
        <w:t xml:space="preserve">Respond contends that, most importantly, of all the above-identified flaws, the one that single-handedly renders the application of the </w:t>
      </w:r>
      <w:proofErr w:type="spellStart"/>
      <w:r>
        <w:rPr>
          <w:sz w:val="26"/>
          <w:szCs w:val="26"/>
        </w:rPr>
        <w:t>clawback</w:t>
      </w:r>
      <w:proofErr w:type="spellEnd"/>
      <w:r>
        <w:rPr>
          <w:sz w:val="26"/>
          <w:szCs w:val="26"/>
        </w:rPr>
        <w:t xml:space="preserve"> mechanism unjust and unreasonable, is the failure of the Companies to provide notice to Respond that its customers were not paying their supply charges.  According to Respond, the failure of the Companies to automatically provide notifications to EGSs when their customers do not pay their bills is a departure from the manner in which </w:t>
      </w:r>
      <w:proofErr w:type="spellStart"/>
      <w:r>
        <w:rPr>
          <w:sz w:val="26"/>
          <w:szCs w:val="26"/>
        </w:rPr>
        <w:t>clawback</w:t>
      </w:r>
      <w:proofErr w:type="spellEnd"/>
      <w:r>
        <w:rPr>
          <w:sz w:val="26"/>
          <w:szCs w:val="26"/>
        </w:rPr>
        <w:t xml:space="preserve"> tools are typically used in the industry.  According to Respond, the knowledge of their existence and an inability to control whether they are imposed are critical features of such a mechanism, especially, because </w:t>
      </w:r>
      <w:proofErr w:type="spellStart"/>
      <w:r>
        <w:rPr>
          <w:sz w:val="26"/>
          <w:szCs w:val="26"/>
        </w:rPr>
        <w:t>clawback</w:t>
      </w:r>
      <w:proofErr w:type="spellEnd"/>
      <w:r>
        <w:rPr>
          <w:sz w:val="26"/>
          <w:szCs w:val="26"/>
        </w:rPr>
        <w:t xml:space="preserve"> charges are used in the energy industry to incentivize certain behavior.  For instance, according to Respond, if it discovers that a vendor secured an improper enrollment of a customer, Respond may “</w:t>
      </w:r>
      <w:proofErr w:type="spellStart"/>
      <w:r>
        <w:rPr>
          <w:sz w:val="26"/>
          <w:szCs w:val="26"/>
        </w:rPr>
        <w:t>clawback</w:t>
      </w:r>
      <w:proofErr w:type="spellEnd"/>
      <w:r>
        <w:rPr>
          <w:sz w:val="26"/>
          <w:szCs w:val="26"/>
        </w:rPr>
        <w:t xml:space="preserve">” the fee earned by the vendor for </w:t>
      </w:r>
      <w:r>
        <w:rPr>
          <w:sz w:val="26"/>
          <w:szCs w:val="26"/>
        </w:rPr>
        <w:lastRenderedPageBreak/>
        <w:t xml:space="preserve">enrollment.  However, Respond argues, in the case of the Companies’ </w:t>
      </w:r>
      <w:proofErr w:type="spellStart"/>
      <w:r>
        <w:rPr>
          <w:sz w:val="26"/>
          <w:szCs w:val="26"/>
        </w:rPr>
        <w:t>clawback</w:t>
      </w:r>
      <w:proofErr w:type="spellEnd"/>
      <w:r>
        <w:rPr>
          <w:sz w:val="26"/>
          <w:szCs w:val="26"/>
        </w:rPr>
        <w:t xml:space="preserve"> mechanism, Respond was not even aware that </w:t>
      </w:r>
      <w:proofErr w:type="spellStart"/>
      <w:r>
        <w:rPr>
          <w:sz w:val="26"/>
          <w:szCs w:val="26"/>
        </w:rPr>
        <w:t>clawback</w:t>
      </w:r>
      <w:proofErr w:type="spellEnd"/>
      <w:r>
        <w:rPr>
          <w:sz w:val="26"/>
          <w:szCs w:val="26"/>
        </w:rPr>
        <w:t xml:space="preserve"> charges existed during the first year when the data was accruing and was not given the opportunity to take steps avoid the assessment of charges in either year since the write-offs related to supply charges from prior years.  As such, Respond argues the application of the mechanism was unreasonable.  Therefore, Respond concluded that in addition to the due process and retroactive application issues it has identified in this proceeding, the above structural flaws render the application of the </w:t>
      </w:r>
      <w:proofErr w:type="spellStart"/>
      <w:r>
        <w:rPr>
          <w:sz w:val="26"/>
          <w:szCs w:val="26"/>
        </w:rPr>
        <w:t>clawback</w:t>
      </w:r>
      <w:proofErr w:type="spellEnd"/>
      <w:r>
        <w:rPr>
          <w:sz w:val="26"/>
          <w:szCs w:val="26"/>
        </w:rPr>
        <w:t xml:space="preserve"> mechanism unjust and unreasonable.  Exc. at 38-39.</w:t>
      </w:r>
    </w:p>
    <w:p w14:paraId="0BF1B0FB" w14:textId="17B2086B" w:rsidR="00285ECD" w:rsidRDefault="00285ECD" w:rsidP="00CC0155">
      <w:pPr>
        <w:pStyle w:val="ListParagraph"/>
        <w:spacing w:line="360" w:lineRule="auto"/>
        <w:ind w:left="0" w:firstLine="0"/>
        <w:rPr>
          <w:sz w:val="26"/>
          <w:szCs w:val="26"/>
        </w:rPr>
      </w:pPr>
    </w:p>
    <w:p w14:paraId="23F9A2C6" w14:textId="24964E47" w:rsidR="00B76D33" w:rsidRPr="00B76D33" w:rsidRDefault="00B76D33" w:rsidP="00CC0155">
      <w:pPr>
        <w:pStyle w:val="ListParagraph"/>
        <w:spacing w:line="360" w:lineRule="auto"/>
        <w:ind w:left="0" w:firstLine="0"/>
        <w:rPr>
          <w:b/>
          <w:bCs/>
          <w:sz w:val="26"/>
          <w:szCs w:val="26"/>
        </w:rPr>
      </w:pPr>
      <w:r w:rsidRPr="00B76D33">
        <w:rPr>
          <w:b/>
          <w:bCs/>
          <w:sz w:val="26"/>
          <w:szCs w:val="26"/>
        </w:rPr>
        <w:tab/>
      </w:r>
      <w:r w:rsidRPr="00B76D33">
        <w:rPr>
          <w:b/>
          <w:bCs/>
          <w:sz w:val="26"/>
          <w:szCs w:val="26"/>
        </w:rPr>
        <w:tab/>
        <w:t>b.</w:t>
      </w:r>
      <w:r w:rsidRPr="00B76D33">
        <w:rPr>
          <w:b/>
          <w:bCs/>
          <w:sz w:val="26"/>
          <w:szCs w:val="26"/>
        </w:rPr>
        <w:tab/>
      </w:r>
      <w:r w:rsidR="00EA1CD6">
        <w:rPr>
          <w:b/>
          <w:bCs/>
          <w:sz w:val="26"/>
          <w:szCs w:val="26"/>
        </w:rPr>
        <w:t>The Companies’ Exceptions</w:t>
      </w:r>
    </w:p>
    <w:p w14:paraId="32CC9C0D" w14:textId="77777777" w:rsidR="00B76D33" w:rsidRDefault="00B76D33" w:rsidP="00CC0155">
      <w:pPr>
        <w:pStyle w:val="ListParagraph"/>
        <w:spacing w:line="360" w:lineRule="auto"/>
        <w:ind w:left="0" w:firstLine="0"/>
        <w:rPr>
          <w:sz w:val="26"/>
          <w:szCs w:val="26"/>
        </w:rPr>
      </w:pPr>
    </w:p>
    <w:p w14:paraId="13904A1D" w14:textId="084135B4" w:rsidR="00285ECD" w:rsidRDefault="00285ECD" w:rsidP="00CC0155">
      <w:pPr>
        <w:pStyle w:val="ListParagraph"/>
        <w:spacing w:line="360" w:lineRule="auto"/>
        <w:ind w:left="0" w:firstLine="0"/>
        <w:rPr>
          <w:sz w:val="26"/>
          <w:szCs w:val="26"/>
        </w:rPr>
      </w:pPr>
      <w:r>
        <w:rPr>
          <w:sz w:val="26"/>
          <w:szCs w:val="26"/>
        </w:rPr>
        <w:tab/>
      </w:r>
      <w:r>
        <w:rPr>
          <w:sz w:val="26"/>
          <w:szCs w:val="26"/>
        </w:rPr>
        <w:tab/>
      </w:r>
      <w:r w:rsidRPr="00582071">
        <w:rPr>
          <w:sz w:val="26"/>
          <w:szCs w:val="26"/>
        </w:rPr>
        <w:t xml:space="preserve">In Reply, the Companies note that the above alleged </w:t>
      </w:r>
      <w:r w:rsidR="00E00225">
        <w:rPr>
          <w:sz w:val="26"/>
          <w:szCs w:val="26"/>
        </w:rPr>
        <w:t>“</w:t>
      </w:r>
      <w:r w:rsidRPr="00582071">
        <w:rPr>
          <w:sz w:val="26"/>
          <w:szCs w:val="26"/>
        </w:rPr>
        <w:t>structural flaws</w:t>
      </w:r>
      <w:r w:rsidR="00E00225">
        <w:rPr>
          <w:sz w:val="26"/>
          <w:szCs w:val="26"/>
        </w:rPr>
        <w:t>”</w:t>
      </w:r>
      <w:r w:rsidRPr="00582071">
        <w:rPr>
          <w:sz w:val="26"/>
          <w:szCs w:val="26"/>
        </w:rPr>
        <w:t xml:space="preserve"> of the </w:t>
      </w:r>
      <w:proofErr w:type="spellStart"/>
      <w:r w:rsidRPr="00582071">
        <w:rPr>
          <w:sz w:val="26"/>
          <w:szCs w:val="26"/>
        </w:rPr>
        <w:t>clawback</w:t>
      </w:r>
      <w:proofErr w:type="spellEnd"/>
      <w:r w:rsidRPr="00582071">
        <w:rPr>
          <w:sz w:val="26"/>
          <w:szCs w:val="26"/>
        </w:rPr>
        <w:t xml:space="preserve"> provision by Respond are not a function of any change in </w:t>
      </w:r>
      <w:r w:rsidR="00E00225">
        <w:rPr>
          <w:sz w:val="26"/>
          <w:szCs w:val="26"/>
        </w:rPr>
        <w:t>“</w:t>
      </w:r>
      <w:r w:rsidRPr="00582071">
        <w:rPr>
          <w:sz w:val="26"/>
          <w:szCs w:val="26"/>
        </w:rPr>
        <w:t>facts and circumstances</w:t>
      </w:r>
      <w:r w:rsidR="00E00225">
        <w:rPr>
          <w:sz w:val="26"/>
          <w:szCs w:val="26"/>
        </w:rPr>
        <w:t>”</w:t>
      </w:r>
      <w:r w:rsidRPr="00582071">
        <w:rPr>
          <w:sz w:val="26"/>
          <w:szCs w:val="26"/>
        </w:rPr>
        <w:t xml:space="preserve"> since the issuance of the </w:t>
      </w:r>
      <w:r w:rsidR="00582071" w:rsidRPr="00582071">
        <w:rPr>
          <w:i/>
          <w:sz w:val="26"/>
          <w:szCs w:val="26"/>
        </w:rPr>
        <w:t>Default Service Order</w:t>
      </w:r>
      <w:r w:rsidR="00582071" w:rsidRPr="00582071">
        <w:rPr>
          <w:sz w:val="26"/>
          <w:szCs w:val="26"/>
        </w:rPr>
        <w:t xml:space="preserve"> and</w:t>
      </w:r>
      <w:r w:rsidR="00AC02CA">
        <w:rPr>
          <w:sz w:val="26"/>
          <w:szCs w:val="26"/>
        </w:rPr>
        <w:t xml:space="preserve">, therefore, </w:t>
      </w:r>
      <w:r w:rsidR="00582071" w:rsidRPr="00582071">
        <w:rPr>
          <w:sz w:val="26"/>
          <w:szCs w:val="26"/>
        </w:rPr>
        <w:t xml:space="preserve">do not warrant </w:t>
      </w:r>
      <w:r w:rsidR="00AC02CA">
        <w:rPr>
          <w:sz w:val="26"/>
          <w:szCs w:val="26"/>
        </w:rPr>
        <w:t xml:space="preserve">further </w:t>
      </w:r>
      <w:r w:rsidR="00582071" w:rsidRPr="00582071">
        <w:rPr>
          <w:sz w:val="26"/>
          <w:szCs w:val="26"/>
        </w:rPr>
        <w:t>consideration</w:t>
      </w:r>
      <w:r w:rsidR="00AC02CA">
        <w:rPr>
          <w:sz w:val="26"/>
          <w:szCs w:val="26"/>
        </w:rPr>
        <w:t>.</w:t>
      </w:r>
      <w:r w:rsidR="00362FB1">
        <w:rPr>
          <w:sz w:val="26"/>
          <w:szCs w:val="26"/>
        </w:rPr>
        <w:t xml:space="preserve">  R. Exc. at 23-24, citing I.D. at 36-37.  The Companies further note that they have </w:t>
      </w:r>
      <w:r w:rsidR="00C276D3">
        <w:rPr>
          <w:sz w:val="26"/>
          <w:szCs w:val="26"/>
        </w:rPr>
        <w:t>already</w:t>
      </w:r>
      <w:r w:rsidR="00362FB1">
        <w:rPr>
          <w:sz w:val="26"/>
          <w:szCs w:val="26"/>
        </w:rPr>
        <w:t xml:space="preserve"> refuted the above identified flaws </w:t>
      </w:r>
      <w:r w:rsidR="00C276D3">
        <w:rPr>
          <w:sz w:val="26"/>
          <w:szCs w:val="26"/>
        </w:rPr>
        <w:t xml:space="preserve">on a </w:t>
      </w:r>
      <w:r w:rsidR="00362FB1">
        <w:rPr>
          <w:sz w:val="26"/>
          <w:szCs w:val="26"/>
        </w:rPr>
        <w:t>point</w:t>
      </w:r>
      <w:r w:rsidR="00AC02CA">
        <w:rPr>
          <w:sz w:val="26"/>
          <w:szCs w:val="26"/>
        </w:rPr>
        <w:t>-</w:t>
      </w:r>
      <w:r w:rsidR="00362FB1">
        <w:rPr>
          <w:sz w:val="26"/>
          <w:szCs w:val="26"/>
        </w:rPr>
        <w:t>by</w:t>
      </w:r>
      <w:r w:rsidR="00AC02CA">
        <w:rPr>
          <w:sz w:val="26"/>
          <w:szCs w:val="26"/>
        </w:rPr>
        <w:t>-</w:t>
      </w:r>
      <w:r w:rsidR="00362FB1">
        <w:rPr>
          <w:sz w:val="26"/>
          <w:szCs w:val="26"/>
        </w:rPr>
        <w:t xml:space="preserve">point </w:t>
      </w:r>
      <w:r w:rsidR="00C276D3">
        <w:rPr>
          <w:sz w:val="26"/>
          <w:szCs w:val="26"/>
        </w:rPr>
        <w:t xml:space="preserve">basis </w:t>
      </w:r>
      <w:r w:rsidR="00362FB1">
        <w:rPr>
          <w:sz w:val="26"/>
          <w:szCs w:val="26"/>
        </w:rPr>
        <w:t>in their Briefs and do not need to address them aga</w:t>
      </w:r>
      <w:r w:rsidR="00C276D3">
        <w:rPr>
          <w:sz w:val="26"/>
          <w:szCs w:val="26"/>
        </w:rPr>
        <w:t>in here</w:t>
      </w:r>
      <w:r w:rsidR="00362FB1">
        <w:rPr>
          <w:sz w:val="26"/>
          <w:szCs w:val="26"/>
        </w:rPr>
        <w:t xml:space="preserve">.  R. Exc. at 24, citing I.B. at 36-45.  </w:t>
      </w:r>
      <w:r w:rsidR="00074389">
        <w:rPr>
          <w:sz w:val="26"/>
          <w:szCs w:val="26"/>
        </w:rPr>
        <w:t>The Companies argue the main focus of the alleged structural flaws – EGS access to information about payment status of their customer accounts, the service periods to which the written-off amounts relate</w:t>
      </w:r>
      <w:r w:rsidR="00C6158F">
        <w:rPr>
          <w:sz w:val="26"/>
          <w:szCs w:val="26"/>
        </w:rPr>
        <w:t xml:space="preserve">, </w:t>
      </w:r>
      <w:r w:rsidR="00074389">
        <w:rPr>
          <w:sz w:val="26"/>
          <w:szCs w:val="26"/>
        </w:rPr>
        <w:t xml:space="preserve">and the order of posting of partial payments – are erroneous and irrelevant because they ignore the fact that the </w:t>
      </w:r>
      <w:proofErr w:type="spellStart"/>
      <w:r w:rsidR="00074389">
        <w:rPr>
          <w:sz w:val="26"/>
          <w:szCs w:val="26"/>
        </w:rPr>
        <w:t>clawback</w:t>
      </w:r>
      <w:proofErr w:type="spellEnd"/>
      <w:r w:rsidR="00074389">
        <w:rPr>
          <w:sz w:val="26"/>
          <w:szCs w:val="26"/>
        </w:rPr>
        <w:t xml:space="preserve"> provision</w:t>
      </w:r>
      <w:r w:rsidR="00E00225">
        <w:rPr>
          <w:sz w:val="26"/>
          <w:szCs w:val="26"/>
        </w:rPr>
        <w:t>’</w:t>
      </w:r>
      <w:r w:rsidR="00074389">
        <w:rPr>
          <w:sz w:val="26"/>
          <w:szCs w:val="26"/>
        </w:rPr>
        <w:t xml:space="preserve">s screening test is applied to all EGSs on a consistent basis using comparable data.  </w:t>
      </w:r>
      <w:r w:rsidR="00BC49C6">
        <w:rPr>
          <w:sz w:val="26"/>
          <w:szCs w:val="26"/>
        </w:rPr>
        <w:t xml:space="preserve">The Companies conclude that because the </w:t>
      </w:r>
      <w:proofErr w:type="spellStart"/>
      <w:r w:rsidR="00BC49C6">
        <w:rPr>
          <w:sz w:val="26"/>
          <w:szCs w:val="26"/>
        </w:rPr>
        <w:t>clawback</w:t>
      </w:r>
      <w:proofErr w:type="spellEnd"/>
      <w:r w:rsidR="00BC49C6">
        <w:rPr>
          <w:sz w:val="26"/>
          <w:szCs w:val="26"/>
        </w:rPr>
        <w:t xml:space="preserve"> provision is applied fairly to all the EGSs in their service territories, Respond has no basis to complain about being treated unreasonably and unfairly.  R. Exc. at 24.</w:t>
      </w:r>
    </w:p>
    <w:p w14:paraId="5EF70C2C" w14:textId="469AD012" w:rsidR="00880F25" w:rsidRDefault="00880F25" w:rsidP="00CC0155">
      <w:pPr>
        <w:pStyle w:val="ListParagraph"/>
        <w:spacing w:line="360" w:lineRule="auto"/>
        <w:ind w:left="0" w:firstLine="0"/>
        <w:rPr>
          <w:sz w:val="26"/>
          <w:szCs w:val="26"/>
        </w:rPr>
      </w:pPr>
    </w:p>
    <w:p w14:paraId="403F7A08" w14:textId="0159E7BE" w:rsidR="00880F25" w:rsidRPr="00E41838" w:rsidRDefault="00145D42" w:rsidP="00F71658">
      <w:pPr>
        <w:keepNext/>
        <w:keepLines/>
        <w:ind w:firstLine="0"/>
        <w:rPr>
          <w:b/>
          <w:szCs w:val="26"/>
        </w:rPr>
      </w:pPr>
      <w:r>
        <w:rPr>
          <w:b/>
          <w:szCs w:val="26"/>
        </w:rPr>
        <w:lastRenderedPageBreak/>
        <w:tab/>
      </w:r>
      <w:r w:rsidR="00EA1CD6">
        <w:rPr>
          <w:b/>
          <w:szCs w:val="26"/>
        </w:rPr>
        <w:tab/>
        <w:t>c.</w:t>
      </w:r>
      <w:r w:rsidR="00EA1CD6">
        <w:rPr>
          <w:b/>
          <w:szCs w:val="26"/>
        </w:rPr>
        <w:tab/>
      </w:r>
      <w:r w:rsidR="00880F25" w:rsidRPr="00E41838">
        <w:rPr>
          <w:b/>
          <w:szCs w:val="26"/>
        </w:rPr>
        <w:t>Disposition</w:t>
      </w:r>
    </w:p>
    <w:p w14:paraId="3C2D2572" w14:textId="2B025743" w:rsidR="00880F25" w:rsidRDefault="00880F25" w:rsidP="00F71658">
      <w:pPr>
        <w:pStyle w:val="ListParagraph"/>
        <w:keepNext/>
        <w:keepLines/>
        <w:spacing w:line="360" w:lineRule="auto"/>
        <w:ind w:left="0" w:firstLine="0"/>
        <w:rPr>
          <w:sz w:val="26"/>
          <w:szCs w:val="26"/>
        </w:rPr>
      </w:pPr>
    </w:p>
    <w:p w14:paraId="79E6CF4B" w14:textId="2F092A43" w:rsidR="007904BB" w:rsidRDefault="006C1662" w:rsidP="00CC0155">
      <w:pPr>
        <w:pStyle w:val="ListParagraph"/>
        <w:spacing w:line="360" w:lineRule="auto"/>
        <w:ind w:left="0"/>
        <w:rPr>
          <w:sz w:val="26"/>
          <w:szCs w:val="26"/>
        </w:rPr>
      </w:pPr>
      <w:r>
        <w:rPr>
          <w:sz w:val="26"/>
          <w:szCs w:val="26"/>
        </w:rPr>
        <w:t>Upon review, we</w:t>
      </w:r>
      <w:r w:rsidR="00FE6360">
        <w:rPr>
          <w:sz w:val="26"/>
          <w:szCs w:val="26"/>
        </w:rPr>
        <w:t xml:space="preserve"> consider </w:t>
      </w:r>
      <w:r>
        <w:rPr>
          <w:sz w:val="26"/>
          <w:szCs w:val="26"/>
        </w:rPr>
        <w:t>this Exception</w:t>
      </w:r>
      <w:r w:rsidR="00FE6360">
        <w:rPr>
          <w:sz w:val="26"/>
          <w:szCs w:val="26"/>
        </w:rPr>
        <w:t xml:space="preserve"> moot</w:t>
      </w:r>
      <w:r>
        <w:rPr>
          <w:sz w:val="26"/>
          <w:szCs w:val="26"/>
        </w:rPr>
        <w:t xml:space="preserve">.  </w:t>
      </w:r>
      <w:r w:rsidR="00FE6360">
        <w:rPr>
          <w:sz w:val="26"/>
          <w:szCs w:val="26"/>
        </w:rPr>
        <w:t>Respond argu</w:t>
      </w:r>
      <w:r w:rsidR="007904BB">
        <w:rPr>
          <w:sz w:val="26"/>
          <w:szCs w:val="26"/>
        </w:rPr>
        <w:t>es</w:t>
      </w:r>
      <w:r w:rsidR="00FE6360">
        <w:rPr>
          <w:sz w:val="26"/>
          <w:szCs w:val="26"/>
        </w:rPr>
        <w:t xml:space="preserve"> that</w:t>
      </w:r>
      <w:r w:rsidR="00EA1CD6">
        <w:rPr>
          <w:sz w:val="26"/>
          <w:szCs w:val="26"/>
        </w:rPr>
        <w:t xml:space="preserve"> </w:t>
      </w:r>
      <w:r w:rsidR="006E578C">
        <w:rPr>
          <w:sz w:val="26"/>
          <w:szCs w:val="26"/>
        </w:rPr>
        <w:t xml:space="preserve">because </w:t>
      </w:r>
      <w:r w:rsidR="00EA1CD6">
        <w:rPr>
          <w:sz w:val="26"/>
          <w:szCs w:val="26"/>
        </w:rPr>
        <w:t xml:space="preserve">the </w:t>
      </w:r>
      <w:r w:rsidR="00FE6360">
        <w:rPr>
          <w:sz w:val="26"/>
          <w:szCs w:val="26"/>
        </w:rPr>
        <w:t xml:space="preserve">Companies </w:t>
      </w:r>
      <w:r w:rsidR="006E578C">
        <w:rPr>
          <w:sz w:val="26"/>
          <w:szCs w:val="26"/>
        </w:rPr>
        <w:t>do not p</w:t>
      </w:r>
      <w:r w:rsidR="00FE6360">
        <w:rPr>
          <w:sz w:val="26"/>
          <w:szCs w:val="26"/>
        </w:rPr>
        <w:t>rovid</w:t>
      </w:r>
      <w:r w:rsidR="00EA1CD6">
        <w:rPr>
          <w:sz w:val="26"/>
          <w:szCs w:val="26"/>
        </w:rPr>
        <w:t>e</w:t>
      </w:r>
      <w:r w:rsidR="00FE6360">
        <w:rPr>
          <w:sz w:val="26"/>
          <w:szCs w:val="26"/>
        </w:rPr>
        <w:t xml:space="preserve"> </w:t>
      </w:r>
      <w:r w:rsidR="006E578C">
        <w:rPr>
          <w:sz w:val="26"/>
          <w:szCs w:val="26"/>
        </w:rPr>
        <w:t xml:space="preserve">Respond with </w:t>
      </w:r>
      <w:r w:rsidR="00235821">
        <w:rPr>
          <w:sz w:val="26"/>
          <w:szCs w:val="26"/>
        </w:rPr>
        <w:t xml:space="preserve">the </w:t>
      </w:r>
      <w:r w:rsidR="00FE6360">
        <w:rPr>
          <w:sz w:val="26"/>
          <w:szCs w:val="26"/>
        </w:rPr>
        <w:t xml:space="preserve">information </w:t>
      </w:r>
      <w:r w:rsidR="006E578C">
        <w:rPr>
          <w:sz w:val="26"/>
          <w:szCs w:val="26"/>
        </w:rPr>
        <w:t xml:space="preserve">on </w:t>
      </w:r>
      <w:r w:rsidR="001C76C1">
        <w:rPr>
          <w:sz w:val="26"/>
          <w:szCs w:val="26"/>
        </w:rPr>
        <w:t>its</w:t>
      </w:r>
      <w:r w:rsidR="009D0BD7">
        <w:rPr>
          <w:sz w:val="26"/>
          <w:szCs w:val="26"/>
        </w:rPr>
        <w:t xml:space="preserve"> </w:t>
      </w:r>
      <w:r w:rsidR="006E578C">
        <w:rPr>
          <w:sz w:val="26"/>
          <w:szCs w:val="26"/>
        </w:rPr>
        <w:t xml:space="preserve">customers </w:t>
      </w:r>
      <w:r w:rsidR="00A25D80">
        <w:rPr>
          <w:sz w:val="26"/>
          <w:szCs w:val="26"/>
        </w:rPr>
        <w:t xml:space="preserve">who have </w:t>
      </w:r>
      <w:r w:rsidR="00FE6360">
        <w:rPr>
          <w:sz w:val="26"/>
          <w:szCs w:val="26"/>
        </w:rPr>
        <w:t xml:space="preserve">high uncollectible accounts, it </w:t>
      </w:r>
      <w:r w:rsidR="00A25D80">
        <w:rPr>
          <w:sz w:val="26"/>
          <w:szCs w:val="26"/>
        </w:rPr>
        <w:t>is unable to contact th</w:t>
      </w:r>
      <w:r w:rsidR="001C76C1">
        <w:rPr>
          <w:sz w:val="26"/>
          <w:szCs w:val="26"/>
        </w:rPr>
        <w:t>ose customers t</w:t>
      </w:r>
      <w:r w:rsidR="00A25D80">
        <w:rPr>
          <w:sz w:val="26"/>
          <w:szCs w:val="26"/>
        </w:rPr>
        <w:t xml:space="preserve">o </w:t>
      </w:r>
      <w:r w:rsidR="00FE6360">
        <w:rPr>
          <w:sz w:val="26"/>
          <w:szCs w:val="26"/>
        </w:rPr>
        <w:t>offer th</w:t>
      </w:r>
      <w:r w:rsidR="001C76C1">
        <w:rPr>
          <w:sz w:val="26"/>
          <w:szCs w:val="26"/>
        </w:rPr>
        <w:t>em</w:t>
      </w:r>
      <w:r w:rsidR="00FE6360">
        <w:rPr>
          <w:sz w:val="26"/>
          <w:szCs w:val="26"/>
        </w:rPr>
        <w:t xml:space="preserve"> a new contract that may be more manageable for them or undertake any other actions with regard to th</w:t>
      </w:r>
      <w:r w:rsidR="007847C1">
        <w:rPr>
          <w:sz w:val="26"/>
          <w:szCs w:val="26"/>
        </w:rPr>
        <w:t>ose</w:t>
      </w:r>
      <w:r w:rsidR="00FE6360">
        <w:rPr>
          <w:sz w:val="26"/>
          <w:szCs w:val="26"/>
        </w:rPr>
        <w:t xml:space="preserve"> customers</w:t>
      </w:r>
      <w:r w:rsidR="007847C1">
        <w:rPr>
          <w:sz w:val="26"/>
          <w:szCs w:val="26"/>
        </w:rPr>
        <w:t xml:space="preserve"> </w:t>
      </w:r>
      <w:r w:rsidR="00FE6360">
        <w:rPr>
          <w:sz w:val="26"/>
          <w:szCs w:val="26"/>
        </w:rPr>
        <w:t>to avoid or minimize</w:t>
      </w:r>
      <w:r w:rsidR="0003786D">
        <w:rPr>
          <w:sz w:val="26"/>
          <w:szCs w:val="26"/>
        </w:rPr>
        <w:t xml:space="preserve">/mitigate </w:t>
      </w:r>
      <w:r w:rsidR="001C76C1">
        <w:rPr>
          <w:sz w:val="26"/>
          <w:szCs w:val="26"/>
        </w:rPr>
        <w:t xml:space="preserve">Respond’s </w:t>
      </w:r>
      <w:r w:rsidR="0003786D">
        <w:rPr>
          <w:sz w:val="26"/>
          <w:szCs w:val="26"/>
        </w:rPr>
        <w:t xml:space="preserve">exposure to </w:t>
      </w:r>
      <w:r w:rsidR="00FE6360">
        <w:rPr>
          <w:sz w:val="26"/>
          <w:szCs w:val="26"/>
        </w:rPr>
        <w:t xml:space="preserve">the </w:t>
      </w:r>
      <w:proofErr w:type="spellStart"/>
      <w:r w:rsidR="00FE6360">
        <w:rPr>
          <w:sz w:val="26"/>
          <w:szCs w:val="26"/>
        </w:rPr>
        <w:t>clawback</w:t>
      </w:r>
      <w:proofErr w:type="spellEnd"/>
      <w:r w:rsidR="00FE6360">
        <w:rPr>
          <w:sz w:val="26"/>
          <w:szCs w:val="26"/>
        </w:rPr>
        <w:t xml:space="preserve"> charges.  </w:t>
      </w:r>
      <w:r w:rsidR="0003786D">
        <w:rPr>
          <w:i/>
          <w:iCs/>
          <w:sz w:val="26"/>
          <w:szCs w:val="26"/>
        </w:rPr>
        <w:t xml:space="preserve">See </w:t>
      </w:r>
      <w:r w:rsidR="00FE6360">
        <w:rPr>
          <w:sz w:val="26"/>
          <w:szCs w:val="26"/>
        </w:rPr>
        <w:t xml:space="preserve">Respond St. 1 at 10.  Respond </w:t>
      </w:r>
      <w:r w:rsidR="007847C1">
        <w:rPr>
          <w:sz w:val="26"/>
          <w:szCs w:val="26"/>
        </w:rPr>
        <w:t xml:space="preserve">submits that </w:t>
      </w:r>
      <w:r w:rsidR="00FE6360">
        <w:rPr>
          <w:sz w:val="26"/>
          <w:szCs w:val="26"/>
        </w:rPr>
        <w:t>had it known its customers were not paying their EGS charges, it could have contacted the</w:t>
      </w:r>
      <w:r w:rsidR="007847C1">
        <w:rPr>
          <w:sz w:val="26"/>
          <w:szCs w:val="26"/>
        </w:rPr>
        <w:t>m</w:t>
      </w:r>
      <w:r w:rsidR="00FE6360">
        <w:rPr>
          <w:sz w:val="26"/>
          <w:szCs w:val="26"/>
        </w:rPr>
        <w:t xml:space="preserve"> </w:t>
      </w:r>
      <w:r w:rsidR="007847C1">
        <w:rPr>
          <w:sz w:val="26"/>
          <w:szCs w:val="26"/>
        </w:rPr>
        <w:t xml:space="preserve">to </w:t>
      </w:r>
      <w:r w:rsidR="00FE6360">
        <w:rPr>
          <w:sz w:val="26"/>
          <w:szCs w:val="26"/>
        </w:rPr>
        <w:t xml:space="preserve">determine whether different terms </w:t>
      </w:r>
      <w:r w:rsidR="007904BB">
        <w:rPr>
          <w:sz w:val="26"/>
          <w:szCs w:val="26"/>
        </w:rPr>
        <w:t xml:space="preserve">or conditions </w:t>
      </w:r>
      <w:r w:rsidR="00FE6360">
        <w:rPr>
          <w:sz w:val="26"/>
          <w:szCs w:val="26"/>
        </w:rPr>
        <w:t xml:space="preserve">of service </w:t>
      </w:r>
      <w:r w:rsidR="001C76C1">
        <w:rPr>
          <w:sz w:val="26"/>
          <w:szCs w:val="26"/>
        </w:rPr>
        <w:t xml:space="preserve">might </w:t>
      </w:r>
      <w:r w:rsidR="00A25D80">
        <w:rPr>
          <w:sz w:val="26"/>
          <w:szCs w:val="26"/>
        </w:rPr>
        <w:t xml:space="preserve">assist </w:t>
      </w:r>
      <w:r w:rsidR="00FE6360">
        <w:rPr>
          <w:sz w:val="26"/>
          <w:szCs w:val="26"/>
        </w:rPr>
        <w:t>th</w:t>
      </w:r>
      <w:r w:rsidR="00A25D80">
        <w:rPr>
          <w:sz w:val="26"/>
          <w:szCs w:val="26"/>
        </w:rPr>
        <w:t>ose</w:t>
      </w:r>
      <w:r w:rsidR="00FE6360">
        <w:rPr>
          <w:sz w:val="26"/>
          <w:szCs w:val="26"/>
        </w:rPr>
        <w:t xml:space="preserve"> customers </w:t>
      </w:r>
      <w:r w:rsidR="007904BB">
        <w:rPr>
          <w:sz w:val="26"/>
          <w:szCs w:val="26"/>
        </w:rPr>
        <w:t xml:space="preserve">to </w:t>
      </w:r>
      <w:r w:rsidR="00FE6360">
        <w:rPr>
          <w:sz w:val="26"/>
          <w:szCs w:val="26"/>
        </w:rPr>
        <w:t>pay their bills.</w:t>
      </w:r>
    </w:p>
    <w:p w14:paraId="5D8077BE" w14:textId="77777777" w:rsidR="00AE3F0B" w:rsidRDefault="00AE3F0B" w:rsidP="00CC0155">
      <w:pPr>
        <w:pStyle w:val="ListParagraph"/>
        <w:spacing w:line="360" w:lineRule="auto"/>
        <w:ind w:left="0"/>
        <w:rPr>
          <w:sz w:val="26"/>
          <w:szCs w:val="26"/>
        </w:rPr>
      </w:pPr>
    </w:p>
    <w:p w14:paraId="04DC7491" w14:textId="5E375019" w:rsidR="00FE6360" w:rsidRDefault="00FE6360" w:rsidP="00CC0155">
      <w:pPr>
        <w:pStyle w:val="ListParagraph"/>
        <w:spacing w:line="360" w:lineRule="auto"/>
        <w:ind w:left="0"/>
        <w:rPr>
          <w:sz w:val="26"/>
          <w:szCs w:val="26"/>
        </w:rPr>
      </w:pPr>
      <w:r>
        <w:rPr>
          <w:sz w:val="26"/>
          <w:szCs w:val="26"/>
        </w:rPr>
        <w:t>Respond also asserted that</w:t>
      </w:r>
      <w:r w:rsidR="007904BB">
        <w:rPr>
          <w:sz w:val="26"/>
          <w:szCs w:val="26"/>
        </w:rPr>
        <w:t>,</w:t>
      </w:r>
      <w:r>
        <w:rPr>
          <w:sz w:val="26"/>
          <w:szCs w:val="26"/>
        </w:rPr>
        <w:t xml:space="preserve"> to the extent that the Companies view Respond</w:t>
      </w:r>
      <w:r w:rsidR="00E00225">
        <w:rPr>
          <w:sz w:val="26"/>
          <w:szCs w:val="26"/>
        </w:rPr>
        <w:t>’</w:t>
      </w:r>
      <w:r>
        <w:rPr>
          <w:sz w:val="26"/>
          <w:szCs w:val="26"/>
        </w:rPr>
        <w:t xml:space="preserve">s higher </w:t>
      </w:r>
      <w:r w:rsidR="000E7AF7">
        <w:rPr>
          <w:sz w:val="26"/>
          <w:szCs w:val="26"/>
        </w:rPr>
        <w:t xml:space="preserve">prices compared to </w:t>
      </w:r>
      <w:r>
        <w:rPr>
          <w:sz w:val="26"/>
          <w:szCs w:val="26"/>
        </w:rPr>
        <w:t>the Companies</w:t>
      </w:r>
      <w:r w:rsidR="00E00225">
        <w:rPr>
          <w:sz w:val="26"/>
          <w:szCs w:val="26"/>
        </w:rPr>
        <w:t>’</w:t>
      </w:r>
      <w:r>
        <w:rPr>
          <w:sz w:val="26"/>
          <w:szCs w:val="26"/>
        </w:rPr>
        <w:t xml:space="preserve"> default service as the root cause of the uncollectible expenses related to the EGS charges, </w:t>
      </w:r>
      <w:r w:rsidR="000E7AF7">
        <w:rPr>
          <w:sz w:val="26"/>
          <w:szCs w:val="26"/>
        </w:rPr>
        <w:t xml:space="preserve">if the Companies provided Respond with </w:t>
      </w:r>
      <w:r w:rsidR="00560D73">
        <w:rPr>
          <w:sz w:val="26"/>
          <w:szCs w:val="26"/>
        </w:rPr>
        <w:t xml:space="preserve">high uncollectible accounts, it would be able to </w:t>
      </w:r>
      <w:r>
        <w:rPr>
          <w:sz w:val="26"/>
          <w:szCs w:val="26"/>
        </w:rPr>
        <w:t xml:space="preserve">cancel the contracts of non-paying customers and return such customers to default service </w:t>
      </w:r>
      <w:r w:rsidR="00560D73">
        <w:rPr>
          <w:sz w:val="26"/>
          <w:szCs w:val="26"/>
        </w:rPr>
        <w:t xml:space="preserve">in order </w:t>
      </w:r>
      <w:r>
        <w:rPr>
          <w:sz w:val="26"/>
          <w:szCs w:val="26"/>
        </w:rPr>
        <w:t xml:space="preserve">to avoid the assessment of the </w:t>
      </w:r>
      <w:proofErr w:type="spellStart"/>
      <w:r>
        <w:rPr>
          <w:sz w:val="26"/>
          <w:szCs w:val="26"/>
        </w:rPr>
        <w:t>clawback</w:t>
      </w:r>
      <w:proofErr w:type="spellEnd"/>
      <w:r>
        <w:rPr>
          <w:sz w:val="26"/>
          <w:szCs w:val="26"/>
        </w:rPr>
        <w:t xml:space="preserve"> charges</w:t>
      </w:r>
      <w:r w:rsidR="00560D73">
        <w:rPr>
          <w:sz w:val="26"/>
          <w:szCs w:val="26"/>
        </w:rPr>
        <w:t xml:space="preserve"> and that this </w:t>
      </w:r>
      <w:r>
        <w:rPr>
          <w:sz w:val="26"/>
          <w:szCs w:val="26"/>
        </w:rPr>
        <w:t xml:space="preserve">could effectively resolve the high uncollectible issue.  </w:t>
      </w:r>
      <w:r w:rsidRPr="00B070A6">
        <w:rPr>
          <w:i/>
          <w:sz w:val="26"/>
          <w:szCs w:val="26"/>
        </w:rPr>
        <w:t>Id.</w:t>
      </w:r>
      <w:r>
        <w:rPr>
          <w:sz w:val="26"/>
          <w:szCs w:val="26"/>
        </w:rPr>
        <w:t xml:space="preserve"> at 18-19.</w:t>
      </w:r>
    </w:p>
    <w:p w14:paraId="33897DFC" w14:textId="77777777" w:rsidR="00FE6360" w:rsidRDefault="00FE6360" w:rsidP="00CC0155">
      <w:pPr>
        <w:pStyle w:val="ListParagraph"/>
        <w:spacing w:line="360" w:lineRule="auto"/>
        <w:ind w:left="0"/>
        <w:rPr>
          <w:sz w:val="26"/>
          <w:szCs w:val="26"/>
        </w:rPr>
      </w:pPr>
    </w:p>
    <w:p w14:paraId="1A230940" w14:textId="72354563" w:rsidR="00C027A9" w:rsidRDefault="00FE6360" w:rsidP="00CC0155">
      <w:pPr>
        <w:pStyle w:val="ListParagraph"/>
        <w:spacing w:line="360" w:lineRule="auto"/>
        <w:ind w:left="0"/>
        <w:rPr>
          <w:sz w:val="26"/>
          <w:szCs w:val="26"/>
        </w:rPr>
      </w:pPr>
      <w:r>
        <w:rPr>
          <w:sz w:val="26"/>
          <w:szCs w:val="26"/>
        </w:rPr>
        <w:t>Based on the above arguments</w:t>
      </w:r>
      <w:r w:rsidR="007F6734">
        <w:rPr>
          <w:sz w:val="26"/>
          <w:szCs w:val="26"/>
        </w:rPr>
        <w:t xml:space="preserve">, to the extent that </w:t>
      </w:r>
      <w:r w:rsidR="00657CBF">
        <w:rPr>
          <w:sz w:val="26"/>
          <w:szCs w:val="26"/>
        </w:rPr>
        <w:t xml:space="preserve">the main focus of </w:t>
      </w:r>
      <w:r w:rsidR="00F1091E">
        <w:rPr>
          <w:sz w:val="26"/>
          <w:szCs w:val="26"/>
        </w:rPr>
        <w:t>Respond</w:t>
      </w:r>
      <w:r w:rsidR="00E00225">
        <w:rPr>
          <w:sz w:val="26"/>
          <w:szCs w:val="26"/>
        </w:rPr>
        <w:t>’</w:t>
      </w:r>
      <w:r w:rsidR="00F1091E">
        <w:rPr>
          <w:sz w:val="26"/>
          <w:szCs w:val="26"/>
        </w:rPr>
        <w:t xml:space="preserve">s </w:t>
      </w:r>
      <w:r w:rsidR="007F6734">
        <w:rPr>
          <w:sz w:val="26"/>
          <w:szCs w:val="26"/>
        </w:rPr>
        <w:t>alleged structural flaws</w:t>
      </w:r>
      <w:r w:rsidR="00657CBF">
        <w:rPr>
          <w:sz w:val="26"/>
          <w:szCs w:val="26"/>
        </w:rPr>
        <w:t xml:space="preserve"> involve</w:t>
      </w:r>
      <w:r w:rsidR="00560D73">
        <w:rPr>
          <w:sz w:val="26"/>
          <w:szCs w:val="26"/>
        </w:rPr>
        <w:t>s</w:t>
      </w:r>
      <w:r w:rsidR="00C50058">
        <w:rPr>
          <w:sz w:val="26"/>
          <w:szCs w:val="26"/>
        </w:rPr>
        <w:t xml:space="preserve"> </w:t>
      </w:r>
      <w:r w:rsidR="007F6734">
        <w:rPr>
          <w:sz w:val="26"/>
          <w:szCs w:val="26"/>
        </w:rPr>
        <w:t xml:space="preserve">EGS access to information about </w:t>
      </w:r>
      <w:r w:rsidR="00560D73">
        <w:rPr>
          <w:sz w:val="26"/>
          <w:szCs w:val="26"/>
        </w:rPr>
        <w:t xml:space="preserve">the </w:t>
      </w:r>
      <w:r w:rsidR="007F6734">
        <w:rPr>
          <w:sz w:val="26"/>
          <w:szCs w:val="26"/>
        </w:rPr>
        <w:t>payment status of their customer accounts, the service periods to which the written-off amounts relate, and the order of posting of partial payments</w:t>
      </w:r>
      <w:r w:rsidR="00657CBF">
        <w:rPr>
          <w:sz w:val="26"/>
          <w:szCs w:val="26"/>
        </w:rPr>
        <w:t>, we consider this Exception moot</w:t>
      </w:r>
      <w:r w:rsidR="007F6734">
        <w:rPr>
          <w:sz w:val="26"/>
          <w:szCs w:val="26"/>
        </w:rPr>
        <w:t>.</w:t>
      </w:r>
      <w:r w:rsidR="00CC006F">
        <w:rPr>
          <w:sz w:val="26"/>
          <w:szCs w:val="26"/>
        </w:rPr>
        <w:t xml:space="preserve">  We note that </w:t>
      </w:r>
      <w:r w:rsidR="00EC5377">
        <w:rPr>
          <w:sz w:val="26"/>
          <w:szCs w:val="26"/>
        </w:rPr>
        <w:t xml:space="preserve">we have </w:t>
      </w:r>
      <w:r w:rsidR="00CC006F">
        <w:rPr>
          <w:sz w:val="26"/>
          <w:szCs w:val="26"/>
        </w:rPr>
        <w:t xml:space="preserve">addressed this issue in </w:t>
      </w:r>
      <w:r w:rsidR="00EC5377">
        <w:rPr>
          <w:sz w:val="26"/>
          <w:szCs w:val="26"/>
        </w:rPr>
        <w:t xml:space="preserve">the Companies’ subsequent </w:t>
      </w:r>
      <w:r w:rsidR="00CC006F">
        <w:rPr>
          <w:sz w:val="26"/>
          <w:szCs w:val="26"/>
        </w:rPr>
        <w:t>DSP filings</w:t>
      </w:r>
      <w:r w:rsidR="00EC5377">
        <w:rPr>
          <w:sz w:val="26"/>
          <w:szCs w:val="26"/>
        </w:rPr>
        <w:t>.</w:t>
      </w:r>
      <w:r w:rsidR="00C027A9">
        <w:rPr>
          <w:sz w:val="26"/>
          <w:szCs w:val="26"/>
        </w:rPr>
        <w:t xml:space="preserve">  </w:t>
      </w:r>
      <w:r w:rsidR="00C027A9" w:rsidRPr="00CC006F">
        <w:rPr>
          <w:i/>
          <w:sz w:val="26"/>
          <w:szCs w:val="26"/>
        </w:rPr>
        <w:t xml:space="preserve">See, Petition of Metropolitan Edison Company for Approval of a Default Service Program for the Period Beginning June 1, 2019 through May 31, 2023; Petition of Pennsylvania Electric Company for Approval of a Default Service Program for the Period Beginning June 1, 2019 through May 31, 2023; </w:t>
      </w:r>
      <w:r w:rsidR="00C027A9" w:rsidRPr="00CC006F">
        <w:rPr>
          <w:sz w:val="26"/>
          <w:szCs w:val="26"/>
        </w:rPr>
        <w:t xml:space="preserve">Docket Nos. P-2017-2637855 &amp; </w:t>
      </w:r>
      <w:r w:rsidR="00C027A9" w:rsidRPr="00CC006F">
        <w:rPr>
          <w:sz w:val="26"/>
          <w:szCs w:val="26"/>
        </w:rPr>
        <w:lastRenderedPageBreak/>
        <w:t>P-2017-2637857, respectively (Order entered September 4, 2018)</w:t>
      </w:r>
      <w:r w:rsidR="00C027A9">
        <w:rPr>
          <w:sz w:val="26"/>
          <w:szCs w:val="26"/>
        </w:rPr>
        <w:t xml:space="preserve"> </w:t>
      </w:r>
      <w:r w:rsidR="00C027A9" w:rsidRPr="00CC006F">
        <w:rPr>
          <w:i/>
          <w:sz w:val="26"/>
          <w:szCs w:val="26"/>
        </w:rPr>
        <w:t>(Companies 2018 DSP Order).</w:t>
      </w:r>
    </w:p>
    <w:p w14:paraId="5BF46947" w14:textId="77777777" w:rsidR="00C027A9" w:rsidRDefault="00C027A9" w:rsidP="00CC0155">
      <w:pPr>
        <w:pStyle w:val="ListParagraph"/>
        <w:spacing w:line="360" w:lineRule="auto"/>
        <w:ind w:left="0"/>
        <w:rPr>
          <w:sz w:val="26"/>
          <w:szCs w:val="26"/>
        </w:rPr>
      </w:pPr>
    </w:p>
    <w:p w14:paraId="610F9748" w14:textId="4C201746" w:rsidR="00CC006F" w:rsidRDefault="004F67AD" w:rsidP="00CC0155">
      <w:pPr>
        <w:pStyle w:val="ListParagraph"/>
        <w:spacing w:line="360" w:lineRule="auto"/>
        <w:ind w:left="0"/>
        <w:rPr>
          <w:sz w:val="26"/>
          <w:szCs w:val="26"/>
        </w:rPr>
      </w:pPr>
      <w:r>
        <w:rPr>
          <w:sz w:val="26"/>
          <w:szCs w:val="26"/>
        </w:rPr>
        <w:t>For example</w:t>
      </w:r>
      <w:r w:rsidR="00C50DDA">
        <w:rPr>
          <w:sz w:val="26"/>
          <w:szCs w:val="26"/>
        </w:rPr>
        <w:t xml:space="preserve">, </w:t>
      </w:r>
      <w:r w:rsidR="00EC5377">
        <w:rPr>
          <w:sz w:val="26"/>
          <w:szCs w:val="26"/>
        </w:rPr>
        <w:t>we</w:t>
      </w:r>
      <w:r w:rsidR="00CC006F">
        <w:rPr>
          <w:sz w:val="26"/>
          <w:szCs w:val="26"/>
        </w:rPr>
        <w:t xml:space="preserve"> </w:t>
      </w:r>
      <w:r w:rsidR="00C50058">
        <w:rPr>
          <w:sz w:val="26"/>
          <w:szCs w:val="26"/>
        </w:rPr>
        <w:t xml:space="preserve">addressed </w:t>
      </w:r>
      <w:r w:rsidR="00CC006F">
        <w:rPr>
          <w:sz w:val="26"/>
          <w:szCs w:val="26"/>
        </w:rPr>
        <w:t>the issue</w:t>
      </w:r>
      <w:r w:rsidR="00C50058">
        <w:rPr>
          <w:sz w:val="26"/>
          <w:szCs w:val="26"/>
        </w:rPr>
        <w:t xml:space="preserve"> of an EDC sharing customer-specific payment information with a </w:t>
      </w:r>
      <w:r w:rsidR="004C7FD2">
        <w:rPr>
          <w:sz w:val="26"/>
          <w:szCs w:val="26"/>
        </w:rPr>
        <w:t>POR-</w:t>
      </w:r>
      <w:r w:rsidR="00C50058">
        <w:rPr>
          <w:sz w:val="26"/>
          <w:szCs w:val="26"/>
        </w:rPr>
        <w:t>participat</w:t>
      </w:r>
      <w:r w:rsidR="00F1091E">
        <w:rPr>
          <w:sz w:val="26"/>
          <w:szCs w:val="26"/>
        </w:rPr>
        <w:t>ing</w:t>
      </w:r>
      <w:r w:rsidR="00CC006F">
        <w:rPr>
          <w:sz w:val="26"/>
          <w:szCs w:val="26"/>
        </w:rPr>
        <w:t xml:space="preserve"> </w:t>
      </w:r>
      <w:r w:rsidR="00C50058">
        <w:rPr>
          <w:sz w:val="26"/>
          <w:szCs w:val="26"/>
        </w:rPr>
        <w:t>EGS, as well as the OCA</w:t>
      </w:r>
      <w:r w:rsidR="00E00225">
        <w:rPr>
          <w:sz w:val="26"/>
          <w:szCs w:val="26"/>
        </w:rPr>
        <w:t>’</w:t>
      </w:r>
      <w:r w:rsidR="00C50058">
        <w:rPr>
          <w:sz w:val="26"/>
          <w:szCs w:val="26"/>
        </w:rPr>
        <w:t xml:space="preserve">s concern with </w:t>
      </w:r>
      <w:r w:rsidR="007A5C13">
        <w:rPr>
          <w:sz w:val="26"/>
          <w:szCs w:val="26"/>
        </w:rPr>
        <w:t xml:space="preserve">the </w:t>
      </w:r>
      <w:r w:rsidR="00D10ADA">
        <w:rPr>
          <w:sz w:val="26"/>
          <w:szCs w:val="26"/>
        </w:rPr>
        <w:t xml:space="preserve">sharing </w:t>
      </w:r>
      <w:r w:rsidR="001E7A20">
        <w:rPr>
          <w:sz w:val="26"/>
          <w:szCs w:val="26"/>
        </w:rPr>
        <w:t xml:space="preserve">of </w:t>
      </w:r>
      <w:r w:rsidR="00D10ADA">
        <w:rPr>
          <w:sz w:val="26"/>
          <w:szCs w:val="26"/>
        </w:rPr>
        <w:t xml:space="preserve">such customer-specific </w:t>
      </w:r>
      <w:r w:rsidR="00F1091E">
        <w:rPr>
          <w:sz w:val="26"/>
          <w:szCs w:val="26"/>
        </w:rPr>
        <w:t xml:space="preserve">payment </w:t>
      </w:r>
      <w:r w:rsidR="00D10ADA">
        <w:rPr>
          <w:sz w:val="26"/>
          <w:szCs w:val="26"/>
        </w:rPr>
        <w:t>information without affirmative customer consent</w:t>
      </w:r>
      <w:r w:rsidR="00C50DDA">
        <w:rPr>
          <w:sz w:val="26"/>
          <w:szCs w:val="26"/>
        </w:rPr>
        <w:t xml:space="preserve"> in the </w:t>
      </w:r>
      <w:proofErr w:type="spellStart"/>
      <w:r w:rsidR="00C50DDA" w:rsidRPr="00CC006F">
        <w:rPr>
          <w:i/>
          <w:sz w:val="26"/>
          <w:szCs w:val="26"/>
        </w:rPr>
        <w:t>Companies</w:t>
      </w:r>
      <w:proofErr w:type="spellEnd"/>
      <w:r w:rsidR="00C50DDA" w:rsidRPr="00CC006F">
        <w:rPr>
          <w:i/>
          <w:sz w:val="26"/>
          <w:szCs w:val="26"/>
        </w:rPr>
        <w:t xml:space="preserve"> 2018 DSP Order</w:t>
      </w:r>
      <w:r w:rsidR="00C50DDA">
        <w:rPr>
          <w:iCs/>
          <w:sz w:val="26"/>
          <w:szCs w:val="26"/>
        </w:rPr>
        <w:t xml:space="preserve"> when we stated:</w:t>
      </w:r>
    </w:p>
    <w:p w14:paraId="6487B5D6" w14:textId="4557CC80" w:rsidR="00D10ADA" w:rsidRDefault="00D10ADA" w:rsidP="00CC0155">
      <w:pPr>
        <w:pStyle w:val="ListParagraph"/>
        <w:spacing w:line="360" w:lineRule="auto"/>
        <w:ind w:left="0"/>
        <w:rPr>
          <w:sz w:val="26"/>
          <w:szCs w:val="26"/>
        </w:rPr>
      </w:pPr>
    </w:p>
    <w:p w14:paraId="2F6C4449" w14:textId="66225023" w:rsidR="00D10ADA" w:rsidRDefault="00966C3D" w:rsidP="00CC0155">
      <w:pPr>
        <w:spacing w:line="240" w:lineRule="auto"/>
        <w:ind w:left="1440" w:right="1440" w:firstLine="0"/>
        <w:rPr>
          <w:szCs w:val="26"/>
        </w:rPr>
      </w:pPr>
      <w:r>
        <w:rPr>
          <w:szCs w:val="26"/>
        </w:rPr>
        <w:tab/>
      </w:r>
      <w:r w:rsidR="00D10ADA">
        <w:rPr>
          <w:szCs w:val="26"/>
        </w:rPr>
        <w:t>We are not persuaded by the OCA</w:t>
      </w:r>
      <w:r w:rsidR="00E00225">
        <w:rPr>
          <w:szCs w:val="26"/>
        </w:rPr>
        <w:t>’</w:t>
      </w:r>
      <w:r w:rsidR="00D10ADA">
        <w:rPr>
          <w:szCs w:val="26"/>
        </w:rPr>
        <w:t xml:space="preserve">s argument that an EGS participating in the POR is a </w:t>
      </w:r>
      <w:r w:rsidR="00E00225">
        <w:rPr>
          <w:szCs w:val="26"/>
        </w:rPr>
        <w:t>“</w:t>
      </w:r>
      <w:r w:rsidR="00D10ADA">
        <w:rPr>
          <w:szCs w:val="26"/>
        </w:rPr>
        <w:t>third party</w:t>
      </w:r>
      <w:r w:rsidR="00E00225">
        <w:rPr>
          <w:szCs w:val="26"/>
        </w:rPr>
        <w:t>”</w:t>
      </w:r>
      <w:r w:rsidR="00D10ADA">
        <w:rPr>
          <w:szCs w:val="26"/>
        </w:rPr>
        <w:t xml:space="preserve"> after it has sold its receivables and is no longer responsible for the collections of unpaid bills.  As Respond Power noted </w:t>
      </w:r>
      <w:r w:rsidR="00D10ADA" w:rsidRPr="0067331F">
        <w:rPr>
          <w:i/>
          <w:szCs w:val="26"/>
        </w:rPr>
        <w:t>supra</w:t>
      </w:r>
      <w:r w:rsidR="00D10ADA">
        <w:rPr>
          <w:szCs w:val="26"/>
        </w:rPr>
        <w:t xml:space="preserve">, and the ALJ discussed on page 43 of the Recommended Decision, we have addressed the </w:t>
      </w:r>
      <w:r w:rsidR="00E00225">
        <w:rPr>
          <w:szCs w:val="26"/>
        </w:rPr>
        <w:t>“</w:t>
      </w:r>
      <w:r w:rsidR="00D10ADA">
        <w:rPr>
          <w:szCs w:val="26"/>
        </w:rPr>
        <w:t>third party</w:t>
      </w:r>
      <w:r w:rsidR="00E00225">
        <w:rPr>
          <w:szCs w:val="26"/>
        </w:rPr>
        <w:t>”</w:t>
      </w:r>
      <w:r w:rsidR="00D10ADA">
        <w:rPr>
          <w:szCs w:val="26"/>
        </w:rPr>
        <w:t xml:space="preserve"> issue previously in our </w:t>
      </w:r>
      <w:r w:rsidR="00D10ADA" w:rsidRPr="00E00AE3">
        <w:rPr>
          <w:i/>
          <w:szCs w:val="26"/>
        </w:rPr>
        <w:t>February 5, 1991 Secretarial Letter</w:t>
      </w:r>
      <w:r w:rsidR="00D10ADA">
        <w:rPr>
          <w:szCs w:val="26"/>
        </w:rPr>
        <w:t xml:space="preserve"> as follows:</w:t>
      </w:r>
    </w:p>
    <w:p w14:paraId="544D2AB5" w14:textId="77777777" w:rsidR="00D10ADA" w:rsidRDefault="00D10ADA" w:rsidP="00CC0155">
      <w:pPr>
        <w:pStyle w:val="ListParagraph"/>
        <w:spacing w:line="360" w:lineRule="auto"/>
        <w:ind w:left="0"/>
        <w:rPr>
          <w:sz w:val="26"/>
          <w:szCs w:val="26"/>
        </w:rPr>
      </w:pPr>
    </w:p>
    <w:p w14:paraId="09727F9F" w14:textId="155265E3" w:rsidR="006B30AD" w:rsidRDefault="00D10ADA" w:rsidP="00CC0155">
      <w:pPr>
        <w:spacing w:line="240" w:lineRule="auto"/>
        <w:ind w:left="2160" w:right="2160" w:firstLine="0"/>
        <w:rPr>
          <w:szCs w:val="26"/>
        </w:rPr>
      </w:pPr>
      <w:r>
        <w:rPr>
          <w:szCs w:val="26"/>
        </w:rPr>
        <w:t>We are aware that some concerns have been raised about the possibility of breaching customer privacy issues if billing parties disclose non-payment information to non-billing entities.  Provided, however, that billing parties share non-payment information relating only to the non-billing entity</w:t>
      </w:r>
      <w:r w:rsidR="00E00225">
        <w:rPr>
          <w:szCs w:val="26"/>
        </w:rPr>
        <w:t>’</w:t>
      </w:r>
      <w:r>
        <w:rPr>
          <w:szCs w:val="26"/>
        </w:rPr>
        <w:t>s charges, the Commission is satisfied that the customer</w:t>
      </w:r>
      <w:r w:rsidR="00E00225">
        <w:rPr>
          <w:szCs w:val="26"/>
        </w:rPr>
        <w:t>’</w:t>
      </w:r>
      <w:r>
        <w:rPr>
          <w:szCs w:val="26"/>
        </w:rPr>
        <w:t>s privacy would not be compromised.  In fact, we note that under our customer information disclosure regulations at 52 Pa. Code §54.8, electric distribution companies and electric generation suppliers are restricted only from releasing private customer information to third parties absent the customer</w:t>
      </w:r>
      <w:r w:rsidR="00E00225">
        <w:rPr>
          <w:szCs w:val="26"/>
        </w:rPr>
        <w:t>’</w:t>
      </w:r>
      <w:r>
        <w:rPr>
          <w:szCs w:val="26"/>
        </w:rPr>
        <w:t xml:space="preserve">s consent.  Since the non-billing party is providing electric service to the customer, it would not be viewed as a third </w:t>
      </w:r>
    </w:p>
    <w:p w14:paraId="0BE89A5C" w14:textId="3F7A7DFF" w:rsidR="00D10ADA" w:rsidRDefault="00D10ADA" w:rsidP="006B30AD">
      <w:pPr>
        <w:keepNext/>
        <w:keepLines/>
        <w:spacing w:line="240" w:lineRule="auto"/>
        <w:ind w:left="2160" w:right="2160" w:firstLine="0"/>
        <w:rPr>
          <w:szCs w:val="26"/>
        </w:rPr>
      </w:pPr>
      <w:r w:rsidRPr="007A49A9">
        <w:rPr>
          <w:szCs w:val="26"/>
        </w:rPr>
        <w:t>party and is certainly entitled to know whether the customer is making payments toward its charges.</w:t>
      </w:r>
    </w:p>
    <w:p w14:paraId="606038D5" w14:textId="667128C1" w:rsidR="006B30AD" w:rsidRDefault="006B30AD" w:rsidP="006B30AD">
      <w:pPr>
        <w:spacing w:line="240" w:lineRule="auto"/>
        <w:ind w:left="1440" w:right="1440" w:firstLine="0"/>
        <w:rPr>
          <w:szCs w:val="26"/>
        </w:rPr>
      </w:pPr>
    </w:p>
    <w:p w14:paraId="59180F62" w14:textId="7573B9C5" w:rsidR="006B30AD" w:rsidRDefault="006B30AD" w:rsidP="006B30AD">
      <w:pPr>
        <w:spacing w:line="240" w:lineRule="auto"/>
        <w:ind w:left="1440" w:right="1440" w:firstLine="0"/>
        <w:jc w:val="center"/>
        <w:rPr>
          <w:szCs w:val="26"/>
        </w:rPr>
      </w:pPr>
      <w:r>
        <w:rPr>
          <w:szCs w:val="26"/>
        </w:rPr>
        <w:lastRenderedPageBreak/>
        <w:t>*    *    *</w:t>
      </w:r>
    </w:p>
    <w:p w14:paraId="73AAB4EC" w14:textId="77777777" w:rsidR="006B30AD" w:rsidRDefault="006B30AD" w:rsidP="00F71658">
      <w:pPr>
        <w:spacing w:line="240" w:lineRule="auto"/>
        <w:ind w:left="1440" w:right="1440" w:firstLine="0"/>
        <w:rPr>
          <w:szCs w:val="26"/>
        </w:rPr>
      </w:pPr>
    </w:p>
    <w:p w14:paraId="394D7C1D" w14:textId="16223FA3" w:rsidR="00D10ADA" w:rsidRDefault="00D10ADA" w:rsidP="00CC0155">
      <w:pPr>
        <w:spacing w:line="240" w:lineRule="auto"/>
        <w:ind w:left="1440" w:right="1440" w:firstLine="0"/>
        <w:rPr>
          <w:szCs w:val="26"/>
        </w:rPr>
      </w:pPr>
      <w:r>
        <w:rPr>
          <w:szCs w:val="26"/>
        </w:rPr>
        <w:t xml:space="preserve">The EGSs are not </w:t>
      </w:r>
      <w:r w:rsidR="00E00225">
        <w:rPr>
          <w:szCs w:val="26"/>
        </w:rPr>
        <w:t>“</w:t>
      </w:r>
      <w:r>
        <w:rPr>
          <w:szCs w:val="26"/>
        </w:rPr>
        <w:t>third parties</w:t>
      </w:r>
      <w:r w:rsidR="00E00225">
        <w:rPr>
          <w:szCs w:val="26"/>
        </w:rPr>
        <w:t>”</w:t>
      </w:r>
      <w:r>
        <w:rPr>
          <w:szCs w:val="26"/>
        </w:rPr>
        <w:t xml:space="preserve"> and would be receiving information about their own customers.  We note that the EGSs who participate in the POR are subject to the </w:t>
      </w:r>
      <w:proofErr w:type="spellStart"/>
      <w:r>
        <w:rPr>
          <w:szCs w:val="26"/>
        </w:rPr>
        <w:t>clawback</w:t>
      </w:r>
      <w:proofErr w:type="spellEnd"/>
      <w:r>
        <w:rPr>
          <w:szCs w:val="26"/>
        </w:rPr>
        <w:t xml:space="preserve"> charge.  The arrears report would give the EGSs the opportunity to contact customers with arrears before the </w:t>
      </w:r>
      <w:proofErr w:type="spellStart"/>
      <w:r>
        <w:rPr>
          <w:szCs w:val="26"/>
        </w:rPr>
        <w:t>clawback</w:t>
      </w:r>
      <w:proofErr w:type="spellEnd"/>
      <w:r>
        <w:rPr>
          <w:szCs w:val="26"/>
        </w:rPr>
        <w:t xml:space="preserve"> charges occur.  The EGS would have options such as providing the customer a more affordable product or returning the customer to default service.  The reduction of the </w:t>
      </w:r>
      <w:proofErr w:type="spellStart"/>
      <w:r>
        <w:rPr>
          <w:szCs w:val="26"/>
        </w:rPr>
        <w:t>clawback</w:t>
      </w:r>
      <w:proofErr w:type="spellEnd"/>
      <w:r>
        <w:rPr>
          <w:szCs w:val="26"/>
        </w:rPr>
        <w:t xml:space="preserve"> charges would benefit not only the EGSs but customers as well.  Since an EGS with customers with arrears faces </w:t>
      </w:r>
      <w:proofErr w:type="spellStart"/>
      <w:r>
        <w:rPr>
          <w:szCs w:val="26"/>
        </w:rPr>
        <w:t>clawback</w:t>
      </w:r>
      <w:proofErr w:type="spellEnd"/>
      <w:r>
        <w:rPr>
          <w:szCs w:val="26"/>
        </w:rPr>
        <w:t xml:space="preserve"> charges, the EGS may make an effort to reduce its </w:t>
      </w:r>
      <w:proofErr w:type="spellStart"/>
      <w:r>
        <w:rPr>
          <w:szCs w:val="26"/>
        </w:rPr>
        <w:t>clawback</w:t>
      </w:r>
      <w:proofErr w:type="spellEnd"/>
      <w:r>
        <w:rPr>
          <w:szCs w:val="26"/>
        </w:rPr>
        <w:t xml:space="preserve"> charges and modify its programs, to reduce arrears and provide better products.  Accordingly, we shall deny the OCA</w:t>
      </w:r>
      <w:r w:rsidR="00E00225">
        <w:rPr>
          <w:szCs w:val="26"/>
        </w:rPr>
        <w:t>’</w:t>
      </w:r>
      <w:r>
        <w:rPr>
          <w:szCs w:val="26"/>
        </w:rPr>
        <w:t>s Exception No. 2.</w:t>
      </w:r>
    </w:p>
    <w:p w14:paraId="3AF013CD" w14:textId="2734732B" w:rsidR="00C50DDA" w:rsidRDefault="00C50DDA" w:rsidP="00F71658">
      <w:pPr>
        <w:spacing w:line="240" w:lineRule="auto"/>
        <w:ind w:left="1440" w:right="1440" w:firstLine="0"/>
        <w:rPr>
          <w:szCs w:val="26"/>
        </w:rPr>
      </w:pPr>
    </w:p>
    <w:p w14:paraId="22330E57" w14:textId="77777777" w:rsidR="00C50DDA" w:rsidRDefault="00C50DDA" w:rsidP="00CC0155">
      <w:pPr>
        <w:spacing w:line="240" w:lineRule="auto"/>
        <w:ind w:left="1440" w:right="1440" w:firstLine="0"/>
        <w:rPr>
          <w:szCs w:val="26"/>
        </w:rPr>
      </w:pPr>
    </w:p>
    <w:p w14:paraId="2E1CCC9C" w14:textId="594071D5" w:rsidR="00966C3D" w:rsidRDefault="00D10ADA" w:rsidP="00CC0155">
      <w:pPr>
        <w:ind w:firstLine="0"/>
        <w:rPr>
          <w:szCs w:val="26"/>
        </w:rPr>
      </w:pPr>
      <w:r w:rsidRPr="00CC006F">
        <w:rPr>
          <w:i/>
          <w:szCs w:val="26"/>
        </w:rPr>
        <w:t>Companies 2018 DSP Order</w:t>
      </w:r>
      <w:r>
        <w:rPr>
          <w:szCs w:val="26"/>
        </w:rPr>
        <w:t xml:space="preserve"> at 25-26.</w:t>
      </w:r>
    </w:p>
    <w:p w14:paraId="0331D05C" w14:textId="77777777" w:rsidR="00966C3D" w:rsidRDefault="00966C3D" w:rsidP="00CC0155">
      <w:pPr>
        <w:ind w:firstLine="0"/>
        <w:rPr>
          <w:szCs w:val="26"/>
        </w:rPr>
      </w:pPr>
    </w:p>
    <w:p w14:paraId="1B2DBD9C" w14:textId="185BDC30" w:rsidR="00A6517F" w:rsidRDefault="00A6517F" w:rsidP="00CC0155">
      <w:pPr>
        <w:rPr>
          <w:szCs w:val="26"/>
        </w:rPr>
      </w:pPr>
      <w:r>
        <w:rPr>
          <w:szCs w:val="26"/>
        </w:rPr>
        <w:t xml:space="preserve">Finally, we note that the DSP IV Settlement approved the </w:t>
      </w:r>
      <w:proofErr w:type="spellStart"/>
      <w:r>
        <w:rPr>
          <w:szCs w:val="26"/>
        </w:rPr>
        <w:t>clawback</w:t>
      </w:r>
      <w:proofErr w:type="spellEnd"/>
      <w:r>
        <w:rPr>
          <w:szCs w:val="26"/>
        </w:rPr>
        <w:t xml:space="preserve"> charge as a two-year pilot program.  As part of the pilot roll out, we encourage the Companies to work collaboratively with the affected EGSs to address the high uncollectible accounts for these EGSs.</w:t>
      </w:r>
    </w:p>
    <w:p w14:paraId="006C40E4" w14:textId="77777777" w:rsidR="00DE11D7" w:rsidRPr="00117CC1" w:rsidRDefault="00DE11D7" w:rsidP="00CC0155"/>
    <w:p w14:paraId="54022113" w14:textId="77777777" w:rsidR="00537D7F" w:rsidRPr="00117CC1" w:rsidRDefault="00767179" w:rsidP="00F71658">
      <w:pPr>
        <w:pStyle w:val="Heading1"/>
        <w:keepLines/>
      </w:pPr>
      <w:bookmarkStart w:id="6" w:name="_Toc415316194"/>
      <w:r w:rsidRPr="00117CC1">
        <w:t>IV.</w:t>
      </w:r>
      <w:r w:rsidRPr="00117CC1">
        <w:tab/>
      </w:r>
      <w:r w:rsidR="00537D7F" w:rsidRPr="00117CC1">
        <w:t>Conclusion</w:t>
      </w:r>
      <w:bookmarkEnd w:id="6"/>
    </w:p>
    <w:p w14:paraId="70BBC339" w14:textId="77777777" w:rsidR="00537D7F" w:rsidRPr="00117CC1" w:rsidRDefault="00537D7F" w:rsidP="00F71658">
      <w:pPr>
        <w:keepNext/>
        <w:keepLines/>
        <w:rPr>
          <w:rFonts w:eastAsia="Times New Roman"/>
          <w:color w:val="000000"/>
          <w:szCs w:val="26"/>
        </w:rPr>
      </w:pPr>
    </w:p>
    <w:p w14:paraId="6E3D4788" w14:textId="34D9A9C7" w:rsidR="00B53E8B" w:rsidRDefault="00412DF3" w:rsidP="00CC0155">
      <w:pPr>
        <w:tabs>
          <w:tab w:val="left" w:pos="-720"/>
        </w:tabs>
        <w:suppressAutoHyphens/>
        <w:rPr>
          <w:b/>
          <w:spacing w:val="-3"/>
          <w:szCs w:val="26"/>
        </w:rPr>
      </w:pPr>
      <w:r w:rsidRPr="00117CC1">
        <w:rPr>
          <w:spacing w:val="-3"/>
        </w:rPr>
        <w:t xml:space="preserve">Based on our </w:t>
      </w:r>
      <w:r w:rsidR="00357564" w:rsidRPr="00117CC1">
        <w:rPr>
          <w:spacing w:val="-3"/>
        </w:rPr>
        <w:t>review</w:t>
      </w:r>
      <w:r w:rsidRPr="00117CC1">
        <w:rPr>
          <w:spacing w:val="-3"/>
        </w:rPr>
        <w:t xml:space="preserve"> of</w:t>
      </w:r>
      <w:r w:rsidR="00357564" w:rsidRPr="00117CC1">
        <w:rPr>
          <w:spacing w:val="-3"/>
        </w:rPr>
        <w:t xml:space="preserve"> the record in thi</w:t>
      </w:r>
      <w:r w:rsidR="00AA5088" w:rsidRPr="00117CC1">
        <w:rPr>
          <w:spacing w:val="-3"/>
        </w:rPr>
        <w:t xml:space="preserve">s proceeding, </w:t>
      </w:r>
      <w:r w:rsidR="000D2151" w:rsidRPr="00117CC1">
        <w:rPr>
          <w:spacing w:val="-3"/>
        </w:rPr>
        <w:t>we sha</w:t>
      </w:r>
      <w:r w:rsidR="00C0329A" w:rsidRPr="00117CC1">
        <w:rPr>
          <w:spacing w:val="-3"/>
        </w:rPr>
        <w:t>ll</w:t>
      </w:r>
      <w:r w:rsidR="00F259B3">
        <w:rPr>
          <w:spacing w:val="-3"/>
        </w:rPr>
        <w:t xml:space="preserve"> </w:t>
      </w:r>
      <w:r w:rsidR="005632BF">
        <w:rPr>
          <w:spacing w:val="-3"/>
        </w:rPr>
        <w:t xml:space="preserve">deny </w:t>
      </w:r>
      <w:r w:rsidR="00C0329A" w:rsidRPr="00117CC1">
        <w:rPr>
          <w:spacing w:val="-3"/>
        </w:rPr>
        <w:t>the Exceptions filed by</w:t>
      </w:r>
      <w:r w:rsidR="00A95E0C">
        <w:rPr>
          <w:szCs w:val="26"/>
        </w:rPr>
        <w:t xml:space="preserve"> Respond</w:t>
      </w:r>
      <w:r w:rsidR="007A0630">
        <w:rPr>
          <w:szCs w:val="26"/>
        </w:rPr>
        <w:t xml:space="preserve"> and adopt the ALJ’s Initial Decision that dismisses Respond’s four Complaints, </w:t>
      </w:r>
      <w:r w:rsidR="00145D42">
        <w:rPr>
          <w:szCs w:val="26"/>
        </w:rPr>
        <w:t>consistent with the discussion in this Opinion and Order</w:t>
      </w:r>
      <w:r w:rsidR="007A0630">
        <w:rPr>
          <w:szCs w:val="26"/>
        </w:rPr>
        <w:t>;</w:t>
      </w:r>
      <w:r w:rsidR="00355FC7" w:rsidRPr="00117CC1">
        <w:t xml:space="preserve"> </w:t>
      </w:r>
      <w:r w:rsidR="00BE6ED3" w:rsidRPr="00117CC1">
        <w:rPr>
          <w:b/>
          <w:spacing w:val="-3"/>
          <w:szCs w:val="26"/>
        </w:rPr>
        <w:t>T</w:t>
      </w:r>
      <w:r w:rsidR="00357564" w:rsidRPr="00117CC1">
        <w:rPr>
          <w:b/>
          <w:spacing w:val="-3"/>
          <w:szCs w:val="26"/>
        </w:rPr>
        <w:t>HEREFORE</w:t>
      </w:r>
      <w:r w:rsidR="0036542B" w:rsidRPr="00117CC1">
        <w:rPr>
          <w:b/>
          <w:spacing w:val="-3"/>
          <w:szCs w:val="26"/>
        </w:rPr>
        <w:t>,</w:t>
      </w:r>
    </w:p>
    <w:p w14:paraId="6769C41E" w14:textId="77777777" w:rsidR="00C50DDA" w:rsidRDefault="00C50DDA" w:rsidP="00CC0155">
      <w:pPr>
        <w:tabs>
          <w:tab w:val="left" w:pos="-720"/>
        </w:tabs>
        <w:suppressAutoHyphens/>
        <w:rPr>
          <w:b/>
          <w:spacing w:val="-3"/>
          <w:szCs w:val="26"/>
        </w:rPr>
      </w:pPr>
    </w:p>
    <w:p w14:paraId="2E57B840" w14:textId="77777777" w:rsidR="00B53E8B" w:rsidRPr="00117CC1" w:rsidRDefault="0047221A" w:rsidP="00F71658">
      <w:pPr>
        <w:pStyle w:val="NoSpacing"/>
        <w:keepNext/>
        <w:keepLines/>
        <w:spacing w:line="360" w:lineRule="auto"/>
        <w:ind w:left="720" w:firstLine="720"/>
        <w:rPr>
          <w:b/>
          <w:color w:val="333333"/>
          <w:sz w:val="26"/>
          <w:szCs w:val="26"/>
        </w:rPr>
      </w:pPr>
      <w:r w:rsidRPr="00117CC1">
        <w:rPr>
          <w:b/>
          <w:color w:val="333333"/>
          <w:sz w:val="26"/>
          <w:szCs w:val="26"/>
        </w:rPr>
        <w:lastRenderedPageBreak/>
        <w:t xml:space="preserve">IT IS </w:t>
      </w:r>
      <w:r w:rsidR="00C57E0A" w:rsidRPr="00117CC1">
        <w:rPr>
          <w:b/>
          <w:color w:val="333333"/>
          <w:sz w:val="26"/>
          <w:szCs w:val="26"/>
        </w:rPr>
        <w:t>ORDERED</w:t>
      </w:r>
      <w:r w:rsidRPr="00117CC1">
        <w:rPr>
          <w:b/>
          <w:color w:val="333333"/>
          <w:sz w:val="26"/>
          <w:szCs w:val="26"/>
        </w:rPr>
        <w:t>:</w:t>
      </w:r>
    </w:p>
    <w:p w14:paraId="76442F89" w14:textId="77777777" w:rsidR="006F0CC8" w:rsidRPr="00117CC1" w:rsidRDefault="006F0CC8" w:rsidP="00F71658">
      <w:pPr>
        <w:pStyle w:val="NoSpacing"/>
        <w:keepNext/>
        <w:keepLines/>
        <w:spacing w:line="360" w:lineRule="auto"/>
        <w:ind w:left="720" w:firstLine="720"/>
        <w:rPr>
          <w:b/>
          <w:color w:val="333333"/>
          <w:sz w:val="26"/>
          <w:szCs w:val="26"/>
        </w:rPr>
      </w:pPr>
    </w:p>
    <w:p w14:paraId="30E09521" w14:textId="272F4960" w:rsidR="00C57E0A" w:rsidRPr="00117CC1" w:rsidRDefault="00E36112" w:rsidP="00CC0155">
      <w:pPr>
        <w:pStyle w:val="NoSpacing"/>
        <w:numPr>
          <w:ilvl w:val="0"/>
          <w:numId w:val="27"/>
        </w:numPr>
        <w:spacing w:line="360" w:lineRule="auto"/>
        <w:ind w:left="0" w:firstLine="1440"/>
        <w:rPr>
          <w:spacing w:val="-3"/>
          <w:sz w:val="26"/>
          <w:szCs w:val="26"/>
        </w:rPr>
      </w:pPr>
      <w:r w:rsidRPr="00117CC1">
        <w:rPr>
          <w:spacing w:val="-3"/>
          <w:sz w:val="26"/>
          <w:szCs w:val="26"/>
        </w:rPr>
        <w:t>That the Exceptions filed by</w:t>
      </w:r>
      <w:r w:rsidR="00F259B3">
        <w:rPr>
          <w:spacing w:val="-3"/>
          <w:sz w:val="26"/>
          <w:szCs w:val="26"/>
        </w:rPr>
        <w:t xml:space="preserve"> Respond Power, LLC</w:t>
      </w:r>
      <w:r w:rsidR="007A0630">
        <w:rPr>
          <w:spacing w:val="-3"/>
          <w:sz w:val="26"/>
          <w:szCs w:val="26"/>
        </w:rPr>
        <w:t>,</w:t>
      </w:r>
      <w:r w:rsidR="00AD0A8C" w:rsidRPr="00117CC1">
        <w:rPr>
          <w:sz w:val="26"/>
          <w:szCs w:val="26"/>
        </w:rPr>
        <w:t xml:space="preserve"> on</w:t>
      </w:r>
      <w:r w:rsidR="00F259B3">
        <w:rPr>
          <w:sz w:val="26"/>
          <w:szCs w:val="26"/>
        </w:rPr>
        <w:t xml:space="preserve"> May 10</w:t>
      </w:r>
      <w:r w:rsidR="00AD0A8C" w:rsidRPr="00117CC1">
        <w:rPr>
          <w:sz w:val="26"/>
          <w:szCs w:val="26"/>
        </w:rPr>
        <w:t>, 201</w:t>
      </w:r>
      <w:r w:rsidR="00F259B3">
        <w:rPr>
          <w:sz w:val="26"/>
          <w:szCs w:val="26"/>
        </w:rPr>
        <w:t>8</w:t>
      </w:r>
      <w:r w:rsidR="00AD0A8C" w:rsidRPr="00117CC1">
        <w:rPr>
          <w:sz w:val="26"/>
          <w:szCs w:val="26"/>
        </w:rPr>
        <w:t>,</w:t>
      </w:r>
      <w:r w:rsidR="00BD74DF" w:rsidRPr="00117CC1">
        <w:rPr>
          <w:sz w:val="26"/>
          <w:szCs w:val="26"/>
        </w:rPr>
        <w:t xml:space="preserve"> </w:t>
      </w:r>
      <w:r w:rsidR="00AD0A8C" w:rsidRPr="00117CC1">
        <w:rPr>
          <w:sz w:val="26"/>
          <w:szCs w:val="26"/>
        </w:rPr>
        <w:t xml:space="preserve">to the </w:t>
      </w:r>
      <w:r w:rsidR="00F259B3">
        <w:rPr>
          <w:sz w:val="26"/>
          <w:szCs w:val="26"/>
        </w:rPr>
        <w:t xml:space="preserve">Initial </w:t>
      </w:r>
      <w:r w:rsidR="00AD0A8C" w:rsidRPr="00117CC1">
        <w:rPr>
          <w:sz w:val="26"/>
          <w:szCs w:val="26"/>
        </w:rPr>
        <w:t xml:space="preserve">Decision Administrative Law Judge </w:t>
      </w:r>
      <w:r w:rsidR="00F259B3">
        <w:rPr>
          <w:sz w:val="26"/>
          <w:szCs w:val="26"/>
        </w:rPr>
        <w:t>David A. Salapa,</w:t>
      </w:r>
      <w:r w:rsidR="00450439" w:rsidRPr="00117CC1">
        <w:rPr>
          <w:sz w:val="26"/>
          <w:szCs w:val="26"/>
        </w:rPr>
        <w:t xml:space="preserve"> </w:t>
      </w:r>
      <w:r w:rsidR="00FA7B0E" w:rsidRPr="00DE4320">
        <w:rPr>
          <w:sz w:val="26"/>
          <w:szCs w:val="26"/>
        </w:rPr>
        <w:t>issued on April 20, 201</w:t>
      </w:r>
      <w:r w:rsidR="00FA7B0E">
        <w:rPr>
          <w:sz w:val="26"/>
          <w:szCs w:val="26"/>
        </w:rPr>
        <w:t>8</w:t>
      </w:r>
      <w:r w:rsidR="00FA7B0E" w:rsidRPr="00DE4320">
        <w:rPr>
          <w:sz w:val="26"/>
          <w:szCs w:val="26"/>
        </w:rPr>
        <w:t>,</w:t>
      </w:r>
      <w:r w:rsidR="00FA7B0E" w:rsidRPr="00F71658">
        <w:rPr>
          <w:spacing w:val="-3"/>
          <w:sz w:val="26"/>
        </w:rPr>
        <w:t xml:space="preserve"> </w:t>
      </w:r>
      <w:r w:rsidR="00C57E0A" w:rsidRPr="00117CC1">
        <w:rPr>
          <w:spacing w:val="-3"/>
          <w:sz w:val="26"/>
          <w:szCs w:val="26"/>
        </w:rPr>
        <w:t>are</w:t>
      </w:r>
      <w:r w:rsidR="00DE4320">
        <w:rPr>
          <w:spacing w:val="-3"/>
          <w:sz w:val="26"/>
          <w:szCs w:val="26"/>
        </w:rPr>
        <w:t xml:space="preserve"> denied</w:t>
      </w:r>
      <w:r w:rsidR="00F259B3">
        <w:rPr>
          <w:spacing w:val="-3"/>
          <w:sz w:val="26"/>
          <w:szCs w:val="26"/>
        </w:rPr>
        <w:t xml:space="preserve">, </w:t>
      </w:r>
      <w:r w:rsidR="00C5313B" w:rsidRPr="00117CC1">
        <w:rPr>
          <w:spacing w:val="-3"/>
          <w:sz w:val="26"/>
          <w:szCs w:val="26"/>
        </w:rPr>
        <w:t>consistent</w:t>
      </w:r>
      <w:r w:rsidR="00355FC7" w:rsidRPr="00117CC1">
        <w:rPr>
          <w:spacing w:val="-3"/>
          <w:sz w:val="26"/>
          <w:szCs w:val="26"/>
        </w:rPr>
        <w:t xml:space="preserve"> with this Opinion and Order</w:t>
      </w:r>
      <w:r w:rsidR="00992092" w:rsidRPr="00117CC1">
        <w:rPr>
          <w:spacing w:val="-3"/>
          <w:sz w:val="26"/>
          <w:szCs w:val="26"/>
        </w:rPr>
        <w:t>.</w:t>
      </w:r>
    </w:p>
    <w:p w14:paraId="32C5DE4B" w14:textId="77777777" w:rsidR="0001260B" w:rsidRPr="00117CC1" w:rsidRDefault="0001260B" w:rsidP="00CC0155">
      <w:pPr>
        <w:pStyle w:val="NoSpacing"/>
        <w:spacing w:line="360" w:lineRule="auto"/>
        <w:ind w:firstLine="1440"/>
        <w:rPr>
          <w:spacing w:val="-3"/>
          <w:sz w:val="26"/>
          <w:szCs w:val="26"/>
        </w:rPr>
      </w:pPr>
    </w:p>
    <w:p w14:paraId="3D620238" w14:textId="38197CC9" w:rsidR="00A6517F" w:rsidRDefault="00067490" w:rsidP="00CC0155">
      <w:pPr>
        <w:pStyle w:val="NoSpacing"/>
        <w:numPr>
          <w:ilvl w:val="0"/>
          <w:numId w:val="27"/>
        </w:numPr>
        <w:spacing w:line="360" w:lineRule="auto"/>
        <w:ind w:left="0" w:firstLine="1440"/>
        <w:rPr>
          <w:spacing w:val="-3"/>
          <w:sz w:val="26"/>
          <w:szCs w:val="26"/>
        </w:rPr>
      </w:pPr>
      <w:r w:rsidRPr="00DE4320">
        <w:rPr>
          <w:spacing w:val="-3"/>
          <w:sz w:val="26"/>
          <w:szCs w:val="26"/>
        </w:rPr>
        <w:t>That the</w:t>
      </w:r>
      <w:r w:rsidR="002453AD" w:rsidRPr="00DE4320">
        <w:rPr>
          <w:spacing w:val="-3"/>
          <w:sz w:val="26"/>
          <w:szCs w:val="26"/>
        </w:rPr>
        <w:t xml:space="preserve"> Initial</w:t>
      </w:r>
      <w:r w:rsidRPr="00DE4320">
        <w:rPr>
          <w:spacing w:val="-3"/>
          <w:sz w:val="26"/>
          <w:szCs w:val="26"/>
        </w:rPr>
        <w:t xml:space="preserve"> Decision of Administrative Law </w:t>
      </w:r>
      <w:r w:rsidR="00B3666D" w:rsidRPr="00DE4320">
        <w:rPr>
          <w:sz w:val="26"/>
          <w:szCs w:val="26"/>
        </w:rPr>
        <w:t>Judge</w:t>
      </w:r>
      <w:r w:rsidR="002453AD" w:rsidRPr="00DE4320">
        <w:rPr>
          <w:sz w:val="26"/>
          <w:szCs w:val="26"/>
        </w:rPr>
        <w:t xml:space="preserve"> David</w:t>
      </w:r>
      <w:r w:rsidR="00FA7B0E">
        <w:rPr>
          <w:sz w:val="26"/>
          <w:szCs w:val="26"/>
        </w:rPr>
        <w:t> </w:t>
      </w:r>
      <w:r w:rsidR="002453AD" w:rsidRPr="00DE4320">
        <w:rPr>
          <w:sz w:val="26"/>
          <w:szCs w:val="26"/>
        </w:rPr>
        <w:t>A.</w:t>
      </w:r>
      <w:r w:rsidR="00FA7B0E">
        <w:t> </w:t>
      </w:r>
      <w:r w:rsidR="002453AD" w:rsidRPr="00DE4320">
        <w:rPr>
          <w:sz w:val="26"/>
          <w:szCs w:val="26"/>
        </w:rPr>
        <w:t>Salapa</w:t>
      </w:r>
      <w:r w:rsidR="00450439" w:rsidRPr="00DE4320">
        <w:rPr>
          <w:sz w:val="26"/>
          <w:szCs w:val="26"/>
        </w:rPr>
        <w:t xml:space="preserve">, issued </w:t>
      </w:r>
      <w:r w:rsidR="00E36112" w:rsidRPr="00DE4320">
        <w:rPr>
          <w:sz w:val="26"/>
          <w:szCs w:val="26"/>
        </w:rPr>
        <w:t>on A</w:t>
      </w:r>
      <w:r w:rsidR="002453AD" w:rsidRPr="00DE4320">
        <w:rPr>
          <w:sz w:val="26"/>
          <w:szCs w:val="26"/>
        </w:rPr>
        <w:t>pril 20, 201</w:t>
      </w:r>
      <w:r w:rsidR="007A0630">
        <w:rPr>
          <w:sz w:val="26"/>
          <w:szCs w:val="26"/>
        </w:rPr>
        <w:t>8</w:t>
      </w:r>
      <w:r w:rsidR="00B3666D" w:rsidRPr="00DE4320">
        <w:rPr>
          <w:sz w:val="26"/>
          <w:szCs w:val="26"/>
        </w:rPr>
        <w:t>,</w:t>
      </w:r>
      <w:r w:rsidRPr="00DE4320">
        <w:rPr>
          <w:spacing w:val="-3"/>
          <w:sz w:val="26"/>
          <w:szCs w:val="26"/>
        </w:rPr>
        <w:t xml:space="preserve"> is</w:t>
      </w:r>
      <w:r w:rsidR="005632BF">
        <w:rPr>
          <w:spacing w:val="-3"/>
          <w:sz w:val="26"/>
          <w:szCs w:val="26"/>
        </w:rPr>
        <w:t xml:space="preserve"> adopted</w:t>
      </w:r>
      <w:r w:rsidRPr="00DE4320">
        <w:rPr>
          <w:spacing w:val="-3"/>
          <w:sz w:val="26"/>
          <w:szCs w:val="26"/>
        </w:rPr>
        <w:t>, consistent with this Opinion and Order.</w:t>
      </w:r>
    </w:p>
    <w:p w14:paraId="484E1711" w14:textId="77777777" w:rsidR="005632BF" w:rsidRDefault="005632BF" w:rsidP="00CC0155">
      <w:pPr>
        <w:pStyle w:val="ListParagraph"/>
        <w:rPr>
          <w:spacing w:val="-3"/>
          <w:sz w:val="26"/>
          <w:szCs w:val="26"/>
        </w:rPr>
      </w:pPr>
    </w:p>
    <w:p w14:paraId="13B534C1" w14:textId="44D50130" w:rsidR="005632BF" w:rsidRPr="00126750" w:rsidRDefault="005632BF" w:rsidP="00CC0155">
      <w:pPr>
        <w:pStyle w:val="NoSpacing"/>
        <w:numPr>
          <w:ilvl w:val="0"/>
          <w:numId w:val="27"/>
        </w:numPr>
        <w:spacing w:line="360" w:lineRule="auto"/>
        <w:ind w:left="0" w:firstLine="1440"/>
        <w:rPr>
          <w:spacing w:val="-3"/>
          <w:sz w:val="26"/>
          <w:szCs w:val="26"/>
        </w:rPr>
      </w:pPr>
      <w:r w:rsidRPr="005632BF">
        <w:rPr>
          <w:spacing w:val="-3"/>
          <w:sz w:val="26"/>
          <w:szCs w:val="26"/>
        </w:rPr>
        <w:t xml:space="preserve">That </w:t>
      </w:r>
      <w:r w:rsidRPr="005632BF">
        <w:rPr>
          <w:sz w:val="26"/>
          <w:szCs w:val="26"/>
        </w:rPr>
        <w:t xml:space="preserve">the </w:t>
      </w:r>
      <w:r>
        <w:rPr>
          <w:sz w:val="26"/>
          <w:szCs w:val="26"/>
        </w:rPr>
        <w:t>Formal C</w:t>
      </w:r>
      <w:r w:rsidRPr="005632BF">
        <w:rPr>
          <w:sz w:val="26"/>
          <w:szCs w:val="26"/>
        </w:rPr>
        <w:t>omplaints filed by Respond Power, LLC against Pennsylvania Electric Company and West Penn Power Company at Docket Nos. C-2016-2576287, C-2016-2576292, C-2017-2631326 and C-2017-2631331</w:t>
      </w:r>
      <w:r>
        <w:rPr>
          <w:sz w:val="26"/>
          <w:szCs w:val="26"/>
        </w:rPr>
        <w:t>,</w:t>
      </w:r>
      <w:r w:rsidRPr="005632BF">
        <w:rPr>
          <w:sz w:val="26"/>
          <w:szCs w:val="26"/>
        </w:rPr>
        <w:t xml:space="preserve"> are d</w:t>
      </w:r>
      <w:r w:rsidR="00FA7B0E">
        <w:rPr>
          <w:sz w:val="26"/>
          <w:szCs w:val="26"/>
        </w:rPr>
        <w:t>ismissed, consistent with this Opinion and Order</w:t>
      </w:r>
      <w:r w:rsidRPr="005632BF">
        <w:rPr>
          <w:sz w:val="26"/>
          <w:szCs w:val="26"/>
        </w:rPr>
        <w:t>.</w:t>
      </w:r>
    </w:p>
    <w:p w14:paraId="44595AAE" w14:textId="77777777" w:rsidR="00966C3D" w:rsidRPr="005632BF" w:rsidRDefault="00966C3D" w:rsidP="00CC0155">
      <w:pPr>
        <w:pStyle w:val="NoSpacing"/>
        <w:spacing w:line="360" w:lineRule="auto"/>
        <w:rPr>
          <w:spacing w:val="-3"/>
          <w:sz w:val="26"/>
          <w:szCs w:val="26"/>
        </w:rPr>
      </w:pPr>
    </w:p>
    <w:p w14:paraId="06FE174E" w14:textId="3A9B63EE" w:rsidR="00C854D7" w:rsidRPr="00117CC1" w:rsidRDefault="00613175" w:rsidP="00CC0155">
      <w:pPr>
        <w:pStyle w:val="NoSpacing"/>
        <w:numPr>
          <w:ilvl w:val="0"/>
          <w:numId w:val="27"/>
        </w:numPr>
        <w:spacing w:line="360" w:lineRule="auto"/>
        <w:ind w:left="0" w:firstLine="1440"/>
        <w:rPr>
          <w:spacing w:val="-3"/>
          <w:sz w:val="26"/>
          <w:szCs w:val="26"/>
        </w:rPr>
      </w:pPr>
      <w:r w:rsidRPr="00117CC1">
        <w:rPr>
          <w:spacing w:val="-3"/>
          <w:sz w:val="26"/>
          <w:szCs w:val="26"/>
        </w:rPr>
        <w:t>That</w:t>
      </w:r>
      <w:r w:rsidR="005632BF">
        <w:rPr>
          <w:spacing w:val="-3"/>
          <w:sz w:val="26"/>
          <w:szCs w:val="26"/>
        </w:rPr>
        <w:t xml:space="preserve"> </w:t>
      </w:r>
      <w:r w:rsidRPr="00117CC1">
        <w:rPr>
          <w:spacing w:val="-3"/>
          <w:sz w:val="26"/>
          <w:szCs w:val="26"/>
        </w:rPr>
        <w:t>th</w:t>
      </w:r>
      <w:r w:rsidR="0063195B" w:rsidRPr="00117CC1">
        <w:rPr>
          <w:spacing w:val="-3"/>
          <w:sz w:val="26"/>
          <w:szCs w:val="26"/>
        </w:rPr>
        <w:t xml:space="preserve">is </w:t>
      </w:r>
      <w:r w:rsidR="00A90901" w:rsidRPr="00117CC1">
        <w:rPr>
          <w:spacing w:val="-3"/>
          <w:sz w:val="26"/>
          <w:szCs w:val="26"/>
        </w:rPr>
        <w:t>proceeding</w:t>
      </w:r>
      <w:r w:rsidR="0063195B" w:rsidRPr="00117CC1">
        <w:rPr>
          <w:spacing w:val="-3"/>
          <w:sz w:val="26"/>
          <w:szCs w:val="26"/>
        </w:rPr>
        <w:t xml:space="preserve"> be marked closed.</w:t>
      </w:r>
    </w:p>
    <w:p w14:paraId="5CD0B7EB" w14:textId="77777777" w:rsidR="00B53E8B" w:rsidRPr="00117CC1" w:rsidRDefault="00B53E8B" w:rsidP="00CC0155">
      <w:pPr>
        <w:pStyle w:val="NoSpacing"/>
        <w:spacing w:line="360" w:lineRule="auto"/>
        <w:ind w:firstLine="1440"/>
        <w:rPr>
          <w:b/>
          <w:spacing w:val="-3"/>
          <w:sz w:val="26"/>
          <w:szCs w:val="26"/>
        </w:rPr>
      </w:pPr>
    </w:p>
    <w:p w14:paraId="4E2C8F22" w14:textId="1667C2BF" w:rsidR="006345BA" w:rsidRPr="00117CC1" w:rsidRDefault="00B42C00" w:rsidP="00CC0155">
      <w:pPr>
        <w:pStyle w:val="ListParagraph"/>
        <w:spacing w:line="360" w:lineRule="auto"/>
        <w:ind w:left="0" w:firstLine="0"/>
        <w:rPr>
          <w:b/>
          <w:spacing w:val="-3"/>
          <w:sz w:val="26"/>
          <w:szCs w:val="26"/>
        </w:rPr>
      </w:pPr>
      <w:bookmarkStart w:id="7" w:name="_GoBack"/>
      <w:r w:rsidRPr="009F01BA">
        <w:rPr>
          <w:b/>
          <w:noProof/>
          <w:sz w:val="20"/>
          <w:szCs w:val="20"/>
        </w:rPr>
        <w:drawing>
          <wp:anchor distT="0" distB="0" distL="114300" distR="114300" simplePos="0" relativeHeight="251659264" behindDoc="1" locked="0" layoutInCell="1" allowOverlap="1" wp14:anchorId="0FED2341" wp14:editId="491BBF51">
            <wp:simplePos x="0" y="0"/>
            <wp:positionH relativeFrom="column">
              <wp:posOffset>2895600</wp:posOffset>
            </wp:positionH>
            <wp:positionV relativeFrom="paragraph">
              <wp:posOffset>226695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t>BY THE COMMISSION,</w:t>
      </w:r>
    </w:p>
    <w:p w14:paraId="1E7BE03F" w14:textId="5B32443F" w:rsidR="007C1AE9" w:rsidRPr="00117CC1" w:rsidRDefault="007C1AE9" w:rsidP="00CC0155">
      <w:pPr>
        <w:tabs>
          <w:tab w:val="left" w:pos="-720"/>
        </w:tabs>
        <w:suppressAutoHyphens/>
        <w:spacing w:line="240" w:lineRule="auto"/>
        <w:ind w:firstLine="0"/>
        <w:rPr>
          <w:spacing w:val="-3"/>
          <w:szCs w:val="26"/>
        </w:rPr>
      </w:pPr>
    </w:p>
    <w:p w14:paraId="1156A303" w14:textId="2C355E19" w:rsidR="000A0EBD" w:rsidRPr="00117CC1" w:rsidRDefault="00B42C00" w:rsidP="00B42C00">
      <w:pPr>
        <w:tabs>
          <w:tab w:val="left" w:pos="-720"/>
          <w:tab w:val="left" w:pos="5730"/>
        </w:tabs>
        <w:suppressAutoHyphens/>
        <w:spacing w:line="240" w:lineRule="auto"/>
        <w:ind w:firstLine="0"/>
        <w:rPr>
          <w:spacing w:val="-3"/>
          <w:szCs w:val="26"/>
        </w:rPr>
      </w:pPr>
      <w:r>
        <w:rPr>
          <w:spacing w:val="-3"/>
          <w:szCs w:val="26"/>
        </w:rPr>
        <w:tab/>
      </w:r>
    </w:p>
    <w:p w14:paraId="43B86090" w14:textId="77777777" w:rsidR="000A0EBD" w:rsidRPr="00117CC1" w:rsidRDefault="000A0EBD" w:rsidP="00CC0155">
      <w:pPr>
        <w:tabs>
          <w:tab w:val="left" w:pos="-720"/>
        </w:tabs>
        <w:suppressAutoHyphens/>
        <w:spacing w:line="240" w:lineRule="auto"/>
        <w:ind w:firstLine="0"/>
        <w:rPr>
          <w:spacing w:val="-3"/>
          <w:szCs w:val="26"/>
        </w:rPr>
      </w:pPr>
    </w:p>
    <w:p w14:paraId="135D502D" w14:textId="77777777" w:rsidR="000A0EBD" w:rsidRPr="00117CC1" w:rsidRDefault="000A0EBD" w:rsidP="00CC0155">
      <w:pPr>
        <w:tabs>
          <w:tab w:val="left" w:pos="-720"/>
        </w:tabs>
        <w:suppressAutoHyphens/>
        <w:spacing w:line="240" w:lineRule="auto"/>
        <w:ind w:firstLine="0"/>
        <w:rPr>
          <w:spacing w:val="-3"/>
          <w:szCs w:val="26"/>
        </w:rPr>
      </w:pPr>
    </w:p>
    <w:p w14:paraId="7DD99C58" w14:textId="77777777" w:rsidR="006345BA" w:rsidRPr="00117CC1" w:rsidRDefault="006345BA" w:rsidP="00CC0155">
      <w:pPr>
        <w:tabs>
          <w:tab w:val="left" w:pos="-720"/>
        </w:tabs>
        <w:suppressAutoHyphens/>
        <w:spacing w:line="240" w:lineRule="auto"/>
        <w:ind w:firstLine="0"/>
        <w:rPr>
          <w:spacing w:val="-3"/>
          <w:szCs w:val="26"/>
        </w:rPr>
      </w:pP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t>Rosemary Chiavetta</w:t>
      </w:r>
    </w:p>
    <w:p w14:paraId="204FDF8C" w14:textId="77777777" w:rsidR="006345BA" w:rsidRPr="00117CC1" w:rsidRDefault="006345BA" w:rsidP="00CC0155">
      <w:pPr>
        <w:tabs>
          <w:tab w:val="left" w:pos="-720"/>
        </w:tabs>
        <w:suppressAutoHyphens/>
        <w:spacing w:line="240" w:lineRule="auto"/>
        <w:ind w:firstLine="0"/>
        <w:rPr>
          <w:spacing w:val="-3"/>
          <w:szCs w:val="26"/>
        </w:rPr>
      </w:pP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t>Secretary</w:t>
      </w:r>
    </w:p>
    <w:p w14:paraId="333FAFD6" w14:textId="77777777" w:rsidR="000A0EBD" w:rsidRPr="00117CC1" w:rsidRDefault="000A0EBD" w:rsidP="00CC0155">
      <w:pPr>
        <w:tabs>
          <w:tab w:val="left" w:pos="-720"/>
        </w:tabs>
        <w:suppressAutoHyphens/>
        <w:spacing w:line="240" w:lineRule="auto"/>
        <w:ind w:firstLine="0"/>
        <w:rPr>
          <w:spacing w:val="-3"/>
          <w:szCs w:val="26"/>
        </w:rPr>
      </w:pPr>
    </w:p>
    <w:p w14:paraId="2D498481" w14:textId="77777777" w:rsidR="006345BA" w:rsidRPr="00117CC1" w:rsidRDefault="006345BA" w:rsidP="00CC0155">
      <w:pPr>
        <w:pStyle w:val="BodyText3"/>
        <w:tabs>
          <w:tab w:val="left" w:pos="-720"/>
        </w:tabs>
        <w:suppressAutoHyphens/>
        <w:ind w:firstLine="0"/>
        <w:rPr>
          <w:spacing w:val="-3"/>
        </w:rPr>
      </w:pPr>
      <w:r w:rsidRPr="00117CC1">
        <w:rPr>
          <w:spacing w:val="-3"/>
        </w:rPr>
        <w:t>(SEAL)</w:t>
      </w:r>
    </w:p>
    <w:p w14:paraId="786D0195" w14:textId="77777777" w:rsidR="000A0EBD" w:rsidRPr="00117CC1" w:rsidRDefault="000A0EBD" w:rsidP="00CC0155">
      <w:pPr>
        <w:pStyle w:val="BodyText3"/>
        <w:tabs>
          <w:tab w:val="left" w:pos="-720"/>
        </w:tabs>
        <w:suppressAutoHyphens/>
        <w:ind w:firstLine="0"/>
        <w:rPr>
          <w:spacing w:val="-3"/>
        </w:rPr>
      </w:pPr>
    </w:p>
    <w:p w14:paraId="08E29E3A" w14:textId="7D176180" w:rsidR="006345BA" w:rsidRDefault="006345BA" w:rsidP="00CC0155">
      <w:pPr>
        <w:tabs>
          <w:tab w:val="left" w:pos="-720"/>
        </w:tabs>
        <w:suppressAutoHyphens/>
        <w:ind w:firstLine="0"/>
        <w:rPr>
          <w:spacing w:val="-3"/>
          <w:szCs w:val="26"/>
        </w:rPr>
      </w:pPr>
      <w:r w:rsidRPr="00117CC1">
        <w:rPr>
          <w:spacing w:val="-3"/>
          <w:szCs w:val="26"/>
        </w:rPr>
        <w:t xml:space="preserve">ORDER ADOPTED:  </w:t>
      </w:r>
      <w:r w:rsidR="00E256A7">
        <w:rPr>
          <w:spacing w:val="-3"/>
          <w:szCs w:val="26"/>
        </w:rPr>
        <w:t>June 1</w:t>
      </w:r>
      <w:r w:rsidR="000A7827">
        <w:rPr>
          <w:spacing w:val="-3"/>
          <w:szCs w:val="26"/>
        </w:rPr>
        <w:t>3</w:t>
      </w:r>
      <w:r w:rsidR="003B7D6A" w:rsidRPr="00117CC1">
        <w:rPr>
          <w:spacing w:val="-3"/>
          <w:szCs w:val="26"/>
        </w:rPr>
        <w:t>, 201</w:t>
      </w:r>
      <w:r w:rsidR="000A7827">
        <w:rPr>
          <w:spacing w:val="-3"/>
          <w:szCs w:val="26"/>
        </w:rPr>
        <w:t>9</w:t>
      </w:r>
    </w:p>
    <w:p w14:paraId="78DCDC87" w14:textId="72CA2CE9" w:rsidR="00DC4297" w:rsidRPr="00117CC1" w:rsidRDefault="006345BA" w:rsidP="00CC0155">
      <w:pPr>
        <w:pStyle w:val="BodyText3"/>
        <w:tabs>
          <w:tab w:val="left" w:pos="-720"/>
        </w:tabs>
        <w:suppressAutoHyphens/>
        <w:ind w:firstLine="0"/>
        <w:rPr>
          <w:spacing w:val="-3"/>
        </w:rPr>
      </w:pPr>
      <w:r w:rsidRPr="00117CC1">
        <w:rPr>
          <w:spacing w:val="-3"/>
        </w:rPr>
        <w:t>ORDER ENTERED:</w:t>
      </w:r>
      <w:r w:rsidR="008E312F" w:rsidRPr="00117CC1">
        <w:rPr>
          <w:spacing w:val="-3"/>
        </w:rPr>
        <w:t xml:space="preserve">  </w:t>
      </w:r>
      <w:r w:rsidR="00B42C00">
        <w:rPr>
          <w:spacing w:val="-3"/>
        </w:rPr>
        <w:t>June 13, 2019</w:t>
      </w:r>
    </w:p>
    <w:p w14:paraId="4C050F7E" w14:textId="77777777" w:rsidR="003C7AC9" w:rsidRPr="00117CC1" w:rsidRDefault="003C7AC9" w:rsidP="00CC0155">
      <w:pPr>
        <w:pStyle w:val="BodyText3"/>
        <w:tabs>
          <w:tab w:val="left" w:pos="-720"/>
        </w:tabs>
        <w:suppressAutoHyphens/>
        <w:rPr>
          <w:spacing w:val="-3"/>
        </w:rPr>
      </w:pPr>
    </w:p>
    <w:sectPr w:rsidR="003C7AC9" w:rsidRPr="00117CC1" w:rsidSect="003E673A">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4F088" w14:textId="77777777" w:rsidR="00636CD1" w:rsidRDefault="00636CD1" w:rsidP="00DD03CC">
      <w:pPr>
        <w:spacing w:line="240" w:lineRule="auto"/>
      </w:pPr>
      <w:r>
        <w:separator/>
      </w:r>
    </w:p>
  </w:endnote>
  <w:endnote w:type="continuationSeparator" w:id="0">
    <w:p w14:paraId="40453836" w14:textId="77777777" w:rsidR="00636CD1" w:rsidRDefault="00636CD1" w:rsidP="00DD03CC">
      <w:pPr>
        <w:spacing w:line="240" w:lineRule="auto"/>
      </w:pPr>
      <w:r>
        <w:continuationSeparator/>
      </w:r>
    </w:p>
  </w:endnote>
  <w:endnote w:type="continuationNotice" w:id="1">
    <w:p w14:paraId="63ACFC25" w14:textId="77777777" w:rsidR="00636CD1" w:rsidRDefault="00636C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824988"/>
      <w:docPartObj>
        <w:docPartGallery w:val="Page Numbers (Bottom of Page)"/>
        <w:docPartUnique/>
      </w:docPartObj>
    </w:sdtPr>
    <w:sdtEndPr>
      <w:rPr>
        <w:noProof/>
      </w:rPr>
    </w:sdtEndPr>
    <w:sdtContent>
      <w:p w14:paraId="10FF9D7F" w14:textId="77777777" w:rsidR="00F71658" w:rsidRPr="003A682F" w:rsidRDefault="00F71658" w:rsidP="008E0495">
        <w:pPr>
          <w:pStyle w:val="Footer"/>
          <w:ind w:firstLine="0"/>
          <w:jc w:val="center"/>
        </w:pPr>
        <w:r w:rsidRPr="003A682F">
          <w:rPr>
            <w:szCs w:val="26"/>
          </w:rPr>
          <w:fldChar w:fldCharType="begin"/>
        </w:r>
        <w:r w:rsidRPr="003A682F">
          <w:rPr>
            <w:szCs w:val="26"/>
          </w:rPr>
          <w:instrText xml:space="preserve"> PAGE   \* MERGEFORMAT </w:instrText>
        </w:r>
        <w:r w:rsidRPr="003A682F">
          <w:rPr>
            <w:szCs w:val="26"/>
          </w:rPr>
          <w:fldChar w:fldCharType="separate"/>
        </w:r>
        <w:r>
          <w:rPr>
            <w:noProof/>
            <w:szCs w:val="26"/>
          </w:rPr>
          <w:t>70</w:t>
        </w:r>
        <w:r w:rsidRPr="003A682F">
          <w:rPr>
            <w:noProof/>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75E09" w14:textId="77777777" w:rsidR="00F71658" w:rsidRDefault="00F71658">
    <w:pPr>
      <w:pStyle w:val="Footer"/>
      <w:jc w:val="center"/>
    </w:pPr>
  </w:p>
  <w:p w14:paraId="502F67CB" w14:textId="77777777" w:rsidR="00F71658" w:rsidRDefault="00F71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FFDB6" w14:textId="77777777" w:rsidR="00636CD1" w:rsidRDefault="00636CD1" w:rsidP="00F71658">
      <w:pPr>
        <w:spacing w:line="240" w:lineRule="auto"/>
        <w:ind w:firstLine="0"/>
      </w:pPr>
      <w:r>
        <w:separator/>
      </w:r>
    </w:p>
  </w:footnote>
  <w:footnote w:type="continuationSeparator" w:id="0">
    <w:p w14:paraId="515CBA5C" w14:textId="77777777" w:rsidR="00636CD1" w:rsidRDefault="00636CD1" w:rsidP="00DD03CC">
      <w:pPr>
        <w:spacing w:line="240" w:lineRule="auto"/>
      </w:pPr>
      <w:r>
        <w:continuationSeparator/>
      </w:r>
    </w:p>
  </w:footnote>
  <w:footnote w:type="continuationNotice" w:id="1">
    <w:p w14:paraId="0458658D" w14:textId="77777777" w:rsidR="00636CD1" w:rsidRDefault="00636CD1">
      <w:pPr>
        <w:spacing w:line="240" w:lineRule="auto"/>
      </w:pPr>
    </w:p>
  </w:footnote>
  <w:footnote w:id="2">
    <w:p w14:paraId="2D89AC3A" w14:textId="2C888AFA" w:rsidR="00F71658" w:rsidRPr="002D0D1B" w:rsidRDefault="00F71658" w:rsidP="00F71658">
      <w:pPr>
        <w:pStyle w:val="FootnoteText"/>
        <w:keepNext/>
        <w:keepLines/>
        <w:spacing w:after="120"/>
        <w:ind w:firstLine="720"/>
        <w:rPr>
          <w:sz w:val="26"/>
          <w:szCs w:val="26"/>
        </w:rPr>
      </w:pPr>
      <w:r w:rsidRPr="002D0D1B">
        <w:rPr>
          <w:rStyle w:val="FootnoteReference"/>
          <w:sz w:val="26"/>
          <w:szCs w:val="26"/>
        </w:rPr>
        <w:footnoteRef/>
      </w:r>
      <w:r w:rsidRPr="002D0D1B">
        <w:rPr>
          <w:sz w:val="26"/>
          <w:szCs w:val="26"/>
        </w:rPr>
        <w:tab/>
        <w:t>POR programs set</w:t>
      </w:r>
      <w:r>
        <w:rPr>
          <w:sz w:val="26"/>
          <w:szCs w:val="26"/>
        </w:rPr>
        <w:t xml:space="preserve"> </w:t>
      </w:r>
      <w:r w:rsidRPr="002D0D1B">
        <w:rPr>
          <w:sz w:val="26"/>
          <w:szCs w:val="26"/>
        </w:rPr>
        <w:t>forth the parameters under which the electric distribution company (EDC) bills and collects the charges (receivables) due to a participating electric generation services (EGS)</w:t>
      </w:r>
      <w:r>
        <w:rPr>
          <w:sz w:val="26"/>
          <w:szCs w:val="26"/>
        </w:rPr>
        <w:t xml:space="preserve"> company</w:t>
      </w:r>
      <w:r w:rsidRPr="002D0D1B">
        <w:rPr>
          <w:sz w:val="26"/>
          <w:szCs w:val="26"/>
        </w:rPr>
        <w:t xml:space="preserve"> that </w:t>
      </w:r>
      <w:r>
        <w:rPr>
          <w:sz w:val="26"/>
          <w:szCs w:val="26"/>
        </w:rPr>
        <w:t>provides</w:t>
      </w:r>
      <w:r w:rsidRPr="002D0D1B">
        <w:rPr>
          <w:sz w:val="26"/>
          <w:szCs w:val="26"/>
        </w:rPr>
        <w:t xml:space="preserve"> the end-user customer with generation service and where the customer has opted to receive a single consolidated bill from the EDC for both energy and </w:t>
      </w:r>
      <w:r>
        <w:rPr>
          <w:sz w:val="26"/>
          <w:szCs w:val="26"/>
        </w:rPr>
        <w:t xml:space="preserve">generation </w:t>
      </w:r>
      <w:r w:rsidRPr="002D0D1B">
        <w:rPr>
          <w:sz w:val="26"/>
          <w:szCs w:val="26"/>
        </w:rPr>
        <w:t xml:space="preserve">services.  </w:t>
      </w:r>
      <w:r>
        <w:rPr>
          <w:sz w:val="26"/>
          <w:szCs w:val="26"/>
        </w:rPr>
        <w:t xml:space="preserve">These programs typically involve residential and small commercial customers.  </w:t>
      </w:r>
      <w:r>
        <w:rPr>
          <w:i/>
          <w:sz w:val="26"/>
          <w:szCs w:val="26"/>
        </w:rPr>
        <w:t xml:space="preserve">See </w:t>
      </w:r>
      <w:r w:rsidRPr="002D0D1B">
        <w:rPr>
          <w:sz w:val="26"/>
          <w:szCs w:val="26"/>
        </w:rPr>
        <w:t>Respond St. 1 at 3.</w:t>
      </w:r>
      <w:r>
        <w:rPr>
          <w:sz w:val="26"/>
          <w:szCs w:val="26"/>
        </w:rPr>
        <w:t xml:space="preserve">  The Companies’ POR programs entail purchasing accounts receivable from participating EGSs at a zero-discount rate at which the Companies pay the face value of the accounts receivable without recourse to the EGS regardless of what the Companies are actually able to collect from customers.  Companies St. 1 at 19.</w:t>
      </w:r>
    </w:p>
  </w:footnote>
  <w:footnote w:id="3">
    <w:p w14:paraId="2D3940E4" w14:textId="0D4852E5" w:rsidR="00F71658" w:rsidRPr="00247B9D" w:rsidRDefault="00F71658" w:rsidP="00F71658">
      <w:pPr>
        <w:pStyle w:val="FootnoteText"/>
        <w:keepNext/>
        <w:keepLines/>
        <w:spacing w:after="120"/>
        <w:ind w:firstLine="720"/>
        <w:rPr>
          <w:sz w:val="26"/>
          <w:szCs w:val="26"/>
        </w:rPr>
      </w:pPr>
      <w:r w:rsidRPr="00247B9D">
        <w:rPr>
          <w:rStyle w:val="FootnoteReference"/>
          <w:sz w:val="26"/>
          <w:szCs w:val="26"/>
        </w:rPr>
        <w:footnoteRef/>
      </w:r>
      <w:r w:rsidRPr="00247B9D">
        <w:rPr>
          <w:sz w:val="26"/>
          <w:szCs w:val="26"/>
        </w:rPr>
        <w:tab/>
        <w:t>Penelec invoiced Respond in the amount of $305,890.63</w:t>
      </w:r>
      <w:r>
        <w:rPr>
          <w:sz w:val="26"/>
          <w:szCs w:val="26"/>
        </w:rPr>
        <w:t>,</w:t>
      </w:r>
      <w:r w:rsidRPr="00247B9D">
        <w:rPr>
          <w:sz w:val="26"/>
          <w:szCs w:val="26"/>
        </w:rPr>
        <w:t xml:space="preserve"> while West Penn invoiced Respond in the amount of $178,907.06. </w:t>
      </w:r>
    </w:p>
  </w:footnote>
  <w:footnote w:id="4">
    <w:p w14:paraId="79F53D96" w14:textId="74D4F6EC" w:rsidR="00F71658" w:rsidRDefault="00F71658" w:rsidP="00F71658">
      <w:pPr>
        <w:keepNext/>
        <w:keepLines/>
        <w:spacing w:after="120" w:line="240" w:lineRule="auto"/>
        <w:ind w:firstLine="720"/>
      </w:pPr>
      <w:r>
        <w:rPr>
          <w:rStyle w:val="FootnoteReference"/>
        </w:rPr>
        <w:footnoteRef/>
      </w:r>
      <w:r>
        <w:tab/>
      </w:r>
      <w:r w:rsidRPr="00C5644C">
        <w:rPr>
          <w:i/>
          <w:szCs w:val="26"/>
        </w:rPr>
        <w:t>Petition of Metropolitan Edison Company, Pennsylvania Electric Company, Pennsylvania Power Company and West Penn Power Company for Approval of a Default Service Program for the Period Beginning June 1, 2017 through May 31, 2019,</w:t>
      </w:r>
      <w:r w:rsidRPr="00C5644C">
        <w:rPr>
          <w:szCs w:val="26"/>
        </w:rPr>
        <w:t xml:space="preserve"> Docket Nos. P-2015-2511333, P-2015-2511351, P-2015-2511355 and P-2015-2511356 (Order entered May 19, 2016)</w:t>
      </w:r>
      <w:r w:rsidRPr="004164D0">
        <w:rPr>
          <w:i/>
          <w:szCs w:val="26"/>
        </w:rPr>
        <w:t xml:space="preserve"> (Default Service Order)</w:t>
      </w:r>
      <w:r w:rsidRPr="00C5644C">
        <w:rPr>
          <w:szCs w:val="26"/>
        </w:rPr>
        <w:t>.</w:t>
      </w:r>
    </w:p>
  </w:footnote>
  <w:footnote w:id="5">
    <w:p w14:paraId="3324EE51" w14:textId="387E4943" w:rsidR="00F71658" w:rsidRDefault="00F71658" w:rsidP="00F71658">
      <w:pPr>
        <w:keepNext/>
        <w:keepLines/>
        <w:autoSpaceDE w:val="0"/>
        <w:autoSpaceDN w:val="0"/>
        <w:adjustRightInd w:val="0"/>
        <w:spacing w:after="120" w:line="240" w:lineRule="auto"/>
        <w:ind w:firstLine="720"/>
      </w:pPr>
      <w:r>
        <w:rPr>
          <w:rStyle w:val="FootnoteReference"/>
        </w:rPr>
        <w:footnoteRef/>
      </w:r>
      <w:r>
        <w:tab/>
        <w:t>“</w:t>
      </w:r>
      <w:r w:rsidRPr="00AA63B2">
        <w:rPr>
          <w:szCs w:val="26"/>
        </w:rPr>
        <w:t>Write-offs</w:t>
      </w:r>
      <w:r>
        <w:rPr>
          <w:szCs w:val="26"/>
        </w:rPr>
        <w:t>”</w:t>
      </w:r>
      <w:r w:rsidRPr="00AA63B2">
        <w:rPr>
          <w:szCs w:val="26"/>
        </w:rPr>
        <w:t xml:space="preserve"> are customer accounts receivable balances that become delinquent due to non-payment and are </w:t>
      </w:r>
      <w:r>
        <w:rPr>
          <w:szCs w:val="26"/>
        </w:rPr>
        <w:t>‘</w:t>
      </w:r>
      <w:r w:rsidRPr="00AA63B2">
        <w:rPr>
          <w:szCs w:val="26"/>
        </w:rPr>
        <w:t>written off</w:t>
      </w:r>
      <w:r>
        <w:rPr>
          <w:szCs w:val="26"/>
        </w:rPr>
        <w:t>’</w:t>
      </w:r>
      <w:r w:rsidRPr="00AA63B2">
        <w:rPr>
          <w:szCs w:val="26"/>
        </w:rPr>
        <w:t xml:space="preserve"> </w:t>
      </w:r>
      <w:r>
        <w:rPr>
          <w:szCs w:val="26"/>
        </w:rPr>
        <w:t>the Companies’</w:t>
      </w:r>
      <w:r w:rsidRPr="00AA63B2">
        <w:rPr>
          <w:szCs w:val="26"/>
        </w:rPr>
        <w:t xml:space="preserve"> books approximately 182 days after</w:t>
      </w:r>
      <w:r>
        <w:rPr>
          <w:szCs w:val="26"/>
        </w:rPr>
        <w:t xml:space="preserve"> the </w:t>
      </w:r>
      <w:r w:rsidRPr="00AA63B2">
        <w:rPr>
          <w:szCs w:val="26"/>
        </w:rPr>
        <w:t>final bil</w:t>
      </w:r>
      <w:r>
        <w:rPr>
          <w:szCs w:val="26"/>
        </w:rPr>
        <w:t>l is sent to the customer</w:t>
      </w:r>
      <w:r w:rsidRPr="00AA63B2">
        <w:rPr>
          <w:szCs w:val="26"/>
        </w:rPr>
        <w:t>.</w:t>
      </w:r>
      <w:r>
        <w:rPr>
          <w:szCs w:val="26"/>
        </w:rPr>
        <w:t xml:space="preserve">  Finding of Fact No. 30, </w:t>
      </w:r>
      <w:r>
        <w:rPr>
          <w:i/>
          <w:szCs w:val="26"/>
        </w:rPr>
        <w:t>infra</w:t>
      </w:r>
      <w:r>
        <w:rPr>
          <w:szCs w:val="26"/>
        </w:rPr>
        <w:t>;</w:t>
      </w:r>
      <w:r>
        <w:rPr>
          <w:i/>
          <w:szCs w:val="26"/>
        </w:rPr>
        <w:t xml:space="preserve"> </w:t>
      </w:r>
      <w:r>
        <w:rPr>
          <w:szCs w:val="26"/>
        </w:rPr>
        <w:t>Companies</w:t>
      </w:r>
      <w:r w:rsidRPr="00AA63B2">
        <w:rPr>
          <w:szCs w:val="26"/>
        </w:rPr>
        <w:t xml:space="preserve"> St. 1</w:t>
      </w:r>
      <w:r>
        <w:rPr>
          <w:szCs w:val="26"/>
        </w:rPr>
        <w:t xml:space="preserve"> at </w:t>
      </w:r>
      <w:r w:rsidRPr="00AA63B2">
        <w:rPr>
          <w:szCs w:val="26"/>
        </w:rPr>
        <w:t>18.</w:t>
      </w:r>
    </w:p>
  </w:footnote>
  <w:footnote w:id="6">
    <w:p w14:paraId="39E86E6B" w14:textId="5FCD54DF" w:rsidR="00F71658" w:rsidRPr="00FC3006" w:rsidRDefault="00F71658" w:rsidP="00F71658">
      <w:pPr>
        <w:pStyle w:val="FootnoteText"/>
        <w:keepNext/>
        <w:keepLines/>
        <w:spacing w:after="120"/>
        <w:ind w:firstLine="720"/>
        <w:rPr>
          <w:sz w:val="26"/>
          <w:szCs w:val="26"/>
        </w:rPr>
      </w:pPr>
      <w:r w:rsidRPr="00FC3006">
        <w:rPr>
          <w:rStyle w:val="FootnoteReference"/>
          <w:sz w:val="26"/>
          <w:szCs w:val="26"/>
        </w:rPr>
        <w:footnoteRef/>
      </w:r>
      <w:r w:rsidRPr="00FC3006">
        <w:rPr>
          <w:sz w:val="26"/>
          <w:szCs w:val="26"/>
        </w:rPr>
        <w:tab/>
        <w:t xml:space="preserve">Penelec assessed </w:t>
      </w:r>
      <w:r>
        <w:rPr>
          <w:sz w:val="26"/>
          <w:szCs w:val="26"/>
        </w:rPr>
        <w:t xml:space="preserve">and invoiced </w:t>
      </w:r>
      <w:r w:rsidRPr="00FC3006">
        <w:rPr>
          <w:sz w:val="26"/>
          <w:szCs w:val="26"/>
        </w:rPr>
        <w:t xml:space="preserve">clawback charges against Respond in the amount of $142,973.13 and West Penn assessed </w:t>
      </w:r>
      <w:r>
        <w:rPr>
          <w:sz w:val="26"/>
          <w:szCs w:val="26"/>
        </w:rPr>
        <w:t xml:space="preserve">and invoiced </w:t>
      </w:r>
      <w:r w:rsidRPr="00FC3006">
        <w:rPr>
          <w:sz w:val="26"/>
          <w:szCs w:val="26"/>
        </w:rPr>
        <w:t xml:space="preserve">clawback charges against Respond in the amount of $68,039.41.  </w:t>
      </w:r>
      <w:r>
        <w:rPr>
          <w:sz w:val="26"/>
          <w:szCs w:val="26"/>
        </w:rPr>
        <w:t>Respond Exhibit AS-9; Respond St. 1-Supp. at 7.</w:t>
      </w:r>
    </w:p>
  </w:footnote>
  <w:footnote w:id="7">
    <w:p w14:paraId="42C566CB" w14:textId="578AFF9F" w:rsidR="00F71658" w:rsidRPr="00607E64" w:rsidRDefault="00F71658" w:rsidP="00F71658">
      <w:pPr>
        <w:pStyle w:val="FootnoteText"/>
        <w:keepNext/>
        <w:keepLines/>
        <w:spacing w:after="120"/>
        <w:ind w:firstLine="720"/>
        <w:rPr>
          <w:sz w:val="26"/>
          <w:szCs w:val="26"/>
        </w:rPr>
      </w:pPr>
      <w:r w:rsidRPr="00607E64">
        <w:rPr>
          <w:rStyle w:val="FootnoteReference"/>
          <w:sz w:val="26"/>
          <w:szCs w:val="26"/>
        </w:rPr>
        <w:footnoteRef/>
      </w:r>
      <w:r w:rsidRPr="00607E64">
        <w:rPr>
          <w:sz w:val="26"/>
          <w:szCs w:val="26"/>
        </w:rPr>
        <w:tab/>
      </w:r>
      <w:r>
        <w:rPr>
          <w:i/>
          <w:iCs/>
          <w:sz w:val="26"/>
          <w:szCs w:val="26"/>
        </w:rPr>
        <w:t xml:space="preserve">See, </w:t>
      </w:r>
      <w:r w:rsidRPr="00607E64">
        <w:rPr>
          <w:i/>
          <w:sz w:val="26"/>
          <w:szCs w:val="26"/>
        </w:rPr>
        <w:t>License Application of Respond Power LLC for Approval to Offer, Render, Furnish or Supply Electricity or Electric Generation Services as a Supplier of Retail Electric Power,</w:t>
      </w:r>
      <w:r w:rsidRPr="00607E64">
        <w:rPr>
          <w:sz w:val="26"/>
          <w:szCs w:val="26"/>
        </w:rPr>
        <w:t xml:space="preserve"> Docket No. A-2010-2163898 (Order entered August 19, 2010).</w:t>
      </w:r>
    </w:p>
  </w:footnote>
  <w:footnote w:id="8">
    <w:p w14:paraId="16A09C16" w14:textId="0A7D528D" w:rsidR="00F71658" w:rsidRPr="00155FA8" w:rsidRDefault="00F71658" w:rsidP="00F71658">
      <w:pPr>
        <w:pStyle w:val="FootnoteText"/>
        <w:keepNext/>
        <w:keepLines/>
        <w:spacing w:after="120"/>
        <w:ind w:firstLine="720"/>
        <w:rPr>
          <w:sz w:val="26"/>
          <w:szCs w:val="26"/>
        </w:rPr>
      </w:pPr>
      <w:r w:rsidRPr="00155FA8">
        <w:rPr>
          <w:rStyle w:val="FootnoteReference"/>
          <w:sz w:val="26"/>
          <w:szCs w:val="26"/>
        </w:rPr>
        <w:footnoteRef/>
      </w:r>
      <w:r w:rsidRPr="00155FA8">
        <w:rPr>
          <w:sz w:val="26"/>
          <w:szCs w:val="26"/>
        </w:rPr>
        <w:tab/>
        <w:t xml:space="preserve">A Joint Petition for Settlement approving, among other things, modified </w:t>
      </w:r>
      <w:r w:rsidRPr="00155FA8">
        <w:rPr>
          <w:sz w:val="26"/>
          <w:szCs w:val="26"/>
        </w:rPr>
        <w:t>clawback provisions as a two-year pilot</w:t>
      </w:r>
      <w:r>
        <w:rPr>
          <w:sz w:val="26"/>
          <w:szCs w:val="26"/>
        </w:rPr>
        <w:t>,</w:t>
      </w:r>
      <w:r w:rsidRPr="00155FA8">
        <w:rPr>
          <w:sz w:val="26"/>
          <w:szCs w:val="26"/>
        </w:rPr>
        <w:t xml:space="preserve"> was filed by the parties on </w:t>
      </w:r>
      <w:r w:rsidRPr="00E41838">
        <w:rPr>
          <w:sz w:val="26"/>
          <w:szCs w:val="26"/>
        </w:rPr>
        <w:t>April 1, 2016</w:t>
      </w:r>
      <w:r w:rsidRPr="00155FA8">
        <w:rPr>
          <w:sz w:val="26"/>
          <w:szCs w:val="26"/>
        </w:rPr>
        <w:t xml:space="preserve"> (DSP IV Settlement). </w:t>
      </w:r>
      <w:r>
        <w:rPr>
          <w:sz w:val="26"/>
          <w:szCs w:val="26"/>
        </w:rPr>
        <w:t xml:space="preserve">  Tr. at 28.</w:t>
      </w:r>
    </w:p>
  </w:footnote>
  <w:footnote w:id="9">
    <w:p w14:paraId="18141CE5" w14:textId="6EC748F1" w:rsidR="00F71658" w:rsidRPr="00EF749C" w:rsidRDefault="00F71658" w:rsidP="00F71658">
      <w:pPr>
        <w:pStyle w:val="FootnoteText"/>
        <w:keepNext/>
        <w:keepLines/>
        <w:spacing w:after="120"/>
        <w:ind w:firstLine="720"/>
        <w:rPr>
          <w:sz w:val="26"/>
          <w:szCs w:val="26"/>
        </w:rPr>
      </w:pPr>
      <w:r w:rsidRPr="00EF749C">
        <w:rPr>
          <w:rStyle w:val="FootnoteReference"/>
          <w:sz w:val="26"/>
          <w:szCs w:val="26"/>
        </w:rPr>
        <w:footnoteRef/>
      </w:r>
      <w:r w:rsidRPr="00EF749C">
        <w:rPr>
          <w:sz w:val="26"/>
          <w:szCs w:val="26"/>
        </w:rPr>
        <w:tab/>
      </w:r>
      <w:r w:rsidRPr="00D05A61">
        <w:rPr>
          <w:i/>
          <w:sz w:val="26"/>
          <w:szCs w:val="26"/>
        </w:rPr>
        <w:t>See,</w:t>
      </w:r>
      <w:r>
        <w:rPr>
          <w:sz w:val="26"/>
          <w:szCs w:val="26"/>
        </w:rPr>
        <w:t xml:space="preserve"> </w:t>
      </w:r>
      <w:r w:rsidRPr="00E41838">
        <w:rPr>
          <w:i/>
          <w:sz w:val="26"/>
          <w:szCs w:val="26"/>
        </w:rPr>
        <w:t>e.g</w:t>
      </w:r>
      <w:r>
        <w:rPr>
          <w:sz w:val="26"/>
          <w:szCs w:val="26"/>
        </w:rPr>
        <w:t xml:space="preserve">., </w:t>
      </w:r>
      <w:r w:rsidRPr="00EF749C">
        <w:rPr>
          <w:i/>
          <w:sz w:val="26"/>
          <w:szCs w:val="26"/>
        </w:rPr>
        <w:t>St. Andrew</w:t>
      </w:r>
      <w:r>
        <w:rPr>
          <w:i/>
          <w:sz w:val="26"/>
          <w:szCs w:val="26"/>
        </w:rPr>
        <w:t>’</w:t>
      </w:r>
      <w:r w:rsidRPr="00EF749C">
        <w:rPr>
          <w:i/>
          <w:sz w:val="26"/>
          <w:szCs w:val="26"/>
        </w:rPr>
        <w:t>s Church v. Pennsylvania-American Water Co.,</w:t>
      </w:r>
      <w:r w:rsidRPr="00EF749C">
        <w:rPr>
          <w:sz w:val="26"/>
          <w:szCs w:val="26"/>
        </w:rPr>
        <w:t xml:space="preserve"> Docket No. C-2009-2139206 (Final Order entered December 2, 2010) (monthly meter charge); </w:t>
      </w:r>
      <w:r w:rsidRPr="00EF749C">
        <w:rPr>
          <w:i/>
          <w:sz w:val="26"/>
          <w:szCs w:val="26"/>
        </w:rPr>
        <w:t>Rollock Company v. Pennsylvania Electric Co.,</w:t>
      </w:r>
      <w:r w:rsidRPr="00EF749C">
        <w:rPr>
          <w:sz w:val="26"/>
          <w:szCs w:val="26"/>
        </w:rPr>
        <w:t xml:space="preserve"> Docket No. C-2014-2425842 (Final Order entered May 20, 2015) (hourly pricing service charge).</w:t>
      </w:r>
    </w:p>
  </w:footnote>
  <w:footnote w:id="10">
    <w:p w14:paraId="56A53BD5" w14:textId="18A6F22C" w:rsidR="00F71658" w:rsidRPr="00A17956" w:rsidRDefault="00F71658" w:rsidP="00F71658">
      <w:pPr>
        <w:pStyle w:val="FootnoteText"/>
        <w:keepNext/>
        <w:keepLines/>
        <w:spacing w:after="120"/>
        <w:ind w:firstLine="720"/>
        <w:rPr>
          <w:sz w:val="26"/>
          <w:szCs w:val="26"/>
        </w:rPr>
      </w:pPr>
      <w:r w:rsidRPr="00A17956">
        <w:rPr>
          <w:rStyle w:val="FootnoteReference"/>
          <w:sz w:val="26"/>
          <w:szCs w:val="26"/>
        </w:rPr>
        <w:footnoteRef/>
      </w:r>
      <w:r w:rsidRPr="00A17956">
        <w:rPr>
          <w:sz w:val="26"/>
          <w:szCs w:val="26"/>
        </w:rPr>
        <w:tab/>
        <w:t xml:space="preserve">I.D. at 25, citing, </w:t>
      </w:r>
      <w:r w:rsidRPr="00A17956">
        <w:rPr>
          <w:i/>
          <w:sz w:val="26"/>
          <w:szCs w:val="26"/>
        </w:rPr>
        <w:t>Bell Atl. Tel. Co. v. Pa. PUC,</w:t>
      </w:r>
      <w:r w:rsidRPr="00A17956">
        <w:rPr>
          <w:sz w:val="26"/>
          <w:szCs w:val="26"/>
        </w:rPr>
        <w:t xml:space="preserve"> 672 A.2d 352 (Pa. </w:t>
      </w:r>
      <w:r w:rsidRPr="00A17956">
        <w:rPr>
          <w:sz w:val="26"/>
          <w:szCs w:val="26"/>
        </w:rPr>
        <w:t xml:space="preserve">Cmwlth. 1995); </w:t>
      </w:r>
      <w:r w:rsidRPr="00A17956">
        <w:rPr>
          <w:i/>
          <w:sz w:val="26"/>
          <w:szCs w:val="26"/>
        </w:rPr>
        <w:t>Pennsylvania Trout v. Pa. DEP,</w:t>
      </w:r>
      <w:r w:rsidRPr="00A17956">
        <w:rPr>
          <w:sz w:val="26"/>
          <w:szCs w:val="26"/>
        </w:rPr>
        <w:t xml:space="preserve"> 863 A.2d 93 (Pa. Cmwlth 2004); </w:t>
      </w:r>
      <w:r w:rsidRPr="00A17956">
        <w:rPr>
          <w:i/>
          <w:sz w:val="26"/>
          <w:szCs w:val="26"/>
        </w:rPr>
        <w:t>Crawford v. National Fuel Gas Distribution Co.,</w:t>
      </w:r>
      <w:r w:rsidRPr="00A17956">
        <w:rPr>
          <w:sz w:val="26"/>
          <w:szCs w:val="26"/>
        </w:rPr>
        <w:t xml:space="preserve"> Docket No. C-20066348 (Opinion and Order entered December 6, 2007).</w:t>
      </w:r>
    </w:p>
  </w:footnote>
  <w:footnote w:id="11">
    <w:p w14:paraId="1BF54587" w14:textId="57A536F5" w:rsidR="00F71658" w:rsidRPr="009B5BAD" w:rsidRDefault="00F71658" w:rsidP="00F71658">
      <w:pPr>
        <w:pStyle w:val="FootnoteText"/>
        <w:keepNext/>
        <w:keepLines/>
        <w:spacing w:after="120"/>
        <w:ind w:firstLine="720"/>
        <w:rPr>
          <w:sz w:val="26"/>
          <w:szCs w:val="26"/>
        </w:rPr>
      </w:pPr>
      <w:r w:rsidRPr="009B5BAD">
        <w:rPr>
          <w:rStyle w:val="FootnoteReference"/>
          <w:sz w:val="26"/>
          <w:szCs w:val="26"/>
        </w:rPr>
        <w:footnoteRef/>
      </w:r>
      <w:r w:rsidRPr="009B5BAD">
        <w:rPr>
          <w:sz w:val="26"/>
          <w:szCs w:val="26"/>
        </w:rPr>
        <w:tab/>
      </w:r>
      <w:r w:rsidRPr="0011768B">
        <w:rPr>
          <w:i/>
          <w:sz w:val="26"/>
          <w:szCs w:val="26"/>
        </w:rPr>
        <w:t>See,</w:t>
      </w:r>
      <w:r>
        <w:rPr>
          <w:sz w:val="26"/>
          <w:szCs w:val="26"/>
        </w:rPr>
        <w:t xml:space="preserve"> </w:t>
      </w:r>
      <w:r w:rsidRPr="009B5BAD">
        <w:rPr>
          <w:i/>
          <w:sz w:val="26"/>
          <w:szCs w:val="26"/>
        </w:rPr>
        <w:t>Salahuddin v. Metropolitan Edison Co.,</w:t>
      </w:r>
      <w:r w:rsidRPr="009B5BAD">
        <w:rPr>
          <w:sz w:val="26"/>
          <w:szCs w:val="26"/>
        </w:rPr>
        <w:t xml:space="preserve"> Docket Nos. P-2015-2504703 and F-2015-2463441 (Opinion and Order entered March 17, 2016).</w:t>
      </w:r>
    </w:p>
  </w:footnote>
  <w:footnote w:id="12">
    <w:p w14:paraId="2B5FB5D7" w14:textId="783A3EF3" w:rsidR="00F71658" w:rsidRDefault="00F71658" w:rsidP="00F71658">
      <w:pPr>
        <w:pStyle w:val="FootnoteText"/>
        <w:keepNext/>
        <w:keepLines/>
        <w:spacing w:after="120"/>
        <w:ind w:firstLine="720"/>
        <w:rPr>
          <w:sz w:val="26"/>
          <w:szCs w:val="26"/>
        </w:rPr>
      </w:pPr>
      <w:r w:rsidRPr="009556E7">
        <w:rPr>
          <w:rStyle w:val="FootnoteReference"/>
          <w:sz w:val="26"/>
          <w:szCs w:val="26"/>
        </w:rPr>
        <w:footnoteRef/>
      </w:r>
      <w:r w:rsidRPr="009556E7">
        <w:rPr>
          <w:sz w:val="26"/>
          <w:szCs w:val="26"/>
        </w:rPr>
        <w:tab/>
        <w:t>The ALJ noted that 66 Pa C.S. § 102 defines</w:t>
      </w:r>
      <w:r>
        <w:rPr>
          <w:sz w:val="26"/>
          <w:szCs w:val="26"/>
        </w:rPr>
        <w:t xml:space="preserve"> a rate </w:t>
      </w:r>
      <w:r w:rsidRPr="009556E7">
        <w:rPr>
          <w:sz w:val="26"/>
          <w:szCs w:val="26"/>
        </w:rPr>
        <w:t>as follows:</w:t>
      </w:r>
    </w:p>
    <w:p w14:paraId="2A634FF1" w14:textId="250B215C" w:rsidR="00F71658" w:rsidRPr="009556E7" w:rsidRDefault="00F71658" w:rsidP="00F71658">
      <w:pPr>
        <w:pStyle w:val="FootnoteText"/>
        <w:keepNext/>
        <w:keepLines/>
        <w:spacing w:after="120"/>
        <w:ind w:left="1440" w:right="1440" w:firstLine="0"/>
        <w:rPr>
          <w:sz w:val="26"/>
          <w:szCs w:val="26"/>
        </w:rPr>
      </w:pPr>
      <w:r>
        <w:rPr>
          <w:b/>
          <w:bCs/>
          <w:sz w:val="26"/>
          <w:szCs w:val="26"/>
        </w:rPr>
        <w:t>“</w:t>
      </w:r>
      <w:r w:rsidRPr="00B53F0E">
        <w:rPr>
          <w:b/>
          <w:bCs/>
          <w:sz w:val="26"/>
          <w:szCs w:val="26"/>
        </w:rPr>
        <w:t>Rate.</w:t>
      </w:r>
      <w:r>
        <w:rPr>
          <w:b/>
          <w:bCs/>
          <w:sz w:val="26"/>
          <w:szCs w:val="26"/>
        </w:rPr>
        <w:t>”</w:t>
      </w:r>
      <w:r w:rsidRPr="00B53F0E">
        <w:rPr>
          <w:b/>
          <w:bCs/>
          <w:sz w:val="26"/>
          <w:szCs w:val="26"/>
        </w:rPr>
        <w:t xml:space="preserve"> </w:t>
      </w:r>
      <w:r w:rsidRPr="00B53F0E">
        <w:rPr>
          <w:sz w:val="26"/>
          <w:szCs w:val="26"/>
        </w:rPr>
        <w:t>Every individual, or joint fare, toll, charge, rental, or other compensation whatsoever of any public utility, or contract carrier by motor vehicle, made, demanded, or received for any service within this part, offered, rendered, or furnished by such public utility, or contract carrier by motor vehicle, whether in currency, legal tender, or evidence thereof, in kind, in services or in any other medium or manner whatsoever, and whether received directly or indirectly, and any rules, regulations, practices, classifications or contracts affecting any such compensation, charge, fare, toll, or rental</w:t>
      </w:r>
      <w:r w:rsidRPr="009556E7">
        <w:rPr>
          <w:sz w:val="26"/>
          <w:szCs w:val="26"/>
        </w:rPr>
        <w:t>.</w:t>
      </w:r>
    </w:p>
  </w:footnote>
  <w:footnote w:id="13">
    <w:p w14:paraId="3EFE8AC5" w14:textId="370B9F36" w:rsidR="00F71658" w:rsidRPr="009556E7" w:rsidRDefault="00F71658" w:rsidP="00F71658">
      <w:pPr>
        <w:pStyle w:val="FootnoteText"/>
        <w:keepNext/>
        <w:keepLines/>
        <w:spacing w:after="120"/>
        <w:ind w:firstLine="720"/>
        <w:rPr>
          <w:sz w:val="26"/>
          <w:szCs w:val="26"/>
        </w:rPr>
      </w:pPr>
      <w:r w:rsidRPr="009556E7">
        <w:rPr>
          <w:rStyle w:val="FootnoteReference"/>
          <w:sz w:val="26"/>
          <w:szCs w:val="26"/>
        </w:rPr>
        <w:footnoteRef/>
      </w:r>
      <w:r w:rsidRPr="009556E7">
        <w:rPr>
          <w:sz w:val="26"/>
          <w:szCs w:val="26"/>
        </w:rPr>
        <w:tab/>
        <w:t>The ALJ noted that 66 Pa C.S. § 102 defines tariff as follows:</w:t>
      </w:r>
    </w:p>
    <w:p w14:paraId="1C1D9B88" w14:textId="7C6A0E02" w:rsidR="00F71658" w:rsidRPr="009556E7" w:rsidRDefault="00F71658" w:rsidP="00F71658">
      <w:pPr>
        <w:pStyle w:val="FootnoteText"/>
        <w:keepNext/>
        <w:keepLines/>
        <w:spacing w:after="120"/>
        <w:ind w:left="1440" w:right="1440" w:firstLine="0"/>
        <w:rPr>
          <w:sz w:val="26"/>
          <w:szCs w:val="26"/>
        </w:rPr>
      </w:pPr>
      <w:r>
        <w:rPr>
          <w:b/>
          <w:bCs/>
          <w:sz w:val="26"/>
          <w:szCs w:val="26"/>
        </w:rPr>
        <w:t>“</w:t>
      </w:r>
      <w:r w:rsidRPr="009556E7">
        <w:rPr>
          <w:b/>
          <w:bCs/>
          <w:sz w:val="26"/>
          <w:szCs w:val="26"/>
        </w:rPr>
        <w:t>Tariff.</w:t>
      </w:r>
      <w:r>
        <w:rPr>
          <w:b/>
          <w:bCs/>
          <w:sz w:val="26"/>
          <w:szCs w:val="26"/>
        </w:rPr>
        <w:t>”</w:t>
      </w:r>
      <w:r w:rsidRPr="009556E7">
        <w:rPr>
          <w:b/>
          <w:bCs/>
          <w:sz w:val="26"/>
          <w:szCs w:val="26"/>
        </w:rPr>
        <w:t xml:space="preserve"> </w:t>
      </w:r>
      <w:r w:rsidRPr="009556E7">
        <w:rPr>
          <w:sz w:val="26"/>
          <w:szCs w:val="26"/>
        </w:rPr>
        <w:t>All schedules of rates, all rules, regulations, practices, or contracts involving any rate or rates, including contracts for interchange of service, and, in the case of a common carrier, schedules showing the method of distribution of the facilities of such common carrier.</w:t>
      </w:r>
    </w:p>
  </w:footnote>
  <w:footnote w:id="14">
    <w:p w14:paraId="6FA9A255" w14:textId="0BA85213" w:rsidR="00F71658" w:rsidRPr="005A4DE0" w:rsidRDefault="00F71658" w:rsidP="00F71658">
      <w:pPr>
        <w:pStyle w:val="FootnoteText"/>
        <w:keepNext/>
        <w:keepLines/>
        <w:spacing w:after="120"/>
        <w:ind w:firstLine="720"/>
        <w:rPr>
          <w:sz w:val="26"/>
          <w:szCs w:val="26"/>
        </w:rPr>
      </w:pPr>
      <w:r w:rsidRPr="00FA3D84">
        <w:rPr>
          <w:rStyle w:val="FootnoteReference"/>
          <w:sz w:val="26"/>
          <w:szCs w:val="26"/>
        </w:rPr>
        <w:footnoteRef/>
      </w:r>
      <w:r w:rsidRPr="00FA3D84">
        <w:rPr>
          <w:sz w:val="26"/>
          <w:szCs w:val="26"/>
        </w:rPr>
        <w:tab/>
      </w:r>
      <w:r w:rsidRPr="003E2AFF">
        <w:rPr>
          <w:i/>
          <w:sz w:val="26"/>
          <w:szCs w:val="26"/>
        </w:rPr>
        <w:t>See,</w:t>
      </w:r>
      <w:r>
        <w:rPr>
          <w:sz w:val="26"/>
          <w:szCs w:val="26"/>
        </w:rPr>
        <w:t xml:space="preserve"> I.D. at 28, citing </w:t>
      </w:r>
      <w:r w:rsidRPr="00FA3D84">
        <w:rPr>
          <w:i/>
          <w:sz w:val="26"/>
          <w:szCs w:val="26"/>
        </w:rPr>
        <w:t>Zucker v. Pa. PUC,</w:t>
      </w:r>
      <w:r w:rsidRPr="00FA3D84">
        <w:rPr>
          <w:sz w:val="26"/>
          <w:szCs w:val="26"/>
        </w:rPr>
        <w:t xml:space="preserve"> 437 A.2d 1067 (Pa. </w:t>
      </w:r>
      <w:r w:rsidRPr="00FA3D84">
        <w:rPr>
          <w:sz w:val="26"/>
          <w:szCs w:val="26"/>
        </w:rPr>
        <w:t>Cmwlth. 1981)</w:t>
      </w:r>
      <w:r>
        <w:rPr>
          <w:sz w:val="26"/>
          <w:szCs w:val="26"/>
        </w:rPr>
        <w:t xml:space="preserve">; </w:t>
      </w:r>
      <w:r w:rsidRPr="005A4DE0">
        <w:rPr>
          <w:i/>
          <w:sz w:val="26"/>
          <w:szCs w:val="26"/>
        </w:rPr>
        <w:t>PPL Electric Utilities Corp. v. Pa. PUC,</w:t>
      </w:r>
      <w:r w:rsidRPr="005A4DE0">
        <w:rPr>
          <w:sz w:val="26"/>
          <w:szCs w:val="26"/>
        </w:rPr>
        <w:t xml:space="preserve"> 912 A.2d 386 (Pa. Cmwlth. 2006)</w:t>
      </w:r>
      <w:r>
        <w:rPr>
          <w:sz w:val="26"/>
          <w:szCs w:val="26"/>
        </w:rPr>
        <w:t xml:space="preserve">; </w:t>
      </w:r>
      <w:r w:rsidRPr="005A4DE0">
        <w:rPr>
          <w:i/>
          <w:sz w:val="26"/>
          <w:szCs w:val="26"/>
        </w:rPr>
        <w:t>Philadelphia Suburban Water Co. v. Pa. PUC,</w:t>
      </w:r>
      <w:r w:rsidRPr="005A4DE0">
        <w:rPr>
          <w:sz w:val="26"/>
          <w:szCs w:val="26"/>
        </w:rPr>
        <w:t xml:space="preserve"> 808 A.2d 1044 (Pa. Cmwlth. 2002)</w:t>
      </w:r>
      <w:r>
        <w:rPr>
          <w:sz w:val="26"/>
          <w:szCs w:val="26"/>
        </w:rPr>
        <w:t xml:space="preserve">; </w:t>
      </w:r>
      <w:r w:rsidRPr="005A4DE0">
        <w:rPr>
          <w:i/>
          <w:sz w:val="26"/>
          <w:szCs w:val="26"/>
        </w:rPr>
        <w:t>Pennsylvania Electric Co. v. Pa. PUC,</w:t>
      </w:r>
      <w:r w:rsidRPr="005A4DE0">
        <w:rPr>
          <w:sz w:val="26"/>
          <w:szCs w:val="26"/>
        </w:rPr>
        <w:t xml:space="preserve"> 663 A.2d 281 (Pa. Cmwlth. 1995)</w:t>
      </w:r>
      <w:r>
        <w:rPr>
          <w:sz w:val="26"/>
          <w:szCs w:val="26"/>
        </w:rPr>
        <w:t xml:space="preserve">; </w:t>
      </w:r>
      <w:r w:rsidRPr="005A4DE0">
        <w:rPr>
          <w:i/>
          <w:sz w:val="26"/>
          <w:szCs w:val="26"/>
        </w:rPr>
        <w:t>Philadelphia Suburban Water Co. v. Pa. PUC,</w:t>
      </w:r>
      <w:r w:rsidRPr="005A4DE0">
        <w:rPr>
          <w:sz w:val="26"/>
          <w:szCs w:val="26"/>
        </w:rPr>
        <w:t xml:space="preserve"> 808 A.2d 1044 (Pa. Cmwlth. 2002).</w:t>
      </w:r>
    </w:p>
  </w:footnote>
  <w:footnote w:id="15">
    <w:p w14:paraId="59C57909" w14:textId="53615361" w:rsidR="00F71658" w:rsidRDefault="00F71658" w:rsidP="00F71658">
      <w:pPr>
        <w:keepNext/>
        <w:keepLines/>
        <w:spacing w:after="120" w:line="240" w:lineRule="auto"/>
        <w:ind w:firstLine="720"/>
      </w:pPr>
      <w:r>
        <w:rPr>
          <w:rStyle w:val="FootnoteReference"/>
        </w:rPr>
        <w:footnoteRef/>
      </w:r>
      <w:r>
        <w:tab/>
      </w:r>
      <w:r>
        <w:rPr>
          <w:szCs w:val="26"/>
        </w:rPr>
        <w:t xml:space="preserve">Pursuant to the two prongs approved in the </w:t>
      </w:r>
      <w:r w:rsidRPr="00A90997">
        <w:rPr>
          <w:i/>
          <w:szCs w:val="26"/>
        </w:rPr>
        <w:t>Default Service Order</w:t>
      </w:r>
      <w:r>
        <w:rPr>
          <w:szCs w:val="26"/>
        </w:rPr>
        <w:t>, the Companies calculated individual write-off percentages and average EGS write-off percentages.  They then calculated an average generation rate for each EGS and compared it to the PTC.  I.D. at 29.</w:t>
      </w:r>
    </w:p>
  </w:footnote>
  <w:footnote w:id="16">
    <w:p w14:paraId="78CE965B" w14:textId="3C962B62" w:rsidR="00F71658" w:rsidRPr="004203BF" w:rsidRDefault="00F71658" w:rsidP="00F71658">
      <w:pPr>
        <w:pStyle w:val="FootnoteText"/>
        <w:keepNext/>
        <w:keepLines/>
        <w:spacing w:after="120"/>
        <w:ind w:firstLine="720"/>
        <w:rPr>
          <w:sz w:val="26"/>
          <w:szCs w:val="26"/>
        </w:rPr>
      </w:pPr>
      <w:r w:rsidRPr="004203BF">
        <w:rPr>
          <w:rStyle w:val="FootnoteReference"/>
          <w:sz w:val="26"/>
          <w:szCs w:val="26"/>
        </w:rPr>
        <w:footnoteRef/>
      </w:r>
      <w:r w:rsidRPr="004203BF">
        <w:rPr>
          <w:sz w:val="26"/>
          <w:szCs w:val="26"/>
        </w:rPr>
        <w:tab/>
        <w:t xml:space="preserve">According to the Companies, the November 4, 2015 issue of </w:t>
      </w:r>
      <w:r w:rsidRPr="003E4952">
        <w:rPr>
          <w:i/>
          <w:sz w:val="26"/>
          <w:szCs w:val="26"/>
        </w:rPr>
        <w:t>Energy Choice Matters,</w:t>
      </w:r>
      <w:r w:rsidRPr="004203BF">
        <w:rPr>
          <w:sz w:val="26"/>
          <w:szCs w:val="26"/>
        </w:rPr>
        <w:t xml:space="preserve"> which was disseminated one day after the Companies filed their DSP IV Petition</w:t>
      </w:r>
      <w:r>
        <w:rPr>
          <w:sz w:val="26"/>
          <w:szCs w:val="26"/>
        </w:rPr>
        <w:t>s</w:t>
      </w:r>
      <w:r w:rsidRPr="004203BF">
        <w:rPr>
          <w:sz w:val="26"/>
          <w:szCs w:val="26"/>
        </w:rPr>
        <w:t xml:space="preserve"> had a bolded headline </w:t>
      </w:r>
      <w:r>
        <w:rPr>
          <w:b/>
          <w:i/>
          <w:sz w:val="26"/>
          <w:szCs w:val="26"/>
        </w:rPr>
        <w:t>“</w:t>
      </w:r>
      <w:r w:rsidRPr="000138BB">
        <w:rPr>
          <w:b/>
          <w:i/>
          <w:sz w:val="26"/>
          <w:szCs w:val="26"/>
        </w:rPr>
        <w:t xml:space="preserve">Pennsylvania Utilities Seek to Add </w:t>
      </w:r>
      <w:r>
        <w:rPr>
          <w:b/>
          <w:i/>
          <w:sz w:val="26"/>
          <w:szCs w:val="26"/>
        </w:rPr>
        <w:t>‘</w:t>
      </w:r>
      <w:r w:rsidRPr="000138BB">
        <w:rPr>
          <w:b/>
          <w:i/>
          <w:sz w:val="26"/>
          <w:szCs w:val="26"/>
        </w:rPr>
        <w:t>Clawback</w:t>
      </w:r>
      <w:r>
        <w:rPr>
          <w:b/>
          <w:i/>
          <w:sz w:val="26"/>
          <w:szCs w:val="26"/>
        </w:rPr>
        <w:t>’</w:t>
      </w:r>
      <w:r w:rsidRPr="000138BB">
        <w:rPr>
          <w:b/>
          <w:i/>
          <w:sz w:val="26"/>
          <w:szCs w:val="26"/>
        </w:rPr>
        <w:t xml:space="preserve"> to Purchase of Receivables, Cite </w:t>
      </w:r>
      <w:r>
        <w:rPr>
          <w:b/>
          <w:i/>
          <w:sz w:val="26"/>
          <w:szCs w:val="26"/>
        </w:rPr>
        <w:t>‘</w:t>
      </w:r>
      <w:r w:rsidRPr="000138BB">
        <w:rPr>
          <w:b/>
          <w:i/>
          <w:sz w:val="26"/>
          <w:szCs w:val="26"/>
        </w:rPr>
        <w:t>Predatory Pricing</w:t>
      </w:r>
      <w:r>
        <w:rPr>
          <w:b/>
          <w:i/>
          <w:sz w:val="26"/>
          <w:szCs w:val="26"/>
        </w:rPr>
        <w:t>’</w:t>
      </w:r>
      <w:r w:rsidRPr="000138BB">
        <w:rPr>
          <w:b/>
          <w:i/>
          <w:sz w:val="26"/>
          <w:szCs w:val="26"/>
        </w:rPr>
        <w:t xml:space="preserve"> Practices by Suppliers.</w:t>
      </w:r>
      <w:r>
        <w:rPr>
          <w:b/>
          <w:i/>
          <w:sz w:val="26"/>
          <w:szCs w:val="26"/>
        </w:rPr>
        <w:t>”</w:t>
      </w:r>
      <w:r w:rsidRPr="004203BF">
        <w:rPr>
          <w:sz w:val="26"/>
          <w:szCs w:val="26"/>
        </w:rPr>
        <w:t xml:space="preserve">  R.</w:t>
      </w:r>
      <w:r>
        <w:rPr>
          <w:sz w:val="26"/>
          <w:szCs w:val="26"/>
        </w:rPr>
        <w:t> </w:t>
      </w:r>
      <w:r w:rsidRPr="004203BF">
        <w:rPr>
          <w:sz w:val="26"/>
          <w:szCs w:val="26"/>
        </w:rPr>
        <w:t>Exc. at</w:t>
      </w:r>
      <w:r>
        <w:rPr>
          <w:sz w:val="26"/>
          <w:szCs w:val="26"/>
        </w:rPr>
        <w:t> </w:t>
      </w:r>
      <w:r w:rsidRPr="004203BF">
        <w:rPr>
          <w:sz w:val="26"/>
          <w:szCs w:val="26"/>
        </w:rPr>
        <w:t xml:space="preserve">10. </w:t>
      </w:r>
    </w:p>
  </w:footnote>
  <w:footnote w:id="17">
    <w:p w14:paraId="286B1DBE" w14:textId="10DBB48D" w:rsidR="00F71658" w:rsidRPr="004E3BD7" w:rsidRDefault="00F71658" w:rsidP="00F71658">
      <w:pPr>
        <w:pStyle w:val="FootnoteText"/>
        <w:keepNext/>
        <w:keepLines/>
        <w:spacing w:after="120"/>
        <w:ind w:firstLine="720"/>
        <w:rPr>
          <w:sz w:val="26"/>
          <w:szCs w:val="26"/>
        </w:rPr>
      </w:pPr>
      <w:r w:rsidRPr="004E3BD7">
        <w:rPr>
          <w:rStyle w:val="FootnoteReference"/>
          <w:sz w:val="26"/>
          <w:szCs w:val="26"/>
        </w:rPr>
        <w:footnoteRef/>
      </w:r>
      <w:r w:rsidRPr="004E3BD7">
        <w:rPr>
          <w:sz w:val="26"/>
          <w:szCs w:val="26"/>
        </w:rPr>
        <w:tab/>
      </w:r>
      <w:r w:rsidRPr="004E3BD7">
        <w:rPr>
          <w:i/>
          <w:sz w:val="26"/>
          <w:szCs w:val="26"/>
        </w:rPr>
        <w:t>See,</w:t>
      </w:r>
      <w:r w:rsidRPr="004E3BD7">
        <w:rPr>
          <w:sz w:val="26"/>
          <w:szCs w:val="26"/>
        </w:rPr>
        <w:t xml:space="preserve"> </w:t>
      </w:r>
      <w:r w:rsidRPr="004E3BD7">
        <w:rPr>
          <w:i/>
          <w:sz w:val="26"/>
          <w:szCs w:val="26"/>
        </w:rPr>
        <w:t xml:space="preserve">Petition of PECO Energy Co. for Approval of its Act 129 Energy Efficiency and Conservation Plan and Expedited Approval of its Compact Fluorescent Lamp Program, </w:t>
      </w:r>
      <w:r w:rsidRPr="004E3BD7">
        <w:rPr>
          <w:sz w:val="26"/>
          <w:szCs w:val="26"/>
        </w:rPr>
        <w:t>Docket No. M-2009-2093215 (Order entered Oct. 15, 2009) at</w:t>
      </w:r>
      <w:r>
        <w:rPr>
          <w:sz w:val="26"/>
          <w:szCs w:val="26"/>
        </w:rPr>
        <w:t> </w:t>
      </w:r>
      <w:r w:rsidRPr="004E3BD7">
        <w:rPr>
          <w:sz w:val="26"/>
          <w:szCs w:val="26"/>
        </w:rPr>
        <w:t>41-43.</w:t>
      </w:r>
    </w:p>
  </w:footnote>
  <w:footnote w:id="18">
    <w:p w14:paraId="1BA6EF51" w14:textId="57AA418A" w:rsidR="00F71658" w:rsidRPr="007E1998" w:rsidRDefault="00F71658" w:rsidP="00F71658">
      <w:pPr>
        <w:pStyle w:val="FootnoteText"/>
        <w:keepNext/>
        <w:keepLines/>
        <w:spacing w:after="120"/>
        <w:ind w:firstLine="720"/>
        <w:rPr>
          <w:sz w:val="26"/>
          <w:szCs w:val="26"/>
        </w:rPr>
      </w:pPr>
      <w:r w:rsidRPr="007E1998">
        <w:rPr>
          <w:rStyle w:val="FootnoteReference"/>
          <w:sz w:val="26"/>
          <w:szCs w:val="26"/>
        </w:rPr>
        <w:footnoteRef/>
      </w:r>
      <w:r w:rsidRPr="007E1998">
        <w:rPr>
          <w:sz w:val="26"/>
          <w:szCs w:val="26"/>
        </w:rPr>
        <w:tab/>
      </w:r>
      <w:r w:rsidRPr="007E1998">
        <w:rPr>
          <w:i/>
          <w:sz w:val="26"/>
          <w:szCs w:val="26"/>
        </w:rPr>
        <w:t>See, Tillman v. Philadelphia Gas Works</w:t>
      </w:r>
      <w:r w:rsidRPr="007E1998">
        <w:rPr>
          <w:sz w:val="26"/>
          <w:szCs w:val="26"/>
        </w:rPr>
        <w:t xml:space="preserve">, Docket No. C-2014-2445229 (Initial Decision served November 19, 2015; Order entered March 8, 2016; Initial Decision on Remand served January 26, 2017; Final Order entered March 16, 2017) </w:t>
      </w:r>
      <w:r w:rsidRPr="007E1998">
        <w:rPr>
          <w:i/>
          <w:sz w:val="26"/>
          <w:szCs w:val="26"/>
        </w:rPr>
        <w:t>(Tillman).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3AE2C" w14:textId="77777777" w:rsidR="00F71658" w:rsidRDefault="00F71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03231D2"/>
    <w:lvl w:ilvl="0">
      <w:start w:val="1"/>
      <w:numFmt w:val="decimal"/>
      <w:pStyle w:val="ListNumber"/>
      <w:lvlText w:val="%1."/>
      <w:lvlJc w:val="left"/>
      <w:pPr>
        <w:tabs>
          <w:tab w:val="num" w:pos="5490"/>
        </w:tabs>
        <w:ind w:left="5490" w:hanging="360"/>
      </w:pPr>
    </w:lvl>
  </w:abstractNum>
  <w:abstractNum w:abstractNumId="1" w15:restartNumberingAfterBreak="0">
    <w:nsid w:val="09040D8E"/>
    <w:multiLevelType w:val="hybridMultilevel"/>
    <w:tmpl w:val="1284AFAA"/>
    <w:lvl w:ilvl="0" w:tplc="135AA082">
      <w:start w:val="1"/>
      <w:numFmt w:val="lowerLetter"/>
      <w:lvlText w:val="(%1)"/>
      <w:lvlJc w:val="left"/>
      <w:pPr>
        <w:ind w:left="2320" w:hanging="360"/>
      </w:pPr>
      <w:rPr>
        <w:rFonts w:hint="default"/>
      </w:rPr>
    </w:lvl>
    <w:lvl w:ilvl="1" w:tplc="04090019">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2" w15:restartNumberingAfterBreak="0">
    <w:nsid w:val="0B847F95"/>
    <w:multiLevelType w:val="hybridMultilevel"/>
    <w:tmpl w:val="0046C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40C31"/>
    <w:multiLevelType w:val="hybridMultilevel"/>
    <w:tmpl w:val="F006CFC0"/>
    <w:lvl w:ilvl="0" w:tplc="20AA76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92795B"/>
    <w:multiLevelType w:val="hybridMultilevel"/>
    <w:tmpl w:val="666489FE"/>
    <w:lvl w:ilvl="0" w:tplc="61CE92C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3F18A9"/>
    <w:multiLevelType w:val="hybridMultilevel"/>
    <w:tmpl w:val="3392F868"/>
    <w:lvl w:ilvl="0" w:tplc="7A06CC5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B77BC"/>
    <w:multiLevelType w:val="hybridMultilevel"/>
    <w:tmpl w:val="7DA45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0C4B08"/>
    <w:multiLevelType w:val="hybridMultilevel"/>
    <w:tmpl w:val="6E92367C"/>
    <w:lvl w:ilvl="0" w:tplc="2BE67ECE">
      <w:start w:val="1"/>
      <w:numFmt w:val="lowerLetter"/>
      <w:pStyle w:val="Heading4"/>
      <w:lvlText w:val="%1."/>
      <w:lvlJc w:val="left"/>
      <w:pPr>
        <w:ind w:left="459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53F1E37"/>
    <w:multiLevelType w:val="hybridMultilevel"/>
    <w:tmpl w:val="9D680852"/>
    <w:lvl w:ilvl="0" w:tplc="2688951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63572AE"/>
    <w:multiLevelType w:val="hybridMultilevel"/>
    <w:tmpl w:val="99EA4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72A60"/>
    <w:multiLevelType w:val="hybridMultilevel"/>
    <w:tmpl w:val="D454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D1105"/>
    <w:multiLevelType w:val="hybridMultilevel"/>
    <w:tmpl w:val="DBBA180C"/>
    <w:lvl w:ilvl="0" w:tplc="1410258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A5336A"/>
    <w:multiLevelType w:val="hybridMultilevel"/>
    <w:tmpl w:val="4860E4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490703"/>
    <w:multiLevelType w:val="hybridMultilevel"/>
    <w:tmpl w:val="775A2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83FED"/>
    <w:multiLevelType w:val="hybridMultilevel"/>
    <w:tmpl w:val="D6FC212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3BF9787E"/>
    <w:multiLevelType w:val="hybridMultilevel"/>
    <w:tmpl w:val="E9945DFA"/>
    <w:lvl w:ilvl="0" w:tplc="C1625F84">
      <w:start w:val="1"/>
      <w:numFmt w:val="decimal"/>
      <w:lvlText w:val="%1."/>
      <w:lvlJc w:val="left"/>
      <w:pPr>
        <w:ind w:left="1080" w:hanging="360"/>
      </w:pPr>
      <w:rPr>
        <w:rFonts w:hint="default"/>
      </w:rPr>
    </w:lvl>
    <w:lvl w:ilvl="1" w:tplc="97F88FE8">
      <w:start w:val="1"/>
      <w:numFmt w:val="lowerLetter"/>
      <w:lvlText w:val="%2."/>
      <w:lvlJc w:val="left"/>
      <w:pPr>
        <w:ind w:left="1890" w:hanging="360"/>
      </w:pPr>
      <w:rPr>
        <w:b/>
        <w:sz w:val="26"/>
        <w:szCs w:val="26"/>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A73FAE"/>
    <w:multiLevelType w:val="hybridMultilevel"/>
    <w:tmpl w:val="C3D090C4"/>
    <w:lvl w:ilvl="0" w:tplc="DDBE54DA">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56D32"/>
    <w:multiLevelType w:val="hybridMultilevel"/>
    <w:tmpl w:val="BBC617DE"/>
    <w:lvl w:ilvl="0" w:tplc="4C188A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064C78"/>
    <w:multiLevelType w:val="hybridMultilevel"/>
    <w:tmpl w:val="0E9E0D5A"/>
    <w:lvl w:ilvl="0" w:tplc="93BE72F4">
      <w:start w:val="1"/>
      <w:numFmt w:val="decimal"/>
      <w:lvlText w:val="%1."/>
      <w:lvlJc w:val="left"/>
      <w:pPr>
        <w:ind w:left="1440" w:hanging="360"/>
      </w:pPr>
    </w:lvl>
    <w:lvl w:ilvl="1" w:tplc="04090019">
      <w:start w:val="1"/>
      <w:numFmt w:val="lowerLetter"/>
      <w:lvlText w:val="%2."/>
      <w:lvlJc w:val="left"/>
      <w:pPr>
        <w:ind w:left="2160" w:hanging="360"/>
      </w:pPr>
    </w:lvl>
    <w:lvl w:ilvl="2" w:tplc="D3FABFC4">
      <w:start w:val="2"/>
      <w:numFmt w:val="upperLetter"/>
      <w:lvlText w:val="%3."/>
      <w:lvlJc w:val="left"/>
      <w:pPr>
        <w:ind w:left="3060" w:hanging="360"/>
      </w:pPr>
      <w:rPr>
        <w:rFonts w:hint="default"/>
      </w:rPr>
    </w:lvl>
    <w:lvl w:ilvl="3" w:tplc="02F848EE">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6E1254"/>
    <w:multiLevelType w:val="hybridMultilevel"/>
    <w:tmpl w:val="8356F146"/>
    <w:lvl w:ilvl="0" w:tplc="886ABE7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3C750B6"/>
    <w:multiLevelType w:val="hybridMultilevel"/>
    <w:tmpl w:val="F7A6283C"/>
    <w:lvl w:ilvl="0" w:tplc="F0E63A1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6524083"/>
    <w:multiLevelType w:val="hybridMultilevel"/>
    <w:tmpl w:val="5236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7051C9"/>
    <w:multiLevelType w:val="hybridMultilevel"/>
    <w:tmpl w:val="8D2411F2"/>
    <w:lvl w:ilvl="0" w:tplc="5C5823BE">
      <w:start w:val="1"/>
      <w:numFmt w:val="decimal"/>
      <w:pStyle w:val="Heading3"/>
      <w:lvlText w:val="%1."/>
      <w:lvlJc w:val="left"/>
      <w:pPr>
        <w:ind w:left="36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D37AA"/>
    <w:multiLevelType w:val="hybridMultilevel"/>
    <w:tmpl w:val="D8967E58"/>
    <w:lvl w:ilvl="0" w:tplc="E522F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94039C1"/>
    <w:multiLevelType w:val="hybridMultilevel"/>
    <w:tmpl w:val="8EE45AD2"/>
    <w:lvl w:ilvl="0" w:tplc="29A05650">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E385739"/>
    <w:multiLevelType w:val="hybridMultilevel"/>
    <w:tmpl w:val="D4F8D2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78E073B"/>
    <w:multiLevelType w:val="hybridMultilevel"/>
    <w:tmpl w:val="6E6CB124"/>
    <w:lvl w:ilvl="0" w:tplc="B6E626F2">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8" w15:restartNumberingAfterBreak="0">
    <w:nsid w:val="6D8B4029"/>
    <w:multiLevelType w:val="hybridMultilevel"/>
    <w:tmpl w:val="481A6710"/>
    <w:lvl w:ilvl="0" w:tplc="1410258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E4E6962"/>
    <w:multiLevelType w:val="hybridMultilevel"/>
    <w:tmpl w:val="26166126"/>
    <w:lvl w:ilvl="0" w:tplc="60FAB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B54DA"/>
    <w:multiLevelType w:val="hybridMultilevel"/>
    <w:tmpl w:val="D572FE3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78AA715D"/>
    <w:multiLevelType w:val="hybridMultilevel"/>
    <w:tmpl w:val="7BE2E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3C03D4"/>
    <w:multiLevelType w:val="hybridMultilevel"/>
    <w:tmpl w:val="481A6710"/>
    <w:lvl w:ilvl="0" w:tplc="1410258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23"/>
  </w:num>
  <w:num w:numId="3">
    <w:abstractNumId w:val="0"/>
  </w:num>
  <w:num w:numId="4">
    <w:abstractNumId w:val="18"/>
  </w:num>
  <w:num w:numId="5">
    <w:abstractNumId w:val="15"/>
  </w:num>
  <w:num w:numId="6">
    <w:abstractNumId w:val="3"/>
  </w:num>
  <w:num w:numId="7">
    <w:abstractNumId w:val="1"/>
  </w:num>
  <w:num w:numId="8">
    <w:abstractNumId w:val="8"/>
  </w:num>
  <w:num w:numId="9">
    <w:abstractNumId w:val="25"/>
  </w:num>
  <w:num w:numId="10">
    <w:abstractNumId w:val="19"/>
  </w:num>
  <w:num w:numId="11">
    <w:abstractNumId w:val="5"/>
  </w:num>
  <w:num w:numId="12">
    <w:abstractNumId w:val="29"/>
  </w:num>
  <w:num w:numId="13">
    <w:abstractNumId w:val="13"/>
  </w:num>
  <w:num w:numId="14">
    <w:abstractNumId w:val="27"/>
  </w:num>
  <w:num w:numId="15">
    <w:abstractNumId w:val="21"/>
  </w:num>
  <w:num w:numId="16">
    <w:abstractNumId w:val="24"/>
  </w:num>
  <w:num w:numId="17">
    <w:abstractNumId w:val="30"/>
  </w:num>
  <w:num w:numId="18">
    <w:abstractNumId w:val="2"/>
  </w:num>
  <w:num w:numId="19">
    <w:abstractNumId w:val="7"/>
  </w:num>
  <w:num w:numId="20">
    <w:abstractNumId w:val="7"/>
    <w:lvlOverride w:ilvl="0">
      <w:startOverride w:val="1"/>
    </w:lvlOverride>
  </w:num>
  <w:num w:numId="21">
    <w:abstractNumId w:val="7"/>
    <w:lvlOverride w:ilvl="0">
      <w:startOverride w:val="1"/>
    </w:lvlOverride>
  </w:num>
  <w:num w:numId="22">
    <w:abstractNumId w:val="6"/>
  </w:num>
  <w:num w:numId="23">
    <w:abstractNumId w:val="12"/>
  </w:num>
  <w:num w:numId="24">
    <w:abstractNumId w:val="9"/>
  </w:num>
  <w:num w:numId="25">
    <w:abstractNumId w:val="10"/>
  </w:num>
  <w:num w:numId="26">
    <w:abstractNumId w:val="22"/>
  </w:num>
  <w:num w:numId="27">
    <w:abstractNumId w:val="14"/>
  </w:num>
  <w:num w:numId="28">
    <w:abstractNumId w:val="31"/>
  </w:num>
  <w:num w:numId="29">
    <w:abstractNumId w:val="32"/>
  </w:num>
  <w:num w:numId="30">
    <w:abstractNumId w:val="16"/>
  </w:num>
  <w:num w:numId="31">
    <w:abstractNumId w:val="28"/>
  </w:num>
  <w:num w:numId="32">
    <w:abstractNumId w:val="11"/>
  </w:num>
  <w:num w:numId="33">
    <w:abstractNumId w:val="26"/>
  </w:num>
  <w:num w:numId="34">
    <w:abstractNumId w:val="20"/>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30"/>
    <w:rsid w:val="00000733"/>
    <w:rsid w:val="00002563"/>
    <w:rsid w:val="00002624"/>
    <w:rsid w:val="00003295"/>
    <w:rsid w:val="0000489E"/>
    <w:rsid w:val="000054F2"/>
    <w:rsid w:val="00005E57"/>
    <w:rsid w:val="00006A66"/>
    <w:rsid w:val="00010107"/>
    <w:rsid w:val="00010ECE"/>
    <w:rsid w:val="00011700"/>
    <w:rsid w:val="00011AAA"/>
    <w:rsid w:val="00011FCB"/>
    <w:rsid w:val="0001260B"/>
    <w:rsid w:val="00013477"/>
    <w:rsid w:val="000137B1"/>
    <w:rsid w:val="000138BB"/>
    <w:rsid w:val="00014031"/>
    <w:rsid w:val="00014464"/>
    <w:rsid w:val="000144C2"/>
    <w:rsid w:val="00014B1B"/>
    <w:rsid w:val="00015DA3"/>
    <w:rsid w:val="00017272"/>
    <w:rsid w:val="000172A9"/>
    <w:rsid w:val="00020132"/>
    <w:rsid w:val="000202A6"/>
    <w:rsid w:val="00020398"/>
    <w:rsid w:val="000206CB"/>
    <w:rsid w:val="00021463"/>
    <w:rsid w:val="000216BB"/>
    <w:rsid w:val="00021BDF"/>
    <w:rsid w:val="0002257C"/>
    <w:rsid w:val="00022D3C"/>
    <w:rsid w:val="00022DFF"/>
    <w:rsid w:val="000230DC"/>
    <w:rsid w:val="00023346"/>
    <w:rsid w:val="00024624"/>
    <w:rsid w:val="000246F3"/>
    <w:rsid w:val="0002499E"/>
    <w:rsid w:val="00024A7B"/>
    <w:rsid w:val="00024BBA"/>
    <w:rsid w:val="000253B2"/>
    <w:rsid w:val="00026BB0"/>
    <w:rsid w:val="00026E52"/>
    <w:rsid w:val="00026F70"/>
    <w:rsid w:val="00027106"/>
    <w:rsid w:val="000275F4"/>
    <w:rsid w:val="000305B3"/>
    <w:rsid w:val="00030702"/>
    <w:rsid w:val="000308C0"/>
    <w:rsid w:val="00030C16"/>
    <w:rsid w:val="000311CE"/>
    <w:rsid w:val="00031435"/>
    <w:rsid w:val="00031F8E"/>
    <w:rsid w:val="00032216"/>
    <w:rsid w:val="00032F12"/>
    <w:rsid w:val="00033263"/>
    <w:rsid w:val="00033781"/>
    <w:rsid w:val="00033C21"/>
    <w:rsid w:val="000344ED"/>
    <w:rsid w:val="00034A8F"/>
    <w:rsid w:val="00034F0B"/>
    <w:rsid w:val="00035E23"/>
    <w:rsid w:val="00035F2E"/>
    <w:rsid w:val="000363DC"/>
    <w:rsid w:val="0003659E"/>
    <w:rsid w:val="00037065"/>
    <w:rsid w:val="0003786D"/>
    <w:rsid w:val="00037C52"/>
    <w:rsid w:val="00037E19"/>
    <w:rsid w:val="00040540"/>
    <w:rsid w:val="000409C4"/>
    <w:rsid w:val="00041C35"/>
    <w:rsid w:val="00042617"/>
    <w:rsid w:val="000428D9"/>
    <w:rsid w:val="000429A8"/>
    <w:rsid w:val="00042B02"/>
    <w:rsid w:val="00042B50"/>
    <w:rsid w:val="00042C00"/>
    <w:rsid w:val="00042E73"/>
    <w:rsid w:val="00042F8F"/>
    <w:rsid w:val="00043F3A"/>
    <w:rsid w:val="0004497D"/>
    <w:rsid w:val="000449F6"/>
    <w:rsid w:val="00045AE8"/>
    <w:rsid w:val="0004692D"/>
    <w:rsid w:val="000471DB"/>
    <w:rsid w:val="0004725A"/>
    <w:rsid w:val="000472F6"/>
    <w:rsid w:val="0004786D"/>
    <w:rsid w:val="0005023D"/>
    <w:rsid w:val="000503B3"/>
    <w:rsid w:val="000513B9"/>
    <w:rsid w:val="00051713"/>
    <w:rsid w:val="00051D65"/>
    <w:rsid w:val="0005229D"/>
    <w:rsid w:val="000525B7"/>
    <w:rsid w:val="0005269F"/>
    <w:rsid w:val="000527EB"/>
    <w:rsid w:val="00054763"/>
    <w:rsid w:val="00055926"/>
    <w:rsid w:val="00055D48"/>
    <w:rsid w:val="00055FEC"/>
    <w:rsid w:val="00056717"/>
    <w:rsid w:val="00056E9D"/>
    <w:rsid w:val="00060A11"/>
    <w:rsid w:val="0006139B"/>
    <w:rsid w:val="00063976"/>
    <w:rsid w:val="000645BB"/>
    <w:rsid w:val="000648CE"/>
    <w:rsid w:val="00065342"/>
    <w:rsid w:val="00065522"/>
    <w:rsid w:val="000656C3"/>
    <w:rsid w:val="00065AC4"/>
    <w:rsid w:val="00065E08"/>
    <w:rsid w:val="000660E1"/>
    <w:rsid w:val="000666CD"/>
    <w:rsid w:val="00066D6C"/>
    <w:rsid w:val="00066E24"/>
    <w:rsid w:val="00067490"/>
    <w:rsid w:val="000675EE"/>
    <w:rsid w:val="0006765F"/>
    <w:rsid w:val="000707F8"/>
    <w:rsid w:val="000729DB"/>
    <w:rsid w:val="00074389"/>
    <w:rsid w:val="000756F7"/>
    <w:rsid w:val="00075FEA"/>
    <w:rsid w:val="00076645"/>
    <w:rsid w:val="00076DF2"/>
    <w:rsid w:val="00077C45"/>
    <w:rsid w:val="00080508"/>
    <w:rsid w:val="000807F5"/>
    <w:rsid w:val="00080935"/>
    <w:rsid w:val="00080A4D"/>
    <w:rsid w:val="00080AD5"/>
    <w:rsid w:val="00080F83"/>
    <w:rsid w:val="0008254A"/>
    <w:rsid w:val="000828F2"/>
    <w:rsid w:val="00082E1B"/>
    <w:rsid w:val="000835FE"/>
    <w:rsid w:val="000838FB"/>
    <w:rsid w:val="00084141"/>
    <w:rsid w:val="00085388"/>
    <w:rsid w:val="00085CF5"/>
    <w:rsid w:val="000860A0"/>
    <w:rsid w:val="00086495"/>
    <w:rsid w:val="00086B1E"/>
    <w:rsid w:val="00086B22"/>
    <w:rsid w:val="00086CF2"/>
    <w:rsid w:val="00087080"/>
    <w:rsid w:val="00087E43"/>
    <w:rsid w:val="00090062"/>
    <w:rsid w:val="00090483"/>
    <w:rsid w:val="0009087F"/>
    <w:rsid w:val="00091D1B"/>
    <w:rsid w:val="00092467"/>
    <w:rsid w:val="00092EE4"/>
    <w:rsid w:val="00093491"/>
    <w:rsid w:val="00093C7C"/>
    <w:rsid w:val="00093C84"/>
    <w:rsid w:val="00094932"/>
    <w:rsid w:val="00094D35"/>
    <w:rsid w:val="000953AB"/>
    <w:rsid w:val="00096D16"/>
    <w:rsid w:val="000979FA"/>
    <w:rsid w:val="00097BE1"/>
    <w:rsid w:val="000A0014"/>
    <w:rsid w:val="000A07B3"/>
    <w:rsid w:val="000A0EBD"/>
    <w:rsid w:val="000A15D5"/>
    <w:rsid w:val="000A16EF"/>
    <w:rsid w:val="000A19DC"/>
    <w:rsid w:val="000A1AE4"/>
    <w:rsid w:val="000A212B"/>
    <w:rsid w:val="000A29CC"/>
    <w:rsid w:val="000A2A81"/>
    <w:rsid w:val="000A3459"/>
    <w:rsid w:val="000A4813"/>
    <w:rsid w:val="000A5853"/>
    <w:rsid w:val="000A5AB9"/>
    <w:rsid w:val="000A5D23"/>
    <w:rsid w:val="000A618D"/>
    <w:rsid w:val="000A6785"/>
    <w:rsid w:val="000A6D30"/>
    <w:rsid w:val="000A73D9"/>
    <w:rsid w:val="000A7827"/>
    <w:rsid w:val="000B14C4"/>
    <w:rsid w:val="000B161C"/>
    <w:rsid w:val="000B1A81"/>
    <w:rsid w:val="000B1C34"/>
    <w:rsid w:val="000B20A8"/>
    <w:rsid w:val="000B239D"/>
    <w:rsid w:val="000B23B9"/>
    <w:rsid w:val="000B2552"/>
    <w:rsid w:val="000B28C3"/>
    <w:rsid w:val="000B2ABA"/>
    <w:rsid w:val="000B2E41"/>
    <w:rsid w:val="000B31A2"/>
    <w:rsid w:val="000B41A5"/>
    <w:rsid w:val="000B4678"/>
    <w:rsid w:val="000B4A07"/>
    <w:rsid w:val="000B4A14"/>
    <w:rsid w:val="000B4C28"/>
    <w:rsid w:val="000B525B"/>
    <w:rsid w:val="000B52B1"/>
    <w:rsid w:val="000B53FF"/>
    <w:rsid w:val="000B6131"/>
    <w:rsid w:val="000B6550"/>
    <w:rsid w:val="000B692E"/>
    <w:rsid w:val="000B6BF3"/>
    <w:rsid w:val="000B744F"/>
    <w:rsid w:val="000C0842"/>
    <w:rsid w:val="000C1D6A"/>
    <w:rsid w:val="000C2C03"/>
    <w:rsid w:val="000C333D"/>
    <w:rsid w:val="000C3755"/>
    <w:rsid w:val="000C39B9"/>
    <w:rsid w:val="000C3B0B"/>
    <w:rsid w:val="000C3C7E"/>
    <w:rsid w:val="000C3C91"/>
    <w:rsid w:val="000C3D31"/>
    <w:rsid w:val="000C4001"/>
    <w:rsid w:val="000C44AA"/>
    <w:rsid w:val="000C4616"/>
    <w:rsid w:val="000C534D"/>
    <w:rsid w:val="000C78EF"/>
    <w:rsid w:val="000C7E1D"/>
    <w:rsid w:val="000D051A"/>
    <w:rsid w:val="000D0697"/>
    <w:rsid w:val="000D0FD6"/>
    <w:rsid w:val="000D1427"/>
    <w:rsid w:val="000D20B1"/>
    <w:rsid w:val="000D2151"/>
    <w:rsid w:val="000D3015"/>
    <w:rsid w:val="000D3017"/>
    <w:rsid w:val="000D36D5"/>
    <w:rsid w:val="000D371E"/>
    <w:rsid w:val="000D45D3"/>
    <w:rsid w:val="000D57DA"/>
    <w:rsid w:val="000D6055"/>
    <w:rsid w:val="000D7F37"/>
    <w:rsid w:val="000E067B"/>
    <w:rsid w:val="000E0CE6"/>
    <w:rsid w:val="000E0D04"/>
    <w:rsid w:val="000E18C8"/>
    <w:rsid w:val="000E1974"/>
    <w:rsid w:val="000E24D2"/>
    <w:rsid w:val="000E3091"/>
    <w:rsid w:val="000E389C"/>
    <w:rsid w:val="000E4A15"/>
    <w:rsid w:val="000E526C"/>
    <w:rsid w:val="000E5306"/>
    <w:rsid w:val="000E534E"/>
    <w:rsid w:val="000E552D"/>
    <w:rsid w:val="000E624F"/>
    <w:rsid w:val="000E6A7D"/>
    <w:rsid w:val="000E70B1"/>
    <w:rsid w:val="000E7AF7"/>
    <w:rsid w:val="000F06E6"/>
    <w:rsid w:val="000F079D"/>
    <w:rsid w:val="000F07A9"/>
    <w:rsid w:val="000F109B"/>
    <w:rsid w:val="000F173B"/>
    <w:rsid w:val="000F1810"/>
    <w:rsid w:val="000F2644"/>
    <w:rsid w:val="000F2BBA"/>
    <w:rsid w:val="000F2C19"/>
    <w:rsid w:val="000F2DE1"/>
    <w:rsid w:val="000F3734"/>
    <w:rsid w:val="000F37DC"/>
    <w:rsid w:val="000F43D4"/>
    <w:rsid w:val="000F46EC"/>
    <w:rsid w:val="000F4F23"/>
    <w:rsid w:val="000F5BDD"/>
    <w:rsid w:val="000F5D1D"/>
    <w:rsid w:val="000F5FC0"/>
    <w:rsid w:val="000F5FFF"/>
    <w:rsid w:val="000F6117"/>
    <w:rsid w:val="000F62A1"/>
    <w:rsid w:val="000F64CB"/>
    <w:rsid w:val="000F6DED"/>
    <w:rsid w:val="000F7193"/>
    <w:rsid w:val="000F7690"/>
    <w:rsid w:val="000F7851"/>
    <w:rsid w:val="000F79AB"/>
    <w:rsid w:val="000F7F9E"/>
    <w:rsid w:val="001000D5"/>
    <w:rsid w:val="00100633"/>
    <w:rsid w:val="00100B56"/>
    <w:rsid w:val="0010114D"/>
    <w:rsid w:val="001012B5"/>
    <w:rsid w:val="0010192F"/>
    <w:rsid w:val="00101F68"/>
    <w:rsid w:val="00104156"/>
    <w:rsid w:val="0010448F"/>
    <w:rsid w:val="00105E0E"/>
    <w:rsid w:val="00106066"/>
    <w:rsid w:val="0010676F"/>
    <w:rsid w:val="00106BB4"/>
    <w:rsid w:val="00106D61"/>
    <w:rsid w:val="00106EA6"/>
    <w:rsid w:val="00107FAB"/>
    <w:rsid w:val="00110106"/>
    <w:rsid w:val="001101AA"/>
    <w:rsid w:val="00110C16"/>
    <w:rsid w:val="00112333"/>
    <w:rsid w:val="001125EC"/>
    <w:rsid w:val="00112CC4"/>
    <w:rsid w:val="00112E6A"/>
    <w:rsid w:val="00112F58"/>
    <w:rsid w:val="001132DA"/>
    <w:rsid w:val="001133EC"/>
    <w:rsid w:val="00113BC1"/>
    <w:rsid w:val="001142D1"/>
    <w:rsid w:val="00114414"/>
    <w:rsid w:val="001168BE"/>
    <w:rsid w:val="00116AE5"/>
    <w:rsid w:val="00116ECC"/>
    <w:rsid w:val="0011768B"/>
    <w:rsid w:val="00117CC1"/>
    <w:rsid w:val="00117E17"/>
    <w:rsid w:val="0012019C"/>
    <w:rsid w:val="00120504"/>
    <w:rsid w:val="0012073F"/>
    <w:rsid w:val="0012075D"/>
    <w:rsid w:val="001218C9"/>
    <w:rsid w:val="00121F2C"/>
    <w:rsid w:val="0012252A"/>
    <w:rsid w:val="0012255F"/>
    <w:rsid w:val="00122E17"/>
    <w:rsid w:val="00122ED9"/>
    <w:rsid w:val="00123463"/>
    <w:rsid w:val="00125244"/>
    <w:rsid w:val="00125F6F"/>
    <w:rsid w:val="00126750"/>
    <w:rsid w:val="001268FD"/>
    <w:rsid w:val="00126B9C"/>
    <w:rsid w:val="00126ECD"/>
    <w:rsid w:val="001276FA"/>
    <w:rsid w:val="0013142B"/>
    <w:rsid w:val="00131A96"/>
    <w:rsid w:val="00131F82"/>
    <w:rsid w:val="001328E8"/>
    <w:rsid w:val="00132AA9"/>
    <w:rsid w:val="0013315C"/>
    <w:rsid w:val="00134973"/>
    <w:rsid w:val="00135047"/>
    <w:rsid w:val="001357CF"/>
    <w:rsid w:val="00135824"/>
    <w:rsid w:val="001359E7"/>
    <w:rsid w:val="00135B09"/>
    <w:rsid w:val="00135D70"/>
    <w:rsid w:val="00135EAB"/>
    <w:rsid w:val="001369BD"/>
    <w:rsid w:val="001369E6"/>
    <w:rsid w:val="00136EB8"/>
    <w:rsid w:val="00137178"/>
    <w:rsid w:val="001371CA"/>
    <w:rsid w:val="00137754"/>
    <w:rsid w:val="00137B2D"/>
    <w:rsid w:val="00137CA4"/>
    <w:rsid w:val="00137DDD"/>
    <w:rsid w:val="00140479"/>
    <w:rsid w:val="001404FC"/>
    <w:rsid w:val="001409B0"/>
    <w:rsid w:val="001417FB"/>
    <w:rsid w:val="00142316"/>
    <w:rsid w:val="00142A41"/>
    <w:rsid w:val="00142C59"/>
    <w:rsid w:val="001431BB"/>
    <w:rsid w:val="0014389B"/>
    <w:rsid w:val="001448CA"/>
    <w:rsid w:val="00144EAA"/>
    <w:rsid w:val="00145CBA"/>
    <w:rsid w:val="00145D42"/>
    <w:rsid w:val="00146564"/>
    <w:rsid w:val="00146FB3"/>
    <w:rsid w:val="001501A4"/>
    <w:rsid w:val="0015043C"/>
    <w:rsid w:val="00150E09"/>
    <w:rsid w:val="001510AE"/>
    <w:rsid w:val="00151FA4"/>
    <w:rsid w:val="00152690"/>
    <w:rsid w:val="00152F28"/>
    <w:rsid w:val="00153091"/>
    <w:rsid w:val="00153BC9"/>
    <w:rsid w:val="00154140"/>
    <w:rsid w:val="001547F8"/>
    <w:rsid w:val="00154B5B"/>
    <w:rsid w:val="0015577C"/>
    <w:rsid w:val="001558D5"/>
    <w:rsid w:val="00155FA8"/>
    <w:rsid w:val="00155FB6"/>
    <w:rsid w:val="001607BF"/>
    <w:rsid w:val="00160C2D"/>
    <w:rsid w:val="001610C0"/>
    <w:rsid w:val="00161362"/>
    <w:rsid w:val="00161880"/>
    <w:rsid w:val="00161D0C"/>
    <w:rsid w:val="00162362"/>
    <w:rsid w:val="001635E5"/>
    <w:rsid w:val="0016388D"/>
    <w:rsid w:val="0016392D"/>
    <w:rsid w:val="00163B5D"/>
    <w:rsid w:val="0016417E"/>
    <w:rsid w:val="00165878"/>
    <w:rsid w:val="001658FE"/>
    <w:rsid w:val="001662DF"/>
    <w:rsid w:val="001668F5"/>
    <w:rsid w:val="0016789A"/>
    <w:rsid w:val="00167D01"/>
    <w:rsid w:val="00170834"/>
    <w:rsid w:val="001708FB"/>
    <w:rsid w:val="00171615"/>
    <w:rsid w:val="001724C0"/>
    <w:rsid w:val="001726F1"/>
    <w:rsid w:val="001731E5"/>
    <w:rsid w:val="00173319"/>
    <w:rsid w:val="00173867"/>
    <w:rsid w:val="001739A7"/>
    <w:rsid w:val="00175892"/>
    <w:rsid w:val="001774CE"/>
    <w:rsid w:val="0017755A"/>
    <w:rsid w:val="00177C0C"/>
    <w:rsid w:val="0018019E"/>
    <w:rsid w:val="001805B2"/>
    <w:rsid w:val="00180C15"/>
    <w:rsid w:val="00180C57"/>
    <w:rsid w:val="001818E6"/>
    <w:rsid w:val="00181BDA"/>
    <w:rsid w:val="001823C3"/>
    <w:rsid w:val="00182443"/>
    <w:rsid w:val="001835E0"/>
    <w:rsid w:val="0018378C"/>
    <w:rsid w:val="00183B47"/>
    <w:rsid w:val="00183E72"/>
    <w:rsid w:val="001845B2"/>
    <w:rsid w:val="00184870"/>
    <w:rsid w:val="001849AC"/>
    <w:rsid w:val="0018538A"/>
    <w:rsid w:val="001858E8"/>
    <w:rsid w:val="00185A64"/>
    <w:rsid w:val="00185EFE"/>
    <w:rsid w:val="00186448"/>
    <w:rsid w:val="001868CB"/>
    <w:rsid w:val="00186B7E"/>
    <w:rsid w:val="00187A44"/>
    <w:rsid w:val="001902C9"/>
    <w:rsid w:val="00190C97"/>
    <w:rsid w:val="00190F84"/>
    <w:rsid w:val="00190FD7"/>
    <w:rsid w:val="00191B68"/>
    <w:rsid w:val="0019238C"/>
    <w:rsid w:val="0019290D"/>
    <w:rsid w:val="00192B67"/>
    <w:rsid w:val="00193730"/>
    <w:rsid w:val="00193AB7"/>
    <w:rsid w:val="00194299"/>
    <w:rsid w:val="00194BC1"/>
    <w:rsid w:val="00195901"/>
    <w:rsid w:val="00195B95"/>
    <w:rsid w:val="00196775"/>
    <w:rsid w:val="00196833"/>
    <w:rsid w:val="00196C70"/>
    <w:rsid w:val="00196E06"/>
    <w:rsid w:val="00197351"/>
    <w:rsid w:val="00197CB0"/>
    <w:rsid w:val="00197D7A"/>
    <w:rsid w:val="00197ED3"/>
    <w:rsid w:val="001A03D2"/>
    <w:rsid w:val="001A0B2D"/>
    <w:rsid w:val="001A1017"/>
    <w:rsid w:val="001A17F8"/>
    <w:rsid w:val="001A1A57"/>
    <w:rsid w:val="001A1B86"/>
    <w:rsid w:val="001A1C0B"/>
    <w:rsid w:val="001A1DA9"/>
    <w:rsid w:val="001A33A9"/>
    <w:rsid w:val="001A3D45"/>
    <w:rsid w:val="001A586A"/>
    <w:rsid w:val="001A5948"/>
    <w:rsid w:val="001A5D18"/>
    <w:rsid w:val="001A5E37"/>
    <w:rsid w:val="001A630C"/>
    <w:rsid w:val="001A63E2"/>
    <w:rsid w:val="001A64EC"/>
    <w:rsid w:val="001B0060"/>
    <w:rsid w:val="001B0ECD"/>
    <w:rsid w:val="001B2E0A"/>
    <w:rsid w:val="001B3198"/>
    <w:rsid w:val="001B4B07"/>
    <w:rsid w:val="001B514D"/>
    <w:rsid w:val="001B5AE1"/>
    <w:rsid w:val="001B6C26"/>
    <w:rsid w:val="001B71D4"/>
    <w:rsid w:val="001B7A4C"/>
    <w:rsid w:val="001B7F86"/>
    <w:rsid w:val="001C09C6"/>
    <w:rsid w:val="001C180A"/>
    <w:rsid w:val="001C1DAC"/>
    <w:rsid w:val="001C311E"/>
    <w:rsid w:val="001C3566"/>
    <w:rsid w:val="001C36DC"/>
    <w:rsid w:val="001C3CD4"/>
    <w:rsid w:val="001C48D9"/>
    <w:rsid w:val="001C4BAE"/>
    <w:rsid w:val="001C5669"/>
    <w:rsid w:val="001C575A"/>
    <w:rsid w:val="001C58FD"/>
    <w:rsid w:val="001C5ACA"/>
    <w:rsid w:val="001C6059"/>
    <w:rsid w:val="001C62BB"/>
    <w:rsid w:val="001C62E8"/>
    <w:rsid w:val="001C68D6"/>
    <w:rsid w:val="001C76C1"/>
    <w:rsid w:val="001C7F7E"/>
    <w:rsid w:val="001C7FA1"/>
    <w:rsid w:val="001D0030"/>
    <w:rsid w:val="001D01CB"/>
    <w:rsid w:val="001D0692"/>
    <w:rsid w:val="001D1154"/>
    <w:rsid w:val="001D13D5"/>
    <w:rsid w:val="001D155C"/>
    <w:rsid w:val="001D281C"/>
    <w:rsid w:val="001D283E"/>
    <w:rsid w:val="001D32E7"/>
    <w:rsid w:val="001D335B"/>
    <w:rsid w:val="001D37F9"/>
    <w:rsid w:val="001D38CA"/>
    <w:rsid w:val="001D3B17"/>
    <w:rsid w:val="001D63CB"/>
    <w:rsid w:val="001D6A72"/>
    <w:rsid w:val="001D7227"/>
    <w:rsid w:val="001D7392"/>
    <w:rsid w:val="001D7FFD"/>
    <w:rsid w:val="001E0035"/>
    <w:rsid w:val="001E022A"/>
    <w:rsid w:val="001E2E66"/>
    <w:rsid w:val="001E4005"/>
    <w:rsid w:val="001E4F9B"/>
    <w:rsid w:val="001E5520"/>
    <w:rsid w:val="001E5878"/>
    <w:rsid w:val="001E5FF8"/>
    <w:rsid w:val="001E6547"/>
    <w:rsid w:val="001E6FB2"/>
    <w:rsid w:val="001E7158"/>
    <w:rsid w:val="001E7A20"/>
    <w:rsid w:val="001F0823"/>
    <w:rsid w:val="001F1DCE"/>
    <w:rsid w:val="001F2FF3"/>
    <w:rsid w:val="001F423D"/>
    <w:rsid w:val="001F441C"/>
    <w:rsid w:val="001F5583"/>
    <w:rsid w:val="001F5BD1"/>
    <w:rsid w:val="001F5CD1"/>
    <w:rsid w:val="001F6B41"/>
    <w:rsid w:val="00200D06"/>
    <w:rsid w:val="0020119B"/>
    <w:rsid w:val="002015DB"/>
    <w:rsid w:val="0020296F"/>
    <w:rsid w:val="002031C9"/>
    <w:rsid w:val="002040BA"/>
    <w:rsid w:val="00204679"/>
    <w:rsid w:val="00204800"/>
    <w:rsid w:val="00205C55"/>
    <w:rsid w:val="00206349"/>
    <w:rsid w:val="00206B5C"/>
    <w:rsid w:val="00206EA3"/>
    <w:rsid w:val="00207BD6"/>
    <w:rsid w:val="002103B9"/>
    <w:rsid w:val="00210707"/>
    <w:rsid w:val="0021183A"/>
    <w:rsid w:val="002125D2"/>
    <w:rsid w:val="00212609"/>
    <w:rsid w:val="00212A2B"/>
    <w:rsid w:val="00212C6C"/>
    <w:rsid w:val="00212F68"/>
    <w:rsid w:val="002133D2"/>
    <w:rsid w:val="0021406A"/>
    <w:rsid w:val="002143EA"/>
    <w:rsid w:val="002171FB"/>
    <w:rsid w:val="00220F3C"/>
    <w:rsid w:val="00221BAF"/>
    <w:rsid w:val="00222007"/>
    <w:rsid w:val="002220DC"/>
    <w:rsid w:val="002221DC"/>
    <w:rsid w:val="002226FB"/>
    <w:rsid w:val="00222931"/>
    <w:rsid w:val="0022450B"/>
    <w:rsid w:val="00224883"/>
    <w:rsid w:val="00224A39"/>
    <w:rsid w:val="00224B0D"/>
    <w:rsid w:val="002259A1"/>
    <w:rsid w:val="0022763B"/>
    <w:rsid w:val="00227D07"/>
    <w:rsid w:val="00230843"/>
    <w:rsid w:val="00231221"/>
    <w:rsid w:val="002322E4"/>
    <w:rsid w:val="00233025"/>
    <w:rsid w:val="00233511"/>
    <w:rsid w:val="0023384A"/>
    <w:rsid w:val="00233901"/>
    <w:rsid w:val="00233986"/>
    <w:rsid w:val="0023407C"/>
    <w:rsid w:val="0023424F"/>
    <w:rsid w:val="00235076"/>
    <w:rsid w:val="00235821"/>
    <w:rsid w:val="00235AA2"/>
    <w:rsid w:val="00235AD5"/>
    <w:rsid w:val="00236B78"/>
    <w:rsid w:val="00237912"/>
    <w:rsid w:val="00237B40"/>
    <w:rsid w:val="00240A74"/>
    <w:rsid w:val="00240D7E"/>
    <w:rsid w:val="00241432"/>
    <w:rsid w:val="00241FF0"/>
    <w:rsid w:val="00242281"/>
    <w:rsid w:val="00242609"/>
    <w:rsid w:val="00242981"/>
    <w:rsid w:val="00243386"/>
    <w:rsid w:val="00243902"/>
    <w:rsid w:val="00244246"/>
    <w:rsid w:val="00244934"/>
    <w:rsid w:val="00244D62"/>
    <w:rsid w:val="002451DD"/>
    <w:rsid w:val="002453AD"/>
    <w:rsid w:val="00245B7F"/>
    <w:rsid w:val="00246872"/>
    <w:rsid w:val="00246A77"/>
    <w:rsid w:val="00246E34"/>
    <w:rsid w:val="00246F3F"/>
    <w:rsid w:val="00246F57"/>
    <w:rsid w:val="00247B9D"/>
    <w:rsid w:val="00247C5C"/>
    <w:rsid w:val="002501F2"/>
    <w:rsid w:val="00250AF4"/>
    <w:rsid w:val="0025155B"/>
    <w:rsid w:val="002515DE"/>
    <w:rsid w:val="00251B1B"/>
    <w:rsid w:val="00251F8F"/>
    <w:rsid w:val="00252B1C"/>
    <w:rsid w:val="00252F6A"/>
    <w:rsid w:val="00253443"/>
    <w:rsid w:val="0025351E"/>
    <w:rsid w:val="002543D5"/>
    <w:rsid w:val="002543DD"/>
    <w:rsid w:val="00254BD8"/>
    <w:rsid w:val="00254C34"/>
    <w:rsid w:val="00255559"/>
    <w:rsid w:val="002557E6"/>
    <w:rsid w:val="00256B85"/>
    <w:rsid w:val="0025797F"/>
    <w:rsid w:val="002609EE"/>
    <w:rsid w:val="00260F52"/>
    <w:rsid w:val="00261FB1"/>
    <w:rsid w:val="00262A7C"/>
    <w:rsid w:val="002638AA"/>
    <w:rsid w:val="0026496D"/>
    <w:rsid w:val="00264F30"/>
    <w:rsid w:val="0026616B"/>
    <w:rsid w:val="00266917"/>
    <w:rsid w:val="002670F1"/>
    <w:rsid w:val="002672C2"/>
    <w:rsid w:val="002702AC"/>
    <w:rsid w:val="00271249"/>
    <w:rsid w:val="00271558"/>
    <w:rsid w:val="002722A5"/>
    <w:rsid w:val="0027266A"/>
    <w:rsid w:val="0027327D"/>
    <w:rsid w:val="002734F5"/>
    <w:rsid w:val="00274253"/>
    <w:rsid w:val="00274BED"/>
    <w:rsid w:val="002755DE"/>
    <w:rsid w:val="00275643"/>
    <w:rsid w:val="00275939"/>
    <w:rsid w:val="0027650D"/>
    <w:rsid w:val="00277A13"/>
    <w:rsid w:val="00280449"/>
    <w:rsid w:val="00280694"/>
    <w:rsid w:val="00281278"/>
    <w:rsid w:val="002821BB"/>
    <w:rsid w:val="002829F0"/>
    <w:rsid w:val="00282A9C"/>
    <w:rsid w:val="00282F55"/>
    <w:rsid w:val="00283323"/>
    <w:rsid w:val="00283732"/>
    <w:rsid w:val="00285071"/>
    <w:rsid w:val="00285ECD"/>
    <w:rsid w:val="00285F7D"/>
    <w:rsid w:val="00286E8F"/>
    <w:rsid w:val="002878D2"/>
    <w:rsid w:val="002879CB"/>
    <w:rsid w:val="00287C8A"/>
    <w:rsid w:val="00290027"/>
    <w:rsid w:val="00290D4F"/>
    <w:rsid w:val="00291A81"/>
    <w:rsid w:val="00292A1D"/>
    <w:rsid w:val="002938CE"/>
    <w:rsid w:val="00293E02"/>
    <w:rsid w:val="00294005"/>
    <w:rsid w:val="002942AD"/>
    <w:rsid w:val="00294387"/>
    <w:rsid w:val="00295FE5"/>
    <w:rsid w:val="00296179"/>
    <w:rsid w:val="00296AB0"/>
    <w:rsid w:val="00297269"/>
    <w:rsid w:val="00297877"/>
    <w:rsid w:val="002A08E4"/>
    <w:rsid w:val="002A100A"/>
    <w:rsid w:val="002A1851"/>
    <w:rsid w:val="002A1BB8"/>
    <w:rsid w:val="002A1BF5"/>
    <w:rsid w:val="002A205F"/>
    <w:rsid w:val="002A213F"/>
    <w:rsid w:val="002A2207"/>
    <w:rsid w:val="002A2DA3"/>
    <w:rsid w:val="002A40A5"/>
    <w:rsid w:val="002A4601"/>
    <w:rsid w:val="002A5C4E"/>
    <w:rsid w:val="002A6B84"/>
    <w:rsid w:val="002A731E"/>
    <w:rsid w:val="002A7D02"/>
    <w:rsid w:val="002B003B"/>
    <w:rsid w:val="002B0ADE"/>
    <w:rsid w:val="002B0C95"/>
    <w:rsid w:val="002B172B"/>
    <w:rsid w:val="002B21AF"/>
    <w:rsid w:val="002B3D16"/>
    <w:rsid w:val="002B3D28"/>
    <w:rsid w:val="002B40FD"/>
    <w:rsid w:val="002B51A2"/>
    <w:rsid w:val="002B6627"/>
    <w:rsid w:val="002B6B86"/>
    <w:rsid w:val="002B7559"/>
    <w:rsid w:val="002B7631"/>
    <w:rsid w:val="002B7C60"/>
    <w:rsid w:val="002C0751"/>
    <w:rsid w:val="002C09F1"/>
    <w:rsid w:val="002C11B7"/>
    <w:rsid w:val="002C226C"/>
    <w:rsid w:val="002C2BB1"/>
    <w:rsid w:val="002C2CA2"/>
    <w:rsid w:val="002C3188"/>
    <w:rsid w:val="002C3CDE"/>
    <w:rsid w:val="002C3D23"/>
    <w:rsid w:val="002C41B3"/>
    <w:rsid w:val="002C429A"/>
    <w:rsid w:val="002C4445"/>
    <w:rsid w:val="002C4670"/>
    <w:rsid w:val="002C4942"/>
    <w:rsid w:val="002C587E"/>
    <w:rsid w:val="002C5A13"/>
    <w:rsid w:val="002C6652"/>
    <w:rsid w:val="002C6B65"/>
    <w:rsid w:val="002C7CC1"/>
    <w:rsid w:val="002D0D1B"/>
    <w:rsid w:val="002D0E88"/>
    <w:rsid w:val="002D15AA"/>
    <w:rsid w:val="002D17B6"/>
    <w:rsid w:val="002D20C6"/>
    <w:rsid w:val="002D242A"/>
    <w:rsid w:val="002D275D"/>
    <w:rsid w:val="002D3FCE"/>
    <w:rsid w:val="002D4919"/>
    <w:rsid w:val="002D492B"/>
    <w:rsid w:val="002D6337"/>
    <w:rsid w:val="002D6494"/>
    <w:rsid w:val="002E0179"/>
    <w:rsid w:val="002E01E6"/>
    <w:rsid w:val="002E0744"/>
    <w:rsid w:val="002E0D22"/>
    <w:rsid w:val="002E125A"/>
    <w:rsid w:val="002E18D7"/>
    <w:rsid w:val="002E337E"/>
    <w:rsid w:val="002E3D5E"/>
    <w:rsid w:val="002E4887"/>
    <w:rsid w:val="002E493D"/>
    <w:rsid w:val="002E4950"/>
    <w:rsid w:val="002E4FDE"/>
    <w:rsid w:val="002E52F9"/>
    <w:rsid w:val="002E53F9"/>
    <w:rsid w:val="002E6532"/>
    <w:rsid w:val="002E65DE"/>
    <w:rsid w:val="002E6D8F"/>
    <w:rsid w:val="002E6E3C"/>
    <w:rsid w:val="002E706C"/>
    <w:rsid w:val="002E7739"/>
    <w:rsid w:val="002E7978"/>
    <w:rsid w:val="002F08A9"/>
    <w:rsid w:val="002F096F"/>
    <w:rsid w:val="002F1F1C"/>
    <w:rsid w:val="002F2059"/>
    <w:rsid w:val="002F20B2"/>
    <w:rsid w:val="002F21BE"/>
    <w:rsid w:val="002F2AEA"/>
    <w:rsid w:val="002F2EA0"/>
    <w:rsid w:val="002F3718"/>
    <w:rsid w:val="002F3BF2"/>
    <w:rsid w:val="002F3C11"/>
    <w:rsid w:val="002F3C94"/>
    <w:rsid w:val="002F419A"/>
    <w:rsid w:val="002F4D4A"/>
    <w:rsid w:val="002F4E7C"/>
    <w:rsid w:val="002F4F18"/>
    <w:rsid w:val="002F6330"/>
    <w:rsid w:val="002F668D"/>
    <w:rsid w:val="002F6C97"/>
    <w:rsid w:val="002F7421"/>
    <w:rsid w:val="002F7B2C"/>
    <w:rsid w:val="00300080"/>
    <w:rsid w:val="00300579"/>
    <w:rsid w:val="00301BB3"/>
    <w:rsid w:val="00302BFD"/>
    <w:rsid w:val="00302C34"/>
    <w:rsid w:val="00303AB4"/>
    <w:rsid w:val="00303DFD"/>
    <w:rsid w:val="00303EF0"/>
    <w:rsid w:val="00304D2A"/>
    <w:rsid w:val="003053F9"/>
    <w:rsid w:val="0030585B"/>
    <w:rsid w:val="003058B8"/>
    <w:rsid w:val="003058FB"/>
    <w:rsid w:val="00305C24"/>
    <w:rsid w:val="00305C70"/>
    <w:rsid w:val="003068F7"/>
    <w:rsid w:val="00306F65"/>
    <w:rsid w:val="003074E3"/>
    <w:rsid w:val="003107C4"/>
    <w:rsid w:val="00310AF6"/>
    <w:rsid w:val="00310C5A"/>
    <w:rsid w:val="00310E88"/>
    <w:rsid w:val="00313171"/>
    <w:rsid w:val="003132EF"/>
    <w:rsid w:val="00314206"/>
    <w:rsid w:val="0031485B"/>
    <w:rsid w:val="00315B98"/>
    <w:rsid w:val="00315BE5"/>
    <w:rsid w:val="00315D26"/>
    <w:rsid w:val="00317257"/>
    <w:rsid w:val="0031748B"/>
    <w:rsid w:val="00317B6B"/>
    <w:rsid w:val="00317B7C"/>
    <w:rsid w:val="00320023"/>
    <w:rsid w:val="00320335"/>
    <w:rsid w:val="00320D0F"/>
    <w:rsid w:val="00321F88"/>
    <w:rsid w:val="00322AB9"/>
    <w:rsid w:val="00322EC1"/>
    <w:rsid w:val="0032301C"/>
    <w:rsid w:val="003232FD"/>
    <w:rsid w:val="00323A35"/>
    <w:rsid w:val="0032437A"/>
    <w:rsid w:val="00324BE3"/>
    <w:rsid w:val="00324D8A"/>
    <w:rsid w:val="003255AA"/>
    <w:rsid w:val="003257D1"/>
    <w:rsid w:val="003260DB"/>
    <w:rsid w:val="003265CF"/>
    <w:rsid w:val="00326D43"/>
    <w:rsid w:val="00327468"/>
    <w:rsid w:val="003303AD"/>
    <w:rsid w:val="00331B01"/>
    <w:rsid w:val="00331BD1"/>
    <w:rsid w:val="00332265"/>
    <w:rsid w:val="00332A56"/>
    <w:rsid w:val="00333152"/>
    <w:rsid w:val="003333CF"/>
    <w:rsid w:val="0033361A"/>
    <w:rsid w:val="003345F8"/>
    <w:rsid w:val="00334DB5"/>
    <w:rsid w:val="003353A0"/>
    <w:rsid w:val="003357E5"/>
    <w:rsid w:val="00335986"/>
    <w:rsid w:val="00335AA7"/>
    <w:rsid w:val="00335C58"/>
    <w:rsid w:val="003362C2"/>
    <w:rsid w:val="00336B64"/>
    <w:rsid w:val="00336DE0"/>
    <w:rsid w:val="003372CA"/>
    <w:rsid w:val="0033740D"/>
    <w:rsid w:val="003403AF"/>
    <w:rsid w:val="0034077B"/>
    <w:rsid w:val="00341003"/>
    <w:rsid w:val="003418E5"/>
    <w:rsid w:val="003418F4"/>
    <w:rsid w:val="003429E6"/>
    <w:rsid w:val="00342FEB"/>
    <w:rsid w:val="00343CA1"/>
    <w:rsid w:val="00343DF3"/>
    <w:rsid w:val="00343F8D"/>
    <w:rsid w:val="00344200"/>
    <w:rsid w:val="00344E26"/>
    <w:rsid w:val="003450BD"/>
    <w:rsid w:val="00345894"/>
    <w:rsid w:val="00345F6A"/>
    <w:rsid w:val="00346209"/>
    <w:rsid w:val="00346524"/>
    <w:rsid w:val="003472CD"/>
    <w:rsid w:val="00347685"/>
    <w:rsid w:val="00347EFF"/>
    <w:rsid w:val="0035023C"/>
    <w:rsid w:val="00350469"/>
    <w:rsid w:val="00350764"/>
    <w:rsid w:val="00350BCA"/>
    <w:rsid w:val="00350EA8"/>
    <w:rsid w:val="00351312"/>
    <w:rsid w:val="0035229D"/>
    <w:rsid w:val="0035359E"/>
    <w:rsid w:val="00353866"/>
    <w:rsid w:val="00353BC9"/>
    <w:rsid w:val="00353C66"/>
    <w:rsid w:val="00353F43"/>
    <w:rsid w:val="003541F6"/>
    <w:rsid w:val="003548F5"/>
    <w:rsid w:val="00354960"/>
    <w:rsid w:val="00354DD9"/>
    <w:rsid w:val="003556DA"/>
    <w:rsid w:val="003559CA"/>
    <w:rsid w:val="00355FC7"/>
    <w:rsid w:val="00356D66"/>
    <w:rsid w:val="00356EDA"/>
    <w:rsid w:val="00357564"/>
    <w:rsid w:val="003576A3"/>
    <w:rsid w:val="00357814"/>
    <w:rsid w:val="003603C4"/>
    <w:rsid w:val="00360465"/>
    <w:rsid w:val="003605DC"/>
    <w:rsid w:val="0036061A"/>
    <w:rsid w:val="00361B5F"/>
    <w:rsid w:val="00362108"/>
    <w:rsid w:val="003621C2"/>
    <w:rsid w:val="003622E9"/>
    <w:rsid w:val="0036256A"/>
    <w:rsid w:val="003629E4"/>
    <w:rsid w:val="00362C61"/>
    <w:rsid w:val="00362E50"/>
    <w:rsid w:val="00362FB1"/>
    <w:rsid w:val="00363485"/>
    <w:rsid w:val="0036542B"/>
    <w:rsid w:val="003658D6"/>
    <w:rsid w:val="00365A83"/>
    <w:rsid w:val="00365C52"/>
    <w:rsid w:val="00365FC5"/>
    <w:rsid w:val="003660C4"/>
    <w:rsid w:val="003661B2"/>
    <w:rsid w:val="003666CD"/>
    <w:rsid w:val="00366E2A"/>
    <w:rsid w:val="00367238"/>
    <w:rsid w:val="00367F85"/>
    <w:rsid w:val="00370648"/>
    <w:rsid w:val="0037072F"/>
    <w:rsid w:val="00371AAC"/>
    <w:rsid w:val="0037232E"/>
    <w:rsid w:val="0037235D"/>
    <w:rsid w:val="00372503"/>
    <w:rsid w:val="003730C2"/>
    <w:rsid w:val="00373342"/>
    <w:rsid w:val="003733B2"/>
    <w:rsid w:val="00373B8D"/>
    <w:rsid w:val="00374586"/>
    <w:rsid w:val="003750FF"/>
    <w:rsid w:val="00375425"/>
    <w:rsid w:val="00375DB4"/>
    <w:rsid w:val="00376CE0"/>
    <w:rsid w:val="00377AE5"/>
    <w:rsid w:val="00380355"/>
    <w:rsid w:val="00380EB9"/>
    <w:rsid w:val="00380F56"/>
    <w:rsid w:val="00381D21"/>
    <w:rsid w:val="00382575"/>
    <w:rsid w:val="0038281A"/>
    <w:rsid w:val="00382B9B"/>
    <w:rsid w:val="00383542"/>
    <w:rsid w:val="00383860"/>
    <w:rsid w:val="00383900"/>
    <w:rsid w:val="00384797"/>
    <w:rsid w:val="003858ED"/>
    <w:rsid w:val="003868E3"/>
    <w:rsid w:val="003869D4"/>
    <w:rsid w:val="0038744C"/>
    <w:rsid w:val="00390535"/>
    <w:rsid w:val="00390F57"/>
    <w:rsid w:val="0039150E"/>
    <w:rsid w:val="00391855"/>
    <w:rsid w:val="00391DF2"/>
    <w:rsid w:val="003923D4"/>
    <w:rsid w:val="0039276F"/>
    <w:rsid w:val="003941E6"/>
    <w:rsid w:val="00394302"/>
    <w:rsid w:val="0039440B"/>
    <w:rsid w:val="00394797"/>
    <w:rsid w:val="00394CA8"/>
    <w:rsid w:val="00394CB8"/>
    <w:rsid w:val="003951CE"/>
    <w:rsid w:val="003962F3"/>
    <w:rsid w:val="00396F68"/>
    <w:rsid w:val="003971C2"/>
    <w:rsid w:val="00397ABF"/>
    <w:rsid w:val="003A1255"/>
    <w:rsid w:val="003A1EEA"/>
    <w:rsid w:val="003A2219"/>
    <w:rsid w:val="003A36E1"/>
    <w:rsid w:val="003A37E8"/>
    <w:rsid w:val="003A56C1"/>
    <w:rsid w:val="003A5F97"/>
    <w:rsid w:val="003A6224"/>
    <w:rsid w:val="003A6762"/>
    <w:rsid w:val="003A682F"/>
    <w:rsid w:val="003A7375"/>
    <w:rsid w:val="003A75E1"/>
    <w:rsid w:val="003B047D"/>
    <w:rsid w:val="003B0961"/>
    <w:rsid w:val="003B0D34"/>
    <w:rsid w:val="003B1AC2"/>
    <w:rsid w:val="003B2C16"/>
    <w:rsid w:val="003B2E8C"/>
    <w:rsid w:val="003B3FC3"/>
    <w:rsid w:val="003B44A2"/>
    <w:rsid w:val="003B4AC6"/>
    <w:rsid w:val="003B6D2F"/>
    <w:rsid w:val="003B7D6A"/>
    <w:rsid w:val="003C0195"/>
    <w:rsid w:val="003C08E6"/>
    <w:rsid w:val="003C10EC"/>
    <w:rsid w:val="003C2552"/>
    <w:rsid w:val="003C2773"/>
    <w:rsid w:val="003C2FC0"/>
    <w:rsid w:val="003C3458"/>
    <w:rsid w:val="003C366C"/>
    <w:rsid w:val="003C3E81"/>
    <w:rsid w:val="003C50AF"/>
    <w:rsid w:val="003C525A"/>
    <w:rsid w:val="003C7421"/>
    <w:rsid w:val="003C75DA"/>
    <w:rsid w:val="003C7773"/>
    <w:rsid w:val="003C7AC9"/>
    <w:rsid w:val="003D0160"/>
    <w:rsid w:val="003D05D0"/>
    <w:rsid w:val="003D0C43"/>
    <w:rsid w:val="003D0F3C"/>
    <w:rsid w:val="003D104C"/>
    <w:rsid w:val="003D1286"/>
    <w:rsid w:val="003D23EA"/>
    <w:rsid w:val="003D2471"/>
    <w:rsid w:val="003D2718"/>
    <w:rsid w:val="003D278F"/>
    <w:rsid w:val="003D38D5"/>
    <w:rsid w:val="003D4003"/>
    <w:rsid w:val="003D431B"/>
    <w:rsid w:val="003D4CCB"/>
    <w:rsid w:val="003D4CEF"/>
    <w:rsid w:val="003D4FE2"/>
    <w:rsid w:val="003D569D"/>
    <w:rsid w:val="003D56FF"/>
    <w:rsid w:val="003D6A0A"/>
    <w:rsid w:val="003D6E50"/>
    <w:rsid w:val="003D711C"/>
    <w:rsid w:val="003D7385"/>
    <w:rsid w:val="003D7EB2"/>
    <w:rsid w:val="003E03F5"/>
    <w:rsid w:val="003E1319"/>
    <w:rsid w:val="003E2171"/>
    <w:rsid w:val="003E26F6"/>
    <w:rsid w:val="003E27B1"/>
    <w:rsid w:val="003E27D3"/>
    <w:rsid w:val="003E2862"/>
    <w:rsid w:val="003E2935"/>
    <w:rsid w:val="003E2AFF"/>
    <w:rsid w:val="003E2B62"/>
    <w:rsid w:val="003E3A61"/>
    <w:rsid w:val="003E4952"/>
    <w:rsid w:val="003E4C4F"/>
    <w:rsid w:val="003E4F0C"/>
    <w:rsid w:val="003E570D"/>
    <w:rsid w:val="003E587B"/>
    <w:rsid w:val="003E5D0A"/>
    <w:rsid w:val="003E673A"/>
    <w:rsid w:val="003E6FA5"/>
    <w:rsid w:val="003E78DF"/>
    <w:rsid w:val="003F0560"/>
    <w:rsid w:val="003F1C2A"/>
    <w:rsid w:val="003F1CBE"/>
    <w:rsid w:val="003F1E8C"/>
    <w:rsid w:val="003F250D"/>
    <w:rsid w:val="003F2AB4"/>
    <w:rsid w:val="003F3B12"/>
    <w:rsid w:val="003F3C0B"/>
    <w:rsid w:val="003F3CD5"/>
    <w:rsid w:val="003F3EDE"/>
    <w:rsid w:val="003F4325"/>
    <w:rsid w:val="003F464C"/>
    <w:rsid w:val="003F5557"/>
    <w:rsid w:val="003F5BFA"/>
    <w:rsid w:val="003F5D9C"/>
    <w:rsid w:val="003F5ECF"/>
    <w:rsid w:val="003F6255"/>
    <w:rsid w:val="003F63BF"/>
    <w:rsid w:val="003F640E"/>
    <w:rsid w:val="003F6BDB"/>
    <w:rsid w:val="003F6CA2"/>
    <w:rsid w:val="003F6DB5"/>
    <w:rsid w:val="003F6E14"/>
    <w:rsid w:val="003F6E7F"/>
    <w:rsid w:val="003F715D"/>
    <w:rsid w:val="003F79A0"/>
    <w:rsid w:val="003F7B88"/>
    <w:rsid w:val="003F7C14"/>
    <w:rsid w:val="004017DA"/>
    <w:rsid w:val="00401BFA"/>
    <w:rsid w:val="00401D24"/>
    <w:rsid w:val="0040242C"/>
    <w:rsid w:val="004028A1"/>
    <w:rsid w:val="00402CA4"/>
    <w:rsid w:val="004047BE"/>
    <w:rsid w:val="00404CD1"/>
    <w:rsid w:val="004055C3"/>
    <w:rsid w:val="00405CAA"/>
    <w:rsid w:val="00405CD4"/>
    <w:rsid w:val="004062EB"/>
    <w:rsid w:val="00406C54"/>
    <w:rsid w:val="004072EB"/>
    <w:rsid w:val="00407461"/>
    <w:rsid w:val="00407C25"/>
    <w:rsid w:val="0041041C"/>
    <w:rsid w:val="0041058C"/>
    <w:rsid w:val="00410F22"/>
    <w:rsid w:val="004115AF"/>
    <w:rsid w:val="004115B8"/>
    <w:rsid w:val="00411906"/>
    <w:rsid w:val="00411F7A"/>
    <w:rsid w:val="004123C5"/>
    <w:rsid w:val="00412DF3"/>
    <w:rsid w:val="004130F1"/>
    <w:rsid w:val="00413DCF"/>
    <w:rsid w:val="00413F99"/>
    <w:rsid w:val="00415EA9"/>
    <w:rsid w:val="004164D0"/>
    <w:rsid w:val="004165D3"/>
    <w:rsid w:val="00416C79"/>
    <w:rsid w:val="00416F01"/>
    <w:rsid w:val="00417C4F"/>
    <w:rsid w:val="004203BF"/>
    <w:rsid w:val="00420963"/>
    <w:rsid w:val="00420ABE"/>
    <w:rsid w:val="00420D62"/>
    <w:rsid w:val="00420F93"/>
    <w:rsid w:val="0042103E"/>
    <w:rsid w:val="0042222B"/>
    <w:rsid w:val="004235D4"/>
    <w:rsid w:val="00423C5D"/>
    <w:rsid w:val="00423CF9"/>
    <w:rsid w:val="00423FB5"/>
    <w:rsid w:val="004240EB"/>
    <w:rsid w:val="00424276"/>
    <w:rsid w:val="0042505D"/>
    <w:rsid w:val="00425998"/>
    <w:rsid w:val="00430E19"/>
    <w:rsid w:val="00430EED"/>
    <w:rsid w:val="004311E1"/>
    <w:rsid w:val="00431F8C"/>
    <w:rsid w:val="00432543"/>
    <w:rsid w:val="0043258C"/>
    <w:rsid w:val="00432A23"/>
    <w:rsid w:val="00432CC7"/>
    <w:rsid w:val="00433108"/>
    <w:rsid w:val="00435B6F"/>
    <w:rsid w:val="00437182"/>
    <w:rsid w:val="00437309"/>
    <w:rsid w:val="00437542"/>
    <w:rsid w:val="00437EB9"/>
    <w:rsid w:val="004402F8"/>
    <w:rsid w:val="004405CF"/>
    <w:rsid w:val="00440D73"/>
    <w:rsid w:val="00440F84"/>
    <w:rsid w:val="004416A2"/>
    <w:rsid w:val="004417AC"/>
    <w:rsid w:val="00441BD4"/>
    <w:rsid w:val="00441DE7"/>
    <w:rsid w:val="004427F7"/>
    <w:rsid w:val="00442C82"/>
    <w:rsid w:val="00443D9F"/>
    <w:rsid w:val="0044475B"/>
    <w:rsid w:val="00444896"/>
    <w:rsid w:val="00445060"/>
    <w:rsid w:val="00446006"/>
    <w:rsid w:val="00446C60"/>
    <w:rsid w:val="0044702D"/>
    <w:rsid w:val="0044752C"/>
    <w:rsid w:val="00450439"/>
    <w:rsid w:val="004505D6"/>
    <w:rsid w:val="00450D61"/>
    <w:rsid w:val="00450F32"/>
    <w:rsid w:val="00451DA1"/>
    <w:rsid w:val="00452351"/>
    <w:rsid w:val="00452C3F"/>
    <w:rsid w:val="00452E84"/>
    <w:rsid w:val="004540CF"/>
    <w:rsid w:val="00454315"/>
    <w:rsid w:val="00454A16"/>
    <w:rsid w:val="00455CCA"/>
    <w:rsid w:val="00455E73"/>
    <w:rsid w:val="00456620"/>
    <w:rsid w:val="00456CDF"/>
    <w:rsid w:val="0046004D"/>
    <w:rsid w:val="00462468"/>
    <w:rsid w:val="00462690"/>
    <w:rsid w:val="004628A2"/>
    <w:rsid w:val="00462E6C"/>
    <w:rsid w:val="00463362"/>
    <w:rsid w:val="004633C8"/>
    <w:rsid w:val="00463433"/>
    <w:rsid w:val="00463455"/>
    <w:rsid w:val="0046417C"/>
    <w:rsid w:val="00464428"/>
    <w:rsid w:val="00465C1A"/>
    <w:rsid w:val="004665C7"/>
    <w:rsid w:val="00467125"/>
    <w:rsid w:val="0046741F"/>
    <w:rsid w:val="00467C8E"/>
    <w:rsid w:val="004705B2"/>
    <w:rsid w:val="00470CA2"/>
    <w:rsid w:val="004711FA"/>
    <w:rsid w:val="0047221A"/>
    <w:rsid w:val="00472433"/>
    <w:rsid w:val="00472993"/>
    <w:rsid w:val="004739C3"/>
    <w:rsid w:val="00475AF7"/>
    <w:rsid w:val="00475D24"/>
    <w:rsid w:val="00476102"/>
    <w:rsid w:val="00476E53"/>
    <w:rsid w:val="00477122"/>
    <w:rsid w:val="0047723D"/>
    <w:rsid w:val="004772C7"/>
    <w:rsid w:val="0047769B"/>
    <w:rsid w:val="00477A00"/>
    <w:rsid w:val="00480400"/>
    <w:rsid w:val="00480712"/>
    <w:rsid w:val="004822FF"/>
    <w:rsid w:val="00483E94"/>
    <w:rsid w:val="00483F68"/>
    <w:rsid w:val="00485CB0"/>
    <w:rsid w:val="0048651B"/>
    <w:rsid w:val="00486781"/>
    <w:rsid w:val="004903A2"/>
    <w:rsid w:val="00490F01"/>
    <w:rsid w:val="004910AF"/>
    <w:rsid w:val="004913D0"/>
    <w:rsid w:val="0049263E"/>
    <w:rsid w:val="00492AC8"/>
    <w:rsid w:val="00493815"/>
    <w:rsid w:val="00494266"/>
    <w:rsid w:val="00494311"/>
    <w:rsid w:val="00494583"/>
    <w:rsid w:val="004949F6"/>
    <w:rsid w:val="004952FE"/>
    <w:rsid w:val="004954A1"/>
    <w:rsid w:val="00495E05"/>
    <w:rsid w:val="0049652A"/>
    <w:rsid w:val="00497E89"/>
    <w:rsid w:val="004A0287"/>
    <w:rsid w:val="004A09E3"/>
    <w:rsid w:val="004A0C2D"/>
    <w:rsid w:val="004A0DFF"/>
    <w:rsid w:val="004A1230"/>
    <w:rsid w:val="004A2087"/>
    <w:rsid w:val="004A23B4"/>
    <w:rsid w:val="004A27C2"/>
    <w:rsid w:val="004A28DA"/>
    <w:rsid w:val="004A2E9A"/>
    <w:rsid w:val="004A2FA3"/>
    <w:rsid w:val="004A4F86"/>
    <w:rsid w:val="004A51F6"/>
    <w:rsid w:val="004A523C"/>
    <w:rsid w:val="004A5318"/>
    <w:rsid w:val="004A6B06"/>
    <w:rsid w:val="004A6CEC"/>
    <w:rsid w:val="004A71F4"/>
    <w:rsid w:val="004A738B"/>
    <w:rsid w:val="004B08D4"/>
    <w:rsid w:val="004B0DEF"/>
    <w:rsid w:val="004B41D6"/>
    <w:rsid w:val="004B45DD"/>
    <w:rsid w:val="004B45F3"/>
    <w:rsid w:val="004B461E"/>
    <w:rsid w:val="004B4B3D"/>
    <w:rsid w:val="004B5505"/>
    <w:rsid w:val="004B554D"/>
    <w:rsid w:val="004B5B19"/>
    <w:rsid w:val="004B6134"/>
    <w:rsid w:val="004B6498"/>
    <w:rsid w:val="004B71AC"/>
    <w:rsid w:val="004B78E6"/>
    <w:rsid w:val="004B7DC5"/>
    <w:rsid w:val="004B7DD3"/>
    <w:rsid w:val="004C023F"/>
    <w:rsid w:val="004C0E79"/>
    <w:rsid w:val="004C102F"/>
    <w:rsid w:val="004C1831"/>
    <w:rsid w:val="004C1BAC"/>
    <w:rsid w:val="004C3F79"/>
    <w:rsid w:val="004C5127"/>
    <w:rsid w:val="004C51DD"/>
    <w:rsid w:val="004C61E6"/>
    <w:rsid w:val="004C6F51"/>
    <w:rsid w:val="004C7FD2"/>
    <w:rsid w:val="004D0808"/>
    <w:rsid w:val="004D115B"/>
    <w:rsid w:val="004D1A9A"/>
    <w:rsid w:val="004D1EAA"/>
    <w:rsid w:val="004D2E22"/>
    <w:rsid w:val="004D3D92"/>
    <w:rsid w:val="004D3E30"/>
    <w:rsid w:val="004D4C00"/>
    <w:rsid w:val="004D5BB7"/>
    <w:rsid w:val="004D6054"/>
    <w:rsid w:val="004D6C24"/>
    <w:rsid w:val="004D6DBB"/>
    <w:rsid w:val="004D7190"/>
    <w:rsid w:val="004D7736"/>
    <w:rsid w:val="004D7FF1"/>
    <w:rsid w:val="004E0124"/>
    <w:rsid w:val="004E030A"/>
    <w:rsid w:val="004E0392"/>
    <w:rsid w:val="004E06A5"/>
    <w:rsid w:val="004E152D"/>
    <w:rsid w:val="004E2637"/>
    <w:rsid w:val="004E2A9D"/>
    <w:rsid w:val="004E310D"/>
    <w:rsid w:val="004E3196"/>
    <w:rsid w:val="004E3A78"/>
    <w:rsid w:val="004E3BD7"/>
    <w:rsid w:val="004E3D2A"/>
    <w:rsid w:val="004E4040"/>
    <w:rsid w:val="004E4503"/>
    <w:rsid w:val="004E53D5"/>
    <w:rsid w:val="004E57A8"/>
    <w:rsid w:val="004E60F0"/>
    <w:rsid w:val="004E72B3"/>
    <w:rsid w:val="004E7411"/>
    <w:rsid w:val="004F075D"/>
    <w:rsid w:val="004F123E"/>
    <w:rsid w:val="004F139D"/>
    <w:rsid w:val="004F14A6"/>
    <w:rsid w:val="004F1A44"/>
    <w:rsid w:val="004F2C7E"/>
    <w:rsid w:val="004F317B"/>
    <w:rsid w:val="004F36B3"/>
    <w:rsid w:val="004F3D72"/>
    <w:rsid w:val="004F4640"/>
    <w:rsid w:val="004F4E24"/>
    <w:rsid w:val="004F54D1"/>
    <w:rsid w:val="004F5BFB"/>
    <w:rsid w:val="004F67AD"/>
    <w:rsid w:val="004F7C7A"/>
    <w:rsid w:val="005014B1"/>
    <w:rsid w:val="00502115"/>
    <w:rsid w:val="00503230"/>
    <w:rsid w:val="005032C7"/>
    <w:rsid w:val="00503DA2"/>
    <w:rsid w:val="0050594C"/>
    <w:rsid w:val="005064D5"/>
    <w:rsid w:val="00507032"/>
    <w:rsid w:val="0050740B"/>
    <w:rsid w:val="005078D8"/>
    <w:rsid w:val="00507945"/>
    <w:rsid w:val="00510914"/>
    <w:rsid w:val="00510DD4"/>
    <w:rsid w:val="00510E5A"/>
    <w:rsid w:val="005128C9"/>
    <w:rsid w:val="00512C27"/>
    <w:rsid w:val="00512CE2"/>
    <w:rsid w:val="00512EB7"/>
    <w:rsid w:val="00513142"/>
    <w:rsid w:val="00513443"/>
    <w:rsid w:val="005138C1"/>
    <w:rsid w:val="0051396C"/>
    <w:rsid w:val="00513F90"/>
    <w:rsid w:val="00514026"/>
    <w:rsid w:val="005140C0"/>
    <w:rsid w:val="005144E3"/>
    <w:rsid w:val="00514CAE"/>
    <w:rsid w:val="00514FBE"/>
    <w:rsid w:val="00515845"/>
    <w:rsid w:val="00515D42"/>
    <w:rsid w:val="00515E29"/>
    <w:rsid w:val="00515F07"/>
    <w:rsid w:val="0052012D"/>
    <w:rsid w:val="00520D0A"/>
    <w:rsid w:val="00523C50"/>
    <w:rsid w:val="00524C5A"/>
    <w:rsid w:val="00525146"/>
    <w:rsid w:val="0052528C"/>
    <w:rsid w:val="005258A4"/>
    <w:rsid w:val="00525C9F"/>
    <w:rsid w:val="005277EA"/>
    <w:rsid w:val="00527EB3"/>
    <w:rsid w:val="005301D1"/>
    <w:rsid w:val="00530FF4"/>
    <w:rsid w:val="005319DD"/>
    <w:rsid w:val="005333AE"/>
    <w:rsid w:val="00533417"/>
    <w:rsid w:val="00533DC1"/>
    <w:rsid w:val="00534000"/>
    <w:rsid w:val="005355FC"/>
    <w:rsid w:val="0053617F"/>
    <w:rsid w:val="00537354"/>
    <w:rsid w:val="00537749"/>
    <w:rsid w:val="00537D7F"/>
    <w:rsid w:val="00542451"/>
    <w:rsid w:val="00542732"/>
    <w:rsid w:val="00542973"/>
    <w:rsid w:val="00542F03"/>
    <w:rsid w:val="00544080"/>
    <w:rsid w:val="00544CD5"/>
    <w:rsid w:val="00544F7A"/>
    <w:rsid w:val="00545712"/>
    <w:rsid w:val="005466EC"/>
    <w:rsid w:val="005477DC"/>
    <w:rsid w:val="0054788F"/>
    <w:rsid w:val="00547900"/>
    <w:rsid w:val="00550C6F"/>
    <w:rsid w:val="00551C5C"/>
    <w:rsid w:val="00551F3C"/>
    <w:rsid w:val="00552183"/>
    <w:rsid w:val="005523EF"/>
    <w:rsid w:val="0055249D"/>
    <w:rsid w:val="005528C6"/>
    <w:rsid w:val="005528F2"/>
    <w:rsid w:val="00552A88"/>
    <w:rsid w:val="005533C3"/>
    <w:rsid w:val="00553723"/>
    <w:rsid w:val="00554A06"/>
    <w:rsid w:val="00554DAD"/>
    <w:rsid w:val="0055535D"/>
    <w:rsid w:val="00555F0A"/>
    <w:rsid w:val="0055668A"/>
    <w:rsid w:val="00557A26"/>
    <w:rsid w:val="00557D43"/>
    <w:rsid w:val="0056027D"/>
    <w:rsid w:val="005602CB"/>
    <w:rsid w:val="00560D73"/>
    <w:rsid w:val="00561494"/>
    <w:rsid w:val="00561B52"/>
    <w:rsid w:val="00562FB4"/>
    <w:rsid w:val="005632BF"/>
    <w:rsid w:val="00564AD5"/>
    <w:rsid w:val="00564E87"/>
    <w:rsid w:val="005650DE"/>
    <w:rsid w:val="00565AC8"/>
    <w:rsid w:val="00566333"/>
    <w:rsid w:val="00566AEC"/>
    <w:rsid w:val="00566C89"/>
    <w:rsid w:val="00566FA4"/>
    <w:rsid w:val="005701E2"/>
    <w:rsid w:val="005704F5"/>
    <w:rsid w:val="00570BD0"/>
    <w:rsid w:val="00570E2D"/>
    <w:rsid w:val="00571439"/>
    <w:rsid w:val="005716D8"/>
    <w:rsid w:val="00571741"/>
    <w:rsid w:val="00571999"/>
    <w:rsid w:val="00571A47"/>
    <w:rsid w:val="00572A0A"/>
    <w:rsid w:val="00573566"/>
    <w:rsid w:val="005738D7"/>
    <w:rsid w:val="00573DA2"/>
    <w:rsid w:val="00573EE5"/>
    <w:rsid w:val="00574A32"/>
    <w:rsid w:val="0057668E"/>
    <w:rsid w:val="00576939"/>
    <w:rsid w:val="00576E66"/>
    <w:rsid w:val="00577D4D"/>
    <w:rsid w:val="00580396"/>
    <w:rsid w:val="00580F51"/>
    <w:rsid w:val="0058149B"/>
    <w:rsid w:val="00581713"/>
    <w:rsid w:val="00582071"/>
    <w:rsid w:val="005821B4"/>
    <w:rsid w:val="00582760"/>
    <w:rsid w:val="005829CA"/>
    <w:rsid w:val="00583262"/>
    <w:rsid w:val="00583349"/>
    <w:rsid w:val="00583F3B"/>
    <w:rsid w:val="00583FC7"/>
    <w:rsid w:val="00585D4D"/>
    <w:rsid w:val="00586222"/>
    <w:rsid w:val="00586283"/>
    <w:rsid w:val="00587385"/>
    <w:rsid w:val="00587617"/>
    <w:rsid w:val="005900BE"/>
    <w:rsid w:val="00590202"/>
    <w:rsid w:val="00590779"/>
    <w:rsid w:val="00590C9D"/>
    <w:rsid w:val="005918FE"/>
    <w:rsid w:val="00592E4B"/>
    <w:rsid w:val="00593609"/>
    <w:rsid w:val="00593FAB"/>
    <w:rsid w:val="00594191"/>
    <w:rsid w:val="00594A91"/>
    <w:rsid w:val="00594AD5"/>
    <w:rsid w:val="00594CB5"/>
    <w:rsid w:val="0059637A"/>
    <w:rsid w:val="0059660B"/>
    <w:rsid w:val="00597906"/>
    <w:rsid w:val="00597FA0"/>
    <w:rsid w:val="005A01A6"/>
    <w:rsid w:val="005A05F0"/>
    <w:rsid w:val="005A085E"/>
    <w:rsid w:val="005A11C0"/>
    <w:rsid w:val="005A1460"/>
    <w:rsid w:val="005A2C0D"/>
    <w:rsid w:val="005A3F0A"/>
    <w:rsid w:val="005A400D"/>
    <w:rsid w:val="005A4394"/>
    <w:rsid w:val="005A46E9"/>
    <w:rsid w:val="005A4DE0"/>
    <w:rsid w:val="005A52E3"/>
    <w:rsid w:val="005A5729"/>
    <w:rsid w:val="005A61BF"/>
    <w:rsid w:val="005A6776"/>
    <w:rsid w:val="005A6C5C"/>
    <w:rsid w:val="005B19BC"/>
    <w:rsid w:val="005B3518"/>
    <w:rsid w:val="005B39CE"/>
    <w:rsid w:val="005B3A8B"/>
    <w:rsid w:val="005B410E"/>
    <w:rsid w:val="005B4562"/>
    <w:rsid w:val="005B4B82"/>
    <w:rsid w:val="005B5B09"/>
    <w:rsid w:val="005B5F70"/>
    <w:rsid w:val="005B6AC3"/>
    <w:rsid w:val="005B6D34"/>
    <w:rsid w:val="005B6E7A"/>
    <w:rsid w:val="005C1C0F"/>
    <w:rsid w:val="005C2425"/>
    <w:rsid w:val="005C26A9"/>
    <w:rsid w:val="005C422A"/>
    <w:rsid w:val="005C4B9C"/>
    <w:rsid w:val="005C5725"/>
    <w:rsid w:val="005C5DF2"/>
    <w:rsid w:val="005C60F8"/>
    <w:rsid w:val="005C6171"/>
    <w:rsid w:val="005C7C6A"/>
    <w:rsid w:val="005C7F9B"/>
    <w:rsid w:val="005D02F6"/>
    <w:rsid w:val="005D0474"/>
    <w:rsid w:val="005D1033"/>
    <w:rsid w:val="005D1623"/>
    <w:rsid w:val="005D1A6A"/>
    <w:rsid w:val="005D1AFF"/>
    <w:rsid w:val="005D1F7B"/>
    <w:rsid w:val="005D2049"/>
    <w:rsid w:val="005D25F6"/>
    <w:rsid w:val="005D2664"/>
    <w:rsid w:val="005D28E8"/>
    <w:rsid w:val="005D2EAE"/>
    <w:rsid w:val="005D2F30"/>
    <w:rsid w:val="005D4AE3"/>
    <w:rsid w:val="005D4B67"/>
    <w:rsid w:val="005D4E40"/>
    <w:rsid w:val="005D51B4"/>
    <w:rsid w:val="005D702E"/>
    <w:rsid w:val="005D79FA"/>
    <w:rsid w:val="005D7B18"/>
    <w:rsid w:val="005D7EAA"/>
    <w:rsid w:val="005E0B85"/>
    <w:rsid w:val="005E0FE0"/>
    <w:rsid w:val="005E282E"/>
    <w:rsid w:val="005E2FD5"/>
    <w:rsid w:val="005E30DB"/>
    <w:rsid w:val="005E348F"/>
    <w:rsid w:val="005E52CD"/>
    <w:rsid w:val="005E6253"/>
    <w:rsid w:val="005E65F8"/>
    <w:rsid w:val="005E74A8"/>
    <w:rsid w:val="005E79E7"/>
    <w:rsid w:val="005E7AD5"/>
    <w:rsid w:val="005F08F1"/>
    <w:rsid w:val="005F1840"/>
    <w:rsid w:val="005F22AE"/>
    <w:rsid w:val="005F40DD"/>
    <w:rsid w:val="005F456B"/>
    <w:rsid w:val="005F4B69"/>
    <w:rsid w:val="005F6060"/>
    <w:rsid w:val="005F6355"/>
    <w:rsid w:val="005F770D"/>
    <w:rsid w:val="005F7C21"/>
    <w:rsid w:val="00600BA4"/>
    <w:rsid w:val="00600FEE"/>
    <w:rsid w:val="00601798"/>
    <w:rsid w:val="00601AD1"/>
    <w:rsid w:val="006028C3"/>
    <w:rsid w:val="00604294"/>
    <w:rsid w:val="00604826"/>
    <w:rsid w:val="006050B6"/>
    <w:rsid w:val="00606465"/>
    <w:rsid w:val="006066D8"/>
    <w:rsid w:val="00606815"/>
    <w:rsid w:val="00606FEA"/>
    <w:rsid w:val="00607D36"/>
    <w:rsid w:val="00607E64"/>
    <w:rsid w:val="00610146"/>
    <w:rsid w:val="0061097B"/>
    <w:rsid w:val="00612266"/>
    <w:rsid w:val="006122A1"/>
    <w:rsid w:val="00612F7F"/>
    <w:rsid w:val="00613175"/>
    <w:rsid w:val="006139B1"/>
    <w:rsid w:val="00614672"/>
    <w:rsid w:val="00614E57"/>
    <w:rsid w:val="00615247"/>
    <w:rsid w:val="00615357"/>
    <w:rsid w:val="0061598D"/>
    <w:rsid w:val="006169D9"/>
    <w:rsid w:val="00616C5D"/>
    <w:rsid w:val="0061757D"/>
    <w:rsid w:val="0061798A"/>
    <w:rsid w:val="0062023B"/>
    <w:rsid w:val="00620B79"/>
    <w:rsid w:val="006212F0"/>
    <w:rsid w:val="0062180D"/>
    <w:rsid w:val="00621F5A"/>
    <w:rsid w:val="006220F7"/>
    <w:rsid w:val="006234C8"/>
    <w:rsid w:val="00623C2C"/>
    <w:rsid w:val="00623C99"/>
    <w:rsid w:val="006241DE"/>
    <w:rsid w:val="006244D1"/>
    <w:rsid w:val="00624857"/>
    <w:rsid w:val="006248C1"/>
    <w:rsid w:val="00626130"/>
    <w:rsid w:val="00627570"/>
    <w:rsid w:val="00630138"/>
    <w:rsid w:val="00630458"/>
    <w:rsid w:val="00631021"/>
    <w:rsid w:val="00631133"/>
    <w:rsid w:val="0063173D"/>
    <w:rsid w:val="0063195B"/>
    <w:rsid w:val="00631B41"/>
    <w:rsid w:val="00631E1B"/>
    <w:rsid w:val="006321C2"/>
    <w:rsid w:val="006323FC"/>
    <w:rsid w:val="0063245D"/>
    <w:rsid w:val="00632C9F"/>
    <w:rsid w:val="006345BA"/>
    <w:rsid w:val="0063474B"/>
    <w:rsid w:val="006347CE"/>
    <w:rsid w:val="00634F91"/>
    <w:rsid w:val="006351B4"/>
    <w:rsid w:val="0063618E"/>
    <w:rsid w:val="0063697F"/>
    <w:rsid w:val="00636A25"/>
    <w:rsid w:val="00636CD1"/>
    <w:rsid w:val="00636FBB"/>
    <w:rsid w:val="006371C1"/>
    <w:rsid w:val="006376DF"/>
    <w:rsid w:val="0064079E"/>
    <w:rsid w:val="00640840"/>
    <w:rsid w:val="00640FA1"/>
    <w:rsid w:val="00641286"/>
    <w:rsid w:val="0064292C"/>
    <w:rsid w:val="006429F1"/>
    <w:rsid w:val="00642F72"/>
    <w:rsid w:val="00644719"/>
    <w:rsid w:val="006448D1"/>
    <w:rsid w:val="00644F90"/>
    <w:rsid w:val="00645270"/>
    <w:rsid w:val="006470ED"/>
    <w:rsid w:val="00647517"/>
    <w:rsid w:val="00650C7D"/>
    <w:rsid w:val="00650FF3"/>
    <w:rsid w:val="006526CE"/>
    <w:rsid w:val="00652DED"/>
    <w:rsid w:val="00652E3E"/>
    <w:rsid w:val="006537A5"/>
    <w:rsid w:val="00653A80"/>
    <w:rsid w:val="00654BBB"/>
    <w:rsid w:val="00655325"/>
    <w:rsid w:val="00655429"/>
    <w:rsid w:val="006555DE"/>
    <w:rsid w:val="0065570A"/>
    <w:rsid w:val="0065602B"/>
    <w:rsid w:val="00656B30"/>
    <w:rsid w:val="00656CCF"/>
    <w:rsid w:val="00656F1C"/>
    <w:rsid w:val="0065711E"/>
    <w:rsid w:val="00657914"/>
    <w:rsid w:val="00657CBF"/>
    <w:rsid w:val="00657FBC"/>
    <w:rsid w:val="0066014F"/>
    <w:rsid w:val="00660820"/>
    <w:rsid w:val="0066213E"/>
    <w:rsid w:val="006623BC"/>
    <w:rsid w:val="00662E58"/>
    <w:rsid w:val="0066322E"/>
    <w:rsid w:val="0066333A"/>
    <w:rsid w:val="00664149"/>
    <w:rsid w:val="006642BF"/>
    <w:rsid w:val="006642EC"/>
    <w:rsid w:val="00664713"/>
    <w:rsid w:val="00664980"/>
    <w:rsid w:val="00665109"/>
    <w:rsid w:val="006655CD"/>
    <w:rsid w:val="00665A1E"/>
    <w:rsid w:val="0066651C"/>
    <w:rsid w:val="006666CF"/>
    <w:rsid w:val="00667393"/>
    <w:rsid w:val="00667FB6"/>
    <w:rsid w:val="0067060B"/>
    <w:rsid w:val="00670654"/>
    <w:rsid w:val="00670F8C"/>
    <w:rsid w:val="0067187D"/>
    <w:rsid w:val="00672B4C"/>
    <w:rsid w:val="00673504"/>
    <w:rsid w:val="0067455C"/>
    <w:rsid w:val="00674651"/>
    <w:rsid w:val="00674CC3"/>
    <w:rsid w:val="0067581B"/>
    <w:rsid w:val="00675A7B"/>
    <w:rsid w:val="00675B1B"/>
    <w:rsid w:val="00675BC2"/>
    <w:rsid w:val="00675C8F"/>
    <w:rsid w:val="006767B5"/>
    <w:rsid w:val="006772E3"/>
    <w:rsid w:val="00677F77"/>
    <w:rsid w:val="00680F2C"/>
    <w:rsid w:val="00680F50"/>
    <w:rsid w:val="00680F65"/>
    <w:rsid w:val="00681681"/>
    <w:rsid w:val="00681B06"/>
    <w:rsid w:val="0068272C"/>
    <w:rsid w:val="0068367D"/>
    <w:rsid w:val="0068419F"/>
    <w:rsid w:val="00684770"/>
    <w:rsid w:val="00684979"/>
    <w:rsid w:val="00684A43"/>
    <w:rsid w:val="00684B30"/>
    <w:rsid w:val="0068511C"/>
    <w:rsid w:val="0068726F"/>
    <w:rsid w:val="0068757E"/>
    <w:rsid w:val="006878BD"/>
    <w:rsid w:val="00691A00"/>
    <w:rsid w:val="00691E95"/>
    <w:rsid w:val="00692693"/>
    <w:rsid w:val="00692D4B"/>
    <w:rsid w:val="006932FA"/>
    <w:rsid w:val="00693BD3"/>
    <w:rsid w:val="00693F12"/>
    <w:rsid w:val="006945C1"/>
    <w:rsid w:val="00694D4D"/>
    <w:rsid w:val="0069766F"/>
    <w:rsid w:val="006979DF"/>
    <w:rsid w:val="00697D77"/>
    <w:rsid w:val="006A0106"/>
    <w:rsid w:val="006A0655"/>
    <w:rsid w:val="006A09C4"/>
    <w:rsid w:val="006A113C"/>
    <w:rsid w:val="006A1F8C"/>
    <w:rsid w:val="006A20AE"/>
    <w:rsid w:val="006A41F8"/>
    <w:rsid w:val="006A4296"/>
    <w:rsid w:val="006A46C9"/>
    <w:rsid w:val="006A4A7A"/>
    <w:rsid w:val="006A4D82"/>
    <w:rsid w:val="006A4D9A"/>
    <w:rsid w:val="006A548D"/>
    <w:rsid w:val="006A57A9"/>
    <w:rsid w:val="006A5956"/>
    <w:rsid w:val="006A59FF"/>
    <w:rsid w:val="006A5A94"/>
    <w:rsid w:val="006A5CEB"/>
    <w:rsid w:val="006A61D6"/>
    <w:rsid w:val="006A6274"/>
    <w:rsid w:val="006A66D5"/>
    <w:rsid w:val="006A6C48"/>
    <w:rsid w:val="006A6FB5"/>
    <w:rsid w:val="006A730F"/>
    <w:rsid w:val="006A772E"/>
    <w:rsid w:val="006B04AD"/>
    <w:rsid w:val="006B1610"/>
    <w:rsid w:val="006B1675"/>
    <w:rsid w:val="006B170E"/>
    <w:rsid w:val="006B182E"/>
    <w:rsid w:val="006B202E"/>
    <w:rsid w:val="006B226E"/>
    <w:rsid w:val="006B2603"/>
    <w:rsid w:val="006B2E86"/>
    <w:rsid w:val="006B30AD"/>
    <w:rsid w:val="006B3D39"/>
    <w:rsid w:val="006B4653"/>
    <w:rsid w:val="006B4AE1"/>
    <w:rsid w:val="006B4F77"/>
    <w:rsid w:val="006B53B0"/>
    <w:rsid w:val="006B5AD6"/>
    <w:rsid w:val="006B5F01"/>
    <w:rsid w:val="006B6320"/>
    <w:rsid w:val="006B6448"/>
    <w:rsid w:val="006B6A12"/>
    <w:rsid w:val="006B6D80"/>
    <w:rsid w:val="006B7155"/>
    <w:rsid w:val="006C0099"/>
    <w:rsid w:val="006C0EB0"/>
    <w:rsid w:val="006C127B"/>
    <w:rsid w:val="006C1302"/>
    <w:rsid w:val="006C1662"/>
    <w:rsid w:val="006C1B8B"/>
    <w:rsid w:val="006C224A"/>
    <w:rsid w:val="006C22FE"/>
    <w:rsid w:val="006C28A2"/>
    <w:rsid w:val="006C3530"/>
    <w:rsid w:val="006C3740"/>
    <w:rsid w:val="006C3B0A"/>
    <w:rsid w:val="006C3B60"/>
    <w:rsid w:val="006C3D57"/>
    <w:rsid w:val="006C4414"/>
    <w:rsid w:val="006C4D90"/>
    <w:rsid w:val="006C50CA"/>
    <w:rsid w:val="006C5423"/>
    <w:rsid w:val="006C5715"/>
    <w:rsid w:val="006C57CF"/>
    <w:rsid w:val="006C6324"/>
    <w:rsid w:val="006C6D60"/>
    <w:rsid w:val="006C6DB8"/>
    <w:rsid w:val="006C7569"/>
    <w:rsid w:val="006D0311"/>
    <w:rsid w:val="006D0CED"/>
    <w:rsid w:val="006D1023"/>
    <w:rsid w:val="006D2449"/>
    <w:rsid w:val="006D2969"/>
    <w:rsid w:val="006D29A2"/>
    <w:rsid w:val="006D2A3E"/>
    <w:rsid w:val="006D2C89"/>
    <w:rsid w:val="006D2F87"/>
    <w:rsid w:val="006D35F5"/>
    <w:rsid w:val="006D4274"/>
    <w:rsid w:val="006D4900"/>
    <w:rsid w:val="006D4CB1"/>
    <w:rsid w:val="006D4EB4"/>
    <w:rsid w:val="006D5C7F"/>
    <w:rsid w:val="006D70A9"/>
    <w:rsid w:val="006D73D7"/>
    <w:rsid w:val="006D7424"/>
    <w:rsid w:val="006D757E"/>
    <w:rsid w:val="006D79C5"/>
    <w:rsid w:val="006E0404"/>
    <w:rsid w:val="006E04C6"/>
    <w:rsid w:val="006E0815"/>
    <w:rsid w:val="006E2081"/>
    <w:rsid w:val="006E2232"/>
    <w:rsid w:val="006E24E9"/>
    <w:rsid w:val="006E2A03"/>
    <w:rsid w:val="006E2D2E"/>
    <w:rsid w:val="006E30C2"/>
    <w:rsid w:val="006E3259"/>
    <w:rsid w:val="006E39BB"/>
    <w:rsid w:val="006E3DA2"/>
    <w:rsid w:val="006E429D"/>
    <w:rsid w:val="006E51E0"/>
    <w:rsid w:val="006E578C"/>
    <w:rsid w:val="006E588C"/>
    <w:rsid w:val="006E5FC2"/>
    <w:rsid w:val="006E6E60"/>
    <w:rsid w:val="006E75DD"/>
    <w:rsid w:val="006E7D01"/>
    <w:rsid w:val="006F0686"/>
    <w:rsid w:val="006F06F8"/>
    <w:rsid w:val="006F09A0"/>
    <w:rsid w:val="006F0CC8"/>
    <w:rsid w:val="006F20AB"/>
    <w:rsid w:val="006F21DB"/>
    <w:rsid w:val="006F3027"/>
    <w:rsid w:val="006F303C"/>
    <w:rsid w:val="006F3138"/>
    <w:rsid w:val="006F35A0"/>
    <w:rsid w:val="006F36A4"/>
    <w:rsid w:val="006F3AF5"/>
    <w:rsid w:val="006F4238"/>
    <w:rsid w:val="006F4DF3"/>
    <w:rsid w:val="006F573A"/>
    <w:rsid w:val="006F5C58"/>
    <w:rsid w:val="006F5C80"/>
    <w:rsid w:val="006F613D"/>
    <w:rsid w:val="006F693D"/>
    <w:rsid w:val="006F6C7C"/>
    <w:rsid w:val="006F7176"/>
    <w:rsid w:val="006F7740"/>
    <w:rsid w:val="0070190B"/>
    <w:rsid w:val="00701AEC"/>
    <w:rsid w:val="0070220B"/>
    <w:rsid w:val="0070264D"/>
    <w:rsid w:val="00702854"/>
    <w:rsid w:val="0070285B"/>
    <w:rsid w:val="007028F1"/>
    <w:rsid w:val="0070290A"/>
    <w:rsid w:val="00703E3A"/>
    <w:rsid w:val="00704206"/>
    <w:rsid w:val="00705202"/>
    <w:rsid w:val="007068FF"/>
    <w:rsid w:val="00706ADF"/>
    <w:rsid w:val="007070AF"/>
    <w:rsid w:val="007070F1"/>
    <w:rsid w:val="0070733C"/>
    <w:rsid w:val="007104B3"/>
    <w:rsid w:val="00710EFA"/>
    <w:rsid w:val="00711131"/>
    <w:rsid w:val="0071169B"/>
    <w:rsid w:val="00711E43"/>
    <w:rsid w:val="007125EB"/>
    <w:rsid w:val="0071302A"/>
    <w:rsid w:val="00713A41"/>
    <w:rsid w:val="00713AAD"/>
    <w:rsid w:val="007168C1"/>
    <w:rsid w:val="00716A07"/>
    <w:rsid w:val="00716D28"/>
    <w:rsid w:val="00717A02"/>
    <w:rsid w:val="00720133"/>
    <w:rsid w:val="007204E9"/>
    <w:rsid w:val="00720C1D"/>
    <w:rsid w:val="00720D61"/>
    <w:rsid w:val="00720F08"/>
    <w:rsid w:val="00721579"/>
    <w:rsid w:val="00721FB5"/>
    <w:rsid w:val="007230FE"/>
    <w:rsid w:val="00723476"/>
    <w:rsid w:val="007238BE"/>
    <w:rsid w:val="00723B38"/>
    <w:rsid w:val="00727566"/>
    <w:rsid w:val="00727946"/>
    <w:rsid w:val="007279AA"/>
    <w:rsid w:val="00727B4B"/>
    <w:rsid w:val="0073102F"/>
    <w:rsid w:val="00731204"/>
    <w:rsid w:val="00732965"/>
    <w:rsid w:val="00732C49"/>
    <w:rsid w:val="00732D6C"/>
    <w:rsid w:val="00732F59"/>
    <w:rsid w:val="007333C2"/>
    <w:rsid w:val="00733665"/>
    <w:rsid w:val="00733B1D"/>
    <w:rsid w:val="00734598"/>
    <w:rsid w:val="007346A7"/>
    <w:rsid w:val="007346DA"/>
    <w:rsid w:val="0073497D"/>
    <w:rsid w:val="00734A5E"/>
    <w:rsid w:val="00734BF8"/>
    <w:rsid w:val="00734ECE"/>
    <w:rsid w:val="00735037"/>
    <w:rsid w:val="0073597D"/>
    <w:rsid w:val="00735E8F"/>
    <w:rsid w:val="00737434"/>
    <w:rsid w:val="00737FCA"/>
    <w:rsid w:val="007400DB"/>
    <w:rsid w:val="00740817"/>
    <w:rsid w:val="00740E43"/>
    <w:rsid w:val="00741699"/>
    <w:rsid w:val="00742D74"/>
    <w:rsid w:val="00742DF6"/>
    <w:rsid w:val="00743F1B"/>
    <w:rsid w:val="00744535"/>
    <w:rsid w:val="007449B8"/>
    <w:rsid w:val="007450A4"/>
    <w:rsid w:val="007451EF"/>
    <w:rsid w:val="00745554"/>
    <w:rsid w:val="007456EA"/>
    <w:rsid w:val="00745BD5"/>
    <w:rsid w:val="007465E3"/>
    <w:rsid w:val="00747B96"/>
    <w:rsid w:val="00747BE7"/>
    <w:rsid w:val="007510AA"/>
    <w:rsid w:val="0075126F"/>
    <w:rsid w:val="00751C5A"/>
    <w:rsid w:val="00752059"/>
    <w:rsid w:val="00752251"/>
    <w:rsid w:val="0075456F"/>
    <w:rsid w:val="0075484F"/>
    <w:rsid w:val="00754CE1"/>
    <w:rsid w:val="00754EAF"/>
    <w:rsid w:val="00755DEC"/>
    <w:rsid w:val="00756C57"/>
    <w:rsid w:val="00756FE7"/>
    <w:rsid w:val="0075759E"/>
    <w:rsid w:val="00757BE6"/>
    <w:rsid w:val="00757FBE"/>
    <w:rsid w:val="00761ADD"/>
    <w:rsid w:val="00762452"/>
    <w:rsid w:val="00762996"/>
    <w:rsid w:val="0076311F"/>
    <w:rsid w:val="00764ED0"/>
    <w:rsid w:val="00765744"/>
    <w:rsid w:val="007657EC"/>
    <w:rsid w:val="00765FFD"/>
    <w:rsid w:val="00766DF3"/>
    <w:rsid w:val="0076705C"/>
    <w:rsid w:val="00767179"/>
    <w:rsid w:val="00767458"/>
    <w:rsid w:val="0077035A"/>
    <w:rsid w:val="00770703"/>
    <w:rsid w:val="007711E9"/>
    <w:rsid w:val="007712E5"/>
    <w:rsid w:val="00771551"/>
    <w:rsid w:val="00771F6B"/>
    <w:rsid w:val="007721C5"/>
    <w:rsid w:val="0077295C"/>
    <w:rsid w:val="00772D96"/>
    <w:rsid w:val="007733A8"/>
    <w:rsid w:val="007736CD"/>
    <w:rsid w:val="00773E6E"/>
    <w:rsid w:val="00774635"/>
    <w:rsid w:val="00774648"/>
    <w:rsid w:val="00774790"/>
    <w:rsid w:val="00775399"/>
    <w:rsid w:val="00775BD9"/>
    <w:rsid w:val="00776B34"/>
    <w:rsid w:val="00776BEB"/>
    <w:rsid w:val="00777BA9"/>
    <w:rsid w:val="007811BA"/>
    <w:rsid w:val="00781631"/>
    <w:rsid w:val="007819F8"/>
    <w:rsid w:val="00781F65"/>
    <w:rsid w:val="00781FB2"/>
    <w:rsid w:val="007829DC"/>
    <w:rsid w:val="00782A79"/>
    <w:rsid w:val="00784063"/>
    <w:rsid w:val="00784691"/>
    <w:rsid w:val="007847C1"/>
    <w:rsid w:val="007850E7"/>
    <w:rsid w:val="0078524B"/>
    <w:rsid w:val="007858E0"/>
    <w:rsid w:val="0078594C"/>
    <w:rsid w:val="00785E20"/>
    <w:rsid w:val="00786E60"/>
    <w:rsid w:val="0078723D"/>
    <w:rsid w:val="0079044B"/>
    <w:rsid w:val="007904BB"/>
    <w:rsid w:val="0079056B"/>
    <w:rsid w:val="0079098A"/>
    <w:rsid w:val="007918C9"/>
    <w:rsid w:val="00791BDD"/>
    <w:rsid w:val="00791CAF"/>
    <w:rsid w:val="00792C49"/>
    <w:rsid w:val="00792C82"/>
    <w:rsid w:val="00793938"/>
    <w:rsid w:val="00794DFE"/>
    <w:rsid w:val="00795301"/>
    <w:rsid w:val="007958A4"/>
    <w:rsid w:val="00797026"/>
    <w:rsid w:val="00797353"/>
    <w:rsid w:val="007A0630"/>
    <w:rsid w:val="007A0F21"/>
    <w:rsid w:val="007A1355"/>
    <w:rsid w:val="007A1CA8"/>
    <w:rsid w:val="007A2E5E"/>
    <w:rsid w:val="007A308C"/>
    <w:rsid w:val="007A3628"/>
    <w:rsid w:val="007A36C8"/>
    <w:rsid w:val="007A3ADC"/>
    <w:rsid w:val="007A3E68"/>
    <w:rsid w:val="007A3FCA"/>
    <w:rsid w:val="007A4289"/>
    <w:rsid w:val="007A49A9"/>
    <w:rsid w:val="007A4BE6"/>
    <w:rsid w:val="007A54DA"/>
    <w:rsid w:val="007A5C13"/>
    <w:rsid w:val="007A671C"/>
    <w:rsid w:val="007A6861"/>
    <w:rsid w:val="007A6E9C"/>
    <w:rsid w:val="007A738C"/>
    <w:rsid w:val="007A7B68"/>
    <w:rsid w:val="007A7D51"/>
    <w:rsid w:val="007A7FE0"/>
    <w:rsid w:val="007B02A5"/>
    <w:rsid w:val="007B06B2"/>
    <w:rsid w:val="007B07BB"/>
    <w:rsid w:val="007B0EDE"/>
    <w:rsid w:val="007B190E"/>
    <w:rsid w:val="007B1CF3"/>
    <w:rsid w:val="007B2E56"/>
    <w:rsid w:val="007B2EC7"/>
    <w:rsid w:val="007B3653"/>
    <w:rsid w:val="007B40D9"/>
    <w:rsid w:val="007B4A4A"/>
    <w:rsid w:val="007B5AB5"/>
    <w:rsid w:val="007B682B"/>
    <w:rsid w:val="007B68B1"/>
    <w:rsid w:val="007B7680"/>
    <w:rsid w:val="007B7872"/>
    <w:rsid w:val="007C02D0"/>
    <w:rsid w:val="007C0B0F"/>
    <w:rsid w:val="007C1AE9"/>
    <w:rsid w:val="007C267E"/>
    <w:rsid w:val="007C4525"/>
    <w:rsid w:val="007C5D85"/>
    <w:rsid w:val="007C64AB"/>
    <w:rsid w:val="007C6D77"/>
    <w:rsid w:val="007C72B0"/>
    <w:rsid w:val="007C739B"/>
    <w:rsid w:val="007C73A6"/>
    <w:rsid w:val="007D1258"/>
    <w:rsid w:val="007D1740"/>
    <w:rsid w:val="007D1A9A"/>
    <w:rsid w:val="007D1E75"/>
    <w:rsid w:val="007D29A7"/>
    <w:rsid w:val="007D2DB6"/>
    <w:rsid w:val="007D31AA"/>
    <w:rsid w:val="007D3532"/>
    <w:rsid w:val="007D3DFB"/>
    <w:rsid w:val="007D3EE6"/>
    <w:rsid w:val="007D555D"/>
    <w:rsid w:val="007D60C4"/>
    <w:rsid w:val="007D6C19"/>
    <w:rsid w:val="007D7469"/>
    <w:rsid w:val="007E0629"/>
    <w:rsid w:val="007E1868"/>
    <w:rsid w:val="007E1998"/>
    <w:rsid w:val="007E334F"/>
    <w:rsid w:val="007E3383"/>
    <w:rsid w:val="007E3544"/>
    <w:rsid w:val="007E389F"/>
    <w:rsid w:val="007E3DA9"/>
    <w:rsid w:val="007E4E64"/>
    <w:rsid w:val="007E555A"/>
    <w:rsid w:val="007E5616"/>
    <w:rsid w:val="007E57BC"/>
    <w:rsid w:val="007E5FD7"/>
    <w:rsid w:val="007E6293"/>
    <w:rsid w:val="007E674F"/>
    <w:rsid w:val="007E6D71"/>
    <w:rsid w:val="007E6DFF"/>
    <w:rsid w:val="007E6E0A"/>
    <w:rsid w:val="007E6FBB"/>
    <w:rsid w:val="007E744A"/>
    <w:rsid w:val="007F017A"/>
    <w:rsid w:val="007F0549"/>
    <w:rsid w:val="007F0B54"/>
    <w:rsid w:val="007F0C6D"/>
    <w:rsid w:val="007F0EF5"/>
    <w:rsid w:val="007F1BF5"/>
    <w:rsid w:val="007F2D69"/>
    <w:rsid w:val="007F2D86"/>
    <w:rsid w:val="007F41C2"/>
    <w:rsid w:val="007F4474"/>
    <w:rsid w:val="007F4C20"/>
    <w:rsid w:val="007F518F"/>
    <w:rsid w:val="007F5443"/>
    <w:rsid w:val="007F6078"/>
    <w:rsid w:val="007F668C"/>
    <w:rsid w:val="007F6734"/>
    <w:rsid w:val="007F6AE7"/>
    <w:rsid w:val="007F7930"/>
    <w:rsid w:val="008011EC"/>
    <w:rsid w:val="00802093"/>
    <w:rsid w:val="00802EDD"/>
    <w:rsid w:val="00803A43"/>
    <w:rsid w:val="00803D0C"/>
    <w:rsid w:val="00803DBE"/>
    <w:rsid w:val="0080454E"/>
    <w:rsid w:val="00804D66"/>
    <w:rsid w:val="00804DD2"/>
    <w:rsid w:val="008052BD"/>
    <w:rsid w:val="0080605E"/>
    <w:rsid w:val="0080633A"/>
    <w:rsid w:val="0080633C"/>
    <w:rsid w:val="00806578"/>
    <w:rsid w:val="00806DD9"/>
    <w:rsid w:val="008070E2"/>
    <w:rsid w:val="008074F9"/>
    <w:rsid w:val="0080758F"/>
    <w:rsid w:val="0081093C"/>
    <w:rsid w:val="00810CEA"/>
    <w:rsid w:val="00810D4E"/>
    <w:rsid w:val="00810FF0"/>
    <w:rsid w:val="00811DB6"/>
    <w:rsid w:val="00812CFB"/>
    <w:rsid w:val="00812E5A"/>
    <w:rsid w:val="00813B20"/>
    <w:rsid w:val="008141D9"/>
    <w:rsid w:val="00814C3F"/>
    <w:rsid w:val="008154B2"/>
    <w:rsid w:val="008157C9"/>
    <w:rsid w:val="008157CC"/>
    <w:rsid w:val="0081590B"/>
    <w:rsid w:val="00815DEF"/>
    <w:rsid w:val="008174D1"/>
    <w:rsid w:val="00820085"/>
    <w:rsid w:val="0082017D"/>
    <w:rsid w:val="0082065E"/>
    <w:rsid w:val="00821130"/>
    <w:rsid w:val="0082121F"/>
    <w:rsid w:val="00821465"/>
    <w:rsid w:val="00821D75"/>
    <w:rsid w:val="008229BE"/>
    <w:rsid w:val="008239B6"/>
    <w:rsid w:val="00823FA6"/>
    <w:rsid w:val="00826661"/>
    <w:rsid w:val="0082666B"/>
    <w:rsid w:val="00827B54"/>
    <w:rsid w:val="00830308"/>
    <w:rsid w:val="00830F98"/>
    <w:rsid w:val="00831641"/>
    <w:rsid w:val="00831A18"/>
    <w:rsid w:val="0083213C"/>
    <w:rsid w:val="00832788"/>
    <w:rsid w:val="008331A5"/>
    <w:rsid w:val="0083341A"/>
    <w:rsid w:val="0083349E"/>
    <w:rsid w:val="00833BC6"/>
    <w:rsid w:val="00833D32"/>
    <w:rsid w:val="008342D7"/>
    <w:rsid w:val="0083486D"/>
    <w:rsid w:val="00836098"/>
    <w:rsid w:val="008365E0"/>
    <w:rsid w:val="00836C47"/>
    <w:rsid w:val="008377E0"/>
    <w:rsid w:val="00840A0C"/>
    <w:rsid w:val="0084160F"/>
    <w:rsid w:val="00841BE9"/>
    <w:rsid w:val="00842526"/>
    <w:rsid w:val="00842B15"/>
    <w:rsid w:val="00842B38"/>
    <w:rsid w:val="00843A2B"/>
    <w:rsid w:val="00844B96"/>
    <w:rsid w:val="00845554"/>
    <w:rsid w:val="00845F2B"/>
    <w:rsid w:val="00845FF6"/>
    <w:rsid w:val="00847325"/>
    <w:rsid w:val="008478CD"/>
    <w:rsid w:val="00850699"/>
    <w:rsid w:val="00850A13"/>
    <w:rsid w:val="00851683"/>
    <w:rsid w:val="00851E2A"/>
    <w:rsid w:val="00852971"/>
    <w:rsid w:val="0085353D"/>
    <w:rsid w:val="008536A5"/>
    <w:rsid w:val="00853758"/>
    <w:rsid w:val="00853F9A"/>
    <w:rsid w:val="00853FE4"/>
    <w:rsid w:val="008542A1"/>
    <w:rsid w:val="00854427"/>
    <w:rsid w:val="00854B48"/>
    <w:rsid w:val="00854C6E"/>
    <w:rsid w:val="00854EA8"/>
    <w:rsid w:val="00856107"/>
    <w:rsid w:val="00856553"/>
    <w:rsid w:val="0085663B"/>
    <w:rsid w:val="0085728F"/>
    <w:rsid w:val="008573BA"/>
    <w:rsid w:val="00857B64"/>
    <w:rsid w:val="00857B7F"/>
    <w:rsid w:val="008601CB"/>
    <w:rsid w:val="008610A0"/>
    <w:rsid w:val="00861270"/>
    <w:rsid w:val="00861331"/>
    <w:rsid w:val="008613A3"/>
    <w:rsid w:val="00862B4A"/>
    <w:rsid w:val="00862FB8"/>
    <w:rsid w:val="008631FC"/>
    <w:rsid w:val="0086324E"/>
    <w:rsid w:val="00863AB0"/>
    <w:rsid w:val="00864AF1"/>
    <w:rsid w:val="00865172"/>
    <w:rsid w:val="00866409"/>
    <w:rsid w:val="0086694B"/>
    <w:rsid w:val="00870846"/>
    <w:rsid w:val="0087093A"/>
    <w:rsid w:val="00871340"/>
    <w:rsid w:val="0087450D"/>
    <w:rsid w:val="00875292"/>
    <w:rsid w:val="0087539E"/>
    <w:rsid w:val="0087622F"/>
    <w:rsid w:val="00876302"/>
    <w:rsid w:val="00876A62"/>
    <w:rsid w:val="00876BD0"/>
    <w:rsid w:val="008777E6"/>
    <w:rsid w:val="00880A62"/>
    <w:rsid w:val="00880E1A"/>
    <w:rsid w:val="00880F25"/>
    <w:rsid w:val="00881151"/>
    <w:rsid w:val="0088161E"/>
    <w:rsid w:val="0088197C"/>
    <w:rsid w:val="00881A73"/>
    <w:rsid w:val="00882AF1"/>
    <w:rsid w:val="0088310D"/>
    <w:rsid w:val="008844B4"/>
    <w:rsid w:val="00884DD1"/>
    <w:rsid w:val="00884EBD"/>
    <w:rsid w:val="00884F33"/>
    <w:rsid w:val="00886A26"/>
    <w:rsid w:val="00886AED"/>
    <w:rsid w:val="0089054A"/>
    <w:rsid w:val="00891366"/>
    <w:rsid w:val="00891ED6"/>
    <w:rsid w:val="008921F2"/>
    <w:rsid w:val="00892F70"/>
    <w:rsid w:val="00893214"/>
    <w:rsid w:val="00893354"/>
    <w:rsid w:val="00893CEF"/>
    <w:rsid w:val="008944B7"/>
    <w:rsid w:val="00894CFD"/>
    <w:rsid w:val="0089548F"/>
    <w:rsid w:val="00895B55"/>
    <w:rsid w:val="00896095"/>
    <w:rsid w:val="008960D4"/>
    <w:rsid w:val="008A0750"/>
    <w:rsid w:val="008A0762"/>
    <w:rsid w:val="008A0B64"/>
    <w:rsid w:val="008A0B8B"/>
    <w:rsid w:val="008A0C3C"/>
    <w:rsid w:val="008A0EFE"/>
    <w:rsid w:val="008A1D97"/>
    <w:rsid w:val="008A343A"/>
    <w:rsid w:val="008A486A"/>
    <w:rsid w:val="008A5DA3"/>
    <w:rsid w:val="008A74F0"/>
    <w:rsid w:val="008A7541"/>
    <w:rsid w:val="008A7D09"/>
    <w:rsid w:val="008B038D"/>
    <w:rsid w:val="008B0799"/>
    <w:rsid w:val="008B08C2"/>
    <w:rsid w:val="008B0D92"/>
    <w:rsid w:val="008B2525"/>
    <w:rsid w:val="008B35BA"/>
    <w:rsid w:val="008B3ABA"/>
    <w:rsid w:val="008B3EF0"/>
    <w:rsid w:val="008B431A"/>
    <w:rsid w:val="008B52E6"/>
    <w:rsid w:val="008B5672"/>
    <w:rsid w:val="008B5731"/>
    <w:rsid w:val="008B6397"/>
    <w:rsid w:val="008B6B33"/>
    <w:rsid w:val="008B7711"/>
    <w:rsid w:val="008C10F8"/>
    <w:rsid w:val="008C18E2"/>
    <w:rsid w:val="008C1AAF"/>
    <w:rsid w:val="008C2652"/>
    <w:rsid w:val="008C3512"/>
    <w:rsid w:val="008C3C94"/>
    <w:rsid w:val="008C3EEC"/>
    <w:rsid w:val="008C4098"/>
    <w:rsid w:val="008C48CC"/>
    <w:rsid w:val="008C66CF"/>
    <w:rsid w:val="008C66D3"/>
    <w:rsid w:val="008C6829"/>
    <w:rsid w:val="008C6ACD"/>
    <w:rsid w:val="008C71EA"/>
    <w:rsid w:val="008C7687"/>
    <w:rsid w:val="008D043D"/>
    <w:rsid w:val="008D06CE"/>
    <w:rsid w:val="008D0F24"/>
    <w:rsid w:val="008D196C"/>
    <w:rsid w:val="008D24BE"/>
    <w:rsid w:val="008D25CD"/>
    <w:rsid w:val="008D2B7B"/>
    <w:rsid w:val="008D2BAF"/>
    <w:rsid w:val="008D4345"/>
    <w:rsid w:val="008D57C3"/>
    <w:rsid w:val="008D5FDE"/>
    <w:rsid w:val="008D60DD"/>
    <w:rsid w:val="008D6CDB"/>
    <w:rsid w:val="008D77E1"/>
    <w:rsid w:val="008D7EE9"/>
    <w:rsid w:val="008E0495"/>
    <w:rsid w:val="008E0EA7"/>
    <w:rsid w:val="008E1023"/>
    <w:rsid w:val="008E15D1"/>
    <w:rsid w:val="008E278E"/>
    <w:rsid w:val="008E2FB7"/>
    <w:rsid w:val="008E312F"/>
    <w:rsid w:val="008E329B"/>
    <w:rsid w:val="008E3F4D"/>
    <w:rsid w:val="008E46A3"/>
    <w:rsid w:val="008E4B7A"/>
    <w:rsid w:val="008E5351"/>
    <w:rsid w:val="008E583D"/>
    <w:rsid w:val="008E60D1"/>
    <w:rsid w:val="008F0B29"/>
    <w:rsid w:val="008F1273"/>
    <w:rsid w:val="008F235A"/>
    <w:rsid w:val="008F34A7"/>
    <w:rsid w:val="008F5061"/>
    <w:rsid w:val="008F53C3"/>
    <w:rsid w:val="008F58CD"/>
    <w:rsid w:val="008F6D0C"/>
    <w:rsid w:val="008F6F64"/>
    <w:rsid w:val="008F6FAB"/>
    <w:rsid w:val="008F79AA"/>
    <w:rsid w:val="008F7A28"/>
    <w:rsid w:val="008F7B14"/>
    <w:rsid w:val="008F7EDA"/>
    <w:rsid w:val="00900468"/>
    <w:rsid w:val="009010A7"/>
    <w:rsid w:val="00901888"/>
    <w:rsid w:val="00903476"/>
    <w:rsid w:val="00904274"/>
    <w:rsid w:val="00904AB5"/>
    <w:rsid w:val="009068C9"/>
    <w:rsid w:val="00907C2F"/>
    <w:rsid w:val="00911277"/>
    <w:rsid w:val="0091206F"/>
    <w:rsid w:val="009121EC"/>
    <w:rsid w:val="0091230B"/>
    <w:rsid w:val="009124D5"/>
    <w:rsid w:val="009125C9"/>
    <w:rsid w:val="009129C0"/>
    <w:rsid w:val="00912E41"/>
    <w:rsid w:val="009134AB"/>
    <w:rsid w:val="00913583"/>
    <w:rsid w:val="00914C81"/>
    <w:rsid w:val="00915352"/>
    <w:rsid w:val="009158B9"/>
    <w:rsid w:val="009158FD"/>
    <w:rsid w:val="00915FD2"/>
    <w:rsid w:val="0091620E"/>
    <w:rsid w:val="0091702B"/>
    <w:rsid w:val="0091779E"/>
    <w:rsid w:val="00917C0F"/>
    <w:rsid w:val="00920A2C"/>
    <w:rsid w:val="00920EF3"/>
    <w:rsid w:val="009210CF"/>
    <w:rsid w:val="009226FC"/>
    <w:rsid w:val="009239D2"/>
    <w:rsid w:val="00925616"/>
    <w:rsid w:val="00926346"/>
    <w:rsid w:val="009266F9"/>
    <w:rsid w:val="00926F8E"/>
    <w:rsid w:val="009273C5"/>
    <w:rsid w:val="00930EF2"/>
    <w:rsid w:val="00931534"/>
    <w:rsid w:val="00932EA3"/>
    <w:rsid w:val="00933B5F"/>
    <w:rsid w:val="0093430F"/>
    <w:rsid w:val="00934B8B"/>
    <w:rsid w:val="009353EB"/>
    <w:rsid w:val="00935A24"/>
    <w:rsid w:val="0093630A"/>
    <w:rsid w:val="00936364"/>
    <w:rsid w:val="00936953"/>
    <w:rsid w:val="00936EC5"/>
    <w:rsid w:val="00937C09"/>
    <w:rsid w:val="0094025D"/>
    <w:rsid w:val="00940E88"/>
    <w:rsid w:val="009413DE"/>
    <w:rsid w:val="00941EED"/>
    <w:rsid w:val="009423C9"/>
    <w:rsid w:val="00942756"/>
    <w:rsid w:val="00942A91"/>
    <w:rsid w:val="00944CF6"/>
    <w:rsid w:val="00945E36"/>
    <w:rsid w:val="009504B5"/>
    <w:rsid w:val="00950872"/>
    <w:rsid w:val="00951164"/>
    <w:rsid w:val="009511F8"/>
    <w:rsid w:val="0095169D"/>
    <w:rsid w:val="00952DA8"/>
    <w:rsid w:val="0095325D"/>
    <w:rsid w:val="00954042"/>
    <w:rsid w:val="009544C5"/>
    <w:rsid w:val="00954B6E"/>
    <w:rsid w:val="009551DF"/>
    <w:rsid w:val="00955626"/>
    <w:rsid w:val="009556E7"/>
    <w:rsid w:val="00956472"/>
    <w:rsid w:val="00956E3C"/>
    <w:rsid w:val="0095788E"/>
    <w:rsid w:val="00957DB1"/>
    <w:rsid w:val="0096047B"/>
    <w:rsid w:val="0096073E"/>
    <w:rsid w:val="0096291F"/>
    <w:rsid w:val="00964BC6"/>
    <w:rsid w:val="00964BCF"/>
    <w:rsid w:val="00964C1E"/>
    <w:rsid w:val="00965318"/>
    <w:rsid w:val="009655FD"/>
    <w:rsid w:val="00966C3D"/>
    <w:rsid w:val="00967058"/>
    <w:rsid w:val="0096709D"/>
    <w:rsid w:val="00967A0B"/>
    <w:rsid w:val="009703B2"/>
    <w:rsid w:val="00971000"/>
    <w:rsid w:val="00971555"/>
    <w:rsid w:val="00971CBC"/>
    <w:rsid w:val="00972A58"/>
    <w:rsid w:val="00973520"/>
    <w:rsid w:val="0097367C"/>
    <w:rsid w:val="00974FE3"/>
    <w:rsid w:val="009755AD"/>
    <w:rsid w:val="00976791"/>
    <w:rsid w:val="009767A9"/>
    <w:rsid w:val="009767B3"/>
    <w:rsid w:val="00976BA8"/>
    <w:rsid w:val="00976D3A"/>
    <w:rsid w:val="009775F1"/>
    <w:rsid w:val="00980154"/>
    <w:rsid w:val="009806A4"/>
    <w:rsid w:val="00980755"/>
    <w:rsid w:val="009807CC"/>
    <w:rsid w:val="00980834"/>
    <w:rsid w:val="0098103E"/>
    <w:rsid w:val="00981B06"/>
    <w:rsid w:val="00982C6F"/>
    <w:rsid w:val="00983309"/>
    <w:rsid w:val="00983BB5"/>
    <w:rsid w:val="00983E8C"/>
    <w:rsid w:val="009857FE"/>
    <w:rsid w:val="00985D32"/>
    <w:rsid w:val="00987A09"/>
    <w:rsid w:val="00987B5E"/>
    <w:rsid w:val="00990559"/>
    <w:rsid w:val="00990A5D"/>
    <w:rsid w:val="00990BE3"/>
    <w:rsid w:val="00992092"/>
    <w:rsid w:val="00992393"/>
    <w:rsid w:val="009923CD"/>
    <w:rsid w:val="009925EC"/>
    <w:rsid w:val="00992C2C"/>
    <w:rsid w:val="00992E10"/>
    <w:rsid w:val="009932E3"/>
    <w:rsid w:val="0099474A"/>
    <w:rsid w:val="009947E0"/>
    <w:rsid w:val="00994D7F"/>
    <w:rsid w:val="009951C7"/>
    <w:rsid w:val="00995661"/>
    <w:rsid w:val="00996045"/>
    <w:rsid w:val="009970BD"/>
    <w:rsid w:val="009A06DA"/>
    <w:rsid w:val="009A09B2"/>
    <w:rsid w:val="009A11AF"/>
    <w:rsid w:val="009A3EEF"/>
    <w:rsid w:val="009A473E"/>
    <w:rsid w:val="009A55AB"/>
    <w:rsid w:val="009A6842"/>
    <w:rsid w:val="009A697F"/>
    <w:rsid w:val="009A6C2B"/>
    <w:rsid w:val="009A6E85"/>
    <w:rsid w:val="009A7F70"/>
    <w:rsid w:val="009B16C9"/>
    <w:rsid w:val="009B267D"/>
    <w:rsid w:val="009B3426"/>
    <w:rsid w:val="009B3EF0"/>
    <w:rsid w:val="009B454E"/>
    <w:rsid w:val="009B4F53"/>
    <w:rsid w:val="009B5BAD"/>
    <w:rsid w:val="009B5E1D"/>
    <w:rsid w:val="009B5E6A"/>
    <w:rsid w:val="009B60D1"/>
    <w:rsid w:val="009B6478"/>
    <w:rsid w:val="009B692F"/>
    <w:rsid w:val="009B6E3A"/>
    <w:rsid w:val="009B7C86"/>
    <w:rsid w:val="009C0357"/>
    <w:rsid w:val="009C0A92"/>
    <w:rsid w:val="009C0DE0"/>
    <w:rsid w:val="009C2441"/>
    <w:rsid w:val="009C2A90"/>
    <w:rsid w:val="009C367C"/>
    <w:rsid w:val="009C37BF"/>
    <w:rsid w:val="009C3E42"/>
    <w:rsid w:val="009C3F9B"/>
    <w:rsid w:val="009C451D"/>
    <w:rsid w:val="009C482A"/>
    <w:rsid w:val="009C4B9D"/>
    <w:rsid w:val="009C55AF"/>
    <w:rsid w:val="009C6235"/>
    <w:rsid w:val="009C7188"/>
    <w:rsid w:val="009C7726"/>
    <w:rsid w:val="009C7C80"/>
    <w:rsid w:val="009C7E07"/>
    <w:rsid w:val="009D0BD7"/>
    <w:rsid w:val="009D0E78"/>
    <w:rsid w:val="009D1610"/>
    <w:rsid w:val="009D2834"/>
    <w:rsid w:val="009D2861"/>
    <w:rsid w:val="009D2F30"/>
    <w:rsid w:val="009D3228"/>
    <w:rsid w:val="009D42FD"/>
    <w:rsid w:val="009D53C7"/>
    <w:rsid w:val="009D5CBC"/>
    <w:rsid w:val="009D66C1"/>
    <w:rsid w:val="009D66CC"/>
    <w:rsid w:val="009D753A"/>
    <w:rsid w:val="009D771E"/>
    <w:rsid w:val="009D77E9"/>
    <w:rsid w:val="009D7956"/>
    <w:rsid w:val="009E0626"/>
    <w:rsid w:val="009E066A"/>
    <w:rsid w:val="009E0C18"/>
    <w:rsid w:val="009E1935"/>
    <w:rsid w:val="009E2773"/>
    <w:rsid w:val="009E2927"/>
    <w:rsid w:val="009E2B9B"/>
    <w:rsid w:val="009E3F09"/>
    <w:rsid w:val="009E4DE2"/>
    <w:rsid w:val="009E5784"/>
    <w:rsid w:val="009E57C5"/>
    <w:rsid w:val="009E603D"/>
    <w:rsid w:val="009E60F7"/>
    <w:rsid w:val="009E6B92"/>
    <w:rsid w:val="009E7B54"/>
    <w:rsid w:val="009F04E4"/>
    <w:rsid w:val="009F0547"/>
    <w:rsid w:val="009F17B1"/>
    <w:rsid w:val="009F185E"/>
    <w:rsid w:val="009F2213"/>
    <w:rsid w:val="009F275B"/>
    <w:rsid w:val="009F2E33"/>
    <w:rsid w:val="009F5515"/>
    <w:rsid w:val="009F55F9"/>
    <w:rsid w:val="009F5F22"/>
    <w:rsid w:val="009F6F31"/>
    <w:rsid w:val="009F720C"/>
    <w:rsid w:val="009F7CAC"/>
    <w:rsid w:val="009F7ECF"/>
    <w:rsid w:val="00A0036D"/>
    <w:rsid w:val="00A0086B"/>
    <w:rsid w:val="00A00AAF"/>
    <w:rsid w:val="00A00BC0"/>
    <w:rsid w:val="00A0111D"/>
    <w:rsid w:val="00A01530"/>
    <w:rsid w:val="00A019A7"/>
    <w:rsid w:val="00A02293"/>
    <w:rsid w:val="00A02EE0"/>
    <w:rsid w:val="00A03600"/>
    <w:rsid w:val="00A0471A"/>
    <w:rsid w:val="00A0542C"/>
    <w:rsid w:val="00A06511"/>
    <w:rsid w:val="00A068B2"/>
    <w:rsid w:val="00A07477"/>
    <w:rsid w:val="00A074BB"/>
    <w:rsid w:val="00A0767A"/>
    <w:rsid w:val="00A07AD9"/>
    <w:rsid w:val="00A07BBC"/>
    <w:rsid w:val="00A11383"/>
    <w:rsid w:val="00A116AD"/>
    <w:rsid w:val="00A11DC7"/>
    <w:rsid w:val="00A1313B"/>
    <w:rsid w:val="00A144BD"/>
    <w:rsid w:val="00A14655"/>
    <w:rsid w:val="00A15BC8"/>
    <w:rsid w:val="00A1658B"/>
    <w:rsid w:val="00A1691A"/>
    <w:rsid w:val="00A16FC6"/>
    <w:rsid w:val="00A17956"/>
    <w:rsid w:val="00A211C3"/>
    <w:rsid w:val="00A215F1"/>
    <w:rsid w:val="00A22585"/>
    <w:rsid w:val="00A22A16"/>
    <w:rsid w:val="00A233A9"/>
    <w:rsid w:val="00A23E32"/>
    <w:rsid w:val="00A2437E"/>
    <w:rsid w:val="00A245C3"/>
    <w:rsid w:val="00A25938"/>
    <w:rsid w:val="00A25D80"/>
    <w:rsid w:val="00A26C9D"/>
    <w:rsid w:val="00A26CFA"/>
    <w:rsid w:val="00A26ED5"/>
    <w:rsid w:val="00A279BA"/>
    <w:rsid w:val="00A27BED"/>
    <w:rsid w:val="00A30615"/>
    <w:rsid w:val="00A30744"/>
    <w:rsid w:val="00A307BF"/>
    <w:rsid w:val="00A30C14"/>
    <w:rsid w:val="00A30CAA"/>
    <w:rsid w:val="00A3185C"/>
    <w:rsid w:val="00A31CA8"/>
    <w:rsid w:val="00A31F55"/>
    <w:rsid w:val="00A32702"/>
    <w:rsid w:val="00A3306F"/>
    <w:rsid w:val="00A342F2"/>
    <w:rsid w:val="00A35D79"/>
    <w:rsid w:val="00A361D2"/>
    <w:rsid w:val="00A3624C"/>
    <w:rsid w:val="00A367ED"/>
    <w:rsid w:val="00A36A21"/>
    <w:rsid w:val="00A40851"/>
    <w:rsid w:val="00A40F4D"/>
    <w:rsid w:val="00A41378"/>
    <w:rsid w:val="00A4164C"/>
    <w:rsid w:val="00A41763"/>
    <w:rsid w:val="00A41D91"/>
    <w:rsid w:val="00A437F7"/>
    <w:rsid w:val="00A439F8"/>
    <w:rsid w:val="00A43BF0"/>
    <w:rsid w:val="00A43F58"/>
    <w:rsid w:val="00A44D5A"/>
    <w:rsid w:val="00A45059"/>
    <w:rsid w:val="00A451A2"/>
    <w:rsid w:val="00A45C0B"/>
    <w:rsid w:val="00A464EF"/>
    <w:rsid w:val="00A4654C"/>
    <w:rsid w:val="00A46940"/>
    <w:rsid w:val="00A46A25"/>
    <w:rsid w:val="00A479E9"/>
    <w:rsid w:val="00A50054"/>
    <w:rsid w:val="00A503CE"/>
    <w:rsid w:val="00A50F8C"/>
    <w:rsid w:val="00A51647"/>
    <w:rsid w:val="00A51CF6"/>
    <w:rsid w:val="00A52313"/>
    <w:rsid w:val="00A52454"/>
    <w:rsid w:val="00A524EE"/>
    <w:rsid w:val="00A53ADB"/>
    <w:rsid w:val="00A53C54"/>
    <w:rsid w:val="00A541D6"/>
    <w:rsid w:val="00A542AD"/>
    <w:rsid w:val="00A549B4"/>
    <w:rsid w:val="00A557B3"/>
    <w:rsid w:val="00A56428"/>
    <w:rsid w:val="00A574D6"/>
    <w:rsid w:val="00A57934"/>
    <w:rsid w:val="00A57ADA"/>
    <w:rsid w:val="00A60523"/>
    <w:rsid w:val="00A60553"/>
    <w:rsid w:val="00A607A4"/>
    <w:rsid w:val="00A609BA"/>
    <w:rsid w:val="00A62C6B"/>
    <w:rsid w:val="00A64325"/>
    <w:rsid w:val="00A646D4"/>
    <w:rsid w:val="00A6517F"/>
    <w:rsid w:val="00A6563C"/>
    <w:rsid w:val="00A65C77"/>
    <w:rsid w:val="00A65F2A"/>
    <w:rsid w:val="00A67231"/>
    <w:rsid w:val="00A67B8F"/>
    <w:rsid w:val="00A7002C"/>
    <w:rsid w:val="00A71431"/>
    <w:rsid w:val="00A72D8B"/>
    <w:rsid w:val="00A72F41"/>
    <w:rsid w:val="00A73361"/>
    <w:rsid w:val="00A735F3"/>
    <w:rsid w:val="00A73961"/>
    <w:rsid w:val="00A73AE6"/>
    <w:rsid w:val="00A73D35"/>
    <w:rsid w:val="00A7541B"/>
    <w:rsid w:val="00A754E6"/>
    <w:rsid w:val="00A75930"/>
    <w:rsid w:val="00A77027"/>
    <w:rsid w:val="00A770F0"/>
    <w:rsid w:val="00A779F5"/>
    <w:rsid w:val="00A80161"/>
    <w:rsid w:val="00A80360"/>
    <w:rsid w:val="00A8116B"/>
    <w:rsid w:val="00A81D10"/>
    <w:rsid w:val="00A82ADF"/>
    <w:rsid w:val="00A82E91"/>
    <w:rsid w:val="00A8397F"/>
    <w:rsid w:val="00A83D5A"/>
    <w:rsid w:val="00A84142"/>
    <w:rsid w:val="00A8466F"/>
    <w:rsid w:val="00A849B1"/>
    <w:rsid w:val="00A84C9A"/>
    <w:rsid w:val="00A84D35"/>
    <w:rsid w:val="00A851DF"/>
    <w:rsid w:val="00A85942"/>
    <w:rsid w:val="00A8699A"/>
    <w:rsid w:val="00A871B1"/>
    <w:rsid w:val="00A8738E"/>
    <w:rsid w:val="00A8760F"/>
    <w:rsid w:val="00A8762E"/>
    <w:rsid w:val="00A87D3E"/>
    <w:rsid w:val="00A87EF4"/>
    <w:rsid w:val="00A90901"/>
    <w:rsid w:val="00A90997"/>
    <w:rsid w:val="00A90D51"/>
    <w:rsid w:val="00A90E10"/>
    <w:rsid w:val="00A92386"/>
    <w:rsid w:val="00A92A3A"/>
    <w:rsid w:val="00A92D58"/>
    <w:rsid w:val="00A92E69"/>
    <w:rsid w:val="00A932B7"/>
    <w:rsid w:val="00A937BF"/>
    <w:rsid w:val="00A9400C"/>
    <w:rsid w:val="00A94ABA"/>
    <w:rsid w:val="00A94EBF"/>
    <w:rsid w:val="00A95A7C"/>
    <w:rsid w:val="00A95E0C"/>
    <w:rsid w:val="00A9614F"/>
    <w:rsid w:val="00A96953"/>
    <w:rsid w:val="00A96CB2"/>
    <w:rsid w:val="00A96D8B"/>
    <w:rsid w:val="00A96DBD"/>
    <w:rsid w:val="00A979A7"/>
    <w:rsid w:val="00A97DCA"/>
    <w:rsid w:val="00AA0768"/>
    <w:rsid w:val="00AA1BAE"/>
    <w:rsid w:val="00AA1CBE"/>
    <w:rsid w:val="00AA1E34"/>
    <w:rsid w:val="00AA26F6"/>
    <w:rsid w:val="00AA2EC0"/>
    <w:rsid w:val="00AA352B"/>
    <w:rsid w:val="00AA4672"/>
    <w:rsid w:val="00AA5088"/>
    <w:rsid w:val="00AA5E8C"/>
    <w:rsid w:val="00AA63B2"/>
    <w:rsid w:val="00AA768E"/>
    <w:rsid w:val="00AA7EC8"/>
    <w:rsid w:val="00AA7EC9"/>
    <w:rsid w:val="00AB0874"/>
    <w:rsid w:val="00AB0889"/>
    <w:rsid w:val="00AB09A8"/>
    <w:rsid w:val="00AB146A"/>
    <w:rsid w:val="00AB16D7"/>
    <w:rsid w:val="00AB1C9D"/>
    <w:rsid w:val="00AB2070"/>
    <w:rsid w:val="00AB223C"/>
    <w:rsid w:val="00AB23D8"/>
    <w:rsid w:val="00AB284B"/>
    <w:rsid w:val="00AB3749"/>
    <w:rsid w:val="00AB4676"/>
    <w:rsid w:val="00AB49C7"/>
    <w:rsid w:val="00AB50D0"/>
    <w:rsid w:val="00AB5741"/>
    <w:rsid w:val="00AB5CA0"/>
    <w:rsid w:val="00AB60A0"/>
    <w:rsid w:val="00AB73D6"/>
    <w:rsid w:val="00AB799A"/>
    <w:rsid w:val="00AC0134"/>
    <w:rsid w:val="00AC02CA"/>
    <w:rsid w:val="00AC0CB7"/>
    <w:rsid w:val="00AC1060"/>
    <w:rsid w:val="00AC142B"/>
    <w:rsid w:val="00AC2517"/>
    <w:rsid w:val="00AC325E"/>
    <w:rsid w:val="00AC3295"/>
    <w:rsid w:val="00AC3676"/>
    <w:rsid w:val="00AC392D"/>
    <w:rsid w:val="00AC3AED"/>
    <w:rsid w:val="00AC40A0"/>
    <w:rsid w:val="00AC46F2"/>
    <w:rsid w:val="00AC55F0"/>
    <w:rsid w:val="00AC5B91"/>
    <w:rsid w:val="00AC639F"/>
    <w:rsid w:val="00AC66F0"/>
    <w:rsid w:val="00AC73FD"/>
    <w:rsid w:val="00AC795C"/>
    <w:rsid w:val="00AD0A8C"/>
    <w:rsid w:val="00AD298D"/>
    <w:rsid w:val="00AD3BF8"/>
    <w:rsid w:val="00AD43A3"/>
    <w:rsid w:val="00AD483D"/>
    <w:rsid w:val="00AD520A"/>
    <w:rsid w:val="00AD580A"/>
    <w:rsid w:val="00AD5E56"/>
    <w:rsid w:val="00AD715A"/>
    <w:rsid w:val="00AD7950"/>
    <w:rsid w:val="00AD7C2F"/>
    <w:rsid w:val="00AD7D44"/>
    <w:rsid w:val="00AE06DF"/>
    <w:rsid w:val="00AE1925"/>
    <w:rsid w:val="00AE224C"/>
    <w:rsid w:val="00AE25B2"/>
    <w:rsid w:val="00AE2CBB"/>
    <w:rsid w:val="00AE2E11"/>
    <w:rsid w:val="00AE33BB"/>
    <w:rsid w:val="00AE37F3"/>
    <w:rsid w:val="00AE3F0B"/>
    <w:rsid w:val="00AE4448"/>
    <w:rsid w:val="00AE4D21"/>
    <w:rsid w:val="00AE5022"/>
    <w:rsid w:val="00AE5A73"/>
    <w:rsid w:val="00AE5D31"/>
    <w:rsid w:val="00AE5E89"/>
    <w:rsid w:val="00AE62C5"/>
    <w:rsid w:val="00AE6BAC"/>
    <w:rsid w:val="00AE7857"/>
    <w:rsid w:val="00AF1858"/>
    <w:rsid w:val="00AF19C1"/>
    <w:rsid w:val="00AF216E"/>
    <w:rsid w:val="00AF2622"/>
    <w:rsid w:val="00AF2AE8"/>
    <w:rsid w:val="00AF2C5F"/>
    <w:rsid w:val="00AF2CC8"/>
    <w:rsid w:val="00AF2F4C"/>
    <w:rsid w:val="00AF5771"/>
    <w:rsid w:val="00AF5AE6"/>
    <w:rsid w:val="00AF5F44"/>
    <w:rsid w:val="00AF6851"/>
    <w:rsid w:val="00AF6C9E"/>
    <w:rsid w:val="00AF6D9B"/>
    <w:rsid w:val="00AF713C"/>
    <w:rsid w:val="00AF7570"/>
    <w:rsid w:val="00B00918"/>
    <w:rsid w:val="00B0135C"/>
    <w:rsid w:val="00B03DC6"/>
    <w:rsid w:val="00B03E19"/>
    <w:rsid w:val="00B048BE"/>
    <w:rsid w:val="00B05462"/>
    <w:rsid w:val="00B05A8B"/>
    <w:rsid w:val="00B06005"/>
    <w:rsid w:val="00B06190"/>
    <w:rsid w:val="00B061D9"/>
    <w:rsid w:val="00B0642B"/>
    <w:rsid w:val="00B06849"/>
    <w:rsid w:val="00B06EE8"/>
    <w:rsid w:val="00B070A6"/>
    <w:rsid w:val="00B0746A"/>
    <w:rsid w:val="00B10F82"/>
    <w:rsid w:val="00B11764"/>
    <w:rsid w:val="00B12CE2"/>
    <w:rsid w:val="00B14EBE"/>
    <w:rsid w:val="00B153EF"/>
    <w:rsid w:val="00B16600"/>
    <w:rsid w:val="00B169AF"/>
    <w:rsid w:val="00B16C12"/>
    <w:rsid w:val="00B17BB9"/>
    <w:rsid w:val="00B2060F"/>
    <w:rsid w:val="00B20BBA"/>
    <w:rsid w:val="00B2140C"/>
    <w:rsid w:val="00B22359"/>
    <w:rsid w:val="00B22843"/>
    <w:rsid w:val="00B22C03"/>
    <w:rsid w:val="00B23044"/>
    <w:rsid w:val="00B233E1"/>
    <w:rsid w:val="00B234E6"/>
    <w:rsid w:val="00B23591"/>
    <w:rsid w:val="00B23C2C"/>
    <w:rsid w:val="00B23F40"/>
    <w:rsid w:val="00B241CB"/>
    <w:rsid w:val="00B2448C"/>
    <w:rsid w:val="00B244E1"/>
    <w:rsid w:val="00B249C8"/>
    <w:rsid w:val="00B24F62"/>
    <w:rsid w:val="00B2521E"/>
    <w:rsid w:val="00B25970"/>
    <w:rsid w:val="00B25C21"/>
    <w:rsid w:val="00B263FE"/>
    <w:rsid w:val="00B269C6"/>
    <w:rsid w:val="00B26F32"/>
    <w:rsid w:val="00B2783C"/>
    <w:rsid w:val="00B3061C"/>
    <w:rsid w:val="00B30736"/>
    <w:rsid w:val="00B3077E"/>
    <w:rsid w:val="00B315B2"/>
    <w:rsid w:val="00B31733"/>
    <w:rsid w:val="00B31E80"/>
    <w:rsid w:val="00B31FF8"/>
    <w:rsid w:val="00B32489"/>
    <w:rsid w:val="00B329AE"/>
    <w:rsid w:val="00B3340B"/>
    <w:rsid w:val="00B335EE"/>
    <w:rsid w:val="00B340D5"/>
    <w:rsid w:val="00B34848"/>
    <w:rsid w:val="00B34C1E"/>
    <w:rsid w:val="00B35F26"/>
    <w:rsid w:val="00B36434"/>
    <w:rsid w:val="00B3666D"/>
    <w:rsid w:val="00B37555"/>
    <w:rsid w:val="00B400E1"/>
    <w:rsid w:val="00B407B4"/>
    <w:rsid w:val="00B410C2"/>
    <w:rsid w:val="00B42182"/>
    <w:rsid w:val="00B42C00"/>
    <w:rsid w:val="00B42FC7"/>
    <w:rsid w:val="00B438B1"/>
    <w:rsid w:val="00B44515"/>
    <w:rsid w:val="00B44CD6"/>
    <w:rsid w:val="00B45C7C"/>
    <w:rsid w:val="00B463B1"/>
    <w:rsid w:val="00B464E1"/>
    <w:rsid w:val="00B46C69"/>
    <w:rsid w:val="00B46CA0"/>
    <w:rsid w:val="00B4714D"/>
    <w:rsid w:val="00B472BC"/>
    <w:rsid w:val="00B50C35"/>
    <w:rsid w:val="00B5278E"/>
    <w:rsid w:val="00B53359"/>
    <w:rsid w:val="00B533FB"/>
    <w:rsid w:val="00B53D27"/>
    <w:rsid w:val="00B53E8B"/>
    <w:rsid w:val="00B53F0E"/>
    <w:rsid w:val="00B5427B"/>
    <w:rsid w:val="00B54D6C"/>
    <w:rsid w:val="00B54FF9"/>
    <w:rsid w:val="00B55332"/>
    <w:rsid w:val="00B55543"/>
    <w:rsid w:val="00B55804"/>
    <w:rsid w:val="00B5702F"/>
    <w:rsid w:val="00B576B6"/>
    <w:rsid w:val="00B578A2"/>
    <w:rsid w:val="00B57B9A"/>
    <w:rsid w:val="00B60295"/>
    <w:rsid w:val="00B60C68"/>
    <w:rsid w:val="00B61D84"/>
    <w:rsid w:val="00B62116"/>
    <w:rsid w:val="00B621AF"/>
    <w:rsid w:val="00B622AE"/>
    <w:rsid w:val="00B62DE6"/>
    <w:rsid w:val="00B632B9"/>
    <w:rsid w:val="00B63AD1"/>
    <w:rsid w:val="00B63B94"/>
    <w:rsid w:val="00B640C2"/>
    <w:rsid w:val="00B642EF"/>
    <w:rsid w:val="00B64595"/>
    <w:rsid w:val="00B64DFB"/>
    <w:rsid w:val="00B65193"/>
    <w:rsid w:val="00B6533D"/>
    <w:rsid w:val="00B65394"/>
    <w:rsid w:val="00B656B3"/>
    <w:rsid w:val="00B663F4"/>
    <w:rsid w:val="00B677E5"/>
    <w:rsid w:val="00B70C3A"/>
    <w:rsid w:val="00B71C18"/>
    <w:rsid w:val="00B71D1C"/>
    <w:rsid w:val="00B72B52"/>
    <w:rsid w:val="00B72BC0"/>
    <w:rsid w:val="00B73482"/>
    <w:rsid w:val="00B73C48"/>
    <w:rsid w:val="00B74FB4"/>
    <w:rsid w:val="00B7574F"/>
    <w:rsid w:val="00B76D04"/>
    <w:rsid w:val="00B76D33"/>
    <w:rsid w:val="00B80294"/>
    <w:rsid w:val="00B803FC"/>
    <w:rsid w:val="00B80C3D"/>
    <w:rsid w:val="00B8149C"/>
    <w:rsid w:val="00B81C61"/>
    <w:rsid w:val="00B82417"/>
    <w:rsid w:val="00B831E5"/>
    <w:rsid w:val="00B835E7"/>
    <w:rsid w:val="00B837A2"/>
    <w:rsid w:val="00B84035"/>
    <w:rsid w:val="00B84145"/>
    <w:rsid w:val="00B8437C"/>
    <w:rsid w:val="00B843DD"/>
    <w:rsid w:val="00B84661"/>
    <w:rsid w:val="00B84E82"/>
    <w:rsid w:val="00B853E3"/>
    <w:rsid w:val="00B85EE7"/>
    <w:rsid w:val="00B8619D"/>
    <w:rsid w:val="00B867B4"/>
    <w:rsid w:val="00B86B9E"/>
    <w:rsid w:val="00B876FF"/>
    <w:rsid w:val="00B87F94"/>
    <w:rsid w:val="00B9056B"/>
    <w:rsid w:val="00B916A9"/>
    <w:rsid w:val="00B92409"/>
    <w:rsid w:val="00B9278F"/>
    <w:rsid w:val="00B92849"/>
    <w:rsid w:val="00B92B39"/>
    <w:rsid w:val="00B92C78"/>
    <w:rsid w:val="00B93798"/>
    <w:rsid w:val="00B93E20"/>
    <w:rsid w:val="00B94392"/>
    <w:rsid w:val="00B94C9C"/>
    <w:rsid w:val="00B9501E"/>
    <w:rsid w:val="00B95259"/>
    <w:rsid w:val="00BA0749"/>
    <w:rsid w:val="00BA0876"/>
    <w:rsid w:val="00BA0DBE"/>
    <w:rsid w:val="00BA16F2"/>
    <w:rsid w:val="00BA3860"/>
    <w:rsid w:val="00BA3C68"/>
    <w:rsid w:val="00BA3F07"/>
    <w:rsid w:val="00BA45B4"/>
    <w:rsid w:val="00BA4A2C"/>
    <w:rsid w:val="00BA5F53"/>
    <w:rsid w:val="00BA646F"/>
    <w:rsid w:val="00BA6885"/>
    <w:rsid w:val="00BA6CC1"/>
    <w:rsid w:val="00BA7876"/>
    <w:rsid w:val="00BA7CE0"/>
    <w:rsid w:val="00BA7EB3"/>
    <w:rsid w:val="00BB0560"/>
    <w:rsid w:val="00BB0C29"/>
    <w:rsid w:val="00BB1330"/>
    <w:rsid w:val="00BB1A00"/>
    <w:rsid w:val="00BB2CB7"/>
    <w:rsid w:val="00BB30E5"/>
    <w:rsid w:val="00BB3532"/>
    <w:rsid w:val="00BB3567"/>
    <w:rsid w:val="00BB4141"/>
    <w:rsid w:val="00BB4771"/>
    <w:rsid w:val="00BB6076"/>
    <w:rsid w:val="00BB6671"/>
    <w:rsid w:val="00BB66B3"/>
    <w:rsid w:val="00BB7FD3"/>
    <w:rsid w:val="00BC003C"/>
    <w:rsid w:val="00BC08DD"/>
    <w:rsid w:val="00BC0C27"/>
    <w:rsid w:val="00BC12CC"/>
    <w:rsid w:val="00BC1E28"/>
    <w:rsid w:val="00BC2071"/>
    <w:rsid w:val="00BC2AB8"/>
    <w:rsid w:val="00BC2B21"/>
    <w:rsid w:val="00BC2F7E"/>
    <w:rsid w:val="00BC49C6"/>
    <w:rsid w:val="00BC5A07"/>
    <w:rsid w:val="00BC5CDC"/>
    <w:rsid w:val="00BC6BB3"/>
    <w:rsid w:val="00BC6F16"/>
    <w:rsid w:val="00BC7AAB"/>
    <w:rsid w:val="00BC7BCD"/>
    <w:rsid w:val="00BD32F8"/>
    <w:rsid w:val="00BD3EC1"/>
    <w:rsid w:val="00BD41BB"/>
    <w:rsid w:val="00BD4319"/>
    <w:rsid w:val="00BD437C"/>
    <w:rsid w:val="00BD477B"/>
    <w:rsid w:val="00BD4AC4"/>
    <w:rsid w:val="00BD5EF7"/>
    <w:rsid w:val="00BD630E"/>
    <w:rsid w:val="00BD66F5"/>
    <w:rsid w:val="00BD6BDA"/>
    <w:rsid w:val="00BD74DF"/>
    <w:rsid w:val="00BD78C9"/>
    <w:rsid w:val="00BD7CDF"/>
    <w:rsid w:val="00BE0310"/>
    <w:rsid w:val="00BE0EC4"/>
    <w:rsid w:val="00BE1503"/>
    <w:rsid w:val="00BE1763"/>
    <w:rsid w:val="00BE17BE"/>
    <w:rsid w:val="00BE2063"/>
    <w:rsid w:val="00BE218D"/>
    <w:rsid w:val="00BE2308"/>
    <w:rsid w:val="00BE26E8"/>
    <w:rsid w:val="00BE335A"/>
    <w:rsid w:val="00BE3D77"/>
    <w:rsid w:val="00BE43A1"/>
    <w:rsid w:val="00BE460A"/>
    <w:rsid w:val="00BE4A0D"/>
    <w:rsid w:val="00BE533D"/>
    <w:rsid w:val="00BE5980"/>
    <w:rsid w:val="00BE6ED3"/>
    <w:rsid w:val="00BE75CC"/>
    <w:rsid w:val="00BE7608"/>
    <w:rsid w:val="00BE7814"/>
    <w:rsid w:val="00BF035C"/>
    <w:rsid w:val="00BF0B36"/>
    <w:rsid w:val="00BF0CB9"/>
    <w:rsid w:val="00BF0F33"/>
    <w:rsid w:val="00BF1BC2"/>
    <w:rsid w:val="00BF3384"/>
    <w:rsid w:val="00BF36F8"/>
    <w:rsid w:val="00BF4B07"/>
    <w:rsid w:val="00BF4B17"/>
    <w:rsid w:val="00BF4C4E"/>
    <w:rsid w:val="00BF6188"/>
    <w:rsid w:val="00BF62AC"/>
    <w:rsid w:val="00BF657E"/>
    <w:rsid w:val="00BF7051"/>
    <w:rsid w:val="00BF751B"/>
    <w:rsid w:val="00BF7A76"/>
    <w:rsid w:val="00C004F9"/>
    <w:rsid w:val="00C00D64"/>
    <w:rsid w:val="00C01147"/>
    <w:rsid w:val="00C01961"/>
    <w:rsid w:val="00C024F3"/>
    <w:rsid w:val="00C027A9"/>
    <w:rsid w:val="00C027D4"/>
    <w:rsid w:val="00C02E04"/>
    <w:rsid w:val="00C02E09"/>
    <w:rsid w:val="00C0329A"/>
    <w:rsid w:val="00C035C1"/>
    <w:rsid w:val="00C0398B"/>
    <w:rsid w:val="00C03CF4"/>
    <w:rsid w:val="00C043CE"/>
    <w:rsid w:val="00C04ECD"/>
    <w:rsid w:val="00C0516B"/>
    <w:rsid w:val="00C058FE"/>
    <w:rsid w:val="00C05A1E"/>
    <w:rsid w:val="00C06A0C"/>
    <w:rsid w:val="00C078BA"/>
    <w:rsid w:val="00C07AE9"/>
    <w:rsid w:val="00C10424"/>
    <w:rsid w:val="00C104F8"/>
    <w:rsid w:val="00C10534"/>
    <w:rsid w:val="00C1087D"/>
    <w:rsid w:val="00C113F5"/>
    <w:rsid w:val="00C1149E"/>
    <w:rsid w:val="00C124EF"/>
    <w:rsid w:val="00C13515"/>
    <w:rsid w:val="00C1466E"/>
    <w:rsid w:val="00C14697"/>
    <w:rsid w:val="00C1504E"/>
    <w:rsid w:val="00C157B3"/>
    <w:rsid w:val="00C162CF"/>
    <w:rsid w:val="00C1706D"/>
    <w:rsid w:val="00C174F8"/>
    <w:rsid w:val="00C17FE4"/>
    <w:rsid w:val="00C2056D"/>
    <w:rsid w:val="00C20740"/>
    <w:rsid w:val="00C207FA"/>
    <w:rsid w:val="00C218A5"/>
    <w:rsid w:val="00C21C29"/>
    <w:rsid w:val="00C21F1C"/>
    <w:rsid w:val="00C2293F"/>
    <w:rsid w:val="00C23108"/>
    <w:rsid w:val="00C23E57"/>
    <w:rsid w:val="00C242A3"/>
    <w:rsid w:val="00C25AC7"/>
    <w:rsid w:val="00C26839"/>
    <w:rsid w:val="00C276D3"/>
    <w:rsid w:val="00C27D9E"/>
    <w:rsid w:val="00C27E5A"/>
    <w:rsid w:val="00C3000F"/>
    <w:rsid w:val="00C301C6"/>
    <w:rsid w:val="00C314E6"/>
    <w:rsid w:val="00C31FB1"/>
    <w:rsid w:val="00C332FC"/>
    <w:rsid w:val="00C33796"/>
    <w:rsid w:val="00C33A5C"/>
    <w:rsid w:val="00C34D29"/>
    <w:rsid w:val="00C356DF"/>
    <w:rsid w:val="00C358C0"/>
    <w:rsid w:val="00C359CF"/>
    <w:rsid w:val="00C37074"/>
    <w:rsid w:val="00C409E5"/>
    <w:rsid w:val="00C40FC7"/>
    <w:rsid w:val="00C412CF"/>
    <w:rsid w:val="00C421B7"/>
    <w:rsid w:val="00C425C1"/>
    <w:rsid w:val="00C426F4"/>
    <w:rsid w:val="00C427A1"/>
    <w:rsid w:val="00C42C82"/>
    <w:rsid w:val="00C434A7"/>
    <w:rsid w:val="00C443F9"/>
    <w:rsid w:val="00C468FF"/>
    <w:rsid w:val="00C46EF1"/>
    <w:rsid w:val="00C46F86"/>
    <w:rsid w:val="00C470EA"/>
    <w:rsid w:val="00C477CF"/>
    <w:rsid w:val="00C47CE7"/>
    <w:rsid w:val="00C50058"/>
    <w:rsid w:val="00C50A9C"/>
    <w:rsid w:val="00C50B7C"/>
    <w:rsid w:val="00C50DDA"/>
    <w:rsid w:val="00C51B2A"/>
    <w:rsid w:val="00C51F40"/>
    <w:rsid w:val="00C52015"/>
    <w:rsid w:val="00C5313B"/>
    <w:rsid w:val="00C53654"/>
    <w:rsid w:val="00C53AB2"/>
    <w:rsid w:val="00C5416D"/>
    <w:rsid w:val="00C54D8E"/>
    <w:rsid w:val="00C553FA"/>
    <w:rsid w:val="00C55CEC"/>
    <w:rsid w:val="00C561EB"/>
    <w:rsid w:val="00C5644C"/>
    <w:rsid w:val="00C56457"/>
    <w:rsid w:val="00C5770B"/>
    <w:rsid w:val="00C57A95"/>
    <w:rsid w:val="00C57BFA"/>
    <w:rsid w:val="00C57E0A"/>
    <w:rsid w:val="00C60767"/>
    <w:rsid w:val="00C608A6"/>
    <w:rsid w:val="00C60CD2"/>
    <w:rsid w:val="00C613C8"/>
    <w:rsid w:val="00C6157A"/>
    <w:rsid w:val="00C6158F"/>
    <w:rsid w:val="00C61EB8"/>
    <w:rsid w:val="00C62D2D"/>
    <w:rsid w:val="00C63068"/>
    <w:rsid w:val="00C631C0"/>
    <w:rsid w:val="00C63ED0"/>
    <w:rsid w:val="00C65DE5"/>
    <w:rsid w:val="00C662E9"/>
    <w:rsid w:val="00C66522"/>
    <w:rsid w:val="00C671DC"/>
    <w:rsid w:val="00C673D9"/>
    <w:rsid w:val="00C6754F"/>
    <w:rsid w:val="00C67B6F"/>
    <w:rsid w:val="00C706A9"/>
    <w:rsid w:val="00C7077C"/>
    <w:rsid w:val="00C71044"/>
    <w:rsid w:val="00C71327"/>
    <w:rsid w:val="00C71E53"/>
    <w:rsid w:val="00C72037"/>
    <w:rsid w:val="00C721B3"/>
    <w:rsid w:val="00C72B3A"/>
    <w:rsid w:val="00C739B1"/>
    <w:rsid w:val="00C73E2F"/>
    <w:rsid w:val="00C74E2C"/>
    <w:rsid w:val="00C74FE0"/>
    <w:rsid w:val="00C759D4"/>
    <w:rsid w:val="00C759EB"/>
    <w:rsid w:val="00C75BE3"/>
    <w:rsid w:val="00C75CBF"/>
    <w:rsid w:val="00C76C92"/>
    <w:rsid w:val="00C76E6A"/>
    <w:rsid w:val="00C7720A"/>
    <w:rsid w:val="00C77A35"/>
    <w:rsid w:val="00C77B6F"/>
    <w:rsid w:val="00C77C4C"/>
    <w:rsid w:val="00C816F5"/>
    <w:rsid w:val="00C81C90"/>
    <w:rsid w:val="00C81FCB"/>
    <w:rsid w:val="00C82284"/>
    <w:rsid w:val="00C8274F"/>
    <w:rsid w:val="00C827B5"/>
    <w:rsid w:val="00C828C2"/>
    <w:rsid w:val="00C84DBB"/>
    <w:rsid w:val="00C8546A"/>
    <w:rsid w:val="00C854D7"/>
    <w:rsid w:val="00C85A56"/>
    <w:rsid w:val="00C85DAE"/>
    <w:rsid w:val="00C861D7"/>
    <w:rsid w:val="00C863C5"/>
    <w:rsid w:val="00C87784"/>
    <w:rsid w:val="00C8783E"/>
    <w:rsid w:val="00C878DA"/>
    <w:rsid w:val="00C902D6"/>
    <w:rsid w:val="00C91DF5"/>
    <w:rsid w:val="00C92AD4"/>
    <w:rsid w:val="00C92C13"/>
    <w:rsid w:val="00C92C63"/>
    <w:rsid w:val="00C937D3"/>
    <w:rsid w:val="00C958A5"/>
    <w:rsid w:val="00C9591C"/>
    <w:rsid w:val="00C9635E"/>
    <w:rsid w:val="00C9646A"/>
    <w:rsid w:val="00C96542"/>
    <w:rsid w:val="00C9696D"/>
    <w:rsid w:val="00C9744A"/>
    <w:rsid w:val="00C97981"/>
    <w:rsid w:val="00C97D1E"/>
    <w:rsid w:val="00CA0342"/>
    <w:rsid w:val="00CA06C4"/>
    <w:rsid w:val="00CA0B3F"/>
    <w:rsid w:val="00CA0BA3"/>
    <w:rsid w:val="00CA0EBB"/>
    <w:rsid w:val="00CA21AB"/>
    <w:rsid w:val="00CA2883"/>
    <w:rsid w:val="00CA2976"/>
    <w:rsid w:val="00CA2BED"/>
    <w:rsid w:val="00CA2E09"/>
    <w:rsid w:val="00CA39D4"/>
    <w:rsid w:val="00CA47F1"/>
    <w:rsid w:val="00CA5EF8"/>
    <w:rsid w:val="00CA6194"/>
    <w:rsid w:val="00CA72B6"/>
    <w:rsid w:val="00CA7733"/>
    <w:rsid w:val="00CB0074"/>
    <w:rsid w:val="00CB1CC2"/>
    <w:rsid w:val="00CB2617"/>
    <w:rsid w:val="00CB26D3"/>
    <w:rsid w:val="00CB31F4"/>
    <w:rsid w:val="00CB38CD"/>
    <w:rsid w:val="00CB3AAE"/>
    <w:rsid w:val="00CB45C7"/>
    <w:rsid w:val="00CB4BD6"/>
    <w:rsid w:val="00CB6648"/>
    <w:rsid w:val="00CB69F0"/>
    <w:rsid w:val="00CB6ACE"/>
    <w:rsid w:val="00CB7097"/>
    <w:rsid w:val="00CB7112"/>
    <w:rsid w:val="00CB779D"/>
    <w:rsid w:val="00CC006F"/>
    <w:rsid w:val="00CC00F7"/>
    <w:rsid w:val="00CC0155"/>
    <w:rsid w:val="00CC0326"/>
    <w:rsid w:val="00CC0792"/>
    <w:rsid w:val="00CC092D"/>
    <w:rsid w:val="00CC12F4"/>
    <w:rsid w:val="00CC227E"/>
    <w:rsid w:val="00CC298B"/>
    <w:rsid w:val="00CC32E0"/>
    <w:rsid w:val="00CC60A0"/>
    <w:rsid w:val="00CC7348"/>
    <w:rsid w:val="00CC7805"/>
    <w:rsid w:val="00CD0396"/>
    <w:rsid w:val="00CD04D0"/>
    <w:rsid w:val="00CD0F09"/>
    <w:rsid w:val="00CD13EA"/>
    <w:rsid w:val="00CD1446"/>
    <w:rsid w:val="00CD18C4"/>
    <w:rsid w:val="00CD2F3C"/>
    <w:rsid w:val="00CD3119"/>
    <w:rsid w:val="00CD37CF"/>
    <w:rsid w:val="00CD3893"/>
    <w:rsid w:val="00CD3B44"/>
    <w:rsid w:val="00CD4372"/>
    <w:rsid w:val="00CD53F0"/>
    <w:rsid w:val="00CD5533"/>
    <w:rsid w:val="00CD6016"/>
    <w:rsid w:val="00CD60E7"/>
    <w:rsid w:val="00CD61AD"/>
    <w:rsid w:val="00CD65CE"/>
    <w:rsid w:val="00CD6EDC"/>
    <w:rsid w:val="00CD7260"/>
    <w:rsid w:val="00CD753F"/>
    <w:rsid w:val="00CD7C75"/>
    <w:rsid w:val="00CE0106"/>
    <w:rsid w:val="00CE03D2"/>
    <w:rsid w:val="00CE1AF6"/>
    <w:rsid w:val="00CE204B"/>
    <w:rsid w:val="00CE2F15"/>
    <w:rsid w:val="00CE4480"/>
    <w:rsid w:val="00CE5A07"/>
    <w:rsid w:val="00CE5C70"/>
    <w:rsid w:val="00CE637B"/>
    <w:rsid w:val="00CE76D7"/>
    <w:rsid w:val="00CF0A88"/>
    <w:rsid w:val="00CF0F3E"/>
    <w:rsid w:val="00CF1A98"/>
    <w:rsid w:val="00CF353A"/>
    <w:rsid w:val="00CF35E4"/>
    <w:rsid w:val="00CF3E54"/>
    <w:rsid w:val="00CF41A9"/>
    <w:rsid w:val="00CF5634"/>
    <w:rsid w:val="00CF5F68"/>
    <w:rsid w:val="00CF627E"/>
    <w:rsid w:val="00CF653E"/>
    <w:rsid w:val="00CF6840"/>
    <w:rsid w:val="00CF6A7C"/>
    <w:rsid w:val="00CF7181"/>
    <w:rsid w:val="00CF74B8"/>
    <w:rsid w:val="00CF7FA8"/>
    <w:rsid w:val="00D00DE8"/>
    <w:rsid w:val="00D012F4"/>
    <w:rsid w:val="00D0152A"/>
    <w:rsid w:val="00D01710"/>
    <w:rsid w:val="00D01740"/>
    <w:rsid w:val="00D01D60"/>
    <w:rsid w:val="00D024BD"/>
    <w:rsid w:val="00D038BE"/>
    <w:rsid w:val="00D0404E"/>
    <w:rsid w:val="00D04CC2"/>
    <w:rsid w:val="00D054AA"/>
    <w:rsid w:val="00D05A61"/>
    <w:rsid w:val="00D06592"/>
    <w:rsid w:val="00D0663A"/>
    <w:rsid w:val="00D06F52"/>
    <w:rsid w:val="00D06FDC"/>
    <w:rsid w:val="00D07AA8"/>
    <w:rsid w:val="00D10ADA"/>
    <w:rsid w:val="00D10F6C"/>
    <w:rsid w:val="00D11170"/>
    <w:rsid w:val="00D119D6"/>
    <w:rsid w:val="00D12892"/>
    <w:rsid w:val="00D131D0"/>
    <w:rsid w:val="00D1493F"/>
    <w:rsid w:val="00D14AEE"/>
    <w:rsid w:val="00D15034"/>
    <w:rsid w:val="00D16A71"/>
    <w:rsid w:val="00D170EA"/>
    <w:rsid w:val="00D1737C"/>
    <w:rsid w:val="00D17469"/>
    <w:rsid w:val="00D17F16"/>
    <w:rsid w:val="00D207AA"/>
    <w:rsid w:val="00D22251"/>
    <w:rsid w:val="00D22513"/>
    <w:rsid w:val="00D23B29"/>
    <w:rsid w:val="00D2411B"/>
    <w:rsid w:val="00D2450B"/>
    <w:rsid w:val="00D24804"/>
    <w:rsid w:val="00D25258"/>
    <w:rsid w:val="00D254F9"/>
    <w:rsid w:val="00D25590"/>
    <w:rsid w:val="00D259E5"/>
    <w:rsid w:val="00D266FF"/>
    <w:rsid w:val="00D26D8E"/>
    <w:rsid w:val="00D273EE"/>
    <w:rsid w:val="00D27426"/>
    <w:rsid w:val="00D27E9C"/>
    <w:rsid w:val="00D31746"/>
    <w:rsid w:val="00D324C7"/>
    <w:rsid w:val="00D32661"/>
    <w:rsid w:val="00D3290D"/>
    <w:rsid w:val="00D3298F"/>
    <w:rsid w:val="00D330D3"/>
    <w:rsid w:val="00D330D6"/>
    <w:rsid w:val="00D336A5"/>
    <w:rsid w:val="00D338A6"/>
    <w:rsid w:val="00D33C81"/>
    <w:rsid w:val="00D3471D"/>
    <w:rsid w:val="00D350CB"/>
    <w:rsid w:val="00D365C4"/>
    <w:rsid w:val="00D36D95"/>
    <w:rsid w:val="00D36F16"/>
    <w:rsid w:val="00D374B8"/>
    <w:rsid w:val="00D37BE4"/>
    <w:rsid w:val="00D41089"/>
    <w:rsid w:val="00D420BF"/>
    <w:rsid w:val="00D43521"/>
    <w:rsid w:val="00D4356D"/>
    <w:rsid w:val="00D439BD"/>
    <w:rsid w:val="00D43F50"/>
    <w:rsid w:val="00D4475D"/>
    <w:rsid w:val="00D44AF8"/>
    <w:rsid w:val="00D44F86"/>
    <w:rsid w:val="00D45133"/>
    <w:rsid w:val="00D45911"/>
    <w:rsid w:val="00D46175"/>
    <w:rsid w:val="00D4622A"/>
    <w:rsid w:val="00D46BDE"/>
    <w:rsid w:val="00D50360"/>
    <w:rsid w:val="00D509CC"/>
    <w:rsid w:val="00D50AB3"/>
    <w:rsid w:val="00D50DD8"/>
    <w:rsid w:val="00D5109A"/>
    <w:rsid w:val="00D5120A"/>
    <w:rsid w:val="00D51B04"/>
    <w:rsid w:val="00D51D70"/>
    <w:rsid w:val="00D52D09"/>
    <w:rsid w:val="00D53038"/>
    <w:rsid w:val="00D53D2E"/>
    <w:rsid w:val="00D545CD"/>
    <w:rsid w:val="00D54935"/>
    <w:rsid w:val="00D549D3"/>
    <w:rsid w:val="00D54BC7"/>
    <w:rsid w:val="00D54BFA"/>
    <w:rsid w:val="00D551ED"/>
    <w:rsid w:val="00D60551"/>
    <w:rsid w:val="00D60F80"/>
    <w:rsid w:val="00D61585"/>
    <w:rsid w:val="00D61824"/>
    <w:rsid w:val="00D61A56"/>
    <w:rsid w:val="00D62EB1"/>
    <w:rsid w:val="00D631F4"/>
    <w:rsid w:val="00D63AD4"/>
    <w:rsid w:val="00D642F9"/>
    <w:rsid w:val="00D6500C"/>
    <w:rsid w:val="00D654BA"/>
    <w:rsid w:val="00D67396"/>
    <w:rsid w:val="00D67F12"/>
    <w:rsid w:val="00D716A8"/>
    <w:rsid w:val="00D72032"/>
    <w:rsid w:val="00D7215C"/>
    <w:rsid w:val="00D7249E"/>
    <w:rsid w:val="00D72BA0"/>
    <w:rsid w:val="00D73DFD"/>
    <w:rsid w:val="00D73E2E"/>
    <w:rsid w:val="00D74323"/>
    <w:rsid w:val="00D7473F"/>
    <w:rsid w:val="00D74EFF"/>
    <w:rsid w:val="00D750C8"/>
    <w:rsid w:val="00D75899"/>
    <w:rsid w:val="00D76087"/>
    <w:rsid w:val="00D76812"/>
    <w:rsid w:val="00D769BB"/>
    <w:rsid w:val="00D76B63"/>
    <w:rsid w:val="00D77184"/>
    <w:rsid w:val="00D77253"/>
    <w:rsid w:val="00D77E8F"/>
    <w:rsid w:val="00D80323"/>
    <w:rsid w:val="00D8085F"/>
    <w:rsid w:val="00D80B75"/>
    <w:rsid w:val="00D838A6"/>
    <w:rsid w:val="00D84AB9"/>
    <w:rsid w:val="00D84D7E"/>
    <w:rsid w:val="00D85480"/>
    <w:rsid w:val="00D85B72"/>
    <w:rsid w:val="00D874D0"/>
    <w:rsid w:val="00D87782"/>
    <w:rsid w:val="00D9011D"/>
    <w:rsid w:val="00D90143"/>
    <w:rsid w:val="00D90212"/>
    <w:rsid w:val="00D90A94"/>
    <w:rsid w:val="00D91D40"/>
    <w:rsid w:val="00D925D1"/>
    <w:rsid w:val="00D92769"/>
    <w:rsid w:val="00D932CF"/>
    <w:rsid w:val="00D9394A"/>
    <w:rsid w:val="00D93BA6"/>
    <w:rsid w:val="00D945A0"/>
    <w:rsid w:val="00D94D61"/>
    <w:rsid w:val="00D950D8"/>
    <w:rsid w:val="00D955A7"/>
    <w:rsid w:val="00D95832"/>
    <w:rsid w:val="00D95865"/>
    <w:rsid w:val="00D95CE6"/>
    <w:rsid w:val="00D95E0D"/>
    <w:rsid w:val="00D95E14"/>
    <w:rsid w:val="00D96122"/>
    <w:rsid w:val="00D96A16"/>
    <w:rsid w:val="00D96BD7"/>
    <w:rsid w:val="00D977C1"/>
    <w:rsid w:val="00DA016E"/>
    <w:rsid w:val="00DA061C"/>
    <w:rsid w:val="00DA0C05"/>
    <w:rsid w:val="00DA10F4"/>
    <w:rsid w:val="00DA129F"/>
    <w:rsid w:val="00DA18F0"/>
    <w:rsid w:val="00DA2579"/>
    <w:rsid w:val="00DA3D4F"/>
    <w:rsid w:val="00DA3DC9"/>
    <w:rsid w:val="00DA4370"/>
    <w:rsid w:val="00DA4630"/>
    <w:rsid w:val="00DA49B9"/>
    <w:rsid w:val="00DA4B6B"/>
    <w:rsid w:val="00DA525A"/>
    <w:rsid w:val="00DA5913"/>
    <w:rsid w:val="00DA6C62"/>
    <w:rsid w:val="00DA6F26"/>
    <w:rsid w:val="00DA71A0"/>
    <w:rsid w:val="00DA7607"/>
    <w:rsid w:val="00DB00FE"/>
    <w:rsid w:val="00DB0C1A"/>
    <w:rsid w:val="00DB0D1F"/>
    <w:rsid w:val="00DB1097"/>
    <w:rsid w:val="00DB24F6"/>
    <w:rsid w:val="00DB28FC"/>
    <w:rsid w:val="00DB2E5F"/>
    <w:rsid w:val="00DB32C1"/>
    <w:rsid w:val="00DB375F"/>
    <w:rsid w:val="00DB379F"/>
    <w:rsid w:val="00DB48B0"/>
    <w:rsid w:val="00DB494D"/>
    <w:rsid w:val="00DB5F00"/>
    <w:rsid w:val="00DB64D9"/>
    <w:rsid w:val="00DB655E"/>
    <w:rsid w:val="00DB6D5F"/>
    <w:rsid w:val="00DB6DAF"/>
    <w:rsid w:val="00DB6F31"/>
    <w:rsid w:val="00DB7198"/>
    <w:rsid w:val="00DB7EB6"/>
    <w:rsid w:val="00DC0332"/>
    <w:rsid w:val="00DC1456"/>
    <w:rsid w:val="00DC1F0B"/>
    <w:rsid w:val="00DC29E7"/>
    <w:rsid w:val="00DC3364"/>
    <w:rsid w:val="00DC3537"/>
    <w:rsid w:val="00DC415B"/>
    <w:rsid w:val="00DC4297"/>
    <w:rsid w:val="00DC450D"/>
    <w:rsid w:val="00DC5694"/>
    <w:rsid w:val="00DC6065"/>
    <w:rsid w:val="00DC783F"/>
    <w:rsid w:val="00DC7866"/>
    <w:rsid w:val="00DD03CC"/>
    <w:rsid w:val="00DD0604"/>
    <w:rsid w:val="00DD0652"/>
    <w:rsid w:val="00DD0A7B"/>
    <w:rsid w:val="00DD0D76"/>
    <w:rsid w:val="00DD115C"/>
    <w:rsid w:val="00DD223F"/>
    <w:rsid w:val="00DD28B0"/>
    <w:rsid w:val="00DD3B52"/>
    <w:rsid w:val="00DD3BD7"/>
    <w:rsid w:val="00DD484E"/>
    <w:rsid w:val="00DD4958"/>
    <w:rsid w:val="00DD4BC2"/>
    <w:rsid w:val="00DD4CD3"/>
    <w:rsid w:val="00DD5A89"/>
    <w:rsid w:val="00DD6782"/>
    <w:rsid w:val="00DD7466"/>
    <w:rsid w:val="00DE002E"/>
    <w:rsid w:val="00DE0266"/>
    <w:rsid w:val="00DE0C99"/>
    <w:rsid w:val="00DE0FCD"/>
    <w:rsid w:val="00DE11D7"/>
    <w:rsid w:val="00DE1933"/>
    <w:rsid w:val="00DE1FE1"/>
    <w:rsid w:val="00DE2176"/>
    <w:rsid w:val="00DE244D"/>
    <w:rsid w:val="00DE30B6"/>
    <w:rsid w:val="00DE3247"/>
    <w:rsid w:val="00DE3AAB"/>
    <w:rsid w:val="00DE3E50"/>
    <w:rsid w:val="00DE4320"/>
    <w:rsid w:val="00DE44EA"/>
    <w:rsid w:val="00DE48E9"/>
    <w:rsid w:val="00DE5269"/>
    <w:rsid w:val="00DE53AF"/>
    <w:rsid w:val="00DE5CE9"/>
    <w:rsid w:val="00DE67A0"/>
    <w:rsid w:val="00DE69B1"/>
    <w:rsid w:val="00DE6A40"/>
    <w:rsid w:val="00DE6ACB"/>
    <w:rsid w:val="00DE6D10"/>
    <w:rsid w:val="00DE76D4"/>
    <w:rsid w:val="00DE787D"/>
    <w:rsid w:val="00DF0BA6"/>
    <w:rsid w:val="00DF0C8F"/>
    <w:rsid w:val="00DF1119"/>
    <w:rsid w:val="00DF17CD"/>
    <w:rsid w:val="00DF225E"/>
    <w:rsid w:val="00DF2ED6"/>
    <w:rsid w:val="00DF2FC1"/>
    <w:rsid w:val="00DF3287"/>
    <w:rsid w:val="00DF43BC"/>
    <w:rsid w:val="00DF43E3"/>
    <w:rsid w:val="00DF4752"/>
    <w:rsid w:val="00DF51E5"/>
    <w:rsid w:val="00DF525D"/>
    <w:rsid w:val="00DF57EC"/>
    <w:rsid w:val="00DF58EE"/>
    <w:rsid w:val="00DF6FC2"/>
    <w:rsid w:val="00DF7468"/>
    <w:rsid w:val="00DF775F"/>
    <w:rsid w:val="00E00225"/>
    <w:rsid w:val="00E00BB0"/>
    <w:rsid w:val="00E00BB5"/>
    <w:rsid w:val="00E01255"/>
    <w:rsid w:val="00E014BD"/>
    <w:rsid w:val="00E01FCB"/>
    <w:rsid w:val="00E0262B"/>
    <w:rsid w:val="00E03B8F"/>
    <w:rsid w:val="00E03D55"/>
    <w:rsid w:val="00E03E89"/>
    <w:rsid w:val="00E0426B"/>
    <w:rsid w:val="00E042B6"/>
    <w:rsid w:val="00E049D5"/>
    <w:rsid w:val="00E05A3B"/>
    <w:rsid w:val="00E05B80"/>
    <w:rsid w:val="00E06AEF"/>
    <w:rsid w:val="00E06C0E"/>
    <w:rsid w:val="00E06D30"/>
    <w:rsid w:val="00E0770E"/>
    <w:rsid w:val="00E101EA"/>
    <w:rsid w:val="00E105C2"/>
    <w:rsid w:val="00E11D87"/>
    <w:rsid w:val="00E11E00"/>
    <w:rsid w:val="00E120FE"/>
    <w:rsid w:val="00E14217"/>
    <w:rsid w:val="00E1437B"/>
    <w:rsid w:val="00E15A7F"/>
    <w:rsid w:val="00E1615B"/>
    <w:rsid w:val="00E16ADB"/>
    <w:rsid w:val="00E16D31"/>
    <w:rsid w:val="00E20085"/>
    <w:rsid w:val="00E20CF4"/>
    <w:rsid w:val="00E20FE4"/>
    <w:rsid w:val="00E21362"/>
    <w:rsid w:val="00E2144B"/>
    <w:rsid w:val="00E21BF3"/>
    <w:rsid w:val="00E21F6C"/>
    <w:rsid w:val="00E22B62"/>
    <w:rsid w:val="00E23031"/>
    <w:rsid w:val="00E2382F"/>
    <w:rsid w:val="00E2385A"/>
    <w:rsid w:val="00E253AC"/>
    <w:rsid w:val="00E256A7"/>
    <w:rsid w:val="00E25A2E"/>
    <w:rsid w:val="00E26044"/>
    <w:rsid w:val="00E262F3"/>
    <w:rsid w:val="00E266F8"/>
    <w:rsid w:val="00E26FBF"/>
    <w:rsid w:val="00E275AB"/>
    <w:rsid w:val="00E3007F"/>
    <w:rsid w:val="00E300A7"/>
    <w:rsid w:val="00E301C1"/>
    <w:rsid w:val="00E302AD"/>
    <w:rsid w:val="00E31034"/>
    <w:rsid w:val="00E31624"/>
    <w:rsid w:val="00E31FF0"/>
    <w:rsid w:val="00E32275"/>
    <w:rsid w:val="00E324F2"/>
    <w:rsid w:val="00E32A90"/>
    <w:rsid w:val="00E33190"/>
    <w:rsid w:val="00E33275"/>
    <w:rsid w:val="00E33F33"/>
    <w:rsid w:val="00E34D3A"/>
    <w:rsid w:val="00E34E16"/>
    <w:rsid w:val="00E35127"/>
    <w:rsid w:val="00E35585"/>
    <w:rsid w:val="00E36112"/>
    <w:rsid w:val="00E36BFF"/>
    <w:rsid w:val="00E37C1E"/>
    <w:rsid w:val="00E40EC3"/>
    <w:rsid w:val="00E411BC"/>
    <w:rsid w:val="00E41838"/>
    <w:rsid w:val="00E41E76"/>
    <w:rsid w:val="00E44E60"/>
    <w:rsid w:val="00E4600D"/>
    <w:rsid w:val="00E46C22"/>
    <w:rsid w:val="00E47D4E"/>
    <w:rsid w:val="00E5075A"/>
    <w:rsid w:val="00E5161B"/>
    <w:rsid w:val="00E5244C"/>
    <w:rsid w:val="00E528B9"/>
    <w:rsid w:val="00E52B51"/>
    <w:rsid w:val="00E53247"/>
    <w:rsid w:val="00E5344C"/>
    <w:rsid w:val="00E53520"/>
    <w:rsid w:val="00E53D9F"/>
    <w:rsid w:val="00E54AE5"/>
    <w:rsid w:val="00E557D7"/>
    <w:rsid w:val="00E559A8"/>
    <w:rsid w:val="00E55ED1"/>
    <w:rsid w:val="00E56309"/>
    <w:rsid w:val="00E5634E"/>
    <w:rsid w:val="00E57ABA"/>
    <w:rsid w:val="00E600CB"/>
    <w:rsid w:val="00E60D58"/>
    <w:rsid w:val="00E61824"/>
    <w:rsid w:val="00E61D30"/>
    <w:rsid w:val="00E621DB"/>
    <w:rsid w:val="00E62501"/>
    <w:rsid w:val="00E6256E"/>
    <w:rsid w:val="00E626BA"/>
    <w:rsid w:val="00E62FB1"/>
    <w:rsid w:val="00E63060"/>
    <w:rsid w:val="00E64D38"/>
    <w:rsid w:val="00E65964"/>
    <w:rsid w:val="00E66AD3"/>
    <w:rsid w:val="00E66F83"/>
    <w:rsid w:val="00E67488"/>
    <w:rsid w:val="00E675C2"/>
    <w:rsid w:val="00E70CD6"/>
    <w:rsid w:val="00E71909"/>
    <w:rsid w:val="00E71A24"/>
    <w:rsid w:val="00E71D3B"/>
    <w:rsid w:val="00E71EA9"/>
    <w:rsid w:val="00E722D1"/>
    <w:rsid w:val="00E728BA"/>
    <w:rsid w:val="00E72BD0"/>
    <w:rsid w:val="00E73087"/>
    <w:rsid w:val="00E73982"/>
    <w:rsid w:val="00E74533"/>
    <w:rsid w:val="00E747BD"/>
    <w:rsid w:val="00E7497B"/>
    <w:rsid w:val="00E74D2E"/>
    <w:rsid w:val="00E750E6"/>
    <w:rsid w:val="00E75EF3"/>
    <w:rsid w:val="00E760CB"/>
    <w:rsid w:val="00E76F5C"/>
    <w:rsid w:val="00E7714B"/>
    <w:rsid w:val="00E80FBD"/>
    <w:rsid w:val="00E817B4"/>
    <w:rsid w:val="00E81976"/>
    <w:rsid w:val="00E81AF9"/>
    <w:rsid w:val="00E81CD9"/>
    <w:rsid w:val="00E81E08"/>
    <w:rsid w:val="00E82D44"/>
    <w:rsid w:val="00E82E89"/>
    <w:rsid w:val="00E8329C"/>
    <w:rsid w:val="00E852B9"/>
    <w:rsid w:val="00E8631D"/>
    <w:rsid w:val="00E86561"/>
    <w:rsid w:val="00E869CD"/>
    <w:rsid w:val="00E86C17"/>
    <w:rsid w:val="00E86E63"/>
    <w:rsid w:val="00E871A4"/>
    <w:rsid w:val="00E87756"/>
    <w:rsid w:val="00E87AFB"/>
    <w:rsid w:val="00E904AF"/>
    <w:rsid w:val="00E9282C"/>
    <w:rsid w:val="00E93360"/>
    <w:rsid w:val="00E95C21"/>
    <w:rsid w:val="00E95D38"/>
    <w:rsid w:val="00E96B4F"/>
    <w:rsid w:val="00E96C5E"/>
    <w:rsid w:val="00E96D4A"/>
    <w:rsid w:val="00E97404"/>
    <w:rsid w:val="00E9759B"/>
    <w:rsid w:val="00EA01B8"/>
    <w:rsid w:val="00EA18C2"/>
    <w:rsid w:val="00EA1BC9"/>
    <w:rsid w:val="00EA1CD6"/>
    <w:rsid w:val="00EA22B3"/>
    <w:rsid w:val="00EA27C1"/>
    <w:rsid w:val="00EA2B8E"/>
    <w:rsid w:val="00EA2E9E"/>
    <w:rsid w:val="00EA31B3"/>
    <w:rsid w:val="00EA3333"/>
    <w:rsid w:val="00EA3ADD"/>
    <w:rsid w:val="00EA40A4"/>
    <w:rsid w:val="00EA4122"/>
    <w:rsid w:val="00EA47BD"/>
    <w:rsid w:val="00EA53CB"/>
    <w:rsid w:val="00EA56BA"/>
    <w:rsid w:val="00EA581B"/>
    <w:rsid w:val="00EA5FC1"/>
    <w:rsid w:val="00EA7055"/>
    <w:rsid w:val="00EB01F2"/>
    <w:rsid w:val="00EB06BC"/>
    <w:rsid w:val="00EB0D3A"/>
    <w:rsid w:val="00EB1186"/>
    <w:rsid w:val="00EB1245"/>
    <w:rsid w:val="00EB1506"/>
    <w:rsid w:val="00EB1953"/>
    <w:rsid w:val="00EB1CAB"/>
    <w:rsid w:val="00EB2311"/>
    <w:rsid w:val="00EB31B8"/>
    <w:rsid w:val="00EB4486"/>
    <w:rsid w:val="00EB44FE"/>
    <w:rsid w:val="00EB4C1C"/>
    <w:rsid w:val="00EB4E0C"/>
    <w:rsid w:val="00EB536B"/>
    <w:rsid w:val="00EB5A0B"/>
    <w:rsid w:val="00EB636E"/>
    <w:rsid w:val="00EB64FF"/>
    <w:rsid w:val="00EB6F0C"/>
    <w:rsid w:val="00EB7C78"/>
    <w:rsid w:val="00EC004D"/>
    <w:rsid w:val="00EC0D19"/>
    <w:rsid w:val="00EC0E34"/>
    <w:rsid w:val="00EC0FBC"/>
    <w:rsid w:val="00EC31F0"/>
    <w:rsid w:val="00EC385D"/>
    <w:rsid w:val="00EC446B"/>
    <w:rsid w:val="00EC44A7"/>
    <w:rsid w:val="00EC5377"/>
    <w:rsid w:val="00EC553B"/>
    <w:rsid w:val="00EC5BF9"/>
    <w:rsid w:val="00EC6462"/>
    <w:rsid w:val="00EC6A56"/>
    <w:rsid w:val="00EC6C6C"/>
    <w:rsid w:val="00EC7170"/>
    <w:rsid w:val="00EC7533"/>
    <w:rsid w:val="00ED0486"/>
    <w:rsid w:val="00ED1566"/>
    <w:rsid w:val="00ED1C1F"/>
    <w:rsid w:val="00ED251F"/>
    <w:rsid w:val="00ED3222"/>
    <w:rsid w:val="00ED3AF7"/>
    <w:rsid w:val="00ED492B"/>
    <w:rsid w:val="00ED78CF"/>
    <w:rsid w:val="00ED78E8"/>
    <w:rsid w:val="00ED7B52"/>
    <w:rsid w:val="00ED7DA3"/>
    <w:rsid w:val="00EE0F67"/>
    <w:rsid w:val="00EE396E"/>
    <w:rsid w:val="00EE3DB2"/>
    <w:rsid w:val="00EE3DC4"/>
    <w:rsid w:val="00EE44E5"/>
    <w:rsid w:val="00EE45A7"/>
    <w:rsid w:val="00EE49E3"/>
    <w:rsid w:val="00EE5088"/>
    <w:rsid w:val="00EE5DC5"/>
    <w:rsid w:val="00EE6104"/>
    <w:rsid w:val="00EE611B"/>
    <w:rsid w:val="00EE7320"/>
    <w:rsid w:val="00EF0D82"/>
    <w:rsid w:val="00EF0E4D"/>
    <w:rsid w:val="00EF1435"/>
    <w:rsid w:val="00EF1640"/>
    <w:rsid w:val="00EF24C1"/>
    <w:rsid w:val="00EF2748"/>
    <w:rsid w:val="00EF3153"/>
    <w:rsid w:val="00EF45A5"/>
    <w:rsid w:val="00EF4DF3"/>
    <w:rsid w:val="00EF5063"/>
    <w:rsid w:val="00EF5230"/>
    <w:rsid w:val="00EF5667"/>
    <w:rsid w:val="00EF5B7B"/>
    <w:rsid w:val="00EF5D00"/>
    <w:rsid w:val="00EF6488"/>
    <w:rsid w:val="00EF69D1"/>
    <w:rsid w:val="00EF749C"/>
    <w:rsid w:val="00EF74AB"/>
    <w:rsid w:val="00EF7679"/>
    <w:rsid w:val="00EF77F7"/>
    <w:rsid w:val="00F0062B"/>
    <w:rsid w:val="00F007C8"/>
    <w:rsid w:val="00F007F2"/>
    <w:rsid w:val="00F00BD7"/>
    <w:rsid w:val="00F02BC5"/>
    <w:rsid w:val="00F02CFF"/>
    <w:rsid w:val="00F0381A"/>
    <w:rsid w:val="00F03F40"/>
    <w:rsid w:val="00F041F2"/>
    <w:rsid w:val="00F0450B"/>
    <w:rsid w:val="00F059F5"/>
    <w:rsid w:val="00F06648"/>
    <w:rsid w:val="00F06AC5"/>
    <w:rsid w:val="00F06BCC"/>
    <w:rsid w:val="00F06F8B"/>
    <w:rsid w:val="00F07A74"/>
    <w:rsid w:val="00F07AD1"/>
    <w:rsid w:val="00F1082D"/>
    <w:rsid w:val="00F1091E"/>
    <w:rsid w:val="00F121E7"/>
    <w:rsid w:val="00F12C53"/>
    <w:rsid w:val="00F12D25"/>
    <w:rsid w:val="00F131C4"/>
    <w:rsid w:val="00F13623"/>
    <w:rsid w:val="00F13B6E"/>
    <w:rsid w:val="00F13DDC"/>
    <w:rsid w:val="00F140CF"/>
    <w:rsid w:val="00F1469E"/>
    <w:rsid w:val="00F14D68"/>
    <w:rsid w:val="00F150B3"/>
    <w:rsid w:val="00F15116"/>
    <w:rsid w:val="00F1512F"/>
    <w:rsid w:val="00F151EB"/>
    <w:rsid w:val="00F153F6"/>
    <w:rsid w:val="00F15AFE"/>
    <w:rsid w:val="00F16339"/>
    <w:rsid w:val="00F16370"/>
    <w:rsid w:val="00F16D66"/>
    <w:rsid w:val="00F176AD"/>
    <w:rsid w:val="00F17CFB"/>
    <w:rsid w:val="00F200E3"/>
    <w:rsid w:val="00F20319"/>
    <w:rsid w:val="00F20962"/>
    <w:rsid w:val="00F21C53"/>
    <w:rsid w:val="00F2217F"/>
    <w:rsid w:val="00F222BE"/>
    <w:rsid w:val="00F22C10"/>
    <w:rsid w:val="00F22E9F"/>
    <w:rsid w:val="00F23535"/>
    <w:rsid w:val="00F23993"/>
    <w:rsid w:val="00F23F7B"/>
    <w:rsid w:val="00F244C4"/>
    <w:rsid w:val="00F245C7"/>
    <w:rsid w:val="00F24D01"/>
    <w:rsid w:val="00F254E7"/>
    <w:rsid w:val="00F259B3"/>
    <w:rsid w:val="00F25F62"/>
    <w:rsid w:val="00F2616D"/>
    <w:rsid w:val="00F262E6"/>
    <w:rsid w:val="00F26D54"/>
    <w:rsid w:val="00F27447"/>
    <w:rsid w:val="00F30F16"/>
    <w:rsid w:val="00F3103C"/>
    <w:rsid w:val="00F3198E"/>
    <w:rsid w:val="00F31A26"/>
    <w:rsid w:val="00F31CFE"/>
    <w:rsid w:val="00F328D6"/>
    <w:rsid w:val="00F32E6A"/>
    <w:rsid w:val="00F3443B"/>
    <w:rsid w:val="00F3450E"/>
    <w:rsid w:val="00F34C35"/>
    <w:rsid w:val="00F34C80"/>
    <w:rsid w:val="00F3506C"/>
    <w:rsid w:val="00F362C6"/>
    <w:rsid w:val="00F36545"/>
    <w:rsid w:val="00F36547"/>
    <w:rsid w:val="00F4054F"/>
    <w:rsid w:val="00F40E1C"/>
    <w:rsid w:val="00F4108C"/>
    <w:rsid w:val="00F41303"/>
    <w:rsid w:val="00F41DCD"/>
    <w:rsid w:val="00F41F0D"/>
    <w:rsid w:val="00F429B9"/>
    <w:rsid w:val="00F433AB"/>
    <w:rsid w:val="00F43E35"/>
    <w:rsid w:val="00F4481E"/>
    <w:rsid w:val="00F44CFF"/>
    <w:rsid w:val="00F44E34"/>
    <w:rsid w:val="00F44F0C"/>
    <w:rsid w:val="00F4539A"/>
    <w:rsid w:val="00F45E12"/>
    <w:rsid w:val="00F46382"/>
    <w:rsid w:val="00F47A73"/>
    <w:rsid w:val="00F50688"/>
    <w:rsid w:val="00F5085C"/>
    <w:rsid w:val="00F5095D"/>
    <w:rsid w:val="00F50A1E"/>
    <w:rsid w:val="00F51330"/>
    <w:rsid w:val="00F52663"/>
    <w:rsid w:val="00F526A4"/>
    <w:rsid w:val="00F52790"/>
    <w:rsid w:val="00F53797"/>
    <w:rsid w:val="00F53DF5"/>
    <w:rsid w:val="00F542F9"/>
    <w:rsid w:val="00F544D7"/>
    <w:rsid w:val="00F55010"/>
    <w:rsid w:val="00F55145"/>
    <w:rsid w:val="00F555F7"/>
    <w:rsid w:val="00F56744"/>
    <w:rsid w:val="00F573E0"/>
    <w:rsid w:val="00F57D04"/>
    <w:rsid w:val="00F61305"/>
    <w:rsid w:val="00F6252D"/>
    <w:rsid w:val="00F643EB"/>
    <w:rsid w:val="00F64F21"/>
    <w:rsid w:val="00F657D0"/>
    <w:rsid w:val="00F65C49"/>
    <w:rsid w:val="00F66BF3"/>
    <w:rsid w:val="00F676FC"/>
    <w:rsid w:val="00F70677"/>
    <w:rsid w:val="00F706BD"/>
    <w:rsid w:val="00F71658"/>
    <w:rsid w:val="00F71FBF"/>
    <w:rsid w:val="00F72ACC"/>
    <w:rsid w:val="00F72F84"/>
    <w:rsid w:val="00F73A6D"/>
    <w:rsid w:val="00F73F37"/>
    <w:rsid w:val="00F740C0"/>
    <w:rsid w:val="00F74571"/>
    <w:rsid w:val="00F74943"/>
    <w:rsid w:val="00F74D7F"/>
    <w:rsid w:val="00F74FD3"/>
    <w:rsid w:val="00F75354"/>
    <w:rsid w:val="00F75795"/>
    <w:rsid w:val="00F75902"/>
    <w:rsid w:val="00F7603E"/>
    <w:rsid w:val="00F760D9"/>
    <w:rsid w:val="00F768FC"/>
    <w:rsid w:val="00F80617"/>
    <w:rsid w:val="00F80E19"/>
    <w:rsid w:val="00F81011"/>
    <w:rsid w:val="00F8117B"/>
    <w:rsid w:val="00F81A67"/>
    <w:rsid w:val="00F822EE"/>
    <w:rsid w:val="00F83021"/>
    <w:rsid w:val="00F83569"/>
    <w:rsid w:val="00F83D4D"/>
    <w:rsid w:val="00F8492A"/>
    <w:rsid w:val="00F84F1E"/>
    <w:rsid w:val="00F860A3"/>
    <w:rsid w:val="00F8615F"/>
    <w:rsid w:val="00F8632C"/>
    <w:rsid w:val="00F86808"/>
    <w:rsid w:val="00F86EE4"/>
    <w:rsid w:val="00F87633"/>
    <w:rsid w:val="00F87A08"/>
    <w:rsid w:val="00F87BCA"/>
    <w:rsid w:val="00F87D7C"/>
    <w:rsid w:val="00F87F5B"/>
    <w:rsid w:val="00F90BBE"/>
    <w:rsid w:val="00F9114A"/>
    <w:rsid w:val="00F9161B"/>
    <w:rsid w:val="00F91D75"/>
    <w:rsid w:val="00F921E8"/>
    <w:rsid w:val="00F92DA4"/>
    <w:rsid w:val="00F92E4E"/>
    <w:rsid w:val="00F93A6A"/>
    <w:rsid w:val="00F94A7C"/>
    <w:rsid w:val="00F95262"/>
    <w:rsid w:val="00F955B5"/>
    <w:rsid w:val="00F959A0"/>
    <w:rsid w:val="00F95E4C"/>
    <w:rsid w:val="00F9661C"/>
    <w:rsid w:val="00F96873"/>
    <w:rsid w:val="00FA00E8"/>
    <w:rsid w:val="00FA03B3"/>
    <w:rsid w:val="00FA0471"/>
    <w:rsid w:val="00FA0CD4"/>
    <w:rsid w:val="00FA196E"/>
    <w:rsid w:val="00FA1C1B"/>
    <w:rsid w:val="00FA22E4"/>
    <w:rsid w:val="00FA32F8"/>
    <w:rsid w:val="00FA3D84"/>
    <w:rsid w:val="00FA46C1"/>
    <w:rsid w:val="00FA500A"/>
    <w:rsid w:val="00FA639B"/>
    <w:rsid w:val="00FA6462"/>
    <w:rsid w:val="00FA6B88"/>
    <w:rsid w:val="00FA7AE9"/>
    <w:rsid w:val="00FA7B0E"/>
    <w:rsid w:val="00FA7FE0"/>
    <w:rsid w:val="00FB0348"/>
    <w:rsid w:val="00FB0BD9"/>
    <w:rsid w:val="00FB0CBD"/>
    <w:rsid w:val="00FB1471"/>
    <w:rsid w:val="00FB198C"/>
    <w:rsid w:val="00FB55CB"/>
    <w:rsid w:val="00FB6A74"/>
    <w:rsid w:val="00FB716F"/>
    <w:rsid w:val="00FB7790"/>
    <w:rsid w:val="00FC0234"/>
    <w:rsid w:val="00FC08AF"/>
    <w:rsid w:val="00FC0ABB"/>
    <w:rsid w:val="00FC1080"/>
    <w:rsid w:val="00FC1166"/>
    <w:rsid w:val="00FC138F"/>
    <w:rsid w:val="00FC2002"/>
    <w:rsid w:val="00FC2107"/>
    <w:rsid w:val="00FC2800"/>
    <w:rsid w:val="00FC2A6D"/>
    <w:rsid w:val="00FC3006"/>
    <w:rsid w:val="00FC3C2C"/>
    <w:rsid w:val="00FC41D8"/>
    <w:rsid w:val="00FC42B1"/>
    <w:rsid w:val="00FC46F7"/>
    <w:rsid w:val="00FC4816"/>
    <w:rsid w:val="00FC5AA5"/>
    <w:rsid w:val="00FC72F9"/>
    <w:rsid w:val="00FD0301"/>
    <w:rsid w:val="00FD0937"/>
    <w:rsid w:val="00FD1F98"/>
    <w:rsid w:val="00FD26AE"/>
    <w:rsid w:val="00FD32AD"/>
    <w:rsid w:val="00FD41EC"/>
    <w:rsid w:val="00FD4809"/>
    <w:rsid w:val="00FD4F5A"/>
    <w:rsid w:val="00FD5380"/>
    <w:rsid w:val="00FD5781"/>
    <w:rsid w:val="00FD61F8"/>
    <w:rsid w:val="00FD6779"/>
    <w:rsid w:val="00FD685C"/>
    <w:rsid w:val="00FD6A1D"/>
    <w:rsid w:val="00FD74F6"/>
    <w:rsid w:val="00FD7833"/>
    <w:rsid w:val="00FD7D5F"/>
    <w:rsid w:val="00FD7E4C"/>
    <w:rsid w:val="00FE047A"/>
    <w:rsid w:val="00FE0742"/>
    <w:rsid w:val="00FE093D"/>
    <w:rsid w:val="00FE0A6E"/>
    <w:rsid w:val="00FE0F92"/>
    <w:rsid w:val="00FE1077"/>
    <w:rsid w:val="00FE17FA"/>
    <w:rsid w:val="00FE1DB1"/>
    <w:rsid w:val="00FE23C2"/>
    <w:rsid w:val="00FE26B8"/>
    <w:rsid w:val="00FE29D9"/>
    <w:rsid w:val="00FE2B13"/>
    <w:rsid w:val="00FE2F48"/>
    <w:rsid w:val="00FE3490"/>
    <w:rsid w:val="00FE34CF"/>
    <w:rsid w:val="00FE376B"/>
    <w:rsid w:val="00FE49F9"/>
    <w:rsid w:val="00FE4B18"/>
    <w:rsid w:val="00FE5646"/>
    <w:rsid w:val="00FE5B0A"/>
    <w:rsid w:val="00FE5EE8"/>
    <w:rsid w:val="00FE5F40"/>
    <w:rsid w:val="00FE61C6"/>
    <w:rsid w:val="00FE6360"/>
    <w:rsid w:val="00FE6CFA"/>
    <w:rsid w:val="00FF04B2"/>
    <w:rsid w:val="00FF0BD2"/>
    <w:rsid w:val="00FF0F7A"/>
    <w:rsid w:val="00FF13B2"/>
    <w:rsid w:val="00FF1556"/>
    <w:rsid w:val="00FF20BF"/>
    <w:rsid w:val="00FF363C"/>
    <w:rsid w:val="00FF3EEC"/>
    <w:rsid w:val="00FF47D1"/>
    <w:rsid w:val="00FF5250"/>
    <w:rsid w:val="00FF5C0A"/>
    <w:rsid w:val="00FF6173"/>
    <w:rsid w:val="00FF6469"/>
    <w:rsid w:val="00FF6C72"/>
    <w:rsid w:val="00FF6EEC"/>
    <w:rsid w:val="00FF784A"/>
    <w:rsid w:val="00FF79A0"/>
    <w:rsid w:val="00FF7BFF"/>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D59D5"/>
  <w15:docId w15:val="{C65B9BD0-AD15-42AB-8709-595AC9AF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F86"/>
    <w:pPr>
      <w:spacing w:line="360" w:lineRule="auto"/>
      <w:ind w:firstLine="1440"/>
    </w:pPr>
    <w:rPr>
      <w:rFonts w:ascii="Times New Roman" w:hAnsi="Times New Roman"/>
      <w:sz w:val="26"/>
      <w:szCs w:val="22"/>
    </w:rPr>
  </w:style>
  <w:style w:type="paragraph" w:styleId="Heading1">
    <w:name w:val="heading 1"/>
    <w:basedOn w:val="Normal"/>
    <w:next w:val="Normal"/>
    <w:link w:val="Heading1Char"/>
    <w:uiPriority w:val="9"/>
    <w:qFormat/>
    <w:rsid w:val="008844B4"/>
    <w:pPr>
      <w:keepNext/>
      <w:spacing w:line="240" w:lineRule="auto"/>
      <w:ind w:firstLine="0"/>
      <w:jc w:val="center"/>
      <w:outlineLvl w:val="0"/>
    </w:pPr>
    <w:rPr>
      <w:b/>
      <w:szCs w:val="26"/>
    </w:rPr>
  </w:style>
  <w:style w:type="paragraph" w:styleId="Heading2">
    <w:name w:val="heading 2"/>
    <w:basedOn w:val="Normal"/>
    <w:next w:val="Normal"/>
    <w:link w:val="Heading2Char"/>
    <w:uiPriority w:val="9"/>
    <w:unhideWhenUsed/>
    <w:qFormat/>
    <w:rsid w:val="00055D48"/>
    <w:pPr>
      <w:keepNext/>
      <w:numPr>
        <w:numId w:val="1"/>
      </w:numPr>
      <w:spacing w:line="240" w:lineRule="auto"/>
      <w:ind w:left="720" w:hanging="720"/>
      <w:outlineLvl w:val="1"/>
    </w:pPr>
    <w:rPr>
      <w:b/>
      <w:sz w:val="24"/>
      <w:szCs w:val="24"/>
    </w:rPr>
  </w:style>
  <w:style w:type="paragraph" w:styleId="Heading3">
    <w:name w:val="heading 3"/>
    <w:basedOn w:val="Normal"/>
    <w:next w:val="Normal"/>
    <w:link w:val="Heading3Char"/>
    <w:uiPriority w:val="9"/>
    <w:unhideWhenUsed/>
    <w:qFormat/>
    <w:rsid w:val="003B2E8C"/>
    <w:pPr>
      <w:keepNext/>
      <w:numPr>
        <w:numId w:val="2"/>
      </w:numPr>
      <w:spacing w:line="240" w:lineRule="auto"/>
      <w:ind w:left="1440" w:hanging="720"/>
      <w:outlineLvl w:val="2"/>
    </w:pPr>
    <w:rPr>
      <w:rFonts w:eastAsia="Times New Roman"/>
      <w:b/>
      <w:bCs/>
      <w:color w:val="333333"/>
      <w:szCs w:val="26"/>
    </w:rPr>
  </w:style>
  <w:style w:type="paragraph" w:styleId="Heading4">
    <w:name w:val="heading 4"/>
    <w:basedOn w:val="Normal"/>
    <w:next w:val="Normal"/>
    <w:link w:val="Heading4Char"/>
    <w:uiPriority w:val="9"/>
    <w:unhideWhenUsed/>
    <w:qFormat/>
    <w:rsid w:val="003B2E8C"/>
    <w:pPr>
      <w:keepNext/>
      <w:numPr>
        <w:numId w:val="19"/>
      </w:numPr>
      <w:spacing w:line="240" w:lineRule="auto"/>
      <w:ind w:left="2160" w:hanging="720"/>
      <w:outlineLvl w:val="3"/>
    </w:pPr>
    <w:rPr>
      <w:rFonts w:eastAsia="Times New Roman"/>
      <w:b/>
      <w:color w:val="333333"/>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44B4"/>
    <w:rPr>
      <w:rFonts w:ascii="Times New Roman" w:hAnsi="Times New Roman"/>
      <w:b/>
      <w:sz w:val="26"/>
      <w:szCs w:val="26"/>
    </w:rPr>
  </w:style>
  <w:style w:type="character" w:customStyle="1" w:styleId="Heading2Char">
    <w:name w:val="Heading 2 Char"/>
    <w:link w:val="Heading2"/>
    <w:uiPriority w:val="9"/>
    <w:rsid w:val="00055D48"/>
    <w:rPr>
      <w:rFonts w:ascii="Times New Roman" w:hAnsi="Times New Roman"/>
      <w:b/>
      <w:sz w:val="24"/>
      <w:szCs w:val="24"/>
    </w:rPr>
  </w:style>
  <w:style w:type="character" w:customStyle="1" w:styleId="Heading3Char">
    <w:name w:val="Heading 3 Char"/>
    <w:link w:val="Heading3"/>
    <w:uiPriority w:val="9"/>
    <w:rsid w:val="003B2E8C"/>
    <w:rPr>
      <w:rFonts w:ascii="Times New Roman" w:eastAsia="Times New Roman" w:hAnsi="Times New Roman"/>
      <w:b/>
      <w:bCs/>
      <w:color w:val="333333"/>
      <w:sz w:val="26"/>
      <w:szCs w:val="26"/>
    </w:rPr>
  </w:style>
  <w:style w:type="character" w:customStyle="1" w:styleId="Heading4Char">
    <w:name w:val="Heading 4 Char"/>
    <w:link w:val="Heading4"/>
    <w:uiPriority w:val="9"/>
    <w:rsid w:val="003B2E8C"/>
    <w:rPr>
      <w:rFonts w:ascii="Times New Roman" w:eastAsia="Times New Roman" w:hAnsi="Times New Roman"/>
      <w:b/>
      <w:color w:val="333333"/>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line="240" w:lineRule="auto"/>
      <w:ind w:left="720"/>
    </w:pPr>
    <w:rPr>
      <w:rFonts w:eastAsia="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Car,fn,ft"/>
    <w:basedOn w:val="Normal"/>
    <w:link w:val="FootnoteTextChar"/>
    <w:uiPriority w:val="99"/>
    <w:unhideWhenUsed/>
    <w:qFormat/>
    <w:rsid w:val="00B22843"/>
    <w:pPr>
      <w:spacing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Car Char"/>
    <w:link w:val="FootnoteText"/>
    <w:uiPriority w:val="99"/>
    <w:rsid w:val="00B22843"/>
    <w:rPr>
      <w:sz w:val="20"/>
      <w:szCs w:val="20"/>
    </w:rPr>
  </w:style>
  <w:style w:type="character" w:styleId="FootnoteReference">
    <w:name w:val="footnote reference"/>
    <w:aliases w:val="o,fr"/>
    <w:uiPriority w:val="99"/>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eastAsia="Times New Roman"/>
      <w:sz w:val="24"/>
      <w:szCs w:val="20"/>
    </w:rPr>
  </w:style>
  <w:style w:type="paragraph" w:customStyle="1" w:styleId="Normal2">
    <w:name w:val="Normal 2"/>
    <w:basedOn w:val="Normal"/>
    <w:rsid w:val="0047221A"/>
    <w:pPr>
      <w:spacing w:after="240" w:line="240" w:lineRule="auto"/>
      <w:ind w:left="1440" w:firstLine="720"/>
    </w:pPr>
    <w:rPr>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line="480" w:lineRule="auto"/>
      <w:ind w:firstLine="720"/>
    </w:pPr>
    <w:rPr>
      <w:rFonts w:eastAsia="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eastAsia="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rPr>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paragraph" w:styleId="BodyText3">
    <w:name w:val="Body Text 3"/>
    <w:basedOn w:val="Normal"/>
    <w:link w:val="BodyText3Char"/>
    <w:uiPriority w:val="99"/>
    <w:unhideWhenUsed/>
    <w:rsid w:val="006E3DA2"/>
    <w:rPr>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semiHidden/>
    <w:rsid w:val="001371CA"/>
    <w:rPr>
      <w:sz w:val="24"/>
    </w:rPr>
  </w:style>
  <w:style w:type="paragraph" w:styleId="PlainText">
    <w:name w:val="Plain Text"/>
    <w:basedOn w:val="Normal"/>
    <w:link w:val="PlainTextChar"/>
    <w:uiPriority w:val="99"/>
    <w:rsid w:val="003E6FA5"/>
    <w:pPr>
      <w:spacing w:line="240" w:lineRule="auto"/>
    </w:pPr>
    <w:rPr>
      <w:rFonts w:eastAsia="Times New Roman"/>
      <w:szCs w:val="20"/>
    </w:rPr>
  </w:style>
  <w:style w:type="character" w:customStyle="1" w:styleId="PlainTextChar">
    <w:name w:val="Plain Text Char"/>
    <w:basedOn w:val="DefaultParagraphFont"/>
    <w:link w:val="PlainText"/>
    <w:uiPriority w:val="99"/>
    <w:rsid w:val="003E6FA5"/>
    <w:rPr>
      <w:rFonts w:ascii="Times New Roman" w:eastAsia="Times New Roman" w:hAnsi="Times New Roman"/>
      <w:sz w:val="26"/>
    </w:rPr>
  </w:style>
  <w:style w:type="paragraph" w:styleId="ListNumber">
    <w:name w:val="List Number"/>
    <w:basedOn w:val="Normal"/>
    <w:rsid w:val="003E6FA5"/>
    <w:pPr>
      <w:numPr>
        <w:numId w:val="3"/>
      </w:numPr>
      <w:spacing w:line="480" w:lineRule="auto"/>
      <w:ind w:left="0" w:firstLine="720"/>
    </w:pPr>
    <w:rPr>
      <w:rFonts w:eastAsia="Times New Roman"/>
      <w:sz w:val="24"/>
      <w:szCs w:val="24"/>
    </w:rPr>
  </w:style>
  <w:style w:type="paragraph" w:customStyle="1" w:styleId="p3">
    <w:name w:val="p3"/>
    <w:basedOn w:val="Normal"/>
    <w:rsid w:val="00E15A7F"/>
    <w:pPr>
      <w:widowControl w:val="0"/>
      <w:tabs>
        <w:tab w:val="left" w:pos="204"/>
      </w:tabs>
      <w:autoSpaceDE w:val="0"/>
      <w:autoSpaceDN w:val="0"/>
      <w:adjustRightInd w:val="0"/>
      <w:spacing w:line="240" w:lineRule="auto"/>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6F3138"/>
    <w:rPr>
      <w:b/>
      <w:bCs/>
    </w:rPr>
  </w:style>
  <w:style w:type="character" w:customStyle="1" w:styleId="CommentSubjectChar">
    <w:name w:val="Comment Subject Char"/>
    <w:basedOn w:val="CommentTextChar"/>
    <w:link w:val="CommentSubject"/>
    <w:uiPriority w:val="99"/>
    <w:semiHidden/>
    <w:rsid w:val="006F3138"/>
    <w:rPr>
      <w:b/>
      <w:bCs/>
      <w:sz w:val="20"/>
      <w:szCs w:val="20"/>
    </w:rPr>
  </w:style>
  <w:style w:type="paragraph" w:styleId="Revision">
    <w:name w:val="Revision"/>
    <w:hidden/>
    <w:uiPriority w:val="99"/>
    <w:semiHidden/>
    <w:rsid w:val="006F3138"/>
    <w:rPr>
      <w:sz w:val="22"/>
      <w:szCs w:val="22"/>
    </w:rPr>
  </w:style>
  <w:style w:type="character" w:styleId="Emphasis">
    <w:name w:val="Emphasis"/>
    <w:basedOn w:val="DefaultParagraphFont"/>
    <w:uiPriority w:val="20"/>
    <w:qFormat/>
    <w:rsid w:val="004A23B4"/>
    <w:rPr>
      <w:i/>
      <w:iCs/>
    </w:rPr>
  </w:style>
  <w:style w:type="paragraph" w:customStyle="1" w:styleId="p2">
    <w:name w:val="p2"/>
    <w:basedOn w:val="Normal"/>
    <w:rsid w:val="00C51F40"/>
    <w:pPr>
      <w:widowControl w:val="0"/>
      <w:tabs>
        <w:tab w:val="left" w:pos="1445"/>
      </w:tabs>
      <w:autoSpaceDE w:val="0"/>
      <w:autoSpaceDN w:val="0"/>
      <w:adjustRightInd w:val="0"/>
      <w:spacing w:line="240" w:lineRule="auto"/>
      <w:ind w:firstLine="1445"/>
    </w:pPr>
    <w:rPr>
      <w:rFonts w:eastAsia="Times New Roman"/>
      <w:sz w:val="24"/>
      <w:szCs w:val="24"/>
    </w:rPr>
  </w:style>
  <w:style w:type="paragraph" w:customStyle="1" w:styleId="c1">
    <w:name w:val="c1"/>
    <w:basedOn w:val="Normal"/>
    <w:rsid w:val="00692693"/>
    <w:pPr>
      <w:widowControl w:val="0"/>
      <w:autoSpaceDE w:val="0"/>
      <w:autoSpaceDN w:val="0"/>
      <w:adjustRightInd w:val="0"/>
      <w:spacing w:line="240" w:lineRule="auto"/>
      <w:jc w:val="center"/>
    </w:pPr>
    <w:rPr>
      <w:rFonts w:eastAsia="Times New Roman"/>
      <w:sz w:val="24"/>
      <w:szCs w:val="24"/>
    </w:rPr>
  </w:style>
  <w:style w:type="paragraph" w:styleId="BodyTextIndent">
    <w:name w:val="Body Text Indent"/>
    <w:basedOn w:val="Normal"/>
    <w:link w:val="BodyTextIndentChar"/>
    <w:uiPriority w:val="99"/>
    <w:semiHidden/>
    <w:unhideWhenUsed/>
    <w:rsid w:val="00FC138F"/>
    <w:pPr>
      <w:spacing w:after="120"/>
      <w:ind w:left="360"/>
    </w:pPr>
    <w:rPr>
      <w:rFonts w:ascii="CG Times" w:eastAsia="Times New Roman" w:hAnsi="CG Times"/>
      <w:sz w:val="24"/>
      <w:szCs w:val="20"/>
    </w:rPr>
  </w:style>
  <w:style w:type="character" w:customStyle="1" w:styleId="BodyTextIndentChar">
    <w:name w:val="Body Text Indent Char"/>
    <w:basedOn w:val="DefaultParagraphFont"/>
    <w:link w:val="BodyTextIndent"/>
    <w:uiPriority w:val="99"/>
    <w:semiHidden/>
    <w:rsid w:val="00FC138F"/>
    <w:rPr>
      <w:rFonts w:ascii="CG Times" w:eastAsia="Times New Roman" w:hAnsi="CG Times"/>
      <w:sz w:val="24"/>
    </w:rPr>
  </w:style>
  <w:style w:type="paragraph" w:styleId="Subtitle">
    <w:name w:val="Subtitle"/>
    <w:basedOn w:val="Normal"/>
    <w:link w:val="SubtitleChar"/>
    <w:qFormat/>
    <w:rsid w:val="00D01D60"/>
    <w:pPr>
      <w:spacing w:line="240" w:lineRule="auto"/>
      <w:jc w:val="center"/>
    </w:pPr>
    <w:rPr>
      <w:rFonts w:ascii="CG Times" w:eastAsia="Times New Roman" w:hAnsi="CG Times"/>
      <w:b/>
      <w:sz w:val="24"/>
      <w:szCs w:val="20"/>
    </w:rPr>
  </w:style>
  <w:style w:type="character" w:customStyle="1" w:styleId="SubtitleChar">
    <w:name w:val="Subtitle Char"/>
    <w:basedOn w:val="DefaultParagraphFont"/>
    <w:link w:val="Subtitle"/>
    <w:rsid w:val="00D01D60"/>
    <w:rPr>
      <w:rFonts w:ascii="CG Times" w:eastAsia="Times New Roman" w:hAnsi="CG Times"/>
      <w:b/>
      <w:sz w:val="24"/>
    </w:rPr>
  </w:style>
  <w:style w:type="character" w:customStyle="1" w:styleId="EndnoteTextChar">
    <w:name w:val="Endnote Text Char"/>
    <w:basedOn w:val="DefaultParagraphFont"/>
    <w:link w:val="EndnoteText"/>
    <w:uiPriority w:val="99"/>
    <w:semiHidden/>
    <w:rsid w:val="00D01D60"/>
    <w:rPr>
      <w:rFonts w:ascii="CG Times" w:eastAsia="Times New Roman" w:hAnsi="CG Times"/>
    </w:rPr>
  </w:style>
  <w:style w:type="paragraph" w:styleId="EndnoteText">
    <w:name w:val="endnote text"/>
    <w:basedOn w:val="Normal"/>
    <w:link w:val="EndnoteTextChar"/>
    <w:uiPriority w:val="99"/>
    <w:semiHidden/>
    <w:unhideWhenUsed/>
    <w:rsid w:val="00D01D60"/>
    <w:pPr>
      <w:spacing w:line="240" w:lineRule="auto"/>
    </w:pPr>
    <w:rPr>
      <w:rFonts w:ascii="CG Times" w:eastAsia="Times New Roman" w:hAnsi="CG Times"/>
      <w:sz w:val="20"/>
      <w:szCs w:val="20"/>
    </w:rPr>
  </w:style>
  <w:style w:type="table" w:styleId="TableGrid">
    <w:name w:val="Table Grid"/>
    <w:basedOn w:val="TableNormal"/>
    <w:uiPriority w:val="59"/>
    <w:rsid w:val="003C7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E673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8B0D92"/>
    <w:pPr>
      <w:tabs>
        <w:tab w:val="left" w:pos="1812"/>
        <w:tab w:val="right" w:leader="dot" w:pos="9350"/>
      </w:tabs>
      <w:spacing w:after="100"/>
      <w:ind w:firstLine="0"/>
    </w:pPr>
  </w:style>
  <w:style w:type="paragraph" w:styleId="TOC2">
    <w:name w:val="toc 2"/>
    <w:basedOn w:val="Normal"/>
    <w:next w:val="Normal"/>
    <w:autoRedefine/>
    <w:uiPriority w:val="39"/>
    <w:unhideWhenUsed/>
    <w:rsid w:val="003E673A"/>
    <w:pPr>
      <w:spacing w:after="100"/>
      <w:ind w:left="260"/>
    </w:pPr>
  </w:style>
  <w:style w:type="paragraph" w:styleId="TOC3">
    <w:name w:val="toc 3"/>
    <w:basedOn w:val="Normal"/>
    <w:next w:val="Normal"/>
    <w:autoRedefine/>
    <w:uiPriority w:val="39"/>
    <w:unhideWhenUsed/>
    <w:rsid w:val="003E673A"/>
    <w:pPr>
      <w:spacing w:after="100"/>
      <w:ind w:left="520"/>
    </w:pPr>
  </w:style>
  <w:style w:type="paragraph" w:customStyle="1" w:styleId="Default">
    <w:name w:val="Default"/>
    <w:rsid w:val="00C5644C"/>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B10F82"/>
    <w:pPr>
      <w:spacing w:line="240" w:lineRule="auto"/>
      <w:ind w:firstLine="0"/>
    </w:pPr>
    <w:rPr>
      <w:rFonts w:eastAsia="Times New Roman"/>
      <w:sz w:val="24"/>
      <w:szCs w:val="24"/>
    </w:rPr>
  </w:style>
  <w:style w:type="character" w:customStyle="1" w:styleId="cosearchterm">
    <w:name w:val="co_searchterm"/>
    <w:basedOn w:val="DefaultParagraphFont"/>
    <w:rsid w:val="0003786D"/>
  </w:style>
  <w:style w:type="character" w:styleId="UnresolvedMention">
    <w:name w:val="Unresolved Mention"/>
    <w:basedOn w:val="DefaultParagraphFont"/>
    <w:uiPriority w:val="99"/>
    <w:semiHidden/>
    <w:unhideWhenUsed/>
    <w:rsid w:val="008D2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30073">
      <w:bodyDiv w:val="1"/>
      <w:marLeft w:val="0"/>
      <w:marRight w:val="0"/>
      <w:marTop w:val="0"/>
      <w:marBottom w:val="0"/>
      <w:divBdr>
        <w:top w:val="none" w:sz="0" w:space="0" w:color="auto"/>
        <w:left w:val="none" w:sz="0" w:space="0" w:color="auto"/>
        <w:bottom w:val="none" w:sz="0" w:space="0" w:color="auto"/>
        <w:right w:val="none" w:sz="0" w:space="0" w:color="auto"/>
      </w:divBdr>
    </w:div>
    <w:div w:id="798299523">
      <w:bodyDiv w:val="1"/>
      <w:marLeft w:val="0"/>
      <w:marRight w:val="0"/>
      <w:marTop w:val="0"/>
      <w:marBottom w:val="0"/>
      <w:divBdr>
        <w:top w:val="none" w:sz="0" w:space="0" w:color="auto"/>
        <w:left w:val="none" w:sz="0" w:space="0" w:color="auto"/>
        <w:bottom w:val="none" w:sz="0" w:space="0" w:color="auto"/>
        <w:right w:val="none" w:sz="0" w:space="0" w:color="auto"/>
      </w:divBdr>
    </w:div>
    <w:div w:id="830219912">
      <w:bodyDiv w:val="1"/>
      <w:marLeft w:val="0"/>
      <w:marRight w:val="0"/>
      <w:marTop w:val="0"/>
      <w:marBottom w:val="0"/>
      <w:divBdr>
        <w:top w:val="none" w:sz="0" w:space="0" w:color="auto"/>
        <w:left w:val="none" w:sz="0" w:space="0" w:color="auto"/>
        <w:bottom w:val="none" w:sz="0" w:space="0" w:color="auto"/>
        <w:right w:val="none" w:sz="0" w:space="0" w:color="auto"/>
      </w:divBdr>
      <w:divsChild>
        <w:div w:id="1966963231">
          <w:marLeft w:val="150"/>
          <w:marRight w:val="150"/>
          <w:marTop w:val="150"/>
          <w:marBottom w:val="150"/>
          <w:divBdr>
            <w:top w:val="none" w:sz="0" w:space="0" w:color="auto"/>
            <w:left w:val="none" w:sz="0" w:space="0" w:color="auto"/>
            <w:bottom w:val="none" w:sz="0" w:space="0" w:color="auto"/>
            <w:right w:val="none" w:sz="0" w:space="0" w:color="auto"/>
          </w:divBdr>
          <w:divsChild>
            <w:div w:id="1278565596">
              <w:marLeft w:val="0"/>
              <w:marRight w:val="0"/>
              <w:marTop w:val="0"/>
              <w:marBottom w:val="0"/>
              <w:divBdr>
                <w:top w:val="none" w:sz="0" w:space="0" w:color="auto"/>
                <w:left w:val="none" w:sz="0" w:space="0" w:color="auto"/>
                <w:bottom w:val="none" w:sz="0" w:space="0" w:color="auto"/>
                <w:right w:val="none" w:sz="0" w:space="0" w:color="auto"/>
              </w:divBdr>
              <w:divsChild>
                <w:div w:id="330642277">
                  <w:marLeft w:val="0"/>
                  <w:marRight w:val="0"/>
                  <w:marTop w:val="0"/>
                  <w:marBottom w:val="0"/>
                  <w:divBdr>
                    <w:top w:val="none" w:sz="0" w:space="0" w:color="auto"/>
                    <w:left w:val="none" w:sz="0" w:space="0" w:color="auto"/>
                    <w:bottom w:val="none" w:sz="0" w:space="0" w:color="auto"/>
                    <w:right w:val="none" w:sz="0" w:space="0" w:color="auto"/>
                  </w:divBdr>
                  <w:divsChild>
                    <w:div w:id="1223718190">
                      <w:marLeft w:val="0"/>
                      <w:marRight w:val="0"/>
                      <w:marTop w:val="0"/>
                      <w:marBottom w:val="0"/>
                      <w:divBdr>
                        <w:top w:val="none" w:sz="0" w:space="0" w:color="auto"/>
                        <w:left w:val="none" w:sz="0" w:space="0" w:color="auto"/>
                        <w:bottom w:val="none" w:sz="0" w:space="0" w:color="auto"/>
                        <w:right w:val="none" w:sz="0" w:space="0" w:color="auto"/>
                      </w:divBdr>
                    </w:div>
                    <w:div w:id="441148423">
                      <w:marLeft w:val="180"/>
                      <w:marRight w:val="0"/>
                      <w:marTop w:val="0"/>
                      <w:marBottom w:val="0"/>
                      <w:divBdr>
                        <w:top w:val="none" w:sz="0" w:space="0" w:color="auto"/>
                        <w:left w:val="none" w:sz="0" w:space="0" w:color="auto"/>
                        <w:bottom w:val="none" w:sz="0" w:space="0" w:color="auto"/>
                        <w:right w:val="none" w:sz="0" w:space="0" w:color="auto"/>
                      </w:divBdr>
                    </w:div>
                    <w:div w:id="392508616">
                      <w:marLeft w:val="360"/>
                      <w:marRight w:val="0"/>
                      <w:marTop w:val="0"/>
                      <w:marBottom w:val="0"/>
                      <w:divBdr>
                        <w:top w:val="none" w:sz="0" w:space="0" w:color="auto"/>
                        <w:left w:val="none" w:sz="0" w:space="0" w:color="auto"/>
                        <w:bottom w:val="none" w:sz="0" w:space="0" w:color="auto"/>
                        <w:right w:val="none" w:sz="0" w:space="0" w:color="auto"/>
                      </w:divBdr>
                    </w:div>
                    <w:div w:id="1730109843">
                      <w:marLeft w:val="360"/>
                      <w:marRight w:val="0"/>
                      <w:marTop w:val="0"/>
                      <w:marBottom w:val="0"/>
                      <w:divBdr>
                        <w:top w:val="none" w:sz="0" w:space="0" w:color="auto"/>
                        <w:left w:val="none" w:sz="0" w:space="0" w:color="auto"/>
                        <w:bottom w:val="none" w:sz="0" w:space="0" w:color="auto"/>
                        <w:right w:val="none" w:sz="0" w:space="0" w:color="auto"/>
                      </w:divBdr>
                    </w:div>
                    <w:div w:id="2002081172">
                      <w:marLeft w:val="180"/>
                      <w:marRight w:val="0"/>
                      <w:marTop w:val="0"/>
                      <w:marBottom w:val="0"/>
                      <w:divBdr>
                        <w:top w:val="none" w:sz="0" w:space="0" w:color="auto"/>
                        <w:left w:val="none" w:sz="0" w:space="0" w:color="auto"/>
                        <w:bottom w:val="none" w:sz="0" w:space="0" w:color="auto"/>
                        <w:right w:val="none" w:sz="0" w:space="0" w:color="auto"/>
                      </w:divBdr>
                    </w:div>
                    <w:div w:id="849490837">
                      <w:marLeft w:val="180"/>
                      <w:marRight w:val="0"/>
                      <w:marTop w:val="0"/>
                      <w:marBottom w:val="0"/>
                      <w:divBdr>
                        <w:top w:val="none" w:sz="0" w:space="0" w:color="auto"/>
                        <w:left w:val="none" w:sz="0" w:space="0" w:color="auto"/>
                        <w:bottom w:val="none" w:sz="0" w:space="0" w:color="auto"/>
                        <w:right w:val="none" w:sz="0" w:space="0" w:color="auto"/>
                      </w:divBdr>
                    </w:div>
                    <w:div w:id="1664897096">
                      <w:marLeft w:val="0"/>
                      <w:marRight w:val="0"/>
                      <w:marTop w:val="0"/>
                      <w:marBottom w:val="0"/>
                      <w:divBdr>
                        <w:top w:val="none" w:sz="0" w:space="0" w:color="auto"/>
                        <w:left w:val="none" w:sz="0" w:space="0" w:color="auto"/>
                        <w:bottom w:val="none" w:sz="0" w:space="0" w:color="auto"/>
                        <w:right w:val="none" w:sz="0" w:space="0" w:color="auto"/>
                      </w:divBdr>
                    </w:div>
                    <w:div w:id="1832019019">
                      <w:marLeft w:val="180"/>
                      <w:marRight w:val="0"/>
                      <w:marTop w:val="0"/>
                      <w:marBottom w:val="0"/>
                      <w:divBdr>
                        <w:top w:val="none" w:sz="0" w:space="0" w:color="auto"/>
                        <w:left w:val="none" w:sz="0" w:space="0" w:color="auto"/>
                        <w:bottom w:val="none" w:sz="0" w:space="0" w:color="auto"/>
                        <w:right w:val="none" w:sz="0" w:space="0" w:color="auto"/>
                      </w:divBdr>
                    </w:div>
                    <w:div w:id="824392278">
                      <w:marLeft w:val="180"/>
                      <w:marRight w:val="0"/>
                      <w:marTop w:val="0"/>
                      <w:marBottom w:val="0"/>
                      <w:divBdr>
                        <w:top w:val="none" w:sz="0" w:space="0" w:color="auto"/>
                        <w:left w:val="none" w:sz="0" w:space="0" w:color="auto"/>
                        <w:bottom w:val="none" w:sz="0" w:space="0" w:color="auto"/>
                        <w:right w:val="none" w:sz="0" w:space="0" w:color="auto"/>
                      </w:divBdr>
                    </w:div>
                    <w:div w:id="95836073">
                      <w:marLeft w:val="180"/>
                      <w:marRight w:val="0"/>
                      <w:marTop w:val="0"/>
                      <w:marBottom w:val="0"/>
                      <w:divBdr>
                        <w:top w:val="none" w:sz="0" w:space="0" w:color="auto"/>
                        <w:left w:val="none" w:sz="0" w:space="0" w:color="auto"/>
                        <w:bottom w:val="none" w:sz="0" w:space="0" w:color="auto"/>
                        <w:right w:val="none" w:sz="0" w:space="0" w:color="auto"/>
                      </w:divBdr>
                    </w:div>
                    <w:div w:id="92437717">
                      <w:marLeft w:val="0"/>
                      <w:marRight w:val="0"/>
                      <w:marTop w:val="0"/>
                      <w:marBottom w:val="0"/>
                      <w:divBdr>
                        <w:top w:val="none" w:sz="0" w:space="0" w:color="auto"/>
                        <w:left w:val="none" w:sz="0" w:space="0" w:color="auto"/>
                        <w:bottom w:val="none" w:sz="0" w:space="0" w:color="auto"/>
                        <w:right w:val="none" w:sz="0" w:space="0" w:color="auto"/>
                      </w:divBdr>
                    </w:div>
                    <w:div w:id="596444056">
                      <w:marLeft w:val="0"/>
                      <w:marRight w:val="0"/>
                      <w:marTop w:val="0"/>
                      <w:marBottom w:val="0"/>
                      <w:divBdr>
                        <w:top w:val="none" w:sz="0" w:space="0" w:color="auto"/>
                        <w:left w:val="none" w:sz="0" w:space="0" w:color="auto"/>
                        <w:bottom w:val="none" w:sz="0" w:space="0" w:color="auto"/>
                        <w:right w:val="none" w:sz="0" w:space="0" w:color="auto"/>
                      </w:divBdr>
                    </w:div>
                    <w:div w:id="1771584365">
                      <w:marLeft w:val="180"/>
                      <w:marRight w:val="0"/>
                      <w:marTop w:val="0"/>
                      <w:marBottom w:val="0"/>
                      <w:divBdr>
                        <w:top w:val="none" w:sz="0" w:space="0" w:color="auto"/>
                        <w:left w:val="none" w:sz="0" w:space="0" w:color="auto"/>
                        <w:bottom w:val="none" w:sz="0" w:space="0" w:color="auto"/>
                        <w:right w:val="none" w:sz="0" w:space="0" w:color="auto"/>
                      </w:divBdr>
                    </w:div>
                    <w:div w:id="1321883715">
                      <w:marLeft w:val="180"/>
                      <w:marRight w:val="0"/>
                      <w:marTop w:val="0"/>
                      <w:marBottom w:val="0"/>
                      <w:divBdr>
                        <w:top w:val="none" w:sz="0" w:space="0" w:color="auto"/>
                        <w:left w:val="none" w:sz="0" w:space="0" w:color="auto"/>
                        <w:bottom w:val="none" w:sz="0" w:space="0" w:color="auto"/>
                        <w:right w:val="none" w:sz="0" w:space="0" w:color="auto"/>
                      </w:divBdr>
                    </w:div>
                    <w:div w:id="56492207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21334">
      <w:bodyDiv w:val="1"/>
      <w:marLeft w:val="0"/>
      <w:marRight w:val="0"/>
      <w:marTop w:val="0"/>
      <w:marBottom w:val="0"/>
      <w:divBdr>
        <w:top w:val="none" w:sz="0" w:space="0" w:color="auto"/>
        <w:left w:val="none" w:sz="0" w:space="0" w:color="auto"/>
        <w:bottom w:val="none" w:sz="0" w:space="0" w:color="auto"/>
        <w:right w:val="none" w:sz="0" w:space="0" w:color="auto"/>
      </w:divBdr>
      <w:divsChild>
        <w:div w:id="806436624">
          <w:marLeft w:val="0"/>
          <w:marRight w:val="0"/>
          <w:marTop w:val="0"/>
          <w:marBottom w:val="0"/>
          <w:divBdr>
            <w:top w:val="none" w:sz="0" w:space="0" w:color="auto"/>
            <w:left w:val="none" w:sz="0" w:space="0" w:color="auto"/>
            <w:bottom w:val="none" w:sz="0" w:space="0" w:color="auto"/>
            <w:right w:val="none" w:sz="0" w:space="0" w:color="auto"/>
          </w:divBdr>
        </w:div>
      </w:divsChild>
    </w:div>
    <w:div w:id="1682470228">
      <w:bodyDiv w:val="1"/>
      <w:marLeft w:val="0"/>
      <w:marRight w:val="0"/>
      <w:marTop w:val="0"/>
      <w:marBottom w:val="0"/>
      <w:divBdr>
        <w:top w:val="none" w:sz="0" w:space="0" w:color="auto"/>
        <w:left w:val="none" w:sz="0" w:space="0" w:color="auto"/>
        <w:bottom w:val="none" w:sz="0" w:space="0" w:color="auto"/>
        <w:right w:val="none" w:sz="0" w:space="0" w:color="auto"/>
      </w:divBdr>
      <w:divsChild>
        <w:div w:id="53704124">
          <w:marLeft w:val="150"/>
          <w:marRight w:val="150"/>
          <w:marTop w:val="150"/>
          <w:marBottom w:val="150"/>
          <w:divBdr>
            <w:top w:val="none" w:sz="0" w:space="0" w:color="auto"/>
            <w:left w:val="none" w:sz="0" w:space="0" w:color="auto"/>
            <w:bottom w:val="none" w:sz="0" w:space="0" w:color="auto"/>
            <w:right w:val="none" w:sz="0" w:space="0" w:color="auto"/>
          </w:divBdr>
          <w:divsChild>
            <w:div w:id="970935471">
              <w:marLeft w:val="0"/>
              <w:marRight w:val="0"/>
              <w:marTop w:val="0"/>
              <w:marBottom w:val="0"/>
              <w:divBdr>
                <w:top w:val="none" w:sz="0" w:space="0" w:color="auto"/>
                <w:left w:val="none" w:sz="0" w:space="0" w:color="auto"/>
                <w:bottom w:val="none" w:sz="0" w:space="0" w:color="auto"/>
                <w:right w:val="none" w:sz="0" w:space="0" w:color="auto"/>
              </w:divBdr>
              <w:divsChild>
                <w:div w:id="424613147">
                  <w:marLeft w:val="0"/>
                  <w:marRight w:val="0"/>
                  <w:marTop w:val="0"/>
                  <w:marBottom w:val="0"/>
                  <w:divBdr>
                    <w:top w:val="none" w:sz="0" w:space="0" w:color="auto"/>
                    <w:left w:val="none" w:sz="0" w:space="0" w:color="auto"/>
                    <w:bottom w:val="none" w:sz="0" w:space="0" w:color="auto"/>
                    <w:right w:val="none" w:sz="0" w:space="0" w:color="auto"/>
                  </w:divBdr>
                  <w:divsChild>
                    <w:div w:id="1205605048">
                      <w:marLeft w:val="0"/>
                      <w:marRight w:val="0"/>
                      <w:marTop w:val="0"/>
                      <w:marBottom w:val="0"/>
                      <w:divBdr>
                        <w:top w:val="none" w:sz="0" w:space="0" w:color="auto"/>
                        <w:left w:val="none" w:sz="0" w:space="0" w:color="auto"/>
                        <w:bottom w:val="none" w:sz="0" w:space="0" w:color="auto"/>
                        <w:right w:val="none" w:sz="0" w:space="0" w:color="auto"/>
                      </w:divBdr>
                      <w:divsChild>
                        <w:div w:id="63468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171470">
      <w:bodyDiv w:val="1"/>
      <w:marLeft w:val="0"/>
      <w:marRight w:val="0"/>
      <w:marTop w:val="0"/>
      <w:marBottom w:val="0"/>
      <w:divBdr>
        <w:top w:val="none" w:sz="0" w:space="0" w:color="auto"/>
        <w:left w:val="none" w:sz="0" w:space="0" w:color="auto"/>
        <w:bottom w:val="none" w:sz="0" w:space="0" w:color="auto"/>
        <w:right w:val="none" w:sz="0" w:space="0" w:color="auto"/>
      </w:divBdr>
      <w:divsChild>
        <w:div w:id="230896162">
          <w:marLeft w:val="150"/>
          <w:marRight w:val="150"/>
          <w:marTop w:val="150"/>
          <w:marBottom w:val="150"/>
          <w:divBdr>
            <w:top w:val="none" w:sz="0" w:space="0" w:color="auto"/>
            <w:left w:val="none" w:sz="0" w:space="0" w:color="auto"/>
            <w:bottom w:val="none" w:sz="0" w:space="0" w:color="auto"/>
            <w:right w:val="none" w:sz="0" w:space="0" w:color="auto"/>
          </w:divBdr>
          <w:divsChild>
            <w:div w:id="2012760103">
              <w:marLeft w:val="0"/>
              <w:marRight w:val="0"/>
              <w:marTop w:val="0"/>
              <w:marBottom w:val="0"/>
              <w:divBdr>
                <w:top w:val="none" w:sz="0" w:space="0" w:color="auto"/>
                <w:left w:val="none" w:sz="0" w:space="0" w:color="auto"/>
                <w:bottom w:val="none" w:sz="0" w:space="0" w:color="auto"/>
                <w:right w:val="none" w:sz="0" w:space="0" w:color="auto"/>
              </w:divBdr>
              <w:divsChild>
                <w:div w:id="1618485583">
                  <w:marLeft w:val="0"/>
                  <w:marRight w:val="0"/>
                  <w:marTop w:val="0"/>
                  <w:marBottom w:val="0"/>
                  <w:divBdr>
                    <w:top w:val="none" w:sz="0" w:space="0" w:color="auto"/>
                    <w:left w:val="none" w:sz="0" w:space="0" w:color="auto"/>
                    <w:bottom w:val="none" w:sz="0" w:space="0" w:color="auto"/>
                    <w:right w:val="none" w:sz="0" w:space="0" w:color="auto"/>
                  </w:divBdr>
                  <w:divsChild>
                    <w:div w:id="42561854">
                      <w:marLeft w:val="0"/>
                      <w:marRight w:val="0"/>
                      <w:marTop w:val="0"/>
                      <w:marBottom w:val="0"/>
                      <w:divBdr>
                        <w:top w:val="none" w:sz="0" w:space="0" w:color="auto"/>
                        <w:left w:val="none" w:sz="0" w:space="0" w:color="auto"/>
                        <w:bottom w:val="none" w:sz="0" w:space="0" w:color="auto"/>
                        <w:right w:val="none" w:sz="0" w:space="0" w:color="auto"/>
                      </w:divBdr>
                    </w:div>
                    <w:div w:id="1920671347">
                      <w:marLeft w:val="180"/>
                      <w:marRight w:val="0"/>
                      <w:marTop w:val="0"/>
                      <w:marBottom w:val="0"/>
                      <w:divBdr>
                        <w:top w:val="none" w:sz="0" w:space="0" w:color="auto"/>
                        <w:left w:val="none" w:sz="0" w:space="0" w:color="auto"/>
                        <w:bottom w:val="none" w:sz="0" w:space="0" w:color="auto"/>
                        <w:right w:val="none" w:sz="0" w:space="0" w:color="auto"/>
                      </w:divBdr>
                    </w:div>
                    <w:div w:id="911164765">
                      <w:marLeft w:val="360"/>
                      <w:marRight w:val="0"/>
                      <w:marTop w:val="0"/>
                      <w:marBottom w:val="0"/>
                      <w:divBdr>
                        <w:top w:val="none" w:sz="0" w:space="0" w:color="auto"/>
                        <w:left w:val="none" w:sz="0" w:space="0" w:color="auto"/>
                        <w:bottom w:val="none" w:sz="0" w:space="0" w:color="auto"/>
                        <w:right w:val="none" w:sz="0" w:space="0" w:color="auto"/>
                      </w:divBdr>
                    </w:div>
                    <w:div w:id="233392974">
                      <w:marLeft w:val="360"/>
                      <w:marRight w:val="0"/>
                      <w:marTop w:val="0"/>
                      <w:marBottom w:val="0"/>
                      <w:divBdr>
                        <w:top w:val="none" w:sz="0" w:space="0" w:color="auto"/>
                        <w:left w:val="none" w:sz="0" w:space="0" w:color="auto"/>
                        <w:bottom w:val="none" w:sz="0" w:space="0" w:color="auto"/>
                        <w:right w:val="none" w:sz="0" w:space="0" w:color="auto"/>
                      </w:divBdr>
                    </w:div>
                    <w:div w:id="2140761405">
                      <w:marLeft w:val="360"/>
                      <w:marRight w:val="0"/>
                      <w:marTop w:val="0"/>
                      <w:marBottom w:val="0"/>
                      <w:divBdr>
                        <w:top w:val="none" w:sz="0" w:space="0" w:color="auto"/>
                        <w:left w:val="none" w:sz="0" w:space="0" w:color="auto"/>
                        <w:bottom w:val="none" w:sz="0" w:space="0" w:color="auto"/>
                        <w:right w:val="none" w:sz="0" w:space="0" w:color="auto"/>
                      </w:divBdr>
                    </w:div>
                    <w:div w:id="1550876163">
                      <w:marLeft w:val="360"/>
                      <w:marRight w:val="0"/>
                      <w:marTop w:val="0"/>
                      <w:marBottom w:val="0"/>
                      <w:divBdr>
                        <w:top w:val="none" w:sz="0" w:space="0" w:color="auto"/>
                        <w:left w:val="none" w:sz="0" w:space="0" w:color="auto"/>
                        <w:bottom w:val="none" w:sz="0" w:space="0" w:color="auto"/>
                        <w:right w:val="none" w:sz="0" w:space="0" w:color="auto"/>
                      </w:divBdr>
                    </w:div>
                    <w:div w:id="1414427750">
                      <w:marLeft w:val="360"/>
                      <w:marRight w:val="0"/>
                      <w:marTop w:val="0"/>
                      <w:marBottom w:val="0"/>
                      <w:divBdr>
                        <w:top w:val="none" w:sz="0" w:space="0" w:color="auto"/>
                        <w:left w:val="none" w:sz="0" w:space="0" w:color="auto"/>
                        <w:bottom w:val="none" w:sz="0" w:space="0" w:color="auto"/>
                        <w:right w:val="none" w:sz="0" w:space="0" w:color="auto"/>
                      </w:divBdr>
                    </w:div>
                    <w:div w:id="510145963">
                      <w:marLeft w:val="180"/>
                      <w:marRight w:val="0"/>
                      <w:marTop w:val="0"/>
                      <w:marBottom w:val="0"/>
                      <w:divBdr>
                        <w:top w:val="none" w:sz="0" w:space="0" w:color="auto"/>
                        <w:left w:val="none" w:sz="0" w:space="0" w:color="auto"/>
                        <w:bottom w:val="none" w:sz="0" w:space="0" w:color="auto"/>
                        <w:right w:val="none" w:sz="0" w:space="0" w:color="auto"/>
                      </w:divBdr>
                    </w:div>
                    <w:div w:id="28342499">
                      <w:marLeft w:val="360"/>
                      <w:marRight w:val="0"/>
                      <w:marTop w:val="0"/>
                      <w:marBottom w:val="0"/>
                      <w:divBdr>
                        <w:top w:val="none" w:sz="0" w:space="0" w:color="auto"/>
                        <w:left w:val="none" w:sz="0" w:space="0" w:color="auto"/>
                        <w:bottom w:val="none" w:sz="0" w:space="0" w:color="auto"/>
                        <w:right w:val="none" w:sz="0" w:space="0" w:color="auto"/>
                      </w:divBdr>
                    </w:div>
                    <w:div w:id="1029380027">
                      <w:marLeft w:val="360"/>
                      <w:marRight w:val="0"/>
                      <w:marTop w:val="0"/>
                      <w:marBottom w:val="0"/>
                      <w:divBdr>
                        <w:top w:val="none" w:sz="0" w:space="0" w:color="auto"/>
                        <w:left w:val="none" w:sz="0" w:space="0" w:color="auto"/>
                        <w:bottom w:val="none" w:sz="0" w:space="0" w:color="auto"/>
                        <w:right w:val="none" w:sz="0" w:space="0" w:color="auto"/>
                      </w:divBdr>
                    </w:div>
                    <w:div w:id="2097748676">
                      <w:marLeft w:val="360"/>
                      <w:marRight w:val="0"/>
                      <w:marTop w:val="0"/>
                      <w:marBottom w:val="0"/>
                      <w:divBdr>
                        <w:top w:val="none" w:sz="0" w:space="0" w:color="auto"/>
                        <w:left w:val="none" w:sz="0" w:space="0" w:color="auto"/>
                        <w:bottom w:val="none" w:sz="0" w:space="0" w:color="auto"/>
                        <w:right w:val="none" w:sz="0" w:space="0" w:color="auto"/>
                      </w:divBdr>
                    </w:div>
                    <w:div w:id="1610626278">
                      <w:marLeft w:val="360"/>
                      <w:marRight w:val="0"/>
                      <w:marTop w:val="0"/>
                      <w:marBottom w:val="0"/>
                      <w:divBdr>
                        <w:top w:val="none" w:sz="0" w:space="0" w:color="auto"/>
                        <w:left w:val="none" w:sz="0" w:space="0" w:color="auto"/>
                        <w:bottom w:val="none" w:sz="0" w:space="0" w:color="auto"/>
                        <w:right w:val="none" w:sz="0" w:space="0" w:color="auto"/>
                      </w:divBdr>
                    </w:div>
                    <w:div w:id="2123377083">
                      <w:marLeft w:val="360"/>
                      <w:marRight w:val="0"/>
                      <w:marTop w:val="0"/>
                      <w:marBottom w:val="0"/>
                      <w:divBdr>
                        <w:top w:val="none" w:sz="0" w:space="0" w:color="auto"/>
                        <w:left w:val="none" w:sz="0" w:space="0" w:color="auto"/>
                        <w:bottom w:val="none" w:sz="0" w:space="0" w:color="auto"/>
                        <w:right w:val="none" w:sz="0" w:space="0" w:color="auto"/>
                      </w:divBdr>
                    </w:div>
                    <w:div w:id="38862987">
                      <w:marLeft w:val="360"/>
                      <w:marRight w:val="0"/>
                      <w:marTop w:val="0"/>
                      <w:marBottom w:val="0"/>
                      <w:divBdr>
                        <w:top w:val="none" w:sz="0" w:space="0" w:color="auto"/>
                        <w:left w:val="none" w:sz="0" w:space="0" w:color="auto"/>
                        <w:bottom w:val="none" w:sz="0" w:space="0" w:color="auto"/>
                        <w:right w:val="none" w:sz="0" w:space="0" w:color="auto"/>
                      </w:divBdr>
                    </w:div>
                    <w:div w:id="184539125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0097">
      <w:bodyDiv w:val="1"/>
      <w:marLeft w:val="0"/>
      <w:marRight w:val="0"/>
      <w:marTop w:val="0"/>
      <w:marBottom w:val="0"/>
      <w:divBdr>
        <w:top w:val="none" w:sz="0" w:space="0" w:color="auto"/>
        <w:left w:val="none" w:sz="0" w:space="0" w:color="auto"/>
        <w:bottom w:val="none" w:sz="0" w:space="0" w:color="auto"/>
        <w:right w:val="none" w:sz="0" w:space="0" w:color="auto"/>
      </w:divBdr>
      <w:divsChild>
        <w:div w:id="2039504335">
          <w:marLeft w:val="0"/>
          <w:marRight w:val="0"/>
          <w:marTop w:val="180"/>
          <w:marBottom w:val="0"/>
          <w:divBdr>
            <w:top w:val="none" w:sz="0" w:space="0" w:color="auto"/>
            <w:left w:val="none" w:sz="0" w:space="0" w:color="auto"/>
            <w:bottom w:val="none" w:sz="0" w:space="0" w:color="auto"/>
            <w:right w:val="none" w:sz="0" w:space="0" w:color="auto"/>
          </w:divBdr>
          <w:divsChild>
            <w:div w:id="833574167">
              <w:marLeft w:val="3330"/>
              <w:marRight w:val="180"/>
              <w:marTop w:val="0"/>
              <w:marBottom w:val="0"/>
              <w:divBdr>
                <w:top w:val="none" w:sz="0" w:space="0" w:color="auto"/>
                <w:left w:val="none" w:sz="0" w:space="0" w:color="auto"/>
                <w:bottom w:val="none" w:sz="0" w:space="0" w:color="auto"/>
                <w:right w:val="none" w:sz="0" w:space="0" w:color="auto"/>
              </w:divBdr>
              <w:divsChild>
                <w:div w:id="1271662737">
                  <w:marLeft w:val="0"/>
                  <w:marRight w:val="0"/>
                  <w:marTop w:val="0"/>
                  <w:marBottom w:val="0"/>
                  <w:divBdr>
                    <w:top w:val="none" w:sz="0" w:space="0" w:color="auto"/>
                    <w:left w:val="none" w:sz="0" w:space="0" w:color="auto"/>
                    <w:bottom w:val="none" w:sz="0" w:space="0" w:color="auto"/>
                    <w:right w:val="none" w:sz="0" w:space="0" w:color="auto"/>
                  </w:divBdr>
                  <w:divsChild>
                    <w:div w:id="72169328">
                      <w:marLeft w:val="0"/>
                      <w:marRight w:val="0"/>
                      <w:marTop w:val="0"/>
                      <w:marBottom w:val="0"/>
                      <w:divBdr>
                        <w:top w:val="none" w:sz="0" w:space="0" w:color="auto"/>
                        <w:left w:val="none" w:sz="0" w:space="0" w:color="auto"/>
                        <w:bottom w:val="none" w:sz="0" w:space="0" w:color="auto"/>
                        <w:right w:val="none" w:sz="0" w:space="0" w:color="auto"/>
                      </w:divBdr>
                      <w:divsChild>
                        <w:div w:id="777673978">
                          <w:marLeft w:val="0"/>
                          <w:marRight w:val="0"/>
                          <w:marTop w:val="0"/>
                          <w:marBottom w:val="0"/>
                          <w:divBdr>
                            <w:top w:val="single" w:sz="6" w:space="0" w:color="AAAAAA"/>
                            <w:left w:val="single" w:sz="6" w:space="0" w:color="AAAAAA"/>
                            <w:bottom w:val="single" w:sz="6" w:space="0" w:color="AAAAAA"/>
                            <w:right w:val="single" w:sz="6" w:space="0" w:color="AAAAAA"/>
                          </w:divBdr>
                          <w:divsChild>
                            <w:div w:id="1211574860">
                              <w:marLeft w:val="0"/>
                              <w:marRight w:val="0"/>
                              <w:marTop w:val="0"/>
                              <w:marBottom w:val="0"/>
                              <w:divBdr>
                                <w:top w:val="none" w:sz="0" w:space="0" w:color="auto"/>
                                <w:left w:val="none" w:sz="0" w:space="0" w:color="auto"/>
                                <w:bottom w:val="none" w:sz="0" w:space="0" w:color="auto"/>
                                <w:right w:val="none" w:sz="0" w:space="0" w:color="auto"/>
                              </w:divBdr>
                              <w:divsChild>
                                <w:div w:id="2128549404">
                                  <w:marLeft w:val="0"/>
                                  <w:marRight w:val="0"/>
                                  <w:marTop w:val="0"/>
                                  <w:marBottom w:val="0"/>
                                  <w:divBdr>
                                    <w:top w:val="none" w:sz="0" w:space="0" w:color="auto"/>
                                    <w:left w:val="none" w:sz="0" w:space="0" w:color="auto"/>
                                    <w:bottom w:val="none" w:sz="0" w:space="0" w:color="auto"/>
                                    <w:right w:val="none" w:sz="0" w:space="0" w:color="auto"/>
                                  </w:divBdr>
                                  <w:divsChild>
                                    <w:div w:id="1320812961">
                                      <w:marLeft w:val="0"/>
                                      <w:marRight w:val="0"/>
                                      <w:marTop w:val="0"/>
                                      <w:marBottom w:val="0"/>
                                      <w:divBdr>
                                        <w:top w:val="none" w:sz="0" w:space="0" w:color="auto"/>
                                        <w:left w:val="none" w:sz="0" w:space="0" w:color="auto"/>
                                        <w:bottom w:val="none" w:sz="0" w:space="0" w:color="auto"/>
                                        <w:right w:val="none" w:sz="0" w:space="0" w:color="auto"/>
                                      </w:divBdr>
                                      <w:divsChild>
                                        <w:div w:id="356467645">
                                          <w:marLeft w:val="0"/>
                                          <w:marRight w:val="0"/>
                                          <w:marTop w:val="0"/>
                                          <w:marBottom w:val="180"/>
                                          <w:divBdr>
                                            <w:top w:val="single" w:sz="6" w:space="0" w:color="CCCCCC"/>
                                            <w:left w:val="single" w:sz="6" w:space="0" w:color="CCCCCC"/>
                                            <w:bottom w:val="single" w:sz="6" w:space="0" w:color="CCCCCC"/>
                                            <w:right w:val="single" w:sz="6" w:space="0" w:color="CCCCCC"/>
                                          </w:divBdr>
                                          <w:divsChild>
                                            <w:div w:id="1068455509">
                                              <w:marLeft w:val="0"/>
                                              <w:marRight w:val="0"/>
                                              <w:marTop w:val="0"/>
                                              <w:marBottom w:val="0"/>
                                              <w:divBdr>
                                                <w:top w:val="single" w:sz="6" w:space="12" w:color="CCCCCC"/>
                                                <w:left w:val="single" w:sz="6" w:space="0" w:color="CCCCCC"/>
                                                <w:bottom w:val="single" w:sz="6" w:space="12" w:color="CCCCCC"/>
                                                <w:right w:val="single" w:sz="2" w:space="14" w:color="CCCCCC"/>
                                              </w:divBdr>
                                              <w:divsChild>
                                                <w:div w:id="936910962">
                                                  <w:marLeft w:val="0"/>
                                                  <w:marRight w:val="0"/>
                                                  <w:marTop w:val="0"/>
                                                  <w:marBottom w:val="0"/>
                                                  <w:divBdr>
                                                    <w:top w:val="none" w:sz="0" w:space="0" w:color="auto"/>
                                                    <w:left w:val="none" w:sz="0" w:space="0" w:color="auto"/>
                                                    <w:bottom w:val="none" w:sz="0" w:space="0" w:color="auto"/>
                                                    <w:right w:val="none" w:sz="0" w:space="0" w:color="auto"/>
                                                  </w:divBdr>
                                                  <w:divsChild>
                                                    <w:div w:id="564678556">
                                                      <w:marLeft w:val="1800"/>
                                                      <w:marRight w:val="0"/>
                                                      <w:marTop w:val="0"/>
                                                      <w:marBottom w:val="0"/>
                                                      <w:divBdr>
                                                        <w:top w:val="none" w:sz="0" w:space="0" w:color="auto"/>
                                                        <w:left w:val="none" w:sz="0" w:space="0" w:color="auto"/>
                                                        <w:bottom w:val="none" w:sz="0" w:space="0" w:color="auto"/>
                                                        <w:right w:val="none" w:sz="0" w:space="0" w:color="auto"/>
                                                      </w:divBdr>
                                                      <w:divsChild>
                                                        <w:div w:id="81609880">
                                                          <w:marLeft w:val="0"/>
                                                          <w:marRight w:val="0"/>
                                                          <w:marTop w:val="0"/>
                                                          <w:marBottom w:val="0"/>
                                                          <w:divBdr>
                                                            <w:top w:val="none" w:sz="0" w:space="0" w:color="auto"/>
                                                            <w:left w:val="none" w:sz="0" w:space="0" w:color="auto"/>
                                                            <w:bottom w:val="none" w:sz="0" w:space="0" w:color="auto"/>
                                                            <w:right w:val="none" w:sz="0" w:space="0" w:color="auto"/>
                                                          </w:divBdr>
                                                          <w:divsChild>
                                                            <w:div w:id="139908641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177648939">
                                                                  <w:marLeft w:val="0"/>
                                                                  <w:marRight w:val="0"/>
                                                                  <w:marTop w:val="0"/>
                                                                  <w:marBottom w:val="0"/>
                                                                  <w:divBdr>
                                                                    <w:top w:val="none" w:sz="0" w:space="0" w:color="auto"/>
                                                                    <w:left w:val="none" w:sz="0" w:space="0" w:color="auto"/>
                                                                    <w:bottom w:val="none" w:sz="0" w:space="0" w:color="auto"/>
                                                                    <w:right w:val="none" w:sz="0" w:space="0" w:color="auto"/>
                                                                  </w:divBdr>
                                                                  <w:divsChild>
                                                                    <w:div w:id="1614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5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1.next.westlaw.com/Link/Document/FullText?findType=Y&amp;serNum=1981152534&amp;pubNum=0000162&amp;originatingDoc=I3d85f2d2368111d9abe5ec754599669c&amp;refType=RP&amp;fi=co_pp_sp_162_1070&amp;originationContext=document&amp;transitionType=DocumentItem&amp;contextData=(sc.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1.next.westlaw.com/Link/Document/FullText?findType=Y&amp;serNum=1981152534&amp;pubNum=0000162&amp;originatingDoc=I3d85f2d2368111d9abe5ec754599669c&amp;refType=RP&amp;fi=co_pp_sp_162_1070&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5D6B-FFFA-42D0-95E6-D7017AB3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17745</Words>
  <Characters>101149</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Sheffer, Ryan</cp:lastModifiedBy>
  <cp:revision>3</cp:revision>
  <cp:lastPrinted>2015-04-09T15:19:00Z</cp:lastPrinted>
  <dcterms:created xsi:type="dcterms:W3CDTF">2019-06-06T17:33:00Z</dcterms:created>
  <dcterms:modified xsi:type="dcterms:W3CDTF">2019-06-13T11:47:00Z</dcterms:modified>
</cp:coreProperties>
</file>