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664845" w:rsidRDefault="00664845" w:rsidP="00114AAE">
      <w:pPr>
        <w:tabs>
          <w:tab w:val="left" w:pos="720"/>
        </w:tabs>
        <w:overflowPunct w:val="0"/>
        <w:adjustRightInd w:val="0"/>
        <w:textAlignment w:val="baseline"/>
      </w:pPr>
    </w:p>
    <w:p w:rsidR="00114AAE" w:rsidRPr="00114AAE" w:rsidRDefault="00DE43E5" w:rsidP="00114AAE">
      <w:pPr>
        <w:tabs>
          <w:tab w:val="left" w:pos="720"/>
        </w:tabs>
        <w:overflowPunct w:val="0"/>
        <w:adjustRightInd w:val="0"/>
        <w:textAlignment w:val="baseline"/>
      </w:pPr>
      <w:r>
        <w:t>Michael and Sharon Hartman</w:t>
      </w:r>
      <w:r w:rsidR="00114AAE">
        <w:tab/>
      </w:r>
      <w:r w:rsidR="00114AAE">
        <w:tab/>
      </w:r>
      <w:r w:rsidR="00114AAE">
        <w:tab/>
      </w:r>
      <w:r w:rsidR="00114AAE">
        <w:tab/>
      </w:r>
      <w:r w:rsidR="00664845">
        <w:t>:</w:t>
      </w:r>
      <w:r w:rsidR="00114AAE">
        <w:tab/>
      </w:r>
    </w:p>
    <w:p w:rsidR="00F83FCD" w:rsidRPr="00114AAE" w:rsidRDefault="00DE43E5" w:rsidP="00114AAE">
      <w:pPr>
        <w:tabs>
          <w:tab w:val="left" w:pos="-720"/>
        </w:tabs>
        <w:suppressAutoHyphens/>
        <w:autoSpaceDE/>
        <w:autoSpaceDN/>
        <w:jc w:val="both"/>
      </w:pPr>
      <w:r>
        <w:tab/>
      </w:r>
      <w:r>
        <w:tab/>
      </w:r>
      <w:r>
        <w:tab/>
      </w:r>
      <w:r>
        <w:tab/>
      </w:r>
      <w:r>
        <w:tab/>
      </w:r>
      <w:r>
        <w:tab/>
      </w:r>
      <w:r w:rsidR="00664845">
        <w:tab/>
        <w:t>:</w:t>
      </w:r>
    </w:p>
    <w:p w:rsidR="00114AAE" w:rsidRPr="00114AAE" w:rsidRDefault="00055185" w:rsidP="00114AAE">
      <w:pPr>
        <w:tabs>
          <w:tab w:val="left" w:pos="-720"/>
        </w:tabs>
        <w:suppressAutoHyphens/>
        <w:autoSpaceDE/>
        <w:autoSpaceDN/>
      </w:pPr>
      <w:r>
        <w:tab/>
      </w:r>
      <w:r w:rsidR="00DE43E5">
        <w:t xml:space="preserve">v. </w:t>
      </w:r>
      <w:r w:rsidR="00DE43E5">
        <w:tab/>
      </w:r>
      <w:r w:rsidR="00DE43E5">
        <w:tab/>
      </w:r>
      <w:r w:rsidR="00DE43E5">
        <w:tab/>
      </w:r>
      <w:r w:rsidR="00DE43E5">
        <w:tab/>
      </w:r>
      <w:r w:rsidR="00DE43E5">
        <w:tab/>
      </w:r>
      <w:r w:rsidR="00664845">
        <w:tab/>
        <w:t>:</w:t>
      </w:r>
      <w:r w:rsidR="00664845">
        <w:tab/>
      </w:r>
      <w:r>
        <w:tab/>
        <w:t>C-2019-3008272</w:t>
      </w:r>
    </w:p>
    <w:p w:rsidR="00114AAE" w:rsidRPr="00114AAE" w:rsidRDefault="00664845" w:rsidP="00114AAE">
      <w:pPr>
        <w:tabs>
          <w:tab w:val="left" w:pos="-720"/>
        </w:tabs>
        <w:suppressAutoHyphens/>
        <w:autoSpaceDE/>
        <w:autoSpaceDN/>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114AAE" w:rsidRPr="00114AAE" w:rsidRDefault="00DE43E5" w:rsidP="00DE43E5">
      <w:pPr>
        <w:overflowPunct w:val="0"/>
        <w:adjustRightInd w:val="0"/>
        <w:textAlignment w:val="baseline"/>
        <w:rPr>
          <w:rFonts w:eastAsiaTheme="minorHAnsi"/>
          <w:spacing w:val="-3"/>
        </w:rPr>
      </w:pPr>
      <w:r>
        <w:rPr>
          <w:color w:val="000000"/>
        </w:rPr>
        <w:t>PPL Electric Utilities Corporation</w:t>
      </w:r>
      <w:r w:rsidR="00664845">
        <w:rPr>
          <w:color w:val="000000"/>
        </w:rPr>
        <w:tab/>
      </w:r>
      <w:r w:rsidR="00664845">
        <w:rPr>
          <w:color w:val="000000"/>
        </w:rPr>
        <w:tab/>
      </w:r>
      <w:r w:rsidR="00664845">
        <w:rPr>
          <w:color w:val="000000"/>
        </w:rPr>
        <w:tab/>
        <w:t>:</w:t>
      </w:r>
    </w:p>
    <w:p w:rsidR="00C97272" w:rsidRDefault="00C97272" w:rsidP="00D65D31">
      <w:pPr>
        <w:widowControl w:val="0"/>
        <w:adjustRightInd w:val="0"/>
        <w:rPr>
          <w:bCs/>
          <w:color w:val="000000"/>
        </w:rPr>
      </w:pPr>
    </w:p>
    <w:p w:rsidR="00055185" w:rsidRDefault="00055185" w:rsidP="00D65D31">
      <w:pPr>
        <w:widowControl w:val="0"/>
        <w:adjustRightInd w:val="0"/>
        <w:rPr>
          <w:bCs/>
          <w:color w:val="000000"/>
        </w:rPr>
      </w:pPr>
    </w:p>
    <w:p w:rsidR="00055185" w:rsidRDefault="00055185" w:rsidP="00D65D31">
      <w:pPr>
        <w:widowControl w:val="0"/>
        <w:adjustRightInd w:val="0"/>
        <w:rPr>
          <w:bCs/>
          <w:color w:val="000000"/>
        </w:rPr>
      </w:pPr>
    </w:p>
    <w:p w:rsidR="004166FA" w:rsidRDefault="00055185" w:rsidP="0057157D">
      <w:pPr>
        <w:tabs>
          <w:tab w:val="center" w:pos="4680"/>
        </w:tabs>
        <w:suppressAutoHyphens/>
        <w:jc w:val="center"/>
        <w:rPr>
          <w:b/>
          <w:bCs/>
          <w:spacing w:val="-3"/>
          <w:u w:val="single"/>
        </w:rPr>
      </w:pPr>
      <w:r>
        <w:rPr>
          <w:b/>
          <w:bCs/>
          <w:spacing w:val="-3"/>
          <w:u w:val="single"/>
        </w:rPr>
        <w:t xml:space="preserve">INTERIM </w:t>
      </w:r>
      <w:r w:rsidR="0062545F" w:rsidRPr="00550B34">
        <w:rPr>
          <w:b/>
          <w:bCs/>
          <w:spacing w:val="-3"/>
          <w:u w:val="single"/>
        </w:rPr>
        <w:t>ORDER</w:t>
      </w:r>
      <w:r w:rsidR="004166FA">
        <w:rPr>
          <w:b/>
          <w:bCs/>
          <w:spacing w:val="-3"/>
          <w:u w:val="single"/>
        </w:rPr>
        <w:t xml:space="preserve"> </w:t>
      </w:r>
      <w:r>
        <w:rPr>
          <w:b/>
          <w:bCs/>
          <w:spacing w:val="-3"/>
          <w:u w:val="single"/>
        </w:rPr>
        <w:t>CONVERTING INITIAL HEARING</w:t>
      </w:r>
    </w:p>
    <w:p w:rsidR="00055185" w:rsidRDefault="00055185" w:rsidP="0057157D">
      <w:pPr>
        <w:tabs>
          <w:tab w:val="center" w:pos="4680"/>
        </w:tabs>
        <w:suppressAutoHyphens/>
        <w:jc w:val="center"/>
        <w:rPr>
          <w:b/>
          <w:bCs/>
          <w:spacing w:val="-3"/>
          <w:u w:val="single"/>
        </w:rPr>
      </w:pPr>
      <w:r>
        <w:rPr>
          <w:b/>
          <w:bCs/>
          <w:spacing w:val="-3"/>
          <w:u w:val="single"/>
        </w:rPr>
        <w:t>TO A PREHEARING CONFERENCE</w:t>
      </w:r>
    </w:p>
    <w:p w:rsidR="004166FA" w:rsidRDefault="004166FA" w:rsidP="0057157D">
      <w:pPr>
        <w:tabs>
          <w:tab w:val="center" w:pos="4680"/>
        </w:tabs>
        <w:suppressAutoHyphens/>
        <w:jc w:val="center"/>
        <w:rPr>
          <w:b/>
          <w:bCs/>
          <w:color w:val="000000"/>
          <w:u w:val="single"/>
        </w:rPr>
      </w:pPr>
      <w:r>
        <w:rPr>
          <w:b/>
          <w:bCs/>
          <w:spacing w:val="-3"/>
          <w:u w:val="single"/>
        </w:rPr>
        <w:t>AND SETTING RULES FOR THE PREHEARING CONFERENCE</w:t>
      </w:r>
    </w:p>
    <w:p w:rsidR="00A82D94" w:rsidRPr="00A82D94" w:rsidRDefault="00A82D94" w:rsidP="002A5872">
      <w:pPr>
        <w:widowControl w:val="0"/>
        <w:adjustRightInd w:val="0"/>
        <w:jc w:val="center"/>
        <w:rPr>
          <w:b/>
          <w:bCs/>
          <w:color w:val="000000"/>
          <w:u w:val="single"/>
        </w:rPr>
      </w:pPr>
    </w:p>
    <w:p w:rsidR="00E67635" w:rsidRDefault="00E67635" w:rsidP="00897878">
      <w:pPr>
        <w:widowControl w:val="0"/>
        <w:adjustRightInd w:val="0"/>
        <w:jc w:val="center"/>
        <w:rPr>
          <w:b/>
          <w:bCs/>
          <w:spacing w:val="-3"/>
          <w:u w:val="single"/>
        </w:rPr>
      </w:pPr>
    </w:p>
    <w:p w:rsidR="00055185" w:rsidRDefault="00055185" w:rsidP="004B443B">
      <w:pPr>
        <w:pStyle w:val="ParaTab1"/>
        <w:tabs>
          <w:tab w:val="left" w:pos="2070"/>
        </w:tabs>
        <w:spacing w:line="360" w:lineRule="auto"/>
      </w:pPr>
      <w:r>
        <w:t>On March 1, 2019, Michael and Sharon Hartman (the Hartmans) filed a formal Complaint against PPL Electric Utilities Corporation (PPL) with the Pennsylvania Public Utility Commission (Commission), at Docket Number C-2019-3008272.</w:t>
      </w:r>
      <w:r w:rsidR="00C11A04">
        <w:t xml:space="preserve">  The Commission’s Secretary served the Complaint upon PPL on March 5, 2019.  PPL filed an Answer to the Complaint on March 25, 2019.  This case was then assigned to the Commission’s Office of Administrative Law Judge (OALJ) for adjudication.</w:t>
      </w:r>
    </w:p>
    <w:p w:rsidR="00C11A04" w:rsidRDefault="00C11A04" w:rsidP="004B443B">
      <w:pPr>
        <w:pStyle w:val="ParaTab1"/>
        <w:tabs>
          <w:tab w:val="left" w:pos="2070"/>
        </w:tabs>
        <w:spacing w:line="360" w:lineRule="auto"/>
      </w:pPr>
    </w:p>
    <w:p w:rsidR="00C11A04" w:rsidRDefault="00C11A04" w:rsidP="004B443B">
      <w:pPr>
        <w:pStyle w:val="ParaTab1"/>
        <w:tabs>
          <w:tab w:val="left" w:pos="2070"/>
        </w:tabs>
        <w:spacing w:line="360" w:lineRule="auto"/>
      </w:pPr>
      <w:r>
        <w:t>On April 3, 2019, OALJ served an Initial Call</w:t>
      </w:r>
      <w:r w:rsidR="00210F72">
        <w:t xml:space="preserve">-In </w:t>
      </w:r>
      <w:r>
        <w:t>Telephonic Hearing Notice on the parties, advising that the Initial Hearing in this case would take place on May 16, 2019 and that I was assigned as the Presiding Officer.  On April 29, 2019, counsel for PPL requested a continuance of the May 16, 2019 hearing.  On May 5, 2019, I was advised that the Hartmans did not oppose PPL’s continuance request.  I approved the continuance and on May 10, 2019 issued a new Initial Call</w:t>
      </w:r>
      <w:r w:rsidR="00210F72">
        <w:t xml:space="preserve">-In </w:t>
      </w:r>
      <w:r>
        <w:t>Telephonic Hearing Notice, indicating that the hearing would now take place on June 26, 2019.</w:t>
      </w:r>
    </w:p>
    <w:p w:rsidR="00C11A04" w:rsidRDefault="00C11A04" w:rsidP="004B443B">
      <w:pPr>
        <w:pStyle w:val="ParaTab1"/>
        <w:tabs>
          <w:tab w:val="left" w:pos="2070"/>
        </w:tabs>
        <w:spacing w:line="360" w:lineRule="auto"/>
      </w:pPr>
    </w:p>
    <w:p w:rsidR="00C11A04" w:rsidRDefault="00210F72" w:rsidP="004B443B">
      <w:pPr>
        <w:pStyle w:val="ParaTab1"/>
        <w:tabs>
          <w:tab w:val="left" w:pos="2070"/>
        </w:tabs>
        <w:spacing w:line="360" w:lineRule="auto"/>
      </w:pPr>
      <w:r>
        <w:t xml:space="preserve">Also on May 10, 2019, I received two letters from the Hartmans, the first dated May 2, 2019 and the second dated May 9, 2019.  In the May 2, 2019 letter, addressed to the Commission’s Secretary and my office, the Hartmans requested that the telephonic hearing be changed to an in-person hearing.  In the May 9, 2019 letter, addressed to my office, the Hartmans </w:t>
      </w:r>
      <w:r>
        <w:lastRenderedPageBreak/>
        <w:t>requested that an in-person hearing take place on</w:t>
      </w:r>
      <w:r w:rsidR="005410CC">
        <w:t xml:space="preserve"> </w:t>
      </w:r>
      <w:r>
        <w:t>site at their home, which is the subject property in the Complaint.</w:t>
      </w:r>
    </w:p>
    <w:p w:rsidR="00210F72" w:rsidRDefault="00210F72" w:rsidP="004B443B">
      <w:pPr>
        <w:pStyle w:val="ParaTab1"/>
        <w:tabs>
          <w:tab w:val="left" w:pos="2070"/>
        </w:tabs>
        <w:spacing w:line="360" w:lineRule="auto"/>
      </w:pPr>
    </w:p>
    <w:p w:rsidR="00210F72" w:rsidRDefault="00210F72" w:rsidP="004B443B">
      <w:pPr>
        <w:pStyle w:val="ParaTab1"/>
        <w:tabs>
          <w:tab w:val="left" w:pos="2070"/>
        </w:tabs>
        <w:spacing w:line="360" w:lineRule="auto"/>
      </w:pPr>
      <w:r>
        <w:t>On June 10, 2019, the Hartmans sent another letter, addressed to the Commission’s Secretary and my office.  That letter is a Motion to Compel Production of Documents from PPL, based upon prior discovery requests made by the Hartmans to PPL (and referenced in the Hartmans’ May 9, 2019 letter).</w:t>
      </w:r>
    </w:p>
    <w:p w:rsidR="00210F72" w:rsidRDefault="00210F72" w:rsidP="004B443B">
      <w:pPr>
        <w:pStyle w:val="ParaTab1"/>
        <w:tabs>
          <w:tab w:val="left" w:pos="2070"/>
        </w:tabs>
        <w:spacing w:line="360" w:lineRule="auto"/>
      </w:pPr>
    </w:p>
    <w:p w:rsidR="00210F72" w:rsidRDefault="00210F72" w:rsidP="004B443B">
      <w:pPr>
        <w:pStyle w:val="ParaTab1"/>
        <w:tabs>
          <w:tab w:val="left" w:pos="2070"/>
        </w:tabs>
        <w:spacing w:line="360" w:lineRule="auto"/>
      </w:pPr>
      <w:r>
        <w:t>The May 2, 2019 Hartman letter, the May 9, 2019 Hartman letter and the June 10, 2019 Hartman letter have not been docketed by the Commission’s Secretary.  To date, PPL has not filed any response to any of the Hartman letters.</w:t>
      </w:r>
    </w:p>
    <w:p w:rsidR="00210F72" w:rsidRDefault="00210F72" w:rsidP="004B443B">
      <w:pPr>
        <w:pStyle w:val="ParaTab1"/>
        <w:tabs>
          <w:tab w:val="left" w:pos="2070"/>
        </w:tabs>
        <w:spacing w:line="360" w:lineRule="auto"/>
      </w:pPr>
    </w:p>
    <w:p w:rsidR="00210F72" w:rsidRDefault="00F37772" w:rsidP="004B443B">
      <w:pPr>
        <w:pStyle w:val="ParaTab1"/>
        <w:tabs>
          <w:tab w:val="left" w:pos="2070"/>
        </w:tabs>
        <w:spacing w:line="360" w:lineRule="auto"/>
      </w:pPr>
      <w:r>
        <w:t xml:space="preserve">Since the Initial Hearing in this case is now only 13 days away, and since the Hartmans have an outstanding discovery related Motion to Compel, I don’t see how the hearing should take place as scheduled.  Instead, I am by way of this Order converting the Initial Hearing of June 26, 2019 to an Initial Prehearing Conference.  The purpose of the Prehearing Conference will be to address all current </w:t>
      </w:r>
      <w:r w:rsidR="001B452F">
        <w:t>outstanding</w:t>
      </w:r>
      <w:r>
        <w:t xml:space="preserve"> issues so that all parties will be prepared for the </w:t>
      </w:r>
      <w:r w:rsidR="001B452F">
        <w:t>subsequent initial hearing in this case.</w:t>
      </w:r>
    </w:p>
    <w:p w:rsidR="001B452F" w:rsidRDefault="001B452F" w:rsidP="004B443B">
      <w:pPr>
        <w:pStyle w:val="ParaTab1"/>
        <w:tabs>
          <w:tab w:val="left" w:pos="2070"/>
        </w:tabs>
        <w:spacing w:line="360" w:lineRule="auto"/>
      </w:pPr>
    </w:p>
    <w:p w:rsidR="001B452F" w:rsidRDefault="001B452F" w:rsidP="004B443B">
      <w:pPr>
        <w:pStyle w:val="ParaTab1"/>
        <w:tabs>
          <w:tab w:val="left" w:pos="2070"/>
        </w:tabs>
        <w:spacing w:line="360" w:lineRule="auto"/>
      </w:pPr>
    </w:p>
    <w:p w:rsidR="00B02AF5" w:rsidRDefault="00B02AF5" w:rsidP="000D098B">
      <w:pPr>
        <w:pStyle w:val="BodyTextIndent"/>
        <w:spacing w:line="360" w:lineRule="auto"/>
        <w:ind w:firstLine="0"/>
        <w:jc w:val="center"/>
        <w:rPr>
          <w:sz w:val="24"/>
          <w:szCs w:val="24"/>
          <w:u w:val="single"/>
        </w:rPr>
      </w:pPr>
      <w:r w:rsidRPr="00807232">
        <w:rPr>
          <w:sz w:val="24"/>
          <w:szCs w:val="24"/>
          <w:u w:val="single"/>
        </w:rPr>
        <w:t>ORDER</w:t>
      </w:r>
    </w:p>
    <w:p w:rsidR="009E5893" w:rsidRDefault="009E5893" w:rsidP="000D098B">
      <w:pPr>
        <w:pStyle w:val="BodyTextIndent"/>
        <w:spacing w:line="360" w:lineRule="auto"/>
        <w:ind w:firstLine="0"/>
        <w:jc w:val="center"/>
        <w:rPr>
          <w:sz w:val="24"/>
          <w:szCs w:val="24"/>
          <w:u w:val="single"/>
        </w:rPr>
      </w:pPr>
    </w:p>
    <w:p w:rsidR="00B02AF5" w:rsidRDefault="00B02AF5" w:rsidP="000D098B">
      <w:pPr>
        <w:pStyle w:val="BodyTextIndent"/>
        <w:spacing w:line="360" w:lineRule="auto"/>
        <w:ind w:left="1080"/>
        <w:rPr>
          <w:sz w:val="24"/>
          <w:szCs w:val="24"/>
        </w:rPr>
      </w:pPr>
      <w:r w:rsidRPr="00807232">
        <w:rPr>
          <w:sz w:val="24"/>
          <w:szCs w:val="24"/>
        </w:rPr>
        <w:t>THEREFORE,</w:t>
      </w:r>
    </w:p>
    <w:p w:rsidR="009E5893" w:rsidRDefault="009E5893" w:rsidP="000D098B">
      <w:pPr>
        <w:pStyle w:val="BodyTextIndent"/>
        <w:spacing w:line="360" w:lineRule="auto"/>
        <w:ind w:left="1080"/>
        <w:rPr>
          <w:sz w:val="24"/>
          <w:szCs w:val="24"/>
        </w:rPr>
      </w:pPr>
    </w:p>
    <w:p w:rsidR="00B02AF5" w:rsidRDefault="00B02AF5" w:rsidP="00B02AF5">
      <w:pPr>
        <w:widowControl w:val="0"/>
        <w:spacing w:line="360" w:lineRule="auto"/>
        <w:ind w:firstLine="1440"/>
      </w:pPr>
      <w:r w:rsidRPr="00807232">
        <w:t>IT IS ORDERED:</w:t>
      </w:r>
    </w:p>
    <w:p w:rsidR="009E5893" w:rsidRDefault="009E5893" w:rsidP="00B02AF5">
      <w:pPr>
        <w:widowControl w:val="0"/>
        <w:spacing w:line="360" w:lineRule="auto"/>
        <w:ind w:firstLine="1440"/>
      </w:pPr>
    </w:p>
    <w:p w:rsidR="001B452F" w:rsidRDefault="00A81882" w:rsidP="00B02AF5">
      <w:pPr>
        <w:pStyle w:val="ListParagraph"/>
        <w:widowControl w:val="0"/>
        <w:numPr>
          <w:ilvl w:val="0"/>
          <w:numId w:val="27"/>
        </w:numPr>
        <w:spacing w:line="360" w:lineRule="auto"/>
        <w:ind w:left="0" w:firstLine="1440"/>
        <w:contextualSpacing/>
      </w:pPr>
      <w:r>
        <w:t xml:space="preserve">That </w:t>
      </w:r>
      <w:r w:rsidR="001B452F">
        <w:t xml:space="preserve">the </w:t>
      </w:r>
      <w:r>
        <w:t>I</w:t>
      </w:r>
      <w:r w:rsidR="00B02AF5" w:rsidRPr="00807232">
        <w:t xml:space="preserve">nitial </w:t>
      </w:r>
      <w:r w:rsidR="001B452F">
        <w:t xml:space="preserve">Call-In Telephonic Hearing scheduled for June 26, 2019 is hereby converted to an Initial </w:t>
      </w:r>
      <w:r>
        <w:t>P</w:t>
      </w:r>
      <w:r w:rsidR="00B02AF5" w:rsidRPr="00807232">
        <w:t xml:space="preserve">rehearing </w:t>
      </w:r>
      <w:r>
        <w:t>C</w:t>
      </w:r>
      <w:r w:rsidR="00B02AF5" w:rsidRPr="00807232">
        <w:t>onference</w:t>
      </w:r>
      <w:r w:rsidR="001B452F">
        <w:t>; the Prehearing Conference will be a Call-In Telephonic Prehearing Conference and shall also occur on June 26, 2019 at 10:00 a.m.</w:t>
      </w:r>
    </w:p>
    <w:p w:rsidR="001B452F" w:rsidRDefault="001B452F" w:rsidP="001B452F">
      <w:pPr>
        <w:pStyle w:val="ListParagraph"/>
        <w:widowControl w:val="0"/>
        <w:spacing w:line="360" w:lineRule="auto"/>
        <w:ind w:left="1440"/>
        <w:contextualSpacing/>
      </w:pPr>
    </w:p>
    <w:p w:rsidR="001B452F" w:rsidRDefault="001B452F" w:rsidP="001B452F">
      <w:pPr>
        <w:pStyle w:val="ListParagraph"/>
        <w:numPr>
          <w:ilvl w:val="0"/>
          <w:numId w:val="27"/>
        </w:numPr>
        <w:spacing w:line="360" w:lineRule="auto"/>
        <w:ind w:left="0" w:firstLine="1440"/>
        <w:contextualSpacing/>
      </w:pPr>
      <w:r>
        <w:lastRenderedPageBreak/>
        <w:t>That the Office of Administrative Law Judge shall send out a Hearing Change Notice to the parties indicating the change in status of the June 26, 2019 hearing</w:t>
      </w:r>
      <w:r w:rsidR="004166FA">
        <w:t xml:space="preserve"> to an Initial Call-In Telephonic Prehearing Conference.</w:t>
      </w:r>
    </w:p>
    <w:p w:rsidR="001B452F" w:rsidRDefault="001B452F" w:rsidP="001B452F">
      <w:pPr>
        <w:pStyle w:val="ListParagraph"/>
        <w:spacing w:line="360" w:lineRule="auto"/>
        <w:ind w:left="1440"/>
        <w:contextualSpacing/>
      </w:pPr>
    </w:p>
    <w:p w:rsidR="001B452F" w:rsidRDefault="001B452F" w:rsidP="001B452F">
      <w:pPr>
        <w:pStyle w:val="ListParagraph"/>
        <w:numPr>
          <w:ilvl w:val="0"/>
          <w:numId w:val="27"/>
        </w:numPr>
        <w:spacing w:line="360" w:lineRule="auto"/>
        <w:ind w:left="0" w:firstLine="1440"/>
        <w:contextualSpacing/>
      </w:pPr>
      <w:r>
        <w:t>That the Office of Administrative Law Judge shall ensure that the Commission’s Secretary files and dockets the following Hartman letters:</w:t>
      </w:r>
    </w:p>
    <w:p w:rsidR="001B452F" w:rsidRDefault="001B452F" w:rsidP="001B452F">
      <w:pPr>
        <w:pStyle w:val="ListParagraph"/>
        <w:spacing w:line="360" w:lineRule="auto"/>
        <w:ind w:left="1440"/>
        <w:contextualSpacing/>
      </w:pPr>
    </w:p>
    <w:p w:rsidR="001B452F" w:rsidRDefault="001B452F" w:rsidP="001B452F">
      <w:pPr>
        <w:pStyle w:val="ListParagraph"/>
        <w:spacing w:line="360" w:lineRule="auto"/>
        <w:ind w:left="1440"/>
        <w:contextualSpacing/>
      </w:pPr>
      <w:r>
        <w:t>The May 2, 2019 Hartman letter (Request for In-Person Hearing)</w:t>
      </w:r>
    </w:p>
    <w:p w:rsidR="001B452F" w:rsidRDefault="001B452F" w:rsidP="001B452F">
      <w:pPr>
        <w:pStyle w:val="ListParagraph"/>
        <w:spacing w:line="360" w:lineRule="auto"/>
        <w:ind w:left="1440"/>
        <w:contextualSpacing/>
      </w:pPr>
      <w:r>
        <w:t>The May 9, 2019 Hartman letter (Request for In-Person Hearing (On Site)).</w:t>
      </w:r>
    </w:p>
    <w:p w:rsidR="001B452F" w:rsidRDefault="001B452F" w:rsidP="001B452F">
      <w:pPr>
        <w:pStyle w:val="ListParagraph"/>
        <w:spacing w:line="360" w:lineRule="auto"/>
        <w:ind w:left="1440"/>
        <w:contextualSpacing/>
      </w:pPr>
      <w:r>
        <w:t>The June 10, 2019 Hartman letter (Motion to Compel Production of Documents)</w:t>
      </w:r>
    </w:p>
    <w:p w:rsidR="001B452F" w:rsidRDefault="001B452F" w:rsidP="001B452F">
      <w:pPr>
        <w:pStyle w:val="ListParagraph"/>
        <w:spacing w:line="360" w:lineRule="auto"/>
        <w:ind w:left="1440"/>
        <w:contextualSpacing/>
      </w:pPr>
    </w:p>
    <w:p w:rsidR="001B452F" w:rsidRDefault="001B452F" w:rsidP="001B452F">
      <w:pPr>
        <w:pStyle w:val="ListParagraph"/>
        <w:numPr>
          <w:ilvl w:val="0"/>
          <w:numId w:val="27"/>
        </w:numPr>
        <w:spacing w:line="360" w:lineRule="auto"/>
        <w:ind w:left="0" w:firstLine="1440"/>
        <w:contextualSpacing/>
      </w:pPr>
      <w:r>
        <w:t xml:space="preserve">That PPL Electric Utilities Corporation shall file </w:t>
      </w:r>
      <w:r w:rsidR="004166FA">
        <w:t xml:space="preserve">and serve </w:t>
      </w:r>
      <w:r>
        <w:t>written responses to the items in Ordering Paragraph 3 above, no later than June 20, 2019.</w:t>
      </w:r>
    </w:p>
    <w:p w:rsidR="001B452F" w:rsidRDefault="001B452F" w:rsidP="001B452F">
      <w:pPr>
        <w:pStyle w:val="ListParagraph"/>
        <w:spacing w:line="360" w:lineRule="auto"/>
        <w:ind w:left="1440"/>
        <w:contextualSpacing/>
      </w:pPr>
    </w:p>
    <w:p w:rsidR="001B452F" w:rsidRDefault="004166FA" w:rsidP="001B452F">
      <w:pPr>
        <w:pStyle w:val="ListParagraph"/>
        <w:numPr>
          <w:ilvl w:val="0"/>
          <w:numId w:val="27"/>
        </w:numPr>
        <w:spacing w:line="360" w:lineRule="auto"/>
        <w:ind w:left="0" w:firstLine="1440"/>
        <w:contextualSpacing/>
      </w:pPr>
      <w:r>
        <w:t>That the parties should be prepared to discuss their positions on the items listed in Ordering Paragraphs 3 and 4 above at the June 26, 2019 Initial Prehearing Conference.</w:t>
      </w:r>
    </w:p>
    <w:p w:rsidR="004166FA" w:rsidRDefault="004166FA" w:rsidP="004166FA">
      <w:pPr>
        <w:pStyle w:val="ListParagraph"/>
        <w:spacing w:line="360" w:lineRule="auto"/>
        <w:ind w:left="1440"/>
        <w:contextualSpacing/>
      </w:pPr>
    </w:p>
    <w:p w:rsidR="004166FA" w:rsidRDefault="004166FA" w:rsidP="004166FA">
      <w:pPr>
        <w:pStyle w:val="ListParagraph"/>
        <w:numPr>
          <w:ilvl w:val="0"/>
          <w:numId w:val="27"/>
        </w:numPr>
        <w:spacing w:line="360" w:lineRule="auto"/>
        <w:ind w:left="0" w:firstLine="1440"/>
        <w:contextualSpacing/>
      </w:pPr>
      <w:r w:rsidRPr="00807232">
        <w:t xml:space="preserve">That </w:t>
      </w:r>
      <w:r>
        <w:t xml:space="preserve">the parties </w:t>
      </w:r>
      <w:r w:rsidRPr="00807232">
        <w:t xml:space="preserve">will be expected to attend the </w:t>
      </w:r>
      <w:r>
        <w:t xml:space="preserve">Initial Prehearing Conference </w:t>
      </w:r>
      <w:r w:rsidRPr="00807232">
        <w:t xml:space="preserve">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rsidR="001B452F" w:rsidRDefault="001B452F" w:rsidP="004166FA">
      <w:pPr>
        <w:pStyle w:val="ListParagraph"/>
        <w:spacing w:line="360" w:lineRule="auto"/>
        <w:ind w:left="1440"/>
        <w:contextualSpacing/>
      </w:pPr>
    </w:p>
    <w:p w:rsidR="004166FA" w:rsidRDefault="004166FA" w:rsidP="004166FA">
      <w:pPr>
        <w:pStyle w:val="ListParagraph"/>
        <w:spacing w:line="360" w:lineRule="auto"/>
        <w:ind w:left="1440"/>
        <w:contextualSpacing/>
      </w:pPr>
    </w:p>
    <w:p w:rsidR="002B3CAB" w:rsidRPr="00AD5D5B" w:rsidRDefault="00444E27" w:rsidP="002B3CAB">
      <w:pPr>
        <w:rPr>
          <w:u w:val="single"/>
        </w:rPr>
      </w:pPr>
      <w:r w:rsidRPr="00550B34">
        <w:t xml:space="preserve">Date: </w:t>
      </w:r>
      <w:r w:rsidR="004166FA">
        <w:rPr>
          <w:u w:val="single"/>
        </w:rPr>
        <w:t>June 13, 2019</w:t>
      </w:r>
      <w:r w:rsidRPr="00550B34">
        <w:tab/>
      </w:r>
      <w:r w:rsidR="004166FA">
        <w:tab/>
      </w:r>
      <w:r w:rsidR="004C2457">
        <w:tab/>
      </w:r>
      <w:r w:rsidR="00CD604F">
        <w:tab/>
      </w:r>
      <w:r w:rsidR="002A5872">
        <w:tab/>
      </w:r>
      <w:r w:rsidR="002B3CAB">
        <w:rPr>
          <w:u w:val="single"/>
        </w:rPr>
        <w:tab/>
      </w:r>
      <w:r w:rsidR="004166FA">
        <w:rPr>
          <w:u w:val="single"/>
        </w:rPr>
        <w:t xml:space="preserve">     /s/</w:t>
      </w:r>
      <w:r w:rsidR="002B3CAB">
        <w:rPr>
          <w:u w:val="single"/>
        </w:rPr>
        <w:tab/>
      </w:r>
      <w:r w:rsidR="002B3CAB">
        <w:rPr>
          <w:u w:val="single"/>
        </w:rPr>
        <w:tab/>
      </w:r>
    </w:p>
    <w:p w:rsidR="002B3CAB" w:rsidRPr="00550B34" w:rsidRDefault="002B3CAB" w:rsidP="002B3CAB">
      <w:r>
        <w:tab/>
      </w:r>
      <w:r w:rsidRPr="00550B34">
        <w:tab/>
      </w:r>
      <w:r w:rsidRPr="00550B34">
        <w:tab/>
      </w:r>
      <w:r w:rsidRPr="00550B34">
        <w:tab/>
      </w:r>
      <w:r w:rsidRPr="00550B34">
        <w:tab/>
      </w:r>
      <w:r w:rsidRPr="00550B34">
        <w:tab/>
      </w:r>
      <w:r>
        <w:tab/>
        <w:t>Andrew M. Calvelli</w:t>
      </w:r>
    </w:p>
    <w:p w:rsidR="00967D22" w:rsidRDefault="002B3CAB" w:rsidP="00444E27">
      <w:r w:rsidRPr="00550B34">
        <w:tab/>
      </w:r>
      <w:r w:rsidRPr="00550B34">
        <w:tab/>
      </w:r>
      <w:r w:rsidRPr="00550B34">
        <w:tab/>
      </w:r>
      <w:r w:rsidRPr="00550B34">
        <w:tab/>
      </w:r>
      <w:r w:rsidRPr="00550B34">
        <w:tab/>
      </w:r>
      <w:r>
        <w:tab/>
      </w:r>
      <w:r>
        <w:tab/>
        <w:t>Administrative Law Judge</w:t>
      </w:r>
    </w:p>
    <w:p w:rsidR="00967D22" w:rsidRDefault="00967D22">
      <w:pPr>
        <w:autoSpaceDE/>
        <w:autoSpaceDN/>
      </w:pPr>
      <w:r>
        <w:br w:type="page"/>
      </w:r>
    </w:p>
    <w:p w:rsidR="00967D22" w:rsidRDefault="00967D22" w:rsidP="00967D22">
      <w:pPr>
        <w:rPr>
          <w:rFonts w:ascii="Microsoft Sans Serif" w:eastAsia="Microsoft Sans Serif" w:hAnsi="Microsoft Sans Serif" w:cs="Microsoft Sans Serif"/>
          <w:b/>
          <w:szCs w:val="20"/>
          <w:u w:val="single"/>
        </w:rPr>
      </w:pPr>
      <w:r>
        <w:rPr>
          <w:rFonts w:ascii="Microsoft Sans Serif" w:eastAsia="Microsoft Sans Serif" w:hAnsi="Microsoft Sans Serif" w:cs="Microsoft Sans Serif"/>
          <w:b/>
          <w:u w:val="single"/>
        </w:rPr>
        <w:lastRenderedPageBreak/>
        <w:t>C-2019-3008272 - MICHAEL AND SHARON HARTMAN v. PPL ELECTRIC UTILITIES CORPORATION</w:t>
      </w:r>
    </w:p>
    <w:p w:rsidR="00967D22" w:rsidRDefault="00967D22" w:rsidP="00967D22">
      <w:pPr>
        <w:rPr>
          <w:rFonts w:ascii="Microsoft Sans Serif" w:eastAsia="Microsoft Sans Serif" w:hAnsi="Microsoft Sans Serif" w:cs="Microsoft Sans Serif"/>
          <w:b/>
          <w:u w:val="single"/>
        </w:rPr>
      </w:pPr>
    </w:p>
    <w:p w:rsidR="00967D22" w:rsidRDefault="00967D22" w:rsidP="00967D22">
      <w:pPr>
        <w:rPr>
          <w:rFonts w:ascii="Microsoft Sans Serif" w:eastAsia="Microsoft Sans Serif" w:hAnsi="Microsoft Sans Serif" w:cs="Microsoft Sans Serif"/>
        </w:rPr>
      </w:pPr>
      <w:r>
        <w:rPr>
          <w:rFonts w:ascii="Microsoft Sans Serif" w:eastAsia="Microsoft Sans Serif" w:hAnsi="Microsoft Sans Serif" w:cs="Microsoft Sans Serif"/>
        </w:rPr>
        <w:t>MICHAEL HARTMAN</w:t>
      </w:r>
      <w:r>
        <w:rPr>
          <w:rFonts w:ascii="Microsoft Sans Serif" w:eastAsia="Microsoft Sans Serif" w:hAnsi="Microsoft Sans Serif" w:cs="Microsoft Sans Serif"/>
        </w:rPr>
        <w:br/>
        <w:t>SHARON HARTMAN</w:t>
      </w:r>
    </w:p>
    <w:p w:rsidR="00967D22" w:rsidRDefault="00967D22" w:rsidP="00967D22">
      <w:pPr>
        <w:rPr>
          <w:rFonts w:ascii="Microsoft Sans Serif" w:eastAsia="Microsoft Sans Serif" w:hAnsi="Microsoft Sans Serif" w:cs="Microsoft Sans Serif"/>
        </w:rPr>
      </w:pPr>
      <w:r>
        <w:rPr>
          <w:rFonts w:ascii="Microsoft Sans Serif" w:eastAsia="Microsoft Sans Serif" w:hAnsi="Microsoft Sans Serif" w:cs="Microsoft Sans Serif"/>
        </w:rPr>
        <w:t>1650 PRIMROSE LANE</w:t>
      </w:r>
    </w:p>
    <w:p w:rsidR="00967D22" w:rsidRDefault="00967D22" w:rsidP="00967D22">
      <w:pPr>
        <w:rPr>
          <w:rFonts w:ascii="Microsoft Sans Serif" w:eastAsia="Microsoft Sans Serif" w:hAnsi="Microsoft Sans Serif" w:cs="Microsoft Sans Serif"/>
        </w:rPr>
      </w:pPr>
      <w:r>
        <w:rPr>
          <w:rFonts w:ascii="Microsoft Sans Serif" w:eastAsia="Microsoft Sans Serif" w:hAnsi="Microsoft Sans Serif" w:cs="Microsoft Sans Serif"/>
        </w:rPr>
        <w:t>DAUPHIN PA  17018</w:t>
      </w:r>
    </w:p>
    <w:p w:rsidR="00967D22" w:rsidRDefault="00967D22" w:rsidP="00967D22">
      <w:pPr>
        <w:rPr>
          <w:rFonts w:ascii="Microsoft Sans Serif" w:eastAsia="Microsoft Sans Serif" w:hAnsi="Microsoft Sans Serif" w:cs="Microsoft Sans Serif"/>
        </w:rPr>
      </w:pPr>
      <w:r>
        <w:rPr>
          <w:rFonts w:ascii="Microsoft Sans Serif" w:eastAsia="Microsoft Sans Serif" w:hAnsi="Microsoft Sans Serif" w:cs="Microsoft Sans Serif"/>
          <w:b/>
        </w:rPr>
        <w:t>717.921.8708</w:t>
      </w:r>
    </w:p>
    <w:p w:rsidR="00967D22" w:rsidRDefault="00967D22" w:rsidP="00967D22">
      <w:pPr>
        <w:rPr>
          <w:rFonts w:ascii="Microsoft Sans Serif" w:eastAsia="Microsoft Sans Serif" w:hAnsi="Microsoft Sans Serif" w:cs="Microsoft Sans Serif"/>
        </w:rPr>
      </w:pPr>
    </w:p>
    <w:p w:rsidR="00967D22" w:rsidRDefault="00967D22" w:rsidP="00967D22">
      <w:pPr>
        <w:rPr>
          <w:rFonts w:ascii="Microsoft Sans Serif" w:eastAsia="Microsoft Sans Serif" w:hAnsi="Microsoft Sans Serif" w:cs="Microsoft Sans Serif"/>
        </w:rPr>
      </w:pPr>
      <w:r>
        <w:rPr>
          <w:rFonts w:ascii="Microsoft Sans Serif" w:eastAsia="Microsoft Sans Serif" w:hAnsi="Microsoft Sans Serif" w:cs="Microsoft Sans Serif"/>
        </w:rPr>
        <w:t>KIMBERLY G KRUPKA ESQUIRE</w:t>
      </w:r>
    </w:p>
    <w:p w:rsidR="00967D22" w:rsidRDefault="00967D22" w:rsidP="00967D22">
      <w:pPr>
        <w:rPr>
          <w:rFonts w:ascii="Microsoft Sans Serif" w:eastAsia="Microsoft Sans Serif" w:hAnsi="Microsoft Sans Serif" w:cs="Microsoft Sans Serif"/>
        </w:rPr>
      </w:pPr>
      <w:r>
        <w:rPr>
          <w:rFonts w:ascii="Microsoft Sans Serif" w:eastAsia="Microsoft Sans Serif" w:hAnsi="Microsoft Sans Serif" w:cs="Microsoft Sans Serif"/>
        </w:rPr>
        <w:t>GROSS MCGINLEY LLP</w:t>
      </w:r>
    </w:p>
    <w:p w:rsidR="00967D22" w:rsidRDefault="00967D22" w:rsidP="00967D22">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33 SOUTH SEVENTH STREET </w:t>
      </w:r>
      <w:r>
        <w:rPr>
          <w:rFonts w:ascii="Microsoft Sans Serif" w:eastAsia="Microsoft Sans Serif" w:hAnsi="Microsoft Sans Serif" w:cs="Microsoft Sans Serif"/>
        </w:rPr>
        <w:br/>
        <w:t>PO BOX 4060</w:t>
      </w:r>
    </w:p>
    <w:p w:rsidR="00967D22" w:rsidRDefault="00967D22" w:rsidP="00967D22">
      <w:pPr>
        <w:rPr>
          <w:rFonts w:ascii="Microsoft Sans Serif" w:eastAsia="Microsoft Sans Serif" w:hAnsi="Microsoft Sans Serif" w:cs="Microsoft Sans Serif"/>
        </w:rPr>
      </w:pPr>
      <w:r>
        <w:rPr>
          <w:rFonts w:ascii="Microsoft Sans Serif" w:eastAsia="Microsoft Sans Serif" w:hAnsi="Microsoft Sans Serif" w:cs="Microsoft Sans Serif"/>
        </w:rPr>
        <w:t>ALLENTOWN PA  18105-4060</w:t>
      </w:r>
    </w:p>
    <w:p w:rsidR="00967D22" w:rsidRDefault="00967D22" w:rsidP="00967D22">
      <w:pPr>
        <w:rPr>
          <w:rFonts w:ascii="Microsoft Sans Serif" w:eastAsia="Microsoft Sans Serif" w:hAnsi="Microsoft Sans Serif" w:cs="Microsoft Sans Serif"/>
          <w:b/>
        </w:rPr>
      </w:pPr>
      <w:r>
        <w:rPr>
          <w:rFonts w:ascii="Microsoft Sans Serif" w:eastAsia="Microsoft Sans Serif" w:hAnsi="Microsoft Sans Serif" w:cs="Microsoft Sans Serif"/>
          <w:b/>
        </w:rPr>
        <w:t>610.820.5450</w:t>
      </w:r>
    </w:p>
    <w:p w:rsidR="00444E27" w:rsidRPr="00550B34" w:rsidRDefault="00444E27" w:rsidP="00444E27">
      <w:bookmarkStart w:id="0" w:name="_GoBack"/>
      <w:bookmarkEnd w:id="0"/>
    </w:p>
    <w:sectPr w:rsidR="00444E27" w:rsidRPr="00550B34" w:rsidSect="00F277C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EF9" w:rsidRDefault="00924EF9">
      <w:r>
        <w:separator/>
      </w:r>
    </w:p>
  </w:endnote>
  <w:endnote w:type="continuationSeparator" w:id="0">
    <w:p w:rsidR="00924EF9" w:rsidRDefault="0092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rPr>
    </w:sdtEndPr>
    <w:sdtContent>
      <w:p w:rsidR="00F277CF" w:rsidRDefault="00F277CF">
        <w:pPr>
          <w:pStyle w:val="Footer"/>
          <w:jc w:val="center"/>
        </w:pPr>
        <w:r>
          <w:fldChar w:fldCharType="begin"/>
        </w:r>
        <w:r>
          <w:instrText xml:space="preserve"> PAGE   \* MERGEFORMAT </w:instrText>
        </w:r>
        <w:r>
          <w:fldChar w:fldCharType="separate"/>
        </w:r>
        <w:r w:rsidR="00DA721F">
          <w:rPr>
            <w:noProof/>
          </w:rPr>
          <w:t>2</w:t>
        </w:r>
        <w:r>
          <w:rPr>
            <w:noProof/>
          </w:rPr>
          <w:fldChar w:fldCharType="end"/>
        </w:r>
      </w:p>
    </w:sdtContent>
  </w:sdt>
  <w:p w:rsidR="00AD5D5B" w:rsidRPr="003C02CC" w:rsidRDefault="00AD5D5B" w:rsidP="002A5872">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EF9" w:rsidRDefault="00924EF9">
      <w:r>
        <w:separator/>
      </w:r>
    </w:p>
  </w:footnote>
  <w:footnote w:type="continuationSeparator" w:id="0">
    <w:p w:rsidR="00924EF9" w:rsidRDefault="00924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52DF3"/>
    <w:multiLevelType w:val="hybridMultilevel"/>
    <w:tmpl w:val="1D466D68"/>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1"/>
  </w:num>
  <w:num w:numId="5">
    <w:abstractNumId w:val="6"/>
  </w:num>
  <w:num w:numId="6">
    <w:abstractNumId w:val="26"/>
  </w:num>
  <w:num w:numId="7">
    <w:abstractNumId w:val="1"/>
  </w:num>
  <w:num w:numId="8">
    <w:abstractNumId w:val="16"/>
  </w:num>
  <w:num w:numId="9">
    <w:abstractNumId w:val="10"/>
  </w:num>
  <w:num w:numId="10">
    <w:abstractNumId w:val="25"/>
  </w:num>
  <w:num w:numId="11">
    <w:abstractNumId w:val="19"/>
  </w:num>
  <w:num w:numId="12">
    <w:abstractNumId w:val="8"/>
  </w:num>
  <w:num w:numId="13">
    <w:abstractNumId w:val="18"/>
  </w:num>
  <w:num w:numId="14">
    <w:abstractNumId w:val="0"/>
  </w:num>
  <w:num w:numId="15">
    <w:abstractNumId w:val="20"/>
  </w:num>
  <w:num w:numId="16">
    <w:abstractNumId w:val="13"/>
  </w:num>
  <w:num w:numId="17">
    <w:abstractNumId w:val="15"/>
  </w:num>
  <w:num w:numId="18">
    <w:abstractNumId w:val="7"/>
  </w:num>
  <w:num w:numId="19">
    <w:abstractNumId w:val="17"/>
  </w:num>
  <w:num w:numId="20">
    <w:abstractNumId w:val="3"/>
  </w:num>
  <w:num w:numId="21">
    <w:abstractNumId w:val="23"/>
  </w:num>
  <w:num w:numId="22">
    <w:abstractNumId w:val="9"/>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5479"/>
    <w:rsid w:val="00050489"/>
    <w:rsid w:val="00050AF1"/>
    <w:rsid w:val="000515DA"/>
    <w:rsid w:val="00054540"/>
    <w:rsid w:val="00054A10"/>
    <w:rsid w:val="00055185"/>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6D6C"/>
    <w:rsid w:val="000C3A73"/>
    <w:rsid w:val="000C5271"/>
    <w:rsid w:val="000C541F"/>
    <w:rsid w:val="000C5888"/>
    <w:rsid w:val="000D04DF"/>
    <w:rsid w:val="000D098B"/>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4AA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553B"/>
    <w:rsid w:val="00197B84"/>
    <w:rsid w:val="001A1495"/>
    <w:rsid w:val="001A397D"/>
    <w:rsid w:val="001A62B0"/>
    <w:rsid w:val="001A6306"/>
    <w:rsid w:val="001B452F"/>
    <w:rsid w:val="001B596F"/>
    <w:rsid w:val="001B6119"/>
    <w:rsid w:val="001B7656"/>
    <w:rsid w:val="001C23B6"/>
    <w:rsid w:val="001C3077"/>
    <w:rsid w:val="001C4B7B"/>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0F72"/>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15EF"/>
    <w:rsid w:val="0025216C"/>
    <w:rsid w:val="00252F51"/>
    <w:rsid w:val="0025436A"/>
    <w:rsid w:val="00262D22"/>
    <w:rsid w:val="0026329B"/>
    <w:rsid w:val="002636A2"/>
    <w:rsid w:val="00265758"/>
    <w:rsid w:val="00266583"/>
    <w:rsid w:val="0027269F"/>
    <w:rsid w:val="002744CA"/>
    <w:rsid w:val="00276158"/>
    <w:rsid w:val="002825EF"/>
    <w:rsid w:val="00284DC6"/>
    <w:rsid w:val="002860B7"/>
    <w:rsid w:val="002872AD"/>
    <w:rsid w:val="00291D9A"/>
    <w:rsid w:val="002967E5"/>
    <w:rsid w:val="002A5872"/>
    <w:rsid w:val="002A5F90"/>
    <w:rsid w:val="002A6146"/>
    <w:rsid w:val="002A6540"/>
    <w:rsid w:val="002B04F4"/>
    <w:rsid w:val="002B1DB7"/>
    <w:rsid w:val="002B3CAB"/>
    <w:rsid w:val="002B4065"/>
    <w:rsid w:val="002B5A65"/>
    <w:rsid w:val="002C06C1"/>
    <w:rsid w:val="002C13F5"/>
    <w:rsid w:val="002C2C4E"/>
    <w:rsid w:val="002C32C8"/>
    <w:rsid w:val="002C370F"/>
    <w:rsid w:val="002C40FB"/>
    <w:rsid w:val="002C5465"/>
    <w:rsid w:val="002C66E9"/>
    <w:rsid w:val="002C74FB"/>
    <w:rsid w:val="002D275A"/>
    <w:rsid w:val="002D6D1C"/>
    <w:rsid w:val="002E04C4"/>
    <w:rsid w:val="002E2B8A"/>
    <w:rsid w:val="002E4F5F"/>
    <w:rsid w:val="002E5F7E"/>
    <w:rsid w:val="002E64EF"/>
    <w:rsid w:val="002E76DB"/>
    <w:rsid w:val="002F05AF"/>
    <w:rsid w:val="002F61D3"/>
    <w:rsid w:val="003038D5"/>
    <w:rsid w:val="00304A73"/>
    <w:rsid w:val="003123AF"/>
    <w:rsid w:val="00312F22"/>
    <w:rsid w:val="00316851"/>
    <w:rsid w:val="00316B8A"/>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DFA"/>
    <w:rsid w:val="00374FE0"/>
    <w:rsid w:val="0037679C"/>
    <w:rsid w:val="0037752B"/>
    <w:rsid w:val="00380135"/>
    <w:rsid w:val="003828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3065"/>
    <w:rsid w:val="00414688"/>
    <w:rsid w:val="00415EAE"/>
    <w:rsid w:val="004166FA"/>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0CC"/>
    <w:rsid w:val="00541FA5"/>
    <w:rsid w:val="005464B5"/>
    <w:rsid w:val="005470E2"/>
    <w:rsid w:val="00550B34"/>
    <w:rsid w:val="005534AB"/>
    <w:rsid w:val="00555AB2"/>
    <w:rsid w:val="0056090B"/>
    <w:rsid w:val="005614C7"/>
    <w:rsid w:val="00562740"/>
    <w:rsid w:val="0056328E"/>
    <w:rsid w:val="005636C3"/>
    <w:rsid w:val="00564933"/>
    <w:rsid w:val="00564A1C"/>
    <w:rsid w:val="00565DDE"/>
    <w:rsid w:val="0056671B"/>
    <w:rsid w:val="00566D50"/>
    <w:rsid w:val="0057157D"/>
    <w:rsid w:val="00575E98"/>
    <w:rsid w:val="00577041"/>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470C"/>
    <w:rsid w:val="005E1C4E"/>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1B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845"/>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2DF8"/>
    <w:rsid w:val="006943C2"/>
    <w:rsid w:val="00694651"/>
    <w:rsid w:val="0069561B"/>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6EC7"/>
    <w:rsid w:val="00752614"/>
    <w:rsid w:val="00755A22"/>
    <w:rsid w:val="0075751F"/>
    <w:rsid w:val="00757D11"/>
    <w:rsid w:val="00761AAA"/>
    <w:rsid w:val="00763DA0"/>
    <w:rsid w:val="007653FA"/>
    <w:rsid w:val="00771158"/>
    <w:rsid w:val="00771201"/>
    <w:rsid w:val="00773E3C"/>
    <w:rsid w:val="00774975"/>
    <w:rsid w:val="00777E02"/>
    <w:rsid w:val="00780958"/>
    <w:rsid w:val="00783F05"/>
    <w:rsid w:val="00784AE9"/>
    <w:rsid w:val="007853DD"/>
    <w:rsid w:val="007876C7"/>
    <w:rsid w:val="00787F5D"/>
    <w:rsid w:val="00793FF9"/>
    <w:rsid w:val="007945B3"/>
    <w:rsid w:val="007A68A4"/>
    <w:rsid w:val="007A6F35"/>
    <w:rsid w:val="007B135C"/>
    <w:rsid w:val="007B19DA"/>
    <w:rsid w:val="007B2C93"/>
    <w:rsid w:val="007B76C4"/>
    <w:rsid w:val="007B77F4"/>
    <w:rsid w:val="007C63F8"/>
    <w:rsid w:val="007C6559"/>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134CB"/>
    <w:rsid w:val="00816880"/>
    <w:rsid w:val="008179E0"/>
    <w:rsid w:val="00817C41"/>
    <w:rsid w:val="0082084D"/>
    <w:rsid w:val="00820EA8"/>
    <w:rsid w:val="008229D1"/>
    <w:rsid w:val="008253A9"/>
    <w:rsid w:val="00830CF6"/>
    <w:rsid w:val="0083648A"/>
    <w:rsid w:val="008373E6"/>
    <w:rsid w:val="00840D89"/>
    <w:rsid w:val="008413F8"/>
    <w:rsid w:val="008426D4"/>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7C8A"/>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2C10"/>
    <w:rsid w:val="008E6D84"/>
    <w:rsid w:val="008E79BF"/>
    <w:rsid w:val="008F755E"/>
    <w:rsid w:val="009011DC"/>
    <w:rsid w:val="00901271"/>
    <w:rsid w:val="00906107"/>
    <w:rsid w:val="009065DB"/>
    <w:rsid w:val="00907551"/>
    <w:rsid w:val="009077F7"/>
    <w:rsid w:val="00907E93"/>
    <w:rsid w:val="0091132C"/>
    <w:rsid w:val="00916FE1"/>
    <w:rsid w:val="00922597"/>
    <w:rsid w:val="00923D4F"/>
    <w:rsid w:val="009242C7"/>
    <w:rsid w:val="00924EF9"/>
    <w:rsid w:val="00926832"/>
    <w:rsid w:val="00933A0A"/>
    <w:rsid w:val="009345B3"/>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67D2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5893"/>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6F"/>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1882"/>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2AF5"/>
    <w:rsid w:val="00B04A94"/>
    <w:rsid w:val="00B06110"/>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92F"/>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24E1"/>
    <w:rsid w:val="00B94C4B"/>
    <w:rsid w:val="00B9621C"/>
    <w:rsid w:val="00B97AB5"/>
    <w:rsid w:val="00BA0600"/>
    <w:rsid w:val="00BA156B"/>
    <w:rsid w:val="00BA19C5"/>
    <w:rsid w:val="00BA5156"/>
    <w:rsid w:val="00BA5877"/>
    <w:rsid w:val="00BA6995"/>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1A04"/>
    <w:rsid w:val="00C12AD7"/>
    <w:rsid w:val="00C13C5A"/>
    <w:rsid w:val="00C160EF"/>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0E"/>
    <w:rsid w:val="00CB18E0"/>
    <w:rsid w:val="00CB4220"/>
    <w:rsid w:val="00CB42AB"/>
    <w:rsid w:val="00CB4DB1"/>
    <w:rsid w:val="00CB731C"/>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1E89"/>
    <w:rsid w:val="00CF2A61"/>
    <w:rsid w:val="00CF326B"/>
    <w:rsid w:val="00CF4362"/>
    <w:rsid w:val="00CF4490"/>
    <w:rsid w:val="00CF5705"/>
    <w:rsid w:val="00CF5A8F"/>
    <w:rsid w:val="00D00379"/>
    <w:rsid w:val="00D02279"/>
    <w:rsid w:val="00D03829"/>
    <w:rsid w:val="00D04FB2"/>
    <w:rsid w:val="00D0570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90E"/>
    <w:rsid w:val="00D80A3E"/>
    <w:rsid w:val="00D82669"/>
    <w:rsid w:val="00D84B3D"/>
    <w:rsid w:val="00D92151"/>
    <w:rsid w:val="00D94D3A"/>
    <w:rsid w:val="00D95385"/>
    <w:rsid w:val="00D96C3F"/>
    <w:rsid w:val="00DA0323"/>
    <w:rsid w:val="00DA0C66"/>
    <w:rsid w:val="00DA3FF9"/>
    <w:rsid w:val="00DA721F"/>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E43E5"/>
    <w:rsid w:val="00DF1668"/>
    <w:rsid w:val="00DF1BF4"/>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6ACE"/>
    <w:rsid w:val="00E576D6"/>
    <w:rsid w:val="00E63021"/>
    <w:rsid w:val="00E63742"/>
    <w:rsid w:val="00E63F24"/>
    <w:rsid w:val="00E65F4C"/>
    <w:rsid w:val="00E67635"/>
    <w:rsid w:val="00E70A61"/>
    <w:rsid w:val="00E74E8C"/>
    <w:rsid w:val="00E75057"/>
    <w:rsid w:val="00E77251"/>
    <w:rsid w:val="00E817EE"/>
    <w:rsid w:val="00E818B6"/>
    <w:rsid w:val="00E81B85"/>
    <w:rsid w:val="00E83487"/>
    <w:rsid w:val="00E86513"/>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39B5"/>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0AD2"/>
    <w:rsid w:val="00F21268"/>
    <w:rsid w:val="00F21B5D"/>
    <w:rsid w:val="00F23018"/>
    <w:rsid w:val="00F25BF4"/>
    <w:rsid w:val="00F27105"/>
    <w:rsid w:val="00F277CF"/>
    <w:rsid w:val="00F27B16"/>
    <w:rsid w:val="00F31467"/>
    <w:rsid w:val="00F32383"/>
    <w:rsid w:val="00F33096"/>
    <w:rsid w:val="00F336A1"/>
    <w:rsid w:val="00F37772"/>
    <w:rsid w:val="00F40D25"/>
    <w:rsid w:val="00F441B2"/>
    <w:rsid w:val="00F46A84"/>
    <w:rsid w:val="00F476E8"/>
    <w:rsid w:val="00F47F97"/>
    <w:rsid w:val="00F5660C"/>
    <w:rsid w:val="00F63836"/>
    <w:rsid w:val="00F73A93"/>
    <w:rsid w:val="00F750F4"/>
    <w:rsid w:val="00F76819"/>
    <w:rsid w:val="00F77924"/>
    <w:rsid w:val="00F808F8"/>
    <w:rsid w:val="00F80EF4"/>
    <w:rsid w:val="00F81B45"/>
    <w:rsid w:val="00F824FC"/>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7556E8-F8FF-431B-9385-2ACE45A2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300031">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89373-4201-41FF-AA47-6E746157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Zrncic, Ashlee</cp:lastModifiedBy>
  <cp:revision>2</cp:revision>
  <cp:lastPrinted>2017-11-27T14:45:00Z</cp:lastPrinted>
  <dcterms:created xsi:type="dcterms:W3CDTF">2019-06-13T18:12:00Z</dcterms:created>
  <dcterms:modified xsi:type="dcterms:W3CDTF">2019-06-13T18:12:00Z</dcterms:modified>
</cp:coreProperties>
</file>